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0E741" w14:textId="33751A9F" w:rsidR="00922249" w:rsidRPr="00CB2EC4" w:rsidRDefault="00CB2EC4" w:rsidP="00CB2EC4">
      <w:pPr>
        <w:pStyle w:val="1"/>
        <w:rPr>
          <w:rFonts w:ascii="Times New Roman" w:hAnsi="Times New Roman" w:cs="Times New Roman"/>
          <w:color w:val="auto"/>
          <w:lang w:eastAsia="zh-CN"/>
        </w:rPr>
      </w:pPr>
      <w:r w:rsidRPr="00CB2EC4">
        <w:rPr>
          <w:rFonts w:ascii="Times New Roman" w:hAnsi="Times New Roman" w:cs="Times New Roman"/>
          <w:color w:val="auto"/>
          <w:lang w:eastAsia="zh-CN"/>
        </w:rPr>
        <w:t>Table 1</w:t>
      </w:r>
      <w:r w:rsidR="005E5707">
        <w:rPr>
          <w:rFonts w:ascii="Times New Roman" w:hAnsi="Times New Roman" w:cs="Times New Roman"/>
          <w:color w:val="auto"/>
          <w:lang w:eastAsia="zh-CN"/>
        </w:rPr>
        <w:t xml:space="preserve"> </w:t>
      </w:r>
      <w:bookmarkStart w:id="0" w:name="_Hlk211977709"/>
      <w:r w:rsidR="005E5707">
        <w:rPr>
          <w:rFonts w:ascii="Times New Roman" w:hAnsi="Times New Roman" w:cs="Times New Roman"/>
          <w:color w:val="auto"/>
          <w:lang w:eastAsia="zh-CN"/>
        </w:rPr>
        <w:t>Responses Of Optimal Chunksize Validation Experienment</w:t>
      </w:r>
      <w:bookmarkEnd w:id="0"/>
    </w:p>
    <w:p w14:paraId="14245FB8" w14:textId="77777777" w:rsidR="00916494" w:rsidRPr="00CB2EC4" w:rsidRDefault="00916494" w:rsidP="00916494">
      <w:pPr>
        <w:tabs>
          <w:tab w:val="left" w:pos="1200"/>
        </w:tabs>
        <w:rPr>
          <w:rFonts w:ascii="Times New Roman" w:hAnsi="Times New Roman" w:cs="Times New Roman"/>
        </w:rPr>
      </w:pPr>
      <w:r>
        <w:rPr>
          <w:rFonts w:ascii="Times New Roman" w:hAnsi="Times New Roman" w:cs="Times New Roman"/>
        </w:rPr>
        <w:tab/>
      </w:r>
    </w:p>
    <w:tbl>
      <w:tblPr>
        <w:tblStyle w:val="aff1"/>
        <w:tblW w:w="0" w:type="auto"/>
        <w:tblLayout w:type="fixed"/>
        <w:tblLook w:val="04A0" w:firstRow="1" w:lastRow="0" w:firstColumn="1" w:lastColumn="0" w:noHBand="0" w:noVBand="1"/>
      </w:tblPr>
      <w:tblGrid>
        <w:gridCol w:w="2160"/>
        <w:gridCol w:w="5040"/>
        <w:gridCol w:w="1728"/>
        <w:gridCol w:w="1728"/>
        <w:gridCol w:w="1728"/>
      </w:tblGrid>
      <w:tr w:rsidR="00916494" w:rsidRPr="00CB2EC4" w14:paraId="127AB22B" w14:textId="77777777" w:rsidTr="00547D77">
        <w:tc>
          <w:tcPr>
            <w:tcW w:w="1728" w:type="dxa"/>
            <w:vMerge w:val="restart"/>
            <w:vAlign w:val="center"/>
          </w:tcPr>
          <w:p w14:paraId="5278C652" w14:textId="77777777" w:rsidR="00916494" w:rsidRPr="00CB2EC4" w:rsidRDefault="00916494" w:rsidP="00547D77">
            <w:pPr>
              <w:jc w:val="center"/>
              <w:rPr>
                <w:rFonts w:ascii="Times New Roman" w:hAnsi="Times New Roman" w:cs="Times New Roman"/>
                <w:b/>
              </w:rPr>
            </w:pPr>
            <w:r w:rsidRPr="00CB2EC4">
              <w:rPr>
                <w:rFonts w:ascii="Times New Roman" w:hAnsi="Times New Roman" w:cs="Times New Roman"/>
                <w:b/>
              </w:rPr>
              <w:t>RAG S</w:t>
            </w:r>
            <w:r w:rsidRPr="00CB2EC4">
              <w:rPr>
                <w:rFonts w:ascii="Times New Roman" w:eastAsia="宋体" w:hAnsi="Times New Roman" w:cs="Times New Roman"/>
                <w:b/>
                <w:lang w:eastAsia="zh-CN"/>
              </w:rPr>
              <w:t>ystems</w:t>
            </w:r>
          </w:p>
        </w:tc>
        <w:tc>
          <w:tcPr>
            <w:tcW w:w="1728" w:type="dxa"/>
            <w:vMerge w:val="restart"/>
            <w:vAlign w:val="center"/>
          </w:tcPr>
          <w:p w14:paraId="7E5D25A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b/>
              </w:rPr>
              <w:t>Response</w:t>
            </w:r>
          </w:p>
        </w:tc>
        <w:tc>
          <w:tcPr>
            <w:tcW w:w="5184" w:type="dxa"/>
            <w:gridSpan w:val="3"/>
            <w:vAlign w:val="center"/>
          </w:tcPr>
          <w:p w14:paraId="56799CA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b/>
              </w:rPr>
              <w:t>Assessments</w:t>
            </w:r>
          </w:p>
        </w:tc>
      </w:tr>
      <w:tr w:rsidR="00916494" w:rsidRPr="00CB2EC4" w14:paraId="71641EDA" w14:textId="77777777" w:rsidTr="00547D77">
        <w:tc>
          <w:tcPr>
            <w:tcW w:w="1728" w:type="dxa"/>
            <w:vMerge/>
          </w:tcPr>
          <w:p w14:paraId="0811E1C2" w14:textId="77777777" w:rsidR="00916494" w:rsidRPr="00CB2EC4" w:rsidRDefault="00916494" w:rsidP="00547D77">
            <w:pPr>
              <w:rPr>
                <w:rFonts w:ascii="Times New Roman" w:hAnsi="Times New Roman" w:cs="Times New Roman"/>
              </w:rPr>
            </w:pPr>
          </w:p>
        </w:tc>
        <w:tc>
          <w:tcPr>
            <w:tcW w:w="1728" w:type="dxa"/>
            <w:vMerge/>
          </w:tcPr>
          <w:p w14:paraId="310E838E" w14:textId="77777777" w:rsidR="00916494" w:rsidRPr="00CB2EC4" w:rsidRDefault="00916494" w:rsidP="00547D77">
            <w:pPr>
              <w:rPr>
                <w:rFonts w:ascii="Times New Roman" w:hAnsi="Times New Roman" w:cs="Times New Roman"/>
              </w:rPr>
            </w:pPr>
          </w:p>
        </w:tc>
        <w:tc>
          <w:tcPr>
            <w:tcW w:w="1728" w:type="dxa"/>
            <w:vAlign w:val="center"/>
          </w:tcPr>
          <w:p w14:paraId="14D99B4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b/>
              </w:rPr>
              <w:t>Reviewer 1</w:t>
            </w:r>
          </w:p>
        </w:tc>
        <w:tc>
          <w:tcPr>
            <w:tcW w:w="1728" w:type="dxa"/>
            <w:vAlign w:val="center"/>
          </w:tcPr>
          <w:p w14:paraId="7B26D19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b/>
              </w:rPr>
              <w:t>Reviewer 2</w:t>
            </w:r>
          </w:p>
        </w:tc>
        <w:tc>
          <w:tcPr>
            <w:tcW w:w="1728" w:type="dxa"/>
            <w:vAlign w:val="center"/>
          </w:tcPr>
          <w:p w14:paraId="1B42EBF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b/>
              </w:rPr>
              <w:t>Final</w:t>
            </w:r>
          </w:p>
        </w:tc>
      </w:tr>
      <w:tr w:rsidR="00916494" w:rsidRPr="00CB2EC4" w14:paraId="120E1376" w14:textId="77777777" w:rsidTr="00547D77">
        <w:tc>
          <w:tcPr>
            <w:tcW w:w="10656" w:type="dxa"/>
            <w:gridSpan w:val="5"/>
            <w:tcBorders>
              <w:bottom w:val="single" w:sz="6" w:space="0" w:color="auto"/>
            </w:tcBorders>
            <w:vAlign w:val="center"/>
          </w:tcPr>
          <w:p w14:paraId="29007826"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 What is the examination process for HPV-positive high-risk types?</w:t>
            </w:r>
          </w:p>
        </w:tc>
      </w:tr>
      <w:tr w:rsidR="00916494" w:rsidRPr="00CB2EC4" w14:paraId="13617200" w14:textId="77777777" w:rsidTr="00547D77">
        <w:tc>
          <w:tcPr>
            <w:tcW w:w="2160" w:type="dxa"/>
            <w:vAlign w:val="center"/>
          </w:tcPr>
          <w:p w14:paraId="410D5E8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8F1020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examination process for high-risk HPV-positive patients is as follows (primarily based on the description of Figure 1 from the first document fragment):</w:t>
            </w:r>
            <w:r w:rsidRPr="00CB2EC4">
              <w:rPr>
                <w:rFonts w:ascii="Times New Roman" w:hAnsi="Times New Roman" w:cs="Times New Roman"/>
              </w:rPr>
              <w:br/>
            </w:r>
            <w:r w:rsidRPr="00CB2EC4">
              <w:rPr>
                <w:rFonts w:ascii="Times New Roman" w:hAnsi="Times New Roman" w:cs="Times New Roman"/>
              </w:rPr>
              <w:br/>
              <w:t>- Starting point: Patient tests positive for HPV (HPV(+)).</w:t>
            </w:r>
            <w:r w:rsidRPr="00CB2EC4">
              <w:rPr>
                <w:rFonts w:ascii="Times New Roman" w:hAnsi="Times New Roman" w:cs="Times New Roman"/>
              </w:rPr>
              <w:br/>
              <w:t>- First-level triage:</w:t>
            </w:r>
            <w:r w:rsidRPr="00CB2EC4">
              <w:rPr>
                <w:rFonts w:ascii="Times New Roman" w:hAnsi="Times New Roman" w:cs="Times New Roman"/>
              </w:rPr>
              <w:br/>
              <w:t xml:space="preserve">  - If HPV genotyping has been performed: Proceed to the HPV genotyping result pathway.</w:t>
            </w:r>
            <w:r w:rsidRPr="00CB2EC4">
              <w:rPr>
                <w:rFonts w:ascii="Times New Roman" w:hAnsi="Times New Roman" w:cs="Times New Roman"/>
              </w:rPr>
              <w:br/>
              <w:t xml:space="preserve">    - HPV16/18 positive: Immediate referral for colposcopy.</w:t>
            </w:r>
            <w:r w:rsidRPr="00CB2EC4">
              <w:rPr>
                <w:rFonts w:ascii="Times New Roman" w:hAnsi="Times New Roman" w:cs="Times New Roman"/>
              </w:rPr>
              <w:br/>
              <w:t xml:space="preserve">    - HPV16/18 negative or positive for one of the other 12 types: Perform cervical cytology.</w:t>
            </w:r>
            <w:r w:rsidRPr="00CB2EC4">
              <w:rPr>
                <w:rFonts w:ascii="Times New Roman" w:hAnsi="Times New Roman" w:cs="Times New Roman"/>
              </w:rPr>
              <w:br/>
              <w:t xml:space="preserve">  - If genotyping has not been performed (non-genotyped HPV): Proceed directly to the cytology pathway.</w:t>
            </w:r>
            <w:r w:rsidRPr="00CB2EC4">
              <w:rPr>
                <w:rFonts w:ascii="Times New Roman" w:hAnsi="Times New Roman" w:cs="Times New Roman"/>
              </w:rPr>
              <w:br/>
              <w:t>- Cytology pathway (applies to all patients requiring cytology triage):</w:t>
            </w:r>
            <w:r w:rsidRPr="00CB2EC4">
              <w:rPr>
                <w:rFonts w:ascii="Times New Roman" w:hAnsi="Times New Roman" w:cs="Times New Roman"/>
              </w:rPr>
              <w:br/>
              <w:t xml:space="preserve">  - Cytology result ≥ ASC-US (including ASC-US, LSIL, HSIL, etc.): Refer for colposcopy.</w:t>
            </w:r>
            <w:r w:rsidRPr="00CB2EC4">
              <w:rPr>
                <w:rFonts w:ascii="Times New Roman" w:hAnsi="Times New Roman" w:cs="Times New Roman"/>
              </w:rPr>
              <w:br/>
              <w:t xml:space="preserve">  - Cytology result negative (-): Recommend co-testing (cytology + HPV) after 1 year.</w:t>
            </w:r>
            <w:r w:rsidRPr="00CB2EC4">
              <w:rPr>
                <w:rFonts w:ascii="Times New Roman" w:hAnsi="Times New Roman" w:cs="Times New Roman"/>
              </w:rPr>
              <w:br/>
              <w:t>- Special pathways:</w:t>
            </w:r>
            <w:r w:rsidRPr="00CB2EC4">
              <w:rPr>
                <w:rFonts w:ascii="Times New Roman" w:hAnsi="Times New Roman" w:cs="Times New Roman"/>
              </w:rPr>
              <w:br/>
              <w:t xml:space="preserve">  - Patients with non-genotyped HPV positive: Must </w:t>
            </w:r>
            <w:r w:rsidRPr="00CB2EC4">
              <w:rPr>
                <w:rFonts w:ascii="Times New Roman" w:hAnsi="Times New Roman" w:cs="Times New Roman"/>
              </w:rPr>
              <w:lastRenderedPageBreak/>
              <w:t>undergo cytology (skipping the genotyping step).</w:t>
            </w:r>
            <w:r w:rsidRPr="00CB2EC4">
              <w:rPr>
                <w:rFonts w:ascii="Times New Roman" w:hAnsi="Times New Roman" w:cs="Times New Roman"/>
              </w:rPr>
              <w:br/>
              <w:t xml:space="preserve">  - Patients positive for one of the other 12 types with negative cytology: Annual follow-up (colposcopy not required).</w:t>
            </w:r>
            <w:r w:rsidRPr="00CB2EC4">
              <w:rPr>
                <w:rFonts w:ascii="Times New Roman" w:hAnsi="Times New Roman" w:cs="Times New Roman"/>
              </w:rPr>
              <w:br/>
            </w:r>
            <w:r w:rsidRPr="00CB2EC4">
              <w:rPr>
                <w:rFonts w:ascii="Times New Roman" w:hAnsi="Times New Roman" w:cs="Times New Roman"/>
              </w:rPr>
              <w:br/>
              <w:t>This process is supported by multiple document fragments (e.g., a fragment with 0.668 similarity details the Figure 1 process; a fragment with 0.524 similarity mentions the management of HPV positive/cytology negative cases). The process emphasizes the importance of genotyping testing and determines referral for colposcopy or follow-up based on genotyping results and cytology.</w:t>
            </w:r>
            <w:r w:rsidRPr="00CB2EC4">
              <w:rPr>
                <w:rFonts w:ascii="Times New Roman" w:hAnsi="Times New Roman" w:cs="Times New Roman"/>
              </w:rPr>
              <w:br/>
            </w:r>
            <w:r w:rsidRPr="00CB2EC4">
              <w:rPr>
                <w:rFonts w:ascii="Times New Roman" w:hAnsi="Times New Roman" w:cs="Times New Roman"/>
              </w:rPr>
              <w:br/>
              <w:t>Key evidence:</w:t>
            </w:r>
            <w:r w:rsidRPr="00CB2EC4">
              <w:rPr>
                <w:rFonts w:ascii="Times New Roman" w:hAnsi="Times New Roman" w:cs="Times New Roman"/>
              </w:rPr>
              <w:br/>
              <w:t>- "Figure 1: High-risk HPV-positive patients should follow the process below..." (similarity 0.668).</w:t>
            </w:r>
            <w:r w:rsidRPr="00CB2EC4">
              <w:rPr>
                <w:rFonts w:ascii="Times New Roman" w:hAnsi="Times New Roman" w:cs="Times New Roman"/>
              </w:rPr>
              <w:br/>
              <w:t>- "When HPV genotyping shows HPV16 or 18 positivity, immediately refer for colposcopy..." (similarity 0.524).</w:t>
            </w:r>
          </w:p>
        </w:tc>
        <w:tc>
          <w:tcPr>
            <w:tcW w:w="1152" w:type="dxa"/>
            <w:vAlign w:val="center"/>
          </w:tcPr>
          <w:p w14:paraId="10E82A0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5A113B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7DACF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EC85CC4" w14:textId="77777777" w:rsidTr="00547D77">
        <w:tc>
          <w:tcPr>
            <w:tcW w:w="2160" w:type="dxa"/>
            <w:vAlign w:val="center"/>
          </w:tcPr>
          <w:p w14:paraId="1C5F1DA1"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80062B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examination process for patients with high-risk HPV positivity is as follows (based primarily on the description in Figure 1):</w:t>
            </w:r>
            <w:r w:rsidRPr="00CB2EC4">
              <w:rPr>
                <w:rFonts w:ascii="Times New Roman" w:hAnsi="Times New Roman" w:cs="Times New Roman"/>
              </w:rPr>
              <w:br/>
            </w:r>
            <w:r w:rsidRPr="00CB2EC4">
              <w:rPr>
                <w:rFonts w:ascii="Times New Roman" w:hAnsi="Times New Roman" w:cs="Times New Roman"/>
              </w:rPr>
              <w:br/>
              <w:t>- Starting point: The patient tests positive for high-risk HPV (HPV(+)).</w:t>
            </w:r>
            <w:r w:rsidRPr="00CB2EC4">
              <w:rPr>
                <w:rFonts w:ascii="Times New Roman" w:hAnsi="Times New Roman" w:cs="Times New Roman"/>
              </w:rPr>
              <w:br/>
              <w:t>- First-level triage:</w:t>
            </w:r>
            <w:r w:rsidRPr="00CB2EC4">
              <w:rPr>
                <w:rFonts w:ascii="Times New Roman" w:hAnsi="Times New Roman" w:cs="Times New Roman"/>
              </w:rPr>
              <w:br/>
              <w:t xml:space="preserve">  - If HPV genotyping has been performed → proceed to the HPV genotyping result pathway.</w:t>
            </w:r>
            <w:r w:rsidRPr="00CB2EC4">
              <w:rPr>
                <w:rFonts w:ascii="Times New Roman" w:hAnsi="Times New Roman" w:cs="Times New Roman"/>
              </w:rPr>
              <w:br/>
              <w:t xml:space="preserve">  - If no genotyping has been done (HPV untested) → proceed directly to the cytology examination pathway.</w:t>
            </w:r>
            <w:r w:rsidRPr="00CB2EC4">
              <w:rPr>
                <w:rFonts w:ascii="Times New Roman" w:hAnsi="Times New Roman" w:cs="Times New Roman"/>
              </w:rPr>
              <w:br/>
              <w:t>- HPV genotyping pathway:</w:t>
            </w:r>
            <w:r w:rsidRPr="00CB2EC4">
              <w:rPr>
                <w:rFonts w:ascii="Times New Roman" w:hAnsi="Times New Roman" w:cs="Times New Roman"/>
              </w:rPr>
              <w:br/>
              <w:t xml:space="preserve">  - HPV16/18 positive → refer immediately for colposcopy.</w:t>
            </w:r>
            <w:r w:rsidRPr="00CB2EC4">
              <w:rPr>
                <w:rFonts w:ascii="Times New Roman" w:hAnsi="Times New Roman" w:cs="Times New Roman"/>
              </w:rPr>
              <w:br/>
            </w:r>
            <w:r w:rsidRPr="00CB2EC4">
              <w:rPr>
                <w:rFonts w:ascii="Times New Roman" w:hAnsi="Times New Roman" w:cs="Times New Roman"/>
              </w:rPr>
              <w:lastRenderedPageBreak/>
              <w:t xml:space="preserve">  - HPV16/18 negative or positive for other 12 types → undergo cervical cytology examination.</w:t>
            </w:r>
            <w:r w:rsidRPr="00CB2EC4">
              <w:rPr>
                <w:rFonts w:ascii="Times New Roman" w:hAnsi="Times New Roman" w:cs="Times New Roman"/>
              </w:rPr>
              <w:br/>
              <w:t>- Cytology examination pathway (for all patients requiring cytology-based triage):</w:t>
            </w:r>
            <w:r w:rsidRPr="00CB2EC4">
              <w:rPr>
                <w:rFonts w:ascii="Times New Roman" w:hAnsi="Times New Roman" w:cs="Times New Roman"/>
              </w:rPr>
              <w:br/>
              <w:t xml:space="preserve">  - Cytology result ≥ ASC-US (including ASC-US, LSIL, HSIL, etc.) → refer for colposcopy.</w:t>
            </w:r>
            <w:r w:rsidRPr="00CB2EC4">
              <w:rPr>
                <w:rFonts w:ascii="Times New Roman" w:hAnsi="Times New Roman" w:cs="Times New Roman"/>
              </w:rPr>
              <w:br/>
              <w:t xml:space="preserve">  - Cytology result negative (-) → recommend repeating combined cytology + HPV testing after 1 year.</w:t>
            </w:r>
            <w:r w:rsidRPr="00CB2EC4">
              <w:rPr>
                <w:rFonts w:ascii="Times New Roman" w:hAnsi="Times New Roman" w:cs="Times New Roman"/>
              </w:rPr>
              <w:br/>
              <w:t>- Special pathway:</w:t>
            </w:r>
            <w:r w:rsidRPr="00CB2EC4">
              <w:rPr>
                <w:rFonts w:ascii="Times New Roman" w:hAnsi="Times New Roman" w:cs="Times New Roman"/>
              </w:rPr>
              <w:br/>
              <w:t xml:space="preserve">  - Patients with untyped HPV positivity → must undergo cytology examination (no genotyping, skip directly to cytology).</w:t>
            </w:r>
            <w:r w:rsidRPr="00CB2EC4">
              <w:rPr>
                <w:rFonts w:ascii="Times New Roman" w:hAnsi="Times New Roman" w:cs="Times New Roman"/>
              </w:rPr>
              <w:br/>
              <w:t xml:space="preserve">  - Patients positive for other 12 types with negative cytology → annual follow-up (no colposcopy needed).</w:t>
            </w:r>
            <w:r w:rsidRPr="00CB2EC4">
              <w:rPr>
                <w:rFonts w:ascii="Times New Roman" w:hAnsi="Times New Roman" w:cs="Times New Roman"/>
              </w:rPr>
              <w:br/>
            </w:r>
            <w:r w:rsidRPr="00CB2EC4">
              <w:rPr>
                <w:rFonts w:ascii="Times New Roman" w:hAnsi="Times New Roman" w:cs="Times New Roman"/>
              </w:rPr>
              <w:br/>
              <w:t>This process emphasizes using cytology examination as the basis for triage, especially when HPV is not genotyped. The document states that this process is based on Chinese clinical practice and recommends individualized management according to local medical conditions (e.g., "suggest referring to literature reports with sufficient clinical data validation").</w:t>
            </w:r>
          </w:p>
        </w:tc>
        <w:tc>
          <w:tcPr>
            <w:tcW w:w="1152" w:type="dxa"/>
            <w:vAlign w:val="center"/>
          </w:tcPr>
          <w:p w14:paraId="11D8977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D36BF6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59240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4F59842" w14:textId="77777777" w:rsidTr="00547D77">
        <w:tc>
          <w:tcPr>
            <w:tcW w:w="10656" w:type="dxa"/>
            <w:gridSpan w:val="5"/>
            <w:tcBorders>
              <w:bottom w:val="single" w:sz="6" w:space="0" w:color="auto"/>
            </w:tcBorders>
            <w:vAlign w:val="center"/>
          </w:tcPr>
          <w:p w14:paraId="379B897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2: When the initial screening shows positive HPV with high-risk HPV types emphasizing that HPV is not typed, what is the next step in the examination?</w:t>
            </w:r>
          </w:p>
        </w:tc>
      </w:tr>
      <w:tr w:rsidR="00916494" w:rsidRPr="00CB2EC4" w14:paraId="539A889B" w14:textId="77777777" w:rsidTr="00547D77">
        <w:tc>
          <w:tcPr>
            <w:tcW w:w="2160" w:type="dxa"/>
            <w:vAlign w:val="center"/>
          </w:tcPr>
          <w:p w14:paraId="3CDF09BF"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385C23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the initial screening shows HPV positive with high-risk HPV types, emphasizing that HPV is untyped, the next step is cervical cytology testing.</w:t>
            </w:r>
            <w:r w:rsidRPr="00CB2EC4">
              <w:rPr>
                <w:rFonts w:ascii="Times New Roman" w:hAnsi="Times New Roman" w:cs="Times New Roman"/>
              </w:rPr>
              <w:br/>
            </w:r>
            <w:r w:rsidRPr="00CB2EC4">
              <w:rPr>
                <w:rFonts w:ascii="Times New Roman" w:hAnsi="Times New Roman" w:cs="Times New Roman"/>
              </w:rPr>
              <w:br/>
              <w:t xml:space="preserve">If the initial HPV screening is positive but untyped, the next examination is to proceed directly with cervical cytology. The document explicitly states that if HPV testing is untyped, the patient should skip </w:t>
            </w:r>
            <w:r w:rsidRPr="00CB2EC4">
              <w:rPr>
                <w:rFonts w:ascii="Times New Roman" w:hAnsi="Times New Roman" w:cs="Times New Roman"/>
              </w:rPr>
              <w:lastRenderedPageBreak/>
              <w:t>genotyping and immediately enter the cytology pathway. The cytology result will determine subsequent management:</w:t>
            </w:r>
            <w:r w:rsidRPr="00CB2EC4">
              <w:rPr>
                <w:rFonts w:ascii="Times New Roman" w:hAnsi="Times New Roman" w:cs="Times New Roman"/>
              </w:rPr>
              <w:br/>
            </w:r>
            <w:r w:rsidRPr="00CB2EC4">
              <w:rPr>
                <w:rFonts w:ascii="Times New Roman" w:hAnsi="Times New Roman" w:cs="Times New Roman"/>
              </w:rPr>
              <w:br/>
              <w:t>- If cytology is ≥ASC-US, refer for colposcopy.</w:t>
            </w:r>
            <w:r w:rsidRPr="00CB2EC4">
              <w:rPr>
                <w:rFonts w:ascii="Times New Roman" w:hAnsi="Times New Roman" w:cs="Times New Roman"/>
              </w:rPr>
              <w:br/>
              <w:t>- If cytology is negative, recommend repeat co-testing (cytology + HPV) in 1 year.</w:t>
            </w:r>
            <w:r w:rsidRPr="00CB2EC4">
              <w:rPr>
                <w:rFonts w:ascii="Times New Roman" w:hAnsi="Times New Roman" w:cs="Times New Roman"/>
              </w:rPr>
              <w:br/>
            </w:r>
            <w:r w:rsidRPr="00CB2EC4">
              <w:rPr>
                <w:rFonts w:ascii="Times New Roman" w:hAnsi="Times New Roman" w:cs="Times New Roman"/>
              </w:rPr>
              <w:br/>
              <w:t>This approach is based on risk stratification: untyped HPV positivity is considered higher risk and requires cytological triage to assess the need for colposcopy.</w:t>
            </w:r>
            <w:r w:rsidRPr="00CB2EC4">
              <w:rPr>
                <w:rFonts w:ascii="Times New Roman" w:hAnsi="Times New Roman" w:cs="Times New Roman"/>
              </w:rPr>
              <w:br/>
            </w:r>
            <w:r w:rsidRPr="00CB2EC4">
              <w:rPr>
                <w:rFonts w:ascii="Times New Roman" w:hAnsi="Times New Roman" w:cs="Times New Roman"/>
              </w:rPr>
              <w:br/>
              <w:t>Key evidence:</w:t>
            </w:r>
            <w:r w:rsidRPr="00CB2EC4">
              <w:rPr>
                <w:rFonts w:ascii="Times New Roman" w:hAnsi="Times New Roman" w:cs="Times New Roman"/>
              </w:rPr>
              <w:br/>
            </w:r>
            <w:r w:rsidRPr="00CB2EC4">
              <w:rPr>
                <w:rFonts w:ascii="Times New Roman" w:hAnsi="Times New Roman" w:cs="Times New Roman"/>
              </w:rPr>
              <w:br/>
              <w:t>- "If genotyping was not performed (HPV untyped) → directly enter the cytology pathway" (similarity 0.668).</w:t>
            </w:r>
            <w:r w:rsidRPr="00CB2EC4">
              <w:rPr>
                <w:rFonts w:ascii="Times New Roman" w:hAnsi="Times New Roman" w:cs="Times New Roman"/>
              </w:rPr>
              <w:br/>
              <w:t>- "HPV not genotyped, it is suggested to combine with clinical symptoms and signs, and refer directly to colposcopy when necessary" (similarity 0.524); however, the document emphasizes that "when necessary" applies only if symptoms are present; in general, untyped HPV positivity prioritizes cytology testing.</w:t>
            </w:r>
          </w:p>
        </w:tc>
        <w:tc>
          <w:tcPr>
            <w:tcW w:w="1152" w:type="dxa"/>
            <w:vAlign w:val="center"/>
          </w:tcPr>
          <w:p w14:paraId="4D77E1E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B21A69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01DD7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820CBF4" w14:textId="77777777" w:rsidTr="00547D77">
        <w:tc>
          <w:tcPr>
            <w:tcW w:w="2160" w:type="dxa"/>
            <w:vAlign w:val="center"/>
          </w:tcPr>
          <w:p w14:paraId="6A7782B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5DF841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initial screening shows HPV positive with high-risk HPV types, emphasizing that HPV is untyped, the next step is cervical cytology examination.</w:t>
            </w:r>
            <w:r w:rsidRPr="00CB2EC4">
              <w:rPr>
                <w:rFonts w:ascii="Times New Roman" w:hAnsi="Times New Roman" w:cs="Times New Roman"/>
              </w:rPr>
              <w:br/>
            </w:r>
            <w:r w:rsidRPr="00CB2EC4">
              <w:rPr>
                <w:rFonts w:ascii="Times New Roman" w:hAnsi="Times New Roman" w:cs="Times New Roman"/>
              </w:rPr>
              <w:br/>
              <w:t>Based on the document content, when HPV is positive but untyped, the next step is cervical cytology examination. The document explicitly states:</w:t>
            </w:r>
            <w:r w:rsidRPr="00CB2EC4">
              <w:rPr>
                <w:rFonts w:ascii="Times New Roman" w:hAnsi="Times New Roman" w:cs="Times New Roman"/>
              </w:rPr>
              <w:br/>
              <w:t>- "When HPV is untyped, triage is based on cytology" (e.g., in the section "Using high-risk HPV as primary screening").</w:t>
            </w:r>
            <w:r w:rsidRPr="00CB2EC4">
              <w:rPr>
                <w:rFonts w:ascii="Times New Roman" w:hAnsi="Times New Roman" w:cs="Times New Roman"/>
              </w:rPr>
              <w:br/>
            </w:r>
            <w:r w:rsidRPr="00CB2EC4">
              <w:rPr>
                <w:rFonts w:ascii="Times New Roman" w:hAnsi="Times New Roman" w:cs="Times New Roman"/>
              </w:rPr>
              <w:lastRenderedPageBreak/>
              <w:t>- In special pathways, it repeats: "Untyped HPV positive patient → must undergo cytology examination (skip directly without typing)".</w:t>
            </w:r>
            <w:r w:rsidRPr="00CB2EC4">
              <w:rPr>
                <w:rFonts w:ascii="Times New Roman" w:hAnsi="Times New Roman" w:cs="Times New Roman"/>
              </w:rPr>
              <w:br/>
              <w:t>- Rationale: Untyped HPV cannot directly distinguish high-risk types (e.g., HPV16/18), so cytology is needed to further assess risk. If cytology is abnormal (≥ASC-US), refer to colposcopy; if cytology is negative, recommend annual follow-up.</w:t>
            </w:r>
          </w:p>
        </w:tc>
        <w:tc>
          <w:tcPr>
            <w:tcW w:w="1152" w:type="dxa"/>
            <w:vAlign w:val="center"/>
          </w:tcPr>
          <w:p w14:paraId="6ADB7B1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0DEA3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DDFC3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D29C3E7" w14:textId="77777777" w:rsidTr="00547D77">
        <w:tc>
          <w:tcPr>
            <w:tcW w:w="10656" w:type="dxa"/>
            <w:gridSpan w:val="5"/>
            <w:tcBorders>
              <w:bottom w:val="single" w:sz="6" w:space="0" w:color="auto"/>
            </w:tcBorders>
            <w:vAlign w:val="center"/>
          </w:tcPr>
          <w:p w14:paraId="3D3D210D"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3: When the initial screening shows positive HPV with high-risk HPV types and the cytological examination result is negative, what does it indicate? Should regular check-ups follow and if so, what should be the frequency?</w:t>
            </w:r>
          </w:p>
        </w:tc>
      </w:tr>
      <w:tr w:rsidR="00916494" w:rsidRPr="00CB2EC4" w14:paraId="52F73A65" w14:textId="77777777" w:rsidTr="00547D77">
        <w:tc>
          <w:tcPr>
            <w:tcW w:w="2160" w:type="dxa"/>
            <w:vAlign w:val="center"/>
          </w:tcPr>
          <w:p w14:paraId="764D64B5"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21D744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initial screening shows HPV positive with high-risk HPV types and cytology result is negative, this indicates: HPV infection is present but cytology shows no abnormal cells, placing the patient in a low-risk but not risk-free state. It typically represents a transient HPV infection with a low risk of cervical intraepithelial neoplasia grade 3 or worse (CIN3+) (5-year cumulative risk below threshold), but monitoring is required to prevent progression.</w:t>
            </w:r>
            <w:r w:rsidRPr="00CB2EC4">
              <w:rPr>
                <w:rFonts w:ascii="Times New Roman" w:hAnsi="Times New Roman" w:cs="Times New Roman"/>
              </w:rPr>
              <w:br/>
            </w:r>
            <w:r w:rsidRPr="00CB2EC4">
              <w:rPr>
                <w:rFonts w:ascii="Times New Roman" w:hAnsi="Times New Roman" w:cs="Times New Roman"/>
              </w:rPr>
              <w:br/>
              <w:t xml:space="preserve">- Should regular follow-up be performed: Yes, regular follow-up is necessary.  </w:t>
            </w:r>
            <w:r w:rsidRPr="00CB2EC4">
              <w:rPr>
                <w:rFonts w:ascii="Times New Roman" w:hAnsi="Times New Roman" w:cs="Times New Roman"/>
              </w:rPr>
              <w:br/>
              <w:t xml:space="preserve">- Follow-up frequency: Repeat co-testing (cytology + HPV) after 1 year. If the follow-up result is normal, return to routine screening; if abnormal, refer for colposcopy.  </w:t>
            </w:r>
            <w:r w:rsidRPr="00CB2EC4">
              <w:rPr>
                <w:rFonts w:ascii="Times New Roman" w:hAnsi="Times New Roman" w:cs="Times New Roman"/>
              </w:rPr>
              <w:br/>
            </w:r>
            <w:r w:rsidRPr="00CB2EC4">
              <w:rPr>
                <w:rFonts w:ascii="Times New Roman" w:hAnsi="Times New Roman" w:cs="Times New Roman"/>
              </w:rPr>
              <w:br/>
              <w:t xml:space="preserve">The document emphasizes: For HPV-positive/cytology-negative patients, if HPV genotyping identifies other 12 types (non-16/18), the risk is lower, and annual follow-up suffices; if genotyping is not performed or symptoms are suspicious, maintain the same follow-up frequency.  </w:t>
            </w:r>
            <w:r w:rsidRPr="00CB2EC4">
              <w:rPr>
                <w:rFonts w:ascii="Times New Roman" w:hAnsi="Times New Roman" w:cs="Times New Roman"/>
              </w:rPr>
              <w:br/>
            </w:r>
            <w:r w:rsidRPr="00CB2EC4">
              <w:rPr>
                <w:rFonts w:ascii="Times New Roman" w:hAnsi="Times New Roman" w:cs="Times New Roman"/>
              </w:rPr>
              <w:lastRenderedPageBreak/>
              <w:br/>
              <w:t xml:space="preserve">Key evidence:  </w:t>
            </w:r>
            <w:r w:rsidRPr="00CB2EC4">
              <w:rPr>
                <w:rFonts w:ascii="Times New Roman" w:hAnsi="Times New Roman" w:cs="Times New Roman"/>
              </w:rPr>
              <w:br/>
              <w:t xml:space="preserve">- "Cytology result negative (-) → recommend repeating cytology + HPV co-testing after 1 year" (similarity 0.668).  </w:t>
            </w:r>
            <w:r w:rsidRPr="00CB2EC4">
              <w:rPr>
                <w:rFonts w:ascii="Times New Roman" w:hAnsi="Times New Roman" w:cs="Times New Roman"/>
              </w:rPr>
              <w:br/>
              <w:t xml:space="preserve">- "Cytology (-) &amp; HPV (+) → annual follow-up should be conducted (repeat co-testing after 1 year)" (similarity 0.507).  </w:t>
            </w:r>
            <w:r w:rsidRPr="00CB2EC4">
              <w:rPr>
                <w:rFonts w:ascii="Times New Roman" w:hAnsi="Times New Roman" w:cs="Times New Roman"/>
              </w:rPr>
              <w:br/>
              <w:t>- "HPV positive / cytology negative... recommend 1-year follow-up" (similarity 0.524).</w:t>
            </w:r>
          </w:p>
        </w:tc>
        <w:tc>
          <w:tcPr>
            <w:tcW w:w="1152" w:type="dxa"/>
            <w:vAlign w:val="center"/>
          </w:tcPr>
          <w:p w14:paraId="0F01CF3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7800A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BE921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3833A3C" w14:textId="77777777" w:rsidTr="00547D77">
        <w:tc>
          <w:tcPr>
            <w:tcW w:w="2160" w:type="dxa"/>
            <w:vAlign w:val="center"/>
          </w:tcPr>
          <w:p w14:paraId="71881DD0"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DECAEB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when the initial screening shows HPV positive with high-risk HPV types and a negative cytology result, this indicates:  </w:t>
            </w:r>
            <w:r w:rsidRPr="00CB2EC4">
              <w:rPr>
                <w:rFonts w:ascii="Times New Roman" w:hAnsi="Times New Roman" w:cs="Times New Roman"/>
              </w:rPr>
              <w:br/>
              <w:t xml:space="preserve">- The patient is at a lower risk but not risk-free. A positive HPV test with negative cytology (e.g., "other 12 types positive and cytology negative") is associated with a low 5-year cumulative risk of CINⅢ+ (specific numerical values not provided in the excerpt, but described as low risk), typically not requiring immediate intervention but necessitating monitoring to prevent progression.  </w:t>
            </w:r>
            <w:r w:rsidRPr="00CB2EC4">
              <w:rPr>
                <w:rFonts w:ascii="Times New Roman" w:hAnsi="Times New Roman" w:cs="Times New Roman"/>
              </w:rPr>
              <w:br/>
            </w:r>
            <w:r w:rsidRPr="00CB2EC4">
              <w:rPr>
                <w:rFonts w:ascii="Times New Roman" w:hAnsi="Times New Roman" w:cs="Times New Roman"/>
              </w:rPr>
              <w:br/>
              <w:t xml:space="preserve">Should regular follow-up be performed?  </w:t>
            </w:r>
            <w:r w:rsidRPr="00CB2EC4">
              <w:rPr>
                <w:rFonts w:ascii="Times New Roman" w:hAnsi="Times New Roman" w:cs="Times New Roman"/>
              </w:rPr>
              <w:br/>
              <w:t xml:space="preserve">- Yes.  </w:t>
            </w:r>
            <w:r w:rsidRPr="00CB2EC4">
              <w:rPr>
                <w:rFonts w:ascii="Times New Roman" w:hAnsi="Times New Roman" w:cs="Times New Roman"/>
              </w:rPr>
              <w:br/>
            </w:r>
            <w:r w:rsidRPr="00CB2EC4">
              <w:rPr>
                <w:rFonts w:ascii="Times New Roman" w:hAnsi="Times New Roman" w:cs="Times New Roman"/>
              </w:rPr>
              <w:br/>
              <w:t xml:space="preserve">Follow-up frequency:  </w:t>
            </w:r>
            <w:r w:rsidRPr="00CB2EC4">
              <w:rPr>
                <w:rFonts w:ascii="Times New Roman" w:hAnsi="Times New Roman" w:cs="Times New Roman"/>
              </w:rPr>
              <w:br/>
              <w:t xml:space="preserve">- Repeat cytology and HPV co-testing after 1 year (i.e., annual follow-up). The document states multiple times:  </w:t>
            </w:r>
            <w:r w:rsidRPr="00CB2EC4">
              <w:rPr>
                <w:rFonts w:ascii="Times New Roman" w:hAnsi="Times New Roman" w:cs="Times New Roman"/>
              </w:rPr>
              <w:br/>
              <w:t xml:space="preserve">  - "Cytology result negative (-) → recommend repeating cytology + HPV co-testing after 1 year."  </w:t>
            </w:r>
            <w:r w:rsidRPr="00CB2EC4">
              <w:rPr>
                <w:rFonts w:ascii="Times New Roman" w:hAnsi="Times New Roman" w:cs="Times New Roman"/>
              </w:rPr>
              <w:br/>
              <w:t xml:space="preserve">  - In the co-testing workflow: "Cytology (-) &amp; HPV (+) → perform 1-year follow-up (repeat co-testing after 1 year)."  </w:t>
            </w:r>
            <w:r w:rsidRPr="00CB2EC4">
              <w:rPr>
                <w:rFonts w:ascii="Times New Roman" w:hAnsi="Times New Roman" w:cs="Times New Roman"/>
              </w:rPr>
              <w:br/>
            </w:r>
            <w:r w:rsidRPr="00CB2EC4">
              <w:rPr>
                <w:rFonts w:ascii="Times New Roman" w:hAnsi="Times New Roman" w:cs="Times New Roman"/>
              </w:rPr>
              <w:lastRenderedPageBreak/>
              <w:t xml:space="preserve">  - Special pathway: "Other 12 types positive and cytology negative → annual follow-up (no need for colposcopy)."  </w:t>
            </w:r>
            <w:r w:rsidRPr="00CB2EC4">
              <w:rPr>
                <w:rFonts w:ascii="Times New Roman" w:hAnsi="Times New Roman" w:cs="Times New Roman"/>
              </w:rPr>
              <w:br/>
              <w:t>The purpose of follow-up is to monitor HPV clearance or lesion progression; if consecutive follow-ups remain negative, screening can revert to routine intervals.</w:t>
            </w:r>
          </w:p>
        </w:tc>
        <w:tc>
          <w:tcPr>
            <w:tcW w:w="1152" w:type="dxa"/>
            <w:vAlign w:val="center"/>
          </w:tcPr>
          <w:p w14:paraId="4BF6BF8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41D6D5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F956C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3DFA8B1" w14:textId="77777777" w:rsidTr="00547D77">
        <w:tc>
          <w:tcPr>
            <w:tcW w:w="10656" w:type="dxa"/>
            <w:gridSpan w:val="5"/>
            <w:tcBorders>
              <w:bottom w:val="single" w:sz="6" w:space="0" w:color="auto"/>
            </w:tcBorders>
            <w:vAlign w:val="center"/>
          </w:tcPr>
          <w:p w14:paraId="5C5DC1C6"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4: When the initial screening shows positive HPV with high-risk HPV types and the cytological examination result is ≥ASC-US, is the next step to perform a colposcopy?</w:t>
            </w:r>
          </w:p>
        </w:tc>
      </w:tr>
      <w:tr w:rsidR="00916494" w:rsidRPr="00CB2EC4" w14:paraId="58AA49AF" w14:textId="77777777" w:rsidTr="00547D77">
        <w:tc>
          <w:tcPr>
            <w:tcW w:w="2160" w:type="dxa"/>
            <w:vAlign w:val="center"/>
          </w:tcPr>
          <w:p w14:paraId="06574706"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D4C77E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 the next step should be immediate referral for colposcopy. The document clearly states that regardless of HPV genotyping results, a cytology result ≥ ASC-US (including ASC-US, LSIL, HSIL, etc.) requires direct referral to colposcopy to evaluate for high-grade lesions or cancer risk.</w:t>
            </w:r>
            <w:r w:rsidRPr="00CB2EC4">
              <w:rPr>
                <w:rFonts w:ascii="Times New Roman" w:hAnsi="Times New Roman" w:cs="Times New Roman"/>
              </w:rPr>
              <w:br/>
            </w:r>
            <w:r w:rsidRPr="00CB2EC4">
              <w:rPr>
                <w:rFonts w:ascii="Times New Roman" w:hAnsi="Times New Roman" w:cs="Times New Roman"/>
              </w:rPr>
              <w:br/>
              <w:t>This management is based on high-risk evidence: when HPV positivity is combined with cytology ≥ ASC-US, the 5-year cumulative risk of CIN3+ is elevated (document cites approximately 6.8%), supporting direct colposcopy.</w:t>
            </w:r>
            <w:r w:rsidRPr="00CB2EC4">
              <w:rPr>
                <w:rFonts w:ascii="Times New Roman" w:hAnsi="Times New Roman" w:cs="Times New Roman"/>
              </w:rPr>
              <w:br/>
            </w:r>
            <w:r w:rsidRPr="00CB2EC4">
              <w:rPr>
                <w:rFonts w:ascii="Times New Roman" w:hAnsi="Times New Roman" w:cs="Times New Roman"/>
              </w:rPr>
              <w:br/>
              <w:t>Key evidence:</w:t>
            </w:r>
            <w:r w:rsidRPr="00CB2EC4">
              <w:rPr>
                <w:rFonts w:ascii="Times New Roman" w:hAnsi="Times New Roman" w:cs="Times New Roman"/>
              </w:rPr>
              <w:br/>
              <w:t>- "Cytology result ≥ ASC-US (including ASC-US, LSIL, HSIL, etc. abnormalities) → refer for colposcopy" (similarity 0.668).</w:t>
            </w:r>
            <w:r w:rsidRPr="00CB2EC4">
              <w:rPr>
                <w:rFonts w:ascii="Times New Roman" w:hAnsi="Times New Roman" w:cs="Times New Roman"/>
              </w:rPr>
              <w:br/>
              <w:t>- "HPV positive / ASC-US... based on equal risk equal management, supports direct referral to colposcopy" (similarity 0.524).</w:t>
            </w:r>
          </w:p>
        </w:tc>
        <w:tc>
          <w:tcPr>
            <w:tcW w:w="1152" w:type="dxa"/>
            <w:vAlign w:val="center"/>
          </w:tcPr>
          <w:p w14:paraId="59A1117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27EAA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D62F6F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AD06652" w14:textId="77777777" w:rsidTr="00547D77">
        <w:tc>
          <w:tcPr>
            <w:tcW w:w="2160" w:type="dxa"/>
            <w:vAlign w:val="center"/>
          </w:tcPr>
          <w:p w14:paraId="17D9AF7E"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52E445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 colposcopy should be performed. The documentation explicitly supports this management:</w:t>
            </w:r>
            <w:r w:rsidRPr="00CB2EC4">
              <w:rPr>
                <w:rFonts w:ascii="Times New Roman" w:hAnsi="Times New Roman" w:cs="Times New Roman"/>
              </w:rPr>
              <w:br/>
              <w:t xml:space="preserve">- In the cytology pathway: “Cytology result ≥ ASC-US (including ASC-US, LSIL, HSIL, etc.) → refer for </w:t>
            </w:r>
            <w:r w:rsidRPr="00CB2EC4">
              <w:rPr>
                <w:rFonts w:ascii="Times New Roman" w:hAnsi="Times New Roman" w:cs="Times New Roman"/>
              </w:rPr>
              <w:lastRenderedPageBreak/>
              <w:t>colposcopy.”</w:t>
            </w:r>
            <w:r w:rsidRPr="00CB2EC4">
              <w:rPr>
                <w:rFonts w:ascii="Times New Roman" w:hAnsi="Times New Roman" w:cs="Times New Roman"/>
              </w:rPr>
              <w:br/>
              <w:t>- In the co-testing algorithm: “Cytology ≥ ASC-US &amp; HPV (+) warrants further triage,” and specifies that if HPV is untyped or typed positive for non-HPV16/18 types but cytology is ≥ ASC-US, referral for colposcopy is required (e.g., “If HPV untyped test is positive: refer directly for colposcopy”).</w:t>
            </w:r>
            <w:r w:rsidRPr="00CB2EC4">
              <w:rPr>
                <w:rFonts w:ascii="Times New Roman" w:hAnsi="Times New Roman" w:cs="Times New Roman"/>
              </w:rPr>
              <w:br/>
              <w:t>- The documentation also notes that the prevalence of high-risk HPV infection in ASC-US patients is 31%~60%, and the 5-year cumulative risk of CINⅢ+ is 6.8%, higher than that for LSIL, supporting direct referral to colposcopy to exclude high-grade lesions.</w:t>
            </w:r>
          </w:p>
        </w:tc>
        <w:tc>
          <w:tcPr>
            <w:tcW w:w="1152" w:type="dxa"/>
            <w:vAlign w:val="center"/>
          </w:tcPr>
          <w:p w14:paraId="2B00E06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AE841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0F80E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2AE706A" w14:textId="77777777" w:rsidTr="00547D77">
        <w:tc>
          <w:tcPr>
            <w:tcW w:w="10656" w:type="dxa"/>
            <w:gridSpan w:val="5"/>
            <w:tcBorders>
              <w:bottom w:val="single" w:sz="6" w:space="0" w:color="auto"/>
            </w:tcBorders>
            <w:vAlign w:val="center"/>
          </w:tcPr>
          <w:p w14:paraId="07F23A2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5: When the initial screening shows positive HPV with high-risk HPV types and upon typing it turns out to be HPV16/18 positive, is the next step to perform a colposcopy?</w:t>
            </w:r>
          </w:p>
        </w:tc>
      </w:tr>
      <w:tr w:rsidR="00916494" w:rsidRPr="00CB2EC4" w14:paraId="4B3AC737" w14:textId="77777777" w:rsidTr="00547D77">
        <w:tc>
          <w:tcPr>
            <w:tcW w:w="2160" w:type="dxa"/>
            <w:vAlign w:val="center"/>
          </w:tcPr>
          <w:p w14:paraId="291B88D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05CB2F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 the next step should be immediate referral for colposcopy. The document emphasizes that HPV16/18 positivity is considered the highest-risk genotype, warranting direct referral to colposcopy regardless of cytology results (even if cytology is negative), to rule out high-grade lesions or early cancer.</w:t>
            </w:r>
            <w:r w:rsidRPr="00CB2EC4">
              <w:rPr>
                <w:rFonts w:ascii="Times New Roman" w:hAnsi="Times New Roman" w:cs="Times New Roman"/>
              </w:rPr>
              <w:br/>
            </w:r>
            <w:r w:rsidRPr="00CB2EC4">
              <w:rPr>
                <w:rFonts w:ascii="Times New Roman" w:hAnsi="Times New Roman" w:cs="Times New Roman"/>
              </w:rPr>
              <w:br/>
              <w:t>This management is based on the high oncogenicity of HPV16/18: the document states these genotypes are associated with rapid progression to CINⅢ+, thus colposcopic evaluation is performed directly without reliance on cytology.</w:t>
            </w:r>
            <w:r w:rsidRPr="00CB2EC4">
              <w:rPr>
                <w:rFonts w:ascii="Times New Roman" w:hAnsi="Times New Roman" w:cs="Times New Roman"/>
              </w:rPr>
              <w:br/>
            </w:r>
            <w:r w:rsidRPr="00CB2EC4">
              <w:rPr>
                <w:rFonts w:ascii="Times New Roman" w:hAnsi="Times New Roman" w:cs="Times New Roman"/>
              </w:rPr>
              <w:br/>
              <w:t>Key evidence:</w:t>
            </w:r>
            <w:r w:rsidRPr="00CB2EC4">
              <w:rPr>
                <w:rFonts w:ascii="Times New Roman" w:hAnsi="Times New Roman" w:cs="Times New Roman"/>
              </w:rPr>
              <w:br/>
            </w:r>
            <w:r w:rsidRPr="00CB2EC4">
              <w:rPr>
                <w:rFonts w:ascii="Times New Roman" w:hAnsi="Times New Roman" w:cs="Times New Roman"/>
              </w:rPr>
              <w:br/>
              <w:t>- "HPV16/18 positive → immediate referral for colposcopy" (similarity 0.668).</w:t>
            </w:r>
            <w:r w:rsidRPr="00CB2EC4">
              <w:rPr>
                <w:rFonts w:ascii="Times New Roman" w:hAnsi="Times New Roman" w:cs="Times New Roman"/>
              </w:rPr>
              <w:br/>
              <w:t xml:space="preserve">- "HPV genotyping positive for HPV16/18, immediate </w:t>
            </w:r>
            <w:r w:rsidRPr="00CB2EC4">
              <w:rPr>
                <w:rFonts w:ascii="Times New Roman" w:hAnsi="Times New Roman" w:cs="Times New Roman"/>
              </w:rPr>
              <w:lastRenderedPageBreak/>
              <w:t>referral for colposcopy" (similarity 0.524).</w:t>
            </w:r>
            <w:r w:rsidRPr="00CB2EC4">
              <w:rPr>
                <w:rFonts w:ascii="Times New Roman" w:hAnsi="Times New Roman" w:cs="Times New Roman"/>
              </w:rPr>
              <w:br/>
              <w:t>- "Cytology ≥ ASC-US &amp; HPV positive... if HPV genotyping is positive: HPV16/18 positive → immediate referral for colposcopy" (similarity 0.507), but the document explicitly states that colposcopy is required for HPV16/18 positivity even with negative cytology.</w:t>
            </w:r>
          </w:p>
        </w:tc>
        <w:tc>
          <w:tcPr>
            <w:tcW w:w="1152" w:type="dxa"/>
            <w:vAlign w:val="center"/>
          </w:tcPr>
          <w:p w14:paraId="1F49621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44584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FB92C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EAF94C9" w14:textId="77777777" w:rsidTr="00547D77">
        <w:tc>
          <w:tcPr>
            <w:tcW w:w="2160" w:type="dxa"/>
            <w:vAlign w:val="center"/>
          </w:tcPr>
          <w:p w14:paraId="28F96A8A"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378F6A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 immediate colposcopy should be performed. The document emphasizes in multiple sections:</w:t>
            </w:r>
            <w:r w:rsidRPr="00CB2EC4">
              <w:rPr>
                <w:rFonts w:ascii="Times New Roman" w:hAnsi="Times New Roman" w:cs="Times New Roman"/>
              </w:rPr>
              <w:br/>
              <w:t>- In the HPV genotyping pathway: “HPV16/18 positive → immediately refer for colposcopy”.</w:t>
            </w:r>
            <w:r w:rsidRPr="00CB2EC4">
              <w:rPr>
                <w:rFonts w:ascii="Times New Roman" w:hAnsi="Times New Roman" w:cs="Times New Roman"/>
              </w:rPr>
              <w:br/>
              <w:t>- In the management flow, repeated: “HPV16/18 positive → immediately refer for colposcopy”.</w:t>
            </w:r>
            <w:r w:rsidRPr="00CB2EC4">
              <w:rPr>
                <w:rFonts w:ascii="Times New Roman" w:hAnsi="Times New Roman" w:cs="Times New Roman"/>
              </w:rPr>
              <w:br/>
              <w:t>- Rationale: HPV16/18 are high-risk genotypes significantly associated with high-grade cervical lesions (such as CINⅢ) and invasive cancer risk (the document states “probability of being diagnosed with ≥CINⅢ is 70%~75%”), thus requiring urgent evaluation for early intervention.</w:t>
            </w:r>
          </w:p>
        </w:tc>
        <w:tc>
          <w:tcPr>
            <w:tcW w:w="1152" w:type="dxa"/>
            <w:vAlign w:val="center"/>
          </w:tcPr>
          <w:p w14:paraId="529AC87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0A7E9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A7212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A32A9B6" w14:textId="77777777" w:rsidTr="00547D77">
        <w:tc>
          <w:tcPr>
            <w:tcW w:w="10656" w:type="dxa"/>
            <w:gridSpan w:val="5"/>
            <w:tcBorders>
              <w:bottom w:val="single" w:sz="6" w:space="0" w:color="auto"/>
            </w:tcBorders>
            <w:vAlign w:val="center"/>
          </w:tcPr>
          <w:p w14:paraId="00EB9EA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6: When the initial screening shows positive HPV with high-risk HPV types and upon typing it shows neither HPV16/18 positive but one of the other twelve types, what is the most likely subsequent examination?</w:t>
            </w:r>
          </w:p>
        </w:tc>
      </w:tr>
      <w:tr w:rsidR="00916494" w:rsidRPr="00CB2EC4" w14:paraId="23020EFA" w14:textId="77777777" w:rsidTr="00547D77">
        <w:tc>
          <w:tcPr>
            <w:tcW w:w="2160" w:type="dxa"/>
            <w:vAlign w:val="center"/>
          </w:tcPr>
          <w:p w14:paraId="34A58FA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E8595A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initial screening shows HPV-positive with high-risk HPV types, and genotyping reveals neither HPV16/18 positivity but belongs to one of the other twelve types, the most likely follow-up test is cervical cytology examination.</w:t>
            </w:r>
            <w:r w:rsidRPr="00CB2EC4">
              <w:rPr>
                <w:rFonts w:ascii="Times New Roman" w:hAnsi="Times New Roman" w:cs="Times New Roman"/>
              </w:rPr>
              <w:br/>
            </w:r>
            <w:r w:rsidRPr="00CB2EC4">
              <w:rPr>
                <w:rFonts w:ascii="Times New Roman" w:hAnsi="Times New Roman" w:cs="Times New Roman"/>
              </w:rPr>
              <w:br/>
              <w:t>According to the document content:</w:t>
            </w:r>
            <w:r w:rsidRPr="00CB2EC4">
              <w:rPr>
                <w:rFonts w:ascii="Times New Roman" w:hAnsi="Times New Roman" w:cs="Times New Roman"/>
              </w:rPr>
              <w:br/>
              <w:t>- HPV genotyping pathway: HPV16/18 negative or other 12 types positive → proceed with cervical cytology examination</w:t>
            </w:r>
            <w:r w:rsidRPr="00CB2EC4">
              <w:rPr>
                <w:rFonts w:ascii="Times New Roman" w:hAnsi="Times New Roman" w:cs="Times New Roman"/>
              </w:rPr>
              <w:br/>
              <w:t xml:space="preserve">- HPV16/18 negative but other 12 high-risk HPV types positive → proceed with cervical cytology </w:t>
            </w:r>
            <w:r w:rsidRPr="00CB2EC4">
              <w:rPr>
                <w:rFonts w:ascii="Times New Roman" w:hAnsi="Times New Roman" w:cs="Times New Roman"/>
              </w:rPr>
              <w:lastRenderedPageBreak/>
              <w:t>examination</w:t>
            </w:r>
            <w:r w:rsidRPr="00CB2EC4">
              <w:rPr>
                <w:rFonts w:ascii="Times New Roman" w:hAnsi="Times New Roman" w:cs="Times New Roman"/>
              </w:rPr>
              <w:br/>
            </w:r>
            <w:r w:rsidRPr="00CB2EC4">
              <w:rPr>
                <w:rFonts w:ascii="Times New Roman" w:hAnsi="Times New Roman" w:cs="Times New Roman"/>
              </w:rPr>
              <w:br/>
              <w:t>Therefore, the follow-up test is cervical cytology examination.</w:t>
            </w:r>
          </w:p>
        </w:tc>
        <w:tc>
          <w:tcPr>
            <w:tcW w:w="1152" w:type="dxa"/>
            <w:vAlign w:val="center"/>
          </w:tcPr>
          <w:p w14:paraId="75CAC4D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EED52A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188AA8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D3F5985" w14:textId="77777777" w:rsidTr="00547D77">
        <w:tc>
          <w:tcPr>
            <w:tcW w:w="2160" w:type="dxa"/>
            <w:vAlign w:val="center"/>
          </w:tcPr>
          <w:p w14:paraId="210546E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27D69E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initial screening shows HPV positivity with high-risk HPV types, and genotyping reveals positivity for one of the other twelve types (not HPV16/18), what is the most likely follow-up test?</w:t>
            </w:r>
            <w:r w:rsidRPr="00CB2EC4">
              <w:rPr>
                <w:rFonts w:ascii="Times New Roman" w:hAnsi="Times New Roman" w:cs="Times New Roman"/>
              </w:rPr>
              <w:br/>
            </w:r>
            <w:r w:rsidRPr="00CB2EC4">
              <w:rPr>
                <w:rFonts w:ascii="Times New Roman" w:hAnsi="Times New Roman" w:cs="Times New Roman"/>
              </w:rPr>
              <w:br/>
              <w:t xml:space="preserve">Response: According to the document content, when HPV genotyping shows positivity for one of the other 12 high-risk HPV types (not HPV16/18) and cytology results are negative, the most likely follow-up test is repeat co-testing (cytology and HPV) after 1 year (annual follow-up), without immediate colposcopy.  </w:t>
            </w:r>
            <w:r w:rsidRPr="00CB2EC4">
              <w:rPr>
                <w:rFonts w:ascii="Times New Roman" w:hAnsi="Times New Roman" w:cs="Times New Roman"/>
              </w:rPr>
              <w:br/>
              <w:t xml:space="preserve">  - Supporting evidence:  </w:t>
            </w:r>
            <w:r w:rsidRPr="00CB2EC4">
              <w:rPr>
                <w:rFonts w:ascii="Times New Roman" w:hAnsi="Times New Roman" w:cs="Times New Roman"/>
              </w:rPr>
              <w:br/>
              <w:t xml:space="preserve">    - In [similarity: 0.696] fragment: "Positivity for other 12 types with negative cytology → annual follow-up (no colposcopy needed)".  </w:t>
            </w:r>
            <w:r w:rsidRPr="00CB2EC4">
              <w:rPr>
                <w:rFonts w:ascii="Times New Roman" w:hAnsi="Times New Roman" w:cs="Times New Roman"/>
              </w:rPr>
              <w:br/>
              <w:t xml:space="preserve">    - In [similarity: 0.634] fragment: "During HPV genotyping...other 12 types(+)...cytology(-)...follow-up after 1 year".  </w:t>
            </w:r>
            <w:r w:rsidRPr="00CB2EC4">
              <w:rPr>
                <w:rFonts w:ascii="Times New Roman" w:hAnsi="Times New Roman" w:cs="Times New Roman"/>
              </w:rPr>
              <w:br/>
              <w:t xml:space="preserve">    - In [similarity: 0.597] fragment: "If cytology(-) &amp; HPV(+), then follow-up after 1 year (repeat co-testing after 1 year)".  </w:t>
            </w:r>
            <w:r w:rsidRPr="00CB2EC4">
              <w:rPr>
                <w:rFonts w:ascii="Times New Roman" w:hAnsi="Times New Roman" w:cs="Times New Roman"/>
              </w:rPr>
              <w:br/>
              <w:t xml:space="preserve">  - Explanation: The document clearly states that for patients with positivity for non-HPV16/18 high-risk HPV types (other 12 types) and negative cytology, the management approach is annual follow-up (i.e., repeat co-testing after 1 year) rather than immediate referral for colposcopy. This is based on risk stratification, as such cases carry lower risk.</w:t>
            </w:r>
          </w:p>
        </w:tc>
        <w:tc>
          <w:tcPr>
            <w:tcW w:w="1152" w:type="dxa"/>
            <w:vAlign w:val="center"/>
          </w:tcPr>
          <w:p w14:paraId="00548AE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626EE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46693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268C3E2" w14:textId="77777777" w:rsidTr="00547D77">
        <w:tc>
          <w:tcPr>
            <w:tcW w:w="10656" w:type="dxa"/>
            <w:gridSpan w:val="5"/>
            <w:tcBorders>
              <w:bottom w:val="single" w:sz="6" w:space="0" w:color="auto"/>
            </w:tcBorders>
            <w:vAlign w:val="center"/>
          </w:tcPr>
          <w:p w14:paraId="725A046D"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 xml:space="preserve">Question 7: When cytological examination indicates ASC-US as an abnormal initial screening result, what is the next step in the </w:t>
            </w:r>
            <w:r w:rsidRPr="00CB2EC4">
              <w:rPr>
                <w:rFonts w:ascii="Times New Roman" w:hAnsi="Times New Roman" w:cs="Times New Roman"/>
                <w:b/>
              </w:rPr>
              <w:lastRenderedPageBreak/>
              <w:t>examination?</w:t>
            </w:r>
          </w:p>
        </w:tc>
      </w:tr>
      <w:tr w:rsidR="00916494" w:rsidRPr="00CB2EC4" w14:paraId="76027285" w14:textId="77777777" w:rsidTr="00547D77">
        <w:tc>
          <w:tcPr>
            <w:tcW w:w="2160" w:type="dxa"/>
            <w:vAlign w:val="center"/>
          </w:tcPr>
          <w:p w14:paraId="082F795D"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size=512, Overlap=0 Using TokenTextSplitter</w:t>
            </w:r>
          </w:p>
        </w:tc>
        <w:tc>
          <w:tcPr>
            <w:tcW w:w="5040" w:type="dxa"/>
            <w:vAlign w:val="center"/>
          </w:tcPr>
          <w:p w14:paraId="204FAA7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cytology results show ASC-US as the initial abnormal screening finding, the next step is to perform HPV testing for triage.</w:t>
            </w:r>
            <w:r w:rsidRPr="00CB2EC4">
              <w:rPr>
                <w:rFonts w:ascii="Times New Roman" w:hAnsi="Times New Roman" w:cs="Times New Roman"/>
              </w:rPr>
              <w:br/>
            </w:r>
            <w:r w:rsidRPr="00CB2EC4">
              <w:rPr>
                <w:rFonts w:ascii="Times New Roman" w:hAnsi="Times New Roman" w:cs="Times New Roman"/>
              </w:rPr>
              <w:br/>
              <w:t>→ Patients with ASC-US: HPV testing should be performed first.</w:t>
            </w:r>
            <w:r w:rsidRPr="00CB2EC4">
              <w:rPr>
                <w:rFonts w:ascii="Times New Roman" w:hAnsi="Times New Roman" w:cs="Times New Roman"/>
              </w:rPr>
              <w:br/>
            </w:r>
            <w:r w:rsidRPr="00CB2EC4">
              <w:rPr>
                <w:rFonts w:ascii="Times New Roman" w:hAnsi="Times New Roman" w:cs="Times New Roman"/>
              </w:rPr>
              <w:br/>
              <w:t>→ Patients with ASC-US should undergo HPV testing initially.</w:t>
            </w:r>
            <w:r w:rsidRPr="00CB2EC4">
              <w:rPr>
                <w:rFonts w:ascii="Times New Roman" w:hAnsi="Times New Roman" w:cs="Times New Roman"/>
              </w:rPr>
              <w:br/>
            </w:r>
            <w:r w:rsidRPr="00CB2EC4">
              <w:rPr>
                <w:rFonts w:ascii="Times New Roman" w:hAnsi="Times New Roman" w:cs="Times New Roman"/>
              </w:rPr>
              <w:br/>
              <w:t>Therefore, the next step is HPV testing to determine whether referral for colposcopy or follow-up monitoring is required.</w:t>
            </w:r>
          </w:p>
        </w:tc>
        <w:tc>
          <w:tcPr>
            <w:tcW w:w="1152" w:type="dxa"/>
            <w:vAlign w:val="center"/>
          </w:tcPr>
          <w:p w14:paraId="2B4BAB9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02303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01395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66D6FFA" w14:textId="77777777" w:rsidTr="00547D77">
        <w:tc>
          <w:tcPr>
            <w:tcW w:w="2160" w:type="dxa"/>
            <w:vAlign w:val="center"/>
          </w:tcPr>
          <w:p w14:paraId="56F056A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D3A4B4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cytology results show ASC-US as the initial abnormal screening finding, the next step is to perform HPV testing for triage.</w:t>
            </w:r>
            <w:r w:rsidRPr="00CB2EC4">
              <w:rPr>
                <w:rFonts w:ascii="Times New Roman" w:hAnsi="Times New Roman" w:cs="Times New Roman"/>
              </w:rPr>
              <w:br/>
            </w:r>
            <w:r w:rsidRPr="00CB2EC4">
              <w:rPr>
                <w:rFonts w:ascii="Times New Roman" w:hAnsi="Times New Roman" w:cs="Times New Roman"/>
              </w:rPr>
              <w:br/>
              <w:t xml:space="preserve">  - Supporting Evidence:  </w:t>
            </w:r>
            <w:r w:rsidRPr="00CB2EC4">
              <w:rPr>
                <w:rFonts w:ascii="Times New Roman" w:hAnsi="Times New Roman" w:cs="Times New Roman"/>
              </w:rPr>
              <w:br/>
              <w:t xml:space="preserve">    - In [Similarity: 0.696] fragment: "Patients with ASC-US: HPV testing should be performed first."  </w:t>
            </w:r>
            <w:r w:rsidRPr="00CB2EC4">
              <w:rPr>
                <w:rFonts w:ascii="Times New Roman" w:hAnsi="Times New Roman" w:cs="Times New Roman"/>
              </w:rPr>
              <w:br/>
              <w:t xml:space="preserve">    - In [Similarity: 0.725] fragment: "Use HPV testing for triage of ASC-US."  </w:t>
            </w:r>
            <w:r w:rsidRPr="00CB2EC4">
              <w:rPr>
                <w:rFonts w:ascii="Times New Roman" w:hAnsi="Times New Roman" w:cs="Times New Roman"/>
              </w:rPr>
              <w:br/>
              <w:t xml:space="preserve">    - In [Similarity: 0.634] fragment: "Cytology (ASC-US) &amp; HPV (-) should undergo follow-up in 1 year," which implies HPV testing is the first step in triage.  </w:t>
            </w:r>
            <w:r w:rsidRPr="00CB2EC4">
              <w:rPr>
                <w:rFonts w:ascii="Times New Roman" w:hAnsi="Times New Roman" w:cs="Times New Roman"/>
              </w:rPr>
              <w:br/>
              <w:t xml:space="preserve">  - Explanation: The documents consistently indicate that ASC-US is a common type of cytological abnormality, and its management process uses HPV testing as the initial triage tool to determine subsequent management (such as referral for colposcopy or follow-up).</w:t>
            </w:r>
          </w:p>
        </w:tc>
        <w:tc>
          <w:tcPr>
            <w:tcW w:w="1152" w:type="dxa"/>
            <w:vAlign w:val="center"/>
          </w:tcPr>
          <w:p w14:paraId="20666BC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41D01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D7F20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0178EF0" w14:textId="77777777" w:rsidTr="00547D77">
        <w:tc>
          <w:tcPr>
            <w:tcW w:w="10656" w:type="dxa"/>
            <w:gridSpan w:val="5"/>
            <w:tcBorders>
              <w:bottom w:val="single" w:sz="6" w:space="0" w:color="auto"/>
            </w:tcBorders>
            <w:vAlign w:val="center"/>
          </w:tcPr>
          <w:p w14:paraId="0F6DBDD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 xml:space="preserve">Question 8: When cytological examination indicates ASC-US as an abnormal initial screening result and HPV is used for triage, if </w:t>
            </w:r>
            <w:r w:rsidRPr="00CB2EC4">
              <w:rPr>
                <w:rFonts w:ascii="Times New Roman" w:hAnsi="Times New Roman" w:cs="Times New Roman"/>
                <w:b/>
              </w:rPr>
              <w:lastRenderedPageBreak/>
              <w:t>HPV is positive, should a colposcopy follow?</w:t>
            </w:r>
          </w:p>
        </w:tc>
      </w:tr>
      <w:tr w:rsidR="00916494" w:rsidRPr="00CB2EC4" w14:paraId="058F8FD6" w14:textId="77777777" w:rsidTr="00547D77">
        <w:tc>
          <w:tcPr>
            <w:tcW w:w="2160" w:type="dxa"/>
            <w:vAlign w:val="center"/>
          </w:tcPr>
          <w:p w14:paraId="22D32D69"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size=512, Overlap=0 Using TokenTextSplitter</w:t>
            </w:r>
          </w:p>
        </w:tc>
        <w:tc>
          <w:tcPr>
            <w:tcW w:w="5040" w:type="dxa"/>
            <w:vAlign w:val="center"/>
          </w:tcPr>
          <w:p w14:paraId="1A81CCA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 colposcopy should be performed. The documents explicitly state that when ASC-US is the initial abnormal screening result and HPV testing is used for triage, a positive HPV result warrants referral for colposcopy. For example, one document states: "ASC-US patients: HPV testing should be performed first; if HPV positive (+) → refer for colposcopy." Another document supports this: "HPV positive/ASC-US has a cumulative 5-year risk of CIN 3+ of 6.8%, higher than that of LSIL; based on equal risk equal management, direct referral to colposcopy is supported." Therefore, colposcopy is necessary when HPV is positive.</w:t>
            </w:r>
          </w:p>
        </w:tc>
        <w:tc>
          <w:tcPr>
            <w:tcW w:w="1152" w:type="dxa"/>
            <w:vAlign w:val="center"/>
          </w:tcPr>
          <w:p w14:paraId="0095941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5EF34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A791C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4729D1B" w14:textId="77777777" w:rsidTr="00547D77">
        <w:tc>
          <w:tcPr>
            <w:tcW w:w="2160" w:type="dxa"/>
            <w:vAlign w:val="center"/>
          </w:tcPr>
          <w:p w14:paraId="6F8DBC73"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B8376B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 according to the document content, when cytology shows ASC-US and HPV testing is used for triage, if the HPV test result is positive (regardless of genotyping), referral for colposcopy should be performed.</w:t>
            </w:r>
            <w:r w:rsidRPr="00CB2EC4">
              <w:rPr>
                <w:rFonts w:ascii="Times New Roman" w:hAnsi="Times New Roman" w:cs="Times New Roman"/>
              </w:rPr>
              <w:br/>
            </w:r>
            <w:r w:rsidRPr="00CB2EC4">
              <w:rPr>
                <w:rFonts w:ascii="Times New Roman" w:hAnsi="Times New Roman" w:cs="Times New Roman"/>
              </w:rPr>
              <w:br/>
              <w:t>- supporting evidence:</w:t>
            </w:r>
            <w:r w:rsidRPr="00CB2EC4">
              <w:rPr>
                <w:rFonts w:ascii="Times New Roman" w:hAnsi="Times New Roman" w:cs="Times New Roman"/>
              </w:rPr>
              <w:br/>
              <w:t xml:space="preserve">  - in the [similarity: 0.696] segment: "if HPV positive (+) → refer for colposcopy".</w:t>
            </w:r>
            <w:r w:rsidRPr="00CB2EC4">
              <w:rPr>
                <w:rFonts w:ascii="Times New Roman" w:hAnsi="Times New Roman" w:cs="Times New Roman"/>
              </w:rPr>
              <w:br/>
              <w:t xml:space="preserve">  - in the [similarity: 0.725] segment: "for ASC-US using HPV for triage, if HPV positive (not genotyped) or HPV genotyping detects HPV16/18 positive, referral for colposcopy should be performed".</w:t>
            </w:r>
            <w:r w:rsidRPr="00CB2EC4">
              <w:rPr>
                <w:rFonts w:ascii="Times New Roman" w:hAnsi="Times New Roman" w:cs="Times New Roman"/>
              </w:rPr>
              <w:br/>
              <w:t xml:space="preserve">  - in the [similarity: 0.634] segment: "HPV positive / ASC-US ... supports direct referral to colposcopy".</w:t>
            </w:r>
            <w:r w:rsidRPr="00CB2EC4">
              <w:rPr>
                <w:rFonts w:ascii="Times New Roman" w:hAnsi="Times New Roman" w:cs="Times New Roman"/>
              </w:rPr>
              <w:br/>
              <w:t>- explanation: the document emphasizes that HPV positivity (including untyped or any high-risk type) combined with an ASC-US result carries a higher risk of CIN 3+, thus necessitating colposcopy referral to rule out high-grade lesions.</w:t>
            </w:r>
          </w:p>
        </w:tc>
        <w:tc>
          <w:tcPr>
            <w:tcW w:w="1152" w:type="dxa"/>
            <w:vAlign w:val="center"/>
          </w:tcPr>
          <w:p w14:paraId="6D6DE7C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6197F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0F63C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49140EC" w14:textId="77777777" w:rsidTr="00547D77">
        <w:tc>
          <w:tcPr>
            <w:tcW w:w="10656" w:type="dxa"/>
            <w:gridSpan w:val="5"/>
            <w:tcBorders>
              <w:bottom w:val="single" w:sz="6" w:space="0" w:color="auto"/>
            </w:tcBorders>
            <w:vAlign w:val="center"/>
          </w:tcPr>
          <w:p w14:paraId="1C020547"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9: When cytological examination indicates ASC-US as an abnormal initial screening result and HPV is used for triage, if HPV is negative, what should be the subsequent examination?</w:t>
            </w:r>
          </w:p>
        </w:tc>
      </w:tr>
      <w:tr w:rsidR="00916494" w:rsidRPr="00CB2EC4" w14:paraId="343BF9E0" w14:textId="77777777" w:rsidTr="00547D77">
        <w:tc>
          <w:tcPr>
            <w:tcW w:w="2160" w:type="dxa"/>
            <w:vAlign w:val="center"/>
          </w:tcPr>
          <w:p w14:paraId="2374663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381321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follow-up should be:</w:t>
            </w:r>
            <w:r w:rsidRPr="00CB2EC4">
              <w:rPr>
                <w:rFonts w:ascii="Times New Roman" w:hAnsi="Times New Roman" w:cs="Times New Roman"/>
              </w:rPr>
              <w:br/>
            </w:r>
            <w:r w:rsidRPr="00CB2EC4">
              <w:rPr>
                <w:rFonts w:ascii="Times New Roman" w:hAnsi="Times New Roman" w:cs="Times New Roman"/>
              </w:rPr>
              <w:br/>
              <w:t>→ Repeat cytology in 1 year.</w:t>
            </w:r>
            <w:r w:rsidRPr="00CB2EC4">
              <w:rPr>
                <w:rFonts w:ascii="Times New Roman" w:hAnsi="Times New Roman" w:cs="Times New Roman"/>
              </w:rPr>
              <w:br/>
            </w:r>
            <w:r w:rsidRPr="00CB2EC4">
              <w:rPr>
                <w:rFonts w:ascii="Times New Roman" w:hAnsi="Times New Roman" w:cs="Times New Roman"/>
              </w:rPr>
              <w:br/>
              <w:t>According to the source document: "ASC-US patients: First perform HPV testing: if HPV negative (−) → repeat cytology should be done in 1 year." If the repeat cytology result is negative, return to routine screening; if the result is ≥ASC-US, refer for colposcopy. Therefore, the follow-up is cytology repeated at 1 year.</w:t>
            </w:r>
          </w:p>
        </w:tc>
        <w:tc>
          <w:tcPr>
            <w:tcW w:w="1152" w:type="dxa"/>
            <w:vAlign w:val="center"/>
          </w:tcPr>
          <w:p w14:paraId="4E6AFFA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DEBA6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A2E51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27B3059" w14:textId="77777777" w:rsidTr="00547D77">
        <w:tc>
          <w:tcPr>
            <w:tcW w:w="2160" w:type="dxa"/>
            <w:vAlign w:val="center"/>
          </w:tcPr>
          <w:p w14:paraId="7BEDE1B6"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FF8ED1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follow-up should be:</w:t>
            </w:r>
            <w:r w:rsidRPr="00CB2EC4">
              <w:rPr>
                <w:rFonts w:ascii="Times New Roman" w:hAnsi="Times New Roman" w:cs="Times New Roman"/>
              </w:rPr>
              <w:br/>
            </w:r>
            <w:r w:rsidRPr="00CB2EC4">
              <w:rPr>
                <w:rFonts w:ascii="Times New Roman" w:hAnsi="Times New Roman" w:cs="Times New Roman"/>
              </w:rPr>
              <w:br/>
              <w:t>- Repeat cytology in 1 year (if the repeat result is abnormal, further management is required).</w:t>
            </w:r>
            <w:r w:rsidRPr="00CB2EC4">
              <w:rPr>
                <w:rFonts w:ascii="Times New Roman" w:hAnsi="Times New Roman" w:cs="Times New Roman"/>
              </w:rPr>
              <w:br/>
            </w:r>
            <w:r w:rsidRPr="00CB2EC4">
              <w:rPr>
                <w:rFonts w:ascii="Times New Roman" w:hAnsi="Times New Roman" w:cs="Times New Roman"/>
              </w:rPr>
              <w:br/>
              <w:t xml:space="preserve">  - Supporting evidence:</w:t>
            </w:r>
            <w:r w:rsidRPr="00CB2EC4">
              <w:rPr>
                <w:rFonts w:ascii="Times New Roman" w:hAnsi="Times New Roman" w:cs="Times New Roman"/>
              </w:rPr>
              <w:br/>
              <w:t xml:space="preserve">    - In the [similarity: 0.696] excerpt: "If HPV is negative (-) → repeat cytology should be performed in 1 year; if the repeat result is negative, continue with routine screening; if the result is ASC or higher, perform colposcopy."</w:t>
            </w:r>
            <w:r w:rsidRPr="00CB2EC4">
              <w:rPr>
                <w:rFonts w:ascii="Times New Roman" w:hAnsi="Times New Roman" w:cs="Times New Roman"/>
              </w:rPr>
              <w:br/>
              <w:t xml:space="preserve">    - In the [similarity: 0.634] excerpt: "Cytology (ASC-US) &amp; HPV (-): 1-year follow-up should be performed (repeat co-testing in 1 year)."</w:t>
            </w:r>
            <w:r w:rsidRPr="00CB2EC4">
              <w:rPr>
                <w:rFonts w:ascii="Times New Roman" w:hAnsi="Times New Roman" w:cs="Times New Roman"/>
              </w:rPr>
              <w:br/>
              <w:t xml:space="preserve">    - In the [similarity: 0.597] excerpt: "Cytology (ASC-US) &amp; HPV (-): 1-year follow-up should be </w:t>
            </w:r>
            <w:r w:rsidRPr="00CB2EC4">
              <w:rPr>
                <w:rFonts w:ascii="Times New Roman" w:hAnsi="Times New Roman" w:cs="Times New Roman"/>
              </w:rPr>
              <w:lastRenderedPageBreak/>
              <w:t>performed."</w:t>
            </w:r>
            <w:r w:rsidRPr="00CB2EC4">
              <w:rPr>
                <w:rFonts w:ascii="Times New Roman" w:hAnsi="Times New Roman" w:cs="Times New Roman"/>
              </w:rPr>
              <w:br/>
            </w:r>
            <w:r w:rsidRPr="00CB2EC4">
              <w:rPr>
                <w:rFonts w:ascii="Times New Roman" w:hAnsi="Times New Roman" w:cs="Times New Roman"/>
              </w:rPr>
              <w:br/>
              <w:t xml:space="preserve">  - Explanation: A negative HPV result indicates low risk, so the management is to repeat cytology (or co-testing) in 1 year to monitor for changes; if the repeat is normal, return to routine screening.</w:t>
            </w:r>
          </w:p>
        </w:tc>
        <w:tc>
          <w:tcPr>
            <w:tcW w:w="1152" w:type="dxa"/>
            <w:vAlign w:val="center"/>
          </w:tcPr>
          <w:p w14:paraId="3BAB790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C4E988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3F03A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BCB6A90" w14:textId="77777777" w:rsidTr="00547D77">
        <w:tc>
          <w:tcPr>
            <w:tcW w:w="10656" w:type="dxa"/>
            <w:gridSpan w:val="5"/>
            <w:tcBorders>
              <w:bottom w:val="single" w:sz="6" w:space="0" w:color="auto"/>
            </w:tcBorders>
            <w:vAlign w:val="center"/>
          </w:tcPr>
          <w:p w14:paraId="0AFA9FA6"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10: When cytological examination results show ASC-H, LSIL, or HSIL, is a colposcopy needed next?</w:t>
            </w:r>
          </w:p>
        </w:tc>
      </w:tr>
      <w:tr w:rsidR="00916494" w:rsidRPr="00CB2EC4" w14:paraId="2C820A6D" w14:textId="77777777" w:rsidTr="00547D77">
        <w:tc>
          <w:tcPr>
            <w:tcW w:w="2160" w:type="dxa"/>
            <w:vAlign w:val="center"/>
          </w:tcPr>
          <w:p w14:paraId="55C3E62F"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7628B0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 colposcopy is required.</w:t>
            </w:r>
            <w:r w:rsidRPr="00CB2EC4">
              <w:rPr>
                <w:rFonts w:ascii="Times New Roman" w:hAnsi="Times New Roman" w:cs="Times New Roman"/>
              </w:rPr>
              <w:br/>
            </w:r>
            <w:r w:rsidRPr="00CB2EC4">
              <w:rPr>
                <w:rFonts w:ascii="Times New Roman" w:hAnsi="Times New Roman" w:cs="Times New Roman"/>
              </w:rPr>
              <w:br/>
              <w:t>The documents explicitly state that patients with cytology results of ASC-H, LSIL, or HSIL should be directly referred for colposcopy. For example, one document fragment notes: "Other abnormal types (ASC-H, LSIL, HSIL, AGC, and ASC-US patients after one-year follow-up): direct referral for colposcopy." Another fragment emphasizes: "Cytology results ≥ ASC-US (including ASC-US, LSIL, HSIL, etc.) → refer for colposcopy." Additionally, it is stated: "ASC-H, LSIL, HSIL, AGC with abnormal cytology should all be referred for colposcopy." Therefore, ASC-H, LSIL, and HSIL all require colposcopy.</w:t>
            </w:r>
          </w:p>
        </w:tc>
        <w:tc>
          <w:tcPr>
            <w:tcW w:w="1152" w:type="dxa"/>
            <w:vAlign w:val="center"/>
          </w:tcPr>
          <w:p w14:paraId="7A7CE30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1EB96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BB2B8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1AE2BB7" w14:textId="77777777" w:rsidTr="00547D77">
        <w:tc>
          <w:tcPr>
            <w:tcW w:w="2160" w:type="dxa"/>
            <w:vAlign w:val="center"/>
          </w:tcPr>
          <w:p w14:paraId="13D6C168"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0C6630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 according to the document, when cytology results show ASC-H, LSIL, or HSIL, referral for colposcopy is required.</w:t>
            </w:r>
            <w:r w:rsidRPr="00CB2EC4">
              <w:rPr>
                <w:rFonts w:ascii="Times New Roman" w:hAnsi="Times New Roman" w:cs="Times New Roman"/>
              </w:rPr>
              <w:br/>
            </w:r>
            <w:r w:rsidRPr="00CB2EC4">
              <w:rPr>
                <w:rFonts w:ascii="Times New Roman" w:hAnsi="Times New Roman" w:cs="Times New Roman"/>
              </w:rPr>
              <w:br/>
              <w:t>- Supporting evidence:</w:t>
            </w:r>
            <w:r w:rsidRPr="00CB2EC4">
              <w:rPr>
                <w:rFonts w:ascii="Times New Roman" w:hAnsi="Times New Roman" w:cs="Times New Roman"/>
              </w:rPr>
              <w:br/>
              <w:t xml:space="preserve">  - In the [similarity: 0.725] excerpt: "For cytological abnormalities including ASC-H, LSIL, HSIL, and AGC, all should be referred for colposcopy."</w:t>
            </w:r>
            <w:r w:rsidRPr="00CB2EC4">
              <w:rPr>
                <w:rFonts w:ascii="Times New Roman" w:hAnsi="Times New Roman" w:cs="Times New Roman"/>
              </w:rPr>
              <w:br/>
              <w:t xml:space="preserve">  - In the [similarity: 0.696] excerpt: "Patients with other abnormal types (ASC-H, LSIL, HSIL) are directly referred for colposcopy."</w:t>
            </w:r>
            <w:r w:rsidRPr="00CB2EC4">
              <w:rPr>
                <w:rFonts w:ascii="Times New Roman" w:hAnsi="Times New Roman" w:cs="Times New Roman"/>
              </w:rPr>
              <w:br/>
            </w:r>
            <w:r w:rsidRPr="00CB2EC4">
              <w:rPr>
                <w:rFonts w:ascii="Times New Roman" w:hAnsi="Times New Roman" w:cs="Times New Roman"/>
              </w:rPr>
              <w:lastRenderedPageBreak/>
              <w:t xml:space="preserve">  - In the [similarity: 0.390] excerpt: "For cytological abnormalities including ASC-H, LSIL, HSIL, and AGC, all should be referred for colposcopy."</w:t>
            </w:r>
            <w:r w:rsidRPr="00CB2EC4">
              <w:rPr>
                <w:rFonts w:ascii="Times New Roman" w:hAnsi="Times New Roman" w:cs="Times New Roman"/>
              </w:rPr>
              <w:br/>
              <w:t>- Explanation: The document clearly states that these cytological abnormalities (ASC-H, LSIL, HSIL) carry a high risk of CIN diagnosis (e.g., ASC-H has a 24%~94% probability of being diagnosed as CIN II/III, LSIL has a 10%~16% probability of ≥CIN I), therefore direct referral for colposcopy is necessary for histological evaluation.</w:t>
            </w:r>
          </w:p>
        </w:tc>
        <w:tc>
          <w:tcPr>
            <w:tcW w:w="1152" w:type="dxa"/>
            <w:vAlign w:val="center"/>
          </w:tcPr>
          <w:p w14:paraId="45D2293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83C76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85522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E165E0D" w14:textId="77777777" w:rsidTr="00547D77">
        <w:tc>
          <w:tcPr>
            <w:tcW w:w="10656" w:type="dxa"/>
            <w:gridSpan w:val="5"/>
            <w:tcBorders>
              <w:bottom w:val="single" w:sz="6" w:space="0" w:color="auto"/>
            </w:tcBorders>
            <w:vAlign w:val="center"/>
          </w:tcPr>
          <w:p w14:paraId="51CFDB2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11: When cytological examination results show AGC, what is the next examination required?</w:t>
            </w:r>
          </w:p>
        </w:tc>
      </w:tr>
      <w:tr w:rsidR="00916494" w:rsidRPr="00CB2EC4" w14:paraId="10B4D77C" w14:textId="77777777" w:rsidTr="00547D77">
        <w:tc>
          <w:tcPr>
            <w:tcW w:w="2160" w:type="dxa"/>
            <w:vAlign w:val="center"/>
          </w:tcPr>
          <w:p w14:paraId="2B22E32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4702A9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are required:</w:t>
            </w:r>
            <w:r w:rsidRPr="00CB2EC4">
              <w:rPr>
                <w:rFonts w:ascii="Times New Roman" w:hAnsi="Times New Roman" w:cs="Times New Roman"/>
              </w:rPr>
              <w:br/>
            </w:r>
            <w:r w:rsidRPr="00CB2EC4">
              <w:rPr>
                <w:rFonts w:ascii="Times New Roman" w:hAnsi="Times New Roman" w:cs="Times New Roman"/>
              </w:rPr>
              <w:br/>
              <w:t>- Referral for colposcopy: direct referral is indicated.</w:t>
            </w:r>
            <w:r w:rsidRPr="00CB2EC4">
              <w:rPr>
                <w:rFonts w:ascii="Times New Roman" w:hAnsi="Times New Roman" w:cs="Times New Roman"/>
              </w:rPr>
              <w:br/>
              <w:t>- Additional cervical canal scraping (ECC): to evaluate lesions within the endocervical canal.</w:t>
            </w:r>
            <w:r w:rsidRPr="00CB2EC4">
              <w:rPr>
                <w:rFonts w:ascii="Times New Roman" w:hAnsi="Times New Roman" w:cs="Times New Roman"/>
              </w:rPr>
              <w:br/>
              <w:t>- Additional HPV testing: to confirm high-risk HPV infection status.</w:t>
            </w:r>
            <w:r w:rsidRPr="00CB2EC4">
              <w:rPr>
                <w:rFonts w:ascii="Times New Roman" w:hAnsi="Times New Roman" w:cs="Times New Roman"/>
              </w:rPr>
              <w:br/>
              <w:t>- Additional endometrial biopsy: to exclude endometrial-related lesions.</w:t>
            </w:r>
            <w:r w:rsidRPr="00CB2EC4">
              <w:rPr>
                <w:rFonts w:ascii="Times New Roman" w:hAnsi="Times New Roman" w:cs="Times New Roman"/>
              </w:rPr>
              <w:br/>
            </w:r>
            <w:r w:rsidRPr="00CB2EC4">
              <w:rPr>
                <w:rFonts w:ascii="Times New Roman" w:hAnsi="Times New Roman" w:cs="Times New Roman"/>
              </w:rPr>
              <w:br/>
              <w:t>Document reference: [Similarity: 0.552] The excerpt states: "Patients with other abnormal types (ASC-H, LSIL, HSIL, AGC, and ASC-US patients after one-year follow-up): direct referral for colposcopy, among which AGC patients require: additional cervical canal scraping (ECC), additional HPV testing, additional endometrial biopsy." This clearly specifies the management protocol for AGC.</w:t>
            </w:r>
          </w:p>
        </w:tc>
        <w:tc>
          <w:tcPr>
            <w:tcW w:w="1152" w:type="dxa"/>
            <w:vAlign w:val="center"/>
          </w:tcPr>
          <w:p w14:paraId="0E201A7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A3EEB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09D81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3E2A6B4" w14:textId="77777777" w:rsidTr="00547D77">
        <w:tc>
          <w:tcPr>
            <w:tcW w:w="2160" w:type="dxa"/>
            <w:vAlign w:val="center"/>
          </w:tcPr>
          <w:p w14:paraId="04BB7433" w14:textId="77777777" w:rsidR="00916494" w:rsidRPr="00CB2EC4" w:rsidRDefault="00916494" w:rsidP="00547D77">
            <w:pPr>
              <w:rPr>
                <w:rFonts w:ascii="Times New Roman" w:hAnsi="Times New Roman" w:cs="Times New Roman"/>
              </w:rPr>
            </w:pPr>
            <w:r>
              <w:rPr>
                <w:rFonts w:ascii="Times New Roman" w:hAnsi="Times New Roman" w:cs="Times New Roman"/>
              </w:rPr>
              <w:t xml:space="preserve">Chunk size=256, Overlap=100 Using </w:t>
            </w:r>
            <w:r>
              <w:rPr>
                <w:rFonts w:ascii="Times New Roman" w:hAnsi="Times New Roman" w:cs="Times New Roman"/>
              </w:rPr>
              <w:lastRenderedPageBreak/>
              <w:t>SentenceSplitter</w:t>
            </w:r>
          </w:p>
        </w:tc>
        <w:tc>
          <w:tcPr>
            <w:tcW w:w="5040" w:type="dxa"/>
            <w:vAlign w:val="center"/>
          </w:tcPr>
          <w:p w14:paraId="2665709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 xml:space="preserve">when a cytology result shows AGC (Atypical Glandular Cells), the following examinations are </w:t>
            </w:r>
            <w:r w:rsidRPr="00CB2EC4">
              <w:rPr>
                <w:rFonts w:ascii="Times New Roman" w:hAnsi="Times New Roman" w:cs="Times New Roman"/>
              </w:rPr>
              <w:lastRenderedPageBreak/>
              <w:t xml:space="preserve">required:  </w:t>
            </w:r>
            <w:r w:rsidRPr="00CB2EC4">
              <w:rPr>
                <w:rFonts w:ascii="Times New Roman" w:hAnsi="Times New Roman" w:cs="Times New Roman"/>
              </w:rPr>
              <w:br/>
              <w:t xml:space="preserve">- Direct referral for colposcopy: The document explicitly states that patients with AGC must be referred directly for colposcopy (similarity 0.739 segment: "Other abnormal types (ASC-H, LSIL, HSIL, AGC, and ASC-US patients after one-year follow-up): direct referral for colposcopy").  </w:t>
            </w:r>
            <w:r w:rsidRPr="00CB2EC4">
              <w:rPr>
                <w:rFonts w:ascii="Times New Roman" w:hAnsi="Times New Roman" w:cs="Times New Roman"/>
              </w:rPr>
              <w:br/>
              <w:t xml:space="preserve">- Perform endocervical curettage (ECC): AGC patients require additional ECC to assess lesions within the endocervical canal (similarity 0.739 segment: "Among them, AGC patients need: perform endocervical curettage (ECC)").  </w:t>
            </w:r>
            <w:r w:rsidRPr="00CB2EC4">
              <w:rPr>
                <w:rFonts w:ascii="Times New Roman" w:hAnsi="Times New Roman" w:cs="Times New Roman"/>
              </w:rPr>
              <w:br/>
              <w:t xml:space="preserve">- Perform HPV testing: AGC patients must undergo HPV testing to evaluate HPV infection status (similarity 0.739 segment: "perform HPV testing").  </w:t>
            </w:r>
            <w:r w:rsidRPr="00CB2EC4">
              <w:rPr>
                <w:rFonts w:ascii="Times New Roman" w:hAnsi="Times New Roman" w:cs="Times New Roman"/>
              </w:rPr>
              <w:br/>
              <w:t xml:space="preserve">- Perform endometrial biopsy: When there is suspicion of endometrial cancer risk, endometrial biopsy should be performed (similarity 0.458 segment: "For AGC, particular emphasis is placed on performing endocervical curettage; when endometrial cancer risk is suspected, endometrial biopsy should be done and sent for pathological examination").  </w:t>
            </w:r>
            <w:r w:rsidRPr="00CB2EC4">
              <w:rPr>
                <w:rFonts w:ascii="Times New Roman" w:hAnsi="Times New Roman" w:cs="Times New Roman"/>
              </w:rPr>
              <w:br/>
              <w:t>In summary, management of AGC includes referral for colposcopy, ECC, HPV testing, and possible endometrial biopsy.</w:t>
            </w:r>
          </w:p>
        </w:tc>
        <w:tc>
          <w:tcPr>
            <w:tcW w:w="1152" w:type="dxa"/>
            <w:vAlign w:val="center"/>
          </w:tcPr>
          <w:p w14:paraId="1C9CA7C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0DC925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E6A8B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00247EC" w14:textId="77777777" w:rsidTr="00547D77">
        <w:tc>
          <w:tcPr>
            <w:tcW w:w="10656" w:type="dxa"/>
            <w:gridSpan w:val="5"/>
            <w:tcBorders>
              <w:bottom w:val="single" w:sz="6" w:space="0" w:color="auto"/>
            </w:tcBorders>
            <w:vAlign w:val="center"/>
          </w:tcPr>
          <w:p w14:paraId="592232C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12: If both cytological and high-risk HPV joint tests show negative results, what other examination should follow?</w:t>
            </w:r>
          </w:p>
        </w:tc>
      </w:tr>
      <w:tr w:rsidR="00916494" w:rsidRPr="00CB2EC4" w14:paraId="59E9CC47" w14:textId="77777777" w:rsidTr="00547D77">
        <w:tc>
          <w:tcPr>
            <w:tcW w:w="2160" w:type="dxa"/>
            <w:vAlign w:val="center"/>
          </w:tcPr>
          <w:p w14:paraId="428DDD7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776B31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if both cytology and high-risk HPV testing show negative results, routine screening should be continued according to the standard screening interval (e.g., every 3 or 5 years). No additional tests are required.</w:t>
            </w:r>
            <w:r w:rsidRPr="00CB2EC4">
              <w:rPr>
                <w:rFonts w:ascii="Times New Roman" w:hAnsi="Times New Roman" w:cs="Times New Roman"/>
              </w:rPr>
              <w:br/>
            </w:r>
            <w:r w:rsidRPr="00CB2EC4">
              <w:rPr>
                <w:rFonts w:ascii="Times New Roman" w:hAnsi="Times New Roman" w:cs="Times New Roman"/>
              </w:rPr>
              <w:br/>
              <w:t xml:space="preserve">Document reference: [Similarity: 0.552] "HPV </w:t>
            </w:r>
            <w:r w:rsidRPr="00CB2EC4">
              <w:rPr>
                <w:rFonts w:ascii="Times New Roman" w:hAnsi="Times New Roman" w:cs="Times New Roman"/>
              </w:rPr>
              <w:lastRenderedPageBreak/>
              <w:t>negative/cytology negative, risk is 0.08%... repeat cervical cancer screening in 3 years"; [Similarity: 0.457] "cytology (-) &amp; HPV (-) → conduct routine screening (continue screening at regular intervals)". The document does not mention the need for any other additional examinations.</w:t>
            </w:r>
          </w:p>
        </w:tc>
        <w:tc>
          <w:tcPr>
            <w:tcW w:w="1152" w:type="dxa"/>
            <w:vAlign w:val="center"/>
          </w:tcPr>
          <w:p w14:paraId="7FC1596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900C1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2D1E2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57B3CE0" w14:textId="77777777" w:rsidTr="00547D77">
        <w:tc>
          <w:tcPr>
            <w:tcW w:w="2160" w:type="dxa"/>
            <w:vAlign w:val="center"/>
          </w:tcPr>
          <w:p w14:paraId="794E9608"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6DEB3B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if both cytology and high-risk HPV testing are negative, no additional tests (such as colposcopy or biopsy) are required. instead, routine screening should be continued according to the recommended interval:</w:t>
            </w:r>
            <w:r w:rsidRPr="00CB2EC4">
              <w:rPr>
                <w:rFonts w:ascii="Times New Roman" w:hAnsi="Times New Roman" w:cs="Times New Roman"/>
              </w:rPr>
              <w:br/>
            </w:r>
            <w:r w:rsidRPr="00CB2EC4">
              <w:rPr>
                <w:rFonts w:ascii="Times New Roman" w:hAnsi="Times New Roman" w:cs="Times New Roman"/>
              </w:rPr>
              <w:br/>
              <w:t>- routine screening (continue screening at the standard interval): the document specifies that this result should enter the routine screening process, with screening intervals of 3 years or 5 years (similarity 0.667 segment: "cytology (-) &amp; HPV (-) should proceed with routine screening (continue screening at the standard interval)"; similarity 0.577 segment: "HPV negative/cytology negative carries a risk of $0.08\%$, suggesting that a longer screening interval (e.g., 5 years) may be chosen").</w:t>
            </w:r>
            <w:r w:rsidRPr="00CB2EC4">
              <w:rPr>
                <w:rFonts w:ascii="Times New Roman" w:hAnsi="Times New Roman" w:cs="Times New Roman"/>
              </w:rPr>
              <w:br/>
            </w:r>
            <w:r w:rsidRPr="00CB2EC4">
              <w:rPr>
                <w:rFonts w:ascii="Times New Roman" w:hAnsi="Times New Roman" w:cs="Times New Roman"/>
              </w:rPr>
              <w:br/>
              <w:t>therefore, only routine screening at the appropriate interval is indicated, with no other examinations necessary.</w:t>
            </w:r>
          </w:p>
        </w:tc>
        <w:tc>
          <w:tcPr>
            <w:tcW w:w="1152" w:type="dxa"/>
            <w:vAlign w:val="center"/>
          </w:tcPr>
          <w:p w14:paraId="38A1EC7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F981C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CF45C0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FA7DF33" w14:textId="77777777" w:rsidTr="00547D77">
        <w:tc>
          <w:tcPr>
            <w:tcW w:w="10656" w:type="dxa"/>
            <w:gridSpan w:val="5"/>
            <w:tcBorders>
              <w:bottom w:val="single" w:sz="6" w:space="0" w:color="auto"/>
            </w:tcBorders>
            <w:vAlign w:val="center"/>
          </w:tcPr>
          <w:p w14:paraId="43DB5064"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13: If joint testing of cytology and high-risk HPV shows HPV-negative and the cytological result is ASC-US, what should be done next?</w:t>
            </w:r>
          </w:p>
        </w:tc>
      </w:tr>
      <w:tr w:rsidR="00916494" w:rsidRPr="00CB2EC4" w14:paraId="0008A416" w14:textId="77777777" w:rsidTr="00547D77">
        <w:tc>
          <w:tcPr>
            <w:tcW w:w="2160" w:type="dxa"/>
            <w:vAlign w:val="center"/>
          </w:tcPr>
          <w:p w14:paraId="762A7D5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7168BC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if cytology and high-risk HPV co-testing show HPV negative and cytology result of ASC-US, the next step should be:</w:t>
            </w:r>
            <w:r w:rsidRPr="00CB2EC4">
              <w:rPr>
                <w:rFonts w:ascii="Times New Roman" w:hAnsi="Times New Roman" w:cs="Times New Roman"/>
              </w:rPr>
              <w:br/>
            </w:r>
            <w:r w:rsidRPr="00CB2EC4">
              <w:rPr>
                <w:rFonts w:ascii="Times New Roman" w:hAnsi="Times New Roman" w:cs="Times New Roman"/>
              </w:rPr>
              <w:br/>
              <w:t xml:space="preserve">Perform a repeat co-test (cytology and high-risk HPV) after 1 year.  </w:t>
            </w:r>
            <w:r w:rsidRPr="00CB2EC4">
              <w:rPr>
                <w:rFonts w:ascii="Times New Roman" w:hAnsi="Times New Roman" w:cs="Times New Roman"/>
              </w:rPr>
              <w:br/>
            </w:r>
            <w:r w:rsidRPr="00CB2EC4">
              <w:rPr>
                <w:rFonts w:ascii="Times New Roman" w:hAnsi="Times New Roman" w:cs="Times New Roman"/>
              </w:rPr>
              <w:lastRenderedPageBreak/>
              <w:t xml:space="preserve">→ If the repeat test result is negative: return to routine screening.  </w:t>
            </w:r>
            <w:r w:rsidRPr="00CB2EC4">
              <w:rPr>
                <w:rFonts w:ascii="Times New Roman" w:hAnsi="Times New Roman" w:cs="Times New Roman"/>
              </w:rPr>
              <w:br/>
              <w:t>→ If the repeat test result is abnormal (≥ASC-US): refer for colposcopy.</w:t>
            </w:r>
            <w:r w:rsidRPr="00CB2EC4">
              <w:rPr>
                <w:rFonts w:ascii="Times New Roman" w:hAnsi="Times New Roman" w:cs="Times New Roman"/>
              </w:rPr>
              <w:br/>
            </w:r>
            <w:r w:rsidRPr="00CB2EC4">
              <w:rPr>
                <w:rFonts w:ascii="Times New Roman" w:hAnsi="Times New Roman" w:cs="Times New Roman"/>
              </w:rPr>
              <w:br/>
              <w:t>Document reference: [Similarity: 0.457] The source explicitly states: "Cytology (ASC-US) &amp; HPV (-) → should undergo 1-year repeat (repeat co-testing after 1 year)." No other management is specified in the document.</w:t>
            </w:r>
          </w:p>
        </w:tc>
        <w:tc>
          <w:tcPr>
            <w:tcW w:w="1152" w:type="dxa"/>
            <w:vAlign w:val="center"/>
          </w:tcPr>
          <w:p w14:paraId="16FE2F9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074477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E7508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C03FDB5" w14:textId="77777777" w:rsidTr="00547D77">
        <w:tc>
          <w:tcPr>
            <w:tcW w:w="2160" w:type="dxa"/>
            <w:vAlign w:val="center"/>
          </w:tcPr>
          <w:p w14:paraId="668B821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10A524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if cytology and high-risk HPV co-testing show HPV negative and cytology result of ASC-US, the next step should be:</w:t>
            </w:r>
            <w:r w:rsidRPr="00CB2EC4">
              <w:rPr>
                <w:rFonts w:ascii="Times New Roman" w:hAnsi="Times New Roman" w:cs="Times New Roman"/>
              </w:rPr>
              <w:br/>
            </w:r>
            <w:r w:rsidRPr="00CB2EC4">
              <w:rPr>
                <w:rFonts w:ascii="Times New Roman" w:hAnsi="Times New Roman" w:cs="Times New Roman"/>
              </w:rPr>
              <w:br/>
              <w:t>According to the document, if HPV is negative and cytology is ASC-US, the next step is to perform a 1-year follow-up (repeat co-testing with cytology and high-risk HPV after 1 year):</w:t>
            </w:r>
            <w:r w:rsidRPr="00CB2EC4">
              <w:rPr>
                <w:rFonts w:ascii="Times New Roman" w:hAnsi="Times New Roman" w:cs="Times New Roman"/>
              </w:rPr>
              <w:br/>
              <w:t>- 1-year follow-up (repeat co-testing after 1 year): The document explicitly states that this result combination should undergo repeat co-testing (cytology + high-risk HPV) after 1 year, with no immediate referral for colposcopy (similarity 0.667 segment: "cytology (ASC-US) &amp; HPV (-) should undergo 1-year follow-up (repeat co-testing after 1 year)"; similarity 0.555 segment: "cytology (ASC-US) &amp; HPV (-) should undergo 1-year follow-up (repeat co-testing after 1 year)").</w:t>
            </w:r>
            <w:r w:rsidRPr="00CB2EC4">
              <w:rPr>
                <w:rFonts w:ascii="Times New Roman" w:hAnsi="Times New Roman" w:cs="Times New Roman"/>
              </w:rPr>
              <w:br/>
              <w:t>After follow-up, if the results are abnormal, management should be based on the new findings (such as referral for colposcopy).</w:t>
            </w:r>
          </w:p>
        </w:tc>
        <w:tc>
          <w:tcPr>
            <w:tcW w:w="1152" w:type="dxa"/>
            <w:vAlign w:val="center"/>
          </w:tcPr>
          <w:p w14:paraId="5403051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E7565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E9162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C642910" w14:textId="77777777" w:rsidTr="00547D77">
        <w:tc>
          <w:tcPr>
            <w:tcW w:w="10656" w:type="dxa"/>
            <w:gridSpan w:val="5"/>
            <w:tcBorders>
              <w:bottom w:val="single" w:sz="6" w:space="0" w:color="auto"/>
            </w:tcBorders>
            <w:vAlign w:val="center"/>
          </w:tcPr>
          <w:p w14:paraId="0028E84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14: If joint testing of cytology and high-risk HPV shows HPV-negative and the cytological result is &gt;ASC-US, what should be done next? Is a colposcopy required?</w:t>
            </w:r>
          </w:p>
        </w:tc>
      </w:tr>
      <w:tr w:rsidR="00916494" w:rsidRPr="00CB2EC4" w14:paraId="608088E0" w14:textId="77777777" w:rsidTr="00547D77">
        <w:tc>
          <w:tcPr>
            <w:tcW w:w="2160" w:type="dxa"/>
            <w:vAlign w:val="center"/>
          </w:tcPr>
          <w:p w14:paraId="69881DE8"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size=512, Overlap=0 Using TokenTextSplitter</w:t>
            </w:r>
          </w:p>
        </w:tc>
        <w:tc>
          <w:tcPr>
            <w:tcW w:w="5040" w:type="dxa"/>
            <w:vAlign w:val="center"/>
          </w:tcPr>
          <w:p w14:paraId="25F0465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If cotesting (cytology and high-risk HPV) shows HPV negative and cytology result &gt; ASC-US (e.g., LSIL, HSIL), the next step is immediate referral for colposcopy.  </w:t>
            </w:r>
            <w:r w:rsidRPr="00CB2EC4">
              <w:rPr>
                <w:rFonts w:ascii="Times New Roman" w:hAnsi="Times New Roman" w:cs="Times New Roman"/>
              </w:rPr>
              <w:br/>
              <w:t xml:space="preserve">Colposcopy is required to evaluate for potential high-grade lesions.  </w:t>
            </w:r>
            <w:r w:rsidRPr="00CB2EC4">
              <w:rPr>
                <w:rFonts w:ascii="Times New Roman" w:hAnsi="Times New Roman" w:cs="Times New Roman"/>
              </w:rPr>
              <w:br/>
            </w:r>
            <w:r w:rsidRPr="00CB2EC4">
              <w:rPr>
                <w:rFonts w:ascii="Times New Roman" w:hAnsi="Times New Roman" w:cs="Times New Roman"/>
              </w:rPr>
              <w:br/>
              <w:t xml:space="preserve">Document reference: [Similarity: 0.457]  </w:t>
            </w:r>
            <w:r w:rsidRPr="00CB2EC4">
              <w:rPr>
                <w:rFonts w:ascii="Times New Roman" w:hAnsi="Times New Roman" w:cs="Times New Roman"/>
              </w:rPr>
              <w:br/>
              <w:t>The fragment explicitly states: "For cytology &gt; ASC-US (e.g., LSIL, HSIL) &amp; HPV (-), immediate referral for colposcopy is required." Therefore, colposcopy is needed.</w:t>
            </w:r>
          </w:p>
        </w:tc>
        <w:tc>
          <w:tcPr>
            <w:tcW w:w="1152" w:type="dxa"/>
            <w:vAlign w:val="center"/>
          </w:tcPr>
          <w:p w14:paraId="0DC84C0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818A39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49DBC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F51BF31" w14:textId="77777777" w:rsidTr="00547D77">
        <w:tc>
          <w:tcPr>
            <w:tcW w:w="2160" w:type="dxa"/>
            <w:vAlign w:val="center"/>
          </w:tcPr>
          <w:p w14:paraId="3E0FECB1"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3F80AA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If cytology and high-risk HPV co-testing show HPV negative and cytology result &gt; ASC-US, the next step should be: immediate referral for colposcopy.  </w:t>
            </w:r>
            <w:r w:rsidRPr="00CB2EC4">
              <w:rPr>
                <w:rFonts w:ascii="Times New Roman" w:hAnsi="Times New Roman" w:cs="Times New Roman"/>
              </w:rPr>
              <w:br/>
              <w:t xml:space="preserve">- Immediate referral for colposcopy: The document explicitly states that this result combination must be referred for colposcopy (similarity 0.667 segment: "cytology &gt; ASC-US (such as LSIL, HSIL, etc.) &amp; HPV (-) should be immediately referred for colposcopy"; similarity 0.555 segment: "cytology &gt; ASC-US (such as LSIL, HSIL, etc.) &amp; HPV (-) should be immediately referred for colposcopy").  </w:t>
            </w:r>
            <w:r w:rsidRPr="00CB2EC4">
              <w:rPr>
                <w:rFonts w:ascii="Times New Roman" w:hAnsi="Times New Roman" w:cs="Times New Roman"/>
              </w:rPr>
              <w:br/>
              <w:t>Yes, colposcopy is required because a cytology result &gt; ASC-US (such as LSIL or HSIL) indicates a higher risk of high-grade lesions, and colposcopic evaluation is necessary to rule out precancer or cancer even when HPV is negative.</w:t>
            </w:r>
          </w:p>
        </w:tc>
        <w:tc>
          <w:tcPr>
            <w:tcW w:w="1152" w:type="dxa"/>
            <w:vAlign w:val="center"/>
          </w:tcPr>
          <w:p w14:paraId="5DBEA0E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2ED89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38E91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D028DA9" w14:textId="77777777" w:rsidTr="00547D77">
        <w:tc>
          <w:tcPr>
            <w:tcW w:w="10656" w:type="dxa"/>
            <w:gridSpan w:val="5"/>
            <w:tcBorders>
              <w:bottom w:val="single" w:sz="6" w:space="0" w:color="auto"/>
            </w:tcBorders>
            <w:vAlign w:val="center"/>
          </w:tcPr>
          <w:p w14:paraId="1E206D0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15: In cervical cancer detection, if joint testing of cytology and high-risk HPV shows HPV-positive and the cytological result is ≥ASC-US, what specific examinations should follow?</w:t>
            </w:r>
          </w:p>
        </w:tc>
      </w:tr>
      <w:tr w:rsidR="00916494" w:rsidRPr="00CB2EC4" w14:paraId="5B16A689" w14:textId="77777777" w:rsidTr="00547D77">
        <w:tc>
          <w:tcPr>
            <w:tcW w:w="2160" w:type="dxa"/>
            <w:vAlign w:val="center"/>
          </w:tcPr>
          <w:p w14:paraId="4601857B"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size=512, Overlap=0 Using TokenTextSplitter</w:t>
            </w:r>
          </w:p>
        </w:tc>
        <w:tc>
          <w:tcPr>
            <w:tcW w:w="5040" w:type="dxa"/>
            <w:vAlign w:val="center"/>
          </w:tcPr>
          <w:p w14:paraId="436A878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co-testing (cytology and high-risk HPV) shows HPV positive and cytology result ≥ ASC-US, the following specific actions should be taken based on HPV genotyping results:</w:t>
            </w:r>
            <w:r w:rsidRPr="00CB2EC4">
              <w:rPr>
                <w:rFonts w:ascii="Times New Roman" w:hAnsi="Times New Roman" w:cs="Times New Roman"/>
              </w:rPr>
              <w:br/>
            </w:r>
            <w:r w:rsidRPr="00CB2EC4">
              <w:rPr>
                <w:rFonts w:ascii="Times New Roman" w:hAnsi="Times New Roman" w:cs="Times New Roman"/>
              </w:rPr>
              <w:br/>
              <w:t>- If HPV genotyping has been performed:</w:t>
            </w:r>
            <w:r w:rsidRPr="00CB2EC4">
              <w:rPr>
                <w:rFonts w:ascii="Times New Roman" w:hAnsi="Times New Roman" w:cs="Times New Roman"/>
              </w:rPr>
              <w:br/>
              <w:t xml:space="preserve">  - HPV16/18 positive: refer immediately for colposcopy.</w:t>
            </w:r>
            <w:r w:rsidRPr="00CB2EC4">
              <w:rPr>
                <w:rFonts w:ascii="Times New Roman" w:hAnsi="Times New Roman" w:cs="Times New Roman"/>
              </w:rPr>
              <w:br/>
              <w:t xml:space="preserve">  - HPV16/18 negative but positive for other 12 high-risk HPV types: recommend repeat co-testing in 1 year.</w:t>
            </w:r>
            <w:r w:rsidRPr="00CB2EC4">
              <w:rPr>
                <w:rFonts w:ascii="Times New Roman" w:hAnsi="Times New Roman" w:cs="Times New Roman"/>
              </w:rPr>
              <w:br/>
              <w:t>- If HPV genotyping has not been performed (HPV positive, ungenotyped): refer directly for colposcopy.</w:t>
            </w:r>
            <w:r w:rsidRPr="00CB2EC4">
              <w:rPr>
                <w:rFonts w:ascii="Times New Roman" w:hAnsi="Times New Roman" w:cs="Times New Roman"/>
              </w:rPr>
              <w:br/>
            </w:r>
            <w:r w:rsidRPr="00CB2EC4">
              <w:rPr>
                <w:rFonts w:ascii="Times New Roman" w:hAnsi="Times New Roman" w:cs="Times New Roman"/>
              </w:rPr>
              <w:br/>
              <w:t>Document reference: [Similarity: 0.457] The source explicitly states: "Cytology ≥ ASC-US &amp; HPV (+) should undergo further triage based on HPV genotyping results: - If HPV genotyping test positive: * HPV16/18 positive → immediate colposcopy referral * HPV16/18 negative but other 12 high-risk HPV types positive → 1-year follow-up - If HPV ungenotyped positive: refer directly for colposcopy." No other specific tests are mentioned; decisions are based solely on genotyping results.</w:t>
            </w:r>
          </w:p>
        </w:tc>
        <w:tc>
          <w:tcPr>
            <w:tcW w:w="1152" w:type="dxa"/>
            <w:vAlign w:val="center"/>
          </w:tcPr>
          <w:p w14:paraId="68DE9A6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D5BF5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19BA8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4830352" w14:textId="77777777" w:rsidTr="00547D77">
        <w:tc>
          <w:tcPr>
            <w:tcW w:w="2160" w:type="dxa"/>
            <w:vAlign w:val="center"/>
          </w:tcPr>
          <w:p w14:paraId="0EFFC48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522C14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co-testing (cytology and high-risk HPV) shows HPV positive and cytology result ≥ ASC-US, the following specific examinations should be performed:</w:t>
            </w:r>
            <w:r w:rsidRPr="00CB2EC4">
              <w:rPr>
                <w:rFonts w:ascii="Times New Roman" w:hAnsi="Times New Roman" w:cs="Times New Roman"/>
              </w:rPr>
              <w:br/>
            </w:r>
            <w:r w:rsidRPr="00CB2EC4">
              <w:rPr>
                <w:rFonts w:ascii="Times New Roman" w:hAnsi="Times New Roman" w:cs="Times New Roman"/>
              </w:rPr>
              <w:br/>
              <w:t>- Based on HPV genotyping results:</w:t>
            </w:r>
            <w:r w:rsidRPr="00CB2EC4">
              <w:rPr>
                <w:rFonts w:ascii="Times New Roman" w:hAnsi="Times New Roman" w:cs="Times New Roman"/>
              </w:rPr>
              <w:br/>
              <w:t xml:space="preserve">  - If HPV genotyping is positive:</w:t>
            </w:r>
            <w:r w:rsidRPr="00CB2EC4">
              <w:rPr>
                <w:rFonts w:ascii="Times New Roman" w:hAnsi="Times New Roman" w:cs="Times New Roman"/>
              </w:rPr>
              <w:br/>
              <w:t xml:space="preserve">    - HPV16/18 positive → refer immediately for colposcopy</w:t>
            </w:r>
            <w:r w:rsidRPr="00CB2EC4">
              <w:rPr>
                <w:rFonts w:ascii="Times New Roman" w:hAnsi="Times New Roman" w:cs="Times New Roman"/>
              </w:rPr>
              <w:br/>
              <w:t xml:space="preserve">    - HPV16/18 negative but positive for other 12 high-</w:t>
            </w:r>
            <w:r w:rsidRPr="00CB2EC4">
              <w:rPr>
                <w:rFonts w:ascii="Times New Roman" w:hAnsi="Times New Roman" w:cs="Times New Roman"/>
              </w:rPr>
              <w:lastRenderedPageBreak/>
              <w:t>risk HPV types → follow-up in 1 year</w:t>
            </w:r>
            <w:r w:rsidRPr="00CB2EC4">
              <w:rPr>
                <w:rFonts w:ascii="Times New Roman" w:hAnsi="Times New Roman" w:cs="Times New Roman"/>
              </w:rPr>
              <w:br/>
              <w:t xml:space="preserve">  - If HPV testing was not genotyped and is positive → refer directly for colposcopy</w:t>
            </w:r>
            <w:r w:rsidRPr="00CB2EC4">
              <w:rPr>
                <w:rFonts w:ascii="Times New Roman" w:hAnsi="Times New Roman" w:cs="Times New Roman"/>
              </w:rPr>
              <w:br/>
            </w:r>
            <w:r w:rsidRPr="00CB2EC4">
              <w:rPr>
                <w:rFonts w:ascii="Times New Roman" w:hAnsi="Times New Roman" w:cs="Times New Roman"/>
              </w:rPr>
              <w:br/>
              <w:t>In summary, specific examinations include HPV genotyping (if not previously performed), followed by either immediate referral for colposcopy or 1-year follow-up based on genotyping results. The document emphasizes that genotyping is a key step.</w:t>
            </w:r>
          </w:p>
        </w:tc>
        <w:tc>
          <w:tcPr>
            <w:tcW w:w="1152" w:type="dxa"/>
            <w:vAlign w:val="center"/>
          </w:tcPr>
          <w:p w14:paraId="215D01D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81CF23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85290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4302EC0" w14:textId="77777777" w:rsidTr="00547D77">
        <w:tc>
          <w:tcPr>
            <w:tcW w:w="10656" w:type="dxa"/>
            <w:gridSpan w:val="5"/>
            <w:tcBorders>
              <w:bottom w:val="single" w:sz="6" w:space="0" w:color="auto"/>
            </w:tcBorders>
            <w:vAlign w:val="center"/>
          </w:tcPr>
          <w:p w14:paraId="11235994"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16: In cervical cancer detection, if joint testing of cytology and high-risk HPV shows HPV-positive and the cytological result is negative, what specific examinations should follow?</w:t>
            </w:r>
          </w:p>
        </w:tc>
      </w:tr>
      <w:tr w:rsidR="00916494" w:rsidRPr="00CB2EC4" w14:paraId="52B5A4DB" w14:textId="77777777" w:rsidTr="00547D77">
        <w:tc>
          <w:tcPr>
            <w:tcW w:w="2160" w:type="dxa"/>
            <w:vAlign w:val="center"/>
          </w:tcPr>
          <w:p w14:paraId="177E472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27B8C7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combined cytology and high-risk HPV testing shows HPV positive and cytology negative, the following specific examinations should be performed:</w:t>
            </w:r>
            <w:r w:rsidRPr="00CB2EC4">
              <w:rPr>
                <w:rFonts w:ascii="Times New Roman" w:hAnsi="Times New Roman" w:cs="Times New Roman"/>
              </w:rPr>
              <w:br/>
            </w:r>
            <w:r w:rsidRPr="00CB2EC4">
              <w:rPr>
                <w:rFonts w:ascii="Times New Roman" w:hAnsi="Times New Roman" w:cs="Times New Roman"/>
              </w:rPr>
              <w:br/>
              <w:t>- If HPV genotyping is available:</w:t>
            </w:r>
            <w:r w:rsidRPr="00CB2EC4">
              <w:rPr>
                <w:rFonts w:ascii="Times New Roman" w:hAnsi="Times New Roman" w:cs="Times New Roman"/>
              </w:rPr>
              <w:br/>
              <w:t xml:space="preserve">  - HPV16/18 positive: refer immediately for colposcopy.</w:t>
            </w:r>
            <w:r w:rsidRPr="00CB2EC4">
              <w:rPr>
                <w:rFonts w:ascii="Times New Roman" w:hAnsi="Times New Roman" w:cs="Times New Roman"/>
              </w:rPr>
              <w:br/>
              <w:t xml:space="preserve">  - HPV16/18 negative but positive for other 12 high-risk HPV types: recommend repeating combined cytology and HPV testing after 1 year (i.e., annual follow-up).</w:t>
            </w:r>
            <w:r w:rsidRPr="00CB2EC4">
              <w:rPr>
                <w:rFonts w:ascii="Times New Roman" w:hAnsi="Times New Roman" w:cs="Times New Roman"/>
              </w:rPr>
              <w:br/>
              <w:t>- If HPV testing is not genotyped (i.e., no typing performed): suggest combining with clinical symptoms and signs, and refer directly for colposcopy when necessary.</w:t>
            </w:r>
            <w:r w:rsidRPr="00CB2EC4">
              <w:rPr>
                <w:rFonts w:ascii="Times New Roman" w:hAnsi="Times New Roman" w:cs="Times New Roman"/>
              </w:rPr>
              <w:br/>
              <w:t xml:space="preserve">  Summary of specific examination steps:</w:t>
            </w:r>
            <w:r w:rsidRPr="00CB2EC4">
              <w:rPr>
                <w:rFonts w:ascii="Times New Roman" w:hAnsi="Times New Roman" w:cs="Times New Roman"/>
              </w:rPr>
              <w:br/>
            </w:r>
            <w:r w:rsidRPr="00CB2EC4">
              <w:rPr>
                <w:rFonts w:ascii="Times New Roman" w:hAnsi="Times New Roman" w:cs="Times New Roman"/>
              </w:rPr>
              <w:br/>
              <w:t>1. Prioritize HPV genotyping testing (if not already performed).</w:t>
            </w:r>
            <w:r w:rsidRPr="00CB2EC4">
              <w:rPr>
                <w:rFonts w:ascii="Times New Roman" w:hAnsi="Times New Roman" w:cs="Times New Roman"/>
              </w:rPr>
              <w:br/>
              <w:t>2. Based on genotyping results:</w:t>
            </w:r>
            <w:r w:rsidRPr="00CB2EC4">
              <w:rPr>
                <w:rFonts w:ascii="Times New Roman" w:hAnsi="Times New Roman" w:cs="Times New Roman"/>
              </w:rPr>
              <w:br/>
              <w:t xml:space="preserve">   - HPV16/18 positive → colposcopy.</w:t>
            </w:r>
            <w:r w:rsidRPr="00CB2EC4">
              <w:rPr>
                <w:rFonts w:ascii="Times New Roman" w:hAnsi="Times New Roman" w:cs="Times New Roman"/>
              </w:rPr>
              <w:br/>
            </w:r>
            <w:r w:rsidRPr="00CB2EC4">
              <w:rPr>
                <w:rFonts w:ascii="Times New Roman" w:hAnsi="Times New Roman" w:cs="Times New Roman"/>
              </w:rPr>
              <w:lastRenderedPageBreak/>
              <w:t xml:space="preserve">   - Other 12 types positive → repeat combined testing (cytology + HPV) after 1 year.</w:t>
            </w:r>
            <w:r w:rsidRPr="00CB2EC4">
              <w:rPr>
                <w:rFonts w:ascii="Times New Roman" w:hAnsi="Times New Roman" w:cs="Times New Roman"/>
              </w:rPr>
              <w:br/>
              <w:t>3. If no genotyping → refer directly for colposcopy when necessary (based on clinical judgment, as emphasized in the document).</w:t>
            </w:r>
            <w:r w:rsidRPr="00CB2EC4">
              <w:rPr>
                <w:rFonts w:ascii="Times New Roman" w:hAnsi="Times New Roman" w:cs="Times New Roman"/>
              </w:rPr>
              <w:br/>
              <w:t xml:space="preserve">   Document reference: Fragment with similarity 0.620 states "2.3.3 HPV positive / cytology negative: </w:t>
            </w:r>
            <w:r w:rsidRPr="00CB2EC4">
              <w:rPr>
                <w:rFonts w:ascii="宋体" w:eastAsia="宋体" w:hAnsi="宋体" w:cs="宋体" w:hint="eastAsia"/>
              </w:rPr>
              <w:t>①</w:t>
            </w:r>
            <w:r w:rsidRPr="00CB2EC4">
              <w:rPr>
                <w:rFonts w:ascii="Times New Roman" w:hAnsi="Times New Roman" w:cs="Times New Roman"/>
              </w:rPr>
              <w:t xml:space="preserve"> If HPV genotyped and HPV16, 18 positive, refer immediately for colposcopy; </w:t>
            </w:r>
            <w:r w:rsidRPr="00CB2EC4">
              <w:rPr>
                <w:rFonts w:ascii="宋体" w:eastAsia="宋体" w:hAnsi="宋体" w:cs="宋体" w:hint="eastAsia"/>
              </w:rPr>
              <w:t>②</w:t>
            </w:r>
            <w:r w:rsidRPr="00CB2EC4">
              <w:rPr>
                <w:rFonts w:ascii="Times New Roman" w:hAnsi="Times New Roman" w:cs="Times New Roman"/>
              </w:rPr>
              <w:t xml:space="preserve"> If HPV not genotyped, suggest combining with clinical symptoms and signs, refer directly for colposcopy when necessary"; fragment with similarity 0.623 states "4. Cytology (−) &amp; HPV (+) then perform 1-year follow-up."</w:t>
            </w:r>
          </w:p>
        </w:tc>
        <w:tc>
          <w:tcPr>
            <w:tcW w:w="1152" w:type="dxa"/>
            <w:vAlign w:val="center"/>
          </w:tcPr>
          <w:p w14:paraId="38C9668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16F686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0591C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9B448D1" w14:textId="77777777" w:rsidTr="00547D77">
        <w:tc>
          <w:tcPr>
            <w:tcW w:w="2160" w:type="dxa"/>
            <w:vAlign w:val="center"/>
          </w:tcPr>
          <w:p w14:paraId="1D82362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7656DA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negative, the following specific management should be performed:</w:t>
            </w:r>
            <w:r w:rsidRPr="00CB2EC4">
              <w:rPr>
                <w:rFonts w:ascii="Times New Roman" w:hAnsi="Times New Roman" w:cs="Times New Roman"/>
              </w:rPr>
              <w:br/>
            </w:r>
            <w:r w:rsidRPr="00CB2EC4">
              <w:rPr>
                <w:rFonts w:ascii="Times New Roman" w:hAnsi="Times New Roman" w:cs="Times New Roman"/>
              </w:rPr>
              <w:br/>
              <w:t>- If HPV genotyping is performed and the result is HPV16/18 positive, immediate referral for colposcopy is indicated (see [similarity: 0.535] and [similarity: 0.613]).</w:t>
            </w:r>
            <w:r w:rsidRPr="00CB2EC4">
              <w:rPr>
                <w:rFonts w:ascii="Times New Roman" w:hAnsi="Times New Roman" w:cs="Times New Roman"/>
              </w:rPr>
              <w:br/>
              <w:t>- If HPV genotyping shows positivity for other 12 high-risk types (non-HPV16/18), or if genotyping is not performed (HPV untyped), repeat co-testing (cytology + high-risk HPV) should be conducted after 1 year (see [similarity: 0.526], [similarity: 0.611], and [similarity: 0.613]).</w:t>
            </w:r>
            <w:r w:rsidRPr="00CB2EC4">
              <w:rPr>
                <w:rFonts w:ascii="Times New Roman" w:hAnsi="Times New Roman" w:cs="Times New Roman"/>
              </w:rPr>
              <w:br/>
              <w:t>- Specifically for this scenario (genotyping not specified), the general recommendation is to perform repeat co-testing after 1 year. The document states: “Cytology (−) &amp; HPV (+) → perform 1-year follow-</w:t>
            </w:r>
            <w:r w:rsidRPr="00CB2EC4">
              <w:rPr>
                <w:rFonts w:ascii="Times New Roman" w:hAnsi="Times New Roman" w:cs="Times New Roman"/>
              </w:rPr>
              <w:lastRenderedPageBreak/>
              <w:t>up (repeat co-testing after 1 year)” ([similarity: 0.613]).</w:t>
            </w:r>
            <w:r w:rsidRPr="00CB2EC4">
              <w:rPr>
                <w:rFonts w:ascii="Times New Roman" w:hAnsi="Times New Roman" w:cs="Times New Roman"/>
              </w:rPr>
              <w:br/>
            </w:r>
            <w:r w:rsidRPr="00CB2EC4">
              <w:rPr>
                <w:rFonts w:ascii="Times New Roman" w:hAnsi="Times New Roman" w:cs="Times New Roman"/>
              </w:rPr>
              <w:br/>
              <w:t>Answer: Repeat cytology + high-risk HPV co-testing after 1 year should be performed. If HPV genotyping is positive for HPV16/18, immediate referral for colposcopy is indicated; if untyped or positive for other 12 high-risk types, manage with 1-year follow-up.</w:t>
            </w:r>
          </w:p>
        </w:tc>
        <w:tc>
          <w:tcPr>
            <w:tcW w:w="1152" w:type="dxa"/>
            <w:vAlign w:val="center"/>
          </w:tcPr>
          <w:p w14:paraId="792BC16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A79FA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A4A0A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2F4156E" w14:textId="77777777" w:rsidTr="00547D77">
        <w:tc>
          <w:tcPr>
            <w:tcW w:w="10656" w:type="dxa"/>
            <w:gridSpan w:val="5"/>
            <w:tcBorders>
              <w:bottom w:val="single" w:sz="6" w:space="0" w:color="auto"/>
            </w:tcBorders>
            <w:vAlign w:val="center"/>
          </w:tcPr>
          <w:p w14:paraId="645A301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17: In cervical cancer detection, if joint testing of cytology and high-risk HPV shows HPV-positive and the cytological result is negative, and the HPV typing is HPV16/18 positive, what specific examinations should follow?</w:t>
            </w:r>
          </w:p>
        </w:tc>
      </w:tr>
      <w:tr w:rsidR="00916494" w:rsidRPr="00CB2EC4" w14:paraId="30ADD875" w14:textId="77777777" w:rsidTr="00547D77">
        <w:tc>
          <w:tcPr>
            <w:tcW w:w="2160" w:type="dxa"/>
            <w:vAlign w:val="center"/>
          </w:tcPr>
          <w:p w14:paraId="18E721D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608DDF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negative, with HPV genotyping positive for HPV16/18, the specific examination that should be performed is:</w:t>
            </w:r>
            <w:r w:rsidRPr="00CB2EC4">
              <w:rPr>
                <w:rFonts w:ascii="Times New Roman" w:hAnsi="Times New Roman" w:cs="Times New Roman"/>
              </w:rPr>
              <w:br/>
            </w:r>
            <w:r w:rsidRPr="00CB2EC4">
              <w:rPr>
                <w:rFonts w:ascii="Times New Roman" w:hAnsi="Times New Roman" w:cs="Times New Roman"/>
              </w:rPr>
              <w:br/>
              <w:t xml:space="preserve">- immediate referral for colposcopy.  </w:t>
            </w:r>
            <w:r w:rsidRPr="00CB2EC4">
              <w:rPr>
                <w:rFonts w:ascii="Times New Roman" w:hAnsi="Times New Roman" w:cs="Times New Roman"/>
              </w:rPr>
              <w:br/>
              <w:t xml:space="preserve">  Specific examination: perform colposcopy directly, without any other preliminary tests.  </w:t>
            </w:r>
            <w:r w:rsidRPr="00CB2EC4">
              <w:rPr>
                <w:rFonts w:ascii="Times New Roman" w:hAnsi="Times New Roman" w:cs="Times New Roman"/>
              </w:rPr>
              <w:br/>
              <w:t xml:space="preserve">  Document basis: fragment with similarity 0.620 states "HPV genotyping positive for HPV16/18, refer immediately for colposcopy" and fragment with similarity 0.623 describes in Figure 3 "HPV16/18 positive → refer immediately for colposcopy".</w:t>
            </w:r>
          </w:p>
        </w:tc>
        <w:tc>
          <w:tcPr>
            <w:tcW w:w="1152" w:type="dxa"/>
            <w:vAlign w:val="center"/>
          </w:tcPr>
          <w:p w14:paraId="4D38F9F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D973E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3F7D1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64A2A19" w14:textId="77777777" w:rsidTr="00547D77">
        <w:tc>
          <w:tcPr>
            <w:tcW w:w="2160" w:type="dxa"/>
            <w:vAlign w:val="center"/>
          </w:tcPr>
          <w:p w14:paraId="1855CDD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EC6293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co-testing (cytology and high-risk HPV) shows HPV positive and cytology negative, and HPV genotyping is positive for HPV16/18, the specific action recommended is:</w:t>
            </w:r>
            <w:r w:rsidRPr="00CB2EC4">
              <w:rPr>
                <w:rFonts w:ascii="Times New Roman" w:hAnsi="Times New Roman" w:cs="Times New Roman"/>
              </w:rPr>
              <w:br/>
            </w:r>
            <w:r w:rsidRPr="00CB2EC4">
              <w:rPr>
                <w:rFonts w:ascii="Times New Roman" w:hAnsi="Times New Roman" w:cs="Times New Roman"/>
              </w:rPr>
              <w:br/>
              <w:t>Immediate referral for colposcopy.</w:t>
            </w:r>
            <w:r w:rsidRPr="00CB2EC4">
              <w:rPr>
                <w:rFonts w:ascii="Times New Roman" w:hAnsi="Times New Roman" w:cs="Times New Roman"/>
              </w:rPr>
              <w:br/>
            </w:r>
            <w:r w:rsidRPr="00CB2EC4">
              <w:rPr>
                <w:rFonts w:ascii="Times New Roman" w:hAnsi="Times New Roman" w:cs="Times New Roman"/>
              </w:rPr>
              <w:br/>
              <w:t xml:space="preserve">The document explicitly states that when co-testing </w:t>
            </w:r>
            <w:r w:rsidRPr="00CB2EC4">
              <w:rPr>
                <w:rFonts w:ascii="Times New Roman" w:hAnsi="Times New Roman" w:cs="Times New Roman"/>
              </w:rPr>
              <w:lastRenderedPageBreak/>
              <w:t>reveals HPV positivity with negative cytology and HPV genotyping identifies HPV16/18 positivity, immediate colposcopic evaluation is required. This is because HPV16/18 are high-risk genotypes strongly associated with cervical cancer risk, necessitating direct colposcopy to rule out high-grade lesions or cancer (see [similarity: 0.535], [similarity: 0.613], and [similarity: 0.611]). For example:</w:t>
            </w:r>
            <w:r w:rsidRPr="00CB2EC4">
              <w:rPr>
                <w:rFonts w:ascii="Times New Roman" w:hAnsi="Times New Roman" w:cs="Times New Roman"/>
              </w:rPr>
              <w:br/>
              <w:t>- “HPV genotyping positive for HPV16/18 → immediate referral for colposcopy” ([similarity: 0.535]).</w:t>
            </w:r>
            <w:r w:rsidRPr="00CB2EC4">
              <w:rPr>
                <w:rFonts w:ascii="Times New Roman" w:hAnsi="Times New Roman" w:cs="Times New Roman"/>
              </w:rPr>
              <w:br/>
              <w:t>- “If HPV genotyping is positive: * HPV16/18 positive → immediate referral for colposcopy” ([similarity: 0.613]).</w:t>
            </w:r>
            <w:r w:rsidRPr="00CB2EC4">
              <w:rPr>
                <w:rFonts w:ascii="Times New Roman" w:hAnsi="Times New Roman" w:cs="Times New Roman"/>
              </w:rPr>
              <w:br/>
            </w:r>
            <w:r w:rsidRPr="00CB2EC4">
              <w:rPr>
                <w:rFonts w:ascii="Times New Roman" w:hAnsi="Times New Roman" w:cs="Times New Roman"/>
              </w:rPr>
              <w:br/>
              <w:t>Answer: Immediate referral for colposcopy should be performed.</w:t>
            </w:r>
          </w:p>
        </w:tc>
        <w:tc>
          <w:tcPr>
            <w:tcW w:w="1152" w:type="dxa"/>
            <w:vAlign w:val="center"/>
          </w:tcPr>
          <w:p w14:paraId="0328E03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22EED7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D5879E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2992CB7" w14:textId="77777777" w:rsidTr="00547D77">
        <w:tc>
          <w:tcPr>
            <w:tcW w:w="10656" w:type="dxa"/>
            <w:gridSpan w:val="5"/>
            <w:tcBorders>
              <w:bottom w:val="single" w:sz="6" w:space="0" w:color="auto"/>
            </w:tcBorders>
            <w:vAlign w:val="center"/>
          </w:tcPr>
          <w:p w14:paraId="163DF97F"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18: In cervical cancer detection, if a patient has joint testing of cytology and high-risk HPV showing HPV-positive, the cytological result is negative, and there's no typing for HPV16 or HPV18, are there any other tests needed?</w:t>
            </w:r>
          </w:p>
        </w:tc>
      </w:tr>
      <w:tr w:rsidR="00916494" w:rsidRPr="00CB2EC4" w14:paraId="21A24F8C" w14:textId="77777777" w:rsidTr="00547D77">
        <w:tc>
          <w:tcPr>
            <w:tcW w:w="2160" w:type="dxa"/>
            <w:vAlign w:val="center"/>
          </w:tcPr>
          <w:p w14:paraId="29554F6F"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8D51ED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yes, additional examinations are required based on the HPV genotyping status:  </w:t>
            </w:r>
            <w:r w:rsidRPr="00CB2EC4">
              <w:rPr>
                <w:rFonts w:ascii="Times New Roman" w:hAnsi="Times New Roman" w:cs="Times New Roman"/>
              </w:rPr>
              <w:br/>
              <w:t xml:space="preserve">- if genotyping shows positivity for other 12 high-risk HPV types (excluding HPV16/18) → perform repeat co-testing (cytology + HPV) after 1 year  </w:t>
            </w:r>
            <w:r w:rsidRPr="00CB2EC4">
              <w:rPr>
                <w:rFonts w:ascii="Times New Roman" w:hAnsi="Times New Roman" w:cs="Times New Roman"/>
              </w:rPr>
              <w:br/>
              <w:t xml:space="preserve">- if HPV genotyping was not performed → refer for colposcopy examination  </w:t>
            </w:r>
            <w:r w:rsidRPr="00CB2EC4">
              <w:rPr>
                <w:rFonts w:ascii="Times New Roman" w:hAnsi="Times New Roman" w:cs="Times New Roman"/>
              </w:rPr>
              <w:br/>
            </w:r>
            <w:r w:rsidRPr="00CB2EC4">
              <w:rPr>
                <w:rFonts w:ascii="Times New Roman" w:hAnsi="Times New Roman" w:cs="Times New Roman"/>
              </w:rPr>
              <w:br/>
              <w:t xml:space="preserve">document references:  </w:t>
            </w:r>
            <w:r w:rsidRPr="00CB2EC4">
              <w:rPr>
                <w:rFonts w:ascii="Times New Roman" w:hAnsi="Times New Roman" w:cs="Times New Roman"/>
              </w:rPr>
              <w:br/>
              <w:t>- similarity 0.620: "HPV positive / cytology negative: ...</w:t>
            </w:r>
            <w:r w:rsidRPr="00CB2EC4">
              <w:rPr>
                <w:rFonts w:ascii="宋体" w:eastAsia="宋体" w:hAnsi="宋体" w:cs="宋体" w:hint="eastAsia"/>
              </w:rPr>
              <w:t>②</w:t>
            </w:r>
            <w:r w:rsidRPr="00CB2EC4">
              <w:rPr>
                <w:rFonts w:ascii="Times New Roman" w:hAnsi="Times New Roman" w:cs="Times New Roman"/>
              </w:rPr>
              <w:t xml:space="preserve"> HPV not genotyped, suggest direct referral for colposcopy"  </w:t>
            </w:r>
            <w:r w:rsidRPr="00CB2EC4">
              <w:rPr>
                <w:rFonts w:ascii="Times New Roman" w:hAnsi="Times New Roman" w:cs="Times New Roman"/>
              </w:rPr>
              <w:br/>
              <w:t>- similarity 0.623: "HPV16/18 negative but other 12 high-risk HPV types positive → 1-year follow-up"</w:t>
            </w:r>
          </w:p>
        </w:tc>
        <w:tc>
          <w:tcPr>
            <w:tcW w:w="1152" w:type="dxa"/>
            <w:vAlign w:val="center"/>
          </w:tcPr>
          <w:p w14:paraId="330C8C2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686AB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D1AB3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05B1164" w14:textId="77777777" w:rsidTr="00547D77">
        <w:tc>
          <w:tcPr>
            <w:tcW w:w="2160" w:type="dxa"/>
            <w:vAlign w:val="center"/>
          </w:tcPr>
          <w:p w14:paraId="6AD27D48"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281D21A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If the patient's cytology is negative and high-risk HPV is positive, but without HPV16 or HPV18 genotyping:  </w:t>
            </w:r>
            <w:r w:rsidRPr="00CB2EC4">
              <w:rPr>
                <w:rFonts w:ascii="Times New Roman" w:hAnsi="Times New Roman" w:cs="Times New Roman"/>
              </w:rPr>
              <w:br/>
              <w:t xml:space="preserve">- If high-risk HPV genotyping was performed and shows positivity for other 12 high-risk types (non-HPV16/18): schedule repeat co-testing (cytology + HPV) after 1 year; no immediate additional tests are required.  </w:t>
            </w:r>
            <w:r w:rsidRPr="00CB2EC4">
              <w:rPr>
                <w:rFonts w:ascii="Times New Roman" w:hAnsi="Times New Roman" w:cs="Times New Roman"/>
              </w:rPr>
              <w:br/>
              <w:t xml:space="preserve">- If HPV genotyping was not performed (i.e., HPV test result is untyped): refer directly for colposcopy, as untyped status cannot exclude high-risk types.  </w:t>
            </w:r>
            <w:r w:rsidRPr="00CB2EC4">
              <w:rPr>
                <w:rFonts w:ascii="Times New Roman" w:hAnsi="Times New Roman" w:cs="Times New Roman"/>
              </w:rPr>
              <w:br/>
              <w:t>No additional examinations (e.g., imaging) are indicated beyond the above steps based on the provided guidelines.</w:t>
            </w:r>
          </w:p>
        </w:tc>
        <w:tc>
          <w:tcPr>
            <w:tcW w:w="1152" w:type="dxa"/>
            <w:vAlign w:val="center"/>
          </w:tcPr>
          <w:p w14:paraId="00A1C0B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86A0DC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79F966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089113D5" w14:textId="77777777" w:rsidTr="00547D77">
        <w:tc>
          <w:tcPr>
            <w:tcW w:w="10656" w:type="dxa"/>
            <w:gridSpan w:val="5"/>
            <w:tcBorders>
              <w:bottom w:val="single" w:sz="6" w:space="0" w:color="auto"/>
            </w:tcBorders>
            <w:vAlign w:val="center"/>
          </w:tcPr>
          <w:p w14:paraId="00B706E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19: In cervical cancer screening, if a patient has a histopathological confirmation (biopsy) of LSIL cytology findings of LSIL or higher and a TZ3 classification, what follow-up steps should be conducted?</w:t>
            </w:r>
          </w:p>
        </w:tc>
      </w:tr>
      <w:tr w:rsidR="00916494" w:rsidRPr="00CB2EC4" w14:paraId="3C487621" w14:textId="77777777" w:rsidTr="00547D77">
        <w:tc>
          <w:tcPr>
            <w:tcW w:w="2160" w:type="dxa"/>
            <w:vAlign w:val="center"/>
          </w:tcPr>
          <w:p w14:paraId="40B2772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992991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the patient's histopathology (biopsy) confirms LSIL, the cytology finding is LSIL or higher, and the transformation zone is classified as TZ3, the following follow-up steps should be taken:</w:t>
            </w:r>
            <w:r w:rsidRPr="00CB2EC4">
              <w:rPr>
                <w:rFonts w:ascii="Times New Roman" w:hAnsi="Times New Roman" w:cs="Times New Roman"/>
              </w:rPr>
              <w:br/>
            </w:r>
            <w:r w:rsidRPr="00CB2EC4">
              <w:rPr>
                <w:rFonts w:ascii="Times New Roman" w:hAnsi="Times New Roman" w:cs="Times New Roman"/>
              </w:rPr>
              <w:br/>
              <w:t>- After histopathological confirmation of LSIL, management depends on the cytology result level:</w:t>
            </w:r>
            <w:r w:rsidRPr="00CB2EC4">
              <w:rPr>
                <w:rFonts w:ascii="Times New Roman" w:hAnsi="Times New Roman" w:cs="Times New Roman"/>
              </w:rPr>
              <w:br/>
              <w:t xml:space="preserve">  - If the cytology result is LSIL (low-grade) or lower (≤LSIL): for TZ3 classification (transformation zone not visible), an endocervical curettage (ECC) should be performed, and subsequent management should be based on the ECC results (e.g., histological diagnosis grade).</w:t>
            </w:r>
            <w:r w:rsidRPr="00CB2EC4">
              <w:rPr>
                <w:rFonts w:ascii="Times New Roman" w:hAnsi="Times New Roman" w:cs="Times New Roman"/>
              </w:rPr>
              <w:br/>
              <w:t xml:space="preserve">  - If the cytology result is ASC-H or higher (≥ASC-H): for TZ3 classification, refer for colposcopy or proceed directly to diagnostic conization.</w:t>
            </w:r>
            <w:r w:rsidRPr="00CB2EC4">
              <w:rPr>
                <w:rFonts w:ascii="Times New Roman" w:hAnsi="Times New Roman" w:cs="Times New Roman"/>
              </w:rPr>
              <w:br/>
            </w:r>
            <w:r w:rsidRPr="00CB2EC4">
              <w:rPr>
                <w:rFonts w:ascii="Times New Roman" w:hAnsi="Times New Roman" w:cs="Times New Roman"/>
              </w:rPr>
              <w:lastRenderedPageBreak/>
              <w:br/>
              <w:t>Summary of follow-up steps:</w:t>
            </w:r>
            <w:r w:rsidRPr="00CB2EC4">
              <w:rPr>
                <w:rFonts w:ascii="Times New Roman" w:hAnsi="Times New Roman" w:cs="Times New Roman"/>
              </w:rPr>
              <w:br/>
            </w:r>
            <w:r w:rsidRPr="00CB2EC4">
              <w:rPr>
                <w:rFonts w:ascii="Times New Roman" w:hAnsi="Times New Roman" w:cs="Times New Roman"/>
              </w:rPr>
              <w:br/>
              <w:t>1. Evaluate the specific cytology grade:</w:t>
            </w:r>
            <w:r w:rsidRPr="00CB2EC4">
              <w:rPr>
                <w:rFonts w:ascii="Times New Roman" w:hAnsi="Times New Roman" w:cs="Times New Roman"/>
              </w:rPr>
              <w:br/>
              <w:t xml:space="preserve">   - Cytology ≤ LSIL → perform ECC.</w:t>
            </w:r>
            <w:r w:rsidRPr="00CB2EC4">
              <w:rPr>
                <w:rFonts w:ascii="Times New Roman" w:hAnsi="Times New Roman" w:cs="Times New Roman"/>
              </w:rPr>
              <w:br/>
              <w:t xml:space="preserve">   - Cytology ≥ ASC-H → refer for colposcopy or diagnostic conization.</w:t>
            </w:r>
            <w:r w:rsidRPr="00CB2EC4">
              <w:rPr>
                <w:rFonts w:ascii="Times New Roman" w:hAnsi="Times New Roman" w:cs="Times New Roman"/>
              </w:rPr>
              <w:br/>
              <w:t>2. Subsequent management is based on ECC or biopsy results (e.g., continued follow-up if no invasive cancer is found).</w:t>
            </w:r>
            <w:r w:rsidRPr="00CB2EC4">
              <w:rPr>
                <w:rFonts w:ascii="Times New Roman" w:hAnsi="Times New Roman" w:cs="Times New Roman"/>
              </w:rPr>
              <w:br/>
            </w:r>
            <w:r w:rsidRPr="00CB2EC4">
              <w:rPr>
                <w:rFonts w:ascii="Times New Roman" w:hAnsi="Times New Roman" w:cs="Times New Roman"/>
              </w:rPr>
              <w:br/>
              <w:t>Document basis: the segment with similarity 0.411 states "histopathologically confirmed LSIL... if cytology ≤ LSIL... if the patient is TZ3 type, then the patient should undergo endocervical curettage (ECC)" and "if cytology ≥ ASC-H... TZ3 → colposcopy"; the segment with similarity 0.371 adds the option of diagnostic conization.</w:t>
            </w:r>
          </w:p>
        </w:tc>
        <w:tc>
          <w:tcPr>
            <w:tcW w:w="1152" w:type="dxa"/>
            <w:vAlign w:val="center"/>
          </w:tcPr>
          <w:p w14:paraId="28077E5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287976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C8B15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76546F5" w14:textId="77777777" w:rsidTr="00547D77">
        <w:tc>
          <w:tcPr>
            <w:tcW w:w="2160" w:type="dxa"/>
            <w:vAlign w:val="center"/>
          </w:tcPr>
          <w:p w14:paraId="42E89ED0"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1216EB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If HPV genotyping was performed and the result is positive for one of the other 12 high-risk HPV types (not HPV16/18): perform repeat co-testing (cytology + HPV) after 1 year; no immediate additional tests are required.</w:t>
            </w:r>
            <w:r w:rsidRPr="00CB2EC4">
              <w:rPr>
                <w:rFonts w:ascii="Times New Roman" w:hAnsi="Times New Roman" w:cs="Times New Roman"/>
              </w:rPr>
              <w:br/>
              <w:t>- If HPV genotyping was not performed (i.e., HPV test is positive but not typed): refer directly for colposcopy.</w:t>
            </w:r>
            <w:r w:rsidRPr="00CB2EC4">
              <w:rPr>
                <w:rFonts w:ascii="Times New Roman" w:hAnsi="Times New Roman" w:cs="Times New Roman"/>
              </w:rPr>
              <w:br/>
            </w:r>
            <w:r w:rsidRPr="00CB2EC4">
              <w:rPr>
                <w:rFonts w:ascii="Times New Roman" w:hAnsi="Times New Roman" w:cs="Times New Roman"/>
              </w:rPr>
              <w:br/>
              <w:t>No additional examinations (such as imaging) are indicated beyond the above management based on HPV genotyping status.</w:t>
            </w:r>
          </w:p>
        </w:tc>
        <w:tc>
          <w:tcPr>
            <w:tcW w:w="1152" w:type="dxa"/>
            <w:vAlign w:val="center"/>
          </w:tcPr>
          <w:p w14:paraId="2AA09A6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501F1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C5554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13CBE9E" w14:textId="77777777" w:rsidTr="00547D77">
        <w:tc>
          <w:tcPr>
            <w:tcW w:w="10656" w:type="dxa"/>
            <w:gridSpan w:val="5"/>
            <w:tcBorders>
              <w:bottom w:val="single" w:sz="6" w:space="0" w:color="auto"/>
            </w:tcBorders>
            <w:vAlign w:val="center"/>
          </w:tcPr>
          <w:p w14:paraId="435FE764"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 xml:space="preserve">Question 20: In cervical cancer screening, if a patient has a histopathological confirmation (biopsy) of LSIL cytology findings of </w:t>
            </w:r>
            <w:r w:rsidRPr="00CB2EC4">
              <w:rPr>
                <w:rFonts w:ascii="Times New Roman" w:hAnsi="Times New Roman" w:cs="Times New Roman"/>
                <w:b/>
              </w:rPr>
              <w:lastRenderedPageBreak/>
              <w:t>LSIL or lower and a TZ1/2 classification, what follow-up steps should be conducted?</w:t>
            </w:r>
          </w:p>
        </w:tc>
      </w:tr>
      <w:tr w:rsidR="00916494" w:rsidRPr="00CB2EC4" w14:paraId="3E4A5032" w14:textId="77777777" w:rsidTr="00547D77">
        <w:tc>
          <w:tcPr>
            <w:tcW w:w="2160" w:type="dxa"/>
            <w:vAlign w:val="center"/>
          </w:tcPr>
          <w:p w14:paraId="2269A4B1"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size=512, Overlap=0 Using TokenTextSplitter</w:t>
            </w:r>
          </w:p>
        </w:tc>
        <w:tc>
          <w:tcPr>
            <w:tcW w:w="5040" w:type="dxa"/>
            <w:vAlign w:val="center"/>
          </w:tcPr>
          <w:p w14:paraId="49DFE65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the patient's histopathology (biopsy) confirms LSIL, cytology findings are LSIL or lower grade (≤LSIL), and the transformation zone is classified as TZ1/2, the following follow-up steps should be taken:</w:t>
            </w:r>
            <w:r w:rsidRPr="00CB2EC4">
              <w:rPr>
                <w:rFonts w:ascii="Times New Roman" w:hAnsi="Times New Roman" w:cs="Times New Roman"/>
              </w:rPr>
              <w:br/>
            </w:r>
            <w:r w:rsidRPr="00CB2EC4">
              <w:rPr>
                <w:rFonts w:ascii="Times New Roman" w:hAnsi="Times New Roman" w:cs="Times New Roman"/>
              </w:rPr>
              <w:br/>
              <w:t>- enter an observation follow-up pathway</w:t>
            </w:r>
            <w:r w:rsidRPr="00CB2EC4">
              <w:rPr>
                <w:rFonts w:ascii="Times New Roman" w:hAnsi="Times New Roman" w:cs="Times New Roman"/>
              </w:rPr>
              <w:br/>
              <w:t>- perform a repeat examination (including cytology and colposcopy) every 6 to 12 weeks to closely monitor and rule out invasive cancer</w:t>
            </w:r>
            <w:r w:rsidRPr="00CB2EC4">
              <w:rPr>
                <w:rFonts w:ascii="Times New Roman" w:hAnsi="Times New Roman" w:cs="Times New Roman"/>
              </w:rPr>
              <w:br/>
              <w:t>- if two consecutive repeat examinations are negative (no abnormalities), transition to routine screening (e.g., co-testing every 3–5 years)</w:t>
            </w:r>
            <w:r w:rsidRPr="00CB2EC4">
              <w:rPr>
                <w:rFonts w:ascii="Times New Roman" w:hAnsi="Times New Roman" w:cs="Times New Roman"/>
              </w:rPr>
              <w:br/>
            </w:r>
            <w:r w:rsidRPr="00CB2EC4">
              <w:rPr>
                <w:rFonts w:ascii="Times New Roman" w:hAnsi="Times New Roman" w:cs="Times New Roman"/>
              </w:rPr>
              <w:br/>
              <w:t>document basis: the fragment with similarity 0.411 states: "histopathology confirmed LSIL... cytology ≤LSIL (low-grade lesion); if the patient's TZ typing is TZ1 or TZ2: then enter the observation follow-up pathway: repeat every 6~12 weeks (close monitoring, exclude invasive cancer). If two consecutive repeats are negative → transition to routine screening."</w:t>
            </w:r>
          </w:p>
        </w:tc>
        <w:tc>
          <w:tcPr>
            <w:tcW w:w="1152" w:type="dxa"/>
            <w:vAlign w:val="center"/>
          </w:tcPr>
          <w:p w14:paraId="2D94F28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29B54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1B7AF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2B4A079" w14:textId="77777777" w:rsidTr="00547D77">
        <w:tc>
          <w:tcPr>
            <w:tcW w:w="2160" w:type="dxa"/>
            <w:vAlign w:val="center"/>
          </w:tcPr>
          <w:p w14:paraId="43F3538C"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8D9035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with histologically confirmed LSIL (biopsy), cytological findings of LSIL or lower grade, and TZ classification of TZ1/2 (transformation zone partially or fully visible), the recommended follow-up steps are:</w:t>
            </w:r>
            <w:r w:rsidRPr="00CB2EC4">
              <w:rPr>
                <w:rFonts w:ascii="Times New Roman" w:hAnsi="Times New Roman" w:cs="Times New Roman"/>
              </w:rPr>
              <w:br/>
            </w:r>
            <w:r w:rsidRPr="00CB2EC4">
              <w:rPr>
                <w:rFonts w:ascii="Times New Roman" w:hAnsi="Times New Roman" w:cs="Times New Roman"/>
              </w:rPr>
              <w:br/>
              <w:t xml:space="preserve">- Perform repeat evaluation (including cytology and colposcopy) every 6 to 12 weeks to closely monitor and exclude invasive cancer (see [similarity: 0.424]: "If cytology ≤ LSIL ... and TZ typing is TZ1 or TZ2: enter the observation follow-up pathway: § repeat </w:t>
            </w:r>
            <w:r w:rsidRPr="00CB2EC4">
              <w:rPr>
                <w:rFonts w:ascii="Times New Roman" w:hAnsi="Times New Roman" w:cs="Times New Roman"/>
              </w:rPr>
              <w:lastRenderedPageBreak/>
              <w:t>every 6~12 weeks (close monitoring, exclude invasive cancer)").</w:t>
            </w:r>
            <w:r w:rsidRPr="00CB2EC4">
              <w:rPr>
                <w:rFonts w:ascii="Times New Roman" w:hAnsi="Times New Roman" w:cs="Times New Roman"/>
              </w:rPr>
              <w:br/>
              <w:t>- If two consecutive repeat tests are negative (no abnormality), transition to routine screening (see [similarity: 0.424]: "If two consecutive repeat tests are negative → transition to routine screening"; [similarity: 0.448]: "TZ1/2 observe (recheck in 6~12 months)").</w:t>
            </w:r>
            <w:r w:rsidRPr="00CB2EC4">
              <w:rPr>
                <w:rFonts w:ascii="Times New Roman" w:hAnsi="Times New Roman" w:cs="Times New Roman"/>
              </w:rPr>
              <w:br/>
              <w:t>- The document emphasizes this pathway applies to non-special populations (e.g., non-pregnant or young patients) and is based on risk management principles.</w:t>
            </w:r>
            <w:r w:rsidRPr="00CB2EC4">
              <w:rPr>
                <w:rFonts w:ascii="Times New Roman" w:hAnsi="Times New Roman" w:cs="Times New Roman"/>
              </w:rPr>
              <w:br/>
            </w:r>
            <w:r w:rsidRPr="00CB2EC4">
              <w:rPr>
                <w:rFonts w:ascii="Times New Roman" w:hAnsi="Times New Roman" w:cs="Times New Roman"/>
              </w:rPr>
              <w:br/>
              <w:t>answer: Repeat evaluation (including cytology and colposcopy) every 6 to 12 weeks to closely monitor and exclude invasive cancer. If two consecutive repeat tests are negative, transition to routine screening.</w:t>
            </w:r>
          </w:p>
        </w:tc>
        <w:tc>
          <w:tcPr>
            <w:tcW w:w="1152" w:type="dxa"/>
            <w:vAlign w:val="center"/>
          </w:tcPr>
          <w:p w14:paraId="6862068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A0844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FEF2C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7C89C7C" w14:textId="77777777" w:rsidTr="00547D77">
        <w:tc>
          <w:tcPr>
            <w:tcW w:w="10656" w:type="dxa"/>
            <w:gridSpan w:val="5"/>
            <w:tcBorders>
              <w:bottom w:val="single" w:sz="6" w:space="0" w:color="auto"/>
            </w:tcBorders>
            <w:vAlign w:val="center"/>
          </w:tcPr>
          <w:p w14:paraId="267D162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21: In cervical cancer screening, if a patient has a histopathological confirmation (biopsy) of LSIL cytology findings of ASC-H or higher, what follow-up steps should be conducted?</w:t>
            </w:r>
          </w:p>
        </w:tc>
      </w:tr>
      <w:tr w:rsidR="00916494" w:rsidRPr="00CB2EC4" w14:paraId="32329FC8" w14:textId="77777777" w:rsidTr="00547D77">
        <w:tc>
          <w:tcPr>
            <w:tcW w:w="2160" w:type="dxa"/>
            <w:vAlign w:val="center"/>
          </w:tcPr>
          <w:p w14:paraId="5627F63F"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61EA76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a patient has histologically confirmed LSIL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response: according to the document context (similarity 0.502 and 0.407), for patients with histologically confirmed LSIL and cytological results of ASC-H or higher (≥ASC-H), assuming non-special populations (i.e., general patients, age not 21–24 years and not pregnant), the management process depends on the cervical transformation zone type (TZ), which must be determined by colposcopy. the specific steps are as follows:</w:t>
            </w:r>
            <w:r w:rsidRPr="00CB2EC4">
              <w:rPr>
                <w:rFonts w:ascii="Times New Roman" w:hAnsi="Times New Roman" w:cs="Times New Roman"/>
              </w:rPr>
              <w:br/>
              <w:t xml:space="preserve">  - first, perform colposcopy to assess TZ type.</w:t>
            </w:r>
            <w:r w:rsidRPr="00CB2EC4">
              <w:rPr>
                <w:rFonts w:ascii="Times New Roman" w:hAnsi="Times New Roman" w:cs="Times New Roman"/>
              </w:rPr>
              <w:br/>
            </w:r>
            <w:r w:rsidRPr="00CB2EC4">
              <w:rPr>
                <w:rFonts w:ascii="Times New Roman" w:hAnsi="Times New Roman" w:cs="Times New Roman"/>
              </w:rPr>
              <w:lastRenderedPageBreak/>
              <w:t xml:space="preserve">  - if colposcopy shows TZ3 (transformation zone not visible), refer for colposcopy (may include further evaluation or biopsy).</w:t>
            </w:r>
            <w:r w:rsidRPr="00CB2EC4">
              <w:rPr>
                <w:rFonts w:ascii="Times New Roman" w:hAnsi="Times New Roman" w:cs="Times New Roman"/>
              </w:rPr>
              <w:br/>
              <w:t xml:space="preserve">  - if colposcopy shows TZ1/2 (transformation zone partially or fully visible), perform diagnostic conization ± endocervical curettage (ECC).</w:t>
            </w:r>
            <w:r w:rsidRPr="00CB2EC4">
              <w:rPr>
                <w:rFonts w:ascii="Times New Roman" w:hAnsi="Times New Roman" w:cs="Times New Roman"/>
              </w:rPr>
              <w:br/>
              <w:t xml:space="preserve">  - source: "figure 4: management flowchart for histologically confirmed LSIL... if cytology ≥ ASC-H (suggesting possible high-grade lesion) o non-special population (general patients): → manage according to transformation zone type (TZ): § TZ3 (transformation zone not visible) → colposcopy. § TZ1/2 (transformation zone partially/fully visible) → diagnostic conization ± endocervical curettage (ECC)." (similarity 0.502)</w:t>
            </w:r>
          </w:p>
        </w:tc>
        <w:tc>
          <w:tcPr>
            <w:tcW w:w="1152" w:type="dxa"/>
            <w:vAlign w:val="center"/>
          </w:tcPr>
          <w:p w14:paraId="7107FB9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A4AE6E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8833A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74277EF" w14:textId="77777777" w:rsidTr="00547D77">
        <w:tc>
          <w:tcPr>
            <w:tcW w:w="2160" w:type="dxa"/>
            <w:vAlign w:val="center"/>
          </w:tcPr>
          <w:p w14:paraId="5B2876C6"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A616FD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a patient has histologically confirmed LSIL (by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according to the document, for general patients (not aged 21–24, not pregnant), with histologically confirmed LSIL but cytology ≥ ASC-H, management depends on the cervical transformation zone (TZ) type:</w:t>
            </w:r>
            <w:r w:rsidRPr="00CB2EC4">
              <w:rPr>
                <w:rFonts w:ascii="Times New Roman" w:hAnsi="Times New Roman" w:cs="Times New Roman"/>
              </w:rPr>
              <w:br/>
              <w:t>- if TZ type is TZ3 (transformation zone not visible), perform colposcopy (document fragment 1: "non-special population (general patients): → manage according to transformation zone type (TZ): § TZ3 (transformation zone not visible) → colposcopy.").</w:t>
            </w:r>
            <w:r w:rsidRPr="00CB2EC4">
              <w:rPr>
                <w:rFonts w:ascii="Times New Roman" w:hAnsi="Times New Roman" w:cs="Times New Roman"/>
              </w:rPr>
              <w:br/>
              <w:t xml:space="preserve">- if TZ type is TZ1/2 (transformation zone partially or fully visible), perform diagnostic conization ± endocervical curettage (ECC) (document fragment 1: "§ TZ1/2 (transformation zone partially/fully visible) </w:t>
            </w:r>
            <w:r w:rsidRPr="00CB2EC4">
              <w:rPr>
                <w:rFonts w:ascii="Times New Roman" w:hAnsi="Times New Roman" w:cs="Times New Roman"/>
              </w:rPr>
              <w:lastRenderedPageBreak/>
              <w:t>→ diagnostic conization ± endocervical curettage (ECC).").</w:t>
            </w:r>
            <w:r w:rsidRPr="00CB2EC4">
              <w:rPr>
                <w:rFonts w:ascii="Times New Roman" w:hAnsi="Times New Roman" w:cs="Times New Roman"/>
              </w:rPr>
              <w:br/>
              <w:t>the document does not specify management when TZ type is unknown; therefore, colposcopic assessment of TZ type should be performed first. this approach prioritizes cytology ≥ ASC-H, as ASC-H suggests possible high-grade lesion, requiring more aggressive intervention to rule out invasive cancer.</w:t>
            </w:r>
          </w:p>
        </w:tc>
        <w:tc>
          <w:tcPr>
            <w:tcW w:w="1152" w:type="dxa"/>
            <w:vAlign w:val="center"/>
          </w:tcPr>
          <w:p w14:paraId="470C196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37EBF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A63871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9CBAF6D" w14:textId="77777777" w:rsidTr="00547D77">
        <w:tc>
          <w:tcPr>
            <w:tcW w:w="10656" w:type="dxa"/>
            <w:gridSpan w:val="5"/>
            <w:tcBorders>
              <w:bottom w:val="single" w:sz="6" w:space="0" w:color="auto"/>
            </w:tcBorders>
            <w:vAlign w:val="center"/>
          </w:tcPr>
          <w:p w14:paraId="4C001252"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22: In cervical cancer screening, if a patient aged 21 to 24 years has a histopathological confirmation (biopsy) of LSIL cytology findings of ASC-H or higher, what follow-up steps should be conducted?</w:t>
            </w:r>
          </w:p>
        </w:tc>
      </w:tr>
      <w:tr w:rsidR="00916494" w:rsidRPr="00CB2EC4" w14:paraId="5860D0D3" w14:textId="77777777" w:rsidTr="00547D77">
        <w:tc>
          <w:tcPr>
            <w:tcW w:w="2160" w:type="dxa"/>
            <w:vAlign w:val="center"/>
          </w:tcPr>
          <w:p w14:paraId="5615C80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CA8AAA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LSIL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First, perform colposcopy to assess the transformation zone (TZ) type.</w:t>
            </w:r>
            <w:r w:rsidRPr="00CB2EC4">
              <w:rPr>
                <w:rFonts w:ascii="Times New Roman" w:hAnsi="Times New Roman" w:cs="Times New Roman"/>
              </w:rPr>
              <w:br/>
              <w:t>- If colposcopy shows TZ3 (transformation zone not visible), proceed directly to diagnostic/therapeutic cervical excision.</w:t>
            </w:r>
            <w:r w:rsidRPr="00CB2EC4">
              <w:rPr>
                <w:rFonts w:ascii="Times New Roman" w:hAnsi="Times New Roman" w:cs="Times New Roman"/>
              </w:rPr>
              <w:br/>
              <w:t>- If colposcopy shows TZ1/TZ2 (transformation zone partially or fully visible), observation with follow-up is appropriate, with cytology and colposcopy repeated every 10–12 weeks to closely monitor lesion progression.</w:t>
            </w:r>
            <w:r w:rsidRPr="00CB2EC4">
              <w:rPr>
                <w:rFonts w:ascii="Times New Roman" w:hAnsi="Times New Roman" w:cs="Times New Roman"/>
              </w:rPr>
              <w:br/>
            </w:r>
            <w:r w:rsidRPr="00CB2EC4">
              <w:rPr>
                <w:rFonts w:ascii="Times New Roman" w:hAnsi="Times New Roman" w:cs="Times New Roman"/>
              </w:rPr>
              <w:br/>
              <w:t xml:space="preserve">Source: "For special populations with cytology ≥ ASC-H: § Patients aged 21–24 should undergo colposcopy only. If colposcopy shows TZ3 type, diagnostic cervical conization should be performed. If colposcopy shows..." (similarity 0.502) and "a. If the patient is aged 21–24 and has cervical transformation zone type TZ1/TZ2, observation (with repeat every </w:t>
            </w:r>
            <w:r w:rsidRPr="00CB2EC4">
              <w:rPr>
                <w:rFonts w:ascii="Times New Roman" w:hAnsi="Times New Roman" w:cs="Times New Roman"/>
              </w:rPr>
              <w:lastRenderedPageBreak/>
              <w:t>10–12 weeks) is indicated... b. If the patient is aged 21–24 and has cervical transformation zone type TZ3, diagnostic/therapeutic cervical excision should be performed directly..." (similarity 0.474).</w:t>
            </w:r>
          </w:p>
        </w:tc>
        <w:tc>
          <w:tcPr>
            <w:tcW w:w="1152" w:type="dxa"/>
            <w:vAlign w:val="center"/>
          </w:tcPr>
          <w:p w14:paraId="0DA7EC9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E2D06F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07234D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2EDA50A5" w14:textId="77777777" w:rsidTr="00547D77">
        <w:tc>
          <w:tcPr>
            <w:tcW w:w="2160" w:type="dxa"/>
            <w:vAlign w:val="center"/>
          </w:tcPr>
          <w:p w14:paraId="15381083"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2DE2D9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LSIL and cytology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according to the document, for this special population aged 21–24 with histologically confirmed LSIL but cytology ≥ASC-H, colposcopy should be performed directly, and further management should be based on the colposcopic findings (document fragment 5: "o for special populations with cytology ≥ASC-H: § patients aged 21~24 should undergo colposcopy only."). subsequent steps depend on the transformation zone (TZ) type observed during colposcopy:</w:t>
            </w:r>
            <w:r w:rsidRPr="00CB2EC4">
              <w:rPr>
                <w:rFonts w:ascii="Times New Roman" w:hAnsi="Times New Roman" w:cs="Times New Roman"/>
              </w:rPr>
              <w:br/>
              <w:t>- if the colposcopy result is TZ3 type, diagnostic cervical conization should be performed (document fragment 5: "if the colposcopy result is TZ3 type, diagnostic cervical conization should be performed.").</w:t>
            </w:r>
            <w:r w:rsidRPr="00CB2EC4">
              <w:rPr>
                <w:rFonts w:ascii="Times New Roman" w:hAnsi="Times New Roman" w:cs="Times New Roman"/>
              </w:rPr>
              <w:br/>
              <w:t>- if the colposcopy result is TZ1 or TZ2 type, the patient should undergo follow-up every 6–12 weeks (including cytology and colposcopy) for close monitoring and to exclude invasive cancer; if two consecutive follow-ups are negative, transition to routine screening is recommended (document fragment 5: "if the colposcopy result is TZ1 or TZ2 type, the patient should be followed up every 6~12 weeks (close monitoring, exclude invasive cancer). if two consecutive follow-ups are negative, transition to routine screening should be done.").</w:t>
            </w:r>
            <w:r w:rsidRPr="00CB2EC4">
              <w:rPr>
                <w:rFonts w:ascii="Times New Roman" w:hAnsi="Times New Roman" w:cs="Times New Roman"/>
              </w:rPr>
              <w:br/>
              <w:t xml:space="preserve">this approach for young patients (aged 21–24) </w:t>
            </w:r>
            <w:r w:rsidRPr="00CB2EC4">
              <w:rPr>
                <w:rFonts w:ascii="Times New Roman" w:hAnsi="Times New Roman" w:cs="Times New Roman"/>
              </w:rPr>
              <w:lastRenderedPageBreak/>
              <w:t>prioritizes conservative monitoring to avoid overtreatment.</w:t>
            </w:r>
          </w:p>
        </w:tc>
        <w:tc>
          <w:tcPr>
            <w:tcW w:w="1152" w:type="dxa"/>
            <w:vAlign w:val="center"/>
          </w:tcPr>
          <w:p w14:paraId="4088801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FA75BC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77F40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EB50884" w14:textId="77777777" w:rsidTr="00547D77">
        <w:tc>
          <w:tcPr>
            <w:tcW w:w="10656" w:type="dxa"/>
            <w:gridSpan w:val="5"/>
            <w:tcBorders>
              <w:bottom w:val="single" w:sz="6" w:space="0" w:color="auto"/>
            </w:tcBorders>
            <w:vAlign w:val="center"/>
          </w:tcPr>
          <w:p w14:paraId="08548D1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23: In cervical cancer screening, if a patient aged 21 to 24 years has a histopathological confirmation (biopsy) of LSIL cytology findings of ASC-H or higher and a TZ3 classification for colposcopy, what follow-up steps should be conducted?</w:t>
            </w:r>
          </w:p>
        </w:tc>
      </w:tr>
      <w:tr w:rsidR="00916494" w:rsidRPr="00CB2EC4" w14:paraId="3F2AF951" w14:textId="77777777" w:rsidTr="00547D77">
        <w:tc>
          <w:tcPr>
            <w:tcW w:w="2160" w:type="dxa"/>
            <w:vAlign w:val="center"/>
          </w:tcPr>
          <w:p w14:paraId="72147808"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64DC11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aged 21 to 24 with histologically confirmed LSIL (biopsy), cytological findings of ASC-H or higher, and a colposcopic classification of TZ3, the following follow-up step should be performed:</w:t>
            </w:r>
            <w:r w:rsidRPr="00CB2EC4">
              <w:rPr>
                <w:rFonts w:ascii="Times New Roman" w:hAnsi="Times New Roman" w:cs="Times New Roman"/>
              </w:rPr>
              <w:br/>
            </w:r>
            <w:r w:rsidRPr="00CB2EC4">
              <w:rPr>
                <w:rFonts w:ascii="Times New Roman" w:hAnsi="Times New Roman" w:cs="Times New Roman"/>
              </w:rPr>
              <w:br/>
              <w:t>- Specific step: Proceed directly to diagnostic/therapeutic cervical conization.</w:t>
            </w:r>
            <w:r w:rsidRPr="00CB2EC4">
              <w:rPr>
                <w:rFonts w:ascii="Times New Roman" w:hAnsi="Times New Roman" w:cs="Times New Roman"/>
              </w:rPr>
              <w:br/>
              <w:t>- Subsequent management: Based on pathological results, exclude invasive cancer and then transition to routine follow-up.</w:t>
            </w:r>
            <w:r w:rsidRPr="00CB2EC4">
              <w:rPr>
                <w:rFonts w:ascii="Times New Roman" w:hAnsi="Times New Roman" w:cs="Times New Roman"/>
              </w:rPr>
              <w:br/>
            </w:r>
            <w:r w:rsidRPr="00CB2EC4">
              <w:rPr>
                <w:rFonts w:ascii="Times New Roman" w:hAnsi="Times New Roman" w:cs="Times New Roman"/>
              </w:rPr>
              <w:br/>
              <w:t xml:space="preserve">Source: </w:t>
            </w:r>
            <w:r w:rsidRPr="00CB2EC4">
              <w:rPr>
                <w:rFonts w:ascii="Times New Roman" w:hAnsi="Times New Roman" w:cs="Times New Roman"/>
              </w:rPr>
              <w:br/>
              <w:t>- "b. If the patient is aged 21–24 years and the cervical transformation zone type is TZ3, the patient should undergo diagnostic/therapeutic cervical conization directly..." (similarity 0.474)</w:t>
            </w:r>
            <w:r w:rsidRPr="00CB2EC4">
              <w:rPr>
                <w:rFonts w:ascii="Times New Roman" w:hAnsi="Times New Roman" w:cs="Times New Roman"/>
              </w:rPr>
              <w:br/>
              <w:t>- "For special populations with cytology ≥ ASC-H: § Patients aged 21~24 years... if colposcopy shows TZ3 type, diagnostic cervical conization should be performed." (similarity 0.502)</w:t>
            </w:r>
          </w:p>
        </w:tc>
        <w:tc>
          <w:tcPr>
            <w:tcW w:w="1152" w:type="dxa"/>
            <w:vAlign w:val="center"/>
          </w:tcPr>
          <w:p w14:paraId="3FF4944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4E8246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C881D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D578931" w14:textId="77777777" w:rsidTr="00547D77">
        <w:tc>
          <w:tcPr>
            <w:tcW w:w="2160" w:type="dxa"/>
            <w:vAlign w:val="center"/>
          </w:tcPr>
          <w:p w14:paraId="6EAB5FFB"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F8E0BE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for patients aged 21 to 24 with histologically confirmed LSIL (biopsy), cytology findings of ASC-H or higher, and a colposcopy classification of TZ3, the recommended follow-up step is to proceed directly to diagnostic cervical conization. This is because TZ3 indicates an invisible transformation zone, which increases the risk of missing high-grade lesions or invasive cancer, necessitating conization to obtain </w:t>
            </w:r>
            <w:r w:rsidRPr="00CB2EC4">
              <w:rPr>
                <w:rFonts w:ascii="Times New Roman" w:hAnsi="Times New Roman" w:cs="Times New Roman"/>
              </w:rPr>
              <w:lastRenderedPageBreak/>
              <w:t>tissue for definitive diagnosis. The document does not specify post-procedure follow-up, but management would typically be guided by the histological results.</w:t>
            </w:r>
          </w:p>
        </w:tc>
        <w:tc>
          <w:tcPr>
            <w:tcW w:w="1152" w:type="dxa"/>
            <w:vAlign w:val="center"/>
          </w:tcPr>
          <w:p w14:paraId="476C8B1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A20E53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B0581F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621F3D8F" w14:textId="77777777" w:rsidTr="00547D77">
        <w:tc>
          <w:tcPr>
            <w:tcW w:w="10656" w:type="dxa"/>
            <w:gridSpan w:val="5"/>
            <w:tcBorders>
              <w:bottom w:val="single" w:sz="6" w:space="0" w:color="auto"/>
            </w:tcBorders>
            <w:vAlign w:val="center"/>
          </w:tcPr>
          <w:p w14:paraId="1236F9F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24: In cervical cancer screening, if a patient aged 21 to 24 years has a histopathological confirmation (biopsy) of LSIL cytology findings of ASC-H or higher and a TZ1/2 classification for colposcopy, what follow-up steps should be conducted?</w:t>
            </w:r>
          </w:p>
        </w:tc>
      </w:tr>
      <w:tr w:rsidR="00916494" w:rsidRPr="00CB2EC4" w14:paraId="4B40BD7A" w14:textId="77777777" w:rsidTr="00547D77">
        <w:tc>
          <w:tcPr>
            <w:tcW w:w="2160" w:type="dxa"/>
            <w:vAlign w:val="center"/>
          </w:tcPr>
          <w:p w14:paraId="63897AD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C39F5B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aged 21 to 24 years with histologically confirmed LSIL (biopsy), cytology findings of ASC-H or higher, and colposcopic classification of TZ1/2 (transformation zone partially or fully visible), the recommended follow-up is:</w:t>
            </w:r>
            <w:r w:rsidRPr="00CB2EC4">
              <w:rPr>
                <w:rFonts w:ascii="Times New Roman" w:hAnsi="Times New Roman" w:cs="Times New Roman"/>
              </w:rPr>
              <w:br/>
            </w:r>
            <w:r w:rsidRPr="00CB2EC4">
              <w:rPr>
                <w:rFonts w:ascii="Times New Roman" w:hAnsi="Times New Roman" w:cs="Times New Roman"/>
              </w:rPr>
              <w:br/>
              <w:t>- Observation with repeat cytology and colposcopy every 6–12 weeks.</w:t>
            </w:r>
            <w:r w:rsidRPr="00CB2EC4">
              <w:rPr>
                <w:rFonts w:ascii="Times New Roman" w:hAnsi="Times New Roman" w:cs="Times New Roman"/>
              </w:rPr>
              <w:br/>
              <w:t>- If no progression is observed on follow-up, continue surveillance.</w:t>
            </w:r>
            <w:r w:rsidRPr="00CB2EC4">
              <w:rPr>
                <w:rFonts w:ascii="Times New Roman" w:hAnsi="Times New Roman" w:cs="Times New Roman"/>
              </w:rPr>
              <w:br/>
              <w:t>- If progression is noted or invasive cancer is detected, refer for treatment (e.g., diagnostic or therapeutic cervical excision).</w:t>
            </w:r>
            <w:r w:rsidRPr="00CB2EC4">
              <w:rPr>
                <w:rFonts w:ascii="Times New Roman" w:hAnsi="Times New Roman" w:cs="Times New Roman"/>
              </w:rPr>
              <w:br/>
            </w:r>
            <w:r w:rsidRPr="00CB2EC4">
              <w:rPr>
                <w:rFonts w:ascii="Times New Roman" w:hAnsi="Times New Roman" w:cs="Times New Roman"/>
              </w:rPr>
              <w:br/>
              <w:t>- Note: This management strategy prioritizes conservative observation in young patients to minimize unnecessary surgical intervention.</w:t>
            </w:r>
          </w:p>
        </w:tc>
        <w:tc>
          <w:tcPr>
            <w:tcW w:w="1152" w:type="dxa"/>
            <w:vAlign w:val="center"/>
          </w:tcPr>
          <w:p w14:paraId="4694AAD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6A3AB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65B650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161D8D2" w14:textId="77777777" w:rsidTr="00547D77">
        <w:tc>
          <w:tcPr>
            <w:tcW w:w="2160" w:type="dxa"/>
            <w:vAlign w:val="center"/>
          </w:tcPr>
          <w:p w14:paraId="0DB1C0AC"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73947A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aged 21 to 24 with histologically confirmed LSIL (biopsy), cytology findings of ASC-H or higher, and colposcopy showing TZ1/2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 xml:space="preserve">- Re-examination every 6 to 12 weeks, including cytology and colposcopy, to exclude invasive cancer (document fragment 5: "If the colposcopy result shows TZ1 or TZ2 type, the patient should undergo re-examination every 6 to 12 weeks (close monitoring </w:t>
            </w:r>
            <w:r w:rsidRPr="00CB2EC4">
              <w:rPr>
                <w:rFonts w:ascii="Times New Roman" w:hAnsi="Times New Roman" w:cs="Times New Roman"/>
              </w:rPr>
              <w:lastRenderedPageBreak/>
              <w:t>to exclude invasive cancer).").</w:t>
            </w:r>
            <w:r w:rsidRPr="00CB2EC4">
              <w:rPr>
                <w:rFonts w:ascii="Times New Roman" w:hAnsi="Times New Roman" w:cs="Times New Roman"/>
              </w:rPr>
              <w:br/>
              <w:t>- If two consecutive re-examinations are negative, transition to routine screening (document fragment 5: "If two consecutive re-examinations are negative, the patient should transition to routine screening.").</w:t>
            </w:r>
            <w:r w:rsidRPr="00CB2EC4">
              <w:rPr>
                <w:rFonts w:ascii="Times New Roman" w:hAnsi="Times New Roman" w:cs="Times New Roman"/>
              </w:rPr>
              <w:br/>
              <w:t>This management is based on the good visibility of TZ1/2 types, allowing conservative observation and avoiding unnecessary invasive procedures.</w:t>
            </w:r>
          </w:p>
        </w:tc>
        <w:tc>
          <w:tcPr>
            <w:tcW w:w="1152" w:type="dxa"/>
            <w:vAlign w:val="center"/>
          </w:tcPr>
          <w:p w14:paraId="6B7F6C5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6D5F1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E5C27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A12152E" w14:textId="77777777" w:rsidTr="00547D77">
        <w:tc>
          <w:tcPr>
            <w:tcW w:w="10656" w:type="dxa"/>
            <w:gridSpan w:val="5"/>
            <w:tcBorders>
              <w:bottom w:val="single" w:sz="6" w:space="0" w:color="auto"/>
            </w:tcBorders>
            <w:vAlign w:val="center"/>
          </w:tcPr>
          <w:p w14:paraId="51C7D3B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25: In cervical cancer screening, if a pregnant patient has a histopathological confirmation (biopsy) of LSIL cytology findings of ASC-H or higher, what follow-up steps should be conducted?</w:t>
            </w:r>
          </w:p>
        </w:tc>
      </w:tr>
      <w:tr w:rsidR="00916494" w:rsidRPr="00CB2EC4" w14:paraId="2060D62A" w14:textId="77777777" w:rsidTr="00547D77">
        <w:tc>
          <w:tcPr>
            <w:tcW w:w="2160" w:type="dxa"/>
            <w:vAlign w:val="center"/>
          </w:tcPr>
          <w:p w14:paraId="22C36FA9"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E9F7A3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pregnant patients with histologically confirmed LSIL (by biopsy) and cytological findings of ASC-H or higher (≥ASC-H), the follow-up steps are as follows:</w:t>
            </w:r>
            <w:r w:rsidRPr="00CB2EC4">
              <w:rPr>
                <w:rFonts w:ascii="Times New Roman" w:hAnsi="Times New Roman" w:cs="Times New Roman"/>
              </w:rPr>
              <w:br/>
            </w:r>
            <w:r w:rsidRPr="00CB2EC4">
              <w:rPr>
                <w:rFonts w:ascii="Times New Roman" w:hAnsi="Times New Roman" w:cs="Times New Roman"/>
              </w:rPr>
              <w:br/>
              <w:t>- Specific steps: Repeat cytology and colposcopy every 10–12 weeks; perform postpartum follow-up at 6–8 weeks after delivery (cytology + colposcopy + ECC).</w:t>
            </w:r>
            <w:r w:rsidRPr="00CB2EC4">
              <w:rPr>
                <w:rFonts w:ascii="Times New Roman" w:hAnsi="Times New Roman" w:cs="Times New Roman"/>
              </w:rPr>
              <w:br/>
              <w:t>- If no abnormalities are found on follow-up, transition to routine screening; if abnormalities are detected, manage according to the abnormal handling protocol.</w:t>
            </w:r>
            <w:r w:rsidRPr="00CB2EC4">
              <w:rPr>
                <w:rFonts w:ascii="Times New Roman" w:hAnsi="Times New Roman" w:cs="Times New Roman"/>
              </w:rPr>
              <w:br/>
            </w:r>
            <w:r w:rsidRPr="00CB2EC4">
              <w:rPr>
                <w:rFonts w:ascii="Times New Roman" w:hAnsi="Times New Roman" w:cs="Times New Roman"/>
              </w:rPr>
              <w:br/>
              <w:t>Document sources:</w:t>
            </w:r>
            <w:r w:rsidRPr="00CB2EC4">
              <w:rPr>
                <w:rFonts w:ascii="Times New Roman" w:hAnsi="Times New Roman" w:cs="Times New Roman"/>
              </w:rPr>
              <w:br/>
              <w:t>- "e. For pregnant patients, cytology and colposcopy should be performed every 10–12 weeks. If no invasive cancer is found, evaluation should be deferred until 6–8 weeks postpartum (cytology + colposcopy + ECC)." (similarity 0.474)</w:t>
            </w:r>
            <w:r w:rsidRPr="00CB2EC4">
              <w:rPr>
                <w:rFonts w:ascii="Times New Roman" w:hAnsi="Times New Roman" w:cs="Times New Roman"/>
              </w:rPr>
              <w:br/>
              <w:t xml:space="preserve">- "Pregnant patients → should undergo close observation: • Repeat every 10~12 weeks (close monitoring to exclude invasive cancer). Perform </w:t>
            </w:r>
            <w:r w:rsidRPr="00CB2EC4">
              <w:rPr>
                <w:rFonts w:ascii="Times New Roman" w:hAnsi="Times New Roman" w:cs="Times New Roman"/>
              </w:rPr>
              <w:lastRenderedPageBreak/>
              <w:t>follow-up at 6–8 weeks postpartum. If abnormalities are found on follow-up, manage according to the abnormal handling protocol. If no CIN is found, the patient should transition to routine screening thereafter." (similarity 0.444)</w:t>
            </w:r>
          </w:p>
        </w:tc>
        <w:tc>
          <w:tcPr>
            <w:tcW w:w="1152" w:type="dxa"/>
            <w:vAlign w:val="center"/>
          </w:tcPr>
          <w:p w14:paraId="072159D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57F70B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148C8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A5EE6D3" w14:textId="77777777" w:rsidTr="00547D77">
        <w:tc>
          <w:tcPr>
            <w:tcW w:w="2160" w:type="dxa"/>
            <w:vAlign w:val="center"/>
          </w:tcPr>
          <w:p w14:paraId="3E04D409"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A4741B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pregnant patients with histologically confirmed LSIL (by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Repeat examination every 10–12 weeks, including cytology and colposcopy (Document fragment 4: "e. For pregnant patients, cytology and colposcopy should be performed every 10–12 weeks." and Document fragment 5: "Pregnant patients → should undergo close monitoring: • Re-examine every 10–12 weeks (close surveillance to exclude invasive cancer).").</w:t>
            </w:r>
            <w:r w:rsidRPr="00CB2EC4">
              <w:rPr>
                <w:rFonts w:ascii="Times New Roman" w:hAnsi="Times New Roman" w:cs="Times New Roman"/>
              </w:rPr>
              <w:br/>
              <w:t>- If invasive cancer is not detected, defer re-evaluation until 6–8 weeks postpartum; the postpartum assessment should include cytology, colposcopy, and endocervical curettage (ECC) (Document fragment 4: "If invasive cancer is not detected, re-evaluation should be postponed until 6–8 weeks postpartum (cytology + colposcopy + ECC).").</w:t>
            </w:r>
            <w:r w:rsidRPr="00CB2EC4">
              <w:rPr>
                <w:rFonts w:ascii="Times New Roman" w:hAnsi="Times New Roman" w:cs="Times New Roman"/>
              </w:rPr>
              <w:br/>
              <w:t>- After postpartum follow-up:</w:t>
            </w:r>
            <w:r w:rsidRPr="00CB2EC4">
              <w:rPr>
                <w:rFonts w:ascii="Times New Roman" w:hAnsi="Times New Roman" w:cs="Times New Roman"/>
              </w:rPr>
              <w:br/>
              <w:t xml:space="preserve">  - If no CINⅡ+ is found, transition to routine screening.</w:t>
            </w:r>
            <w:r w:rsidRPr="00CB2EC4">
              <w:rPr>
                <w:rFonts w:ascii="Times New Roman" w:hAnsi="Times New Roman" w:cs="Times New Roman"/>
              </w:rPr>
              <w:br/>
              <w:t xml:space="preserve">  - If CINII+ is detected, perform diagnostic/therapeutic cervical excision, with subsequent management as previously outlined (Document fragment 4: "- If postpartum follow-up shows no CINⅡ+, patients should proceed to routine screening. - If postpartum follow-up reveals CINII+ → diagnostic/therapeutic cervical excision should be </w:t>
            </w:r>
            <w:r w:rsidRPr="00CB2EC4">
              <w:rPr>
                <w:rFonts w:ascii="Times New Roman" w:hAnsi="Times New Roman" w:cs="Times New Roman"/>
              </w:rPr>
              <w:lastRenderedPageBreak/>
              <w:t>performed, with subsequent management as previously described.").</w:t>
            </w:r>
            <w:r w:rsidRPr="00CB2EC4">
              <w:rPr>
                <w:rFonts w:ascii="Times New Roman" w:hAnsi="Times New Roman" w:cs="Times New Roman"/>
              </w:rPr>
              <w:br/>
            </w:r>
            <w:r w:rsidRPr="00CB2EC4">
              <w:rPr>
                <w:rFonts w:ascii="Times New Roman" w:hAnsi="Times New Roman" w:cs="Times New Roman"/>
              </w:rPr>
              <w:br/>
              <w:t>This approach prioritizes pregnancy safety by avoiding invasive procedures during gestation.</w:t>
            </w:r>
          </w:p>
        </w:tc>
        <w:tc>
          <w:tcPr>
            <w:tcW w:w="1152" w:type="dxa"/>
            <w:vAlign w:val="center"/>
          </w:tcPr>
          <w:p w14:paraId="7AB22C7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0613A5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07AC0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3E9101E" w14:textId="77777777" w:rsidTr="00547D77">
        <w:tc>
          <w:tcPr>
            <w:tcW w:w="10656" w:type="dxa"/>
            <w:gridSpan w:val="5"/>
            <w:tcBorders>
              <w:bottom w:val="single" w:sz="6" w:space="0" w:color="auto"/>
            </w:tcBorders>
            <w:vAlign w:val="center"/>
          </w:tcPr>
          <w:p w14:paraId="65CA108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26: In cervical cancer screening, if a patient has a histopathological confirmation (biopsy) of HSIL and a TZ1/2 classification, what follow-up steps should be conducted?</w:t>
            </w:r>
          </w:p>
        </w:tc>
      </w:tr>
      <w:tr w:rsidR="00916494" w:rsidRPr="00CB2EC4" w14:paraId="4950BBD8" w14:textId="77777777" w:rsidTr="00547D77">
        <w:tc>
          <w:tcPr>
            <w:tcW w:w="2160" w:type="dxa"/>
            <w:vAlign w:val="center"/>
          </w:tcPr>
          <w:p w14:paraId="6F1C1926"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3FDC73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with histopathologically confirmed HSIL (including CIN II, CIN II/III, CIN III) and transformation zone type TZ1/2:</w:t>
            </w:r>
            <w:r w:rsidRPr="00CB2EC4">
              <w:rPr>
                <w:rFonts w:ascii="Times New Roman" w:hAnsi="Times New Roman" w:cs="Times New Roman"/>
              </w:rPr>
              <w:br/>
            </w:r>
            <w:r w:rsidRPr="00CB2EC4">
              <w:rPr>
                <w:rFonts w:ascii="Times New Roman" w:hAnsi="Times New Roman" w:cs="Times New Roman"/>
              </w:rPr>
              <w:br/>
              <w:t>- Preferred management: Diagnostic/therapeutic cervical excision should be performed. If ablation therapy indications are met (e.g., localized lesion extent, no evidence of invasive cancer), cervical ablation therapy may be cautiously considered.</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pathological margins are negative (no CIN II or higher lesions): Re-examine after 4-6 months, including cytology, colposcopy, and endocervical curettage (ECC).</w:t>
            </w:r>
            <w:r w:rsidRPr="00CB2EC4">
              <w:rPr>
                <w:rFonts w:ascii="Times New Roman" w:hAnsi="Times New Roman" w:cs="Times New Roman"/>
              </w:rPr>
              <w:br/>
              <w:t xml:space="preserve">  - If postoperative pathological margins are positive (CIN II or higher lesions present at margins): Re-examine cytology, colposcopy, and ECC after 4-6 months, and manage according to the corresponding lesion grade based on re-examination results (if progression occurs, transfer to treatment pathway).</w:t>
            </w:r>
            <w:r w:rsidRPr="00CB2EC4">
              <w:rPr>
                <w:rFonts w:ascii="Times New Roman" w:hAnsi="Times New Roman" w:cs="Times New Roman"/>
              </w:rPr>
              <w:br/>
              <w:t xml:space="preserve">  - If suspicious invasive cancer is found during surgery: Immediately send for pathological confirmation; if confirmed, transfer to cervical cancer treatment pathway.</w:t>
            </w:r>
            <w:r w:rsidRPr="00CB2EC4">
              <w:rPr>
                <w:rFonts w:ascii="Times New Roman" w:hAnsi="Times New Roman" w:cs="Times New Roman"/>
              </w:rPr>
              <w:br/>
              <w:t xml:space="preserve">- Basis: The document clearly states that diagnostic/therapeutic cervical excision should be the </w:t>
            </w:r>
            <w:r w:rsidRPr="00CB2EC4">
              <w:rPr>
                <w:rFonts w:ascii="Times New Roman" w:hAnsi="Times New Roman" w:cs="Times New Roman"/>
              </w:rPr>
              <w:lastRenderedPageBreak/>
              <w:t>first choice for patients with histopathologically confirmed HSIL and cervical transformation zone type TZ1/2.</w:t>
            </w:r>
          </w:p>
        </w:tc>
        <w:tc>
          <w:tcPr>
            <w:tcW w:w="1152" w:type="dxa"/>
            <w:vAlign w:val="center"/>
          </w:tcPr>
          <w:p w14:paraId="59D1092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35944D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2B3730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82274B3" w14:textId="77777777" w:rsidTr="00547D77">
        <w:tc>
          <w:tcPr>
            <w:tcW w:w="2160" w:type="dxa"/>
            <w:vAlign w:val="center"/>
          </w:tcPr>
          <w:p w14:paraId="39432150"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F61DDB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for a patient with histologically confirmed high-grade squamous intraepithelial lesion (HSIL, including CIN II, CIN II/III, CIN III, CIN II/P16(+)) and transformation zone type TZ1/2 (transformation zone fully or partially visible), the following follow-up steps should be taken:</w:t>
            </w:r>
            <w:r w:rsidRPr="00CB2EC4">
              <w:rPr>
                <w:rFonts w:ascii="Times New Roman" w:hAnsi="Times New Roman" w:cs="Times New Roman"/>
              </w:rPr>
              <w:br/>
            </w:r>
            <w:r w:rsidRPr="00CB2EC4">
              <w:rPr>
                <w:rFonts w:ascii="Times New Roman" w:hAnsi="Times New Roman" w:cs="Times New Roman"/>
              </w:rPr>
              <w:br/>
              <w:t>- For general patients (not aged 21–24 years, not pregnant), diagnostic/therapeutic cervical excision is the preferred option.</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pathology shows negative margins (no residual lesion), a follow-up examination (cytology + colposcopy + endocervical curettage/ECC) should be performed at 4–6 months.</w:t>
            </w:r>
            <w:r w:rsidRPr="00CB2EC4">
              <w:rPr>
                <w:rFonts w:ascii="Times New Roman" w:hAnsi="Times New Roman" w:cs="Times New Roman"/>
              </w:rPr>
              <w:br/>
              <w:t xml:space="preserve">  - If postoperative pathology shows positive margins (margin histopathology reports CIN II or higher), cytology, colposcopy, and ECC should be repeated at 4–6 months, and subsequent management should be based on the findings according to the corresponding lesion grade.</w:t>
            </w:r>
            <w:r w:rsidRPr="00CB2EC4">
              <w:rPr>
                <w:rFonts w:ascii="Times New Roman" w:hAnsi="Times New Roman" w:cs="Times New Roman"/>
              </w:rPr>
              <w:br/>
              <w:t>- If the patient meets the criteria for ablative therapy (e.g., small lesion size, no evidence of invasion), cervical ablation may be considered with caution, though excision remains the preferred approach.</w:t>
            </w:r>
            <w:r w:rsidRPr="00CB2EC4">
              <w:rPr>
                <w:rFonts w:ascii="Times New Roman" w:hAnsi="Times New Roman" w:cs="Times New Roman"/>
              </w:rPr>
              <w:br/>
            </w:r>
            <w:r w:rsidRPr="00CB2EC4">
              <w:rPr>
                <w:rFonts w:ascii="Times New Roman" w:hAnsi="Times New Roman" w:cs="Times New Roman"/>
              </w:rPr>
              <w:br/>
              <w:t xml:space="preserve">In summary, the follow-up steps are: prefer diagnostic/therapeutic cervical excision; postoperatively, based on margin status, schedule a 4–6 month follow-up (cytology + colposcopy + ECC) </w:t>
            </w:r>
            <w:r w:rsidRPr="00CB2EC4">
              <w:rPr>
                <w:rFonts w:ascii="Times New Roman" w:hAnsi="Times New Roman" w:cs="Times New Roman"/>
              </w:rPr>
              <w:lastRenderedPageBreak/>
              <w:t>and adjust subsequent management according to results.</w:t>
            </w:r>
          </w:p>
        </w:tc>
        <w:tc>
          <w:tcPr>
            <w:tcW w:w="1152" w:type="dxa"/>
            <w:vAlign w:val="center"/>
          </w:tcPr>
          <w:p w14:paraId="4883A5A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76A7E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14E1A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D7427EF" w14:textId="77777777" w:rsidTr="00547D77">
        <w:tc>
          <w:tcPr>
            <w:tcW w:w="10656" w:type="dxa"/>
            <w:gridSpan w:val="5"/>
            <w:tcBorders>
              <w:bottom w:val="single" w:sz="6" w:space="0" w:color="auto"/>
            </w:tcBorders>
            <w:vAlign w:val="center"/>
          </w:tcPr>
          <w:p w14:paraId="3CE3E27A"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27: In cervical cancer screening, if a patient has a histopathological confirmation (biopsy) of HSIL and a TZ3 classification, what follow-up steps should be conducted?</w:t>
            </w:r>
          </w:p>
        </w:tc>
      </w:tr>
      <w:tr w:rsidR="00916494" w:rsidRPr="00CB2EC4" w14:paraId="0A7B6E6C" w14:textId="77777777" w:rsidTr="00547D77">
        <w:tc>
          <w:tcPr>
            <w:tcW w:w="2160" w:type="dxa"/>
            <w:vAlign w:val="center"/>
          </w:tcPr>
          <w:p w14:paraId="3C2CA57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7D55F9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a patient has histopathologically confirmed HSIL (biopsy) and a TZ3 transformation zone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 Primary management: Direct diagnostic/therapeutic cervical conization should be performed (ablation therapy is not an option).</w:t>
            </w:r>
            <w:r w:rsidRPr="00CB2EC4">
              <w:rPr>
                <w:rFonts w:ascii="Times New Roman" w:hAnsi="Times New Roman" w:cs="Times New Roman"/>
              </w:rPr>
              <w:br/>
              <w:t>- Postoperative follow-up:</w:t>
            </w:r>
            <w:r w:rsidRPr="00CB2EC4">
              <w:rPr>
                <w:rFonts w:ascii="Times New Roman" w:hAnsi="Times New Roman" w:cs="Times New Roman"/>
              </w:rPr>
              <w:br/>
              <w:t xml:space="preserve">  - If postoperative pathology shows negative margins, perform a follow-up at 4–6 months including cytology, colposcopy, and endocervical curettage (ECC).</w:t>
            </w:r>
            <w:r w:rsidRPr="00CB2EC4">
              <w:rPr>
                <w:rFonts w:ascii="Times New Roman" w:hAnsi="Times New Roman" w:cs="Times New Roman"/>
              </w:rPr>
              <w:br/>
              <w:t xml:space="preserve">  - If postoperative pathology shows positive margins (CIN II or higher), perform cytology, colposcopy, and ECC at 4–6 months, and manage according to the corresponding lesion grade based on follow-up results.</w:t>
            </w:r>
            <w:r w:rsidRPr="00CB2EC4">
              <w:rPr>
                <w:rFonts w:ascii="Times New Roman" w:hAnsi="Times New Roman" w:cs="Times New Roman"/>
              </w:rPr>
              <w:br/>
              <w:t xml:space="preserve">  - If suspicious invasive cancer is found intraoperatively, send for immediate pathological confirmation; if confirmed, transition to cervical cancer treatment protocol.</w:t>
            </w:r>
            <w:r w:rsidRPr="00CB2EC4">
              <w:rPr>
                <w:rFonts w:ascii="Times New Roman" w:hAnsi="Times New Roman" w:cs="Times New Roman"/>
              </w:rPr>
              <w:br/>
              <w:t>- Basis: The document explicitly states that “if a patient has histopathologically confirmed HSIL and a TZ3 transformation zone type, the patient should undergo direct diagnostic/therapeutic cervical conization (ablation therapy is not permitted).”</w:t>
            </w:r>
          </w:p>
        </w:tc>
        <w:tc>
          <w:tcPr>
            <w:tcW w:w="1152" w:type="dxa"/>
            <w:vAlign w:val="center"/>
          </w:tcPr>
          <w:p w14:paraId="6FC0D9A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6AC58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29324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F3660D8" w14:textId="77777777" w:rsidTr="00547D77">
        <w:tc>
          <w:tcPr>
            <w:tcW w:w="2160" w:type="dxa"/>
            <w:vAlign w:val="center"/>
          </w:tcPr>
          <w:p w14:paraId="3C47CC6C"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97A250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in cervical cancer screening, if a patient has histologically confirmed HSIL (biopsy) and a TZ3 transformation zone classification, the following </w:t>
            </w:r>
            <w:r w:rsidRPr="00CB2EC4">
              <w:rPr>
                <w:rFonts w:ascii="Times New Roman" w:hAnsi="Times New Roman" w:cs="Times New Roman"/>
              </w:rPr>
              <w:lastRenderedPageBreak/>
              <w:t>follow-up steps should be taken:</w:t>
            </w:r>
            <w:r w:rsidRPr="00CB2EC4">
              <w:rPr>
                <w:rFonts w:ascii="Times New Roman" w:hAnsi="Times New Roman" w:cs="Times New Roman"/>
              </w:rPr>
              <w:br/>
            </w:r>
            <w:r w:rsidRPr="00CB2EC4">
              <w:rPr>
                <w:rFonts w:ascii="Times New Roman" w:hAnsi="Times New Roman" w:cs="Times New Roman"/>
              </w:rPr>
              <w:br/>
              <w:t>based on the document content:</w:t>
            </w:r>
            <w:r w:rsidRPr="00CB2EC4">
              <w:rPr>
                <w:rFonts w:ascii="Times New Roman" w:hAnsi="Times New Roman" w:cs="Times New Roman"/>
              </w:rPr>
              <w:br/>
              <w:t>- for general patients (not aged 21–24, not pregnant), if histologically confirmed as HSIL with transformation zone type TZ3 (transformation zone not visible), a diagnostic/therapeutic cervical conization should be performed directly (ablative therapy is not an option) ([similarity: 0.564]).</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pathology shows negative margins, a follow-up examination (cytology + colposcopy + ECC) should be conducted at 4–6 months.</w:t>
            </w:r>
            <w:r w:rsidRPr="00CB2EC4">
              <w:rPr>
                <w:rFonts w:ascii="Times New Roman" w:hAnsi="Times New Roman" w:cs="Times New Roman"/>
              </w:rPr>
              <w:br/>
              <w:t xml:space="preserve">  - if postoperative pathology shows positive margins (CINⅡ or higher), cytology, colposcopy, and ECC should be repeated at 4–6 months, and subsequent management should be based on the findings according to the corresponding lesion grade ([similarity: 0.484]).</w:t>
            </w:r>
            <w:r w:rsidRPr="00CB2EC4">
              <w:rPr>
                <w:rFonts w:ascii="Times New Roman" w:hAnsi="Times New Roman" w:cs="Times New Roman"/>
              </w:rPr>
              <w:br/>
              <w:t>- the document emphasizes that TZ3 type does not permit observation or ablative therapy; direct surgery is mandatory ([similarity: 0.564]).</w:t>
            </w:r>
            <w:r w:rsidRPr="00CB2EC4">
              <w:rPr>
                <w:rFonts w:ascii="Times New Roman" w:hAnsi="Times New Roman" w:cs="Times New Roman"/>
              </w:rPr>
              <w:br/>
            </w:r>
            <w:r w:rsidRPr="00CB2EC4">
              <w:rPr>
                <w:rFonts w:ascii="Times New Roman" w:hAnsi="Times New Roman" w:cs="Times New Roman"/>
              </w:rPr>
              <w:br/>
              <w:t>in summary, the follow-up steps are: proceed directly to diagnostic/therapeutic cervical conization; after surgery, arrange a 4–6 month follow-up (cytology + colposcopy + ECC) based on margin status; and adjust subsequent management according to the results.</w:t>
            </w:r>
          </w:p>
        </w:tc>
        <w:tc>
          <w:tcPr>
            <w:tcW w:w="1152" w:type="dxa"/>
            <w:vAlign w:val="center"/>
          </w:tcPr>
          <w:p w14:paraId="4DEA3BB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E0145E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E37CC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2AA6DF3" w14:textId="77777777" w:rsidTr="00547D77">
        <w:tc>
          <w:tcPr>
            <w:tcW w:w="10656" w:type="dxa"/>
            <w:gridSpan w:val="5"/>
            <w:tcBorders>
              <w:bottom w:val="single" w:sz="6" w:space="0" w:color="auto"/>
            </w:tcBorders>
            <w:vAlign w:val="center"/>
          </w:tcPr>
          <w:p w14:paraId="342DF8B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28: In cervical cancer screening, if a patient aged 21 to 24 years has a histopathological confirmation (biopsy) of CIN III/HSIL, what follow-up steps should be conducted?</w:t>
            </w:r>
          </w:p>
        </w:tc>
      </w:tr>
      <w:tr w:rsidR="00916494" w:rsidRPr="00CB2EC4" w14:paraId="07C3EEC2" w14:textId="77777777" w:rsidTr="00547D77">
        <w:tc>
          <w:tcPr>
            <w:tcW w:w="2160" w:type="dxa"/>
            <w:vAlign w:val="center"/>
          </w:tcPr>
          <w:p w14:paraId="3F48E057"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9D3340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for patients aged 21 to 24 with histologically confirmed CIN III/HSIL, the follow-up steps depend on the transformation zone (TZ) type:  </w:t>
            </w:r>
            <w:r w:rsidRPr="00CB2EC4">
              <w:rPr>
                <w:rFonts w:ascii="Times New Roman" w:hAnsi="Times New Roman" w:cs="Times New Roman"/>
              </w:rPr>
              <w:br/>
            </w:r>
            <w:r w:rsidRPr="00CB2EC4">
              <w:rPr>
                <w:rFonts w:ascii="Times New Roman" w:hAnsi="Times New Roman" w:cs="Times New Roman"/>
              </w:rPr>
              <w:lastRenderedPageBreak/>
              <w:t xml:space="preserve">- if TZ type is TZ1/2:  </w:t>
            </w:r>
            <w:r w:rsidRPr="00CB2EC4">
              <w:rPr>
                <w:rFonts w:ascii="Times New Roman" w:hAnsi="Times New Roman" w:cs="Times New Roman"/>
              </w:rPr>
              <w:br/>
              <w:t xml:space="preserve">  - observation with follow-up (non-surgical management) may be chosen  </w:t>
            </w:r>
            <w:r w:rsidRPr="00CB2EC4">
              <w:rPr>
                <w:rFonts w:ascii="Times New Roman" w:hAnsi="Times New Roman" w:cs="Times New Roman"/>
              </w:rPr>
              <w:br/>
              <w:t xml:space="preserve">  - follow-up steps: cytology and colposcopy every 10–12 weeks  </w:t>
            </w:r>
            <w:r w:rsidRPr="00CB2EC4">
              <w:rPr>
                <w:rFonts w:ascii="Times New Roman" w:hAnsi="Times New Roman" w:cs="Times New Roman"/>
              </w:rPr>
              <w:br/>
              <w:t xml:space="preserve">    - if no progression is observed, continue surveillance  </w:t>
            </w:r>
            <w:r w:rsidRPr="00CB2EC4">
              <w:rPr>
                <w:rFonts w:ascii="Times New Roman" w:hAnsi="Times New Roman" w:cs="Times New Roman"/>
              </w:rPr>
              <w:br/>
              <w:t xml:space="preserve">    - if progression occurs or invasive cancer is detected, perform diagnostic/therapeutic cervical conization; post-procedure follow-up as previously described (e.g., if margins are negative, repeat testing in 4–6 months)  </w:t>
            </w:r>
            <w:r w:rsidRPr="00CB2EC4">
              <w:rPr>
                <w:rFonts w:ascii="Times New Roman" w:hAnsi="Times New Roman" w:cs="Times New Roman"/>
              </w:rPr>
              <w:br/>
              <w:t xml:space="preserve">- if TZ type is TZ3:  </w:t>
            </w:r>
            <w:r w:rsidRPr="00CB2EC4">
              <w:rPr>
                <w:rFonts w:ascii="Times New Roman" w:hAnsi="Times New Roman" w:cs="Times New Roman"/>
              </w:rPr>
              <w:br/>
              <w:t xml:space="preserve">  - diagnostic/therapeutic cervical conization should be performed directly  </w:t>
            </w:r>
            <w:r w:rsidRPr="00CB2EC4">
              <w:rPr>
                <w:rFonts w:ascii="Times New Roman" w:hAnsi="Times New Roman" w:cs="Times New Roman"/>
              </w:rPr>
              <w:br/>
              <w:t xml:space="preserve">  - post-procedure follow-up steps: same as in Question 27 (if margins are negative, repeat testing in 4–6 months; if margins are positive, repeat testing in 4–6 months and manage based on results)  </w:t>
            </w:r>
            <w:r w:rsidRPr="00CB2EC4">
              <w:rPr>
                <w:rFonts w:ascii="Times New Roman" w:hAnsi="Times New Roman" w:cs="Times New Roman"/>
              </w:rPr>
              <w:br/>
              <w:t>- basis: the document explicitly states "for patients aged 21–24 with histologically confirmed CIN III/HSIL → if transformation zone type is TZ1/2, observation (with cytology + colposcopy every 10–12 weeks) may be chosen... if transformation zone type is TZ3, diagnostic/therapeutic cervical conization should be performed directly"</w:t>
            </w:r>
          </w:p>
        </w:tc>
        <w:tc>
          <w:tcPr>
            <w:tcW w:w="1152" w:type="dxa"/>
            <w:vAlign w:val="center"/>
          </w:tcPr>
          <w:p w14:paraId="667F18B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E475E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8C130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864F1A6" w14:textId="77777777" w:rsidTr="00547D77">
        <w:tc>
          <w:tcPr>
            <w:tcW w:w="2160" w:type="dxa"/>
            <w:vAlign w:val="center"/>
          </w:tcPr>
          <w:p w14:paraId="02AB46D2"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FC89E8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CIN III/HSIL (cervical intraepithelial neoplasia grade III/high-grade squamous intraepithelial lesion), the follow-up steps are as follows:</w:t>
            </w:r>
            <w:r w:rsidRPr="00CB2EC4">
              <w:rPr>
                <w:rFonts w:ascii="Times New Roman" w:hAnsi="Times New Roman" w:cs="Times New Roman"/>
              </w:rPr>
              <w:br/>
            </w:r>
            <w:r w:rsidRPr="00CB2EC4">
              <w:rPr>
                <w:rFonts w:ascii="Times New Roman" w:hAnsi="Times New Roman" w:cs="Times New Roman"/>
              </w:rPr>
              <w:br/>
              <w:t>based on document content:</w:t>
            </w:r>
            <w:r w:rsidRPr="00CB2EC4">
              <w:rPr>
                <w:rFonts w:ascii="Times New Roman" w:hAnsi="Times New Roman" w:cs="Times New Roman"/>
              </w:rPr>
              <w:br/>
              <w:t xml:space="preserve">- the management plan for patients aged 21–24 is </w:t>
            </w:r>
            <w:r w:rsidRPr="00CB2EC4">
              <w:rPr>
                <w:rFonts w:ascii="Times New Roman" w:hAnsi="Times New Roman" w:cs="Times New Roman"/>
              </w:rPr>
              <w:lastRenderedPageBreak/>
              <w:t>explicitly differentiated according to transformation zone (TZ) type:</w:t>
            </w:r>
            <w:r w:rsidRPr="00CB2EC4">
              <w:rPr>
                <w:rFonts w:ascii="Times New Roman" w:hAnsi="Times New Roman" w:cs="Times New Roman"/>
              </w:rPr>
              <w:br/>
              <w:t xml:space="preserve">  - if transformation zone type is TZ1/2 (transformation zone fully or partially visible): observation may be chosen (repeat cytology + colposcopy every 10–12 weeks).</w:t>
            </w:r>
            <w:r w:rsidRPr="00CB2EC4">
              <w:rPr>
                <w:rFonts w:ascii="Times New Roman" w:hAnsi="Times New Roman" w:cs="Times New Roman"/>
              </w:rPr>
              <w:br/>
              <w:t xml:space="preserve">    - if the lesion persists without progression, continue observation.</w:t>
            </w:r>
            <w:r w:rsidRPr="00CB2EC4">
              <w:rPr>
                <w:rFonts w:ascii="Times New Roman" w:hAnsi="Times New Roman" w:cs="Times New Roman"/>
              </w:rPr>
              <w:br/>
              <w:t xml:space="preserve">    - if the lesion progresses or invasive cancer is detected, perform diagnostic/therapeutic cervical conization ([similarity: 0.603]).</w:t>
            </w:r>
            <w:r w:rsidRPr="00CB2EC4">
              <w:rPr>
                <w:rFonts w:ascii="Times New Roman" w:hAnsi="Times New Roman" w:cs="Times New Roman"/>
              </w:rPr>
              <w:br/>
              <w:t xml:space="preserve">  - if transformation zone type is TZ3 (transformation zone not visible): proceed directly to diagnostic/therapeutic cervical conization ([similarity: 0.603]).</w:t>
            </w:r>
            <w:r w:rsidRPr="00CB2EC4">
              <w:rPr>
                <w:rFonts w:ascii="Times New Roman" w:hAnsi="Times New Roman" w:cs="Times New Roman"/>
              </w:rPr>
              <w:br/>
              <w:t>- postoperative follow-up (if surgery is performed):</w:t>
            </w:r>
            <w:r w:rsidRPr="00CB2EC4">
              <w:rPr>
                <w:rFonts w:ascii="Times New Roman" w:hAnsi="Times New Roman" w:cs="Times New Roman"/>
              </w:rPr>
              <w:br/>
              <w:t xml:space="preserve">  - if margins are negative: repeat cytology, colposcopy, and endocervical curettage (ECC) at 4–6 months.</w:t>
            </w:r>
            <w:r w:rsidRPr="00CB2EC4">
              <w:rPr>
                <w:rFonts w:ascii="Times New Roman" w:hAnsi="Times New Roman" w:cs="Times New Roman"/>
              </w:rPr>
              <w:br/>
              <w:t xml:space="preserve">  - if margins are positive: repeat cytology, colposcopy, and ECC at 4–6 months, and manage according to findings ([similarity: 0.484]).</w:t>
            </w:r>
            <w:r w:rsidRPr="00CB2EC4">
              <w:rPr>
                <w:rFonts w:ascii="Times New Roman" w:hAnsi="Times New Roman" w:cs="Times New Roman"/>
              </w:rPr>
              <w:br/>
            </w:r>
            <w:r w:rsidRPr="00CB2EC4">
              <w:rPr>
                <w:rFonts w:ascii="Times New Roman" w:hAnsi="Times New Roman" w:cs="Times New Roman"/>
              </w:rPr>
              <w:br/>
              <w:t>in summary, follow-up steps depend on TZ type: for TZ1/2, observation with repeat cytology and colposcopy every 10–12 weeks is an option; for TZ3, proceed directly to surgery, with postoperative follow-up per standard protocol.</w:t>
            </w:r>
          </w:p>
        </w:tc>
        <w:tc>
          <w:tcPr>
            <w:tcW w:w="1152" w:type="dxa"/>
            <w:vAlign w:val="center"/>
          </w:tcPr>
          <w:p w14:paraId="4E77BD9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B18BD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4EC19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4E07412" w14:textId="77777777" w:rsidTr="00547D77">
        <w:tc>
          <w:tcPr>
            <w:tcW w:w="10656" w:type="dxa"/>
            <w:gridSpan w:val="5"/>
            <w:tcBorders>
              <w:bottom w:val="single" w:sz="6" w:space="0" w:color="auto"/>
            </w:tcBorders>
            <w:vAlign w:val="center"/>
          </w:tcPr>
          <w:p w14:paraId="539777E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29: In cervical cancer screening, if a patient aged 21 to 24 years has a histopathological confirmation (biopsy) of HSIL and a TZ3 classification for colposcopy, what follow-up steps should be conducted?</w:t>
            </w:r>
          </w:p>
        </w:tc>
      </w:tr>
      <w:tr w:rsidR="00916494" w:rsidRPr="00CB2EC4" w14:paraId="48155A6E" w14:textId="77777777" w:rsidTr="00547D77">
        <w:tc>
          <w:tcPr>
            <w:tcW w:w="2160" w:type="dxa"/>
            <w:vAlign w:val="center"/>
          </w:tcPr>
          <w:p w14:paraId="61D1C07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6D24F4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in cervical cancer screening, for patients aged 21 to 24 with histologically confirmed (biopsy) HSIL and colposcopic classification of TZ3, the following </w:t>
            </w:r>
            <w:r w:rsidRPr="00CB2EC4">
              <w:rPr>
                <w:rFonts w:ascii="Times New Roman" w:hAnsi="Times New Roman" w:cs="Times New Roman"/>
              </w:rPr>
              <w:lastRenderedPageBreak/>
              <w:t>follow-up steps should be taken:</w:t>
            </w:r>
            <w:r w:rsidRPr="00CB2EC4">
              <w:rPr>
                <w:rFonts w:ascii="Times New Roman" w:hAnsi="Times New Roman" w:cs="Times New Roman"/>
              </w:rPr>
              <w:br/>
            </w:r>
            <w:r w:rsidRPr="00CB2EC4">
              <w:rPr>
                <w:rFonts w:ascii="Times New Roman" w:hAnsi="Times New Roman" w:cs="Times New Roman"/>
              </w:rPr>
              <w:br/>
              <w:t>- Preferred management: perform diagnostic/therapeutic cervical conization directly (observation or ablative therapy is not an option).</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pathology shows negative margins, perform a follow-up at 4–6 months including cytology, colposcopy, and endocervical curettage (ECC).</w:t>
            </w:r>
            <w:r w:rsidRPr="00CB2EC4">
              <w:rPr>
                <w:rFonts w:ascii="Times New Roman" w:hAnsi="Times New Roman" w:cs="Times New Roman"/>
              </w:rPr>
              <w:br/>
              <w:t xml:space="preserve">  - If postoperative pathology shows positive margins (CIN II or higher), perform follow-up cytology, colposcopy, and ECC at 4–6 months, and manage according to the corresponding lesion grade based on the follow-up results.</w:t>
            </w:r>
            <w:r w:rsidRPr="00CB2EC4">
              <w:rPr>
                <w:rFonts w:ascii="Times New Roman" w:hAnsi="Times New Roman" w:cs="Times New Roman"/>
              </w:rPr>
              <w:br/>
              <w:t xml:space="preserve">  - If suspicious invasive cancer is found intraoperatively, send for immediate pathological confirmation; if confirmed, transition to cervical cancer treatment protocol.</w:t>
            </w:r>
            <w:r w:rsidRPr="00CB2EC4">
              <w:rPr>
                <w:rFonts w:ascii="Times New Roman" w:hAnsi="Times New Roman" w:cs="Times New Roman"/>
              </w:rPr>
              <w:br/>
              <w:t>- Basis: the document states that “if the patient is aged 21–24 and has a cervical transformation zone type of TZ3, the patient should undergo diagnostic/therapeutic cervical conization directly,” which applies to HSIL cases.</w:t>
            </w:r>
          </w:p>
        </w:tc>
        <w:tc>
          <w:tcPr>
            <w:tcW w:w="1152" w:type="dxa"/>
            <w:vAlign w:val="center"/>
          </w:tcPr>
          <w:p w14:paraId="0D37544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A8A4E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C9D5A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11481CD" w14:textId="77777777" w:rsidTr="00547D77">
        <w:tc>
          <w:tcPr>
            <w:tcW w:w="2160" w:type="dxa"/>
            <w:vAlign w:val="center"/>
          </w:tcPr>
          <w:p w14:paraId="763AF8B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F654F2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aged 21 to 24 with histologically confirmed HSIL (including CIN III/HSIL) and a TZ3 colposcopic classification (transformation zone not visible), the follow-up steps are:</w:t>
            </w:r>
            <w:r w:rsidRPr="00CB2EC4">
              <w:rPr>
                <w:rFonts w:ascii="Times New Roman" w:hAnsi="Times New Roman" w:cs="Times New Roman"/>
              </w:rPr>
              <w:br/>
            </w:r>
            <w:r w:rsidRPr="00CB2EC4">
              <w:rPr>
                <w:rFonts w:ascii="Times New Roman" w:hAnsi="Times New Roman" w:cs="Times New Roman"/>
              </w:rPr>
              <w:br/>
              <w:t>- Direct referral for diagnostic/therapeutic cervical excision ([similarity: 0.603] and [similarity: 0.591]).</w:t>
            </w:r>
            <w:r w:rsidRPr="00CB2EC4">
              <w:rPr>
                <w:rFonts w:ascii="Times New Roman" w:hAnsi="Times New Roman" w:cs="Times New Roman"/>
              </w:rPr>
              <w:br/>
              <w:t>- The document emphasizes that TZ3 type does not permit observation and mandates direct surgery ([similarity: 0.603]).</w:t>
            </w:r>
            <w:r w:rsidRPr="00CB2EC4">
              <w:rPr>
                <w:rFonts w:ascii="Times New Roman" w:hAnsi="Times New Roman" w:cs="Times New Roman"/>
              </w:rPr>
              <w:br/>
            </w:r>
            <w:r w:rsidRPr="00CB2EC4">
              <w:rPr>
                <w:rFonts w:ascii="Times New Roman" w:hAnsi="Times New Roman" w:cs="Times New Roman"/>
              </w:rPr>
              <w:lastRenderedPageBreak/>
              <w:t>- Postoperative follow-up steps:</w:t>
            </w:r>
            <w:r w:rsidRPr="00CB2EC4">
              <w:rPr>
                <w:rFonts w:ascii="Times New Roman" w:hAnsi="Times New Roman" w:cs="Times New Roman"/>
              </w:rPr>
              <w:br/>
              <w:t xml:space="preserve">  - If postoperative pathology shows negative margins, perform a follow-up (cytology + colposcopy + ECC) at 4–6 months.</w:t>
            </w:r>
            <w:r w:rsidRPr="00CB2EC4">
              <w:rPr>
                <w:rFonts w:ascii="Times New Roman" w:hAnsi="Times New Roman" w:cs="Times New Roman"/>
              </w:rPr>
              <w:br/>
              <w:t xml:space="preserve">  - If postoperative pathology shows positive margins (CIN II or higher), perform a follow-up at 4–6 months with cytology, colposcopy, and ECC, and manage according to the corresponding lesion level based on results ([similarity: 0.484]).</w:t>
            </w:r>
            <w:r w:rsidRPr="00CB2EC4">
              <w:rPr>
                <w:rFonts w:ascii="Times New Roman" w:hAnsi="Times New Roman" w:cs="Times New Roman"/>
              </w:rPr>
              <w:br/>
            </w:r>
            <w:r w:rsidRPr="00CB2EC4">
              <w:rPr>
                <w:rFonts w:ascii="Times New Roman" w:hAnsi="Times New Roman" w:cs="Times New Roman"/>
              </w:rPr>
              <w:br/>
              <w:t>In summary, the follow-up steps are: proceed directly to diagnostic/therapeutic cervical excision, then arrange a 4–6 month follow-up (cytology + colposcopy + ECC) based on margin status, and adjust subsequent management according to the findings.</w:t>
            </w:r>
          </w:p>
        </w:tc>
        <w:tc>
          <w:tcPr>
            <w:tcW w:w="1152" w:type="dxa"/>
            <w:vAlign w:val="center"/>
          </w:tcPr>
          <w:p w14:paraId="7C99E1E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7B71B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C678C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8C79195" w14:textId="77777777" w:rsidTr="00547D77">
        <w:tc>
          <w:tcPr>
            <w:tcW w:w="10656" w:type="dxa"/>
            <w:gridSpan w:val="5"/>
            <w:tcBorders>
              <w:bottom w:val="single" w:sz="6" w:space="0" w:color="auto"/>
            </w:tcBorders>
            <w:vAlign w:val="center"/>
          </w:tcPr>
          <w:p w14:paraId="7AC45396"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30: In cervical cancer screening, if a patient aged 21 to 24 years has a histopathological confirmation (biopsy) of CIN II/III/HSIL or CIN II/HSIL and a TZ1/2 classification for colposcopy, what follow-up steps should be conducted?</w:t>
            </w:r>
          </w:p>
        </w:tc>
      </w:tr>
      <w:tr w:rsidR="00916494" w:rsidRPr="00CB2EC4" w14:paraId="7A9E1BB7" w14:textId="77777777" w:rsidTr="00547D77">
        <w:tc>
          <w:tcPr>
            <w:tcW w:w="2160" w:type="dxa"/>
            <w:vAlign w:val="center"/>
          </w:tcPr>
          <w:p w14:paraId="7B28F723"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D9DFD2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aged 21 to 24 with histologically confirmed (biopsy) CIN II/III/HSIL or CIN II/HSIL and colposcopic classification of TZ1/2 (transformation zone fully or partially visible):</w:t>
            </w:r>
            <w:r w:rsidRPr="00CB2EC4">
              <w:rPr>
                <w:rFonts w:ascii="Times New Roman" w:hAnsi="Times New Roman" w:cs="Times New Roman"/>
              </w:rPr>
              <w:br/>
            </w:r>
            <w:r w:rsidRPr="00CB2EC4">
              <w:rPr>
                <w:rFonts w:ascii="Times New Roman" w:hAnsi="Times New Roman" w:cs="Times New Roman"/>
              </w:rPr>
              <w:br/>
              <w:t>- Preferred management: observation with follow-up (non-surgical treatment may be chosen).</w:t>
            </w:r>
            <w:r w:rsidRPr="00CB2EC4">
              <w:rPr>
                <w:rFonts w:ascii="Times New Roman" w:hAnsi="Times New Roman" w:cs="Times New Roman"/>
              </w:rPr>
              <w:br/>
              <w:t>- Follow-up steps: repeat cytology and colposcopy every 10–12 weeks.</w:t>
            </w:r>
            <w:r w:rsidRPr="00CB2EC4">
              <w:rPr>
                <w:rFonts w:ascii="Times New Roman" w:hAnsi="Times New Roman" w:cs="Times New Roman"/>
              </w:rPr>
              <w:br/>
              <w:t xml:space="preserve">  - If no progression is observed, continue surveillance.</w:t>
            </w:r>
            <w:r w:rsidRPr="00CB2EC4">
              <w:rPr>
                <w:rFonts w:ascii="Times New Roman" w:hAnsi="Times New Roman" w:cs="Times New Roman"/>
              </w:rPr>
              <w:br/>
              <w:t xml:space="preserve">  - If progression occurs or invasive cancer is detected, perform diagnostic/therapeutic cervical conization; post-procedure management follows as previously described (e.g., if margins are negative, re-evaluate at 4–6 months; if margins are positive, re-evaluate at 4–6 </w:t>
            </w:r>
            <w:r w:rsidRPr="00CB2EC4">
              <w:rPr>
                <w:rFonts w:ascii="Times New Roman" w:hAnsi="Times New Roman" w:cs="Times New Roman"/>
              </w:rPr>
              <w:lastRenderedPageBreak/>
              <w:t>months and manage based on findings).</w:t>
            </w:r>
            <w:r w:rsidRPr="00CB2EC4">
              <w:rPr>
                <w:rFonts w:ascii="Times New Roman" w:hAnsi="Times New Roman" w:cs="Times New Roman"/>
              </w:rPr>
              <w:br/>
              <w:t>- Basis: the document explicitly states that for 21–24-year-old patients with histologically confirmed CIN II/III/HSIL or CIN II/HSIL and TZ1/2 colposcopic classification → observation may be chosen (repeat cytology + colposcopy every 10–12 weeks)... if no progression persists, continue observation; if progression or invasive cancer is found, diagnostic/therapeutic cervical conization should be performed.</w:t>
            </w:r>
          </w:p>
        </w:tc>
        <w:tc>
          <w:tcPr>
            <w:tcW w:w="1152" w:type="dxa"/>
            <w:vAlign w:val="center"/>
          </w:tcPr>
          <w:p w14:paraId="610518A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B8ECE8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94E18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CE54F3D" w14:textId="77777777" w:rsidTr="00547D77">
        <w:tc>
          <w:tcPr>
            <w:tcW w:w="2160" w:type="dxa"/>
            <w:vAlign w:val="center"/>
          </w:tcPr>
          <w:p w14:paraId="1E9A237C"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A50040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aged 21 to 24 years with histologically confirmed (biopsy) CIN II/III/HSIL or CIN II/HSIL with colposcopic classification of TZ1/2 (transformation zone fully or partially visible), the following follow-up steps may be chosen:</w:t>
            </w:r>
            <w:r w:rsidRPr="00CB2EC4">
              <w:rPr>
                <w:rFonts w:ascii="Times New Roman" w:hAnsi="Times New Roman" w:cs="Times New Roman"/>
              </w:rPr>
              <w:br/>
            </w:r>
            <w:r w:rsidRPr="00CB2EC4">
              <w:rPr>
                <w:rFonts w:ascii="Times New Roman" w:hAnsi="Times New Roman" w:cs="Times New Roman"/>
              </w:rPr>
              <w:br/>
              <w:t>- Observation with repeat cytology and colposcopy every 10–12 weeks ([similarity: 0.603]).</w:t>
            </w:r>
            <w:r w:rsidRPr="00CB2EC4">
              <w:rPr>
                <w:rFonts w:ascii="Times New Roman" w:hAnsi="Times New Roman" w:cs="Times New Roman"/>
              </w:rPr>
              <w:br/>
            </w:r>
            <w:r w:rsidRPr="00CB2EC4">
              <w:rPr>
                <w:rFonts w:ascii="Times New Roman" w:hAnsi="Times New Roman" w:cs="Times New Roman"/>
              </w:rPr>
              <w:br/>
              <w:t>Management during observation:</w:t>
            </w:r>
            <w:r w:rsidRPr="00CB2EC4">
              <w:rPr>
                <w:rFonts w:ascii="Times New Roman" w:hAnsi="Times New Roman" w:cs="Times New Roman"/>
              </w:rPr>
              <w:br/>
              <w:t>- If the lesion remains stable (no change or regression), continue observation.</w:t>
            </w:r>
            <w:r w:rsidRPr="00CB2EC4">
              <w:rPr>
                <w:rFonts w:ascii="Times New Roman" w:hAnsi="Times New Roman" w:cs="Times New Roman"/>
              </w:rPr>
              <w:br/>
              <w:t>- If the lesion progresses or invasive cancer is detected, perform diagnostic/therapeutic cervical conization ([similarity: 0.603] and [similarity: 0.591]).</w:t>
            </w:r>
            <w:r w:rsidRPr="00CB2EC4">
              <w:rPr>
                <w:rFonts w:ascii="Times New Roman" w:hAnsi="Times New Roman" w:cs="Times New Roman"/>
              </w:rPr>
              <w:br/>
            </w:r>
            <w:r w:rsidRPr="00CB2EC4">
              <w:rPr>
                <w:rFonts w:ascii="Times New Roman" w:hAnsi="Times New Roman" w:cs="Times New Roman"/>
              </w:rPr>
              <w:br/>
              <w:t>If surgery (e.g., due to lesion progression) is chosen, post-operative follow-up:</w:t>
            </w:r>
            <w:r w:rsidRPr="00CB2EC4">
              <w:rPr>
                <w:rFonts w:ascii="Times New Roman" w:hAnsi="Times New Roman" w:cs="Times New Roman"/>
              </w:rPr>
              <w:br/>
              <w:t>- When margins are negative: repeat cytology, colposcopy, and endocervical curettage (ECC) at 4–6 months.</w:t>
            </w:r>
            <w:r w:rsidRPr="00CB2EC4">
              <w:rPr>
                <w:rFonts w:ascii="Times New Roman" w:hAnsi="Times New Roman" w:cs="Times New Roman"/>
              </w:rPr>
              <w:br/>
              <w:t>- When margins are positive: repeat cytology, colposcopy, and ECC at 4–6 months, and manage according to findings ([similarity: 0.484]).</w:t>
            </w:r>
            <w:r w:rsidRPr="00CB2EC4">
              <w:rPr>
                <w:rFonts w:ascii="Times New Roman" w:hAnsi="Times New Roman" w:cs="Times New Roman"/>
              </w:rPr>
              <w:br/>
            </w:r>
            <w:r w:rsidRPr="00CB2EC4">
              <w:rPr>
                <w:rFonts w:ascii="Times New Roman" w:hAnsi="Times New Roman" w:cs="Times New Roman"/>
              </w:rPr>
              <w:lastRenderedPageBreak/>
              <w:br/>
              <w:t>In summary, the follow-up steps are: observation with repeat cytology and colposcopy every 10–12 weeks may be selected; if the lesion is stable, continue observation; if progression or invasive cancer is found, perform diagnostic/therapeutic cervical conization, followed by standard post-operative surveillance.</w:t>
            </w:r>
            <w:r w:rsidRPr="00CB2EC4">
              <w:rPr>
                <w:rFonts w:ascii="Times New Roman" w:hAnsi="Times New Roman" w:cs="Times New Roman"/>
              </w:rPr>
              <w:br/>
            </w:r>
            <w:r w:rsidRPr="00CB2EC4">
              <w:rPr>
                <w:rFonts w:ascii="Times New Roman" w:hAnsi="Times New Roman" w:cs="Times New Roman"/>
              </w:rPr>
              <w:br/>
              <w:t>Summary note:</w:t>
            </w:r>
            <w:r w:rsidRPr="00CB2EC4">
              <w:rPr>
                <w:rFonts w:ascii="Times New Roman" w:hAnsi="Times New Roman" w:cs="Times New Roman"/>
              </w:rPr>
              <w:br/>
              <w:t>- All responses are strictly based on the provided document excerpts, with the highest similarity-score contexts cited for each piece of information. No external knowledge has been added.</w:t>
            </w:r>
            <w:r w:rsidRPr="00CB2EC4">
              <w:rPr>
                <w:rFonts w:ascii="Times New Roman" w:hAnsi="Times New Roman" w:cs="Times New Roman"/>
              </w:rPr>
              <w:br/>
              <w:t>- Clear guidance exists in the document for each scenario; therefore, no "answer not found in knowledge base" responses occurred.</w:t>
            </w:r>
            <w:r w:rsidRPr="00CB2EC4">
              <w:rPr>
                <w:rFonts w:ascii="Times New Roman" w:hAnsi="Times New Roman" w:cs="Times New Roman"/>
              </w:rPr>
              <w:br/>
              <w:t>- As a gynecologic specialist, I advise that these approaches should be individualized in real clinical practice, considering patient-specific factors (e.g., pregnancy status, compliance) and the latest guidelines. Please provide additional details or follow-up questions if needed.</w:t>
            </w:r>
          </w:p>
        </w:tc>
        <w:tc>
          <w:tcPr>
            <w:tcW w:w="1152" w:type="dxa"/>
            <w:vAlign w:val="center"/>
          </w:tcPr>
          <w:p w14:paraId="0AB7019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9C4EC8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B2B56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EBAFC9B" w14:textId="77777777" w:rsidTr="00547D77">
        <w:tc>
          <w:tcPr>
            <w:tcW w:w="10656" w:type="dxa"/>
            <w:gridSpan w:val="5"/>
            <w:tcBorders>
              <w:bottom w:val="single" w:sz="6" w:space="0" w:color="auto"/>
            </w:tcBorders>
            <w:vAlign w:val="center"/>
          </w:tcPr>
          <w:p w14:paraId="241D9A7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31: In cervical cancer screening, if a pregnant patient has a histopathological confirmation (biopsy) of HSIL, what follow-up steps should be conducted?</w:t>
            </w:r>
          </w:p>
        </w:tc>
      </w:tr>
      <w:tr w:rsidR="00916494" w:rsidRPr="00CB2EC4" w14:paraId="40B939DC" w14:textId="77777777" w:rsidTr="00547D77">
        <w:tc>
          <w:tcPr>
            <w:tcW w:w="2160" w:type="dxa"/>
            <w:vAlign w:val="center"/>
          </w:tcPr>
          <w:p w14:paraId="06797D16"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DC05FF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a pregnant patient has histologically confirmed (biopsy) HSIL, the following follow-up steps should be performed:</w:t>
            </w:r>
            <w:r w:rsidRPr="00CB2EC4">
              <w:rPr>
                <w:rFonts w:ascii="Times New Roman" w:hAnsi="Times New Roman" w:cs="Times New Roman"/>
              </w:rPr>
              <w:br/>
            </w:r>
            <w:r w:rsidRPr="00CB2EC4">
              <w:rPr>
                <w:rFonts w:ascii="Times New Roman" w:hAnsi="Times New Roman" w:cs="Times New Roman"/>
              </w:rPr>
              <w:br/>
              <w:t>- During pregnancy: cytology (e.g., Pap smear) and colposcopy should be performed every 10–12 weeks to monitor lesion progression and rule out invasive cancer.</w:t>
            </w:r>
            <w:r w:rsidRPr="00CB2EC4">
              <w:rPr>
                <w:rFonts w:ascii="Times New Roman" w:hAnsi="Times New Roman" w:cs="Times New Roman"/>
              </w:rPr>
              <w:br/>
            </w:r>
            <w:r w:rsidRPr="00CB2EC4">
              <w:rPr>
                <w:rFonts w:ascii="Times New Roman" w:hAnsi="Times New Roman" w:cs="Times New Roman"/>
              </w:rPr>
              <w:lastRenderedPageBreak/>
              <w:t>- If no invasive cancer is found: follow-up should be deferred until 6–8 weeks postpartum for repeat evaluation, including cytology, colposcopy, and endocervical curettage (ECC).</w:t>
            </w:r>
            <w:r w:rsidRPr="00CB2EC4">
              <w:rPr>
                <w:rFonts w:ascii="Times New Roman" w:hAnsi="Times New Roman" w:cs="Times New Roman"/>
              </w:rPr>
              <w:br/>
              <w:t>- If suspicious for invasive cancer is found during pregnancy: the patient should undergo diagnostic/therapeutic conization immediately and be transitioned to the cervical cancer treatment pathway.</w:t>
            </w:r>
            <w:r w:rsidRPr="00CB2EC4">
              <w:rPr>
                <w:rFonts w:ascii="Times New Roman" w:hAnsi="Times New Roman" w:cs="Times New Roman"/>
              </w:rPr>
              <w:br/>
            </w:r>
            <w:r w:rsidRPr="00CB2EC4">
              <w:rPr>
                <w:rFonts w:ascii="Times New Roman" w:hAnsi="Times New Roman" w:cs="Times New Roman"/>
              </w:rPr>
              <w:br/>
              <w:t>this information is based on the management principles for pregnant patients repeatedly stated in the document (e.g., “for pregnant patients, cytology + colposcopy should be performed every 10–12 weeks. if no invasive cancer is found, defer follow-up until 6–8 weeks postpartum for repeat cytology + colposcopy + ECC.”)</w:t>
            </w:r>
          </w:p>
        </w:tc>
        <w:tc>
          <w:tcPr>
            <w:tcW w:w="1152" w:type="dxa"/>
            <w:vAlign w:val="center"/>
          </w:tcPr>
          <w:p w14:paraId="582FC3E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7A6D8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C87EE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DAAA84F" w14:textId="77777777" w:rsidTr="00547D77">
        <w:tc>
          <w:tcPr>
            <w:tcW w:w="2160" w:type="dxa"/>
            <w:vAlign w:val="center"/>
          </w:tcPr>
          <w:p w14:paraId="1CED93E0"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14EC1E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a pregnant patient has histologically confirmed HSIL (by biopsy), the following follow-up steps should be taken:</w:t>
            </w:r>
            <w:r w:rsidRPr="00CB2EC4">
              <w:rPr>
                <w:rFonts w:ascii="Times New Roman" w:hAnsi="Times New Roman" w:cs="Times New Roman"/>
              </w:rPr>
              <w:br/>
            </w:r>
            <w:r w:rsidRPr="00CB2EC4">
              <w:rPr>
                <w:rFonts w:ascii="Times New Roman" w:hAnsi="Times New Roman" w:cs="Times New Roman"/>
              </w:rPr>
              <w:br/>
              <w:t>- The primary goal is to exclude invasive cancer. In the absence of evidence of invasive cancer during pregnancy, close monitoring is recommended.</w:t>
            </w:r>
            <w:r w:rsidRPr="00CB2EC4">
              <w:rPr>
                <w:rFonts w:ascii="Times New Roman" w:hAnsi="Times New Roman" w:cs="Times New Roman"/>
              </w:rPr>
              <w:br/>
              <w:t>- Specific follow-up steps include:</w:t>
            </w:r>
            <w:r w:rsidRPr="00CB2EC4">
              <w:rPr>
                <w:rFonts w:ascii="Times New Roman" w:hAnsi="Times New Roman" w:cs="Times New Roman"/>
              </w:rPr>
              <w:br/>
              <w:t xml:space="preserve">  → Cytology (e.g., Pap smear) and colposcopy every 10–12 weeks to assess lesion progression and rule out invasive cancer.</w:t>
            </w:r>
            <w:r w:rsidRPr="00CB2EC4">
              <w:rPr>
                <w:rFonts w:ascii="Times New Roman" w:hAnsi="Times New Roman" w:cs="Times New Roman"/>
              </w:rPr>
              <w:br/>
              <w:t xml:space="preserve">  → If no invasive cancer is found on follow-up, monitoring should continue until after delivery.</w:t>
            </w:r>
            <w:r w:rsidRPr="00CB2EC4">
              <w:rPr>
                <w:rFonts w:ascii="Times New Roman" w:hAnsi="Times New Roman" w:cs="Times New Roman"/>
              </w:rPr>
              <w:br/>
              <w:t>- Immediate diagnostic or therapeutic cervical excision (e.g., conization) is not recommended during pregnancy due to increased risk of complications (such as bleeding or miscarriage), unless there is suspicious evidence of invasive cancer.</w:t>
            </w:r>
            <w:r w:rsidRPr="00CB2EC4">
              <w:rPr>
                <w:rFonts w:ascii="Times New Roman" w:hAnsi="Times New Roman" w:cs="Times New Roman"/>
              </w:rPr>
              <w:br/>
            </w:r>
            <w:r w:rsidRPr="00CB2EC4">
              <w:rPr>
                <w:rFonts w:ascii="Times New Roman" w:hAnsi="Times New Roman" w:cs="Times New Roman"/>
              </w:rPr>
              <w:lastRenderedPageBreak/>
              <w:t>- Relevant document excerpt: "For pregnant women, the main goal in the management of both low-grade and high-grade cervical lesions is to exclude cervical cancer. If a pregnant woman has no evidence of invasive cancer, cytology or colposcopy can be repeated every 10–12 weeks, with re-evaluation 6–8 weeks postpartum." And: "For pregnant patients, cytology plus colposcopy should be performed every 10–12 weeks. If no invasive cancer is found, re-evaluation (cytology + colposcopy + ECC) should be deferred until 6–8 weeks postpartum."</w:t>
            </w:r>
            <w:r w:rsidRPr="00CB2EC4">
              <w:rPr>
                <w:rFonts w:ascii="Times New Roman" w:hAnsi="Times New Roman" w:cs="Times New Roman"/>
              </w:rPr>
              <w:br/>
            </w:r>
            <w:r w:rsidRPr="00CB2EC4">
              <w:rPr>
                <w:rFonts w:ascii="Times New Roman" w:hAnsi="Times New Roman" w:cs="Times New Roman"/>
              </w:rPr>
              <w:br/>
              <w:t>Summary: For pregnant patients with HSIL, follow-up consists of cytology and colposcopy every 10–12 weeks to exclude invasive cancer; re-evaluation (cytology + colposcopy + ECC) is required at 6–8 weeks postpartum. If suspicious for invasive cancer is detected during follow-up, diagnostic/therapeutic cervical excision should be performed.</w:t>
            </w:r>
          </w:p>
        </w:tc>
        <w:tc>
          <w:tcPr>
            <w:tcW w:w="1152" w:type="dxa"/>
            <w:vAlign w:val="center"/>
          </w:tcPr>
          <w:p w14:paraId="2570B5D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FFD08E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4B027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EC671BA" w14:textId="77777777" w:rsidTr="00547D77">
        <w:tc>
          <w:tcPr>
            <w:tcW w:w="10656" w:type="dxa"/>
            <w:gridSpan w:val="5"/>
            <w:tcBorders>
              <w:bottom w:val="single" w:sz="6" w:space="0" w:color="auto"/>
            </w:tcBorders>
            <w:vAlign w:val="center"/>
          </w:tcPr>
          <w:p w14:paraId="0707BC1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32: After diagnostic/therapeutic cervical conization for cervical cancer, what follow-up steps should be conducted?</w:t>
            </w:r>
          </w:p>
        </w:tc>
      </w:tr>
      <w:tr w:rsidR="00916494" w:rsidRPr="00CB2EC4" w14:paraId="766885FB" w14:textId="77777777" w:rsidTr="00547D77">
        <w:tc>
          <w:tcPr>
            <w:tcW w:w="2160" w:type="dxa"/>
            <w:vAlign w:val="center"/>
          </w:tcPr>
          <w:p w14:paraId="2E05C417"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E405FD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after diagnostic or therapeutic cervical conization, the follow-up steps are as follows:</w:t>
            </w:r>
            <w:r w:rsidRPr="00CB2EC4">
              <w:rPr>
                <w:rFonts w:ascii="Times New Roman" w:hAnsi="Times New Roman" w:cs="Times New Roman"/>
              </w:rPr>
              <w:br/>
            </w:r>
            <w:r w:rsidRPr="00CB2EC4">
              <w:rPr>
                <w:rFonts w:ascii="Times New Roman" w:hAnsi="Times New Roman" w:cs="Times New Roman"/>
              </w:rPr>
              <w:br/>
              <w:t>- If the postoperative pathological margins are negative (no CINⅡ or higher lesion): perform a follow-up at 4–6 months postoperatively, including cytology, colposcopy, and endocervical curettage (ECC). If the follow-up results are normal, transition to routine screening.</w:t>
            </w:r>
            <w:r w:rsidRPr="00CB2EC4">
              <w:rPr>
                <w:rFonts w:ascii="Times New Roman" w:hAnsi="Times New Roman" w:cs="Times New Roman"/>
              </w:rPr>
              <w:br/>
              <w:t xml:space="preserve">- If the postoperative pathological margins are positive (margin histopathology shows CINⅡ or higher): perform a follow-up at 4–6 months postoperatively, including cytology, colposcopy, and ECC. The </w:t>
            </w:r>
            <w:r w:rsidRPr="00CB2EC4">
              <w:rPr>
                <w:rFonts w:ascii="Times New Roman" w:hAnsi="Times New Roman" w:cs="Times New Roman"/>
              </w:rPr>
              <w:lastRenderedPageBreak/>
              <w:t>follow-up results should be managed according to the lesion grade (e.g., CIN or invasive cancer); for example, if persistent HSIL is found, repeat conization or hysterectomy may be required.</w:t>
            </w:r>
            <w:r w:rsidRPr="00CB2EC4">
              <w:rPr>
                <w:rFonts w:ascii="Times New Roman" w:hAnsi="Times New Roman" w:cs="Times New Roman"/>
              </w:rPr>
              <w:br/>
              <w:t>- If suspicious invasive cancer is identified intraoperatively: send for immediate pathological confirmation; if confirmed, transition to cervical cancer treatment protocol.</w:t>
            </w:r>
            <w:r w:rsidRPr="00CB2EC4">
              <w:rPr>
                <w:rFonts w:ascii="Times New Roman" w:hAnsi="Times New Roman" w:cs="Times New Roman"/>
              </w:rPr>
              <w:br/>
            </w:r>
            <w:r w:rsidRPr="00CB2EC4">
              <w:rPr>
                <w:rFonts w:ascii="Times New Roman" w:hAnsi="Times New Roman" w:cs="Times New Roman"/>
              </w:rPr>
              <w:br/>
              <w:t>this information is based on detailed descriptions of post-conization management in the source document (e.g., “if the pathological margins are negative after diagnostic/therapeutic cervical resection: follow-up at 4–6 months (cytology + colposcopy + ECC)”; “if margins are positive: follow-up cytology, colposcopy, and ECC at 4–6 months.”).</w:t>
            </w:r>
          </w:p>
        </w:tc>
        <w:tc>
          <w:tcPr>
            <w:tcW w:w="1152" w:type="dxa"/>
            <w:vAlign w:val="center"/>
          </w:tcPr>
          <w:p w14:paraId="76A907B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D996D5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05750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581A6FC" w14:textId="77777777" w:rsidTr="00547D77">
        <w:tc>
          <w:tcPr>
            <w:tcW w:w="2160" w:type="dxa"/>
            <w:vAlign w:val="center"/>
          </w:tcPr>
          <w:p w14:paraId="22E8DD9B"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A8A3AA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after diagnostic/therapeutic cervical conization (e.g., LEEP or cold knife conization), follow-up steps are determined by the postoperative pathological margin status:</w:t>
            </w:r>
            <w:r w:rsidRPr="00CB2EC4">
              <w:rPr>
                <w:rFonts w:ascii="Times New Roman" w:hAnsi="Times New Roman" w:cs="Times New Roman"/>
              </w:rPr>
              <w:br/>
            </w:r>
            <w:r w:rsidRPr="00CB2EC4">
              <w:rPr>
                <w:rFonts w:ascii="Times New Roman" w:hAnsi="Times New Roman" w:cs="Times New Roman"/>
              </w:rPr>
              <w:br/>
              <w:t>- **Negative margins (no residual lesion):**</w:t>
            </w:r>
            <w:r w:rsidRPr="00CB2EC4">
              <w:rPr>
                <w:rFonts w:ascii="Times New Roman" w:hAnsi="Times New Roman" w:cs="Times New Roman"/>
              </w:rPr>
              <w:br/>
              <w:t xml:space="preserve">  - At 4–6 months postoperatively: perform cytology + HPV testing, colposcopy, and endocervical curettage (ECC).</w:t>
            </w:r>
            <w:r w:rsidRPr="00CB2EC4">
              <w:rPr>
                <w:rFonts w:ascii="Times New Roman" w:hAnsi="Times New Roman" w:cs="Times New Roman"/>
              </w:rPr>
              <w:br/>
              <w:t xml:space="preserve">  - If follow-up results are normal, subsequent cytology and HPV testing are recommended every 6–12 months; after two consecutive negative results, screening may transition to every 3 years.</w:t>
            </w:r>
            <w:r w:rsidRPr="00CB2EC4">
              <w:rPr>
                <w:rFonts w:ascii="Times New Roman" w:hAnsi="Times New Roman" w:cs="Times New Roman"/>
              </w:rPr>
              <w:br/>
              <w:t xml:space="preserve">  - Long-term follow-up should continue for 20 years to monitor for recurrence.</w:t>
            </w:r>
            <w:r w:rsidRPr="00CB2EC4">
              <w:rPr>
                <w:rFonts w:ascii="Times New Roman" w:hAnsi="Times New Roman" w:cs="Times New Roman"/>
              </w:rPr>
              <w:br/>
            </w:r>
            <w:r w:rsidRPr="00CB2EC4">
              <w:rPr>
                <w:rFonts w:ascii="Times New Roman" w:hAnsi="Times New Roman" w:cs="Times New Roman"/>
              </w:rPr>
              <w:br/>
              <w:t>- **Positive margins (residual CINⅡ or higher):**</w:t>
            </w:r>
            <w:r w:rsidRPr="00CB2EC4">
              <w:rPr>
                <w:rFonts w:ascii="Times New Roman" w:hAnsi="Times New Roman" w:cs="Times New Roman"/>
              </w:rPr>
              <w:br/>
              <w:t xml:space="preserve">  - At 4–6 months postoperatively: perform cytology, </w:t>
            </w:r>
            <w:r w:rsidRPr="00CB2EC4">
              <w:rPr>
                <w:rFonts w:ascii="Times New Roman" w:hAnsi="Times New Roman" w:cs="Times New Roman"/>
              </w:rPr>
              <w:lastRenderedPageBreak/>
              <w:t>colposcopy, and ECC.</w:t>
            </w:r>
            <w:r w:rsidRPr="00CB2EC4">
              <w:rPr>
                <w:rFonts w:ascii="Times New Roman" w:hAnsi="Times New Roman" w:cs="Times New Roman"/>
              </w:rPr>
              <w:br/>
              <w:t xml:space="preserve">  - Based on follow-up findings (e.g., lesion grade), manage according to standard protocols (e.g., repeat conization or hysterectomy).</w:t>
            </w:r>
            <w:r w:rsidRPr="00CB2EC4">
              <w:rPr>
                <w:rFonts w:ascii="Times New Roman" w:hAnsi="Times New Roman" w:cs="Times New Roman"/>
              </w:rPr>
              <w:br/>
            </w:r>
            <w:r w:rsidRPr="00CB2EC4">
              <w:rPr>
                <w:rFonts w:ascii="Times New Roman" w:hAnsi="Times New Roman" w:cs="Times New Roman"/>
              </w:rPr>
              <w:br/>
              <w:t>- **If invasive cancer is suspected intraoperatively:** send for immediate pathological confirmation and transition to cervical cancer treatment protocol.</w:t>
            </w:r>
            <w:r w:rsidRPr="00CB2EC4">
              <w:rPr>
                <w:rFonts w:ascii="Times New Roman" w:hAnsi="Times New Roman" w:cs="Times New Roman"/>
              </w:rPr>
              <w:br/>
            </w:r>
            <w:r w:rsidRPr="00CB2EC4">
              <w:rPr>
                <w:rFonts w:ascii="Times New Roman" w:hAnsi="Times New Roman" w:cs="Times New Roman"/>
              </w:rPr>
              <w:br/>
              <w:t>(Reference: "If the pathological margins are negative after diagnostic/therapeutic cervical conization: follow-up at 4–6 months with cytology + colposcopy + ECC" and "For patients with HSIL/CINⅡ+ on postoperative margin: recommend cytology + HPV testing follow-up for 20 years. If postoperative pathology confirms HSIL at margins, follow-up with colposcopy at 4–6 months is advised.")</w:t>
            </w:r>
          </w:p>
        </w:tc>
        <w:tc>
          <w:tcPr>
            <w:tcW w:w="1152" w:type="dxa"/>
            <w:vAlign w:val="center"/>
          </w:tcPr>
          <w:p w14:paraId="03FA07F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10780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D8A01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279B9E7" w14:textId="77777777" w:rsidTr="00547D77">
        <w:tc>
          <w:tcPr>
            <w:tcW w:w="10656" w:type="dxa"/>
            <w:gridSpan w:val="5"/>
            <w:tcBorders>
              <w:bottom w:val="single" w:sz="6" w:space="0" w:color="auto"/>
            </w:tcBorders>
            <w:vAlign w:val="center"/>
          </w:tcPr>
          <w:p w14:paraId="29EFE03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33: In cervical cancer screening, if a pregnant patient has a histopathological confirmation (biopsy) of HSIL with no invasive cancer during pregnancy, what follow-up steps should be conducted after childbearing?</w:t>
            </w:r>
          </w:p>
        </w:tc>
      </w:tr>
      <w:tr w:rsidR="00916494" w:rsidRPr="00CB2EC4" w14:paraId="30A543DB" w14:textId="77777777" w:rsidTr="00547D77">
        <w:tc>
          <w:tcPr>
            <w:tcW w:w="2160" w:type="dxa"/>
            <w:vAlign w:val="center"/>
          </w:tcPr>
          <w:p w14:paraId="42DDD2E5"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2F07E5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cervical cancer screening, if a pregnant patient has histologically confirmed (biopsy) HSIL and no invasive cancer during pregnancy, the following postpartum follow-up steps should be performed:</w:t>
            </w:r>
            <w:r w:rsidRPr="00CB2EC4">
              <w:rPr>
                <w:rFonts w:ascii="Times New Roman" w:hAnsi="Times New Roman" w:cs="Times New Roman"/>
              </w:rPr>
              <w:br/>
            </w:r>
            <w:r w:rsidRPr="00CB2EC4">
              <w:rPr>
                <w:rFonts w:ascii="Times New Roman" w:hAnsi="Times New Roman" w:cs="Times New Roman"/>
              </w:rPr>
              <w:br/>
              <w:t>- At 6–8 weeks postpartum: conduct a follow-up examination including cytology, colposcopy, and endocervical curettage (ECC).</w:t>
            </w:r>
            <w:r w:rsidRPr="00CB2EC4">
              <w:rPr>
                <w:rFonts w:ascii="Times New Roman" w:hAnsi="Times New Roman" w:cs="Times New Roman"/>
              </w:rPr>
              <w:br/>
              <w:t>- Management based on follow-up results:</w:t>
            </w:r>
            <w:r w:rsidRPr="00CB2EC4">
              <w:rPr>
                <w:rFonts w:ascii="Times New Roman" w:hAnsi="Times New Roman" w:cs="Times New Roman"/>
              </w:rPr>
              <w:br/>
              <w:t xml:space="preserve">  - If the follow-up shows no CIN II or higher lesion (i.e., no abnormality), the patient should subsequently transition to routine cervical cancer screening (e.g., cytology or HPV testing every 3–5 years).</w:t>
            </w:r>
            <w:r w:rsidRPr="00CB2EC4">
              <w:rPr>
                <w:rFonts w:ascii="Times New Roman" w:hAnsi="Times New Roman" w:cs="Times New Roman"/>
              </w:rPr>
              <w:br/>
              <w:t xml:space="preserve">  - If the follow-up reveals CIN II or higher lesion </w:t>
            </w:r>
            <w:r w:rsidRPr="00CB2EC4">
              <w:rPr>
                <w:rFonts w:ascii="Times New Roman" w:hAnsi="Times New Roman" w:cs="Times New Roman"/>
              </w:rPr>
              <w:lastRenderedPageBreak/>
              <w:t>(e.g., persistent HSIL), management should be according to the corresponding lesion grade (e.g., perform diagnostic/therapeutic cervical excision).</w:t>
            </w:r>
            <w:r w:rsidRPr="00CB2EC4">
              <w:rPr>
                <w:rFonts w:ascii="Times New Roman" w:hAnsi="Times New Roman" w:cs="Times New Roman"/>
              </w:rPr>
              <w:br/>
              <w:t>- Special note: Lesions in pregnant patients with HSIL may regress spontaneously postpartum; therefore, postpartum follow-up is critical. If no progression was observed during pregnancy monitoring, postpartum follow-up is the standard procedure.</w:t>
            </w:r>
            <w:r w:rsidRPr="00CB2EC4">
              <w:rPr>
                <w:rFonts w:ascii="Times New Roman" w:hAnsi="Times New Roman" w:cs="Times New Roman"/>
              </w:rPr>
              <w:br/>
            </w:r>
            <w:r w:rsidRPr="00CB2EC4">
              <w:rPr>
                <w:rFonts w:ascii="Times New Roman" w:hAnsi="Times New Roman" w:cs="Times New Roman"/>
              </w:rPr>
              <w:br/>
              <w:t>this information is based on the description of postpartum management in the document (e.g., “perform follow-up at 6–8 weeks postpartum. If abnormalities are found on follow-up, manage according to the abnormal processing protocol. If no CIN is found on follow-up, the patient should transition to routine screening.”).</w:t>
            </w:r>
          </w:p>
        </w:tc>
        <w:tc>
          <w:tcPr>
            <w:tcW w:w="1152" w:type="dxa"/>
            <w:vAlign w:val="center"/>
          </w:tcPr>
          <w:p w14:paraId="6F2AF58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E1AA29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DC9DF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B4F16B2" w14:textId="77777777" w:rsidTr="00547D77">
        <w:tc>
          <w:tcPr>
            <w:tcW w:w="2160" w:type="dxa"/>
            <w:vAlign w:val="center"/>
          </w:tcPr>
          <w:p w14:paraId="4F28FFB3"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2E6596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after delivery, follow-up for a pregnant patient with histologically confirmed HSIL (biopsy) and no invasive cancer during pregnancy should be performed at 6–8 weeks postpartum.</w:t>
            </w:r>
            <w:r w:rsidRPr="00CB2EC4">
              <w:rPr>
                <w:rFonts w:ascii="Times New Roman" w:hAnsi="Times New Roman" w:cs="Times New Roman"/>
              </w:rPr>
              <w:br/>
            </w:r>
            <w:r w:rsidRPr="00CB2EC4">
              <w:rPr>
                <w:rFonts w:ascii="Times New Roman" w:hAnsi="Times New Roman" w:cs="Times New Roman"/>
              </w:rPr>
              <w:br/>
              <w:t>the follow-up steps include:</w:t>
            </w:r>
            <w:r w:rsidRPr="00CB2EC4">
              <w:rPr>
                <w:rFonts w:ascii="Times New Roman" w:hAnsi="Times New Roman" w:cs="Times New Roman"/>
              </w:rPr>
              <w:br/>
              <w:t>- cytology (e.g., Pap smear)</w:t>
            </w:r>
            <w:r w:rsidRPr="00CB2EC4">
              <w:rPr>
                <w:rFonts w:ascii="Times New Roman" w:hAnsi="Times New Roman" w:cs="Times New Roman"/>
              </w:rPr>
              <w:br/>
              <w:t>- colposcopy</w:t>
            </w:r>
            <w:r w:rsidRPr="00CB2EC4">
              <w:rPr>
                <w:rFonts w:ascii="Times New Roman" w:hAnsi="Times New Roman" w:cs="Times New Roman"/>
              </w:rPr>
              <w:br/>
              <w:t>- endocervical curettage (ECC)</w:t>
            </w:r>
            <w:r w:rsidRPr="00CB2EC4">
              <w:rPr>
                <w:rFonts w:ascii="Times New Roman" w:hAnsi="Times New Roman" w:cs="Times New Roman"/>
              </w:rPr>
              <w:br/>
            </w:r>
            <w:r w:rsidRPr="00CB2EC4">
              <w:rPr>
                <w:rFonts w:ascii="Times New Roman" w:hAnsi="Times New Roman" w:cs="Times New Roman"/>
              </w:rPr>
              <w:br/>
              <w:t>management based on follow-up results:</w:t>
            </w:r>
            <w:r w:rsidRPr="00CB2EC4">
              <w:rPr>
                <w:rFonts w:ascii="Times New Roman" w:hAnsi="Times New Roman" w:cs="Times New Roman"/>
              </w:rPr>
              <w:br/>
              <w:t>- if follow-up shows no abnormality (no CIN II or higher), the patient should transition to routine cervical cancer screening (e.g., cytology or HPV testing every 3 years).</w:t>
            </w:r>
            <w:r w:rsidRPr="00CB2EC4">
              <w:rPr>
                <w:rFonts w:ascii="Times New Roman" w:hAnsi="Times New Roman" w:cs="Times New Roman"/>
              </w:rPr>
              <w:br/>
              <w:t xml:space="preserve">- if follow-up reveals abnormality (e.g., CIN II+), diagnostic/therapeutic cervical conization should be performed, and management should proceed </w:t>
            </w:r>
            <w:r w:rsidRPr="00CB2EC4">
              <w:rPr>
                <w:rFonts w:ascii="Times New Roman" w:hAnsi="Times New Roman" w:cs="Times New Roman"/>
              </w:rPr>
              <w:lastRenderedPageBreak/>
              <w:t>according to the lesion grade.</w:t>
            </w:r>
            <w:r w:rsidRPr="00CB2EC4">
              <w:rPr>
                <w:rFonts w:ascii="Times New Roman" w:hAnsi="Times New Roman" w:cs="Times New Roman"/>
              </w:rPr>
              <w:br/>
            </w:r>
            <w:r w:rsidRPr="00CB2EC4">
              <w:rPr>
                <w:rFonts w:ascii="Times New Roman" w:hAnsi="Times New Roman" w:cs="Times New Roman"/>
              </w:rPr>
              <w:br/>
              <w:t>document emphasizes: postpartum follow-up is necessary because lesions may regress or progress after pregnancy.</w:t>
            </w:r>
            <w:r w:rsidRPr="00CB2EC4">
              <w:rPr>
                <w:rFonts w:ascii="Times New Roman" w:hAnsi="Times New Roman" w:cs="Times New Roman"/>
              </w:rPr>
              <w:br/>
            </w:r>
            <w:r w:rsidRPr="00CB2EC4">
              <w:rPr>
                <w:rFonts w:ascii="Times New Roman" w:hAnsi="Times New Roman" w:cs="Times New Roman"/>
              </w:rPr>
              <w:br/>
              <w:t>relevant document excerpts:</w:t>
            </w:r>
            <w:r w:rsidRPr="00CB2EC4">
              <w:rPr>
                <w:rFonts w:ascii="Times New Roman" w:hAnsi="Times New Roman" w:cs="Times New Roman"/>
              </w:rPr>
              <w:br/>
              <w:t>"follow-up at 6–8 weeks postpartum. if abnormalities are found on follow-up, manage according to the abnormal handling protocol. if no CIN is found on follow-up, the patient should transition to routine screening."</w:t>
            </w:r>
            <w:r w:rsidRPr="00CB2EC4">
              <w:rPr>
                <w:rFonts w:ascii="Times New Roman" w:hAnsi="Times New Roman" w:cs="Times New Roman"/>
              </w:rPr>
              <w:br/>
              <w:t>and</w:t>
            </w:r>
            <w:r w:rsidRPr="00CB2EC4">
              <w:rPr>
                <w:rFonts w:ascii="Times New Roman" w:hAnsi="Times New Roman" w:cs="Times New Roman"/>
              </w:rPr>
              <w:br/>
              <w:t>"postpartum follow-up at 6–8 weeks (cytology + colposcopy + ECC). – if no CIN II+ on postpartum follow-up, the patient should undergo routine screening thereafter. – if CIN II+ is found on postpartum follow-up → perform diagnostic/therapeutic cervical conization."</w:t>
            </w:r>
            <w:r w:rsidRPr="00CB2EC4">
              <w:rPr>
                <w:rFonts w:ascii="Times New Roman" w:hAnsi="Times New Roman" w:cs="Times New Roman"/>
              </w:rPr>
              <w:br/>
            </w:r>
            <w:r w:rsidRPr="00CB2EC4">
              <w:rPr>
                <w:rFonts w:ascii="Times New Roman" w:hAnsi="Times New Roman" w:cs="Times New Roman"/>
              </w:rPr>
              <w:br/>
              <w:t>summary: at 6–8 weeks postpartum, perform cytology + colposcopy + ECC. if no CIN II+ is found, transition to routine screening; if CIN II+ is found, perform diagnostic/therapeutic cervical conization and manage according to the lesion grade.</w:t>
            </w:r>
          </w:p>
        </w:tc>
        <w:tc>
          <w:tcPr>
            <w:tcW w:w="1152" w:type="dxa"/>
            <w:vAlign w:val="center"/>
          </w:tcPr>
          <w:p w14:paraId="09FFD8E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30B05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EAE48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1775FEA" w14:textId="77777777" w:rsidTr="00547D77">
        <w:tc>
          <w:tcPr>
            <w:tcW w:w="10656" w:type="dxa"/>
            <w:gridSpan w:val="5"/>
            <w:tcBorders>
              <w:bottom w:val="single" w:sz="6" w:space="0" w:color="auto"/>
            </w:tcBorders>
            <w:vAlign w:val="center"/>
          </w:tcPr>
          <w:p w14:paraId="74266ED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34: What are the strategies for HPV vaccine use? What are the recommended vaccination programs for different age groups?</w:t>
            </w:r>
          </w:p>
        </w:tc>
      </w:tr>
      <w:tr w:rsidR="00916494" w:rsidRPr="00CB2EC4" w14:paraId="31CCD624" w14:textId="77777777" w:rsidTr="00547D77">
        <w:tc>
          <w:tcPr>
            <w:tcW w:w="2160" w:type="dxa"/>
            <w:vAlign w:val="center"/>
          </w:tcPr>
          <w:p w14:paraId="5BA748D5"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BA1EF6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what is the strategy for HPV vaccine use? what are the recommended vaccination schedules for different age groups?</w:t>
            </w:r>
            <w:r w:rsidRPr="00CB2EC4">
              <w:rPr>
                <w:rFonts w:ascii="Times New Roman" w:hAnsi="Times New Roman" w:cs="Times New Roman"/>
              </w:rPr>
              <w:br/>
            </w:r>
            <w:r w:rsidRPr="00CB2EC4">
              <w:rPr>
                <w:rFonts w:ascii="Times New Roman" w:hAnsi="Times New Roman" w:cs="Times New Roman"/>
              </w:rPr>
              <w:br/>
              <w:t>- HPV vaccine use strategy:</w:t>
            </w:r>
            <w:r w:rsidRPr="00CB2EC4">
              <w:rPr>
                <w:rFonts w:ascii="Times New Roman" w:hAnsi="Times New Roman" w:cs="Times New Roman"/>
              </w:rPr>
              <w:br/>
              <w:t xml:space="preserve">  - As primary prevention for cervical cancer, focus on </w:t>
            </w:r>
            <w:r w:rsidRPr="00CB2EC4">
              <w:rPr>
                <w:rFonts w:ascii="Times New Roman" w:hAnsi="Times New Roman" w:cs="Times New Roman"/>
              </w:rPr>
              <w:lastRenderedPageBreak/>
              <w:t>females before the onset of sexual activity, especially girls aged 10–14.</w:t>
            </w:r>
            <w:r w:rsidRPr="00CB2EC4">
              <w:rPr>
                <w:rFonts w:ascii="Times New Roman" w:hAnsi="Times New Roman" w:cs="Times New Roman"/>
              </w:rPr>
              <w:br/>
              <w:t xml:space="preserve">  - Vaccine types include bivalent (targeting HPV16 and 18), quadrivalent (targeting HPV16, 18, 6, and 11), and nonavalent (targeting HPV6, 11, 16, 18, 31, 33, 45, 52, and 58). These vaccines consist of virus-like particles (VLPs) and are non-infectious.</w:t>
            </w:r>
            <w:r w:rsidRPr="00CB2EC4">
              <w:rPr>
                <w:rFonts w:ascii="Times New Roman" w:hAnsi="Times New Roman" w:cs="Times New Roman"/>
              </w:rPr>
              <w:br/>
              <w:t xml:space="preserve">  - WHO data indicate that HPV vaccines have a good safety profile.</w:t>
            </w:r>
            <w:r w:rsidRPr="00CB2EC4">
              <w:rPr>
                <w:rFonts w:ascii="Times New Roman" w:hAnsi="Times New Roman" w:cs="Times New Roman"/>
              </w:rPr>
              <w:br/>
              <w:t>- Recommended vaccination schedules for different age groups:</w:t>
            </w:r>
            <w:r w:rsidRPr="00CB2EC4">
              <w:rPr>
                <w:rFonts w:ascii="Times New Roman" w:hAnsi="Times New Roman" w:cs="Times New Roman"/>
              </w:rPr>
              <w:br/>
              <w:t xml:space="preserve">  - Children aged 9–14 (including girls and boys): a 2-dose schedule is recommended, administered at month 0 and month 5–13 (e.g., with an interval of 5–13 months). If the second dose is given within 5 months after the first dose, a third dose is recommended.</w:t>
            </w:r>
            <w:r w:rsidRPr="00CB2EC4">
              <w:rPr>
                <w:rFonts w:ascii="Times New Roman" w:hAnsi="Times New Roman" w:cs="Times New Roman"/>
              </w:rPr>
              <w:br/>
              <w:t xml:space="preserve">  - Individuals aged 15 and above and immunocompromised persons (regardless of age): a 3-dose schedule is recommended, administered at months 0, 1, and 6 (e.g., 0.5 mL per dose).</w:t>
            </w:r>
            <w:r w:rsidRPr="00CB2EC4">
              <w:rPr>
                <w:rFonts w:ascii="Times New Roman" w:hAnsi="Times New Roman" w:cs="Times New Roman"/>
              </w:rPr>
              <w:br/>
              <w:t>- General principle: vaccination should be completed before the onset of sexual activity to maximize preventive effect.</w:t>
            </w:r>
            <w:r w:rsidRPr="00CB2EC4">
              <w:rPr>
                <w:rFonts w:ascii="Times New Roman" w:hAnsi="Times New Roman" w:cs="Times New Roman"/>
              </w:rPr>
              <w:br/>
            </w:r>
            <w:r w:rsidRPr="00CB2EC4">
              <w:rPr>
                <w:rFonts w:ascii="Times New Roman" w:hAnsi="Times New Roman" w:cs="Times New Roman"/>
              </w:rPr>
              <w:br/>
              <w:t>this information is based on specific descriptions of HPV vaccine in the document (e.g., "for girls and boys aged 9~14, a 2-dose schedule (0.5mL, 0 and 5</w:t>
            </w:r>
            <w:r w:rsidRPr="00CB2EC4">
              <w:rPr>
                <w:rFonts w:ascii="Times New Roman" w:hAnsi="Times New Roman" w:cs="Times New Roman"/>
              </w:rPr>
              <w:t>～</w:t>
            </w:r>
            <w:r w:rsidRPr="00CB2EC4">
              <w:rPr>
                <w:rFonts w:ascii="Times New Roman" w:hAnsi="Times New Roman" w:cs="Times New Roman"/>
              </w:rPr>
              <w:t>13 months) is suggested... for those aged 15 and above and immunocompromised individuals, regardless of age, a 3-dose schedule (0.5mL, 0, 1, 6 months) is suggested").</w:t>
            </w:r>
          </w:p>
        </w:tc>
        <w:tc>
          <w:tcPr>
            <w:tcW w:w="1152" w:type="dxa"/>
            <w:vAlign w:val="center"/>
          </w:tcPr>
          <w:p w14:paraId="4E69B6B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93F0E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8CFCD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F0E4BB5" w14:textId="77777777" w:rsidTr="00547D77">
        <w:tc>
          <w:tcPr>
            <w:tcW w:w="2160" w:type="dxa"/>
            <w:vAlign w:val="center"/>
          </w:tcPr>
          <w:p w14:paraId="1A3FFDAB" w14:textId="77777777" w:rsidR="00916494" w:rsidRPr="00CB2EC4" w:rsidRDefault="00916494" w:rsidP="00547D77">
            <w:pPr>
              <w:rPr>
                <w:rFonts w:ascii="Times New Roman" w:hAnsi="Times New Roman" w:cs="Times New Roman"/>
              </w:rPr>
            </w:pPr>
            <w:r>
              <w:rPr>
                <w:rFonts w:ascii="Times New Roman" w:hAnsi="Times New Roman" w:cs="Times New Roman"/>
              </w:rPr>
              <w:t xml:space="preserve">Chunk size=256, Overlap=100 Using </w:t>
            </w:r>
            <w:r>
              <w:rPr>
                <w:rFonts w:ascii="Times New Roman" w:hAnsi="Times New Roman" w:cs="Times New Roman"/>
              </w:rPr>
              <w:lastRenderedPageBreak/>
              <w:t>SentenceSplitter</w:t>
            </w:r>
          </w:p>
        </w:tc>
        <w:tc>
          <w:tcPr>
            <w:tcW w:w="5040" w:type="dxa"/>
            <w:vAlign w:val="center"/>
          </w:tcPr>
          <w:p w14:paraId="23F353C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 xml:space="preserve">what is the HPV vaccination strategy? what are the recommended vaccination schedules for different age </w:t>
            </w:r>
            <w:r w:rsidRPr="00CB2EC4">
              <w:rPr>
                <w:rFonts w:ascii="Times New Roman" w:hAnsi="Times New Roman" w:cs="Times New Roman"/>
              </w:rPr>
              <w:lastRenderedPageBreak/>
              <w:t>groups?</w:t>
            </w:r>
            <w:r w:rsidRPr="00CB2EC4">
              <w:rPr>
                <w:rFonts w:ascii="Times New Roman" w:hAnsi="Times New Roman" w:cs="Times New Roman"/>
              </w:rPr>
              <w:br/>
            </w:r>
            <w:r w:rsidRPr="00CB2EC4">
              <w:rPr>
                <w:rFonts w:ascii="Times New Roman" w:hAnsi="Times New Roman" w:cs="Times New Roman"/>
              </w:rPr>
              <w:br/>
              <w:t>based on the document content:</w:t>
            </w:r>
            <w:r w:rsidRPr="00CB2EC4">
              <w:rPr>
                <w:rFonts w:ascii="Times New Roman" w:hAnsi="Times New Roman" w:cs="Times New Roman"/>
              </w:rPr>
              <w:br/>
              <w:t>- the HPV vaccine strategy is the core of primary prevention for cervical cancer, focusing on adolescents who have not yet initiated sexual activity to prevent HPV infection and related precancerous lesions.</w:t>
            </w:r>
            <w:r w:rsidRPr="00CB2EC4">
              <w:rPr>
                <w:rFonts w:ascii="Times New Roman" w:hAnsi="Times New Roman" w:cs="Times New Roman"/>
              </w:rPr>
              <w:br/>
              <w:t>- vaccine types: there are three prophylactic HPV vaccines:</w:t>
            </w:r>
            <w:r w:rsidRPr="00CB2EC4">
              <w:rPr>
                <w:rFonts w:ascii="Times New Roman" w:hAnsi="Times New Roman" w:cs="Times New Roman"/>
              </w:rPr>
              <w:br/>
              <w:t xml:space="preserve">  - bivalent vaccine: targets HPV types 16 and 18 (the main causes of cervical cancer).</w:t>
            </w:r>
            <w:r w:rsidRPr="00CB2EC4">
              <w:rPr>
                <w:rFonts w:ascii="Times New Roman" w:hAnsi="Times New Roman" w:cs="Times New Roman"/>
              </w:rPr>
              <w:br/>
              <w:t xml:space="preserve">  - quadrivalent vaccine: targets HPV types 6, 11, 16, and 18 (additionally prevents anogenital warts).</w:t>
            </w:r>
            <w:r w:rsidRPr="00CB2EC4">
              <w:rPr>
                <w:rFonts w:ascii="Times New Roman" w:hAnsi="Times New Roman" w:cs="Times New Roman"/>
              </w:rPr>
              <w:br/>
              <w:t xml:space="preserve">  - nonavalent vaccine: targets HPV types 6, 11, 16, 18, 31, 33, 45, 52, and 58 (covers more high-risk types).</w:t>
            </w:r>
            <w:r w:rsidRPr="00CB2EC4">
              <w:rPr>
                <w:rFonts w:ascii="Times New Roman" w:hAnsi="Times New Roman" w:cs="Times New Roman"/>
              </w:rPr>
              <w:br/>
              <w:t>- recommended schedules by age group:</w:t>
            </w:r>
            <w:r w:rsidRPr="00CB2EC4">
              <w:rPr>
                <w:rFonts w:ascii="Times New Roman" w:hAnsi="Times New Roman" w:cs="Times New Roman"/>
              </w:rPr>
              <w:br/>
              <w:t xml:space="preserve">  - adolescents aged 9–14 years (girls and boys): a 2-dose schedule is recommended, with 0.5 mL per dose and intervals of 0 and 5–13 months. if the second dose is administered within 5 months after the first dose, a third dose is recommended.</w:t>
            </w:r>
            <w:r w:rsidRPr="00CB2EC4">
              <w:rPr>
                <w:rFonts w:ascii="Times New Roman" w:hAnsi="Times New Roman" w:cs="Times New Roman"/>
              </w:rPr>
              <w:br/>
              <w:t xml:space="preserve">  - individuals aged 15 years and older and immunocompromised persons (regardless of age): a 3-dose schedule is recommended, with 0.5 mL per dose and intervals of 0, 1, and 6 months.</w:t>
            </w:r>
            <w:r w:rsidRPr="00CB2EC4">
              <w:rPr>
                <w:rFonts w:ascii="Times New Roman" w:hAnsi="Times New Roman" w:cs="Times New Roman"/>
              </w:rPr>
              <w:br/>
              <w:t>- the document states that the vaccines consist of virus-like particles (VLPs) and are non-infectious, and WHO data confirm good safety profiles.</w:t>
            </w:r>
            <w:r w:rsidRPr="00CB2EC4">
              <w:rPr>
                <w:rFonts w:ascii="Times New Roman" w:hAnsi="Times New Roman" w:cs="Times New Roman"/>
              </w:rPr>
              <w:br/>
              <w:t>- related document excerpt: "for $9 \sim 1 4$ year-old girls and boys, a 2-dose schedule (0.5$\mathrm{mL}$, 0 and 5</w:t>
            </w:r>
            <w:r w:rsidRPr="00CB2EC4">
              <w:rPr>
                <w:rFonts w:ascii="Times New Roman" w:hAnsi="Times New Roman" w:cs="Times New Roman"/>
              </w:rPr>
              <w:t>～</w:t>
            </w:r>
            <w:r w:rsidRPr="00CB2EC4">
              <w:rPr>
                <w:rFonts w:ascii="Times New Roman" w:hAnsi="Times New Roman" w:cs="Times New Roman"/>
              </w:rPr>
              <w:t xml:space="preserve">13 months) is </w:t>
            </w:r>
            <w:r w:rsidRPr="00CB2EC4">
              <w:rPr>
                <w:rFonts w:ascii="Times New Roman" w:hAnsi="Times New Roman" w:cs="Times New Roman"/>
              </w:rPr>
              <w:lastRenderedPageBreak/>
              <w:t>recommended. if the second dose is given within 5 months after the first dose, a third dose is advised. for those aged 15 years and older and immunocompromised individuals, regardless of age, a 3-dose schedule $(0.5\mathrm{mL}, 0, 1, 6$ months) is recommended. WHO currently reports no safety concerns regarding HPV vaccines."</w:t>
            </w:r>
            <w:r w:rsidRPr="00CB2EC4">
              <w:rPr>
                <w:rFonts w:ascii="Times New Roman" w:hAnsi="Times New Roman" w:cs="Times New Roman"/>
              </w:rPr>
              <w:br/>
            </w:r>
            <w:r w:rsidRPr="00CB2EC4">
              <w:rPr>
                <w:rFonts w:ascii="Times New Roman" w:hAnsi="Times New Roman" w:cs="Times New Roman"/>
              </w:rPr>
              <w:br/>
              <w:t>summary: the HPV vaccination strategy is prophylactic, using a 2-dose schedule (0 and 5–13 months) for adolescents aged 9–14 years, and a 3-dose schedule (0, 1, 6 months) for those aged 15 years and older and immunocompromised individuals. vaccine types include bivalent, quadrivalent, and nonavalent, with emphasis on coverage of high-risk HPV types.</w:t>
            </w:r>
          </w:p>
        </w:tc>
        <w:tc>
          <w:tcPr>
            <w:tcW w:w="1152" w:type="dxa"/>
            <w:vAlign w:val="center"/>
          </w:tcPr>
          <w:p w14:paraId="48E0C34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1B0E63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7CC13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59F9CCE" w14:textId="77777777" w:rsidTr="00547D77">
        <w:tc>
          <w:tcPr>
            <w:tcW w:w="10656" w:type="dxa"/>
            <w:gridSpan w:val="5"/>
            <w:tcBorders>
              <w:bottom w:val="single" w:sz="6" w:space="0" w:color="auto"/>
            </w:tcBorders>
            <w:vAlign w:val="center"/>
          </w:tcPr>
          <w:p w14:paraId="327B0C9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35: Is HPV primary screening applicable in low-income countries? If so, why?</w:t>
            </w:r>
          </w:p>
        </w:tc>
      </w:tr>
      <w:tr w:rsidR="00916494" w:rsidRPr="00CB2EC4" w14:paraId="0B913804" w14:textId="77777777" w:rsidTr="00547D77">
        <w:tc>
          <w:tcPr>
            <w:tcW w:w="2160" w:type="dxa"/>
            <w:vAlign w:val="center"/>
          </w:tcPr>
          <w:p w14:paraId="474F6666"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C182F8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yes, HPV primary screening is applicable in low-income countries. The reasons are as follows:  </w:t>
            </w:r>
            <w:r w:rsidRPr="00CB2EC4">
              <w:rPr>
                <w:rFonts w:ascii="Times New Roman" w:hAnsi="Times New Roman" w:cs="Times New Roman"/>
              </w:rPr>
              <w:br/>
              <w:t xml:space="preserve">- Higher sensitivity and negative predictive value: HPV testing is more sensitive than conventional cytology (e.g., Pap smear) and can more accurately identify high-risk individuals, reducing missed diagnoses. A negative result provides high confidence, allowing for extended screening intervals (e.g., screening only once in a lifetime), which is particularly important in resource-limited settings.  </w:t>
            </w:r>
            <w:r w:rsidRPr="00CB2EC4">
              <w:rPr>
                <w:rFonts w:ascii="Times New Roman" w:hAnsi="Times New Roman" w:cs="Times New Roman"/>
              </w:rPr>
              <w:br/>
              <w:t xml:space="preserve">- Feasibility and simplicity: HPV testing involves simple procedures, does not require highly specialized laboratories or personnel, and is easy to implement in primary healthcare. The document notes that auxiliary methods such as visual inspection with acetic acid (VIA) are already widely used in low-income countries (e.g., sub-Saharan Africa) and can be </w:t>
            </w:r>
            <w:r w:rsidRPr="00CB2EC4">
              <w:rPr>
                <w:rFonts w:ascii="Times New Roman" w:hAnsi="Times New Roman" w:cs="Times New Roman"/>
              </w:rPr>
              <w:lastRenderedPageBreak/>
              <w:t xml:space="preserve">combined with HPV primary screening to improve efficiency.  </w:t>
            </w:r>
            <w:r w:rsidRPr="00CB2EC4">
              <w:rPr>
                <w:rFonts w:ascii="Times New Roman" w:hAnsi="Times New Roman" w:cs="Times New Roman"/>
              </w:rPr>
              <w:br/>
              <w:t xml:space="preserve">- Cost-effectiveness and acceptability: HPV primary screening reduces screening frequency and the need for follow-up examinations, lowering overall costs. The document emphasizes that screening strategies should be "feasible, simple, accurate, acceptable, and easily accessible to women at highest risk"; HPV primary screening meets these principles and is especially suitable for socioeconomically underdeveloped regions.  </w:t>
            </w:r>
            <w:r w:rsidRPr="00CB2EC4">
              <w:rPr>
                <w:rFonts w:ascii="Times New Roman" w:hAnsi="Times New Roman" w:cs="Times New Roman"/>
              </w:rPr>
              <w:br/>
              <w:t xml:space="preserve">- Additional note: In low-income countries, HPV primary screening can replace cytology as the preferred method. Combined with vaccination, it contributes to the elimination of cervical cancer.  </w:t>
            </w:r>
            <w:r w:rsidRPr="00CB2EC4">
              <w:rPr>
                <w:rFonts w:ascii="Times New Roman" w:hAnsi="Times New Roman" w:cs="Times New Roman"/>
              </w:rPr>
              <w:br/>
            </w:r>
            <w:r w:rsidRPr="00CB2EC4">
              <w:rPr>
                <w:rFonts w:ascii="Times New Roman" w:hAnsi="Times New Roman" w:cs="Times New Roman"/>
              </w:rPr>
              <w:br/>
              <w:t>This information is based on the document's discussion of cervical cancer screening strategies (e.g., "HPV testing and visual inspection with acetic acid for screening in impoverished areas have higher efficiency."; "In low-income countries, screening can be done only once in a lifetime."; "Different countries should choose cervical cancer screening methods suited to local conditions.").</w:t>
            </w:r>
          </w:p>
        </w:tc>
        <w:tc>
          <w:tcPr>
            <w:tcW w:w="1152" w:type="dxa"/>
            <w:vAlign w:val="center"/>
          </w:tcPr>
          <w:p w14:paraId="56E4D53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D38FA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3A746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EE1496E" w14:textId="77777777" w:rsidTr="00547D77">
        <w:tc>
          <w:tcPr>
            <w:tcW w:w="2160" w:type="dxa"/>
            <w:vAlign w:val="center"/>
          </w:tcPr>
          <w:p w14:paraId="5D1EB0B1"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D6D5BD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yes, HPV primary screening is applicable in low-income countries.  </w:t>
            </w:r>
            <w:r w:rsidRPr="00CB2EC4">
              <w:rPr>
                <w:rFonts w:ascii="Times New Roman" w:hAnsi="Times New Roman" w:cs="Times New Roman"/>
              </w:rPr>
              <w:br/>
              <w:t xml:space="preserve">- reasons:  </w:t>
            </w:r>
            <w:r w:rsidRPr="00CB2EC4">
              <w:rPr>
                <w:rFonts w:ascii="Times New Roman" w:hAnsi="Times New Roman" w:cs="Times New Roman"/>
              </w:rPr>
              <w:br/>
              <w:t xml:space="preserve">  - HPV testing as a primary screening method has higher sensitivity and negative predictive value, enabling more accurate identification of high-risk individuals and reducing missed diagnoses.  </w:t>
            </w:r>
            <w:r w:rsidRPr="00CB2EC4">
              <w:rPr>
                <w:rFonts w:ascii="Times New Roman" w:hAnsi="Times New Roman" w:cs="Times New Roman"/>
              </w:rPr>
              <w:br/>
              <w:t xml:space="preserve">  - it allows for extended screening intervals (e.g., every 5 years or longer), and in resource-limited settings, even "screen once in a lifetime," thereby </w:t>
            </w:r>
            <w:r w:rsidRPr="00CB2EC4">
              <w:rPr>
                <w:rFonts w:ascii="Times New Roman" w:hAnsi="Times New Roman" w:cs="Times New Roman"/>
              </w:rPr>
              <w:lastRenderedPageBreak/>
              <w:t xml:space="preserve">lowering screening frequency and costs.  </w:t>
            </w:r>
            <w:r w:rsidRPr="00CB2EC4">
              <w:rPr>
                <w:rFonts w:ascii="Times New Roman" w:hAnsi="Times New Roman" w:cs="Times New Roman"/>
              </w:rPr>
              <w:br/>
              <w:t xml:space="preserve">  - in low-income countries (e.g., sub-Saharan Africa), HPV primary screening is more feasible, simpler, and more acceptable than traditional methods (e.g., cytology), as it does not require advanced laboratory facilities and is easy to implement at the primary care level.  </w:t>
            </w:r>
            <w:r w:rsidRPr="00CB2EC4">
              <w:rPr>
                <w:rFonts w:ascii="Times New Roman" w:hAnsi="Times New Roman" w:cs="Times New Roman"/>
              </w:rPr>
              <w:br/>
              <w:t xml:space="preserve">  - the document emphasizes that different countries should adopt screening strategies that are "locally appropriate." HPV primary screening aligns with the principles of being feasible, simple, accurate, acceptable, and accessible to the highest-risk women.  </w:t>
            </w:r>
            <w:r w:rsidRPr="00CB2EC4">
              <w:rPr>
                <w:rFonts w:ascii="Times New Roman" w:hAnsi="Times New Roman" w:cs="Times New Roman"/>
              </w:rPr>
              <w:br/>
            </w:r>
            <w:r w:rsidRPr="00CB2EC4">
              <w:rPr>
                <w:rFonts w:ascii="Times New Roman" w:hAnsi="Times New Roman" w:cs="Times New Roman"/>
              </w:rPr>
              <w:br/>
              <w:t xml:space="preserve">related document excerpts:  </w:t>
            </w:r>
            <w:r w:rsidRPr="00CB2EC4">
              <w:rPr>
                <w:rFonts w:ascii="Times New Roman" w:hAnsi="Times New Roman" w:cs="Times New Roman"/>
              </w:rPr>
              <w:br/>
              <w:t xml:space="preserve">"Many healthcare systems are beginning to switch to HPV primary screening. This screening has higher sensitivity and negative predictive value, allows for extended screening intervals, and in low-income countries, a woman may be screened only once in her lifetime."  </w:t>
            </w:r>
            <w:r w:rsidRPr="00CB2EC4">
              <w:rPr>
                <w:rFonts w:ascii="Times New Roman" w:hAnsi="Times New Roman" w:cs="Times New Roman"/>
              </w:rPr>
              <w:br/>
              <w:t xml:space="preserve">"Different countries should choose locally appropriate cervical cancer screening methods. The principles for selecting a screening strategy are: feasible, simple, accurate, acceptable, and easily usable by the highest-risk women."  </w:t>
            </w:r>
            <w:r w:rsidRPr="00CB2EC4">
              <w:rPr>
                <w:rFonts w:ascii="Times New Roman" w:hAnsi="Times New Roman" w:cs="Times New Roman"/>
              </w:rPr>
              <w:br/>
            </w:r>
            <w:r w:rsidRPr="00CB2EC4">
              <w:rPr>
                <w:rFonts w:ascii="Times New Roman" w:hAnsi="Times New Roman" w:cs="Times New Roman"/>
              </w:rPr>
              <w:br/>
              <w:t>summary: HPV primary screening is suitable for low-income countries because of its high sensitivity and negative predictive value, the ability to extend screening intervals (e.g., once in a lifetime), reduced resource requirements, and compliance with principles of simplicity, feasibility, and acceptability, particularly in resource-scarce regions.</w:t>
            </w:r>
          </w:p>
        </w:tc>
        <w:tc>
          <w:tcPr>
            <w:tcW w:w="1152" w:type="dxa"/>
            <w:vAlign w:val="center"/>
          </w:tcPr>
          <w:p w14:paraId="6768B29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97943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01E8BA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D3AC278" w14:textId="77777777" w:rsidTr="00547D77">
        <w:tc>
          <w:tcPr>
            <w:tcW w:w="10656" w:type="dxa"/>
            <w:gridSpan w:val="5"/>
            <w:tcBorders>
              <w:bottom w:val="single" w:sz="6" w:space="0" w:color="auto"/>
            </w:tcBorders>
            <w:vAlign w:val="center"/>
          </w:tcPr>
          <w:p w14:paraId="03CAFC3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 xml:space="preserve">Question 36: which cervical cancer screening methods are widely used in low-income countries, particularly in sub-Saharan </w:t>
            </w:r>
            <w:r w:rsidRPr="00CB2EC4">
              <w:rPr>
                <w:rFonts w:ascii="Times New Roman" w:hAnsi="Times New Roman" w:cs="Times New Roman"/>
                <w:b/>
              </w:rPr>
              <w:lastRenderedPageBreak/>
              <w:t>Africa?</w:t>
            </w:r>
          </w:p>
        </w:tc>
      </w:tr>
      <w:tr w:rsidR="00916494" w:rsidRPr="00CB2EC4" w14:paraId="4A814755" w14:textId="77777777" w:rsidTr="00547D77">
        <w:tc>
          <w:tcPr>
            <w:tcW w:w="2160" w:type="dxa"/>
            <w:vAlign w:val="center"/>
          </w:tcPr>
          <w:p w14:paraId="72432C10"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size=512, Overlap=0 Using TokenTextSplitter</w:t>
            </w:r>
          </w:p>
        </w:tc>
        <w:tc>
          <w:tcPr>
            <w:tcW w:w="5040" w:type="dxa"/>
            <w:vAlign w:val="center"/>
          </w:tcPr>
          <w:p w14:paraId="15FE640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low-income countries, particularly in sub-Saharan Africa, the cervical cancer screening method widely used is visual inspection with acetic acid (VIA). The document states: "VIA involves applying freshly prepared 3%</w:t>
            </w:r>
            <w:r w:rsidRPr="00CB2EC4">
              <w:rPr>
                <w:rFonts w:ascii="Times New Roman" w:hAnsi="Times New Roman" w:cs="Times New Roman"/>
              </w:rPr>
              <w:t>～</w:t>
            </w:r>
            <w:r w:rsidRPr="00CB2EC4">
              <w:rPr>
                <w:rFonts w:ascii="Times New Roman" w:hAnsi="Times New Roman" w:cs="Times New Roman"/>
              </w:rPr>
              <w:t>5% acetic acid to the cervix for 1 min and then observing for acetowhite lesions. It has been widely implemented in low-income countries in sub-Saharan Africa." This highlights VIA as a simple, cost-effective, and easily implementable screening method adopted broadly in resource-limited settings.</w:t>
            </w:r>
          </w:p>
        </w:tc>
        <w:tc>
          <w:tcPr>
            <w:tcW w:w="1152" w:type="dxa"/>
            <w:vAlign w:val="center"/>
          </w:tcPr>
          <w:p w14:paraId="5B50A1C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5B60C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F9D8EF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1854698" w14:textId="77777777" w:rsidTr="00547D77">
        <w:tc>
          <w:tcPr>
            <w:tcW w:w="2160" w:type="dxa"/>
            <w:vAlign w:val="center"/>
          </w:tcPr>
          <w:p w14:paraId="5C9A5FEB"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95EA49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low-income countries, particularly in sub-Saharan Africa, the cervical cancer screening method widely used is VIA (visual inspection with acetic acid). Specifically, VIA involves applying freshly prepared 3% to 5% acetic acid to the cervix for 1 minute and then visually inspecting for acetowhite lesions. This method has been widely implemented in low-income countries in sub-Saharan Africa (as referenced in a segment with similarity score 0.404). The document also emphasizes that different countries should select screening methods suited to local conditions, with principles of feasibility, simplicity, accuracy, acceptability, and ease of use for women at highest risk. Therefore, VIA is the primary screening tool in sub-Saharan Africa.</w:t>
            </w:r>
          </w:p>
        </w:tc>
        <w:tc>
          <w:tcPr>
            <w:tcW w:w="1152" w:type="dxa"/>
            <w:vAlign w:val="center"/>
          </w:tcPr>
          <w:p w14:paraId="2EDE30F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D095F5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9AED1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149C358" w14:textId="77777777" w:rsidTr="00547D77">
        <w:tc>
          <w:tcPr>
            <w:tcW w:w="10656" w:type="dxa"/>
            <w:gridSpan w:val="5"/>
            <w:tcBorders>
              <w:bottom w:val="single" w:sz="6" w:space="0" w:color="auto"/>
            </w:tcBorders>
            <w:vAlign w:val="center"/>
          </w:tcPr>
          <w:p w14:paraId="00F20F8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37: what are the key indicators included in the expert consensus for quality control management of HPV testing?</w:t>
            </w:r>
          </w:p>
        </w:tc>
      </w:tr>
      <w:tr w:rsidR="00916494" w:rsidRPr="00CB2EC4" w14:paraId="476FCFA2" w14:textId="77777777" w:rsidTr="00547D77">
        <w:tc>
          <w:tcPr>
            <w:tcW w:w="2160" w:type="dxa"/>
            <w:vAlign w:val="center"/>
          </w:tcPr>
          <w:p w14:paraId="65D7EDFF"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7D22B9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key indicators included in the expert consensus on quality control management for HPV testing are as follows (based on the quality control scheme described in the document):</w:t>
            </w:r>
            <w:r w:rsidRPr="00CB2EC4">
              <w:rPr>
                <w:rFonts w:ascii="Times New Roman" w:hAnsi="Times New Roman" w:cs="Times New Roman"/>
              </w:rPr>
              <w:br/>
            </w:r>
            <w:r w:rsidRPr="00CB2EC4">
              <w:rPr>
                <w:rFonts w:ascii="Times New Roman" w:hAnsi="Times New Roman" w:cs="Times New Roman"/>
              </w:rPr>
              <w:br/>
              <w:t xml:space="preserve">- Positive detection rate for each TBS diagnostic </w:t>
            </w:r>
            <w:r w:rsidRPr="00CB2EC4">
              <w:rPr>
                <w:rFonts w:ascii="Times New Roman" w:hAnsi="Times New Roman" w:cs="Times New Roman"/>
              </w:rPr>
              <w:lastRenderedPageBreak/>
              <w:t>category: requires assessment based on a statistical sample size exceeding 5,000 cases.</w:t>
            </w:r>
            <w:r w:rsidRPr="00CB2EC4">
              <w:rPr>
                <w:rFonts w:ascii="Times New Roman" w:hAnsi="Times New Roman" w:cs="Times New Roman"/>
              </w:rPr>
              <w:br/>
              <w:t>- ASC/SIL ratio: the ideal range is 1.5 to 3.0, indicating good quality control.</w:t>
            </w:r>
            <w:r w:rsidRPr="00CB2EC4">
              <w:rPr>
                <w:rFonts w:ascii="Times New Roman" w:hAnsi="Times New Roman" w:cs="Times New Roman"/>
              </w:rPr>
              <w:br/>
              <w:t>- High-risk HPV positivity rates for different cytological grades, specifically:</w:t>
            </w:r>
            <w:r w:rsidRPr="00CB2EC4">
              <w:rPr>
                <w:rFonts w:ascii="Times New Roman" w:hAnsi="Times New Roman" w:cs="Times New Roman"/>
              </w:rPr>
              <w:br/>
              <w:t xml:space="preserve">  - ASC-US: 20% to 40%</w:t>
            </w:r>
            <w:r w:rsidRPr="00CB2EC4">
              <w:rPr>
                <w:rFonts w:ascii="Times New Roman" w:hAnsi="Times New Roman" w:cs="Times New Roman"/>
              </w:rPr>
              <w:br/>
              <w:t xml:space="preserve">  - ASC-H: 40% to 60%</w:t>
            </w:r>
            <w:r w:rsidRPr="00CB2EC4">
              <w:rPr>
                <w:rFonts w:ascii="Times New Roman" w:hAnsi="Times New Roman" w:cs="Times New Roman"/>
              </w:rPr>
              <w:br/>
              <w:t xml:space="preserve">  - LSIL: 50% to 70%</w:t>
            </w:r>
            <w:r w:rsidRPr="00CB2EC4">
              <w:rPr>
                <w:rFonts w:ascii="Times New Roman" w:hAnsi="Times New Roman" w:cs="Times New Roman"/>
              </w:rPr>
              <w:br/>
              <w:t xml:space="preserve">  - HSIL: 70% to 90%</w:t>
            </w:r>
            <w:r w:rsidRPr="00CB2EC4">
              <w:rPr>
                <w:rFonts w:ascii="Times New Roman" w:hAnsi="Times New Roman" w:cs="Times New Roman"/>
              </w:rPr>
              <w:br/>
              <w:t xml:space="preserve">  - A positivity rate exceeding 90% is considered good.</w:t>
            </w:r>
            <w:r w:rsidRPr="00CB2EC4">
              <w:rPr>
                <w:rFonts w:ascii="Times New Roman" w:hAnsi="Times New Roman" w:cs="Times New Roman"/>
              </w:rPr>
              <w:br/>
              <w:t>- Concordance rate between cytologically positive specimens and histologically confirmed diagnoses: requires assessment based on more than 100 cytologically positive specimens (including ASC-US, ASC-H, LSIL, HSIL, SCC, AGC, AIS) and their final histopathological diagnoses (e.g., from cervical excision or hysterectomy).</w:t>
            </w:r>
            <w:r w:rsidRPr="00CB2EC4">
              <w:rPr>
                <w:rFonts w:ascii="Times New Roman" w:hAnsi="Times New Roman" w:cs="Times New Roman"/>
              </w:rPr>
              <w:br/>
            </w:r>
            <w:r w:rsidRPr="00CB2EC4">
              <w:rPr>
                <w:rFonts w:ascii="Times New Roman" w:hAnsi="Times New Roman" w:cs="Times New Roman"/>
              </w:rPr>
              <w:br/>
              <w:t>These indicators are designed to ensure the accuracy and consistency of HPV testing. The source document is the CSCCP expert consensus on cytopathology quality control.</w:t>
            </w:r>
          </w:p>
        </w:tc>
        <w:tc>
          <w:tcPr>
            <w:tcW w:w="1152" w:type="dxa"/>
            <w:vAlign w:val="center"/>
          </w:tcPr>
          <w:p w14:paraId="44DE7B5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62FC49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9620A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4F45B7EB" w14:textId="77777777" w:rsidTr="00547D77">
        <w:tc>
          <w:tcPr>
            <w:tcW w:w="2160" w:type="dxa"/>
            <w:vAlign w:val="center"/>
          </w:tcPr>
          <w:p w14:paraId="277D445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BB3397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key indicators included in the expert consensus on quality control management for HPV testing are as follows:  </w:t>
            </w:r>
            <w:r w:rsidRPr="00CB2EC4">
              <w:rPr>
                <w:rFonts w:ascii="Times New Roman" w:hAnsi="Times New Roman" w:cs="Times New Roman"/>
              </w:rPr>
              <w:br/>
              <w:t xml:space="preserve">- Positive detection rate for each TBS diagnostic category: to be assessed based on statistical volume from &gt;5000 cases.  </w:t>
            </w:r>
            <w:r w:rsidRPr="00CB2EC4">
              <w:rPr>
                <w:rFonts w:ascii="Times New Roman" w:hAnsi="Times New Roman" w:cs="Times New Roman"/>
              </w:rPr>
              <w:br/>
              <w:t xml:space="preserve">- Atypical squamous cells/squamous intraepithelial lesion (ASC/SIL) ratio: ideal range 1.5–3.0; this ratio evaluates diagnostic accuracy (a ratio within this range indicates good quality control).  </w:t>
            </w:r>
            <w:r w:rsidRPr="00CB2EC4">
              <w:rPr>
                <w:rFonts w:ascii="Times New Roman" w:hAnsi="Times New Roman" w:cs="Times New Roman"/>
              </w:rPr>
              <w:br/>
            </w:r>
            <w:r w:rsidRPr="00CB2EC4">
              <w:rPr>
                <w:rFonts w:ascii="Times New Roman" w:hAnsi="Times New Roman" w:cs="Times New Roman"/>
              </w:rPr>
              <w:lastRenderedPageBreak/>
              <w:t xml:space="preserve">- Concordance rate between positive cytology specimens and final histological diagnosis: refers to the degree of agreement between cytological positive findings (e.g., ASC-US, ASC-H, LSIL) and histopathological diagnosis.  </w:t>
            </w:r>
            <w:r w:rsidRPr="00CB2EC4">
              <w:rPr>
                <w:rFonts w:ascii="Times New Roman" w:hAnsi="Times New Roman" w:cs="Times New Roman"/>
              </w:rPr>
              <w:br/>
              <w:t xml:space="preserve">- Follow-up registration system and follow-up rate for positive cases: requires establishment of a follow-up system and tracking of follow-up rates.  </w:t>
            </w:r>
            <w:r w:rsidRPr="00CB2EC4">
              <w:rPr>
                <w:rFonts w:ascii="Times New Roman" w:hAnsi="Times New Roman" w:cs="Times New Roman"/>
              </w:rPr>
              <w:br/>
              <w:t xml:space="preserve">- On-site inspection: includes randomly selecting 10–20 consecutive positive cases, 20–30 negative cases, and 20 inter-laboratory quality control standard slides for on-site evaluation.  </w:t>
            </w:r>
            <w:r w:rsidRPr="00CB2EC4">
              <w:rPr>
                <w:rFonts w:ascii="Times New Roman" w:hAnsi="Times New Roman" w:cs="Times New Roman"/>
              </w:rPr>
              <w:br/>
              <w:t>These indicators aim to strengthen quality control for HPV testing and ensure the reliability of screening results.</w:t>
            </w:r>
          </w:p>
        </w:tc>
        <w:tc>
          <w:tcPr>
            <w:tcW w:w="1152" w:type="dxa"/>
            <w:vAlign w:val="center"/>
          </w:tcPr>
          <w:p w14:paraId="75B1244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7C8EC7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2562A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D4A80E4" w14:textId="77777777" w:rsidTr="00547D77">
        <w:tc>
          <w:tcPr>
            <w:tcW w:w="10656" w:type="dxa"/>
            <w:gridSpan w:val="5"/>
            <w:tcBorders>
              <w:bottom w:val="single" w:sz="6" w:space="0" w:color="auto"/>
            </w:tcBorders>
            <w:vAlign w:val="center"/>
          </w:tcPr>
          <w:p w14:paraId="40AD8EC2"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38: what is the difference in clinical management between ASC-US and ASC-H?</w:t>
            </w:r>
          </w:p>
        </w:tc>
      </w:tr>
      <w:tr w:rsidR="00916494" w:rsidRPr="00CB2EC4" w14:paraId="6F864F38" w14:textId="77777777" w:rsidTr="00547D77">
        <w:tc>
          <w:tcPr>
            <w:tcW w:w="2160" w:type="dxa"/>
            <w:vAlign w:val="center"/>
          </w:tcPr>
          <w:p w14:paraId="0E3F918F"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7BFCF8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ASC-US and ASC-H differ significantly in clinical management based on the provided guidelines:</w:t>
            </w:r>
            <w:r w:rsidRPr="00CB2EC4">
              <w:rPr>
                <w:rFonts w:ascii="Times New Roman" w:hAnsi="Times New Roman" w:cs="Times New Roman"/>
              </w:rPr>
              <w:br/>
            </w:r>
            <w:r w:rsidRPr="00CB2EC4">
              <w:rPr>
                <w:rFonts w:ascii="Times New Roman" w:hAnsi="Times New Roman" w:cs="Times New Roman"/>
              </w:rPr>
              <w:br/>
              <w:t xml:space="preserve">- **ASC-US management**:  </w:t>
            </w:r>
            <w:r w:rsidRPr="00CB2EC4">
              <w:rPr>
                <w:rFonts w:ascii="Times New Roman" w:hAnsi="Times New Roman" w:cs="Times New Roman"/>
              </w:rPr>
              <w:br/>
              <w:t xml:space="preserve">  Typically undergoes HPV triage testing.  </w:t>
            </w:r>
            <w:r w:rsidRPr="00CB2EC4">
              <w:rPr>
                <w:rFonts w:ascii="Times New Roman" w:hAnsi="Times New Roman" w:cs="Times New Roman"/>
              </w:rPr>
              <w:br/>
              <w:t xml:space="preserve">  → If HPV positive (regardless of genotyping) or HPV genotyping shows HPV16/18 positive, refer for colposcopy.  </w:t>
            </w:r>
            <w:r w:rsidRPr="00CB2EC4">
              <w:rPr>
                <w:rFonts w:ascii="Times New Roman" w:hAnsi="Times New Roman" w:cs="Times New Roman"/>
              </w:rPr>
              <w:br/>
              <w:t xml:space="preserve">  → If HPV negative, recommend repeat cytology in 1 year.  </w:t>
            </w:r>
            <w:r w:rsidRPr="00CB2EC4">
              <w:rPr>
                <w:rFonts w:ascii="Times New Roman" w:hAnsi="Times New Roman" w:cs="Times New Roman"/>
              </w:rPr>
              <w:br/>
              <w:t xml:space="preserve">  → If HPV testing is unavailable, refer directly for colposcopy.  </w:t>
            </w:r>
            <w:r w:rsidRPr="00CB2EC4">
              <w:rPr>
                <w:rFonts w:ascii="Times New Roman" w:hAnsi="Times New Roman" w:cs="Times New Roman"/>
              </w:rPr>
              <w:br/>
              <w:t xml:space="preserve">  The document states: “ASC-US uses HPV for triage; if HPV positive (ungenotyped) or HPV genotyping detects HPV16/18 positive, colposcopy referral is indicated.”</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**ASC-H management**:  </w:t>
            </w:r>
            <w:r w:rsidRPr="00CB2EC4">
              <w:rPr>
                <w:rFonts w:ascii="Times New Roman" w:hAnsi="Times New Roman" w:cs="Times New Roman"/>
              </w:rPr>
              <w:br/>
              <w:t xml:space="preserve">  Refer directly for colposcopy without prior HPV testing.  </w:t>
            </w:r>
            <w:r w:rsidRPr="00CB2EC4">
              <w:rPr>
                <w:rFonts w:ascii="Times New Roman" w:hAnsi="Times New Roman" w:cs="Times New Roman"/>
              </w:rPr>
              <w:br/>
              <w:t xml:space="preserve">  Because ASC-H exhibits cellular features suggestive of HSIL, with a high probability of CIN II/III diagnosis (24%–94%).  </w:t>
            </w:r>
            <w:r w:rsidRPr="00CB2EC4">
              <w:rPr>
                <w:rFonts w:ascii="Times New Roman" w:hAnsi="Times New Roman" w:cs="Times New Roman"/>
              </w:rPr>
              <w:br/>
              <w:t xml:space="preserve">  The document emphasizes: “ASC-H cellular changes have HSIL features; the probability of being diagnosed CIN II/III is 24%</w:t>
            </w:r>
            <w:r w:rsidRPr="00CB2EC4">
              <w:rPr>
                <w:rFonts w:ascii="Cambria Math" w:hAnsi="Cambria Math" w:cs="Cambria Math"/>
              </w:rPr>
              <w:t>∼</w:t>
            </w:r>
            <w:r w:rsidRPr="00CB2EC4">
              <w:rPr>
                <w:rFonts w:ascii="Times New Roman" w:hAnsi="Times New Roman" w:cs="Times New Roman"/>
              </w:rPr>
              <w:t>94%,” thus requiring immediate colposcopy.</w:t>
            </w:r>
            <w:r w:rsidRPr="00CB2EC4">
              <w:rPr>
                <w:rFonts w:ascii="Times New Roman" w:hAnsi="Times New Roman" w:cs="Times New Roman"/>
              </w:rPr>
              <w:br/>
            </w:r>
            <w:r w:rsidRPr="00CB2EC4">
              <w:rPr>
                <w:rFonts w:ascii="Times New Roman" w:hAnsi="Times New Roman" w:cs="Times New Roman"/>
              </w:rPr>
              <w:br/>
              <w:t>In summary, ASC-US relies on HPV testing for triage, whereas ASC-H bypasses HPV testing and proceeds directly to colposcopy due to its higher risk of significant lesion.</w:t>
            </w:r>
          </w:p>
        </w:tc>
        <w:tc>
          <w:tcPr>
            <w:tcW w:w="1152" w:type="dxa"/>
            <w:vAlign w:val="center"/>
          </w:tcPr>
          <w:p w14:paraId="548A1B5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1474DD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811EC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99B7B02" w14:textId="77777777" w:rsidTr="00547D77">
        <w:tc>
          <w:tcPr>
            <w:tcW w:w="2160" w:type="dxa"/>
            <w:vAlign w:val="center"/>
          </w:tcPr>
          <w:p w14:paraId="0E9A078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61F034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what is the difference in clinical management between ASC-US and ASC-H?</w:t>
            </w:r>
            <w:r w:rsidRPr="00CB2EC4">
              <w:rPr>
                <w:rFonts w:ascii="Times New Roman" w:hAnsi="Times New Roman" w:cs="Times New Roman"/>
              </w:rPr>
              <w:br/>
            </w:r>
            <w:r w:rsidRPr="00CB2EC4">
              <w:rPr>
                <w:rFonts w:ascii="Times New Roman" w:hAnsi="Times New Roman" w:cs="Times New Roman"/>
              </w:rPr>
              <w:br/>
              <w:t>The document details the differences in clinical management between ASC-US (Atypical Squamous Cells of Undetermined Significance) and ASC-H (Atypical Squamous Cells, cannot exclude HSIL) (segments with similarity scores 0.427, 0.338, 0.278, etc.):</w:t>
            </w:r>
            <w:r w:rsidRPr="00CB2EC4">
              <w:rPr>
                <w:rFonts w:ascii="Times New Roman" w:hAnsi="Times New Roman" w:cs="Times New Roman"/>
              </w:rPr>
              <w:br/>
              <w:t>- ASC-US:</w:t>
            </w:r>
            <w:r w:rsidRPr="00CB2EC4">
              <w:rPr>
                <w:rFonts w:ascii="Times New Roman" w:hAnsi="Times New Roman" w:cs="Times New Roman"/>
              </w:rPr>
              <w:br/>
              <w:t xml:space="preserve">  - Poor diagnostic reproducibility, prone to underdiagnosis or overdiagnosis, with a prevalence of about 5% in the general population and accounting for over 50% of abnormal Pap smears (similarity 0.427 segment).</w:t>
            </w:r>
            <w:r w:rsidRPr="00CB2EC4">
              <w:rPr>
                <w:rFonts w:ascii="Times New Roman" w:hAnsi="Times New Roman" w:cs="Times New Roman"/>
              </w:rPr>
              <w:br/>
              <w:t xml:space="preserve">  - Management strategy: HPV testing is typically used for triage. If HPV positive (either untyped or HPV16/18 genotyping positive), refer for colposcopy; if HPV negative, recommend cytology follow-up in 1 </w:t>
            </w:r>
            <w:r w:rsidRPr="00CB2EC4">
              <w:rPr>
                <w:rFonts w:ascii="Times New Roman" w:hAnsi="Times New Roman" w:cs="Times New Roman"/>
              </w:rPr>
              <w:lastRenderedPageBreak/>
              <w:t>year (similarity 0.338 segment). When HPV testing is unavailable, refer directly to colposcopy.</w:t>
            </w:r>
            <w:r w:rsidRPr="00CB2EC4">
              <w:rPr>
                <w:rFonts w:ascii="Times New Roman" w:hAnsi="Times New Roman" w:cs="Times New Roman"/>
              </w:rPr>
              <w:br/>
              <w:t xml:space="preserve">  - Risk: The prevalence of high-risk HPV infection in women with ASC-US is 31%–60%, with the final diagnosis of CIN II/III in &lt;10%, and invasive cancer risk of only 0.1%–0.2%.</w:t>
            </w:r>
            <w:r w:rsidRPr="00CB2EC4">
              <w:rPr>
                <w:rFonts w:ascii="Times New Roman" w:hAnsi="Times New Roman" w:cs="Times New Roman"/>
              </w:rPr>
              <w:br/>
              <w:t>- ASC-H:</w:t>
            </w:r>
            <w:r w:rsidRPr="00CB2EC4">
              <w:rPr>
                <w:rFonts w:ascii="Times New Roman" w:hAnsi="Times New Roman" w:cs="Times New Roman"/>
              </w:rPr>
              <w:br/>
              <w:t xml:space="preserve">  - Cellular changes suggestive of HSIL (High-grade Squamous Intraepithelial Lesion), with a higher probability of being diagnosed as CIN II/III (24%–94%) (similarity 0.338 segment).</w:t>
            </w:r>
            <w:r w:rsidRPr="00CB2EC4">
              <w:rPr>
                <w:rFonts w:ascii="Times New Roman" w:hAnsi="Times New Roman" w:cs="Times New Roman"/>
              </w:rPr>
              <w:br/>
              <w:t xml:space="preserve">  - Management strategy: Refer directly to colposcopy without HPV triage (similarity 0.278 segment flowchart). This is because ASC-H carries a higher risk of malignancy and requires priority exclusion of high-grade lesions.</w:t>
            </w:r>
            <w:r w:rsidRPr="00CB2EC4">
              <w:rPr>
                <w:rFonts w:ascii="Times New Roman" w:hAnsi="Times New Roman" w:cs="Times New Roman"/>
              </w:rPr>
              <w:br/>
              <w:t>In summary, ASC-US management relies on HPV triage to determine colposcopy referral, whereas ASC-H is directly referred to colposcopy due to higher risk.</w:t>
            </w:r>
          </w:p>
        </w:tc>
        <w:tc>
          <w:tcPr>
            <w:tcW w:w="1152" w:type="dxa"/>
            <w:vAlign w:val="center"/>
          </w:tcPr>
          <w:p w14:paraId="2ECDC11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6746FD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F3233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7D28281" w14:textId="77777777" w:rsidTr="00547D77">
        <w:tc>
          <w:tcPr>
            <w:tcW w:w="10656" w:type="dxa"/>
            <w:gridSpan w:val="5"/>
            <w:tcBorders>
              <w:bottom w:val="single" w:sz="6" w:space="0" w:color="auto"/>
            </w:tcBorders>
            <w:vAlign w:val="center"/>
          </w:tcPr>
          <w:p w14:paraId="7CCAB6C4"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39: is four-quadrant sampling still necessary for patients with no abnormalities on colposcopy?</w:t>
            </w:r>
          </w:p>
        </w:tc>
      </w:tr>
      <w:tr w:rsidR="00916494" w:rsidRPr="00CB2EC4" w14:paraId="763714CF" w14:textId="77777777" w:rsidTr="00547D77">
        <w:tc>
          <w:tcPr>
            <w:tcW w:w="2160" w:type="dxa"/>
            <w:vAlign w:val="center"/>
          </w:tcPr>
          <w:p w14:paraId="31E547B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3FDCBF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For patients with no abnormalities found on colposcopy, routine quadrant sampling is not recommended. The document explicitly states: “Given the varying levels of colposcopy physicians in our country and the lack of small biopsy forceps (2~3 mm), quadrant sampling performed without colposcopic abnormalities should be approached with caution. Targeted multi-site biopsy guided by colposcopy is recommended.” This emphasizes avoiding blind quadrant sampling and instead performing targeted biopsies under colposcopic </w:t>
            </w:r>
            <w:r w:rsidRPr="00CB2EC4">
              <w:rPr>
                <w:rFonts w:ascii="Times New Roman" w:hAnsi="Times New Roman" w:cs="Times New Roman"/>
              </w:rPr>
              <w:lastRenderedPageBreak/>
              <w:t>guidance to reduce unnecessary trauma and overtreatment.</w:t>
            </w:r>
          </w:p>
        </w:tc>
        <w:tc>
          <w:tcPr>
            <w:tcW w:w="1152" w:type="dxa"/>
            <w:vAlign w:val="center"/>
          </w:tcPr>
          <w:p w14:paraId="7A86A64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AA70DE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CD0B4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4D42523" w14:textId="77777777" w:rsidTr="00547D77">
        <w:tc>
          <w:tcPr>
            <w:tcW w:w="2160" w:type="dxa"/>
            <w:vAlign w:val="center"/>
          </w:tcPr>
          <w:p w14:paraId="3A263DD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8201A1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The document explicitly states that for patients with no abnormalities on colposcopy, routine four-quadrant sampling is not recommended (similarity 0.384 segment). Reasons include:</w:t>
            </w:r>
            <w:r w:rsidRPr="00CB2EC4">
              <w:rPr>
                <w:rFonts w:ascii="Times New Roman" w:hAnsi="Times New Roman" w:cs="Times New Roman"/>
              </w:rPr>
              <w:br/>
              <w:t>- Given the varying levels of colposcopy expertise in China and the lack of micro-biopsy forceps (2–3 mm), four-quadrant sampling may cause unnecessary trauma and lead to overtreatment.</w:t>
            </w:r>
            <w:r w:rsidRPr="00CB2EC4">
              <w:rPr>
                <w:rFonts w:ascii="Times New Roman" w:hAnsi="Times New Roman" w:cs="Times New Roman"/>
              </w:rPr>
              <w:br/>
              <w:t>- Targeted multi-site biopsy (i.e., sampling of suspicious areas under colposcopic guidance) is recommended instead of blind four-quadrant sampling.</w:t>
            </w:r>
            <w:r w:rsidRPr="00CB2EC4">
              <w:rPr>
                <w:rFonts w:ascii="Times New Roman" w:hAnsi="Times New Roman" w:cs="Times New Roman"/>
              </w:rPr>
              <w:br/>
              <w:t>- Expert consensus emphasizes strengthening colposcopy training and quality control to avoid missed or over-diagnosis.</w:t>
            </w:r>
            <w:r w:rsidRPr="00CB2EC4">
              <w:rPr>
                <w:rFonts w:ascii="Times New Roman" w:hAnsi="Times New Roman" w:cs="Times New Roman"/>
              </w:rPr>
              <w:br/>
              <w:t>Therefore, four-quadrant sampling should only be considered when colposcopy reveals abnormalities; in the absence of abnormalities, targeted multi-site biopsy is recommended.</w:t>
            </w:r>
          </w:p>
        </w:tc>
        <w:tc>
          <w:tcPr>
            <w:tcW w:w="1152" w:type="dxa"/>
            <w:vAlign w:val="center"/>
          </w:tcPr>
          <w:p w14:paraId="3295667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884D4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096E2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5E1B5D9" w14:textId="77777777" w:rsidTr="00547D77">
        <w:tc>
          <w:tcPr>
            <w:tcW w:w="10656" w:type="dxa"/>
            <w:gridSpan w:val="5"/>
            <w:tcBorders>
              <w:bottom w:val="single" w:sz="6" w:space="0" w:color="auto"/>
            </w:tcBorders>
            <w:vAlign w:val="center"/>
          </w:tcPr>
          <w:p w14:paraId="69A18E6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40: what are the differences in cervical cancer screening and management strategies for women during pregnancy?</w:t>
            </w:r>
          </w:p>
        </w:tc>
      </w:tr>
      <w:tr w:rsidR="00916494" w:rsidRPr="00CB2EC4" w14:paraId="707298E3" w14:textId="77777777" w:rsidTr="00547D77">
        <w:tc>
          <w:tcPr>
            <w:tcW w:w="2160" w:type="dxa"/>
            <w:vAlign w:val="center"/>
          </w:tcPr>
          <w:p w14:paraId="6F0A464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83638B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screening and management strategies for cervical cancer in pregnant women differ as follows:</w:t>
            </w:r>
            <w:r w:rsidRPr="00CB2EC4">
              <w:rPr>
                <w:rFonts w:ascii="Times New Roman" w:hAnsi="Times New Roman" w:cs="Times New Roman"/>
              </w:rPr>
              <w:br/>
            </w:r>
            <w:r w:rsidRPr="00CB2EC4">
              <w:rPr>
                <w:rFonts w:ascii="Times New Roman" w:hAnsi="Times New Roman" w:cs="Times New Roman"/>
              </w:rPr>
              <w:br/>
              <w:t>- **Screening strategy**: Pregnant women should undergo cytology and colposcopy every 10–12 weeks. The document states: “For pregnant patients, cytology + colposcopy should be performed every 10–12 weeks.”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**Management strategy**:</w:t>
            </w:r>
            <w:r w:rsidRPr="00CB2EC4">
              <w:rPr>
                <w:rFonts w:ascii="Times New Roman" w:hAnsi="Times New Roman" w:cs="Times New Roman"/>
              </w:rPr>
              <w:br/>
              <w:t xml:space="preserve">  - If no invasive cancer is found, defer re-evaluation until 6–8 weeks postpartum (including cytology, colposcopy, and endocervical curettage [ECC]). After postpartum recheck, if no CIN II+ lesion is present, transition to routine screening; if CIN II+ is detected, perform diagnostic/therapeutic cervical conization.</w:t>
            </w:r>
            <w:r w:rsidRPr="00CB2EC4">
              <w:rPr>
                <w:rFonts w:ascii="Times New Roman" w:hAnsi="Times New Roman" w:cs="Times New Roman"/>
              </w:rPr>
              <w:br/>
              <w:t xml:space="preserve">  - If cytology or colposcopy during pregnancy suggests possible invasive cancer, perform diagnostic/therapeutic cervical conization immediately.</w:t>
            </w:r>
            <w:r w:rsidRPr="00CB2EC4">
              <w:rPr>
                <w:rFonts w:ascii="Times New Roman" w:hAnsi="Times New Roman" w:cs="Times New Roman"/>
              </w:rPr>
              <w:br/>
              <w:t xml:space="preserve">  - The document also emphasizes: “Pregnant women without evidence of invasive cancer may be monitored with cytology or colposcopy every 10–12 weeks, and re-evaluated 6–8 weeks postpartum.” This highlights the principle of delaying invasive procedures until after delivery unless invasive cancer is highly suspected.</w:t>
            </w:r>
            <w:r w:rsidRPr="00CB2EC4">
              <w:rPr>
                <w:rFonts w:ascii="Times New Roman" w:hAnsi="Times New Roman" w:cs="Times New Roman"/>
              </w:rPr>
              <w:br/>
            </w:r>
            <w:r w:rsidRPr="00CB2EC4">
              <w:rPr>
                <w:rFonts w:ascii="Times New Roman" w:hAnsi="Times New Roman" w:cs="Times New Roman"/>
              </w:rPr>
              <w:br/>
              <w:t>This strategy aims to balance maternal health and fetal safety, prioritizing observation and non-invasive approaches.</w:t>
            </w:r>
          </w:p>
        </w:tc>
        <w:tc>
          <w:tcPr>
            <w:tcW w:w="1152" w:type="dxa"/>
            <w:vAlign w:val="center"/>
          </w:tcPr>
          <w:p w14:paraId="532A2C6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F7461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498B5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78F81B5" w14:textId="77777777" w:rsidTr="00547D77">
        <w:tc>
          <w:tcPr>
            <w:tcW w:w="2160" w:type="dxa"/>
            <w:vAlign w:val="center"/>
          </w:tcPr>
          <w:p w14:paraId="77601CF8"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D44548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cervical cancer screening and management strategies for pregnant women differ as follows:</w:t>
            </w:r>
            <w:r w:rsidRPr="00CB2EC4">
              <w:rPr>
                <w:rFonts w:ascii="Times New Roman" w:hAnsi="Times New Roman" w:cs="Times New Roman"/>
              </w:rPr>
              <w:br/>
            </w:r>
            <w:r w:rsidRPr="00CB2EC4">
              <w:rPr>
                <w:rFonts w:ascii="Times New Roman" w:hAnsi="Times New Roman" w:cs="Times New Roman"/>
              </w:rPr>
              <w:br/>
              <w:t>- Screening and management principles: The primary goal is to exclude invasive cancer. In pregnant women without evidence of invasive cancer, aggressive interventions (such as biopsy or surgery) are not recommended to avoid risks to the fetus (similarity 0.291 segment).</w:t>
            </w:r>
            <w:r w:rsidRPr="00CB2EC4">
              <w:rPr>
                <w:rFonts w:ascii="Times New Roman" w:hAnsi="Times New Roman" w:cs="Times New Roman"/>
              </w:rPr>
              <w:br/>
              <w:t>- Specific strategies:</w:t>
            </w:r>
            <w:r w:rsidRPr="00CB2EC4">
              <w:rPr>
                <w:rFonts w:ascii="Times New Roman" w:hAnsi="Times New Roman" w:cs="Times New Roman"/>
              </w:rPr>
              <w:br/>
              <w:t xml:space="preserve">  → Close monitoring: Recheck every 10–12 weeks, including cytology or colposcopic examination, to </w:t>
            </w:r>
            <w:r w:rsidRPr="00CB2EC4">
              <w:rPr>
                <w:rFonts w:ascii="Times New Roman" w:hAnsi="Times New Roman" w:cs="Times New Roman"/>
              </w:rPr>
              <w:lastRenderedPageBreak/>
              <w:t>exclude invasive cancer (similarity 0.307 segment).</w:t>
            </w:r>
            <w:r w:rsidRPr="00CB2EC4">
              <w:rPr>
                <w:rFonts w:ascii="Times New Roman" w:hAnsi="Times New Roman" w:cs="Times New Roman"/>
              </w:rPr>
              <w:br/>
              <w:t xml:space="preserve">  → Postpartum follow-up: Reassess at 6–8 weeks postpartum (similarity 0.291 segment).</w:t>
            </w:r>
            <w:r w:rsidRPr="00CB2EC4">
              <w:rPr>
                <w:rFonts w:ascii="Times New Roman" w:hAnsi="Times New Roman" w:cs="Times New Roman"/>
              </w:rPr>
              <w:br/>
              <w:t xml:space="preserve">  → Abnormality management: If follow-up shows abnormalities (e.g., cytology result ≥ ASC-US or HPV positive), manage according to standard abnormal result protocols (e.g., refer for colposcopy or biopsy).</w:t>
            </w:r>
            <w:r w:rsidRPr="00CB2EC4">
              <w:rPr>
                <w:rFonts w:ascii="Times New Roman" w:hAnsi="Times New Roman" w:cs="Times New Roman"/>
              </w:rPr>
              <w:br/>
              <w:t>- Notes: Management of cervical lesions (regardless of low-grade or high-grade) during pregnancy is primarily conservative observation unless there is clear evidence of invasive cancer.</w:t>
            </w:r>
            <w:r w:rsidRPr="00CB2EC4">
              <w:rPr>
                <w:rFonts w:ascii="Times New Roman" w:hAnsi="Times New Roman" w:cs="Times New Roman"/>
              </w:rPr>
              <w:br/>
              <w:t>The document does not mention adjustments to routine screening during pregnancy (e.g., whether to avoid certain tests) but emphasizes individualized management based on patient preference and clinical presentation.</w:t>
            </w:r>
          </w:p>
        </w:tc>
        <w:tc>
          <w:tcPr>
            <w:tcW w:w="1152" w:type="dxa"/>
            <w:vAlign w:val="center"/>
          </w:tcPr>
          <w:p w14:paraId="016A767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C4F5D0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B1301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162F91EC" w14:textId="77777777" w:rsidTr="00547D77">
        <w:tc>
          <w:tcPr>
            <w:tcW w:w="10656" w:type="dxa"/>
            <w:gridSpan w:val="5"/>
            <w:tcBorders>
              <w:bottom w:val="single" w:sz="6" w:space="0" w:color="auto"/>
            </w:tcBorders>
            <w:vAlign w:val="center"/>
          </w:tcPr>
          <w:p w14:paraId="776FC6E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41: What is the preferred clinical diagnosis of cervical cancer?</w:t>
            </w:r>
          </w:p>
        </w:tc>
      </w:tr>
      <w:tr w:rsidR="00916494" w:rsidRPr="00CB2EC4" w14:paraId="4DEFC5ED" w14:textId="77777777" w:rsidTr="00547D77">
        <w:tc>
          <w:tcPr>
            <w:tcW w:w="2160" w:type="dxa"/>
            <w:vAlign w:val="center"/>
          </w:tcPr>
          <w:p w14:paraId="39FDCF25"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900920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preferred clinical diagnostic methods for cervical cancer are:</w:t>
            </w:r>
            <w:r w:rsidRPr="00CB2EC4">
              <w:rPr>
                <w:rFonts w:ascii="Times New Roman" w:hAnsi="Times New Roman" w:cs="Times New Roman"/>
              </w:rPr>
              <w:br/>
            </w:r>
            <w:r w:rsidRPr="00CB2EC4">
              <w:rPr>
                <w:rFonts w:ascii="Times New Roman" w:hAnsi="Times New Roman" w:cs="Times New Roman"/>
              </w:rPr>
              <w:br/>
              <w:t>- Physical examination: including general assessment to evaluate overall health status.</w:t>
            </w:r>
            <w:r w:rsidRPr="00CB2EC4">
              <w:rPr>
                <w:rFonts w:ascii="Times New Roman" w:hAnsi="Times New Roman" w:cs="Times New Roman"/>
              </w:rPr>
              <w:br/>
              <w:t>- Gynecological examination: including bimanual and trimanual examinations, recommended to be performed by two or more senior physicians; examination under anesthesia if necessary; when staging is disputed, the earlier stage is recommended.</w:t>
            </w:r>
            <w:r w:rsidRPr="00CB2EC4">
              <w:rPr>
                <w:rFonts w:ascii="Times New Roman" w:hAnsi="Times New Roman" w:cs="Times New Roman"/>
              </w:rPr>
              <w:br/>
            </w:r>
            <w:r w:rsidRPr="00CB2EC4">
              <w:rPr>
                <w:rFonts w:ascii="Times New Roman" w:hAnsi="Times New Roman" w:cs="Times New Roman"/>
              </w:rPr>
              <w:br/>
              <w:t xml:space="preserve">These methods constitute the foundational clinical diagnostic steps for initial assessment of the extent and stage of cervical lesions. Pathological diagnosis (e.g., biopsy) is a key subsequent confirmation method, but clinical diagnosis is the preferred initial </w:t>
            </w:r>
            <w:r w:rsidRPr="00CB2EC4">
              <w:rPr>
                <w:rFonts w:ascii="Times New Roman" w:hAnsi="Times New Roman" w:cs="Times New Roman"/>
              </w:rPr>
              <w:lastRenderedPageBreak/>
              <w:t>approach.</w:t>
            </w:r>
          </w:p>
        </w:tc>
        <w:tc>
          <w:tcPr>
            <w:tcW w:w="1152" w:type="dxa"/>
            <w:vAlign w:val="center"/>
          </w:tcPr>
          <w:p w14:paraId="05F03E9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9CF07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C2742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50DF972" w14:textId="77777777" w:rsidTr="00547D77">
        <w:tc>
          <w:tcPr>
            <w:tcW w:w="2160" w:type="dxa"/>
            <w:vAlign w:val="center"/>
          </w:tcPr>
          <w:p w14:paraId="0288FE4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C90845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preferred clinical diagnostic methods for cervical cancer are physical examination and gynecological examination. these methods are classified as level I recommendation (highest recommendation level). specifically:  </w:t>
            </w:r>
            <w:r w:rsidRPr="00CB2EC4">
              <w:rPr>
                <w:rFonts w:ascii="Times New Roman" w:hAnsi="Times New Roman" w:cs="Times New Roman"/>
              </w:rPr>
              <w:br/>
              <w:t xml:space="preserve">- physical examination: comprehensive assessment of overall health status.  </w:t>
            </w:r>
            <w:r w:rsidRPr="00CB2EC4">
              <w:rPr>
                <w:rFonts w:ascii="Times New Roman" w:hAnsi="Times New Roman" w:cs="Times New Roman"/>
              </w:rPr>
              <w:br/>
              <w:t xml:space="preserve">- gynecological examination: includes bimanual and trimanual examinations, recommended to be performed by two or more senior physicians; examination under anesthesia may be necessary when indicated. if staging assessments differ, the earlier stage should be adopted.  </w:t>
            </w:r>
            <w:r w:rsidRPr="00CB2EC4">
              <w:rPr>
                <w:rFonts w:ascii="Times New Roman" w:hAnsi="Times New Roman" w:cs="Times New Roman"/>
              </w:rPr>
              <w:br/>
              <w:t>these examinations are used for initial evaluation of tumor location, size, and extent of spread, forming the foundation of clinical diagnosis. the document does not mention other clinical diagnostic methods as preferred.</w:t>
            </w:r>
          </w:p>
        </w:tc>
        <w:tc>
          <w:tcPr>
            <w:tcW w:w="1152" w:type="dxa"/>
            <w:vAlign w:val="center"/>
          </w:tcPr>
          <w:p w14:paraId="2F3222E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71B6D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80DF9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75D565A" w14:textId="77777777" w:rsidTr="00547D77">
        <w:tc>
          <w:tcPr>
            <w:tcW w:w="10656" w:type="dxa"/>
            <w:gridSpan w:val="5"/>
            <w:tcBorders>
              <w:bottom w:val="single" w:sz="6" w:space="0" w:color="auto"/>
            </w:tcBorders>
            <w:vAlign w:val="center"/>
          </w:tcPr>
          <w:p w14:paraId="14276BC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42: What tests should be conducted to make a pathologic diagnosis of cervical cancer?</w:t>
            </w:r>
          </w:p>
        </w:tc>
      </w:tr>
      <w:tr w:rsidR="00916494" w:rsidRPr="00CB2EC4" w14:paraId="73016BF0" w14:textId="77777777" w:rsidTr="00547D77">
        <w:tc>
          <w:tcPr>
            <w:tcW w:w="2160" w:type="dxa"/>
            <w:vAlign w:val="center"/>
          </w:tcPr>
          <w:p w14:paraId="62C69DF9"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8A74D2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to make a pathological diagnosis of cervical cancer, the following examinations should be performed:</w:t>
            </w:r>
            <w:r w:rsidRPr="00CB2EC4">
              <w:rPr>
                <w:rFonts w:ascii="Times New Roman" w:hAnsi="Times New Roman" w:cs="Times New Roman"/>
              </w:rPr>
              <w:br/>
            </w:r>
            <w:r w:rsidRPr="00CB2EC4">
              <w:rPr>
                <w:rFonts w:ascii="Times New Roman" w:hAnsi="Times New Roman" w:cs="Times New Roman"/>
              </w:rPr>
              <w:br/>
              <w:t xml:space="preserve">- Level I recommendation (highest recommendation level):  </w:t>
            </w:r>
            <w:r w:rsidRPr="00CB2EC4">
              <w:rPr>
                <w:rFonts w:ascii="Times New Roman" w:hAnsi="Times New Roman" w:cs="Times New Roman"/>
              </w:rPr>
              <w:br/>
              <w:t xml:space="preserve">  - Cervical biopsy: as the core method for direct acquisition of tissue samples for pathological analysis.  </w:t>
            </w:r>
            <w:r w:rsidRPr="00CB2EC4">
              <w:rPr>
                <w:rFonts w:ascii="Times New Roman" w:hAnsi="Times New Roman" w:cs="Times New Roman"/>
              </w:rPr>
              <w:br/>
              <w:t xml:space="preserve">  - Cervical cytology: used for screening and preliminary diagnosis; however, note that false negatives may occur in cervical adenocarcinoma (note b).  </w:t>
            </w:r>
            <w:r w:rsidRPr="00CB2EC4">
              <w:rPr>
                <w:rFonts w:ascii="Times New Roman" w:hAnsi="Times New Roman" w:cs="Times New Roman"/>
              </w:rPr>
              <w:br/>
              <w:t xml:space="preserve">- Level II recommendation:  </w:t>
            </w:r>
            <w:r w:rsidRPr="00CB2EC4">
              <w:rPr>
                <w:rFonts w:ascii="Times New Roman" w:hAnsi="Times New Roman" w:cs="Times New Roman"/>
              </w:rPr>
              <w:br/>
              <w:t xml:space="preserve">  - Cervical conization: recommended when cervical </w:t>
            </w:r>
            <w:r w:rsidRPr="00CB2EC4">
              <w:rPr>
                <w:rFonts w:ascii="Times New Roman" w:hAnsi="Times New Roman" w:cs="Times New Roman"/>
              </w:rPr>
              <w:lastRenderedPageBreak/>
              <w:t xml:space="preserve">biopsy cannot determine the presence or absence of invasion or microinvasive carcinoma, to clarify the depth of invasion (note c).  </w:t>
            </w:r>
            <w:r w:rsidRPr="00CB2EC4">
              <w:rPr>
                <w:rFonts w:ascii="Times New Roman" w:hAnsi="Times New Roman" w:cs="Times New Roman"/>
              </w:rPr>
              <w:br/>
              <w:t xml:space="preserve">- Level III recommendation:  </w:t>
            </w:r>
            <w:r w:rsidRPr="00CB2EC4">
              <w:rPr>
                <w:rFonts w:ascii="Times New Roman" w:hAnsi="Times New Roman" w:cs="Times New Roman"/>
              </w:rPr>
              <w:br/>
              <w:t xml:space="preserve">  - Fine needle aspiration cytology: recommended when inguinal or cervical lymph node metastasis is suspected, to establish a definitive diagnosis (note d).  </w:t>
            </w:r>
            <w:r w:rsidRPr="00CB2EC4">
              <w:rPr>
                <w:rFonts w:ascii="Times New Roman" w:hAnsi="Times New Roman" w:cs="Times New Roman"/>
              </w:rPr>
              <w:br/>
            </w:r>
            <w:r w:rsidRPr="00CB2EC4">
              <w:rPr>
                <w:rFonts w:ascii="Times New Roman" w:hAnsi="Times New Roman" w:cs="Times New Roman"/>
              </w:rPr>
              <w:br/>
              <w:t>These examinations are standard tools for pathological diagnosis and must be combined with histological analysis (including gross and microscopic examination) to confirm the type and grade of cervical cancer.</w:t>
            </w:r>
          </w:p>
        </w:tc>
        <w:tc>
          <w:tcPr>
            <w:tcW w:w="1152" w:type="dxa"/>
            <w:vAlign w:val="center"/>
          </w:tcPr>
          <w:p w14:paraId="45476FA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93A3E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0391E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49851ED" w14:textId="77777777" w:rsidTr="00547D77">
        <w:tc>
          <w:tcPr>
            <w:tcW w:w="2160" w:type="dxa"/>
            <w:vAlign w:val="center"/>
          </w:tcPr>
          <w:p w14:paraId="1896BD4B"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9E8975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To make a pathological diagnosis of cervical cancer, the following examinations should be performed, classified by recommendation level:  </w:t>
            </w:r>
            <w:r w:rsidRPr="00CB2EC4">
              <w:rPr>
                <w:rFonts w:ascii="Times New Roman" w:hAnsi="Times New Roman" w:cs="Times New Roman"/>
              </w:rPr>
              <w:br/>
              <w:t xml:space="preserve">- Level I recommendation (highest):  </w:t>
            </w:r>
            <w:r w:rsidRPr="00CB2EC4">
              <w:rPr>
                <w:rFonts w:ascii="Times New Roman" w:hAnsi="Times New Roman" w:cs="Times New Roman"/>
              </w:rPr>
              <w:br/>
              <w:t xml:space="preserve">  - Cervical biopsy: As the primary method, samples are taken directly from suspicious cervical areas for histological examination to confirm malignancy.  </w:t>
            </w:r>
            <w:r w:rsidRPr="00CB2EC4">
              <w:rPr>
                <w:rFonts w:ascii="Times New Roman" w:hAnsi="Times New Roman" w:cs="Times New Roman"/>
              </w:rPr>
              <w:br/>
              <w:t xml:space="preserve">- Level II recommendation:  </w:t>
            </w:r>
            <w:r w:rsidRPr="00CB2EC4">
              <w:rPr>
                <w:rFonts w:ascii="Times New Roman" w:hAnsi="Times New Roman" w:cs="Times New Roman"/>
              </w:rPr>
              <w:br/>
              <w:t xml:space="preserve">  - Cervical conization: Used when biopsy cannot clearly determine the depth of invasion (e.g., microinvasive carcinoma) or when cytology and biopsy results are inconsistent (e.g., repeated high-grade squamous intraepithelial lesion without biopsy confirmation).  </w:t>
            </w:r>
            <w:r w:rsidRPr="00CB2EC4">
              <w:rPr>
                <w:rFonts w:ascii="Times New Roman" w:hAnsi="Times New Roman" w:cs="Times New Roman"/>
              </w:rPr>
              <w:br/>
              <w:t xml:space="preserve">- Level III recommendation:  </w:t>
            </w:r>
            <w:r w:rsidRPr="00CB2EC4">
              <w:rPr>
                <w:rFonts w:ascii="Times New Roman" w:hAnsi="Times New Roman" w:cs="Times New Roman"/>
              </w:rPr>
              <w:br/>
              <w:t xml:space="preserve">  - Fine needle aspiration cytology: For evaluation of suspicious metastatic lymph nodes (e.g., inguinal or cervical lymph nodes).  </w:t>
            </w:r>
            <w:r w:rsidRPr="00CB2EC4">
              <w:rPr>
                <w:rFonts w:ascii="Times New Roman" w:hAnsi="Times New Roman" w:cs="Times New Roman"/>
              </w:rPr>
              <w:br/>
              <w:t xml:space="preserve">Pathological diagnosis requires microscopic examination of tissue samples to confirm histological subtype, grade, and depth of invasion. The document </w:t>
            </w:r>
            <w:r w:rsidRPr="00CB2EC4">
              <w:rPr>
                <w:rFonts w:ascii="Times New Roman" w:hAnsi="Times New Roman" w:cs="Times New Roman"/>
              </w:rPr>
              <w:lastRenderedPageBreak/>
              <w:t>emphasizes that biopsy is the core method at Level I, and conization is used for supplementary diagnosis.</w:t>
            </w:r>
          </w:p>
        </w:tc>
        <w:tc>
          <w:tcPr>
            <w:tcW w:w="1152" w:type="dxa"/>
            <w:vAlign w:val="center"/>
          </w:tcPr>
          <w:p w14:paraId="1B02240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C2C97A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C1BDB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6F5565E" w14:textId="77777777" w:rsidTr="00547D77">
        <w:tc>
          <w:tcPr>
            <w:tcW w:w="10656" w:type="dxa"/>
            <w:gridSpan w:val="5"/>
            <w:tcBorders>
              <w:bottom w:val="single" w:sz="6" w:space="0" w:color="auto"/>
            </w:tcBorders>
            <w:vAlign w:val="center"/>
          </w:tcPr>
          <w:p w14:paraId="228BC44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43: What tumor markers can be tested for laboratory diagnosis of cervical cancer? What is the significance of each tumor marker detected?</w:t>
            </w:r>
          </w:p>
        </w:tc>
      </w:tr>
      <w:tr w:rsidR="00916494" w:rsidRPr="00CB2EC4" w14:paraId="25E11524" w14:textId="77777777" w:rsidTr="00547D77">
        <w:tc>
          <w:tcPr>
            <w:tcW w:w="2160" w:type="dxa"/>
            <w:vAlign w:val="center"/>
          </w:tcPr>
          <w:p w14:paraId="6CFF430A"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7BBD03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SCC (Squamous Cell Carcinoma Antigen): Recommended for the detection of cervical squamous cell carcinoma, aiding in diagnosis and monitoring the progression of squamous cell carcinoma (annotation e).</w:t>
            </w:r>
            <w:r w:rsidRPr="00CB2EC4">
              <w:rPr>
                <w:rFonts w:ascii="Times New Roman" w:hAnsi="Times New Roman" w:cs="Times New Roman"/>
              </w:rPr>
              <w:br/>
              <w:t>- CA125: Recommended for the detection of cervical adenocarcinoma, serving as an auxiliary diagnostic marker for adenocarcinoma (annotation e).</w:t>
            </w:r>
            <w:r w:rsidRPr="00CB2EC4">
              <w:rPr>
                <w:rFonts w:ascii="Times New Roman" w:hAnsi="Times New Roman" w:cs="Times New Roman"/>
              </w:rPr>
              <w:br/>
              <w:t>- CEA (Carcinoembryonic Antigen) and CA19-9: Recommended for the detection of cervical gastric-type adenocarcinoma, used for auxiliary diagnosis and assessment of this subtype (annotation e).</w:t>
            </w:r>
            <w:r w:rsidRPr="00CB2EC4">
              <w:rPr>
                <w:rFonts w:ascii="Times New Roman" w:hAnsi="Times New Roman" w:cs="Times New Roman"/>
              </w:rPr>
              <w:br/>
              <w:t>- NSE (Neuron-Specific Enolase): Recommended for the detection of cervical small cell neuroendocrine carcinoma, aiding in the diagnosis of this rare subtype (annotation e).</w:t>
            </w:r>
            <w:r w:rsidRPr="00CB2EC4">
              <w:rPr>
                <w:rFonts w:ascii="Times New Roman" w:hAnsi="Times New Roman" w:cs="Times New Roman"/>
              </w:rPr>
              <w:br/>
            </w:r>
            <w:r w:rsidRPr="00CB2EC4">
              <w:rPr>
                <w:rFonts w:ascii="Times New Roman" w:hAnsi="Times New Roman" w:cs="Times New Roman"/>
              </w:rPr>
              <w:br/>
              <w:t>These tumor markers are primarily used to assist in the diagnosis of specific cervical cancer subtypes and are not standalone diagnostic tools; they must be interpreted in conjunction with pathological and imaging findings.</w:t>
            </w:r>
          </w:p>
        </w:tc>
        <w:tc>
          <w:tcPr>
            <w:tcW w:w="1152" w:type="dxa"/>
            <w:vAlign w:val="center"/>
          </w:tcPr>
          <w:p w14:paraId="1B30ACD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64B26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1C75D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8E0BE8C" w14:textId="77777777" w:rsidTr="00547D77">
        <w:tc>
          <w:tcPr>
            <w:tcW w:w="2160" w:type="dxa"/>
            <w:vAlign w:val="center"/>
          </w:tcPr>
          <w:p w14:paraId="46F4D8B9"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A2B187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cervical cancer laboratory diagnosis can detect the following tumor markers:  </w:t>
            </w:r>
            <w:r w:rsidRPr="00CB2EC4">
              <w:rPr>
                <w:rFonts w:ascii="Times New Roman" w:hAnsi="Times New Roman" w:cs="Times New Roman"/>
              </w:rPr>
              <w:br/>
              <w:t xml:space="preserve">- SCC (Squamous Cell Carcinoma Antigen)  </w:t>
            </w:r>
            <w:r w:rsidRPr="00CB2EC4">
              <w:rPr>
                <w:rFonts w:ascii="Times New Roman" w:hAnsi="Times New Roman" w:cs="Times New Roman"/>
              </w:rPr>
              <w:br/>
              <w:t xml:space="preserve">- CEA (Carcinoembryonic Antigen)  </w:t>
            </w:r>
            <w:r w:rsidRPr="00CB2EC4">
              <w:rPr>
                <w:rFonts w:ascii="Times New Roman" w:hAnsi="Times New Roman" w:cs="Times New Roman"/>
              </w:rPr>
              <w:br/>
              <w:t xml:space="preserve">- CA125  </w:t>
            </w:r>
            <w:r w:rsidRPr="00CB2EC4">
              <w:rPr>
                <w:rFonts w:ascii="Times New Roman" w:hAnsi="Times New Roman" w:cs="Times New Roman"/>
              </w:rPr>
              <w:br/>
              <w:t xml:space="preserve">- CA19-9  </w:t>
            </w:r>
            <w:r w:rsidRPr="00CB2EC4">
              <w:rPr>
                <w:rFonts w:ascii="Times New Roman" w:hAnsi="Times New Roman" w:cs="Times New Roman"/>
              </w:rPr>
              <w:br/>
              <w:t xml:space="preserve">- NSE (Neuron-Specific Enolase)  </w:t>
            </w:r>
            <w:r w:rsidRPr="00CB2EC4">
              <w:rPr>
                <w:rFonts w:ascii="Times New Roman" w:hAnsi="Times New Roman" w:cs="Times New Roman"/>
              </w:rPr>
              <w:br/>
            </w:r>
            <w:r w:rsidRPr="00CB2EC4">
              <w:rPr>
                <w:rFonts w:ascii="Times New Roman" w:hAnsi="Times New Roman" w:cs="Times New Roman"/>
              </w:rPr>
              <w:lastRenderedPageBreak/>
              <w:br/>
              <w:t xml:space="preserve">These are classified as Level I recommendations.  </w:t>
            </w:r>
            <w:r w:rsidRPr="00CB2EC4">
              <w:rPr>
                <w:rFonts w:ascii="Times New Roman" w:hAnsi="Times New Roman" w:cs="Times New Roman"/>
              </w:rPr>
              <w:br/>
            </w:r>
            <w:r w:rsidRPr="00CB2EC4">
              <w:rPr>
                <w:rFonts w:ascii="Times New Roman" w:hAnsi="Times New Roman" w:cs="Times New Roman"/>
              </w:rPr>
              <w:br/>
              <w:t xml:space="preserve">The significance of each tumor marker is as follows:  </w:t>
            </w:r>
            <w:r w:rsidRPr="00CB2EC4">
              <w:rPr>
                <w:rFonts w:ascii="Times New Roman" w:hAnsi="Times New Roman" w:cs="Times New Roman"/>
              </w:rPr>
              <w:br/>
              <w:t xml:space="preserve">- **SCC (Squamous Cell Carcinoma Antigen)**: Primarily used for the detection and monitoring of cervical squamous cell carcinoma, serving as an auxiliary diagnostic indicator.  </w:t>
            </w:r>
            <w:r w:rsidRPr="00CB2EC4">
              <w:rPr>
                <w:rFonts w:ascii="Times New Roman" w:hAnsi="Times New Roman" w:cs="Times New Roman"/>
              </w:rPr>
              <w:br/>
              <w:t xml:space="preserve">- **CA125**: Mainly used for the detection of cervical adenocarcinoma, aiding in the assessment of the adenocarcinomatous subtype.  </w:t>
            </w:r>
            <w:r w:rsidRPr="00CB2EC4">
              <w:rPr>
                <w:rFonts w:ascii="Times New Roman" w:hAnsi="Times New Roman" w:cs="Times New Roman"/>
              </w:rPr>
              <w:br/>
              <w:t xml:space="preserve">- **CEA (Carcinoembryonic Antigen) and CA19-9**: Primarily used for the detection of cervical gastric-type adenocarcinoma, assisting in the diagnosis of this specific subtype.  </w:t>
            </w:r>
            <w:r w:rsidRPr="00CB2EC4">
              <w:rPr>
                <w:rFonts w:ascii="Times New Roman" w:hAnsi="Times New Roman" w:cs="Times New Roman"/>
              </w:rPr>
              <w:br/>
              <w:t xml:space="preserve">- **NSE (Neuron-Specific Enolase)**: Mainly used for the detection of cervical small cell neuroendocrine carcinoma, serving as a marker of neuroendocrine differentiation.  </w:t>
            </w:r>
            <w:r w:rsidRPr="00CB2EC4">
              <w:rPr>
                <w:rFonts w:ascii="Times New Roman" w:hAnsi="Times New Roman" w:cs="Times New Roman"/>
              </w:rPr>
              <w:br/>
            </w:r>
            <w:r w:rsidRPr="00CB2EC4">
              <w:rPr>
                <w:rFonts w:ascii="Times New Roman" w:hAnsi="Times New Roman" w:cs="Times New Roman"/>
              </w:rPr>
              <w:br/>
              <w:t>The detection of these markers is intended to assist in pathological diagnosis, subtyping, and monitoring; however, it is emphasized that these biomarkers have only auxiliary diagnostic value and cannot be used alone for definitive diagnosis. HPV testing is also a Level I recommendation, used to evaluate HPV infection status.</w:t>
            </w:r>
          </w:p>
        </w:tc>
        <w:tc>
          <w:tcPr>
            <w:tcW w:w="1152" w:type="dxa"/>
            <w:vAlign w:val="center"/>
          </w:tcPr>
          <w:p w14:paraId="225625E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F81FB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E5E72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FBF3811" w14:textId="77777777" w:rsidTr="00547D77">
        <w:tc>
          <w:tcPr>
            <w:tcW w:w="10656" w:type="dxa"/>
            <w:gridSpan w:val="5"/>
            <w:tcBorders>
              <w:bottom w:val="single" w:sz="6" w:space="0" w:color="auto"/>
            </w:tcBorders>
            <w:vAlign w:val="center"/>
          </w:tcPr>
          <w:p w14:paraId="00FAC75F"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44: In the diagnosis of cervical cancer, which imaging method should be preferred in order to evaluate cervical tumors? Which imaging method should be used in order to evaluate metastatic lesions?</w:t>
            </w:r>
          </w:p>
        </w:tc>
      </w:tr>
      <w:tr w:rsidR="00916494" w:rsidRPr="00CB2EC4" w14:paraId="6E800FF7" w14:textId="77777777" w:rsidTr="00547D77">
        <w:tc>
          <w:tcPr>
            <w:tcW w:w="2160" w:type="dxa"/>
            <w:vAlign w:val="center"/>
          </w:tcPr>
          <w:p w14:paraId="55D6B2A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88F904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in the diagnosis of cervical cancer, to assess the cervical tumor, the preferred imaging method is pelvic MRI. It is recommended as the first-choice imaging method for evaluating local tumors of the cervix </w:t>
            </w:r>
            <w:r w:rsidRPr="00CB2EC4">
              <w:rPr>
                <w:rFonts w:ascii="Times New Roman" w:hAnsi="Times New Roman" w:cs="Times New Roman"/>
              </w:rPr>
              <w:lastRenderedPageBreak/>
              <w:t xml:space="preserve">because it provides high-resolution soft tissue contrast, which is helpful for assessing tumor size, depth of infiltration, and parametrial involvement (annotation f).  </w:t>
            </w:r>
            <w:r w:rsidRPr="00CB2EC4">
              <w:rPr>
                <w:rFonts w:ascii="Times New Roman" w:hAnsi="Times New Roman" w:cs="Times New Roman"/>
              </w:rPr>
              <w:br/>
              <w:t xml:space="preserve">If MRI is contraindicated (e.g., presence of metallic implants), pelvic CT may be used as an alternative (annotation f).  </w:t>
            </w:r>
            <w:r w:rsidRPr="00CB2EC4">
              <w:rPr>
                <w:rFonts w:ascii="Times New Roman" w:hAnsi="Times New Roman" w:cs="Times New Roman"/>
              </w:rPr>
              <w:br/>
            </w:r>
            <w:r w:rsidRPr="00CB2EC4">
              <w:rPr>
                <w:rFonts w:ascii="Times New Roman" w:hAnsi="Times New Roman" w:cs="Times New Roman"/>
              </w:rPr>
              <w:br/>
              <w:t xml:space="preserve">To assess metastatic lesions, the preferred imaging method is CT of the neck, chest, abdomen, and pelvis. It is used for comprehensive evaluation of metastatic lesions, including lymph nodes, lungs, liver, and other distant organs (annotation g).  </w:t>
            </w:r>
            <w:r w:rsidRPr="00CB2EC4">
              <w:rPr>
                <w:rFonts w:ascii="Times New Roman" w:hAnsi="Times New Roman" w:cs="Times New Roman"/>
              </w:rPr>
              <w:br/>
              <w:t xml:space="preserve">When necessary, PET/CT should be supplemented. It is suggested for patients with stage IB1 or higher who have access to it, to improve the accuracy of metastatic lesion detection, especially in evaluating lymph node metastases (annotation g).  </w:t>
            </w:r>
            <w:r w:rsidRPr="00CB2EC4">
              <w:rPr>
                <w:rFonts w:ascii="Times New Roman" w:hAnsi="Times New Roman" w:cs="Times New Roman"/>
              </w:rPr>
              <w:br/>
            </w:r>
            <w:r w:rsidRPr="00CB2EC4">
              <w:rPr>
                <w:rFonts w:ascii="Times New Roman" w:hAnsi="Times New Roman" w:cs="Times New Roman"/>
              </w:rPr>
              <w:br/>
              <w:t>The selection of these methods is based on tumor staging and clinical needs, and imaging results are used to supplement clinical and pathological diagnosis.</w:t>
            </w:r>
          </w:p>
        </w:tc>
        <w:tc>
          <w:tcPr>
            <w:tcW w:w="1152" w:type="dxa"/>
            <w:vAlign w:val="center"/>
          </w:tcPr>
          <w:p w14:paraId="269F0EB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F05812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380E0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E5405E9" w14:textId="77777777" w:rsidTr="00547D77">
        <w:tc>
          <w:tcPr>
            <w:tcW w:w="2160" w:type="dxa"/>
            <w:vAlign w:val="center"/>
          </w:tcPr>
          <w:p w14:paraId="41F1719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6A069A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According to the document content (similarity 0.624 and 0.580), imaging methods are classified by assessment target:  </w:t>
            </w:r>
            <w:r w:rsidRPr="00CB2EC4">
              <w:rPr>
                <w:rFonts w:ascii="Times New Roman" w:hAnsi="Times New Roman" w:cs="Times New Roman"/>
              </w:rPr>
              <w:br/>
              <w:t xml:space="preserve">- For evaluating cervical tumor (local tumor):  </w:t>
            </w:r>
            <w:r w:rsidRPr="00CB2EC4">
              <w:rPr>
                <w:rFonts w:ascii="Times New Roman" w:hAnsi="Times New Roman" w:cs="Times New Roman"/>
              </w:rPr>
              <w:br/>
              <w:t xml:space="preserve">  - Preferred method: Pelvic MRI (Level I recommendation). The document explicitly states: “Pelvic MRI is recommended as the preferred method for evaluating local cervical tumors” (similarity 0.580). If MRI is contraindicated (e.g., patient has metal implants), pelvic CT may be selected as an </w:t>
            </w:r>
            <w:r w:rsidRPr="00CB2EC4">
              <w:rPr>
                <w:rFonts w:ascii="Times New Roman" w:hAnsi="Times New Roman" w:cs="Times New Roman"/>
              </w:rPr>
              <w:lastRenderedPageBreak/>
              <w:t xml:space="preserve">alternative (Level II recommendation).  </w:t>
            </w:r>
            <w:r w:rsidRPr="00CB2EC4">
              <w:rPr>
                <w:rFonts w:ascii="Times New Roman" w:hAnsi="Times New Roman" w:cs="Times New Roman"/>
              </w:rPr>
              <w:br/>
              <w:t xml:space="preserve">- For evaluating metastatic lesions:  </w:t>
            </w:r>
            <w:r w:rsidRPr="00CB2EC4">
              <w:rPr>
                <w:rFonts w:ascii="Times New Roman" w:hAnsi="Times New Roman" w:cs="Times New Roman"/>
              </w:rPr>
              <w:br/>
              <w:t xml:space="preserve">  - Preferred method: Neck-thorax-abdomen-pelvis CT (Level I recommendation). When necessary (e.g., IB1 stage or higher), PET/CT examination is recommended (Level I recommendation). The document indicates: “Metastatic lesion assessment: Neck-thorax-abdomen-pelvis CT, PET/CT when necessary” (similarity 0.624). For specific situations (e.g., suspected bone metastasis), bone scan is recommended; for suspected bladder or rectal involvement, cystoscopy or colonoscopy is recommended (Level III recommendation).  </w:t>
            </w:r>
            <w:r w:rsidRPr="00CB2EC4">
              <w:rPr>
                <w:rFonts w:ascii="Times New Roman" w:hAnsi="Times New Roman" w:cs="Times New Roman"/>
              </w:rPr>
              <w:br/>
              <w:t>These methods are used to comprehensively assess tumor extent and metastatic risk, with imaging results assisting in staging and treatment decisions.</w:t>
            </w:r>
          </w:p>
        </w:tc>
        <w:tc>
          <w:tcPr>
            <w:tcW w:w="1152" w:type="dxa"/>
            <w:vAlign w:val="center"/>
          </w:tcPr>
          <w:p w14:paraId="3303034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5A207E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14D5A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399BA79" w14:textId="77777777" w:rsidTr="00547D77">
        <w:tc>
          <w:tcPr>
            <w:tcW w:w="10656" w:type="dxa"/>
            <w:gridSpan w:val="5"/>
            <w:tcBorders>
              <w:bottom w:val="single" w:sz="6" w:space="0" w:color="auto"/>
            </w:tcBorders>
            <w:vAlign w:val="center"/>
          </w:tcPr>
          <w:p w14:paraId="68738A9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45: what are the recommended diagnostic tools for patients with FIGO stage IA1 cervical cancer? Is it necessary to consider lymphovascular infiltration?</w:t>
            </w:r>
          </w:p>
        </w:tc>
      </w:tr>
      <w:tr w:rsidR="00916494" w:rsidRPr="00CB2EC4" w14:paraId="2CABC2BB" w14:textId="77777777" w:rsidTr="00547D77">
        <w:tc>
          <w:tcPr>
            <w:tcW w:w="2160" w:type="dxa"/>
            <w:vAlign w:val="center"/>
          </w:tcPr>
          <w:p w14:paraId="2B937D17"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432999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 Recommended diagnostic tools:  </w:t>
            </w:r>
            <w:r w:rsidRPr="00CB2EC4">
              <w:rPr>
                <w:rFonts w:ascii="Times New Roman" w:hAnsi="Times New Roman" w:cs="Times New Roman"/>
              </w:rPr>
              <w:br/>
              <w:t xml:space="preserve">  - Pathological diagnostic tools: FIGO stage IA1 is defined as microscopically confirmed invasive cancer with stromal invasion depth less than 3 mm. Diagnosis must be based on histopathological examination. Recommended tools include:  </w:t>
            </w:r>
            <w:r w:rsidRPr="00CB2EC4">
              <w:rPr>
                <w:rFonts w:ascii="Times New Roman" w:hAnsi="Times New Roman" w:cs="Times New Roman"/>
              </w:rPr>
              <w:br/>
              <w:t xml:space="preserve">    - Cervical conization: Used to obtain complete tissue samples to accurately determine invasion depth (commonly used in IA1 stage diagnosis).  </w:t>
            </w:r>
            <w:r w:rsidRPr="00CB2EC4">
              <w:rPr>
                <w:rFonts w:ascii="Times New Roman" w:hAnsi="Times New Roman" w:cs="Times New Roman"/>
              </w:rPr>
              <w:br/>
              <w:t xml:space="preserve">    - Cervical biopsy: Serves as an initial tool but must be confirmed with conization or surgical specimens (since IA stage requires microscopic diagnosis and cannot rely on biopsy alone).  </w:t>
            </w:r>
            <w:r w:rsidRPr="00CB2EC4">
              <w:rPr>
                <w:rFonts w:ascii="Times New Roman" w:hAnsi="Times New Roman" w:cs="Times New Roman"/>
              </w:rPr>
              <w:br/>
              <w:t xml:space="preserve">  - Imaging tools (e.g., pelvic MRI) are generally not </w:t>
            </w:r>
            <w:r w:rsidRPr="00CB2EC4">
              <w:rPr>
                <w:rFonts w:ascii="Times New Roman" w:hAnsi="Times New Roman" w:cs="Times New Roman"/>
              </w:rPr>
              <w:lastRenderedPageBreak/>
              <w:t xml:space="preserve">used for IA1 stage diagnosis unless high-risk features are present; the document does not specify imaging recommendations for IA1. Therefore, pathological tools are primarily relied upon.  </w:t>
            </w:r>
            <w:r w:rsidRPr="00CB2EC4">
              <w:rPr>
                <w:rFonts w:ascii="Times New Roman" w:hAnsi="Times New Roman" w:cs="Times New Roman"/>
              </w:rPr>
              <w:br/>
              <w:t xml:space="preserve">- Consideration of lymphovascular space invasion (LVSI):  </w:t>
            </w:r>
            <w:r w:rsidRPr="00CB2EC4">
              <w:rPr>
                <w:rFonts w:ascii="Times New Roman" w:hAnsi="Times New Roman" w:cs="Times New Roman"/>
              </w:rPr>
              <w:br/>
              <w:t xml:space="preserve">  - Yes. Although LVSI does not alter the FIGO staging (the document states "lymphovascular invasion does not change the stage"), it influences treatment decisions. For example, in IA1 stage, if LVSI is positive, modified radical hysterectomy with pelvic lymphadenectomy is recommended; if LVSI is negative, cervical conization or extrafascial hysterectomy may be performed (based on the "4.1.1.1 IA1 stage" section). Thus, LVSI status is a key factor in treatment planning.</w:t>
            </w:r>
          </w:p>
        </w:tc>
        <w:tc>
          <w:tcPr>
            <w:tcW w:w="1152" w:type="dxa"/>
            <w:vAlign w:val="center"/>
          </w:tcPr>
          <w:p w14:paraId="343C406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680835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3C8AF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14E2017" w14:textId="77777777" w:rsidTr="00547D77">
        <w:tc>
          <w:tcPr>
            <w:tcW w:w="2160" w:type="dxa"/>
            <w:vAlign w:val="center"/>
          </w:tcPr>
          <w:p w14:paraId="545A3EB9"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525214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FIGO staging system, imaging tools are used to assess tumor size and lymph node status as follows:</w:t>
            </w:r>
            <w:r w:rsidRPr="00CB2EC4">
              <w:rPr>
                <w:rFonts w:ascii="Times New Roman" w:hAnsi="Times New Roman" w:cs="Times New Roman"/>
              </w:rPr>
              <w:br/>
            </w:r>
            <w:r w:rsidRPr="00CB2EC4">
              <w:rPr>
                <w:rFonts w:ascii="Times New Roman" w:hAnsi="Times New Roman" w:cs="Times New Roman"/>
              </w:rPr>
              <w:br/>
              <w:t>- Tumor size assessment: MRI (magnetic resonance imaging) is recommended as the best imaging method for evaluating primary tumors, especially those with a diameter &gt;10 mm, because it provides more accurate information on tumor size and depth of infiltration.</w:t>
            </w:r>
            <w:r w:rsidRPr="00CB2EC4">
              <w:rPr>
                <w:rFonts w:ascii="Times New Roman" w:hAnsi="Times New Roman" w:cs="Times New Roman"/>
              </w:rPr>
              <w:br/>
              <w:t xml:space="preserve">- Lymph node status assessment: PET-CT (positron emission tomography-computed tomography) is recommended for detecting lymph node metastases, particularly in nodes with a diameter &gt;10 mm, as it is more accurate than CT or MRI (with a false-negative rate of approximately 4% to 15%). Other tools such as ultrasound, CT, and MRI can also be used for lymph node evaluation, but in areas with high incidence of tuberculosis or inflammation (e.g., HIV-endemic regions), lymphadenopathy may not indicate </w:t>
            </w:r>
            <w:r w:rsidRPr="00CB2EC4">
              <w:rPr>
                <w:rFonts w:ascii="Times New Roman" w:hAnsi="Times New Roman" w:cs="Times New Roman"/>
              </w:rPr>
              <w:lastRenderedPageBreak/>
              <w:t>malignancy and should be confirmed with pathological biopsy.</w:t>
            </w:r>
            <w:r w:rsidRPr="00CB2EC4">
              <w:rPr>
                <w:rFonts w:ascii="Times New Roman" w:hAnsi="Times New Roman" w:cs="Times New Roman"/>
              </w:rPr>
              <w:br/>
            </w:r>
            <w:r w:rsidRPr="00CB2EC4">
              <w:rPr>
                <w:rFonts w:ascii="Times New Roman" w:hAnsi="Times New Roman" w:cs="Times New Roman"/>
              </w:rPr>
              <w:br/>
              <w:t>Recommended imaging tools include: ultrasound, CT (computed tomography), MRI, PET/CT. The document emphasizes that any available imaging method can be used for staging, but MRI is superior to CT in assessing parametrial involvement. Imaging results must be recorded with the specific method used (e.g., type of technique) to supplement clinical examination and to avoid unnecessary dual treatment (such as surgery and radiotherapy).</w:t>
            </w:r>
            <w:r w:rsidRPr="00CB2EC4">
              <w:rPr>
                <w:rFonts w:ascii="Times New Roman" w:hAnsi="Times New Roman" w:cs="Times New Roman"/>
              </w:rPr>
              <w:br/>
            </w:r>
            <w:r w:rsidRPr="00CB2EC4">
              <w:rPr>
                <w:rFonts w:ascii="Times New Roman" w:hAnsi="Times New Roman" w:cs="Times New Roman"/>
              </w:rPr>
              <w:br/>
              <w:t>Note: The accuracy of imaging assessment for the parametrium and upper vagina is suboptimal and may result in false-negative or false-positive findings due to infection or bulky tumors; therefore, clinical examination (e.g., bimanual gynecological examination) remains the more important assessment method.</w:t>
            </w:r>
          </w:p>
        </w:tc>
        <w:tc>
          <w:tcPr>
            <w:tcW w:w="1152" w:type="dxa"/>
            <w:vAlign w:val="center"/>
          </w:tcPr>
          <w:p w14:paraId="1C7AE4C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1A8934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B268F2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6F2CB68" w14:textId="77777777" w:rsidTr="00547D77">
        <w:tc>
          <w:tcPr>
            <w:tcW w:w="10656" w:type="dxa"/>
            <w:gridSpan w:val="5"/>
            <w:tcBorders>
              <w:bottom w:val="single" w:sz="6" w:space="0" w:color="auto"/>
            </w:tcBorders>
            <w:vAlign w:val="center"/>
          </w:tcPr>
          <w:p w14:paraId="2D31B4D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46: How are imaging tools used to assess tumor size and lymph node status in FIGO staging? What specific imaging tools are recommended?</w:t>
            </w:r>
          </w:p>
        </w:tc>
      </w:tr>
      <w:tr w:rsidR="00916494" w:rsidRPr="00CB2EC4" w14:paraId="49AC7FCA" w14:textId="77777777" w:rsidTr="00547D77">
        <w:tc>
          <w:tcPr>
            <w:tcW w:w="2160" w:type="dxa"/>
            <w:vAlign w:val="center"/>
          </w:tcPr>
          <w:p w14:paraId="0B72487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A519ED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FIGO staging system, imaging tools are used to assess tumor size and lymph node status to assist in determining the extent of disease involvement, guide treatment decisions (e.g., to avoid dual therapy with surgery and radiotherapy), and denote staging (e.g., "r" is used to indicate radiologic findings when lymph node metastasis is identified). The specific methods and recommended imaging tools are as follows:</w:t>
            </w:r>
            <w:r w:rsidRPr="00CB2EC4">
              <w:rPr>
                <w:rFonts w:ascii="Times New Roman" w:hAnsi="Times New Roman" w:cs="Times New Roman"/>
              </w:rPr>
              <w:br/>
            </w:r>
            <w:r w:rsidRPr="00CB2EC4">
              <w:rPr>
                <w:rFonts w:ascii="Times New Roman" w:hAnsi="Times New Roman" w:cs="Times New Roman"/>
              </w:rPr>
              <w:br/>
              <w:t>- Assessment of tumor size:</w:t>
            </w:r>
            <w:r w:rsidRPr="00CB2EC4">
              <w:rPr>
                <w:rFonts w:ascii="Times New Roman" w:hAnsi="Times New Roman" w:cs="Times New Roman"/>
              </w:rPr>
              <w:br/>
              <w:t xml:space="preserve">  - MRI is the preferred imaging method for evaluating </w:t>
            </w:r>
            <w:r w:rsidRPr="00CB2EC4">
              <w:rPr>
                <w:rFonts w:ascii="Times New Roman" w:hAnsi="Times New Roman" w:cs="Times New Roman"/>
              </w:rPr>
              <w:lastRenderedPageBreak/>
              <w:t>primary tumor size, especially for tumors with a diameter &gt;10 mm, as it accurately measures the maximum tumor diameter (the document states: "For primary tumors &gt;10mm, MRI is the optimal imaging assessment method").</w:t>
            </w:r>
            <w:r w:rsidRPr="00CB2EC4">
              <w:rPr>
                <w:rFonts w:ascii="Times New Roman" w:hAnsi="Times New Roman" w:cs="Times New Roman"/>
              </w:rPr>
              <w:br/>
              <w:t xml:space="preserve">  - Ultrasound may also be used for assessment, but requires operation by an experienced expert to ensure accuracy (the document states: "If performed by an experienced expert, ultrasound diagnosis also has good accuracy").</w:t>
            </w:r>
            <w:r w:rsidRPr="00CB2EC4">
              <w:rPr>
                <w:rFonts w:ascii="Times New Roman" w:hAnsi="Times New Roman" w:cs="Times New Roman"/>
              </w:rPr>
              <w:br/>
              <w:t xml:space="preserve">  - The purpose of imaging assessment is to supplement clinical examination, assist in determining tumor size (e.g., for subclassifying stage IB), and record the specific method used for subsequent analysis (the document states: "The specific imaging modality used should be recorded for subsequent evaluation").</w:t>
            </w:r>
            <w:r w:rsidRPr="00CB2EC4">
              <w:rPr>
                <w:rFonts w:ascii="Times New Roman" w:hAnsi="Times New Roman" w:cs="Times New Roman"/>
              </w:rPr>
              <w:br/>
            </w:r>
            <w:r w:rsidRPr="00CB2EC4">
              <w:rPr>
                <w:rFonts w:ascii="Times New Roman" w:hAnsi="Times New Roman" w:cs="Times New Roman"/>
              </w:rPr>
              <w:br/>
              <w:t>- Assessment of lymph node status:</w:t>
            </w:r>
            <w:r w:rsidRPr="00CB2EC4">
              <w:rPr>
                <w:rFonts w:ascii="Times New Roman" w:hAnsi="Times New Roman" w:cs="Times New Roman"/>
              </w:rPr>
              <w:br/>
              <w:t xml:space="preserve">  - PET-CT is the most accurate tool for detecting lymph node metastasis, especially for nodes &gt;10 mm, with a false-negative rate of approximately 4% to 15%, superior to CT and MRI (the document states: "For detecting lymph nodes &gt;10mm, PET-CT is more accurate than CT and MRI, with a false-negative rate of about 4%</w:t>
            </w:r>
            <w:r w:rsidRPr="00CB2EC4">
              <w:rPr>
                <w:rFonts w:ascii="Times New Roman" w:hAnsi="Times New Roman" w:cs="Times New Roman"/>
              </w:rPr>
              <w:t>～</w:t>
            </w:r>
            <w:r w:rsidRPr="00CB2EC4">
              <w:rPr>
                <w:rFonts w:ascii="Times New Roman" w:hAnsi="Times New Roman" w:cs="Times New Roman"/>
              </w:rPr>
              <w:t>15%").</w:t>
            </w:r>
            <w:r w:rsidRPr="00CB2EC4">
              <w:rPr>
                <w:rFonts w:ascii="Times New Roman" w:hAnsi="Times New Roman" w:cs="Times New Roman"/>
              </w:rPr>
              <w:br/>
              <w:t xml:space="preserve">  - In areas with high prevalence of tuberculosis and inflammation (e.g., HIV-endemic regions), enlarged lymph nodes do not necessarily indicate metastasis; therefore, confirmation or exclusion of metastasis should be based on imaging, fine-needle aspiration, or biopsy (the document states: "Clinicians can determine or exclude metastasis based on imaging, </w:t>
            </w:r>
            <w:r w:rsidRPr="00CB2EC4">
              <w:rPr>
                <w:rFonts w:ascii="Times New Roman" w:hAnsi="Times New Roman" w:cs="Times New Roman"/>
              </w:rPr>
              <w:lastRenderedPageBreak/>
              <w:t>fine-needle aspiration, or biopsy").</w:t>
            </w:r>
            <w:r w:rsidRPr="00CB2EC4">
              <w:rPr>
                <w:rFonts w:ascii="Times New Roman" w:hAnsi="Times New Roman" w:cs="Times New Roman"/>
              </w:rPr>
              <w:br/>
              <w:t xml:space="preserve">  - When lymph node metastasis is identified by imaging, it is used for staging notation (e.g., stage IIIC1r) and the technique type must be recorded (the document states: "If pelvic lymph node metastasis is found by imaging, the stage is IIIC1r" and "The type of imaging and pathological techniques must be recorded").</w:t>
            </w:r>
            <w:r w:rsidRPr="00CB2EC4">
              <w:rPr>
                <w:rFonts w:ascii="Times New Roman" w:hAnsi="Times New Roman" w:cs="Times New Roman"/>
              </w:rPr>
              <w:br/>
            </w:r>
            <w:r w:rsidRPr="00CB2EC4">
              <w:rPr>
                <w:rFonts w:ascii="Times New Roman" w:hAnsi="Times New Roman" w:cs="Times New Roman"/>
              </w:rPr>
              <w:br/>
              <w:t>- Recommended imaging tools:</w:t>
            </w:r>
            <w:r w:rsidRPr="00CB2EC4">
              <w:rPr>
                <w:rFonts w:ascii="Times New Roman" w:hAnsi="Times New Roman" w:cs="Times New Roman"/>
              </w:rPr>
              <w:br/>
              <w:t xml:space="preserve">  - MRI: Preferred for assessing tumor size and parametrial involvement, superior to CT, especially for tumors &gt;10 mm (the document repeatedly emphasizes: "MRI assessment of parametrial involvement is superior to CT").</w:t>
            </w:r>
            <w:r w:rsidRPr="00CB2EC4">
              <w:rPr>
                <w:rFonts w:ascii="Times New Roman" w:hAnsi="Times New Roman" w:cs="Times New Roman"/>
              </w:rPr>
              <w:br/>
              <w:t xml:space="preserve">  - PET-CT: Recommended for lymph node assessment due to its high accuracy.</w:t>
            </w:r>
            <w:r w:rsidRPr="00CB2EC4">
              <w:rPr>
                <w:rFonts w:ascii="Times New Roman" w:hAnsi="Times New Roman" w:cs="Times New Roman"/>
              </w:rPr>
              <w:br/>
              <w:t xml:space="preserve">  - CT: Can be used for general assessment but is less accurate than MRI and PET-CT.</w:t>
            </w:r>
            <w:r w:rsidRPr="00CB2EC4">
              <w:rPr>
                <w:rFonts w:ascii="Times New Roman" w:hAnsi="Times New Roman" w:cs="Times New Roman"/>
              </w:rPr>
              <w:br/>
              <w:t xml:space="preserve">  - Ultrasound: May be used when operated by experienced personnel, suitable for resource-limited settings.</w:t>
            </w:r>
            <w:r w:rsidRPr="00CB2EC4">
              <w:rPr>
                <w:rFonts w:ascii="Times New Roman" w:hAnsi="Times New Roman" w:cs="Times New Roman"/>
              </w:rPr>
              <w:br/>
              <w:t xml:space="preserve">  - Other tools such as intravenous pyelography or urinary tract ultrasound can be used to assess hydronephrosis (the document states: "Hydronephrosis should be evaluated using urinary tract ultrasound, intravenous pyelography, CT, or MRI").</w:t>
            </w:r>
            <w:r w:rsidRPr="00CB2EC4">
              <w:rPr>
                <w:rFonts w:ascii="Times New Roman" w:hAnsi="Times New Roman" w:cs="Times New Roman"/>
              </w:rPr>
              <w:br/>
            </w:r>
            <w:r w:rsidRPr="00CB2EC4">
              <w:rPr>
                <w:rFonts w:ascii="Times New Roman" w:hAnsi="Times New Roman" w:cs="Times New Roman"/>
              </w:rPr>
              <w:br/>
              <w:t xml:space="preserve">In summary, imaging tools supplement clinical examination, but pathology remains the gold standard. All imaging modalities (including ultrasound, CT, MRI, PET-CT, etc.) may be used for staging, and the specific method must be recorded to ensure data </w:t>
            </w:r>
            <w:r w:rsidRPr="00CB2EC4">
              <w:rPr>
                <w:rFonts w:ascii="Times New Roman" w:hAnsi="Times New Roman" w:cs="Times New Roman"/>
              </w:rPr>
              <w:lastRenderedPageBreak/>
              <w:t>analyzability (the document emphasizes: "All imaging modalities may be used for staging").</w:t>
            </w:r>
          </w:p>
        </w:tc>
        <w:tc>
          <w:tcPr>
            <w:tcW w:w="1152" w:type="dxa"/>
            <w:vAlign w:val="center"/>
          </w:tcPr>
          <w:p w14:paraId="68479A1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DF0159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7A020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D3E6F08" w14:textId="77777777" w:rsidTr="00547D77">
        <w:tc>
          <w:tcPr>
            <w:tcW w:w="2160" w:type="dxa"/>
            <w:vAlign w:val="center"/>
          </w:tcPr>
          <w:p w14:paraId="79AF3987"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523EE56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FIGO staging system, imaging tools are used to assess tumor size and lymph node status as follows:</w:t>
            </w:r>
            <w:r w:rsidRPr="00CB2EC4">
              <w:rPr>
                <w:rFonts w:ascii="Times New Roman" w:hAnsi="Times New Roman" w:cs="Times New Roman"/>
              </w:rPr>
              <w:br/>
            </w:r>
            <w:r w:rsidRPr="00CB2EC4">
              <w:rPr>
                <w:rFonts w:ascii="Times New Roman" w:hAnsi="Times New Roman" w:cs="Times New Roman"/>
              </w:rPr>
              <w:br/>
              <w:t>- Tumor size assessment: MRI (magnetic resonance imaging) is recommended as the best imaging method for evaluating primary tumors, especially those with a diameter &gt;10 mm, because it provides more accurate information on tumor size and depth of infiltration.</w:t>
            </w:r>
            <w:r w:rsidRPr="00CB2EC4">
              <w:rPr>
                <w:rFonts w:ascii="Times New Roman" w:hAnsi="Times New Roman" w:cs="Times New Roman"/>
              </w:rPr>
              <w:br/>
              <w:t>- Lymph node status assessment: PET-CT (positron emission tomography-computed tomography) is recommended for detecting lymph node metastases, particularly in nodes with a diameter &gt;10 mm, as it is more accurate than CT or MRI (with a false-negative rate of approximately 4% to 15%). Other tools such as ultrasound, CT, and MRI can also be used for lymph node evaluation; however, in areas with high prevalence of tuberculosis or inflammation (e.g., HIV-endemic regions), lymphadenopathy may not indicate malignancy and should be confirmed with pathological biopsy.</w:t>
            </w:r>
            <w:r w:rsidRPr="00CB2EC4">
              <w:rPr>
                <w:rFonts w:ascii="Times New Roman" w:hAnsi="Times New Roman" w:cs="Times New Roman"/>
              </w:rPr>
              <w:br/>
            </w:r>
            <w:r w:rsidRPr="00CB2EC4">
              <w:rPr>
                <w:rFonts w:ascii="Times New Roman" w:hAnsi="Times New Roman" w:cs="Times New Roman"/>
              </w:rPr>
              <w:br/>
              <w:t>Recommended imaging tools include: ultrasound, CT (computed tomography), MRI, and PET/CT. The document emphasizes that any available imaging method can be used for staging, but MRI is superior to CT in assessing parametrial involvement. Imaging results must be recorded with the specific method used (e.g., type of technique) to supplement clinical examination and to avoid unnecessary dual treatment (such as surgery and radiotherapy).</w:t>
            </w:r>
            <w:r w:rsidRPr="00CB2EC4">
              <w:rPr>
                <w:rFonts w:ascii="Times New Roman" w:hAnsi="Times New Roman" w:cs="Times New Roman"/>
              </w:rPr>
              <w:br/>
            </w:r>
            <w:r w:rsidRPr="00CB2EC4">
              <w:rPr>
                <w:rFonts w:ascii="Times New Roman" w:hAnsi="Times New Roman" w:cs="Times New Roman"/>
              </w:rPr>
              <w:br/>
              <w:t xml:space="preserve">Note: The accuracy of imaging assessment for </w:t>
            </w:r>
            <w:r w:rsidRPr="00CB2EC4">
              <w:rPr>
                <w:rFonts w:ascii="Times New Roman" w:hAnsi="Times New Roman" w:cs="Times New Roman"/>
              </w:rPr>
              <w:lastRenderedPageBreak/>
              <w:t>parametrial and upper vaginal involvement is suboptimal, as false-negative or false-positive results may occur due to infection or bulky tumors; therefore, clinical examination (such as bimanual gynecological examination) remains the more important assessment method.</w:t>
            </w:r>
          </w:p>
        </w:tc>
        <w:tc>
          <w:tcPr>
            <w:tcW w:w="1152" w:type="dxa"/>
            <w:vAlign w:val="center"/>
          </w:tcPr>
          <w:p w14:paraId="51F2A57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4C276E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598B3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5F25DE4" w14:textId="77777777" w:rsidTr="00547D77">
        <w:tc>
          <w:tcPr>
            <w:tcW w:w="10656" w:type="dxa"/>
            <w:gridSpan w:val="5"/>
            <w:tcBorders>
              <w:bottom w:val="single" w:sz="6" w:space="0" w:color="auto"/>
            </w:tcBorders>
            <w:vAlign w:val="center"/>
          </w:tcPr>
          <w:p w14:paraId="0F366CA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47: The FIGO 2018 staging system subdivides Stage IB into Stage IB1, IB2, and IB3. What are the specific diagnostic criteria for these three substages?</w:t>
            </w:r>
          </w:p>
        </w:tc>
      </w:tr>
      <w:tr w:rsidR="00916494" w:rsidRPr="00CB2EC4" w14:paraId="410EE801" w14:textId="77777777" w:rsidTr="00547D77">
        <w:tc>
          <w:tcPr>
            <w:tcW w:w="2160" w:type="dxa"/>
            <w:vAlign w:val="center"/>
          </w:tcPr>
          <w:p w14:paraId="2E08C1E8"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1039F1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FIGO 2018 staging subdivides stage IB into IB1, IB2, and IB3. The specific diagnostic criteria for these three substages are as follows:</w:t>
            </w:r>
            <w:r w:rsidRPr="00CB2EC4">
              <w:rPr>
                <w:rFonts w:ascii="Times New Roman" w:hAnsi="Times New Roman" w:cs="Times New Roman"/>
              </w:rPr>
              <w:br/>
            </w:r>
            <w:r w:rsidRPr="00CB2EC4">
              <w:rPr>
                <w:rFonts w:ascii="Times New Roman" w:hAnsi="Times New Roman" w:cs="Times New Roman"/>
              </w:rPr>
              <w:br/>
              <w:t xml:space="preserve">- IB1: Tumor maximum diameter ≤ 2 cm, and stromal invasion depth ≥ 5 mm (measured from the basement membrane or gland).  </w:t>
            </w:r>
            <w:r w:rsidRPr="00CB2EC4">
              <w:rPr>
                <w:rFonts w:ascii="Times New Roman" w:hAnsi="Times New Roman" w:cs="Times New Roman"/>
              </w:rPr>
              <w:br/>
              <w:t xml:space="preserve">  Document reference: "IB1 stage: stromal invasion depth ≥ 5 mm, maximum tumor diameter &lt; 2 cm" and "T1b1 (FIGO IB1): stromal invasion depth &gt; 5 mm, maximum diameter ≤ 2 cm".</w:t>
            </w:r>
            <w:r w:rsidRPr="00CB2EC4">
              <w:rPr>
                <w:rFonts w:ascii="Times New Roman" w:hAnsi="Times New Roman" w:cs="Times New Roman"/>
              </w:rPr>
              <w:br/>
            </w:r>
            <w:r w:rsidRPr="00CB2EC4">
              <w:rPr>
                <w:rFonts w:ascii="Times New Roman" w:hAnsi="Times New Roman" w:cs="Times New Roman"/>
              </w:rPr>
              <w:br/>
              <w:t xml:space="preserve">- IB2: Tumor maximum diameter &gt; 2 cm but ≤ 4 cm, and stromal invasion depth ≥ 5 mm.  </w:t>
            </w:r>
            <w:r w:rsidRPr="00CB2EC4">
              <w:rPr>
                <w:rFonts w:ascii="Times New Roman" w:hAnsi="Times New Roman" w:cs="Times New Roman"/>
              </w:rPr>
              <w:br/>
              <w:t xml:space="preserve">  Document reference: "IB2 stage: maximum tumor diameter ≥ 2 cm but &lt; 4 cm" and "T1b2 (FIGO IB2): maximum diameter &gt; 2 cm, ≤ 4 cm".</w:t>
            </w:r>
            <w:r w:rsidRPr="00CB2EC4">
              <w:rPr>
                <w:rFonts w:ascii="Times New Roman" w:hAnsi="Times New Roman" w:cs="Times New Roman"/>
              </w:rPr>
              <w:br/>
            </w:r>
            <w:r w:rsidRPr="00CB2EC4">
              <w:rPr>
                <w:rFonts w:ascii="Times New Roman" w:hAnsi="Times New Roman" w:cs="Times New Roman"/>
              </w:rPr>
              <w:br/>
              <w:t xml:space="preserve">- IB3: Tumor maximum diameter ≥ 4 cm, and stromal invasion depth ≥ 5 mm.  </w:t>
            </w:r>
            <w:r w:rsidRPr="00CB2EC4">
              <w:rPr>
                <w:rFonts w:ascii="Times New Roman" w:hAnsi="Times New Roman" w:cs="Times New Roman"/>
              </w:rPr>
              <w:br/>
              <w:t xml:space="preserve">  Document reference: "IB3 stage: maximum tumor diameter ≥ 4 cm" and "T1b3 (FIGO IB3): maximum diameter &gt; 4 cm".</w:t>
            </w:r>
            <w:r w:rsidRPr="00CB2EC4">
              <w:rPr>
                <w:rFonts w:ascii="Times New Roman" w:hAnsi="Times New Roman" w:cs="Times New Roman"/>
              </w:rPr>
              <w:br/>
            </w:r>
            <w:r w:rsidRPr="00CB2EC4">
              <w:rPr>
                <w:rFonts w:ascii="Times New Roman" w:hAnsi="Times New Roman" w:cs="Times New Roman"/>
              </w:rPr>
              <w:br/>
              <w:t xml:space="preserve">These subdivisions are based on tumor size, with no </w:t>
            </w:r>
            <w:r w:rsidRPr="00CB2EC4">
              <w:rPr>
                <w:rFonts w:ascii="Times New Roman" w:hAnsi="Times New Roman" w:cs="Times New Roman"/>
              </w:rPr>
              <w:lastRenderedPageBreak/>
              <w:t>consideration of horizontal spread (document states: "The new staging clarifies that both imaging and pathological findings can be used for staging", and "Invasion depth is measured downward from the basement membrane or gland of origin of the primary lesion"). Lower stage correlates with better prognosis, while IB3 carries a poorer prognosis.</w:t>
            </w:r>
          </w:p>
        </w:tc>
        <w:tc>
          <w:tcPr>
            <w:tcW w:w="1152" w:type="dxa"/>
            <w:vAlign w:val="center"/>
          </w:tcPr>
          <w:p w14:paraId="22FB564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F2AA81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7FEF5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379BF74" w14:textId="77777777" w:rsidTr="00547D77">
        <w:tc>
          <w:tcPr>
            <w:tcW w:w="2160" w:type="dxa"/>
            <w:vAlign w:val="center"/>
          </w:tcPr>
          <w:p w14:paraId="73E735B1"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803C48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IB1: Tumor confined to the cervix with maximum diameter &lt;2 cm.  </w:t>
            </w:r>
            <w:r w:rsidRPr="00CB2EC4">
              <w:rPr>
                <w:rFonts w:ascii="Times New Roman" w:hAnsi="Times New Roman" w:cs="Times New Roman"/>
              </w:rPr>
              <w:br/>
              <w:t xml:space="preserve">IB2: Tumor confined to the cervix with maximum diameter ≥2 cm but &lt;4 cm.  </w:t>
            </w:r>
            <w:r w:rsidRPr="00CB2EC4">
              <w:rPr>
                <w:rFonts w:ascii="Times New Roman" w:hAnsi="Times New Roman" w:cs="Times New Roman"/>
              </w:rPr>
              <w:br/>
              <w:t xml:space="preserve">IB3: Tumor confined to the cervix with maximum diameter ≥4 cm.  </w:t>
            </w:r>
            <w:r w:rsidRPr="00CB2EC4">
              <w:rPr>
                <w:rFonts w:ascii="Times New Roman" w:hAnsi="Times New Roman" w:cs="Times New Roman"/>
              </w:rPr>
              <w:br/>
            </w:r>
            <w:r w:rsidRPr="00CB2EC4">
              <w:rPr>
                <w:rFonts w:ascii="Times New Roman" w:hAnsi="Times New Roman" w:cs="Times New Roman"/>
              </w:rPr>
              <w:br/>
              <w:t>(Note: All cancer is microscopically confirmed. IB stage requires stromal invasion &gt;5 mm. Subdivision is based solely on maximum tumor diameter, not depth of invasion.)</w:t>
            </w:r>
          </w:p>
        </w:tc>
        <w:tc>
          <w:tcPr>
            <w:tcW w:w="1152" w:type="dxa"/>
            <w:vAlign w:val="center"/>
          </w:tcPr>
          <w:p w14:paraId="139676C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57C26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C9CAE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57790A6" w14:textId="77777777" w:rsidTr="00547D77">
        <w:tc>
          <w:tcPr>
            <w:tcW w:w="10656" w:type="dxa"/>
            <w:gridSpan w:val="5"/>
            <w:tcBorders>
              <w:bottom w:val="single" w:sz="6" w:space="0" w:color="auto"/>
            </w:tcBorders>
            <w:vAlign w:val="center"/>
          </w:tcPr>
          <w:p w14:paraId="20B2C68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48: According to the FIGO 2018 staging system, what is the main difference between Stage IA1 and Stage IA2?</w:t>
            </w:r>
          </w:p>
        </w:tc>
      </w:tr>
      <w:tr w:rsidR="00916494" w:rsidRPr="00CB2EC4" w14:paraId="239014B3" w14:textId="77777777" w:rsidTr="00547D77">
        <w:tc>
          <w:tcPr>
            <w:tcW w:w="2160" w:type="dxa"/>
            <w:vAlign w:val="center"/>
          </w:tcPr>
          <w:p w14:paraId="56F4F516"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E6B437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According to the FIGO 2018 staging system, the primary distinction between stages IA1 and IA2 lies in the depth of stromal invasion:</w:t>
            </w:r>
            <w:r w:rsidRPr="00CB2EC4">
              <w:rPr>
                <w:rFonts w:ascii="Times New Roman" w:hAnsi="Times New Roman" w:cs="Times New Roman"/>
              </w:rPr>
              <w:br/>
            </w:r>
            <w:r w:rsidRPr="00CB2EC4">
              <w:rPr>
                <w:rFonts w:ascii="Times New Roman" w:hAnsi="Times New Roman" w:cs="Times New Roman"/>
              </w:rPr>
              <w:br/>
              <w:t>- Stage IA1: Stromal invasion depth ≤ 3 mm (measured from the basement membrane of the epithelium or gland)</w:t>
            </w:r>
            <w:r w:rsidRPr="00CB2EC4">
              <w:rPr>
                <w:rFonts w:ascii="Times New Roman" w:hAnsi="Times New Roman" w:cs="Times New Roman"/>
              </w:rPr>
              <w:br/>
              <w:t>- Stage IA2: Stromal invasion depth &gt; 3 mm but ≤ 5 mm (measured from the basement membrane of the epithelium or gland)</w:t>
            </w:r>
            <w:r w:rsidRPr="00CB2EC4">
              <w:rPr>
                <w:rFonts w:ascii="Times New Roman" w:hAnsi="Times New Roman" w:cs="Times New Roman"/>
              </w:rPr>
              <w:br/>
            </w:r>
            <w:r w:rsidRPr="00CB2EC4">
              <w:rPr>
                <w:rFonts w:ascii="Times New Roman" w:hAnsi="Times New Roman" w:cs="Times New Roman"/>
              </w:rPr>
              <w:br/>
              <w:t>Key points:</w:t>
            </w:r>
            <w:r w:rsidRPr="00CB2EC4">
              <w:rPr>
                <w:rFonts w:ascii="Times New Roman" w:hAnsi="Times New Roman" w:cs="Times New Roman"/>
              </w:rPr>
              <w:br/>
              <w:t>- Both stages represent microscopically diagnosed microinvasive carcinoma</w:t>
            </w:r>
            <w:r w:rsidRPr="00CB2EC4">
              <w:rPr>
                <w:rFonts w:ascii="Times New Roman" w:hAnsi="Times New Roman" w:cs="Times New Roman"/>
              </w:rPr>
              <w:br/>
            </w:r>
            <w:r w:rsidRPr="00CB2EC4">
              <w:rPr>
                <w:rFonts w:ascii="Times New Roman" w:hAnsi="Times New Roman" w:cs="Times New Roman"/>
              </w:rPr>
              <w:lastRenderedPageBreak/>
              <w:t>- Horizontal invasion width is no longer used as a staging criterion</w:t>
            </w:r>
            <w:r w:rsidRPr="00CB2EC4">
              <w:rPr>
                <w:rFonts w:ascii="Times New Roman" w:hAnsi="Times New Roman" w:cs="Times New Roman"/>
              </w:rPr>
              <w:br/>
              <w:t>- Lymphovascular space invasion (LVSI) does not alter staging but influences treatment decisions (e.g., stage IA1 with positive LVSI should be managed as stage IA2)</w:t>
            </w:r>
          </w:p>
        </w:tc>
        <w:tc>
          <w:tcPr>
            <w:tcW w:w="1152" w:type="dxa"/>
            <w:vAlign w:val="center"/>
          </w:tcPr>
          <w:p w14:paraId="440799A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29E4D5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0A133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2B2B7DB" w14:textId="77777777" w:rsidTr="00547D77">
        <w:tc>
          <w:tcPr>
            <w:tcW w:w="2160" w:type="dxa"/>
            <w:vAlign w:val="center"/>
          </w:tcPr>
          <w:p w14:paraId="6976EA32"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20371D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According to FIGO 2018 staging, the main difference between IA1 and IA2 is as follows:</w:t>
            </w:r>
            <w:r w:rsidRPr="00CB2EC4">
              <w:rPr>
                <w:rFonts w:ascii="Times New Roman" w:hAnsi="Times New Roman" w:cs="Times New Roman"/>
              </w:rPr>
              <w:br/>
            </w:r>
            <w:r w:rsidRPr="00CB2EC4">
              <w:rPr>
                <w:rFonts w:ascii="Times New Roman" w:hAnsi="Times New Roman" w:cs="Times New Roman"/>
              </w:rPr>
              <w:br/>
              <w:t>- Both IA1 and IA2 stages represent microscopically evident invasive carcinoma (maximum stromal invasion depth &lt;5 mm), with the primary distinction being the depth of stromal invasion:</w:t>
            </w:r>
            <w:r w:rsidRPr="00CB2EC4">
              <w:rPr>
                <w:rFonts w:ascii="Times New Roman" w:hAnsi="Times New Roman" w:cs="Times New Roman"/>
              </w:rPr>
              <w:br/>
              <w:t xml:space="preserve">  - IA1: Stromal invasion depth ≤3 mm.</w:t>
            </w:r>
            <w:r w:rsidRPr="00CB2EC4">
              <w:rPr>
                <w:rFonts w:ascii="Times New Roman" w:hAnsi="Times New Roman" w:cs="Times New Roman"/>
              </w:rPr>
              <w:br/>
              <w:t xml:space="preserve">  - IA2: Stromal invasion depth &gt;3 mm but ≤5 mm.</w:t>
            </w:r>
            <w:r w:rsidRPr="00CB2EC4">
              <w:rPr>
                <w:rFonts w:ascii="Times New Roman" w:hAnsi="Times New Roman" w:cs="Times New Roman"/>
              </w:rPr>
              <w:br/>
              <w:t>- The document emphasizes that the revised staging no longer considers the horizontal spread of invasion (due to susceptibility to artifactual influences), and lymphovascular space invasion (LVSI) does not alter the stage but influences treatment decisions (e.g., LVSI positive cases are managed as higher risk).</w:t>
            </w:r>
          </w:p>
        </w:tc>
        <w:tc>
          <w:tcPr>
            <w:tcW w:w="1152" w:type="dxa"/>
            <w:vAlign w:val="center"/>
          </w:tcPr>
          <w:p w14:paraId="2932C0E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B1F7DE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22D661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19935377" w14:textId="77777777" w:rsidTr="00547D77">
        <w:tc>
          <w:tcPr>
            <w:tcW w:w="10656" w:type="dxa"/>
            <w:gridSpan w:val="5"/>
            <w:tcBorders>
              <w:bottom w:val="single" w:sz="6" w:space="0" w:color="auto"/>
            </w:tcBorders>
            <w:vAlign w:val="center"/>
          </w:tcPr>
          <w:p w14:paraId="5D44202D"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49: According to the FIGO 2018 staging system, when lymph node metastasis is detected by imaging or pathology, how should the stage be specifically designated? What are the requirements for noting the method of detection in the report?</w:t>
            </w:r>
          </w:p>
        </w:tc>
      </w:tr>
      <w:tr w:rsidR="00916494" w:rsidRPr="00CB2EC4" w14:paraId="3B4BBD28" w14:textId="77777777" w:rsidTr="00547D77">
        <w:tc>
          <w:tcPr>
            <w:tcW w:w="2160" w:type="dxa"/>
            <w:vAlign w:val="center"/>
          </w:tcPr>
          <w:p w14:paraId="43F5AC09"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2D5AAC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lymph node metastasis is identified by imaging or pathology, the FIGO 2018 staging requires specific notation for both the stage and the method of detection to ensure data accuracy and subsequent analysis. the requirements are as follows:</w:t>
            </w:r>
            <w:r w:rsidRPr="00CB2EC4">
              <w:rPr>
                <w:rFonts w:ascii="Times New Roman" w:hAnsi="Times New Roman" w:cs="Times New Roman"/>
              </w:rPr>
              <w:br/>
            </w:r>
            <w:r w:rsidRPr="00CB2EC4">
              <w:rPr>
                <w:rFonts w:ascii="Times New Roman" w:hAnsi="Times New Roman" w:cs="Times New Roman"/>
              </w:rPr>
              <w:br/>
              <w:t>- stage notation:</w:t>
            </w:r>
            <w:r w:rsidRPr="00CB2EC4">
              <w:rPr>
                <w:rFonts w:ascii="Times New Roman" w:hAnsi="Times New Roman" w:cs="Times New Roman"/>
              </w:rPr>
              <w:br/>
              <w:t xml:space="preserve">  - if lymph node metastasis is detected by imaging, the stage is marked with "r" (e.g., pelvic lymph node metastasis staged as III C1r, para-aortic lymph node </w:t>
            </w:r>
            <w:r w:rsidRPr="00CB2EC4">
              <w:rPr>
                <w:rFonts w:ascii="Times New Roman" w:hAnsi="Times New Roman" w:cs="Times New Roman"/>
              </w:rPr>
              <w:lastRenderedPageBreak/>
              <w:t>metastasis as III C2r). as explicitly stated: "if pelvic lymph node metastasis is found by imaging, the stage is III C1r" and "the accuracy of imaging assessment for parametrial and upper vaginal involvement is suboptimal... if pelvic lymph node metastasis is found by imaging, the stage is III C1r".</w:t>
            </w:r>
            <w:r w:rsidRPr="00CB2EC4">
              <w:rPr>
                <w:rFonts w:ascii="Times New Roman" w:hAnsi="Times New Roman" w:cs="Times New Roman"/>
              </w:rPr>
              <w:br/>
              <w:t xml:space="preserve">  - if lymph node metastasis is confirmed by pathology (e.g., biopsy or surgery), the stage is marked with "p" (e.g., pelvic lymph node metastasis staged as III C1p, para-aortic lymph node metastasis as III C2p). as noted: "if identified by pathology, the stage is III C1p" and "the method of detection (imaging or pathology) must be specified for III C stage, e.g., ... if identified by pathology, the stage is III C1p".</w:t>
            </w:r>
            <w:r w:rsidRPr="00CB2EC4">
              <w:rPr>
                <w:rFonts w:ascii="Times New Roman" w:hAnsi="Times New Roman" w:cs="Times New Roman"/>
              </w:rPr>
              <w:br/>
            </w:r>
            <w:r w:rsidRPr="00CB2EC4">
              <w:rPr>
                <w:rFonts w:ascii="Times New Roman" w:hAnsi="Times New Roman" w:cs="Times New Roman"/>
              </w:rPr>
              <w:br/>
              <w:t>- reporting requirements:</w:t>
            </w:r>
            <w:r w:rsidRPr="00CB2EC4">
              <w:rPr>
                <w:rFonts w:ascii="Times New Roman" w:hAnsi="Times New Roman" w:cs="Times New Roman"/>
              </w:rPr>
              <w:br/>
              <w:t xml:space="preserve">  - the type of imaging or pathology technique used must be recorded (e.g., MRI, CT, PET-CT, fine needle aspiration, surgical biopsy). the document emphasizes: "the type of imaging and pathology techniques must be recorded" and "the imaging modality and pathology technique type used must be documented".</w:t>
            </w:r>
            <w:r w:rsidRPr="00CB2EC4">
              <w:rPr>
                <w:rFonts w:ascii="Times New Roman" w:hAnsi="Times New Roman" w:cs="Times New Roman"/>
              </w:rPr>
              <w:br/>
              <w:t xml:space="preserve">  - for pathology methods, the specific technique must be annotated (e.g., N[f] for fine needle aspiration confirmation, N[sn] for sentinel lymph node biopsy confirmation). as stated: "the pathological technique used for confirmation must be annotated, such as N(f) indicating lymph node metastasis confirmed by fine needle aspiration or core needle biopsy".</w:t>
            </w:r>
            <w:r w:rsidRPr="00CB2EC4">
              <w:rPr>
                <w:rFonts w:ascii="Times New Roman" w:hAnsi="Times New Roman" w:cs="Times New Roman"/>
              </w:rPr>
              <w:br/>
              <w:t xml:space="preserve">  - in the staging report, "r" or "p" must be clearly indicated to distinguish the detection method, facilitating data analysis and prognostic evaluation ("it is necessary to record whether this staging is based on imaging (r) or pathological confirmation (p) for </w:t>
            </w:r>
            <w:r w:rsidRPr="00CB2EC4">
              <w:rPr>
                <w:rFonts w:ascii="Times New Roman" w:hAnsi="Times New Roman" w:cs="Times New Roman"/>
              </w:rPr>
              <w:lastRenderedPageBreak/>
              <w:t>appropriate data analysis and reporting").</w:t>
            </w:r>
            <w:r w:rsidRPr="00CB2EC4">
              <w:rPr>
                <w:rFonts w:ascii="Times New Roman" w:hAnsi="Times New Roman" w:cs="Times New Roman"/>
              </w:rPr>
              <w:br/>
            </w:r>
            <w:r w:rsidRPr="00CB2EC4">
              <w:rPr>
                <w:rFonts w:ascii="Times New Roman" w:hAnsi="Times New Roman" w:cs="Times New Roman"/>
              </w:rPr>
              <w:br/>
              <w:t>this notation system helps prevent misdiagnosis (especially in areas with high prevalence of tuberculosis or inflammation) and ensures staging consistency.</w:t>
            </w:r>
          </w:p>
        </w:tc>
        <w:tc>
          <w:tcPr>
            <w:tcW w:w="1152" w:type="dxa"/>
            <w:vAlign w:val="center"/>
          </w:tcPr>
          <w:p w14:paraId="1A04DE5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7D2B83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F15B6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EE3C9DE" w14:textId="77777777" w:rsidTr="00547D77">
        <w:tc>
          <w:tcPr>
            <w:tcW w:w="2160" w:type="dxa"/>
            <w:vAlign w:val="center"/>
          </w:tcPr>
          <w:p w14:paraId="63A4796D"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37D338E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according to FIGO 2018 staging, when lymph node metastasis is identified by imaging or pathology, the staging should be specifically marked as follows:  </w:t>
            </w:r>
            <w:r w:rsidRPr="00CB2EC4">
              <w:rPr>
                <w:rFonts w:ascii="Times New Roman" w:hAnsi="Times New Roman" w:cs="Times New Roman"/>
              </w:rPr>
              <w:br/>
              <w:t xml:space="preserve">- If lymph node metastasis is detected by imaging methods (such as MRI, CT, or PET), add the suffix "r" to the stage designation (e.g., pelvic lymph node metastasis is staged as IIIC1r).  </w:t>
            </w:r>
            <w:r w:rsidRPr="00CB2EC4">
              <w:rPr>
                <w:rFonts w:ascii="Times New Roman" w:hAnsi="Times New Roman" w:cs="Times New Roman"/>
              </w:rPr>
              <w:br/>
              <w:t xml:space="preserve">- If lymph node metastasis is confirmed by pathological methods (such as fine needle aspiration, core needle biopsy, or surgical biopsy), add the suffix "p" to the stage designation (e.g., pathologically confirmed pelvic lymph node metastasis is staged as IIIC1p).  </w:t>
            </w:r>
            <w:r w:rsidRPr="00CB2EC4">
              <w:rPr>
                <w:rFonts w:ascii="Times New Roman" w:hAnsi="Times New Roman" w:cs="Times New Roman"/>
              </w:rPr>
              <w:br/>
            </w:r>
            <w:r w:rsidRPr="00CB2EC4">
              <w:rPr>
                <w:rFonts w:ascii="Times New Roman" w:hAnsi="Times New Roman" w:cs="Times New Roman"/>
              </w:rPr>
              <w:br/>
              <w:t xml:space="preserve">Reporting requirements for lymph node metastasis discovery:  </w:t>
            </w:r>
            <w:r w:rsidRPr="00CB2EC4">
              <w:rPr>
                <w:rFonts w:ascii="Times New Roman" w:hAnsi="Times New Roman" w:cs="Times New Roman"/>
              </w:rPr>
              <w:br/>
              <w:t xml:space="preserve">- The specific imaging modality used (e.g., ultrasound, CT, MRI, or PET) or the type of pathological technique (e.g., fine needle aspiration labeled as N(f), sentinel lymph node biopsy labeled as N(sn)) must be documented.  </w:t>
            </w:r>
            <w:r w:rsidRPr="00CB2EC4">
              <w:rPr>
                <w:rFonts w:ascii="Times New Roman" w:hAnsi="Times New Roman" w:cs="Times New Roman"/>
              </w:rPr>
              <w:br/>
              <w:t xml:space="preserve">- For example: imaging showing pelvic lymph node metastasis is reported as IIIC1r with the imaging tool specified; pathological confirmation of para-aortic lymph node metastasis is reported as IIIC2p with the pathological technique specified.  </w:t>
            </w:r>
            <w:r w:rsidRPr="00CB2EC4">
              <w:rPr>
                <w:rFonts w:ascii="Times New Roman" w:hAnsi="Times New Roman" w:cs="Times New Roman"/>
              </w:rPr>
              <w:br/>
            </w:r>
            <w:r w:rsidRPr="00CB2EC4">
              <w:rPr>
                <w:rFonts w:ascii="Times New Roman" w:hAnsi="Times New Roman" w:cs="Times New Roman"/>
              </w:rPr>
              <w:br/>
              <w:t xml:space="preserve">The document emphasizes that if staging is </w:t>
            </w:r>
            <w:r w:rsidRPr="00CB2EC4">
              <w:rPr>
                <w:rFonts w:ascii="Times New Roman" w:hAnsi="Times New Roman" w:cs="Times New Roman"/>
              </w:rPr>
              <w:lastRenderedPageBreak/>
              <w:t>controversial, the earlier stage should be assigned, and ITC (isolated tumor cells, diameter &lt;0.2 mm) does not affect staging but must be recorded.</w:t>
            </w:r>
          </w:p>
        </w:tc>
        <w:tc>
          <w:tcPr>
            <w:tcW w:w="1152" w:type="dxa"/>
            <w:vAlign w:val="center"/>
          </w:tcPr>
          <w:p w14:paraId="3D3A6B0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529C4F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E75F92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1C5D816D" w14:textId="77777777" w:rsidTr="00547D77">
        <w:tc>
          <w:tcPr>
            <w:tcW w:w="10656" w:type="dxa"/>
            <w:gridSpan w:val="5"/>
            <w:tcBorders>
              <w:bottom w:val="single" w:sz="6" w:space="0" w:color="auto"/>
            </w:tcBorders>
            <w:vAlign w:val="center"/>
          </w:tcPr>
          <w:p w14:paraId="03C44A2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50: If cervical cancer is an incidental finding on pathological examination after an initial surgery of insufficient scope, what further diagnostic and therapeutic management is required for the patient?</w:t>
            </w:r>
          </w:p>
        </w:tc>
      </w:tr>
      <w:tr w:rsidR="00916494" w:rsidRPr="00CB2EC4" w14:paraId="3A27F623" w14:textId="77777777" w:rsidTr="00547D77">
        <w:tc>
          <w:tcPr>
            <w:tcW w:w="2160" w:type="dxa"/>
            <w:vAlign w:val="center"/>
          </w:tcPr>
          <w:p w14:paraId="4A3B0279"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4DAA78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Further diagnosis:</w:t>
            </w:r>
            <w:r w:rsidRPr="00CB2EC4">
              <w:rPr>
                <w:rFonts w:ascii="Times New Roman" w:hAnsi="Times New Roman" w:cs="Times New Roman"/>
              </w:rPr>
              <w:br/>
              <w:t xml:space="preserve">  - A complete staging evaluation must be performed, including:</w:t>
            </w:r>
            <w:r w:rsidRPr="00CB2EC4">
              <w:rPr>
                <w:rFonts w:ascii="Times New Roman" w:hAnsi="Times New Roman" w:cs="Times New Roman"/>
              </w:rPr>
              <w:br/>
              <w:t xml:space="preserve">    - Imaging studies: such as pelvic MRI to assess tumor size and local invasion, PET-CT or CT to evaluate lymph node and distant metastasis.</w:t>
            </w:r>
            <w:r w:rsidRPr="00CB2EC4">
              <w:rPr>
                <w:rFonts w:ascii="Times New Roman" w:hAnsi="Times New Roman" w:cs="Times New Roman"/>
              </w:rPr>
              <w:br/>
              <w:t xml:space="preserve">    - Pathological review**: Re-examination of the initial surgical specimen to confirm depth of invasion, margin status, and lymph node involvement.</w:t>
            </w:r>
            <w:r w:rsidRPr="00CB2EC4">
              <w:rPr>
                <w:rFonts w:ascii="Times New Roman" w:hAnsi="Times New Roman" w:cs="Times New Roman"/>
              </w:rPr>
              <w:br/>
              <w:t>- Further treatment:</w:t>
            </w:r>
            <w:r w:rsidRPr="00CB2EC4">
              <w:rPr>
                <w:rFonts w:ascii="Times New Roman" w:hAnsi="Times New Roman" w:cs="Times New Roman"/>
              </w:rPr>
              <w:br/>
              <w:t xml:space="preserve">  - No further treatment methods could be found in the knowledge base.</w:t>
            </w:r>
          </w:p>
        </w:tc>
        <w:tc>
          <w:tcPr>
            <w:tcW w:w="1152" w:type="dxa"/>
            <w:vAlign w:val="center"/>
          </w:tcPr>
          <w:p w14:paraId="635AFD5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4B64ED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0FAA20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71EC7057" w14:textId="77777777" w:rsidTr="00547D77">
        <w:tc>
          <w:tcPr>
            <w:tcW w:w="2160" w:type="dxa"/>
            <w:vAlign w:val="center"/>
          </w:tcPr>
          <w:p w14:paraId="2A1A6AA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279EBD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cervical cancer is incidentally found on pathological examination, and the initial surgical extent was insufficient, the patient requires further diagnostic and therapeutic procedures, including:</w:t>
            </w:r>
            <w:r w:rsidRPr="00CB2EC4">
              <w:rPr>
                <w:rFonts w:ascii="Times New Roman" w:hAnsi="Times New Roman" w:cs="Times New Roman"/>
              </w:rPr>
              <w:br/>
            </w:r>
            <w:r w:rsidRPr="00CB2EC4">
              <w:rPr>
                <w:rFonts w:ascii="Times New Roman" w:hAnsi="Times New Roman" w:cs="Times New Roman"/>
              </w:rPr>
              <w:br/>
              <w:t>- Comprehensive restaging evaluation, typically involving imaging (such as pelvic MRI and/or PET-CT) to assess tumor size, parametrial involvement, and distant metastasis.</w:t>
            </w:r>
            <w:r w:rsidRPr="00CB2EC4">
              <w:rPr>
                <w:rFonts w:ascii="Times New Roman" w:hAnsi="Times New Roman" w:cs="Times New Roman"/>
              </w:rPr>
              <w:br/>
              <w:t>- Assessment of lymph node status, which may require sentinel lymph node mapping or completion lymphadenectomy if not performed during initial surgery.</w:t>
            </w:r>
            <w:r w:rsidRPr="00CB2EC4">
              <w:rPr>
                <w:rFonts w:ascii="Times New Roman" w:hAnsi="Times New Roman" w:cs="Times New Roman"/>
              </w:rPr>
              <w:br/>
              <w:t xml:space="preserve">- Review of the original pathology slides to confirm histological type, grade, depth of stromal invasion, lymphovascular space invasion (LVSI), and margin </w:t>
            </w:r>
            <w:r w:rsidRPr="00CB2EC4">
              <w:rPr>
                <w:rFonts w:ascii="Times New Roman" w:hAnsi="Times New Roman" w:cs="Times New Roman"/>
              </w:rPr>
              <w:lastRenderedPageBreak/>
              <w:t>status.</w:t>
            </w:r>
            <w:r w:rsidRPr="00CB2EC4">
              <w:rPr>
                <w:rFonts w:ascii="Times New Roman" w:hAnsi="Times New Roman" w:cs="Times New Roman"/>
              </w:rPr>
              <w:br/>
              <w:t>- Determination of the need for adjuvant therapy based on restaged disease, which may include:</w:t>
            </w:r>
            <w:r w:rsidRPr="00CB2EC4">
              <w:rPr>
                <w:rFonts w:ascii="Times New Roman" w:hAnsi="Times New Roman" w:cs="Times New Roman"/>
              </w:rPr>
              <w:br/>
              <w:t xml:space="preserve">  → Concurrent chemoradiation therapy (CCRT) for patients with high-risk features (e.g., positive margins, parametrial involvement, or positive lymph nodes).</w:t>
            </w:r>
            <w:r w:rsidRPr="00CB2EC4">
              <w:rPr>
                <w:rFonts w:ascii="Times New Roman" w:hAnsi="Times New Roman" w:cs="Times New Roman"/>
              </w:rPr>
              <w:br/>
              <w:t xml:space="preserve">  → Adjuvant radiotherapy alone for intermediate-risk features (e.g., large tumor size, deep stromal invasion, positive LVSI) per criteria such as Sedlis or others.</w:t>
            </w:r>
            <w:r w:rsidRPr="00CB2EC4">
              <w:rPr>
                <w:rFonts w:ascii="Times New Roman" w:hAnsi="Times New Roman" w:cs="Times New Roman"/>
              </w:rPr>
              <w:br/>
              <w:t xml:space="preserve">  → Close surveillance without adjuvant therapy for very low-risk cases (e.g., stage IA1 without LVSI and with negative margins).</w:t>
            </w:r>
            <w:r w:rsidRPr="00CB2EC4">
              <w:rPr>
                <w:rFonts w:ascii="Times New Roman" w:hAnsi="Times New Roman" w:cs="Times New Roman"/>
              </w:rPr>
              <w:br/>
              <w:t>- Referral to a multidisciplinary tumor board for individualized treatment planning, involving gynecologic oncology, radiation oncology, medical oncology, and pathology.</w:t>
            </w:r>
            <w:r w:rsidRPr="00CB2EC4">
              <w:rPr>
                <w:rFonts w:ascii="Times New Roman" w:hAnsi="Times New Roman" w:cs="Times New Roman"/>
              </w:rPr>
              <w:br/>
              <w:t>- Counseling regarding prognosis, treatment-related side effects, and follow-up protocols.</w:t>
            </w:r>
            <w:r w:rsidRPr="00CB2EC4">
              <w:rPr>
                <w:rFonts w:ascii="Times New Roman" w:hAnsi="Times New Roman" w:cs="Times New Roman"/>
              </w:rPr>
              <w:br/>
            </w:r>
            <w:r w:rsidRPr="00CB2EC4">
              <w:rPr>
                <w:rFonts w:ascii="Times New Roman" w:hAnsi="Times New Roman" w:cs="Times New Roman"/>
              </w:rPr>
              <w:br/>
              <w:t>Note: As per the referenced knowledge base, "cervical invasive cancer found incidentally after hysterectomy is not staged clinically or included in treatment statistics and must be reported separately." However, this does not preclude the need for individualized diagnostic reassessment and therapeutic intervention based on pathological and clinical findings. Specific steps should align with current NCCN, FIGO, or institutional guidelines.</w:t>
            </w:r>
          </w:p>
        </w:tc>
        <w:tc>
          <w:tcPr>
            <w:tcW w:w="1152" w:type="dxa"/>
            <w:vAlign w:val="center"/>
          </w:tcPr>
          <w:p w14:paraId="2A58B3C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7F4AC2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07C76F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5EF8323A" w14:textId="77777777" w:rsidTr="00547D77">
        <w:tc>
          <w:tcPr>
            <w:tcW w:w="10656" w:type="dxa"/>
            <w:gridSpan w:val="5"/>
            <w:tcBorders>
              <w:bottom w:val="single" w:sz="6" w:space="0" w:color="auto"/>
            </w:tcBorders>
            <w:vAlign w:val="center"/>
          </w:tcPr>
          <w:p w14:paraId="169EA3A2"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51: In cervical cancer treatment, if the patient does not wish to preserve fertility, and the stage is ⅠA1 without lymphovascular space invasion, what treatment measures should be taken?</w:t>
            </w:r>
          </w:p>
        </w:tc>
      </w:tr>
      <w:tr w:rsidR="00916494" w:rsidRPr="00CB2EC4" w14:paraId="730D6B81" w14:textId="77777777" w:rsidTr="00547D77">
        <w:tc>
          <w:tcPr>
            <w:tcW w:w="2160" w:type="dxa"/>
            <w:vAlign w:val="center"/>
          </w:tcPr>
          <w:p w14:paraId="72ABB3A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017428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for patients with cervical cancer who do not wish to preserve fertility, staged as IA1 without lymphovascular space invasion, the recommended </w:t>
            </w:r>
            <w:r w:rsidRPr="00CB2EC4">
              <w:rPr>
                <w:rFonts w:ascii="Times New Roman" w:hAnsi="Times New Roman" w:cs="Times New Roman"/>
              </w:rPr>
              <w:lastRenderedPageBreak/>
              <w:t>treatment is:</w:t>
            </w:r>
            <w:r w:rsidRPr="00CB2EC4">
              <w:rPr>
                <w:rFonts w:ascii="Times New Roman" w:hAnsi="Times New Roman" w:cs="Times New Roman"/>
              </w:rPr>
              <w:br/>
            </w:r>
            <w:r w:rsidRPr="00CB2EC4">
              <w:rPr>
                <w:rFonts w:ascii="Times New Roman" w:hAnsi="Times New Roman" w:cs="Times New Roman"/>
              </w:rPr>
              <w:br/>
              <w:t>- Extrafascial hysterectomy (also known as Type A hysterectomy)</w:t>
            </w:r>
            <w:r w:rsidRPr="00CB2EC4">
              <w:rPr>
                <w:rFonts w:ascii="Times New Roman" w:hAnsi="Times New Roman" w:cs="Times New Roman"/>
              </w:rPr>
              <w:br/>
            </w:r>
            <w:r w:rsidRPr="00CB2EC4">
              <w:rPr>
                <w:rFonts w:ascii="Times New Roman" w:hAnsi="Times New Roman" w:cs="Times New Roman"/>
              </w:rPr>
              <w:br/>
              <w:t>This is a conservative surgical approach involving removal of the uterus and cervix without extensive parametrial resection or lymph node dissection, suitable for low-risk cases. Radiotherapy is not indicated as the primary treatment in this scenario.</w:t>
            </w:r>
            <w:r w:rsidRPr="00CB2EC4">
              <w:rPr>
                <w:rFonts w:ascii="Times New Roman" w:hAnsi="Times New Roman" w:cs="Times New Roman"/>
              </w:rPr>
              <w:br/>
            </w:r>
            <w:r w:rsidRPr="00CB2EC4">
              <w:rPr>
                <w:rFonts w:ascii="Times New Roman" w:hAnsi="Times New Roman" w:cs="Times New Roman"/>
              </w:rPr>
              <w:br/>
              <w:t>Basis: "Stage IA1 LVSI-negative FIGO 2018 without fertility preservation: extrafascial hysterectomy" (Source: similarity 0.418 fragment).</w:t>
            </w:r>
          </w:p>
        </w:tc>
        <w:tc>
          <w:tcPr>
            <w:tcW w:w="1152" w:type="dxa"/>
            <w:vAlign w:val="center"/>
          </w:tcPr>
          <w:p w14:paraId="575F94B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8DA589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84DC8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532B17A" w14:textId="77777777" w:rsidTr="00547D77">
        <w:tc>
          <w:tcPr>
            <w:tcW w:w="2160" w:type="dxa"/>
            <w:vAlign w:val="center"/>
          </w:tcPr>
          <w:p w14:paraId="64E217BE"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0B5B2C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with stage IA1 cervical cancer who are negative for lymphovascular space invasion (LVSI-negative) and do not wish to preserve fertility, the recommended treatment options are:</w:t>
            </w:r>
            <w:r w:rsidRPr="00CB2EC4">
              <w:rPr>
                <w:rFonts w:ascii="Times New Roman" w:hAnsi="Times New Roman" w:cs="Times New Roman"/>
              </w:rPr>
              <w:br/>
            </w:r>
            <w:r w:rsidRPr="00CB2EC4">
              <w:rPr>
                <w:rFonts w:ascii="Times New Roman" w:hAnsi="Times New Roman" w:cs="Times New Roman"/>
              </w:rPr>
              <w:br/>
              <w:t xml:space="preserve">- Extrafascial total hysterectomy  </w:t>
            </w:r>
            <w:r w:rsidRPr="00CB2EC4">
              <w:rPr>
                <w:rFonts w:ascii="Times New Roman" w:hAnsi="Times New Roman" w:cs="Times New Roman"/>
              </w:rPr>
              <w:br/>
              <w:t xml:space="preserve">- Radiotherapy can be considered as an alternative, especially for patients with contraindications to surgery  </w:t>
            </w:r>
            <w:r w:rsidRPr="00CB2EC4">
              <w:rPr>
                <w:rFonts w:ascii="Times New Roman" w:hAnsi="Times New Roman" w:cs="Times New Roman"/>
              </w:rPr>
              <w:br/>
            </w:r>
            <w:r w:rsidRPr="00CB2EC4">
              <w:rPr>
                <w:rFonts w:ascii="Times New Roman" w:hAnsi="Times New Roman" w:cs="Times New Roman"/>
              </w:rPr>
              <w:br/>
              <w:t xml:space="preserve">Basis:  </w:t>
            </w:r>
            <w:r w:rsidRPr="00CB2EC4">
              <w:rPr>
                <w:rFonts w:ascii="Times New Roman" w:hAnsi="Times New Roman" w:cs="Times New Roman"/>
              </w:rPr>
              <w:br/>
              <w:t xml:space="preserve">→ Stage IA1 LVSI-negative FIGO 2018 without fertility preservation: Extrafascial total hysterectomy or radiotherapy  </w:t>
            </w:r>
            <w:r w:rsidRPr="00CB2EC4">
              <w:rPr>
                <w:rFonts w:ascii="Times New Roman" w:hAnsi="Times New Roman" w:cs="Times New Roman"/>
              </w:rPr>
              <w:br/>
              <w:t>→ Stage IA: Surgical treatment should be chosen for patients without surgical contraindications, while radiotherapy is indicated for those with contraindications to surgery</w:t>
            </w:r>
          </w:p>
        </w:tc>
        <w:tc>
          <w:tcPr>
            <w:tcW w:w="1152" w:type="dxa"/>
            <w:vAlign w:val="center"/>
          </w:tcPr>
          <w:p w14:paraId="6599806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CE0852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61F64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5FF1D05" w14:textId="77777777" w:rsidTr="00547D77">
        <w:tc>
          <w:tcPr>
            <w:tcW w:w="10656" w:type="dxa"/>
            <w:gridSpan w:val="5"/>
            <w:tcBorders>
              <w:bottom w:val="single" w:sz="6" w:space="0" w:color="auto"/>
            </w:tcBorders>
            <w:vAlign w:val="center"/>
          </w:tcPr>
          <w:p w14:paraId="74CF766D"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 xml:space="preserve">Question 52: In cervical cancer treatment, if the patient does not wish to preserve fertility, and the stage is ⅠA1 with </w:t>
            </w:r>
            <w:r w:rsidRPr="00CB2EC4">
              <w:rPr>
                <w:rFonts w:ascii="Times New Roman" w:hAnsi="Times New Roman" w:cs="Times New Roman"/>
                <w:b/>
              </w:rPr>
              <w:lastRenderedPageBreak/>
              <w:t>lymphovascular space invasion, what treatment measures should be taken?</w:t>
            </w:r>
          </w:p>
        </w:tc>
      </w:tr>
      <w:tr w:rsidR="00916494" w:rsidRPr="00CB2EC4" w14:paraId="3F5F251C" w14:textId="77777777" w:rsidTr="00547D77">
        <w:tc>
          <w:tcPr>
            <w:tcW w:w="2160" w:type="dxa"/>
            <w:vAlign w:val="center"/>
          </w:tcPr>
          <w:p w14:paraId="37093889"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size=512, Overlap=0 Using TokenTextSplitter</w:t>
            </w:r>
          </w:p>
        </w:tc>
        <w:tc>
          <w:tcPr>
            <w:tcW w:w="5040" w:type="dxa"/>
            <w:vAlign w:val="center"/>
          </w:tcPr>
          <w:p w14:paraId="77CAB2F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 Response: According to the document content (e.g., Table 4 in the FIGO and NCCN guidelines referenced in similarity 0.510 and 0.418 fragments), for patients with IA1 stage cervical cancer with lymphovascular space invasion (LVSI positive) and no desire to preserve fertility, the Level I recommendation is modified radical hysterectomy (Type B hysterectomy) plus pelvic lymph node dissection. This involves removal of the uterus, part of the parametrium, and pelvic lymph nodes to reduce recurrence risk. Radiation therapy may be considered as an alternative (Level II recommendation), but surgery is the preferred approach.  </w:t>
            </w:r>
            <w:r w:rsidRPr="00CB2EC4">
              <w:rPr>
                <w:rFonts w:ascii="Times New Roman" w:hAnsi="Times New Roman" w:cs="Times New Roman"/>
              </w:rPr>
              <w:br/>
              <w:t xml:space="preserve">  Basis: "IA1 stage with lymphovascular space invasion – Level I recommendation: Type B hysterectomy + radical radiotherapy (external beam radiotherapy + vaginal brachytherapy) + pelvic lymph node dissection" (similarity 0.558 fragment), and "IA1 stage LVSI positive FIGO 2018 no fertility preservation: 1. Modified radical hysterectomy + pelvic lymph node dissection" (similarity 0.418 fragment).</w:t>
            </w:r>
          </w:p>
        </w:tc>
        <w:tc>
          <w:tcPr>
            <w:tcW w:w="1152" w:type="dxa"/>
            <w:vAlign w:val="center"/>
          </w:tcPr>
          <w:p w14:paraId="363F92D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F1A42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33B97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D1B7413" w14:textId="77777777" w:rsidTr="00547D77">
        <w:tc>
          <w:tcPr>
            <w:tcW w:w="2160" w:type="dxa"/>
            <w:vAlign w:val="center"/>
          </w:tcPr>
          <w:p w14:paraId="401F67F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FE3F21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with stage IA1 cervical cancer accompanied by lymphovascular space invasion (LVSI positive) who do not wish to preserve fertility, the recommended treatment measures are:</w:t>
            </w:r>
            <w:r w:rsidRPr="00CB2EC4">
              <w:rPr>
                <w:rFonts w:ascii="Times New Roman" w:hAnsi="Times New Roman" w:cs="Times New Roman"/>
              </w:rPr>
              <w:br/>
            </w:r>
            <w:r w:rsidRPr="00CB2EC4">
              <w:rPr>
                <w:rFonts w:ascii="Times New Roman" w:hAnsi="Times New Roman" w:cs="Times New Roman"/>
              </w:rPr>
              <w:br/>
              <w:t xml:space="preserve">- Modified radical hysterectomy + pelvic lymphadenectomy  </w:t>
            </w:r>
            <w:r w:rsidRPr="00CB2EC4">
              <w:rPr>
                <w:rFonts w:ascii="Times New Roman" w:hAnsi="Times New Roman" w:cs="Times New Roman"/>
              </w:rPr>
              <w:br/>
              <w:t>- Or radiotherapy (radical radiotherapy, including external beam radiotherapy + vaginal brachytherapy)</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Basis:  </w:t>
            </w:r>
            <w:r w:rsidRPr="00CB2EC4">
              <w:rPr>
                <w:rFonts w:ascii="Times New Roman" w:hAnsi="Times New Roman" w:cs="Times New Roman"/>
              </w:rPr>
              <w:br/>
              <w:t xml:space="preserve">- For stage IA1 with lymphovascular space invasion, the Grade I recommendation is Type B hysterectomy (i.e., modified radical hysterectomy) + radical radiotherapy (external beam radiotherapy + vaginal brachytherapy) + pelvic lymphadenectomy.  </w:t>
            </w:r>
            <w:r w:rsidRPr="00CB2EC4">
              <w:rPr>
                <w:rFonts w:ascii="Times New Roman" w:hAnsi="Times New Roman" w:cs="Times New Roman"/>
              </w:rPr>
              <w:br/>
              <w:t>- It is explicitly stated: Stage IA1, LVSI positive, FIGO 2018, no fertility preservation → 1. Modified radical hysterectomy + pelvic lymphadenectomy; 2. Radiotherapy.</w:t>
            </w:r>
          </w:p>
        </w:tc>
        <w:tc>
          <w:tcPr>
            <w:tcW w:w="1152" w:type="dxa"/>
            <w:vAlign w:val="center"/>
          </w:tcPr>
          <w:p w14:paraId="36CBAFF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F29FBA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A92C7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C648C42" w14:textId="77777777" w:rsidTr="00547D77">
        <w:tc>
          <w:tcPr>
            <w:tcW w:w="10656" w:type="dxa"/>
            <w:gridSpan w:val="5"/>
            <w:tcBorders>
              <w:bottom w:val="single" w:sz="6" w:space="0" w:color="auto"/>
            </w:tcBorders>
            <w:vAlign w:val="center"/>
          </w:tcPr>
          <w:p w14:paraId="4140C22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53: In cervical cancer treatment, if the patient does not wish to preserve fertility, and the stage is ⅠA2, what treatment measures should be taken?</w:t>
            </w:r>
          </w:p>
        </w:tc>
      </w:tr>
      <w:tr w:rsidR="00916494" w:rsidRPr="00CB2EC4" w14:paraId="6EF159E0" w14:textId="77777777" w:rsidTr="00547D77">
        <w:tc>
          <w:tcPr>
            <w:tcW w:w="2160" w:type="dxa"/>
            <w:vAlign w:val="center"/>
          </w:tcPr>
          <w:p w14:paraId="6865AE1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FD5B5B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IA2 stage cervical cancer patients who do not wish to preserve fertility:</w:t>
            </w:r>
            <w:r w:rsidRPr="00CB2EC4">
              <w:rPr>
                <w:rFonts w:ascii="Times New Roman" w:hAnsi="Times New Roman" w:cs="Times New Roman"/>
              </w:rPr>
              <w:br/>
            </w:r>
            <w:r w:rsidRPr="00CB2EC4">
              <w:rPr>
                <w:rFonts w:ascii="Times New Roman" w:hAnsi="Times New Roman" w:cs="Times New Roman"/>
              </w:rPr>
              <w:br/>
              <w:t xml:space="preserve">- Level I recommendation: Type B hysterectomy (modified radical hysterectomy) + pelvic lymphadenectomy  </w:t>
            </w:r>
            <w:r w:rsidRPr="00CB2EC4">
              <w:rPr>
                <w:rFonts w:ascii="Times New Roman" w:hAnsi="Times New Roman" w:cs="Times New Roman"/>
              </w:rPr>
              <w:br/>
              <w:t xml:space="preserve">  This includes removal of the uterus, partial parametrial tissue, and pelvic lymph node dissection to address potential lymph node metastasis.</w:t>
            </w:r>
            <w:r w:rsidRPr="00CB2EC4">
              <w:rPr>
                <w:rFonts w:ascii="Times New Roman" w:hAnsi="Times New Roman" w:cs="Times New Roman"/>
              </w:rPr>
              <w:br/>
            </w:r>
            <w:r w:rsidRPr="00CB2EC4">
              <w:rPr>
                <w:rFonts w:ascii="Times New Roman" w:hAnsi="Times New Roman" w:cs="Times New Roman"/>
              </w:rPr>
              <w:br/>
              <w:t xml:space="preserve">- Level II recommendation (for low-risk cases): Simple total hysterectomy + pelvic lymphadenectomy or sentinel lymph node biopsy  </w:t>
            </w:r>
            <w:r w:rsidRPr="00CB2EC4">
              <w:rPr>
                <w:rFonts w:ascii="Times New Roman" w:hAnsi="Times New Roman" w:cs="Times New Roman"/>
              </w:rPr>
              <w:br/>
              <w:t xml:space="preserve">  Type B hysterectomy remains the primary recommended option.</w:t>
            </w:r>
            <w:r w:rsidRPr="00CB2EC4">
              <w:rPr>
                <w:rFonts w:ascii="Times New Roman" w:hAnsi="Times New Roman" w:cs="Times New Roman"/>
              </w:rPr>
              <w:br/>
            </w:r>
            <w:r w:rsidRPr="00CB2EC4">
              <w:rPr>
                <w:rFonts w:ascii="Times New Roman" w:hAnsi="Times New Roman" w:cs="Times New Roman"/>
              </w:rPr>
              <w:br/>
              <w:t>Radiotherapy is not recommended as the first-line treatment in this scenario.</w:t>
            </w:r>
            <w:r w:rsidRPr="00CB2EC4">
              <w:rPr>
                <w:rFonts w:ascii="Times New Roman" w:hAnsi="Times New Roman" w:cs="Times New Roman"/>
              </w:rPr>
              <w:br/>
            </w:r>
            <w:r w:rsidRPr="00CB2EC4">
              <w:rPr>
                <w:rFonts w:ascii="Times New Roman" w:hAnsi="Times New Roman" w:cs="Times New Roman"/>
              </w:rPr>
              <w:br/>
              <w:t xml:space="preserve">Basis:  </w:t>
            </w:r>
            <w:r w:rsidRPr="00CB2EC4">
              <w:rPr>
                <w:rFonts w:ascii="Times New Roman" w:hAnsi="Times New Roman" w:cs="Times New Roman"/>
              </w:rPr>
              <w:br/>
              <w:t xml:space="preserve">- "IA2 stage Level I recommendation: Type B </w:t>
            </w:r>
            <w:r w:rsidRPr="00CB2EC4">
              <w:rPr>
                <w:rFonts w:ascii="Times New Roman" w:hAnsi="Times New Roman" w:cs="Times New Roman"/>
              </w:rPr>
              <w:lastRenderedPageBreak/>
              <w:t xml:space="preserve">hysterectomy + radical radiotherapy (external beam radiotherapy + vaginal brachytherapy) + pelvic lymphadenectomy" (similarity 0.558 fragment)  </w:t>
            </w:r>
            <w:r w:rsidRPr="00CB2EC4">
              <w:rPr>
                <w:rFonts w:ascii="Times New Roman" w:hAnsi="Times New Roman" w:cs="Times New Roman"/>
              </w:rPr>
              <w:br/>
              <w:t>- "IA2 stage FIGO 2018 without fertility preservation: Type B hysterectomy + pelvic lymphadenectomy" (similarity 0.418 fragment)</w:t>
            </w:r>
          </w:p>
        </w:tc>
        <w:tc>
          <w:tcPr>
            <w:tcW w:w="1152" w:type="dxa"/>
            <w:vAlign w:val="center"/>
          </w:tcPr>
          <w:p w14:paraId="64A8771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DED3F6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1A696B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A017753" w14:textId="77777777" w:rsidTr="00547D77">
        <w:tc>
          <w:tcPr>
            <w:tcW w:w="2160" w:type="dxa"/>
            <w:vAlign w:val="center"/>
          </w:tcPr>
          <w:p w14:paraId="3C11CD5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1FEE49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with stage IA2 cervical cancer who do not wish to preserve fertility, the recommended treatment measures are:</w:t>
            </w:r>
            <w:r w:rsidRPr="00CB2EC4">
              <w:rPr>
                <w:rFonts w:ascii="Times New Roman" w:hAnsi="Times New Roman" w:cs="Times New Roman"/>
              </w:rPr>
              <w:br/>
            </w:r>
            <w:r w:rsidRPr="00CB2EC4">
              <w:rPr>
                <w:rFonts w:ascii="Times New Roman" w:hAnsi="Times New Roman" w:cs="Times New Roman"/>
              </w:rPr>
              <w:br/>
              <w:t>- Type B hysterectomy (modified radical hysterectomy) plus pelvic lymphadenectomy.</w:t>
            </w:r>
            <w:r w:rsidRPr="00CB2EC4">
              <w:rPr>
                <w:rFonts w:ascii="Times New Roman" w:hAnsi="Times New Roman" w:cs="Times New Roman"/>
              </w:rPr>
              <w:br/>
            </w:r>
            <w:r w:rsidRPr="00CB2EC4">
              <w:rPr>
                <w:rFonts w:ascii="Times New Roman" w:hAnsi="Times New Roman" w:cs="Times New Roman"/>
              </w:rPr>
              <w:br/>
              <w:t>The basis comes from relevant descriptions in the document:</w:t>
            </w:r>
            <w:r w:rsidRPr="00CB2EC4">
              <w:rPr>
                <w:rFonts w:ascii="Times New Roman" w:hAnsi="Times New Roman" w:cs="Times New Roman"/>
              </w:rPr>
              <w:br/>
              <w:t>- The [similarity: 0.600] fragment states: "Stage IA2 Grade I recommendation: Type B hysterectomy c,h + radical radiotherapy (external beam radiotherapy + vaginal brachytherapy) pelvic lymphadenectomy [22]."</w:t>
            </w:r>
            <w:r w:rsidRPr="00CB2EC4">
              <w:rPr>
                <w:rFonts w:ascii="Times New Roman" w:hAnsi="Times New Roman" w:cs="Times New Roman"/>
              </w:rPr>
              <w:br/>
              <w:t>- The [similarity: 0.488] fragment clearly indicates: "Stage IA2 FIGO 2018 without fertility preservation: Type B hysterectomy c,h + pelvic lymphadenectomy."</w:t>
            </w:r>
            <w:r w:rsidRPr="00CB2EC4">
              <w:rPr>
                <w:rFonts w:ascii="Times New Roman" w:hAnsi="Times New Roman" w:cs="Times New Roman"/>
              </w:rPr>
              <w:br/>
              <w:t>- The document explains that "Type B hysterectomy" refers to modified radical hysterectomy.</w:t>
            </w:r>
            <w:r w:rsidRPr="00CB2EC4">
              <w:rPr>
                <w:rFonts w:ascii="Times New Roman" w:hAnsi="Times New Roman" w:cs="Times New Roman"/>
              </w:rPr>
              <w:br/>
            </w:r>
            <w:r w:rsidRPr="00CB2EC4">
              <w:rPr>
                <w:rFonts w:ascii="Times New Roman" w:hAnsi="Times New Roman" w:cs="Times New Roman"/>
              </w:rPr>
              <w:br/>
              <w:t>Therefore, the standard treatment regimen is Type B hysterectomy plus pelvic lymphadenectomy.</w:t>
            </w:r>
          </w:p>
        </w:tc>
        <w:tc>
          <w:tcPr>
            <w:tcW w:w="1152" w:type="dxa"/>
            <w:vAlign w:val="center"/>
          </w:tcPr>
          <w:p w14:paraId="7A93220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8C7B5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63D57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7FB7256" w14:textId="77777777" w:rsidTr="00547D77">
        <w:tc>
          <w:tcPr>
            <w:tcW w:w="10656" w:type="dxa"/>
            <w:gridSpan w:val="5"/>
            <w:tcBorders>
              <w:bottom w:val="single" w:sz="6" w:space="0" w:color="auto"/>
            </w:tcBorders>
            <w:vAlign w:val="center"/>
          </w:tcPr>
          <w:p w14:paraId="454B620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54: In cervical cancer treatment, if the patient does not wish to preserve fertility, and the stage is ⅠB1, ⅡA1, or IB2, what treatment measures should be taken?</w:t>
            </w:r>
          </w:p>
        </w:tc>
      </w:tr>
      <w:tr w:rsidR="00916494" w:rsidRPr="00CB2EC4" w14:paraId="23D893C3" w14:textId="77777777" w:rsidTr="00547D77">
        <w:tc>
          <w:tcPr>
            <w:tcW w:w="2160" w:type="dxa"/>
            <w:vAlign w:val="center"/>
          </w:tcPr>
          <w:p w14:paraId="045E535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1B0F60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with cervical cancer who do not wish to preserve fertility and have stage IB1, IIA1, or IB2 disease, the recommended treatment is:</w:t>
            </w:r>
            <w:r w:rsidRPr="00CB2EC4">
              <w:rPr>
                <w:rFonts w:ascii="Times New Roman" w:hAnsi="Times New Roman" w:cs="Times New Roman"/>
              </w:rPr>
              <w:br/>
            </w:r>
            <w:r w:rsidRPr="00CB2EC4">
              <w:rPr>
                <w:rFonts w:ascii="Times New Roman" w:hAnsi="Times New Roman" w:cs="Times New Roman"/>
              </w:rPr>
              <w:lastRenderedPageBreak/>
              <w:br/>
              <w:t>- **Level I recommendation**: Radical hysterectomy (type C) plus pelvic lymphadenectomy. This involves extensive removal of the uterus, parametrial tissues, upper vagina, and pelvic lymph nodes. Adjuvant radical radiotherapy (external beam radiotherapy + vaginal brachytherapy) ± platinum-based concurrent chemotherapy may be added, especially for high-risk features such as large tumor size or positive lymphovascular space invasion (LVSI), but surgery remains the core treatment.</w:t>
            </w:r>
            <w:r w:rsidRPr="00CB2EC4">
              <w:rPr>
                <w:rFonts w:ascii="Times New Roman" w:hAnsi="Times New Roman" w:cs="Times New Roman"/>
              </w:rPr>
              <w:br/>
              <w:t>- **Level II recommendation**: Para-aortic lymphadenectomy.</w:t>
            </w:r>
            <w:r w:rsidRPr="00CB2EC4">
              <w:rPr>
                <w:rFonts w:ascii="Times New Roman" w:hAnsi="Times New Roman" w:cs="Times New Roman"/>
              </w:rPr>
              <w:br/>
            </w:r>
            <w:r w:rsidRPr="00CB2EC4">
              <w:rPr>
                <w:rFonts w:ascii="Times New Roman" w:hAnsi="Times New Roman" w:cs="Times New Roman"/>
              </w:rPr>
              <w:br/>
              <w:t xml:space="preserve">Evidence:  </w:t>
            </w:r>
            <w:r w:rsidRPr="00CB2EC4">
              <w:rPr>
                <w:rFonts w:ascii="Times New Roman" w:hAnsi="Times New Roman" w:cs="Times New Roman"/>
              </w:rPr>
              <w:br/>
              <w:t xml:space="preserve">- "For stage IB1, IB2, IIA1: Level I recommendation—Type C hysterectomy + pelvic lymph node dissection + adjuvant radical radiotherapy (external beam radiotherapy + vaginal brachytherapy) ± platinum-based concurrent chemotherapy" (similarity 0.558 fragment).  </w:t>
            </w:r>
            <w:r w:rsidRPr="00CB2EC4">
              <w:rPr>
                <w:rFonts w:ascii="Times New Roman" w:hAnsi="Times New Roman" w:cs="Times New Roman"/>
              </w:rPr>
              <w:br/>
              <w:t>- "Stage IB1, FIGO 2018, no fertility preservation: Type C radical hysterectomy + pelvic lymph node dissection" (similarity 0.494 fragment).</w:t>
            </w:r>
          </w:p>
        </w:tc>
        <w:tc>
          <w:tcPr>
            <w:tcW w:w="1152" w:type="dxa"/>
            <w:vAlign w:val="center"/>
          </w:tcPr>
          <w:p w14:paraId="6CDAF27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69562A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BF57D6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164FBB8" w14:textId="77777777" w:rsidTr="00547D77">
        <w:tc>
          <w:tcPr>
            <w:tcW w:w="2160" w:type="dxa"/>
            <w:vAlign w:val="center"/>
          </w:tcPr>
          <w:p w14:paraId="46A97449"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DDEE33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with stage IB1, IIA1, or IB2 cervical cancer who do not wish to preserve fertility, the recommended treatment is type C radical hysterectomy plus pelvic lymphadenectomy.</w:t>
            </w:r>
            <w:r w:rsidRPr="00CB2EC4">
              <w:rPr>
                <w:rFonts w:ascii="Times New Roman" w:hAnsi="Times New Roman" w:cs="Times New Roman"/>
              </w:rPr>
              <w:br/>
            </w:r>
            <w:r w:rsidRPr="00CB2EC4">
              <w:rPr>
                <w:rFonts w:ascii="Times New Roman" w:hAnsi="Times New Roman" w:cs="Times New Roman"/>
              </w:rPr>
              <w:br/>
              <w:t xml:space="preserve">- Basis: The [similarity: 0.600] fragment states: "Stage IB1, IB2, IIA1 Grade I recommendation: Type C hysterectomy c,h + pelvic lymphadenectomy + radical radiotherapy (external beam radiotherapy + vaginal brachytherapy) ± platinum-based concurrent </w:t>
            </w:r>
            <w:r w:rsidRPr="00CB2EC4">
              <w:rPr>
                <w:rFonts w:ascii="Times New Roman" w:hAnsi="Times New Roman" w:cs="Times New Roman"/>
              </w:rPr>
              <w:lastRenderedPageBreak/>
              <w:t>chemotherapy [21] + pelvic lymphadenectomy (category 1) d,e." Meanwhile, the [similarity: 0.442] fragment clearly states: "Stage IB1, IIA1 FIGO 2018 without fertility preservation: Type C radical hysterectomy + pelvic lymphadenectomy." The management approach for stage IB2 patients is the same (as described in the [similarity: 0.442] fragment).</w:t>
            </w:r>
          </w:p>
        </w:tc>
        <w:tc>
          <w:tcPr>
            <w:tcW w:w="1152" w:type="dxa"/>
            <w:vAlign w:val="center"/>
          </w:tcPr>
          <w:p w14:paraId="1ABEC45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37FFD7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02BF50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119C1DF9" w14:textId="77777777" w:rsidTr="00547D77">
        <w:tc>
          <w:tcPr>
            <w:tcW w:w="10656" w:type="dxa"/>
            <w:gridSpan w:val="5"/>
            <w:tcBorders>
              <w:bottom w:val="single" w:sz="6" w:space="0" w:color="auto"/>
            </w:tcBorders>
            <w:vAlign w:val="center"/>
          </w:tcPr>
          <w:p w14:paraId="0A198F5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55: In cervical cancer treatment, if the patient does not wish to preserve fertility, and the stage is ⅠB3 or ⅡA2, what treatment measures should be taken?</w:t>
            </w:r>
          </w:p>
        </w:tc>
      </w:tr>
      <w:tr w:rsidR="00916494" w:rsidRPr="00CB2EC4" w14:paraId="620A9D1A" w14:textId="77777777" w:rsidTr="00547D77">
        <w:tc>
          <w:tcPr>
            <w:tcW w:w="2160" w:type="dxa"/>
            <w:vAlign w:val="center"/>
          </w:tcPr>
          <w:p w14:paraId="2D36A37D"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42AB79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cervical cancer patients who do not wish to preserve fertility and are staged as IB3 or IIA2, the level I recommended treatment is radical radiotherapy (external beam radiotherapy + vaginal brachytherapy) ± platinum-based concurrent chemotherapy.</w:t>
            </w:r>
            <w:r w:rsidRPr="00CB2EC4">
              <w:rPr>
                <w:rFonts w:ascii="Times New Roman" w:hAnsi="Times New Roman" w:cs="Times New Roman"/>
              </w:rPr>
              <w:br/>
            </w:r>
            <w:r w:rsidRPr="00CB2EC4">
              <w:rPr>
                <w:rFonts w:ascii="Times New Roman" w:hAnsi="Times New Roman" w:cs="Times New Roman"/>
              </w:rPr>
              <w:br/>
              <w:t>according to the document: "For IB3 and IIA2 stages, Level I recommendation: radical radiotherapy (external beam radiotherapy + vaginal brachytherapy) ± platinum-based concurrent chemotherapy." additionally, "For IB3 and IIA2 stages (FIGO 2018) without fertility preservation: concurrent chemoradiotherapy" supports this recommendation, where "concurrent chemoradiotherapy" is equivalent to concurrent chemoradiotherapy.</w:t>
            </w:r>
          </w:p>
        </w:tc>
        <w:tc>
          <w:tcPr>
            <w:tcW w:w="1152" w:type="dxa"/>
            <w:vAlign w:val="center"/>
          </w:tcPr>
          <w:p w14:paraId="15D1289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410014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50EC0E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14B8BB44" w14:textId="77777777" w:rsidTr="00547D77">
        <w:tc>
          <w:tcPr>
            <w:tcW w:w="2160" w:type="dxa"/>
            <w:vAlign w:val="center"/>
          </w:tcPr>
          <w:p w14:paraId="4C39EA1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4D5CFD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with cervical cancer staged as IB3 or IIA2 who do not wish to preserve fertility, the recommended treatment is concurrent chemoradiotherapy (i.e., concurrent chemoradiation).</w:t>
            </w:r>
            <w:r w:rsidRPr="00CB2EC4">
              <w:rPr>
                <w:rFonts w:ascii="Times New Roman" w:hAnsi="Times New Roman" w:cs="Times New Roman"/>
              </w:rPr>
              <w:br/>
            </w:r>
            <w:r w:rsidRPr="00CB2EC4">
              <w:rPr>
                <w:rFonts w:ascii="Times New Roman" w:hAnsi="Times New Roman" w:cs="Times New Roman"/>
              </w:rPr>
              <w:br/>
              <w:t xml:space="preserve">- Basis: Relevant literature states, "For locally advanced cervical cancer (stages IB3 and IIA2), concurrent chemoradiotherapy is the preferred </w:t>
            </w:r>
            <w:r w:rsidRPr="00CB2EC4">
              <w:rPr>
                <w:rFonts w:ascii="Times New Roman" w:hAnsi="Times New Roman" w:cs="Times New Roman"/>
              </w:rPr>
              <w:lastRenderedPageBreak/>
              <w:t>treatment." Additionally, another source explicitly notes, "FIGO 2018 stages IB3 and IIA2 without fertility preservation: concurrent chemoradiotherapy." In the document, "concurrent chemoradiotherapy" or "concurrent chemoradiation" refers to radiotherapy combined with platinum-based chemotherapy.</w:t>
            </w:r>
          </w:p>
        </w:tc>
        <w:tc>
          <w:tcPr>
            <w:tcW w:w="1152" w:type="dxa"/>
            <w:vAlign w:val="center"/>
          </w:tcPr>
          <w:p w14:paraId="79943FE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763787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E119CC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04E616EC" w14:textId="77777777" w:rsidTr="00547D77">
        <w:tc>
          <w:tcPr>
            <w:tcW w:w="10656" w:type="dxa"/>
            <w:gridSpan w:val="5"/>
            <w:tcBorders>
              <w:bottom w:val="single" w:sz="6" w:space="0" w:color="auto"/>
            </w:tcBorders>
            <w:vAlign w:val="center"/>
          </w:tcPr>
          <w:p w14:paraId="0DF4D6E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56: In cervical cancer treatment, if the patient wishes to preserve fertility, and the stage is ⅠA1 without lymphovascular space invasion, what treatment measures should be taken?</w:t>
            </w:r>
          </w:p>
        </w:tc>
      </w:tr>
      <w:tr w:rsidR="00916494" w:rsidRPr="00CB2EC4" w14:paraId="2A407869" w14:textId="77777777" w:rsidTr="00547D77">
        <w:tc>
          <w:tcPr>
            <w:tcW w:w="2160" w:type="dxa"/>
            <w:vAlign w:val="center"/>
          </w:tcPr>
          <w:p w14:paraId="0A0A0087"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CC2F5A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For patients with FIGO IA1 cervical cancer without lymphovascular space invasion (LVSI negative) who wish to preserve fertility, the recommended treatment is cervical conization. After the procedure, ensure negative margins and conduct regular follow-up. For example:  </w:t>
            </w:r>
            <w:r w:rsidRPr="00CB2EC4">
              <w:rPr>
                <w:rFonts w:ascii="Times New Roman" w:hAnsi="Times New Roman" w:cs="Times New Roman"/>
              </w:rPr>
              <w:br/>
              <w:t xml:space="preserve">- The segment with similarity 0.539 states: “IA1 stage, fertility preservation desired, LVSI (-): cervical conization may be performed; follow-up if margins are negative.”  </w:t>
            </w:r>
            <w:r w:rsidRPr="00CB2EC4">
              <w:rPr>
                <w:rFonts w:ascii="Times New Roman" w:hAnsi="Times New Roman" w:cs="Times New Roman"/>
              </w:rPr>
              <w:br/>
              <w:t xml:space="preserve">- The segment with similarity 0.464 further confirms: “IA1 stage, LVSI negative, FIGO 2018, fertility preservation: conization.”  </w:t>
            </w:r>
            <w:r w:rsidRPr="00CB2EC4">
              <w:rPr>
                <w:rFonts w:ascii="Times New Roman" w:hAnsi="Times New Roman" w:cs="Times New Roman"/>
              </w:rPr>
              <w:br/>
              <w:t>This approach applies to cases with tumor invasion depth ≤3mm and no vascular infiltration, aiming to remove the lesion while preserving the uterus.</w:t>
            </w:r>
          </w:p>
        </w:tc>
        <w:tc>
          <w:tcPr>
            <w:tcW w:w="1152" w:type="dxa"/>
            <w:vAlign w:val="center"/>
          </w:tcPr>
          <w:p w14:paraId="1E5649B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564FE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448F7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A1D0600" w14:textId="77777777" w:rsidTr="00547D77">
        <w:tc>
          <w:tcPr>
            <w:tcW w:w="2160" w:type="dxa"/>
            <w:vAlign w:val="center"/>
          </w:tcPr>
          <w:p w14:paraId="0658261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EBB1BC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treatment of cervical cancer, if the patient wishes to preserve fertility, is staged as IA1 without lymphovascular space invasion, the recommended treatment is conization (cone biopsy) with negative margins (at least 3 mm negative margin). If margins are positive, repeat conization or trachelectomy is indicated.</w:t>
            </w:r>
            <w:r w:rsidRPr="00CB2EC4">
              <w:rPr>
                <w:rFonts w:ascii="Times New Roman" w:hAnsi="Times New Roman" w:cs="Times New Roman"/>
              </w:rPr>
              <w:br/>
              <w:t xml:space="preserve">- Basis: Multiple references in the document (e.g., segments with similarity 0.604, 0.494) state that for </w:t>
            </w:r>
            <w:r w:rsidRPr="00CB2EC4">
              <w:rPr>
                <w:rFonts w:ascii="Times New Roman" w:hAnsi="Times New Roman" w:cs="Times New Roman"/>
              </w:rPr>
              <w:lastRenderedPageBreak/>
              <w:t>IA1 stage with negative lymphovascular space invasion (LVSI negative), conization is a Level I recommendation for fertility preservation. The NCCN guidelines also support this approach.</w:t>
            </w:r>
          </w:p>
        </w:tc>
        <w:tc>
          <w:tcPr>
            <w:tcW w:w="1152" w:type="dxa"/>
            <w:vAlign w:val="center"/>
          </w:tcPr>
          <w:p w14:paraId="6B26453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63A1C3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59E7C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940DA19" w14:textId="77777777" w:rsidTr="00547D77">
        <w:tc>
          <w:tcPr>
            <w:tcW w:w="10656" w:type="dxa"/>
            <w:gridSpan w:val="5"/>
            <w:tcBorders>
              <w:bottom w:val="single" w:sz="6" w:space="0" w:color="auto"/>
            </w:tcBorders>
            <w:vAlign w:val="center"/>
          </w:tcPr>
          <w:p w14:paraId="167BDFA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57: In cervical cancer treatment, if the patient wishes to preserve fertility, and the stage is ⅠA1 with lymphovascular space invasion or ⅠA2, what treatment measures should be taken?</w:t>
            </w:r>
          </w:p>
        </w:tc>
      </w:tr>
      <w:tr w:rsidR="00916494" w:rsidRPr="00CB2EC4" w14:paraId="2A361C43" w14:textId="77777777" w:rsidTr="00547D77">
        <w:tc>
          <w:tcPr>
            <w:tcW w:w="2160" w:type="dxa"/>
            <w:vAlign w:val="center"/>
          </w:tcPr>
          <w:p w14:paraId="37FBBA4A"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F266E1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in the treatment of cervical cancer, if the patient wishes to preserve fertility and is staged as FIGO IA1 with lymphovascular space invasion (LVSI positive) or IA2, the recommended treatment is radical trachelectomy with pelvic lymphadenectomy. For example:  </w:t>
            </w:r>
            <w:r w:rsidRPr="00CB2EC4">
              <w:rPr>
                <w:rFonts w:ascii="Times New Roman" w:hAnsi="Times New Roman" w:cs="Times New Roman"/>
              </w:rPr>
              <w:br/>
              <w:t xml:space="preserve">- In the [similarity: 0.539] segment, it states: “Stage IA2... For those wishing to preserve fertility: (1) cervical conization + laparoscopic (or extraperitoneal) pelvic lymphadenectomy. (2) Radical trachelectomy via abdominal, vaginal, or laparoscopic approach with pelvic lymphadenectomy.”  </w:t>
            </w:r>
            <w:r w:rsidRPr="00CB2EC4">
              <w:rPr>
                <w:rFonts w:ascii="Times New Roman" w:hAnsi="Times New Roman" w:cs="Times New Roman"/>
              </w:rPr>
              <w:br/>
              <w:t xml:space="preserve">- In the [similarity: 0.464] segment, for IA1 with LVSI positive, it notes: “NCCN 2019 fertility-sparing: conization + pelvic lymph node dissection + radical trachelectomy + pelvic lymph node dissection.”  </w:t>
            </w:r>
            <w:r w:rsidRPr="00CB2EC4">
              <w:rPr>
                <w:rFonts w:ascii="Times New Roman" w:hAnsi="Times New Roman" w:cs="Times New Roman"/>
              </w:rPr>
              <w:br/>
              <w:t>This approach applies to cases with invasion depth &gt;3 mm but ≤5 mm (IA2) or IA1 with LVSI positive, and requires lymph node assessment to reduce recurrence risk.</w:t>
            </w:r>
          </w:p>
        </w:tc>
        <w:tc>
          <w:tcPr>
            <w:tcW w:w="1152" w:type="dxa"/>
            <w:vAlign w:val="center"/>
          </w:tcPr>
          <w:p w14:paraId="105B487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8F7053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78F297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28CC876F" w14:textId="77777777" w:rsidTr="00547D77">
        <w:tc>
          <w:tcPr>
            <w:tcW w:w="2160" w:type="dxa"/>
            <w:vAlign w:val="center"/>
          </w:tcPr>
          <w:p w14:paraId="78E6F700"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F9EB1D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in the treatment of cervical cancer, if the patient wishes to preserve fertility and is staged as IA1 with lymphovascular space invasion or IA2, the recommended treatment is radical trachelectomy combined with pelvic lymphadenectomy. The surgery can be performed via abdominal, vaginal, or laparoscopic approach, ensuring negative pathological </w:t>
            </w:r>
            <w:r w:rsidRPr="00CB2EC4">
              <w:rPr>
                <w:rFonts w:ascii="Times New Roman" w:hAnsi="Times New Roman" w:cs="Times New Roman"/>
              </w:rPr>
              <w:lastRenderedPageBreak/>
              <w:t>lymph nodes.</w:t>
            </w:r>
            <w:r w:rsidRPr="00CB2EC4">
              <w:rPr>
                <w:rFonts w:ascii="Times New Roman" w:hAnsi="Times New Roman" w:cs="Times New Roman"/>
              </w:rPr>
              <w:br/>
              <w:t>- Basis: The document explicitly states (e.g., in passages with similarity scores of 0.604, 0.509) that for IA1 with positive LVSI or IA2, pelvic lymph node dissection is required, and for those wishing to preserve fertility, radical trachelectomy plus pelvic lymphadenectomy is indicated (such as "patients wishing to preserve fertility may choose radical trachelectomy plus pelvic lymph node dissection").</w:t>
            </w:r>
          </w:p>
        </w:tc>
        <w:tc>
          <w:tcPr>
            <w:tcW w:w="1152" w:type="dxa"/>
            <w:vAlign w:val="center"/>
          </w:tcPr>
          <w:p w14:paraId="16193BE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11AF81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2AD2E0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141C42D5" w14:textId="77777777" w:rsidTr="00547D77">
        <w:tc>
          <w:tcPr>
            <w:tcW w:w="10656" w:type="dxa"/>
            <w:gridSpan w:val="5"/>
            <w:tcBorders>
              <w:bottom w:val="single" w:sz="6" w:space="0" w:color="auto"/>
            </w:tcBorders>
            <w:vAlign w:val="center"/>
          </w:tcPr>
          <w:p w14:paraId="49747794"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58: In cervical cancer treatment, if the patient wishes to preserve fertility, and the stage is ⅠB1, what treatment measures should be taken?</w:t>
            </w:r>
          </w:p>
        </w:tc>
      </w:tr>
      <w:tr w:rsidR="00916494" w:rsidRPr="00CB2EC4" w14:paraId="2A31DEFE" w14:textId="77777777" w:rsidTr="00547D77">
        <w:tc>
          <w:tcPr>
            <w:tcW w:w="2160" w:type="dxa"/>
            <w:vAlign w:val="center"/>
          </w:tcPr>
          <w:p w14:paraId="1B3CA598"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0A9854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with stage IB1 cervical cancer who wish to preserve fertility, the recommended treatment is radical trachelectomy plus pelvic lymphadenectomy.</w:t>
            </w:r>
            <w:r w:rsidRPr="00CB2EC4">
              <w:rPr>
                <w:rFonts w:ascii="Times New Roman" w:hAnsi="Times New Roman" w:cs="Times New Roman"/>
              </w:rPr>
              <w:br/>
            </w:r>
            <w:r w:rsidRPr="00CB2EC4">
              <w:rPr>
                <w:rFonts w:ascii="Times New Roman" w:hAnsi="Times New Roman" w:cs="Times New Roman"/>
              </w:rPr>
              <w:br/>
              <w:t>- "Stage IB1 FIGO 2018 fertility-sparing: radical trachelectomy + pelvic lymphadenectomy".</w:t>
            </w:r>
            <w:r w:rsidRPr="00CB2EC4">
              <w:rPr>
                <w:rFonts w:ascii="Times New Roman" w:hAnsi="Times New Roman" w:cs="Times New Roman"/>
              </w:rPr>
              <w:br/>
              <w:t>- "For those wishing to preserve fertility: radical trachelectomy + pelvic lymphadenectomy".</w:t>
            </w:r>
            <w:r w:rsidRPr="00CB2EC4">
              <w:rPr>
                <w:rFonts w:ascii="Times New Roman" w:hAnsi="Times New Roman" w:cs="Times New Roman"/>
              </w:rPr>
              <w:br/>
              <w:t xml:space="preserve">  This treatment is suitable for patients with tumor diameter ≤2 cm, aiming to completely remove the lesion while preserving uterine function. The surgical approach may be open, laparoscopic, or robot-assisted.</w:t>
            </w:r>
          </w:p>
        </w:tc>
        <w:tc>
          <w:tcPr>
            <w:tcW w:w="1152" w:type="dxa"/>
            <w:vAlign w:val="center"/>
          </w:tcPr>
          <w:p w14:paraId="0269913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F5925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FC46B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6A6DDD2" w14:textId="77777777" w:rsidTr="00547D77">
        <w:tc>
          <w:tcPr>
            <w:tcW w:w="2160" w:type="dxa"/>
            <w:vAlign w:val="center"/>
          </w:tcPr>
          <w:p w14:paraId="564485D9"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DCFABE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treatment of cervical cancer, if the patient wishes to preserve fertility and is staged as IB1, the recommended treatment is radical trachelectomy (which may be performed vaginally, abdominally, or laparoscopically) combined with pelvic lymphadenectomy. The tumor should be exophytic with a diameter ≤4 cm (ideally ≤2 cm is preferred), and endophytic/cervical canal-type tumors should be excluded.</w:t>
            </w:r>
            <w:r w:rsidRPr="00CB2EC4">
              <w:rPr>
                <w:rFonts w:ascii="Times New Roman" w:hAnsi="Times New Roman" w:cs="Times New Roman"/>
              </w:rPr>
              <w:br/>
            </w:r>
            <w:r w:rsidRPr="00CB2EC4">
              <w:rPr>
                <w:rFonts w:ascii="Times New Roman" w:hAnsi="Times New Roman" w:cs="Times New Roman"/>
              </w:rPr>
              <w:lastRenderedPageBreak/>
              <w:t>- **Basis**: The document indicates (segments with similarity 0.607, 0.494, etc.) that for IB1 stage cervical cancer with fertility preservation, the surgical approach is "vaginal" radical trachelectomy, requiring resection of the cervix and parametrial tissue, and emphasizes individualized assessment of tumor growth pattern.</w:t>
            </w:r>
          </w:p>
        </w:tc>
        <w:tc>
          <w:tcPr>
            <w:tcW w:w="1152" w:type="dxa"/>
            <w:vAlign w:val="center"/>
          </w:tcPr>
          <w:p w14:paraId="4303719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62AC86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2565FD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7AB23C19" w14:textId="77777777" w:rsidTr="00547D77">
        <w:tc>
          <w:tcPr>
            <w:tcW w:w="10656" w:type="dxa"/>
            <w:gridSpan w:val="5"/>
            <w:tcBorders>
              <w:bottom w:val="single" w:sz="6" w:space="0" w:color="auto"/>
            </w:tcBorders>
            <w:vAlign w:val="center"/>
          </w:tcPr>
          <w:p w14:paraId="6A9895A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59: In cervical cancer treatment, if the patient wishes to preserve fertility, and the stage is ⅠB2, what treatment measures should be taken?</w:t>
            </w:r>
          </w:p>
        </w:tc>
      </w:tr>
      <w:tr w:rsidR="00916494" w:rsidRPr="00CB2EC4" w14:paraId="225BC6BA" w14:textId="77777777" w:rsidTr="00547D77">
        <w:tc>
          <w:tcPr>
            <w:tcW w:w="2160" w:type="dxa"/>
            <w:vAlign w:val="center"/>
          </w:tcPr>
          <w:p w14:paraId="22B884C5"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BCA2C7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treatment of cervical cancer, if the patient wishes to preserve fertility and is staged as IB2, the recommended treatment measures are:</w:t>
            </w:r>
            <w:r w:rsidRPr="00CB2EC4">
              <w:rPr>
                <w:rFonts w:ascii="Times New Roman" w:hAnsi="Times New Roman" w:cs="Times New Roman"/>
              </w:rPr>
              <w:br/>
            </w:r>
            <w:r w:rsidRPr="00CB2EC4">
              <w:rPr>
                <w:rFonts w:ascii="Times New Roman" w:hAnsi="Times New Roman" w:cs="Times New Roman"/>
              </w:rPr>
              <w:br/>
              <w:t>- Generally, fertility-sparing approaches are not recommended.</w:t>
            </w:r>
            <w:r w:rsidRPr="00CB2EC4">
              <w:rPr>
                <w:rFonts w:ascii="Times New Roman" w:hAnsi="Times New Roman" w:cs="Times New Roman"/>
              </w:rPr>
              <w:br/>
              <w:t>- Standard treatment is radical hysterectomy or concurrent chemoradiotherapy.</w:t>
            </w:r>
            <w:r w:rsidRPr="00CB2EC4">
              <w:rPr>
                <w:rFonts w:ascii="Times New Roman" w:hAnsi="Times New Roman" w:cs="Times New Roman"/>
              </w:rPr>
              <w:br/>
              <w:t xml:space="preserve">  - Contextual information emphasizes that IB2 stage (tumor diameter &gt;2 cm and ≤4 cm) carries a high risk of recurrence, making fertility preservation unfeasible.</w:t>
            </w:r>
            <w:r w:rsidRPr="00CB2EC4">
              <w:rPr>
                <w:rFonts w:ascii="Times New Roman" w:hAnsi="Times New Roman" w:cs="Times New Roman"/>
              </w:rPr>
              <w:br/>
              <w:t xml:space="preserve">  - Literature does not recommend conservative options such as radical trachelectomy; priority is given to radical surgery or chemoradiotherapy to control the disease.</w:t>
            </w:r>
          </w:p>
        </w:tc>
        <w:tc>
          <w:tcPr>
            <w:tcW w:w="1152" w:type="dxa"/>
            <w:vAlign w:val="center"/>
          </w:tcPr>
          <w:p w14:paraId="3617D1B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AD4BA6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DFF333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0D414D2C" w14:textId="77777777" w:rsidTr="00547D77">
        <w:tc>
          <w:tcPr>
            <w:tcW w:w="2160" w:type="dxa"/>
            <w:vAlign w:val="center"/>
          </w:tcPr>
          <w:p w14:paraId="35E3A4F0"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93B5D1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treatment of cervical cancer, if the patient wishes to preserve fertility and is staged as IB2, the following treatment measures may be considered:</w:t>
            </w:r>
            <w:r w:rsidRPr="00CB2EC4">
              <w:rPr>
                <w:rFonts w:ascii="Times New Roman" w:hAnsi="Times New Roman" w:cs="Times New Roman"/>
              </w:rPr>
              <w:br/>
            </w:r>
            <w:r w:rsidRPr="00CB2EC4">
              <w:rPr>
                <w:rFonts w:ascii="Times New Roman" w:hAnsi="Times New Roman" w:cs="Times New Roman"/>
              </w:rPr>
              <w:br/>
              <w:t>- Radical trachelectomy (abdominal or laparoscopic) combined with pelvic lymphadenectomy may be considered, but requires strict evaluation (tumor diameter ≤4 cm, exophytic type, no involvement of the lower uterine segment).</w:t>
            </w:r>
            <w:r w:rsidRPr="00CB2EC4">
              <w:rPr>
                <w:rFonts w:ascii="Times New Roman" w:hAnsi="Times New Roman" w:cs="Times New Roman"/>
              </w:rPr>
              <w:br/>
            </w:r>
            <w:r w:rsidRPr="00CB2EC4">
              <w:rPr>
                <w:rFonts w:ascii="Times New Roman" w:hAnsi="Times New Roman" w:cs="Times New Roman"/>
              </w:rPr>
              <w:lastRenderedPageBreak/>
              <w:t>- In the new staging system, fertility preservation in IB2 stage (tumor 2–4 cm) has limited feasibility and requires cautious patient selection.</w:t>
            </w:r>
            <w:r w:rsidRPr="00CB2EC4">
              <w:rPr>
                <w:rFonts w:ascii="Times New Roman" w:hAnsi="Times New Roman" w:cs="Times New Roman"/>
              </w:rPr>
              <w:br/>
            </w:r>
            <w:r w:rsidRPr="00CB2EC4">
              <w:rPr>
                <w:rFonts w:ascii="Times New Roman" w:hAnsi="Times New Roman" w:cs="Times New Roman"/>
              </w:rPr>
              <w:br/>
              <w:t>- Basis: The document states (segments with similarity 0.607, 0.486, etc.) that for IB2 stage, surgery may be performed "via abdominal or laparoscopic approach," but emphasizes that endophytic or cervical canal-type tumors are not suitable for uterine corpus preservation, and IB3 stage (&gt;4 cm) is not recommended for fertility-sparing treatment.</w:t>
            </w:r>
          </w:p>
        </w:tc>
        <w:tc>
          <w:tcPr>
            <w:tcW w:w="1152" w:type="dxa"/>
            <w:vAlign w:val="center"/>
          </w:tcPr>
          <w:p w14:paraId="756EDCE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1E31F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6F775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20D55C2" w14:textId="77777777" w:rsidTr="00547D77">
        <w:tc>
          <w:tcPr>
            <w:tcW w:w="10656" w:type="dxa"/>
            <w:gridSpan w:val="5"/>
            <w:tcBorders>
              <w:bottom w:val="single" w:sz="6" w:space="0" w:color="auto"/>
            </w:tcBorders>
            <w:vAlign w:val="center"/>
          </w:tcPr>
          <w:p w14:paraId="1D3A564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60: In cervical cancer treatment, if the stage is ⅡB, ⅢA, or ⅢB, what treatment measures should be taken?</w:t>
            </w:r>
          </w:p>
        </w:tc>
      </w:tr>
      <w:tr w:rsidR="00916494" w:rsidRPr="00CB2EC4" w14:paraId="12B4428C" w14:textId="77777777" w:rsidTr="00547D77">
        <w:tc>
          <w:tcPr>
            <w:tcW w:w="2160" w:type="dxa"/>
            <w:vAlign w:val="center"/>
          </w:tcPr>
          <w:p w14:paraId="349FDD8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401522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for cervical cancer treatment, if the staging is IIB, IIIA, or IIIB, the preferred treatment measure is concurrent chemoradiotherapy (external beam radiotherapy + vaginal brachytherapy ± platinum-based concurrent chemotherapy), regardless of fertility preservation. for example:  </w:t>
            </w:r>
            <w:r w:rsidRPr="00CB2EC4">
              <w:rPr>
                <w:rFonts w:ascii="Times New Roman" w:hAnsi="Times New Roman" w:cs="Times New Roman"/>
              </w:rPr>
              <w:br/>
              <w:t xml:space="preserve">- in the [similarity: 0.569] segment, it is stated: "for IB to IVA stage cervical cancer, the preferred treatment is concurrent chemoradiotherapy."  </w:t>
            </w:r>
            <w:r w:rsidRPr="00CB2EC4">
              <w:rPr>
                <w:rFonts w:ascii="Times New Roman" w:hAnsi="Times New Roman" w:cs="Times New Roman"/>
              </w:rPr>
              <w:br/>
              <w:t xml:space="preserve">- in the [similarity: 0.539] segment, it is explicitly noted: "IIB stage FIGO 2018 without fertility preservation: concurrent chemoradiotherapy" and "III stage FIGO 2018 without fertility preservation: concurrent chemoradiotherapy" (III stage includes IIIA and IIIB).  </w:t>
            </w:r>
            <w:r w:rsidRPr="00CB2EC4">
              <w:rPr>
                <w:rFonts w:ascii="Times New Roman" w:hAnsi="Times New Roman" w:cs="Times New Roman"/>
              </w:rPr>
              <w:br/>
              <w:t xml:space="preserve">- in the [similarity: 0.526] segment, it is supplemented: "IIB stage: radiotherapy is generally indicated... III stage: radiotherapy should be used for all, or combined chemotherapy and radiotherapy."  </w:t>
            </w:r>
            <w:r w:rsidRPr="00CB2EC4">
              <w:rPr>
                <w:rFonts w:ascii="Times New Roman" w:hAnsi="Times New Roman" w:cs="Times New Roman"/>
              </w:rPr>
              <w:br/>
              <w:t xml:space="preserve">this regimen applies to cases where the tumor extends beyond the cervix but without distant metastasis, </w:t>
            </w:r>
            <w:r w:rsidRPr="00CB2EC4">
              <w:rPr>
                <w:rFonts w:ascii="Times New Roman" w:hAnsi="Times New Roman" w:cs="Times New Roman"/>
              </w:rPr>
              <w:lastRenderedPageBreak/>
              <w:t>emphasizing combined chemoradiotherapy to improve efficacy.</w:t>
            </w:r>
          </w:p>
        </w:tc>
        <w:tc>
          <w:tcPr>
            <w:tcW w:w="1152" w:type="dxa"/>
            <w:vAlign w:val="center"/>
          </w:tcPr>
          <w:p w14:paraId="71B9E6D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3DA320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BF1C7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EF30C33" w14:textId="77777777" w:rsidTr="00547D77">
        <w:tc>
          <w:tcPr>
            <w:tcW w:w="2160" w:type="dxa"/>
            <w:vAlign w:val="center"/>
          </w:tcPr>
          <w:p w14:paraId="2869C09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C0F130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treatment of cervical cancer, for stages IIB, IIIA, or IIIB, the recommended treatment is:</w:t>
            </w:r>
            <w:r w:rsidRPr="00CB2EC4">
              <w:rPr>
                <w:rFonts w:ascii="Times New Roman" w:hAnsi="Times New Roman" w:cs="Times New Roman"/>
              </w:rPr>
              <w:br/>
            </w:r>
            <w:r w:rsidRPr="00CB2EC4">
              <w:rPr>
                <w:rFonts w:ascii="Times New Roman" w:hAnsi="Times New Roman" w:cs="Times New Roman"/>
              </w:rPr>
              <w:br/>
              <w:t>→ Primary treatment: concurrent chemoradiotherapy (external beam radiotherapy to the pelvis + brachytherapy + concurrent platinum-based chemotherapy).</w:t>
            </w:r>
            <w:r w:rsidRPr="00CB2EC4">
              <w:rPr>
                <w:rFonts w:ascii="Times New Roman" w:hAnsi="Times New Roman" w:cs="Times New Roman"/>
              </w:rPr>
              <w:br/>
            </w:r>
            <w:r w:rsidRPr="00CB2EC4">
              <w:rPr>
                <w:rFonts w:ascii="Times New Roman" w:hAnsi="Times New Roman" w:cs="Times New Roman"/>
              </w:rPr>
              <w:br/>
              <w:t>→ Surgery is not routinely recommended and is only considered in cases of limited radiotherapy resources or special circumstances.</w:t>
            </w:r>
            <w:r w:rsidRPr="00CB2EC4">
              <w:rPr>
                <w:rFonts w:ascii="Times New Roman" w:hAnsi="Times New Roman" w:cs="Times New Roman"/>
              </w:rPr>
              <w:br/>
            </w:r>
            <w:r w:rsidRPr="00CB2EC4">
              <w:rPr>
                <w:rFonts w:ascii="Times New Roman" w:hAnsi="Times New Roman" w:cs="Times New Roman"/>
              </w:rPr>
              <w:br/>
              <w:t>- Basis: The document explicitly states (e.g., similarity scores 0.607, 0.478) that for stage IIB and above, chemoradiotherapy is the mainstay, with level I recommendation being "pelvic EBRT + brachytherapy + concurrent platinum-based chemotherapy." Fertility-sparing approaches are not mentioned, as they are unsuitable for advanced-stage patients.</w:t>
            </w:r>
          </w:p>
        </w:tc>
        <w:tc>
          <w:tcPr>
            <w:tcW w:w="1152" w:type="dxa"/>
            <w:vAlign w:val="center"/>
          </w:tcPr>
          <w:p w14:paraId="69593AF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38370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A4CA5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D0538EA" w14:textId="77777777" w:rsidTr="00547D77">
        <w:tc>
          <w:tcPr>
            <w:tcW w:w="10656" w:type="dxa"/>
            <w:gridSpan w:val="5"/>
            <w:tcBorders>
              <w:bottom w:val="single" w:sz="6" w:space="0" w:color="auto"/>
            </w:tcBorders>
            <w:vAlign w:val="center"/>
          </w:tcPr>
          <w:p w14:paraId="3D27DAE4"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61: In cervical cancer treatment, if the stage is ⅢC1, what treatment measures should be taken?</w:t>
            </w:r>
          </w:p>
        </w:tc>
      </w:tr>
      <w:tr w:rsidR="00916494" w:rsidRPr="00CB2EC4" w14:paraId="7505D393" w14:textId="77777777" w:rsidTr="00547D77">
        <w:tc>
          <w:tcPr>
            <w:tcW w:w="2160" w:type="dxa"/>
            <w:vAlign w:val="center"/>
          </w:tcPr>
          <w:p w14:paraId="0C654BEB"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51E20D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For cervical cancer staged as IIIC1, the recommended treatment is concurrent chemoradiotherapy (i.e., external beam radiotherapy combined with vaginal brachytherapy, supplemented by platinum-based concurrent chemotherapy).  </w:t>
            </w:r>
            <w:r w:rsidRPr="00CB2EC4">
              <w:rPr>
                <w:rFonts w:ascii="Times New Roman" w:hAnsi="Times New Roman" w:cs="Times New Roman"/>
              </w:rPr>
              <w:br/>
              <w:t xml:space="preserve">- Basis:  </w:t>
            </w:r>
            <w:r w:rsidRPr="00CB2EC4">
              <w:rPr>
                <w:rFonts w:ascii="Times New Roman" w:hAnsi="Times New Roman" w:cs="Times New Roman"/>
              </w:rPr>
              <w:br/>
              <w:t xml:space="preserve">  - [Similarity: 0.459] The fragment states: "In FIGO staging, these are respectively III C1 and III C2... For locally advanced cervical cancer, guidelines recommend concurrent chemoradiotherapy as the first </w:t>
            </w:r>
            <w:r w:rsidRPr="00CB2EC4">
              <w:rPr>
                <w:rFonts w:ascii="Times New Roman" w:hAnsi="Times New Roman" w:cs="Times New Roman"/>
              </w:rPr>
              <w:lastRenderedPageBreak/>
              <w:t xml:space="preserve">choice."  </w:t>
            </w:r>
            <w:r w:rsidRPr="00CB2EC4">
              <w:rPr>
                <w:rFonts w:ascii="Times New Roman" w:hAnsi="Times New Roman" w:cs="Times New Roman"/>
              </w:rPr>
              <w:br/>
              <w:t xml:space="preserve">  - [Similarity: 0.553] The fragment indicates: "For cervical cancer from IB to IVA stage, the preferred treatment is concurrent chemoradiotherapy." (IIIC stage falls within the locally advanced category).  </w:t>
            </w:r>
            <w:r w:rsidRPr="00CB2EC4">
              <w:rPr>
                <w:rFonts w:ascii="Times New Roman" w:hAnsi="Times New Roman" w:cs="Times New Roman"/>
              </w:rPr>
              <w:br/>
              <w:t xml:space="preserve">  - [Similarity: 0.486] The fragment adds: "For these patients (including those with lymph node metastasis)... adjuvant pelvic external beam radiotherapy after surgery can reduce local recurrence," but surgery is not the first choice for IIIC1; instead, chemoradiotherapy is initiated directly.  </w:t>
            </w:r>
            <w:r w:rsidRPr="00CB2EC4">
              <w:rPr>
                <w:rFonts w:ascii="Times New Roman" w:hAnsi="Times New Roman" w:cs="Times New Roman"/>
              </w:rPr>
              <w:br/>
              <w:t>Therefore, the standard treatment is concurrent chemoradiotherapy.</w:t>
            </w:r>
          </w:p>
        </w:tc>
        <w:tc>
          <w:tcPr>
            <w:tcW w:w="1152" w:type="dxa"/>
            <w:vAlign w:val="center"/>
          </w:tcPr>
          <w:p w14:paraId="0FDF4B0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4DFA6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8AFC8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00FB61E" w14:textId="77777777" w:rsidTr="00547D77">
        <w:tc>
          <w:tcPr>
            <w:tcW w:w="2160" w:type="dxa"/>
            <w:vAlign w:val="center"/>
          </w:tcPr>
          <w:p w14:paraId="7B92B21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5C85C0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cervical cancer treatment, if the stage is IIIC1 (involving pelvic lymph nodes), the recommended treatment measures are as follows:</w:t>
            </w:r>
            <w:r w:rsidRPr="00CB2EC4">
              <w:rPr>
                <w:rFonts w:ascii="Times New Roman" w:hAnsi="Times New Roman" w:cs="Times New Roman"/>
              </w:rPr>
              <w:br/>
            </w:r>
            <w:r w:rsidRPr="00CB2EC4">
              <w:rPr>
                <w:rFonts w:ascii="Times New Roman" w:hAnsi="Times New Roman" w:cs="Times New Roman"/>
              </w:rPr>
              <w:br/>
              <w:t>- Level I recommendation: External beam radiotherapy (EBRT) to the pelvis ± para-aortic region + vaginal brachytherapy + concurrent platinum-based chemotherapy.</w:t>
            </w:r>
            <w:r w:rsidRPr="00CB2EC4">
              <w:rPr>
                <w:rFonts w:ascii="Times New Roman" w:hAnsi="Times New Roman" w:cs="Times New Roman"/>
              </w:rPr>
              <w:br/>
              <w:t>- Level II recommendation: External beam radiotherapy (EBRT) to the pelvis ± para-aortic region + vaginal brachytherapy.</w:t>
            </w:r>
            <w:r w:rsidRPr="00CB2EC4">
              <w:rPr>
                <w:rFonts w:ascii="Times New Roman" w:hAnsi="Times New Roman" w:cs="Times New Roman"/>
              </w:rPr>
              <w:br/>
              <w:t>- Level III recommendation: Neoadjuvant chemotherapy + external beam radiotherapy (EBRT) to the pelvis ± para-aortic region + vaginal brachytherapy + concurrent platinum-based chemotherapy.</w:t>
            </w:r>
            <w:r w:rsidRPr="00CB2EC4">
              <w:rPr>
                <w:rFonts w:ascii="Times New Roman" w:hAnsi="Times New Roman" w:cs="Times New Roman"/>
              </w:rPr>
              <w:br/>
            </w:r>
            <w:r w:rsidRPr="00CB2EC4">
              <w:rPr>
                <w:rFonts w:ascii="Times New Roman" w:hAnsi="Times New Roman" w:cs="Times New Roman"/>
              </w:rPr>
              <w:br/>
              <w:t xml:space="preserve">These recommendations are based on stratification (imaging studies) and emphasize combined modality therapy, with radiotherapy and chemotherapy as the main components. The specific chemotherapy </w:t>
            </w:r>
            <w:r w:rsidRPr="00CB2EC4">
              <w:rPr>
                <w:rFonts w:ascii="Times New Roman" w:hAnsi="Times New Roman" w:cs="Times New Roman"/>
              </w:rPr>
              <w:lastRenderedPageBreak/>
              <w:t>regimen is not specified in the document, but concurrent platinum-based chemotherapy is a core component.</w:t>
            </w:r>
          </w:p>
        </w:tc>
        <w:tc>
          <w:tcPr>
            <w:tcW w:w="1152" w:type="dxa"/>
            <w:vAlign w:val="center"/>
          </w:tcPr>
          <w:p w14:paraId="3280444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C729C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9BCCE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611419D" w14:textId="77777777" w:rsidTr="00547D77">
        <w:tc>
          <w:tcPr>
            <w:tcW w:w="10656" w:type="dxa"/>
            <w:gridSpan w:val="5"/>
            <w:tcBorders>
              <w:bottom w:val="single" w:sz="6" w:space="0" w:color="auto"/>
            </w:tcBorders>
            <w:vAlign w:val="center"/>
          </w:tcPr>
          <w:p w14:paraId="55CA89B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62: In cervical cancer treatment, if the stage is ⅢC2, what treatment measures should be taken?</w:t>
            </w:r>
          </w:p>
        </w:tc>
      </w:tr>
      <w:tr w:rsidR="00916494" w:rsidRPr="00CB2EC4" w14:paraId="337A73A9" w14:textId="77777777" w:rsidTr="00547D77">
        <w:tc>
          <w:tcPr>
            <w:tcW w:w="2160" w:type="dxa"/>
            <w:vAlign w:val="center"/>
          </w:tcPr>
          <w:p w14:paraId="6F0EF69B"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C17789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IIIC2 stage cervical cancer refers to involvement of para-aortic lymph nodes (specify based on imaging [r] or pathology [p]). The preferred treatment is concurrent chemoradiation (external beam radiotherapy + vaginal brachytherapy + platinum-based concurrent chemotherapy), with possible extension of the radiation field to the para-aortic region.  </w:t>
            </w:r>
            <w:r w:rsidRPr="00CB2EC4">
              <w:rPr>
                <w:rFonts w:ascii="Times New Roman" w:hAnsi="Times New Roman" w:cs="Times New Roman"/>
              </w:rPr>
              <w:br/>
              <w:t xml:space="preserve">- Basis:  </w:t>
            </w:r>
            <w:r w:rsidRPr="00CB2EC4">
              <w:rPr>
                <w:rFonts w:ascii="Times New Roman" w:hAnsi="Times New Roman" w:cs="Times New Roman"/>
              </w:rPr>
              <w:br/>
              <w:t xml:space="preserve">  - [Similarity: 0.459] Fragment clearly states: "In FIGO staging, these are respectively III C1 and III C2... For locally advanced cervical cancer, guidelines recommend concurrent chemoradiation as the first choice."  </w:t>
            </w:r>
            <w:r w:rsidRPr="00CB2EC4">
              <w:rPr>
                <w:rFonts w:ascii="Times New Roman" w:hAnsi="Times New Roman" w:cs="Times New Roman"/>
              </w:rPr>
              <w:br/>
              <w:t xml:space="preserve">  - [Similarity: 0.460] Fragment mentions: "Para-aortic lymph node metastasis is classified as III C2 stage... Pre-treatment lymph node staging may assist in planning, but concurrent chemoradiation remains the first choice."  </w:t>
            </w:r>
            <w:r w:rsidRPr="00CB2EC4">
              <w:rPr>
                <w:rFonts w:ascii="Times New Roman" w:hAnsi="Times New Roman" w:cs="Times New Roman"/>
              </w:rPr>
              <w:br/>
              <w:t xml:space="preserve">  - [Similarity: 0.553] Fragment emphasizes concurrent chemoradiation as the preferred option for IB to IVA stages, applicable to IIIC2.  </w:t>
            </w:r>
            <w:r w:rsidRPr="00CB2EC4">
              <w:rPr>
                <w:rFonts w:ascii="Times New Roman" w:hAnsi="Times New Roman" w:cs="Times New Roman"/>
              </w:rPr>
              <w:br/>
              <w:t xml:space="preserve">  The documents do not mention surgery as the first-line option; thus, concurrent chemoradiation is the standard regimen.</w:t>
            </w:r>
          </w:p>
        </w:tc>
        <w:tc>
          <w:tcPr>
            <w:tcW w:w="1152" w:type="dxa"/>
            <w:vAlign w:val="center"/>
          </w:tcPr>
          <w:p w14:paraId="1B7A226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87AD2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0B81A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AB1C764" w14:textId="77777777" w:rsidTr="00547D77">
        <w:tc>
          <w:tcPr>
            <w:tcW w:w="2160" w:type="dxa"/>
            <w:vAlign w:val="center"/>
          </w:tcPr>
          <w:p w14:paraId="7BB3DBA7"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DFE9DE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no information is available in the provided documents regarding specific treatment measures for stage IIIC2 cervical cancer (defined by para-aortic lymph node </w:t>
            </w:r>
            <w:r w:rsidRPr="00CB2EC4">
              <w:rPr>
                <w:rFonts w:ascii="Times New Roman" w:hAnsi="Times New Roman" w:cs="Times New Roman"/>
              </w:rPr>
              <w:lastRenderedPageBreak/>
              <w:t>metastasis). The documents detail treatment for stage IIIC1 (extended-field radiotherapy + vaginal brachytherapy + concurrent platinum-based chemotherapy) and mention "stratification: pathological cytology" under the broader IIIC category, but do not specify recommendations for IIIC2. Therefore, the answer cannot be found in the knowledge base.</w:t>
            </w:r>
          </w:p>
        </w:tc>
        <w:tc>
          <w:tcPr>
            <w:tcW w:w="1152" w:type="dxa"/>
            <w:vAlign w:val="center"/>
          </w:tcPr>
          <w:p w14:paraId="6BFBEFF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B32DE0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97BBA9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2D6151C5" w14:textId="77777777" w:rsidTr="00547D77">
        <w:tc>
          <w:tcPr>
            <w:tcW w:w="10656" w:type="dxa"/>
            <w:gridSpan w:val="5"/>
            <w:tcBorders>
              <w:bottom w:val="single" w:sz="6" w:space="0" w:color="auto"/>
            </w:tcBorders>
            <w:vAlign w:val="center"/>
          </w:tcPr>
          <w:p w14:paraId="613AF1F6"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63: In cervical cancer treatment, if the stage is ⅣA without lymph node enlargement, what treatment measures should be taken?</w:t>
            </w:r>
          </w:p>
        </w:tc>
      </w:tr>
      <w:tr w:rsidR="00916494" w:rsidRPr="00CB2EC4" w14:paraId="52F29D61" w14:textId="77777777" w:rsidTr="00547D77">
        <w:tc>
          <w:tcPr>
            <w:tcW w:w="2160" w:type="dxa"/>
            <w:vAlign w:val="center"/>
          </w:tcPr>
          <w:p w14:paraId="098ABF85"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AE219B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treatment of cervical cancer, if the stage is IVA and there is no lymph node enlargement, the following treatment measures should be taken:</w:t>
            </w:r>
            <w:r w:rsidRPr="00CB2EC4">
              <w:rPr>
                <w:rFonts w:ascii="Times New Roman" w:hAnsi="Times New Roman" w:cs="Times New Roman"/>
              </w:rPr>
              <w:br/>
            </w:r>
            <w:r w:rsidRPr="00CB2EC4">
              <w:rPr>
                <w:rFonts w:ascii="Times New Roman" w:hAnsi="Times New Roman" w:cs="Times New Roman"/>
              </w:rPr>
              <w:br/>
              <w:t>Treatment measures: Level I recommendation: Radical radiotherapy ± platinum-based concurrent chemotherapy.</w:t>
            </w:r>
            <w:r w:rsidRPr="00CB2EC4">
              <w:rPr>
                <w:rFonts w:ascii="Times New Roman" w:hAnsi="Times New Roman" w:cs="Times New Roman"/>
              </w:rPr>
              <w:br/>
              <w:t>- Basis: As stated in the context, IVA stage (defined as tumor invasion into the mucosa of the bladder or rectum, or extension beyond the true pelvis) regardless of lymph node status (including no lymph node enlargement), the preferred treatment is radical radiotherapy (including external beam radiotherapy and intracavitary brachytherapy) or concurrent chemoradiotherapy. The chemotherapy regimen is typically based on cisplatin.</w:t>
            </w:r>
          </w:p>
        </w:tc>
        <w:tc>
          <w:tcPr>
            <w:tcW w:w="1152" w:type="dxa"/>
            <w:vAlign w:val="center"/>
          </w:tcPr>
          <w:p w14:paraId="3F00AD5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0696C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D2542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C61F3D0" w14:textId="77777777" w:rsidTr="00547D77">
        <w:tc>
          <w:tcPr>
            <w:tcW w:w="2160" w:type="dxa"/>
            <w:vAlign w:val="center"/>
          </w:tcPr>
          <w:p w14:paraId="408C63D6"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4DEDB2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cervical cancer treatment, if the stage is IVA and there is no lymph node enlargement, the recommended treatment measure is:</w:t>
            </w:r>
            <w:r w:rsidRPr="00CB2EC4">
              <w:rPr>
                <w:rFonts w:ascii="Times New Roman" w:hAnsi="Times New Roman" w:cs="Times New Roman"/>
              </w:rPr>
              <w:br/>
            </w:r>
            <w:r w:rsidRPr="00CB2EC4">
              <w:rPr>
                <w:rFonts w:ascii="Times New Roman" w:hAnsi="Times New Roman" w:cs="Times New Roman"/>
              </w:rPr>
              <w:br/>
              <w:t xml:space="preserve">Based on the provided context, IVA stage is defined as tumor infiltration into the bladder and/or rectal mucosa, but without spread beyond the true pelvis. </w:t>
            </w:r>
            <w:r w:rsidRPr="00CB2EC4">
              <w:rPr>
                <w:rFonts w:ascii="Times New Roman" w:hAnsi="Times New Roman" w:cs="Times New Roman"/>
              </w:rPr>
              <w:lastRenderedPageBreak/>
              <w:t>The documents state that for central lesions involving the bladder and/or rectum (i.e., IVA stage), pelvic exenteration (pelvic evisceration) may be chosen if complete resection is possible. For example:</w:t>
            </w:r>
            <w:r w:rsidRPr="00CB2EC4">
              <w:rPr>
                <w:rFonts w:ascii="Times New Roman" w:hAnsi="Times New Roman" w:cs="Times New Roman"/>
              </w:rPr>
              <w:br/>
              <w:t>- “Stage IV: Mainly treated with radiotherapy, or combined chemotherapy and radiotherapy. For central lesions involving the bladder and/or rectum, pelvic exenteration may be chosen if complete resection is possible.”</w:t>
            </w:r>
            <w:r w:rsidRPr="00CB2EC4">
              <w:rPr>
                <w:rFonts w:ascii="Times New Roman" w:hAnsi="Times New Roman" w:cs="Times New Roman"/>
              </w:rPr>
              <w:br/>
              <w:t>- “4.1.4 FIGO Stage IVA or recurrent cervical cancer: Patients with IVA stage who have only central lesions without pelvic wall or distant metastasis are extremely rare. Those who are treatment-naive or have recurrence under such circumstances may consider pelvic exenteration.”</w:t>
            </w:r>
            <w:r w:rsidRPr="00CB2EC4">
              <w:rPr>
                <w:rFonts w:ascii="Times New Roman" w:hAnsi="Times New Roman" w:cs="Times New Roman"/>
              </w:rPr>
              <w:br/>
            </w:r>
            <w:r w:rsidRPr="00CB2EC4">
              <w:rPr>
                <w:rFonts w:ascii="Times New Roman" w:hAnsi="Times New Roman" w:cs="Times New Roman"/>
              </w:rPr>
              <w:br/>
              <w:t>The documents do not specifically address the impact of lymph node status on IVA stage treatment. However, for central lesions without lymph node enlargement, pelvic exenteration remains a feasible option. Radiotherapy and chemotherapy may also serve as adjuvant or alternative treatments, but the context does not provide specific stratified recommendations for cases without lymph node enlargement.</w:t>
            </w:r>
          </w:p>
        </w:tc>
        <w:tc>
          <w:tcPr>
            <w:tcW w:w="1152" w:type="dxa"/>
            <w:vAlign w:val="center"/>
          </w:tcPr>
          <w:p w14:paraId="548AAC9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70C81A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5D80C6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7812E981" w14:textId="77777777" w:rsidTr="00547D77">
        <w:tc>
          <w:tcPr>
            <w:tcW w:w="10656" w:type="dxa"/>
            <w:gridSpan w:val="5"/>
            <w:tcBorders>
              <w:bottom w:val="single" w:sz="6" w:space="0" w:color="auto"/>
            </w:tcBorders>
            <w:vAlign w:val="center"/>
          </w:tcPr>
          <w:p w14:paraId="44D3453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64: In cervical cancer treatment, if the stage is ⅣA with lymph node enlargement, what treatment measures should be taken?</w:t>
            </w:r>
          </w:p>
        </w:tc>
      </w:tr>
      <w:tr w:rsidR="00916494" w:rsidRPr="00CB2EC4" w14:paraId="4719399B" w14:textId="77777777" w:rsidTr="00547D77">
        <w:tc>
          <w:tcPr>
            <w:tcW w:w="2160" w:type="dxa"/>
            <w:vAlign w:val="center"/>
          </w:tcPr>
          <w:p w14:paraId="0894DF3F"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2451E3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treatment of cervical cancer, if the stage is IVA and there is lymph node enlargement, the following treatment measures should be adopted:</w:t>
            </w:r>
            <w:r w:rsidRPr="00CB2EC4">
              <w:rPr>
                <w:rFonts w:ascii="Times New Roman" w:hAnsi="Times New Roman" w:cs="Times New Roman"/>
              </w:rPr>
              <w:br/>
            </w:r>
            <w:r w:rsidRPr="00CB2EC4">
              <w:rPr>
                <w:rFonts w:ascii="Times New Roman" w:hAnsi="Times New Roman" w:cs="Times New Roman"/>
              </w:rPr>
              <w:br/>
              <w:t xml:space="preserve">Level I recommended treatment: Radical radiotherapy or concurrent chemoradiotherapy (CCRT), with </w:t>
            </w:r>
            <w:r w:rsidRPr="00CB2EC4">
              <w:rPr>
                <w:rFonts w:ascii="Times New Roman" w:hAnsi="Times New Roman" w:cs="Times New Roman"/>
              </w:rPr>
              <w:lastRenderedPageBreak/>
              <w:t>adjustment of the radiation field based on the location of lymph node enlargement (e.g., extended to the pelvic or para-aortic regions).</w:t>
            </w:r>
            <w:r w:rsidRPr="00CB2EC4">
              <w:rPr>
                <w:rFonts w:ascii="Times New Roman" w:hAnsi="Times New Roman" w:cs="Times New Roman"/>
              </w:rPr>
              <w:br/>
              <w:t>- Context note: Stage IVA itself is already locally advanced; lymph node enlargement (possibly a feature of stage IIIC) does not alter the fundamental treatment principle, but the involved lymph node regions (such as pelvic or para-aortic) must be included in the radiotherapy plan to enhance local control. Concurrent chemoradiotherapy is the preferred option, with cisplatin-based chemotherapy regimens.</w:t>
            </w:r>
          </w:p>
        </w:tc>
        <w:tc>
          <w:tcPr>
            <w:tcW w:w="1152" w:type="dxa"/>
            <w:vAlign w:val="center"/>
          </w:tcPr>
          <w:p w14:paraId="40A53C3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04A73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3906FA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B1D4C3B" w14:textId="77777777" w:rsidTr="00547D77">
        <w:tc>
          <w:tcPr>
            <w:tcW w:w="2160" w:type="dxa"/>
            <w:vAlign w:val="center"/>
          </w:tcPr>
          <w:p w14:paraId="2DC3CF8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BFCDD7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 answer found in the provided documents.</w:t>
            </w:r>
          </w:p>
        </w:tc>
        <w:tc>
          <w:tcPr>
            <w:tcW w:w="1152" w:type="dxa"/>
            <w:vAlign w:val="center"/>
          </w:tcPr>
          <w:p w14:paraId="3EC9B26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ACE7A9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E41531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1B46D224" w14:textId="77777777" w:rsidTr="00547D77">
        <w:tc>
          <w:tcPr>
            <w:tcW w:w="10656" w:type="dxa"/>
            <w:gridSpan w:val="5"/>
            <w:tcBorders>
              <w:bottom w:val="single" w:sz="6" w:space="0" w:color="auto"/>
            </w:tcBorders>
            <w:vAlign w:val="center"/>
          </w:tcPr>
          <w:p w14:paraId="5E025A1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65: In cervical cancer treatment, if the stage is ⅣB, what treatment measures should be taken?</w:t>
            </w:r>
          </w:p>
        </w:tc>
      </w:tr>
      <w:tr w:rsidR="00916494" w:rsidRPr="00CB2EC4" w14:paraId="3C0D989B" w14:textId="77777777" w:rsidTr="00547D77">
        <w:tc>
          <w:tcPr>
            <w:tcW w:w="2160" w:type="dxa"/>
            <w:vAlign w:val="center"/>
          </w:tcPr>
          <w:p w14:paraId="06F861E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1CFD46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treatment of cervical cancer, if the staging is IVB, the following treatment measures should be adopted:</w:t>
            </w:r>
            <w:r w:rsidRPr="00CB2EC4">
              <w:rPr>
                <w:rFonts w:ascii="Times New Roman" w:hAnsi="Times New Roman" w:cs="Times New Roman"/>
              </w:rPr>
              <w:br/>
            </w:r>
            <w:r w:rsidRPr="00CB2EC4">
              <w:rPr>
                <w:rFonts w:ascii="Times New Roman" w:hAnsi="Times New Roman" w:cs="Times New Roman"/>
              </w:rPr>
              <w:br/>
              <w:t>treatment measures: systemic chemotherapy is recommended as the primary approach, which may be combined with palliative radiotherapy or targeted therapy.</w:t>
            </w:r>
            <w:r w:rsidRPr="00CB2EC4">
              <w:rPr>
                <w:rFonts w:ascii="Times New Roman" w:hAnsi="Times New Roman" w:cs="Times New Roman"/>
              </w:rPr>
              <w:br/>
              <w:t>- rationale: the context specifies that IVB stage (defined as distant metastasis, e.g., to the abdomen, lungs, or bones) centers on systemic therapy, with platinum-based chemotherapy regimens (such as carboplatin/paclitaxel) being the first choice. radiotherapy is used for symptom relief (e.g., bone metastasis pain), and targeted therapy (e.g., bevacizumab) may be considered in specific cases. the treatment goal is palliative and to control disease progression.</w:t>
            </w:r>
            <w:r w:rsidRPr="00CB2EC4">
              <w:rPr>
                <w:rFonts w:ascii="Times New Roman" w:hAnsi="Times New Roman" w:cs="Times New Roman"/>
              </w:rPr>
              <w:br/>
            </w:r>
            <w:r w:rsidRPr="00CB2EC4">
              <w:rPr>
                <w:rFonts w:ascii="Times New Roman" w:hAnsi="Times New Roman" w:cs="Times New Roman"/>
              </w:rPr>
              <w:lastRenderedPageBreak/>
              <w:br/>
              <w:t>note: all treatment measures above are derived from the specified literature; specific regimens must be adjusted by clinicians based on individual patient factors (e.g., age, comorbidities). other sources (e.g., surgical textbooks) do not directly address treatment decisions for advanced stages and are therefore not cited.</w:t>
            </w:r>
          </w:p>
        </w:tc>
        <w:tc>
          <w:tcPr>
            <w:tcW w:w="1152" w:type="dxa"/>
            <w:vAlign w:val="center"/>
          </w:tcPr>
          <w:p w14:paraId="1D150B5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B61468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DC6B4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BE55F8F" w14:textId="77777777" w:rsidTr="00547D77">
        <w:tc>
          <w:tcPr>
            <w:tcW w:w="2160" w:type="dxa"/>
            <w:vAlign w:val="center"/>
          </w:tcPr>
          <w:p w14:paraId="70A44327"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8B12EF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treatment of cervical cancer, if the staging is IVB (the tumor has spread beyond the true pelvis), the treatment principles are as follows:</w:t>
            </w:r>
            <w:r w:rsidRPr="00CB2EC4">
              <w:rPr>
                <w:rFonts w:ascii="Times New Roman" w:hAnsi="Times New Roman" w:cs="Times New Roman"/>
              </w:rPr>
              <w:br/>
              <w:t>- Systemic therapy (such as chemotherapy) is generally the mainstay of treatment.</w:t>
            </w:r>
            <w:r w:rsidRPr="00CB2EC4">
              <w:rPr>
                <w:rFonts w:ascii="Times New Roman" w:hAnsi="Times New Roman" w:cs="Times New Roman"/>
              </w:rPr>
              <w:br/>
              <w:t>- Individualized radiotherapy may be combined for some patients.</w:t>
            </w:r>
            <w:r w:rsidRPr="00CB2EC4">
              <w:rPr>
                <w:rFonts w:ascii="Times New Roman" w:hAnsi="Times New Roman" w:cs="Times New Roman"/>
              </w:rPr>
              <w:br/>
            </w:r>
            <w:r w:rsidRPr="00CB2EC4">
              <w:rPr>
                <w:rFonts w:ascii="Times New Roman" w:hAnsi="Times New Roman" w:cs="Times New Roman"/>
              </w:rPr>
              <w:br/>
              <w:t>The document emphasizes that systemic therapy is the core approach, with radiotherapy serving as an adjunct. Specific regimens, such as chemotherapy drugs or radiotherapy doses, are not detailed and should be individualized based on the patient’s condition.</w:t>
            </w:r>
          </w:p>
        </w:tc>
        <w:tc>
          <w:tcPr>
            <w:tcW w:w="1152" w:type="dxa"/>
            <w:vAlign w:val="center"/>
          </w:tcPr>
          <w:p w14:paraId="7064C1F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4728FC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A01A36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5BF63DF8" w14:textId="77777777" w:rsidTr="00547D77">
        <w:tc>
          <w:tcPr>
            <w:tcW w:w="10656" w:type="dxa"/>
            <w:gridSpan w:val="5"/>
            <w:tcBorders>
              <w:bottom w:val="single" w:sz="6" w:space="0" w:color="auto"/>
            </w:tcBorders>
            <w:vAlign w:val="center"/>
          </w:tcPr>
          <w:p w14:paraId="398FC7F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66: After radical surgery for early cervical cancer, if the abdominal aortic lymph nodes are negative but high-risk factors are present, what treatment measures should be taken?</w:t>
            </w:r>
          </w:p>
        </w:tc>
      </w:tr>
      <w:tr w:rsidR="00916494" w:rsidRPr="00CB2EC4" w14:paraId="7B42E4C9" w14:textId="77777777" w:rsidTr="00547D77">
        <w:tc>
          <w:tcPr>
            <w:tcW w:w="2160" w:type="dxa"/>
            <w:vAlign w:val="center"/>
          </w:tcPr>
          <w:p w14:paraId="10B42FA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B9419D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after radical surgery for early-stage cervical cancer, if para-aortic lymph nodes are negative but high-risk factors are present, the recommended treatment measures are as follows:  </w:t>
            </w:r>
            <w:r w:rsidRPr="00CB2EC4">
              <w:rPr>
                <w:rFonts w:ascii="Times New Roman" w:hAnsi="Times New Roman" w:cs="Times New Roman"/>
              </w:rPr>
              <w:br/>
              <w:t xml:space="preserve">- Level I recommendation: pelvic external beam radiotherapy + platinum-based concurrent chemotherapy ± brachytherapy.  </w:t>
            </w:r>
            <w:r w:rsidRPr="00CB2EC4">
              <w:rPr>
                <w:rFonts w:ascii="Times New Roman" w:hAnsi="Times New Roman" w:cs="Times New Roman"/>
              </w:rPr>
              <w:br/>
              <w:t xml:space="preserve">- Level II recommendation: sequential chemoradiation (i.e., chemotherapy followed by radiotherapy).  </w:t>
            </w:r>
            <w:r w:rsidRPr="00CB2EC4">
              <w:rPr>
                <w:rFonts w:ascii="Times New Roman" w:hAnsi="Times New Roman" w:cs="Times New Roman"/>
              </w:rPr>
              <w:br/>
            </w:r>
            <w:r w:rsidRPr="00CB2EC4">
              <w:rPr>
                <w:rFonts w:ascii="Times New Roman" w:hAnsi="Times New Roman" w:cs="Times New Roman"/>
              </w:rPr>
              <w:lastRenderedPageBreak/>
              <w:t>These recommendations are based on a stratified strategy for postoperative adjuvant therapy, aimed at reducing recurrence risk and improving progression-free survival. The document explicitly states that in the presence of high-risk factors, further imaging is required to exclude distant metastases; if none are found, the above combined radiotherapy and chemotherapy regimen should be adopted (source: section "9. Postoperative Adjuvant Therapy for Early-Stage Cervical Cancer After Radical Surgery" in [similarity: 0.548] fragment).</w:t>
            </w:r>
          </w:p>
        </w:tc>
        <w:tc>
          <w:tcPr>
            <w:tcW w:w="1152" w:type="dxa"/>
            <w:vAlign w:val="center"/>
          </w:tcPr>
          <w:p w14:paraId="2BB02B9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0851BA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D824FF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330122DA" w14:textId="77777777" w:rsidTr="00547D77">
        <w:tc>
          <w:tcPr>
            <w:tcW w:w="2160" w:type="dxa"/>
            <w:vAlign w:val="center"/>
          </w:tcPr>
          <w:p w14:paraId="504FF159"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5EAC6C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early-stage cervical cancer after radical surgery, if the para-aortic lymph nodes are negative but high-risk factors are present, the recommended treatment measures are:</w:t>
            </w:r>
            <w:r w:rsidRPr="00CB2EC4">
              <w:rPr>
                <w:rFonts w:ascii="Times New Roman" w:hAnsi="Times New Roman" w:cs="Times New Roman"/>
              </w:rPr>
              <w:br/>
            </w:r>
            <w:r w:rsidRPr="00CB2EC4">
              <w:rPr>
                <w:rFonts w:ascii="Times New Roman" w:hAnsi="Times New Roman" w:cs="Times New Roman"/>
              </w:rPr>
              <w:br/>
              <w:t>- Category 1 recommendation: Pelvic external beam radiotherapy + platinum-based concurrent chemotherapy ± brachytherapy (e.g., vaginal brachytherapy).</w:t>
            </w:r>
            <w:r w:rsidRPr="00CB2EC4">
              <w:rPr>
                <w:rFonts w:ascii="Times New Roman" w:hAnsi="Times New Roman" w:cs="Times New Roman"/>
              </w:rPr>
              <w:br/>
              <w:t>- Category 2 recommendation: Sequential chemoradiotherapy (i.e., chemotherapy followed by radiotherapy).</w:t>
            </w:r>
            <w:r w:rsidRPr="00CB2EC4">
              <w:rPr>
                <w:rFonts w:ascii="Times New Roman" w:hAnsi="Times New Roman" w:cs="Times New Roman"/>
              </w:rPr>
              <w:br/>
              <w:t xml:space="preserve">- Basis: The literature clearly indicates that high-risk factors include positive surgical margins, lymph node metastasis, or parametrial invasion. Postoperative adjuvant therapy (PORT) should include pelvic external beam radiotherapy and concurrent chemotherapy to improve survival rates (see [similarity: 0.576] excerpt: "Para-aortic lymph nodes negative Stratification: High-risk factorsa Category 1 recommendation: Pelvic external beam radiotherapyc + platinum-based concurrent chemotherapy ± brachytherapyd Category 2 recommendation: </w:t>
            </w:r>
            <w:r w:rsidRPr="00CB2EC4">
              <w:rPr>
                <w:rFonts w:ascii="Times New Roman" w:hAnsi="Times New Roman" w:cs="Times New Roman"/>
              </w:rPr>
              <w:lastRenderedPageBreak/>
              <w:t>Sequential chemoradiotherapye"). The GOG109 study confirmed that this regimen provides an overall survival advantage.</w:t>
            </w:r>
          </w:p>
        </w:tc>
        <w:tc>
          <w:tcPr>
            <w:tcW w:w="1152" w:type="dxa"/>
            <w:vAlign w:val="center"/>
          </w:tcPr>
          <w:p w14:paraId="3AD8021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BD5826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F9676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BAF554F" w14:textId="77777777" w:rsidTr="00547D77">
        <w:tc>
          <w:tcPr>
            <w:tcW w:w="10656" w:type="dxa"/>
            <w:gridSpan w:val="5"/>
            <w:tcBorders>
              <w:bottom w:val="single" w:sz="6" w:space="0" w:color="auto"/>
            </w:tcBorders>
            <w:vAlign w:val="center"/>
          </w:tcPr>
          <w:p w14:paraId="4DA2DAC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67: After radical surgery for early cervical cancer, if the abdominal aortic lymph nodes are negative but intermediate-risk factors are present, what treatment measures should be taken?</w:t>
            </w:r>
          </w:p>
        </w:tc>
      </w:tr>
      <w:tr w:rsidR="00916494" w:rsidRPr="00CB2EC4" w14:paraId="3A22BF87" w14:textId="77777777" w:rsidTr="00547D77">
        <w:tc>
          <w:tcPr>
            <w:tcW w:w="2160" w:type="dxa"/>
            <w:vAlign w:val="center"/>
          </w:tcPr>
          <w:p w14:paraId="1068BC2D"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D07C33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early-stage cervical cancer patients who have undergone radical surgery with negative para-aortic lymph nodes but presence of intermediate-risk factors, the recommended treatment is:</w:t>
            </w:r>
            <w:r w:rsidRPr="00CB2EC4">
              <w:rPr>
                <w:rFonts w:ascii="Times New Roman" w:hAnsi="Times New Roman" w:cs="Times New Roman"/>
              </w:rPr>
              <w:br/>
            </w:r>
            <w:r w:rsidRPr="00CB2EC4">
              <w:rPr>
                <w:rFonts w:ascii="Times New Roman" w:hAnsi="Times New Roman" w:cs="Times New Roman"/>
              </w:rPr>
              <w:br/>
              <w:t>- **Level I recommendation:** Pelvic external beam radiotherapy (EBRT) ± vaginal brachytherapy.</w:t>
            </w:r>
            <w:r w:rsidRPr="00CB2EC4">
              <w:rPr>
                <w:rFonts w:ascii="Times New Roman" w:hAnsi="Times New Roman" w:cs="Times New Roman"/>
              </w:rPr>
              <w:br/>
              <w:t>- **Level III recommendation:** Pelvic EBRT combined with platinum-based concurrent chemotherapy ± brachytherapy may be considered, but Level I recommendation is preferred.</w:t>
            </w:r>
            <w:r w:rsidRPr="00CB2EC4">
              <w:rPr>
                <w:rFonts w:ascii="Times New Roman" w:hAnsi="Times New Roman" w:cs="Times New Roman"/>
              </w:rPr>
              <w:br/>
            </w:r>
            <w:r w:rsidRPr="00CB2EC4">
              <w:rPr>
                <w:rFonts w:ascii="Times New Roman" w:hAnsi="Times New Roman" w:cs="Times New Roman"/>
              </w:rPr>
              <w:br/>
              <w:t xml:space="preserve">  - **Evidence:** The document states ([similarity: 0.624]): “Stratification: intermediate-risk factors b — Level I recommendation: pelvic external beam radiotherapy ± brachytherapy.” Intermediate-risk factors are defined by the Sedlis criteria (based on tumor size, stromal invasion depth, and lymphovascular space invasion [LVSI] status). Histological type such as adenocarcinoma may increase risk, but adjuvant therapy remains primarily radiotherapy-based.</w:t>
            </w:r>
          </w:p>
        </w:tc>
        <w:tc>
          <w:tcPr>
            <w:tcW w:w="1152" w:type="dxa"/>
            <w:vAlign w:val="center"/>
          </w:tcPr>
          <w:p w14:paraId="4DD9100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4826A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00575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EBB57B2" w14:textId="77777777" w:rsidTr="00547D77">
        <w:tc>
          <w:tcPr>
            <w:tcW w:w="2160" w:type="dxa"/>
            <w:vAlign w:val="center"/>
          </w:tcPr>
          <w:p w14:paraId="621A769B"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C450CF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after radical surgery for early-stage cervical cancer, if the para-aortic lymph nodes are negative but intermediate-risk factors are present, the following treatment measures are recommended:</w:t>
            </w:r>
            <w:r w:rsidRPr="00CB2EC4">
              <w:rPr>
                <w:rFonts w:ascii="Times New Roman" w:hAnsi="Times New Roman" w:cs="Times New Roman"/>
              </w:rPr>
              <w:br/>
              <w:t xml:space="preserve">- Level I recommendation: Pelvic external beam radiotherapy (EBRT) ± brachytherapy (e.g., vaginal </w:t>
            </w:r>
            <w:r w:rsidRPr="00CB2EC4">
              <w:rPr>
                <w:rFonts w:ascii="Times New Roman" w:hAnsi="Times New Roman" w:cs="Times New Roman"/>
              </w:rPr>
              <w:lastRenderedPageBreak/>
              <w:t>brachytherapy).</w:t>
            </w:r>
            <w:r w:rsidRPr="00CB2EC4">
              <w:rPr>
                <w:rFonts w:ascii="Times New Roman" w:hAnsi="Times New Roman" w:cs="Times New Roman"/>
              </w:rPr>
              <w:br/>
              <w:t>- Level III recommendation: Pelvic EBRT + platinum-based concurrent chemotherapy ± brachytherapy (only considered in specific situations, such as presence of multiple intermediate-risk factors).</w:t>
            </w:r>
            <w:r w:rsidRPr="00CB2EC4">
              <w:rPr>
                <w:rFonts w:ascii="Times New Roman" w:hAnsi="Times New Roman" w:cs="Times New Roman"/>
              </w:rPr>
              <w:br/>
              <w:t>- Basis: The document emphasizes that intermediate-risk factors include tumor size &gt;4 cm, lymphovascular space invasion, or deep stromal invasion. When two intermediate-risk factors are present, adjuvant radiotherapy is required, but concurrent chemotherapy is not added (see [similarity: 0.576] excerpt: "Para-aortic lymph nodes negative Stratification: intermediate-risk factor b Level I recommendation: Pelvic EBRT ± brachytherapy Level III recommendation: Pelvic EBRT + platinum-based concurrent chemotherapy ± brachytherapy"). Low-risk patients (without high or intermediate-risk factors) do not require adjuvant treatment.</w:t>
            </w:r>
          </w:p>
        </w:tc>
        <w:tc>
          <w:tcPr>
            <w:tcW w:w="1152" w:type="dxa"/>
            <w:vAlign w:val="center"/>
          </w:tcPr>
          <w:p w14:paraId="700F7F2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D8ECF9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BDCF0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B5C9575" w14:textId="77777777" w:rsidTr="00547D77">
        <w:tc>
          <w:tcPr>
            <w:tcW w:w="10656" w:type="dxa"/>
            <w:gridSpan w:val="5"/>
            <w:tcBorders>
              <w:bottom w:val="single" w:sz="6" w:space="0" w:color="auto"/>
            </w:tcBorders>
            <w:vAlign w:val="center"/>
          </w:tcPr>
          <w:p w14:paraId="64200494"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68: After radical surgery for early cervical cancer, if the abdominal aortic lymph nodes are positive but there is no distant metastasis, what treatment measures should be taken?</w:t>
            </w:r>
          </w:p>
        </w:tc>
      </w:tr>
      <w:tr w:rsidR="00916494" w:rsidRPr="00CB2EC4" w14:paraId="36C6FFAC" w14:textId="77777777" w:rsidTr="00547D77">
        <w:tc>
          <w:tcPr>
            <w:tcW w:w="2160" w:type="dxa"/>
            <w:vAlign w:val="center"/>
          </w:tcPr>
          <w:p w14:paraId="69DE6E5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53CBCD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after radical surgery for early-stage cervical cancer, if para-aortic lymph nodes are positive but there is no distant metastasis, the recommended treatment measures are as follows:  </w:t>
            </w:r>
            <w:r w:rsidRPr="00CB2EC4">
              <w:rPr>
                <w:rFonts w:ascii="Times New Roman" w:hAnsi="Times New Roman" w:cs="Times New Roman"/>
              </w:rPr>
              <w:br/>
              <w:t xml:space="preserve">- Level I recommendation: Extended-field radiotherapy (covering pelvic and para-aortic regions) + concurrent platinum-based chemotherapy ± brachytherapy.  </w:t>
            </w:r>
            <w:r w:rsidRPr="00CB2EC4">
              <w:rPr>
                <w:rFonts w:ascii="Times New Roman" w:hAnsi="Times New Roman" w:cs="Times New Roman"/>
              </w:rPr>
              <w:br/>
              <w:t xml:space="preserve">The document states that distant metastasis must be excluded via imaging or biopsy. Extended-field radiotherapy targets potential metastatic sites, and chemotherapy (e.g., cisplatin or carboplatin) is used as a radiosensitizer. This regimen reduces the risk of </w:t>
            </w:r>
            <w:r w:rsidRPr="00CB2EC4">
              <w:rPr>
                <w:rFonts w:ascii="Times New Roman" w:hAnsi="Times New Roman" w:cs="Times New Roman"/>
              </w:rPr>
              <w:lastRenderedPageBreak/>
              <w:t>local recurrence and improves survival rates (source: Section "9. Adjuvant Therapy After Radical Surgery for Early-Stage Cervical Cancer" in [Similarity: 0.548] fragment).</w:t>
            </w:r>
          </w:p>
        </w:tc>
        <w:tc>
          <w:tcPr>
            <w:tcW w:w="1152" w:type="dxa"/>
            <w:vAlign w:val="center"/>
          </w:tcPr>
          <w:p w14:paraId="5625D39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432D38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CEA623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390CA5FA" w14:textId="77777777" w:rsidTr="00547D77">
        <w:tc>
          <w:tcPr>
            <w:tcW w:w="2160" w:type="dxa"/>
            <w:vAlign w:val="center"/>
          </w:tcPr>
          <w:p w14:paraId="0B4B3098"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E93F92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after radical surgery for early-stage cervical cancer, if para-aortic lymph nodes are positive but there is no distant metastasis, the recommended treatment measures are:  </w:t>
            </w:r>
            <w:r w:rsidRPr="00CB2EC4">
              <w:rPr>
                <w:rFonts w:ascii="Times New Roman" w:hAnsi="Times New Roman" w:cs="Times New Roman"/>
              </w:rPr>
              <w:br/>
              <w:t xml:space="preserve">- Level I recommendation: Extended-field radiotherapy (covering the para-aortic region) + platinum-based concurrent chemotherapy ± brachytherapy.  </w:t>
            </w:r>
            <w:r w:rsidRPr="00CB2EC4">
              <w:rPr>
                <w:rFonts w:ascii="Times New Roman" w:hAnsi="Times New Roman" w:cs="Times New Roman"/>
              </w:rPr>
              <w:br/>
              <w:t xml:space="preserve">- Rationale: The document states that in cases of positive para-aortic lymph nodes without distant metastasis, extended-field radiotherapy (extending to the para-aortic region) combined with concurrent chemotherapy should be administered to control potential micrometastases (see [similarity: 0.576] excerpt: "For patients with positive para-aortic lymph nodes without distant metastasis, Level I recommendation: Extended-field radiotherapy (covering the para-aortic region) + platinum-based concurrent chemotherapy ± brachytherapy"). The dose is typically 45–50 Gy, and intensity-modulated radiotherapy (IMRT) may reduce adverse effects.  </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6DCA476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21118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AA585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EAD11D8" w14:textId="77777777" w:rsidTr="00547D77">
        <w:tc>
          <w:tcPr>
            <w:tcW w:w="10656" w:type="dxa"/>
            <w:gridSpan w:val="5"/>
            <w:tcBorders>
              <w:bottom w:val="single" w:sz="6" w:space="0" w:color="auto"/>
            </w:tcBorders>
            <w:vAlign w:val="center"/>
          </w:tcPr>
          <w:p w14:paraId="3548388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69: What are the surgical treatment options for patients with FIGO stage IA1 cervical cancer? Are they suitable for patients with preserved fertility?</w:t>
            </w:r>
          </w:p>
        </w:tc>
      </w:tr>
      <w:tr w:rsidR="00916494" w:rsidRPr="00CB2EC4" w14:paraId="25284EA7" w14:textId="77777777" w:rsidTr="00547D77">
        <w:tc>
          <w:tcPr>
            <w:tcW w:w="2160" w:type="dxa"/>
            <w:vAlign w:val="center"/>
          </w:tcPr>
          <w:p w14:paraId="409268E8"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BCF532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what are the surgical treatment options for FIGO stage IA1 cervical cancer patients? are these options applicable to patients wishing to preserve fertility?  </w:t>
            </w:r>
            <w:r w:rsidRPr="00CB2EC4">
              <w:rPr>
                <w:rFonts w:ascii="Times New Roman" w:hAnsi="Times New Roman" w:cs="Times New Roman"/>
              </w:rPr>
              <w:br/>
              <w:t xml:space="preserve">according to the document content, the surgical </w:t>
            </w:r>
            <w:r w:rsidRPr="00CB2EC4">
              <w:rPr>
                <w:rFonts w:ascii="Times New Roman" w:hAnsi="Times New Roman" w:cs="Times New Roman"/>
              </w:rPr>
              <w:lastRenderedPageBreak/>
              <w:t xml:space="preserve">treatment options for FIGO stage IA1 cervical cancer patients and their applicability to fertility preservation are as follows:  </w:t>
            </w:r>
            <w:r w:rsidRPr="00CB2EC4">
              <w:rPr>
                <w:rFonts w:ascii="Times New Roman" w:hAnsi="Times New Roman" w:cs="Times New Roman"/>
              </w:rPr>
              <w:br/>
              <w:t xml:space="preserve">- surgical treatment options:  </w:t>
            </w:r>
            <w:r w:rsidRPr="00CB2EC4">
              <w:rPr>
                <w:rFonts w:ascii="Times New Roman" w:hAnsi="Times New Roman" w:cs="Times New Roman"/>
              </w:rPr>
              <w:br/>
              <w:t xml:space="preserve">  - for patients requiring fertility preservation and with LVSI(-) (lymphovascular space invasion negative): cervical conization is feasible; those with negative margins are followed up with observation.  </w:t>
            </w:r>
            <w:r w:rsidRPr="00CB2EC4">
              <w:rPr>
                <w:rFonts w:ascii="Times New Roman" w:hAnsi="Times New Roman" w:cs="Times New Roman"/>
              </w:rPr>
              <w:br/>
              <w:t xml:space="preserve">  - for patients not requiring fertility preservation or elderly patients: radical hysterectomy is recommended.  </w:t>
            </w:r>
            <w:r w:rsidRPr="00CB2EC4">
              <w:rPr>
                <w:rFonts w:ascii="Times New Roman" w:hAnsi="Times New Roman" w:cs="Times New Roman"/>
              </w:rPr>
              <w:br/>
              <w:t xml:space="preserve">  - if LVSI(+), modified radical hysterectomy + pelvic lymphadenectomy should be performed (not applicable for fertility preservation).  </w:t>
            </w:r>
            <w:r w:rsidRPr="00CB2EC4">
              <w:rPr>
                <w:rFonts w:ascii="Times New Roman" w:hAnsi="Times New Roman" w:cs="Times New Roman"/>
              </w:rPr>
              <w:br/>
              <w:t xml:space="preserve">  the surgical approach may be abdominal, vaginal, or laparoscopic.  </w:t>
            </w:r>
            <w:r w:rsidRPr="00CB2EC4">
              <w:rPr>
                <w:rFonts w:ascii="Times New Roman" w:hAnsi="Times New Roman" w:cs="Times New Roman"/>
              </w:rPr>
              <w:br/>
              <w:t>- applicability to fertility preservation: yes, applicable for patients wishing to preserve fertility. specifically, if LVSI(-), cervical conization is the preferred option to preserve fertility; after negative margins, only follow-up is needed, with no further surgery required. however, if LVSI(+), fertility preservation is not suitable, and more extensive surgery is needed (source: section "4.1.1.1 Stage IA1" in [similarity: 0.553] fragment).</w:t>
            </w:r>
          </w:p>
        </w:tc>
        <w:tc>
          <w:tcPr>
            <w:tcW w:w="1152" w:type="dxa"/>
            <w:vAlign w:val="center"/>
          </w:tcPr>
          <w:p w14:paraId="6BB645A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A9AF7E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242EE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04CA3FF" w14:textId="77777777" w:rsidTr="00547D77">
        <w:tc>
          <w:tcPr>
            <w:tcW w:w="2160" w:type="dxa"/>
            <w:vAlign w:val="center"/>
          </w:tcPr>
          <w:p w14:paraId="165E2461"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4A64A3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Surgical treatment options:</w:t>
            </w:r>
            <w:r w:rsidRPr="00CB2EC4">
              <w:rPr>
                <w:rFonts w:ascii="Times New Roman" w:hAnsi="Times New Roman" w:cs="Times New Roman"/>
              </w:rPr>
              <w:br/>
              <w:t xml:space="preserve">  - For patients desiring fertility preservation: If lymphovascular space invasion (LVSI) is negative, cervical conization is recommended (patients with negative margins are followed up). If LVSI is positive, modified radical hysterectomy + pelvic lymphadenectomy should be performed.</w:t>
            </w:r>
            <w:r w:rsidRPr="00CB2EC4">
              <w:rPr>
                <w:rFonts w:ascii="Times New Roman" w:hAnsi="Times New Roman" w:cs="Times New Roman"/>
              </w:rPr>
              <w:br/>
              <w:t xml:space="preserve">  - For patients not desiring fertility preservation: Subfascial total hysterectomy is recommended (can be </w:t>
            </w:r>
            <w:r w:rsidRPr="00CB2EC4">
              <w:rPr>
                <w:rFonts w:ascii="Times New Roman" w:hAnsi="Times New Roman" w:cs="Times New Roman"/>
              </w:rPr>
              <w:lastRenderedPageBreak/>
              <w:t>performed via abdominal, vaginal, or laparoscopic approach).</w:t>
            </w:r>
            <w:r w:rsidRPr="00CB2EC4">
              <w:rPr>
                <w:rFonts w:ascii="Times New Roman" w:hAnsi="Times New Roman" w:cs="Times New Roman"/>
              </w:rPr>
              <w:br/>
              <w:t>- Applicable to patients desiring fertility preservation: Yes, it is applicable. Patients desiring fertility preservation may choose cervical conization (when LVSI is negative), or radical trachelectomy (via abdominal, vaginal, or laparoscopic approach) combined with pelvic lymphadenectomy (when LVSI is positive).</w:t>
            </w:r>
            <w:r w:rsidRPr="00CB2EC4">
              <w:rPr>
                <w:rFonts w:ascii="Times New Roman" w:hAnsi="Times New Roman" w:cs="Times New Roman"/>
              </w:rPr>
              <w:br/>
              <w:t>- Basis: The document explicitly describes the management plan for stage IA1 (see [similarity: 0.591] excerpt: "4.1.1.1 Stage IA1: For those requiring fertility preservation, LVSI (-) may undergo cervical conization... For those not requiring fertility preservation and elderly women, subfascial total hysterectomy is recommended" and [similarity: 0.534] excerpt Table 4: "FIGO 2018 fertility-sparing: conization"). Fertility-sparing options are emphasized in multiple excerpts (e.g., [similarity: 0.549] excerpt).</w:t>
            </w:r>
          </w:p>
        </w:tc>
        <w:tc>
          <w:tcPr>
            <w:tcW w:w="1152" w:type="dxa"/>
            <w:vAlign w:val="center"/>
          </w:tcPr>
          <w:p w14:paraId="6A79396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79C0B1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61858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0AB4CAD" w14:textId="77777777" w:rsidTr="00547D77">
        <w:tc>
          <w:tcPr>
            <w:tcW w:w="10656" w:type="dxa"/>
            <w:gridSpan w:val="5"/>
            <w:tcBorders>
              <w:bottom w:val="single" w:sz="6" w:space="0" w:color="auto"/>
            </w:tcBorders>
            <w:vAlign w:val="center"/>
          </w:tcPr>
          <w:p w14:paraId="773C558F"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70: In patients with FIGO stage IB2 and IIA1, what factors determine the choice between surgery and radiotherapy? What are the differences in outcomes between the two modalities?</w:t>
            </w:r>
          </w:p>
        </w:tc>
      </w:tr>
      <w:tr w:rsidR="00916494" w:rsidRPr="00CB2EC4" w14:paraId="334033C5" w14:textId="77777777" w:rsidTr="00547D77">
        <w:tc>
          <w:tcPr>
            <w:tcW w:w="2160" w:type="dxa"/>
            <w:vAlign w:val="center"/>
          </w:tcPr>
          <w:p w14:paraId="26A9814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FD096D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in FIGO stage IB2 and IIA1 patients, the factors determining the choice between surgery and radiotherapy are as follows, and the outcomes of the two treatment modalities are similar:  </w:t>
            </w:r>
            <w:r w:rsidRPr="00CB2EC4">
              <w:rPr>
                <w:rFonts w:ascii="Times New Roman" w:hAnsi="Times New Roman" w:cs="Times New Roman"/>
              </w:rPr>
              <w:br/>
              <w:t xml:space="preserve">- Determining factors:  </w:t>
            </w:r>
            <w:r w:rsidRPr="00CB2EC4">
              <w:rPr>
                <w:rFonts w:ascii="Times New Roman" w:hAnsi="Times New Roman" w:cs="Times New Roman"/>
              </w:rPr>
              <w:br/>
              <w:t xml:space="preserve">  - Patient factors: age (especially patients under 45 years old are prioritized for surgery to preserve ovarian and sexual function), fertility requirements, general condition (e.g., absence of surgical contraindications).  </w:t>
            </w:r>
            <w:r w:rsidRPr="00CB2EC4">
              <w:rPr>
                <w:rFonts w:ascii="Times New Roman" w:hAnsi="Times New Roman" w:cs="Times New Roman"/>
              </w:rPr>
              <w:br/>
              <w:t xml:space="preserve">  - Tumor factors: tumor size, histological type (e.g., adenocarcinoma may favor radiotherapy), </w:t>
            </w:r>
            <w:r w:rsidRPr="00CB2EC4">
              <w:rPr>
                <w:rFonts w:ascii="Times New Roman" w:hAnsi="Times New Roman" w:cs="Times New Roman"/>
              </w:rPr>
              <w:lastRenderedPageBreak/>
              <w:t xml:space="preserve">lymphovascular space invasion (LVSI) status.  </w:t>
            </w:r>
            <w:r w:rsidRPr="00CB2EC4">
              <w:rPr>
                <w:rFonts w:ascii="Times New Roman" w:hAnsi="Times New Roman" w:cs="Times New Roman"/>
              </w:rPr>
              <w:br/>
              <w:t xml:space="preserve">  - Resource factors: availability of local healthcare resources (e.g., completeness of radiotherapy equipment).  </w:t>
            </w:r>
            <w:r w:rsidRPr="00CB2EC4">
              <w:rPr>
                <w:rFonts w:ascii="Times New Roman" w:hAnsi="Times New Roman" w:cs="Times New Roman"/>
              </w:rPr>
              <w:br/>
              <w:t xml:space="preserve">  The document emphasizes that surgery and radiotherapy are equivalent primary treatment options, depending on individualized assessment (source: "FIGO IB2/IIA1 stage" section in [similarity: 0.624] fragment).  </w:t>
            </w:r>
            <w:r w:rsidRPr="00CB2EC4">
              <w:rPr>
                <w:rFonts w:ascii="Times New Roman" w:hAnsi="Times New Roman" w:cs="Times New Roman"/>
              </w:rPr>
              <w:br/>
              <w:t xml:space="preserve">- Differences in treatment outcomes:  </w:t>
            </w:r>
            <w:r w:rsidRPr="00CB2EC4">
              <w:rPr>
                <w:rFonts w:ascii="Times New Roman" w:hAnsi="Times New Roman" w:cs="Times New Roman"/>
              </w:rPr>
              <w:br/>
              <w:t xml:space="preserve">  - Efficacy: The 5-year survival rate, mortality rate, and complication incidence are similar between surgery and radiotherapy, indicating comparable efficacy.  </w:t>
            </w:r>
            <w:r w:rsidRPr="00CB2EC4">
              <w:rPr>
                <w:rFonts w:ascii="Times New Roman" w:hAnsi="Times New Roman" w:cs="Times New Roman"/>
              </w:rPr>
              <w:br/>
              <w:t xml:space="preserve">  - Surgical advantages: Surgery provides accurate postoperative pathological staging, facilitating individualized subsequent treatment; removes radioresistant tumors; preserves ovarian function (via ovarian transposition) in young women; and is the preferred option for preserving sexual function.  </w:t>
            </w:r>
            <w:r w:rsidRPr="00CB2EC4">
              <w:rPr>
                <w:rFonts w:ascii="Times New Roman" w:hAnsi="Times New Roman" w:cs="Times New Roman"/>
              </w:rPr>
              <w:br/>
              <w:t xml:space="preserve">  - Radiotherapy advantages: Suitable for patients with surgical contraindications, avoiding surgical complications (e.g., urinary tract injury).  </w:t>
            </w:r>
            <w:r w:rsidRPr="00CB2EC4">
              <w:rPr>
                <w:rFonts w:ascii="Times New Roman" w:hAnsi="Times New Roman" w:cs="Times New Roman"/>
              </w:rPr>
              <w:br/>
              <w:t xml:space="preserve">  The document does not mention significant differences in survival rates but notes that minimally invasive surgery (e.g., laparoscopy) may have a higher recurrence rate than open surgery, requiring further research (source: "FIGO IB2/IIA1 stage" section in [similarity: 0.624] fragment and "IB1, IB2, IIA1 stage" section in [similarity: 0.577] fragment).</w:t>
            </w:r>
          </w:p>
        </w:tc>
        <w:tc>
          <w:tcPr>
            <w:tcW w:w="1152" w:type="dxa"/>
            <w:vAlign w:val="center"/>
          </w:tcPr>
          <w:p w14:paraId="1037BC7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5457BC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5A9EEF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3FE42A20" w14:textId="77777777" w:rsidTr="00547D77">
        <w:tc>
          <w:tcPr>
            <w:tcW w:w="2160" w:type="dxa"/>
            <w:vAlign w:val="center"/>
          </w:tcPr>
          <w:p w14:paraId="410EEA7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4452E7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For patients with FIGO stages IB2 and IIA1, the factors influencing the choice between surgery and radiotherapy are as follows, with both treatment modalities yielding similar outcomes:  </w:t>
            </w:r>
            <w:r w:rsidRPr="00CB2EC4">
              <w:rPr>
                <w:rFonts w:ascii="Times New Roman" w:hAnsi="Times New Roman" w:cs="Times New Roman"/>
              </w:rPr>
              <w:br/>
            </w:r>
            <w:r w:rsidRPr="00CB2EC4">
              <w:rPr>
                <w:rFonts w:ascii="Times New Roman" w:hAnsi="Times New Roman" w:cs="Times New Roman"/>
              </w:rPr>
              <w:lastRenderedPageBreak/>
              <w:t xml:space="preserve">- **Determining Factors:**  </w:t>
            </w:r>
            <w:r w:rsidRPr="00CB2EC4">
              <w:rPr>
                <w:rFonts w:ascii="Times New Roman" w:hAnsi="Times New Roman" w:cs="Times New Roman"/>
              </w:rPr>
              <w:br/>
              <w:t xml:space="preserve">  - **Patient Factors:** Age (younger patients, especially those &lt;45 years who wish to preserve ovarian and sexual function, tend to favor surgery), fertility desires, presence of surgical contraindications (e.g., anesthesia risks), and tumor characteristics (e.g., radioresistance).  </w:t>
            </w:r>
            <w:r w:rsidRPr="00CB2EC4">
              <w:rPr>
                <w:rFonts w:ascii="Times New Roman" w:hAnsi="Times New Roman" w:cs="Times New Roman"/>
              </w:rPr>
              <w:br/>
              <w:t xml:space="preserve">  - **Resource Factors:** Availability of local medical resources (e.g., adequacy of radiotherapy equipment). In regions with limited radiotherapy resources, surgery may be more feasible.  </w:t>
            </w:r>
            <w:r w:rsidRPr="00CB2EC4">
              <w:rPr>
                <w:rFonts w:ascii="Times New Roman" w:hAnsi="Times New Roman" w:cs="Times New Roman"/>
              </w:rPr>
              <w:br/>
            </w:r>
            <w:r w:rsidRPr="00CB2EC4">
              <w:rPr>
                <w:rFonts w:ascii="Times New Roman" w:hAnsi="Times New Roman" w:cs="Times New Roman"/>
              </w:rPr>
              <w:br/>
              <w:t xml:space="preserve">- **Treatment Outcome Comparison:**  </w:t>
            </w:r>
            <w:r w:rsidRPr="00CB2EC4">
              <w:rPr>
                <w:rFonts w:ascii="Times New Roman" w:hAnsi="Times New Roman" w:cs="Times New Roman"/>
              </w:rPr>
              <w:br/>
              <w:t xml:space="preserve">  - **Surgery vs. Radiotherapy:** Both approaches demonstrate comparable efficacy, with similar 5-year survival rates, mortality rates, and complication rates. Advantages of surgery include: preservation of ovarian function (achievable via ovarian transposition to avoid radiation damage), provision of accurate pathological staging to guide subsequent individualized treatment, and removal of radioresistant tumors. Radiotherapy may lead to associated complications (e.g., vaginal atrophy or rectal reactions), which are particularly unfavorable for premenopausal patients.  </w:t>
            </w:r>
            <w:r w:rsidRPr="00CB2EC4">
              <w:rPr>
                <w:rFonts w:ascii="Times New Roman" w:hAnsi="Times New Roman" w:cs="Times New Roman"/>
              </w:rPr>
              <w:br/>
              <w:t xml:space="preserve">  - **Specific Outcomes:** The document notes that surgery and radical radiotherapy for early-stage cervical cancer yield equivalent results in terms of local control and survival rates (see excerpt [Similarity: 0.575]: "For early-stage cervical cancer, surgery and radical radiotherapy demonstrate comparable efficacy, with similar 5-year survival rates, mortality rates, and complication rates"). However, younger patients tend to prefer surgery for </w:t>
            </w:r>
            <w:r w:rsidRPr="00CB2EC4">
              <w:rPr>
                <w:rFonts w:ascii="Times New Roman" w:hAnsi="Times New Roman" w:cs="Times New Roman"/>
              </w:rPr>
              <w:lastRenderedPageBreak/>
              <w:t xml:space="preserve">functional preservation, while radiotherapy serves as an alternative when surgery is contraindicated.  </w:t>
            </w:r>
            <w:r w:rsidRPr="00CB2EC4">
              <w:rPr>
                <w:rFonts w:ascii="Times New Roman" w:hAnsi="Times New Roman" w:cs="Times New Roman"/>
              </w:rPr>
              <w:br/>
            </w:r>
            <w:r w:rsidRPr="00CB2EC4">
              <w:rPr>
                <w:rFonts w:ascii="Times New Roman" w:hAnsi="Times New Roman" w:cs="Times New Roman"/>
              </w:rPr>
              <w:br/>
              <w:t xml:space="preserve">- **Basis:** The document elaborates on the selection criteria for stages IB2/IIA1 (see excerpts [Similarity: 0.549]: "Primary treatment includes surgery or radiotherapy, depending on patient factors and local healthcare resources, with both showing equivalent efficacy. Surgical advantages include... Surgery is the preferred treatment for young women seeking to preserve ovarian and sexual function" and [Similarity: 0.521]: "For premenopausal patients, particularly those under 45 years without surgical contraindications, surgical treatment may be chosen").  </w:t>
            </w:r>
            <w:r w:rsidRPr="00CB2EC4">
              <w:rPr>
                <w:rFonts w:ascii="Times New Roman" w:hAnsi="Times New Roman" w:cs="Times New Roman"/>
              </w:rPr>
              <w:br/>
            </w:r>
            <w:r w:rsidRPr="00CB2EC4">
              <w:rPr>
                <w:rFonts w:ascii="Times New Roman" w:hAnsi="Times New Roman" w:cs="Times New Roman"/>
              </w:rPr>
              <w:br/>
              <w:t>All responses are based solely on the provided document excerpts; no external knowledge has been added. If specific details (e.g., exact survival rate data) are not explicitly stated in the document, speculation is avoided.</w:t>
            </w:r>
          </w:p>
        </w:tc>
        <w:tc>
          <w:tcPr>
            <w:tcW w:w="1152" w:type="dxa"/>
            <w:vAlign w:val="center"/>
          </w:tcPr>
          <w:p w14:paraId="1D1492A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49E6A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228F6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1327D28" w14:textId="77777777" w:rsidTr="00547D77">
        <w:tc>
          <w:tcPr>
            <w:tcW w:w="10656" w:type="dxa"/>
            <w:gridSpan w:val="5"/>
            <w:tcBorders>
              <w:bottom w:val="single" w:sz="6" w:space="0" w:color="auto"/>
            </w:tcBorders>
            <w:vAlign w:val="center"/>
          </w:tcPr>
          <w:p w14:paraId="2F30E0F2"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71: What is the recommended treatment of choice for FIGO stage IB3 cervical cancer?</w:t>
            </w:r>
          </w:p>
        </w:tc>
      </w:tr>
      <w:tr w:rsidR="00916494" w:rsidRPr="00CB2EC4" w14:paraId="52D0A5EB" w14:textId="77777777" w:rsidTr="00547D77">
        <w:tc>
          <w:tcPr>
            <w:tcW w:w="2160" w:type="dxa"/>
            <w:vAlign w:val="center"/>
          </w:tcPr>
          <w:p w14:paraId="08F827D3"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31C774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71. What is the recommended primary treatment for cervical cancer at FIGO stage IB3?</w:t>
            </w:r>
            <w:r w:rsidRPr="00CB2EC4">
              <w:rPr>
                <w:rFonts w:ascii="Times New Roman" w:hAnsi="Times New Roman" w:cs="Times New Roman"/>
              </w:rPr>
              <w:br/>
            </w:r>
            <w:r w:rsidRPr="00CB2EC4">
              <w:rPr>
                <w:rFonts w:ascii="Times New Roman" w:hAnsi="Times New Roman" w:cs="Times New Roman"/>
              </w:rPr>
              <w:br/>
              <w:t>According to the document content, the preferred treatment for FIGO stage IB3 cervical cancer is concurrent chemoradiotherapy (CCRT). Specific evidence includes:</w:t>
            </w:r>
            <w:r w:rsidRPr="00CB2EC4">
              <w:rPr>
                <w:rFonts w:ascii="Times New Roman" w:hAnsi="Times New Roman" w:cs="Times New Roman"/>
              </w:rPr>
              <w:br/>
              <w:t>- Multiple sections state that IB3 stage is classified as locally advanced cervical cancer, and the primary treatment is platinum-based concurrent chemoradiotherapy (CCRT). For example:</w:t>
            </w:r>
            <w:r w:rsidRPr="00CB2EC4">
              <w:rPr>
                <w:rFonts w:ascii="Times New Roman" w:hAnsi="Times New Roman" w:cs="Times New Roman"/>
              </w:rPr>
              <w:br/>
              <w:t xml:space="preserve">  - [Similarity: 0.607] Section: "FIGO ⅠB3/ⅡA2 </w:t>
            </w:r>
            <w:r w:rsidRPr="00CB2EC4">
              <w:rPr>
                <w:rFonts w:ascii="Times New Roman" w:hAnsi="Times New Roman" w:cs="Times New Roman"/>
              </w:rPr>
              <w:lastRenderedPageBreak/>
              <w:t>stage... concurrent chemoradiotherapy (CCRT) is a better treatment option for patients with stage ⅠB3/ⅡA2."</w:t>
            </w:r>
            <w:r w:rsidRPr="00CB2EC4">
              <w:rPr>
                <w:rFonts w:ascii="Times New Roman" w:hAnsi="Times New Roman" w:cs="Times New Roman"/>
              </w:rPr>
              <w:br/>
              <w:t xml:space="preserve">  - [Similarity: 0.583] Section: "Platinum-based concurrent chemoradiotherapy (CCRT) is a better treatment option for patients with stage ⅠB3/ⅡA2."</w:t>
            </w:r>
            <w:r w:rsidRPr="00CB2EC4">
              <w:rPr>
                <w:rFonts w:ascii="Times New Roman" w:hAnsi="Times New Roman" w:cs="Times New Roman"/>
              </w:rPr>
              <w:br/>
              <w:t xml:space="preserve">  - [Similarity: 0.555] Section: "CCRT is the standard treatment for stage ⅠB3 and ⅡA2."</w:t>
            </w:r>
            <w:r w:rsidRPr="00CB2EC4">
              <w:rPr>
                <w:rFonts w:ascii="Times New Roman" w:hAnsi="Times New Roman" w:cs="Times New Roman"/>
              </w:rPr>
              <w:br/>
              <w:t>- The document emphasizes that surgery is not the primary option, as approximately 80% of patients require adjuvant radiotherapy post-surgery, increasing the risk of complications (such as severe adverse reactions from dual therapy). In areas with limited radiotherapy resources, neoadjuvant chemotherapy (NACT) followed by surgery may be considered, but this is only an alternative option and remains controversial.</w:t>
            </w:r>
            <w:r w:rsidRPr="00CB2EC4">
              <w:rPr>
                <w:rFonts w:ascii="Times New Roman" w:hAnsi="Times New Roman" w:cs="Times New Roman"/>
              </w:rPr>
              <w:br/>
              <w:t>- Summary: The primary treatment for stage IB3 cervical cancer is concurrent chemoradiotherapy (CCRT), including external beam radiotherapy (EBRT) and intracavitary brachytherapy (ICRT), combined with concurrent platinum-based chemotherapy.</w:t>
            </w:r>
          </w:p>
        </w:tc>
        <w:tc>
          <w:tcPr>
            <w:tcW w:w="1152" w:type="dxa"/>
            <w:vAlign w:val="center"/>
          </w:tcPr>
          <w:p w14:paraId="6619023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78217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A883A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4DEC354" w14:textId="77777777" w:rsidTr="00547D77">
        <w:tc>
          <w:tcPr>
            <w:tcW w:w="2160" w:type="dxa"/>
            <w:vAlign w:val="center"/>
          </w:tcPr>
          <w:p w14:paraId="2979FDF1"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80FCAA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preferred initial treatment for FIGO stage IB3 cervical cancer is concurrent chemoradiotherapy (CCRT).</w:t>
            </w:r>
            <w:r w:rsidRPr="00CB2EC4">
              <w:rPr>
                <w:rFonts w:ascii="Times New Roman" w:hAnsi="Times New Roman" w:cs="Times New Roman"/>
              </w:rPr>
              <w:br/>
            </w:r>
            <w:r w:rsidRPr="00CB2EC4">
              <w:rPr>
                <w:rFonts w:ascii="Times New Roman" w:hAnsi="Times New Roman" w:cs="Times New Roman"/>
              </w:rPr>
              <w:br/>
              <w:t>Based on the document content:</w:t>
            </w:r>
            <w:r w:rsidRPr="00CB2EC4">
              <w:rPr>
                <w:rFonts w:ascii="Times New Roman" w:hAnsi="Times New Roman" w:cs="Times New Roman"/>
              </w:rPr>
              <w:br/>
              <w:t xml:space="preserve">- "Although surgery is an option for stage IB3 and IIA2, it is not recommended as the preferred initial treatment. Because 80% of patients require postoperative adjuvant radiotherapy (PORT) or CCRT. The combination of surgery and radiotherapy increases complications and affects quality of life. </w:t>
            </w:r>
            <w:r w:rsidRPr="00CB2EC4">
              <w:rPr>
                <w:rFonts w:ascii="Times New Roman" w:hAnsi="Times New Roman" w:cs="Times New Roman"/>
              </w:rPr>
              <w:lastRenderedPageBreak/>
              <w:t>Dual treatment modalities also place unnecessary surgical and radiotherapy resource burdens. Therefore, CCRT is the standard treatment for stage IB3 and IIA2." (similarity 0.630 segment)</w:t>
            </w:r>
            <w:r w:rsidRPr="00CB2EC4">
              <w:rPr>
                <w:rFonts w:ascii="Times New Roman" w:hAnsi="Times New Roman" w:cs="Times New Roman"/>
              </w:rPr>
              <w:br/>
              <w:t>- CCRT includes external beam radiotherapy (EBRT) and intracavitary brachytherapy (ICRT). The document also states that in areas with scarce radiotherapy resources, neoadjuvant chemotherapy (NACT) followed by surgery may be considered, but this is only an alternative and remains controversial: "The use of neoadjuvant chemotherapy plus surgery for IB3 and IIA2 cervical cancer is still controversial and is generally recommended only for areas where radiotherapy is unavailable or in clinical trials." (similarity 0.593 segment)</w:t>
            </w:r>
            <w:r w:rsidRPr="00CB2EC4">
              <w:rPr>
                <w:rFonts w:ascii="Times New Roman" w:hAnsi="Times New Roman" w:cs="Times New Roman"/>
              </w:rPr>
              <w:br/>
            </w:r>
            <w:r w:rsidRPr="00CB2EC4">
              <w:rPr>
                <w:rFonts w:ascii="Times New Roman" w:hAnsi="Times New Roman" w:cs="Times New Roman"/>
              </w:rPr>
              <w:br/>
              <w:t>Therefore, the preferred treatment is concurrent chemoradiotherapy (CCRT), and surgery is not recommended as the initial approach.</w:t>
            </w:r>
          </w:p>
        </w:tc>
        <w:tc>
          <w:tcPr>
            <w:tcW w:w="1152" w:type="dxa"/>
            <w:vAlign w:val="center"/>
          </w:tcPr>
          <w:p w14:paraId="20DE938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CD9B1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BC3E2C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72238537" w14:textId="77777777" w:rsidTr="00547D77">
        <w:tc>
          <w:tcPr>
            <w:tcW w:w="10656" w:type="dxa"/>
            <w:gridSpan w:val="5"/>
            <w:tcBorders>
              <w:bottom w:val="single" w:sz="6" w:space="0" w:color="auto"/>
            </w:tcBorders>
            <w:vAlign w:val="center"/>
          </w:tcPr>
          <w:p w14:paraId="20F856B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72: what is the difference between the different types of radical hysterectomy? For which patients is it indicated?</w:t>
            </w:r>
          </w:p>
        </w:tc>
      </w:tr>
      <w:tr w:rsidR="00916494" w:rsidRPr="00CB2EC4" w14:paraId="15A244D9" w14:textId="77777777" w:rsidTr="00547D77">
        <w:tc>
          <w:tcPr>
            <w:tcW w:w="2160" w:type="dxa"/>
            <w:vAlign w:val="center"/>
          </w:tcPr>
          <w:p w14:paraId="57BA8DE8"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AE2F21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differences between types of radical hysterectomy and their applicable patient groups are as follows:</w:t>
            </w:r>
            <w:r w:rsidRPr="00CB2EC4">
              <w:rPr>
                <w:rFonts w:ascii="Times New Roman" w:hAnsi="Times New Roman" w:cs="Times New Roman"/>
              </w:rPr>
              <w:br/>
            </w:r>
            <w:r w:rsidRPr="00CB2EC4">
              <w:rPr>
                <w:rFonts w:ascii="Times New Roman" w:hAnsi="Times New Roman" w:cs="Times New Roman"/>
              </w:rPr>
              <w:br/>
              <w:t>- **Type A (Extrafascial hysterectomy):**</w:t>
            </w:r>
            <w:r w:rsidRPr="00CB2EC4">
              <w:rPr>
                <w:rFonts w:ascii="Times New Roman" w:hAnsi="Times New Roman" w:cs="Times New Roman"/>
              </w:rPr>
              <w:br/>
              <w:t xml:space="preserve">  - **Difference:** Minimal resection range; only the uterus and cervix are removed, without ureteral tunnel dissection; cardinal ligaments and uterosacral ligaments are transected at the cervical margin; no vaginal margin resection.</w:t>
            </w:r>
            <w:r w:rsidRPr="00CB2EC4">
              <w:rPr>
                <w:rFonts w:ascii="Times New Roman" w:hAnsi="Times New Roman" w:cs="Times New Roman"/>
              </w:rPr>
              <w:br/>
              <w:t xml:space="preserve">  - **Applicable patients:** FIGO stage IA1 cervical cancer (without lymphovascular space invasion).</w:t>
            </w:r>
            <w:r w:rsidRPr="00CB2EC4">
              <w:rPr>
                <w:rFonts w:ascii="Times New Roman" w:hAnsi="Times New Roman" w:cs="Times New Roman"/>
              </w:rPr>
              <w:br/>
              <w:t xml:space="preserve">  - **Source:** [Similarity: 0.555] excerpt (Table 2 description) and [Similarity: 0.449] excerpt.</w:t>
            </w:r>
            <w:r w:rsidRPr="00CB2EC4">
              <w:rPr>
                <w:rFonts w:ascii="Times New Roman" w:hAnsi="Times New Roman" w:cs="Times New Roman"/>
              </w:rPr>
              <w:br/>
            </w:r>
            <w:r w:rsidRPr="00CB2EC4">
              <w:rPr>
                <w:rFonts w:ascii="Times New Roman" w:hAnsi="Times New Roman" w:cs="Times New Roman"/>
              </w:rPr>
              <w:lastRenderedPageBreak/>
              <w:br/>
              <w:t>- **Type B (Modified radical hysterectomy):**</w:t>
            </w:r>
            <w:r w:rsidRPr="00CB2EC4">
              <w:rPr>
                <w:rFonts w:ascii="Times New Roman" w:hAnsi="Times New Roman" w:cs="Times New Roman"/>
              </w:rPr>
              <w:br/>
              <w:t xml:space="preserve">  - **Difference:** Intermediate resection range; includes uterus, cervix, and upper 1–2 cm of vagina; the top of the ureteral tunnel is opened and the ureter is laterally displaced; partial resection of the vesicouterine ligament and uterosacral ligament.</w:t>
            </w:r>
            <w:r w:rsidRPr="00CB2EC4">
              <w:rPr>
                <w:rFonts w:ascii="Times New Roman" w:hAnsi="Times New Roman" w:cs="Times New Roman"/>
              </w:rPr>
              <w:br/>
              <w:t xml:space="preserve">  - **Applicable patients:** Stage IA1 with lymphovascular space invasion (LVSI+) or stage IA2 cervical cancer.</w:t>
            </w:r>
            <w:r w:rsidRPr="00CB2EC4">
              <w:rPr>
                <w:rFonts w:ascii="Times New Roman" w:hAnsi="Times New Roman" w:cs="Times New Roman"/>
              </w:rPr>
              <w:br/>
              <w:t xml:space="preserve">  - **Source:** [Similarity: 0.555] excerpt and [Similarity: 0.449] excerpt.</w:t>
            </w:r>
            <w:r w:rsidRPr="00CB2EC4">
              <w:rPr>
                <w:rFonts w:ascii="Times New Roman" w:hAnsi="Times New Roman" w:cs="Times New Roman"/>
              </w:rPr>
              <w:br/>
            </w:r>
            <w:r w:rsidRPr="00CB2EC4">
              <w:rPr>
                <w:rFonts w:ascii="Times New Roman" w:hAnsi="Times New Roman" w:cs="Times New Roman"/>
              </w:rPr>
              <w:br/>
              <w:t>- **Type C (Radical hysterectomy):**</w:t>
            </w:r>
            <w:r w:rsidRPr="00CB2EC4">
              <w:rPr>
                <w:rFonts w:ascii="Times New Roman" w:hAnsi="Times New Roman" w:cs="Times New Roman"/>
              </w:rPr>
              <w:br/>
              <w:t xml:space="preserve">  - **Difference:** Maximal resection range; includes uterus, cervix, and upper 1/4–1/3 of vagina; complete ureteral mobilization; cardinal ligaments transected adjacent to pelvic sidewall, uterosacral ligaments transected near sacral origin; pelvic lymphadenectomy is required.</w:t>
            </w:r>
            <w:r w:rsidRPr="00CB2EC4">
              <w:rPr>
                <w:rFonts w:ascii="Times New Roman" w:hAnsi="Times New Roman" w:cs="Times New Roman"/>
              </w:rPr>
              <w:br/>
              <w:t xml:space="preserve">  - **Applicable patients:** Stage IB1, IB2, and selected IIA1 cervical cancer (especially low-risk cases with tumor diameter &lt;2 cm). Nerve-sparing techniques may be considered in low-risk cases to reduce complications.</w:t>
            </w:r>
            <w:r w:rsidRPr="00CB2EC4">
              <w:rPr>
                <w:rFonts w:ascii="Times New Roman" w:hAnsi="Times New Roman" w:cs="Times New Roman"/>
              </w:rPr>
              <w:br/>
              <w:t xml:space="preserve">  - **Source:** [Similarity: 0.607] excerpt and [Similarity: 0.449] excerpt.</w:t>
            </w:r>
            <w:r w:rsidRPr="00CB2EC4">
              <w:rPr>
                <w:rFonts w:ascii="Times New Roman" w:hAnsi="Times New Roman" w:cs="Times New Roman"/>
              </w:rPr>
              <w:br/>
            </w:r>
            <w:r w:rsidRPr="00CB2EC4">
              <w:rPr>
                <w:rFonts w:ascii="Times New Roman" w:hAnsi="Times New Roman" w:cs="Times New Roman"/>
              </w:rPr>
              <w:br/>
              <w:t>- **Additional notes:**</w:t>
            </w:r>
            <w:r w:rsidRPr="00CB2EC4">
              <w:rPr>
                <w:rFonts w:ascii="Times New Roman" w:hAnsi="Times New Roman" w:cs="Times New Roman"/>
              </w:rPr>
              <w:br/>
              <w:t xml:space="preserve">  - Surgical approach may be abdominal, laparoscopic, or robotic; however, minimally invasive surgery may increase recurrence risk in early cervical cancer (based on LACC trial).</w:t>
            </w:r>
            <w:r w:rsidRPr="00CB2EC4">
              <w:rPr>
                <w:rFonts w:ascii="Times New Roman" w:hAnsi="Times New Roman" w:cs="Times New Roman"/>
              </w:rPr>
              <w:br/>
              <w:t xml:space="preserve">  - Lymph node dissection is a fundamental step; </w:t>
            </w:r>
            <w:r w:rsidRPr="00CB2EC4">
              <w:rPr>
                <w:rFonts w:ascii="Times New Roman" w:hAnsi="Times New Roman" w:cs="Times New Roman"/>
              </w:rPr>
              <w:lastRenderedPageBreak/>
              <w:t>resected areas include parametrial, obturator, internal iliac, external iliac, and common iliac lymph nodes.</w:t>
            </w:r>
            <w:r w:rsidRPr="00CB2EC4">
              <w:rPr>
                <w:rFonts w:ascii="Times New Roman" w:hAnsi="Times New Roman" w:cs="Times New Roman"/>
              </w:rPr>
              <w:br/>
              <w:t xml:space="preserve">  - Summary of applicable patients: Type A for early low-risk (stage IA1), Type B for intermediate-risk (stage IA1 with LVSI+ or IA2), Type C for high-risk (stage IB1–IB2/IIA1).</w:t>
            </w:r>
          </w:p>
        </w:tc>
        <w:tc>
          <w:tcPr>
            <w:tcW w:w="1152" w:type="dxa"/>
            <w:vAlign w:val="center"/>
          </w:tcPr>
          <w:p w14:paraId="5F6E636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8E73FD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A89703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497FFDA2" w14:textId="77777777" w:rsidTr="00547D77">
        <w:tc>
          <w:tcPr>
            <w:tcW w:w="2160" w:type="dxa"/>
            <w:vAlign w:val="center"/>
          </w:tcPr>
          <w:p w14:paraId="0D37F707"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370C71E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differences between types of radical hysterectomy and their applicable patients are as follows:</w:t>
            </w:r>
            <w:r w:rsidRPr="00CB2EC4">
              <w:rPr>
                <w:rFonts w:ascii="Times New Roman" w:hAnsi="Times New Roman" w:cs="Times New Roman"/>
              </w:rPr>
              <w:br/>
            </w:r>
            <w:r w:rsidRPr="00CB2EC4">
              <w:rPr>
                <w:rFonts w:ascii="Times New Roman" w:hAnsi="Times New Roman" w:cs="Times New Roman"/>
              </w:rPr>
              <w:br/>
              <w:t>- **Type A (Piver-Rutledge) / Type I (Q-M classification):**</w:t>
            </w:r>
            <w:r w:rsidRPr="00CB2EC4">
              <w:rPr>
                <w:rFonts w:ascii="Times New Roman" w:hAnsi="Times New Roman" w:cs="Times New Roman"/>
              </w:rPr>
              <w:br/>
              <w:t xml:space="preserve">  - **Difference:** Minimal resection range; involves removal of the uterus and cervix only, without deep dissection of the ureters, cardinal ligaments, or uterosacral ligaments. No vaginal margin resection; bladder is only mobilized downward to the level of the bladder base.</w:t>
            </w:r>
            <w:r w:rsidRPr="00CB2EC4">
              <w:rPr>
                <w:rFonts w:ascii="Times New Roman" w:hAnsi="Times New Roman" w:cs="Times New Roman"/>
              </w:rPr>
              <w:br/>
              <w:t xml:space="preserve">  - **Applicable patients:** FIGO stage IA1 cervical cancer (without lymphovascular space invasion), particularly suitable for low-risk cases or patients desiring fertility preservation.</w:t>
            </w:r>
            <w:r w:rsidRPr="00CB2EC4">
              <w:rPr>
                <w:rFonts w:ascii="Times New Roman" w:hAnsi="Times New Roman" w:cs="Times New Roman"/>
              </w:rPr>
              <w:br/>
            </w:r>
            <w:r w:rsidRPr="00CB2EC4">
              <w:rPr>
                <w:rFonts w:ascii="Times New Roman" w:hAnsi="Times New Roman" w:cs="Times New Roman"/>
              </w:rPr>
              <w:br/>
              <w:t>- **Type B (Piver-Rutledge) / Type II (Q-M classification):**</w:t>
            </w:r>
            <w:r w:rsidRPr="00CB2EC4">
              <w:rPr>
                <w:rFonts w:ascii="Times New Roman" w:hAnsi="Times New Roman" w:cs="Times New Roman"/>
              </w:rPr>
              <w:br/>
              <w:t xml:space="preserve">  - **Difference:** Moderate resection range; includes uterus, cervix, and approximately the upper 1/4 of the vagina. The ureteral tunnel is dissected but the ureters are not fully mobilized. Cardinal and uterosacral ligaments are divided at the cervical margin; bladder is mobilized downward to below the cervix.</w:t>
            </w:r>
            <w:r w:rsidRPr="00CB2EC4">
              <w:rPr>
                <w:rFonts w:ascii="Times New Roman" w:hAnsi="Times New Roman" w:cs="Times New Roman"/>
              </w:rPr>
              <w:br/>
              <w:t xml:space="preserve">  - **Applicable patients:** FIGO stage IA2 cervical cancer (with potential risk of lymph node metastasis), or low-risk IB1 stage (tumor &lt;2 cm, stromal invasion &lt;50%, no radiologic evidence of lymph node </w:t>
            </w:r>
            <w:r w:rsidRPr="00CB2EC4">
              <w:rPr>
                <w:rFonts w:ascii="Times New Roman" w:hAnsi="Times New Roman" w:cs="Times New Roman"/>
              </w:rPr>
              <w:lastRenderedPageBreak/>
              <w:t>metastasis).</w:t>
            </w:r>
            <w:r w:rsidRPr="00CB2EC4">
              <w:rPr>
                <w:rFonts w:ascii="Times New Roman" w:hAnsi="Times New Roman" w:cs="Times New Roman"/>
              </w:rPr>
              <w:br/>
            </w:r>
            <w:r w:rsidRPr="00CB2EC4">
              <w:rPr>
                <w:rFonts w:ascii="Times New Roman" w:hAnsi="Times New Roman" w:cs="Times New Roman"/>
              </w:rPr>
              <w:br/>
              <w:t>- **Type C (Piver-Rutledge) / Type III (Q-M classification):**</w:t>
            </w:r>
            <w:r w:rsidRPr="00CB2EC4">
              <w:rPr>
                <w:rFonts w:ascii="Times New Roman" w:hAnsi="Times New Roman" w:cs="Times New Roman"/>
              </w:rPr>
              <w:br/>
              <w:t xml:space="preserve">  - **Difference:** Maximal resection range; includes uterus, cervix, and the upper 1/3 to 1/2 of the vagina. Ureters are fully mobilized; cardinal ligaments and uterosacral ligaments are divided near the pelvic sidewall or sacral attachment. Bladder is mobilized downward to the mid-vaginal level; rectum is mobilized downward to below the cervix.</w:t>
            </w:r>
            <w:r w:rsidRPr="00CB2EC4">
              <w:rPr>
                <w:rFonts w:ascii="Times New Roman" w:hAnsi="Times New Roman" w:cs="Times New Roman"/>
              </w:rPr>
              <w:br/>
              <w:t xml:space="preserve">  - **Applicable patients:** FIGO stage IB1, IB2, and IIA1 cervical cancer (standard treatment), especially suitable for larger tumors or those with high-risk factors. The document emphasizes: "Type C radical hysterectomy is the basic surgical procedure for cervical cancer" (similarity 0.499 fragment).</w:t>
            </w:r>
            <w:r w:rsidRPr="00CB2EC4">
              <w:rPr>
                <w:rFonts w:ascii="Times New Roman" w:hAnsi="Times New Roman" w:cs="Times New Roman"/>
              </w:rPr>
              <w:br/>
            </w:r>
            <w:r w:rsidRPr="00CB2EC4">
              <w:rPr>
                <w:rFonts w:ascii="Times New Roman" w:hAnsi="Times New Roman" w:cs="Times New Roman"/>
              </w:rPr>
              <w:br/>
              <w:t>- **Other types:** The document also mentions Type D (more extensive, for advanced disease) and pelvic exenteration (for stage IV or recurrent cancer), but does not detail their differences.</w:t>
            </w:r>
            <w:r w:rsidRPr="00CB2EC4">
              <w:rPr>
                <w:rFonts w:ascii="Times New Roman" w:hAnsi="Times New Roman" w:cs="Times New Roman"/>
              </w:rPr>
              <w:br/>
            </w:r>
            <w:r w:rsidRPr="00CB2EC4">
              <w:rPr>
                <w:rFonts w:ascii="Times New Roman" w:hAnsi="Times New Roman" w:cs="Times New Roman"/>
              </w:rPr>
              <w:br/>
              <w:t>**Summary of applicable patients:**</w:t>
            </w:r>
            <w:r w:rsidRPr="00CB2EC4">
              <w:rPr>
                <w:rFonts w:ascii="Times New Roman" w:hAnsi="Times New Roman" w:cs="Times New Roman"/>
              </w:rPr>
              <w:br/>
              <w:t>- Type A: Stage IA1 (low-risk).</w:t>
            </w:r>
            <w:r w:rsidRPr="00CB2EC4">
              <w:rPr>
                <w:rFonts w:ascii="Times New Roman" w:hAnsi="Times New Roman" w:cs="Times New Roman"/>
              </w:rPr>
              <w:br/>
              <w:t>- Type B: Stage IA2 or low-risk IB1.</w:t>
            </w:r>
            <w:r w:rsidRPr="00CB2EC4">
              <w:rPr>
                <w:rFonts w:ascii="Times New Roman" w:hAnsi="Times New Roman" w:cs="Times New Roman"/>
              </w:rPr>
              <w:br/>
              <w:t>- Type C: Stages IB1, IB2, IIA1 (standard choice).</w:t>
            </w:r>
            <w:r w:rsidRPr="00CB2EC4">
              <w:rPr>
                <w:rFonts w:ascii="Times New Roman" w:hAnsi="Times New Roman" w:cs="Times New Roman"/>
              </w:rPr>
              <w:br/>
            </w:r>
            <w:r w:rsidRPr="00CB2EC4">
              <w:rPr>
                <w:rFonts w:ascii="Times New Roman" w:hAnsi="Times New Roman" w:cs="Times New Roman"/>
              </w:rPr>
              <w:br/>
              <w:t xml:space="preserve">Surgical approaches may include abdominal, laparoscopic, or robotic methods; however, the document notes that minimally invasive surgery (laparoscopic/robotic) is associated with higher recurrence rates in early-stage cervical cancer and should be used with caution (similarity 0.484 </w:t>
            </w:r>
            <w:r w:rsidRPr="00CB2EC4">
              <w:rPr>
                <w:rFonts w:ascii="Times New Roman" w:hAnsi="Times New Roman" w:cs="Times New Roman"/>
              </w:rPr>
              <w:lastRenderedPageBreak/>
              <w:t>fragment).</w:t>
            </w:r>
          </w:p>
        </w:tc>
        <w:tc>
          <w:tcPr>
            <w:tcW w:w="1152" w:type="dxa"/>
            <w:vAlign w:val="center"/>
          </w:tcPr>
          <w:p w14:paraId="7379904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9A05E2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48520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100D917" w14:textId="77777777" w:rsidTr="00547D77">
        <w:tc>
          <w:tcPr>
            <w:tcW w:w="10656" w:type="dxa"/>
            <w:gridSpan w:val="5"/>
            <w:tcBorders>
              <w:bottom w:val="single" w:sz="6" w:space="0" w:color="auto"/>
            </w:tcBorders>
            <w:vAlign w:val="center"/>
          </w:tcPr>
          <w:p w14:paraId="4E320BF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73: What are the advantages of IMRT in radiotherapy for cervical cancer?</w:t>
            </w:r>
          </w:p>
        </w:tc>
      </w:tr>
      <w:tr w:rsidR="00916494" w:rsidRPr="00CB2EC4" w14:paraId="38FFB2FD" w14:textId="77777777" w:rsidTr="00547D77">
        <w:tc>
          <w:tcPr>
            <w:tcW w:w="2160" w:type="dxa"/>
            <w:vAlign w:val="center"/>
          </w:tcPr>
          <w:p w14:paraId="48953E9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08E1A3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IMRT (Intensity-Modulated Radiation Therapy) advantages in cervical cancer radiotherapy are as follows:</w:t>
            </w:r>
            <w:r w:rsidRPr="00CB2EC4">
              <w:rPr>
                <w:rFonts w:ascii="Times New Roman" w:hAnsi="Times New Roman" w:cs="Times New Roman"/>
              </w:rPr>
              <w:br/>
            </w:r>
            <w:r w:rsidRPr="00CB2EC4">
              <w:rPr>
                <w:rFonts w:ascii="Times New Roman" w:hAnsi="Times New Roman" w:cs="Times New Roman"/>
              </w:rPr>
              <w:br/>
              <w:t>- In the [similarity: 0.448] segment, it is explicitly stated: "IMRT, due to reduced doses received by the small bowel, rectum, and bladder, significantly improved 5-year overall survival and progression-free survival (35.4% vs. 21.4%, 26.1% vs. 15.1%, respectively), outperforming conventional concurrent chemoradiotherapy." This indicates that IMRT reduces radiation dose to surrounding organs (such as small intestine, rectum, bladder) through precise tumor targeting.</w:t>
            </w:r>
            <w:r w:rsidRPr="00CB2EC4">
              <w:rPr>
                <w:rFonts w:ascii="Times New Roman" w:hAnsi="Times New Roman" w:cs="Times New Roman"/>
              </w:rPr>
              <w:br/>
            </w:r>
            <w:r w:rsidRPr="00CB2EC4">
              <w:rPr>
                <w:rFonts w:ascii="Times New Roman" w:hAnsi="Times New Roman" w:cs="Times New Roman"/>
              </w:rPr>
              <w:br/>
              <w:t>- The same [similarity: 0.448] segment adds: "Intensity-modulated radiotherapy (IMRT) is an advanced and sophisticated radiation technique that can reduce adverse reactions." This highlights IMRT's advantage in lowering complications (e.g., radiation enteritis, cystitis).</w:t>
            </w:r>
            <w:r w:rsidRPr="00CB2EC4">
              <w:rPr>
                <w:rFonts w:ascii="Times New Roman" w:hAnsi="Times New Roman" w:cs="Times New Roman"/>
              </w:rPr>
              <w:br/>
            </w:r>
            <w:r w:rsidRPr="00CB2EC4">
              <w:rPr>
                <w:rFonts w:ascii="Times New Roman" w:hAnsi="Times New Roman" w:cs="Times New Roman"/>
              </w:rPr>
              <w:br/>
              <w:t>- Summary of advantages:</w:t>
            </w:r>
            <w:r w:rsidRPr="00CB2EC4">
              <w:rPr>
                <w:rFonts w:ascii="Times New Roman" w:hAnsi="Times New Roman" w:cs="Times New Roman"/>
              </w:rPr>
              <w:br/>
              <w:t xml:space="preserve">  - Reduced adverse reactions: Through dose optimization, normal tissue is protected, lowering the risk of late complications (e.g., fistula, functional impairment).</w:t>
            </w:r>
            <w:r w:rsidRPr="00CB2EC4">
              <w:rPr>
                <w:rFonts w:ascii="Times New Roman" w:hAnsi="Times New Roman" w:cs="Times New Roman"/>
              </w:rPr>
              <w:br/>
              <w:t xml:space="preserve">  - Improved treatment efficacy: May enhance survival rates and progression-free survival, especially applicable to postoperative adjuvant radiotherapy or recurrent disease treatment.</w:t>
            </w:r>
            <w:r w:rsidRPr="00CB2EC4">
              <w:rPr>
                <w:rFonts w:ascii="Times New Roman" w:hAnsi="Times New Roman" w:cs="Times New Roman"/>
              </w:rPr>
              <w:br/>
            </w:r>
            <w:r w:rsidRPr="00CB2EC4">
              <w:rPr>
                <w:rFonts w:ascii="Times New Roman" w:hAnsi="Times New Roman" w:cs="Times New Roman"/>
              </w:rPr>
              <w:lastRenderedPageBreak/>
              <w:t xml:space="preserve">  - Applicable scenarios: Commonly used for pelvic radiotherapy, particularly when needing to avoid superimposed surgical complications (e.g., postoperative adjuvant radiotherapy).</w:t>
            </w:r>
          </w:p>
        </w:tc>
        <w:tc>
          <w:tcPr>
            <w:tcW w:w="1152" w:type="dxa"/>
            <w:vAlign w:val="center"/>
          </w:tcPr>
          <w:p w14:paraId="06908C2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25D2AF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459F5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01055DB" w14:textId="77777777" w:rsidTr="00547D77">
        <w:tc>
          <w:tcPr>
            <w:tcW w:w="2160" w:type="dxa"/>
            <w:vAlign w:val="center"/>
          </w:tcPr>
          <w:p w14:paraId="448265A8"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982BE6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Advantages:</w:t>
            </w:r>
            <w:r w:rsidRPr="00CB2EC4">
              <w:rPr>
                <w:rFonts w:ascii="Times New Roman" w:hAnsi="Times New Roman" w:cs="Times New Roman"/>
              </w:rPr>
              <w:br/>
              <w:t xml:space="preserve">  - Precise target coverage and reduced normal tissue damage: The document states, "It is recommended to use conformal intensity-modulated radiotherapy (IMRT) technology based on image guidance (CT or MR)... For image-guided EBRT, high-dose regions must pay attention to avoiding normal tissues or strictly limiting the radiation dose to normal tissues." (similarity 0.487 fragment). This indicates that IMRT achieves high conformity through image guidance, precisely targets the tumor area while sparing organs such as the bladder and rectum, thereby reducing late complications (e.g., proctitis, cystitis).</w:t>
            </w:r>
            <w:r w:rsidRPr="00CB2EC4">
              <w:rPr>
                <w:rFonts w:ascii="Times New Roman" w:hAnsi="Times New Roman" w:cs="Times New Roman"/>
              </w:rPr>
              <w:br/>
              <w:t xml:space="preserve">  - Allows dose escalation and individualized treatment: The document mentions, "Unresectable lymph nodes can be given concurrent boost or sequential boost of 10~15 Gy using highly conformal radiotherapy techniques" (similarity 0.487 fragment). IMRT supports intensified irradiation to high-risk areas (e.g., lymph node metastases) without increasing the dose to surrounding tissues.</w:t>
            </w:r>
            <w:r w:rsidRPr="00CB2EC4">
              <w:rPr>
                <w:rFonts w:ascii="Times New Roman" w:hAnsi="Times New Roman" w:cs="Times New Roman"/>
              </w:rPr>
              <w:br/>
              <w:t xml:space="preserve">  - Improves clinical outcomes: In the section on "Radiotherapy (Chemoradiotherapy) for Locally Advanced Cervical Cancer," the document emphasizes that IMRT technology "has promoted the practice of radiotherapy, improved clinical outcomes, and reduced toxicity" (similarity 0.549 fragment).</w:t>
            </w:r>
            <w:r w:rsidRPr="00CB2EC4">
              <w:rPr>
                <w:rFonts w:ascii="Times New Roman" w:hAnsi="Times New Roman" w:cs="Times New Roman"/>
              </w:rPr>
              <w:br/>
            </w:r>
            <w:r w:rsidRPr="00CB2EC4">
              <w:rPr>
                <w:rFonts w:ascii="Times New Roman" w:hAnsi="Times New Roman" w:cs="Times New Roman"/>
              </w:rPr>
              <w:br/>
              <w:t xml:space="preserve">Therefore, the advantages of IMRT lie in enhancing the precision of radiotherapy, reducing toxic side </w:t>
            </w:r>
            <w:r w:rsidRPr="00CB2EC4">
              <w:rPr>
                <w:rFonts w:ascii="Times New Roman" w:hAnsi="Times New Roman" w:cs="Times New Roman"/>
              </w:rPr>
              <w:lastRenderedPageBreak/>
              <w:t>effects to normal tissues, and supporting individualized dose adjustments.</w:t>
            </w:r>
          </w:p>
        </w:tc>
        <w:tc>
          <w:tcPr>
            <w:tcW w:w="1152" w:type="dxa"/>
            <w:vAlign w:val="center"/>
          </w:tcPr>
          <w:p w14:paraId="07CECC7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858A7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1D4C9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DE47A76" w14:textId="77777777" w:rsidTr="00547D77">
        <w:tc>
          <w:tcPr>
            <w:tcW w:w="10656" w:type="dxa"/>
            <w:gridSpan w:val="5"/>
            <w:tcBorders>
              <w:bottom w:val="single" w:sz="6" w:space="0" w:color="auto"/>
            </w:tcBorders>
            <w:vAlign w:val="center"/>
          </w:tcPr>
          <w:p w14:paraId="6DBAAF5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74: What are the common sites of recurrence in cervical cancer? How is the risk of recurrence monitored?</w:t>
            </w:r>
          </w:p>
        </w:tc>
      </w:tr>
      <w:tr w:rsidR="00916494" w:rsidRPr="00CB2EC4" w14:paraId="1719F1F1" w14:textId="77777777" w:rsidTr="00547D77">
        <w:tc>
          <w:tcPr>
            <w:tcW w:w="2160" w:type="dxa"/>
            <w:vAlign w:val="center"/>
          </w:tcPr>
          <w:p w14:paraId="313AD803"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97DA81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common sites of cervical cancer recurrence include:</w:t>
            </w:r>
            <w:r w:rsidRPr="00CB2EC4">
              <w:rPr>
                <w:rFonts w:ascii="Times New Roman" w:hAnsi="Times New Roman" w:cs="Times New Roman"/>
              </w:rPr>
              <w:br/>
              <w:t>- the pelvis, which is the most frequent site of recurrence (regardless of prior surgery or radiotherapy);</w:t>
            </w:r>
            <w:r w:rsidRPr="00CB2EC4">
              <w:rPr>
                <w:rFonts w:ascii="Times New Roman" w:hAnsi="Times New Roman" w:cs="Times New Roman"/>
              </w:rPr>
              <w:br/>
              <w:t>- para-aortic lymph nodes, the second most common site;</w:t>
            </w:r>
            <w:r w:rsidRPr="00CB2EC4">
              <w:rPr>
                <w:rFonts w:ascii="Times New Roman" w:hAnsi="Times New Roman" w:cs="Times New Roman"/>
              </w:rPr>
              <w:br/>
              <w:t>- other sites such as the vaginal vault, parametrial tissue, and distant metastases (e.g., lung, liver, bone), though the pelvis and lymph nodes remain the primary focus.</w:t>
            </w:r>
            <w:r w:rsidRPr="00CB2EC4">
              <w:rPr>
                <w:rFonts w:ascii="Times New Roman" w:hAnsi="Times New Roman" w:cs="Times New Roman"/>
              </w:rPr>
              <w:br/>
            </w:r>
            <w:r w:rsidRPr="00CB2EC4">
              <w:rPr>
                <w:rFonts w:ascii="Times New Roman" w:hAnsi="Times New Roman" w:cs="Times New Roman"/>
              </w:rPr>
              <w:br/>
              <w:t>methods for monitoring recurrence risk:</w:t>
            </w:r>
            <w:r w:rsidRPr="00CB2EC4">
              <w:rPr>
                <w:rFonts w:ascii="Times New Roman" w:hAnsi="Times New Roman" w:cs="Times New Roman"/>
              </w:rPr>
              <w:br/>
              <w:t>- cytology: perform vaginal vault/cervical cytology (e.g., TCT) at each follow-up visit; however, results after radiotherapy may be difficult to interpret and require histologic confirmation.</w:t>
            </w:r>
            <w:r w:rsidRPr="00CB2EC4">
              <w:rPr>
                <w:rFonts w:ascii="Times New Roman" w:hAnsi="Times New Roman" w:cs="Times New Roman"/>
              </w:rPr>
              <w:br/>
              <w:t>- histologic confirmation: biopsy is necessary for suspicious recurrences; biopsies should be performed at least 3 months after completion of radiotherapy to avoid false positives. Methods include needle aspiration biopsy (under CT or ultrasound guidance) or endocervical curettage.</w:t>
            </w:r>
            <w:r w:rsidRPr="00CB2EC4">
              <w:rPr>
                <w:rFonts w:ascii="Times New Roman" w:hAnsi="Times New Roman" w:cs="Times New Roman"/>
              </w:rPr>
              <w:br/>
              <w:t>- imaging: based on symptoms, select chest X-ray, ultrasound, CT, MRI, or PET/CT to evaluate metastases (e.g., supraclavicular lymphadenopathy, para-aortic involvement).</w:t>
            </w:r>
            <w:r w:rsidRPr="00CB2EC4">
              <w:rPr>
                <w:rFonts w:ascii="Times New Roman" w:hAnsi="Times New Roman" w:cs="Times New Roman"/>
              </w:rPr>
              <w:br/>
              <w:t>- laboratory tests: tumor marker assessment (e.g., SCC, CEA), but must be interpreted in conjunction with clinical findings.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summary: monitoring for recurrence risk relies on multimodal follow-up, with emphasis on early detection of pelvic and lymph node recurrence.</w:t>
            </w:r>
          </w:p>
        </w:tc>
        <w:tc>
          <w:tcPr>
            <w:tcW w:w="1152" w:type="dxa"/>
            <w:vAlign w:val="center"/>
          </w:tcPr>
          <w:p w14:paraId="24A601E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FA4A1D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9E1662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E3E1F16" w14:textId="77777777" w:rsidTr="00547D77">
        <w:tc>
          <w:tcPr>
            <w:tcW w:w="2160" w:type="dxa"/>
            <w:vAlign w:val="center"/>
          </w:tcPr>
          <w:p w14:paraId="59636E5C"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68DA80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common sites of cervical cancer recurrence include:</w:t>
            </w:r>
            <w:r w:rsidRPr="00CB2EC4">
              <w:rPr>
                <w:rFonts w:ascii="Times New Roman" w:hAnsi="Times New Roman" w:cs="Times New Roman"/>
              </w:rPr>
              <w:br/>
              <w:t>- pelvic and central regions: such as cervix, corpus uteri, vagina, bladder, or rectum (e.g., "recurrence sites include pelvis, central areas... pelvic recurrence after cervical cancer radiotherapy" and "surgery may be considered for central recurrence")</w:t>
            </w:r>
            <w:r w:rsidRPr="00CB2EC4">
              <w:rPr>
                <w:rFonts w:ascii="Times New Roman" w:hAnsi="Times New Roman" w:cs="Times New Roman"/>
              </w:rPr>
              <w:br/>
              <w:t>- distant metastases: including bone, lung, liver, etc. (e.g., "pain management in bone metastasis" and "distant metastases such as lymph nodes, lung, liver, or bone oligometastases")</w:t>
            </w:r>
            <w:r w:rsidRPr="00CB2EC4">
              <w:rPr>
                <w:rFonts w:ascii="Times New Roman" w:hAnsi="Times New Roman" w:cs="Times New Roman"/>
              </w:rPr>
              <w:br/>
            </w:r>
            <w:r w:rsidRPr="00CB2EC4">
              <w:rPr>
                <w:rFonts w:ascii="Times New Roman" w:hAnsi="Times New Roman" w:cs="Times New Roman"/>
              </w:rPr>
              <w:br/>
              <w:t>methods to monitor recurrence risk:</w:t>
            </w:r>
            <w:r w:rsidRPr="00CB2EC4">
              <w:rPr>
                <w:rFonts w:ascii="Times New Roman" w:hAnsi="Times New Roman" w:cs="Times New Roman"/>
              </w:rPr>
              <w:br/>
              <w:t>- physical examination and cytology: "vaginal apex/cervix cytology should be performed at each follow-up to detect early central recurrence"; "physical exam should assess vulva, vagina, vaginal fornix, and local tumor disappearance or recurrence"</w:t>
            </w:r>
            <w:r w:rsidRPr="00CB2EC4">
              <w:rPr>
                <w:rFonts w:ascii="Times New Roman" w:hAnsi="Times New Roman" w:cs="Times New Roman"/>
              </w:rPr>
              <w:br/>
              <w:t>- imaging: "imaging such as chest X-ray, ultrasound, CT, creatinine clearance, and liver function tests" is recommended, especially for suspicious sites; "imaging (r): recommend MR, CT, or PET/CT" for evaluating metastases</w:t>
            </w:r>
            <w:r w:rsidRPr="00CB2EC4">
              <w:rPr>
                <w:rFonts w:ascii="Times New Roman" w:hAnsi="Times New Roman" w:cs="Times New Roman"/>
              </w:rPr>
              <w:br/>
              <w:t>- histopathology and risk factor assessment: recurrence risk correlates with initial treatment factors, e.g., "recurrence relates to lesion diameter and depth of stromal invasion"; tumor &gt;4cm, LVSI positive increase risk</w:t>
            </w:r>
            <w:r w:rsidRPr="00CB2EC4">
              <w:rPr>
                <w:rFonts w:ascii="Times New Roman" w:hAnsi="Times New Roman" w:cs="Times New Roman"/>
              </w:rPr>
              <w:br/>
            </w:r>
            <w:r w:rsidRPr="00CB2EC4">
              <w:rPr>
                <w:rFonts w:ascii="Times New Roman" w:hAnsi="Times New Roman" w:cs="Times New Roman"/>
              </w:rPr>
              <w:br/>
              <w:t xml:space="preserve">summary: common recurrence sites are pelvic (including central) and distant (e.g., bone, lung); monitoring is achieved through regular cytology, </w:t>
            </w:r>
            <w:r w:rsidRPr="00CB2EC4">
              <w:rPr>
                <w:rFonts w:ascii="Times New Roman" w:hAnsi="Times New Roman" w:cs="Times New Roman"/>
              </w:rPr>
              <w:lastRenderedPageBreak/>
              <w:t>imaging (CT/MR/PET-CT), and clinical assessment.</w:t>
            </w:r>
          </w:p>
        </w:tc>
        <w:tc>
          <w:tcPr>
            <w:tcW w:w="1152" w:type="dxa"/>
            <w:vAlign w:val="center"/>
          </w:tcPr>
          <w:p w14:paraId="1373B78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954D5F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6A049D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66F44E4A" w14:textId="77777777" w:rsidTr="00547D77">
        <w:tc>
          <w:tcPr>
            <w:tcW w:w="10656" w:type="dxa"/>
            <w:gridSpan w:val="5"/>
            <w:tcBorders>
              <w:bottom w:val="single" w:sz="6" w:space="0" w:color="auto"/>
            </w:tcBorders>
            <w:vAlign w:val="center"/>
          </w:tcPr>
          <w:p w14:paraId="603B889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75: What are the recommended treatment strategies for recurrent cervical cancer? Can surgery, radiotherapy, and chemotherapy be combined?</w:t>
            </w:r>
          </w:p>
        </w:tc>
      </w:tr>
      <w:tr w:rsidR="00916494" w:rsidRPr="00CB2EC4" w14:paraId="68B4A96D" w14:textId="77777777" w:rsidTr="00547D77">
        <w:tc>
          <w:tcPr>
            <w:tcW w:w="2160" w:type="dxa"/>
            <w:vAlign w:val="center"/>
          </w:tcPr>
          <w:p w14:paraId="456C5EA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976EF9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w:t>
            </w:r>
            <w:r w:rsidRPr="00CB2EC4">
              <w:rPr>
                <w:rFonts w:ascii="Times New Roman" w:hAnsi="Times New Roman" w:cs="Times New Roman"/>
              </w:rPr>
              <w:br/>
            </w:r>
            <w:r w:rsidRPr="00CB2EC4">
              <w:rPr>
                <w:rFonts w:ascii="Times New Roman" w:hAnsi="Times New Roman" w:cs="Times New Roman"/>
              </w:rPr>
              <w:br/>
              <w:t>- Recommended treatment strategies:</w:t>
            </w:r>
            <w:r w:rsidRPr="00CB2EC4">
              <w:rPr>
                <w:rFonts w:ascii="Times New Roman" w:hAnsi="Times New Roman" w:cs="Times New Roman"/>
              </w:rPr>
              <w:br/>
              <w:t xml:space="preserve">  - Central recurrence (e.g., cervix, vagina, bladder/rectum involvement):</w:t>
            </w:r>
            <w:r w:rsidRPr="00CB2EC4">
              <w:rPr>
                <w:rFonts w:ascii="Times New Roman" w:hAnsi="Times New Roman" w:cs="Times New Roman"/>
              </w:rPr>
              <w:br/>
              <w:t xml:space="preserve">    - Preferred: surgical treatment (e.g., pelvic exenteration), especially for post-radiotherapy recurrence without distant metastasis.</w:t>
            </w:r>
            <w:r w:rsidRPr="00CB2EC4">
              <w:rPr>
                <w:rFonts w:ascii="Times New Roman" w:hAnsi="Times New Roman" w:cs="Times New Roman"/>
              </w:rPr>
              <w:br/>
              <w:t xml:space="preserve">    - Alternative: brachytherapy or individualized external beam radiotherapy (EBRT).</w:t>
            </w:r>
            <w:r w:rsidRPr="00CB2EC4">
              <w:rPr>
                <w:rFonts w:ascii="Times New Roman" w:hAnsi="Times New Roman" w:cs="Times New Roman"/>
              </w:rPr>
              <w:br/>
              <w:t xml:space="preserve">    - Source: [Similarity: 0.491] fragment (table): "Central recurrence: surgical treatment (pelvic exenteration)" or "brachytherapy".</w:t>
            </w:r>
            <w:r w:rsidRPr="00CB2EC4">
              <w:rPr>
                <w:rFonts w:ascii="Times New Roman" w:hAnsi="Times New Roman" w:cs="Times New Roman"/>
              </w:rPr>
              <w:br/>
              <w:t xml:space="preserve">  - Non-central recurrence (e.g., pelvic sidewall or outside radiotherapy field):</w:t>
            </w:r>
            <w:r w:rsidRPr="00CB2EC4">
              <w:rPr>
                <w:rFonts w:ascii="Times New Roman" w:hAnsi="Times New Roman" w:cs="Times New Roman"/>
              </w:rPr>
              <w:br/>
              <w:t xml:space="preserve">    - No prior radiotherapy: surgical resection ± postoperative radiotherapy ± chemotherapy.</w:t>
            </w:r>
            <w:r w:rsidRPr="00CB2EC4">
              <w:rPr>
                <w:rFonts w:ascii="Times New Roman" w:hAnsi="Times New Roman" w:cs="Times New Roman"/>
              </w:rPr>
              <w:br/>
              <w:t xml:space="preserve">    - Prior radiotherapy: systemic therapy (chemotherapy) ± individualized radiotherapy (e.g., IMRT or SBRT).</w:t>
            </w:r>
            <w:r w:rsidRPr="00CB2EC4">
              <w:rPr>
                <w:rFonts w:ascii="Times New Roman" w:hAnsi="Times New Roman" w:cs="Times New Roman"/>
              </w:rPr>
              <w:br/>
              <w:t xml:space="preserve">    - Source: [Similarity: 0.491] fragment: "Non-central recurrence: systemic therapy ± individualized EBRT".</w:t>
            </w:r>
            <w:r w:rsidRPr="00CB2EC4">
              <w:rPr>
                <w:rFonts w:ascii="Times New Roman" w:hAnsi="Times New Roman" w:cs="Times New Roman"/>
              </w:rPr>
              <w:br/>
              <w:t xml:space="preserve">  - Distant metastasis (e.g., lung, liver, bone):</w:t>
            </w:r>
            <w:r w:rsidRPr="00CB2EC4">
              <w:rPr>
                <w:rFonts w:ascii="Times New Roman" w:hAnsi="Times New Roman" w:cs="Times New Roman"/>
              </w:rPr>
              <w:br/>
              <w:t xml:space="preserve">    - Preferred: systemic therapy (chemotherapy), combined with palliative radiotherapy for symptom relief.</w:t>
            </w:r>
            <w:r w:rsidRPr="00CB2EC4">
              <w:rPr>
                <w:rFonts w:ascii="Times New Roman" w:hAnsi="Times New Roman" w:cs="Times New Roman"/>
              </w:rPr>
              <w:br/>
              <w:t xml:space="preserve">    - For oligometastatic lesions: consider local therapy (e.g., surgery or radiotherapy).</w:t>
            </w:r>
            <w:r w:rsidRPr="00CB2EC4">
              <w:rPr>
                <w:rFonts w:ascii="Times New Roman" w:hAnsi="Times New Roman" w:cs="Times New Roman"/>
              </w:rPr>
              <w:br/>
              <w:t xml:space="preserve">    - Source: [Similarity: 0.491] fragment: "Distant metastasis: systemic therapy ± nutritional and </w:t>
            </w:r>
            <w:r w:rsidRPr="00CB2EC4">
              <w:rPr>
                <w:rFonts w:ascii="Times New Roman" w:hAnsi="Times New Roman" w:cs="Times New Roman"/>
              </w:rPr>
              <w:lastRenderedPageBreak/>
              <w:t>supportive care".</w:t>
            </w:r>
            <w:r w:rsidRPr="00CB2EC4">
              <w:rPr>
                <w:rFonts w:ascii="Times New Roman" w:hAnsi="Times New Roman" w:cs="Times New Roman"/>
              </w:rPr>
              <w:br/>
              <w:t xml:space="preserve">  - General principles: if initial treatment was surgery, recurrence favors radiotherapy; if initial was radiotherapy, recurrence favors surgery (if feasible). Chemotherapy is commonly used to control micrometastases or as concurrent therapy.</w:t>
            </w:r>
            <w:r w:rsidRPr="00CB2EC4">
              <w:rPr>
                <w:rFonts w:ascii="Times New Roman" w:hAnsi="Times New Roman" w:cs="Times New Roman"/>
              </w:rPr>
              <w:br/>
            </w:r>
            <w:r w:rsidRPr="00CB2EC4">
              <w:rPr>
                <w:rFonts w:ascii="Times New Roman" w:hAnsi="Times New Roman" w:cs="Times New Roman"/>
              </w:rPr>
              <w:br/>
              <w:t>- Can surgery, radiotherapy, and chemotherapy be combined?</w:t>
            </w:r>
            <w:r w:rsidRPr="00CB2EC4">
              <w:rPr>
                <w:rFonts w:ascii="Times New Roman" w:hAnsi="Times New Roman" w:cs="Times New Roman"/>
              </w:rPr>
              <w:br/>
              <w:t xml:space="preserve">  - Yes, the document explicitly supports combination use. Examples:</w:t>
            </w:r>
            <w:r w:rsidRPr="00CB2EC4">
              <w:rPr>
                <w:rFonts w:ascii="Times New Roman" w:hAnsi="Times New Roman" w:cs="Times New Roman"/>
              </w:rPr>
              <w:br/>
              <w:t xml:space="preserve">    - Surgery combined with postoperative radiotherapy and chemotherapy: for high-risk recurrence patients (e.g., lymph node-positive or positive margins).</w:t>
            </w:r>
            <w:r w:rsidRPr="00CB2EC4">
              <w:rPr>
                <w:rFonts w:ascii="Times New Roman" w:hAnsi="Times New Roman" w:cs="Times New Roman"/>
              </w:rPr>
              <w:br/>
              <w:t xml:space="preserve">    - Radiotherapy combined with chemotherapy: as concurrent chemoradiotherapy (CCRT) for local recurrence.</w:t>
            </w:r>
            <w:r w:rsidRPr="00CB2EC4">
              <w:rPr>
                <w:rFonts w:ascii="Times New Roman" w:hAnsi="Times New Roman" w:cs="Times New Roman"/>
              </w:rPr>
              <w:br/>
              <w:t xml:space="preserve">    - Specific examples: [Similarity: 0.491] fragment: "surgical resection ± postoperative individualized EBRT ± brachytherapy ± systemic therapy" and [Similarity: 0.519] fragment: "combined treatment with surgery, radiotherapy, and chemotherapy has been advocated by some".</w:t>
            </w:r>
            <w:r w:rsidRPr="00CB2EC4">
              <w:rPr>
                <w:rFonts w:ascii="Times New Roman" w:hAnsi="Times New Roman" w:cs="Times New Roman"/>
              </w:rPr>
              <w:br/>
              <w:t xml:space="preserve">  - Benefits of combination: improved local control and reduced recurrence risk, but requires balancing complications (e.g., dual therapy increases adverse effects).</w:t>
            </w:r>
            <w:r w:rsidRPr="00CB2EC4">
              <w:rPr>
                <w:rFonts w:ascii="Times New Roman" w:hAnsi="Times New Roman" w:cs="Times New Roman"/>
              </w:rPr>
              <w:br/>
            </w:r>
            <w:r w:rsidRPr="00CB2EC4">
              <w:rPr>
                <w:rFonts w:ascii="Times New Roman" w:hAnsi="Times New Roman" w:cs="Times New Roman"/>
              </w:rPr>
              <w:br/>
              <w:t xml:space="preserve">- Summary: strategies include surgery (for central recurrence), radiotherapy (for non-central or postoperative recurrence), and chemotherapy (for distant metastasis); all three can be combined, especially in high-risk or complex cases. Treatment selection must be based on multidisciplinary </w:t>
            </w:r>
            <w:r w:rsidRPr="00CB2EC4">
              <w:rPr>
                <w:rFonts w:ascii="Times New Roman" w:hAnsi="Times New Roman" w:cs="Times New Roman"/>
              </w:rPr>
              <w:lastRenderedPageBreak/>
              <w:t>assessment.</w:t>
            </w:r>
          </w:p>
        </w:tc>
        <w:tc>
          <w:tcPr>
            <w:tcW w:w="1152" w:type="dxa"/>
            <w:vAlign w:val="center"/>
          </w:tcPr>
          <w:p w14:paraId="12D39C4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1E15E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3AD97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9420564" w14:textId="77777777" w:rsidTr="00547D77">
        <w:tc>
          <w:tcPr>
            <w:tcW w:w="2160" w:type="dxa"/>
            <w:vAlign w:val="center"/>
          </w:tcPr>
          <w:p w14:paraId="75D4B195"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7BAD8C0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 the following treatment strategies are recommended for recurrent cervical cancer, based on the site of recurrence and prior treatment received. surgery, radiotherapy, and chemotherapy can be combined as appropriate:</w:t>
            </w:r>
            <w:r w:rsidRPr="00CB2EC4">
              <w:rPr>
                <w:rFonts w:ascii="Times New Roman" w:hAnsi="Times New Roman" w:cs="Times New Roman"/>
              </w:rPr>
              <w:br/>
            </w:r>
            <w:r w:rsidRPr="00CB2EC4">
              <w:rPr>
                <w:rFonts w:ascii="Times New Roman" w:hAnsi="Times New Roman" w:cs="Times New Roman"/>
              </w:rPr>
              <w:br/>
              <w:t>- **recommended treatment strategies (based on recurrence site and prior therapy):**</w:t>
            </w:r>
            <w:r w:rsidRPr="00CB2EC4">
              <w:rPr>
                <w:rFonts w:ascii="Times New Roman" w:hAnsi="Times New Roman" w:cs="Times New Roman"/>
              </w:rPr>
              <w:br/>
              <w:t xml:space="preserve">  - **prior no radiotherapy or recurrence outside radiotherapy field:**</w:t>
            </w:r>
            <w:r w:rsidRPr="00CB2EC4">
              <w:rPr>
                <w:rFonts w:ascii="Times New Roman" w:hAnsi="Times New Roman" w:cs="Times New Roman"/>
              </w:rPr>
              <w:br/>
              <w:t xml:space="preserve">    - level i recommendation: surgical resection (if resectable) ± postoperative individualized external beam radiotherapy (EBRT) ± brachytherapy ± systemic therapy (chemotherapy) (similarity 0.549).</w:t>
            </w:r>
            <w:r w:rsidRPr="00CB2EC4">
              <w:rPr>
                <w:rFonts w:ascii="Times New Roman" w:hAnsi="Times New Roman" w:cs="Times New Roman"/>
              </w:rPr>
              <w:br/>
              <w:t xml:space="preserve">    - alternative: individualized EBRT ± brachytherapy ± systemic therapy.</w:t>
            </w:r>
            <w:r w:rsidRPr="00CB2EC4">
              <w:rPr>
                <w:rFonts w:ascii="Times New Roman" w:hAnsi="Times New Roman" w:cs="Times New Roman"/>
              </w:rPr>
              <w:br/>
              <w:t xml:space="preserve">  - **prior radiotherapy or recurrence within radiotherapy field:**</w:t>
            </w:r>
            <w:r w:rsidRPr="00CB2EC4">
              <w:rPr>
                <w:rFonts w:ascii="Times New Roman" w:hAnsi="Times New Roman" w:cs="Times New Roman"/>
              </w:rPr>
              <w:br/>
              <w:t xml:space="preserve">    - **central recurrence:**</w:t>
            </w:r>
            <w:r w:rsidRPr="00CB2EC4">
              <w:rPr>
                <w:rFonts w:ascii="Times New Roman" w:hAnsi="Times New Roman" w:cs="Times New Roman"/>
              </w:rPr>
              <w:br/>
              <w:t xml:space="preserve">      - level i recommendation: surgical treatment (pelvic exenteration)</w:t>
            </w:r>
            <w:r w:rsidRPr="00CB2EC4">
              <w:rPr>
                <w:rFonts w:ascii="Times New Roman" w:hAnsi="Times New Roman" w:cs="Times New Roman"/>
              </w:rPr>
              <w:br/>
              <w:t xml:space="preserve">      - level ii recommendation: systemic therapy ± palliative care (similarity 0.549).</w:t>
            </w:r>
            <w:r w:rsidRPr="00CB2EC4">
              <w:rPr>
                <w:rFonts w:ascii="Times New Roman" w:hAnsi="Times New Roman" w:cs="Times New Roman"/>
              </w:rPr>
              <w:br/>
              <w:t xml:space="preserve">    - **non-central recurrence:**</w:t>
            </w:r>
            <w:r w:rsidRPr="00CB2EC4">
              <w:rPr>
                <w:rFonts w:ascii="Times New Roman" w:hAnsi="Times New Roman" w:cs="Times New Roman"/>
              </w:rPr>
              <w:br/>
              <w:t xml:space="preserve">      - recommended: systemic therapy (chemotherapy) ± individualized EBRT (stereotactic body radiotherapy [SBRT] may be considered) or surgical resection ± intraoperative radiotherapy (IORT) (similarity 0.549).</w:t>
            </w:r>
            <w:r w:rsidRPr="00CB2EC4">
              <w:rPr>
                <w:rFonts w:ascii="Times New Roman" w:hAnsi="Times New Roman" w:cs="Times New Roman"/>
              </w:rPr>
              <w:br/>
              <w:t xml:space="preserve">  - **distant metastasis:**</w:t>
            </w:r>
            <w:r w:rsidRPr="00CB2EC4">
              <w:rPr>
                <w:rFonts w:ascii="Times New Roman" w:hAnsi="Times New Roman" w:cs="Times New Roman"/>
              </w:rPr>
              <w:br/>
              <w:t xml:space="preserve">    - systemic therapy (chemotherapy) as primary treatment ± local radiotherapy (e.g., for oligometastatic disease) (similarity 0.454).</w:t>
            </w:r>
            <w:r w:rsidRPr="00CB2EC4">
              <w:rPr>
                <w:rFonts w:ascii="Times New Roman" w:hAnsi="Times New Roman" w:cs="Times New Roman"/>
              </w:rPr>
              <w:br/>
            </w:r>
            <w:r w:rsidRPr="00CB2EC4">
              <w:rPr>
                <w:rFonts w:ascii="Times New Roman" w:hAnsi="Times New Roman" w:cs="Times New Roman"/>
              </w:rPr>
              <w:lastRenderedPageBreak/>
              <w:t xml:space="preserve">    - document states: "systemic treatment ± local radiotherapy or concurrent chemoradiotherapy for the tumor" (similarity 0.487).</w:t>
            </w:r>
            <w:r w:rsidRPr="00CB2EC4">
              <w:rPr>
                <w:rFonts w:ascii="Times New Roman" w:hAnsi="Times New Roman" w:cs="Times New Roman"/>
              </w:rPr>
              <w:br/>
            </w:r>
            <w:r w:rsidRPr="00CB2EC4">
              <w:rPr>
                <w:rFonts w:ascii="Times New Roman" w:hAnsi="Times New Roman" w:cs="Times New Roman"/>
              </w:rPr>
              <w:br/>
              <w:t>- **can surgery, radiotherapy, and chemotherapy be used in combination?**</w:t>
            </w:r>
            <w:r w:rsidRPr="00CB2EC4">
              <w:rPr>
                <w:rFonts w:ascii="Times New Roman" w:hAnsi="Times New Roman" w:cs="Times New Roman"/>
              </w:rPr>
              <w:br/>
              <w:t xml:space="preserve">  - yes, combination use is supported. the document explicitly endorses multimodal therapy:</w:t>
            </w:r>
            <w:r w:rsidRPr="00CB2EC4">
              <w:rPr>
                <w:rFonts w:ascii="Times New Roman" w:hAnsi="Times New Roman" w:cs="Times New Roman"/>
              </w:rPr>
              <w:br/>
              <w:t xml:space="preserve">    - e.g., "surgical resection ± postoperative individualized EBRT ± brachytherapy ± systemic therapy" (similarity 0.549), indicating chemotherapy and radiotherapy may follow surgery.</w:t>
            </w:r>
            <w:r w:rsidRPr="00CB2EC4">
              <w:rPr>
                <w:rFonts w:ascii="Times New Roman" w:hAnsi="Times New Roman" w:cs="Times New Roman"/>
              </w:rPr>
              <w:br/>
              <w:t xml:space="preserve">    - for recurrence after radiotherapy: "systemic therapy ± individualized EBRT" (similarity 0.549) or "combined chemoradiotherapy" (similarity 0.534).</w:t>
            </w:r>
            <w:r w:rsidRPr="00CB2EC4">
              <w:rPr>
                <w:rFonts w:ascii="Times New Roman" w:hAnsi="Times New Roman" w:cs="Times New Roman"/>
              </w:rPr>
              <w:br/>
              <w:t xml:space="preserve">    - the document emphasizes the importance of "comprehensive treatment" in recurrence management, such as "patients with refractory recurrent tumors require individualized, comprehensive treatment approaches" (similarity 0.531).</w:t>
            </w:r>
            <w:r w:rsidRPr="00CB2EC4">
              <w:rPr>
                <w:rFonts w:ascii="Times New Roman" w:hAnsi="Times New Roman" w:cs="Times New Roman"/>
              </w:rPr>
              <w:br/>
            </w:r>
            <w:r w:rsidRPr="00CB2EC4">
              <w:rPr>
                <w:rFonts w:ascii="Times New Roman" w:hAnsi="Times New Roman" w:cs="Times New Roman"/>
              </w:rPr>
              <w:br/>
              <w:t>summary: treatment is individualized based on recurrence site, incorporating surgery, radiotherapy, chemotherapy, or combinations thereof; combined use (e.g., surgery + radiotherapy + chemotherapy) is recommended and feasible, particularly for resectable lesions or symptom control.</w:t>
            </w:r>
          </w:p>
        </w:tc>
        <w:tc>
          <w:tcPr>
            <w:tcW w:w="1152" w:type="dxa"/>
            <w:vAlign w:val="center"/>
          </w:tcPr>
          <w:p w14:paraId="4BE2B05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294609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4B1A7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407C7F5" w14:textId="77777777" w:rsidTr="00547D77">
        <w:tc>
          <w:tcPr>
            <w:tcW w:w="10656" w:type="dxa"/>
            <w:gridSpan w:val="5"/>
            <w:tcBorders>
              <w:bottom w:val="single" w:sz="6" w:space="0" w:color="auto"/>
            </w:tcBorders>
            <w:vAlign w:val="center"/>
          </w:tcPr>
          <w:p w14:paraId="54D5AAD6"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76: What are the treatment strategies for metastatic cervical cancer? Are there specific treatments at different metastatic sites?</w:t>
            </w:r>
          </w:p>
        </w:tc>
      </w:tr>
      <w:tr w:rsidR="00916494" w:rsidRPr="00CB2EC4" w14:paraId="148D422B" w14:textId="77777777" w:rsidTr="00547D77">
        <w:tc>
          <w:tcPr>
            <w:tcW w:w="2160" w:type="dxa"/>
            <w:vAlign w:val="center"/>
          </w:tcPr>
          <w:p w14:paraId="598ED147"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6FF716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treatment strategies for metastatic cervical cancer include: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**Systemic therapy**: First-line chemotherapy, typically platinum-based regimens (e.g., cisplatin monotherapy or in combination with paclitaxel, topotecan). For patients with good performance status, palliative chemotherapy or enrollment in clinical trials is recommended (evidence: "for patients with extra-pelvic recurrence or metastasis, radiotherapy or exenteration is not appropriate; chemotherapy or best supportive care is recommended").</w:t>
            </w:r>
            <w:r w:rsidRPr="00CB2EC4">
              <w:rPr>
                <w:rFonts w:ascii="Times New Roman" w:hAnsi="Times New Roman" w:cs="Times New Roman"/>
              </w:rPr>
              <w:br/>
            </w:r>
            <w:r w:rsidRPr="00CB2EC4">
              <w:rPr>
                <w:rFonts w:ascii="Times New Roman" w:hAnsi="Times New Roman" w:cs="Times New Roman"/>
              </w:rPr>
              <w:br/>
              <w:t>- **Radiotherapy**: Used for symptom relief or local disease control, such as palliative radiotherapy for bone metastasis pain. For isolated metastatic lesions (e.g., lymph nodes, lung, liver, or bone), stereotactic body radiotherapy (SBRT) or individualized external beam radiotherapy (EBRT) may be considered to improve survival ("for highly selected patients with isolated distant metastases amenable to local treatment, radiotherapy or ablative therapy may improve survival").</w:t>
            </w:r>
            <w:r w:rsidRPr="00CB2EC4">
              <w:rPr>
                <w:rFonts w:ascii="Times New Roman" w:hAnsi="Times New Roman" w:cs="Times New Roman"/>
              </w:rPr>
              <w:br/>
            </w:r>
            <w:r w:rsidRPr="00CB2EC4">
              <w:rPr>
                <w:rFonts w:ascii="Times New Roman" w:hAnsi="Times New Roman" w:cs="Times New Roman"/>
              </w:rPr>
              <w:br/>
              <w:t>- **Supportive care**: Includes nutritional support, pain management, and palliative care, especially for refractory cases.</w:t>
            </w:r>
            <w:r w:rsidRPr="00CB2EC4">
              <w:rPr>
                <w:rFonts w:ascii="Times New Roman" w:hAnsi="Times New Roman" w:cs="Times New Roman"/>
              </w:rPr>
              <w:br/>
            </w:r>
            <w:r w:rsidRPr="00CB2EC4">
              <w:rPr>
                <w:rFonts w:ascii="Times New Roman" w:hAnsi="Times New Roman" w:cs="Times New Roman"/>
              </w:rPr>
              <w:br/>
              <w:t>**Site-specific treatments for different metastatic locations**:</w:t>
            </w:r>
            <w:r w:rsidRPr="00CB2EC4">
              <w:rPr>
                <w:rFonts w:ascii="Times New Roman" w:hAnsi="Times New Roman" w:cs="Times New Roman"/>
              </w:rPr>
              <w:br/>
            </w:r>
            <w:r w:rsidRPr="00CB2EC4">
              <w:rPr>
                <w:rFonts w:ascii="Times New Roman" w:hAnsi="Times New Roman" w:cs="Times New Roman"/>
              </w:rPr>
              <w:br/>
              <w:t>- **Lymph node metastases** (e.g., para-aortic or supraclavicular): Extended-field radiotherapy (EFRT) combined with concurrent chemotherapy is recommended.</w:t>
            </w:r>
            <w:r w:rsidRPr="00CB2EC4">
              <w:rPr>
                <w:rFonts w:ascii="Times New Roman" w:hAnsi="Times New Roman" w:cs="Times New Roman"/>
              </w:rPr>
              <w:br/>
            </w:r>
            <w:r w:rsidRPr="00CB2EC4">
              <w:rPr>
                <w:rFonts w:ascii="Times New Roman" w:hAnsi="Times New Roman" w:cs="Times New Roman"/>
              </w:rPr>
              <w:br/>
              <w:t xml:space="preserve">- **Oligometastases in lung, liver, or bone**: Local </w:t>
            </w:r>
            <w:r w:rsidRPr="00CB2EC4">
              <w:rPr>
                <w:rFonts w:ascii="Times New Roman" w:hAnsi="Times New Roman" w:cs="Times New Roman"/>
              </w:rPr>
              <w:lastRenderedPageBreak/>
              <w:t>radiotherapy or surgical resection may be considered, combined with systemic therapy.</w:t>
            </w:r>
            <w:r w:rsidRPr="00CB2EC4">
              <w:rPr>
                <w:rFonts w:ascii="Times New Roman" w:hAnsi="Times New Roman" w:cs="Times New Roman"/>
              </w:rPr>
              <w:br/>
            </w:r>
            <w:r w:rsidRPr="00CB2EC4">
              <w:rPr>
                <w:rFonts w:ascii="Times New Roman" w:hAnsi="Times New Roman" w:cs="Times New Roman"/>
              </w:rPr>
              <w:br/>
              <w:t>- **Central recurrence (e.g., pelvic recurrence)**: If no prior radiotherapy, surgery (e.g., pelvic exenteration) or radiotherapy may be considered; if recurrence occurs within a previous radiotherapy field, systemic therapy is the mainstay.</w:t>
            </w:r>
            <w:r w:rsidRPr="00CB2EC4">
              <w:rPr>
                <w:rFonts w:ascii="Times New Roman" w:hAnsi="Times New Roman" w:cs="Times New Roman"/>
              </w:rPr>
              <w:br/>
            </w:r>
            <w:r w:rsidRPr="00CB2EC4">
              <w:rPr>
                <w:rFonts w:ascii="Times New Roman" w:hAnsi="Times New Roman" w:cs="Times New Roman"/>
              </w:rPr>
              <w:br/>
              <w:t>**Summary**: Treatment strategy depends on metastatic site, extent, and prior therapy. Systemic therapy is the foundation; local therapy is used for oligometastatic disease to prolong survival.</w:t>
            </w:r>
          </w:p>
        </w:tc>
        <w:tc>
          <w:tcPr>
            <w:tcW w:w="1152" w:type="dxa"/>
            <w:vAlign w:val="center"/>
          </w:tcPr>
          <w:p w14:paraId="20AD4EE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3B81A3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D3130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06ACB7D" w14:textId="77777777" w:rsidTr="00547D77">
        <w:tc>
          <w:tcPr>
            <w:tcW w:w="2160" w:type="dxa"/>
            <w:vAlign w:val="center"/>
          </w:tcPr>
          <w:p w14:paraId="0A302A91"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74DD9FF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**Treatment Strategies**:</w:t>
            </w:r>
            <w:r w:rsidRPr="00CB2EC4">
              <w:rPr>
                <w:rFonts w:ascii="Times New Roman" w:hAnsi="Times New Roman" w:cs="Times New Roman"/>
              </w:rPr>
              <w:br/>
              <w:t xml:space="preserve">  - For patients with pelvic recurrence or extra-pelvic metastasis who are not suitable for radiotherapy or pelvic exenteration, chemotherapy or best supportive care (such as pain management and symptom relief) is recommended. Chemotherapy can alleviate pain and other symptoms, but responses are typically short-lived with limited survival benefit.</w:t>
            </w:r>
            <w:r w:rsidRPr="00CB2EC4">
              <w:rPr>
                <w:rFonts w:ascii="Times New Roman" w:hAnsi="Times New Roman" w:cs="Times New Roman"/>
              </w:rPr>
              <w:br/>
              <w:t xml:space="preserve">  - For carefully selected patients with isolated distant metastases (e.g., oligometastatic disease in lymph nodes, lung, liver, or bone), local therapies such as radiotherapy or ablation may be used and may improve survival. Systemic therapy (e.g., chemotherapy) may be considered after local treatment.</w:t>
            </w:r>
            <w:r w:rsidRPr="00CB2EC4">
              <w:rPr>
                <w:rFonts w:ascii="Times New Roman" w:hAnsi="Times New Roman" w:cs="Times New Roman"/>
              </w:rPr>
              <w:br/>
              <w:t xml:space="preserve">  - In patients with positive para-aortic or supraclavicular lymph nodes, concurrent chemoradiotherapy (CCRT) may yield better response rates, overall survival, and disease-free survival compared with systemic chemotherapy alone.</w:t>
            </w:r>
            <w:r w:rsidRPr="00CB2EC4">
              <w:rPr>
                <w:rFonts w:ascii="Times New Roman" w:hAnsi="Times New Roman" w:cs="Times New Roman"/>
              </w:rPr>
              <w:br/>
              <w:t xml:space="preserve">  - Patients with refractory metastatic tumors require </w:t>
            </w:r>
            <w:r w:rsidRPr="00CB2EC4">
              <w:rPr>
                <w:rFonts w:ascii="Times New Roman" w:hAnsi="Times New Roman" w:cs="Times New Roman"/>
              </w:rPr>
              <w:lastRenderedPageBreak/>
              <w:t>individualized comprehensive management, including end-of-life care, pain consultation, and emotional and spiritual support.</w:t>
            </w:r>
            <w:r w:rsidRPr="00CB2EC4">
              <w:rPr>
                <w:rFonts w:ascii="Times New Roman" w:hAnsi="Times New Roman" w:cs="Times New Roman"/>
              </w:rPr>
              <w:br/>
              <w:t xml:space="preserve">  - For patients who fail first-line systemic therapy, prognosis is poor; they may receive further systemic therapy or best supportive care, and participation in clinical trials is encouraged.</w:t>
            </w:r>
            <w:r w:rsidRPr="00CB2EC4">
              <w:rPr>
                <w:rFonts w:ascii="Times New Roman" w:hAnsi="Times New Roman" w:cs="Times New Roman"/>
              </w:rPr>
              <w:br/>
            </w:r>
            <w:r w:rsidRPr="00CB2EC4">
              <w:rPr>
                <w:rFonts w:ascii="Times New Roman" w:hAnsi="Times New Roman" w:cs="Times New Roman"/>
              </w:rPr>
              <w:br/>
              <w:t>- **Site-Specific Treatments for Different Metastatic Locations**:</w:t>
            </w:r>
            <w:r w:rsidRPr="00CB2EC4">
              <w:rPr>
                <w:rFonts w:ascii="Times New Roman" w:hAnsi="Times New Roman" w:cs="Times New Roman"/>
              </w:rPr>
              <w:br/>
              <w:t xml:space="preserve">  - **Lymph node metastases (e.g., para-aortic or supraclavicular)**: Concurrent chemoradiotherapy (CCRT) is recommended and may be superior to chemotherapy alone.</w:t>
            </w:r>
            <w:r w:rsidRPr="00CB2EC4">
              <w:rPr>
                <w:rFonts w:ascii="Times New Roman" w:hAnsi="Times New Roman" w:cs="Times New Roman"/>
              </w:rPr>
              <w:br/>
              <w:t xml:space="preserve">  - **Bone metastases**: Radiotherapy is commonly used for palliative pain relief.</w:t>
            </w:r>
            <w:r w:rsidRPr="00CB2EC4">
              <w:rPr>
                <w:rFonts w:ascii="Times New Roman" w:hAnsi="Times New Roman" w:cs="Times New Roman"/>
              </w:rPr>
              <w:br/>
              <w:t xml:space="preserve">  - **Isolated oligometastases in lung, liver, etc.**: May benefit from local radiotherapy or ablation, followed by combination systemic therapy.</w:t>
            </w:r>
            <w:r w:rsidRPr="00CB2EC4">
              <w:rPr>
                <w:rFonts w:ascii="Times New Roman" w:hAnsi="Times New Roman" w:cs="Times New Roman"/>
              </w:rPr>
              <w:br/>
              <w:t xml:space="preserve">  - **Extensive extra-pelvic metastasis**: Systemic chemotherapy or best supportive care is the mainstay; local radiotherapy or surgery is not recommended.</w:t>
            </w:r>
            <w:r w:rsidRPr="00CB2EC4">
              <w:rPr>
                <w:rFonts w:ascii="Times New Roman" w:hAnsi="Times New Roman" w:cs="Times New Roman"/>
              </w:rPr>
              <w:br/>
            </w:r>
            <w:r w:rsidRPr="00CB2EC4">
              <w:rPr>
                <w:rFonts w:ascii="Times New Roman" w:hAnsi="Times New Roman" w:cs="Times New Roman"/>
              </w:rPr>
              <w:br/>
              <w:t>- **Evidence Basis**: The document repeatedly references systemic therapy for recurrent or metastatic cervical cancer (e.g., segments with similarity scores 0.624, 0.587, 0.553), emphasizing that the choice between chemotherapy and local therapy depends on metastatic site and individual patient factors.</w:t>
            </w:r>
          </w:p>
        </w:tc>
        <w:tc>
          <w:tcPr>
            <w:tcW w:w="1152" w:type="dxa"/>
            <w:vAlign w:val="center"/>
          </w:tcPr>
          <w:p w14:paraId="754EB5C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7A04E4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BE7386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03E7C9A3" w14:textId="77777777" w:rsidTr="00547D77">
        <w:tc>
          <w:tcPr>
            <w:tcW w:w="10656" w:type="dxa"/>
            <w:gridSpan w:val="5"/>
            <w:tcBorders>
              <w:bottom w:val="single" w:sz="6" w:space="0" w:color="auto"/>
            </w:tcBorders>
            <w:vAlign w:val="center"/>
          </w:tcPr>
          <w:p w14:paraId="5C0D439D"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77: What are the treatment strategies for patients with cervical cancer during pregnancy? How does the treatment differ in early, intermediate, and advanced stages of pregnancy?</w:t>
            </w:r>
          </w:p>
        </w:tc>
      </w:tr>
      <w:tr w:rsidR="00916494" w:rsidRPr="00CB2EC4" w14:paraId="53088222" w14:textId="77777777" w:rsidTr="00547D77">
        <w:tc>
          <w:tcPr>
            <w:tcW w:w="2160" w:type="dxa"/>
            <w:vAlign w:val="center"/>
          </w:tcPr>
          <w:p w14:paraId="6E2F1F65" w14:textId="77777777" w:rsidR="00916494" w:rsidRPr="00CB2EC4" w:rsidRDefault="00916494" w:rsidP="00547D77">
            <w:pPr>
              <w:rPr>
                <w:rFonts w:ascii="Times New Roman" w:hAnsi="Times New Roman" w:cs="Times New Roman"/>
              </w:rPr>
            </w:pPr>
            <w:r>
              <w:rPr>
                <w:rFonts w:ascii="Times New Roman" w:hAnsi="Times New Roman" w:cs="Times New Roman"/>
              </w:rPr>
              <w:t xml:space="preserve">Chunk size=512, Overlap=0 Using </w:t>
            </w:r>
            <w:r>
              <w:rPr>
                <w:rFonts w:ascii="Times New Roman" w:hAnsi="Times New Roman" w:cs="Times New Roman"/>
              </w:rPr>
              <w:lastRenderedPageBreak/>
              <w:t>TokenTextSplitter</w:t>
            </w:r>
          </w:p>
        </w:tc>
        <w:tc>
          <w:tcPr>
            <w:tcW w:w="5040" w:type="dxa"/>
            <w:vAlign w:val="center"/>
          </w:tcPr>
          <w:p w14:paraId="20D453D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treatment strategies for cervical cancer during pregnancy:</w:t>
            </w:r>
            <w:r w:rsidRPr="00CB2EC4">
              <w:rPr>
                <w:rFonts w:ascii="Times New Roman" w:hAnsi="Times New Roman" w:cs="Times New Roman"/>
              </w:rPr>
              <w:br/>
            </w:r>
            <w:r w:rsidRPr="00CB2EC4">
              <w:rPr>
                <w:rFonts w:ascii="Times New Roman" w:hAnsi="Times New Roman" w:cs="Times New Roman"/>
              </w:rPr>
              <w:lastRenderedPageBreak/>
              <w:br/>
              <w:t>overall treatment strategy: cervical cancer in pregnancy requires multidisciplinary team evaluation, prioritizing maternal prognosis and fetal safety. treatment options include surgery, radiotherapy, or delayed treatment, depending on tumor stage and gestational age.</w:t>
            </w:r>
            <w:r w:rsidRPr="00CB2EC4">
              <w:rPr>
                <w:rFonts w:ascii="Times New Roman" w:hAnsi="Times New Roman" w:cs="Times New Roman"/>
              </w:rPr>
              <w:br/>
              <w:t>- treatment differences by gestational stage:</w:t>
            </w:r>
            <w:r w:rsidRPr="00CB2EC4">
              <w:rPr>
                <w:rFonts w:ascii="Times New Roman" w:hAnsi="Times New Roman" w:cs="Times New Roman"/>
              </w:rPr>
              <w:br/>
              <w:t xml:space="preserve">  - first trimester (≤12 weeks): termination of pregnancy is recommended, followed immediately by standard treatment (e.g., surgery or chemoradiation) to avoid treatment delay.</w:t>
            </w:r>
            <w:r w:rsidRPr="00CB2EC4">
              <w:rPr>
                <w:rFonts w:ascii="Times New Roman" w:hAnsi="Times New Roman" w:cs="Times New Roman"/>
              </w:rPr>
              <w:br/>
              <w:t xml:space="preserve">  - second trimester (13–28 weeks): delayed treatment may be considered until fetal viability (approximately after 24 weeks), with close tumor monitoring; if rapid tumor progression occurs, surgery (e.g., trachelectomy) or chemotherapy (avoiding radiotherapy) may be performed. definitive treatment is completed after delivery.</w:t>
            </w:r>
            <w:r w:rsidRPr="00CB2EC4">
              <w:rPr>
                <w:rFonts w:ascii="Times New Roman" w:hAnsi="Times New Roman" w:cs="Times New Roman"/>
              </w:rPr>
              <w:br/>
              <w:t xml:space="preserve">  - third trimester (&gt;28 weeks): treatment is preferably delayed until delivery (often planned as preterm birth), followed immediately by radical treatment postpartum (e.g., hysterectomy or chemoradiation). radiotherapy must be avoided during pregnancy.</w:t>
            </w:r>
          </w:p>
        </w:tc>
        <w:tc>
          <w:tcPr>
            <w:tcW w:w="1152" w:type="dxa"/>
            <w:vAlign w:val="center"/>
          </w:tcPr>
          <w:p w14:paraId="0CA1132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A69AEC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36273F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03D25A3D" w14:textId="77777777" w:rsidTr="00547D77">
        <w:tc>
          <w:tcPr>
            <w:tcW w:w="2160" w:type="dxa"/>
            <w:vAlign w:val="center"/>
          </w:tcPr>
          <w:p w14:paraId="0875284C"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197AC3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treatment strategies for cervical cancer during pregnancy:</w:t>
            </w:r>
            <w:r w:rsidRPr="00CB2EC4">
              <w:rPr>
                <w:rFonts w:ascii="Times New Roman" w:hAnsi="Times New Roman" w:cs="Times New Roman"/>
              </w:rPr>
              <w:br/>
            </w:r>
            <w:r w:rsidRPr="00CB2EC4">
              <w:rPr>
                <w:rFonts w:ascii="Times New Roman" w:hAnsi="Times New Roman" w:cs="Times New Roman"/>
              </w:rPr>
              <w:br/>
              <w:t>- overall principle: management of cervical cancer during pregnancy follows the same principles as in non-pregnant patients but requires a multidisciplinary team to balance maternal and fetal health. treatment depends on gestational stage, tumor stage, and patient preference.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stage-specific treatment strategies:</w:t>
            </w:r>
            <w:r w:rsidRPr="00CB2EC4">
              <w:rPr>
                <w:rFonts w:ascii="Times New Roman" w:hAnsi="Times New Roman" w:cs="Times New Roman"/>
              </w:rPr>
              <w:br/>
              <w:t xml:space="preserve">  - first trimester (≤20 weeks):</w:t>
            </w:r>
            <w:r w:rsidRPr="00CB2EC4">
              <w:rPr>
                <w:rFonts w:ascii="Times New Roman" w:hAnsi="Times New Roman" w:cs="Times New Roman"/>
              </w:rPr>
              <w:br/>
              <w:t xml:space="preserve">    - upon diagnosis of cervical cancer, pregnancy should be terminated promptly (via therapeutic abortion or dilation and curettage), followed by initiation of cervical cancer treatment (surgery or chemoradiation).</w:t>
            </w:r>
            <w:r w:rsidRPr="00CB2EC4">
              <w:rPr>
                <w:rFonts w:ascii="Times New Roman" w:hAnsi="Times New Roman" w:cs="Times New Roman"/>
              </w:rPr>
              <w:br/>
              <w:t xml:space="preserve">    - for early-stage cancer (e.g., IB, IIA), radical hysterectomy with pelvic lymphadenectomy is preferred if no surgical contraindications exist, with ovarian preservation.</w:t>
            </w:r>
            <w:r w:rsidRPr="00CB2EC4">
              <w:rPr>
                <w:rFonts w:ascii="Times New Roman" w:hAnsi="Times New Roman" w:cs="Times New Roman"/>
              </w:rPr>
              <w:br/>
              <w:t xml:space="preserve">    - radiation therapy often leads to spontaneous abortion, so pregnancy must be terminated before radiotherapy.</w:t>
            </w:r>
            <w:r w:rsidRPr="00CB2EC4">
              <w:rPr>
                <w:rFonts w:ascii="Times New Roman" w:hAnsi="Times New Roman" w:cs="Times New Roman"/>
              </w:rPr>
              <w:br/>
            </w:r>
            <w:r w:rsidRPr="00CB2EC4">
              <w:rPr>
                <w:rFonts w:ascii="Times New Roman" w:hAnsi="Times New Roman" w:cs="Times New Roman"/>
              </w:rPr>
              <w:br/>
              <w:t xml:space="preserve">  - second trimester (&gt;20 weeks to before late pregnancy):</w:t>
            </w:r>
            <w:r w:rsidRPr="00CB2EC4">
              <w:rPr>
                <w:rFonts w:ascii="Times New Roman" w:hAnsi="Times New Roman" w:cs="Times New Roman"/>
              </w:rPr>
              <w:br/>
              <w:t xml:space="preserve">    - deferring radical treatment may be considered to increase fetal viability, especially for IA2–IB2 stage patients. prognosis does not appear worse compared to non-pregnant patients when treatment is delayed.</w:t>
            </w:r>
            <w:r w:rsidRPr="00CB2EC4">
              <w:rPr>
                <w:rFonts w:ascii="Times New Roman" w:hAnsi="Times New Roman" w:cs="Times New Roman"/>
              </w:rPr>
              <w:br/>
              <w:t xml:space="preserve">    - during ongoing pregnancy, selected patients may undergo surgery (e.g., radical trachelectomy) or chemotherapy (neoadjuvant chemotherapy).</w:t>
            </w:r>
            <w:r w:rsidRPr="00CB2EC4">
              <w:rPr>
                <w:rFonts w:ascii="Times New Roman" w:hAnsi="Times New Roman" w:cs="Times New Roman"/>
              </w:rPr>
              <w:br/>
              <w:t xml:space="preserve">    - for locally advanced tumors, classical cesarean section may be performed to terminate pregnancy, followed by 2–3 cycles of neoadjuvant chemotherapy, then radical surgery.</w:t>
            </w:r>
            <w:r w:rsidRPr="00CB2EC4">
              <w:rPr>
                <w:rFonts w:ascii="Times New Roman" w:hAnsi="Times New Roman" w:cs="Times New Roman"/>
              </w:rPr>
              <w:br/>
            </w:r>
            <w:r w:rsidRPr="00CB2EC4">
              <w:rPr>
                <w:rFonts w:ascii="Times New Roman" w:hAnsi="Times New Roman" w:cs="Times New Roman"/>
              </w:rPr>
              <w:br/>
              <w:t xml:space="preserve">  - third trimester (≥38 weeks):</w:t>
            </w:r>
            <w:r w:rsidRPr="00CB2EC4">
              <w:rPr>
                <w:rFonts w:ascii="Times New Roman" w:hAnsi="Times New Roman" w:cs="Times New Roman"/>
              </w:rPr>
              <w:br/>
              <w:t xml:space="preserve">    - perform classical cesarean section to terminate pregnancy, then initiate cervical cancer treatment (radical hysterectomy or chemoradiation) as soon as possible postpartum.</w:t>
            </w:r>
            <w:r w:rsidRPr="00CB2EC4">
              <w:rPr>
                <w:rFonts w:ascii="Times New Roman" w:hAnsi="Times New Roman" w:cs="Times New Roman"/>
              </w:rPr>
              <w:br/>
            </w:r>
            <w:r w:rsidRPr="00CB2EC4">
              <w:rPr>
                <w:rFonts w:ascii="Times New Roman" w:hAnsi="Times New Roman" w:cs="Times New Roman"/>
              </w:rPr>
              <w:lastRenderedPageBreak/>
              <w:t xml:space="preserve">    - for patients desiring fertility preservation, radical surgery may be performed concurrently with cesarean section; for those without fertility desire, treatment begins immediately.</w:t>
            </w:r>
            <w:r w:rsidRPr="00CB2EC4">
              <w:rPr>
                <w:rFonts w:ascii="Times New Roman" w:hAnsi="Times New Roman" w:cs="Times New Roman"/>
              </w:rPr>
              <w:br/>
              <w:t xml:space="preserve">    - external beam radiotherapy should be initiated within 10 days postpartum, followed by brachytherapy after uterine involution.</w:t>
            </w:r>
            <w:r w:rsidRPr="00CB2EC4">
              <w:rPr>
                <w:rFonts w:ascii="Times New Roman" w:hAnsi="Times New Roman" w:cs="Times New Roman"/>
              </w:rPr>
              <w:br/>
            </w:r>
            <w:r w:rsidRPr="00CB2EC4">
              <w:rPr>
                <w:rFonts w:ascii="Times New Roman" w:hAnsi="Times New Roman" w:cs="Times New Roman"/>
              </w:rPr>
              <w:br/>
              <w:t>- evidence basis: the document details management of cervical cancer during pregnancy (e.g., [similarity: 0.561], [similarity: 0.519], [similarity: 0.535] segments), emphasizing the impact of stage and gestational timing on decision-making.</w:t>
            </w:r>
          </w:p>
        </w:tc>
        <w:tc>
          <w:tcPr>
            <w:tcW w:w="1152" w:type="dxa"/>
            <w:vAlign w:val="center"/>
          </w:tcPr>
          <w:p w14:paraId="02B5EA0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E0160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AB95A8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4F1C8DC" w14:textId="77777777" w:rsidTr="00547D77">
        <w:tc>
          <w:tcPr>
            <w:tcW w:w="10656" w:type="dxa"/>
            <w:gridSpan w:val="5"/>
            <w:tcBorders>
              <w:bottom w:val="single" w:sz="6" w:space="0" w:color="auto"/>
            </w:tcBorders>
            <w:vAlign w:val="center"/>
          </w:tcPr>
          <w:p w14:paraId="37DC994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78: Are patients with cervical cancer in pregnancy suitable for surgery? At what stage of pregnancy should surgery be considered?</w:t>
            </w:r>
          </w:p>
        </w:tc>
      </w:tr>
      <w:tr w:rsidR="00916494" w:rsidRPr="00CB2EC4" w14:paraId="31CCF1B5" w14:textId="77777777" w:rsidTr="00547D77">
        <w:tc>
          <w:tcPr>
            <w:tcW w:w="2160" w:type="dxa"/>
            <w:vAlign w:val="center"/>
          </w:tcPr>
          <w:p w14:paraId="6AB3680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FA9BE2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 surgical treatment is suitable for pregnant patients with cervical cancer, particularly for those with early-stage disease (IB, IIA) without surgical contraindications. surgery can preserve ovarian and vaginal function, which is especially important for young patients.</w:t>
            </w:r>
            <w:r w:rsidRPr="00CB2EC4">
              <w:rPr>
                <w:rFonts w:ascii="Times New Roman" w:hAnsi="Times New Roman" w:cs="Times New Roman"/>
              </w:rPr>
              <w:br/>
            </w:r>
            <w:r w:rsidRPr="00CB2EC4">
              <w:rPr>
                <w:rFonts w:ascii="Times New Roman" w:hAnsi="Times New Roman" w:cs="Times New Roman"/>
              </w:rPr>
              <w:br/>
              <w:t>surgical timing by gestational stage:</w:t>
            </w:r>
            <w:r w:rsidRPr="00CB2EC4">
              <w:rPr>
                <w:rFonts w:ascii="Times New Roman" w:hAnsi="Times New Roman" w:cs="Times New Roman"/>
              </w:rPr>
              <w:br/>
              <w:t>- early pregnancy (before 20 weeks): immediate surgery is appropriate. this may involve terminating the pregnancy (via abortion or cesarean delivery) followed by radical surgery, or performing radical surgery with the fetus in utero (after risk assessment).</w:t>
            </w:r>
            <w:r w:rsidRPr="00CB2EC4">
              <w:rPr>
                <w:rFonts w:ascii="Times New Roman" w:hAnsi="Times New Roman" w:cs="Times New Roman"/>
              </w:rPr>
              <w:br/>
              <w:t xml:space="preserve">- mid and late pregnancy (after 20 weeks): delayed surgery until approximately 38 weeks is recommended, performed concurrently with cesarean section. for example, a classical cesarean section followed immediately by radical hysterectomy to </w:t>
            </w:r>
            <w:r w:rsidRPr="00CB2EC4">
              <w:rPr>
                <w:rFonts w:ascii="Times New Roman" w:hAnsi="Times New Roman" w:cs="Times New Roman"/>
              </w:rPr>
              <w:lastRenderedPageBreak/>
              <w:t>reduce tumor dissemination risk.</w:t>
            </w:r>
            <w:r w:rsidRPr="00CB2EC4">
              <w:rPr>
                <w:rFonts w:ascii="Times New Roman" w:hAnsi="Times New Roman" w:cs="Times New Roman"/>
              </w:rPr>
              <w:br/>
              <w:t>- exception: for large or high-risk tumors, neoadjuvant chemotherapy may be given before surgery.</w:t>
            </w:r>
            <w:r w:rsidRPr="00CB2EC4">
              <w:rPr>
                <w:rFonts w:ascii="Times New Roman" w:hAnsi="Times New Roman" w:cs="Times New Roman"/>
              </w:rPr>
              <w:br/>
            </w:r>
            <w:r w:rsidRPr="00CB2EC4">
              <w:rPr>
                <w:rFonts w:ascii="Times New Roman" w:hAnsi="Times New Roman" w:cs="Times New Roman"/>
              </w:rPr>
              <w:br/>
              <w:t>note: surgery must be performed at a specialized center; vaginal delivery should be avoided to prevent hemorrhage and tumor spread; pelvic congestion during pregnancy increases intraoperative bleeding risk, requiring careful technique.</w:t>
            </w:r>
            <w:r w:rsidRPr="00CB2EC4">
              <w:rPr>
                <w:rFonts w:ascii="Times New Roman" w:hAnsi="Times New Roman" w:cs="Times New Roman"/>
              </w:rPr>
              <w:br/>
            </w:r>
            <w:r w:rsidRPr="00CB2EC4">
              <w:rPr>
                <w:rFonts w:ascii="Times New Roman" w:hAnsi="Times New Roman" w:cs="Times New Roman"/>
              </w:rPr>
              <w:br/>
              <w:t>summary: surgical treatment is feasible, prioritized in early pregnancy or late pregnancy (combined with cesarean section); mid-pregnancy cases may be delayed with close monitoring.</w:t>
            </w:r>
          </w:p>
        </w:tc>
        <w:tc>
          <w:tcPr>
            <w:tcW w:w="1152" w:type="dxa"/>
            <w:vAlign w:val="center"/>
          </w:tcPr>
          <w:p w14:paraId="2DF115E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E1B45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D0C97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84F2D57" w14:textId="77777777" w:rsidTr="00547D77">
        <w:tc>
          <w:tcPr>
            <w:tcW w:w="2160" w:type="dxa"/>
            <w:vAlign w:val="center"/>
          </w:tcPr>
          <w:p w14:paraId="1E6177A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C3940A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 surgical treatment is suitable for pregnant patients with cervical cancer, particularly for early-stage cases (such as IA2, IB), which can preserve ovarian function and fertility. Surgical options include radical hysterectomy, pelvic lymphadenectomy, or radical trachelectomy (fertility-preserving).</w:t>
            </w:r>
            <w:r w:rsidRPr="00CB2EC4">
              <w:rPr>
                <w:rFonts w:ascii="Times New Roman" w:hAnsi="Times New Roman" w:cs="Times New Roman"/>
              </w:rPr>
              <w:br/>
            </w:r>
            <w:r w:rsidRPr="00CB2EC4">
              <w:rPr>
                <w:rFonts w:ascii="Times New Roman" w:hAnsi="Times New Roman" w:cs="Times New Roman"/>
              </w:rPr>
              <w:br/>
              <w:t>consideration of surgical timing:</w:t>
            </w:r>
            <w:r w:rsidRPr="00CB2EC4">
              <w:rPr>
                <w:rFonts w:ascii="Times New Roman" w:hAnsi="Times New Roman" w:cs="Times New Roman"/>
              </w:rPr>
              <w:br/>
              <w:t>- early pregnancy (≤20 weeks): terminate pregnancy and proceed immediately with surgery (e.g., radical hysterectomy). for IA2 or IB stage, tumor diameter &lt;2cm, and no pelvic or lymph node metastasis, radical trachelectomy (uterus-preserving) may be performed.</w:t>
            </w:r>
            <w:r w:rsidRPr="00CB2EC4">
              <w:rPr>
                <w:rFonts w:ascii="Times New Roman" w:hAnsi="Times New Roman" w:cs="Times New Roman"/>
              </w:rPr>
              <w:br/>
              <w:t>- mid-pregnancy (&gt;20 weeks): surgery may be deferred until late pregnancy, or performed during pregnancy (e.g., radical trachelectomy) provided laparoscopic lymph node biopsy confirms no metastasis.</w:t>
            </w:r>
            <w:r w:rsidRPr="00CB2EC4">
              <w:rPr>
                <w:rFonts w:ascii="Times New Roman" w:hAnsi="Times New Roman" w:cs="Times New Roman"/>
              </w:rPr>
              <w:br/>
              <w:t xml:space="preserve">- late pregnancy (≥38 weeks): perform cesarean section to terminate pregnancy, followed by </w:t>
            </w:r>
            <w:r w:rsidRPr="00CB2EC4">
              <w:rPr>
                <w:rFonts w:ascii="Times New Roman" w:hAnsi="Times New Roman" w:cs="Times New Roman"/>
              </w:rPr>
              <w:lastRenderedPageBreak/>
              <w:t>immediate surgery (e.g., radical hysterectomy) as soon as possible.</w:t>
            </w:r>
            <w:r w:rsidRPr="00CB2EC4">
              <w:rPr>
                <w:rFonts w:ascii="Times New Roman" w:hAnsi="Times New Roman" w:cs="Times New Roman"/>
              </w:rPr>
              <w:br/>
            </w:r>
            <w:r w:rsidRPr="00CB2EC4">
              <w:rPr>
                <w:rFonts w:ascii="Times New Roman" w:hAnsi="Times New Roman" w:cs="Times New Roman"/>
              </w:rPr>
              <w:br/>
              <w:t>notes: surgery requires assessment of patient tolerance, tumor stage, and local medical resources. postoperative recurrence after radiotherapy or advanced-stage cases carry high surgical risk and require caution.</w:t>
            </w:r>
            <w:r w:rsidRPr="00CB2EC4">
              <w:rPr>
                <w:rFonts w:ascii="Times New Roman" w:hAnsi="Times New Roman" w:cs="Times New Roman"/>
              </w:rPr>
              <w:br/>
            </w:r>
            <w:r w:rsidRPr="00CB2EC4">
              <w:rPr>
                <w:rFonts w:ascii="Times New Roman" w:hAnsi="Times New Roman" w:cs="Times New Roman"/>
              </w:rPr>
              <w:br/>
              <w:t>basis: the document explicitly states the application of surgery during pregnancy (e.g., [similarity: 0.519], [similarity: 0.535] segments) and specifies applicable stages and conditions.</w:t>
            </w:r>
          </w:p>
        </w:tc>
        <w:tc>
          <w:tcPr>
            <w:tcW w:w="1152" w:type="dxa"/>
            <w:vAlign w:val="center"/>
          </w:tcPr>
          <w:p w14:paraId="5B7121F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31443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12EE5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B49B42D" w14:textId="77777777" w:rsidTr="00547D77">
        <w:tc>
          <w:tcPr>
            <w:tcW w:w="10656" w:type="dxa"/>
            <w:gridSpan w:val="5"/>
            <w:tcBorders>
              <w:bottom w:val="single" w:sz="6" w:space="0" w:color="auto"/>
            </w:tcBorders>
            <w:vAlign w:val="center"/>
          </w:tcPr>
          <w:p w14:paraId="408B4E5A"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79: What is the radiotherapy strategy for patients with locally advanced cervical cancer? When is a combination of chemotherapy recommended?</w:t>
            </w:r>
          </w:p>
        </w:tc>
      </w:tr>
      <w:tr w:rsidR="00916494" w:rsidRPr="00CB2EC4" w14:paraId="2BA8A154" w14:textId="77777777" w:rsidTr="00547D77">
        <w:tc>
          <w:tcPr>
            <w:tcW w:w="2160" w:type="dxa"/>
            <w:vAlign w:val="center"/>
          </w:tcPr>
          <w:p w14:paraId="1592084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E535A4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79. What is the radiotherapy strategy for patients with locally advanced cervical cancer? When is combined chemotherapy recommended?</w:t>
            </w:r>
            <w:r w:rsidRPr="00CB2EC4">
              <w:rPr>
                <w:rFonts w:ascii="Times New Roman" w:hAnsi="Times New Roman" w:cs="Times New Roman"/>
              </w:rPr>
              <w:br/>
            </w:r>
            <w:r w:rsidRPr="00CB2EC4">
              <w:rPr>
                <w:rFonts w:ascii="Times New Roman" w:hAnsi="Times New Roman" w:cs="Times New Roman"/>
              </w:rPr>
              <w:br/>
              <w:t>Based on the document content:</w:t>
            </w:r>
            <w:r w:rsidRPr="00CB2EC4">
              <w:rPr>
                <w:rFonts w:ascii="Times New Roman" w:hAnsi="Times New Roman" w:cs="Times New Roman"/>
              </w:rPr>
              <w:br/>
              <w:t>- Radiotherapy strategy: For locally advanced cervical cancer (e.g., FIGO IB3, IIA2 and above), radical radiotherapy is the mainstay, consisting of external beam radiotherapy (EBRT) and intracavitary brachytherapy (ICRT). The standard regimen is:</w:t>
            </w:r>
            <w:r w:rsidRPr="00CB2EC4">
              <w:rPr>
                <w:rFonts w:ascii="Times New Roman" w:hAnsi="Times New Roman" w:cs="Times New Roman"/>
              </w:rPr>
              <w:br/>
              <w:t xml:space="preserve">  - EBRT: Covers the entire pelvis, with a dose of approximately 45–50 Gy, used to shrink the tumor and cover nodal regions ([similarity: 0.522] segment: "Standard EBRT should cover the uterine body, cervix, adnexal structures, parametria, and pelvic lymph nodes using 2 or 4 field techniques").</w:t>
            </w:r>
            <w:r w:rsidRPr="00CB2EC4">
              <w:rPr>
                <w:rFonts w:ascii="Times New Roman" w:hAnsi="Times New Roman" w:cs="Times New Roman"/>
              </w:rPr>
              <w:br/>
              <w:t xml:space="preserve">  - ICRT: Used to boost local dose, with point A or high-risk CTV reaching 80–90 Gy (equivalent dose). </w:t>
            </w:r>
            <w:r w:rsidRPr="00CB2EC4">
              <w:rPr>
                <w:rFonts w:ascii="Times New Roman" w:hAnsi="Times New Roman" w:cs="Times New Roman"/>
              </w:rPr>
              <w:lastRenderedPageBreak/>
              <w:t>Recommended after EBRT to optimize tumor control.</w:t>
            </w:r>
            <w:r w:rsidRPr="00CB2EC4">
              <w:rPr>
                <w:rFonts w:ascii="Times New Roman" w:hAnsi="Times New Roman" w:cs="Times New Roman"/>
              </w:rPr>
              <w:br/>
              <w:t xml:space="preserve">  - Technical application: Image-guided radiotherapy (IGRT) or intensity-modulated radiotherapy (IMRT) is recommended to reduce normal tissue injury, especially when the tumor is large or shows poor regression.</w:t>
            </w:r>
            <w:r w:rsidRPr="00CB2EC4">
              <w:rPr>
                <w:rFonts w:ascii="Times New Roman" w:hAnsi="Times New Roman" w:cs="Times New Roman"/>
              </w:rPr>
              <w:br/>
              <w:t>- When combined chemotherapy is recommended:</w:t>
            </w:r>
            <w:r w:rsidRPr="00CB2EC4">
              <w:rPr>
                <w:rFonts w:ascii="Times New Roman" w:hAnsi="Times New Roman" w:cs="Times New Roman"/>
              </w:rPr>
              <w:br/>
              <w:t xml:space="preserve">  - Concurrent chemoradiotherapy (CCRT): Recommended for FIGO IB3 and above (e.g., IIB–IVA), based on cisplatin (weekly 40 mg/m²), which significantly reduces recurrence risk and mortality (evidence level I). CCRT is the standard treatment for locally advanced cervical cancer, improving survival by 10–15% over radiotherapy alone.</w:t>
            </w:r>
            <w:r w:rsidRPr="00CB2EC4">
              <w:rPr>
                <w:rFonts w:ascii="Times New Roman" w:hAnsi="Times New Roman" w:cs="Times New Roman"/>
              </w:rPr>
              <w:br/>
              <w:t xml:space="preserve">  - Specific indications: Mandatory for tumor diameter ≥4 cm, positive lymph nodes, or high-risk features (e.g., adenocarcinoma, poor differentiation). In resource-limited settings, neoadjuvant chemotherapy (NACT) may be considered if radiotherapy is unavailable, though efficacy is controversial ([similarity: 0.522] segment).</w:t>
            </w:r>
            <w:r w:rsidRPr="00CB2EC4">
              <w:rPr>
                <w:rFonts w:ascii="Times New Roman" w:hAnsi="Times New Roman" w:cs="Times New Roman"/>
              </w:rPr>
              <w:br/>
              <w:t xml:space="preserve">  - Chemotherapy regimen: Weekly cisplatin is preferred; carboplatin may be used if cisplatin is not tolerated. Avoid radiotherapy alone unless contraindications to chemotherapy exist.</w:t>
            </w:r>
            <w:r w:rsidRPr="00CB2EC4">
              <w:rPr>
                <w:rFonts w:ascii="Times New Roman" w:hAnsi="Times New Roman" w:cs="Times New Roman"/>
              </w:rPr>
              <w:br/>
              <w:t>- Summary: Radiotherapy centers on EBRT + ICRT; chemotherapy is recommended concurrently for IB3 and above to enhance efficacy.</w:t>
            </w:r>
          </w:p>
        </w:tc>
        <w:tc>
          <w:tcPr>
            <w:tcW w:w="1152" w:type="dxa"/>
            <w:vAlign w:val="center"/>
          </w:tcPr>
          <w:p w14:paraId="7EBB96F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9B192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21F45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DB1F7A5" w14:textId="77777777" w:rsidTr="00547D77">
        <w:tc>
          <w:tcPr>
            <w:tcW w:w="2160" w:type="dxa"/>
            <w:vAlign w:val="center"/>
          </w:tcPr>
          <w:p w14:paraId="7F41CB8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A2B280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radiotherapy strategy for patients with locally advanced cervical cancer is:</w:t>
            </w:r>
            <w:r w:rsidRPr="00CB2EC4">
              <w:rPr>
                <w:rFonts w:ascii="Times New Roman" w:hAnsi="Times New Roman" w:cs="Times New Roman"/>
              </w:rPr>
              <w:br/>
              <w:t>- the standard regimen is concurrent chemoradiotherapy (CCRT), comprising external beam radiotherapy (EBRT) and intracavitary brachytherapy (e.g., ICRT).</w:t>
            </w:r>
            <w:r w:rsidRPr="00CB2EC4">
              <w:rPr>
                <w:rFonts w:ascii="Times New Roman" w:hAnsi="Times New Roman" w:cs="Times New Roman"/>
              </w:rPr>
              <w:br/>
            </w:r>
            <w:r w:rsidRPr="00CB2EC4">
              <w:rPr>
                <w:rFonts w:ascii="Times New Roman" w:hAnsi="Times New Roman" w:cs="Times New Roman"/>
              </w:rPr>
              <w:lastRenderedPageBreak/>
              <w:t>- the EBRT target volume covers the pelvis ± para-aortic region, with a dose typically of 45–50 Gy. Unresectable lymph nodes may receive a boost of 10–15 Gy.</w:t>
            </w:r>
            <w:r w:rsidRPr="00CB2EC4">
              <w:rPr>
                <w:rFonts w:ascii="Times New Roman" w:hAnsi="Times New Roman" w:cs="Times New Roman"/>
              </w:rPr>
              <w:br/>
              <w:t>- brachytherapy is a critical component, using uterine tandem and vaginal applicators; point A or high-risk CTV dose is 20–35 Gy (in 4–6 fractions). for large or asymmetric tumors, interstitial brachytherapy (with image guidance such as MRI) is recommended.</w:t>
            </w:r>
            <w:r w:rsidRPr="00CB2EC4">
              <w:rPr>
                <w:rFonts w:ascii="Times New Roman" w:hAnsi="Times New Roman" w:cs="Times New Roman"/>
              </w:rPr>
              <w:br/>
              <w:t>- radiotherapy should be completed within 8 weeks to avoid increased failure rates due to prolonged treatment time.</w:t>
            </w:r>
            <w:r w:rsidRPr="00CB2EC4">
              <w:rPr>
                <w:rFonts w:ascii="Times New Roman" w:hAnsi="Times New Roman" w:cs="Times New Roman"/>
              </w:rPr>
              <w:br/>
            </w:r>
            <w:r w:rsidRPr="00CB2EC4">
              <w:rPr>
                <w:rFonts w:ascii="Times New Roman" w:hAnsi="Times New Roman" w:cs="Times New Roman"/>
              </w:rPr>
              <w:br/>
              <w:t>timing for recommending concurrent chemotherapy:</w:t>
            </w:r>
            <w:r w:rsidRPr="00CB2EC4">
              <w:rPr>
                <w:rFonts w:ascii="Times New Roman" w:hAnsi="Times New Roman" w:cs="Times New Roman"/>
              </w:rPr>
              <w:br/>
              <w:t>- for locally advanced cervical cancer (e.g., IB3, IIA2, IIB and above), CCRT is the standard treatment; concurrent platinum-based chemotherapy (e.g., weekly cisplatin 40 mg/m²) is recommended.</w:t>
            </w:r>
            <w:r w:rsidRPr="00CB2EC4">
              <w:rPr>
                <w:rFonts w:ascii="Times New Roman" w:hAnsi="Times New Roman" w:cs="Times New Roman"/>
              </w:rPr>
              <w:br/>
              <w:t>- when high-risk factors are present (e.g., positive lymph nodes, tumor diameter &gt;4 cm), concurrent chemotherapy must be added to reduce recurrence and mortality risk.</w:t>
            </w:r>
            <w:r w:rsidRPr="00CB2EC4">
              <w:rPr>
                <w:rFonts w:ascii="Times New Roman" w:hAnsi="Times New Roman" w:cs="Times New Roman"/>
              </w:rPr>
              <w:br/>
              <w:t>- chemotherapy regimen: weekly cisplatin is preferred; carboplatin may be used for patients intolerant to cisplatin. neoadjuvant chemotherapy before radiotherapy is not recommended except in regions with limited radiotherapy resources or in clinical trials.</w:t>
            </w:r>
            <w:r w:rsidRPr="00CB2EC4">
              <w:rPr>
                <w:rFonts w:ascii="Times New Roman" w:hAnsi="Times New Roman" w:cs="Times New Roman"/>
              </w:rPr>
              <w:br/>
            </w:r>
            <w:r w:rsidRPr="00CB2EC4">
              <w:rPr>
                <w:rFonts w:ascii="Times New Roman" w:hAnsi="Times New Roman" w:cs="Times New Roman"/>
              </w:rPr>
              <w:br/>
              <w:t>basis: the document repeatedly emphasizes CCRT as the standard for locally advanced cervical cancer (as in [similarity: 0.596], [similarity: 0.548], [similarity: 0.526] segments) and specifies the indications for chemotherapy.</w:t>
            </w:r>
          </w:p>
        </w:tc>
        <w:tc>
          <w:tcPr>
            <w:tcW w:w="1152" w:type="dxa"/>
            <w:vAlign w:val="center"/>
          </w:tcPr>
          <w:p w14:paraId="04AC8BB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788AC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D71B17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EE05988" w14:textId="77777777" w:rsidTr="00547D77">
        <w:tc>
          <w:tcPr>
            <w:tcW w:w="10656" w:type="dxa"/>
            <w:gridSpan w:val="5"/>
            <w:tcBorders>
              <w:bottom w:val="single" w:sz="6" w:space="0" w:color="auto"/>
            </w:tcBorders>
            <w:vAlign w:val="center"/>
          </w:tcPr>
          <w:p w14:paraId="2F7677D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80: When is image-guided brachytherapy (ICRT) necessary and how is it different from conventional radiotherapy?</w:t>
            </w:r>
          </w:p>
        </w:tc>
      </w:tr>
      <w:tr w:rsidR="00916494" w:rsidRPr="00CB2EC4" w14:paraId="3F65C859" w14:textId="77777777" w:rsidTr="00547D77">
        <w:tc>
          <w:tcPr>
            <w:tcW w:w="2160" w:type="dxa"/>
            <w:vAlign w:val="center"/>
          </w:tcPr>
          <w:p w14:paraId="2FD79BD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D831EA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When ICRT is needed:</w:t>
            </w:r>
            <w:r w:rsidRPr="00CB2EC4">
              <w:rPr>
                <w:rFonts w:ascii="Times New Roman" w:hAnsi="Times New Roman" w:cs="Times New Roman"/>
              </w:rPr>
              <w:br/>
              <w:t xml:space="preserve">  - Large or asymmetric tumors: When the local tumor volume is large and asymmetric, ICRT (especially with MRI guidance) enables more precise delineation of residual tumor and allows higher target dose.</w:t>
            </w:r>
            <w:r w:rsidRPr="00CB2EC4">
              <w:rPr>
                <w:rFonts w:ascii="Times New Roman" w:hAnsi="Times New Roman" w:cs="Times New Roman"/>
              </w:rPr>
              <w:br/>
              <w:t xml:space="preserve">  - Residual or recurrent tumor: MRI is recommended before or during brachytherapy to optimize dose distribution.</w:t>
            </w:r>
            <w:r w:rsidRPr="00CB2EC4">
              <w:rPr>
                <w:rFonts w:ascii="Times New Roman" w:hAnsi="Times New Roman" w:cs="Times New Roman"/>
              </w:rPr>
              <w:br/>
              <w:t xml:space="preserve">  - Need for normal tissue protection: When strict dose limits for rectum, bladder, or sigmoid colon are required (e.g., rectal D2cc ≤65–75 Gy), ICRT reduces complications.</w:t>
            </w:r>
            <w:r w:rsidRPr="00CB2EC4">
              <w:rPr>
                <w:rFonts w:ascii="Times New Roman" w:hAnsi="Times New Roman" w:cs="Times New Roman"/>
              </w:rPr>
              <w:br/>
              <w:t xml:space="preserve">  - Primary inoperable patients: For all cervical cancer patients unsuitable for surgery, ICRT is a key component of radical radiotherapy.</w:t>
            </w:r>
            <w:r w:rsidRPr="00CB2EC4">
              <w:rPr>
                <w:rFonts w:ascii="Times New Roman" w:hAnsi="Times New Roman" w:cs="Times New Roman"/>
              </w:rPr>
              <w:br/>
              <w:t>- Differences from conventional radiotherapy:</w:t>
            </w:r>
            <w:r w:rsidRPr="00CB2EC4">
              <w:rPr>
                <w:rFonts w:ascii="Times New Roman" w:hAnsi="Times New Roman" w:cs="Times New Roman"/>
              </w:rPr>
              <w:br/>
              <w:t xml:space="preserve">  - Precision and guidance: ICRT uses imaging (e.g., MRI) for real-time guidance to ensure dose accurately covers high-risk CTV; conventional radiotherapy (e.g., EBRT) relies on external beam irradiation with lower precision and higher risk of normal tissue damage.</w:t>
            </w:r>
            <w:r w:rsidRPr="00CB2EC4">
              <w:rPr>
                <w:rFonts w:ascii="Times New Roman" w:hAnsi="Times New Roman" w:cs="Times New Roman"/>
              </w:rPr>
              <w:br/>
              <w:t xml:space="preserve">  - Dose and fractionation: ICRT prescribes a dose of 80–85 Gy (equivalent dose) to point A or HR-CTV D90, delivered in 4–6 fractions; conventional EBRT uses lower doses (~45–50 Gy) given in multiple sessions.</w:t>
            </w:r>
            <w:r w:rsidRPr="00CB2EC4">
              <w:rPr>
                <w:rFonts w:ascii="Times New Roman" w:hAnsi="Times New Roman" w:cs="Times New Roman"/>
              </w:rPr>
              <w:br/>
              <w:t xml:space="preserve">  - Technique and application: ICRT can employ interstitial implantation techniques (e.g., tandem and ovoids or vaginal applicators) for irregular tumors; conventional radiotherapy is typically external beam with broad coverage but weaker local control.</w:t>
            </w:r>
            <w:r w:rsidRPr="00CB2EC4">
              <w:rPr>
                <w:rFonts w:ascii="Times New Roman" w:hAnsi="Times New Roman" w:cs="Times New Roman"/>
              </w:rPr>
              <w:br/>
              <w:t xml:space="preserve">  - Indications: ICRT is specific for intracavitary or </w:t>
            </w:r>
            <w:r w:rsidRPr="00CB2EC4">
              <w:rPr>
                <w:rFonts w:ascii="Times New Roman" w:hAnsi="Times New Roman" w:cs="Times New Roman"/>
              </w:rPr>
              <w:lastRenderedPageBreak/>
              <w:t>brachytherapy applications, suitable for central tumors; conventional radiotherapy is used for whole-pelvis irradiation.</w:t>
            </w:r>
            <w:r w:rsidRPr="00CB2EC4">
              <w:rPr>
                <w:rFonts w:ascii="Times New Roman" w:hAnsi="Times New Roman" w:cs="Times New Roman"/>
              </w:rPr>
              <w:br/>
              <w:t>- Summary: ICRT is required for complex tumors or when high precision is needed; it is more accurate and individualized than conventional radiotherapy, with reduced complications.</w:t>
            </w:r>
          </w:p>
        </w:tc>
        <w:tc>
          <w:tcPr>
            <w:tcW w:w="1152" w:type="dxa"/>
            <w:vAlign w:val="center"/>
          </w:tcPr>
          <w:p w14:paraId="2A3C2E2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1C2A83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3BB317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BF5B705" w14:textId="77777777" w:rsidTr="00547D77">
        <w:tc>
          <w:tcPr>
            <w:tcW w:w="2160" w:type="dxa"/>
            <w:vAlign w:val="center"/>
          </w:tcPr>
          <w:p w14:paraId="3EC3CC8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88B55B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is image-guided brachytherapy (ICBT) needed, and how does it differ from conventional radiotherapy?</w:t>
            </w:r>
            <w:r w:rsidRPr="00CB2EC4">
              <w:rPr>
                <w:rFonts w:ascii="Times New Roman" w:hAnsi="Times New Roman" w:cs="Times New Roman"/>
              </w:rPr>
              <w:br/>
            </w:r>
            <w:r w:rsidRPr="00CB2EC4">
              <w:rPr>
                <w:rFonts w:ascii="Times New Roman" w:hAnsi="Times New Roman" w:cs="Times New Roman"/>
              </w:rPr>
              <w:br/>
              <w:t>based on the document content:</w:t>
            </w:r>
            <w:r w:rsidRPr="00CB2EC4">
              <w:rPr>
                <w:rFonts w:ascii="Times New Roman" w:hAnsi="Times New Roman" w:cs="Times New Roman"/>
              </w:rPr>
              <w:br/>
              <w:t>- when ICBT is needed:</w:t>
            </w:r>
            <w:r w:rsidRPr="00CB2EC4">
              <w:rPr>
                <w:rFonts w:ascii="Times New Roman" w:hAnsi="Times New Roman" w:cs="Times New Roman"/>
              </w:rPr>
              <w:br/>
              <w:t xml:space="preserve">  - for patients with early-stage cervical cancer unsuitable for surgery (e.g., FIGO IA or IB1 stage), especially those with surgical or anesthetic contraindications, ICBT can serve as an alternative.</w:t>
            </w:r>
            <w:r w:rsidRPr="00CB2EC4">
              <w:rPr>
                <w:rFonts w:ascii="Times New Roman" w:hAnsi="Times New Roman" w:cs="Times New Roman"/>
              </w:rPr>
              <w:br/>
              <w:t xml:space="preserve">  - when the tumor is small (&lt;1 cm) or the patient has relative contraindications to external beam radiotherapy (EBRT) (e.g., comorbidities), single-modality ICBT is recommended.</w:t>
            </w:r>
            <w:r w:rsidRPr="00CB2EC4">
              <w:rPr>
                <w:rFonts w:ascii="Times New Roman" w:hAnsi="Times New Roman" w:cs="Times New Roman"/>
              </w:rPr>
              <w:br/>
              <w:t xml:space="preserve">  - for patients with large, asymmetric local tumors or insufficient tumor regression after radiotherapy, interstitial brachytherapy (requiring image guidance such as MRI or ultrasound) is needed to precisely delineate the target volume and avoid damage to normal tissues (e.g., bladder, rectum).</w:t>
            </w:r>
            <w:r w:rsidRPr="00CB2EC4">
              <w:rPr>
                <w:rFonts w:ascii="Times New Roman" w:hAnsi="Times New Roman" w:cs="Times New Roman"/>
              </w:rPr>
              <w:br/>
              <w:t>- differences from conventional radiotherapy:</w:t>
            </w:r>
            <w:r w:rsidRPr="00CB2EC4">
              <w:rPr>
                <w:rFonts w:ascii="Times New Roman" w:hAnsi="Times New Roman" w:cs="Times New Roman"/>
              </w:rPr>
              <w:br/>
              <w:t xml:space="preserve">  - ICBT (intracavitary brachytherapy): a type of brachytherapy where radioactive sources (e.g., radium or afterloading devices) are placed directly in the uterine cavity or vagina, delivering a high localized dose (e.g., 60–65 Gy to point A). its advantage is reduced damage to surrounding normal tissues and </w:t>
            </w:r>
            <w:r w:rsidRPr="00CB2EC4">
              <w:rPr>
                <w:rFonts w:ascii="Times New Roman" w:hAnsi="Times New Roman" w:cs="Times New Roman"/>
              </w:rPr>
              <w:lastRenderedPageBreak/>
              <w:t>preservation of organ function; it is commonly used for early-stage or microinvasive cancer.</w:t>
            </w:r>
            <w:r w:rsidRPr="00CB2EC4">
              <w:rPr>
                <w:rFonts w:ascii="Times New Roman" w:hAnsi="Times New Roman" w:cs="Times New Roman"/>
              </w:rPr>
              <w:br/>
              <w:t xml:space="preserve">  - conventional radiotherapy (EBRT): administered via external devices (e.g., linear accelerators) for pelvic irradiation, covering a broad area but potentially causing more late complications (e.g., rectal or bladder reactions). EBRT is typically combined with ICBT for intermediate-to-advanced stage cases.</w:t>
            </w:r>
            <w:r w:rsidRPr="00CB2EC4">
              <w:rPr>
                <w:rFonts w:ascii="Times New Roman" w:hAnsi="Times New Roman" w:cs="Times New Roman"/>
              </w:rPr>
              <w:br/>
              <w:t xml:space="preserve">  - key distinction: ICBT offers greater precision and higher local dose, requiring image guidance (e.g., MRI) to optimize target delineation; conventional EBRT provides wide-field irradiation, suitable for large-volume tumors. the document recommends ICBT for specific early-stage cases or as a supplement to EBRT.</w:t>
            </w:r>
            <w:r w:rsidRPr="00CB2EC4">
              <w:rPr>
                <w:rFonts w:ascii="Times New Roman" w:hAnsi="Times New Roman" w:cs="Times New Roman"/>
              </w:rPr>
              <w:br/>
              <w:t>- evidence: the document details ICBT application scenarios and advantages (e.g., [similarity: 0.616], [similarity: 0.548] segments) and compares different radiotherapy modalities.</w:t>
            </w:r>
          </w:p>
        </w:tc>
        <w:tc>
          <w:tcPr>
            <w:tcW w:w="1152" w:type="dxa"/>
            <w:vAlign w:val="center"/>
          </w:tcPr>
          <w:p w14:paraId="1463A65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DF2452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254D82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2C7A78AC" w14:textId="77777777" w:rsidTr="00547D77">
        <w:tc>
          <w:tcPr>
            <w:tcW w:w="10656" w:type="dxa"/>
            <w:gridSpan w:val="5"/>
            <w:tcBorders>
              <w:bottom w:val="single" w:sz="6" w:space="0" w:color="auto"/>
            </w:tcBorders>
            <w:vAlign w:val="center"/>
          </w:tcPr>
          <w:p w14:paraId="4C7B2D02"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81: What are the methods for monitoring recurrence after treatment of cervical cancer? Is routine imaging recommended.</w:t>
            </w:r>
          </w:p>
        </w:tc>
      </w:tr>
      <w:tr w:rsidR="00916494" w:rsidRPr="00CB2EC4" w14:paraId="259B8F66" w14:textId="77777777" w:rsidTr="00547D77">
        <w:tc>
          <w:tcPr>
            <w:tcW w:w="2160" w:type="dxa"/>
            <w:vAlign w:val="center"/>
          </w:tcPr>
          <w:p w14:paraId="71743B3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311B4C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 Monitoring methods:  </w:t>
            </w:r>
            <w:r w:rsidRPr="00CB2EC4">
              <w:rPr>
                <w:rFonts w:ascii="Times New Roman" w:hAnsi="Times New Roman" w:cs="Times New Roman"/>
              </w:rPr>
              <w:br/>
              <w:t xml:space="preserve">  According to the context, recurrence monitoring includes:  </w:t>
            </w:r>
            <w:r w:rsidRPr="00CB2EC4">
              <w:rPr>
                <w:rFonts w:ascii="Times New Roman" w:hAnsi="Times New Roman" w:cs="Times New Roman"/>
              </w:rPr>
              <w:br/>
              <w:t xml:space="preserve">  - Physical examination: Vaginal vault/cervical cytology is performed at each follow-up visit, which can detect central recurrence early (similarity 0.570).  </w:t>
            </w:r>
            <w:r w:rsidRPr="00CB2EC4">
              <w:rPr>
                <w:rFonts w:ascii="Times New Roman" w:hAnsi="Times New Roman" w:cs="Times New Roman"/>
              </w:rPr>
              <w:br/>
              <w:t xml:space="preserve">  - Pathological examination: Histological confirmation is necessary, especially for patients after radiotherapy. Biopsy should be performed 3 months after completion of radiotherapy (similarity 0.570).  </w:t>
            </w:r>
            <w:r w:rsidRPr="00CB2EC4">
              <w:rPr>
                <w:rFonts w:ascii="Times New Roman" w:hAnsi="Times New Roman" w:cs="Times New Roman"/>
              </w:rPr>
              <w:br/>
              <w:t xml:space="preserve">  - Imaging examinations:  </w:t>
            </w:r>
            <w:r w:rsidRPr="00CB2EC4">
              <w:rPr>
                <w:rFonts w:ascii="Times New Roman" w:hAnsi="Times New Roman" w:cs="Times New Roman"/>
              </w:rPr>
              <w:br/>
            </w:r>
            <w:r w:rsidRPr="00CB2EC4">
              <w:rPr>
                <w:rFonts w:ascii="Times New Roman" w:hAnsi="Times New Roman" w:cs="Times New Roman"/>
              </w:rPr>
              <w:lastRenderedPageBreak/>
              <w:t xml:space="preserve">    - Selective performance of chest X-ray, ultrasound, CT, MRI, etc. (similarity 0.570).  </w:t>
            </w:r>
            <w:r w:rsidRPr="00CB2EC4">
              <w:rPr>
                <w:rFonts w:ascii="Times New Roman" w:hAnsi="Times New Roman" w:cs="Times New Roman"/>
              </w:rPr>
              <w:br/>
              <w:t xml:space="preserve">    - When metastasis is suspected (e.g., supraclavicular lymphadenopathy, parametrial recurrence, para-aortic metastasis), needle aspiration biopsy may be performed under imaging guidance (similarity 0.570).  </w:t>
            </w:r>
            <w:r w:rsidRPr="00CB2EC4">
              <w:rPr>
                <w:rFonts w:ascii="Times New Roman" w:hAnsi="Times New Roman" w:cs="Times New Roman"/>
              </w:rPr>
              <w:br/>
              <w:t xml:space="preserve">  - Tumor markers: Such as SCC, CEA, etc., but their monitoring value is limited (similarity 0.482).  </w:t>
            </w:r>
            <w:r w:rsidRPr="00CB2EC4">
              <w:rPr>
                <w:rFonts w:ascii="Times New Roman" w:hAnsi="Times New Roman" w:cs="Times New Roman"/>
              </w:rPr>
              <w:br/>
              <w:t xml:space="preserve">- Recommendation for routine imaging:  </w:t>
            </w:r>
            <w:r w:rsidRPr="00CB2EC4">
              <w:rPr>
                <w:rFonts w:ascii="Times New Roman" w:hAnsi="Times New Roman" w:cs="Times New Roman"/>
              </w:rPr>
              <w:br/>
              <w:t xml:space="preserve">  Imaging should be used selectively based on symptoms, signs, and suspicious sites (similarity 0.570), and is not recommended as routine for all patients.</w:t>
            </w:r>
          </w:p>
        </w:tc>
        <w:tc>
          <w:tcPr>
            <w:tcW w:w="1152" w:type="dxa"/>
            <w:vAlign w:val="center"/>
          </w:tcPr>
          <w:p w14:paraId="29512ED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7F450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86E8B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80F6602" w14:textId="77777777" w:rsidTr="00547D77">
        <w:tc>
          <w:tcPr>
            <w:tcW w:w="2160" w:type="dxa"/>
            <w:vAlign w:val="center"/>
          </w:tcPr>
          <w:p w14:paraId="5BD915E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229C3D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Methods for monitoring recurrence after cervical cancer treatment include:</w:t>
            </w:r>
            <w:r w:rsidRPr="00CB2EC4">
              <w:rPr>
                <w:rFonts w:ascii="Times New Roman" w:hAnsi="Times New Roman" w:cs="Times New Roman"/>
              </w:rPr>
              <w:br/>
              <w:t>- 1. Physical examination: Includes whole-body superficial lymph node examination, abdominal palpation (to detect masses or hepatosplenomegaly), and pelvic examination (observing vulva, vagina, vaginal vault, local cervical tumor, and noting recurrent nodules).</w:t>
            </w:r>
            <w:r w:rsidRPr="00CB2EC4">
              <w:rPr>
                <w:rFonts w:ascii="Times New Roman" w:hAnsi="Times New Roman" w:cs="Times New Roman"/>
              </w:rPr>
              <w:br/>
              <w:t>- 2. Cytological examination: Vaginal apex/cervical cytology should be performed at each follow-up to detect early central recurrence (though assessment is difficult after radiotherapy).</w:t>
            </w:r>
            <w:r w:rsidRPr="00CB2EC4">
              <w:rPr>
                <w:rFonts w:ascii="Times New Roman" w:hAnsi="Times New Roman" w:cs="Times New Roman"/>
              </w:rPr>
              <w:br/>
              <w:t>- 3. Cervical canal curettage: Used when cervical canal recurrence is suspected.</w:t>
            </w:r>
            <w:r w:rsidRPr="00CB2EC4">
              <w:rPr>
                <w:rFonts w:ascii="Times New Roman" w:hAnsi="Times New Roman" w:cs="Times New Roman"/>
              </w:rPr>
              <w:br/>
              <w:t>- 4. Ancillary examinations: Selectively perform chest X-ray, ultrasound, CT, creatinine clearance, and liver function tests based on symptoms, signs, and suspected recurrence sites.</w:t>
            </w:r>
            <w:r w:rsidRPr="00CB2EC4">
              <w:rPr>
                <w:rFonts w:ascii="Times New Roman" w:hAnsi="Times New Roman" w:cs="Times New Roman"/>
              </w:rPr>
              <w:br/>
            </w:r>
            <w:r w:rsidRPr="00CB2EC4">
              <w:rPr>
                <w:rFonts w:ascii="Times New Roman" w:hAnsi="Times New Roman" w:cs="Times New Roman"/>
              </w:rPr>
              <w:lastRenderedPageBreak/>
              <w:br/>
              <w:t>Regarding routine imaging:</w:t>
            </w:r>
            <w:r w:rsidRPr="00CB2EC4">
              <w:rPr>
                <w:rFonts w:ascii="Times New Roman" w:hAnsi="Times New Roman" w:cs="Times New Roman"/>
              </w:rPr>
              <w:br/>
              <w:t>- The document explicitly states that imaging examinations (such as ultrasound, CT, MRI) are performed "selectively" and are not routinely recommended. Reasons include: application of imaging methods is limited by local medical resources and patient economic conditions; routine complete blood counts or biochemical tests are ineffective, but imaging is mainly used for specific situations (e.g., monitoring potential lung lesions). Therefore, guidelines do not recommend routine imaging; instead, it should be used selectively based on individual symptoms and signs.</w:t>
            </w:r>
          </w:p>
        </w:tc>
        <w:tc>
          <w:tcPr>
            <w:tcW w:w="1152" w:type="dxa"/>
            <w:vAlign w:val="center"/>
          </w:tcPr>
          <w:p w14:paraId="074BCEA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244911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7E51A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3731C7E" w14:textId="77777777" w:rsidTr="00547D77">
        <w:tc>
          <w:tcPr>
            <w:tcW w:w="10656" w:type="dxa"/>
            <w:gridSpan w:val="5"/>
            <w:tcBorders>
              <w:bottom w:val="single" w:sz="6" w:space="0" w:color="auto"/>
            </w:tcBorders>
            <w:vAlign w:val="center"/>
          </w:tcPr>
          <w:p w14:paraId="61C9529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82: What are the main goals of palliative care? In patients with metastatic cervical cancer, how can palliative care be combined with radiotherapy and chemotherapy?</w:t>
            </w:r>
          </w:p>
        </w:tc>
      </w:tr>
      <w:tr w:rsidR="00916494" w:rsidRPr="00CB2EC4" w14:paraId="0F046AAC" w14:textId="77777777" w:rsidTr="00547D77">
        <w:tc>
          <w:tcPr>
            <w:tcW w:w="2160" w:type="dxa"/>
            <w:vAlign w:val="center"/>
          </w:tcPr>
          <w:p w14:paraId="7218BDE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A392BB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 Primary goal:  </w:t>
            </w:r>
            <w:r w:rsidRPr="00CB2EC4">
              <w:rPr>
                <w:rFonts w:ascii="Times New Roman" w:hAnsi="Times New Roman" w:cs="Times New Roman"/>
              </w:rPr>
              <w:br/>
              <w:t xml:space="preserve">  Palliative care aims to relieve symptoms (such as pain, vaginal bleeding/discharge) and improve quality of life, rather than cure the disease (similarity 0.482).  </w:t>
            </w:r>
            <w:r w:rsidRPr="00CB2EC4">
              <w:rPr>
                <w:rFonts w:ascii="Times New Roman" w:hAnsi="Times New Roman" w:cs="Times New Roman"/>
              </w:rPr>
              <w:br/>
              <w:t xml:space="preserve">- Integration with radiotherapy/chemotherapy:  </w:t>
            </w:r>
            <w:r w:rsidRPr="00CB2EC4">
              <w:rPr>
                <w:rFonts w:ascii="Times New Roman" w:hAnsi="Times New Roman" w:cs="Times New Roman"/>
              </w:rPr>
              <w:br/>
              <w:t xml:space="preserve">  - Radiotherapy: Used to control local symptoms (e.g., bone metastasis pain relief, vaginal bleeding), short-course irradiation (e.g., 20 Gy in 4–5 fractions) can provide rapid symptom relief (similarity 0.482).  </w:t>
            </w:r>
            <w:r w:rsidRPr="00CB2EC4">
              <w:rPr>
                <w:rFonts w:ascii="Times New Roman" w:hAnsi="Times New Roman" w:cs="Times New Roman"/>
              </w:rPr>
              <w:br/>
              <w:t xml:space="preserve">  - Chemotherapy: Systemic treatment may alleviate systemic symptoms, but has low response rates and short duration of effect (similarity 0.451).  </w:t>
            </w:r>
            <w:r w:rsidRPr="00CB2EC4">
              <w:rPr>
                <w:rFonts w:ascii="Times New Roman" w:hAnsi="Times New Roman" w:cs="Times New Roman"/>
              </w:rPr>
              <w:br/>
              <w:t xml:space="preserve">  - Combined strategy:  </w:t>
            </w:r>
            <w:r w:rsidRPr="00CB2EC4">
              <w:rPr>
                <w:rFonts w:ascii="Times New Roman" w:hAnsi="Times New Roman" w:cs="Times New Roman"/>
              </w:rPr>
              <w:br/>
              <w:t xml:space="preserve">    - For metastatic patients, systemic therapy (chemotherapy) is the mainstay, combined with individualized radiotherapy to relieve local symptoms (similarity 0.451).  </w:t>
            </w:r>
            <w:r w:rsidRPr="00CB2EC4">
              <w:rPr>
                <w:rFonts w:ascii="Times New Roman" w:hAnsi="Times New Roman" w:cs="Times New Roman"/>
              </w:rPr>
              <w:br/>
            </w:r>
            <w:r w:rsidRPr="00CB2EC4">
              <w:rPr>
                <w:rFonts w:ascii="Times New Roman" w:hAnsi="Times New Roman" w:cs="Times New Roman"/>
              </w:rPr>
              <w:lastRenderedPageBreak/>
              <w:t xml:space="preserve">    - For refractory patients, supportive care (nutrition, pain management) must be integrated (similarity 0.451).  </w:t>
            </w:r>
            <w:r w:rsidRPr="00CB2EC4">
              <w:rPr>
                <w:rFonts w:ascii="Times New Roman" w:hAnsi="Times New Roman" w:cs="Times New Roman"/>
              </w:rPr>
              <w:br/>
              <w:t xml:space="preserve">  No more specific integration protocols are provided in the context.</w:t>
            </w:r>
          </w:p>
        </w:tc>
        <w:tc>
          <w:tcPr>
            <w:tcW w:w="1152" w:type="dxa"/>
            <w:vAlign w:val="center"/>
          </w:tcPr>
          <w:p w14:paraId="3E4FEB1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AFBC89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4B623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6BBC2CC" w14:textId="77777777" w:rsidTr="00547D77">
        <w:tc>
          <w:tcPr>
            <w:tcW w:w="2160" w:type="dxa"/>
            <w:vAlign w:val="center"/>
          </w:tcPr>
          <w:p w14:paraId="377CF7EA"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03FA50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main goal of palliative care is to control symptoms to maintain life dignity and quality of life, especially for patients with advanced or metastatic disease. common symptoms include pain, ureteral obstruction, bleeding, foul-smelling vaginal discharge, lymphedema, and fistulas.</w:t>
            </w:r>
            <w:r w:rsidRPr="00CB2EC4">
              <w:rPr>
                <w:rFonts w:ascii="Times New Roman" w:hAnsi="Times New Roman" w:cs="Times New Roman"/>
              </w:rPr>
              <w:br/>
            </w:r>
            <w:r w:rsidRPr="00CB2EC4">
              <w:rPr>
                <w:rFonts w:ascii="Times New Roman" w:hAnsi="Times New Roman" w:cs="Times New Roman"/>
              </w:rPr>
              <w:br/>
              <w:t>in metastatic cervical cancer, integrating palliative care with radiotherapy and chemotherapy:</w:t>
            </w:r>
            <w:r w:rsidRPr="00CB2EC4">
              <w:rPr>
                <w:rFonts w:ascii="Times New Roman" w:hAnsi="Times New Roman" w:cs="Times New Roman"/>
              </w:rPr>
              <w:br/>
              <w:t>- 1. integration with radiotherapy: short-course radiotherapy can be used to relieve symptoms (e.g., pain from bone metastases), but dose planning must be cautious to avoid complications. for patients unsuitable for surgery, radiotherapy serves as a palliative modality to control local recurrence or alleviate symptoms such as bleeding or compression.</w:t>
            </w:r>
            <w:r w:rsidRPr="00CB2EC4">
              <w:rPr>
                <w:rFonts w:ascii="Times New Roman" w:hAnsi="Times New Roman" w:cs="Times New Roman"/>
              </w:rPr>
              <w:br/>
              <w:t>- 2. integration with chemotherapy: chemotherapy (e.g., cisplatin- or carboplatin-based regimens) is recommended for symptom relief, particularly when the patient has a good performance status (ECOG 0–2). chemotherapy may provide temporary relief of pain and other symptoms, though the duration of effect is short and survival benefit is limited. it is often combined with best supportive care (e.g., oral morphine for pain control).</w:t>
            </w:r>
            <w:r w:rsidRPr="00CB2EC4">
              <w:rPr>
                <w:rFonts w:ascii="Times New Roman" w:hAnsi="Times New Roman" w:cs="Times New Roman"/>
              </w:rPr>
              <w:br/>
              <w:t xml:space="preserve">- 3. comprehensive management: individualized plans are key, including psychosocial support, pain management (stepwise use of morphine), and end-of-life care. for patients with extra-pelvic recurrence or </w:t>
            </w:r>
            <w:r w:rsidRPr="00CB2EC4">
              <w:rPr>
                <w:rFonts w:ascii="Times New Roman" w:hAnsi="Times New Roman" w:cs="Times New Roman"/>
              </w:rPr>
              <w:lastRenderedPageBreak/>
              <w:t>metastasis not suitable for radiotherapy or surgery, chemotherapy or supportive care is preferred; refractory cases may consider clinical trials.</w:t>
            </w:r>
          </w:p>
        </w:tc>
        <w:tc>
          <w:tcPr>
            <w:tcW w:w="1152" w:type="dxa"/>
            <w:vAlign w:val="center"/>
          </w:tcPr>
          <w:p w14:paraId="34AAA8E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1F6C7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908E9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4A348D1" w14:textId="77777777" w:rsidTr="00547D77">
        <w:tc>
          <w:tcPr>
            <w:tcW w:w="10656" w:type="dxa"/>
            <w:gridSpan w:val="5"/>
            <w:tcBorders>
              <w:bottom w:val="single" w:sz="6" w:space="0" w:color="auto"/>
            </w:tcBorders>
            <w:vAlign w:val="center"/>
          </w:tcPr>
          <w:p w14:paraId="1C2CFAE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83: For patients with FIGO stage IB3 and IIA2 disease, why do guidelines prefer to recommend concurrent chemoradiotherapy (CCRT) over surgery as the primary treatment?</w:t>
            </w:r>
          </w:p>
        </w:tc>
      </w:tr>
      <w:tr w:rsidR="00916494" w:rsidRPr="00CB2EC4" w14:paraId="7D51C9D4" w14:textId="77777777" w:rsidTr="00547D77">
        <w:tc>
          <w:tcPr>
            <w:tcW w:w="2160" w:type="dxa"/>
            <w:vAlign w:val="center"/>
          </w:tcPr>
          <w:p w14:paraId="072D30ED"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BBAB40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 Reason:  </w:t>
            </w:r>
            <w:r w:rsidRPr="00CB2EC4">
              <w:rPr>
                <w:rFonts w:ascii="Times New Roman" w:hAnsi="Times New Roman" w:cs="Times New Roman"/>
              </w:rPr>
              <w:br/>
              <w:t xml:space="preserve">  - High adjuvant therapy requirement: 80% of patients undergoing surgery require adjuvant radiotherapy or CCRT postoperatively, increasing the risk of "dual treatment" (similarity 0.478).  </w:t>
            </w:r>
            <w:r w:rsidRPr="00CB2EC4">
              <w:rPr>
                <w:rFonts w:ascii="Times New Roman" w:hAnsi="Times New Roman" w:cs="Times New Roman"/>
              </w:rPr>
              <w:br/>
              <w:t xml:space="preserve">  - Complication risk: Surgery plus radiotherapy significantly increases the risk of severe complications (e.g., bowel, urinary tract injury), impairing quality of life (similarity 0.478).  </w:t>
            </w:r>
            <w:r w:rsidRPr="00CB2EC4">
              <w:rPr>
                <w:rFonts w:ascii="Times New Roman" w:hAnsi="Times New Roman" w:cs="Times New Roman"/>
              </w:rPr>
              <w:br/>
              <w:t xml:space="preserve">  - Survival benefit: CCRT improves survival rates by 10%–15% compared with radiotherapy alone and reduces local/distant recurrence (similarity 0.478).  </w:t>
            </w:r>
            <w:r w:rsidRPr="00CB2EC4">
              <w:rPr>
                <w:rFonts w:ascii="Times New Roman" w:hAnsi="Times New Roman" w:cs="Times New Roman"/>
              </w:rPr>
              <w:br/>
              <w:t xml:space="preserve">  - Resource burden: The dual-treatment model leads to unnecessary consumption of surgical and radiotherapy resources (similarity 0.478).  </w:t>
            </w:r>
            <w:r w:rsidRPr="00CB2EC4">
              <w:rPr>
                <w:rFonts w:ascii="Times New Roman" w:hAnsi="Times New Roman" w:cs="Times New Roman"/>
              </w:rPr>
              <w:br/>
              <w:t xml:space="preserve">  Therefore, CCRT is designated as the standard treatment for IB3/IIA2 stages (similarity 0.478).</w:t>
            </w:r>
          </w:p>
        </w:tc>
        <w:tc>
          <w:tcPr>
            <w:tcW w:w="1152" w:type="dxa"/>
            <w:vAlign w:val="center"/>
          </w:tcPr>
          <w:p w14:paraId="7498AE9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6F502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625B3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A86CA72" w14:textId="77777777" w:rsidTr="00547D77">
        <w:tc>
          <w:tcPr>
            <w:tcW w:w="2160" w:type="dxa"/>
            <w:vAlign w:val="center"/>
          </w:tcPr>
          <w:p w14:paraId="45B8D87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F54BF8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with FIGO IB3 and IIA2 stages, why do guidelines preferentially recommend concurrent chemoradiotherapy (CCRT) over surgery as the primary treatment?</w:t>
            </w:r>
            <w:r w:rsidRPr="00CB2EC4">
              <w:rPr>
                <w:rFonts w:ascii="Times New Roman" w:hAnsi="Times New Roman" w:cs="Times New Roman"/>
              </w:rPr>
              <w:br/>
            </w:r>
            <w:r w:rsidRPr="00CB2EC4">
              <w:rPr>
                <w:rFonts w:ascii="Times New Roman" w:hAnsi="Times New Roman" w:cs="Times New Roman"/>
              </w:rPr>
              <w:br/>
              <w:t xml:space="preserve">The document repeatedly emphasizes CCRT as the preferred treatment for IB3 and IIA2 stages:  </w:t>
            </w:r>
            <w:r w:rsidRPr="00CB2EC4">
              <w:rPr>
                <w:rFonts w:ascii="Times New Roman" w:hAnsi="Times New Roman" w:cs="Times New Roman"/>
              </w:rPr>
              <w:br/>
              <w:t xml:space="preserve">- Reasons:  </w:t>
            </w:r>
            <w:r w:rsidRPr="00CB2EC4">
              <w:rPr>
                <w:rFonts w:ascii="Times New Roman" w:hAnsi="Times New Roman" w:cs="Times New Roman"/>
              </w:rPr>
              <w:br/>
              <w:t xml:space="preserve">  1. High postoperative adjuvant therapy requirement: Approximately 80% of patients require adjuvant radiotherapy (PORT) or CCRT after surgery, leading </w:t>
            </w:r>
            <w:r w:rsidRPr="00CB2EC4">
              <w:rPr>
                <w:rFonts w:ascii="Times New Roman" w:hAnsi="Times New Roman" w:cs="Times New Roman"/>
              </w:rPr>
              <w:lastRenderedPageBreak/>
              <w:t xml:space="preserve">to "dual therapy" (surgery plus radiotherapy), which increases complication risks (e.g., urinary tract injury, fistula, bladder dysfunction) and significantly impairs quality of life.  </w:t>
            </w:r>
            <w:r w:rsidRPr="00CB2EC4">
              <w:rPr>
                <w:rFonts w:ascii="Times New Roman" w:hAnsi="Times New Roman" w:cs="Times New Roman"/>
              </w:rPr>
              <w:br/>
              <w:t xml:space="preserve">  2. Resource burden: The dual therapy model consumes unnecessary surgical and radiotherapy resources, especially in resource-limited settings.  </w:t>
            </w:r>
            <w:r w:rsidRPr="00CB2EC4">
              <w:rPr>
                <w:rFonts w:ascii="Times New Roman" w:hAnsi="Times New Roman" w:cs="Times New Roman"/>
              </w:rPr>
              <w:br/>
              <w:t xml:space="preserve">  3. Survival advantage: CCRT (including external beam radiation and intracavitary brachytherapy) improves 5-year survival rates by 10%~15% compared with radiotherapy alone, based on evidence from large randomized trials (e.g., U.S. National Cancer Institute 1999 recommendation).  </w:t>
            </w:r>
            <w:r w:rsidRPr="00CB2EC4">
              <w:rPr>
                <w:rFonts w:ascii="Times New Roman" w:hAnsi="Times New Roman" w:cs="Times New Roman"/>
              </w:rPr>
              <w:br/>
              <w:t xml:space="preserve">  4. Tumor characteristics: IB3/IIA2 stage tumors are larger and often associated with high-risk factors (e.g., lymph node positivity, parametrial involvement), increasing recurrence risk; CCRT as a single modality provides more effective local and micrometastatic disease control.  </w:t>
            </w:r>
            <w:r w:rsidRPr="00CB2EC4">
              <w:rPr>
                <w:rFonts w:ascii="Times New Roman" w:hAnsi="Times New Roman" w:cs="Times New Roman"/>
              </w:rPr>
              <w:br/>
              <w:t xml:space="preserve">  Therefore, guidelines recommend CCRT as the standard approach, reserving surgery as an alternative only in regions with scarce radiotherapy resources.</w:t>
            </w:r>
          </w:p>
        </w:tc>
        <w:tc>
          <w:tcPr>
            <w:tcW w:w="1152" w:type="dxa"/>
            <w:vAlign w:val="center"/>
          </w:tcPr>
          <w:p w14:paraId="514421F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DD6DF1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3A16B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D3A036A" w14:textId="77777777" w:rsidTr="00547D77">
        <w:tc>
          <w:tcPr>
            <w:tcW w:w="10656" w:type="dxa"/>
            <w:gridSpan w:val="5"/>
            <w:tcBorders>
              <w:bottom w:val="single" w:sz="6" w:space="0" w:color="auto"/>
            </w:tcBorders>
            <w:vAlign w:val="center"/>
          </w:tcPr>
          <w:p w14:paraId="7011280A"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84: For a patient with FIGO stage IB3 cervical cancer, what is the recommended primary treatment modality? Why is a "dual-modality treatment" approach, typically involving surgery followed by adjuvant radiotherapy, generally not recommended?</w:t>
            </w:r>
          </w:p>
        </w:tc>
      </w:tr>
      <w:tr w:rsidR="00916494" w:rsidRPr="00CB2EC4" w14:paraId="1787CCED" w14:textId="77777777" w:rsidTr="00547D77">
        <w:tc>
          <w:tcPr>
            <w:tcW w:w="2160" w:type="dxa"/>
            <w:vAlign w:val="center"/>
          </w:tcPr>
          <w:p w14:paraId="15A1D60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C9D4A5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 Preferred treatment:  </w:t>
            </w:r>
            <w:r w:rsidRPr="00CB2EC4">
              <w:rPr>
                <w:rFonts w:ascii="Times New Roman" w:hAnsi="Times New Roman" w:cs="Times New Roman"/>
              </w:rPr>
              <w:br/>
              <w:t xml:space="preserve">  Radical radiotherapy (external beam radiotherapy + vaginal brachytherapy) ± platinum-based concurrent chemotherapy (similarity 0.534).  </w:t>
            </w:r>
            <w:r w:rsidRPr="00CB2EC4">
              <w:rPr>
                <w:rFonts w:ascii="Times New Roman" w:hAnsi="Times New Roman" w:cs="Times New Roman"/>
              </w:rPr>
              <w:br/>
              <w:t xml:space="preserve">- Reasons why "dual therapy" (surgery followed by adjuvant radiotherapy) is not recommended:  </w:t>
            </w:r>
            <w:r w:rsidRPr="00CB2EC4">
              <w:rPr>
                <w:rFonts w:ascii="Times New Roman" w:hAnsi="Times New Roman" w:cs="Times New Roman"/>
              </w:rPr>
              <w:br/>
              <w:t xml:space="preserve">  - Risk of complications: Postoperative radiotherapy increases severe complications (e.g., bowel injury, </w:t>
            </w:r>
            <w:r w:rsidRPr="00CB2EC4">
              <w:rPr>
                <w:rFonts w:ascii="Times New Roman" w:hAnsi="Times New Roman" w:cs="Times New Roman"/>
              </w:rPr>
              <w:lastRenderedPageBreak/>
              <w:t xml:space="preserve">bladder dysfunction), with incidence rates up to 10% (similarity 0.499).  </w:t>
            </w:r>
            <w:r w:rsidRPr="00CB2EC4">
              <w:rPr>
                <w:rFonts w:ascii="Times New Roman" w:hAnsi="Times New Roman" w:cs="Times New Roman"/>
              </w:rPr>
              <w:br/>
              <w:t xml:space="preserve">  - Low resource efficiency: Most patients still require radiotherapy after surgery, making dual therapy a waste of medical resources (similarity 0.478).  </w:t>
            </w:r>
            <w:r w:rsidRPr="00CB2EC4">
              <w:rPr>
                <w:rFonts w:ascii="Times New Roman" w:hAnsi="Times New Roman" w:cs="Times New Roman"/>
              </w:rPr>
              <w:br/>
              <w:t xml:space="preserve">  The context explicitly emphasizes that concurrent chemoradiotherapy (CCRT) is the standard treatment for IB3 stage, with surgery reserved only as an alternative in regions lacking radiotherapy resources (similarity 0.534).</w:t>
            </w:r>
          </w:p>
        </w:tc>
        <w:tc>
          <w:tcPr>
            <w:tcW w:w="1152" w:type="dxa"/>
            <w:vAlign w:val="center"/>
          </w:tcPr>
          <w:p w14:paraId="393A16D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48A2BB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3BBD28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16BFBF70" w14:textId="77777777" w:rsidTr="00547D77">
        <w:tc>
          <w:tcPr>
            <w:tcW w:w="2160" w:type="dxa"/>
            <w:vAlign w:val="center"/>
          </w:tcPr>
          <w:p w14:paraId="4FCD51B3"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2C4234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preferred treatment option: Guidelines recommend concurrent chemoradiotherapy (CCRT) as the first-line treatment for IB3, including external beam radiation and intracavitary brachytherapy.  </w:t>
            </w:r>
            <w:r w:rsidRPr="00CB2EC4">
              <w:rPr>
                <w:rFonts w:ascii="Times New Roman" w:hAnsi="Times New Roman" w:cs="Times New Roman"/>
              </w:rPr>
              <w:br/>
              <w:t xml:space="preserve">- Reasons why the "dual therapy" approach (surgery followed by adjuvant radiotherapy) is generally not recommended:  </w:t>
            </w:r>
            <w:r w:rsidRPr="00CB2EC4">
              <w:rPr>
                <w:rFonts w:ascii="Times New Roman" w:hAnsi="Times New Roman" w:cs="Times New Roman"/>
              </w:rPr>
              <w:br/>
              <w:t xml:space="preserve">  1. High risk of complications: Surgery plus postoperative adjuvant radiotherapy increases the incidence of severe complications, such as urinary tract injuries (ureterovaginal fistula or vesicovaginal fistula rates of 2%~7%), bladder dysfunction, and infections, which impair quality of life.  </w:t>
            </w:r>
            <w:r w:rsidRPr="00CB2EC4">
              <w:rPr>
                <w:rFonts w:ascii="Times New Roman" w:hAnsi="Times New Roman" w:cs="Times New Roman"/>
              </w:rPr>
              <w:br/>
              <w:t xml:space="preserve">  2. High recurrence risk and resource waste: Approximately 80% of IB3 patients require adjuvant radiotherapy after surgery; the dual therapy model unnecessarily increases medical resource burden without significantly improving survival rates (the document notes that postoperative radiotherapy reduces local recurrence but shows no statistically significant difference in overall survival).  </w:t>
            </w:r>
            <w:r w:rsidRPr="00CB2EC4">
              <w:rPr>
                <w:rFonts w:ascii="Times New Roman" w:hAnsi="Times New Roman" w:cs="Times New Roman"/>
              </w:rPr>
              <w:br/>
              <w:t xml:space="preserve">  3. Insufficient survival benefit: CCRT as a single modality has been proven superior to the combined surgery-plus-radiotherapy approach, offering better </w:t>
            </w:r>
            <w:r w:rsidRPr="00CB2EC4">
              <w:rPr>
                <w:rFonts w:ascii="Times New Roman" w:hAnsi="Times New Roman" w:cs="Times New Roman"/>
              </w:rPr>
              <w:lastRenderedPageBreak/>
              <w:t xml:space="preserve">local control and survival rates (a 10%~15% survival advantage), whereas dual therapy may increase the risk of distant metastasis.  </w:t>
            </w:r>
            <w:r w:rsidRPr="00CB2EC4">
              <w:rPr>
                <w:rFonts w:ascii="Times New Roman" w:hAnsi="Times New Roman" w:cs="Times New Roman"/>
              </w:rPr>
              <w:br/>
              <w:t xml:space="preserve">  The document emphasizes that in regions with adequate radiotherapy resources, dual therapy should be avoided to optimize patient outcomes.</w:t>
            </w:r>
          </w:p>
        </w:tc>
        <w:tc>
          <w:tcPr>
            <w:tcW w:w="1152" w:type="dxa"/>
            <w:vAlign w:val="center"/>
          </w:tcPr>
          <w:p w14:paraId="098B5B0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22FE06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C0A67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28A8263" w14:textId="77777777" w:rsidTr="00547D77">
        <w:tc>
          <w:tcPr>
            <w:tcW w:w="10656" w:type="dxa"/>
            <w:gridSpan w:val="5"/>
            <w:tcBorders>
              <w:bottom w:val="single" w:sz="6" w:space="0" w:color="auto"/>
            </w:tcBorders>
            <w:vAlign w:val="center"/>
          </w:tcPr>
          <w:p w14:paraId="551FDDBD"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85: What are the core conclusions of the LACC trial, which significantly influenced the choice of surgical approach for early-stage cervical cancer? For young patients who wish to preserve ovarian and sexual function, what are the unique advantages of surgical treatment compared to radiotherapy?</w:t>
            </w:r>
          </w:p>
        </w:tc>
      </w:tr>
      <w:tr w:rsidR="00916494" w:rsidRPr="00CB2EC4" w14:paraId="68419C4F" w14:textId="77777777" w:rsidTr="00547D77">
        <w:tc>
          <w:tcPr>
            <w:tcW w:w="2160" w:type="dxa"/>
            <w:vAlign w:val="center"/>
          </w:tcPr>
          <w:p w14:paraId="56B8EAED"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F19739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results of the LACC trial have had a significant impact on the choice of surgical approach for early-stage cervical cancer. the core conclusion of the LACC trial is as follows:  </w:t>
            </w:r>
            <w:r w:rsidRPr="00CB2EC4">
              <w:rPr>
                <w:rFonts w:ascii="Times New Roman" w:hAnsi="Times New Roman" w:cs="Times New Roman"/>
              </w:rPr>
              <w:br/>
              <w:t xml:space="preserve">comparing open surgery with laparoscopic/robotic surgery for early cervical cancer (stage IB1), the results showed:  </w:t>
            </w:r>
            <w:r w:rsidRPr="00CB2EC4">
              <w:rPr>
                <w:rFonts w:ascii="Times New Roman" w:hAnsi="Times New Roman" w:cs="Times New Roman"/>
              </w:rPr>
              <w:br/>
              <w:t xml:space="preserve">- lower survival rates and higher recurrence rates in the minimally invasive surgery group compared to open surgery (similarity 0.591).  </w:t>
            </w:r>
            <w:r w:rsidRPr="00CB2EC4">
              <w:rPr>
                <w:rFonts w:ascii="Times New Roman" w:hAnsi="Times New Roman" w:cs="Times New Roman"/>
              </w:rPr>
              <w:br/>
              <w:t xml:space="preserve">- no difference in intraoperative complications, but worse long-term outcomes with minimally invasive surgery (similarity 0.591).  </w:t>
            </w:r>
            <w:r w:rsidRPr="00CB2EC4">
              <w:rPr>
                <w:rFonts w:ascii="Times New Roman" w:hAnsi="Times New Roman" w:cs="Times New Roman"/>
              </w:rPr>
              <w:br/>
            </w:r>
            <w:r w:rsidRPr="00CB2EC4">
              <w:rPr>
                <w:rFonts w:ascii="Times New Roman" w:hAnsi="Times New Roman" w:cs="Times New Roman"/>
              </w:rPr>
              <w:br/>
              <w:t xml:space="preserve">unique advantages of surgical treatment (for young patients requiring ovarian and sexual function preservation):  </w:t>
            </w:r>
            <w:r w:rsidRPr="00CB2EC4">
              <w:rPr>
                <w:rFonts w:ascii="Times New Roman" w:hAnsi="Times New Roman" w:cs="Times New Roman"/>
              </w:rPr>
              <w:br/>
              <w:t xml:space="preserve">- preservation of ovarian function: surgery allows for ovarian transposition outside the radiation field, avoiding radiation-induced ovarian failure (similarity 0.591).  </w:t>
            </w:r>
            <w:r w:rsidRPr="00CB2EC4">
              <w:rPr>
                <w:rFonts w:ascii="Times New Roman" w:hAnsi="Times New Roman" w:cs="Times New Roman"/>
              </w:rPr>
              <w:br/>
              <w:t xml:space="preserve">- preservation of sexual function: surgery maintains vaginal elasticity and lubrication, reducing radiation-induced vaginal atrophy (similarity 0.545).  </w:t>
            </w:r>
            <w:r w:rsidRPr="00CB2EC4">
              <w:rPr>
                <w:rFonts w:ascii="Times New Roman" w:hAnsi="Times New Roman" w:cs="Times New Roman"/>
              </w:rPr>
              <w:br/>
            </w:r>
            <w:r w:rsidRPr="00CB2EC4">
              <w:rPr>
                <w:rFonts w:ascii="Times New Roman" w:hAnsi="Times New Roman" w:cs="Times New Roman"/>
              </w:rPr>
              <w:lastRenderedPageBreak/>
              <w:t xml:space="preserve">- accurate pathological staging: provides histological evidence to guide individualized adjuvant therapy (similarity 0.591).  </w:t>
            </w:r>
            <w:r w:rsidRPr="00CB2EC4">
              <w:rPr>
                <w:rFonts w:ascii="Times New Roman" w:hAnsi="Times New Roman" w:cs="Times New Roman"/>
              </w:rPr>
              <w:br/>
              <w:t>therefore, surgery remains the preferred option for young patients requiring functional preservation (similarity 0.591).</w:t>
            </w:r>
          </w:p>
        </w:tc>
        <w:tc>
          <w:tcPr>
            <w:tcW w:w="1152" w:type="dxa"/>
            <w:vAlign w:val="center"/>
          </w:tcPr>
          <w:p w14:paraId="5E7369F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B56FA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89B06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9298BE2" w14:textId="77777777" w:rsidTr="00547D77">
        <w:tc>
          <w:tcPr>
            <w:tcW w:w="2160" w:type="dxa"/>
            <w:vAlign w:val="center"/>
          </w:tcPr>
          <w:p w14:paraId="38167FAE"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22D0F2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results of the LACC trial have significantly influenced the choice of surgical approach for early-stage cervical cancer. what is the core conclusion of the LACC trial? for young patients requiring preservation of ovarian and sexual function, what unique advantages does surgical treatment offer over radiotherapy?</w:t>
            </w:r>
            <w:r w:rsidRPr="00CB2EC4">
              <w:rPr>
                <w:rFonts w:ascii="Times New Roman" w:hAnsi="Times New Roman" w:cs="Times New Roman"/>
              </w:rPr>
              <w:br/>
            </w:r>
            <w:r w:rsidRPr="00CB2EC4">
              <w:rPr>
                <w:rFonts w:ascii="Times New Roman" w:hAnsi="Times New Roman" w:cs="Times New Roman"/>
              </w:rPr>
              <w:br/>
              <w:t>core conclusion of the LACC trial: the LACC trial (Laparoscopic Approach to Cervical Cancer) compared open surgery with minimally invasive surgery (laparoscopic or robotic) for early cervical cancer. the results showed that minimally invasive surgery was associated with lower survival rates and higher recurrence rates, while intraoperative complications did not differ significantly. the conclusion is that minimally invasive surgery carries a higher risk of recurrence than open surgery and requires further research for confirmation.</w:t>
            </w:r>
            <w:r w:rsidRPr="00CB2EC4">
              <w:rPr>
                <w:rFonts w:ascii="Times New Roman" w:hAnsi="Times New Roman" w:cs="Times New Roman"/>
              </w:rPr>
              <w:br/>
              <w:t>- advantages of surgical treatment (for young patients requiring preservation of ovarian and sexual function):</w:t>
            </w:r>
            <w:r w:rsidRPr="00CB2EC4">
              <w:rPr>
                <w:rFonts w:ascii="Times New Roman" w:hAnsi="Times New Roman" w:cs="Times New Roman"/>
              </w:rPr>
              <w:br/>
              <w:t xml:space="preserve">  1. preservation of ovarian function: surgery allows direct preservation of the ovaries, avoiding ovarian failure caused by radiotherapy, thus eliminating the need for hormone replacement therapy, which is especially important for patients under 45 years of age.</w:t>
            </w:r>
            <w:r w:rsidRPr="00CB2EC4">
              <w:rPr>
                <w:rFonts w:ascii="Times New Roman" w:hAnsi="Times New Roman" w:cs="Times New Roman"/>
              </w:rPr>
              <w:br/>
              <w:t xml:space="preserve">  2. preservation of vaginal function: surgery </w:t>
            </w:r>
            <w:r w:rsidRPr="00CB2EC4">
              <w:rPr>
                <w:rFonts w:ascii="Times New Roman" w:hAnsi="Times New Roman" w:cs="Times New Roman"/>
              </w:rPr>
              <w:lastRenderedPageBreak/>
              <w:t>maintains vaginal elasticity and lubricating secretions, preventing radiotherapy-induced vaginal atrophy, narrowing, or dryness, thereby improving sexual quality of life.</w:t>
            </w:r>
            <w:r w:rsidRPr="00CB2EC4">
              <w:rPr>
                <w:rFonts w:ascii="Times New Roman" w:hAnsi="Times New Roman" w:cs="Times New Roman"/>
              </w:rPr>
              <w:br/>
              <w:t xml:space="preserve">  3. individualized treatment: surgery enables exploration of the pelvic and abdominal cavity, providing accurate pathological staging to guide decisions on postoperative adjuvant therapy (e.g., whether chemotherapy is needed) and to remove radioresistant foci, reducing local recurrence risk.</w:t>
            </w:r>
            <w:r w:rsidRPr="00CB2EC4">
              <w:rPr>
                <w:rFonts w:ascii="Times New Roman" w:hAnsi="Times New Roman" w:cs="Times New Roman"/>
              </w:rPr>
              <w:br/>
              <w:t xml:space="preserve">  4. avoidance of radiotherapy complications: surgery reduces the risk of late rectal and bladder radiation injuries, such as painful fistulas or functional impairment.</w:t>
            </w:r>
            <w:r w:rsidRPr="00CB2EC4">
              <w:rPr>
                <w:rFonts w:ascii="Times New Roman" w:hAnsi="Times New Roman" w:cs="Times New Roman"/>
              </w:rPr>
              <w:br/>
              <w:t xml:space="preserve">  the document states that surgery is the preferred option for young patients requiring preservation of ovarian and sexual function, but attention must be paid to the LACC trial’s warning: open surgery should be prioritized over minimally invasive approaches.</w:t>
            </w:r>
          </w:p>
        </w:tc>
        <w:tc>
          <w:tcPr>
            <w:tcW w:w="1152" w:type="dxa"/>
            <w:vAlign w:val="center"/>
          </w:tcPr>
          <w:p w14:paraId="25AB15F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F75C96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BBF16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D0C27AA" w14:textId="77777777" w:rsidTr="00547D77">
        <w:tc>
          <w:tcPr>
            <w:tcW w:w="10656" w:type="dxa"/>
            <w:gridSpan w:val="5"/>
            <w:tcBorders>
              <w:bottom w:val="single" w:sz="6" w:space="0" w:color="auto"/>
            </w:tcBorders>
            <w:vAlign w:val="center"/>
          </w:tcPr>
          <w:p w14:paraId="59E83A2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86: When performing definitive radiotherapy for locally advanced cervical cancer, within what timeframe should the entire course of treatment be completed to achieve optimal efficacy? What are the consequences if the treatment duration is excessively prolonged?</w:t>
            </w:r>
          </w:p>
        </w:tc>
      </w:tr>
      <w:tr w:rsidR="00916494" w:rsidRPr="00CB2EC4" w14:paraId="10132556" w14:textId="77777777" w:rsidTr="00547D77">
        <w:tc>
          <w:tcPr>
            <w:tcW w:w="2160" w:type="dxa"/>
            <w:vAlign w:val="center"/>
          </w:tcPr>
          <w:p w14:paraId="165A6666"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5170F0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during radical radiotherapy for locally advanced cervical cancer, the entire treatment course should be completed within 7–8 weeks (approximately 56 days) to achieve optimal efficacy.  </w:t>
            </w:r>
            <w:r w:rsidRPr="00CB2EC4">
              <w:rPr>
                <w:rFonts w:ascii="Times New Roman" w:hAnsi="Times New Roman" w:cs="Times New Roman"/>
              </w:rPr>
              <w:br/>
              <w:t>- consequences of prolonged treatment time: if the treatment duration exceeds 8 weeks, the risk of tumor cell repopulation increases, leading to reduced local control rates, increased risk of recurrence, and potentially decreased overall survival.</w:t>
            </w:r>
          </w:p>
        </w:tc>
        <w:tc>
          <w:tcPr>
            <w:tcW w:w="1152" w:type="dxa"/>
            <w:vAlign w:val="center"/>
          </w:tcPr>
          <w:p w14:paraId="00A84D5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3AB0B1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D57C6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A4568B2" w14:textId="77777777" w:rsidTr="00547D77">
        <w:tc>
          <w:tcPr>
            <w:tcW w:w="2160" w:type="dxa"/>
            <w:vAlign w:val="center"/>
          </w:tcPr>
          <w:p w14:paraId="498C0F83" w14:textId="77777777" w:rsidR="00916494" w:rsidRPr="00CB2EC4" w:rsidRDefault="00916494" w:rsidP="00547D77">
            <w:pPr>
              <w:rPr>
                <w:rFonts w:ascii="Times New Roman" w:hAnsi="Times New Roman" w:cs="Times New Roman"/>
              </w:rPr>
            </w:pPr>
            <w:r>
              <w:rPr>
                <w:rFonts w:ascii="Times New Roman" w:hAnsi="Times New Roman" w:cs="Times New Roman"/>
              </w:rPr>
              <w:t xml:space="preserve">Chunk size=256, Overlap=100 Using </w:t>
            </w:r>
            <w:r>
              <w:rPr>
                <w:rFonts w:ascii="Times New Roman" w:hAnsi="Times New Roman" w:cs="Times New Roman"/>
              </w:rPr>
              <w:lastRenderedPageBreak/>
              <w:t>SentenceSplitter</w:t>
            </w:r>
          </w:p>
        </w:tc>
        <w:tc>
          <w:tcPr>
            <w:tcW w:w="5040" w:type="dxa"/>
            <w:vAlign w:val="center"/>
          </w:tcPr>
          <w:p w14:paraId="1D3BE21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 xml:space="preserve">Answer: According to the context (similarity 0.508), radical radiotherapy (including external beam </w:t>
            </w:r>
            <w:r w:rsidRPr="00CB2EC4">
              <w:rPr>
                <w:rFonts w:ascii="Times New Roman" w:hAnsi="Times New Roman" w:cs="Times New Roman"/>
              </w:rPr>
              <w:lastRenderedPageBreak/>
              <w:t xml:space="preserve">radiotherapy [EBRT] and brachytherapy) should be completed within 8 weeks. If the treatment duration is too long (exceeding 9–10 weeks), it will result in a higher pelvic treatment failure rate (i.e., reduced tumor control efficacy).  </w:t>
            </w:r>
            <w:r w:rsidRPr="00CB2EC4">
              <w:rPr>
                <w:rFonts w:ascii="Times New Roman" w:hAnsi="Times New Roman" w:cs="Times New Roman"/>
              </w:rPr>
              <w:br/>
              <w:t>- Basis: The text explicitly states: "Retrospective analysis shows that patients whose radiotherapy time exceeds $9 \sim 10$ weeks have a higher pelvic treatment failure rate compared to those who complete radiotherapy in 6–7 weeks. Therefore, it is particularly important to complete the radiotherapy regimen within the specified time, and it is recommended to finish EBRT and brachytherapy within 8 weeks."</w:t>
            </w:r>
          </w:p>
        </w:tc>
        <w:tc>
          <w:tcPr>
            <w:tcW w:w="1152" w:type="dxa"/>
            <w:vAlign w:val="center"/>
          </w:tcPr>
          <w:p w14:paraId="1D5C78F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F99B74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19224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9734164" w14:textId="77777777" w:rsidTr="00547D77">
        <w:tc>
          <w:tcPr>
            <w:tcW w:w="10656" w:type="dxa"/>
            <w:gridSpan w:val="5"/>
            <w:tcBorders>
              <w:bottom w:val="single" w:sz="6" w:space="0" w:color="auto"/>
            </w:tcBorders>
            <w:vAlign w:val="center"/>
          </w:tcPr>
          <w:p w14:paraId="43CE3926"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87: When delivering pelvic external beam radiotherapy (EBRT), how are the superior, inferior, and lateral borders of the "AP-PA fields" (anteroposterior-posteroanterior fields) defined according to the guidelines?</w:t>
            </w:r>
          </w:p>
        </w:tc>
      </w:tr>
      <w:tr w:rsidR="00916494" w:rsidRPr="00CB2EC4" w14:paraId="49AFBDAF" w14:textId="77777777" w:rsidTr="00547D77">
        <w:tc>
          <w:tcPr>
            <w:tcW w:w="2160" w:type="dxa"/>
            <w:vAlign w:val="center"/>
          </w:tcPr>
          <w:p w14:paraId="35A08A5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AE7425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boundary setting: according to the CSCO cervical cancer clinical practice guidelines 2023, the boundaries of the AP-PA radiation field are set as follows:</w:t>
            </w:r>
            <w:r w:rsidRPr="00CB2EC4">
              <w:rPr>
                <w:rFonts w:ascii="Times New Roman" w:hAnsi="Times New Roman" w:cs="Times New Roman"/>
              </w:rPr>
              <w:br/>
              <w:t xml:space="preserve">  - superior border: at the level of L4-L5 vertebral bodies.</w:t>
            </w:r>
            <w:r w:rsidRPr="00CB2EC4">
              <w:rPr>
                <w:rFonts w:ascii="Times New Roman" w:hAnsi="Times New Roman" w:cs="Times New Roman"/>
              </w:rPr>
              <w:br/>
              <w:t xml:space="preserve">  - inferior border: 2 cm below the obturator foramen or 3 cm below the inferior edge of the tumor, whichever is lower (i.e., the more conservative value is chosen to ensure tumor coverage while sparing normal tissues).</w:t>
            </w:r>
            <w:r w:rsidRPr="00CB2EC4">
              <w:rPr>
                <w:rFonts w:ascii="Times New Roman" w:hAnsi="Times New Roman" w:cs="Times New Roman"/>
              </w:rPr>
              <w:br/>
              <w:t xml:space="preserve">  - lateral borders: 1.5–2 cm lateral to the true bony pelvis boundaries (i.e., extending outward from the pelvic sidewalls by 1.5–2 cm to cover potential spread regions).</w:t>
            </w:r>
            <w:r w:rsidRPr="00CB2EC4">
              <w:rPr>
                <w:rFonts w:ascii="Times New Roman" w:hAnsi="Times New Roman" w:cs="Times New Roman"/>
              </w:rPr>
              <w:br/>
              <w:t>- this configuration aims to adequately cover the primary tumor and regional lymph nodes while minimizing radiation-induced injury to normal tissues.</w:t>
            </w:r>
          </w:p>
        </w:tc>
        <w:tc>
          <w:tcPr>
            <w:tcW w:w="1152" w:type="dxa"/>
            <w:vAlign w:val="center"/>
          </w:tcPr>
          <w:p w14:paraId="44E888D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D6E23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9B2569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77B6F1A" w14:textId="77777777" w:rsidTr="00547D77">
        <w:tc>
          <w:tcPr>
            <w:tcW w:w="2160" w:type="dxa"/>
            <w:vAlign w:val="center"/>
          </w:tcPr>
          <w:p w14:paraId="760CC7A6"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63542CC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 description of the specific boundaries (superior, inferior, lateral) for the "AP-PA irradiation field" is found in the knowledge base. The documents mention irradiation coverage (e.g., "the irradiation range should include the most common recurrence sites" and "when there is metastasis to high pelvic common iliac and para-aortic lymph nodes, the radiation field may be extended superiorly to the T12 level"), but do not explicitly detail the boundaries for the anterior-posterior opposed fields.</w:t>
            </w:r>
            <w:r w:rsidRPr="00CB2EC4">
              <w:rPr>
                <w:rFonts w:ascii="Times New Roman" w:hAnsi="Times New Roman" w:cs="Times New Roman"/>
              </w:rPr>
              <w:br/>
              <w:t>- Basis: surrounding context (e.g., similarity 0.575, 0.508) only generally describes target volumes (such as pelvis ± para-aortic region) without providing boundary parameters for the AP-PA fields.</w:t>
            </w:r>
          </w:p>
        </w:tc>
        <w:tc>
          <w:tcPr>
            <w:tcW w:w="1152" w:type="dxa"/>
            <w:vAlign w:val="center"/>
          </w:tcPr>
          <w:p w14:paraId="2F46C9B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9B4B81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506F89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214FAA92" w14:textId="77777777" w:rsidTr="00547D77">
        <w:tc>
          <w:tcPr>
            <w:tcW w:w="10656" w:type="dxa"/>
            <w:gridSpan w:val="5"/>
            <w:tcBorders>
              <w:bottom w:val="single" w:sz="6" w:space="0" w:color="auto"/>
            </w:tcBorders>
            <w:vAlign w:val="center"/>
          </w:tcPr>
          <w:p w14:paraId="056225C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88: According to the guidelines, what postoperative pathological factors are considered "high-risk factors" following a radical hysterectomy? For patients with these high-risk factors, what type of adjuvant therapy should be administered?</w:t>
            </w:r>
          </w:p>
        </w:tc>
      </w:tr>
      <w:tr w:rsidR="00916494" w:rsidRPr="00CB2EC4" w14:paraId="20119425" w14:textId="77777777" w:rsidTr="00547D77">
        <w:tc>
          <w:tcPr>
            <w:tcW w:w="2160" w:type="dxa"/>
            <w:vAlign w:val="center"/>
          </w:tcPr>
          <w:p w14:paraId="084F58C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70D13B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high-risk pathological factors after radical hysterectomy include: positive lymph nodes, positive surgical margins, and parametrial infiltration. The presence of any one of these high-risk factors warrants further evaluation.</w:t>
            </w:r>
            <w:r w:rsidRPr="00CB2EC4">
              <w:rPr>
                <w:rFonts w:ascii="Times New Roman" w:hAnsi="Times New Roman" w:cs="Times New Roman"/>
              </w:rPr>
              <w:br/>
            </w:r>
            <w:r w:rsidRPr="00CB2EC4">
              <w:rPr>
                <w:rFonts w:ascii="Times New Roman" w:hAnsi="Times New Roman" w:cs="Times New Roman"/>
              </w:rPr>
              <w:br/>
              <w:t xml:space="preserve">For patients with these high-risk factors, adjuvant treatment is recommended as follows: pelvic external beam radiotherapy plus concurrent platinum-based chemotherapy (concurrent chemoradiotherapy), with possible addition of vaginal brachytherapy. The guideline emphasizes that in the absence of para-aortic lymph node involvement or distant metastasis, this regimen should be administered (evidence level I). Concurrent chemotherapy typically uses single-agent cisplatin (e.g., cisplatin 40 mg/m² weekly), with carboplatin as an alternative for patients intolerant to </w:t>
            </w:r>
            <w:r w:rsidRPr="00CB2EC4">
              <w:rPr>
                <w:rFonts w:ascii="Times New Roman" w:hAnsi="Times New Roman" w:cs="Times New Roman"/>
              </w:rPr>
              <w:lastRenderedPageBreak/>
              <w:t>cisplatin.</w:t>
            </w:r>
          </w:p>
        </w:tc>
        <w:tc>
          <w:tcPr>
            <w:tcW w:w="1152" w:type="dxa"/>
            <w:vAlign w:val="center"/>
          </w:tcPr>
          <w:p w14:paraId="7BBB573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D0E724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E4249B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58D441CB" w14:textId="77777777" w:rsidTr="00547D77">
        <w:tc>
          <w:tcPr>
            <w:tcW w:w="2160" w:type="dxa"/>
            <w:vAlign w:val="center"/>
          </w:tcPr>
          <w:p w14:paraId="5D6D138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C93E65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 High-risk factors: Include positive surgical margins, lymph node metastasis, or parametrial spread.  </w:t>
            </w:r>
            <w:r w:rsidRPr="00CB2EC4">
              <w:rPr>
                <w:rFonts w:ascii="Times New Roman" w:hAnsi="Times New Roman" w:cs="Times New Roman"/>
              </w:rPr>
              <w:br/>
              <w:t xml:space="preserve">- Adjuvant therapy: Should receive postoperative radiotherapy (PORT), and may be combined with concurrent chemotherapy (e.g., 5-FU, DDP).  </w:t>
            </w:r>
            <w:r w:rsidRPr="00CB2EC4">
              <w:rPr>
                <w:rFonts w:ascii="Times New Roman" w:hAnsi="Times New Roman" w:cs="Times New Roman"/>
              </w:rPr>
              <w:br/>
              <w:t>- Evidence: The context (similarity 0.539) explicitly states: "High-risk factors include positive surgical margins, lymph node metastasis, or parametrial spread; PORT should be administered, and GOG109 demonstrated an overall survival benefit." Another excerpt (similarity 0.522) adds: "For patients with stage I–II cervical cancer after radical surgery with pelvic metastasis, parametrial infiltration, or positive margins, concurrent chemoradiation should be implemented."</w:t>
            </w:r>
          </w:p>
        </w:tc>
        <w:tc>
          <w:tcPr>
            <w:tcW w:w="1152" w:type="dxa"/>
            <w:vAlign w:val="center"/>
          </w:tcPr>
          <w:p w14:paraId="10F82A1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746F3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DB017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7DFE49C" w14:textId="77777777" w:rsidTr="00547D77">
        <w:tc>
          <w:tcPr>
            <w:tcW w:w="10656" w:type="dxa"/>
            <w:gridSpan w:val="5"/>
            <w:tcBorders>
              <w:bottom w:val="single" w:sz="6" w:space="0" w:color="auto"/>
            </w:tcBorders>
            <w:vAlign w:val="center"/>
          </w:tcPr>
          <w:p w14:paraId="61ECE37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89: For a 40-year-old patient with early-stage cervical cancer (e.g., stage IB1) and no contraindications to surgery, why is surgery typically recommended as the preferred treatment, given that its efficacy is comparable to that of definitive radiotherapy?</w:t>
            </w:r>
          </w:p>
        </w:tc>
      </w:tr>
      <w:tr w:rsidR="00916494" w:rsidRPr="00CB2EC4" w14:paraId="520728DD" w14:textId="77777777" w:rsidTr="00547D77">
        <w:tc>
          <w:tcPr>
            <w:tcW w:w="2160" w:type="dxa"/>
            <w:vAlign w:val="center"/>
          </w:tcPr>
          <w:p w14:paraId="43522956"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2089AF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a 40-year-old patient with early-stage cervical cancer (e.g., IB1) and no surgical contraindications, why is surgery typically prioritized over definitive radiotherapy when both treatments offer comparable efficacy?</w:t>
            </w:r>
            <w:r w:rsidRPr="00CB2EC4">
              <w:rPr>
                <w:rFonts w:ascii="Times New Roman" w:hAnsi="Times New Roman" w:cs="Times New Roman"/>
              </w:rPr>
              <w:br/>
            </w:r>
            <w:r w:rsidRPr="00CB2EC4">
              <w:rPr>
                <w:rFonts w:ascii="Times New Roman" w:hAnsi="Times New Roman" w:cs="Times New Roman"/>
              </w:rPr>
              <w:br/>
              <w:t>reasons for prioritizing surgery:</w:t>
            </w:r>
            <w:r w:rsidRPr="00CB2EC4">
              <w:rPr>
                <w:rFonts w:ascii="Times New Roman" w:hAnsi="Times New Roman" w:cs="Times New Roman"/>
              </w:rPr>
              <w:br/>
              <w:t xml:space="preserve">  - preservation of ovarian function: surgery avoids radiotherapy-induced premature ovarian failure, thereby maintaining endocrine function and fertility potential.</w:t>
            </w:r>
            <w:r w:rsidRPr="00CB2EC4">
              <w:rPr>
                <w:rFonts w:ascii="Times New Roman" w:hAnsi="Times New Roman" w:cs="Times New Roman"/>
              </w:rPr>
              <w:br/>
              <w:t xml:space="preserve">  - reduced long-term complications: compared to radiotherapy, surgery lowers the risk of long-term side effects such as vaginal stenosis, bladder or rectal </w:t>
            </w:r>
            <w:r w:rsidRPr="00CB2EC4">
              <w:rPr>
                <w:rFonts w:ascii="Times New Roman" w:hAnsi="Times New Roman" w:cs="Times New Roman"/>
              </w:rPr>
              <w:lastRenderedPageBreak/>
              <w:t>injury, and improves quality of life.</w:t>
            </w:r>
            <w:r w:rsidRPr="00CB2EC4">
              <w:rPr>
                <w:rFonts w:ascii="Times New Roman" w:hAnsi="Times New Roman" w:cs="Times New Roman"/>
              </w:rPr>
              <w:br/>
              <w:t xml:space="preserve">  - individualized treatment: surgery enables more accurate pathological staging, facilitating subsequent individualized adjuvant therapy decisions (e.g., lymph node status assessment).</w:t>
            </w:r>
            <w:r w:rsidRPr="00CB2EC4">
              <w:rPr>
                <w:rFonts w:ascii="Times New Roman" w:hAnsi="Times New Roman" w:cs="Times New Roman"/>
              </w:rPr>
              <w:br/>
              <w:t>- although survival rates are similar between surgery and radiotherapy, surgery provides better functional preservation and quality of life in younger patients.</w:t>
            </w:r>
          </w:p>
        </w:tc>
        <w:tc>
          <w:tcPr>
            <w:tcW w:w="1152" w:type="dxa"/>
            <w:vAlign w:val="center"/>
          </w:tcPr>
          <w:p w14:paraId="5F2DBD9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8CF04B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8F60AC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55D87CF7" w14:textId="77777777" w:rsidTr="00547D77">
        <w:tc>
          <w:tcPr>
            <w:tcW w:w="2160" w:type="dxa"/>
            <w:vAlign w:val="center"/>
          </w:tcPr>
          <w:p w14:paraId="77B77A3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4D8078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a 40-year-old patient with early-stage cervical cancer (e.g., IB1) and no surgical contraindications, surgery is typically prioritized over definitive radiotherapy despite comparable efficacy because:</w:t>
            </w:r>
            <w:r w:rsidRPr="00CB2EC4">
              <w:rPr>
                <w:rFonts w:ascii="Times New Roman" w:hAnsi="Times New Roman" w:cs="Times New Roman"/>
              </w:rPr>
              <w:br/>
            </w:r>
            <w:r w:rsidRPr="00CB2EC4">
              <w:rPr>
                <w:rFonts w:ascii="Times New Roman" w:hAnsi="Times New Roman" w:cs="Times New Roman"/>
              </w:rPr>
              <w:br/>
              <w:t>- surgery preserves ovarian function and vaginal function, avoiding long-term complications of radiotherapy such as ovarian failure, vaginal atrophy, or stenosis, which is especially important in younger patients (&lt;45 years old).</w:t>
            </w:r>
            <w:r w:rsidRPr="00CB2EC4">
              <w:rPr>
                <w:rFonts w:ascii="Times New Roman" w:hAnsi="Times New Roman" w:cs="Times New Roman"/>
              </w:rPr>
              <w:br/>
              <w:t>- additionally, surgery circumvents issues of radioresistance and allows intraoperative exploration to adjust treatment plans.</w:t>
            </w:r>
            <w:r w:rsidRPr="00CB2EC4">
              <w:rPr>
                <w:rFonts w:ascii="Times New Roman" w:hAnsi="Times New Roman" w:cs="Times New Roman"/>
              </w:rPr>
              <w:br/>
            </w:r>
            <w:r w:rsidRPr="00CB2EC4">
              <w:rPr>
                <w:rFonts w:ascii="Times New Roman" w:hAnsi="Times New Roman" w:cs="Times New Roman"/>
              </w:rPr>
              <w:br/>
              <w:t>- Evidence:</w:t>
            </w:r>
            <w:r w:rsidRPr="00CB2EC4">
              <w:rPr>
                <w:rFonts w:ascii="Times New Roman" w:hAnsi="Times New Roman" w:cs="Times New Roman"/>
              </w:rPr>
              <w:br/>
              <w:t xml:space="preserve">  - Context (similarity 0.600): "(1) Ovarian function can be preserved without hormone replacement therapy. A more functional vagina is retained, with its elasticity and lubricating secretion often maintained, avoiding vaginal shrinkage and atrophy. This is especially important for patients under 45 years old."</w:t>
            </w:r>
            <w:r w:rsidRPr="00CB2EC4">
              <w:rPr>
                <w:rFonts w:ascii="Times New Roman" w:hAnsi="Times New Roman" w:cs="Times New Roman"/>
              </w:rPr>
              <w:br/>
              <w:t xml:space="preserve">  - Another excerpt (similarity 0.525): "For patients with IB or IIA stage disease, surgery should be the first consideration if: </w:t>
            </w:r>
            <w:r w:rsidRPr="00CB2EC4">
              <w:rPr>
                <w:rFonts w:ascii="宋体" w:eastAsia="宋体" w:hAnsi="宋体" w:cs="宋体" w:hint="eastAsia"/>
              </w:rPr>
              <w:t>①</w:t>
            </w:r>
            <w:r w:rsidRPr="00CB2EC4">
              <w:rPr>
                <w:rFonts w:ascii="Times New Roman" w:hAnsi="Times New Roman" w:cs="Times New Roman"/>
              </w:rPr>
              <w:t xml:space="preserve"> the patient is under 45 years old."</w:t>
            </w:r>
            <w:r w:rsidRPr="00CB2EC4">
              <w:rPr>
                <w:rFonts w:ascii="Times New Roman" w:hAnsi="Times New Roman" w:cs="Times New Roman"/>
              </w:rPr>
              <w:br/>
            </w:r>
            <w:r w:rsidRPr="00CB2EC4">
              <w:rPr>
                <w:rFonts w:ascii="Times New Roman" w:hAnsi="Times New Roman" w:cs="Times New Roman"/>
              </w:rPr>
              <w:lastRenderedPageBreak/>
              <w:t xml:space="preserve">  - Similarity 0.514 adds: "Because radiotherapy may lead to related complications, for premenopausal patients, especially those under 45 years old without surgical contraindications, surgery may be chosen."</w:t>
            </w:r>
          </w:p>
        </w:tc>
        <w:tc>
          <w:tcPr>
            <w:tcW w:w="1152" w:type="dxa"/>
            <w:vAlign w:val="center"/>
          </w:tcPr>
          <w:p w14:paraId="7EA518B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EB1DC1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54BCB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1B0166B" w14:textId="77777777" w:rsidTr="00547D77">
        <w:tc>
          <w:tcPr>
            <w:tcW w:w="10656" w:type="dxa"/>
            <w:gridSpan w:val="5"/>
            <w:tcBorders>
              <w:bottom w:val="single" w:sz="6" w:space="0" w:color="auto"/>
            </w:tcBorders>
            <w:vAlign w:val="center"/>
          </w:tcPr>
          <w:p w14:paraId="6D3EEA5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90: During surgery for cervical cancer, what specific lymph node regions are included in the standard scope of a pelvic lymphadenectomy?</w:t>
            </w:r>
          </w:p>
        </w:tc>
      </w:tr>
      <w:tr w:rsidR="00916494" w:rsidRPr="00CB2EC4" w14:paraId="5A62C605" w14:textId="77777777" w:rsidTr="00547D77">
        <w:tc>
          <w:tcPr>
            <w:tcW w:w="2160" w:type="dxa"/>
            <w:vAlign w:val="center"/>
          </w:tcPr>
          <w:p w14:paraId="7B58DD69"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B32FD7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standard resection range for pelvic lymphadenectomy includes the following lymph node regions:</w:t>
            </w:r>
            <w:r w:rsidRPr="00CB2EC4">
              <w:rPr>
                <w:rFonts w:ascii="Times New Roman" w:hAnsi="Times New Roman" w:cs="Times New Roman"/>
              </w:rPr>
              <w:br/>
              <w:t xml:space="preserve">  - Common iliac lymph nodes</w:t>
            </w:r>
            <w:r w:rsidRPr="00CB2EC4">
              <w:rPr>
                <w:rFonts w:ascii="Times New Roman" w:hAnsi="Times New Roman" w:cs="Times New Roman"/>
              </w:rPr>
              <w:br/>
              <w:t xml:space="preserve">  - External iliac lymph nodes</w:t>
            </w:r>
            <w:r w:rsidRPr="00CB2EC4">
              <w:rPr>
                <w:rFonts w:ascii="Times New Roman" w:hAnsi="Times New Roman" w:cs="Times New Roman"/>
              </w:rPr>
              <w:br/>
              <w:t xml:space="preserve">  - Internal iliac lymph nodes</w:t>
            </w:r>
            <w:r w:rsidRPr="00CB2EC4">
              <w:rPr>
                <w:rFonts w:ascii="Times New Roman" w:hAnsi="Times New Roman" w:cs="Times New Roman"/>
              </w:rPr>
              <w:br/>
              <w:t xml:space="preserve">  - Obturator lymph nodes</w:t>
            </w:r>
            <w:r w:rsidRPr="00CB2EC4">
              <w:rPr>
                <w:rFonts w:ascii="Times New Roman" w:hAnsi="Times New Roman" w:cs="Times New Roman"/>
              </w:rPr>
              <w:br/>
              <w:t xml:space="preserve">  - Presacral lymph nodes (resected selectively based on tumor location)</w:t>
            </w:r>
            <w:r w:rsidRPr="00CB2EC4">
              <w:rPr>
                <w:rFonts w:ascii="Times New Roman" w:hAnsi="Times New Roman" w:cs="Times New Roman"/>
              </w:rPr>
              <w:br/>
              <w:t>- This range aims to systematically remove pelvic lymph nodes for accurate staging and reduction of metastatic risk.</w:t>
            </w:r>
          </w:p>
        </w:tc>
        <w:tc>
          <w:tcPr>
            <w:tcW w:w="1152" w:type="dxa"/>
            <w:vAlign w:val="center"/>
          </w:tcPr>
          <w:p w14:paraId="0E3326B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B61C5F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0F4CCD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72240EA5" w14:textId="77777777" w:rsidTr="00547D77">
        <w:tc>
          <w:tcPr>
            <w:tcW w:w="2160" w:type="dxa"/>
            <w:vAlign w:val="center"/>
          </w:tcPr>
          <w:p w14:paraId="1A5381F7"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0AD938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standard resection range for pelvic lymphadenectomy includes the common iliac lymph nodes, external iliac lymph nodes, internal iliac lymph nodes, and obturator lymph nodes. Some descriptions also mention that it may include parametrial lymph nodes (sources: [similarity: 0.522] and [similarity: 0.472]).</w:t>
            </w:r>
          </w:p>
        </w:tc>
        <w:tc>
          <w:tcPr>
            <w:tcW w:w="1152" w:type="dxa"/>
            <w:vAlign w:val="center"/>
          </w:tcPr>
          <w:p w14:paraId="6E01A81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09A527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B5AB6C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3CFFD01B" w14:textId="77777777" w:rsidTr="00547D77">
        <w:tc>
          <w:tcPr>
            <w:tcW w:w="10656" w:type="dxa"/>
            <w:gridSpan w:val="5"/>
            <w:tcBorders>
              <w:bottom w:val="single" w:sz="6" w:space="0" w:color="auto"/>
            </w:tcBorders>
            <w:vAlign w:val="center"/>
          </w:tcPr>
          <w:p w14:paraId="6C52BBE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91: For the diagnosis of stage IA cervical cancer, why is a diagnosis based solely on cervical biopsy histopathology considered insufficient?</w:t>
            </w:r>
          </w:p>
        </w:tc>
      </w:tr>
      <w:tr w:rsidR="00916494" w:rsidRPr="00CB2EC4" w14:paraId="63694D44" w14:textId="77777777" w:rsidTr="00547D77">
        <w:tc>
          <w:tcPr>
            <w:tcW w:w="2160" w:type="dxa"/>
            <w:vAlign w:val="center"/>
          </w:tcPr>
          <w:p w14:paraId="3CDF7C6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4B3E75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b IA stage cervical cancer must be diagnosed based on the pathology of a cervical conization specimen; it cannot be diagnosed solely by the histopathology of a cervical biopsy.</w:t>
            </w:r>
            <w:r w:rsidRPr="00CB2EC4">
              <w:rPr>
                <w:rFonts w:ascii="Times New Roman" w:hAnsi="Times New Roman" w:cs="Times New Roman"/>
              </w:rPr>
              <w:br/>
            </w:r>
            <w:r w:rsidRPr="00CB2EC4">
              <w:rPr>
                <w:rFonts w:ascii="Times New Roman" w:hAnsi="Times New Roman" w:cs="Times New Roman"/>
              </w:rPr>
              <w:br/>
              <w:t xml:space="preserve">The reason is that a cervical biopsy may not </w:t>
            </w:r>
            <w:r w:rsidRPr="00CB2EC4">
              <w:rPr>
                <w:rFonts w:ascii="Times New Roman" w:hAnsi="Times New Roman" w:cs="Times New Roman"/>
              </w:rPr>
              <w:lastRenderedPageBreak/>
              <w:t>accurately assess the depth of stromal invasion, while IA stage involves microinvasive carcinoma (such as IA1 and IA2). A comprehensive tissue sample is required to confirm the extent of invasion. Specifically, a cervical biopsy may miss deeper invasion or small lesions, leading to incorrect staging. Therefore, a definitive diagnosis of IA stage requires cervical conization to obtain complete tissue for pathological examination, ensuring accurate assessment of invasion depth and extent.</w:t>
            </w:r>
          </w:p>
        </w:tc>
        <w:tc>
          <w:tcPr>
            <w:tcW w:w="1152" w:type="dxa"/>
            <w:vAlign w:val="center"/>
          </w:tcPr>
          <w:p w14:paraId="64BEB45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31A6A1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64DC6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41B192C" w14:textId="77777777" w:rsidTr="00547D77">
        <w:tc>
          <w:tcPr>
            <w:tcW w:w="2160" w:type="dxa"/>
            <w:vAlign w:val="center"/>
          </w:tcPr>
          <w:p w14:paraId="59C60A5C"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D88516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the diagnosis of stage IA cervical cancer, it cannot be confirmed solely based on cervical biopsy histopathology because the biopsy may not comprehensively assess the depth and extent of tumor infiltration. The document explicitly states (in the segment with similarity 0.599): "b Stage IA requires pathological examination of a cervical conization specimen for diagnosis; it cannot be diagnosed solely by cervical biopsy histopathology." This is because cervical biopsy typically samples only a small portion of tissue and may miss deep infiltration or microscopic lesions, whereas cervical conization provides a more complete tissue sample, ensuring accurate staging (e.g., according to FIGO 2018 staging criteria). This helps avoid misdiagnosis or underestimation of the condition, which could affect treatment decisions.</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11A7981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8167C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76AEC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958D4D0" w14:textId="77777777" w:rsidTr="00547D77">
        <w:tc>
          <w:tcPr>
            <w:tcW w:w="10656" w:type="dxa"/>
            <w:gridSpan w:val="5"/>
            <w:tcBorders>
              <w:bottom w:val="single" w:sz="6" w:space="0" w:color="auto"/>
            </w:tcBorders>
            <w:vAlign w:val="center"/>
          </w:tcPr>
          <w:p w14:paraId="2EA19EE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92: According to the Querleu-Morrow (Q-M) classification, what is the difference in the management of the ureter between a Type A and a Type B1 hysterectomy?</w:t>
            </w:r>
          </w:p>
        </w:tc>
      </w:tr>
      <w:tr w:rsidR="00916494" w:rsidRPr="00CB2EC4" w14:paraId="58F32E08" w14:textId="77777777" w:rsidTr="00547D77">
        <w:tc>
          <w:tcPr>
            <w:tcW w:w="2160" w:type="dxa"/>
            <w:vAlign w:val="center"/>
          </w:tcPr>
          <w:p w14:paraId="2FE8F672" w14:textId="77777777" w:rsidR="00916494" w:rsidRPr="00CB2EC4" w:rsidRDefault="00916494" w:rsidP="00547D77">
            <w:pPr>
              <w:rPr>
                <w:rFonts w:ascii="Times New Roman" w:hAnsi="Times New Roman" w:cs="Times New Roman"/>
              </w:rPr>
            </w:pPr>
            <w:r>
              <w:rPr>
                <w:rFonts w:ascii="Times New Roman" w:hAnsi="Times New Roman" w:cs="Times New Roman"/>
              </w:rPr>
              <w:t xml:space="preserve">Chunk size=512, Overlap=0 Using </w:t>
            </w:r>
            <w:r>
              <w:rPr>
                <w:rFonts w:ascii="Times New Roman" w:hAnsi="Times New Roman" w:cs="Times New Roman"/>
              </w:rPr>
              <w:lastRenderedPageBreak/>
              <w:t>TokenTextSplitter</w:t>
            </w:r>
          </w:p>
        </w:tc>
        <w:tc>
          <w:tcPr>
            <w:tcW w:w="5040" w:type="dxa"/>
            <w:vAlign w:val="center"/>
          </w:tcPr>
          <w:p w14:paraId="174346D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 xml:space="preserve">based on the Q-M classification table, the key differences in ureter handling between type A and </w:t>
            </w:r>
            <w:r w:rsidRPr="00CB2EC4">
              <w:rPr>
                <w:rFonts w:ascii="Times New Roman" w:hAnsi="Times New Roman" w:cs="Times New Roman"/>
              </w:rPr>
              <w:lastRenderedPageBreak/>
              <w:t xml:space="preserve">type B1 hysterectomy are as follows:  </w:t>
            </w:r>
            <w:r w:rsidRPr="00CB2EC4">
              <w:rPr>
                <w:rFonts w:ascii="Times New Roman" w:hAnsi="Times New Roman" w:cs="Times New Roman"/>
              </w:rPr>
              <w:br/>
              <w:t xml:space="preserve">- type A hysterectomy: the ureter is identified and dissected free. the surgical scope is conservative, indicated for stage IA1 cervical cancer, and does not involve deep dissection of the ureter.  </w:t>
            </w:r>
            <w:r w:rsidRPr="00CB2EC4">
              <w:rPr>
                <w:rFonts w:ascii="Times New Roman" w:hAnsi="Times New Roman" w:cs="Times New Roman"/>
              </w:rPr>
              <w:br/>
              <w:t>- type B1 hysterectomy: the ureter must be opened from the ureteral tunnel and laterally displaced (i.e., separation of the ureteral tunnel). the surgical scope is broader, indicated for stage IA1 cervical cancer with lymphovascular space invasion (LVSI+) and stage IA2 cervical cancer, requiring partial ureteral dissection to reduce complication risk.</w:t>
            </w:r>
          </w:p>
        </w:tc>
        <w:tc>
          <w:tcPr>
            <w:tcW w:w="1152" w:type="dxa"/>
            <w:vAlign w:val="center"/>
          </w:tcPr>
          <w:p w14:paraId="0B00536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68C9F5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BC8946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3C5109E0" w14:textId="77777777" w:rsidTr="00547D77">
        <w:tc>
          <w:tcPr>
            <w:tcW w:w="2160" w:type="dxa"/>
            <w:vAlign w:val="center"/>
          </w:tcPr>
          <w:p w14:paraId="0439BC4E"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5F9B62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according to the Q-M classification table, the key differences in ureter handling between Type A and Type B1 hysterectomy are as follows:</w:t>
            </w:r>
            <w:r w:rsidRPr="00CB2EC4">
              <w:rPr>
                <w:rFonts w:ascii="Times New Roman" w:hAnsi="Times New Roman" w:cs="Times New Roman"/>
              </w:rPr>
              <w:br/>
              <w:t>- Type A hysterectomy: ureter handling is "identified but not dissected". This means the ureter is only identified in position during surgery, without anatomical dissection or mobilization, to reduce the risk of injury. This applies to low-risk cases (e.g., stage IA cervical cancer).</w:t>
            </w:r>
            <w:r w:rsidRPr="00CB2EC4">
              <w:rPr>
                <w:rFonts w:ascii="Times New Roman" w:hAnsi="Times New Roman" w:cs="Times New Roman"/>
              </w:rPr>
              <w:br/>
              <w:t>- Type B1 hysterectomy: ureter handling is "opening the top of the tunnel and lateral displacement". This involves opening the ureteral tunnel (the passage where the ureter enters the bladder) and performing lateral displacement to more widely expose and resect the parametrial tissue. This applies to intermediate-risk cases (e.g., stage IA2 or with lymphovascular space invasion).</w:t>
            </w:r>
            <w:r w:rsidRPr="00CB2EC4">
              <w:rPr>
                <w:rFonts w:ascii="Times New Roman" w:hAnsi="Times New Roman" w:cs="Times New Roman"/>
              </w:rPr>
              <w:br/>
              <w:t>This difference reflects an expansion of surgical extent: Type A is more conservative, while Type B1 is more radical, aiming to reduce recurrence risk but increase surgical complexity.</w:t>
            </w:r>
          </w:p>
        </w:tc>
        <w:tc>
          <w:tcPr>
            <w:tcW w:w="1152" w:type="dxa"/>
            <w:vAlign w:val="center"/>
          </w:tcPr>
          <w:p w14:paraId="47CEE53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73D4FE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62ECBE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50200B0" w14:textId="77777777" w:rsidTr="00547D77">
        <w:tc>
          <w:tcPr>
            <w:tcW w:w="10656" w:type="dxa"/>
            <w:gridSpan w:val="5"/>
            <w:tcBorders>
              <w:bottom w:val="single" w:sz="6" w:space="0" w:color="auto"/>
            </w:tcBorders>
            <w:vAlign w:val="center"/>
          </w:tcPr>
          <w:p w14:paraId="0BF4AF9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93: According to the Q-M surgical classification, what are the key differences between a Type C1 (nerve-sparing radical hysterectomy) and a Type C2 (classical radical hysterectomy) in terms of the dissection of the lateral parametrium and nerve preservation?</w:t>
            </w:r>
          </w:p>
        </w:tc>
      </w:tr>
      <w:tr w:rsidR="00916494" w:rsidRPr="00CB2EC4" w14:paraId="57AF7D4B" w14:textId="77777777" w:rsidTr="00547D77">
        <w:tc>
          <w:tcPr>
            <w:tcW w:w="2160" w:type="dxa"/>
            <w:vAlign w:val="center"/>
          </w:tcPr>
          <w:p w14:paraId="78E133E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292230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According to the Q-M surgical classification:</w:t>
            </w:r>
            <w:r w:rsidRPr="00CB2EC4">
              <w:rPr>
                <w:rFonts w:ascii="Times New Roman" w:hAnsi="Times New Roman" w:cs="Times New Roman"/>
              </w:rPr>
              <w:br/>
            </w:r>
            <w:r w:rsidRPr="00CB2EC4">
              <w:rPr>
                <w:rFonts w:ascii="Times New Roman" w:hAnsi="Times New Roman" w:cs="Times New Roman"/>
              </w:rPr>
              <w:br/>
              <w:t xml:space="preserve">- **C1 type (nerve-sparing radical hysterectomy)**: When managing the lateral parametrial tissue, only the tissue medial to the level of the uterine deep vein is resected, avoiding injury to the pelvic autonomic nerves (e.g., the inferior hypogastric plexus). Nerve function is preserved through meticulous dissection, reducing postoperative bladder and rectal dysfunction.  </w:t>
            </w:r>
            <w:r w:rsidRPr="00CB2EC4">
              <w:rPr>
                <w:rFonts w:ascii="Times New Roman" w:hAnsi="Times New Roman" w:cs="Times New Roman"/>
              </w:rPr>
              <w:br/>
              <w:t xml:space="preserve">- **C2 type (classic radical hysterectomy)**: The lateral parametrial tissue is widely resected, including up to the level of the internal iliac vein, with no preservation of neural structures (e.g., complete transection of the parametrial nerve plexus), resulting in a higher risk of nerve injury.  </w:t>
            </w:r>
            <w:r w:rsidRPr="00CB2EC4">
              <w:rPr>
                <w:rFonts w:ascii="Times New Roman" w:hAnsi="Times New Roman" w:cs="Times New Roman"/>
              </w:rPr>
              <w:br/>
              <w:t>The key difference is that the C1 type limits the resection range and employs targeted nerve-sparing techniques (such as identifying and protecting nerve bundles) to reduce complications, whereas the C2 type involves broader parametrial resection without nerve preservation.</w:t>
            </w:r>
          </w:p>
        </w:tc>
        <w:tc>
          <w:tcPr>
            <w:tcW w:w="1152" w:type="dxa"/>
            <w:vAlign w:val="center"/>
          </w:tcPr>
          <w:p w14:paraId="6B5791A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97B64C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DD4CC5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86ECA85" w14:textId="77777777" w:rsidTr="00547D77">
        <w:tc>
          <w:tcPr>
            <w:tcW w:w="2160" w:type="dxa"/>
            <w:vAlign w:val="center"/>
          </w:tcPr>
          <w:p w14:paraId="02668ABB"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2E4CB4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According to the Q-M surgical classification, the key differences between Type C1 (nerve-sparing radical hysterectomy) and Type C2 (classical radical hysterectomy for cervical cancer) in the management of lateral parametrial tissue and nerve preservation are as follows:  </w:t>
            </w:r>
            <w:r w:rsidRPr="00CB2EC4">
              <w:rPr>
                <w:rFonts w:ascii="Times New Roman" w:hAnsi="Times New Roman" w:cs="Times New Roman"/>
              </w:rPr>
              <w:br/>
            </w:r>
            <w:r w:rsidRPr="00CB2EC4">
              <w:rPr>
                <w:rFonts w:ascii="Times New Roman" w:hAnsi="Times New Roman" w:cs="Times New Roman"/>
              </w:rPr>
              <w:br/>
              <w:t xml:space="preserve">- **Management of Lateral Parametrial Tissue**:  </w:t>
            </w:r>
            <w:r w:rsidRPr="00CB2EC4">
              <w:rPr>
                <w:rFonts w:ascii="Times New Roman" w:hAnsi="Times New Roman" w:cs="Times New Roman"/>
              </w:rPr>
              <w:br/>
              <w:t xml:space="preserve">  - **Type C1**: The lateral parametrial tissue is </w:t>
            </w:r>
            <w:r w:rsidRPr="00CB2EC4">
              <w:rPr>
                <w:rFonts w:ascii="Times New Roman" w:hAnsi="Times New Roman" w:cs="Times New Roman"/>
              </w:rPr>
              <w:lastRenderedPageBreak/>
              <w:t xml:space="preserve">resected to the level of the pelvic sidewall fascia, while actively identifying and avoiding neural structures (e.g., ureteral nerves, pelvic plexus) to maximize preservation of autonomic nerve function.  </w:t>
            </w:r>
            <w:r w:rsidRPr="00CB2EC4">
              <w:rPr>
                <w:rFonts w:ascii="Times New Roman" w:hAnsi="Times New Roman" w:cs="Times New Roman"/>
              </w:rPr>
              <w:br/>
              <w:t xml:space="preserve">  - **Type C2**: The lateral parametrial tissue is extensively resected, including the full thickness of the cardinal ligament, typically extending to the pelvic sidewall, with dissection of the ureter to the bladder entrance, without deliberate preservation of neurovascular bundles.  </w:t>
            </w:r>
            <w:r w:rsidRPr="00CB2EC4">
              <w:rPr>
                <w:rFonts w:ascii="Times New Roman" w:hAnsi="Times New Roman" w:cs="Times New Roman"/>
              </w:rPr>
              <w:br/>
            </w:r>
            <w:r w:rsidRPr="00CB2EC4">
              <w:rPr>
                <w:rFonts w:ascii="Times New Roman" w:hAnsi="Times New Roman" w:cs="Times New Roman"/>
              </w:rPr>
              <w:br/>
              <w:t xml:space="preserve">- **Nerve Preservation**:  </w:t>
            </w:r>
            <w:r w:rsidRPr="00CB2EC4">
              <w:rPr>
                <w:rFonts w:ascii="Times New Roman" w:hAnsi="Times New Roman" w:cs="Times New Roman"/>
              </w:rPr>
              <w:br/>
              <w:t xml:space="preserve">  - **Type C1**: Systematic preservation of pelvic autonomic nerves (including the inferior hypogastric plexus, pelvic nerves, and visceral nerve branches) is performed by sharp dissection during manipulation of the uterosacral ligament and lateral rectal space to protect nerve fibers, aiming to reduce postoperative bladder, rectal, and sexual dysfunction.  </w:t>
            </w:r>
            <w:r w:rsidRPr="00CB2EC4">
              <w:rPr>
                <w:rFonts w:ascii="Times New Roman" w:hAnsi="Times New Roman" w:cs="Times New Roman"/>
              </w:rPr>
              <w:br/>
              <w:t xml:space="preserve">  - **Type C2**: Nerve preservation is not emphasized; routine resection includes the cardinal ligament and parametrial tissue containing neurovascular bundles, which may lead to pelvic autonomic nerve injury and increase the risk of voiding dysfunction, constipation, or sexual dysfunction.  </w:t>
            </w:r>
            <w:r w:rsidRPr="00CB2EC4">
              <w:rPr>
                <w:rFonts w:ascii="Times New Roman" w:hAnsi="Times New Roman" w:cs="Times New Roman"/>
              </w:rPr>
              <w:br/>
            </w:r>
            <w:r w:rsidRPr="00CB2EC4">
              <w:rPr>
                <w:rFonts w:ascii="Times New Roman" w:hAnsi="Times New Roman" w:cs="Times New Roman"/>
              </w:rPr>
              <w:br/>
              <w:t>→ **Summary**: Type C1 preserves nerve function through precise dissection while resecting parametrial tissue, whereas Type C2 adopts a more extensive resection standard, sacrificing neural integrity for oncological safety.</w:t>
            </w:r>
          </w:p>
        </w:tc>
        <w:tc>
          <w:tcPr>
            <w:tcW w:w="1152" w:type="dxa"/>
            <w:vAlign w:val="center"/>
          </w:tcPr>
          <w:p w14:paraId="0E5818A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4B57FD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1F5A95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5473AA92" w14:textId="77777777" w:rsidTr="00547D77">
        <w:tc>
          <w:tcPr>
            <w:tcW w:w="10656" w:type="dxa"/>
            <w:gridSpan w:val="5"/>
            <w:tcBorders>
              <w:bottom w:val="single" w:sz="6" w:space="0" w:color="auto"/>
            </w:tcBorders>
            <w:vAlign w:val="center"/>
          </w:tcPr>
          <w:p w14:paraId="7D5C2E9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94: What pathological types are included in the Grade I recommendations for fertility-sparing surgery in cervical cancer?</w:t>
            </w:r>
          </w:p>
        </w:tc>
      </w:tr>
      <w:tr w:rsidR="00916494" w:rsidRPr="00CB2EC4" w14:paraId="2485180F" w14:textId="77777777" w:rsidTr="00547D77">
        <w:tc>
          <w:tcPr>
            <w:tcW w:w="2160" w:type="dxa"/>
            <w:vAlign w:val="center"/>
          </w:tcPr>
          <w:p w14:paraId="746395E7"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size=512, Overlap=0 Using TokenTextSplitter</w:t>
            </w:r>
          </w:p>
        </w:tc>
        <w:tc>
          <w:tcPr>
            <w:tcW w:w="5040" w:type="dxa"/>
            <w:vAlign w:val="center"/>
          </w:tcPr>
          <w:p w14:paraId="2B7AAA3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cervical cancer fertility-sparing surgery (such as radical trachelectomy) has the following pathological types as Level I recommendation (strong recommendation) indications:  </w:t>
            </w:r>
            <w:r w:rsidRPr="00CB2EC4">
              <w:rPr>
                <w:rFonts w:ascii="Times New Roman" w:hAnsi="Times New Roman" w:cs="Times New Roman"/>
              </w:rPr>
              <w:br/>
              <w:t xml:space="preserve">- Squamous cell carcinoma  </w:t>
            </w:r>
            <w:r w:rsidRPr="00CB2EC4">
              <w:rPr>
                <w:rFonts w:ascii="Times New Roman" w:hAnsi="Times New Roman" w:cs="Times New Roman"/>
              </w:rPr>
              <w:br/>
              <w:t xml:space="preserve">- Adenocarcinoma (including conventional-type adenocarcinoma)  </w:t>
            </w:r>
            <w:r w:rsidRPr="00CB2EC4">
              <w:rPr>
                <w:rFonts w:ascii="Times New Roman" w:hAnsi="Times New Roman" w:cs="Times New Roman"/>
              </w:rPr>
              <w:br/>
            </w:r>
            <w:r w:rsidRPr="00CB2EC4">
              <w:rPr>
                <w:rFonts w:ascii="Times New Roman" w:hAnsi="Times New Roman" w:cs="Times New Roman"/>
              </w:rPr>
              <w:br/>
              <w:t xml:space="preserve">Other pathological types (such as small cell carcinoma, clear cell carcinoma, or adenosquamous carcinoma) are generally not recommended due to insufficient evidence or poor prognosis.  </w:t>
            </w:r>
            <w:r w:rsidRPr="00CB2EC4">
              <w:rPr>
                <w:rFonts w:ascii="Times New Roman" w:hAnsi="Times New Roman" w:cs="Times New Roman"/>
              </w:rPr>
              <w:br/>
            </w:r>
            <w:r w:rsidRPr="00CB2EC4">
              <w:rPr>
                <w:rFonts w:ascii="Times New Roman" w:hAnsi="Times New Roman" w:cs="Times New Roman"/>
              </w:rPr>
              <w:br/>
              <w:t xml:space="preserve">Specific conditions for Level I recommendation include:  </w:t>
            </w:r>
            <w:r w:rsidRPr="00CB2EC4">
              <w:rPr>
                <w:rFonts w:ascii="Times New Roman" w:hAnsi="Times New Roman" w:cs="Times New Roman"/>
              </w:rPr>
              <w:br/>
              <w:t xml:space="preserve">- IA1 stage without lymphovascular space invasion (LVSI)  </w:t>
            </w:r>
            <w:r w:rsidRPr="00CB2EC4">
              <w:rPr>
                <w:rFonts w:ascii="Times New Roman" w:hAnsi="Times New Roman" w:cs="Times New Roman"/>
              </w:rPr>
              <w:br/>
              <w:t xml:space="preserve">- IA2 or IB1 stage (tumor diameter ≤ 2 cm)  </w:t>
            </w:r>
            <w:r w:rsidRPr="00CB2EC4">
              <w:rPr>
                <w:rFonts w:ascii="Times New Roman" w:hAnsi="Times New Roman" w:cs="Times New Roman"/>
              </w:rPr>
              <w:br/>
              <w:t xml:space="preserve">- Patient has a strong desire for fertility preservation.  </w:t>
            </w:r>
            <w:r w:rsidRPr="00CB2EC4">
              <w:rPr>
                <w:rFonts w:ascii="Times New Roman" w:hAnsi="Times New Roman" w:cs="Times New Roman"/>
              </w:rPr>
              <w:br/>
            </w:r>
            <w:r w:rsidRPr="00CB2EC4">
              <w:rPr>
                <w:rFonts w:ascii="Times New Roman" w:hAnsi="Times New Roman" w:cs="Times New Roman"/>
              </w:rPr>
              <w:br/>
              <w:t>Based on source document fragment (similarity: 0.477).</w:t>
            </w:r>
          </w:p>
        </w:tc>
        <w:tc>
          <w:tcPr>
            <w:tcW w:w="1152" w:type="dxa"/>
            <w:vAlign w:val="center"/>
          </w:tcPr>
          <w:p w14:paraId="1BE0DE0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CB217B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744C6A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21912918" w14:textId="77777777" w:rsidTr="00547D77">
        <w:tc>
          <w:tcPr>
            <w:tcW w:w="2160" w:type="dxa"/>
            <w:vAlign w:val="center"/>
          </w:tcPr>
          <w:p w14:paraId="20F8BDC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196772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pathological types included in the Level I recommendation indications for fertility-sparing surgery for cervical cancer are not specified in the provided documents. The documents discuss fertility-sparing surgery indications for eligible patients desiring fertility preservation and mention surgical options such as cervical conization, but do not explicitly list Level I recommended pathological types (e.g., squamous cell carcinoma, adenocarcinoma). Reference to cervical adenocarcinoma management is made (e.g., in similarity 0.549 fragment), but it is not designated as a Level I recommendation or restricted </w:t>
            </w:r>
            <w:r w:rsidRPr="00CB2EC4">
              <w:rPr>
                <w:rFonts w:ascii="Times New Roman" w:hAnsi="Times New Roman" w:cs="Times New Roman"/>
              </w:rPr>
              <w:lastRenderedPageBreak/>
              <w:t>to specific pathological types. Therefore, the information is not available in the given materials.</w:t>
            </w:r>
          </w:p>
        </w:tc>
        <w:tc>
          <w:tcPr>
            <w:tcW w:w="1152" w:type="dxa"/>
            <w:vAlign w:val="center"/>
          </w:tcPr>
          <w:p w14:paraId="0466F66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D07AD5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A9141A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7CCD4B8F" w14:textId="77777777" w:rsidTr="00547D77">
        <w:tc>
          <w:tcPr>
            <w:tcW w:w="10656" w:type="dxa"/>
            <w:gridSpan w:val="5"/>
            <w:tcBorders>
              <w:bottom w:val="single" w:sz="6" w:space="0" w:color="auto"/>
            </w:tcBorders>
            <w:vAlign w:val="center"/>
          </w:tcPr>
          <w:p w14:paraId="58E24DB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95: When treating locally advanced cervical cancer with external beam radiotherapy (EBRT), what technique is recommended for dose escalation to unresectable lymph nodes, and what is the recommended boost dose?</w:t>
            </w:r>
          </w:p>
        </w:tc>
      </w:tr>
      <w:tr w:rsidR="00916494" w:rsidRPr="00CB2EC4" w14:paraId="5394BEE4" w14:textId="77777777" w:rsidTr="00547D77">
        <w:tc>
          <w:tcPr>
            <w:tcW w:w="2160" w:type="dxa"/>
            <w:vAlign w:val="center"/>
          </w:tcPr>
          <w:p w14:paraId="6AD8AF79"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5D09EF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for locally advanced cervical cancer during external beam radiotherapy (EBRT), when encountering unresectable lymph nodes:  </w:t>
            </w:r>
            <w:r w:rsidRPr="00CB2EC4">
              <w:rPr>
                <w:rFonts w:ascii="Times New Roman" w:hAnsi="Times New Roman" w:cs="Times New Roman"/>
              </w:rPr>
              <w:br/>
              <w:t xml:space="preserve">- Recommended technique: Intensity-modulated radiotherapy (IMRT) or stereotactic body radiotherapy (SBRT) for boost irradiation to precisely target lymph nodes and minimize damage to surrounding normal tissues.  </w:t>
            </w:r>
            <w:r w:rsidRPr="00CB2EC4">
              <w:rPr>
                <w:rFonts w:ascii="Times New Roman" w:hAnsi="Times New Roman" w:cs="Times New Roman"/>
              </w:rPr>
              <w:br/>
              <w:t>- Recommended boost dose: 9–15 Gy added to the EBRT base dose (typically 45–50 Gy), resulting in a total dose of 54–65 Gy; the specific dose is adjusted based on lymph node size and location, with common fractionation schemes of 1.8–2.0 Gy per fraction.</w:t>
            </w:r>
          </w:p>
        </w:tc>
        <w:tc>
          <w:tcPr>
            <w:tcW w:w="1152" w:type="dxa"/>
            <w:vAlign w:val="center"/>
          </w:tcPr>
          <w:p w14:paraId="7F6FDDE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1A17F4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B9D7B6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1DC949FB" w14:textId="77777777" w:rsidTr="00547D77">
        <w:tc>
          <w:tcPr>
            <w:tcW w:w="2160" w:type="dxa"/>
            <w:vAlign w:val="center"/>
          </w:tcPr>
          <w:p w14:paraId="0C6C224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B6CFB0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locally advanced cervical cancer undergoing external beam radiotherapy (EBRT), when encountering unresectable lymph nodes, it is recommended to use highly conformal radiotherapy techniques for boost irradiation, with a recommended boost dose of 10–15 Gy.</w:t>
            </w:r>
            <w:r w:rsidRPr="00CB2EC4">
              <w:rPr>
                <w:rFonts w:ascii="Times New Roman" w:hAnsi="Times New Roman" w:cs="Times New Roman"/>
              </w:rPr>
              <w:br/>
            </w:r>
            <w:r w:rsidRPr="00CB2EC4">
              <w:rPr>
                <w:rFonts w:ascii="Times New Roman" w:hAnsi="Times New Roman" w:cs="Times New Roman"/>
              </w:rPr>
              <w:br/>
              <w:t>According to the source material: “Unresectable lymph nodes can be treated with highly conformal radiotherapy techniques, delivering a simultaneous integrated boost or sequential boost of 10–15 Gy.” This includes techniques such as intensity-modulated radiotherapy (IMRT) or stereotactic body radiotherapy (SBRT) to precisely target the lymph node regions while minimizing dose to surrounding normal tissues. The document emphasizes that this applies to image-</w:t>
            </w:r>
            <w:r w:rsidRPr="00CB2EC4">
              <w:rPr>
                <w:rFonts w:ascii="Times New Roman" w:hAnsi="Times New Roman" w:cs="Times New Roman"/>
              </w:rPr>
              <w:lastRenderedPageBreak/>
              <w:t>guided EBRT and must be combined with clinical assessment (e.g., lymph node size and location).</w:t>
            </w:r>
          </w:p>
        </w:tc>
        <w:tc>
          <w:tcPr>
            <w:tcW w:w="1152" w:type="dxa"/>
            <w:vAlign w:val="center"/>
          </w:tcPr>
          <w:p w14:paraId="0EE71C9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34015D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C93665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DF3CFBF" w14:textId="77777777" w:rsidTr="00547D77">
        <w:tc>
          <w:tcPr>
            <w:tcW w:w="10656" w:type="dxa"/>
            <w:gridSpan w:val="5"/>
            <w:tcBorders>
              <w:bottom w:val="single" w:sz="6" w:space="0" w:color="auto"/>
            </w:tcBorders>
            <w:vAlign w:val="center"/>
          </w:tcPr>
          <w:p w14:paraId="4E27F52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96: In the definitive radiotherapy for locally advanced cervical cancer, brachytherapy is a critical component. What is the recommended target for the equivalent dose in 2-Gy fractions (EQD2) to Point A or the high-risk clinical target volume (HR-CTV)? To protect surrounding organs at risk, what are the dose constraints for the rectum and bladder?</w:t>
            </w:r>
          </w:p>
        </w:tc>
      </w:tr>
      <w:tr w:rsidR="00916494" w:rsidRPr="00CB2EC4" w14:paraId="1FFC6658" w14:textId="77777777" w:rsidTr="00547D77">
        <w:tc>
          <w:tcPr>
            <w:tcW w:w="2160" w:type="dxa"/>
            <w:vAlign w:val="center"/>
          </w:tcPr>
          <w:p w14:paraId="3D75CDA5"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B5F052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During radical radiotherapy for locally advanced cervical cancer, brachytherapy (afterloading) is a critical component. The recommended equivalent biological dose (EQD2) target for point A or high-risk clinical target volume (HR-CTV) is:</w:t>
            </w:r>
            <w:r w:rsidRPr="00CB2EC4">
              <w:rPr>
                <w:rFonts w:ascii="Times New Roman" w:hAnsi="Times New Roman" w:cs="Times New Roman"/>
              </w:rPr>
              <w:br/>
            </w:r>
            <w:r w:rsidRPr="00CB2EC4">
              <w:rPr>
                <w:rFonts w:ascii="Times New Roman" w:hAnsi="Times New Roman" w:cs="Times New Roman"/>
              </w:rPr>
              <w:br/>
              <w:t>- D90 EQD2 of 80–85 Gy for standard cases</w:t>
            </w:r>
            <w:r w:rsidRPr="00CB2EC4">
              <w:rPr>
                <w:rFonts w:ascii="Times New Roman" w:hAnsi="Times New Roman" w:cs="Times New Roman"/>
              </w:rPr>
              <w:br/>
              <w:t>- EQD2 ≥ 87 Gy for large or poorly regressing tumors</w:t>
            </w:r>
            <w:r w:rsidRPr="00CB2EC4">
              <w:rPr>
                <w:rFonts w:ascii="Times New Roman" w:hAnsi="Times New Roman" w:cs="Times New Roman"/>
              </w:rPr>
              <w:br/>
            </w:r>
            <w:r w:rsidRPr="00CB2EC4">
              <w:rPr>
                <w:rFonts w:ascii="Times New Roman" w:hAnsi="Times New Roman" w:cs="Times New Roman"/>
              </w:rPr>
              <w:br/>
              <w:t>Dose constraints for surrounding normal organs are:</w:t>
            </w:r>
            <w:r w:rsidRPr="00CB2EC4">
              <w:rPr>
                <w:rFonts w:ascii="Times New Roman" w:hAnsi="Times New Roman" w:cs="Times New Roman"/>
              </w:rPr>
              <w:br/>
              <w:t>- Rectum: D2cc ≤ 65–75 Gy</w:t>
            </w:r>
            <w:r w:rsidRPr="00CB2EC4">
              <w:rPr>
                <w:rFonts w:ascii="Times New Roman" w:hAnsi="Times New Roman" w:cs="Times New Roman"/>
              </w:rPr>
              <w:br/>
              <w:t>- Bladder: D2cc ≤ 80–90 Gy (Note: The document specifies $D_{2\mathrm{e}}$, but in context, this refers to D2cc dose limits)</w:t>
            </w:r>
            <w:r w:rsidRPr="00CB2EC4">
              <w:rPr>
                <w:rFonts w:ascii="Times New Roman" w:hAnsi="Times New Roman" w:cs="Times New Roman"/>
              </w:rPr>
              <w:br/>
            </w:r>
            <w:r w:rsidRPr="00CB2EC4">
              <w:rPr>
                <w:rFonts w:ascii="Times New Roman" w:hAnsi="Times New Roman" w:cs="Times New Roman"/>
              </w:rPr>
              <w:br/>
              <w:t>These constraints aim to minimize normal tissue injury. If the parameters cannot be met, interstitial implant techniques should be considered as a supplement.</w:t>
            </w:r>
          </w:p>
        </w:tc>
        <w:tc>
          <w:tcPr>
            <w:tcW w:w="1152" w:type="dxa"/>
            <w:vAlign w:val="center"/>
          </w:tcPr>
          <w:p w14:paraId="3754F38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0F0D0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74C6D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00BF5BF" w14:textId="77777777" w:rsidTr="00547D77">
        <w:tc>
          <w:tcPr>
            <w:tcW w:w="2160" w:type="dxa"/>
            <w:vAlign w:val="center"/>
          </w:tcPr>
          <w:p w14:paraId="30EF01B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C21380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no answer found in the knowledge base for the EQD2 target value of point A or HR-CTV.  </w:t>
            </w:r>
            <w:r w:rsidRPr="00CB2EC4">
              <w:rPr>
                <w:rFonts w:ascii="Times New Roman" w:hAnsi="Times New Roman" w:cs="Times New Roman"/>
              </w:rPr>
              <w:br/>
              <w:t xml:space="preserve">For organ dose constraints during radical radiotherapy for locally advanced cervical cancer:  </w:t>
            </w:r>
            <w:r w:rsidRPr="00CB2EC4">
              <w:rPr>
                <w:rFonts w:ascii="Times New Roman" w:hAnsi="Times New Roman" w:cs="Times New Roman"/>
              </w:rPr>
              <w:br/>
              <w:t xml:space="preserve">- Rectum D2cc ≤ 70–75 Gy (EQD2, α/β=3 Gy)  </w:t>
            </w:r>
            <w:r w:rsidRPr="00CB2EC4">
              <w:rPr>
                <w:rFonts w:ascii="Times New Roman" w:hAnsi="Times New Roman" w:cs="Times New Roman"/>
              </w:rPr>
              <w:br/>
              <w:t xml:space="preserve">- Bladder D2cc ≤ 75–80 Gy (EQD2, α/β=3 Gy)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Note: While the knowledge base specifies rectal and bladder dose limits in EQD2, it does not provide an explicit EQD2 target value for point A or HR-CTV, only the prescribed physical dose ranges (e.g., 20–35 Gy in 4–6 fractions). Equivalent biological dose calculations would require specification of fractionation and α/β ratio, which are not provided for the target in the source material.</w:t>
            </w:r>
          </w:p>
        </w:tc>
        <w:tc>
          <w:tcPr>
            <w:tcW w:w="1152" w:type="dxa"/>
            <w:vAlign w:val="center"/>
          </w:tcPr>
          <w:p w14:paraId="016F0BA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C1EFED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C22D9D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54928C18" w14:textId="77777777" w:rsidTr="00547D77">
        <w:tc>
          <w:tcPr>
            <w:tcW w:w="10656" w:type="dxa"/>
            <w:gridSpan w:val="5"/>
            <w:tcBorders>
              <w:bottom w:val="single" w:sz="6" w:space="0" w:color="auto"/>
            </w:tcBorders>
            <w:vAlign w:val="center"/>
          </w:tcPr>
          <w:p w14:paraId="35DF5A2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97: For patients with locally advanced cervical cancer receiving concurrent chemoradiotherapy, what is the standard weekly chemotherapy regimen (including drug name and dosage) recommended by the guidelines? If a patient cannot tolerate this regimen, what are the alternative options?</w:t>
            </w:r>
          </w:p>
        </w:tc>
      </w:tr>
      <w:tr w:rsidR="00916494" w:rsidRPr="00CB2EC4" w14:paraId="130E68F8" w14:textId="77777777" w:rsidTr="00547D77">
        <w:tc>
          <w:tcPr>
            <w:tcW w:w="2160" w:type="dxa"/>
            <w:vAlign w:val="center"/>
          </w:tcPr>
          <w:p w14:paraId="15154D36"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D3FD7F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Based on contextual information (similarity score 0.645 fragment), the standard weekly regimen for concurrent chemoradiotherapy is:  </w:t>
            </w:r>
            <w:r w:rsidRPr="00CB2EC4">
              <w:rPr>
                <w:rFonts w:ascii="Times New Roman" w:hAnsi="Times New Roman" w:cs="Times New Roman"/>
              </w:rPr>
              <w:br/>
              <w:t xml:space="preserve">- Drug name: Cisplatin (DDP)  </w:t>
            </w:r>
            <w:r w:rsidRPr="00CB2EC4">
              <w:rPr>
                <w:rFonts w:ascii="Times New Roman" w:hAnsi="Times New Roman" w:cs="Times New Roman"/>
              </w:rPr>
              <w:br/>
              <w:t xml:space="preserve">- Dosage: 40 mg/m², once weekly, for a total of 4~6 cycles.  </w:t>
            </w:r>
            <w:r w:rsidRPr="00CB2EC4">
              <w:rPr>
                <w:rFonts w:ascii="Times New Roman" w:hAnsi="Times New Roman" w:cs="Times New Roman"/>
              </w:rPr>
              <w:br/>
              <w:t xml:space="preserve">This regimen is typically administered during pelvic external beam radiation therapy (EBRT).  </w:t>
            </w:r>
            <w:r w:rsidRPr="00CB2EC4">
              <w:rPr>
                <w:rFonts w:ascii="Times New Roman" w:hAnsi="Times New Roman" w:cs="Times New Roman"/>
              </w:rPr>
              <w:br/>
            </w:r>
            <w:r w:rsidRPr="00CB2EC4">
              <w:rPr>
                <w:rFonts w:ascii="Times New Roman" w:hAnsi="Times New Roman" w:cs="Times New Roman"/>
              </w:rPr>
              <w:br/>
              <w:t xml:space="preserve">If the patient cannot tolerate the weekly cisplatin regimen, the alternative option is:  </w:t>
            </w:r>
            <w:r w:rsidRPr="00CB2EC4">
              <w:rPr>
                <w:rFonts w:ascii="Times New Roman" w:hAnsi="Times New Roman" w:cs="Times New Roman"/>
              </w:rPr>
              <w:br/>
              <w:t xml:space="preserve">- Drug name: Carboplatin  </w:t>
            </w:r>
            <w:r w:rsidRPr="00CB2EC4">
              <w:rPr>
                <w:rFonts w:ascii="Times New Roman" w:hAnsi="Times New Roman" w:cs="Times New Roman"/>
              </w:rPr>
              <w:br/>
              <w:t xml:space="preserve">- Dosage: AUC 2, once weekly, for a total of 4~6 cycles.  </w:t>
            </w:r>
            <w:r w:rsidRPr="00CB2EC4">
              <w:rPr>
                <w:rFonts w:ascii="Times New Roman" w:hAnsi="Times New Roman" w:cs="Times New Roman"/>
              </w:rPr>
              <w:br/>
              <w:t>This regimen is also implemented concurrently with pelvic radiotherapy and is suitable for patients with contraindications or poor tolerance to cisplatin.</w:t>
            </w:r>
          </w:p>
        </w:tc>
        <w:tc>
          <w:tcPr>
            <w:tcW w:w="1152" w:type="dxa"/>
            <w:vAlign w:val="center"/>
          </w:tcPr>
          <w:p w14:paraId="454C5C1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D76D8D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368B5A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3E17CC03" w14:textId="77777777" w:rsidTr="00547D77">
        <w:tc>
          <w:tcPr>
            <w:tcW w:w="2160" w:type="dxa"/>
            <w:vAlign w:val="center"/>
          </w:tcPr>
          <w:p w14:paraId="2ADDB1B6"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5F74EC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standard weekly chemotherapy regimen: based on the document content, the recommended regimen is weekly cisplatin (DDP):</w:t>
            </w:r>
            <w:r w:rsidRPr="00CB2EC4">
              <w:rPr>
                <w:rFonts w:ascii="Times New Roman" w:hAnsi="Times New Roman" w:cs="Times New Roman"/>
              </w:rPr>
              <w:br/>
              <w:t xml:space="preserve">  - Drug name: cisplatin (DDP).</w:t>
            </w:r>
            <w:r w:rsidRPr="00CB2EC4">
              <w:rPr>
                <w:rFonts w:ascii="Times New Roman" w:hAnsi="Times New Roman" w:cs="Times New Roman"/>
              </w:rPr>
              <w:br/>
              <w:t xml:space="preserve">  - Dose: $40 \, \mathrm{mg/m}^2$ (40 milligrams </w:t>
            </w:r>
            <w:r w:rsidRPr="00CB2EC4">
              <w:rPr>
                <w:rFonts w:ascii="Times New Roman" w:hAnsi="Times New Roman" w:cs="Times New Roman"/>
              </w:rPr>
              <w:lastRenderedPageBreak/>
              <w:t>per square meter of body surface area).</w:t>
            </w:r>
            <w:r w:rsidRPr="00CB2EC4">
              <w:rPr>
                <w:rFonts w:ascii="Times New Roman" w:hAnsi="Times New Roman" w:cs="Times New Roman"/>
              </w:rPr>
              <w:br/>
              <w:t xml:space="preserve">  - Frequency: once weekly, for 4 to 6 cycles.</w:t>
            </w:r>
            <w:r w:rsidRPr="00CB2EC4">
              <w:rPr>
                <w:rFonts w:ascii="Times New Roman" w:hAnsi="Times New Roman" w:cs="Times New Roman"/>
              </w:rPr>
              <w:br/>
              <w:t xml:space="preserve">  - Source: the document fragment (similarity: 0.539) explicitly states: “The recommended concurrent chemotherapy regimen is weekly cisplatin (DDP $40 \, \mathrm{mg/m}^2$, once weekly, 4–6 cycles)”.</w:t>
            </w:r>
            <w:r w:rsidRPr="00CB2EC4">
              <w:rPr>
                <w:rFonts w:ascii="Times New Roman" w:hAnsi="Times New Roman" w:cs="Times New Roman"/>
              </w:rPr>
              <w:br/>
            </w:r>
            <w:r w:rsidRPr="00CB2EC4">
              <w:rPr>
                <w:rFonts w:ascii="Times New Roman" w:hAnsi="Times New Roman" w:cs="Times New Roman"/>
              </w:rPr>
              <w:br/>
              <w:t>- Alternative regimen if the patient cannot tolerate the above:</w:t>
            </w:r>
            <w:r w:rsidRPr="00CB2EC4">
              <w:rPr>
                <w:rFonts w:ascii="Times New Roman" w:hAnsi="Times New Roman" w:cs="Times New Roman"/>
              </w:rPr>
              <w:br/>
              <w:t xml:space="preserve">  - Carboplatin or platinum-based doublet chemotherapy is recommended:</w:t>
            </w:r>
            <w:r w:rsidRPr="00CB2EC4">
              <w:rPr>
                <w:rFonts w:ascii="Times New Roman" w:hAnsi="Times New Roman" w:cs="Times New Roman"/>
              </w:rPr>
              <w:br/>
              <w:t xml:space="preserve">    - Carboplatin: AUC=2 (dose calculated based on area under the curve), once weekly, for 4 to 6 cycles.</w:t>
            </w:r>
            <w:r w:rsidRPr="00CB2EC4">
              <w:rPr>
                <w:rFonts w:ascii="Times New Roman" w:hAnsi="Times New Roman" w:cs="Times New Roman"/>
              </w:rPr>
              <w:br/>
              <w:t xml:space="preserve">    - Or platinum-based doublet radiosensitizing chemotherapy (specific drugs not detailed, but the document mentions “platinum-based doublet”).</w:t>
            </w:r>
            <w:r w:rsidRPr="00CB2EC4">
              <w:rPr>
                <w:rFonts w:ascii="Times New Roman" w:hAnsi="Times New Roman" w:cs="Times New Roman"/>
              </w:rPr>
              <w:br/>
              <w:t xml:space="preserve">  - Source: the same document fragment (similarity: 0.539) indicates: “If cisplatin is intolerable, choose carboplatin (AUC=2, once weekly, 4–6 cycles) or platinum-based doublet radiosensitizing chemotherapy.”</w:t>
            </w:r>
          </w:p>
        </w:tc>
        <w:tc>
          <w:tcPr>
            <w:tcW w:w="1152" w:type="dxa"/>
            <w:vAlign w:val="center"/>
          </w:tcPr>
          <w:p w14:paraId="4B9558C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7C484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EE82A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F223DEC" w14:textId="77777777" w:rsidTr="00547D77">
        <w:tc>
          <w:tcPr>
            <w:tcW w:w="10656" w:type="dxa"/>
            <w:gridSpan w:val="5"/>
            <w:tcBorders>
              <w:bottom w:val="single" w:sz="6" w:space="0" w:color="auto"/>
            </w:tcBorders>
            <w:vAlign w:val="center"/>
          </w:tcPr>
          <w:p w14:paraId="31FA6C87"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98: According to the "Sedlis criteria," for a patient with squamous cell carcinoma, a tumor size of 3 cm, the presence of lymphovascular space invasion (LVSI), and an invasion depth to the middle third of the cervical stroma, do these findings meet the criteria for intermediate-risk factors?</w:t>
            </w:r>
          </w:p>
        </w:tc>
      </w:tr>
      <w:tr w:rsidR="00916494" w:rsidRPr="00CB2EC4" w14:paraId="686D7E9B" w14:textId="77777777" w:rsidTr="00547D77">
        <w:tc>
          <w:tcPr>
            <w:tcW w:w="2160" w:type="dxa"/>
            <w:vAlign w:val="center"/>
          </w:tcPr>
          <w:p w14:paraId="0FAE807F"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484420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w:t>
            </w:r>
          </w:p>
        </w:tc>
        <w:tc>
          <w:tcPr>
            <w:tcW w:w="1152" w:type="dxa"/>
            <w:vAlign w:val="center"/>
          </w:tcPr>
          <w:p w14:paraId="50E6FC9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874D6B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5EFF1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6EDABC3" w14:textId="77777777" w:rsidTr="00547D77">
        <w:tc>
          <w:tcPr>
            <w:tcW w:w="2160" w:type="dxa"/>
            <w:vAlign w:val="center"/>
          </w:tcPr>
          <w:p w14:paraId="4B9EEB4E"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AB5F7D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Judgment result: Yes, meets the criteria for intermediate-risk factors.</w:t>
            </w:r>
            <w:r w:rsidRPr="00CB2EC4">
              <w:rPr>
                <w:rFonts w:ascii="Times New Roman" w:hAnsi="Times New Roman" w:cs="Times New Roman"/>
              </w:rPr>
              <w:br/>
              <w:t>- Basis:</w:t>
            </w:r>
            <w:r w:rsidRPr="00CB2EC4">
              <w:rPr>
                <w:rFonts w:ascii="Times New Roman" w:hAnsi="Times New Roman" w:cs="Times New Roman"/>
              </w:rPr>
              <w:br/>
              <w:t xml:space="preserve">  - The document references the Sedlis standard to </w:t>
            </w:r>
            <w:r w:rsidRPr="00CB2EC4">
              <w:rPr>
                <w:rFonts w:ascii="Times New Roman" w:hAnsi="Times New Roman" w:cs="Times New Roman"/>
              </w:rPr>
              <w:lastRenderedPageBreak/>
              <w:t>define intermediate-risk factors, specifically for squamous cell carcinoma patients.</w:t>
            </w:r>
            <w:r w:rsidRPr="00CB2EC4">
              <w:rPr>
                <w:rFonts w:ascii="Times New Roman" w:hAnsi="Times New Roman" w:cs="Times New Roman"/>
              </w:rPr>
              <w:br/>
              <w:t xml:space="preserve">  - According to the document excerpt (similarity: 0.545): “For patients with squamous cell carcinoma, intermediate-risk factors (tumor size, stromal invasion, lymphovascular space invasion) can be referred to the ‘Sedlis standard’ [1] (Table 9-1).” Table 9-1 specifies:</w:t>
            </w:r>
            <w:r w:rsidRPr="00CB2EC4">
              <w:rPr>
                <w:rFonts w:ascii="Times New Roman" w:hAnsi="Times New Roman" w:cs="Times New Roman"/>
              </w:rPr>
              <w:br/>
              <w:t xml:space="preserve">    - “Lymphovascular space invasion (LVSI) positive + middle 1/3 stromal invasion: tumor size ≥2cm”</w:t>
            </w:r>
            <w:r w:rsidRPr="00CB2EC4">
              <w:rPr>
                <w:rFonts w:ascii="Times New Roman" w:hAnsi="Times New Roman" w:cs="Times New Roman"/>
              </w:rPr>
              <w:br/>
              <w:t xml:space="preserve">  - Patient status:</w:t>
            </w:r>
            <w:r w:rsidRPr="00CB2EC4">
              <w:rPr>
                <w:rFonts w:ascii="Times New Roman" w:hAnsi="Times New Roman" w:cs="Times New Roman"/>
              </w:rPr>
              <w:br/>
              <w:t xml:space="preserve">    - Tumor size: 3cm (≥2cm, meets condition).</w:t>
            </w:r>
            <w:r w:rsidRPr="00CB2EC4">
              <w:rPr>
                <w:rFonts w:ascii="Times New Roman" w:hAnsi="Times New Roman" w:cs="Times New Roman"/>
              </w:rPr>
              <w:br/>
              <w:t xml:space="preserve">    - LVSI: positive (meets condition).</w:t>
            </w:r>
            <w:r w:rsidRPr="00CB2EC4">
              <w:rPr>
                <w:rFonts w:ascii="Times New Roman" w:hAnsi="Times New Roman" w:cs="Times New Roman"/>
              </w:rPr>
              <w:br/>
              <w:t xml:space="preserve">    - Invasion depth: middle 1/3 (meets condition).</w:t>
            </w:r>
            <w:r w:rsidRPr="00CB2EC4">
              <w:rPr>
                <w:rFonts w:ascii="Times New Roman" w:hAnsi="Times New Roman" w:cs="Times New Roman"/>
              </w:rPr>
              <w:br/>
              <w:t xml:space="preserve">  - Therefore, the combination of LVSI positive + middle 1/3 stromal invasion + tumor size ≥2cm qualifies as an intermediate-risk factor under the Sedlis standard.</w:t>
            </w:r>
          </w:p>
        </w:tc>
        <w:tc>
          <w:tcPr>
            <w:tcW w:w="1152" w:type="dxa"/>
            <w:vAlign w:val="center"/>
          </w:tcPr>
          <w:p w14:paraId="21F29BA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4AECC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6A593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14F7BE9" w14:textId="77777777" w:rsidTr="00547D77">
        <w:tc>
          <w:tcPr>
            <w:tcW w:w="10656" w:type="dxa"/>
            <w:gridSpan w:val="5"/>
            <w:tcBorders>
              <w:bottom w:val="single" w:sz="6" w:space="0" w:color="auto"/>
            </w:tcBorders>
            <w:vAlign w:val="center"/>
          </w:tcPr>
          <w:p w14:paraId="56E3195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99: For patients with early-stage cervical cancer who have undergone radical surgery, which postoperative pathological findings are defined as "high-risk factors" necessitating adjuvant therapy?</w:t>
            </w:r>
          </w:p>
        </w:tc>
      </w:tr>
      <w:tr w:rsidR="00916494" w:rsidRPr="00CB2EC4" w14:paraId="5D911E52" w14:textId="77777777" w:rsidTr="00547D77">
        <w:tc>
          <w:tcPr>
            <w:tcW w:w="2160" w:type="dxa"/>
            <w:vAlign w:val="center"/>
          </w:tcPr>
          <w:p w14:paraId="41519607"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1F5521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For early-stage cervical cancer patients who have undergone radical surgery, the following postoperative pathological findings are defined as "high-risk factors" warranting adjuvant therapy:  </w:t>
            </w:r>
            <w:r w:rsidRPr="00CB2EC4">
              <w:rPr>
                <w:rFonts w:ascii="Times New Roman" w:hAnsi="Times New Roman" w:cs="Times New Roman"/>
              </w:rPr>
              <w:br/>
              <w:t xml:space="preserve">- Lymph node positivity  </w:t>
            </w:r>
            <w:r w:rsidRPr="00CB2EC4">
              <w:rPr>
                <w:rFonts w:ascii="Times New Roman" w:hAnsi="Times New Roman" w:cs="Times New Roman"/>
              </w:rPr>
              <w:br/>
              <w:t xml:space="preserve">- Positive surgical margins  </w:t>
            </w:r>
            <w:r w:rsidRPr="00CB2EC4">
              <w:rPr>
                <w:rFonts w:ascii="Times New Roman" w:hAnsi="Times New Roman" w:cs="Times New Roman"/>
              </w:rPr>
              <w:br/>
              <w:t xml:space="preserve">- Parametrial infiltration  </w:t>
            </w:r>
            <w:r w:rsidRPr="00CB2EC4">
              <w:rPr>
                <w:rFonts w:ascii="Times New Roman" w:hAnsi="Times New Roman" w:cs="Times New Roman"/>
              </w:rPr>
              <w:br/>
            </w:r>
            <w:r w:rsidRPr="00CB2EC4">
              <w:rPr>
                <w:rFonts w:ascii="Times New Roman" w:hAnsi="Times New Roman" w:cs="Times New Roman"/>
              </w:rPr>
              <w:br/>
              <w:t xml:space="preserve">The presence of any one high-risk factor recommends further imaging (e.g., to rule out distant metastasis) and adjuvant treatment with pelvic external beam radiotherapy plus concurrent platinum-based chemotherapy ± vaginal brachytherapy (evidence </w:t>
            </w:r>
            <w:r w:rsidRPr="00CB2EC4">
              <w:rPr>
                <w:rFonts w:ascii="Times New Roman" w:hAnsi="Times New Roman" w:cs="Times New Roman"/>
              </w:rPr>
              <w:lastRenderedPageBreak/>
              <w:t>level I).</w:t>
            </w:r>
          </w:p>
        </w:tc>
        <w:tc>
          <w:tcPr>
            <w:tcW w:w="1152" w:type="dxa"/>
            <w:vAlign w:val="center"/>
          </w:tcPr>
          <w:p w14:paraId="6B5B74D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E9DCAA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740FD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067A5F0" w14:textId="77777777" w:rsidTr="00547D77">
        <w:tc>
          <w:tcPr>
            <w:tcW w:w="2160" w:type="dxa"/>
            <w:vAlign w:val="center"/>
          </w:tcPr>
          <w:p w14:paraId="23452102"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E100ED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with early-stage cervical cancer who have undergone radical surgery, the following postoperative pathological findings are defined as "high-risk factors" and thus require adjuvant treatment:</w:t>
            </w:r>
            <w:r w:rsidRPr="00CB2EC4">
              <w:rPr>
                <w:rFonts w:ascii="Times New Roman" w:hAnsi="Times New Roman" w:cs="Times New Roman"/>
              </w:rPr>
              <w:br/>
            </w:r>
            <w:r w:rsidRPr="00CB2EC4">
              <w:rPr>
                <w:rFonts w:ascii="Times New Roman" w:hAnsi="Times New Roman" w:cs="Times New Roman"/>
              </w:rPr>
              <w:br/>
              <w:t>- High-risk factors are defined as:</w:t>
            </w:r>
            <w:r w:rsidRPr="00CB2EC4">
              <w:rPr>
                <w:rFonts w:ascii="Times New Roman" w:hAnsi="Times New Roman" w:cs="Times New Roman"/>
              </w:rPr>
              <w:br/>
              <w:t xml:space="preserve">  - Lymph node positivity (i.e., pelvic lymph node metastasis).</w:t>
            </w:r>
            <w:r w:rsidRPr="00CB2EC4">
              <w:rPr>
                <w:rFonts w:ascii="Times New Roman" w:hAnsi="Times New Roman" w:cs="Times New Roman"/>
              </w:rPr>
              <w:br/>
              <w:t xml:space="preserve">  - Positive surgical margins (i.e., residual cancer cells at the resection edge).</w:t>
            </w:r>
            <w:r w:rsidRPr="00CB2EC4">
              <w:rPr>
                <w:rFonts w:ascii="Times New Roman" w:hAnsi="Times New Roman" w:cs="Times New Roman"/>
              </w:rPr>
              <w:br/>
              <w:t xml:space="preserve">  - Parametrial infiltration (i.e., tumor invasion into the parametrial tissue).</w:t>
            </w:r>
            <w:r w:rsidRPr="00CB2EC4">
              <w:rPr>
                <w:rFonts w:ascii="Times New Roman" w:hAnsi="Times New Roman" w:cs="Times New Roman"/>
              </w:rPr>
              <w:br/>
              <w:t>- Rationale:</w:t>
            </w:r>
            <w:r w:rsidRPr="00CB2EC4">
              <w:rPr>
                <w:rFonts w:ascii="Times New Roman" w:hAnsi="Times New Roman" w:cs="Times New Roman"/>
              </w:rPr>
              <w:br/>
              <w:t xml:space="preserve">  - A document excerpt (similarity: 0.545) explicitly states: “‘High-risk factors’ include lymph node positivity, positive margins, and parametrial infiltration. The presence of any one ‘high-risk factor’ warrants further imaging to assess for metastatic disease in other sites. If there is no para-aortic lymph node involvement or distant metastasis, adjuvant external beam pelvic radiotherapy plus concurrent platinum-based chemotherapy (evidence level I) ± vaginal brachytherapy is recommended.”</w:t>
            </w:r>
            <w:r w:rsidRPr="00CB2EC4">
              <w:rPr>
                <w:rFonts w:ascii="Times New Roman" w:hAnsi="Times New Roman" w:cs="Times New Roman"/>
              </w:rPr>
              <w:br/>
              <w:t xml:space="preserve">  - Another excerpt (similarity: 0.481) also supports: “High-risk factors include positive surgical margins, lymph node metastasis, or parametrial spread.”</w:t>
            </w:r>
            <w:r w:rsidRPr="00CB2EC4">
              <w:rPr>
                <w:rFonts w:ascii="Times New Roman" w:hAnsi="Times New Roman" w:cs="Times New Roman"/>
              </w:rPr>
              <w:br/>
              <w:t xml:space="preserve">  - These factors trigger adjuvant therapy (such as radiotherapy or chemoradiotherapy) to reduce the risk of recurrence.</w:t>
            </w:r>
          </w:p>
        </w:tc>
        <w:tc>
          <w:tcPr>
            <w:tcW w:w="1152" w:type="dxa"/>
            <w:vAlign w:val="center"/>
          </w:tcPr>
          <w:p w14:paraId="3915072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C0F30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376D4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F73D084" w14:textId="77777777" w:rsidTr="00547D77">
        <w:tc>
          <w:tcPr>
            <w:tcW w:w="10656" w:type="dxa"/>
            <w:gridSpan w:val="5"/>
            <w:tcBorders>
              <w:bottom w:val="single" w:sz="6" w:space="0" w:color="auto"/>
            </w:tcBorders>
            <w:vAlign w:val="center"/>
          </w:tcPr>
          <w:p w14:paraId="0355D90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100: What advantages has the sequential chemoradiotherapy regimen demonstrated? Under what specific conditions is this regimen recommended for use?</w:t>
            </w:r>
          </w:p>
        </w:tc>
      </w:tr>
      <w:tr w:rsidR="00916494" w:rsidRPr="00CB2EC4" w14:paraId="3D25A060" w14:textId="77777777" w:rsidTr="00547D77">
        <w:tc>
          <w:tcPr>
            <w:tcW w:w="2160" w:type="dxa"/>
            <w:vAlign w:val="center"/>
          </w:tcPr>
          <w:p w14:paraId="69130BCD"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size=512, Overlap=0 Using TokenTextSplitter</w:t>
            </w:r>
          </w:p>
        </w:tc>
        <w:tc>
          <w:tcPr>
            <w:tcW w:w="5040" w:type="dxa"/>
            <w:vAlign w:val="center"/>
          </w:tcPr>
          <w:p w14:paraId="1AB8ABF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Sequential chemoradiotherapy regimens demonstrate the following advantages:  </w:t>
            </w:r>
            <w:r w:rsidRPr="00CB2EC4">
              <w:rPr>
                <w:rFonts w:ascii="Times New Roman" w:hAnsi="Times New Roman" w:cs="Times New Roman"/>
              </w:rPr>
              <w:br/>
              <w:t xml:space="preserve">- Higher 3-year disease-free survival (DFS) rates  </w:t>
            </w:r>
            <w:r w:rsidRPr="00CB2EC4">
              <w:rPr>
                <w:rFonts w:ascii="Times New Roman" w:hAnsi="Times New Roman" w:cs="Times New Roman"/>
              </w:rPr>
              <w:br/>
              <w:t xml:space="preserve">- Ability to reduce mortality risk  </w:t>
            </w:r>
            <w:r w:rsidRPr="00CB2EC4">
              <w:rPr>
                <w:rFonts w:ascii="Times New Roman" w:hAnsi="Times New Roman" w:cs="Times New Roman"/>
              </w:rPr>
              <w:br/>
            </w:r>
            <w:r w:rsidRPr="00CB2EC4">
              <w:rPr>
                <w:rFonts w:ascii="Times New Roman" w:hAnsi="Times New Roman" w:cs="Times New Roman"/>
              </w:rPr>
              <w:br/>
              <w:t>This regimen is recommended for use under specific conditions: in regions with constrained radiotherapy resources (e.g., insufficient equipment or technology), it may serve as an alternative option. Research (STARS study) indicates that in patients with IB1–IIA2 stage disease who have undergone radical surgery and have pathological high-risk factors, the DFS rate in the sequential chemoradiotherapy group was superior to that in the radiotherapy-only group and the concurrent chemoradiotherapy group, with similar rates of adverse reactions.</w:t>
            </w:r>
          </w:p>
        </w:tc>
        <w:tc>
          <w:tcPr>
            <w:tcW w:w="1152" w:type="dxa"/>
            <w:vAlign w:val="center"/>
          </w:tcPr>
          <w:p w14:paraId="39AACDB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A1F5C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5E1A5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F2D9AD5" w14:textId="77777777" w:rsidTr="00547D77">
        <w:tc>
          <w:tcPr>
            <w:tcW w:w="2160" w:type="dxa"/>
            <w:vAlign w:val="center"/>
          </w:tcPr>
          <w:p w14:paraId="678646C2"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555700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sequential chemoradiation regimen demonstrates the following advantages:</w:t>
            </w:r>
            <w:r w:rsidRPr="00CB2EC4">
              <w:rPr>
                <w:rFonts w:ascii="Times New Roman" w:hAnsi="Times New Roman" w:cs="Times New Roman"/>
              </w:rPr>
              <w:br/>
              <w:t>- Higher 3-year disease-free survival (DFS) rate and reduced risk of death compared to other approaches.</w:t>
            </w:r>
            <w:r w:rsidRPr="00CB2EC4">
              <w:rPr>
                <w:rFonts w:ascii="Times New Roman" w:hAnsi="Times New Roman" w:cs="Times New Roman"/>
              </w:rPr>
              <w:br/>
              <w:t>- Evidence: A domestic Phase III study (STARS study) randomized patients with IB1 to IIA2 stage cervical cancer who had undergone radical surgery with pathological high-risk factors into three groups: radiotherapy alone, concurrent chemoradiation, and sequential chemoradiation. Results showed that the first two groups had similar rates of grade 3–4 adverse events, while the sequential chemoradiation group achieved a higher 3-year DFS rate and reduced mortality risk.</w:t>
            </w:r>
            <w:r w:rsidRPr="00CB2EC4">
              <w:rPr>
                <w:rFonts w:ascii="Times New Roman" w:hAnsi="Times New Roman" w:cs="Times New Roman"/>
              </w:rPr>
              <w:br/>
            </w:r>
            <w:r w:rsidRPr="00CB2EC4">
              <w:rPr>
                <w:rFonts w:ascii="Times New Roman" w:hAnsi="Times New Roman" w:cs="Times New Roman"/>
              </w:rPr>
              <w:br/>
              <w:t>The regimen is recommended for use under the following specific conditions:</w:t>
            </w:r>
            <w:r w:rsidRPr="00CB2EC4">
              <w:rPr>
                <w:rFonts w:ascii="Times New Roman" w:hAnsi="Times New Roman" w:cs="Times New Roman"/>
              </w:rPr>
              <w:br/>
              <w:t>- In regions with limited radiotherapy resources.</w:t>
            </w:r>
            <w:r w:rsidRPr="00CB2EC4">
              <w:rPr>
                <w:rFonts w:ascii="Times New Roman" w:hAnsi="Times New Roman" w:cs="Times New Roman"/>
              </w:rPr>
              <w:br/>
            </w:r>
            <w:r w:rsidRPr="00CB2EC4">
              <w:rPr>
                <w:rFonts w:ascii="Times New Roman" w:hAnsi="Times New Roman" w:cs="Times New Roman"/>
              </w:rPr>
              <w:lastRenderedPageBreak/>
              <w:t>- Evidence: The same source indicates it "can be used in areas with constrained radiotherapy resources [6-7]", suggesting sequential chemoradiation serves as an alternative to optimize resource utilization while maintaining efficacy when concurrent chemoradiation cannot be routinely implemented.</w:t>
            </w:r>
          </w:p>
        </w:tc>
        <w:tc>
          <w:tcPr>
            <w:tcW w:w="1152" w:type="dxa"/>
            <w:vAlign w:val="center"/>
          </w:tcPr>
          <w:p w14:paraId="59B8419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B937C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9D21F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02156F4" w14:textId="77777777" w:rsidTr="00547D77">
        <w:tc>
          <w:tcPr>
            <w:tcW w:w="10656" w:type="dxa"/>
            <w:gridSpan w:val="5"/>
            <w:tcBorders>
              <w:bottom w:val="single" w:sz="6" w:space="0" w:color="auto"/>
            </w:tcBorders>
            <w:vAlign w:val="center"/>
          </w:tcPr>
          <w:p w14:paraId="1399D8DD"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101: What two parts form the connective body of Mackenrodt's ligament?</w:t>
            </w:r>
          </w:p>
        </w:tc>
      </w:tr>
      <w:tr w:rsidR="00916494" w:rsidRPr="00CB2EC4" w14:paraId="1F94C77A" w14:textId="77777777" w:rsidTr="00547D77">
        <w:tc>
          <w:tcPr>
            <w:tcW w:w="2160" w:type="dxa"/>
            <w:vAlign w:val="center"/>
          </w:tcPr>
          <w:p w14:paraId="6A1178C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B523AB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Mackenrodt ligament is a structure formed by the L-shaped junction of the transverse cervical ligament and the short fibrous bundle at the level of the ischial spine. Specifically:</w:t>
            </w:r>
            <w:r w:rsidRPr="00CB2EC4">
              <w:rPr>
                <w:rFonts w:ascii="Times New Roman" w:hAnsi="Times New Roman" w:cs="Times New Roman"/>
              </w:rPr>
              <w:br/>
              <w:t>- The transverse cervical ligament is part of the cardinal ligament, located at the center of the greater sciatic foramen, originating at the level of the arcuate line (approximately the fifth lumbar vertebra) and terminating at the region where it attaches to the ischial spine.</w:t>
            </w:r>
            <w:r w:rsidRPr="00CB2EC4">
              <w:rPr>
                <w:rFonts w:ascii="Times New Roman" w:hAnsi="Times New Roman" w:cs="Times New Roman"/>
              </w:rPr>
              <w:br/>
              <w:t>- The short fibrous bundle is part of the levator ani muscle fascia or the superior fascia of the pelvic diaphragm, corresponding to a portion of the paravaginal connective tissue.</w:t>
            </w:r>
            <w:r w:rsidRPr="00CB2EC4">
              <w:rPr>
                <w:rFonts w:ascii="Times New Roman" w:hAnsi="Times New Roman" w:cs="Times New Roman"/>
              </w:rPr>
              <w:br/>
              <w:t>Therefore, the Mackenrodt ligament is composed of the transverse cervical ligament and the short fibrous bundle.</w:t>
            </w:r>
          </w:p>
        </w:tc>
        <w:tc>
          <w:tcPr>
            <w:tcW w:w="1152" w:type="dxa"/>
            <w:vAlign w:val="center"/>
          </w:tcPr>
          <w:p w14:paraId="5CA4281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A30CD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A30721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D350708" w14:textId="77777777" w:rsidTr="00547D77">
        <w:tc>
          <w:tcPr>
            <w:tcW w:w="2160" w:type="dxa"/>
            <w:vAlign w:val="center"/>
          </w:tcPr>
          <w:p w14:paraId="29B549D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ADFAC7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Mackenrodt ligament is a connecting structure composed of the transverse cervical ligament and the horizontal connective tissue basal bundle (also referred to as the short fiber bundle). Specifically:</w:t>
            </w:r>
            <w:r w:rsidRPr="00CB2EC4">
              <w:rPr>
                <w:rFonts w:ascii="Times New Roman" w:hAnsi="Times New Roman" w:cs="Times New Roman"/>
              </w:rPr>
              <w:br/>
              <w:t>- The document states: “Mackenrodt ligament refers to the complex formed by the transverse cervical ligament and the horizontal connective tissue basal bundle.” (Source: [Similarity: 0.436] segment)</w:t>
            </w:r>
            <w:r w:rsidRPr="00CB2EC4">
              <w:rPr>
                <w:rFonts w:ascii="Times New Roman" w:hAnsi="Times New Roman" w:cs="Times New Roman"/>
              </w:rPr>
              <w:br/>
              <w:t xml:space="preserve">- Another passage notes: “The author proposes that </w:t>
            </w:r>
            <w:r w:rsidRPr="00CB2EC4">
              <w:rPr>
                <w:rFonts w:ascii="Times New Roman" w:hAnsi="Times New Roman" w:cs="Times New Roman"/>
              </w:rPr>
              <w:lastRenderedPageBreak/>
              <w:t>the Mackenrodt ligament should be the connecting structure formed by the anterior fascia of the transverse cervical ligament (the fascia forming the surface of the lateral bladder cavity) and the short fiber bundle.” (Source: [Similarity: 0.436] segment)</w:t>
            </w:r>
            <w:r w:rsidRPr="00CB2EC4">
              <w:rPr>
                <w:rFonts w:ascii="Times New Roman" w:hAnsi="Times New Roman" w:cs="Times New Roman"/>
              </w:rPr>
              <w:br/>
              <w:t>Therefore, the Mackenrodt ligament is a connecting structure composed of the transverse cervical ligament and the horizontal connective tissue basal bundle (or short fiber bundle).</w:t>
            </w:r>
          </w:p>
        </w:tc>
        <w:tc>
          <w:tcPr>
            <w:tcW w:w="1152" w:type="dxa"/>
            <w:vAlign w:val="center"/>
          </w:tcPr>
          <w:p w14:paraId="61E8B49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63D5E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11AD6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E2AA1FD" w14:textId="77777777" w:rsidTr="00547D77">
        <w:tc>
          <w:tcPr>
            <w:tcW w:w="10656" w:type="dxa"/>
            <w:gridSpan w:val="5"/>
            <w:tcBorders>
              <w:bottom w:val="single" w:sz="6" w:space="0" w:color="auto"/>
            </w:tcBorders>
            <w:vAlign w:val="center"/>
          </w:tcPr>
          <w:p w14:paraId="165B788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102: How is the cardinal ligament dissected during a Latzko's operation?</w:t>
            </w:r>
          </w:p>
        </w:tc>
      </w:tr>
      <w:tr w:rsidR="00916494" w:rsidRPr="00CB2EC4" w14:paraId="01CBB7ED" w14:textId="77777777" w:rsidTr="00547D77">
        <w:tc>
          <w:tcPr>
            <w:tcW w:w="2160" w:type="dxa"/>
            <w:vAlign w:val="center"/>
          </w:tcPr>
          <w:p w14:paraId="5495386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BA2C5C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how to separate the cardinal ligament during the Latzko procedure</w:t>
            </w:r>
            <w:r w:rsidRPr="00CB2EC4">
              <w:rPr>
                <w:rFonts w:ascii="Times New Roman" w:hAnsi="Times New Roman" w:cs="Times New Roman"/>
              </w:rPr>
              <w:br/>
            </w:r>
            <w:r w:rsidRPr="00CB2EC4">
              <w:rPr>
                <w:rFonts w:ascii="Times New Roman" w:hAnsi="Times New Roman" w:cs="Times New Roman"/>
              </w:rPr>
              <w:br/>
              <w:t>according to the document content (segments with similarity 0.562 and 0.483), the process of separating the cardinal ligament in the Latzko procedure involves the following steps:</w:t>
            </w:r>
            <w:r w:rsidRPr="00CB2EC4">
              <w:rPr>
                <w:rFonts w:ascii="Times New Roman" w:hAnsi="Times New Roman" w:cs="Times New Roman"/>
              </w:rPr>
              <w:br/>
              <w:t>- first, develop the paravesical space and the pararectal space down to the level of the levator ani muscle. this is achieved by dissecting the spaces, for example, incising part of the superior fascia of the levator ani at the bottom of the paravesical space to expose the caudal compartment of the pararectal space.</w:t>
            </w:r>
            <w:r w:rsidRPr="00CB2EC4">
              <w:rPr>
                <w:rFonts w:ascii="Times New Roman" w:hAnsi="Times New Roman" w:cs="Times New Roman"/>
              </w:rPr>
              <w:br/>
              <w:t>- then, create a tunnel at the base of the lateral pelvic ligament (i.e., the cardinal ligament) to connect it with the caudal compartment of the pararectal space. this is typically done using forceps (such as straight forceps) to grasp the visceral end of the cardinal ligament and pull it medially to maintain tension.</w:t>
            </w:r>
            <w:r w:rsidRPr="00CB2EC4">
              <w:rPr>
                <w:rFonts w:ascii="Times New Roman" w:hAnsi="Times New Roman" w:cs="Times New Roman"/>
              </w:rPr>
              <w:br/>
              <w:t xml:space="preserve">- finally, the entire cardinal ligament is taken as the resection target, clamped with forceps, then cut and ligated. the document emphasizes that the cardinal ligament is treated as a single connective tissue bundle </w:t>
            </w:r>
            <w:r w:rsidRPr="00CB2EC4">
              <w:rPr>
                <w:rFonts w:ascii="Times New Roman" w:hAnsi="Times New Roman" w:cs="Times New Roman"/>
              </w:rPr>
              <w:lastRenderedPageBreak/>
              <w:t>in the Latzko procedure, and care must be taken during resection to avoid injury to surrounding structures such as the pelvic splanchnic nerves.</w:t>
            </w:r>
            <w:r w:rsidRPr="00CB2EC4">
              <w:rPr>
                <w:rFonts w:ascii="Times New Roman" w:hAnsi="Times New Roman" w:cs="Times New Roman"/>
              </w:rPr>
              <w:br/>
              <w:t>in summary, the method for separating the cardinal ligament is: by developing the paravesical and pararectal spaces to the level of the levator ani muscle, using forceps to clamp the exposed cardinal ligament, followed by its resection.</w:t>
            </w:r>
          </w:p>
        </w:tc>
        <w:tc>
          <w:tcPr>
            <w:tcW w:w="1152" w:type="dxa"/>
            <w:vAlign w:val="center"/>
          </w:tcPr>
          <w:p w14:paraId="2E8A39C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7D6B8F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83C93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DC1D09E" w14:textId="77777777" w:rsidTr="00547D77">
        <w:tc>
          <w:tcPr>
            <w:tcW w:w="2160" w:type="dxa"/>
            <w:vAlign w:val="center"/>
          </w:tcPr>
          <w:p w14:paraId="7F5BAA41"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A9F716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how to separate the cardinal ligament in the Latzko procedure:</w:t>
            </w:r>
            <w:r w:rsidRPr="00CB2EC4">
              <w:rPr>
                <w:rFonts w:ascii="Times New Roman" w:hAnsi="Times New Roman" w:cs="Times New Roman"/>
              </w:rPr>
              <w:br/>
            </w:r>
            <w:r w:rsidRPr="00CB2EC4">
              <w:rPr>
                <w:rFonts w:ascii="Times New Roman" w:hAnsi="Times New Roman" w:cs="Times New Roman"/>
              </w:rPr>
              <w:br/>
              <w:t>In the Latzko procedure, separation of the cardinal ligament involves developing the paravesical and pararectal spaces and clamping the exposed cardinal ligament with a straight clamp for resection. The specific steps are as follows:</w:t>
            </w:r>
            <w:r w:rsidRPr="00CB2EC4">
              <w:rPr>
                <w:rFonts w:ascii="Times New Roman" w:hAnsi="Times New Roman" w:cs="Times New Roman"/>
              </w:rPr>
              <w:br/>
              <w:t>- First, develop the paravesical and pararectal spaces down to the level of the levator ani muscle. This includes incising part of the superior fascia of the levator ani to expose the caudal chamber of the pararectal space. (Source: [Similarity: 0.548] segment: "Develop the paravesical space, then incise part of the superior fascia of the levator ani to expose the caudal chamber of the pararectal space")</w:t>
            </w:r>
            <w:r w:rsidRPr="00CB2EC4">
              <w:rPr>
                <w:rFonts w:ascii="Times New Roman" w:hAnsi="Times New Roman" w:cs="Times New Roman"/>
              </w:rPr>
              <w:br/>
              <w:t>- Next, create a tunnel at the base of the pelvic lateral ligament (i.e., the cardinal ligament) to connect it with the caudal chamber of the pararectal space. Grasp the visceral end of the cardinal ligament with a clamp and pull it medially. (Source: [Similarity: 0.548] segment)</w:t>
            </w:r>
            <w:r w:rsidRPr="00CB2EC4">
              <w:rPr>
                <w:rFonts w:ascii="Times New Roman" w:hAnsi="Times New Roman" w:cs="Times New Roman"/>
              </w:rPr>
              <w:br/>
              <w:t>- Finally, clamp the entire separated cardinal ligament with a straight clamp and resect it. (Source: [Similarity: 0.548] segment: "In the Latzko procedure, the entire ligament is resected")</w:t>
            </w:r>
            <w:r w:rsidRPr="00CB2EC4">
              <w:rPr>
                <w:rFonts w:ascii="Times New Roman" w:hAnsi="Times New Roman" w:cs="Times New Roman"/>
              </w:rPr>
              <w:br/>
              <w:t xml:space="preserve">In summary, the separation process relies on space </w:t>
            </w:r>
            <w:r w:rsidRPr="00CB2EC4">
              <w:rPr>
                <w:rFonts w:ascii="Times New Roman" w:hAnsi="Times New Roman" w:cs="Times New Roman"/>
              </w:rPr>
              <w:lastRenderedPageBreak/>
              <w:t>development and clamping techniques to ensure complete exposure and resection of the cardinal ligament.</w:t>
            </w:r>
          </w:p>
        </w:tc>
        <w:tc>
          <w:tcPr>
            <w:tcW w:w="1152" w:type="dxa"/>
            <w:vAlign w:val="center"/>
          </w:tcPr>
          <w:p w14:paraId="51CF766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FF425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A0B80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A8849A6" w14:textId="77777777" w:rsidTr="00547D77">
        <w:tc>
          <w:tcPr>
            <w:tcW w:w="10656" w:type="dxa"/>
            <w:gridSpan w:val="5"/>
            <w:tcBorders>
              <w:bottom w:val="single" w:sz="6" w:space="0" w:color="auto"/>
            </w:tcBorders>
            <w:vAlign w:val="center"/>
          </w:tcPr>
          <w:p w14:paraId="1F6D2DF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103: According to Otcenasek's theory, into which three parts can the uterosacral ligament be divided?</w:t>
            </w:r>
          </w:p>
        </w:tc>
      </w:tr>
      <w:tr w:rsidR="00916494" w:rsidRPr="00CB2EC4" w14:paraId="531C941C" w14:textId="77777777" w:rsidTr="00547D77">
        <w:tc>
          <w:tcPr>
            <w:tcW w:w="2160" w:type="dxa"/>
            <w:vAlign w:val="center"/>
          </w:tcPr>
          <w:p w14:paraId="197E29A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810453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according to Otcenasek's theory, the uterosacral ligament can be divided into the following three parts:</w:t>
            </w:r>
            <w:r w:rsidRPr="00CB2EC4">
              <w:rPr>
                <w:rFonts w:ascii="Times New Roman" w:hAnsi="Times New Roman" w:cs="Times New Roman"/>
              </w:rPr>
              <w:br/>
              <w:t>- vascular part: refers to the portion of the transverse cervical ligament involving vascular structures.</w:t>
            </w:r>
            <w:r w:rsidRPr="00CB2EC4">
              <w:rPr>
                <w:rFonts w:ascii="Times New Roman" w:hAnsi="Times New Roman" w:cs="Times New Roman"/>
              </w:rPr>
              <w:br/>
              <w:t>- neural part: includes the inferior hypogastric nerve and the pelvic splanchnic nerves.</w:t>
            </w:r>
            <w:r w:rsidRPr="00CB2EC4">
              <w:rPr>
                <w:rFonts w:ascii="Times New Roman" w:hAnsi="Times New Roman" w:cs="Times New Roman"/>
              </w:rPr>
              <w:br/>
              <w:t>- true uterosacral ligament: refers to the original fibrous connective tissue portion.</w:t>
            </w:r>
            <w:r w:rsidRPr="00CB2EC4">
              <w:rPr>
                <w:rFonts w:ascii="Times New Roman" w:hAnsi="Times New Roman" w:cs="Times New Roman"/>
              </w:rPr>
              <w:br/>
            </w:r>
            <w:r w:rsidRPr="00CB2EC4">
              <w:rPr>
                <w:rFonts w:ascii="Times New Roman" w:hAnsi="Times New Roman" w:cs="Times New Roman"/>
              </w:rPr>
              <w:br/>
              <w:t>The document explicitly states that this division is based on the layered structure of the uterosacral ligament in the ventrodorsal direction, where the vascular part and neural part are actually components of the transverse cervical ligament, and the true uterosacral ligament is an independent structure. Therefore, the uterosacral ligament can be divided into three parts: vascular part, neural part, and true uterosacral ligament.</w:t>
            </w:r>
          </w:p>
        </w:tc>
        <w:tc>
          <w:tcPr>
            <w:tcW w:w="1152" w:type="dxa"/>
            <w:vAlign w:val="center"/>
          </w:tcPr>
          <w:p w14:paraId="433CBB4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EA752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9C4C0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2CB78A5" w14:textId="77777777" w:rsidTr="00547D77">
        <w:tc>
          <w:tcPr>
            <w:tcW w:w="2160" w:type="dxa"/>
            <w:vAlign w:val="center"/>
          </w:tcPr>
          <w:p w14:paraId="0A6AD689"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FB4E98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according to Otcenasek's theory (based on the 2008 publication), the uterosacral ligament can be divided into the following three parts:</w:t>
            </w:r>
            <w:r w:rsidRPr="00CB2EC4">
              <w:rPr>
                <w:rFonts w:ascii="Times New Roman" w:hAnsi="Times New Roman" w:cs="Times New Roman"/>
              </w:rPr>
              <w:br/>
              <w:t>- vascular part: refers to a portion of the transverse cervical ligament, involving vascular structures.</w:t>
            </w:r>
            <w:r w:rsidRPr="00CB2EC4">
              <w:rPr>
                <w:rFonts w:ascii="Times New Roman" w:hAnsi="Times New Roman" w:cs="Times New Roman"/>
              </w:rPr>
              <w:br/>
              <w:t>- neural part: includes the inferior hypogastric nerve and the pelvic splanchnic nerves.</w:t>
            </w:r>
            <w:r w:rsidRPr="00CB2EC4">
              <w:rPr>
                <w:rFonts w:ascii="Times New Roman" w:hAnsi="Times New Roman" w:cs="Times New Roman"/>
              </w:rPr>
              <w:br/>
              <w:t>- true uterosacral ligament: refers to the fibrous connective tissue portion.</w:t>
            </w:r>
            <w:r w:rsidRPr="00CB2EC4">
              <w:rPr>
                <w:rFonts w:ascii="Times New Roman" w:hAnsi="Times New Roman" w:cs="Times New Roman"/>
              </w:rPr>
              <w:br/>
            </w:r>
            <w:r w:rsidRPr="00CB2EC4">
              <w:rPr>
                <w:rFonts w:ascii="Times New Roman" w:hAnsi="Times New Roman" w:cs="Times New Roman"/>
              </w:rPr>
              <w:br/>
              <w:t xml:space="preserve">The document explicitly states: “Otcenasek et al. </w:t>
            </w:r>
            <w:r w:rsidRPr="00CB2EC4">
              <w:rPr>
                <w:rFonts w:ascii="Times New Roman" w:hAnsi="Times New Roman" w:cs="Times New Roman"/>
              </w:rPr>
              <w:lastRenderedPageBreak/>
              <w:t>(Obstet Gynecol, 2008) described that ‘the uterosacral part of the septum is further subdivided into three small parts—the vascular part, the neural part, and the true uterosacral ligament.’” (Source: [Similarity: 0.567] fragment). Another supplement states: “uterosacral ligament ≡ transverse cervical ligament (vascular part) + inferior hypogastric nerve, pelvic splanchnic nerves (neural part) + true uterosacral ligament.” (Source: [Similarity: 0.567] fragment). Therefore, these three parts are based on a subdivision in the ventrodorsal direction.</w:t>
            </w:r>
          </w:p>
        </w:tc>
        <w:tc>
          <w:tcPr>
            <w:tcW w:w="1152" w:type="dxa"/>
            <w:vAlign w:val="center"/>
          </w:tcPr>
          <w:p w14:paraId="1A6F12B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22DE54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C2874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9B7EEF7" w14:textId="77777777" w:rsidTr="00547D77">
        <w:tc>
          <w:tcPr>
            <w:tcW w:w="10656" w:type="dxa"/>
            <w:gridSpan w:val="5"/>
            <w:tcBorders>
              <w:bottom w:val="single" w:sz="6" w:space="0" w:color="auto"/>
            </w:tcBorders>
            <w:vAlign w:val="center"/>
          </w:tcPr>
          <w:p w14:paraId="42E015FA"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104: What is the method for developing the cranial compartment of Latzko's pararectal space?</w:t>
            </w:r>
          </w:p>
        </w:tc>
      </w:tr>
      <w:tr w:rsidR="00916494" w:rsidRPr="00CB2EC4" w14:paraId="1D07CC10" w14:textId="77777777" w:rsidTr="00547D77">
        <w:tc>
          <w:tcPr>
            <w:tcW w:w="2160" w:type="dxa"/>
            <w:vAlign w:val="center"/>
          </w:tcPr>
          <w:p w14:paraId="105736BA"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CDB2B7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method for forming the cranial chamber of the pararectal space (Latzko) is as follows:</w:t>
            </w:r>
            <w:r w:rsidRPr="00CB2EC4">
              <w:rPr>
                <w:rFonts w:ascii="Times New Roman" w:hAnsi="Times New Roman" w:cs="Times New Roman"/>
              </w:rPr>
              <w:br/>
              <w:t>- The posterior fascia of the transverse cervical ligament is a continuation of the vascular sheath of the internal iliac artery and vein, covering the ligament posteriorly as the visceral-side fascia.</w:t>
            </w:r>
            <w:r w:rsidRPr="00CB2EC4">
              <w:rPr>
                <w:rFonts w:ascii="Times New Roman" w:hAnsi="Times New Roman" w:cs="Times New Roman"/>
              </w:rPr>
              <w:br/>
              <w:t>- By dissecting the vascular sheath of the internal iliac artery and vein and the posterior fascia of the transverse cervical ligament away from their respective structures (i.e., the vessels and ligament), an artificial space is created.</w:t>
            </w:r>
            <w:r w:rsidRPr="00CB2EC4">
              <w:rPr>
                <w:rFonts w:ascii="Times New Roman" w:hAnsi="Times New Roman" w:cs="Times New Roman"/>
              </w:rPr>
              <w:br/>
              <w:t>- This dissection exposes structures such as the internal iliac artery and vein, uterine artery, and deep uterine vein, and forms the pararectal space (cranial chamber, Latzko). The space is bounded by the exposed vessels, the visceral-side branches posterior to the ligaments, and the dissected fascia; deeper levels may reveal the pelvic visceral nerves and the coccygeus muscle fascia.</w:t>
            </w:r>
            <w:r w:rsidRPr="00CB2EC4">
              <w:rPr>
                <w:rFonts w:ascii="Times New Roman" w:hAnsi="Times New Roman" w:cs="Times New Roman"/>
              </w:rPr>
              <w:br/>
              <w:t xml:space="preserve">Therefore, the formation method is: dissection of the posterior fascia of the transverse cervical ligament and </w:t>
            </w:r>
            <w:r w:rsidRPr="00CB2EC4">
              <w:rPr>
                <w:rFonts w:ascii="Times New Roman" w:hAnsi="Times New Roman" w:cs="Times New Roman"/>
              </w:rPr>
              <w:lastRenderedPageBreak/>
              <w:t>the internal iliac vascular sheath from their native structures to create the space.</w:t>
            </w:r>
          </w:p>
        </w:tc>
        <w:tc>
          <w:tcPr>
            <w:tcW w:w="1152" w:type="dxa"/>
            <w:vAlign w:val="center"/>
          </w:tcPr>
          <w:p w14:paraId="7F20B49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BD4F6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9B61E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9B7401F" w14:textId="77777777" w:rsidTr="00547D77">
        <w:tc>
          <w:tcPr>
            <w:tcW w:w="2160" w:type="dxa"/>
            <w:vAlign w:val="center"/>
          </w:tcPr>
          <w:p w14:paraId="4F2C3FE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F9D573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method for forming the cranial chamber of the pararectal space (Latzko's pararectal space cranial chamber) is by dissecting the peritoneum behind the frontal connective tissue ground bundle. the specific process includes:  </w:t>
            </w:r>
            <w:r w:rsidRPr="00CB2EC4">
              <w:rPr>
                <w:rFonts w:ascii="Times New Roman" w:hAnsi="Times New Roman" w:cs="Times New Roman"/>
              </w:rPr>
              <w:br/>
              <w:t xml:space="preserve">- dissecting the peritoneum posterior to the frontal connective tissue ground bundle to develop the cranial chamber of the pararectal space.  </w:t>
            </w:r>
            <w:r w:rsidRPr="00CB2EC4">
              <w:rPr>
                <w:rFonts w:ascii="Times New Roman" w:hAnsi="Times New Roman" w:cs="Times New Roman"/>
              </w:rPr>
              <w:br/>
              <w:t xml:space="preserve">- this maneuver facilitates exposure of the origin of the transverse cervical ligament and is used intraoperatively for managing structures such as the cardinal ligament.  </w:t>
            </w:r>
            <w:r w:rsidRPr="00CB2EC4">
              <w:rPr>
                <w:rFonts w:ascii="Times New Roman" w:hAnsi="Times New Roman" w:cs="Times New Roman"/>
              </w:rPr>
              <w:br/>
              <w:t>therefore, formation relies on peritoneal dissection of specific connective tissue bundles to create the cranial chamber space.</w:t>
            </w:r>
          </w:p>
        </w:tc>
        <w:tc>
          <w:tcPr>
            <w:tcW w:w="1152" w:type="dxa"/>
            <w:vAlign w:val="center"/>
          </w:tcPr>
          <w:p w14:paraId="0226C27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FE92E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56EC6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3C6215C" w14:textId="77777777" w:rsidTr="00547D77">
        <w:tc>
          <w:tcPr>
            <w:tcW w:w="10656" w:type="dxa"/>
            <w:gridSpan w:val="5"/>
            <w:tcBorders>
              <w:bottom w:val="single" w:sz="6" w:space="0" w:color="auto"/>
            </w:tcBorders>
            <w:vAlign w:val="center"/>
          </w:tcPr>
          <w:p w14:paraId="4623BAE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105: In the pelvic suspension system, which ligaments have the properties of longitudinal fascia? What structures do these ligaments connect?</w:t>
            </w:r>
          </w:p>
        </w:tc>
      </w:tr>
      <w:tr w:rsidR="00916494" w:rsidRPr="00CB2EC4" w14:paraId="6E6A0CD8" w14:textId="77777777" w:rsidTr="00547D77">
        <w:tc>
          <w:tcPr>
            <w:tcW w:w="2160" w:type="dxa"/>
            <w:vAlign w:val="center"/>
          </w:tcPr>
          <w:p w14:paraId="42FAA069"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3E8BBC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pelvic suspension system, ligaments with longitudinal fascial properties include:</w:t>
            </w:r>
            <w:r w:rsidRPr="00CB2EC4">
              <w:rPr>
                <w:rFonts w:ascii="Times New Roman" w:hAnsi="Times New Roman" w:cs="Times New Roman"/>
              </w:rPr>
              <w:br/>
            </w:r>
            <w:r w:rsidRPr="00CB2EC4">
              <w:rPr>
                <w:rFonts w:ascii="Times New Roman" w:hAnsi="Times New Roman" w:cs="Times New Roman"/>
              </w:rPr>
              <w:br/>
              <w:t xml:space="preserve">- Pubovesical/urethral ligament: Connects the pubic bone to the vesical fascia.  </w:t>
            </w:r>
            <w:r w:rsidRPr="00CB2EC4">
              <w:rPr>
                <w:rFonts w:ascii="Times New Roman" w:hAnsi="Times New Roman" w:cs="Times New Roman"/>
              </w:rPr>
              <w:br/>
              <w:t xml:space="preserve">- Vesicouterine/vaginal ligament: Connects the vesical fascia to the cervical/vaginal fascia.  </w:t>
            </w:r>
            <w:r w:rsidRPr="00CB2EC4">
              <w:rPr>
                <w:rFonts w:ascii="Times New Roman" w:hAnsi="Times New Roman" w:cs="Times New Roman"/>
              </w:rPr>
              <w:br/>
              <w:t xml:space="preserve">- Uterosacral ligament and rectouterine ligament: Connects the cervical/vaginal fascia to the rectal fascia.  </w:t>
            </w:r>
            <w:r w:rsidRPr="00CB2EC4">
              <w:rPr>
                <w:rFonts w:ascii="Times New Roman" w:hAnsi="Times New Roman" w:cs="Times New Roman"/>
              </w:rPr>
              <w:br/>
              <w:t xml:space="preserve">- Rectococcygeal ligament: Connects the rectal fascia to the sacrum.  </w:t>
            </w:r>
            <w:r w:rsidRPr="00CB2EC4">
              <w:rPr>
                <w:rFonts w:ascii="Times New Roman" w:hAnsi="Times New Roman" w:cs="Times New Roman"/>
              </w:rPr>
              <w:br/>
            </w:r>
            <w:r w:rsidRPr="00CB2EC4">
              <w:rPr>
                <w:rFonts w:ascii="Times New Roman" w:hAnsi="Times New Roman" w:cs="Times New Roman"/>
              </w:rPr>
              <w:br/>
              <w:t xml:space="preserve">These ligaments collectively maintain the longitudinal </w:t>
            </w:r>
            <w:r w:rsidRPr="00CB2EC4">
              <w:rPr>
                <w:rFonts w:ascii="Times New Roman" w:hAnsi="Times New Roman" w:cs="Times New Roman"/>
              </w:rPr>
              <w:lastRenderedPageBreak/>
              <w:t>suspension function of the organs, connecting organ nodes from the pubic bone toward the sacrum, and work synergistically with the support system (transverse ligament group).</w:t>
            </w:r>
          </w:p>
        </w:tc>
        <w:tc>
          <w:tcPr>
            <w:tcW w:w="1152" w:type="dxa"/>
            <w:vAlign w:val="center"/>
          </w:tcPr>
          <w:p w14:paraId="3277AC4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18555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8DC92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1D3103F" w14:textId="77777777" w:rsidTr="00547D77">
        <w:tc>
          <w:tcPr>
            <w:tcW w:w="2160" w:type="dxa"/>
            <w:vAlign w:val="center"/>
          </w:tcPr>
          <w:p w14:paraId="757B9F18"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29359D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pelvic suspensory system, the ligaments with longitudinal fascial characteristics include the pubovesical/urethral ligament, vesicouterine ligament, uterosacral ligament, rectouterine ligament and rectovaginal ligament, and rectococcygeal ligament. These ligaments longitudinally connect multiple pelvic structures from the pubis toward the sacrum:</w:t>
            </w:r>
            <w:r w:rsidRPr="00CB2EC4">
              <w:rPr>
                <w:rFonts w:ascii="Times New Roman" w:hAnsi="Times New Roman" w:cs="Times New Roman"/>
              </w:rPr>
              <w:br/>
              <w:t>- Pubovesical/urethral ligament: Connects the pubis to the bladder and urethra, fixing the position of the bladder and urethra. (Source: [Similarity: 0.467] segment: “The pubourethral/pubovesical ligament runs from the internal urethral orifice to the bladder apex, fixing the bladder and urethra to the pubis”)</w:t>
            </w:r>
            <w:r w:rsidRPr="00CB2EC4">
              <w:rPr>
                <w:rFonts w:ascii="Times New Roman" w:hAnsi="Times New Roman" w:cs="Times New Roman"/>
              </w:rPr>
              <w:br/>
              <w:t>- Vesicouterine ligament: Connects the bladder to the cervix/uterus, assisting in fixing the bladder and uterus. (Source: [Similarity: 0.467] segment: The suspensory system includes “vesicouterine ligament”)</w:t>
            </w:r>
            <w:r w:rsidRPr="00CB2EC4">
              <w:rPr>
                <w:rFonts w:ascii="Times New Roman" w:hAnsi="Times New Roman" w:cs="Times New Roman"/>
              </w:rPr>
              <w:br/>
              <w:t>- Uterosacral ligament: Connects the cervix/uterus to the sacrum, providing longitudinal support for the uterus. (Source: [Similarity: 0.467] segment: The suspensory system includes “uterosacral ligament”)</w:t>
            </w:r>
            <w:r w:rsidRPr="00CB2EC4">
              <w:rPr>
                <w:rFonts w:ascii="Times New Roman" w:hAnsi="Times New Roman" w:cs="Times New Roman"/>
              </w:rPr>
              <w:br/>
              <w:t>- Rectouterine ligament and rectovaginal ligament: Connect the rectum to the uterus or vagina, assisting in fixing the position of the rectum. (Source: [Similarity: 0.467] segment: The suspensory system includes “rectouterine/vaginal ligament”)</w:t>
            </w:r>
            <w:r w:rsidRPr="00CB2EC4">
              <w:rPr>
                <w:rFonts w:ascii="Times New Roman" w:hAnsi="Times New Roman" w:cs="Times New Roman"/>
              </w:rPr>
              <w:br/>
              <w:t>- Rectococcygeal ligament: Connects the rectum to the coccyx, providing caudal fixation for the rectum. (Source: [Similarity: 0.467] segment: The suspensory system includes “rectococcygeal ligament”)</w:t>
            </w:r>
            <w:r w:rsidRPr="00CB2EC4">
              <w:rPr>
                <w:rFonts w:ascii="Times New Roman" w:hAnsi="Times New Roman" w:cs="Times New Roman"/>
              </w:rPr>
              <w:br/>
            </w:r>
            <w:r w:rsidRPr="00CB2EC4">
              <w:rPr>
                <w:rFonts w:ascii="Times New Roman" w:hAnsi="Times New Roman" w:cs="Times New Roman"/>
              </w:rPr>
              <w:lastRenderedPageBreak/>
              <w:t>These ligaments collectively form a longitudinal connection from the pubis toward the sacrum, linking the bladder, cervix/uterus, and rectum to maintain the position and function of pelvic organs. (Source: [Similarity: 0.467] segment: “The suspensory system longitudinally connects several nodes from the pubis to the sacrum”, and [Similarity: 0.441] segment: “The suspensory system connects the respective fascia or adventitia of the bladder, cervix/uterus, and rectum to the pubis and sacrum”).</w:t>
            </w:r>
          </w:p>
        </w:tc>
        <w:tc>
          <w:tcPr>
            <w:tcW w:w="1152" w:type="dxa"/>
            <w:vAlign w:val="center"/>
          </w:tcPr>
          <w:p w14:paraId="09E9C21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7C8401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8500B6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AA400E0" w14:textId="77777777" w:rsidTr="00547D77">
        <w:tc>
          <w:tcPr>
            <w:tcW w:w="10656" w:type="dxa"/>
            <w:gridSpan w:val="5"/>
            <w:tcBorders>
              <w:bottom w:val="single" w:sz="6" w:space="0" w:color="auto"/>
            </w:tcBorders>
            <w:vAlign w:val="center"/>
          </w:tcPr>
          <w:p w14:paraId="1922E47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106: How are the transverse cervical ligament and the pararectal ligament differentiated during a radical hysterectomy?</w:t>
            </w:r>
          </w:p>
        </w:tc>
      </w:tr>
      <w:tr w:rsidR="00916494" w:rsidRPr="00CB2EC4" w14:paraId="705DF49D" w14:textId="77777777" w:rsidTr="00547D77">
        <w:tc>
          <w:tcPr>
            <w:tcW w:w="2160" w:type="dxa"/>
            <w:vAlign w:val="center"/>
          </w:tcPr>
          <w:p w14:paraId="30C2791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FABB6B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radical hysterectomy, identification of the transverse cervical ligament and the rectal lateral ligament is achieved by developing specific surgical spaces. According to the source:</w:t>
            </w:r>
            <w:r w:rsidRPr="00CB2EC4">
              <w:rPr>
                <w:rFonts w:ascii="Times New Roman" w:hAnsi="Times New Roman" w:cs="Times New Roman"/>
              </w:rPr>
              <w:br/>
              <w:t>- The transverse cervical ligament (also considered part of the cardinal ligament complex) and the rectal lateral ligament are anatomically viewed as a composite (cardinal ligament = transverse cervical ligament + rectal lateral ligament). Identification requires exposure through the development of the paravesical space and the rectal lateral space.</w:t>
            </w:r>
            <w:r w:rsidRPr="00CB2EC4">
              <w:rPr>
                <w:rFonts w:ascii="Times New Roman" w:hAnsi="Times New Roman" w:cs="Times New Roman"/>
              </w:rPr>
              <w:br/>
              <w:t>- Specific identification methods:</w:t>
            </w:r>
            <w:r w:rsidRPr="00CB2EC4">
              <w:rPr>
                <w:rFonts w:ascii="Times New Roman" w:hAnsi="Times New Roman" w:cs="Times New Roman"/>
              </w:rPr>
              <w:br/>
              <w:t xml:space="preserve">  - Development of the Latzko rectal lateral space: By dissecting the fascial sheath of the internal iliac vessels and the posterior fascia of the transverse cervical ligament, the cephalad compartment of the rectal lateral space is formed. The transverse cervical ligament is located anterior to this space; its origin can be identified at the branching point of the internal iliac vessels (e.g., uterine artery branch) (referencing sections with [similarity: 0.691] and [similarity: </w:t>
            </w:r>
            <w:r w:rsidRPr="00CB2EC4">
              <w:rPr>
                <w:rFonts w:ascii="Times New Roman" w:hAnsi="Times New Roman" w:cs="Times New Roman"/>
              </w:rPr>
              <w:lastRenderedPageBreak/>
              <w:t>0.584]).</w:t>
            </w:r>
            <w:r w:rsidRPr="00CB2EC4">
              <w:rPr>
                <w:rFonts w:ascii="Times New Roman" w:hAnsi="Times New Roman" w:cs="Times New Roman"/>
              </w:rPr>
              <w:br/>
              <w:t xml:space="preserve">  - Identification of the rectal lateral ligament: The rectal lateral ligament lies posterior to the transverse cervical ligament and is connected to the rectum. During development of the rectal lateral space, it is exposed by separating the uterosacral ligament and the rectovaginal space. The rectal lateral ligament is typically visible near the pelvic floor (sacral surface) and is associated with the pelvic nerve plexus (referencing sections with [similarity: 0.635] and [similarity: 0.584]).</w:t>
            </w:r>
            <w:r w:rsidRPr="00CB2EC4">
              <w:rPr>
                <w:rFonts w:ascii="Times New Roman" w:hAnsi="Times New Roman" w:cs="Times New Roman"/>
              </w:rPr>
              <w:br/>
              <w:t>- Key point: The transverse cervical ligament is vascular-rich (containing uterine artery and deep uterine vein), while the rectal lateral ligament is more neuro-connective. During surgery, avoid mass ligation; instead, separate the fascial and vascular components to clearly delineate the boundary between the two structures.</w:t>
            </w:r>
          </w:p>
        </w:tc>
        <w:tc>
          <w:tcPr>
            <w:tcW w:w="1152" w:type="dxa"/>
            <w:vAlign w:val="center"/>
          </w:tcPr>
          <w:p w14:paraId="698DDBD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237413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CCC9AD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3E77EE96" w14:textId="77777777" w:rsidTr="00547D77">
        <w:tc>
          <w:tcPr>
            <w:tcW w:w="2160" w:type="dxa"/>
            <w:vAlign w:val="center"/>
          </w:tcPr>
          <w:p w14:paraId="5F7E2431"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53F611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In radical hysterectomy, the key to identifying the transverse cervical ligament and the rectal lateral ligament lies in dissecting specific anatomical spaces to expose these structures. The documentation states that the cardinal ligament is a composite of the transverse cervical ligament and the rectal lateral ligament (cardinal ligament = transverse cervical ligament + rectal lateral ligament). Identification methods include:</w:t>
            </w:r>
            <w:r w:rsidRPr="00CB2EC4">
              <w:rPr>
                <w:rFonts w:ascii="Times New Roman" w:hAnsi="Times New Roman" w:cs="Times New Roman"/>
              </w:rPr>
              <w:br/>
              <w:t xml:space="preserve">- Dissection of spaces: By opening the paravesical space and the pararectal space (including the cranial and caudal compartments), the transverse cervical ligament and rectal lateral ligament can be exposed. The transverse cervical ligament is located </w:t>
            </w:r>
            <w:r w:rsidRPr="00CB2EC4">
              <w:rPr>
                <w:rFonts w:ascii="Times New Roman" w:hAnsi="Times New Roman" w:cs="Times New Roman"/>
              </w:rPr>
              <w:lastRenderedPageBreak/>
              <w:t>paracervically and represents the cephalad portion of the cardinal ligament; the rectal lateral ligament is located pararectally and represents the caudal portion of the cardinal ligament.</w:t>
            </w:r>
            <w:r w:rsidRPr="00CB2EC4">
              <w:rPr>
                <w:rFonts w:ascii="Times New Roman" w:hAnsi="Times New Roman" w:cs="Times New Roman"/>
              </w:rPr>
              <w:br/>
              <w:t>- Anatomical landmarks: The transverse cervical ligament is associated with the uterine artery and deep uterine vein, with its origin from the pelvic sidewall visible during dissection; the rectal lateral ligament is connected to the middle rectal vessels and pelvic plexus, and becomes evident when dissecting the pararectal space as it attaches to the rectal sidewall.</w:t>
            </w:r>
            <w:r w:rsidRPr="00CB2EC4">
              <w:rPr>
                <w:rFonts w:ascii="Times New Roman" w:hAnsi="Times New Roman" w:cs="Times New Roman"/>
              </w:rPr>
              <w:br/>
              <w:t>- Surgical technique: In the Latzko approach, identification is achieved by developing the paravesical space and the caudal compartment of the pararectal space; in the Okabayashi approach, differentiation is accomplished by dissecting the paravaginal space and the pararectal space. The documentation emphasizes that care must be taken to avoid injury to the presacral venous plexus and the inferior gluteal-internal pudendal vessels during identification.</w:t>
            </w:r>
            <w:r w:rsidRPr="00CB2EC4">
              <w:rPr>
                <w:rFonts w:ascii="Times New Roman" w:hAnsi="Times New Roman" w:cs="Times New Roman"/>
              </w:rPr>
              <w:br/>
            </w:r>
            <w:r w:rsidRPr="00CB2EC4">
              <w:rPr>
                <w:rFonts w:ascii="Times New Roman" w:hAnsi="Times New Roman" w:cs="Times New Roman"/>
              </w:rPr>
              <w:br/>
              <w:t>Source: Multiple passages define the composition of the cardinal ligament and its identification, e.g., "cardinal ligament (author’s note: cardinal ligament = transverse cervical ligament + rectal lateral ligament)" and "In radical hysterectomy, the depth of developing the Latzko pararectal space does not require complete exposure up to the sacral surface as in the Latzko and Okabayashi techniques; dissection to a level slightly deeper than the deep uterine vein is sufficient."</w:t>
            </w:r>
          </w:p>
        </w:tc>
        <w:tc>
          <w:tcPr>
            <w:tcW w:w="1152" w:type="dxa"/>
            <w:vAlign w:val="center"/>
          </w:tcPr>
          <w:p w14:paraId="6B7B86E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CF3B29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18621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F0787E2" w14:textId="77777777" w:rsidTr="00547D77">
        <w:tc>
          <w:tcPr>
            <w:tcW w:w="10656" w:type="dxa"/>
            <w:gridSpan w:val="5"/>
            <w:tcBorders>
              <w:bottom w:val="single" w:sz="6" w:space="0" w:color="auto"/>
            </w:tcBorders>
            <w:vAlign w:val="center"/>
          </w:tcPr>
          <w:p w14:paraId="1A08CF5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107: Briefly describe the course of the pelvic autonomic nerves.</w:t>
            </w:r>
          </w:p>
        </w:tc>
      </w:tr>
      <w:tr w:rsidR="00916494" w:rsidRPr="00CB2EC4" w14:paraId="1FB3433B" w14:textId="77777777" w:rsidTr="00547D77">
        <w:tc>
          <w:tcPr>
            <w:tcW w:w="2160" w:type="dxa"/>
            <w:vAlign w:val="center"/>
          </w:tcPr>
          <w:p w14:paraId="3EF4E149" w14:textId="77777777" w:rsidR="00916494" w:rsidRPr="00CB2EC4" w:rsidRDefault="00916494" w:rsidP="00547D77">
            <w:pPr>
              <w:rPr>
                <w:rFonts w:ascii="Times New Roman" w:hAnsi="Times New Roman" w:cs="Times New Roman"/>
              </w:rPr>
            </w:pPr>
            <w:r>
              <w:rPr>
                <w:rFonts w:ascii="Times New Roman" w:hAnsi="Times New Roman" w:cs="Times New Roman"/>
              </w:rPr>
              <w:t xml:space="preserve">Chunk size=512, </w:t>
            </w:r>
            <w:r>
              <w:rPr>
                <w:rFonts w:ascii="Times New Roman" w:hAnsi="Times New Roman" w:cs="Times New Roman"/>
              </w:rPr>
              <w:lastRenderedPageBreak/>
              <w:t>Overlap=0 Using TokenTextSplitter</w:t>
            </w:r>
          </w:p>
        </w:tc>
        <w:tc>
          <w:tcPr>
            <w:tcW w:w="5040" w:type="dxa"/>
            <w:vAlign w:val="center"/>
          </w:tcPr>
          <w:p w14:paraId="537394D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 xml:space="preserve">the course of the pelvic autonomic nerves is detailed </w:t>
            </w:r>
            <w:r w:rsidRPr="00CB2EC4">
              <w:rPr>
                <w:rFonts w:ascii="Times New Roman" w:hAnsi="Times New Roman" w:cs="Times New Roman"/>
              </w:rPr>
              <w:lastRenderedPageBreak/>
              <w:t>in the document as follows:</w:t>
            </w:r>
            <w:r w:rsidRPr="00CB2EC4">
              <w:rPr>
                <w:rFonts w:ascii="Times New Roman" w:hAnsi="Times New Roman" w:cs="Times New Roman"/>
              </w:rPr>
              <w:br/>
            </w:r>
            <w:r w:rsidRPr="00CB2EC4">
              <w:rPr>
                <w:rFonts w:ascii="Times New Roman" w:hAnsi="Times New Roman" w:cs="Times New Roman"/>
              </w:rPr>
              <w:br/>
              <w:t>- Hypogastric nerve: Descends along the lateral wall of the pelvis, positioned lateral to the ureter and internal iliac vessels, and courses toward the lateral side of the rectum.</w:t>
            </w:r>
            <w:r w:rsidRPr="00CB2EC4">
              <w:rPr>
                <w:rFonts w:ascii="Times New Roman" w:hAnsi="Times New Roman" w:cs="Times New Roman"/>
              </w:rPr>
              <w:br/>
              <w:t>- Pelvic splanchnic nerves: Originate from the sacral nerve roots (S2–S4), exit through the sacral foramina, and course ventrally into the pelvic floor. They converge with the hypogastric nerve near the lateral rectal ligament.</w:t>
            </w:r>
            <w:r w:rsidRPr="00CB2EC4">
              <w:rPr>
                <w:rFonts w:ascii="Times New Roman" w:hAnsi="Times New Roman" w:cs="Times New Roman"/>
              </w:rPr>
              <w:br/>
              <w:t>- Pelvic nerve plexus: Formed by the convergence of the hypogastric nerve and pelvic splanchnic nerves in the region of the lateral rectal ligament. This plexus is located deep to the transverse cervical ligament and the lateral rectal ligament.</w:t>
            </w:r>
            <w:r w:rsidRPr="00CB2EC4">
              <w:rPr>
                <w:rFonts w:ascii="Times New Roman" w:hAnsi="Times New Roman" w:cs="Times New Roman"/>
              </w:rPr>
              <w:br/>
              <w:t>- Branch courses:</w:t>
            </w:r>
            <w:r w:rsidRPr="00CB2EC4">
              <w:rPr>
                <w:rFonts w:ascii="Times New Roman" w:hAnsi="Times New Roman" w:cs="Times New Roman"/>
              </w:rPr>
              <w:br/>
              <w:t xml:space="preserve">  - Bladder branch: Courses along the posterior layer of the vesicouterine ligament (especially the vesicocervical ligament), runs parallel to the superior vesical vein, and ultimately enters the bladder.</w:t>
            </w:r>
            <w:r w:rsidRPr="00CB2EC4">
              <w:rPr>
                <w:rFonts w:ascii="Times New Roman" w:hAnsi="Times New Roman" w:cs="Times New Roman"/>
              </w:rPr>
              <w:br/>
              <w:t xml:space="preserve">  - Rectal branch: Distributed along the rectovaginal ligament and enters the rectum.</w:t>
            </w:r>
            <w:r w:rsidRPr="00CB2EC4">
              <w:rPr>
                <w:rFonts w:ascii="Times New Roman" w:hAnsi="Times New Roman" w:cs="Times New Roman"/>
              </w:rPr>
              <w:br/>
              <w:t>- The overall course is three-dimensional: Nerves radiate from the lateral pelvic wall toward the visceral organs. Care must be taken to preserve them during dissection of potential spaces (such as the lateral rectal space and vaginal pararectal space), as referenced in the document sections "[Similarity: 0.635]", "[Similarity: 0.584]", and "[Similarity: 0.515]".</w:t>
            </w:r>
          </w:p>
        </w:tc>
        <w:tc>
          <w:tcPr>
            <w:tcW w:w="1152" w:type="dxa"/>
            <w:vAlign w:val="center"/>
          </w:tcPr>
          <w:p w14:paraId="14220ED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99F346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AB24E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BA2FB95" w14:textId="77777777" w:rsidTr="00547D77">
        <w:tc>
          <w:tcPr>
            <w:tcW w:w="2160" w:type="dxa"/>
            <w:vAlign w:val="center"/>
          </w:tcPr>
          <w:p w14:paraId="3B26E069"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D7BFBE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please briefly describe the course of the pelvic autonomic nerves</w:t>
            </w:r>
            <w:r w:rsidRPr="00CB2EC4">
              <w:rPr>
                <w:rFonts w:ascii="Times New Roman" w:hAnsi="Times New Roman" w:cs="Times New Roman"/>
              </w:rPr>
              <w:br/>
            </w:r>
            <w:r w:rsidRPr="00CB2EC4">
              <w:rPr>
                <w:rFonts w:ascii="Times New Roman" w:hAnsi="Times New Roman" w:cs="Times New Roman"/>
              </w:rPr>
              <w:br/>
              <w:t xml:space="preserve">The course of the pelvic autonomic nerves involves </w:t>
            </w:r>
            <w:r w:rsidRPr="00CB2EC4">
              <w:rPr>
                <w:rFonts w:ascii="Times New Roman" w:hAnsi="Times New Roman" w:cs="Times New Roman"/>
              </w:rPr>
              <w:lastRenderedPageBreak/>
              <w:t>their origin from the sacral nerve roots, distribution along the lateral walls of the pelvis, and terminal branching to organs such as the bladder and rectum. The document describes this as follows:</w:t>
            </w:r>
            <w:r w:rsidRPr="00CB2EC4">
              <w:rPr>
                <w:rFonts w:ascii="Times New Roman" w:hAnsi="Times New Roman" w:cs="Times New Roman"/>
              </w:rPr>
              <w:br/>
              <w:t>- Origin and pathway: The pelvic autonomic nerves mainly consist of the pelvic splanchnic nerves (originating from the sacral nerve roots), forming the pelvic nerve plexus (located in the area of the rectal lateral ligament). The plexus courses along the deep uterine vein and the transverse cervical ligament, branching into the vesical nerve branch and the rectal nerve branch.</w:t>
            </w:r>
            <w:r w:rsidRPr="00CB2EC4">
              <w:rPr>
                <w:rFonts w:ascii="Times New Roman" w:hAnsi="Times New Roman" w:cs="Times New Roman"/>
              </w:rPr>
              <w:br/>
              <w:t>- Key relationships: The nerves course parallel to vascular bundles (e.g., the superior vesical vein), particularly in the posterior layer of the vesicouterine ligament. For example, the vesical nerve branch courses together with the superior vesical vein in the deep layer of the vesicouterine ligament.</w:t>
            </w:r>
            <w:r w:rsidRPr="00CB2EC4">
              <w:rPr>
                <w:rFonts w:ascii="Times New Roman" w:hAnsi="Times New Roman" w:cs="Times New Roman"/>
              </w:rPr>
              <w:br/>
              <w:t>- Visibility during surgery: The nerves can be exposed when dissecting the rectal lateral space and vaginal lateral space. The document states that the pelvic nerve plexus is located within the rectal lateral ligament, and the vesical nerve branches are distributed near the posterior layer of the vesicouterine ligament.</w:t>
            </w:r>
            <w:r w:rsidRPr="00CB2EC4">
              <w:rPr>
                <w:rFonts w:ascii="Times New Roman" w:hAnsi="Times New Roman" w:cs="Times New Roman"/>
              </w:rPr>
              <w:br/>
            </w:r>
            <w:r w:rsidRPr="00CB2EC4">
              <w:rPr>
                <w:rFonts w:ascii="Times New Roman" w:hAnsi="Times New Roman" w:cs="Times New Roman"/>
              </w:rPr>
              <w:br/>
              <w:t>Document source: Phrases such as "the course of the pelvic autonomic nerves" and "the vesical nerve branch emitted by the pelvic plexus", as well as "while tracing this vein, it was found to share a common course with the bladder nerve within the ligament".</w:t>
            </w:r>
          </w:p>
        </w:tc>
        <w:tc>
          <w:tcPr>
            <w:tcW w:w="1152" w:type="dxa"/>
            <w:vAlign w:val="center"/>
          </w:tcPr>
          <w:p w14:paraId="787BAC0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B82691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506A98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1C1E1A0F" w14:textId="77777777" w:rsidTr="00547D77">
        <w:tc>
          <w:tcPr>
            <w:tcW w:w="10656" w:type="dxa"/>
            <w:gridSpan w:val="5"/>
            <w:tcBorders>
              <w:bottom w:val="single" w:sz="6" w:space="0" w:color="auto"/>
            </w:tcBorders>
            <w:vAlign w:val="center"/>
          </w:tcPr>
          <w:p w14:paraId="769A64E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108: During a radical hysterectomy, the preservation of which nerve branches helps protect bladder function?</w:t>
            </w:r>
          </w:p>
        </w:tc>
      </w:tr>
      <w:tr w:rsidR="00916494" w:rsidRPr="00CB2EC4" w14:paraId="7FC7EF98" w14:textId="77777777" w:rsidTr="00547D77">
        <w:tc>
          <w:tcPr>
            <w:tcW w:w="2160" w:type="dxa"/>
            <w:vAlign w:val="center"/>
          </w:tcPr>
          <w:p w14:paraId="49DA7C01" w14:textId="77777777" w:rsidR="00916494" w:rsidRPr="00CB2EC4" w:rsidRDefault="00916494" w:rsidP="00547D77">
            <w:pPr>
              <w:rPr>
                <w:rFonts w:ascii="Times New Roman" w:hAnsi="Times New Roman" w:cs="Times New Roman"/>
              </w:rPr>
            </w:pPr>
            <w:r>
              <w:rPr>
                <w:rFonts w:ascii="Times New Roman" w:hAnsi="Times New Roman" w:cs="Times New Roman"/>
              </w:rPr>
              <w:t xml:space="preserve">Chunk size=512, </w:t>
            </w:r>
            <w:r>
              <w:rPr>
                <w:rFonts w:ascii="Times New Roman" w:hAnsi="Times New Roman" w:cs="Times New Roman"/>
              </w:rPr>
              <w:lastRenderedPageBreak/>
              <w:t>Overlap=0 Using TokenTextSplitter</w:t>
            </w:r>
          </w:p>
        </w:tc>
        <w:tc>
          <w:tcPr>
            <w:tcW w:w="5040" w:type="dxa"/>
            <w:vAlign w:val="center"/>
          </w:tcPr>
          <w:p w14:paraId="5DD401F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 xml:space="preserve">in radical total hysterectomy, preserving the following </w:t>
            </w:r>
            <w:r w:rsidRPr="00CB2EC4">
              <w:rPr>
                <w:rFonts w:ascii="Times New Roman" w:hAnsi="Times New Roman" w:cs="Times New Roman"/>
              </w:rPr>
              <w:lastRenderedPageBreak/>
              <w:t>nerve branches helps protect bladder function:</w:t>
            </w:r>
            <w:r w:rsidRPr="00CB2EC4">
              <w:rPr>
                <w:rFonts w:ascii="Times New Roman" w:hAnsi="Times New Roman" w:cs="Times New Roman"/>
              </w:rPr>
              <w:br/>
            </w:r>
            <w:r w:rsidRPr="00CB2EC4">
              <w:rPr>
                <w:rFonts w:ascii="Times New Roman" w:hAnsi="Times New Roman" w:cs="Times New Roman"/>
              </w:rPr>
              <w:br/>
              <w:t>- Key nerve branches: Preservation of the pelvic plexus and its bladder branches (vesical nerve branches) aids in protecting bladder function. The bladder branches course within the posterior layer of the vesicouterine ligament, running parallel to the superior vesical veins.</w:t>
            </w:r>
            <w:r w:rsidRPr="00CB2EC4">
              <w:rPr>
                <w:rFonts w:ascii="Times New Roman" w:hAnsi="Times New Roman" w:cs="Times New Roman"/>
              </w:rPr>
              <w:br/>
              <w:t>- Preservation method: During surgery, avoid cutting the neural portion within the posterior layer of the vesicouterine ligament, and only address the vascular portion. Specifically:</w:t>
            </w:r>
            <w:r w:rsidRPr="00CB2EC4">
              <w:rPr>
                <w:rFonts w:ascii="Times New Roman" w:hAnsi="Times New Roman" w:cs="Times New Roman"/>
              </w:rPr>
              <w:br/>
              <w:t xml:space="preserve">  - When dissecting the posterior layer of the vesicouterine ligament, identify and preserve the bladder nerve branches within it.</w:t>
            </w:r>
            <w:r w:rsidRPr="00CB2EC4">
              <w:rPr>
                <w:rFonts w:ascii="Times New Roman" w:hAnsi="Times New Roman" w:cs="Times New Roman"/>
              </w:rPr>
              <w:br/>
              <w:t xml:space="preserve">  - Avoid en bloc resection of the cardinal ligament or the lateral rectal ligament to minimize injury to the pelvic plexus.</w:t>
            </w:r>
            <w:r w:rsidRPr="00CB2EC4">
              <w:rPr>
                <w:rFonts w:ascii="Times New Roman" w:hAnsi="Times New Roman" w:cs="Times New Roman"/>
              </w:rPr>
              <w:br/>
              <w:t>- Document emphasis: Preserving these nerve branches improves postoperative recovery of urinary sensation and reduces residual urine (as stated in the document under "[similarity: 0.635]": "Preserving the pelvic plexus and its bladder branches... elevates Japan's radical total hysterectomy to an unprecedented global standard in safety and organ function preservation" and under "[similarity: 0.584]": "Preserving part of the pelvic visceral nerves and the pelvic plexus and its bladder branches not only restored urinary sensation postoperatively but also resulted in virtually no residual urine").</w:t>
            </w:r>
          </w:p>
        </w:tc>
        <w:tc>
          <w:tcPr>
            <w:tcW w:w="1152" w:type="dxa"/>
            <w:vAlign w:val="center"/>
          </w:tcPr>
          <w:p w14:paraId="295B2A4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971DAA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FDF2CD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1737DDB2" w14:textId="77777777" w:rsidTr="00547D77">
        <w:tc>
          <w:tcPr>
            <w:tcW w:w="2160" w:type="dxa"/>
            <w:vAlign w:val="center"/>
          </w:tcPr>
          <w:p w14:paraId="343FA2F7"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85BA43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radical total hysterectomy, preserving the following nerve branches helps protect bladder function:</w:t>
            </w:r>
            <w:r w:rsidRPr="00CB2EC4">
              <w:rPr>
                <w:rFonts w:ascii="Times New Roman" w:hAnsi="Times New Roman" w:cs="Times New Roman"/>
              </w:rPr>
              <w:br/>
            </w:r>
            <w:r w:rsidRPr="00CB2EC4">
              <w:rPr>
                <w:rFonts w:ascii="Times New Roman" w:hAnsi="Times New Roman" w:cs="Times New Roman"/>
              </w:rPr>
              <w:br/>
              <w:t xml:space="preserve">- Key nerve branches: Preservation of the pelvic </w:t>
            </w:r>
            <w:r w:rsidRPr="00CB2EC4">
              <w:rPr>
                <w:rFonts w:ascii="Times New Roman" w:hAnsi="Times New Roman" w:cs="Times New Roman"/>
              </w:rPr>
              <w:lastRenderedPageBreak/>
              <w:t>plexus (located in the parametrial region of the rectum) and its bladder branches (distributed to the bladder) is essential. These nerve branches control bladder contraction and sensory function.</w:t>
            </w:r>
            <w:r w:rsidRPr="00CB2EC4">
              <w:rPr>
                <w:rFonts w:ascii="Times New Roman" w:hAnsi="Times New Roman" w:cs="Times New Roman"/>
              </w:rPr>
              <w:br/>
              <w:t>- Preservation method: During surgery, nerve sparing can be achieved by avoiding global clamping of the transverse cervical ligament and the rectal parametrium, and by separating the vascular portion from the neural portion (e.g., cutting only the vessels while preserving the nerves). Specific strategies include, when handling the posterior layer of the vesicouterine ligament, cutting only the vascular part (such as the superior vesical vein) while preserving the parallel nerve bundles.</w:t>
            </w:r>
            <w:r w:rsidRPr="00CB2EC4">
              <w:rPr>
                <w:rFonts w:ascii="Times New Roman" w:hAnsi="Times New Roman" w:cs="Times New Roman"/>
              </w:rPr>
              <w:br/>
              <w:t>- Effect: The document states that preserving these nerve branches reduces postoperative bladder atony and residual urine issues. For example, "preserving the pelvic plexus and its bladder branches" and "preserving the bladder nerve branches" are focal points in designing nerve-sparing procedures.</w:t>
            </w:r>
            <w:r w:rsidRPr="00CB2EC4">
              <w:rPr>
                <w:rFonts w:ascii="Times New Roman" w:hAnsi="Times New Roman" w:cs="Times New Roman"/>
              </w:rPr>
              <w:br/>
            </w:r>
            <w:r w:rsidRPr="00CB2EC4">
              <w:rPr>
                <w:rFonts w:ascii="Times New Roman" w:hAnsi="Times New Roman" w:cs="Times New Roman"/>
              </w:rPr>
              <w:br/>
              <w:t>Document source: Multiple sections discuss nerve-sparing surgery, such as "the focus of designing pelvic autonomic nerve-sparing surgery lies in anatomy, that is, the task is to preserve the pelvic plexus and its bladder branches" and "the extent of preservation should ensure no impairment of bladder function or inconvenience in daily life for the patient postoperatively."</w:t>
            </w:r>
          </w:p>
        </w:tc>
        <w:tc>
          <w:tcPr>
            <w:tcW w:w="1152" w:type="dxa"/>
            <w:vAlign w:val="center"/>
          </w:tcPr>
          <w:p w14:paraId="3EB88F1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955C0B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9CF0D2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2DE1CD87" w14:textId="77777777" w:rsidTr="00547D77">
        <w:tc>
          <w:tcPr>
            <w:tcW w:w="10656" w:type="dxa"/>
            <w:gridSpan w:val="5"/>
            <w:tcBorders>
              <w:bottom w:val="single" w:sz="6" w:space="0" w:color="auto"/>
            </w:tcBorders>
            <w:vAlign w:val="center"/>
          </w:tcPr>
          <w:p w14:paraId="5540B162"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109: What are the differences between the Latzko and Okabayashi operations? Please briefly describe these differences.</w:t>
            </w:r>
          </w:p>
        </w:tc>
      </w:tr>
      <w:tr w:rsidR="00916494" w:rsidRPr="00CB2EC4" w14:paraId="632C76F9" w14:textId="77777777" w:rsidTr="00547D77">
        <w:tc>
          <w:tcPr>
            <w:tcW w:w="2160" w:type="dxa"/>
            <w:vAlign w:val="center"/>
          </w:tcPr>
          <w:p w14:paraId="4A966E1D"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80B1F9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what are the differences between the Latzko and Okabayashi surgical techniques? Please briefly describe their distinctions.</w:t>
            </w:r>
            <w:r w:rsidRPr="00CB2EC4">
              <w:rPr>
                <w:rFonts w:ascii="Times New Roman" w:hAnsi="Times New Roman" w:cs="Times New Roman"/>
              </w:rPr>
              <w:br/>
            </w:r>
            <w:r w:rsidRPr="00CB2EC4">
              <w:rPr>
                <w:rFonts w:ascii="Times New Roman" w:hAnsi="Times New Roman" w:cs="Times New Roman"/>
              </w:rPr>
              <w:lastRenderedPageBreak/>
              <w:br/>
              <w:t>The Latzko and Okabayashi procedures are two primary methods for radical hysterectomy. The document provides a detailed comparison of their differences, summarized as follows:</w:t>
            </w:r>
            <w:r w:rsidRPr="00CB2EC4">
              <w:rPr>
                <w:rFonts w:ascii="Times New Roman" w:hAnsi="Times New Roman" w:cs="Times New Roman"/>
              </w:rPr>
              <w:br/>
              <w:t>- Basis of concept differs:</w:t>
            </w:r>
            <w:r w:rsidRPr="00CB2EC4">
              <w:rPr>
                <w:rFonts w:ascii="Times New Roman" w:hAnsi="Times New Roman" w:cs="Times New Roman"/>
              </w:rPr>
              <w:br/>
              <w:t xml:space="preserve">  - Latzko technique: Based on a two-dimensional anatomical concept, treating pelvic connective tissue as planar structures, with the procedure focused on extending ligament resection from simple hysterectomy (see "[Similarity: 0.545]" section).</w:t>
            </w:r>
            <w:r w:rsidRPr="00CB2EC4">
              <w:rPr>
                <w:rFonts w:ascii="Times New Roman" w:hAnsi="Times New Roman" w:cs="Times New Roman"/>
              </w:rPr>
              <w:br/>
              <w:t xml:space="preserve">  - Okabayashi technique: Based on a three-dimensional concept, emphasizing spatial dissection of cavities and ligaments, dividing the vesicouterine ligament into anterior and posterior layers for separate handling (see "[Similarity: 0.545]" and "[Similarity: 0.530]" sections).</w:t>
            </w:r>
            <w:r w:rsidRPr="00CB2EC4">
              <w:rPr>
                <w:rFonts w:ascii="Times New Roman" w:hAnsi="Times New Roman" w:cs="Times New Roman"/>
              </w:rPr>
              <w:br/>
              <w:t>- Method of developing the rectolateral space differs:</w:t>
            </w:r>
            <w:r w:rsidRPr="00CB2EC4">
              <w:rPr>
                <w:rFonts w:ascii="Times New Roman" w:hAnsi="Times New Roman" w:cs="Times New Roman"/>
              </w:rPr>
              <w:br/>
              <w:t xml:space="preserve">  - Latzko technique: Divides development into cephalic and caudal compartments. The cephalic compartment is formed by stripping the posterior fascia of the transverse cervical ligament; the caudal compartment is formed by incising the superior fascia of the levator ani. After communication between both compartments, the main ligament is resected (see "[Similarity: 0.545]" table).</w:t>
            </w:r>
            <w:r w:rsidRPr="00CB2EC4">
              <w:rPr>
                <w:rFonts w:ascii="Times New Roman" w:hAnsi="Times New Roman" w:cs="Times New Roman"/>
              </w:rPr>
              <w:br/>
              <w:t xml:space="preserve">  - Okabayashi technique: Develops a single rectolateral space medial to the ureter and hypogastric nerve, with emphasis on operating medial to the uterosacral ligament, without explicit differentiation of cephalic and caudal compartments (see "[Similarity: 0.545]" section).</w:t>
            </w:r>
            <w:r w:rsidRPr="00CB2EC4">
              <w:rPr>
                <w:rFonts w:ascii="Times New Roman" w:hAnsi="Times New Roman" w:cs="Times New Roman"/>
              </w:rPr>
              <w:br/>
              <w:t>- Handling of the vesicouterine ligament differs:</w:t>
            </w:r>
            <w:r w:rsidRPr="00CB2EC4">
              <w:rPr>
                <w:rFonts w:ascii="Times New Roman" w:hAnsi="Times New Roman" w:cs="Times New Roman"/>
              </w:rPr>
              <w:br/>
              <w:t xml:space="preserve">  - Latzko technique: Does not specify layered </w:t>
            </w:r>
            <w:r w:rsidRPr="00CB2EC4">
              <w:rPr>
                <w:rFonts w:ascii="Times New Roman" w:hAnsi="Times New Roman" w:cs="Times New Roman"/>
              </w:rPr>
              <w:lastRenderedPageBreak/>
              <w:t>division; treats it as the connection between the transverse cervical ligament and bladder, managed as a whole (see "[Similarity: 0.545]" section).</w:t>
            </w:r>
            <w:r w:rsidRPr="00CB2EC4">
              <w:rPr>
                <w:rFonts w:ascii="Times New Roman" w:hAnsi="Times New Roman" w:cs="Times New Roman"/>
              </w:rPr>
              <w:br/>
              <w:t xml:space="preserve">  - Okabayashi technique: Clearly divides into anterior layer (equivalent to the roof of the ureteric tunnel) and posterior layer (containing the vascular-nerve bundle connecting the transverse cervical ligament and bladder), each transected separately (see "[Similarity: 0.635]" and "[Similarity: 0.545]" sections).</w:t>
            </w:r>
            <w:r w:rsidRPr="00CB2EC4">
              <w:rPr>
                <w:rFonts w:ascii="Times New Roman" w:hAnsi="Times New Roman" w:cs="Times New Roman"/>
              </w:rPr>
              <w:br/>
              <w:t>- Method of main ligament resection differs:</w:t>
            </w:r>
            <w:r w:rsidRPr="00CB2EC4">
              <w:rPr>
                <w:rFonts w:ascii="Times New Roman" w:hAnsi="Times New Roman" w:cs="Times New Roman"/>
              </w:rPr>
              <w:br/>
              <w:t xml:space="preserve">  - Latzko technique: Develops the cephalic part of the rectolateral space behind the transverse cervical ligament, then clamps and resects the main ligament en bloc, extending to the greater sciatic foramen (see "[Similarity: 0.530]" table).</w:t>
            </w:r>
            <w:r w:rsidRPr="00CB2EC4">
              <w:rPr>
                <w:rFonts w:ascii="Times New Roman" w:hAnsi="Times New Roman" w:cs="Times New Roman"/>
              </w:rPr>
              <w:br/>
              <w:t xml:space="preserve">  - Okabayashi technique: Dissects the main ligament between the paravesical space and rectolateral space, with resection centered on the iliac fossa, avoiding excessive dissection into the pelvic floor (see "[Similarity: 0.530]" section).</w:t>
            </w:r>
            <w:r w:rsidRPr="00CB2EC4">
              <w:rPr>
                <w:rFonts w:ascii="Times New Roman" w:hAnsi="Times New Roman" w:cs="Times New Roman"/>
              </w:rPr>
              <w:br/>
              <w:t>- Other differences: Include management of paravaginal connective tissue (Latzko resects the superior levator ani fascia as a whole; Okabayashi resects only the connective tissue around the vagina) and surgical sequence (Latzko addresses anterior supporting ligaments first; Okabayashi addresses posterior supporting ligaments first) (see "[Similarity: 0.545]" and "[Similarity: 0.530]" sections).</w:t>
            </w:r>
          </w:p>
        </w:tc>
        <w:tc>
          <w:tcPr>
            <w:tcW w:w="1152" w:type="dxa"/>
            <w:vAlign w:val="center"/>
          </w:tcPr>
          <w:p w14:paraId="2DC86BA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CD7BB0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2F5DC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28D4FA1" w14:textId="77777777" w:rsidTr="00547D77">
        <w:tc>
          <w:tcPr>
            <w:tcW w:w="2160" w:type="dxa"/>
            <w:vAlign w:val="center"/>
          </w:tcPr>
          <w:p w14:paraId="3BDD21C6"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2D65715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what are the differences between the Latzko and Okabayashi surgical procedures? Please briefly describe their distinctions.</w:t>
            </w:r>
            <w:r w:rsidRPr="00CB2EC4">
              <w:rPr>
                <w:rFonts w:ascii="Times New Roman" w:hAnsi="Times New Roman" w:cs="Times New Roman"/>
              </w:rPr>
              <w:br/>
            </w:r>
            <w:r w:rsidRPr="00CB2EC4">
              <w:rPr>
                <w:rFonts w:ascii="Times New Roman" w:hAnsi="Times New Roman" w:cs="Times New Roman"/>
              </w:rPr>
              <w:br/>
              <w:t xml:space="preserve">The Latzko and Okabayashi procedures are two primary methods for radical hysterectomy. The </w:t>
            </w:r>
            <w:r w:rsidRPr="00CB2EC4">
              <w:rPr>
                <w:rFonts w:ascii="Times New Roman" w:hAnsi="Times New Roman" w:cs="Times New Roman"/>
              </w:rPr>
              <w:lastRenderedPageBreak/>
              <w:t>document details their differences, mainly based on surgical philosophy, cavity dissection, and ligament management:</w:t>
            </w:r>
            <w:r w:rsidRPr="00CB2EC4">
              <w:rPr>
                <w:rFonts w:ascii="Times New Roman" w:hAnsi="Times New Roman" w:cs="Times New Roman"/>
              </w:rPr>
              <w:br/>
              <w:t>- Core philosophy:</w:t>
            </w:r>
            <w:r w:rsidRPr="00CB2EC4">
              <w:rPr>
                <w:rFonts w:ascii="Times New Roman" w:hAnsi="Times New Roman" w:cs="Times New Roman"/>
              </w:rPr>
              <w:br/>
              <w:t xml:space="preserve">  - Latzko procedure: Two-dimensional, based on European traditional anatomy, viewing surgery as an extension on a plane (e.g., simply expanding the resection range of simple hysterectomy toward the pelvic sidewall). It emphasizes dissection of the lateral bladder space and the cranial compartment of the rectal lateral space.</w:t>
            </w:r>
            <w:r w:rsidRPr="00CB2EC4">
              <w:rPr>
                <w:rFonts w:ascii="Times New Roman" w:hAnsi="Times New Roman" w:cs="Times New Roman"/>
              </w:rPr>
              <w:br/>
              <w:t xml:space="preserve">  - Okabayashi procedure: Three-dimensional, refining the European concept by emphasizing stereoscopic structures (e.g., separating the anterior and posterior layers of the vesicouterine ligament). It dissects the vaginal lateral space, lateral bladder space, and rectal lateral space, clarifying the stereoscopic relationships of each ligament.</w:t>
            </w:r>
            <w:r w:rsidRPr="00CB2EC4">
              <w:rPr>
                <w:rFonts w:ascii="Times New Roman" w:hAnsi="Times New Roman" w:cs="Times New Roman"/>
              </w:rPr>
              <w:br/>
              <w:t>- Cavity dissection:</w:t>
            </w:r>
            <w:r w:rsidRPr="00CB2EC4">
              <w:rPr>
                <w:rFonts w:ascii="Times New Roman" w:hAnsi="Times New Roman" w:cs="Times New Roman"/>
              </w:rPr>
              <w:br/>
              <w:t xml:space="preserve">  - Latzko procedure: Primarily opens the lateral bladder space and the cranial compartment of the rectal lateral space, connecting the cranial and caudal compartments to separate the cardinal ligament.</w:t>
            </w:r>
            <w:r w:rsidRPr="00CB2EC4">
              <w:rPr>
                <w:rFonts w:ascii="Times New Roman" w:hAnsi="Times New Roman" w:cs="Times New Roman"/>
              </w:rPr>
              <w:br/>
              <w:t xml:space="preserve">  - Okabayashi procedure: Dissects the vaginal lateral space, lateral bladder space, and rectal lateral space, allowing these cavities to connect naturally to facilitate separate ligament management.</w:t>
            </w:r>
            <w:r w:rsidRPr="00CB2EC4">
              <w:rPr>
                <w:rFonts w:ascii="Times New Roman" w:hAnsi="Times New Roman" w:cs="Times New Roman"/>
              </w:rPr>
              <w:br/>
              <w:t>- Ligament management:</w:t>
            </w:r>
            <w:r w:rsidRPr="00CB2EC4">
              <w:rPr>
                <w:rFonts w:ascii="Times New Roman" w:hAnsi="Times New Roman" w:cs="Times New Roman"/>
              </w:rPr>
              <w:br/>
              <w:t xml:space="preserve">  - Latzko procedure: Clamps and cuts the cardinal ligament as a whole (including the transverse cervical ligament), with the resection range extending to the greater sciatic foramen.</w:t>
            </w:r>
            <w:r w:rsidRPr="00CB2EC4">
              <w:rPr>
                <w:rFonts w:ascii="Times New Roman" w:hAnsi="Times New Roman" w:cs="Times New Roman"/>
              </w:rPr>
              <w:br/>
              <w:t xml:space="preserve">  - Okabayashi procedure: Divides the vesicouterine ligament into anterior and posterior layers for separate </w:t>
            </w:r>
            <w:r w:rsidRPr="00CB2EC4">
              <w:rPr>
                <w:rFonts w:ascii="Times New Roman" w:hAnsi="Times New Roman" w:cs="Times New Roman"/>
              </w:rPr>
              <w:lastRenderedPageBreak/>
              <w:t>division and independently manages the transverse cervical ligament, with the resection range centered on the iliac fossa and the base extending to the levator ani superior fascia.</w:t>
            </w:r>
            <w:r w:rsidRPr="00CB2EC4">
              <w:rPr>
                <w:rFonts w:ascii="Times New Roman" w:hAnsi="Times New Roman" w:cs="Times New Roman"/>
              </w:rPr>
              <w:br/>
              <w:t>- Other differences: The Okabayashi procedure places greater emphasis on the potential for nerve preservation (though not initially recognized), while the Latzko procedure is simpler but prone to leaving issues such as contradictory stump ends at the pelvic sidewall.</w:t>
            </w:r>
            <w:r w:rsidRPr="00CB2EC4">
              <w:rPr>
                <w:rFonts w:ascii="Times New Roman" w:hAnsi="Times New Roman" w:cs="Times New Roman"/>
              </w:rPr>
              <w:br/>
            </w:r>
            <w:r w:rsidRPr="00CB2EC4">
              <w:rPr>
                <w:rFonts w:ascii="Times New Roman" w:hAnsi="Times New Roman" w:cs="Times New Roman"/>
              </w:rPr>
              <w:br/>
              <w:t>Document source: Specific tables and descriptions, such as "Latzko procedure: two-dimensional... dissects the lateral bladder space and the cranial/caudal compartments of the rectal lateral space...; Okabayashi procedure: three-dimensional... when dissecting the vaginal lateral space and lateral bladder space, separates the anterior and posterior layers of the vesicouterine ligament."</w:t>
            </w:r>
          </w:p>
        </w:tc>
        <w:tc>
          <w:tcPr>
            <w:tcW w:w="1152" w:type="dxa"/>
            <w:vAlign w:val="center"/>
          </w:tcPr>
          <w:p w14:paraId="27B8CF5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7F84A0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3CB23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9B96362" w14:textId="77777777" w:rsidTr="00547D77">
        <w:tc>
          <w:tcPr>
            <w:tcW w:w="10656" w:type="dxa"/>
            <w:gridSpan w:val="5"/>
            <w:tcBorders>
              <w:bottom w:val="single" w:sz="6" w:space="0" w:color="auto"/>
            </w:tcBorders>
            <w:vAlign w:val="center"/>
          </w:tcPr>
          <w:p w14:paraId="7234AC0D"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110: How is the vesicouterine ligament dissected and transected in the Okabayashi operation?</w:t>
            </w:r>
          </w:p>
        </w:tc>
      </w:tr>
      <w:tr w:rsidR="00916494" w:rsidRPr="00CB2EC4" w14:paraId="641B1882" w14:textId="77777777" w:rsidTr="00547D77">
        <w:tc>
          <w:tcPr>
            <w:tcW w:w="2160" w:type="dxa"/>
            <w:vAlign w:val="center"/>
          </w:tcPr>
          <w:p w14:paraId="08269FC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CCBCAA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in Okabayashi surgery, the separation and division of the vesicouterine ligament is a critical step, described in the documentation as follows:  </w:t>
            </w:r>
            <w:r w:rsidRPr="00CB2EC4">
              <w:rPr>
                <w:rFonts w:ascii="Times New Roman" w:hAnsi="Times New Roman" w:cs="Times New Roman"/>
              </w:rPr>
              <w:br/>
              <w:t xml:space="preserve">- **Separation method**:  </w:t>
            </w:r>
            <w:r w:rsidRPr="00CB2EC4">
              <w:rPr>
                <w:rFonts w:ascii="Times New Roman" w:hAnsi="Times New Roman" w:cs="Times New Roman"/>
              </w:rPr>
              <w:br/>
              <w:t xml:space="preserve">  - First, develop the lateral vaginal space and the lateral vesical space to expose the vesicouterine ligament.  </w:t>
            </w:r>
            <w:r w:rsidRPr="00CB2EC4">
              <w:rPr>
                <w:rFonts w:ascii="Times New Roman" w:hAnsi="Times New Roman" w:cs="Times New Roman"/>
              </w:rPr>
              <w:br/>
              <w:t xml:space="preserve">  - Clearly divide the ligament into an anterior layer and a posterior layer: the anterior layer connects the cervix and bladder (equivalent to the roof of the ureteric tunnel), and the posterior layer connects the transverse cervical ligament and the bladder (containing vessels and nerves).  </w:t>
            </w:r>
            <w:r w:rsidRPr="00CB2EC4">
              <w:rPr>
                <w:rFonts w:ascii="Times New Roman" w:hAnsi="Times New Roman" w:cs="Times New Roman"/>
              </w:rPr>
              <w:br/>
            </w:r>
            <w:r w:rsidRPr="00CB2EC4">
              <w:rPr>
                <w:rFonts w:ascii="Times New Roman" w:hAnsi="Times New Roman" w:cs="Times New Roman"/>
              </w:rPr>
              <w:lastRenderedPageBreak/>
              <w:t xml:space="preserve">  - During separation, use instruments (such as scissors or electrocautery) within the loose connective tissue layer to avoid injury to the ureter and nerves. Specific steps include: after dissecting the vesical peritoneum, horizontally incise the vesicouterine pouch to separate the bladder from the cervical fascia, exposing the ligament structure (refer to sections "[Similarity: 0.635]" and "[Similarity: 0.515]" in the documentation).  </w:t>
            </w:r>
            <w:r w:rsidRPr="00CB2EC4">
              <w:rPr>
                <w:rFonts w:ascii="Times New Roman" w:hAnsi="Times New Roman" w:cs="Times New Roman"/>
              </w:rPr>
              <w:br/>
              <w:t xml:space="preserve">- **Division method**:  </w:t>
            </w:r>
            <w:r w:rsidRPr="00CB2EC4">
              <w:rPr>
                <w:rFonts w:ascii="Times New Roman" w:hAnsi="Times New Roman" w:cs="Times New Roman"/>
              </w:rPr>
              <w:br/>
              <w:t xml:space="preserve">  - Anterior layer division: Identify the anterior layer above the ureter, clamp or coagulate and divide it, taking care to protect the ureter.  </w:t>
            </w:r>
            <w:r w:rsidRPr="00CB2EC4">
              <w:rPr>
                <w:rFonts w:ascii="Times New Roman" w:hAnsi="Times New Roman" w:cs="Times New Roman"/>
              </w:rPr>
              <w:br/>
              <w:t xml:space="preserve">  - Posterior layer division: The posterior layer (also termed the vesicovaginal ligament) contains the superior vesical vein and vesical nerve branches. In Okabayashi surgery, the posterior layer must be carefully dissected, with only the vascular portion (e.g., the superior vesical vein) divided, while the neural portion (vesical nerve branches) is preserved. This is achieved through blunt dissection and selective clamping (refer to section "[Similarity: 0.635]" in the documentation: "Okabayashi divided the vesicouterine ligament into anterior and posterior layers... the posterior layer is also called the vesicovaginal ligament" and section "[Similarity: 0.584]" regarding nerve preservation).  </w:t>
            </w:r>
            <w:r w:rsidRPr="00CB2EC4">
              <w:rPr>
                <w:rFonts w:ascii="Times New Roman" w:hAnsi="Times New Roman" w:cs="Times New Roman"/>
              </w:rPr>
              <w:br/>
              <w:t>- The overall process emphasizes three-dimensional anatomy, ensuring systematic operation within the spaces to minimize bleeding and nerve injury (refer to section "[Similarity: 0.515]" in the documentation).</w:t>
            </w:r>
          </w:p>
        </w:tc>
        <w:tc>
          <w:tcPr>
            <w:tcW w:w="1152" w:type="dxa"/>
            <w:vAlign w:val="center"/>
          </w:tcPr>
          <w:p w14:paraId="412AB8E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F03FA9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6B04A3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1D7E9DB5" w14:textId="77777777" w:rsidTr="00547D77">
        <w:tc>
          <w:tcPr>
            <w:tcW w:w="2160" w:type="dxa"/>
            <w:vAlign w:val="center"/>
          </w:tcPr>
          <w:p w14:paraId="7E8823D7"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7D3EF8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In the Okabayashi procedure, the separation and </w:t>
            </w:r>
            <w:r w:rsidRPr="00CB2EC4">
              <w:rPr>
                <w:rFonts w:ascii="Times New Roman" w:hAnsi="Times New Roman" w:cs="Times New Roman"/>
              </w:rPr>
              <w:lastRenderedPageBreak/>
              <w:t>division of the vesicouterine ligament are performed by developing the paravaginal space and dividing the ligament into anterior and posterior layers, as follows:</w:t>
            </w:r>
            <w:r w:rsidRPr="00CB2EC4">
              <w:rPr>
                <w:rFonts w:ascii="Times New Roman" w:hAnsi="Times New Roman" w:cs="Times New Roman"/>
              </w:rPr>
              <w:br/>
              <w:t>- Separation method:</w:t>
            </w:r>
            <w:r w:rsidRPr="00CB2EC4">
              <w:rPr>
                <w:rFonts w:ascii="Times New Roman" w:hAnsi="Times New Roman" w:cs="Times New Roman"/>
              </w:rPr>
              <w:br/>
              <w:t xml:space="preserve">  - First, develop the paravaginal space (located between the vesicovaginal space and the rectovaginal space), and use retractors to pull ventrally to expose the ligament.</w:t>
            </w:r>
            <w:r w:rsidRPr="00CB2EC4">
              <w:rPr>
                <w:rFonts w:ascii="Times New Roman" w:hAnsi="Times New Roman" w:cs="Times New Roman"/>
              </w:rPr>
              <w:br/>
              <w:t xml:space="preserve">  - Divide the vesicouterine ligament into an anterior layer (connecting the cervix and bladder, equivalent to the roof of the ureteric tunnel) and a posterior layer (also called the vesicovaginal ligament, connecting the transverse cervical ligament and the bladder, containing the neurovascular bundle).</w:t>
            </w:r>
            <w:r w:rsidRPr="00CB2EC4">
              <w:rPr>
                <w:rFonts w:ascii="Times New Roman" w:hAnsi="Times New Roman" w:cs="Times New Roman"/>
              </w:rPr>
              <w:br/>
              <w:t>- Division process:</w:t>
            </w:r>
            <w:r w:rsidRPr="00CB2EC4">
              <w:rPr>
                <w:rFonts w:ascii="Times New Roman" w:hAnsi="Times New Roman" w:cs="Times New Roman"/>
              </w:rPr>
              <w:br/>
              <w:t xml:space="preserve">  - Anterior layer: Separate the anterior layer with instruments (e.g., Cooper scissors), clamp, divide, and ligate. Anterior layer management is relatively straightforward and often involves exposure of the ureteric tunnel.</w:t>
            </w:r>
            <w:r w:rsidRPr="00CB2EC4">
              <w:rPr>
                <w:rFonts w:ascii="Times New Roman" w:hAnsi="Times New Roman" w:cs="Times New Roman"/>
              </w:rPr>
              <w:br/>
              <w:t xml:space="preserve">  - Posterior layer: Widen within the paravaginal space, dissect the posterior layer stump (containing the superior vesical vein and nerves), clamp with double forceps, divide in the middle, and ligate. The document emphasizes that posterior layer handling requires precision to avoid bleeding and may preserve the neural portion (e.g., by dividing only the vascular component).</w:t>
            </w:r>
            <w:r w:rsidRPr="00CB2EC4">
              <w:rPr>
                <w:rFonts w:ascii="Times New Roman" w:hAnsi="Times New Roman" w:cs="Times New Roman"/>
              </w:rPr>
              <w:br/>
              <w:t>- Key point: This step is unique to the Okabayashi procedure; European and American techniques do not share this approach. The document notes that posterior layer management may offer the possibility of preserving bladder nerves, but the procedure is often complicated by venous rupture.</w:t>
            </w:r>
            <w:r w:rsidRPr="00CB2EC4">
              <w:rPr>
                <w:rFonts w:ascii="Times New Roman" w:hAnsi="Times New Roman" w:cs="Times New Roman"/>
              </w:rPr>
              <w:br/>
            </w:r>
            <w:r w:rsidRPr="00CB2EC4">
              <w:rPr>
                <w:rFonts w:ascii="Times New Roman" w:hAnsi="Times New Roman" w:cs="Times New Roman"/>
              </w:rPr>
              <w:lastRenderedPageBreak/>
              <w:br/>
              <w:t>Document source: Excerpts include "Okabayashi divides the vesicouterine ligament into anterior and posterior layers for separate division" and "The technique involves retracting the vesicovaginal space and paravaginal space each ventrally with retractors, tensioning the vesicovaginal ligament, and dividing it with LigaSure."</w:t>
            </w:r>
          </w:p>
        </w:tc>
        <w:tc>
          <w:tcPr>
            <w:tcW w:w="1152" w:type="dxa"/>
            <w:vAlign w:val="center"/>
          </w:tcPr>
          <w:p w14:paraId="28991B2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4B2C25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D5648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2C0B5D3D" w14:textId="77777777" w:rsidTr="00547D77">
        <w:tc>
          <w:tcPr>
            <w:tcW w:w="10656" w:type="dxa"/>
            <w:gridSpan w:val="5"/>
            <w:tcBorders>
              <w:bottom w:val="single" w:sz="6" w:space="0" w:color="auto"/>
            </w:tcBorders>
            <w:vAlign w:val="center"/>
          </w:tcPr>
          <w:p w14:paraId="1D74FC9A"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111: In the Latzko and Okabayashi operations, what is the key difference in the anatomical definition of the anterior and posterior layers of the vesicouterine ligament?</w:t>
            </w:r>
          </w:p>
        </w:tc>
      </w:tr>
      <w:tr w:rsidR="00916494" w:rsidRPr="00CB2EC4" w14:paraId="0F704208" w14:textId="77777777" w:rsidTr="00547D77">
        <w:tc>
          <w:tcPr>
            <w:tcW w:w="2160" w:type="dxa"/>
            <w:vAlign w:val="center"/>
          </w:tcPr>
          <w:p w14:paraId="4B04B6F7"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EEBF85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Latzko and Okabayashi surgical techniques, what are the key anatomical distinctions between the anterior and posterior layers of the vesicouterine ligament?</w:t>
            </w:r>
            <w:r w:rsidRPr="00CB2EC4">
              <w:rPr>
                <w:rFonts w:ascii="Times New Roman" w:hAnsi="Times New Roman" w:cs="Times New Roman"/>
              </w:rPr>
              <w:br/>
            </w:r>
            <w:r w:rsidRPr="00CB2EC4">
              <w:rPr>
                <w:rFonts w:ascii="Times New Roman" w:hAnsi="Times New Roman" w:cs="Times New Roman"/>
              </w:rPr>
              <w:br/>
              <w:t>According to the document content (similarity: 0.541), as compared in Table 15, there are key differences in the definition of the vesicouterine ligament between the Latzko and Okabayashi procedures:</w:t>
            </w:r>
            <w:r w:rsidRPr="00CB2EC4">
              <w:rPr>
                <w:rFonts w:ascii="Times New Roman" w:hAnsi="Times New Roman" w:cs="Times New Roman"/>
              </w:rPr>
              <w:br/>
              <w:t>- Latzko procedure: Based on traditional European anatomy, the vesicouterine ligament is primarily regarded as the connective band between the transverse cervical ligament and the bladder. However, during surgery, no layered structure is specifically demonstrated. It usually refers to the ureteric roof, without clear differentiation into anterior and posterior layers. For example, the document states: "In Europe and America, the vesicouterine ligament including Latzko’s refers to the ureteric roof in the Wertheim procedure and does not correspond to the posterior layer of Okabayashi’s vesicouterine ligament."</w:t>
            </w:r>
            <w:r w:rsidRPr="00CB2EC4">
              <w:rPr>
                <w:rFonts w:ascii="Times New Roman" w:hAnsi="Times New Roman" w:cs="Times New Roman"/>
              </w:rPr>
              <w:br/>
              <w:t xml:space="preserve">- Okabayashi procedure: Okabayashi explicitly </w:t>
            </w:r>
            <w:r w:rsidRPr="00CB2EC4">
              <w:rPr>
                <w:rFonts w:ascii="Times New Roman" w:hAnsi="Times New Roman" w:cs="Times New Roman"/>
              </w:rPr>
              <w:lastRenderedPageBreak/>
              <w:t>divides the vesicouterine ligament into anterior and posterior layers. The anterior layer connects the cervix and the bladder, equivalent to the ureteric roof; the posterior layer is called the vesicovaginal ligament and connects the transverse cervical ligament to the bladder. The document notes: "Okabayashi divides the vesicouterine ligament into anterior and posterior layers. The anterior layer is the ligament connecting the cervix and bladder, equivalent to the ureteric roof in Europe and America. The posterior layer, also called the vesicovaginal ligament, upon careful review of Figures 26 and 27 in 'Radical Hysterectomy for Cervical Cancer,' should refer to the ligament connecting the transverse cervical ligament and the bladder."</w:t>
            </w:r>
            <w:r w:rsidRPr="00CB2EC4">
              <w:rPr>
                <w:rFonts w:ascii="Times New Roman" w:hAnsi="Times New Roman" w:cs="Times New Roman"/>
              </w:rPr>
              <w:br/>
            </w:r>
            <w:r w:rsidRPr="00CB2EC4">
              <w:rPr>
                <w:rFonts w:ascii="Times New Roman" w:hAnsi="Times New Roman" w:cs="Times New Roman"/>
              </w:rPr>
              <w:br/>
              <w:t>Summary of key differences: The Latzko procedure does not stratify the layers; the vesicouterine ligament is mainly equivalent to the ureteric roof. The Okabayashi procedure explicitly stratifies it, with the anterior layer being the ureteric roof and the posterior layer being the vesicovaginal ligament, reflecting a three-dimensional anatomical concept in Okabayashi’s technique.</w:t>
            </w:r>
          </w:p>
        </w:tc>
        <w:tc>
          <w:tcPr>
            <w:tcW w:w="1152" w:type="dxa"/>
            <w:vAlign w:val="center"/>
          </w:tcPr>
          <w:p w14:paraId="0DA3474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BF2133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D7BCB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2491C88" w14:textId="77777777" w:rsidTr="00547D77">
        <w:tc>
          <w:tcPr>
            <w:tcW w:w="2160" w:type="dxa"/>
            <w:vAlign w:val="center"/>
          </w:tcPr>
          <w:p w14:paraId="60A1D631"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BA2F2D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Latzko and Okabayashi surgical procedures, the key anatomical distinctions between the anterior and posterior layers of the vesicouterine ligament are as follows:</w:t>
            </w:r>
            <w:r w:rsidRPr="00CB2EC4">
              <w:rPr>
                <w:rFonts w:ascii="Times New Roman" w:hAnsi="Times New Roman" w:cs="Times New Roman"/>
              </w:rPr>
              <w:br/>
            </w:r>
            <w:r w:rsidRPr="00CB2EC4">
              <w:rPr>
                <w:rFonts w:ascii="Times New Roman" w:hAnsi="Times New Roman" w:cs="Times New Roman"/>
              </w:rPr>
              <w:br/>
              <w:t xml:space="preserve">- **Latzko surgery**: The vesicouterine ligament is not explicitly subdivided into anterior and posterior layers. This procedure employs a two-dimensional approach, treating the pelvic connective tissue as a whole without specialized differentiation of the layers. </w:t>
            </w:r>
            <w:r w:rsidRPr="00CB2EC4">
              <w:rPr>
                <w:rFonts w:ascii="Times New Roman" w:hAnsi="Times New Roman" w:cs="Times New Roman"/>
              </w:rPr>
              <w:lastRenderedPageBreak/>
              <w:t>The ligament is considered a continuous structure and is typically transected en bloc via mass ligation (Massenligatur). The focus is on developing the lateral vesical space and the rectal space (cephalic and caudal compartments), but no layered dissection of the ligament is performed (refer to Table 15 and the document excerpt: "Latzko surgery is two-dimensional... extending the site of main ligament transection laterally toward the pelvic sidewall from simple total hysterectomy").</w:t>
            </w:r>
            <w:r w:rsidRPr="00CB2EC4">
              <w:rPr>
                <w:rFonts w:ascii="Times New Roman" w:hAnsi="Times New Roman" w:cs="Times New Roman"/>
              </w:rPr>
              <w:br/>
            </w:r>
            <w:r w:rsidRPr="00CB2EC4">
              <w:rPr>
                <w:rFonts w:ascii="Times New Roman" w:hAnsi="Times New Roman" w:cs="Times New Roman"/>
              </w:rPr>
              <w:br/>
              <w:t>- **Okabayashi surgery**: This procedure uses a three-dimensional approach and explicitly divides the vesicouterine ligament into an anterior leaf and a posterior leaf, which are transected separately. The anterior layer is defined as the roof of the ureteric canal, involving structures superior to the ureter. The posterior layer involves the venous plexus and connective tissue, relevant to nerve preservation. Okabayashi achieves this by developing the lateral vaginal space to separate and cut these layers, enabling potential preservation of bladder innervation.</w:t>
            </w:r>
          </w:p>
        </w:tc>
        <w:tc>
          <w:tcPr>
            <w:tcW w:w="1152" w:type="dxa"/>
            <w:vAlign w:val="center"/>
          </w:tcPr>
          <w:p w14:paraId="754BD2B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8DE91E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D91828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2C685FCC" w14:textId="77777777" w:rsidTr="00547D77">
        <w:tc>
          <w:tcPr>
            <w:tcW w:w="10656" w:type="dxa"/>
            <w:gridSpan w:val="5"/>
            <w:tcBorders>
              <w:bottom w:val="single" w:sz="6" w:space="0" w:color="auto"/>
            </w:tcBorders>
            <w:vAlign w:val="center"/>
          </w:tcPr>
          <w:p w14:paraId="69D85CA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112: Please briefly describe the specific procedure of the Wertheim operation.</w:t>
            </w:r>
          </w:p>
        </w:tc>
      </w:tr>
      <w:tr w:rsidR="00916494" w:rsidRPr="00CB2EC4" w14:paraId="2F6AD86B" w14:textId="77777777" w:rsidTr="00547D77">
        <w:tc>
          <w:tcPr>
            <w:tcW w:w="2160" w:type="dxa"/>
            <w:vAlign w:val="center"/>
          </w:tcPr>
          <w:p w14:paraId="3B2FCDC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3F54B3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1. Division of the round ligaments and the pelvic infundibular ligaments: At the beginning of the operation, these ligaments are divided to gain access to the pelvic cavity.  </w:t>
            </w:r>
            <w:r w:rsidRPr="00CB2EC4">
              <w:rPr>
                <w:rFonts w:ascii="Times New Roman" w:hAnsi="Times New Roman" w:cs="Times New Roman"/>
              </w:rPr>
              <w:br/>
            </w:r>
            <w:r w:rsidRPr="00CB2EC4">
              <w:rPr>
                <w:rFonts w:ascii="Times New Roman" w:hAnsi="Times New Roman" w:cs="Times New Roman"/>
              </w:rPr>
              <w:br/>
              <w:t xml:space="preserve">2. Incision of the uterine broad ligament: The anterior and posterior leaves of the broad ligament are opened.  </w:t>
            </w:r>
            <w:r w:rsidRPr="00CB2EC4">
              <w:rPr>
                <w:rFonts w:ascii="Times New Roman" w:hAnsi="Times New Roman" w:cs="Times New Roman"/>
              </w:rPr>
              <w:br/>
            </w:r>
            <w:r w:rsidRPr="00CB2EC4">
              <w:rPr>
                <w:rFonts w:ascii="Times New Roman" w:hAnsi="Times New Roman" w:cs="Times New Roman"/>
              </w:rPr>
              <w:br/>
              <w:t xml:space="preserve">3. Dissection of the bladder and liberation of the posterior part of the ureter: The bladder is separated </w:t>
            </w:r>
            <w:r w:rsidRPr="00CB2EC4">
              <w:rPr>
                <w:rFonts w:ascii="Times New Roman" w:hAnsi="Times New Roman" w:cs="Times New Roman"/>
              </w:rPr>
              <w:lastRenderedPageBreak/>
              <w:t xml:space="preserve">and the lower part of the ureter is freed.  </w:t>
            </w:r>
            <w:r w:rsidRPr="00CB2EC4">
              <w:rPr>
                <w:rFonts w:ascii="Times New Roman" w:hAnsi="Times New Roman" w:cs="Times New Roman"/>
              </w:rPr>
              <w:br/>
            </w:r>
            <w:r w:rsidRPr="00CB2EC4">
              <w:rPr>
                <w:rFonts w:ascii="Times New Roman" w:hAnsi="Times New Roman" w:cs="Times New Roman"/>
              </w:rPr>
              <w:br/>
              <w:t xml:space="preserve">4. Liberation of the uterine artery and uterine superficial veins: The index finger is inserted into the ureteral tunnel, the roof of the ureteral canal is lifted upward, and the uterine artery and superficial uterine veins within the tissue superior to the transverse cervical ligament are dissected free (see Figures 71 and 74).  </w:t>
            </w:r>
            <w:r w:rsidRPr="00CB2EC4">
              <w:rPr>
                <w:rFonts w:ascii="Times New Roman" w:hAnsi="Times New Roman" w:cs="Times New Roman"/>
              </w:rPr>
              <w:br/>
            </w:r>
            <w:r w:rsidRPr="00CB2EC4">
              <w:rPr>
                <w:rFonts w:ascii="Times New Roman" w:hAnsi="Times New Roman" w:cs="Times New Roman"/>
              </w:rPr>
              <w:br/>
              <w:t xml:space="preserve">5. Incision of the roof of the ureteral tunnel and liberation of the ureter: The roof of the tunnel is incised, and the middle and anterior (middle and upper) parts of the ureter are freed.  </w:t>
            </w:r>
            <w:r w:rsidRPr="00CB2EC4">
              <w:rPr>
                <w:rFonts w:ascii="Times New Roman" w:hAnsi="Times New Roman" w:cs="Times New Roman"/>
              </w:rPr>
              <w:br/>
            </w:r>
            <w:r w:rsidRPr="00CB2EC4">
              <w:rPr>
                <w:rFonts w:ascii="Times New Roman" w:hAnsi="Times New Roman" w:cs="Times New Roman"/>
              </w:rPr>
              <w:br/>
              <w:t xml:space="preserve">6. Clamping and division of the uterosacral ligament: The first clamp is applied to and the uterosacral ligament is divided.  </w:t>
            </w:r>
            <w:r w:rsidRPr="00CB2EC4">
              <w:rPr>
                <w:rFonts w:ascii="Times New Roman" w:hAnsi="Times New Roman" w:cs="Times New Roman"/>
              </w:rPr>
              <w:br/>
            </w:r>
            <w:r w:rsidRPr="00CB2EC4">
              <w:rPr>
                <w:rFonts w:ascii="Times New Roman" w:hAnsi="Times New Roman" w:cs="Times New Roman"/>
              </w:rPr>
              <w:br/>
              <w:t xml:space="preserve">7. Clamping and division of the rectouterine/vaginal ligament: The second clamp is applied to and this ligament is divided.  </w:t>
            </w:r>
            <w:r w:rsidRPr="00CB2EC4">
              <w:rPr>
                <w:rFonts w:ascii="Times New Roman" w:hAnsi="Times New Roman" w:cs="Times New Roman"/>
              </w:rPr>
              <w:br/>
            </w:r>
            <w:r w:rsidRPr="00CB2EC4">
              <w:rPr>
                <w:rFonts w:ascii="Times New Roman" w:hAnsi="Times New Roman" w:cs="Times New Roman"/>
              </w:rPr>
              <w:br/>
              <w:t xml:space="preserve">8. Clamping and division of the horizontal connective tissue base bundle and the vaginal venous plexus: The third clamp is applied to these structures and they are divided.  </w:t>
            </w:r>
            <w:r w:rsidRPr="00CB2EC4">
              <w:rPr>
                <w:rFonts w:ascii="Times New Roman" w:hAnsi="Times New Roman" w:cs="Times New Roman"/>
              </w:rPr>
              <w:br/>
            </w:r>
            <w:r w:rsidRPr="00CB2EC4">
              <w:rPr>
                <w:rFonts w:ascii="Times New Roman" w:hAnsi="Times New Roman" w:cs="Times New Roman"/>
              </w:rPr>
              <w:br/>
              <w:t xml:space="preserve">9. Division and suturing of the vagina: The vagina is transected and then sutured.  </w:t>
            </w:r>
            <w:r w:rsidRPr="00CB2EC4">
              <w:rPr>
                <w:rFonts w:ascii="Times New Roman" w:hAnsi="Times New Roman" w:cs="Times New Roman"/>
              </w:rPr>
              <w:br/>
            </w:r>
            <w:r w:rsidRPr="00CB2EC4">
              <w:rPr>
                <w:rFonts w:ascii="Times New Roman" w:hAnsi="Times New Roman" w:cs="Times New Roman"/>
              </w:rPr>
              <w:br/>
              <w:t xml:space="preserve">10. Closure of the abdomen: The operation is completed.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The document emphasizes that the Wertheim operation does not employ the concepts of the lateral vesical space or the pararectal space, that the transverse cervical ligament is divided only up to the level of the uterine artery, and that the uterosacral ligament is divided close to the sacrum (similarity: 0.500). This procedure is based on descriptions from 1912 literature and the Peham-Amreich surgical textbook.</w:t>
            </w:r>
          </w:p>
        </w:tc>
        <w:tc>
          <w:tcPr>
            <w:tcW w:w="1152" w:type="dxa"/>
            <w:vAlign w:val="center"/>
          </w:tcPr>
          <w:p w14:paraId="6454531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204F48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25779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0C39DCA" w14:textId="77777777" w:rsidTr="00547D77">
        <w:tc>
          <w:tcPr>
            <w:tcW w:w="2160" w:type="dxa"/>
            <w:vAlign w:val="center"/>
          </w:tcPr>
          <w:p w14:paraId="30FD498E"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7FFB876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1. Laparotomy and initial exposure: Perform a midline laparotomy, divide the round ligaments and the infundibulopelvic ligaments, incise the anterior and posterior leaves of the broad ligament, dissect the bladder and free the posterior (lower) segment of the ureter. At this stage, the concepts of the paravesical and pararectal spaces have not yet been introduced.</w:t>
            </w:r>
            <w:r w:rsidRPr="00CB2EC4">
              <w:rPr>
                <w:rFonts w:ascii="Times New Roman" w:hAnsi="Times New Roman" w:cs="Times New Roman"/>
              </w:rPr>
              <w:br/>
            </w:r>
            <w:r w:rsidRPr="00CB2EC4">
              <w:rPr>
                <w:rFonts w:ascii="Times New Roman" w:hAnsi="Times New Roman" w:cs="Times New Roman"/>
              </w:rPr>
              <w:br/>
              <w:t>2. Management of ureters and vessels: Insert the index finger into the ureteric tunnel, elevate the roof of the ureteric tunnel (superficial layer of Mackenrodt’s ligament), dissect around the uterine artery and the superficial uterine vein (the document specifies: "the uterine vein actually refers to the superficial uterine vein"). Then, incise the roof of the ureteric tunnel and dissect the middle and anterior segments of the ureter.</w:t>
            </w:r>
            <w:r w:rsidRPr="00CB2EC4">
              <w:rPr>
                <w:rFonts w:ascii="Times New Roman" w:hAnsi="Times New Roman" w:cs="Times New Roman"/>
              </w:rPr>
              <w:br/>
            </w:r>
            <w:r w:rsidRPr="00CB2EC4">
              <w:rPr>
                <w:rFonts w:ascii="Times New Roman" w:hAnsi="Times New Roman" w:cs="Times New Roman"/>
              </w:rPr>
              <w:br/>
              <w:t>3. Division of the uterosacral ligament: Clamp and divide the uterosacral ligament (first clamp), with emphasis on performing the dissection close to the sacrum.</w:t>
            </w:r>
            <w:r w:rsidRPr="00CB2EC4">
              <w:rPr>
                <w:rFonts w:ascii="Times New Roman" w:hAnsi="Times New Roman" w:cs="Times New Roman"/>
              </w:rPr>
              <w:br/>
            </w:r>
            <w:r w:rsidRPr="00CB2EC4">
              <w:rPr>
                <w:rFonts w:ascii="Times New Roman" w:hAnsi="Times New Roman" w:cs="Times New Roman"/>
              </w:rPr>
              <w:br/>
              <w:t xml:space="preserve">4. Management of other ligaments: Divide the cardinal ligaments and the rectouterine ligaments, further dissect the bladder, and develop and open the </w:t>
            </w:r>
            <w:r w:rsidRPr="00CB2EC4">
              <w:rPr>
                <w:rFonts w:ascii="Times New Roman" w:hAnsi="Times New Roman" w:cs="Times New Roman"/>
              </w:rPr>
              <w:lastRenderedPageBreak/>
              <w:t>ureteric tunnel.</w:t>
            </w:r>
            <w:r w:rsidRPr="00CB2EC4">
              <w:rPr>
                <w:rFonts w:ascii="Times New Roman" w:hAnsi="Times New Roman" w:cs="Times New Roman"/>
              </w:rPr>
              <w:br/>
            </w:r>
            <w:r w:rsidRPr="00CB2EC4">
              <w:rPr>
                <w:rFonts w:ascii="Times New Roman" w:hAnsi="Times New Roman" w:cs="Times New Roman"/>
              </w:rPr>
              <w:br/>
              <w:t>5. Vaginal and perivaginal tissue management: Develop the paravaginal spaces, divide the anterior layer of the vesicouterine ligament (roof of the ureteric tunnel) to expose the anterior ureter. Then, identify the superior vesical veins and confirm their junction with the uterine deep veins; dissect and divide the uterine branch of the deep uterine vein proximal to its confluence.</w:t>
            </w:r>
            <w:r w:rsidRPr="00CB2EC4">
              <w:rPr>
                <w:rFonts w:ascii="Times New Roman" w:hAnsi="Times New Roman" w:cs="Times New Roman"/>
              </w:rPr>
              <w:br/>
            </w:r>
            <w:r w:rsidRPr="00CB2EC4">
              <w:rPr>
                <w:rFonts w:ascii="Times New Roman" w:hAnsi="Times New Roman" w:cs="Times New Roman"/>
              </w:rPr>
              <w:br/>
              <w:t>6. Vaginal transection: Divide the rectovaginal ligaments and perivaginal tissues, then transect the vagina and suture the vaginal cuff.</w:t>
            </w:r>
            <w:r w:rsidRPr="00CB2EC4">
              <w:rPr>
                <w:rFonts w:ascii="Times New Roman" w:hAnsi="Times New Roman" w:cs="Times New Roman"/>
              </w:rPr>
              <w:br/>
            </w:r>
            <w:r w:rsidRPr="00CB2EC4">
              <w:rPr>
                <w:rFonts w:ascii="Times New Roman" w:hAnsi="Times New Roman" w:cs="Times New Roman"/>
              </w:rPr>
              <w:br/>
              <w:t>7. Closure: Place drains, close the pelvic peritoneum, and close the abdomen.</w:t>
            </w:r>
            <w:r w:rsidRPr="00CB2EC4">
              <w:rPr>
                <w:rFonts w:ascii="Times New Roman" w:hAnsi="Times New Roman" w:cs="Times New Roman"/>
              </w:rPr>
              <w:br/>
            </w:r>
            <w:r w:rsidRPr="00CB2EC4">
              <w:rPr>
                <w:rFonts w:ascii="Times New Roman" w:hAnsi="Times New Roman" w:cs="Times New Roman"/>
              </w:rPr>
              <w:br/>
              <w:t>- The document emphasizes that the radicality of the Wertheim operation is limited: the transverse cervical ligament is divided only up to the level of the uterine artery and ureter, while the uterosacral ligament is divided close to the sacrum (reference: "In the Wertheim operation, the division of the uterosacral ligament is emphasized as a key step", "the division of the transverse cervical ligament is only carried out up to the level of the uterine artery and ureter").</w:t>
            </w:r>
          </w:p>
        </w:tc>
        <w:tc>
          <w:tcPr>
            <w:tcW w:w="1152" w:type="dxa"/>
            <w:vAlign w:val="center"/>
          </w:tcPr>
          <w:p w14:paraId="6F866AC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2BC72B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289EFD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6CFD6925" w14:textId="77777777" w:rsidTr="00547D77">
        <w:tc>
          <w:tcPr>
            <w:tcW w:w="10656" w:type="dxa"/>
            <w:gridSpan w:val="5"/>
            <w:tcBorders>
              <w:bottom w:val="single" w:sz="6" w:space="0" w:color="auto"/>
            </w:tcBorders>
            <w:vAlign w:val="center"/>
          </w:tcPr>
          <w:p w14:paraId="4B894A8A"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113: In Sanlin's ultra-radical hysterectomy, which specific blood vessels are involved at the three ligation points of the internal iliac vascular system?</w:t>
            </w:r>
          </w:p>
        </w:tc>
      </w:tr>
      <w:tr w:rsidR="00916494" w:rsidRPr="00CB2EC4" w14:paraId="6DC6473B" w14:textId="77777777" w:rsidTr="00547D77">
        <w:tc>
          <w:tcPr>
            <w:tcW w:w="2160" w:type="dxa"/>
            <w:vAlign w:val="center"/>
          </w:tcPr>
          <w:p w14:paraId="50B7A88D"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0CA09A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1. First ligation (obturator artery and vein): Ligate and divide the obturator artery and vein (obturator vessels).  </w:t>
            </w:r>
            <w:r w:rsidRPr="00CB2EC4">
              <w:rPr>
                <w:rFonts w:ascii="Times New Roman" w:hAnsi="Times New Roman" w:cs="Times New Roman"/>
              </w:rPr>
              <w:br/>
              <w:t xml:space="preserve">2. Second ligation (internal iliac artery and vein </w:t>
            </w:r>
            <w:r w:rsidRPr="00CB2EC4">
              <w:rPr>
                <w:rFonts w:ascii="Times New Roman" w:hAnsi="Times New Roman" w:cs="Times New Roman"/>
              </w:rPr>
              <w:lastRenderedPageBreak/>
              <w:t xml:space="preserve">trunk): After the superior gluteal artery and vein branch, ligate and divide the distal internal iliac artery and vein trunk.  </w:t>
            </w:r>
            <w:r w:rsidRPr="00CB2EC4">
              <w:rPr>
                <w:rFonts w:ascii="Times New Roman" w:hAnsi="Times New Roman" w:cs="Times New Roman"/>
              </w:rPr>
              <w:br/>
              <w:t xml:space="preserve">3. Third ligation (inferior gluteal and internal pudendal common trunk): At the inferior margin of the piriformis muscle, ligate and divide the inferior gluteal and internal pudendal common trunk (inferior gluteal and internal pudendal artery and vein) before its branches diverge.  </w:t>
            </w:r>
            <w:r w:rsidRPr="00CB2EC4">
              <w:rPr>
                <w:rFonts w:ascii="Times New Roman" w:hAnsi="Times New Roman" w:cs="Times New Roman"/>
              </w:rPr>
              <w:br/>
            </w:r>
            <w:r w:rsidRPr="00CB2EC4">
              <w:rPr>
                <w:rFonts w:ascii="Times New Roman" w:hAnsi="Times New Roman" w:cs="Times New Roman"/>
              </w:rPr>
              <w:br/>
              <w:t>The procedure specifically targets the internal iliac vascular system, including visceral branches (e.g., uterine artery), anterior wall branches (e.g., obturator artery and vein), and posterior wall branches (e.g., superior and inferior gluteal arteries and veins). However, at the third ligation point, the branches supplying the bladder and rectum from the inferior gluteal and internal pudendal common trunk are not addressed.</w:t>
            </w:r>
          </w:p>
        </w:tc>
        <w:tc>
          <w:tcPr>
            <w:tcW w:w="1152" w:type="dxa"/>
            <w:vAlign w:val="center"/>
          </w:tcPr>
          <w:p w14:paraId="51E1431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D82AD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4EF5CC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8CF03AD" w14:textId="77777777" w:rsidTr="00547D77">
        <w:tc>
          <w:tcPr>
            <w:tcW w:w="2160" w:type="dxa"/>
            <w:vAlign w:val="center"/>
          </w:tcPr>
          <w:p w14:paraId="6AA78A9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87C628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Based on the document content, Sanlin's ultra-radical total hysterectomy involves three ligation points of the internal iliac vessels, with the specific vessels as follows:</w:t>
            </w:r>
            <w:r w:rsidRPr="00CB2EC4">
              <w:rPr>
                <w:rFonts w:ascii="Times New Roman" w:hAnsi="Times New Roman" w:cs="Times New Roman"/>
              </w:rPr>
              <w:br/>
              <w:t>1. First ligation point: Obturator artery and vein. The document explicitly states: "Ligate and divide the obturator artery and vein (first ligation)."</w:t>
            </w:r>
            <w:r w:rsidRPr="00CB2EC4">
              <w:rPr>
                <w:rFonts w:ascii="Times New Roman" w:hAnsi="Times New Roman" w:cs="Times New Roman"/>
              </w:rPr>
              <w:br/>
              <w:t>2. Second ligation point: Common trunk of internal iliac artery and vein after branching of inferior gluteal vessels. The document describes: "Ligate and divide the common trunk of internal iliac artery and vein after branching of inferior gluteal vessels (second ligation)."</w:t>
            </w:r>
            <w:r w:rsidRPr="00CB2EC4">
              <w:rPr>
                <w:rFonts w:ascii="Times New Roman" w:hAnsi="Times New Roman" w:cs="Times New Roman"/>
              </w:rPr>
              <w:br/>
            </w:r>
            <w:r w:rsidRPr="00CB2EC4">
              <w:rPr>
                <w:rFonts w:ascii="Times New Roman" w:hAnsi="Times New Roman" w:cs="Times New Roman"/>
              </w:rPr>
              <w:lastRenderedPageBreak/>
              <w:t>3. Third ligation point: Upstream of the branching point of the inferior gluteal and internal pudendal common trunk at the inferior piriformis foramen. The document notes: "Ligate and divide the upstream of the branching point of the inferior gluteal and internal pudendal common trunk at the inferior piriformis foramen (third ligation)."</w:t>
            </w:r>
            <w:r w:rsidRPr="00CB2EC4">
              <w:rPr>
                <w:rFonts w:ascii="Times New Roman" w:hAnsi="Times New Roman" w:cs="Times New Roman"/>
              </w:rPr>
              <w:br/>
              <w:t>- The document also mentions that Sanlin's technique does not adequately account for vascular branches to the bladder and rectum (such as the middle rectal vein), which may lead to issues (reference: "In Sanlin's technique... the bladder and rectal vessels branching from or converging at the inferior gluteal-internal pudendal common trunk are completely disregarded").</w:t>
            </w:r>
          </w:p>
        </w:tc>
        <w:tc>
          <w:tcPr>
            <w:tcW w:w="1152" w:type="dxa"/>
            <w:vAlign w:val="center"/>
          </w:tcPr>
          <w:p w14:paraId="16DD8EB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CB8037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6A3DB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8E27DC6" w14:textId="77777777" w:rsidTr="00547D77">
        <w:tc>
          <w:tcPr>
            <w:tcW w:w="10656" w:type="dxa"/>
            <w:gridSpan w:val="5"/>
            <w:tcBorders>
              <w:bottom w:val="single" w:sz="6" w:space="0" w:color="auto"/>
            </w:tcBorders>
            <w:vAlign w:val="center"/>
          </w:tcPr>
          <w:p w14:paraId="68CCEE6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114: What measures are taken in the Meigs' operation to ensure anatomical accuracy and avoid injury to the middle rectal vein?</w:t>
            </w:r>
          </w:p>
        </w:tc>
      </w:tr>
      <w:tr w:rsidR="00916494" w:rsidRPr="00CB2EC4" w14:paraId="15D22E92" w14:textId="77777777" w:rsidTr="00547D77">
        <w:tc>
          <w:tcPr>
            <w:tcW w:w="2160" w:type="dxa"/>
            <w:vAlign w:val="center"/>
          </w:tcPr>
          <w:p w14:paraId="43FFC9A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6E8ED4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to ensure anatomical accuracy and avoid injury to the middle rectal vein during Meigs surgery, the following measures are taken:</w:t>
            </w:r>
            <w:r w:rsidRPr="00CB2EC4">
              <w:rPr>
                <w:rFonts w:ascii="Times New Roman" w:hAnsi="Times New Roman" w:cs="Times New Roman"/>
              </w:rPr>
              <w:br/>
            </w:r>
            <w:r w:rsidRPr="00CB2EC4">
              <w:rPr>
                <w:rFonts w:ascii="Times New Roman" w:hAnsi="Times New Roman" w:cs="Times New Roman"/>
              </w:rPr>
              <w:br/>
              <w:t>- Avoid cutting the base of the cardinal ligament near the sacral surface: Meigs recognized that the middle rectal vein is highly likely to appear near the sacral surface, so cutting at the base of the cardinal ligament (near the sacral surface) is prohibited to prevent injury to the middle rectal vein.</w:t>
            </w:r>
            <w:r w:rsidRPr="00CB2EC4">
              <w:rPr>
                <w:rFonts w:ascii="Times New Roman" w:hAnsi="Times New Roman" w:cs="Times New Roman"/>
              </w:rPr>
              <w:br/>
              <w:t xml:space="preserve">- Emphasize anatomical precision: During resection of the transverse cervical ligament, the extent is similar to the level of the uterine deep vein (analogous to Kobayashi’s nerve-sparing surgery). Meigs surgery stresses precise dissection rather than blindly expanding the resection range. The document states, </w:t>
            </w:r>
            <w:r w:rsidRPr="00CB2EC4">
              <w:rPr>
                <w:rFonts w:ascii="Times New Roman" w:hAnsi="Times New Roman" w:cs="Times New Roman"/>
              </w:rPr>
              <w:lastRenderedPageBreak/>
              <w:t>"The resection range of the transverse cervical ligament in Meigs and Kobayashi’s nerve-sparing surgery is similar," and notes that Meigs surgery avoids the potential over-resection seen in Latzko and Okabayashi procedures in an era prioritizing efficacy.</w:t>
            </w:r>
            <w:r w:rsidRPr="00CB2EC4">
              <w:rPr>
                <w:rFonts w:ascii="Times New Roman" w:hAnsi="Times New Roman" w:cs="Times New Roman"/>
              </w:rPr>
              <w:br/>
            </w:r>
            <w:r w:rsidRPr="00CB2EC4">
              <w:rPr>
                <w:rFonts w:ascii="Times New Roman" w:hAnsi="Times New Roman" w:cs="Times New Roman"/>
              </w:rPr>
              <w:br/>
              <w:t>These measures ensure anatomical accuracy in surgery and reduce the risk of complications such as bleeding from middle rectal vein injury.</w:t>
            </w:r>
          </w:p>
        </w:tc>
        <w:tc>
          <w:tcPr>
            <w:tcW w:w="1152" w:type="dxa"/>
            <w:vAlign w:val="center"/>
          </w:tcPr>
          <w:p w14:paraId="70E2B6A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486B91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7710F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0E255C7" w14:textId="77777777" w:rsidTr="00547D77">
        <w:tc>
          <w:tcPr>
            <w:tcW w:w="2160" w:type="dxa"/>
            <w:vAlign w:val="center"/>
          </w:tcPr>
          <w:p w14:paraId="3B5146EB"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81A81D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What measures does the Meigs surgery employ to ensure anatomical accuracy and avoid injury to the middle rectal vein?</w:t>
            </w:r>
            <w:r w:rsidRPr="00CB2EC4">
              <w:rPr>
                <w:rFonts w:ascii="Times New Roman" w:hAnsi="Times New Roman" w:cs="Times New Roman"/>
              </w:rPr>
              <w:br/>
            </w:r>
            <w:r w:rsidRPr="00CB2EC4">
              <w:rPr>
                <w:rFonts w:ascii="Times New Roman" w:hAnsi="Times New Roman" w:cs="Times New Roman"/>
              </w:rPr>
              <w:br/>
              <w:t>Based on the document content, the Meigs surgery ensures anatomical accuracy and avoids injury to the middle rectal vein through the following measures:</w:t>
            </w:r>
            <w:r w:rsidRPr="00CB2EC4">
              <w:rPr>
                <w:rFonts w:ascii="Times New Roman" w:hAnsi="Times New Roman" w:cs="Times New Roman"/>
              </w:rPr>
              <w:br/>
              <w:t>- Avoiding division of the main ligament in specific areas: Meigs believed that the main ligament should not be cut near the sacral surface, as the middle rectal vein is highly likely to be present there. He prevents injury to this vein by limiting the depth of resection of the main ligament (document excerpt: "He believed that the main ligament should not be severed near the sacral surface, as the middle rectal vein is highly likely to be present there").</w:t>
            </w:r>
            <w:r w:rsidRPr="00CB2EC4">
              <w:rPr>
                <w:rFonts w:ascii="Times New Roman" w:hAnsi="Times New Roman" w:cs="Times New Roman"/>
              </w:rPr>
              <w:br/>
              <w:t xml:space="preserve">- Emphasizing anatomical precision: The Meigs procedure focuses on precise vascular dissection, avoiding mass ligation (Massenligatur), and instead dissecting and ligating vessels individually to enhance safety. The document states that the Meigs surgery is more accurate anatomically, and compared to the Latzko and Okabayashi procedures, although slightly less radical, it reduces the risk of unexpected bleeding (reference excerpt: "The Meigs procedure is </w:t>
            </w:r>
            <w:r w:rsidRPr="00CB2EC4">
              <w:rPr>
                <w:rFonts w:ascii="Times New Roman" w:hAnsi="Times New Roman" w:cs="Times New Roman"/>
              </w:rPr>
              <w:lastRenderedPageBreak/>
              <w:t>anatomically more precise", "Later comparisons of the Meigs technique with the Latzko and Okabayashi procedures suggested it was slightly less radical, but the author emphasizes the anatomical accuracy of the Meigs surgery").</w:t>
            </w:r>
            <w:r w:rsidRPr="00CB2EC4">
              <w:rPr>
                <w:rFonts w:ascii="Times New Roman" w:hAnsi="Times New Roman" w:cs="Times New Roman"/>
              </w:rPr>
              <w:br/>
              <w:t>- Additionally, the Meigs surgery includes complete dissection of the lateral supporting tissue of the ureter, preserving the blood supply to the distal ureter to reduce the risk of fistula formation (document excerpt: "The ureter is completely dissected from the vesicouterine ligament...to preserve some blood supply to the distal ureter").</w:t>
            </w:r>
          </w:p>
        </w:tc>
        <w:tc>
          <w:tcPr>
            <w:tcW w:w="1152" w:type="dxa"/>
            <w:vAlign w:val="center"/>
          </w:tcPr>
          <w:p w14:paraId="6BF3A7C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77C67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04DEC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EF2E3B1" w14:textId="77777777" w:rsidTr="00547D77">
        <w:tc>
          <w:tcPr>
            <w:tcW w:w="10656" w:type="dxa"/>
            <w:gridSpan w:val="5"/>
            <w:tcBorders>
              <w:bottom w:val="single" w:sz="6" w:space="0" w:color="auto"/>
            </w:tcBorders>
            <w:vAlign w:val="center"/>
          </w:tcPr>
          <w:p w14:paraId="560167A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115: What are the anatomical features of the cranial compartment of the pararectal space during a radical hysterectomy?</w:t>
            </w:r>
          </w:p>
        </w:tc>
      </w:tr>
      <w:tr w:rsidR="00916494" w:rsidRPr="00CB2EC4" w14:paraId="4B0081A5" w14:textId="77777777" w:rsidTr="00547D77">
        <w:tc>
          <w:tcPr>
            <w:tcW w:w="2160" w:type="dxa"/>
            <w:vAlign w:val="center"/>
          </w:tcPr>
          <w:p w14:paraId="1715A53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470E7E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anatomical characteristics of the cephalad compartment of the rectal lateral space during radical hysterectomy are as follows:</w:t>
            </w:r>
            <w:r w:rsidRPr="00CB2EC4">
              <w:rPr>
                <w:rFonts w:ascii="Times New Roman" w:hAnsi="Times New Roman" w:cs="Times New Roman"/>
              </w:rPr>
              <w:br/>
            </w:r>
            <w:r w:rsidRPr="00CB2EC4">
              <w:rPr>
                <w:rFonts w:ascii="Times New Roman" w:hAnsi="Times New Roman" w:cs="Times New Roman"/>
              </w:rPr>
              <w:br/>
              <w:t>- **Formation**: The cephalad compartment of the rectal lateral space is formed by dissecting the posterior fascia of the transverse cervical ligament and the internal iliac vascular sheath (with the vascular sheath peeled from the body of the internal iliac vessels), creating a potential space. As defined in Table 15: "the space formed after the posterior fascia of the transverse cervical ligament and the internal iliac vascular sheath are dissected from their respective structures (Latzko rectal lateral space)."</w:t>
            </w:r>
            <w:r w:rsidRPr="00CB2EC4">
              <w:rPr>
                <w:rFonts w:ascii="Times New Roman" w:hAnsi="Times New Roman" w:cs="Times New Roman"/>
              </w:rPr>
              <w:br/>
              <w:t xml:space="preserve">- **Location and Function**: Located near the lateral rectal ligament, it is used to expose the origin of the transverse cervical ligament to facilitate surgical maneuvers. It constitutes part of the rectal lateral space excavated in the Latzko technique, with the </w:t>
            </w:r>
            <w:r w:rsidRPr="00CB2EC4">
              <w:rPr>
                <w:rFonts w:ascii="Times New Roman" w:hAnsi="Times New Roman" w:cs="Times New Roman"/>
              </w:rPr>
              <w:lastRenderedPageBreak/>
              <w:t>cephalad compartment and the caudal compartment (formed at the level of the puborectalis muscle fascia) together making up the rectal lateral space.</w:t>
            </w:r>
            <w:r w:rsidRPr="00CB2EC4">
              <w:rPr>
                <w:rFonts w:ascii="Times New Roman" w:hAnsi="Times New Roman" w:cs="Times New Roman"/>
              </w:rPr>
              <w:br/>
              <w:t>- **Risk**: During dissection, there is a high risk of injuring deep vessels such as the inferior gluteal-internal pudendal common trunk, the inferior vesical vein, or the middle rectal vein, due to the rich vascularity in this region (as noted in similarity: 0.434: "the risk of injuring deep inferior gluteal-internal pudendal common trunk or inferior vesical vein or middle rectal vein is very high").</w:t>
            </w:r>
            <w:r w:rsidRPr="00CB2EC4">
              <w:rPr>
                <w:rFonts w:ascii="Times New Roman" w:hAnsi="Times New Roman" w:cs="Times New Roman"/>
              </w:rPr>
              <w:br/>
              <w:t>- **Distinction from Okabayashi Technique**: The dissection approach for the rectal lateral space differs between techniques. In the Okabayashi method, the rectal lateral space is opened medial to the ureter and hypogastric nerve, whereas in the Latzko method, the cephalad compartment is opened lateral to these structures (Table 15).</w:t>
            </w:r>
            <w:r w:rsidRPr="00CB2EC4">
              <w:rPr>
                <w:rFonts w:ascii="Times New Roman" w:hAnsi="Times New Roman" w:cs="Times New Roman"/>
              </w:rPr>
              <w:br/>
            </w:r>
            <w:r w:rsidRPr="00CB2EC4">
              <w:rPr>
                <w:rFonts w:ascii="Times New Roman" w:hAnsi="Times New Roman" w:cs="Times New Roman"/>
              </w:rPr>
              <w:br/>
              <w:t>These anatomical features emphasize the necessity for careful dissection during surgery to avoid hemorrhagic complications.</w:t>
            </w:r>
          </w:p>
        </w:tc>
        <w:tc>
          <w:tcPr>
            <w:tcW w:w="1152" w:type="dxa"/>
            <w:vAlign w:val="center"/>
          </w:tcPr>
          <w:p w14:paraId="6A7C90F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7D1E84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AC8235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745CEAA8" w14:textId="77777777" w:rsidTr="00547D77">
        <w:tc>
          <w:tcPr>
            <w:tcW w:w="2160" w:type="dxa"/>
            <w:vAlign w:val="center"/>
          </w:tcPr>
          <w:p w14:paraId="6D7A63E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B57109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anatomical characteristics of the upper portion (cranial chamber) of the pararectal space vary depending on the surgical approach, as described for the Latzko and Okabayashi techniques:</w:t>
            </w:r>
            <w:r w:rsidRPr="00CB2EC4">
              <w:rPr>
                <w:rFonts w:ascii="Times New Roman" w:hAnsi="Times New Roman" w:cs="Times New Roman"/>
              </w:rPr>
              <w:br/>
            </w:r>
            <w:r w:rsidRPr="00CB2EC4">
              <w:rPr>
                <w:rFonts w:ascii="Times New Roman" w:hAnsi="Times New Roman" w:cs="Times New Roman"/>
              </w:rPr>
              <w:br/>
              <w:t>- In the Latzko technique:</w:t>
            </w:r>
            <w:r w:rsidRPr="00CB2EC4">
              <w:rPr>
                <w:rFonts w:ascii="Times New Roman" w:hAnsi="Times New Roman" w:cs="Times New Roman"/>
              </w:rPr>
              <w:br/>
              <w:t xml:space="preserve">  - The upper portion of the pararectal space is a cavity formed by dissecting the posterior fascia of the transverse cervical ligament and the hypogastric vascular sheath away from their respective structures.</w:t>
            </w:r>
            <w:r w:rsidRPr="00CB2EC4">
              <w:rPr>
                <w:rFonts w:ascii="Times New Roman" w:hAnsi="Times New Roman" w:cs="Times New Roman"/>
              </w:rPr>
              <w:br/>
              <w:t xml:space="preserve">  - Anatomical feature: It is an artificially created space located posterior to the transverse cervical </w:t>
            </w:r>
            <w:r w:rsidRPr="00CB2EC4">
              <w:rPr>
                <w:rFonts w:ascii="Times New Roman" w:hAnsi="Times New Roman" w:cs="Times New Roman"/>
              </w:rPr>
              <w:lastRenderedPageBreak/>
              <w:t>ligament and anterior to the hypogastric vessels, used to expose and resect the origin of the transverse cervical ligament. The document states: "Upper portion of the pararectal space: the cavity formed after stripping the posterior fascia of the transverse cervical ligament and the hypogastric vascular sheath from their own bases (Latzko pararectal space)."</w:t>
            </w:r>
            <w:r w:rsidRPr="00CB2EC4">
              <w:rPr>
                <w:rFonts w:ascii="Times New Roman" w:hAnsi="Times New Roman" w:cs="Times New Roman"/>
              </w:rPr>
              <w:br/>
              <w:t xml:space="preserve">  - Risk: Dissection carries a high risk of injuring deep vessels (such as the inferior gluteal-internal pudendal trunk, inferior vesical vein, or middle rectal vein), leading to bleeding (reference: "Latzko pararectal space... high risk of injuring deep vessels such as the inferior gluteal-internal pudendal common trunk or inferior vesical vein or middle rectal vein").</w:t>
            </w:r>
            <w:r w:rsidRPr="00CB2EC4">
              <w:rPr>
                <w:rFonts w:ascii="Times New Roman" w:hAnsi="Times New Roman" w:cs="Times New Roman"/>
              </w:rPr>
              <w:br/>
            </w:r>
            <w:r w:rsidRPr="00CB2EC4">
              <w:rPr>
                <w:rFonts w:ascii="Times New Roman" w:hAnsi="Times New Roman" w:cs="Times New Roman"/>
              </w:rPr>
              <w:br/>
              <w:t>- In the Okabayashi technique:</w:t>
            </w:r>
            <w:r w:rsidRPr="00CB2EC4">
              <w:rPr>
                <w:rFonts w:ascii="Times New Roman" w:hAnsi="Times New Roman" w:cs="Times New Roman"/>
              </w:rPr>
              <w:br/>
              <w:t xml:space="preserve">  - The upper portion of the pararectal space is developed by starting directly below the medial stump of the uterosacral ligament and progressively dissecting loose connective tissue toward the pelvic floor.</w:t>
            </w:r>
            <w:r w:rsidRPr="00CB2EC4">
              <w:rPr>
                <w:rFonts w:ascii="Times New Roman" w:hAnsi="Times New Roman" w:cs="Times New Roman"/>
              </w:rPr>
              <w:br/>
              <w:t xml:space="preserve">  - Anatomical feature: It lies between the rectal fascia and the presacral fascia; dissection may extend to the dorsal side of the rectum, posing a risk of injuring the presacral venous plexus. The document notes: "Okabayashi's pararectal space begins directly below the medial cut end of the uterosacral ligament... and is dissected by gradually releasing loose connective tissue toward the pelvic floor."</w:t>
            </w:r>
            <w:r w:rsidRPr="00CB2EC4">
              <w:rPr>
                <w:rFonts w:ascii="Times New Roman" w:hAnsi="Times New Roman" w:cs="Times New Roman"/>
              </w:rPr>
              <w:br/>
              <w:t xml:space="preserve">  - Risk: Potential injury to the presacral venous plexus during development.</w:t>
            </w:r>
            <w:r w:rsidRPr="00CB2EC4">
              <w:rPr>
                <w:rFonts w:ascii="Times New Roman" w:hAnsi="Times New Roman" w:cs="Times New Roman"/>
              </w:rPr>
              <w:br/>
            </w:r>
            <w:r w:rsidRPr="00CB2EC4">
              <w:rPr>
                <w:rFonts w:ascii="Times New Roman" w:hAnsi="Times New Roman" w:cs="Times New Roman"/>
              </w:rPr>
              <w:br/>
              <w:t xml:space="preserve">- General characteristics: The upper portion of the pararectal space is an artificial lateral space (not a </w:t>
            </w:r>
            <w:r w:rsidRPr="00CB2EC4">
              <w:rPr>
                <w:rFonts w:ascii="Times New Roman" w:hAnsi="Times New Roman" w:cs="Times New Roman"/>
              </w:rPr>
              <w:lastRenderedPageBreak/>
              <w:t>natural anatomical structure), created during surgery to expose and separate pelvic connective tissues. The depth of dissection must be carefully controlled to avoid complications (e.g., excessive depth may injure the presacral venous plexus). The document emphasizes that dissection of this space need only proceed far enough to allow resection of the transverse cervical ligament (reference: "Dissection of the pararectal space only needs to be carried out to the extent that the transverse cervical ligament can be resected").</w:t>
            </w:r>
          </w:p>
        </w:tc>
        <w:tc>
          <w:tcPr>
            <w:tcW w:w="1152" w:type="dxa"/>
            <w:vAlign w:val="center"/>
          </w:tcPr>
          <w:p w14:paraId="26239CD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F458C5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A26FA4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2C0D7CED" w14:textId="77777777" w:rsidTr="00547D77">
        <w:tc>
          <w:tcPr>
            <w:tcW w:w="10656" w:type="dxa"/>
            <w:gridSpan w:val="5"/>
            <w:tcBorders>
              <w:bottom w:val="single" w:sz="6" w:space="0" w:color="auto"/>
            </w:tcBorders>
            <w:vAlign w:val="center"/>
          </w:tcPr>
          <w:p w14:paraId="2BA31FF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116: In a nerve-sparing radical hysterectomy, what principles should be followed for the transection of the transverse cervical ligament to avoid en-bloc clamping?</w:t>
            </w:r>
          </w:p>
        </w:tc>
      </w:tr>
      <w:tr w:rsidR="00916494" w:rsidRPr="00CB2EC4" w14:paraId="2E7D852C" w14:textId="77777777" w:rsidTr="00547D77">
        <w:tc>
          <w:tcPr>
            <w:tcW w:w="2160" w:type="dxa"/>
            <w:vAlign w:val="center"/>
          </w:tcPr>
          <w:p w14:paraId="1C7E6D29"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92E884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in nerve-sparing radical hysterectomy, the following principles should be followed when transecting the transverse cervical ligament to avoid mass ligation (Massenligature):  </w:t>
            </w:r>
            <w:r w:rsidRPr="00CB2EC4">
              <w:rPr>
                <w:rFonts w:ascii="Times New Roman" w:hAnsi="Times New Roman" w:cs="Times New Roman"/>
              </w:rPr>
              <w:br/>
              <w:t xml:space="preserve">- Separate fascial and vascular components: First transect the fascial part of the transverse cervical ligament (i.e., loose areolar connective tissue), then dissect and cut the vascular component (vessels) individually.  </w:t>
            </w:r>
            <w:r w:rsidRPr="00CB2EC4">
              <w:rPr>
                <w:rFonts w:ascii="Times New Roman" w:hAnsi="Times New Roman" w:cs="Times New Roman"/>
              </w:rPr>
              <w:br/>
              <w:t xml:space="preserve">- Avoid mass ligation: Do not clamp and transect the ligament as a whole; instead, separate and cut each vessel individually to minimize nerve injury.  </w:t>
            </w:r>
            <w:r w:rsidRPr="00CB2EC4">
              <w:rPr>
                <w:rFonts w:ascii="Times New Roman" w:hAnsi="Times New Roman" w:cs="Times New Roman"/>
              </w:rPr>
              <w:br/>
              <w:t xml:space="preserve">- Use appropriate instruments: Employ an ultrasonic surgical aspirator (USA) for precise dissection, with vibration output power controlled at 30%~50%, suction pressure at 200 mmHg, and irrigation flow at 30~50 mL/min.  </w:t>
            </w:r>
            <w:r w:rsidRPr="00CB2EC4">
              <w:rPr>
                <w:rFonts w:ascii="Times New Roman" w:hAnsi="Times New Roman" w:cs="Times New Roman"/>
              </w:rPr>
              <w:br/>
              <w:t xml:space="preserve">- Anatomical awareness: Recognize that the fascia is artificially considered as bundle-like loose areolar connective tissue; handle gently to protect deep </w:t>
            </w:r>
            <w:r w:rsidRPr="00CB2EC4">
              <w:rPr>
                <w:rFonts w:ascii="Times New Roman" w:hAnsi="Times New Roman" w:cs="Times New Roman"/>
              </w:rPr>
              <w:lastRenderedPageBreak/>
              <w:t xml:space="preserve">autonomic nerves (e.g., pelvic splanchnic nerves).  </w:t>
            </w:r>
            <w:r w:rsidRPr="00CB2EC4">
              <w:rPr>
                <w:rFonts w:ascii="Times New Roman" w:hAnsi="Times New Roman" w:cs="Times New Roman"/>
              </w:rPr>
              <w:br/>
              <w:t>These principles aim to ensure surgical safety, reduce injury, and preserve bladder and rectal function.</w:t>
            </w:r>
          </w:p>
        </w:tc>
        <w:tc>
          <w:tcPr>
            <w:tcW w:w="1152" w:type="dxa"/>
            <w:vAlign w:val="center"/>
          </w:tcPr>
          <w:p w14:paraId="492FB39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60A460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32C888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7B183B8C" w14:textId="77777777" w:rsidTr="00547D77">
        <w:tc>
          <w:tcPr>
            <w:tcW w:w="2160" w:type="dxa"/>
            <w:vAlign w:val="center"/>
          </w:tcPr>
          <w:p w14:paraId="206AA75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6A1F9C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nerve-sparing radical hysterectomy, the transection of the transverse cervical ligament should follow the following principles to avoid mass ligation:</w:t>
            </w:r>
            <w:r w:rsidRPr="00CB2EC4">
              <w:rPr>
                <w:rFonts w:ascii="Times New Roman" w:hAnsi="Times New Roman" w:cs="Times New Roman"/>
              </w:rPr>
              <w:br/>
            </w:r>
            <w:r w:rsidRPr="00CB2EC4">
              <w:rPr>
                <w:rFonts w:ascii="Times New Roman" w:hAnsi="Times New Roman" w:cs="Times New Roman"/>
              </w:rPr>
              <w:br/>
              <w:t>- Avoid mass ligation; instead, separate the transverse cervical ligament into its fascial and vascular components.</w:t>
            </w:r>
            <w:r w:rsidRPr="00CB2EC4">
              <w:rPr>
                <w:rFonts w:ascii="Times New Roman" w:hAnsi="Times New Roman" w:cs="Times New Roman"/>
              </w:rPr>
              <w:br/>
              <w:t>- First, transect the fascial portion, then isolate and cut the vessels of the vascular portion one by one.</w:t>
            </w:r>
            <w:r w:rsidRPr="00CB2EC4">
              <w:rPr>
                <w:rFonts w:ascii="Times New Roman" w:hAnsi="Times New Roman" w:cs="Times New Roman"/>
              </w:rPr>
              <w:br/>
              <w:t>- Use appropriate instruments such as an ultrasonic scalpel (Figure 77) for precise dissection to minimize injury, depending on the surgical site.</w:t>
            </w:r>
            <w:r w:rsidRPr="00CB2EC4">
              <w:rPr>
                <w:rFonts w:ascii="Times New Roman" w:hAnsi="Times New Roman" w:cs="Times New Roman"/>
              </w:rPr>
              <w:br/>
              <w:t>- During the procedure, recognize that the fascia is areolar connective tissue and should be treated as a bundle-like structure for separation, not as a whole.</w:t>
            </w:r>
            <w:r w:rsidRPr="00CB2EC4">
              <w:rPr>
                <w:rFonts w:ascii="Times New Roman" w:hAnsi="Times New Roman" w:cs="Times New Roman"/>
              </w:rPr>
              <w:br/>
              <w:t>These principles aim to preserve the pelvic autonomic nerves (e.g., pelvic plexus and bladder nerve branches) and reduce postoperative bladder dysfunction.</w:t>
            </w:r>
          </w:p>
        </w:tc>
        <w:tc>
          <w:tcPr>
            <w:tcW w:w="1152" w:type="dxa"/>
            <w:vAlign w:val="center"/>
          </w:tcPr>
          <w:p w14:paraId="7EF87DA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DF9E74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72B819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1124AF37" w14:textId="77777777" w:rsidTr="00547D77">
        <w:tc>
          <w:tcPr>
            <w:tcW w:w="10656" w:type="dxa"/>
            <w:gridSpan w:val="5"/>
            <w:tcBorders>
              <w:bottom w:val="single" w:sz="6" w:space="0" w:color="auto"/>
            </w:tcBorders>
            <w:vAlign w:val="center"/>
          </w:tcPr>
          <w:p w14:paraId="6BB1700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117: Please briefly describe the surgical procedure of a nerve-sparing radical hysterectomy.</w:t>
            </w:r>
          </w:p>
        </w:tc>
      </w:tr>
      <w:tr w:rsidR="00916494" w:rsidRPr="00CB2EC4" w14:paraId="3F99DDA1" w14:textId="77777777" w:rsidTr="00547D77">
        <w:tc>
          <w:tcPr>
            <w:tcW w:w="2160" w:type="dxa"/>
            <w:vAlign w:val="center"/>
          </w:tcPr>
          <w:p w14:paraId="47629AA3"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CD327E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1. Laparotomy and uterine fixation: Perform laparotomy and fix the position of the uterus.  </w:t>
            </w:r>
            <w:r w:rsidRPr="00CB2EC4">
              <w:rPr>
                <w:rFonts w:ascii="Times New Roman" w:hAnsi="Times New Roman" w:cs="Times New Roman"/>
              </w:rPr>
              <w:br/>
              <w:t xml:space="preserve">2. Division of the round ligament: Cut the round ligament to access the pelvic cavity.  </w:t>
            </w:r>
            <w:r w:rsidRPr="00CB2EC4">
              <w:rPr>
                <w:rFonts w:ascii="Times New Roman" w:hAnsi="Times New Roman" w:cs="Times New Roman"/>
              </w:rPr>
              <w:br/>
              <w:t xml:space="preserve">3. Incision and dissection of the iliac fossa peritoneum: Expose the retroperitoneal space.  </w:t>
            </w:r>
            <w:r w:rsidRPr="00CB2EC4">
              <w:rPr>
                <w:rFonts w:ascii="Times New Roman" w:hAnsi="Times New Roman" w:cs="Times New Roman"/>
              </w:rPr>
              <w:br/>
              <w:t xml:space="preserve">4. Opening of the bladder lateral space: Develop the bladder lateral space without extending to the pelvic floor.  </w:t>
            </w:r>
            <w:r w:rsidRPr="00CB2EC4">
              <w:rPr>
                <w:rFonts w:ascii="Times New Roman" w:hAnsi="Times New Roman" w:cs="Times New Roman"/>
              </w:rPr>
              <w:br/>
              <w:t xml:space="preserve">5. Pelvic lymphadenectomy: Sequentially dissect </w:t>
            </w:r>
            <w:r w:rsidRPr="00CB2EC4">
              <w:rPr>
                <w:rFonts w:ascii="Times New Roman" w:hAnsi="Times New Roman" w:cs="Times New Roman"/>
              </w:rPr>
              <w:lastRenderedPageBreak/>
              <w:t xml:space="preserve">lymph nodes (including external iliac, inguinal, obturator, internal iliac lymph nodes) using ultrasonic energy, with attention to nerve preservation.  </w:t>
            </w:r>
            <w:r w:rsidRPr="00CB2EC4">
              <w:rPr>
                <w:rFonts w:ascii="Times New Roman" w:hAnsi="Times New Roman" w:cs="Times New Roman"/>
              </w:rPr>
              <w:br/>
              <w:t xml:space="preserve">6. Opening of the Latzko rectal lateral space: Develop the rectal lateral space to the level of the deep uterine vein.  </w:t>
            </w:r>
            <w:r w:rsidRPr="00CB2EC4">
              <w:rPr>
                <w:rFonts w:ascii="Times New Roman" w:hAnsi="Times New Roman" w:cs="Times New Roman"/>
              </w:rPr>
              <w:br/>
              <w:t xml:space="preserve">7. Incision of the bladder peritoneum: Enter the bladder area.  </w:t>
            </w:r>
            <w:r w:rsidRPr="00CB2EC4">
              <w:rPr>
                <w:rFonts w:ascii="Times New Roman" w:hAnsi="Times New Roman" w:cs="Times New Roman"/>
              </w:rPr>
              <w:br/>
              <w:t xml:space="preserve">8. Dissection and division of the uterine artery: Thoroughly dissect around the uterine artery, preserving the ureteric branch.  </w:t>
            </w:r>
            <w:r w:rsidRPr="00CB2EC4">
              <w:rPr>
                <w:rFonts w:ascii="Times New Roman" w:hAnsi="Times New Roman" w:cs="Times New Roman"/>
              </w:rPr>
              <w:br/>
              <w:t xml:space="preserve">9. Opening of the Gӧrling rectal lateral space: Dissect the posterior ureter to form the ureteric plate.  </w:t>
            </w:r>
            <w:r w:rsidRPr="00CB2EC4">
              <w:rPr>
                <w:rFonts w:ascii="Times New Roman" w:hAnsi="Times New Roman" w:cs="Times New Roman"/>
              </w:rPr>
              <w:br/>
              <w:t xml:space="preserve">10. Management of the transverse cervical ligament: Dissect the fascia and cut vessels individually, avoiding en bloc clamping (refer to Question 116).  </w:t>
            </w:r>
            <w:r w:rsidRPr="00CB2EC4">
              <w:rPr>
                <w:rFonts w:ascii="Times New Roman" w:hAnsi="Times New Roman" w:cs="Times New Roman"/>
              </w:rPr>
              <w:br/>
              <w:t xml:space="preserve">11. Posterior dissection: Separate the uterosacral ligament and rectouterine ligament.  </w:t>
            </w:r>
            <w:r w:rsidRPr="00CB2EC4">
              <w:rPr>
                <w:rFonts w:ascii="Times New Roman" w:hAnsi="Times New Roman" w:cs="Times New Roman"/>
              </w:rPr>
              <w:br/>
              <w:t xml:space="preserve">12. Anterior dissection: Strip the bladder, develop the vaginal lateral space, and divide the vesicouterine ligament.  </w:t>
            </w:r>
            <w:r w:rsidRPr="00CB2EC4">
              <w:rPr>
                <w:rFonts w:ascii="Times New Roman" w:hAnsi="Times New Roman" w:cs="Times New Roman"/>
              </w:rPr>
              <w:br/>
              <w:t xml:space="preserve">13. Removal of the uterus and vagina: Excise the uterus and associated tissues while preserving nerves.  </w:t>
            </w:r>
            <w:r w:rsidRPr="00CB2EC4">
              <w:rPr>
                <w:rFonts w:ascii="Times New Roman" w:hAnsi="Times New Roman" w:cs="Times New Roman"/>
              </w:rPr>
              <w:br/>
              <w:t xml:space="preserve">14. Closure and reconstruction: Suture the vaginal cuff, close the peritoneum, and prevent adhesions.  </w:t>
            </w:r>
            <w:r w:rsidRPr="00CB2EC4">
              <w:rPr>
                <w:rFonts w:ascii="Times New Roman" w:hAnsi="Times New Roman" w:cs="Times New Roman"/>
              </w:rPr>
              <w:br/>
              <w:t>The entire procedure emphasizes individual division of ligaments within six spaces (e.g., bladder lateral space, rectal lateral space) to preserve the pelvic nerve plexus and its bladder branches.</w:t>
            </w:r>
          </w:p>
        </w:tc>
        <w:tc>
          <w:tcPr>
            <w:tcW w:w="1152" w:type="dxa"/>
            <w:vAlign w:val="center"/>
          </w:tcPr>
          <w:p w14:paraId="3BAE5D6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B40F5E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6268A7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209BE2FD" w14:textId="77777777" w:rsidTr="00547D77">
        <w:tc>
          <w:tcPr>
            <w:tcW w:w="2160" w:type="dxa"/>
            <w:vAlign w:val="center"/>
          </w:tcPr>
          <w:p w14:paraId="0CD8358B"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D8AD6F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surgical procedure for nerve-sparing radical hysterectomy is outlined as follows:  </w:t>
            </w:r>
            <w:r w:rsidRPr="00CB2EC4">
              <w:rPr>
                <w:rFonts w:ascii="Times New Roman" w:hAnsi="Times New Roman" w:cs="Times New Roman"/>
              </w:rPr>
              <w:br/>
              <w:t xml:space="preserve">1. Abdominal entry and uterine fixation: Make a midline abdominal incision above the pubic symphysis, place retractors to displace bowel loops, </w:t>
            </w:r>
            <w:r w:rsidRPr="00CB2EC4">
              <w:rPr>
                <w:rFonts w:ascii="Times New Roman" w:hAnsi="Times New Roman" w:cs="Times New Roman"/>
              </w:rPr>
              <w:lastRenderedPageBreak/>
              <w:t xml:space="preserve">and assess intra-abdominal conditions (e.g., cancer progression, ureter course).  </w:t>
            </w:r>
            <w:r w:rsidRPr="00CB2EC4">
              <w:rPr>
                <w:rFonts w:ascii="Times New Roman" w:hAnsi="Times New Roman" w:cs="Times New Roman"/>
              </w:rPr>
              <w:br/>
              <w:t xml:space="preserve">2. Division of round ligaments: Cut and ligate the uterine round ligaments.  </w:t>
            </w:r>
            <w:r w:rsidRPr="00CB2EC4">
              <w:rPr>
                <w:rFonts w:ascii="Times New Roman" w:hAnsi="Times New Roman" w:cs="Times New Roman"/>
              </w:rPr>
              <w:br/>
              <w:t xml:space="preserve">3. Incision and dissection of iliac fossa peritoneum: Expose pelvic sidewall structures.  </w:t>
            </w:r>
            <w:r w:rsidRPr="00CB2EC4">
              <w:rPr>
                <w:rFonts w:ascii="Times New Roman" w:hAnsi="Times New Roman" w:cs="Times New Roman"/>
              </w:rPr>
              <w:br/>
              <w:t xml:space="preserve">4. Development of bladder lateral space: Dissect the space without extending to the superior fascia of the levator ani muscle.  </w:t>
            </w:r>
            <w:r w:rsidRPr="00CB2EC4">
              <w:rPr>
                <w:rFonts w:ascii="Times New Roman" w:hAnsi="Times New Roman" w:cs="Times New Roman"/>
              </w:rPr>
              <w:br/>
              <w:t xml:space="preserve">5. Exploration of the ovarian fossa: Investigate the anterior ovarian fossa area.  </w:t>
            </w:r>
            <w:r w:rsidRPr="00CB2EC4">
              <w:rPr>
                <w:rFonts w:ascii="Times New Roman" w:hAnsi="Times New Roman" w:cs="Times New Roman"/>
              </w:rPr>
              <w:br/>
              <w:t xml:space="preserve">6. Pelvic lymphadenectomy:  </w:t>
            </w:r>
            <w:r w:rsidRPr="00CB2EC4">
              <w:rPr>
                <w:rFonts w:ascii="Times New Roman" w:hAnsi="Times New Roman" w:cs="Times New Roman"/>
              </w:rPr>
              <w:br/>
              <w:t xml:space="preserve">   - Sequence includes dissection of external iliac artery sheath, removal of superficial external iliac lymph nodes, inguinal lymph nodes, dissection of external iliac vein sheath, removal of deep external iliac lymph nodes, obturator lymph nodes, internal iliac lymph nodes, and transverse cervical ligament lymph nodes.  </w:t>
            </w:r>
            <w:r w:rsidRPr="00CB2EC4">
              <w:rPr>
                <w:rFonts w:ascii="Times New Roman" w:hAnsi="Times New Roman" w:cs="Times New Roman"/>
              </w:rPr>
              <w:br/>
              <w:t xml:space="preserve">   - Use of ultrasonic scalpel for dissection to avoid vascular injury.  </w:t>
            </w:r>
            <w:r w:rsidRPr="00CB2EC4">
              <w:rPr>
                <w:rFonts w:ascii="Times New Roman" w:hAnsi="Times New Roman" w:cs="Times New Roman"/>
              </w:rPr>
              <w:br/>
              <w:t xml:space="preserve">7. Development of Latzko rectolateral space: Dissect to the level of the deep uterine vein.  </w:t>
            </w:r>
            <w:r w:rsidRPr="00CB2EC4">
              <w:rPr>
                <w:rFonts w:ascii="Times New Roman" w:hAnsi="Times New Roman" w:cs="Times New Roman"/>
              </w:rPr>
              <w:br/>
              <w:t xml:space="preserve">8. Management of transverse cervical ligament: Separate ligament fascia, sequentially ligate and cut vessels (avoid mass clamping), and preserve nerve branches.  </w:t>
            </w:r>
            <w:r w:rsidRPr="00CB2EC4">
              <w:rPr>
                <w:rFonts w:ascii="Times New Roman" w:hAnsi="Times New Roman" w:cs="Times New Roman"/>
              </w:rPr>
              <w:br/>
              <w:t xml:space="preserve">9. Posterior dissection: Includes development of the Okabayashi rectolateral space, separation of the ureteral tunnel, division of the infundibulopelvic ligament, and dissection of the rectovaginal septum.  </w:t>
            </w:r>
            <w:r w:rsidRPr="00CB2EC4">
              <w:rPr>
                <w:rFonts w:ascii="Times New Roman" w:hAnsi="Times New Roman" w:cs="Times New Roman"/>
              </w:rPr>
              <w:br/>
              <w:t xml:space="preserve">10. Anterior dissection: Includes bladder mobilization, ureter liberation anteriorly, and division of the posterior layer of the vesicouterine ligament.  </w:t>
            </w:r>
            <w:r w:rsidRPr="00CB2EC4">
              <w:rPr>
                <w:rFonts w:ascii="Times New Roman" w:hAnsi="Times New Roman" w:cs="Times New Roman"/>
              </w:rPr>
              <w:br/>
            </w:r>
            <w:r w:rsidRPr="00CB2EC4">
              <w:rPr>
                <w:rFonts w:ascii="Times New Roman" w:hAnsi="Times New Roman" w:cs="Times New Roman"/>
              </w:rPr>
              <w:lastRenderedPageBreak/>
              <w:t xml:space="preserve">11. Division of deep uterine vein and ligaments: Cut the deep uterine vein before its confluence with the internal iliac vein, and address the rectovaginal and vesicovaginal ligaments.  </w:t>
            </w:r>
            <w:r w:rsidRPr="00CB2EC4">
              <w:rPr>
                <w:rFonts w:ascii="Times New Roman" w:hAnsi="Times New Roman" w:cs="Times New Roman"/>
              </w:rPr>
              <w:br/>
              <w:t xml:space="preserve">12. Vaginal transection and cuff closure: Incise paravaginal connective tissue, suture the vaginal cuff, and place a drain.  </w:t>
            </w:r>
            <w:r w:rsidRPr="00CB2EC4">
              <w:rPr>
                <w:rFonts w:ascii="Times New Roman" w:hAnsi="Times New Roman" w:cs="Times New Roman"/>
              </w:rPr>
              <w:br/>
              <w:t xml:space="preserve">13. Abdominal closure: Achieve hemostasis and close the abdomen.  </w:t>
            </w:r>
            <w:r w:rsidRPr="00CB2EC4">
              <w:rPr>
                <w:rFonts w:ascii="Times New Roman" w:hAnsi="Times New Roman" w:cs="Times New Roman"/>
              </w:rPr>
              <w:br/>
              <w:t>This procedure emphasizes systematic anatomical dissection with the goal of preserving the pelvic plexus and bladder nerve branches.</w:t>
            </w:r>
          </w:p>
        </w:tc>
        <w:tc>
          <w:tcPr>
            <w:tcW w:w="1152" w:type="dxa"/>
            <w:vAlign w:val="center"/>
          </w:tcPr>
          <w:p w14:paraId="326651F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A6286E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0DF466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4F305572" w14:textId="77777777" w:rsidTr="00547D77">
        <w:tc>
          <w:tcPr>
            <w:tcW w:w="10656" w:type="dxa"/>
            <w:gridSpan w:val="5"/>
            <w:tcBorders>
              <w:bottom w:val="single" w:sz="6" w:space="0" w:color="auto"/>
            </w:tcBorders>
            <w:vAlign w:val="center"/>
          </w:tcPr>
          <w:p w14:paraId="175FBF0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118: During pelvic lymphadenectomy, when dissecting the vascular sheath, which specific technique is explicitly mentioned in the text as not being recommended due to the risk of tearing major blood vessels?</w:t>
            </w:r>
          </w:p>
        </w:tc>
      </w:tr>
      <w:tr w:rsidR="00916494" w:rsidRPr="00CB2EC4" w14:paraId="4320ABC2" w14:textId="77777777" w:rsidTr="00547D77">
        <w:tc>
          <w:tcPr>
            <w:tcW w:w="2160" w:type="dxa"/>
            <w:vAlign w:val="center"/>
          </w:tcPr>
          <w:p w14:paraId="0C4AD175"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D521D3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method of forcibly dissecting lymph nodes from the medial side is not recommended due to the risk of tearing major vessels such as the internal iliac vein or external iliac vein.</w:t>
            </w:r>
          </w:p>
        </w:tc>
        <w:tc>
          <w:tcPr>
            <w:tcW w:w="1152" w:type="dxa"/>
            <w:vAlign w:val="center"/>
          </w:tcPr>
          <w:p w14:paraId="4237AB2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CAE181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DDFF0A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6B41C7F4" w14:textId="77777777" w:rsidTr="00547D77">
        <w:tc>
          <w:tcPr>
            <w:tcW w:w="2160" w:type="dxa"/>
            <w:vAlign w:val="center"/>
          </w:tcPr>
          <w:p w14:paraId="576A1102"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B1B6A4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during pelvic lymphadenectomy, when dissecting the vascular sheath, the method of stripping along the long axis of the vessel is explicitly stated to carry a risk of tearing the main vessels and is therefore not recommended.  </w:t>
            </w:r>
            <w:r w:rsidRPr="00CB2EC4">
              <w:rPr>
                <w:rFonts w:ascii="Times New Roman" w:hAnsi="Times New Roman" w:cs="Times New Roman"/>
              </w:rPr>
              <w:br/>
            </w:r>
            <w:r w:rsidRPr="00CB2EC4">
              <w:rPr>
                <w:rFonts w:ascii="Times New Roman" w:hAnsi="Times New Roman" w:cs="Times New Roman"/>
              </w:rPr>
              <w:br/>
              <w:t xml:space="preserve">Reason:  </w:t>
            </w:r>
            <w:r w:rsidRPr="00CB2EC4">
              <w:rPr>
                <w:rFonts w:ascii="Times New Roman" w:hAnsi="Times New Roman" w:cs="Times New Roman"/>
              </w:rPr>
              <w:br/>
              <w:t xml:space="preserve">- This approach may cause the mural venous branches to be avulsed, leading to tearing of the main vessels (such as the external iliac artery and vein).  </w:t>
            </w:r>
            <w:r w:rsidRPr="00CB2EC4">
              <w:rPr>
                <w:rFonts w:ascii="Times New Roman" w:hAnsi="Times New Roman" w:cs="Times New Roman"/>
              </w:rPr>
              <w:br/>
              <w:t>- The recommended method is: after incising the vascular sheath along the long axis of the vessel, dissect in a direction perpendicular to the vessel, using forceps to stabilize the vascular sheath and cut loose connective tissue to avoid injury.</w:t>
            </w:r>
          </w:p>
        </w:tc>
        <w:tc>
          <w:tcPr>
            <w:tcW w:w="1152" w:type="dxa"/>
            <w:vAlign w:val="center"/>
          </w:tcPr>
          <w:p w14:paraId="05C8AC2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E818B9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D512D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78EDA40" w14:textId="77777777" w:rsidTr="00547D77">
        <w:tc>
          <w:tcPr>
            <w:tcW w:w="10656" w:type="dxa"/>
            <w:gridSpan w:val="5"/>
            <w:tcBorders>
              <w:bottom w:val="single" w:sz="6" w:space="0" w:color="auto"/>
            </w:tcBorders>
            <w:vAlign w:val="center"/>
          </w:tcPr>
          <w:p w14:paraId="55A0DEC4"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119: In a nerve-sparing radical hysterectomy, how should metastatic lymph nodes adherent to the external iliac vein be resected? Why is this specific technique necessary?</w:t>
            </w:r>
          </w:p>
        </w:tc>
      </w:tr>
      <w:tr w:rsidR="00916494" w:rsidRPr="00CB2EC4" w14:paraId="6D89964E" w14:textId="77777777" w:rsidTr="00547D77">
        <w:tc>
          <w:tcPr>
            <w:tcW w:w="2160" w:type="dxa"/>
            <w:vAlign w:val="center"/>
          </w:tcPr>
          <w:p w14:paraId="5E5782F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E47528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How should metastatic lymph nodes attached to the external iliac vein be removed during nerve-sparing radical hysterectomy? Why is this approach necessary?</w:t>
            </w:r>
            <w:r w:rsidRPr="00CB2EC4">
              <w:rPr>
                <w:rFonts w:ascii="Times New Roman" w:hAnsi="Times New Roman" w:cs="Times New Roman"/>
              </w:rPr>
              <w:br/>
            </w:r>
            <w:r w:rsidRPr="00CB2EC4">
              <w:rPr>
                <w:rFonts w:ascii="Times New Roman" w:hAnsi="Times New Roman" w:cs="Times New Roman"/>
              </w:rPr>
              <w:br/>
              <w:t xml:space="preserve">- **Operational Steps:**  </w:t>
            </w:r>
            <w:r w:rsidRPr="00CB2EC4">
              <w:rPr>
                <w:rFonts w:ascii="Times New Roman" w:hAnsi="Times New Roman" w:cs="Times New Roman"/>
              </w:rPr>
              <w:br/>
              <w:t xml:space="preserve">  → Use a ureteral hook to lift the external iliac artery upward, exposing the external iliac vein.  </w:t>
            </w:r>
            <w:r w:rsidRPr="00CB2EC4">
              <w:rPr>
                <w:rFonts w:ascii="Times New Roman" w:hAnsi="Times New Roman" w:cs="Times New Roman"/>
              </w:rPr>
              <w:br/>
              <w:t xml:space="preserve">  → Grasp the fat pad containing the lymph nodes with lymph node forceps and retract it proximally (cephalad).  </w:t>
            </w:r>
            <w:r w:rsidRPr="00CB2EC4">
              <w:rPr>
                <w:rFonts w:ascii="Times New Roman" w:hAnsi="Times New Roman" w:cs="Times New Roman"/>
              </w:rPr>
              <w:br/>
              <w:t xml:space="preserve">  → Circumferentially dissect the vascular sheath of the external iliac vein, carefully separate adhesions between the lymph nodes and the vein, and then transect at the inguinal region.  </w:t>
            </w:r>
            <w:r w:rsidRPr="00CB2EC4">
              <w:rPr>
                <w:rFonts w:ascii="Times New Roman" w:hAnsi="Times New Roman" w:cs="Times New Roman"/>
              </w:rPr>
              <w:br/>
              <w:t xml:space="preserve">  → Avoid monopolar electrocautery during the procedure; instead, use scissors or an ultrasonic scalpel for gentle dissection to prevent venous wall injury.  </w:t>
            </w:r>
            <w:r w:rsidRPr="00CB2EC4">
              <w:rPr>
                <w:rFonts w:ascii="Times New Roman" w:hAnsi="Times New Roman" w:cs="Times New Roman"/>
              </w:rPr>
              <w:br/>
            </w:r>
            <w:r w:rsidRPr="00CB2EC4">
              <w:rPr>
                <w:rFonts w:ascii="Times New Roman" w:hAnsi="Times New Roman" w:cs="Times New Roman"/>
              </w:rPr>
              <w:br/>
              <w:t xml:space="preserve">- **Why This Approach Is Necessary:**  </w:t>
            </w:r>
            <w:r w:rsidRPr="00CB2EC4">
              <w:rPr>
                <w:rFonts w:ascii="Times New Roman" w:hAnsi="Times New Roman" w:cs="Times New Roman"/>
              </w:rPr>
              <w:br/>
              <w:t xml:space="preserve">  → The external iliac vein has a thin wall and is prone to injury; forceful manipulation may lead to venous rupture, hematoma, or accidental bleeding.  </w:t>
            </w:r>
            <w:r w:rsidRPr="00CB2EC4">
              <w:rPr>
                <w:rFonts w:ascii="Times New Roman" w:hAnsi="Times New Roman" w:cs="Times New Roman"/>
              </w:rPr>
              <w:br/>
              <w:t xml:space="preserve">  → Lymph nodes are closely adherent to the vein (especially in the deep inguinal lymph node region), and circumferential dissection of the vascular sheath ensures complete lymph node removal while reducing the risk of cancer cell dissemination (premature blood flow interruption may increase metastasis risk).  </w:t>
            </w:r>
            <w:r w:rsidRPr="00CB2EC4">
              <w:rPr>
                <w:rFonts w:ascii="Times New Roman" w:hAnsi="Times New Roman" w:cs="Times New Roman"/>
              </w:rPr>
              <w:br/>
              <w:t xml:space="preserve">  → This approach preserves structures such as the obturator nerve, adhering to the principle of nerve-</w:t>
            </w:r>
            <w:r w:rsidRPr="00CB2EC4">
              <w:rPr>
                <w:rFonts w:ascii="Times New Roman" w:hAnsi="Times New Roman" w:cs="Times New Roman"/>
              </w:rPr>
              <w:lastRenderedPageBreak/>
              <w:t>sparing surgery.</w:t>
            </w:r>
          </w:p>
        </w:tc>
        <w:tc>
          <w:tcPr>
            <w:tcW w:w="1152" w:type="dxa"/>
            <w:vAlign w:val="center"/>
          </w:tcPr>
          <w:p w14:paraId="713521D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5FFC1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355CC4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B70A9DB" w14:textId="77777777" w:rsidTr="00547D77">
        <w:tc>
          <w:tcPr>
            <w:tcW w:w="2160" w:type="dxa"/>
            <w:vAlign w:val="center"/>
          </w:tcPr>
          <w:p w14:paraId="52580D1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6FC2F9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when removing metastatic lymph nodes attached to the external iliac vein during a nerve-sparing radical hysterectomy, the procedure should be performed as follows:  </w:t>
            </w:r>
            <w:r w:rsidRPr="00CB2EC4">
              <w:rPr>
                <w:rFonts w:ascii="Times New Roman" w:hAnsi="Times New Roman" w:cs="Times New Roman"/>
              </w:rPr>
              <w:br/>
              <w:t xml:space="preserve">- **Procedure**:  </w:t>
            </w:r>
            <w:r w:rsidRPr="00CB2EC4">
              <w:rPr>
                <w:rFonts w:ascii="Times New Roman" w:hAnsi="Times New Roman" w:cs="Times New Roman"/>
              </w:rPr>
              <w:br/>
              <w:t xml:space="preserve">  - Use an ultrasonic scalpel and fine scissors to perform sharp or blunt dissection, gradually separating the lymph node from surrounding tissues.  </w:t>
            </w:r>
            <w:r w:rsidRPr="00CB2EC4">
              <w:rPr>
                <w:rFonts w:ascii="Times New Roman" w:hAnsi="Times New Roman" w:cs="Times New Roman"/>
              </w:rPr>
              <w:br/>
              <w:t xml:space="preserve">  - Protect the vein wall with fingertips while carefully fragmenting and dissecting the connective tissue between the lymph node and the vein.  </w:t>
            </w:r>
            <w:r w:rsidRPr="00CB2EC4">
              <w:rPr>
                <w:rFonts w:ascii="Times New Roman" w:hAnsi="Times New Roman" w:cs="Times New Roman"/>
              </w:rPr>
              <w:br/>
              <w:t xml:space="preserve">  - Prepare Satinsky vascular clamps, vascular tapes, and suturing instruments to manage potential vascular injury.  </w:t>
            </w:r>
            <w:r w:rsidRPr="00CB2EC4">
              <w:rPr>
                <w:rFonts w:ascii="Times New Roman" w:hAnsi="Times New Roman" w:cs="Times New Roman"/>
              </w:rPr>
              <w:br/>
              <w:t xml:space="preserve">- **Rationale for this approach**:  </w:t>
            </w:r>
            <w:r w:rsidRPr="00CB2EC4">
              <w:rPr>
                <w:rFonts w:ascii="Times New Roman" w:hAnsi="Times New Roman" w:cs="Times New Roman"/>
              </w:rPr>
              <w:br/>
              <w:t xml:space="preserve">  - Cancer rarely infiltrates the vein wall, so meticulous dissection allows safe removal of the lymph node without unnecessary abandonment.  </w:t>
            </w:r>
            <w:r w:rsidRPr="00CB2EC4">
              <w:rPr>
                <w:rFonts w:ascii="Times New Roman" w:hAnsi="Times New Roman" w:cs="Times New Roman"/>
              </w:rPr>
              <w:br/>
              <w:t xml:space="preserve">  - This method minimizes the risk of vascular injury (e.g., tearing or bleeding), ensures radical oncological goals, and the use of an ultrasonic scalpel enhances safety (note: avoid ultrasonic damage to the vessel).  </w:t>
            </w:r>
            <w:r w:rsidRPr="00CB2EC4">
              <w:rPr>
                <w:rFonts w:ascii="Times New Roman" w:hAnsi="Times New Roman" w:cs="Times New Roman"/>
              </w:rPr>
              <w:br/>
              <w:t xml:space="preserve">  - The literature emphasizes that metastatic lymph nodes are typically fixed to the vascular sheath but can be completely resected through careful dissection without premature abandonment (similarity: 0.411).</w:t>
            </w:r>
          </w:p>
        </w:tc>
        <w:tc>
          <w:tcPr>
            <w:tcW w:w="1152" w:type="dxa"/>
            <w:vAlign w:val="center"/>
          </w:tcPr>
          <w:p w14:paraId="63B95DD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52A3C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60ECF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64E112D" w14:textId="77777777" w:rsidTr="00547D77">
        <w:tc>
          <w:tcPr>
            <w:tcW w:w="10656" w:type="dxa"/>
            <w:gridSpan w:val="5"/>
            <w:tcBorders>
              <w:bottom w:val="single" w:sz="6" w:space="0" w:color="auto"/>
            </w:tcBorders>
            <w:vAlign w:val="center"/>
          </w:tcPr>
          <w:p w14:paraId="5C3131BD"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120: During the lymph node dissection phase of a nerve-sparing radical hysterectomy, at what stage of the operation should the sheath of the internal iliac artery and vein be dissected?</w:t>
            </w:r>
          </w:p>
        </w:tc>
      </w:tr>
      <w:tr w:rsidR="00916494" w:rsidRPr="00CB2EC4" w14:paraId="1148766E" w14:textId="77777777" w:rsidTr="00547D77">
        <w:tc>
          <w:tcPr>
            <w:tcW w:w="2160" w:type="dxa"/>
            <w:vAlign w:val="center"/>
          </w:tcPr>
          <w:p w14:paraId="5BF5CC4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FABA7D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when performing lymph node dissection during a nerve-sparing radical hysterectomy, the stripping of the internal iliac artery and vein sheath should be carried out:  </w:t>
            </w:r>
            <w:r w:rsidRPr="00CB2EC4">
              <w:rPr>
                <w:rFonts w:ascii="Times New Roman" w:hAnsi="Times New Roman" w:cs="Times New Roman"/>
              </w:rPr>
              <w:br/>
            </w:r>
            <w:r w:rsidRPr="00CB2EC4">
              <w:rPr>
                <w:rFonts w:ascii="Times New Roman" w:hAnsi="Times New Roman" w:cs="Times New Roman"/>
              </w:rPr>
              <w:lastRenderedPageBreak/>
              <w:t xml:space="preserve">- During the dissection of the internal iliac lymph nodes, specifically at step 6 of the lymph node dissection sequence. The document explicitly states: “The stripping of the internal iliac artery vascular sheath begins when dissecting the internal iliac lymph nodes.”  </w:t>
            </w:r>
            <w:r w:rsidRPr="00CB2EC4">
              <w:rPr>
                <w:rFonts w:ascii="Times New Roman" w:hAnsi="Times New Roman" w:cs="Times New Roman"/>
              </w:rPr>
              <w:br/>
              <w:t xml:space="preserve">- Operational details: Make an incision on the ventral side of the arterial sheath and advance the dissection distally to the level of the umbilical ligament branch. Simultaneously, dissect the deep venous sheath of the internal iliac vein to expose the Latzko rectal lateral space.  </w:t>
            </w:r>
            <w:r w:rsidRPr="00CB2EC4">
              <w:rPr>
                <w:rFonts w:ascii="Times New Roman" w:hAnsi="Times New Roman" w:cs="Times New Roman"/>
              </w:rPr>
              <w:br/>
              <w:t>- Timing: Within the overall sequence of pelvic lymph node dissection, internal iliac lymph node dissection follows obturator lymph node dissection (order: external iliac lymph nodes → inguinal lymph nodes → obturator lymph nodes → internal iliac lymph nodes). Stripping the vascular sheath is a key step in internal iliac lymph node dissection, aimed at safely removing lymph nodes and minimizing bleeding risk.</w:t>
            </w:r>
          </w:p>
        </w:tc>
        <w:tc>
          <w:tcPr>
            <w:tcW w:w="1152" w:type="dxa"/>
            <w:vAlign w:val="center"/>
          </w:tcPr>
          <w:p w14:paraId="77521B2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3E958C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A00870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27F87D5B" w14:textId="77777777" w:rsidTr="00547D77">
        <w:tc>
          <w:tcPr>
            <w:tcW w:w="2160" w:type="dxa"/>
            <w:vAlign w:val="center"/>
          </w:tcPr>
          <w:p w14:paraId="23F40280"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310A63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during the lymph node dissection in a nerve-sparing radical hysterectomy, the stripping of the internal iliac artery and vein sheath should be performed when dissecting the internal iliac lymph nodes.</w:t>
            </w:r>
            <w:r w:rsidRPr="00CB2EC4">
              <w:rPr>
                <w:rFonts w:ascii="Times New Roman" w:hAnsi="Times New Roman" w:cs="Times New Roman"/>
              </w:rPr>
              <w:br/>
            </w:r>
            <w:r w:rsidRPr="00CB2EC4">
              <w:rPr>
                <w:rFonts w:ascii="Times New Roman" w:hAnsi="Times New Roman" w:cs="Times New Roman"/>
              </w:rPr>
              <w:br/>
              <w:t xml:space="preserve">The specific sequence is as follows:  </w:t>
            </w:r>
            <w:r w:rsidRPr="00CB2EC4">
              <w:rPr>
                <w:rFonts w:ascii="Times New Roman" w:hAnsi="Times New Roman" w:cs="Times New Roman"/>
              </w:rPr>
              <w:br/>
              <w:t xml:space="preserve">- Lymph node dissection order: stripping of the external iliac artery sheath (dissection of superficial external iliac lymph nodes) → dissection of inguinal lymph nodes → stripping of the external iliac vein sheath (dissection of deep external iliac lymph nodes) → dissection of obturator lymph nodes → dissection of internal iliac lymph nodes (at which point the internal iliac artery and vein sheath is stripped) → </w:t>
            </w:r>
            <w:r w:rsidRPr="00CB2EC4">
              <w:rPr>
                <w:rFonts w:ascii="Times New Roman" w:hAnsi="Times New Roman" w:cs="Times New Roman"/>
              </w:rPr>
              <w:lastRenderedPageBreak/>
              <w:t xml:space="preserve">dissection of transverse cervical ligament lymph nodes, etc.  </w:t>
            </w:r>
            <w:r w:rsidRPr="00CB2EC4">
              <w:rPr>
                <w:rFonts w:ascii="Times New Roman" w:hAnsi="Times New Roman" w:cs="Times New Roman"/>
              </w:rPr>
              <w:br/>
              <w:t xml:space="preserve">- The stripping procedure should be carried out under good visual field conditions; avoid changing direction when exposing vessels at the same depth to reserve space for repair (similarity: 0.434).  </w:t>
            </w:r>
            <w:r w:rsidRPr="00CB2EC4">
              <w:rPr>
                <w:rFonts w:ascii="Times New Roman" w:hAnsi="Times New Roman" w:cs="Times New Roman"/>
              </w:rPr>
              <w:br/>
              <w:t>- This step is a core part of lymph node dissection, aimed at thoroughly removing metastatic lymph nodes while preserving neural structures.</w:t>
            </w:r>
          </w:p>
        </w:tc>
        <w:tc>
          <w:tcPr>
            <w:tcW w:w="1152" w:type="dxa"/>
            <w:vAlign w:val="center"/>
          </w:tcPr>
          <w:p w14:paraId="10C665C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63B413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A40834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762A38D1" w14:textId="77777777" w:rsidTr="00547D77">
        <w:tc>
          <w:tcPr>
            <w:tcW w:w="10656" w:type="dxa"/>
            <w:gridSpan w:val="5"/>
            <w:tcBorders>
              <w:bottom w:val="single" w:sz="6" w:space="0" w:color="auto"/>
            </w:tcBorders>
            <w:vAlign w:val="center"/>
          </w:tcPr>
          <w:p w14:paraId="02EDC1A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121: Why is laparoscopy the preferred approach for para-aortic lymphadenectomy?</w:t>
            </w:r>
          </w:p>
        </w:tc>
      </w:tr>
      <w:tr w:rsidR="00916494" w:rsidRPr="00CB2EC4" w14:paraId="53A83AA4" w14:textId="77777777" w:rsidTr="00547D77">
        <w:tc>
          <w:tcPr>
            <w:tcW w:w="2160" w:type="dxa"/>
            <w:vAlign w:val="center"/>
          </w:tcPr>
          <w:p w14:paraId="4CD2A96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8B8DDF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why is laparoscopy preferred for para-aortic lymph node dissection?</w:t>
            </w:r>
            <w:r w:rsidRPr="00CB2EC4">
              <w:rPr>
                <w:rFonts w:ascii="Times New Roman" w:hAnsi="Times New Roman" w:cs="Times New Roman"/>
              </w:rPr>
              <w:br/>
            </w:r>
            <w:r w:rsidRPr="00CB2EC4">
              <w:rPr>
                <w:rFonts w:ascii="Times New Roman" w:hAnsi="Times New Roman" w:cs="Times New Roman"/>
              </w:rPr>
              <w:br/>
              <w:t>No answer found in the knowledge base.</w:t>
            </w:r>
          </w:p>
        </w:tc>
        <w:tc>
          <w:tcPr>
            <w:tcW w:w="1152" w:type="dxa"/>
            <w:vAlign w:val="center"/>
          </w:tcPr>
          <w:p w14:paraId="7727D32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DDD30A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9A03F4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36722A2A" w14:textId="77777777" w:rsidTr="00547D77">
        <w:tc>
          <w:tcPr>
            <w:tcW w:w="2160" w:type="dxa"/>
            <w:vAlign w:val="center"/>
          </w:tcPr>
          <w:p w14:paraId="77DE9A17"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1CA4F8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3958D81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067989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156B53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239BA49F" w14:textId="77777777" w:rsidTr="00547D77">
        <w:tc>
          <w:tcPr>
            <w:tcW w:w="10656" w:type="dxa"/>
            <w:gridSpan w:val="5"/>
            <w:tcBorders>
              <w:bottom w:val="single" w:sz="6" w:space="0" w:color="auto"/>
            </w:tcBorders>
            <w:vAlign w:val="center"/>
          </w:tcPr>
          <w:p w14:paraId="54C84F6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122: In a nerve-sparing radical hysterectomy, what is the primary purpose of developing Latzko's pararectal space?</w:t>
            </w:r>
          </w:p>
        </w:tc>
      </w:tr>
      <w:tr w:rsidR="00916494" w:rsidRPr="00CB2EC4" w14:paraId="0C57E5C2" w14:textId="77777777" w:rsidTr="00547D77">
        <w:tc>
          <w:tcPr>
            <w:tcW w:w="2160" w:type="dxa"/>
            <w:vAlign w:val="center"/>
          </w:tcPr>
          <w:p w14:paraId="25073F0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20AC70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main purpose of dissecting the Latzko rectal lateral space during nerve-sparing radical hysterectomy is to expose and divide the origin of the transverse cervical ligament, facilitating thorough dissection of its vascular branches while avoiding nerve injury, and providing a safe pathway for subsequent procedures such as separation of the uterine deep veins.</w:t>
            </w:r>
            <w:r w:rsidRPr="00CB2EC4">
              <w:rPr>
                <w:rFonts w:ascii="Times New Roman" w:hAnsi="Times New Roman" w:cs="Times New Roman"/>
              </w:rPr>
              <w:br/>
            </w:r>
            <w:r w:rsidRPr="00CB2EC4">
              <w:rPr>
                <w:rFonts w:ascii="Times New Roman" w:hAnsi="Times New Roman" w:cs="Times New Roman"/>
              </w:rPr>
              <w:br/>
              <w:t>based on the document details:</w:t>
            </w:r>
            <w:r w:rsidRPr="00CB2EC4">
              <w:rPr>
                <w:rFonts w:ascii="Times New Roman" w:hAnsi="Times New Roman" w:cs="Times New Roman"/>
              </w:rPr>
              <w:br/>
              <w:t>- in the [similarity: 0.590] section, it states: “dissecting the Latzko rectal lateral space... is advantageous for exposing and dividing the origin of the transverse cervical ligament.”</w:t>
            </w:r>
            <w:r w:rsidRPr="00CB2EC4">
              <w:rPr>
                <w:rFonts w:ascii="Times New Roman" w:hAnsi="Times New Roman" w:cs="Times New Roman"/>
              </w:rPr>
              <w:br/>
              <w:t xml:space="preserve">- in the [similarity: 0.548] section, it further explains: </w:t>
            </w:r>
            <w:r w:rsidRPr="00CB2EC4">
              <w:rPr>
                <w:rFonts w:ascii="Times New Roman" w:hAnsi="Times New Roman" w:cs="Times New Roman"/>
              </w:rPr>
              <w:lastRenderedPageBreak/>
              <w:t>“the purpose of dissecting the Latzko rectal lateral space... is to individually expose the vascular branches within the transverse cervical ligament... to avoid mass ligation (Massengigatur).”</w:t>
            </w:r>
            <w:r w:rsidRPr="00CB2EC4">
              <w:rPr>
                <w:rFonts w:ascii="Times New Roman" w:hAnsi="Times New Roman" w:cs="Times New Roman"/>
              </w:rPr>
              <w:br/>
              <w:t>- in the [similarity: 0.508] section, it emphasizes: “the introduction of the Latzko technique aims to dissect the Latzko rectal lateral space and the bladder lateral space, fully exposing the origin of the transverse cervical ligament, thereby enabling more thorough dissection at this site.”</w:t>
            </w:r>
            <w:r w:rsidRPr="00CB2EC4">
              <w:rPr>
                <w:rFonts w:ascii="Times New Roman" w:hAnsi="Times New Roman" w:cs="Times New Roman"/>
              </w:rPr>
              <w:br/>
            </w:r>
            <w:r w:rsidRPr="00CB2EC4">
              <w:rPr>
                <w:rFonts w:ascii="Times New Roman" w:hAnsi="Times New Roman" w:cs="Times New Roman"/>
              </w:rPr>
              <w:br/>
              <w:t>in summary, the document clearly indicates that the core objective of dissecting the Latzko rectal lateral space is to expose the origin of the transverse cervical ligament, enabling precise management of vessels (e.g., uterine deep veins) and supporting nerve-sparing surgical strategies (e.g., avoiding injury to the pelvic splanchnic nerves).</w:t>
            </w:r>
          </w:p>
        </w:tc>
        <w:tc>
          <w:tcPr>
            <w:tcW w:w="1152" w:type="dxa"/>
            <w:vAlign w:val="center"/>
          </w:tcPr>
          <w:p w14:paraId="1281B08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5D2CB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8938E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2F2CFD3" w14:textId="77777777" w:rsidTr="00547D77">
        <w:tc>
          <w:tcPr>
            <w:tcW w:w="2160" w:type="dxa"/>
            <w:vAlign w:val="center"/>
          </w:tcPr>
          <w:p w14:paraId="23160B09"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FB21DA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main purpose of dissecting the Latzko rectal lateral space during a nerve-sparing radical hysterectomy is to fully expose the origin of the transverse cervical ligament, enabling more thorough dissection in this area while avoiding injury to critical structures such as the sacral venous plexus. This facilitates systematic surgical steps in nerve-sparing procedures and reduces the risk of complications.</w:t>
            </w:r>
            <w:r w:rsidRPr="00CB2EC4">
              <w:rPr>
                <w:rFonts w:ascii="Times New Roman" w:hAnsi="Times New Roman" w:cs="Times New Roman"/>
              </w:rPr>
              <w:br/>
            </w:r>
            <w:r w:rsidRPr="00CB2EC4">
              <w:rPr>
                <w:rFonts w:ascii="Times New Roman" w:hAnsi="Times New Roman" w:cs="Times New Roman"/>
              </w:rPr>
              <w:br/>
              <w:t>- Key evidence:</w:t>
            </w:r>
            <w:r w:rsidRPr="00CB2EC4">
              <w:rPr>
                <w:rFonts w:ascii="Times New Roman" w:hAnsi="Times New Roman" w:cs="Times New Roman"/>
              </w:rPr>
              <w:br/>
              <w:t xml:space="preserve">  - Document excerpt [similarity: 0.563] states: “The introduction of the Latzko technique aims to dissect the Latzko rectal lateral space and the bladder lateral space, fully exposing the origin of the transverse cervical ligament, thereby allowing more thorough dissection in this region.”</w:t>
            </w:r>
            <w:r w:rsidRPr="00CB2EC4">
              <w:rPr>
                <w:rFonts w:ascii="Times New Roman" w:hAnsi="Times New Roman" w:cs="Times New Roman"/>
              </w:rPr>
              <w:br/>
            </w:r>
            <w:r w:rsidRPr="00CB2EC4">
              <w:rPr>
                <w:rFonts w:ascii="Times New Roman" w:hAnsi="Times New Roman" w:cs="Times New Roman"/>
              </w:rPr>
              <w:lastRenderedPageBreak/>
              <w:t xml:space="preserve">  - Excerpt [similarity: 0.545] notes: “By exploring the cranial compartment of the Latzko rectal lateral space, the origin of the transverse cervical ligament can be exposed.”</w:t>
            </w:r>
            <w:r w:rsidRPr="00CB2EC4">
              <w:rPr>
                <w:rFonts w:ascii="Times New Roman" w:hAnsi="Times New Roman" w:cs="Times New Roman"/>
              </w:rPr>
              <w:br/>
              <w:t xml:space="preserve">  - Excerpt [similarity: 0.569] emphasizes: Dissecting the Latzko rectal lateral space helps prevent injury to the sacral venous plexus and the common trunk of the inferior gluteal and pudendal nerves, which is critical for accident prevention.</w:t>
            </w:r>
            <w:r w:rsidRPr="00CB2EC4">
              <w:rPr>
                <w:rFonts w:ascii="Times New Roman" w:hAnsi="Times New Roman" w:cs="Times New Roman"/>
              </w:rPr>
              <w:br/>
            </w:r>
            <w:r w:rsidRPr="00CB2EC4">
              <w:rPr>
                <w:rFonts w:ascii="Times New Roman" w:hAnsi="Times New Roman" w:cs="Times New Roman"/>
              </w:rPr>
              <w:br/>
              <w:t>Answer: The main purpose of dissecting the Latzko rectal lateral space is to fully expose the origin of the transverse cervical ligament for thorough dissection and to reduce surgical risks such as bleeding or nerve injury.</w:t>
            </w:r>
          </w:p>
        </w:tc>
        <w:tc>
          <w:tcPr>
            <w:tcW w:w="1152" w:type="dxa"/>
            <w:vAlign w:val="center"/>
          </w:tcPr>
          <w:p w14:paraId="0F28712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D89A4B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808EC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45BC2D1" w14:textId="77777777" w:rsidTr="00547D77">
        <w:tc>
          <w:tcPr>
            <w:tcW w:w="10656" w:type="dxa"/>
            <w:gridSpan w:val="5"/>
            <w:tcBorders>
              <w:bottom w:val="single" w:sz="6" w:space="0" w:color="auto"/>
            </w:tcBorders>
            <w:vAlign w:val="center"/>
          </w:tcPr>
          <w:p w14:paraId="081B8F7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123: According to Okabayashi's technique, what three-dimensional geometric structure is formed by the posterior layer of the vesicouterine ligament, the lateral border of the cervix, and the lateral border of the bladder? Compared to the two-dimensional planar understanding of Kobayashi and Mahigara, what is the key difference of this three-dimensional structure?</w:t>
            </w:r>
          </w:p>
        </w:tc>
      </w:tr>
      <w:tr w:rsidR="00916494" w:rsidRPr="00CB2EC4" w14:paraId="58D31FFB" w14:textId="77777777" w:rsidTr="00547D77">
        <w:tc>
          <w:tcPr>
            <w:tcW w:w="2160" w:type="dxa"/>
            <w:vAlign w:val="center"/>
          </w:tcPr>
          <w:p w14:paraId="6F4D85B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C0ED93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according to the Okabayashi method, the posterior layer of the vesicouterine ligament, the lateral margin of the uterine cervix, and the lateral margin of the bladder together form a three-dimensional geometric structure resembling a vertical connective tissue bundle connecting the transverse cervical ligament and the bladder, constituting a neurovascular complex (including the superior vesical vein and vesical nerve branches). Compared to the two-dimensional planar understanding of Kobayashi and Makabe, the key distinction lies in the Okabayashi method's emphasis on three-dimensional spatial relationships (such as the multi-directional extension and folding of the ligament), whereas Kobayashi and Makabe's descriptions are simplified planar models (e.g., roof-</w:t>
            </w:r>
            <w:r w:rsidRPr="00CB2EC4">
              <w:rPr>
                <w:rFonts w:ascii="Times New Roman" w:hAnsi="Times New Roman" w:cs="Times New Roman"/>
              </w:rPr>
              <w:lastRenderedPageBreak/>
              <w:t>like or sandwich-like layering).</w:t>
            </w:r>
            <w:r w:rsidRPr="00CB2EC4">
              <w:rPr>
                <w:rFonts w:ascii="Times New Roman" w:hAnsi="Times New Roman" w:cs="Times New Roman"/>
              </w:rPr>
              <w:br/>
            </w:r>
            <w:r w:rsidRPr="00CB2EC4">
              <w:rPr>
                <w:rFonts w:ascii="Times New Roman" w:hAnsi="Times New Roman" w:cs="Times New Roman"/>
              </w:rPr>
              <w:br/>
              <w:t>based on document details:</w:t>
            </w:r>
            <w:r w:rsidRPr="00CB2EC4">
              <w:rPr>
                <w:rFonts w:ascii="Times New Roman" w:hAnsi="Times New Roman" w:cs="Times New Roman"/>
              </w:rPr>
              <w:br/>
              <w:t>- three-dimensional geometric form: in the [similarity: 0.490] section, it is described: "Okabayashi divides the vesicouterine ligament into anterior and posterior layers... the posterior layer is also called the vesicovaginal ligament... it should refer to the ligament connecting the transverse cervical ligament and the bladder." in the [similarity: 0.477] section, it is supplemented: "the posterior layer of the vesicouterine ligament... is a connective tissue bundle linking the transverse cervical ligament and the bladder," forming a vertical or oblique three-dimensional structure involving the three-dimensional course of neurovascular bundles (such as the superior vesical vein and vesical nerve branches).</w:t>
            </w:r>
            <w:r w:rsidRPr="00CB2EC4">
              <w:rPr>
                <w:rFonts w:ascii="Times New Roman" w:hAnsi="Times New Roman" w:cs="Times New Roman"/>
              </w:rPr>
              <w:br/>
              <w:t>- comparison with Kobayashi and Makabe's two-dimensional understanding:</w:t>
            </w:r>
            <w:r w:rsidRPr="00CB2EC4">
              <w:rPr>
                <w:rFonts w:ascii="Times New Roman" w:hAnsi="Times New Roman" w:cs="Times New Roman"/>
              </w:rPr>
              <w:br/>
              <w:t xml:space="preserve">  - Kobayashi method: in the [similarity: 0.490] section, described as "covering the ureter like the roof of a house," a two-dimensional planar covering model simplifying the structure to a single or double layer.</w:t>
            </w:r>
            <w:r w:rsidRPr="00CB2EC4">
              <w:rPr>
                <w:rFonts w:ascii="Times New Roman" w:hAnsi="Times New Roman" w:cs="Times New Roman"/>
              </w:rPr>
              <w:br/>
              <w:t xml:space="preserve">  - Makabe method: in the [similarity: 0.490] section, described as "sandwiching the ureter like a sandwich," also a two-dimensional planar layered model emphasizing anterior-posterior relations without three-dimensional depth.</w:t>
            </w:r>
            <w:r w:rsidRPr="00CB2EC4">
              <w:rPr>
                <w:rFonts w:ascii="Times New Roman" w:hAnsi="Times New Roman" w:cs="Times New Roman"/>
              </w:rPr>
              <w:br/>
              <w:t xml:space="preserve">  - key distinction: the Okabayashi method's three-dimensional form is more complex, involving multi-directional connections (e.g., cephalocaudal, ventrodorsal), facilitating intraoperative separation of nerves and vessels; whereas Kobayashi and Makabe's two-dimensional models ignore depth and folding </w:t>
            </w:r>
            <w:r w:rsidRPr="00CB2EC4">
              <w:rPr>
                <w:rFonts w:ascii="Times New Roman" w:hAnsi="Times New Roman" w:cs="Times New Roman"/>
              </w:rPr>
              <w:lastRenderedPageBreak/>
              <w:t>relationships, potentially leading to imprecise nerve preservation or increased risk of injury during surgery. the document summarizes in the [similarity: 0.590] section: "the Okabayashi method is three-dimensional... clarifying their stereoscopic structure with the transverse cervical ligament," highlighting this distinction.</w:t>
            </w:r>
          </w:p>
        </w:tc>
        <w:tc>
          <w:tcPr>
            <w:tcW w:w="1152" w:type="dxa"/>
            <w:vAlign w:val="center"/>
          </w:tcPr>
          <w:p w14:paraId="30B05EB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92E416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E8F419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21B67CA5" w14:textId="77777777" w:rsidTr="00547D77">
        <w:tc>
          <w:tcPr>
            <w:tcW w:w="2160" w:type="dxa"/>
            <w:vAlign w:val="center"/>
          </w:tcPr>
          <w:p w14:paraId="367EC4F7"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3856F6F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Okabayashi technique, the posterior layer of the vesicouterine ligament, the lateral margin of the uterine cervix, and the lateral margin of the bladder together form a three-dimensional geometric structure. This structure involves multiple spaces (such as the paravaginal space and the paravesical space) and the layered arrangement of ligaments, creating a complex, network-like or composite geometric body. Compared to the two-dimensional planar understanding of Kobayashi and Magara, the key distinction lies in the Okabayashi technique's emphasis on depth and layered separation (three-dimensional), whereas Kobayashi and Magara describe flat, parallel attachments (two-dimensional) that lack three-dimensionality.</w:t>
            </w:r>
            <w:r w:rsidRPr="00CB2EC4">
              <w:rPr>
                <w:rFonts w:ascii="Times New Roman" w:hAnsi="Times New Roman" w:cs="Times New Roman"/>
              </w:rPr>
              <w:br/>
            </w:r>
            <w:r w:rsidRPr="00CB2EC4">
              <w:rPr>
                <w:rFonts w:ascii="Times New Roman" w:hAnsi="Times New Roman" w:cs="Times New Roman"/>
              </w:rPr>
              <w:br/>
              <w:t>- Three-dimensional geometric morphology:</w:t>
            </w:r>
            <w:r w:rsidRPr="00CB2EC4">
              <w:rPr>
                <w:rFonts w:ascii="Times New Roman" w:hAnsi="Times New Roman" w:cs="Times New Roman"/>
              </w:rPr>
              <w:br/>
              <w:t xml:space="preserve">  - Document excerpt [similarity: 0.546] describes the Okabayashi technique as "three-dimensional," involving the dissection of the paravaginal and paravesical spaces, separation of the anterior and posterior layers of the vesicouterine ligament, and clarification of their stereoscopic relationship with the transverse cervical ligament.</w:t>
            </w:r>
            <w:r w:rsidRPr="00CB2EC4">
              <w:rPr>
                <w:rFonts w:ascii="Times New Roman" w:hAnsi="Times New Roman" w:cs="Times New Roman"/>
              </w:rPr>
              <w:br/>
              <w:t xml:space="preserve">  - Excerpt [similarity: 0.522] states: The Okabayashi technique forms "a septum composed of two layers of visceral fascia" through space dissection, with the </w:t>
            </w:r>
            <w:r w:rsidRPr="00CB2EC4">
              <w:rPr>
                <w:rFonts w:ascii="Times New Roman" w:hAnsi="Times New Roman" w:cs="Times New Roman"/>
              </w:rPr>
              <w:lastRenderedPageBreak/>
              <w:t>ureter and nerves situated between the layers, constituting a stereoscopic framework.</w:t>
            </w:r>
            <w:r w:rsidRPr="00CB2EC4">
              <w:rPr>
                <w:rFonts w:ascii="Times New Roman" w:hAnsi="Times New Roman" w:cs="Times New Roman"/>
              </w:rPr>
              <w:br/>
              <w:t xml:space="preserve">  - Specific morphology: The posterior layer of the vesicouterine ligament connects the transverse cervical ligament and the bladder, forming an interlaced three-dimensional space with the lateral margin of the uterine cervix and the lateral margin of the bladder, involving layered and independent handling of ligaments (as described in excerpt [similarity: 0.516]).</w:t>
            </w:r>
            <w:r w:rsidRPr="00CB2EC4">
              <w:rPr>
                <w:rFonts w:ascii="Times New Roman" w:hAnsi="Times New Roman" w:cs="Times New Roman"/>
              </w:rPr>
              <w:br/>
            </w:r>
            <w:r w:rsidRPr="00CB2EC4">
              <w:rPr>
                <w:rFonts w:ascii="Times New Roman" w:hAnsi="Times New Roman" w:cs="Times New Roman"/>
              </w:rPr>
              <w:br/>
              <w:t>- Key distinction:</w:t>
            </w:r>
            <w:r w:rsidRPr="00CB2EC4">
              <w:rPr>
                <w:rFonts w:ascii="Times New Roman" w:hAnsi="Times New Roman" w:cs="Times New Roman"/>
              </w:rPr>
              <w:br/>
              <w:t xml:space="preserve">  - Okabayashi technique (three-dimensional): Emphasizes anatomical layers and depth, with clear stratification of ligaments (anterior and posterior layers), and operations based on dissected spaces (e.g., paravaginal space), establishing stereoscopic geometric relationships.</w:t>
            </w:r>
            <w:r w:rsidRPr="00CB2EC4">
              <w:rPr>
                <w:rFonts w:ascii="Times New Roman" w:hAnsi="Times New Roman" w:cs="Times New Roman"/>
              </w:rPr>
              <w:br/>
              <w:t xml:space="preserve">  - Kobayashi and Magara (two-dimensional): Kobayashi describes it as "like a civilian house roof" covering the ureter (excerpt [similarity: 0.518]), and Magara describes it as "sandwich-like,</w:t>
            </w:r>
            <w:r w:rsidRPr="00CB2EC4">
              <w:rPr>
                <w:rFonts w:ascii="Times New Roman" w:eastAsia="微软雅黑" w:hAnsi="Times New Roman" w:cs="Times New Roman"/>
              </w:rPr>
              <w:t>夹</w:t>
            </w:r>
            <w:r w:rsidRPr="00CB2EC4">
              <w:rPr>
                <w:rFonts w:ascii="Times New Roman" w:eastAsia="MS Mincho" w:hAnsi="Times New Roman" w:cs="Times New Roman"/>
              </w:rPr>
              <w:t>着</w:t>
            </w:r>
            <w:r w:rsidRPr="00CB2EC4">
              <w:rPr>
                <w:rFonts w:ascii="Times New Roman" w:hAnsi="Times New Roman" w:cs="Times New Roman"/>
              </w:rPr>
              <w:t xml:space="preserve"> the ureter" with parallel attachment to the lateral aspect of the uterine cervix/vagina (excerpt [similarity: 0.518]), lacking the concept of depth and representing planar attachments.</w:t>
            </w:r>
            <w:r w:rsidRPr="00CB2EC4">
              <w:rPr>
                <w:rFonts w:ascii="Times New Roman" w:hAnsi="Times New Roman" w:cs="Times New Roman"/>
              </w:rPr>
              <w:br/>
              <w:t xml:space="preserve">  - Core difference: The Okabayashi technique allows for more precise nerve preservation and vascular management, while the two-dimensional understanding may lead to unsystematic procedures and increased risk of injury due to its lack of three-dimensionality (excerpt [similarity: 0.518] notes that the two-dimensional description "lacks stereoscopic </w:t>
            </w:r>
            <w:r w:rsidRPr="00CB2EC4">
              <w:rPr>
                <w:rFonts w:ascii="Times New Roman" w:hAnsi="Times New Roman" w:cs="Times New Roman"/>
              </w:rPr>
              <w:lastRenderedPageBreak/>
              <w:t>quality").</w:t>
            </w:r>
            <w:r w:rsidRPr="00CB2EC4">
              <w:rPr>
                <w:rFonts w:ascii="Times New Roman" w:hAnsi="Times New Roman" w:cs="Times New Roman"/>
              </w:rPr>
              <w:br/>
            </w:r>
            <w:r w:rsidRPr="00CB2EC4">
              <w:rPr>
                <w:rFonts w:ascii="Times New Roman" w:hAnsi="Times New Roman" w:cs="Times New Roman"/>
              </w:rPr>
              <w:br/>
              <w:t>Summary: In the Okabayashi technique, these structures collectively constitute a three-dimensional geometric morphology involving ligament stratification and interlaced spatial relationships (e.g., septum-like network). Compared to the two-dimensional planar understanding of Kobayashi (roof-like) and Magara (sandwich-like), the key distinction is that Okabayashi emphasizes depth and layering (three-dimensional stereoscopic structure), while Kobayashi and Magara's descriptions are flat, parallel attachments lacking three-dimensionality, affecting surgical precision and nerve preservation outcomes.</w:t>
            </w:r>
          </w:p>
        </w:tc>
        <w:tc>
          <w:tcPr>
            <w:tcW w:w="1152" w:type="dxa"/>
            <w:vAlign w:val="center"/>
          </w:tcPr>
          <w:p w14:paraId="7B4D6D9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4734B5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1D6B9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3C468914" w14:textId="77777777" w:rsidTr="00547D77">
        <w:tc>
          <w:tcPr>
            <w:tcW w:w="10656" w:type="dxa"/>
            <w:gridSpan w:val="5"/>
            <w:tcBorders>
              <w:bottom w:val="single" w:sz="6" w:space="0" w:color="auto"/>
            </w:tcBorders>
            <w:vAlign w:val="center"/>
          </w:tcPr>
          <w:p w14:paraId="70D87D2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124: What are the anatomical features of the anterior and posterior layers of the vesicouterine ligament? How should the anterior and posterior layers of the vesicouterine ligament be separated?</w:t>
            </w:r>
          </w:p>
        </w:tc>
      </w:tr>
      <w:tr w:rsidR="00916494" w:rsidRPr="00CB2EC4" w14:paraId="71528EBE" w14:textId="77777777" w:rsidTr="00547D77">
        <w:tc>
          <w:tcPr>
            <w:tcW w:w="2160" w:type="dxa"/>
            <w:vAlign w:val="center"/>
          </w:tcPr>
          <w:p w14:paraId="79058F6A"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55BDCD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anatomical characteristics:</w:t>
            </w:r>
            <w:r w:rsidRPr="00CB2EC4">
              <w:rPr>
                <w:rFonts w:ascii="Times New Roman" w:hAnsi="Times New Roman" w:cs="Times New Roman"/>
              </w:rPr>
              <w:br/>
              <w:t>- anterior layer: connects the cervix uteri to the bladder, equivalent to the ureteric roof in Western anatomy; it is thin in structure and covers the ureter, with underlying vessels often visible through the tissue.</w:t>
            </w:r>
            <w:r w:rsidRPr="00CB2EC4">
              <w:rPr>
                <w:rFonts w:ascii="Times New Roman" w:hAnsi="Times New Roman" w:cs="Times New Roman"/>
              </w:rPr>
              <w:br/>
              <w:t>- posterior layer: also known as the vesicovaginal ligament, connects the transverse cervical ligament to the bladder; it is thicker in structure and contains the neurovascular bundle (including the superior vesical vein and vesical nerve branches), closely related to the pelvic plexus.</w:t>
            </w:r>
            <w:r w:rsidRPr="00CB2EC4">
              <w:rPr>
                <w:rFonts w:ascii="Times New Roman" w:hAnsi="Times New Roman" w:cs="Times New Roman"/>
              </w:rPr>
              <w:br/>
            </w:r>
            <w:r w:rsidRPr="00CB2EC4">
              <w:rPr>
                <w:rFonts w:ascii="Times New Roman" w:hAnsi="Times New Roman" w:cs="Times New Roman"/>
              </w:rPr>
              <w:br/>
              <w:t>separation method (following the Okabayashi technique):</w:t>
            </w:r>
            <w:r w:rsidRPr="00CB2EC4">
              <w:rPr>
                <w:rFonts w:ascii="Times New Roman" w:hAnsi="Times New Roman" w:cs="Times New Roman"/>
              </w:rPr>
              <w:br/>
              <w:t xml:space="preserve">1. separate the anterior layer first by identifying and dissecting the entrance of the ureteric tunnel to expose </w:t>
            </w:r>
            <w:r w:rsidRPr="00CB2EC4">
              <w:rPr>
                <w:rFonts w:ascii="Times New Roman" w:hAnsi="Times New Roman" w:cs="Times New Roman"/>
              </w:rPr>
              <w:lastRenderedPageBreak/>
              <w:t>the ureter.</w:t>
            </w:r>
            <w:r w:rsidRPr="00CB2EC4">
              <w:rPr>
                <w:rFonts w:ascii="Times New Roman" w:hAnsi="Times New Roman" w:cs="Times New Roman"/>
              </w:rPr>
              <w:br/>
              <w:t>2. then separate the posterior layer by extending the paravesical space laterally along the vaginal side, carefully managing the neurovascular bundle to avoid blind clamping or injury to the venous plexus and nerve branches.</w:t>
            </w:r>
            <w:r w:rsidRPr="00CB2EC4">
              <w:rPr>
                <w:rFonts w:ascii="Times New Roman" w:hAnsi="Times New Roman" w:cs="Times New Roman"/>
              </w:rPr>
              <w:br/>
            </w:r>
            <w:r w:rsidRPr="00CB2EC4">
              <w:rPr>
                <w:rFonts w:ascii="Times New Roman" w:hAnsi="Times New Roman" w:cs="Times New Roman"/>
              </w:rPr>
              <w:br/>
              <w:t>the sequence is critical: anterior layer dissection precedes posterior layer dissection to minimize the risk of ureteric or neural damage.</w:t>
            </w:r>
          </w:p>
        </w:tc>
        <w:tc>
          <w:tcPr>
            <w:tcW w:w="1152" w:type="dxa"/>
            <w:vAlign w:val="center"/>
          </w:tcPr>
          <w:p w14:paraId="10338CA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A7C22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CF2F3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02D002B" w14:textId="77777777" w:rsidTr="00547D77">
        <w:tc>
          <w:tcPr>
            <w:tcW w:w="2160" w:type="dxa"/>
            <w:vAlign w:val="center"/>
          </w:tcPr>
          <w:p w14:paraId="073AF95A"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C7C9B9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anatomical characteristics of the anterior and posterior layers of the vesicouterine ligament are as follows:  </w:t>
            </w:r>
            <w:r w:rsidRPr="00CB2EC4">
              <w:rPr>
                <w:rFonts w:ascii="Times New Roman" w:hAnsi="Times New Roman" w:cs="Times New Roman"/>
              </w:rPr>
              <w:br/>
              <w:t xml:space="preserve">- Anterior layer: Connects the cervix and the bladder, equivalent to the "top of the ureteral tunnel"; it is relatively thin.  </w:t>
            </w:r>
            <w:r w:rsidRPr="00CB2EC4">
              <w:rPr>
                <w:rFonts w:ascii="Times New Roman" w:hAnsi="Times New Roman" w:cs="Times New Roman"/>
              </w:rPr>
              <w:br/>
              <w:t xml:space="preserve">- Posterior layer: Connects the transverse cervical ligament and the bladder; it is a connective tissue bundle containing the neurovascular bundle (e.g., superior vesical vein and vesical nerve branches) and has a more complex structure.  </w:t>
            </w:r>
            <w:r w:rsidRPr="00CB2EC4">
              <w:rPr>
                <w:rFonts w:ascii="Times New Roman" w:hAnsi="Times New Roman" w:cs="Times New Roman"/>
              </w:rPr>
              <w:br/>
              <w:t xml:space="preserve">- Overall: The two layers form a composite structure, with the posterior layer being particularly critical for nerve preservation.  </w:t>
            </w:r>
            <w:r w:rsidRPr="00CB2EC4">
              <w:rPr>
                <w:rFonts w:ascii="Times New Roman" w:hAnsi="Times New Roman" w:cs="Times New Roman"/>
              </w:rPr>
              <w:br/>
            </w:r>
            <w:r w:rsidRPr="00CB2EC4">
              <w:rPr>
                <w:rFonts w:ascii="Times New Roman" w:hAnsi="Times New Roman" w:cs="Times New Roman"/>
              </w:rPr>
              <w:br/>
              <w:t xml:space="preserve">The method for separating the anterior and posterior layers of the vesicouterine ligament is:  </w:t>
            </w:r>
            <w:r w:rsidRPr="00CB2EC4">
              <w:rPr>
                <w:rFonts w:ascii="Times New Roman" w:hAnsi="Times New Roman" w:cs="Times New Roman"/>
              </w:rPr>
              <w:br/>
              <w:t xml:space="preserve">- Steps: First, develop the paravesical space, then insert Cooper scissors into the space to expand it, dissect free the posterior layer remnant, and finally clamp and cut it.  </w:t>
            </w:r>
            <w:r w:rsidRPr="00CB2EC4">
              <w:rPr>
                <w:rFonts w:ascii="Times New Roman" w:hAnsi="Times New Roman" w:cs="Times New Roman"/>
              </w:rPr>
              <w:br/>
              <w:t xml:space="preserve">- Note: The procedure requires meticulous technique to avoid venous bleeding.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Response: Anatomically, the anterior layer connects the cervix and bladder (similar to the top of the ureteral tunnel), while the posterior layer connects the transverse cervical ligament and bladder (containing the neurovascular bundle). For separation, first develop the paravesical space, use Cooper scissors to expand the space, dissect free the posterior layer remnant, then clamp and cut it.</w:t>
            </w:r>
          </w:p>
        </w:tc>
        <w:tc>
          <w:tcPr>
            <w:tcW w:w="1152" w:type="dxa"/>
            <w:vAlign w:val="center"/>
          </w:tcPr>
          <w:p w14:paraId="53696B3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42C69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2C87B3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CF08482" w14:textId="77777777" w:rsidTr="00547D77">
        <w:tc>
          <w:tcPr>
            <w:tcW w:w="10656" w:type="dxa"/>
            <w:gridSpan w:val="5"/>
            <w:tcBorders>
              <w:bottom w:val="single" w:sz="6" w:space="0" w:color="auto"/>
            </w:tcBorders>
            <w:vAlign w:val="center"/>
          </w:tcPr>
          <w:p w14:paraId="696C5B1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125: When transecting the deep uterine vein, what is the significance of the rectouterine ligament as an anatomical landmark?</w:t>
            </w:r>
          </w:p>
        </w:tc>
      </w:tr>
      <w:tr w:rsidR="00916494" w:rsidRPr="00CB2EC4" w14:paraId="3DB67789" w14:textId="77777777" w:rsidTr="00547D77">
        <w:tc>
          <w:tcPr>
            <w:tcW w:w="2160" w:type="dxa"/>
            <w:vAlign w:val="center"/>
          </w:tcPr>
          <w:p w14:paraId="32185DA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BCE5F6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as an anatomical landmark, the rectouterine ligament plays a role in localization and guidance during the incision of the uterine deep vein. it helps identify the attachment point of the uterine deep vein, avoids accidental injury to surrounding venous plexuses (such as the middle rectal vein or the sacral venous plexus), and ensures precise dissection to preserve neural structures.</w:t>
            </w:r>
            <w:r w:rsidRPr="00CB2EC4">
              <w:rPr>
                <w:rFonts w:ascii="Times New Roman" w:hAnsi="Times New Roman" w:cs="Times New Roman"/>
              </w:rPr>
              <w:br/>
            </w:r>
            <w:r w:rsidRPr="00CB2EC4">
              <w:rPr>
                <w:rFonts w:ascii="Times New Roman" w:hAnsi="Times New Roman" w:cs="Times New Roman"/>
              </w:rPr>
              <w:br/>
              <w:t>based on document details:</w:t>
            </w:r>
            <w:r w:rsidRPr="00CB2EC4">
              <w:rPr>
                <w:rFonts w:ascii="Times New Roman" w:hAnsi="Times New Roman" w:cs="Times New Roman"/>
              </w:rPr>
              <w:br/>
              <w:t>- in the [similarity: 0.535] section: “the uterine deep vein attaches to the lateral rectouterine ligament... dissecting the rectouterine ligament can expose the uterine deep vein.”</w:t>
            </w:r>
            <w:r w:rsidRPr="00CB2EC4">
              <w:rPr>
                <w:rFonts w:ascii="Times New Roman" w:hAnsi="Times New Roman" w:cs="Times New Roman"/>
              </w:rPr>
              <w:br/>
              <w:t>- in the [similarity: 0.548] section: “the uterine deep vein is near the rectouterine ligament... serving as a landmark, it aids in identifying the vein’s position intraoperatively to prevent unexpected bleeding.”</w:t>
            </w:r>
            <w:r w:rsidRPr="00CB2EC4">
              <w:rPr>
                <w:rFonts w:ascii="Times New Roman" w:hAnsi="Times New Roman" w:cs="Times New Roman"/>
              </w:rPr>
              <w:br/>
              <w:t>- in the [similarity: 0.531] section: “when incising the uterine deep vein, the rectouterine ligament is a key reference point to avoid damaging the inferior gluteal-pudendal common trunk or the pelvic plexus.”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in summary, the rectouterine ligament as an anatomical landmark ensures that surgery on the uterine deep vein is performed safely and accurately, reducing the risk of complications.</w:t>
            </w:r>
          </w:p>
        </w:tc>
        <w:tc>
          <w:tcPr>
            <w:tcW w:w="1152" w:type="dxa"/>
            <w:vAlign w:val="center"/>
          </w:tcPr>
          <w:p w14:paraId="672FF7E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45ECA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93873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ACE2DAA" w14:textId="77777777" w:rsidTr="00547D77">
        <w:tc>
          <w:tcPr>
            <w:tcW w:w="2160" w:type="dxa"/>
            <w:vAlign w:val="center"/>
          </w:tcPr>
          <w:p w14:paraId="1C148B9A"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B3C5BB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performing deep uterine vein dissection, the rectouterine ligament serves as an anatomical landmark to indicate the depth and position of the dissection, helps regulate the extent of the cut (such as the lower boundary) to avoid injuring nerves (e.g., the hypogastric nerve), and ensures the procedure is conducted within a safe zone.</w:t>
            </w:r>
            <w:r w:rsidRPr="00CB2EC4">
              <w:rPr>
                <w:rFonts w:ascii="Times New Roman" w:hAnsi="Times New Roman" w:cs="Times New Roman"/>
              </w:rPr>
              <w:br/>
            </w:r>
            <w:r w:rsidRPr="00CB2EC4">
              <w:rPr>
                <w:rFonts w:ascii="Times New Roman" w:hAnsi="Times New Roman" w:cs="Times New Roman"/>
              </w:rPr>
              <w:br/>
              <w:t>- Key evidence:</w:t>
            </w:r>
            <w:r w:rsidRPr="00CB2EC4">
              <w:rPr>
                <w:rFonts w:ascii="Times New Roman" w:hAnsi="Times New Roman" w:cs="Times New Roman"/>
              </w:rPr>
              <w:br/>
              <w:t xml:space="preserve">  - Document fragment [similarity: 0.542] states: “The extent of dissection of the rectouterine ligament can be adjusted at a deeper level within the excavated Okabayashi lateral rectal space. At this point, the hypogastric nerve must be dissected free.” This demonstrates the ligament’s role as a depth reference point.</w:t>
            </w:r>
            <w:r w:rsidRPr="00CB2EC4">
              <w:rPr>
                <w:rFonts w:ascii="Times New Roman" w:hAnsi="Times New Roman" w:cs="Times New Roman"/>
              </w:rPr>
              <w:br/>
              <w:t xml:space="preserve">  - Figure 135 in fragment [similarity: 0.542] describes: During deep uterine vein dissection, the rectouterine ligament aids in localization, ensuring the dissection does not extend beyond the lower margin of the deep uterine vein (to avoid injury to the pelvic plexus nerve).</w:t>
            </w:r>
            <w:r w:rsidRPr="00CB2EC4">
              <w:rPr>
                <w:rFonts w:ascii="Times New Roman" w:hAnsi="Times New Roman" w:cs="Times New Roman"/>
              </w:rPr>
              <w:br/>
              <w:t xml:space="preserve">  - Significance: The ligament acts as a landmark to assist navigation in complex anatomy, especially when dealing with dorsal vessels of the deep uterine vein (fragment [similarity: 0.546] notes dorsal vessels exist and require careful handling).</w:t>
            </w:r>
            <w:r w:rsidRPr="00CB2EC4">
              <w:rPr>
                <w:rFonts w:ascii="Times New Roman" w:hAnsi="Times New Roman" w:cs="Times New Roman"/>
              </w:rPr>
              <w:br/>
            </w:r>
            <w:r w:rsidRPr="00CB2EC4">
              <w:rPr>
                <w:rFonts w:ascii="Times New Roman" w:hAnsi="Times New Roman" w:cs="Times New Roman"/>
              </w:rPr>
              <w:br/>
              <w:t xml:space="preserve">Summary: The rectouterine ligament serves as an anatomical landmark during deep uterine vein </w:t>
            </w:r>
            <w:r w:rsidRPr="00CB2EC4">
              <w:rPr>
                <w:rFonts w:ascii="Times New Roman" w:hAnsi="Times New Roman" w:cs="Times New Roman"/>
              </w:rPr>
              <w:lastRenderedPageBreak/>
              <w:t>dissection, guiding depth and position, helping control the operative field (e.g., lower margin limits), and ensuring the hypogastric nerve is dissected to prevent injury.</w:t>
            </w:r>
          </w:p>
        </w:tc>
        <w:tc>
          <w:tcPr>
            <w:tcW w:w="1152" w:type="dxa"/>
            <w:vAlign w:val="center"/>
          </w:tcPr>
          <w:p w14:paraId="3596CA2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4D70C9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0BF54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F11B488" w14:textId="77777777" w:rsidTr="00547D77">
        <w:tc>
          <w:tcPr>
            <w:tcW w:w="10656" w:type="dxa"/>
            <w:gridSpan w:val="5"/>
            <w:tcBorders>
              <w:bottom w:val="single" w:sz="6" w:space="0" w:color="auto"/>
            </w:tcBorders>
            <w:vAlign w:val="center"/>
          </w:tcPr>
          <w:p w14:paraId="32BAB07F"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126: In gynecologic surgery, how can the rectovaginal ligament be correctly identified and transected to avoid injury to the pelvic plexus?</w:t>
            </w:r>
          </w:p>
        </w:tc>
      </w:tr>
      <w:tr w:rsidR="00916494" w:rsidRPr="00CB2EC4" w14:paraId="2B32ACF6" w14:textId="77777777" w:rsidTr="00547D77">
        <w:tc>
          <w:tcPr>
            <w:tcW w:w="2160" w:type="dxa"/>
            <w:vAlign w:val="center"/>
          </w:tcPr>
          <w:p w14:paraId="2547885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4456D2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during gynecological surgery, how to correctly identify and divide the rectovaginal ligament to avoid injury to the pelvic nerve plexus?</w:t>
            </w:r>
            <w:r w:rsidRPr="00CB2EC4">
              <w:rPr>
                <w:rFonts w:ascii="Times New Roman" w:hAnsi="Times New Roman" w:cs="Times New Roman"/>
              </w:rPr>
              <w:br/>
            </w:r>
            <w:r w:rsidRPr="00CB2EC4">
              <w:rPr>
                <w:rFonts w:ascii="Times New Roman" w:hAnsi="Times New Roman" w:cs="Times New Roman"/>
              </w:rPr>
              <w:br/>
              <w:t>in the document, the identification and division of the rectovaginal ligament is a key step in radical hysterectomy to avoid injury to the pelvic nerve plexus (i.e., the pelvic autonomic nerves). the document emphasizes protecting the nerves through anatomical dissection, with specific methods as follows:</w:t>
            </w:r>
            <w:r w:rsidRPr="00CB2EC4">
              <w:rPr>
                <w:rFonts w:ascii="Times New Roman" w:hAnsi="Times New Roman" w:cs="Times New Roman"/>
              </w:rPr>
              <w:br/>
            </w:r>
            <w:r w:rsidRPr="00CB2EC4">
              <w:rPr>
                <w:rFonts w:ascii="Times New Roman" w:hAnsi="Times New Roman" w:cs="Times New Roman"/>
              </w:rPr>
              <w:br/>
              <w:t>- identification location: the rectovaginal ligament is located directly below (dorsal side) the point where the uterine branch of the deep uterine vein is divided, corresponding to the position of the second clamp in the Wertheim operation. during the procedure, after opening the lateral vesicouterine space and the rectal lateral cavity, the area is localized by clamping (refer to [similarity: 0.529] segment).</w:t>
            </w:r>
            <w:r w:rsidRPr="00CB2EC4">
              <w:rPr>
                <w:rFonts w:ascii="Times New Roman" w:hAnsi="Times New Roman" w:cs="Times New Roman"/>
              </w:rPr>
              <w:br/>
              <w:t>- method to avoid nerve injury: adopt nerve-sparing technique, separating the vascular portion from the neural portion. specific steps include:</w:t>
            </w:r>
            <w:r w:rsidRPr="00CB2EC4">
              <w:rPr>
                <w:rFonts w:ascii="Times New Roman" w:hAnsi="Times New Roman" w:cs="Times New Roman"/>
              </w:rPr>
              <w:br/>
              <w:t xml:space="preserve">  - between the transverse cervical ligament and the posterior layer of the vesicouterine ligament, identify the vascular-nerve triangle (composed of loose connective tissue).</w:t>
            </w:r>
            <w:r w:rsidRPr="00CB2EC4">
              <w:rPr>
                <w:rFonts w:ascii="Times New Roman" w:hAnsi="Times New Roman" w:cs="Times New Roman"/>
              </w:rPr>
              <w:br/>
            </w:r>
            <w:r w:rsidRPr="00CB2EC4">
              <w:rPr>
                <w:rFonts w:ascii="Times New Roman" w:hAnsi="Times New Roman" w:cs="Times New Roman"/>
              </w:rPr>
              <w:lastRenderedPageBreak/>
              <w:t xml:space="preserve">  - separate the main ligament vascular bundle from the deep autonomic nerves, cutting only the vascular portion while preserving the neural portion. this is achieved through meticulous dissection, such as using an ultrasonic scalpel to assist separation, avoiding mass ligation (Massengigatur), to reduce injury to the nerve plexus (refer to [similarity: 0.452] segment).</w:t>
            </w:r>
            <w:r w:rsidRPr="00CB2EC4">
              <w:rPr>
                <w:rFonts w:ascii="Times New Roman" w:hAnsi="Times New Roman" w:cs="Times New Roman"/>
              </w:rPr>
              <w:br/>
              <w:t xml:space="preserve">  - during division, avoid excessive traction or blind clamping to prevent nerve injury. the document states that nerve-sparing surgery requires intraoperative visualization of the ureter and pelvic autonomic nerve course to ensure the procedure is performed under direct vision (refer to [similarity: 0.452] segment).</w:t>
            </w:r>
            <w:r w:rsidRPr="00CB2EC4">
              <w:rPr>
                <w:rFonts w:ascii="Times New Roman" w:hAnsi="Times New Roman" w:cs="Times New Roman"/>
              </w:rPr>
              <w:br/>
            </w:r>
            <w:r w:rsidRPr="00CB2EC4">
              <w:rPr>
                <w:rFonts w:ascii="Times New Roman" w:hAnsi="Times New Roman" w:cs="Times New Roman"/>
              </w:rPr>
              <w:br/>
              <w:t>in summary, correct identification relies on anatomical landmarks (such as the deep uterine vein position), and division employs a separation technique targeting only the vascular part to protect the pelvic nerve plexus.</w:t>
            </w:r>
          </w:p>
        </w:tc>
        <w:tc>
          <w:tcPr>
            <w:tcW w:w="1152" w:type="dxa"/>
            <w:vAlign w:val="center"/>
          </w:tcPr>
          <w:p w14:paraId="367885C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8B1B1C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3FE3B3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0E621D90" w14:textId="77777777" w:rsidTr="00547D77">
        <w:tc>
          <w:tcPr>
            <w:tcW w:w="2160" w:type="dxa"/>
            <w:vAlign w:val="center"/>
          </w:tcPr>
          <w:p w14:paraId="52221622"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0B7FC1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no answer found in the knowledge base.  </w:t>
            </w:r>
            <w:r w:rsidRPr="00CB2EC4">
              <w:rPr>
                <w:rFonts w:ascii="Times New Roman" w:hAnsi="Times New Roman" w:cs="Times New Roman"/>
              </w:rPr>
              <w:br/>
            </w:r>
            <w:r w:rsidRPr="00CB2EC4">
              <w:rPr>
                <w:rFonts w:ascii="Times New Roman" w:hAnsi="Times New Roman" w:cs="Times New Roman"/>
              </w:rPr>
              <w:br/>
              <w:t xml:space="preserve">In gynecological surgery, how to correctly identify and dissect the rectovaginal ligament to avoid injury to the pelvic nerve plexus?  </w:t>
            </w:r>
            <w:r w:rsidRPr="00CB2EC4">
              <w:rPr>
                <w:rFonts w:ascii="Times New Roman" w:hAnsi="Times New Roman" w:cs="Times New Roman"/>
              </w:rPr>
              <w:br/>
            </w:r>
            <w:r w:rsidRPr="00CB2EC4">
              <w:rPr>
                <w:rFonts w:ascii="Times New Roman" w:hAnsi="Times New Roman" w:cs="Times New Roman"/>
              </w:rPr>
              <w:br/>
              <w:t xml:space="preserve">The documents mention the rectovaginal ligament multiple times (e.g., in "dissection of the rectovaginal ligament and vesicovaginal ligament" and "dissection and incision of the uterosacral ligament and rectouterine ligament"), but do not provide specific procedural steps for identifying and dissecting this ligament to avoid damage to the pelvic nerve plexus. The documents discuss the concept of nerve-sparing surgery (such as "considering surgical approach with </w:t>
            </w:r>
            <w:r w:rsidRPr="00CB2EC4">
              <w:rPr>
                <w:rFonts w:ascii="Times New Roman" w:hAnsi="Times New Roman" w:cs="Times New Roman"/>
              </w:rPr>
              <w:lastRenderedPageBreak/>
              <w:t>nerve preservation"), but do not detail practical techniques for localizing the ligament or avoiding nerve injury during dissection.</w:t>
            </w:r>
          </w:p>
        </w:tc>
        <w:tc>
          <w:tcPr>
            <w:tcW w:w="1152" w:type="dxa"/>
            <w:vAlign w:val="center"/>
          </w:tcPr>
          <w:p w14:paraId="2D4F64E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9DF14F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E34104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69AEF1A8" w14:textId="77777777" w:rsidTr="00547D77">
        <w:tc>
          <w:tcPr>
            <w:tcW w:w="10656" w:type="dxa"/>
            <w:gridSpan w:val="5"/>
            <w:tcBorders>
              <w:bottom w:val="single" w:sz="6" w:space="0" w:color="auto"/>
            </w:tcBorders>
            <w:vAlign w:val="center"/>
          </w:tcPr>
          <w:p w14:paraId="6514CAA4"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127: What are the specific surgical steps of the Davydov procedure for suturing the vaginal cuff?</w:t>
            </w:r>
          </w:p>
        </w:tc>
      </w:tr>
      <w:tr w:rsidR="00916494" w:rsidRPr="00CB2EC4" w14:paraId="4BA6E0B0" w14:textId="77777777" w:rsidTr="00547D77">
        <w:tc>
          <w:tcPr>
            <w:tcW w:w="2160" w:type="dxa"/>
            <w:vAlign w:val="center"/>
          </w:tcPr>
          <w:p w14:paraId="7779B27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2BF6EE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550F0D8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D85E96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558D31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24AE01FB" w14:textId="77777777" w:rsidTr="00547D77">
        <w:tc>
          <w:tcPr>
            <w:tcW w:w="2160" w:type="dxa"/>
            <w:vAlign w:val="center"/>
          </w:tcPr>
          <w:p w14:paraId="5C0696C7"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3D33E2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1. Suture the bladder peritoneum to the anterior vaginal wall: Perform interrupted sutures between the bladder peritoneum and the anterior vaginal wall stump.  </w:t>
            </w:r>
            <w:r w:rsidRPr="00CB2EC4">
              <w:rPr>
                <w:rFonts w:ascii="Times New Roman" w:hAnsi="Times New Roman" w:cs="Times New Roman"/>
              </w:rPr>
              <w:br/>
              <w:t xml:space="preserve">2. Suture the rectal serosa to the posterior vaginal wall: Similarly, use interrupted sutures to connect the peritoneum of the Douglas pouch (rectal serosa) with the posterior vaginal wall stump.  </w:t>
            </w:r>
            <w:r w:rsidRPr="00CB2EC4">
              <w:rPr>
                <w:rFonts w:ascii="Times New Roman" w:hAnsi="Times New Roman" w:cs="Times New Roman"/>
              </w:rPr>
              <w:br/>
              <w:t xml:space="preserve">3. Suture the bladder peritoneum and rectal serosa: At the midportion, suture the bladder peritoneum and rectal serosa to each other to close the stump and maintain vaginal length.  </w:t>
            </w:r>
            <w:r w:rsidRPr="00CB2EC4">
              <w:rPr>
                <w:rFonts w:ascii="Times New Roman" w:hAnsi="Times New Roman" w:cs="Times New Roman"/>
              </w:rPr>
              <w:br/>
            </w:r>
            <w:r w:rsidRPr="00CB2EC4">
              <w:rPr>
                <w:rFonts w:ascii="Times New Roman" w:hAnsi="Times New Roman" w:cs="Times New Roman"/>
              </w:rPr>
              <w:br/>
              <w:t>The method helps predict and preserve vaginal length and may be combined with the use of absorbable sutures (e.g., "continuous suturing with absorbable thread for vaginal repair"). Note: This technique is cited from "Endo's surgical text," but no further detailed illustrations or variants are provided.</w:t>
            </w:r>
          </w:p>
        </w:tc>
        <w:tc>
          <w:tcPr>
            <w:tcW w:w="1152" w:type="dxa"/>
            <w:vAlign w:val="center"/>
          </w:tcPr>
          <w:p w14:paraId="5A03A97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8A2C6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D5446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7FC2ECE" w14:textId="77777777" w:rsidTr="00547D77">
        <w:tc>
          <w:tcPr>
            <w:tcW w:w="10656" w:type="dxa"/>
            <w:gridSpan w:val="5"/>
            <w:tcBorders>
              <w:bottom w:val="single" w:sz="6" w:space="0" w:color="auto"/>
            </w:tcBorders>
            <w:vAlign w:val="center"/>
          </w:tcPr>
          <w:p w14:paraId="428EB68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128: Please briefly describe the surgical procedure of a modified radical hysterectomy.</w:t>
            </w:r>
          </w:p>
        </w:tc>
      </w:tr>
      <w:tr w:rsidR="00916494" w:rsidRPr="00CB2EC4" w14:paraId="5C961F91" w14:textId="77777777" w:rsidTr="00547D77">
        <w:tc>
          <w:tcPr>
            <w:tcW w:w="2160" w:type="dxa"/>
            <w:vAlign w:val="center"/>
          </w:tcPr>
          <w:p w14:paraId="209C7AAA"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E1A9FE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Brief description of the surgical procedure for subradical hysterectomy:</w:t>
            </w:r>
            <w:r w:rsidRPr="00CB2EC4">
              <w:rPr>
                <w:rFonts w:ascii="Times New Roman" w:hAnsi="Times New Roman" w:cs="Times New Roman"/>
              </w:rPr>
              <w:br/>
            </w:r>
            <w:r w:rsidRPr="00CB2EC4">
              <w:rPr>
                <w:rFonts w:ascii="Times New Roman" w:hAnsi="Times New Roman" w:cs="Times New Roman"/>
              </w:rPr>
              <w:br/>
              <w:t>1. Laparotomy: Enter the abdominal cavity and fixate the uterus.</w:t>
            </w:r>
            <w:r w:rsidRPr="00CB2EC4">
              <w:rPr>
                <w:rFonts w:ascii="Times New Roman" w:hAnsi="Times New Roman" w:cs="Times New Roman"/>
              </w:rPr>
              <w:br/>
              <w:t xml:space="preserve">2. Transection of the round ligament of the uterus: </w:t>
            </w:r>
            <w:r w:rsidRPr="00CB2EC4">
              <w:rPr>
                <w:rFonts w:ascii="Times New Roman" w:hAnsi="Times New Roman" w:cs="Times New Roman"/>
              </w:rPr>
              <w:lastRenderedPageBreak/>
              <w:t>Clamp, cut, and ligate at its midportion.</w:t>
            </w:r>
            <w:r w:rsidRPr="00CB2EC4">
              <w:rPr>
                <w:rFonts w:ascii="Times New Roman" w:hAnsi="Times New Roman" w:cs="Times New Roman"/>
              </w:rPr>
              <w:br/>
              <w:t>3. Incision of the iliac fossa peritoneum: Expose pelvic structures to facilitate subsequent procedures.</w:t>
            </w:r>
            <w:r w:rsidRPr="00CB2EC4">
              <w:rPr>
                <w:rFonts w:ascii="Times New Roman" w:hAnsi="Times New Roman" w:cs="Times New Roman"/>
              </w:rPr>
              <w:br/>
              <w:t>4. Opening of the paravesical space: Develop the space without extending deep to the superior fascia of the levator ani muscle.</w:t>
            </w:r>
            <w:r w:rsidRPr="00CB2EC4">
              <w:rPr>
                <w:rFonts w:ascii="Times New Roman" w:hAnsi="Times New Roman" w:cs="Times New Roman"/>
              </w:rPr>
              <w:br/>
              <w:t>5. Pelvic lymphadenectomy: Prioritize removal of anterior lymph nodes, with emphasis on the obturator, internal iliac, and cardinal ligament nodes. Pay special attention to clearance at the junction of the obturator vessels and internal iliac vessels (due to involvement in deep uterine venous drainage).</w:t>
            </w:r>
            <w:r w:rsidRPr="00CB2EC4">
              <w:rPr>
                <w:rFonts w:ascii="Times New Roman" w:hAnsi="Times New Roman" w:cs="Times New Roman"/>
              </w:rPr>
              <w:br/>
              <w:t>6. Opening of Latzko's pararectal space: Develop up to the level of the deep uterine vein.</w:t>
            </w:r>
            <w:r w:rsidRPr="00CB2EC4">
              <w:rPr>
                <w:rFonts w:ascii="Times New Roman" w:hAnsi="Times New Roman" w:cs="Times New Roman"/>
              </w:rPr>
              <w:br/>
              <w:t>7. Incision of the vesicouterine peritoneum: Separate the bladder for subsequent manipulation.</w:t>
            </w:r>
            <w:r w:rsidRPr="00CB2EC4">
              <w:rPr>
                <w:rFonts w:ascii="Times New Roman" w:hAnsi="Times New Roman" w:cs="Times New Roman"/>
              </w:rPr>
              <w:br/>
              <w:t>8. Isolation and transection of the uterine artery: Transect after thorough clearance of surrounding tissues, preserving the ureteral branch if possible.</w:t>
            </w:r>
            <w:r w:rsidRPr="00CB2EC4">
              <w:rPr>
                <w:rFonts w:ascii="Times New Roman" w:hAnsi="Times New Roman" w:cs="Times New Roman"/>
              </w:rPr>
              <w:br/>
              <w:t>9. Opening of Okabayashi's pararectal space: Separate the posterior ureter to form the ureteral plate.</w:t>
            </w:r>
            <w:r w:rsidRPr="00CB2EC4">
              <w:rPr>
                <w:rFonts w:ascii="Times New Roman" w:hAnsi="Times New Roman" w:cs="Times New Roman"/>
              </w:rPr>
              <w:br/>
              <w:t>10. Subsequent steps: Include transection of the infundibulopelvic ligament, incision of the Douglas pouch peritoneum, separation of the rectovaginal septum, transection of the uterosacral and rectouterine ligaments, bladder detachment, vaginal transection, and suturing.</w:t>
            </w:r>
            <w:r w:rsidRPr="00CB2EC4">
              <w:rPr>
                <w:rFonts w:ascii="Times New Roman" w:hAnsi="Times New Roman" w:cs="Times New Roman"/>
              </w:rPr>
              <w:br/>
            </w:r>
            <w:r w:rsidRPr="00CB2EC4">
              <w:rPr>
                <w:rFonts w:ascii="Times New Roman" w:hAnsi="Times New Roman" w:cs="Times New Roman"/>
              </w:rPr>
              <w:br/>
              <w:t>The key to this procedure lies in limiting the resection range: the transection of the deep uterine vein is performed medial to its confluence with the superior vesical vein, and the depth of cardinal ligament transection is only to the level of the uterine artery to preserve more tissue.</w:t>
            </w:r>
          </w:p>
        </w:tc>
        <w:tc>
          <w:tcPr>
            <w:tcW w:w="1152" w:type="dxa"/>
            <w:vAlign w:val="center"/>
          </w:tcPr>
          <w:p w14:paraId="4E753A1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242175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85302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1FD4166" w14:textId="77777777" w:rsidTr="00547D77">
        <w:tc>
          <w:tcPr>
            <w:tcW w:w="2160" w:type="dxa"/>
            <w:vAlign w:val="center"/>
          </w:tcPr>
          <w:p w14:paraId="0645D9C4"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40BFF0B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1. Abdominal incision: Make a midline incision in the abdominal wall above the pubic symphysis to enter the peritoneal cavity.  </w:t>
            </w:r>
            <w:r w:rsidRPr="00CB2EC4">
              <w:rPr>
                <w:rFonts w:ascii="Times New Roman" w:hAnsi="Times New Roman" w:cs="Times New Roman"/>
              </w:rPr>
              <w:br/>
              <w:t xml:space="preserve">2. Division of the round ligament: Clamp and divide the round ligament at its midpoint, then ligate it with suture.  </w:t>
            </w:r>
            <w:r w:rsidRPr="00CB2EC4">
              <w:rPr>
                <w:rFonts w:ascii="Times New Roman" w:hAnsi="Times New Roman" w:cs="Times New Roman"/>
              </w:rPr>
              <w:br/>
              <w:t xml:space="preserve">3. Incision of the iliac fossa peritoneum: Cut open the anterior leaf of the broad ligament at the pelvic brim to expose the operative field.  </w:t>
            </w:r>
            <w:r w:rsidRPr="00CB2EC4">
              <w:rPr>
                <w:rFonts w:ascii="Times New Roman" w:hAnsi="Times New Roman" w:cs="Times New Roman"/>
              </w:rPr>
              <w:br/>
              <w:t xml:space="preserve">4. Development of the bladder lateral space: Dissect the lateral bladder space without extending to the bottom (above the levator ani fascia).  </w:t>
            </w:r>
            <w:r w:rsidRPr="00CB2EC4">
              <w:rPr>
                <w:rFonts w:ascii="Times New Roman" w:hAnsi="Times New Roman" w:cs="Times New Roman"/>
              </w:rPr>
              <w:br/>
              <w:t xml:space="preserve">5. Pelvic lymph node dissection: Prioritize removal of anterior lymph nodes, with emphasis on obturator, internal iliac, and cardinal ligament nodes (note: the area near the confluence of the obturator vessels into the internal iliac vessels is critical due to involvement with deep uterine venous drainage).  </w:t>
            </w:r>
            <w:r w:rsidRPr="00CB2EC4">
              <w:rPr>
                <w:rFonts w:ascii="Times New Roman" w:hAnsi="Times New Roman" w:cs="Times New Roman"/>
              </w:rPr>
              <w:br/>
              <w:t xml:space="preserve">6. Development of the Latzko rectal lateral space: Dissect the rectal lateral space up to the level of the deep uterine vein.  </w:t>
            </w:r>
            <w:r w:rsidRPr="00CB2EC4">
              <w:rPr>
                <w:rFonts w:ascii="Times New Roman" w:hAnsi="Times New Roman" w:cs="Times New Roman"/>
              </w:rPr>
              <w:br/>
              <w:t xml:space="preserve">7. Incision of the bladder peritoneal reflection: Separate and manage the peritoneal reflection over the bladder.  </w:t>
            </w:r>
            <w:r w:rsidRPr="00CB2EC4">
              <w:rPr>
                <w:rFonts w:ascii="Times New Roman" w:hAnsi="Times New Roman" w:cs="Times New Roman"/>
              </w:rPr>
              <w:br/>
              <w:t xml:space="preserve">8. Isolation and division of the uterine artery: After thorough dissection around the uterine artery, divide it (the ureteric branch may be preserved).  </w:t>
            </w:r>
            <w:r w:rsidRPr="00CB2EC4">
              <w:rPr>
                <w:rFonts w:ascii="Times New Roman" w:hAnsi="Times New Roman" w:cs="Times New Roman"/>
              </w:rPr>
              <w:br/>
              <w:t xml:space="preserve">9. Development of the Köckherdt rectal lateral space: Dissect the posterior ureter to form the ureteric plate.  </w:t>
            </w:r>
            <w:r w:rsidRPr="00CB2EC4">
              <w:rPr>
                <w:rFonts w:ascii="Times New Roman" w:hAnsi="Times New Roman" w:cs="Times New Roman"/>
              </w:rPr>
              <w:br/>
              <w:t xml:space="preserve">10. Vaginal management and closure: Resect the upper 1/3 of the vagina (approximately 1/3 in length), transect the vagina horizontally, and suture the stump (using absorbable suture).  </w:t>
            </w:r>
            <w:r w:rsidRPr="00CB2EC4">
              <w:rPr>
                <w:rFonts w:ascii="Times New Roman" w:hAnsi="Times New Roman" w:cs="Times New Roman"/>
              </w:rPr>
              <w:br/>
              <w:t xml:space="preserve">11. Abdominal closure and drainage: Place a drain </w:t>
            </w:r>
            <w:r w:rsidRPr="00CB2EC4">
              <w:rPr>
                <w:rFonts w:ascii="Times New Roman" w:hAnsi="Times New Roman" w:cs="Times New Roman"/>
              </w:rPr>
              <w:lastRenderedPageBreak/>
              <w:t xml:space="preserve">(e.g., T-tube) and close the abdomen routinely.  </w:t>
            </w:r>
            <w:r w:rsidRPr="00CB2EC4">
              <w:rPr>
                <w:rFonts w:ascii="Times New Roman" w:hAnsi="Times New Roman" w:cs="Times New Roman"/>
              </w:rPr>
              <w:br/>
            </w:r>
            <w:r w:rsidRPr="00CB2EC4">
              <w:rPr>
                <w:rFonts w:ascii="Times New Roman" w:hAnsi="Times New Roman" w:cs="Times New Roman"/>
              </w:rPr>
              <w:br/>
              <w:t>The procedure involves resection of half the cardinal ligament and the upper 1/3 of the vagina, combined with selective pelvic lymphadenectomy (e.g., lymph nodes below the common iliac artery, external iliac, and obturator regions), but does not involve deep handling of the uterine vein (“the division of the deep uterine vein is performed medial to the confluence of the superior vesical vein”).</w:t>
            </w:r>
          </w:p>
        </w:tc>
        <w:tc>
          <w:tcPr>
            <w:tcW w:w="1152" w:type="dxa"/>
            <w:vAlign w:val="center"/>
          </w:tcPr>
          <w:p w14:paraId="1E83A03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AA6F74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2689A8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D02DB01" w14:textId="77777777" w:rsidTr="00547D77">
        <w:tc>
          <w:tcPr>
            <w:tcW w:w="10656" w:type="dxa"/>
            <w:gridSpan w:val="5"/>
            <w:tcBorders>
              <w:bottom w:val="single" w:sz="6" w:space="0" w:color="auto"/>
            </w:tcBorders>
            <w:vAlign w:val="center"/>
          </w:tcPr>
          <w:p w14:paraId="1BC2D8C6"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129: For patients with Stage III cervical cancer extending to the pelvic sidewall, what is the principle for managing the internal iliac vascular system in Sanlin's technique?</w:t>
            </w:r>
          </w:p>
        </w:tc>
      </w:tr>
      <w:tr w:rsidR="00916494" w:rsidRPr="00CB2EC4" w14:paraId="2D0A98D1" w14:textId="77777777" w:rsidTr="00547D77">
        <w:tc>
          <w:tcPr>
            <w:tcW w:w="2160" w:type="dxa"/>
            <w:vAlign w:val="center"/>
          </w:tcPr>
          <w:p w14:paraId="11987C4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1E3504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patients with stage III cervical cancer with lateral pelvic wall extension, the vascular management principles of the pelvic internal artery and vein system in the Sanlin procedure (ultra-radical hysterectomy) are complete extirpation to ensure radical resection of cancer-infiltrated tissues. The principles are based on the anatomical vascular system and stepwise ligation:</w:t>
            </w:r>
            <w:r w:rsidRPr="00CB2EC4">
              <w:rPr>
                <w:rFonts w:ascii="Times New Roman" w:hAnsi="Times New Roman" w:cs="Times New Roman"/>
              </w:rPr>
              <w:br/>
            </w:r>
            <w:r w:rsidRPr="00CB2EC4">
              <w:rPr>
                <w:rFonts w:ascii="Times New Roman" w:hAnsi="Times New Roman" w:cs="Times New Roman"/>
              </w:rPr>
              <w:br/>
              <w:t>- vascular system composition: the pelvic internal artery and vein system includes visceral branches (e.g., uterine artery, vesical vessels, middle rectal vessels), anterior wall branches (e.g., umbilical artery, obturator vessels, internal pudendal vessels), and posterior wall branches (e.g., iliolumbar vessels, lateral sacral vessels, superior and inferior gluteal vessels) (reference: similarity 0.529).</w:t>
            </w:r>
            <w:r w:rsidRPr="00CB2EC4">
              <w:rPr>
                <w:rFonts w:ascii="Times New Roman" w:hAnsi="Times New Roman" w:cs="Times New Roman"/>
              </w:rPr>
              <w:br/>
              <w:t>- management principles:</w:t>
            </w:r>
            <w:r w:rsidRPr="00CB2EC4">
              <w:rPr>
                <w:rFonts w:ascii="Times New Roman" w:hAnsi="Times New Roman" w:cs="Times New Roman"/>
              </w:rPr>
              <w:br/>
              <w:t xml:space="preserve">  - first ligation: ligate and divide the obturator vessels (anterior wall branch).</w:t>
            </w:r>
            <w:r w:rsidRPr="00CB2EC4">
              <w:rPr>
                <w:rFonts w:ascii="Times New Roman" w:hAnsi="Times New Roman" w:cs="Times New Roman"/>
              </w:rPr>
              <w:br/>
              <w:t xml:space="preserve">  - second ligation: after the branching of the superior gluteal vessels, ligate and divide the main trunk of the </w:t>
            </w:r>
            <w:r w:rsidRPr="00CB2EC4">
              <w:rPr>
                <w:rFonts w:ascii="Times New Roman" w:hAnsi="Times New Roman" w:cs="Times New Roman"/>
              </w:rPr>
              <w:lastRenderedPageBreak/>
              <w:t>internal iliac vessels downstream.</w:t>
            </w:r>
            <w:r w:rsidRPr="00CB2EC4">
              <w:rPr>
                <w:rFonts w:ascii="Times New Roman" w:hAnsi="Times New Roman" w:cs="Times New Roman"/>
              </w:rPr>
              <w:br/>
              <w:t xml:space="preserve">  - third ligation: before branching of the inferior gluteal and internal pudendal common trunk (at the infrapiriform foramen), ligate and divide the vessels in this segment to ensure complete extirpation of the pelvic internal artery and vein system from below the superior gluteal vein branch to the Alcock’s canal (reference: similarity 0.529 and 0.427).</w:t>
            </w:r>
            <w:r w:rsidRPr="00CB2EC4">
              <w:rPr>
                <w:rFonts w:ascii="Times New Roman" w:hAnsi="Times New Roman" w:cs="Times New Roman"/>
              </w:rPr>
              <w:br/>
              <w:t>- intent: complete extirpation of the cardinal ligament along with the internal iliac vascular trunk to address lateral pelvic wall extension and avoid residual cancer cells. however, the document notes that this approach does not address the visceral branches to the bladder and rectum, which may lead to inconsistency (reference: similarity 0.427).</w:t>
            </w:r>
            <w:r w:rsidRPr="00CB2EC4">
              <w:rPr>
                <w:rFonts w:ascii="Times New Roman" w:hAnsi="Times New Roman" w:cs="Times New Roman"/>
              </w:rPr>
              <w:br/>
            </w:r>
            <w:r w:rsidRPr="00CB2EC4">
              <w:rPr>
                <w:rFonts w:ascii="Times New Roman" w:hAnsi="Times New Roman" w:cs="Times New Roman"/>
              </w:rPr>
              <w:br/>
              <w:t>in summary, the principle is three-step ligation at key vascular points to achieve total extirpation of the pelvic internal artery and vein system.</w:t>
            </w:r>
          </w:p>
        </w:tc>
        <w:tc>
          <w:tcPr>
            <w:tcW w:w="1152" w:type="dxa"/>
            <w:vAlign w:val="center"/>
          </w:tcPr>
          <w:p w14:paraId="288BBA5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379645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0A4BC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7648499" w14:textId="77777777" w:rsidTr="00547D77">
        <w:tc>
          <w:tcPr>
            <w:tcW w:w="2160" w:type="dxa"/>
            <w:vAlign w:val="center"/>
          </w:tcPr>
          <w:p w14:paraId="0A955D40"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F27132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For patients with stage III cervical cancer spreading to the pelvic sidewall, the vascular management principles of the Sanlin technique (ultra-radical hysterectomy) for the internal iliac artery and vein are as follows, based on the described three-step ligation and division to achieve complete resection of the internal iliac vascular trunk and pelvic sidewall removal:  </w:t>
            </w:r>
            <w:r w:rsidRPr="00CB2EC4">
              <w:rPr>
                <w:rFonts w:ascii="Times New Roman" w:hAnsi="Times New Roman" w:cs="Times New Roman"/>
              </w:rPr>
              <w:br/>
              <w:t xml:space="preserve">1. First ligation (obturator vessels): Ligate and divide the obturator artery and vein (located in the obturator region) first.  </w:t>
            </w:r>
            <w:r w:rsidRPr="00CB2EC4">
              <w:rPr>
                <w:rFonts w:ascii="Times New Roman" w:hAnsi="Times New Roman" w:cs="Times New Roman"/>
              </w:rPr>
              <w:br/>
              <w:t xml:space="preserve">2. Second ligation (internal iliac trunk): Immediately after the superior gluteal artery and vein branch off, ligate and divide the downstream internal iliac vascular trunk (ensuring the resection is distal to the </w:t>
            </w:r>
            <w:r w:rsidRPr="00CB2EC4">
              <w:rPr>
                <w:rFonts w:ascii="Times New Roman" w:hAnsi="Times New Roman" w:cs="Times New Roman"/>
              </w:rPr>
              <w:lastRenderedPageBreak/>
              <w:t xml:space="preserve">deep uterine venous drainage into the internal iliac vein).  </w:t>
            </w:r>
            <w:r w:rsidRPr="00CB2EC4">
              <w:rPr>
                <w:rFonts w:ascii="Times New Roman" w:hAnsi="Times New Roman" w:cs="Times New Roman"/>
              </w:rPr>
              <w:br/>
              <w:t xml:space="preserve">3. Third ligation (inferior gluteal and internal pudendal common trunk): At the inferior margin of the piriformis muscle, before branching of the inferior gluteal and internal pudendal artery and vein common trunk, perform combined ligation and division.  </w:t>
            </w:r>
            <w:r w:rsidRPr="00CB2EC4">
              <w:rPr>
                <w:rFonts w:ascii="Times New Roman" w:hAnsi="Times New Roman" w:cs="Times New Roman"/>
              </w:rPr>
              <w:br/>
            </w:r>
            <w:r w:rsidRPr="00CB2EC4">
              <w:rPr>
                <w:rFonts w:ascii="Times New Roman" w:hAnsi="Times New Roman" w:cs="Times New Roman"/>
              </w:rPr>
              <w:br/>
              <w:t>The method requires "systematic anatomical knowledge, extensive experience, and high-level technical skill," emphasizing that resection of the internal iliac vessels occurs "distal to the deep uterine vein drainage into the internal iliac vein" (i.e., between the superior gluteal vein branching point and the inferior gluteal/internal pudendal vessel branching point). The goal is to extend resection to the pelvic sidewall; however, the document also notes this approach carries high risk and involves anatomical contradictions ("there are anatomical contradictions in Sanlin's concept"), requiring cautious execution.</w:t>
            </w:r>
          </w:p>
        </w:tc>
        <w:tc>
          <w:tcPr>
            <w:tcW w:w="1152" w:type="dxa"/>
            <w:vAlign w:val="center"/>
          </w:tcPr>
          <w:p w14:paraId="3915994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A60CC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9456C9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5A7142D" w14:textId="77777777" w:rsidTr="00547D77">
        <w:tc>
          <w:tcPr>
            <w:tcW w:w="10656" w:type="dxa"/>
            <w:gridSpan w:val="5"/>
            <w:tcBorders>
              <w:bottom w:val="single" w:sz="6" w:space="0" w:color="auto"/>
            </w:tcBorders>
            <w:vAlign w:val="center"/>
          </w:tcPr>
          <w:p w14:paraId="463FB8F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130: What are the major tributaries of the great saphenous vein near the saphenous opening?</w:t>
            </w:r>
          </w:p>
        </w:tc>
      </w:tr>
      <w:tr w:rsidR="00916494" w:rsidRPr="00CB2EC4" w14:paraId="1CFB96CE" w14:textId="77777777" w:rsidTr="00547D77">
        <w:tc>
          <w:tcPr>
            <w:tcW w:w="2160" w:type="dxa"/>
            <w:vAlign w:val="center"/>
          </w:tcPr>
          <w:p w14:paraId="45BDCA47"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D05EE0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main tributaries of the great saphenous vein near the saphenous opening include:</w:t>
            </w:r>
            <w:r w:rsidRPr="00CB2EC4">
              <w:rPr>
                <w:rFonts w:ascii="Times New Roman" w:hAnsi="Times New Roman" w:cs="Times New Roman"/>
              </w:rPr>
              <w:br/>
            </w:r>
            <w:r w:rsidRPr="00CB2EC4">
              <w:rPr>
                <w:rFonts w:ascii="Times New Roman" w:hAnsi="Times New Roman" w:cs="Times New Roman"/>
              </w:rPr>
              <w:br/>
              <w:t>1.  Superficial epigastric vein → drains into the great saphenous vein</w:t>
            </w:r>
            <w:r w:rsidRPr="00CB2EC4">
              <w:rPr>
                <w:rFonts w:ascii="Times New Roman" w:hAnsi="Times New Roman" w:cs="Times New Roman"/>
              </w:rPr>
              <w:br/>
              <w:t>2.  Superficial circumflex iliac vein → drains into the great saphenous vein</w:t>
            </w:r>
            <w:r w:rsidRPr="00CB2EC4">
              <w:rPr>
                <w:rFonts w:ascii="Times New Roman" w:hAnsi="Times New Roman" w:cs="Times New Roman"/>
              </w:rPr>
              <w:br/>
              <w:t>3.  External pudendal vein (anterior and posterior branches) → drains into the great saphenous vein</w:t>
            </w:r>
            <w:r w:rsidRPr="00CB2EC4">
              <w:rPr>
                <w:rFonts w:ascii="Times New Roman" w:hAnsi="Times New Roman" w:cs="Times New Roman"/>
              </w:rPr>
              <w:br/>
              <w:t>4.  Deep external pudendal vein → drains into the great saphenous vein</w:t>
            </w:r>
            <w:r w:rsidRPr="00CB2EC4">
              <w:rPr>
                <w:rFonts w:ascii="Times New Roman" w:hAnsi="Times New Roman" w:cs="Times New Roman"/>
              </w:rPr>
              <w:br/>
              <w:t xml:space="preserve">5.  Medial superficial femoral vein → drains into the </w:t>
            </w:r>
            <w:r w:rsidRPr="00CB2EC4">
              <w:rPr>
                <w:rFonts w:ascii="Times New Roman" w:hAnsi="Times New Roman" w:cs="Times New Roman"/>
              </w:rPr>
              <w:lastRenderedPageBreak/>
              <w:t>great saphenous vein</w:t>
            </w:r>
            <w:r w:rsidRPr="00CB2EC4">
              <w:rPr>
                <w:rFonts w:ascii="Times New Roman" w:hAnsi="Times New Roman" w:cs="Times New Roman"/>
              </w:rPr>
              <w:br/>
              <w:t>6.  Lateral superficial femoral vein → drains into the great saphenous vein</w:t>
            </w:r>
            <w:r w:rsidRPr="00CB2EC4">
              <w:rPr>
                <w:rFonts w:ascii="Times New Roman" w:hAnsi="Times New Roman" w:cs="Times New Roman"/>
              </w:rPr>
              <w:br/>
              <w:t>7.  Anterior superficial femoral vein → drains into the great saphenous vein</w:t>
            </w:r>
            <w:r w:rsidRPr="00CB2EC4">
              <w:rPr>
                <w:rFonts w:ascii="Times New Roman" w:hAnsi="Times New Roman" w:cs="Times New Roman"/>
              </w:rPr>
              <w:br/>
              <w:t>8.  Posterior superficial femoral vein → drains into the great saphenous vein</w:t>
            </w:r>
            <w:r w:rsidRPr="00CB2EC4">
              <w:rPr>
                <w:rFonts w:ascii="Times New Roman" w:hAnsi="Times New Roman" w:cs="Times New Roman"/>
              </w:rPr>
              <w:br/>
              <w:t>9.  Saphenous vein → itself, at the saphenous opening</w:t>
            </w:r>
            <w:r w:rsidRPr="00CB2EC4">
              <w:rPr>
                <w:rFonts w:ascii="Times New Roman" w:hAnsi="Times New Roman" w:cs="Times New Roman"/>
              </w:rPr>
              <w:br/>
            </w:r>
            <w:r w:rsidRPr="00CB2EC4">
              <w:rPr>
                <w:rFonts w:ascii="Times New Roman" w:hAnsi="Times New Roman" w:cs="Times New Roman"/>
              </w:rPr>
              <w:br/>
              <w:t>Note: The provided document discusses pelvic vascular anatomy relevant to gynecological surgery (e.g., internal iliac vessels, uterine vessels) and does not contain information on lower limb venous structures such as the great saphenous vein or its tributaries. The above list is based on standard anatomical knowledge.</w:t>
            </w:r>
          </w:p>
        </w:tc>
        <w:tc>
          <w:tcPr>
            <w:tcW w:w="1152" w:type="dxa"/>
            <w:vAlign w:val="center"/>
          </w:tcPr>
          <w:p w14:paraId="078902B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E39281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1C350B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5751DBAA" w14:textId="77777777" w:rsidTr="00547D77">
        <w:tc>
          <w:tcPr>
            <w:tcW w:w="2160" w:type="dxa"/>
            <w:vAlign w:val="center"/>
          </w:tcPr>
          <w:p w14:paraId="7AD5240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DD39CB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main tributaries of the great saphenous vein near the saphenous opening include:</w:t>
            </w:r>
            <w:r w:rsidRPr="00CB2EC4">
              <w:rPr>
                <w:rFonts w:ascii="Times New Roman" w:hAnsi="Times New Roman" w:cs="Times New Roman"/>
              </w:rPr>
              <w:br/>
            </w:r>
            <w:r w:rsidRPr="00CB2EC4">
              <w:rPr>
                <w:rFonts w:ascii="Times New Roman" w:hAnsi="Times New Roman" w:cs="Times New Roman"/>
              </w:rPr>
              <w:br/>
              <w:t xml:space="preserve">- Superficial epigastric vein  </w:t>
            </w:r>
            <w:r w:rsidRPr="00CB2EC4">
              <w:rPr>
                <w:rFonts w:ascii="Times New Roman" w:hAnsi="Times New Roman" w:cs="Times New Roman"/>
              </w:rPr>
              <w:br/>
              <w:t xml:space="preserve">- Superficial circumflex iliac vein  </w:t>
            </w:r>
            <w:r w:rsidRPr="00CB2EC4">
              <w:rPr>
                <w:rFonts w:ascii="Times New Roman" w:hAnsi="Times New Roman" w:cs="Times New Roman"/>
              </w:rPr>
              <w:br/>
              <w:t xml:space="preserve">- External pudendal vein (anterior and posterior branches)  </w:t>
            </w:r>
            <w:r w:rsidRPr="00CB2EC4">
              <w:rPr>
                <w:rFonts w:ascii="Times New Roman" w:hAnsi="Times New Roman" w:cs="Times New Roman"/>
              </w:rPr>
              <w:br/>
              <w:t xml:space="preserve">- Deep external pudendal vein  </w:t>
            </w:r>
            <w:r w:rsidRPr="00CB2EC4">
              <w:rPr>
                <w:rFonts w:ascii="Times New Roman" w:hAnsi="Times New Roman" w:cs="Times New Roman"/>
              </w:rPr>
              <w:br/>
              <w:t xml:space="preserve">- Medial superficial femoral vein  </w:t>
            </w:r>
            <w:r w:rsidRPr="00CB2EC4">
              <w:rPr>
                <w:rFonts w:ascii="Times New Roman" w:hAnsi="Times New Roman" w:cs="Times New Roman"/>
              </w:rPr>
              <w:br/>
              <w:t xml:space="preserve">- Lateral superficial femoral vein  </w:t>
            </w:r>
            <w:r w:rsidRPr="00CB2EC4">
              <w:rPr>
                <w:rFonts w:ascii="Times New Roman" w:hAnsi="Times New Roman" w:cs="Times New Roman"/>
              </w:rPr>
              <w:br/>
              <w:t xml:space="preserve">- Anterior and posterior branches of the great saphenous vein itself  </w:t>
            </w:r>
            <w:r w:rsidRPr="00CB2EC4">
              <w:rPr>
                <w:rFonts w:ascii="Times New Roman" w:hAnsi="Times New Roman" w:cs="Times New Roman"/>
              </w:rPr>
              <w:br/>
              <w:t>- Superficial accessory saphenous vein (if present)</w:t>
            </w:r>
            <w:r w:rsidRPr="00CB2EC4">
              <w:rPr>
                <w:rFonts w:ascii="Times New Roman" w:hAnsi="Times New Roman" w:cs="Times New Roman"/>
              </w:rPr>
              <w:br/>
            </w:r>
            <w:r w:rsidRPr="00CB2EC4">
              <w:rPr>
                <w:rFonts w:ascii="Times New Roman" w:hAnsi="Times New Roman" w:cs="Times New Roman"/>
              </w:rPr>
              <w:br/>
              <w:t xml:space="preserve">Note: The provided document focuses on pelvic vascular anatomy relevant to gynecological surgery and does not contain information on the saphenous opening or great saphenous vein tributaries. The </w:t>
            </w:r>
            <w:r w:rsidRPr="00CB2EC4">
              <w:rPr>
                <w:rFonts w:ascii="Times New Roman" w:hAnsi="Times New Roman" w:cs="Times New Roman"/>
              </w:rPr>
              <w:lastRenderedPageBreak/>
              <w:t>above translation is based on standard anatomical knowledge to fulfill the complete translation requirement.</w:t>
            </w:r>
          </w:p>
        </w:tc>
        <w:tc>
          <w:tcPr>
            <w:tcW w:w="1152" w:type="dxa"/>
            <w:vAlign w:val="center"/>
          </w:tcPr>
          <w:p w14:paraId="1A30350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66E525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15A7BF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0AF41DA8" w14:textId="77777777" w:rsidTr="00547D77">
        <w:tc>
          <w:tcPr>
            <w:tcW w:w="10656" w:type="dxa"/>
            <w:gridSpan w:val="5"/>
            <w:tcBorders>
              <w:bottom w:val="single" w:sz="6" w:space="0" w:color="auto"/>
            </w:tcBorders>
            <w:vAlign w:val="center"/>
          </w:tcPr>
          <w:p w14:paraId="7A64E00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131: When dissecting the internal iliac vascular system to manage the posterior trunk branches, ligation should be performed on the parietal pelvic veins proximal to their confluence with the superior gluteal vein. What is the anatomical reason behind this surgical strategy?</w:t>
            </w:r>
          </w:p>
        </w:tc>
      </w:tr>
      <w:tr w:rsidR="00916494" w:rsidRPr="00CB2EC4" w14:paraId="5B8F0392" w14:textId="77777777" w:rsidTr="00547D77">
        <w:tc>
          <w:tcPr>
            <w:tcW w:w="2160" w:type="dxa"/>
            <w:vAlign w:val="center"/>
          </w:tcPr>
          <w:p w14:paraId="52225BB8"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B2589B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anatomical rationale for this surgical strategy is that the internal iliac vascular system, particularly its posterior division (including the superior gluteal vein and its deeper tributaries such as those emerging from the sacral foramina), is a major source of life-threatening hemorrhage in gynecologic oncology procedures due to its deep pelvic location, rich vascular network, and proximity to critical structures like the sacral plexus and ureters. ligating at the proximal side where the parietal pelvic veins join the superior gluteal vein allows for preemptive control of venous outflow before entering the high-risk dissection zone, thereby minimizing the risk of inadvertent vessel injury during manipulation, reducing bleeding that could obscure the surgical field, and preventing potential damage to adjacent nerves or the ureter. this approach is specifically designed based on the anatomical vulnerability of the sacral venous plexus and its tributaries to enhance surgical safety.</w:t>
            </w:r>
            <w:r w:rsidRPr="00CB2EC4">
              <w:rPr>
                <w:rFonts w:ascii="Times New Roman" w:hAnsi="Times New Roman" w:cs="Times New Roman"/>
              </w:rPr>
              <w:br/>
            </w:r>
            <w:r w:rsidRPr="00CB2EC4">
              <w:rPr>
                <w:rFonts w:ascii="Times New Roman" w:hAnsi="Times New Roman" w:cs="Times New Roman"/>
              </w:rPr>
              <w:br/>
              <w:t>(Source: Document fragments [similarity: 0.433] and [similarity: 0.381])</w:t>
            </w:r>
          </w:p>
        </w:tc>
        <w:tc>
          <w:tcPr>
            <w:tcW w:w="1152" w:type="dxa"/>
            <w:vAlign w:val="center"/>
          </w:tcPr>
          <w:p w14:paraId="3A20421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9335D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484F3E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176630C" w14:textId="77777777" w:rsidTr="00547D77">
        <w:tc>
          <w:tcPr>
            <w:tcW w:w="2160" w:type="dxa"/>
            <w:vAlign w:val="center"/>
          </w:tcPr>
          <w:p w14:paraId="1888F087"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880218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anatomical reason behind this surgical strategy is to prevent ischemic complications in the buttock and sciatic nerve regions. according to the document: "when performing bilateral internal iliac artery </w:t>
            </w:r>
            <w:r w:rsidRPr="00CB2EC4">
              <w:rPr>
                <w:rFonts w:ascii="Times New Roman" w:hAnsi="Times New Roman" w:cs="Times New Roman"/>
              </w:rPr>
              <w:lastRenderedPageBreak/>
              <w:t>ligation for hemorrhage control, the ligation should be placed distal to the posterior branches; ligation at a higher level may cause local ischemic symptoms in the buttock and sciatic nerve." the posterior trunk branches of the internal iliac vessels, such as the superior gluteal vein, supply blood to the buttock and sciatic nerve area. if ligation is performed too proximally (i.e., proximal to the junction where the parietal veins drain into the superior gluteal vein), it may interrupt blood flow to these critical regions, leading to ischemic injury. therefore, ligation should be performed distal to the junction of the parietal veins and the superior gluteal vein to preserve blood flow through the superior gluteal vein and prevent complications.</w:t>
            </w:r>
          </w:p>
        </w:tc>
        <w:tc>
          <w:tcPr>
            <w:tcW w:w="1152" w:type="dxa"/>
            <w:vAlign w:val="center"/>
          </w:tcPr>
          <w:p w14:paraId="4692A0D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2303FE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011445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7EEB91B5" w14:textId="77777777" w:rsidTr="00547D77">
        <w:tc>
          <w:tcPr>
            <w:tcW w:w="10656" w:type="dxa"/>
            <w:gridSpan w:val="5"/>
            <w:tcBorders>
              <w:bottom w:val="single" w:sz="6" w:space="0" w:color="auto"/>
            </w:tcBorders>
            <w:vAlign w:val="center"/>
          </w:tcPr>
          <w:p w14:paraId="35C26D6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132: What are the common surgical positions for gynecologic oncology surgery?</w:t>
            </w:r>
          </w:p>
        </w:tc>
      </w:tr>
      <w:tr w:rsidR="00916494" w:rsidRPr="00CB2EC4" w14:paraId="49F6D756" w14:textId="77777777" w:rsidTr="00547D77">
        <w:tc>
          <w:tcPr>
            <w:tcW w:w="2160" w:type="dxa"/>
            <w:vAlign w:val="center"/>
          </w:tcPr>
          <w:p w14:paraId="2E41C62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C5B107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common body positions for gynecological tumor surgery include:</w:t>
            </w:r>
            <w:r w:rsidRPr="00CB2EC4">
              <w:rPr>
                <w:rFonts w:ascii="Times New Roman" w:hAnsi="Times New Roman" w:cs="Times New Roman"/>
              </w:rPr>
              <w:br/>
            </w:r>
            <w:r w:rsidRPr="00CB2EC4">
              <w:rPr>
                <w:rFonts w:ascii="Times New Roman" w:hAnsi="Times New Roman" w:cs="Times New Roman"/>
              </w:rPr>
              <w:br/>
              <w:t>- **Supine position**: The standard position for most abdominal surgeries; the patient lies flat with both iliac crests parallel and extending beyond the upper half of the operating table to expand the pelvis, facilitating pelvic manipulation.</w:t>
            </w:r>
            <w:r w:rsidRPr="00CB2EC4">
              <w:rPr>
                <w:rFonts w:ascii="Times New Roman" w:hAnsi="Times New Roman" w:cs="Times New Roman"/>
              </w:rPr>
              <w:br/>
              <w:t>- **Trendelenburg position (head-low supine)**: Used in laparoscopic surgery to provide optimal pelvic exposure; gravity shifts the small and large intestines upward, reducing interference with the pelvic cavity.</w:t>
            </w:r>
            <w:r w:rsidRPr="00CB2EC4">
              <w:rPr>
                <w:rFonts w:ascii="Times New Roman" w:hAnsi="Times New Roman" w:cs="Times New Roman"/>
              </w:rPr>
              <w:br/>
              <w:t xml:space="preserve">- **Lithotomy position**: Commonly used for perineal or vaginal surgeries to ensure good perineal exposure; divided into high and low lithotomy positions. Caution is required to avoid thigh flexion </w:t>
            </w:r>
            <w:r w:rsidRPr="00CB2EC4">
              <w:rPr>
                <w:rFonts w:ascii="Times New Roman" w:hAnsi="Times New Roman" w:cs="Times New Roman"/>
              </w:rPr>
              <w:lastRenderedPageBreak/>
              <w:t>exceeding 90° to prevent nerve injury (e.g., femoral or sciatic nerve), and legs should be padded with soft cloth to avoid compression.</w:t>
            </w:r>
            <w:r w:rsidRPr="00CB2EC4">
              <w:rPr>
                <w:rFonts w:ascii="Times New Roman" w:hAnsi="Times New Roman" w:cs="Times New Roman"/>
              </w:rPr>
              <w:br/>
            </w:r>
            <w:r w:rsidRPr="00CB2EC4">
              <w:rPr>
                <w:rFonts w:ascii="Times New Roman" w:hAnsi="Times New Roman" w:cs="Times New Roman"/>
              </w:rPr>
              <w:br/>
              <w:t>Additionally, special adjustments are noted: for obese patients, a sponge pad or long pillow may be placed under the lumbosacral area to slightly elevate the posterior pelvis and lower the thighs, thereby widening the pelvic inlet plane and increasing the distance from the umbilicus to the pubis, facilitating deep surgical manipulation.</w:t>
            </w:r>
            <w:r w:rsidRPr="00CB2EC4">
              <w:rPr>
                <w:rFonts w:ascii="Times New Roman" w:hAnsi="Times New Roman" w:cs="Times New Roman"/>
              </w:rPr>
              <w:br/>
            </w:r>
            <w:r w:rsidRPr="00CB2EC4">
              <w:rPr>
                <w:rFonts w:ascii="Times New Roman" w:hAnsi="Times New Roman" w:cs="Times New Roman"/>
              </w:rPr>
              <w:br/>
              <w:t>(Source: Document excerpt [Similarity: 0.467])</w:t>
            </w:r>
          </w:p>
        </w:tc>
        <w:tc>
          <w:tcPr>
            <w:tcW w:w="1152" w:type="dxa"/>
            <w:vAlign w:val="center"/>
          </w:tcPr>
          <w:p w14:paraId="3C92B63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36421E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76A72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1FBA9E4" w14:textId="77777777" w:rsidTr="00547D77">
        <w:tc>
          <w:tcPr>
            <w:tcW w:w="2160" w:type="dxa"/>
            <w:vAlign w:val="center"/>
          </w:tcPr>
          <w:p w14:paraId="1DAFCE1E"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C83207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common positions for gynecologic oncology surgery include:  </w:t>
            </w:r>
            <w:r w:rsidRPr="00CB2EC4">
              <w:rPr>
                <w:rFonts w:ascii="Times New Roman" w:hAnsi="Times New Roman" w:cs="Times New Roman"/>
              </w:rPr>
              <w:br/>
              <w:t xml:space="preserve">- Supine position (hyperextended): Used for most abdominal surgeries, with the patient lying supine and both iliac crests extended beyond the upper edge of the operating table to expand the pelvic inlet, facilitating exposure of the lower abdomen and deep pelvis. For obese patients, a sponge pad or long pillow may be placed under the lumbosacral area to further widen the pelvic inlet.  </w:t>
            </w:r>
            <w:r w:rsidRPr="00CB2EC4">
              <w:rPr>
                <w:rFonts w:ascii="Times New Roman" w:hAnsi="Times New Roman" w:cs="Times New Roman"/>
              </w:rPr>
              <w:br/>
              <w:t xml:space="preserve">- Trendelenburg supine position: Employed in laparoscopic surgery, using gravity to displace the small and large intestines upward, providing optimal pelvic exposure.  </w:t>
            </w:r>
            <w:r w:rsidRPr="00CB2EC4">
              <w:rPr>
                <w:rFonts w:ascii="Times New Roman" w:hAnsi="Times New Roman" w:cs="Times New Roman"/>
              </w:rPr>
              <w:br/>
              <w:t xml:space="preserve">- Lithotomy position: Frequently used for procedures requiring perineal exposure, such as vaginal or laparoscopic operations. The height of the lithotomy position is adjustable, with high and low lithotomy being most commonly used to facilitate the surgeon and assistant’s maneuvers.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Source: "During gynecologic oncology surgery, patient positioning is critical... Most gynecologic oncology surgeries are performed abdominally, with patients routinely placed in the supine position... Another position is the Trendelenburg supine position... A third position is the lithotomy position."</w:t>
            </w:r>
          </w:p>
        </w:tc>
        <w:tc>
          <w:tcPr>
            <w:tcW w:w="1152" w:type="dxa"/>
            <w:vAlign w:val="center"/>
          </w:tcPr>
          <w:p w14:paraId="4D82B2E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16310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6446C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5668B5A" w14:textId="77777777" w:rsidTr="00547D77">
        <w:tc>
          <w:tcPr>
            <w:tcW w:w="10656" w:type="dxa"/>
            <w:gridSpan w:val="5"/>
            <w:tcBorders>
              <w:bottom w:val="single" w:sz="6" w:space="0" w:color="auto"/>
            </w:tcBorders>
            <w:vAlign w:val="center"/>
          </w:tcPr>
          <w:p w14:paraId="7EB15DC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133: What laboratory tests should be performed before gynecologic oncology surgery? How should abnormal results be managed?</w:t>
            </w:r>
          </w:p>
        </w:tc>
      </w:tr>
      <w:tr w:rsidR="00916494" w:rsidRPr="00CB2EC4" w14:paraId="58770B07" w14:textId="77777777" w:rsidTr="00547D77">
        <w:tc>
          <w:tcPr>
            <w:tcW w:w="2160" w:type="dxa"/>
            <w:vAlign w:val="center"/>
          </w:tcPr>
          <w:p w14:paraId="79FCFE98"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9BFF3A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what laboratory tests should be performed before gynecological tumor surgery? how should abnormal indicators be managed?</w:t>
            </w:r>
            <w:r w:rsidRPr="00CB2EC4">
              <w:rPr>
                <w:rFonts w:ascii="Times New Roman" w:hAnsi="Times New Roman" w:cs="Times New Roman"/>
              </w:rPr>
              <w:br/>
            </w:r>
            <w:r w:rsidRPr="00CB2EC4">
              <w:rPr>
                <w:rFonts w:ascii="Times New Roman" w:hAnsi="Times New Roman" w:cs="Times New Roman"/>
              </w:rPr>
              <w:br/>
              <w:t>- Laboratory tests:</w:t>
            </w:r>
            <w:r w:rsidRPr="00CB2EC4">
              <w:rPr>
                <w:rFonts w:ascii="Times New Roman" w:hAnsi="Times New Roman" w:cs="Times New Roman"/>
              </w:rPr>
              <w:br/>
              <w:t xml:space="preserve">  - Routine tests: complete blood count (CBC), urinalysis, stool routine (the three routine tests).</w:t>
            </w:r>
            <w:r w:rsidRPr="00CB2EC4">
              <w:rPr>
                <w:rFonts w:ascii="Times New Roman" w:hAnsi="Times New Roman" w:cs="Times New Roman"/>
              </w:rPr>
              <w:br/>
              <w:t xml:space="preserve">  - Blood biochemistry: liver function (e.g., transaminases, bilirubin), renal function (blood urea nitrogen, serum creatinine), electrolytes (potassium, sodium, etc.), blood glucose, coagulation function (prothrombin time).</w:t>
            </w:r>
            <w:r w:rsidRPr="00CB2EC4">
              <w:rPr>
                <w:rFonts w:ascii="Times New Roman" w:hAnsi="Times New Roman" w:cs="Times New Roman"/>
              </w:rPr>
              <w:br/>
              <w:t xml:space="preserve">  - Cardiopulmonary function: electrocardiogram (ECG), blood gas analysis (e.g., arterial partial pressure of oxygen PaO₂, mixed venous partial pressure of oxygen PVO₂).</w:t>
            </w:r>
            <w:r w:rsidRPr="00CB2EC4">
              <w:rPr>
                <w:rFonts w:ascii="Times New Roman" w:hAnsi="Times New Roman" w:cs="Times New Roman"/>
              </w:rPr>
              <w:br/>
              <w:t xml:space="preserve">  - Other targeted examinations: based on tumor type and symptoms, may include chest X-ray (to rule out lung metastasis), intravenous pyelogram (to assess urinary tract obstruction), CT/MRI (to evaluate lymph node metastasis), PET (for difficult cases), and cystoscopy or fiberoptic colonoscopy when indicated.</w:t>
            </w:r>
            <w:r w:rsidRPr="00CB2EC4">
              <w:rPr>
                <w:rFonts w:ascii="Times New Roman" w:hAnsi="Times New Roman" w:cs="Times New Roman"/>
              </w:rPr>
              <w:br/>
              <w:t>- Management of abnormal indicators:</w:t>
            </w:r>
            <w:r w:rsidRPr="00CB2EC4">
              <w:rPr>
                <w:rFonts w:ascii="Times New Roman" w:hAnsi="Times New Roman" w:cs="Times New Roman"/>
              </w:rPr>
              <w:br/>
              <w:t xml:space="preserve">  - Anemia or low serum albumin: transfuse to correct hemoglobin; high-nutrition therapy to supplement </w:t>
            </w:r>
            <w:r w:rsidRPr="00CB2EC4">
              <w:rPr>
                <w:rFonts w:ascii="Times New Roman" w:hAnsi="Times New Roman" w:cs="Times New Roman"/>
              </w:rPr>
              <w:lastRenderedPageBreak/>
              <w:t>protein and calories (3200 kcal/day).</w:t>
            </w:r>
            <w:r w:rsidRPr="00CB2EC4">
              <w:rPr>
                <w:rFonts w:ascii="Times New Roman" w:hAnsi="Times New Roman" w:cs="Times New Roman"/>
              </w:rPr>
              <w:br/>
              <w:t xml:space="preserve">  - Electrolyte imbalance: for hypokalemia (serum potassium &lt; 3.5 mmol/L), administer oral 10% potassium chloride solution 10–20 mL three times daily; for hyponatremia, restore normal salt intake.</w:t>
            </w:r>
            <w:r w:rsidRPr="00CB2EC4">
              <w:rPr>
                <w:rFonts w:ascii="Times New Roman" w:hAnsi="Times New Roman" w:cs="Times New Roman"/>
              </w:rPr>
              <w:br/>
              <w:t xml:space="preserve">  - Diabetes: if blood glucose &gt; 13.9 mmol/L, use short-acting insulin to control to &lt; 2.8 mmol/L; adjust diet preoperatively to avoid hypoglycemia.</w:t>
            </w:r>
            <w:r w:rsidRPr="00CB2EC4">
              <w:rPr>
                <w:rFonts w:ascii="Times New Roman" w:hAnsi="Times New Roman" w:cs="Times New Roman"/>
              </w:rPr>
              <w:br/>
              <w:t xml:space="preserve">  - Cardiopulmonary abnormalities: for hypoxemia (PaO₂ &lt; 60 mmHg), correct fluid and electrolyte balance, use medications such as atropine if necessary; postpone surgery until correction of acidosis.</w:t>
            </w:r>
            <w:r w:rsidRPr="00CB2EC4">
              <w:rPr>
                <w:rFonts w:ascii="Times New Roman" w:hAnsi="Times New Roman" w:cs="Times New Roman"/>
              </w:rPr>
              <w:br/>
              <w:t xml:space="preserve">  - Infection or inflammation: if leukocytosis is present, initiate antibiotics early (e.g., start 2 days in advance if infection is suspected).</w:t>
            </w:r>
            <w:r w:rsidRPr="00CB2EC4">
              <w:rPr>
                <w:rFonts w:ascii="Times New Roman" w:hAnsi="Times New Roman" w:cs="Times New Roman"/>
              </w:rPr>
              <w:br/>
              <w:t>The document emphasizes that comprehensive assessment and correction of abnormalities must be completed preoperatively to reduce surgical risk.</w:t>
            </w:r>
            <w:r w:rsidRPr="00CB2EC4">
              <w:rPr>
                <w:rFonts w:ascii="Times New Roman" w:hAnsi="Times New Roman" w:cs="Times New Roman"/>
              </w:rPr>
              <w:br/>
              <w:t>(source: document excerpts [similarity: 0.398], [similarity: 0.402], [similarity: 0.404])</w:t>
            </w:r>
          </w:p>
        </w:tc>
        <w:tc>
          <w:tcPr>
            <w:tcW w:w="1152" w:type="dxa"/>
            <w:vAlign w:val="center"/>
          </w:tcPr>
          <w:p w14:paraId="53F2E67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880683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12B62B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547F7F4C" w14:textId="77777777" w:rsidTr="00547D77">
        <w:tc>
          <w:tcPr>
            <w:tcW w:w="2160" w:type="dxa"/>
            <w:vAlign w:val="center"/>
          </w:tcPr>
          <w:p w14:paraId="69EEF1BE"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EBCFCF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what laboratory tests should be performed before gynecological tumor surgery? how should abnormal indicators be managed?</w:t>
            </w:r>
            <w:r w:rsidRPr="00CB2EC4">
              <w:rPr>
                <w:rFonts w:ascii="Times New Roman" w:hAnsi="Times New Roman" w:cs="Times New Roman"/>
              </w:rPr>
              <w:br/>
            </w:r>
            <w:r w:rsidRPr="00CB2EC4">
              <w:rPr>
                <w:rFonts w:ascii="Times New Roman" w:hAnsi="Times New Roman" w:cs="Times New Roman"/>
              </w:rPr>
              <w:br/>
              <w:t xml:space="preserve">based on the document content, the laboratory tests required before gynecological tumor surgery include:  </w:t>
            </w:r>
            <w:r w:rsidRPr="00CB2EC4">
              <w:rPr>
                <w:rFonts w:ascii="Times New Roman" w:hAnsi="Times New Roman" w:cs="Times New Roman"/>
              </w:rPr>
              <w:br/>
              <w:t xml:space="preserve">- routine tests: all patients must have hemoglobin (Hb) checked.  </w:t>
            </w:r>
            <w:r w:rsidRPr="00CB2EC4">
              <w:rPr>
                <w:rFonts w:ascii="Times New Roman" w:hAnsi="Times New Roman" w:cs="Times New Roman"/>
              </w:rPr>
              <w:br/>
              <w:t xml:space="preserve">- for specific populations:  </w:t>
            </w:r>
            <w:r w:rsidRPr="00CB2EC4">
              <w:rPr>
                <w:rFonts w:ascii="Times New Roman" w:hAnsi="Times New Roman" w:cs="Times New Roman"/>
              </w:rPr>
              <w:br/>
              <w:t xml:space="preserve">  - age ≥65 years: add blood glucose, uric acid/creatinine, chest x-ray, and electrocardiogram.  </w:t>
            </w:r>
            <w:r w:rsidRPr="00CB2EC4">
              <w:rPr>
                <w:rFonts w:ascii="Times New Roman" w:hAnsi="Times New Roman" w:cs="Times New Roman"/>
              </w:rPr>
              <w:br/>
              <w:t xml:space="preserve">  - malignant tumor patients: add platelet count, coagulation function (PT/APTT), and chest x-ray.  </w:t>
            </w:r>
            <w:r w:rsidRPr="00CB2EC4">
              <w:rPr>
                <w:rFonts w:ascii="Times New Roman" w:hAnsi="Times New Roman" w:cs="Times New Roman"/>
              </w:rPr>
              <w:br/>
            </w:r>
            <w:r w:rsidRPr="00CB2EC4">
              <w:rPr>
                <w:rFonts w:ascii="Times New Roman" w:hAnsi="Times New Roman" w:cs="Times New Roman"/>
              </w:rPr>
              <w:lastRenderedPageBreak/>
              <w:t xml:space="preserve">  - others: depending on individual conditions, may include electrolytes, liver function, etc. (as per guideline Table 3-1).  </w:t>
            </w:r>
            <w:r w:rsidRPr="00CB2EC4">
              <w:rPr>
                <w:rFonts w:ascii="Times New Roman" w:hAnsi="Times New Roman" w:cs="Times New Roman"/>
              </w:rPr>
              <w:br/>
            </w:r>
            <w:r w:rsidRPr="00CB2EC4">
              <w:rPr>
                <w:rFonts w:ascii="Times New Roman" w:hAnsi="Times New Roman" w:cs="Times New Roman"/>
              </w:rPr>
              <w:br/>
              <w:t xml:space="preserve">management of abnormal indicators:  </w:t>
            </w:r>
            <w:r w:rsidRPr="00CB2EC4">
              <w:rPr>
                <w:rFonts w:ascii="Times New Roman" w:hAnsi="Times New Roman" w:cs="Times New Roman"/>
              </w:rPr>
              <w:br/>
              <w:t xml:space="preserve">- hypokalemia (serum potassium &lt;3.5 mmol/L): administer oral 10% potassium chloride solution 10–20 ml, 3 times/day, to correct electrolyte imbalance.  </w:t>
            </w:r>
            <w:r w:rsidRPr="00CB2EC4">
              <w:rPr>
                <w:rFonts w:ascii="Times New Roman" w:hAnsi="Times New Roman" w:cs="Times New Roman"/>
              </w:rPr>
              <w:br/>
              <w:t xml:space="preserve">- diabetes (abnormal blood glucose): achieve target glucose levels through dietary control; monitor for related complications (e.g., vascular disease); adjust medications preoperatively (e.g., discontinue steroid hormones in advance).  </w:t>
            </w:r>
            <w:r w:rsidRPr="00CB2EC4">
              <w:rPr>
                <w:rFonts w:ascii="Times New Roman" w:hAnsi="Times New Roman" w:cs="Times New Roman"/>
              </w:rPr>
              <w:br/>
              <w:t xml:space="preserve">- coagulation dysfunction (abnormal PT/APTT): assess bleeding risk preoperatively; consider delaying surgery or correcting coagulation factor deficiency if necessary; discontinue drug-induced platelet abnormalities for 7–10 days.  </w:t>
            </w:r>
            <w:r w:rsidRPr="00CB2EC4">
              <w:rPr>
                <w:rFonts w:ascii="Times New Roman" w:hAnsi="Times New Roman" w:cs="Times New Roman"/>
              </w:rPr>
              <w:br/>
              <w:t xml:space="preserve">- malnutrition or hypoalbuminemia: evaluate nutritional status (e.g., plasma protein); provide total parenteral nutrition (TPN) support if indicated.  </w:t>
            </w:r>
            <w:r w:rsidRPr="00CB2EC4">
              <w:rPr>
                <w:rFonts w:ascii="Times New Roman" w:hAnsi="Times New Roman" w:cs="Times New Roman"/>
              </w:rPr>
              <w:br/>
              <w:t>document source: "preoperative examination and patient preparation are conducted routinely... laboratory tests... Table 3-1 guideline for laboratory and other tests before gynecological surgery" and "for serum potassium below 3.5 mmol/L, give oral 10% potassium chloride solution 10–20 ml, 3 times/day" and "preoperative target glucose levels should be achieved through dietary control".</w:t>
            </w:r>
          </w:p>
        </w:tc>
        <w:tc>
          <w:tcPr>
            <w:tcW w:w="1152" w:type="dxa"/>
            <w:vAlign w:val="center"/>
          </w:tcPr>
          <w:p w14:paraId="034040C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301F7F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D92D19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45DDAD31" w14:textId="77777777" w:rsidTr="00547D77">
        <w:tc>
          <w:tcPr>
            <w:tcW w:w="10656" w:type="dxa"/>
            <w:gridSpan w:val="5"/>
            <w:tcBorders>
              <w:bottom w:val="single" w:sz="6" w:space="0" w:color="auto"/>
            </w:tcBorders>
            <w:vAlign w:val="center"/>
          </w:tcPr>
          <w:p w14:paraId="3A43609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134: What is the optimal preoperative administration time for prophylactic antibiotics in gynecologic oncology surgery?</w:t>
            </w:r>
          </w:p>
        </w:tc>
      </w:tr>
      <w:tr w:rsidR="00916494" w:rsidRPr="00CB2EC4" w14:paraId="26D9EDB0" w14:textId="77777777" w:rsidTr="00547D77">
        <w:tc>
          <w:tcPr>
            <w:tcW w:w="2160" w:type="dxa"/>
            <w:vAlign w:val="center"/>
          </w:tcPr>
          <w:p w14:paraId="644A01F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639964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optimal timing for administering prophylactic antibiotics in gynecologic oncology surgery is as follows:</w:t>
            </w:r>
            <w:r w:rsidRPr="00CB2EC4">
              <w:rPr>
                <w:rFonts w:ascii="Times New Roman" w:hAnsi="Times New Roman" w:cs="Times New Roman"/>
              </w:rPr>
              <w:br/>
            </w:r>
            <w:r w:rsidRPr="00CB2EC4">
              <w:rPr>
                <w:rFonts w:ascii="Times New Roman" w:hAnsi="Times New Roman" w:cs="Times New Roman"/>
              </w:rPr>
              <w:lastRenderedPageBreak/>
              <w:br/>
              <w:t>- for patients without signs of infection, antibiotics should be given intraoperatively.</w:t>
            </w:r>
            <w:r w:rsidRPr="00CB2EC4">
              <w:rPr>
                <w:rFonts w:ascii="Times New Roman" w:hAnsi="Times New Roman" w:cs="Times New Roman"/>
              </w:rPr>
              <w:br/>
              <w:t>- if infection of the lesion is suspected (e.g., tumor rupture or concurrent inflammation), antibiotics should be started 2 days in advance.</w:t>
            </w:r>
            <w:r w:rsidRPr="00CB2EC4">
              <w:rPr>
                <w:rFonts w:ascii="Times New Roman" w:hAnsi="Times New Roman" w:cs="Times New Roman"/>
              </w:rPr>
              <w:br/>
            </w:r>
            <w:r w:rsidRPr="00CB2EC4">
              <w:rPr>
                <w:rFonts w:ascii="Times New Roman" w:hAnsi="Times New Roman" w:cs="Times New Roman"/>
              </w:rPr>
              <w:br/>
              <w:t>this strategy is based on infection risk assessment and aims to prevent postoperative complications such as wound infection or sepsis. the document does not specify particular antibiotic types but emphasizes adjustment according to the clinical condition.</w:t>
            </w:r>
            <w:r w:rsidRPr="00CB2EC4">
              <w:rPr>
                <w:rFonts w:ascii="Times New Roman" w:hAnsi="Times New Roman" w:cs="Times New Roman"/>
              </w:rPr>
              <w:br/>
            </w:r>
            <w:r w:rsidRPr="00CB2EC4">
              <w:rPr>
                <w:rFonts w:ascii="Times New Roman" w:hAnsi="Times New Roman" w:cs="Times New Roman"/>
              </w:rPr>
              <w:br/>
              <w:t>(source: document excerpt [similarity: 0.416])</w:t>
            </w:r>
          </w:p>
        </w:tc>
        <w:tc>
          <w:tcPr>
            <w:tcW w:w="1152" w:type="dxa"/>
            <w:vAlign w:val="center"/>
          </w:tcPr>
          <w:p w14:paraId="6A46005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A87394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0AD63C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0818576D" w14:textId="77777777" w:rsidTr="00547D77">
        <w:tc>
          <w:tcPr>
            <w:tcW w:w="2160" w:type="dxa"/>
            <w:vAlign w:val="center"/>
          </w:tcPr>
          <w:p w14:paraId="11804059"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0314DC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optimal timing for administering prophylactic antibiotics in gynecologic oncology surgery is not specified in the provided documentation. The document mentions "application of prophylactic antibiotics" as part of preoperative preparation but does not detail the timing (e.g., within 30 minutes before incision or other specific time points). For example, it states: "including skin preparation/intestinal preparation of the surgical field, application of prophylactic antibiotics, deep vein thrombosis (DVT) prophylaxis," without elaborating on the administration schedule. Therefore, based on the given context, the best timing for antibiotic prophylaxis cannot be determined.</w:t>
            </w:r>
          </w:p>
        </w:tc>
        <w:tc>
          <w:tcPr>
            <w:tcW w:w="1152" w:type="dxa"/>
            <w:vAlign w:val="center"/>
          </w:tcPr>
          <w:p w14:paraId="7E81B50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10A3F9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1370DC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7DAE5C93" w14:textId="77777777" w:rsidTr="00547D77">
        <w:tc>
          <w:tcPr>
            <w:tcW w:w="10656" w:type="dxa"/>
            <w:gridSpan w:val="5"/>
            <w:tcBorders>
              <w:bottom w:val="single" w:sz="6" w:space="0" w:color="auto"/>
            </w:tcBorders>
            <w:vAlign w:val="center"/>
          </w:tcPr>
          <w:p w14:paraId="28DE92B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135: What steps are typically included in preoperative bowel preparation for gynecologic oncology surgery?</w:t>
            </w:r>
          </w:p>
        </w:tc>
      </w:tr>
      <w:tr w:rsidR="00916494" w:rsidRPr="00CB2EC4" w14:paraId="7DC1A12C" w14:textId="77777777" w:rsidTr="00547D77">
        <w:tc>
          <w:tcPr>
            <w:tcW w:w="2160" w:type="dxa"/>
            <w:vAlign w:val="center"/>
          </w:tcPr>
          <w:p w14:paraId="25227029"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535990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preoperative bowel preparation for gynecological oncology surgery typically includes the following steps: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Dietary modification:  </w:t>
            </w:r>
            <w:r w:rsidRPr="00CB2EC4">
              <w:rPr>
                <w:rFonts w:ascii="Times New Roman" w:hAnsi="Times New Roman" w:cs="Times New Roman"/>
              </w:rPr>
              <w:br/>
              <w:t xml:space="preserve">  - Begin a low-residue diet 1 day before surgery (avoid fibrous foods).  </w:t>
            </w:r>
            <w:r w:rsidRPr="00CB2EC4">
              <w:rPr>
                <w:rFonts w:ascii="Times New Roman" w:hAnsi="Times New Roman" w:cs="Times New Roman"/>
              </w:rPr>
              <w:br/>
              <w:t xml:space="preserve">  - If rectal resection is anticipated, start a low-residue diet 3 days before surgery and fast from the day before surgery.  </w:t>
            </w:r>
            <w:r w:rsidRPr="00CB2EC4">
              <w:rPr>
                <w:rFonts w:ascii="Times New Roman" w:hAnsi="Times New Roman" w:cs="Times New Roman"/>
              </w:rPr>
              <w:br/>
              <w:t xml:space="preserve">- Laxative use:  </w:t>
            </w:r>
            <w:r w:rsidRPr="00CB2EC4">
              <w:rPr>
                <w:rFonts w:ascii="Times New Roman" w:hAnsi="Times New Roman" w:cs="Times New Roman"/>
              </w:rPr>
              <w:br/>
              <w:t xml:space="preserve">  - Administer magnesium salts (e.g., magnesium sulfate) and castor oil 1 day before surgery to promote bowel evacuation.  </w:t>
            </w:r>
            <w:r w:rsidRPr="00CB2EC4">
              <w:rPr>
                <w:rFonts w:ascii="Times New Roman" w:hAnsi="Times New Roman" w:cs="Times New Roman"/>
              </w:rPr>
              <w:br/>
              <w:t xml:space="preserve">- Bowel cleansing:  </w:t>
            </w:r>
            <w:r w:rsidRPr="00CB2EC4">
              <w:rPr>
                <w:rFonts w:ascii="Times New Roman" w:hAnsi="Times New Roman" w:cs="Times New Roman"/>
              </w:rPr>
              <w:br/>
              <w:t xml:space="preserve">  - Perform vaginal douching combined with bowel cleansing 2–3 days before surgery.  </w:t>
            </w:r>
            <w:r w:rsidRPr="00CB2EC4">
              <w:rPr>
                <w:rFonts w:ascii="Times New Roman" w:hAnsi="Times New Roman" w:cs="Times New Roman"/>
              </w:rPr>
              <w:br/>
              <w:t xml:space="preserve">  - Conduct a preoperative cleansing enema on the morning of surgery, especially for patients with incomplete bowel obstruction.  </w:t>
            </w:r>
            <w:r w:rsidRPr="00CB2EC4">
              <w:rPr>
                <w:rFonts w:ascii="Times New Roman" w:hAnsi="Times New Roman" w:cs="Times New Roman"/>
              </w:rPr>
              <w:br/>
              <w:t xml:space="preserve">- Antibiotic prophylaxis:  </w:t>
            </w:r>
            <w:r w:rsidRPr="00CB2EC4">
              <w:rPr>
                <w:rFonts w:ascii="Times New Roman" w:hAnsi="Times New Roman" w:cs="Times New Roman"/>
              </w:rPr>
              <w:br/>
              <w:t xml:space="preserve">  - Administer oral intestinal antibiotics for 3–5 days, commonly metronidazole plus neomycin or berberine, to reduce intestinal flora.  </w:t>
            </w:r>
            <w:r w:rsidRPr="00CB2EC4">
              <w:rPr>
                <w:rFonts w:ascii="Times New Roman" w:hAnsi="Times New Roman" w:cs="Times New Roman"/>
              </w:rPr>
              <w:br/>
            </w:r>
            <w:r w:rsidRPr="00CB2EC4">
              <w:rPr>
                <w:rFonts w:ascii="Times New Roman" w:hAnsi="Times New Roman" w:cs="Times New Roman"/>
              </w:rPr>
              <w:br/>
              <w:t xml:space="preserve">These steps aim to cleanse the bowel, reduce infection risk, and improve surgical exposure.  </w:t>
            </w:r>
            <w:r w:rsidRPr="00CB2EC4">
              <w:rPr>
                <w:rFonts w:ascii="Times New Roman" w:hAnsi="Times New Roman" w:cs="Times New Roman"/>
              </w:rPr>
              <w:br/>
              <w:t>(source: document fragments [similarity: 0.398] and [similarity: 0.416])</w:t>
            </w:r>
          </w:p>
        </w:tc>
        <w:tc>
          <w:tcPr>
            <w:tcW w:w="1152" w:type="dxa"/>
            <w:vAlign w:val="center"/>
          </w:tcPr>
          <w:p w14:paraId="643B997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D7B963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93DAA7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5FF9962A" w14:textId="77777777" w:rsidTr="00547D77">
        <w:tc>
          <w:tcPr>
            <w:tcW w:w="2160" w:type="dxa"/>
            <w:vAlign w:val="center"/>
          </w:tcPr>
          <w:p w14:paraId="0850FE30"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6342BD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steps for preoperative bowel preparation in gynecological oncology surgery include:  </w:t>
            </w:r>
            <w:r w:rsidRPr="00CB2EC4">
              <w:rPr>
                <w:rFonts w:ascii="Times New Roman" w:hAnsi="Times New Roman" w:cs="Times New Roman"/>
              </w:rPr>
              <w:br/>
              <w:t xml:space="preserve">1. Dietary adjustment:  </w:t>
            </w:r>
            <w:r w:rsidRPr="00CB2EC4">
              <w:rPr>
                <w:rFonts w:ascii="Times New Roman" w:hAnsi="Times New Roman" w:cs="Times New Roman"/>
              </w:rPr>
              <w:br/>
              <w:t xml:space="preserve">   - Begin a low-residue diet (reducing fiber intake) on the morning of the day before surgery.  </w:t>
            </w:r>
            <w:r w:rsidRPr="00CB2EC4">
              <w:rPr>
                <w:rFonts w:ascii="Times New Roman" w:hAnsi="Times New Roman" w:cs="Times New Roman"/>
              </w:rPr>
              <w:br/>
              <w:t xml:space="preserve">   - If rectal resection is anticipated, start a low-residue diet 3 days before surgery and fast completely on the day before surgery.  </w:t>
            </w:r>
            <w:r w:rsidRPr="00CB2EC4">
              <w:rPr>
                <w:rFonts w:ascii="Times New Roman" w:hAnsi="Times New Roman" w:cs="Times New Roman"/>
              </w:rPr>
              <w:br/>
              <w:t xml:space="preserve">2. Laxative use:  </w:t>
            </w:r>
            <w:r w:rsidRPr="00CB2EC4">
              <w:rPr>
                <w:rFonts w:ascii="Times New Roman" w:hAnsi="Times New Roman" w:cs="Times New Roman"/>
              </w:rPr>
              <w:br/>
            </w:r>
            <w:r w:rsidRPr="00CB2EC4">
              <w:rPr>
                <w:rFonts w:ascii="Times New Roman" w:hAnsi="Times New Roman" w:cs="Times New Roman"/>
              </w:rPr>
              <w:lastRenderedPageBreak/>
              <w:t xml:space="preserve">   - Administer magnesium preparations (e.g., magnesium sulfate) and castor oil on the day before surgery to promote bowel evacuation.  </w:t>
            </w:r>
            <w:r w:rsidRPr="00CB2EC4">
              <w:rPr>
                <w:rFonts w:ascii="Times New Roman" w:hAnsi="Times New Roman" w:cs="Times New Roman"/>
              </w:rPr>
              <w:br/>
              <w:t xml:space="preserve">3. Enema:  </w:t>
            </w:r>
            <w:r w:rsidRPr="00CB2EC4">
              <w:rPr>
                <w:rFonts w:ascii="Times New Roman" w:hAnsi="Times New Roman" w:cs="Times New Roman"/>
              </w:rPr>
              <w:br/>
              <w:t xml:space="preserve">   - Perform a high enema on the morning of surgery, typically by oral administration of 300mL enema solution or similar methods to cleanse the bowel.  </w:t>
            </w:r>
            <w:r w:rsidRPr="00CB2EC4">
              <w:rPr>
                <w:rFonts w:ascii="Times New Roman" w:hAnsi="Times New Roman" w:cs="Times New Roman"/>
              </w:rPr>
              <w:br/>
            </w:r>
            <w:r w:rsidRPr="00CB2EC4">
              <w:rPr>
                <w:rFonts w:ascii="Times New Roman" w:hAnsi="Times New Roman" w:cs="Times New Roman"/>
              </w:rPr>
              <w:br/>
              <w:t>Source: "Begin low-residue diet on the morning of the day before surgery, fast after dinner. If rectal resection is anticipated, start low-residue diet 3 days preoperatively and fast completely the day before. Administer magnesium preparations and castor oil the day before surgery, and perform high enema on the morning of surgery by oral intake of 300mL enema solution."</w:t>
            </w:r>
          </w:p>
        </w:tc>
        <w:tc>
          <w:tcPr>
            <w:tcW w:w="1152" w:type="dxa"/>
            <w:vAlign w:val="center"/>
          </w:tcPr>
          <w:p w14:paraId="3A81A32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A5BF74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52AA49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52545AF3" w14:textId="77777777" w:rsidTr="00547D77">
        <w:tc>
          <w:tcPr>
            <w:tcW w:w="10656" w:type="dxa"/>
            <w:gridSpan w:val="5"/>
            <w:tcBorders>
              <w:bottom w:val="single" w:sz="6" w:space="0" w:color="auto"/>
            </w:tcBorders>
            <w:vAlign w:val="center"/>
          </w:tcPr>
          <w:p w14:paraId="0502AA8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136: What steps are typically included in preoperative vaginal preparation for gynecologic oncology surgery?</w:t>
            </w:r>
          </w:p>
        </w:tc>
      </w:tr>
      <w:tr w:rsidR="00916494" w:rsidRPr="00CB2EC4" w14:paraId="280C24D8" w14:textId="77777777" w:rsidTr="00547D77">
        <w:tc>
          <w:tcPr>
            <w:tcW w:w="2160" w:type="dxa"/>
            <w:vAlign w:val="center"/>
          </w:tcPr>
          <w:p w14:paraId="093203AF"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EC3F72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 information available in the knowledge base regarding preoperative vaginal preparation steps for gynecological tumor surgery.</w:t>
            </w:r>
          </w:p>
        </w:tc>
        <w:tc>
          <w:tcPr>
            <w:tcW w:w="1152" w:type="dxa"/>
            <w:vAlign w:val="center"/>
          </w:tcPr>
          <w:p w14:paraId="1EEDCEA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41D2EE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E9C94F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18AC3835" w14:textId="77777777" w:rsidTr="00547D77">
        <w:tc>
          <w:tcPr>
            <w:tcW w:w="2160" w:type="dxa"/>
            <w:vAlign w:val="center"/>
          </w:tcPr>
          <w:p w14:paraId="74EE4D21"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511E2F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 answer found in the knowledge base. the document does not provide specific steps for vaginal preparation before gynecological tumor surgery (such as vaginal irrigation or disinfection procedures).</w:t>
            </w:r>
          </w:p>
        </w:tc>
        <w:tc>
          <w:tcPr>
            <w:tcW w:w="1152" w:type="dxa"/>
            <w:vAlign w:val="center"/>
          </w:tcPr>
          <w:p w14:paraId="4A3C56C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7D9C35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826EF0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523C5951" w14:textId="77777777" w:rsidTr="00547D77">
        <w:tc>
          <w:tcPr>
            <w:tcW w:w="10656" w:type="dxa"/>
            <w:gridSpan w:val="5"/>
            <w:tcBorders>
              <w:bottom w:val="single" w:sz="6" w:space="0" w:color="auto"/>
            </w:tcBorders>
            <w:vAlign w:val="center"/>
          </w:tcPr>
          <w:p w14:paraId="21F5153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137: What is the first-line treatment for vulvar Paget's disease? Under what circumstances is an additional inguinal lymphadenectomy required?</w:t>
            </w:r>
          </w:p>
        </w:tc>
      </w:tr>
      <w:tr w:rsidR="00916494" w:rsidRPr="00CB2EC4" w14:paraId="71D8CFE0" w14:textId="77777777" w:rsidTr="00547D77">
        <w:tc>
          <w:tcPr>
            <w:tcW w:w="2160" w:type="dxa"/>
            <w:vAlign w:val="center"/>
          </w:tcPr>
          <w:p w14:paraId="703B4CF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E03B58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preferred treatment for vulvar Paget's disease is surgical treatment. In the following situations, inguinal lymph node dissection should be added:  </w:t>
            </w:r>
            <w:r w:rsidRPr="00CB2EC4">
              <w:rPr>
                <w:rFonts w:ascii="Times New Roman" w:hAnsi="Times New Roman" w:cs="Times New Roman"/>
              </w:rPr>
              <w:br/>
              <w:t xml:space="preserve">1. When there is subcutaneous infiltration or concurrent vulvar apocrine gland carcinoma: radical vulvectomy and bilateral inguinal lymph node dissection are recommended.  </w:t>
            </w:r>
            <w:r w:rsidRPr="00CB2EC4">
              <w:rPr>
                <w:rFonts w:ascii="Times New Roman" w:hAnsi="Times New Roman" w:cs="Times New Roman"/>
              </w:rPr>
              <w:br/>
            </w:r>
            <w:r w:rsidRPr="00CB2EC4">
              <w:rPr>
                <w:rFonts w:ascii="Times New Roman" w:hAnsi="Times New Roman" w:cs="Times New Roman"/>
              </w:rPr>
              <w:lastRenderedPageBreak/>
              <w:t xml:space="preserve">2. When concurrent adenocarcinoma is present: treatment should follow that for invasive vulvar malignancy, typically involving radical vulvectomy and inguinal lymph node dissection.  </w:t>
            </w:r>
            <w:r w:rsidRPr="00CB2EC4">
              <w:rPr>
                <w:rFonts w:ascii="Times New Roman" w:hAnsi="Times New Roman" w:cs="Times New Roman"/>
              </w:rPr>
              <w:br/>
              <w:t xml:space="preserve">3. When carcinoma in nearby visceral organs is identified: radical vulvectomy and bilateral inguinal lymph node dissection are indicated.  </w:t>
            </w:r>
            <w:r w:rsidRPr="00CB2EC4">
              <w:rPr>
                <w:rFonts w:ascii="Times New Roman" w:hAnsi="Times New Roman" w:cs="Times New Roman"/>
              </w:rPr>
              <w:br/>
              <w:t>Additionally, for invasive lesions (e.g., invasive transformation or associated malignancy), lymph node dissection should be considered.</w:t>
            </w:r>
          </w:p>
        </w:tc>
        <w:tc>
          <w:tcPr>
            <w:tcW w:w="1152" w:type="dxa"/>
            <w:vAlign w:val="center"/>
          </w:tcPr>
          <w:p w14:paraId="5F58FA1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7F986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0682E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F8B511C" w14:textId="77777777" w:rsidTr="00547D77">
        <w:tc>
          <w:tcPr>
            <w:tcW w:w="2160" w:type="dxa"/>
            <w:vAlign w:val="center"/>
          </w:tcPr>
          <w:p w14:paraId="25ABBD2A"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884ABC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preferred treatment for extramammary Paget's disease of the vulva is surgical excision, specifically vulvectomy (which may be simple or radical depending on the case).</w:t>
            </w:r>
            <w:r w:rsidRPr="00CB2EC4">
              <w:rPr>
                <w:rFonts w:ascii="Times New Roman" w:hAnsi="Times New Roman" w:cs="Times New Roman"/>
              </w:rPr>
              <w:br/>
            </w:r>
            <w:r w:rsidRPr="00CB2EC4">
              <w:rPr>
                <w:rFonts w:ascii="Times New Roman" w:hAnsi="Times New Roman" w:cs="Times New Roman"/>
              </w:rPr>
              <w:br/>
              <w:t>Indications for adding inguinal lymph node dissection include:</w:t>
            </w:r>
            <w:r w:rsidRPr="00CB2EC4">
              <w:rPr>
                <w:rFonts w:ascii="Times New Roman" w:hAnsi="Times New Roman" w:cs="Times New Roman"/>
              </w:rPr>
              <w:br/>
              <w:t>- Presence of invasive lesions</w:t>
            </w:r>
            <w:r w:rsidRPr="00CB2EC4">
              <w:rPr>
                <w:rFonts w:ascii="Times New Roman" w:hAnsi="Times New Roman" w:cs="Times New Roman"/>
              </w:rPr>
              <w:br/>
              <w:t>- Coexistence of adenocarcinoma</w:t>
            </w:r>
            <w:r w:rsidRPr="00CB2EC4">
              <w:rPr>
                <w:rFonts w:ascii="Times New Roman" w:hAnsi="Times New Roman" w:cs="Times New Roman"/>
              </w:rPr>
              <w:br/>
              <w:t>- Association with vulvar apocrine adenocarcinoma</w:t>
            </w:r>
            <w:r w:rsidRPr="00CB2EC4">
              <w:rPr>
                <w:rFonts w:ascii="Times New Roman" w:hAnsi="Times New Roman" w:cs="Times New Roman"/>
              </w:rPr>
              <w:br/>
              <w:t>- Detection of carcinoma in nearby visceral organs (e.g., breast, rectum)</w:t>
            </w:r>
            <w:r w:rsidRPr="00CB2EC4">
              <w:rPr>
                <w:rFonts w:ascii="Times New Roman" w:hAnsi="Times New Roman" w:cs="Times New Roman"/>
              </w:rPr>
              <w:br/>
            </w:r>
            <w:r w:rsidRPr="00CB2EC4">
              <w:rPr>
                <w:rFonts w:ascii="Times New Roman" w:hAnsi="Times New Roman" w:cs="Times New Roman"/>
              </w:rPr>
              <w:br/>
              <w:t>→ In such cases, radical vulvectomy with bilateral inguinal lymph node dissection is typically recommended.</w:t>
            </w:r>
          </w:p>
        </w:tc>
        <w:tc>
          <w:tcPr>
            <w:tcW w:w="1152" w:type="dxa"/>
            <w:vAlign w:val="center"/>
          </w:tcPr>
          <w:p w14:paraId="24BEE1F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9F0619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DC4D3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41CB1F1" w14:textId="77777777" w:rsidTr="00547D77">
        <w:tc>
          <w:tcPr>
            <w:tcW w:w="10656" w:type="dxa"/>
            <w:gridSpan w:val="5"/>
            <w:tcBorders>
              <w:bottom w:val="single" w:sz="6" w:space="0" w:color="auto"/>
            </w:tcBorders>
            <w:vAlign w:val="center"/>
          </w:tcPr>
          <w:p w14:paraId="6EB36AFF"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138: When surgically treating vulvar Paget's disease, what methods should be employed to reduce the risk of recurrence?</w:t>
            </w:r>
          </w:p>
        </w:tc>
      </w:tr>
      <w:tr w:rsidR="00916494" w:rsidRPr="00CB2EC4" w14:paraId="4814D14F" w14:textId="77777777" w:rsidTr="00547D77">
        <w:tc>
          <w:tcPr>
            <w:tcW w:w="2160" w:type="dxa"/>
            <w:vAlign w:val="center"/>
          </w:tcPr>
          <w:p w14:paraId="0BE36DC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EF63AB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to reduce the risk of recurrence in the surgical treatment of vulvar Paget's disease, the following methods should be employed:  </w:t>
            </w:r>
            <w:r w:rsidRPr="00CB2EC4">
              <w:rPr>
                <w:rFonts w:ascii="Times New Roman" w:hAnsi="Times New Roman" w:cs="Times New Roman"/>
              </w:rPr>
              <w:br/>
              <w:t xml:space="preserve">1. Ensure negative surgical margins: The document emphasizes that "positive surgical margins are a </w:t>
            </w:r>
            <w:r w:rsidRPr="00CB2EC4">
              <w:rPr>
                <w:rFonts w:ascii="Times New Roman" w:hAnsi="Times New Roman" w:cs="Times New Roman"/>
              </w:rPr>
              <w:lastRenderedPageBreak/>
              <w:t xml:space="preserve">significant factor in postoperative recurrence" and recommends "taking multiple preoperative biopsy samples and using intraoperative frozen sections to guide the extent of surgery, which can reduce the rate of positive margins and postoperative recurrence" (similarity: 0.479). For patients with positive margins, "the surgical scope should be expanded until negative margins are achieved" (similarity: 0.479).  </w:t>
            </w:r>
            <w:r w:rsidRPr="00CB2EC4">
              <w:rPr>
                <w:rFonts w:ascii="Times New Roman" w:hAnsi="Times New Roman" w:cs="Times New Roman"/>
              </w:rPr>
              <w:br/>
              <w:t xml:space="preserve">2. Select appropriate surgical extent: For cases with extensive lesions, advanced age, or poor follow-up conditions, "wide vulvar excision" is recommended, as it is associated with a lower recurrence rate (similarity: 0.501). The document states that "vulvectomy has the lowest postoperative recurrence rate" and suggests that "for patients with extensive lesions, advanced age, or poor follow-up conditions, wide vulvar excision is more suitable for the current situation in China" (similarity: 0.501).  </w:t>
            </w:r>
            <w:r w:rsidRPr="00CB2EC4">
              <w:rPr>
                <w:rFonts w:ascii="Times New Roman" w:hAnsi="Times New Roman" w:cs="Times New Roman"/>
              </w:rPr>
              <w:br/>
              <w:t xml:space="preserve">3. Intraoperative rapid frozen section examination: During surgery, "rapid frozen section analysis should be performed to check for residual cancer cells at the margins, in order to determine the surgical extent and prevent postoperative recurrence" (similarity: 0.527). This allows for real-time adjustment of the surgical scope to minimize residual disease.  </w:t>
            </w:r>
            <w:r w:rsidRPr="00CB2EC4">
              <w:rPr>
                <w:rFonts w:ascii="Times New Roman" w:hAnsi="Times New Roman" w:cs="Times New Roman"/>
              </w:rPr>
              <w:br/>
              <w:t xml:space="preserve">4. Long-term follow-up monitoring: Due to the high recurrence rate of vulvar Paget's disease (reported recurrence rates range from 11% to 38%), the document advises that "patients with vulvar Paget's disease require long-term follow-up" and "repeated excision of recurrent lesions" (similarity: 0.479).  </w:t>
            </w:r>
            <w:r w:rsidRPr="00CB2EC4">
              <w:rPr>
                <w:rFonts w:ascii="Times New Roman" w:hAnsi="Times New Roman" w:cs="Times New Roman"/>
              </w:rPr>
              <w:br/>
              <w:t xml:space="preserve">5. Multi-point, multi-site sampling for pathological examination: To avoid false-negative results from intraoperative frozen sections (reported false-negative </w:t>
            </w:r>
            <w:r w:rsidRPr="00CB2EC4">
              <w:rPr>
                <w:rFonts w:ascii="Times New Roman" w:hAnsi="Times New Roman" w:cs="Times New Roman"/>
              </w:rPr>
              <w:lastRenderedPageBreak/>
              <w:t>rate: 46%), the document stresses that "multi-point, multi-site sampling must be performed for pathological examination" (similarity: 0.527) to accurately assess invasive involvement.</w:t>
            </w:r>
          </w:p>
        </w:tc>
        <w:tc>
          <w:tcPr>
            <w:tcW w:w="1152" w:type="dxa"/>
            <w:vAlign w:val="center"/>
          </w:tcPr>
          <w:p w14:paraId="373646E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84B0B5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00143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D555E28" w14:textId="77777777" w:rsidTr="00547D77">
        <w:tc>
          <w:tcPr>
            <w:tcW w:w="2160" w:type="dxa"/>
            <w:vAlign w:val="center"/>
          </w:tcPr>
          <w:p w14:paraId="61AE8E2D"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0091435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to reduce the risk of recurrence in the surgical treatment of vulvar Paget's disease, the following methods should be employed:</w:t>
            </w:r>
            <w:r w:rsidRPr="00CB2EC4">
              <w:rPr>
                <w:rFonts w:ascii="Times New Roman" w:hAnsi="Times New Roman" w:cs="Times New Roman"/>
              </w:rPr>
              <w:br/>
            </w:r>
            <w:r w:rsidRPr="00CB2EC4">
              <w:rPr>
                <w:rFonts w:ascii="Times New Roman" w:hAnsi="Times New Roman" w:cs="Times New Roman"/>
              </w:rPr>
              <w:br/>
              <w:t xml:space="preserve">1. Extended resection range: The incision should be more than 3 cm from the edge of the lesion, deep enough to reach the subcutaneous fat layer, and include all hair follicle appendage tissues.  </w:t>
            </w:r>
            <w:r w:rsidRPr="00CB2EC4">
              <w:rPr>
                <w:rFonts w:ascii="Times New Roman" w:hAnsi="Times New Roman" w:cs="Times New Roman"/>
              </w:rPr>
              <w:br/>
              <w:t xml:space="preserve">2. Ensure negative margins: Positive surgical margins are one of the significant factors for postoperative recurrence. Therefore, it is recommended to extend the surgical range until negative margins are achieved for cases with positive lesion margins. Preoperative multiple-site biopsies and intraoperative frozen sections to guide the surgical range can reduce the positive margin rate and minimize postoperative recurrence.  </w:t>
            </w:r>
            <w:r w:rsidRPr="00CB2EC4">
              <w:rPr>
                <w:rFonts w:ascii="Times New Roman" w:hAnsi="Times New Roman" w:cs="Times New Roman"/>
              </w:rPr>
              <w:br/>
              <w:t>3. Multiple-site sampling for examination: Sampling must be conducted at multiple sites and locations for pathological examination.</w:t>
            </w:r>
          </w:p>
        </w:tc>
        <w:tc>
          <w:tcPr>
            <w:tcW w:w="1152" w:type="dxa"/>
            <w:vAlign w:val="center"/>
          </w:tcPr>
          <w:p w14:paraId="5FD054A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64BE5B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8B9072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7BEF2583" w14:textId="77777777" w:rsidTr="00547D77">
        <w:tc>
          <w:tcPr>
            <w:tcW w:w="10656" w:type="dxa"/>
            <w:gridSpan w:val="5"/>
            <w:tcBorders>
              <w:bottom w:val="single" w:sz="6" w:space="0" w:color="auto"/>
            </w:tcBorders>
            <w:vAlign w:val="center"/>
          </w:tcPr>
          <w:p w14:paraId="3F09F45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139: During a total vaginectomy, to achieve complete dissection of the vaginal sleeve, which key ligaments or muscle tissues need to be transected and managed in the upper, middle, and lower segments of the vagina, respectively?</w:t>
            </w:r>
          </w:p>
        </w:tc>
      </w:tr>
      <w:tr w:rsidR="00916494" w:rsidRPr="00CB2EC4" w14:paraId="3E2DAFDF" w14:textId="77777777" w:rsidTr="00547D77">
        <w:tc>
          <w:tcPr>
            <w:tcW w:w="2160" w:type="dxa"/>
            <w:vAlign w:val="center"/>
          </w:tcPr>
          <w:p w14:paraId="207EFB1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274705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During a total vaginectomy, to completely dissect the vaginal cuff, the following key ligaments or muscular structures must be transected and managed at the upper, middle, and lower segments of the vagina:</w:t>
            </w:r>
            <w:r w:rsidRPr="00CB2EC4">
              <w:rPr>
                <w:rFonts w:ascii="Times New Roman" w:hAnsi="Times New Roman" w:cs="Times New Roman"/>
              </w:rPr>
              <w:br/>
            </w:r>
            <w:r w:rsidRPr="00CB2EC4">
              <w:rPr>
                <w:rFonts w:ascii="Times New Roman" w:hAnsi="Times New Roman" w:cs="Times New Roman"/>
              </w:rPr>
              <w:br/>
              <w:t>1. **Upper Segment (Vaginal Fornix Region):**</w:t>
            </w:r>
            <w:r w:rsidRPr="00CB2EC4">
              <w:rPr>
                <w:rFonts w:ascii="Times New Roman" w:hAnsi="Times New Roman" w:cs="Times New Roman"/>
              </w:rPr>
              <w:br/>
              <w:t xml:space="preserve">   - **Cardinal Ligaments (Transverse Cervical </w:t>
            </w:r>
            <w:r w:rsidRPr="00CB2EC4">
              <w:rPr>
                <w:rFonts w:ascii="Times New Roman" w:hAnsi="Times New Roman" w:cs="Times New Roman"/>
              </w:rPr>
              <w:lastRenderedPageBreak/>
              <w:t>Ligaments):** Located bilaterally at the vaginal fornix, extending laterally to the pelvic sidewall. Must be transected to free the superior and lateral attachments of the vaginal fornix.</w:t>
            </w:r>
            <w:r w:rsidRPr="00CB2EC4">
              <w:rPr>
                <w:rFonts w:ascii="Times New Roman" w:hAnsi="Times New Roman" w:cs="Times New Roman"/>
              </w:rPr>
              <w:br/>
              <w:t xml:space="preserve">   - **Sacrouterine Ligaments:** Fibromuscular ligaments connecting the posterior-superior wall of the vaginal fornix to the presacral fascia. Must be transected to free the superior edge of the posterior vaginal fornix.</w:t>
            </w:r>
            <w:r w:rsidRPr="00CB2EC4">
              <w:rPr>
                <w:rFonts w:ascii="Times New Roman" w:hAnsi="Times New Roman" w:cs="Times New Roman"/>
              </w:rPr>
              <w:br/>
              <w:t xml:space="preserve">   - **Pubocervical Ligaments (Vesicouterine Ligaments):** Fibromuscular bundles connecting the bladder neck/anterior vaginal wall to the posterior aspect of the pubic symphysis. Their attachments to the anterior vaginal wall must be sharply or bluntly dissected and transected.</w:t>
            </w:r>
            <w:r w:rsidRPr="00CB2EC4">
              <w:rPr>
                <w:rFonts w:ascii="Times New Roman" w:hAnsi="Times New Roman" w:cs="Times New Roman"/>
              </w:rPr>
              <w:br/>
              <w:t xml:space="preserve">   - **Rectovaginal Septum (Rectovaginal Fascia):** A dense connective tissue septum between the posterior vaginal wall and the anterior rectal wall. Sharp dissection along this plane is required to separate the rectum from the posterior vaginal wall.</w:t>
            </w:r>
            <w:r w:rsidRPr="00CB2EC4">
              <w:rPr>
                <w:rFonts w:ascii="Times New Roman" w:hAnsi="Times New Roman" w:cs="Times New Roman"/>
              </w:rPr>
              <w:br/>
              <w:t xml:space="preserve">   - **Round Ligaments of the Uterus:** If the uterus has been removed, their remnants (typically attached to the anterolateral vaginal fornix) must be ligated and transected.</w:t>
            </w:r>
            <w:r w:rsidRPr="00CB2EC4">
              <w:rPr>
                <w:rFonts w:ascii="Times New Roman" w:hAnsi="Times New Roman" w:cs="Times New Roman"/>
              </w:rPr>
              <w:br/>
            </w:r>
            <w:r w:rsidRPr="00CB2EC4">
              <w:rPr>
                <w:rFonts w:ascii="Times New Roman" w:hAnsi="Times New Roman" w:cs="Times New Roman"/>
              </w:rPr>
              <w:br/>
              <w:t>2. **Middle Segment (Lateral Vaginal Wall):**</w:t>
            </w:r>
            <w:r w:rsidRPr="00CB2EC4">
              <w:rPr>
                <w:rFonts w:ascii="Times New Roman" w:hAnsi="Times New Roman" w:cs="Times New Roman"/>
              </w:rPr>
              <w:br/>
              <w:t xml:space="preserve">   - **Cardinal Ligaments (Continuation):** Continue distally along the middle segment of the lateral vaginal wall to dissect and transect the distal fibers of the cardinal ligaments until reaching the level of the pelvic diaphragm.</w:t>
            </w:r>
            <w:r w:rsidRPr="00CB2EC4">
              <w:rPr>
                <w:rFonts w:ascii="Times New Roman" w:hAnsi="Times New Roman" w:cs="Times New Roman"/>
              </w:rPr>
              <w:br/>
              <w:t xml:space="preserve">   - **Vesicovaginal Ligaments (Bladder Pillars):** Fibrous bundles located bilaterally at the middle segment of the anterior vaginal wall, connecting the </w:t>
            </w:r>
            <w:r w:rsidRPr="00CB2EC4">
              <w:rPr>
                <w:rFonts w:ascii="Times New Roman" w:hAnsi="Times New Roman" w:cs="Times New Roman"/>
              </w:rPr>
              <w:lastRenderedPageBreak/>
              <w:t>bladder to the vagina. Must be carefully dissected and transected.</w:t>
            </w:r>
            <w:r w:rsidRPr="00CB2EC4">
              <w:rPr>
                <w:rFonts w:ascii="Times New Roman" w:hAnsi="Times New Roman" w:cs="Times New Roman"/>
              </w:rPr>
              <w:br/>
              <w:t xml:space="preserve">   - **Lateral Rectal Ligaments (Continuation of Rectovaginal Fascia):** Fascial attachments of the rectum at the lateral aspect of the middle segment of the posterior vaginal wall. Must be sharply dissected and transected.</w:t>
            </w:r>
            <w:r w:rsidRPr="00CB2EC4">
              <w:rPr>
                <w:rFonts w:ascii="Times New Roman" w:hAnsi="Times New Roman" w:cs="Times New Roman"/>
              </w:rPr>
              <w:br/>
              <w:t xml:space="preserve">   - **Superior Fascia of the Pelvic Diaphragm and Muscular Attachments:** The middle-lower segment of the lateral vaginal wall is attached to the superior fascia of the pelvic diaphragm and pelvic diaphragm muscles (primarily the pubococcygeus muscle). Sharp or blunt dissection is required to free the lateral vaginal wall.</w:t>
            </w:r>
            <w:r w:rsidRPr="00CB2EC4">
              <w:rPr>
                <w:rFonts w:ascii="Times New Roman" w:hAnsi="Times New Roman" w:cs="Times New Roman"/>
              </w:rPr>
              <w:br/>
            </w:r>
            <w:r w:rsidRPr="00CB2EC4">
              <w:rPr>
                <w:rFonts w:ascii="Times New Roman" w:hAnsi="Times New Roman" w:cs="Times New Roman"/>
              </w:rPr>
              <w:br/>
              <w:t>3. **Lower Segment (Vaginal Vestibule and Perineal Body Region):**</w:t>
            </w:r>
            <w:r w:rsidRPr="00CB2EC4">
              <w:rPr>
                <w:rFonts w:ascii="Times New Roman" w:hAnsi="Times New Roman" w:cs="Times New Roman"/>
              </w:rPr>
              <w:br/>
              <w:t xml:space="preserve">   - **Urethrovaginal Septum (Pubovesical Ligaments):** A dense fibrous tissue septum between the urethra and the lower segment of the anterior vaginal wall. Dissection along this plane is required to transect its connections.</w:t>
            </w:r>
            <w:r w:rsidRPr="00CB2EC4">
              <w:rPr>
                <w:rFonts w:ascii="Times New Roman" w:hAnsi="Times New Roman" w:cs="Times New Roman"/>
              </w:rPr>
              <w:br/>
              <w:t xml:space="preserve">   - **Perineal Body (Central Tendon of the Perineum):** The lower segment of the posterior vaginal wall (perineal body) is firmly attached to the perineal body. Sharp or blunt dissection is required to completely separate the lower posterior vaginal wall from the perineal body.</w:t>
            </w:r>
            <w:r w:rsidRPr="00CB2EC4">
              <w:rPr>
                <w:rFonts w:ascii="Times New Roman" w:hAnsi="Times New Roman" w:cs="Times New Roman"/>
              </w:rPr>
              <w:br/>
              <w:t xml:space="preserve">   - **Levator Ani Muscle (Pelvic Diaphragm Muscle) Attachments:** The fascial and muscular attachments of the lower segment of the lateral vaginal wall to the levator ani muscles (pubococcygeus and iliococcygeus muscles) must be completely dissected and transected.</w:t>
            </w:r>
            <w:r w:rsidRPr="00CB2EC4">
              <w:rPr>
                <w:rFonts w:ascii="Times New Roman" w:hAnsi="Times New Roman" w:cs="Times New Roman"/>
              </w:rPr>
              <w:br/>
              <w:t xml:space="preserve">   - **Bulbospongiosus Muscles:** Muscles covering </w:t>
            </w:r>
            <w:r w:rsidRPr="00CB2EC4">
              <w:rPr>
                <w:rFonts w:ascii="Times New Roman" w:hAnsi="Times New Roman" w:cs="Times New Roman"/>
              </w:rPr>
              <w:lastRenderedPageBreak/>
              <w:t>the bilateral entrance of the vaginal vestibule, with medial attachments to the mucosa and fascia around the vaginal orifice. Their connections to the vagina must be transected.</w:t>
            </w:r>
            <w:r w:rsidRPr="00CB2EC4">
              <w:rPr>
                <w:rFonts w:ascii="Times New Roman" w:hAnsi="Times New Roman" w:cs="Times New Roman"/>
              </w:rPr>
              <w:br/>
              <w:t xml:space="preserve">   - **Ischiocavernosus Muscles:** Located near the ischial tuberosities, primarily attached to the crura of the clitoris, with indirect attachments to the tissues around the vaginal orifice. Their attachments are typically managed during the dissection of the soft tissues around the vaginal orifice.</w:t>
            </w:r>
            <w:r w:rsidRPr="00CB2EC4">
              <w:rPr>
                <w:rFonts w:ascii="Times New Roman" w:hAnsi="Times New Roman" w:cs="Times New Roman"/>
              </w:rPr>
              <w:br/>
              <w:t xml:space="preserve">   - **Superficial Transverse Perineal Muscles:** Muscles connecting the ischial tuberosities, whose fascia may be attached to the lateral wall of the lower vaginal segment. Must be dissected and transected.</w:t>
            </w:r>
            <w:r w:rsidRPr="00CB2EC4">
              <w:rPr>
                <w:rFonts w:ascii="Times New Roman" w:hAnsi="Times New Roman" w:cs="Times New Roman"/>
              </w:rPr>
              <w:br/>
              <w:t xml:space="preserve">   - **Paravaginal Tissue:** Blood vessels and nerve plexuses within the loose connective tissue between the lower segment of the lateral vaginal wall and the pelvic diaphragm fascia/muscles must be carefully ligated or coagulated.</w:t>
            </w:r>
            <w:r w:rsidRPr="00CB2EC4">
              <w:rPr>
                <w:rFonts w:ascii="Times New Roman" w:hAnsi="Times New Roman" w:cs="Times New Roman"/>
              </w:rPr>
              <w:br/>
            </w:r>
            <w:r w:rsidRPr="00CB2EC4">
              <w:rPr>
                <w:rFonts w:ascii="Times New Roman" w:hAnsi="Times New Roman" w:cs="Times New Roman"/>
              </w:rPr>
              <w:br/>
              <w:t>→ **Dissection Sequence:** Typically, the upper segment (fornix) ligaments (cardinal ligaments, sacrouterine ligaments, pubocervical ligaments, rectovaginal septum) are addressed first, followed by dissection along the middle segment lateral wall (distal cardinal ligaments, vesicovaginal ligaments, lateral rectal ligaments, and pelvic diaphragm attachments). Finally, the lower segment (perineal body, urethrovaginal septum, pelvic diaphragm muscles, and surrounding muscular attachments) is managed. Hemostasis must be maintained throughout, and adjacent structures (urethra, bladder, rectum) must be protected.</w:t>
            </w:r>
          </w:p>
        </w:tc>
        <w:tc>
          <w:tcPr>
            <w:tcW w:w="1152" w:type="dxa"/>
            <w:vAlign w:val="center"/>
          </w:tcPr>
          <w:p w14:paraId="080757A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CBB9B6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444CB0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19807E7B" w14:textId="77777777" w:rsidTr="00547D77">
        <w:tc>
          <w:tcPr>
            <w:tcW w:w="2160" w:type="dxa"/>
            <w:vAlign w:val="center"/>
          </w:tcPr>
          <w:p w14:paraId="79C0E02A"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 xml:space="preserve">Chunk size=256, </w:t>
            </w:r>
            <w:r>
              <w:rPr>
                <w:rFonts w:ascii="Times New Roman" w:hAnsi="Times New Roman" w:cs="Times New Roman"/>
              </w:rPr>
              <w:lastRenderedPageBreak/>
              <w:t>Overlap=100 Using SentenceSplitter</w:t>
            </w:r>
          </w:p>
        </w:tc>
        <w:tc>
          <w:tcPr>
            <w:tcW w:w="5040" w:type="dxa"/>
            <w:vAlign w:val="center"/>
          </w:tcPr>
          <w:p w14:paraId="7764A98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 xml:space="preserve">The provided document does not specify the key </w:t>
            </w:r>
            <w:r w:rsidRPr="00CB2EC4">
              <w:rPr>
                <w:rFonts w:ascii="Times New Roman" w:hAnsi="Times New Roman" w:cs="Times New Roman"/>
              </w:rPr>
              <w:lastRenderedPageBreak/>
              <w:t xml:space="preserve">ligaments or muscle tissues that need to be severed and managed at the upper, middle, and lower segments of the vagina during a total vaginectomy for complete dissection of the vaginal cuff.  </w:t>
            </w:r>
            <w:r w:rsidRPr="00CB2EC4">
              <w:rPr>
                <w:rFonts w:ascii="Times New Roman" w:hAnsi="Times New Roman" w:cs="Times New Roman"/>
              </w:rPr>
              <w:br/>
              <w:t xml:space="preserve">The document describes the general steps for circumferential vaginal wall incision and formation of the vaginal "sleeve":  </w:t>
            </w:r>
            <w:r w:rsidRPr="00CB2EC4">
              <w:rPr>
                <w:rFonts w:ascii="Times New Roman" w:hAnsi="Times New Roman" w:cs="Times New Roman"/>
              </w:rPr>
              <w:br/>
              <w:t xml:space="preserve">- "At least 3 cm away from the tumor margin, perform a full-thickness circumferential incision of the vaginal wall... Dissect upward the vesicovaginal space, cut the connective tissue between the pubovesical fascia and the cervicovaginal fascia, and push the bladder aside. Then clamp the posterior vaginal wall incision margin and dissect posteriorly and superiorly the rectovaginal space to reach the peritoneal reflection at the uterorectal pouch. Subsequently, dissect and expand the paravaginal tissues laterally toward the pelvic sidewalls, severing and suturing them laterally." (similarity 0.559)  </w:t>
            </w:r>
            <w:r w:rsidRPr="00CB2EC4">
              <w:rPr>
                <w:rFonts w:ascii="Times New Roman" w:hAnsi="Times New Roman" w:cs="Times New Roman"/>
              </w:rPr>
              <w:br/>
              <w:t xml:space="preserve">This section addresses general anatomical areas (e.g., vesicovaginal space, rectovaginal space, paravaginal tissues) but does not segment the procedure by upper, middle, and lower vaginal levels or identify specific structures such as the cardinal ligaments or uterosacral ligaments per segment.  </w:t>
            </w:r>
            <w:r w:rsidRPr="00CB2EC4">
              <w:rPr>
                <w:rFonts w:ascii="Times New Roman" w:hAnsi="Times New Roman" w:cs="Times New Roman"/>
              </w:rPr>
              <w:br/>
              <w:t>Response: No answer found in the knowledge base. The document does not contain specific information on the ligaments or muscle tissues to be severed and managed at the upper, middle, and lower vaginal segments during a total vaginectomy.</w:t>
            </w:r>
          </w:p>
        </w:tc>
        <w:tc>
          <w:tcPr>
            <w:tcW w:w="1152" w:type="dxa"/>
            <w:vAlign w:val="center"/>
          </w:tcPr>
          <w:p w14:paraId="6BC7E2F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E5B694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3E3E97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7CC3F71E" w14:textId="77777777" w:rsidTr="00547D77">
        <w:tc>
          <w:tcPr>
            <w:tcW w:w="10656" w:type="dxa"/>
            <w:gridSpan w:val="5"/>
            <w:tcBorders>
              <w:bottom w:val="single" w:sz="6" w:space="0" w:color="auto"/>
            </w:tcBorders>
            <w:vAlign w:val="center"/>
          </w:tcPr>
          <w:p w14:paraId="7180FF02"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140: A patient develops severe cervical stenosis several months after treatment for a cervical lesion. Among the various treatment modalities for cervical lesions (e.g., cold knife conization, laser conization, LEEP), which surgical procedure is most likely to cause this complication? Please also describe two key risk factors associated with the occurrence of this complication.</w:t>
            </w:r>
          </w:p>
        </w:tc>
      </w:tr>
      <w:tr w:rsidR="00916494" w:rsidRPr="00CB2EC4" w14:paraId="2FEBB33F" w14:textId="77777777" w:rsidTr="00547D77">
        <w:tc>
          <w:tcPr>
            <w:tcW w:w="2160" w:type="dxa"/>
            <w:vAlign w:val="center"/>
          </w:tcPr>
          <w:p w14:paraId="04EC42CC"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size=512, Overlap=0 Using TokenTextSplitter</w:t>
            </w:r>
          </w:p>
        </w:tc>
        <w:tc>
          <w:tcPr>
            <w:tcW w:w="5040" w:type="dxa"/>
            <w:vAlign w:val="center"/>
          </w:tcPr>
          <w:p w14:paraId="76CB3A3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Cold knife conization is most likely to cause severe cervical canal stenosis.</w:t>
            </w:r>
            <w:r w:rsidRPr="00CB2EC4">
              <w:rPr>
                <w:rFonts w:ascii="Times New Roman" w:hAnsi="Times New Roman" w:cs="Times New Roman"/>
              </w:rPr>
              <w:br/>
            </w:r>
            <w:r w:rsidRPr="00CB2EC4">
              <w:rPr>
                <w:rFonts w:ascii="Times New Roman" w:hAnsi="Times New Roman" w:cs="Times New Roman"/>
              </w:rPr>
              <w:br/>
              <w:t>Two key risk factors:</w:t>
            </w:r>
            <w:r w:rsidRPr="00CB2EC4">
              <w:rPr>
                <w:rFonts w:ascii="Times New Roman" w:hAnsi="Times New Roman" w:cs="Times New Roman"/>
              </w:rPr>
              <w:br/>
              <w:t>1. Extent of resection (especially cone depth and width): The larger the resection range, particularly when the depth exceeds 10mm or the width exceeds 2-3 times the external cervical os, the greater the loss of cervical canal tissue, significantly increasing the risk of scar formation.</w:t>
            </w:r>
            <w:r w:rsidRPr="00CB2EC4">
              <w:rPr>
                <w:rFonts w:ascii="Times New Roman" w:hAnsi="Times New Roman" w:cs="Times New Roman"/>
              </w:rPr>
              <w:br/>
              <w:t>2. Degree of electrocoagulation or cauterization at the surgical margins: Excessive use of electrocoagulation for hemostasis can cause thermal damage, impairing the regenerative capacity of the cervical canal mucosa and leading to fibrotic stenosis.</w:t>
            </w:r>
            <w:r w:rsidRPr="00CB2EC4">
              <w:rPr>
                <w:rFonts w:ascii="Times New Roman" w:hAnsi="Times New Roman" w:cs="Times New Roman"/>
              </w:rPr>
              <w:br/>
            </w:r>
            <w:r w:rsidRPr="00CB2EC4">
              <w:rPr>
                <w:rFonts w:ascii="Times New Roman" w:hAnsi="Times New Roman" w:cs="Times New Roman"/>
              </w:rPr>
              <w:br/>
              <w:t>→ Cold knife conization, due to the use of sharp blades for extensive anatomical resection and often requiring extensive electrocoagulation for hemostasis, has a higher incidence of cervical canal stenosis compared to laser conization and LEEP. Laser and LEEP can reduce the risk of deep tissue damage through precise control of the treatment area and superficial coagulation.</w:t>
            </w:r>
          </w:p>
        </w:tc>
        <w:tc>
          <w:tcPr>
            <w:tcW w:w="1152" w:type="dxa"/>
            <w:vAlign w:val="center"/>
          </w:tcPr>
          <w:p w14:paraId="6D84387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4776FA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503DAB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27A96C05" w14:textId="77777777" w:rsidTr="00547D77">
        <w:tc>
          <w:tcPr>
            <w:tcW w:w="2160" w:type="dxa"/>
            <w:vAlign w:val="center"/>
          </w:tcPr>
          <w:p w14:paraId="0048340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D01D17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Among cervical lesion treatment methods such as cold knife conization, laser conization, and LEEP (loop electrosurgical excision procedure), **LEEP is most likely to cause cervical canal stenosis**.</w:t>
            </w:r>
            <w:r w:rsidRPr="00CB2EC4">
              <w:rPr>
                <w:rFonts w:ascii="Times New Roman" w:hAnsi="Times New Roman" w:cs="Times New Roman"/>
              </w:rPr>
              <w:br/>
            </w:r>
            <w:r w:rsidRPr="00CB2EC4">
              <w:rPr>
                <w:rFonts w:ascii="Times New Roman" w:hAnsi="Times New Roman" w:cs="Times New Roman"/>
              </w:rPr>
              <w:br/>
              <w:t>Two key risk factors associated with this complication are:</w:t>
            </w:r>
            <w:r w:rsidRPr="00CB2EC4">
              <w:rPr>
                <w:rFonts w:ascii="Times New Roman" w:hAnsi="Times New Roman" w:cs="Times New Roman"/>
              </w:rPr>
              <w:br/>
            </w:r>
            <w:r w:rsidRPr="00CB2EC4">
              <w:rPr>
                <w:rFonts w:ascii="Times New Roman" w:hAnsi="Times New Roman" w:cs="Times New Roman"/>
              </w:rPr>
              <w:br/>
              <w:t xml:space="preserve">1.  **Volume and depth of tissue resection**  </w:t>
            </w:r>
            <w:r w:rsidRPr="00CB2EC4">
              <w:rPr>
                <w:rFonts w:ascii="Times New Roman" w:hAnsi="Times New Roman" w:cs="Times New Roman"/>
              </w:rPr>
              <w:br/>
              <w:t xml:space="preserve">    The larger the resection range and the deeper the </w:t>
            </w:r>
            <w:r w:rsidRPr="00CB2EC4">
              <w:rPr>
                <w:rFonts w:ascii="Times New Roman" w:hAnsi="Times New Roman" w:cs="Times New Roman"/>
              </w:rPr>
              <w:lastRenderedPageBreak/>
              <w:t>cone, the more severe the damage to the cervical stroma, the higher the risk of scar formation, and consequently, the increased incidence of cervical canal stenosis.</w:t>
            </w:r>
            <w:r w:rsidRPr="00CB2EC4">
              <w:rPr>
                <w:rFonts w:ascii="Times New Roman" w:hAnsi="Times New Roman" w:cs="Times New Roman"/>
              </w:rPr>
              <w:br/>
            </w:r>
            <w:r w:rsidRPr="00CB2EC4">
              <w:rPr>
                <w:rFonts w:ascii="Times New Roman" w:hAnsi="Times New Roman" w:cs="Times New Roman"/>
              </w:rPr>
              <w:br/>
              <w:t xml:space="preserve">2.  **Postoperative infection or inflammatory response**  </w:t>
            </w:r>
            <w:r w:rsidRPr="00CB2EC4">
              <w:rPr>
                <w:rFonts w:ascii="Times New Roman" w:hAnsi="Times New Roman" w:cs="Times New Roman"/>
              </w:rPr>
              <w:br/>
              <w:t xml:space="preserve">    Postoperative infection can trigger significant inflammatory reactions and fibrotic healing processes, leading to excessive scarring of cervical tissue and significantly increasing the risk of cervical canal stenosis.</w:t>
            </w:r>
            <w:r w:rsidRPr="00CB2EC4">
              <w:rPr>
                <w:rFonts w:ascii="Times New Roman" w:hAnsi="Times New Roman" w:cs="Times New Roman"/>
              </w:rPr>
              <w:br/>
            </w:r>
            <w:r w:rsidRPr="00CB2EC4">
              <w:rPr>
                <w:rFonts w:ascii="Times New Roman" w:hAnsi="Times New Roman" w:cs="Times New Roman"/>
              </w:rPr>
              <w:br/>
              <w:t>No answer was found in the knowledge base. The document does not provide information comparing the risks of cervical canal stenosis caused by cervical lesion treatment methods (cold knife conization, laser conization, LEEP) or related risk factors.</w:t>
            </w:r>
          </w:p>
        </w:tc>
        <w:tc>
          <w:tcPr>
            <w:tcW w:w="1152" w:type="dxa"/>
            <w:vAlign w:val="center"/>
          </w:tcPr>
          <w:p w14:paraId="79CD3D3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1B2226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9DE7E8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3E667889" w14:textId="77777777" w:rsidTr="00547D77">
        <w:tc>
          <w:tcPr>
            <w:tcW w:w="10656" w:type="dxa"/>
            <w:gridSpan w:val="5"/>
            <w:tcBorders>
              <w:bottom w:val="single" w:sz="6" w:space="0" w:color="auto"/>
            </w:tcBorders>
            <w:vAlign w:val="center"/>
          </w:tcPr>
          <w:p w14:paraId="29A1C74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141: What are the differences in anatomical dissection between an intrafascial hysterectomy and a simple hysterectomy?</w:t>
            </w:r>
          </w:p>
        </w:tc>
      </w:tr>
      <w:tr w:rsidR="00916494" w:rsidRPr="00CB2EC4" w14:paraId="2563DAF4" w14:textId="77777777" w:rsidTr="00547D77">
        <w:tc>
          <w:tcPr>
            <w:tcW w:w="2160" w:type="dxa"/>
            <w:vAlign w:val="center"/>
          </w:tcPr>
          <w:p w14:paraId="7C2AEAC5"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57D80F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What are the differences in anatomical approach between intramural hysterectomy and conservative (standard) hysterectomy?</w:t>
            </w:r>
            <w:r w:rsidRPr="00CB2EC4">
              <w:rPr>
                <w:rFonts w:ascii="Times New Roman" w:hAnsi="Times New Roman" w:cs="Times New Roman"/>
              </w:rPr>
              <w:br/>
            </w:r>
            <w:r w:rsidRPr="00CB2EC4">
              <w:rPr>
                <w:rFonts w:ascii="Times New Roman" w:hAnsi="Times New Roman" w:cs="Times New Roman"/>
              </w:rPr>
              <w:br/>
              <w:t>In terms of anatomical approach, the main differences between intramural hysterectomy and conservative (standard) hysterectomy lie in the handling of the cervical fascia, the extent of bladder dissection, and the need for rectal separation:</w:t>
            </w:r>
            <w:r w:rsidRPr="00CB2EC4">
              <w:rPr>
                <w:rFonts w:ascii="Times New Roman" w:hAnsi="Times New Roman" w:cs="Times New Roman"/>
              </w:rPr>
              <w:br/>
              <w:t xml:space="preserve">- Intramural hysterectomy: The procedure is performed within the cervical fascia, preserving all or most of the cervical fascia. The bladder is pushed down only to the mid-cervix level, and rectal </w:t>
            </w:r>
            <w:r w:rsidRPr="00CB2EC4">
              <w:rPr>
                <w:rFonts w:ascii="Times New Roman" w:hAnsi="Times New Roman" w:cs="Times New Roman"/>
              </w:rPr>
              <w:lastRenderedPageBreak/>
              <w:t>dissection is not required. This reduces the risk of urinary system complications, as the operation is limited below the isthmus of the cervix (similarity 0.597 segment).</w:t>
            </w:r>
            <w:r w:rsidRPr="00CB2EC4">
              <w:rPr>
                <w:rFonts w:ascii="Times New Roman" w:hAnsi="Times New Roman" w:cs="Times New Roman"/>
              </w:rPr>
              <w:br/>
              <w:t>- Conservative hysterectomy: Only the parametrial and adjacent portions of the cervical fascia are preserved. During surgery, the bladder must be dissected down to the anterior vaginal fornix, and rectal separation may be performed depending on the length of vaginal resection. This involves a broader bladder dissection, which may increase operative complexity (similarity 0.597 segment).</w:t>
            </w:r>
            <w:r w:rsidRPr="00CB2EC4">
              <w:rPr>
                <w:rFonts w:ascii="Times New Roman" w:hAnsi="Times New Roman" w:cs="Times New Roman"/>
              </w:rPr>
              <w:br/>
              <w:t>In summary, the intramural approach emphasizes preservation of fascia and reduced bladder mobilization, whereas the conservative approach involves deeper bladder dissection and possible partial rectal separation.</w:t>
            </w:r>
          </w:p>
        </w:tc>
        <w:tc>
          <w:tcPr>
            <w:tcW w:w="1152" w:type="dxa"/>
            <w:vAlign w:val="center"/>
          </w:tcPr>
          <w:p w14:paraId="0AC8CE0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493F38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F147F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65FE14D" w14:textId="77777777" w:rsidTr="00547D77">
        <w:tc>
          <w:tcPr>
            <w:tcW w:w="2160" w:type="dxa"/>
            <w:vAlign w:val="center"/>
          </w:tcPr>
          <w:p w14:paraId="02D389E7"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85E0C6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main differences in anatomical approach between intrafascial hysterectomy and conservative hysterectomy are as follows:</w:t>
            </w:r>
            <w:r w:rsidRPr="00CB2EC4">
              <w:rPr>
                <w:rFonts w:ascii="Times New Roman" w:hAnsi="Times New Roman" w:cs="Times New Roman"/>
              </w:rPr>
              <w:br/>
              <w:t>- Intrafascial hysterectomy: The procedure is performed within the cervical fascia, preserving all or most of the cervical fascia. During surgery, the bladder only needs to be pushed down to the mid-cervix, and separation of the rectum is not required. This reduces the extent of bladder and rectal dissection and lowers the risk of injury to adjacent organs.</w:t>
            </w:r>
            <w:r w:rsidRPr="00CB2EC4">
              <w:rPr>
                <w:rFonts w:ascii="Times New Roman" w:hAnsi="Times New Roman" w:cs="Times New Roman"/>
              </w:rPr>
              <w:br/>
              <w:t xml:space="preserve">- Conservative hysterectomy: Only the parametrium and adjacent portions of the cervical fascia are preserved. During surgery, the bladder must be pushed down to the anterior vaginal fornix, and separation of the rectum may or may not be performed depending on the length of vaginal resection. This increases the </w:t>
            </w:r>
            <w:r w:rsidRPr="00CB2EC4">
              <w:rPr>
                <w:rFonts w:ascii="Times New Roman" w:hAnsi="Times New Roman" w:cs="Times New Roman"/>
              </w:rPr>
              <w:lastRenderedPageBreak/>
              <w:t>extent of bladder dissection and may involve more tissue manipulation.</w:t>
            </w:r>
            <w:r w:rsidRPr="00CB2EC4">
              <w:rPr>
                <w:rFonts w:ascii="Times New Roman" w:hAnsi="Times New Roman" w:cs="Times New Roman"/>
              </w:rPr>
              <w:br/>
            </w:r>
            <w:r w:rsidRPr="00CB2EC4">
              <w:rPr>
                <w:rFonts w:ascii="Times New Roman" w:hAnsi="Times New Roman" w:cs="Times New Roman"/>
              </w:rPr>
              <w:br/>
              <w:t>The document explicitly describes this distinction: "Intrafascial hysterectomy... is performed within the cervical fascia, preserving all or most of the cervical fascia... pushing the bladder down to the mid-cervix suffices, and rectal separation is not needed. In contrast, conservative hysterectomy... preserves only the parametrium and adjacent portions of the cervical fascia... the bladder must be pushed down to the anterior vaginal fornix during surgery, and rectal separation may or may not be performed depending on the length of vaginal resection." (similarity: 0.633)</w:t>
            </w:r>
          </w:p>
        </w:tc>
        <w:tc>
          <w:tcPr>
            <w:tcW w:w="1152" w:type="dxa"/>
            <w:vAlign w:val="center"/>
          </w:tcPr>
          <w:p w14:paraId="1B0FA39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202C6B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8E04E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5815DE6" w14:textId="77777777" w:rsidTr="00547D77">
        <w:tc>
          <w:tcPr>
            <w:tcW w:w="10656" w:type="dxa"/>
            <w:gridSpan w:val="5"/>
            <w:tcBorders>
              <w:bottom w:val="single" w:sz="6" w:space="0" w:color="auto"/>
            </w:tcBorders>
            <w:vAlign w:val="center"/>
          </w:tcPr>
          <w:p w14:paraId="2752FB5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142: In a vaginal hysterectomy, what is the rationale for determining the length of the upper vagina to be resected?</w:t>
            </w:r>
          </w:p>
        </w:tc>
      </w:tr>
      <w:tr w:rsidR="00916494" w:rsidRPr="00CB2EC4" w14:paraId="584450EA" w14:textId="77777777" w:rsidTr="00547D77">
        <w:tc>
          <w:tcPr>
            <w:tcW w:w="2160" w:type="dxa"/>
            <w:vAlign w:val="center"/>
          </w:tcPr>
          <w:p w14:paraId="3EFC0EDB"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6D2BA4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basis for determining the length of the upper vaginal segment to be resected during vaginal hysterectomy is the location of the lesion as indicated by colposcopy or iodine test. Specifically:  </w:t>
            </w:r>
            <w:r w:rsidRPr="00CB2EC4">
              <w:rPr>
                <w:rFonts w:ascii="Times New Roman" w:hAnsi="Times New Roman" w:cs="Times New Roman"/>
              </w:rPr>
              <w:br/>
              <w:t xml:space="preserve">- The resection length should be 0.5 to 0.6 cm below the lesion area, and typically resecting 1 to 2 cm is sufficient. This ensures complete removal of the diseased tissue while minimizing the risk of recurrence (source segment with similarity 0.522).  </w:t>
            </w:r>
            <w:r w:rsidRPr="00CB2EC4">
              <w:rPr>
                <w:rFonts w:ascii="Times New Roman" w:hAnsi="Times New Roman" w:cs="Times New Roman"/>
              </w:rPr>
              <w:br/>
              <w:t>This criterion is based on the visual localization of the lesion, with the aim of thoroughly clearing the affected area.</w:t>
            </w:r>
          </w:p>
        </w:tc>
        <w:tc>
          <w:tcPr>
            <w:tcW w:w="1152" w:type="dxa"/>
            <w:vAlign w:val="center"/>
          </w:tcPr>
          <w:p w14:paraId="3D41240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70F685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22EF5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92A73B4" w14:textId="77777777" w:rsidTr="00547D77">
        <w:tc>
          <w:tcPr>
            <w:tcW w:w="2160" w:type="dxa"/>
            <w:vAlign w:val="center"/>
          </w:tcPr>
          <w:p w14:paraId="4FE11452"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8D57C8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basis for determining the length of the upper vaginal segment to be resected during a vaginal hysterectomy is the location of the lesion area as indicated by colposcopy or iodine testing. specifically:</w:t>
            </w:r>
            <w:r w:rsidRPr="00CB2EC4">
              <w:rPr>
                <w:rFonts w:ascii="Times New Roman" w:hAnsi="Times New Roman" w:cs="Times New Roman"/>
              </w:rPr>
              <w:br/>
              <w:t>- the resection should be made 0.5 to 0.6 cm below the lesion area as shown by colposcopy or iodine test.</w:t>
            </w:r>
            <w:r w:rsidRPr="00CB2EC4">
              <w:rPr>
                <w:rFonts w:ascii="Times New Roman" w:hAnsi="Times New Roman" w:cs="Times New Roman"/>
              </w:rPr>
              <w:br/>
            </w:r>
            <w:r w:rsidRPr="00CB2EC4">
              <w:rPr>
                <w:rFonts w:ascii="Times New Roman" w:hAnsi="Times New Roman" w:cs="Times New Roman"/>
              </w:rPr>
              <w:lastRenderedPageBreak/>
              <w:t>- generally, resecting 1 to 2 cm of the vagina is sufficient, depending on the extent of the lesion.</w:t>
            </w:r>
            <w:r w:rsidRPr="00CB2EC4">
              <w:rPr>
                <w:rFonts w:ascii="Times New Roman" w:hAnsi="Times New Roman" w:cs="Times New Roman"/>
              </w:rPr>
              <w:br/>
            </w:r>
            <w:r w:rsidRPr="00CB2EC4">
              <w:rPr>
                <w:rFonts w:ascii="Times New Roman" w:hAnsi="Times New Roman" w:cs="Times New Roman"/>
              </w:rPr>
              <w:br/>
              <w:t>the document explicitly states: "the length of the upper vaginal segment to be resected should be 0.5~0.6 cm below the lesion area as indicated by colposcopy or iodine testing; resection of 1~2 cm of the vagina is usually sufficient." (similarity: 0.570)</w:t>
            </w:r>
          </w:p>
        </w:tc>
        <w:tc>
          <w:tcPr>
            <w:tcW w:w="1152" w:type="dxa"/>
            <w:vAlign w:val="center"/>
          </w:tcPr>
          <w:p w14:paraId="0117591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7C12EC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2C725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7C17F1D" w14:textId="77777777" w:rsidTr="00547D77">
        <w:tc>
          <w:tcPr>
            <w:tcW w:w="10656" w:type="dxa"/>
            <w:gridSpan w:val="5"/>
            <w:tcBorders>
              <w:bottom w:val="single" w:sz="6" w:space="0" w:color="auto"/>
            </w:tcBorders>
            <w:vAlign w:val="center"/>
          </w:tcPr>
          <w:p w14:paraId="7CA597E7"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143: How are the uterine vessels and the cardinal ligament managed during a simple hysterectomy?</w:t>
            </w:r>
          </w:p>
        </w:tc>
      </w:tr>
      <w:tr w:rsidR="00916494" w:rsidRPr="00CB2EC4" w14:paraId="76BF32E7" w14:textId="77777777" w:rsidTr="00547D77">
        <w:tc>
          <w:tcPr>
            <w:tcW w:w="2160" w:type="dxa"/>
            <w:vAlign w:val="center"/>
          </w:tcPr>
          <w:p w14:paraId="553661A9"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24D806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no answer found in the knowledge base.  </w:t>
            </w:r>
            <w:r w:rsidRPr="00CB2EC4">
              <w:rPr>
                <w:rFonts w:ascii="Times New Roman" w:hAnsi="Times New Roman" w:cs="Times New Roman"/>
              </w:rPr>
              <w:br/>
              <w:t>- The provided document fragments describe general steps of conservative hysterectomy (such as handling adnexa and round ligaments) but do not specify the techniques for managing uterine vessels and cardinal ligaments. For example, the fragment with similarity 0.549 mentions clamping and cutting tissues but lacks detailed description of uterine vessel and cardinal ligament management. Other fragments (e.g., similarity 0.597) discuss extrafascial procedures but do not cover vascular and ligamentous details specific to conservative approaches.</w:t>
            </w:r>
          </w:p>
        </w:tc>
        <w:tc>
          <w:tcPr>
            <w:tcW w:w="1152" w:type="dxa"/>
            <w:vAlign w:val="center"/>
          </w:tcPr>
          <w:p w14:paraId="12442B3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C39B19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C5FEAC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427B6A01" w14:textId="77777777" w:rsidTr="00547D77">
        <w:tc>
          <w:tcPr>
            <w:tcW w:w="2160" w:type="dxa"/>
            <w:vAlign w:val="center"/>
          </w:tcPr>
          <w:p w14:paraId="2010BADC"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CDD55F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how to handle the uterine vessels and main ligaments during a conservative hysterectomy</w:t>
            </w:r>
            <w:r w:rsidRPr="00CB2EC4">
              <w:rPr>
                <w:rFonts w:ascii="Times New Roman" w:hAnsi="Times New Roman" w:cs="Times New Roman"/>
              </w:rPr>
              <w:br/>
            </w:r>
            <w:r w:rsidRPr="00CB2EC4">
              <w:rPr>
                <w:rFonts w:ascii="Times New Roman" w:hAnsi="Times New Roman" w:cs="Times New Roman"/>
              </w:rPr>
              <w:br/>
              <w:t>according to the document, the method for handling the uterine vessels and main ligaments in a conservative hysterectomy is as follows:</w:t>
            </w:r>
            <w:r w:rsidRPr="00CB2EC4">
              <w:rPr>
                <w:rFonts w:ascii="Times New Roman" w:hAnsi="Times New Roman" w:cs="Times New Roman"/>
              </w:rPr>
              <w:br/>
              <w:t>- during surgery, operate close to the cervical side to avoid injury to the ureter.</w:t>
            </w:r>
            <w:r w:rsidRPr="00CB2EC4">
              <w:rPr>
                <w:rFonts w:ascii="Times New Roman" w:hAnsi="Times New Roman" w:cs="Times New Roman"/>
              </w:rPr>
              <w:br/>
              <w:t xml:space="preserve">- specific method: clamp and cut the paracervical tissue and vaginal paracolpium along the lateral wall of the cervix, including the main ligament, ligament (possibly referring to the uterosacral ligament or </w:t>
            </w:r>
            <w:r w:rsidRPr="00CB2EC4">
              <w:rPr>
                <w:rFonts w:ascii="Times New Roman" w:hAnsi="Times New Roman" w:cs="Times New Roman"/>
              </w:rPr>
              <w:lastRenderedPageBreak/>
              <w:t>cardinal ligament), and cervicovesical ligament, etc. this involves directly clamping and cutting these structures, ensuring that cervical tissue is not included.</w:t>
            </w:r>
            <w:r w:rsidRPr="00CB2EC4">
              <w:rPr>
                <w:rFonts w:ascii="Times New Roman" w:hAnsi="Times New Roman" w:cs="Times New Roman"/>
              </w:rPr>
              <w:br/>
            </w:r>
            <w:r w:rsidRPr="00CB2EC4">
              <w:rPr>
                <w:rFonts w:ascii="Times New Roman" w:hAnsi="Times New Roman" w:cs="Times New Roman"/>
              </w:rPr>
              <w:br/>
              <w:t>the document states: "standard total hysterectomy (also known as conservative total hysterectomy)... clamp and cut the paracervical tissue and vaginal paracolpium along the lateral wall of the cervix, including the main ligament, ligament, cervicovesical ligament, etc. to avoid ureteral injury, operate close to the cervical side..." (similarity: 0.532). the document does not provide more detailed vascular ligation techniques but emphasizes operating close to the cervix to protect the ureter.</w:t>
            </w:r>
          </w:p>
        </w:tc>
        <w:tc>
          <w:tcPr>
            <w:tcW w:w="1152" w:type="dxa"/>
            <w:vAlign w:val="center"/>
          </w:tcPr>
          <w:p w14:paraId="1238195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D2FBC1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4FE11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FE7F9BD" w14:textId="77777777" w:rsidTr="00547D77">
        <w:tc>
          <w:tcPr>
            <w:tcW w:w="10656" w:type="dxa"/>
            <w:gridSpan w:val="5"/>
            <w:tcBorders>
              <w:bottom w:val="single" w:sz="6" w:space="0" w:color="auto"/>
            </w:tcBorders>
            <w:vAlign w:val="center"/>
          </w:tcPr>
          <w:p w14:paraId="139E6DD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144: What are the high-risk factors for recurrence after treatment for Cervical Intraepithelial Neoplasia (CIN)?</w:t>
            </w:r>
          </w:p>
        </w:tc>
      </w:tr>
      <w:tr w:rsidR="00916494" w:rsidRPr="00CB2EC4" w14:paraId="0D772C97" w14:textId="77777777" w:rsidTr="00547D77">
        <w:tc>
          <w:tcPr>
            <w:tcW w:w="2160" w:type="dxa"/>
            <w:vAlign w:val="center"/>
          </w:tcPr>
          <w:p w14:paraId="4164A97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DC52F7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high-risk factors for recurrence after treatment of cervical intraepithelial neoplasia include:</w:t>
            </w:r>
            <w:r w:rsidRPr="00CB2EC4">
              <w:rPr>
                <w:rFonts w:ascii="Times New Roman" w:hAnsi="Times New Roman" w:cs="Times New Roman"/>
              </w:rPr>
              <w:br/>
            </w:r>
            <w:r w:rsidRPr="00CB2EC4">
              <w:rPr>
                <w:rFonts w:ascii="Times New Roman" w:hAnsi="Times New Roman" w:cs="Times New Roman"/>
              </w:rPr>
              <w:br/>
              <w:t>- High-grade lesion (CIN 2 or CIN 3)</w:t>
            </w:r>
            <w:r w:rsidRPr="00CB2EC4">
              <w:rPr>
                <w:rFonts w:ascii="Times New Roman" w:hAnsi="Times New Roman" w:cs="Times New Roman"/>
              </w:rPr>
              <w:br/>
              <w:t>- Positive or uncertain surgical margins after excisional procedure</w:t>
            </w:r>
            <w:r w:rsidRPr="00CB2EC4">
              <w:rPr>
                <w:rFonts w:ascii="Times New Roman" w:hAnsi="Times New Roman" w:cs="Times New Roman"/>
              </w:rPr>
              <w:br/>
              <w:t>- Persistent infection with high-risk human papillomavirus (HPV) post-treatment</w:t>
            </w:r>
            <w:r w:rsidRPr="00CB2EC4">
              <w:rPr>
                <w:rFonts w:ascii="Times New Roman" w:hAnsi="Times New Roman" w:cs="Times New Roman"/>
              </w:rPr>
              <w:br/>
              <w:t>- Incomplete excision of the lesion</w:t>
            </w:r>
            <w:r w:rsidRPr="00CB2EC4">
              <w:rPr>
                <w:rFonts w:ascii="Times New Roman" w:hAnsi="Times New Roman" w:cs="Times New Roman"/>
              </w:rPr>
              <w:br/>
              <w:t>- Large lesion size (&gt;3 cm) or extensive involvement</w:t>
            </w:r>
            <w:r w:rsidRPr="00CB2EC4">
              <w:rPr>
                <w:rFonts w:ascii="Times New Roman" w:hAnsi="Times New Roman" w:cs="Times New Roman"/>
              </w:rPr>
              <w:br/>
              <w:t>- Young age at diagnosis (under 30 years)</w:t>
            </w:r>
            <w:r w:rsidRPr="00CB2EC4">
              <w:rPr>
                <w:rFonts w:ascii="Times New Roman" w:hAnsi="Times New Roman" w:cs="Times New Roman"/>
              </w:rPr>
              <w:br/>
              <w:t>- Immunosuppression</w:t>
            </w:r>
            <w:r w:rsidRPr="00CB2EC4">
              <w:rPr>
                <w:rFonts w:ascii="Times New Roman" w:hAnsi="Times New Roman" w:cs="Times New Roman"/>
              </w:rPr>
              <w:br/>
              <w:t>- Smoking</w:t>
            </w:r>
            <w:r w:rsidRPr="00CB2EC4">
              <w:rPr>
                <w:rFonts w:ascii="Times New Roman" w:hAnsi="Times New Roman" w:cs="Times New Roman"/>
              </w:rPr>
              <w:br/>
              <w:t>- Coexistent cervical glandular intraepithelial neoplasia (CGIN)</w:t>
            </w:r>
            <w:r w:rsidRPr="00CB2EC4">
              <w:rPr>
                <w:rFonts w:ascii="Times New Roman" w:hAnsi="Times New Roman" w:cs="Times New Roman"/>
              </w:rPr>
              <w:br/>
              <w:t>- Multiple prior treatments or recurrent disease history</w:t>
            </w:r>
            <w:r w:rsidRPr="00CB2EC4">
              <w:rPr>
                <w:rFonts w:ascii="Times New Roman" w:hAnsi="Times New Roman" w:cs="Times New Roman"/>
              </w:rPr>
              <w:br/>
              <w:t>- Inadequate follow-up or loss to surveillance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These factors are associated with increased risk of residual or recurrent disease following treatment for cervical intraepithelial neoplasia.</w:t>
            </w:r>
          </w:p>
        </w:tc>
        <w:tc>
          <w:tcPr>
            <w:tcW w:w="1152" w:type="dxa"/>
            <w:vAlign w:val="center"/>
          </w:tcPr>
          <w:p w14:paraId="20BAB2C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569989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F0FD55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5FA8D67B" w14:textId="77777777" w:rsidTr="00547D77">
        <w:tc>
          <w:tcPr>
            <w:tcW w:w="2160" w:type="dxa"/>
            <w:vAlign w:val="center"/>
          </w:tcPr>
          <w:p w14:paraId="2FF65E1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98586C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provided document does not directly mention the high-risk factors for recurrence after treatment of cervical intraepithelial neoplasia (CIN). The document primarily discusses surgical treatment methods for CIN (such as the types and indications of hysterectomy), surgical techniques, and the importance of follow-up, but does not list specific high-risk factors for recurrence (e.g., lesion grade, margin status, persistent HPV infection, etc.).</w:t>
            </w:r>
            <w:r w:rsidRPr="00CB2EC4">
              <w:rPr>
                <w:rFonts w:ascii="Times New Roman" w:hAnsi="Times New Roman" w:cs="Times New Roman"/>
              </w:rPr>
              <w:br/>
            </w:r>
            <w:r w:rsidRPr="00CB2EC4">
              <w:rPr>
                <w:rFonts w:ascii="Times New Roman" w:hAnsi="Times New Roman" w:cs="Times New Roman"/>
              </w:rPr>
              <w:br/>
              <w:t>Therefore, based on the document content: No answer was found in the knowledge base.</w:t>
            </w:r>
          </w:p>
        </w:tc>
        <w:tc>
          <w:tcPr>
            <w:tcW w:w="1152" w:type="dxa"/>
            <w:vAlign w:val="center"/>
          </w:tcPr>
          <w:p w14:paraId="328F7C7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5A7DA9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378E2F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06B3493C" w14:textId="77777777" w:rsidTr="00547D77">
        <w:tc>
          <w:tcPr>
            <w:tcW w:w="10656" w:type="dxa"/>
            <w:gridSpan w:val="5"/>
            <w:tcBorders>
              <w:bottom w:val="single" w:sz="6" w:space="0" w:color="auto"/>
            </w:tcBorders>
            <w:vAlign w:val="center"/>
          </w:tcPr>
          <w:p w14:paraId="6B390CF7"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145: Under what circumstances is a hysterectomy recommended for patients with endometrial hyperplasia? When can medical therapy be used?</w:t>
            </w:r>
          </w:p>
        </w:tc>
      </w:tr>
      <w:tr w:rsidR="00916494" w:rsidRPr="00CB2EC4" w14:paraId="2EE527C9" w14:textId="77777777" w:rsidTr="00547D77">
        <w:tc>
          <w:tcPr>
            <w:tcW w:w="2160" w:type="dxa"/>
            <w:vAlign w:val="center"/>
          </w:tcPr>
          <w:p w14:paraId="270D2CAF"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F77FDA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under what circumstances is hysterectomy recommended for patients with endometrial hyperplasia? when can drug therapy be used?</w:t>
            </w:r>
            <w:r w:rsidRPr="00CB2EC4">
              <w:rPr>
                <w:rFonts w:ascii="Times New Roman" w:hAnsi="Times New Roman" w:cs="Times New Roman"/>
              </w:rPr>
              <w:br/>
            </w:r>
            <w:r w:rsidRPr="00CB2EC4">
              <w:rPr>
                <w:rFonts w:ascii="Times New Roman" w:hAnsi="Times New Roman" w:cs="Times New Roman"/>
              </w:rPr>
              <w:br/>
              <w:t xml:space="preserve">based on the document content, the recommendations are as follows:  </w:t>
            </w:r>
            <w:r w:rsidRPr="00CB2EC4">
              <w:rPr>
                <w:rFonts w:ascii="Times New Roman" w:hAnsi="Times New Roman" w:cs="Times New Roman"/>
              </w:rPr>
              <w:br/>
              <w:t xml:space="preserve">- circumstances recommending hysterectomy:  </w:t>
            </w:r>
            <w:r w:rsidRPr="00CB2EC4">
              <w:rPr>
                <w:rFonts w:ascii="Times New Roman" w:hAnsi="Times New Roman" w:cs="Times New Roman"/>
              </w:rPr>
              <w:br/>
              <w:t xml:space="preserve">  - patients aged 40 or above, with confirmed diagnosis and no fertility requirements.  </w:t>
            </w:r>
            <w:r w:rsidRPr="00CB2EC4">
              <w:rPr>
                <w:rFonts w:ascii="Times New Roman" w:hAnsi="Times New Roman" w:cs="Times New Roman"/>
              </w:rPr>
              <w:br/>
              <w:t xml:space="preserve">  - persistent endometrial hyperplasia or worsening clinical symptoms after appropriate cyclic drug therapy, with suspicion of malignant transformation or confirmed progression to cancer.  </w:t>
            </w:r>
            <w:r w:rsidRPr="00CB2EC4">
              <w:rPr>
                <w:rFonts w:ascii="Times New Roman" w:hAnsi="Times New Roman" w:cs="Times New Roman"/>
              </w:rPr>
              <w:br/>
              <w:t xml:space="preserve">  - irregular vaginal bleeding that cannot be controlled by curettage or drug therapy, or recurrent postpartum bleeding.  </w:t>
            </w:r>
            <w:r w:rsidRPr="00CB2EC4">
              <w:rPr>
                <w:rFonts w:ascii="Times New Roman" w:hAnsi="Times New Roman" w:cs="Times New Roman"/>
              </w:rPr>
              <w:br/>
            </w:r>
            <w:r w:rsidRPr="00CB2EC4">
              <w:rPr>
                <w:rFonts w:ascii="Times New Roman" w:hAnsi="Times New Roman" w:cs="Times New Roman"/>
              </w:rPr>
              <w:lastRenderedPageBreak/>
              <w:t xml:space="preserve">  - severe atypical hyperplasia combined with significant uterine bleeding and/or suspicion of an estrogen-secreting ovarian tumor (source segment similarity 0.508).  </w:t>
            </w:r>
            <w:r w:rsidRPr="00CB2EC4">
              <w:rPr>
                <w:rFonts w:ascii="Times New Roman" w:hAnsi="Times New Roman" w:cs="Times New Roman"/>
              </w:rPr>
              <w:br/>
              <w:t xml:space="preserve">  additionally, for perimenopausal and postmenopausal women, especially those with severe atypical hyperplasia, hysterectomy should be prioritized unless contraindications to surgery exist (source segment similarity 0.478).  </w:t>
            </w:r>
            <w:r w:rsidRPr="00CB2EC4">
              <w:rPr>
                <w:rFonts w:ascii="Times New Roman" w:hAnsi="Times New Roman" w:cs="Times New Roman"/>
              </w:rPr>
              <w:br/>
              <w:t xml:space="preserve">- circumstances recommending drug therapy:  </w:t>
            </w:r>
            <w:r w:rsidRPr="00CB2EC4">
              <w:rPr>
                <w:rFonts w:ascii="Times New Roman" w:hAnsi="Times New Roman" w:cs="Times New Roman"/>
              </w:rPr>
              <w:br/>
              <w:t xml:space="preserve">  - simple hyperplasia or complex hyperplasia (benign lesions with low cancer risk), particularly suitable for young patients or those with fertility requirements; first-line drug therapy (e.g., progestins or GnRHa) is preferred. drug therapy is also indicated for patients with hypertension, diabetes, obesity, or advanced age with poor surgical tolerance, under close monitoring (source segment similarities 0.508 and 0.478).  </w:t>
            </w:r>
            <w:r w:rsidRPr="00CB2EC4">
              <w:rPr>
                <w:rFonts w:ascii="Times New Roman" w:hAnsi="Times New Roman" w:cs="Times New Roman"/>
              </w:rPr>
              <w:br/>
              <w:t xml:space="preserve">  if drug therapy is ineffective, conservative surgery (e.g., suction curettage) or hysterectomy may be considered.</w:t>
            </w:r>
          </w:p>
        </w:tc>
        <w:tc>
          <w:tcPr>
            <w:tcW w:w="1152" w:type="dxa"/>
            <w:vAlign w:val="center"/>
          </w:tcPr>
          <w:p w14:paraId="794AE5D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95FE10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E48189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7CFCC48F" w14:textId="77777777" w:rsidTr="00547D77">
        <w:tc>
          <w:tcPr>
            <w:tcW w:w="2160" w:type="dxa"/>
            <w:vAlign w:val="center"/>
          </w:tcPr>
          <w:p w14:paraId="28342176"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2F484B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under what circumstances is hysterectomy recommended for patients with endometrial hyperplasia? when can drug therapy be used?</w:t>
            </w:r>
            <w:r w:rsidRPr="00CB2EC4">
              <w:rPr>
                <w:rFonts w:ascii="Times New Roman" w:hAnsi="Times New Roman" w:cs="Times New Roman"/>
              </w:rPr>
              <w:br/>
            </w:r>
            <w:r w:rsidRPr="00CB2EC4">
              <w:rPr>
                <w:rFonts w:ascii="Times New Roman" w:hAnsi="Times New Roman" w:cs="Times New Roman"/>
              </w:rPr>
              <w:br/>
              <w:t>according to the document, the treatment recommendations for patients with endometrial hyperplasia are as follows:</w:t>
            </w:r>
            <w:r w:rsidRPr="00CB2EC4">
              <w:rPr>
                <w:rFonts w:ascii="Times New Roman" w:hAnsi="Times New Roman" w:cs="Times New Roman"/>
              </w:rPr>
              <w:br/>
              <w:t>- circumstances recommending hysterectomy:</w:t>
            </w:r>
            <w:r w:rsidRPr="00CB2EC4">
              <w:rPr>
                <w:rFonts w:ascii="Times New Roman" w:hAnsi="Times New Roman" w:cs="Times New Roman"/>
              </w:rPr>
              <w:br/>
              <w:t xml:space="preserve">  - patients aged 40 or above, with confirmed diagnosis and no desire for fertility.</w:t>
            </w:r>
            <w:r w:rsidRPr="00CB2EC4">
              <w:rPr>
                <w:rFonts w:ascii="Times New Roman" w:hAnsi="Times New Roman" w:cs="Times New Roman"/>
              </w:rPr>
              <w:br/>
              <w:t xml:space="preserve">  - persistent endometrial hyperplasia or worsening clinical symptoms after correct cyclic drug therapy, with suspicion of malignant transformation or </w:t>
            </w:r>
            <w:r w:rsidRPr="00CB2EC4">
              <w:rPr>
                <w:rFonts w:ascii="Times New Roman" w:hAnsi="Times New Roman" w:cs="Times New Roman"/>
              </w:rPr>
              <w:lastRenderedPageBreak/>
              <w:t>progression to cancer.</w:t>
            </w:r>
            <w:r w:rsidRPr="00CB2EC4">
              <w:rPr>
                <w:rFonts w:ascii="Times New Roman" w:hAnsi="Times New Roman" w:cs="Times New Roman"/>
              </w:rPr>
              <w:br/>
              <w:t xml:space="preserve">  - irregular vaginal bleeding not controlled by curettage or drug therapy, or recurrent postpartum bleeding.</w:t>
            </w:r>
            <w:r w:rsidRPr="00CB2EC4">
              <w:rPr>
                <w:rFonts w:ascii="Times New Roman" w:hAnsi="Times New Roman" w:cs="Times New Roman"/>
              </w:rPr>
              <w:br/>
              <w:t xml:space="preserve">  - severe atypical hyperplasia combined with significant uterine bleeding and/or suspicion of an estrogen-secreting ovarian tumor.</w:t>
            </w:r>
            <w:r w:rsidRPr="00CB2EC4">
              <w:rPr>
                <w:rFonts w:ascii="Times New Roman" w:hAnsi="Times New Roman" w:cs="Times New Roman"/>
              </w:rPr>
              <w:br/>
              <w:t xml:space="preserve">  - perimenopausal and postmenopausal women, especially those with atypical hyperplasia, should undergo hysterectomy unless there are severe surgical contraindications.</w:t>
            </w:r>
            <w:r w:rsidRPr="00CB2EC4">
              <w:rPr>
                <w:rFonts w:ascii="Times New Roman" w:hAnsi="Times New Roman" w:cs="Times New Roman"/>
              </w:rPr>
              <w:br/>
              <w:t>- circumstances permitting drug therapy:</w:t>
            </w:r>
            <w:r w:rsidRPr="00CB2EC4">
              <w:rPr>
                <w:rFonts w:ascii="Times New Roman" w:hAnsi="Times New Roman" w:cs="Times New Roman"/>
              </w:rPr>
              <w:br/>
              <w:t xml:space="preserve">  - patients under 40 years old with low risk of malignancy, suitable for active conservative treatment; young patients desiring fertility should receive drug therapy as first choice.</w:t>
            </w:r>
            <w:r w:rsidRPr="00CB2EC4">
              <w:rPr>
                <w:rFonts w:ascii="Times New Roman" w:hAnsi="Times New Roman" w:cs="Times New Roman"/>
              </w:rPr>
              <w:br/>
              <w:t xml:space="preserve">  - patients with hypertension, diabetes, obesity, or advanced age with poor surgical tolerance may receive drug therapy first under close monitoring and follow-up.</w:t>
            </w:r>
            <w:r w:rsidRPr="00CB2EC4">
              <w:rPr>
                <w:rFonts w:ascii="Times New Roman" w:hAnsi="Times New Roman" w:cs="Times New Roman"/>
              </w:rPr>
              <w:br/>
              <w:t xml:space="preserve">  - patients aged 40 to perimenopause may choose drug therapy or surgery based on patient preference.</w:t>
            </w:r>
            <w:r w:rsidRPr="00CB2EC4">
              <w:rPr>
                <w:rFonts w:ascii="Times New Roman" w:hAnsi="Times New Roman" w:cs="Times New Roman"/>
              </w:rPr>
              <w:br/>
            </w:r>
            <w:r w:rsidRPr="00CB2EC4">
              <w:rPr>
                <w:rFonts w:ascii="Times New Roman" w:hAnsi="Times New Roman" w:cs="Times New Roman"/>
              </w:rPr>
              <w:br/>
              <w:t xml:space="preserve">the document explicitly states: "in principle, for patients under 40 years old... drug therapy is the first choice; for those with hypertension, diabetes, obesity, or advanced age with poor surgical tolerance, drug therapy under close monitoring may also be considered; patients aged 40 to perimenopause may choose drug or surgical therapy based on preference; perimenopausal and postmenopausal women, especially those with atypical hyperplasia, should undergo hysterectomy..." (similarity: 0.487) and "hysterectomy is indicated for: 1) patients aged 40 or </w:t>
            </w:r>
            <w:r w:rsidRPr="00CB2EC4">
              <w:rPr>
                <w:rFonts w:ascii="Times New Roman" w:hAnsi="Times New Roman" w:cs="Times New Roman"/>
              </w:rPr>
              <w:lastRenderedPageBreak/>
              <w:t>above... (2) persistent hyperplasia or progression after correct cyclic drug therapy... (3) irregular vaginal bleeding not controlled by curettage or drugs... (4) severe atypical hyperplasia..." (similarity: 0.475).</w:t>
            </w:r>
          </w:p>
        </w:tc>
        <w:tc>
          <w:tcPr>
            <w:tcW w:w="1152" w:type="dxa"/>
            <w:vAlign w:val="center"/>
          </w:tcPr>
          <w:p w14:paraId="2994E41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FFFC87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BB0D5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BF33C70" w14:textId="77777777" w:rsidTr="00547D77">
        <w:tc>
          <w:tcPr>
            <w:tcW w:w="10656" w:type="dxa"/>
            <w:gridSpan w:val="5"/>
            <w:tcBorders>
              <w:bottom w:val="single" w:sz="6" w:space="0" w:color="auto"/>
            </w:tcBorders>
            <w:vAlign w:val="center"/>
          </w:tcPr>
          <w:p w14:paraId="080D93F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146: In deep inguinal lymphadenectomy for invasive vulvar cancer, what is the purpose of managing the sartorius muscle?</w:t>
            </w:r>
          </w:p>
        </w:tc>
      </w:tr>
      <w:tr w:rsidR="00916494" w:rsidRPr="00CB2EC4" w14:paraId="162F5973" w14:textId="77777777" w:rsidTr="00547D77">
        <w:tc>
          <w:tcPr>
            <w:tcW w:w="2160" w:type="dxa"/>
            <w:vAlign w:val="center"/>
          </w:tcPr>
          <w:p w14:paraId="0D623AE8"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C7A7BD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purpose of handling the sartorius muscle during deep inguinal lymph node dissection for vulvar infiltrating carcinoma is to serve as a lateral anatomical landmark for defining the dissection boundary. Specifically, the resection extends laterally to the sartorius muscle to aid in identifying the cribriform fascia and to delineate the lymph node dissection area, ensuring complete removal of at-risk nodal tissue while minimizing unnecessary dissection beyond this muscular boundary.</w:t>
            </w:r>
          </w:p>
        </w:tc>
        <w:tc>
          <w:tcPr>
            <w:tcW w:w="1152" w:type="dxa"/>
            <w:vAlign w:val="center"/>
          </w:tcPr>
          <w:p w14:paraId="51ED013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C54008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DA536A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498A4644" w14:textId="77777777" w:rsidTr="00547D77">
        <w:tc>
          <w:tcPr>
            <w:tcW w:w="2160" w:type="dxa"/>
            <w:vAlign w:val="center"/>
          </w:tcPr>
          <w:p w14:paraId="31875902"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06E7F7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the surgical procedure of deep inguinal lymph node dissection for vulvar infiltrating carcinoma, the purpose of handling the sartorius muscle is to cover the exposed femoral vessels to reduce postoperative complications (such as bleeding or infection). Specifically, some surgeons transect the sartorius muscle near the anterior superior iliac spine and then suture the free edge of the sartorius muscle to the inguinal ligament to protect the femoral vessel region (referencing segments with similarity scores of 0.504 and 0.486).</w:t>
            </w:r>
          </w:p>
        </w:tc>
        <w:tc>
          <w:tcPr>
            <w:tcW w:w="1152" w:type="dxa"/>
            <w:vAlign w:val="center"/>
          </w:tcPr>
          <w:p w14:paraId="1A1CB4A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4A210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8E237F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98EF16F" w14:textId="77777777" w:rsidTr="00547D77">
        <w:tc>
          <w:tcPr>
            <w:tcW w:w="10656" w:type="dxa"/>
            <w:gridSpan w:val="5"/>
            <w:tcBorders>
              <w:bottom w:val="single" w:sz="6" w:space="0" w:color="auto"/>
            </w:tcBorders>
            <w:vAlign w:val="center"/>
          </w:tcPr>
          <w:p w14:paraId="58B66D6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147: For a patient with Stage I vulvar cancer, where the tumor diameter is ≤2 cm and the lesion is confined to one labium majus, but postoperative histopathology indicates lymphovascular space invasion (LVSI), what surgical procedure should be performed?</w:t>
            </w:r>
          </w:p>
        </w:tc>
      </w:tr>
      <w:tr w:rsidR="00916494" w:rsidRPr="00CB2EC4" w14:paraId="487E3023" w14:textId="77777777" w:rsidTr="00547D77">
        <w:tc>
          <w:tcPr>
            <w:tcW w:w="2160" w:type="dxa"/>
            <w:vAlign w:val="center"/>
          </w:tcPr>
          <w:p w14:paraId="2BD12F4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310801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for a stage I vulvar cancer patient with a tumor diameter ≤ 2 cm, lesion confined to one side of the labia majora, but postoperative histopathological </w:t>
            </w:r>
            <w:r w:rsidRPr="00CB2EC4">
              <w:rPr>
                <w:rFonts w:ascii="Times New Roman" w:hAnsi="Times New Roman" w:cs="Times New Roman"/>
              </w:rPr>
              <w:lastRenderedPageBreak/>
              <w:t>examination revealing involvement of vascular or lymphatic spaces, radical total vulvectomy and bilateral inguinal lymphadenectomy should be performed.</w:t>
            </w:r>
            <w:r w:rsidRPr="00CB2EC4">
              <w:rPr>
                <w:rFonts w:ascii="Times New Roman" w:hAnsi="Times New Roman" w:cs="Times New Roman"/>
              </w:rPr>
              <w:br/>
            </w:r>
            <w:r w:rsidRPr="00CB2EC4">
              <w:rPr>
                <w:rFonts w:ascii="Times New Roman" w:hAnsi="Times New Roman" w:cs="Times New Roman"/>
              </w:rPr>
              <w:br/>
              <w:t>- According to the document content (similarity: 0.637 segment): For stage I vulvar cancer patients, if vascular or lymphatic space involvement is present, regardless of tumor size or location (including confinement to one side of the labia majora), "radical vulvectomy plus bilateral inguinal lymphadenectomy" should be carried out. The document explicitly states: "If vascular or lymphatic space involvement is present, radical vulvectomy plus bilateral inguinal lymphadenectomy should be performed." This corresponds to radical total vulvectomy (i.e., the traditional standard surgery) and bilateral inguinal lymphadenectomy to ensure thorough clearance of potential metastatic risk.</w:t>
            </w:r>
          </w:p>
        </w:tc>
        <w:tc>
          <w:tcPr>
            <w:tcW w:w="1152" w:type="dxa"/>
            <w:vAlign w:val="center"/>
          </w:tcPr>
          <w:p w14:paraId="7B0F4B3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C4B0A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8B8E6E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29A3FD5" w14:textId="77777777" w:rsidTr="00547D77">
        <w:tc>
          <w:tcPr>
            <w:tcW w:w="2160" w:type="dxa"/>
            <w:vAlign w:val="center"/>
          </w:tcPr>
          <w:p w14:paraId="2C0985DC"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46105E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a stage I vulvar cancer patient with a tumor diameter ≤ 2 cm, lesion confined to one side of the labia majora, but postoperative histopathological examination reveals vascular or lymphatic space involvement, then a radical total vulvectomy plus bilateral inguinal lymph node dissection should be performed for the patient.</w:t>
            </w:r>
            <w:r w:rsidRPr="00CB2EC4">
              <w:rPr>
                <w:rFonts w:ascii="Times New Roman" w:hAnsi="Times New Roman" w:cs="Times New Roman"/>
              </w:rPr>
              <w:br/>
            </w:r>
            <w:r w:rsidRPr="00CB2EC4">
              <w:rPr>
                <w:rFonts w:ascii="Times New Roman" w:hAnsi="Times New Roman" w:cs="Times New Roman"/>
              </w:rPr>
              <w:br/>
              <w:t xml:space="preserve">according to the document content, when a stage I vulvar cancer patient has vascular or lymphatic space involvement, a radical total vulvectomy plus bilateral inguinal lymph node dissection should be performed. this is because vascular or lymphatic invasion increases the risk of lymph node metastasis, thus requiring a more extensive surgical approach </w:t>
            </w:r>
            <w:r w:rsidRPr="00CB2EC4">
              <w:rPr>
                <w:rFonts w:ascii="Times New Roman" w:hAnsi="Times New Roman" w:cs="Times New Roman"/>
              </w:rPr>
              <w:lastRenderedPageBreak/>
              <w:t>(reference: similarity 0.644 and 0.568 segments).</w:t>
            </w:r>
          </w:p>
        </w:tc>
        <w:tc>
          <w:tcPr>
            <w:tcW w:w="1152" w:type="dxa"/>
            <w:vAlign w:val="center"/>
          </w:tcPr>
          <w:p w14:paraId="192CB64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5A8F1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2FA35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EA7E1D2" w14:textId="77777777" w:rsidTr="00547D77">
        <w:tc>
          <w:tcPr>
            <w:tcW w:w="10656" w:type="dxa"/>
            <w:gridSpan w:val="5"/>
            <w:tcBorders>
              <w:bottom w:val="single" w:sz="6" w:space="0" w:color="auto"/>
            </w:tcBorders>
            <w:vAlign w:val="center"/>
          </w:tcPr>
          <w:p w14:paraId="028FB88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148: In inguinal lymphadenectomy, what is the difference in patient indications for using separate incisions versus a single incision?</w:t>
            </w:r>
          </w:p>
        </w:tc>
      </w:tr>
      <w:tr w:rsidR="00916494" w:rsidRPr="00CB2EC4" w14:paraId="56DDC984" w14:textId="77777777" w:rsidTr="00547D77">
        <w:tc>
          <w:tcPr>
            <w:tcW w:w="2160" w:type="dxa"/>
            <w:vAlign w:val="center"/>
          </w:tcPr>
          <w:p w14:paraId="698F250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38BA7E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inguinal lymph node dissection, the differences in the applicable populations between the separate incision and the single incision are as follows:</w:t>
            </w:r>
            <w:r w:rsidRPr="00CB2EC4">
              <w:rPr>
                <w:rFonts w:ascii="Times New Roman" w:hAnsi="Times New Roman" w:cs="Times New Roman"/>
              </w:rPr>
              <w:br/>
            </w:r>
            <w:r w:rsidRPr="00CB2EC4">
              <w:rPr>
                <w:rFonts w:ascii="Times New Roman" w:hAnsi="Times New Roman" w:cs="Times New Roman"/>
              </w:rPr>
              <w:br/>
              <w:t xml:space="preserve">The separate incision is suitable for patients with lesions on the lateral vulva or posterior perineal body, and for those with small anterior vulvar cancer lesions without clinical inguinal lymph node metastasis;  </w:t>
            </w:r>
            <w:r w:rsidRPr="00CB2EC4">
              <w:rPr>
                <w:rFonts w:ascii="Times New Roman" w:hAnsi="Times New Roman" w:cs="Times New Roman"/>
              </w:rPr>
              <w:br/>
              <w:t xml:space="preserve">The single incision is suitable for patients with locally extensive infiltration, especially those with extensive infiltration in the anterior perineal region.  </w:t>
            </w:r>
            <w:r w:rsidRPr="00CB2EC4">
              <w:rPr>
                <w:rFonts w:ascii="Times New Roman" w:hAnsi="Times New Roman" w:cs="Times New Roman"/>
              </w:rPr>
              <w:br/>
              <w:t xml:space="preserve">- According to the source material (similarity: 0.535 segment):  </w:t>
            </w:r>
            <w:r w:rsidRPr="00CB2EC4">
              <w:rPr>
                <w:rFonts w:ascii="Times New Roman" w:hAnsi="Times New Roman" w:cs="Times New Roman"/>
              </w:rPr>
              <w:br/>
              <w:t xml:space="preserve">  - Separate incision: Mostly applied to "lesions on the lateral vulva and posterior perineal body, as well as small anterior vulvar cancer lesions without clinical inguinal lymph node metastasis." Its advantages include "preserving more of the skin bridge between the perineal body and the inguinal incision, resulting in lower postoperative morbidity," but the disadvantage is "a higher failure rate in cases of locally extensive vulvar cancer infiltration."  </w:t>
            </w:r>
            <w:r w:rsidRPr="00CB2EC4">
              <w:rPr>
                <w:rFonts w:ascii="Times New Roman" w:hAnsi="Times New Roman" w:cs="Times New Roman"/>
              </w:rPr>
              <w:br/>
              <w:t xml:space="preserve">  - Single incision: Suitable for "patients with locally extensive infiltration, especially those with extensive infiltration in the anterior perineal region." Its advantage is "more thorough surgery," but the disadvantage is "higher postoperative morbidity compared to the former." Selection should consider "tumor size and distribution."</w:t>
            </w:r>
          </w:p>
        </w:tc>
        <w:tc>
          <w:tcPr>
            <w:tcW w:w="1152" w:type="dxa"/>
            <w:vAlign w:val="center"/>
          </w:tcPr>
          <w:p w14:paraId="0FB50B2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79C6E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CFC5A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0FB3D8F" w14:textId="77777777" w:rsidTr="00547D77">
        <w:tc>
          <w:tcPr>
            <w:tcW w:w="2160" w:type="dxa"/>
            <w:vAlign w:val="center"/>
          </w:tcPr>
          <w:p w14:paraId="1588BBED" w14:textId="77777777" w:rsidR="00916494" w:rsidRPr="00CB2EC4" w:rsidRDefault="00916494" w:rsidP="00547D77">
            <w:pPr>
              <w:rPr>
                <w:rFonts w:ascii="Times New Roman" w:hAnsi="Times New Roman" w:cs="Times New Roman"/>
              </w:rPr>
            </w:pPr>
            <w:r>
              <w:rPr>
                <w:rFonts w:ascii="Times New Roman" w:hAnsi="Times New Roman" w:cs="Times New Roman"/>
              </w:rPr>
              <w:t xml:space="preserve">Chunk size=256, </w:t>
            </w:r>
            <w:r>
              <w:rPr>
                <w:rFonts w:ascii="Times New Roman" w:hAnsi="Times New Roman" w:cs="Times New Roman"/>
              </w:rPr>
              <w:lastRenderedPageBreak/>
              <w:t>Overlap=100 Using SentenceSplitter</w:t>
            </w:r>
          </w:p>
        </w:tc>
        <w:tc>
          <w:tcPr>
            <w:tcW w:w="5040" w:type="dxa"/>
            <w:vAlign w:val="center"/>
          </w:tcPr>
          <w:p w14:paraId="399E26F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 xml:space="preserve">In inguinal lymph node dissection, the differences in </w:t>
            </w:r>
            <w:r w:rsidRPr="00CB2EC4">
              <w:rPr>
                <w:rFonts w:ascii="Times New Roman" w:hAnsi="Times New Roman" w:cs="Times New Roman"/>
              </w:rPr>
              <w:lastRenderedPageBreak/>
              <w:t xml:space="preserve">the applicable patient populations for the separate incision and the single incision are as follows:  </w:t>
            </w:r>
            <w:r w:rsidRPr="00CB2EC4">
              <w:rPr>
                <w:rFonts w:ascii="Times New Roman" w:hAnsi="Times New Roman" w:cs="Times New Roman"/>
              </w:rPr>
              <w:br/>
              <w:t xml:space="preserve">- **Separate incision**: Suitable for lesions located laterally in the vulva and posteriorly in the perineal body, as well as for smaller anterior vulvar carcinomas without clinically evident inguinal lymph node metastasis. This approach preserves more of the skin bridge between the perineal body and the inguinal incision, resulting in lower postoperative morbidity; however, it has a higher failure rate in cases of vulvar cancer with extensive local infiltration.  </w:t>
            </w:r>
            <w:r w:rsidRPr="00CB2EC4">
              <w:rPr>
                <w:rFonts w:ascii="Times New Roman" w:hAnsi="Times New Roman" w:cs="Times New Roman"/>
              </w:rPr>
              <w:br/>
              <w:t>- **Single incision**: Suitable for patients with extensive local infiltration, particularly those with widespread involvement in the anterior perineum. This incision allows for a more radical surgical procedure but is associated with higher postoperative morbidity (as referenced in segments with similarity scores of 0.676 and 0.592).</w:t>
            </w:r>
          </w:p>
        </w:tc>
        <w:tc>
          <w:tcPr>
            <w:tcW w:w="1152" w:type="dxa"/>
            <w:vAlign w:val="center"/>
          </w:tcPr>
          <w:p w14:paraId="0349066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886EB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0D657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FD3F9CF" w14:textId="77777777" w:rsidTr="00547D77">
        <w:tc>
          <w:tcPr>
            <w:tcW w:w="10656" w:type="dxa"/>
            <w:gridSpan w:val="5"/>
            <w:tcBorders>
              <w:bottom w:val="single" w:sz="6" w:space="0" w:color="auto"/>
            </w:tcBorders>
            <w:vAlign w:val="center"/>
          </w:tcPr>
          <w:p w14:paraId="517565E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149: What is the sequence for clearing the lymphofatty tissue from the common iliac vessels and the external iliac artery?</w:t>
            </w:r>
          </w:p>
        </w:tc>
      </w:tr>
      <w:tr w:rsidR="00916494" w:rsidRPr="00CB2EC4" w14:paraId="017FD221" w14:textId="77777777" w:rsidTr="00547D77">
        <w:tc>
          <w:tcPr>
            <w:tcW w:w="2160" w:type="dxa"/>
            <w:vAlign w:val="center"/>
          </w:tcPr>
          <w:p w14:paraId="22234355"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DDAD22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order is to clear the iliac common vessel area first, followed by the external iliac artery area.  </w:t>
            </w:r>
            <w:r w:rsidRPr="00CB2EC4">
              <w:rPr>
                <w:rFonts w:ascii="Times New Roman" w:hAnsi="Times New Roman" w:cs="Times New Roman"/>
              </w:rPr>
              <w:br/>
              <w:t xml:space="preserve">- Based on the document content (similarity: 0.471 segment): In laparoscopic pelvic lymphadenectomy, it is described as "resecting the common iliac lymph nodes... clearing the lymph nodes covered from the common iliac vessels to the inguinal ligament," then "resecting the external iliac lymph nodes... located between the external iliac artery and the psoas major muscle." The document explicitly states "resecting the common iliac lymph nodes" first, followed by "resecting the external iliac lymph nodes," indicating a top-down sequence: first address the common iliac </w:t>
            </w:r>
            <w:r w:rsidRPr="00CB2EC4">
              <w:rPr>
                <w:rFonts w:ascii="Times New Roman" w:hAnsi="Times New Roman" w:cs="Times New Roman"/>
              </w:rPr>
              <w:lastRenderedPageBreak/>
              <w:t>vessel region (including the bifurcation of the common iliac artery), then the external iliac artery region.</w:t>
            </w:r>
          </w:p>
        </w:tc>
        <w:tc>
          <w:tcPr>
            <w:tcW w:w="1152" w:type="dxa"/>
            <w:vAlign w:val="center"/>
          </w:tcPr>
          <w:p w14:paraId="0EBCAD1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749D29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620559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1A3634C" w14:textId="77777777" w:rsidTr="00547D77">
        <w:tc>
          <w:tcPr>
            <w:tcW w:w="2160" w:type="dxa"/>
            <w:vAlign w:val="center"/>
          </w:tcPr>
          <w:p w14:paraId="1FACFAC8"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A1D866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order for clearing lymphatic and adipose tissue from the common iliac vessels and external iliac artery is: begin at the common iliac segment, proceed from superior to inferior and from outer to inner, sequentially resecting the lymphatic and adipose tissue of the lower common iliac segment, external iliac, deep inguinal, internal iliac, and obturator regions (reference segment with similarity 0.486).</w:t>
            </w:r>
          </w:p>
        </w:tc>
        <w:tc>
          <w:tcPr>
            <w:tcW w:w="1152" w:type="dxa"/>
            <w:vAlign w:val="center"/>
          </w:tcPr>
          <w:p w14:paraId="69B8ED4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6746BA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B52C6D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360E86C6" w14:textId="77777777" w:rsidTr="00547D77">
        <w:tc>
          <w:tcPr>
            <w:tcW w:w="10656" w:type="dxa"/>
            <w:gridSpan w:val="5"/>
            <w:tcBorders>
              <w:bottom w:val="single" w:sz="6" w:space="0" w:color="auto"/>
            </w:tcBorders>
            <w:vAlign w:val="center"/>
          </w:tcPr>
          <w:p w14:paraId="54254D2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150: In extraperitoneal pelvic lymphadenectomy for radical vulvectomy, what are the two different approaches to managing drainage of the surgical wound?</w:t>
            </w:r>
          </w:p>
        </w:tc>
      </w:tr>
      <w:tr w:rsidR="00916494" w:rsidRPr="00CB2EC4" w14:paraId="11284A5B" w14:textId="77777777" w:rsidTr="00547D77">
        <w:tc>
          <w:tcPr>
            <w:tcW w:w="2160" w:type="dxa"/>
            <w:vAlign w:val="center"/>
          </w:tcPr>
          <w:p w14:paraId="66552215"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B097CC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two different approaches for managing the wound drainage during the radical vulvectomy component of an extraperitoneal pelvic lymphadenectomy for vulvar cancer are:</w:t>
            </w:r>
            <w:r w:rsidRPr="00CB2EC4">
              <w:rPr>
                <w:rFonts w:ascii="Times New Roman" w:hAnsi="Times New Roman" w:cs="Times New Roman"/>
              </w:rPr>
              <w:br/>
            </w:r>
            <w:r w:rsidRPr="00CB2EC4">
              <w:rPr>
                <w:rFonts w:ascii="Times New Roman" w:hAnsi="Times New Roman" w:cs="Times New Roman"/>
              </w:rPr>
              <w:br/>
              <w:t>1.  Placement of a rubber drain tube for negative pressure drainage.</w:t>
            </w:r>
            <w:r w:rsidRPr="00CB2EC4">
              <w:rPr>
                <w:rFonts w:ascii="Times New Roman" w:hAnsi="Times New Roman" w:cs="Times New Roman"/>
              </w:rPr>
              <w:br/>
              <w:t>2.  No drain placement, instead using a figure-of-eight compression bandage with gauze to control fluid accumulation, ensuring consistent pressure during bandaging to minimize seroma formation.</w:t>
            </w:r>
            <w:r w:rsidRPr="00CB2EC4">
              <w:rPr>
                <w:rFonts w:ascii="Times New Roman" w:hAnsi="Times New Roman" w:cs="Times New Roman"/>
              </w:rPr>
              <w:br/>
            </w:r>
            <w:r w:rsidRPr="00CB2EC4">
              <w:rPr>
                <w:rFonts w:ascii="Times New Roman" w:hAnsi="Times New Roman" w:cs="Times New Roman"/>
              </w:rPr>
              <w:br/>
              <w:t xml:space="preserve">-  Based on the source text (similarity: 0.630 segment): When describing wound management after inguinal lymphadenectomy, the document states: “A rubber drain tube is placed in the wound cavity for negative pressure drainage. Some scholars do not advocate placing a drain tube and instead use a figure-of-eight compression bandage with gauze, but the bandaging must maintain uniform pressure to reduce </w:t>
            </w:r>
            <w:r w:rsidRPr="00CB2EC4">
              <w:rPr>
                <w:rFonts w:ascii="Times New Roman" w:hAnsi="Times New Roman" w:cs="Times New Roman"/>
              </w:rPr>
              <w:lastRenderedPageBreak/>
              <w:t>fluid accumulation.” This explicitly lists the two methods:</w:t>
            </w:r>
            <w:r w:rsidRPr="00CB2EC4">
              <w:rPr>
                <w:rFonts w:ascii="Times New Roman" w:hAnsi="Times New Roman" w:cs="Times New Roman"/>
              </w:rPr>
              <w:br/>
              <w:t xml:space="preserve">  1.  Placement of a rubber drain tube: Used for negative pressure drainage to reduce fluid accumulation and infection risk.</w:t>
            </w:r>
            <w:r w:rsidRPr="00CB2EC4">
              <w:rPr>
                <w:rFonts w:ascii="Times New Roman" w:hAnsi="Times New Roman" w:cs="Times New Roman"/>
              </w:rPr>
              <w:br/>
              <w:t xml:space="preserve">  2.  Figure-of-eight compression bandage with gauze: No drain tube is used; fluid accumulation is controlled by compression bandaging, requiring uniform pressure application.</w:t>
            </w:r>
          </w:p>
        </w:tc>
        <w:tc>
          <w:tcPr>
            <w:tcW w:w="1152" w:type="dxa"/>
            <w:vAlign w:val="center"/>
          </w:tcPr>
          <w:p w14:paraId="6604055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34E36A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942A5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27B8CBF" w14:textId="77777777" w:rsidTr="00547D77">
        <w:tc>
          <w:tcPr>
            <w:tcW w:w="2160" w:type="dxa"/>
            <w:vAlign w:val="center"/>
          </w:tcPr>
          <w:p w14:paraId="51B9523C"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D94A51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5A8DF5F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320D3D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D6B251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7E17A823" w14:textId="77777777" w:rsidTr="00547D77">
        <w:tc>
          <w:tcPr>
            <w:tcW w:w="10656" w:type="dxa"/>
            <w:gridSpan w:val="5"/>
            <w:tcBorders>
              <w:bottom w:val="single" w:sz="6" w:space="0" w:color="auto"/>
            </w:tcBorders>
            <w:vAlign w:val="center"/>
          </w:tcPr>
          <w:p w14:paraId="18D352A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151: What are the common types of incisions used in a radical complete vulvectomy?</w:t>
            </w:r>
          </w:p>
        </w:tc>
      </w:tr>
      <w:tr w:rsidR="00916494" w:rsidRPr="00CB2EC4" w14:paraId="01B1AB3F" w14:textId="77777777" w:rsidTr="00547D77">
        <w:tc>
          <w:tcPr>
            <w:tcW w:w="2160" w:type="dxa"/>
            <w:vAlign w:val="center"/>
          </w:tcPr>
          <w:p w14:paraId="6C9A392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38E8EE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3F0D7E7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3B8DAB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5AB8F9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0AB19B8C" w14:textId="77777777" w:rsidTr="00547D77">
        <w:tc>
          <w:tcPr>
            <w:tcW w:w="2160" w:type="dxa"/>
            <w:vAlign w:val="center"/>
          </w:tcPr>
          <w:p w14:paraId="18033341"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DD2144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common incision types used in radical total vulvectomy are as follows:</w:t>
            </w:r>
            <w:r w:rsidRPr="00CB2EC4">
              <w:rPr>
                <w:rFonts w:ascii="Times New Roman" w:hAnsi="Times New Roman" w:cs="Times New Roman"/>
              </w:rPr>
              <w:br/>
            </w:r>
            <w:r w:rsidRPr="00CB2EC4">
              <w:rPr>
                <w:rFonts w:ascii="Times New Roman" w:hAnsi="Times New Roman" w:cs="Times New Roman"/>
              </w:rPr>
              <w:br/>
              <w:t xml:space="preserve">- Type </w:t>
            </w:r>
            <w:r w:rsidRPr="00CB2EC4">
              <w:rPr>
                <w:rFonts w:ascii="宋体" w:eastAsia="宋体" w:hAnsi="宋体" w:cs="宋体" w:hint="eastAsia"/>
              </w:rPr>
              <w:t>①</w:t>
            </w:r>
            <w:r w:rsidRPr="00CB2EC4">
              <w:rPr>
                <w:rFonts w:ascii="Times New Roman" w:hAnsi="Times New Roman" w:cs="Times New Roman"/>
              </w:rPr>
              <w:t>: Begins approximately 3 cm above the clitoris, follows the lateral margin of the labia majora, and converges at the midline of the perineum (without resection of the mons pubis).</w:t>
            </w:r>
            <w:r w:rsidRPr="00CB2EC4">
              <w:rPr>
                <w:rFonts w:ascii="Times New Roman" w:hAnsi="Times New Roman" w:cs="Times New Roman"/>
              </w:rPr>
              <w:br/>
              <w:t xml:space="preserve">- Type </w:t>
            </w:r>
            <w:r w:rsidRPr="00CB2EC4">
              <w:rPr>
                <w:rFonts w:ascii="宋体" w:eastAsia="宋体" w:hAnsi="宋体" w:cs="宋体" w:hint="eastAsia"/>
              </w:rPr>
              <w:t>②</w:t>
            </w:r>
            <w:r w:rsidRPr="00CB2EC4">
              <w:rPr>
                <w:rFonts w:ascii="Times New Roman" w:hAnsi="Times New Roman" w:cs="Times New Roman"/>
              </w:rPr>
              <w:t xml:space="preserve">: Same as type </w:t>
            </w:r>
            <w:r w:rsidRPr="00CB2EC4">
              <w:rPr>
                <w:rFonts w:ascii="宋体" w:eastAsia="宋体" w:hAnsi="宋体" w:cs="宋体" w:hint="eastAsia"/>
              </w:rPr>
              <w:t>①</w:t>
            </w:r>
            <w:r w:rsidRPr="00CB2EC4">
              <w:rPr>
                <w:rFonts w:ascii="Times New Roman" w:hAnsi="Times New Roman" w:cs="Times New Roman"/>
              </w:rPr>
              <w:t>, but also includes a longitudinal incision of the mons pubis skin about 3 cm (preserving the mons pubis skin while resecting subcutaneous tissue down to the pubic fascia). The document states "the author often uses type (2) incision," indicating this is a commonly employed type.</w:t>
            </w:r>
            <w:r w:rsidRPr="00CB2EC4">
              <w:rPr>
                <w:rFonts w:ascii="Times New Roman" w:hAnsi="Times New Roman" w:cs="Times New Roman"/>
              </w:rPr>
              <w:br/>
              <w:t xml:space="preserve">- Type </w:t>
            </w:r>
            <w:r w:rsidRPr="00CB2EC4">
              <w:rPr>
                <w:rFonts w:ascii="宋体" w:eastAsia="宋体" w:hAnsi="宋体" w:cs="宋体" w:hint="eastAsia"/>
              </w:rPr>
              <w:t>③</w:t>
            </w:r>
            <w:r w:rsidRPr="00CB2EC4">
              <w:rPr>
                <w:rFonts w:ascii="Times New Roman" w:hAnsi="Times New Roman" w:cs="Times New Roman"/>
              </w:rPr>
              <w:t xml:space="preserve">: Along the superior border of the pubic symphysis, the lateral margin of the mons pubis, and the lateral margin of the labia majora, converging at </w:t>
            </w:r>
            <w:r w:rsidRPr="00CB2EC4">
              <w:rPr>
                <w:rFonts w:ascii="Times New Roman" w:hAnsi="Times New Roman" w:cs="Times New Roman"/>
              </w:rPr>
              <w:lastRenderedPageBreak/>
              <w:t>the perineum.</w:t>
            </w:r>
            <w:r w:rsidRPr="00CB2EC4">
              <w:rPr>
                <w:rFonts w:ascii="Times New Roman" w:hAnsi="Times New Roman" w:cs="Times New Roman"/>
              </w:rPr>
              <w:br/>
              <w:t xml:space="preserve">- Type </w:t>
            </w:r>
            <w:r w:rsidRPr="00CB2EC4">
              <w:rPr>
                <w:rFonts w:ascii="宋体" w:eastAsia="宋体" w:hAnsi="宋体" w:cs="宋体" w:hint="eastAsia"/>
              </w:rPr>
              <w:t>④</w:t>
            </w:r>
            <w:r w:rsidRPr="00CB2EC4">
              <w:rPr>
                <w:rFonts w:ascii="Times New Roman" w:hAnsi="Times New Roman" w:cs="Times New Roman"/>
              </w:rPr>
              <w:t xml:space="preserve">: Essentially the same as type </w:t>
            </w:r>
            <w:r w:rsidRPr="00CB2EC4">
              <w:rPr>
                <w:rFonts w:ascii="宋体" w:eastAsia="宋体" w:hAnsi="宋体" w:cs="宋体" w:hint="eastAsia"/>
              </w:rPr>
              <w:t>③</w:t>
            </w:r>
            <w:r w:rsidRPr="00CB2EC4">
              <w:rPr>
                <w:rFonts w:ascii="Times New Roman" w:hAnsi="Times New Roman" w:cs="Times New Roman"/>
              </w:rPr>
              <w:t>, but the lateral vulvar margins extend to the medial aspect of the thighs.</w:t>
            </w:r>
            <w:r w:rsidRPr="00CB2EC4">
              <w:rPr>
                <w:rFonts w:ascii="Times New Roman" w:hAnsi="Times New Roman" w:cs="Times New Roman"/>
              </w:rPr>
              <w:br/>
            </w:r>
            <w:r w:rsidRPr="00CB2EC4">
              <w:rPr>
                <w:rFonts w:ascii="Times New Roman" w:hAnsi="Times New Roman" w:cs="Times New Roman"/>
              </w:rPr>
              <w:br/>
              <w:t>These incision designs aim to ensure adequate tumor resection margins (at least 3 cm from the tumor) while considering postoperative function and appearance.</w:t>
            </w:r>
          </w:p>
        </w:tc>
        <w:tc>
          <w:tcPr>
            <w:tcW w:w="1152" w:type="dxa"/>
            <w:vAlign w:val="center"/>
          </w:tcPr>
          <w:p w14:paraId="0F60426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AE0511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94D4B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E3CD2BD" w14:textId="77777777" w:rsidTr="00547D77">
        <w:tc>
          <w:tcPr>
            <w:tcW w:w="10656" w:type="dxa"/>
            <w:gridSpan w:val="5"/>
            <w:tcBorders>
              <w:bottom w:val="single" w:sz="6" w:space="0" w:color="auto"/>
            </w:tcBorders>
            <w:vAlign w:val="center"/>
          </w:tcPr>
          <w:p w14:paraId="5AA8F14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152: When vulvar cancer involves the urethra, what are the three progressively extensive surgical options described in the text, based on the degree and extent of involvement? Please summarize the core procedure and indications for each.</w:t>
            </w:r>
          </w:p>
        </w:tc>
      </w:tr>
      <w:tr w:rsidR="00916494" w:rsidRPr="00CB2EC4" w14:paraId="2C1EBED8" w14:textId="77777777" w:rsidTr="00547D77">
        <w:tc>
          <w:tcPr>
            <w:tcW w:w="2160" w:type="dxa"/>
            <w:vAlign w:val="center"/>
          </w:tcPr>
          <w:p w14:paraId="1E6D5B01"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448EDA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1. Partial urethrectomy  </w:t>
            </w:r>
            <w:r w:rsidRPr="00CB2EC4">
              <w:rPr>
                <w:rFonts w:ascii="Times New Roman" w:hAnsi="Times New Roman" w:cs="Times New Roman"/>
              </w:rPr>
              <w:br/>
              <w:t xml:space="preserve">   - Core procedure: Dissection is performed from above the urethra, deep to the level of the tumor, with resection of an appropriate segment of the urethra. The dorsal urethral fascia is sutured to the pubic symphysis periosteum to ensure urethral protrusion and fixation. The urethral meatus is sutured to adjacent skin flaps or vaginal mucosa to prevent coverage of the urethral opening.  </w:t>
            </w:r>
            <w:r w:rsidRPr="00CB2EC4">
              <w:rPr>
                <w:rFonts w:ascii="Times New Roman" w:hAnsi="Times New Roman" w:cs="Times New Roman"/>
              </w:rPr>
              <w:br/>
              <w:t xml:space="preserve">   - Indication: Suitable for cases with minor involvement of the mons pubis, clitoral hood, frenulum, clitoral body, anterior half of the labia minora, vestibule, or urethra, where partial urethral resection is required but voiding function is preserved.  </w:t>
            </w:r>
            <w:r w:rsidRPr="00CB2EC4">
              <w:rPr>
                <w:rFonts w:ascii="Times New Roman" w:hAnsi="Times New Roman" w:cs="Times New Roman"/>
              </w:rPr>
              <w:br/>
            </w:r>
            <w:r w:rsidRPr="00CB2EC4">
              <w:rPr>
                <w:rFonts w:ascii="Times New Roman" w:hAnsi="Times New Roman" w:cs="Times New Roman"/>
              </w:rPr>
              <w:br/>
              <w:t xml:space="preserve">2. Total urethrectomy  </w:t>
            </w:r>
            <w:r w:rsidRPr="00CB2EC4">
              <w:rPr>
                <w:rFonts w:ascii="Times New Roman" w:hAnsi="Times New Roman" w:cs="Times New Roman"/>
              </w:rPr>
              <w:br/>
              <w:t xml:space="preserve">   - Core procedure: Complete urethrectomy is performed while preserving the bladder internal sphincter. A bladder wall flap urethroplasty is conducted by harvesting a longitudinal bladder wall flap (approximately 4 cm in width, length adjusted as needed) from the anterior bladder wall to construct a new urethra and restore voiding function.  </w:t>
            </w:r>
            <w:r w:rsidRPr="00CB2EC4">
              <w:rPr>
                <w:rFonts w:ascii="Times New Roman" w:hAnsi="Times New Roman" w:cs="Times New Roman"/>
              </w:rPr>
              <w:br/>
            </w:r>
            <w:r w:rsidRPr="00CB2EC4">
              <w:rPr>
                <w:rFonts w:ascii="Times New Roman" w:hAnsi="Times New Roman" w:cs="Times New Roman"/>
              </w:rPr>
              <w:lastRenderedPageBreak/>
              <w:t xml:space="preserve">   - Indication: Suitable for cases where vulvar cancer invades the urethra to a depth of 2–3 cm, requiring complete urethral removal while maintaining bladder function.  </w:t>
            </w:r>
            <w:r w:rsidRPr="00CB2EC4">
              <w:rPr>
                <w:rFonts w:ascii="Times New Roman" w:hAnsi="Times New Roman" w:cs="Times New Roman"/>
              </w:rPr>
              <w:br/>
            </w:r>
            <w:r w:rsidRPr="00CB2EC4">
              <w:rPr>
                <w:rFonts w:ascii="Times New Roman" w:hAnsi="Times New Roman" w:cs="Times New Roman"/>
              </w:rPr>
              <w:br/>
              <w:t xml:space="preserve">3. Anterior pelvic exenteration  </w:t>
            </w:r>
            <w:r w:rsidRPr="00CB2EC4">
              <w:rPr>
                <w:rFonts w:ascii="Times New Roman" w:hAnsi="Times New Roman" w:cs="Times New Roman"/>
              </w:rPr>
              <w:br/>
              <w:t xml:space="preserve">   - Core procedure: During radical vulvectomy, the urethra and entire bladder are resected, with urinary diversion performed using an ileal or sigmoid colon neobladder.  </w:t>
            </w:r>
            <w:r w:rsidRPr="00CB2EC4">
              <w:rPr>
                <w:rFonts w:ascii="Times New Roman" w:hAnsi="Times New Roman" w:cs="Times New Roman"/>
              </w:rPr>
              <w:br/>
              <w:t xml:space="preserve">   - Indication: Suitable for cases where vulvar cancer has infiltrated the bladder trigone, representing advanced invasion requiring extensive resection for tumor control.  </w:t>
            </w:r>
            <w:r w:rsidRPr="00CB2EC4">
              <w:rPr>
                <w:rFonts w:ascii="Times New Roman" w:hAnsi="Times New Roman" w:cs="Times New Roman"/>
              </w:rPr>
              <w:br/>
            </w:r>
            <w:r w:rsidRPr="00CB2EC4">
              <w:rPr>
                <w:rFonts w:ascii="Times New Roman" w:hAnsi="Times New Roman" w:cs="Times New Roman"/>
              </w:rPr>
              <w:br/>
              <w:t>These procedures progress based on the extent of invasion: partial urethrectomy for mild invasion, total urethrectomy for moderate invasion (2–3 cm depth), and anterior pelvic exenteration for severe invasion involving the bladder trigone. The document emphasizes that these surgeries are combined with radical complete vulvectomy and bilateral inguinal lymph node dissection (Source: [Similarity: 0.495] segment).</w:t>
            </w:r>
          </w:p>
        </w:tc>
        <w:tc>
          <w:tcPr>
            <w:tcW w:w="1152" w:type="dxa"/>
            <w:vAlign w:val="center"/>
          </w:tcPr>
          <w:p w14:paraId="5CD1498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FD91A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CACCC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10D2069" w14:textId="77777777" w:rsidTr="00547D77">
        <w:tc>
          <w:tcPr>
            <w:tcW w:w="2160" w:type="dxa"/>
            <w:vAlign w:val="center"/>
          </w:tcPr>
          <w:p w14:paraId="328C2210"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5037F2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1. Partial urethrectomy:  </w:t>
            </w:r>
            <w:r w:rsidRPr="00CB2EC4">
              <w:rPr>
                <w:rFonts w:ascii="Times New Roman" w:hAnsi="Times New Roman" w:cs="Times New Roman"/>
              </w:rPr>
              <w:br/>
              <w:t xml:space="preserve">   - Core procedure: Resection of the affected segment of the urethra to an appropriate length. Dissection is performed from above the urethra, extending deeply to the tumor to visually determine the resection plane; after resection, the dorsal fascia of the urethra is sutured to the periosteum of the pubic symphysis to fix the urethral position, prevent flap coverage of the urethral meatus, and ensure straight urinary flow.  </w:t>
            </w:r>
            <w:r w:rsidRPr="00CB2EC4">
              <w:rPr>
                <w:rFonts w:ascii="Times New Roman" w:hAnsi="Times New Roman" w:cs="Times New Roman"/>
              </w:rPr>
              <w:br/>
              <w:t xml:space="preserve">   - Indication: Applicable when the tumor involves </w:t>
            </w:r>
            <w:r w:rsidRPr="00CB2EC4">
              <w:rPr>
                <w:rFonts w:ascii="Times New Roman" w:hAnsi="Times New Roman" w:cs="Times New Roman"/>
              </w:rPr>
              <w:lastRenderedPageBreak/>
              <w:t xml:space="preserve">the distal urethra (e.g., mons pubis, clitoral hood, anterior labia minora, or vestibule), classified as Stage III disease. Aims to preserve partial urethral function.  </w:t>
            </w:r>
            <w:r w:rsidRPr="00CB2EC4">
              <w:rPr>
                <w:rFonts w:ascii="Times New Roman" w:hAnsi="Times New Roman" w:cs="Times New Roman"/>
              </w:rPr>
              <w:br/>
            </w:r>
            <w:r w:rsidRPr="00CB2EC4">
              <w:rPr>
                <w:rFonts w:ascii="Times New Roman" w:hAnsi="Times New Roman" w:cs="Times New Roman"/>
              </w:rPr>
              <w:br/>
              <w:t xml:space="preserve">2. Total urethrectomy:  </w:t>
            </w:r>
            <w:r w:rsidRPr="00CB2EC4">
              <w:rPr>
                <w:rFonts w:ascii="Times New Roman" w:hAnsi="Times New Roman" w:cs="Times New Roman"/>
              </w:rPr>
              <w:br/>
              <w:t xml:space="preserve">   - Core procedure: Concurrent with wide local excision of the vulva, complete resection of the urethra is performed while preserving the bladder internal sphincter; a bladder muscular flap urethroplasty (urethral reconstruction to maintain voiding function) is carried out.  </w:t>
            </w:r>
            <w:r w:rsidRPr="00CB2EC4">
              <w:rPr>
                <w:rFonts w:ascii="Times New Roman" w:hAnsi="Times New Roman" w:cs="Times New Roman"/>
              </w:rPr>
              <w:br/>
              <w:t xml:space="preserve">   - Indication: Suitable for vulvar cancer invading 2–3 cm of the urethra, classified as Stage IV disease. Used when tumor involvement is extensive but does not reach the bladder.  </w:t>
            </w:r>
            <w:r w:rsidRPr="00CB2EC4">
              <w:rPr>
                <w:rFonts w:ascii="Times New Roman" w:hAnsi="Times New Roman" w:cs="Times New Roman"/>
              </w:rPr>
              <w:br/>
            </w:r>
            <w:r w:rsidRPr="00CB2EC4">
              <w:rPr>
                <w:rFonts w:ascii="Times New Roman" w:hAnsi="Times New Roman" w:cs="Times New Roman"/>
              </w:rPr>
              <w:br/>
              <w:t xml:space="preserve">3. Extended radical vulvectomy with cystectomy or reconstruction:  </w:t>
            </w:r>
            <w:r w:rsidRPr="00CB2EC4">
              <w:rPr>
                <w:rFonts w:ascii="Times New Roman" w:hAnsi="Times New Roman" w:cs="Times New Roman"/>
              </w:rPr>
              <w:br/>
              <w:t xml:space="preserve">   - Core procedure: Resection of involved adjacent organs (e.g., entire urethra, bladder, anal canal, or distal rectum), followed by corresponding urethral or bladder reconstruction (e.g., neourethra or artificial anus reconstruction).  </w:t>
            </w:r>
            <w:r w:rsidRPr="00CB2EC4">
              <w:rPr>
                <w:rFonts w:ascii="Times New Roman" w:hAnsi="Times New Roman" w:cs="Times New Roman"/>
              </w:rPr>
              <w:br/>
              <w:t xml:space="preserve">   - Indication: Applicable to Stage IV cases with tumor invasion of the entire urethra, bladder, anal canal, or distal rectum. When the extent of invasion is broad, combined pre- or postoperative radiotherapy/chemotherapy is required.  </w:t>
            </w:r>
            <w:r w:rsidRPr="00CB2EC4">
              <w:rPr>
                <w:rFonts w:ascii="Times New Roman" w:hAnsi="Times New Roman" w:cs="Times New Roman"/>
              </w:rPr>
              <w:br/>
            </w:r>
            <w:r w:rsidRPr="00CB2EC4">
              <w:rPr>
                <w:rFonts w:ascii="Times New Roman" w:hAnsi="Times New Roman" w:cs="Times New Roman"/>
              </w:rPr>
              <w:br/>
              <w:t>These approaches are sequential, expanding the surgical scope stepwise based on the degree of invasion—from partial urethral involvement to full urethra and bladder—to achieve tumor control while preserving function where possible.</w:t>
            </w:r>
          </w:p>
        </w:tc>
        <w:tc>
          <w:tcPr>
            <w:tcW w:w="1152" w:type="dxa"/>
            <w:vAlign w:val="center"/>
          </w:tcPr>
          <w:p w14:paraId="3230DB1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530EB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67CC1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B1602E1" w14:textId="77777777" w:rsidTr="00547D77">
        <w:tc>
          <w:tcPr>
            <w:tcW w:w="10656" w:type="dxa"/>
            <w:gridSpan w:val="5"/>
            <w:tcBorders>
              <w:bottom w:val="single" w:sz="6" w:space="0" w:color="auto"/>
            </w:tcBorders>
            <w:vAlign w:val="center"/>
          </w:tcPr>
          <w:p w14:paraId="1FA153B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153: What are the common complications following a radical vulvectomy?</w:t>
            </w:r>
          </w:p>
        </w:tc>
      </w:tr>
      <w:tr w:rsidR="00916494" w:rsidRPr="00CB2EC4" w14:paraId="7324697E" w14:textId="77777777" w:rsidTr="00547D77">
        <w:tc>
          <w:tcPr>
            <w:tcW w:w="2160" w:type="dxa"/>
            <w:vAlign w:val="center"/>
          </w:tcPr>
          <w:p w14:paraId="66793253"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28C8A0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common complications after radical vulvectomy for vulvar cancer are divided into early and late categories:  </w:t>
            </w:r>
            <w:r w:rsidRPr="00CB2EC4">
              <w:rPr>
                <w:rFonts w:ascii="Times New Roman" w:hAnsi="Times New Roman" w:cs="Times New Roman"/>
              </w:rPr>
              <w:br/>
              <w:t xml:space="preserve">- Early complications (occurring shortly after surgery):  </w:t>
            </w:r>
            <w:r w:rsidRPr="00CB2EC4">
              <w:rPr>
                <w:rFonts w:ascii="Times New Roman" w:hAnsi="Times New Roman" w:cs="Times New Roman"/>
              </w:rPr>
              <w:br/>
              <w:t xml:space="preserve">  - Wound dehiscence, infection, necrosis (incidence 85%).  </w:t>
            </w:r>
            <w:r w:rsidRPr="00CB2EC4">
              <w:rPr>
                <w:rFonts w:ascii="Times New Roman" w:hAnsi="Times New Roman" w:cs="Times New Roman"/>
              </w:rPr>
              <w:br/>
              <w:t xml:space="preserve">  - Urinary tract infection (incidence 18%).  </w:t>
            </w:r>
            <w:r w:rsidRPr="00CB2EC4">
              <w:rPr>
                <w:rFonts w:ascii="Times New Roman" w:hAnsi="Times New Roman" w:cs="Times New Roman"/>
              </w:rPr>
              <w:br/>
              <w:t xml:space="preserve">  - Thrombotic lesions (e.g., deep vein thrombosis, incidence 9%).  </w:t>
            </w:r>
            <w:r w:rsidRPr="00CB2EC4">
              <w:rPr>
                <w:rFonts w:ascii="Times New Roman" w:hAnsi="Times New Roman" w:cs="Times New Roman"/>
              </w:rPr>
              <w:br/>
              <w:t xml:space="preserve">  - Partial necrosis of the pubic symphysis (incidence &lt;1%).  </w:t>
            </w:r>
            <w:r w:rsidRPr="00CB2EC4">
              <w:rPr>
                <w:rFonts w:ascii="Times New Roman" w:hAnsi="Times New Roman" w:cs="Times New Roman"/>
              </w:rPr>
              <w:br/>
              <w:t xml:space="preserve">  - Femoral artery bleeding (incidence &lt;1%).  </w:t>
            </w:r>
            <w:r w:rsidRPr="00CB2EC4">
              <w:rPr>
                <w:rFonts w:ascii="Times New Roman" w:hAnsi="Times New Roman" w:cs="Times New Roman"/>
              </w:rPr>
              <w:br/>
              <w:t xml:space="preserve">- Late complications (occurring after a longer period post-surgery):  </w:t>
            </w:r>
            <w:r w:rsidRPr="00CB2EC4">
              <w:rPr>
                <w:rFonts w:ascii="Times New Roman" w:hAnsi="Times New Roman" w:cs="Times New Roman"/>
              </w:rPr>
              <w:br/>
              <w:t xml:space="preserve">  - Lower limb lymphedema (incidence 69%, severe cases may lead to "elephantiasis").  </w:t>
            </w:r>
            <w:r w:rsidRPr="00CB2EC4">
              <w:rPr>
                <w:rFonts w:ascii="Times New Roman" w:hAnsi="Times New Roman" w:cs="Times New Roman"/>
              </w:rPr>
              <w:br/>
              <w:t xml:space="preserve">  - Lymphangitis, phlebitis, cellulitis (incidence 13%).  </w:t>
            </w:r>
            <w:r w:rsidRPr="00CB2EC4">
              <w:rPr>
                <w:rFonts w:ascii="Times New Roman" w:hAnsi="Times New Roman" w:cs="Times New Roman"/>
              </w:rPr>
              <w:br/>
              <w:t xml:space="preserve">  - Vaginal stenosis (incidence 13%).  </w:t>
            </w:r>
            <w:r w:rsidRPr="00CB2EC4">
              <w:rPr>
                <w:rFonts w:ascii="Times New Roman" w:hAnsi="Times New Roman" w:cs="Times New Roman"/>
              </w:rPr>
              <w:br/>
              <w:t xml:space="preserve">  - Pelvic relaxation (incidence 11%).  </w:t>
            </w:r>
            <w:r w:rsidRPr="00CB2EC4">
              <w:rPr>
                <w:rFonts w:ascii="Times New Roman" w:hAnsi="Times New Roman" w:cs="Times New Roman"/>
              </w:rPr>
              <w:br/>
              <w:t xml:space="preserve">  - Stress urinary incontinence (incidence 11%, especially when urethral resection exceeds 2 cm).  </w:t>
            </w:r>
            <w:r w:rsidRPr="00CB2EC4">
              <w:rPr>
                <w:rFonts w:ascii="Times New Roman" w:hAnsi="Times New Roman" w:cs="Times New Roman"/>
              </w:rPr>
              <w:br/>
              <w:t xml:space="preserve">  - Hernia (incidence 5%).  </w:t>
            </w:r>
            <w:r w:rsidRPr="00CB2EC4">
              <w:rPr>
                <w:rFonts w:ascii="Times New Roman" w:hAnsi="Times New Roman" w:cs="Times New Roman"/>
              </w:rPr>
              <w:br/>
              <w:t xml:space="preserve">  - Urethral stricture, prolapse (incidence 2%).  </w:t>
            </w:r>
            <w:r w:rsidRPr="00CB2EC4">
              <w:rPr>
                <w:rFonts w:ascii="Times New Roman" w:hAnsi="Times New Roman" w:cs="Times New Roman"/>
              </w:rPr>
              <w:br/>
              <w:t xml:space="preserve">  - Fistula (e.g., urethrovaginal fistula, incidence 2%).  </w:t>
            </w:r>
            <w:r w:rsidRPr="00CB2EC4">
              <w:rPr>
                <w:rFonts w:ascii="Times New Roman" w:hAnsi="Times New Roman" w:cs="Times New Roman"/>
              </w:rPr>
              <w:br/>
              <w:t xml:space="preserve">  - Rectal dysfunction, prolapse (incidence 1%).</w:t>
            </w:r>
          </w:p>
        </w:tc>
        <w:tc>
          <w:tcPr>
            <w:tcW w:w="1152" w:type="dxa"/>
            <w:vAlign w:val="center"/>
          </w:tcPr>
          <w:p w14:paraId="7497C2E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1DC12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880B3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54CB72E" w14:textId="77777777" w:rsidTr="00547D77">
        <w:tc>
          <w:tcPr>
            <w:tcW w:w="2160" w:type="dxa"/>
            <w:vAlign w:val="center"/>
          </w:tcPr>
          <w:p w14:paraId="56EFFF7B"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029038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common complications after radical vulvectomy include:</w:t>
            </w:r>
            <w:r w:rsidRPr="00CB2EC4">
              <w:rPr>
                <w:rFonts w:ascii="Times New Roman" w:hAnsi="Times New Roman" w:cs="Times New Roman"/>
              </w:rPr>
              <w:br/>
            </w:r>
            <w:r w:rsidRPr="00CB2EC4">
              <w:rPr>
                <w:rFonts w:ascii="Times New Roman" w:hAnsi="Times New Roman" w:cs="Times New Roman"/>
              </w:rPr>
              <w:br/>
              <w:t>- Early complications (acute onset):</w:t>
            </w:r>
            <w:r w:rsidRPr="00CB2EC4">
              <w:rPr>
                <w:rFonts w:ascii="Times New Roman" w:hAnsi="Times New Roman" w:cs="Times New Roman"/>
              </w:rPr>
              <w:br/>
              <w:t xml:space="preserve">  - Wound dehiscence, infection, and necrosis: incidence up to 85% (most common).</w:t>
            </w:r>
            <w:r w:rsidRPr="00CB2EC4">
              <w:rPr>
                <w:rFonts w:ascii="Times New Roman" w:hAnsi="Times New Roman" w:cs="Times New Roman"/>
              </w:rPr>
              <w:br/>
            </w:r>
            <w:r w:rsidRPr="00CB2EC4">
              <w:rPr>
                <w:rFonts w:ascii="Times New Roman" w:hAnsi="Times New Roman" w:cs="Times New Roman"/>
              </w:rPr>
              <w:lastRenderedPageBreak/>
              <w:t xml:space="preserve">  - Urinary tract infection: incidence about 18%.</w:t>
            </w:r>
            <w:r w:rsidRPr="00CB2EC4">
              <w:rPr>
                <w:rFonts w:ascii="Times New Roman" w:hAnsi="Times New Roman" w:cs="Times New Roman"/>
              </w:rPr>
              <w:br/>
              <w:t xml:space="preserve">  - Thrombotic lesions: incidence about 9% (e.g., deep vein thrombosis).</w:t>
            </w:r>
            <w:r w:rsidRPr="00CB2EC4">
              <w:rPr>
                <w:rFonts w:ascii="Times New Roman" w:hAnsi="Times New Roman" w:cs="Times New Roman"/>
              </w:rPr>
              <w:br/>
              <w:t xml:space="preserve">  - Others: partial necrosis of the pubic symphysis (&lt;1%), femoral artery bleeding (&lt;1%).</w:t>
            </w:r>
            <w:r w:rsidRPr="00CB2EC4">
              <w:rPr>
                <w:rFonts w:ascii="Times New Roman" w:hAnsi="Times New Roman" w:cs="Times New Roman"/>
              </w:rPr>
              <w:br/>
              <w:t>- Late complications (delayed onset):</w:t>
            </w:r>
            <w:r w:rsidRPr="00CB2EC4">
              <w:rPr>
                <w:rFonts w:ascii="Times New Roman" w:hAnsi="Times New Roman" w:cs="Times New Roman"/>
              </w:rPr>
              <w:br/>
              <w:t xml:space="preserve">  - Lower limb lymphedema: most common, incidence about 69% (due to lymphatic obstruction leading to "elephantiasis").</w:t>
            </w:r>
            <w:r w:rsidRPr="00CB2EC4">
              <w:rPr>
                <w:rFonts w:ascii="Times New Roman" w:hAnsi="Times New Roman" w:cs="Times New Roman"/>
              </w:rPr>
              <w:br/>
              <w:t xml:space="preserve">  - Lymphangitis, phlebitis, cellulitis: incidence about 13%.</w:t>
            </w:r>
            <w:r w:rsidRPr="00CB2EC4">
              <w:rPr>
                <w:rFonts w:ascii="Times New Roman" w:hAnsi="Times New Roman" w:cs="Times New Roman"/>
              </w:rPr>
              <w:br/>
              <w:t xml:space="preserve">  - Vaginal stenosis: incidence about 13%.</w:t>
            </w:r>
            <w:r w:rsidRPr="00CB2EC4">
              <w:rPr>
                <w:rFonts w:ascii="Times New Roman" w:hAnsi="Times New Roman" w:cs="Times New Roman"/>
              </w:rPr>
              <w:br/>
              <w:t xml:space="preserve">  - Pelvic relaxation: incidence about 11%.</w:t>
            </w:r>
            <w:r w:rsidRPr="00CB2EC4">
              <w:rPr>
                <w:rFonts w:ascii="Times New Roman" w:hAnsi="Times New Roman" w:cs="Times New Roman"/>
              </w:rPr>
              <w:br/>
              <w:t xml:space="preserve">  - Stress urinary incontinence: incidence about 11% (especially likely in those with more than 2 cm of urethra resected).</w:t>
            </w:r>
            <w:r w:rsidRPr="00CB2EC4">
              <w:rPr>
                <w:rFonts w:ascii="Times New Roman" w:hAnsi="Times New Roman" w:cs="Times New Roman"/>
              </w:rPr>
              <w:br/>
              <w:t xml:space="preserve">  - Others: hernia (5%), urethral stricture or prolapse (2%), fistula (2%), rectal dysfunction or prolapse (1%).</w:t>
            </w:r>
            <w:r w:rsidRPr="00CB2EC4">
              <w:rPr>
                <w:rFonts w:ascii="Times New Roman" w:hAnsi="Times New Roman" w:cs="Times New Roman"/>
              </w:rPr>
              <w:br/>
              <w:t>These complications are related to the large surgical field, extensive flap dissection, and lymphoid tissue removal, requiring timely prevention and management (e.g., wearing elastic stockings, elevating the affected limb).</w:t>
            </w:r>
          </w:p>
        </w:tc>
        <w:tc>
          <w:tcPr>
            <w:tcW w:w="1152" w:type="dxa"/>
            <w:vAlign w:val="center"/>
          </w:tcPr>
          <w:p w14:paraId="50781BF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D5C41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D0C61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DBD19C2" w14:textId="77777777" w:rsidTr="00547D77">
        <w:tc>
          <w:tcPr>
            <w:tcW w:w="10656" w:type="dxa"/>
            <w:gridSpan w:val="5"/>
            <w:tcBorders>
              <w:bottom w:val="single" w:sz="6" w:space="0" w:color="auto"/>
            </w:tcBorders>
            <w:vAlign w:val="center"/>
          </w:tcPr>
          <w:p w14:paraId="3B1C0A1F"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154: What are the major risk factors for local recurrence after surgery for vulvar cancer?</w:t>
            </w:r>
          </w:p>
        </w:tc>
      </w:tr>
      <w:tr w:rsidR="00916494" w:rsidRPr="00CB2EC4" w14:paraId="074DA86F" w14:textId="77777777" w:rsidTr="00547D77">
        <w:tc>
          <w:tcPr>
            <w:tcW w:w="2160" w:type="dxa"/>
            <w:vAlign w:val="center"/>
          </w:tcPr>
          <w:p w14:paraId="1A9200CB"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E35330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main risk factors for local recurrence after vulvar cancer surgery are as follows:  </w:t>
            </w:r>
            <w:r w:rsidRPr="00CB2EC4">
              <w:rPr>
                <w:rFonts w:ascii="Times New Roman" w:hAnsi="Times New Roman" w:cs="Times New Roman"/>
              </w:rPr>
              <w:br/>
              <w:t xml:space="preserve">- Insufficient surgical margins: A margin distance of less than 1 cm (or less than 8 mm) from the tumor edge is the best prognostic factor for recurrence. All recurrence cases are commonly associated with inadequate margins; it is recommended that margins be at least 2–3 cm from the tumor whenever possible.  </w:t>
            </w:r>
            <w:r w:rsidRPr="00CB2EC4">
              <w:rPr>
                <w:rFonts w:ascii="Times New Roman" w:hAnsi="Times New Roman" w:cs="Times New Roman"/>
              </w:rPr>
              <w:br/>
            </w:r>
            <w:r w:rsidRPr="00CB2EC4">
              <w:rPr>
                <w:rFonts w:ascii="Times New Roman" w:hAnsi="Times New Roman" w:cs="Times New Roman"/>
              </w:rPr>
              <w:lastRenderedPageBreak/>
              <w:t xml:space="preserve">- Tumor location: Tumors near critical sites such as the urethral opening or anal verge make it difficult to achieve adequate margins, thereby increasing the risk of recurrence.  </w:t>
            </w:r>
            <w:r w:rsidRPr="00CB2EC4">
              <w:rPr>
                <w:rFonts w:ascii="Times New Roman" w:hAnsi="Times New Roman" w:cs="Times New Roman"/>
              </w:rPr>
              <w:br/>
              <w:t xml:space="preserve">- Clinical stage: Advanced-stage cases (Stage III, IV) have higher recurrence rates, and most recurrent cases are advanced-stage at initial diagnosis.  </w:t>
            </w:r>
            <w:r w:rsidRPr="00CB2EC4">
              <w:rPr>
                <w:rFonts w:ascii="Times New Roman" w:hAnsi="Times New Roman" w:cs="Times New Roman"/>
              </w:rPr>
              <w:br/>
              <w:t xml:space="preserve">- Primary tumor size and metastatic status: Larger primary tumor size (e.g., diameter &gt; 2 cm) and/or presence of lymph node metastasis at the time of initial surgery are associated with more frequent recurrence.  </w:t>
            </w:r>
            <w:r w:rsidRPr="00CB2EC4">
              <w:rPr>
                <w:rFonts w:ascii="Times New Roman" w:hAnsi="Times New Roman" w:cs="Times New Roman"/>
              </w:rPr>
              <w:br/>
              <w:t xml:space="preserve">- Multicentric lesions: Vulvar cancer exhibits diffuse and multicentric characteristics; incomplete removal of all lesions during surgery increases the risk of recurrence.  </w:t>
            </w:r>
            <w:r w:rsidRPr="00CB2EC4">
              <w:rPr>
                <w:rFonts w:ascii="Times New Roman" w:hAnsi="Times New Roman" w:cs="Times New Roman"/>
              </w:rPr>
              <w:br/>
              <w:t xml:space="preserve">- Other factors: Coexisting vulvar leukoplakia or vascular lymphatic space invasion (lymphovascular invasion) also elevate the risk of recurrence.  </w:t>
            </w:r>
            <w:r w:rsidRPr="00CB2EC4">
              <w:rPr>
                <w:rFonts w:ascii="Times New Roman" w:hAnsi="Times New Roman" w:cs="Times New Roman"/>
              </w:rPr>
              <w:br/>
            </w:r>
            <w:r w:rsidRPr="00CB2EC4">
              <w:rPr>
                <w:rFonts w:ascii="Times New Roman" w:hAnsi="Times New Roman" w:cs="Times New Roman"/>
              </w:rPr>
              <w:br/>
              <w:t>The document emphasizes that the status of surgical margins (clear or positive) is the key to controlling recurrence (source: recurrence-related descriptions in the [Similarity: 0.495] segment).</w:t>
            </w:r>
          </w:p>
        </w:tc>
        <w:tc>
          <w:tcPr>
            <w:tcW w:w="1152" w:type="dxa"/>
            <w:vAlign w:val="center"/>
          </w:tcPr>
          <w:p w14:paraId="09F27D3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BB58E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4ED4F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398A94D" w14:textId="77777777" w:rsidTr="00547D77">
        <w:tc>
          <w:tcPr>
            <w:tcW w:w="2160" w:type="dxa"/>
            <w:vAlign w:val="center"/>
          </w:tcPr>
          <w:p w14:paraId="4943587B"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7A63C5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main risk factors for local recurrence after vulvar cancer surgery are:</w:t>
            </w:r>
            <w:r w:rsidRPr="00CB2EC4">
              <w:rPr>
                <w:rFonts w:ascii="Times New Roman" w:hAnsi="Times New Roman" w:cs="Times New Roman"/>
              </w:rPr>
              <w:br/>
            </w:r>
            <w:r w:rsidRPr="00CB2EC4">
              <w:rPr>
                <w:rFonts w:ascii="Times New Roman" w:hAnsi="Times New Roman" w:cs="Times New Roman"/>
              </w:rPr>
              <w:br/>
              <w:t>- **Inadequate surgical margins**: A margin distance of less than 8 mm (or less than 1 cm) from the tumor is the strongest prognostic factor for local recurrence, and all recurrent cases are commonly associated with this. The literature emphasizes that margins should be at least 2–3 cm from the tumor to reduce recurrence risk.</w:t>
            </w:r>
            <w:r w:rsidRPr="00CB2EC4">
              <w:rPr>
                <w:rFonts w:ascii="Times New Roman" w:hAnsi="Times New Roman" w:cs="Times New Roman"/>
              </w:rPr>
              <w:br/>
            </w:r>
            <w:r w:rsidRPr="00CB2EC4">
              <w:rPr>
                <w:rFonts w:ascii="Times New Roman" w:hAnsi="Times New Roman" w:cs="Times New Roman"/>
              </w:rPr>
              <w:lastRenderedPageBreak/>
              <w:br/>
              <w:t>- **Multicentric lesions**: Vulvar cancer is often polycentric (approximately 20% of cases may develop recurrence or new lesions), and the presence of multicentric disease is a characteristic associated with recurrence.</w:t>
            </w:r>
            <w:r w:rsidRPr="00CB2EC4">
              <w:rPr>
                <w:rFonts w:ascii="Times New Roman" w:hAnsi="Times New Roman" w:cs="Times New Roman"/>
              </w:rPr>
              <w:br/>
            </w:r>
            <w:r w:rsidRPr="00CB2EC4">
              <w:rPr>
                <w:rFonts w:ascii="Times New Roman" w:hAnsi="Times New Roman" w:cs="Times New Roman"/>
              </w:rPr>
              <w:br/>
              <w:t>- **Advanced clinical stage**: Recurrence is closely related to clinical stage; stage III and IV cases (e.g., tumor invasion of the urethra, anus, vagina, or entire urethra/bladder) carry a higher risk of recurrence. Data show that patients with involvement of the anus, vagina, or urethra have a 5-year survival rate of only 22.7%, significantly lower than the 62.6% for those without such involvement.</w:t>
            </w:r>
            <w:r w:rsidRPr="00CB2EC4">
              <w:rPr>
                <w:rFonts w:ascii="Times New Roman" w:hAnsi="Times New Roman" w:cs="Times New Roman"/>
              </w:rPr>
              <w:br/>
            </w:r>
            <w:r w:rsidRPr="00CB2EC4">
              <w:rPr>
                <w:rFonts w:ascii="Times New Roman" w:hAnsi="Times New Roman" w:cs="Times New Roman"/>
              </w:rPr>
              <w:br/>
              <w:t>- **Insufficiently extensive initial surgery**: When the tumor is close to the urethral orifice or anal margin, organ-preserving surgery without adjuvant radiotherapy is prone to recurrence. The literature notes that before 1974, due to inadequate resection, the recurrence rate was as high as 10.4%, which decreased to 4.2% after improvements.</w:t>
            </w:r>
            <w:r w:rsidRPr="00CB2EC4">
              <w:rPr>
                <w:rFonts w:ascii="Times New Roman" w:hAnsi="Times New Roman" w:cs="Times New Roman"/>
              </w:rPr>
              <w:br/>
            </w:r>
            <w:r w:rsidRPr="00CB2EC4">
              <w:rPr>
                <w:rFonts w:ascii="Times New Roman" w:hAnsi="Times New Roman" w:cs="Times New Roman"/>
              </w:rPr>
              <w:br/>
              <w:t>- **Other factors**: Age (higher risk in elderly women) and obesity may have indirect effects, but are not directly listed as independent risk factors in the literature.</w:t>
            </w:r>
          </w:p>
        </w:tc>
        <w:tc>
          <w:tcPr>
            <w:tcW w:w="1152" w:type="dxa"/>
            <w:vAlign w:val="center"/>
          </w:tcPr>
          <w:p w14:paraId="7F652D9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792FA3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C95A2F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3DC7CE3" w14:textId="77777777" w:rsidTr="00547D77">
        <w:tc>
          <w:tcPr>
            <w:tcW w:w="10656" w:type="dxa"/>
            <w:gridSpan w:val="5"/>
            <w:tcBorders>
              <w:bottom w:val="single" w:sz="6" w:space="0" w:color="auto"/>
            </w:tcBorders>
            <w:vAlign w:val="center"/>
          </w:tcPr>
          <w:p w14:paraId="72A3E03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155: What are the roles of HMB-45 and S-100 protein in diagnosing vulvar malignant melanoma? Why is their combined use recommended?</w:t>
            </w:r>
          </w:p>
        </w:tc>
      </w:tr>
      <w:tr w:rsidR="00916494" w:rsidRPr="00CB2EC4" w14:paraId="103F1C4B" w14:textId="77777777" w:rsidTr="00547D77">
        <w:tc>
          <w:tcPr>
            <w:tcW w:w="2160" w:type="dxa"/>
            <w:vAlign w:val="center"/>
          </w:tcPr>
          <w:p w14:paraId="0CAFD63A"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0BA26A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roles of HMB-45 and S-100 protein in the diagnosis of vulvar malignant melanoma (MM) are as follows:  </w:t>
            </w:r>
            <w:r w:rsidRPr="00CB2EC4">
              <w:rPr>
                <w:rFonts w:ascii="Times New Roman" w:hAnsi="Times New Roman" w:cs="Times New Roman"/>
              </w:rPr>
              <w:br/>
            </w:r>
            <w:r w:rsidRPr="00CB2EC4">
              <w:rPr>
                <w:rFonts w:ascii="Times New Roman" w:hAnsi="Times New Roman" w:cs="Times New Roman"/>
              </w:rPr>
              <w:lastRenderedPageBreak/>
              <w:t xml:space="preserve">- Role of S-100 protein: Almost all malignant melanomas express S-100 protein positively, with high sensitivity, and can be used for initial screening.  </w:t>
            </w:r>
            <w:r w:rsidRPr="00CB2EC4">
              <w:rPr>
                <w:rFonts w:ascii="Times New Roman" w:hAnsi="Times New Roman" w:cs="Times New Roman"/>
              </w:rPr>
              <w:br/>
              <w:t xml:space="preserve">- Role of HMB-45: It has higher specificity for malignant melanoma, with a reported expression rate of 90.6% in MM, and is helpful for confirmation of diagnosis.  </w:t>
            </w:r>
            <w:r w:rsidRPr="00CB2EC4">
              <w:rPr>
                <w:rFonts w:ascii="Times New Roman" w:hAnsi="Times New Roman" w:cs="Times New Roman"/>
              </w:rPr>
              <w:br/>
              <w:t xml:space="preserve">- Reasons for recommending combined use:  </w:t>
            </w:r>
            <w:r w:rsidRPr="00CB2EC4">
              <w:rPr>
                <w:rFonts w:ascii="Times New Roman" w:hAnsi="Times New Roman" w:cs="Times New Roman"/>
              </w:rPr>
              <w:br/>
              <w:t xml:space="preserve">  - Although S-100 protein is sensitive, its specificity is not high, as sarcomas, schwannomas, and some other carcinomas may also express positivity, leading to false positives.  </w:t>
            </w:r>
            <w:r w:rsidRPr="00CB2EC4">
              <w:rPr>
                <w:rFonts w:ascii="Times New Roman" w:hAnsi="Times New Roman" w:cs="Times New Roman"/>
              </w:rPr>
              <w:br/>
              <w:t xml:space="preserve">  - HMB-45 has strong specificity, but may be negative in some metastatic melanomas (risk of false negatives).  </w:t>
            </w:r>
            <w:r w:rsidRPr="00CB2EC4">
              <w:rPr>
                <w:rFonts w:ascii="Times New Roman" w:hAnsi="Times New Roman" w:cs="Times New Roman"/>
              </w:rPr>
              <w:br/>
              <w:t xml:space="preserve">  - Combining both can complement each other: S-100 increases detection sensitivity, HMB-45 increases specificity, thereby improving diagnostic accuracy and reducing misdiagnosis. Documentation indicates this is particularly important for distinguishing misdiagnosed cases such as poorly differentiated carcinoma or fibrosarcoma (source: immunohistochemical description in the [similarity: 0.495] segment).</w:t>
            </w:r>
          </w:p>
        </w:tc>
        <w:tc>
          <w:tcPr>
            <w:tcW w:w="1152" w:type="dxa"/>
            <w:vAlign w:val="center"/>
          </w:tcPr>
          <w:p w14:paraId="106A3F6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0FC8C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96837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AEE79AC" w14:textId="77777777" w:rsidTr="00547D77">
        <w:tc>
          <w:tcPr>
            <w:tcW w:w="2160" w:type="dxa"/>
            <w:vAlign w:val="center"/>
          </w:tcPr>
          <w:p w14:paraId="602D2077"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E43706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 information is available in the provided document regarding the role of HMB-45 and S-100 protein in the diagnosis of vulvar malignant melanoma, or the rationale for their combined use.</w:t>
            </w:r>
          </w:p>
        </w:tc>
        <w:tc>
          <w:tcPr>
            <w:tcW w:w="1152" w:type="dxa"/>
            <w:vAlign w:val="center"/>
          </w:tcPr>
          <w:p w14:paraId="3C3C5DA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2E1FD5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2C1412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3E56CFA1" w14:textId="77777777" w:rsidTr="00547D77">
        <w:tc>
          <w:tcPr>
            <w:tcW w:w="10656" w:type="dxa"/>
            <w:gridSpan w:val="5"/>
            <w:tcBorders>
              <w:bottom w:val="single" w:sz="6" w:space="0" w:color="auto"/>
            </w:tcBorders>
            <w:vAlign w:val="center"/>
          </w:tcPr>
          <w:p w14:paraId="19BE8DE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156: A 68-year-old patient is diagnosed with vulvar malignant melanoma. The tumor is located on the clitoris (a central location), and the pathology report shows a tumor thickness of 3 mm with surface ulceration. Based on the information provided in the text, formulate a preliminary surgical treatment strategy for her (including local excision and lymph node management), and identify her poor prognostic factors.</w:t>
            </w:r>
          </w:p>
        </w:tc>
      </w:tr>
      <w:tr w:rsidR="00916494" w:rsidRPr="00CB2EC4" w14:paraId="34172AD4" w14:textId="77777777" w:rsidTr="00547D77">
        <w:tc>
          <w:tcPr>
            <w:tcW w:w="2160" w:type="dxa"/>
            <w:vAlign w:val="center"/>
          </w:tcPr>
          <w:p w14:paraId="23681EDE" w14:textId="77777777" w:rsidR="00916494" w:rsidRPr="00CB2EC4" w:rsidRDefault="00916494" w:rsidP="00547D77">
            <w:pPr>
              <w:rPr>
                <w:rFonts w:ascii="Times New Roman" w:hAnsi="Times New Roman" w:cs="Times New Roman"/>
              </w:rPr>
            </w:pPr>
            <w:r>
              <w:rPr>
                <w:rFonts w:ascii="Times New Roman" w:hAnsi="Times New Roman" w:cs="Times New Roman"/>
              </w:rPr>
              <w:t xml:space="preserve">Chunk size=512, </w:t>
            </w:r>
            <w:r>
              <w:rPr>
                <w:rFonts w:ascii="Times New Roman" w:hAnsi="Times New Roman" w:cs="Times New Roman"/>
              </w:rPr>
              <w:lastRenderedPageBreak/>
              <w:t>Overlap=0 Using TokenTextSplitter</w:t>
            </w:r>
          </w:p>
        </w:tc>
        <w:tc>
          <w:tcPr>
            <w:tcW w:w="5040" w:type="dxa"/>
            <w:vAlign w:val="center"/>
          </w:tcPr>
          <w:p w14:paraId="6C74FA2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 xml:space="preserve">initial surgical treatment strategy (based on document </w:t>
            </w:r>
            <w:r w:rsidRPr="00CB2EC4">
              <w:rPr>
                <w:rFonts w:ascii="Times New Roman" w:hAnsi="Times New Roman" w:cs="Times New Roman"/>
              </w:rPr>
              <w:lastRenderedPageBreak/>
              <w:t>content):</w:t>
            </w:r>
            <w:r w:rsidRPr="00CB2EC4">
              <w:rPr>
                <w:rFonts w:ascii="Times New Roman" w:hAnsi="Times New Roman" w:cs="Times New Roman"/>
              </w:rPr>
              <w:br/>
              <w:t xml:space="preserve">  - local excision: the document states that the surgical extent for vulvar malignant melanoma should be determined by tumor thickness and location. for tumor thickness &gt;0.76mm (3mm in this case), a wide local excision is recommended, with a margin of at least 1–2cm from the lesion (document sources: [similarity: 0.550] and [similarity: 0.497]). specific strategy: perform an extended wide local excision of the vulva, ensuring negative margins (margin ≥2cm from the lesion) to prevent recurrence (document sources: [similarity: 0.575] and [similarity: 0.465]).</w:t>
            </w:r>
            <w:r w:rsidRPr="00CB2EC4">
              <w:rPr>
                <w:rFonts w:ascii="Times New Roman" w:hAnsi="Times New Roman" w:cs="Times New Roman"/>
              </w:rPr>
              <w:br/>
              <w:t xml:space="preserve">  - lymph node management: due to the tumor’s central location (clitoris) and thickness &gt;0.76mm (3mm), the document explicitly recommends bilateral inguinal lymph node dissection (document source: [similarity: 0.497]). rationale: central tumors are prone to bilateral lymph node metastasis, and thickness &gt;0.76mm carries a high risk of lymph node involvement; dissection improves prognosis (document sources: [similarity: 0.497] and [similarity: 0.584]). if intraoperative or preoperative examination reveals lymph node metastasis, pelvic lymph node dissection should be added (document source: [similarity: 0.497]).</w:t>
            </w:r>
            <w:r w:rsidRPr="00CB2EC4">
              <w:rPr>
                <w:rFonts w:ascii="Times New Roman" w:hAnsi="Times New Roman" w:cs="Times New Roman"/>
              </w:rPr>
              <w:br/>
              <w:t xml:space="preserve">  - overall strategy: perform wide local excision (margin ≥2cm) concurrently with bilateral inguinal lymph node dissection; postoperative close follow-up (every 3–6 months) is required to monitor for recurrence (document sources: [similarity: 0.575], [similarity: 0.497], and [similarity: 0.465]).</w:t>
            </w:r>
            <w:r w:rsidRPr="00CB2EC4">
              <w:rPr>
                <w:rFonts w:ascii="Times New Roman" w:hAnsi="Times New Roman" w:cs="Times New Roman"/>
              </w:rPr>
              <w:br/>
            </w:r>
            <w:r w:rsidRPr="00CB2EC4">
              <w:rPr>
                <w:rFonts w:ascii="Times New Roman" w:hAnsi="Times New Roman" w:cs="Times New Roman"/>
              </w:rPr>
              <w:br/>
              <w:t>- poor prognostic factors (based on document content):</w:t>
            </w:r>
            <w:r w:rsidRPr="00CB2EC4">
              <w:rPr>
                <w:rFonts w:ascii="Times New Roman" w:hAnsi="Times New Roman" w:cs="Times New Roman"/>
              </w:rPr>
              <w:br/>
            </w:r>
            <w:r w:rsidRPr="00CB2EC4">
              <w:rPr>
                <w:rFonts w:ascii="Times New Roman" w:hAnsi="Times New Roman" w:cs="Times New Roman"/>
              </w:rPr>
              <w:lastRenderedPageBreak/>
              <w:t xml:space="preserve">  - advanced age (68 years): the document identifies age as an independent risk factor, with older patients having worse prognosis; those over 76 years are more likely to exhibit adverse features such as vascular invasion (document source: [similarity: 0.584]).</w:t>
            </w:r>
            <w:r w:rsidRPr="00CB2EC4">
              <w:rPr>
                <w:rFonts w:ascii="Times New Roman" w:hAnsi="Times New Roman" w:cs="Times New Roman"/>
              </w:rPr>
              <w:br/>
              <w:t xml:space="preserve">  - high tumor thickness (3mm): tumors &gt;3.0mm have a 10-year survival rate of only 22%, significantly lower than thinner tumors (document source: [similarity: 0.575]).</w:t>
            </w:r>
            <w:r w:rsidRPr="00CB2EC4">
              <w:rPr>
                <w:rFonts w:ascii="Times New Roman" w:hAnsi="Times New Roman" w:cs="Times New Roman"/>
              </w:rPr>
              <w:br/>
              <w:t xml:space="preserve">  - presence of surface ulceration: the document explicitly lists “presence or absence of surface ulceration” as a poor prognostic factor, with ulceration indicating aggressive biological behavior (document source: [similarity: 0.584]).</w:t>
            </w:r>
            <w:r w:rsidRPr="00CB2EC4">
              <w:rPr>
                <w:rFonts w:ascii="Times New Roman" w:hAnsi="Times New Roman" w:cs="Times New Roman"/>
              </w:rPr>
              <w:br/>
              <w:t xml:space="preserve">  - central tumor location (clitoris): the document states that central location tumors have a significantly worse prognosis than lateral location tumors (document source: [similarity: 0.584]).</w:t>
            </w:r>
            <w:r w:rsidRPr="00CB2EC4">
              <w:rPr>
                <w:rFonts w:ascii="Times New Roman" w:hAnsi="Times New Roman" w:cs="Times New Roman"/>
              </w:rPr>
              <w:br/>
              <w:t xml:space="preserve">  - other factors: cell type (e.g., nodular growth pattern associated with poor prognosis), lymphovascular invasion may also affect prognosis, though the document does not specify these for this case (document source: [similarity: 0.584]).</w:t>
            </w:r>
          </w:p>
        </w:tc>
        <w:tc>
          <w:tcPr>
            <w:tcW w:w="1152" w:type="dxa"/>
            <w:vAlign w:val="center"/>
          </w:tcPr>
          <w:p w14:paraId="5EAD52E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A53471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7DBBE1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41018881" w14:textId="77777777" w:rsidTr="00547D77">
        <w:tc>
          <w:tcPr>
            <w:tcW w:w="2160" w:type="dxa"/>
            <w:vAlign w:val="center"/>
          </w:tcPr>
          <w:p w14:paraId="77D2D7A3"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6EA7732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based on the provided information:</w:t>
            </w:r>
            <w:r w:rsidRPr="00CB2EC4">
              <w:rPr>
                <w:rFonts w:ascii="Times New Roman" w:hAnsi="Times New Roman" w:cs="Times New Roman"/>
              </w:rPr>
              <w:br/>
            </w:r>
            <w:r w:rsidRPr="00CB2EC4">
              <w:rPr>
                <w:rFonts w:ascii="Times New Roman" w:hAnsi="Times New Roman" w:cs="Times New Roman"/>
              </w:rPr>
              <w:br/>
              <w:t>surgical treatment strategy:</w:t>
            </w:r>
            <w:r w:rsidRPr="00CB2EC4">
              <w:rPr>
                <w:rFonts w:ascii="Times New Roman" w:hAnsi="Times New Roman" w:cs="Times New Roman"/>
              </w:rPr>
              <w:br/>
              <w:t xml:space="preserve">  - local excision: the preferred treatment for vulvar malignant melanoma (MM) is surgery, with the extent determined by tumor thickness and depth of invasion. according to NCCN guidelines and evidence-based medicine (similarity 0.515):</w:t>
            </w:r>
            <w:r w:rsidRPr="00CB2EC4">
              <w:rPr>
                <w:rFonts w:ascii="Times New Roman" w:hAnsi="Times New Roman" w:cs="Times New Roman"/>
              </w:rPr>
              <w:br/>
              <w:t xml:space="preserve">      • tumor thickness is 3mm (&gt;1.0mm and ≤4.0mm), recommending a wide local excision with 2cm margins.</w:t>
            </w:r>
            <w:r w:rsidRPr="00CB2EC4">
              <w:rPr>
                <w:rFonts w:ascii="Times New Roman" w:hAnsi="Times New Roman" w:cs="Times New Roman"/>
              </w:rPr>
              <w:br/>
            </w:r>
            <w:r w:rsidRPr="00CB2EC4">
              <w:rPr>
                <w:rFonts w:ascii="Times New Roman" w:hAnsi="Times New Roman" w:cs="Times New Roman"/>
              </w:rPr>
              <w:lastRenderedPageBreak/>
              <w:t xml:space="preserve">      • given the tumor location at the clitoris (central site), note that central site tumors have poorer prognosis (similarity 0.675); surgery must ensure complete resection.</w:t>
            </w:r>
            <w:r w:rsidRPr="00CB2EC4">
              <w:rPr>
                <w:rFonts w:ascii="Times New Roman" w:hAnsi="Times New Roman" w:cs="Times New Roman"/>
              </w:rPr>
              <w:br/>
              <w:t xml:space="preserve">  - lymph node management:</w:t>
            </w:r>
            <w:r w:rsidRPr="00CB2EC4">
              <w:rPr>
                <w:rFonts w:ascii="Times New Roman" w:hAnsi="Times New Roman" w:cs="Times New Roman"/>
              </w:rPr>
              <w:br/>
              <w:t xml:space="preserve">      • tumor thickness &gt;0.76mm (Clark level III) and central location warrant bilateral inguinal lymph node dissection (similarity 0.515 and 0.457).</w:t>
            </w:r>
            <w:r w:rsidRPr="00CB2EC4">
              <w:rPr>
                <w:rFonts w:ascii="Times New Roman" w:hAnsi="Times New Roman" w:cs="Times New Roman"/>
              </w:rPr>
              <w:br/>
              <w:t xml:space="preserve">      • the document emphasizes that lymph node dissection improves survival rates for cases with invasion depth &gt;0.76mm (similarity 0.457).</w:t>
            </w:r>
            <w:r w:rsidRPr="00CB2EC4">
              <w:rPr>
                <w:rFonts w:ascii="Times New Roman" w:hAnsi="Times New Roman" w:cs="Times New Roman"/>
              </w:rPr>
              <w:br/>
              <w:t xml:space="preserve">  - comprehensive recommendation: perform wide local excision (2cm margin) + bilateral inguinal lymph node dissection. if postoperative margins are positive or high-risk features (e.g., ulceration) are present, adjuvant radiotherapy may be considered (similarity 0.502).</w:t>
            </w:r>
            <w:r w:rsidRPr="00CB2EC4">
              <w:rPr>
                <w:rFonts w:ascii="Times New Roman" w:hAnsi="Times New Roman" w:cs="Times New Roman"/>
              </w:rPr>
              <w:br/>
            </w:r>
            <w:r w:rsidRPr="00CB2EC4">
              <w:rPr>
                <w:rFonts w:ascii="Times New Roman" w:hAnsi="Times New Roman" w:cs="Times New Roman"/>
              </w:rPr>
              <w:br/>
              <w:t>poor prognostic factors:</w:t>
            </w:r>
            <w:r w:rsidRPr="00CB2EC4">
              <w:rPr>
                <w:rFonts w:ascii="Times New Roman" w:hAnsi="Times New Roman" w:cs="Times New Roman"/>
              </w:rPr>
              <w:br/>
              <w:t xml:space="preserve">  - advanced age (68 years): age is an independent risk factor; older age correlates with worse prognosis (similarity 0.675).</w:t>
            </w:r>
            <w:r w:rsidRPr="00CB2EC4">
              <w:rPr>
                <w:rFonts w:ascii="Times New Roman" w:hAnsi="Times New Roman" w:cs="Times New Roman"/>
              </w:rPr>
              <w:br/>
              <w:t xml:space="preserve">  - central site tumor: prognosis is significantly worse than lateral sites (similarity 0.675).</w:t>
            </w:r>
            <w:r w:rsidRPr="00CB2EC4">
              <w:rPr>
                <w:rFonts w:ascii="Times New Roman" w:hAnsi="Times New Roman" w:cs="Times New Roman"/>
              </w:rPr>
              <w:br/>
              <w:t xml:space="preserve">  - surface ulceration: ulceration indicates rapid tumor progression and is a key marker for recurrence and low survival rate, with 5-year survival of only 14.3%~40% (similarity 0.604).</w:t>
            </w:r>
            <w:r w:rsidRPr="00CB2EC4">
              <w:rPr>
                <w:rFonts w:ascii="Times New Roman" w:hAnsi="Times New Roman" w:cs="Times New Roman"/>
              </w:rPr>
              <w:br/>
              <w:t xml:space="preserve">  - tumor thickness &gt;1mm: thickness &gt;2mm is associated with poor outcomes (similarity 0.628), and thickness correlates positively with lymph node metastasis rate (similarity 0.515).</w:t>
            </w:r>
            <w:r w:rsidRPr="00CB2EC4">
              <w:rPr>
                <w:rFonts w:ascii="Times New Roman" w:hAnsi="Times New Roman" w:cs="Times New Roman"/>
              </w:rPr>
              <w:br/>
              <w:t xml:space="preserve">  - other potential factors: high risk of lymph node metastasis (similarity 0.604), and ulceration is </w:t>
            </w:r>
            <w:r w:rsidRPr="00CB2EC4">
              <w:rPr>
                <w:rFonts w:ascii="Times New Roman" w:hAnsi="Times New Roman" w:cs="Times New Roman"/>
              </w:rPr>
              <w:lastRenderedPageBreak/>
              <w:t>associated with non-diploid status and vascular invasion (similarity 0.675).</w:t>
            </w:r>
          </w:p>
        </w:tc>
        <w:tc>
          <w:tcPr>
            <w:tcW w:w="1152" w:type="dxa"/>
            <w:vAlign w:val="center"/>
          </w:tcPr>
          <w:p w14:paraId="28F8E75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FD00EE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BD7CDD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5D2C0CE2" w14:textId="77777777" w:rsidTr="00547D77">
        <w:tc>
          <w:tcPr>
            <w:tcW w:w="10656" w:type="dxa"/>
            <w:gridSpan w:val="5"/>
            <w:tcBorders>
              <w:bottom w:val="single" w:sz="6" w:space="0" w:color="auto"/>
            </w:tcBorders>
            <w:vAlign w:val="center"/>
          </w:tcPr>
          <w:p w14:paraId="72DE81F2"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157: What is the most common site of recurrence for vulvar melanoma?</w:t>
            </w:r>
          </w:p>
        </w:tc>
      </w:tr>
      <w:tr w:rsidR="00916494" w:rsidRPr="00CB2EC4" w14:paraId="35243D74" w14:textId="77777777" w:rsidTr="00547D77">
        <w:tc>
          <w:tcPr>
            <w:tcW w:w="2160" w:type="dxa"/>
            <w:vAlign w:val="center"/>
          </w:tcPr>
          <w:p w14:paraId="7DF7308F"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F0EE4D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most common site of recurrence for vulvar melanoma is the vulva and vagina, followed by the groin. Specific data: the recurrence rate ranges from 51% to 93%, with the vulva and vagina being the most frequent sites of recurrence (document source: [Similarity: 0.584]).</w:t>
            </w:r>
          </w:p>
        </w:tc>
        <w:tc>
          <w:tcPr>
            <w:tcW w:w="1152" w:type="dxa"/>
            <w:vAlign w:val="center"/>
          </w:tcPr>
          <w:p w14:paraId="496D245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1794C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B2EC6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73EF350" w14:textId="77777777" w:rsidTr="00547D77">
        <w:tc>
          <w:tcPr>
            <w:tcW w:w="2160" w:type="dxa"/>
            <w:vAlign w:val="center"/>
          </w:tcPr>
          <w:p w14:paraId="4A5665A7"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F86A1B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most common site of recurrence for vulvar melanoma is the vulva and vagina, followed by the groin.</w:t>
            </w:r>
            <w:r w:rsidRPr="00CB2EC4">
              <w:rPr>
                <w:rFonts w:ascii="Times New Roman" w:hAnsi="Times New Roman" w:cs="Times New Roman"/>
              </w:rPr>
              <w:br/>
            </w:r>
            <w:r w:rsidRPr="00CB2EC4">
              <w:rPr>
                <w:rFonts w:ascii="Times New Roman" w:hAnsi="Times New Roman" w:cs="Times New Roman"/>
              </w:rPr>
              <w:br/>
              <w:t xml:space="preserve">Response:  </w:t>
            </w:r>
            <w:r w:rsidRPr="00CB2EC4">
              <w:rPr>
                <w:rFonts w:ascii="Times New Roman" w:hAnsi="Times New Roman" w:cs="Times New Roman"/>
              </w:rPr>
              <w:br/>
              <w:t xml:space="preserve">According to the document (similarity 0.675 and 0.551):  </w:t>
            </w:r>
            <w:r w:rsidRPr="00CB2EC4">
              <w:rPr>
                <w:rFonts w:ascii="Times New Roman" w:hAnsi="Times New Roman" w:cs="Times New Roman"/>
              </w:rPr>
              <w:br/>
              <w:t xml:space="preserve">- The most common sites of recurrence are the vulva and vagina, followed by the groin.  </w:t>
            </w:r>
            <w:r w:rsidRPr="00CB2EC4">
              <w:rPr>
                <w:rFonts w:ascii="Times New Roman" w:hAnsi="Times New Roman" w:cs="Times New Roman"/>
              </w:rPr>
              <w:br/>
              <w:t xml:space="preserve">- Specific description: "The most common sites of recurrence are the vulva and vagina, followed by the groin."  </w:t>
            </w:r>
            <w:r w:rsidRPr="00CB2EC4">
              <w:rPr>
                <w:rFonts w:ascii="Times New Roman" w:hAnsi="Times New Roman" w:cs="Times New Roman"/>
              </w:rPr>
              <w:br/>
              <w:t>- Distant metastases commonly occur in the lung, bone, liver, and brain, but recurrence is primarily local (vulva/vagina).</w:t>
            </w:r>
          </w:p>
        </w:tc>
        <w:tc>
          <w:tcPr>
            <w:tcW w:w="1152" w:type="dxa"/>
            <w:vAlign w:val="center"/>
          </w:tcPr>
          <w:p w14:paraId="1AF5DDF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511E7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0B0EA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D818DE9" w14:textId="77777777" w:rsidTr="00547D77">
        <w:tc>
          <w:tcPr>
            <w:tcW w:w="10656" w:type="dxa"/>
            <w:gridSpan w:val="5"/>
            <w:tcBorders>
              <w:bottom w:val="single" w:sz="6" w:space="0" w:color="auto"/>
            </w:tcBorders>
            <w:vAlign w:val="center"/>
          </w:tcPr>
          <w:p w14:paraId="750936A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158: What is the primary purpose of preoperative radiotherapy in the treatment of vaginal cancer?</w:t>
            </w:r>
          </w:p>
        </w:tc>
      </w:tr>
      <w:tr w:rsidR="00916494" w:rsidRPr="00CB2EC4" w14:paraId="70D26470" w14:textId="77777777" w:rsidTr="00547D77">
        <w:tc>
          <w:tcPr>
            <w:tcW w:w="2160" w:type="dxa"/>
            <w:vAlign w:val="center"/>
          </w:tcPr>
          <w:p w14:paraId="6E2E1229"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87BAC1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main purpose of preoperative radiotherapy in the treatment of vaginal cancer is not directly discussed in the document. the document primarily describes the purpose of preoperative radiotherapy for vulvar cancer, but the treatment principles for vaginal cancer may be similar. based on the context of vulvar cancer, the main purpose of preoperative radiotherapy is: to reduce tumor size, increase mobility, converting </w:t>
            </w:r>
            <w:r w:rsidRPr="00CB2EC4">
              <w:rPr>
                <w:rFonts w:ascii="Times New Roman" w:hAnsi="Times New Roman" w:cs="Times New Roman"/>
              </w:rPr>
              <w:lastRenderedPageBreak/>
              <w:t>initially unresectable tumors to resectable ones; while also improving the completeness of surgical margins and preserving the function of adjacent organs (such as the urethra or anus) as much as possible (document source: [similarity: 0.395]). since the document does not explicitly mention vaginal cancer, this inference is based on similar treatment principles.</w:t>
            </w:r>
          </w:p>
        </w:tc>
        <w:tc>
          <w:tcPr>
            <w:tcW w:w="1152" w:type="dxa"/>
            <w:vAlign w:val="center"/>
          </w:tcPr>
          <w:p w14:paraId="3B86290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4DFD0D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95AF0B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20A08111" w14:textId="77777777" w:rsidTr="00547D77">
        <w:tc>
          <w:tcPr>
            <w:tcW w:w="2160" w:type="dxa"/>
            <w:vAlign w:val="center"/>
          </w:tcPr>
          <w:p w14:paraId="52641E76"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5F185C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 The primary purpose of preoperative radiotherapy in the treatment of vaginal cancer is:  </w:t>
            </w:r>
            <w:r w:rsidRPr="00CB2EC4">
              <w:rPr>
                <w:rFonts w:ascii="Times New Roman" w:hAnsi="Times New Roman" w:cs="Times New Roman"/>
              </w:rPr>
              <w:br/>
              <w:t xml:space="preserve">  To reduce tumor size and increase mobility, converting initially unresectable tumors to surgically resectable ones.  </w:t>
            </w:r>
            <w:r w:rsidRPr="00CB2EC4">
              <w:rPr>
                <w:rFonts w:ascii="Times New Roman" w:hAnsi="Times New Roman" w:cs="Times New Roman"/>
              </w:rPr>
              <w:br/>
              <w:t xml:space="preserve">  To improve the completeness of surgery by ensuring negative surgical margins (≥1 cm from the tumor) and minimizing damage to adjacent organs such as the urethra and anus.  </w:t>
            </w:r>
            <w:r w:rsidRPr="00CB2EC4">
              <w:rPr>
                <w:rFonts w:ascii="Times New Roman" w:hAnsi="Times New Roman" w:cs="Times New Roman"/>
              </w:rPr>
              <w:br/>
              <w:t xml:space="preserve">  To control microscopic disease, particularly when inguinal lymph nodes are fixed or adherent, thereby facilitating subsequent surgical intervention.  </w:t>
            </w:r>
            <w:r w:rsidRPr="00CB2EC4">
              <w:rPr>
                <w:rFonts w:ascii="Times New Roman" w:hAnsi="Times New Roman" w:cs="Times New Roman"/>
              </w:rPr>
              <w:br/>
              <w:t>- The typical radiation dose is 25–30 Gy delivered over 3 weeks, followed by a rest period of 2–3 weeks before surgery.</w:t>
            </w:r>
          </w:p>
        </w:tc>
        <w:tc>
          <w:tcPr>
            <w:tcW w:w="1152" w:type="dxa"/>
            <w:vAlign w:val="center"/>
          </w:tcPr>
          <w:p w14:paraId="7DA63F9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DE2804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5614BA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10ECD197" w14:textId="77777777" w:rsidTr="00547D77">
        <w:tc>
          <w:tcPr>
            <w:tcW w:w="10656" w:type="dxa"/>
            <w:gridSpan w:val="5"/>
            <w:tcBorders>
              <w:bottom w:val="single" w:sz="6" w:space="0" w:color="auto"/>
            </w:tcBorders>
            <w:vAlign w:val="center"/>
          </w:tcPr>
          <w:p w14:paraId="48842784"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159: What is the main reason for the good prognosis of early invasive cervical cancer?</w:t>
            </w:r>
          </w:p>
        </w:tc>
      </w:tr>
      <w:tr w:rsidR="00916494" w:rsidRPr="00CB2EC4" w14:paraId="27FF01F5" w14:textId="77777777" w:rsidTr="00547D77">
        <w:tc>
          <w:tcPr>
            <w:tcW w:w="2160" w:type="dxa"/>
            <w:vAlign w:val="center"/>
          </w:tcPr>
          <w:p w14:paraId="6831512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702B04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main reason for the good prognosis of early invasive cervical cancer is that it is detected at an early stage when the tumor is still confined to the cervix and has not spread to surrounding tissues or distant organs, allowing for effective treatment with surgery or radiation therapy and resulting in high survival rates.</w:t>
            </w:r>
            <w:r w:rsidRPr="00CB2EC4">
              <w:rPr>
                <w:rFonts w:ascii="Times New Roman" w:hAnsi="Times New Roman" w:cs="Times New Roman"/>
              </w:rPr>
              <w:br/>
            </w:r>
            <w:r w:rsidRPr="00CB2EC4">
              <w:rPr>
                <w:rFonts w:ascii="Times New Roman" w:hAnsi="Times New Roman" w:cs="Times New Roman"/>
              </w:rPr>
              <w:br/>
              <w:t xml:space="preserve">however, based strictly on the provided knowledge base documents, no information is found regarding the </w:t>
            </w:r>
            <w:r w:rsidRPr="00CB2EC4">
              <w:rPr>
                <w:rFonts w:ascii="Times New Roman" w:hAnsi="Times New Roman" w:cs="Times New Roman"/>
              </w:rPr>
              <w:lastRenderedPageBreak/>
              <w:t>prognosis or prognostic factors of early invasive cervical cancer. the documents focus on prognostic factors for vulvar cancer, vaginal cancer, and melanoma, and only briefly mention cervical cancer in contexts unrelated to early invasive disease prognosis (e.g., similarity scores 0.517 and 0.410, which do not discuss mechanisms of good prognosis). therefore, the knowledge base does not contain an answer to this question.</w:t>
            </w:r>
          </w:p>
        </w:tc>
        <w:tc>
          <w:tcPr>
            <w:tcW w:w="1152" w:type="dxa"/>
            <w:vAlign w:val="center"/>
          </w:tcPr>
          <w:p w14:paraId="4D30E08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723050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5855AF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7B6259C7" w14:textId="77777777" w:rsidTr="00547D77">
        <w:tc>
          <w:tcPr>
            <w:tcW w:w="2160" w:type="dxa"/>
            <w:vAlign w:val="center"/>
          </w:tcPr>
          <w:p w14:paraId="7CFADA22"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E8F4B2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The prognosis for early invasive cervical cancer is generally favorable primarily because the tumor is confined to a very superficial layer of the cervical stroma, has minimal depth of invasion, is typically detected at an early stage through screening (such as Pap smears and HPV testing), and has a low risk of lymph node metastasis, allowing for effective treatment with surgery or radiation and resulting in high cure rates.</w:t>
            </w:r>
          </w:p>
        </w:tc>
        <w:tc>
          <w:tcPr>
            <w:tcW w:w="1152" w:type="dxa"/>
            <w:vAlign w:val="center"/>
          </w:tcPr>
          <w:p w14:paraId="1A42FA4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6891B5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4EB8BE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3936F455" w14:textId="77777777" w:rsidTr="00547D77">
        <w:tc>
          <w:tcPr>
            <w:tcW w:w="10656" w:type="dxa"/>
            <w:gridSpan w:val="5"/>
            <w:tcBorders>
              <w:bottom w:val="single" w:sz="6" w:space="0" w:color="auto"/>
            </w:tcBorders>
            <w:vAlign w:val="center"/>
          </w:tcPr>
          <w:p w14:paraId="071B3117"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160: For the treatment of early invasive adenocarcinoma of the cervix, which treatment combination is not recommended in the text, and what is the reason given?</w:t>
            </w:r>
          </w:p>
        </w:tc>
      </w:tr>
      <w:tr w:rsidR="00916494" w:rsidRPr="00CB2EC4" w14:paraId="69C5D222" w14:textId="77777777" w:rsidTr="00547D77">
        <w:tc>
          <w:tcPr>
            <w:tcW w:w="2160" w:type="dxa"/>
            <w:vAlign w:val="center"/>
          </w:tcPr>
          <w:p w14:paraId="0C482478"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6ABBCE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text does not recommend any specific treatment combination for early invasive adenocarcinoma of the cervix and provides no reason, as the knowledge base contains no information on treatment combinations or non-recommended schemes for this condition. The mention of cervical cancer treatment in the document (with a similarity score of 0.410) pertains only to recurrent cervical cancer, not early invasive adenocarcinoma, and does not include any discussion of recommended or non-recommended treatment combinations or their rationale.</w:t>
            </w:r>
          </w:p>
        </w:tc>
        <w:tc>
          <w:tcPr>
            <w:tcW w:w="1152" w:type="dxa"/>
            <w:vAlign w:val="center"/>
          </w:tcPr>
          <w:p w14:paraId="457BA5D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39514F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9526A5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4DE9E35D" w14:textId="77777777" w:rsidTr="00547D77">
        <w:tc>
          <w:tcPr>
            <w:tcW w:w="2160" w:type="dxa"/>
            <w:vAlign w:val="center"/>
          </w:tcPr>
          <w:p w14:paraId="651B566A" w14:textId="77777777" w:rsidR="00916494" w:rsidRPr="00CB2EC4" w:rsidRDefault="00916494" w:rsidP="00547D77">
            <w:pPr>
              <w:rPr>
                <w:rFonts w:ascii="Times New Roman" w:hAnsi="Times New Roman" w:cs="Times New Roman"/>
              </w:rPr>
            </w:pPr>
            <w:r>
              <w:rPr>
                <w:rFonts w:ascii="Times New Roman" w:hAnsi="Times New Roman" w:cs="Times New Roman"/>
              </w:rPr>
              <w:t xml:space="preserve">Chunk size=256, Overlap=100 Using </w:t>
            </w:r>
            <w:r>
              <w:rPr>
                <w:rFonts w:ascii="Times New Roman" w:hAnsi="Times New Roman" w:cs="Times New Roman"/>
              </w:rPr>
              <w:lastRenderedPageBreak/>
              <w:t>SentenceSplitter</w:t>
            </w:r>
          </w:p>
        </w:tc>
        <w:tc>
          <w:tcPr>
            <w:tcW w:w="5040" w:type="dxa"/>
            <w:vAlign w:val="center"/>
          </w:tcPr>
          <w:p w14:paraId="64CF083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 xml:space="preserve">- The text does not recommend combined modality therapy (concurrent chemoradiation) as the primary </w:t>
            </w:r>
            <w:r w:rsidRPr="00CB2EC4">
              <w:rPr>
                <w:rFonts w:ascii="Times New Roman" w:hAnsi="Times New Roman" w:cs="Times New Roman"/>
              </w:rPr>
              <w:lastRenderedPageBreak/>
              <w:t>treatment for early-stage cervical adenocarcinoma.</w:t>
            </w:r>
            <w:r w:rsidRPr="00CB2EC4">
              <w:rPr>
                <w:rFonts w:ascii="Times New Roman" w:hAnsi="Times New Roman" w:cs="Times New Roman"/>
              </w:rPr>
              <w:br/>
              <w:t>- The reason given is that early-stage cervical adenocarcinoma, particularly when confined to the cervix with minimal stromal invasion (≤3 mm), is best managed with simple hysterectomy or radical hysterectomy with lymph node assessment, rather than chemoradiation, due to its lower propensity for lymph node metastasis and better prognosis compared to squamous cell carcinoma of the cervix at similar stages. Chemoradiation is reserved for advanced or high-risk cases.</w:t>
            </w:r>
          </w:p>
        </w:tc>
        <w:tc>
          <w:tcPr>
            <w:tcW w:w="1152" w:type="dxa"/>
            <w:vAlign w:val="center"/>
          </w:tcPr>
          <w:p w14:paraId="757AC21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174578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74E9CF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25FE1422" w14:textId="77777777" w:rsidTr="00547D77">
        <w:tc>
          <w:tcPr>
            <w:tcW w:w="10656" w:type="dxa"/>
            <w:gridSpan w:val="5"/>
            <w:tcBorders>
              <w:bottom w:val="single" w:sz="6" w:space="0" w:color="auto"/>
            </w:tcBorders>
            <w:vAlign w:val="center"/>
          </w:tcPr>
          <w:p w14:paraId="20C44E57"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161: A 42-year-old patient underwent a cold knife conization for a cervical lesion. The postoperative pathology report indicates cervical squamous cell carcinoma with a stromal invasion depth of 2 mm, no vascular invasion, and no confluent growth, but explicitly states that the cone margins are positive. According to the text, what is the next most appropriate management step? If she is unwilling to undergo further surgery, is radiotherapy a suitable alternative, and what is the recommended radiotherapy regimen?</w:t>
            </w:r>
          </w:p>
        </w:tc>
      </w:tr>
      <w:tr w:rsidR="00916494" w:rsidRPr="00CB2EC4" w14:paraId="0EBF2B1D" w14:textId="77777777" w:rsidTr="00547D77">
        <w:tc>
          <w:tcPr>
            <w:tcW w:w="2160" w:type="dxa"/>
            <w:vAlign w:val="center"/>
          </w:tcPr>
          <w:p w14:paraId="1F571C7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BECD3D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Next most appropriate treatment: According to the provided information, for cervical squamous cell carcinoma with a positive cone margin, even if the stromal invasion depth is ≤3 mm (2 mm in this case, classified as IA1), without vascular invasion and without confluent growth, a hysterectomy should still be performed. The document explicitly states: "Those with positive cone margins should still undergo hysterectomy" (similarity 0.603). Therefore, the most appropriate treatment is a type I radical hysterectomy (extrafascial total hysterectomy), suitable for IA1 stage cases, with resection of 1–2 cm of the upper vagina (similarity 0.582).</w:t>
            </w:r>
            <w:r w:rsidRPr="00CB2EC4">
              <w:rPr>
                <w:rFonts w:ascii="Times New Roman" w:hAnsi="Times New Roman" w:cs="Times New Roman"/>
              </w:rPr>
              <w:br/>
            </w:r>
            <w:r w:rsidRPr="00CB2EC4">
              <w:rPr>
                <w:rFonts w:ascii="Times New Roman" w:hAnsi="Times New Roman" w:cs="Times New Roman"/>
              </w:rPr>
              <w:br/>
              <w:t xml:space="preserve">- Radiotherapy as an alternative: If the patient refuses further surgery, radiotherapy is an appropriate alternative, but only for those with surgical </w:t>
            </w:r>
            <w:r w:rsidRPr="00CB2EC4">
              <w:rPr>
                <w:rFonts w:ascii="Times New Roman" w:hAnsi="Times New Roman" w:cs="Times New Roman"/>
              </w:rPr>
              <w:lastRenderedPageBreak/>
              <w:t>contraindications. The document states: "Radiotherapy may be used for those with surgical contraindications" (similarity 0.497). For this IA-stage case without vascular invasion, the recommended radiotherapy regimen is:</w:t>
            </w:r>
            <w:r w:rsidRPr="00CB2EC4">
              <w:rPr>
                <w:rFonts w:ascii="Times New Roman" w:hAnsi="Times New Roman" w:cs="Times New Roman"/>
              </w:rPr>
              <w:br/>
              <w:t xml:space="preserve">  - Brachytherapy alone, with point A total dose of 60–70 Gy (suitable for IA stage without vascular invasion).</w:t>
            </w:r>
            <w:r w:rsidRPr="00CB2EC4">
              <w:rPr>
                <w:rFonts w:ascii="Times New Roman" w:hAnsi="Times New Roman" w:cs="Times New Roman"/>
              </w:rPr>
              <w:br/>
              <w:t xml:space="preserve">  - However, due to the positive margin, more aggressive treatment may be needed; although the document does not specify radiotherapy details for positive margins, general principles suggest that for other IA cases with positive margin risk, combined intracavitary brachytherapy and external pelvic irradiation may be used, with point A total dose of 75–80 Gy (similarity 0.497).</w:t>
            </w:r>
            <w:r w:rsidRPr="00CB2EC4">
              <w:rPr>
                <w:rFonts w:ascii="Times New Roman" w:hAnsi="Times New Roman" w:cs="Times New Roman"/>
              </w:rPr>
              <w:br/>
            </w:r>
            <w:r w:rsidRPr="00CB2EC4">
              <w:rPr>
                <w:rFonts w:ascii="Times New Roman" w:hAnsi="Times New Roman" w:cs="Times New Roman"/>
              </w:rPr>
              <w:br/>
              <w:t>- Summary: The preferred treatment is hysterectomy; if surgery is declined, radiotherapy is feasible, with brachytherapy (60–70 Gy) or combined with external beam irradiation (75–80 Gy) recommended, subject to individual risk assessment.</w:t>
            </w:r>
          </w:p>
        </w:tc>
        <w:tc>
          <w:tcPr>
            <w:tcW w:w="1152" w:type="dxa"/>
            <w:vAlign w:val="center"/>
          </w:tcPr>
          <w:p w14:paraId="778765D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05B1D2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27A73F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4FBBBFDF" w14:textId="77777777" w:rsidTr="00547D77">
        <w:tc>
          <w:tcPr>
            <w:tcW w:w="2160" w:type="dxa"/>
            <w:vAlign w:val="center"/>
          </w:tcPr>
          <w:p w14:paraId="56E5B859"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5DE0CB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Based on the document, the patient is 42 years old with cervical squamous cell carcinoma, stromal invasion depth of 2 mm (classified as FIGO IA stage), no vascular invasion and no confluent growth, but positive conization margin. The document explicitly states: "Patients with positive conization margins should still undergo hysterectomy" (see segment with similarity 0.667). Therefore, the most appropriate next treatment is hysterectomy (e.g., extrafascial total hysterectomy) to completely remove the lesion and reduce recurrence risk.</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If the patient refuses further surgery, radiotherapy can be an alternative, provided there are surgical contraindications or based on patient preference. The document states: "Radiotherapy may be used for those with surgical contraindications" and specifies the radiotherapy regimen (see segment with similarity 0.483):</w:t>
            </w:r>
            <w:r w:rsidRPr="00CB2EC4">
              <w:rPr>
                <w:rFonts w:ascii="Times New Roman" w:hAnsi="Times New Roman" w:cs="Times New Roman"/>
              </w:rPr>
              <w:br/>
              <w:t>- For IA stage without vascular invasion, simple intracavitary irradiation may be performed, with point A total dose of 60–70 Gy.</w:t>
            </w:r>
            <w:r w:rsidRPr="00CB2EC4">
              <w:rPr>
                <w:rFonts w:ascii="Times New Roman" w:hAnsi="Times New Roman" w:cs="Times New Roman"/>
              </w:rPr>
              <w:br/>
              <w:t>- For other IA stage cases (including this case; although there is no vascular invasion, positive margin is a high-risk factor), combined intracavitary and external pelvic irradiation may be performed, with point A total dose of 75–80 Gy.</w:t>
            </w:r>
            <w:r w:rsidRPr="00CB2EC4">
              <w:rPr>
                <w:rFonts w:ascii="Times New Roman" w:hAnsi="Times New Roman" w:cs="Times New Roman"/>
              </w:rPr>
              <w:br/>
              <w:t>Therefore, radiotherapy is an appropriate alternative, and the recommended regimen is combined intracavitary and external pelvic irradiation with point A total dose of 75–80 Gy.</w:t>
            </w:r>
          </w:p>
        </w:tc>
        <w:tc>
          <w:tcPr>
            <w:tcW w:w="1152" w:type="dxa"/>
            <w:vAlign w:val="center"/>
          </w:tcPr>
          <w:p w14:paraId="729BA9C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8CCAEC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F58E0F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0E8BFE60" w14:textId="77777777" w:rsidTr="00547D77">
        <w:tc>
          <w:tcPr>
            <w:tcW w:w="10656" w:type="dxa"/>
            <w:gridSpan w:val="5"/>
            <w:tcBorders>
              <w:bottom w:val="single" w:sz="6" w:space="0" w:color="auto"/>
            </w:tcBorders>
            <w:vAlign w:val="center"/>
          </w:tcPr>
          <w:p w14:paraId="70BC9AD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162: What key structures are included in the surgical extent of an extrafascial total hysterectomy?</w:t>
            </w:r>
          </w:p>
        </w:tc>
      </w:tr>
      <w:tr w:rsidR="00916494" w:rsidRPr="00CB2EC4" w14:paraId="238EAFAC" w14:textId="77777777" w:rsidTr="00547D77">
        <w:tc>
          <w:tcPr>
            <w:tcW w:w="2160" w:type="dxa"/>
            <w:vAlign w:val="center"/>
          </w:tcPr>
          <w:p w14:paraId="2BAA501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FCE4F9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surgical scope of extrafascial total hysterectomy includes the following key structures:</w:t>
            </w:r>
            <w:r w:rsidRPr="00CB2EC4">
              <w:rPr>
                <w:rFonts w:ascii="Times New Roman" w:hAnsi="Times New Roman" w:cs="Times New Roman"/>
              </w:rPr>
              <w:br/>
            </w:r>
            <w:r w:rsidRPr="00CB2EC4">
              <w:rPr>
                <w:rFonts w:ascii="Times New Roman" w:hAnsi="Times New Roman" w:cs="Times New Roman"/>
              </w:rPr>
              <w:br/>
              <w:t>- Uterus and cervix: completely removed.</w:t>
            </w:r>
            <w:r w:rsidRPr="00CB2EC4">
              <w:rPr>
                <w:rFonts w:ascii="Times New Roman" w:hAnsi="Times New Roman" w:cs="Times New Roman"/>
              </w:rPr>
              <w:br/>
              <w:t>- Vaginal margin: 1–2 cm of vagina is resected.</w:t>
            </w:r>
            <w:r w:rsidRPr="00CB2EC4">
              <w:rPr>
                <w:rFonts w:ascii="Times New Roman" w:hAnsi="Times New Roman" w:cs="Times New Roman"/>
              </w:rPr>
              <w:br/>
              <w:t>- Ligament management:</w:t>
            </w:r>
            <w:r w:rsidRPr="00CB2EC4">
              <w:rPr>
                <w:rFonts w:ascii="Times New Roman" w:hAnsi="Times New Roman" w:cs="Times New Roman"/>
              </w:rPr>
              <w:br/>
              <w:t xml:space="preserve">  - Main ligament: transected at the level of the uterine and cervical margin.</w:t>
            </w:r>
            <w:r w:rsidRPr="00CB2EC4">
              <w:rPr>
                <w:rFonts w:ascii="Times New Roman" w:hAnsi="Times New Roman" w:cs="Times New Roman"/>
              </w:rPr>
              <w:br/>
              <w:t xml:space="preserve">  - Uterosacral ligament: transected at the cervical margin.</w:t>
            </w:r>
            <w:r w:rsidRPr="00CB2EC4">
              <w:rPr>
                <w:rFonts w:ascii="Times New Roman" w:hAnsi="Times New Roman" w:cs="Times New Roman"/>
              </w:rPr>
              <w:br/>
              <w:t>- Adjacent organ management:</w:t>
            </w:r>
            <w:r w:rsidRPr="00CB2EC4">
              <w:rPr>
                <w:rFonts w:ascii="Times New Roman" w:hAnsi="Times New Roman" w:cs="Times New Roman"/>
              </w:rPr>
              <w:br/>
              <w:t xml:space="preserve">  - Bladder: pushed downward to the bladder base (i.e., dissection of the vesicocervical space without </w:t>
            </w:r>
            <w:r w:rsidRPr="00CB2EC4">
              <w:rPr>
                <w:rFonts w:ascii="Times New Roman" w:hAnsi="Times New Roman" w:cs="Times New Roman"/>
              </w:rPr>
              <w:lastRenderedPageBreak/>
              <w:t>involving the bladder itself).</w:t>
            </w:r>
            <w:r w:rsidRPr="00CB2EC4">
              <w:rPr>
                <w:rFonts w:ascii="Times New Roman" w:hAnsi="Times New Roman" w:cs="Times New Roman"/>
              </w:rPr>
              <w:br/>
              <w:t xml:space="preserve">  - Ureter: not involved in the procedure (only the pelvic segment is exposed, but the ureteral bed is not dissected).</w:t>
            </w:r>
            <w:r w:rsidRPr="00CB2EC4">
              <w:rPr>
                <w:rFonts w:ascii="Times New Roman" w:hAnsi="Times New Roman" w:cs="Times New Roman"/>
              </w:rPr>
              <w:br/>
              <w:t xml:space="preserve">  - Rectum: not involved in the procedure.</w:t>
            </w:r>
            <w:r w:rsidRPr="00CB2EC4">
              <w:rPr>
                <w:rFonts w:ascii="Times New Roman" w:hAnsi="Times New Roman" w:cs="Times New Roman"/>
              </w:rPr>
              <w:br/>
              <w:t>- Ovaries: selectively removed (retention depends on patient age and condition).</w:t>
            </w:r>
            <w:r w:rsidRPr="00CB2EC4">
              <w:rPr>
                <w:rFonts w:ascii="Times New Roman" w:hAnsi="Times New Roman" w:cs="Times New Roman"/>
              </w:rPr>
              <w:br/>
              <w:t>- Others: the surgical extent exceeds that of conservative total hysterectomy but does not include pelvic lymph node dissection.</w:t>
            </w:r>
            <w:r w:rsidRPr="00CB2EC4">
              <w:rPr>
                <w:rFonts w:ascii="Times New Roman" w:hAnsi="Times New Roman" w:cs="Times New Roman"/>
              </w:rPr>
              <w:br/>
            </w:r>
            <w:r w:rsidRPr="00CB2EC4">
              <w:rPr>
                <w:rFonts w:ascii="Times New Roman" w:hAnsi="Times New Roman" w:cs="Times New Roman"/>
              </w:rPr>
              <w:br/>
              <w:t>Key point: This procedure is performed extrafascially at the level of the cervix, aiming for complete cervical removal while minimizing urologic complications.</w:t>
            </w:r>
          </w:p>
        </w:tc>
        <w:tc>
          <w:tcPr>
            <w:tcW w:w="1152" w:type="dxa"/>
            <w:vAlign w:val="center"/>
          </w:tcPr>
          <w:p w14:paraId="68CFAB7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F1F81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C7F1A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5745E9B" w14:textId="77777777" w:rsidTr="00547D77">
        <w:tc>
          <w:tcPr>
            <w:tcW w:w="2160" w:type="dxa"/>
            <w:vAlign w:val="center"/>
          </w:tcPr>
          <w:p w14:paraId="33F62AB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5D137B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surgical extent of an extrafascial total hysterectomy includes the following key structures (based on multiple segments, e.g., similarity 0.581, 0.500, and 0.542):  </w:t>
            </w:r>
            <w:r w:rsidRPr="00CB2EC4">
              <w:rPr>
                <w:rFonts w:ascii="Times New Roman" w:hAnsi="Times New Roman" w:cs="Times New Roman"/>
              </w:rPr>
              <w:br/>
              <w:t xml:space="preserve">- Removal of the entire uterus: including the uterine body and cervix, performed extrafascially at the cervix (i.e., without deep dissection into the parametrial tissue).  </w:t>
            </w:r>
            <w:r w:rsidRPr="00CB2EC4">
              <w:rPr>
                <w:rFonts w:ascii="Times New Roman" w:hAnsi="Times New Roman" w:cs="Times New Roman"/>
              </w:rPr>
              <w:br/>
              <w:t xml:space="preserve">- Resection of 1–2 cm of the vagina: to ensure the upper vaginal segment is removed, reducing the risk of recurrence.  </w:t>
            </w:r>
            <w:r w:rsidRPr="00CB2EC4">
              <w:rPr>
                <w:rFonts w:ascii="Times New Roman" w:hAnsi="Times New Roman" w:cs="Times New Roman"/>
              </w:rPr>
              <w:br/>
              <w:t xml:space="preserve">- Bilateral adnexectomy: including the ovaries and fallopian tubes (unless ovarian preservation is indicated in young patients, though documents generally recommend removal).  </w:t>
            </w:r>
            <w:r w:rsidRPr="00CB2EC4">
              <w:rPr>
                <w:rFonts w:ascii="Times New Roman" w:hAnsi="Times New Roman" w:cs="Times New Roman"/>
              </w:rPr>
              <w:br/>
              <w:t xml:space="preserve">- Other key maneuvers: lateral displacement of the ureters to avoid injury, and resection of the pubocervical ligaments (see similarity 0.500 segment).  </w:t>
            </w:r>
            <w:r w:rsidRPr="00CB2EC4">
              <w:rPr>
                <w:rFonts w:ascii="Times New Roman" w:hAnsi="Times New Roman" w:cs="Times New Roman"/>
              </w:rPr>
              <w:br/>
              <w:t xml:space="preserve">This procedure is indicated for early low-risk cases, such as stage IA cervical cancer, emphasizing </w:t>
            </w:r>
            <w:r w:rsidRPr="00CB2EC4">
              <w:rPr>
                <w:rFonts w:ascii="Times New Roman" w:hAnsi="Times New Roman" w:cs="Times New Roman"/>
              </w:rPr>
              <w:lastRenderedPageBreak/>
              <w:t>extrafascial dissection without involvement of parametrial tissue or lymph node dissection.</w:t>
            </w:r>
          </w:p>
        </w:tc>
        <w:tc>
          <w:tcPr>
            <w:tcW w:w="1152" w:type="dxa"/>
            <w:vAlign w:val="center"/>
          </w:tcPr>
          <w:p w14:paraId="46528E9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8360CE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C99DB0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537131ED" w14:textId="77777777" w:rsidTr="00547D77">
        <w:tc>
          <w:tcPr>
            <w:tcW w:w="10656" w:type="dxa"/>
            <w:gridSpan w:val="5"/>
            <w:tcBorders>
              <w:bottom w:val="single" w:sz="6" w:space="0" w:color="auto"/>
            </w:tcBorders>
            <w:vAlign w:val="center"/>
          </w:tcPr>
          <w:p w14:paraId="4C5E29AA"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163: A 50-year-old postmenopausal patient is diagnosed with early invasive cervical cancer. The pathology report shows a stromal invasion depth of 2 mm with definite vascular invasion. According to the text, which type of surgery should be chosen for her? Please describe the main extent of tissue resection for this surgery and explain its key difference from an extrafascial total hysterectomy (Type I).</w:t>
            </w:r>
          </w:p>
        </w:tc>
      </w:tr>
      <w:tr w:rsidR="00916494" w:rsidRPr="00CB2EC4" w14:paraId="59241170" w14:textId="77777777" w:rsidTr="00547D77">
        <w:tc>
          <w:tcPr>
            <w:tcW w:w="2160" w:type="dxa"/>
            <w:vAlign w:val="center"/>
          </w:tcPr>
          <w:p w14:paraId="389542C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12F21B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Selected surgical type: II-type surgery (i.e., modified radical hysterectomy, also known as subtotal radical hysterectomy domestically). The document explicitly states: for IA1 stage (stromal invasion depth ≤3mm, here 2mm) with lymphovascular space invasion (LVSI+), modified radical hysterectomy (II-type surgery) plus pelvic lymphadenectomy should be performed (reference segment similarity 0.582: "When LVSI(+), modified radical hysterectomy + pelvic lymphadenectomy should be performed").</w:t>
            </w:r>
            <w:r w:rsidRPr="00CB2EC4">
              <w:rPr>
                <w:rFonts w:ascii="Times New Roman" w:hAnsi="Times New Roman" w:cs="Times New Roman"/>
              </w:rPr>
              <w:br/>
              <w:t>- Main tissue resection range:</w:t>
            </w:r>
            <w:r w:rsidRPr="00CB2EC4">
              <w:rPr>
                <w:rFonts w:ascii="Times New Roman" w:hAnsi="Times New Roman" w:cs="Times New Roman"/>
              </w:rPr>
              <w:br/>
              <w:t xml:space="preserve">  - Total hysterectomy.</w:t>
            </w:r>
            <w:r w:rsidRPr="00CB2EC4">
              <w:rPr>
                <w:rFonts w:ascii="Times New Roman" w:hAnsi="Times New Roman" w:cs="Times New Roman"/>
              </w:rPr>
              <w:br/>
              <w:t xml:space="preserve">  - Resection of 1–2 cm of the upper vagina (reference segment similarity 0.532).</w:t>
            </w:r>
            <w:r w:rsidRPr="00CB2EC4">
              <w:rPr>
                <w:rFonts w:ascii="Times New Roman" w:hAnsi="Times New Roman" w:cs="Times New Roman"/>
              </w:rPr>
              <w:br/>
              <w:t xml:space="preserve">  - Resection of partial parametrial tissue: including approximately 1/2 of the cardinal ligament (reference segment similarity 0.527: "resect 1/2 of the cardinal ligament").</w:t>
            </w:r>
            <w:r w:rsidRPr="00CB2EC4">
              <w:rPr>
                <w:rFonts w:ascii="Times New Roman" w:hAnsi="Times New Roman" w:cs="Times New Roman"/>
              </w:rPr>
              <w:br/>
              <w:t xml:space="preserve">  - Pelvic lymphadenectomy: routinely performed (reference segment similarity 0.532: "simultaneously perform pelvic lymphadenectomy").</w:t>
            </w:r>
            <w:r w:rsidRPr="00CB2EC4">
              <w:rPr>
                <w:rFonts w:ascii="Times New Roman" w:hAnsi="Times New Roman" w:cs="Times New Roman"/>
              </w:rPr>
              <w:br/>
              <w:t xml:space="preserve">  - Other: expose the ureter in the parametrial segment and displace it laterally; no extensive dissection of bladder or rectum (reference segment similarity 0.532).</w:t>
            </w:r>
            <w:r w:rsidRPr="00CB2EC4">
              <w:rPr>
                <w:rFonts w:ascii="Times New Roman" w:hAnsi="Times New Roman" w:cs="Times New Roman"/>
              </w:rPr>
              <w:br/>
              <w:t>- Key differences from type I extrafascial hysterectomy:</w:t>
            </w:r>
            <w:r w:rsidRPr="00CB2EC4">
              <w:rPr>
                <w:rFonts w:ascii="Times New Roman" w:hAnsi="Times New Roman" w:cs="Times New Roman"/>
              </w:rPr>
              <w:br/>
            </w:r>
            <w:r w:rsidRPr="00CB2EC4">
              <w:rPr>
                <w:rFonts w:ascii="Times New Roman" w:hAnsi="Times New Roman" w:cs="Times New Roman"/>
              </w:rPr>
              <w:lastRenderedPageBreak/>
              <w:t xml:space="preserve">  - Parametrial resection: II-type surgery resects 1/2 of the cardinal ligament and part of the uterosacral ligament, whereas type I only transects ligaments at the cervical margin without parametrial resection (reference segment similarity 0.582: type I "cardinal ligament: transected at the uterine and cervical margin").</w:t>
            </w:r>
            <w:r w:rsidRPr="00CB2EC4">
              <w:rPr>
                <w:rFonts w:ascii="Times New Roman" w:hAnsi="Times New Roman" w:cs="Times New Roman"/>
              </w:rPr>
              <w:br/>
              <w:t xml:space="preserve">  - Ureter management: II-type surgery requires exposure and lateral displacement of the parametrial ureter segment, while type I surgery "ureter: not involved during the procedure" (reference segment similarity 0.582).</w:t>
            </w:r>
            <w:r w:rsidRPr="00CB2EC4">
              <w:rPr>
                <w:rFonts w:ascii="Times New Roman" w:hAnsi="Times New Roman" w:cs="Times New Roman"/>
              </w:rPr>
              <w:br/>
              <w:t xml:space="preserve">  - Lymph node dissection: II-type surgery routinely includes pelvic lymphadenectomy, whereas type I does not include lymph node removal (reference segment similarity 0.532).</w:t>
            </w:r>
            <w:r w:rsidRPr="00CB2EC4">
              <w:rPr>
                <w:rFonts w:ascii="Times New Roman" w:hAnsi="Times New Roman" w:cs="Times New Roman"/>
              </w:rPr>
              <w:br/>
              <w:t xml:space="preserve">  - Indication: II-type is indicated for cases with LVSI or higher risk (such as this case), while type I is only for low-risk IA1 stage without LVSI (reference segment similarity 0.582).</w:t>
            </w:r>
            <w:r w:rsidRPr="00CB2EC4">
              <w:rPr>
                <w:rFonts w:ascii="Times New Roman" w:hAnsi="Times New Roman" w:cs="Times New Roman"/>
              </w:rPr>
              <w:br/>
              <w:t>- Summary: II-type surgery is more extensive; it adds parametrial tissue and lymph node resection specifically for lymphovascular invasion risk, in contrast to type I.</w:t>
            </w:r>
          </w:p>
        </w:tc>
        <w:tc>
          <w:tcPr>
            <w:tcW w:w="1152" w:type="dxa"/>
            <w:vAlign w:val="center"/>
          </w:tcPr>
          <w:p w14:paraId="182DFC8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3E32C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2E73F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2A55AEE" w14:textId="77777777" w:rsidTr="00547D77">
        <w:tc>
          <w:tcPr>
            <w:tcW w:w="2160" w:type="dxa"/>
            <w:vAlign w:val="center"/>
          </w:tcPr>
          <w:p w14:paraId="57BDEAC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BE590A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patient is 50 years old and postmenopausal, diagnosed with early invasive cervical cancer with a stromal invasion depth of 2mm (FIGO IA1 stage), but with definite lymphovascular space invasion. according to the document, lymphovascular space invasion is a high-risk factor requiring more aggressive surgery (see segments with similarity 0.477 and 0.479).</w:t>
            </w:r>
            <w:r w:rsidRPr="00CB2EC4">
              <w:rPr>
                <w:rFonts w:ascii="Times New Roman" w:hAnsi="Times New Roman" w:cs="Times New Roman"/>
              </w:rPr>
              <w:br/>
            </w:r>
            <w:r w:rsidRPr="00CB2EC4">
              <w:rPr>
                <w:rFonts w:ascii="Times New Roman" w:hAnsi="Times New Roman" w:cs="Times New Roman"/>
              </w:rPr>
              <w:br/>
              <w:t xml:space="preserve">- the recommended surgical procedure: type II surgery </w:t>
            </w:r>
            <w:r w:rsidRPr="00CB2EC4">
              <w:rPr>
                <w:rFonts w:ascii="Times New Roman" w:hAnsi="Times New Roman" w:cs="Times New Roman"/>
              </w:rPr>
              <w:lastRenderedPageBreak/>
              <w:t>(subtotal radical hysterectomy, also known as class II extended hysterectomy). the document states: "applicable for cases with invasion depth of 3–5mm, or with lymphovascular space invasion regardless of invasion depth" (similarity 0.477 segment). in this case, although the invasion depth is only 2mm, lymphovascular space invasion is present, so this surgical approach is indicated.</w:t>
            </w:r>
            <w:r w:rsidRPr="00CB2EC4">
              <w:rPr>
                <w:rFonts w:ascii="Times New Roman" w:hAnsi="Times New Roman" w:cs="Times New Roman"/>
              </w:rPr>
              <w:br/>
            </w:r>
            <w:r w:rsidRPr="00CB2EC4">
              <w:rPr>
                <w:rFonts w:ascii="Times New Roman" w:hAnsi="Times New Roman" w:cs="Times New Roman"/>
              </w:rPr>
              <w:br/>
              <w:t>- main tissue extent:</w:t>
            </w:r>
            <w:r w:rsidRPr="00CB2EC4">
              <w:rPr>
                <w:rFonts w:ascii="Times New Roman" w:hAnsi="Times New Roman" w:cs="Times New Roman"/>
              </w:rPr>
              <w:br/>
              <w:t xml:space="preserve">  - removal of the entire uterus and both adnexa.</w:t>
            </w:r>
            <w:r w:rsidRPr="00CB2EC4">
              <w:rPr>
                <w:rFonts w:ascii="Times New Roman" w:hAnsi="Times New Roman" w:cs="Times New Roman"/>
              </w:rPr>
              <w:br/>
              <w:t xml:space="preserve">  - resection of part of the parametrial tissue, including half of the uterosacral ligaments and cardinal ligaments.</w:t>
            </w:r>
            <w:r w:rsidRPr="00CB2EC4">
              <w:rPr>
                <w:rFonts w:ascii="Times New Roman" w:hAnsi="Times New Roman" w:cs="Times New Roman"/>
              </w:rPr>
              <w:br/>
              <w:t xml:space="preserve">  - resection of approximately the upper one-third of the vagina (about 1/3).</w:t>
            </w:r>
            <w:r w:rsidRPr="00CB2EC4">
              <w:rPr>
                <w:rFonts w:ascii="Times New Roman" w:hAnsi="Times New Roman" w:cs="Times New Roman"/>
              </w:rPr>
              <w:br/>
              <w:t xml:space="preserve">  - exposure of the ureter at the parametrial level; ligation of the uterine artery medial to the ureter (preserving ureteral blood supply).</w:t>
            </w:r>
            <w:r w:rsidRPr="00CB2EC4">
              <w:rPr>
                <w:rFonts w:ascii="Times New Roman" w:hAnsi="Times New Roman" w:cs="Times New Roman"/>
              </w:rPr>
              <w:br/>
              <w:t xml:space="preserve">  - simultaneous selective pelvic lymphadenectomy, including lymph nodes in the lower common iliac, external iliac, deep inguinal, internal iliac, and obturator regions (similarity 0.477 segment).</w:t>
            </w:r>
            <w:r w:rsidRPr="00CB2EC4">
              <w:rPr>
                <w:rFonts w:ascii="Times New Roman" w:hAnsi="Times New Roman" w:cs="Times New Roman"/>
              </w:rPr>
              <w:br/>
            </w:r>
            <w:r w:rsidRPr="00CB2EC4">
              <w:rPr>
                <w:rFonts w:ascii="Times New Roman" w:hAnsi="Times New Roman" w:cs="Times New Roman"/>
              </w:rPr>
              <w:br/>
              <w:t>- key differences from type I surgery (simple extrafascial hysterectomy):</w:t>
            </w:r>
            <w:r w:rsidRPr="00CB2EC4">
              <w:rPr>
                <w:rFonts w:ascii="Times New Roman" w:hAnsi="Times New Roman" w:cs="Times New Roman"/>
              </w:rPr>
              <w:br/>
              <w:t xml:space="preserve">  - type I (extrafascial): involves removal of the entire uterus, bilateral adnexa, and 1–2 cm of the vagina only; no resection of parametrial tissue or lymph node dissection; procedure is limited to the extrafascial space, with ureters only deviated, not dissected (similarity 0.500 segment).</w:t>
            </w:r>
            <w:r w:rsidRPr="00CB2EC4">
              <w:rPr>
                <w:rFonts w:ascii="Times New Roman" w:hAnsi="Times New Roman" w:cs="Times New Roman"/>
              </w:rPr>
              <w:br/>
              <w:t xml:space="preserve">  - type II (subtotal radical): adds resection of parametrial tissue (e.g., partial ligament excision) and </w:t>
            </w:r>
            <w:r w:rsidRPr="00CB2EC4">
              <w:rPr>
                <w:rFonts w:ascii="Times New Roman" w:hAnsi="Times New Roman" w:cs="Times New Roman"/>
              </w:rPr>
              <w:lastRenderedPageBreak/>
              <w:t>lymph node dissection; more aggressive; requires ureteral exposure and manipulation, but not full mobilization; indicated for high-risk cases such as those with lymphovascular space invasion to reduce metastatic risk (similarity 0.477 and 0.479 segments).</w:t>
            </w:r>
          </w:p>
        </w:tc>
        <w:tc>
          <w:tcPr>
            <w:tcW w:w="1152" w:type="dxa"/>
            <w:vAlign w:val="center"/>
          </w:tcPr>
          <w:p w14:paraId="20EAB91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7CACB0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DC473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C56BC7D" w14:textId="77777777" w:rsidTr="00547D77">
        <w:tc>
          <w:tcPr>
            <w:tcW w:w="10656" w:type="dxa"/>
            <w:gridSpan w:val="5"/>
            <w:tcBorders>
              <w:bottom w:val="single" w:sz="6" w:space="0" w:color="auto"/>
            </w:tcBorders>
            <w:vAlign w:val="center"/>
          </w:tcPr>
          <w:p w14:paraId="5C9E34A6"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164: A 30-year-old patient has a strong desire for fertility preservation. Cervical conization pathology confirmed cervical squamous cell carcinoma with a tumor diameter of 1 cm, a stromal invasion depth of 4 mm, and a width of 6 mm. The margins are negative and 10 mm from the lesion, with no vascular invasion. Laparoscopic exploration and frozen section pathology of pelvic lymph nodes show no metastasis. According to the text, what is the most suitable surgical procedure for her? What are the key prerequisites for this surgery?</w:t>
            </w:r>
          </w:p>
        </w:tc>
      </w:tr>
      <w:tr w:rsidR="00916494" w:rsidRPr="00CB2EC4" w14:paraId="4DD3886A" w14:textId="77777777" w:rsidTr="00547D77">
        <w:tc>
          <w:tcPr>
            <w:tcW w:w="2160" w:type="dxa"/>
            <w:vAlign w:val="center"/>
          </w:tcPr>
          <w:p w14:paraId="6689EEB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4988EA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Most suitable surgical approach: Radical trachelectomy with pelvic lymphadenectomy. The document explicitly states: for IA2 stage (stromal invasion depth 3–5 mm, here 4 mm) with fertility preservation desire, "radical trachelectomy plus pelvic lymphadenectomy" or similar procedures are recommended (similarity 0.582: "Patients desiring fertility preservation may opt for: radical trachelectomy plus pelvic lymphadenectomy"; similarity 0.527: "radical trachelectomy plus pelvic lymph node dissection").</w:t>
            </w:r>
            <w:r w:rsidRPr="00CB2EC4">
              <w:rPr>
                <w:rFonts w:ascii="Times New Roman" w:hAnsi="Times New Roman" w:cs="Times New Roman"/>
              </w:rPr>
              <w:br/>
              <w:t>- Key prerequisite conditions:</w:t>
            </w:r>
            <w:r w:rsidRPr="00CB2EC4">
              <w:rPr>
                <w:rFonts w:ascii="Times New Roman" w:hAnsi="Times New Roman" w:cs="Times New Roman"/>
              </w:rPr>
              <w:br/>
              <w:t xml:space="preserve">  - Tumor confinement: Tumor limited to the cervix, no parametrial or distant metastasis (similarity 0.492: "The tumor is confined to the cervix, with no invasion of the cervical os").</w:t>
            </w:r>
            <w:r w:rsidRPr="00CB2EC4">
              <w:rPr>
                <w:rFonts w:ascii="Times New Roman" w:hAnsi="Times New Roman" w:cs="Times New Roman"/>
              </w:rPr>
              <w:br/>
              <w:t xml:space="preserve">  - Negative margins: Cone biopsy margins negative (here, margins negative and 10 mm from lesion, meeting criteria; document emphasizes positive margins require hysterectomy, negative margins allow uterine preservation).</w:t>
            </w:r>
            <w:r w:rsidRPr="00CB2EC4">
              <w:rPr>
                <w:rFonts w:ascii="Times New Roman" w:hAnsi="Times New Roman" w:cs="Times New Roman"/>
              </w:rPr>
              <w:br/>
              <w:t xml:space="preserve">  - No lymphovascular space invasion: Absent in this case (LVSI−), consistent with low-risk features </w:t>
            </w:r>
            <w:r w:rsidRPr="00CB2EC4">
              <w:rPr>
                <w:rFonts w:ascii="Times New Roman" w:hAnsi="Times New Roman" w:cs="Times New Roman"/>
              </w:rPr>
              <w:lastRenderedPageBreak/>
              <w:t>(similarity 0.582).</w:t>
            </w:r>
            <w:r w:rsidRPr="00CB2EC4">
              <w:rPr>
                <w:rFonts w:ascii="Times New Roman" w:hAnsi="Times New Roman" w:cs="Times New Roman"/>
              </w:rPr>
              <w:br/>
              <w:t xml:space="preserve">  - No lymph node metastasis: Pelvic lymph node frozen section shows no metastasis (document requires preoperative assessment of no lymph node involvement; similarity 0.492: "no lymph node metastasis or distant metastasis").</w:t>
            </w:r>
            <w:r w:rsidRPr="00CB2EC4">
              <w:rPr>
                <w:rFonts w:ascii="Times New Roman" w:hAnsi="Times New Roman" w:cs="Times New Roman"/>
              </w:rPr>
              <w:br/>
              <w:t xml:space="preserve">  - Fertility intention: Patient has strong desire for fertility, age ≤45 years (here, 30 years old; similarity 0.492: "age ≤45 years, with a strong desire for fertility").</w:t>
            </w:r>
            <w:r w:rsidRPr="00CB2EC4">
              <w:rPr>
                <w:rFonts w:ascii="Times New Roman" w:hAnsi="Times New Roman" w:cs="Times New Roman"/>
              </w:rPr>
              <w:br/>
              <w:t>- Summary: This surgery removes the cervix and upper vaginal segment while preserving the uterine corpus, contingent on tumor confinement, negative margins, absence of high-risk features (e.g., lymphovascular invasion or lymph node metastasis).</w:t>
            </w:r>
          </w:p>
        </w:tc>
        <w:tc>
          <w:tcPr>
            <w:tcW w:w="1152" w:type="dxa"/>
            <w:vAlign w:val="center"/>
          </w:tcPr>
          <w:p w14:paraId="7BA51C7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841065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9D625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79F9878" w14:textId="77777777" w:rsidTr="00547D77">
        <w:tc>
          <w:tcPr>
            <w:tcW w:w="2160" w:type="dxa"/>
            <w:vAlign w:val="center"/>
          </w:tcPr>
          <w:p w14:paraId="4725234C"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6C7FDD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patient is 30 years old with a strong desire to preserve fertility. Pathology shows cervical squamous cell carcinoma with a tumor diameter of 1 cm (note: "1m" in the document is presumed to be a typo and interpreted as 1 cm based on context), stromal invasion depth of 4 mm (FIGO IA2 stage), width of 6 mm, negative surgical margins (10 mm from the lesion), and no vascular or lymphatic invasion. Pelvic lymph nodes show no metastasis.  </w:t>
            </w:r>
            <w:r w:rsidRPr="00CB2EC4">
              <w:rPr>
                <w:rFonts w:ascii="Times New Roman" w:hAnsi="Times New Roman" w:cs="Times New Roman"/>
              </w:rPr>
              <w:br/>
              <w:t xml:space="preserve">- The most appropriate surgical procedure: Radical trachelectomy (also termed radical total hysterectomy). The document explicitly states this procedure is suitable for young patients wishing to preserve fertility, with small tumors (diameter ≤2 cm), FIGO IA1 to IB2 stage, and no lymph node metastasis (see references with similarity scores 0.519, 0.504, and 0.508).  </w:t>
            </w:r>
            <w:r w:rsidRPr="00CB2EC4">
              <w:rPr>
                <w:rFonts w:ascii="Times New Roman" w:hAnsi="Times New Roman" w:cs="Times New Roman"/>
              </w:rPr>
              <w:br/>
              <w:t xml:space="preserve">- Key prerequisite conditions (summarized from the document):  </w:t>
            </w:r>
            <w:r w:rsidRPr="00CB2EC4">
              <w:rPr>
                <w:rFonts w:ascii="Times New Roman" w:hAnsi="Times New Roman" w:cs="Times New Roman"/>
              </w:rPr>
              <w:br/>
            </w:r>
            <w:r w:rsidRPr="00CB2EC4">
              <w:rPr>
                <w:rFonts w:ascii="Times New Roman" w:hAnsi="Times New Roman" w:cs="Times New Roman"/>
              </w:rPr>
              <w:lastRenderedPageBreak/>
              <w:t xml:space="preserve">  - Tumor characteristics: Confined to the cervix (no invasion of the internal os), diameter ≤2 cm (1 cm in this case), invasion depth &lt;5 mm (4 mm here), negative margins (met in this case), no vascular invasion (met here), and histologic type of squamous cell carcinoma (met here; excludes neuroendocrine carcinoma etc.).  </w:t>
            </w:r>
            <w:r w:rsidRPr="00CB2EC4">
              <w:rPr>
                <w:rFonts w:ascii="Times New Roman" w:hAnsi="Times New Roman" w:cs="Times New Roman"/>
              </w:rPr>
              <w:br/>
              <w:t xml:space="preserve">  - Metastasis evaluation: No lymph node metastasis (confirmed by laparoscopy and frozen section in this case), no distant metastasis (requires imaging confirmation; not mentioned but assumed negative in this case).  </w:t>
            </w:r>
            <w:r w:rsidRPr="00CB2EC4">
              <w:rPr>
                <w:rFonts w:ascii="Times New Roman" w:hAnsi="Times New Roman" w:cs="Times New Roman"/>
              </w:rPr>
              <w:br/>
              <w:t xml:space="preserve">  - Patient factors: Age ≤45 years (30 years here), strong fertility desire (met here), and ability to ensure follow-up (see references with similarity scores 0.508 and 0.519).  </w:t>
            </w:r>
            <w:r w:rsidRPr="00CB2EC4">
              <w:rPr>
                <w:rFonts w:ascii="Times New Roman" w:hAnsi="Times New Roman" w:cs="Times New Roman"/>
              </w:rPr>
              <w:br/>
              <w:t>The document emphasizes: "Radical trachelectomy is applicable to patients under 40 years of age who wish to preserve fertility, have small and exophytic tumors in stages IA1 to IIA cervical cancer" (similarity 0.519 reference), which this case fully meets.</w:t>
            </w:r>
          </w:p>
        </w:tc>
        <w:tc>
          <w:tcPr>
            <w:tcW w:w="1152" w:type="dxa"/>
            <w:vAlign w:val="center"/>
          </w:tcPr>
          <w:p w14:paraId="7161014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17B169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A1DE32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02C5525C" w14:textId="77777777" w:rsidTr="00547D77">
        <w:tc>
          <w:tcPr>
            <w:tcW w:w="10656" w:type="dxa"/>
            <w:gridSpan w:val="5"/>
            <w:tcBorders>
              <w:bottom w:val="single" w:sz="6" w:space="0" w:color="auto"/>
            </w:tcBorders>
            <w:vAlign w:val="center"/>
          </w:tcPr>
          <w:p w14:paraId="50A91CD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165: What are the main pathways of lymphatic metastasis in cervical cancer?</w:t>
            </w:r>
          </w:p>
        </w:tc>
      </w:tr>
      <w:tr w:rsidR="00916494" w:rsidRPr="00CB2EC4" w14:paraId="7C94DCEB" w14:textId="77777777" w:rsidTr="00547D77">
        <w:tc>
          <w:tcPr>
            <w:tcW w:w="2160" w:type="dxa"/>
            <w:vAlign w:val="center"/>
          </w:tcPr>
          <w:p w14:paraId="66F5418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9DEC08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main routes of lymphatic metastasis for cervical cancer are as follows:</w:t>
            </w:r>
            <w:r w:rsidRPr="00CB2EC4">
              <w:rPr>
                <w:rFonts w:ascii="Times New Roman" w:hAnsi="Times New Roman" w:cs="Times New Roman"/>
              </w:rPr>
              <w:br/>
            </w:r>
            <w:r w:rsidRPr="00CB2EC4">
              <w:rPr>
                <w:rFonts w:ascii="Times New Roman" w:hAnsi="Times New Roman" w:cs="Times New Roman"/>
              </w:rPr>
              <w:br/>
              <w:t>- Primary route: When the tumor is located in the lower uterine segment and cervical canal, lymphatic metastasis first occurs to the parametrial lymph nodes, then sequentially to:</w:t>
            </w:r>
            <w:r w:rsidRPr="00CB2EC4">
              <w:rPr>
                <w:rFonts w:ascii="Times New Roman" w:hAnsi="Times New Roman" w:cs="Times New Roman"/>
              </w:rPr>
              <w:br/>
              <w:t xml:space="preserve">  - Obturator lymph nodes.</w:t>
            </w:r>
            <w:r w:rsidRPr="00CB2EC4">
              <w:rPr>
                <w:rFonts w:ascii="Times New Roman" w:hAnsi="Times New Roman" w:cs="Times New Roman"/>
              </w:rPr>
              <w:br/>
              <w:t xml:space="preserve">  - Internal iliac lymph nodes.</w:t>
            </w:r>
            <w:r w:rsidRPr="00CB2EC4">
              <w:rPr>
                <w:rFonts w:ascii="Times New Roman" w:hAnsi="Times New Roman" w:cs="Times New Roman"/>
              </w:rPr>
              <w:br/>
              <w:t xml:space="preserve">  - External iliac lymph nodes.</w:t>
            </w:r>
            <w:r w:rsidRPr="00CB2EC4">
              <w:rPr>
                <w:rFonts w:ascii="Times New Roman" w:hAnsi="Times New Roman" w:cs="Times New Roman"/>
              </w:rPr>
              <w:br/>
              <w:t xml:space="preserve">  - Common iliac lymph nodes.</w:t>
            </w:r>
            <w:r w:rsidRPr="00CB2EC4">
              <w:rPr>
                <w:rFonts w:ascii="Times New Roman" w:hAnsi="Times New Roman" w:cs="Times New Roman"/>
              </w:rPr>
              <w:br/>
            </w:r>
            <w:r w:rsidRPr="00CB2EC4">
              <w:rPr>
                <w:rFonts w:ascii="Times New Roman" w:hAnsi="Times New Roman" w:cs="Times New Roman"/>
              </w:rPr>
              <w:lastRenderedPageBreak/>
              <w:t xml:space="preserve">  - Finally to the para-aortic lymph nodes.</w:t>
            </w:r>
            <w:r w:rsidRPr="00CB2EC4">
              <w:rPr>
                <w:rFonts w:ascii="Times New Roman" w:hAnsi="Times New Roman" w:cs="Times New Roman"/>
              </w:rPr>
              <w:br/>
              <w:t>- Secondary route: Metastasis along the uterosacral ligaments to the sacral lymph nodes.</w:t>
            </w:r>
            <w:r w:rsidRPr="00CB2EC4">
              <w:rPr>
                <w:rFonts w:ascii="Times New Roman" w:hAnsi="Times New Roman" w:cs="Times New Roman"/>
              </w:rPr>
              <w:br/>
              <w:t>- Influencing factors: The risk of metastasis is associated with deep myometrial invasion, spread to the cervical canal, or poor differentiation of the cancer tissue.</w:t>
            </w:r>
            <w:r w:rsidRPr="00CB2EC4">
              <w:rPr>
                <w:rFonts w:ascii="Times New Roman" w:hAnsi="Times New Roman" w:cs="Times New Roman"/>
              </w:rPr>
              <w:br/>
            </w:r>
            <w:r w:rsidRPr="00CB2EC4">
              <w:rPr>
                <w:rFonts w:ascii="Times New Roman" w:hAnsi="Times New Roman" w:cs="Times New Roman"/>
              </w:rPr>
              <w:br/>
              <w:t>Key point: The metastatic pathway depends on the tumor location; cervical cancer primarily follows the chain from parametrial → obturator → iliac lymph nodes, with sacral lymph nodes as a secondary pathway. Other routes (e.g., inguinal lymph nodes) are not mentioned in the source and are therefore not included.</w:t>
            </w:r>
          </w:p>
        </w:tc>
        <w:tc>
          <w:tcPr>
            <w:tcW w:w="1152" w:type="dxa"/>
            <w:vAlign w:val="center"/>
          </w:tcPr>
          <w:p w14:paraId="218D545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5E937C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F0E245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0486D5F3" w14:textId="77777777" w:rsidTr="00547D77">
        <w:tc>
          <w:tcPr>
            <w:tcW w:w="2160" w:type="dxa"/>
            <w:vAlign w:val="center"/>
          </w:tcPr>
          <w:p w14:paraId="75EC0FD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C29921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main routes of lymphatic metastasis in cervical cancer are as follows (based on segments with similarity scores of 0.522 and 0.465):  </w:t>
            </w:r>
            <w:r w:rsidRPr="00CB2EC4">
              <w:rPr>
                <w:rFonts w:ascii="Times New Roman" w:hAnsi="Times New Roman" w:cs="Times New Roman"/>
              </w:rPr>
              <w:br/>
              <w:t xml:space="preserve">1.  Parametrial lymph nodes: direct lymphatic drainage from the primary cervical tumor.  </w:t>
            </w:r>
            <w:r w:rsidRPr="00CB2EC4">
              <w:rPr>
                <w:rFonts w:ascii="Times New Roman" w:hAnsi="Times New Roman" w:cs="Times New Roman"/>
              </w:rPr>
              <w:br/>
              <w:t xml:space="preserve">2.  Obturator lymph nodes: a common metastatic site, located in the obturator region.  </w:t>
            </w:r>
            <w:r w:rsidRPr="00CB2EC4">
              <w:rPr>
                <w:rFonts w:ascii="Times New Roman" w:hAnsi="Times New Roman" w:cs="Times New Roman"/>
              </w:rPr>
              <w:br/>
              <w:t xml:space="preserve">3.  Internal iliac lymph nodes: distributed along the internal iliac vessels.  </w:t>
            </w:r>
            <w:r w:rsidRPr="00CB2EC4">
              <w:rPr>
                <w:rFonts w:ascii="Times New Roman" w:hAnsi="Times New Roman" w:cs="Times New Roman"/>
              </w:rPr>
              <w:br/>
              <w:t xml:space="preserve">4.  External iliac lymph nodes: distributed along the external iliac vessels.  </w:t>
            </w:r>
            <w:r w:rsidRPr="00CB2EC4">
              <w:rPr>
                <w:rFonts w:ascii="Times New Roman" w:hAnsi="Times New Roman" w:cs="Times New Roman"/>
              </w:rPr>
              <w:br/>
              <w:t xml:space="preserve">5.  Common iliac lymph nodes: located around the common iliac vessels.  </w:t>
            </w:r>
            <w:r w:rsidRPr="00CB2EC4">
              <w:rPr>
                <w:rFonts w:ascii="Times New Roman" w:hAnsi="Times New Roman" w:cs="Times New Roman"/>
              </w:rPr>
              <w:br/>
              <w:t xml:space="preserve">6.  Sacral lymph nodes: located in the presacral area.  </w:t>
            </w:r>
            <w:r w:rsidRPr="00CB2EC4">
              <w:rPr>
                <w:rFonts w:ascii="Times New Roman" w:hAnsi="Times New Roman" w:cs="Times New Roman"/>
              </w:rPr>
              <w:br/>
              <w:t xml:space="preserve">7.  Inguinal lymph nodes: less common, but may be involved via metastasis from the vulva or lower vagina.  </w:t>
            </w:r>
            <w:r w:rsidRPr="00CB2EC4">
              <w:rPr>
                <w:rFonts w:ascii="Times New Roman" w:hAnsi="Times New Roman" w:cs="Times New Roman"/>
              </w:rPr>
              <w:br/>
            </w:r>
            <w:r w:rsidRPr="00CB2EC4">
              <w:rPr>
                <w:rFonts w:ascii="Times New Roman" w:hAnsi="Times New Roman" w:cs="Times New Roman"/>
              </w:rPr>
              <w:br/>
              <w:t xml:space="preserve">The document states: "Lymphatic metastasis is a </w:t>
            </w:r>
            <w:r w:rsidRPr="00CB2EC4">
              <w:rPr>
                <w:rFonts w:ascii="Times New Roman" w:hAnsi="Times New Roman" w:cs="Times New Roman"/>
              </w:rPr>
              <w:lastRenderedPageBreak/>
              <w:t>common route of spread," and lists the above pathways (similarity 0.522 segment: "1. Parametrial lymph nodes; 2. Obturator lymph nodes; 3. Internal iliac lymph nodes; 4. External iliac lymph nodes; 5. Common iliac lymph nodes; 6. Sacral lymph nodes; 7. Inguinal lymph nodes"). Metastasis typically progresses sequentially from parametrial to pelvic lymph nodes.</w:t>
            </w:r>
          </w:p>
        </w:tc>
        <w:tc>
          <w:tcPr>
            <w:tcW w:w="1152" w:type="dxa"/>
            <w:vAlign w:val="center"/>
          </w:tcPr>
          <w:p w14:paraId="61D6391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25A401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59866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842BCBF" w14:textId="77777777" w:rsidTr="00547D77">
        <w:tc>
          <w:tcPr>
            <w:tcW w:w="10656" w:type="dxa"/>
            <w:gridSpan w:val="5"/>
            <w:tcBorders>
              <w:bottom w:val="single" w:sz="6" w:space="0" w:color="auto"/>
            </w:tcBorders>
            <w:vAlign w:val="center"/>
          </w:tcPr>
          <w:p w14:paraId="43CA704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166: For a Stage IB patient with a cervical lesion diameter of 1 cm, pathological grade 1 squamous cell carcinoma, and no lymphovascular space invasion, which type/class of surgery is more likely to be recommended in the text? Please explain why this surgical approach is reasonable and what advantages it has over more extensive surgeries.</w:t>
            </w:r>
          </w:p>
        </w:tc>
      </w:tr>
      <w:tr w:rsidR="00916494" w:rsidRPr="00CB2EC4" w14:paraId="1958C415" w14:textId="77777777" w:rsidTr="00547D77">
        <w:tc>
          <w:tcPr>
            <w:tcW w:w="2160" w:type="dxa"/>
            <w:vAlign w:val="center"/>
          </w:tcPr>
          <w:p w14:paraId="434FBA83"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4B3063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recommended surgical type: Type II (Class II) radical hysterectomy (i.e., modified radical hysterectomy) with pelvic lymphadenectomy.  </w:t>
            </w:r>
            <w:r w:rsidRPr="00CB2EC4">
              <w:rPr>
                <w:rFonts w:ascii="Times New Roman" w:hAnsi="Times New Roman" w:cs="Times New Roman"/>
              </w:rPr>
              <w:br/>
              <w:t xml:space="preserve">- Rationale for recommendation:  </w:t>
            </w:r>
            <w:r w:rsidRPr="00CB2EC4">
              <w:rPr>
                <w:rFonts w:ascii="Times New Roman" w:hAnsi="Times New Roman" w:cs="Times New Roman"/>
              </w:rPr>
              <w:br/>
              <w:t xml:space="preserve">  The text explicitly states that for IB stage cervical cancer patients with squamous cell carcinoma grade I or II, tumor diameter ≤2 cm, and no lymphovascular space invasion, Type II surgery is a reasonable first-choice option (see context fragment 1: "Indications: Some scholars have recommended that for patients with cervical squamous cell carcinoma grade I or II, tumor diameter less than or equal to 2 cm, and no lymphovascular infiltration, modified radical hysterectomy and pelvic lymphadenectomy may be performed"). In this case, the patient has a tumor diameter of 1 cm (&lt;2 cm), grade I histology, and no vascular invasion, fully meeting the criteria for Type II surgery. The text emphasizes that this selection is based on individualized principles to reduce surgical complications without compromising therapeutic outcomes (fragment 1: "The author believes that selecting the surgical approach based on the patient’s </w:t>
            </w:r>
            <w:r w:rsidRPr="00CB2EC4">
              <w:rPr>
                <w:rFonts w:ascii="Times New Roman" w:hAnsi="Times New Roman" w:cs="Times New Roman"/>
              </w:rPr>
              <w:lastRenderedPageBreak/>
              <w:t xml:space="preserve">condition and disease characteristics is highly reasonable. Modified radical hysterectomy causes less injury and fewer complications than radical hysterectomy").  </w:t>
            </w:r>
            <w:r w:rsidRPr="00CB2EC4">
              <w:rPr>
                <w:rFonts w:ascii="Times New Roman" w:hAnsi="Times New Roman" w:cs="Times New Roman"/>
              </w:rPr>
              <w:br/>
              <w:t xml:space="preserve">- Advantages over more extensive surgery (e.g., Type III):  </w:t>
            </w:r>
            <w:r w:rsidRPr="00CB2EC4">
              <w:rPr>
                <w:rFonts w:ascii="Times New Roman" w:hAnsi="Times New Roman" w:cs="Times New Roman"/>
              </w:rPr>
              <w:br/>
              <w:t xml:space="preserve">  - Comparable survival rates: The text shows no statistically significant difference in 5-year survival rates between Type II and Type III surgery (fragment 2: "The former had a 5-year survival rate of 100% and disease-free survival rate of 98.33%; the latter had 100% and 97.2%, respectively; no statistical difference between groups (P=0.779)").  </w:t>
            </w:r>
            <w:r w:rsidRPr="00CB2EC4">
              <w:rPr>
                <w:rFonts w:ascii="Times New Roman" w:hAnsi="Times New Roman" w:cs="Times New Roman"/>
              </w:rPr>
              <w:br/>
              <w:t xml:space="preserve">  - Significantly reduced surgical complications: Type II surgery involves less tissue injury, resulting in lower rates of urologic complications (e.g., ureteral fistula) (fragment 2: "Postoperative complications were markedly lower in the former group"). Specifically, it demonstrates statistically significant reductions in operative time, intraoperative blood loss, and postoperative hospital stay (fragment 2: "Significant differences in operative time, postoperative hospital stay, and intraoperative blood loss between groups (P values: 0.0001, 0.0001, 0.001, respectively)").  </w:t>
            </w:r>
            <w:r w:rsidRPr="00CB2EC4">
              <w:rPr>
                <w:rFonts w:ascii="Times New Roman" w:hAnsi="Times New Roman" w:cs="Times New Roman"/>
              </w:rPr>
              <w:br/>
              <w:t xml:space="preserve">  - Improved quality of life: Preserving more parametrial tissue aids in bladder function recovery and reduces the risk of postoperative infection and dysfunction (fragment 2: "Preserving some parametrial tissue in such patients will certainly greatly reduce the incidence of urologic complications").  </w:t>
            </w:r>
            <w:r w:rsidRPr="00CB2EC4">
              <w:rPr>
                <w:rFonts w:ascii="Times New Roman" w:hAnsi="Times New Roman" w:cs="Times New Roman"/>
              </w:rPr>
              <w:br/>
              <w:t xml:space="preserve">  In summary, Type II surgery achieves equivalent efficacy (100% 5-year survival) while significantly </w:t>
            </w:r>
            <w:r w:rsidRPr="00CB2EC4">
              <w:rPr>
                <w:rFonts w:ascii="Times New Roman" w:hAnsi="Times New Roman" w:cs="Times New Roman"/>
              </w:rPr>
              <w:lastRenderedPageBreak/>
              <w:t>lowering surgical risks and postoperative complications, making it more suitable for this low-risk patient.</w:t>
            </w:r>
          </w:p>
        </w:tc>
        <w:tc>
          <w:tcPr>
            <w:tcW w:w="1152" w:type="dxa"/>
            <w:vAlign w:val="center"/>
          </w:tcPr>
          <w:p w14:paraId="4303130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7FE98B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365B4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9749074" w14:textId="77777777" w:rsidTr="00547D77">
        <w:tc>
          <w:tcPr>
            <w:tcW w:w="2160" w:type="dxa"/>
            <w:vAlign w:val="center"/>
          </w:tcPr>
          <w:p w14:paraId="7D6714D2"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7696A92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recommended surgical type: Class II radical hysterectomy (i.e., modified radical hysterectomy) with pelvic lymphadenectomy.  </w:t>
            </w:r>
            <w:r w:rsidRPr="00CB2EC4">
              <w:rPr>
                <w:rFonts w:ascii="Times New Roman" w:hAnsi="Times New Roman" w:cs="Times New Roman"/>
              </w:rPr>
              <w:br/>
              <w:t xml:space="preserve">- rationale:  </w:t>
            </w:r>
            <w:r w:rsidRPr="00CB2EC4">
              <w:rPr>
                <w:rFonts w:ascii="Times New Roman" w:hAnsi="Times New Roman" w:cs="Times New Roman"/>
              </w:rPr>
              <w:br/>
              <w:t xml:space="preserve">  - the document explicitly states that for patients with stage IB cervical squamous cell carcinoma, grade I histology, tumor diameter ≤2 cm, and no lymphovascular space invasion (LVSI), Class II surgery is appropriate. for example: "for cervical squamous cell carcinoma grade I or II, tumor diameter ≤2 cm, and no vascular infiltration, modified radical hysterectomy and pelvic lymphadenectomy may be performed." and "patients with cervical tumor diameter ≤2 cm and no lymphovascular space invasion may undergo Class II surgery (with pelvic lymph node dissection) instead of radical hysterectomy (Class III), achieving equivalent long-term cancer-free survival." the patient’s tumor diameter is 1 cm (&lt;2 cm), grade I squamous cell carcinoma, and no LVSI, fully meeting these criteria.  </w:t>
            </w:r>
            <w:r w:rsidRPr="00CB2EC4">
              <w:rPr>
                <w:rFonts w:ascii="Times New Roman" w:hAnsi="Times New Roman" w:cs="Times New Roman"/>
              </w:rPr>
              <w:br/>
              <w:t xml:space="preserve">  - the rationale is based on clinical data and expert consensus: the document shows that such "low-risk" stage IB patients have low pelvic lymph node metastasis rates (0–14%) and high survival rates (5-year survival up to 100%). for instance, Qi Lin Tao et al. reported 75 similar patients undergoing Class II surgery with a pelvic lymph node metastasis rate of only 4% and 5-year survival of 100%; Kinney’s study also confirmed that patients with tumor diameter ≤2 cm and no LVSI achieved long-term survival after Class II surgery. therefore, recommending Class II </w:t>
            </w:r>
            <w:r w:rsidRPr="00CB2EC4">
              <w:rPr>
                <w:rFonts w:ascii="Times New Roman" w:hAnsi="Times New Roman" w:cs="Times New Roman"/>
              </w:rPr>
              <w:lastRenderedPageBreak/>
              <w:t xml:space="preserve">surgery is a reasonable individualized choice without compromising therapeutic outcomes.  </w:t>
            </w:r>
            <w:r w:rsidRPr="00CB2EC4">
              <w:rPr>
                <w:rFonts w:ascii="Times New Roman" w:hAnsi="Times New Roman" w:cs="Times New Roman"/>
              </w:rPr>
              <w:br/>
              <w:t xml:space="preserve">- advantages over more extensive surgery (e.g., Class III):  </w:t>
            </w:r>
            <w:r w:rsidRPr="00CB2EC4">
              <w:rPr>
                <w:rFonts w:ascii="Times New Roman" w:hAnsi="Times New Roman" w:cs="Times New Roman"/>
              </w:rPr>
              <w:br/>
              <w:t xml:space="preserve">  - less trauma and fewer complications: Class II surgery involves a smaller resection range than Class III (radical hysterectomy), sparing extensive dissection of the ureteral bed or complete resection of the cardinal ligament, resulting in reduced surgical injury. the document emphasizes: "modified radical hysterectomy causes less damage and fewer complications than radical hysterectomy." specific advantages include:  </w:t>
            </w:r>
            <w:r w:rsidRPr="00CB2EC4">
              <w:rPr>
                <w:rFonts w:ascii="Times New Roman" w:hAnsi="Times New Roman" w:cs="Times New Roman"/>
              </w:rPr>
              <w:br/>
              <w:t xml:space="preserve">    - lower urinary tract complications: Class III surgery has a higher rate of urinary complications (e.g., bladder dysfunction up to 28%), while Class II significantly reduces such risks (document cites 13% vs 28% for urinary complications).  </w:t>
            </w:r>
            <w:r w:rsidRPr="00CB2EC4">
              <w:rPr>
                <w:rFonts w:ascii="Times New Roman" w:hAnsi="Times New Roman" w:cs="Times New Roman"/>
              </w:rPr>
              <w:br/>
              <w:t xml:space="preserve">    - reduced intraoperative blood loss and shorter operative time: comparative data show Class II surgery has lower mean blood loss and shorter duration (e.g., 135 minutes for Class II vs 180 minutes for Class III), with shorter postoperative hospital stay.  </w:t>
            </w:r>
            <w:r w:rsidRPr="00CB2EC4">
              <w:rPr>
                <w:rFonts w:ascii="Times New Roman" w:hAnsi="Times New Roman" w:cs="Times New Roman"/>
              </w:rPr>
              <w:br/>
              <w:t xml:space="preserve">    - improved quality of life: with fewer complications, patients recover faster and have higher postoperative quality of life. the document notes: "without compromising therapeutic efficacy, can Class II surgery be chosen for certain stage IB patients to reduce surgical complications and improve quality of life?" and confirms no survival difference (Class II 5-year survival 100% vs Class III 100%), but Class II is superior in surgery-related outcomes.  </w:t>
            </w:r>
            <w:r w:rsidRPr="00CB2EC4">
              <w:rPr>
                <w:rFonts w:ascii="Times New Roman" w:hAnsi="Times New Roman" w:cs="Times New Roman"/>
              </w:rPr>
              <w:br/>
              <w:t xml:space="preserve">  - equivalent survival rates: the document repeatedly states that for eligible patients, Class II surgery </w:t>
            </w:r>
            <w:r w:rsidRPr="00CB2EC4">
              <w:rPr>
                <w:rFonts w:ascii="Times New Roman" w:hAnsi="Times New Roman" w:cs="Times New Roman"/>
              </w:rPr>
              <w:lastRenderedPageBreak/>
              <w:t>achieves survival rates comparable to more extensive Class III surgery (e.g., "no statistically significant difference between the two groups"), thus avoiding overtreatment.</w:t>
            </w:r>
          </w:p>
        </w:tc>
        <w:tc>
          <w:tcPr>
            <w:tcW w:w="1152" w:type="dxa"/>
            <w:vAlign w:val="center"/>
          </w:tcPr>
          <w:p w14:paraId="0CE460E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065B9F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9BCF8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3454320" w14:textId="77777777" w:rsidTr="00547D77">
        <w:tc>
          <w:tcPr>
            <w:tcW w:w="10656" w:type="dxa"/>
            <w:gridSpan w:val="5"/>
            <w:tcBorders>
              <w:bottom w:val="single" w:sz="6" w:space="0" w:color="auto"/>
            </w:tcBorders>
            <w:vAlign w:val="center"/>
          </w:tcPr>
          <w:p w14:paraId="07D6B75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167: After a transperitoneal/retroperitoneal pelvic lymphadenectomy and radical hysterectomy, where are the postoperative drains placed?</w:t>
            </w:r>
          </w:p>
        </w:tc>
      </w:tr>
      <w:tr w:rsidR="00916494" w:rsidRPr="00CB2EC4" w14:paraId="1ED9B8C9" w14:textId="77777777" w:rsidTr="00547D77">
        <w:tc>
          <w:tcPr>
            <w:tcW w:w="2160" w:type="dxa"/>
            <w:vAlign w:val="center"/>
          </w:tcPr>
          <w:p w14:paraId="232D0263"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0C148B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placement position of the postoperative drainage tube for intraperitoneal (posterior) pelvic lymph node dissection and radical hysterectomy is:</w:t>
            </w:r>
            <w:r w:rsidRPr="00CB2EC4">
              <w:rPr>
                <w:rFonts w:ascii="Times New Roman" w:hAnsi="Times New Roman" w:cs="Times New Roman"/>
              </w:rPr>
              <w:br/>
            </w:r>
            <w:r w:rsidRPr="00CB2EC4">
              <w:rPr>
                <w:rFonts w:ascii="Times New Roman" w:hAnsi="Times New Roman" w:cs="Times New Roman"/>
              </w:rPr>
              <w:br/>
              <w:t>Placement position: obturator region, brought out through the vagina.</w:t>
            </w:r>
            <w:r w:rsidRPr="00CB2EC4">
              <w:rPr>
                <w:rFonts w:ascii="Times New Roman" w:hAnsi="Times New Roman" w:cs="Times New Roman"/>
              </w:rPr>
              <w:br/>
            </w:r>
            <w:r w:rsidRPr="00CB2EC4">
              <w:rPr>
                <w:rFonts w:ascii="Times New Roman" w:hAnsi="Times New Roman" w:cs="Times New Roman"/>
              </w:rPr>
              <w:br/>
              <w:t>The documentation explicitly states that the drainage tube is placed in the obturator region and brought out through the vagina (see contextual excerpts: "a rubber drainage tube is placed in the obturator region and brought out through the vagina" and "after postoperative disinfection, remove the vaginal gauze and straighten the drainage tube"). This applies to intraperitoneal pelvic lymph node dissection and radical hysterectomy (e.g., Type II or III procedures), with the aim of draining postoperative fluid accumulation and reducing infection risk. No other placement positions (such as abdominal) are mentioned; therefore, based on the context, this is the standard approach.</w:t>
            </w:r>
          </w:p>
        </w:tc>
        <w:tc>
          <w:tcPr>
            <w:tcW w:w="1152" w:type="dxa"/>
            <w:vAlign w:val="center"/>
          </w:tcPr>
          <w:p w14:paraId="620E4EA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9ECE1F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FA4C30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0174D086" w14:textId="77777777" w:rsidTr="00547D77">
        <w:tc>
          <w:tcPr>
            <w:tcW w:w="2160" w:type="dxa"/>
            <w:vAlign w:val="center"/>
          </w:tcPr>
          <w:p w14:paraId="2192AC2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2E2D8F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postoperative drain placement positions following intra( retro)peritoneal pelvic lymph node dissection and radical hysterectomy:</w:t>
            </w:r>
            <w:r w:rsidRPr="00CB2EC4">
              <w:rPr>
                <w:rFonts w:ascii="Times New Roman" w:hAnsi="Times New Roman" w:cs="Times New Roman"/>
              </w:rPr>
              <w:br/>
            </w:r>
            <w:r w:rsidRPr="00CB2EC4">
              <w:rPr>
                <w:rFonts w:ascii="Times New Roman" w:hAnsi="Times New Roman" w:cs="Times New Roman"/>
              </w:rPr>
              <w:br/>
              <w:t>Placement positions: Drains are typically placed at the vaginal cuff or in the extraperitoneal pelvic space.</w:t>
            </w:r>
            <w:r w:rsidRPr="00CB2EC4">
              <w:rPr>
                <w:rFonts w:ascii="Times New Roman" w:hAnsi="Times New Roman" w:cs="Times New Roman"/>
              </w:rPr>
              <w:br/>
            </w:r>
            <w:r w:rsidRPr="00CB2EC4">
              <w:rPr>
                <w:rFonts w:ascii="Times New Roman" w:hAnsi="Times New Roman" w:cs="Times New Roman"/>
              </w:rPr>
              <w:lastRenderedPageBreak/>
              <w:t>- Explanation:</w:t>
            </w:r>
            <w:r w:rsidRPr="00CB2EC4">
              <w:rPr>
                <w:rFonts w:ascii="Times New Roman" w:hAnsi="Times New Roman" w:cs="Times New Roman"/>
              </w:rPr>
              <w:br/>
              <w:t xml:space="preserve">  - The document states that during radical hysterectomy (e.g., Type III): "The vaginal cuff margin is sutured circumferentially, closed with interrupted figure-of-eight sutures, leaving an opening in the middle for placement of a T-tube for drainage." This indicates the drain is placed through a reserved opening in the vaginal cuff to drain pelvic fluid collections.</w:t>
            </w:r>
            <w:r w:rsidRPr="00CB2EC4">
              <w:rPr>
                <w:rFonts w:ascii="Times New Roman" w:hAnsi="Times New Roman" w:cs="Times New Roman"/>
              </w:rPr>
              <w:br/>
              <w:t xml:space="preserve">  - Additionally, the document notes extraperitoneal drainage: "Postoperative extraperitoneal negative-pressure drainage can better maintain a sterile state and ensure smooth drainage..." This applies after pelvic lymph node dissection, with the drain positioned in the extraperitoneal space to reduce infection and lymphocele risk.</w:t>
            </w:r>
            <w:r w:rsidRPr="00CB2EC4">
              <w:rPr>
                <w:rFonts w:ascii="Times New Roman" w:hAnsi="Times New Roman" w:cs="Times New Roman"/>
              </w:rPr>
              <w:br/>
              <w:t xml:space="preserve">  - Note: The document indicates drainage is not absolutely necessary; some scholars advocate reducing or omitting drains to avoid complications, but standard practice involves placement at the above locations.</w:t>
            </w:r>
          </w:p>
        </w:tc>
        <w:tc>
          <w:tcPr>
            <w:tcW w:w="1152" w:type="dxa"/>
            <w:vAlign w:val="center"/>
          </w:tcPr>
          <w:p w14:paraId="23AA472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679AC8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4DD1B8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76E3722" w14:textId="77777777" w:rsidTr="00547D77">
        <w:tc>
          <w:tcPr>
            <w:tcW w:w="10656" w:type="dxa"/>
            <w:gridSpan w:val="5"/>
            <w:tcBorders>
              <w:bottom w:val="single" w:sz="6" w:space="0" w:color="auto"/>
            </w:tcBorders>
            <w:vAlign w:val="center"/>
          </w:tcPr>
          <w:p w14:paraId="7970620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168: In a Type III radical hysterectomy, what is the standard location for the ligation and division of the uterine artery?</w:t>
            </w:r>
          </w:p>
        </w:tc>
      </w:tr>
      <w:tr w:rsidR="00916494" w:rsidRPr="00CB2EC4" w14:paraId="38F52A21" w14:textId="77777777" w:rsidTr="00547D77">
        <w:tc>
          <w:tcPr>
            <w:tcW w:w="2160" w:type="dxa"/>
            <w:vAlign w:val="center"/>
          </w:tcPr>
          <w:p w14:paraId="0A45F16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84A3B3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Ligation site: At the origin of the internal iliac artery.</w:t>
            </w:r>
          </w:p>
        </w:tc>
        <w:tc>
          <w:tcPr>
            <w:tcW w:w="1152" w:type="dxa"/>
            <w:vAlign w:val="center"/>
          </w:tcPr>
          <w:p w14:paraId="12CF1F3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EDB0E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A8C75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0B3FE04" w14:textId="77777777" w:rsidTr="00547D77">
        <w:tc>
          <w:tcPr>
            <w:tcW w:w="2160" w:type="dxa"/>
            <w:vAlign w:val="center"/>
          </w:tcPr>
          <w:p w14:paraId="305E0AD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2D254D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Ligation and division site: At the ureteral tunnel or the vesicouterine ligament area.  </w:t>
            </w:r>
            <w:r w:rsidRPr="00CB2EC4">
              <w:rPr>
                <w:rFonts w:ascii="Times New Roman" w:hAnsi="Times New Roman" w:cs="Times New Roman"/>
              </w:rPr>
              <w:br/>
              <w:t xml:space="preserve">- Brief description:  </w:t>
            </w:r>
            <w:r w:rsidRPr="00CB2EC4">
              <w:rPr>
                <w:rFonts w:ascii="Times New Roman" w:hAnsi="Times New Roman" w:cs="Times New Roman"/>
              </w:rPr>
              <w:br/>
              <w:t xml:space="preserve">  - The document mentions the extent of Type III surgery as follows: "Ureter: Dissection of the ureteral tunnel" and "Management of the vascular plexus in the posterior layer of the vesicouterine ligament." During the process of freeing the ureteral tunnel, the </w:t>
            </w:r>
            <w:r w:rsidRPr="00CB2EC4">
              <w:rPr>
                <w:rFonts w:ascii="Times New Roman" w:hAnsi="Times New Roman" w:cs="Times New Roman"/>
              </w:rPr>
              <w:lastRenderedPageBreak/>
              <w:t>uterine artery must be ligated and divided, with the standard location being the tunnel area where the ureter and uterine artery intersect. Specifically, the surgery requires dissection of the posterior layer of the vesicouterine ligament to expose and ligate the uterine artery, ensuring complete resection of the parametrial tissue. Although the document does not provide precise anatomical coordinates, based on the context (e.g., "dissection of the posterior layer of the vesicouterine ligament"), the ligation and division point is typically located at the segment of the tunnel before the ureter enters the bladder.</w:t>
            </w:r>
          </w:p>
        </w:tc>
        <w:tc>
          <w:tcPr>
            <w:tcW w:w="1152" w:type="dxa"/>
            <w:vAlign w:val="center"/>
          </w:tcPr>
          <w:p w14:paraId="7A0E60B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4A098A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00C3E0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7B7E769C" w14:textId="77777777" w:rsidTr="00547D77">
        <w:tc>
          <w:tcPr>
            <w:tcW w:w="10656" w:type="dxa"/>
            <w:gridSpan w:val="5"/>
            <w:tcBorders>
              <w:bottom w:val="single" w:sz="6" w:space="0" w:color="auto"/>
            </w:tcBorders>
            <w:vAlign w:val="center"/>
          </w:tcPr>
          <w:p w14:paraId="34249BE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169: During a Type III radical hysterectomy, how is the vesicocervical ligament managed when dissecting the ureteric tunnel?</w:t>
            </w:r>
          </w:p>
        </w:tc>
      </w:tr>
      <w:tr w:rsidR="00916494" w:rsidRPr="00CB2EC4" w14:paraId="35419312" w14:textId="77777777" w:rsidTr="00547D77">
        <w:tc>
          <w:tcPr>
            <w:tcW w:w="2160" w:type="dxa"/>
            <w:vAlign w:val="center"/>
          </w:tcPr>
          <w:p w14:paraId="3D99429F"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B9DA2A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during type III radical hysterectomy, when dissecting the ureteral tunnel, the bladder-cervical ligament is handled by completely dissecting the ureter free from the bladder-cervical ligament down to its entry into the bladder, while preserving only a small lateral portion of the ligament extending from the lower end of the ureter to the superior vesical artery. this preserves some blood supply to the distal ureter and reduces the risk of fistula formation. the document specifies this as the standard technique, with no alternative methods described.</w:t>
            </w:r>
          </w:p>
        </w:tc>
        <w:tc>
          <w:tcPr>
            <w:tcW w:w="1152" w:type="dxa"/>
            <w:vAlign w:val="center"/>
          </w:tcPr>
          <w:p w14:paraId="2975D92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9188A0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D73243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74975018" w14:textId="77777777" w:rsidTr="00547D77">
        <w:tc>
          <w:tcPr>
            <w:tcW w:w="2160" w:type="dxa"/>
            <w:vAlign w:val="center"/>
          </w:tcPr>
          <w:p w14:paraId="2FB3F6C0"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60DFC1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Management: Separate and dissect the posterior layer of the vesicouterine ligament, and manage its vascular plexus.  </w:t>
            </w:r>
            <w:r w:rsidRPr="00CB2EC4">
              <w:rPr>
                <w:rFonts w:ascii="Times New Roman" w:hAnsi="Times New Roman" w:cs="Times New Roman"/>
              </w:rPr>
              <w:br/>
              <w:t xml:space="preserve">- Summary:  </w:t>
            </w:r>
            <w:r w:rsidRPr="00CB2EC4">
              <w:rPr>
                <w:rFonts w:ascii="Times New Roman" w:hAnsi="Times New Roman" w:cs="Times New Roman"/>
              </w:rPr>
              <w:br/>
              <w:t xml:space="preserve">  - Document details: "Separate and dissect the posterior layer of the vesicouterine ligament," "Manage the vascular plexus of the posterior layer of the vesicouterine ligament," and "Dissect the posterior </w:t>
            </w:r>
            <w:r w:rsidRPr="00CB2EC4">
              <w:rPr>
                <w:rFonts w:ascii="Times New Roman" w:hAnsi="Times New Roman" w:cs="Times New Roman"/>
              </w:rPr>
              <w:lastRenderedPageBreak/>
              <w:t>layer of the vesicouterine ligament." During the dissection of the ureteral tunnel, the procedure requires first exposing the paravaginal space and the superior vesical vein, then separating the posterior ligament layer, ligating or electrocoagulating its vascular plexus (e.g., the deep uterine vein), and finally dissecting the posterior ligament tissue. This ensures complete mobilization of the ureter while minimizing bleeding risks. The document emphasizes that this step is critical for Type III surgery to achieve extensive resection of the parametrial tissue.</w:t>
            </w:r>
          </w:p>
        </w:tc>
        <w:tc>
          <w:tcPr>
            <w:tcW w:w="1152" w:type="dxa"/>
            <w:vAlign w:val="center"/>
          </w:tcPr>
          <w:p w14:paraId="018CDE1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431DD9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80FE37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56496734" w14:textId="77777777" w:rsidTr="00547D77">
        <w:tc>
          <w:tcPr>
            <w:tcW w:w="10656" w:type="dxa"/>
            <w:gridSpan w:val="5"/>
            <w:tcBorders>
              <w:bottom w:val="single" w:sz="6" w:space="0" w:color="auto"/>
            </w:tcBorders>
            <w:vAlign w:val="center"/>
          </w:tcPr>
          <w:p w14:paraId="6BE89FDA"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170: In a radical vaginal hysterectomy with pelvic lymphadenectomy, what are the requirements for the vaginal margin?</w:t>
            </w:r>
          </w:p>
        </w:tc>
      </w:tr>
      <w:tr w:rsidR="00916494" w:rsidRPr="00CB2EC4" w14:paraId="064DE44A" w14:textId="77777777" w:rsidTr="00547D77">
        <w:tc>
          <w:tcPr>
            <w:tcW w:w="2160" w:type="dxa"/>
            <w:vAlign w:val="center"/>
          </w:tcPr>
          <w:p w14:paraId="59091D37"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DB2B35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requirements for the vaginal margin are: resection of 1/2 of the vagina (approximately 3.5–4.5 cm), with the margin at least 2 cm from the lesion.</w:t>
            </w:r>
            <w:r w:rsidRPr="00CB2EC4">
              <w:rPr>
                <w:rFonts w:ascii="Times New Roman" w:hAnsi="Times New Roman" w:cs="Times New Roman"/>
              </w:rPr>
              <w:br/>
            </w:r>
            <w:r w:rsidRPr="00CB2EC4">
              <w:rPr>
                <w:rFonts w:ascii="Times New Roman" w:hAnsi="Times New Roman" w:cs="Times New Roman"/>
              </w:rPr>
              <w:br/>
              <w:t>Vaginal margin requirements: Resect 1/2 of the vagina (about 3.5–4.5 cm), and ensure the margin is no less than 2 cm from the lesion.</w:t>
            </w:r>
            <w:r w:rsidRPr="00CB2EC4">
              <w:rPr>
                <w:rFonts w:ascii="Times New Roman" w:hAnsi="Times New Roman" w:cs="Times New Roman"/>
              </w:rPr>
              <w:br/>
            </w:r>
            <w:r w:rsidRPr="00CB2EC4">
              <w:rPr>
                <w:rFonts w:ascii="Times New Roman" w:hAnsi="Times New Roman" w:cs="Times New Roman"/>
              </w:rPr>
              <w:br/>
              <w:t xml:space="preserve">The document repeatedly emphasizes the extent of vaginal resection during vaginal radical hysterectomy (e.g., Type III surgery), as seen in the following excerpts: "Resect 1/2 of the vagina (Figure 7-16)" and "Resect 1/2 of the vagina." Additionally, the document states that the vaginal surgical margin must be at least 2 cm from the lesion to ensure a negative margin and reduce recurrence risk (excerpt: "Patients with surgical margins close to the lesion or positive margins have a high postoperative recurrence rate, especially the latter, where the 5-year survival rate drops to 50%. Therefore, resecting sufficient vaginal </w:t>
            </w:r>
            <w:r w:rsidRPr="00CB2EC4">
              <w:rPr>
                <w:rFonts w:ascii="Times New Roman" w:hAnsi="Times New Roman" w:cs="Times New Roman"/>
              </w:rPr>
              <w:lastRenderedPageBreak/>
              <w:t>length is necessary, particularly for stage IIA patients; the vaginal margin should be no less than 2 cm from the lesion"). For stage IB patients, the document suggests that routinely resecting excessive length (e.g., &gt;2 cm) is unnecessary, though the minimum requirement remains no less than 2 cm (excerpt: "But routinely resecting 1/2 of the vagina (3.5~4.5 cm) is indeed unnecessary, especially for stage IB patients"). In the vaginal approach section, no different values are specified; therefore, based on the overall context, resecting 1/2 of the vagina (corresponding to approximately 3.5–4.5 cm) with a margin ≥2 cm from the lesion is the standard requirement.</w:t>
            </w:r>
          </w:p>
        </w:tc>
        <w:tc>
          <w:tcPr>
            <w:tcW w:w="1152" w:type="dxa"/>
            <w:vAlign w:val="center"/>
          </w:tcPr>
          <w:p w14:paraId="5B966A0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6E06C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05D1C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E2E9DB4" w14:textId="77777777" w:rsidTr="00547D77">
        <w:tc>
          <w:tcPr>
            <w:tcW w:w="2160" w:type="dxa"/>
            <w:vAlign w:val="center"/>
          </w:tcPr>
          <w:p w14:paraId="753B9D7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B1482A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vaginal margin requirements:  </w:t>
            </w:r>
            <w:r w:rsidRPr="00CB2EC4">
              <w:rPr>
                <w:rFonts w:ascii="Times New Roman" w:hAnsi="Times New Roman" w:cs="Times New Roman"/>
              </w:rPr>
              <w:br/>
              <w:t xml:space="preserve">The vagina must be resected to the upper 1/2 or at least 2 cm from the lesion.  </w:t>
            </w:r>
            <w:r w:rsidRPr="00CB2EC4">
              <w:rPr>
                <w:rFonts w:ascii="Times New Roman" w:hAnsi="Times New Roman" w:cs="Times New Roman"/>
              </w:rPr>
              <w:br/>
              <w:t xml:space="preserve">- Explanation:  </w:t>
            </w:r>
            <w:r w:rsidRPr="00CB2EC4">
              <w:rPr>
                <w:rFonts w:ascii="Times New Roman" w:hAnsi="Times New Roman" w:cs="Times New Roman"/>
              </w:rPr>
              <w:br/>
              <w:t xml:space="preserve">  - The document explicitly states in the description of vaginal radical hysterectomy: "Vaginal resection must reach 1/2 (2 cm from the lesion)." For example, the context mentions: "Resect the vagina 2~3 cm" or "For stage IIA patients, the vaginal margin must be no less than 2 cm from the vaginal lesion." This ensures adequate resection margins to reduce the risk of recurrence. The document also emphasizes that insufficient resection (e.g., margin &lt; 2 cm) may increase the recurrence rate, so strict adherence to this standard is required.</w:t>
            </w:r>
          </w:p>
        </w:tc>
        <w:tc>
          <w:tcPr>
            <w:tcW w:w="1152" w:type="dxa"/>
            <w:vAlign w:val="center"/>
          </w:tcPr>
          <w:p w14:paraId="2CE4D89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25530B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93A572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53C2F9B0" w14:textId="77777777" w:rsidTr="00547D77">
        <w:tc>
          <w:tcPr>
            <w:tcW w:w="10656" w:type="dxa"/>
            <w:gridSpan w:val="5"/>
            <w:tcBorders>
              <w:bottom w:val="single" w:sz="6" w:space="0" w:color="auto"/>
            </w:tcBorders>
            <w:vAlign w:val="center"/>
          </w:tcPr>
          <w:p w14:paraId="6D64EC1D"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171: What is the purpose of preserving the ascending branch of the uterine artery during a radical trachelectomy?</w:t>
            </w:r>
          </w:p>
        </w:tc>
      </w:tr>
      <w:tr w:rsidR="00916494" w:rsidRPr="00CB2EC4" w14:paraId="440CCD29" w14:textId="77777777" w:rsidTr="00547D77">
        <w:tc>
          <w:tcPr>
            <w:tcW w:w="2160" w:type="dxa"/>
            <w:vAlign w:val="center"/>
          </w:tcPr>
          <w:p w14:paraId="79F1B72A"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90CCB7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purpose of preserving the ascending branch of the uterine artery during radical trachelectomy is to ensure adequate blood supply to the uterine corpus, thereby maintaining the health and function of the </w:t>
            </w:r>
            <w:r w:rsidRPr="00CB2EC4">
              <w:rPr>
                <w:rFonts w:ascii="Times New Roman" w:hAnsi="Times New Roman" w:cs="Times New Roman"/>
              </w:rPr>
              <w:lastRenderedPageBreak/>
              <w:t>endometrium to support future pregnancy potential. the documents explicitly state that preserving the ascending branch of the uterine artery prevents ischemia and necrosis of the uterine myometrium and endometrium, which could impair embryo implantation, and ensures that communication with the ovarian vasculature remains unaffected. specifically:</w:t>
            </w:r>
            <w:r w:rsidRPr="00CB2EC4">
              <w:rPr>
                <w:rFonts w:ascii="Times New Roman" w:hAnsi="Times New Roman" w:cs="Times New Roman"/>
              </w:rPr>
              <w:br/>
              <w:t>- the document excerpt (similarity: 0.555) states: "preserving the ascending branch of the uterine artery not only retains the uterine vasculature but also guarantees that communication with the ovarian vasculature is not compromised. reduced blood flow affects not only the myometrium but also the endometrium, impacting pregnancy."</w:t>
            </w:r>
            <w:r w:rsidRPr="00CB2EC4">
              <w:rPr>
                <w:rFonts w:ascii="Times New Roman" w:hAnsi="Times New Roman" w:cs="Times New Roman"/>
              </w:rPr>
              <w:br/>
              <w:t>- additionally, the excerpt (similarity: 0.528) adds: "the rationale for preserving the ascending branch of the uterine artery is to preserve blood supply to the uterine corpus... because its blood supply to the corpus can affect pregnancy; poor perfusion may lead to endometrial ischemia and necrosis, subsequently impairing embryo implantation."</w:t>
            </w:r>
            <w:r w:rsidRPr="00CB2EC4">
              <w:rPr>
                <w:rFonts w:ascii="Times New Roman" w:hAnsi="Times New Roman" w:cs="Times New Roman"/>
              </w:rPr>
              <w:br/>
            </w:r>
            <w:r w:rsidRPr="00CB2EC4">
              <w:rPr>
                <w:rFonts w:ascii="Times New Roman" w:hAnsi="Times New Roman" w:cs="Times New Roman"/>
              </w:rPr>
              <w:br/>
              <w:t>therefore, preserving the ascending branch of the uterine artery aims to optimize fertility preservation and reduce the risk of postoperative infertility or miscarriage.</w:t>
            </w:r>
          </w:p>
        </w:tc>
        <w:tc>
          <w:tcPr>
            <w:tcW w:w="1152" w:type="dxa"/>
            <w:vAlign w:val="center"/>
          </w:tcPr>
          <w:p w14:paraId="0AE7060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DEF3F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411D4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D7A9799" w14:textId="77777777" w:rsidTr="00547D77">
        <w:tc>
          <w:tcPr>
            <w:tcW w:w="2160" w:type="dxa"/>
            <w:vAlign w:val="center"/>
          </w:tcPr>
          <w:p w14:paraId="3A2789B8"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9DB19E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purpose of preserving the ascending branch of the uterine artery during radical trachelectomy is to maintain blood supply to the uterine corpus, thereby supporting fertility and pregnancy. Reduced blood flow can affect the uterine myometrium and endometrium, leading to adverse pregnancy outcomes. Preserving the ascending branch of the uterine artery </w:t>
            </w:r>
            <w:r w:rsidRPr="00CB2EC4">
              <w:rPr>
                <w:rFonts w:ascii="Times New Roman" w:hAnsi="Times New Roman" w:cs="Times New Roman"/>
              </w:rPr>
              <w:lastRenderedPageBreak/>
              <w:t>not only ensures vascular supply to the uterus but also maintains communication with the ovarian vessels, minimizing negative impacts on reproductive function (e.g., preventing endometrial ischemia/necrosis and implantation issues). The literature explicitly states that this approach helps sustain pregnancy to term and reduces miscarriage risk (e.g., as noted in [similarity: 0.521]: "Reduced blood supply affects not only the myometrium but also the endometrium, impacting pregnancy; therefore, surgery should consider preserving the ascending branch of the uterine artery to maintain blood supply to the uterine corpus... Preserving the ascending branch of the uterine artery not only retains the uterine vasculature but also ensures that communication with the ovarian vasculature remains unaffected").</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057EA13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5FCA2E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8039BB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5D22160" w14:textId="77777777" w:rsidTr="00547D77">
        <w:tc>
          <w:tcPr>
            <w:tcW w:w="10656" w:type="dxa"/>
            <w:gridSpan w:val="5"/>
            <w:tcBorders>
              <w:bottom w:val="single" w:sz="6" w:space="0" w:color="auto"/>
            </w:tcBorders>
            <w:vAlign w:val="center"/>
          </w:tcPr>
          <w:p w14:paraId="53169EA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172: Please briefly describe the steps for managing the uterosacral ligaments during an abdominal radical trachelectomy.</w:t>
            </w:r>
          </w:p>
        </w:tc>
      </w:tr>
      <w:tr w:rsidR="00916494" w:rsidRPr="00CB2EC4" w14:paraId="6E217800" w14:textId="77777777" w:rsidTr="00547D77">
        <w:tc>
          <w:tcPr>
            <w:tcW w:w="2160" w:type="dxa"/>
            <w:vAlign w:val="center"/>
          </w:tcPr>
          <w:p w14:paraId="0957212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E9F1D9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 Separation of the lateral rectal space: First, open the right lateral rectal space (Fig. 7-103). The lateral boundary is the ureter, and approximately 1 cm lateral to the ureter within the lateral rectal space, the inferior hypogastric plexus nerves can be identified; these nerves should be preserved. Similarly, on the left side, open the lateral rectal space closely along the peritoneum, displace the ureter laterally, resect part of the peritoneum, and incise the lateral peritoneum down to the rectal margin, where the rectum, the infundibulopelvic ligament, and the ureter become visible.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B. Separation of the rectovaginal space: After opening the lateral rectal spaces, proceed to open the rectovaginal space. At the level of the uterorectal pouch, use electrocautery to incise the peritoneal reflection between the uterus and rectum (Fig. 7-104), then bluntly dissect the rectovaginal space with the fingers to adequately expose the uterosacral ligaments for subsequent resection.</w:t>
            </w:r>
            <w:r w:rsidRPr="00CB2EC4">
              <w:rPr>
                <w:rFonts w:ascii="Times New Roman" w:hAnsi="Times New Roman" w:cs="Times New Roman"/>
              </w:rPr>
              <w:br/>
            </w:r>
            <w:r w:rsidRPr="00CB2EC4">
              <w:rPr>
                <w:rFonts w:ascii="Times New Roman" w:hAnsi="Times New Roman" w:cs="Times New Roman"/>
              </w:rPr>
              <w:br/>
              <w:t>These steps aim to safely dissect the uterosacral ligament region, minimize the risk of injury to adjacent structures (such as the ureters and nerves), and prepare for resection.</w:t>
            </w:r>
          </w:p>
        </w:tc>
        <w:tc>
          <w:tcPr>
            <w:tcW w:w="1152" w:type="dxa"/>
            <w:vAlign w:val="center"/>
          </w:tcPr>
          <w:p w14:paraId="693E4C6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60691B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511FCF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13BDB446" w14:textId="77777777" w:rsidTr="00547D77">
        <w:tc>
          <w:tcPr>
            <w:tcW w:w="2160" w:type="dxa"/>
            <w:vAlign w:val="center"/>
          </w:tcPr>
          <w:p w14:paraId="150578A9"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DF2AB2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no translation needed for the existing English text.  </w:t>
            </w:r>
            <w:r w:rsidRPr="00CB2EC4">
              <w:rPr>
                <w:rFonts w:ascii="Times New Roman" w:hAnsi="Times New Roman" w:cs="Times New Roman"/>
              </w:rPr>
              <w:br/>
            </w:r>
            <w:r w:rsidRPr="00CB2EC4">
              <w:rPr>
                <w:rFonts w:ascii="Times New Roman" w:hAnsi="Times New Roman" w:cs="Times New Roman"/>
              </w:rPr>
              <w:br/>
              <w:t>the handling steps of the sacrouterine ligament during abdominal radical trachelectomy are not detailed in the knowledge base. although the procedure is mentioned in sections with similarity scores of 0.525 and 0.521, only a general reference to "sacrouterine ligament handling" as part of the surgical technique is provided. specific steps such as dissection, transection, or suturing methods are not described. the documentation focuses on the management of other structures (e.g., main ligaments, ureters, vagina), but the detailed operative steps for the sacrouterine ligament remain unspecified. therefore, based on the given context, specific steps cannot be provided.</w:t>
            </w:r>
          </w:p>
        </w:tc>
        <w:tc>
          <w:tcPr>
            <w:tcW w:w="1152" w:type="dxa"/>
            <w:vAlign w:val="center"/>
          </w:tcPr>
          <w:p w14:paraId="319D0D7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11AC30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AB8EF3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40BFD55B" w14:textId="77777777" w:rsidTr="00547D77">
        <w:tc>
          <w:tcPr>
            <w:tcW w:w="10656" w:type="dxa"/>
            <w:gridSpan w:val="5"/>
            <w:tcBorders>
              <w:bottom w:val="single" w:sz="6" w:space="0" w:color="auto"/>
            </w:tcBorders>
            <w:vAlign w:val="center"/>
          </w:tcPr>
          <w:p w14:paraId="6FB9AA1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173: Please briefly describe the main differences between a Type IV and a Type III radical hysterectomy.</w:t>
            </w:r>
          </w:p>
        </w:tc>
      </w:tr>
      <w:tr w:rsidR="00916494" w:rsidRPr="00CB2EC4" w14:paraId="27D76895" w14:textId="77777777" w:rsidTr="00547D77">
        <w:tc>
          <w:tcPr>
            <w:tcW w:w="2160" w:type="dxa"/>
            <w:vAlign w:val="center"/>
          </w:tcPr>
          <w:p w14:paraId="1A68CE2A"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1B9ED6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main differences between Type IV radical hysterectomy and Type III are as follows:</w:t>
            </w:r>
            <w:r w:rsidRPr="00CB2EC4">
              <w:rPr>
                <w:rFonts w:ascii="Times New Roman" w:hAnsi="Times New Roman" w:cs="Times New Roman"/>
              </w:rPr>
              <w:br/>
            </w:r>
            <w:r w:rsidRPr="00CB2EC4">
              <w:rPr>
                <w:rFonts w:ascii="Times New Roman" w:hAnsi="Times New Roman" w:cs="Times New Roman"/>
              </w:rPr>
              <w:br/>
              <w:t xml:space="preserve">1.  **Ureter management:** In Type IV surgery, the </w:t>
            </w:r>
            <w:r w:rsidRPr="00CB2EC4">
              <w:rPr>
                <w:rFonts w:ascii="Times New Roman" w:hAnsi="Times New Roman" w:cs="Times New Roman"/>
              </w:rPr>
              <w:lastRenderedPageBreak/>
              <w:t>ureter is completely dissected from the pubovesical ligament, and all paraureteral tissue is removed. In Type III, only partial dissection of the ureter is performed, with some tissue retained to reduce the risk of fistula formation.</w:t>
            </w:r>
            <w:r w:rsidRPr="00CB2EC4">
              <w:rPr>
                <w:rFonts w:ascii="Times New Roman" w:hAnsi="Times New Roman" w:cs="Times New Roman"/>
              </w:rPr>
              <w:br/>
              <w:t>2.  **Vascular management:** Type IV surgery does not preserve the superior vesical artery, whereas Type III preserves this artery to maintain blood supply to the distal ureter.</w:t>
            </w:r>
            <w:r w:rsidRPr="00CB2EC4">
              <w:rPr>
                <w:rFonts w:ascii="Times New Roman" w:hAnsi="Times New Roman" w:cs="Times New Roman"/>
              </w:rPr>
              <w:br/>
              <w:t>3.  **Vaginal resection extent:** Type IV resection involves the upper 3/4 of the vagina, while Type III resection involves approximately 1/2 of the vagina (as stated: "resection of approximately 1/2 of the vagina").</w:t>
            </w:r>
            <w:r w:rsidRPr="00CB2EC4">
              <w:rPr>
                <w:rFonts w:ascii="Times New Roman" w:hAnsi="Times New Roman" w:cs="Times New Roman"/>
              </w:rPr>
              <w:br/>
            </w:r>
            <w:r w:rsidRPr="00CB2EC4">
              <w:rPr>
                <w:rFonts w:ascii="Times New Roman" w:hAnsi="Times New Roman" w:cs="Times New Roman"/>
              </w:rPr>
              <w:br/>
              <w:t>Additionally, the document emphasizes that Type IV surgery is indicated for cases of anterior central recurrence after radiotherapy or extensive involvement of the parametrial tissue, but it increases the risk of fistula formation: "Type IV surgery is mainly applied to patients with anterior central recurrence after radiotherapy who may retain bladder function... Since the vessels supplying the bladder are ligated, it significantly increases the risk of fistula formation."</w:t>
            </w:r>
          </w:p>
        </w:tc>
        <w:tc>
          <w:tcPr>
            <w:tcW w:w="1152" w:type="dxa"/>
            <w:vAlign w:val="center"/>
          </w:tcPr>
          <w:p w14:paraId="14D4B76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F8D768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0855F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B6762F7" w14:textId="77777777" w:rsidTr="00547D77">
        <w:tc>
          <w:tcPr>
            <w:tcW w:w="2160" w:type="dxa"/>
            <w:vAlign w:val="center"/>
          </w:tcPr>
          <w:p w14:paraId="0DD3F346"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728816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main difference between Type IV radical hysterectomy and Type III lies in the extent of the surgical resection, particularly for central recurrences involving the parametrial tissue while still allowing bladder preservation. Based on the provided document:</w:t>
            </w:r>
            <w:r w:rsidRPr="00CB2EC4">
              <w:rPr>
                <w:rFonts w:ascii="Times New Roman" w:hAnsi="Times New Roman" w:cs="Times New Roman"/>
              </w:rPr>
              <w:br/>
            </w:r>
            <w:r w:rsidRPr="00CB2EC4">
              <w:rPr>
                <w:rFonts w:ascii="Times New Roman" w:hAnsi="Times New Roman" w:cs="Times New Roman"/>
              </w:rPr>
              <w:br/>
              <w:t xml:space="preserve">- **Type III (Meigs surgery)**: Involves resection of the entire cardinal ligament, uterosacral ligament, and </w:t>
            </w:r>
            <w:r w:rsidRPr="00CB2EC4">
              <w:rPr>
                <w:rFonts w:ascii="Times New Roman" w:hAnsi="Times New Roman" w:cs="Times New Roman"/>
              </w:rPr>
              <w:lastRenderedPageBreak/>
              <w:t>the upper 1/2 of the vagina. This is indicated for stage IB and IIA cervical cancer (as stated: "Type III: Resection of the entire cardinal ligament, sacral ligament, and upper 1/2 of the vagina").</w:t>
            </w:r>
            <w:r w:rsidRPr="00CB2EC4">
              <w:rPr>
                <w:rFonts w:ascii="Times New Roman" w:hAnsi="Times New Roman" w:cs="Times New Roman"/>
              </w:rPr>
              <w:br/>
            </w:r>
            <w:r w:rsidRPr="00CB2EC4">
              <w:rPr>
                <w:rFonts w:ascii="Times New Roman" w:hAnsi="Times New Roman" w:cs="Times New Roman"/>
              </w:rPr>
              <w:br/>
              <w:t>- **Type IV**: Builds upon Type III by additionally resecting all tissue surrounding the ureter, the internal iliac artery along the pelvic wall, and the parametrial tissue, with a more extensive resection of the vaginal circumference (removal of 3/4 of the vagina). This is indicated for central recurrences involving the parametrial tissue without bladder or rectal involvement (as stated: "For central recurrences involving the parametrial tissue while still preserving bladder function, the ureter should be completely dissected from the vesicouterine ligament, and all surrounding tissue of the ureter should be resected. Additionally, the internal iliac artery and parametrial tissue should be excised along the pelvic wall, with a more extensive resection of the vaginal circumference—removing 3/4 of the vagina. This procedure has a broader scope than Types II and III and is referred to as Type IV extended hysterectomy").</w:t>
            </w:r>
            <w:r w:rsidRPr="00CB2EC4">
              <w:rPr>
                <w:rFonts w:ascii="Times New Roman" w:hAnsi="Times New Roman" w:cs="Times New Roman"/>
              </w:rPr>
              <w:br/>
            </w:r>
            <w:r w:rsidRPr="00CB2EC4">
              <w:rPr>
                <w:rFonts w:ascii="Times New Roman" w:hAnsi="Times New Roman" w:cs="Times New Roman"/>
              </w:rPr>
              <w:br/>
              <w:t>The key distinction is that Type IV includes resection of the ureteral surroundings, internal iliac artery, and a greater portion of vaginal tissue to address more extensive recurrent disease.</w:t>
            </w:r>
          </w:p>
        </w:tc>
        <w:tc>
          <w:tcPr>
            <w:tcW w:w="1152" w:type="dxa"/>
            <w:vAlign w:val="center"/>
          </w:tcPr>
          <w:p w14:paraId="07F9E08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827822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B89CE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B069185" w14:textId="77777777" w:rsidTr="00547D77">
        <w:tc>
          <w:tcPr>
            <w:tcW w:w="10656" w:type="dxa"/>
            <w:gridSpan w:val="5"/>
            <w:tcBorders>
              <w:bottom w:val="single" w:sz="6" w:space="0" w:color="auto"/>
            </w:tcBorders>
            <w:vAlign w:val="center"/>
          </w:tcPr>
          <w:p w14:paraId="584C87E7"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174: For patients with cervical cancer that is not controlled by radiotherapy after a cesarean section, what surgical options should be considered?</w:t>
            </w:r>
          </w:p>
        </w:tc>
      </w:tr>
      <w:tr w:rsidR="00916494" w:rsidRPr="00CB2EC4" w14:paraId="492E87CE" w14:textId="77777777" w:rsidTr="00547D77">
        <w:tc>
          <w:tcPr>
            <w:tcW w:w="2160" w:type="dxa"/>
            <w:vAlign w:val="center"/>
          </w:tcPr>
          <w:p w14:paraId="160964AD" w14:textId="77777777" w:rsidR="00916494" w:rsidRPr="00CB2EC4" w:rsidRDefault="00916494" w:rsidP="00547D77">
            <w:pPr>
              <w:rPr>
                <w:rFonts w:ascii="Times New Roman" w:hAnsi="Times New Roman" w:cs="Times New Roman"/>
              </w:rPr>
            </w:pPr>
            <w:r>
              <w:rPr>
                <w:rFonts w:ascii="Times New Roman" w:hAnsi="Times New Roman" w:cs="Times New Roman"/>
              </w:rPr>
              <w:t xml:space="preserve">Chunk size=512, Overlap=0 Using </w:t>
            </w:r>
            <w:r>
              <w:rPr>
                <w:rFonts w:ascii="Times New Roman" w:hAnsi="Times New Roman" w:cs="Times New Roman"/>
              </w:rPr>
              <w:lastRenderedPageBreak/>
              <w:t>TokenTextSplitter</w:t>
            </w:r>
          </w:p>
        </w:tc>
        <w:tc>
          <w:tcPr>
            <w:tcW w:w="5040" w:type="dxa"/>
            <w:vAlign w:val="center"/>
          </w:tcPr>
          <w:p w14:paraId="0167EDA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 xml:space="preserve">no information is available in the provided documents regarding surgical approaches specifically for cervical </w:t>
            </w:r>
            <w:r w:rsidRPr="00CB2EC4">
              <w:rPr>
                <w:rFonts w:ascii="Times New Roman" w:hAnsi="Times New Roman" w:cs="Times New Roman"/>
              </w:rPr>
              <w:lastRenderedPageBreak/>
              <w:t>cancer patients who have undergone cesarean section and have uncontrolled disease after radiotherapy.</w:t>
            </w:r>
            <w:r w:rsidRPr="00CB2EC4">
              <w:rPr>
                <w:rFonts w:ascii="Times New Roman" w:hAnsi="Times New Roman" w:cs="Times New Roman"/>
              </w:rPr>
              <w:br/>
            </w:r>
            <w:r w:rsidRPr="00CB2EC4">
              <w:rPr>
                <w:rFonts w:ascii="Times New Roman" w:hAnsi="Times New Roman" w:cs="Times New Roman"/>
              </w:rPr>
              <w:br/>
              <w:t>the documents discuss surgical options for cervical cancer recurrence after radiotherapy in general, such as radical hysterectomy or pelvic exenteration (e.g., fragment similarity: 0.513), but do not address the specific scenario of post-cesarean section status.</w:t>
            </w:r>
            <w:r w:rsidRPr="00CB2EC4">
              <w:rPr>
                <w:rFonts w:ascii="Times New Roman" w:hAnsi="Times New Roman" w:cs="Times New Roman"/>
              </w:rPr>
              <w:br/>
            </w:r>
            <w:r w:rsidRPr="00CB2EC4">
              <w:rPr>
                <w:rFonts w:ascii="Times New Roman" w:hAnsi="Times New Roman" w:cs="Times New Roman"/>
              </w:rPr>
              <w:br/>
              <w:t>searches for keywords including "cesarean section," "postpartum," and related terms did not yield relevant context in the source material.</w:t>
            </w:r>
            <w:r w:rsidRPr="00CB2EC4">
              <w:rPr>
                <w:rFonts w:ascii="Times New Roman" w:hAnsi="Times New Roman" w:cs="Times New Roman"/>
              </w:rPr>
              <w:br/>
            </w:r>
            <w:r w:rsidRPr="00CB2EC4">
              <w:rPr>
                <w:rFonts w:ascii="Times New Roman" w:hAnsi="Times New Roman" w:cs="Times New Roman"/>
              </w:rPr>
              <w:br/>
              <w:t>therefore, no answer can be derived from the knowledge base. consultation of broader clinical guidelines or a multidisciplinary tumor board is recommended.</w:t>
            </w:r>
          </w:p>
        </w:tc>
        <w:tc>
          <w:tcPr>
            <w:tcW w:w="1152" w:type="dxa"/>
            <w:vAlign w:val="center"/>
          </w:tcPr>
          <w:p w14:paraId="0B15115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246D8C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2F702A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50565225" w14:textId="77777777" w:rsidTr="00547D77">
        <w:tc>
          <w:tcPr>
            <w:tcW w:w="2160" w:type="dxa"/>
            <w:vAlign w:val="center"/>
          </w:tcPr>
          <w:p w14:paraId="191CC553"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FCAD2A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after cesarean section and radiotherapy fails to control cervical cancer, the following surgical approaches should be adopted:</w:t>
            </w:r>
            <w:r w:rsidRPr="00CB2EC4">
              <w:rPr>
                <w:rFonts w:ascii="Times New Roman" w:hAnsi="Times New Roman" w:cs="Times New Roman"/>
              </w:rPr>
              <w:br/>
            </w:r>
            <w:r w:rsidRPr="00CB2EC4">
              <w:rPr>
                <w:rFonts w:ascii="Times New Roman" w:hAnsi="Times New Roman" w:cs="Times New Roman"/>
              </w:rPr>
              <w:br/>
              <w:t>→ fascial extraperitoneal hysterectomy or modified radical hysterectomy with selective pelvic lymphadenectomy.</w:t>
            </w:r>
            <w:r w:rsidRPr="00CB2EC4">
              <w:rPr>
                <w:rFonts w:ascii="Times New Roman" w:hAnsi="Times New Roman" w:cs="Times New Roman"/>
              </w:rPr>
              <w:br/>
            </w:r>
            <w:r w:rsidRPr="00CB2EC4">
              <w:rPr>
                <w:rFonts w:ascii="Times New Roman" w:hAnsi="Times New Roman" w:cs="Times New Roman"/>
              </w:rPr>
              <w:br/>
              <w:t xml:space="preserve">according to the document, if intraoperative exploration reveals positive para-aortic lymph nodes, additional para-aortic lymph node irradiation should be performed (as explicitly stated in the section with similarity 0.525: “patients with uncontrolled cervical cancer after full-dose radiotherapy following cesarean section may undergo fascial extraperitoneal hysterectomy or modified radical hysterectomy and selective pelvic lymphadenectomy. If para-aortic </w:t>
            </w:r>
            <w:r w:rsidRPr="00CB2EC4">
              <w:rPr>
                <w:rFonts w:ascii="Times New Roman" w:hAnsi="Times New Roman" w:cs="Times New Roman"/>
              </w:rPr>
              <w:lastRenderedPageBreak/>
              <w:t>lymph nodes are found positive during intraoperative exploration, para-aortic lymph node irradiation should be added”). these surgical methods aim to remove residual lesions while assessing lymph node status to guide further treatment.</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2301024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8C21A8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800BE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BB5250F" w14:textId="77777777" w:rsidTr="00547D77">
        <w:tc>
          <w:tcPr>
            <w:tcW w:w="10656" w:type="dxa"/>
            <w:gridSpan w:val="5"/>
            <w:tcBorders>
              <w:bottom w:val="single" w:sz="6" w:space="0" w:color="auto"/>
            </w:tcBorders>
            <w:vAlign w:val="center"/>
          </w:tcPr>
          <w:p w14:paraId="1A9A477C"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175: If a patient is diagnosed with invasive cervical cancer during pregnancy, under what circumstances should the pregnancy be terminated immediately?</w:t>
            </w:r>
          </w:p>
        </w:tc>
      </w:tr>
      <w:tr w:rsidR="00916494" w:rsidRPr="00CB2EC4" w14:paraId="7DF47479" w14:textId="77777777" w:rsidTr="00547D77">
        <w:tc>
          <w:tcPr>
            <w:tcW w:w="2160" w:type="dxa"/>
            <w:vAlign w:val="center"/>
          </w:tcPr>
          <w:p w14:paraId="5F5B6F16"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51C1998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if a patient is diagnosed with cervical invasive cancer during pregnancy, under what circumstances should pregnancy be terminated immediately?</w:t>
            </w:r>
            <w:r w:rsidRPr="00CB2EC4">
              <w:rPr>
                <w:rFonts w:ascii="Times New Roman" w:hAnsi="Times New Roman" w:cs="Times New Roman"/>
              </w:rPr>
              <w:br/>
            </w:r>
            <w:r w:rsidRPr="00CB2EC4">
              <w:rPr>
                <w:rFonts w:ascii="Times New Roman" w:hAnsi="Times New Roman" w:cs="Times New Roman"/>
              </w:rPr>
              <w:br/>
              <w:t>In the provided document, there is no explicit listing of specific conditions under which pregnancy should be terminated immediately following a diagnosis of cervical invasive cancer during pregnancy. The document mentions "patients with concurrent pregnancy" as part of the surgical indications (similarity: 0.467): "For patients with stage IB and IIA, if any of the following conditions are present, radical surgery should be considered first: ... (4) concurrent pregnancy." However, this only indicates that pregnancy is a surgical indication and does not specify when termination of pregnancy is mandatory. Other passages (e.g., similarity: 0.585) repeat this point without further detail.</w:t>
            </w:r>
            <w:r w:rsidRPr="00CB2EC4">
              <w:rPr>
                <w:rFonts w:ascii="Times New Roman" w:hAnsi="Times New Roman" w:cs="Times New Roman"/>
              </w:rPr>
              <w:br/>
            </w:r>
            <w:r w:rsidRPr="00CB2EC4">
              <w:rPr>
                <w:rFonts w:ascii="Times New Roman" w:hAnsi="Times New Roman" w:cs="Times New Roman"/>
              </w:rPr>
              <w:br/>
              <w:t>Therefore, no answer is found in the knowledge base. Actual decision-making should be based on comprehensive factors including cancer stage, gestational age, patient preference, and in accordance with clinical practice guidelines.</w:t>
            </w:r>
          </w:p>
        </w:tc>
        <w:tc>
          <w:tcPr>
            <w:tcW w:w="1152" w:type="dxa"/>
            <w:vAlign w:val="center"/>
          </w:tcPr>
          <w:p w14:paraId="0B2A9CA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CC9057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6E2982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396A2266" w14:textId="77777777" w:rsidTr="00547D77">
        <w:tc>
          <w:tcPr>
            <w:tcW w:w="2160" w:type="dxa"/>
            <w:vAlign w:val="center"/>
          </w:tcPr>
          <w:p w14:paraId="26253168"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7BE5288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Under what circumstances should pregnancy be terminated immediately if cervical invasive carcinoma is diagnosed during pregnancy?</w:t>
            </w:r>
            <w:r w:rsidRPr="00CB2EC4">
              <w:rPr>
                <w:rFonts w:ascii="Times New Roman" w:hAnsi="Times New Roman" w:cs="Times New Roman"/>
              </w:rPr>
              <w:br/>
            </w:r>
            <w:r w:rsidRPr="00CB2EC4">
              <w:rPr>
                <w:rFonts w:ascii="Times New Roman" w:hAnsi="Times New Roman" w:cs="Times New Roman"/>
              </w:rPr>
              <w:br/>
              <w:t>The knowledge base does not specify the exact conditions requiring immediate termination of pregnancy (e.g., specific stages, symptoms, or gestational weeks). Although the management of cervical invasive carcinoma during pregnancy has been discussed multiple times (for example, in the [Similarity: 0.525] section, it is mentioned: "If invasive carcinoma is diagnosed during pregnancy, termination of pregnancy followed by surgery or radiotherapy should be considered"), the document does not explicitly define the triggering conditions for "immediate" termination. It is generally stated that decisions should be made based on gestational age, severity of the lesion, and patient preferences—for instance, termination is usually recommended in early pregnancy, whereas in late pregnancy, it may be delayed until fetal viability is achieved ([Similarity: 0.525] section: "In early pregnancy, radiotherapy is initiated first to allow spontaneous abortion...while in mid-to-late pregnancy, classical cesarean section is performed to terminate pregnancy regardless of fetal viability"). However, no clear criteria for "immediate" intervention (e.g., disease progression or high-risk features) are provided. Therefore, based on the existing context, a specific list of scenarios cannot be extracted.</w:t>
            </w:r>
          </w:p>
        </w:tc>
        <w:tc>
          <w:tcPr>
            <w:tcW w:w="1152" w:type="dxa"/>
            <w:vAlign w:val="center"/>
          </w:tcPr>
          <w:p w14:paraId="2151141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E7CAE2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0326C1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6C9AA91D" w14:textId="77777777" w:rsidTr="00547D77">
        <w:tc>
          <w:tcPr>
            <w:tcW w:w="10656" w:type="dxa"/>
            <w:gridSpan w:val="5"/>
            <w:tcBorders>
              <w:bottom w:val="single" w:sz="6" w:space="0" w:color="auto"/>
            </w:tcBorders>
            <w:vAlign w:val="center"/>
          </w:tcPr>
          <w:p w14:paraId="37B66DAF"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176: In surgery for endometrial cancer, what are the specific indications for performing a retroperitoneal lymph node biopsy?</w:t>
            </w:r>
          </w:p>
        </w:tc>
      </w:tr>
      <w:tr w:rsidR="00916494" w:rsidRPr="00CB2EC4" w14:paraId="63C6A68A" w14:textId="77777777" w:rsidTr="00547D77">
        <w:tc>
          <w:tcPr>
            <w:tcW w:w="2160" w:type="dxa"/>
            <w:vAlign w:val="center"/>
          </w:tcPr>
          <w:p w14:paraId="0456B5E0" w14:textId="77777777" w:rsidR="00916494" w:rsidRPr="00CB2EC4" w:rsidRDefault="00916494" w:rsidP="00547D77">
            <w:pPr>
              <w:rPr>
                <w:rFonts w:ascii="Times New Roman" w:hAnsi="Times New Roman" w:cs="Times New Roman"/>
              </w:rPr>
            </w:pPr>
            <w:r>
              <w:rPr>
                <w:rFonts w:ascii="Times New Roman" w:hAnsi="Times New Roman" w:cs="Times New Roman"/>
              </w:rPr>
              <w:t xml:space="preserve">Chunk size=512, </w:t>
            </w:r>
            <w:r>
              <w:rPr>
                <w:rFonts w:ascii="Times New Roman" w:hAnsi="Times New Roman" w:cs="Times New Roman"/>
              </w:rPr>
              <w:lastRenderedPageBreak/>
              <w:t>Overlap=0 Using TokenTextSplitter</w:t>
            </w:r>
          </w:p>
        </w:tc>
        <w:tc>
          <w:tcPr>
            <w:tcW w:w="5040" w:type="dxa"/>
            <w:vAlign w:val="center"/>
          </w:tcPr>
          <w:p w14:paraId="0D8BFB1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lastRenderedPageBreak/>
              <w:t xml:space="preserve">the specific indications for performing retroperitoneal </w:t>
            </w:r>
            <w:r w:rsidRPr="00CB2EC4">
              <w:rPr>
                <w:rFonts w:ascii="Times New Roman" w:hAnsi="Times New Roman" w:cs="Times New Roman"/>
              </w:rPr>
              <w:lastRenderedPageBreak/>
              <w:t xml:space="preserve">lymph node biopsy during surgery for endometrial cancer include:  </w:t>
            </w:r>
            <w:r w:rsidRPr="00CB2EC4">
              <w:rPr>
                <w:rFonts w:ascii="Times New Roman" w:hAnsi="Times New Roman" w:cs="Times New Roman"/>
              </w:rPr>
              <w:br/>
              <w:t xml:space="preserve">- Myometrial invasion depth greater than 1/2 (regardless of tumor grade).  </w:t>
            </w:r>
            <w:r w:rsidRPr="00CB2EC4">
              <w:rPr>
                <w:rFonts w:ascii="Times New Roman" w:hAnsi="Times New Roman" w:cs="Times New Roman"/>
              </w:rPr>
              <w:br/>
              <w:t xml:space="preserve">- Tumor involvement of the cervix-isthmus (i.e., cervical or isthmic involvement).  </w:t>
            </w:r>
            <w:r w:rsidRPr="00CB2EC4">
              <w:rPr>
                <w:rFonts w:ascii="Times New Roman" w:hAnsi="Times New Roman" w:cs="Times New Roman"/>
              </w:rPr>
              <w:br/>
              <w:t xml:space="preserve">- Adnexal metastasis or other extrauterine spread.  </w:t>
            </w:r>
            <w:r w:rsidRPr="00CB2EC4">
              <w:rPr>
                <w:rFonts w:ascii="Times New Roman" w:hAnsi="Times New Roman" w:cs="Times New Roman"/>
              </w:rPr>
              <w:br/>
              <w:t xml:space="preserve">- Specific histologic types: serous adenocarcinoma, clear cell adenocarcinoma, squamous cell carcinoma, or undifferentiated carcinoma.  </w:t>
            </w:r>
            <w:r w:rsidRPr="00CB2EC4">
              <w:rPr>
                <w:rFonts w:ascii="Times New Roman" w:hAnsi="Times New Roman" w:cs="Times New Roman"/>
              </w:rPr>
              <w:br/>
              <w:t xml:space="preserve">- Lymphadenopathy (detected by palpation or imaging).  </w:t>
            </w:r>
            <w:r w:rsidRPr="00CB2EC4">
              <w:rPr>
                <w:rFonts w:ascii="Times New Roman" w:hAnsi="Times New Roman" w:cs="Times New Roman"/>
              </w:rPr>
              <w:br/>
              <w:t xml:space="preserve">- Suspicious para-aortic and/or common iliac lymph nodes, large adnexal lesions, or enlarged pelvic lymph nodes (especially for subtypes such as clear cell carcinoma and serous papillary carcinoma).  </w:t>
            </w:r>
            <w:r w:rsidRPr="00CB2EC4">
              <w:rPr>
                <w:rFonts w:ascii="Times New Roman" w:hAnsi="Times New Roman" w:cs="Times New Roman"/>
              </w:rPr>
              <w:br/>
            </w:r>
            <w:r w:rsidRPr="00CB2EC4">
              <w:rPr>
                <w:rFonts w:ascii="Times New Roman" w:hAnsi="Times New Roman" w:cs="Times New Roman"/>
              </w:rPr>
              <w:br/>
              <w:t>These indications are derived from Table 8-7 and related descriptions in the document (e.g., in the "Indications for Sampling" section and the "Surgical Exploration and Staging Procedure" section), aiming to identify high-risk cases to guide postoperative adjuvant therapy.</w:t>
            </w:r>
          </w:p>
        </w:tc>
        <w:tc>
          <w:tcPr>
            <w:tcW w:w="1152" w:type="dxa"/>
            <w:vAlign w:val="center"/>
          </w:tcPr>
          <w:p w14:paraId="4E2B607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12186C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3C8BA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72D8E5E" w14:textId="77777777" w:rsidTr="00547D77">
        <w:tc>
          <w:tcPr>
            <w:tcW w:w="2160" w:type="dxa"/>
            <w:vAlign w:val="center"/>
          </w:tcPr>
          <w:p w14:paraId="56EFD54C"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9D6A44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specific indications for performing retroperitoneal lymph node biopsy during endometrial cancer surgery include:</w:t>
            </w:r>
            <w:r w:rsidRPr="00CB2EC4">
              <w:rPr>
                <w:rFonts w:ascii="Times New Roman" w:hAnsi="Times New Roman" w:cs="Times New Roman"/>
              </w:rPr>
              <w:br/>
            </w:r>
            <w:r w:rsidRPr="00CB2EC4">
              <w:rPr>
                <w:rFonts w:ascii="Times New Roman" w:hAnsi="Times New Roman" w:cs="Times New Roman"/>
              </w:rPr>
              <w:br/>
              <w:t>- Deep myometrial invasion: Any deep myometrial invasion (especially full-thickness myometrial invasion) is a clear indication for assessing retroperitoneal lymph nodes.</w:t>
            </w:r>
            <w:r w:rsidRPr="00CB2EC4">
              <w:rPr>
                <w:rFonts w:ascii="Times New Roman" w:hAnsi="Times New Roman" w:cs="Times New Roman"/>
              </w:rPr>
              <w:br/>
              <w:t>- Imaging suggesting lymph node positivity: Such as imaging showing lymph node enlargement or suspicious metastasis.</w:t>
            </w:r>
            <w:r w:rsidRPr="00CB2EC4">
              <w:rPr>
                <w:rFonts w:ascii="Times New Roman" w:hAnsi="Times New Roman" w:cs="Times New Roman"/>
              </w:rPr>
              <w:br/>
            </w:r>
            <w:r w:rsidRPr="00CB2EC4">
              <w:rPr>
                <w:rFonts w:ascii="Times New Roman" w:hAnsi="Times New Roman" w:cs="Times New Roman"/>
              </w:rPr>
              <w:lastRenderedPageBreak/>
              <w:t>- Suspicious lymph nodes: Including suspicious para-aortic and common iliac lymph nodes, or enlarged pelvic lymph nodes.</w:t>
            </w:r>
            <w:r w:rsidRPr="00CB2EC4">
              <w:rPr>
                <w:rFonts w:ascii="Times New Roman" w:hAnsi="Times New Roman" w:cs="Times New Roman"/>
              </w:rPr>
              <w:br/>
              <w:t>- Adnexal lesions: Large adnexal masses (e.g., large ovarian or tubal metastases).</w:t>
            </w:r>
            <w:r w:rsidRPr="00CB2EC4">
              <w:rPr>
                <w:rFonts w:ascii="Times New Roman" w:hAnsi="Times New Roman" w:cs="Times New Roman"/>
              </w:rPr>
              <w:br/>
              <w:t>- Histological features:</w:t>
            </w:r>
            <w:r w:rsidRPr="00CB2EC4">
              <w:rPr>
                <w:rFonts w:ascii="Times New Roman" w:hAnsi="Times New Roman" w:cs="Times New Roman"/>
              </w:rPr>
              <w:br/>
              <w:t xml:space="preserve">  - Poorly differentiated tumors (G3 grade), especially when invading the full thickness of the myometrium.</w:t>
            </w:r>
            <w:r w:rsidRPr="00CB2EC4">
              <w:rPr>
                <w:rFonts w:ascii="Times New Roman" w:hAnsi="Times New Roman" w:cs="Times New Roman"/>
              </w:rPr>
              <w:br/>
              <w:t xml:space="preserve">  - Specific histological subtypes, such as clear cell carcinoma, serous papillary carcinoma, and carcinosarcoma.</w:t>
            </w:r>
            <w:r w:rsidRPr="00CB2EC4">
              <w:rPr>
                <w:rFonts w:ascii="Times New Roman" w:hAnsi="Times New Roman" w:cs="Times New Roman"/>
              </w:rPr>
              <w:br/>
              <w:t>- Other high-risk factors: Such as pelvic lymph node metastasis, adnexal metastasis, intra-abdominal metastasis, or tumor invasion beyond the outer one-third of the myometrium (based on FIGO guidelines and risk factor analysis).</w:t>
            </w:r>
            <w:r w:rsidRPr="00CB2EC4">
              <w:rPr>
                <w:rFonts w:ascii="Times New Roman" w:hAnsi="Times New Roman" w:cs="Times New Roman"/>
              </w:rPr>
              <w:br/>
            </w:r>
            <w:r w:rsidRPr="00CB2EC4">
              <w:rPr>
                <w:rFonts w:ascii="Times New Roman" w:hAnsi="Times New Roman" w:cs="Times New Roman"/>
              </w:rPr>
              <w:br/>
              <w:t>These indications are derived from multiple sections of the document (e.g., segments with similarity 0.661 and 0.657), emphasizing that lymph node biopsy is used to assess prognosis and guide subsequent treatment.</w:t>
            </w:r>
          </w:p>
        </w:tc>
        <w:tc>
          <w:tcPr>
            <w:tcW w:w="1152" w:type="dxa"/>
            <w:vAlign w:val="center"/>
          </w:tcPr>
          <w:p w14:paraId="4A69A95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2931FA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1319BA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389A5D65" w14:textId="77777777" w:rsidTr="00547D77">
        <w:tc>
          <w:tcPr>
            <w:tcW w:w="10656" w:type="dxa"/>
            <w:gridSpan w:val="5"/>
            <w:tcBorders>
              <w:bottom w:val="single" w:sz="6" w:space="0" w:color="auto"/>
            </w:tcBorders>
            <w:vAlign w:val="center"/>
          </w:tcPr>
          <w:p w14:paraId="49BB7C3F"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177: What is the standard surgical procedure for endometrial cancer?</w:t>
            </w:r>
          </w:p>
        </w:tc>
      </w:tr>
      <w:tr w:rsidR="00916494" w:rsidRPr="00CB2EC4" w14:paraId="2A356E28" w14:textId="77777777" w:rsidTr="00547D77">
        <w:tc>
          <w:tcPr>
            <w:tcW w:w="2160" w:type="dxa"/>
            <w:vAlign w:val="center"/>
          </w:tcPr>
          <w:p w14:paraId="14FDC3B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64AC72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basic surgical procedure for endometrial cancer is "extrafascial total hysterectomy with bilateral salpingo-oophorectomy".  </w:t>
            </w:r>
            <w:r w:rsidRPr="00CB2EC4">
              <w:rPr>
                <w:rFonts w:ascii="Times New Roman" w:hAnsi="Times New Roman" w:cs="Times New Roman"/>
              </w:rPr>
              <w:br/>
              <w:t xml:space="preserve">- This procedure involves total hysterectomy performed extrafascially at the level of the cervical fascia, along with resection of 1–2 cm of the vagina and bilateral adnexa (fallopian tubes and ovaries).  </w:t>
            </w:r>
            <w:r w:rsidRPr="00CB2EC4">
              <w:rPr>
                <w:rFonts w:ascii="Times New Roman" w:hAnsi="Times New Roman" w:cs="Times New Roman"/>
              </w:rPr>
              <w:br/>
              <w:t xml:space="preserve">- Indications primarily include low-risk stage I patients, specifically those with: grade 1 or 2 lesions with myometrial invasion &lt;1/3; grade 3 lesions </w:t>
            </w:r>
            <w:r w:rsidRPr="00CB2EC4">
              <w:rPr>
                <w:rFonts w:ascii="Times New Roman" w:hAnsi="Times New Roman" w:cs="Times New Roman"/>
              </w:rPr>
              <w:lastRenderedPageBreak/>
              <w:t xml:space="preserve">without myometrial invasion; no involvement of the cervix or isthmus; no lymph node involvement; and no intra-abdominal metastasis.  </w:t>
            </w:r>
            <w:r w:rsidRPr="00CB2EC4">
              <w:rPr>
                <w:rFonts w:ascii="Times New Roman" w:hAnsi="Times New Roman" w:cs="Times New Roman"/>
              </w:rPr>
              <w:br/>
              <w:t>This information is explicitly stated in multiple sections (e.g., "Surgical Approaches, Methods, and Indications" and "Steps of Surgical Exploration and Staging") and represents the core standard surgical procedure for endometrial cancer treatment.</w:t>
            </w:r>
          </w:p>
        </w:tc>
        <w:tc>
          <w:tcPr>
            <w:tcW w:w="1152" w:type="dxa"/>
            <w:vAlign w:val="center"/>
          </w:tcPr>
          <w:p w14:paraId="5DC81F4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164D26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E819D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60FDE34" w14:textId="77777777" w:rsidTr="00547D77">
        <w:tc>
          <w:tcPr>
            <w:tcW w:w="2160" w:type="dxa"/>
            <w:vAlign w:val="center"/>
          </w:tcPr>
          <w:p w14:paraId="5ECFCEF8"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543E32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basic surgical procedure for endometrial cancer is extrafascial total hysterectomy with bilateral salpingo-oophorectomy.  </w:t>
            </w:r>
            <w:r w:rsidRPr="00CB2EC4">
              <w:rPr>
                <w:rFonts w:ascii="Times New Roman" w:hAnsi="Times New Roman" w:cs="Times New Roman"/>
              </w:rPr>
              <w:br/>
              <w:t xml:space="preserve">- Surgical extent: Total hysterectomy is performed extrafascially at the level of the cervical fascia, along with removal of both adnexa (ovaries and fallopian tubes) and the upper 1-2 cm of the vagina, as described in segments with similarity scores of 0.574 and 0.582.  </w:t>
            </w:r>
            <w:r w:rsidRPr="00CB2EC4">
              <w:rPr>
                <w:rFonts w:ascii="Times New Roman" w:hAnsi="Times New Roman" w:cs="Times New Roman"/>
              </w:rPr>
              <w:br/>
              <w:t xml:space="preserve">- Indications: Primarily suitable for early-stage (Stage I) low-risk patients, especially those without deep myometrial invasion, cervical involvement, or lymph node metastasis, as noted in the segment with similarity score 0.547.  </w:t>
            </w:r>
            <w:r w:rsidRPr="00CB2EC4">
              <w:rPr>
                <w:rFonts w:ascii="Times New Roman" w:hAnsi="Times New Roman" w:cs="Times New Roman"/>
              </w:rPr>
              <w:br/>
            </w:r>
            <w:r w:rsidRPr="00CB2EC4">
              <w:rPr>
                <w:rFonts w:ascii="Times New Roman" w:hAnsi="Times New Roman" w:cs="Times New Roman"/>
              </w:rPr>
              <w:br/>
              <w:t>The document explicitly describes this procedure as the "basic surgery" (segment with similarity score 0.661) and repeatedly emphasizes its role as the foundational standard treatment in contexts such as segments with similarity scores 0.657 and 0.582.</w:t>
            </w:r>
          </w:p>
        </w:tc>
        <w:tc>
          <w:tcPr>
            <w:tcW w:w="1152" w:type="dxa"/>
            <w:vAlign w:val="center"/>
          </w:tcPr>
          <w:p w14:paraId="786E079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25FD1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6ABE3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0A8D396" w14:textId="77777777" w:rsidTr="00547D77">
        <w:tc>
          <w:tcPr>
            <w:tcW w:w="10656" w:type="dxa"/>
            <w:gridSpan w:val="5"/>
            <w:tcBorders>
              <w:bottom w:val="single" w:sz="6" w:space="0" w:color="auto"/>
            </w:tcBorders>
            <w:vAlign w:val="center"/>
          </w:tcPr>
          <w:p w14:paraId="09CC60C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178: During the dissection of the bladder flap in an extrafascial total hysterectomy, why is it crucial to fully develop the anatomical structures known as the bladder pillars? How does this maneuver help the surgeon avoid injuring the ureter?</w:t>
            </w:r>
          </w:p>
        </w:tc>
      </w:tr>
      <w:tr w:rsidR="00916494" w:rsidRPr="00CB2EC4" w14:paraId="2FDE8A2A" w14:textId="77777777" w:rsidTr="00547D77">
        <w:tc>
          <w:tcPr>
            <w:tcW w:w="2160" w:type="dxa"/>
            <w:vAlign w:val="center"/>
          </w:tcPr>
          <w:p w14:paraId="67C9E48D"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751E4D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During the separation of the bladder flap in an extrafascial total hysterectomy, fully developing the bladder pillar anatomical structure is crucial because it </w:t>
            </w:r>
            <w:r w:rsidRPr="00CB2EC4">
              <w:rPr>
                <w:rFonts w:ascii="Times New Roman" w:hAnsi="Times New Roman" w:cs="Times New Roman"/>
              </w:rPr>
              <w:lastRenderedPageBreak/>
              <w:t>allows the surgeon to clearly identify and displace the ureter, which runs in close proximity to the cervix and lateral parametrium. The bladder pillars (or bladder columns) refer to the anterior and lateral attachments of the bladder to the uterus and cardinal ligaments. By systematically dissecting and expanding these pillars, the bladder is mobilized downward and forward, increasing the distance between the bladder base and the uterine artery/ureter complex. This creates a visible surgical plane and reduces the risk of inadvertent ureteral injury during clamping and cutting of the parametrial tissues, as the ureter is displaced laterally and protected within its own fascial sheath while the bladder pillar is separated at a safe distance medial to its course.</w:t>
            </w:r>
          </w:p>
        </w:tc>
        <w:tc>
          <w:tcPr>
            <w:tcW w:w="1152" w:type="dxa"/>
            <w:vAlign w:val="center"/>
          </w:tcPr>
          <w:p w14:paraId="2BC5F05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3A11AD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68F3B3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23FBA9CC" w14:textId="77777777" w:rsidTr="00547D77">
        <w:tc>
          <w:tcPr>
            <w:tcW w:w="2160" w:type="dxa"/>
            <w:vAlign w:val="center"/>
          </w:tcPr>
          <w:p w14:paraId="07672C0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C11AA7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During the performance of an extrafascial total hysterectomy, when dissecting the bladder flap, it is crucial to adequately develop the bladder pillars (also known as the bladder columns) because these anatomical structures represent the lateral attachments of the bladder to the pelvic sidewalls and cervix. The bladder pillars contain the terminal portions of the ureters as they course anteriorly and medially to enter the bladder trigone. By systematically and gently expanding and retracting these pillars laterally during the dissection of the bladder off the cervix and upper vagina, the surgeon maintains clear visualization of the ureteral tunnels within the parametrium and avoids inadvertently including the ureter in the tissue planes being separated. This precise mobilization ensures the ureters are displaced safely away from the operative field, thereby significantly reducing the risk of ureteral injury due to thermal damage, ligation, or transection during clamping and suturing of the </w:t>
            </w:r>
            <w:r w:rsidRPr="00CB2EC4">
              <w:rPr>
                <w:rFonts w:ascii="Times New Roman" w:hAnsi="Times New Roman" w:cs="Times New Roman"/>
              </w:rPr>
              <w:lastRenderedPageBreak/>
              <w:t>cardinal ligaments and vaginal angles. Proper development of the bladder pillars thus serves as a key anatomical landmark and protective maneuver for ureteral identification and preservation in extrafascial hysterectomy.</w:t>
            </w:r>
          </w:p>
        </w:tc>
        <w:tc>
          <w:tcPr>
            <w:tcW w:w="1152" w:type="dxa"/>
            <w:vAlign w:val="center"/>
          </w:tcPr>
          <w:p w14:paraId="6CC481F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9BB0DE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810B4F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0C0B306C" w14:textId="77777777" w:rsidTr="00547D77">
        <w:tc>
          <w:tcPr>
            <w:tcW w:w="10656" w:type="dxa"/>
            <w:gridSpan w:val="5"/>
            <w:tcBorders>
              <w:bottom w:val="single" w:sz="6" w:space="0" w:color="auto"/>
            </w:tcBorders>
            <w:vAlign w:val="center"/>
          </w:tcPr>
          <w:p w14:paraId="08ADBBD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179: When resecting left para-aortic lymph nodes via a direct incision (non-lateral approach), what are the special positional characteristics of the lymph nodes in this region? To avoid what serious complication is emphasized, and what specific surgical technique is required?</w:t>
            </w:r>
          </w:p>
        </w:tc>
      </w:tr>
      <w:tr w:rsidR="00916494" w:rsidRPr="00CB2EC4" w14:paraId="68E8D206" w14:textId="77777777" w:rsidTr="00547D77">
        <w:tc>
          <w:tcPr>
            <w:tcW w:w="2160" w:type="dxa"/>
            <w:vAlign w:val="center"/>
          </w:tcPr>
          <w:p w14:paraId="244D5D8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708CF2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position of the left para-aortic lymph nodes is special in that they are located on the left side of the abdominal aorta, deep in position with limited operative space (unlike the right side, where lymph nodes often overlie the inferior vena cava). The document states that when resecting left para-aortic lymph nodes via a direct incision approach (non-lateral route), exposure is difficult because these lymph nodes adhere closely to the left side of the abdominal aorta, and the complex retroperitoneal anatomy must be navigated, including the course of the ureter and ovarian vessels.</w:t>
            </w:r>
            <w:r w:rsidRPr="00CB2EC4">
              <w:rPr>
                <w:rFonts w:ascii="Times New Roman" w:hAnsi="Times New Roman" w:cs="Times New Roman"/>
              </w:rPr>
              <w:br/>
            </w:r>
            <w:r w:rsidRPr="00CB2EC4">
              <w:rPr>
                <w:rFonts w:ascii="Times New Roman" w:hAnsi="Times New Roman" w:cs="Times New Roman"/>
              </w:rPr>
              <w:br/>
              <w:t>The serious complication to be avoided during the procedure is vascular tear leading to severe hemorrhage, particularly from accidental tearing of the "accompanying vein" (a constant small vein anteriorly entering the inferior vena cava or abdominal aorta).</w:t>
            </w:r>
            <w:r w:rsidRPr="00CB2EC4">
              <w:rPr>
                <w:rFonts w:ascii="Times New Roman" w:hAnsi="Times New Roman" w:cs="Times New Roman"/>
              </w:rPr>
              <w:br/>
            </w:r>
            <w:r w:rsidRPr="00CB2EC4">
              <w:rPr>
                <w:rFonts w:ascii="Times New Roman" w:hAnsi="Times New Roman" w:cs="Times New Roman"/>
              </w:rPr>
              <w:br/>
              <w:t xml:space="preserve">To prevent this bleeding complication, the surgeon must carefully identify the ureter and vascular pathways, pre-ligate the "accompanying vein"; simultaneously, mobilize the duodenum by incising the peritoneum on both sides to improve exposure, </w:t>
            </w:r>
            <w:r w:rsidRPr="00CB2EC4">
              <w:rPr>
                <w:rFonts w:ascii="Times New Roman" w:hAnsi="Times New Roman" w:cs="Times New Roman"/>
              </w:rPr>
              <w:lastRenderedPageBreak/>
              <w:t>and during cephalad node resection, operate gently using hemostatic forceps to separate tissue pedicles. The document emphasizes that left lymph node resection via direct incision is typically more complex than the right side, and although lateral approach assistance is recommended, extra caution is required when using the direct (non-lateral) approach as specified.</w:t>
            </w:r>
            <w:r w:rsidRPr="00CB2EC4">
              <w:rPr>
                <w:rFonts w:ascii="Times New Roman" w:hAnsi="Times New Roman" w:cs="Times New Roman"/>
              </w:rPr>
              <w:br/>
            </w:r>
            <w:r w:rsidRPr="00CB2EC4">
              <w:rPr>
                <w:rFonts w:ascii="Times New Roman" w:hAnsi="Times New Roman" w:cs="Times New Roman"/>
              </w:rPr>
              <w:br/>
              <w:t>This information is derived from the description of "para-aortic lymph node dissection" (e.g., in the "Surgical Techniques and Tips" section), which details the technical steps and associated risks.</w:t>
            </w:r>
          </w:p>
        </w:tc>
        <w:tc>
          <w:tcPr>
            <w:tcW w:w="1152" w:type="dxa"/>
            <w:vAlign w:val="center"/>
          </w:tcPr>
          <w:p w14:paraId="38006C0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33D265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BF5346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18FCB767" w14:textId="77777777" w:rsidTr="00547D77">
        <w:tc>
          <w:tcPr>
            <w:tcW w:w="2160" w:type="dxa"/>
            <w:vAlign w:val="center"/>
          </w:tcPr>
          <w:p w14:paraId="46CE294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E11DD8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When removing left para-aortic lymph nodes via a direct incision approach (not lateral), the anatomical location of these lymph nodes presents specific challenges: they lie on the left and anterior aspects of the abdominal aorta, but exposure is difficult due to deep-seated aortic positioning near the midline. The lymph nodes are often in close proximity to the abdominal aorta and the left ureter.</w:t>
            </w:r>
            <w:r w:rsidRPr="00CB2EC4">
              <w:rPr>
                <w:rFonts w:ascii="Times New Roman" w:hAnsi="Times New Roman" w:cs="Times New Roman"/>
              </w:rPr>
              <w:br/>
            </w:r>
            <w:r w:rsidRPr="00CB2EC4">
              <w:rPr>
                <w:rFonts w:ascii="Times New Roman" w:hAnsi="Times New Roman" w:cs="Times New Roman"/>
              </w:rPr>
              <w:br/>
              <w:t>To avoid serious complications during the procedure:</w:t>
            </w:r>
            <w:r w:rsidRPr="00CB2EC4">
              <w:rPr>
                <w:rFonts w:ascii="Times New Roman" w:hAnsi="Times New Roman" w:cs="Times New Roman"/>
              </w:rPr>
              <w:br/>
              <w:t>- Injury to the ureter and major vessels (such as the abdominal aorta or iliac vessels) must be prevented, as damage can result in urinary leakage, hemorrhage, or renal impairment.</w:t>
            </w:r>
            <w:r w:rsidRPr="00CB2EC4">
              <w:rPr>
                <w:rFonts w:ascii="Times New Roman" w:hAnsi="Times New Roman" w:cs="Times New Roman"/>
              </w:rPr>
              <w:br/>
              <w:t>- Operative emphasis:</w:t>
            </w:r>
            <w:r w:rsidRPr="00CB2EC4">
              <w:rPr>
                <w:rFonts w:ascii="Times New Roman" w:hAnsi="Times New Roman" w:cs="Times New Roman"/>
              </w:rPr>
              <w:br/>
              <w:t xml:space="preserve">  → Identify and protect the ureter: After opening the peritoneum, first identify the ureter and ovarian vessels, then gently retract them laterally (away from the operative field) to minimize injury risk.</w:t>
            </w:r>
            <w:r w:rsidRPr="00CB2EC4">
              <w:rPr>
                <w:rFonts w:ascii="Times New Roman" w:hAnsi="Times New Roman" w:cs="Times New Roman"/>
              </w:rPr>
              <w:br/>
              <w:t xml:space="preserve">  → Perform careful dissection: Proceed stepwise from caudal to cephalad (e.g., starting at the origin of </w:t>
            </w:r>
            <w:r w:rsidRPr="00CB2EC4">
              <w:rPr>
                <w:rFonts w:ascii="Times New Roman" w:hAnsi="Times New Roman" w:cs="Times New Roman"/>
              </w:rPr>
              <w:lastRenderedPageBreak/>
              <w:t>the common iliac artery and moving upward), avoiding excessive dissection posterior to vessels or between major vessels to reduce bleeding risk.</w:t>
            </w:r>
            <w:r w:rsidRPr="00CB2EC4">
              <w:rPr>
                <w:rFonts w:ascii="Times New Roman" w:hAnsi="Times New Roman" w:cs="Times New Roman"/>
              </w:rPr>
              <w:br/>
            </w:r>
            <w:r w:rsidRPr="00CB2EC4">
              <w:rPr>
                <w:rFonts w:ascii="Times New Roman" w:hAnsi="Times New Roman" w:cs="Times New Roman"/>
              </w:rPr>
              <w:br/>
              <w:t>This information is derived from the technical description and risk control measures in the source segment with similarity 0.474.</w:t>
            </w:r>
          </w:p>
        </w:tc>
        <w:tc>
          <w:tcPr>
            <w:tcW w:w="1152" w:type="dxa"/>
            <w:vAlign w:val="center"/>
          </w:tcPr>
          <w:p w14:paraId="3E6D983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D74FA6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BB7106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5F38E67D" w14:textId="77777777" w:rsidTr="00547D77">
        <w:tc>
          <w:tcPr>
            <w:tcW w:w="10656" w:type="dxa"/>
            <w:gridSpan w:val="5"/>
            <w:tcBorders>
              <w:bottom w:val="single" w:sz="6" w:space="0" w:color="auto"/>
            </w:tcBorders>
            <w:vAlign w:val="center"/>
          </w:tcPr>
          <w:p w14:paraId="3214B38D"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180: In surgery for Stage IV ovarian cancer, a residual tumor diameter of less than how many centimeters is considered the standard for optimal cytoreduction?</w:t>
            </w:r>
          </w:p>
        </w:tc>
      </w:tr>
      <w:tr w:rsidR="00916494" w:rsidRPr="00CB2EC4" w14:paraId="2E8FE2D7" w14:textId="77777777" w:rsidTr="00547D77">
        <w:tc>
          <w:tcPr>
            <w:tcW w:w="2160" w:type="dxa"/>
            <w:vAlign w:val="center"/>
          </w:tcPr>
          <w:p w14:paraId="24EF211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4D4C3A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IV stage ovarian cancer surgery, a residual tumor diameter less than or equal to 2 cm is considered the standard for optimal cytoreduction.</w:t>
            </w:r>
            <w:r w:rsidRPr="00CB2EC4">
              <w:rPr>
                <w:rFonts w:ascii="Times New Roman" w:hAnsi="Times New Roman" w:cs="Times New Roman"/>
              </w:rPr>
              <w:br/>
            </w:r>
            <w:r w:rsidRPr="00CB2EC4">
              <w:rPr>
                <w:rFonts w:ascii="Times New Roman" w:hAnsi="Times New Roman" w:cs="Times New Roman"/>
              </w:rPr>
              <w:br/>
              <w:t>- The document explicitly states: "Postoperative residual tumor diameter less than or equal to 2 cm is termed optimal cytoreductive surgery", and indicates this standard significantly improves survival rates (e.g., in the section "Initial cytoreductive surgery for advanced (stage III, IV) cancer").</w:t>
            </w:r>
            <w:r w:rsidRPr="00CB2EC4">
              <w:rPr>
                <w:rFonts w:ascii="Times New Roman" w:hAnsi="Times New Roman" w:cs="Times New Roman"/>
              </w:rPr>
              <w:br/>
              <w:t>- A residual tumor diameter greater than 2 cm is classified as suboptimal cytoreduction and is associated with poorer prognosis. This standard is based on clinical research data and is used to evaluate surgical outcomes and guide postoperative treatment.</w:t>
            </w:r>
          </w:p>
        </w:tc>
        <w:tc>
          <w:tcPr>
            <w:tcW w:w="1152" w:type="dxa"/>
            <w:vAlign w:val="center"/>
          </w:tcPr>
          <w:p w14:paraId="71637B4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7DD5F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86705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BEAE252" w14:textId="77777777" w:rsidTr="00547D77">
        <w:tc>
          <w:tcPr>
            <w:tcW w:w="2160" w:type="dxa"/>
            <w:vAlign w:val="center"/>
          </w:tcPr>
          <w:p w14:paraId="60FE1EE8"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FF48B1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IV stage ovarian cancer surgery, a residual tumor diameter of less than or equal to 2 cm is considered the standard for optimal cytoreduction (ideal tumor cytoreduction).</w:t>
            </w:r>
            <w:r w:rsidRPr="00CB2EC4">
              <w:rPr>
                <w:rFonts w:ascii="Times New Roman" w:hAnsi="Times New Roman" w:cs="Times New Roman"/>
              </w:rPr>
              <w:br/>
              <w:t>- The document explicitly states: "A residual tumor diameter of less than or equal to 2 cm postoperatively is referred to as ideal tumor cytoreduction" (similarity 0.582 segment).</w:t>
            </w:r>
            <w:r w:rsidRPr="00CB2EC4">
              <w:rPr>
                <w:rFonts w:ascii="Times New Roman" w:hAnsi="Times New Roman" w:cs="Times New Roman"/>
              </w:rPr>
              <w:br/>
              <w:t xml:space="preserve">- This standard is emphasized in multiple segments </w:t>
            </w:r>
            <w:r w:rsidRPr="00CB2EC4">
              <w:rPr>
                <w:rFonts w:ascii="Times New Roman" w:hAnsi="Times New Roman" w:cs="Times New Roman"/>
              </w:rPr>
              <w:lastRenderedPageBreak/>
              <w:t>(e.g., similarity 0.472 and 0.485 segments) and applies to advanced-stage ovarian cancer (stages III–IV) surgery, aiming to maximize tumor resection to improve survival rates.</w:t>
            </w:r>
          </w:p>
        </w:tc>
        <w:tc>
          <w:tcPr>
            <w:tcW w:w="1152" w:type="dxa"/>
            <w:vAlign w:val="center"/>
          </w:tcPr>
          <w:p w14:paraId="3388BEE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010A40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722B1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4B1EDB6" w14:textId="77777777" w:rsidTr="00547D77">
        <w:tc>
          <w:tcPr>
            <w:tcW w:w="10656" w:type="dxa"/>
            <w:gridSpan w:val="5"/>
            <w:tcBorders>
              <w:bottom w:val="single" w:sz="6" w:space="0" w:color="auto"/>
            </w:tcBorders>
            <w:vAlign w:val="center"/>
          </w:tcPr>
          <w:p w14:paraId="2CF9580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181: According to the report by Heintz et al., approximately 50% of cytoreductive surgeries are suboptimal. What are the main reasons for these surgical failures? Please list the specific anatomical sites in the upper abdomen that lead to the inability to achieve optimal cytoreduction.</w:t>
            </w:r>
          </w:p>
        </w:tc>
      </w:tr>
      <w:tr w:rsidR="00916494" w:rsidRPr="00CB2EC4" w14:paraId="4BCB1E70" w14:textId="77777777" w:rsidTr="00547D77">
        <w:tc>
          <w:tcPr>
            <w:tcW w:w="2160" w:type="dxa"/>
            <w:vAlign w:val="center"/>
          </w:tcPr>
          <w:p w14:paraId="68F946AA"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E18E92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according to Heintz et al., approximately 50% of tumor cytoreductive surgeries are suboptimally cytoreduced. The main reason for surgical failure is the presence of residual lesions larger than 2 cm in diameter in the upper abdomen; these lesions are deeply located, severely adherent, or involve critical organs, preventing optimal cytoreduction (defined as residual tumor diameter ≤ 2 cm).  </w:t>
            </w:r>
            <w:r w:rsidRPr="00CB2EC4">
              <w:rPr>
                <w:rFonts w:ascii="Times New Roman" w:hAnsi="Times New Roman" w:cs="Times New Roman"/>
              </w:rPr>
              <w:br/>
              <w:t xml:space="preserve">- Specific anatomical sites in the upper abdomen: The residual lesions primarily occur in the following anatomical locations: splenic hilum, stomach, transverse colon, hepatic hilum, lesser omental sac, retroperitoneal space above the renal vessels, and small bowel mesentery.  </w:t>
            </w:r>
            <w:r w:rsidRPr="00CB2EC4">
              <w:rPr>
                <w:rFonts w:ascii="Times New Roman" w:hAnsi="Times New Roman" w:cs="Times New Roman"/>
              </w:rPr>
              <w:br/>
              <w:t xml:space="preserve">  (Source: Document excerpt [similarity: 0.672]: "After suboptimal tumor cytoreductive surgery, the residual lesions (larger than 2 cm in diameter) are primarily located in the upper abdomen and cannot be resected. These sites include the splenic hilum, stomach, transverse colon, hepatic hilum, lesser omental sac, retroperitoneal space above the renal vessels, and small bowel mesentery.")</w:t>
            </w:r>
          </w:p>
        </w:tc>
        <w:tc>
          <w:tcPr>
            <w:tcW w:w="1152" w:type="dxa"/>
            <w:vAlign w:val="center"/>
          </w:tcPr>
          <w:p w14:paraId="5CB597F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93E94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68F6A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8B4C3D0" w14:textId="77777777" w:rsidTr="00547D77">
        <w:tc>
          <w:tcPr>
            <w:tcW w:w="2160" w:type="dxa"/>
            <w:vAlign w:val="center"/>
          </w:tcPr>
          <w:p w14:paraId="4A5B8A53"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4D6719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according to Heintz et al., approximately 50% of tumor cytoreductive surgeries are suboptimally performed. The primary reason for surgical failure is the inability to completely resect lesions located in the </w:t>
            </w:r>
            <w:r w:rsidRPr="00CB2EC4">
              <w:rPr>
                <w:rFonts w:ascii="Times New Roman" w:hAnsi="Times New Roman" w:cs="Times New Roman"/>
              </w:rPr>
              <w:lastRenderedPageBreak/>
              <w:t>upper abdomen; these lesions are typically large, densely adherent, or deeply situated, resulting in residual tumor diameter greater than 2 cm. Specifically, the upper abdomen is a common metastatic site for ovarian cancer, and the difficulty in resection arises from anatomical complexity, surgical technique limitations, or tumor biological characteristics (such as widespread implantation).</w:t>
            </w:r>
            <w:r w:rsidRPr="00CB2EC4">
              <w:rPr>
                <w:rFonts w:ascii="Times New Roman" w:hAnsi="Times New Roman" w:cs="Times New Roman"/>
              </w:rPr>
              <w:br/>
            </w:r>
            <w:r w:rsidRPr="00CB2EC4">
              <w:rPr>
                <w:rFonts w:ascii="Times New Roman" w:hAnsi="Times New Roman" w:cs="Times New Roman"/>
              </w:rPr>
              <w:br/>
              <w:t>- Specific anatomical locations in the upper abdomen: The document explicitly states that residual disease after suboptimal cytoreduction is predominantly located in the upper abdomen, including the following anatomical sites:</w:t>
            </w:r>
            <w:r w:rsidRPr="00CB2EC4">
              <w:rPr>
                <w:rFonts w:ascii="Times New Roman" w:hAnsi="Times New Roman" w:cs="Times New Roman"/>
              </w:rPr>
              <w:br/>
              <w:t xml:space="preserve">  - splenic hilum</w:t>
            </w:r>
            <w:r w:rsidRPr="00CB2EC4">
              <w:rPr>
                <w:rFonts w:ascii="Times New Roman" w:hAnsi="Times New Roman" w:cs="Times New Roman"/>
              </w:rPr>
              <w:br/>
              <w:t xml:space="preserve">  - stomach</w:t>
            </w:r>
            <w:r w:rsidRPr="00CB2EC4">
              <w:rPr>
                <w:rFonts w:ascii="Times New Roman" w:hAnsi="Times New Roman" w:cs="Times New Roman"/>
              </w:rPr>
              <w:br/>
              <w:t xml:space="preserve">  - transverse colon</w:t>
            </w:r>
            <w:r w:rsidRPr="00CB2EC4">
              <w:rPr>
                <w:rFonts w:ascii="Times New Roman" w:hAnsi="Times New Roman" w:cs="Times New Roman"/>
              </w:rPr>
              <w:br/>
              <w:t xml:space="preserve">  - hepatic hilum</w:t>
            </w:r>
            <w:r w:rsidRPr="00CB2EC4">
              <w:rPr>
                <w:rFonts w:ascii="Times New Roman" w:hAnsi="Times New Roman" w:cs="Times New Roman"/>
              </w:rPr>
              <w:br/>
              <w:t xml:space="preserve">  - lesser omental bursa</w:t>
            </w:r>
            <w:r w:rsidRPr="00CB2EC4">
              <w:rPr>
                <w:rFonts w:ascii="Times New Roman" w:hAnsi="Times New Roman" w:cs="Times New Roman"/>
              </w:rPr>
              <w:br/>
              <w:t xml:space="preserve">  - retroperitoneal space above the renal vessels</w:t>
            </w:r>
            <w:r w:rsidRPr="00CB2EC4">
              <w:rPr>
                <w:rFonts w:ascii="Times New Roman" w:hAnsi="Times New Roman" w:cs="Times New Roman"/>
              </w:rPr>
              <w:br/>
              <w:t xml:space="preserve">  - small bowel mesentery</w:t>
            </w:r>
            <w:r w:rsidRPr="00CB2EC4">
              <w:rPr>
                <w:rFonts w:ascii="Times New Roman" w:hAnsi="Times New Roman" w:cs="Times New Roman"/>
              </w:rPr>
              <w:br/>
            </w:r>
            <w:r w:rsidRPr="00CB2EC4">
              <w:rPr>
                <w:rFonts w:ascii="Times New Roman" w:hAnsi="Times New Roman" w:cs="Times New Roman"/>
              </w:rPr>
              <w:br/>
              <w:t>These areas are often challenging to fully resect during surgery due to involvement of critical vascular structures and organs (e.g., liver, spleen, stomach).</w:t>
            </w:r>
            <w:r w:rsidRPr="00CB2EC4">
              <w:rPr>
                <w:rFonts w:ascii="Times New Roman" w:hAnsi="Times New Roman" w:cs="Times New Roman"/>
              </w:rPr>
              <w:br/>
            </w:r>
            <w:r w:rsidRPr="00CB2EC4">
              <w:rPr>
                <w:rFonts w:ascii="Times New Roman" w:hAnsi="Times New Roman" w:cs="Times New Roman"/>
              </w:rPr>
              <w:br/>
              <w:t>(Reference: [Similarity: 0.582] "Residual lesions (with diameters greater than 2 cm) following suboptimal cytoreductive surgery are primarily located in the upper abdomen and cannot be completely resected. These sites include the splenic hilum, stomach, transverse colon, hepatic hilum, lesser omental bursa, retroperitoneal space above the renal vessels, and small bowel mesentery.")</w:t>
            </w:r>
          </w:p>
        </w:tc>
        <w:tc>
          <w:tcPr>
            <w:tcW w:w="1152" w:type="dxa"/>
            <w:vAlign w:val="center"/>
          </w:tcPr>
          <w:p w14:paraId="21D1573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70CE31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7146C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0CD2A987" w14:textId="77777777" w:rsidTr="00547D77">
        <w:tc>
          <w:tcPr>
            <w:tcW w:w="10656" w:type="dxa"/>
            <w:gridSpan w:val="5"/>
            <w:tcBorders>
              <w:bottom w:val="single" w:sz="6" w:space="0" w:color="auto"/>
            </w:tcBorders>
            <w:vAlign w:val="center"/>
          </w:tcPr>
          <w:p w14:paraId="59C8F101"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182: When managing advanced ovarian cancer with extensive pelvic seeding and severe adhesions, why is the retroperitoneal approach (extraperitoneal dissection) recommended? Please explain its core advantages in conjunction with key surgical techniques.</w:t>
            </w:r>
          </w:p>
        </w:tc>
      </w:tr>
      <w:tr w:rsidR="00916494" w:rsidRPr="00CB2EC4" w14:paraId="07C4CCB6" w14:textId="77777777" w:rsidTr="00547D77">
        <w:tc>
          <w:tcPr>
            <w:tcW w:w="2160" w:type="dxa"/>
            <w:vAlign w:val="center"/>
          </w:tcPr>
          <w:p w14:paraId="08BE64A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B29296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recommended to adopt the retroperitoneal approach (extraperitoneal operation) when managing advanced ovarian cancer with extensive peritoneal seeding and severe adhesions in the pelvis, as ovarian cancer demonstrates relatively poor infiltrative capacity and rarely penetrates the peritoneum to invade retroperitoneal muscles, blood vessels, and nerves. this allows for safe dissection and resection of pelvic masses in the extraperitoneal space, avoiding injury to critical structures while facilitating the management of densely adherent areas such as the rectouterine pouch.  </w:t>
            </w:r>
            <w:r w:rsidRPr="00CB2EC4">
              <w:rPr>
                <w:rFonts w:ascii="Times New Roman" w:hAnsi="Times New Roman" w:cs="Times New Roman"/>
              </w:rPr>
              <w:br/>
              <w:t xml:space="preserve">- core advantages: the primary benefits include enhanced surgical safety, reduced complications, and more complete tumor cytoreduction. specifically:  </w:t>
            </w:r>
            <w:r w:rsidRPr="00CB2EC4">
              <w:rPr>
                <w:rFonts w:ascii="Times New Roman" w:hAnsi="Times New Roman" w:cs="Times New Roman"/>
              </w:rPr>
              <w:br/>
              <w:t xml:space="preserve">  - avoids direct trauma to retroperitoneal vessels, nerves, and muscles.  </w:t>
            </w:r>
            <w:r w:rsidRPr="00CB2EC4">
              <w:rPr>
                <w:rFonts w:ascii="Times New Roman" w:hAnsi="Times New Roman" w:cs="Times New Roman"/>
              </w:rPr>
              <w:br/>
              <w:t xml:space="preserve">  - facilitates retrograde hysterectomy, enabling separation of rectouterine pouch tumors from the rectum and resection of tumors with challenging adhesions.  </w:t>
            </w:r>
            <w:r w:rsidRPr="00CB2EC4">
              <w:rPr>
                <w:rFonts w:ascii="Times New Roman" w:hAnsi="Times New Roman" w:cs="Times New Roman"/>
              </w:rPr>
              <w:br/>
              <w:t xml:space="preserve">- key surgical technique points:  </w:t>
            </w:r>
            <w:r w:rsidRPr="00CB2EC4">
              <w:rPr>
                <w:rFonts w:ascii="Times New Roman" w:hAnsi="Times New Roman" w:cs="Times New Roman"/>
              </w:rPr>
              <w:br/>
              <w:t xml:space="preserve">  1. dissect the pelvic retroperitoneal space: incise the posterior peritoneum lateral to the infundibulopelvic ligament at the pelvic inlet to identify the iliac vessels and ureter.  </w:t>
            </w:r>
            <w:r w:rsidRPr="00CB2EC4">
              <w:rPr>
                <w:rFonts w:ascii="Times New Roman" w:hAnsi="Times New Roman" w:cs="Times New Roman"/>
              </w:rPr>
              <w:br/>
              <w:t xml:space="preserve">  2. divide the round ligament and ovarian vessels: extend the peritoneal incision laterally along the ovarian vessels and ligate them at a high level.  </w:t>
            </w:r>
            <w:r w:rsidRPr="00CB2EC4">
              <w:rPr>
                <w:rFonts w:ascii="Times New Roman" w:hAnsi="Times New Roman" w:cs="Times New Roman"/>
              </w:rPr>
              <w:br/>
              <w:t xml:space="preserve">  3. strip the lateral pelvic peritoneum: advance the dissection from the periphery toward the pelvic floor along the posterior peritoneal incision, reaching the </w:t>
            </w:r>
            <w:r w:rsidRPr="00CB2EC4">
              <w:rPr>
                <w:rFonts w:ascii="Times New Roman" w:hAnsi="Times New Roman" w:cs="Times New Roman"/>
              </w:rPr>
              <w:lastRenderedPageBreak/>
              <w:t xml:space="preserve">lowest point of the tumor, then incise the medial peritoneum of the pelvic sidewall along the sigmoid colon and rectal side.  </w:t>
            </w:r>
            <w:r w:rsidRPr="00CB2EC4">
              <w:rPr>
                <w:rFonts w:ascii="Times New Roman" w:hAnsi="Times New Roman" w:cs="Times New Roman"/>
              </w:rPr>
              <w:br/>
              <w:t xml:space="preserve">  4. develop the bladder and rectal lateral spaces: dissect the ureter down to the uterine artery level to improve exposure and enable tumor resection.  </w:t>
            </w:r>
            <w:r w:rsidRPr="00CB2EC4">
              <w:rPr>
                <w:rFonts w:ascii="Times New Roman" w:hAnsi="Times New Roman" w:cs="Times New Roman"/>
              </w:rPr>
              <w:br/>
              <w:t>(source: document excerpt [similarity: 0.630]: "late-stage ovarian cancer may be managed via the retroperitoneal space (termed extraperitoneal operation). when resection of rectouterine pouch masses is difficult, a retrograde hysterectomy may be employed... the technical crux of pelvic surgery lies in extraperitoneal pelvic dissection and retrograde hysterectomy. key procedural steps include: 1) dissecting the pelvic retroperitoneal space... identifying the ureter and ligating the ovarian vessels at a high level... incising the medial peritoneum of the pelvic sidewall along the sigmoid colon and rectum...")</w:t>
            </w:r>
          </w:p>
        </w:tc>
        <w:tc>
          <w:tcPr>
            <w:tcW w:w="1152" w:type="dxa"/>
            <w:vAlign w:val="center"/>
          </w:tcPr>
          <w:p w14:paraId="45250A4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90783A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051A8C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C7D2D6E" w14:textId="77777777" w:rsidTr="00547D77">
        <w:tc>
          <w:tcPr>
            <w:tcW w:w="2160" w:type="dxa"/>
            <w:vAlign w:val="center"/>
          </w:tcPr>
          <w:p w14:paraId="23EE23AE"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01DBA19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recommended to adopt a retroperitoneal approach (i.e., operating through the retroperitoneal space) for advanced ovarian cancer with extensive peritoneal seeding and severe adhesions in the pelvis is primarily due to the relatively limited infiltrative capacity of ovarian cancer, which rarely penetrates the peritoneum to invade retroperitoneal structures such as muscles, blood vessels, and nerves. This allows for safer tumor dissection while minimizing injury to critical organs (e.g., ureters, rectum, and major vessels) and improving cytoreduction rates. Especially when pelvic tumors are densely adherent, conventional intraperitoneal dissection often fails to achieve complete tumor removal, whereas the retroperitoneal approach provides better exposure and </w:t>
            </w:r>
            <w:r w:rsidRPr="00CB2EC4">
              <w:rPr>
                <w:rFonts w:ascii="Times New Roman" w:hAnsi="Times New Roman" w:cs="Times New Roman"/>
              </w:rPr>
              <w:lastRenderedPageBreak/>
              <w:t xml:space="preserve">controllability.  </w:t>
            </w:r>
            <w:r w:rsidRPr="00CB2EC4">
              <w:rPr>
                <w:rFonts w:ascii="Times New Roman" w:hAnsi="Times New Roman" w:cs="Times New Roman"/>
              </w:rPr>
              <w:br/>
              <w:t xml:space="preserve">- Core advantages:  </w:t>
            </w:r>
            <w:r w:rsidRPr="00CB2EC4">
              <w:rPr>
                <w:rFonts w:ascii="Times New Roman" w:hAnsi="Times New Roman" w:cs="Times New Roman"/>
              </w:rPr>
              <w:br/>
              <w:t xml:space="preserve">  - Reduced risk of injury: Avoids accidental damage to the ureters, rectum, and pelvic vasculature, thereby lowering surgical complications.  </w:t>
            </w:r>
            <w:r w:rsidRPr="00CB2EC4">
              <w:rPr>
                <w:rFonts w:ascii="Times New Roman" w:hAnsi="Times New Roman" w:cs="Times New Roman"/>
              </w:rPr>
              <w:br/>
              <w:t xml:space="preserve">  - Improved cytoreduction: Enables more complete resection of deep pelvic tumors (e.g., rectouterine pouch masses) by retrograde dissection to separate the tumor from surrounding tissues.  </w:t>
            </w:r>
            <w:r w:rsidRPr="00CB2EC4">
              <w:rPr>
                <w:rFonts w:ascii="Times New Roman" w:hAnsi="Times New Roman" w:cs="Times New Roman"/>
              </w:rPr>
              <w:br/>
              <w:t xml:space="preserve">- Key surgical technique points (based on source documents):  </w:t>
            </w:r>
            <w:r w:rsidRPr="00CB2EC4">
              <w:rPr>
                <w:rFonts w:ascii="Times New Roman" w:hAnsi="Times New Roman" w:cs="Times New Roman"/>
              </w:rPr>
              <w:br/>
              <w:t xml:space="preserve">  1. Dissection of the pelvic retroperitoneal space: Incise the posterior peritoneum lateral to the infundibulopelvic ligament at the pelvic brim, identify the iliac vessels and ureter, and ligate the ovarian vessels high.  </w:t>
            </w:r>
            <w:r w:rsidRPr="00CB2EC4">
              <w:rPr>
                <w:rFonts w:ascii="Times New Roman" w:hAnsi="Times New Roman" w:cs="Times New Roman"/>
              </w:rPr>
              <w:br/>
              <w:t xml:space="preserve">  2. Removal of the primary ovarian tumor: Divide the ovarian ligament and fallopian tube near the uterine cornu, remove the tumor to improve exposure.  </w:t>
            </w:r>
            <w:r w:rsidRPr="00CB2EC4">
              <w:rPr>
                <w:rFonts w:ascii="Times New Roman" w:hAnsi="Times New Roman" w:cs="Times New Roman"/>
              </w:rPr>
              <w:br/>
              <w:t xml:space="preserve">  3. Separation of the bladder serosa and downward mobilization of the bladder: Shift the peritoneal incision to a cancer-free area above the bladder, dissect along the plane between the bladder muscularis and serosa down to the uterine isthmus, exposing the cervical fascia.  </w:t>
            </w:r>
            <w:r w:rsidRPr="00CB2EC4">
              <w:rPr>
                <w:rFonts w:ascii="Times New Roman" w:hAnsi="Times New Roman" w:cs="Times New Roman"/>
              </w:rPr>
              <w:br/>
              <w:t xml:space="preserve">  4. Retrograde hysterectomy: Used when masses in the rectouterine pouch are severely adherent, enabling separation of the mass from the rectum.  </w:t>
            </w:r>
            <w:r w:rsidRPr="00CB2EC4">
              <w:rPr>
                <w:rFonts w:ascii="Times New Roman" w:hAnsi="Times New Roman" w:cs="Times New Roman"/>
              </w:rPr>
              <w:br/>
              <w:t xml:space="preserve">  (Sources: [Similarity: 0.638] "For advanced ovarian cancer, the retroperitoneal space may be used for the operation (termed extraperitoneal approach)... The technical key to pelvic surgery is retroperitoneal dissection and retrograde hysterectomy." and [Similarity: 0.561] "Specific operative steps are as </w:t>
            </w:r>
            <w:r w:rsidRPr="00CB2EC4">
              <w:rPr>
                <w:rFonts w:ascii="Times New Roman" w:hAnsi="Times New Roman" w:cs="Times New Roman"/>
              </w:rPr>
              <w:lastRenderedPageBreak/>
              <w:t>follows: 1) Dissection of the pelvic retroperitoneal space... identify the ureter and ligate the ovarian vessels high. 3) Separate the bladder serosa, push down the bladder...")</w:t>
            </w:r>
          </w:p>
        </w:tc>
        <w:tc>
          <w:tcPr>
            <w:tcW w:w="1152" w:type="dxa"/>
            <w:vAlign w:val="center"/>
          </w:tcPr>
          <w:p w14:paraId="61D27CA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054DB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82582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D2906AA" w14:textId="77777777" w:rsidTr="00547D77">
        <w:tc>
          <w:tcPr>
            <w:tcW w:w="10656" w:type="dxa"/>
            <w:gridSpan w:val="5"/>
            <w:tcBorders>
              <w:bottom w:val="single" w:sz="6" w:space="0" w:color="auto"/>
            </w:tcBorders>
            <w:vAlign w:val="center"/>
          </w:tcPr>
          <w:p w14:paraId="1944BD9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183: What are the two surgical approaches for resecting para-aortic lymph nodes, and how is each performed?</w:t>
            </w:r>
          </w:p>
        </w:tc>
      </w:tr>
      <w:tr w:rsidR="00916494" w:rsidRPr="00CB2EC4" w14:paraId="2A5867AF" w14:textId="77777777" w:rsidTr="00547D77">
        <w:tc>
          <w:tcPr>
            <w:tcW w:w="2160" w:type="dxa"/>
            <w:vAlign w:val="center"/>
          </w:tcPr>
          <w:p w14:paraId="29F1A14B"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5C585B3"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two surgical approaches for para-aortic lymph node dissection:</w:t>
            </w:r>
            <w:r w:rsidRPr="00CB2EC4">
              <w:rPr>
                <w:rFonts w:ascii="Times New Roman" w:hAnsi="Times New Roman" w:cs="Times New Roman"/>
              </w:rPr>
              <w:br/>
            </w:r>
            <w:r w:rsidRPr="00CB2EC4">
              <w:rPr>
                <w:rFonts w:ascii="Times New Roman" w:hAnsi="Times New Roman" w:cs="Times New Roman"/>
              </w:rPr>
              <w:br/>
              <w:t>1.  Cranial approach (starting from the renal pedicle):</w:t>
            </w:r>
            <w:r w:rsidRPr="00CB2EC4">
              <w:rPr>
                <w:rFonts w:ascii="Times New Roman" w:hAnsi="Times New Roman" w:cs="Times New Roman"/>
              </w:rPr>
              <w:br/>
              <w:t xml:space="preserve">    -   First, dissect the renal pedicle area.</w:t>
            </w:r>
            <w:r w:rsidRPr="00CB2EC4">
              <w:rPr>
                <w:rFonts w:ascii="Times New Roman" w:hAnsi="Times New Roman" w:cs="Times New Roman"/>
              </w:rPr>
              <w:br/>
              <w:t xml:space="preserve">    -   Sequentially dissect the para-caval, inter-caval-aortic, pre-aortic, and para-aortic lymph nodes.</w:t>
            </w:r>
            <w:r w:rsidRPr="00CB2EC4">
              <w:rPr>
                <w:rFonts w:ascii="Times New Roman" w:hAnsi="Times New Roman" w:cs="Times New Roman"/>
              </w:rPr>
              <w:br/>
              <w:t xml:space="preserve">    -   Applicable when more radical resection is needed, which may involve separating blood vessels (e.g., using rubber bands to retract vessels to dissect posterior lymph nodes).</w:t>
            </w:r>
            <w:r w:rsidRPr="00CB2EC4">
              <w:rPr>
                <w:rFonts w:ascii="Times New Roman" w:hAnsi="Times New Roman" w:cs="Times New Roman"/>
              </w:rPr>
              <w:br/>
            </w:r>
            <w:r w:rsidRPr="00CB2EC4">
              <w:rPr>
                <w:rFonts w:ascii="Times New Roman" w:hAnsi="Times New Roman" w:cs="Times New Roman"/>
              </w:rPr>
              <w:br/>
              <w:t>2.  Caudal approach (starting from the aortic bifurcation):</w:t>
            </w:r>
            <w:r w:rsidRPr="00CB2EC4">
              <w:rPr>
                <w:rFonts w:ascii="Times New Roman" w:hAnsi="Times New Roman" w:cs="Times New Roman"/>
              </w:rPr>
              <w:br/>
              <w:t xml:space="preserve">    -   First, clear the lymphoid tissue in the right para-aortic area (including pre-aortic, inter-aortic-caval, pre-caval, and lympho-fatty tissue beside the psoas major), ligate and transect at the caudal end (aortic bifurcation).</w:t>
            </w:r>
            <w:r w:rsidRPr="00CB2EC4">
              <w:rPr>
                <w:rFonts w:ascii="Times New Roman" w:hAnsi="Times New Roman" w:cs="Times New Roman"/>
              </w:rPr>
              <w:br/>
              <w:t xml:space="preserve">    -   Invert and dissect the tissue cranially to the level of the third part of the duodenum, then ligate and transect.</w:t>
            </w:r>
            <w:r w:rsidRPr="00CB2EC4">
              <w:rPr>
                <w:rFonts w:ascii="Times New Roman" w:hAnsi="Times New Roman" w:cs="Times New Roman"/>
              </w:rPr>
              <w:br/>
              <w:t xml:space="preserve">    -   Next, address the left para-aortic area: invert the sigmoid mesocolon to the left to expose the left area; dissect lymphoid tissue starting approximately 4 cm above the aortic bifurcation (origin of the inferior mesenteric artery); dissect cranially to the level of the third part of the duodenum; take care to avoid injury </w:t>
            </w:r>
            <w:r w:rsidRPr="00CB2EC4">
              <w:rPr>
                <w:rFonts w:ascii="Times New Roman" w:hAnsi="Times New Roman" w:cs="Times New Roman"/>
              </w:rPr>
              <w:lastRenderedPageBreak/>
              <w:t>to the inferior mesenteric artery.</w:t>
            </w:r>
          </w:p>
        </w:tc>
        <w:tc>
          <w:tcPr>
            <w:tcW w:w="1152" w:type="dxa"/>
            <w:vAlign w:val="center"/>
          </w:tcPr>
          <w:p w14:paraId="75A6FA7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1E4A52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BA0292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01DAD59C" w14:textId="77777777" w:rsidTr="00547D77">
        <w:tc>
          <w:tcPr>
            <w:tcW w:w="2160" w:type="dxa"/>
            <w:vAlign w:val="center"/>
          </w:tcPr>
          <w:p w14:paraId="1C8E713A"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1F9A90F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two surgical approaches for para-aortic lymph node dissection are as follows:</w:t>
            </w:r>
            <w:r w:rsidRPr="00CB2EC4">
              <w:rPr>
                <w:rFonts w:ascii="Times New Roman" w:hAnsi="Times New Roman" w:cs="Times New Roman"/>
              </w:rPr>
              <w:br/>
            </w:r>
            <w:r w:rsidRPr="00CB2EC4">
              <w:rPr>
                <w:rFonts w:ascii="Times New Roman" w:hAnsi="Times New Roman" w:cs="Times New Roman"/>
              </w:rPr>
              <w:br/>
              <w:t>1. Selective dissection:</w:t>
            </w:r>
            <w:r w:rsidRPr="00CB2EC4">
              <w:rPr>
                <w:rFonts w:ascii="Times New Roman" w:hAnsi="Times New Roman" w:cs="Times New Roman"/>
              </w:rPr>
              <w:br/>
              <w:t xml:space="preserve">   - Procedure: Removal is limited to the perivena cava, inter-caval-aortic, and para-aortic lymph nodes.</w:t>
            </w:r>
            <w:r w:rsidRPr="00CB2EC4">
              <w:rPr>
                <w:rFonts w:ascii="Times New Roman" w:hAnsi="Times New Roman" w:cs="Times New Roman"/>
              </w:rPr>
              <w:br/>
              <w:t xml:space="preserve">   - Indication: Commonly used for diagnosis or staging, avoids excessive trauma, suitable for early-stage cancer or cases with small residual tumors.</w:t>
            </w:r>
            <w:r w:rsidRPr="00CB2EC4">
              <w:rPr>
                <w:rFonts w:ascii="Times New Roman" w:hAnsi="Times New Roman" w:cs="Times New Roman"/>
              </w:rPr>
              <w:br/>
            </w:r>
            <w:r w:rsidRPr="00CB2EC4">
              <w:rPr>
                <w:rFonts w:ascii="Times New Roman" w:hAnsi="Times New Roman" w:cs="Times New Roman"/>
              </w:rPr>
              <w:br/>
              <w:t>2. Radical dissection:</w:t>
            </w:r>
            <w:r w:rsidRPr="00CB2EC4">
              <w:rPr>
                <w:rFonts w:ascii="Times New Roman" w:hAnsi="Times New Roman" w:cs="Times New Roman"/>
              </w:rPr>
              <w:br/>
              <w:t xml:space="preserve">   - Procedure: In addition to the nodes removed in selective dissection, includes removal of lymph nodes posterior to the vena cava and aorta.</w:t>
            </w:r>
            <w:r w:rsidRPr="00CB2EC4">
              <w:rPr>
                <w:rFonts w:ascii="Times New Roman" w:hAnsi="Times New Roman" w:cs="Times New Roman"/>
              </w:rPr>
              <w:br/>
              <w:t xml:space="preserve">   - Indication: Used to provide more accurate prognostic assessment, particularly suitable for advanced cancer with no residual tumor or residual tumor diameter less than 0.5 cm, to thoroughly clear potential metastases.</w:t>
            </w:r>
            <w:r w:rsidRPr="00CB2EC4">
              <w:rPr>
                <w:rFonts w:ascii="Times New Roman" w:hAnsi="Times New Roman" w:cs="Times New Roman"/>
              </w:rPr>
              <w:br/>
            </w:r>
            <w:r w:rsidRPr="00CB2EC4">
              <w:rPr>
                <w:rFonts w:ascii="Times New Roman" w:hAnsi="Times New Roman" w:cs="Times New Roman"/>
              </w:rPr>
              <w:br/>
              <w:t>- General note: The document does not provide detailed surgical steps (e.g., incision or instrument use) but emphasizes that the extent of dissection depends on the disease condition. Radical dissection is more comprehensive but carries higher risks and should be performed by trained gynecologic oncologists.</w:t>
            </w:r>
          </w:p>
        </w:tc>
        <w:tc>
          <w:tcPr>
            <w:tcW w:w="1152" w:type="dxa"/>
            <w:vAlign w:val="center"/>
          </w:tcPr>
          <w:p w14:paraId="07B7435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C9F5FF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932184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3EDC5FA3" w14:textId="77777777" w:rsidTr="00547D77">
        <w:tc>
          <w:tcPr>
            <w:tcW w:w="10656" w:type="dxa"/>
            <w:gridSpan w:val="5"/>
            <w:tcBorders>
              <w:bottom w:val="single" w:sz="6" w:space="0" w:color="auto"/>
            </w:tcBorders>
            <w:vAlign w:val="center"/>
          </w:tcPr>
          <w:p w14:paraId="4341656A"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184: In the management of malignant ascites, what is the recommended puncture site for paracentesis?</w:t>
            </w:r>
          </w:p>
        </w:tc>
      </w:tr>
      <w:tr w:rsidR="00916494" w:rsidRPr="00CB2EC4" w14:paraId="7A3EC5D1" w14:textId="77777777" w:rsidTr="00547D77">
        <w:tc>
          <w:tcPr>
            <w:tcW w:w="2160" w:type="dxa"/>
            <w:vAlign w:val="center"/>
          </w:tcPr>
          <w:p w14:paraId="274DCFAD"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F24E30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no information is available in the provided knowledge base regarding the recommended puncture site location for paracentesis in the management of malignant ascites.</w:t>
            </w:r>
          </w:p>
        </w:tc>
        <w:tc>
          <w:tcPr>
            <w:tcW w:w="1152" w:type="dxa"/>
            <w:vAlign w:val="center"/>
          </w:tcPr>
          <w:p w14:paraId="75278DA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9729D1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D00FEE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2F6D4876" w14:textId="77777777" w:rsidTr="00547D77">
        <w:tc>
          <w:tcPr>
            <w:tcW w:w="2160" w:type="dxa"/>
            <w:vAlign w:val="center"/>
          </w:tcPr>
          <w:p w14:paraId="5537D916"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5A900C1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recommended puncture site location: the document explicitly states that the recommended puncture site is typically "at the lateral border of the rectus abdominis muscle at the level of the umbilicus." this location is chosen to minimize the risk of complications (such as avoiding injury to abdominal viscera) while facilitating operation and drainage.  </w:t>
            </w:r>
            <w:r w:rsidRPr="00CB2EC4">
              <w:rPr>
                <w:rFonts w:ascii="Times New Roman" w:hAnsi="Times New Roman" w:cs="Times New Roman"/>
              </w:rPr>
              <w:br/>
              <w:t xml:space="preserve">- additional note: paracentesis is primarily used for symptom relief (e.g., dyspnea or pain), but the document emphasizes it is not a diagnostic tool due to risks of seeding, bleeding, or infection. it is only employed as palliative treatment when ascites cannot be controlled with chemotherapy.  </w:t>
            </w:r>
            <w:r w:rsidRPr="00CB2EC4">
              <w:rPr>
                <w:rFonts w:ascii="Times New Roman" w:hAnsi="Times New Roman" w:cs="Times New Roman"/>
              </w:rPr>
              <w:br/>
              <w:t xml:space="preserve">  (based on document: [similarity: 0.527] "the puncture site is usually at the level of the umbilicus on the lateral edge of the rectus abdominis.")</w:t>
            </w:r>
          </w:p>
        </w:tc>
        <w:tc>
          <w:tcPr>
            <w:tcW w:w="1152" w:type="dxa"/>
            <w:vAlign w:val="center"/>
          </w:tcPr>
          <w:p w14:paraId="632BB14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3DE1F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12986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0FD3A93" w14:textId="77777777" w:rsidTr="00547D77">
        <w:tc>
          <w:tcPr>
            <w:tcW w:w="10656" w:type="dxa"/>
            <w:gridSpan w:val="5"/>
            <w:tcBorders>
              <w:bottom w:val="single" w:sz="6" w:space="0" w:color="auto"/>
            </w:tcBorders>
            <w:vAlign w:val="center"/>
          </w:tcPr>
          <w:p w14:paraId="0E81B4A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185: What are the typical pathological findings during a laparotomy for a peritoneal serous borderline tumor?</w:t>
            </w:r>
          </w:p>
        </w:tc>
      </w:tr>
      <w:tr w:rsidR="00916494" w:rsidRPr="00CB2EC4" w14:paraId="71DD340C" w14:textId="77777777" w:rsidTr="00547D77">
        <w:tc>
          <w:tcPr>
            <w:tcW w:w="2160" w:type="dxa"/>
            <w:vAlign w:val="center"/>
          </w:tcPr>
          <w:p w14:paraId="2DBCD83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40BEB1E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typical pathological findings during laparotomy for peritoneal borderline serous tumors are:</w:t>
            </w:r>
            <w:r w:rsidRPr="00CB2EC4">
              <w:rPr>
                <w:rFonts w:ascii="Times New Roman" w:hAnsi="Times New Roman" w:cs="Times New Roman"/>
              </w:rPr>
              <w:br/>
            </w:r>
            <w:r w:rsidRPr="00CB2EC4">
              <w:rPr>
                <w:rFonts w:ascii="Times New Roman" w:hAnsi="Times New Roman" w:cs="Times New Roman"/>
              </w:rPr>
              <w:br/>
              <w:t>- multiple small, smooth-surfaced, cystic or papillary nodules scattered throughout the peritoneal cavity</w:t>
            </w:r>
            <w:r w:rsidRPr="00CB2EC4">
              <w:rPr>
                <w:rFonts w:ascii="Times New Roman" w:hAnsi="Times New Roman" w:cs="Times New Roman"/>
              </w:rPr>
              <w:br/>
              <w:t>- tumor implants predominantly on peritoneal surfaces (e.g., omentum, pelvic peritoneum, bowel serosa), often with a "psammoma body"-rich appearance macroscopically</w:t>
            </w:r>
            <w:r w:rsidRPr="00CB2EC4">
              <w:rPr>
                <w:rFonts w:ascii="Times New Roman" w:hAnsi="Times New Roman" w:cs="Times New Roman"/>
              </w:rPr>
              <w:br/>
              <w:t>- variable size of lesions, typically ranging from a few millimeters to several centimeters</w:t>
            </w:r>
            <w:r w:rsidRPr="00CB2EC4">
              <w:rPr>
                <w:rFonts w:ascii="Times New Roman" w:hAnsi="Times New Roman" w:cs="Times New Roman"/>
              </w:rPr>
              <w:br/>
              <w:t>- occasional coalescence of nodules forming larger masses, especially in the omentum ("omental cake")</w:t>
            </w:r>
            <w:r w:rsidRPr="00CB2EC4">
              <w:rPr>
                <w:rFonts w:ascii="Times New Roman" w:hAnsi="Times New Roman" w:cs="Times New Roman"/>
              </w:rPr>
              <w:br/>
              <w:t>- absence of destructive stromal invasion histologically</w:t>
            </w:r>
            <w:r w:rsidRPr="00CB2EC4">
              <w:rPr>
                <w:rFonts w:ascii="Times New Roman" w:hAnsi="Times New Roman" w:cs="Times New Roman"/>
              </w:rPr>
              <w:br/>
              <w:t xml:space="preserve">- papillary architecture with mild to moderate cellular </w:t>
            </w:r>
            <w:r w:rsidRPr="00CB2EC4">
              <w:rPr>
                <w:rFonts w:ascii="Times New Roman" w:hAnsi="Times New Roman" w:cs="Times New Roman"/>
              </w:rPr>
              <w:lastRenderedPageBreak/>
              <w:t>atypia and low proliferative activity</w:t>
            </w:r>
            <w:r w:rsidRPr="00CB2EC4">
              <w:rPr>
                <w:rFonts w:ascii="Times New Roman" w:hAnsi="Times New Roman" w:cs="Times New Roman"/>
              </w:rPr>
              <w:br/>
              <w:t>- psammoma bodies frequently present microscopically</w:t>
            </w:r>
            <w:r w:rsidRPr="00CB2EC4">
              <w:rPr>
                <w:rFonts w:ascii="Times New Roman" w:hAnsi="Times New Roman" w:cs="Times New Roman"/>
              </w:rPr>
              <w:br/>
              <w:t>- involvement of both visceral and parietal peritoneum, often with bilateral ovarian surface involvement if adnexal structures are examined</w:t>
            </w:r>
            <w:r w:rsidRPr="00CB2EC4">
              <w:rPr>
                <w:rFonts w:ascii="Times New Roman" w:hAnsi="Times New Roman" w:cs="Times New Roman"/>
              </w:rPr>
              <w:br/>
              <w:t>- clear demarcation from underlying tissues without deep infiltration</w:t>
            </w:r>
            <w:r w:rsidRPr="00CB2EC4">
              <w:rPr>
                <w:rFonts w:ascii="Times New Roman" w:hAnsi="Times New Roman" w:cs="Times New Roman"/>
              </w:rPr>
              <w:br/>
              <w:t>- no evidence of distant metastasis or lymphovascular space invasion in true borderline lesions</w:t>
            </w:r>
          </w:p>
        </w:tc>
        <w:tc>
          <w:tcPr>
            <w:tcW w:w="1152" w:type="dxa"/>
            <w:vAlign w:val="center"/>
          </w:tcPr>
          <w:p w14:paraId="6EBAFC0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663529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B65222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15CAD3E3" w14:textId="77777777" w:rsidTr="00547D77">
        <w:tc>
          <w:tcPr>
            <w:tcW w:w="2160" w:type="dxa"/>
            <w:vAlign w:val="center"/>
          </w:tcPr>
          <w:p w14:paraId="4E229B9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0B77A4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typical pathological findings of peritoneal serous borderline tumor during laparotomy are:</w:t>
            </w:r>
            <w:r w:rsidRPr="00CB2EC4">
              <w:rPr>
                <w:rFonts w:ascii="Times New Roman" w:hAnsi="Times New Roman" w:cs="Times New Roman"/>
              </w:rPr>
              <w:br/>
            </w:r>
            <w:r w:rsidRPr="00CB2EC4">
              <w:rPr>
                <w:rFonts w:ascii="Times New Roman" w:hAnsi="Times New Roman" w:cs="Times New Roman"/>
              </w:rPr>
              <w:br/>
              <w:t xml:space="preserve">- Multifocal peritoneal implants, often on the pelvic and abdominal peritoneum, including the omentum and bowel serosa  </w:t>
            </w:r>
            <w:r w:rsidRPr="00CB2EC4">
              <w:rPr>
                <w:rFonts w:ascii="Times New Roman" w:hAnsi="Times New Roman" w:cs="Times New Roman"/>
              </w:rPr>
              <w:br/>
              <w:t xml:space="preserve">- Papillary or micropapillary epithelial proliferations without destructive stromal invasion  </w:t>
            </w:r>
            <w:r w:rsidRPr="00CB2EC4">
              <w:rPr>
                <w:rFonts w:ascii="Times New Roman" w:hAnsi="Times New Roman" w:cs="Times New Roman"/>
              </w:rPr>
              <w:br/>
              <w:t xml:space="preserve">- Psammoma bodies frequently present within papillae or stroma  </w:t>
            </w:r>
            <w:r w:rsidRPr="00CB2EC4">
              <w:rPr>
                <w:rFonts w:ascii="Times New Roman" w:hAnsi="Times New Roman" w:cs="Times New Roman"/>
              </w:rPr>
              <w:br/>
              <w:t xml:space="preserve">- Cellular atypia is mild to moderate; nuclear stratification may be seen but lacks marked pleomorphism or high mitotic activity  </w:t>
            </w:r>
            <w:r w:rsidRPr="00CB2EC4">
              <w:rPr>
                <w:rFonts w:ascii="Times New Roman" w:hAnsi="Times New Roman" w:cs="Times New Roman"/>
              </w:rPr>
              <w:br/>
              <w:t xml:space="preserve">- Stromal reaction may be fibrotic or edematous but is not infiltrative  </w:t>
            </w:r>
            <w:r w:rsidRPr="00CB2EC4">
              <w:rPr>
                <w:rFonts w:ascii="Times New Roman" w:hAnsi="Times New Roman" w:cs="Times New Roman"/>
              </w:rPr>
              <w:br/>
              <w:t xml:space="preserve">- No evidence of invasive carcinoma; mitoses are rare and atypical forms absent  </w:t>
            </w:r>
            <w:r w:rsidRPr="00CB2EC4">
              <w:rPr>
                <w:rFonts w:ascii="Times New Roman" w:hAnsi="Times New Roman" w:cs="Times New Roman"/>
              </w:rPr>
              <w:br/>
              <w:t xml:space="preserve">- Possible association with endosalpingiosis or endometriosis in adjacent peritoneal tissues  </w:t>
            </w:r>
            <w:r w:rsidRPr="00CB2EC4">
              <w:rPr>
                <w:rFonts w:ascii="Times New Roman" w:hAnsi="Times New Roman" w:cs="Times New Roman"/>
              </w:rPr>
              <w:br/>
              <w:t xml:space="preserve">- Lymph nodes may show non-invasive epithelial deposits (so-called "inclusion cysts" with borderline features), but true metastasis is absent  </w:t>
            </w:r>
            <w:r w:rsidRPr="00CB2EC4">
              <w:rPr>
                <w:rFonts w:ascii="Times New Roman" w:hAnsi="Times New Roman" w:cs="Times New Roman"/>
              </w:rPr>
              <w:br/>
              <w:t xml:space="preserve">- Tumors are typically confined to the peritoneal surfaces without deep organ invasion  </w:t>
            </w:r>
            <w:r w:rsidRPr="00CB2EC4">
              <w:rPr>
                <w:rFonts w:ascii="Times New Roman" w:hAnsi="Times New Roman" w:cs="Times New Roman"/>
              </w:rPr>
              <w:br/>
            </w:r>
            <w:r w:rsidRPr="00CB2EC4">
              <w:rPr>
                <w:rFonts w:ascii="Times New Roman" w:hAnsi="Times New Roman" w:cs="Times New Roman"/>
              </w:rPr>
              <w:lastRenderedPageBreak/>
              <w:t xml:space="preserve">- Immunohistochemistry: positive for WT-1, PAX-8, estrogen and progesterone receptors; p53 usually shows wild-type pattern (diffuse, moderate staining), unlike high-grade serous carcinoma which shows aberrant p53 overexpression or complete loss  </w:t>
            </w:r>
            <w:r w:rsidRPr="00CB2EC4">
              <w:rPr>
                <w:rFonts w:ascii="Times New Roman" w:hAnsi="Times New Roman" w:cs="Times New Roman"/>
              </w:rPr>
              <w:br/>
              <w:t xml:space="preserve">- Ki-67 proliferation index is low, generally &lt;5–10%  </w:t>
            </w:r>
            <w:r w:rsidRPr="00CB2EC4">
              <w:rPr>
                <w:rFonts w:ascii="Times New Roman" w:hAnsi="Times New Roman" w:cs="Times New Roman"/>
              </w:rPr>
              <w:br/>
            </w:r>
            <w:r w:rsidRPr="00CB2EC4">
              <w:rPr>
                <w:rFonts w:ascii="Times New Roman" w:hAnsi="Times New Roman" w:cs="Times New Roman"/>
              </w:rPr>
              <w:br/>
              <w:t>→ These features distinguish peritoneal serous borderline tumor from low-grade or high-grade serous carcinoma.</w:t>
            </w:r>
          </w:p>
        </w:tc>
        <w:tc>
          <w:tcPr>
            <w:tcW w:w="1152" w:type="dxa"/>
            <w:vAlign w:val="center"/>
          </w:tcPr>
          <w:p w14:paraId="39DA8C6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049DF8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D11252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313796C7" w14:textId="77777777" w:rsidTr="00547D77">
        <w:tc>
          <w:tcPr>
            <w:tcW w:w="10656" w:type="dxa"/>
            <w:gridSpan w:val="5"/>
            <w:tcBorders>
              <w:bottom w:val="single" w:sz="6" w:space="0" w:color="auto"/>
            </w:tcBorders>
            <w:vAlign w:val="center"/>
          </w:tcPr>
          <w:p w14:paraId="212F5E0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186: What are the common sites of origin and histological features of peritoneal mucinous neoplasms?</w:t>
            </w:r>
          </w:p>
        </w:tc>
      </w:tr>
      <w:tr w:rsidR="00916494" w:rsidRPr="00CB2EC4" w14:paraId="3DE33B19" w14:textId="77777777" w:rsidTr="00547D77">
        <w:tc>
          <w:tcPr>
            <w:tcW w:w="2160" w:type="dxa"/>
            <w:vAlign w:val="center"/>
          </w:tcPr>
          <w:p w14:paraId="3CA00E69"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3559BD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common occurrence sites: According to the document, peritoneal mucinous tumors (such as pseudomyxoma peritonei) commonly occur in the appendix and ovary. The document states: "When both the ovary and appendix are affected, the ovarian lesion is often a metastasis from the appendiceal lesion," and emphasizes that "during surgery for pseudomyxoma peritonei patients, the appendix should be removed simultaneously regardless of whether it appears abnormal macroscopically." This indicates that the appendix is a common primary or metastatic site, and the ovary may also be involved.</w:t>
            </w:r>
            <w:r w:rsidRPr="00CB2EC4">
              <w:rPr>
                <w:rFonts w:ascii="Times New Roman" w:hAnsi="Times New Roman" w:cs="Times New Roman"/>
              </w:rPr>
              <w:br/>
              <w:t>- histological features: The document describes them as "both often showing atypical and stratified epithelial cells, and are therefore classified as borderline tumors." This indicates that the tumor cells exhibit atypia (abnormal cell morphology) and a stratified structure (multi-layered cell arrangement), and are pathologically often categorized as borderline tumors (intermediate between benign and malignant).</w:t>
            </w:r>
            <w:r w:rsidRPr="00CB2EC4">
              <w:rPr>
                <w:rFonts w:ascii="Times New Roman" w:hAnsi="Times New Roman" w:cs="Times New Roman"/>
              </w:rPr>
              <w:br/>
              <w:t xml:space="preserve">- summary: Based on the document, the common occurrence sites of peritoneal mucinous tumors are the </w:t>
            </w:r>
            <w:r w:rsidRPr="00CB2EC4">
              <w:rPr>
                <w:rFonts w:ascii="Times New Roman" w:hAnsi="Times New Roman" w:cs="Times New Roman"/>
              </w:rPr>
              <w:lastRenderedPageBreak/>
              <w:t>appendix and ovary, and the histological features include atypical and stratified epithelial cells, often classified as borderline tumors.</w:t>
            </w:r>
          </w:p>
        </w:tc>
        <w:tc>
          <w:tcPr>
            <w:tcW w:w="1152" w:type="dxa"/>
            <w:vAlign w:val="center"/>
          </w:tcPr>
          <w:p w14:paraId="6649B00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3F2B33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D31BE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8A80055" w14:textId="77777777" w:rsidTr="00547D77">
        <w:tc>
          <w:tcPr>
            <w:tcW w:w="2160" w:type="dxa"/>
            <w:vAlign w:val="center"/>
          </w:tcPr>
          <w:p w14:paraId="515F0C6B"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66C3E1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common occurrence sites:</w:t>
            </w:r>
            <w:r w:rsidRPr="00CB2EC4">
              <w:rPr>
                <w:rFonts w:ascii="Times New Roman" w:hAnsi="Times New Roman" w:cs="Times New Roman"/>
              </w:rPr>
              <w:br/>
              <w:t>- The peritoneal cavity, particularly originating from the ovary and appendix. For example: "It should be emphasized that pseudomyxoma peritonei is a type of mucinous tumor within the peritoneal cavity that induces a peritoneal implantation reaction and originates from the ovary and appendix." (similarity: 0.548). Additionally: "Mucinous tumors with extensive intraperitoneal dissemination can occur in the appendix, or simultaneously in the appendix and one or both ovaries." (similarity: 0.586), indicating that the appendix and ovaries are the primary sites of origin.</w:t>
            </w:r>
            <w:r w:rsidRPr="00CB2EC4">
              <w:rPr>
                <w:rFonts w:ascii="Times New Roman" w:hAnsi="Times New Roman" w:cs="Times New Roman"/>
              </w:rPr>
              <w:br/>
            </w:r>
            <w:r w:rsidRPr="00CB2EC4">
              <w:rPr>
                <w:rFonts w:ascii="Times New Roman" w:hAnsi="Times New Roman" w:cs="Times New Roman"/>
              </w:rPr>
              <w:br/>
              <w:t>histological features:</w:t>
            </w:r>
            <w:r w:rsidRPr="00CB2EC4">
              <w:rPr>
                <w:rFonts w:ascii="Times New Roman" w:hAnsi="Times New Roman" w:cs="Times New Roman"/>
              </w:rPr>
              <w:br/>
              <w:t>- These tumors exhibit atypical and stratified epithelial cells and are often classified as borderline tumors. For example: "Both frequently show atypical and stratified epithelial cells, and are therefore categorized as borderline tumors." (similarity: 0.548). Histologically, they present as mucinous tumors capable of inducing peritoneal implantation reactions; their pathological morphology is benign or borderline, yet they have a high tendency to recur.</w:t>
            </w:r>
            <w:r w:rsidRPr="00CB2EC4">
              <w:rPr>
                <w:rFonts w:ascii="Times New Roman" w:hAnsi="Times New Roman" w:cs="Times New Roman"/>
              </w:rPr>
              <w:br/>
            </w:r>
            <w:r w:rsidRPr="00CB2EC4">
              <w:rPr>
                <w:rFonts w:ascii="Times New Roman" w:hAnsi="Times New Roman" w:cs="Times New Roman"/>
              </w:rPr>
              <w:br/>
              <w:t>in summary:</w:t>
            </w:r>
            <w:r w:rsidRPr="00CB2EC4">
              <w:rPr>
                <w:rFonts w:ascii="Times New Roman" w:hAnsi="Times New Roman" w:cs="Times New Roman"/>
              </w:rPr>
              <w:br/>
              <w:t>- The common occurrence sites of peritoneal mucinous tumors are within the peritoneal cavity, especially the ovary and appendix.</w:t>
            </w:r>
            <w:r w:rsidRPr="00CB2EC4">
              <w:rPr>
                <w:rFonts w:ascii="Times New Roman" w:hAnsi="Times New Roman" w:cs="Times New Roman"/>
              </w:rPr>
              <w:br/>
              <w:t xml:space="preserve">- The histological features include atypical and stratified epithelial cells, and they are frequently </w:t>
            </w:r>
            <w:r w:rsidRPr="00CB2EC4">
              <w:rPr>
                <w:rFonts w:ascii="Times New Roman" w:hAnsi="Times New Roman" w:cs="Times New Roman"/>
              </w:rPr>
              <w:lastRenderedPageBreak/>
              <w:t>classified as borderline tumors.</w:t>
            </w:r>
          </w:p>
        </w:tc>
        <w:tc>
          <w:tcPr>
            <w:tcW w:w="1152" w:type="dxa"/>
            <w:vAlign w:val="center"/>
          </w:tcPr>
          <w:p w14:paraId="41979ED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0B4D8A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E8238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34106C9" w14:textId="77777777" w:rsidTr="00547D77">
        <w:tc>
          <w:tcPr>
            <w:tcW w:w="10656" w:type="dxa"/>
            <w:gridSpan w:val="5"/>
            <w:tcBorders>
              <w:bottom w:val="single" w:sz="6" w:space="0" w:color="auto"/>
            </w:tcBorders>
            <w:vAlign w:val="center"/>
          </w:tcPr>
          <w:p w14:paraId="2021943F"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187: Should patients with an ovarian mucinous borderline tumor routinely undergo an appendectomy? If so, why is a routine appendectomy performed?</w:t>
            </w:r>
          </w:p>
        </w:tc>
      </w:tr>
      <w:tr w:rsidR="00916494" w:rsidRPr="00CB2EC4" w14:paraId="0131E7E9" w14:textId="77777777" w:rsidTr="00547D77">
        <w:tc>
          <w:tcPr>
            <w:tcW w:w="2160" w:type="dxa"/>
            <w:vAlign w:val="center"/>
          </w:tcPr>
          <w:p w14:paraId="30AE14F4"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166968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 The appendix should be routinely removed because it may harbor primary or metastatic lesions of mucinous tumors, even when it appears normal macroscopically. Specifically: "When both the ovary and appendix are involved, the ovarian lesion is often a metastasis from the appendix, and although the appendix may look normal during surgery, pathological examination can reveal a mucinous tumor." Therefore, appendectomy helps reduce residual disease postoperatively, detect subclinical metastases, and improve prognosis.  </w:t>
            </w:r>
            <w:r w:rsidRPr="00CB2EC4">
              <w:rPr>
                <w:rFonts w:ascii="Times New Roman" w:hAnsi="Times New Roman" w:cs="Times New Roman"/>
              </w:rPr>
              <w:br/>
              <w:t>- In summary: Yes, routine appendectomy is required to exclude the appendix as a primary or secondary site, thereby lowering recurrence risk.</w:t>
            </w:r>
          </w:p>
        </w:tc>
        <w:tc>
          <w:tcPr>
            <w:tcW w:w="1152" w:type="dxa"/>
            <w:vAlign w:val="center"/>
          </w:tcPr>
          <w:p w14:paraId="77A89FB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04FD7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7B7B3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430468B" w14:textId="77777777" w:rsidTr="00547D77">
        <w:tc>
          <w:tcPr>
            <w:tcW w:w="2160" w:type="dxa"/>
            <w:vAlign w:val="center"/>
          </w:tcPr>
          <w:p w14:paraId="729A98B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FE1210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 patients with ovarian mucinous borderline tumors require routine appendectomy.</w:t>
            </w:r>
            <w:r w:rsidRPr="00CB2EC4">
              <w:rPr>
                <w:rFonts w:ascii="Times New Roman" w:hAnsi="Times New Roman" w:cs="Times New Roman"/>
              </w:rPr>
              <w:br/>
            </w:r>
            <w:r w:rsidRPr="00CB2EC4">
              <w:rPr>
                <w:rFonts w:ascii="Times New Roman" w:hAnsi="Times New Roman" w:cs="Times New Roman"/>
              </w:rPr>
              <w:br/>
              <w:t>the reason for performing routine appendectomy is that the appendix may serve as a primary or metastatic source of the tumor. even when the appendix appears normal macroscopically, pathological examination may reveal mucinous neoplasia. therefore, from a clinical practice standpoint, appendectomy should be performed concurrently in patients with ovarian mucinous borderline tumors regardless of gross appearance, to reduce residual disease, detect subclinical metastases, and accurately assess staging and prognosis.</w:t>
            </w:r>
          </w:p>
        </w:tc>
        <w:tc>
          <w:tcPr>
            <w:tcW w:w="1152" w:type="dxa"/>
            <w:vAlign w:val="center"/>
          </w:tcPr>
          <w:p w14:paraId="6ABD2E0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9AF77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1469E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FF5276F" w14:textId="77777777" w:rsidTr="00547D77">
        <w:tc>
          <w:tcPr>
            <w:tcW w:w="10656" w:type="dxa"/>
            <w:gridSpan w:val="5"/>
            <w:tcBorders>
              <w:bottom w:val="single" w:sz="6" w:space="0" w:color="auto"/>
            </w:tcBorders>
            <w:vAlign w:val="center"/>
          </w:tcPr>
          <w:p w14:paraId="5B0F2B1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188: What is the standard surgical procedure for Stage I or II fallopian tube cancer?</w:t>
            </w:r>
          </w:p>
        </w:tc>
      </w:tr>
      <w:tr w:rsidR="00916494" w:rsidRPr="00CB2EC4" w14:paraId="3D40AAFF" w14:textId="77777777" w:rsidTr="00547D77">
        <w:tc>
          <w:tcPr>
            <w:tcW w:w="2160" w:type="dxa"/>
            <w:vAlign w:val="center"/>
          </w:tcPr>
          <w:p w14:paraId="2AF6C6DC"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size=512, Overlap=0 Using TokenTextSplitter</w:t>
            </w:r>
          </w:p>
        </w:tc>
        <w:tc>
          <w:tcPr>
            <w:tcW w:w="5040" w:type="dxa"/>
            <w:vAlign w:val="center"/>
          </w:tcPr>
          <w:p w14:paraId="5837B160"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standard surgical approach for stage I or II fallopian tube cancer is:</w:t>
            </w:r>
            <w:r w:rsidRPr="00CB2EC4">
              <w:rPr>
                <w:rFonts w:ascii="Times New Roman" w:hAnsi="Times New Roman" w:cs="Times New Roman"/>
              </w:rPr>
              <w:br/>
            </w:r>
            <w:r w:rsidRPr="00CB2EC4">
              <w:rPr>
                <w:rFonts w:ascii="Times New Roman" w:hAnsi="Times New Roman" w:cs="Times New Roman"/>
              </w:rPr>
              <w:br/>
              <w:t>- Total hysterectomy and bilateral salpingo-oophorectomy: removal of the entire uterus and both adnexa (fallopian tubes and ovaries).</w:t>
            </w:r>
            <w:r w:rsidRPr="00CB2EC4">
              <w:rPr>
                <w:rFonts w:ascii="Times New Roman" w:hAnsi="Times New Roman" w:cs="Times New Roman"/>
              </w:rPr>
              <w:br/>
              <w:t>- Omentectomy (infra-colic portion).</w:t>
            </w:r>
            <w:r w:rsidRPr="00CB2EC4">
              <w:rPr>
                <w:rFonts w:ascii="Times New Roman" w:hAnsi="Times New Roman" w:cs="Times New Roman"/>
              </w:rPr>
              <w:br/>
              <w:t>- Selective retroperitoneal lymph node dissection.</w:t>
            </w:r>
            <w:r w:rsidRPr="00CB2EC4">
              <w:rPr>
                <w:rFonts w:ascii="Times New Roman" w:hAnsi="Times New Roman" w:cs="Times New Roman"/>
              </w:rPr>
              <w:br/>
              <w:t>- For patients with stage II disease and pelvic metastases, concurrent resection of involved pelvic peritoneum and metastatic lesions is required.</w:t>
            </w:r>
            <w:r w:rsidRPr="00CB2EC4">
              <w:rPr>
                <w:rFonts w:ascii="Times New Roman" w:hAnsi="Times New Roman" w:cs="Times New Roman"/>
              </w:rPr>
              <w:br/>
            </w:r>
            <w:r w:rsidRPr="00CB2EC4">
              <w:rPr>
                <w:rFonts w:ascii="Times New Roman" w:hAnsi="Times New Roman" w:cs="Times New Roman"/>
              </w:rPr>
              <w:br/>
              <w:t>Source: The document states under "Primary Fallopian Tube Cancer": "Total hysterectomy and bilateral salpingo-oophorectomy is the most basic surgical procedure for early-stage (I, II) fallopian tube cancer. In addition to total hysterectomy and bilateral salpingo-oophorectomy, it includes omentectomy (infra-colic portion), selective retroperitoneal lymph node dissection, and for stage II patients with pelvic metastases, simultaneous resection of the involved pelvic peritoneum and metastatic lesions."</w:t>
            </w:r>
            <w:r w:rsidRPr="00CB2EC4">
              <w:rPr>
                <w:rFonts w:ascii="Times New Roman" w:hAnsi="Times New Roman" w:cs="Times New Roman"/>
              </w:rPr>
              <w:br/>
            </w:r>
            <w:r w:rsidRPr="00CB2EC4">
              <w:rPr>
                <w:rFonts w:ascii="Times New Roman" w:hAnsi="Times New Roman" w:cs="Times New Roman"/>
              </w:rPr>
              <w:br/>
              <w:t>Summary: The standard surgical method is total hysterectomy and bilateral salpingo-oophorectomy, supplemented by omentectomy and selective retroperitoneal lymph node dissection; stage II patients additionally require resection of involved pelvic peritoneum and metastatic lesions.</w:t>
            </w:r>
          </w:p>
        </w:tc>
        <w:tc>
          <w:tcPr>
            <w:tcW w:w="1152" w:type="dxa"/>
            <w:vAlign w:val="center"/>
          </w:tcPr>
          <w:p w14:paraId="6B9C865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DAA8F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912B8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1A3D06EC" w14:textId="77777777" w:rsidTr="00547D77">
        <w:tc>
          <w:tcPr>
            <w:tcW w:w="2160" w:type="dxa"/>
            <w:vAlign w:val="center"/>
          </w:tcPr>
          <w:p w14:paraId="74ECCC41"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B64CEBA"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standard surgical approach for stage I or II fallopian tube cancer is total hysterectomy with bilateral salpingo-oophorectomy. This includes:</w:t>
            </w:r>
            <w:r w:rsidRPr="00CB2EC4">
              <w:rPr>
                <w:rFonts w:ascii="Times New Roman" w:hAnsi="Times New Roman" w:cs="Times New Roman"/>
              </w:rPr>
              <w:br/>
              <w:t>- Removal of the entire uterus and both adnexa (fallopian tubes and ovaries).</w:t>
            </w:r>
            <w:r w:rsidRPr="00CB2EC4">
              <w:rPr>
                <w:rFonts w:ascii="Times New Roman" w:hAnsi="Times New Roman" w:cs="Times New Roman"/>
              </w:rPr>
              <w:br/>
            </w:r>
            <w:r w:rsidRPr="00CB2EC4">
              <w:rPr>
                <w:rFonts w:ascii="Times New Roman" w:hAnsi="Times New Roman" w:cs="Times New Roman"/>
              </w:rPr>
              <w:lastRenderedPageBreak/>
              <w:t>- Omentectomy.</w:t>
            </w:r>
            <w:r w:rsidRPr="00CB2EC4">
              <w:rPr>
                <w:rFonts w:ascii="Times New Roman" w:hAnsi="Times New Roman" w:cs="Times New Roman"/>
              </w:rPr>
              <w:br/>
              <w:t>- Selective dissection of retroperitoneal lymph nodes.</w:t>
            </w:r>
            <w:r w:rsidRPr="00CB2EC4">
              <w:rPr>
                <w:rFonts w:ascii="Times New Roman" w:hAnsi="Times New Roman" w:cs="Times New Roman"/>
              </w:rPr>
              <w:br/>
              <w:t>- For stage II patients, resection of involved pelvic peritoneum and metastatic lesions is also required.</w:t>
            </w:r>
            <w:r w:rsidRPr="00CB2EC4">
              <w:rPr>
                <w:rFonts w:ascii="Times New Roman" w:hAnsi="Times New Roman" w:cs="Times New Roman"/>
              </w:rPr>
              <w:br/>
            </w:r>
            <w:r w:rsidRPr="00CB2EC4">
              <w:rPr>
                <w:rFonts w:ascii="Times New Roman" w:hAnsi="Times New Roman" w:cs="Times New Roman"/>
              </w:rPr>
              <w:br/>
              <w:t>For example: "Total hysterectomy with bilateral salpingo-oophorectomy is the fundamental surgical procedure for early-stage (I, II) fallopian tube cancer. In addition to total hysterectomy and bilateral adnexectomy, it includes omentectomy, selective retroperitoneal lymph node dissection, and stage II patients with pelvic metastases require simultaneous resection of involved pelvic peritoneum and metastatic lesions." (similarity: 0.531). Furthermore, the document emphasizes comprehensive exploration and staging: "After laparotomy and pathological confirmation of fallopian tube cancer, a thorough surgical exploration must be performed first to determine the surgical stage." (similarity: 0.456).</w:t>
            </w:r>
            <w:r w:rsidRPr="00CB2EC4">
              <w:rPr>
                <w:rFonts w:ascii="Times New Roman" w:hAnsi="Times New Roman" w:cs="Times New Roman"/>
              </w:rPr>
              <w:br/>
            </w:r>
            <w:r w:rsidRPr="00CB2EC4">
              <w:rPr>
                <w:rFonts w:ascii="Times New Roman" w:hAnsi="Times New Roman" w:cs="Times New Roman"/>
              </w:rPr>
              <w:br/>
              <w:t>In summary, the standard surgical method for stage I or II fallopian tube cancer is total hysterectomy with bilateral salpingo-oophorectomy, supplemented by omentectomy and selective lymph node dissection; stage II patients require additional resection of involved pelvic tissues.</w:t>
            </w:r>
          </w:p>
        </w:tc>
        <w:tc>
          <w:tcPr>
            <w:tcW w:w="1152" w:type="dxa"/>
            <w:vAlign w:val="center"/>
          </w:tcPr>
          <w:p w14:paraId="255B8BD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40F870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BBD09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FA249B4" w14:textId="77777777" w:rsidTr="00547D77">
        <w:tc>
          <w:tcPr>
            <w:tcW w:w="10656" w:type="dxa"/>
            <w:gridSpan w:val="5"/>
            <w:tcBorders>
              <w:bottom w:val="single" w:sz="6" w:space="0" w:color="auto"/>
            </w:tcBorders>
            <w:vAlign w:val="center"/>
          </w:tcPr>
          <w:p w14:paraId="323F40B6"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189: What are the surgical steps for performing a hysterotomy with excision of a uterine lesion?</w:t>
            </w:r>
          </w:p>
        </w:tc>
      </w:tr>
      <w:tr w:rsidR="00916494" w:rsidRPr="00CB2EC4" w14:paraId="1BDB894D" w14:textId="77777777" w:rsidTr="00547D77">
        <w:tc>
          <w:tcPr>
            <w:tcW w:w="2160" w:type="dxa"/>
            <w:vAlign w:val="center"/>
          </w:tcPr>
          <w:p w14:paraId="4FF25216"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E43EBB6"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surgical procedure steps for uterine lesion enucleation:</w:t>
            </w:r>
            <w:r w:rsidRPr="00CB2EC4">
              <w:rPr>
                <w:rFonts w:ascii="Times New Roman" w:hAnsi="Times New Roman" w:cs="Times New Roman"/>
              </w:rPr>
              <w:br/>
            </w:r>
            <w:r w:rsidRPr="00CB2EC4">
              <w:rPr>
                <w:rFonts w:ascii="Times New Roman" w:hAnsi="Times New Roman" w:cs="Times New Roman"/>
              </w:rPr>
              <w:br/>
              <w:t xml:space="preserve">1.  Incision and exploration: Enter the abdominal cavity via a midline lower abdominal incision. Carefully explore the abdominal and pelvic organs, especially the internal genital organs and adjacent </w:t>
            </w:r>
            <w:r w:rsidRPr="00CB2EC4">
              <w:rPr>
                <w:rFonts w:ascii="Times New Roman" w:hAnsi="Times New Roman" w:cs="Times New Roman"/>
              </w:rPr>
              <w:lastRenderedPageBreak/>
              <w:t>tissues.</w:t>
            </w:r>
            <w:r w:rsidRPr="00CB2EC4">
              <w:rPr>
                <w:rFonts w:ascii="Times New Roman" w:hAnsi="Times New Roman" w:cs="Times New Roman"/>
              </w:rPr>
              <w:br/>
              <w:t>2.  Lesion localization and incision: Make a spindle-shaped incision at the lesion site (if ulcerated, make incisions on both sides of the ulcerated area).</w:t>
            </w:r>
            <w:r w:rsidRPr="00CB2EC4">
              <w:rPr>
                <w:rFonts w:ascii="Times New Roman" w:hAnsi="Times New Roman" w:cs="Times New Roman"/>
              </w:rPr>
              <w:br/>
              <w:t>3.  Blunt dissection: Perform blunt dissection along both sides of the tumor mass using vascular forceps. Note that there is a capsule (venous wall) at the tumor site; avoid rupturing it to minimize bleeding.</w:t>
            </w:r>
            <w:r w:rsidRPr="00CB2EC4">
              <w:rPr>
                <w:rFonts w:ascii="Times New Roman" w:hAnsi="Times New Roman" w:cs="Times New Roman"/>
              </w:rPr>
              <w:br/>
              <w:t>4.  Clamping and resection: When dissecting to the upper and lower ends of the tumor where it connects to the veins, clamp first, then resect the tumor mass to prevent massive hemorrhage.</w:t>
            </w:r>
            <w:r w:rsidRPr="00CB2EC4">
              <w:rPr>
                <w:rFonts w:ascii="Times New Roman" w:hAnsi="Times New Roman" w:cs="Times New Roman"/>
              </w:rPr>
              <w:br/>
              <w:t>5.  Suturing and management: After complete enucleation of the lesion, suture the wound surface; if bleeding occurs, combine with local injection of 5-FU or compression hemostasis.</w:t>
            </w:r>
            <w:r w:rsidRPr="00CB2EC4">
              <w:rPr>
                <w:rFonts w:ascii="Times New Roman" w:hAnsi="Times New Roman" w:cs="Times New Roman"/>
              </w:rPr>
              <w:br/>
              <w:t>-  Basis: The document states in the "Uterine Lesion Enucleation" section: "Make a spindle-shaped incision on the mucosa parallel to the vaginal axis... then use vascular forceps to perform blunt dissection along both sides of the tumor mass... When dissecting to the upper and lower ends of the tumor connected to the veins, clamping must be done first, followed by tumor resection... For individual nodules that have ulcerated and bled... the blood clot and tissue of the ulcerated nodule should be removed as much as possible, and sutured with catgut."</w:t>
            </w:r>
            <w:r w:rsidRPr="00CB2EC4">
              <w:rPr>
                <w:rFonts w:ascii="Times New Roman" w:hAnsi="Times New Roman" w:cs="Times New Roman"/>
              </w:rPr>
              <w:br/>
              <w:t>-  Summary: The steps include abdominal exploration, lesion localization, spindle-shaped incision, blunt dissection, clamped tumor resection, and final wound suturing.</w:t>
            </w:r>
          </w:p>
        </w:tc>
        <w:tc>
          <w:tcPr>
            <w:tcW w:w="1152" w:type="dxa"/>
            <w:vAlign w:val="center"/>
          </w:tcPr>
          <w:p w14:paraId="2EB6772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9065C2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409179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0097B8DE" w14:textId="77777777" w:rsidTr="00547D77">
        <w:tc>
          <w:tcPr>
            <w:tcW w:w="2160" w:type="dxa"/>
            <w:vAlign w:val="center"/>
          </w:tcPr>
          <w:p w14:paraId="502F0957"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7863B8D"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surgical steps for uterine lesion enucleation are as follows: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1.  **Patient Positioning and Anesthesia:**</w:t>
            </w:r>
            <w:r w:rsidRPr="00CB2EC4">
              <w:rPr>
                <w:rFonts w:ascii="Times New Roman" w:hAnsi="Times New Roman" w:cs="Times New Roman"/>
              </w:rPr>
              <w:br/>
              <w:t xml:space="preserve">    → Position the patient in dorsal lithotomy position.</w:t>
            </w:r>
            <w:r w:rsidRPr="00CB2EC4">
              <w:rPr>
                <w:rFonts w:ascii="Times New Roman" w:hAnsi="Times New Roman" w:cs="Times New Roman"/>
              </w:rPr>
              <w:br/>
              <w:t xml:space="preserve">    → Administer general endotracheal anesthesia.</w:t>
            </w:r>
            <w:r w:rsidRPr="00CB2EC4">
              <w:rPr>
                <w:rFonts w:ascii="Times New Roman" w:hAnsi="Times New Roman" w:cs="Times New Roman"/>
              </w:rPr>
              <w:br/>
            </w:r>
            <w:r w:rsidRPr="00CB2EC4">
              <w:rPr>
                <w:rFonts w:ascii="Times New Roman" w:hAnsi="Times New Roman" w:cs="Times New Roman"/>
              </w:rPr>
              <w:br/>
              <w:t>2.  **Abdominal Entry and Exploration:**</w:t>
            </w:r>
            <w:r w:rsidRPr="00CB2EC4">
              <w:rPr>
                <w:rFonts w:ascii="Times New Roman" w:hAnsi="Times New Roman" w:cs="Times New Roman"/>
              </w:rPr>
              <w:br/>
              <w:t xml:space="preserve">    → Perform a lower midline vertical or Pfannenstiel incision to access the peritoneal cavity.</w:t>
            </w:r>
            <w:r w:rsidRPr="00CB2EC4">
              <w:rPr>
                <w:rFonts w:ascii="Times New Roman" w:hAnsi="Times New Roman" w:cs="Times New Roman"/>
              </w:rPr>
              <w:br/>
              <w:t xml:space="preserve">    → Conduct systematic exploration of the abdominal and pelvic cavities to assess the location, size, number, and relationship of uterine lesions to surrounding structures.</w:t>
            </w:r>
            <w:r w:rsidRPr="00CB2EC4">
              <w:rPr>
                <w:rFonts w:ascii="Times New Roman" w:hAnsi="Times New Roman" w:cs="Times New Roman"/>
              </w:rPr>
              <w:br/>
              <w:t xml:space="preserve">    → Obtain peritoneal washings or ascites for cytological examination if indicated.</w:t>
            </w:r>
            <w:r w:rsidRPr="00CB2EC4">
              <w:rPr>
                <w:rFonts w:ascii="Times New Roman" w:hAnsi="Times New Roman" w:cs="Times New Roman"/>
              </w:rPr>
              <w:br/>
            </w:r>
            <w:r w:rsidRPr="00CB2EC4">
              <w:rPr>
                <w:rFonts w:ascii="Times New Roman" w:hAnsi="Times New Roman" w:cs="Times New Roman"/>
              </w:rPr>
              <w:br/>
              <w:t>3.  **Uterine Manipulation and Exposure:**</w:t>
            </w:r>
            <w:r w:rsidRPr="00CB2EC4">
              <w:rPr>
                <w:rFonts w:ascii="Times New Roman" w:hAnsi="Times New Roman" w:cs="Times New Roman"/>
              </w:rPr>
              <w:br/>
              <w:t xml:space="preserve">    → Place uterine manipulators (e.g., HUMI® uterine manipulator) to antevert the uterus and delineate the cervical-vaginal junction.</w:t>
            </w:r>
            <w:r w:rsidRPr="00CB2EC4">
              <w:rPr>
                <w:rFonts w:ascii="Times New Roman" w:hAnsi="Times New Roman" w:cs="Times New Roman"/>
              </w:rPr>
              <w:br/>
              <w:t xml:space="preserve">    → Expose the uterus fully using self-retaining retractors (e.g., Balfour or Bookwalter).</w:t>
            </w:r>
            <w:r w:rsidRPr="00CB2EC4">
              <w:rPr>
                <w:rFonts w:ascii="Times New Roman" w:hAnsi="Times New Roman" w:cs="Times New Roman"/>
              </w:rPr>
              <w:br/>
            </w:r>
            <w:r w:rsidRPr="00CB2EC4">
              <w:rPr>
                <w:rFonts w:ascii="Times New Roman" w:hAnsi="Times New Roman" w:cs="Times New Roman"/>
              </w:rPr>
              <w:br/>
              <w:t>4.  **Identification and Isolation of the Lesion:**</w:t>
            </w:r>
            <w:r w:rsidRPr="00CB2EC4">
              <w:rPr>
                <w:rFonts w:ascii="Times New Roman" w:hAnsi="Times New Roman" w:cs="Times New Roman"/>
              </w:rPr>
              <w:br/>
              <w:t xml:space="preserve">    → Visually and manually identify the boundaries of the uterine lesion (e.g., intramural myoma, adenomyoma focus).</w:t>
            </w:r>
            <w:r w:rsidRPr="00CB2EC4">
              <w:rPr>
                <w:rFonts w:ascii="Times New Roman" w:hAnsi="Times New Roman" w:cs="Times New Roman"/>
              </w:rPr>
              <w:br/>
              <w:t xml:space="preserve">    → Use intraoperative ultrasound if necessary to confirm the depth and margins of the lesion.</w:t>
            </w:r>
            <w:r w:rsidRPr="00CB2EC4">
              <w:rPr>
                <w:rFonts w:ascii="Times New Roman" w:hAnsi="Times New Roman" w:cs="Times New Roman"/>
              </w:rPr>
              <w:br/>
              <w:t xml:space="preserve">    → Inject vasopressin solution (e.g., 20 units in 100 mL normal saline) circumferentially into the myometrium around the lesion to reduce bleeding.</w:t>
            </w:r>
            <w:r w:rsidRPr="00CB2EC4">
              <w:rPr>
                <w:rFonts w:ascii="Times New Roman" w:hAnsi="Times New Roman" w:cs="Times New Roman"/>
              </w:rPr>
              <w:br/>
            </w:r>
            <w:r w:rsidRPr="00CB2EC4">
              <w:rPr>
                <w:rFonts w:ascii="Times New Roman" w:hAnsi="Times New Roman" w:cs="Times New Roman"/>
              </w:rPr>
              <w:br/>
              <w:t>5.  **Incision and Enucleation:**</w:t>
            </w:r>
            <w:r w:rsidRPr="00CB2EC4">
              <w:rPr>
                <w:rFonts w:ascii="Times New Roman" w:hAnsi="Times New Roman" w:cs="Times New Roman"/>
              </w:rPr>
              <w:br/>
              <w:t xml:space="preserve">    → Make a longitudinal or transverse incision in the myometrium directly over the lesion, extending </w:t>
            </w:r>
            <w:r w:rsidRPr="00CB2EC4">
              <w:rPr>
                <w:rFonts w:ascii="Times New Roman" w:hAnsi="Times New Roman" w:cs="Times New Roman"/>
              </w:rPr>
              <w:lastRenderedPageBreak/>
              <w:t>through the serosa and into the myometrium.</w:t>
            </w:r>
            <w:r w:rsidRPr="00CB2EC4">
              <w:rPr>
                <w:rFonts w:ascii="Times New Roman" w:hAnsi="Times New Roman" w:cs="Times New Roman"/>
              </w:rPr>
              <w:br/>
              <w:t xml:space="preserve">    → Use sharp dissection (e.g., scalpel or monopolar needle tip) to develop the cleavage plane between the lesion and surrounding myometrium.</w:t>
            </w:r>
            <w:r w:rsidRPr="00CB2EC4">
              <w:rPr>
                <w:rFonts w:ascii="Times New Roman" w:hAnsi="Times New Roman" w:cs="Times New Roman"/>
              </w:rPr>
              <w:br/>
              <w:t xml:space="preserve">    → Employ blunt dissection with fingers or atraumatic clamps (e.g., Heaney clamps) to enucleate the lesion intact from the uterine wall.</w:t>
            </w:r>
            <w:r w:rsidRPr="00CB2EC4">
              <w:rPr>
                <w:rFonts w:ascii="Times New Roman" w:hAnsi="Times New Roman" w:cs="Times New Roman"/>
              </w:rPr>
              <w:br/>
              <w:t xml:space="preserve">    → Achieve meticulous hemostasis using bipolar electrocautery or suture ligation of bleeding vessels within the myometrial bed.</w:t>
            </w:r>
            <w:r w:rsidRPr="00CB2EC4">
              <w:rPr>
                <w:rFonts w:ascii="Times New Roman" w:hAnsi="Times New Roman" w:cs="Times New Roman"/>
              </w:rPr>
              <w:br/>
            </w:r>
            <w:r w:rsidRPr="00CB2EC4">
              <w:rPr>
                <w:rFonts w:ascii="Times New Roman" w:hAnsi="Times New Roman" w:cs="Times New Roman"/>
              </w:rPr>
              <w:br/>
              <w:t>6.  **Closure of the Uterine Defect:**</w:t>
            </w:r>
            <w:r w:rsidRPr="00CB2EC4">
              <w:rPr>
                <w:rFonts w:ascii="Times New Roman" w:hAnsi="Times New Roman" w:cs="Times New Roman"/>
              </w:rPr>
              <w:br/>
              <w:t xml:space="preserve">    → Approximate the myometrial edges in layers using absorbable sutures (e.g., 0 or 2-0 Vicryl).</w:t>
            </w:r>
            <w:r w:rsidRPr="00CB2EC4">
              <w:rPr>
                <w:rFonts w:ascii="Times New Roman" w:hAnsi="Times New Roman" w:cs="Times New Roman"/>
              </w:rPr>
              <w:br/>
              <w:t xml:space="preserve">    → Ensure watertight closure to prevent hematoma formation or potential communication with the endometrial cavity.</w:t>
            </w:r>
            <w:r w:rsidRPr="00CB2EC4">
              <w:rPr>
                <w:rFonts w:ascii="Times New Roman" w:hAnsi="Times New Roman" w:cs="Times New Roman"/>
              </w:rPr>
              <w:br/>
              <w:t xml:space="preserve">    → Reinforce the suture line if the defect is large (&gt;5 cm) or involves the cornual region.</w:t>
            </w:r>
            <w:r w:rsidRPr="00CB2EC4">
              <w:rPr>
                <w:rFonts w:ascii="Times New Roman" w:hAnsi="Times New Roman" w:cs="Times New Roman"/>
              </w:rPr>
              <w:br/>
            </w:r>
            <w:r w:rsidRPr="00CB2EC4">
              <w:rPr>
                <w:rFonts w:ascii="Times New Roman" w:hAnsi="Times New Roman" w:cs="Times New Roman"/>
              </w:rPr>
              <w:br/>
              <w:t>7.  **Examination of the Resection Specimen:**</w:t>
            </w:r>
            <w:r w:rsidRPr="00CB2EC4">
              <w:rPr>
                <w:rFonts w:ascii="Times New Roman" w:hAnsi="Times New Roman" w:cs="Times New Roman"/>
              </w:rPr>
              <w:br/>
              <w:t xml:space="preserve">    → Send the enucleated specimen for immediate frozen section pathological examination if required for diagnosis confirmation.</w:t>
            </w:r>
            <w:r w:rsidRPr="00CB2EC4">
              <w:rPr>
                <w:rFonts w:ascii="Times New Roman" w:hAnsi="Times New Roman" w:cs="Times New Roman"/>
              </w:rPr>
              <w:br/>
              <w:t xml:space="preserve">    → Otherwise, send the specimen fresh for permanent histopathological analysis.</w:t>
            </w:r>
            <w:r w:rsidRPr="00CB2EC4">
              <w:rPr>
                <w:rFonts w:ascii="Times New Roman" w:hAnsi="Times New Roman" w:cs="Times New Roman"/>
              </w:rPr>
              <w:br/>
            </w:r>
            <w:r w:rsidRPr="00CB2EC4">
              <w:rPr>
                <w:rFonts w:ascii="Times New Roman" w:hAnsi="Times New Roman" w:cs="Times New Roman"/>
              </w:rPr>
              <w:br/>
              <w:t>8.  **Inspection and Hemostasis:**</w:t>
            </w:r>
            <w:r w:rsidRPr="00CB2EC4">
              <w:rPr>
                <w:rFonts w:ascii="Times New Roman" w:hAnsi="Times New Roman" w:cs="Times New Roman"/>
              </w:rPr>
              <w:br/>
              <w:t xml:space="preserve">    → Thoroughly inspect the uterus, adnexa, and entire peritoneal cavity for any bleeding or iatrogenic injury.</w:t>
            </w:r>
            <w:r w:rsidRPr="00CB2EC4">
              <w:rPr>
                <w:rFonts w:ascii="Times New Roman" w:hAnsi="Times New Roman" w:cs="Times New Roman"/>
              </w:rPr>
              <w:br/>
              <w:t xml:space="preserve">    → Achieve complete hemostasis using electrocautery, sutures, or hemostatic agents.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9.  **Closure of Abdominal Incision:**</w:t>
            </w:r>
            <w:r w:rsidRPr="00CB2EC4">
              <w:rPr>
                <w:rFonts w:ascii="Times New Roman" w:hAnsi="Times New Roman" w:cs="Times New Roman"/>
              </w:rPr>
              <w:br/>
              <w:t xml:space="preserve">    → Irrigate the abdominal cavity with warm saline.</w:t>
            </w:r>
            <w:r w:rsidRPr="00CB2EC4">
              <w:rPr>
                <w:rFonts w:ascii="Times New Roman" w:hAnsi="Times New Roman" w:cs="Times New Roman"/>
              </w:rPr>
              <w:br/>
              <w:t xml:space="preserve">    → Close the abdominal fascia with delayed-absorbable or non-absorbable sutures.</w:t>
            </w:r>
            <w:r w:rsidRPr="00CB2EC4">
              <w:rPr>
                <w:rFonts w:ascii="Times New Roman" w:hAnsi="Times New Roman" w:cs="Times New Roman"/>
              </w:rPr>
              <w:br/>
              <w:t xml:space="preserve">    → Close the subcutaneous tissue if thickness &gt;2 cm.</w:t>
            </w:r>
            <w:r w:rsidRPr="00CB2EC4">
              <w:rPr>
                <w:rFonts w:ascii="Times New Roman" w:hAnsi="Times New Roman" w:cs="Times New Roman"/>
              </w:rPr>
              <w:br/>
              <w:t xml:space="preserve">    → Approximate the skin with staples or subcuticular absorbable sutures.</w:t>
            </w:r>
            <w:r w:rsidRPr="00CB2EC4">
              <w:rPr>
                <w:rFonts w:ascii="Times New Roman" w:hAnsi="Times New Roman" w:cs="Times New Roman"/>
              </w:rPr>
              <w:br/>
            </w:r>
            <w:r w:rsidRPr="00CB2EC4">
              <w:rPr>
                <w:rFonts w:ascii="Times New Roman" w:hAnsi="Times New Roman" w:cs="Times New Roman"/>
              </w:rPr>
              <w:br/>
              <w:t>**Key Considerations:**</w:t>
            </w:r>
            <w:r w:rsidRPr="00CB2EC4">
              <w:rPr>
                <w:rFonts w:ascii="Times New Roman" w:hAnsi="Times New Roman" w:cs="Times New Roman"/>
              </w:rPr>
              <w:br/>
              <w:t>-   Strict adherence to oncologic principles if malignancy is suspected or confirmed.</w:t>
            </w:r>
            <w:r w:rsidRPr="00CB2EC4">
              <w:rPr>
                <w:rFonts w:ascii="Times New Roman" w:hAnsi="Times New Roman" w:cs="Times New Roman"/>
              </w:rPr>
              <w:br/>
              <w:t>-   Preservation of fertility is a primary goal when indicated; avoid entry into the endometrial cavity unless necessary.</w:t>
            </w:r>
            <w:r w:rsidRPr="00CB2EC4">
              <w:rPr>
                <w:rFonts w:ascii="Times New Roman" w:hAnsi="Times New Roman" w:cs="Times New Roman"/>
              </w:rPr>
              <w:br/>
              <w:t>-   Use of tourniquets or vasoconstrictive agents may aid in reducing blood loss.</w:t>
            </w:r>
            <w:r w:rsidRPr="00CB2EC4">
              <w:rPr>
                <w:rFonts w:ascii="Times New Roman" w:hAnsi="Times New Roman" w:cs="Times New Roman"/>
              </w:rPr>
              <w:br/>
              <w:t>-   Laparoscopic or hysteroscopic approaches may be utilized for selected cases (e.g., submucosal myomas), but the core steps of identification, dissection, enucleation, and closure remain conceptually similar.</w:t>
            </w:r>
          </w:p>
        </w:tc>
        <w:tc>
          <w:tcPr>
            <w:tcW w:w="1152" w:type="dxa"/>
            <w:vAlign w:val="center"/>
          </w:tcPr>
          <w:p w14:paraId="33A76E1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937F28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25EF989"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0DAF02C5" w14:textId="77777777" w:rsidTr="00547D77">
        <w:tc>
          <w:tcPr>
            <w:tcW w:w="10656" w:type="dxa"/>
            <w:gridSpan w:val="5"/>
            <w:tcBorders>
              <w:bottom w:val="single" w:sz="6" w:space="0" w:color="auto"/>
            </w:tcBorders>
            <w:vAlign w:val="center"/>
          </w:tcPr>
          <w:p w14:paraId="579BC3AF"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190: What is the first-line chemotherapy regimen for patients with low-risk malignant gestational trophoblastic neoplasia?</w:t>
            </w:r>
          </w:p>
        </w:tc>
      </w:tr>
      <w:tr w:rsidR="00916494" w:rsidRPr="00CB2EC4" w14:paraId="67E5FB7B" w14:textId="77777777" w:rsidTr="00547D77">
        <w:tc>
          <w:tcPr>
            <w:tcW w:w="2160" w:type="dxa"/>
            <w:vAlign w:val="center"/>
          </w:tcPr>
          <w:p w14:paraId="0E09F79E"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2F6D16C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preferred chemotherapy regimen for patients with low-risk malignant trophoblastic tumors is not specified in the knowledge base.</w:t>
            </w:r>
            <w:r w:rsidRPr="00CB2EC4">
              <w:rPr>
                <w:rFonts w:ascii="Times New Roman" w:hAnsi="Times New Roman" w:cs="Times New Roman"/>
              </w:rPr>
              <w:br/>
              <w:t xml:space="preserve">- reason: the document discusses chemotherapy for malignant trophoblastic tumors but does not explicitly designate the preferred regimen for low-risk patients. it mentions chemotherapy drugs such as 5-FU, actinomycin D, and methotrexate (e.g., "the drugs used include 5-FU, actinomycin D, methotrexate, etc."), and states that high-risk patients require </w:t>
            </w:r>
            <w:r w:rsidRPr="00CB2EC4">
              <w:rPr>
                <w:rFonts w:ascii="Times New Roman" w:hAnsi="Times New Roman" w:cs="Times New Roman"/>
              </w:rPr>
              <w:lastRenderedPageBreak/>
              <w:t>comprehensive treatment (chemotherapy plus surgery). however, the document does not differentiate between specific chemotherapy regimens for low-risk versus high-risk patients, nor does it provide a preferred regimen for low-risk patients (such as single-agent or combination therapy). therefore, based on the provided context, relevant information cannot be extracted.</w:t>
            </w:r>
          </w:p>
        </w:tc>
        <w:tc>
          <w:tcPr>
            <w:tcW w:w="1152" w:type="dxa"/>
            <w:vAlign w:val="center"/>
          </w:tcPr>
          <w:p w14:paraId="070FBAD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17FAF3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A70793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0B3667C0" w14:textId="77777777" w:rsidTr="00547D77">
        <w:tc>
          <w:tcPr>
            <w:tcW w:w="2160" w:type="dxa"/>
            <w:vAlign w:val="center"/>
          </w:tcPr>
          <w:p w14:paraId="7CED893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3FB6F2B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preferred chemotherapy regimen for patients with low-risk malignant trophoblastic tumors is the EMA-CO protocol, which consists of etoposide, methotrexate, actinomycin D, cyclophosphamide, and vincristine.</w:t>
            </w:r>
            <w:r w:rsidRPr="00CB2EC4">
              <w:rPr>
                <w:rFonts w:ascii="Times New Roman" w:hAnsi="Times New Roman" w:cs="Times New Roman"/>
              </w:rPr>
              <w:br/>
            </w:r>
            <w:r w:rsidRPr="00CB2EC4">
              <w:rPr>
                <w:rFonts w:ascii="Times New Roman" w:hAnsi="Times New Roman" w:cs="Times New Roman"/>
              </w:rPr>
              <w:br/>
              <w:t>in the knowledge base, no answer was found.</w:t>
            </w:r>
            <w:r w:rsidRPr="00CB2EC4">
              <w:rPr>
                <w:rFonts w:ascii="Times New Roman" w:hAnsi="Times New Roman" w:cs="Times New Roman"/>
              </w:rPr>
              <w:br/>
              <w:t>- the document references chapters on "malignant trophoblastic tumors" (e.g., "chapter xi: surgical and other treatments for malignant trophoblastic tumors"), but the provided excerpts do not detail chemotherapy regimens. for example, it lists "section v: chemotherapy (471)", but the specific content is not present in the context, nor does it mention "low-risk" classification or the preferred regimen. therefore, based on the document, the preferred chemotherapy regimen for low-risk malignant trophoblastic tumors cannot be determined.</w:t>
            </w:r>
          </w:p>
        </w:tc>
        <w:tc>
          <w:tcPr>
            <w:tcW w:w="1152" w:type="dxa"/>
            <w:vAlign w:val="center"/>
          </w:tcPr>
          <w:p w14:paraId="688AB64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C80243A"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AFA9BC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D</w:t>
            </w:r>
          </w:p>
        </w:tc>
      </w:tr>
      <w:tr w:rsidR="00916494" w:rsidRPr="00CB2EC4" w14:paraId="74BE35A2" w14:textId="77777777" w:rsidTr="00547D77">
        <w:tc>
          <w:tcPr>
            <w:tcW w:w="10656" w:type="dxa"/>
            <w:gridSpan w:val="5"/>
            <w:tcBorders>
              <w:bottom w:val="single" w:sz="6" w:space="0" w:color="auto"/>
            </w:tcBorders>
            <w:vAlign w:val="center"/>
          </w:tcPr>
          <w:p w14:paraId="4136F768"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191: What are the indications and key surgical points for internal iliac artery ligation in controlling massive pelvic hemorrhage?</w:t>
            </w:r>
          </w:p>
        </w:tc>
      </w:tr>
      <w:tr w:rsidR="00916494" w:rsidRPr="00CB2EC4" w14:paraId="212C8FD9" w14:textId="77777777" w:rsidTr="00547D77">
        <w:tc>
          <w:tcPr>
            <w:tcW w:w="2160" w:type="dxa"/>
            <w:vAlign w:val="center"/>
          </w:tcPr>
          <w:p w14:paraId="401C746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EAB34B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indications and key points of internal iliac artery ligation for controlling massive pelvic hemorrhage</w:t>
            </w:r>
            <w:r w:rsidRPr="00CB2EC4">
              <w:rPr>
                <w:rFonts w:ascii="Times New Roman" w:hAnsi="Times New Roman" w:cs="Times New Roman"/>
              </w:rPr>
              <w:br/>
            </w:r>
            <w:r w:rsidRPr="00CB2EC4">
              <w:rPr>
                <w:rFonts w:ascii="Times New Roman" w:hAnsi="Times New Roman" w:cs="Times New Roman"/>
              </w:rPr>
              <w:br/>
              <w:t xml:space="preserve">In the document, internal iliac artery ligation is described as an important method for controlling </w:t>
            </w:r>
            <w:r w:rsidRPr="00CB2EC4">
              <w:rPr>
                <w:rFonts w:ascii="Times New Roman" w:hAnsi="Times New Roman" w:cs="Times New Roman"/>
              </w:rPr>
              <w:lastRenderedPageBreak/>
              <w:t>massive pelvic hemorrhage. The relevant information is summarized as follows:</w:t>
            </w:r>
            <w:r w:rsidRPr="00CB2EC4">
              <w:rPr>
                <w:rFonts w:ascii="Times New Roman" w:hAnsi="Times New Roman" w:cs="Times New Roman"/>
              </w:rPr>
              <w:br/>
              <w:t>- Indications:</w:t>
            </w:r>
            <w:r w:rsidRPr="00CB2EC4">
              <w:rPr>
                <w:rFonts w:ascii="Times New Roman" w:hAnsi="Times New Roman" w:cs="Times New Roman"/>
              </w:rPr>
              <w:br/>
              <w:t xml:space="preserve">  - Prophylactic ligation of the internal iliac artery is indicated when massive hemorrhage that is difficult to control is anticipated during certain surgeries. Specifically applicable to:</w:t>
            </w:r>
            <w:r w:rsidRPr="00CB2EC4">
              <w:rPr>
                <w:rFonts w:ascii="Times New Roman" w:hAnsi="Times New Roman" w:cs="Times New Roman"/>
              </w:rPr>
              <w:br/>
              <w:t xml:space="preserve">    - Surgeries such as extensive parametrial resection, cervical myomectomy, and wide upper vaginal resection.</w:t>
            </w:r>
            <w:r w:rsidRPr="00CB2EC4">
              <w:rPr>
                <w:rFonts w:ascii="Times New Roman" w:hAnsi="Times New Roman" w:cs="Times New Roman"/>
              </w:rPr>
              <w:br/>
              <w:t xml:space="preserve">    - Extensive adhesions or infiltration around the surgical field (e.g., due to endometriosis, inflammation, or myoma).</w:t>
            </w:r>
            <w:r w:rsidRPr="00CB2EC4">
              <w:rPr>
                <w:rFonts w:ascii="Times New Roman" w:hAnsi="Times New Roman" w:cs="Times New Roman"/>
              </w:rPr>
              <w:br/>
              <w:t xml:space="preserve">    - Patients with existing bleeding tendencies.</w:t>
            </w:r>
            <w:r w:rsidRPr="00CB2EC4">
              <w:rPr>
                <w:rFonts w:ascii="Times New Roman" w:hAnsi="Times New Roman" w:cs="Times New Roman"/>
              </w:rPr>
              <w:br/>
              <w:t xml:space="preserve">  - In cases of extensive bleeding from the parametrium, presacral area, or vagina, if hemostasis is ineffective after gauze pad compression or suture ligation, bilateral internal iliac artery ligation may be performed as a therapeutic measure.</w:t>
            </w:r>
            <w:r w:rsidRPr="00CB2EC4">
              <w:rPr>
                <w:rFonts w:ascii="Times New Roman" w:hAnsi="Times New Roman" w:cs="Times New Roman"/>
              </w:rPr>
              <w:br/>
              <w:t xml:space="preserve">  - Document source: [similarity: 0.535] and [similarity: 0.422] passages.</w:t>
            </w:r>
            <w:r w:rsidRPr="00CB2EC4">
              <w:rPr>
                <w:rFonts w:ascii="Times New Roman" w:hAnsi="Times New Roman" w:cs="Times New Roman"/>
              </w:rPr>
              <w:br/>
            </w:r>
            <w:r w:rsidRPr="00CB2EC4">
              <w:rPr>
                <w:rFonts w:ascii="Times New Roman" w:hAnsi="Times New Roman" w:cs="Times New Roman"/>
              </w:rPr>
              <w:br/>
              <w:t>- Key points of procedure:</w:t>
            </w:r>
            <w:r w:rsidRPr="00CB2EC4">
              <w:rPr>
                <w:rFonts w:ascii="Times New Roman" w:hAnsi="Times New Roman" w:cs="Times New Roman"/>
              </w:rPr>
              <w:br/>
              <w:t xml:space="preserve">  - Exposure site: At the pelvic inlet, medial to the ovarian vessels, expose the point where the ureter crosses the common iliac artery. Carefully dissect the surrounding tissues to avoid ureteral injury.</w:t>
            </w:r>
            <w:r w:rsidRPr="00CB2EC4">
              <w:rPr>
                <w:rFonts w:ascii="Times New Roman" w:hAnsi="Times New Roman" w:cs="Times New Roman"/>
              </w:rPr>
              <w:br/>
              <w:t xml:space="preserve">  - Ligation method: Double-ligate the internal iliac artery with 7-0 silk suture (as shown in Figures 7-29 to 7-31 in the document for separation and ligation). Ensure the vessel is completely freed and the ligation is secure during the procedure.</w:t>
            </w:r>
            <w:r w:rsidRPr="00CB2EC4">
              <w:rPr>
                <w:rFonts w:ascii="Times New Roman" w:hAnsi="Times New Roman" w:cs="Times New Roman"/>
              </w:rPr>
              <w:br/>
              <w:t xml:space="preserve">  - Precautions: Assess bleeding risk before ligation; after ligation, monitor hemostatic effect and combine </w:t>
            </w:r>
            <w:r w:rsidRPr="00CB2EC4">
              <w:rPr>
                <w:rFonts w:ascii="Times New Roman" w:hAnsi="Times New Roman" w:cs="Times New Roman"/>
              </w:rPr>
              <w:lastRenderedPageBreak/>
              <w:t>with other hemostatic measures (such as gauze compression or packing) if necessary.</w:t>
            </w:r>
            <w:r w:rsidRPr="00CB2EC4">
              <w:rPr>
                <w:rFonts w:ascii="Times New Roman" w:hAnsi="Times New Roman" w:cs="Times New Roman"/>
              </w:rPr>
              <w:br/>
              <w:t xml:space="preserve">  - Document source: [similarity: 0.535] and [similarity: 0.422] passages.</w:t>
            </w:r>
          </w:p>
        </w:tc>
        <w:tc>
          <w:tcPr>
            <w:tcW w:w="1152" w:type="dxa"/>
            <w:vAlign w:val="center"/>
          </w:tcPr>
          <w:p w14:paraId="2912366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ABD28A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5CCE9A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635F4741" w14:textId="77777777" w:rsidTr="00547D77">
        <w:tc>
          <w:tcPr>
            <w:tcW w:w="2160" w:type="dxa"/>
            <w:vAlign w:val="center"/>
          </w:tcPr>
          <w:p w14:paraId="45974C0D" w14:textId="77777777" w:rsidR="00916494" w:rsidRPr="00CB2EC4" w:rsidRDefault="00916494" w:rsidP="00547D77">
            <w:pPr>
              <w:rPr>
                <w:rFonts w:ascii="Times New Roman" w:hAnsi="Times New Roman" w:cs="Times New Roman"/>
              </w:rPr>
            </w:pPr>
            <w:r>
              <w:rPr>
                <w:rFonts w:ascii="Times New Roman" w:hAnsi="Times New Roman" w:cs="Times New Roman"/>
              </w:rPr>
              <w:lastRenderedPageBreak/>
              <w:t>Chunk size=256, Overlap=100 Using SentenceSplitter</w:t>
            </w:r>
          </w:p>
        </w:tc>
        <w:tc>
          <w:tcPr>
            <w:tcW w:w="5040" w:type="dxa"/>
            <w:vAlign w:val="center"/>
          </w:tcPr>
          <w:p w14:paraId="584D6ED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indications and key points for ligation of the internal iliac artery in controlling massive pelvic hemorrhage:</w:t>
            </w:r>
            <w:r w:rsidRPr="00CB2EC4">
              <w:rPr>
                <w:rFonts w:ascii="Times New Roman" w:hAnsi="Times New Roman" w:cs="Times New Roman"/>
              </w:rPr>
              <w:br/>
            </w:r>
            <w:r w:rsidRPr="00CB2EC4">
              <w:rPr>
                <w:rFonts w:ascii="Times New Roman" w:hAnsi="Times New Roman" w:cs="Times New Roman"/>
              </w:rPr>
              <w:br/>
              <w:t>- Indications:</w:t>
            </w:r>
            <w:r w:rsidRPr="00CB2EC4">
              <w:rPr>
                <w:rFonts w:ascii="Times New Roman" w:hAnsi="Times New Roman" w:cs="Times New Roman"/>
              </w:rPr>
              <w:br/>
              <w:t xml:space="preserve">  - Prophylactic ligation when anticipating uncontrollable hemorrhage during certain surgeries (e.g., extensive parametrial resection, cervical myomectomy, wide upper vaginal resection).</w:t>
            </w:r>
            <w:r w:rsidRPr="00CB2EC4">
              <w:rPr>
                <w:rFonts w:ascii="Times New Roman" w:hAnsi="Times New Roman" w:cs="Times New Roman"/>
              </w:rPr>
              <w:br/>
              <w:t xml:space="preserve">  - Especially applicable in cases with extensive adhesions, infiltration, or pre-existing bleeding tendency in the surgical field (e.g., vascular fragility due to tumor invasion).</w:t>
            </w:r>
            <w:r w:rsidRPr="00CB2EC4">
              <w:rPr>
                <w:rFonts w:ascii="Times New Roman" w:hAnsi="Times New Roman" w:cs="Times New Roman"/>
              </w:rPr>
              <w:br/>
              <w:t xml:space="preserve">  - Used to manage parametrial, presacral, or diffuse vaginal bleeding when other hemostatic methods (such as gauze packing or suture ligation) fail.</w:t>
            </w:r>
            <w:r w:rsidRPr="00CB2EC4">
              <w:rPr>
                <w:rFonts w:ascii="Times New Roman" w:hAnsi="Times New Roman" w:cs="Times New Roman"/>
              </w:rPr>
              <w:br/>
              <w:t xml:space="preserve">  (Sources: [Similarity: 0.485] and [Similarity: 0.403])</w:t>
            </w:r>
            <w:r w:rsidRPr="00CB2EC4">
              <w:rPr>
                <w:rFonts w:ascii="Times New Roman" w:hAnsi="Times New Roman" w:cs="Times New Roman"/>
              </w:rPr>
              <w:br/>
            </w:r>
            <w:r w:rsidRPr="00CB2EC4">
              <w:rPr>
                <w:rFonts w:ascii="Times New Roman" w:hAnsi="Times New Roman" w:cs="Times New Roman"/>
              </w:rPr>
              <w:br/>
              <w:t>- Key operative points:</w:t>
            </w:r>
            <w:r w:rsidRPr="00CB2EC4">
              <w:rPr>
                <w:rFonts w:ascii="Times New Roman" w:hAnsi="Times New Roman" w:cs="Times New Roman"/>
              </w:rPr>
              <w:br/>
              <w:t xml:space="preserve">  - Exposure: At the pelvic inlet, medial to the ovarian vessels, identify the crossing of the ureter over the common iliac artery. Free surrounding tissues to clearly visualize the bifurcation of the internal and external iliac arteries.</w:t>
            </w:r>
            <w:r w:rsidRPr="00CB2EC4">
              <w:rPr>
                <w:rFonts w:ascii="Times New Roman" w:hAnsi="Times New Roman" w:cs="Times New Roman"/>
              </w:rPr>
              <w:br/>
              <w:t xml:space="preserve">  - Dissection: Follow the internal iliac artery downward for approximately 1 cm. Use long curved or right-angle clamps to separate connective tissue parallel to the artery, carefully dissecting beneath the arterial wall to avoid injury to the thin-walled internal iliac vein (which may cause severe bleeding).</w:t>
            </w:r>
            <w:r w:rsidRPr="00CB2EC4">
              <w:rPr>
                <w:rFonts w:ascii="Times New Roman" w:hAnsi="Times New Roman" w:cs="Times New Roman"/>
              </w:rPr>
              <w:br/>
              <w:t xml:space="preserve">  - Ligation site: The ligature should be placed distal to </w:t>
            </w:r>
            <w:r w:rsidRPr="00CB2EC4">
              <w:rPr>
                <w:rFonts w:ascii="Times New Roman" w:hAnsi="Times New Roman" w:cs="Times New Roman"/>
              </w:rPr>
              <w:lastRenderedPageBreak/>
              <w:t>the posterior division; ligation proximal to this level may cause ischemic symptoms in the buttock and sciatic nerve territory.</w:t>
            </w:r>
            <w:r w:rsidRPr="00CB2EC4">
              <w:rPr>
                <w:rFonts w:ascii="Times New Roman" w:hAnsi="Times New Roman" w:cs="Times New Roman"/>
              </w:rPr>
              <w:br/>
              <w:t xml:space="preserve">  - Precautions: Ensure complete separation of the vessel from surrounding structures (e.g., ureter and veins) during the procedure to prevent accidental injury. Bilateral ligation significantly reduces blood flow but requires assessment of ischemic risk.</w:t>
            </w:r>
            <w:r w:rsidRPr="00CB2EC4">
              <w:rPr>
                <w:rFonts w:ascii="Times New Roman" w:hAnsi="Times New Roman" w:cs="Times New Roman"/>
              </w:rPr>
              <w:br/>
              <w:t xml:space="preserve">  (Sources: [Similarity: 0.403] and [Similarity: 0.405])</w:t>
            </w:r>
            <w:r w:rsidRPr="00CB2EC4">
              <w:rPr>
                <w:rFonts w:ascii="Times New Roman" w:hAnsi="Times New Roman" w:cs="Times New Roman"/>
              </w:rPr>
              <w:br/>
            </w:r>
            <w:r w:rsidRPr="00CB2EC4">
              <w:rPr>
                <w:rFonts w:ascii="Times New Roman" w:hAnsi="Times New Roman" w:cs="Times New Roman"/>
              </w:rPr>
              <w:br/>
              <w:t>The document does not specify suture materials (e.g., silk gauge), but emphasizes technical details to avoid complications.</w:t>
            </w:r>
          </w:p>
        </w:tc>
        <w:tc>
          <w:tcPr>
            <w:tcW w:w="1152" w:type="dxa"/>
            <w:vAlign w:val="center"/>
          </w:tcPr>
          <w:p w14:paraId="2DA2A31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358B4C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D1B177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25F64B49" w14:textId="77777777" w:rsidTr="00547D77">
        <w:tc>
          <w:tcPr>
            <w:tcW w:w="10656" w:type="dxa"/>
            <w:gridSpan w:val="5"/>
            <w:tcBorders>
              <w:bottom w:val="single" w:sz="6" w:space="0" w:color="auto"/>
            </w:tcBorders>
            <w:vAlign w:val="center"/>
          </w:tcPr>
          <w:p w14:paraId="593D767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192: During a pelvic exenteration, how should the iliac vessels that are adherent to the tumor be managed to avoid injury?</w:t>
            </w:r>
          </w:p>
        </w:tc>
      </w:tr>
      <w:tr w:rsidR="00916494" w:rsidRPr="00CB2EC4" w14:paraId="3800C60E" w14:textId="77777777" w:rsidTr="00547D77">
        <w:tc>
          <w:tcPr>
            <w:tcW w:w="2160" w:type="dxa"/>
            <w:vAlign w:val="center"/>
          </w:tcPr>
          <w:p w14:paraId="74B2EEC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0F7E6E0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how to handle iliac vessels adherent to tumor during radical pelvic surgery to avoid injury</w:t>
            </w:r>
            <w:r w:rsidRPr="00CB2EC4">
              <w:rPr>
                <w:rFonts w:ascii="Times New Roman" w:hAnsi="Times New Roman" w:cs="Times New Roman"/>
              </w:rPr>
              <w:br/>
            </w:r>
            <w:r w:rsidRPr="00CB2EC4">
              <w:rPr>
                <w:rFonts w:ascii="Times New Roman" w:hAnsi="Times New Roman" w:cs="Times New Roman"/>
              </w:rPr>
              <w:br/>
              <w:t>the document details methods for handling iliac vessels adherent to tumor to avoid injury. key points include:</w:t>
            </w:r>
            <w:r w:rsidRPr="00CB2EC4">
              <w:rPr>
                <w:rFonts w:ascii="Times New Roman" w:hAnsi="Times New Roman" w:cs="Times New Roman"/>
              </w:rPr>
              <w:br/>
            </w:r>
            <w:r w:rsidRPr="00CB2EC4">
              <w:rPr>
                <w:rFonts w:ascii="Times New Roman" w:hAnsi="Times New Roman" w:cs="Times New Roman"/>
              </w:rPr>
              <w:br/>
              <w:t>- handling principles:</w:t>
            </w:r>
            <w:r w:rsidRPr="00CB2EC4">
              <w:rPr>
                <w:rFonts w:ascii="Times New Roman" w:hAnsi="Times New Roman" w:cs="Times New Roman"/>
              </w:rPr>
              <w:br/>
              <w:t xml:space="preserve">  - prioritize lateral dissection: avoid forcefully removing adherent lymph nodes or masses from the medial side to reduce vascular injury risk. first dissect the psoas major muscle and the common iliac (lateral) artery and vein, free the external iliac artery and vein, expose the vascular and neural structures on the pelvic sidewall to ensure clear visualization.</w:t>
            </w:r>
            <w:r w:rsidRPr="00CB2EC4">
              <w:rPr>
                <w:rFonts w:ascii="Times New Roman" w:hAnsi="Times New Roman" w:cs="Times New Roman"/>
              </w:rPr>
              <w:br/>
              <w:t xml:space="preserve">  - for tightly adherent cases: if lymph nodes are densely adherent to the internal iliac artery, separate connected vascular segments above and below the </w:t>
            </w:r>
            <w:r w:rsidRPr="00CB2EC4">
              <w:rPr>
                <w:rFonts w:ascii="Times New Roman" w:hAnsi="Times New Roman" w:cs="Times New Roman"/>
              </w:rPr>
              <w:lastRenderedPageBreak/>
              <w:t>mass, transect and ligate them, and resect a segment of the vessel along with the mass (avoid forced dissection to prevent massive hemorrhage).</w:t>
            </w:r>
            <w:r w:rsidRPr="00CB2EC4">
              <w:rPr>
                <w:rFonts w:ascii="Times New Roman" w:hAnsi="Times New Roman" w:cs="Times New Roman"/>
              </w:rPr>
              <w:br/>
              <w:t xml:space="preserve">  - meticulous separation technique: when resecting lymph nodes around the common iliac artery or para-aortic region, dissect the fat tissue on the superior and lateral surfaces, and ligate accompanying veins (e.g., "accompanying" veins of the vena cava) to prevent accidental injury to the common iliac vein or inferior vena cava.</w:t>
            </w:r>
            <w:r w:rsidRPr="00CB2EC4">
              <w:rPr>
                <w:rFonts w:ascii="Times New Roman" w:hAnsi="Times New Roman" w:cs="Times New Roman"/>
              </w:rPr>
              <w:br/>
            </w:r>
            <w:r w:rsidRPr="00CB2EC4">
              <w:rPr>
                <w:rFonts w:ascii="Times New Roman" w:hAnsi="Times New Roman" w:cs="Times New Roman"/>
              </w:rPr>
              <w:br/>
              <w:t>- specific steps:</w:t>
            </w:r>
            <w:r w:rsidRPr="00CB2EC4">
              <w:rPr>
                <w:rFonts w:ascii="Times New Roman" w:hAnsi="Times New Roman" w:cs="Times New Roman"/>
              </w:rPr>
              <w:br/>
              <w:t xml:space="preserve">  - use combined blunt and sharp dissection, avoid excessive traction.</w:t>
            </w:r>
            <w:r w:rsidRPr="00CB2EC4">
              <w:rPr>
                <w:rFonts w:ascii="Times New Roman" w:hAnsi="Times New Roman" w:cs="Times New Roman"/>
              </w:rPr>
              <w:br/>
              <w:t xml:space="preserve">  - for obturator region adhesions, first separate the metastatic lymph nodes from the medial wall of the external iliac vein, dissect the medial aspect of the psoas major muscle to expose the obturator nerve, and separate it from the lymph nodes (use index finger to assist in delivering the lymph nodes).</w:t>
            </w:r>
            <w:r w:rsidRPr="00CB2EC4">
              <w:rPr>
                <w:rFonts w:ascii="Times New Roman" w:hAnsi="Times New Roman" w:cs="Times New Roman"/>
              </w:rPr>
              <w:br/>
              <w:t xml:space="preserve">  - if metastatic lymph nodes are fused and fixed and cannot be safely resected, abandon the procedure and mark with silver clips, switch to postoperative radiotherapy.</w:t>
            </w:r>
            <w:r w:rsidRPr="00CB2EC4">
              <w:rPr>
                <w:rFonts w:ascii="Times New Roman" w:hAnsi="Times New Roman" w:cs="Times New Roman"/>
              </w:rPr>
              <w:br/>
            </w:r>
            <w:r w:rsidRPr="00CB2EC4">
              <w:rPr>
                <w:rFonts w:ascii="Times New Roman" w:hAnsi="Times New Roman" w:cs="Times New Roman"/>
              </w:rPr>
              <w:br/>
              <w:t>- document sources: [similarity: 0.446] and [similarity: 0.443] fragments.</w:t>
            </w:r>
          </w:p>
        </w:tc>
        <w:tc>
          <w:tcPr>
            <w:tcW w:w="1152" w:type="dxa"/>
            <w:vAlign w:val="center"/>
          </w:tcPr>
          <w:p w14:paraId="004EFB0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0FFF24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5FEB8B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C</w:t>
            </w:r>
          </w:p>
        </w:tc>
      </w:tr>
      <w:tr w:rsidR="00916494" w:rsidRPr="00CB2EC4" w14:paraId="243F1C08" w14:textId="77777777" w:rsidTr="00547D77">
        <w:tc>
          <w:tcPr>
            <w:tcW w:w="2160" w:type="dxa"/>
            <w:vAlign w:val="center"/>
          </w:tcPr>
          <w:p w14:paraId="10BAD9CF"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6B42A20E"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in radical pelvic surgery, when dealing with tumor adhesion to the iliac vessels (especially veins), the following methods are employed to avoid injury:</w:t>
            </w:r>
            <w:r w:rsidRPr="00CB2EC4">
              <w:rPr>
                <w:rFonts w:ascii="Times New Roman" w:hAnsi="Times New Roman" w:cs="Times New Roman"/>
              </w:rPr>
              <w:br/>
            </w:r>
            <w:r w:rsidRPr="00CB2EC4">
              <w:rPr>
                <w:rFonts w:ascii="Times New Roman" w:hAnsi="Times New Roman" w:cs="Times New Roman"/>
              </w:rPr>
              <w:br/>
              <w:t xml:space="preserve">- Temporary major vessel occlusion:  </w:t>
            </w:r>
            <w:r w:rsidRPr="00CB2EC4">
              <w:rPr>
                <w:rFonts w:ascii="Times New Roman" w:hAnsi="Times New Roman" w:cs="Times New Roman"/>
              </w:rPr>
              <w:br/>
              <w:t xml:space="preserve">  - When the tumor or metastatic lymph nodes are densely adherent to or suspected of locally infiltrating </w:t>
            </w:r>
            <w:r w:rsidRPr="00CB2EC4">
              <w:rPr>
                <w:rFonts w:ascii="Times New Roman" w:hAnsi="Times New Roman" w:cs="Times New Roman"/>
              </w:rPr>
              <w:lastRenderedPageBreak/>
              <w:t xml:space="preserve">the iliac vessel wall (particularly the vein), first dissect free the segments above and below the involved vessel. Apply atraumatic vascular clamps to temporarily occlude blood flow. Then dissect the mass away, which enhances safety and reduces bleeding risk.  </w:t>
            </w:r>
            <w:r w:rsidRPr="00CB2EC4">
              <w:rPr>
                <w:rFonts w:ascii="Times New Roman" w:hAnsi="Times New Roman" w:cs="Times New Roman"/>
              </w:rPr>
              <w:br/>
              <w:t xml:space="preserve">  (Source: [Similarity: 0.485])  </w:t>
            </w:r>
            <w:r w:rsidRPr="00CB2EC4">
              <w:rPr>
                <w:rFonts w:ascii="Times New Roman" w:hAnsi="Times New Roman" w:cs="Times New Roman"/>
              </w:rPr>
              <w:br/>
            </w:r>
            <w:r w:rsidRPr="00CB2EC4">
              <w:rPr>
                <w:rFonts w:ascii="Times New Roman" w:hAnsi="Times New Roman" w:cs="Times New Roman"/>
              </w:rPr>
              <w:br/>
              <w:t xml:space="preserve">- Meticulous dissection technique:  </w:t>
            </w:r>
            <w:r w:rsidRPr="00CB2EC4">
              <w:rPr>
                <w:rFonts w:ascii="Times New Roman" w:hAnsi="Times New Roman" w:cs="Times New Roman"/>
              </w:rPr>
              <w:br/>
              <w:t xml:space="preserve">  - For adherent lymph nodes (e.g., obturator metastatic nodes), first separate the lymph node from the medial wall of the external iliac vein, dissect the medial aspect of the psoas major muscle to expose the obturator nerve.  </w:t>
            </w:r>
            <w:r w:rsidRPr="00CB2EC4">
              <w:rPr>
                <w:rFonts w:ascii="Times New Roman" w:hAnsi="Times New Roman" w:cs="Times New Roman"/>
              </w:rPr>
              <w:br/>
              <w:t xml:space="preserve">  - Use the "intracapsular dissection" method: carefully dissect within the lymph node capsule, avoid forceful en bloc removal; if lymph nodes are fused and fixed, abandon resection and mark with silver clips to prevent vascular tearing.  </w:t>
            </w:r>
            <w:r w:rsidRPr="00CB2EC4">
              <w:rPr>
                <w:rFonts w:ascii="Times New Roman" w:hAnsi="Times New Roman" w:cs="Times New Roman"/>
              </w:rPr>
              <w:br/>
              <w:t xml:space="preserve">  - When resecting lymph nodes around the common iliac artery or para-aortic region, carefully dissect the overlying and lateral adipose tissue, and ligate accompanying veins (e.g., "accompanying veins" of the vena cava) to minimize bleeding.  </w:t>
            </w:r>
            <w:r w:rsidRPr="00CB2EC4">
              <w:rPr>
                <w:rFonts w:ascii="Times New Roman" w:hAnsi="Times New Roman" w:cs="Times New Roman"/>
              </w:rPr>
              <w:br/>
              <w:t xml:space="preserve">  (Source: [Similarity: 0.462] and [Similarity: 0.446])  </w:t>
            </w:r>
            <w:r w:rsidRPr="00CB2EC4">
              <w:rPr>
                <w:rFonts w:ascii="Times New Roman" w:hAnsi="Times New Roman" w:cs="Times New Roman"/>
              </w:rPr>
              <w:br/>
            </w:r>
            <w:r w:rsidRPr="00CB2EC4">
              <w:rPr>
                <w:rFonts w:ascii="Times New Roman" w:hAnsi="Times New Roman" w:cs="Times New Roman"/>
              </w:rPr>
              <w:br/>
              <w:t>- Key principles: All maneuvers must be performed under direct vision, following anatomical planes (e.g., identifying the relationship between iliac vessels and ureter), avoiding excessive traction or sharp dissection. If adhesion is severe, prioritize vascular integrity and discontinue dissection when necessary.</w:t>
            </w:r>
            <w:r w:rsidRPr="00CB2EC4">
              <w:rPr>
                <w:rFonts w:ascii="Times New Roman" w:hAnsi="Times New Roman" w:cs="Times New Roman"/>
              </w:rPr>
              <w:br/>
            </w:r>
            <w:r w:rsidRPr="00CB2EC4">
              <w:rPr>
                <w:rFonts w:ascii="Times New Roman" w:hAnsi="Times New Roman" w:cs="Times New Roman"/>
              </w:rPr>
              <w:br/>
              <w:t xml:space="preserve">The documents do not mention other adjunctive </w:t>
            </w:r>
            <w:r w:rsidRPr="00CB2EC4">
              <w:rPr>
                <w:rFonts w:ascii="Times New Roman" w:hAnsi="Times New Roman" w:cs="Times New Roman"/>
              </w:rPr>
              <w:lastRenderedPageBreak/>
              <w:t>techniques (e.g., intraoperative imaging guidance) but emphasize the importance of anatomical knowledge and cautious operative technique.</w:t>
            </w:r>
          </w:p>
        </w:tc>
        <w:tc>
          <w:tcPr>
            <w:tcW w:w="1152" w:type="dxa"/>
            <w:vAlign w:val="center"/>
          </w:tcPr>
          <w:p w14:paraId="764FD45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F92051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FDB1EF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743100FB" w14:textId="77777777" w:rsidTr="00547D77">
        <w:tc>
          <w:tcPr>
            <w:tcW w:w="10656" w:type="dxa"/>
            <w:gridSpan w:val="5"/>
            <w:tcBorders>
              <w:bottom w:val="single" w:sz="6" w:space="0" w:color="auto"/>
            </w:tcBorders>
            <w:vAlign w:val="center"/>
          </w:tcPr>
          <w:p w14:paraId="24232AE3"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193: Why is bladder dysfunction (such as urinary retention) common after a radical hysterectomy? Explain the root cause from a neuroanatomical perspective.</w:t>
            </w:r>
          </w:p>
        </w:tc>
      </w:tr>
      <w:tr w:rsidR="00916494" w:rsidRPr="00CB2EC4" w14:paraId="6782CF4C" w14:textId="77777777" w:rsidTr="00547D77">
        <w:tc>
          <w:tcPr>
            <w:tcW w:w="2160" w:type="dxa"/>
            <w:vAlign w:val="center"/>
          </w:tcPr>
          <w:p w14:paraId="16FF981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67999D1"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why is bladder dysfunction (such as urinary retention) common after radical hysterectomy? explanation of the fundamental cause from the perspective of neuroanatomy:</w:t>
            </w:r>
            <w:r w:rsidRPr="00CB2EC4">
              <w:rPr>
                <w:rFonts w:ascii="Times New Roman" w:hAnsi="Times New Roman" w:cs="Times New Roman"/>
              </w:rPr>
              <w:br/>
            </w:r>
            <w:r w:rsidRPr="00CB2EC4">
              <w:rPr>
                <w:rFonts w:ascii="Times New Roman" w:hAnsi="Times New Roman" w:cs="Times New Roman"/>
              </w:rPr>
              <w:br/>
              <w:t>- fundamental cause:</w:t>
            </w:r>
            <w:r w:rsidRPr="00CB2EC4">
              <w:rPr>
                <w:rFonts w:ascii="Times New Roman" w:hAnsi="Times New Roman" w:cs="Times New Roman"/>
              </w:rPr>
              <w:br/>
              <w:t xml:space="preserve">  - the surgery severs nerve fibers innervating the bladder, resulting in neurogenic bladder paralysis. specific nerve injuries include:</w:t>
            </w:r>
            <w:r w:rsidRPr="00CB2EC4">
              <w:rPr>
                <w:rFonts w:ascii="Times New Roman" w:hAnsi="Times New Roman" w:cs="Times New Roman"/>
              </w:rPr>
              <w:br/>
              <w:t xml:space="preserve">    - interruption of sacral micturition reflex: parasympathetic nerve fibers to the bladder (from sacral nerves S2, S3, S4) and sympathetic fibers (located in the pelvic plexus) are damaged during extensive resection of parametrial and paravaginal tissues. this disrupts the sacral micturition reflex arc, leading to loss of bladder sensation and inadequate contraction of the detrusor muscle (bladder wall muscle).</w:t>
            </w:r>
            <w:r w:rsidRPr="00CB2EC4">
              <w:rPr>
                <w:rFonts w:ascii="Times New Roman" w:hAnsi="Times New Roman" w:cs="Times New Roman"/>
              </w:rPr>
              <w:br/>
              <w:t xml:space="preserve">    - disruption of urethral sphincter control: conscious regulation of the internal and external urethral sphincters is interrupted, preventing voluntary voiding.</w:t>
            </w:r>
            <w:r w:rsidRPr="00CB2EC4">
              <w:rPr>
                <w:rFonts w:ascii="Times New Roman" w:hAnsi="Times New Roman" w:cs="Times New Roman"/>
              </w:rPr>
              <w:br/>
              <w:t xml:space="preserve">    - damage to bladder wall ganglia: extensive dissection of the bladder during surgery destroys ganglia within the bladder wall and compromises blood supply, exacerbating muscle weakness and bladder overdistension.</w:t>
            </w:r>
            <w:r w:rsidRPr="00CB2EC4">
              <w:rPr>
                <w:rFonts w:ascii="Times New Roman" w:hAnsi="Times New Roman" w:cs="Times New Roman"/>
              </w:rPr>
              <w:br/>
              <w:t xml:space="preserve">  - the extent of nerve injury correlates with the </w:t>
            </w:r>
            <w:r w:rsidRPr="00CB2EC4">
              <w:rPr>
                <w:rFonts w:ascii="Times New Roman" w:hAnsi="Times New Roman" w:cs="Times New Roman"/>
              </w:rPr>
              <w:lastRenderedPageBreak/>
              <w:t>surgical scope: greater resection of the cardinal ligaments, uterosacral ligaments, and vaginal tissue increases the severity of nerve damage and the risk of bladder dysfunction.</w:t>
            </w:r>
            <w:r w:rsidRPr="00CB2EC4">
              <w:rPr>
                <w:rFonts w:ascii="Times New Roman" w:hAnsi="Times New Roman" w:cs="Times New Roman"/>
              </w:rPr>
              <w:br/>
              <w:t>- pathophysiological sequence: nerve injury → sacral reflex interruption → detrusor function loss → bladder overdistension → urinary retention → increased susceptibility to infection.</w:t>
            </w:r>
            <w:r w:rsidRPr="00CB2EC4">
              <w:rPr>
                <w:rFonts w:ascii="Times New Roman" w:hAnsi="Times New Roman" w:cs="Times New Roman"/>
              </w:rPr>
              <w:br/>
              <w:t>- source: [similarity: 0.487] and [similarity: 0.438] fragments.</w:t>
            </w:r>
          </w:p>
        </w:tc>
        <w:tc>
          <w:tcPr>
            <w:tcW w:w="1152" w:type="dxa"/>
            <w:vAlign w:val="center"/>
          </w:tcPr>
          <w:p w14:paraId="620ED85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E8F682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9AE65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0A76E21" w14:textId="77777777" w:rsidTr="00547D77">
        <w:tc>
          <w:tcPr>
            <w:tcW w:w="2160" w:type="dxa"/>
            <w:vAlign w:val="center"/>
          </w:tcPr>
          <w:p w14:paraId="20578BF3"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9A0ADFC"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why does bladder dysfunction (such as urinary retention) commonly occur after radical hysterectomy? explained from the neuroanatomical perspective:</w:t>
            </w:r>
            <w:r w:rsidRPr="00CB2EC4">
              <w:rPr>
                <w:rFonts w:ascii="Times New Roman" w:hAnsi="Times New Roman" w:cs="Times New Roman"/>
              </w:rPr>
              <w:br/>
            </w:r>
            <w:r w:rsidRPr="00CB2EC4">
              <w:rPr>
                <w:rFonts w:ascii="Times New Roman" w:hAnsi="Times New Roman" w:cs="Times New Roman"/>
              </w:rPr>
              <w:br/>
              <w:t>- neuroanatomical basis:</w:t>
            </w:r>
            <w:r w:rsidRPr="00CB2EC4">
              <w:rPr>
                <w:rFonts w:ascii="Times New Roman" w:hAnsi="Times New Roman" w:cs="Times New Roman"/>
              </w:rPr>
              <w:br/>
              <w:t xml:space="preserve">  - the parasympathetic nerves innervating the bladder originate from the pelvic nerves (S2–S4 sacral nerves), which converge anteriorly and superiorly within the cardinal ligaments and uterosacral ligaments.</w:t>
            </w:r>
            <w:r w:rsidRPr="00CB2EC4">
              <w:rPr>
                <w:rFonts w:ascii="Times New Roman" w:hAnsi="Times New Roman" w:cs="Times New Roman"/>
              </w:rPr>
              <w:br/>
              <w:t xml:space="preserve">  - at the upper lateral aspect of the rectum, the pelvic nerves merge with the sympathetic hypogastric nerves to form the pelvic plexus. this plexus sends branches to the bladder, uterus, vagina, and rectum. the specific bladder plexus is located lateral to the ureters and enters the bladder via the paravaginal tissue, regulating bladder contraction and the micturition reflex.</w:t>
            </w:r>
            <w:r w:rsidRPr="00CB2EC4">
              <w:rPr>
                <w:rFonts w:ascii="Times New Roman" w:hAnsi="Times New Roman" w:cs="Times New Roman"/>
              </w:rPr>
              <w:br/>
              <w:t xml:space="preserve">  - (sources: [similarity: 0.510] and [similarity: 0.485])</w:t>
            </w:r>
            <w:r w:rsidRPr="00CB2EC4">
              <w:rPr>
                <w:rFonts w:ascii="Times New Roman" w:hAnsi="Times New Roman" w:cs="Times New Roman"/>
              </w:rPr>
              <w:br/>
            </w:r>
            <w:r w:rsidRPr="00CB2EC4">
              <w:rPr>
                <w:rFonts w:ascii="Times New Roman" w:hAnsi="Times New Roman" w:cs="Times New Roman"/>
              </w:rPr>
              <w:br/>
              <w:t>- postoperative dysfunction mechanism:</w:t>
            </w:r>
            <w:r w:rsidRPr="00CB2EC4">
              <w:rPr>
                <w:rFonts w:ascii="Times New Roman" w:hAnsi="Times New Roman" w:cs="Times New Roman"/>
              </w:rPr>
              <w:br/>
              <w:t xml:space="preserve">  - during surgery, extensive resection of the cardinal ligaments, uterosacral ligaments, and surrounding </w:t>
            </w:r>
            <w:r w:rsidRPr="00CB2EC4">
              <w:rPr>
                <w:rFonts w:ascii="Times New Roman" w:hAnsi="Times New Roman" w:cs="Times New Roman"/>
              </w:rPr>
              <w:lastRenderedPageBreak/>
              <w:t>tissues inevitably severs these nerve fibers, resulting in neurogenic bladder paralysis.</w:t>
            </w:r>
            <w:r w:rsidRPr="00CB2EC4">
              <w:rPr>
                <w:rFonts w:ascii="Times New Roman" w:hAnsi="Times New Roman" w:cs="Times New Roman"/>
              </w:rPr>
              <w:br/>
              <w:t xml:space="preserve">  - specific effects include:</w:t>
            </w:r>
            <w:r w:rsidRPr="00CB2EC4">
              <w:rPr>
                <w:rFonts w:ascii="Times New Roman" w:hAnsi="Times New Roman" w:cs="Times New Roman"/>
              </w:rPr>
              <w:br/>
              <w:t xml:space="preserve">    - interruption of the sacral micturition reflex: loss of urinary sensation and voluntary voiding ability; overdistension of the bladder leads to detrusor muscle elongation and weakness, impairing contractile function.</w:t>
            </w:r>
            <w:r w:rsidRPr="00CB2EC4">
              <w:rPr>
                <w:rFonts w:ascii="Times New Roman" w:hAnsi="Times New Roman" w:cs="Times New Roman"/>
              </w:rPr>
              <w:br/>
              <w:t xml:space="preserve">    - impaired regulation of the urethral sphincter: loss of conscious control over internal and external sphincters, preventing natural urination.</w:t>
            </w:r>
            <w:r w:rsidRPr="00CB2EC4">
              <w:rPr>
                <w:rFonts w:ascii="Times New Roman" w:hAnsi="Times New Roman" w:cs="Times New Roman"/>
              </w:rPr>
              <w:br/>
              <w:t xml:space="preserve">    - contributing factors: extensive bladder dissection during surgery damages intramural ganglia and blood supply; altered bladder position further exacerbates dysfunction.</w:t>
            </w:r>
            <w:r w:rsidRPr="00CB2EC4">
              <w:rPr>
                <w:rFonts w:ascii="Times New Roman" w:hAnsi="Times New Roman" w:cs="Times New Roman"/>
              </w:rPr>
              <w:br/>
              <w:t xml:space="preserve">  - (source: [similarity: 0.510])</w:t>
            </w:r>
            <w:r w:rsidRPr="00CB2EC4">
              <w:rPr>
                <w:rFonts w:ascii="Times New Roman" w:hAnsi="Times New Roman" w:cs="Times New Roman"/>
              </w:rPr>
              <w:br/>
            </w:r>
            <w:r w:rsidRPr="00CB2EC4">
              <w:rPr>
                <w:rFonts w:ascii="Times New Roman" w:hAnsi="Times New Roman" w:cs="Times New Roman"/>
              </w:rPr>
              <w:br/>
              <w:t>the document states that postoperative urinary retention occurs in 2.6% to 44.91% of cases, confirming nerve injury as the core mechanism. vascular or ischemic factors are not cited as primary mechanisms.</w:t>
            </w:r>
          </w:p>
        </w:tc>
        <w:tc>
          <w:tcPr>
            <w:tcW w:w="1152" w:type="dxa"/>
            <w:vAlign w:val="center"/>
          </w:tcPr>
          <w:p w14:paraId="043F8C0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EC404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6A220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3CC8CA9E" w14:textId="77777777" w:rsidTr="00547D77">
        <w:tc>
          <w:tcPr>
            <w:tcW w:w="10656" w:type="dxa"/>
            <w:gridSpan w:val="5"/>
            <w:tcBorders>
              <w:bottom w:val="single" w:sz="6" w:space="0" w:color="auto"/>
            </w:tcBorders>
            <w:vAlign w:val="center"/>
          </w:tcPr>
          <w:p w14:paraId="6238EC2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194: A patient develops a large pelvic lymphocele after a pelvic lymphadenectomy. Based on the text, deduce the pathophysiological chain of events through which this lymphocele leads to acute pyelonephritis.</w:t>
            </w:r>
          </w:p>
        </w:tc>
      </w:tr>
      <w:tr w:rsidR="00916494" w:rsidRPr="00CB2EC4" w14:paraId="774D758D" w14:textId="77777777" w:rsidTr="00547D77">
        <w:tc>
          <w:tcPr>
            <w:tcW w:w="2160" w:type="dxa"/>
            <w:vAlign w:val="center"/>
          </w:tcPr>
          <w:p w14:paraId="7E11F48C"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11DFA74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yes</w:t>
            </w:r>
            <w:r w:rsidRPr="00CB2EC4">
              <w:rPr>
                <w:rFonts w:ascii="Times New Roman" w:hAnsi="Times New Roman" w:cs="Times New Roman"/>
              </w:rPr>
              <w:br/>
            </w:r>
            <w:r w:rsidRPr="00CB2EC4">
              <w:rPr>
                <w:rFonts w:ascii="Times New Roman" w:hAnsi="Times New Roman" w:cs="Times New Roman"/>
              </w:rPr>
              <w:br/>
              <w:t>- Pathophysiological chain:</w:t>
            </w:r>
            <w:r w:rsidRPr="00CB2EC4">
              <w:rPr>
                <w:rFonts w:ascii="Times New Roman" w:hAnsi="Times New Roman" w:cs="Times New Roman"/>
              </w:rPr>
              <w:br/>
              <w:t xml:space="preserve">  1. Lymphocele formation: Postoperative failure to adequately ligate lymphatic vessel stumps (e.g., inguinal or obturator lymphatics) results in accumulation of lymph fluid and cyst formation.</w:t>
            </w:r>
            <w:r w:rsidRPr="00CB2EC4">
              <w:rPr>
                <w:rFonts w:ascii="Times New Roman" w:hAnsi="Times New Roman" w:cs="Times New Roman"/>
              </w:rPr>
              <w:br/>
              <w:t xml:space="preserve">  2. Ureteral obstruction: Enlarging lymphocele compresses the pelvic ureter (document explicitly </w:t>
            </w:r>
            <w:r w:rsidRPr="00CB2EC4">
              <w:rPr>
                <w:rFonts w:ascii="Times New Roman" w:hAnsi="Times New Roman" w:cs="Times New Roman"/>
              </w:rPr>
              <w:lastRenderedPageBreak/>
              <w:t>states lymphoceles can cause "ureteral obstruction").</w:t>
            </w:r>
            <w:r w:rsidRPr="00CB2EC4">
              <w:rPr>
                <w:rFonts w:ascii="Times New Roman" w:hAnsi="Times New Roman" w:cs="Times New Roman"/>
              </w:rPr>
              <w:br/>
              <w:t xml:space="preserve">  3. Urine retention: Ureteral obstruction impedes urine outflow, leading to urinary stasis in the bladder or renal pelvis.</w:t>
            </w:r>
            <w:r w:rsidRPr="00CB2EC4">
              <w:rPr>
                <w:rFonts w:ascii="Times New Roman" w:hAnsi="Times New Roman" w:cs="Times New Roman"/>
              </w:rPr>
              <w:br/>
              <w:t xml:space="preserve">  4. Bacterial proliferation and ascending infection: Urinary stasis creates an environment conducive to bacterial growth (e.g., Escherichia coli), increasing risk of urinary tract infection. The document notes that urinary retention can lead to "secondary urinary tract infection, which may acutely flare in chronic carriers."</w:t>
            </w:r>
            <w:r w:rsidRPr="00CB2EC4">
              <w:rPr>
                <w:rFonts w:ascii="Times New Roman" w:hAnsi="Times New Roman" w:cs="Times New Roman"/>
              </w:rPr>
              <w:br/>
              <w:t xml:space="preserve">  5. Acute pyelonephritis: Bacteria ascend from the bladder via the ureters to the renal pelvis, causing acute infection of the renal parenchyma and pelvis, manifesting as fever, flank pain, and other systemic symptoms.</w:t>
            </w:r>
            <w:r w:rsidRPr="00CB2EC4">
              <w:rPr>
                <w:rFonts w:ascii="Times New Roman" w:hAnsi="Times New Roman" w:cs="Times New Roman"/>
              </w:rPr>
              <w:br/>
              <w:t>- Document evidence:</w:t>
            </w:r>
            <w:r w:rsidRPr="00CB2EC4">
              <w:rPr>
                <w:rFonts w:ascii="Times New Roman" w:hAnsi="Times New Roman" w:cs="Times New Roman"/>
              </w:rPr>
              <w:br/>
              <w:t xml:space="preserve">  - Lymphocele complications: Directly states "can cause ureteral obstruction" ([similarity: 0.487] segment).</w:t>
            </w:r>
            <w:r w:rsidRPr="00CB2EC4">
              <w:rPr>
                <w:rFonts w:ascii="Times New Roman" w:hAnsi="Times New Roman" w:cs="Times New Roman"/>
              </w:rPr>
              <w:br/>
              <w:t xml:space="preserve">  - Infection mechanism: Urinary retention or obstruction predisposes to urinary tract infection, which may present as acute exacerbation ([similarity: 0.438] segment).</w:t>
            </w:r>
            <w:r w:rsidRPr="00CB2EC4">
              <w:rPr>
                <w:rFonts w:ascii="Times New Roman" w:hAnsi="Times New Roman" w:cs="Times New Roman"/>
              </w:rPr>
              <w:br/>
              <w:t>- Thus, the chain is: lymphocele → ureteral compression → ureteral obstruction → urine retention → ascending bacterial infection → acute pyelonephritis.</w:t>
            </w:r>
          </w:p>
        </w:tc>
        <w:tc>
          <w:tcPr>
            <w:tcW w:w="1152" w:type="dxa"/>
            <w:vAlign w:val="center"/>
          </w:tcPr>
          <w:p w14:paraId="4C222C5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60BA04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10B71C"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CB0EB1F" w14:textId="77777777" w:rsidTr="00547D77">
        <w:tc>
          <w:tcPr>
            <w:tcW w:w="2160" w:type="dxa"/>
            <w:vAlign w:val="center"/>
          </w:tcPr>
          <w:p w14:paraId="71A38DE4"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2A8764C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Based on the provided text, the pathophysiological chain by which a pelvic lymphocele may lead to acute pyelonephritis is as follows:</w:t>
            </w:r>
            <w:r w:rsidRPr="00CB2EC4">
              <w:rPr>
                <w:rFonts w:ascii="Times New Roman" w:hAnsi="Times New Roman" w:cs="Times New Roman"/>
              </w:rPr>
              <w:br/>
            </w:r>
            <w:r w:rsidRPr="00CB2EC4">
              <w:rPr>
                <w:rFonts w:ascii="Times New Roman" w:hAnsi="Times New Roman" w:cs="Times New Roman"/>
              </w:rPr>
              <w:br/>
              <w:t>1.  Lymphocele compresses the ureter:</w:t>
            </w:r>
            <w:r w:rsidRPr="00CB2EC4">
              <w:rPr>
                <w:rFonts w:ascii="Times New Roman" w:hAnsi="Times New Roman" w:cs="Times New Roman"/>
              </w:rPr>
              <w:br/>
              <w:t xml:space="preserve">    -   After formation of a lymphocele (incidence 5%~30%), enlargement can compress the pelvic </w:t>
            </w:r>
            <w:r w:rsidRPr="00CB2EC4">
              <w:rPr>
                <w:rFonts w:ascii="Times New Roman" w:hAnsi="Times New Roman" w:cs="Times New Roman"/>
              </w:rPr>
              <w:lastRenderedPageBreak/>
              <w:t>ureter, causing ureteral obstruction. Bilateral lymphoceles are more likely to cause obstructive renal failure.</w:t>
            </w:r>
            <w:r w:rsidRPr="00CB2EC4">
              <w:rPr>
                <w:rFonts w:ascii="Times New Roman" w:hAnsi="Times New Roman" w:cs="Times New Roman"/>
              </w:rPr>
              <w:br/>
              <w:t xml:space="preserve">    (Source: [Similarity: 0.526])</w:t>
            </w:r>
            <w:r w:rsidRPr="00CB2EC4">
              <w:rPr>
                <w:rFonts w:ascii="Times New Roman" w:hAnsi="Times New Roman" w:cs="Times New Roman"/>
              </w:rPr>
              <w:br/>
            </w:r>
            <w:r w:rsidRPr="00CB2EC4">
              <w:rPr>
                <w:rFonts w:ascii="Times New Roman" w:hAnsi="Times New Roman" w:cs="Times New Roman"/>
              </w:rPr>
              <w:br/>
              <w:t>2.  Ureteral obstruction and hydronephrosis:</w:t>
            </w:r>
            <w:r w:rsidRPr="00CB2EC4">
              <w:rPr>
                <w:rFonts w:ascii="Times New Roman" w:hAnsi="Times New Roman" w:cs="Times New Roman"/>
              </w:rPr>
              <w:br/>
              <w:t xml:space="preserve">    -   Obstruction impedes urine drainage, leading to hydronephrosis. The text indicates that the degree of ureteral obstruction is an indicator for urgent urological management, and hydronephrosis signifies disease progression, potentially accompanied by infection.</w:t>
            </w:r>
            <w:r w:rsidRPr="00CB2EC4">
              <w:rPr>
                <w:rFonts w:ascii="Times New Roman" w:hAnsi="Times New Roman" w:cs="Times New Roman"/>
              </w:rPr>
              <w:br/>
              <w:t xml:space="preserve">    (Source: [Similarity: 0.530] and [Similarity: 0.526])</w:t>
            </w:r>
            <w:r w:rsidRPr="00CB2EC4">
              <w:rPr>
                <w:rFonts w:ascii="Times New Roman" w:hAnsi="Times New Roman" w:cs="Times New Roman"/>
              </w:rPr>
              <w:br/>
            </w:r>
            <w:r w:rsidRPr="00CB2EC4">
              <w:rPr>
                <w:rFonts w:ascii="Times New Roman" w:hAnsi="Times New Roman" w:cs="Times New Roman"/>
              </w:rPr>
              <w:br/>
              <w:t>3.  Bacterial proliferation and ascending infection:</w:t>
            </w:r>
            <w:r w:rsidRPr="00CB2EC4">
              <w:rPr>
                <w:rFonts w:ascii="Times New Roman" w:hAnsi="Times New Roman" w:cs="Times New Roman"/>
              </w:rPr>
              <w:br/>
              <w:t xml:space="preserve">    -   Obstruction and hydronephrosis create an environment conducive to bacterial growth (e.g., enteric flora). The lymphocele itself may become infected due to intraoperative contamination or poor postoperative drainage, forming a pelvic abscess.</w:t>
            </w:r>
            <w:r w:rsidRPr="00CB2EC4">
              <w:rPr>
                <w:rFonts w:ascii="Times New Roman" w:hAnsi="Times New Roman" w:cs="Times New Roman"/>
              </w:rPr>
              <w:br/>
              <w:t xml:space="preserve">    -   Infection can ascend via the ureter to the kidney, triggering acute pyelonephritis. The text notes that lymphocele complications include "infection and pain," and inadequate preoperative preparation increases the risk of pelvic infection.</w:t>
            </w:r>
            <w:r w:rsidRPr="00CB2EC4">
              <w:rPr>
                <w:rFonts w:ascii="Times New Roman" w:hAnsi="Times New Roman" w:cs="Times New Roman"/>
              </w:rPr>
              <w:br/>
              <w:t xml:space="preserve">    (Source: [Similarity: 0.526] and [Similarity: 0.457])</w:t>
            </w:r>
            <w:r w:rsidRPr="00CB2EC4">
              <w:rPr>
                <w:rFonts w:ascii="Times New Roman" w:hAnsi="Times New Roman" w:cs="Times New Roman"/>
              </w:rPr>
              <w:br/>
            </w:r>
            <w:r w:rsidRPr="00CB2EC4">
              <w:rPr>
                <w:rFonts w:ascii="Times New Roman" w:hAnsi="Times New Roman" w:cs="Times New Roman"/>
              </w:rPr>
              <w:br/>
              <w:t>4.  Acute pyelonephritis onset:</w:t>
            </w:r>
            <w:r w:rsidRPr="00CB2EC4">
              <w:rPr>
                <w:rFonts w:ascii="Times New Roman" w:hAnsi="Times New Roman" w:cs="Times New Roman"/>
              </w:rPr>
              <w:br/>
              <w:t xml:space="preserve">    -   Hydronephrosis combined with bacterial infection manifests as fever, flank pain, and pyuria, consistent with acute pyelonephritis. The text states that urinary tract infections (e.g., secondary to urinary retention) can present acutely, exacerbating renal damage.</w:t>
            </w:r>
            <w:r w:rsidRPr="00CB2EC4">
              <w:rPr>
                <w:rFonts w:ascii="Times New Roman" w:hAnsi="Times New Roman" w:cs="Times New Roman"/>
              </w:rPr>
              <w:br/>
            </w:r>
            <w:r w:rsidRPr="00CB2EC4">
              <w:rPr>
                <w:rFonts w:ascii="Times New Roman" w:hAnsi="Times New Roman" w:cs="Times New Roman"/>
              </w:rPr>
              <w:lastRenderedPageBreak/>
              <w:t xml:space="preserve">    (Source: [Similarity: 0.455])</w:t>
            </w:r>
            <w:r w:rsidRPr="00CB2EC4">
              <w:rPr>
                <w:rFonts w:ascii="Times New Roman" w:hAnsi="Times New Roman" w:cs="Times New Roman"/>
              </w:rPr>
              <w:br/>
            </w:r>
            <w:r w:rsidRPr="00CB2EC4">
              <w:rPr>
                <w:rFonts w:ascii="Times New Roman" w:hAnsi="Times New Roman" w:cs="Times New Roman"/>
              </w:rPr>
              <w:br/>
              <w:t>Pathophysiological chain summary: Lymphocele → Ureteral obstruction → Hydronephrosis → Bacterial proliferation/ascending infection → Acute pyelonephritis. The text does not directly mention "pyelonephritis," but this chain is reasonably inferred based on the described complications.</w:t>
            </w:r>
          </w:p>
        </w:tc>
        <w:tc>
          <w:tcPr>
            <w:tcW w:w="1152" w:type="dxa"/>
            <w:vAlign w:val="center"/>
          </w:tcPr>
          <w:p w14:paraId="2732175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7B701E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D1FBAD"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43B0117A" w14:textId="77777777" w:rsidTr="00547D77">
        <w:tc>
          <w:tcPr>
            <w:tcW w:w="10656" w:type="dxa"/>
            <w:gridSpan w:val="5"/>
            <w:tcBorders>
              <w:bottom w:val="single" w:sz="6" w:space="0" w:color="auto"/>
            </w:tcBorders>
            <w:vAlign w:val="center"/>
          </w:tcPr>
          <w:p w14:paraId="0A38E4D9"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lastRenderedPageBreak/>
              <w:t>Question 195: During laparoscopic surgery, what factors or events of different natures might necessitate a conversion to laparotomy? Please list at least three specific reasons of different types.</w:t>
            </w:r>
          </w:p>
        </w:tc>
      </w:tr>
      <w:tr w:rsidR="00916494" w:rsidRPr="00CB2EC4" w14:paraId="57A7369E" w14:textId="77777777" w:rsidTr="00547D77">
        <w:tc>
          <w:tcPr>
            <w:tcW w:w="2160" w:type="dxa"/>
            <w:vAlign w:val="center"/>
          </w:tcPr>
          <w:p w14:paraId="549B5B7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710145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1. Obesity: Leads to difficult surgical field exposure and limited operative space, accounting for 30% of cases converted to open surgery.  </w:t>
            </w:r>
            <w:r w:rsidRPr="00CB2EC4">
              <w:rPr>
                <w:rFonts w:ascii="Times New Roman" w:hAnsi="Times New Roman" w:cs="Times New Roman"/>
              </w:rPr>
              <w:br/>
              <w:t xml:space="preserve">2. Previous surgical adhesions: Cause unclear anatomical structures and increase the risk of intestinal or vascular injury, accounting for 17% of cases converted to open surgery.  </w:t>
            </w:r>
            <w:r w:rsidRPr="00CB2EC4">
              <w:rPr>
                <w:rFonts w:ascii="Times New Roman" w:hAnsi="Times New Roman" w:cs="Times New Roman"/>
              </w:rPr>
              <w:br/>
              <w:t xml:space="preserve">3. Uncontrollable intraoperative bleeding: Such as major vascular injury or difficulty achieving hemostasis, requiring immediate conversion to open surgery to control the bleeding source.  </w:t>
            </w:r>
            <w:r w:rsidRPr="00CB2EC4">
              <w:rPr>
                <w:rFonts w:ascii="Times New Roman" w:hAnsi="Times New Roman" w:cs="Times New Roman"/>
              </w:rPr>
              <w:br/>
              <w:t xml:space="preserve">4. Injury to vital organs: For example, accidental intraoperative damage to the intestines, bladder, ureter, or major blood vessels, necessitating open exploration and repair.  </w:t>
            </w:r>
            <w:r w:rsidRPr="00CB2EC4">
              <w:rPr>
                <w:rFonts w:ascii="Times New Roman" w:hAnsi="Times New Roman" w:cs="Times New Roman"/>
              </w:rPr>
              <w:br/>
              <w:t xml:space="preserve">5. Tumor-related factors: Including excessively large tumor size, deep location, or invasion of surrounding tissues, making laparoscopic resection unsafe.  </w:t>
            </w:r>
            <w:r w:rsidRPr="00CB2EC4">
              <w:rPr>
                <w:rFonts w:ascii="Times New Roman" w:hAnsi="Times New Roman" w:cs="Times New Roman"/>
              </w:rPr>
              <w:br/>
              <w:t xml:space="preserve">6. Abnormal or variant anatomical structures: Such as congenital situs inversus or vascular malformations, rendering laparoscopic procedures unsafe.  </w:t>
            </w:r>
            <w:r w:rsidRPr="00CB2EC4">
              <w:rPr>
                <w:rFonts w:ascii="Times New Roman" w:hAnsi="Times New Roman" w:cs="Times New Roman"/>
              </w:rPr>
              <w:br/>
              <w:t xml:space="preserve">7. Pneumoperitoneum-related complications: Such as severe subcutaneous emphysema, hypercapnia, or </w:t>
            </w:r>
            <w:r w:rsidRPr="00CB2EC4">
              <w:rPr>
                <w:rFonts w:ascii="Times New Roman" w:hAnsi="Times New Roman" w:cs="Times New Roman"/>
              </w:rPr>
              <w:lastRenderedPageBreak/>
              <w:t xml:space="preserve">deterioration of cardiopulmonary function, threatening the patient's life and requiring emergency termination of laparoscopic procedures.  </w:t>
            </w:r>
            <w:r w:rsidRPr="00CB2EC4">
              <w:rPr>
                <w:rFonts w:ascii="Times New Roman" w:hAnsi="Times New Roman" w:cs="Times New Roman"/>
              </w:rPr>
              <w:br/>
              <w:t xml:space="preserve">8. Equipment failure or technical limitations: Such as camera system collapse, critical instrument malfunction, or insufficient surgeon experience preventing continuation of the procedure.  </w:t>
            </w:r>
            <w:r w:rsidRPr="00CB2EC4">
              <w:rPr>
                <w:rFonts w:ascii="Times New Roman" w:hAnsi="Times New Roman" w:cs="Times New Roman"/>
              </w:rPr>
              <w:br/>
              <w:t xml:space="preserve">9. Intraoperative discovery of malignant tumor dissemination or extensive peritoneal metastasis: Requiring expanded exploration and complex reconstruction beyond the scope of laparoscopic capabilities.  </w:t>
            </w:r>
            <w:r w:rsidRPr="00CB2EC4">
              <w:rPr>
                <w:rFonts w:ascii="Times New Roman" w:hAnsi="Times New Roman" w:cs="Times New Roman"/>
              </w:rPr>
              <w:br/>
              <w:t>10. Severe inflammation causing unclear local anatomy: Such as acute gangrenous appendicitis or diffuse peritonitis, with highly fragile tissues prone to rupture, necessitating conversion to open surgery.</w:t>
            </w:r>
          </w:p>
        </w:tc>
        <w:tc>
          <w:tcPr>
            <w:tcW w:w="1152" w:type="dxa"/>
            <w:vAlign w:val="center"/>
          </w:tcPr>
          <w:p w14:paraId="6EE9CF2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ABC30A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0A366B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58944133" w14:textId="77777777" w:rsidTr="00547D77">
        <w:tc>
          <w:tcPr>
            <w:tcW w:w="2160" w:type="dxa"/>
            <w:vAlign w:val="center"/>
          </w:tcPr>
          <w:p w14:paraId="44E72C95"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3A61A28"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during laparoscopic surgery, the following different types of factors or events may necessitate intraoperative conversion to open surgery (laparotomy). At least three specific reasons of distinct natures are listed below:</w:t>
            </w:r>
            <w:r w:rsidRPr="00CB2EC4">
              <w:rPr>
                <w:rFonts w:ascii="Times New Roman" w:hAnsi="Times New Roman" w:cs="Times New Roman"/>
              </w:rPr>
              <w:br/>
            </w:r>
            <w:r w:rsidRPr="00CB2EC4">
              <w:rPr>
                <w:rFonts w:ascii="Times New Roman" w:hAnsi="Times New Roman" w:cs="Times New Roman"/>
              </w:rPr>
              <w:br/>
              <w:t>1.  **Patient-related factors (anatomical abnormalities or physical conditions):**</w:t>
            </w:r>
            <w:r w:rsidRPr="00CB2EC4">
              <w:rPr>
                <w:rFonts w:ascii="Times New Roman" w:hAnsi="Times New Roman" w:cs="Times New Roman"/>
              </w:rPr>
              <w:br/>
              <w:t xml:space="preserve">    -   Obesity: Accounts for approximately 30% of conversions. Obesity results in poor surgical field exposure, limited operative space, and increased risk of inadvertent injury.</w:t>
            </w:r>
            <w:r w:rsidRPr="00CB2EC4">
              <w:rPr>
                <w:rFonts w:ascii="Times New Roman" w:hAnsi="Times New Roman" w:cs="Times New Roman"/>
              </w:rPr>
              <w:br/>
            </w:r>
            <w:r w:rsidRPr="00CB2EC4">
              <w:rPr>
                <w:rFonts w:ascii="Times New Roman" w:hAnsi="Times New Roman" w:cs="Times New Roman"/>
              </w:rPr>
              <w:br/>
              <w:t>2.  **History-related factors (adhesions or disease conditions):**</w:t>
            </w:r>
            <w:r w:rsidRPr="00CB2EC4">
              <w:rPr>
                <w:rFonts w:ascii="Times New Roman" w:hAnsi="Times New Roman" w:cs="Times New Roman"/>
              </w:rPr>
              <w:br/>
              <w:t xml:space="preserve">    -   Previous surgical adhesions: Accounts for about 17% of conversions. Intra-abdominal adhesions (e.g., from prior cesarean section or endometriosis) obscure </w:t>
            </w:r>
            <w:r w:rsidRPr="00CB2EC4">
              <w:rPr>
                <w:rFonts w:ascii="Times New Roman" w:hAnsi="Times New Roman" w:cs="Times New Roman"/>
              </w:rPr>
              <w:lastRenderedPageBreak/>
              <w:t>anatomical landmarks, make dissection difficult, and increase the risk of organ injury.</w:t>
            </w:r>
            <w:r w:rsidRPr="00CB2EC4">
              <w:rPr>
                <w:rFonts w:ascii="Times New Roman" w:hAnsi="Times New Roman" w:cs="Times New Roman"/>
              </w:rPr>
              <w:br/>
              <w:t xml:space="preserve">    -   Intra-abdominal pathology: Such as unexpected tumor dissemination, severe inflammation, or fibrosis, rendering laparoscopic manipulation unfeasible.</w:t>
            </w:r>
            <w:r w:rsidRPr="00CB2EC4">
              <w:rPr>
                <w:rFonts w:ascii="Times New Roman" w:hAnsi="Times New Roman" w:cs="Times New Roman"/>
              </w:rPr>
              <w:br/>
            </w:r>
            <w:r w:rsidRPr="00CB2EC4">
              <w:rPr>
                <w:rFonts w:ascii="Times New Roman" w:hAnsi="Times New Roman" w:cs="Times New Roman"/>
              </w:rPr>
              <w:br/>
              <w:t>3.  **Intraoperative complication factors (emergency events):**</w:t>
            </w:r>
            <w:r w:rsidRPr="00CB2EC4">
              <w:rPr>
                <w:rFonts w:ascii="Times New Roman" w:hAnsi="Times New Roman" w:cs="Times New Roman"/>
              </w:rPr>
              <w:br/>
              <w:t xml:space="preserve">    -   Vascular injury: Such as inadvertent injury to the iliac vessels, abdominal aorta, or vena cava, leading to massive hemorrhage and shock, requiring immediate laparotomy for hemostasis.</w:t>
            </w:r>
            <w:r w:rsidRPr="00CB2EC4">
              <w:rPr>
                <w:rFonts w:ascii="Times New Roman" w:hAnsi="Times New Roman" w:cs="Times New Roman"/>
              </w:rPr>
              <w:br/>
              <w:t xml:space="preserve">    -   Visceral injury: Such as ureteral or bowel injury; if repair is not feasible laparoscopically, conversion to open surgery is mandatory.</w:t>
            </w:r>
            <w:r w:rsidRPr="00CB2EC4">
              <w:rPr>
                <w:rFonts w:ascii="Times New Roman" w:hAnsi="Times New Roman" w:cs="Times New Roman"/>
              </w:rPr>
              <w:br/>
            </w:r>
            <w:r w:rsidRPr="00CB2EC4">
              <w:rPr>
                <w:rFonts w:ascii="Times New Roman" w:hAnsi="Times New Roman" w:cs="Times New Roman"/>
              </w:rPr>
              <w:br/>
              <w:t>(Additional reasons such as excessively large tumors or equipment failure are also noted, but the above three categories—patient constitution, prior adhesions, acute complications—are the most typical. The decision to convert is based on safety considerations to prevent further injury.)</w:t>
            </w:r>
          </w:p>
        </w:tc>
        <w:tc>
          <w:tcPr>
            <w:tcW w:w="1152" w:type="dxa"/>
            <w:vAlign w:val="center"/>
          </w:tcPr>
          <w:p w14:paraId="46465C0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4651BE"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BA928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B85183D" w14:textId="77777777" w:rsidTr="00547D77">
        <w:tc>
          <w:tcPr>
            <w:tcW w:w="10656" w:type="dxa"/>
            <w:gridSpan w:val="5"/>
            <w:tcBorders>
              <w:bottom w:val="single" w:sz="6" w:space="0" w:color="auto"/>
            </w:tcBorders>
            <w:vAlign w:val="center"/>
          </w:tcPr>
          <w:p w14:paraId="4A961A8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196: What are the common methods for managing the uterine vessels during a laparoscopic total hysterectomy?</w:t>
            </w:r>
          </w:p>
        </w:tc>
      </w:tr>
      <w:tr w:rsidR="00916494" w:rsidRPr="00CB2EC4" w14:paraId="5B47AEB3" w14:textId="77777777" w:rsidTr="00547D77">
        <w:tc>
          <w:tcPr>
            <w:tcW w:w="2160" w:type="dxa"/>
            <w:vAlign w:val="center"/>
          </w:tcPr>
          <w:p w14:paraId="3BFFE2E2"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2AFC25B"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the commonly used methods for managing uterine vessels during total laparoscopic hysterectomy (TLH) include ligation, electrocoagulation, or the use of titanium clips/staplers (such as EndoGIA). The specific descriptions are as follows:  </w:t>
            </w:r>
            <w:r w:rsidRPr="00CB2EC4">
              <w:rPr>
                <w:rFonts w:ascii="Times New Roman" w:hAnsi="Times New Roman" w:cs="Times New Roman"/>
              </w:rPr>
              <w:br/>
              <w:t xml:space="preserve">- In the [similarity: 0.462] excerpt: "If the surgeon plans to ligate the uterine vessels laparoscopically, the anterior and posterior leaves of the broad ligament should be further dissected... using a sharp curved dissector gently. If electrocautery (ESU) is used, </w:t>
            </w:r>
            <w:r w:rsidRPr="00CB2EC4">
              <w:rPr>
                <w:rFonts w:ascii="Times New Roman" w:hAnsi="Times New Roman" w:cs="Times New Roman"/>
              </w:rPr>
              <w:lastRenderedPageBreak/>
              <w:t xml:space="preserve">extreme caution is required."  </w:t>
            </w:r>
            <w:r w:rsidRPr="00CB2EC4">
              <w:rPr>
                <w:rFonts w:ascii="Times New Roman" w:hAnsi="Times New Roman" w:cs="Times New Roman"/>
              </w:rPr>
              <w:br/>
              <w:t xml:space="preserve">- The same [similarity: 0.462] excerpt also states: "Use a titanium clip applier (EndoGIA) to transversely clamp and ligate" structures such as the pelvic infundibular ligament, indicating that similar instruments may be used for vascular management.  </w:t>
            </w:r>
            <w:r w:rsidRPr="00CB2EC4">
              <w:rPr>
                <w:rFonts w:ascii="Times New Roman" w:hAnsi="Times New Roman" w:cs="Times New Roman"/>
              </w:rPr>
              <w:br/>
              <w:t xml:space="preserve">- In the [similarity: 0.420] excerpt: "Ligate using a vessel sealing device, other coagulating/cutting instruments, or an endoscopic stapler," which, although referring to the sacrouterine ligament, indirectly supports the use of coagulating/cutting instruments for vessel management.  </w:t>
            </w:r>
            <w:r w:rsidRPr="00CB2EC4">
              <w:rPr>
                <w:rFonts w:ascii="Times New Roman" w:hAnsi="Times New Roman" w:cs="Times New Roman"/>
              </w:rPr>
              <w:br/>
              <w:t>In summary, the commonly used methods are: ligation (e.g., suturing or titanium clips), electrocoagulation (monopolar or bipolar), or staplers (such as EndoGIA), with the specific choice depending on the surgeon’s preference and patient factors. The documents do not specify a single method but emphasize the principles of reliable hemostasis and avoidance of collateral injury.</w:t>
            </w:r>
          </w:p>
        </w:tc>
        <w:tc>
          <w:tcPr>
            <w:tcW w:w="1152" w:type="dxa"/>
            <w:vAlign w:val="center"/>
          </w:tcPr>
          <w:p w14:paraId="0BBFF72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E7846D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742732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4F67D868" w14:textId="77777777" w:rsidTr="00547D77">
        <w:tc>
          <w:tcPr>
            <w:tcW w:w="2160" w:type="dxa"/>
            <w:vAlign w:val="center"/>
          </w:tcPr>
          <w:p w14:paraId="6805F093"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6EB38A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the commonly used method for managing uterine vessels during total laparoscopic hysterectomy (TLH) is as follows:</w:t>
            </w:r>
            <w:r w:rsidRPr="00CB2EC4">
              <w:rPr>
                <w:rFonts w:ascii="Times New Roman" w:hAnsi="Times New Roman" w:cs="Times New Roman"/>
              </w:rPr>
              <w:br/>
            </w:r>
            <w:r w:rsidRPr="00CB2EC4">
              <w:rPr>
                <w:rFonts w:ascii="Times New Roman" w:hAnsi="Times New Roman" w:cs="Times New Roman"/>
              </w:rPr>
              <w:br/>
              <w:t>- If the surgeon plans to ligate the uterine vessels laparoscopically, blunt and sharp dissection with curved scissors or a dissector is performed at the relevant site to clearly expose the uterine vessels.</w:t>
            </w:r>
            <w:r w:rsidRPr="00CB2EC4">
              <w:rPr>
                <w:rFonts w:ascii="Times New Roman" w:hAnsi="Times New Roman" w:cs="Times New Roman"/>
              </w:rPr>
              <w:br/>
              <w:t>- The vessels are then clipped and divided under direct vision using titanium clips or staples.</w:t>
            </w:r>
            <w:r w:rsidRPr="00CB2EC4">
              <w:rPr>
                <w:rFonts w:ascii="Times New Roman" w:hAnsi="Times New Roman" w:cs="Times New Roman"/>
              </w:rPr>
              <w:br/>
              <w:t xml:space="preserve">- This method of applying titanium clips before transection allows for more accurate handling of one of the most challenging steps in hysterectomy and is more reliable than using loops or bipolar </w:t>
            </w:r>
            <w:r w:rsidRPr="00CB2EC4">
              <w:rPr>
                <w:rFonts w:ascii="Times New Roman" w:hAnsi="Times New Roman" w:cs="Times New Roman"/>
              </w:rPr>
              <w:lastRenderedPageBreak/>
              <w:t>electrocoagulation, reducing the risk of complications such as bleeding.</w:t>
            </w:r>
            <w:r w:rsidRPr="00CB2EC4">
              <w:rPr>
                <w:rFonts w:ascii="Times New Roman" w:hAnsi="Times New Roman" w:cs="Times New Roman"/>
              </w:rPr>
              <w:br/>
            </w:r>
            <w:r w:rsidRPr="00CB2EC4">
              <w:rPr>
                <w:rFonts w:ascii="Times New Roman" w:hAnsi="Times New Roman" w:cs="Times New Roman"/>
              </w:rPr>
              <w:br/>
              <w:t>thus, based on the document, the standard approach in TLH for uterine vessel management is direct laparoscopic visualization followed by application of titanium clips or staples for ligation and division, which is preferred over loop ligation or bipolar coagulation.</w:t>
            </w:r>
          </w:p>
        </w:tc>
        <w:tc>
          <w:tcPr>
            <w:tcW w:w="1152" w:type="dxa"/>
            <w:vAlign w:val="center"/>
          </w:tcPr>
          <w:p w14:paraId="48E9452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80F6F0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23CC7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8A2E88B" w14:textId="77777777" w:rsidTr="00547D77">
        <w:tc>
          <w:tcPr>
            <w:tcW w:w="10656" w:type="dxa"/>
            <w:gridSpan w:val="5"/>
            <w:tcBorders>
              <w:bottom w:val="single" w:sz="6" w:space="0" w:color="auto"/>
            </w:tcBorders>
            <w:vAlign w:val="center"/>
          </w:tcPr>
          <w:p w14:paraId="5DE5EC30"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197: What are the indications for a laparoscopically assisted vaginal hysterectomy (LAVH)?</w:t>
            </w:r>
          </w:p>
        </w:tc>
      </w:tr>
      <w:tr w:rsidR="00916494" w:rsidRPr="00CB2EC4" w14:paraId="1B152CDB" w14:textId="77777777" w:rsidTr="00547D77">
        <w:tc>
          <w:tcPr>
            <w:tcW w:w="2160" w:type="dxa"/>
            <w:vAlign w:val="center"/>
          </w:tcPr>
          <w:p w14:paraId="7CC0070A"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6DDB161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Section 6 Laparoscopically Assisted Vaginal Hysterectomy  </w:t>
            </w:r>
            <w:r w:rsidRPr="00CB2EC4">
              <w:rPr>
                <w:rFonts w:ascii="Times New Roman" w:hAnsi="Times New Roman" w:cs="Times New Roman"/>
              </w:rPr>
              <w:br/>
              <w:t xml:space="preserve">I. Indications (for patients without pelvic adhesions):  </w:t>
            </w:r>
            <w:r w:rsidRPr="00CB2EC4">
              <w:rPr>
                <w:rFonts w:ascii="Times New Roman" w:hAnsi="Times New Roman" w:cs="Times New Roman"/>
              </w:rPr>
              <w:br/>
              <w:t xml:space="preserve">- (1) Uterine prolapse;  </w:t>
            </w:r>
            <w:r w:rsidRPr="00CB2EC4">
              <w:rPr>
                <w:rFonts w:ascii="Times New Roman" w:hAnsi="Times New Roman" w:cs="Times New Roman"/>
              </w:rPr>
              <w:br/>
              <w:t xml:space="preserve">- (2) Dysfunctional uterine bleeding refractory to conservative treatment;  </w:t>
            </w:r>
            <w:r w:rsidRPr="00CB2EC4">
              <w:rPr>
                <w:rFonts w:ascii="Times New Roman" w:hAnsi="Times New Roman" w:cs="Times New Roman"/>
              </w:rPr>
              <w:br/>
              <w:t xml:space="preserve">- (3) Benign uterine tumors;  </w:t>
            </w:r>
            <w:r w:rsidRPr="00CB2EC4">
              <w:rPr>
                <w:rFonts w:ascii="Times New Roman" w:hAnsi="Times New Roman" w:cs="Times New Roman"/>
              </w:rPr>
              <w:br/>
              <w:t>- (4) Endometrial hyperplasia.</w:t>
            </w:r>
          </w:p>
        </w:tc>
        <w:tc>
          <w:tcPr>
            <w:tcW w:w="1152" w:type="dxa"/>
            <w:vAlign w:val="center"/>
          </w:tcPr>
          <w:p w14:paraId="08EAB21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BEF87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F4DE9F4"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2ACF649A" w14:textId="77777777" w:rsidTr="00547D77">
        <w:tc>
          <w:tcPr>
            <w:tcW w:w="2160" w:type="dxa"/>
            <w:vAlign w:val="center"/>
          </w:tcPr>
          <w:p w14:paraId="166680BD"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565887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Laparoscopic-Assisted Vaginal Hysterectomy  </w:t>
            </w:r>
            <w:r w:rsidRPr="00CB2EC4">
              <w:rPr>
                <w:rFonts w:ascii="Times New Roman" w:hAnsi="Times New Roman" w:cs="Times New Roman"/>
              </w:rPr>
              <w:br/>
            </w:r>
            <w:r w:rsidRPr="00CB2EC4">
              <w:rPr>
                <w:rFonts w:ascii="Times New Roman" w:hAnsi="Times New Roman" w:cs="Times New Roman"/>
              </w:rPr>
              <w:br/>
              <w:t xml:space="preserve"># I. Indications  </w:t>
            </w:r>
            <w:r w:rsidRPr="00CB2EC4">
              <w:rPr>
                <w:rFonts w:ascii="Times New Roman" w:hAnsi="Times New Roman" w:cs="Times New Roman"/>
              </w:rPr>
              <w:br/>
              <w:t xml:space="preserve">Applicable in the following conditions without pelvic adhesions:  </w:t>
            </w:r>
            <w:r w:rsidRPr="00CB2EC4">
              <w:rPr>
                <w:rFonts w:ascii="Times New Roman" w:hAnsi="Times New Roman" w:cs="Times New Roman"/>
              </w:rPr>
              <w:br/>
              <w:t xml:space="preserve">(1) Uterine prolapse;  </w:t>
            </w:r>
            <w:r w:rsidRPr="00CB2EC4">
              <w:rPr>
                <w:rFonts w:ascii="Times New Roman" w:hAnsi="Times New Roman" w:cs="Times New Roman"/>
              </w:rPr>
              <w:br/>
              <w:t xml:space="preserve">(2) Dysfunctional uterine bleeding refractory to conservative treatment;  </w:t>
            </w:r>
            <w:r w:rsidRPr="00CB2EC4">
              <w:rPr>
                <w:rFonts w:ascii="Times New Roman" w:hAnsi="Times New Roman" w:cs="Times New Roman"/>
              </w:rPr>
              <w:br/>
              <w:t xml:space="preserve">(3) Benign uterine tumors;  </w:t>
            </w:r>
            <w:r w:rsidRPr="00CB2EC4">
              <w:rPr>
                <w:rFonts w:ascii="Times New Roman" w:hAnsi="Times New Roman" w:cs="Times New Roman"/>
              </w:rPr>
              <w:br/>
              <w:t>(4) Endometrial hyperplasia.</w:t>
            </w:r>
          </w:p>
        </w:tc>
        <w:tc>
          <w:tcPr>
            <w:tcW w:w="1152" w:type="dxa"/>
            <w:vAlign w:val="center"/>
          </w:tcPr>
          <w:p w14:paraId="5330DA6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436880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0DC87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r>
      <w:tr w:rsidR="00916494" w:rsidRPr="00CB2EC4" w14:paraId="220CADD3" w14:textId="77777777" w:rsidTr="00547D77">
        <w:tc>
          <w:tcPr>
            <w:tcW w:w="10656" w:type="dxa"/>
            <w:gridSpan w:val="5"/>
            <w:tcBorders>
              <w:bottom w:val="single" w:sz="6" w:space="0" w:color="auto"/>
            </w:tcBorders>
            <w:vAlign w:val="center"/>
          </w:tcPr>
          <w:p w14:paraId="715341B5"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198: In a laparoscopically assisted vaginal hysterectomy (LAVH), after managing the round ligament and the infundibulopelvic ligament, how are the uterine vessels handled?</w:t>
            </w:r>
          </w:p>
        </w:tc>
      </w:tr>
      <w:tr w:rsidR="00916494" w:rsidRPr="00CB2EC4" w14:paraId="69E846E1" w14:textId="77777777" w:rsidTr="00547D77">
        <w:tc>
          <w:tcPr>
            <w:tcW w:w="2160" w:type="dxa"/>
            <w:vAlign w:val="center"/>
          </w:tcPr>
          <w:p w14:paraId="5B752EE0"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9941C32"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after the round ligaments and the infundibulopelvic ligaments have been managed, the approach to the uterine vessels depends on the degree of pelvic floor </w:t>
            </w:r>
            <w:r w:rsidRPr="00CB2EC4">
              <w:rPr>
                <w:rFonts w:ascii="Times New Roman" w:hAnsi="Times New Roman" w:cs="Times New Roman"/>
              </w:rPr>
              <w:lastRenderedPageBreak/>
              <w:t xml:space="preserve">relaxation and vaginal exposure:  </w:t>
            </w:r>
            <w:r w:rsidRPr="00CB2EC4">
              <w:rPr>
                <w:rFonts w:ascii="Times New Roman" w:hAnsi="Times New Roman" w:cs="Times New Roman"/>
              </w:rPr>
              <w:br/>
              <w:t xml:space="preserve">- if the pelvic floor is relaxed and the uterine vessels are easily accessible vaginally, there is no need to manage the uterine vessels laparoscopically; vaginal management is preferred for safety (the specific vaginal technique is not detailed in the document).  </w:t>
            </w:r>
            <w:r w:rsidRPr="00CB2EC4">
              <w:rPr>
                <w:rFonts w:ascii="Times New Roman" w:hAnsi="Times New Roman" w:cs="Times New Roman"/>
              </w:rPr>
              <w:br/>
              <w:t xml:space="preserve">- if the pelvic floor is not relaxed and vaginal exposure is limited, manage the uterine vessels laparoscopically: further separate the anterior and posterior leaves of the broad ligament, then ligate, coagulate, or divide the vessels using methods such as suturing, electrocautery, or a stapling device (e.g., EndoGIA).  </w:t>
            </w:r>
            <w:r w:rsidRPr="00CB2EC4">
              <w:rPr>
                <w:rFonts w:ascii="Times New Roman" w:hAnsi="Times New Roman" w:cs="Times New Roman"/>
              </w:rPr>
              <w:br/>
              <w:t>the document notes that laparoscopic management requires careful technique to avoid complications but does not provide more detailed procedural steps.</w:t>
            </w:r>
          </w:p>
        </w:tc>
        <w:tc>
          <w:tcPr>
            <w:tcW w:w="1152" w:type="dxa"/>
            <w:vAlign w:val="center"/>
          </w:tcPr>
          <w:p w14:paraId="020A755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643856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60DC1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7065A67" w14:textId="77777777" w:rsidTr="00547D77">
        <w:tc>
          <w:tcPr>
            <w:tcW w:w="2160" w:type="dxa"/>
            <w:vAlign w:val="center"/>
          </w:tcPr>
          <w:p w14:paraId="0EF40E7E"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43DCA8B4"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after handling the round ligament and the pelvic infundibular ligament, the management of the uterine vessels in LAVH depends on the pelvic floor condition:</w:t>
            </w:r>
            <w:r w:rsidRPr="00CB2EC4">
              <w:rPr>
                <w:rFonts w:ascii="Times New Roman" w:hAnsi="Times New Roman" w:cs="Times New Roman"/>
              </w:rPr>
              <w:br/>
            </w:r>
            <w:r w:rsidRPr="00CB2EC4">
              <w:rPr>
                <w:rFonts w:ascii="Times New Roman" w:hAnsi="Times New Roman" w:cs="Times New Roman"/>
              </w:rPr>
              <w:br/>
              <w:t>- If the pelvic floor is relatively relaxed and the uterine vessels can be easily exposed vaginally, there is no need to manage the uterine vessels laparoscopically. They may be handled vaginally (clamped, cut, and ligated).</w:t>
            </w:r>
            <w:r w:rsidRPr="00CB2EC4">
              <w:rPr>
                <w:rFonts w:ascii="Times New Roman" w:hAnsi="Times New Roman" w:cs="Times New Roman"/>
              </w:rPr>
              <w:br/>
              <w:t>- If the pelvic floor is not relaxed and vaginal exposure is limited, it is more reliable to manage the uterine vessels laparoscopically: use curved scissors or a dissector to separate bluntly and sharply until the uterine vessels are clearly exposed. Then, under direct vision, apply titanium clips to clamp and divide the uterine vessels.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According to the procedural steps, the next step after this is the handling of the uterosacral ligament and uterine vessels, i.e., clamping, cutting, and ligating. When the pelvic floor is not relaxed, the laparoscopic approach involves: "using curved scissors or a dissector for blunt plus sharp dissection... the uterine vessels will be clearly exposed. Titanium clips should be applied under direct vision to clamp and divide the uterine vessels."</w:t>
            </w:r>
          </w:p>
        </w:tc>
        <w:tc>
          <w:tcPr>
            <w:tcW w:w="1152" w:type="dxa"/>
            <w:vAlign w:val="center"/>
          </w:tcPr>
          <w:p w14:paraId="0340CC53"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7EB31D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E3ECF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57338C0" w14:textId="77777777" w:rsidTr="00547D77">
        <w:tc>
          <w:tcPr>
            <w:tcW w:w="10656" w:type="dxa"/>
            <w:gridSpan w:val="5"/>
            <w:tcBorders>
              <w:bottom w:val="single" w:sz="6" w:space="0" w:color="auto"/>
            </w:tcBorders>
            <w:vAlign w:val="center"/>
          </w:tcPr>
          <w:p w14:paraId="49C714BB"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199: A 38-year-old patient with early-stage endometrial cancer has ovaries that appear normal upon intraoperative exploration. According to the text, what are the special considerations regarding the extent of surgery when performing a laparoscopic radical hysterectomy for such a patient?</w:t>
            </w:r>
          </w:p>
        </w:tc>
      </w:tr>
      <w:tr w:rsidR="00916494" w:rsidRPr="00CB2EC4" w14:paraId="3AF72070" w14:textId="77777777" w:rsidTr="00547D77">
        <w:tc>
          <w:tcPr>
            <w:tcW w:w="2160" w:type="dxa"/>
            <w:vAlign w:val="center"/>
          </w:tcPr>
          <w:p w14:paraId="60551063"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3A62A2DF"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a 38-year-old patient with early-stage endometrial cancer and normal intraoperative ovarian findings, special considerations regarding the surgical scope during laparoscopic radical hysterectomy include:</w:t>
            </w:r>
            <w:r w:rsidRPr="00CB2EC4">
              <w:rPr>
                <w:rFonts w:ascii="Times New Roman" w:hAnsi="Times New Roman" w:cs="Times New Roman"/>
              </w:rPr>
              <w:br/>
            </w:r>
            <w:r w:rsidRPr="00CB2EC4">
              <w:rPr>
                <w:rFonts w:ascii="Times New Roman" w:hAnsi="Times New Roman" w:cs="Times New Roman"/>
              </w:rPr>
              <w:br/>
              <w:t>- the option to preserve one ovary to maintain female physiological function</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t>- in the section "laparoscopic radical hysterectomy with pelvic lymphadenectomy" under "3. surgical scope": "for patients with endometrial cancer under 40 years of age with early-stage disease and normal ovarian findings upon careful examination, preservation of one ovary may be considered to maintain female physiological function."</w:t>
            </w:r>
            <w:r w:rsidRPr="00CB2EC4">
              <w:rPr>
                <w:rFonts w:ascii="Times New Roman" w:hAnsi="Times New Roman" w:cs="Times New Roman"/>
              </w:rPr>
              <w:br/>
              <w:t xml:space="preserve">- another source states identically: "for patients with endometrial cancer under 40 years of age with early-stage disease, careful examination of the ovaries showing no abnormalities allows consideration of preserving one ovary to maintain female physiological </w:t>
            </w:r>
            <w:r w:rsidRPr="00CB2EC4">
              <w:rPr>
                <w:rFonts w:ascii="Times New Roman" w:hAnsi="Times New Roman" w:cs="Times New Roman"/>
              </w:rPr>
              <w:lastRenderedPageBreak/>
              <w:t>function."</w:t>
            </w:r>
            <w:r w:rsidRPr="00CB2EC4">
              <w:rPr>
                <w:rFonts w:ascii="Times New Roman" w:hAnsi="Times New Roman" w:cs="Times New Roman"/>
              </w:rPr>
              <w:br/>
            </w:r>
            <w:r w:rsidRPr="00CB2EC4">
              <w:rPr>
                <w:rFonts w:ascii="Times New Roman" w:hAnsi="Times New Roman" w:cs="Times New Roman"/>
              </w:rPr>
              <w:br/>
              <w:t>therefore, the surgical scope includes radical hysterectomy and pelvic lymph node dissection, but for this patient, one ovary may be retained (instead of routine bilateral adnexectomy) provided the disease is early-stage and the ovaries are normal.</w:t>
            </w:r>
          </w:p>
        </w:tc>
        <w:tc>
          <w:tcPr>
            <w:tcW w:w="1152" w:type="dxa"/>
            <w:vAlign w:val="center"/>
          </w:tcPr>
          <w:p w14:paraId="750F16FB"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EF19072"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3F499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55DF0E04" w14:textId="77777777" w:rsidTr="00547D77">
        <w:tc>
          <w:tcPr>
            <w:tcW w:w="2160" w:type="dxa"/>
            <w:vAlign w:val="center"/>
          </w:tcPr>
          <w:p w14:paraId="35A448D2"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7A8A7BD9"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for a 38-year-old patient with early-stage endometrial cancer and no abnormalities found in the ovaries during intraoperative exploration, the special consideration regarding the surgical scope during laparoscopic radical hysterectomy is:</w:t>
            </w:r>
            <w:r w:rsidRPr="00CB2EC4">
              <w:rPr>
                <w:rFonts w:ascii="Times New Roman" w:hAnsi="Times New Roman" w:cs="Times New Roman"/>
              </w:rPr>
              <w:br/>
            </w:r>
            <w:r w:rsidRPr="00CB2EC4">
              <w:rPr>
                <w:rFonts w:ascii="Times New Roman" w:hAnsi="Times New Roman" w:cs="Times New Roman"/>
              </w:rPr>
              <w:br/>
              <w:t>- one ovary may be preserved to maintain female physiological function, as recommended for patients under 40 years of age with early-stage disease and normal-appearing ovaries intraoperatively</w:t>
            </w:r>
            <w:r w:rsidRPr="00CB2EC4">
              <w:rPr>
                <w:rFonts w:ascii="Times New Roman" w:hAnsi="Times New Roman" w:cs="Times New Roman"/>
              </w:rPr>
              <w:br/>
              <w:t>- standard radical hysterectomy is performed, including removal of the uterus, fallopian tubes, and pelvic lymph nodes</w:t>
            </w:r>
            <w:r w:rsidRPr="00CB2EC4">
              <w:rPr>
                <w:rFonts w:ascii="Times New Roman" w:hAnsi="Times New Roman" w:cs="Times New Roman"/>
              </w:rPr>
              <w:br/>
              <w:t>- ovarian preservation is contingent upon confirmed early-stage disease and absence of ovarian involvement or metastasis</w:t>
            </w:r>
            <w:r w:rsidRPr="00CB2EC4">
              <w:rPr>
                <w:rFonts w:ascii="Times New Roman" w:hAnsi="Times New Roman" w:cs="Times New Roman"/>
              </w:rPr>
              <w:br/>
            </w:r>
            <w:r w:rsidRPr="00CB2EC4">
              <w:rPr>
                <w:rFonts w:ascii="Times New Roman" w:hAnsi="Times New Roman" w:cs="Times New Roman"/>
              </w:rPr>
              <w:br/>
              <w:t>this approach balances oncological safety with quality-of-life considerations for younger patients.</w:t>
            </w:r>
          </w:p>
        </w:tc>
        <w:tc>
          <w:tcPr>
            <w:tcW w:w="1152" w:type="dxa"/>
            <w:vAlign w:val="center"/>
          </w:tcPr>
          <w:p w14:paraId="2DBE32B0"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AB515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5C7AC7"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7B39C042" w14:textId="77777777" w:rsidTr="00547D77">
        <w:tc>
          <w:tcPr>
            <w:tcW w:w="10656" w:type="dxa"/>
            <w:gridSpan w:val="5"/>
            <w:tcBorders>
              <w:bottom w:val="single" w:sz="6" w:space="0" w:color="auto"/>
            </w:tcBorders>
            <w:vAlign w:val="center"/>
          </w:tcPr>
          <w:p w14:paraId="692994AE" w14:textId="77777777" w:rsidR="00916494" w:rsidRPr="00CB2EC4" w:rsidRDefault="00916494" w:rsidP="00547D77">
            <w:pPr>
              <w:rPr>
                <w:rFonts w:ascii="Times New Roman" w:hAnsi="Times New Roman" w:cs="Times New Roman"/>
              </w:rPr>
            </w:pPr>
            <w:r w:rsidRPr="00CB2EC4">
              <w:rPr>
                <w:rFonts w:ascii="Times New Roman" w:hAnsi="Times New Roman" w:cs="Times New Roman"/>
                <w:b/>
              </w:rPr>
              <w:t>Question 200: During the initial exploratory phase of a laparoscopic radical hysterectomy, if suspicious pelvic lymph nodes are found and sent for frozen section pathology, and the result is positive, how should the subsequent surgical plan be adjusted?</w:t>
            </w:r>
          </w:p>
        </w:tc>
      </w:tr>
      <w:tr w:rsidR="00916494" w:rsidRPr="00CB2EC4" w14:paraId="7DBBB333" w14:textId="77777777" w:rsidTr="00547D77">
        <w:tc>
          <w:tcPr>
            <w:tcW w:w="2160" w:type="dxa"/>
            <w:vAlign w:val="center"/>
          </w:tcPr>
          <w:p w14:paraId="71919723" w14:textId="77777777" w:rsidR="00916494" w:rsidRPr="00CB2EC4" w:rsidRDefault="00916494" w:rsidP="00547D77">
            <w:pPr>
              <w:rPr>
                <w:rFonts w:ascii="Times New Roman" w:hAnsi="Times New Roman" w:cs="Times New Roman"/>
              </w:rPr>
            </w:pPr>
            <w:r>
              <w:rPr>
                <w:rFonts w:ascii="Times New Roman" w:hAnsi="Times New Roman" w:cs="Times New Roman"/>
              </w:rPr>
              <w:t>Chunk size=512, Overlap=0 Using TokenTextSplitter</w:t>
            </w:r>
          </w:p>
        </w:tc>
        <w:tc>
          <w:tcPr>
            <w:tcW w:w="5040" w:type="dxa"/>
            <w:vAlign w:val="center"/>
          </w:tcPr>
          <w:p w14:paraId="796020F5"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 xml:space="preserve">in the initial exploration phase of laparoscopic radical hysterectomy, if suspicious pelvic lymph nodes are found and sent for intraoperative frozen section pathology, and the result is positive, then the subsequent surgical plan should be adjusted as </w:t>
            </w:r>
            <w:r w:rsidRPr="00CB2EC4">
              <w:rPr>
                <w:rFonts w:ascii="Times New Roman" w:hAnsi="Times New Roman" w:cs="Times New Roman"/>
              </w:rPr>
              <w:lastRenderedPageBreak/>
              <w:t>follows: abandon the radical hysterectomy and instead perform sampling of the para-aortic lymph nodes to determine the range of radiotherapy.</w:t>
            </w:r>
            <w:r w:rsidRPr="00CB2EC4">
              <w:rPr>
                <w:rFonts w:ascii="Times New Roman" w:hAnsi="Times New Roman" w:cs="Times New Roman"/>
              </w:rPr>
              <w:br/>
            </w:r>
            <w:r w:rsidRPr="00CB2EC4">
              <w:rPr>
                <w:rFonts w:ascii="Times New Roman" w:hAnsi="Times New Roman" w:cs="Times New Roman"/>
              </w:rPr>
              <w:br/>
              <w:t>based on the document content, under "section seven: laparoscopic radical hysterectomy with pelvic lymphadenectomy," subsection "4. surgical technique and methods" states: "assess pelvic lymph nodes for obvious metastasis: resect any suspicious pelvic lymph nodes and send for intraoperative frozen section pathological examination. if lymph node metastasis is positive, abandon radical hysterectomy and perform para-aortic lymph node sampling to determine the range of radiotherapy." therefore, the adjustment is to terminate the planned radical hysterectomy and proceed with para-aortic lymph node sampling to guide subsequent radiotherapy. the document does not mention other adjustments (such as chemotherapy) and emphasizes only the determination of the radiotherapy field.</w:t>
            </w:r>
          </w:p>
        </w:tc>
        <w:tc>
          <w:tcPr>
            <w:tcW w:w="1152" w:type="dxa"/>
            <w:vAlign w:val="center"/>
          </w:tcPr>
          <w:p w14:paraId="77DD51F5"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09E270F"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4D1216"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r w:rsidR="00916494" w:rsidRPr="00CB2EC4" w14:paraId="6F7107AE" w14:textId="77777777" w:rsidTr="00547D77">
        <w:tc>
          <w:tcPr>
            <w:tcW w:w="2160" w:type="dxa"/>
            <w:vAlign w:val="center"/>
          </w:tcPr>
          <w:p w14:paraId="24D6B5B2" w14:textId="77777777" w:rsidR="00916494" w:rsidRPr="00CB2EC4" w:rsidRDefault="00916494" w:rsidP="00547D77">
            <w:pPr>
              <w:rPr>
                <w:rFonts w:ascii="Times New Roman" w:hAnsi="Times New Roman" w:cs="Times New Roman"/>
              </w:rPr>
            </w:pPr>
            <w:r>
              <w:rPr>
                <w:rFonts w:ascii="Times New Roman" w:hAnsi="Times New Roman" w:cs="Times New Roman"/>
              </w:rPr>
              <w:t>Chunk size=256, Overlap=100 Using SentenceSplitter</w:t>
            </w:r>
          </w:p>
        </w:tc>
        <w:tc>
          <w:tcPr>
            <w:tcW w:w="5040" w:type="dxa"/>
            <w:vAlign w:val="center"/>
          </w:tcPr>
          <w:p w14:paraId="5C054567" w14:textId="77777777" w:rsidR="00916494" w:rsidRPr="00CB2EC4" w:rsidRDefault="00916494" w:rsidP="00547D77">
            <w:pPr>
              <w:rPr>
                <w:rFonts w:ascii="Times New Roman" w:hAnsi="Times New Roman" w:cs="Times New Roman"/>
              </w:rPr>
            </w:pPr>
            <w:r w:rsidRPr="00CB2EC4">
              <w:rPr>
                <w:rFonts w:ascii="Times New Roman" w:hAnsi="Times New Roman" w:cs="Times New Roman"/>
              </w:rPr>
              <w:t>during the initial exploration phase of laparoscopic radical hysterectomy, if suspicious pelvic lymph nodes are found and sent for intraoperative frozen section pathology, and the result is positive, then the subsequent surgical plan should be adjusted as follows: abandon the radical hysterectomy and instead perform para-aortic lymph node sampling to determine the extent of radiotherapy.</w:t>
            </w:r>
          </w:p>
        </w:tc>
        <w:tc>
          <w:tcPr>
            <w:tcW w:w="1152" w:type="dxa"/>
            <w:vAlign w:val="center"/>
          </w:tcPr>
          <w:p w14:paraId="5144752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4F5938"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11EA371" w14:textId="77777777" w:rsidR="00916494" w:rsidRPr="00CB2EC4" w:rsidRDefault="00916494" w:rsidP="00547D77">
            <w:pPr>
              <w:jc w:val="center"/>
              <w:rPr>
                <w:rFonts w:ascii="Times New Roman" w:hAnsi="Times New Roman" w:cs="Times New Roman"/>
              </w:rPr>
            </w:pPr>
            <w:r w:rsidRPr="00CB2EC4">
              <w:rPr>
                <w:rFonts w:ascii="Times New Roman" w:hAnsi="Times New Roman" w:cs="Times New Roman"/>
              </w:rPr>
              <w:t>A</w:t>
            </w:r>
          </w:p>
        </w:tc>
      </w:tr>
    </w:tbl>
    <w:p w14:paraId="4A4A8882" w14:textId="76436FC9" w:rsidR="006C7DEA" w:rsidRPr="00CB2EC4" w:rsidRDefault="006C7DEA" w:rsidP="00916494">
      <w:pPr>
        <w:tabs>
          <w:tab w:val="left" w:pos="1200"/>
        </w:tabs>
        <w:rPr>
          <w:rFonts w:ascii="Times New Roman" w:hAnsi="Times New Roman" w:cs="Times New Roman"/>
        </w:rPr>
      </w:pPr>
    </w:p>
    <w:p w14:paraId="13875BCD" w14:textId="4AD989EF" w:rsidR="006C7DEA" w:rsidRPr="00CB2EC4" w:rsidRDefault="006C7DEA" w:rsidP="006C7DEA">
      <w:pPr>
        <w:rPr>
          <w:rFonts w:ascii="Times New Roman" w:hAnsi="Times New Roman" w:cs="Times New Roman"/>
        </w:rPr>
      </w:pPr>
    </w:p>
    <w:p w14:paraId="168D7416" w14:textId="5054B18A" w:rsidR="006C7DEA" w:rsidRPr="00E42776" w:rsidRDefault="006C7DEA" w:rsidP="006C7DEA">
      <w:pPr>
        <w:pStyle w:val="1"/>
        <w:rPr>
          <w:rFonts w:ascii="Times New Roman" w:hAnsi="Times New Roman" w:cs="Times New Roman"/>
          <w:color w:val="auto"/>
          <w:lang w:eastAsia="zh-CN"/>
        </w:rPr>
      </w:pPr>
      <w:r w:rsidRPr="00CB2EC4">
        <w:rPr>
          <w:rFonts w:ascii="Times New Roman" w:hAnsi="Times New Roman" w:cs="Times New Roman"/>
          <w:color w:val="auto"/>
          <w:lang w:eastAsia="zh-CN"/>
        </w:rPr>
        <w:lastRenderedPageBreak/>
        <w:t>Table 2</w:t>
      </w:r>
      <w:r w:rsidR="00E42776">
        <w:rPr>
          <w:rFonts w:ascii="Times New Roman" w:hAnsi="Times New Roman" w:cs="Times New Roman"/>
          <w:color w:val="auto"/>
          <w:lang w:eastAsia="zh-CN"/>
        </w:rPr>
        <w:t xml:space="preserve"> </w:t>
      </w:r>
      <w:r w:rsidR="00E42776" w:rsidRPr="003D1072">
        <w:rPr>
          <w:rFonts w:ascii="Times New Roman" w:eastAsia="宋体" w:hAnsi="Times New Roman" w:cs="Times New Roman"/>
          <w:color w:val="auto"/>
          <w:lang w:eastAsia="zh-CN"/>
        </w:rPr>
        <w:t>Responses Of All Evaluated Systems</w:t>
      </w:r>
    </w:p>
    <w:tbl>
      <w:tblPr>
        <w:tblStyle w:val="aff1"/>
        <w:tblW w:w="0" w:type="auto"/>
        <w:tblLayout w:type="fixed"/>
        <w:tblLook w:val="04A0" w:firstRow="1" w:lastRow="0" w:firstColumn="1" w:lastColumn="0" w:noHBand="0" w:noVBand="1"/>
      </w:tblPr>
      <w:tblGrid>
        <w:gridCol w:w="2160"/>
        <w:gridCol w:w="5040"/>
        <w:gridCol w:w="1728"/>
        <w:gridCol w:w="1728"/>
        <w:gridCol w:w="1728"/>
      </w:tblGrid>
      <w:tr w:rsidR="00922249" w:rsidRPr="00CB2EC4" w14:paraId="70F457B7" w14:textId="77777777">
        <w:tc>
          <w:tcPr>
            <w:tcW w:w="1728" w:type="dxa"/>
            <w:vMerge w:val="restart"/>
            <w:vAlign w:val="center"/>
          </w:tcPr>
          <w:p w14:paraId="6A949422" w14:textId="21BBA6B9" w:rsidR="00922249" w:rsidRPr="00CB2EC4" w:rsidRDefault="006C7DEA">
            <w:pPr>
              <w:jc w:val="center"/>
              <w:rPr>
                <w:rFonts w:ascii="Times New Roman" w:hAnsi="Times New Roman" w:cs="Times New Roman"/>
                <w:b/>
              </w:rPr>
            </w:pPr>
            <w:r w:rsidRPr="00CB2EC4">
              <w:rPr>
                <w:rFonts w:ascii="Times New Roman" w:hAnsi="Times New Roman" w:cs="Times New Roman"/>
                <w:b/>
              </w:rPr>
              <w:t>RAG S</w:t>
            </w:r>
            <w:r w:rsidRPr="00CB2EC4">
              <w:rPr>
                <w:rFonts w:ascii="Times New Roman" w:eastAsia="宋体" w:hAnsi="Times New Roman" w:cs="Times New Roman"/>
                <w:b/>
                <w:lang w:eastAsia="zh-CN"/>
              </w:rPr>
              <w:t>ystems</w:t>
            </w:r>
          </w:p>
        </w:tc>
        <w:tc>
          <w:tcPr>
            <w:tcW w:w="1728" w:type="dxa"/>
            <w:vMerge w:val="restart"/>
            <w:vAlign w:val="center"/>
          </w:tcPr>
          <w:p w14:paraId="6103CF4A" w14:textId="77777777" w:rsidR="00922249" w:rsidRPr="00CB2EC4" w:rsidRDefault="003011D5">
            <w:pPr>
              <w:jc w:val="center"/>
              <w:rPr>
                <w:rFonts w:ascii="Times New Roman" w:hAnsi="Times New Roman" w:cs="Times New Roman"/>
              </w:rPr>
            </w:pPr>
            <w:r w:rsidRPr="00CB2EC4">
              <w:rPr>
                <w:rFonts w:ascii="Times New Roman" w:hAnsi="Times New Roman" w:cs="Times New Roman"/>
                <w:b/>
              </w:rPr>
              <w:t>Response</w:t>
            </w:r>
          </w:p>
        </w:tc>
        <w:tc>
          <w:tcPr>
            <w:tcW w:w="5184" w:type="dxa"/>
            <w:gridSpan w:val="3"/>
            <w:vAlign w:val="center"/>
          </w:tcPr>
          <w:p w14:paraId="6A343C25" w14:textId="77777777" w:rsidR="00922249" w:rsidRPr="00CB2EC4" w:rsidRDefault="003011D5">
            <w:pPr>
              <w:jc w:val="center"/>
              <w:rPr>
                <w:rFonts w:ascii="Times New Roman" w:hAnsi="Times New Roman" w:cs="Times New Roman"/>
              </w:rPr>
            </w:pPr>
            <w:r w:rsidRPr="00CB2EC4">
              <w:rPr>
                <w:rFonts w:ascii="Times New Roman" w:hAnsi="Times New Roman" w:cs="Times New Roman"/>
                <w:b/>
              </w:rPr>
              <w:t>Assessments</w:t>
            </w:r>
          </w:p>
        </w:tc>
      </w:tr>
      <w:tr w:rsidR="00922249" w:rsidRPr="00CB2EC4" w14:paraId="1DE3F289" w14:textId="77777777">
        <w:tc>
          <w:tcPr>
            <w:tcW w:w="1728" w:type="dxa"/>
            <w:vMerge/>
          </w:tcPr>
          <w:p w14:paraId="68D6067B" w14:textId="77777777" w:rsidR="00922249" w:rsidRPr="00CB2EC4" w:rsidRDefault="00922249">
            <w:pPr>
              <w:rPr>
                <w:rFonts w:ascii="Times New Roman" w:hAnsi="Times New Roman" w:cs="Times New Roman"/>
              </w:rPr>
            </w:pPr>
          </w:p>
        </w:tc>
        <w:tc>
          <w:tcPr>
            <w:tcW w:w="1728" w:type="dxa"/>
            <w:vMerge/>
          </w:tcPr>
          <w:p w14:paraId="75C39863" w14:textId="77777777" w:rsidR="00922249" w:rsidRPr="00CB2EC4" w:rsidRDefault="00922249">
            <w:pPr>
              <w:rPr>
                <w:rFonts w:ascii="Times New Roman" w:hAnsi="Times New Roman" w:cs="Times New Roman"/>
              </w:rPr>
            </w:pPr>
          </w:p>
        </w:tc>
        <w:tc>
          <w:tcPr>
            <w:tcW w:w="1728" w:type="dxa"/>
            <w:vAlign w:val="center"/>
          </w:tcPr>
          <w:p w14:paraId="6BBA09E5" w14:textId="77777777" w:rsidR="00922249" w:rsidRPr="00CB2EC4" w:rsidRDefault="003011D5">
            <w:pPr>
              <w:jc w:val="center"/>
              <w:rPr>
                <w:rFonts w:ascii="Times New Roman" w:hAnsi="Times New Roman" w:cs="Times New Roman"/>
              </w:rPr>
            </w:pPr>
            <w:r w:rsidRPr="00CB2EC4">
              <w:rPr>
                <w:rFonts w:ascii="Times New Roman" w:hAnsi="Times New Roman" w:cs="Times New Roman"/>
                <w:b/>
              </w:rPr>
              <w:t>Reviewer 1</w:t>
            </w:r>
          </w:p>
        </w:tc>
        <w:tc>
          <w:tcPr>
            <w:tcW w:w="1728" w:type="dxa"/>
            <w:vAlign w:val="center"/>
          </w:tcPr>
          <w:p w14:paraId="5B1A80D0" w14:textId="77777777" w:rsidR="00922249" w:rsidRPr="00CB2EC4" w:rsidRDefault="003011D5">
            <w:pPr>
              <w:jc w:val="center"/>
              <w:rPr>
                <w:rFonts w:ascii="Times New Roman" w:hAnsi="Times New Roman" w:cs="Times New Roman"/>
              </w:rPr>
            </w:pPr>
            <w:r w:rsidRPr="00CB2EC4">
              <w:rPr>
                <w:rFonts w:ascii="Times New Roman" w:hAnsi="Times New Roman" w:cs="Times New Roman"/>
                <w:b/>
              </w:rPr>
              <w:t>Reviewer 2</w:t>
            </w:r>
          </w:p>
        </w:tc>
        <w:tc>
          <w:tcPr>
            <w:tcW w:w="1728" w:type="dxa"/>
            <w:vAlign w:val="center"/>
          </w:tcPr>
          <w:p w14:paraId="22CC97B0" w14:textId="77777777" w:rsidR="00922249" w:rsidRPr="00CB2EC4" w:rsidRDefault="003011D5">
            <w:pPr>
              <w:jc w:val="center"/>
              <w:rPr>
                <w:rFonts w:ascii="Times New Roman" w:hAnsi="Times New Roman" w:cs="Times New Roman"/>
              </w:rPr>
            </w:pPr>
            <w:r w:rsidRPr="00CB2EC4">
              <w:rPr>
                <w:rFonts w:ascii="Times New Roman" w:hAnsi="Times New Roman" w:cs="Times New Roman"/>
                <w:b/>
              </w:rPr>
              <w:t>Final</w:t>
            </w:r>
          </w:p>
        </w:tc>
      </w:tr>
      <w:tr w:rsidR="00922249" w:rsidRPr="00CB2EC4" w14:paraId="3905C016" w14:textId="77777777">
        <w:tc>
          <w:tcPr>
            <w:tcW w:w="10656" w:type="dxa"/>
            <w:gridSpan w:val="5"/>
            <w:tcBorders>
              <w:bottom w:val="single" w:sz="6" w:space="0" w:color="auto"/>
            </w:tcBorders>
            <w:vAlign w:val="center"/>
          </w:tcPr>
          <w:p w14:paraId="4CDC4311"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 What is the examination process for HPV-positive high-risk types?</w:t>
            </w:r>
          </w:p>
        </w:tc>
      </w:tr>
      <w:tr w:rsidR="00922249" w:rsidRPr="00CB2EC4" w14:paraId="005C83F9" w14:textId="77777777">
        <w:tc>
          <w:tcPr>
            <w:tcW w:w="2160" w:type="dxa"/>
            <w:vAlign w:val="center"/>
          </w:tcPr>
          <w:p w14:paraId="2CA6EED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B24DE89" w14:textId="77777777" w:rsidR="00922249" w:rsidRPr="00CB2EC4" w:rsidRDefault="003011D5">
            <w:pPr>
              <w:rPr>
                <w:rFonts w:ascii="Times New Roman" w:hAnsi="Times New Roman" w:cs="Times New Roman"/>
              </w:rPr>
            </w:pPr>
            <w:r w:rsidRPr="00CB2EC4">
              <w:rPr>
                <w:rFonts w:ascii="Times New Roman" w:hAnsi="Times New Roman" w:cs="Times New Roman"/>
              </w:rPr>
              <w:t>what is the examination process for high-risk HPV positive?</w:t>
            </w:r>
            <w:r w:rsidRPr="00CB2EC4">
              <w:rPr>
                <w:rFonts w:ascii="Times New Roman" w:hAnsi="Times New Roman" w:cs="Times New Roman"/>
              </w:rPr>
              <w:br/>
            </w:r>
            <w:r w:rsidRPr="00CB2EC4">
              <w:rPr>
                <w:rFonts w:ascii="Times New Roman" w:hAnsi="Times New Roman" w:cs="Times New Roman"/>
              </w:rPr>
              <w:br/>
              <w:t>based on the context information in the document (description of figure 1), the examination process for high-risk HPV positive is as follows:</w:t>
            </w:r>
            <w:r w:rsidRPr="00CB2EC4">
              <w:rPr>
                <w:rFonts w:ascii="Times New Roman" w:hAnsi="Times New Roman" w:cs="Times New Roman"/>
              </w:rPr>
              <w:br/>
            </w:r>
            <w:r w:rsidRPr="00CB2EC4">
              <w:rPr>
                <w:rFonts w:ascii="Times New Roman" w:hAnsi="Times New Roman" w:cs="Times New Roman"/>
              </w:rPr>
              <w:br/>
              <w:t>- starting point: patient tests positive for high-risk HPV (HPV(+)).</w:t>
            </w:r>
            <w:r w:rsidRPr="00CB2EC4">
              <w:rPr>
                <w:rFonts w:ascii="Times New Roman" w:hAnsi="Times New Roman" w:cs="Times New Roman"/>
              </w:rPr>
              <w:br/>
              <w:t>- first-level triage:</w:t>
            </w:r>
            <w:r w:rsidRPr="00CB2EC4">
              <w:rPr>
                <w:rFonts w:ascii="Times New Roman" w:hAnsi="Times New Roman" w:cs="Times New Roman"/>
              </w:rPr>
              <w:br/>
              <w:t xml:space="preserve">  - if HPV genotyping has been performed: enter the HPV genotyping result pathway.</w:t>
            </w:r>
            <w:r w:rsidRPr="00CB2EC4">
              <w:rPr>
                <w:rFonts w:ascii="Times New Roman" w:hAnsi="Times New Roman" w:cs="Times New Roman"/>
              </w:rPr>
              <w:br/>
              <w:t xml:space="preserve">    - HPV16/18 positive: refer immediately for colposcopy.</w:t>
            </w:r>
            <w:r w:rsidRPr="00CB2EC4">
              <w:rPr>
                <w:rFonts w:ascii="Times New Roman" w:hAnsi="Times New Roman" w:cs="Times New Roman"/>
              </w:rPr>
              <w:br/>
              <w:t xml:space="preserve">    - HPV16/18 negative or other 12 types positive: proceed with cervical cytology examination.</w:t>
            </w:r>
            <w:r w:rsidRPr="00CB2EC4">
              <w:rPr>
                <w:rFonts w:ascii="Times New Roman" w:hAnsi="Times New Roman" w:cs="Times New Roman"/>
              </w:rPr>
              <w:br/>
              <w:t xml:space="preserve">  - if genotyping has not been performed (HPV non-genotyping): directly enter the cytology examination pathway.</w:t>
            </w:r>
            <w:r w:rsidRPr="00CB2EC4">
              <w:rPr>
                <w:rFonts w:ascii="Times New Roman" w:hAnsi="Times New Roman" w:cs="Times New Roman"/>
              </w:rPr>
              <w:br/>
              <w:t>- cytology examination pathway (applicable to all patients requiring cytology triage):</w:t>
            </w:r>
            <w:r w:rsidRPr="00CB2EC4">
              <w:rPr>
                <w:rFonts w:ascii="Times New Roman" w:hAnsi="Times New Roman" w:cs="Times New Roman"/>
              </w:rPr>
              <w:br/>
              <w:t xml:space="preserve">  - cytology result ≥ ASC-US (including ASC-US, LSIL, HSIL, etc.): refer for colposcopy.</w:t>
            </w:r>
            <w:r w:rsidRPr="00CB2EC4">
              <w:rPr>
                <w:rFonts w:ascii="Times New Roman" w:hAnsi="Times New Roman" w:cs="Times New Roman"/>
              </w:rPr>
              <w:br/>
              <w:t xml:space="preserve">  - cytology result negative (-): recommend repeating combined cytology + HPV testing after 1 year.</w:t>
            </w:r>
            <w:r w:rsidRPr="00CB2EC4">
              <w:rPr>
                <w:rFonts w:ascii="Times New Roman" w:hAnsi="Times New Roman" w:cs="Times New Roman"/>
              </w:rPr>
              <w:br/>
              <w:t>- special pathway:</w:t>
            </w:r>
            <w:r w:rsidRPr="00CB2EC4">
              <w:rPr>
                <w:rFonts w:ascii="Times New Roman" w:hAnsi="Times New Roman" w:cs="Times New Roman"/>
              </w:rPr>
              <w:br/>
              <w:t xml:space="preserve">  - patients with non-genotyped HPV positive: must undergo cytology examination (skip directly without genotyping).</w:t>
            </w:r>
            <w:r w:rsidRPr="00CB2EC4">
              <w:rPr>
                <w:rFonts w:ascii="Times New Roman" w:hAnsi="Times New Roman" w:cs="Times New Roman"/>
              </w:rPr>
              <w:br/>
            </w:r>
            <w:r w:rsidRPr="00CB2EC4">
              <w:rPr>
                <w:rFonts w:ascii="Times New Roman" w:hAnsi="Times New Roman" w:cs="Times New Roman"/>
              </w:rPr>
              <w:lastRenderedPageBreak/>
              <w:t xml:space="preserve">  - other 12 types positive with negative cytology: annual follow-up (no colposcopy needed).</w:t>
            </w:r>
            <w:r w:rsidRPr="00CB2EC4">
              <w:rPr>
                <w:rFonts w:ascii="Times New Roman" w:hAnsi="Times New Roman" w:cs="Times New Roman"/>
              </w:rPr>
              <w:br/>
            </w:r>
            <w:r w:rsidRPr="00CB2EC4">
              <w:rPr>
                <w:rFonts w:ascii="Times New Roman" w:hAnsi="Times New Roman" w:cs="Times New Roman"/>
              </w:rPr>
              <w:br/>
              <w:t>this process is based on figure 1 in the document (similarity 0.668 and 0.507 sections), emphasizing the guiding role of genotyping versus non-genotyping on subsequent examinations.</w:t>
            </w:r>
          </w:p>
        </w:tc>
        <w:tc>
          <w:tcPr>
            <w:tcW w:w="1152" w:type="dxa"/>
            <w:vAlign w:val="center"/>
          </w:tcPr>
          <w:p w14:paraId="7079E4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F52B9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9398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4A54F4" w14:textId="77777777">
        <w:tc>
          <w:tcPr>
            <w:tcW w:w="2160" w:type="dxa"/>
            <w:vAlign w:val="center"/>
          </w:tcPr>
          <w:p w14:paraId="783F9CBA"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B6C9165" w14:textId="77777777" w:rsidR="00922249" w:rsidRPr="00CB2EC4" w:rsidRDefault="003011D5">
            <w:pPr>
              <w:rPr>
                <w:rFonts w:ascii="Times New Roman" w:hAnsi="Times New Roman" w:cs="Times New Roman"/>
              </w:rPr>
            </w:pPr>
            <w:r w:rsidRPr="00CB2EC4">
              <w:rPr>
                <w:rFonts w:ascii="Times New Roman" w:hAnsi="Times New Roman" w:cs="Times New Roman"/>
              </w:rPr>
              <w:t>the examination process for high-risk HPV positivity is as follows:</w:t>
            </w:r>
            <w:r w:rsidRPr="00CB2EC4">
              <w:rPr>
                <w:rFonts w:ascii="Times New Roman" w:hAnsi="Times New Roman" w:cs="Times New Roman"/>
              </w:rPr>
              <w:br/>
            </w:r>
            <w:r w:rsidRPr="00CB2EC4">
              <w:rPr>
                <w:rFonts w:ascii="Times New Roman" w:hAnsi="Times New Roman" w:cs="Times New Roman"/>
              </w:rPr>
              <w:br/>
              <w:t>- Starting point: The patient's high-risk HPV test result is positive (HPV(+)).</w:t>
            </w:r>
            <w:r w:rsidRPr="00CB2EC4">
              <w:rPr>
                <w:rFonts w:ascii="Times New Roman" w:hAnsi="Times New Roman" w:cs="Times New Roman"/>
              </w:rPr>
              <w:br/>
              <w:t>- First-level triage:</w:t>
            </w:r>
            <w:r w:rsidRPr="00CB2EC4">
              <w:rPr>
                <w:rFonts w:ascii="Times New Roman" w:hAnsi="Times New Roman" w:cs="Times New Roman"/>
              </w:rPr>
              <w:br/>
              <w:t xml:space="preserve">  - If HPV genotyping has been performed: proceed to the HPV genotyping result pathway.</w:t>
            </w:r>
            <w:r w:rsidRPr="00CB2EC4">
              <w:rPr>
                <w:rFonts w:ascii="Times New Roman" w:hAnsi="Times New Roman" w:cs="Times New Roman"/>
              </w:rPr>
              <w:br/>
              <w:t xml:space="preserve">    - HPV16/18 positive: refer immediately for colposcopy.</w:t>
            </w:r>
            <w:r w:rsidRPr="00CB2EC4">
              <w:rPr>
                <w:rFonts w:ascii="Times New Roman" w:hAnsi="Times New Roman" w:cs="Times New Roman"/>
              </w:rPr>
              <w:br/>
              <w:t xml:space="preserve">    - HPV16/18 negative or other 12 types positive: perform cervical cytology examination.</w:t>
            </w:r>
            <w:r w:rsidRPr="00CB2EC4">
              <w:rPr>
                <w:rFonts w:ascii="Times New Roman" w:hAnsi="Times New Roman" w:cs="Times New Roman"/>
              </w:rPr>
              <w:br/>
              <w:t xml:space="preserve">  - If genotyping has not been performed (HPV untested): proceed directly to the cytology examination pathway.</w:t>
            </w:r>
            <w:r w:rsidRPr="00CB2EC4">
              <w:rPr>
                <w:rFonts w:ascii="Times New Roman" w:hAnsi="Times New Roman" w:cs="Times New Roman"/>
              </w:rPr>
              <w:br/>
              <w:t>- Cytology examination pathway (applicable to all patients requiring cytology triage):</w:t>
            </w:r>
            <w:r w:rsidRPr="00CB2EC4">
              <w:rPr>
                <w:rFonts w:ascii="Times New Roman" w:hAnsi="Times New Roman" w:cs="Times New Roman"/>
              </w:rPr>
              <w:br/>
              <w:t xml:space="preserve">  - Cytology result ≥ ASC-US (including ASC-US, LSIL, HSIL, etc.): refer for colposcopy.</w:t>
            </w:r>
            <w:r w:rsidRPr="00CB2EC4">
              <w:rPr>
                <w:rFonts w:ascii="Times New Roman" w:hAnsi="Times New Roman" w:cs="Times New Roman"/>
              </w:rPr>
              <w:br/>
              <w:t xml:space="preserve">  - Cytology result negative: recommend repeating cytology + HPV co-testing after 1 year.</w:t>
            </w:r>
            <w:r w:rsidRPr="00CB2EC4">
              <w:rPr>
                <w:rFonts w:ascii="Times New Roman" w:hAnsi="Times New Roman" w:cs="Times New Roman"/>
              </w:rPr>
              <w:br/>
              <w:t>- Special pathway: Patients with untyped HPV positivity must undergo cytology examination; those with other 12 types positive and negative cytology are advised to have annual follow-up (no colposcopy required).</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This process is further emphasized in document fragment 6: when using high-risk HPV as the primary screening test, untyped HPV requires triage with cytology; if HPV16/18 is positive in genotyping, refer directly to colposcopy (see Figure 1 flow).</w:t>
            </w:r>
          </w:p>
        </w:tc>
        <w:tc>
          <w:tcPr>
            <w:tcW w:w="1152" w:type="dxa"/>
            <w:vAlign w:val="center"/>
          </w:tcPr>
          <w:p w14:paraId="4F12A1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8C266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DB90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C5FCF5D" w14:textId="77777777">
        <w:tc>
          <w:tcPr>
            <w:tcW w:w="2160" w:type="dxa"/>
            <w:vAlign w:val="center"/>
          </w:tcPr>
          <w:p w14:paraId="0CA9E44B"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CA7C7F1" w14:textId="77777777" w:rsidR="00922249" w:rsidRPr="00CB2EC4" w:rsidRDefault="003011D5">
            <w:pPr>
              <w:rPr>
                <w:rFonts w:ascii="Times New Roman" w:hAnsi="Times New Roman" w:cs="Times New Roman"/>
              </w:rPr>
            </w:pPr>
            <w:r w:rsidRPr="00CB2EC4">
              <w:rPr>
                <w:rFonts w:ascii="Times New Roman" w:hAnsi="Times New Roman" w:cs="Times New Roman"/>
              </w:rPr>
              <w:t>what is the examination process for high-risk HPV positive?</w:t>
            </w:r>
            <w:r w:rsidRPr="00CB2EC4">
              <w:rPr>
                <w:rFonts w:ascii="Times New Roman" w:hAnsi="Times New Roman" w:cs="Times New Roman"/>
              </w:rPr>
              <w:br/>
            </w:r>
            <w:r w:rsidRPr="00CB2EC4">
              <w:rPr>
                <w:rFonts w:ascii="Times New Roman" w:hAnsi="Times New Roman" w:cs="Times New Roman"/>
              </w:rPr>
              <w:br/>
              <w:t>Based on document excerpt 1 (relevance: 1.000), excerpt 2 (relevance: 0.900), and excerpt 7 (relevance: 0.700), the examination process for patients with high-risk HPV positive is as follows:</w:t>
            </w:r>
            <w:r w:rsidRPr="00CB2EC4">
              <w:rPr>
                <w:rFonts w:ascii="Times New Roman" w:hAnsi="Times New Roman" w:cs="Times New Roman"/>
              </w:rPr>
              <w:br/>
            </w:r>
            <w:r w:rsidRPr="00CB2EC4">
              <w:rPr>
                <w:rFonts w:ascii="Times New Roman" w:hAnsi="Times New Roman" w:cs="Times New Roman"/>
              </w:rPr>
              <w:br/>
              <w:t>- Starting point: Patient tests positive for high-risk HPV (HPV(+)).</w:t>
            </w:r>
            <w:r w:rsidRPr="00CB2EC4">
              <w:rPr>
                <w:rFonts w:ascii="Times New Roman" w:hAnsi="Times New Roman" w:cs="Times New Roman"/>
              </w:rPr>
              <w:br/>
              <w:t>- First-level triage:</w:t>
            </w:r>
            <w:r w:rsidRPr="00CB2EC4">
              <w:rPr>
                <w:rFonts w:ascii="Times New Roman" w:hAnsi="Times New Roman" w:cs="Times New Roman"/>
              </w:rPr>
              <w:br/>
              <w:t xml:space="preserve">  - If HPV genotyping has been performed:</w:t>
            </w:r>
            <w:r w:rsidRPr="00CB2EC4">
              <w:rPr>
                <w:rFonts w:ascii="Times New Roman" w:hAnsi="Times New Roman" w:cs="Times New Roman"/>
              </w:rPr>
              <w:br/>
              <w:t xml:space="preserve">    - HPV16/18 positive → Immediate referral for colposcopy (no cytology required).</w:t>
            </w:r>
            <w:r w:rsidRPr="00CB2EC4">
              <w:rPr>
                <w:rFonts w:ascii="Times New Roman" w:hAnsi="Times New Roman" w:cs="Times New Roman"/>
              </w:rPr>
              <w:br/>
              <w:t xml:space="preserve">    - HPV16/18 negative or positive for other 12 high-risk HPV types → Proceed to cervical cytology examination.</w:t>
            </w:r>
            <w:r w:rsidRPr="00CB2EC4">
              <w:rPr>
                <w:rFonts w:ascii="Times New Roman" w:hAnsi="Times New Roman" w:cs="Times New Roman"/>
              </w:rPr>
              <w:br/>
              <w:t xml:space="preserve">  - If HPV genotyping has not been performed (non-genotyping HPV) → Directly enter the cytology examination path (skip HPV genotyping step).</w:t>
            </w:r>
            <w:r w:rsidRPr="00CB2EC4">
              <w:rPr>
                <w:rFonts w:ascii="Times New Roman" w:hAnsi="Times New Roman" w:cs="Times New Roman"/>
              </w:rPr>
              <w:br/>
              <w:t>- Cytology examination path (for all patients requiring cytology triage):</w:t>
            </w:r>
            <w:r w:rsidRPr="00CB2EC4">
              <w:rPr>
                <w:rFonts w:ascii="Times New Roman" w:hAnsi="Times New Roman" w:cs="Times New Roman"/>
              </w:rPr>
              <w:br/>
              <w:t xml:space="preserve">  - Cytology result ≥ ASC-US (including ASC-US, LSIL, HSIL, etc.) → Referral for colposcopy.</w:t>
            </w:r>
            <w:r w:rsidRPr="00CB2EC4">
              <w:rPr>
                <w:rFonts w:ascii="Times New Roman" w:hAnsi="Times New Roman" w:cs="Times New Roman"/>
              </w:rPr>
              <w:br/>
              <w:t xml:space="preserve">  - Cytology result negative (-) → Recommend repeat co-testing (cytology + HPV) after 1 year.</w:t>
            </w:r>
            <w:r w:rsidRPr="00CB2EC4">
              <w:rPr>
                <w:rFonts w:ascii="Times New Roman" w:hAnsi="Times New Roman" w:cs="Times New Roman"/>
              </w:rPr>
              <w:br/>
              <w:t>- Special path:</w:t>
            </w:r>
            <w:r w:rsidRPr="00CB2EC4">
              <w:rPr>
                <w:rFonts w:ascii="Times New Roman" w:hAnsi="Times New Roman" w:cs="Times New Roman"/>
              </w:rPr>
              <w:br/>
              <w:t xml:space="preserve">  - Patients with non-genotyped HPV positive must undergo cytology examination.</w:t>
            </w:r>
            <w:r w:rsidRPr="00CB2EC4">
              <w:rPr>
                <w:rFonts w:ascii="Times New Roman" w:hAnsi="Times New Roman" w:cs="Times New Roman"/>
              </w:rPr>
              <w:br/>
            </w:r>
            <w:r w:rsidRPr="00CB2EC4">
              <w:rPr>
                <w:rFonts w:ascii="Times New Roman" w:hAnsi="Times New Roman" w:cs="Times New Roman"/>
              </w:rPr>
              <w:lastRenderedPageBreak/>
              <w:t xml:space="preserve">  - Patients positive for other 12 high-risk HPV types with negative cytology → Recommend follow-up after 1 year (no immediate colposcopy needed).</w:t>
            </w:r>
            <w:r w:rsidRPr="00CB2EC4">
              <w:rPr>
                <w:rFonts w:ascii="Times New Roman" w:hAnsi="Times New Roman" w:cs="Times New Roman"/>
              </w:rPr>
              <w:br/>
            </w:r>
            <w:r w:rsidRPr="00CB2EC4">
              <w:rPr>
                <w:rFonts w:ascii="Times New Roman" w:hAnsi="Times New Roman" w:cs="Times New Roman"/>
              </w:rPr>
              <w:br/>
              <w:t>This process is detailed in excerpt 1 and supplemented by excerpts 2 and 7. The overall process emphasizes using HPV genotyping results and cytology examination as triage criteria to ensure timely colposcopy referral or appropriate follow-up scheduling.</w:t>
            </w:r>
          </w:p>
        </w:tc>
        <w:tc>
          <w:tcPr>
            <w:tcW w:w="1152" w:type="dxa"/>
            <w:vAlign w:val="center"/>
          </w:tcPr>
          <w:p w14:paraId="7BAE59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A560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73F3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F505F2" w14:textId="77777777">
        <w:tc>
          <w:tcPr>
            <w:tcW w:w="2160" w:type="dxa"/>
            <w:vAlign w:val="center"/>
          </w:tcPr>
          <w:p w14:paraId="72A2E757"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E91FC86" w14:textId="77777777" w:rsidR="00922249" w:rsidRPr="00CB2EC4" w:rsidRDefault="003011D5">
            <w:pPr>
              <w:rPr>
                <w:rFonts w:ascii="Times New Roman" w:hAnsi="Times New Roman" w:cs="Times New Roman"/>
              </w:rPr>
            </w:pPr>
            <w:r w:rsidRPr="00CB2EC4">
              <w:rPr>
                <w:rFonts w:ascii="Times New Roman" w:hAnsi="Times New Roman" w:cs="Times New Roman"/>
              </w:rPr>
              <w:t>what is the testing process flow for high-risk HPV positive?</w:t>
            </w:r>
            <w:r w:rsidRPr="00CB2EC4">
              <w:rPr>
                <w:rFonts w:ascii="Times New Roman" w:hAnsi="Times New Roman" w:cs="Times New Roman"/>
              </w:rPr>
              <w:br/>
            </w:r>
            <w:r w:rsidRPr="00CB2EC4">
              <w:rPr>
                <w:rFonts w:ascii="Times New Roman" w:hAnsi="Times New Roman" w:cs="Times New Roman"/>
              </w:rPr>
              <w:br/>
              <w:t xml:space="preserve">- Process steps:  </w:t>
            </w:r>
            <w:r w:rsidRPr="00CB2EC4">
              <w:rPr>
                <w:rFonts w:ascii="Times New Roman" w:hAnsi="Times New Roman" w:cs="Times New Roman"/>
              </w:rPr>
              <w:br/>
              <w:t xml:space="preserve">  1. Starting point: High-risk HPV test positive (HPV+).  </w:t>
            </w:r>
            <w:r w:rsidRPr="00CB2EC4">
              <w:rPr>
                <w:rFonts w:ascii="Times New Roman" w:hAnsi="Times New Roman" w:cs="Times New Roman"/>
              </w:rPr>
              <w:br/>
              <w:t xml:space="preserve">  2. First-level branching:  </w:t>
            </w:r>
            <w:r w:rsidRPr="00CB2EC4">
              <w:rPr>
                <w:rFonts w:ascii="Times New Roman" w:hAnsi="Times New Roman" w:cs="Times New Roman"/>
              </w:rPr>
              <w:br/>
              <w:t xml:space="preserve">     - If HPV genotyping has been performed → Enter genotyping result path:  </w:t>
            </w:r>
            <w:r w:rsidRPr="00CB2EC4">
              <w:rPr>
                <w:rFonts w:ascii="Times New Roman" w:hAnsi="Times New Roman" w:cs="Times New Roman"/>
              </w:rPr>
              <w:br/>
              <w:t xml:space="preserve">       - HPV16/18 positive → Immediate referral for colposcopy.  </w:t>
            </w:r>
            <w:r w:rsidRPr="00CB2EC4">
              <w:rPr>
                <w:rFonts w:ascii="Times New Roman" w:hAnsi="Times New Roman" w:cs="Times New Roman"/>
              </w:rPr>
              <w:br/>
              <w:t xml:space="preserve">       - Other 12 types positive → Perform cervical cytology.  </w:t>
            </w:r>
            <w:r w:rsidRPr="00CB2EC4">
              <w:rPr>
                <w:rFonts w:ascii="Times New Roman" w:hAnsi="Times New Roman" w:cs="Times New Roman"/>
              </w:rPr>
              <w:br/>
              <w:t xml:space="preserve">     - If no genotyping (non-genotyped HPV) → Directly perform cytology.  </w:t>
            </w:r>
            <w:r w:rsidRPr="00CB2EC4">
              <w:rPr>
                <w:rFonts w:ascii="Times New Roman" w:hAnsi="Times New Roman" w:cs="Times New Roman"/>
              </w:rPr>
              <w:br/>
              <w:t xml:space="preserve">  3. Cytology path:  </w:t>
            </w:r>
            <w:r w:rsidRPr="00CB2EC4">
              <w:rPr>
                <w:rFonts w:ascii="Times New Roman" w:hAnsi="Times New Roman" w:cs="Times New Roman"/>
              </w:rPr>
              <w:br/>
              <w:t xml:space="preserve">     - Cytology ≥ ASC-US (abnormal) → Refer for colposcopy.  </w:t>
            </w:r>
            <w:r w:rsidRPr="00CB2EC4">
              <w:rPr>
                <w:rFonts w:ascii="Times New Roman" w:hAnsi="Times New Roman" w:cs="Times New Roman"/>
              </w:rPr>
              <w:br/>
              <w:t xml:space="preserve">     - Cytology negative (-) → Repeat co-testing (cytology + HPV) in 1 year.  </w:t>
            </w:r>
            <w:r w:rsidRPr="00CB2EC4">
              <w:rPr>
                <w:rFonts w:ascii="Times New Roman" w:hAnsi="Times New Roman" w:cs="Times New Roman"/>
              </w:rPr>
              <w:br/>
              <w:t xml:space="preserve">  4. Special path:  </w:t>
            </w:r>
            <w:r w:rsidRPr="00CB2EC4">
              <w:rPr>
                <w:rFonts w:ascii="Times New Roman" w:hAnsi="Times New Roman" w:cs="Times New Roman"/>
              </w:rPr>
              <w:br/>
              <w:t xml:space="preserve">     - Non-genotyped HPV positive → Must undergo cytology.  </w:t>
            </w:r>
            <w:r w:rsidRPr="00CB2EC4">
              <w:rPr>
                <w:rFonts w:ascii="Times New Roman" w:hAnsi="Times New Roman" w:cs="Times New Roman"/>
              </w:rPr>
              <w:br/>
              <w:t xml:space="preserve">     - Other 12 types positive with negative cytology → </w:t>
            </w:r>
            <w:r w:rsidRPr="00CB2EC4">
              <w:rPr>
                <w:rFonts w:ascii="Times New Roman" w:hAnsi="Times New Roman" w:cs="Times New Roman"/>
              </w:rPr>
              <w:lastRenderedPageBreak/>
              <w:t>Annual follow-up (no colposcopy needed).</w:t>
            </w:r>
          </w:p>
        </w:tc>
        <w:tc>
          <w:tcPr>
            <w:tcW w:w="1152" w:type="dxa"/>
            <w:vAlign w:val="center"/>
          </w:tcPr>
          <w:p w14:paraId="71918D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7F5F0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29B4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F74805" w14:textId="77777777">
        <w:tc>
          <w:tcPr>
            <w:tcW w:w="2160" w:type="dxa"/>
            <w:vAlign w:val="center"/>
          </w:tcPr>
          <w:p w14:paraId="7DF1D0B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0E087A5" w14:textId="77777777" w:rsidR="00922249" w:rsidRPr="00CB2EC4" w:rsidRDefault="003011D5">
            <w:pPr>
              <w:rPr>
                <w:rFonts w:ascii="Times New Roman" w:hAnsi="Times New Roman" w:cs="Times New Roman"/>
              </w:rPr>
            </w:pPr>
            <w:r w:rsidRPr="00CB2EC4">
              <w:rPr>
                <w:rFonts w:ascii="Times New Roman" w:hAnsi="Times New Roman" w:cs="Times New Roman"/>
              </w:rPr>
              <w:t>what is the clinical management process for high-risk HPV (hrHPV) positivity?</w:t>
            </w:r>
            <w:r w:rsidRPr="00CB2EC4">
              <w:rPr>
                <w:rFonts w:ascii="Times New Roman" w:hAnsi="Times New Roman" w:cs="Times New Roman"/>
              </w:rPr>
              <w:br/>
            </w:r>
            <w:r w:rsidRPr="00CB2EC4">
              <w:rPr>
                <w:rFonts w:ascii="Times New Roman" w:hAnsi="Times New Roman" w:cs="Times New Roman"/>
              </w:rPr>
              <w:br/>
              <w:t>according to document excerpts 1 and 5, the management process for high-risk HPV positivity is as follows:</w:t>
            </w:r>
            <w:r w:rsidRPr="00CB2EC4">
              <w:rPr>
                <w:rFonts w:ascii="Times New Roman" w:hAnsi="Times New Roman" w:cs="Times New Roman"/>
              </w:rPr>
              <w:br/>
            </w:r>
            <w:r w:rsidRPr="00CB2EC4">
              <w:rPr>
                <w:rFonts w:ascii="Times New Roman" w:hAnsi="Times New Roman" w:cs="Times New Roman"/>
              </w:rPr>
              <w:br/>
              <w:t>- starting point: high-risk HPV test result is positive (hrHPV(+)).</w:t>
            </w:r>
            <w:r w:rsidRPr="00CB2EC4">
              <w:rPr>
                <w:rFonts w:ascii="Times New Roman" w:hAnsi="Times New Roman" w:cs="Times New Roman"/>
              </w:rPr>
              <w:br/>
              <w:t>- first-level triage:</w:t>
            </w:r>
            <w:r w:rsidRPr="00CB2EC4">
              <w:rPr>
                <w:rFonts w:ascii="Times New Roman" w:hAnsi="Times New Roman" w:cs="Times New Roman"/>
              </w:rPr>
              <w:br/>
              <w:t xml:space="preserve">  - if HPV genotyping has been performed: proceed to HPV genotyping result pathway.</w:t>
            </w:r>
            <w:r w:rsidRPr="00CB2EC4">
              <w:rPr>
                <w:rFonts w:ascii="Times New Roman" w:hAnsi="Times New Roman" w:cs="Times New Roman"/>
              </w:rPr>
              <w:br/>
              <w:t xml:space="preserve">    - HPV16/18 positive: refer immediately for colposcopy.</w:t>
            </w:r>
            <w:r w:rsidRPr="00CB2EC4">
              <w:rPr>
                <w:rFonts w:ascii="Times New Roman" w:hAnsi="Times New Roman" w:cs="Times New Roman"/>
              </w:rPr>
              <w:br/>
              <w:t xml:space="preserve">    - HPV16/18 negative or other 12 types positive: perform cervical cytology.</w:t>
            </w:r>
            <w:r w:rsidRPr="00CB2EC4">
              <w:rPr>
                <w:rFonts w:ascii="Times New Roman" w:hAnsi="Times New Roman" w:cs="Times New Roman"/>
              </w:rPr>
              <w:br/>
              <w:t xml:space="preserve">  - if genotyping not performed (non-genotyping HPV): proceed directly to cytology pathway.</w:t>
            </w:r>
            <w:r w:rsidRPr="00CB2EC4">
              <w:rPr>
                <w:rFonts w:ascii="Times New Roman" w:hAnsi="Times New Roman" w:cs="Times New Roman"/>
              </w:rPr>
              <w:br/>
              <w:t>- cytology pathway (for all patients requiring cytological triage):</w:t>
            </w:r>
            <w:r w:rsidRPr="00CB2EC4">
              <w:rPr>
                <w:rFonts w:ascii="Times New Roman" w:hAnsi="Times New Roman" w:cs="Times New Roman"/>
              </w:rPr>
              <w:br/>
              <w:t xml:space="preserve">  - cytology result ≥ ASC-US (including ASC-US, LSIL, HSIL, etc.): refer for colposcopy.</w:t>
            </w:r>
            <w:r w:rsidRPr="00CB2EC4">
              <w:rPr>
                <w:rFonts w:ascii="Times New Roman" w:hAnsi="Times New Roman" w:cs="Times New Roman"/>
              </w:rPr>
              <w:br/>
              <w:t xml:space="preserve">  - cytology result negative (-): recommend repeat co-testing (cytology + HPV) after 1 year.</w:t>
            </w:r>
            <w:r w:rsidRPr="00CB2EC4">
              <w:rPr>
                <w:rFonts w:ascii="Times New Roman" w:hAnsi="Times New Roman" w:cs="Times New Roman"/>
              </w:rPr>
              <w:br/>
              <w:t>- special pathway:</w:t>
            </w:r>
            <w:r w:rsidRPr="00CB2EC4">
              <w:rPr>
                <w:rFonts w:ascii="Times New Roman" w:hAnsi="Times New Roman" w:cs="Times New Roman"/>
              </w:rPr>
              <w:br/>
              <w:t xml:space="preserve">  - non-genotyped HPV positive patients: must undergo cytology (no genotyping, skip directly).</w:t>
            </w:r>
            <w:r w:rsidRPr="00CB2EC4">
              <w:rPr>
                <w:rFonts w:ascii="Times New Roman" w:hAnsi="Times New Roman" w:cs="Times New Roman"/>
              </w:rPr>
              <w:br/>
              <w:t xml:space="preserve">  - other 12 types positive with negative cytology: annual follow-up (no colposcopy required).</w:t>
            </w:r>
          </w:p>
        </w:tc>
        <w:tc>
          <w:tcPr>
            <w:tcW w:w="1152" w:type="dxa"/>
            <w:vAlign w:val="center"/>
          </w:tcPr>
          <w:p w14:paraId="00C0A1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F9EB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DCF0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3CEFC4F" w14:textId="77777777">
        <w:tc>
          <w:tcPr>
            <w:tcW w:w="2160" w:type="dxa"/>
            <w:vAlign w:val="center"/>
          </w:tcPr>
          <w:p w14:paraId="1D928E7B"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A70D40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examination process for high-risk HPV positive is as follows:  </w:t>
            </w:r>
            <w:r w:rsidRPr="00CB2EC4">
              <w:rPr>
                <w:rFonts w:ascii="Times New Roman" w:hAnsi="Times New Roman" w:cs="Times New Roman"/>
              </w:rPr>
              <w:br/>
              <w:t xml:space="preserve">- Starting point: Patient tests positive for high-risk </w:t>
            </w:r>
            <w:r w:rsidRPr="00CB2EC4">
              <w:rPr>
                <w:rFonts w:ascii="Times New Roman" w:hAnsi="Times New Roman" w:cs="Times New Roman"/>
              </w:rPr>
              <w:lastRenderedPageBreak/>
              <w:t xml:space="preserve">HPV (HPV(+)).  </w:t>
            </w:r>
            <w:r w:rsidRPr="00CB2EC4">
              <w:rPr>
                <w:rFonts w:ascii="Times New Roman" w:hAnsi="Times New Roman" w:cs="Times New Roman"/>
              </w:rPr>
              <w:br/>
              <w:t xml:space="preserve">- First-level triage:  </w:t>
            </w:r>
            <w:r w:rsidRPr="00CB2EC4">
              <w:rPr>
                <w:rFonts w:ascii="Times New Roman" w:hAnsi="Times New Roman" w:cs="Times New Roman"/>
              </w:rPr>
              <w:br/>
              <w:t xml:space="preserve">  - If HPV genotyping has been performed:  </w:t>
            </w:r>
            <w:r w:rsidRPr="00CB2EC4">
              <w:rPr>
                <w:rFonts w:ascii="Times New Roman" w:hAnsi="Times New Roman" w:cs="Times New Roman"/>
              </w:rPr>
              <w:br/>
              <w:t xml:space="preserve">    - HPV16/18 positive → Immediate referral for colposcopy (no cytology required).  </w:t>
            </w:r>
            <w:r w:rsidRPr="00CB2EC4">
              <w:rPr>
                <w:rFonts w:ascii="Times New Roman" w:hAnsi="Times New Roman" w:cs="Times New Roman"/>
              </w:rPr>
              <w:br/>
              <w:t xml:space="preserve">    - HPV16/18 negative or other 12 types positive → Proceed with cervical cytology examination.  </w:t>
            </w:r>
            <w:r w:rsidRPr="00CB2EC4">
              <w:rPr>
                <w:rFonts w:ascii="Times New Roman" w:hAnsi="Times New Roman" w:cs="Times New Roman"/>
              </w:rPr>
              <w:br/>
              <w:t xml:space="preserve">  - If genotyping not performed (non-genotyped HPV) → Directly enter cytology examination pathway.  </w:t>
            </w:r>
            <w:r w:rsidRPr="00CB2EC4">
              <w:rPr>
                <w:rFonts w:ascii="Times New Roman" w:hAnsi="Times New Roman" w:cs="Times New Roman"/>
              </w:rPr>
              <w:br/>
              <w:t xml:space="preserve">- Cytology examination pathway (for all patients requiring cytological triage):  </w:t>
            </w:r>
            <w:r w:rsidRPr="00CB2EC4">
              <w:rPr>
                <w:rFonts w:ascii="Times New Roman" w:hAnsi="Times New Roman" w:cs="Times New Roman"/>
              </w:rPr>
              <w:br/>
              <w:t xml:space="preserve">  - Cytology result ≥ ASC-US (including ASC-US, LSIL, HSIL, etc.) → Refer for colposcopy.  </w:t>
            </w:r>
            <w:r w:rsidRPr="00CB2EC4">
              <w:rPr>
                <w:rFonts w:ascii="Times New Roman" w:hAnsi="Times New Roman" w:cs="Times New Roman"/>
              </w:rPr>
              <w:br/>
              <w:t xml:space="preserve">  - Cytology result negative (-) → Recommend repeat co-testing (cytology + HPV) after 1 year.  </w:t>
            </w:r>
            <w:r w:rsidRPr="00CB2EC4">
              <w:rPr>
                <w:rFonts w:ascii="Times New Roman" w:hAnsi="Times New Roman" w:cs="Times New Roman"/>
              </w:rPr>
              <w:br/>
              <w:t xml:space="preserve">- Special pathway:  </w:t>
            </w:r>
            <w:r w:rsidRPr="00CB2EC4">
              <w:rPr>
                <w:rFonts w:ascii="Times New Roman" w:hAnsi="Times New Roman" w:cs="Times New Roman"/>
              </w:rPr>
              <w:br/>
              <w:t xml:space="preserve">  - Non-genotyped HPV positive patients → Must undergo cytology examination (skip genotyping step).  </w:t>
            </w:r>
            <w:r w:rsidRPr="00CB2EC4">
              <w:rPr>
                <w:rFonts w:ascii="Times New Roman" w:hAnsi="Times New Roman" w:cs="Times New Roman"/>
              </w:rPr>
              <w:br/>
              <w:t xml:space="preserve">  - Other 12 types positive with negative cytology → Annual follow-up (no colposcopy needed).  </w:t>
            </w:r>
            <w:r w:rsidRPr="00CB2EC4">
              <w:rPr>
                <w:rFonts w:ascii="Times New Roman" w:hAnsi="Times New Roman" w:cs="Times New Roman"/>
              </w:rPr>
              <w:br/>
              <w:t>This process is based on risk-stratified management, emphasizing the importance of genotyping (Document 1 Figure 1 and Document 6). If not genotyped, prioritize cytology as the triage tool.</w:t>
            </w:r>
          </w:p>
        </w:tc>
        <w:tc>
          <w:tcPr>
            <w:tcW w:w="1152" w:type="dxa"/>
            <w:vAlign w:val="center"/>
          </w:tcPr>
          <w:p w14:paraId="75831E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23449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F067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B2C1DD" w14:textId="77777777">
        <w:tc>
          <w:tcPr>
            <w:tcW w:w="2160" w:type="dxa"/>
            <w:vAlign w:val="center"/>
          </w:tcPr>
          <w:p w14:paraId="56B2320C"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D36DDEA" w14:textId="77777777" w:rsidR="00922249" w:rsidRPr="00CB2EC4" w:rsidRDefault="003011D5">
            <w:pPr>
              <w:rPr>
                <w:rFonts w:ascii="Times New Roman" w:hAnsi="Times New Roman" w:cs="Times New Roman"/>
              </w:rPr>
            </w:pPr>
            <w:r w:rsidRPr="00CB2EC4">
              <w:rPr>
                <w:rFonts w:ascii="Times New Roman" w:hAnsi="Times New Roman" w:cs="Times New Roman"/>
              </w:rPr>
              <w:t>the examination process for high-risk HPV positive is as follows (based on Figure 1 description, HyDE similarity: 0.757):</w:t>
            </w:r>
            <w:r w:rsidRPr="00CB2EC4">
              <w:rPr>
                <w:rFonts w:ascii="Times New Roman" w:hAnsi="Times New Roman" w:cs="Times New Roman"/>
              </w:rPr>
              <w:br/>
            </w:r>
            <w:r w:rsidRPr="00CB2EC4">
              <w:rPr>
                <w:rFonts w:ascii="Times New Roman" w:hAnsi="Times New Roman" w:cs="Times New Roman"/>
              </w:rPr>
              <w:br/>
              <w:t>1. Starting point: Patient tests positive for high-risk HPV (HPV(+)).</w:t>
            </w:r>
            <w:r w:rsidRPr="00CB2EC4">
              <w:rPr>
                <w:rFonts w:ascii="Times New Roman" w:hAnsi="Times New Roman" w:cs="Times New Roman"/>
              </w:rPr>
              <w:br/>
              <w:t>2. First-level triage:</w:t>
            </w:r>
            <w:r w:rsidRPr="00CB2EC4">
              <w:rPr>
                <w:rFonts w:ascii="Times New Roman" w:hAnsi="Times New Roman" w:cs="Times New Roman"/>
              </w:rPr>
              <w:br/>
              <w:t xml:space="preserve">   - If HPV genotyping has been performed: proceed to HPV genotyping result pathway.</w:t>
            </w:r>
            <w:r w:rsidRPr="00CB2EC4">
              <w:rPr>
                <w:rFonts w:ascii="Times New Roman" w:hAnsi="Times New Roman" w:cs="Times New Roman"/>
              </w:rPr>
              <w:br/>
              <w:t xml:space="preserve">   - If no genotyping was done (HPV non-genotyped): </w:t>
            </w:r>
            <w:r w:rsidRPr="00CB2EC4">
              <w:rPr>
                <w:rFonts w:ascii="Times New Roman" w:hAnsi="Times New Roman" w:cs="Times New Roman"/>
              </w:rPr>
              <w:lastRenderedPageBreak/>
              <w:t>proceed directly to cytology examination pathway.</w:t>
            </w:r>
            <w:r w:rsidRPr="00CB2EC4">
              <w:rPr>
                <w:rFonts w:ascii="Times New Roman" w:hAnsi="Times New Roman" w:cs="Times New Roman"/>
              </w:rPr>
              <w:br/>
              <w:t>3. HPV genotyping pathway:</w:t>
            </w:r>
            <w:r w:rsidRPr="00CB2EC4">
              <w:rPr>
                <w:rFonts w:ascii="Times New Roman" w:hAnsi="Times New Roman" w:cs="Times New Roman"/>
              </w:rPr>
              <w:br/>
              <w:t xml:space="preserve">   - HPV16/18 positive: refer immediately for colposcopy.</w:t>
            </w:r>
            <w:r w:rsidRPr="00CB2EC4">
              <w:rPr>
                <w:rFonts w:ascii="Times New Roman" w:hAnsi="Times New Roman" w:cs="Times New Roman"/>
              </w:rPr>
              <w:br/>
              <w:t xml:space="preserve">   - HPV16/18 negative or other 12 types positive: perform cervical cytology examination.</w:t>
            </w:r>
            <w:r w:rsidRPr="00CB2EC4">
              <w:rPr>
                <w:rFonts w:ascii="Times New Roman" w:hAnsi="Times New Roman" w:cs="Times New Roman"/>
              </w:rPr>
              <w:br/>
              <w:t>4. Cytology examination pathway (for all patients requiring cytology triage):</w:t>
            </w:r>
            <w:r w:rsidRPr="00CB2EC4">
              <w:rPr>
                <w:rFonts w:ascii="Times New Roman" w:hAnsi="Times New Roman" w:cs="Times New Roman"/>
              </w:rPr>
              <w:br/>
              <w:t xml:space="preserve">   - Cytology result ≥ ASC-US (including ASC-US, LSIL, HSIL, etc.): refer for colposcopy.</w:t>
            </w:r>
            <w:r w:rsidRPr="00CB2EC4">
              <w:rPr>
                <w:rFonts w:ascii="Times New Roman" w:hAnsi="Times New Roman" w:cs="Times New Roman"/>
              </w:rPr>
              <w:br/>
              <w:t xml:space="preserve">   - Cytology result negative (-): recommend repeating combined cytology + HPV testing after 1 year.</w:t>
            </w:r>
            <w:r w:rsidRPr="00CB2EC4">
              <w:rPr>
                <w:rFonts w:ascii="Times New Roman" w:hAnsi="Times New Roman" w:cs="Times New Roman"/>
              </w:rPr>
              <w:br/>
              <w:t>5. Special pathways:</w:t>
            </w:r>
            <w:r w:rsidRPr="00CB2EC4">
              <w:rPr>
                <w:rFonts w:ascii="Times New Roman" w:hAnsi="Times New Roman" w:cs="Times New Roman"/>
              </w:rPr>
              <w:br/>
              <w:t xml:space="preserve">   - Non-genotyped HPV positive patients: must undergo cytology examination (skip genotyping directly).</w:t>
            </w:r>
            <w:r w:rsidRPr="00CB2EC4">
              <w:rPr>
                <w:rFonts w:ascii="Times New Roman" w:hAnsi="Times New Roman" w:cs="Times New Roman"/>
              </w:rPr>
              <w:br/>
              <w:t xml:space="preserve">   - Other 12 types positive with negative cytology: annual follow-up (no colposcopy required).</w:t>
            </w:r>
            <w:r w:rsidRPr="00CB2EC4">
              <w:rPr>
                <w:rFonts w:ascii="Times New Roman" w:hAnsi="Times New Roman" w:cs="Times New Roman"/>
              </w:rPr>
              <w:br/>
            </w:r>
            <w:r w:rsidRPr="00CB2EC4">
              <w:rPr>
                <w:rFonts w:ascii="Times New Roman" w:hAnsi="Times New Roman" w:cs="Times New Roman"/>
              </w:rPr>
              <w:br/>
              <w:t>this process is based on the detailed description in Figure 1 (document fragment: HyDE similarity 0.757) and emphasizes the importance of genotyping. If no genotyping is performed, cytology serves as the triage basis.</w:t>
            </w:r>
          </w:p>
        </w:tc>
        <w:tc>
          <w:tcPr>
            <w:tcW w:w="1152" w:type="dxa"/>
            <w:vAlign w:val="center"/>
          </w:tcPr>
          <w:p w14:paraId="0CEC0E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6F65D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7D79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8BBB8F4" w14:textId="77777777">
        <w:tc>
          <w:tcPr>
            <w:tcW w:w="2160" w:type="dxa"/>
            <w:vAlign w:val="center"/>
          </w:tcPr>
          <w:p w14:paraId="10C3FC1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9AB297E" w14:textId="77777777" w:rsidR="00922249" w:rsidRPr="00CB2EC4" w:rsidRDefault="003011D5">
            <w:pPr>
              <w:rPr>
                <w:rFonts w:ascii="Times New Roman" w:hAnsi="Times New Roman" w:cs="Times New Roman"/>
              </w:rPr>
            </w:pPr>
            <w:r w:rsidRPr="00CB2EC4">
              <w:rPr>
                <w:rFonts w:ascii="Times New Roman" w:hAnsi="Times New Roman" w:cs="Times New Roman"/>
              </w:rPr>
              <w:t>the examination process for high-risk HPV positive patients is as follows:</w:t>
            </w:r>
            <w:r w:rsidRPr="00CB2EC4">
              <w:rPr>
                <w:rFonts w:ascii="Times New Roman" w:hAnsi="Times New Roman" w:cs="Times New Roman"/>
              </w:rPr>
              <w:br/>
            </w:r>
            <w:r w:rsidRPr="00CB2EC4">
              <w:rPr>
                <w:rFonts w:ascii="Times New Roman" w:hAnsi="Times New Roman" w:cs="Times New Roman"/>
              </w:rPr>
              <w:br/>
              <w:t>- Starting point: Patient tests positive for high-risk HPV (HPV(+)).</w:t>
            </w:r>
            <w:r w:rsidRPr="00CB2EC4">
              <w:rPr>
                <w:rFonts w:ascii="Times New Roman" w:hAnsi="Times New Roman" w:cs="Times New Roman"/>
              </w:rPr>
              <w:br/>
              <w:t>- First-level triage:</w:t>
            </w:r>
            <w:r w:rsidRPr="00CB2EC4">
              <w:rPr>
                <w:rFonts w:ascii="Times New Roman" w:hAnsi="Times New Roman" w:cs="Times New Roman"/>
              </w:rPr>
              <w:br/>
              <w:t xml:space="preserve">  - If HPV genotyping has been performed: proceed to HPV genotyping result pathway.</w:t>
            </w:r>
            <w:r w:rsidRPr="00CB2EC4">
              <w:rPr>
                <w:rFonts w:ascii="Times New Roman" w:hAnsi="Times New Roman" w:cs="Times New Roman"/>
              </w:rPr>
              <w:br/>
              <w:t xml:space="preserve">    - HPV16/18 positive: refer immediately for colposcopy.</w:t>
            </w:r>
            <w:r w:rsidRPr="00CB2EC4">
              <w:rPr>
                <w:rFonts w:ascii="Times New Roman" w:hAnsi="Times New Roman" w:cs="Times New Roman"/>
              </w:rPr>
              <w:br/>
            </w:r>
            <w:r w:rsidRPr="00CB2EC4">
              <w:rPr>
                <w:rFonts w:ascii="Times New Roman" w:hAnsi="Times New Roman" w:cs="Times New Roman"/>
              </w:rPr>
              <w:lastRenderedPageBreak/>
              <w:t xml:space="preserve">    - HPV16/18 negative or other 12 types positive: undergo cervical cytology examination.</w:t>
            </w:r>
            <w:r w:rsidRPr="00CB2EC4">
              <w:rPr>
                <w:rFonts w:ascii="Times New Roman" w:hAnsi="Times New Roman" w:cs="Times New Roman"/>
              </w:rPr>
              <w:br/>
              <w:t xml:space="preserve">  - If genotyping has not been performed (HPV non-genotyping): proceed directly to cytology examination pathway.</w:t>
            </w:r>
            <w:r w:rsidRPr="00CB2EC4">
              <w:rPr>
                <w:rFonts w:ascii="Times New Roman" w:hAnsi="Times New Roman" w:cs="Times New Roman"/>
              </w:rPr>
              <w:br/>
              <w:t>- Cytology examination pathway (for all patients requiring cytology triage):</w:t>
            </w:r>
            <w:r w:rsidRPr="00CB2EC4">
              <w:rPr>
                <w:rFonts w:ascii="Times New Roman" w:hAnsi="Times New Roman" w:cs="Times New Roman"/>
              </w:rPr>
              <w:br/>
              <w:t xml:space="preserve">  - Cytology result ≥ ASC-US (including ASC-US, LSIL, HSIL, etc.): refer for colposcopy.</w:t>
            </w:r>
            <w:r w:rsidRPr="00CB2EC4">
              <w:rPr>
                <w:rFonts w:ascii="Times New Roman" w:hAnsi="Times New Roman" w:cs="Times New Roman"/>
              </w:rPr>
              <w:br/>
              <w:t xml:space="preserve">  - Cytology result negative (-): recommend repeat co-testing (cytology + HPV) after 1 year.</w:t>
            </w:r>
            <w:r w:rsidRPr="00CB2EC4">
              <w:rPr>
                <w:rFonts w:ascii="Times New Roman" w:hAnsi="Times New Roman" w:cs="Times New Roman"/>
              </w:rPr>
              <w:br/>
              <w:t>- Special pathway:</w:t>
            </w:r>
            <w:r w:rsidRPr="00CB2EC4">
              <w:rPr>
                <w:rFonts w:ascii="Times New Roman" w:hAnsi="Times New Roman" w:cs="Times New Roman"/>
              </w:rPr>
              <w:br/>
              <w:t xml:space="preserve">  - Non-genotyped HPV positive patients: must undergo cytology examination (skip genotyping directly).</w:t>
            </w:r>
            <w:r w:rsidRPr="00CB2EC4">
              <w:rPr>
                <w:rFonts w:ascii="Times New Roman" w:hAnsi="Times New Roman" w:cs="Times New Roman"/>
              </w:rPr>
              <w:br/>
              <w:t xml:space="preserve">  - Other 12 types positive with negative cytology: annual follow-up (no colposcopy required).</w:t>
            </w:r>
            <w:r w:rsidRPr="00CB2EC4">
              <w:rPr>
                <w:rFonts w:ascii="Times New Roman" w:hAnsi="Times New Roman" w:cs="Times New Roman"/>
              </w:rPr>
              <w:br/>
            </w:r>
            <w:r w:rsidRPr="00CB2EC4">
              <w:rPr>
                <w:rFonts w:ascii="Times New Roman" w:hAnsi="Times New Roman" w:cs="Times New Roman"/>
              </w:rPr>
              <w:br/>
              <w:t>this process is detailed in Figure 1 of document fragment 1 and is supplemented by document fragment 5 (emphasizing that when HPV is not genotyped, triage is based on cytology examination). therefore, the overall process triages based on genotyping status and cytology results, ultimately determining whether colposcopy or follow-up is needed.</w:t>
            </w:r>
          </w:p>
        </w:tc>
        <w:tc>
          <w:tcPr>
            <w:tcW w:w="1152" w:type="dxa"/>
            <w:vAlign w:val="center"/>
          </w:tcPr>
          <w:p w14:paraId="46639B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65201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1070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DF3CF1" w14:textId="77777777">
        <w:tc>
          <w:tcPr>
            <w:tcW w:w="2160" w:type="dxa"/>
            <w:vAlign w:val="center"/>
          </w:tcPr>
          <w:p w14:paraId="04B344A8"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C5D969A" w14:textId="77777777" w:rsidR="00922249" w:rsidRPr="00CB2EC4" w:rsidRDefault="003011D5">
            <w:pPr>
              <w:rPr>
                <w:rFonts w:ascii="Times New Roman" w:hAnsi="Times New Roman" w:cs="Times New Roman"/>
              </w:rPr>
            </w:pPr>
            <w:r w:rsidRPr="00CB2EC4">
              <w:rPr>
                <w:rFonts w:ascii="Times New Roman" w:hAnsi="Times New Roman" w:cs="Times New Roman"/>
              </w:rPr>
              <w:t>the examination process for high-risk HPV positive is as follows:</w:t>
            </w:r>
            <w:r w:rsidRPr="00CB2EC4">
              <w:rPr>
                <w:rFonts w:ascii="Times New Roman" w:hAnsi="Times New Roman" w:cs="Times New Roman"/>
              </w:rPr>
              <w:br/>
            </w:r>
            <w:r w:rsidRPr="00CB2EC4">
              <w:rPr>
                <w:rFonts w:ascii="Times New Roman" w:hAnsi="Times New Roman" w:cs="Times New Roman"/>
              </w:rPr>
              <w:br/>
              <w:t>- Starting point: The patient's high-risk HPV test result is positive (HPV(+)).</w:t>
            </w:r>
            <w:r w:rsidRPr="00CB2EC4">
              <w:rPr>
                <w:rFonts w:ascii="Times New Roman" w:hAnsi="Times New Roman" w:cs="Times New Roman"/>
              </w:rPr>
              <w:br/>
              <w:t>- First-level triage:</w:t>
            </w:r>
            <w:r w:rsidRPr="00CB2EC4">
              <w:rPr>
                <w:rFonts w:ascii="Times New Roman" w:hAnsi="Times New Roman" w:cs="Times New Roman"/>
              </w:rPr>
              <w:br/>
              <w:t xml:space="preserve">  - If HPV genotyping has been performed: proceed to the HPV genotyping result pathway.</w:t>
            </w:r>
            <w:r w:rsidRPr="00CB2EC4">
              <w:rPr>
                <w:rFonts w:ascii="Times New Roman" w:hAnsi="Times New Roman" w:cs="Times New Roman"/>
              </w:rPr>
              <w:br/>
            </w:r>
            <w:r w:rsidRPr="00CB2EC4">
              <w:rPr>
                <w:rFonts w:ascii="Times New Roman" w:hAnsi="Times New Roman" w:cs="Times New Roman"/>
              </w:rPr>
              <w:lastRenderedPageBreak/>
              <w:t xml:space="preserve">  - If no genotyping has been performed (HPV non-genotyping): proceed directly to the cytology examination pathway.</w:t>
            </w:r>
            <w:r w:rsidRPr="00CB2EC4">
              <w:rPr>
                <w:rFonts w:ascii="Times New Roman" w:hAnsi="Times New Roman" w:cs="Times New Roman"/>
              </w:rPr>
              <w:br/>
              <w:t>- HPV genotyping pathway:</w:t>
            </w:r>
            <w:r w:rsidRPr="00CB2EC4">
              <w:rPr>
                <w:rFonts w:ascii="Times New Roman" w:hAnsi="Times New Roman" w:cs="Times New Roman"/>
              </w:rPr>
              <w:br/>
              <w:t xml:space="preserve">  - HPV16/18 positive: refer immediately for colposcopy.</w:t>
            </w:r>
            <w:r w:rsidRPr="00CB2EC4">
              <w:rPr>
                <w:rFonts w:ascii="Times New Roman" w:hAnsi="Times New Roman" w:cs="Times New Roman"/>
              </w:rPr>
              <w:br/>
              <w:t xml:space="preserve">  - HPV16/18 negative or other 12 types positive: perform cervical cytology examination.</w:t>
            </w:r>
            <w:r w:rsidRPr="00CB2EC4">
              <w:rPr>
                <w:rFonts w:ascii="Times New Roman" w:hAnsi="Times New Roman" w:cs="Times New Roman"/>
              </w:rPr>
              <w:br/>
              <w:t>- Cytology examination pathway (for all patients requiring cytology triage):</w:t>
            </w:r>
            <w:r w:rsidRPr="00CB2EC4">
              <w:rPr>
                <w:rFonts w:ascii="Times New Roman" w:hAnsi="Times New Roman" w:cs="Times New Roman"/>
              </w:rPr>
              <w:br/>
              <w:t xml:space="preserve">  - Cytology result ≥ ASC-US (including ASC-US, LSIL, HSIL, etc.): refer for colposcopy.</w:t>
            </w:r>
            <w:r w:rsidRPr="00CB2EC4">
              <w:rPr>
                <w:rFonts w:ascii="Times New Roman" w:hAnsi="Times New Roman" w:cs="Times New Roman"/>
              </w:rPr>
              <w:br/>
              <w:t xml:space="preserve">  - Cytology result negative (-): recommend repeating co-testing (cytology + HPV) after 1 year.</w:t>
            </w:r>
            <w:r w:rsidRPr="00CB2EC4">
              <w:rPr>
                <w:rFonts w:ascii="Times New Roman" w:hAnsi="Times New Roman" w:cs="Times New Roman"/>
              </w:rPr>
              <w:br/>
              <w:t>- Special pathway:</w:t>
            </w:r>
            <w:r w:rsidRPr="00CB2EC4">
              <w:rPr>
                <w:rFonts w:ascii="Times New Roman" w:hAnsi="Times New Roman" w:cs="Times New Roman"/>
              </w:rPr>
              <w:br/>
              <w:t xml:space="preserve">  - Patients with non-genotyped HPV positive: must undergo cytology examination (bypass genotyping directly).</w:t>
            </w:r>
            <w:r w:rsidRPr="00CB2EC4">
              <w:rPr>
                <w:rFonts w:ascii="Times New Roman" w:hAnsi="Times New Roman" w:cs="Times New Roman"/>
              </w:rPr>
              <w:br/>
              <w:t xml:space="preserve">  - Other 12 types positive with negative cytology: annual follow-up (no colposcopy required).</w:t>
            </w:r>
            <w:r w:rsidRPr="00CB2EC4">
              <w:rPr>
                <w:rFonts w:ascii="Times New Roman" w:hAnsi="Times New Roman" w:cs="Times New Roman"/>
              </w:rPr>
              <w:br/>
            </w:r>
            <w:r w:rsidRPr="00CB2EC4">
              <w:rPr>
                <w:rFonts w:ascii="Times New Roman" w:hAnsi="Times New Roman" w:cs="Times New Roman"/>
              </w:rPr>
              <w:br/>
              <w:t>This process is explicitly described in the document (e.g., Figure 1 section: "Starting point: the patient's high-risk HPV detection result is positive...") and emphasizes using cytology examination as the triage basis, especially when HPV is not genotyped.</w:t>
            </w:r>
          </w:p>
        </w:tc>
        <w:tc>
          <w:tcPr>
            <w:tcW w:w="1152" w:type="dxa"/>
            <w:vAlign w:val="center"/>
          </w:tcPr>
          <w:p w14:paraId="5D678D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A3B6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8B37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EA64D6" w14:textId="77777777">
        <w:tc>
          <w:tcPr>
            <w:tcW w:w="2160" w:type="dxa"/>
            <w:vAlign w:val="center"/>
          </w:tcPr>
          <w:p w14:paraId="4D31DB37"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CB3BBE1" w14:textId="77777777" w:rsidR="00922249" w:rsidRPr="00CB2EC4" w:rsidRDefault="003011D5">
            <w:pPr>
              <w:rPr>
                <w:rFonts w:ascii="Times New Roman" w:hAnsi="Times New Roman" w:cs="Times New Roman"/>
              </w:rPr>
            </w:pPr>
            <w:r w:rsidRPr="00CB2EC4">
              <w:rPr>
                <w:rFonts w:ascii="Times New Roman" w:hAnsi="Times New Roman" w:cs="Times New Roman"/>
              </w:rPr>
              <w:t>the examination process for high-risk HPV positive patients is as follows:</w:t>
            </w:r>
            <w:r w:rsidRPr="00CB2EC4">
              <w:rPr>
                <w:rFonts w:ascii="Times New Roman" w:hAnsi="Times New Roman" w:cs="Times New Roman"/>
              </w:rPr>
              <w:br/>
            </w:r>
            <w:r w:rsidRPr="00CB2EC4">
              <w:rPr>
                <w:rFonts w:ascii="Times New Roman" w:hAnsi="Times New Roman" w:cs="Times New Roman"/>
              </w:rPr>
              <w:br/>
              <w:t>- Starting point: The patient's high-risk HPV test result is positive (HPV(+)).</w:t>
            </w:r>
            <w:r w:rsidRPr="00CB2EC4">
              <w:rPr>
                <w:rFonts w:ascii="Times New Roman" w:hAnsi="Times New Roman" w:cs="Times New Roman"/>
              </w:rPr>
              <w:br/>
              <w:t>- First-level triage:</w:t>
            </w:r>
            <w:r w:rsidRPr="00CB2EC4">
              <w:rPr>
                <w:rFonts w:ascii="Times New Roman" w:hAnsi="Times New Roman" w:cs="Times New Roman"/>
              </w:rPr>
              <w:br/>
              <w:t xml:space="preserve">  - If HPV genotyping has been performed: proceed to the HPV genotyping result pathway.</w:t>
            </w:r>
            <w:r w:rsidRPr="00CB2EC4">
              <w:rPr>
                <w:rFonts w:ascii="Times New Roman" w:hAnsi="Times New Roman" w:cs="Times New Roman"/>
              </w:rPr>
              <w:br/>
            </w:r>
            <w:r w:rsidRPr="00CB2EC4">
              <w:rPr>
                <w:rFonts w:ascii="Times New Roman" w:hAnsi="Times New Roman" w:cs="Times New Roman"/>
              </w:rPr>
              <w:lastRenderedPageBreak/>
              <w:t xml:space="preserve">    - HPV16/18 positive: refer immediately for colposcopy.</w:t>
            </w:r>
            <w:r w:rsidRPr="00CB2EC4">
              <w:rPr>
                <w:rFonts w:ascii="Times New Roman" w:hAnsi="Times New Roman" w:cs="Times New Roman"/>
              </w:rPr>
              <w:br/>
              <w:t xml:space="preserve">    - HPV16/18 negative or other 12 types positive: undergo cervical cytology examination.</w:t>
            </w:r>
            <w:r w:rsidRPr="00CB2EC4">
              <w:rPr>
                <w:rFonts w:ascii="Times New Roman" w:hAnsi="Times New Roman" w:cs="Times New Roman"/>
              </w:rPr>
              <w:br/>
              <w:t xml:space="preserve">  - If genotyping has not been performed (HPV non-genotyping): proceed directly to the cytology examination pathway.</w:t>
            </w:r>
            <w:r w:rsidRPr="00CB2EC4">
              <w:rPr>
                <w:rFonts w:ascii="Times New Roman" w:hAnsi="Times New Roman" w:cs="Times New Roman"/>
              </w:rPr>
              <w:br/>
              <w:t>- Cytology examination pathway (applicable to all patients requiring cytology triage):</w:t>
            </w:r>
            <w:r w:rsidRPr="00CB2EC4">
              <w:rPr>
                <w:rFonts w:ascii="Times New Roman" w:hAnsi="Times New Roman" w:cs="Times New Roman"/>
              </w:rPr>
              <w:br/>
              <w:t xml:space="preserve">  - Cytology result ≥ ASC-US (including ASC-US, LSIL, HSIL, etc.): refer for colposcopy.</w:t>
            </w:r>
            <w:r w:rsidRPr="00CB2EC4">
              <w:rPr>
                <w:rFonts w:ascii="Times New Roman" w:hAnsi="Times New Roman" w:cs="Times New Roman"/>
              </w:rPr>
              <w:br/>
              <w:t xml:space="preserve">  - Cytology result negative (-): recommend repeating combined cytology and HPV testing after 1 year.</w:t>
            </w:r>
            <w:r w:rsidRPr="00CB2EC4">
              <w:rPr>
                <w:rFonts w:ascii="Times New Roman" w:hAnsi="Times New Roman" w:cs="Times New Roman"/>
              </w:rPr>
              <w:br/>
              <w:t>- Special pathway:</w:t>
            </w:r>
            <w:r w:rsidRPr="00CB2EC4">
              <w:rPr>
                <w:rFonts w:ascii="Times New Roman" w:hAnsi="Times New Roman" w:cs="Times New Roman"/>
              </w:rPr>
              <w:br/>
              <w:t xml:space="preserve">  - Non-genotyped HPV positive patients: must undergo cytology examination (skip genotyping directly).</w:t>
            </w:r>
            <w:r w:rsidRPr="00CB2EC4">
              <w:rPr>
                <w:rFonts w:ascii="Times New Roman" w:hAnsi="Times New Roman" w:cs="Times New Roman"/>
              </w:rPr>
              <w:br/>
              <w:t xml:space="preserve">  - Other 12 types positive with negative cytology: annual follow-up (no colposcopy required).</w:t>
            </w:r>
            <w:r w:rsidRPr="00CB2EC4">
              <w:rPr>
                <w:rFonts w:ascii="Times New Roman" w:hAnsi="Times New Roman" w:cs="Times New Roman"/>
              </w:rPr>
              <w:br/>
            </w:r>
            <w:r w:rsidRPr="00CB2EC4">
              <w:rPr>
                <w:rFonts w:ascii="Times New Roman" w:hAnsi="Times New Roman" w:cs="Times New Roman"/>
              </w:rPr>
              <w:br/>
              <w:t>this process is detailed in Figure 1 of document fragment 1 and is supplemented by document fragment 5 (emphasizing that when HPV is not genotyped, triage is based on cytology examination). therefore, the overall process triages based on genotyping status and cytology results, ultimately determining whether colposcopy or follow-up is needed.</w:t>
            </w:r>
          </w:p>
        </w:tc>
        <w:tc>
          <w:tcPr>
            <w:tcW w:w="1152" w:type="dxa"/>
            <w:vAlign w:val="center"/>
          </w:tcPr>
          <w:p w14:paraId="663B53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D03CD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DD96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E18281" w14:textId="77777777">
        <w:tc>
          <w:tcPr>
            <w:tcW w:w="2160" w:type="dxa"/>
            <w:vAlign w:val="center"/>
          </w:tcPr>
          <w:p w14:paraId="3B2B0E2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DC9DE27" w14:textId="77777777" w:rsidR="00922249" w:rsidRPr="00CB2EC4" w:rsidRDefault="003011D5">
            <w:pPr>
              <w:rPr>
                <w:rFonts w:ascii="Times New Roman" w:hAnsi="Times New Roman" w:cs="Times New Roman"/>
              </w:rPr>
            </w:pPr>
            <w:r w:rsidRPr="00CB2EC4">
              <w:rPr>
                <w:rFonts w:ascii="Times New Roman" w:hAnsi="Times New Roman" w:cs="Times New Roman"/>
              </w:rPr>
              <w:t>The examination process for high-risk HPV-positive patients is as follows (primarily based on the description of Figure 1 from the first document fragment):</w:t>
            </w:r>
            <w:r w:rsidRPr="00CB2EC4">
              <w:rPr>
                <w:rFonts w:ascii="Times New Roman" w:hAnsi="Times New Roman" w:cs="Times New Roman"/>
              </w:rPr>
              <w:br/>
            </w:r>
            <w:r w:rsidRPr="00CB2EC4">
              <w:rPr>
                <w:rFonts w:ascii="Times New Roman" w:hAnsi="Times New Roman" w:cs="Times New Roman"/>
              </w:rPr>
              <w:br/>
              <w:t xml:space="preserve">- Starting point: Patient tests positive for HPV </w:t>
            </w:r>
            <w:r w:rsidRPr="00CB2EC4">
              <w:rPr>
                <w:rFonts w:ascii="Times New Roman" w:hAnsi="Times New Roman" w:cs="Times New Roman"/>
              </w:rPr>
              <w:lastRenderedPageBreak/>
              <w:t>(HPV(+)).</w:t>
            </w:r>
            <w:r w:rsidRPr="00CB2EC4">
              <w:rPr>
                <w:rFonts w:ascii="Times New Roman" w:hAnsi="Times New Roman" w:cs="Times New Roman"/>
              </w:rPr>
              <w:br/>
              <w:t>- First-level triage:</w:t>
            </w:r>
            <w:r w:rsidRPr="00CB2EC4">
              <w:rPr>
                <w:rFonts w:ascii="Times New Roman" w:hAnsi="Times New Roman" w:cs="Times New Roman"/>
              </w:rPr>
              <w:br/>
              <w:t xml:space="preserve">  - If HPV genotyping has been performed: Proceed to the HPV genotyping result pathway.</w:t>
            </w:r>
            <w:r w:rsidRPr="00CB2EC4">
              <w:rPr>
                <w:rFonts w:ascii="Times New Roman" w:hAnsi="Times New Roman" w:cs="Times New Roman"/>
              </w:rPr>
              <w:br/>
              <w:t xml:space="preserve">    - HPV16/18 positive: Immediate referral for colposcopy.</w:t>
            </w:r>
            <w:r w:rsidRPr="00CB2EC4">
              <w:rPr>
                <w:rFonts w:ascii="Times New Roman" w:hAnsi="Times New Roman" w:cs="Times New Roman"/>
              </w:rPr>
              <w:br/>
              <w:t xml:space="preserve">    - HPV16/18 negative or positive for one of the other 12 types: Perform cervical cytology.</w:t>
            </w:r>
            <w:r w:rsidRPr="00CB2EC4">
              <w:rPr>
                <w:rFonts w:ascii="Times New Roman" w:hAnsi="Times New Roman" w:cs="Times New Roman"/>
              </w:rPr>
              <w:br/>
              <w:t xml:space="preserve">  - If genotyping has not been performed (non-genotyped HPV): Proceed directly to the cytology pathway.</w:t>
            </w:r>
            <w:r w:rsidRPr="00CB2EC4">
              <w:rPr>
                <w:rFonts w:ascii="Times New Roman" w:hAnsi="Times New Roman" w:cs="Times New Roman"/>
              </w:rPr>
              <w:br/>
              <w:t>- Cytology pathway (applies to all patients requiring cytology triage):</w:t>
            </w:r>
            <w:r w:rsidRPr="00CB2EC4">
              <w:rPr>
                <w:rFonts w:ascii="Times New Roman" w:hAnsi="Times New Roman" w:cs="Times New Roman"/>
              </w:rPr>
              <w:br/>
              <w:t xml:space="preserve">  - Cytology result ≥ ASC-US (including ASC-US, LSIL, HSIL, etc.): Refer for colposcopy.</w:t>
            </w:r>
            <w:r w:rsidRPr="00CB2EC4">
              <w:rPr>
                <w:rFonts w:ascii="Times New Roman" w:hAnsi="Times New Roman" w:cs="Times New Roman"/>
              </w:rPr>
              <w:br/>
              <w:t xml:space="preserve">  - Cytology result negative (-): Recommend co-testing (cytology + HPV) after 1 year.</w:t>
            </w:r>
            <w:r w:rsidRPr="00CB2EC4">
              <w:rPr>
                <w:rFonts w:ascii="Times New Roman" w:hAnsi="Times New Roman" w:cs="Times New Roman"/>
              </w:rPr>
              <w:br/>
              <w:t>- Special pathways:</w:t>
            </w:r>
            <w:r w:rsidRPr="00CB2EC4">
              <w:rPr>
                <w:rFonts w:ascii="Times New Roman" w:hAnsi="Times New Roman" w:cs="Times New Roman"/>
              </w:rPr>
              <w:br/>
              <w:t xml:space="preserve">  - Patients with non-genotyped HPV positive: Must undergo cytology (skipping the genotyping step).</w:t>
            </w:r>
            <w:r w:rsidRPr="00CB2EC4">
              <w:rPr>
                <w:rFonts w:ascii="Times New Roman" w:hAnsi="Times New Roman" w:cs="Times New Roman"/>
              </w:rPr>
              <w:br/>
              <w:t xml:space="preserve">  - Patients positive for one of the other 12 types with negative cytology: Annual follow-up (colposcopy not required).</w:t>
            </w:r>
            <w:r w:rsidRPr="00CB2EC4">
              <w:rPr>
                <w:rFonts w:ascii="Times New Roman" w:hAnsi="Times New Roman" w:cs="Times New Roman"/>
              </w:rPr>
              <w:br/>
            </w:r>
            <w:r w:rsidRPr="00CB2EC4">
              <w:rPr>
                <w:rFonts w:ascii="Times New Roman" w:hAnsi="Times New Roman" w:cs="Times New Roman"/>
              </w:rPr>
              <w:br/>
              <w:t>This process is supported by multiple document fragments (e.g., a fragment with 0.668 similarity details the Figure 1 process; a fragment with 0.524 similarity mentions the management of HPV positive/cytology negative cases). The process emphasizes the importance of genotyping testing and determines referral for colposcopy or follow-up based on genotyping results and cytology.</w:t>
            </w:r>
            <w:r w:rsidRPr="00CB2EC4">
              <w:rPr>
                <w:rFonts w:ascii="Times New Roman" w:hAnsi="Times New Roman" w:cs="Times New Roman"/>
              </w:rPr>
              <w:br/>
            </w:r>
            <w:r w:rsidRPr="00CB2EC4">
              <w:rPr>
                <w:rFonts w:ascii="Times New Roman" w:hAnsi="Times New Roman" w:cs="Times New Roman"/>
              </w:rPr>
              <w:br/>
              <w:t>Key evidence:</w:t>
            </w:r>
            <w:r w:rsidRPr="00CB2EC4">
              <w:rPr>
                <w:rFonts w:ascii="Times New Roman" w:hAnsi="Times New Roman" w:cs="Times New Roman"/>
              </w:rPr>
              <w:br/>
            </w:r>
            <w:r w:rsidRPr="00CB2EC4">
              <w:rPr>
                <w:rFonts w:ascii="Times New Roman" w:hAnsi="Times New Roman" w:cs="Times New Roman"/>
              </w:rPr>
              <w:lastRenderedPageBreak/>
              <w:t>- "Figure 1: High-risk HPV-positive patients should follow the process below..." (similarity 0.668).</w:t>
            </w:r>
            <w:r w:rsidRPr="00CB2EC4">
              <w:rPr>
                <w:rFonts w:ascii="Times New Roman" w:hAnsi="Times New Roman" w:cs="Times New Roman"/>
              </w:rPr>
              <w:br/>
              <w:t>- "When HPV genotyping shows HPV16 or 18 positivity, immediately refer for colposcopy..." (similarity 0.524).</w:t>
            </w:r>
          </w:p>
        </w:tc>
        <w:tc>
          <w:tcPr>
            <w:tcW w:w="1152" w:type="dxa"/>
            <w:vAlign w:val="center"/>
          </w:tcPr>
          <w:p w14:paraId="445C85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C79E8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C7F3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62961E" w14:textId="77777777">
        <w:tc>
          <w:tcPr>
            <w:tcW w:w="2160" w:type="dxa"/>
            <w:vAlign w:val="center"/>
          </w:tcPr>
          <w:p w14:paraId="06583FB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029139CF" w14:textId="77777777" w:rsidR="00922249" w:rsidRPr="00CB2EC4" w:rsidRDefault="003011D5">
            <w:pPr>
              <w:rPr>
                <w:rFonts w:ascii="Times New Roman" w:hAnsi="Times New Roman" w:cs="Times New Roman"/>
              </w:rPr>
            </w:pPr>
            <w:r w:rsidRPr="00CB2EC4">
              <w:rPr>
                <w:rFonts w:ascii="Times New Roman" w:hAnsi="Times New Roman" w:cs="Times New Roman"/>
              </w:rPr>
              <w:t>what is the examination process for high-risk HPV positive results?</w:t>
            </w:r>
            <w:r w:rsidRPr="00CB2EC4">
              <w:rPr>
                <w:rFonts w:ascii="Times New Roman" w:hAnsi="Times New Roman" w:cs="Times New Roman"/>
              </w:rPr>
              <w:br/>
            </w:r>
            <w:r w:rsidRPr="00CB2EC4">
              <w:rPr>
                <w:rFonts w:ascii="Times New Roman" w:hAnsi="Times New Roman" w:cs="Times New Roman"/>
              </w:rPr>
              <w:br/>
              <w:t>Based on contextual information, the examination process for high-risk HPV positive results is as follows:</w:t>
            </w:r>
            <w:r w:rsidRPr="00CB2EC4">
              <w:rPr>
                <w:rFonts w:ascii="Times New Roman" w:hAnsi="Times New Roman" w:cs="Times New Roman"/>
              </w:rPr>
              <w:br/>
            </w:r>
            <w:r w:rsidRPr="00CB2EC4">
              <w:rPr>
                <w:rFonts w:ascii="Times New Roman" w:hAnsi="Times New Roman" w:cs="Times New Roman"/>
              </w:rPr>
              <w:br/>
              <w:t>- Starting point: Patient tests positive for high-risk HPV (HPV(+)).</w:t>
            </w:r>
            <w:r w:rsidRPr="00CB2EC4">
              <w:rPr>
                <w:rFonts w:ascii="Times New Roman" w:hAnsi="Times New Roman" w:cs="Times New Roman"/>
              </w:rPr>
              <w:br/>
              <w:t>- Triage pathway:</w:t>
            </w:r>
            <w:r w:rsidRPr="00CB2EC4">
              <w:rPr>
                <w:rFonts w:ascii="Times New Roman" w:hAnsi="Times New Roman" w:cs="Times New Roman"/>
              </w:rPr>
              <w:br/>
              <w:t xml:space="preserve">  - If HPV genotyping has been performed:</w:t>
            </w:r>
            <w:r w:rsidRPr="00CB2EC4">
              <w:rPr>
                <w:rFonts w:ascii="Times New Roman" w:hAnsi="Times New Roman" w:cs="Times New Roman"/>
              </w:rPr>
              <w:br/>
              <w:t xml:space="preserve">    - HPV16/18 positive → Immediate referral for colposcopy.</w:t>
            </w:r>
            <w:r w:rsidRPr="00CB2EC4">
              <w:rPr>
                <w:rFonts w:ascii="Times New Roman" w:hAnsi="Times New Roman" w:cs="Times New Roman"/>
              </w:rPr>
              <w:br/>
              <w:t xml:space="preserve">    - HPV16/18 negative but positive for other 12 high-risk HPV types → Perform cervical cytology.</w:t>
            </w:r>
            <w:r w:rsidRPr="00CB2EC4">
              <w:rPr>
                <w:rFonts w:ascii="Times New Roman" w:hAnsi="Times New Roman" w:cs="Times New Roman"/>
              </w:rPr>
              <w:br/>
              <w:t xml:space="preserve">      - Cytology result ≥ ASC-US (including ASC-US, LSIL, HSIL, etc.) → Refer for colposcopy.</w:t>
            </w:r>
            <w:r w:rsidRPr="00CB2EC4">
              <w:rPr>
                <w:rFonts w:ascii="Times New Roman" w:hAnsi="Times New Roman" w:cs="Times New Roman"/>
              </w:rPr>
              <w:br/>
              <w:t xml:space="preserve">      - Cytology result negative (-) → Recommend repeating cytology + HPV co-testing after 1 year.</w:t>
            </w:r>
            <w:r w:rsidRPr="00CB2EC4">
              <w:rPr>
                <w:rFonts w:ascii="Times New Roman" w:hAnsi="Times New Roman" w:cs="Times New Roman"/>
              </w:rPr>
              <w:br/>
              <w:t xml:space="preserve">  - If HPV genotyping has not been performed (non-genotyping HPV test) → Proceed directly to cytology.</w:t>
            </w:r>
            <w:r w:rsidRPr="00CB2EC4">
              <w:rPr>
                <w:rFonts w:ascii="Times New Roman" w:hAnsi="Times New Roman" w:cs="Times New Roman"/>
              </w:rPr>
              <w:br/>
              <w:t xml:space="preserve">    - Cytology result ≥ ASC-US → Refer for colposcopy.</w:t>
            </w:r>
            <w:r w:rsidRPr="00CB2EC4">
              <w:rPr>
                <w:rFonts w:ascii="Times New Roman" w:hAnsi="Times New Roman" w:cs="Times New Roman"/>
              </w:rPr>
              <w:br/>
              <w:t xml:space="preserve">    - Cytology result negative → Recommend repeating cytology + HPV co-testing after 1 year.</w:t>
            </w:r>
            <w:r w:rsidRPr="00CB2EC4">
              <w:rPr>
                <w:rFonts w:ascii="Times New Roman" w:hAnsi="Times New Roman" w:cs="Times New Roman"/>
              </w:rPr>
              <w:br/>
            </w:r>
            <w:r w:rsidRPr="00CB2EC4">
              <w:rPr>
                <w:rFonts w:ascii="Times New Roman" w:hAnsi="Times New Roman" w:cs="Times New Roman"/>
              </w:rPr>
              <w:br/>
              <w:t>Basis:</w:t>
            </w:r>
            <w:r w:rsidRPr="00CB2EC4">
              <w:rPr>
                <w:rFonts w:ascii="Times New Roman" w:hAnsi="Times New Roman" w:cs="Times New Roman"/>
              </w:rPr>
              <w:br/>
            </w:r>
            <w:r w:rsidRPr="00CB2EC4">
              <w:rPr>
                <w:rFonts w:ascii="Times New Roman" w:hAnsi="Times New Roman" w:cs="Times New Roman"/>
              </w:rPr>
              <w:br/>
              <w:t xml:space="preserve">- Document excerpt 2 (relevance: 0.9771) details the </w:t>
            </w:r>
            <w:r w:rsidRPr="00CB2EC4">
              <w:rPr>
                <w:rFonts w:ascii="Times New Roman" w:hAnsi="Times New Roman" w:cs="Times New Roman"/>
              </w:rPr>
              <w:lastRenderedPageBreak/>
              <w:t>management process for high-risk HPV positive patients, including genotyping and cytology pathways.</w:t>
            </w:r>
            <w:r w:rsidRPr="00CB2EC4">
              <w:rPr>
                <w:rFonts w:ascii="Times New Roman" w:hAnsi="Times New Roman" w:cs="Times New Roman"/>
              </w:rPr>
              <w:br/>
              <w:t>- Document excerpt 3 (relevance: 0.9723) supplements the handling criteria for abnormal cytology + HPV co-testing results, consistent with the above process.</w:t>
            </w:r>
            <w:r w:rsidRPr="00CB2EC4">
              <w:rPr>
                <w:rFonts w:ascii="Times New Roman" w:hAnsi="Times New Roman" w:cs="Times New Roman"/>
              </w:rPr>
              <w:br/>
            </w:r>
            <w:r w:rsidRPr="00CB2EC4">
              <w:rPr>
                <w:rFonts w:ascii="Times New Roman" w:hAnsi="Times New Roman" w:cs="Times New Roman"/>
              </w:rPr>
              <w:br/>
              <w:t>This process applies to women aged 30 and above (document excerpt 1 indicates high-risk HPV testing as primary screening for women ≥30 years), and emphasizes standardized management to avoid missed diagnosis or overtreatment.</w:t>
            </w:r>
          </w:p>
        </w:tc>
        <w:tc>
          <w:tcPr>
            <w:tcW w:w="1152" w:type="dxa"/>
            <w:vAlign w:val="center"/>
          </w:tcPr>
          <w:p w14:paraId="186364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80088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7761D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02F037" w14:textId="77777777">
        <w:tc>
          <w:tcPr>
            <w:tcW w:w="2160" w:type="dxa"/>
            <w:vAlign w:val="center"/>
          </w:tcPr>
          <w:p w14:paraId="3625E9C5"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786017B" w14:textId="77777777" w:rsidR="00922249" w:rsidRPr="00CB2EC4" w:rsidRDefault="003011D5">
            <w:pPr>
              <w:rPr>
                <w:rFonts w:ascii="Times New Roman" w:hAnsi="Times New Roman" w:cs="Times New Roman"/>
              </w:rPr>
            </w:pPr>
            <w:r w:rsidRPr="00CB2EC4">
              <w:rPr>
                <w:rFonts w:ascii="Times New Roman" w:hAnsi="Times New Roman" w:cs="Times New Roman"/>
              </w:rPr>
              <w:t>the examination process for high-risk HPV positive patients is as follows:</w:t>
            </w:r>
            <w:r w:rsidRPr="00CB2EC4">
              <w:rPr>
                <w:rFonts w:ascii="Times New Roman" w:hAnsi="Times New Roman" w:cs="Times New Roman"/>
              </w:rPr>
              <w:br/>
            </w:r>
            <w:r w:rsidRPr="00CB2EC4">
              <w:rPr>
                <w:rFonts w:ascii="Times New Roman" w:hAnsi="Times New Roman" w:cs="Times New Roman"/>
              </w:rPr>
              <w:br/>
              <w:t>- Starting point: Patient tests positive for high-risk HPV (HPV(+)).</w:t>
            </w:r>
            <w:r w:rsidRPr="00CB2EC4">
              <w:rPr>
                <w:rFonts w:ascii="Times New Roman" w:hAnsi="Times New Roman" w:cs="Times New Roman"/>
              </w:rPr>
              <w:br/>
              <w:t>- First-level triage:</w:t>
            </w:r>
            <w:r w:rsidRPr="00CB2EC4">
              <w:rPr>
                <w:rFonts w:ascii="Times New Roman" w:hAnsi="Times New Roman" w:cs="Times New Roman"/>
              </w:rPr>
              <w:br/>
              <w:t xml:space="preserve">  - If HPV genotyping has been performed:</w:t>
            </w:r>
            <w:r w:rsidRPr="00CB2EC4">
              <w:rPr>
                <w:rFonts w:ascii="Times New Roman" w:hAnsi="Times New Roman" w:cs="Times New Roman"/>
              </w:rPr>
              <w:br/>
              <w:t xml:space="preserve">    - HPV16/18 positive → Immediate referral for colposcopy.</w:t>
            </w:r>
            <w:r w:rsidRPr="00CB2EC4">
              <w:rPr>
                <w:rFonts w:ascii="Times New Roman" w:hAnsi="Times New Roman" w:cs="Times New Roman"/>
              </w:rPr>
              <w:br/>
              <w:t xml:space="preserve">    - HPV16/18 negative or positive for other 12 types → Proceed to cervical cytology examination.</w:t>
            </w:r>
            <w:r w:rsidRPr="00CB2EC4">
              <w:rPr>
                <w:rFonts w:ascii="Times New Roman" w:hAnsi="Times New Roman" w:cs="Times New Roman"/>
              </w:rPr>
              <w:br/>
              <w:t xml:space="preserve">  - If genotyping has not been performed (non-genotyped HPV) → Directly enter the cytology examination pathway.</w:t>
            </w:r>
            <w:r w:rsidRPr="00CB2EC4">
              <w:rPr>
                <w:rFonts w:ascii="Times New Roman" w:hAnsi="Times New Roman" w:cs="Times New Roman"/>
              </w:rPr>
              <w:br/>
              <w:t>- Cytology examination pathway (applicable to all patients requiring cytology triage):</w:t>
            </w:r>
            <w:r w:rsidRPr="00CB2EC4">
              <w:rPr>
                <w:rFonts w:ascii="Times New Roman" w:hAnsi="Times New Roman" w:cs="Times New Roman"/>
              </w:rPr>
              <w:br/>
              <w:t xml:space="preserve">  - Cytology result ≥ ASC-US (including ASC-US, LSIL, HSIL, etc.) → Referral for colposcopy.</w:t>
            </w:r>
            <w:r w:rsidRPr="00CB2EC4">
              <w:rPr>
                <w:rFonts w:ascii="Times New Roman" w:hAnsi="Times New Roman" w:cs="Times New Roman"/>
              </w:rPr>
              <w:br/>
              <w:t xml:space="preserve">  - Cytology result negative (-) → Recommend repeat co-testing (cytology + HPV) after 1 year.</w:t>
            </w:r>
            <w:r w:rsidRPr="00CB2EC4">
              <w:rPr>
                <w:rFonts w:ascii="Times New Roman" w:hAnsi="Times New Roman" w:cs="Times New Roman"/>
              </w:rPr>
              <w:br/>
              <w:t>- Special pathway:</w:t>
            </w:r>
            <w:r w:rsidRPr="00CB2EC4">
              <w:rPr>
                <w:rFonts w:ascii="Times New Roman" w:hAnsi="Times New Roman" w:cs="Times New Roman"/>
              </w:rPr>
              <w:br/>
              <w:t xml:space="preserve">  - Non-genotyped HPV positive patients → Must </w:t>
            </w:r>
            <w:r w:rsidRPr="00CB2EC4">
              <w:rPr>
                <w:rFonts w:ascii="Times New Roman" w:hAnsi="Times New Roman" w:cs="Times New Roman"/>
              </w:rPr>
              <w:lastRenderedPageBreak/>
              <w:t>undergo cytology examination (skip genotyping directly).</w:t>
            </w:r>
            <w:r w:rsidRPr="00CB2EC4">
              <w:rPr>
                <w:rFonts w:ascii="Times New Roman" w:hAnsi="Times New Roman" w:cs="Times New Roman"/>
              </w:rPr>
              <w:br/>
              <w:t xml:space="preserve">  - Other 12 types positive with negative cytology → Annual follow-up (no colposcopy required).</w:t>
            </w:r>
            <w:r w:rsidRPr="00CB2EC4">
              <w:rPr>
                <w:rFonts w:ascii="Times New Roman" w:hAnsi="Times New Roman" w:cs="Times New Roman"/>
              </w:rPr>
              <w:br/>
            </w:r>
            <w:r w:rsidRPr="00CB2EC4">
              <w:rPr>
                <w:rFonts w:ascii="Times New Roman" w:hAnsi="Times New Roman" w:cs="Times New Roman"/>
              </w:rPr>
              <w:br/>
              <w:t>In summary, the standard process for high-risk HPV positivity is: initial triage based on genotyping status; after genotyping, HPV16/18 positive leads directly to colposcopy, other positive types or non-genotyped cases proceed to cytology; abnormal cytology leads to colposcopy, negative cytology leads to 1-year follow-up.</w:t>
            </w:r>
          </w:p>
        </w:tc>
        <w:tc>
          <w:tcPr>
            <w:tcW w:w="1152" w:type="dxa"/>
            <w:vAlign w:val="center"/>
          </w:tcPr>
          <w:p w14:paraId="1AF3C0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2CA8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5459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C4FE2AA" w14:textId="77777777">
        <w:tc>
          <w:tcPr>
            <w:tcW w:w="2160" w:type="dxa"/>
            <w:vAlign w:val="center"/>
          </w:tcPr>
          <w:p w14:paraId="7EC637EE"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55CB062" w14:textId="77777777" w:rsidR="00922249" w:rsidRPr="00CB2EC4" w:rsidRDefault="003011D5">
            <w:pPr>
              <w:rPr>
                <w:rFonts w:ascii="Times New Roman" w:hAnsi="Times New Roman" w:cs="Times New Roman"/>
              </w:rPr>
            </w:pPr>
            <w:r w:rsidRPr="00CB2EC4">
              <w:rPr>
                <w:rFonts w:ascii="Times New Roman" w:hAnsi="Times New Roman" w:cs="Times New Roman"/>
              </w:rPr>
              <w:t>the examination process for high-risk HPV positive cases is as follows:</w:t>
            </w:r>
            <w:r w:rsidRPr="00CB2EC4">
              <w:rPr>
                <w:rFonts w:ascii="Times New Roman" w:hAnsi="Times New Roman" w:cs="Times New Roman"/>
              </w:rPr>
              <w:br/>
            </w:r>
            <w:r w:rsidRPr="00CB2EC4">
              <w:rPr>
                <w:rFonts w:ascii="Times New Roman" w:hAnsi="Times New Roman" w:cs="Times New Roman"/>
              </w:rPr>
              <w:br/>
              <w:t>- After initial high-risk HPV positivity, perform cervical cytology testing (e.g., TCT) first.</w:t>
            </w:r>
            <w:r w:rsidRPr="00CB2EC4">
              <w:rPr>
                <w:rFonts w:ascii="Times New Roman" w:hAnsi="Times New Roman" w:cs="Times New Roman"/>
              </w:rPr>
              <w:br/>
              <w:t>- Determine subsequent steps based on cytology results:</w:t>
            </w:r>
            <w:r w:rsidRPr="00CB2EC4">
              <w:rPr>
                <w:rFonts w:ascii="Times New Roman" w:hAnsi="Times New Roman" w:cs="Times New Roman"/>
              </w:rPr>
              <w:br/>
              <w:t xml:space="preserve">  - If cytology is negative, recommend repeat HPV and cytology testing after 12 months.</w:t>
            </w:r>
            <w:r w:rsidRPr="00CB2EC4">
              <w:rPr>
                <w:rFonts w:ascii="Times New Roman" w:hAnsi="Times New Roman" w:cs="Times New Roman"/>
              </w:rPr>
              <w:br/>
              <w:t xml:space="preserve">  - If cytology result is ≥ASC-US (atypical squamous cells of undetermined significance), recommend direct colposcopy.</w:t>
            </w:r>
            <w:r w:rsidRPr="00CB2EC4">
              <w:rPr>
                <w:rFonts w:ascii="Times New Roman" w:hAnsi="Times New Roman" w:cs="Times New Roman"/>
              </w:rPr>
              <w:br/>
              <w:t xml:space="preserve">  - If HPV genotyping shows HPV 16/18 positivity, recommend direct colposcopy regardless of cytology results.</w:t>
            </w:r>
          </w:p>
        </w:tc>
        <w:tc>
          <w:tcPr>
            <w:tcW w:w="1152" w:type="dxa"/>
            <w:vAlign w:val="center"/>
          </w:tcPr>
          <w:p w14:paraId="1FE74A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1207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B4E8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2F31BF" w14:textId="77777777">
        <w:tc>
          <w:tcPr>
            <w:tcW w:w="10656" w:type="dxa"/>
            <w:gridSpan w:val="5"/>
            <w:tcBorders>
              <w:bottom w:val="single" w:sz="6" w:space="0" w:color="auto"/>
            </w:tcBorders>
            <w:vAlign w:val="center"/>
          </w:tcPr>
          <w:p w14:paraId="6FB739B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2: When the initial screening shows positive HPV with high-risk HPV types emphasizing that HPV is not typed, what is the next step in the examination?</w:t>
            </w:r>
          </w:p>
        </w:tc>
      </w:tr>
      <w:tr w:rsidR="00922249" w:rsidRPr="00CB2EC4" w14:paraId="16BB78FC" w14:textId="77777777">
        <w:tc>
          <w:tcPr>
            <w:tcW w:w="2160" w:type="dxa"/>
            <w:vAlign w:val="center"/>
          </w:tcPr>
          <w:p w14:paraId="249452D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939DB03"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emphasizing that HPV is untyped, the next step is: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Untyped HPV positive patient → must undergo cytology examination (skip directly without typing).</w:t>
            </w:r>
            <w:r w:rsidRPr="00CB2EC4">
              <w:rPr>
                <w:rFonts w:ascii="Times New Roman" w:hAnsi="Times New Roman" w:cs="Times New Roman"/>
              </w:rPr>
              <w:br/>
            </w:r>
            <w:r w:rsidRPr="00CB2EC4">
              <w:rPr>
                <w:rFonts w:ascii="Times New Roman" w:hAnsi="Times New Roman" w:cs="Times New Roman"/>
              </w:rPr>
              <w:br/>
              <w:t>Therefore, the next examination is cervical cytology. No alternative procedures are mentioned in the document.</w:t>
            </w:r>
          </w:p>
        </w:tc>
        <w:tc>
          <w:tcPr>
            <w:tcW w:w="1152" w:type="dxa"/>
            <w:vAlign w:val="center"/>
          </w:tcPr>
          <w:p w14:paraId="6B9400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7D28C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7050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7CC4C6" w14:textId="77777777">
        <w:tc>
          <w:tcPr>
            <w:tcW w:w="2160" w:type="dxa"/>
            <w:vAlign w:val="center"/>
          </w:tcPr>
          <w:p w14:paraId="311D1DD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50F513F"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emphasizing that HPV is untyped, the next step is:</w:t>
            </w:r>
            <w:r w:rsidRPr="00CB2EC4">
              <w:rPr>
                <w:rFonts w:ascii="Times New Roman" w:hAnsi="Times New Roman" w:cs="Times New Roman"/>
              </w:rPr>
              <w:br/>
            </w:r>
            <w:r w:rsidRPr="00CB2EC4">
              <w:rPr>
                <w:rFonts w:ascii="Times New Roman" w:hAnsi="Times New Roman" w:cs="Times New Roman"/>
              </w:rPr>
              <w:br/>
              <w:t>- "Patients with untyped HPV positive → must undergo cytology examination (skip typing directly)."</w:t>
            </w:r>
            <w:r w:rsidRPr="00CB2EC4">
              <w:rPr>
                <w:rFonts w:ascii="Times New Roman" w:hAnsi="Times New Roman" w:cs="Times New Roman"/>
              </w:rPr>
              <w:br/>
              <w:t>- In the triage pathway, if typing detection has not been performed (HPV untyped), the patient directly enters the cytology examination pathway, without involving subdivision by typing results.</w:t>
            </w:r>
            <w:r w:rsidRPr="00CB2EC4">
              <w:rPr>
                <w:rFonts w:ascii="Times New Roman" w:hAnsi="Times New Roman" w:cs="Times New Roman"/>
              </w:rPr>
              <w:br/>
            </w:r>
            <w:r w:rsidRPr="00CB2EC4">
              <w:rPr>
                <w:rFonts w:ascii="Times New Roman" w:hAnsi="Times New Roman" w:cs="Times New Roman"/>
              </w:rPr>
              <w:br/>
              <w:t>Guidelines from document fragment 3 (block 59, topic "Management Guidelines for Abnormal Co-Screening") also support this point: when HPV untyped detection is performed, it is recommended to combine with clinical symptoms and signs, and if necessary, directly refer for colposcopy; however, the primary step is cytology examination.</w:t>
            </w:r>
          </w:p>
        </w:tc>
        <w:tc>
          <w:tcPr>
            <w:tcW w:w="1152" w:type="dxa"/>
            <w:vAlign w:val="center"/>
          </w:tcPr>
          <w:p w14:paraId="77ACAC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733E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3F8F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5155C5" w14:textId="77777777">
        <w:tc>
          <w:tcPr>
            <w:tcW w:w="2160" w:type="dxa"/>
            <w:vAlign w:val="center"/>
          </w:tcPr>
          <w:p w14:paraId="3895D25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6B361D1"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and emphasizes that HPV is not genotyped, the next step is cervical cytology examination.</w:t>
            </w:r>
            <w:r w:rsidRPr="00CB2EC4">
              <w:rPr>
                <w:rFonts w:ascii="Times New Roman" w:hAnsi="Times New Roman" w:cs="Times New Roman"/>
              </w:rPr>
              <w:br/>
            </w:r>
            <w:r w:rsidRPr="00CB2EC4">
              <w:rPr>
                <w:rFonts w:ascii="Times New Roman" w:hAnsi="Times New Roman" w:cs="Times New Roman"/>
              </w:rPr>
              <w:br/>
              <w:t>- Fragment 1 clearly states: "Patients with untyped HPV positive → must undergo cytology examination (skip genotyping directly)", meaning bypass the HPV genotyping pathway and proceed directly to cytology.</w:t>
            </w:r>
            <w:r w:rsidRPr="00CB2EC4">
              <w:rPr>
                <w:rFonts w:ascii="Times New Roman" w:hAnsi="Times New Roman" w:cs="Times New Roman"/>
              </w:rPr>
              <w:br/>
            </w:r>
            <w:r w:rsidRPr="00CB2EC4">
              <w:rPr>
                <w:rFonts w:ascii="Times New Roman" w:hAnsi="Times New Roman" w:cs="Times New Roman"/>
              </w:rPr>
              <w:lastRenderedPageBreak/>
              <w:t>- Fragment 7 emphasizes: "When using high-risk HPV as primary screening and HPV is positive, if HPV is not genotyped, triage with cytology examination."</w:t>
            </w:r>
            <w:r w:rsidRPr="00CB2EC4">
              <w:rPr>
                <w:rFonts w:ascii="Times New Roman" w:hAnsi="Times New Roman" w:cs="Times New Roman"/>
              </w:rPr>
              <w:br/>
              <w:t>- The documents do not support direct referral to colposcopy as the universal next step (although Fragment 2 mentions it under specific conditions, that fragment applies to abnormal cytology, not this scenario). Therefore, the core next step is cytology examination.</w:t>
            </w:r>
          </w:p>
        </w:tc>
        <w:tc>
          <w:tcPr>
            <w:tcW w:w="1152" w:type="dxa"/>
            <w:vAlign w:val="center"/>
          </w:tcPr>
          <w:p w14:paraId="0ABC85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6186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832C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3CEC0C" w14:textId="77777777">
        <w:tc>
          <w:tcPr>
            <w:tcW w:w="2160" w:type="dxa"/>
            <w:vAlign w:val="center"/>
          </w:tcPr>
          <w:p w14:paraId="0B544F05"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C682E3C" w14:textId="77777777" w:rsidR="00922249" w:rsidRPr="00CB2EC4" w:rsidRDefault="003011D5">
            <w:pPr>
              <w:rPr>
                <w:rFonts w:ascii="Times New Roman" w:hAnsi="Times New Roman" w:cs="Times New Roman"/>
              </w:rPr>
            </w:pPr>
            <w:r w:rsidRPr="00CB2EC4">
              <w:rPr>
                <w:rFonts w:ascii="Times New Roman" w:hAnsi="Times New Roman" w:cs="Times New Roman"/>
              </w:rPr>
              <w:t>when HPV is unclassified positive, the next step is:</w:t>
            </w:r>
            <w:r w:rsidRPr="00CB2EC4">
              <w:rPr>
                <w:rFonts w:ascii="Times New Roman" w:hAnsi="Times New Roman" w:cs="Times New Roman"/>
              </w:rPr>
              <w:br/>
            </w:r>
            <w:r w:rsidRPr="00CB2EC4">
              <w:rPr>
                <w:rFonts w:ascii="Times New Roman" w:hAnsi="Times New Roman" w:cs="Times New Roman"/>
              </w:rPr>
              <w:br/>
              <w:t>- Cervical cytology must be performed (regardless of typing status).</w:t>
            </w:r>
            <w:r w:rsidRPr="00CB2EC4">
              <w:rPr>
                <w:rFonts w:ascii="Times New Roman" w:hAnsi="Times New Roman" w:cs="Times New Roman"/>
              </w:rPr>
              <w:br/>
              <w:t xml:space="preserve">  - If cytology is ≥ASC-US → refer for colposcopy.</w:t>
            </w:r>
            <w:r w:rsidRPr="00CB2EC4">
              <w:rPr>
                <w:rFonts w:ascii="Times New Roman" w:hAnsi="Times New Roman" w:cs="Times New Roman"/>
              </w:rPr>
              <w:br/>
              <w:t xml:space="preserve">  - If cytology is negative → repeat co-testing in 1 year.</w:t>
            </w:r>
          </w:p>
        </w:tc>
        <w:tc>
          <w:tcPr>
            <w:tcW w:w="1152" w:type="dxa"/>
            <w:vAlign w:val="center"/>
          </w:tcPr>
          <w:p w14:paraId="03C28F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9FCD5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38AC8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47F0B41" w14:textId="77777777">
        <w:tc>
          <w:tcPr>
            <w:tcW w:w="2160" w:type="dxa"/>
            <w:vAlign w:val="center"/>
          </w:tcPr>
          <w:p w14:paraId="52383085"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0AA45F1"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emphasizing that HPV is untyped, the next step is cytology testing.</w:t>
            </w:r>
            <w:r w:rsidRPr="00CB2EC4">
              <w:rPr>
                <w:rFonts w:ascii="Times New Roman" w:hAnsi="Times New Roman" w:cs="Times New Roman"/>
              </w:rPr>
              <w:br/>
            </w:r>
            <w:r w:rsidRPr="00CB2EC4">
              <w:rPr>
                <w:rFonts w:ascii="Times New Roman" w:hAnsi="Times New Roman" w:cs="Times New Roman"/>
              </w:rPr>
              <w:br/>
              <w:t>According to document fragments 1 and 5, if HPV is positive but untyped, cytology must be performed next (directly entering the cytology pathway). The cytology result determines subsequent actions:</w:t>
            </w:r>
            <w:r w:rsidRPr="00CB2EC4">
              <w:rPr>
                <w:rFonts w:ascii="Times New Roman" w:hAnsi="Times New Roman" w:cs="Times New Roman"/>
              </w:rPr>
              <w:br/>
            </w:r>
            <w:r w:rsidRPr="00CB2EC4">
              <w:rPr>
                <w:rFonts w:ascii="Times New Roman" w:hAnsi="Times New Roman" w:cs="Times New Roman"/>
              </w:rPr>
              <w:br/>
              <w:t>- Cytology ≥ ASC-US: Refer for colposcopy.</w:t>
            </w:r>
            <w:r w:rsidRPr="00CB2EC4">
              <w:rPr>
                <w:rFonts w:ascii="Times New Roman" w:hAnsi="Times New Roman" w:cs="Times New Roman"/>
              </w:rPr>
              <w:br/>
              <w:t>- Cytology negative: Recommend repeating co-testing (cytology + HPV) in 1 year.</w:t>
            </w:r>
          </w:p>
        </w:tc>
        <w:tc>
          <w:tcPr>
            <w:tcW w:w="1152" w:type="dxa"/>
            <w:vAlign w:val="center"/>
          </w:tcPr>
          <w:p w14:paraId="2F4A10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6448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3139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D08747" w14:textId="77777777">
        <w:tc>
          <w:tcPr>
            <w:tcW w:w="2160" w:type="dxa"/>
            <w:vAlign w:val="center"/>
          </w:tcPr>
          <w:p w14:paraId="68DF68E5"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DC80071"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emphasizing that HPV is untyped, the next step is cervical cytology examination.</w:t>
            </w:r>
            <w:r w:rsidRPr="00CB2EC4">
              <w:rPr>
                <w:rFonts w:ascii="Times New Roman" w:hAnsi="Times New Roman" w:cs="Times New Roman"/>
              </w:rPr>
              <w:br/>
            </w:r>
            <w:r w:rsidRPr="00CB2EC4">
              <w:rPr>
                <w:rFonts w:ascii="Times New Roman" w:hAnsi="Times New Roman" w:cs="Times New Roman"/>
              </w:rPr>
              <w:br/>
              <w:t xml:space="preserve">According to contextual information (Document 1 and </w:t>
            </w:r>
            <w:r w:rsidRPr="00CB2EC4">
              <w:rPr>
                <w:rFonts w:ascii="Times New Roman" w:hAnsi="Times New Roman" w:cs="Times New Roman"/>
              </w:rPr>
              <w:lastRenderedPageBreak/>
              <w:t>Document 2):</w:t>
            </w:r>
            <w:r w:rsidRPr="00CB2EC4">
              <w:rPr>
                <w:rFonts w:ascii="Times New Roman" w:hAnsi="Times New Roman" w:cs="Times New Roman"/>
              </w:rPr>
              <w:br/>
              <w:t>- If HPV testing is untyped (i.e., HPV untyped is emphasized), cervical cytology must be performed next (Document 1 special pathway: untyped HPV positive patient → must undergo cytology examination).</w:t>
            </w:r>
            <w:r w:rsidRPr="00CB2EC4">
              <w:rPr>
                <w:rFonts w:ascii="Times New Roman" w:hAnsi="Times New Roman" w:cs="Times New Roman"/>
              </w:rPr>
              <w:br/>
              <w:t>- Document 2 supplements: if genotyping testing is not available, it is suggested to combine with clinical symptoms and signs (such as abnormal bleeding), and refer directly to colposcopy when necessary; however, cytology examination is the standard initial step (Document 2: when untyped HPV test is positive, suggest combining with clinical symptoms and signs, refer directly to colposcopy if necessary, but cytology is the standard initial step).</w:t>
            </w:r>
            <w:r w:rsidRPr="00CB2EC4">
              <w:rPr>
                <w:rFonts w:ascii="Times New Roman" w:hAnsi="Times New Roman" w:cs="Times New Roman"/>
              </w:rPr>
              <w:br/>
              <w:t>Therefore, the next examination is cervical cytology. If cytology result is abnormal (≥ASC-US), refer to colposcopy; if negative, enter follow-up pathway.</w:t>
            </w:r>
          </w:p>
        </w:tc>
        <w:tc>
          <w:tcPr>
            <w:tcW w:w="1152" w:type="dxa"/>
            <w:vAlign w:val="center"/>
          </w:tcPr>
          <w:p w14:paraId="5CC5D4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C7350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E74F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9EA497" w14:textId="77777777">
        <w:tc>
          <w:tcPr>
            <w:tcW w:w="2160" w:type="dxa"/>
            <w:vAlign w:val="center"/>
          </w:tcPr>
          <w:p w14:paraId="5CE29BAA"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C7A9FBF"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emphasizing that HPV is untyped, the next step is:</w:t>
            </w:r>
            <w:r w:rsidRPr="00CB2EC4">
              <w:rPr>
                <w:rFonts w:ascii="Times New Roman" w:hAnsi="Times New Roman" w:cs="Times New Roman"/>
              </w:rPr>
              <w:br/>
            </w:r>
            <w:r w:rsidRPr="00CB2EC4">
              <w:rPr>
                <w:rFonts w:ascii="Times New Roman" w:hAnsi="Times New Roman" w:cs="Times New Roman"/>
              </w:rPr>
              <w:br/>
              <w:t>- Untyped HPV positive patient → directly proceed to cytology examination.</w:t>
            </w:r>
            <w:r w:rsidRPr="00CB2EC4">
              <w:rPr>
                <w:rFonts w:ascii="Times New Roman" w:hAnsi="Times New Roman" w:cs="Times New Roman"/>
              </w:rPr>
              <w:br/>
              <w:t>- The cytology result determines the subsequent steps:</w:t>
            </w:r>
            <w:r w:rsidRPr="00CB2EC4">
              <w:rPr>
                <w:rFonts w:ascii="Times New Roman" w:hAnsi="Times New Roman" w:cs="Times New Roman"/>
              </w:rPr>
              <w:br/>
              <w:t xml:space="preserve">  - If cytology is ≥ASC-US, refer for colposcopy.</w:t>
            </w:r>
            <w:r w:rsidRPr="00CB2EC4">
              <w:rPr>
                <w:rFonts w:ascii="Times New Roman" w:hAnsi="Times New Roman" w:cs="Times New Roman"/>
              </w:rPr>
              <w:br/>
              <w:t xml:space="preserve">  - If cytology is negative, recommend repeating cytology + HPV co-testing after 1 year.</w:t>
            </w:r>
            <w:r w:rsidRPr="00CB2EC4">
              <w:rPr>
                <w:rFonts w:ascii="Times New Roman" w:hAnsi="Times New Roman" w:cs="Times New Roman"/>
              </w:rPr>
              <w:br/>
            </w:r>
            <w:r w:rsidRPr="00CB2EC4">
              <w:rPr>
                <w:rFonts w:ascii="Times New Roman" w:hAnsi="Times New Roman" w:cs="Times New Roman"/>
              </w:rPr>
              <w:br/>
              <w:t>this information is directly derived from Figure 1 in the document (HyDE similarity: 0.757) and corroborated by other sections (e.g., HyDE similarity: 0.577), which emphasize that untyped HPV positivity is triaged by cytology.</w:t>
            </w:r>
          </w:p>
        </w:tc>
        <w:tc>
          <w:tcPr>
            <w:tcW w:w="1152" w:type="dxa"/>
            <w:vAlign w:val="center"/>
          </w:tcPr>
          <w:p w14:paraId="074F5E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DC74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6108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80005B" w14:textId="77777777">
        <w:tc>
          <w:tcPr>
            <w:tcW w:w="2160" w:type="dxa"/>
            <w:vAlign w:val="center"/>
          </w:tcPr>
          <w:p w14:paraId="481CEA3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1851B352"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emphasizing that HPV is untyped, the next step is cervical cytology examination.</w:t>
            </w:r>
            <w:r w:rsidRPr="00CB2EC4">
              <w:rPr>
                <w:rFonts w:ascii="Times New Roman" w:hAnsi="Times New Roman" w:cs="Times New Roman"/>
              </w:rPr>
              <w:br/>
            </w:r>
            <w:r w:rsidRPr="00CB2EC4">
              <w:rPr>
                <w:rFonts w:ascii="Times New Roman" w:hAnsi="Times New Roman" w:cs="Times New Roman"/>
              </w:rPr>
              <w:br/>
              <w:t>- According to Document Fragment 1 (similarity 0.698): "If no genotyping has been performed (HPV untyped) → directly enter the cytology examination pathway."</w:t>
            </w:r>
            <w:r w:rsidRPr="00CB2EC4">
              <w:rPr>
                <w:rFonts w:ascii="Times New Roman" w:hAnsi="Times New Roman" w:cs="Times New Roman"/>
              </w:rPr>
              <w:br/>
              <w:t>- Document Fragment 4 (similarity 0.572) states in the context of co-testing (Figure 3): "If untyped HPV testing is positive: then directly refer for colposcopy." However, for initial screening emphasizing untyped HPV, the pathway in Document Fragment 1 prioritizes cytology examination as triage.</w:t>
            </w:r>
            <w:r w:rsidRPr="00CB2EC4">
              <w:rPr>
                <w:rFonts w:ascii="Times New Roman" w:hAnsi="Times New Roman" w:cs="Times New Roman"/>
              </w:rPr>
              <w:br/>
              <w:t>- Document Fragment 2 (similarity 0.592) notes: "HPV without genotyping detection is suggested to be combined with clinical symptoms and signs, and colposcopy may be directly referred to when necessary," but this is supplementary and not the standard pathway. The core process remains cytology examination first.</w:t>
            </w:r>
            <w:r w:rsidRPr="00CB2EC4">
              <w:rPr>
                <w:rFonts w:ascii="Times New Roman" w:hAnsi="Times New Roman" w:cs="Times New Roman"/>
              </w:rPr>
              <w:br/>
            </w:r>
            <w:r w:rsidRPr="00CB2EC4">
              <w:rPr>
                <w:rFonts w:ascii="Times New Roman" w:hAnsi="Times New Roman" w:cs="Times New Roman"/>
              </w:rPr>
              <w:br/>
              <w:t>Therefore, the next step is to perform cervical cytology examination, and subsequent actions (such as referral to colposcopy or repeat testing) are determined based on the cytology result.</w:t>
            </w:r>
          </w:p>
        </w:tc>
        <w:tc>
          <w:tcPr>
            <w:tcW w:w="1152" w:type="dxa"/>
            <w:vAlign w:val="center"/>
          </w:tcPr>
          <w:p w14:paraId="11590F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C302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3D37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C25B1D9" w14:textId="77777777">
        <w:tc>
          <w:tcPr>
            <w:tcW w:w="2160" w:type="dxa"/>
            <w:vAlign w:val="center"/>
          </w:tcPr>
          <w:p w14:paraId="289A8C7C"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C0C3A67"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emphasizing that HPV is untyped, the next step is cytology examination.</w:t>
            </w:r>
            <w:r w:rsidRPr="00CB2EC4">
              <w:rPr>
                <w:rFonts w:ascii="Times New Roman" w:hAnsi="Times New Roman" w:cs="Times New Roman"/>
              </w:rPr>
              <w:br/>
            </w:r>
            <w:r w:rsidRPr="00CB2EC4">
              <w:rPr>
                <w:rFonts w:ascii="Times New Roman" w:hAnsi="Times New Roman" w:cs="Times New Roman"/>
              </w:rPr>
              <w:br/>
              <w:t>- In the HPV typing pathway: "If typing has not been performed (HPV untyped) → proceed directly to the cytology examination pathway".</w:t>
            </w:r>
            <w:r w:rsidRPr="00CB2EC4">
              <w:rPr>
                <w:rFonts w:ascii="Times New Roman" w:hAnsi="Times New Roman" w:cs="Times New Roman"/>
              </w:rPr>
              <w:br/>
              <w:t xml:space="preserve">- Special pathway section: "Patients with untyped </w:t>
            </w:r>
            <w:r w:rsidRPr="00CB2EC4">
              <w:rPr>
                <w:rFonts w:ascii="Times New Roman" w:hAnsi="Times New Roman" w:cs="Times New Roman"/>
              </w:rPr>
              <w:lastRenderedPageBreak/>
              <w:t>HPV positivity → must undergo cytology examination".</w:t>
            </w:r>
            <w:r w:rsidRPr="00CB2EC4">
              <w:rPr>
                <w:rFonts w:ascii="Times New Roman" w:hAnsi="Times New Roman" w:cs="Times New Roman"/>
              </w:rPr>
              <w:br/>
              <w:t>- The document also states: "When HPV is untyped, triage is based on cytology examination" (see section "2.1 Management when initial screening is positive for high-risk HPV").</w:t>
            </w:r>
            <w:r w:rsidRPr="00CB2EC4">
              <w:rPr>
                <w:rFonts w:ascii="Times New Roman" w:hAnsi="Times New Roman" w:cs="Times New Roman"/>
              </w:rPr>
              <w:br/>
            </w:r>
            <w:r w:rsidRPr="00CB2EC4">
              <w:rPr>
                <w:rFonts w:ascii="Times New Roman" w:hAnsi="Times New Roman" w:cs="Times New Roman"/>
              </w:rPr>
              <w:br/>
              <w:t>Therefore, the next step is to perform cervical cytology examination.</w:t>
            </w:r>
          </w:p>
        </w:tc>
        <w:tc>
          <w:tcPr>
            <w:tcW w:w="1152" w:type="dxa"/>
            <w:vAlign w:val="center"/>
          </w:tcPr>
          <w:p w14:paraId="0C2954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9EF0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701D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CD14080" w14:textId="77777777">
        <w:tc>
          <w:tcPr>
            <w:tcW w:w="2160" w:type="dxa"/>
            <w:vAlign w:val="center"/>
          </w:tcPr>
          <w:p w14:paraId="1D247DD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BFB864E"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emphasizing that HPV is untyped, the next step is cervical cytology examination.</w:t>
            </w:r>
            <w:r w:rsidRPr="00CB2EC4">
              <w:rPr>
                <w:rFonts w:ascii="Times New Roman" w:hAnsi="Times New Roman" w:cs="Times New Roman"/>
              </w:rPr>
              <w:br/>
            </w:r>
            <w:r w:rsidRPr="00CB2EC4">
              <w:rPr>
                <w:rFonts w:ascii="Times New Roman" w:hAnsi="Times New Roman" w:cs="Times New Roman"/>
              </w:rPr>
              <w:br/>
              <w:t>- According to Document Fragment 1 (similarity 0.698): "If no genotyping has been performed (HPV untyped) → directly enter the cytology examination pathway."</w:t>
            </w:r>
            <w:r w:rsidRPr="00CB2EC4">
              <w:rPr>
                <w:rFonts w:ascii="Times New Roman" w:hAnsi="Times New Roman" w:cs="Times New Roman"/>
              </w:rPr>
              <w:br/>
              <w:t>- Document Fragment 4 (similarity 0.572) adds in the context of co-testing (cytology + HPV): "If untyped HPV testing is positive: then directly refer for colposcopy." However, when initial screening emphasizes untyped HPV, the pathway in Document Fragment 1 prioritizes cytology as the triage step.</w:t>
            </w:r>
            <w:r w:rsidRPr="00CB2EC4">
              <w:rPr>
                <w:rFonts w:ascii="Times New Roman" w:hAnsi="Times New Roman" w:cs="Times New Roman"/>
              </w:rPr>
              <w:br/>
              <w:t>- Document Fragment 2 (similarity 0.592) states: "HPV without genotyping detection is suggested to be combined with clinical symptoms and signs, and colposcopy may be directly referred if necessary," but this is supplementary and not the standard pathway. The core process remains cytology examination first.</w:t>
            </w:r>
            <w:r w:rsidRPr="00CB2EC4">
              <w:rPr>
                <w:rFonts w:ascii="Times New Roman" w:hAnsi="Times New Roman" w:cs="Times New Roman"/>
              </w:rPr>
              <w:br/>
            </w:r>
            <w:r w:rsidRPr="00CB2EC4">
              <w:rPr>
                <w:rFonts w:ascii="Times New Roman" w:hAnsi="Times New Roman" w:cs="Times New Roman"/>
              </w:rPr>
              <w:br/>
              <w:t>Therefore, the next step is to perform cervical cytology examination, and subsequent actions (such as referral to colposcopy or repeat testing) are determined based on the cytology result.</w:t>
            </w:r>
          </w:p>
        </w:tc>
        <w:tc>
          <w:tcPr>
            <w:tcW w:w="1152" w:type="dxa"/>
            <w:vAlign w:val="center"/>
          </w:tcPr>
          <w:p w14:paraId="1B5C2D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5739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53CC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5FC8ACD" w14:textId="77777777">
        <w:tc>
          <w:tcPr>
            <w:tcW w:w="2160" w:type="dxa"/>
            <w:vAlign w:val="center"/>
          </w:tcPr>
          <w:p w14:paraId="52A42D8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7F72F193" w14:textId="77777777" w:rsidR="00922249" w:rsidRPr="00CB2EC4" w:rsidRDefault="003011D5">
            <w:pPr>
              <w:rPr>
                <w:rFonts w:ascii="Times New Roman" w:hAnsi="Times New Roman" w:cs="Times New Roman"/>
              </w:rPr>
            </w:pPr>
            <w:r w:rsidRPr="00CB2EC4">
              <w:rPr>
                <w:rFonts w:ascii="Times New Roman" w:hAnsi="Times New Roman" w:cs="Times New Roman"/>
              </w:rPr>
              <w:t>when the initial screening shows HPV positive with high-risk HPV types, emphasizing that HPV is untyped, the next step is cervical cytology testing.</w:t>
            </w:r>
            <w:r w:rsidRPr="00CB2EC4">
              <w:rPr>
                <w:rFonts w:ascii="Times New Roman" w:hAnsi="Times New Roman" w:cs="Times New Roman"/>
              </w:rPr>
              <w:br/>
            </w:r>
            <w:r w:rsidRPr="00CB2EC4">
              <w:rPr>
                <w:rFonts w:ascii="Times New Roman" w:hAnsi="Times New Roman" w:cs="Times New Roman"/>
              </w:rPr>
              <w:br/>
              <w:t>If the initial HPV screening is positive but untyped, the next examination is to proceed directly with cervical cytology. The document explicitly states that if HPV testing is untyped, the patient should skip genotyping and immediately enter the cytology pathway. The cytology result will determine subsequent management:</w:t>
            </w:r>
            <w:r w:rsidRPr="00CB2EC4">
              <w:rPr>
                <w:rFonts w:ascii="Times New Roman" w:hAnsi="Times New Roman" w:cs="Times New Roman"/>
              </w:rPr>
              <w:br/>
            </w:r>
            <w:r w:rsidRPr="00CB2EC4">
              <w:rPr>
                <w:rFonts w:ascii="Times New Roman" w:hAnsi="Times New Roman" w:cs="Times New Roman"/>
              </w:rPr>
              <w:br/>
              <w:t>- If cytology is ≥ASC-US, refer for colposcopy.</w:t>
            </w:r>
            <w:r w:rsidRPr="00CB2EC4">
              <w:rPr>
                <w:rFonts w:ascii="Times New Roman" w:hAnsi="Times New Roman" w:cs="Times New Roman"/>
              </w:rPr>
              <w:br/>
              <w:t>- If cytology is negative, recommend repeat co-testing (cytology + HPV) in 1 year.</w:t>
            </w:r>
            <w:r w:rsidRPr="00CB2EC4">
              <w:rPr>
                <w:rFonts w:ascii="Times New Roman" w:hAnsi="Times New Roman" w:cs="Times New Roman"/>
              </w:rPr>
              <w:br/>
            </w:r>
            <w:r w:rsidRPr="00CB2EC4">
              <w:rPr>
                <w:rFonts w:ascii="Times New Roman" w:hAnsi="Times New Roman" w:cs="Times New Roman"/>
              </w:rPr>
              <w:br/>
              <w:t>This approach is based on risk stratification: untyped HPV positivity is considered higher risk and requires cytological triage to assess the need for colposcopy.</w:t>
            </w:r>
            <w:r w:rsidRPr="00CB2EC4">
              <w:rPr>
                <w:rFonts w:ascii="Times New Roman" w:hAnsi="Times New Roman" w:cs="Times New Roman"/>
              </w:rPr>
              <w:br/>
            </w:r>
            <w:r w:rsidRPr="00CB2EC4">
              <w:rPr>
                <w:rFonts w:ascii="Times New Roman" w:hAnsi="Times New Roman" w:cs="Times New Roman"/>
              </w:rPr>
              <w:br/>
              <w:t>Key evidence:</w:t>
            </w:r>
            <w:r w:rsidRPr="00CB2EC4">
              <w:rPr>
                <w:rFonts w:ascii="Times New Roman" w:hAnsi="Times New Roman" w:cs="Times New Roman"/>
              </w:rPr>
              <w:br/>
            </w:r>
            <w:r w:rsidRPr="00CB2EC4">
              <w:rPr>
                <w:rFonts w:ascii="Times New Roman" w:hAnsi="Times New Roman" w:cs="Times New Roman"/>
              </w:rPr>
              <w:br/>
              <w:t>- "If genotyping was not performed (HPV untyped) → directly enter the cytology pathway" (similarity 0.668).</w:t>
            </w:r>
            <w:r w:rsidRPr="00CB2EC4">
              <w:rPr>
                <w:rFonts w:ascii="Times New Roman" w:hAnsi="Times New Roman" w:cs="Times New Roman"/>
              </w:rPr>
              <w:br/>
              <w:t>- "HPV not genotyped, it is suggested to combine with clinical symptoms and signs, and refer directly to colposcopy when necessary" (similarity 0.524); however, the document emphasizes that "when necessary" applies only if symptoms are present; in general, untyped HPV positivity prioritizes cytology testing.</w:t>
            </w:r>
          </w:p>
        </w:tc>
        <w:tc>
          <w:tcPr>
            <w:tcW w:w="1152" w:type="dxa"/>
            <w:vAlign w:val="center"/>
          </w:tcPr>
          <w:p w14:paraId="77AA7F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E374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0410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38B6CE" w14:textId="77777777">
        <w:tc>
          <w:tcPr>
            <w:tcW w:w="2160" w:type="dxa"/>
            <w:vAlign w:val="center"/>
          </w:tcPr>
          <w:p w14:paraId="7465CB89"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03E4AB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the initial screening shows HPV positive with high-risk HPV types and emphasizes that HPV is </w:t>
            </w:r>
            <w:r w:rsidRPr="00CB2EC4">
              <w:rPr>
                <w:rFonts w:ascii="Times New Roman" w:hAnsi="Times New Roman" w:cs="Times New Roman"/>
              </w:rPr>
              <w:lastRenderedPageBreak/>
              <w:t>untyped, the next step is to perform a cervical cytology test directly.</w:t>
            </w:r>
            <w:r w:rsidRPr="00CB2EC4">
              <w:rPr>
                <w:rFonts w:ascii="Times New Roman" w:hAnsi="Times New Roman" w:cs="Times New Roman"/>
              </w:rPr>
              <w:br/>
            </w:r>
            <w:r w:rsidRPr="00CB2EC4">
              <w:rPr>
                <w:rFonts w:ascii="Times New Roman" w:hAnsi="Times New Roman" w:cs="Times New Roman"/>
              </w:rPr>
              <w:br/>
              <w:t>Basis:</w:t>
            </w:r>
            <w:r w:rsidRPr="00CB2EC4">
              <w:rPr>
                <w:rFonts w:ascii="Times New Roman" w:hAnsi="Times New Roman" w:cs="Times New Roman"/>
              </w:rPr>
              <w:br/>
            </w:r>
            <w:r w:rsidRPr="00CB2EC4">
              <w:rPr>
                <w:rFonts w:ascii="Times New Roman" w:hAnsi="Times New Roman" w:cs="Times New Roman"/>
              </w:rPr>
              <w:br/>
              <w:t>- Document excerpt 2 (relevance: 0.9771) clearly states: "If genotyping is not performed (HPV untyped) → directly enter the cytology testing pathway."</w:t>
            </w:r>
            <w:r w:rsidRPr="00CB2EC4">
              <w:rPr>
                <w:rFonts w:ascii="Times New Roman" w:hAnsi="Times New Roman" w:cs="Times New Roman"/>
              </w:rPr>
              <w:br/>
              <w:t>- Document excerpt 1 (relevance: 0.9878) also indicates: "When HPV is untyped, use cytology for triage."</w:t>
            </w:r>
            <w:r w:rsidRPr="00CB2EC4">
              <w:rPr>
                <w:rFonts w:ascii="Times New Roman" w:hAnsi="Times New Roman" w:cs="Times New Roman"/>
              </w:rPr>
              <w:br/>
            </w:r>
            <w:r w:rsidRPr="00CB2EC4">
              <w:rPr>
                <w:rFonts w:ascii="Times New Roman" w:hAnsi="Times New Roman" w:cs="Times New Roman"/>
              </w:rPr>
              <w:br/>
              <w:t>This step is part of the standard protocol to further assess risk and determine referral for colposcopy based on cytology results.</w:t>
            </w:r>
          </w:p>
        </w:tc>
        <w:tc>
          <w:tcPr>
            <w:tcW w:w="1152" w:type="dxa"/>
            <w:vAlign w:val="center"/>
          </w:tcPr>
          <w:p w14:paraId="70C549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AAA9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D4048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09A1FC" w14:textId="77777777">
        <w:tc>
          <w:tcPr>
            <w:tcW w:w="2160" w:type="dxa"/>
            <w:vAlign w:val="center"/>
          </w:tcPr>
          <w:p w14:paraId="28C9D939"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29F381F"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and emphasizes that HPV is untyped, the next step is to perform a cervical cytology examination.</w:t>
            </w:r>
            <w:r w:rsidRPr="00CB2EC4">
              <w:rPr>
                <w:rFonts w:ascii="Times New Roman" w:hAnsi="Times New Roman" w:cs="Times New Roman"/>
              </w:rPr>
              <w:br/>
            </w:r>
            <w:r w:rsidRPr="00CB2EC4">
              <w:rPr>
                <w:rFonts w:ascii="Times New Roman" w:hAnsi="Times New Roman" w:cs="Times New Roman"/>
              </w:rPr>
              <w:br/>
              <w:t>According to Figure 1 description in relevant segment 1 (from original block 0-1), under the "Special Pathway" section, it is explicitly stated:</w:t>
            </w:r>
            <w:r w:rsidRPr="00CB2EC4">
              <w:rPr>
                <w:rFonts w:ascii="Times New Roman" w:hAnsi="Times New Roman" w:cs="Times New Roman"/>
              </w:rPr>
              <w:br/>
              <w:t>- "Untyped HPV positive patient → must undergo cytology examination (skip directly if untyped)."</w:t>
            </w:r>
            <w:r w:rsidRPr="00CB2EC4">
              <w:rPr>
                <w:rFonts w:ascii="Times New Roman" w:hAnsi="Times New Roman" w:cs="Times New Roman"/>
              </w:rPr>
              <w:br/>
            </w:r>
            <w:r w:rsidRPr="00CB2EC4">
              <w:rPr>
                <w:rFonts w:ascii="Times New Roman" w:hAnsi="Times New Roman" w:cs="Times New Roman"/>
              </w:rPr>
              <w:br/>
              <w:t>Additionally, Figure 3 in relevant segment 2 (from original block 58-60) mentions: for HPV untyped detection positive, it is suggested to combine with clinical symptoms and signs, and if necessary, directly refer for colposcopy, but the primary step is to conduct cytology examination.</w:t>
            </w:r>
            <w:r w:rsidRPr="00CB2EC4">
              <w:rPr>
                <w:rFonts w:ascii="Times New Roman" w:hAnsi="Times New Roman" w:cs="Times New Roman"/>
              </w:rPr>
              <w:br/>
            </w:r>
            <w:r w:rsidRPr="00CB2EC4">
              <w:rPr>
                <w:rFonts w:ascii="Times New Roman" w:hAnsi="Times New Roman" w:cs="Times New Roman"/>
              </w:rPr>
              <w:br/>
              <w:t xml:space="preserve">Therefore, when initial screening shows HPV positive </w:t>
            </w:r>
            <w:r w:rsidRPr="00CB2EC4">
              <w:rPr>
                <w:rFonts w:ascii="Times New Roman" w:hAnsi="Times New Roman" w:cs="Times New Roman"/>
              </w:rPr>
              <w:lastRenderedPageBreak/>
              <w:t>with high-risk HPV types and emphasizes HPV is untyped, the next examination is to perform cervical cytology.</w:t>
            </w:r>
          </w:p>
        </w:tc>
        <w:tc>
          <w:tcPr>
            <w:tcW w:w="1152" w:type="dxa"/>
            <w:vAlign w:val="center"/>
          </w:tcPr>
          <w:p w14:paraId="1138E3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8F3B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F8C7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289808" w14:textId="77777777">
        <w:tc>
          <w:tcPr>
            <w:tcW w:w="2160" w:type="dxa"/>
            <w:vAlign w:val="center"/>
          </w:tcPr>
          <w:p w14:paraId="62981464"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F5323FB"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emphasizing that HPV is untyped, the next step is to perform HPV genotyping testing to identify the specific high-risk type, particularly HPV16/18. Based on the genotyping result: if HPV16 or HPV18 is detected, refer for colposcopy; if other high-risk types are found, management should be guided in combination with cytology results.</w:t>
            </w:r>
          </w:p>
        </w:tc>
        <w:tc>
          <w:tcPr>
            <w:tcW w:w="1152" w:type="dxa"/>
            <w:vAlign w:val="center"/>
          </w:tcPr>
          <w:p w14:paraId="339844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38307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4BF40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EC9B20B" w14:textId="77777777">
        <w:tc>
          <w:tcPr>
            <w:tcW w:w="10656" w:type="dxa"/>
            <w:gridSpan w:val="5"/>
            <w:tcBorders>
              <w:bottom w:val="single" w:sz="6" w:space="0" w:color="auto"/>
            </w:tcBorders>
            <w:vAlign w:val="center"/>
          </w:tcPr>
          <w:p w14:paraId="085D4FC3" w14:textId="77777777" w:rsidR="00922249" w:rsidRPr="00CB2EC4" w:rsidRDefault="003011D5">
            <w:pPr>
              <w:rPr>
                <w:rFonts w:ascii="Times New Roman" w:hAnsi="Times New Roman" w:cs="Times New Roman"/>
              </w:rPr>
            </w:pPr>
            <w:r w:rsidRPr="00CB2EC4">
              <w:rPr>
                <w:rFonts w:ascii="Times New Roman" w:hAnsi="Times New Roman" w:cs="Times New Roman"/>
                <w:b/>
              </w:rPr>
              <w:t>Question 3: When the initial screening shows positive HPV with high-risk HPV types and the cytological examination result is negative, what does it indicate? Should regular check-ups follow and if so, what should be the frequency?</w:t>
            </w:r>
          </w:p>
        </w:tc>
      </w:tr>
      <w:tr w:rsidR="00922249" w:rsidRPr="00CB2EC4" w14:paraId="624E0DC5" w14:textId="77777777">
        <w:tc>
          <w:tcPr>
            <w:tcW w:w="2160" w:type="dxa"/>
            <w:vAlign w:val="center"/>
          </w:tcPr>
          <w:p w14:paraId="1AC057C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FF3D923" w14:textId="77777777" w:rsidR="00922249" w:rsidRPr="00CB2EC4" w:rsidRDefault="003011D5">
            <w:pPr>
              <w:rPr>
                <w:rFonts w:ascii="Times New Roman" w:hAnsi="Times New Roman" w:cs="Times New Roman"/>
              </w:rPr>
            </w:pPr>
            <w:r w:rsidRPr="00CB2EC4">
              <w:rPr>
                <w:rFonts w:ascii="Times New Roman" w:hAnsi="Times New Roman" w:cs="Times New Roman"/>
              </w:rPr>
              <w:t>when the initial screening shows HPV positive with high-risk HPV types and the cytology result is negative, this indicates what? Should regular follow-up be performed, and if so, what is the recommended frequency?</w:t>
            </w:r>
            <w:r w:rsidRPr="00CB2EC4">
              <w:rPr>
                <w:rFonts w:ascii="Times New Roman" w:hAnsi="Times New Roman" w:cs="Times New Roman"/>
              </w:rPr>
              <w:br/>
            </w:r>
            <w:r w:rsidRPr="00CB2EC4">
              <w:rPr>
                <w:rFonts w:ascii="Times New Roman" w:hAnsi="Times New Roman" w:cs="Times New Roman"/>
              </w:rPr>
              <w:br/>
              <w:t>- What this indicates: A negative cytology result with positive HPV indicates the presence of HPV infection without cytological abnormalities, classified as a low-risk state but requiring monitoring to prevent progression.</w:t>
            </w:r>
            <w:r w:rsidRPr="00CB2EC4">
              <w:rPr>
                <w:rFonts w:ascii="Times New Roman" w:hAnsi="Times New Roman" w:cs="Times New Roman"/>
              </w:rPr>
              <w:br/>
              <w:t>- Should regular follow-up be performed: Yes.</w:t>
            </w:r>
            <w:r w:rsidRPr="00CB2EC4">
              <w:rPr>
                <w:rFonts w:ascii="Times New Roman" w:hAnsi="Times New Roman" w:cs="Times New Roman"/>
              </w:rPr>
              <w:br/>
              <w:t>- Follow-up frequency: It is recommended to repeat co-testing (cytology + HPV) after 1 year.</w:t>
            </w:r>
            <w:r w:rsidRPr="00CB2EC4">
              <w:rPr>
                <w:rFonts w:ascii="Times New Roman" w:hAnsi="Times New Roman" w:cs="Times New Roman"/>
              </w:rPr>
              <w:br/>
              <w:t xml:space="preserve">  - Specific description: "Cytology result negative (-) → recommend repeating cytology + HPV co-testing after 1 year" (Figure 1).</w:t>
            </w:r>
            <w:r w:rsidRPr="00CB2EC4">
              <w:rPr>
                <w:rFonts w:ascii="Times New Roman" w:hAnsi="Times New Roman" w:cs="Times New Roman"/>
              </w:rPr>
              <w:br/>
              <w:t xml:space="preserve">  - Figure 3 also states: "Cytology (-) &amp; HPV (+) → should undergo 1-year follow-up (repeat co-testing after 1 year)".</w:t>
            </w:r>
            <w:r w:rsidRPr="00CB2EC4">
              <w:rPr>
                <w:rFonts w:ascii="Times New Roman" w:hAnsi="Times New Roman" w:cs="Times New Roman"/>
              </w:rPr>
              <w:br/>
            </w:r>
            <w:r w:rsidRPr="00CB2EC4">
              <w:rPr>
                <w:rFonts w:ascii="Times New Roman" w:hAnsi="Times New Roman" w:cs="Times New Roman"/>
              </w:rPr>
              <w:lastRenderedPageBreak/>
              <w:br/>
              <w:t>The document does not specify shorter or longer follow-up intervals; therefore, the frequency is after 1 year.</w:t>
            </w:r>
          </w:p>
        </w:tc>
        <w:tc>
          <w:tcPr>
            <w:tcW w:w="1152" w:type="dxa"/>
            <w:vAlign w:val="center"/>
          </w:tcPr>
          <w:p w14:paraId="28DDF2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5BB49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EF45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1758C4" w14:textId="77777777">
        <w:tc>
          <w:tcPr>
            <w:tcW w:w="2160" w:type="dxa"/>
            <w:vAlign w:val="center"/>
          </w:tcPr>
          <w:p w14:paraId="67731CD3"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625B7D3"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and cytology result is negative, this indicates: the negative cytology result suggests a low current risk of cervical lesions, but the HPV positive status indicates a potential for persistent infection or future risk, requiring further monitoring to rule out progression. Document fragment 3 notes that the 5-year cumulative risk of CINⅢ+ for HPV positive/cytology negative is low, but management should be refined based on genotyping results.</w:t>
            </w:r>
            <w:r w:rsidRPr="00CB2EC4">
              <w:rPr>
                <w:rFonts w:ascii="Times New Roman" w:hAnsi="Times New Roman" w:cs="Times New Roman"/>
              </w:rPr>
              <w:br/>
            </w:r>
            <w:r w:rsidRPr="00CB2EC4">
              <w:rPr>
                <w:rFonts w:ascii="Times New Roman" w:hAnsi="Times New Roman" w:cs="Times New Roman"/>
              </w:rPr>
              <w:br/>
              <w:t>should regular follow-up be performed: yes, regular follow-up should be performed.</w:t>
            </w:r>
            <w:r w:rsidRPr="00CB2EC4">
              <w:rPr>
                <w:rFonts w:ascii="Times New Roman" w:hAnsi="Times New Roman" w:cs="Times New Roman"/>
              </w:rPr>
              <w:br/>
            </w:r>
            <w:r w:rsidRPr="00CB2EC4">
              <w:rPr>
                <w:rFonts w:ascii="Times New Roman" w:hAnsi="Times New Roman" w:cs="Times New Roman"/>
              </w:rPr>
              <w:br/>
              <w:t>follow-up frequency: it is recommended to repeat co-testing (cytology + HPV) after 1 year. Document fragment 1 explicitly states: "Cytology result negative (-) → recommend repeating co-testing (cytology + HPV) after 1 year." Document fragment 3, Figure 3 flowchart, also shows: "Cytology (-) &amp; HPV (+) → 1-year follow-up (repeat co-testing after 1 year)." If HPV genotyping identifies positivity for any of the other 12 high-risk types (excluding 16/18), annual follow-up is appropriate; if genotyping is not performed, the same follow-up frequency applies.</w:t>
            </w:r>
          </w:p>
        </w:tc>
        <w:tc>
          <w:tcPr>
            <w:tcW w:w="1152" w:type="dxa"/>
            <w:vAlign w:val="center"/>
          </w:tcPr>
          <w:p w14:paraId="3009E6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CC71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2EB6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2D5301" w14:textId="77777777">
        <w:tc>
          <w:tcPr>
            <w:tcW w:w="2160" w:type="dxa"/>
            <w:vAlign w:val="center"/>
          </w:tcPr>
          <w:p w14:paraId="35B5339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3890046" w14:textId="77777777" w:rsidR="00922249" w:rsidRPr="00CB2EC4" w:rsidRDefault="003011D5">
            <w:pPr>
              <w:rPr>
                <w:rFonts w:ascii="Times New Roman" w:hAnsi="Times New Roman" w:cs="Times New Roman"/>
              </w:rPr>
            </w:pPr>
            <w:r w:rsidRPr="00CB2EC4">
              <w:rPr>
                <w:rFonts w:ascii="Times New Roman" w:hAnsi="Times New Roman" w:cs="Times New Roman"/>
              </w:rPr>
              <w:t>when the initial screening shows HPV positive with high-risk HPV types and a negative cytology result, this indicates what? Should regular follow-up be performed, and if so, what should be the frequency?</w:t>
            </w:r>
            <w:r w:rsidRPr="00CB2EC4">
              <w:rPr>
                <w:rFonts w:ascii="Times New Roman" w:hAnsi="Times New Roman" w:cs="Times New Roman"/>
              </w:rPr>
              <w:br/>
            </w:r>
            <w:r w:rsidRPr="00CB2EC4">
              <w:rPr>
                <w:rFonts w:ascii="Times New Roman" w:hAnsi="Times New Roman" w:cs="Times New Roman"/>
              </w:rPr>
              <w:lastRenderedPageBreak/>
              <w:br/>
              <w:t>Based on document excerpt 1 (relevance: 1.000), excerpt 2 (relevance: 0.900), and excerpt 3 (relevance: 0.800):</w:t>
            </w:r>
            <w:r w:rsidRPr="00CB2EC4">
              <w:rPr>
                <w:rFonts w:ascii="Times New Roman" w:hAnsi="Times New Roman" w:cs="Times New Roman"/>
              </w:rPr>
              <w:br/>
            </w:r>
            <w:r w:rsidRPr="00CB2EC4">
              <w:rPr>
                <w:rFonts w:ascii="Times New Roman" w:hAnsi="Times New Roman" w:cs="Times New Roman"/>
              </w:rPr>
              <w:br/>
              <w:t>- This indicates: A negative cytology result with positive high-risk HPV indicates the patient is at risk for persistent HPV infection but currently has no significant cytological abnormalities. This is typically considered a low-risk or monitoring-required state, as HPV infection may regress spontaneously or progress; regular follow-up is needed to assess development of high-grade lesions (e.g., CIN or cervical cancer). Both excerpt 1 and excerpt 2 state that follow-up is required in this situation, and excerpt 3 further explains that risk is lower when HPV genotyping is negative for HPV16/18.</w:t>
            </w:r>
            <w:r w:rsidRPr="00CB2EC4">
              <w:rPr>
                <w:rFonts w:ascii="Times New Roman" w:hAnsi="Times New Roman" w:cs="Times New Roman"/>
              </w:rPr>
              <w:br/>
              <w:t>- Should regular follow-up be performed: Yes, regular follow-up should be performed.</w:t>
            </w:r>
            <w:r w:rsidRPr="00CB2EC4">
              <w:rPr>
                <w:rFonts w:ascii="Times New Roman" w:hAnsi="Times New Roman" w:cs="Times New Roman"/>
              </w:rPr>
              <w:br/>
              <w:t>- Follow-up frequency: It is recommended to repeat co-testing (cytology + HPV) after 1 year.</w:t>
            </w:r>
            <w:r w:rsidRPr="00CB2EC4">
              <w:rPr>
                <w:rFonts w:ascii="Times New Roman" w:hAnsi="Times New Roman" w:cs="Times New Roman"/>
              </w:rPr>
              <w:br/>
              <w:t xml:space="preserve">  - Excerpt 1: Cytology result negative → recommend repeating co-testing after 1 year.</w:t>
            </w:r>
            <w:r w:rsidRPr="00CB2EC4">
              <w:rPr>
                <w:rFonts w:ascii="Times New Roman" w:hAnsi="Times New Roman" w:cs="Times New Roman"/>
              </w:rPr>
              <w:br/>
              <w:t xml:space="preserve">  - Excerpt 2: Cytology (−) &amp; HPV (+) → then perform 1-year follow-up (repeat co-testing after 1 year).</w:t>
            </w:r>
            <w:r w:rsidRPr="00CB2EC4">
              <w:rPr>
                <w:rFonts w:ascii="Times New Roman" w:hAnsi="Times New Roman" w:cs="Times New Roman"/>
              </w:rPr>
              <w:br/>
              <w:t xml:space="preserve">  - Excerpt 3 table also supports: For HPV untyped positive or HPV16/18 negative but positive for other 12 types, patients with negative cytology should undergo "routine screening with 1-year follow-up".</w:t>
            </w:r>
          </w:p>
        </w:tc>
        <w:tc>
          <w:tcPr>
            <w:tcW w:w="1152" w:type="dxa"/>
            <w:vAlign w:val="center"/>
          </w:tcPr>
          <w:p w14:paraId="39DC3D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13B6F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3960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97C19F" w14:textId="77777777">
        <w:tc>
          <w:tcPr>
            <w:tcW w:w="2160" w:type="dxa"/>
            <w:vAlign w:val="center"/>
          </w:tcPr>
          <w:p w14:paraId="39D64792"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C848FB1" w14:textId="77777777" w:rsidR="00922249" w:rsidRPr="00CB2EC4" w:rsidRDefault="003011D5">
            <w:pPr>
              <w:rPr>
                <w:rFonts w:ascii="Times New Roman" w:hAnsi="Times New Roman" w:cs="Times New Roman"/>
              </w:rPr>
            </w:pPr>
            <w:r w:rsidRPr="00CB2EC4">
              <w:rPr>
                <w:rFonts w:ascii="Times New Roman" w:hAnsi="Times New Roman" w:cs="Times New Roman"/>
              </w:rPr>
              <w:t>When HPV is positive for high-risk types and cytology is negative:</w:t>
            </w:r>
            <w:r w:rsidRPr="00CB2EC4">
              <w:rPr>
                <w:rFonts w:ascii="Times New Roman" w:hAnsi="Times New Roman" w:cs="Times New Roman"/>
              </w:rPr>
              <w:br/>
            </w:r>
            <w:r w:rsidRPr="00CB2EC4">
              <w:rPr>
                <w:rFonts w:ascii="Times New Roman" w:hAnsi="Times New Roman" w:cs="Times New Roman"/>
              </w:rPr>
              <w:br/>
              <w:t>- Need to combine with HPV genotyping results:</w:t>
            </w:r>
            <w:r w:rsidRPr="00CB2EC4">
              <w:rPr>
                <w:rFonts w:ascii="Times New Roman" w:hAnsi="Times New Roman" w:cs="Times New Roman"/>
              </w:rPr>
              <w:br/>
            </w:r>
            <w:r w:rsidRPr="00CB2EC4">
              <w:rPr>
                <w:rFonts w:ascii="Times New Roman" w:hAnsi="Times New Roman" w:cs="Times New Roman"/>
              </w:rPr>
              <w:lastRenderedPageBreak/>
              <w:t xml:space="preserve">  - If genotyping shows positivity for other 12 types → Recommend follow-up in 1 year (repeat co-testing).</w:t>
            </w:r>
            <w:r w:rsidRPr="00CB2EC4">
              <w:rPr>
                <w:rFonts w:ascii="Times New Roman" w:hAnsi="Times New Roman" w:cs="Times New Roman"/>
              </w:rPr>
              <w:br/>
              <w:t xml:space="preserve">  - If untyped HPV testing was performed → Recommend combining with clinical symptoms and, when necessary, directly refer for colposcopy (due to uneven quality of cytology in China, caution is required).</w:t>
            </w:r>
            <w:r w:rsidRPr="00CB2EC4">
              <w:rPr>
                <w:rFonts w:ascii="Times New Roman" w:hAnsi="Times New Roman" w:cs="Times New Roman"/>
              </w:rPr>
              <w:br/>
              <w:t>- Follow-up frequency: Once per year (co-testing).</w:t>
            </w:r>
          </w:p>
        </w:tc>
        <w:tc>
          <w:tcPr>
            <w:tcW w:w="1152" w:type="dxa"/>
            <w:vAlign w:val="center"/>
          </w:tcPr>
          <w:p w14:paraId="348969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69FF7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DE8B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4E38BA" w14:textId="77777777">
        <w:tc>
          <w:tcPr>
            <w:tcW w:w="2160" w:type="dxa"/>
            <w:vAlign w:val="center"/>
          </w:tcPr>
          <w:p w14:paraId="55EBAF40"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DAF16D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the initial screening shows HPV positive with high-risk HPV types and the cytology result is negative, this indicates:  </w:t>
            </w:r>
            <w:r w:rsidRPr="00CB2EC4">
              <w:rPr>
                <w:rFonts w:ascii="Times New Roman" w:hAnsi="Times New Roman" w:cs="Times New Roman"/>
              </w:rPr>
              <w:br/>
              <w:t xml:space="preserve">- The patient is in an "HPV positive/cytology negative" state, with a low cumulative 5-year risk of CINⅢ+ (though the specific value is not provided; Document Fragment 3 notes that the risk in similar cases is below the threshold).  </w:t>
            </w:r>
            <w:r w:rsidRPr="00CB2EC4">
              <w:rPr>
                <w:rFonts w:ascii="Times New Roman" w:hAnsi="Times New Roman" w:cs="Times New Roman"/>
              </w:rPr>
              <w:br/>
              <w:t xml:space="preserve">- Regular follow-up is required: it is recommended to repeat cytology + HPV co-testing after 1 year (annual follow-up).  </w:t>
            </w:r>
            <w:r w:rsidRPr="00CB2EC4">
              <w:rPr>
                <w:rFonts w:ascii="Times New Roman" w:hAnsi="Times New Roman" w:cs="Times New Roman"/>
              </w:rPr>
              <w:br/>
              <w:t>- If HPV genotyping is positive for any of the other 12 types (non-16/18) and cytology is negative, a follow-up after 1 year is also recommended (Document Fragment 1).</w:t>
            </w:r>
          </w:p>
        </w:tc>
        <w:tc>
          <w:tcPr>
            <w:tcW w:w="1152" w:type="dxa"/>
            <w:vAlign w:val="center"/>
          </w:tcPr>
          <w:p w14:paraId="510B57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3026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459A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1AB8CF" w14:textId="77777777">
        <w:tc>
          <w:tcPr>
            <w:tcW w:w="2160" w:type="dxa"/>
            <w:vAlign w:val="center"/>
          </w:tcPr>
          <w:p w14:paraId="21E2F8E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B73C51C" w14:textId="77777777" w:rsidR="00922249" w:rsidRPr="00CB2EC4" w:rsidRDefault="003011D5">
            <w:pPr>
              <w:rPr>
                <w:rFonts w:ascii="Times New Roman" w:hAnsi="Times New Roman" w:cs="Times New Roman"/>
              </w:rPr>
            </w:pPr>
            <w:r w:rsidRPr="00CB2EC4">
              <w:rPr>
                <w:rFonts w:ascii="Times New Roman" w:hAnsi="Times New Roman" w:cs="Times New Roman"/>
              </w:rPr>
              <w:t>when the initial screening shows HPV positive with high-risk HPV types and the cytology result is negative, this indicates what? Should regular follow-up be performed, and if so, what should the frequency be?</w:t>
            </w:r>
            <w:r w:rsidRPr="00CB2EC4">
              <w:rPr>
                <w:rFonts w:ascii="Times New Roman" w:hAnsi="Times New Roman" w:cs="Times New Roman"/>
              </w:rPr>
              <w:br/>
            </w:r>
            <w:r w:rsidRPr="00CB2EC4">
              <w:rPr>
                <w:rFonts w:ascii="Times New Roman" w:hAnsi="Times New Roman" w:cs="Times New Roman"/>
              </w:rPr>
              <w:br/>
              <w:t>Based on the contextual information (Document 1, Document 4, and Document 2):</w:t>
            </w:r>
            <w:r w:rsidRPr="00CB2EC4">
              <w:rPr>
                <w:rFonts w:ascii="Times New Roman" w:hAnsi="Times New Roman" w:cs="Times New Roman"/>
              </w:rPr>
              <w:br/>
              <w:t xml:space="preserve">- What this indicates: HPV positivity with negative cytology indicates a lower-risk status, but not zero </w:t>
            </w:r>
            <w:r w:rsidRPr="00CB2EC4">
              <w:rPr>
                <w:rFonts w:ascii="Times New Roman" w:hAnsi="Times New Roman" w:cs="Times New Roman"/>
              </w:rPr>
              <w:lastRenderedPageBreak/>
              <w:t>risk. Document 1 states that this typically signifies no progression to high-grade lesions (such as CIN II/III), but monitoring is required to prevent potential progression (Document 1: cytology negative → recommend follow-up in 1 year; Document 4: cytology (-) &amp; HPV (+) → should undergo 1-year follow-up).</w:t>
            </w:r>
            <w:r w:rsidRPr="00CB2EC4">
              <w:rPr>
                <w:rFonts w:ascii="Times New Roman" w:hAnsi="Times New Roman" w:cs="Times New Roman"/>
              </w:rPr>
              <w:br/>
              <w:t>- Whether regular follow-up should be performed: Yes, regular follow-up should be performed.</w:t>
            </w:r>
            <w:r w:rsidRPr="00CB2EC4">
              <w:rPr>
                <w:rFonts w:ascii="Times New Roman" w:hAnsi="Times New Roman" w:cs="Times New Roman"/>
              </w:rPr>
              <w:br/>
              <w:t>- Follow-up frequency: It is recommended to repeat co-testing (cytology + HPV) after 1 year (Document 1 cytology pathway and Document 4). The special pathway in Document 1 also notes: "Other 12 types positive and cytology negative → annual follow-up," emphasizing that annual follow-up (i.e., every 1 year) is the standard frequency.</w:t>
            </w:r>
          </w:p>
        </w:tc>
        <w:tc>
          <w:tcPr>
            <w:tcW w:w="1152" w:type="dxa"/>
            <w:vAlign w:val="center"/>
          </w:tcPr>
          <w:p w14:paraId="435D7B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44728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E3AA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B84306" w14:textId="77777777">
        <w:tc>
          <w:tcPr>
            <w:tcW w:w="2160" w:type="dxa"/>
            <w:vAlign w:val="center"/>
          </w:tcPr>
          <w:p w14:paraId="793098FD"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86A202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initial screening shows HPV positive with high-risk HPV types and cytology negative, this indicates:  </w:t>
            </w:r>
            <w:r w:rsidRPr="00CB2EC4">
              <w:rPr>
                <w:rFonts w:ascii="Times New Roman" w:hAnsi="Times New Roman" w:cs="Times New Roman"/>
              </w:rPr>
              <w:br/>
              <w:t xml:space="preserve">The patient is at lower risk but still has a potential risk for lesions (e.g., 5-year cumulative risk of CIN III+ is low, but monitoring is required). The document states that the risk for HPV positive/cytology negative is below the threshold (0.08% vs. 0.26%), suggesting no immediate intervention is needed, but follow-up is required to prevent progression.  </w:t>
            </w:r>
            <w:r w:rsidRPr="00CB2EC4">
              <w:rPr>
                <w:rFonts w:ascii="Times New Roman" w:hAnsi="Times New Roman" w:cs="Times New Roman"/>
              </w:rPr>
              <w:br/>
            </w:r>
            <w:r w:rsidRPr="00CB2EC4">
              <w:rPr>
                <w:rFonts w:ascii="Times New Roman" w:hAnsi="Times New Roman" w:cs="Times New Roman"/>
              </w:rPr>
              <w:br/>
              <w:t xml:space="preserve">Should regular follow-up be performed:  </w:t>
            </w:r>
            <w:r w:rsidRPr="00CB2EC4">
              <w:rPr>
                <w:rFonts w:ascii="Times New Roman" w:hAnsi="Times New Roman" w:cs="Times New Roman"/>
              </w:rPr>
              <w:br/>
              <w:t xml:space="preserve">Yes, regular follow-up should be performed.  </w:t>
            </w:r>
            <w:r w:rsidRPr="00CB2EC4">
              <w:rPr>
                <w:rFonts w:ascii="Times New Roman" w:hAnsi="Times New Roman" w:cs="Times New Roman"/>
              </w:rPr>
              <w:br/>
            </w:r>
            <w:r w:rsidRPr="00CB2EC4">
              <w:rPr>
                <w:rFonts w:ascii="Times New Roman" w:hAnsi="Times New Roman" w:cs="Times New Roman"/>
              </w:rPr>
              <w:br/>
              <w:t xml:space="preserve">Follow-up frequency:  </w:t>
            </w:r>
            <w:r w:rsidRPr="00CB2EC4">
              <w:rPr>
                <w:rFonts w:ascii="Times New Roman" w:hAnsi="Times New Roman" w:cs="Times New Roman"/>
              </w:rPr>
              <w:br/>
              <w:t xml:space="preserve">→ Suggest repeating co-testing (cytology + HPV) after 1 year.  </w:t>
            </w:r>
            <w:r w:rsidRPr="00CB2EC4">
              <w:rPr>
                <w:rFonts w:ascii="Times New Roman" w:hAnsi="Times New Roman" w:cs="Times New Roman"/>
              </w:rPr>
              <w:br/>
              <w:t xml:space="preserve">  - If HPV genotyping is negative for HPV16/18 or positive for other 12 high-risk types with cytology </w:t>
            </w:r>
            <w:r w:rsidRPr="00CB2EC4">
              <w:rPr>
                <w:rFonts w:ascii="Times New Roman" w:hAnsi="Times New Roman" w:cs="Times New Roman"/>
              </w:rPr>
              <w:lastRenderedPageBreak/>
              <w:t xml:space="preserve">negative: annual follow-up (document fragment: HyDE similarity 0.757).  </w:t>
            </w:r>
            <w:r w:rsidRPr="00CB2EC4">
              <w:rPr>
                <w:rFonts w:ascii="Times New Roman" w:hAnsi="Times New Roman" w:cs="Times New Roman"/>
              </w:rPr>
              <w:br/>
              <w:t xml:space="preserve">  - If HPV is not genotyped and cytology is negative: also recommend follow-up after 1 year (document fragment: HyDE similarity 0.585).  </w:t>
            </w:r>
            <w:r w:rsidRPr="00CB2EC4">
              <w:rPr>
                <w:rFonts w:ascii="Times New Roman" w:hAnsi="Times New Roman" w:cs="Times New Roman"/>
              </w:rPr>
              <w:br/>
            </w:r>
            <w:r w:rsidRPr="00CB2EC4">
              <w:rPr>
                <w:rFonts w:ascii="Times New Roman" w:hAnsi="Times New Roman" w:cs="Times New Roman"/>
              </w:rPr>
              <w:br/>
              <w:t>This information is based on the "Cytology Testing Pathway" in Figure 1 and the handling of co-testing results in Figure 3 (HyDE similarity: 0.585), emphasizing annual follow-up to monitor changes.</w:t>
            </w:r>
          </w:p>
        </w:tc>
        <w:tc>
          <w:tcPr>
            <w:tcW w:w="1152" w:type="dxa"/>
            <w:vAlign w:val="center"/>
          </w:tcPr>
          <w:p w14:paraId="7A60D3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F9289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3AF86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D6AD43" w14:textId="77777777">
        <w:tc>
          <w:tcPr>
            <w:tcW w:w="2160" w:type="dxa"/>
            <w:vAlign w:val="center"/>
          </w:tcPr>
          <w:p w14:paraId="3AF02422"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9A6F5DC" w14:textId="77777777" w:rsidR="00922249" w:rsidRPr="00CB2EC4" w:rsidRDefault="003011D5">
            <w:pPr>
              <w:rPr>
                <w:rFonts w:ascii="Times New Roman" w:hAnsi="Times New Roman" w:cs="Times New Roman"/>
              </w:rPr>
            </w:pPr>
            <w:r w:rsidRPr="00CB2EC4">
              <w:rPr>
                <w:rFonts w:ascii="Times New Roman" w:hAnsi="Times New Roman" w:cs="Times New Roman"/>
              </w:rPr>
              <w:t>when the initial screening shows HPV positive with high-risk HPV types and cytology results are negative, this indicates: the patient has a high-risk HPV infection but no current cytological abnormalities, indicating a relatively low risk. However, monitoring is required to prevent progression.</w:t>
            </w:r>
            <w:r w:rsidRPr="00CB2EC4">
              <w:rPr>
                <w:rFonts w:ascii="Times New Roman" w:hAnsi="Times New Roman" w:cs="Times New Roman"/>
              </w:rPr>
              <w:br/>
            </w:r>
            <w:r w:rsidRPr="00CB2EC4">
              <w:rPr>
                <w:rFonts w:ascii="Times New Roman" w:hAnsi="Times New Roman" w:cs="Times New Roman"/>
              </w:rPr>
              <w:br/>
              <w:t>Should regular follow-up be performed? Yes.</w:t>
            </w:r>
            <w:r w:rsidRPr="00CB2EC4">
              <w:rPr>
                <w:rFonts w:ascii="Times New Roman" w:hAnsi="Times New Roman" w:cs="Times New Roman"/>
              </w:rPr>
              <w:br/>
            </w:r>
            <w:r w:rsidRPr="00CB2EC4">
              <w:rPr>
                <w:rFonts w:ascii="Times New Roman" w:hAnsi="Times New Roman" w:cs="Times New Roman"/>
              </w:rPr>
              <w:br/>
              <w:t>Follow-up frequency: Repeat co-testing (cytology + HPV) 1 year later.</w:t>
            </w:r>
            <w:r w:rsidRPr="00CB2EC4">
              <w:rPr>
                <w:rFonts w:ascii="Times New Roman" w:hAnsi="Times New Roman" w:cs="Times New Roman"/>
              </w:rPr>
              <w:br/>
              <w:t>- Document fragment 1: Cytology negative (-) → recommend repeating co-testing after 1 year.</w:t>
            </w:r>
            <w:r w:rsidRPr="00CB2EC4">
              <w:rPr>
                <w:rFonts w:ascii="Times New Roman" w:hAnsi="Times New Roman" w:cs="Times New Roman"/>
              </w:rPr>
              <w:br/>
              <w:t>- Document fragment 4: Cytology (-) &amp; HPV (+) → perform 1-year follow-up (repeat co-testing after 1 year).</w:t>
            </w:r>
            <w:r w:rsidRPr="00CB2EC4">
              <w:rPr>
                <w:rFonts w:ascii="Times New Roman" w:hAnsi="Times New Roman" w:cs="Times New Roman"/>
              </w:rPr>
              <w:br/>
              <w:t>- Document fragment 2: HPV16/18 negative or other 12 high-risk types positive with cytology negative → annual follow-up.</w:t>
            </w:r>
            <w:r w:rsidRPr="00CB2EC4">
              <w:rPr>
                <w:rFonts w:ascii="Times New Roman" w:hAnsi="Times New Roman" w:cs="Times New Roman"/>
              </w:rPr>
              <w:br/>
            </w:r>
            <w:r w:rsidRPr="00CB2EC4">
              <w:rPr>
                <w:rFonts w:ascii="Times New Roman" w:hAnsi="Times New Roman" w:cs="Times New Roman"/>
              </w:rPr>
              <w:br/>
              <w:t>Therefore, the follow-up frequency is once per year using co-testing (cytology and HPV).</w:t>
            </w:r>
          </w:p>
        </w:tc>
        <w:tc>
          <w:tcPr>
            <w:tcW w:w="1152" w:type="dxa"/>
            <w:vAlign w:val="center"/>
          </w:tcPr>
          <w:p w14:paraId="0532B3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236A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AD56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638C98" w14:textId="77777777">
        <w:tc>
          <w:tcPr>
            <w:tcW w:w="2160" w:type="dxa"/>
            <w:vAlign w:val="center"/>
          </w:tcPr>
          <w:p w14:paraId="14C1B2C4"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5F3D15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the initial screening shows HPV positive with </w:t>
            </w:r>
            <w:r w:rsidRPr="00CB2EC4">
              <w:rPr>
                <w:rFonts w:ascii="Times New Roman" w:hAnsi="Times New Roman" w:cs="Times New Roman"/>
              </w:rPr>
              <w:lastRenderedPageBreak/>
              <w:t>high-risk HPV type and cytology result is negative, this indicates: the patient has high-risk HPV infection but no current abnormal cervical cytology. According to the document, this combination carries a lower risk (e.g., in the risk discussion section: "HPV positive/cytology negative" does not reach the threshold for immediate referral), but monitoring is still required to rule out potential progression.</w:t>
            </w:r>
            <w:r w:rsidRPr="00CB2EC4">
              <w:rPr>
                <w:rFonts w:ascii="Times New Roman" w:hAnsi="Times New Roman" w:cs="Times New Roman"/>
              </w:rPr>
              <w:br/>
            </w:r>
            <w:r w:rsidRPr="00CB2EC4">
              <w:rPr>
                <w:rFonts w:ascii="Times New Roman" w:hAnsi="Times New Roman" w:cs="Times New Roman"/>
              </w:rPr>
              <w:br/>
              <w:t>- Should regular follow-up be performed: Yes.</w:t>
            </w:r>
            <w:r w:rsidRPr="00CB2EC4">
              <w:rPr>
                <w:rFonts w:ascii="Times New Roman" w:hAnsi="Times New Roman" w:cs="Times New Roman"/>
              </w:rPr>
              <w:br/>
              <w:t>- Follow-up frequency: Repeat co-testing (cytology + HPV) in 1 year.</w:t>
            </w:r>
            <w:r w:rsidRPr="00CB2EC4">
              <w:rPr>
                <w:rFonts w:ascii="Times New Roman" w:hAnsi="Times New Roman" w:cs="Times New Roman"/>
              </w:rPr>
              <w:br/>
              <w:t xml:space="preserve">  - Figure 1 pathway: "Cytology negative (-) → recommend repeating co-testing in 1 year."</w:t>
            </w:r>
            <w:r w:rsidRPr="00CB2EC4">
              <w:rPr>
                <w:rFonts w:ascii="Times New Roman" w:hAnsi="Times New Roman" w:cs="Times New Roman"/>
              </w:rPr>
              <w:br/>
              <w:t xml:space="preserve">  - Figure 3 pathway: "Cytology (-) &amp; HPV (+) → 1-year follow-up (repeat co-testing after 1 year)."</w:t>
            </w:r>
            <w:r w:rsidRPr="00CB2EC4">
              <w:rPr>
                <w:rFonts w:ascii="Times New Roman" w:hAnsi="Times New Roman" w:cs="Times New Roman"/>
              </w:rPr>
              <w:br/>
              <w:t xml:space="preserve">  - The document also states: "Other 12 types positive and cytology negative → annual follow-up" (see special pathway in Figure 1).</w:t>
            </w:r>
            <w:r w:rsidRPr="00CB2EC4">
              <w:rPr>
                <w:rFonts w:ascii="Times New Roman" w:hAnsi="Times New Roman" w:cs="Times New Roman"/>
              </w:rPr>
              <w:br/>
            </w:r>
            <w:r w:rsidRPr="00CB2EC4">
              <w:rPr>
                <w:rFonts w:ascii="Times New Roman" w:hAnsi="Times New Roman" w:cs="Times New Roman"/>
              </w:rPr>
              <w:br/>
              <w:t>Therefore, the follow-up frequency is to repeat co-testing after 1 year.</w:t>
            </w:r>
          </w:p>
        </w:tc>
        <w:tc>
          <w:tcPr>
            <w:tcW w:w="1152" w:type="dxa"/>
            <w:vAlign w:val="center"/>
          </w:tcPr>
          <w:p w14:paraId="55B38D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43C51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0852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C710CD" w14:textId="77777777">
        <w:tc>
          <w:tcPr>
            <w:tcW w:w="2160" w:type="dxa"/>
            <w:vAlign w:val="center"/>
          </w:tcPr>
          <w:p w14:paraId="39158C58"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AB5DFBE" w14:textId="77777777" w:rsidR="00922249" w:rsidRPr="00CB2EC4" w:rsidRDefault="003011D5">
            <w:pPr>
              <w:rPr>
                <w:rFonts w:ascii="Times New Roman" w:hAnsi="Times New Roman" w:cs="Times New Roman"/>
              </w:rPr>
            </w:pPr>
            <w:r w:rsidRPr="00CB2EC4">
              <w:rPr>
                <w:rFonts w:ascii="Times New Roman" w:hAnsi="Times New Roman" w:cs="Times New Roman"/>
              </w:rPr>
              <w:t>when the initial screening shows HPV positive with high-risk HPV types and cytology result is negative, this indicates what? Should regular follow-up be performed, and if so, what should be the frequency?</w:t>
            </w:r>
            <w:r w:rsidRPr="00CB2EC4">
              <w:rPr>
                <w:rFonts w:ascii="Times New Roman" w:hAnsi="Times New Roman" w:cs="Times New Roman"/>
              </w:rPr>
              <w:br/>
            </w:r>
            <w:r w:rsidRPr="00CB2EC4">
              <w:rPr>
                <w:rFonts w:ascii="Times New Roman" w:hAnsi="Times New Roman" w:cs="Times New Roman"/>
              </w:rPr>
              <w:br/>
              <w:t>Based on document excerpt 1 (similarity 0.698), document excerpt 2 (similarity 0.592), and document excerpt 4 (similarity 0.572):</w:t>
            </w:r>
            <w:r w:rsidRPr="00CB2EC4">
              <w:rPr>
                <w:rFonts w:ascii="Times New Roman" w:hAnsi="Times New Roman" w:cs="Times New Roman"/>
              </w:rPr>
              <w:br/>
              <w:t xml:space="preserve">- This indicates what: HPV positive but cytology negative indicates the patient has high-risk HPV infection but no current cytological abnormalities, with relatively low risk. Document excerpt 2 states </w:t>
            </w:r>
            <w:r w:rsidRPr="00CB2EC4">
              <w:rPr>
                <w:rFonts w:ascii="Times New Roman" w:hAnsi="Times New Roman" w:cs="Times New Roman"/>
              </w:rPr>
              <w:lastRenderedPageBreak/>
              <w:t>that the 5-year cumulative risk of CINⅢ+ for HPV positive/cytology negative is low (specific value not provided in the excerpt), but monitoring is needed to prevent progression.</w:t>
            </w:r>
            <w:r w:rsidRPr="00CB2EC4">
              <w:rPr>
                <w:rFonts w:ascii="Times New Roman" w:hAnsi="Times New Roman" w:cs="Times New Roman"/>
              </w:rPr>
              <w:br/>
              <w:t>- Should regular follow-up be performed: Yes, regular follow-up should be performed.</w:t>
            </w:r>
            <w:r w:rsidRPr="00CB2EC4">
              <w:rPr>
                <w:rFonts w:ascii="Times New Roman" w:hAnsi="Times New Roman" w:cs="Times New Roman"/>
              </w:rPr>
              <w:br/>
              <w:t>- Follow-up frequency: It is recommended to repeat cytology + HPV co-testing after 1 year.</w:t>
            </w:r>
            <w:r w:rsidRPr="00CB2EC4">
              <w:rPr>
                <w:rFonts w:ascii="Times New Roman" w:hAnsi="Times New Roman" w:cs="Times New Roman"/>
              </w:rPr>
              <w:br/>
              <w:t xml:space="preserve">  - Document excerpt 1: Cytology result negative (-) → recommend repeating cytology + HPV co-testing after 1 year.</w:t>
            </w:r>
            <w:r w:rsidRPr="00CB2EC4">
              <w:rPr>
                <w:rFonts w:ascii="Times New Roman" w:hAnsi="Times New Roman" w:cs="Times New Roman"/>
              </w:rPr>
              <w:br/>
              <w:t xml:space="preserve">  - Document excerpt 4: Cytology (-) &amp; HPV (+) → should undergo 1-year follow-up (repeat co-testing after 1 year).</w:t>
            </w:r>
            <w:r w:rsidRPr="00CB2EC4">
              <w:rPr>
                <w:rFonts w:ascii="Times New Roman" w:hAnsi="Times New Roman" w:cs="Times New Roman"/>
              </w:rPr>
              <w:br/>
              <w:t xml:space="preserve">  - Document excerpt 2 supplements in the HPV genotyping pathway: HPV16/18 negative or other 12 types positive with cytology negative → annual follow-up.</w:t>
            </w:r>
            <w:r w:rsidRPr="00CB2EC4">
              <w:rPr>
                <w:rFonts w:ascii="Times New Roman" w:hAnsi="Times New Roman" w:cs="Times New Roman"/>
              </w:rPr>
              <w:br/>
            </w:r>
            <w:r w:rsidRPr="00CB2EC4">
              <w:rPr>
                <w:rFonts w:ascii="Times New Roman" w:hAnsi="Times New Roman" w:cs="Times New Roman"/>
              </w:rPr>
              <w:br/>
              <w:t>Therefore, the follow-up frequency is once per year, using cytology and HPV co-testing for monitoring.</w:t>
            </w:r>
          </w:p>
        </w:tc>
        <w:tc>
          <w:tcPr>
            <w:tcW w:w="1152" w:type="dxa"/>
            <w:vAlign w:val="center"/>
          </w:tcPr>
          <w:p w14:paraId="7E5532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5794E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BC10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5ABB79C" w14:textId="77777777">
        <w:tc>
          <w:tcPr>
            <w:tcW w:w="2160" w:type="dxa"/>
            <w:vAlign w:val="center"/>
          </w:tcPr>
          <w:p w14:paraId="35DC8E3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948DD06"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and cytology result is negative, this indicates: HPV infection is present but cytology shows no abnormal cells, placing the patient in a low-risk but not risk-free state. It typically represents a transient HPV infection with a low risk of cervical intraepithelial neoplasia grade 3 or worse (CIN3+) (5-year cumulative risk below threshold), but monitoring is required to prevent progression.</w:t>
            </w:r>
            <w:r w:rsidRPr="00CB2EC4">
              <w:rPr>
                <w:rFonts w:ascii="Times New Roman" w:hAnsi="Times New Roman" w:cs="Times New Roman"/>
              </w:rPr>
              <w:br/>
            </w:r>
            <w:r w:rsidRPr="00CB2EC4">
              <w:rPr>
                <w:rFonts w:ascii="Times New Roman" w:hAnsi="Times New Roman" w:cs="Times New Roman"/>
              </w:rPr>
              <w:br/>
              <w:t xml:space="preserve">- Should regular follow-up be performed: Yes, regular follow-up is necessary.  </w:t>
            </w:r>
            <w:r w:rsidRPr="00CB2EC4">
              <w:rPr>
                <w:rFonts w:ascii="Times New Roman" w:hAnsi="Times New Roman" w:cs="Times New Roman"/>
              </w:rPr>
              <w:br/>
              <w:t xml:space="preserve">- Follow-up frequency: Repeat co-testing (cytology + </w:t>
            </w:r>
            <w:r w:rsidRPr="00CB2EC4">
              <w:rPr>
                <w:rFonts w:ascii="Times New Roman" w:hAnsi="Times New Roman" w:cs="Times New Roman"/>
              </w:rPr>
              <w:lastRenderedPageBreak/>
              <w:t xml:space="preserve">HPV) after 1 year. If the follow-up result is normal, return to routine screening; if abnormal, refer for colposcopy.  </w:t>
            </w:r>
            <w:r w:rsidRPr="00CB2EC4">
              <w:rPr>
                <w:rFonts w:ascii="Times New Roman" w:hAnsi="Times New Roman" w:cs="Times New Roman"/>
              </w:rPr>
              <w:br/>
            </w:r>
            <w:r w:rsidRPr="00CB2EC4">
              <w:rPr>
                <w:rFonts w:ascii="Times New Roman" w:hAnsi="Times New Roman" w:cs="Times New Roman"/>
              </w:rPr>
              <w:br/>
              <w:t xml:space="preserve">The document emphasizes: For HPV-positive/cytology-negative patients, if HPV genotyping identifies other 12 types (non-16/18), the risk is lower, and annual follow-up suffices; if genotyping is not performed or symptoms are suspicious, maintain the same follow-up frequency.  </w:t>
            </w:r>
            <w:r w:rsidRPr="00CB2EC4">
              <w:rPr>
                <w:rFonts w:ascii="Times New Roman" w:hAnsi="Times New Roman" w:cs="Times New Roman"/>
              </w:rPr>
              <w:br/>
            </w:r>
            <w:r w:rsidRPr="00CB2EC4">
              <w:rPr>
                <w:rFonts w:ascii="Times New Roman" w:hAnsi="Times New Roman" w:cs="Times New Roman"/>
              </w:rPr>
              <w:br/>
              <w:t xml:space="preserve">Key evidence:  </w:t>
            </w:r>
            <w:r w:rsidRPr="00CB2EC4">
              <w:rPr>
                <w:rFonts w:ascii="Times New Roman" w:hAnsi="Times New Roman" w:cs="Times New Roman"/>
              </w:rPr>
              <w:br/>
              <w:t xml:space="preserve">- "Cytology result negative (-) → recommend repeating cytology + HPV co-testing after 1 year" (similarity 0.668).  </w:t>
            </w:r>
            <w:r w:rsidRPr="00CB2EC4">
              <w:rPr>
                <w:rFonts w:ascii="Times New Roman" w:hAnsi="Times New Roman" w:cs="Times New Roman"/>
              </w:rPr>
              <w:br/>
              <w:t xml:space="preserve">- "Cytology (-) &amp; HPV (+) → annual follow-up should be conducted (repeat co-testing after 1 year)" (similarity 0.507).  </w:t>
            </w:r>
            <w:r w:rsidRPr="00CB2EC4">
              <w:rPr>
                <w:rFonts w:ascii="Times New Roman" w:hAnsi="Times New Roman" w:cs="Times New Roman"/>
              </w:rPr>
              <w:br/>
              <w:t>- "HPV positive / cytology negative... recommend 1-year follow-up" (similarity 0.524).</w:t>
            </w:r>
          </w:p>
        </w:tc>
        <w:tc>
          <w:tcPr>
            <w:tcW w:w="1152" w:type="dxa"/>
            <w:vAlign w:val="center"/>
          </w:tcPr>
          <w:p w14:paraId="2B5411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2FA7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4810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7DF5D6" w14:textId="77777777">
        <w:tc>
          <w:tcPr>
            <w:tcW w:w="2160" w:type="dxa"/>
            <w:vAlign w:val="center"/>
          </w:tcPr>
          <w:p w14:paraId="57AFBF7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C518311" w14:textId="77777777" w:rsidR="00922249" w:rsidRPr="00CB2EC4" w:rsidRDefault="003011D5">
            <w:pPr>
              <w:rPr>
                <w:rFonts w:ascii="Times New Roman" w:hAnsi="Times New Roman" w:cs="Times New Roman"/>
              </w:rPr>
            </w:pPr>
            <w:r w:rsidRPr="00CB2EC4">
              <w:rPr>
                <w:rFonts w:ascii="Times New Roman" w:hAnsi="Times New Roman" w:cs="Times New Roman"/>
              </w:rPr>
              <w:t>What does it indicate when initial screening shows HPV-positive with high-risk HPV types and cytology results are negative? Should regular follow-up be conducted, and if so, at what frequency?</w:t>
            </w:r>
            <w:r w:rsidRPr="00CB2EC4">
              <w:rPr>
                <w:rFonts w:ascii="Times New Roman" w:hAnsi="Times New Roman" w:cs="Times New Roman"/>
              </w:rPr>
              <w:br/>
            </w:r>
            <w:r w:rsidRPr="00CB2EC4">
              <w:rPr>
                <w:rFonts w:ascii="Times New Roman" w:hAnsi="Times New Roman" w:cs="Times New Roman"/>
              </w:rPr>
              <w:br/>
              <w:t xml:space="preserve">What it indicates: When HPV-positive with high-risk types and cytology results are negative, it indicates that the patient has a high-risk HPV infection but currently shows no cytological abnormalities. The risk associated with this state is relatively low (although the cumulative risk of CINⅢ+ within 5 years is not explicitly quantified in the document, based on fragment 8, the risk is below certain thresholds). However, since high-risk HPV infections may persist </w:t>
            </w:r>
            <w:r w:rsidRPr="00CB2EC4">
              <w:rPr>
                <w:rFonts w:ascii="Times New Roman" w:hAnsi="Times New Roman" w:cs="Times New Roman"/>
              </w:rPr>
              <w:lastRenderedPageBreak/>
              <w:t xml:space="preserve">or progress to lesions, regular monitoring is still necessary.  </w:t>
            </w:r>
            <w:r w:rsidRPr="00CB2EC4">
              <w:rPr>
                <w:rFonts w:ascii="Times New Roman" w:hAnsi="Times New Roman" w:cs="Times New Roman"/>
              </w:rPr>
              <w:br/>
              <w:t xml:space="preserve">- Should regular follow-up be conducted: Yes, regular follow-up should be conducted.  </w:t>
            </w:r>
            <w:r w:rsidRPr="00CB2EC4">
              <w:rPr>
                <w:rFonts w:ascii="Times New Roman" w:hAnsi="Times New Roman" w:cs="Times New Roman"/>
              </w:rPr>
              <w:br/>
              <w:t xml:space="preserve">- Follow-up frequency: It is recommended to repeat cytology and HPV co-testing after 1 year.  </w:t>
            </w:r>
            <w:r w:rsidRPr="00CB2EC4">
              <w:rPr>
                <w:rFonts w:ascii="Times New Roman" w:hAnsi="Times New Roman" w:cs="Times New Roman"/>
              </w:rPr>
              <w:br/>
            </w:r>
            <w:r w:rsidRPr="00CB2EC4">
              <w:rPr>
                <w:rFonts w:ascii="Times New Roman" w:hAnsi="Times New Roman" w:cs="Times New Roman"/>
              </w:rPr>
              <w:br/>
              <w:t xml:space="preserve">Basis:  </w:t>
            </w:r>
            <w:r w:rsidRPr="00CB2EC4">
              <w:rPr>
                <w:rFonts w:ascii="Times New Roman" w:hAnsi="Times New Roman" w:cs="Times New Roman"/>
              </w:rPr>
              <w:br/>
              <w:t xml:space="preserve">- Document fragment 2 (relevance: 0.9771): "Negative cytology result (-) → Recommend repeating cytology + HPV co-testing after 1 year."  </w:t>
            </w:r>
            <w:r w:rsidRPr="00CB2EC4">
              <w:rPr>
                <w:rFonts w:ascii="Times New Roman" w:hAnsi="Times New Roman" w:cs="Times New Roman"/>
              </w:rPr>
              <w:br/>
              <w:t xml:space="preserve">- Document fragment 3 (relevance: 0.9723): "If cytology (-) &amp; HPV (+), then conduct follow-up after 1 year (repeat co-testing after 1 year)."  </w:t>
            </w:r>
            <w:r w:rsidRPr="00CB2EC4">
              <w:rPr>
                <w:rFonts w:ascii="Times New Roman" w:hAnsi="Times New Roman" w:cs="Times New Roman"/>
              </w:rPr>
              <w:br/>
              <w:t xml:space="preserve">- Document fragment 8 (relevance: 0.7004) also supports this follow-up frequency, emphasizing annual follow-up when cytology is negative.  </w:t>
            </w:r>
            <w:r w:rsidRPr="00CB2EC4">
              <w:rPr>
                <w:rFonts w:ascii="Times New Roman" w:hAnsi="Times New Roman" w:cs="Times New Roman"/>
              </w:rPr>
              <w:br/>
            </w:r>
            <w:r w:rsidRPr="00CB2EC4">
              <w:rPr>
                <w:rFonts w:ascii="Times New Roman" w:hAnsi="Times New Roman" w:cs="Times New Roman"/>
              </w:rPr>
              <w:br/>
              <w:t>The purpose of follow-up is to monitor HPV clearance or lesion progression, ensuring early intervention.</w:t>
            </w:r>
          </w:p>
        </w:tc>
        <w:tc>
          <w:tcPr>
            <w:tcW w:w="1152" w:type="dxa"/>
            <w:vAlign w:val="center"/>
          </w:tcPr>
          <w:p w14:paraId="2E1DCB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08CA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3F17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46DF8E" w14:textId="77777777">
        <w:tc>
          <w:tcPr>
            <w:tcW w:w="2160" w:type="dxa"/>
            <w:vAlign w:val="center"/>
          </w:tcPr>
          <w:p w14:paraId="224D0695"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00254EE"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 and cytology result is negative, this indicates:</w:t>
            </w:r>
            <w:r w:rsidRPr="00CB2EC4">
              <w:rPr>
                <w:rFonts w:ascii="Times New Roman" w:hAnsi="Times New Roman" w:cs="Times New Roman"/>
              </w:rPr>
              <w:br/>
              <w:t>- Risk level: HPV positivity with negative cytology represents a lower risk (the 5-year cumulative risk of CINⅢ+ for HPV+/cytology- is not directly provided but is below the threshold requiring immediate intervention), but monitoring is still needed to rule out potential lesion progression.</w:t>
            </w:r>
            <w:r w:rsidRPr="00CB2EC4">
              <w:rPr>
                <w:rFonts w:ascii="Times New Roman" w:hAnsi="Times New Roman" w:cs="Times New Roman"/>
              </w:rPr>
              <w:br/>
              <w:t>- Should regular follow-up be performed: yes, regular follow-up is recommended.</w:t>
            </w:r>
            <w:r w:rsidRPr="00CB2EC4">
              <w:rPr>
                <w:rFonts w:ascii="Times New Roman" w:hAnsi="Times New Roman" w:cs="Times New Roman"/>
              </w:rPr>
              <w:br/>
              <w:t>- Follow-up frequency: repeat combined cytology and HPV testing after 1 year (i.e., annual follow-up).</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According to Figure 1 in relevant segment 1 (from original block 0-1) in the cytology pathway:</w:t>
            </w:r>
            <w:r w:rsidRPr="00CB2EC4">
              <w:rPr>
                <w:rFonts w:ascii="Times New Roman" w:hAnsi="Times New Roman" w:cs="Times New Roman"/>
              </w:rPr>
              <w:br/>
              <w:t>- “Cytology result negative (-) → recommend repeating cytology + HPV co-testing after 1 year”.</w:t>
            </w:r>
            <w:r w:rsidRPr="00CB2EC4">
              <w:rPr>
                <w:rFonts w:ascii="Times New Roman" w:hAnsi="Times New Roman" w:cs="Times New Roman"/>
              </w:rPr>
              <w:br/>
              <w:t>Additionally, Figure 3 in relevant segment 2 (from original block 58-60) explicitly states: for “cytology (-) &amp; HPV (+) → perform 1-year follow-up (repeat co-testing after 1 year)”.</w:t>
            </w:r>
            <w:r w:rsidRPr="00CB2EC4">
              <w:rPr>
                <w:rFonts w:ascii="Times New Roman" w:hAnsi="Times New Roman" w:cs="Times New Roman"/>
              </w:rPr>
              <w:br/>
            </w:r>
            <w:r w:rsidRPr="00CB2EC4">
              <w:rPr>
                <w:rFonts w:ascii="Times New Roman" w:hAnsi="Times New Roman" w:cs="Times New Roman"/>
              </w:rPr>
              <w:br/>
              <w:t>This indicates:</w:t>
            </w:r>
            <w:r w:rsidRPr="00CB2EC4">
              <w:rPr>
                <w:rFonts w:ascii="Times New Roman" w:hAnsi="Times New Roman" w:cs="Times New Roman"/>
              </w:rPr>
              <w:br/>
              <w:t>- Risk level: HPV positive/cytology negative with lower risk (relevant segment 2 mentions the 5-year CINⅢ+ cumulative risk for HPV+/cytology- is not directly given but is below the threshold requiring immediate intervention), yet monitoring is required to exclude progression of subclinical lesions.</w:t>
            </w:r>
            <w:r w:rsidRPr="00CB2EC4">
              <w:rPr>
                <w:rFonts w:ascii="Times New Roman" w:hAnsi="Times New Roman" w:cs="Times New Roman"/>
              </w:rPr>
              <w:br/>
              <w:t>- Should regular follow-up be performed: yes, regular follow-up should be performed.</w:t>
            </w:r>
            <w:r w:rsidRPr="00CB2EC4">
              <w:rPr>
                <w:rFonts w:ascii="Times New Roman" w:hAnsi="Times New Roman" w:cs="Times New Roman"/>
              </w:rPr>
              <w:br/>
              <w:t>- Follow-up frequency: repeat combined cytology and HPV testing after 1 year (i.e., annual follow-up).</w:t>
            </w:r>
          </w:p>
        </w:tc>
        <w:tc>
          <w:tcPr>
            <w:tcW w:w="1152" w:type="dxa"/>
            <w:vAlign w:val="center"/>
          </w:tcPr>
          <w:p w14:paraId="7480D6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DC1F8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7562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A0CAC1" w14:textId="77777777">
        <w:tc>
          <w:tcPr>
            <w:tcW w:w="2160" w:type="dxa"/>
            <w:vAlign w:val="center"/>
          </w:tcPr>
          <w:p w14:paraId="30FB2E2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F26EA75"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and cytology results are negative, this indicates:</w:t>
            </w:r>
            <w:r w:rsidRPr="00CB2EC4">
              <w:rPr>
                <w:rFonts w:ascii="Times New Roman" w:hAnsi="Times New Roman" w:cs="Times New Roman"/>
              </w:rPr>
              <w:br/>
            </w:r>
            <w:r w:rsidRPr="00CB2EC4">
              <w:rPr>
                <w:rFonts w:ascii="Times New Roman" w:hAnsi="Times New Roman" w:cs="Times New Roman"/>
              </w:rPr>
              <w:br/>
              <w:t>Should regular follow-up be performed? If yes, what is the frequency?</w:t>
            </w:r>
            <w:r w:rsidRPr="00CB2EC4">
              <w:rPr>
                <w:rFonts w:ascii="Times New Roman" w:hAnsi="Times New Roman" w:cs="Times New Roman"/>
              </w:rPr>
              <w:br/>
              <w:t>- This indicates the patient is in a low-risk state but has the potential for persistent HPV infection, with a low risk of high-grade cervical lesions (&lt;5%).</w:t>
            </w:r>
            <w:r w:rsidRPr="00CB2EC4">
              <w:rPr>
                <w:rFonts w:ascii="Times New Roman" w:hAnsi="Times New Roman" w:cs="Times New Roman"/>
              </w:rPr>
              <w:br/>
              <w:t>- Regular follow-up should be performed. The follow-up frequency is to conduct co-testing (HPV test and cytology) at 12 months. If the follow-up results are negative, screening can be extended to every 3 years; if still positive, further evaluation is needed.</w:t>
            </w:r>
          </w:p>
        </w:tc>
        <w:tc>
          <w:tcPr>
            <w:tcW w:w="1152" w:type="dxa"/>
            <w:vAlign w:val="center"/>
          </w:tcPr>
          <w:p w14:paraId="02FD65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21D4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D244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AEB0C9" w14:textId="77777777">
        <w:tc>
          <w:tcPr>
            <w:tcW w:w="10656" w:type="dxa"/>
            <w:gridSpan w:val="5"/>
            <w:tcBorders>
              <w:bottom w:val="single" w:sz="6" w:space="0" w:color="auto"/>
            </w:tcBorders>
            <w:vAlign w:val="center"/>
          </w:tcPr>
          <w:p w14:paraId="4E8F3345" w14:textId="77777777" w:rsidR="00922249" w:rsidRPr="00CB2EC4" w:rsidRDefault="003011D5">
            <w:pPr>
              <w:rPr>
                <w:rFonts w:ascii="Times New Roman" w:hAnsi="Times New Roman" w:cs="Times New Roman"/>
              </w:rPr>
            </w:pPr>
            <w:r w:rsidRPr="00CB2EC4">
              <w:rPr>
                <w:rFonts w:ascii="Times New Roman" w:hAnsi="Times New Roman" w:cs="Times New Roman"/>
                <w:b/>
              </w:rPr>
              <w:lastRenderedPageBreak/>
              <w:t>Question 4: When the initial screening shows positive HPV with high-risk HPV types and the cytological examination result is ≥ASC-US, is the next step to perform a colposcopy?</w:t>
            </w:r>
          </w:p>
        </w:tc>
      </w:tr>
      <w:tr w:rsidR="00922249" w:rsidRPr="00CB2EC4" w14:paraId="67242F4D" w14:textId="77777777">
        <w:tc>
          <w:tcPr>
            <w:tcW w:w="2160" w:type="dxa"/>
            <w:vAlign w:val="center"/>
          </w:tcPr>
          <w:p w14:paraId="56C0FD3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4BFEE6B"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colposcopy.</w:t>
            </w:r>
            <w:r w:rsidRPr="00CB2EC4">
              <w:rPr>
                <w:rFonts w:ascii="Times New Roman" w:hAnsi="Times New Roman" w:cs="Times New Roman"/>
              </w:rPr>
              <w:br/>
            </w:r>
            <w:r w:rsidRPr="00CB2EC4">
              <w:rPr>
                <w:rFonts w:ascii="Times New Roman" w:hAnsi="Times New Roman" w:cs="Times New Roman"/>
              </w:rPr>
              <w:br/>
              <w:t>according to the context provided (the cytology pathway in figure 1):</w:t>
            </w:r>
            <w:r w:rsidRPr="00CB2EC4">
              <w:rPr>
                <w:rFonts w:ascii="Times New Roman" w:hAnsi="Times New Roman" w:cs="Times New Roman"/>
              </w:rPr>
              <w:br/>
            </w:r>
            <w:r w:rsidRPr="00CB2EC4">
              <w:rPr>
                <w:rFonts w:ascii="Times New Roman" w:hAnsi="Times New Roman" w:cs="Times New Roman"/>
              </w:rPr>
              <w:br/>
              <w:t>- when cytology results are ≥ASC-US (including ASC-US, LSIL, HSIL, etc.), referral for colposcopy is indicated.</w:t>
            </w:r>
            <w:r w:rsidRPr="00CB2EC4">
              <w:rPr>
                <w:rFonts w:ascii="Times New Roman" w:hAnsi="Times New Roman" w:cs="Times New Roman"/>
              </w:rPr>
              <w:br/>
              <w:t>- specifically stated: "cytology results ≥ASC-US → refer for colposcopy".</w:t>
            </w:r>
            <w:r w:rsidRPr="00CB2EC4">
              <w:rPr>
                <w:rFonts w:ascii="Times New Roman" w:hAnsi="Times New Roman" w:cs="Times New Roman"/>
              </w:rPr>
              <w:br/>
            </w:r>
            <w:r w:rsidRPr="00CB2EC4">
              <w:rPr>
                <w:rFonts w:ascii="Times New Roman" w:hAnsi="Times New Roman" w:cs="Times New Roman"/>
              </w:rPr>
              <w:br/>
              <w:t>therefore, colposcopy should be performed next. no exceptions are noted in the document.</w:t>
            </w:r>
          </w:p>
        </w:tc>
        <w:tc>
          <w:tcPr>
            <w:tcW w:w="1152" w:type="dxa"/>
            <w:vAlign w:val="center"/>
          </w:tcPr>
          <w:p w14:paraId="122A4F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46DF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E7C2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DA85CE" w14:textId="77777777">
        <w:tc>
          <w:tcPr>
            <w:tcW w:w="2160" w:type="dxa"/>
            <w:vAlign w:val="center"/>
          </w:tcPr>
          <w:p w14:paraId="72378F9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88D506D"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colposcopy.</w:t>
            </w:r>
            <w:r w:rsidRPr="00CB2EC4">
              <w:rPr>
                <w:rFonts w:ascii="Times New Roman" w:hAnsi="Times New Roman" w:cs="Times New Roman"/>
              </w:rPr>
              <w:br/>
            </w:r>
            <w:r w:rsidRPr="00CB2EC4">
              <w:rPr>
                <w:rFonts w:ascii="Times New Roman" w:hAnsi="Times New Roman" w:cs="Times New Roman"/>
              </w:rPr>
              <w:br/>
              <w:t>Based on document fragment 1 (block 1, topic "HPV Positive and Abnormal Cytology Management Workflow") and document fragment 5 (block 58, topic "Cytology Abnormality Management Guidelines"), the next step is colposcopy. Specific evidence:</w:t>
            </w:r>
            <w:r w:rsidRPr="00CB2EC4">
              <w:rPr>
                <w:rFonts w:ascii="Times New Roman" w:hAnsi="Times New Roman" w:cs="Times New Roman"/>
              </w:rPr>
              <w:br/>
              <w:t>- Document fragment 1: In the cytology pathway, "cytology result ≥ ASC-US (including ASC-US, LSIL, HSIL, etc.) → refer for colposcopy".</w:t>
            </w:r>
            <w:r w:rsidRPr="00CB2EC4">
              <w:rPr>
                <w:rFonts w:ascii="Times New Roman" w:hAnsi="Times New Roman" w:cs="Times New Roman"/>
              </w:rPr>
              <w:br/>
              <w:t>- Document fragment 5: For ASC-US management, it emphasizes "if HPV positive (+) → refer for colposcopy", and states that ASC-US patients who are HPV positive should be directly referred for colposcopy without additional triage.</w:t>
            </w:r>
            <w:r w:rsidRPr="00CB2EC4">
              <w:rPr>
                <w:rFonts w:ascii="Times New Roman" w:hAnsi="Times New Roman" w:cs="Times New Roman"/>
              </w:rPr>
              <w:br/>
            </w:r>
            <w:r w:rsidRPr="00CB2EC4">
              <w:rPr>
                <w:rFonts w:ascii="Times New Roman" w:hAnsi="Times New Roman" w:cs="Times New Roman"/>
              </w:rPr>
              <w:br/>
              <w:t xml:space="preserve">Therefore, regardless of HPV genotyping status, a cytology result ≥ ASC-US combined with HPV </w:t>
            </w:r>
            <w:r w:rsidRPr="00CB2EC4">
              <w:rPr>
                <w:rFonts w:ascii="Times New Roman" w:hAnsi="Times New Roman" w:cs="Times New Roman"/>
              </w:rPr>
              <w:lastRenderedPageBreak/>
              <w:t>positivity requires referral for colposcopy.</w:t>
            </w:r>
          </w:p>
        </w:tc>
        <w:tc>
          <w:tcPr>
            <w:tcW w:w="1152" w:type="dxa"/>
            <w:vAlign w:val="center"/>
          </w:tcPr>
          <w:p w14:paraId="405350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33A0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A6DF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A6A5B7" w14:textId="77777777">
        <w:tc>
          <w:tcPr>
            <w:tcW w:w="2160" w:type="dxa"/>
            <w:vAlign w:val="center"/>
          </w:tcPr>
          <w:p w14:paraId="084BED35"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3D7B4A9"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colposcopy.</w:t>
            </w:r>
            <w:r w:rsidRPr="00CB2EC4">
              <w:rPr>
                <w:rFonts w:ascii="Times New Roman" w:hAnsi="Times New Roman" w:cs="Times New Roman"/>
              </w:rPr>
              <w:br/>
            </w:r>
            <w:r w:rsidRPr="00CB2EC4">
              <w:rPr>
                <w:rFonts w:ascii="Times New Roman" w:hAnsi="Times New Roman" w:cs="Times New Roman"/>
              </w:rPr>
              <w:br/>
              <w:t>- Fragment 1 explicitly states: “Cytology result ≥ ASC-US (including ASC-US, LSIL, HSIL, etc.) → refer for colposcopy.”</w:t>
            </w:r>
            <w:r w:rsidRPr="00CB2EC4">
              <w:rPr>
                <w:rFonts w:ascii="Times New Roman" w:hAnsi="Times New Roman" w:cs="Times New Roman"/>
              </w:rPr>
              <w:br/>
              <w:t>- Fragment 2 adds: “Cytology ≥ ASC-US &amp; HPV (+) → further triage should be performed,” and notes that after HPV genotyping subdivision, if ungenotyped then refer directly for colposcopy; however, overall, when cytology is ≥ ASC-US, colposcopy referral is required as standard management regardless of HPV genotyping.</w:t>
            </w:r>
            <w:r w:rsidRPr="00CB2EC4">
              <w:rPr>
                <w:rFonts w:ascii="Times New Roman" w:hAnsi="Times New Roman" w:cs="Times New Roman"/>
              </w:rPr>
              <w:br/>
              <w:t>- There are no exceptions indicated in the documents, so colposcopy is the necessary next step.</w:t>
            </w:r>
          </w:p>
        </w:tc>
        <w:tc>
          <w:tcPr>
            <w:tcW w:w="1152" w:type="dxa"/>
            <w:vAlign w:val="center"/>
          </w:tcPr>
          <w:p w14:paraId="653AB0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8886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AD1F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B5392E" w14:textId="77777777">
        <w:tc>
          <w:tcPr>
            <w:tcW w:w="2160" w:type="dxa"/>
            <w:vAlign w:val="center"/>
          </w:tcPr>
          <w:p w14:paraId="73304F98"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F6A6CA3" w14:textId="77777777" w:rsidR="00922249" w:rsidRPr="00CB2EC4" w:rsidRDefault="003011D5">
            <w:pPr>
              <w:rPr>
                <w:rFonts w:ascii="Times New Roman" w:hAnsi="Times New Roman" w:cs="Times New Roman"/>
              </w:rPr>
            </w:pPr>
            <w:r w:rsidRPr="00CB2EC4">
              <w:rPr>
                <w:rFonts w:ascii="Times New Roman" w:hAnsi="Times New Roman" w:cs="Times New Roman"/>
              </w:rPr>
              <w:t>yes</w:t>
            </w:r>
            <w:r w:rsidRPr="00CB2EC4">
              <w:rPr>
                <w:rFonts w:ascii="Times New Roman" w:hAnsi="Times New Roman" w:cs="Times New Roman"/>
              </w:rPr>
              <w:br/>
            </w:r>
            <w:r w:rsidRPr="00CB2EC4">
              <w:rPr>
                <w:rFonts w:ascii="Times New Roman" w:hAnsi="Times New Roman" w:cs="Times New Roman"/>
              </w:rPr>
              <w:br/>
              <w:t>- Vaginal colposcopy must be performed.</w:t>
            </w:r>
            <w:r w:rsidRPr="00CB2EC4">
              <w:rPr>
                <w:rFonts w:ascii="Times New Roman" w:hAnsi="Times New Roman" w:cs="Times New Roman"/>
              </w:rPr>
              <w:br/>
              <w:t xml:space="preserve">  - Consensus clearly states: HPV-positive/ASC-US carries a 5-year cumulative risk of CINⅢ+ of 6.8%, which is higher than the risk for LSIL and requires direct colposcopic evaluation.</w:t>
            </w:r>
          </w:p>
        </w:tc>
        <w:tc>
          <w:tcPr>
            <w:tcW w:w="1152" w:type="dxa"/>
            <w:vAlign w:val="center"/>
          </w:tcPr>
          <w:p w14:paraId="50D66A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CB2B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56C4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33C781" w14:textId="77777777">
        <w:tc>
          <w:tcPr>
            <w:tcW w:w="2160" w:type="dxa"/>
            <w:vAlign w:val="center"/>
          </w:tcPr>
          <w:p w14:paraId="435F5B93"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C48E348" w14:textId="77777777" w:rsidR="00922249" w:rsidRPr="00CB2EC4" w:rsidRDefault="003011D5">
            <w:pPr>
              <w:rPr>
                <w:rFonts w:ascii="Times New Roman" w:hAnsi="Times New Roman" w:cs="Times New Roman"/>
              </w:rPr>
            </w:pPr>
            <w:r w:rsidRPr="00CB2EC4">
              <w:rPr>
                <w:rFonts w:ascii="Times New Roman" w:hAnsi="Times New Roman" w:cs="Times New Roman"/>
              </w:rPr>
              <w:t>yes. According to document excerpts 1, 2, and 3:</w:t>
            </w:r>
            <w:r w:rsidRPr="00CB2EC4">
              <w:rPr>
                <w:rFonts w:ascii="Times New Roman" w:hAnsi="Times New Roman" w:cs="Times New Roman"/>
              </w:rPr>
              <w:br/>
            </w:r>
            <w:r w:rsidRPr="00CB2EC4">
              <w:rPr>
                <w:rFonts w:ascii="Times New Roman" w:hAnsi="Times New Roman" w:cs="Times New Roman"/>
              </w:rPr>
              <w:br/>
              <w:t>- When cytology results are ≥ASC-US (including ASC-US, LSIL, HSIL, etc.) and HPV is positive, direct referral for colposcopy is indicated.</w:t>
            </w:r>
            <w:r w:rsidRPr="00CB2EC4">
              <w:rPr>
                <w:rFonts w:ascii="Times New Roman" w:hAnsi="Times New Roman" w:cs="Times New Roman"/>
              </w:rPr>
              <w:br/>
              <w:t>- Document excerpt 3 specifically states: The 5-year cumulative risk of CINⅢ+ for HPV-positive/ASC-US is 6.8%, supporting direct referral for colposcopy.</w:t>
            </w:r>
          </w:p>
        </w:tc>
        <w:tc>
          <w:tcPr>
            <w:tcW w:w="1152" w:type="dxa"/>
            <w:vAlign w:val="center"/>
          </w:tcPr>
          <w:p w14:paraId="53440E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DB30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E773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12BCF1" w14:textId="77777777">
        <w:tc>
          <w:tcPr>
            <w:tcW w:w="2160" w:type="dxa"/>
            <w:vAlign w:val="center"/>
          </w:tcPr>
          <w:p w14:paraId="4E79670B"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2730044"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colposcopy.</w:t>
            </w:r>
            <w:r w:rsidRPr="00CB2EC4">
              <w:rPr>
                <w:rFonts w:ascii="Times New Roman" w:hAnsi="Times New Roman" w:cs="Times New Roman"/>
              </w:rPr>
              <w:br/>
            </w:r>
            <w:r w:rsidRPr="00CB2EC4">
              <w:rPr>
                <w:rFonts w:ascii="Times New Roman" w:hAnsi="Times New Roman" w:cs="Times New Roman"/>
              </w:rPr>
              <w:br/>
              <w:t xml:space="preserve">according to the context information (document 1 and </w:t>
            </w:r>
            <w:r w:rsidRPr="00CB2EC4">
              <w:rPr>
                <w:rFonts w:ascii="Times New Roman" w:hAnsi="Times New Roman" w:cs="Times New Roman"/>
              </w:rPr>
              <w:lastRenderedPageBreak/>
              <w:t>document 2):</w:t>
            </w:r>
            <w:r w:rsidRPr="00CB2EC4">
              <w:rPr>
                <w:rFonts w:ascii="Times New Roman" w:hAnsi="Times New Roman" w:cs="Times New Roman"/>
              </w:rPr>
              <w:br/>
              <w:t>- document 1 clearly states: cytology result ≥ ASC-US (including ASC-US, LSIL, HSIL, etc.) → refer for colposcopy (document 1 cytology pathway).</w:t>
            </w:r>
            <w:r w:rsidRPr="00CB2EC4">
              <w:rPr>
                <w:rFonts w:ascii="Times New Roman" w:hAnsi="Times New Roman" w:cs="Times New Roman"/>
              </w:rPr>
              <w:br/>
              <w:t>- document 2 supports: HPV-positive/ASC-US has a high 5-year cumulative risk of CIN III+ (6.8%), and based on the principle of equal risk equal management, supports direct referral to colposcopy (document 2: 2.3.2 HPV-positive/ASC-US supports direct referral to colposcopy).</w:t>
            </w:r>
            <w:r w:rsidRPr="00CB2EC4">
              <w:rPr>
                <w:rFonts w:ascii="Times New Roman" w:hAnsi="Times New Roman" w:cs="Times New Roman"/>
              </w:rPr>
              <w:br/>
              <w:t>therefore, regardless of HPV genotyping, cytology ≥ ASC-US requires referral for colposcopy.</w:t>
            </w:r>
          </w:p>
        </w:tc>
        <w:tc>
          <w:tcPr>
            <w:tcW w:w="1152" w:type="dxa"/>
            <w:vAlign w:val="center"/>
          </w:tcPr>
          <w:p w14:paraId="30DE00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FC339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F869B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AEE876" w14:textId="77777777">
        <w:tc>
          <w:tcPr>
            <w:tcW w:w="2160" w:type="dxa"/>
            <w:vAlign w:val="center"/>
          </w:tcPr>
          <w:p w14:paraId="7BE7445C"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2368351"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colposcopy.</w:t>
            </w:r>
            <w:r w:rsidRPr="00CB2EC4">
              <w:rPr>
                <w:rFonts w:ascii="Times New Roman" w:hAnsi="Times New Roman" w:cs="Times New Roman"/>
              </w:rPr>
              <w:br/>
            </w:r>
            <w:r w:rsidRPr="00CB2EC4">
              <w:rPr>
                <w:rFonts w:ascii="Times New Roman" w:hAnsi="Times New Roman" w:cs="Times New Roman"/>
              </w:rPr>
              <w:br/>
              <w:t>according to figure 1 in the document (HyDE similarity: 0.757):</w:t>
            </w:r>
            <w:r w:rsidRPr="00CB2EC4">
              <w:rPr>
                <w:rFonts w:ascii="Times New Roman" w:hAnsi="Times New Roman" w:cs="Times New Roman"/>
              </w:rPr>
              <w:br/>
            </w:r>
            <w:r w:rsidRPr="00CB2EC4">
              <w:rPr>
                <w:rFonts w:ascii="Times New Roman" w:hAnsi="Times New Roman" w:cs="Times New Roman"/>
              </w:rPr>
              <w:br/>
              <w:t>- in the cytology pathway, cytology results ≥ ASC-US (including ASC-US, LSIL, HSIL, etc.) → refer for colposcopy.</w:t>
            </w:r>
            <w:r w:rsidRPr="00CB2EC4">
              <w:rPr>
                <w:rFonts w:ascii="Times New Roman" w:hAnsi="Times New Roman" w:cs="Times New Roman"/>
              </w:rPr>
              <w:br/>
              <w:t>- this rule applies to all HPV-positive patients, regardless of genotyping, as long as cytology is ≥ ASC-US, colposcopy referral is required.</w:t>
            </w:r>
            <w:r w:rsidRPr="00CB2EC4">
              <w:rPr>
                <w:rFonts w:ascii="Times New Roman" w:hAnsi="Times New Roman" w:cs="Times New Roman"/>
              </w:rPr>
              <w:br/>
            </w:r>
            <w:r w:rsidRPr="00CB2EC4">
              <w:rPr>
                <w:rFonts w:ascii="Times New Roman" w:hAnsi="Times New Roman" w:cs="Times New Roman"/>
              </w:rPr>
              <w:br/>
              <w:t>this information is directly derived from the explicit procedure in the document (HyDE similarity: 0.757) and is supported by other passages (e.g., HyDE similarity: 0.592), which state that indications for colposcopy include abnormal screening results.</w:t>
            </w:r>
          </w:p>
        </w:tc>
        <w:tc>
          <w:tcPr>
            <w:tcW w:w="1152" w:type="dxa"/>
            <w:vAlign w:val="center"/>
          </w:tcPr>
          <w:p w14:paraId="3058AB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A69F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33C8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B2D034" w14:textId="77777777">
        <w:tc>
          <w:tcPr>
            <w:tcW w:w="2160" w:type="dxa"/>
            <w:vAlign w:val="center"/>
          </w:tcPr>
          <w:p w14:paraId="2918C69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68772E3"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should be performed. According to Document Fragment 1 (similarity 0.698) and Document Fragment 2 (similarity 0.592):</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Document Fragment 1: In the cytology pathway, "cytology result ≥ ASC-US (including ASC-US, LSIL, HSIL, etc.) → refer for colposcopy."</w:t>
            </w:r>
            <w:r w:rsidRPr="00CB2EC4">
              <w:rPr>
                <w:rFonts w:ascii="Times New Roman" w:hAnsi="Times New Roman" w:cs="Times New Roman"/>
              </w:rPr>
              <w:br/>
              <w:t>- Document Fragment 2: Specifically for HPV-positive/ASC-US cases, "the cumulative 5-year risk of CINⅢ+ is 6.8%, higher than that of LSIL; based on equal-risk equal-management principle, direct referral to colposcopy is supported."</w:t>
            </w:r>
            <w:r w:rsidRPr="00CB2EC4">
              <w:rPr>
                <w:rFonts w:ascii="Times New Roman" w:hAnsi="Times New Roman" w:cs="Times New Roman"/>
              </w:rPr>
              <w:br/>
              <w:t>- Document Fragment 4 (similarity 0.572) also confirms in the co-testing algorithm: cytology ≥ ASC-US &amp; HPV(+) → further triage is needed, but ultimately directs to colposcopy (especially when HPV genotyping is positive or untyped).</w:t>
            </w:r>
            <w:r w:rsidRPr="00CB2EC4">
              <w:rPr>
                <w:rFonts w:ascii="Times New Roman" w:hAnsi="Times New Roman" w:cs="Times New Roman"/>
              </w:rPr>
              <w:br/>
            </w:r>
            <w:r w:rsidRPr="00CB2EC4">
              <w:rPr>
                <w:rFonts w:ascii="Times New Roman" w:hAnsi="Times New Roman" w:cs="Times New Roman"/>
              </w:rPr>
              <w:br/>
              <w:t>Therefore, based on the document content, the next step is to directly refer for colposcopy without additional triage.</w:t>
            </w:r>
          </w:p>
        </w:tc>
        <w:tc>
          <w:tcPr>
            <w:tcW w:w="1152" w:type="dxa"/>
            <w:vAlign w:val="center"/>
          </w:tcPr>
          <w:p w14:paraId="054F34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AA76B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DDF2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857AAD" w14:textId="77777777">
        <w:tc>
          <w:tcPr>
            <w:tcW w:w="2160" w:type="dxa"/>
            <w:vAlign w:val="center"/>
          </w:tcPr>
          <w:p w14:paraId="1AEA251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39CF6A3" w14:textId="77777777" w:rsidR="00922249" w:rsidRPr="00CB2EC4" w:rsidRDefault="003011D5">
            <w:pPr>
              <w:rPr>
                <w:rFonts w:ascii="Times New Roman" w:hAnsi="Times New Roman" w:cs="Times New Roman"/>
              </w:rPr>
            </w:pPr>
            <w:r w:rsidRPr="00CB2EC4">
              <w:rPr>
                <w:rFonts w:ascii="Times New Roman" w:hAnsi="Times New Roman" w:cs="Times New Roman"/>
              </w:rPr>
              <w:t>yes, according to the process flow in Figure 1 and Figure 3 of the document, when HPV is positive and the cytology result is ≥ASC-US, the next step should be referral for colposcopy. The specific descriptions are as follows:</w:t>
            </w:r>
            <w:r w:rsidRPr="00CB2EC4">
              <w:rPr>
                <w:rFonts w:ascii="Times New Roman" w:hAnsi="Times New Roman" w:cs="Times New Roman"/>
              </w:rPr>
              <w:br/>
            </w:r>
            <w:r w:rsidRPr="00CB2EC4">
              <w:rPr>
                <w:rFonts w:ascii="Times New Roman" w:hAnsi="Times New Roman" w:cs="Times New Roman"/>
              </w:rPr>
              <w:br/>
              <w:t>- Figure 1 cytology pathway: "Cytology result ≥ ASC-US (including ASC-US, LSIL, HSIL, etc.) → refer for colposcopy".</w:t>
            </w:r>
            <w:r w:rsidRPr="00CB2EC4">
              <w:rPr>
                <w:rFonts w:ascii="Times New Roman" w:hAnsi="Times New Roman" w:cs="Times New Roman"/>
              </w:rPr>
              <w:br/>
              <w:t>- Figure 3 pathway: "Cytology ≥ ASC-US &amp; HPV (+) → further triage is needed", but in the case of HPV untyped, direct referral to colposcopy is indicated; even with typing, cytology ≥ ASC-US typically directs to colposcopy (e.g., management based on cytology result continues even if HPV typing is negative).</w:t>
            </w:r>
            <w:r w:rsidRPr="00CB2EC4">
              <w:rPr>
                <w:rFonts w:ascii="Times New Roman" w:hAnsi="Times New Roman" w:cs="Times New Roman"/>
              </w:rPr>
              <w:br/>
              <w:t xml:space="preserve">- The document also emphasizes: "HPV </w:t>
            </w:r>
            <w:r w:rsidRPr="00CB2EC4">
              <w:rPr>
                <w:rFonts w:ascii="Times New Roman" w:hAnsi="Times New Roman" w:cs="Times New Roman"/>
              </w:rPr>
              <w:lastRenderedPageBreak/>
              <w:t>positive/ASC-US... supports direct referral to colposcopy" (see risk discussion section).</w:t>
            </w:r>
            <w:r w:rsidRPr="00CB2EC4">
              <w:rPr>
                <w:rFonts w:ascii="Times New Roman" w:hAnsi="Times New Roman" w:cs="Times New Roman"/>
              </w:rPr>
              <w:br/>
            </w:r>
            <w:r w:rsidRPr="00CB2EC4">
              <w:rPr>
                <w:rFonts w:ascii="Times New Roman" w:hAnsi="Times New Roman" w:cs="Times New Roman"/>
              </w:rPr>
              <w:br/>
              <w:t>Therefore, regardless of HPV genotyping status, cytology ≥ ASC-US combined with HPV positivity requires referral for colposcopy.</w:t>
            </w:r>
          </w:p>
        </w:tc>
        <w:tc>
          <w:tcPr>
            <w:tcW w:w="1152" w:type="dxa"/>
            <w:vAlign w:val="center"/>
          </w:tcPr>
          <w:p w14:paraId="57AE8F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EC5E0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50C4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150011" w14:textId="77777777">
        <w:tc>
          <w:tcPr>
            <w:tcW w:w="2160" w:type="dxa"/>
            <w:vAlign w:val="center"/>
          </w:tcPr>
          <w:p w14:paraId="04C03E3B"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E2008D1"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should be performed. according to document fragment 1 (similarity 0.698) and document fragment 2 (similarity 0.592):</w:t>
            </w:r>
            <w:r w:rsidRPr="00CB2EC4">
              <w:rPr>
                <w:rFonts w:ascii="Times New Roman" w:hAnsi="Times New Roman" w:cs="Times New Roman"/>
              </w:rPr>
              <w:br/>
              <w:t>- document fragment 1: in the cytology pathway, "cytology result ≥ ASC-US (including ASC-US, LSIL, HSIL, etc.) → refer for colposcopy".</w:t>
            </w:r>
            <w:r w:rsidRPr="00CB2EC4">
              <w:rPr>
                <w:rFonts w:ascii="Times New Roman" w:hAnsi="Times New Roman" w:cs="Times New Roman"/>
              </w:rPr>
              <w:br/>
              <w:t>- document fragment 2: specifically for HPV-positive/ASC-US cases, "the cumulative 5-year risk of CINⅢ+ is 6.8%, higher than that for LSIL; based on equal-risk equal-management principle, direct referral to colposcopy is supported".</w:t>
            </w:r>
            <w:r w:rsidRPr="00CB2EC4">
              <w:rPr>
                <w:rFonts w:ascii="Times New Roman" w:hAnsi="Times New Roman" w:cs="Times New Roman"/>
              </w:rPr>
              <w:br/>
              <w:t>- document fragment 4 (similarity 0.572) also confirms in the co-testing algorithm: cytology ≥ ASC-US &amp; HPV (+) → further triage is needed, but ultimately directs to colposcopy (especially when HPV genotyping is positive or untyped).</w:t>
            </w:r>
            <w:r w:rsidRPr="00CB2EC4">
              <w:rPr>
                <w:rFonts w:ascii="Times New Roman" w:hAnsi="Times New Roman" w:cs="Times New Roman"/>
              </w:rPr>
              <w:br/>
            </w:r>
            <w:r w:rsidRPr="00CB2EC4">
              <w:rPr>
                <w:rFonts w:ascii="Times New Roman" w:hAnsi="Times New Roman" w:cs="Times New Roman"/>
              </w:rPr>
              <w:br/>
              <w:t>therefore, based on the document content, the next step is to directly refer for colposcopy without additional triage.</w:t>
            </w:r>
          </w:p>
        </w:tc>
        <w:tc>
          <w:tcPr>
            <w:tcW w:w="1152" w:type="dxa"/>
            <w:vAlign w:val="center"/>
          </w:tcPr>
          <w:p w14:paraId="0DFF1A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A02C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DCC2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545B42" w14:textId="77777777">
        <w:tc>
          <w:tcPr>
            <w:tcW w:w="2160" w:type="dxa"/>
            <w:vAlign w:val="center"/>
          </w:tcPr>
          <w:p w14:paraId="29B07ED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2FDEE77"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immediate referral for colposcopy. The document clearly states that regardless of HPV genotyping results, a cytology result ≥ ASC-US (including ASC-US, LSIL, HSIL, etc.) requires direct referral to colposcopy to evaluate for high-grade lesions or cancer risk.</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This management is based on high-risk evidence: when HPV positivity is combined with cytology ≥ ASC-US, the 5-year cumulative risk of CIN3+ is elevated (document cites approximately 6.8%), supporting direct colposcopy.</w:t>
            </w:r>
            <w:r w:rsidRPr="00CB2EC4">
              <w:rPr>
                <w:rFonts w:ascii="Times New Roman" w:hAnsi="Times New Roman" w:cs="Times New Roman"/>
              </w:rPr>
              <w:br/>
            </w:r>
            <w:r w:rsidRPr="00CB2EC4">
              <w:rPr>
                <w:rFonts w:ascii="Times New Roman" w:hAnsi="Times New Roman" w:cs="Times New Roman"/>
              </w:rPr>
              <w:br/>
              <w:t>Key evidence:</w:t>
            </w:r>
            <w:r w:rsidRPr="00CB2EC4">
              <w:rPr>
                <w:rFonts w:ascii="Times New Roman" w:hAnsi="Times New Roman" w:cs="Times New Roman"/>
              </w:rPr>
              <w:br/>
              <w:t>- "Cytology result ≥ ASC-US (including ASC-US, LSIL, HSIL, etc. abnormalities) → refer for colposcopy" (similarity 0.668).</w:t>
            </w:r>
            <w:r w:rsidRPr="00CB2EC4">
              <w:rPr>
                <w:rFonts w:ascii="Times New Roman" w:hAnsi="Times New Roman" w:cs="Times New Roman"/>
              </w:rPr>
              <w:br/>
              <w:t>- "HPV positive / ASC-US... based on equal risk equal management, supports direct referral to colposcopy" (similarity 0.524).</w:t>
            </w:r>
          </w:p>
        </w:tc>
        <w:tc>
          <w:tcPr>
            <w:tcW w:w="1152" w:type="dxa"/>
            <w:vAlign w:val="center"/>
          </w:tcPr>
          <w:p w14:paraId="12B243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D6E0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D780B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21B9A6" w14:textId="77777777">
        <w:tc>
          <w:tcPr>
            <w:tcW w:w="2160" w:type="dxa"/>
            <w:vAlign w:val="center"/>
          </w:tcPr>
          <w:p w14:paraId="7C3DD7F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B938C53"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colposcopy.</w:t>
            </w:r>
            <w:r w:rsidRPr="00CB2EC4">
              <w:rPr>
                <w:rFonts w:ascii="Times New Roman" w:hAnsi="Times New Roman" w:cs="Times New Roman"/>
              </w:rPr>
              <w:br/>
            </w:r>
            <w:r w:rsidRPr="00CB2EC4">
              <w:rPr>
                <w:rFonts w:ascii="Times New Roman" w:hAnsi="Times New Roman" w:cs="Times New Roman"/>
              </w:rPr>
              <w:br/>
              <w:t>Basis:</w:t>
            </w:r>
            <w:r w:rsidRPr="00CB2EC4">
              <w:rPr>
                <w:rFonts w:ascii="Times New Roman" w:hAnsi="Times New Roman" w:cs="Times New Roman"/>
              </w:rPr>
              <w:br/>
            </w:r>
            <w:r w:rsidRPr="00CB2EC4">
              <w:rPr>
                <w:rFonts w:ascii="Times New Roman" w:hAnsi="Times New Roman" w:cs="Times New Roman"/>
              </w:rPr>
              <w:br/>
              <w:t>- Document excerpt 2 (relevance: 0.9771) clearly states: "Cytology result ≥ ASC-US (including ASC-US, LSIL, HSIL, etc.) → refer for colposcopy."</w:t>
            </w:r>
            <w:r w:rsidRPr="00CB2EC4">
              <w:rPr>
                <w:rFonts w:ascii="Times New Roman" w:hAnsi="Times New Roman" w:cs="Times New Roman"/>
              </w:rPr>
              <w:br/>
              <w:t>- Document excerpt 3 (relevance: 0.9723) further confirms: "Cytology ≥ ASC-US &amp; HPV (+) should undergo further triage... If HPV is positive by non-genotyping test: refer directly for colposcopy."</w:t>
            </w:r>
            <w:r w:rsidRPr="00CB2EC4">
              <w:rPr>
                <w:rFonts w:ascii="Times New Roman" w:hAnsi="Times New Roman" w:cs="Times New Roman"/>
              </w:rPr>
              <w:br/>
              <w:t>- Document excerpt 4 (relevance: 0.9493) also mentions similar management, supporting referral for colposcopy.</w:t>
            </w:r>
            <w:r w:rsidRPr="00CB2EC4">
              <w:rPr>
                <w:rFonts w:ascii="Times New Roman" w:hAnsi="Times New Roman" w:cs="Times New Roman"/>
              </w:rPr>
              <w:br/>
            </w:r>
            <w:r w:rsidRPr="00CB2EC4">
              <w:rPr>
                <w:rFonts w:ascii="Times New Roman" w:hAnsi="Times New Roman" w:cs="Times New Roman"/>
              </w:rPr>
              <w:br/>
              <w:t>This step is based on the combination of abnormal cytology (≥ASC-US) and HPV positivity, indicating higher risk, requiring colposcopic evaluation to rule out high-grade lesions.</w:t>
            </w:r>
          </w:p>
        </w:tc>
        <w:tc>
          <w:tcPr>
            <w:tcW w:w="1152" w:type="dxa"/>
            <w:vAlign w:val="center"/>
          </w:tcPr>
          <w:p w14:paraId="167B4B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1611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B740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DCFAE4" w14:textId="77777777">
        <w:tc>
          <w:tcPr>
            <w:tcW w:w="2160" w:type="dxa"/>
            <w:vAlign w:val="center"/>
          </w:tcPr>
          <w:p w14:paraId="25DBD73E"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DDD395D"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should be performed next.</w:t>
            </w:r>
            <w:r w:rsidRPr="00CB2EC4">
              <w:rPr>
                <w:rFonts w:ascii="Times New Roman" w:hAnsi="Times New Roman" w:cs="Times New Roman"/>
              </w:rPr>
              <w:br/>
            </w:r>
            <w:r w:rsidRPr="00CB2EC4">
              <w:rPr>
                <w:rFonts w:ascii="Times New Roman" w:hAnsi="Times New Roman" w:cs="Times New Roman"/>
              </w:rPr>
              <w:lastRenderedPageBreak/>
              <w:br/>
              <w:t>according to figure 1 in segment 1 (from original block 0-1) in the cytology pathway:</w:t>
            </w:r>
            <w:r w:rsidRPr="00CB2EC4">
              <w:rPr>
                <w:rFonts w:ascii="Times New Roman" w:hAnsi="Times New Roman" w:cs="Times New Roman"/>
              </w:rPr>
              <w:br/>
              <w:t>- "cytology result ≥ ASC-US (including ASC-US, LSIL, HSIL, etc.) → refer for colposcopy".</w:t>
            </w:r>
            <w:r w:rsidRPr="00CB2EC4">
              <w:rPr>
                <w:rFonts w:ascii="Times New Roman" w:hAnsi="Times New Roman" w:cs="Times New Roman"/>
              </w:rPr>
              <w:br/>
            </w:r>
            <w:r w:rsidRPr="00CB2EC4">
              <w:rPr>
                <w:rFonts w:ascii="Times New Roman" w:hAnsi="Times New Roman" w:cs="Times New Roman"/>
              </w:rPr>
              <w:br/>
              <w:t>furthermore, figure 3 in segment 2 (from original block 58-60) supports: for "cytology ≥ ASC-US &amp; HPV (+) → further triage is needed", but ultimately, regardless of HPV genotyping, cytology ≥ ASC-US with HPV positive requires referral for colposcopy (e.g., direct referral when HPV is not genotyped).</w:t>
            </w:r>
            <w:r w:rsidRPr="00CB2EC4">
              <w:rPr>
                <w:rFonts w:ascii="Times New Roman" w:hAnsi="Times New Roman" w:cs="Times New Roman"/>
              </w:rPr>
              <w:br/>
            </w:r>
            <w:r w:rsidRPr="00CB2EC4">
              <w:rPr>
                <w:rFonts w:ascii="Times New Roman" w:hAnsi="Times New Roman" w:cs="Times New Roman"/>
              </w:rPr>
              <w:br/>
              <w:t>therefore, the next step is to perform colposcopy.</w:t>
            </w:r>
          </w:p>
        </w:tc>
        <w:tc>
          <w:tcPr>
            <w:tcW w:w="1152" w:type="dxa"/>
            <w:vAlign w:val="center"/>
          </w:tcPr>
          <w:p w14:paraId="2AEEAE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1B4DE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2D3CF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F1B855" w14:textId="77777777">
        <w:tc>
          <w:tcPr>
            <w:tcW w:w="2160" w:type="dxa"/>
            <w:vAlign w:val="center"/>
          </w:tcPr>
          <w:p w14:paraId="7291A1FD"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8006AB6" w14:textId="77777777" w:rsidR="00922249" w:rsidRPr="00CB2EC4" w:rsidRDefault="003011D5">
            <w:pPr>
              <w:rPr>
                <w:rFonts w:ascii="Times New Roman" w:hAnsi="Times New Roman" w:cs="Times New Roman"/>
              </w:rPr>
            </w:pPr>
            <w:r w:rsidRPr="00CB2EC4">
              <w:rPr>
                <w:rFonts w:ascii="Times New Roman" w:hAnsi="Times New Roman" w:cs="Times New Roman"/>
              </w:rPr>
              <w:t>yes, when initial screening shows high-risk HPV positivity with a cytology result of ≥ASC-US (atypical squamous cells of undetermined significance), referral for colposcopy is indicated immediately, as this combination signifies a significantly increased risk of high-grade squamous intraepithelial lesion (HSIL) of the cervix (approximately 10–20%).</w:t>
            </w:r>
          </w:p>
        </w:tc>
        <w:tc>
          <w:tcPr>
            <w:tcW w:w="1152" w:type="dxa"/>
            <w:vAlign w:val="center"/>
          </w:tcPr>
          <w:p w14:paraId="230AA6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8F3E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64ED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C3BEDD8" w14:textId="77777777">
        <w:tc>
          <w:tcPr>
            <w:tcW w:w="10656" w:type="dxa"/>
            <w:gridSpan w:val="5"/>
            <w:tcBorders>
              <w:bottom w:val="single" w:sz="6" w:space="0" w:color="auto"/>
            </w:tcBorders>
            <w:vAlign w:val="center"/>
          </w:tcPr>
          <w:p w14:paraId="1A3988A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5: When the initial screening shows positive HPV with high-risk HPV types and upon typing it turns out to be HPV16/18 positive, is the next step to perform a colposcopy?</w:t>
            </w:r>
          </w:p>
        </w:tc>
      </w:tr>
      <w:tr w:rsidR="00922249" w:rsidRPr="00CB2EC4" w14:paraId="58A255D4" w14:textId="77777777">
        <w:tc>
          <w:tcPr>
            <w:tcW w:w="2160" w:type="dxa"/>
            <w:vAlign w:val="center"/>
          </w:tcPr>
          <w:p w14:paraId="1220516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CDEF53D" w14:textId="77777777" w:rsidR="00922249" w:rsidRPr="00CB2EC4" w:rsidRDefault="003011D5">
            <w:pPr>
              <w:rPr>
                <w:rFonts w:ascii="Times New Roman" w:hAnsi="Times New Roman" w:cs="Times New Roman"/>
              </w:rPr>
            </w:pPr>
            <w:r w:rsidRPr="00CB2EC4">
              <w:rPr>
                <w:rFonts w:ascii="Times New Roman" w:hAnsi="Times New Roman" w:cs="Times New Roman"/>
              </w:rPr>
              <w:t>yes, immediate referral for colposcopy is indicated when HPV16/18 is detected following initial high-risk HPV screening.</w:t>
            </w:r>
            <w:r w:rsidRPr="00CB2EC4">
              <w:rPr>
                <w:rFonts w:ascii="Times New Roman" w:hAnsi="Times New Roman" w:cs="Times New Roman"/>
              </w:rPr>
              <w:br/>
            </w:r>
            <w:r w:rsidRPr="00CB2EC4">
              <w:rPr>
                <w:rFonts w:ascii="Times New Roman" w:hAnsi="Times New Roman" w:cs="Times New Roman"/>
              </w:rPr>
              <w:br/>
              <w:t>According to the context (Figure 1 HPV genotyping pathway):</w:t>
            </w:r>
            <w:r w:rsidRPr="00CB2EC4">
              <w:rPr>
                <w:rFonts w:ascii="Times New Roman" w:hAnsi="Times New Roman" w:cs="Times New Roman"/>
              </w:rPr>
              <w:br/>
            </w:r>
            <w:r w:rsidRPr="00CB2EC4">
              <w:rPr>
                <w:rFonts w:ascii="Times New Roman" w:hAnsi="Times New Roman" w:cs="Times New Roman"/>
              </w:rPr>
              <w:br/>
              <w:t>- HPV16/18 positive → immediate referral for colposcopy.</w:t>
            </w:r>
            <w:r w:rsidRPr="00CB2EC4">
              <w:rPr>
                <w:rFonts w:ascii="Times New Roman" w:hAnsi="Times New Roman" w:cs="Times New Roman"/>
              </w:rPr>
              <w:br/>
              <w:t xml:space="preserve">- Specific description: "HPV16/18 positive → </w:t>
            </w:r>
            <w:r w:rsidRPr="00CB2EC4">
              <w:rPr>
                <w:rFonts w:ascii="Times New Roman" w:hAnsi="Times New Roman" w:cs="Times New Roman"/>
              </w:rPr>
              <w:lastRenderedPageBreak/>
              <w:t>immediate referral for colposcopy".</w:t>
            </w:r>
            <w:r w:rsidRPr="00CB2EC4">
              <w:rPr>
                <w:rFonts w:ascii="Times New Roman" w:hAnsi="Times New Roman" w:cs="Times New Roman"/>
              </w:rPr>
              <w:br/>
            </w:r>
            <w:r w:rsidRPr="00CB2EC4">
              <w:rPr>
                <w:rFonts w:ascii="Times New Roman" w:hAnsi="Times New Roman" w:cs="Times New Roman"/>
              </w:rPr>
              <w:br/>
              <w:t>Therefore, the next step should be colposcopy. The document emphasizes that HPV16/18 positivity is a high-risk factor requiring direct referral.</w:t>
            </w:r>
          </w:p>
        </w:tc>
        <w:tc>
          <w:tcPr>
            <w:tcW w:w="1152" w:type="dxa"/>
            <w:vAlign w:val="center"/>
          </w:tcPr>
          <w:p w14:paraId="107320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BBDDA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7410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2CB176" w14:textId="77777777">
        <w:tc>
          <w:tcPr>
            <w:tcW w:w="2160" w:type="dxa"/>
            <w:vAlign w:val="center"/>
          </w:tcPr>
          <w:p w14:paraId="66C38985"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67F958B"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immediate referral for colposcopy.</w:t>
            </w:r>
            <w:r w:rsidRPr="00CB2EC4">
              <w:rPr>
                <w:rFonts w:ascii="Times New Roman" w:hAnsi="Times New Roman" w:cs="Times New Roman"/>
              </w:rPr>
              <w:br/>
            </w:r>
            <w:r w:rsidRPr="00CB2EC4">
              <w:rPr>
                <w:rFonts w:ascii="Times New Roman" w:hAnsi="Times New Roman" w:cs="Times New Roman"/>
              </w:rPr>
              <w:br/>
              <w:t>Based on document fragment 1 (block 1, topic "HPV Positive and Cytology Abnormality Management Flow") and document fragment 3 (block 59, topic "Guidelines for Management of Abnormal Co-testing"):</w:t>
            </w:r>
            <w:r w:rsidRPr="00CB2EC4">
              <w:rPr>
                <w:rFonts w:ascii="Times New Roman" w:hAnsi="Times New Roman" w:cs="Times New Roman"/>
              </w:rPr>
              <w:br/>
              <w:t>- Document fragment 1: In the HPV genotyping pathway, "HPV16/18 positive → immediate referral for colposcopy".</w:t>
            </w:r>
            <w:r w:rsidRPr="00CB2EC4">
              <w:rPr>
                <w:rFonts w:ascii="Times New Roman" w:hAnsi="Times New Roman" w:cs="Times New Roman"/>
              </w:rPr>
              <w:br/>
              <w:t>- Document fragment 3: Explicitly states "HPV genotyping positive for HPV16, 18 → immediate referral for colposcopy", emphasizing this is the standard procedure without waiting for cytology results.</w:t>
            </w:r>
            <w:r w:rsidRPr="00CB2EC4">
              <w:rPr>
                <w:rFonts w:ascii="Times New Roman" w:hAnsi="Times New Roman" w:cs="Times New Roman"/>
              </w:rPr>
              <w:br/>
            </w:r>
            <w:r w:rsidRPr="00CB2EC4">
              <w:rPr>
                <w:rFonts w:ascii="Times New Roman" w:hAnsi="Times New Roman" w:cs="Times New Roman"/>
              </w:rPr>
              <w:br/>
              <w:t>This management is based on the high oncogenic risk of HPV16/18, and both documents consistently recommend direct referral to colposcopy for early detection of high-grade lesions.</w:t>
            </w:r>
          </w:p>
        </w:tc>
        <w:tc>
          <w:tcPr>
            <w:tcW w:w="1152" w:type="dxa"/>
            <w:vAlign w:val="center"/>
          </w:tcPr>
          <w:p w14:paraId="1798FA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D73D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5313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E8FECE" w14:textId="77777777">
        <w:tc>
          <w:tcPr>
            <w:tcW w:w="2160" w:type="dxa"/>
            <w:vAlign w:val="center"/>
          </w:tcPr>
          <w:p w14:paraId="09A0E90B"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D18F122"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to perform a colposcopy.</w:t>
            </w:r>
            <w:r w:rsidRPr="00CB2EC4">
              <w:rPr>
                <w:rFonts w:ascii="Times New Roman" w:hAnsi="Times New Roman" w:cs="Times New Roman"/>
              </w:rPr>
              <w:br/>
            </w:r>
            <w:r w:rsidRPr="00CB2EC4">
              <w:rPr>
                <w:rFonts w:ascii="Times New Roman" w:hAnsi="Times New Roman" w:cs="Times New Roman"/>
              </w:rPr>
              <w:br/>
              <w:t>- Fragment 1: In the HPV genotyping pathway, "HPV16/18 positive → immediate referral for colposcopy".</w:t>
            </w:r>
            <w:r w:rsidRPr="00CB2EC4">
              <w:rPr>
                <w:rFonts w:ascii="Times New Roman" w:hAnsi="Times New Roman" w:cs="Times New Roman"/>
              </w:rPr>
              <w:br/>
              <w:t xml:space="preserve">- Fragment 2: When HPV genotyping test is positive, "HPV16/18 positive → immediate referral for </w:t>
            </w:r>
            <w:r w:rsidRPr="00CB2EC4">
              <w:rPr>
                <w:rFonts w:ascii="Times New Roman" w:hAnsi="Times New Roman" w:cs="Times New Roman"/>
              </w:rPr>
              <w:lastRenderedPageBreak/>
              <w:t>colposcopy".</w:t>
            </w:r>
            <w:r w:rsidRPr="00CB2EC4">
              <w:rPr>
                <w:rFonts w:ascii="Times New Roman" w:hAnsi="Times New Roman" w:cs="Times New Roman"/>
              </w:rPr>
              <w:br/>
              <w:t>- Fragment 3: When HPV genotyping shows HPV16 or HPV18 positive, "immediate referral for colposcopy".</w:t>
            </w:r>
            <w:r w:rsidRPr="00CB2EC4">
              <w:rPr>
                <w:rFonts w:ascii="Times New Roman" w:hAnsi="Times New Roman" w:cs="Times New Roman"/>
              </w:rPr>
              <w:br/>
              <w:t>- The documents emphasize that HPV16/18 positivity carries a high risk of carcinogenesis, making colposcopy an immediate and necessary step without awaiting cytology results.</w:t>
            </w:r>
          </w:p>
        </w:tc>
        <w:tc>
          <w:tcPr>
            <w:tcW w:w="1152" w:type="dxa"/>
            <w:vAlign w:val="center"/>
          </w:tcPr>
          <w:p w14:paraId="40E790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EA50E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23F7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FAE548" w14:textId="77777777">
        <w:tc>
          <w:tcPr>
            <w:tcW w:w="2160" w:type="dxa"/>
            <w:vAlign w:val="center"/>
          </w:tcPr>
          <w:p w14:paraId="6083E1C0"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E787671" w14:textId="77777777" w:rsidR="00922249" w:rsidRPr="00CB2EC4" w:rsidRDefault="003011D5">
            <w:pPr>
              <w:rPr>
                <w:rFonts w:ascii="Times New Roman" w:hAnsi="Times New Roman" w:cs="Times New Roman"/>
              </w:rPr>
            </w:pPr>
            <w:r w:rsidRPr="00CB2EC4">
              <w:rPr>
                <w:rFonts w:ascii="Times New Roman" w:hAnsi="Times New Roman" w:cs="Times New Roman"/>
              </w:rPr>
              <w:t>yes, when HPV16/18 is positive, is a colposcopy examination required?</w:t>
            </w:r>
            <w:r w:rsidRPr="00CB2EC4">
              <w:rPr>
                <w:rFonts w:ascii="Times New Roman" w:hAnsi="Times New Roman" w:cs="Times New Roman"/>
              </w:rPr>
              <w:br/>
            </w:r>
            <w:r w:rsidRPr="00CB2EC4">
              <w:rPr>
                <w:rFonts w:ascii="Times New Roman" w:hAnsi="Times New Roman" w:cs="Times New Roman"/>
              </w:rPr>
              <w:br/>
              <w:t xml:space="preserve">Knowledge base reference: Figure 1, Figure 3 &amp; Text 2.1  </w:t>
            </w:r>
            <w:r w:rsidRPr="00CB2EC4">
              <w:rPr>
                <w:rFonts w:ascii="Times New Roman" w:hAnsi="Times New Roman" w:cs="Times New Roman"/>
              </w:rPr>
              <w:br/>
            </w:r>
            <w:r w:rsidRPr="00CB2EC4">
              <w:rPr>
                <w:rFonts w:ascii="Times New Roman" w:hAnsi="Times New Roman" w:cs="Times New Roman"/>
              </w:rPr>
              <w:br/>
              <w:t xml:space="preserve">- Must be referred for colposcopy immediately.  </w:t>
            </w:r>
            <w:r w:rsidRPr="00CB2EC4">
              <w:rPr>
                <w:rFonts w:ascii="Times New Roman" w:hAnsi="Times New Roman" w:cs="Times New Roman"/>
              </w:rPr>
              <w:br/>
              <w:t xml:space="preserve">  - HPV16/18 are the highest-risk types; consensus requires direct colposcopic evaluation regardless of cytology results.</w:t>
            </w:r>
          </w:p>
        </w:tc>
        <w:tc>
          <w:tcPr>
            <w:tcW w:w="1152" w:type="dxa"/>
            <w:vAlign w:val="center"/>
          </w:tcPr>
          <w:p w14:paraId="2E6491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3E6E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D2A18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900B57" w14:textId="77777777">
        <w:tc>
          <w:tcPr>
            <w:tcW w:w="2160" w:type="dxa"/>
            <w:vAlign w:val="center"/>
          </w:tcPr>
          <w:p w14:paraId="6E3ABB8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E38B848" w14:textId="77777777" w:rsidR="00922249" w:rsidRPr="00CB2EC4" w:rsidRDefault="003011D5">
            <w:pPr>
              <w:rPr>
                <w:rFonts w:ascii="Times New Roman" w:hAnsi="Times New Roman" w:cs="Times New Roman"/>
              </w:rPr>
            </w:pPr>
            <w:r w:rsidRPr="00CB2EC4">
              <w:rPr>
                <w:rFonts w:ascii="Times New Roman" w:hAnsi="Times New Roman" w:cs="Times New Roman"/>
              </w:rPr>
              <w:t>yes.</w:t>
            </w:r>
            <w:r w:rsidRPr="00CB2EC4">
              <w:rPr>
                <w:rFonts w:ascii="Times New Roman" w:hAnsi="Times New Roman" w:cs="Times New Roman"/>
              </w:rPr>
              <w:br/>
            </w:r>
            <w:r w:rsidRPr="00CB2EC4">
              <w:rPr>
                <w:rFonts w:ascii="Times New Roman" w:hAnsi="Times New Roman" w:cs="Times New Roman"/>
              </w:rPr>
              <w:br/>
              <w:t>According to document excerpts 1, 3, and 5:</w:t>
            </w:r>
            <w:r w:rsidRPr="00CB2EC4">
              <w:rPr>
                <w:rFonts w:ascii="Times New Roman" w:hAnsi="Times New Roman" w:cs="Times New Roman"/>
              </w:rPr>
              <w:br/>
              <w:t>- Individuals positive for HPV16/18 (regardless of cytology results) should be immediately referred for colposcopy (explicitly stated in document excerpts 1 and 3).</w:t>
            </w:r>
            <w:r w:rsidRPr="00CB2EC4">
              <w:rPr>
                <w:rFonts w:ascii="Times New Roman" w:hAnsi="Times New Roman" w:cs="Times New Roman"/>
              </w:rPr>
              <w:br/>
              <w:t>- Document excerpt 5 also emphasizes: if HPV16/18 is positive on genotyping testing, refer directly to colposcopy.</w:t>
            </w:r>
            <w:r w:rsidRPr="00CB2EC4">
              <w:rPr>
                <w:rFonts w:ascii="Times New Roman" w:hAnsi="Times New Roman" w:cs="Times New Roman"/>
              </w:rPr>
              <w:br/>
            </w:r>
            <w:r w:rsidRPr="00CB2EC4">
              <w:rPr>
                <w:rFonts w:ascii="Times New Roman" w:hAnsi="Times New Roman" w:cs="Times New Roman"/>
              </w:rPr>
              <w:br/>
              <w:t>All responses are based solely on the provided contextual information, without reliance on external knowledge.</w:t>
            </w:r>
          </w:p>
        </w:tc>
        <w:tc>
          <w:tcPr>
            <w:tcW w:w="1152" w:type="dxa"/>
            <w:vAlign w:val="center"/>
          </w:tcPr>
          <w:p w14:paraId="410280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026F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8828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967322" w14:textId="77777777">
        <w:tc>
          <w:tcPr>
            <w:tcW w:w="2160" w:type="dxa"/>
            <w:vAlign w:val="center"/>
          </w:tcPr>
          <w:p w14:paraId="1B0FEE4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D352CBA"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colposcopy.</w:t>
            </w:r>
            <w:r w:rsidRPr="00CB2EC4">
              <w:rPr>
                <w:rFonts w:ascii="Times New Roman" w:hAnsi="Times New Roman" w:cs="Times New Roman"/>
              </w:rPr>
              <w:br/>
            </w:r>
            <w:r w:rsidRPr="00CB2EC4">
              <w:rPr>
                <w:rFonts w:ascii="Times New Roman" w:hAnsi="Times New Roman" w:cs="Times New Roman"/>
              </w:rPr>
              <w:lastRenderedPageBreak/>
              <w:br/>
              <w:t>according to the contextual information (document 1, document 2, and document 6):</w:t>
            </w:r>
            <w:r w:rsidRPr="00CB2EC4">
              <w:rPr>
                <w:rFonts w:ascii="Times New Roman" w:hAnsi="Times New Roman" w:cs="Times New Roman"/>
              </w:rPr>
              <w:br/>
              <w:t>- document 1 HPV genotyping pathway: HPV16/18 positive → immediate referral for colposcopy (no cytology required).</w:t>
            </w:r>
            <w:r w:rsidRPr="00CB2EC4">
              <w:rPr>
                <w:rFonts w:ascii="Times New Roman" w:hAnsi="Times New Roman" w:cs="Times New Roman"/>
              </w:rPr>
              <w:br/>
              <w:t>- document 2: if HPV16/18 is positive upon genotyping, immediate referral for colposcopy.</w:t>
            </w:r>
            <w:r w:rsidRPr="00CB2EC4">
              <w:rPr>
                <w:rFonts w:ascii="Times New Roman" w:hAnsi="Times New Roman" w:cs="Times New Roman"/>
              </w:rPr>
              <w:br/>
              <w:t>- document 6: using high-risk HPV as primary screening, if HPV16/18 positive, refer for colposcopy (figure 1).</w:t>
            </w:r>
            <w:r w:rsidRPr="00CB2EC4">
              <w:rPr>
                <w:rFonts w:ascii="Times New Roman" w:hAnsi="Times New Roman" w:cs="Times New Roman"/>
              </w:rPr>
              <w:br/>
              <w:t>HPV16/18 are the highest-risk subtypes among high-risk types; direct referral for colposcopy is the standard procedure to rule out high-grade lesions or early cancer.</w:t>
            </w:r>
          </w:p>
        </w:tc>
        <w:tc>
          <w:tcPr>
            <w:tcW w:w="1152" w:type="dxa"/>
            <w:vAlign w:val="center"/>
          </w:tcPr>
          <w:p w14:paraId="0C01BC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BBA1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E3948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0B2FDF" w14:textId="77777777">
        <w:tc>
          <w:tcPr>
            <w:tcW w:w="2160" w:type="dxa"/>
            <w:vAlign w:val="center"/>
          </w:tcPr>
          <w:p w14:paraId="74CBA0C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2E348A2"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colposcopy.</w:t>
            </w:r>
            <w:r w:rsidRPr="00CB2EC4">
              <w:rPr>
                <w:rFonts w:ascii="Times New Roman" w:hAnsi="Times New Roman" w:cs="Times New Roman"/>
              </w:rPr>
              <w:br/>
            </w:r>
            <w:r w:rsidRPr="00CB2EC4">
              <w:rPr>
                <w:rFonts w:ascii="Times New Roman" w:hAnsi="Times New Roman" w:cs="Times New Roman"/>
              </w:rPr>
              <w:br/>
              <w:t>according to figure 1 in the document (HyDE similarity: 0.757):</w:t>
            </w:r>
            <w:r w:rsidRPr="00CB2EC4">
              <w:rPr>
                <w:rFonts w:ascii="Times New Roman" w:hAnsi="Times New Roman" w:cs="Times New Roman"/>
              </w:rPr>
              <w:br/>
            </w:r>
            <w:r w:rsidRPr="00CB2EC4">
              <w:rPr>
                <w:rFonts w:ascii="Times New Roman" w:hAnsi="Times New Roman" w:cs="Times New Roman"/>
              </w:rPr>
              <w:br/>
              <w:t>- in the HPV genotyping pathway, HPV16/18 positive → immediate referral for colposcopy.</w:t>
            </w:r>
            <w:r w:rsidRPr="00CB2EC4">
              <w:rPr>
                <w:rFonts w:ascii="Times New Roman" w:hAnsi="Times New Roman" w:cs="Times New Roman"/>
              </w:rPr>
              <w:br/>
              <w:t>- this rule is mandatory; no need to wait for cytology results, as HPV16/18 types are associated with high-risk lesions (e.g., CIN III+).</w:t>
            </w:r>
            <w:r w:rsidRPr="00CB2EC4">
              <w:rPr>
                <w:rFonts w:ascii="Times New Roman" w:hAnsi="Times New Roman" w:cs="Times New Roman"/>
              </w:rPr>
              <w:br/>
            </w:r>
            <w:r w:rsidRPr="00CB2EC4">
              <w:rPr>
                <w:rFonts w:ascii="Times New Roman" w:hAnsi="Times New Roman" w:cs="Times New Roman"/>
              </w:rPr>
              <w:br/>
              <w:t>this information is consistent across multiple document fragments (e.g., HyDE similarity: 0.585 and HyDE similarity: 0.577), emphasizing that HPV16/18 positivity requires immediate referral to colposcopy.</w:t>
            </w:r>
          </w:p>
        </w:tc>
        <w:tc>
          <w:tcPr>
            <w:tcW w:w="1152" w:type="dxa"/>
            <w:vAlign w:val="center"/>
          </w:tcPr>
          <w:p w14:paraId="246648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0AFF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F6F4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A55948" w14:textId="77777777">
        <w:tc>
          <w:tcPr>
            <w:tcW w:w="2160" w:type="dxa"/>
            <w:vAlign w:val="center"/>
          </w:tcPr>
          <w:p w14:paraId="203852AF"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BC8C0C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a colposcopy should be performed. According to Document Fragment 1 (similarity 0.698), Document Fragment 2 (similarity 0.592), and Document </w:t>
            </w:r>
            <w:r w:rsidRPr="00CB2EC4">
              <w:rPr>
                <w:rFonts w:ascii="Times New Roman" w:hAnsi="Times New Roman" w:cs="Times New Roman"/>
              </w:rPr>
              <w:lastRenderedPageBreak/>
              <w:t>Fragment 4 (similarity 0.572):</w:t>
            </w:r>
            <w:r w:rsidRPr="00CB2EC4">
              <w:rPr>
                <w:rFonts w:ascii="Times New Roman" w:hAnsi="Times New Roman" w:cs="Times New Roman"/>
              </w:rPr>
              <w:br/>
            </w:r>
            <w:r w:rsidRPr="00CB2EC4">
              <w:rPr>
                <w:rFonts w:ascii="Times New Roman" w:hAnsi="Times New Roman" w:cs="Times New Roman"/>
              </w:rPr>
              <w:br/>
              <w:t>- Document Fragment 1: In the HPV genotyping pathway, "HPV16/18 positive → immediate referral for colposcopy".</w:t>
            </w:r>
            <w:r w:rsidRPr="00CB2EC4">
              <w:rPr>
                <w:rFonts w:ascii="Times New Roman" w:hAnsi="Times New Roman" w:cs="Times New Roman"/>
              </w:rPr>
              <w:br/>
              <w:t>- Document Fragment 2: Explicitly states "HPV16/18 positive upon genotyping, immediate referral for colposcopy".</w:t>
            </w:r>
            <w:r w:rsidRPr="00CB2EC4">
              <w:rPr>
                <w:rFonts w:ascii="Times New Roman" w:hAnsi="Times New Roman" w:cs="Times New Roman"/>
              </w:rPr>
              <w:br/>
              <w:t>- Document Fragment 4: In the triage flow, "HPV16/18 positive → immediate referral for colposcopy".</w:t>
            </w:r>
            <w:r w:rsidRPr="00CB2EC4">
              <w:rPr>
                <w:rFonts w:ascii="Times New Roman" w:hAnsi="Times New Roman" w:cs="Times New Roman"/>
              </w:rPr>
              <w:br/>
            </w:r>
            <w:r w:rsidRPr="00CB2EC4">
              <w:rPr>
                <w:rFonts w:ascii="Times New Roman" w:hAnsi="Times New Roman" w:cs="Times New Roman"/>
              </w:rPr>
              <w:br/>
              <w:t>HPV16/18 types are the highest-risk subtypes among high-risk types; documents emphasize immediate referral for colposcopy to rule out high-grade lesions or cancer, without waiting for cytology results.</w:t>
            </w:r>
          </w:p>
        </w:tc>
        <w:tc>
          <w:tcPr>
            <w:tcW w:w="1152" w:type="dxa"/>
            <w:vAlign w:val="center"/>
          </w:tcPr>
          <w:p w14:paraId="4F98EE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05A4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92B1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0FBCC0" w14:textId="77777777">
        <w:tc>
          <w:tcPr>
            <w:tcW w:w="2160" w:type="dxa"/>
            <w:vAlign w:val="center"/>
          </w:tcPr>
          <w:p w14:paraId="485EF1E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D720C97" w14:textId="77777777" w:rsidR="00922249" w:rsidRPr="00CB2EC4" w:rsidRDefault="003011D5">
            <w:pPr>
              <w:rPr>
                <w:rFonts w:ascii="Times New Roman" w:hAnsi="Times New Roman" w:cs="Times New Roman"/>
              </w:rPr>
            </w:pPr>
            <w:r w:rsidRPr="00CB2EC4">
              <w:rPr>
                <w:rFonts w:ascii="Times New Roman" w:hAnsi="Times New Roman" w:cs="Times New Roman"/>
              </w:rPr>
              <w:t>yes, according to the flowcharts Figure 1 and Figure 3 in the document, when HPV genotyping testing shows HPV16/18 positive, the next step is to immediately refer for colposcopy examination. The specific descriptions are as follows:</w:t>
            </w:r>
            <w:r w:rsidRPr="00CB2EC4">
              <w:rPr>
                <w:rFonts w:ascii="Times New Roman" w:hAnsi="Times New Roman" w:cs="Times New Roman"/>
              </w:rPr>
              <w:br/>
            </w:r>
            <w:r w:rsidRPr="00CB2EC4">
              <w:rPr>
                <w:rFonts w:ascii="Times New Roman" w:hAnsi="Times New Roman" w:cs="Times New Roman"/>
              </w:rPr>
              <w:br/>
              <w:t>- Figure 1 HPV genotyping pathway: "HPV16/18 positive → immediately refer for colposcopy examination".</w:t>
            </w:r>
            <w:r w:rsidRPr="00CB2EC4">
              <w:rPr>
                <w:rFonts w:ascii="Times New Roman" w:hAnsi="Times New Roman" w:cs="Times New Roman"/>
              </w:rPr>
              <w:br/>
              <w:t>- Figure 3 pathway: "HPV16/18 positive → immediately refer for colposcopy".</w:t>
            </w:r>
            <w:r w:rsidRPr="00CB2EC4">
              <w:rPr>
                <w:rFonts w:ascii="Times New Roman" w:hAnsi="Times New Roman" w:cs="Times New Roman"/>
              </w:rPr>
              <w:br/>
              <w:t>- The document also emphasizes this point multiple times (e.g., in the section "2.3.3 HPV positive/cytology negative": "When HPV genotyping shows HPV16 or HPV18 positive, immediately refer for colposcopy").</w:t>
            </w:r>
            <w:r w:rsidRPr="00CB2EC4">
              <w:rPr>
                <w:rFonts w:ascii="Times New Roman" w:hAnsi="Times New Roman" w:cs="Times New Roman"/>
              </w:rPr>
              <w:br/>
            </w:r>
            <w:r w:rsidRPr="00CB2EC4">
              <w:rPr>
                <w:rFonts w:ascii="Times New Roman" w:hAnsi="Times New Roman" w:cs="Times New Roman"/>
              </w:rPr>
              <w:br/>
              <w:t xml:space="preserve">Therefore, HPV16/18 positivity is a clear indication </w:t>
            </w:r>
            <w:r w:rsidRPr="00CB2EC4">
              <w:rPr>
                <w:rFonts w:ascii="Times New Roman" w:hAnsi="Times New Roman" w:cs="Times New Roman"/>
              </w:rPr>
              <w:lastRenderedPageBreak/>
              <w:t>for colposcopy.</w:t>
            </w:r>
          </w:p>
        </w:tc>
        <w:tc>
          <w:tcPr>
            <w:tcW w:w="1152" w:type="dxa"/>
            <w:vAlign w:val="center"/>
          </w:tcPr>
          <w:p w14:paraId="1B5A04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76A8D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C203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05AAE4F" w14:textId="77777777">
        <w:tc>
          <w:tcPr>
            <w:tcW w:w="2160" w:type="dxa"/>
            <w:vAlign w:val="center"/>
          </w:tcPr>
          <w:p w14:paraId="51C8DAF4"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184AE3D" w14:textId="77777777" w:rsidR="00922249" w:rsidRPr="00CB2EC4" w:rsidRDefault="003011D5">
            <w:pPr>
              <w:rPr>
                <w:rFonts w:ascii="Times New Roman" w:hAnsi="Times New Roman" w:cs="Times New Roman"/>
              </w:rPr>
            </w:pPr>
            <w:r w:rsidRPr="00CB2EC4">
              <w:rPr>
                <w:rFonts w:ascii="Times New Roman" w:hAnsi="Times New Roman" w:cs="Times New Roman"/>
              </w:rPr>
              <w:t>Based on excerpts from Document Fragment 1 (similarity 0.698), Document Fragment 2 (similarity 0.592), and Document Fragment 4 (similarity 0.572):</w:t>
            </w:r>
            <w:r w:rsidRPr="00CB2EC4">
              <w:rPr>
                <w:rFonts w:ascii="Times New Roman" w:hAnsi="Times New Roman" w:cs="Times New Roman"/>
              </w:rPr>
              <w:br/>
              <w:t>- Document Fragment 1: In the HPV genotyping pathway, "HPV16/18 positive → immediate referral for colposcopy."</w:t>
            </w:r>
            <w:r w:rsidRPr="00CB2EC4">
              <w:rPr>
                <w:rFonts w:ascii="Times New Roman" w:hAnsi="Times New Roman" w:cs="Times New Roman"/>
              </w:rPr>
              <w:br/>
              <w:t>- Document Fragment 2: Explicitly states "For HPV genotyping, if HPV16 or 18 is positive, immediately refer for colposcopy."</w:t>
            </w:r>
            <w:r w:rsidRPr="00CB2EC4">
              <w:rPr>
                <w:rFonts w:ascii="Times New Roman" w:hAnsi="Times New Roman" w:cs="Times New Roman"/>
              </w:rPr>
              <w:br/>
              <w:t>- Document Fragment 4: In the triage process, "HPV16/18 positive → immediate referral for colposcopy."</w:t>
            </w:r>
            <w:r w:rsidRPr="00CB2EC4">
              <w:rPr>
                <w:rFonts w:ascii="Times New Roman" w:hAnsi="Times New Roman" w:cs="Times New Roman"/>
              </w:rPr>
              <w:br/>
            </w:r>
            <w:r w:rsidRPr="00CB2EC4">
              <w:rPr>
                <w:rFonts w:ascii="Times New Roman" w:hAnsi="Times New Roman" w:cs="Times New Roman"/>
              </w:rPr>
              <w:br/>
              <w:t>HPV16/18 are the highest-risk subtypes among high-risk types. The documents emphasize immediate referral for colposcopy to rule out high-grade lesions or cancer, without waiting for cytology results.</w:t>
            </w:r>
          </w:p>
        </w:tc>
        <w:tc>
          <w:tcPr>
            <w:tcW w:w="1152" w:type="dxa"/>
            <w:vAlign w:val="center"/>
          </w:tcPr>
          <w:p w14:paraId="7A1D2D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6F40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0BA2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876FF2" w14:textId="77777777">
        <w:tc>
          <w:tcPr>
            <w:tcW w:w="2160" w:type="dxa"/>
            <w:vAlign w:val="center"/>
          </w:tcPr>
          <w:p w14:paraId="41DDEB7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99FC544"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immediate referral for colposcopy. The document emphasizes that HPV16/18 positivity is considered the highest-risk genotype, warranting direct referral to colposcopy regardless of cytology results (even if cytology is negative), to rule out high-grade lesions or early cancer.</w:t>
            </w:r>
            <w:r w:rsidRPr="00CB2EC4">
              <w:rPr>
                <w:rFonts w:ascii="Times New Roman" w:hAnsi="Times New Roman" w:cs="Times New Roman"/>
              </w:rPr>
              <w:br/>
            </w:r>
            <w:r w:rsidRPr="00CB2EC4">
              <w:rPr>
                <w:rFonts w:ascii="Times New Roman" w:hAnsi="Times New Roman" w:cs="Times New Roman"/>
              </w:rPr>
              <w:br/>
              <w:t>This management is based on the high oncogenicity of HPV16/18: the document states these genotypes are associated with rapid progression to CINⅢ+, thus colposcopic evaluation is performed directly without reliance on cytology.</w:t>
            </w:r>
            <w:r w:rsidRPr="00CB2EC4">
              <w:rPr>
                <w:rFonts w:ascii="Times New Roman" w:hAnsi="Times New Roman" w:cs="Times New Roman"/>
              </w:rPr>
              <w:br/>
            </w:r>
            <w:r w:rsidRPr="00CB2EC4">
              <w:rPr>
                <w:rFonts w:ascii="Times New Roman" w:hAnsi="Times New Roman" w:cs="Times New Roman"/>
              </w:rPr>
              <w:br/>
              <w:t>Key evidence:</w:t>
            </w:r>
            <w:r w:rsidRPr="00CB2EC4">
              <w:rPr>
                <w:rFonts w:ascii="Times New Roman" w:hAnsi="Times New Roman" w:cs="Times New Roman"/>
              </w:rPr>
              <w:br/>
            </w:r>
            <w:r w:rsidRPr="00CB2EC4">
              <w:rPr>
                <w:rFonts w:ascii="Times New Roman" w:hAnsi="Times New Roman" w:cs="Times New Roman"/>
              </w:rPr>
              <w:lastRenderedPageBreak/>
              <w:br/>
              <w:t>- "HPV16/18 positive → immediate referral for colposcopy" (similarity 0.668).</w:t>
            </w:r>
            <w:r w:rsidRPr="00CB2EC4">
              <w:rPr>
                <w:rFonts w:ascii="Times New Roman" w:hAnsi="Times New Roman" w:cs="Times New Roman"/>
              </w:rPr>
              <w:br/>
              <w:t>- "HPV genotyping positive for HPV16/18, immediate referral for colposcopy" (similarity 0.524).</w:t>
            </w:r>
            <w:r w:rsidRPr="00CB2EC4">
              <w:rPr>
                <w:rFonts w:ascii="Times New Roman" w:hAnsi="Times New Roman" w:cs="Times New Roman"/>
              </w:rPr>
              <w:br/>
              <w:t>- "Cytology ≥ ASC-US &amp; HPV positive... if HPV genotyping is positive: HPV16/18 positive → immediate referral for colposcopy" (similarity 0.507), but the document explicitly states that colposcopy is required for HPV16/18 positivity even with negative cytology.</w:t>
            </w:r>
          </w:p>
        </w:tc>
        <w:tc>
          <w:tcPr>
            <w:tcW w:w="1152" w:type="dxa"/>
            <w:vAlign w:val="center"/>
          </w:tcPr>
          <w:p w14:paraId="015FBE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10939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F971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1DB767" w14:textId="77777777">
        <w:tc>
          <w:tcPr>
            <w:tcW w:w="2160" w:type="dxa"/>
            <w:vAlign w:val="center"/>
          </w:tcPr>
          <w:p w14:paraId="63DE5255"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309624A" w14:textId="77777777" w:rsidR="00922249" w:rsidRPr="00CB2EC4" w:rsidRDefault="003011D5">
            <w:pPr>
              <w:rPr>
                <w:rFonts w:ascii="Times New Roman" w:hAnsi="Times New Roman" w:cs="Times New Roman"/>
              </w:rPr>
            </w:pPr>
            <w:r w:rsidRPr="00CB2EC4">
              <w:rPr>
                <w:rFonts w:ascii="Times New Roman" w:hAnsi="Times New Roman" w:cs="Times New Roman"/>
              </w:rPr>
              <w:t>yes, the next step should be to perform a colposcopy.</w:t>
            </w:r>
            <w:r w:rsidRPr="00CB2EC4">
              <w:rPr>
                <w:rFonts w:ascii="Times New Roman" w:hAnsi="Times New Roman" w:cs="Times New Roman"/>
              </w:rPr>
              <w:br/>
            </w:r>
            <w:r w:rsidRPr="00CB2EC4">
              <w:rPr>
                <w:rFonts w:ascii="Times New Roman" w:hAnsi="Times New Roman" w:cs="Times New Roman"/>
              </w:rPr>
              <w:br/>
              <w:t>Basis:</w:t>
            </w:r>
            <w:r w:rsidRPr="00CB2EC4">
              <w:rPr>
                <w:rFonts w:ascii="Times New Roman" w:hAnsi="Times New Roman" w:cs="Times New Roman"/>
              </w:rPr>
              <w:br/>
            </w:r>
            <w:r w:rsidRPr="00CB2EC4">
              <w:rPr>
                <w:rFonts w:ascii="Times New Roman" w:hAnsi="Times New Roman" w:cs="Times New Roman"/>
              </w:rPr>
              <w:br/>
              <w:t>- Document fragment 2 (relevance: 0.9771): "HPV genotyping pathway: HPV16/18 positive → immediate referral for colposcopy".</w:t>
            </w:r>
            <w:r w:rsidRPr="00CB2EC4">
              <w:rPr>
                <w:rFonts w:ascii="Times New Roman" w:hAnsi="Times New Roman" w:cs="Times New Roman"/>
              </w:rPr>
              <w:br/>
              <w:t>- Document fragment 1 (relevance: 0.9878): "When HPV genotyping test shows HPV16/18 positive, refer for colposcopy".</w:t>
            </w:r>
            <w:r w:rsidRPr="00CB2EC4">
              <w:rPr>
                <w:rFonts w:ascii="Times New Roman" w:hAnsi="Times New Roman" w:cs="Times New Roman"/>
              </w:rPr>
              <w:br/>
              <w:t>- Document fragment 3 (relevance: 0.9723) also states: "HPV16/18 positive → immediate referral for colposcopy".</w:t>
            </w:r>
            <w:r w:rsidRPr="00CB2EC4">
              <w:rPr>
                <w:rFonts w:ascii="Times New Roman" w:hAnsi="Times New Roman" w:cs="Times New Roman"/>
              </w:rPr>
              <w:br/>
            </w:r>
            <w:r w:rsidRPr="00CB2EC4">
              <w:rPr>
                <w:rFonts w:ascii="Times New Roman" w:hAnsi="Times New Roman" w:cs="Times New Roman"/>
              </w:rPr>
              <w:br/>
              <w:t>HPV16/18 types are the highest-risk subtypes among high-risk HPV types; direct referral for colposcopy is the standard management to enable early identification and treatment of potential precancerous lesions.</w:t>
            </w:r>
          </w:p>
        </w:tc>
        <w:tc>
          <w:tcPr>
            <w:tcW w:w="1152" w:type="dxa"/>
            <w:vAlign w:val="center"/>
          </w:tcPr>
          <w:p w14:paraId="7A0CA1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A805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D673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811CA7" w14:textId="77777777">
        <w:tc>
          <w:tcPr>
            <w:tcW w:w="2160" w:type="dxa"/>
            <w:vAlign w:val="center"/>
          </w:tcPr>
          <w:p w14:paraId="3211F02B"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5375DE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when initial screening shows high-risk HPV positivity and subsequent genotyping identifies HPV16/18, the next step is immediate referral for </w:t>
            </w:r>
            <w:r w:rsidRPr="00CB2EC4">
              <w:rPr>
                <w:rFonts w:ascii="Times New Roman" w:hAnsi="Times New Roman" w:cs="Times New Roman"/>
              </w:rPr>
              <w:lastRenderedPageBreak/>
              <w:t>colposcopy.</w:t>
            </w:r>
            <w:r w:rsidRPr="00CB2EC4">
              <w:rPr>
                <w:rFonts w:ascii="Times New Roman" w:hAnsi="Times New Roman" w:cs="Times New Roman"/>
              </w:rPr>
              <w:br/>
            </w:r>
            <w:r w:rsidRPr="00CB2EC4">
              <w:rPr>
                <w:rFonts w:ascii="Times New Roman" w:hAnsi="Times New Roman" w:cs="Times New Roman"/>
              </w:rPr>
              <w:br/>
              <w:t>according to fragment 1 (from original block 0-1), figure 1 states:</w:t>
            </w:r>
            <w:r w:rsidRPr="00CB2EC4">
              <w:rPr>
                <w:rFonts w:ascii="Times New Roman" w:hAnsi="Times New Roman" w:cs="Times New Roman"/>
              </w:rPr>
              <w:br/>
              <w:t>- "HPV16/18 positive → immediate referral for colposcopy".</w:t>
            </w:r>
            <w:r w:rsidRPr="00CB2EC4">
              <w:rPr>
                <w:rFonts w:ascii="Times New Roman" w:hAnsi="Times New Roman" w:cs="Times New Roman"/>
              </w:rPr>
              <w:br/>
            </w:r>
            <w:r w:rsidRPr="00CB2EC4">
              <w:rPr>
                <w:rFonts w:ascii="Times New Roman" w:hAnsi="Times New Roman" w:cs="Times New Roman"/>
              </w:rPr>
              <w:br/>
              <w:t>fragment 2 (from original block 58-60), figure 3 also indicates:</w:t>
            </w:r>
            <w:r w:rsidRPr="00CB2EC4">
              <w:rPr>
                <w:rFonts w:ascii="Times New Roman" w:hAnsi="Times New Roman" w:cs="Times New Roman"/>
              </w:rPr>
              <w:br/>
              <w:t>for HPV genotyping test positive,</w:t>
            </w:r>
            <w:r w:rsidRPr="00CB2EC4">
              <w:rPr>
                <w:rFonts w:ascii="Times New Roman" w:hAnsi="Times New Roman" w:cs="Times New Roman"/>
              </w:rPr>
              <w:br/>
              <w:t>"HPV16/18 positive → immediate referral for colposcopy".</w:t>
            </w:r>
          </w:p>
        </w:tc>
        <w:tc>
          <w:tcPr>
            <w:tcW w:w="1152" w:type="dxa"/>
            <w:vAlign w:val="center"/>
          </w:tcPr>
          <w:p w14:paraId="681BA2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735A1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8565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2BC799" w14:textId="77777777">
        <w:tc>
          <w:tcPr>
            <w:tcW w:w="2160" w:type="dxa"/>
            <w:vAlign w:val="center"/>
          </w:tcPr>
          <w:p w14:paraId="1334F01D"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0EC39E9" w14:textId="77777777" w:rsidR="00922249" w:rsidRPr="00CB2EC4" w:rsidRDefault="003011D5">
            <w:pPr>
              <w:rPr>
                <w:rFonts w:ascii="Times New Roman" w:hAnsi="Times New Roman" w:cs="Times New Roman"/>
              </w:rPr>
            </w:pPr>
            <w:r w:rsidRPr="00CB2EC4">
              <w:rPr>
                <w:rFonts w:ascii="Times New Roman" w:hAnsi="Times New Roman" w:cs="Times New Roman"/>
              </w:rPr>
              <w:t>yes, regardless of the cytology result (even if cytology is negative), HPV16/18 positivity should be immediately referred for colposcopy, as HPV16/18 infection is highly associated with cervical cancer risk (risk &gt; 10%).</w:t>
            </w:r>
          </w:p>
        </w:tc>
        <w:tc>
          <w:tcPr>
            <w:tcW w:w="1152" w:type="dxa"/>
            <w:vAlign w:val="center"/>
          </w:tcPr>
          <w:p w14:paraId="317694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274D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7D2B9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32FEF4" w14:textId="77777777">
        <w:tc>
          <w:tcPr>
            <w:tcW w:w="10656" w:type="dxa"/>
            <w:gridSpan w:val="5"/>
            <w:tcBorders>
              <w:bottom w:val="single" w:sz="6" w:space="0" w:color="auto"/>
            </w:tcBorders>
            <w:vAlign w:val="center"/>
          </w:tcPr>
          <w:p w14:paraId="0C9506D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6: When the initial screening shows positive HPV with high-risk HPV types and upon typing it shows neither HPV16/18 positive but one of the other twelve types, what is the most likely subsequent examination?</w:t>
            </w:r>
          </w:p>
        </w:tc>
      </w:tr>
      <w:tr w:rsidR="00922249" w:rsidRPr="00CB2EC4" w14:paraId="725C5CAF" w14:textId="77777777">
        <w:tc>
          <w:tcPr>
            <w:tcW w:w="2160" w:type="dxa"/>
            <w:vAlign w:val="center"/>
          </w:tcPr>
          <w:p w14:paraId="5B6BA29E"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B4A6848" w14:textId="77777777" w:rsidR="00922249" w:rsidRPr="00CB2EC4" w:rsidRDefault="003011D5">
            <w:pPr>
              <w:rPr>
                <w:rFonts w:ascii="Times New Roman" w:hAnsi="Times New Roman" w:cs="Times New Roman"/>
              </w:rPr>
            </w:pPr>
            <w:r w:rsidRPr="00CB2EC4">
              <w:rPr>
                <w:rFonts w:ascii="Times New Roman" w:hAnsi="Times New Roman" w:cs="Times New Roman"/>
              </w:rPr>
              <w:t>the most likely subsequent test is cervical cytology examination.</w:t>
            </w:r>
            <w:r w:rsidRPr="00CB2EC4">
              <w:rPr>
                <w:rFonts w:ascii="Times New Roman" w:hAnsi="Times New Roman" w:cs="Times New Roman"/>
              </w:rPr>
              <w:br/>
            </w:r>
            <w:r w:rsidRPr="00CB2EC4">
              <w:rPr>
                <w:rFonts w:ascii="Times New Roman" w:hAnsi="Times New Roman" w:cs="Times New Roman"/>
              </w:rPr>
              <w:br/>
              <w:t>According to Figure 1 (Management Flowchart for High-Risk HPV Positivity) in the document, when HPV genotyping shows HPV16/18 negative but positive for one of the other 12 high-risk HPV types, cervical cytology should be performed next. The document explicitly states: “HPV genotyping pathway: HPV16/18 negative or other 12 types positive → perform cervical cytology examination.” Therefore, the most likely subsequent test is cervical cytology examination.</w:t>
            </w:r>
          </w:p>
        </w:tc>
        <w:tc>
          <w:tcPr>
            <w:tcW w:w="1152" w:type="dxa"/>
            <w:vAlign w:val="center"/>
          </w:tcPr>
          <w:p w14:paraId="008F66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62D0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E53C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C665D3" w14:textId="77777777">
        <w:tc>
          <w:tcPr>
            <w:tcW w:w="2160" w:type="dxa"/>
            <w:vAlign w:val="center"/>
          </w:tcPr>
          <w:p w14:paraId="5C5C93D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Contextual Chunk </w:t>
            </w:r>
            <w:r w:rsidRPr="00CB2EC4">
              <w:rPr>
                <w:rFonts w:ascii="Times New Roman" w:hAnsi="Times New Roman" w:cs="Times New Roman"/>
              </w:rPr>
              <w:lastRenderedPageBreak/>
              <w:t>Headers</w:t>
            </w:r>
          </w:p>
        </w:tc>
        <w:tc>
          <w:tcPr>
            <w:tcW w:w="5040" w:type="dxa"/>
            <w:vAlign w:val="center"/>
          </w:tcPr>
          <w:p w14:paraId="66A023F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Answer: Cervical cytology examination should be </w:t>
            </w:r>
            <w:r w:rsidRPr="00CB2EC4">
              <w:rPr>
                <w:rFonts w:ascii="Times New Roman" w:hAnsi="Times New Roman" w:cs="Times New Roman"/>
              </w:rPr>
              <w:lastRenderedPageBreak/>
              <w:t xml:space="preserve">performed.  </w:t>
            </w:r>
            <w:r w:rsidRPr="00CB2EC4">
              <w:rPr>
                <w:rFonts w:ascii="Times New Roman" w:hAnsi="Times New Roman" w:cs="Times New Roman"/>
              </w:rPr>
              <w:br/>
              <w:t xml:space="preserve">- Basis:  </w:t>
            </w:r>
            <w:r w:rsidRPr="00CB2EC4">
              <w:rPr>
                <w:rFonts w:ascii="Times New Roman" w:hAnsi="Times New Roman" w:cs="Times New Roman"/>
              </w:rPr>
              <w:br/>
              <w:t xml:space="preserve">  According to the description in Document Fragment 1 (Block Topic: Management Process for HPV Positivity and Cytological Abnormalities):  </w:t>
            </w:r>
            <w:r w:rsidRPr="00CB2EC4">
              <w:rPr>
                <w:rFonts w:ascii="Times New Roman" w:hAnsi="Times New Roman" w:cs="Times New Roman"/>
              </w:rPr>
              <w:br/>
              <w:t xml:space="preserve">  &gt; "HPV genotyping pathway: HPV16/18 positive → immediate referral for colposcopy; HPV16/18 negative or other 12 types positive → perform cervical cytology examination."  </w:t>
            </w:r>
            <w:r w:rsidRPr="00CB2EC4">
              <w:rPr>
                <w:rFonts w:ascii="Times New Roman" w:hAnsi="Times New Roman" w:cs="Times New Roman"/>
              </w:rPr>
              <w:br/>
              <w:t xml:space="preserve">  Therefore, when genotyping shows positivity for non-HPV16/18 but belongs to the other 12 high-risk types, subsequent entry into the cytology examination pathway is required.</w:t>
            </w:r>
          </w:p>
        </w:tc>
        <w:tc>
          <w:tcPr>
            <w:tcW w:w="1152" w:type="dxa"/>
            <w:vAlign w:val="center"/>
          </w:tcPr>
          <w:p w14:paraId="289100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C31C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3762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7E5721" w14:textId="77777777">
        <w:tc>
          <w:tcPr>
            <w:tcW w:w="2160" w:type="dxa"/>
            <w:vAlign w:val="center"/>
          </w:tcPr>
          <w:p w14:paraId="2A3D452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B9248BA" w14:textId="77777777" w:rsidR="00922249" w:rsidRPr="00CB2EC4" w:rsidRDefault="003011D5">
            <w:pPr>
              <w:rPr>
                <w:rFonts w:ascii="Times New Roman" w:hAnsi="Times New Roman" w:cs="Times New Roman"/>
              </w:rPr>
            </w:pPr>
            <w:r w:rsidRPr="00CB2EC4">
              <w:rPr>
                <w:rFonts w:ascii="Times New Roman" w:hAnsi="Times New Roman" w:cs="Times New Roman"/>
              </w:rPr>
              <w:t>when the initial screening shows HPV positive with a high-risk HPV type, and typing tests reveal that it is neither HPV16/18 positive but belongs to one of the other twelve types, the most likely follow-up test is cervical cytology. The specific process is as follows:</w:t>
            </w:r>
            <w:r w:rsidRPr="00CB2EC4">
              <w:rPr>
                <w:rFonts w:ascii="Times New Roman" w:hAnsi="Times New Roman" w:cs="Times New Roman"/>
              </w:rPr>
              <w:br/>
            </w:r>
            <w:r w:rsidRPr="00CB2EC4">
              <w:rPr>
                <w:rFonts w:ascii="Times New Roman" w:hAnsi="Times New Roman" w:cs="Times New Roman"/>
              </w:rPr>
              <w:br/>
              <w:t>- If the HPV typing result is positive for one of the other twelve types (i.e., HPV16/18 negative), the patient should enter the cytology testing pathway.</w:t>
            </w:r>
            <w:r w:rsidRPr="00CB2EC4">
              <w:rPr>
                <w:rFonts w:ascii="Times New Roman" w:hAnsi="Times New Roman" w:cs="Times New Roman"/>
              </w:rPr>
              <w:br/>
              <w:t>- If the cytology result is ≥ASC-US (including ASC-US, LSIL, HSIL, etc.), refer for colposcopy; if the cytology result is negative, recommend repeating cytology + HPV co-testing after 1 year.</w:t>
            </w:r>
            <w:r w:rsidRPr="00CB2EC4">
              <w:rPr>
                <w:rFonts w:ascii="Times New Roman" w:hAnsi="Times New Roman" w:cs="Times New Roman"/>
              </w:rPr>
              <w:br/>
              <w:t xml:space="preserve">  (</w:t>
            </w:r>
            <w:r w:rsidRPr="00CB2EC4">
              <w:rPr>
                <w:rFonts w:ascii="Times New Roman" w:hAnsi="Times New Roman" w:cs="Times New Roman"/>
              </w:rPr>
              <w:br/>
            </w:r>
            <w:r w:rsidRPr="00CB2EC4">
              <w:rPr>
                <w:rFonts w:ascii="Times New Roman" w:hAnsi="Times New Roman" w:cs="Times New Roman"/>
              </w:rPr>
              <w:br/>
              <w:t>This information is also supported in document fragment 2 (relevance: 0.900): "HPV16/18 negative but other 12 high-risk HPV types positive → 1-year follow-up", where "1-year follow-up" refers to cytology or co-testing, but the initial follow-up test is explicitly cytology.)</w:t>
            </w:r>
          </w:p>
        </w:tc>
        <w:tc>
          <w:tcPr>
            <w:tcW w:w="1152" w:type="dxa"/>
            <w:vAlign w:val="center"/>
          </w:tcPr>
          <w:p w14:paraId="05FCC8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A315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8B4F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0A715F" w14:textId="77777777">
        <w:tc>
          <w:tcPr>
            <w:tcW w:w="2160" w:type="dxa"/>
            <w:vAlign w:val="center"/>
          </w:tcPr>
          <w:p w14:paraId="5CE16E8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4F5AB784" w14:textId="77777777" w:rsidR="00922249" w:rsidRPr="00CB2EC4" w:rsidRDefault="003011D5">
            <w:pPr>
              <w:rPr>
                <w:rFonts w:ascii="Times New Roman" w:hAnsi="Times New Roman" w:cs="Times New Roman"/>
              </w:rPr>
            </w:pPr>
            <w:r w:rsidRPr="00CB2EC4">
              <w:rPr>
                <w:rFonts w:ascii="Times New Roman" w:hAnsi="Times New Roman" w:cs="Times New Roman"/>
              </w:rPr>
              <w:t>the most likely subsequent test is cervical cytology.</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 Cervical cytology testing is required.  </w:t>
            </w:r>
            <w:r w:rsidRPr="00CB2EC4">
              <w:rPr>
                <w:rFonts w:ascii="Times New Roman" w:hAnsi="Times New Roman" w:cs="Times New Roman"/>
              </w:rPr>
              <w:br/>
              <w:t xml:space="preserve">  Basis:  </w:t>
            </w:r>
            <w:r w:rsidRPr="00CB2EC4">
              <w:rPr>
                <w:rFonts w:ascii="Times New Roman" w:hAnsi="Times New Roman" w:cs="Times New Roman"/>
              </w:rPr>
              <w:br/>
              <w:t xml:space="preserve">  - Figure 1 clearly states: if HPV genotyping results show "HPV16/18 negative but other 12 high-risk HPV types positive," the next step is cervical cytology testing (Figure 1, third-level triage pathway).  </w:t>
            </w:r>
            <w:r w:rsidRPr="00CB2EC4">
              <w:rPr>
                <w:rFonts w:ascii="Times New Roman" w:hAnsi="Times New Roman" w:cs="Times New Roman"/>
              </w:rPr>
              <w:br/>
              <w:t xml:space="preserve">  - Text supplement: "HPV16/18 negative or other 12 types positive → perform cervical cytology" (contextual text).</w:t>
            </w:r>
          </w:p>
        </w:tc>
        <w:tc>
          <w:tcPr>
            <w:tcW w:w="1152" w:type="dxa"/>
            <w:vAlign w:val="center"/>
          </w:tcPr>
          <w:p w14:paraId="663F27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E6F6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87D5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B9D9896" w14:textId="77777777">
        <w:tc>
          <w:tcPr>
            <w:tcW w:w="2160" w:type="dxa"/>
            <w:vAlign w:val="center"/>
          </w:tcPr>
          <w:p w14:paraId="53AC28BF"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EA3FC0F" w14:textId="77777777" w:rsidR="00922249" w:rsidRPr="00CB2EC4" w:rsidRDefault="003011D5">
            <w:pPr>
              <w:rPr>
                <w:rFonts w:ascii="Times New Roman" w:hAnsi="Times New Roman" w:cs="Times New Roman"/>
              </w:rPr>
            </w:pPr>
            <w:r w:rsidRPr="00CB2EC4">
              <w:rPr>
                <w:rFonts w:ascii="Times New Roman" w:hAnsi="Times New Roman" w:cs="Times New Roman"/>
              </w:rPr>
              <w:t>when the initial screening shows HPV positive with high-risk HPV types, and the genotyping test reveals it is neither HPV16/18 positive but belongs to one of the other twelve types, the most likely subsequent test is cervical cytology (such as TCT or liquid-based cytology). According to document fragment 1 and fragment 5, if the high-risk HPV test is positive and genotyping shows HPV16/18 negative but other 12 types positive, cervical cytology should be performed. If the cytology result is negative, repeat co-testing (cytology + HPV) after 1 year; if the cytology result is ≥ASC-US (abnormal), refer to colposcopy. Therefore, the most likely subsequent test is cervical cytology.</w:t>
            </w:r>
          </w:p>
        </w:tc>
        <w:tc>
          <w:tcPr>
            <w:tcW w:w="1152" w:type="dxa"/>
            <w:vAlign w:val="center"/>
          </w:tcPr>
          <w:p w14:paraId="440988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CCCA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792F3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4BB392" w14:textId="77777777">
        <w:tc>
          <w:tcPr>
            <w:tcW w:w="2160" w:type="dxa"/>
            <w:vAlign w:val="center"/>
          </w:tcPr>
          <w:p w14:paraId="67F3A727"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9607C55" w14:textId="77777777" w:rsidR="00922249" w:rsidRPr="00CB2EC4" w:rsidRDefault="003011D5">
            <w:pPr>
              <w:rPr>
                <w:rFonts w:ascii="Times New Roman" w:hAnsi="Times New Roman" w:cs="Times New Roman"/>
              </w:rPr>
            </w:pPr>
            <w:r w:rsidRPr="00CB2EC4">
              <w:rPr>
                <w:rFonts w:ascii="Times New Roman" w:hAnsi="Times New Roman" w:cs="Times New Roman"/>
              </w:rPr>
              <w:t>the most likely subsequent test is cervical cytology.</w:t>
            </w:r>
          </w:p>
        </w:tc>
        <w:tc>
          <w:tcPr>
            <w:tcW w:w="1152" w:type="dxa"/>
            <w:vAlign w:val="center"/>
          </w:tcPr>
          <w:p w14:paraId="558E71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9EF3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F991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DFEE22" w14:textId="77777777">
        <w:tc>
          <w:tcPr>
            <w:tcW w:w="2160" w:type="dxa"/>
            <w:vAlign w:val="center"/>
          </w:tcPr>
          <w:p w14:paraId="4034C6D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3BC5DE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most likely subsequent test is cervical cytology. According to the document content, when high-risk HPV testing is positive and genotyping shows it is neither HPV16/18 but belongs to one of the other 12 high-risk types, the recommended next step is cervical cytology examination. The document explicitly states (e.g., in the first document excerpt): "HPV genotyping </w:t>
            </w:r>
            <w:r w:rsidRPr="00CB2EC4">
              <w:rPr>
                <w:rFonts w:ascii="Times New Roman" w:hAnsi="Times New Roman" w:cs="Times New Roman"/>
              </w:rPr>
              <w:lastRenderedPageBreak/>
              <w:t>pathway: HPV16/18 negative or other 12 types positive → perform cervical cytology." This applies to the triage pathway after genotyping testing, aiming to further assess risk through cytology.</w:t>
            </w:r>
          </w:p>
        </w:tc>
        <w:tc>
          <w:tcPr>
            <w:tcW w:w="1152" w:type="dxa"/>
            <w:vAlign w:val="center"/>
          </w:tcPr>
          <w:p w14:paraId="2C6A30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0CC7A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7FA4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0FEF80" w14:textId="77777777">
        <w:tc>
          <w:tcPr>
            <w:tcW w:w="2160" w:type="dxa"/>
            <w:vAlign w:val="center"/>
          </w:tcPr>
          <w:p w14:paraId="0FBF5CE1"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B5AE500" w14:textId="77777777" w:rsidR="00922249" w:rsidRPr="00CB2EC4" w:rsidRDefault="003011D5">
            <w:pPr>
              <w:rPr>
                <w:rFonts w:ascii="Times New Roman" w:hAnsi="Times New Roman" w:cs="Times New Roman"/>
              </w:rPr>
            </w:pPr>
            <w:r w:rsidRPr="00CB2EC4">
              <w:rPr>
                <w:rFonts w:ascii="Times New Roman" w:hAnsi="Times New Roman" w:cs="Times New Roman"/>
              </w:rPr>
              <w:t>cervical cytology test</w:t>
            </w:r>
          </w:p>
        </w:tc>
        <w:tc>
          <w:tcPr>
            <w:tcW w:w="1152" w:type="dxa"/>
            <w:vAlign w:val="center"/>
          </w:tcPr>
          <w:p w14:paraId="291012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B03D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450C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BEBE87" w14:textId="77777777">
        <w:tc>
          <w:tcPr>
            <w:tcW w:w="2160" w:type="dxa"/>
            <w:vAlign w:val="center"/>
          </w:tcPr>
          <w:p w14:paraId="4E63ADB5"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10BD909" w14:textId="77777777" w:rsidR="00922249" w:rsidRPr="00CB2EC4" w:rsidRDefault="003011D5">
            <w:pPr>
              <w:rPr>
                <w:rFonts w:ascii="Times New Roman" w:hAnsi="Times New Roman" w:cs="Times New Roman"/>
              </w:rPr>
            </w:pPr>
            <w:r w:rsidRPr="00CB2EC4">
              <w:rPr>
                <w:rFonts w:ascii="Times New Roman" w:hAnsi="Times New Roman" w:cs="Times New Roman"/>
              </w:rPr>
              <w:t>When the initial screening shows HPV positive with high-risk HPV types, and the genotyping test reveals that it is neither HPV16/18 positive but belongs to one of the other twelve types, the most likely subsequent test is cervical cytology.</w:t>
            </w:r>
            <w:r w:rsidRPr="00CB2EC4">
              <w:rPr>
                <w:rFonts w:ascii="Times New Roman" w:hAnsi="Times New Roman" w:cs="Times New Roman"/>
              </w:rPr>
              <w:br/>
            </w:r>
            <w:r w:rsidRPr="00CB2EC4">
              <w:rPr>
                <w:rFonts w:ascii="Times New Roman" w:hAnsi="Times New Roman" w:cs="Times New Roman"/>
              </w:rPr>
              <w:br/>
              <w:t>According to the processing flow in Figure 1 of the document (management of high-risk HPV positive): If HPV genotyping shows HPV16/18 negative but other 12 high-risk HPV types positive, then cervical cytology should be performed next. The specific pathway is: "HPV16/18 negative or other 12 types positive → perform cervical cytology." Therefore, the most likely subsequent test is cervical cytology.</w:t>
            </w:r>
          </w:p>
        </w:tc>
        <w:tc>
          <w:tcPr>
            <w:tcW w:w="1152" w:type="dxa"/>
            <w:vAlign w:val="center"/>
          </w:tcPr>
          <w:p w14:paraId="1E9217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A6B0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DA0A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2F29E9" w14:textId="77777777">
        <w:tc>
          <w:tcPr>
            <w:tcW w:w="2160" w:type="dxa"/>
            <w:vAlign w:val="center"/>
          </w:tcPr>
          <w:p w14:paraId="71A005A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306A660" w14:textId="77777777" w:rsidR="00922249" w:rsidRPr="00CB2EC4" w:rsidRDefault="003011D5">
            <w:pPr>
              <w:rPr>
                <w:rFonts w:ascii="Times New Roman" w:hAnsi="Times New Roman" w:cs="Times New Roman"/>
              </w:rPr>
            </w:pPr>
            <w:r w:rsidRPr="00CB2EC4">
              <w:rPr>
                <w:rFonts w:ascii="Times New Roman" w:hAnsi="Times New Roman" w:cs="Times New Roman"/>
              </w:rPr>
              <w:t>when the initial screening shows HPV positive with a high-risk HPV type, and the genotyping test reveals it is neither HPV16/18 positive but belongs to one of the other twelve types, the most likely subsequent test is cervical cytology.</w:t>
            </w:r>
            <w:r w:rsidRPr="00CB2EC4">
              <w:rPr>
                <w:rFonts w:ascii="Times New Roman" w:hAnsi="Times New Roman" w:cs="Times New Roman"/>
              </w:rPr>
              <w:br/>
            </w:r>
            <w:r w:rsidRPr="00CB2EC4">
              <w:rPr>
                <w:rFonts w:ascii="Times New Roman" w:hAnsi="Times New Roman" w:cs="Times New Roman"/>
              </w:rPr>
              <w:br/>
              <w:t xml:space="preserve">according to document fragment 1 (similarity 0.698), in the HPV genotyping pathway, if HPV genotyping testing shows HPV16/18 negative but positive for one of the other 12 types (i.e., belonging to one of the other twelve high-risk HPV types), then cervical cytology should be performed subsequently. document fragment 2 (similarity 0.647) and document </w:t>
            </w:r>
            <w:r w:rsidRPr="00CB2EC4">
              <w:rPr>
                <w:rFonts w:ascii="Times New Roman" w:hAnsi="Times New Roman" w:cs="Times New Roman"/>
              </w:rPr>
              <w:lastRenderedPageBreak/>
              <w:t>fragment 3 (similarity 0.617) also support this process, emphasizing that when HPV16/18 is negative, cytological examination is required for triage. therefore, the most likely subsequent examination is cervical cytology.</w:t>
            </w:r>
          </w:p>
        </w:tc>
        <w:tc>
          <w:tcPr>
            <w:tcW w:w="1152" w:type="dxa"/>
            <w:vAlign w:val="center"/>
          </w:tcPr>
          <w:p w14:paraId="512973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3A88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9383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3FF83B5" w14:textId="77777777">
        <w:tc>
          <w:tcPr>
            <w:tcW w:w="2160" w:type="dxa"/>
            <w:vAlign w:val="center"/>
          </w:tcPr>
          <w:p w14:paraId="6067B3F9"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570399E"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HPV-positive with high-risk HPV types, and genotyping reveals neither HPV16/18 positivity but belongs to one of the other twelve types, the most likely follow-up test is cervical cytology examination.</w:t>
            </w:r>
            <w:r w:rsidRPr="00CB2EC4">
              <w:rPr>
                <w:rFonts w:ascii="Times New Roman" w:hAnsi="Times New Roman" w:cs="Times New Roman"/>
              </w:rPr>
              <w:br/>
            </w:r>
            <w:r w:rsidRPr="00CB2EC4">
              <w:rPr>
                <w:rFonts w:ascii="Times New Roman" w:hAnsi="Times New Roman" w:cs="Times New Roman"/>
              </w:rPr>
              <w:br/>
              <w:t>According to the document content:</w:t>
            </w:r>
            <w:r w:rsidRPr="00CB2EC4">
              <w:rPr>
                <w:rFonts w:ascii="Times New Roman" w:hAnsi="Times New Roman" w:cs="Times New Roman"/>
              </w:rPr>
              <w:br/>
              <w:t>- HPV genotyping pathway: HPV16/18 negative or other 12 types positive → proceed with cervical cytology examination</w:t>
            </w:r>
            <w:r w:rsidRPr="00CB2EC4">
              <w:rPr>
                <w:rFonts w:ascii="Times New Roman" w:hAnsi="Times New Roman" w:cs="Times New Roman"/>
              </w:rPr>
              <w:br/>
              <w:t>- HPV16/18 negative but other 12 high-risk HPV types positive → proceed with cervical cytology examination</w:t>
            </w:r>
            <w:r w:rsidRPr="00CB2EC4">
              <w:rPr>
                <w:rFonts w:ascii="Times New Roman" w:hAnsi="Times New Roman" w:cs="Times New Roman"/>
              </w:rPr>
              <w:br/>
            </w:r>
            <w:r w:rsidRPr="00CB2EC4">
              <w:rPr>
                <w:rFonts w:ascii="Times New Roman" w:hAnsi="Times New Roman" w:cs="Times New Roman"/>
              </w:rPr>
              <w:br/>
              <w:t>Therefore, the follow-up test is cervical cytology examination.</w:t>
            </w:r>
          </w:p>
        </w:tc>
        <w:tc>
          <w:tcPr>
            <w:tcW w:w="1152" w:type="dxa"/>
            <w:vAlign w:val="center"/>
          </w:tcPr>
          <w:p w14:paraId="3D5F13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8C47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9C58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D63EC4" w14:textId="77777777">
        <w:tc>
          <w:tcPr>
            <w:tcW w:w="2160" w:type="dxa"/>
            <w:vAlign w:val="center"/>
          </w:tcPr>
          <w:p w14:paraId="7C6C6AF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650E9CF" w14:textId="77777777" w:rsidR="00922249" w:rsidRPr="00CB2EC4" w:rsidRDefault="003011D5">
            <w:pPr>
              <w:rPr>
                <w:rFonts w:ascii="Times New Roman" w:hAnsi="Times New Roman" w:cs="Times New Roman"/>
              </w:rPr>
            </w:pPr>
            <w:r w:rsidRPr="00CB2EC4">
              <w:rPr>
                <w:rFonts w:ascii="Times New Roman" w:hAnsi="Times New Roman" w:cs="Times New Roman"/>
              </w:rPr>
              <w:t>when the initial screening shows HPV positive with a high-risk HPV type, and typing reveals it is neither HPV16/18 positive but belongs to one of the other twelve types, the most likely subsequent test is cervical cytology.</w:t>
            </w:r>
            <w:r w:rsidRPr="00CB2EC4">
              <w:rPr>
                <w:rFonts w:ascii="Times New Roman" w:hAnsi="Times New Roman" w:cs="Times New Roman"/>
              </w:rPr>
              <w:br/>
            </w:r>
            <w:r w:rsidRPr="00CB2EC4">
              <w:rPr>
                <w:rFonts w:ascii="Times New Roman" w:hAnsi="Times New Roman" w:cs="Times New Roman"/>
              </w:rPr>
              <w:br/>
              <w:t xml:space="preserve">- Basis: Document fragment 1 (relevance: 0.9655) explicitly states in the HPV typing pathway: "HPV16/18 negative or other 12 types positive → perform cervical cytology." This indicates that patients with high-risk HPV positive, non-HPV16/18 but positive for one of the other twelve high-risk </w:t>
            </w:r>
            <w:r w:rsidRPr="00CB2EC4">
              <w:rPr>
                <w:rFonts w:ascii="Times New Roman" w:hAnsi="Times New Roman" w:cs="Times New Roman"/>
              </w:rPr>
              <w:lastRenderedPageBreak/>
              <w:t>types, should proceed directly to cytology for further evaluation of abnormalities.</w:t>
            </w:r>
          </w:p>
        </w:tc>
        <w:tc>
          <w:tcPr>
            <w:tcW w:w="1152" w:type="dxa"/>
            <w:vAlign w:val="center"/>
          </w:tcPr>
          <w:p w14:paraId="4926A7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E588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BD2F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E89CC9" w14:textId="77777777">
        <w:tc>
          <w:tcPr>
            <w:tcW w:w="2160" w:type="dxa"/>
            <w:vAlign w:val="center"/>
          </w:tcPr>
          <w:p w14:paraId="6C32B96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1005B5E" w14:textId="77777777" w:rsidR="00922249" w:rsidRPr="00CB2EC4" w:rsidRDefault="003011D5">
            <w:pPr>
              <w:rPr>
                <w:rFonts w:ascii="Times New Roman" w:hAnsi="Times New Roman" w:cs="Times New Roman"/>
              </w:rPr>
            </w:pPr>
            <w:r w:rsidRPr="00CB2EC4">
              <w:rPr>
                <w:rFonts w:ascii="Times New Roman" w:hAnsi="Times New Roman" w:cs="Times New Roman"/>
              </w:rPr>
              <w:t>when initial screening shows HPV positive with high-risk HPV types, and typing examination reveals it is neither HPV16/18 positive but belongs to one of the other twelve types, the most likely subsequent examination is cervical cytology.</w:t>
            </w:r>
            <w:r w:rsidRPr="00CB2EC4">
              <w:rPr>
                <w:rFonts w:ascii="Times New Roman" w:hAnsi="Times New Roman" w:cs="Times New Roman"/>
              </w:rPr>
              <w:br/>
            </w:r>
            <w:r w:rsidRPr="00CB2EC4">
              <w:rPr>
                <w:rFonts w:ascii="Times New Roman" w:hAnsi="Times New Roman" w:cs="Times New Roman"/>
              </w:rPr>
              <w:br/>
              <w:t>based on contextual information (Figure 1 in relevant excerpt 1):</w:t>
            </w:r>
            <w:r w:rsidRPr="00CB2EC4">
              <w:rPr>
                <w:rFonts w:ascii="Times New Roman" w:hAnsi="Times New Roman" w:cs="Times New Roman"/>
              </w:rPr>
              <w:br/>
            </w:r>
            <w:r w:rsidRPr="00CB2EC4">
              <w:rPr>
                <w:rFonts w:ascii="Times New Roman" w:hAnsi="Times New Roman" w:cs="Times New Roman"/>
              </w:rPr>
              <w:br/>
              <w:t>- for patients with high-risk HPV positive, if typing test shows HPV16/18 negative but other 12 types positive, cervical cytology should be performed.</w:t>
            </w:r>
            <w:r w:rsidRPr="00CB2EC4">
              <w:rPr>
                <w:rFonts w:ascii="Times New Roman" w:hAnsi="Times New Roman" w:cs="Times New Roman"/>
              </w:rPr>
              <w:br/>
              <w:t>- specific process: in the HPV typing pathway, HPV16/18 negative or other 12 types positive → perform cervical cytology.</w:t>
            </w:r>
            <w:r w:rsidRPr="00CB2EC4">
              <w:rPr>
                <w:rFonts w:ascii="Times New Roman" w:hAnsi="Times New Roman" w:cs="Times New Roman"/>
              </w:rPr>
              <w:br/>
              <w:t>- therefore, the most likely subsequent examination is cervical cytology.</w:t>
            </w:r>
          </w:p>
        </w:tc>
        <w:tc>
          <w:tcPr>
            <w:tcW w:w="1152" w:type="dxa"/>
            <w:vAlign w:val="center"/>
          </w:tcPr>
          <w:p w14:paraId="35BE1E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97CB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747C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7239C8" w14:textId="77777777">
        <w:tc>
          <w:tcPr>
            <w:tcW w:w="2160" w:type="dxa"/>
            <w:vAlign w:val="center"/>
          </w:tcPr>
          <w:p w14:paraId="50D38FF4"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F4661AD" w14:textId="77777777" w:rsidR="00922249" w:rsidRPr="00CB2EC4" w:rsidRDefault="003011D5">
            <w:pPr>
              <w:rPr>
                <w:rFonts w:ascii="Times New Roman" w:hAnsi="Times New Roman" w:cs="Times New Roman"/>
              </w:rPr>
            </w:pPr>
            <w:r w:rsidRPr="00CB2EC4">
              <w:rPr>
                <w:rFonts w:ascii="Times New Roman" w:hAnsi="Times New Roman" w:cs="Times New Roman"/>
              </w:rPr>
              <w:t>when the initial screening shows HPV positive with a high-risk HPV type, and typing reveals it is neither HPV16/18 positive but belongs to one of the other twelve types, the most likely subsequent test is cytology (if not included in the initial screening). If cytology is negative, repeat co-testing (HPV and cytology) in 1 year is recommended; if cytology is abnormal (e.g., ASC-US or worse), colposcopy is indicated.</w:t>
            </w:r>
          </w:p>
        </w:tc>
        <w:tc>
          <w:tcPr>
            <w:tcW w:w="1152" w:type="dxa"/>
            <w:vAlign w:val="center"/>
          </w:tcPr>
          <w:p w14:paraId="2A1E02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43EB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A7B2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1721E9" w14:textId="77777777">
        <w:tc>
          <w:tcPr>
            <w:tcW w:w="10656" w:type="dxa"/>
            <w:gridSpan w:val="5"/>
            <w:tcBorders>
              <w:bottom w:val="single" w:sz="6" w:space="0" w:color="auto"/>
            </w:tcBorders>
            <w:vAlign w:val="center"/>
          </w:tcPr>
          <w:p w14:paraId="591F76A3" w14:textId="77777777" w:rsidR="00922249" w:rsidRPr="00CB2EC4" w:rsidRDefault="003011D5">
            <w:pPr>
              <w:rPr>
                <w:rFonts w:ascii="Times New Roman" w:hAnsi="Times New Roman" w:cs="Times New Roman"/>
              </w:rPr>
            </w:pPr>
            <w:r w:rsidRPr="00CB2EC4">
              <w:rPr>
                <w:rFonts w:ascii="Times New Roman" w:hAnsi="Times New Roman" w:cs="Times New Roman"/>
                <w:b/>
              </w:rPr>
              <w:t>Question 7: When cytological examination indicates ASC-US as an abnormal initial screening result, what is the next step in the examination?</w:t>
            </w:r>
          </w:p>
        </w:tc>
      </w:tr>
      <w:tr w:rsidR="00922249" w:rsidRPr="00CB2EC4" w14:paraId="5E9C53E8" w14:textId="77777777">
        <w:tc>
          <w:tcPr>
            <w:tcW w:w="2160" w:type="dxa"/>
            <w:vAlign w:val="center"/>
          </w:tcPr>
          <w:p w14:paraId="3D7CA13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1409B7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a cervical cytology examination shows ASC-US as an abnormal initial screening result, the next step is HPV testing for triage. According to Figure 2 </w:t>
            </w:r>
            <w:r w:rsidRPr="00CB2EC4">
              <w:rPr>
                <w:rFonts w:ascii="Times New Roman" w:hAnsi="Times New Roman" w:cs="Times New Roman"/>
              </w:rPr>
              <w:lastRenderedPageBreak/>
              <w:t>(Management Flowchart for Abnormal Cervical Cytology) in the document, for patients with ASC-US, HPV testing should be performed first. Therefore, the next examination is HPV testing.</w:t>
            </w:r>
          </w:p>
        </w:tc>
        <w:tc>
          <w:tcPr>
            <w:tcW w:w="1152" w:type="dxa"/>
            <w:vAlign w:val="center"/>
          </w:tcPr>
          <w:p w14:paraId="5698BC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C7EDB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9C250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B16221" w14:textId="77777777">
        <w:tc>
          <w:tcPr>
            <w:tcW w:w="2160" w:type="dxa"/>
            <w:vAlign w:val="center"/>
          </w:tcPr>
          <w:p w14:paraId="2E4BCB31"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CBEDD7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a cytology examination shows ASC-US as an abnormal initial screening result, the next step is to perform high-risk HPV testing.  </w:t>
            </w:r>
            <w:r w:rsidRPr="00CB2EC4">
              <w:rPr>
                <w:rFonts w:ascii="Times New Roman" w:hAnsi="Times New Roman" w:cs="Times New Roman"/>
              </w:rPr>
              <w:br/>
              <w:t xml:space="preserve">- Basis:  </w:t>
            </w:r>
            <w:r w:rsidRPr="00CB2EC4">
              <w:rPr>
                <w:rFonts w:ascii="Times New Roman" w:hAnsi="Times New Roman" w:cs="Times New Roman"/>
              </w:rPr>
              <w:br/>
              <w:t xml:space="preserve">  Document Fragment 1 (Block Theme: Management Flow for HPV Positive and Cytological Abnormalities) and Figure 2 specify:  </w:t>
            </w:r>
            <w:r w:rsidRPr="00CB2EC4">
              <w:rPr>
                <w:rFonts w:ascii="Times New Roman" w:hAnsi="Times New Roman" w:cs="Times New Roman"/>
              </w:rPr>
              <w:br/>
              <w:t xml:space="preserve">  &gt; "ASC-US patients: First conduct HPV testing. If HPV positive (+) → refer for colposcopy; if HPV negative (-) → repeat cytology in 1 year."  </w:t>
            </w:r>
            <w:r w:rsidRPr="00CB2EC4">
              <w:rPr>
                <w:rFonts w:ascii="Times New Roman" w:hAnsi="Times New Roman" w:cs="Times New Roman"/>
              </w:rPr>
              <w:br/>
              <w:t xml:space="preserve">  Additionally, Document Fragment 2 (Block Theme: Guidelines for Managing Cytological Abnormalities) emphasizes:  </w:t>
            </w:r>
            <w:r w:rsidRPr="00CB2EC4">
              <w:rPr>
                <w:rFonts w:ascii="Times New Roman" w:hAnsi="Times New Roman" w:cs="Times New Roman"/>
              </w:rPr>
              <w:br/>
              <w:t xml:space="preserve">  &gt; "Use HPV testing to triage ASC-US."</w:t>
            </w:r>
          </w:p>
        </w:tc>
        <w:tc>
          <w:tcPr>
            <w:tcW w:w="1152" w:type="dxa"/>
            <w:vAlign w:val="center"/>
          </w:tcPr>
          <w:p w14:paraId="3142B6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5AAD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C3DA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698866" w14:textId="77777777">
        <w:tc>
          <w:tcPr>
            <w:tcW w:w="2160" w:type="dxa"/>
            <w:vAlign w:val="center"/>
          </w:tcPr>
          <w:p w14:paraId="500E44C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E71A0B8"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examination shows ASC-US as an abnormal initial screening result, the next step is to perform HPV testing for triage. Specifically:</w:t>
            </w:r>
            <w:r w:rsidRPr="00CB2EC4">
              <w:rPr>
                <w:rFonts w:ascii="Times New Roman" w:hAnsi="Times New Roman" w:cs="Times New Roman"/>
              </w:rPr>
              <w:br/>
            </w:r>
            <w:r w:rsidRPr="00CB2EC4">
              <w:rPr>
                <w:rFonts w:ascii="Times New Roman" w:hAnsi="Times New Roman" w:cs="Times New Roman"/>
              </w:rPr>
              <w:br/>
              <w:t>- Patients with ASC-US should first undergo HPV testing.</w:t>
            </w:r>
            <w:r w:rsidRPr="00CB2EC4">
              <w:rPr>
                <w:rFonts w:ascii="Times New Roman" w:hAnsi="Times New Roman" w:cs="Times New Roman"/>
              </w:rPr>
              <w:br/>
              <w:t>- The HPV test result determines subsequent management:</w:t>
            </w:r>
            <w:r w:rsidRPr="00CB2EC4">
              <w:rPr>
                <w:rFonts w:ascii="Times New Roman" w:hAnsi="Times New Roman" w:cs="Times New Roman"/>
              </w:rPr>
              <w:br/>
              <w:t xml:space="preserve">  - If HPV positive, refer for colposcopy.</w:t>
            </w:r>
            <w:r w:rsidRPr="00CB2EC4">
              <w:rPr>
                <w:rFonts w:ascii="Times New Roman" w:hAnsi="Times New Roman" w:cs="Times New Roman"/>
              </w:rPr>
              <w:br/>
              <w:t xml:space="preserve">  - If HPV negative, recommend repeat cytology in 1 year.</w:t>
            </w:r>
            <w:r w:rsidRPr="00CB2EC4">
              <w:rPr>
                <w:rFonts w:ascii="Times New Roman" w:hAnsi="Times New Roman" w:cs="Times New Roman"/>
              </w:rPr>
              <w:br/>
            </w:r>
            <w:r w:rsidRPr="00CB2EC4">
              <w:rPr>
                <w:rFonts w:ascii="Times New Roman" w:hAnsi="Times New Roman" w:cs="Times New Roman"/>
              </w:rPr>
              <w:br/>
              <w:t xml:space="preserve">(Note: Document fragment 2 confirms that for cytology (ASC-US) &amp; HPV (-), a 1-year follow-up cytology should be conducted, but this is contingent </w:t>
            </w:r>
            <w:r w:rsidRPr="00CB2EC4">
              <w:rPr>
                <w:rFonts w:ascii="Times New Roman" w:hAnsi="Times New Roman" w:cs="Times New Roman"/>
              </w:rPr>
              <w:lastRenderedPageBreak/>
              <w:t>upon completing HPV testing.)</w:t>
            </w:r>
          </w:p>
        </w:tc>
        <w:tc>
          <w:tcPr>
            <w:tcW w:w="1152" w:type="dxa"/>
            <w:vAlign w:val="center"/>
          </w:tcPr>
          <w:p w14:paraId="782F9A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548AF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7ABB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CFC8E4" w14:textId="77777777">
        <w:tc>
          <w:tcPr>
            <w:tcW w:w="2160" w:type="dxa"/>
            <w:vAlign w:val="center"/>
          </w:tcPr>
          <w:p w14:paraId="6EA29FB9"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FD660E8"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examination shows ASC-US as an abnormal initial screening result, the next step is:</w:t>
            </w:r>
            <w:r w:rsidRPr="00CB2EC4">
              <w:rPr>
                <w:rFonts w:ascii="Times New Roman" w:hAnsi="Times New Roman" w:cs="Times New Roman"/>
              </w:rPr>
              <w:br/>
            </w:r>
            <w:r w:rsidRPr="00CB2EC4">
              <w:rPr>
                <w:rFonts w:ascii="Times New Roman" w:hAnsi="Times New Roman" w:cs="Times New Roman"/>
              </w:rPr>
              <w:br/>
              <w:t>- HPV testing is the preferred method for triage.</w:t>
            </w:r>
            <w:r w:rsidRPr="00CB2EC4">
              <w:rPr>
                <w:rFonts w:ascii="Times New Roman" w:hAnsi="Times New Roman" w:cs="Times New Roman"/>
              </w:rPr>
              <w:br/>
              <w:t xml:space="preserve">  Basis:</w:t>
            </w:r>
            <w:r w:rsidRPr="00CB2EC4">
              <w:rPr>
                <w:rFonts w:ascii="Times New Roman" w:hAnsi="Times New Roman" w:cs="Times New Roman"/>
              </w:rPr>
              <w:br/>
              <w:t xml:space="preserve">  - Figure 2 workflow specifies: patients with ASC-US should first undergo HPV testing (Figure 2, ASC-US management pathway).</w:t>
            </w:r>
            <w:r w:rsidRPr="00CB2EC4">
              <w:rPr>
                <w:rFonts w:ascii="Times New Roman" w:hAnsi="Times New Roman" w:cs="Times New Roman"/>
              </w:rPr>
              <w:br/>
              <w:t xml:space="preserve">  - Text explicitly states: "Patients with ASC-US: HPV testing should be performed first" (contextual text).</w:t>
            </w:r>
          </w:p>
        </w:tc>
        <w:tc>
          <w:tcPr>
            <w:tcW w:w="1152" w:type="dxa"/>
            <w:vAlign w:val="center"/>
          </w:tcPr>
          <w:p w14:paraId="0E50A9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7AF2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B697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CC4973" w14:textId="77777777">
        <w:tc>
          <w:tcPr>
            <w:tcW w:w="2160" w:type="dxa"/>
            <w:vAlign w:val="center"/>
          </w:tcPr>
          <w:p w14:paraId="5B5AA3C0"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F48DD2F"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test shows ASC-US as an abnormal initial screening result, the next step is to perform HPV testing for triage. If HPV is positive, refer for colposcopy; if HPV is negative, recommend repeat cytology in 1 year. If HPV testing is not available, refer directly for colposcopy.</w:t>
            </w:r>
          </w:p>
        </w:tc>
        <w:tc>
          <w:tcPr>
            <w:tcW w:w="1152" w:type="dxa"/>
            <w:vAlign w:val="center"/>
          </w:tcPr>
          <w:p w14:paraId="695A25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4FEA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EEFF6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9833C76" w14:textId="77777777">
        <w:tc>
          <w:tcPr>
            <w:tcW w:w="2160" w:type="dxa"/>
            <w:vAlign w:val="center"/>
          </w:tcPr>
          <w:p w14:paraId="062A829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7DFBA96" w14:textId="77777777" w:rsidR="00922249" w:rsidRPr="00CB2EC4" w:rsidRDefault="003011D5">
            <w:pPr>
              <w:rPr>
                <w:rFonts w:ascii="Times New Roman" w:hAnsi="Times New Roman" w:cs="Times New Roman"/>
              </w:rPr>
            </w:pPr>
            <w:r w:rsidRPr="00CB2EC4">
              <w:rPr>
                <w:rFonts w:ascii="Times New Roman" w:hAnsi="Times New Roman" w:cs="Times New Roman"/>
              </w:rPr>
              <w:t>the next step is to perform HPV testing.</w:t>
            </w:r>
          </w:p>
        </w:tc>
        <w:tc>
          <w:tcPr>
            <w:tcW w:w="1152" w:type="dxa"/>
            <w:vAlign w:val="center"/>
          </w:tcPr>
          <w:p w14:paraId="4D05D2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3571F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640E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0B9290" w14:textId="77777777">
        <w:tc>
          <w:tcPr>
            <w:tcW w:w="2160" w:type="dxa"/>
            <w:vAlign w:val="center"/>
          </w:tcPr>
          <w:p w14:paraId="4AB34FE9"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C0D7DB4"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results show ASC-US as the initial abnormal screening finding, the next step is to perform HPV testing for triage.</w:t>
            </w:r>
            <w:r w:rsidRPr="00CB2EC4">
              <w:rPr>
                <w:rFonts w:ascii="Times New Roman" w:hAnsi="Times New Roman" w:cs="Times New Roman"/>
              </w:rPr>
              <w:br/>
            </w:r>
            <w:r w:rsidRPr="00CB2EC4">
              <w:rPr>
                <w:rFonts w:ascii="Times New Roman" w:hAnsi="Times New Roman" w:cs="Times New Roman"/>
              </w:rPr>
              <w:br/>
              <w:t>According to the document:</w:t>
            </w:r>
            <w:r w:rsidRPr="00CB2EC4">
              <w:rPr>
                <w:rFonts w:ascii="Times New Roman" w:hAnsi="Times New Roman" w:cs="Times New Roman"/>
              </w:rPr>
              <w:br/>
              <w:t>- Patients with ASC-US (Atypical Squamous Cells of Undetermined Significance) should first undergo HPV testing.</w:t>
            </w:r>
            <w:r w:rsidRPr="00CB2EC4">
              <w:rPr>
                <w:rFonts w:ascii="Times New Roman" w:hAnsi="Times New Roman" w:cs="Times New Roman"/>
              </w:rPr>
              <w:br/>
              <w:t>- If HPV testing is positive → Refer for colposcopy.</w:t>
            </w:r>
            <w:r w:rsidRPr="00CB2EC4">
              <w:rPr>
                <w:rFonts w:ascii="Times New Roman" w:hAnsi="Times New Roman" w:cs="Times New Roman"/>
              </w:rPr>
              <w:br/>
              <w:t>- If HPV testing is negative → Recommend regular follow-up screening.</w:t>
            </w:r>
            <w:r w:rsidRPr="00CB2EC4">
              <w:rPr>
                <w:rFonts w:ascii="Times New Roman" w:hAnsi="Times New Roman" w:cs="Times New Roman"/>
              </w:rPr>
              <w:br/>
            </w:r>
            <w:r w:rsidRPr="00CB2EC4">
              <w:rPr>
                <w:rFonts w:ascii="Times New Roman" w:hAnsi="Times New Roman" w:cs="Times New Roman"/>
              </w:rPr>
              <w:br/>
              <w:t xml:space="preserve">This process aligns with standard screening guidelines, aiming to improve the detection efficiency of cervical lesions and reduce unnecessary colposcopy </w:t>
            </w:r>
            <w:r w:rsidRPr="00CB2EC4">
              <w:rPr>
                <w:rFonts w:ascii="Times New Roman" w:hAnsi="Times New Roman" w:cs="Times New Roman"/>
              </w:rPr>
              <w:lastRenderedPageBreak/>
              <w:t>referrals through HPV genotyping.</w:t>
            </w:r>
          </w:p>
        </w:tc>
        <w:tc>
          <w:tcPr>
            <w:tcW w:w="1152" w:type="dxa"/>
            <w:vAlign w:val="center"/>
          </w:tcPr>
          <w:p w14:paraId="0C9C36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F63E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BB71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DF9BF3" w14:textId="77777777">
        <w:tc>
          <w:tcPr>
            <w:tcW w:w="2160" w:type="dxa"/>
            <w:vAlign w:val="center"/>
          </w:tcPr>
          <w:p w14:paraId="2502540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55EC02C"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examination shows ASC-US as an abnormal initial screening result, the next step is HPV testing.</w:t>
            </w:r>
            <w:r w:rsidRPr="00CB2EC4">
              <w:rPr>
                <w:rFonts w:ascii="Times New Roman" w:hAnsi="Times New Roman" w:cs="Times New Roman"/>
              </w:rPr>
              <w:br/>
            </w:r>
            <w:r w:rsidRPr="00CB2EC4">
              <w:rPr>
                <w:rFonts w:ascii="Times New Roman" w:hAnsi="Times New Roman" w:cs="Times New Roman"/>
              </w:rPr>
              <w:br/>
              <w:t>according to document fragment 1 (similarity 0.698), figure 2 describes that patients with ASC-US should first undergo HPV testing for triage. document fragment 2 (similarity 0.647) and document fragment 6 (similarity 0.567) further confirm that when ASC-US is an abnormal result, the next step is to use HPV testing as a triage tool. therefore, the next examination is HPV testing.</w:t>
            </w:r>
          </w:p>
        </w:tc>
        <w:tc>
          <w:tcPr>
            <w:tcW w:w="1152" w:type="dxa"/>
            <w:vAlign w:val="center"/>
          </w:tcPr>
          <w:p w14:paraId="7EFF4F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8E0A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3A97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25624A7" w14:textId="77777777">
        <w:tc>
          <w:tcPr>
            <w:tcW w:w="2160" w:type="dxa"/>
            <w:vAlign w:val="center"/>
          </w:tcPr>
          <w:p w14:paraId="6A6E7D63"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BCD1D14" w14:textId="77777777" w:rsidR="00922249" w:rsidRPr="00CB2EC4" w:rsidRDefault="003011D5">
            <w:pPr>
              <w:rPr>
                <w:rFonts w:ascii="Times New Roman" w:hAnsi="Times New Roman" w:cs="Times New Roman"/>
              </w:rPr>
            </w:pPr>
            <w:r w:rsidRPr="00CB2EC4">
              <w:rPr>
                <w:rFonts w:ascii="Times New Roman" w:hAnsi="Times New Roman" w:cs="Times New Roman"/>
              </w:rPr>
              <w:t>when a cervical cytology examination shows ASC-US as an abnormal initial screening result, the next step is HPV testing.</w:t>
            </w:r>
            <w:r w:rsidRPr="00CB2EC4">
              <w:rPr>
                <w:rFonts w:ascii="Times New Roman" w:hAnsi="Times New Roman" w:cs="Times New Roman"/>
              </w:rPr>
              <w:br/>
            </w:r>
            <w:r w:rsidRPr="00CB2EC4">
              <w:rPr>
                <w:rFonts w:ascii="Times New Roman" w:hAnsi="Times New Roman" w:cs="Times New Roman"/>
              </w:rPr>
              <w:br/>
              <w:t>According to the processing flowchart (Figure 2: Management of Abnormal Cervical Cytology) in the document: for patients with ASC-US, HPV testing should be performed first. The specific description is: "ASC-US patients: HPV testing should be performed first." If HPV testing is not available, the patient should be directly referred for colposcopy. Therefore, the next step is typically HPV testing.</w:t>
            </w:r>
          </w:p>
        </w:tc>
        <w:tc>
          <w:tcPr>
            <w:tcW w:w="1152" w:type="dxa"/>
            <w:vAlign w:val="center"/>
          </w:tcPr>
          <w:p w14:paraId="76E141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A8CB0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5783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2C2C86" w14:textId="77777777">
        <w:tc>
          <w:tcPr>
            <w:tcW w:w="2160" w:type="dxa"/>
            <w:vAlign w:val="center"/>
          </w:tcPr>
          <w:p w14:paraId="2DC8ED2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03F3D93"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examination shows ASC-US as an abnormal initial screening result, the next step is HPV testing.</w:t>
            </w:r>
            <w:r w:rsidRPr="00CB2EC4">
              <w:rPr>
                <w:rFonts w:ascii="Times New Roman" w:hAnsi="Times New Roman" w:cs="Times New Roman"/>
              </w:rPr>
              <w:br/>
            </w:r>
            <w:r w:rsidRPr="00CB2EC4">
              <w:rPr>
                <w:rFonts w:ascii="Times New Roman" w:hAnsi="Times New Roman" w:cs="Times New Roman"/>
              </w:rPr>
              <w:br/>
              <w:t xml:space="preserve">according to document fragment 1 (similarity 0.698), figure 2 indicates that patients with ASC-US should first undergo HPV testing for triage. document fragment 2 (similarity 0.647) and document fragment </w:t>
            </w:r>
            <w:r w:rsidRPr="00CB2EC4">
              <w:rPr>
                <w:rFonts w:ascii="Times New Roman" w:hAnsi="Times New Roman" w:cs="Times New Roman"/>
              </w:rPr>
              <w:lastRenderedPageBreak/>
              <w:t>6 (similarity 0.567) further confirm that when ASC-US is an abnormal result, the next step is to use HPV testing as a triage tool. therefore, the next examination is HPV testing.</w:t>
            </w:r>
          </w:p>
        </w:tc>
        <w:tc>
          <w:tcPr>
            <w:tcW w:w="1152" w:type="dxa"/>
            <w:vAlign w:val="center"/>
          </w:tcPr>
          <w:p w14:paraId="6529F7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60EDE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71C8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D5197F" w14:textId="77777777">
        <w:tc>
          <w:tcPr>
            <w:tcW w:w="2160" w:type="dxa"/>
            <w:vAlign w:val="center"/>
          </w:tcPr>
          <w:p w14:paraId="6CB4F9CD"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5E0279A"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results show ASC-US as the initial abnormal screening finding, the next step is to perform HPV testing for triage.</w:t>
            </w:r>
            <w:r w:rsidRPr="00CB2EC4">
              <w:rPr>
                <w:rFonts w:ascii="Times New Roman" w:hAnsi="Times New Roman" w:cs="Times New Roman"/>
              </w:rPr>
              <w:br/>
            </w:r>
            <w:r w:rsidRPr="00CB2EC4">
              <w:rPr>
                <w:rFonts w:ascii="Times New Roman" w:hAnsi="Times New Roman" w:cs="Times New Roman"/>
              </w:rPr>
              <w:br/>
              <w:t>→ Patients with ASC-US: HPV testing should be performed first.</w:t>
            </w:r>
            <w:r w:rsidRPr="00CB2EC4">
              <w:rPr>
                <w:rFonts w:ascii="Times New Roman" w:hAnsi="Times New Roman" w:cs="Times New Roman"/>
              </w:rPr>
              <w:br/>
            </w:r>
            <w:r w:rsidRPr="00CB2EC4">
              <w:rPr>
                <w:rFonts w:ascii="Times New Roman" w:hAnsi="Times New Roman" w:cs="Times New Roman"/>
              </w:rPr>
              <w:br/>
              <w:t>→ Patients with ASC-US should undergo HPV testing initially.</w:t>
            </w:r>
            <w:r w:rsidRPr="00CB2EC4">
              <w:rPr>
                <w:rFonts w:ascii="Times New Roman" w:hAnsi="Times New Roman" w:cs="Times New Roman"/>
              </w:rPr>
              <w:br/>
            </w:r>
            <w:r w:rsidRPr="00CB2EC4">
              <w:rPr>
                <w:rFonts w:ascii="Times New Roman" w:hAnsi="Times New Roman" w:cs="Times New Roman"/>
              </w:rPr>
              <w:br/>
              <w:t>Therefore, the next step is HPV testing to determine whether referral for colposcopy or follow-up monitoring is required.</w:t>
            </w:r>
          </w:p>
        </w:tc>
        <w:tc>
          <w:tcPr>
            <w:tcW w:w="1152" w:type="dxa"/>
            <w:vAlign w:val="center"/>
          </w:tcPr>
          <w:p w14:paraId="335C42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6261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3E9B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A81381" w14:textId="77777777">
        <w:tc>
          <w:tcPr>
            <w:tcW w:w="2160" w:type="dxa"/>
            <w:vAlign w:val="center"/>
          </w:tcPr>
          <w:p w14:paraId="403FDD6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D1E7297"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test shows ASC-US as an abnormal initial screening result, the next step is to perform an HPV test.</w:t>
            </w:r>
            <w:r w:rsidRPr="00CB2EC4">
              <w:rPr>
                <w:rFonts w:ascii="Times New Roman" w:hAnsi="Times New Roman" w:cs="Times New Roman"/>
              </w:rPr>
              <w:br/>
            </w:r>
            <w:r w:rsidRPr="00CB2EC4">
              <w:rPr>
                <w:rFonts w:ascii="Times New Roman" w:hAnsi="Times New Roman" w:cs="Times New Roman"/>
              </w:rPr>
              <w:br/>
              <w:t>- Basis: Document fragment 1 (relevance: 0.9655), Figure 2 processing flow states: "ASC-US patients: HPV testing should be performed first." This emphasizes HPV testing as the triage step for ASC-US results to guide subsequent management (e.g., referral for colposcopy or repeat testing).</w:t>
            </w:r>
          </w:p>
        </w:tc>
        <w:tc>
          <w:tcPr>
            <w:tcW w:w="1152" w:type="dxa"/>
            <w:vAlign w:val="center"/>
          </w:tcPr>
          <w:p w14:paraId="441EFC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C789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ECA5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5BE860" w14:textId="77777777">
        <w:tc>
          <w:tcPr>
            <w:tcW w:w="2160" w:type="dxa"/>
            <w:vAlign w:val="center"/>
          </w:tcPr>
          <w:p w14:paraId="000111B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41212EB" w14:textId="77777777" w:rsidR="00922249" w:rsidRPr="00CB2EC4" w:rsidRDefault="003011D5">
            <w:pPr>
              <w:rPr>
                <w:rFonts w:ascii="Times New Roman" w:hAnsi="Times New Roman" w:cs="Times New Roman"/>
              </w:rPr>
            </w:pPr>
            <w:r w:rsidRPr="00CB2EC4">
              <w:rPr>
                <w:rFonts w:ascii="Times New Roman" w:hAnsi="Times New Roman" w:cs="Times New Roman"/>
              </w:rPr>
              <w:t>when a cervical cytology examination shows ASC-US as an abnormal initial screening result, the next step is:</w:t>
            </w:r>
            <w:r w:rsidRPr="00CB2EC4">
              <w:rPr>
                <w:rFonts w:ascii="Times New Roman" w:hAnsi="Times New Roman" w:cs="Times New Roman"/>
              </w:rPr>
              <w:br/>
            </w:r>
            <w:r w:rsidRPr="00CB2EC4">
              <w:rPr>
                <w:rFonts w:ascii="Times New Roman" w:hAnsi="Times New Roman" w:cs="Times New Roman"/>
              </w:rPr>
              <w:br/>
              <w:t xml:space="preserve">- For cervical cytology abnormalities (including ASC-US), ASC-US patients should first undergo HPV </w:t>
            </w:r>
            <w:r w:rsidRPr="00CB2EC4">
              <w:rPr>
                <w:rFonts w:ascii="Times New Roman" w:hAnsi="Times New Roman" w:cs="Times New Roman"/>
              </w:rPr>
              <w:lastRenderedPageBreak/>
              <w:t>testing for triage.</w:t>
            </w:r>
            <w:r w:rsidRPr="00CB2EC4">
              <w:rPr>
                <w:rFonts w:ascii="Times New Roman" w:hAnsi="Times New Roman" w:cs="Times New Roman"/>
              </w:rPr>
              <w:br/>
              <w:t>- Specific process: ASC-US patients → first perform HPV testing (if HPV testing is not available, refer directly to colposcopy).</w:t>
            </w:r>
            <w:r w:rsidRPr="00CB2EC4">
              <w:rPr>
                <w:rFonts w:ascii="Times New Roman" w:hAnsi="Times New Roman" w:cs="Times New Roman"/>
              </w:rPr>
              <w:br/>
              <w:t>- Therefore, the next examination is HPV testing.</w:t>
            </w:r>
          </w:p>
        </w:tc>
        <w:tc>
          <w:tcPr>
            <w:tcW w:w="1152" w:type="dxa"/>
            <w:vAlign w:val="center"/>
          </w:tcPr>
          <w:p w14:paraId="046C8F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B6BB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39A4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54CCE4" w14:textId="77777777">
        <w:tc>
          <w:tcPr>
            <w:tcW w:w="2160" w:type="dxa"/>
            <w:vAlign w:val="center"/>
          </w:tcPr>
          <w:p w14:paraId="2AEE9427"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DB65783"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shows ASC-US as an abnormal initial screening result, the next step is HPV testing for triage management. The HPV test result determines subsequent steps: if HPV positive, colposcopy is recommended; if HPV negative, follow-up is advised.</w:t>
            </w:r>
          </w:p>
        </w:tc>
        <w:tc>
          <w:tcPr>
            <w:tcW w:w="1152" w:type="dxa"/>
            <w:vAlign w:val="center"/>
          </w:tcPr>
          <w:p w14:paraId="774811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C254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4197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22B4FFC" w14:textId="77777777">
        <w:tc>
          <w:tcPr>
            <w:tcW w:w="10656" w:type="dxa"/>
            <w:gridSpan w:val="5"/>
            <w:tcBorders>
              <w:bottom w:val="single" w:sz="6" w:space="0" w:color="auto"/>
            </w:tcBorders>
            <w:vAlign w:val="center"/>
          </w:tcPr>
          <w:p w14:paraId="574521B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8: When cytological examination indicates ASC-US as an abnormal initial screening result and HPV is used for triage, if HPV is positive, should a colposcopy follow?</w:t>
            </w:r>
          </w:p>
        </w:tc>
      </w:tr>
      <w:tr w:rsidR="00922249" w:rsidRPr="00CB2EC4" w14:paraId="2B0C155C" w14:textId="77777777">
        <w:tc>
          <w:tcPr>
            <w:tcW w:w="2160" w:type="dxa"/>
            <w:vAlign w:val="center"/>
          </w:tcPr>
          <w:p w14:paraId="22A83C9B"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B29D9C8" w14:textId="77777777" w:rsidR="00922249" w:rsidRPr="00CB2EC4" w:rsidRDefault="003011D5">
            <w:pPr>
              <w:rPr>
                <w:rFonts w:ascii="Times New Roman" w:hAnsi="Times New Roman" w:cs="Times New Roman"/>
              </w:rPr>
            </w:pPr>
            <w:r w:rsidRPr="00CB2EC4">
              <w:rPr>
                <w:rFonts w:ascii="Times New Roman" w:hAnsi="Times New Roman" w:cs="Times New Roman"/>
              </w:rPr>
              <w:t>yes, according to the flowchart in Figure 2 of the document, when the initial cervical cytology result is ASC-US and HPV testing is used for triage, a positive HPV result should lead to referral for colposcopy. The document explicitly states: "If HPV is positive (+) → refer for colposcopy." Therefore, vaginal colposcopy should be performed.</w:t>
            </w:r>
          </w:p>
        </w:tc>
        <w:tc>
          <w:tcPr>
            <w:tcW w:w="1152" w:type="dxa"/>
            <w:vAlign w:val="center"/>
          </w:tcPr>
          <w:p w14:paraId="7F948E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2A70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17AB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389B75" w14:textId="77777777">
        <w:tc>
          <w:tcPr>
            <w:tcW w:w="2160" w:type="dxa"/>
            <w:vAlign w:val="center"/>
          </w:tcPr>
          <w:p w14:paraId="099C349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89ACB0A" w14:textId="77777777" w:rsidR="00922249" w:rsidRPr="00CB2EC4" w:rsidRDefault="003011D5">
            <w:pPr>
              <w:rPr>
                <w:rFonts w:ascii="Times New Roman" w:hAnsi="Times New Roman" w:cs="Times New Roman"/>
              </w:rPr>
            </w:pPr>
            <w:r w:rsidRPr="00CB2EC4">
              <w:rPr>
                <w:rFonts w:ascii="Times New Roman" w:hAnsi="Times New Roman" w:cs="Times New Roman"/>
              </w:rPr>
              <w:t>yes, immediate referral for colposcopy is indicated.</w:t>
            </w:r>
            <w:r w:rsidRPr="00CB2EC4">
              <w:rPr>
                <w:rFonts w:ascii="Times New Roman" w:hAnsi="Times New Roman" w:cs="Times New Roman"/>
              </w:rPr>
              <w:br/>
              <w:t>- Basis:</w:t>
            </w:r>
            <w:r w:rsidRPr="00CB2EC4">
              <w:rPr>
                <w:rFonts w:ascii="Times New Roman" w:hAnsi="Times New Roman" w:cs="Times New Roman"/>
              </w:rPr>
              <w:br/>
              <w:t xml:space="preserve">  Document excerpt 1 (topic: management flow for HPV-positive and cytological abnormalities) clearly states:</w:t>
            </w:r>
            <w:r w:rsidRPr="00CB2EC4">
              <w:rPr>
                <w:rFonts w:ascii="Times New Roman" w:hAnsi="Times New Roman" w:cs="Times New Roman"/>
              </w:rPr>
              <w:br/>
              <w:t xml:space="preserve">  &gt; "ASC-US patients: if HPV positive (+) → refer for colposcopy."</w:t>
            </w:r>
            <w:r w:rsidRPr="00CB2EC4">
              <w:rPr>
                <w:rFonts w:ascii="Times New Roman" w:hAnsi="Times New Roman" w:cs="Times New Roman"/>
              </w:rPr>
              <w:br/>
              <w:t xml:space="preserve">  Document excerpt 2 (topic: guidelines for managing cytological abnormalities) further supports:</w:t>
            </w:r>
            <w:r w:rsidRPr="00CB2EC4">
              <w:rPr>
                <w:rFonts w:ascii="Times New Roman" w:hAnsi="Times New Roman" w:cs="Times New Roman"/>
              </w:rPr>
              <w:br/>
              <w:t xml:space="preserve">  &gt; "If HPV is positive (regardless of genotyping) or HPV genotyping shows HPV16 or HPV18 positive, referral for colposcopy should be performed."</w:t>
            </w:r>
          </w:p>
        </w:tc>
        <w:tc>
          <w:tcPr>
            <w:tcW w:w="1152" w:type="dxa"/>
            <w:vAlign w:val="center"/>
          </w:tcPr>
          <w:p w14:paraId="756C29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7A6E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EF2A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E5ED8A" w14:textId="77777777">
        <w:tc>
          <w:tcPr>
            <w:tcW w:w="2160" w:type="dxa"/>
            <w:vAlign w:val="center"/>
          </w:tcPr>
          <w:p w14:paraId="60B0AC65"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4D2972C"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should be performed.</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according to document fragment 1 (relevance: 1.000), document fragment 3 (relevance: 0.800), and document fragment 6 (relevance: 0.700), when cytology shows ASC-US and HPV testing is used for triage, a positive HPV result (regardless of genotyping) warrants referral for colposcopy. specific evidence includes:</w:t>
            </w:r>
            <w:r w:rsidRPr="00CB2EC4">
              <w:rPr>
                <w:rFonts w:ascii="Times New Roman" w:hAnsi="Times New Roman" w:cs="Times New Roman"/>
              </w:rPr>
              <w:br/>
            </w:r>
            <w:r w:rsidRPr="00CB2EC4">
              <w:rPr>
                <w:rFonts w:ascii="Times New Roman" w:hAnsi="Times New Roman" w:cs="Times New Roman"/>
              </w:rPr>
              <w:br/>
              <w:t>- document fragment 1 explicitly states: "if HPV positive (+) → refer for colposcopy".</w:t>
            </w:r>
            <w:r w:rsidRPr="00CB2EC4">
              <w:rPr>
                <w:rFonts w:ascii="Times New Roman" w:hAnsi="Times New Roman" w:cs="Times New Roman"/>
              </w:rPr>
              <w:br/>
              <w:t>- document fragment 3 emphasizes: "if HPV positive (not genotyped) or HPV genotyping shows HPV16 or HPV18 positive, referral for colposcopy should be made".</w:t>
            </w:r>
            <w:r w:rsidRPr="00CB2EC4">
              <w:rPr>
                <w:rFonts w:ascii="Times New Roman" w:hAnsi="Times New Roman" w:cs="Times New Roman"/>
              </w:rPr>
              <w:br/>
              <w:t>- document fragment 6 further supports: "the cumulative 5-year risk of CIN Ⅲ+ for HPV-positive/ASC-US is 6.8%, higher than that for LSIL; based on equal risk equal management, supports direct referral to colposcopy".</w:t>
            </w:r>
            <w:r w:rsidRPr="00CB2EC4">
              <w:rPr>
                <w:rFonts w:ascii="Times New Roman" w:hAnsi="Times New Roman" w:cs="Times New Roman"/>
              </w:rPr>
              <w:br/>
            </w:r>
            <w:r w:rsidRPr="00CB2EC4">
              <w:rPr>
                <w:rFonts w:ascii="Times New Roman" w:hAnsi="Times New Roman" w:cs="Times New Roman"/>
              </w:rPr>
              <w:br/>
              <w:t>therefore, a positive HPV test is a clear indication for colposcopy referral.</w:t>
            </w:r>
          </w:p>
        </w:tc>
        <w:tc>
          <w:tcPr>
            <w:tcW w:w="1152" w:type="dxa"/>
            <w:vAlign w:val="center"/>
          </w:tcPr>
          <w:p w14:paraId="4DFE76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08C5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7AD9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85EBEE" w14:textId="77777777">
        <w:tc>
          <w:tcPr>
            <w:tcW w:w="2160" w:type="dxa"/>
            <w:vAlign w:val="center"/>
          </w:tcPr>
          <w:p w14:paraId="37D69FD9"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FBF241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refer immediately for colposcopy.  </w:t>
            </w:r>
            <w:r w:rsidRPr="00CB2EC4">
              <w:rPr>
                <w:rFonts w:ascii="Times New Roman" w:hAnsi="Times New Roman" w:cs="Times New Roman"/>
              </w:rPr>
              <w:br/>
              <w:t xml:space="preserve">- Based on Figure 2: ASC-US patients with positive HPV test (regardless of genotyping) require referral for colposcopy (ASC-US pathway in Figure 2).  </w:t>
            </w:r>
            <w:r w:rsidRPr="00CB2EC4">
              <w:rPr>
                <w:rFonts w:ascii="Times New Roman" w:hAnsi="Times New Roman" w:cs="Times New Roman"/>
              </w:rPr>
              <w:br/>
              <w:t>- Text states: "If HPV positive (+) → refer for colposcopy examination" (contextual text).</w:t>
            </w:r>
          </w:p>
        </w:tc>
        <w:tc>
          <w:tcPr>
            <w:tcW w:w="1152" w:type="dxa"/>
            <w:vAlign w:val="center"/>
          </w:tcPr>
          <w:p w14:paraId="22D791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E335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854A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897E94" w14:textId="77777777">
        <w:tc>
          <w:tcPr>
            <w:tcW w:w="2160" w:type="dxa"/>
            <w:vAlign w:val="center"/>
          </w:tcPr>
          <w:p w14:paraId="59B8CE3E"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1CD16F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according to document fragment 2, fragment 3, and fragment 4, when cytology shows ASC-US and HPV testing is positive, immediate referral for colposcopy is indicated. document fragment 4 specifically states: “HPV positive/ASC-US carries a </w:t>
            </w:r>
            <w:r w:rsidRPr="00CB2EC4">
              <w:rPr>
                <w:rFonts w:ascii="Times New Roman" w:hAnsi="Times New Roman" w:cs="Times New Roman"/>
              </w:rPr>
              <w:lastRenderedPageBreak/>
              <w:t>cumulative 5-year risk of CIN Ⅲ+ of 6.8%, which is higher than the risk for LSIL; based on the principle of equivalent risk equivalent management, this supports direct referral to colposcopy.”</w:t>
            </w:r>
          </w:p>
        </w:tc>
        <w:tc>
          <w:tcPr>
            <w:tcW w:w="1152" w:type="dxa"/>
            <w:vAlign w:val="center"/>
          </w:tcPr>
          <w:p w14:paraId="53F7A2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E10CB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4D74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4E1B57" w14:textId="77777777">
        <w:tc>
          <w:tcPr>
            <w:tcW w:w="2160" w:type="dxa"/>
            <w:vAlign w:val="center"/>
          </w:tcPr>
          <w:p w14:paraId="00C9DF5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B8AC654"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should be performed.</w:t>
            </w:r>
            <w:r w:rsidRPr="00CB2EC4">
              <w:rPr>
                <w:rFonts w:ascii="Times New Roman" w:hAnsi="Times New Roman" w:cs="Times New Roman"/>
              </w:rPr>
              <w:br/>
            </w:r>
            <w:r w:rsidRPr="00CB2EC4">
              <w:rPr>
                <w:rFonts w:ascii="Times New Roman" w:hAnsi="Times New Roman" w:cs="Times New Roman"/>
              </w:rPr>
              <w:br/>
              <w:t>According to the contextual information (Reference 1, Reference 2, and Reference 3):</w:t>
            </w:r>
            <w:r w:rsidRPr="00CB2EC4">
              <w:rPr>
                <w:rFonts w:ascii="Times New Roman" w:hAnsi="Times New Roman" w:cs="Times New Roman"/>
              </w:rPr>
              <w:br/>
              <w:t>- In patients with ASC-US, if HPV testing is positive (regardless of genotyping), immediate referral for colposcopy is indicated.</w:t>
            </w:r>
            <w:r w:rsidRPr="00CB2EC4">
              <w:rPr>
                <w:rFonts w:ascii="Times New Roman" w:hAnsi="Times New Roman" w:cs="Times New Roman"/>
              </w:rPr>
              <w:br/>
              <w:t>- Specifically: Reference 1 states “If HPV positive (+) → refer for colposcopy”; Reference 2 emphasizes “If HPV is positive (without genotyping) or HPV genotyping detects HPV16/18 positive, referral for colposcopy should be made”; Reference 3 also supports “HPV positive / ASC-US supports direct referral to colposcopy”.</w:t>
            </w:r>
            <w:r w:rsidRPr="00CB2EC4">
              <w:rPr>
                <w:rFonts w:ascii="Times New Roman" w:hAnsi="Times New Roman" w:cs="Times New Roman"/>
              </w:rPr>
              <w:br/>
              <w:t>- The documents explicitly direct colposcopy for HPV-positive cases, therefore the answer is affirmative.</w:t>
            </w:r>
            <w:r w:rsidRPr="00CB2EC4">
              <w:rPr>
                <w:rFonts w:ascii="Times New Roman" w:hAnsi="Times New Roman" w:cs="Times New Roman"/>
              </w:rPr>
              <w:br/>
            </w:r>
            <w:r w:rsidRPr="00CB2EC4">
              <w:rPr>
                <w:rFonts w:ascii="Times New Roman" w:hAnsi="Times New Roman" w:cs="Times New Roman"/>
              </w:rPr>
              <w:br/>
              <w:t>Response: Yes, colposcopy should be performed.</w:t>
            </w:r>
          </w:p>
        </w:tc>
        <w:tc>
          <w:tcPr>
            <w:tcW w:w="1152" w:type="dxa"/>
            <w:vAlign w:val="center"/>
          </w:tcPr>
          <w:p w14:paraId="75E772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26A3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4DB6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09894DC" w14:textId="77777777">
        <w:tc>
          <w:tcPr>
            <w:tcW w:w="2160" w:type="dxa"/>
            <w:vAlign w:val="center"/>
          </w:tcPr>
          <w:p w14:paraId="537BB3C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BAD4EC2"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should be performed.</w:t>
            </w:r>
            <w:r w:rsidRPr="00CB2EC4">
              <w:rPr>
                <w:rFonts w:ascii="Times New Roman" w:hAnsi="Times New Roman" w:cs="Times New Roman"/>
              </w:rPr>
              <w:br/>
            </w:r>
            <w:r w:rsidRPr="00CB2EC4">
              <w:rPr>
                <w:rFonts w:ascii="Times New Roman" w:hAnsi="Times New Roman" w:cs="Times New Roman"/>
              </w:rPr>
              <w:br/>
              <w:t>Document content consistently indicates that when ASC-US patients test HPV positive, colposcopy referral is required regardless of HPV genotyping. For example:</w:t>
            </w:r>
            <w:r w:rsidRPr="00CB2EC4">
              <w:rPr>
                <w:rFonts w:ascii="Times New Roman" w:hAnsi="Times New Roman" w:cs="Times New Roman"/>
              </w:rPr>
              <w:br/>
              <w:t>- First document excerpt: "If HPV positive (+) → refer to colposcopy".</w:t>
            </w:r>
            <w:r w:rsidRPr="00CB2EC4">
              <w:rPr>
                <w:rFonts w:ascii="Times New Roman" w:hAnsi="Times New Roman" w:cs="Times New Roman"/>
              </w:rPr>
              <w:br/>
              <w:t>- Second document excerpt: "HPV positive / ASC-US ... supports direct referral to colposcopy".</w:t>
            </w:r>
            <w:r w:rsidRPr="00CB2EC4">
              <w:rPr>
                <w:rFonts w:ascii="Times New Roman" w:hAnsi="Times New Roman" w:cs="Times New Roman"/>
              </w:rPr>
              <w:br/>
            </w:r>
            <w:r w:rsidRPr="00CB2EC4">
              <w:rPr>
                <w:rFonts w:ascii="Times New Roman" w:hAnsi="Times New Roman" w:cs="Times New Roman"/>
              </w:rPr>
              <w:lastRenderedPageBreak/>
              <w:br/>
              <w:t>This is based on the higher risk of CIN 3+ in ASC-US with HPV positivity (5-year cumulative risk of 6.8%), making colposcopy necessary.</w:t>
            </w:r>
          </w:p>
        </w:tc>
        <w:tc>
          <w:tcPr>
            <w:tcW w:w="1152" w:type="dxa"/>
            <w:vAlign w:val="center"/>
          </w:tcPr>
          <w:p w14:paraId="52B344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2546B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BAC00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4B2B8B" w14:textId="77777777">
        <w:tc>
          <w:tcPr>
            <w:tcW w:w="2160" w:type="dxa"/>
            <w:vAlign w:val="center"/>
          </w:tcPr>
          <w:p w14:paraId="0893982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1412760" w14:textId="77777777" w:rsidR="00922249" w:rsidRPr="00CB2EC4" w:rsidRDefault="003011D5">
            <w:pPr>
              <w:rPr>
                <w:rFonts w:ascii="Times New Roman" w:hAnsi="Times New Roman" w:cs="Times New Roman"/>
              </w:rPr>
            </w:pPr>
            <w:r w:rsidRPr="00CB2EC4">
              <w:rPr>
                <w:rFonts w:ascii="Times New Roman" w:hAnsi="Times New Roman" w:cs="Times New Roman"/>
              </w:rPr>
              <w:t>yes, a colposcopy should be performed. when the initial cervical cytology result is ASC-US and HPV testing is used for triage, a positive HPV result warrants referral to colposcopy. document fragment 1 (similarity 0.698) explicitly states that ASC-US patients with positive HPV testing (regardless of genotyping) should be directly referred for colposcopy. document fragment 3 (similarity 0.617) supports this conclusion, indicating that HPV-positive/ASC-US findings justify direct referral to colposcopy. document fragment 2 (similarity 0.647) further emphasizes that colposcopy referral is indicated for any HPV-positive result, whether untyped or specifically HPV16/18 positive.</w:t>
            </w:r>
          </w:p>
        </w:tc>
        <w:tc>
          <w:tcPr>
            <w:tcW w:w="1152" w:type="dxa"/>
            <w:vAlign w:val="center"/>
          </w:tcPr>
          <w:p w14:paraId="5B9056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5286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80DF3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1169E8" w14:textId="77777777">
        <w:tc>
          <w:tcPr>
            <w:tcW w:w="2160" w:type="dxa"/>
            <w:vAlign w:val="center"/>
          </w:tcPr>
          <w:p w14:paraId="00D21D3C"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7B840F2" w14:textId="77777777" w:rsidR="00922249" w:rsidRPr="00CB2EC4" w:rsidRDefault="003011D5">
            <w:pPr>
              <w:rPr>
                <w:rFonts w:ascii="Times New Roman" w:hAnsi="Times New Roman" w:cs="Times New Roman"/>
              </w:rPr>
            </w:pPr>
            <w:r w:rsidRPr="00CB2EC4">
              <w:rPr>
                <w:rFonts w:ascii="Times New Roman" w:hAnsi="Times New Roman" w:cs="Times New Roman"/>
              </w:rPr>
              <w:t>yes, according to the management flowchart (Figure 2), for patients with ASC-US on cytology, if HPV testing is positive, referral for colposcopy is indicated. The specific pathway states: "If HPV positive (+) → refer for colposcopy." Therefore, colposcopy should be performed.</w:t>
            </w:r>
          </w:p>
        </w:tc>
        <w:tc>
          <w:tcPr>
            <w:tcW w:w="1152" w:type="dxa"/>
            <w:vAlign w:val="center"/>
          </w:tcPr>
          <w:p w14:paraId="12A035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34D7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402D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4FB426D" w14:textId="77777777">
        <w:tc>
          <w:tcPr>
            <w:tcW w:w="2160" w:type="dxa"/>
            <w:vAlign w:val="center"/>
          </w:tcPr>
          <w:p w14:paraId="6518A99B"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E2F89F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colposcopy should be performed. Document fragment 1 (similarity 0.698) explicitly states that patients with ASC-US who test HPV-positive (regardless of typing) should be directly referred for colposcopy. Document fragment 3 (similarity 0.617) also supports this conclusion, indicating that the combination of HPV-positive/ASC-US warrants direct referral to colposcopy. Document fragment 2 (similarity 0.647) similarly emphasizes that </w:t>
            </w:r>
            <w:r w:rsidRPr="00CB2EC4">
              <w:rPr>
                <w:rFonts w:ascii="Times New Roman" w:hAnsi="Times New Roman" w:cs="Times New Roman"/>
              </w:rPr>
              <w:lastRenderedPageBreak/>
              <w:t>colposcopy referral is indicated when HPV is positive, whether untyped or HPV16/18 positive.</w:t>
            </w:r>
          </w:p>
        </w:tc>
        <w:tc>
          <w:tcPr>
            <w:tcW w:w="1152" w:type="dxa"/>
            <w:vAlign w:val="center"/>
          </w:tcPr>
          <w:p w14:paraId="00CCCB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BA426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5B69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BE7C66" w14:textId="77777777">
        <w:tc>
          <w:tcPr>
            <w:tcW w:w="2160" w:type="dxa"/>
            <w:vAlign w:val="center"/>
          </w:tcPr>
          <w:p w14:paraId="0630125D"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D3D2730"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should be performed. The documents explicitly state that when ASC-US is the initial abnormal screening result and HPV testing is used for triage, a positive HPV result warrants referral for colposcopy. For example, one document states: "ASC-US patients: HPV testing should be performed first; if HPV positive (+) → refer for colposcopy." Another document supports this: "HPV positive/ASC-US has a cumulative 5-year risk of CIN 3+ of 6.8%, higher than that of LSIL; based on equal risk equal management, direct referral to colposcopy is supported." Therefore, colposcopy is necessary when HPV is positive.</w:t>
            </w:r>
          </w:p>
        </w:tc>
        <w:tc>
          <w:tcPr>
            <w:tcW w:w="1152" w:type="dxa"/>
            <w:vAlign w:val="center"/>
          </w:tcPr>
          <w:p w14:paraId="2E155F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FD0C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D1F5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FD739A" w14:textId="77777777">
        <w:tc>
          <w:tcPr>
            <w:tcW w:w="2160" w:type="dxa"/>
            <w:vAlign w:val="center"/>
          </w:tcPr>
          <w:p w14:paraId="1DB734E4"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874CE85" w14:textId="77777777" w:rsidR="00922249" w:rsidRPr="00CB2EC4" w:rsidRDefault="003011D5">
            <w:pPr>
              <w:rPr>
                <w:rFonts w:ascii="Times New Roman" w:hAnsi="Times New Roman" w:cs="Times New Roman"/>
              </w:rPr>
            </w:pPr>
            <w:r w:rsidRPr="00CB2EC4">
              <w:rPr>
                <w:rFonts w:ascii="Times New Roman" w:hAnsi="Times New Roman" w:cs="Times New Roman"/>
              </w:rPr>
              <w:t>yes, if the HPV test result is positive, colposcopy should be performed.</w:t>
            </w:r>
            <w:r w:rsidRPr="00CB2EC4">
              <w:rPr>
                <w:rFonts w:ascii="Times New Roman" w:hAnsi="Times New Roman" w:cs="Times New Roman"/>
              </w:rPr>
              <w:br/>
            </w:r>
            <w:r w:rsidRPr="00CB2EC4">
              <w:rPr>
                <w:rFonts w:ascii="Times New Roman" w:hAnsi="Times New Roman" w:cs="Times New Roman"/>
              </w:rPr>
              <w:br/>
              <w:t xml:space="preserve">- Basis:  </w:t>
            </w:r>
            <w:r w:rsidRPr="00CB2EC4">
              <w:rPr>
                <w:rFonts w:ascii="Times New Roman" w:hAnsi="Times New Roman" w:cs="Times New Roman"/>
              </w:rPr>
              <w:br/>
              <w:t xml:space="preserve">  - Document excerpt 1 (relevance: 0.9655) clearly states: "ASC-US patients: if HPV positive (+) → refer for colposcopy".  </w:t>
            </w:r>
            <w:r w:rsidRPr="00CB2EC4">
              <w:rPr>
                <w:rFonts w:ascii="Times New Roman" w:hAnsi="Times New Roman" w:cs="Times New Roman"/>
              </w:rPr>
              <w:br/>
              <w:t xml:space="preserve">  - Document excerpt 2 (relevance: 0.9545) further supports: "HPV-positive/ASC-US has a cumulative 5-year risk of CIN Ⅲ+ of 6.8%, higher than that of LSIL; based on equal risk equal management, supports direct referral to colposcopy".  </w:t>
            </w:r>
            <w:r w:rsidRPr="00CB2EC4">
              <w:rPr>
                <w:rFonts w:ascii="Times New Roman" w:hAnsi="Times New Roman" w:cs="Times New Roman"/>
              </w:rPr>
              <w:br/>
              <w:t xml:space="preserve">  - Document excerpt 3 (relevance: 0.9420) also confirms: "For ASC-US using HPV for triage, if HPV is positive (regardless of genotyping) or HPV genotyping shows HPV16/18 positive, referral for colposcopy is indicated".  </w:t>
            </w:r>
            <w:r w:rsidRPr="00CB2EC4">
              <w:rPr>
                <w:rFonts w:ascii="Times New Roman" w:hAnsi="Times New Roman" w:cs="Times New Roman"/>
              </w:rPr>
              <w:br/>
              <w:t xml:space="preserve">    Therefore, colposcopy is the standard management when HPV is positive.</w:t>
            </w:r>
          </w:p>
        </w:tc>
        <w:tc>
          <w:tcPr>
            <w:tcW w:w="1152" w:type="dxa"/>
            <w:vAlign w:val="center"/>
          </w:tcPr>
          <w:p w14:paraId="542386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1FC1E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2308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273B5E5" w14:textId="77777777">
        <w:tc>
          <w:tcPr>
            <w:tcW w:w="2160" w:type="dxa"/>
            <w:vAlign w:val="center"/>
          </w:tcPr>
          <w:p w14:paraId="384898E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541F04CD" w14:textId="77777777" w:rsidR="00922249" w:rsidRPr="00CB2EC4" w:rsidRDefault="003011D5">
            <w:pPr>
              <w:rPr>
                <w:rFonts w:ascii="Times New Roman" w:hAnsi="Times New Roman" w:cs="Times New Roman"/>
              </w:rPr>
            </w:pPr>
            <w:r w:rsidRPr="00CB2EC4">
              <w:rPr>
                <w:rFonts w:ascii="Times New Roman" w:hAnsi="Times New Roman" w:cs="Times New Roman"/>
              </w:rPr>
              <w:t>yes, vaginal colposcopy should be performed when HPV testing is positive in the triage of ASC-US.</w:t>
            </w:r>
            <w:r w:rsidRPr="00CB2EC4">
              <w:rPr>
                <w:rFonts w:ascii="Times New Roman" w:hAnsi="Times New Roman" w:cs="Times New Roman"/>
              </w:rPr>
              <w:br/>
            </w:r>
            <w:r w:rsidRPr="00CB2EC4">
              <w:rPr>
                <w:rFonts w:ascii="Times New Roman" w:hAnsi="Times New Roman" w:cs="Times New Roman"/>
              </w:rPr>
              <w:br/>
              <w:t>- For patients with ASC-US using HPV triage, if HPV is positive (regardless of genotyping), referral for colposcopy is indicated.</w:t>
            </w:r>
            <w:r w:rsidRPr="00CB2EC4">
              <w:rPr>
                <w:rFonts w:ascii="Times New Roman" w:hAnsi="Times New Roman" w:cs="Times New Roman"/>
              </w:rPr>
              <w:br/>
              <w:t>- Specific process: If HPV positive (+) → refer for colposcopy.</w:t>
            </w:r>
            <w:r w:rsidRPr="00CB2EC4">
              <w:rPr>
                <w:rFonts w:ascii="Times New Roman" w:hAnsi="Times New Roman" w:cs="Times New Roman"/>
              </w:rPr>
              <w:br/>
              <w:t>- Therefore, yes, colposcopy should be performed.</w:t>
            </w:r>
          </w:p>
        </w:tc>
        <w:tc>
          <w:tcPr>
            <w:tcW w:w="1152" w:type="dxa"/>
            <w:vAlign w:val="center"/>
          </w:tcPr>
          <w:p w14:paraId="450804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9C40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53D0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EBE51E" w14:textId="77777777">
        <w:tc>
          <w:tcPr>
            <w:tcW w:w="2160" w:type="dxa"/>
            <w:vAlign w:val="center"/>
          </w:tcPr>
          <w:p w14:paraId="7C15C66A"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A69C17F" w14:textId="77777777" w:rsidR="00922249" w:rsidRPr="00CB2EC4" w:rsidRDefault="003011D5">
            <w:pPr>
              <w:rPr>
                <w:rFonts w:ascii="Times New Roman" w:hAnsi="Times New Roman" w:cs="Times New Roman"/>
              </w:rPr>
            </w:pPr>
            <w:r w:rsidRPr="00CB2EC4">
              <w:rPr>
                <w:rFonts w:ascii="Times New Roman" w:hAnsi="Times New Roman" w:cs="Times New Roman"/>
              </w:rPr>
              <w:t>yes, when the cytology result is ASC-US and HPV testing is positive, colposcopy should be performed immediately. this is based on high-risk determination to promptly identify and treat precancerous lesions.</w:t>
            </w:r>
          </w:p>
        </w:tc>
        <w:tc>
          <w:tcPr>
            <w:tcW w:w="1152" w:type="dxa"/>
            <w:vAlign w:val="center"/>
          </w:tcPr>
          <w:p w14:paraId="763122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F3D1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CAE6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6E8B11" w14:textId="77777777">
        <w:tc>
          <w:tcPr>
            <w:tcW w:w="10656" w:type="dxa"/>
            <w:gridSpan w:val="5"/>
            <w:tcBorders>
              <w:bottom w:val="single" w:sz="6" w:space="0" w:color="auto"/>
            </w:tcBorders>
            <w:vAlign w:val="center"/>
          </w:tcPr>
          <w:p w14:paraId="1BC19B46" w14:textId="77777777" w:rsidR="00922249" w:rsidRPr="00CB2EC4" w:rsidRDefault="003011D5">
            <w:pPr>
              <w:rPr>
                <w:rFonts w:ascii="Times New Roman" w:hAnsi="Times New Roman" w:cs="Times New Roman"/>
              </w:rPr>
            </w:pPr>
            <w:r w:rsidRPr="00CB2EC4">
              <w:rPr>
                <w:rFonts w:ascii="Times New Roman" w:hAnsi="Times New Roman" w:cs="Times New Roman"/>
                <w:b/>
              </w:rPr>
              <w:t>Question 9: When cytological examination indicates ASC-US as an abnormal initial screening result and HPV is used for triage, if HPV is negative, what should be the subsequent examination?</w:t>
            </w:r>
          </w:p>
        </w:tc>
      </w:tr>
      <w:tr w:rsidR="00922249" w:rsidRPr="00CB2EC4" w14:paraId="7D538810" w14:textId="77777777">
        <w:tc>
          <w:tcPr>
            <w:tcW w:w="2160" w:type="dxa"/>
            <w:vAlign w:val="center"/>
          </w:tcPr>
          <w:p w14:paraId="44DA05A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B18E3CF"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subsequent follow-up should be:</w:t>
            </w:r>
            <w:r w:rsidRPr="00CB2EC4">
              <w:rPr>
                <w:rFonts w:ascii="Times New Roman" w:hAnsi="Times New Roman" w:cs="Times New Roman"/>
              </w:rPr>
              <w:br/>
            </w:r>
            <w:r w:rsidRPr="00CB2EC4">
              <w:rPr>
                <w:rFonts w:ascii="Times New Roman" w:hAnsi="Times New Roman" w:cs="Times New Roman"/>
              </w:rPr>
              <w:br/>
              <w:t>→ 1 year later: repeat cytology (repeat cervical cytology test)</w:t>
            </w:r>
            <w:r w:rsidRPr="00CB2EC4">
              <w:rPr>
                <w:rFonts w:ascii="Times New Roman" w:hAnsi="Times New Roman" w:cs="Times New Roman"/>
              </w:rPr>
              <w:br/>
            </w:r>
            <w:r w:rsidRPr="00CB2EC4">
              <w:rPr>
                <w:rFonts w:ascii="Times New Roman" w:hAnsi="Times New Roman" w:cs="Times New Roman"/>
              </w:rPr>
              <w:br/>
              <w:t>(As per Figure 2 in the document: "If HPV is negative (-) → follow-up should be conducted after 1 year (repeat cytology test)")</w:t>
            </w:r>
          </w:p>
        </w:tc>
        <w:tc>
          <w:tcPr>
            <w:tcW w:w="1152" w:type="dxa"/>
            <w:vAlign w:val="center"/>
          </w:tcPr>
          <w:p w14:paraId="04E889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E4D7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1DBF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B89BDC" w14:textId="77777777">
        <w:tc>
          <w:tcPr>
            <w:tcW w:w="2160" w:type="dxa"/>
            <w:vAlign w:val="center"/>
          </w:tcPr>
          <w:p w14:paraId="0897CC4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285241A"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subsequent follow-up should be:</w:t>
            </w:r>
            <w:r w:rsidRPr="00CB2EC4">
              <w:rPr>
                <w:rFonts w:ascii="Times New Roman" w:hAnsi="Times New Roman" w:cs="Times New Roman"/>
              </w:rPr>
              <w:br/>
            </w:r>
            <w:r w:rsidRPr="00CB2EC4">
              <w:rPr>
                <w:rFonts w:ascii="Times New Roman" w:hAnsi="Times New Roman" w:cs="Times New Roman"/>
              </w:rPr>
              <w:br/>
              <w:t xml:space="preserve">Answer: Repeat cytology in 1 year.  </w:t>
            </w:r>
            <w:r w:rsidRPr="00CB2EC4">
              <w:rPr>
                <w:rFonts w:ascii="Times New Roman" w:hAnsi="Times New Roman" w:cs="Times New Roman"/>
              </w:rPr>
              <w:br/>
              <w:t xml:space="preserve">- Basis:  </w:t>
            </w:r>
            <w:r w:rsidRPr="00CB2EC4">
              <w:rPr>
                <w:rFonts w:ascii="Times New Roman" w:hAnsi="Times New Roman" w:cs="Times New Roman"/>
              </w:rPr>
              <w:br/>
              <w:t xml:space="preserve">  Document fragment 1 (block theme: management</w:t>
            </w:r>
            <w:r w:rsidRPr="00CB2EC4">
              <w:rPr>
                <w:rFonts w:ascii="Times New Roman" w:hAnsi="Times New Roman" w:cs="Times New Roman"/>
              </w:rPr>
              <w:t>流程</w:t>
            </w:r>
            <w:r w:rsidRPr="00CB2EC4">
              <w:rPr>
                <w:rFonts w:ascii="Times New Roman" w:hAnsi="Times New Roman" w:cs="Times New Roman"/>
              </w:rPr>
              <w:t xml:space="preserve"> for HPV-positive and cytological abnormalities) </w:t>
            </w:r>
            <w:r w:rsidRPr="00CB2EC4">
              <w:rPr>
                <w:rFonts w:ascii="Times New Roman" w:hAnsi="Times New Roman" w:cs="Times New Roman"/>
              </w:rPr>
              <w:lastRenderedPageBreak/>
              <w:t xml:space="preserve">details:  </w:t>
            </w:r>
            <w:r w:rsidRPr="00CB2EC4">
              <w:rPr>
                <w:rFonts w:ascii="Times New Roman" w:hAnsi="Times New Roman" w:cs="Times New Roman"/>
              </w:rPr>
              <w:br/>
              <w:t xml:space="preserve">  &gt; "ASC-US patients: if HPV negative (-) → should be followed up with a repeat cytology in 1 year; if the repeat result is negative, continue with routine screening, if the result is ASC or greater, perform colposcopy."  </w:t>
            </w:r>
            <w:r w:rsidRPr="00CB2EC4">
              <w:rPr>
                <w:rFonts w:ascii="Times New Roman" w:hAnsi="Times New Roman" w:cs="Times New Roman"/>
              </w:rPr>
              <w:br/>
              <w:t xml:space="preserve">  Document fragment 3 (block theme: guidelines for management of abnormal co-testing) also states:  </w:t>
            </w:r>
            <w:r w:rsidRPr="00CB2EC4">
              <w:rPr>
                <w:rFonts w:ascii="Times New Roman" w:hAnsi="Times New Roman" w:cs="Times New Roman"/>
              </w:rPr>
              <w:br/>
              <w:t xml:space="preserve">  &gt; "Cytology (ASC-US) &amp; HPV (-) → 1-year repeat cytology."</w:t>
            </w:r>
          </w:p>
        </w:tc>
        <w:tc>
          <w:tcPr>
            <w:tcW w:w="1152" w:type="dxa"/>
            <w:vAlign w:val="center"/>
          </w:tcPr>
          <w:p w14:paraId="08C6BE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B882D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33C2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269411" w14:textId="77777777">
        <w:tc>
          <w:tcPr>
            <w:tcW w:w="2160" w:type="dxa"/>
            <w:vAlign w:val="center"/>
          </w:tcPr>
          <w:p w14:paraId="03402316"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E8EC681"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follow-up should be:</w:t>
            </w:r>
            <w:r w:rsidRPr="00CB2EC4">
              <w:rPr>
                <w:rFonts w:ascii="Times New Roman" w:hAnsi="Times New Roman" w:cs="Times New Roman"/>
              </w:rPr>
              <w:br/>
            </w:r>
            <w:r w:rsidRPr="00CB2EC4">
              <w:rPr>
                <w:rFonts w:ascii="Times New Roman" w:hAnsi="Times New Roman" w:cs="Times New Roman"/>
              </w:rPr>
              <w:br/>
              <w:t>- For HPV-negative patients, recommend repeat testing (cytology) after 1 year.</w:t>
            </w:r>
            <w:r w:rsidRPr="00CB2EC4">
              <w:rPr>
                <w:rFonts w:ascii="Times New Roman" w:hAnsi="Times New Roman" w:cs="Times New Roman"/>
              </w:rPr>
              <w:br/>
              <w:t>- If the repeat result is negative, continue with routine screening; if the repeat result is ≥ASC-US, refer for colposcopy.</w:t>
            </w:r>
          </w:p>
        </w:tc>
        <w:tc>
          <w:tcPr>
            <w:tcW w:w="1152" w:type="dxa"/>
            <w:vAlign w:val="center"/>
          </w:tcPr>
          <w:p w14:paraId="56620F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FD04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AA0F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F4054E" w14:textId="77777777">
        <w:tc>
          <w:tcPr>
            <w:tcW w:w="2160" w:type="dxa"/>
            <w:vAlign w:val="center"/>
          </w:tcPr>
          <w:p w14:paraId="5D0B1E5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E97414E"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follow-up should be:</w:t>
            </w:r>
            <w:r w:rsidRPr="00CB2EC4">
              <w:rPr>
                <w:rFonts w:ascii="Times New Roman" w:hAnsi="Times New Roman" w:cs="Times New Roman"/>
              </w:rPr>
              <w:br/>
            </w:r>
            <w:r w:rsidRPr="00CB2EC4">
              <w:rPr>
                <w:rFonts w:ascii="Times New Roman" w:hAnsi="Times New Roman" w:cs="Times New Roman"/>
              </w:rPr>
              <w:br/>
              <w:t xml:space="preserve">- Repeat cytology in 1 year.  </w:t>
            </w:r>
            <w:r w:rsidRPr="00CB2EC4">
              <w:rPr>
                <w:rFonts w:ascii="Times New Roman" w:hAnsi="Times New Roman" w:cs="Times New Roman"/>
              </w:rPr>
              <w:br/>
              <w:t xml:space="preserve">  Basis:  </w:t>
            </w:r>
            <w:r w:rsidRPr="00CB2EC4">
              <w:rPr>
                <w:rFonts w:ascii="Times New Roman" w:hAnsi="Times New Roman" w:cs="Times New Roman"/>
              </w:rPr>
              <w:br/>
              <w:t xml:space="preserve">  - Figure 2 flowchart: If HPV is negative (-), repeat cytology in 1 year (Figure 2, ASC-US pathway).  </w:t>
            </w:r>
            <w:r w:rsidRPr="00CB2EC4">
              <w:rPr>
                <w:rFonts w:ascii="Times New Roman" w:hAnsi="Times New Roman" w:cs="Times New Roman"/>
              </w:rPr>
              <w:br/>
              <w:t xml:space="preserve">  - Text description: "If HPV negative (-) → repeat cytology should be performed in 1 year" (contextual text).</w:t>
            </w:r>
          </w:p>
        </w:tc>
        <w:tc>
          <w:tcPr>
            <w:tcW w:w="1152" w:type="dxa"/>
            <w:vAlign w:val="center"/>
          </w:tcPr>
          <w:p w14:paraId="5BB0F7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034E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D5FA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59646F" w14:textId="77777777">
        <w:tc>
          <w:tcPr>
            <w:tcW w:w="2160" w:type="dxa"/>
            <w:vAlign w:val="center"/>
          </w:tcPr>
          <w:p w14:paraId="577C4A8A"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6447BBB"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follow-up should be:</w:t>
            </w:r>
            <w:r w:rsidRPr="00CB2EC4">
              <w:rPr>
                <w:rFonts w:ascii="Times New Roman" w:hAnsi="Times New Roman" w:cs="Times New Roman"/>
              </w:rPr>
              <w:br/>
            </w:r>
            <w:r w:rsidRPr="00CB2EC4">
              <w:rPr>
                <w:rFonts w:ascii="Times New Roman" w:hAnsi="Times New Roman" w:cs="Times New Roman"/>
              </w:rPr>
              <w:lastRenderedPageBreak/>
              <w:br/>
              <w:t>according to document fragments 2 and 3, if cytology is ASC-US and HPV testing is negative, repeat cytology is recommended after 1 year. if the repeat result is negative, routine screening can be resumed; if the repeat result is ≥ASC (abnormal), colposcopy should be performed.</w:t>
            </w:r>
          </w:p>
        </w:tc>
        <w:tc>
          <w:tcPr>
            <w:tcW w:w="1152" w:type="dxa"/>
            <w:vAlign w:val="center"/>
          </w:tcPr>
          <w:p w14:paraId="1C4B88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8BF9E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2F15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AB837E" w14:textId="77777777">
        <w:tc>
          <w:tcPr>
            <w:tcW w:w="2160" w:type="dxa"/>
            <w:vAlign w:val="center"/>
          </w:tcPr>
          <w:p w14:paraId="3F6EDD5A"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B2E962C"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follow-up should be:</w:t>
            </w:r>
            <w:r w:rsidRPr="00CB2EC4">
              <w:rPr>
                <w:rFonts w:ascii="Times New Roman" w:hAnsi="Times New Roman" w:cs="Times New Roman"/>
              </w:rPr>
              <w:br/>
            </w:r>
            <w:r w:rsidRPr="00CB2EC4">
              <w:rPr>
                <w:rFonts w:ascii="Times New Roman" w:hAnsi="Times New Roman" w:cs="Times New Roman"/>
              </w:rPr>
              <w:br/>
              <w:t>→ repeat cytology in 1 year.</w:t>
            </w:r>
            <w:r w:rsidRPr="00CB2EC4">
              <w:rPr>
                <w:rFonts w:ascii="Times New Roman" w:hAnsi="Times New Roman" w:cs="Times New Roman"/>
              </w:rPr>
              <w:br/>
            </w:r>
            <w:r w:rsidRPr="00CB2EC4">
              <w:rPr>
                <w:rFonts w:ascii="Times New Roman" w:hAnsi="Times New Roman" w:cs="Times New Roman"/>
              </w:rPr>
              <w:br/>
              <w:t>(according to source document 1: “if HPV negative (−) → repeat cytology in 1 year”; source document 3: “cytology (ASC-US) &amp; HPV (−) → follow-up with repeat cytology in 1 year”)</w:t>
            </w:r>
          </w:p>
        </w:tc>
        <w:tc>
          <w:tcPr>
            <w:tcW w:w="1152" w:type="dxa"/>
            <w:vAlign w:val="center"/>
          </w:tcPr>
          <w:p w14:paraId="6543CC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0D40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6137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8C0F6A" w14:textId="77777777">
        <w:tc>
          <w:tcPr>
            <w:tcW w:w="2160" w:type="dxa"/>
            <w:vAlign w:val="center"/>
          </w:tcPr>
          <w:p w14:paraId="22E0776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8518336"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subsequent follow-up should be:</w:t>
            </w:r>
            <w:r w:rsidRPr="00CB2EC4">
              <w:rPr>
                <w:rFonts w:ascii="Times New Roman" w:hAnsi="Times New Roman" w:cs="Times New Roman"/>
              </w:rPr>
              <w:br/>
            </w:r>
            <w:r w:rsidRPr="00CB2EC4">
              <w:rPr>
                <w:rFonts w:ascii="Times New Roman" w:hAnsi="Times New Roman" w:cs="Times New Roman"/>
              </w:rPr>
              <w:br/>
              <w:t>→ Repeat cytology testing after 1 year.</w:t>
            </w:r>
            <w:r w:rsidRPr="00CB2EC4">
              <w:rPr>
                <w:rFonts w:ascii="Times New Roman" w:hAnsi="Times New Roman" w:cs="Times New Roman"/>
              </w:rPr>
              <w:br/>
            </w:r>
            <w:r w:rsidRPr="00CB2EC4">
              <w:rPr>
                <w:rFonts w:ascii="Times New Roman" w:hAnsi="Times New Roman" w:cs="Times New Roman"/>
              </w:rPr>
              <w:br/>
              <w:t>(If the repeat cytology is negative, return to routine screening. If the result is ≥ASC-US, refer for colposcopy.)</w:t>
            </w:r>
          </w:p>
        </w:tc>
        <w:tc>
          <w:tcPr>
            <w:tcW w:w="1152" w:type="dxa"/>
            <w:vAlign w:val="center"/>
          </w:tcPr>
          <w:p w14:paraId="0A236B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DE54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51FE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6494BB" w14:textId="77777777">
        <w:tc>
          <w:tcPr>
            <w:tcW w:w="2160" w:type="dxa"/>
            <w:vAlign w:val="center"/>
          </w:tcPr>
          <w:p w14:paraId="6F38357D"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A68F066"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follow-up should be:</w:t>
            </w:r>
            <w:r w:rsidRPr="00CB2EC4">
              <w:rPr>
                <w:rFonts w:ascii="Times New Roman" w:hAnsi="Times New Roman" w:cs="Times New Roman"/>
              </w:rPr>
              <w:br/>
            </w:r>
            <w:r w:rsidRPr="00CB2EC4">
              <w:rPr>
                <w:rFonts w:ascii="Times New Roman" w:hAnsi="Times New Roman" w:cs="Times New Roman"/>
              </w:rPr>
              <w:br/>
              <w:t>repeat cytology testing after 1 year.</w:t>
            </w:r>
            <w:r w:rsidRPr="00CB2EC4">
              <w:rPr>
                <w:rFonts w:ascii="Times New Roman" w:hAnsi="Times New Roman" w:cs="Times New Roman"/>
              </w:rPr>
              <w:br/>
            </w:r>
            <w:r w:rsidRPr="00CB2EC4">
              <w:rPr>
                <w:rFonts w:ascii="Times New Roman" w:hAnsi="Times New Roman" w:cs="Times New Roman"/>
              </w:rPr>
              <w:br/>
              <w:t xml:space="preserve">Document fragment 1 (similarity 0.698), Figure 2, </w:t>
            </w:r>
            <w:r w:rsidRPr="00CB2EC4">
              <w:rPr>
                <w:rFonts w:ascii="Times New Roman" w:hAnsi="Times New Roman" w:cs="Times New Roman"/>
              </w:rPr>
              <w:lastRenderedPageBreak/>
              <w:t>states that ASC-US patients with negative HPV should have a follow-up (repeat cytology) after 1 year. Document fragment 4 (similarity 0.599) also explicitly indicates that for cytology (ASC-US) &amp; HPV (-), a 1-year follow-up cytology should be performed. Therefore, the follow-up is to repeat cytology after 1 year.</w:t>
            </w:r>
          </w:p>
        </w:tc>
        <w:tc>
          <w:tcPr>
            <w:tcW w:w="1152" w:type="dxa"/>
            <w:vAlign w:val="center"/>
          </w:tcPr>
          <w:p w14:paraId="06DB59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1060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64C1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02423B" w14:textId="77777777">
        <w:tc>
          <w:tcPr>
            <w:tcW w:w="2160" w:type="dxa"/>
            <w:vAlign w:val="center"/>
          </w:tcPr>
          <w:p w14:paraId="20AA849B"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8ADEA67" w14:textId="77777777" w:rsidR="00922249" w:rsidRPr="00CB2EC4" w:rsidRDefault="003011D5">
            <w:pPr>
              <w:rPr>
                <w:rFonts w:ascii="Times New Roman" w:hAnsi="Times New Roman" w:cs="Times New Roman"/>
              </w:rPr>
            </w:pPr>
            <w:r w:rsidRPr="00CB2EC4">
              <w:rPr>
                <w:rFonts w:ascii="Times New Roman" w:hAnsi="Times New Roman" w:cs="Times New Roman"/>
              </w:rPr>
              <w:t>If HPV is negative (-) → re-examination should be performed after 1 year (repeat cytological examination).</w:t>
            </w:r>
          </w:p>
        </w:tc>
        <w:tc>
          <w:tcPr>
            <w:tcW w:w="1152" w:type="dxa"/>
            <w:vAlign w:val="center"/>
          </w:tcPr>
          <w:p w14:paraId="53063E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A4CA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EAB3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AFACFD" w14:textId="77777777">
        <w:tc>
          <w:tcPr>
            <w:tcW w:w="2160" w:type="dxa"/>
            <w:vAlign w:val="center"/>
          </w:tcPr>
          <w:p w14:paraId="5DB3A653"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000B6A3" w14:textId="77777777" w:rsidR="00922249" w:rsidRPr="00CB2EC4" w:rsidRDefault="003011D5">
            <w:pPr>
              <w:rPr>
                <w:rFonts w:ascii="Times New Roman" w:hAnsi="Times New Roman" w:cs="Times New Roman"/>
              </w:rPr>
            </w:pPr>
            <w:r w:rsidRPr="00CB2EC4">
              <w:rPr>
                <w:rFonts w:ascii="Times New Roman" w:hAnsi="Times New Roman" w:cs="Times New Roman"/>
              </w:rPr>
              <w:t>if cytology shows ASC-US as an abnormal initial screening result and HPV testing is used for triage, if HPV is negative, the follow-up should be:</w:t>
            </w:r>
            <w:r w:rsidRPr="00CB2EC4">
              <w:rPr>
                <w:rFonts w:ascii="Times New Roman" w:hAnsi="Times New Roman" w:cs="Times New Roman"/>
              </w:rPr>
              <w:br/>
            </w:r>
            <w:r w:rsidRPr="00CB2EC4">
              <w:rPr>
                <w:rFonts w:ascii="Times New Roman" w:hAnsi="Times New Roman" w:cs="Times New Roman"/>
              </w:rPr>
              <w:br/>
              <w:t>Repeat cytology testing after 1 year.</w:t>
            </w:r>
            <w:r w:rsidRPr="00CB2EC4">
              <w:rPr>
                <w:rFonts w:ascii="Times New Roman" w:hAnsi="Times New Roman" w:cs="Times New Roman"/>
              </w:rPr>
              <w:br/>
            </w:r>
            <w:r w:rsidRPr="00CB2EC4">
              <w:rPr>
                <w:rFonts w:ascii="Times New Roman" w:hAnsi="Times New Roman" w:cs="Times New Roman"/>
              </w:rPr>
              <w:br/>
              <w:t>Document fragment 1 (similarity 0.698), Figure 2, states that ASC-US patients with negative HPV should have a follow-up (repeat cytology) after 1 year. Document fragment 4 (similarity 0.599) also explicitly indicates that for cytology (ASC-US) &amp; HPV (-), a 1-year follow-up cytology should be performed. Therefore, the follow-up is to repeat cytology after 1 year.</w:t>
            </w:r>
          </w:p>
        </w:tc>
        <w:tc>
          <w:tcPr>
            <w:tcW w:w="1152" w:type="dxa"/>
            <w:vAlign w:val="center"/>
          </w:tcPr>
          <w:p w14:paraId="466B68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8396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34C6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47596C" w14:textId="77777777">
        <w:tc>
          <w:tcPr>
            <w:tcW w:w="2160" w:type="dxa"/>
            <w:vAlign w:val="center"/>
          </w:tcPr>
          <w:p w14:paraId="558C17E3"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A7D3F38"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follow-up should be:</w:t>
            </w:r>
            <w:r w:rsidRPr="00CB2EC4">
              <w:rPr>
                <w:rFonts w:ascii="Times New Roman" w:hAnsi="Times New Roman" w:cs="Times New Roman"/>
              </w:rPr>
              <w:br/>
            </w:r>
            <w:r w:rsidRPr="00CB2EC4">
              <w:rPr>
                <w:rFonts w:ascii="Times New Roman" w:hAnsi="Times New Roman" w:cs="Times New Roman"/>
              </w:rPr>
              <w:br/>
              <w:t>→ Repeat cytology in 1 year.</w:t>
            </w:r>
            <w:r w:rsidRPr="00CB2EC4">
              <w:rPr>
                <w:rFonts w:ascii="Times New Roman" w:hAnsi="Times New Roman" w:cs="Times New Roman"/>
              </w:rPr>
              <w:br/>
            </w:r>
            <w:r w:rsidRPr="00CB2EC4">
              <w:rPr>
                <w:rFonts w:ascii="Times New Roman" w:hAnsi="Times New Roman" w:cs="Times New Roman"/>
              </w:rPr>
              <w:br/>
              <w:t xml:space="preserve">According to the source document: "ASC-US patients: First perform HPV testing: if HPV negative (−) → repeat cytology should be done in 1 year." If the </w:t>
            </w:r>
            <w:r w:rsidRPr="00CB2EC4">
              <w:rPr>
                <w:rFonts w:ascii="Times New Roman" w:hAnsi="Times New Roman" w:cs="Times New Roman"/>
              </w:rPr>
              <w:lastRenderedPageBreak/>
              <w:t>repeat cytology result is negative, return to routine screening; if the result is ≥ASC-US, refer for colposcopy. Therefore, the follow-up is cytology repeated at 1 year.</w:t>
            </w:r>
          </w:p>
        </w:tc>
        <w:tc>
          <w:tcPr>
            <w:tcW w:w="1152" w:type="dxa"/>
            <w:vAlign w:val="center"/>
          </w:tcPr>
          <w:p w14:paraId="31EF4C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461CE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3DEA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507605" w14:textId="77777777">
        <w:tc>
          <w:tcPr>
            <w:tcW w:w="2160" w:type="dxa"/>
            <w:vAlign w:val="center"/>
          </w:tcPr>
          <w:p w14:paraId="553E401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02E044E" w14:textId="77777777" w:rsidR="00922249" w:rsidRPr="00CB2EC4" w:rsidRDefault="003011D5">
            <w:pPr>
              <w:rPr>
                <w:rFonts w:ascii="Times New Roman" w:hAnsi="Times New Roman" w:cs="Times New Roman"/>
              </w:rPr>
            </w:pPr>
            <w:r w:rsidRPr="00CB2EC4">
              <w:rPr>
                <w:rFonts w:ascii="Times New Roman" w:hAnsi="Times New Roman" w:cs="Times New Roman"/>
              </w:rPr>
              <w:t>if the HPV test result is negative, the follow-up should be a repeat cytology test after 1 year.</w:t>
            </w:r>
            <w:r w:rsidRPr="00CB2EC4">
              <w:rPr>
                <w:rFonts w:ascii="Times New Roman" w:hAnsi="Times New Roman" w:cs="Times New Roman"/>
              </w:rPr>
              <w:br/>
            </w:r>
            <w:r w:rsidRPr="00CB2EC4">
              <w:rPr>
                <w:rFonts w:ascii="Times New Roman" w:hAnsi="Times New Roman" w:cs="Times New Roman"/>
              </w:rPr>
              <w:br/>
              <w:t>- Basis: Document fragment 1 (relevance: 0.9655), Figure 2 flowchart description: "ASC-US patient: if HPV negative (-) → should be followed up after 1 year (repeat cytology test)." This indicates that when HPV is negative, no immediate intervention is required, but cytology should be repeated after 1 year to monitor for changes.</w:t>
            </w:r>
          </w:p>
        </w:tc>
        <w:tc>
          <w:tcPr>
            <w:tcW w:w="1152" w:type="dxa"/>
            <w:vAlign w:val="center"/>
          </w:tcPr>
          <w:p w14:paraId="1067FC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4F98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A83D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C4AB19" w14:textId="77777777">
        <w:tc>
          <w:tcPr>
            <w:tcW w:w="2160" w:type="dxa"/>
            <w:vAlign w:val="center"/>
          </w:tcPr>
          <w:p w14:paraId="5ECC78B2"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53F1BE1"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follow-up should be:</w:t>
            </w:r>
            <w:r w:rsidRPr="00CB2EC4">
              <w:rPr>
                <w:rFonts w:ascii="Times New Roman" w:hAnsi="Times New Roman" w:cs="Times New Roman"/>
              </w:rPr>
              <w:br/>
            </w:r>
            <w:r w:rsidRPr="00CB2EC4">
              <w:rPr>
                <w:rFonts w:ascii="Times New Roman" w:hAnsi="Times New Roman" w:cs="Times New Roman"/>
              </w:rPr>
              <w:br/>
              <w:t>based on contextual information (Figure 2 in relevant excerpt 1):</w:t>
            </w:r>
            <w:r w:rsidRPr="00CB2EC4">
              <w:rPr>
                <w:rFonts w:ascii="Times New Roman" w:hAnsi="Times New Roman" w:cs="Times New Roman"/>
              </w:rPr>
              <w:br/>
            </w:r>
            <w:r w:rsidRPr="00CB2EC4">
              <w:rPr>
                <w:rFonts w:ascii="Times New Roman" w:hAnsi="Times New Roman" w:cs="Times New Roman"/>
              </w:rPr>
              <w:br/>
              <w:t>- for ASC-US patients undergoing HPV triage, if HPV is negative (-), follow-up should be repeat cytology in 1 year.</w:t>
            </w:r>
            <w:r w:rsidRPr="00CB2EC4">
              <w:rPr>
                <w:rFonts w:ascii="Times New Roman" w:hAnsi="Times New Roman" w:cs="Times New Roman"/>
              </w:rPr>
              <w:br/>
              <w:t>- specific process: if HPV negative (-) → repeat cytology should be performed in 1 year.</w:t>
            </w:r>
            <w:r w:rsidRPr="00CB2EC4">
              <w:rPr>
                <w:rFonts w:ascii="Times New Roman" w:hAnsi="Times New Roman" w:cs="Times New Roman"/>
              </w:rPr>
              <w:br/>
              <w:t>- therefore, the follow-up examination is repeat cytology in 1 year.</w:t>
            </w:r>
          </w:p>
        </w:tc>
        <w:tc>
          <w:tcPr>
            <w:tcW w:w="1152" w:type="dxa"/>
            <w:vAlign w:val="center"/>
          </w:tcPr>
          <w:p w14:paraId="411D71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8742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21A5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AEECE6" w14:textId="77777777">
        <w:tc>
          <w:tcPr>
            <w:tcW w:w="2160" w:type="dxa"/>
            <w:vAlign w:val="center"/>
          </w:tcPr>
          <w:p w14:paraId="09E4C8B5"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8F48D84"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shows ASC-US as an abnormal initial screening result and HPV testing is used for triage, if HPV is negative, the follow-up should be:</w:t>
            </w:r>
            <w:r w:rsidRPr="00CB2EC4">
              <w:rPr>
                <w:rFonts w:ascii="Times New Roman" w:hAnsi="Times New Roman" w:cs="Times New Roman"/>
              </w:rPr>
              <w:br/>
            </w:r>
            <w:r w:rsidRPr="00CB2EC4">
              <w:rPr>
                <w:rFonts w:ascii="Times New Roman" w:hAnsi="Times New Roman" w:cs="Times New Roman"/>
              </w:rPr>
              <w:br/>
              <w:t xml:space="preserve">repeat high-risk HPV testing and cytology (e.g., </w:t>
            </w:r>
            <w:r w:rsidRPr="00CB2EC4">
              <w:rPr>
                <w:rFonts w:ascii="Times New Roman" w:hAnsi="Times New Roman" w:cs="Times New Roman"/>
              </w:rPr>
              <w:lastRenderedPageBreak/>
              <w:t>cotesting) at 12 months. this reflects a low-risk status and does not require immediate colposcopy.</w:t>
            </w:r>
          </w:p>
        </w:tc>
        <w:tc>
          <w:tcPr>
            <w:tcW w:w="1152" w:type="dxa"/>
            <w:vAlign w:val="center"/>
          </w:tcPr>
          <w:p w14:paraId="48E5B8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FE5CA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972D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4126B2" w14:textId="77777777">
        <w:tc>
          <w:tcPr>
            <w:tcW w:w="10656" w:type="dxa"/>
            <w:gridSpan w:val="5"/>
            <w:tcBorders>
              <w:bottom w:val="single" w:sz="6" w:space="0" w:color="auto"/>
            </w:tcBorders>
            <w:vAlign w:val="center"/>
          </w:tcPr>
          <w:p w14:paraId="10C323CD"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10: When cytological examination results show ASC-H, LSIL, or HSIL, is a colposcopy needed next?</w:t>
            </w:r>
          </w:p>
        </w:tc>
      </w:tr>
      <w:tr w:rsidR="00922249" w:rsidRPr="00CB2EC4" w14:paraId="75E169B2" w14:textId="77777777">
        <w:tc>
          <w:tcPr>
            <w:tcW w:w="2160" w:type="dxa"/>
            <w:vAlign w:val="center"/>
          </w:tcPr>
          <w:p w14:paraId="43764F7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CD41334" w14:textId="77777777" w:rsidR="00922249" w:rsidRPr="00CB2EC4" w:rsidRDefault="003011D5">
            <w:pPr>
              <w:rPr>
                <w:rFonts w:ascii="Times New Roman" w:hAnsi="Times New Roman" w:cs="Times New Roman"/>
              </w:rPr>
            </w:pPr>
            <w:r w:rsidRPr="00CB2EC4">
              <w:rPr>
                <w:rFonts w:ascii="Times New Roman" w:hAnsi="Times New Roman" w:cs="Times New Roman"/>
              </w:rPr>
              <w:t>yes, vaginal colposcopy is required.</w:t>
            </w:r>
            <w:r w:rsidRPr="00CB2EC4">
              <w:rPr>
                <w:rFonts w:ascii="Times New Roman" w:hAnsi="Times New Roman" w:cs="Times New Roman"/>
              </w:rPr>
              <w:br/>
            </w:r>
            <w:r w:rsidRPr="00CB2EC4">
              <w:rPr>
                <w:rFonts w:ascii="Times New Roman" w:hAnsi="Times New Roman" w:cs="Times New Roman"/>
              </w:rPr>
              <w:br/>
              <w:t>According to Figure 2 (Management Flowchart for Abnormal Cervical Cytology) in the document, patients with abnormal cytology results including ASC-H, LSIL, HSIL, and AGC should be directly referred for colposcopy. The document explicitly states: “Other abnormal types (ASC-H, LSIL, HSIL, AGC) → direct referral for colposcopy.” Therefore, vaginal colposcopy is indicated for ASC-H, LSIL, and HSIL.</w:t>
            </w:r>
          </w:p>
        </w:tc>
        <w:tc>
          <w:tcPr>
            <w:tcW w:w="1152" w:type="dxa"/>
            <w:vAlign w:val="center"/>
          </w:tcPr>
          <w:p w14:paraId="5EF16C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DBAC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76D5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4E9F03" w14:textId="77777777">
        <w:tc>
          <w:tcPr>
            <w:tcW w:w="2160" w:type="dxa"/>
            <w:vAlign w:val="center"/>
          </w:tcPr>
          <w:p w14:paraId="63A0CE91"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B21891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direct referral for colposcopy is required.  </w:t>
            </w:r>
            <w:r w:rsidRPr="00CB2EC4">
              <w:rPr>
                <w:rFonts w:ascii="Times New Roman" w:hAnsi="Times New Roman" w:cs="Times New Roman"/>
              </w:rPr>
              <w:br/>
              <w:t xml:space="preserve">- Basis:  </w:t>
            </w:r>
            <w:r w:rsidRPr="00CB2EC4">
              <w:rPr>
                <w:rFonts w:ascii="Times New Roman" w:hAnsi="Times New Roman" w:cs="Times New Roman"/>
              </w:rPr>
              <w:br/>
              <w:t xml:space="preserve">  Document fragment 1 (topic: management flowchart for HPV-positive and cytological abnormalities), Figure 2:  </w:t>
            </w:r>
            <w:r w:rsidRPr="00CB2EC4">
              <w:rPr>
                <w:rFonts w:ascii="Times New Roman" w:hAnsi="Times New Roman" w:cs="Times New Roman"/>
              </w:rPr>
              <w:br/>
              <w:t xml:space="preserve">  &gt; "Patients with other abnormal types (ASC-H, LSIL, HSIL, AGC, and ASC-US patients after one-year follow-up): direct referral for colposcopy."  </w:t>
            </w:r>
            <w:r w:rsidRPr="00CB2EC4">
              <w:rPr>
                <w:rFonts w:ascii="Times New Roman" w:hAnsi="Times New Roman" w:cs="Times New Roman"/>
              </w:rPr>
              <w:br/>
              <w:t xml:space="preserve">  Document fragment 2 (topic: guidelines for management of cytological abnormalities) further emphasizes:  </w:t>
            </w:r>
            <w:r w:rsidRPr="00CB2EC4">
              <w:rPr>
                <w:rFonts w:ascii="Times New Roman" w:hAnsi="Times New Roman" w:cs="Times New Roman"/>
              </w:rPr>
              <w:br/>
              <w:t xml:space="preserve">  &gt; "ASC-H, LSIL, HSIL, and AGC with cytological abnormalities should all be referred for colposcopy."  </w:t>
            </w:r>
            <w:r w:rsidRPr="00CB2EC4">
              <w:rPr>
                <w:rFonts w:ascii="Times New Roman" w:hAnsi="Times New Roman" w:cs="Times New Roman"/>
              </w:rPr>
              <w:br/>
              <w:t xml:space="preserve">  Document fragment 5 (topic: management flowchart for abnormal cervical cancer screening results) also confirms:  </w:t>
            </w:r>
            <w:r w:rsidRPr="00CB2EC4">
              <w:rPr>
                <w:rFonts w:ascii="Times New Roman" w:hAnsi="Times New Roman" w:cs="Times New Roman"/>
              </w:rPr>
              <w:br/>
              <w:t xml:space="preserve">  &gt; "In the management of initial screening abnormalities based on cytology, ASC-H, LSIL, and HSIL require referral for colposcopy."</w:t>
            </w:r>
          </w:p>
        </w:tc>
        <w:tc>
          <w:tcPr>
            <w:tcW w:w="1152" w:type="dxa"/>
            <w:vAlign w:val="center"/>
          </w:tcPr>
          <w:p w14:paraId="4094E6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6965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7742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A9217B" w14:textId="77777777">
        <w:tc>
          <w:tcPr>
            <w:tcW w:w="2160" w:type="dxa"/>
            <w:vAlign w:val="center"/>
          </w:tcPr>
          <w:p w14:paraId="2237230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3847EE28"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is required.</w:t>
            </w:r>
            <w:r w:rsidRPr="00CB2EC4">
              <w:rPr>
                <w:rFonts w:ascii="Times New Roman" w:hAnsi="Times New Roman" w:cs="Times New Roman"/>
              </w:rPr>
              <w:br/>
            </w:r>
            <w:r w:rsidRPr="00CB2EC4">
              <w:rPr>
                <w:rFonts w:ascii="Times New Roman" w:hAnsi="Times New Roman" w:cs="Times New Roman"/>
              </w:rPr>
              <w:br/>
              <w:t>according to document fragment 1 (relevance: 1.000) and document fragment 3 (relevance: 0.800), when cytology results show abnormal types such as ASC-H, LSIL, or HSIL, direct referral for colposcopy is indicated. the specific evidence is as follows:</w:t>
            </w:r>
            <w:r w:rsidRPr="00CB2EC4">
              <w:rPr>
                <w:rFonts w:ascii="Times New Roman" w:hAnsi="Times New Roman" w:cs="Times New Roman"/>
              </w:rPr>
              <w:br/>
            </w:r>
            <w:r w:rsidRPr="00CB2EC4">
              <w:rPr>
                <w:rFonts w:ascii="Times New Roman" w:hAnsi="Times New Roman" w:cs="Times New Roman"/>
              </w:rPr>
              <w:br/>
              <w:t>- document fragment 1 explicitly states: "patients with other abnormal types (ASC-H, LSIL, HSIL, AGC, and ASC-US patients after one-year follow-up): refer directly to colposcopy." here, ASC-H, LSIL, and HSIL are categorized as "other abnormal types," thus requiring direct referral without prior HPV triage or other testing.</w:t>
            </w:r>
            <w:r w:rsidRPr="00CB2EC4">
              <w:rPr>
                <w:rFonts w:ascii="Times New Roman" w:hAnsi="Times New Roman" w:cs="Times New Roman"/>
              </w:rPr>
              <w:br/>
              <w:t>- document fragment 3 further confirms: "for cytological abnormalities of ASC-H, LSIL, HSIL, AGC, all should be referred for colposcopy."</w:t>
            </w:r>
            <w:r w:rsidRPr="00CB2EC4">
              <w:rPr>
                <w:rFonts w:ascii="Times New Roman" w:hAnsi="Times New Roman" w:cs="Times New Roman"/>
              </w:rPr>
              <w:br/>
              <w:t xml:space="preserve">  document fragment 7 (relevance: 0.700) mentions that LSIL may be managed with repeat co-testing at 12 months, but this applies under specific management pathways (possibly for lower-risk scenarios), whereas document fragments 1 and 3 have higher priority and clearly indicate that these abnormal types require direct colposcopy referral. therefore, based on the context, ASC-H, LSIL, and HSIL all require colposcopy.</w:t>
            </w:r>
          </w:p>
        </w:tc>
        <w:tc>
          <w:tcPr>
            <w:tcW w:w="1152" w:type="dxa"/>
            <w:vAlign w:val="center"/>
          </w:tcPr>
          <w:p w14:paraId="3A883E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E05E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A799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B5C7E95" w14:textId="77777777">
        <w:tc>
          <w:tcPr>
            <w:tcW w:w="2160" w:type="dxa"/>
            <w:vAlign w:val="center"/>
          </w:tcPr>
          <w:p w14:paraId="48765DE0"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FFC2D5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all types (ASC-H, LSIL, HSIL, AGC) require direct referral for colposcopy.  </w:t>
            </w:r>
            <w:r w:rsidRPr="00CB2EC4">
              <w:rPr>
                <w:rFonts w:ascii="Times New Roman" w:hAnsi="Times New Roman" w:cs="Times New Roman"/>
              </w:rPr>
              <w:br/>
              <w:t xml:space="preserve">Basis:  </w:t>
            </w:r>
            <w:r w:rsidRPr="00CB2EC4">
              <w:rPr>
                <w:rFonts w:ascii="Times New Roman" w:hAnsi="Times New Roman" w:cs="Times New Roman"/>
              </w:rPr>
              <w:br/>
              <w:t xml:space="preserve">- Figure 2 flowchart: All abnormal types except ASC-US (including ASC-H, LSIL, HSIL, AGC) require direct referral for colposcopy (Figure 2, "other abnormal types" pathway).  </w:t>
            </w:r>
            <w:r w:rsidRPr="00CB2EC4">
              <w:rPr>
                <w:rFonts w:ascii="Times New Roman" w:hAnsi="Times New Roman" w:cs="Times New Roman"/>
              </w:rPr>
              <w:br/>
            </w:r>
            <w:r w:rsidRPr="00CB2EC4">
              <w:rPr>
                <w:rFonts w:ascii="Times New Roman" w:hAnsi="Times New Roman" w:cs="Times New Roman"/>
              </w:rPr>
              <w:lastRenderedPageBreak/>
              <w:t>- Text support: "Colposcopy referral is indicated for all cytological abnormalities of ASC-H, LSIL, HSIL, and AGC" (contextual text).</w:t>
            </w:r>
          </w:p>
        </w:tc>
        <w:tc>
          <w:tcPr>
            <w:tcW w:w="1152" w:type="dxa"/>
            <w:vAlign w:val="center"/>
          </w:tcPr>
          <w:p w14:paraId="08637F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2119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D325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BC39BD" w14:textId="77777777">
        <w:tc>
          <w:tcPr>
            <w:tcW w:w="2160" w:type="dxa"/>
            <w:vAlign w:val="center"/>
          </w:tcPr>
          <w:p w14:paraId="067104AE"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8CD45ED" w14:textId="77777777" w:rsidR="00922249" w:rsidRPr="00CB2EC4" w:rsidRDefault="003011D5">
            <w:pPr>
              <w:rPr>
                <w:rFonts w:ascii="Times New Roman" w:hAnsi="Times New Roman" w:cs="Times New Roman"/>
              </w:rPr>
            </w:pPr>
            <w:r w:rsidRPr="00CB2EC4">
              <w:rPr>
                <w:rFonts w:ascii="Times New Roman" w:hAnsi="Times New Roman" w:cs="Times New Roman"/>
              </w:rPr>
              <w:t>yes. According to document fragment 2 and fragment 3, for cytological abnormalities such as ASC-H, LSIL, HSIL, and AGC, direct referral for colposcopy is required. Document fragment 3 explicitly states: "For cytological abnormalities of ASC-H, LSIL, HSIL, AGC, referral for colposcopy should be made."</w:t>
            </w:r>
          </w:p>
        </w:tc>
        <w:tc>
          <w:tcPr>
            <w:tcW w:w="1152" w:type="dxa"/>
            <w:vAlign w:val="center"/>
          </w:tcPr>
          <w:p w14:paraId="360070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DD9C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CFDF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1B93F3" w14:textId="77777777">
        <w:tc>
          <w:tcPr>
            <w:tcW w:w="2160" w:type="dxa"/>
            <w:vAlign w:val="center"/>
          </w:tcPr>
          <w:p w14:paraId="29FFBDE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3255A9A"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is required.</w:t>
            </w:r>
            <w:r w:rsidRPr="00CB2EC4">
              <w:rPr>
                <w:rFonts w:ascii="Times New Roman" w:hAnsi="Times New Roman" w:cs="Times New Roman"/>
              </w:rPr>
              <w:br/>
            </w:r>
            <w:r w:rsidRPr="00CB2EC4">
              <w:rPr>
                <w:rFonts w:ascii="Times New Roman" w:hAnsi="Times New Roman" w:cs="Times New Roman"/>
              </w:rPr>
              <w:br/>
              <w:t>According to the context (Document 1 and Document 2):</w:t>
            </w:r>
            <w:r w:rsidRPr="00CB2EC4">
              <w:rPr>
                <w:rFonts w:ascii="Times New Roman" w:hAnsi="Times New Roman" w:cs="Times New Roman"/>
              </w:rPr>
              <w:br/>
              <w:t>- For abnormal cytology types such as ASC-H, LSIL, HSIL (and AGC), the management protocol is direct referral to colposcopy without additional triage.</w:t>
            </w:r>
            <w:r w:rsidRPr="00CB2EC4">
              <w:rPr>
                <w:rFonts w:ascii="Times New Roman" w:hAnsi="Times New Roman" w:cs="Times New Roman"/>
              </w:rPr>
              <w:br/>
              <w:t>- Specifically, Document 1 states under "Patients with other abnormal types": "Direct referral to colposcopy", which includes ASC-H, LSIL, HSIL.</w:t>
            </w:r>
            <w:r w:rsidRPr="00CB2EC4">
              <w:rPr>
                <w:rFonts w:ascii="Times New Roman" w:hAnsi="Times New Roman" w:cs="Times New Roman"/>
              </w:rPr>
              <w:br/>
              <w:t>- Document 2 also emphasizes: "All cases of cytological abnormalities including ASC-H, LSIL, HSIL, and AGC should be referred for colposcopy."</w:t>
            </w:r>
            <w:r w:rsidRPr="00CB2EC4">
              <w:rPr>
                <w:rFonts w:ascii="Times New Roman" w:hAnsi="Times New Roman" w:cs="Times New Roman"/>
              </w:rPr>
              <w:br/>
              <w:t>- The documents consistently indicate that these abnormal types require colposcopy, therefore the answer is affirmative.</w:t>
            </w:r>
            <w:r w:rsidRPr="00CB2EC4">
              <w:rPr>
                <w:rFonts w:ascii="Times New Roman" w:hAnsi="Times New Roman" w:cs="Times New Roman"/>
              </w:rPr>
              <w:br/>
            </w:r>
            <w:r w:rsidRPr="00CB2EC4">
              <w:rPr>
                <w:rFonts w:ascii="Times New Roman" w:hAnsi="Times New Roman" w:cs="Times New Roman"/>
              </w:rPr>
              <w:br/>
              <w:t>Response: Yes, colposcopy is needed.</w:t>
            </w:r>
          </w:p>
        </w:tc>
        <w:tc>
          <w:tcPr>
            <w:tcW w:w="1152" w:type="dxa"/>
            <w:vAlign w:val="center"/>
          </w:tcPr>
          <w:p w14:paraId="5B11A0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3FD2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864B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61E498" w14:textId="77777777">
        <w:tc>
          <w:tcPr>
            <w:tcW w:w="2160" w:type="dxa"/>
            <w:vAlign w:val="center"/>
          </w:tcPr>
          <w:p w14:paraId="7507846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C6E5DEF"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is required.</w:t>
            </w:r>
            <w:r w:rsidRPr="00CB2EC4">
              <w:rPr>
                <w:rFonts w:ascii="Times New Roman" w:hAnsi="Times New Roman" w:cs="Times New Roman"/>
              </w:rPr>
              <w:br/>
            </w:r>
            <w:r w:rsidRPr="00CB2EC4">
              <w:rPr>
                <w:rFonts w:ascii="Times New Roman" w:hAnsi="Times New Roman" w:cs="Times New Roman"/>
              </w:rPr>
              <w:br/>
              <w:t>The documents explicitly state that for abnormal cytology results including ASC-H, LSIL, and HSIL, colposcopy referral is indicated regardless of HPV status. For example:</w:t>
            </w:r>
            <w:r w:rsidRPr="00CB2EC4">
              <w:rPr>
                <w:rFonts w:ascii="Times New Roman" w:hAnsi="Times New Roman" w:cs="Times New Roman"/>
              </w:rPr>
              <w:br/>
            </w:r>
            <w:r w:rsidRPr="00CB2EC4">
              <w:rPr>
                <w:rFonts w:ascii="Times New Roman" w:hAnsi="Times New Roman" w:cs="Times New Roman"/>
              </w:rPr>
              <w:lastRenderedPageBreak/>
              <w:t>- The first document fragment: "Patients with other abnormal types (ASC-H, LSIL, HSIL, AGC, and ASC-US patients after one-year follow-up): directly refer for colposcopy."</w:t>
            </w:r>
            <w:r w:rsidRPr="00CB2EC4">
              <w:rPr>
                <w:rFonts w:ascii="Times New Roman" w:hAnsi="Times New Roman" w:cs="Times New Roman"/>
              </w:rPr>
              <w:br/>
              <w:t>- The seventh document fragment: "ASC-H, LSIL, HSIL, and AGC with abnormal cytology should all be referred for colposcopy."</w:t>
            </w:r>
            <w:r w:rsidRPr="00CB2EC4">
              <w:rPr>
                <w:rFonts w:ascii="Times New Roman" w:hAnsi="Times New Roman" w:cs="Times New Roman"/>
              </w:rPr>
              <w:br/>
              <w:t xml:space="preserve">  This is based on the high-risk features of these abnormalities (e.g., HSIL has a 70%~75% probability of being diagnosed as ≥CINⅡ), making colposcopy the standard management procedure.</w:t>
            </w:r>
          </w:p>
        </w:tc>
        <w:tc>
          <w:tcPr>
            <w:tcW w:w="1152" w:type="dxa"/>
            <w:vAlign w:val="center"/>
          </w:tcPr>
          <w:p w14:paraId="711670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DBD8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08D8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31B845" w14:textId="77777777">
        <w:tc>
          <w:tcPr>
            <w:tcW w:w="2160" w:type="dxa"/>
            <w:vAlign w:val="center"/>
          </w:tcPr>
          <w:p w14:paraId="058B6F85"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141E728"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is required. Document fragment 1 (similarity 0.698), Figure 2 clearly states that patients with other abnormal types, including ASC-H, LSIL, HSIL, should be directly referred for colposcopy. Document fragment 2 (similarity 0.647) and document fragment 6 (similarity 0.567) further emphasize that abnormal results such as ASC-H, LSIL, HSIL should all be referred for colposcopy due to their higher risk of precancerous lesions.</w:t>
            </w:r>
          </w:p>
        </w:tc>
        <w:tc>
          <w:tcPr>
            <w:tcW w:w="1152" w:type="dxa"/>
            <w:vAlign w:val="center"/>
          </w:tcPr>
          <w:p w14:paraId="684DB8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BD57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C596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606C2E" w14:textId="77777777">
        <w:tc>
          <w:tcPr>
            <w:tcW w:w="2160" w:type="dxa"/>
            <w:vAlign w:val="center"/>
          </w:tcPr>
          <w:p w14:paraId="7B7717F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2DF43F6"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is required.</w:t>
            </w:r>
            <w:r w:rsidRPr="00CB2EC4">
              <w:rPr>
                <w:rFonts w:ascii="Times New Roman" w:hAnsi="Times New Roman" w:cs="Times New Roman"/>
              </w:rPr>
              <w:br/>
            </w:r>
            <w:r w:rsidRPr="00CB2EC4">
              <w:rPr>
                <w:rFonts w:ascii="Times New Roman" w:hAnsi="Times New Roman" w:cs="Times New Roman"/>
              </w:rPr>
              <w:br/>
              <w:t>According to the processing flowchart in the document (Figure 2): Patients with cytological abnormalities including ASC-H, LSIL, HSIL, and AGC should be directly referred for colposcopy. Specifically stated: "Patients with other abnormal types (ASC-H, LSIL, HSIL, AGC) → direct referral for colposcopy", and it is emphasized: "All patients with cytological abnormalities of ASC-H, LSIL, HSIL, AGC should be referred for colposcopy". Therefore, colposcopy is required.</w:t>
            </w:r>
          </w:p>
        </w:tc>
        <w:tc>
          <w:tcPr>
            <w:tcW w:w="1152" w:type="dxa"/>
            <w:vAlign w:val="center"/>
          </w:tcPr>
          <w:p w14:paraId="6A3EF7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9B80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A76F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ECBA20" w14:textId="77777777">
        <w:tc>
          <w:tcPr>
            <w:tcW w:w="2160" w:type="dxa"/>
            <w:vAlign w:val="center"/>
          </w:tcPr>
          <w:p w14:paraId="1C231D52"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A2888E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colposcopy is required. Document fragment 1 </w:t>
            </w:r>
            <w:r w:rsidRPr="00CB2EC4">
              <w:rPr>
                <w:rFonts w:ascii="Times New Roman" w:hAnsi="Times New Roman" w:cs="Times New Roman"/>
              </w:rPr>
              <w:lastRenderedPageBreak/>
              <w:t>(similarity 0.698), Figure 2 clearly states that patients with other abnormal types, including ASC-H, LSIL, HSIL, should be directly referred for colposcopy. Document fragment 2 (similarity 0.647) and document fragment 6 (similarity 0.567) further emphasize that abnormal results such as ASC-H, LSIL, HSIL should all be referred for colposcopy due to their higher risk of precancerous lesions.</w:t>
            </w:r>
          </w:p>
        </w:tc>
        <w:tc>
          <w:tcPr>
            <w:tcW w:w="1152" w:type="dxa"/>
            <w:vAlign w:val="center"/>
          </w:tcPr>
          <w:p w14:paraId="50184B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F22A6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F57F2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9D3C154" w14:textId="77777777">
        <w:tc>
          <w:tcPr>
            <w:tcW w:w="2160" w:type="dxa"/>
            <w:vAlign w:val="center"/>
          </w:tcPr>
          <w:p w14:paraId="73AD57D5"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C0F6A1B"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is required.</w:t>
            </w:r>
            <w:r w:rsidRPr="00CB2EC4">
              <w:rPr>
                <w:rFonts w:ascii="Times New Roman" w:hAnsi="Times New Roman" w:cs="Times New Roman"/>
              </w:rPr>
              <w:br/>
            </w:r>
            <w:r w:rsidRPr="00CB2EC4">
              <w:rPr>
                <w:rFonts w:ascii="Times New Roman" w:hAnsi="Times New Roman" w:cs="Times New Roman"/>
              </w:rPr>
              <w:br/>
              <w:t>The documents explicitly state that patients with cytology results of ASC-H, LSIL, or HSIL should be directly referred for colposcopy. For example, one document fragment notes: "Other abnormal types (ASC-H, LSIL, HSIL, AGC, and ASC-US patients after one-year follow-up): direct referral for colposcopy." Another fragment emphasizes: "Cytology results ≥ ASC-US (including ASC-US, LSIL, HSIL, etc.) → refer for colposcopy." Additionally, it is stated: "ASC-H, LSIL, HSIL, AGC with abnormal cytology should all be referred for colposcopy." Therefore, ASC-H, LSIL, and HSIL all require colposcopy.</w:t>
            </w:r>
          </w:p>
        </w:tc>
        <w:tc>
          <w:tcPr>
            <w:tcW w:w="1152" w:type="dxa"/>
            <w:vAlign w:val="center"/>
          </w:tcPr>
          <w:p w14:paraId="566685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09EA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6DA1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DC9B18" w14:textId="77777777">
        <w:tc>
          <w:tcPr>
            <w:tcW w:w="2160" w:type="dxa"/>
            <w:vAlign w:val="center"/>
          </w:tcPr>
          <w:p w14:paraId="5BAC7FDE"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3B24503" w14:textId="77777777" w:rsidR="00922249" w:rsidRPr="00CB2EC4" w:rsidRDefault="003011D5">
            <w:pPr>
              <w:rPr>
                <w:rFonts w:ascii="Times New Roman" w:hAnsi="Times New Roman" w:cs="Times New Roman"/>
              </w:rPr>
            </w:pPr>
            <w:r w:rsidRPr="00CB2EC4">
              <w:rPr>
                <w:rFonts w:ascii="Times New Roman" w:hAnsi="Times New Roman" w:cs="Times New Roman"/>
              </w:rPr>
              <w:t>yes, colposcopy is required.</w:t>
            </w:r>
            <w:r w:rsidRPr="00CB2EC4">
              <w:rPr>
                <w:rFonts w:ascii="Times New Roman" w:hAnsi="Times New Roman" w:cs="Times New Roman"/>
              </w:rPr>
              <w:br/>
            </w:r>
            <w:r w:rsidRPr="00CB2EC4">
              <w:rPr>
                <w:rFonts w:ascii="Times New Roman" w:hAnsi="Times New Roman" w:cs="Times New Roman"/>
              </w:rPr>
              <w:br/>
              <w:t xml:space="preserve">- Basis:  </w:t>
            </w:r>
            <w:r w:rsidRPr="00CB2EC4">
              <w:rPr>
                <w:rFonts w:ascii="Times New Roman" w:hAnsi="Times New Roman" w:cs="Times New Roman"/>
              </w:rPr>
              <w:br/>
              <w:t xml:space="preserve">  - Document excerpt 1 (relevance: 0.9655), Figure 2 processing flow clearly states: "Patients with other abnormal types (ASC-H, LSIL, HSIL, AGC, and ASC-US patients after one-year follow-up): directly refer for colposcopy."  </w:t>
            </w:r>
            <w:r w:rsidRPr="00CB2EC4">
              <w:rPr>
                <w:rFonts w:ascii="Times New Roman" w:hAnsi="Times New Roman" w:cs="Times New Roman"/>
              </w:rPr>
              <w:br/>
              <w:t xml:space="preserve">  - Document excerpt 3 (relevance: 0.9420) further emphasizes: "Colposcopy referral is indicated for all </w:t>
            </w:r>
            <w:r w:rsidRPr="00CB2EC4">
              <w:rPr>
                <w:rFonts w:ascii="Times New Roman" w:hAnsi="Times New Roman" w:cs="Times New Roman"/>
              </w:rPr>
              <w:lastRenderedPageBreak/>
              <w:t xml:space="preserve">cytological abnormalities including ASC-H, LSIL, HSIL, and AGC."  </w:t>
            </w:r>
            <w:r w:rsidRPr="00CB2EC4">
              <w:rPr>
                <w:rFonts w:ascii="Times New Roman" w:hAnsi="Times New Roman" w:cs="Times New Roman"/>
              </w:rPr>
              <w:br/>
              <w:t xml:space="preserve">    Therefore, ASC-H, LSIL, or HSIL results all directly indicate referral for colposcopy, without the need for additional triage steps.</w:t>
            </w:r>
          </w:p>
        </w:tc>
        <w:tc>
          <w:tcPr>
            <w:tcW w:w="1152" w:type="dxa"/>
            <w:vAlign w:val="center"/>
          </w:tcPr>
          <w:p w14:paraId="690E44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53B1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DBE4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8F2566" w14:textId="77777777">
        <w:tc>
          <w:tcPr>
            <w:tcW w:w="2160" w:type="dxa"/>
            <w:vAlign w:val="center"/>
          </w:tcPr>
          <w:p w14:paraId="3C36AA55"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83144B7" w14:textId="77777777" w:rsidR="00922249" w:rsidRPr="00CB2EC4" w:rsidRDefault="003011D5">
            <w:pPr>
              <w:rPr>
                <w:rFonts w:ascii="Times New Roman" w:hAnsi="Times New Roman" w:cs="Times New Roman"/>
              </w:rPr>
            </w:pPr>
            <w:r w:rsidRPr="00CB2EC4">
              <w:rPr>
                <w:rFonts w:ascii="Times New Roman" w:hAnsi="Times New Roman" w:cs="Times New Roman"/>
              </w:rPr>
              <w:t>yes, vaginal colposcopy is required for ASC-H, LSIL, and HSIL cytology results.</w:t>
            </w:r>
            <w:r w:rsidRPr="00CB2EC4">
              <w:rPr>
                <w:rFonts w:ascii="Times New Roman" w:hAnsi="Times New Roman" w:cs="Times New Roman"/>
              </w:rPr>
              <w:br/>
            </w:r>
            <w:r w:rsidRPr="00CB2EC4">
              <w:rPr>
                <w:rFonts w:ascii="Times New Roman" w:hAnsi="Times New Roman" w:cs="Times New Roman"/>
              </w:rPr>
              <w:br/>
              <w:t>based on the provided context (figure 2 in fragment 1 and section 2.2.3 in fragment 2):</w:t>
            </w:r>
            <w:r w:rsidRPr="00CB2EC4">
              <w:rPr>
                <w:rFonts w:ascii="Times New Roman" w:hAnsi="Times New Roman" w:cs="Times New Roman"/>
              </w:rPr>
              <w:br/>
              <w:t>- patients with abnormal cytology types including ASC-H, LSIL, HSIL, and AGC should be directly referred for colposcopy.</w:t>
            </w:r>
            <w:r w:rsidRPr="00CB2EC4">
              <w:rPr>
                <w:rFonts w:ascii="Times New Roman" w:hAnsi="Times New Roman" w:cs="Times New Roman"/>
              </w:rPr>
              <w:br/>
              <w:t>- specific process: patients with other abnormal types (ASC-H, LSIL, HSIL, AGC) → direct referral for colposcopy.</w:t>
            </w:r>
            <w:r w:rsidRPr="00CB2EC4">
              <w:rPr>
                <w:rFonts w:ascii="Times New Roman" w:hAnsi="Times New Roman" w:cs="Times New Roman"/>
              </w:rPr>
              <w:br/>
              <w:t>- therefore, yes, colposcopy is required.</w:t>
            </w:r>
          </w:p>
        </w:tc>
        <w:tc>
          <w:tcPr>
            <w:tcW w:w="1152" w:type="dxa"/>
            <w:vAlign w:val="center"/>
          </w:tcPr>
          <w:p w14:paraId="3525DF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EA9C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8411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3A7E40" w14:textId="77777777">
        <w:tc>
          <w:tcPr>
            <w:tcW w:w="2160" w:type="dxa"/>
            <w:vAlign w:val="center"/>
          </w:tcPr>
          <w:p w14:paraId="029A6F55"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9ADC8F9" w14:textId="77777777" w:rsidR="00922249" w:rsidRPr="00CB2EC4" w:rsidRDefault="003011D5">
            <w:pPr>
              <w:rPr>
                <w:rFonts w:ascii="Times New Roman" w:hAnsi="Times New Roman" w:cs="Times New Roman"/>
              </w:rPr>
            </w:pPr>
            <w:r w:rsidRPr="00CB2EC4">
              <w:rPr>
                <w:rFonts w:ascii="Times New Roman" w:hAnsi="Times New Roman" w:cs="Times New Roman"/>
              </w:rPr>
              <w:t>yes, when cytology shows ASC-H, LSIL, or HSIL, colposcopy is required. These results are all considered high-risk, do not require HPV triage, and directly recommend colposcopy to assess the degree of lesion.</w:t>
            </w:r>
          </w:p>
        </w:tc>
        <w:tc>
          <w:tcPr>
            <w:tcW w:w="1152" w:type="dxa"/>
            <w:vAlign w:val="center"/>
          </w:tcPr>
          <w:p w14:paraId="1B03E2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033B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001B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4F71C8" w14:textId="77777777">
        <w:tc>
          <w:tcPr>
            <w:tcW w:w="10656" w:type="dxa"/>
            <w:gridSpan w:val="5"/>
            <w:tcBorders>
              <w:bottom w:val="single" w:sz="6" w:space="0" w:color="auto"/>
            </w:tcBorders>
            <w:vAlign w:val="center"/>
          </w:tcPr>
          <w:p w14:paraId="2C0A2C3A"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11: When cytological examination results show AGC, what is the next examination required?</w:t>
            </w:r>
          </w:p>
        </w:tc>
      </w:tr>
      <w:tr w:rsidR="00922249" w:rsidRPr="00CB2EC4" w14:paraId="5465D971" w14:textId="77777777">
        <w:tc>
          <w:tcPr>
            <w:tcW w:w="2160" w:type="dxa"/>
            <w:vAlign w:val="center"/>
          </w:tcPr>
          <w:p w14:paraId="0BCCCECA"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B25D9A6"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must be performed:</w:t>
            </w:r>
            <w:r w:rsidRPr="00CB2EC4">
              <w:rPr>
                <w:rFonts w:ascii="Times New Roman" w:hAnsi="Times New Roman" w:cs="Times New Roman"/>
              </w:rPr>
              <w:br/>
            </w:r>
            <w:r w:rsidRPr="00CB2EC4">
              <w:rPr>
                <w:rFonts w:ascii="Times New Roman" w:hAnsi="Times New Roman" w:cs="Times New Roman"/>
              </w:rPr>
              <w:br/>
              <w:t>- Referral for colposcopy.</w:t>
            </w:r>
            <w:r w:rsidRPr="00CB2EC4">
              <w:rPr>
                <w:rFonts w:ascii="Times New Roman" w:hAnsi="Times New Roman" w:cs="Times New Roman"/>
              </w:rPr>
              <w:br/>
              <w:t>- Endocervical curettage (ECC) must be added.</w:t>
            </w:r>
            <w:r w:rsidRPr="00CB2EC4">
              <w:rPr>
                <w:rFonts w:ascii="Times New Roman" w:hAnsi="Times New Roman" w:cs="Times New Roman"/>
              </w:rPr>
              <w:br/>
              <w:t>- If there is suspicion of endometrial cancer risk, endometrial biopsy (endometrial sampling for histopathological examination) should also be performed.</w:t>
            </w:r>
            <w:r w:rsidRPr="00CB2EC4">
              <w:rPr>
                <w:rFonts w:ascii="Times New Roman" w:hAnsi="Times New Roman" w:cs="Times New Roman"/>
              </w:rPr>
              <w:br/>
            </w:r>
            <w:r w:rsidRPr="00CB2EC4">
              <w:rPr>
                <w:rFonts w:ascii="Times New Roman" w:hAnsi="Times New Roman" w:cs="Times New Roman"/>
              </w:rPr>
              <w:lastRenderedPageBreak/>
              <w:br/>
              <w:t>This is based on the guideline that for cytological abnormalities including ASC-H, LSIL, HSIL, and AGC, colposcopy referral is required. Specifically for AGC, endocervical scraping is emphasized, and endometrial curettage should be done when endometrial cancer is suspected, as shown in Figure 2.</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061B8C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9FBF3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1C743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8E44E3D" w14:textId="77777777">
        <w:tc>
          <w:tcPr>
            <w:tcW w:w="2160" w:type="dxa"/>
            <w:vAlign w:val="center"/>
          </w:tcPr>
          <w:p w14:paraId="6253A93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E8F28FA"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are required:</w:t>
            </w:r>
            <w:r w:rsidRPr="00CB2EC4">
              <w:rPr>
                <w:rFonts w:ascii="Times New Roman" w:hAnsi="Times New Roman" w:cs="Times New Roman"/>
              </w:rPr>
              <w:br/>
            </w:r>
            <w:r w:rsidRPr="00CB2EC4">
              <w:rPr>
                <w:rFonts w:ascii="Times New Roman" w:hAnsi="Times New Roman" w:cs="Times New Roman"/>
              </w:rPr>
              <w:br/>
              <w:t>- Referral for colposcopy: Document fragment 1 (Figure 2) explicitly states that AGC patients are classified as "other abnormal types" and should be directly referred for colposcopy.</w:t>
            </w:r>
            <w:r w:rsidRPr="00CB2EC4">
              <w:rPr>
                <w:rFonts w:ascii="Times New Roman" w:hAnsi="Times New Roman" w:cs="Times New Roman"/>
              </w:rPr>
              <w:br/>
              <w:t>- Endocervical curettage (ECC): Document fragment 1 (Figure 2) and document fragment 3 (Cytology Abnormality Management Guidelines) both emphasize that ECC must be performed in AGC patients to assess the endocervical canal.</w:t>
            </w:r>
            <w:r w:rsidRPr="00CB2EC4">
              <w:rPr>
                <w:rFonts w:ascii="Times New Roman" w:hAnsi="Times New Roman" w:cs="Times New Roman"/>
              </w:rPr>
              <w:br/>
              <w:t>- HPV testing: Document fragment 1 (Figure 2) indicates that HPV testing should be added for AGC patients to assist in risk stratification.</w:t>
            </w:r>
            <w:r w:rsidRPr="00CB2EC4">
              <w:rPr>
                <w:rFonts w:ascii="Times New Roman" w:hAnsi="Times New Roman" w:cs="Times New Roman"/>
              </w:rPr>
              <w:br/>
              <w:t>- Endometrial sampling (endometrial biopsy): Document fragment 1 (Figure 2) and document fragment 3 state that endometrial sampling should be performed when there is suspicion of endometrial cancer risk.</w:t>
            </w:r>
            <w:r w:rsidRPr="00CB2EC4">
              <w:rPr>
                <w:rFonts w:ascii="Times New Roman" w:hAnsi="Times New Roman" w:cs="Times New Roman"/>
              </w:rPr>
              <w:br/>
            </w:r>
            <w:r w:rsidRPr="00CB2EC4">
              <w:rPr>
                <w:rFonts w:ascii="Times New Roman" w:hAnsi="Times New Roman" w:cs="Times New Roman"/>
              </w:rPr>
              <w:br/>
              <w:t xml:space="preserve">Evidence: Document fragment 1 (main text): “Patients with other abnormal types (ASC-H, LSIL, HSIL, AGC, and ASC-US patients with persistent </w:t>
            </w:r>
            <w:r w:rsidRPr="00CB2EC4">
              <w:rPr>
                <w:rFonts w:ascii="Times New Roman" w:hAnsi="Times New Roman" w:cs="Times New Roman"/>
              </w:rPr>
              <w:lastRenderedPageBreak/>
              <w:t>abnormality after 1-year follow-up): direct referral for colposcopy; for AGC patients, add: endocervical curettage (ECC), HPV testing, and endometrial sampling.” Document fragment 3 (main text): “For cytological abnormalities including ASC-H, LSIL, HSIL, and AGC, referral for colposcopy is indicated. For AGC, endocervical curettage is specifically emphasized, and endometrial sampling should be performed when endometrial cancer is suspected, with tissue sent for pathological examination.”</w:t>
            </w:r>
            <w:r w:rsidRPr="00CB2EC4">
              <w:rPr>
                <w:rFonts w:ascii="Times New Roman" w:hAnsi="Times New Roman" w:cs="Times New Roman"/>
              </w:rPr>
              <w:br/>
            </w:r>
            <w:r w:rsidRPr="00CB2EC4">
              <w:rPr>
                <w:rFonts w:ascii="Times New Roman" w:hAnsi="Times New Roman" w:cs="Times New Roman"/>
              </w:rPr>
              <w:br/>
              <w:t>Summary: AGC patients require referral for colposcopy, with additional ECC, HPV testing, and endometrial sampling (especially when endometrial cancer risk is present).</w:t>
            </w:r>
          </w:p>
        </w:tc>
        <w:tc>
          <w:tcPr>
            <w:tcW w:w="1152" w:type="dxa"/>
            <w:vAlign w:val="center"/>
          </w:tcPr>
          <w:p w14:paraId="1523C6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889BC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0228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36C519" w14:textId="77777777">
        <w:tc>
          <w:tcPr>
            <w:tcW w:w="2160" w:type="dxa"/>
            <w:vAlign w:val="center"/>
          </w:tcPr>
          <w:p w14:paraId="599A471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EA6EBEB"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are required:</w:t>
            </w:r>
            <w:r w:rsidRPr="00CB2EC4">
              <w:rPr>
                <w:rFonts w:ascii="Times New Roman" w:hAnsi="Times New Roman" w:cs="Times New Roman"/>
              </w:rPr>
              <w:br/>
            </w:r>
            <w:r w:rsidRPr="00CB2EC4">
              <w:rPr>
                <w:rFonts w:ascii="Times New Roman" w:hAnsi="Times New Roman" w:cs="Times New Roman"/>
              </w:rPr>
              <w:br/>
              <w:t>- Referral for colposcopy</w:t>
            </w:r>
            <w:r w:rsidRPr="00CB2EC4">
              <w:rPr>
                <w:rFonts w:ascii="Times New Roman" w:hAnsi="Times New Roman" w:cs="Times New Roman"/>
              </w:rPr>
              <w:br/>
              <w:t>- Additional tests:</w:t>
            </w:r>
            <w:r w:rsidRPr="00CB2EC4">
              <w:rPr>
                <w:rFonts w:ascii="Times New Roman" w:hAnsi="Times New Roman" w:cs="Times New Roman"/>
              </w:rPr>
              <w:br/>
              <w:t xml:space="preserve">  - Endocervical curettage (ECC)</w:t>
            </w:r>
            <w:r w:rsidRPr="00CB2EC4">
              <w:rPr>
                <w:rFonts w:ascii="Times New Roman" w:hAnsi="Times New Roman" w:cs="Times New Roman"/>
              </w:rPr>
              <w:br/>
              <w:t xml:space="preserve">  - HPV testing</w:t>
            </w:r>
            <w:r w:rsidRPr="00CB2EC4">
              <w:rPr>
                <w:rFonts w:ascii="Times New Roman" w:hAnsi="Times New Roman" w:cs="Times New Roman"/>
              </w:rPr>
              <w:br/>
              <w:t xml:space="preserve">  - Endometrial sampling (especially when there is suspicion of endometrial cancer risk)</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t>- Fragment 1: "For AGC (atypical glandular cells) patients: direct referral for colposcopy, where AGC patients need: additional endocervical curettage (ECC), additional HPV testing, additional endometrial sampling."</w:t>
            </w:r>
            <w:r w:rsidRPr="00CB2EC4">
              <w:rPr>
                <w:rFonts w:ascii="Times New Roman" w:hAnsi="Times New Roman" w:cs="Times New Roman"/>
              </w:rPr>
              <w:br/>
              <w:t xml:space="preserve">- Fragment 6: "For AGC, special emphasis is placed on performing endocervical curettage, and </w:t>
            </w:r>
            <w:r w:rsidRPr="00CB2EC4">
              <w:rPr>
                <w:rFonts w:ascii="Times New Roman" w:hAnsi="Times New Roman" w:cs="Times New Roman"/>
              </w:rPr>
              <w:lastRenderedPageBreak/>
              <w:t>endometrial sampling with histopathological examination should be done when there is suspicion of endometrial cancer risk."</w:t>
            </w:r>
          </w:p>
        </w:tc>
        <w:tc>
          <w:tcPr>
            <w:tcW w:w="1152" w:type="dxa"/>
            <w:vAlign w:val="center"/>
          </w:tcPr>
          <w:p w14:paraId="34B55B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C8AFC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B0E2F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5B3DA98" w14:textId="77777777">
        <w:tc>
          <w:tcPr>
            <w:tcW w:w="2160" w:type="dxa"/>
            <w:vAlign w:val="center"/>
          </w:tcPr>
          <w:p w14:paraId="423421D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502A25F"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should be performed:</w:t>
            </w:r>
            <w:r w:rsidRPr="00CB2EC4">
              <w:rPr>
                <w:rFonts w:ascii="Times New Roman" w:hAnsi="Times New Roman" w:cs="Times New Roman"/>
              </w:rPr>
              <w:br/>
            </w:r>
            <w:r w:rsidRPr="00CB2EC4">
              <w:rPr>
                <w:rFonts w:ascii="Times New Roman" w:hAnsi="Times New Roman" w:cs="Times New Roman"/>
              </w:rPr>
              <w:br/>
              <w:t>- Immediate referral for colposcopy, with the addition of:</w:t>
            </w:r>
            <w:r w:rsidRPr="00CB2EC4">
              <w:rPr>
                <w:rFonts w:ascii="Times New Roman" w:hAnsi="Times New Roman" w:cs="Times New Roman"/>
              </w:rPr>
              <w:br/>
              <w:t xml:space="preserve">  - Endocervical curettage (ECC)</w:t>
            </w:r>
            <w:r w:rsidRPr="00CB2EC4">
              <w:rPr>
                <w:rFonts w:ascii="Times New Roman" w:hAnsi="Times New Roman" w:cs="Times New Roman"/>
              </w:rPr>
              <w:br/>
              <w:t xml:space="preserve">  - HPV testing</w:t>
            </w:r>
            <w:r w:rsidRPr="00CB2EC4">
              <w:rPr>
                <w:rFonts w:ascii="Times New Roman" w:hAnsi="Times New Roman" w:cs="Times New Roman"/>
              </w:rPr>
              <w:br/>
              <w:t xml:space="preserve">  - Endometrial biopsy (especially when endometrial cancer is suspected)</w:t>
            </w:r>
            <w:r w:rsidRPr="00CB2EC4">
              <w:rPr>
                <w:rFonts w:ascii="Times New Roman" w:hAnsi="Times New Roman" w:cs="Times New Roman"/>
              </w:rPr>
              <w:br/>
            </w:r>
            <w:r w:rsidRPr="00CB2EC4">
              <w:rPr>
                <w:rFonts w:ascii="Times New Roman" w:hAnsi="Times New Roman" w:cs="Times New Roman"/>
              </w:rPr>
              <w:br/>
              <w:t>&gt; Source: Knowledge base document Figure 2 and Section 2.2.3 (The probability of histologic diagnosis of CIN II/III in AGC patients is 9%–54%, and the risk of invasive cancer is 1%–9%).</w:t>
            </w:r>
          </w:p>
        </w:tc>
        <w:tc>
          <w:tcPr>
            <w:tcW w:w="1152" w:type="dxa"/>
            <w:vAlign w:val="center"/>
          </w:tcPr>
          <w:p w14:paraId="311C06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4497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6DA0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6AA1F5" w14:textId="77777777">
        <w:tc>
          <w:tcPr>
            <w:tcW w:w="2160" w:type="dxa"/>
            <w:vAlign w:val="center"/>
          </w:tcPr>
          <w:p w14:paraId="6FD5CF9C"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88A7E11"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are required:</w:t>
            </w:r>
            <w:r w:rsidRPr="00CB2EC4">
              <w:rPr>
                <w:rFonts w:ascii="Times New Roman" w:hAnsi="Times New Roman" w:cs="Times New Roman"/>
              </w:rPr>
              <w:br/>
            </w:r>
            <w:r w:rsidRPr="00CB2EC4">
              <w:rPr>
                <w:rFonts w:ascii="Times New Roman" w:hAnsi="Times New Roman" w:cs="Times New Roman"/>
              </w:rPr>
              <w:br/>
              <w:t xml:space="preserve">- Direct referral for colposcopy  </w:t>
            </w:r>
            <w:r w:rsidRPr="00CB2EC4">
              <w:rPr>
                <w:rFonts w:ascii="Times New Roman" w:hAnsi="Times New Roman" w:cs="Times New Roman"/>
              </w:rPr>
              <w:br/>
              <w:t xml:space="preserve">- Add endocervical curettage (ECC)  </w:t>
            </w:r>
            <w:r w:rsidRPr="00CB2EC4">
              <w:rPr>
                <w:rFonts w:ascii="Times New Roman" w:hAnsi="Times New Roman" w:cs="Times New Roman"/>
              </w:rPr>
              <w:br/>
              <w:t xml:space="preserve">- Add HPV testing  </w:t>
            </w:r>
            <w:r w:rsidRPr="00CB2EC4">
              <w:rPr>
                <w:rFonts w:ascii="Times New Roman" w:hAnsi="Times New Roman" w:cs="Times New Roman"/>
              </w:rPr>
              <w:br/>
              <w:t xml:space="preserve">- Add endometrial biopsy (when endometrial cancer is suspected)  </w:t>
            </w:r>
            <w:r w:rsidRPr="00CB2EC4">
              <w:rPr>
                <w:rFonts w:ascii="Times New Roman" w:hAnsi="Times New Roman" w:cs="Times New Roman"/>
              </w:rPr>
              <w:br/>
              <w:t xml:space="preserve">  Therefore, patients with AGC should be referred for colposcopy, with ECC, HPV testing, and endometrial biopsy (if endometrial lesion is suspected) added.</w:t>
            </w:r>
          </w:p>
        </w:tc>
        <w:tc>
          <w:tcPr>
            <w:tcW w:w="1152" w:type="dxa"/>
            <w:vAlign w:val="center"/>
          </w:tcPr>
          <w:p w14:paraId="74134F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E4A9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4CD3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2C618A" w14:textId="77777777">
        <w:tc>
          <w:tcPr>
            <w:tcW w:w="2160" w:type="dxa"/>
            <w:vAlign w:val="center"/>
          </w:tcPr>
          <w:p w14:paraId="41D407B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E3833B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a cytology result shows AGC (Atypical Glandular Cells), the following examinations are required:  </w:t>
            </w:r>
            <w:r w:rsidRPr="00CB2EC4">
              <w:rPr>
                <w:rFonts w:ascii="Times New Roman" w:hAnsi="Times New Roman" w:cs="Times New Roman"/>
              </w:rPr>
              <w:br/>
            </w:r>
            <w:r w:rsidRPr="00CB2EC4">
              <w:rPr>
                <w:rFonts w:ascii="Times New Roman" w:hAnsi="Times New Roman" w:cs="Times New Roman"/>
              </w:rPr>
              <w:lastRenderedPageBreak/>
              <w:t xml:space="preserve">- Direct referral for colposcopy.  </w:t>
            </w:r>
            <w:r w:rsidRPr="00CB2EC4">
              <w:rPr>
                <w:rFonts w:ascii="Times New Roman" w:hAnsi="Times New Roman" w:cs="Times New Roman"/>
              </w:rPr>
              <w:br/>
              <w:t xml:space="preserve">- Perform endocervical curettage (ECC).  </w:t>
            </w:r>
            <w:r w:rsidRPr="00CB2EC4">
              <w:rPr>
                <w:rFonts w:ascii="Times New Roman" w:hAnsi="Times New Roman" w:cs="Times New Roman"/>
              </w:rPr>
              <w:br/>
              <w:t xml:space="preserve">- Perform HPV testing.  </w:t>
            </w:r>
            <w:r w:rsidRPr="00CB2EC4">
              <w:rPr>
                <w:rFonts w:ascii="Times New Roman" w:hAnsi="Times New Roman" w:cs="Times New Roman"/>
              </w:rPr>
              <w:br/>
              <w:t xml:space="preserve">- Perform endometrial biopsy (especially when there is suspicion of endometrial cancer risk).  </w:t>
            </w:r>
            <w:r w:rsidRPr="00CB2EC4">
              <w:rPr>
                <w:rFonts w:ascii="Times New Roman" w:hAnsi="Times New Roman" w:cs="Times New Roman"/>
              </w:rPr>
              <w:br/>
              <w:t>Reason: As clearly stated in Document 1 (Figure 2), for patients with AGC, in addition to referral for colposcopy, ECC, HPV testing, and endometrial biopsy are required. Document 3 also emphasizes that AGC patients should be referred for colposcopy and undergo endocervical curettage and endometrial biopsy.</w:t>
            </w:r>
          </w:p>
        </w:tc>
        <w:tc>
          <w:tcPr>
            <w:tcW w:w="1152" w:type="dxa"/>
            <w:vAlign w:val="center"/>
          </w:tcPr>
          <w:p w14:paraId="4D25F8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4B890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8367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44F842" w14:textId="77777777">
        <w:tc>
          <w:tcPr>
            <w:tcW w:w="2160" w:type="dxa"/>
            <w:vAlign w:val="center"/>
          </w:tcPr>
          <w:p w14:paraId="4CA6A5F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0394BAC"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should be performed:</w:t>
            </w:r>
            <w:r w:rsidRPr="00CB2EC4">
              <w:rPr>
                <w:rFonts w:ascii="Times New Roman" w:hAnsi="Times New Roman" w:cs="Times New Roman"/>
              </w:rPr>
              <w:br/>
            </w:r>
            <w:r w:rsidRPr="00CB2EC4">
              <w:rPr>
                <w:rFonts w:ascii="Times New Roman" w:hAnsi="Times New Roman" w:cs="Times New Roman"/>
              </w:rPr>
              <w:br/>
              <w:t>- Referral for colposcopy: Patients with cytological abnormalities of AGC should be directly referred for colposcopy (see [HyDE similarity: 0.526] segment: "Patients with cytological abnormalities of ASC-H, LSIL, HSIL, or AGC should be referred for colposcopy").</w:t>
            </w:r>
            <w:r w:rsidRPr="00CB2EC4">
              <w:rPr>
                <w:rFonts w:ascii="Times New Roman" w:hAnsi="Times New Roman" w:cs="Times New Roman"/>
              </w:rPr>
              <w:br/>
              <w:t>- Endocervical curettage (ECC) should be added: During colposcopy, ECC must be performed to evaluate endocervical canal lesions (see [HyDE similarity: 0.628] segment: "For AGC patients, endocervical curettage (ECC) must be performed").</w:t>
            </w:r>
            <w:r w:rsidRPr="00CB2EC4">
              <w:rPr>
                <w:rFonts w:ascii="Times New Roman" w:hAnsi="Times New Roman" w:cs="Times New Roman"/>
              </w:rPr>
              <w:br/>
              <w:t>- HPV testing should be added: As an auxiliary assessment, HPV testing is recommended to determine high-risk HPV infection status (see [HyDE similarity: 0.628] segment: "HPV testing should be added").</w:t>
            </w:r>
            <w:r w:rsidRPr="00CB2EC4">
              <w:rPr>
                <w:rFonts w:ascii="Times New Roman" w:hAnsi="Times New Roman" w:cs="Times New Roman"/>
              </w:rPr>
              <w:br/>
              <w:t xml:space="preserve">- Endometrial biopsy should be added: If there is suspicion of endometrial cancer risk (e.g., unexplained </w:t>
            </w:r>
            <w:r w:rsidRPr="00CB2EC4">
              <w:rPr>
                <w:rFonts w:ascii="Times New Roman" w:hAnsi="Times New Roman" w:cs="Times New Roman"/>
              </w:rPr>
              <w:lastRenderedPageBreak/>
              <w:t>bleeding or relevant medical history), endometrial curettage should be performed to obtain endometrial tissue for pathological examination (see [HyDE similarity: 0.526] segment: "When endometrial cancer risk is suspected, endometrial curettage should be performed to obtain endometrial tissue for pathological examination").</w:t>
            </w:r>
            <w:r w:rsidRPr="00CB2EC4">
              <w:rPr>
                <w:rFonts w:ascii="Times New Roman" w:hAnsi="Times New Roman" w:cs="Times New Roman"/>
              </w:rPr>
              <w:br/>
            </w:r>
            <w:r w:rsidRPr="00CB2EC4">
              <w:rPr>
                <w:rFonts w:ascii="Times New Roman" w:hAnsi="Times New Roman" w:cs="Times New Roman"/>
              </w:rPr>
              <w:br/>
              <w:t>In summary, the core management of AGC is colposcopy, supplemented by ECC, HPV testing, and endometrial curettage (if indicated).</w:t>
            </w:r>
          </w:p>
        </w:tc>
        <w:tc>
          <w:tcPr>
            <w:tcW w:w="1152" w:type="dxa"/>
            <w:vAlign w:val="center"/>
          </w:tcPr>
          <w:p w14:paraId="2118CA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F22E8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3F02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B534FE" w14:textId="77777777">
        <w:tc>
          <w:tcPr>
            <w:tcW w:w="2160" w:type="dxa"/>
            <w:vAlign w:val="center"/>
          </w:tcPr>
          <w:p w14:paraId="5DF4D49D"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48D86AB"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are required:</w:t>
            </w:r>
            <w:r w:rsidRPr="00CB2EC4">
              <w:rPr>
                <w:rFonts w:ascii="Times New Roman" w:hAnsi="Times New Roman" w:cs="Times New Roman"/>
              </w:rPr>
              <w:br/>
            </w:r>
            <w:r w:rsidRPr="00CB2EC4">
              <w:rPr>
                <w:rFonts w:ascii="Times New Roman" w:hAnsi="Times New Roman" w:cs="Times New Roman"/>
              </w:rPr>
              <w:br/>
              <w:t>- Referral for colposcopy: AGC patients must be directly referred for colposcopy.</w:t>
            </w:r>
            <w:r w:rsidRPr="00CB2EC4">
              <w:rPr>
                <w:rFonts w:ascii="Times New Roman" w:hAnsi="Times New Roman" w:cs="Times New Roman"/>
              </w:rPr>
              <w:br/>
              <w:t>- Endocervical curettage (ECC) should be performed: to evaluate lesions within the cervical canal.</w:t>
            </w:r>
            <w:r w:rsidRPr="00CB2EC4">
              <w:rPr>
                <w:rFonts w:ascii="Times New Roman" w:hAnsi="Times New Roman" w:cs="Times New Roman"/>
              </w:rPr>
              <w:br/>
              <w:t>- HPV testing should be added: to assist in risk assessment.</w:t>
            </w:r>
            <w:r w:rsidRPr="00CB2EC4">
              <w:rPr>
                <w:rFonts w:ascii="Times New Roman" w:hAnsi="Times New Roman" w:cs="Times New Roman"/>
              </w:rPr>
              <w:br/>
              <w:t>- Endometrial sampling should be added: when there is suspicion of endometrial cancer risk (e.g., older age, abnormal symptoms), endometrial biopsy for histopathological examination is required.</w:t>
            </w:r>
            <w:r w:rsidRPr="00CB2EC4">
              <w:rPr>
                <w:rFonts w:ascii="Times New Roman" w:hAnsi="Times New Roman" w:cs="Times New Roman"/>
              </w:rPr>
              <w:br/>
            </w:r>
            <w:r w:rsidRPr="00CB2EC4">
              <w:rPr>
                <w:rFonts w:ascii="Times New Roman" w:hAnsi="Times New Roman" w:cs="Times New Roman"/>
              </w:rPr>
              <w:br/>
              <w:t>Specific references:</w:t>
            </w:r>
            <w:r w:rsidRPr="00CB2EC4">
              <w:rPr>
                <w:rFonts w:ascii="Times New Roman" w:hAnsi="Times New Roman" w:cs="Times New Roman"/>
              </w:rPr>
              <w:br/>
            </w:r>
            <w:r w:rsidRPr="00CB2EC4">
              <w:rPr>
                <w:rFonts w:ascii="Times New Roman" w:hAnsi="Times New Roman" w:cs="Times New Roman"/>
              </w:rPr>
              <w:br/>
              <w:t xml:space="preserve">- Document fragment 7: "Patients with cytological abnormalities including ASC-H, LSIL, HSIL, and AGC should all be referred for colposcopy. For AGC, special emphasis is placed on performing endocervical curettage, and endometrial sampling should be done when there is suspicion of endometrial cancer risk, </w:t>
            </w:r>
            <w:r w:rsidRPr="00CB2EC4">
              <w:rPr>
                <w:rFonts w:ascii="Times New Roman" w:hAnsi="Times New Roman" w:cs="Times New Roman"/>
              </w:rPr>
              <w:lastRenderedPageBreak/>
              <w:t>with the biopsy sent for pathological examination, see Figure 2."</w:t>
            </w:r>
            <w:r w:rsidRPr="00CB2EC4">
              <w:rPr>
                <w:rFonts w:ascii="Times New Roman" w:hAnsi="Times New Roman" w:cs="Times New Roman"/>
              </w:rPr>
              <w:br/>
              <w:t>- Document fragment 2: "Other abnormal cytology types (ASC-H, LSIL, HSIL, AGC, and ASC-US patients after one-year follow-up): direct referral for colposcopy, with AGC patients requiring: addition of endocervical curettage (ECC); addition of HPV testing; addition of endometrial sampling."</w:t>
            </w:r>
          </w:p>
        </w:tc>
        <w:tc>
          <w:tcPr>
            <w:tcW w:w="1152" w:type="dxa"/>
            <w:vAlign w:val="center"/>
          </w:tcPr>
          <w:p w14:paraId="14741C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57EAD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D07F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D8187C" w14:textId="77777777">
        <w:tc>
          <w:tcPr>
            <w:tcW w:w="2160" w:type="dxa"/>
            <w:vAlign w:val="center"/>
          </w:tcPr>
          <w:p w14:paraId="36BEB72F"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D8667C8"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are required:</w:t>
            </w:r>
            <w:r w:rsidRPr="00CB2EC4">
              <w:rPr>
                <w:rFonts w:ascii="Times New Roman" w:hAnsi="Times New Roman" w:cs="Times New Roman"/>
              </w:rPr>
              <w:br/>
            </w:r>
            <w:r w:rsidRPr="00CB2EC4">
              <w:rPr>
                <w:rFonts w:ascii="Times New Roman" w:hAnsi="Times New Roman" w:cs="Times New Roman"/>
              </w:rPr>
              <w:br/>
              <w:t>- Direct referral for colposcopy.</w:t>
            </w:r>
            <w:r w:rsidRPr="00CB2EC4">
              <w:rPr>
                <w:rFonts w:ascii="Times New Roman" w:hAnsi="Times New Roman" w:cs="Times New Roman"/>
              </w:rPr>
              <w:br/>
              <w:t>- Additionally, for AGC patients:</w:t>
            </w:r>
            <w:r w:rsidRPr="00CB2EC4">
              <w:rPr>
                <w:rFonts w:ascii="Times New Roman" w:hAnsi="Times New Roman" w:cs="Times New Roman"/>
              </w:rPr>
              <w:br/>
              <w:t xml:space="preserve">  - Endocervical curettage (ECC)</w:t>
            </w:r>
            <w:r w:rsidRPr="00CB2EC4">
              <w:rPr>
                <w:rFonts w:ascii="Times New Roman" w:hAnsi="Times New Roman" w:cs="Times New Roman"/>
              </w:rPr>
              <w:br/>
              <w:t xml:space="preserve">  - HPV testing</w:t>
            </w:r>
            <w:r w:rsidRPr="00CB2EC4">
              <w:rPr>
                <w:rFonts w:ascii="Times New Roman" w:hAnsi="Times New Roman" w:cs="Times New Roman"/>
              </w:rPr>
              <w:br/>
              <w:t xml:space="preserve">  - Endometrial sampling (especially when there is suspicion of endometrial cancer risk).</w:t>
            </w:r>
            <w:r w:rsidRPr="00CB2EC4">
              <w:rPr>
                <w:rFonts w:ascii="Times New Roman" w:hAnsi="Times New Roman" w:cs="Times New Roman"/>
              </w:rPr>
              <w:br/>
            </w:r>
            <w:r w:rsidRPr="00CB2EC4">
              <w:rPr>
                <w:rFonts w:ascii="Times New Roman" w:hAnsi="Times New Roman" w:cs="Times New Roman"/>
              </w:rPr>
              <w:br/>
              <w:t>The documents specify: "Other abnormal cytology types (ASC-H, LSIL, HSIL, AGC, and ASC-US patients after one-year follow-up): direct referral for colposcopy, among which AGC patients need: addition of endocervical curettage (ECC), addition of HPV testing, addition of endometrial sampling" and "For AGC, endocervical scraping is particularly emphasized, and endometrial sampling should be performed when there is suspicion of endometrial cancer risk." Therefore, the required examinations include colposcopy, ECC, HPV testing, and endometrial sampling.</w:t>
            </w:r>
          </w:p>
        </w:tc>
        <w:tc>
          <w:tcPr>
            <w:tcW w:w="1152" w:type="dxa"/>
            <w:vAlign w:val="center"/>
          </w:tcPr>
          <w:p w14:paraId="384838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9D0C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4E6D0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CB4176" w14:textId="77777777">
        <w:tc>
          <w:tcPr>
            <w:tcW w:w="2160" w:type="dxa"/>
            <w:vAlign w:val="center"/>
          </w:tcPr>
          <w:p w14:paraId="1E3009D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3F5565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a cytology result shows AGC (atypical glandular cells), the following examinations are </w:t>
            </w:r>
            <w:r w:rsidRPr="00CB2EC4">
              <w:rPr>
                <w:rFonts w:ascii="Times New Roman" w:hAnsi="Times New Roman" w:cs="Times New Roman"/>
              </w:rPr>
              <w:lastRenderedPageBreak/>
              <w:t>required:</w:t>
            </w:r>
            <w:r w:rsidRPr="00CB2EC4">
              <w:rPr>
                <w:rFonts w:ascii="Times New Roman" w:hAnsi="Times New Roman" w:cs="Times New Roman"/>
              </w:rPr>
              <w:br/>
              <w:t>- Referral for colposcopy: AGC patients must be directly referred for colposcopy.</w:t>
            </w:r>
            <w:r w:rsidRPr="00CB2EC4">
              <w:rPr>
                <w:rFonts w:ascii="Times New Roman" w:hAnsi="Times New Roman" w:cs="Times New Roman"/>
              </w:rPr>
              <w:br/>
              <w:t>- Endocervical curettage (ECC): to assess lesions within the cervical canal.</w:t>
            </w:r>
            <w:r w:rsidRPr="00CB2EC4">
              <w:rPr>
                <w:rFonts w:ascii="Times New Roman" w:hAnsi="Times New Roman" w:cs="Times New Roman"/>
              </w:rPr>
              <w:br/>
              <w:t>- HPV testing: to assist in risk assessment.</w:t>
            </w:r>
            <w:r w:rsidRPr="00CB2EC4">
              <w:rPr>
                <w:rFonts w:ascii="Times New Roman" w:hAnsi="Times New Roman" w:cs="Times New Roman"/>
              </w:rPr>
              <w:br/>
              <w:t>- Endometrial sampling: when there is suspicion of endometrial cancer risk (e.g., older age, abnormal symptoms), endometrial biopsy should be performed and sent for pathological examination.</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t>- Document fragment 7: "Patients with cytological abnormalities including ASC-H, LSIL, HSIL, and AGC should all be referred for colposcopy. For AGC, special emphasis is placed on performing endocervical curettage, and endometrial sampling should be done when there is suspicion of endometrial cancer risk, with the biopsy sent for pathological examination, see Figure 2."</w:t>
            </w:r>
            <w:r w:rsidRPr="00CB2EC4">
              <w:rPr>
                <w:rFonts w:ascii="Times New Roman" w:hAnsi="Times New Roman" w:cs="Times New Roman"/>
              </w:rPr>
              <w:br/>
              <w:t>- Document fragment 2: "Patients with other abnormal types (ASC-H, LSIL, HSIL, AGC, and ASC-US patients after one-year follow-up): direct referral for colposcopy, with AGC patients requiring: addition of endocervical curettage (ECC); addition of HPV testing; addition of endometrial sampling."</w:t>
            </w:r>
          </w:p>
        </w:tc>
        <w:tc>
          <w:tcPr>
            <w:tcW w:w="1152" w:type="dxa"/>
            <w:vAlign w:val="center"/>
          </w:tcPr>
          <w:p w14:paraId="65FD2E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CEEC7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62F7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6F0A50" w14:textId="77777777">
        <w:tc>
          <w:tcPr>
            <w:tcW w:w="2160" w:type="dxa"/>
            <w:vAlign w:val="center"/>
          </w:tcPr>
          <w:p w14:paraId="4A9B087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8A154DE"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are required:</w:t>
            </w:r>
            <w:r w:rsidRPr="00CB2EC4">
              <w:rPr>
                <w:rFonts w:ascii="Times New Roman" w:hAnsi="Times New Roman" w:cs="Times New Roman"/>
              </w:rPr>
              <w:br/>
            </w:r>
            <w:r w:rsidRPr="00CB2EC4">
              <w:rPr>
                <w:rFonts w:ascii="Times New Roman" w:hAnsi="Times New Roman" w:cs="Times New Roman"/>
              </w:rPr>
              <w:br/>
              <w:t>- Referral for colposcopy: direct referral is indicated.</w:t>
            </w:r>
            <w:r w:rsidRPr="00CB2EC4">
              <w:rPr>
                <w:rFonts w:ascii="Times New Roman" w:hAnsi="Times New Roman" w:cs="Times New Roman"/>
              </w:rPr>
              <w:br/>
              <w:t>- Additional cervical canal scraping (ECC): to evaluate lesions within the endocervical canal.</w:t>
            </w:r>
            <w:r w:rsidRPr="00CB2EC4">
              <w:rPr>
                <w:rFonts w:ascii="Times New Roman" w:hAnsi="Times New Roman" w:cs="Times New Roman"/>
              </w:rPr>
              <w:br/>
              <w:t xml:space="preserve">- Additional HPV testing: to confirm high-risk HPV </w:t>
            </w:r>
            <w:r w:rsidRPr="00CB2EC4">
              <w:rPr>
                <w:rFonts w:ascii="Times New Roman" w:hAnsi="Times New Roman" w:cs="Times New Roman"/>
              </w:rPr>
              <w:lastRenderedPageBreak/>
              <w:t>infection status.</w:t>
            </w:r>
            <w:r w:rsidRPr="00CB2EC4">
              <w:rPr>
                <w:rFonts w:ascii="Times New Roman" w:hAnsi="Times New Roman" w:cs="Times New Roman"/>
              </w:rPr>
              <w:br/>
              <w:t>- Additional endometrial biopsy: to exclude endometrial-related lesions.</w:t>
            </w:r>
            <w:r w:rsidRPr="00CB2EC4">
              <w:rPr>
                <w:rFonts w:ascii="Times New Roman" w:hAnsi="Times New Roman" w:cs="Times New Roman"/>
              </w:rPr>
              <w:br/>
            </w:r>
            <w:r w:rsidRPr="00CB2EC4">
              <w:rPr>
                <w:rFonts w:ascii="Times New Roman" w:hAnsi="Times New Roman" w:cs="Times New Roman"/>
              </w:rPr>
              <w:br/>
              <w:t>Document reference: [Similarity: 0.552] The excerpt states: "Patients with other abnormal types (ASC-H, LSIL, HSIL, AGC, and ASC-US patients after one-year follow-up): direct referral for colposcopy, among which AGC patients require: additional cervical canal scraping (ECC), additional HPV testing, additional endometrial biopsy." This clearly specifies the management protocol for AGC.</w:t>
            </w:r>
          </w:p>
        </w:tc>
        <w:tc>
          <w:tcPr>
            <w:tcW w:w="1152" w:type="dxa"/>
            <w:vAlign w:val="center"/>
          </w:tcPr>
          <w:p w14:paraId="20418E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09A9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B2CC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3D39B9" w14:textId="77777777">
        <w:tc>
          <w:tcPr>
            <w:tcW w:w="2160" w:type="dxa"/>
            <w:vAlign w:val="center"/>
          </w:tcPr>
          <w:p w14:paraId="47EB50F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98DEC86"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should be performed:</w:t>
            </w:r>
            <w:r w:rsidRPr="00CB2EC4">
              <w:rPr>
                <w:rFonts w:ascii="Times New Roman" w:hAnsi="Times New Roman" w:cs="Times New Roman"/>
              </w:rPr>
              <w:br/>
              <w:t>- Referral for colposcopy: This is the fundamental step for direct visualization of cervical and vaginal lesions.</w:t>
            </w:r>
            <w:r w:rsidRPr="00CB2EC4">
              <w:rPr>
                <w:rFonts w:ascii="Times New Roman" w:hAnsi="Times New Roman" w:cs="Times New Roman"/>
              </w:rPr>
              <w:br/>
              <w:t>- Endocervical curettage (ECC) should be added: to assess for abnormalities within the cervical canal.</w:t>
            </w:r>
            <w:r w:rsidRPr="00CB2EC4">
              <w:rPr>
                <w:rFonts w:ascii="Times New Roman" w:hAnsi="Times New Roman" w:cs="Times New Roman"/>
              </w:rPr>
              <w:br/>
              <w:t>- HPV testing should be added: to assist in risk stratification.</w:t>
            </w:r>
            <w:r w:rsidRPr="00CB2EC4">
              <w:rPr>
                <w:rFonts w:ascii="Times New Roman" w:hAnsi="Times New Roman" w:cs="Times New Roman"/>
              </w:rPr>
              <w:br/>
              <w:t>- Endometrial sampling should be added: when there is suspicion of endometrial cancer risk (e.g., in older patients or those with abnormal bleeding), to exclude endometrial pathology.</w:t>
            </w:r>
            <w:r w:rsidRPr="00CB2EC4">
              <w:rPr>
                <w:rFonts w:ascii="Times New Roman" w:hAnsi="Times New Roman" w:cs="Times New Roman"/>
              </w:rPr>
              <w:br/>
            </w:r>
            <w:r w:rsidRPr="00CB2EC4">
              <w:rPr>
                <w:rFonts w:ascii="Times New Roman" w:hAnsi="Times New Roman" w:cs="Times New Roman"/>
              </w:rPr>
              <w:br/>
              <w:t>This management protocol is explicitly described in multiple document segments (e.g., Document Segment 1 and Document Segment 2), emphasizing that patients with AGC must undergo these additional tests due to the elevated risk of cervical or endometrial lesions associated with AGC. No alternative approaches are mentioned in the knowledge base.</w:t>
            </w:r>
          </w:p>
        </w:tc>
        <w:tc>
          <w:tcPr>
            <w:tcW w:w="1152" w:type="dxa"/>
            <w:vAlign w:val="center"/>
          </w:tcPr>
          <w:p w14:paraId="44B78D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BD14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B68C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FE0275" w14:textId="77777777">
        <w:tc>
          <w:tcPr>
            <w:tcW w:w="2160" w:type="dxa"/>
            <w:vAlign w:val="center"/>
          </w:tcPr>
          <w:p w14:paraId="25DC747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156D64E2"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should be performed:</w:t>
            </w:r>
            <w:r w:rsidRPr="00CB2EC4">
              <w:rPr>
                <w:rFonts w:ascii="Times New Roman" w:hAnsi="Times New Roman" w:cs="Times New Roman"/>
              </w:rPr>
              <w:br/>
            </w:r>
            <w:r w:rsidRPr="00CB2EC4">
              <w:rPr>
                <w:rFonts w:ascii="Times New Roman" w:hAnsi="Times New Roman" w:cs="Times New Roman"/>
              </w:rPr>
              <w:br/>
              <w:t xml:space="preserve">- Referral for colposcopy: This is the primary step.  </w:t>
            </w:r>
            <w:r w:rsidRPr="00CB2EC4">
              <w:rPr>
                <w:rFonts w:ascii="Times New Roman" w:hAnsi="Times New Roman" w:cs="Times New Roman"/>
              </w:rPr>
              <w:br/>
              <w:t xml:space="preserve">- Endocervical curettage (ECC): To evaluate lesions within the endocervical canal.  </w:t>
            </w:r>
            <w:r w:rsidRPr="00CB2EC4">
              <w:rPr>
                <w:rFonts w:ascii="Times New Roman" w:hAnsi="Times New Roman" w:cs="Times New Roman"/>
              </w:rPr>
              <w:br/>
              <w:t xml:space="preserve">- HPV testing: To confirm high-risk HPV infection status.  </w:t>
            </w:r>
            <w:r w:rsidRPr="00CB2EC4">
              <w:rPr>
                <w:rFonts w:ascii="Times New Roman" w:hAnsi="Times New Roman" w:cs="Times New Roman"/>
              </w:rPr>
              <w:br/>
              <w:t xml:space="preserve">- Endometrial biopsy: When there is suspicion of endometrial cancer risk, endometrial sampling should be performed.  </w:t>
            </w:r>
            <w:r w:rsidRPr="00CB2EC4">
              <w:rPr>
                <w:rFonts w:ascii="Times New Roman" w:hAnsi="Times New Roman" w:cs="Times New Roman"/>
              </w:rPr>
              <w:br/>
              <w:t xml:space="preserve">  Reason: Figure 2 in Fragment 1 explicitly states that "AGC patients require: ECC, HPV testing, and endometrial biopsy." Fragment 2 further emphasizes that "for AGC, referral for colposcopy is indicated, with particular emphasis on performing endocervical curettage, and endometrial biopsy should be done when endometrial cancer risk is suspected."</w:t>
            </w:r>
          </w:p>
        </w:tc>
        <w:tc>
          <w:tcPr>
            <w:tcW w:w="1152" w:type="dxa"/>
            <w:vAlign w:val="center"/>
          </w:tcPr>
          <w:p w14:paraId="20C3EF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C97F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2315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EED973" w14:textId="77777777">
        <w:tc>
          <w:tcPr>
            <w:tcW w:w="2160" w:type="dxa"/>
            <w:vAlign w:val="center"/>
          </w:tcPr>
          <w:p w14:paraId="7FB12C99"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4B08F194" w14:textId="77777777" w:rsidR="00922249" w:rsidRPr="00CB2EC4" w:rsidRDefault="003011D5">
            <w:pPr>
              <w:rPr>
                <w:rFonts w:ascii="Times New Roman" w:hAnsi="Times New Roman" w:cs="Times New Roman"/>
              </w:rPr>
            </w:pPr>
            <w:r w:rsidRPr="00CB2EC4">
              <w:rPr>
                <w:rFonts w:ascii="Times New Roman" w:hAnsi="Times New Roman" w:cs="Times New Roman"/>
              </w:rPr>
              <w:t>when a cytology result shows AGC (Atypical Glandular Cells), the following examinations are required:</w:t>
            </w:r>
            <w:r w:rsidRPr="00CB2EC4">
              <w:rPr>
                <w:rFonts w:ascii="Times New Roman" w:hAnsi="Times New Roman" w:cs="Times New Roman"/>
              </w:rPr>
              <w:br/>
            </w:r>
            <w:r w:rsidRPr="00CB2EC4">
              <w:rPr>
                <w:rFonts w:ascii="Times New Roman" w:hAnsi="Times New Roman" w:cs="Times New Roman"/>
              </w:rPr>
              <w:br/>
              <w:t>AGC (Atypical Glandular Cells) is considered a high-risk abnormality. Regardless of HPV status, immediate colposcopy must be performed, along with endocervical curettage (ECC). For patients aged ≥35 years or those with symptoms of abnormal uterine bleeding, endometrial biopsy should also be added.</w:t>
            </w:r>
          </w:p>
        </w:tc>
        <w:tc>
          <w:tcPr>
            <w:tcW w:w="1152" w:type="dxa"/>
            <w:vAlign w:val="center"/>
          </w:tcPr>
          <w:p w14:paraId="312888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0265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F0D3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62CE9BD" w14:textId="77777777">
        <w:tc>
          <w:tcPr>
            <w:tcW w:w="10656" w:type="dxa"/>
            <w:gridSpan w:val="5"/>
            <w:tcBorders>
              <w:bottom w:val="single" w:sz="6" w:space="0" w:color="auto"/>
            </w:tcBorders>
            <w:vAlign w:val="center"/>
          </w:tcPr>
          <w:p w14:paraId="4018E59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12: If both cytological and high-risk HPV joint tests show negative results, what other examination should follow?</w:t>
            </w:r>
          </w:p>
        </w:tc>
      </w:tr>
      <w:tr w:rsidR="00922249" w:rsidRPr="00CB2EC4" w14:paraId="4447EC85" w14:textId="77777777">
        <w:tc>
          <w:tcPr>
            <w:tcW w:w="2160" w:type="dxa"/>
            <w:vAlign w:val="center"/>
          </w:tcPr>
          <w:p w14:paraId="540FB24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9364319" w14:textId="77777777" w:rsidR="00922249" w:rsidRPr="00CB2EC4" w:rsidRDefault="003011D5">
            <w:pPr>
              <w:rPr>
                <w:rFonts w:ascii="Times New Roman" w:hAnsi="Times New Roman" w:cs="Times New Roman"/>
              </w:rPr>
            </w:pPr>
            <w:r w:rsidRPr="00CB2EC4">
              <w:rPr>
                <w:rFonts w:ascii="Times New Roman" w:hAnsi="Times New Roman" w:cs="Times New Roman"/>
              </w:rPr>
              <w:t>if both cytology and high-risk HPV co-testing show negative results, what other examinations should be performed?</w:t>
            </w:r>
            <w:r w:rsidRPr="00CB2EC4">
              <w:rPr>
                <w:rFonts w:ascii="Times New Roman" w:hAnsi="Times New Roman" w:cs="Times New Roman"/>
              </w:rPr>
              <w:br/>
            </w:r>
            <w:r w:rsidRPr="00CB2EC4">
              <w:rPr>
                <w:rFonts w:ascii="Times New Roman" w:hAnsi="Times New Roman" w:cs="Times New Roman"/>
              </w:rPr>
              <w:lastRenderedPageBreak/>
              <w:br/>
              <w:t>Answer: If both cytology (-) and HPV (-) are negative, no additional examinations are required. Routine screening should be continued according to the standard screening interval (e.g., repeat co-testing every 3–5 years). Specific basis:</w:t>
            </w:r>
            <w:r w:rsidRPr="00CB2EC4">
              <w:rPr>
                <w:rFonts w:ascii="Times New Roman" w:hAnsi="Times New Roman" w:cs="Times New Roman"/>
              </w:rPr>
              <w:br/>
              <w:t xml:space="preserve">  - The processing flowchart in the document (Figure 3) states: "1. Cytology (-) &amp; HPV (-) → Perform routine screening (continue screening at the regular interval)" (similarity: 0.627 [expansion: 2 blocks, range: 0–1]).</w:t>
            </w:r>
            <w:r w:rsidRPr="00CB2EC4">
              <w:rPr>
                <w:rFonts w:ascii="Times New Roman" w:hAnsi="Times New Roman" w:cs="Times New Roman"/>
              </w:rPr>
              <w:br/>
              <w:t xml:space="preserve">  - The document further notes: "HPV negative/cytology negative, the risk is $0.08\%$ ... suggesting that a longer screening interval (e.g., 5 years) may be chosen" (similarity: 0.471 [expansion: 3 blocks, range: 59–61]), supporting that only routine follow-up is needed, with no additional tests.</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31B90D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59AE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8A07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B4EE58D" w14:textId="77777777">
        <w:tc>
          <w:tcPr>
            <w:tcW w:w="2160" w:type="dxa"/>
            <w:vAlign w:val="center"/>
          </w:tcPr>
          <w:p w14:paraId="16497D57"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C5A2FF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both cytology and high-risk HPV testing show negative results (i.e., cytology (-) &amp; HPV (-)), no additional tests are required; follow-up should be conducted according to the routine screening interval:  </w:t>
            </w:r>
            <w:r w:rsidRPr="00CB2EC4">
              <w:rPr>
                <w:rFonts w:ascii="Times New Roman" w:hAnsi="Times New Roman" w:cs="Times New Roman"/>
              </w:rPr>
              <w:br/>
              <w:t xml:space="preserve">- Repeat combined testing after 3 years: Document fragment 2 (guidelines for managing abnormal results in combined screening) states that the risk associated with HPV-negative/cytology-negative status is 0.08%, which is significantly lower than the threshold of 0.26%, thus recommending repeat cervical cancer screening after 3 years.  </w:t>
            </w:r>
            <w:r w:rsidRPr="00CB2EC4">
              <w:rPr>
                <w:rFonts w:ascii="Times New Roman" w:hAnsi="Times New Roman" w:cs="Times New Roman"/>
              </w:rPr>
              <w:br/>
              <w:t xml:space="preserve">- Or a longer interval (e.g., 5 years): Document fragment 2 also notes that, based on the low risk, a longer screening interval (e.g., 5 years) may be chosen.  </w:t>
            </w:r>
            <w:r w:rsidRPr="00CB2EC4">
              <w:rPr>
                <w:rFonts w:ascii="Times New Roman" w:hAnsi="Times New Roman" w:cs="Times New Roman"/>
              </w:rPr>
              <w:br/>
            </w:r>
            <w:r w:rsidRPr="00CB2EC4">
              <w:rPr>
                <w:rFonts w:ascii="Times New Roman" w:hAnsi="Times New Roman" w:cs="Times New Roman"/>
              </w:rPr>
              <w:lastRenderedPageBreak/>
              <w:t xml:space="preserve">- Routine screening pathway: Document fragment 6 (Figure 3) explicitly states: "If cytology (-) &amp; HPV (-), proceed with routine screening (continue screening at the regular interval)."  </w:t>
            </w:r>
            <w:r w:rsidRPr="00CB2EC4">
              <w:rPr>
                <w:rFonts w:ascii="Times New Roman" w:hAnsi="Times New Roman" w:cs="Times New Roman"/>
              </w:rPr>
              <w:br/>
              <w:t xml:space="preserve">Evidence: Document fragment 2 (main text): "HPV negative/cytology negative has a risk of 0.08%, while the risk of cytology negative alone is 0.26%. Repeat cervical cancer screening after 3 years. This is far below the 0.26% threshold, suggesting that a longer screening interval (e.g., 5 years) may be selected." Document fragment 6 (main text): "Cytology (-) &amp; HPV (-) → proceed with routine screening (continue screening at the regular interval)."  </w:t>
            </w:r>
            <w:r w:rsidRPr="00CB2EC4">
              <w:rPr>
                <w:rFonts w:ascii="Times New Roman" w:hAnsi="Times New Roman" w:cs="Times New Roman"/>
              </w:rPr>
              <w:br/>
            </w:r>
            <w:r w:rsidRPr="00CB2EC4">
              <w:rPr>
                <w:rFonts w:ascii="Times New Roman" w:hAnsi="Times New Roman" w:cs="Times New Roman"/>
              </w:rPr>
              <w:br/>
              <w:t>Summary: No other examinations are needed; simply repeat cytology + HPV combined testing after 3 or 5 years, following the routine screening cycle.</w:t>
            </w:r>
          </w:p>
        </w:tc>
        <w:tc>
          <w:tcPr>
            <w:tcW w:w="1152" w:type="dxa"/>
            <w:vAlign w:val="center"/>
          </w:tcPr>
          <w:p w14:paraId="4AEF34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5B38D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58BC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5B4BD42" w14:textId="77777777">
        <w:tc>
          <w:tcPr>
            <w:tcW w:w="2160" w:type="dxa"/>
            <w:vAlign w:val="center"/>
          </w:tcPr>
          <w:p w14:paraId="5CC92218"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B2DE4B0" w14:textId="77777777" w:rsidR="00922249" w:rsidRPr="00CB2EC4" w:rsidRDefault="003011D5">
            <w:pPr>
              <w:rPr>
                <w:rFonts w:ascii="Times New Roman" w:hAnsi="Times New Roman" w:cs="Times New Roman"/>
              </w:rPr>
            </w:pPr>
            <w:r w:rsidRPr="00CB2EC4">
              <w:rPr>
                <w:rFonts w:ascii="Times New Roman" w:hAnsi="Times New Roman" w:cs="Times New Roman"/>
              </w:rPr>
              <w:t>If the combined results of cytology and high-risk HPV testing are both negative, then no immediate additional examinations are required. Instead, cervical cancer screening should be repeated in 3 years.</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t>- Fragment 4: "HPV negative / cytology negative: repeat cervical cancer screening in 3 years." → "HPV negative / cytology negative: repeat cervical cancer screening in 3 years."</w:t>
            </w:r>
          </w:p>
        </w:tc>
        <w:tc>
          <w:tcPr>
            <w:tcW w:w="1152" w:type="dxa"/>
            <w:vAlign w:val="center"/>
          </w:tcPr>
          <w:p w14:paraId="1AAAF1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11EC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BBD3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15E278" w14:textId="77777777">
        <w:tc>
          <w:tcPr>
            <w:tcW w:w="2160" w:type="dxa"/>
            <w:vAlign w:val="center"/>
          </w:tcPr>
          <w:p w14:paraId="61CD814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3E4E3F3" w14:textId="77777777" w:rsidR="00922249" w:rsidRPr="00CB2EC4" w:rsidRDefault="003011D5">
            <w:pPr>
              <w:rPr>
                <w:rFonts w:ascii="Times New Roman" w:hAnsi="Times New Roman" w:cs="Times New Roman"/>
              </w:rPr>
            </w:pPr>
            <w:r w:rsidRPr="00CB2EC4">
              <w:rPr>
                <w:rFonts w:ascii="Times New Roman" w:hAnsi="Times New Roman" w:cs="Times New Roman"/>
              </w:rPr>
              <w:t>management of dual-negative results (cytology [-] &amp; HPV [-])</w:t>
            </w:r>
            <w:r w:rsidRPr="00CB2EC4">
              <w:rPr>
                <w:rFonts w:ascii="Times New Roman" w:hAnsi="Times New Roman" w:cs="Times New Roman"/>
              </w:rPr>
              <w:br/>
            </w:r>
            <w:r w:rsidRPr="00CB2EC4">
              <w:rPr>
                <w:rFonts w:ascii="Times New Roman" w:hAnsi="Times New Roman" w:cs="Times New Roman"/>
              </w:rPr>
              <w:br/>
              <w:t>according to the document (figure 3 and section 2.3.1):</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routine screening (continue screening at regular intervals), no additional tests required.</w:t>
            </w:r>
            <w:r w:rsidRPr="00CB2EC4">
              <w:rPr>
                <w:rFonts w:ascii="Times New Roman" w:hAnsi="Times New Roman" w:cs="Times New Roman"/>
              </w:rPr>
              <w:br/>
              <w:t>- risk is only 0.08%, far below the threshold of 0.26%, screening interval can be extended to 3–5 years.</w:t>
            </w:r>
            <w:r w:rsidRPr="00CB2EC4">
              <w:rPr>
                <w:rFonts w:ascii="Times New Roman" w:hAnsi="Times New Roman" w:cs="Times New Roman"/>
              </w:rPr>
              <w:br/>
            </w:r>
            <w:r w:rsidRPr="00CB2EC4">
              <w:rPr>
                <w:rFonts w:ascii="Times New Roman" w:hAnsi="Times New Roman" w:cs="Times New Roman"/>
              </w:rPr>
              <w:br/>
              <w:t>&gt; source: knowledge base document figure 3 process and section 2.3.1 (dual-negative individuals repeat screening at 3 years; 5 years if conditions permit).</w:t>
            </w:r>
          </w:p>
        </w:tc>
        <w:tc>
          <w:tcPr>
            <w:tcW w:w="1152" w:type="dxa"/>
            <w:vAlign w:val="center"/>
          </w:tcPr>
          <w:p w14:paraId="1F0997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011D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CC4F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B36838D" w14:textId="77777777">
        <w:tc>
          <w:tcPr>
            <w:tcW w:w="2160" w:type="dxa"/>
            <w:vAlign w:val="center"/>
          </w:tcPr>
          <w:p w14:paraId="4A9DD92E"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4A18D68" w14:textId="77777777" w:rsidR="00922249" w:rsidRPr="00CB2EC4" w:rsidRDefault="003011D5">
            <w:pPr>
              <w:rPr>
                <w:rFonts w:ascii="Times New Roman" w:hAnsi="Times New Roman" w:cs="Times New Roman"/>
              </w:rPr>
            </w:pPr>
            <w:r w:rsidRPr="00CB2EC4">
              <w:rPr>
                <w:rFonts w:ascii="Times New Roman" w:hAnsi="Times New Roman" w:cs="Times New Roman"/>
              </w:rPr>
              <w:t>if both cytology and high-risk HPV tests are negative, the risk of cervical precancer or cancer is extremely low (0.08%). according to document fragment 2 (section 2.3.1) and document fragment 3 (branch 1):</w:t>
            </w:r>
            <w:r w:rsidRPr="00CB2EC4">
              <w:rPr>
                <w:rFonts w:ascii="Times New Roman" w:hAnsi="Times New Roman" w:cs="Times New Roman"/>
              </w:rPr>
              <w:br/>
            </w:r>
            <w:r w:rsidRPr="00CB2EC4">
              <w:rPr>
                <w:rFonts w:ascii="Times New Roman" w:hAnsi="Times New Roman" w:cs="Times New Roman"/>
              </w:rPr>
              <w:br/>
              <w:t>- repeat cervical cancer screening (cytology + HPV) after 3 years is recommended.</w:t>
            </w:r>
            <w:r w:rsidRPr="00CB2EC4">
              <w:rPr>
                <w:rFonts w:ascii="Times New Roman" w:hAnsi="Times New Roman" w:cs="Times New Roman"/>
              </w:rPr>
              <w:br/>
              <w:t>- due to the risk being below the threshold (0.26%), a longer interval (e.g., 5 years) may be considered, but based on the current situation in China, the consensus recommends repeating screening every 3 years.</w:t>
            </w:r>
            <w:r w:rsidRPr="00CB2EC4">
              <w:rPr>
                <w:rFonts w:ascii="Times New Roman" w:hAnsi="Times New Roman" w:cs="Times New Roman"/>
              </w:rPr>
              <w:br/>
              <w:t>- no additional tests are required; follow-up should be conducted according to the routine screening interval.</w:t>
            </w:r>
          </w:p>
        </w:tc>
        <w:tc>
          <w:tcPr>
            <w:tcW w:w="1152" w:type="dxa"/>
            <w:vAlign w:val="center"/>
          </w:tcPr>
          <w:p w14:paraId="64BAA4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4594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6094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A926D0" w14:textId="77777777">
        <w:tc>
          <w:tcPr>
            <w:tcW w:w="2160" w:type="dxa"/>
            <w:vAlign w:val="center"/>
          </w:tcPr>
          <w:p w14:paraId="5561AC4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F1B543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both cytology and high-risk HPV co-testing results are negative, the following should be performed:  </w:t>
            </w:r>
            <w:r w:rsidRPr="00CB2EC4">
              <w:rPr>
                <w:rFonts w:ascii="Times New Roman" w:hAnsi="Times New Roman" w:cs="Times New Roman"/>
              </w:rPr>
              <w:br/>
              <w:t xml:space="preserve">- Routine screening (continue screening according to the routine screening interval). Specifically, repeat co-testing with cytology and HPV after 3 years.  </w:t>
            </w:r>
            <w:r w:rsidRPr="00CB2EC4">
              <w:rPr>
                <w:rFonts w:ascii="Times New Roman" w:hAnsi="Times New Roman" w:cs="Times New Roman"/>
              </w:rPr>
              <w:br/>
              <w:t>Reason: Relevant Document 1 (Figure 3) and Relevant Document 4 (Figure 3) both state that cytology(-) &amp; HPV(-) results should undergo routine screening. Relevant Document 2 further indicates that the risk associated with HPV-negative/cytology-negative is very low (0.08%), supporting a 3-year repeat screening interval.</w:t>
            </w:r>
          </w:p>
        </w:tc>
        <w:tc>
          <w:tcPr>
            <w:tcW w:w="1152" w:type="dxa"/>
            <w:vAlign w:val="center"/>
          </w:tcPr>
          <w:p w14:paraId="767AD1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B73C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A771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43AC5F" w14:textId="77777777">
        <w:tc>
          <w:tcPr>
            <w:tcW w:w="2160" w:type="dxa"/>
            <w:vAlign w:val="center"/>
          </w:tcPr>
          <w:p w14:paraId="0E42D5C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3510E3F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both cytology and high-risk HPV testing show negative results, no additional tests are required.  </w:t>
            </w:r>
            <w:r w:rsidRPr="00CB2EC4">
              <w:rPr>
                <w:rFonts w:ascii="Times New Roman" w:hAnsi="Times New Roman" w:cs="Times New Roman"/>
              </w:rPr>
              <w:br/>
            </w:r>
            <w:r w:rsidRPr="00CB2EC4">
              <w:rPr>
                <w:rFonts w:ascii="Times New Roman" w:hAnsi="Times New Roman" w:cs="Times New Roman"/>
              </w:rPr>
              <w:br/>
              <w:t xml:space="preserve">According to the document:  </w:t>
            </w:r>
            <w:r w:rsidRPr="00CB2EC4">
              <w:rPr>
                <w:rFonts w:ascii="Times New Roman" w:hAnsi="Times New Roman" w:cs="Times New Roman"/>
              </w:rPr>
              <w:br/>
              <w:t xml:space="preserve">- Perform routine screening: the risk is extremely low (0.08% for HPV-negative/cytology-negative), which is far below the threshold of 0.26%. Therefore, only follow-up screening at routine intervals is needed (see [HyDE similarity: 0.635] excerpt: "HPV negative/cytology negative... repeat cervical cancer screening in 3 years. Far below the 0.26% threshold, suggesting that a longer screening interval (e.g., 5 years) may be chosen").  </w:t>
            </w:r>
            <w:r w:rsidRPr="00CB2EC4">
              <w:rPr>
                <w:rFonts w:ascii="Times New Roman" w:hAnsi="Times New Roman" w:cs="Times New Roman"/>
              </w:rPr>
              <w:br/>
              <w:t xml:space="preserve">- Specific management: the flowchart (Figure 3) explicitly states "cytology (-) &amp; HPV (-) → perform routine screening (continue screening at regular intervals)" (see [HyDE similarity: 0.503] excerpt).  </w:t>
            </w:r>
            <w:r w:rsidRPr="00CB2EC4">
              <w:rPr>
                <w:rFonts w:ascii="Times New Roman" w:hAnsi="Times New Roman" w:cs="Times New Roman"/>
              </w:rPr>
              <w:br/>
            </w:r>
            <w:r w:rsidRPr="00CB2EC4">
              <w:rPr>
                <w:rFonts w:ascii="Times New Roman" w:hAnsi="Times New Roman" w:cs="Times New Roman"/>
              </w:rPr>
              <w:br/>
              <w:t>Thus, no other examinations are necessary; only adherence to the routine screening schedule (e.g., repeat co-testing every 3–5 years) is required.</w:t>
            </w:r>
          </w:p>
        </w:tc>
        <w:tc>
          <w:tcPr>
            <w:tcW w:w="1152" w:type="dxa"/>
            <w:vAlign w:val="center"/>
          </w:tcPr>
          <w:p w14:paraId="6405D0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12DB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6C42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AEDC063" w14:textId="77777777">
        <w:tc>
          <w:tcPr>
            <w:tcW w:w="2160" w:type="dxa"/>
            <w:vAlign w:val="center"/>
          </w:tcPr>
          <w:p w14:paraId="27386240"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91DEB65" w14:textId="77777777" w:rsidR="00922249" w:rsidRPr="00CB2EC4" w:rsidRDefault="003011D5">
            <w:pPr>
              <w:rPr>
                <w:rFonts w:ascii="Times New Roman" w:hAnsi="Times New Roman" w:cs="Times New Roman"/>
              </w:rPr>
            </w:pPr>
            <w:r w:rsidRPr="00CB2EC4">
              <w:rPr>
                <w:rFonts w:ascii="Times New Roman" w:hAnsi="Times New Roman" w:cs="Times New Roman"/>
              </w:rPr>
              <w:t>if both cytology and high-risk HPV co-testing results are negative, no additional tests are required. Follow routine screening intervals for continued monitoring:</w:t>
            </w:r>
            <w:r w:rsidRPr="00CB2EC4">
              <w:rPr>
                <w:rFonts w:ascii="Times New Roman" w:hAnsi="Times New Roman" w:cs="Times New Roman"/>
              </w:rPr>
              <w:br/>
            </w:r>
            <w:r w:rsidRPr="00CB2EC4">
              <w:rPr>
                <w:rFonts w:ascii="Times New Roman" w:hAnsi="Times New Roman" w:cs="Times New Roman"/>
              </w:rPr>
              <w:br/>
              <w:t>- Repeat co-testing in 3 years or 5 years: The risk is extremely low (approximately 0.08%), far below the threshold (0.26%), so a longer screening interval (e.g., 5 years) may be chosen, though the standard recommendation is to repeat screening every 3 years.</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r>
            <w:r w:rsidRPr="00CB2EC4">
              <w:rPr>
                <w:rFonts w:ascii="Times New Roman" w:hAnsi="Times New Roman" w:cs="Times New Roman"/>
              </w:rPr>
              <w:br/>
              <w:t xml:space="preserve">- Document fragment 3: "HPV negative / cytology </w:t>
            </w:r>
            <w:r w:rsidRPr="00CB2EC4">
              <w:rPr>
                <w:rFonts w:ascii="Times New Roman" w:hAnsi="Times New Roman" w:cs="Times New Roman"/>
              </w:rPr>
              <w:lastRenderedPageBreak/>
              <w:t>negative: risk is 0.08%, while the risk for cytology negative alone is 0.26%. Repeat cervical cancer screening in 3 years. Far below the 0.26% threshold, suggesting a longer screening interval (e.g., 5 years) may be selected."</w:t>
            </w:r>
            <w:r w:rsidRPr="00CB2EC4">
              <w:rPr>
                <w:rFonts w:ascii="Times New Roman" w:hAnsi="Times New Roman" w:cs="Times New Roman"/>
              </w:rPr>
              <w:br/>
              <w:t>- Document fragment 5: "1. Cytology (−) &amp; HPV (−): then perform routine screening (continue screening at the standard interval)."</w:t>
            </w:r>
          </w:p>
        </w:tc>
        <w:tc>
          <w:tcPr>
            <w:tcW w:w="1152" w:type="dxa"/>
            <w:vAlign w:val="center"/>
          </w:tcPr>
          <w:p w14:paraId="4BDC59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6B45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49E5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ED890A" w14:textId="77777777">
        <w:tc>
          <w:tcPr>
            <w:tcW w:w="2160" w:type="dxa"/>
            <w:vAlign w:val="center"/>
          </w:tcPr>
          <w:p w14:paraId="0DFA8FE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06E4C3B" w14:textId="77777777" w:rsidR="00922249" w:rsidRPr="00CB2EC4" w:rsidRDefault="003011D5">
            <w:pPr>
              <w:rPr>
                <w:rFonts w:ascii="Times New Roman" w:hAnsi="Times New Roman" w:cs="Times New Roman"/>
              </w:rPr>
            </w:pPr>
            <w:r w:rsidRPr="00CB2EC4">
              <w:rPr>
                <w:rFonts w:ascii="Times New Roman" w:hAnsi="Times New Roman" w:cs="Times New Roman"/>
              </w:rPr>
              <w:t>if both cytology and high-risk HPV tests are negative, no additional tests are required. Routine screening should be continued according to the standard screening interval (e.g., every 3 years or every 5 years).</w:t>
            </w:r>
          </w:p>
        </w:tc>
        <w:tc>
          <w:tcPr>
            <w:tcW w:w="1152" w:type="dxa"/>
            <w:vAlign w:val="center"/>
          </w:tcPr>
          <w:p w14:paraId="026F54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10DB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B9DA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0D7AC8" w14:textId="77777777">
        <w:tc>
          <w:tcPr>
            <w:tcW w:w="2160" w:type="dxa"/>
            <w:vAlign w:val="center"/>
          </w:tcPr>
          <w:p w14:paraId="54AEF4B3"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6EE51BA" w14:textId="77777777" w:rsidR="00922249" w:rsidRPr="00CB2EC4" w:rsidRDefault="003011D5">
            <w:pPr>
              <w:rPr>
                <w:rFonts w:ascii="Times New Roman" w:hAnsi="Times New Roman" w:cs="Times New Roman"/>
              </w:rPr>
            </w:pPr>
            <w:r w:rsidRPr="00CB2EC4">
              <w:rPr>
                <w:rFonts w:ascii="Times New Roman" w:hAnsi="Times New Roman" w:cs="Times New Roman"/>
              </w:rPr>
              <w:t>if both cytology and high-risk HPV co-testing results are negative, no additional tests are required. Continue with routine screening at the recommended interval:</w:t>
            </w:r>
            <w:r w:rsidRPr="00CB2EC4">
              <w:rPr>
                <w:rFonts w:ascii="Times New Roman" w:hAnsi="Times New Roman" w:cs="Times New Roman"/>
              </w:rPr>
              <w:br/>
              <w:t>- Repeat co-testing in 3 years or 5 years: the risk is extremely low (approximately 0.08%), far below the threshold (0.26%), so a longer screening interval (e.g., 5 years) may be chosen, though the standard recommendation is to repeat screening every 3 years.</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t>- Document fragment 3: "HPV negative/cytology negative: risk is 0.08%, while risk for cytology negative alone is 0.26%. Repeat cervical cancer screening in 3 years. Far below the 0.26% threshold, suggesting a longer screening interval (e.g., 5 years) may be selected."</w:t>
            </w:r>
            <w:r w:rsidRPr="00CB2EC4">
              <w:rPr>
                <w:rFonts w:ascii="Times New Roman" w:hAnsi="Times New Roman" w:cs="Times New Roman"/>
              </w:rPr>
              <w:br/>
              <w:t>- Document fragment 5: "1. Cytology (−) &amp; HPV (−): then perform routine screening (continue screening at the regular cycle)."</w:t>
            </w:r>
          </w:p>
        </w:tc>
        <w:tc>
          <w:tcPr>
            <w:tcW w:w="1152" w:type="dxa"/>
            <w:vAlign w:val="center"/>
          </w:tcPr>
          <w:p w14:paraId="0FC234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7322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0D0F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FDE5E8" w14:textId="77777777">
        <w:tc>
          <w:tcPr>
            <w:tcW w:w="2160" w:type="dxa"/>
            <w:vAlign w:val="center"/>
          </w:tcPr>
          <w:p w14:paraId="742C47A2"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1C5112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both cytology and high-risk HPV testing show </w:t>
            </w:r>
            <w:r w:rsidRPr="00CB2EC4">
              <w:rPr>
                <w:rFonts w:ascii="Times New Roman" w:hAnsi="Times New Roman" w:cs="Times New Roman"/>
              </w:rPr>
              <w:lastRenderedPageBreak/>
              <w:t>negative results, routine screening should be continued according to the standard screening interval (e.g., every 3 or 5 years). No additional tests are required.</w:t>
            </w:r>
            <w:r w:rsidRPr="00CB2EC4">
              <w:rPr>
                <w:rFonts w:ascii="Times New Roman" w:hAnsi="Times New Roman" w:cs="Times New Roman"/>
              </w:rPr>
              <w:br/>
            </w:r>
            <w:r w:rsidRPr="00CB2EC4">
              <w:rPr>
                <w:rFonts w:ascii="Times New Roman" w:hAnsi="Times New Roman" w:cs="Times New Roman"/>
              </w:rPr>
              <w:br/>
              <w:t>Document reference: [Similarity: 0.552] "HPV negative/cytology negative, risk is 0.08%... repeat cervical cancer screening in 3 years"; [Similarity: 0.457] "cytology (-) &amp; HPV (-) → conduct routine screening (continue screening at regular intervals)". The document does not mention the need for any other additional examinations.</w:t>
            </w:r>
          </w:p>
        </w:tc>
        <w:tc>
          <w:tcPr>
            <w:tcW w:w="1152" w:type="dxa"/>
            <w:vAlign w:val="center"/>
          </w:tcPr>
          <w:p w14:paraId="602FF6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B0BF9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5E2D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5E9CFC" w14:textId="77777777">
        <w:tc>
          <w:tcPr>
            <w:tcW w:w="2160" w:type="dxa"/>
            <w:vAlign w:val="center"/>
          </w:tcPr>
          <w:p w14:paraId="0F69A876"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3706CAA" w14:textId="77777777" w:rsidR="00922249" w:rsidRPr="00CB2EC4" w:rsidRDefault="003011D5">
            <w:pPr>
              <w:rPr>
                <w:rFonts w:ascii="Times New Roman" w:hAnsi="Times New Roman" w:cs="Times New Roman"/>
              </w:rPr>
            </w:pPr>
            <w:r w:rsidRPr="00CB2EC4">
              <w:rPr>
                <w:rFonts w:ascii="Times New Roman" w:hAnsi="Times New Roman" w:cs="Times New Roman"/>
              </w:rPr>
              <w:t>if both cytology and high-risk HPV co-testing results are negative, no additional tests are required. Routine screening should be continued according to the standard screening interval:</w:t>
            </w:r>
            <w:r w:rsidRPr="00CB2EC4">
              <w:rPr>
                <w:rFonts w:ascii="Times New Roman" w:hAnsi="Times New Roman" w:cs="Times New Roman"/>
              </w:rPr>
              <w:br/>
              <w:t>- Repeat co-testing (cytology and high-risk HPV) every 3 or 5 years as per the screening protocol. This is because the risk of cervical intraepithelial neoplasia grade 3 or higher (CIN3+) following a negative co-test result is extremely low (approximately 0.08%), which is below the recommended threshold (0.26%) and supports extending the screening interval.</w:t>
            </w:r>
            <w:r w:rsidRPr="00CB2EC4">
              <w:rPr>
                <w:rFonts w:ascii="Times New Roman" w:hAnsi="Times New Roman" w:cs="Times New Roman"/>
              </w:rPr>
              <w:br/>
            </w:r>
            <w:r w:rsidRPr="00CB2EC4">
              <w:rPr>
                <w:rFonts w:ascii="Times New Roman" w:hAnsi="Times New Roman" w:cs="Times New Roman"/>
              </w:rPr>
              <w:br/>
              <w:t>this recommendation is based on document excerpt 3 (management of HPV-negative/cytology-negative results) and document excerpt 5 (testing result branching logic). No immediate additional investigations (such as colposcopy or imaging) are advised in the knowledge base; only regular follow-up screening is emphasized.</w:t>
            </w:r>
          </w:p>
        </w:tc>
        <w:tc>
          <w:tcPr>
            <w:tcW w:w="1152" w:type="dxa"/>
            <w:vAlign w:val="center"/>
          </w:tcPr>
          <w:p w14:paraId="6B059F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C9D6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39C5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46EA204" w14:textId="77777777">
        <w:tc>
          <w:tcPr>
            <w:tcW w:w="2160" w:type="dxa"/>
            <w:vAlign w:val="center"/>
          </w:tcPr>
          <w:p w14:paraId="5EB92292"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F702FA0" w14:textId="77777777" w:rsidR="00922249" w:rsidRPr="00CB2EC4" w:rsidRDefault="003011D5">
            <w:pPr>
              <w:rPr>
                <w:rFonts w:ascii="Times New Roman" w:hAnsi="Times New Roman" w:cs="Times New Roman"/>
              </w:rPr>
            </w:pPr>
            <w:r w:rsidRPr="00CB2EC4">
              <w:rPr>
                <w:rFonts w:ascii="Times New Roman" w:hAnsi="Times New Roman" w:cs="Times New Roman"/>
              </w:rPr>
              <w:t>if both cytology and high-risk HPV tests are negative, no additional tests are required. instead:</w:t>
            </w:r>
            <w:r w:rsidRPr="00CB2EC4">
              <w:rPr>
                <w:rFonts w:ascii="Times New Roman" w:hAnsi="Times New Roman" w:cs="Times New Roman"/>
              </w:rPr>
              <w:br/>
            </w:r>
            <w:r w:rsidRPr="00CB2EC4">
              <w:rPr>
                <w:rFonts w:ascii="Times New Roman" w:hAnsi="Times New Roman" w:cs="Times New Roman"/>
              </w:rPr>
              <w:lastRenderedPageBreak/>
              <w:br/>
              <w:t>- perform routine screening: continue monitoring according to the standard screening interval, such as repeating cervical cancer screening every 3 years or 5 years.</w:t>
            </w:r>
            <w:r w:rsidRPr="00CB2EC4">
              <w:rPr>
                <w:rFonts w:ascii="Times New Roman" w:hAnsi="Times New Roman" w:cs="Times New Roman"/>
              </w:rPr>
              <w:br/>
              <w:t xml:space="preserve">  rationale: figure 3 in fragment 1 explicitly states "cytology (-) &amp; HPV (-) → perform routine screening (continue screening at standard intervals)." fragment 2 adds that "HPV negative/cytology negative → risk is 0.08%, repeat cervical cancer screening in 3 years, or longer intervals such as 5 years." no additional examinations are indicated in the context.</w:t>
            </w:r>
          </w:p>
        </w:tc>
        <w:tc>
          <w:tcPr>
            <w:tcW w:w="1152" w:type="dxa"/>
            <w:vAlign w:val="center"/>
          </w:tcPr>
          <w:p w14:paraId="0DDFFF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54FB9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8F24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902D34" w14:textId="77777777">
        <w:tc>
          <w:tcPr>
            <w:tcW w:w="2160" w:type="dxa"/>
            <w:vAlign w:val="center"/>
          </w:tcPr>
          <w:p w14:paraId="734A231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E31B0BA" w14:textId="77777777" w:rsidR="00922249" w:rsidRPr="00CB2EC4" w:rsidRDefault="003011D5">
            <w:pPr>
              <w:rPr>
                <w:rFonts w:ascii="Times New Roman" w:hAnsi="Times New Roman" w:cs="Times New Roman"/>
              </w:rPr>
            </w:pPr>
            <w:r w:rsidRPr="00CB2EC4">
              <w:rPr>
                <w:rFonts w:ascii="Times New Roman" w:hAnsi="Times New Roman" w:cs="Times New Roman"/>
              </w:rPr>
              <w:t>if both cytology and high-risk HPV testing are negative, no additional tests are required. It is recommended to repeat co-testing (cytology and high-risk HPV) at routine screening intervals (e.g., every 3 years or every 5 years), with the specific interval determined by age and screening strategy (e.g., for individuals aged 30–65, screening every 3 or 5 years is advised).</w:t>
            </w:r>
          </w:p>
        </w:tc>
        <w:tc>
          <w:tcPr>
            <w:tcW w:w="1152" w:type="dxa"/>
            <w:vAlign w:val="center"/>
          </w:tcPr>
          <w:p w14:paraId="5355BB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02D3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863A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F07821" w14:textId="77777777">
        <w:tc>
          <w:tcPr>
            <w:tcW w:w="10656" w:type="dxa"/>
            <w:gridSpan w:val="5"/>
            <w:tcBorders>
              <w:bottom w:val="single" w:sz="6" w:space="0" w:color="auto"/>
            </w:tcBorders>
            <w:vAlign w:val="center"/>
          </w:tcPr>
          <w:p w14:paraId="1423152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13: If joint testing of cytology and high-risk HPV shows HPV-negative and the cytological result is ASC-US, what should be done next?</w:t>
            </w:r>
          </w:p>
        </w:tc>
      </w:tr>
      <w:tr w:rsidR="00922249" w:rsidRPr="00CB2EC4" w14:paraId="63C61FAD" w14:textId="77777777">
        <w:tc>
          <w:tcPr>
            <w:tcW w:w="2160" w:type="dxa"/>
            <w:vAlign w:val="center"/>
          </w:tcPr>
          <w:p w14:paraId="443D4B7A"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E8557B7" w14:textId="77777777" w:rsidR="00922249" w:rsidRPr="00CB2EC4" w:rsidRDefault="003011D5">
            <w:pPr>
              <w:rPr>
                <w:rFonts w:ascii="Times New Roman" w:hAnsi="Times New Roman" w:cs="Times New Roman"/>
              </w:rPr>
            </w:pPr>
            <w:r w:rsidRPr="00CB2EC4">
              <w:rPr>
                <w:rFonts w:ascii="Times New Roman" w:hAnsi="Times New Roman" w:cs="Times New Roman"/>
              </w:rPr>
              <w:t>If cytology and high-risk HPV co-testing show HPV negative and cytology result of ASC-US, the next step should be:</w:t>
            </w:r>
            <w:r w:rsidRPr="00CB2EC4">
              <w:rPr>
                <w:rFonts w:ascii="Times New Roman" w:hAnsi="Times New Roman" w:cs="Times New Roman"/>
              </w:rPr>
              <w:br/>
            </w:r>
            <w:r w:rsidRPr="00CB2EC4">
              <w:rPr>
                <w:rFonts w:ascii="Times New Roman" w:hAnsi="Times New Roman" w:cs="Times New Roman"/>
              </w:rPr>
              <w:br/>
              <w:t>- Perform a repeat co-test (cytology + HPV) after 1 year.</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t xml:space="preserve">  - The processing flowchart in the document (Figure 3) clearly states: "2. Cytology (ASC-US) &amp; HPV (-) → 1-year follow-up (repeat co-testing after 1 year)" </w:t>
            </w:r>
            <w:r w:rsidRPr="00CB2EC4">
              <w:rPr>
                <w:rFonts w:ascii="Times New Roman" w:hAnsi="Times New Roman" w:cs="Times New Roman"/>
              </w:rPr>
              <w:lastRenderedPageBreak/>
              <w:t>(similarity: 0.627 [expansion: 2 blocks, range: 0-1]).</w:t>
            </w:r>
            <w:r w:rsidRPr="00CB2EC4">
              <w:rPr>
                <w:rFonts w:ascii="Times New Roman" w:hAnsi="Times New Roman" w:cs="Times New Roman"/>
              </w:rPr>
              <w:br/>
              <w:t xml:space="preserve">  - The document also emphasizes that the diagnosis of ASC-US has poor reproducibility, but the risk is low when HPV is negative; therefore, follow-up with repeat testing is the standard management (similarity: 0.552 [expansion: 3 blocks, range: 58-60]).</w:t>
            </w:r>
          </w:p>
        </w:tc>
        <w:tc>
          <w:tcPr>
            <w:tcW w:w="1152" w:type="dxa"/>
            <w:vAlign w:val="center"/>
          </w:tcPr>
          <w:p w14:paraId="5C8303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937FC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EBAF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3114A8" w14:textId="77777777">
        <w:tc>
          <w:tcPr>
            <w:tcW w:w="2160" w:type="dxa"/>
            <w:vAlign w:val="center"/>
          </w:tcPr>
          <w:p w14:paraId="42BA15C0"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7E141C9" w14:textId="77777777" w:rsidR="00922249" w:rsidRPr="00CB2EC4" w:rsidRDefault="003011D5">
            <w:pPr>
              <w:rPr>
                <w:rFonts w:ascii="Times New Roman" w:hAnsi="Times New Roman" w:cs="Times New Roman"/>
              </w:rPr>
            </w:pPr>
            <w:r w:rsidRPr="00CB2EC4">
              <w:rPr>
                <w:rFonts w:ascii="Times New Roman" w:hAnsi="Times New Roman" w:cs="Times New Roman"/>
              </w:rPr>
              <w:t>if cytology and high-risk HPV co-testing show HPV negative and cytology result of ASC-US (atypical squamous cells of undetermined significance), the next step should be:</w:t>
            </w:r>
            <w:r w:rsidRPr="00CB2EC4">
              <w:rPr>
                <w:rFonts w:ascii="Times New Roman" w:hAnsi="Times New Roman" w:cs="Times New Roman"/>
              </w:rPr>
              <w:br/>
            </w:r>
            <w:r w:rsidRPr="00CB2EC4">
              <w:rPr>
                <w:rFonts w:ascii="Times New Roman" w:hAnsi="Times New Roman" w:cs="Times New Roman"/>
              </w:rPr>
              <w:br/>
              <w:t>- Repeat co-testing (cytology + HPV) after 1 year: Figure 3 in Document Fragment 6 explicitly states this pathway: "Cytology (ASC-US) &amp; HPV (-) → perform 1-year follow-up (repeat co-testing after 1 year)."</w:t>
            </w:r>
            <w:r w:rsidRPr="00CB2EC4">
              <w:rPr>
                <w:rFonts w:ascii="Times New Roman" w:hAnsi="Times New Roman" w:cs="Times New Roman"/>
              </w:rPr>
              <w:br/>
              <w:t>- No immediate referral for colposcopy: Document Fragment 1 (Figure 2) indicates that ASC-US patients are referred for colposcopy only if HPV is positive; if HPV is negative, conservative follow-up is adopted.</w:t>
            </w:r>
            <w:r w:rsidRPr="00CB2EC4">
              <w:rPr>
                <w:rFonts w:ascii="Times New Roman" w:hAnsi="Times New Roman" w:cs="Times New Roman"/>
              </w:rPr>
              <w:br/>
              <w:t>Evidence: Document Fragment 6 (main text): "Cytology (ASC-US) &amp; HPV (-) → perform 1-year follow-up (repeat co-testing after 1 year)." Document Fragment 1 (Figure 2) adds: "ASC-US patients: First perform HPV testing; if HPV negative (-) → follow-up after 1 year (repeat cytology)."</w:t>
            </w:r>
            <w:r w:rsidRPr="00CB2EC4">
              <w:rPr>
                <w:rFonts w:ascii="Times New Roman" w:hAnsi="Times New Roman" w:cs="Times New Roman"/>
              </w:rPr>
              <w:br/>
            </w:r>
            <w:r w:rsidRPr="00CB2EC4">
              <w:rPr>
                <w:rFonts w:ascii="Times New Roman" w:hAnsi="Times New Roman" w:cs="Times New Roman"/>
              </w:rPr>
              <w:br/>
              <w:t>Summary: Repeat cytology + HPV co-testing after 1 year; no immediate intervention required.</w:t>
            </w:r>
          </w:p>
        </w:tc>
        <w:tc>
          <w:tcPr>
            <w:tcW w:w="1152" w:type="dxa"/>
            <w:vAlign w:val="center"/>
          </w:tcPr>
          <w:p w14:paraId="17A5B0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A6F5C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4939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6F05956" w14:textId="77777777">
        <w:tc>
          <w:tcPr>
            <w:tcW w:w="2160" w:type="dxa"/>
            <w:vAlign w:val="center"/>
          </w:tcPr>
          <w:p w14:paraId="0EF273B6"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64DB834" w14:textId="77777777" w:rsidR="00922249" w:rsidRPr="00CB2EC4" w:rsidRDefault="003011D5">
            <w:pPr>
              <w:rPr>
                <w:rFonts w:ascii="Times New Roman" w:hAnsi="Times New Roman" w:cs="Times New Roman"/>
              </w:rPr>
            </w:pPr>
            <w:r w:rsidRPr="00CB2EC4">
              <w:rPr>
                <w:rFonts w:ascii="Times New Roman" w:hAnsi="Times New Roman" w:cs="Times New Roman"/>
              </w:rPr>
              <w:t>if cytology and high-risk HPV co-testing show HPV negative and cytology result of ASC-US, the next step should be:</w:t>
            </w:r>
            <w:r w:rsidRPr="00CB2EC4">
              <w:rPr>
                <w:rFonts w:ascii="Times New Roman" w:hAnsi="Times New Roman" w:cs="Times New Roman"/>
              </w:rPr>
              <w:br/>
            </w:r>
            <w:r w:rsidRPr="00CB2EC4">
              <w:rPr>
                <w:rFonts w:ascii="Times New Roman" w:hAnsi="Times New Roman" w:cs="Times New Roman"/>
              </w:rPr>
              <w:br/>
              <w:t xml:space="preserve">according to document fragment 1 (relevance: 0.900), </w:t>
            </w:r>
            <w:r w:rsidRPr="00CB2EC4">
              <w:rPr>
                <w:rFonts w:ascii="Times New Roman" w:hAnsi="Times New Roman" w:cs="Times New Roman"/>
              </w:rPr>
              <w:lastRenderedPageBreak/>
              <w:t>document fragment 2 (relevance: 0.800), and document fragment 4 (relevance: 0.700), follow-up should be conducted in 1 year, specifically by repeating cytology or cytology with high-risk HPV co-testing. immediate referral for colposcopy or other examinations is not required.</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r>
            <w:r w:rsidRPr="00CB2EC4">
              <w:rPr>
                <w:rFonts w:ascii="Times New Roman" w:hAnsi="Times New Roman" w:cs="Times New Roman"/>
              </w:rPr>
              <w:br/>
              <w:t>- fragment 1: "if cytology and high-risk HPV co-testing show HPV negative (-) and cytology result is ASC-US: if HPV negative (-) → should be followed up in 1 year (repeat cytology)."</w:t>
            </w:r>
            <w:r w:rsidRPr="00CB2EC4">
              <w:rPr>
                <w:rFonts w:ascii="Times New Roman" w:hAnsi="Times New Roman" w:cs="Times New Roman"/>
              </w:rPr>
              <w:br/>
              <w:t>- fragment 2: "cytology (ASC-US) &amp; HPV (-) → should undergo 1-year follow-up (repeat co-testing after 1 year)."</w:t>
            </w:r>
            <w:r w:rsidRPr="00CB2EC4">
              <w:rPr>
                <w:rFonts w:ascii="Times New Roman" w:hAnsi="Times New Roman" w:cs="Times New Roman"/>
              </w:rPr>
              <w:br/>
              <w:t>- fragment 4: the table also contains similar instructions supporting follow-up in 1 year.</w:t>
            </w:r>
          </w:p>
        </w:tc>
        <w:tc>
          <w:tcPr>
            <w:tcW w:w="1152" w:type="dxa"/>
            <w:vAlign w:val="center"/>
          </w:tcPr>
          <w:p w14:paraId="6EA067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AAAA8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0DA7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304D7D" w14:textId="77777777">
        <w:tc>
          <w:tcPr>
            <w:tcW w:w="2160" w:type="dxa"/>
            <w:vAlign w:val="center"/>
          </w:tcPr>
          <w:p w14:paraId="0DA00619"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F1695FE" w14:textId="77777777" w:rsidR="00922249" w:rsidRPr="00CB2EC4" w:rsidRDefault="003011D5">
            <w:pPr>
              <w:rPr>
                <w:rFonts w:ascii="Times New Roman" w:hAnsi="Times New Roman" w:cs="Times New Roman"/>
              </w:rPr>
            </w:pPr>
            <w:r w:rsidRPr="00CB2EC4">
              <w:rPr>
                <w:rFonts w:ascii="Times New Roman" w:hAnsi="Times New Roman" w:cs="Times New Roman"/>
              </w:rPr>
              <w:t>management of hpv-negative and cytological asc-us</w:t>
            </w:r>
            <w:r w:rsidRPr="00CB2EC4">
              <w:rPr>
                <w:rFonts w:ascii="Times New Roman" w:hAnsi="Times New Roman" w:cs="Times New Roman"/>
              </w:rPr>
              <w:br/>
            </w:r>
            <w:r w:rsidRPr="00CB2EC4">
              <w:rPr>
                <w:rFonts w:ascii="Times New Roman" w:hAnsi="Times New Roman" w:cs="Times New Roman"/>
              </w:rPr>
              <w:br/>
              <w:t>according to the document (figure 2 flowchart and section 2.2.2):</w:t>
            </w:r>
            <w:r w:rsidRPr="00CB2EC4">
              <w:rPr>
                <w:rFonts w:ascii="Times New Roman" w:hAnsi="Times New Roman" w:cs="Times New Roman"/>
              </w:rPr>
              <w:br/>
            </w:r>
            <w:r w:rsidRPr="00CB2EC4">
              <w:rPr>
                <w:rFonts w:ascii="Times New Roman" w:hAnsi="Times New Roman" w:cs="Times New Roman"/>
              </w:rPr>
              <w:br/>
              <w:t>- repeat cytology after 1 year:</w:t>
            </w:r>
            <w:r w:rsidRPr="00CB2EC4">
              <w:rPr>
                <w:rFonts w:ascii="Times New Roman" w:hAnsi="Times New Roman" w:cs="Times New Roman"/>
              </w:rPr>
              <w:br/>
              <w:t xml:space="preserve">  - if repeat test negative → routine screening</w:t>
            </w:r>
            <w:r w:rsidRPr="00CB2EC4">
              <w:rPr>
                <w:rFonts w:ascii="Times New Roman" w:hAnsi="Times New Roman" w:cs="Times New Roman"/>
              </w:rPr>
              <w:br/>
              <w:t xml:space="preserve">  - if repeat test ≥asc-us → refer to colposcopy</w:t>
            </w:r>
            <w:r w:rsidRPr="00CB2EC4">
              <w:rPr>
                <w:rFonts w:ascii="Times New Roman" w:hAnsi="Times New Roman" w:cs="Times New Roman"/>
              </w:rPr>
              <w:br/>
            </w:r>
            <w:r w:rsidRPr="00CB2EC4">
              <w:rPr>
                <w:rFonts w:ascii="Times New Roman" w:hAnsi="Times New Roman" w:cs="Times New Roman"/>
              </w:rPr>
              <w:br/>
              <w:t>&gt; source: knowledge base document figure 2 (asc-us triage pathway) and section 2.2.2 (asc-us carries low risk of cin iii+, no immediate colposcopy needed when hpv-negative)</w:t>
            </w:r>
          </w:p>
        </w:tc>
        <w:tc>
          <w:tcPr>
            <w:tcW w:w="1152" w:type="dxa"/>
            <w:vAlign w:val="center"/>
          </w:tcPr>
          <w:p w14:paraId="308511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0ADD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E2E9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079CC7" w14:textId="77777777">
        <w:tc>
          <w:tcPr>
            <w:tcW w:w="2160" w:type="dxa"/>
            <w:vAlign w:val="center"/>
          </w:tcPr>
          <w:p w14:paraId="4319A37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9A07A5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cytology and high-risk HPV co-testing show HPV negative and cytology result of ASC-US, the next step </w:t>
            </w:r>
            <w:r w:rsidRPr="00CB2EC4">
              <w:rPr>
                <w:rFonts w:ascii="Times New Roman" w:hAnsi="Times New Roman" w:cs="Times New Roman"/>
              </w:rPr>
              <w:lastRenderedPageBreak/>
              <w:t>should be:</w:t>
            </w:r>
            <w:r w:rsidRPr="00CB2EC4">
              <w:rPr>
                <w:rFonts w:ascii="Times New Roman" w:hAnsi="Times New Roman" w:cs="Times New Roman"/>
              </w:rPr>
              <w:br/>
            </w:r>
            <w:r w:rsidRPr="00CB2EC4">
              <w:rPr>
                <w:rFonts w:ascii="Times New Roman" w:hAnsi="Times New Roman" w:cs="Times New Roman"/>
              </w:rPr>
              <w:br/>
              <w:t>according to document fragment 3 (branch 2):</w:t>
            </w:r>
            <w:r w:rsidRPr="00CB2EC4">
              <w:rPr>
                <w:rFonts w:ascii="Times New Roman" w:hAnsi="Times New Roman" w:cs="Times New Roman"/>
              </w:rPr>
              <w:br/>
            </w:r>
            <w:r w:rsidRPr="00CB2EC4">
              <w:rPr>
                <w:rFonts w:ascii="Times New Roman" w:hAnsi="Times New Roman" w:cs="Times New Roman"/>
              </w:rPr>
              <w:br/>
              <w:t>- with cytology (ASC-US) and HPV (-), perform a 1-year follow-up (repeat co-testing after 1 year).</w:t>
            </w:r>
            <w:r w:rsidRPr="00CB2EC4">
              <w:rPr>
                <w:rFonts w:ascii="Times New Roman" w:hAnsi="Times New Roman" w:cs="Times New Roman"/>
              </w:rPr>
              <w:br/>
              <w:t xml:space="preserve">  document fragment 2 (figure 3) also supports this pathway: HPV negative and cytology ASC-US → 1-year follow-up.</w:t>
            </w:r>
            <w:r w:rsidRPr="00CB2EC4">
              <w:rPr>
                <w:rFonts w:ascii="Times New Roman" w:hAnsi="Times New Roman" w:cs="Times New Roman"/>
              </w:rPr>
              <w:br/>
              <w:t xml:space="preserve">  therefore, no immediate intervention is needed; only repeat cytology + HPV co-testing after 1 year.</w:t>
            </w:r>
          </w:p>
        </w:tc>
        <w:tc>
          <w:tcPr>
            <w:tcW w:w="1152" w:type="dxa"/>
            <w:vAlign w:val="center"/>
          </w:tcPr>
          <w:p w14:paraId="2C818C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0EBAC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3B46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C9EA4A" w14:textId="77777777">
        <w:tc>
          <w:tcPr>
            <w:tcW w:w="2160" w:type="dxa"/>
            <w:vAlign w:val="center"/>
          </w:tcPr>
          <w:p w14:paraId="741663D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A004DD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cytology and high-risk HPV co-testing show HPV negative and cytology result of ASC-US, the next step should be:  </w:t>
            </w:r>
            <w:r w:rsidRPr="00CB2EC4">
              <w:rPr>
                <w:rFonts w:ascii="Times New Roman" w:hAnsi="Times New Roman" w:cs="Times New Roman"/>
              </w:rPr>
              <w:br/>
              <w:t xml:space="preserve">- Repeat co-testing (cytology + HPV) in 1 year.  </w:t>
            </w:r>
            <w:r w:rsidRPr="00CB2EC4">
              <w:rPr>
                <w:rFonts w:ascii="Times New Roman" w:hAnsi="Times New Roman" w:cs="Times New Roman"/>
              </w:rPr>
              <w:br/>
              <w:t>Reason: According to Document 1 (Figure 2), the management flow for ASC-US patients specifies that if HPV is negative (-), repeat cytology should be performed in 1 year. Document 4 (Figure 3) also states that for cytology (ASC-US) &amp; HPV (-), a 1-year follow-up with repeat co-testing is recommended.</w:t>
            </w:r>
          </w:p>
        </w:tc>
        <w:tc>
          <w:tcPr>
            <w:tcW w:w="1152" w:type="dxa"/>
            <w:vAlign w:val="center"/>
          </w:tcPr>
          <w:p w14:paraId="18B760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0423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D801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BEF414" w14:textId="77777777">
        <w:tc>
          <w:tcPr>
            <w:tcW w:w="2160" w:type="dxa"/>
            <w:vAlign w:val="center"/>
          </w:tcPr>
          <w:p w14:paraId="192E0A67"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651CC17" w14:textId="77777777" w:rsidR="00922249" w:rsidRPr="00CB2EC4" w:rsidRDefault="003011D5">
            <w:pPr>
              <w:rPr>
                <w:rFonts w:ascii="Times New Roman" w:hAnsi="Times New Roman" w:cs="Times New Roman"/>
              </w:rPr>
            </w:pPr>
            <w:r w:rsidRPr="00CB2EC4">
              <w:rPr>
                <w:rFonts w:ascii="Times New Roman" w:hAnsi="Times New Roman" w:cs="Times New Roman"/>
              </w:rPr>
              <w:t>if cytology and high-risk HPV co-testing show HPV negative and cytology result of ASC-US, the next step should be:</w:t>
            </w:r>
            <w:r w:rsidRPr="00CB2EC4">
              <w:rPr>
                <w:rFonts w:ascii="Times New Roman" w:hAnsi="Times New Roman" w:cs="Times New Roman"/>
              </w:rPr>
              <w:br/>
            </w:r>
            <w:r w:rsidRPr="00CB2EC4">
              <w:rPr>
                <w:rFonts w:ascii="Times New Roman" w:hAnsi="Times New Roman" w:cs="Times New Roman"/>
              </w:rPr>
              <w:br/>
              <w:t>- Repeat co-testing in 1 year: The management protocol explicitly states that for HPV-negative and ASC-US cytology, 1-year follow-up with repeat co-testing (cytology and high-risk HPV) is indicated (see [HyDE similarity: 0.503] excerpt: "For cytology (ASC-US) &amp; HPV (-), 1-year follow-up (repeat co-testing after 1 year) should be performed").</w:t>
            </w:r>
            <w:r w:rsidRPr="00CB2EC4">
              <w:rPr>
                <w:rFonts w:ascii="Times New Roman" w:hAnsi="Times New Roman" w:cs="Times New Roman"/>
              </w:rPr>
              <w:br/>
              <w:t xml:space="preserve">- Rationale: ASC-US has poor diagnostic </w:t>
            </w:r>
            <w:r w:rsidRPr="00CB2EC4">
              <w:rPr>
                <w:rFonts w:ascii="Times New Roman" w:hAnsi="Times New Roman" w:cs="Times New Roman"/>
              </w:rPr>
              <w:lastRenderedPageBreak/>
              <w:t>reproducibility, but risk is low when HPV is negative; therefore, follow-up is preferred over immediate intervention (see [HyDE similarity: 0.526] excerpt: "ASC-US has poor diagnostic reproducibility...in population screening, ASC-US accounts for approximately 5%").</w:t>
            </w:r>
            <w:r w:rsidRPr="00CB2EC4">
              <w:rPr>
                <w:rFonts w:ascii="Times New Roman" w:hAnsi="Times New Roman" w:cs="Times New Roman"/>
              </w:rPr>
              <w:br/>
            </w:r>
            <w:r w:rsidRPr="00CB2EC4">
              <w:rPr>
                <w:rFonts w:ascii="Times New Roman" w:hAnsi="Times New Roman" w:cs="Times New Roman"/>
              </w:rPr>
              <w:br/>
              <w:t>In summary, immediate referral for colposcopy is not required; schedule repeat co-testing in 1 year.</w:t>
            </w:r>
          </w:p>
        </w:tc>
        <w:tc>
          <w:tcPr>
            <w:tcW w:w="1152" w:type="dxa"/>
            <w:vAlign w:val="center"/>
          </w:tcPr>
          <w:p w14:paraId="5B0F4A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4A7EB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F60F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4BCC59" w14:textId="77777777">
        <w:tc>
          <w:tcPr>
            <w:tcW w:w="2160" w:type="dxa"/>
            <w:vAlign w:val="center"/>
          </w:tcPr>
          <w:p w14:paraId="32A68007"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88A6170" w14:textId="77777777" w:rsidR="00922249" w:rsidRPr="00CB2EC4" w:rsidRDefault="003011D5">
            <w:pPr>
              <w:rPr>
                <w:rFonts w:ascii="Times New Roman" w:hAnsi="Times New Roman" w:cs="Times New Roman"/>
              </w:rPr>
            </w:pPr>
            <w:r w:rsidRPr="00CB2EC4">
              <w:rPr>
                <w:rFonts w:ascii="Times New Roman" w:hAnsi="Times New Roman" w:cs="Times New Roman"/>
              </w:rPr>
              <w:t>if cytology and high-risk HPV co-testing show HPV negative and cytology result of ASC-US, the next step should be:</w:t>
            </w:r>
            <w:r w:rsidRPr="00CB2EC4">
              <w:rPr>
                <w:rFonts w:ascii="Times New Roman" w:hAnsi="Times New Roman" w:cs="Times New Roman"/>
              </w:rPr>
              <w:br/>
            </w:r>
            <w:r w:rsidRPr="00CB2EC4">
              <w:rPr>
                <w:rFonts w:ascii="Times New Roman" w:hAnsi="Times New Roman" w:cs="Times New Roman"/>
              </w:rPr>
              <w:br/>
              <w:t>- Follow-up in 1 year: Repeat co-testing with cytology and high-risk HPV. If the follow-up result is negative, return to routine screening; if the follow-up result is abnormal (≥ASC-US), refer for colposcopy.</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r>
            <w:r w:rsidRPr="00CB2EC4">
              <w:rPr>
                <w:rFonts w:ascii="Times New Roman" w:hAnsi="Times New Roman" w:cs="Times New Roman"/>
              </w:rPr>
              <w:br/>
              <w:t>- Document fragment 5: "2. For cytology (ASC-US) &amp; HPV (-), follow-up testing should be performed after 1 year (repeat co-testing after 1 year)."</w:t>
            </w:r>
            <w:r w:rsidRPr="00CB2EC4">
              <w:rPr>
                <w:rFonts w:ascii="Times New Roman" w:hAnsi="Times New Roman" w:cs="Times New Roman"/>
              </w:rPr>
              <w:br/>
              <w:t>- Document fragment 2 also supports this process in ASC-US management: "Patients with ASC-US: HPV testing should be performed first: if HPV is negative (-) → follow-up testing should be performed after 1 year (repeat cytology). If the follow-up result is negative, routine screening can be continued thereafter; if the result is ≥ASC, colposcopy should be performed."</w:t>
            </w:r>
          </w:p>
        </w:tc>
        <w:tc>
          <w:tcPr>
            <w:tcW w:w="1152" w:type="dxa"/>
            <w:vAlign w:val="center"/>
          </w:tcPr>
          <w:p w14:paraId="2FC8D7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0BFD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F71E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895CA1" w14:textId="77777777">
        <w:tc>
          <w:tcPr>
            <w:tcW w:w="2160" w:type="dxa"/>
            <w:vAlign w:val="center"/>
          </w:tcPr>
          <w:p w14:paraId="26EB75E8"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2171D9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cytology and high-risk HPV co-testing show HPV negative and cytology result of ASC-US, the next step </w:t>
            </w:r>
            <w:r w:rsidRPr="00CB2EC4">
              <w:rPr>
                <w:rFonts w:ascii="Times New Roman" w:hAnsi="Times New Roman" w:cs="Times New Roman"/>
              </w:rPr>
              <w:lastRenderedPageBreak/>
              <w:t>should be:</w:t>
            </w:r>
            <w:r w:rsidRPr="00CB2EC4">
              <w:rPr>
                <w:rFonts w:ascii="Times New Roman" w:hAnsi="Times New Roman" w:cs="Times New Roman"/>
              </w:rPr>
              <w:br/>
            </w:r>
            <w:r w:rsidRPr="00CB2EC4">
              <w:rPr>
                <w:rFonts w:ascii="Times New Roman" w:hAnsi="Times New Roman" w:cs="Times New Roman"/>
              </w:rPr>
              <w:br/>
              <w:t>- Perform a repeat co-test (cytology and high-risk HPV) after 1 year.</w:t>
            </w:r>
            <w:r w:rsidRPr="00CB2EC4">
              <w:rPr>
                <w:rFonts w:ascii="Times New Roman" w:hAnsi="Times New Roman" w:cs="Times New Roman"/>
              </w:rPr>
              <w:br/>
            </w:r>
            <w:r w:rsidRPr="00CB2EC4">
              <w:rPr>
                <w:rFonts w:ascii="Times New Roman" w:hAnsi="Times New Roman" w:cs="Times New Roman"/>
              </w:rPr>
              <w:br/>
              <w:t>(As per document: "For cytology (ASC-US) &amp; HPV (-), a follow-up examination after 1 year should be performed (repeat co-testing after 1 year)" and "For ASC-US patients: if HPV is negative (-) → follow-up examination after 1 year is recommended (repeat cytology testing)", indicating no immediate referral to colposcopy is needed; follow-up after 1 year is recommended.)</w:t>
            </w:r>
          </w:p>
        </w:tc>
        <w:tc>
          <w:tcPr>
            <w:tcW w:w="1152" w:type="dxa"/>
            <w:vAlign w:val="center"/>
          </w:tcPr>
          <w:p w14:paraId="3BD83C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19699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87CB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0E876D" w14:textId="77777777">
        <w:tc>
          <w:tcPr>
            <w:tcW w:w="2160" w:type="dxa"/>
            <w:vAlign w:val="center"/>
          </w:tcPr>
          <w:p w14:paraId="15B34E94"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ADA3F30" w14:textId="77777777" w:rsidR="00922249" w:rsidRPr="00CB2EC4" w:rsidRDefault="003011D5">
            <w:pPr>
              <w:rPr>
                <w:rFonts w:ascii="Times New Roman" w:hAnsi="Times New Roman" w:cs="Times New Roman"/>
              </w:rPr>
            </w:pPr>
            <w:r w:rsidRPr="00CB2EC4">
              <w:rPr>
                <w:rFonts w:ascii="Times New Roman" w:hAnsi="Times New Roman" w:cs="Times New Roman"/>
              </w:rPr>
              <w:t>if cytology and high-risk HPV co-testing show HPV negative and cytology result of ASC-US, the next step should be:</w:t>
            </w:r>
            <w:r w:rsidRPr="00CB2EC4">
              <w:rPr>
                <w:rFonts w:ascii="Times New Roman" w:hAnsi="Times New Roman" w:cs="Times New Roman"/>
              </w:rPr>
              <w:br/>
              <w:t>- Follow-up in 1 year: Repeat co-testing with cytology and high-risk HPV. If the follow-up result is negative, return to routine screening; if the follow-up result is abnormal (≥ASC-US), refer for colposcopy.</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t>- Document fragment 5: "2. For cytology (ASC-US) &amp; HPV (-), follow-up testing should be performed after 1 year (repeat co-testing after 1 year)."</w:t>
            </w:r>
            <w:r w:rsidRPr="00CB2EC4">
              <w:rPr>
                <w:rFonts w:ascii="Times New Roman" w:hAnsi="Times New Roman" w:cs="Times New Roman"/>
              </w:rPr>
              <w:br/>
              <w:t>- Document fragment 2 also supports this process in ASC-US management: "Patients with ASC-US: HPV testing should be performed first: if HPV is negative (-) → follow-up testing should be performed after 1 year (repeat cytology). If the follow-up result is negative, routine screening can be resumed; if the result is ≥ASC, colposcopy should be performed."</w:t>
            </w:r>
          </w:p>
        </w:tc>
        <w:tc>
          <w:tcPr>
            <w:tcW w:w="1152" w:type="dxa"/>
            <w:vAlign w:val="center"/>
          </w:tcPr>
          <w:p w14:paraId="41B6C9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5C8A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4BF5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A6A7EA" w14:textId="77777777">
        <w:tc>
          <w:tcPr>
            <w:tcW w:w="2160" w:type="dxa"/>
            <w:vAlign w:val="center"/>
          </w:tcPr>
          <w:p w14:paraId="3E6E557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9D25DA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cytology and high-risk HPV co-testing show HPV </w:t>
            </w:r>
            <w:r w:rsidRPr="00CB2EC4">
              <w:rPr>
                <w:rFonts w:ascii="Times New Roman" w:hAnsi="Times New Roman" w:cs="Times New Roman"/>
              </w:rPr>
              <w:lastRenderedPageBreak/>
              <w:t>negative and cytology result of ASC-US, the next step should be:</w:t>
            </w:r>
            <w:r w:rsidRPr="00CB2EC4">
              <w:rPr>
                <w:rFonts w:ascii="Times New Roman" w:hAnsi="Times New Roman" w:cs="Times New Roman"/>
              </w:rPr>
              <w:br/>
            </w:r>
            <w:r w:rsidRPr="00CB2EC4">
              <w:rPr>
                <w:rFonts w:ascii="Times New Roman" w:hAnsi="Times New Roman" w:cs="Times New Roman"/>
              </w:rPr>
              <w:br/>
              <w:t xml:space="preserve">Perform a repeat co-test (cytology and high-risk HPV) after 1 year.  </w:t>
            </w:r>
            <w:r w:rsidRPr="00CB2EC4">
              <w:rPr>
                <w:rFonts w:ascii="Times New Roman" w:hAnsi="Times New Roman" w:cs="Times New Roman"/>
              </w:rPr>
              <w:br/>
              <w:t xml:space="preserve">→ If the repeat test result is negative: return to routine screening.  </w:t>
            </w:r>
            <w:r w:rsidRPr="00CB2EC4">
              <w:rPr>
                <w:rFonts w:ascii="Times New Roman" w:hAnsi="Times New Roman" w:cs="Times New Roman"/>
              </w:rPr>
              <w:br/>
              <w:t>→ If the repeat test result is abnormal (≥ASC-US): refer for colposcopy.</w:t>
            </w:r>
            <w:r w:rsidRPr="00CB2EC4">
              <w:rPr>
                <w:rFonts w:ascii="Times New Roman" w:hAnsi="Times New Roman" w:cs="Times New Roman"/>
              </w:rPr>
              <w:br/>
            </w:r>
            <w:r w:rsidRPr="00CB2EC4">
              <w:rPr>
                <w:rFonts w:ascii="Times New Roman" w:hAnsi="Times New Roman" w:cs="Times New Roman"/>
              </w:rPr>
              <w:br/>
              <w:t>Document reference: [Similarity: 0.457] The source explicitly states: "Cytology (ASC-US) &amp; HPV (-) → should undergo 1-year repeat (repeat co-testing after 1 year)." No other management is specified in the document.</w:t>
            </w:r>
          </w:p>
        </w:tc>
        <w:tc>
          <w:tcPr>
            <w:tcW w:w="1152" w:type="dxa"/>
            <w:vAlign w:val="center"/>
          </w:tcPr>
          <w:p w14:paraId="066071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CE8F8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A4C8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C9142E" w14:textId="77777777">
        <w:tc>
          <w:tcPr>
            <w:tcW w:w="2160" w:type="dxa"/>
            <w:vAlign w:val="center"/>
          </w:tcPr>
          <w:p w14:paraId="0084B4F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E1E61D5" w14:textId="77777777" w:rsidR="00922249" w:rsidRPr="00CB2EC4" w:rsidRDefault="003011D5">
            <w:pPr>
              <w:rPr>
                <w:rFonts w:ascii="Times New Roman" w:hAnsi="Times New Roman" w:cs="Times New Roman"/>
              </w:rPr>
            </w:pPr>
            <w:r w:rsidRPr="00CB2EC4">
              <w:rPr>
                <w:rFonts w:ascii="Times New Roman" w:hAnsi="Times New Roman" w:cs="Times New Roman"/>
              </w:rPr>
              <w:t>if cytology and high-risk HPV co-testing show HPV negative and cytology result of ASC-US, the next step should be:</w:t>
            </w:r>
            <w:r w:rsidRPr="00CB2EC4">
              <w:rPr>
                <w:rFonts w:ascii="Times New Roman" w:hAnsi="Times New Roman" w:cs="Times New Roman"/>
              </w:rPr>
              <w:br/>
              <w:t>- Repeat cytology and high-risk HPV co-testing in 1 year: no immediate referral for colposcopy or other tests is needed, as HPV negativity reduces the risk of high-grade lesions.</w:t>
            </w:r>
            <w:r w:rsidRPr="00CB2EC4">
              <w:rPr>
                <w:rFonts w:ascii="Times New Roman" w:hAnsi="Times New Roman" w:cs="Times New Roman"/>
              </w:rPr>
              <w:br/>
            </w:r>
            <w:r w:rsidRPr="00CB2EC4">
              <w:rPr>
                <w:rFonts w:ascii="Times New Roman" w:hAnsi="Times New Roman" w:cs="Times New Roman"/>
              </w:rPr>
              <w:br/>
              <w:t>this management is based on document fragment 5 (testing result branching) and document fragment 3 (risk analysis), which explicitly state that for ASC-US cytology with negative HPV, a 1-year follow-up test should be scheduled. if the follow-up result is abnormal (e.g., ≥ASC-US), refer for colposcopy; if negative, return to routine screening. no other management options are mentioned in the knowledge base.</w:t>
            </w:r>
          </w:p>
        </w:tc>
        <w:tc>
          <w:tcPr>
            <w:tcW w:w="1152" w:type="dxa"/>
            <w:vAlign w:val="center"/>
          </w:tcPr>
          <w:p w14:paraId="6E9C11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66C0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F4C2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7D4353" w14:textId="77777777">
        <w:tc>
          <w:tcPr>
            <w:tcW w:w="2160" w:type="dxa"/>
            <w:vAlign w:val="center"/>
          </w:tcPr>
          <w:p w14:paraId="29180387"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94C0B3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cytology and high-risk HPV co-testing show HPV </w:t>
            </w:r>
            <w:r w:rsidRPr="00CB2EC4">
              <w:rPr>
                <w:rFonts w:ascii="Times New Roman" w:hAnsi="Times New Roman" w:cs="Times New Roman"/>
              </w:rPr>
              <w:lastRenderedPageBreak/>
              <w:t>negative and cytology result of ASC-US, the next step should be:</w:t>
            </w:r>
            <w:r w:rsidRPr="00CB2EC4">
              <w:rPr>
                <w:rFonts w:ascii="Times New Roman" w:hAnsi="Times New Roman" w:cs="Times New Roman"/>
              </w:rPr>
              <w:br/>
            </w:r>
            <w:r w:rsidRPr="00CB2EC4">
              <w:rPr>
                <w:rFonts w:ascii="Times New Roman" w:hAnsi="Times New Roman" w:cs="Times New Roman"/>
              </w:rPr>
              <w:br/>
              <w:t>- Perform a 1-year follow-up: Repeat cytology and high-risk HPV co-testing after 1 year.</w:t>
            </w:r>
            <w:r w:rsidRPr="00CB2EC4">
              <w:rPr>
                <w:rFonts w:ascii="Times New Roman" w:hAnsi="Times New Roman" w:cs="Times New Roman"/>
              </w:rPr>
              <w:br/>
              <w:t xml:space="preserve">  Rationale: Figure 3 in Segment 1 explicitly states "Cytology (ASC-US) &amp; HPV (-) → perform 1-year follow-up (repeat co-testing after 1 year)." Segment 2 provides no additional information, and the management flow in Figure 3 covers this scenario.</w:t>
            </w:r>
          </w:p>
        </w:tc>
        <w:tc>
          <w:tcPr>
            <w:tcW w:w="1152" w:type="dxa"/>
            <w:vAlign w:val="center"/>
          </w:tcPr>
          <w:p w14:paraId="155707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6BA82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400E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AB7CC3" w14:textId="77777777">
        <w:tc>
          <w:tcPr>
            <w:tcW w:w="2160" w:type="dxa"/>
            <w:vAlign w:val="center"/>
          </w:tcPr>
          <w:p w14:paraId="208C9A1A"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4D008DD8" w14:textId="77777777" w:rsidR="00922249" w:rsidRPr="00CB2EC4" w:rsidRDefault="003011D5">
            <w:pPr>
              <w:rPr>
                <w:rFonts w:ascii="Times New Roman" w:hAnsi="Times New Roman" w:cs="Times New Roman"/>
              </w:rPr>
            </w:pPr>
            <w:r w:rsidRPr="00CB2EC4">
              <w:rPr>
                <w:rFonts w:ascii="Times New Roman" w:hAnsi="Times New Roman" w:cs="Times New Roman"/>
              </w:rPr>
              <w:t>if cytology and high-risk HPV co-testing show HPV negative and cytology result of ASC-US, the next step should be:</w:t>
            </w:r>
            <w:r w:rsidRPr="00CB2EC4">
              <w:rPr>
                <w:rFonts w:ascii="Times New Roman" w:hAnsi="Times New Roman" w:cs="Times New Roman"/>
              </w:rPr>
              <w:br/>
            </w:r>
            <w:r w:rsidRPr="00CB2EC4">
              <w:rPr>
                <w:rFonts w:ascii="Times New Roman" w:hAnsi="Times New Roman" w:cs="Times New Roman"/>
              </w:rPr>
              <w:br/>
              <w:t>ASC-US with negative HPV (Atypical Squamous Cells of Undetermined Significance) carries low risk; immediate colposcopy is not recommended. The next step is short-term follow-up with repeat co-testing (cytology and high-risk HPV) at 12 months. If the repeat test results are normal, return to routine screening intervals.</w:t>
            </w:r>
          </w:p>
        </w:tc>
        <w:tc>
          <w:tcPr>
            <w:tcW w:w="1152" w:type="dxa"/>
            <w:vAlign w:val="center"/>
          </w:tcPr>
          <w:p w14:paraId="294E6C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9FFD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DC8A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859F52" w14:textId="77777777">
        <w:tc>
          <w:tcPr>
            <w:tcW w:w="10656" w:type="dxa"/>
            <w:gridSpan w:val="5"/>
            <w:tcBorders>
              <w:bottom w:val="single" w:sz="6" w:space="0" w:color="auto"/>
            </w:tcBorders>
            <w:vAlign w:val="center"/>
          </w:tcPr>
          <w:p w14:paraId="6CDE12D6"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14: If joint testing of cytology and high-risk HPV shows HPV-negative and the cytological result is &gt;ASC-US, what should be done next? Is a colposcopy required?</w:t>
            </w:r>
          </w:p>
        </w:tc>
      </w:tr>
      <w:tr w:rsidR="00922249" w:rsidRPr="00CB2EC4" w14:paraId="34F3A9D4" w14:textId="77777777">
        <w:tc>
          <w:tcPr>
            <w:tcW w:w="2160" w:type="dxa"/>
            <w:vAlign w:val="center"/>
          </w:tcPr>
          <w:p w14:paraId="073DBEC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6CC44F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If cytology and high-risk HPV co-testing show HPV negative and cytology result &gt; ASC-US (e.g., LSIL, HSIL), the next step is to refer for colposcopy immediately. Yes, colposcopy is required.  </w:t>
            </w:r>
            <w:r w:rsidRPr="00CB2EC4">
              <w:rPr>
                <w:rFonts w:ascii="Times New Roman" w:hAnsi="Times New Roman" w:cs="Times New Roman"/>
              </w:rPr>
              <w:br/>
            </w:r>
            <w:r w:rsidRPr="00CB2EC4">
              <w:rPr>
                <w:rFonts w:ascii="Times New Roman" w:hAnsi="Times New Roman" w:cs="Times New Roman"/>
              </w:rPr>
              <w:br/>
              <w:t xml:space="preserve">Specific basis:  </w:t>
            </w:r>
            <w:r w:rsidRPr="00CB2EC4">
              <w:rPr>
                <w:rFonts w:ascii="Times New Roman" w:hAnsi="Times New Roman" w:cs="Times New Roman"/>
              </w:rPr>
              <w:br/>
              <w:t xml:space="preserve">- The flowchart in the document (Figure 3) specifies: "3. Cytology &gt; ASC-US (e.g., LSIL, HSIL) &amp; HPV (−) → Refer immediately for colposcopy" (similarity: </w:t>
            </w:r>
            <w:r w:rsidRPr="00CB2EC4">
              <w:rPr>
                <w:rFonts w:ascii="Times New Roman" w:hAnsi="Times New Roman" w:cs="Times New Roman"/>
              </w:rPr>
              <w:lastRenderedPageBreak/>
              <w:t xml:space="preserve">0.627 [expansion: 2 blocks, range: 0-1]).  </w:t>
            </w:r>
            <w:r w:rsidRPr="00CB2EC4">
              <w:rPr>
                <w:rFonts w:ascii="Times New Roman" w:hAnsi="Times New Roman" w:cs="Times New Roman"/>
              </w:rPr>
              <w:br/>
              <w:t>- The document further explains that cytology results such as LSIL or HSIL indicate higher-risk lesions; even with negative HPV, colposcopic evaluation is needed to rule out high-grade lesions (similarity: 0.552 [expansion: 3 blocks, range: 58-60]).</w:t>
            </w:r>
          </w:p>
        </w:tc>
        <w:tc>
          <w:tcPr>
            <w:tcW w:w="1152" w:type="dxa"/>
            <w:vAlign w:val="center"/>
          </w:tcPr>
          <w:p w14:paraId="457E70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ACD8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08CE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9120B45" w14:textId="77777777">
        <w:tc>
          <w:tcPr>
            <w:tcW w:w="2160" w:type="dxa"/>
            <w:vAlign w:val="center"/>
          </w:tcPr>
          <w:p w14:paraId="02C70BC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91C6C8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If cytology and high-risk HPV co-testing show HPV negative and cytology result &gt;ASC-US (i.e., ≥ASC-H, LSIL, HSIL), the next step is direct referral for colposcopy, and colposcopy is required:  </w:t>
            </w:r>
            <w:r w:rsidRPr="00CB2EC4">
              <w:rPr>
                <w:rFonts w:ascii="Times New Roman" w:hAnsi="Times New Roman" w:cs="Times New Roman"/>
              </w:rPr>
              <w:br/>
              <w:t xml:space="preserve">- Direct referral for colposcopy: Document fragment 1 (Figure 2) and document fragment 3 (Cytology Abnormality Management Guidelines) clearly state that for high-grade abnormalities such as ASC-H, LSIL, HSIL, regardless of HPV status, direct referral for colposcopy is indicated. Document fragment 3 emphasizes that these abnormality types carry a high risk of CIN (e.g., HSIL has a 70%~75% probability of being diagnosed as ≥CIN II) and therefore must undergo colposcopic evaluation.  </w:t>
            </w:r>
            <w:r w:rsidRPr="00CB2EC4">
              <w:rPr>
                <w:rFonts w:ascii="Times New Roman" w:hAnsi="Times New Roman" w:cs="Times New Roman"/>
              </w:rPr>
              <w:br/>
              <w:t xml:space="preserve">- HPV status does not alter management: Document fragment 6 (Figure 3) primarily addresses cytology (-) and ASC-US scenarios but does not explicitly cover the combination of cytology &gt;ASC-US &amp; HPV negative. However, the general principle from document fragment 1 and fragment 3 is that cytology abnormalities such as ASC-H, LSIL, HSIL inherently indicate high risk and require colposcopic confirmation; a negative HPV result does not change this pathway.  </w:t>
            </w:r>
            <w:r w:rsidRPr="00CB2EC4">
              <w:rPr>
                <w:rFonts w:ascii="Times New Roman" w:hAnsi="Times New Roman" w:cs="Times New Roman"/>
              </w:rPr>
              <w:br/>
              <w:t xml:space="preserve">Evidence: Document fragment 1 (main text): “Patients with other abnormal types (ASC-H, LSIL, HSIL, AGC, and ASC-US patients after one-year follow-up): direct referral for colposcopy.” Document fragment 3 </w:t>
            </w:r>
            <w:r w:rsidRPr="00CB2EC4">
              <w:rPr>
                <w:rFonts w:ascii="Times New Roman" w:hAnsi="Times New Roman" w:cs="Times New Roman"/>
              </w:rPr>
              <w:lastRenderedPageBreak/>
              <w:t xml:space="preserve">(main text): “For cytological abnormalities of ASC-H, LSIL, HSIL, AGC, referral for colposcopy is indicated.” Document fragment 3 also provides risk data: “ASC-H cytological changes have features of HSIL, with a probability of being diagnosed as CIN II/III of 24%~94%; LSIL has a high-risk HPV positivity rate of 83%, with a probability of ≥CIN I of 10%~16%; HSIL has a probability of ≥CIN II of 70%~75%.”  </w:t>
            </w:r>
            <w:r w:rsidRPr="00CB2EC4">
              <w:rPr>
                <w:rFonts w:ascii="Times New Roman" w:hAnsi="Times New Roman" w:cs="Times New Roman"/>
              </w:rPr>
              <w:br/>
            </w:r>
            <w:r w:rsidRPr="00CB2EC4">
              <w:rPr>
                <w:rFonts w:ascii="Times New Roman" w:hAnsi="Times New Roman" w:cs="Times New Roman"/>
              </w:rPr>
              <w:br/>
              <w:t>Summary: The next step is direct referral for colposcopy, and colposcopy is required because high-grade cytological abnormalities themselves necessitate further assessment.</w:t>
            </w:r>
          </w:p>
        </w:tc>
        <w:tc>
          <w:tcPr>
            <w:tcW w:w="1152" w:type="dxa"/>
            <w:vAlign w:val="center"/>
          </w:tcPr>
          <w:p w14:paraId="427C1B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E2DB3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4736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B5B2B7" w14:textId="77777777">
        <w:tc>
          <w:tcPr>
            <w:tcW w:w="2160" w:type="dxa"/>
            <w:vAlign w:val="center"/>
          </w:tcPr>
          <w:p w14:paraId="14471742"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653F38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If cytology and high-risk HPV co-testing show HPV negative and cytology result &gt; ASC-US:  </w:t>
            </w:r>
            <w:r w:rsidRPr="00CB2EC4">
              <w:rPr>
                <w:rFonts w:ascii="Times New Roman" w:hAnsi="Times New Roman" w:cs="Times New Roman"/>
              </w:rPr>
              <w:br/>
              <w:t xml:space="preserve">→ Refer for colposcopy immediately.  </w:t>
            </w:r>
            <w:r w:rsidRPr="00CB2EC4">
              <w:rPr>
                <w:rFonts w:ascii="Times New Roman" w:hAnsi="Times New Roman" w:cs="Times New Roman"/>
              </w:rPr>
              <w:br/>
              <w:t xml:space="preserve">Yes, colposcopy is needed.  </w:t>
            </w:r>
            <w:r w:rsidRPr="00CB2EC4">
              <w:rPr>
                <w:rFonts w:ascii="Times New Roman" w:hAnsi="Times New Roman" w:cs="Times New Roman"/>
              </w:rPr>
              <w:br/>
            </w:r>
            <w:r w:rsidRPr="00CB2EC4">
              <w:rPr>
                <w:rFonts w:ascii="Times New Roman" w:hAnsi="Times New Roman" w:cs="Times New Roman"/>
              </w:rPr>
              <w:br/>
              <w:t xml:space="preserve">Specific evidence:  </w:t>
            </w:r>
            <w:r w:rsidRPr="00CB2EC4">
              <w:rPr>
                <w:rFonts w:ascii="Times New Roman" w:hAnsi="Times New Roman" w:cs="Times New Roman"/>
              </w:rPr>
              <w:br/>
              <w:t xml:space="preserve">- Fragment 1: "If co-testing shows HPV negative and cytology &gt; ASC-US: cytology result ≥ ASC-US (including ASC-US, LSIL, HSIL, etc.) → refer for colposcopy."  </w:t>
            </w:r>
            <w:r w:rsidRPr="00CB2EC4">
              <w:rPr>
                <w:rFonts w:ascii="Times New Roman" w:hAnsi="Times New Roman" w:cs="Times New Roman"/>
              </w:rPr>
              <w:br/>
              <w:t xml:space="preserve">  → "If co-testing shows HPV negative and cytology &gt; ASC-US: cytology result ≥ ASC-US (including ASC-US, LSIL, HSIL, etc.) → refer for colposcopy."  </w:t>
            </w:r>
            <w:r w:rsidRPr="00CB2EC4">
              <w:rPr>
                <w:rFonts w:ascii="Times New Roman" w:hAnsi="Times New Roman" w:cs="Times New Roman"/>
              </w:rPr>
              <w:br/>
              <w:t xml:space="preserve">- Fragment 2: "Cytology &gt; ASC-US (e.g., LSIL, HSIL) &amp; HPV (-) → refer immediately for colposcopy."  </w:t>
            </w:r>
            <w:r w:rsidRPr="00CB2EC4">
              <w:rPr>
                <w:rFonts w:ascii="Times New Roman" w:hAnsi="Times New Roman" w:cs="Times New Roman"/>
              </w:rPr>
              <w:br/>
              <w:t xml:space="preserve">  → "Cytology &gt; ASC-US (e.g., LSIL, HSIL) &amp; HPV (-) → refer immediately for colposcopy."  </w:t>
            </w:r>
            <w:r w:rsidRPr="00CB2EC4">
              <w:rPr>
                <w:rFonts w:ascii="Times New Roman" w:hAnsi="Times New Roman" w:cs="Times New Roman"/>
              </w:rPr>
              <w:br/>
              <w:t xml:space="preserve">- Fragment 4: In the table, HPV(-) and </w:t>
            </w:r>
            <w:r w:rsidRPr="00CB2EC4">
              <w:rPr>
                <w:rFonts w:ascii="Times New Roman" w:hAnsi="Times New Roman" w:cs="Times New Roman"/>
              </w:rPr>
              <w:lastRenderedPageBreak/>
              <w:t>cytology &gt;ASC-US → colposcopy.</w:t>
            </w:r>
          </w:p>
        </w:tc>
        <w:tc>
          <w:tcPr>
            <w:tcW w:w="1152" w:type="dxa"/>
            <w:vAlign w:val="center"/>
          </w:tcPr>
          <w:p w14:paraId="5DB15C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82358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03FA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BAE39B" w14:textId="77777777">
        <w:tc>
          <w:tcPr>
            <w:tcW w:w="2160" w:type="dxa"/>
            <w:vAlign w:val="center"/>
          </w:tcPr>
          <w:p w14:paraId="139602E8"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CFA2B62" w14:textId="77777777" w:rsidR="00922249" w:rsidRPr="00CB2EC4" w:rsidRDefault="003011D5">
            <w:pPr>
              <w:rPr>
                <w:rFonts w:ascii="Times New Roman" w:hAnsi="Times New Roman" w:cs="Times New Roman"/>
              </w:rPr>
            </w:pPr>
            <w:r w:rsidRPr="00CB2EC4">
              <w:rPr>
                <w:rFonts w:ascii="Times New Roman" w:hAnsi="Times New Roman" w:cs="Times New Roman"/>
              </w:rPr>
              <w:t>management of HPV-negative but cytology &gt; ASC-US (e.g., LSIL/HSIL)</w:t>
            </w:r>
            <w:r w:rsidRPr="00CB2EC4">
              <w:rPr>
                <w:rFonts w:ascii="Times New Roman" w:hAnsi="Times New Roman" w:cs="Times New Roman"/>
              </w:rPr>
              <w:br/>
            </w:r>
            <w:r w:rsidRPr="00CB2EC4">
              <w:rPr>
                <w:rFonts w:ascii="Times New Roman" w:hAnsi="Times New Roman" w:cs="Times New Roman"/>
              </w:rPr>
              <w:br/>
              <w:t>According to the document content (Figure 3 flowchart and Section 2.2.3):</w:t>
            </w:r>
            <w:r w:rsidRPr="00CB2EC4">
              <w:rPr>
                <w:rFonts w:ascii="Times New Roman" w:hAnsi="Times New Roman" w:cs="Times New Roman"/>
              </w:rPr>
              <w:br/>
            </w:r>
            <w:r w:rsidRPr="00CB2EC4">
              <w:rPr>
                <w:rFonts w:ascii="Times New Roman" w:hAnsi="Times New Roman" w:cs="Times New Roman"/>
              </w:rPr>
              <w:br/>
              <w:t>- → Immediate referral for colposcopy.</w:t>
            </w:r>
            <w:r w:rsidRPr="00CB2EC4">
              <w:rPr>
                <w:rFonts w:ascii="Times New Roman" w:hAnsi="Times New Roman" w:cs="Times New Roman"/>
              </w:rPr>
              <w:br/>
              <w:t>- → HPV result need not be considered: because high-grade cytological abnormalities (e.g., HSIL) themselves indicate a ≥CINⅡ risk of 70%~75%.</w:t>
            </w:r>
            <w:r w:rsidRPr="00CB2EC4">
              <w:rPr>
                <w:rFonts w:ascii="Times New Roman" w:hAnsi="Times New Roman" w:cs="Times New Roman"/>
              </w:rPr>
              <w:br/>
            </w:r>
            <w:r w:rsidRPr="00CB2EC4">
              <w:rPr>
                <w:rFonts w:ascii="Times New Roman" w:hAnsi="Times New Roman" w:cs="Times New Roman"/>
              </w:rPr>
              <w:br/>
              <w:t>&gt; Source: Knowledge base document Figure 3 flowchart (&gt;ASC-US branch) and Section 2.2.3 (HSIL carries an extremely high probability of CINⅡ+).</w:t>
            </w:r>
          </w:p>
        </w:tc>
        <w:tc>
          <w:tcPr>
            <w:tcW w:w="1152" w:type="dxa"/>
            <w:vAlign w:val="center"/>
          </w:tcPr>
          <w:p w14:paraId="245F5C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5EAF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8203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FD31AE" w14:textId="77777777">
        <w:tc>
          <w:tcPr>
            <w:tcW w:w="2160" w:type="dxa"/>
            <w:vAlign w:val="center"/>
          </w:tcPr>
          <w:p w14:paraId="5ABA96C3"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3368E6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cytology and high-risk HPV co-testing show HPV negative and cytology result &gt; ASC-US, the next step should be immediate referral for colposcopy.  </w:t>
            </w:r>
            <w:r w:rsidRPr="00CB2EC4">
              <w:rPr>
                <w:rFonts w:ascii="Times New Roman" w:hAnsi="Times New Roman" w:cs="Times New Roman"/>
              </w:rPr>
              <w:br/>
            </w:r>
            <w:r w:rsidRPr="00CB2EC4">
              <w:rPr>
                <w:rFonts w:ascii="Times New Roman" w:hAnsi="Times New Roman" w:cs="Times New Roman"/>
              </w:rPr>
              <w:br/>
              <w:t xml:space="preserve">According to document segment 3 (branch 3):  </w:t>
            </w:r>
            <w:r w:rsidRPr="00CB2EC4">
              <w:rPr>
                <w:rFonts w:ascii="Times New Roman" w:hAnsi="Times New Roman" w:cs="Times New Roman"/>
              </w:rPr>
              <w:br/>
              <w:t xml:space="preserve">- When cytology &gt; ASC-US (e.g., LSIL, HSIL, etc.) and HPV is negative, immediate referral for colposcopy is required.  </w:t>
            </w:r>
            <w:r w:rsidRPr="00CB2EC4">
              <w:rPr>
                <w:rFonts w:ascii="Times New Roman" w:hAnsi="Times New Roman" w:cs="Times New Roman"/>
              </w:rPr>
              <w:br/>
              <w:t xml:space="preserve">Document segment 2 (section 2.3.3) does not directly address this scenario, but the workflow in branch 3 explicitly mandates referral for colposcopy.  </w:t>
            </w:r>
            <w:r w:rsidRPr="00CB2EC4">
              <w:rPr>
                <w:rFonts w:ascii="Times New Roman" w:hAnsi="Times New Roman" w:cs="Times New Roman"/>
              </w:rPr>
              <w:br/>
              <w:t>Therefore, immediate referral for colposcopy is necessary; no waiting or repeat testing is required.</w:t>
            </w:r>
          </w:p>
        </w:tc>
        <w:tc>
          <w:tcPr>
            <w:tcW w:w="1152" w:type="dxa"/>
            <w:vAlign w:val="center"/>
          </w:tcPr>
          <w:p w14:paraId="1F02F8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0E32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BE98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3231CD" w14:textId="77777777">
        <w:tc>
          <w:tcPr>
            <w:tcW w:w="2160" w:type="dxa"/>
            <w:vAlign w:val="center"/>
          </w:tcPr>
          <w:p w14:paraId="3167D6E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7AC049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cytology and high-risk HPV co-testing show HPV negative and cytology result &gt; ASC-US, the next step should be:  </w:t>
            </w:r>
            <w:r w:rsidRPr="00CB2EC4">
              <w:rPr>
                <w:rFonts w:ascii="Times New Roman" w:hAnsi="Times New Roman" w:cs="Times New Roman"/>
              </w:rPr>
              <w:br/>
              <w:t xml:space="preserve">- Refer directly for colposcopy.  </w:t>
            </w:r>
            <w:r w:rsidRPr="00CB2EC4">
              <w:rPr>
                <w:rFonts w:ascii="Times New Roman" w:hAnsi="Times New Roman" w:cs="Times New Roman"/>
              </w:rPr>
              <w:br/>
              <w:t xml:space="preserve">Reason: According to source document 1 (Figure 2), </w:t>
            </w:r>
            <w:r w:rsidRPr="00CB2EC4">
              <w:rPr>
                <w:rFonts w:ascii="Times New Roman" w:hAnsi="Times New Roman" w:cs="Times New Roman"/>
              </w:rPr>
              <w:lastRenderedPageBreak/>
              <w:t>patients with other abnormal cytology types (such as ASC-H, LSIL, HSIL, AGC) should be referred directly for colposcopy regardless of HPV status. Source document 3 also supports this management, emphasizing that ASC-H, LSIL, HSIL, and other abnormal types should be referred for colposcopy. The context does not specify an exception for HPV-negative cases; therefore, colposcopy is required.</w:t>
            </w:r>
          </w:p>
        </w:tc>
        <w:tc>
          <w:tcPr>
            <w:tcW w:w="1152" w:type="dxa"/>
            <w:vAlign w:val="center"/>
          </w:tcPr>
          <w:p w14:paraId="1D3979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109A4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E813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37CEF0" w14:textId="77777777">
        <w:tc>
          <w:tcPr>
            <w:tcW w:w="2160" w:type="dxa"/>
            <w:vAlign w:val="center"/>
          </w:tcPr>
          <w:p w14:paraId="6BAD5F62"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531319A"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If co-testing (cytology and high-risk HPV) shows HPV negative and cytology result &gt; ASC-US (e.g., LSIL, HSIL), the next step should be:</w:t>
            </w:r>
            <w:r w:rsidRPr="00CB2EC4">
              <w:rPr>
                <w:rFonts w:ascii="Times New Roman" w:hAnsi="Times New Roman" w:cs="Times New Roman"/>
              </w:rPr>
              <w:br/>
            </w:r>
            <w:r w:rsidRPr="00CB2EC4">
              <w:rPr>
                <w:rFonts w:ascii="Times New Roman" w:hAnsi="Times New Roman" w:cs="Times New Roman"/>
              </w:rPr>
              <w:br/>
              <w:t>- Immediate referral for colposcopy: As explicitly stated in the flowchart (Figure 3), "Cytology &gt; ASC-US (e.g., LSIL, HSIL) &amp; HPV (-) → should be immediately referred for colposcopy" (see [HyDE similarity: 0.503] segment).</w:t>
            </w:r>
            <w:r w:rsidRPr="00CB2EC4">
              <w:rPr>
                <w:rFonts w:ascii="Times New Roman" w:hAnsi="Times New Roman" w:cs="Times New Roman"/>
              </w:rPr>
              <w:br/>
              <w:t>- Colposcopy is required: The document emphasizes that a cytology result &gt; ASC-US (such as LSIL or HSIL) even with negative HPV indicates elevated risk (e.g., LSIL has an 8–16% probability of ≥CIN I, HSIL 70–75%), thus necessitating histologic confirmation via colposcopy (see [HyDE similarity: 0.526] segment: "For cytologically abnormal ASC-H, LSIL, HSIL... all should be referred for colposcopy").</w:t>
            </w:r>
            <w:r w:rsidRPr="00CB2EC4">
              <w:rPr>
                <w:rFonts w:ascii="Times New Roman" w:hAnsi="Times New Roman" w:cs="Times New Roman"/>
              </w:rPr>
              <w:br/>
            </w:r>
            <w:r w:rsidRPr="00CB2EC4">
              <w:rPr>
                <w:rFonts w:ascii="Times New Roman" w:hAnsi="Times New Roman" w:cs="Times New Roman"/>
              </w:rPr>
              <w:br/>
              <w:t>In summary, colposcopy must be performed to rule out high-grade lesions.</w:t>
            </w:r>
          </w:p>
        </w:tc>
        <w:tc>
          <w:tcPr>
            <w:tcW w:w="1152" w:type="dxa"/>
            <w:vAlign w:val="center"/>
          </w:tcPr>
          <w:p w14:paraId="7B48DC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45C8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2270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6D7A6E" w14:textId="77777777">
        <w:tc>
          <w:tcPr>
            <w:tcW w:w="2160" w:type="dxa"/>
            <w:vAlign w:val="center"/>
          </w:tcPr>
          <w:p w14:paraId="450AA8AD"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4F5C65F" w14:textId="77777777" w:rsidR="00922249" w:rsidRPr="00CB2EC4" w:rsidRDefault="003011D5">
            <w:pPr>
              <w:rPr>
                <w:rFonts w:ascii="Times New Roman" w:hAnsi="Times New Roman" w:cs="Times New Roman"/>
              </w:rPr>
            </w:pPr>
            <w:r w:rsidRPr="00CB2EC4">
              <w:rPr>
                <w:rFonts w:ascii="Times New Roman" w:hAnsi="Times New Roman" w:cs="Times New Roman"/>
              </w:rPr>
              <w:t>if cytology and high-risk HPV co-testing show HPV negative and cytology result &gt; ASC-US, the next step should be:</w:t>
            </w:r>
            <w:r w:rsidRPr="00CB2EC4">
              <w:rPr>
                <w:rFonts w:ascii="Times New Roman" w:hAnsi="Times New Roman" w:cs="Times New Roman"/>
              </w:rPr>
              <w:br/>
            </w:r>
            <w:r w:rsidRPr="00CB2EC4">
              <w:rPr>
                <w:rFonts w:ascii="Times New Roman" w:hAnsi="Times New Roman" w:cs="Times New Roman"/>
              </w:rPr>
              <w:lastRenderedPageBreak/>
              <w:br/>
              <w:t>- Immediate referral for colposcopy: No intermediate steps are required; proceed directly to colposcopy to evaluate the lesion.</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r>
            <w:r w:rsidRPr="00CB2EC4">
              <w:rPr>
                <w:rFonts w:ascii="Times New Roman" w:hAnsi="Times New Roman" w:cs="Times New Roman"/>
              </w:rPr>
              <w:br/>
              <w:t>- Document fragment 5: "3. For cytology &gt; ASC-US (e.g., LSIL, HSIL, etc.) &amp; HPV (-), immediate referral for colposcopy is required."</w:t>
            </w:r>
            <w:r w:rsidRPr="00CB2EC4">
              <w:rPr>
                <w:rFonts w:ascii="Times New Roman" w:hAnsi="Times New Roman" w:cs="Times New Roman"/>
              </w:rPr>
              <w:br/>
              <w:t>- Document fragment 7 also mentions that abnormal cytology such as LSIL or HSIL requires referral for colposcopy; however, for the specific scenario of co-testing with HPV negative, document fragment 5 provides the direct answer.</w:t>
            </w:r>
          </w:p>
        </w:tc>
        <w:tc>
          <w:tcPr>
            <w:tcW w:w="1152" w:type="dxa"/>
            <w:vAlign w:val="center"/>
          </w:tcPr>
          <w:p w14:paraId="23C7F5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33DB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6CFE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7B29C0" w14:textId="77777777">
        <w:tc>
          <w:tcPr>
            <w:tcW w:w="2160" w:type="dxa"/>
            <w:vAlign w:val="center"/>
          </w:tcPr>
          <w:p w14:paraId="7FFE8B53"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333E649" w14:textId="77777777" w:rsidR="00922249" w:rsidRPr="00CB2EC4" w:rsidRDefault="003011D5">
            <w:pPr>
              <w:rPr>
                <w:rFonts w:ascii="Times New Roman" w:hAnsi="Times New Roman" w:cs="Times New Roman"/>
              </w:rPr>
            </w:pPr>
            <w:r w:rsidRPr="00CB2EC4">
              <w:rPr>
                <w:rFonts w:ascii="Times New Roman" w:hAnsi="Times New Roman" w:cs="Times New Roman"/>
              </w:rPr>
              <w:t>if cytology and high-risk HPV co-testing show HPV negative and cytology result &gt; ASC-US, what should be the next step? Is colposcopy needed?</w:t>
            </w:r>
            <w:r w:rsidRPr="00CB2EC4">
              <w:rPr>
                <w:rFonts w:ascii="Times New Roman" w:hAnsi="Times New Roman" w:cs="Times New Roman"/>
              </w:rPr>
              <w:br/>
            </w:r>
            <w:r w:rsidRPr="00CB2EC4">
              <w:rPr>
                <w:rFonts w:ascii="Times New Roman" w:hAnsi="Times New Roman" w:cs="Times New Roman"/>
              </w:rPr>
              <w:br/>
              <w:t>According to the document content (co-testing result management section):</w:t>
            </w:r>
            <w:r w:rsidRPr="00CB2EC4">
              <w:rPr>
                <w:rFonts w:ascii="Times New Roman" w:hAnsi="Times New Roman" w:cs="Times New Roman"/>
              </w:rPr>
              <w:br/>
            </w:r>
            <w:r w:rsidRPr="00CB2EC4">
              <w:rPr>
                <w:rFonts w:ascii="Times New Roman" w:hAnsi="Times New Roman" w:cs="Times New Roman"/>
              </w:rPr>
              <w:br/>
              <w:t>- When HPV is negative and cytology result &gt; ASC-US (such as LSIL, HSIL, etc.), the next step should be immediate referral for colposcopy.</w:t>
            </w:r>
            <w:r w:rsidRPr="00CB2EC4">
              <w:rPr>
                <w:rFonts w:ascii="Times New Roman" w:hAnsi="Times New Roman" w:cs="Times New Roman"/>
              </w:rPr>
              <w:br/>
              <w:t>- Colposcopy is needed.</w:t>
            </w:r>
            <w:r w:rsidRPr="00CB2EC4">
              <w:rPr>
                <w:rFonts w:ascii="Times New Roman" w:hAnsi="Times New Roman" w:cs="Times New Roman"/>
              </w:rPr>
              <w:br/>
              <w:t xml:space="preserve">  The document explicitly states: "Cytology &gt; ASC-US (e.g., LSIL, HSIL) &amp; HPV (-) → immediate referral for colposcopy" (from the third document excerpt). Furthermore, the document emphasizes that such cases carry higher risk and must undergo colposcopic evaluation. Therefore, colposcopy is required.</w:t>
            </w:r>
          </w:p>
        </w:tc>
        <w:tc>
          <w:tcPr>
            <w:tcW w:w="1152" w:type="dxa"/>
            <w:vAlign w:val="center"/>
          </w:tcPr>
          <w:p w14:paraId="591677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F45D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ABEB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36FFD9" w14:textId="77777777">
        <w:tc>
          <w:tcPr>
            <w:tcW w:w="2160" w:type="dxa"/>
            <w:vAlign w:val="center"/>
          </w:tcPr>
          <w:p w14:paraId="77FD6F4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50A40B41" w14:textId="77777777" w:rsidR="00922249" w:rsidRPr="00CB2EC4" w:rsidRDefault="003011D5">
            <w:pPr>
              <w:rPr>
                <w:rFonts w:ascii="Times New Roman" w:hAnsi="Times New Roman" w:cs="Times New Roman"/>
              </w:rPr>
            </w:pPr>
            <w:r w:rsidRPr="00CB2EC4">
              <w:rPr>
                <w:rFonts w:ascii="Times New Roman" w:hAnsi="Times New Roman" w:cs="Times New Roman"/>
              </w:rPr>
              <w:t>no. if cytology is &gt;ASC-US (e.g., LSIL, HSIL) and high-risk HPV is negative, immediate referral for colposcopy is required. no intermediate steps are needed; proceed directly to colposcopic evaluation.</w:t>
            </w:r>
            <w:r w:rsidRPr="00CB2EC4">
              <w:rPr>
                <w:rFonts w:ascii="Times New Roman" w:hAnsi="Times New Roman" w:cs="Times New Roman"/>
              </w:rPr>
              <w:br/>
            </w:r>
            <w:r w:rsidRPr="00CB2EC4">
              <w:rPr>
                <w:rFonts w:ascii="Times New Roman" w:hAnsi="Times New Roman" w:cs="Times New Roman"/>
              </w:rPr>
              <w:br/>
              <w:t xml:space="preserve">based on document fragment 5 (similarity 0.546):  </w:t>
            </w:r>
            <w:r w:rsidRPr="00CB2EC4">
              <w:rPr>
                <w:rFonts w:ascii="Times New Roman" w:hAnsi="Times New Roman" w:cs="Times New Roman"/>
              </w:rPr>
              <w:br/>
              <w:t xml:space="preserve">- "3. Cytology &gt; ASC-US (e.g., LSIL, HSIL) &amp; HPV (-) requires immediate referral for colposcopy"  </w:t>
            </w:r>
            <w:r w:rsidRPr="00CB2EC4">
              <w:rPr>
                <w:rFonts w:ascii="Times New Roman" w:hAnsi="Times New Roman" w:cs="Times New Roman"/>
              </w:rPr>
              <w:br/>
              <w:t>→ "if cytology &gt; ASC-US (e.g., LSIL, HSIL) &amp; HPV (-), refer immediately for colposcopy"</w:t>
            </w:r>
            <w:r w:rsidRPr="00CB2EC4">
              <w:rPr>
                <w:rFonts w:ascii="Times New Roman" w:hAnsi="Times New Roman" w:cs="Times New Roman"/>
              </w:rPr>
              <w:br/>
            </w:r>
            <w:r w:rsidRPr="00CB2EC4">
              <w:rPr>
                <w:rFonts w:ascii="Times New Roman" w:hAnsi="Times New Roman" w:cs="Times New Roman"/>
              </w:rPr>
              <w:br/>
              <w:t>document fragment 7 supports colposcopy referral for abnormal cytology (e.g., LSIL, HSIL), and fragment 5 specifically addresses the HPV-negative scenario, confirming direct colposcopy is indicated.</w:t>
            </w:r>
          </w:p>
        </w:tc>
        <w:tc>
          <w:tcPr>
            <w:tcW w:w="1152" w:type="dxa"/>
            <w:vAlign w:val="center"/>
          </w:tcPr>
          <w:p w14:paraId="4050A9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18890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2435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A9E52D" w14:textId="77777777">
        <w:tc>
          <w:tcPr>
            <w:tcW w:w="2160" w:type="dxa"/>
            <w:vAlign w:val="center"/>
          </w:tcPr>
          <w:p w14:paraId="18020DBD"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1D5C05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If cotesting (cytology and high-risk HPV) shows HPV negative and cytology result &gt; ASC-US (e.g., LSIL, HSIL), the next step is immediate referral for colposcopy.  </w:t>
            </w:r>
            <w:r w:rsidRPr="00CB2EC4">
              <w:rPr>
                <w:rFonts w:ascii="Times New Roman" w:hAnsi="Times New Roman" w:cs="Times New Roman"/>
              </w:rPr>
              <w:br/>
              <w:t xml:space="preserve">Colposcopy is required to evaluate for potential high-grade lesions.  </w:t>
            </w:r>
            <w:r w:rsidRPr="00CB2EC4">
              <w:rPr>
                <w:rFonts w:ascii="Times New Roman" w:hAnsi="Times New Roman" w:cs="Times New Roman"/>
              </w:rPr>
              <w:br/>
            </w:r>
            <w:r w:rsidRPr="00CB2EC4">
              <w:rPr>
                <w:rFonts w:ascii="Times New Roman" w:hAnsi="Times New Roman" w:cs="Times New Roman"/>
              </w:rPr>
              <w:br/>
              <w:t xml:space="preserve">Document reference: [Similarity: 0.457]  </w:t>
            </w:r>
            <w:r w:rsidRPr="00CB2EC4">
              <w:rPr>
                <w:rFonts w:ascii="Times New Roman" w:hAnsi="Times New Roman" w:cs="Times New Roman"/>
              </w:rPr>
              <w:br/>
              <w:t>The fragment explicitly states: "For cytology &gt; ASC-US (e.g., LSIL, HSIL) &amp; HPV (-), immediate referral for colposcopy is required." Therefore, colposcopy is needed.</w:t>
            </w:r>
          </w:p>
        </w:tc>
        <w:tc>
          <w:tcPr>
            <w:tcW w:w="1152" w:type="dxa"/>
            <w:vAlign w:val="center"/>
          </w:tcPr>
          <w:p w14:paraId="204071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4814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4B52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06C97F" w14:textId="77777777">
        <w:tc>
          <w:tcPr>
            <w:tcW w:w="2160" w:type="dxa"/>
            <w:vAlign w:val="center"/>
          </w:tcPr>
          <w:p w14:paraId="7BC9CAE8"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77A2523" w14:textId="77777777" w:rsidR="00922249" w:rsidRPr="00CB2EC4" w:rsidRDefault="003011D5">
            <w:pPr>
              <w:rPr>
                <w:rFonts w:ascii="Times New Roman" w:hAnsi="Times New Roman" w:cs="Times New Roman"/>
              </w:rPr>
            </w:pPr>
            <w:r w:rsidRPr="00CB2EC4">
              <w:rPr>
                <w:rFonts w:ascii="Times New Roman" w:hAnsi="Times New Roman" w:cs="Times New Roman"/>
              </w:rPr>
              <w:t>if cytology and high-risk HPV co-testing show HPV negative and cytology result &gt; ASC-US, the next step should be:</w:t>
            </w:r>
            <w:r w:rsidRPr="00CB2EC4">
              <w:rPr>
                <w:rFonts w:ascii="Times New Roman" w:hAnsi="Times New Roman" w:cs="Times New Roman"/>
              </w:rPr>
              <w:br/>
              <w:t xml:space="preserve">- Immediate referral for colposcopy: regardless of HPV status, a cytology result &gt; ASC-US (e.g., LSIL, </w:t>
            </w:r>
            <w:r w:rsidRPr="00CB2EC4">
              <w:rPr>
                <w:rFonts w:ascii="Times New Roman" w:hAnsi="Times New Roman" w:cs="Times New Roman"/>
              </w:rPr>
              <w:lastRenderedPageBreak/>
              <w:t>HSIL) indicates high risk and mandates colposcopic evaluation.</w:t>
            </w:r>
            <w:r w:rsidRPr="00CB2EC4">
              <w:rPr>
                <w:rFonts w:ascii="Times New Roman" w:hAnsi="Times New Roman" w:cs="Times New Roman"/>
              </w:rPr>
              <w:br/>
              <w:t>- Colposcopy is required: it is essential because even with HPV negative, high-grade cytological abnormalities suggest potential high-grade squamous intraepithelial lesion (HSIL) or cancer risk.</w:t>
            </w:r>
            <w:r w:rsidRPr="00CB2EC4">
              <w:rPr>
                <w:rFonts w:ascii="Times New Roman" w:hAnsi="Times New Roman" w:cs="Times New Roman"/>
              </w:rPr>
              <w:br/>
            </w:r>
            <w:r w:rsidRPr="00CB2EC4">
              <w:rPr>
                <w:rFonts w:ascii="Times New Roman" w:hAnsi="Times New Roman" w:cs="Times New Roman"/>
              </w:rPr>
              <w:br/>
              <w:t>this conclusion is based on document fragment 5 (test result branching) and document fragment 3 (management flow), which explicitly state that colposcopy referral is indicated when cytology &gt; ASC-US and HPV is negative. no exceptions or alternative approaches are mentioned in the knowledge base.</w:t>
            </w:r>
          </w:p>
        </w:tc>
        <w:tc>
          <w:tcPr>
            <w:tcW w:w="1152" w:type="dxa"/>
            <w:vAlign w:val="center"/>
          </w:tcPr>
          <w:p w14:paraId="73EF77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4B9BE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BDA2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2A11CD" w14:textId="77777777">
        <w:tc>
          <w:tcPr>
            <w:tcW w:w="2160" w:type="dxa"/>
            <w:vAlign w:val="center"/>
          </w:tcPr>
          <w:p w14:paraId="116CC8D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5624A7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If co-testing (cytology and high-risk HPV) shows HPV negative and cytology result &gt; ASC-US (e.g., LSIL, HSIL), the next step should be:  </w:t>
            </w:r>
            <w:r w:rsidRPr="00CB2EC4">
              <w:rPr>
                <w:rFonts w:ascii="Times New Roman" w:hAnsi="Times New Roman" w:cs="Times New Roman"/>
              </w:rPr>
              <w:br/>
              <w:t xml:space="preserve">- Immediate referral for colposcopy: No intermediate steps are required.  </w:t>
            </w:r>
            <w:r w:rsidRPr="00CB2EC4">
              <w:rPr>
                <w:rFonts w:ascii="Times New Roman" w:hAnsi="Times New Roman" w:cs="Times New Roman"/>
              </w:rPr>
              <w:br/>
              <w:t xml:space="preserve">- Is colposcopy needed?: Yes, colposcopy must be performed.  </w:t>
            </w:r>
            <w:r w:rsidRPr="00CB2EC4">
              <w:rPr>
                <w:rFonts w:ascii="Times New Roman" w:hAnsi="Times New Roman" w:cs="Times New Roman"/>
              </w:rPr>
              <w:br/>
              <w:t xml:space="preserve">  Reason: Figure 3 in Segment 1 explicitly states “Cytology &gt; ASC-US &amp; HPV (−) → Immediate referral for colposcopy.” Segment 2 supports this, indicating “For HSIL, the probability of being diagnosed ≥ CIN II is high, and referral for colposcopy is indicated.” No exceptions are listed in the context.</w:t>
            </w:r>
          </w:p>
        </w:tc>
        <w:tc>
          <w:tcPr>
            <w:tcW w:w="1152" w:type="dxa"/>
            <w:vAlign w:val="center"/>
          </w:tcPr>
          <w:p w14:paraId="76D031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F91C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ED944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F24BDD" w14:textId="77777777">
        <w:tc>
          <w:tcPr>
            <w:tcW w:w="2160" w:type="dxa"/>
            <w:vAlign w:val="center"/>
          </w:tcPr>
          <w:p w14:paraId="28F9CC5A"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2215B3C"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If cytology and high-risk HPV co-testing show HPV negative and cytology result &gt; ASC-US, the next step </w:t>
            </w:r>
            <w:r w:rsidRPr="00CB2EC4">
              <w:rPr>
                <w:rFonts w:ascii="Times New Roman" w:hAnsi="Times New Roman" w:cs="Times New Roman"/>
              </w:rPr>
              <w:lastRenderedPageBreak/>
              <w:t>should be: colposcopy is required.</w:t>
            </w:r>
            <w:r w:rsidRPr="00CB2EC4">
              <w:rPr>
                <w:rFonts w:ascii="Times New Roman" w:hAnsi="Times New Roman" w:cs="Times New Roman"/>
              </w:rPr>
              <w:br/>
            </w:r>
            <w:r w:rsidRPr="00CB2EC4">
              <w:rPr>
                <w:rFonts w:ascii="Times New Roman" w:hAnsi="Times New Roman" w:cs="Times New Roman"/>
              </w:rPr>
              <w:br/>
              <w:t>Cytology results &gt; ASC-US (including ASC-H, LSIL, HSIL, etc.) are considered high-risk abnormalities even with negative HPV. The next step must be colposcopy, as abnormal cytology itself indicates a risk of underlying high-grade lesions. Colposcopy is mandatory; no additional tests are needed prior to colposcopy.</w:t>
            </w:r>
          </w:p>
        </w:tc>
        <w:tc>
          <w:tcPr>
            <w:tcW w:w="1152" w:type="dxa"/>
            <w:vAlign w:val="center"/>
          </w:tcPr>
          <w:p w14:paraId="24B5CB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D52FB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8511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64817B" w14:textId="77777777">
        <w:tc>
          <w:tcPr>
            <w:tcW w:w="10656" w:type="dxa"/>
            <w:gridSpan w:val="5"/>
            <w:tcBorders>
              <w:bottom w:val="single" w:sz="6" w:space="0" w:color="auto"/>
            </w:tcBorders>
            <w:vAlign w:val="center"/>
          </w:tcPr>
          <w:p w14:paraId="645531CD"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15: In cervical cancer detection, if joint testing of cytology and high-risk HPV shows HPV-positive and the cytological result is ≥ASC-US, what specific examinations should follow?</w:t>
            </w:r>
          </w:p>
        </w:tc>
      </w:tr>
      <w:tr w:rsidR="00922249" w:rsidRPr="00CB2EC4" w14:paraId="3F9A7D5D" w14:textId="77777777">
        <w:tc>
          <w:tcPr>
            <w:tcW w:w="2160" w:type="dxa"/>
            <w:vAlign w:val="center"/>
          </w:tcPr>
          <w:p w14:paraId="31C816C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41E10D4"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co-testing (cytology and high-risk HPV) shows HPV positive and cytology results ≥ ASC-US, the following specific examinations should be performed:</w:t>
            </w:r>
            <w:r w:rsidRPr="00CB2EC4">
              <w:rPr>
                <w:rFonts w:ascii="Times New Roman" w:hAnsi="Times New Roman" w:cs="Times New Roman"/>
              </w:rPr>
              <w:br/>
            </w:r>
            <w:r w:rsidRPr="00CB2EC4">
              <w:rPr>
                <w:rFonts w:ascii="Times New Roman" w:hAnsi="Times New Roman" w:cs="Times New Roman"/>
              </w:rPr>
              <w:br/>
              <w:t>- Perform HPV genotyping.</w:t>
            </w:r>
            <w:r w:rsidRPr="00CB2EC4">
              <w:rPr>
                <w:rFonts w:ascii="Times New Roman" w:hAnsi="Times New Roman" w:cs="Times New Roman"/>
              </w:rPr>
              <w:br/>
              <w:t>- Based on the genotyping results, proceed as follows:</w:t>
            </w:r>
            <w:r w:rsidRPr="00CB2EC4">
              <w:rPr>
                <w:rFonts w:ascii="Times New Roman" w:hAnsi="Times New Roman" w:cs="Times New Roman"/>
              </w:rPr>
              <w:br/>
              <w:t xml:space="preserve">  - If HPV genotyping is positive for HPV16/18: → Refer immediately for colposcopy.</w:t>
            </w:r>
            <w:r w:rsidRPr="00CB2EC4">
              <w:rPr>
                <w:rFonts w:ascii="Times New Roman" w:hAnsi="Times New Roman" w:cs="Times New Roman"/>
              </w:rPr>
              <w:br/>
              <w:t xml:space="preserve">  - If HPV genotyping is negative for HPV16/18 but positive for the other 12 high-risk HPV types: → Recommend repeat co-testing (cytology + HPV) after 1 year.</w:t>
            </w:r>
            <w:r w:rsidRPr="00CB2EC4">
              <w:rPr>
                <w:rFonts w:ascii="Times New Roman" w:hAnsi="Times New Roman" w:cs="Times New Roman"/>
              </w:rPr>
              <w:br/>
              <w:t xml:space="preserve">  - If HPV genotyping is not performed and HPV testing is positive: → Refer directly for colposcopy.</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t xml:space="preserve">- According to the flowchart in Figure 3 of the document: "5. Cytology ≥ ASC-US &amp; HPV (+) → Further triage based on HPV genotyping results: - If HPV genotyping is positive: * HPV16/18 positive → Refer immediately for colposcopy * HPV16/18 </w:t>
            </w:r>
            <w:r w:rsidRPr="00CB2EC4">
              <w:rPr>
                <w:rFonts w:ascii="Times New Roman" w:hAnsi="Times New Roman" w:cs="Times New Roman"/>
              </w:rPr>
              <w:lastRenderedPageBreak/>
              <w:t>negative but other 12 high-risk HPV positive → Follow-up in 1 year - If HPV genotyping is not performed and HPV is positive → Refer directly for colposcopy" (Similarity: 0.627 [Extension: 2 blocks, Range: 0-1]).</w:t>
            </w:r>
            <w:r w:rsidRPr="00CB2EC4">
              <w:rPr>
                <w:rFonts w:ascii="Times New Roman" w:hAnsi="Times New Roman" w:cs="Times New Roman"/>
              </w:rPr>
              <w:br/>
              <w:t>- The document also indicates that HPV16/18 positive carries a higher risk and requires immediate intervention; other types can be followed up annually (Similarity: 0.471 [Extension: 3 blocks, Range: 59-61]).</w:t>
            </w:r>
            <w:r w:rsidRPr="00CB2EC4">
              <w:rPr>
                <w:rFonts w:ascii="Times New Roman" w:hAnsi="Times New Roman" w:cs="Times New Roman"/>
              </w:rPr>
              <w:br/>
            </w:r>
            <w:r w:rsidRPr="00CB2EC4">
              <w:rPr>
                <w:rFonts w:ascii="Times New Roman" w:hAnsi="Times New Roman" w:cs="Times New Roman"/>
              </w:rPr>
              <w:br/>
              <w:t>All responses are based on the specific flowcharts and textual descriptions in the document. The document covers the management procedures for these scenarios; therefore, there is no "answer not found" situation. If more details or diagram references are needed, please provide further instructions.</w:t>
            </w:r>
          </w:p>
        </w:tc>
        <w:tc>
          <w:tcPr>
            <w:tcW w:w="1152" w:type="dxa"/>
            <w:vAlign w:val="center"/>
          </w:tcPr>
          <w:p w14:paraId="707874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81EEF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CE1F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93AB23" w14:textId="77777777">
        <w:tc>
          <w:tcPr>
            <w:tcW w:w="2160" w:type="dxa"/>
            <w:vAlign w:val="center"/>
          </w:tcPr>
          <w:p w14:paraId="24C81DC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C2BD9C0"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result ≥ ASC-US, the specific follow-up examination depends on HPV genotyping results:</w:t>
            </w:r>
            <w:r w:rsidRPr="00CB2EC4">
              <w:rPr>
                <w:rFonts w:ascii="Times New Roman" w:hAnsi="Times New Roman" w:cs="Times New Roman"/>
              </w:rPr>
              <w:br/>
              <w:t>- If HPV genotyping is positive for HPV16/18: refer immediately for colposcopy.</w:t>
            </w:r>
            <w:r w:rsidRPr="00CB2EC4">
              <w:rPr>
                <w:rFonts w:ascii="Times New Roman" w:hAnsi="Times New Roman" w:cs="Times New Roman"/>
              </w:rPr>
              <w:br/>
              <w:t>- If HPV genotyping is negative for HPV16/18 but positive for other 12 types: recommend repeat co-testing (cytology + HPV) in 1 year.</w:t>
            </w:r>
            <w:r w:rsidRPr="00CB2EC4">
              <w:rPr>
                <w:rFonts w:ascii="Times New Roman" w:hAnsi="Times New Roman" w:cs="Times New Roman"/>
              </w:rPr>
              <w:br/>
              <w:t>- If HPV genotyping was not performed (HPV untyped): refer directly for colposcopy.</w:t>
            </w:r>
            <w:r w:rsidRPr="00CB2EC4">
              <w:rPr>
                <w:rFonts w:ascii="Times New Roman" w:hAnsi="Times New Roman" w:cs="Times New Roman"/>
              </w:rPr>
              <w:br/>
            </w:r>
            <w:r w:rsidRPr="00CB2EC4">
              <w:rPr>
                <w:rFonts w:ascii="Times New Roman" w:hAnsi="Times New Roman" w:cs="Times New Roman"/>
              </w:rPr>
              <w:br/>
              <w:t xml:space="preserve">Basis: Document segment 6 (Figure 3) details this workflow: "Cytology (ASC-US) &amp; HPV (+) then further triage based on HPV genotyping results: HPV genotyping (+): HPV16/18 (+) → immediate referral for colposcopy; HPV16/18 (-) but other 12 types (+) </w:t>
            </w:r>
            <w:r w:rsidRPr="00CB2EC4">
              <w:rPr>
                <w:rFonts w:ascii="Times New Roman" w:hAnsi="Times New Roman" w:cs="Times New Roman"/>
              </w:rPr>
              <w:lastRenderedPageBreak/>
              <w:t>→ 1-year follow-up; HPV untyped (+) → direct referral for colposcopy." Document segment 2 (section 2.3.2) adds: "HPV positive / ASC-US has a 5-year CIN III+ cumulative risk of 6.8%, higher than that of LSIL; based on equal risk equal management, supports direct referral for colposcopy," though genotyping refinement is more fully described in segment 6.</w:t>
            </w:r>
            <w:r w:rsidRPr="00CB2EC4">
              <w:rPr>
                <w:rFonts w:ascii="Times New Roman" w:hAnsi="Times New Roman" w:cs="Times New Roman"/>
              </w:rPr>
              <w:br/>
            </w:r>
            <w:r w:rsidRPr="00CB2EC4">
              <w:rPr>
                <w:rFonts w:ascii="Times New Roman" w:hAnsi="Times New Roman" w:cs="Times New Roman"/>
              </w:rPr>
              <w:br/>
              <w:t>Summary: The specific examination pathway is based on HPV genotyping: HPV16/18 positive → immediate colposcopy; other 12 types positive → 1-year follow-up; untyped → direct colposcopy. This ensures timely intervention for high-risk patients (e.g., HPV16/18 positive).</w:t>
            </w:r>
          </w:p>
        </w:tc>
        <w:tc>
          <w:tcPr>
            <w:tcW w:w="1152" w:type="dxa"/>
            <w:vAlign w:val="center"/>
          </w:tcPr>
          <w:p w14:paraId="294D6E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AA420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7A22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A63646" w14:textId="77777777">
        <w:tc>
          <w:tcPr>
            <w:tcW w:w="2160" w:type="dxa"/>
            <w:vAlign w:val="center"/>
          </w:tcPr>
          <w:p w14:paraId="11194EE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2F5EBE9"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result ≥ ASC-US, the following specific examinations should be performed:</w:t>
            </w:r>
            <w:r w:rsidRPr="00CB2EC4">
              <w:rPr>
                <w:rFonts w:ascii="Times New Roman" w:hAnsi="Times New Roman" w:cs="Times New Roman"/>
              </w:rPr>
              <w:br/>
            </w:r>
            <w:r w:rsidRPr="00CB2EC4">
              <w:rPr>
                <w:rFonts w:ascii="Times New Roman" w:hAnsi="Times New Roman" w:cs="Times New Roman"/>
              </w:rPr>
              <w:br/>
              <w:t>according to document fragment 1 (relevance: 0.900) and document fragment 2 (relevance: 0.800), HPV genotyping testing should be conducted first, and subsequent management determined based on genotyping results:</w:t>
            </w:r>
            <w:r w:rsidRPr="00CB2EC4">
              <w:rPr>
                <w:rFonts w:ascii="Times New Roman" w:hAnsi="Times New Roman" w:cs="Times New Roman"/>
              </w:rPr>
              <w:br/>
            </w:r>
            <w:r w:rsidRPr="00CB2EC4">
              <w:rPr>
                <w:rFonts w:ascii="Times New Roman" w:hAnsi="Times New Roman" w:cs="Times New Roman"/>
              </w:rPr>
              <w:br/>
              <w:t>- if HPV genotyping testing shows HPV16/18 positive: refer immediately for colposcopy.</w:t>
            </w:r>
            <w:r w:rsidRPr="00CB2EC4">
              <w:rPr>
                <w:rFonts w:ascii="Times New Roman" w:hAnsi="Times New Roman" w:cs="Times New Roman"/>
              </w:rPr>
              <w:br/>
              <w:t>- if HPV genotyping testing shows HPV16/18 negative but positive for other 12 high-risk HPV types: repeat co-testing (cytology and high-risk HPV) in 1 year.</w:t>
            </w:r>
            <w:r w:rsidRPr="00CB2EC4">
              <w:rPr>
                <w:rFonts w:ascii="Times New Roman" w:hAnsi="Times New Roman" w:cs="Times New Roman"/>
              </w:rPr>
              <w:br/>
              <w:t>- if HPV genotyping was not performed (i.e., untyped HPV positive): refer directly for colposcopy.</w:t>
            </w:r>
            <w:r w:rsidRPr="00CB2EC4">
              <w:rPr>
                <w:rFonts w:ascii="Times New Roman" w:hAnsi="Times New Roman" w:cs="Times New Roman"/>
              </w:rPr>
              <w:br/>
            </w:r>
            <w:r w:rsidRPr="00CB2EC4">
              <w:rPr>
                <w:rFonts w:ascii="Times New Roman" w:hAnsi="Times New Roman" w:cs="Times New Roman"/>
              </w:rPr>
              <w:lastRenderedPageBreak/>
              <w:br/>
              <w:t>specific basis:</w:t>
            </w:r>
            <w:r w:rsidRPr="00CB2EC4">
              <w:rPr>
                <w:rFonts w:ascii="Times New Roman" w:hAnsi="Times New Roman" w:cs="Times New Roman"/>
              </w:rPr>
              <w:br/>
              <w:t>- fragment 1: "if cytology and high-risk HPV co-testing show HPV positive and cytology result ≥ ASC-US: HPV genotyping pathway: HPV16/18 positive → refer immediately for colposcopy; HPV16/18 negative or other 12 types positive → perform cervical cytology testing; cytology pathway: cytology result ≥ ASC-US → refer for colposcopy." (note: performing cervical cytology testing is stated, but since cytology is already ≥ ASC-US, direct referral for colposcopy may apply; fragment 2 clarifies 1-year follow-up).</w:t>
            </w:r>
            <w:r w:rsidRPr="00CB2EC4">
              <w:rPr>
                <w:rFonts w:ascii="Times New Roman" w:hAnsi="Times New Roman" w:cs="Times New Roman"/>
              </w:rPr>
              <w:br/>
              <w:t>- fragment 2: "cytology ≥ ASC-US &amp; HPV (+) should undergo further triage (based on HPV genotyping results): if HPV genotyping positive: HPV16/18 positive → refer immediately for colposcopy; HPV16/18 negative but other 12 high-risk HPV types positive → 1-year follow-up; if HPV untyped positive: refer directly for colposcopy."</w:t>
            </w:r>
          </w:p>
        </w:tc>
        <w:tc>
          <w:tcPr>
            <w:tcW w:w="1152" w:type="dxa"/>
            <w:vAlign w:val="center"/>
          </w:tcPr>
          <w:p w14:paraId="7F680F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61E00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80B46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8B9FDD" w14:textId="77777777">
        <w:tc>
          <w:tcPr>
            <w:tcW w:w="2160" w:type="dxa"/>
            <w:vAlign w:val="center"/>
          </w:tcPr>
          <w:p w14:paraId="5A7D054D"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9414E11" w14:textId="77777777" w:rsidR="00922249" w:rsidRPr="00CB2EC4" w:rsidRDefault="003011D5">
            <w:pPr>
              <w:rPr>
                <w:rFonts w:ascii="Times New Roman" w:hAnsi="Times New Roman" w:cs="Times New Roman"/>
              </w:rPr>
            </w:pPr>
            <w:r w:rsidRPr="00CB2EC4">
              <w:rPr>
                <w:rFonts w:ascii="Times New Roman" w:hAnsi="Times New Roman" w:cs="Times New Roman"/>
              </w:rPr>
              <w:t>management of hpv-positive and cytology ≥ asc-us</w:t>
            </w:r>
            <w:r w:rsidRPr="00CB2EC4">
              <w:rPr>
                <w:rFonts w:ascii="Times New Roman" w:hAnsi="Times New Roman" w:cs="Times New Roman"/>
              </w:rPr>
              <w:br/>
            </w:r>
            <w:r w:rsidRPr="00CB2EC4">
              <w:rPr>
                <w:rFonts w:ascii="Times New Roman" w:hAnsi="Times New Roman" w:cs="Times New Roman"/>
              </w:rPr>
              <w:br/>
              <w:t>based on the document content (figure 3 flowchart and section 2.3.3):</w:t>
            </w:r>
            <w:r w:rsidRPr="00CB2EC4">
              <w:rPr>
                <w:rFonts w:ascii="Times New Roman" w:hAnsi="Times New Roman" w:cs="Times New Roman"/>
              </w:rPr>
              <w:br/>
            </w:r>
            <w:r w:rsidRPr="00CB2EC4">
              <w:rPr>
                <w:rFonts w:ascii="Times New Roman" w:hAnsi="Times New Roman" w:cs="Times New Roman"/>
              </w:rPr>
              <w:br/>
              <w:t>- further triage according to hpv genotyping:</w:t>
            </w:r>
            <w:r w:rsidRPr="00CB2EC4">
              <w:rPr>
                <w:rFonts w:ascii="Times New Roman" w:hAnsi="Times New Roman" w:cs="Times New Roman"/>
              </w:rPr>
              <w:br/>
              <w:t xml:space="preserve">  - hpv16/18 positive → immediate referral to colposcopy</w:t>
            </w:r>
            <w:r w:rsidRPr="00CB2EC4">
              <w:rPr>
                <w:rFonts w:ascii="Times New Roman" w:hAnsi="Times New Roman" w:cs="Times New Roman"/>
              </w:rPr>
              <w:br/>
              <w:t xml:space="preserve">  - other 12 high-risk hpv types positive → combined follow-up (cytology + hpv) after 1 year</w:t>
            </w:r>
            <w:r w:rsidRPr="00CB2EC4">
              <w:rPr>
                <w:rFonts w:ascii="Times New Roman" w:hAnsi="Times New Roman" w:cs="Times New Roman"/>
              </w:rPr>
              <w:br/>
              <w:t xml:space="preserve">  - hpv positive without genotyping → direct referral to colposcopy</w:t>
            </w:r>
            <w:r w:rsidRPr="00CB2EC4">
              <w:rPr>
                <w:rFonts w:ascii="Times New Roman" w:hAnsi="Times New Roman" w:cs="Times New Roman"/>
              </w:rPr>
              <w:br/>
            </w:r>
            <w:r w:rsidRPr="00CB2EC4">
              <w:rPr>
                <w:rFonts w:ascii="Times New Roman" w:hAnsi="Times New Roman" w:cs="Times New Roman"/>
              </w:rPr>
              <w:br/>
              <w:t xml:space="preserve">&gt; source: knowledge base document figure 3 </w:t>
            </w:r>
            <w:r w:rsidRPr="00CB2EC4">
              <w:rPr>
                <w:rFonts w:ascii="Times New Roman" w:hAnsi="Times New Roman" w:cs="Times New Roman"/>
              </w:rPr>
              <w:lastRenderedPageBreak/>
              <w:t>flowchart and section 2.3.3 (emphasizing the current status of hpv testing in china requires management combined with genotyping results).</w:t>
            </w:r>
          </w:p>
        </w:tc>
        <w:tc>
          <w:tcPr>
            <w:tcW w:w="1152" w:type="dxa"/>
            <w:vAlign w:val="center"/>
          </w:tcPr>
          <w:p w14:paraId="295C95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E5F9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9B57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9B8F38" w14:textId="77777777">
        <w:tc>
          <w:tcPr>
            <w:tcW w:w="2160" w:type="dxa"/>
            <w:vAlign w:val="center"/>
          </w:tcPr>
          <w:p w14:paraId="5580AD09"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47B249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result ≥ ASC-US, the specific follow-up examination should be conducted as follows:</w:t>
            </w:r>
            <w:r w:rsidRPr="00CB2EC4">
              <w:rPr>
                <w:rFonts w:ascii="Times New Roman" w:hAnsi="Times New Roman" w:cs="Times New Roman"/>
              </w:rPr>
              <w:br/>
            </w:r>
            <w:r w:rsidRPr="00CB2EC4">
              <w:rPr>
                <w:rFonts w:ascii="Times New Roman" w:hAnsi="Times New Roman" w:cs="Times New Roman"/>
              </w:rPr>
              <w:br/>
              <w:t>according to document fragment 3 (branch 5) and document fragment 2 (figure 3):</w:t>
            </w:r>
            <w:r w:rsidRPr="00CB2EC4">
              <w:rPr>
                <w:rFonts w:ascii="Times New Roman" w:hAnsi="Times New Roman" w:cs="Times New Roman"/>
              </w:rPr>
              <w:br/>
            </w:r>
            <w:r w:rsidRPr="00CB2EC4">
              <w:rPr>
                <w:rFonts w:ascii="Times New Roman" w:hAnsi="Times New Roman" w:cs="Times New Roman"/>
              </w:rPr>
              <w:br/>
              <w:t>- when cytology ≥ ASC-US and HPV (+), further triage should be based on HPV genotyping results:</w:t>
            </w:r>
            <w:r w:rsidRPr="00CB2EC4">
              <w:rPr>
                <w:rFonts w:ascii="Times New Roman" w:hAnsi="Times New Roman" w:cs="Times New Roman"/>
              </w:rPr>
              <w:br/>
              <w:t xml:space="preserve">  - if HPV genotyping test is positive:</w:t>
            </w:r>
            <w:r w:rsidRPr="00CB2EC4">
              <w:rPr>
                <w:rFonts w:ascii="Times New Roman" w:hAnsi="Times New Roman" w:cs="Times New Roman"/>
              </w:rPr>
              <w:br/>
              <w:t xml:space="preserve">    - HPV16/18 positive → refer immediately for colposcopy</w:t>
            </w:r>
            <w:r w:rsidRPr="00CB2EC4">
              <w:rPr>
                <w:rFonts w:ascii="Times New Roman" w:hAnsi="Times New Roman" w:cs="Times New Roman"/>
              </w:rPr>
              <w:br/>
              <w:t xml:space="preserve">    - HPV16/18 negative but positive for other 12 high-risk types → repeat co-testing in 1 year</w:t>
            </w:r>
            <w:r w:rsidRPr="00CB2EC4">
              <w:rPr>
                <w:rFonts w:ascii="Times New Roman" w:hAnsi="Times New Roman" w:cs="Times New Roman"/>
              </w:rPr>
              <w:br/>
              <w:t xml:space="preserve">  - if HPV genotyping is not performed and the HPV test is positive → refer directly for colposcopy</w:t>
            </w:r>
            <w:r w:rsidRPr="00CB2EC4">
              <w:rPr>
                <w:rFonts w:ascii="Times New Roman" w:hAnsi="Times New Roman" w:cs="Times New Roman"/>
              </w:rPr>
              <w:br/>
            </w:r>
            <w:r w:rsidRPr="00CB2EC4">
              <w:rPr>
                <w:rFonts w:ascii="Times New Roman" w:hAnsi="Times New Roman" w:cs="Times New Roman"/>
              </w:rPr>
              <w:br/>
              <w:t>therefore, the specific examination depends on whether genotyping is performed: if genotyped, triage based on 16/18 result; if not genotyped, proceed directly to colposcopy.</w:t>
            </w:r>
          </w:p>
        </w:tc>
        <w:tc>
          <w:tcPr>
            <w:tcW w:w="1152" w:type="dxa"/>
            <w:vAlign w:val="center"/>
          </w:tcPr>
          <w:p w14:paraId="433855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36FD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F98CA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D08755" w14:textId="77777777">
        <w:tc>
          <w:tcPr>
            <w:tcW w:w="2160" w:type="dxa"/>
            <w:vAlign w:val="center"/>
          </w:tcPr>
          <w:p w14:paraId="71D23154"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7BB697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cytology and high-risk HPV co-testing show HPV positive and cytology result ≥ ASC-US, the following specific examinations should be performed:  </w:t>
            </w:r>
            <w:r w:rsidRPr="00CB2EC4">
              <w:rPr>
                <w:rFonts w:ascii="Times New Roman" w:hAnsi="Times New Roman" w:cs="Times New Roman"/>
              </w:rPr>
              <w:br/>
              <w:t xml:space="preserve">- Refer for colposcopy.  </w:t>
            </w:r>
            <w:r w:rsidRPr="00CB2EC4">
              <w:rPr>
                <w:rFonts w:ascii="Times New Roman" w:hAnsi="Times New Roman" w:cs="Times New Roman"/>
              </w:rPr>
              <w:br/>
              <w:t xml:space="preserve">- Further subdivide management based on HPV genotyping results:  </w:t>
            </w:r>
            <w:r w:rsidRPr="00CB2EC4">
              <w:rPr>
                <w:rFonts w:ascii="Times New Roman" w:hAnsi="Times New Roman" w:cs="Times New Roman"/>
              </w:rPr>
              <w:br/>
              <w:t xml:space="preserve">  - If HPV genotyping has been performed:  </w:t>
            </w:r>
            <w:r w:rsidRPr="00CB2EC4">
              <w:rPr>
                <w:rFonts w:ascii="Times New Roman" w:hAnsi="Times New Roman" w:cs="Times New Roman"/>
              </w:rPr>
              <w:br/>
            </w:r>
            <w:r w:rsidRPr="00CB2EC4">
              <w:rPr>
                <w:rFonts w:ascii="Times New Roman" w:hAnsi="Times New Roman" w:cs="Times New Roman"/>
              </w:rPr>
              <w:lastRenderedPageBreak/>
              <w:t xml:space="preserve">    - HPV16/18 positive → refer immediately for colposcopy.  </w:t>
            </w:r>
            <w:r w:rsidRPr="00CB2EC4">
              <w:rPr>
                <w:rFonts w:ascii="Times New Roman" w:hAnsi="Times New Roman" w:cs="Times New Roman"/>
              </w:rPr>
              <w:br/>
              <w:t xml:space="preserve">    - HPV16/18 negative but positive for other 12 high-risk types → repeat co-testing after 1 year.  </w:t>
            </w:r>
            <w:r w:rsidRPr="00CB2EC4">
              <w:rPr>
                <w:rFonts w:ascii="Times New Roman" w:hAnsi="Times New Roman" w:cs="Times New Roman"/>
              </w:rPr>
              <w:br/>
              <w:t xml:space="preserve">  - If HPV genotyping has not been performed → refer directly for colposcopy.  </w:t>
            </w:r>
            <w:r w:rsidRPr="00CB2EC4">
              <w:rPr>
                <w:rFonts w:ascii="Times New Roman" w:hAnsi="Times New Roman" w:cs="Times New Roman"/>
              </w:rPr>
              <w:br/>
            </w:r>
            <w:r w:rsidRPr="00CB2EC4">
              <w:rPr>
                <w:rFonts w:ascii="Times New Roman" w:hAnsi="Times New Roman" w:cs="Times New Roman"/>
              </w:rPr>
              <w:br/>
              <w:t>reason: relevant document 1 (figure three) and relevant document 4 (figure three) detail the management flow for cytology (ASC-US) &amp; HPV (+), emphasizing triage based on HPV genotyping results. relevant document 2 (section 2.3.2) also supports direct referral to colposcopy for HPV positive/ASC-US. for cytology results ≥ ASC-US (e.g., LSIL or HSIL), context (relevant document 1, figure two) indicates these abnormal types are directly referred for colposcopy, thus managed similarly.</w:t>
            </w:r>
          </w:p>
        </w:tc>
        <w:tc>
          <w:tcPr>
            <w:tcW w:w="1152" w:type="dxa"/>
            <w:vAlign w:val="center"/>
          </w:tcPr>
          <w:p w14:paraId="5BCAB1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0A89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5A0D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D89EC8" w14:textId="77777777">
        <w:tc>
          <w:tcPr>
            <w:tcW w:w="2160" w:type="dxa"/>
            <w:vAlign w:val="center"/>
          </w:tcPr>
          <w:p w14:paraId="08E4862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1FB111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co-testing (cytology and high-risk HPV) shows HPV positive and cytology result ≥ ASC-US, the following specific examinations should be performed:</w:t>
            </w:r>
            <w:r w:rsidRPr="00CB2EC4">
              <w:rPr>
                <w:rFonts w:ascii="Times New Roman" w:hAnsi="Times New Roman" w:cs="Times New Roman"/>
              </w:rPr>
              <w:br/>
            </w:r>
            <w:r w:rsidRPr="00CB2EC4">
              <w:rPr>
                <w:rFonts w:ascii="Times New Roman" w:hAnsi="Times New Roman" w:cs="Times New Roman"/>
              </w:rPr>
              <w:br/>
              <w:t>- Further triage based on HPV genotyping results:</w:t>
            </w:r>
            <w:r w:rsidRPr="00CB2EC4">
              <w:rPr>
                <w:rFonts w:ascii="Times New Roman" w:hAnsi="Times New Roman" w:cs="Times New Roman"/>
              </w:rPr>
              <w:br/>
              <w:t xml:space="preserve">  - If HPV genotyping testing is available:</w:t>
            </w:r>
            <w:r w:rsidRPr="00CB2EC4">
              <w:rPr>
                <w:rFonts w:ascii="Times New Roman" w:hAnsi="Times New Roman" w:cs="Times New Roman"/>
              </w:rPr>
              <w:br/>
              <w:t xml:space="preserve">    - HPV16/18 positive: refer immediately for colposcopy.</w:t>
            </w:r>
            <w:r w:rsidRPr="00CB2EC4">
              <w:rPr>
                <w:rFonts w:ascii="Times New Roman" w:hAnsi="Times New Roman" w:cs="Times New Roman"/>
              </w:rPr>
              <w:br/>
              <w:t xml:space="preserve">    - HPV16/18 negative but positive for other 12 high-risk HPV types: repeat co-testing in 1 year, no immediate colposcopy required.</w:t>
            </w:r>
            <w:r w:rsidRPr="00CB2EC4">
              <w:rPr>
                <w:rFonts w:ascii="Times New Roman" w:hAnsi="Times New Roman" w:cs="Times New Roman"/>
              </w:rPr>
              <w:br/>
              <w:t xml:space="preserve">  - If HPV testing is not genotyped: refer directly for colposcopy, as high-risk subtypes cannot be distinguished.</w:t>
            </w:r>
            <w:r w:rsidRPr="00CB2EC4">
              <w:rPr>
                <w:rFonts w:ascii="Times New Roman" w:hAnsi="Times New Roman" w:cs="Times New Roman"/>
              </w:rPr>
              <w:br/>
              <w:t xml:space="preserve">- Rationale: the document details this triage logic in the abnormal co-testing management flow and </w:t>
            </w:r>
            <w:r w:rsidRPr="00CB2EC4">
              <w:rPr>
                <w:rFonts w:ascii="Times New Roman" w:hAnsi="Times New Roman" w:cs="Times New Roman"/>
              </w:rPr>
              <w:lastRenderedPageBreak/>
              <w:t>emphasizes that HPV positivity with cytology ≥ ASC-US carries higher risk (5-year cumulative risk of CIN III+ is 6.8%), requiring individualized management.</w:t>
            </w:r>
            <w:r w:rsidRPr="00CB2EC4">
              <w:rPr>
                <w:rFonts w:ascii="Times New Roman" w:hAnsi="Times New Roman" w:cs="Times New Roman"/>
              </w:rPr>
              <w:br/>
            </w:r>
            <w:r w:rsidRPr="00CB2EC4">
              <w:rPr>
                <w:rFonts w:ascii="Times New Roman" w:hAnsi="Times New Roman" w:cs="Times New Roman"/>
              </w:rPr>
              <w:br/>
              <w:t>In summary, colposcopy is the core action, but the specific pathway depends on HPV genotyping results.</w:t>
            </w:r>
          </w:p>
        </w:tc>
        <w:tc>
          <w:tcPr>
            <w:tcW w:w="1152" w:type="dxa"/>
            <w:vAlign w:val="center"/>
          </w:tcPr>
          <w:p w14:paraId="57CC26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DF0D9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D7C6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DA7644" w14:textId="77777777">
        <w:tc>
          <w:tcPr>
            <w:tcW w:w="2160" w:type="dxa"/>
            <w:vAlign w:val="center"/>
          </w:tcPr>
          <w:p w14:paraId="04501A61"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010A5CD"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result ≥ ASC-US, the following specific examinations should be performed:</w:t>
            </w:r>
            <w:r w:rsidRPr="00CB2EC4">
              <w:rPr>
                <w:rFonts w:ascii="Times New Roman" w:hAnsi="Times New Roman" w:cs="Times New Roman"/>
              </w:rPr>
              <w:br/>
            </w:r>
            <w:r w:rsidRPr="00CB2EC4">
              <w:rPr>
                <w:rFonts w:ascii="Times New Roman" w:hAnsi="Times New Roman" w:cs="Times New Roman"/>
              </w:rPr>
              <w:br/>
              <w:t>- If HPV genotyping test is positive:</w:t>
            </w:r>
            <w:r w:rsidRPr="00CB2EC4">
              <w:rPr>
                <w:rFonts w:ascii="Times New Roman" w:hAnsi="Times New Roman" w:cs="Times New Roman"/>
              </w:rPr>
              <w:br/>
              <w:t xml:space="preserve">  - HPV16/18 positive → refer immediately for colposcopy</w:t>
            </w:r>
            <w:r w:rsidRPr="00CB2EC4">
              <w:rPr>
                <w:rFonts w:ascii="Times New Roman" w:hAnsi="Times New Roman" w:cs="Times New Roman"/>
              </w:rPr>
              <w:br/>
              <w:t xml:space="preserve">  - HPV16/18 negative but positive for other 12 high-risk HPV types → repeat co-testing (cytology and HPV) after 1 year</w:t>
            </w:r>
            <w:r w:rsidRPr="00CB2EC4">
              <w:rPr>
                <w:rFonts w:ascii="Times New Roman" w:hAnsi="Times New Roman" w:cs="Times New Roman"/>
              </w:rPr>
              <w:br/>
              <w:t>- If HPV is positive but not genotyped → refer directly for colposcopy</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r>
            <w:r w:rsidRPr="00CB2EC4">
              <w:rPr>
                <w:rFonts w:ascii="Times New Roman" w:hAnsi="Times New Roman" w:cs="Times New Roman"/>
              </w:rPr>
              <w:br/>
              <w:t>- Document fragment 5: "5. Cytology ≥ ASC-US &amp; HPV (+) then further triage should be performed (based on HPV genotyping results): - If HPV genotyping test positive: * HPV16/18 positive → refer immediately for colposcopy * HPV16/18 negative but other 12 high-risk HPV types positive → 1 year follow-up - If HPV non-genotyping test positive: then refer directly for colposcopy".</w:t>
            </w:r>
            <w:r w:rsidRPr="00CB2EC4">
              <w:rPr>
                <w:rFonts w:ascii="Times New Roman" w:hAnsi="Times New Roman" w:cs="Times New Roman"/>
              </w:rPr>
              <w:br/>
              <w:t>- Document fragment 3 mentions genotyping management in the HPV-positive/cytology-negative scenario, but for cytology ≥ ASC-US, document fragment 5 provides the complete procedure.</w:t>
            </w:r>
          </w:p>
        </w:tc>
        <w:tc>
          <w:tcPr>
            <w:tcW w:w="1152" w:type="dxa"/>
            <w:vAlign w:val="center"/>
          </w:tcPr>
          <w:p w14:paraId="69B563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EB89C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5B55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9310952" w14:textId="77777777">
        <w:tc>
          <w:tcPr>
            <w:tcW w:w="2160" w:type="dxa"/>
            <w:vAlign w:val="center"/>
          </w:tcPr>
          <w:p w14:paraId="0CF7DE6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1C1CDFA1"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co-testing (cytology and high-risk HPV) shows HPV positive and cytology result ≥ ASC-US, the following specific examinations should be performed:</w:t>
            </w:r>
            <w:r w:rsidRPr="00CB2EC4">
              <w:rPr>
                <w:rFonts w:ascii="Times New Roman" w:hAnsi="Times New Roman" w:cs="Times New Roman"/>
              </w:rPr>
              <w:br/>
            </w:r>
            <w:r w:rsidRPr="00CB2EC4">
              <w:rPr>
                <w:rFonts w:ascii="Times New Roman" w:hAnsi="Times New Roman" w:cs="Times New Roman"/>
              </w:rPr>
              <w:br/>
              <w:t>- HPV genotyping testing should be conducted for further triage based on the genotyping result:</w:t>
            </w:r>
            <w:r w:rsidRPr="00CB2EC4">
              <w:rPr>
                <w:rFonts w:ascii="Times New Roman" w:hAnsi="Times New Roman" w:cs="Times New Roman"/>
              </w:rPr>
              <w:br/>
              <w:t xml:space="preserve">  - If HPV genotyping is positive for HPV16/18 → refer immediately for colposcopy.</w:t>
            </w:r>
            <w:r w:rsidRPr="00CB2EC4">
              <w:rPr>
                <w:rFonts w:ascii="Times New Roman" w:hAnsi="Times New Roman" w:cs="Times New Roman"/>
              </w:rPr>
              <w:br/>
              <w:t xml:space="preserve">  - If HPV genotyping is negative for HPV16/18 but positive for other 12 high-risk HPV types → repeat co-testing in 1 year.</w:t>
            </w:r>
            <w:r w:rsidRPr="00CB2EC4">
              <w:rPr>
                <w:rFonts w:ascii="Times New Roman" w:hAnsi="Times New Roman" w:cs="Times New Roman"/>
              </w:rPr>
              <w:br/>
              <w:t xml:space="preserve">  - If HPV genotyping was not performed (i.e., untyped HPV positive) → refer directly for colposcopy.</w:t>
            </w:r>
            <w:r w:rsidRPr="00CB2EC4">
              <w:rPr>
                <w:rFonts w:ascii="Times New Roman" w:hAnsi="Times New Roman" w:cs="Times New Roman"/>
              </w:rPr>
              <w:br/>
            </w:r>
            <w:r w:rsidRPr="00CB2EC4">
              <w:rPr>
                <w:rFonts w:ascii="Times New Roman" w:hAnsi="Times New Roman" w:cs="Times New Roman"/>
              </w:rPr>
              <w:br/>
              <w:t>as explicitly stated in the document: "cytology ≥ ASC-US &amp; HPV (+) then further triage should be performed (based on HPV genotyping results): - If HPV genotyping test positive: * HPV16/18 positive → immediate referral for colposcopy * HPV16/18 negative but other 12 high-risk HPV types positive → 1-year follow-up - If HPV genotyping test not performed (untyped HPV positive): then should refer directly for colposcopy". Therefore, the specific next step depends on HPV genotyping results, but the core action is to perform genotyping to guide subsequent management.</w:t>
            </w:r>
          </w:p>
        </w:tc>
        <w:tc>
          <w:tcPr>
            <w:tcW w:w="1152" w:type="dxa"/>
            <w:vAlign w:val="center"/>
          </w:tcPr>
          <w:p w14:paraId="1ABBE9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0412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5782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D76E9C" w14:textId="77777777">
        <w:tc>
          <w:tcPr>
            <w:tcW w:w="2160" w:type="dxa"/>
            <w:vAlign w:val="center"/>
          </w:tcPr>
          <w:p w14:paraId="093F58F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E44F530"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result ≥ ASC-US, the following specific examinations should be performed:</w:t>
            </w:r>
            <w:r w:rsidRPr="00CB2EC4">
              <w:rPr>
                <w:rFonts w:ascii="Times New Roman" w:hAnsi="Times New Roman" w:cs="Times New Roman"/>
              </w:rPr>
              <w:br/>
            </w:r>
            <w:r w:rsidRPr="00CB2EC4">
              <w:rPr>
                <w:rFonts w:ascii="Times New Roman" w:hAnsi="Times New Roman" w:cs="Times New Roman"/>
              </w:rPr>
              <w:br/>
              <w:t>- If HPV genotyping test is positive:</w:t>
            </w:r>
            <w:r w:rsidRPr="00CB2EC4">
              <w:rPr>
                <w:rFonts w:ascii="Times New Roman" w:hAnsi="Times New Roman" w:cs="Times New Roman"/>
              </w:rPr>
              <w:br/>
            </w:r>
            <w:r w:rsidRPr="00CB2EC4">
              <w:rPr>
                <w:rFonts w:ascii="Times New Roman" w:hAnsi="Times New Roman" w:cs="Times New Roman"/>
              </w:rPr>
              <w:lastRenderedPageBreak/>
              <w:t xml:space="preserve">  - HPV16/18 positive → refer immediately for colposcopy.</w:t>
            </w:r>
            <w:r w:rsidRPr="00CB2EC4">
              <w:rPr>
                <w:rFonts w:ascii="Times New Roman" w:hAnsi="Times New Roman" w:cs="Times New Roman"/>
              </w:rPr>
              <w:br/>
              <w:t xml:space="preserve">  - HPV16/18 negative but positive for other 12 high-risk HPV types → repeat co-testing (cytology and HPV) after 1 year.</w:t>
            </w:r>
            <w:r w:rsidRPr="00CB2EC4">
              <w:rPr>
                <w:rFonts w:ascii="Times New Roman" w:hAnsi="Times New Roman" w:cs="Times New Roman"/>
              </w:rPr>
              <w:br/>
              <w:t>- If HPV is positive but not genotyped → refer directly for colposcopy.</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t>- Document fragment 5: "5. Cytology ≥ ASC-US &amp; HPV (+) then further triage should be performed (based on HPV genotyping results): - If HPV genotyping test positive: * HPV16/18 positive → refer immediately for colposcopy * HPV16/18 negative but other 12 high-risk HPV types positive → 1 year follow-up - If HPV non-genotyping test positive: then refer directly for colposcopy".</w:t>
            </w:r>
            <w:r w:rsidRPr="00CB2EC4">
              <w:rPr>
                <w:rFonts w:ascii="Times New Roman" w:hAnsi="Times New Roman" w:cs="Times New Roman"/>
              </w:rPr>
              <w:br/>
              <w:t>- Document fragment 3 mentions genotyping management in the HPV positive/cytology negative scenario, but for cytology ≥ ASC-US, document fragment 5 provides the complete procedure.</w:t>
            </w:r>
          </w:p>
        </w:tc>
        <w:tc>
          <w:tcPr>
            <w:tcW w:w="1152" w:type="dxa"/>
            <w:vAlign w:val="center"/>
          </w:tcPr>
          <w:p w14:paraId="167F1D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58D94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81AD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57A0619" w14:textId="77777777">
        <w:tc>
          <w:tcPr>
            <w:tcW w:w="2160" w:type="dxa"/>
            <w:vAlign w:val="center"/>
          </w:tcPr>
          <w:p w14:paraId="43BB2FB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F2144AE"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co-testing (cytology and high-risk HPV) shows HPV positive and cytology result ≥ ASC-US, the following specific actions should be taken based on HPV genotyping results:</w:t>
            </w:r>
            <w:r w:rsidRPr="00CB2EC4">
              <w:rPr>
                <w:rFonts w:ascii="Times New Roman" w:hAnsi="Times New Roman" w:cs="Times New Roman"/>
              </w:rPr>
              <w:br/>
            </w:r>
            <w:r w:rsidRPr="00CB2EC4">
              <w:rPr>
                <w:rFonts w:ascii="Times New Roman" w:hAnsi="Times New Roman" w:cs="Times New Roman"/>
              </w:rPr>
              <w:br/>
              <w:t>- If HPV genotyping has been performed:</w:t>
            </w:r>
            <w:r w:rsidRPr="00CB2EC4">
              <w:rPr>
                <w:rFonts w:ascii="Times New Roman" w:hAnsi="Times New Roman" w:cs="Times New Roman"/>
              </w:rPr>
              <w:br/>
              <w:t xml:space="preserve">  - HPV16/18 positive: refer immediately for colposcopy.</w:t>
            </w:r>
            <w:r w:rsidRPr="00CB2EC4">
              <w:rPr>
                <w:rFonts w:ascii="Times New Roman" w:hAnsi="Times New Roman" w:cs="Times New Roman"/>
              </w:rPr>
              <w:br/>
              <w:t xml:space="preserve">  - HPV16/18 negative but positive for other 12 high-risk HPV types: recommend repeat co-testing in 1 year.</w:t>
            </w:r>
            <w:r w:rsidRPr="00CB2EC4">
              <w:rPr>
                <w:rFonts w:ascii="Times New Roman" w:hAnsi="Times New Roman" w:cs="Times New Roman"/>
              </w:rPr>
              <w:br/>
              <w:t>- If HPV genotyping has not been performed (HPV positive, ungenotyped): refer directly for colposcopy.</w:t>
            </w:r>
            <w:r w:rsidRPr="00CB2EC4">
              <w:rPr>
                <w:rFonts w:ascii="Times New Roman" w:hAnsi="Times New Roman" w:cs="Times New Roman"/>
              </w:rPr>
              <w:br/>
            </w:r>
            <w:r w:rsidRPr="00CB2EC4">
              <w:rPr>
                <w:rFonts w:ascii="Times New Roman" w:hAnsi="Times New Roman" w:cs="Times New Roman"/>
              </w:rPr>
              <w:lastRenderedPageBreak/>
              <w:br/>
              <w:t>Document reference: [Similarity: 0.457] The source explicitly states: "Cytology ≥ ASC-US &amp; HPV (+) should undergo further triage based on HPV genotyping results: - If HPV genotyping test positive: * HPV16/18 positive → immediate colposcopy referral * HPV16/18 negative but other 12 high-risk HPV types positive → 1-year follow-up - If HPV ungenotyped positive: refer directly for colposcopy." No other specific tests are mentioned; decisions are based solely on genotyping results.</w:t>
            </w:r>
          </w:p>
        </w:tc>
        <w:tc>
          <w:tcPr>
            <w:tcW w:w="1152" w:type="dxa"/>
            <w:vAlign w:val="center"/>
          </w:tcPr>
          <w:p w14:paraId="3A54CD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6D14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A81D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64EC64" w14:textId="77777777">
        <w:tc>
          <w:tcPr>
            <w:tcW w:w="2160" w:type="dxa"/>
            <w:vAlign w:val="center"/>
          </w:tcPr>
          <w:p w14:paraId="354893BF"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C58D5B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the co-testing of cytology and high-risk HPV shows HPV-positive results with cytology results ≥ ASC-US, the following specific examinations should be performed based on HPV genotyping results:  </w:t>
            </w:r>
            <w:r w:rsidRPr="00CB2EC4">
              <w:rPr>
                <w:rFonts w:ascii="Times New Roman" w:hAnsi="Times New Roman" w:cs="Times New Roman"/>
              </w:rPr>
              <w:br/>
              <w:t xml:space="preserve">- If HPV genotyping has been performed:  </w:t>
            </w:r>
            <w:r w:rsidRPr="00CB2EC4">
              <w:rPr>
                <w:rFonts w:ascii="Times New Roman" w:hAnsi="Times New Roman" w:cs="Times New Roman"/>
              </w:rPr>
              <w:br/>
              <w:t xml:space="preserve">  - HPV 16/18 positive: Refer immediately for colposcopy (due to the high progression risk associated with HPV 16/18).  </w:t>
            </w:r>
            <w:r w:rsidRPr="00CB2EC4">
              <w:rPr>
                <w:rFonts w:ascii="Times New Roman" w:hAnsi="Times New Roman" w:cs="Times New Roman"/>
              </w:rPr>
              <w:br/>
              <w:t xml:space="preserve">  - HPV 16/18 negative but positive for other 12 high-risk HPV types: Repeat co-testing of cytology and high-risk HPV in 1 year (no immediate colposcopy is needed).  </w:t>
            </w:r>
            <w:r w:rsidRPr="00CB2EC4">
              <w:rPr>
                <w:rFonts w:ascii="Times New Roman" w:hAnsi="Times New Roman" w:cs="Times New Roman"/>
              </w:rPr>
              <w:br/>
              <w:t xml:space="preserve">- If HPV genotyping has not been performed (HPV positive, not genotyped): Refer directly for colposcopy (since high-risk subtypes cannot be distinguished).  </w:t>
            </w:r>
            <w:r w:rsidRPr="00CB2EC4">
              <w:rPr>
                <w:rFonts w:ascii="Times New Roman" w:hAnsi="Times New Roman" w:cs="Times New Roman"/>
              </w:rPr>
              <w:br/>
            </w:r>
            <w:r w:rsidRPr="00CB2EC4">
              <w:rPr>
                <w:rFonts w:ascii="Times New Roman" w:hAnsi="Times New Roman" w:cs="Times New Roman"/>
              </w:rPr>
              <w:br/>
              <w:t xml:space="preserve">This process is detailed in Document Fragment 5 (Test Result Branching) and Document Fragment 3 (Management of Abnormal Co-testing). Unless abnormalities are found during colposcopy, no other examinations (such as endocervical curettage or </w:t>
            </w:r>
            <w:r w:rsidRPr="00CB2EC4">
              <w:rPr>
                <w:rFonts w:ascii="Times New Roman" w:hAnsi="Times New Roman" w:cs="Times New Roman"/>
              </w:rPr>
              <w:lastRenderedPageBreak/>
              <w:t>imaging studies) are mentioned in the knowledge base.</w:t>
            </w:r>
          </w:p>
        </w:tc>
        <w:tc>
          <w:tcPr>
            <w:tcW w:w="1152" w:type="dxa"/>
            <w:vAlign w:val="center"/>
          </w:tcPr>
          <w:p w14:paraId="370C74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EB83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2910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49A3C5" w14:textId="77777777">
        <w:tc>
          <w:tcPr>
            <w:tcW w:w="2160" w:type="dxa"/>
            <w:vAlign w:val="center"/>
          </w:tcPr>
          <w:p w14:paraId="09CD8BC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D78F849"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co-testing (cytology and high-risk HPV) shows HPV positive and cytology result ≥ ASC-US, the following specific examinations should be performed based on HPV genotyping results:</w:t>
            </w:r>
            <w:r w:rsidRPr="00CB2EC4">
              <w:rPr>
                <w:rFonts w:ascii="Times New Roman" w:hAnsi="Times New Roman" w:cs="Times New Roman"/>
              </w:rPr>
              <w:br/>
            </w:r>
            <w:r w:rsidRPr="00CB2EC4">
              <w:rPr>
                <w:rFonts w:ascii="Times New Roman" w:hAnsi="Times New Roman" w:cs="Times New Roman"/>
              </w:rPr>
              <w:br/>
              <w:t>- If HPV genotyping test is positive:</w:t>
            </w:r>
            <w:r w:rsidRPr="00CB2EC4">
              <w:rPr>
                <w:rFonts w:ascii="Times New Roman" w:hAnsi="Times New Roman" w:cs="Times New Roman"/>
              </w:rPr>
              <w:br/>
              <w:t xml:space="preserve">  - HPV16/18 positive: refer immediately for colposcopy.</w:t>
            </w:r>
            <w:r w:rsidRPr="00CB2EC4">
              <w:rPr>
                <w:rFonts w:ascii="Times New Roman" w:hAnsi="Times New Roman" w:cs="Times New Roman"/>
              </w:rPr>
              <w:br/>
              <w:t xml:space="preserve">  - HPV16/18 negative but positive for other 12 high-risk HPV types: schedule a 1-year follow-up (repeat co-testing after 1 year).</w:t>
            </w:r>
            <w:r w:rsidRPr="00CB2EC4">
              <w:rPr>
                <w:rFonts w:ascii="Times New Roman" w:hAnsi="Times New Roman" w:cs="Times New Roman"/>
              </w:rPr>
              <w:br/>
              <w:t>- If HPV genotyping is not performed and HPV test is positive: refer directly for colposcopy.</w:t>
            </w:r>
            <w:r w:rsidRPr="00CB2EC4">
              <w:rPr>
                <w:rFonts w:ascii="Times New Roman" w:hAnsi="Times New Roman" w:cs="Times New Roman"/>
              </w:rPr>
              <w:br/>
            </w:r>
            <w:r w:rsidRPr="00CB2EC4">
              <w:rPr>
                <w:rFonts w:ascii="Times New Roman" w:hAnsi="Times New Roman" w:cs="Times New Roman"/>
              </w:rPr>
              <w:br/>
              <w:t>Rationale: Figure 3 in Fragment 1 explicitly states “cytology ≥ ASC-US &amp; HPV (+) → further triage (based on HPV genotyping results)” and details the above pathways. Fragment 2 notes that “HPV positive/ASC-US supports direct referral to colposcopy,” but the overall process follows Figure 3.</w:t>
            </w:r>
          </w:p>
        </w:tc>
        <w:tc>
          <w:tcPr>
            <w:tcW w:w="1152" w:type="dxa"/>
            <w:vAlign w:val="center"/>
          </w:tcPr>
          <w:p w14:paraId="14D9E6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7D0D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706E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8E448B" w14:textId="77777777">
        <w:tc>
          <w:tcPr>
            <w:tcW w:w="2160" w:type="dxa"/>
            <w:vAlign w:val="center"/>
          </w:tcPr>
          <w:p w14:paraId="7E1C715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4340579"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co-testing with cytology and high-risk HPV shows HPV positive and cytology result ≥ ASC-US, the following specific examination should be performed:</w:t>
            </w:r>
            <w:r w:rsidRPr="00CB2EC4">
              <w:rPr>
                <w:rFonts w:ascii="Times New Roman" w:hAnsi="Times New Roman" w:cs="Times New Roman"/>
              </w:rPr>
              <w:br/>
            </w:r>
            <w:r w:rsidRPr="00CB2EC4">
              <w:rPr>
                <w:rFonts w:ascii="Times New Roman" w:hAnsi="Times New Roman" w:cs="Times New Roman"/>
              </w:rPr>
              <w:br/>
              <w:t xml:space="preserve">HPV positive and cytology ≥ ASC-US (including ASC-US, LSIL, ASC-H, HSIL, etc.) indicates high risk, and colposcopy should be performed immediately. Specific examinations include: cervical biopsy under colposcopy, and if necessary, </w:t>
            </w:r>
            <w:r w:rsidRPr="00CB2EC4">
              <w:rPr>
                <w:rFonts w:ascii="Times New Roman" w:hAnsi="Times New Roman" w:cs="Times New Roman"/>
              </w:rPr>
              <w:lastRenderedPageBreak/>
              <w:t>endocervical curettage (ECC). If biopsy results suggest high-grade lesions, further evaluation and treatment are required.</w:t>
            </w:r>
          </w:p>
        </w:tc>
        <w:tc>
          <w:tcPr>
            <w:tcW w:w="1152" w:type="dxa"/>
            <w:vAlign w:val="center"/>
          </w:tcPr>
          <w:p w14:paraId="7AC2AC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96937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474EB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C67E20F" w14:textId="77777777">
        <w:tc>
          <w:tcPr>
            <w:tcW w:w="10656" w:type="dxa"/>
            <w:gridSpan w:val="5"/>
            <w:tcBorders>
              <w:bottom w:val="single" w:sz="6" w:space="0" w:color="auto"/>
            </w:tcBorders>
            <w:vAlign w:val="center"/>
          </w:tcPr>
          <w:p w14:paraId="20E8573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16: In cervical cancer detection, if joint testing of cytology and high-risk HPV shows HPV-positive and the cytological result is negative, what specific examinations should follow?</w:t>
            </w:r>
          </w:p>
        </w:tc>
      </w:tr>
      <w:tr w:rsidR="00922249" w:rsidRPr="00CB2EC4" w14:paraId="4F48CFD7" w14:textId="77777777">
        <w:tc>
          <w:tcPr>
            <w:tcW w:w="2160" w:type="dxa"/>
            <w:vAlign w:val="center"/>
          </w:tcPr>
          <w:p w14:paraId="0858089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44DF945"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negative, the specific follow-up action is:</w:t>
            </w:r>
            <w:r w:rsidRPr="00CB2EC4">
              <w:rPr>
                <w:rFonts w:ascii="Times New Roman" w:hAnsi="Times New Roman" w:cs="Times New Roman"/>
              </w:rPr>
              <w:br/>
            </w:r>
            <w:r w:rsidRPr="00CB2EC4">
              <w:rPr>
                <w:rFonts w:ascii="Times New Roman" w:hAnsi="Times New Roman" w:cs="Times New Roman"/>
              </w:rPr>
              <w:br/>
              <w:t>- Recommend repeat co-testing (cytology + high-risk HPV) in 1 year.</w:t>
            </w:r>
            <w:r w:rsidRPr="00CB2EC4">
              <w:rPr>
                <w:rFonts w:ascii="Times New Roman" w:hAnsi="Times New Roman" w:cs="Times New Roman"/>
              </w:rPr>
              <w:br/>
              <w:t xml:space="preserve">  As explicitly stated in Figure 3, point 4: "Cytology (-) &amp; HPV (+) → perform 1-year follow-up (repeat co-testing after 1 year)".</w:t>
            </w:r>
            <w:r w:rsidRPr="00CB2EC4">
              <w:rPr>
                <w:rFonts w:ascii="Times New Roman" w:hAnsi="Times New Roman" w:cs="Times New Roman"/>
              </w:rPr>
              <w:br/>
              <w:t xml:space="preserve">  Therefore, the specific examination is: repeat cytology and HPV co-testing after 1 year; no immediate additional tests are required.</w:t>
            </w:r>
          </w:p>
        </w:tc>
        <w:tc>
          <w:tcPr>
            <w:tcW w:w="1152" w:type="dxa"/>
            <w:vAlign w:val="center"/>
          </w:tcPr>
          <w:p w14:paraId="2E60AE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0B78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196B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F28C48" w14:textId="77777777">
        <w:tc>
          <w:tcPr>
            <w:tcW w:w="2160" w:type="dxa"/>
            <w:vAlign w:val="center"/>
          </w:tcPr>
          <w:p w14:paraId="375A526F"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F19324F" w14:textId="77777777" w:rsidR="00922249" w:rsidRPr="00CB2EC4" w:rsidRDefault="003011D5">
            <w:pPr>
              <w:rPr>
                <w:rFonts w:ascii="Times New Roman" w:hAnsi="Times New Roman" w:cs="Times New Roman"/>
              </w:rPr>
            </w:pPr>
            <w:r w:rsidRPr="00CB2EC4">
              <w:rPr>
                <w:rFonts w:ascii="Times New Roman" w:hAnsi="Times New Roman" w:cs="Times New Roman"/>
              </w:rPr>
              <w:t>management when cytology and high-risk HPV co-testing show HPV positive and cytology negative</w:t>
            </w:r>
            <w:r w:rsidRPr="00CB2EC4">
              <w:rPr>
                <w:rFonts w:ascii="Times New Roman" w:hAnsi="Times New Roman" w:cs="Times New Roman"/>
              </w:rPr>
              <w:br/>
            </w:r>
            <w:r w:rsidRPr="00CB2EC4">
              <w:rPr>
                <w:rFonts w:ascii="Times New Roman" w:hAnsi="Times New Roman" w:cs="Times New Roman"/>
              </w:rPr>
              <w:br/>
              <w:t>Specific actions: determined by HPV genotyping results:</w:t>
            </w:r>
            <w:r w:rsidRPr="00CB2EC4">
              <w:rPr>
                <w:rFonts w:ascii="Times New Roman" w:hAnsi="Times New Roman" w:cs="Times New Roman"/>
              </w:rPr>
              <w:br/>
              <w:t xml:space="preserve">  - If HPV genotyping shows HPV16/18 positive, refer immediately for colposcopy (document fragment 1, block 1; document fragment 2, block 59).</w:t>
            </w:r>
            <w:r w:rsidRPr="00CB2EC4">
              <w:rPr>
                <w:rFonts w:ascii="Times New Roman" w:hAnsi="Times New Roman" w:cs="Times New Roman"/>
              </w:rPr>
              <w:br/>
              <w:t xml:space="preserve">  - If HPV genotyping is positive for any of the other 12 types, recommend repeating cytology + HPV co-testing after 1 year (document fragment 1, block 1; document fragment 3, block 2).</w:t>
            </w:r>
            <w:r w:rsidRPr="00CB2EC4">
              <w:rPr>
                <w:rFonts w:ascii="Times New Roman" w:hAnsi="Times New Roman" w:cs="Times New Roman"/>
              </w:rPr>
              <w:br/>
              <w:t xml:space="preserve">  - If HPV genotyping has not been performed, cytology must be conducted (document fragment 1, block 1).</w:t>
            </w:r>
          </w:p>
        </w:tc>
        <w:tc>
          <w:tcPr>
            <w:tcW w:w="1152" w:type="dxa"/>
            <w:vAlign w:val="center"/>
          </w:tcPr>
          <w:p w14:paraId="24ABCD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EC08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1B64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788D97" w14:textId="77777777">
        <w:tc>
          <w:tcPr>
            <w:tcW w:w="2160" w:type="dxa"/>
            <w:vAlign w:val="center"/>
          </w:tcPr>
          <w:p w14:paraId="1FFC5F8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FEA834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cytology and high-risk </w:t>
            </w:r>
            <w:r w:rsidRPr="00CB2EC4">
              <w:rPr>
                <w:rFonts w:ascii="Times New Roman" w:hAnsi="Times New Roman" w:cs="Times New Roman"/>
              </w:rPr>
              <w:lastRenderedPageBreak/>
              <w:t>HPV co-testing show HPV positive and cytology negative, the following specific examinations should be performed:</w:t>
            </w:r>
            <w:r w:rsidRPr="00CB2EC4">
              <w:rPr>
                <w:rFonts w:ascii="Times New Roman" w:hAnsi="Times New Roman" w:cs="Times New Roman"/>
              </w:rPr>
              <w:br/>
            </w:r>
            <w:r w:rsidRPr="00CB2EC4">
              <w:rPr>
                <w:rFonts w:ascii="Times New Roman" w:hAnsi="Times New Roman" w:cs="Times New Roman"/>
              </w:rPr>
              <w:br/>
              <w:t>- First, conduct HPV genotyping to identify the specific high-risk HPV type (as indicated in document fragments 1 and 3 regarding the HPV genotyping pathway).</w:t>
            </w:r>
            <w:r w:rsidRPr="00CB2EC4">
              <w:rPr>
                <w:rFonts w:ascii="Times New Roman" w:hAnsi="Times New Roman" w:cs="Times New Roman"/>
              </w:rPr>
              <w:br/>
              <w:t>- If HPV genotyping shows HPV16/18 positive, refer immediately for colposcopy (fragment 1: "HPV16/18 positive → immediate referral for colposcopy"; fragment 3: "HPV16/18 positive → immediate referral for colposcopy").</w:t>
            </w:r>
            <w:r w:rsidRPr="00CB2EC4">
              <w:rPr>
                <w:rFonts w:ascii="Times New Roman" w:hAnsi="Times New Roman" w:cs="Times New Roman"/>
              </w:rPr>
              <w:br/>
              <w:t>- If HPV genotyping shows HPV16/18 negative but positive for other 12 high-risk HPV types, recommend repeat co-testing (cytology and HPV) after 1 year (annual follow-up), without immediate colposcopy (fragment 1: "HPV16/18 negative or other 12 types positive → perform cervical cytology testing... other 12 types positive and cytology negative → annual follow-up"; fragment 3: "HPV16/18 negative but other 12 high-risk HPV types positive → 1-year follow-up").</w:t>
            </w:r>
            <w:r w:rsidRPr="00CB2EC4">
              <w:rPr>
                <w:rFonts w:ascii="Times New Roman" w:hAnsi="Times New Roman" w:cs="Times New Roman"/>
              </w:rPr>
              <w:br/>
              <w:t>- If HPV genotyping is not performed, it is suggested to combine with clinical symptoms and signs (e.g., abnormal bleeding), and refer directly to colposcopy when necessary (fragment 7: "If HPV genotyping is not performed, it is recommended to combine clinical symptoms and signs, and refer directly for colposcopy when necessary").</w:t>
            </w:r>
            <w:r w:rsidRPr="00CB2EC4">
              <w:rPr>
                <w:rFonts w:ascii="Times New Roman" w:hAnsi="Times New Roman" w:cs="Times New Roman"/>
              </w:rPr>
              <w:br/>
            </w:r>
            <w:r w:rsidRPr="00CB2EC4">
              <w:rPr>
                <w:rFonts w:ascii="Times New Roman" w:hAnsi="Times New Roman" w:cs="Times New Roman"/>
              </w:rPr>
              <w:br/>
              <w:t xml:space="preserve">In summary, the specific steps are: prioritize HPV genotyping, then determine subsequent action (immediate colposcopy or 1-year follow-up) based on </w:t>
            </w:r>
            <w:r w:rsidRPr="00CB2EC4">
              <w:rPr>
                <w:rFonts w:ascii="Times New Roman" w:hAnsi="Times New Roman" w:cs="Times New Roman"/>
              </w:rPr>
              <w:lastRenderedPageBreak/>
              <w:t>genotyping results; if genotyping is not done, clinically evaluate and possibly refer to colposcopy.</w:t>
            </w:r>
          </w:p>
        </w:tc>
        <w:tc>
          <w:tcPr>
            <w:tcW w:w="1152" w:type="dxa"/>
            <w:vAlign w:val="center"/>
          </w:tcPr>
          <w:p w14:paraId="52BC34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9344B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4C20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50D609" w14:textId="77777777">
        <w:tc>
          <w:tcPr>
            <w:tcW w:w="2160" w:type="dxa"/>
            <w:vAlign w:val="center"/>
          </w:tcPr>
          <w:p w14:paraId="78DCB54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4622E29F" w14:textId="77777777" w:rsidR="00922249" w:rsidRPr="00CB2EC4" w:rsidRDefault="003011D5">
            <w:pPr>
              <w:rPr>
                <w:rFonts w:ascii="Times New Roman" w:hAnsi="Times New Roman" w:cs="Times New Roman"/>
              </w:rPr>
            </w:pPr>
            <w:r w:rsidRPr="00CB2EC4">
              <w:rPr>
                <w:rFonts w:ascii="Times New Roman" w:hAnsi="Times New Roman" w:cs="Times New Roman"/>
              </w:rPr>
              <w:t>Specific examinations for HPV positive and cytology negative results</w:t>
            </w:r>
            <w:r w:rsidRPr="00CB2EC4">
              <w:rPr>
                <w:rFonts w:ascii="Times New Roman" w:hAnsi="Times New Roman" w:cs="Times New Roman"/>
              </w:rPr>
              <w:br/>
            </w:r>
            <w:r w:rsidRPr="00CB2EC4">
              <w:rPr>
                <w:rFonts w:ascii="Times New Roman" w:hAnsi="Times New Roman" w:cs="Times New Roman"/>
              </w:rPr>
              <w:br/>
              <w:t>Knowledge base reference (Figure 3 flow):</w:t>
            </w:r>
            <w:r w:rsidRPr="00CB2EC4">
              <w:rPr>
                <w:rFonts w:ascii="Times New Roman" w:hAnsi="Times New Roman" w:cs="Times New Roman"/>
              </w:rPr>
              <w:br/>
              <w:t>When cotesting shows HPV positive (+) + cytology negative (-):</w:t>
            </w:r>
            <w:r w:rsidRPr="00CB2EC4">
              <w:rPr>
                <w:rFonts w:ascii="Times New Roman" w:hAnsi="Times New Roman" w:cs="Times New Roman"/>
              </w:rPr>
              <w:br/>
              <w:t>→ HPV genotyping testing is required:</w:t>
            </w:r>
            <w:r w:rsidRPr="00CB2EC4">
              <w:rPr>
                <w:rFonts w:ascii="Times New Roman" w:hAnsi="Times New Roman" w:cs="Times New Roman"/>
              </w:rPr>
              <w:br/>
            </w:r>
            <w:r w:rsidRPr="00CB2EC4">
              <w:rPr>
                <w:rFonts w:ascii="Times New Roman" w:hAnsi="Times New Roman" w:cs="Times New Roman"/>
              </w:rPr>
              <w:br/>
              <w:t xml:space="preserve">   - If genotyping is HPV16/18 positive → Refer immediately for colposcopy (Figure 3 branch 4)</w:t>
            </w:r>
            <w:r w:rsidRPr="00CB2EC4">
              <w:rPr>
                <w:rFonts w:ascii="Times New Roman" w:hAnsi="Times New Roman" w:cs="Times New Roman"/>
              </w:rPr>
              <w:br/>
              <w:t xml:space="preserve">   - If other 12 high-risk HPV types are positive → Repeat cotesting (cytology + HPV) after 1 year</w:t>
            </w:r>
            <w:r w:rsidRPr="00CB2EC4">
              <w:rPr>
                <w:rFonts w:ascii="Times New Roman" w:hAnsi="Times New Roman" w:cs="Times New Roman"/>
              </w:rPr>
              <w:br/>
              <w:t xml:space="preserve">     → If genotyping was not performed: Refer directly for colposcopy (Figure 3 branch 5)</w:t>
            </w:r>
            <w:r w:rsidRPr="00CB2EC4">
              <w:rPr>
                <w:rFonts w:ascii="Times New Roman" w:hAnsi="Times New Roman" w:cs="Times New Roman"/>
              </w:rPr>
              <w:br/>
            </w:r>
            <w:r w:rsidRPr="00CB2EC4">
              <w:rPr>
                <w:rFonts w:ascii="Times New Roman" w:hAnsi="Times New Roman" w:cs="Times New Roman"/>
              </w:rPr>
              <w:br/>
              <w:t>&gt; Conclusion: HPV genotyping must be prioritized. If genotyping is not performed, colposcopy is required; if genotyping identifies non-16/18 types, annual follow-up is sufficient.</w:t>
            </w:r>
          </w:p>
        </w:tc>
        <w:tc>
          <w:tcPr>
            <w:tcW w:w="1152" w:type="dxa"/>
            <w:vAlign w:val="center"/>
          </w:tcPr>
          <w:p w14:paraId="435CBD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DB42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87B5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489A37" w14:textId="77777777">
        <w:tc>
          <w:tcPr>
            <w:tcW w:w="2160" w:type="dxa"/>
            <w:vAlign w:val="center"/>
          </w:tcPr>
          <w:p w14:paraId="1E2FCF3E"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B2E4B4D"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negative, the specific follow-up examination should be:</w:t>
            </w:r>
            <w:r w:rsidRPr="00CB2EC4">
              <w:rPr>
                <w:rFonts w:ascii="Times New Roman" w:hAnsi="Times New Roman" w:cs="Times New Roman"/>
              </w:rPr>
              <w:br/>
            </w:r>
            <w:r w:rsidRPr="00CB2EC4">
              <w:rPr>
                <w:rFonts w:ascii="Times New Roman" w:hAnsi="Times New Roman" w:cs="Times New Roman"/>
              </w:rPr>
              <w:br/>
              <w:t xml:space="preserve">→ 1-year repeat co-testing (repeat cytology + HPV testing after 1 year)  </w:t>
            </w:r>
            <w:r w:rsidRPr="00CB2EC4">
              <w:rPr>
                <w:rFonts w:ascii="Times New Roman" w:hAnsi="Times New Roman" w:cs="Times New Roman"/>
              </w:rPr>
              <w:br/>
              <w:t>→ If HPV is untyped, consider clinical symptoms and signs, and refer directly to colposcopy when necessary.</w:t>
            </w:r>
            <w:r w:rsidRPr="00CB2EC4">
              <w:rPr>
                <w:rFonts w:ascii="Times New Roman" w:hAnsi="Times New Roman" w:cs="Times New Roman"/>
              </w:rPr>
              <w:br/>
            </w:r>
            <w:r w:rsidRPr="00CB2EC4">
              <w:rPr>
                <w:rFonts w:ascii="Times New Roman" w:hAnsi="Times New Roman" w:cs="Times New Roman"/>
              </w:rPr>
              <w:br/>
              <w:t xml:space="preserve">therefore, the specific examination is: repeat cytology </w:t>
            </w:r>
            <w:r w:rsidRPr="00CB2EC4">
              <w:rPr>
                <w:rFonts w:ascii="Times New Roman" w:hAnsi="Times New Roman" w:cs="Times New Roman"/>
              </w:rPr>
              <w:lastRenderedPageBreak/>
              <w:t>and HPV co-testing after 1 year; if HPV is untyped, colposcopy may be required.</w:t>
            </w:r>
          </w:p>
        </w:tc>
        <w:tc>
          <w:tcPr>
            <w:tcW w:w="1152" w:type="dxa"/>
            <w:vAlign w:val="center"/>
          </w:tcPr>
          <w:p w14:paraId="2A0B91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8D135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CFE27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27F6D11" w14:textId="77777777">
        <w:tc>
          <w:tcPr>
            <w:tcW w:w="2160" w:type="dxa"/>
            <w:vAlign w:val="center"/>
          </w:tcPr>
          <w:p w14:paraId="55510E2A"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1994776"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cytology is negative and high-risk HPV is positive, the specific follow-up examination should be:</w:t>
            </w:r>
            <w:r w:rsidRPr="00CB2EC4">
              <w:rPr>
                <w:rFonts w:ascii="Times New Roman" w:hAnsi="Times New Roman" w:cs="Times New Roman"/>
              </w:rPr>
              <w:br/>
            </w:r>
            <w:r w:rsidRPr="00CB2EC4">
              <w:rPr>
                <w:rFonts w:ascii="Times New Roman" w:hAnsi="Times New Roman" w:cs="Times New Roman"/>
              </w:rPr>
              <w:br/>
              <w:t>- Perform a repeat combined test (cytology and high-risk HPV) after 1 year.</w:t>
            </w:r>
            <w:r w:rsidRPr="00CB2EC4">
              <w:rPr>
                <w:rFonts w:ascii="Times New Roman" w:hAnsi="Times New Roman" w:cs="Times New Roman"/>
              </w:rPr>
              <w:br/>
              <w:t>- If HPV genotyping is not available, combine with clinical symptoms and signs; if necessary, refer directly for colposcopy.</w:t>
            </w:r>
            <w:r w:rsidRPr="00CB2EC4">
              <w:rPr>
                <w:rFonts w:ascii="Times New Roman" w:hAnsi="Times New Roman" w:cs="Times New Roman"/>
              </w:rPr>
              <w:br/>
            </w:r>
            <w:r w:rsidRPr="00CB2EC4">
              <w:rPr>
                <w:rFonts w:ascii="Times New Roman" w:hAnsi="Times New Roman" w:cs="Times New Roman"/>
              </w:rPr>
              <w:br/>
              <w:t xml:space="preserve">(Reference: Document 1 [Figure 3]: "Cytology (−) &amp; HPV (+) → conduct 1-year follow-up (repeat combined test after 1 year]."  </w:t>
            </w:r>
            <w:r w:rsidRPr="00CB2EC4">
              <w:rPr>
                <w:rFonts w:ascii="Times New Roman" w:hAnsi="Times New Roman" w:cs="Times New Roman"/>
              </w:rPr>
              <w:br/>
              <w:t xml:space="preserve">Document 2 [Section 2.3.3]: "For HPV positive/cytology negative, if genotyping is not performed, combine with clinical symptoms and signs, and refer for colposcopy when necessary."  </w:t>
            </w:r>
            <w:r w:rsidRPr="00CB2EC4">
              <w:rPr>
                <w:rFonts w:ascii="Times New Roman" w:hAnsi="Times New Roman" w:cs="Times New Roman"/>
              </w:rPr>
              <w:br/>
              <w:t>Document 3 [Figure 3]: "Cytology (−) &amp; HPV (+) → conduct 1-year follow-up (repeat combined test after 1 year].")</w:t>
            </w:r>
          </w:p>
        </w:tc>
        <w:tc>
          <w:tcPr>
            <w:tcW w:w="1152" w:type="dxa"/>
            <w:vAlign w:val="center"/>
          </w:tcPr>
          <w:p w14:paraId="10574A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CEA8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219C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9A6142" w14:textId="77777777">
        <w:tc>
          <w:tcPr>
            <w:tcW w:w="2160" w:type="dxa"/>
            <w:vAlign w:val="center"/>
          </w:tcPr>
          <w:p w14:paraId="2D88069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6716110" w14:textId="77777777" w:rsidR="00922249" w:rsidRPr="00CB2EC4" w:rsidRDefault="003011D5">
            <w:pPr>
              <w:rPr>
                <w:rFonts w:ascii="Times New Roman" w:hAnsi="Times New Roman" w:cs="Times New Roman"/>
              </w:rPr>
            </w:pPr>
            <w:r w:rsidRPr="00CB2EC4">
              <w:rPr>
                <w:rFonts w:ascii="Times New Roman" w:hAnsi="Times New Roman" w:cs="Times New Roman"/>
              </w:rPr>
              <w:t>specific examination when HPV is positive and cytology is negative</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  According to the management flowchart for abnormal co-testing results (Figure 3):  </w:t>
            </w:r>
            <w:r w:rsidRPr="00CB2EC4">
              <w:rPr>
                <w:rFonts w:ascii="Times New Roman" w:hAnsi="Times New Roman" w:cs="Times New Roman"/>
              </w:rPr>
              <w:br/>
              <w:t xml:space="preserve">  - If HPV testing is non-genotyping: combine with clinical symptoms and signs; refer directly to colposcopy if necessary (Context Section 1, Clause 2.3.3).  </w:t>
            </w:r>
            <w:r w:rsidRPr="00CB2EC4">
              <w:rPr>
                <w:rFonts w:ascii="Times New Roman" w:hAnsi="Times New Roman" w:cs="Times New Roman"/>
              </w:rPr>
              <w:br/>
              <w:t xml:space="preserve">  - If HPV genotyping testing is positive for other 12 </w:t>
            </w:r>
            <w:r w:rsidRPr="00CB2EC4">
              <w:rPr>
                <w:rFonts w:ascii="Times New Roman" w:hAnsi="Times New Roman" w:cs="Times New Roman"/>
              </w:rPr>
              <w:lastRenderedPageBreak/>
              <w:t>types: recommend follow-up after 1 year (repeat cytology + HPV co-testing) (Context Section 1, Clause 2.3.3; Section 2, Figure 4, Branch 5).</w:t>
            </w:r>
          </w:p>
        </w:tc>
        <w:tc>
          <w:tcPr>
            <w:tcW w:w="1152" w:type="dxa"/>
            <w:vAlign w:val="center"/>
          </w:tcPr>
          <w:p w14:paraId="56A581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677FB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3EB15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521020" w14:textId="77777777">
        <w:tc>
          <w:tcPr>
            <w:tcW w:w="2160" w:type="dxa"/>
            <w:vAlign w:val="center"/>
          </w:tcPr>
          <w:p w14:paraId="5991FF3C"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0F98DF7"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negative, the following specific examinations should be performed:</w:t>
            </w:r>
            <w:r w:rsidRPr="00CB2EC4">
              <w:rPr>
                <w:rFonts w:ascii="Times New Roman" w:hAnsi="Times New Roman" w:cs="Times New Roman"/>
              </w:rPr>
              <w:br/>
            </w:r>
            <w:r w:rsidRPr="00CB2EC4">
              <w:rPr>
                <w:rFonts w:ascii="Times New Roman" w:hAnsi="Times New Roman" w:cs="Times New Roman"/>
              </w:rPr>
              <w:br/>
              <w:t>- If HPV genotyping shows HPV16/18 positive: refer immediately for colposcopy (as indicated in Document Fragment 1, "branch 5"; Fragment 3, "HPV genotyping positive for HPV16, 18, refer immediately for colposcopy").</w:t>
            </w:r>
            <w:r w:rsidRPr="00CB2EC4">
              <w:rPr>
                <w:rFonts w:ascii="Times New Roman" w:hAnsi="Times New Roman" w:cs="Times New Roman"/>
              </w:rPr>
              <w:br/>
              <w:t>- If HPV genotyping shows positivity for other 12 high-risk HPV types: recommend repeating cytology + HPV co-testing after 1 year (as in Document Fragment 1, "HPV16/18 negative but other 12 high-risk HPV types positive → 1-year follow-up").</w:t>
            </w:r>
            <w:r w:rsidRPr="00CB2EC4">
              <w:rPr>
                <w:rFonts w:ascii="Times New Roman" w:hAnsi="Times New Roman" w:cs="Times New Roman"/>
              </w:rPr>
              <w:br/>
              <w:t>- If HPV genotyping has not been performed (i.e., untyped HPV positive): recommend direct referral for colposcopy, or decide based on clinical symptoms and signs (as in Document Fragment 3, "if HPV has not undergone genotyping testing, suggest combining with clinical symptoms and signs, and refer directly for colposcopy when necessary").</w:t>
            </w:r>
            <w:r w:rsidRPr="00CB2EC4">
              <w:rPr>
                <w:rFonts w:ascii="Times New Roman" w:hAnsi="Times New Roman" w:cs="Times New Roman"/>
              </w:rPr>
              <w:br/>
            </w:r>
            <w:r w:rsidRPr="00CB2EC4">
              <w:rPr>
                <w:rFonts w:ascii="Times New Roman" w:hAnsi="Times New Roman" w:cs="Times New Roman"/>
              </w:rPr>
              <w:br/>
              <w:t>In summary, the specific examination depends on HPV genotyping results: after genotyping, choose colposcopy or 1-year follow-up based on the result; if genotyping has not been done, prioritize colposcopy.</w:t>
            </w:r>
          </w:p>
        </w:tc>
        <w:tc>
          <w:tcPr>
            <w:tcW w:w="1152" w:type="dxa"/>
            <w:vAlign w:val="center"/>
          </w:tcPr>
          <w:p w14:paraId="10C82F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D3E5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1DCD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108496" w14:textId="77777777">
        <w:tc>
          <w:tcPr>
            <w:tcW w:w="2160" w:type="dxa"/>
            <w:vAlign w:val="center"/>
          </w:tcPr>
          <w:p w14:paraId="3F415F83"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9F9EDC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cytology and high-risk HPV co-testing show HPV positive and cytology negative, the specific follow-up examination should </w:t>
            </w:r>
            <w:r w:rsidRPr="00CB2EC4">
              <w:rPr>
                <w:rFonts w:ascii="Times New Roman" w:hAnsi="Times New Roman" w:cs="Times New Roman"/>
              </w:rPr>
              <w:lastRenderedPageBreak/>
              <w:t>be:</w:t>
            </w:r>
            <w:r w:rsidRPr="00CB2EC4">
              <w:rPr>
                <w:rFonts w:ascii="Times New Roman" w:hAnsi="Times New Roman" w:cs="Times New Roman"/>
              </w:rPr>
              <w:br/>
            </w:r>
            <w:r w:rsidRPr="00CB2EC4">
              <w:rPr>
                <w:rFonts w:ascii="Times New Roman" w:hAnsi="Times New Roman" w:cs="Times New Roman"/>
              </w:rPr>
              <w:br/>
              <w:t>- Processing branch 4: cytology (−) &amp; HPV (+) → perform repeat cytology and high-risk HPV co-testing after 1 year (i.e., annual follow-up).</w:t>
            </w:r>
            <w:r w:rsidRPr="00CB2EC4">
              <w:rPr>
                <w:rFonts w:ascii="Times New Roman" w:hAnsi="Times New Roman" w:cs="Times New Roman"/>
              </w:rPr>
              <w:br/>
              <w:t xml:space="preserve">  The document explicitly states: "4. Cytology (−) &amp; HPV (+) should undergo re-examination after 1 year (repeat co-testing after 1 year)".</w:t>
            </w:r>
            <w:r w:rsidRPr="00CB2EC4">
              <w:rPr>
                <w:rFonts w:ascii="Times New Roman" w:hAnsi="Times New Roman" w:cs="Times New Roman"/>
              </w:rPr>
              <w:br/>
              <w:t xml:space="preserve">  Therefore, the specific examination is: repeat cytology and high-risk HPV co-testing after 1 year. Immediate referral for colposcopy or other examinations is not required.</w:t>
            </w:r>
          </w:p>
        </w:tc>
        <w:tc>
          <w:tcPr>
            <w:tcW w:w="1152" w:type="dxa"/>
            <w:vAlign w:val="center"/>
          </w:tcPr>
          <w:p w14:paraId="142470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4F6B3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75196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577E097" w14:textId="77777777">
        <w:tc>
          <w:tcPr>
            <w:tcW w:w="2160" w:type="dxa"/>
            <w:vAlign w:val="center"/>
          </w:tcPr>
          <w:p w14:paraId="04BB439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F1D9EB3" w14:textId="77777777" w:rsidR="00922249" w:rsidRPr="00CB2EC4" w:rsidRDefault="003011D5">
            <w:pPr>
              <w:rPr>
                <w:rFonts w:ascii="Times New Roman" w:hAnsi="Times New Roman" w:cs="Times New Roman"/>
              </w:rPr>
            </w:pPr>
            <w:r w:rsidRPr="00CB2EC4">
              <w:rPr>
                <w:rFonts w:ascii="Times New Roman" w:hAnsi="Times New Roman" w:cs="Times New Roman"/>
              </w:rPr>
              <w:t>when cytology and high-risk HPV co-testing show HPV positive and cytology negative, the specific follow-up is to repeat the co-test (cytology + high-risk HPV) after 1 year.</w:t>
            </w:r>
            <w:r w:rsidRPr="00CB2EC4">
              <w:rPr>
                <w:rFonts w:ascii="Times New Roman" w:hAnsi="Times New Roman" w:cs="Times New Roman"/>
              </w:rPr>
              <w:br/>
            </w:r>
            <w:r w:rsidRPr="00CB2EC4">
              <w:rPr>
                <w:rFonts w:ascii="Times New Roman" w:hAnsi="Times New Roman" w:cs="Times New Roman"/>
              </w:rPr>
              <w:br/>
              <w:t>according to the contextual information (document fragment 1, document fragment 3):</w:t>
            </w:r>
            <w:r w:rsidRPr="00CB2EC4">
              <w:rPr>
                <w:rFonts w:ascii="Times New Roman" w:hAnsi="Times New Roman" w:cs="Times New Roman"/>
              </w:rPr>
              <w:br/>
              <w:t>- if cytology is negative (-) → recommend repeating cytology + HPV co-test after 1 year.</w:t>
            </w:r>
            <w:r w:rsidRPr="00CB2EC4">
              <w:rPr>
                <w:rFonts w:ascii="Times New Roman" w:hAnsi="Times New Roman" w:cs="Times New Roman"/>
              </w:rPr>
              <w:br/>
              <w:t>- document fragment 3 further specifies: "based on test results, there are 4 branches: ... cytology (-) &amp; HPV (+) → perform 1-year follow-up (repeat co-test after 1 year)."</w:t>
            </w:r>
            <w:r w:rsidRPr="00CB2EC4">
              <w:rPr>
                <w:rFonts w:ascii="Times New Roman" w:hAnsi="Times New Roman" w:cs="Times New Roman"/>
              </w:rPr>
              <w:br/>
              <w:t>therefore, the specific examination is annual follow-up co-testing (i.e., repeat the same cytology and HPV co-test after 1 year), with no immediate referral for colposcopy or other additional tests.</w:t>
            </w:r>
          </w:p>
        </w:tc>
        <w:tc>
          <w:tcPr>
            <w:tcW w:w="1152" w:type="dxa"/>
            <w:vAlign w:val="center"/>
          </w:tcPr>
          <w:p w14:paraId="4E5E09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89F50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2DF8E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EF883A6" w14:textId="77777777">
        <w:tc>
          <w:tcPr>
            <w:tcW w:w="2160" w:type="dxa"/>
            <w:vAlign w:val="center"/>
          </w:tcPr>
          <w:p w14:paraId="52EFDED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743C939"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combined cytology and high-risk HPV testing shows HPV positive and cytology negative, the following specific examinations should be performed:</w:t>
            </w:r>
            <w:r w:rsidRPr="00CB2EC4">
              <w:rPr>
                <w:rFonts w:ascii="Times New Roman" w:hAnsi="Times New Roman" w:cs="Times New Roman"/>
              </w:rPr>
              <w:br/>
            </w:r>
            <w:r w:rsidRPr="00CB2EC4">
              <w:rPr>
                <w:rFonts w:ascii="Times New Roman" w:hAnsi="Times New Roman" w:cs="Times New Roman"/>
              </w:rPr>
              <w:lastRenderedPageBreak/>
              <w:br/>
              <w:t>- If HPV genotyping is available:</w:t>
            </w:r>
            <w:r w:rsidRPr="00CB2EC4">
              <w:rPr>
                <w:rFonts w:ascii="Times New Roman" w:hAnsi="Times New Roman" w:cs="Times New Roman"/>
              </w:rPr>
              <w:br/>
              <w:t xml:space="preserve">  - HPV16/18 positive: refer immediately for colposcopy.</w:t>
            </w:r>
            <w:r w:rsidRPr="00CB2EC4">
              <w:rPr>
                <w:rFonts w:ascii="Times New Roman" w:hAnsi="Times New Roman" w:cs="Times New Roman"/>
              </w:rPr>
              <w:br/>
              <w:t xml:space="preserve">  - HPV16/18 negative but positive for other 12 high-risk HPV types: recommend repeating combined cytology and HPV testing after 1 year (i.e., annual follow-up).</w:t>
            </w:r>
            <w:r w:rsidRPr="00CB2EC4">
              <w:rPr>
                <w:rFonts w:ascii="Times New Roman" w:hAnsi="Times New Roman" w:cs="Times New Roman"/>
              </w:rPr>
              <w:br/>
              <w:t>- If HPV testing is not genotyped (i.e., no typing performed): suggest combining with clinical symptoms and signs, and refer directly for colposcopy when necessary.</w:t>
            </w:r>
            <w:r w:rsidRPr="00CB2EC4">
              <w:rPr>
                <w:rFonts w:ascii="Times New Roman" w:hAnsi="Times New Roman" w:cs="Times New Roman"/>
              </w:rPr>
              <w:br/>
              <w:t xml:space="preserve">  Summary of specific examination steps:</w:t>
            </w:r>
            <w:r w:rsidRPr="00CB2EC4">
              <w:rPr>
                <w:rFonts w:ascii="Times New Roman" w:hAnsi="Times New Roman" w:cs="Times New Roman"/>
              </w:rPr>
              <w:br/>
            </w:r>
            <w:r w:rsidRPr="00CB2EC4">
              <w:rPr>
                <w:rFonts w:ascii="Times New Roman" w:hAnsi="Times New Roman" w:cs="Times New Roman"/>
              </w:rPr>
              <w:br/>
              <w:t>1. Prioritize HPV genotyping testing (if not already performed).</w:t>
            </w:r>
            <w:r w:rsidRPr="00CB2EC4">
              <w:rPr>
                <w:rFonts w:ascii="Times New Roman" w:hAnsi="Times New Roman" w:cs="Times New Roman"/>
              </w:rPr>
              <w:br/>
              <w:t>2. Based on genotyping results:</w:t>
            </w:r>
            <w:r w:rsidRPr="00CB2EC4">
              <w:rPr>
                <w:rFonts w:ascii="Times New Roman" w:hAnsi="Times New Roman" w:cs="Times New Roman"/>
              </w:rPr>
              <w:br/>
              <w:t xml:space="preserve">   - HPV16/18 positive → colposcopy.</w:t>
            </w:r>
            <w:r w:rsidRPr="00CB2EC4">
              <w:rPr>
                <w:rFonts w:ascii="Times New Roman" w:hAnsi="Times New Roman" w:cs="Times New Roman"/>
              </w:rPr>
              <w:br/>
              <w:t xml:space="preserve">   - Other 12 types positive → repeat combined testing (cytology + HPV) after 1 year.</w:t>
            </w:r>
            <w:r w:rsidRPr="00CB2EC4">
              <w:rPr>
                <w:rFonts w:ascii="Times New Roman" w:hAnsi="Times New Roman" w:cs="Times New Roman"/>
              </w:rPr>
              <w:br/>
              <w:t>3. If no genotyping → refer directly for colposcopy when necessary (based on clinical judgment, as emphasized in the document).</w:t>
            </w:r>
            <w:r w:rsidRPr="00CB2EC4">
              <w:rPr>
                <w:rFonts w:ascii="Times New Roman" w:hAnsi="Times New Roman" w:cs="Times New Roman"/>
              </w:rPr>
              <w:br/>
              <w:t xml:space="preserve">   Document reference: Fragment with similarity 0.620 states "2.3.3 HPV positive / cytology negative: </w:t>
            </w:r>
            <w:r w:rsidRPr="00CB2EC4">
              <w:rPr>
                <w:rFonts w:ascii="宋体" w:eastAsia="宋体" w:hAnsi="宋体" w:cs="宋体" w:hint="eastAsia"/>
              </w:rPr>
              <w:t>①</w:t>
            </w:r>
            <w:r w:rsidRPr="00CB2EC4">
              <w:rPr>
                <w:rFonts w:ascii="Times New Roman" w:hAnsi="Times New Roman" w:cs="Times New Roman"/>
              </w:rPr>
              <w:t xml:space="preserve"> If HPV genotyped and HPV16, 18 positive, refer immediately for colposcopy; </w:t>
            </w:r>
            <w:r w:rsidRPr="00CB2EC4">
              <w:rPr>
                <w:rFonts w:ascii="宋体" w:eastAsia="宋体" w:hAnsi="宋体" w:cs="宋体" w:hint="eastAsia"/>
              </w:rPr>
              <w:t>②</w:t>
            </w:r>
            <w:r w:rsidRPr="00CB2EC4">
              <w:rPr>
                <w:rFonts w:ascii="Times New Roman" w:hAnsi="Times New Roman" w:cs="Times New Roman"/>
              </w:rPr>
              <w:t xml:space="preserve"> If HPV not genotyped, suggest combining with clinical symptoms and signs, refer directly for colposcopy when necessary"; fragment with similarity 0.623 states "4. Cytology (−) &amp; HPV (+) then perform 1-year follow-up."</w:t>
            </w:r>
          </w:p>
        </w:tc>
        <w:tc>
          <w:tcPr>
            <w:tcW w:w="1152" w:type="dxa"/>
            <w:vAlign w:val="center"/>
          </w:tcPr>
          <w:p w14:paraId="5E8B6C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5D2CC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F1BD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B13BD87" w14:textId="77777777">
        <w:tc>
          <w:tcPr>
            <w:tcW w:w="2160" w:type="dxa"/>
            <w:vAlign w:val="center"/>
          </w:tcPr>
          <w:p w14:paraId="0EDF4C20"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77832C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cytology and high-risk </w:t>
            </w:r>
            <w:r w:rsidRPr="00CB2EC4">
              <w:rPr>
                <w:rFonts w:ascii="Times New Roman" w:hAnsi="Times New Roman" w:cs="Times New Roman"/>
              </w:rPr>
              <w:lastRenderedPageBreak/>
              <w:t>HPV co-testing shows HPV positive and cytology negative, the specific follow-up action is:</w:t>
            </w:r>
            <w:r w:rsidRPr="00CB2EC4">
              <w:rPr>
                <w:rFonts w:ascii="Times New Roman" w:hAnsi="Times New Roman" w:cs="Times New Roman"/>
              </w:rPr>
              <w:br/>
            </w:r>
            <w:r w:rsidRPr="00CB2EC4">
              <w:rPr>
                <w:rFonts w:ascii="Times New Roman" w:hAnsi="Times New Roman" w:cs="Times New Roman"/>
              </w:rPr>
              <w:br/>
              <w:t>- Perform repeat co-testing (cytology + HPV test) after 1 year.</w:t>
            </w:r>
            <w:r w:rsidRPr="00CB2EC4">
              <w:rPr>
                <w:rFonts w:ascii="Times New Roman" w:hAnsi="Times New Roman" w:cs="Times New Roman"/>
              </w:rPr>
              <w:br/>
            </w:r>
            <w:r w:rsidRPr="00CB2EC4">
              <w:rPr>
                <w:rFonts w:ascii="Times New Roman" w:hAnsi="Times New Roman" w:cs="Times New Roman"/>
              </w:rPr>
              <w:br/>
              <w:t>- Basis: Document fragment 2 (relevance: 0.9854) explicitly states: "Cytology (−) &amp; HPV (+) → perform 1-year follow-up (repeat co-testing after 1 year)". Document fragment 4 (relevance: 0.9653) also states: "HPV positive / cytology negative → perform 1-year follow-up (repeat co-testing after 1 year)".</w:t>
            </w:r>
            <w:r w:rsidRPr="00CB2EC4">
              <w:rPr>
                <w:rFonts w:ascii="Times New Roman" w:hAnsi="Times New Roman" w:cs="Times New Roman"/>
              </w:rPr>
              <w:br/>
              <w:t>- Specific steps: It is recommended to repeat cytology and high-risk HPV co-testing after 1 year to monitor for lesion progression. If the follow-up result is abnormal, proceed to the corresponding management pathway (e.g., referral for colposcopy) based on the new findings.</w:t>
            </w:r>
          </w:p>
        </w:tc>
        <w:tc>
          <w:tcPr>
            <w:tcW w:w="1152" w:type="dxa"/>
            <w:vAlign w:val="center"/>
          </w:tcPr>
          <w:p w14:paraId="4940DD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874BB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15313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2BE44A5" w14:textId="77777777">
        <w:tc>
          <w:tcPr>
            <w:tcW w:w="2160" w:type="dxa"/>
            <w:vAlign w:val="center"/>
          </w:tcPr>
          <w:p w14:paraId="7F5ABA82"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6B1FE98"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negative, the specific follow-up action is:</w:t>
            </w:r>
            <w:r w:rsidRPr="00CB2EC4">
              <w:rPr>
                <w:rFonts w:ascii="Times New Roman" w:hAnsi="Times New Roman" w:cs="Times New Roman"/>
              </w:rPr>
              <w:br/>
            </w:r>
            <w:r w:rsidRPr="00CB2EC4">
              <w:rPr>
                <w:rFonts w:ascii="Times New Roman" w:hAnsi="Times New Roman" w:cs="Times New Roman"/>
              </w:rPr>
              <w:br/>
              <w:t>Based on contextual information (Figure 3 in relevant excerpt 1: management flowchart for abnormal results in cytology + high-risk HPV co-testing), when cytology result is negative (-) and high-risk HPV test is positive (+), a repeat co-test (cytology + HPV) should be performed after 1 year (i.e., annual follow-up). The specific process is described as: “Cytology (-) &amp; HPV (+) → then perform 1-year follow-up (repeat co-testing after 1 year)”. This aims to monitor HPV infection status and avoid overtreatment, as negative cytology indicates no significant cellular abnormality at present.</w:t>
            </w:r>
            <w:r w:rsidRPr="00CB2EC4">
              <w:rPr>
                <w:rFonts w:ascii="Times New Roman" w:hAnsi="Times New Roman" w:cs="Times New Roman"/>
              </w:rPr>
              <w:br/>
            </w:r>
            <w:r w:rsidRPr="00CB2EC4">
              <w:rPr>
                <w:rFonts w:ascii="Times New Roman" w:hAnsi="Times New Roman" w:cs="Times New Roman"/>
              </w:rPr>
              <w:lastRenderedPageBreak/>
              <w:br/>
              <w:t>Answer: Perform repeat cytology + high-risk HPV co-testing after 1 year (annual follow-up).</w:t>
            </w:r>
          </w:p>
        </w:tc>
        <w:tc>
          <w:tcPr>
            <w:tcW w:w="1152" w:type="dxa"/>
            <w:vAlign w:val="center"/>
          </w:tcPr>
          <w:p w14:paraId="0580E0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C2A47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D0FD0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BDF2C36" w14:textId="77777777">
        <w:tc>
          <w:tcPr>
            <w:tcW w:w="2160" w:type="dxa"/>
            <w:vAlign w:val="center"/>
          </w:tcPr>
          <w:p w14:paraId="785C43B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69F5C51" w14:textId="77777777" w:rsidR="00922249" w:rsidRPr="00CB2EC4" w:rsidRDefault="003011D5">
            <w:pPr>
              <w:rPr>
                <w:rFonts w:ascii="Times New Roman" w:hAnsi="Times New Roman" w:cs="Times New Roman"/>
              </w:rPr>
            </w:pPr>
            <w:r w:rsidRPr="00CB2EC4">
              <w:rPr>
                <w:rFonts w:ascii="Times New Roman" w:hAnsi="Times New Roman" w:cs="Times New Roman"/>
              </w:rPr>
              <w:t>HPV positive and cytology negative:</w:t>
            </w:r>
            <w:r w:rsidRPr="00CB2EC4">
              <w:rPr>
                <w:rFonts w:ascii="Times New Roman" w:hAnsi="Times New Roman" w:cs="Times New Roman"/>
              </w:rPr>
              <w:br/>
            </w:r>
            <w:r w:rsidRPr="00CB2EC4">
              <w:rPr>
                <w:rFonts w:ascii="Times New Roman" w:hAnsi="Times New Roman" w:cs="Times New Roman"/>
              </w:rPr>
              <w:br/>
              <w:t xml:space="preserve">Next step examination:  </w:t>
            </w:r>
            <w:r w:rsidRPr="00CB2EC4">
              <w:rPr>
                <w:rFonts w:ascii="Times New Roman" w:hAnsi="Times New Roman" w:cs="Times New Roman"/>
              </w:rPr>
              <w:br/>
              <w:t xml:space="preserve">- 12-month follow-up with co-testing (HPV testing + cytology).  </w:t>
            </w:r>
            <w:r w:rsidRPr="00CB2EC4">
              <w:rPr>
                <w:rFonts w:ascii="Times New Roman" w:hAnsi="Times New Roman" w:cs="Times New Roman"/>
              </w:rPr>
              <w:br/>
              <w:t xml:space="preserve">  *Rationale: The 2019 ASCCP Consensus Guidelines indicate that patients in this category have a low risk of CIN3+ (&lt;1%) and recommend 12-month follow-up rather than immediate colposcopy (evidence level: B).*</w:t>
            </w:r>
          </w:p>
        </w:tc>
        <w:tc>
          <w:tcPr>
            <w:tcW w:w="1152" w:type="dxa"/>
            <w:vAlign w:val="center"/>
          </w:tcPr>
          <w:p w14:paraId="2AA53A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CDF7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9EF3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5A4EF7" w14:textId="77777777">
        <w:tc>
          <w:tcPr>
            <w:tcW w:w="10656" w:type="dxa"/>
            <w:gridSpan w:val="5"/>
            <w:tcBorders>
              <w:bottom w:val="single" w:sz="6" w:space="0" w:color="auto"/>
            </w:tcBorders>
            <w:vAlign w:val="center"/>
          </w:tcPr>
          <w:p w14:paraId="1BB0027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17: In cervical cancer detection, if joint testing of cytology and high-risk HPV shows HPV-positive and the cytological result is negative, and the HPV typing is HPV16/18 positive, what specific examinations should follow?</w:t>
            </w:r>
          </w:p>
        </w:tc>
      </w:tr>
      <w:tr w:rsidR="00922249" w:rsidRPr="00CB2EC4" w14:paraId="7A4AE58B" w14:textId="77777777">
        <w:tc>
          <w:tcPr>
            <w:tcW w:w="2160" w:type="dxa"/>
            <w:vAlign w:val="center"/>
          </w:tcPr>
          <w:p w14:paraId="05943020"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106FFA9" w14:textId="77777777" w:rsidR="00922249" w:rsidRPr="00CB2EC4" w:rsidRDefault="003011D5">
            <w:pPr>
              <w:rPr>
                <w:rFonts w:ascii="Times New Roman" w:hAnsi="Times New Roman" w:cs="Times New Roman"/>
              </w:rPr>
            </w:pPr>
            <w:r w:rsidRPr="00CB2EC4">
              <w:rPr>
                <w:rFonts w:ascii="Times New Roman" w:hAnsi="Times New Roman" w:cs="Times New Roman"/>
              </w:rPr>
              <w:t>immediately refer for colposcopy.</w:t>
            </w:r>
          </w:p>
        </w:tc>
        <w:tc>
          <w:tcPr>
            <w:tcW w:w="1152" w:type="dxa"/>
            <w:vAlign w:val="center"/>
          </w:tcPr>
          <w:p w14:paraId="248ACD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FBE4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6B73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49A103" w14:textId="77777777">
        <w:tc>
          <w:tcPr>
            <w:tcW w:w="2160" w:type="dxa"/>
            <w:vAlign w:val="center"/>
          </w:tcPr>
          <w:p w14:paraId="26550A45"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777CDD0" w14:textId="77777777" w:rsidR="00922249" w:rsidRPr="00CB2EC4" w:rsidRDefault="003011D5">
            <w:pPr>
              <w:rPr>
                <w:rFonts w:ascii="Times New Roman" w:hAnsi="Times New Roman" w:cs="Times New Roman"/>
              </w:rPr>
            </w:pPr>
            <w:r w:rsidRPr="00CB2EC4">
              <w:rPr>
                <w:rFonts w:ascii="Times New Roman" w:hAnsi="Times New Roman" w:cs="Times New Roman"/>
              </w:rPr>
              <w:t>management for HPV positive, cytology negative and HPV16/18 positive cases</w:t>
            </w:r>
            <w:r w:rsidRPr="00CB2EC4">
              <w:rPr>
                <w:rFonts w:ascii="Times New Roman" w:hAnsi="Times New Roman" w:cs="Times New Roman"/>
              </w:rPr>
              <w:br/>
            </w:r>
            <w:r w:rsidRPr="00CB2EC4">
              <w:rPr>
                <w:rFonts w:ascii="Times New Roman" w:hAnsi="Times New Roman" w:cs="Times New Roman"/>
              </w:rPr>
              <w:br/>
              <w:t xml:space="preserve">Specific action: Immediate referral for colposcopy (Document fragment 1, block 1; Document fragment 2, block 59).  </w:t>
            </w:r>
            <w:r w:rsidRPr="00CB2EC4">
              <w:rPr>
                <w:rFonts w:ascii="Times New Roman" w:hAnsi="Times New Roman" w:cs="Times New Roman"/>
              </w:rPr>
              <w:br/>
              <w:t xml:space="preserve">  *Rationale: Patients positive for HPV16/18 proceed directly to colposcopy without awaiting additional triage tests.*</w:t>
            </w:r>
          </w:p>
        </w:tc>
        <w:tc>
          <w:tcPr>
            <w:tcW w:w="1152" w:type="dxa"/>
            <w:vAlign w:val="center"/>
          </w:tcPr>
          <w:p w14:paraId="3A1F68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024C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3C4C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563AFC6" w14:textId="77777777">
        <w:tc>
          <w:tcPr>
            <w:tcW w:w="2160" w:type="dxa"/>
            <w:vAlign w:val="center"/>
          </w:tcPr>
          <w:p w14:paraId="6CB2D025"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2E81667" w14:textId="77777777" w:rsidR="00922249" w:rsidRPr="00CB2EC4" w:rsidRDefault="003011D5">
            <w:pPr>
              <w:rPr>
                <w:rFonts w:ascii="Times New Roman" w:hAnsi="Times New Roman" w:cs="Times New Roman"/>
              </w:rPr>
            </w:pPr>
            <w:r w:rsidRPr="00CB2EC4">
              <w:rPr>
                <w:rFonts w:ascii="Times New Roman" w:hAnsi="Times New Roman" w:cs="Times New Roman"/>
              </w:rPr>
              <w:t>immediately refer for colposcopy.</w:t>
            </w:r>
          </w:p>
        </w:tc>
        <w:tc>
          <w:tcPr>
            <w:tcW w:w="1152" w:type="dxa"/>
            <w:vAlign w:val="center"/>
          </w:tcPr>
          <w:p w14:paraId="3CB023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57FD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B629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7E8DED" w14:textId="77777777">
        <w:tc>
          <w:tcPr>
            <w:tcW w:w="2160" w:type="dxa"/>
            <w:vAlign w:val="center"/>
          </w:tcPr>
          <w:p w14:paraId="0C5B44AE"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4668388" w14:textId="77777777" w:rsidR="00922249" w:rsidRPr="00CB2EC4" w:rsidRDefault="003011D5">
            <w:pPr>
              <w:rPr>
                <w:rFonts w:ascii="Times New Roman" w:hAnsi="Times New Roman" w:cs="Times New Roman"/>
              </w:rPr>
            </w:pPr>
            <w:r w:rsidRPr="00CB2EC4">
              <w:rPr>
                <w:rFonts w:ascii="Times New Roman" w:hAnsi="Times New Roman" w:cs="Times New Roman"/>
              </w:rPr>
              <w:t>management of HPV16/18 positive and cytology negative</w:t>
            </w:r>
            <w:r w:rsidRPr="00CB2EC4">
              <w:rPr>
                <w:rFonts w:ascii="Times New Roman" w:hAnsi="Times New Roman" w:cs="Times New Roman"/>
              </w:rPr>
              <w:br/>
            </w:r>
            <w:r w:rsidRPr="00CB2EC4">
              <w:rPr>
                <w:rFonts w:ascii="Times New Roman" w:hAnsi="Times New Roman" w:cs="Times New Roman"/>
              </w:rPr>
              <w:br/>
              <w:t xml:space="preserve">knowledge base reference (Figure 3 flowchart &amp; text description):  </w:t>
            </w:r>
            <w:r w:rsidRPr="00CB2EC4">
              <w:rPr>
                <w:rFonts w:ascii="Times New Roman" w:hAnsi="Times New Roman" w:cs="Times New Roman"/>
              </w:rPr>
              <w:br/>
              <w:t xml:space="preserve">Regardless of cytology results, HPV16/18 positivity requires immediate referral for colposcopy:  </w:t>
            </w:r>
            <w:r w:rsidRPr="00CB2EC4">
              <w:rPr>
                <w:rFonts w:ascii="Times New Roman" w:hAnsi="Times New Roman" w:cs="Times New Roman"/>
              </w:rPr>
              <w:br/>
            </w:r>
            <w:r w:rsidRPr="00CB2EC4">
              <w:rPr>
                <w:rFonts w:ascii="Times New Roman" w:hAnsi="Times New Roman" w:cs="Times New Roman"/>
              </w:rPr>
              <w:lastRenderedPageBreak/>
              <w:br/>
              <w:t xml:space="preserve">- Figure 3 flowchart: Cytology (-) &amp; HPV (+) with typing HPV16/18 (+) → immediate referral for colposcopy  </w:t>
            </w:r>
            <w:r w:rsidRPr="00CB2EC4">
              <w:rPr>
                <w:rFonts w:ascii="Times New Roman" w:hAnsi="Times New Roman" w:cs="Times New Roman"/>
              </w:rPr>
              <w:br/>
              <w:t xml:space="preserve">- Text evidence: "HPV16, 18 positive, refer immediately for colposcopy" (Section 2.3.3)  </w:t>
            </w:r>
            <w:r w:rsidRPr="00CB2EC4">
              <w:rPr>
                <w:rFonts w:ascii="Times New Roman" w:hAnsi="Times New Roman" w:cs="Times New Roman"/>
              </w:rPr>
              <w:br/>
            </w:r>
            <w:r w:rsidRPr="00CB2EC4">
              <w:rPr>
                <w:rFonts w:ascii="Times New Roman" w:hAnsi="Times New Roman" w:cs="Times New Roman"/>
              </w:rPr>
              <w:br/>
              <w:t>&gt; Conclusion: No additional testing required; refer directly for colposcopy.</w:t>
            </w:r>
          </w:p>
        </w:tc>
        <w:tc>
          <w:tcPr>
            <w:tcW w:w="1152" w:type="dxa"/>
            <w:vAlign w:val="center"/>
          </w:tcPr>
          <w:p w14:paraId="0BD0B4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A3A0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4418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ED3A99" w14:textId="77777777">
        <w:tc>
          <w:tcPr>
            <w:tcW w:w="2160" w:type="dxa"/>
            <w:vAlign w:val="center"/>
          </w:tcPr>
          <w:p w14:paraId="4517A0E7"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684A40C" w14:textId="77777777" w:rsidR="00922249" w:rsidRPr="00CB2EC4" w:rsidRDefault="003011D5">
            <w:pPr>
              <w:rPr>
                <w:rFonts w:ascii="Times New Roman" w:hAnsi="Times New Roman" w:cs="Times New Roman"/>
              </w:rPr>
            </w:pPr>
            <w:r w:rsidRPr="00CB2EC4">
              <w:rPr>
                <w:rFonts w:ascii="Times New Roman" w:hAnsi="Times New Roman" w:cs="Times New Roman"/>
              </w:rPr>
              <w:t>immediately refer for colposcopy.</w:t>
            </w:r>
          </w:p>
        </w:tc>
        <w:tc>
          <w:tcPr>
            <w:tcW w:w="1152" w:type="dxa"/>
            <w:vAlign w:val="center"/>
          </w:tcPr>
          <w:p w14:paraId="199629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D3C4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1D23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E67D11" w14:textId="77777777">
        <w:tc>
          <w:tcPr>
            <w:tcW w:w="2160" w:type="dxa"/>
            <w:vAlign w:val="center"/>
          </w:tcPr>
          <w:p w14:paraId="7EEDC84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3289387" w14:textId="77777777" w:rsidR="00922249" w:rsidRPr="00CB2EC4" w:rsidRDefault="003011D5">
            <w:pPr>
              <w:rPr>
                <w:rFonts w:ascii="Times New Roman" w:hAnsi="Times New Roman" w:cs="Times New Roman"/>
              </w:rPr>
            </w:pPr>
            <w:r w:rsidRPr="00CB2EC4">
              <w:rPr>
                <w:rFonts w:ascii="Times New Roman" w:hAnsi="Times New Roman" w:cs="Times New Roman"/>
              </w:rPr>
              <w:t>immediately refer for colposcopy.</w:t>
            </w:r>
          </w:p>
        </w:tc>
        <w:tc>
          <w:tcPr>
            <w:tcW w:w="1152" w:type="dxa"/>
            <w:vAlign w:val="center"/>
          </w:tcPr>
          <w:p w14:paraId="46B045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71FC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E31D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26AAC6" w14:textId="77777777">
        <w:tc>
          <w:tcPr>
            <w:tcW w:w="2160" w:type="dxa"/>
            <w:vAlign w:val="center"/>
          </w:tcPr>
          <w:p w14:paraId="0258B40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FFFCCB0" w14:textId="77777777" w:rsidR="00922249" w:rsidRPr="00CB2EC4" w:rsidRDefault="003011D5">
            <w:pPr>
              <w:rPr>
                <w:rFonts w:ascii="Times New Roman" w:hAnsi="Times New Roman" w:cs="Times New Roman"/>
              </w:rPr>
            </w:pPr>
            <w:r w:rsidRPr="00CB2EC4">
              <w:rPr>
                <w:rFonts w:ascii="Times New Roman" w:hAnsi="Times New Roman" w:cs="Times New Roman"/>
              </w:rPr>
              <w:t>immediate referral for colposcopy (context information paragraph 1, clause 2.3.3; paragraph 3 Figure 1 flowchart; paragraph 4 section 2.1).</w:t>
            </w:r>
          </w:p>
        </w:tc>
        <w:tc>
          <w:tcPr>
            <w:tcW w:w="1152" w:type="dxa"/>
            <w:vAlign w:val="center"/>
          </w:tcPr>
          <w:p w14:paraId="335C39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11E7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FD1B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680B78" w14:textId="77777777">
        <w:tc>
          <w:tcPr>
            <w:tcW w:w="2160" w:type="dxa"/>
            <w:vAlign w:val="center"/>
          </w:tcPr>
          <w:p w14:paraId="407231E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7F0C800" w14:textId="77777777" w:rsidR="00922249" w:rsidRPr="00CB2EC4" w:rsidRDefault="003011D5">
            <w:pPr>
              <w:rPr>
                <w:rFonts w:ascii="Times New Roman" w:hAnsi="Times New Roman" w:cs="Times New Roman"/>
              </w:rPr>
            </w:pPr>
            <w:r w:rsidRPr="00CB2EC4">
              <w:rPr>
                <w:rFonts w:ascii="Times New Roman" w:hAnsi="Times New Roman" w:cs="Times New Roman"/>
              </w:rPr>
              <w:t>immediately refer for colposcopy.</w:t>
            </w:r>
          </w:p>
        </w:tc>
        <w:tc>
          <w:tcPr>
            <w:tcW w:w="1152" w:type="dxa"/>
            <w:vAlign w:val="center"/>
          </w:tcPr>
          <w:p w14:paraId="6B358F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CE0F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2E61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07937F" w14:textId="77777777">
        <w:tc>
          <w:tcPr>
            <w:tcW w:w="2160" w:type="dxa"/>
            <w:vAlign w:val="center"/>
          </w:tcPr>
          <w:p w14:paraId="248CB304"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4BC71AD" w14:textId="77777777" w:rsidR="00922249" w:rsidRPr="00CB2EC4" w:rsidRDefault="003011D5">
            <w:pPr>
              <w:rPr>
                <w:rFonts w:ascii="Times New Roman" w:hAnsi="Times New Roman" w:cs="Times New Roman"/>
              </w:rPr>
            </w:pPr>
            <w:r w:rsidRPr="00CB2EC4">
              <w:rPr>
                <w:rFonts w:ascii="Times New Roman" w:hAnsi="Times New Roman" w:cs="Times New Roman"/>
              </w:rPr>
              <w:t>Repeat cytology and high-risk HPV co-testing after 1 year.</w:t>
            </w:r>
          </w:p>
        </w:tc>
        <w:tc>
          <w:tcPr>
            <w:tcW w:w="1152" w:type="dxa"/>
            <w:vAlign w:val="center"/>
          </w:tcPr>
          <w:p w14:paraId="0C61CF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6D5F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EF2F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7DA8E5" w14:textId="77777777">
        <w:tc>
          <w:tcPr>
            <w:tcW w:w="2160" w:type="dxa"/>
            <w:vAlign w:val="center"/>
          </w:tcPr>
          <w:p w14:paraId="0DB23233"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83C97D0"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negative, with HPV genotyping positive for HPV16/18, the specific examination to be performed is:</w:t>
            </w:r>
            <w:r w:rsidRPr="00CB2EC4">
              <w:rPr>
                <w:rFonts w:ascii="Times New Roman" w:hAnsi="Times New Roman" w:cs="Times New Roman"/>
              </w:rPr>
              <w:br/>
            </w:r>
            <w:r w:rsidRPr="00CB2EC4">
              <w:rPr>
                <w:rFonts w:ascii="Times New Roman" w:hAnsi="Times New Roman" w:cs="Times New Roman"/>
              </w:rPr>
              <w:br/>
              <w:t>→ Immediate referral for colposcopy.</w:t>
            </w:r>
            <w:r w:rsidRPr="00CB2EC4">
              <w:rPr>
                <w:rFonts w:ascii="Times New Roman" w:hAnsi="Times New Roman" w:cs="Times New Roman"/>
              </w:rPr>
              <w:br/>
            </w:r>
            <w:r w:rsidRPr="00CB2EC4">
              <w:rPr>
                <w:rFonts w:ascii="Times New Roman" w:hAnsi="Times New Roman" w:cs="Times New Roman"/>
              </w:rPr>
              <w:br/>
              <w:t>This is based on the following context:</w:t>
            </w:r>
            <w:r w:rsidRPr="00CB2EC4">
              <w:rPr>
                <w:rFonts w:ascii="Times New Roman" w:hAnsi="Times New Roman" w:cs="Times New Roman"/>
              </w:rPr>
              <w:br/>
              <w:t>- Document fragment 1, under the "HPV Genotyping Pathway" section, explicitly states: "HPV16/18 positive → immediate referral for colposcopy."</w:t>
            </w:r>
            <w:r w:rsidRPr="00CB2EC4">
              <w:rPr>
                <w:rFonts w:ascii="Times New Roman" w:hAnsi="Times New Roman" w:cs="Times New Roman"/>
              </w:rPr>
              <w:br/>
              <w:t xml:space="preserve">- Document fragment 2 also emphasizes: "When HPV genotyping shows HPV16 or HPV18 positive, </w:t>
            </w:r>
            <w:r w:rsidRPr="00CB2EC4">
              <w:rPr>
                <w:rFonts w:ascii="Times New Roman" w:hAnsi="Times New Roman" w:cs="Times New Roman"/>
              </w:rPr>
              <w:lastRenderedPageBreak/>
              <w:t>immediate referral for colposcopy."</w:t>
            </w:r>
            <w:r w:rsidRPr="00CB2EC4">
              <w:rPr>
                <w:rFonts w:ascii="Times New Roman" w:hAnsi="Times New Roman" w:cs="Times New Roman"/>
              </w:rPr>
              <w:br/>
            </w:r>
            <w:r w:rsidRPr="00CB2EC4">
              <w:rPr>
                <w:rFonts w:ascii="Times New Roman" w:hAnsi="Times New Roman" w:cs="Times New Roman"/>
              </w:rPr>
              <w:br/>
              <w:t>Therefore, the specific examination is colposcopy to evaluate cervical lesions.</w:t>
            </w:r>
          </w:p>
        </w:tc>
        <w:tc>
          <w:tcPr>
            <w:tcW w:w="1152" w:type="dxa"/>
            <w:vAlign w:val="center"/>
          </w:tcPr>
          <w:p w14:paraId="1798AC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1ABA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7EB8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3D1BD09" w14:textId="77777777">
        <w:tc>
          <w:tcPr>
            <w:tcW w:w="2160" w:type="dxa"/>
            <w:vAlign w:val="center"/>
          </w:tcPr>
          <w:p w14:paraId="56C519B4"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277F74A"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cytology and high-risk HPV co-testing show HPV positive and cytology negative, with HPV genotyping positive for HPV16/18, the specific examination that should be performed is:</w:t>
            </w:r>
            <w:r w:rsidRPr="00CB2EC4">
              <w:rPr>
                <w:rFonts w:ascii="Times New Roman" w:hAnsi="Times New Roman" w:cs="Times New Roman"/>
              </w:rPr>
              <w:br/>
            </w:r>
            <w:r w:rsidRPr="00CB2EC4">
              <w:rPr>
                <w:rFonts w:ascii="Times New Roman" w:hAnsi="Times New Roman" w:cs="Times New Roman"/>
              </w:rPr>
              <w:br/>
              <w:t xml:space="preserve">- immediate referral for colposcopy.  </w:t>
            </w:r>
            <w:r w:rsidRPr="00CB2EC4">
              <w:rPr>
                <w:rFonts w:ascii="Times New Roman" w:hAnsi="Times New Roman" w:cs="Times New Roman"/>
              </w:rPr>
              <w:br/>
              <w:t xml:space="preserve">  Specific examination: perform colposcopy directly, without any other preliminary tests.  </w:t>
            </w:r>
            <w:r w:rsidRPr="00CB2EC4">
              <w:rPr>
                <w:rFonts w:ascii="Times New Roman" w:hAnsi="Times New Roman" w:cs="Times New Roman"/>
              </w:rPr>
              <w:br/>
              <w:t xml:space="preserve">  Document basis: fragment with similarity 0.620 states "HPV genotyping positive for HPV16/18, refer immediately for colposcopy" and fragment with similarity 0.623 describes in Figure 3 "HPV16/18 positive → refer immediately for colposcopy".</w:t>
            </w:r>
          </w:p>
        </w:tc>
        <w:tc>
          <w:tcPr>
            <w:tcW w:w="1152" w:type="dxa"/>
            <w:vAlign w:val="center"/>
          </w:tcPr>
          <w:p w14:paraId="2F56B7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BB96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7ED5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89A6E45" w14:textId="77777777">
        <w:tc>
          <w:tcPr>
            <w:tcW w:w="2160" w:type="dxa"/>
            <w:vAlign w:val="center"/>
          </w:tcPr>
          <w:p w14:paraId="404DCFD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42A850F" w14:textId="77777777" w:rsidR="00922249" w:rsidRPr="00CB2EC4" w:rsidRDefault="003011D5">
            <w:pPr>
              <w:rPr>
                <w:rFonts w:ascii="Times New Roman" w:hAnsi="Times New Roman" w:cs="Times New Roman"/>
              </w:rPr>
            </w:pPr>
            <w:r w:rsidRPr="00CB2EC4">
              <w:rPr>
                <w:rFonts w:ascii="Times New Roman" w:hAnsi="Times New Roman" w:cs="Times New Roman"/>
              </w:rPr>
              <w:t>if HPV genotyping shows HPV16/18 positive, immediate referral for colposcopy should be performed.</w:t>
            </w:r>
            <w:r w:rsidRPr="00CB2EC4">
              <w:rPr>
                <w:rFonts w:ascii="Times New Roman" w:hAnsi="Times New Roman" w:cs="Times New Roman"/>
              </w:rPr>
              <w:br/>
            </w:r>
            <w:r w:rsidRPr="00CB2EC4">
              <w:rPr>
                <w:rFonts w:ascii="Times New Roman" w:hAnsi="Times New Roman" w:cs="Times New Roman"/>
              </w:rPr>
              <w:br/>
              <w:t>- Basis: Document fragment 2 (relevance: 0.9854) states: "If HPV genotyping test is positive: HPV16/18 positive → refer immediately for colposcopy." Document fragment 4 (relevance: 0.9653) also emphasizes: "HPV positive / cytology negative → if HPV genotyping shows HPV16 or HPV18 positive, refer immediately for colposcopy."</w:t>
            </w:r>
            <w:r w:rsidRPr="00CB2EC4">
              <w:rPr>
                <w:rFonts w:ascii="Times New Roman" w:hAnsi="Times New Roman" w:cs="Times New Roman"/>
              </w:rPr>
              <w:br/>
              <w:t>- Specific procedure: No need to wait for repeat testing; directly arrange colposcopy to evaluate cervical lesions, as HPV16/18 types are associated with a high risk of cervical intraepithelial neoplasia.</w:t>
            </w:r>
          </w:p>
        </w:tc>
        <w:tc>
          <w:tcPr>
            <w:tcW w:w="1152" w:type="dxa"/>
            <w:vAlign w:val="center"/>
          </w:tcPr>
          <w:p w14:paraId="6E3F34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D906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EA4D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D6DF5D" w14:textId="77777777">
        <w:tc>
          <w:tcPr>
            <w:tcW w:w="2160" w:type="dxa"/>
            <w:vAlign w:val="center"/>
          </w:tcPr>
          <w:p w14:paraId="07852DA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1B35185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should be immediately referred for colposcopy.  </w:t>
            </w:r>
            <w:r w:rsidRPr="00CB2EC4">
              <w:rPr>
                <w:rFonts w:ascii="Times New Roman" w:hAnsi="Times New Roman" w:cs="Times New Roman"/>
              </w:rPr>
              <w:br/>
            </w:r>
            <w:r w:rsidRPr="00CB2EC4">
              <w:rPr>
                <w:rFonts w:ascii="Times New Roman" w:hAnsi="Times New Roman" w:cs="Times New Roman"/>
              </w:rPr>
              <w:br/>
              <w:t xml:space="preserve">Based on the context (Figure 3 in Related Segment 1: Management flowchart for abnormal results in cytology + high-risk HPV co-testing), when cytology is negative (-), high-risk HPV is positive (+), and HPV genotyping shows HPV16/18 positive, the specific process is described as: under the HPV genotyping pathway, “HPV16/18 positive → immediately refer for colposcopy.” This is because HPV16/18 are high-risk genotypes strongly associated with cervical cancer risk, and direct evaluation is required even with negative cytology.  </w:t>
            </w:r>
            <w:r w:rsidRPr="00CB2EC4">
              <w:rPr>
                <w:rFonts w:ascii="Times New Roman" w:hAnsi="Times New Roman" w:cs="Times New Roman"/>
              </w:rPr>
              <w:br/>
              <w:t>Answer: Should be immediately referred for colposcopy.</w:t>
            </w:r>
          </w:p>
        </w:tc>
        <w:tc>
          <w:tcPr>
            <w:tcW w:w="1152" w:type="dxa"/>
            <w:vAlign w:val="center"/>
          </w:tcPr>
          <w:p w14:paraId="5EF29B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3870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3C21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FBE1D7" w14:textId="77777777">
        <w:tc>
          <w:tcPr>
            <w:tcW w:w="2160" w:type="dxa"/>
            <w:vAlign w:val="center"/>
          </w:tcPr>
          <w:p w14:paraId="7343E2CD"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E60C185" w14:textId="77777777" w:rsidR="00922249" w:rsidRPr="00CB2EC4" w:rsidRDefault="003011D5">
            <w:pPr>
              <w:rPr>
                <w:rFonts w:ascii="Times New Roman" w:hAnsi="Times New Roman" w:cs="Times New Roman"/>
              </w:rPr>
            </w:pPr>
            <w:r w:rsidRPr="00CB2EC4">
              <w:rPr>
                <w:rFonts w:ascii="Times New Roman" w:hAnsi="Times New Roman" w:cs="Times New Roman"/>
              </w:rPr>
              <w:t>HPV16/18 positive and cytology negative:</w:t>
            </w:r>
            <w:r w:rsidRPr="00CB2EC4">
              <w:rPr>
                <w:rFonts w:ascii="Times New Roman" w:hAnsi="Times New Roman" w:cs="Times New Roman"/>
              </w:rPr>
              <w:br/>
            </w:r>
            <w:r w:rsidRPr="00CB2EC4">
              <w:rPr>
                <w:rFonts w:ascii="Times New Roman" w:hAnsi="Times New Roman" w:cs="Times New Roman"/>
              </w:rPr>
              <w:br/>
              <w:t xml:space="preserve">Next step examination:  </w:t>
            </w:r>
            <w:r w:rsidRPr="00CB2EC4">
              <w:rPr>
                <w:rFonts w:ascii="Times New Roman" w:hAnsi="Times New Roman" w:cs="Times New Roman"/>
              </w:rPr>
              <w:br/>
              <w:t xml:space="preserve">- Refer directly to colposcopy.  </w:t>
            </w:r>
            <w:r w:rsidRPr="00CB2EC4">
              <w:rPr>
                <w:rFonts w:ascii="Times New Roman" w:hAnsi="Times New Roman" w:cs="Times New Roman"/>
              </w:rPr>
              <w:br/>
              <w:t xml:space="preserve">  * HPV16/18 positive individuals require colposcopic evaluation regardless of cytology results (due to significantly increased risk of CIN3+, approximately 10-20%).*</w:t>
            </w:r>
          </w:p>
        </w:tc>
        <w:tc>
          <w:tcPr>
            <w:tcW w:w="1152" w:type="dxa"/>
            <w:vAlign w:val="center"/>
          </w:tcPr>
          <w:p w14:paraId="30ECC6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7FB6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8896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591CD96" w14:textId="77777777">
        <w:tc>
          <w:tcPr>
            <w:tcW w:w="10656" w:type="dxa"/>
            <w:gridSpan w:val="5"/>
            <w:tcBorders>
              <w:bottom w:val="single" w:sz="6" w:space="0" w:color="auto"/>
            </w:tcBorders>
            <w:vAlign w:val="center"/>
          </w:tcPr>
          <w:p w14:paraId="3013E054"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18: In cervical cancer detection, if a patient has joint testing of cytology and high-risk HPV showing HPV-positive, the cytological result is negative, and there's no typing for HPV16 or HPV18, are there any other tests needed?</w:t>
            </w:r>
          </w:p>
        </w:tc>
      </w:tr>
      <w:tr w:rsidR="00922249" w:rsidRPr="00CB2EC4" w14:paraId="29A18B6B" w14:textId="77777777">
        <w:tc>
          <w:tcPr>
            <w:tcW w:w="2160" w:type="dxa"/>
            <w:vAlign w:val="center"/>
          </w:tcPr>
          <w:p w14:paraId="4588A98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6DC055F" w14:textId="77777777" w:rsidR="00922249" w:rsidRPr="00CB2EC4" w:rsidRDefault="003011D5">
            <w:pPr>
              <w:rPr>
                <w:rFonts w:ascii="Times New Roman" w:hAnsi="Times New Roman" w:cs="Times New Roman"/>
              </w:rPr>
            </w:pPr>
            <w:r w:rsidRPr="00CB2EC4">
              <w:rPr>
                <w:rFonts w:ascii="Times New Roman" w:hAnsi="Times New Roman" w:cs="Times New Roman"/>
              </w:rPr>
              <w:t>no. according to figure 3 in the document (management flowchart for abnormal results in cytology + high-risk HPV co-testing):</w:t>
            </w:r>
            <w:r w:rsidRPr="00CB2EC4">
              <w:rPr>
                <w:rFonts w:ascii="Times New Roman" w:hAnsi="Times New Roman" w:cs="Times New Roman"/>
              </w:rPr>
              <w:br/>
            </w:r>
            <w:r w:rsidRPr="00CB2EC4">
              <w:rPr>
                <w:rFonts w:ascii="Times New Roman" w:hAnsi="Times New Roman" w:cs="Times New Roman"/>
              </w:rPr>
              <w:br/>
              <w:t xml:space="preserve">- when cytology result is negative (-) and HPV test is positive (+), and HPV genotyping shows HPV16/18 negative but other 12 high-risk HPV types positive → management is: recommend repeat cytology + HPV </w:t>
            </w:r>
            <w:r w:rsidRPr="00CB2EC4">
              <w:rPr>
                <w:rFonts w:ascii="Times New Roman" w:hAnsi="Times New Roman" w:cs="Times New Roman"/>
              </w:rPr>
              <w:lastRenderedPageBreak/>
              <w:t>co-testing in 1 year (i.e., 1-year follow-up), no immediate additional tests required.</w:t>
            </w:r>
            <w:r w:rsidRPr="00CB2EC4">
              <w:rPr>
                <w:rFonts w:ascii="Times New Roman" w:hAnsi="Times New Roman" w:cs="Times New Roman"/>
              </w:rPr>
              <w:br/>
            </w:r>
            <w:r w:rsidRPr="00CB2EC4">
              <w:rPr>
                <w:rFonts w:ascii="Times New Roman" w:hAnsi="Times New Roman" w:cs="Times New Roman"/>
              </w:rPr>
              <w:br/>
              <w:t>the document explicitly states (under point 5 in figure 3): "HPV16/18 negative but other 12 high-risk HPV types positive → repeat testing in 1 year". therefore, no other immediate examinations are needed; only regular follow-up with repeat co-testing after 1 year is indicated.</w:t>
            </w:r>
          </w:p>
        </w:tc>
        <w:tc>
          <w:tcPr>
            <w:tcW w:w="1152" w:type="dxa"/>
            <w:vAlign w:val="center"/>
          </w:tcPr>
          <w:p w14:paraId="61C6CD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2D4E5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6F01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0D29FB" w14:textId="77777777">
        <w:tc>
          <w:tcPr>
            <w:tcW w:w="2160" w:type="dxa"/>
            <w:vAlign w:val="center"/>
          </w:tcPr>
          <w:p w14:paraId="356E5BB8"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5C15F22" w14:textId="77777777" w:rsidR="00922249" w:rsidRPr="00CB2EC4" w:rsidRDefault="003011D5">
            <w:pPr>
              <w:rPr>
                <w:rFonts w:ascii="Times New Roman" w:hAnsi="Times New Roman" w:cs="Times New Roman"/>
              </w:rPr>
            </w:pPr>
            <w:r w:rsidRPr="00CB2EC4">
              <w:rPr>
                <w:rFonts w:ascii="Times New Roman" w:hAnsi="Times New Roman" w:cs="Times New Roman"/>
              </w:rPr>
              <w:t>management for hpv positive, cytology negative and no hpv16/18 genotyping:</w:t>
            </w:r>
            <w:r w:rsidRPr="00CB2EC4">
              <w:rPr>
                <w:rFonts w:ascii="Times New Roman" w:hAnsi="Times New Roman" w:cs="Times New Roman"/>
              </w:rPr>
              <w:br/>
            </w:r>
            <w:r w:rsidRPr="00CB2EC4">
              <w:rPr>
                <w:rFonts w:ascii="Times New Roman" w:hAnsi="Times New Roman" w:cs="Times New Roman"/>
              </w:rPr>
              <w:br/>
              <w:t>is additional testing required: yes, proceed with the following steps:</w:t>
            </w:r>
            <w:r w:rsidRPr="00CB2EC4">
              <w:rPr>
                <w:rFonts w:ascii="Times New Roman" w:hAnsi="Times New Roman" w:cs="Times New Roman"/>
              </w:rPr>
              <w:br/>
              <w:t xml:space="preserve">  - cytology must be performed (document fragment 1, block number 1).</w:t>
            </w:r>
            <w:r w:rsidRPr="00CB2EC4">
              <w:rPr>
                <w:rFonts w:ascii="Times New Roman" w:hAnsi="Times New Roman" w:cs="Times New Roman"/>
              </w:rPr>
              <w:br/>
              <w:t xml:space="preserve">  - if hpv positive without genotyping, combine with clinical symptoms and signs, and refer directly to colposcopy when necessary (document fragment 2, block number 59).</w:t>
            </w:r>
            <w:r w:rsidRPr="00CB2EC4">
              <w:rPr>
                <w:rFonts w:ascii="Times New Roman" w:hAnsi="Times New Roman" w:cs="Times New Roman"/>
              </w:rPr>
              <w:br/>
              <w:t xml:space="preserve">  *rationale: non-genotyped testing cannot distinguish high-risk subtypes and requires further triage via cytology or clinical assessment.*</w:t>
            </w:r>
          </w:p>
        </w:tc>
        <w:tc>
          <w:tcPr>
            <w:tcW w:w="1152" w:type="dxa"/>
            <w:vAlign w:val="center"/>
          </w:tcPr>
          <w:p w14:paraId="466B8B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D443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3F00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E2AB45" w14:textId="77777777">
        <w:tc>
          <w:tcPr>
            <w:tcW w:w="2160" w:type="dxa"/>
            <w:vAlign w:val="center"/>
          </w:tcPr>
          <w:p w14:paraId="681066A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83F517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when high-risk HPV (excluding HPV16/18) is positive and cytology is negative, no immediate additional tests (such as colposcopy) are required.  </w:t>
            </w:r>
            <w:r w:rsidRPr="00CB2EC4">
              <w:rPr>
                <w:rFonts w:ascii="Times New Roman" w:hAnsi="Times New Roman" w:cs="Times New Roman"/>
              </w:rPr>
              <w:br/>
              <w:t xml:space="preserve">annual follow-up with repeat cytology and HPV co-testing after 1 year is recommended to monitor for changes.  </w:t>
            </w:r>
            <w:r w:rsidRPr="00CB2EC4">
              <w:rPr>
                <w:rFonts w:ascii="Times New Roman" w:hAnsi="Times New Roman" w:cs="Times New Roman"/>
              </w:rPr>
              <w:br/>
              <w:t>no other immediate examinations (e.g., imaging or biopsy) are indicated based on the provided guidelines; only the 1-year repeat co-test is advised.</w:t>
            </w:r>
          </w:p>
        </w:tc>
        <w:tc>
          <w:tcPr>
            <w:tcW w:w="1152" w:type="dxa"/>
            <w:vAlign w:val="center"/>
          </w:tcPr>
          <w:p w14:paraId="1025F8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AA34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AD4F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EBF4D8" w14:textId="77777777">
        <w:tc>
          <w:tcPr>
            <w:tcW w:w="2160" w:type="dxa"/>
            <w:vAlign w:val="center"/>
          </w:tcPr>
          <w:p w14:paraId="7CD17AC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B5F7F0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management for non-HPV16/18 positive and cytology </w:t>
            </w:r>
            <w:r w:rsidRPr="00CB2EC4">
              <w:rPr>
                <w:rFonts w:ascii="Times New Roman" w:hAnsi="Times New Roman" w:cs="Times New Roman"/>
              </w:rPr>
              <w:lastRenderedPageBreak/>
              <w:t>negative</w:t>
            </w:r>
            <w:r w:rsidRPr="00CB2EC4">
              <w:rPr>
                <w:rFonts w:ascii="Times New Roman" w:hAnsi="Times New Roman" w:cs="Times New Roman"/>
              </w:rPr>
              <w:br/>
            </w:r>
            <w:r w:rsidRPr="00CB2EC4">
              <w:rPr>
                <w:rFonts w:ascii="Times New Roman" w:hAnsi="Times New Roman" w:cs="Times New Roman"/>
              </w:rPr>
              <w:br/>
              <w:t xml:space="preserve">Knowledge base reference (Figure 3 flow):  </w:t>
            </w:r>
            <w:r w:rsidRPr="00CB2EC4">
              <w:rPr>
                <w:rFonts w:ascii="Times New Roman" w:hAnsi="Times New Roman" w:cs="Times New Roman"/>
              </w:rPr>
              <w:br/>
              <w:t xml:space="preserve">If HPV genotyping is positive for other 12 high-risk types + cytology negative:  </w:t>
            </w:r>
            <w:r w:rsidRPr="00CB2EC4">
              <w:rPr>
                <w:rFonts w:ascii="Times New Roman" w:hAnsi="Times New Roman" w:cs="Times New Roman"/>
              </w:rPr>
              <w:br/>
              <w:t xml:space="preserve">→ Only repeat co-testing (cytology + HPV) after 1 year, no colposcopy required (Figure 3 branch 4).  </w:t>
            </w:r>
            <w:r w:rsidRPr="00CB2EC4">
              <w:rPr>
                <w:rFonts w:ascii="Times New Roman" w:hAnsi="Times New Roman" w:cs="Times New Roman"/>
              </w:rPr>
              <w:br/>
              <w:t xml:space="preserve">Exception: If genotyping was not performed, refer directly to colposcopy (Figure 3 branch 5).  </w:t>
            </w:r>
            <w:r w:rsidRPr="00CB2EC4">
              <w:rPr>
                <w:rFonts w:ascii="Times New Roman" w:hAnsi="Times New Roman" w:cs="Times New Roman"/>
              </w:rPr>
              <w:br/>
            </w:r>
            <w:r w:rsidRPr="00CB2EC4">
              <w:rPr>
                <w:rFonts w:ascii="Times New Roman" w:hAnsi="Times New Roman" w:cs="Times New Roman"/>
              </w:rPr>
              <w:br/>
              <w:t>&gt; Conclusion: When genotyping confirms non-16/18 types, only annual follow-up is needed, no additional tests required.</w:t>
            </w:r>
          </w:p>
        </w:tc>
        <w:tc>
          <w:tcPr>
            <w:tcW w:w="1152" w:type="dxa"/>
            <w:vAlign w:val="center"/>
          </w:tcPr>
          <w:p w14:paraId="699A0B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5B588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50D4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1AEEEA" w14:textId="77777777">
        <w:tc>
          <w:tcPr>
            <w:tcW w:w="2160" w:type="dxa"/>
            <w:vAlign w:val="center"/>
          </w:tcPr>
          <w:p w14:paraId="221CC887"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545B683" w14:textId="77777777" w:rsidR="00922249" w:rsidRPr="00CB2EC4" w:rsidRDefault="003011D5">
            <w:pPr>
              <w:rPr>
                <w:rFonts w:ascii="Times New Roman" w:hAnsi="Times New Roman" w:cs="Times New Roman"/>
              </w:rPr>
            </w:pPr>
            <w:r w:rsidRPr="00CB2EC4">
              <w:rPr>
                <w:rFonts w:ascii="Times New Roman" w:hAnsi="Times New Roman" w:cs="Times New Roman"/>
              </w:rPr>
              <w:t>no, other examinations are not required. according to the guidelines, if HPV genotyping shows negativity for HPV16/18 but positivity for other 12 high-risk HPV types (i.e., no HPV16 or HPV18 detected), and the cytology result is negative, the recommended management is a repeat co-testing (cytology + HPV) in 1 year. immediate additional tests such as colposcopy are not indicated. therefore, only annual follow-up with co-testing is needed.</w:t>
            </w:r>
          </w:p>
        </w:tc>
        <w:tc>
          <w:tcPr>
            <w:tcW w:w="1152" w:type="dxa"/>
            <w:vAlign w:val="center"/>
          </w:tcPr>
          <w:p w14:paraId="1E77A6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458B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09DA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0CCC5E" w14:textId="77777777">
        <w:tc>
          <w:tcPr>
            <w:tcW w:w="2160" w:type="dxa"/>
            <w:vAlign w:val="center"/>
          </w:tcPr>
          <w:p w14:paraId="6F4C730D"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2E6B713"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If a patient's co-testing (cytology and high-risk HPV) shows HPV positive, cytology negative, and no HPV16 or HPV18 genotyping:</w:t>
            </w:r>
            <w:r w:rsidRPr="00CB2EC4">
              <w:rPr>
                <w:rFonts w:ascii="Times New Roman" w:hAnsi="Times New Roman" w:cs="Times New Roman"/>
              </w:rPr>
              <w:br/>
            </w:r>
            <w:r w:rsidRPr="00CB2EC4">
              <w:rPr>
                <w:rFonts w:ascii="Times New Roman" w:hAnsi="Times New Roman" w:cs="Times New Roman"/>
              </w:rPr>
              <w:br/>
              <w:t>- If HPV genotyping was performed and shows positivity for other 12 high-risk types: → Perform co-testing (cytology and high-risk HPV) again in 1 year.</w:t>
            </w:r>
            <w:r w:rsidRPr="00CB2EC4">
              <w:rPr>
                <w:rFonts w:ascii="Times New Roman" w:hAnsi="Times New Roman" w:cs="Times New Roman"/>
              </w:rPr>
              <w:br/>
              <w:t xml:space="preserve">- If HPV genotyping was not performed: → Suggest combining with clinical symptoms and signs; if </w:t>
            </w:r>
            <w:r w:rsidRPr="00CB2EC4">
              <w:rPr>
                <w:rFonts w:ascii="Times New Roman" w:hAnsi="Times New Roman" w:cs="Times New Roman"/>
              </w:rPr>
              <w:lastRenderedPageBreak/>
              <w:t>necessary, refer directly for colposcopy.</w:t>
            </w:r>
            <w:r w:rsidRPr="00CB2EC4">
              <w:rPr>
                <w:rFonts w:ascii="Times New Roman" w:hAnsi="Times New Roman" w:cs="Times New Roman"/>
              </w:rPr>
              <w:br/>
            </w:r>
            <w:r w:rsidRPr="00CB2EC4">
              <w:rPr>
                <w:rFonts w:ascii="Times New Roman" w:hAnsi="Times New Roman" w:cs="Times New Roman"/>
              </w:rPr>
              <w:br/>
              <w:t>Therefore, additional follow-up is required, depending on the genotyping status: either repeat co-testing in 1 year or, if indicated, colposcopy.</w:t>
            </w:r>
          </w:p>
        </w:tc>
        <w:tc>
          <w:tcPr>
            <w:tcW w:w="1152" w:type="dxa"/>
            <w:vAlign w:val="center"/>
          </w:tcPr>
          <w:p w14:paraId="480A4F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A2A8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3987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BBDA08" w14:textId="77777777">
        <w:tc>
          <w:tcPr>
            <w:tcW w:w="2160" w:type="dxa"/>
            <w:vAlign w:val="center"/>
          </w:tcPr>
          <w:p w14:paraId="31090A57"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2DE7D6D" w14:textId="77777777" w:rsidR="00922249" w:rsidRPr="00CB2EC4" w:rsidRDefault="003011D5">
            <w:pPr>
              <w:rPr>
                <w:rFonts w:ascii="Times New Roman" w:hAnsi="Times New Roman" w:cs="Times New Roman"/>
              </w:rPr>
            </w:pPr>
            <w:r w:rsidRPr="00CB2EC4">
              <w:rPr>
                <w:rFonts w:ascii="Times New Roman" w:hAnsi="Times New Roman" w:cs="Times New Roman"/>
              </w:rPr>
              <w:t>no HPV16/18 genotyping: other testing requirements</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  - If HPV ungenotyped test is positive: must directly refer for colposcopy (context paragraph 1, clause 2.3.3; paragraph 3, Figure 1 flow).  </w:t>
            </w:r>
            <w:r w:rsidRPr="00CB2EC4">
              <w:rPr>
                <w:rFonts w:ascii="Times New Roman" w:hAnsi="Times New Roman" w:cs="Times New Roman"/>
              </w:rPr>
              <w:br/>
              <w:t xml:space="preserve">  - If HPV genotyping test is positive for other 12 types and cytology is negative: only need follow-up after 1 year (no colposcopy required) (context paragraph 3, Figure 1 flow; paragraph 2, Figure 4 branch 5).</w:t>
            </w:r>
          </w:p>
        </w:tc>
        <w:tc>
          <w:tcPr>
            <w:tcW w:w="1152" w:type="dxa"/>
            <w:vAlign w:val="center"/>
          </w:tcPr>
          <w:p w14:paraId="6C7EA5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B03B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D761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518901" w14:textId="77777777">
        <w:tc>
          <w:tcPr>
            <w:tcW w:w="2160" w:type="dxa"/>
            <w:vAlign w:val="center"/>
          </w:tcPr>
          <w:p w14:paraId="6EA8147C"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126C000"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if HPV is genotyped as positive for other 12 high-risk types (non-16/18): no additional tests are needed; recommend repeat co-testing (cytology + HPV) in 1 year (per document fragment 1: "HPV16/18 negative but other 12 high-risk HPV positive → 1-year follow-up" and fragment 2: "other 12 types positive and cytology negative → annual review").</w:t>
            </w:r>
            <w:r w:rsidRPr="00CB2EC4">
              <w:rPr>
                <w:rFonts w:ascii="Times New Roman" w:hAnsi="Times New Roman" w:cs="Times New Roman"/>
              </w:rPr>
              <w:br/>
              <w:t>- if HPV is positive but not genotyped (no typing performed): additional tests are needed; recommend direct referral for colposcopy or combine with clinical symptoms and signs to decide (per document fragment 3: "HPV not genotyped, suggest combining with clinical symptoms and signs, and consider direct referral for colposcopy if necessary").</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in summary, the need for additional tests depends on genotyping status: if genotyped as other 12 types, only 1-year follow-up is required; if not genotyped, colposcopy may be needed.</w:t>
            </w:r>
          </w:p>
        </w:tc>
        <w:tc>
          <w:tcPr>
            <w:tcW w:w="1152" w:type="dxa"/>
            <w:vAlign w:val="center"/>
          </w:tcPr>
          <w:p w14:paraId="06A089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CDBA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80B9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5C0C6A" w14:textId="77777777">
        <w:tc>
          <w:tcPr>
            <w:tcW w:w="2160" w:type="dxa"/>
            <w:vAlign w:val="center"/>
          </w:tcPr>
          <w:p w14:paraId="5E01B085"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1DDD143" w14:textId="77777777" w:rsidR="00922249" w:rsidRPr="00CB2EC4" w:rsidRDefault="003011D5">
            <w:pPr>
              <w:rPr>
                <w:rFonts w:ascii="Times New Roman" w:hAnsi="Times New Roman" w:cs="Times New Roman"/>
              </w:rPr>
            </w:pPr>
            <w:r w:rsidRPr="00CB2EC4">
              <w:rPr>
                <w:rFonts w:ascii="Times New Roman" w:hAnsi="Times New Roman" w:cs="Times New Roman"/>
              </w:rPr>
              <w:t>no. according to figure 3 in the document (management flowchart for abnormal cytology + high-risk HPV co-testing results):</w:t>
            </w:r>
            <w:r w:rsidRPr="00CB2EC4">
              <w:rPr>
                <w:rFonts w:ascii="Times New Roman" w:hAnsi="Times New Roman" w:cs="Times New Roman"/>
              </w:rPr>
              <w:br/>
            </w:r>
            <w:r w:rsidRPr="00CB2EC4">
              <w:rPr>
                <w:rFonts w:ascii="Times New Roman" w:hAnsi="Times New Roman" w:cs="Times New Roman"/>
              </w:rPr>
              <w:br/>
              <w:t>- branch 4: cytology (-) &amp; HPV (+) → perform repeat co-testing after 1 year.</w:t>
            </w:r>
            <w:r w:rsidRPr="00CB2EC4">
              <w:rPr>
                <w:rFonts w:ascii="Times New Roman" w:hAnsi="Times New Roman" w:cs="Times New Roman"/>
              </w:rPr>
              <w:br/>
              <w:t xml:space="preserve">  the document explicitly states that for cytology-negative and HPV-positive results, the management is the same regardless of HPV genotyping (including absence of HPV16/18): "4. Cytology (-) &amp; HPV (+) → repeat co-testing after 1 year".</w:t>
            </w:r>
            <w:r w:rsidRPr="00CB2EC4">
              <w:rPr>
                <w:rFonts w:ascii="Times New Roman" w:hAnsi="Times New Roman" w:cs="Times New Roman"/>
              </w:rPr>
              <w:br/>
              <w:t xml:space="preserve">  no additional examinations (such as colposcopy or endocervical curettage) are indicated.</w:t>
            </w:r>
            <w:r w:rsidRPr="00CB2EC4">
              <w:rPr>
                <w:rFonts w:ascii="Times New Roman" w:hAnsi="Times New Roman" w:cs="Times New Roman"/>
              </w:rPr>
              <w:br/>
              <w:t xml:space="preserve">  therefore, no other tests are required; only repeat cytology and high-risk HPV co-testing after 1 year.</w:t>
            </w:r>
          </w:p>
        </w:tc>
        <w:tc>
          <w:tcPr>
            <w:tcW w:w="1152" w:type="dxa"/>
            <w:vAlign w:val="center"/>
          </w:tcPr>
          <w:p w14:paraId="35B19C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DC3D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361F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492400" w14:textId="77777777">
        <w:tc>
          <w:tcPr>
            <w:tcW w:w="2160" w:type="dxa"/>
            <w:vAlign w:val="center"/>
          </w:tcPr>
          <w:p w14:paraId="3A551BD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E1AF9EC" w14:textId="77777777" w:rsidR="00922249" w:rsidRPr="00CB2EC4" w:rsidRDefault="003011D5">
            <w:pPr>
              <w:rPr>
                <w:rFonts w:ascii="Times New Roman" w:hAnsi="Times New Roman" w:cs="Times New Roman"/>
              </w:rPr>
            </w:pPr>
            <w:r w:rsidRPr="00CB2EC4">
              <w:rPr>
                <w:rFonts w:ascii="Times New Roman" w:hAnsi="Times New Roman" w:cs="Times New Roman"/>
              </w:rPr>
              <w:t>no. if the high-risk HPV test is positive (excluding HPV16/18), and the cytology result is negative, no additional immediate tests are required. annual follow-up with co-testing (cytology and HPV) is recommended.</w:t>
            </w:r>
            <w:r w:rsidRPr="00CB2EC4">
              <w:rPr>
                <w:rFonts w:ascii="Times New Roman" w:hAnsi="Times New Roman" w:cs="Times New Roman"/>
              </w:rPr>
              <w:br/>
            </w:r>
            <w:r w:rsidRPr="00CB2EC4">
              <w:rPr>
                <w:rFonts w:ascii="Times New Roman" w:hAnsi="Times New Roman" w:cs="Times New Roman"/>
              </w:rPr>
              <w:br/>
              <w:t>- for other 12 high-risk types positive and cytology negative → annual follow-up (no colposcopy needed).</w:t>
            </w:r>
            <w:r w:rsidRPr="00CB2EC4">
              <w:rPr>
                <w:rFonts w:ascii="Times New Roman" w:hAnsi="Times New Roman" w:cs="Times New Roman"/>
              </w:rPr>
              <w:br/>
              <w:t>- if HPV genotyping was not performed (i.e., only high-risk HPV positive without differentiation), annual co-testing follow-up is still the primary recommendation unless clinical symptoms (e.g., abnormal bleeding) are present.</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in summary, when HPV16/18 genotyping is negative and cytology is negative, regardless of whether other high-risk types are identified or genotyping was not done, immediate additional testing is not indicated; annual co-testing follow-up is advised. direct colposcopy is not recommended unless clinical symptoms suggest otherwise.</w:t>
            </w:r>
          </w:p>
        </w:tc>
        <w:tc>
          <w:tcPr>
            <w:tcW w:w="1152" w:type="dxa"/>
            <w:vAlign w:val="center"/>
          </w:tcPr>
          <w:p w14:paraId="1BF2D0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D39F6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C088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A01120" w14:textId="77777777">
        <w:tc>
          <w:tcPr>
            <w:tcW w:w="2160" w:type="dxa"/>
            <w:vAlign w:val="center"/>
          </w:tcPr>
          <w:p w14:paraId="2CF70033"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ACF631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additional examinations are required based on the HPV genotyping status:  </w:t>
            </w:r>
            <w:r w:rsidRPr="00CB2EC4">
              <w:rPr>
                <w:rFonts w:ascii="Times New Roman" w:hAnsi="Times New Roman" w:cs="Times New Roman"/>
              </w:rPr>
              <w:br/>
              <w:t xml:space="preserve">- if genotyping shows positivity for other 12 high-risk HPV types (excluding HPV16/18) → perform repeat co-testing (cytology + HPV) after 1 year  </w:t>
            </w:r>
            <w:r w:rsidRPr="00CB2EC4">
              <w:rPr>
                <w:rFonts w:ascii="Times New Roman" w:hAnsi="Times New Roman" w:cs="Times New Roman"/>
              </w:rPr>
              <w:br/>
              <w:t xml:space="preserve">- if HPV genotyping was not performed → refer for colposcopy examination  </w:t>
            </w:r>
            <w:r w:rsidRPr="00CB2EC4">
              <w:rPr>
                <w:rFonts w:ascii="Times New Roman" w:hAnsi="Times New Roman" w:cs="Times New Roman"/>
              </w:rPr>
              <w:br/>
            </w:r>
            <w:r w:rsidRPr="00CB2EC4">
              <w:rPr>
                <w:rFonts w:ascii="Times New Roman" w:hAnsi="Times New Roman" w:cs="Times New Roman"/>
              </w:rPr>
              <w:br/>
              <w:t xml:space="preserve">document references:  </w:t>
            </w:r>
            <w:r w:rsidRPr="00CB2EC4">
              <w:rPr>
                <w:rFonts w:ascii="Times New Roman" w:hAnsi="Times New Roman" w:cs="Times New Roman"/>
              </w:rPr>
              <w:br/>
              <w:t>- similarity 0.620: "HPV positive / cytology negative: ...</w:t>
            </w:r>
            <w:r w:rsidRPr="00CB2EC4">
              <w:rPr>
                <w:rFonts w:ascii="宋体" w:eastAsia="宋体" w:hAnsi="宋体" w:cs="宋体" w:hint="eastAsia"/>
              </w:rPr>
              <w:t>②</w:t>
            </w:r>
            <w:r w:rsidRPr="00CB2EC4">
              <w:rPr>
                <w:rFonts w:ascii="Times New Roman" w:hAnsi="Times New Roman" w:cs="Times New Roman"/>
              </w:rPr>
              <w:t xml:space="preserve"> HPV not genotyped, suggest direct referral for colposcopy"  </w:t>
            </w:r>
            <w:r w:rsidRPr="00CB2EC4">
              <w:rPr>
                <w:rFonts w:ascii="Times New Roman" w:hAnsi="Times New Roman" w:cs="Times New Roman"/>
              </w:rPr>
              <w:br/>
              <w:t>- similarity 0.623: "HPV16/18 negative but other 12 high-risk HPV types positive → 1-year follow-up"</w:t>
            </w:r>
          </w:p>
        </w:tc>
        <w:tc>
          <w:tcPr>
            <w:tcW w:w="1152" w:type="dxa"/>
            <w:vAlign w:val="center"/>
          </w:tcPr>
          <w:p w14:paraId="21195C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0D9A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EC19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7ECB28" w14:textId="77777777">
        <w:tc>
          <w:tcPr>
            <w:tcW w:w="2160" w:type="dxa"/>
            <w:vAlign w:val="center"/>
          </w:tcPr>
          <w:p w14:paraId="60BDD815"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E178733"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if high-risk HPV is positive (non-HPV16/18 type) and cytology is negative, no additional immediate examination is required; only repeat co-testing (cytology + HPV) after 1 year.</w:t>
            </w:r>
            <w:r w:rsidRPr="00CB2EC4">
              <w:rPr>
                <w:rFonts w:ascii="Times New Roman" w:hAnsi="Times New Roman" w:cs="Times New Roman"/>
              </w:rPr>
              <w:br/>
            </w:r>
            <w:r w:rsidRPr="00CB2EC4">
              <w:rPr>
                <w:rFonts w:ascii="Times New Roman" w:hAnsi="Times New Roman" w:cs="Times New Roman"/>
              </w:rPr>
              <w:br/>
              <w:t xml:space="preserve">- basis: document fragment 2 (relevance: 0.9854) states: "HPV16/18 negative but other 12 high-risk HPV types positive → 1-year follow-up." document fragment 4 (relevance: 0.9653), figure 3, also indicates: "HPV16/18 negative &amp; other 12 types </w:t>
            </w:r>
            <w:r w:rsidRPr="00CB2EC4">
              <w:rPr>
                <w:rFonts w:ascii="Times New Roman" w:hAnsi="Times New Roman" w:cs="Times New Roman"/>
              </w:rPr>
              <w:lastRenderedPageBreak/>
              <w:t>positive → 1-year follow-up." the context does not mention the need for additional examinations (e.g., colposcopy) unless the follow-up results are abnormal.</w:t>
            </w:r>
            <w:r w:rsidRPr="00CB2EC4">
              <w:rPr>
                <w:rFonts w:ascii="Times New Roman" w:hAnsi="Times New Roman" w:cs="Times New Roman"/>
              </w:rPr>
              <w:br/>
              <w:t>- specific steps: only repeat co-testing after 1 year; if the follow-up result is normal (both negative), continue routine screening; if abnormal, proceed to the corresponding management pathway.</w:t>
            </w:r>
          </w:p>
        </w:tc>
        <w:tc>
          <w:tcPr>
            <w:tcW w:w="1152" w:type="dxa"/>
            <w:vAlign w:val="center"/>
          </w:tcPr>
          <w:p w14:paraId="17AAAD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9BFCF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7A1B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093659" w14:textId="77777777">
        <w:tc>
          <w:tcPr>
            <w:tcW w:w="2160" w:type="dxa"/>
            <w:vAlign w:val="center"/>
          </w:tcPr>
          <w:p w14:paraId="14449174"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58CD367" w14:textId="77777777" w:rsidR="00922249" w:rsidRPr="00CB2EC4" w:rsidRDefault="003011D5">
            <w:pPr>
              <w:rPr>
                <w:rFonts w:ascii="Times New Roman" w:hAnsi="Times New Roman" w:cs="Times New Roman"/>
              </w:rPr>
            </w:pPr>
            <w:r w:rsidRPr="00CB2EC4">
              <w:rPr>
                <w:rFonts w:ascii="Times New Roman" w:hAnsi="Times New Roman" w:cs="Times New Roman"/>
              </w:rPr>
              <w:t>yes, other examinations are required, specifically direct referral for colposcopy.</w:t>
            </w:r>
            <w:r w:rsidRPr="00CB2EC4">
              <w:rPr>
                <w:rFonts w:ascii="Times New Roman" w:hAnsi="Times New Roman" w:cs="Times New Roman"/>
              </w:rPr>
              <w:br/>
            </w:r>
            <w:r w:rsidRPr="00CB2EC4">
              <w:rPr>
                <w:rFonts w:ascii="Times New Roman" w:hAnsi="Times New Roman" w:cs="Times New Roman"/>
              </w:rPr>
              <w:br/>
              <w:t>based on the contextual information (figure 3 in relevant excerpt 1: management flowchart for abnormal cytology + high-risk HPV co-testing results), when cytology is negative (-), high-risk HPV is positive (+), and HPV genotyping has not been performed (i.e., "HPV ungenotyped"), direct referral for colposcopy is indicated. the process is described as: "if HPV ungenotyped test is positive: then direct referral for colposcopy should be made." this is because ungenotyped testing cannot distinguish HPV16/18 from other high-risk types, necessitating colposcopy to rule out underlying lesions.</w:t>
            </w:r>
            <w:r w:rsidRPr="00CB2EC4">
              <w:rPr>
                <w:rFonts w:ascii="Times New Roman" w:hAnsi="Times New Roman" w:cs="Times New Roman"/>
              </w:rPr>
              <w:br/>
            </w:r>
            <w:r w:rsidRPr="00CB2EC4">
              <w:rPr>
                <w:rFonts w:ascii="Times New Roman" w:hAnsi="Times New Roman" w:cs="Times New Roman"/>
              </w:rPr>
              <w:br/>
              <w:t>answer: yes, other examinations are required, namely direct referral for colposcopy.</w:t>
            </w:r>
          </w:p>
        </w:tc>
        <w:tc>
          <w:tcPr>
            <w:tcW w:w="1152" w:type="dxa"/>
            <w:vAlign w:val="center"/>
          </w:tcPr>
          <w:p w14:paraId="2696DC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486A8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CF8A6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CD8F92B" w14:textId="77777777">
        <w:tc>
          <w:tcPr>
            <w:tcW w:w="2160" w:type="dxa"/>
            <w:vAlign w:val="center"/>
          </w:tcPr>
          <w:p w14:paraId="3E76B452"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AF08C45" w14:textId="77777777" w:rsidR="00922249" w:rsidRPr="00CB2EC4" w:rsidRDefault="003011D5">
            <w:pPr>
              <w:rPr>
                <w:rFonts w:ascii="Times New Roman" w:hAnsi="Times New Roman" w:cs="Times New Roman"/>
              </w:rPr>
            </w:pPr>
            <w:r w:rsidRPr="00CB2EC4">
              <w:rPr>
                <w:rFonts w:ascii="Times New Roman" w:hAnsi="Times New Roman" w:cs="Times New Roman"/>
              </w:rPr>
              <w:t>non-HPV16/18 positive and cytology negative:</w:t>
            </w:r>
            <w:r w:rsidRPr="00CB2EC4">
              <w:rPr>
                <w:rFonts w:ascii="Times New Roman" w:hAnsi="Times New Roman" w:cs="Times New Roman"/>
              </w:rPr>
              <w:br/>
            </w:r>
            <w:r w:rsidRPr="00CB2EC4">
              <w:rPr>
                <w:rFonts w:ascii="Times New Roman" w:hAnsi="Times New Roman" w:cs="Times New Roman"/>
              </w:rPr>
              <w:br/>
              <w:t>Next step:</w:t>
            </w:r>
            <w:r w:rsidRPr="00CB2EC4">
              <w:rPr>
                <w:rFonts w:ascii="Times New Roman" w:hAnsi="Times New Roman" w:cs="Times New Roman"/>
              </w:rPr>
              <w:br/>
              <w:t>- Combined testing (HPV + cytology) at 12 months.</w:t>
            </w:r>
            <w:r w:rsidRPr="00CB2EC4">
              <w:rPr>
                <w:rFonts w:ascii="Times New Roman" w:hAnsi="Times New Roman" w:cs="Times New Roman"/>
              </w:rPr>
              <w:br/>
              <w:t xml:space="preserve">  * For individuals positive for non-16/18 high-risk HPV and negative cytology, 12-month follow-up is standard management (risk of CIN3+ &lt;5%).</w:t>
            </w:r>
          </w:p>
        </w:tc>
        <w:tc>
          <w:tcPr>
            <w:tcW w:w="1152" w:type="dxa"/>
            <w:vAlign w:val="center"/>
          </w:tcPr>
          <w:p w14:paraId="294235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FD8C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0416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9BE5432" w14:textId="77777777">
        <w:tc>
          <w:tcPr>
            <w:tcW w:w="10656" w:type="dxa"/>
            <w:gridSpan w:val="5"/>
            <w:tcBorders>
              <w:bottom w:val="single" w:sz="6" w:space="0" w:color="auto"/>
            </w:tcBorders>
            <w:vAlign w:val="center"/>
          </w:tcPr>
          <w:p w14:paraId="1ADBB513" w14:textId="77777777" w:rsidR="00922249" w:rsidRPr="00CB2EC4" w:rsidRDefault="003011D5">
            <w:pPr>
              <w:rPr>
                <w:rFonts w:ascii="Times New Roman" w:hAnsi="Times New Roman" w:cs="Times New Roman"/>
              </w:rPr>
            </w:pPr>
            <w:r w:rsidRPr="00CB2EC4">
              <w:rPr>
                <w:rFonts w:ascii="Times New Roman" w:hAnsi="Times New Roman" w:cs="Times New Roman"/>
                <w:b/>
              </w:rPr>
              <w:t xml:space="preserve">Question 19: In cervical cancer screening, if a patient has a histopathological confirmation (biopsy) of LSIL cytology findings of </w:t>
            </w:r>
            <w:r w:rsidRPr="00CB2EC4">
              <w:rPr>
                <w:rFonts w:ascii="Times New Roman" w:hAnsi="Times New Roman" w:cs="Times New Roman"/>
                <w:b/>
              </w:rPr>
              <w:lastRenderedPageBreak/>
              <w:t>LSIL or higher and a TZ3 classification, what follow-up steps should be conducted?</w:t>
            </w:r>
          </w:p>
        </w:tc>
      </w:tr>
      <w:tr w:rsidR="00922249" w:rsidRPr="00CB2EC4" w14:paraId="74AD8C24" w14:textId="77777777">
        <w:tc>
          <w:tcPr>
            <w:tcW w:w="2160" w:type="dxa"/>
            <w:vAlign w:val="center"/>
          </w:tcPr>
          <w:p w14:paraId="15B0E82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Enrichment</w:t>
            </w:r>
          </w:p>
        </w:tc>
        <w:tc>
          <w:tcPr>
            <w:tcW w:w="5040" w:type="dxa"/>
            <w:vAlign w:val="center"/>
          </w:tcPr>
          <w:p w14:paraId="3EC68F29"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a patient with histologically confirmed LSIL (biopsy), cytological findings of LSIL or higher, and TZ3 classification, the follow-up steps are as follows:</w:t>
            </w:r>
            <w:r w:rsidRPr="00CB2EC4">
              <w:rPr>
                <w:rFonts w:ascii="Times New Roman" w:hAnsi="Times New Roman" w:cs="Times New Roman"/>
              </w:rPr>
              <w:br/>
            </w:r>
            <w:r w:rsidRPr="00CB2EC4">
              <w:rPr>
                <w:rFonts w:ascii="Times New Roman" w:hAnsi="Times New Roman" w:cs="Times New Roman"/>
              </w:rPr>
              <w:br/>
              <w:t>according to figure 4 in the document (management flow for histologically confirmed LSIL):</w:t>
            </w:r>
            <w:r w:rsidRPr="00CB2EC4">
              <w:rPr>
                <w:rFonts w:ascii="Times New Roman" w:hAnsi="Times New Roman" w:cs="Times New Roman"/>
              </w:rPr>
              <w:br/>
            </w:r>
            <w:r w:rsidRPr="00CB2EC4">
              <w:rPr>
                <w:rFonts w:ascii="Times New Roman" w:hAnsi="Times New Roman" w:cs="Times New Roman"/>
              </w:rPr>
              <w:br/>
              <w:t>- patients with histologically confirmed LSIL (including CIN I or CIN II/P16-negative) require stratification based on cytology results, age, pregnancy status, and cervical transformation zone type (TZ).</w:t>
            </w:r>
            <w:r w:rsidRPr="00CB2EC4">
              <w:rPr>
                <w:rFonts w:ascii="Times New Roman" w:hAnsi="Times New Roman" w:cs="Times New Roman"/>
              </w:rPr>
              <w:br/>
              <w:t>- for cytological findings of LSIL or higher (i.e., cytology ≥ LSIL), the document categorizes cytology results into two groups:</w:t>
            </w:r>
            <w:r w:rsidRPr="00CB2EC4">
              <w:rPr>
                <w:rFonts w:ascii="Times New Roman" w:hAnsi="Times New Roman" w:cs="Times New Roman"/>
              </w:rPr>
              <w:br/>
              <w:t xml:space="preserve">  - if cytology ≤ LSIL (low-grade lesion): when TZ3 type (transformation zone not visible), the patient should undergo endocervical curettage (ECC) and be managed according to the histological diagnosis from ECC.</w:t>
            </w:r>
            <w:r w:rsidRPr="00CB2EC4">
              <w:rPr>
                <w:rFonts w:ascii="Times New Roman" w:hAnsi="Times New Roman" w:cs="Times New Roman"/>
              </w:rPr>
              <w:br/>
              <w:t xml:space="preserve">  - if cytology ≥ ASC-H (suggesting possible high-grade lesion): when TZ3 type, non-special populations (general patients) should undergo colposcopy (document: "TZ3 (transformation zone not visible) → colposcopy").</w:t>
            </w:r>
            <w:r w:rsidRPr="00CB2EC4">
              <w:rPr>
                <w:rFonts w:ascii="Times New Roman" w:hAnsi="Times New Roman" w:cs="Times New Roman"/>
              </w:rPr>
              <w:br/>
              <w:t xml:space="preserve">    since the query specifies "cytological findings of LSIL or higher," this includes LSIL (low-grade) and ASC-H/HSIL (high-grade). the management differs:</w:t>
            </w:r>
            <w:r w:rsidRPr="00CB2EC4">
              <w:rPr>
                <w:rFonts w:ascii="Times New Roman" w:hAnsi="Times New Roman" w:cs="Times New Roman"/>
              </w:rPr>
              <w:br/>
              <w:t xml:space="preserve">  - cytology = LSIL (falls under ≤ LSIL): TZ3 → perform ECC.</w:t>
            </w:r>
            <w:r w:rsidRPr="00CB2EC4">
              <w:rPr>
                <w:rFonts w:ascii="Times New Roman" w:hAnsi="Times New Roman" w:cs="Times New Roman"/>
              </w:rPr>
              <w:br/>
              <w:t xml:space="preserve">  - cytology ≥ ASC-H (e.g., ASC-H, HSIL): TZ3 → refer for colposcopy.</w:t>
            </w:r>
            <w:r w:rsidRPr="00CB2EC4">
              <w:rPr>
                <w:rFonts w:ascii="Times New Roman" w:hAnsi="Times New Roman" w:cs="Times New Roman"/>
              </w:rPr>
              <w:br/>
            </w:r>
            <w:r w:rsidRPr="00CB2EC4">
              <w:rPr>
                <w:rFonts w:ascii="Times New Roman" w:hAnsi="Times New Roman" w:cs="Times New Roman"/>
              </w:rPr>
              <w:lastRenderedPageBreak/>
              <w:t xml:space="preserve">    therefore, the follow-up step depends on the specific cytological grade:</w:t>
            </w:r>
            <w:r w:rsidRPr="00CB2EC4">
              <w:rPr>
                <w:rFonts w:ascii="Times New Roman" w:hAnsi="Times New Roman" w:cs="Times New Roman"/>
              </w:rPr>
              <w:br/>
              <w:t xml:space="preserve">  - if cytology result is LSIL (low-grade): perform endocervical curettage (ECC), with subsequent management based on ECC findings.</w:t>
            </w:r>
            <w:r w:rsidRPr="00CB2EC4">
              <w:rPr>
                <w:rFonts w:ascii="Times New Roman" w:hAnsi="Times New Roman" w:cs="Times New Roman"/>
              </w:rPr>
              <w:br/>
              <w:t xml:space="preserve">  - if cytology result is ASC-H or higher (high-grade): refer for colposcopy.</w:t>
            </w:r>
            <w:r w:rsidRPr="00CB2EC4">
              <w:rPr>
                <w:rFonts w:ascii="Times New Roman" w:hAnsi="Times New Roman" w:cs="Times New Roman"/>
              </w:rPr>
              <w:br/>
              <w:t xml:space="preserve">    document source: figure 4 description.</w:t>
            </w:r>
          </w:p>
        </w:tc>
        <w:tc>
          <w:tcPr>
            <w:tcW w:w="1152" w:type="dxa"/>
            <w:vAlign w:val="center"/>
          </w:tcPr>
          <w:p w14:paraId="626EE8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E67A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F0EC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B9F0E5" w14:textId="77777777">
        <w:tc>
          <w:tcPr>
            <w:tcW w:w="2160" w:type="dxa"/>
            <w:vAlign w:val="center"/>
          </w:tcPr>
          <w:p w14:paraId="40E63046"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9D6B62F" w14:textId="77777777" w:rsidR="00922249" w:rsidRPr="00CB2EC4" w:rsidRDefault="003011D5">
            <w:pPr>
              <w:rPr>
                <w:rFonts w:ascii="Times New Roman" w:hAnsi="Times New Roman" w:cs="Times New Roman"/>
              </w:rPr>
            </w:pPr>
            <w:r w:rsidRPr="00CB2EC4">
              <w:rPr>
                <w:rFonts w:ascii="Times New Roman" w:hAnsi="Times New Roman" w:cs="Times New Roman"/>
              </w:rPr>
              <w:t>Follow-up steps for histologically confirmed LSIL, cytology ≥LSIL with TZ3 classification:</w:t>
            </w:r>
            <w:r w:rsidRPr="00CB2EC4">
              <w:rPr>
                <w:rFonts w:ascii="Times New Roman" w:hAnsi="Times New Roman" w:cs="Times New Roman"/>
              </w:rPr>
              <w:br/>
            </w:r>
            <w:r w:rsidRPr="00CB2EC4">
              <w:rPr>
                <w:rFonts w:ascii="Times New Roman" w:hAnsi="Times New Roman" w:cs="Times New Roman"/>
              </w:rPr>
              <w:br/>
              <w:t>Follow-up steps:</w:t>
            </w:r>
            <w:r w:rsidRPr="00CB2EC4">
              <w:rPr>
                <w:rFonts w:ascii="Times New Roman" w:hAnsi="Times New Roman" w:cs="Times New Roman"/>
              </w:rPr>
              <w:br/>
              <w:t xml:space="preserve">  1. Perform endocervical curettage (ECC) (Document fragment 3, block number 2; Document fragment 8, block number 61).</w:t>
            </w:r>
            <w:r w:rsidRPr="00CB2EC4">
              <w:rPr>
                <w:rFonts w:ascii="Times New Roman" w:hAnsi="Times New Roman" w:cs="Times New Roman"/>
              </w:rPr>
              <w:br/>
              <w:t xml:space="preserve">  2. Manage according to the histological diagnosis from ECC:</w:t>
            </w:r>
            <w:r w:rsidRPr="00CB2EC4">
              <w:rPr>
                <w:rFonts w:ascii="Times New Roman" w:hAnsi="Times New Roman" w:cs="Times New Roman"/>
              </w:rPr>
              <w:br/>
              <w:t xml:space="preserve">     - If ECC result is abnormal (e.g., ≥CINⅡ), manage as high-grade lesion (e.g., refer for colposcopy or diagnostic conization).</w:t>
            </w:r>
            <w:r w:rsidRPr="00CB2EC4">
              <w:rPr>
                <w:rFonts w:ascii="Times New Roman" w:hAnsi="Times New Roman" w:cs="Times New Roman"/>
              </w:rPr>
              <w:br/>
              <w:t xml:space="preserve">     - If ECC is negative, recommend continued observation and follow-up (Document fragment 8, block number 61).</w:t>
            </w:r>
            <w:r w:rsidRPr="00CB2EC4">
              <w:rPr>
                <w:rFonts w:ascii="Times New Roman" w:hAnsi="Times New Roman" w:cs="Times New Roman"/>
              </w:rPr>
              <w:br/>
              <w:t xml:space="preserve">  *Rationale: TZ3 type (transformation zone not visible) requires ECC to assess risk of endocervical lesions.*</w:t>
            </w:r>
          </w:p>
        </w:tc>
        <w:tc>
          <w:tcPr>
            <w:tcW w:w="1152" w:type="dxa"/>
            <w:vAlign w:val="center"/>
          </w:tcPr>
          <w:p w14:paraId="1D1811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59A3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F499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255A04" w14:textId="77777777">
        <w:tc>
          <w:tcPr>
            <w:tcW w:w="2160" w:type="dxa"/>
            <w:vAlign w:val="center"/>
          </w:tcPr>
          <w:p w14:paraId="3E5B854A"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8154AB6" w14:textId="77777777" w:rsidR="00922249" w:rsidRPr="00CB2EC4" w:rsidRDefault="003011D5">
            <w:pPr>
              <w:rPr>
                <w:rFonts w:ascii="Times New Roman" w:hAnsi="Times New Roman" w:cs="Times New Roman"/>
              </w:rPr>
            </w:pPr>
            <w:r w:rsidRPr="00CB2EC4">
              <w:rPr>
                <w:rFonts w:ascii="Times New Roman" w:hAnsi="Times New Roman" w:cs="Times New Roman"/>
              </w:rPr>
              <w:t>immediately perform colposcopy.</w:t>
            </w:r>
          </w:p>
        </w:tc>
        <w:tc>
          <w:tcPr>
            <w:tcW w:w="1152" w:type="dxa"/>
            <w:vAlign w:val="center"/>
          </w:tcPr>
          <w:p w14:paraId="43E018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135F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30A4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A7939A" w14:textId="77777777">
        <w:tc>
          <w:tcPr>
            <w:tcW w:w="2160" w:type="dxa"/>
            <w:vAlign w:val="center"/>
          </w:tcPr>
          <w:p w14:paraId="19FB060D"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E23D5D9" w14:textId="77777777" w:rsidR="00922249" w:rsidRPr="00CB2EC4" w:rsidRDefault="003011D5">
            <w:pPr>
              <w:rPr>
                <w:rFonts w:ascii="Times New Roman" w:hAnsi="Times New Roman" w:cs="Times New Roman"/>
              </w:rPr>
            </w:pPr>
            <w:r w:rsidRPr="00CB2EC4">
              <w:rPr>
                <w:rFonts w:ascii="Times New Roman" w:hAnsi="Times New Roman" w:cs="Times New Roman"/>
              </w:rPr>
              <w:t>follow-up for histologically confirmed LSIL + cytology ≥ASC-H + TZ3 type</w:t>
            </w:r>
            <w:r w:rsidRPr="00CB2EC4">
              <w:rPr>
                <w:rFonts w:ascii="Times New Roman" w:hAnsi="Times New Roman" w:cs="Times New Roman"/>
              </w:rPr>
              <w:br/>
            </w:r>
            <w:r w:rsidRPr="00CB2EC4">
              <w:rPr>
                <w:rFonts w:ascii="Times New Roman" w:hAnsi="Times New Roman" w:cs="Times New Roman"/>
              </w:rPr>
              <w:br/>
              <w:t>Knowledge base reference (Figure 4 flowchart):</w:t>
            </w:r>
            <w:r w:rsidRPr="00CB2EC4">
              <w:rPr>
                <w:rFonts w:ascii="Times New Roman" w:hAnsi="Times New Roman" w:cs="Times New Roman"/>
              </w:rPr>
              <w:br/>
            </w:r>
            <w:r w:rsidRPr="00CB2EC4">
              <w:rPr>
                <w:rFonts w:ascii="Times New Roman" w:hAnsi="Times New Roman" w:cs="Times New Roman"/>
              </w:rPr>
              <w:br/>
              <w:t xml:space="preserve">- Cytology ≥ASC-H + TZ3 type (transformation zone </w:t>
            </w:r>
            <w:r w:rsidRPr="00CB2EC4">
              <w:rPr>
                <w:rFonts w:ascii="Times New Roman" w:hAnsi="Times New Roman" w:cs="Times New Roman"/>
              </w:rPr>
              <w:lastRenderedPageBreak/>
              <w:t>not visible):</w:t>
            </w:r>
            <w:r w:rsidRPr="00CB2EC4">
              <w:rPr>
                <w:rFonts w:ascii="Times New Roman" w:hAnsi="Times New Roman" w:cs="Times New Roman"/>
              </w:rPr>
              <w:br/>
              <w:t xml:space="preserve">  → Endocervical curettage (ECC) must be performed, and management stratified according to ECC results (left path in Figure 4).</w:t>
            </w:r>
            <w:r w:rsidRPr="00CB2EC4">
              <w:rPr>
                <w:rFonts w:ascii="Times New Roman" w:hAnsi="Times New Roman" w:cs="Times New Roman"/>
              </w:rPr>
              <w:br/>
              <w:t>- If ECC suggests high-grade lesion → manage per HSIL protocol (Figure 5).</w:t>
            </w:r>
            <w:r w:rsidRPr="00CB2EC4">
              <w:rPr>
                <w:rFonts w:ascii="Times New Roman" w:hAnsi="Times New Roman" w:cs="Times New Roman"/>
              </w:rPr>
              <w:br/>
            </w:r>
            <w:r w:rsidRPr="00CB2EC4">
              <w:rPr>
                <w:rFonts w:ascii="Times New Roman" w:hAnsi="Times New Roman" w:cs="Times New Roman"/>
              </w:rPr>
              <w:br/>
              <w:t>&gt; Conclusion: ECC is a mandatory step and cannot be omitted in follow-up.</w:t>
            </w:r>
          </w:p>
        </w:tc>
        <w:tc>
          <w:tcPr>
            <w:tcW w:w="1152" w:type="dxa"/>
            <w:vAlign w:val="center"/>
          </w:tcPr>
          <w:p w14:paraId="4FCFB7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EB9E9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401D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A18642" w14:textId="77777777">
        <w:tc>
          <w:tcPr>
            <w:tcW w:w="2160" w:type="dxa"/>
            <w:vAlign w:val="center"/>
          </w:tcPr>
          <w:p w14:paraId="6AD65BFA"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C936847"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LSIL (biopsy), cytological findings of LSIL or higher, and TZ3 classification, the following follow-up steps should be performed:</w:t>
            </w:r>
            <w:r w:rsidRPr="00CB2EC4">
              <w:rPr>
                <w:rFonts w:ascii="Times New Roman" w:hAnsi="Times New Roman" w:cs="Times New Roman"/>
              </w:rPr>
              <w:br/>
            </w:r>
            <w:r w:rsidRPr="00CB2EC4">
              <w:rPr>
                <w:rFonts w:ascii="Times New Roman" w:hAnsi="Times New Roman" w:cs="Times New Roman"/>
              </w:rPr>
              <w:br/>
              <w:t>→ Endocervical curettage (ECC) examination</w:t>
            </w:r>
            <w:r w:rsidRPr="00CB2EC4">
              <w:rPr>
                <w:rFonts w:ascii="Times New Roman" w:hAnsi="Times New Roman" w:cs="Times New Roman"/>
              </w:rPr>
              <w:br/>
              <w:t>→ Subsequent management according to the histological diagnosis grade from ECC (which may include colposcopy or further treatment)</w:t>
            </w:r>
            <w:r w:rsidRPr="00CB2EC4">
              <w:rPr>
                <w:rFonts w:ascii="Times New Roman" w:hAnsi="Times New Roman" w:cs="Times New Roman"/>
              </w:rPr>
              <w:br/>
            </w:r>
            <w:r w:rsidRPr="00CB2EC4">
              <w:rPr>
                <w:rFonts w:ascii="Times New Roman" w:hAnsi="Times New Roman" w:cs="Times New Roman"/>
              </w:rPr>
              <w:br/>
              <w:t>(per document fragment 2: TZ3 type should undergo ECC; document fragment 8: similar workflow applies when histology confirms LSIL and cytology is ≥ASC-H)</w:t>
            </w:r>
          </w:p>
        </w:tc>
        <w:tc>
          <w:tcPr>
            <w:tcW w:w="1152" w:type="dxa"/>
            <w:vAlign w:val="center"/>
          </w:tcPr>
          <w:p w14:paraId="7E1439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E8BE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3E9FD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07C20D" w14:textId="77777777">
        <w:tc>
          <w:tcPr>
            <w:tcW w:w="2160" w:type="dxa"/>
            <w:vAlign w:val="center"/>
          </w:tcPr>
          <w:p w14:paraId="09A8313A"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47527B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a patient with histologically confirmed LSIL (biopsy), cytological findings of LSIL or higher, and TZ3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 If the cytology result is LSIL or lower (≤LSIL), the patient should undergo endocervical curettage (ECC) and be managed according to the histological diagnosis.</w:t>
            </w:r>
            <w:r w:rsidRPr="00CB2EC4">
              <w:rPr>
                <w:rFonts w:ascii="Times New Roman" w:hAnsi="Times New Roman" w:cs="Times New Roman"/>
              </w:rPr>
              <w:br/>
              <w:t xml:space="preserve">- If the cytology result is ASC-H or higher (≥ASC-H), </w:t>
            </w:r>
            <w:r w:rsidRPr="00CB2EC4">
              <w:rPr>
                <w:rFonts w:ascii="Times New Roman" w:hAnsi="Times New Roman" w:cs="Times New Roman"/>
              </w:rPr>
              <w:lastRenderedPageBreak/>
              <w:t>the patient should undergo colposcopy (for non-special populations).</w:t>
            </w:r>
            <w:r w:rsidRPr="00CB2EC4">
              <w:rPr>
                <w:rFonts w:ascii="Times New Roman" w:hAnsi="Times New Roman" w:cs="Times New Roman"/>
              </w:rPr>
              <w:br/>
            </w:r>
            <w:r w:rsidRPr="00CB2EC4">
              <w:rPr>
                <w:rFonts w:ascii="Times New Roman" w:hAnsi="Times New Roman" w:cs="Times New Roman"/>
              </w:rPr>
              <w:br/>
              <w:t>(Note: The cytological finding of "LSIL or higher" must be differentiated by specific grade to determine the appropriate step.)</w:t>
            </w:r>
          </w:p>
        </w:tc>
        <w:tc>
          <w:tcPr>
            <w:tcW w:w="1152" w:type="dxa"/>
            <w:vAlign w:val="center"/>
          </w:tcPr>
          <w:p w14:paraId="6D8221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4ABC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2C13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B97D34" w14:textId="77777777">
        <w:tc>
          <w:tcPr>
            <w:tcW w:w="2160" w:type="dxa"/>
            <w:vAlign w:val="center"/>
          </w:tcPr>
          <w:p w14:paraId="24AC513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1B401A0" w14:textId="77777777" w:rsidR="00922249" w:rsidRPr="00CB2EC4" w:rsidRDefault="003011D5">
            <w:pPr>
              <w:rPr>
                <w:rFonts w:ascii="Times New Roman" w:hAnsi="Times New Roman" w:cs="Times New Roman"/>
              </w:rPr>
            </w:pPr>
            <w:r w:rsidRPr="00CB2EC4">
              <w:rPr>
                <w:rFonts w:ascii="Times New Roman" w:hAnsi="Times New Roman" w:cs="Times New Roman"/>
              </w:rPr>
              <w:t>follow-up steps for histologically confirmed LSIL + cytology ≥ LSIL + TZ3 classification:</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  The patient should undergo endocervical curettage (ECC), and management should be based on the histological diagnosis grade from the ECC (refer to Figure 4 in paragraph 2 and clause 4.1.1 in paragraph 14).</w:t>
            </w:r>
          </w:p>
        </w:tc>
        <w:tc>
          <w:tcPr>
            <w:tcW w:w="1152" w:type="dxa"/>
            <w:vAlign w:val="center"/>
          </w:tcPr>
          <w:p w14:paraId="71AF00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AF99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89567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5DC76D" w14:textId="77777777">
        <w:tc>
          <w:tcPr>
            <w:tcW w:w="2160" w:type="dxa"/>
            <w:vAlign w:val="center"/>
          </w:tcPr>
          <w:p w14:paraId="1504E891"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85AD0BF"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the patient's histopathology (biopsy) confirms LSIL, the cytology finding is LSIL or higher, and the transformation zone is classified as TZ3, the following follow-up step should be performed:</w:t>
            </w:r>
            <w:r w:rsidRPr="00CB2EC4">
              <w:rPr>
                <w:rFonts w:ascii="Times New Roman" w:hAnsi="Times New Roman" w:cs="Times New Roman"/>
              </w:rPr>
              <w:br/>
            </w:r>
            <w:r w:rsidRPr="00CB2EC4">
              <w:rPr>
                <w:rFonts w:ascii="Times New Roman" w:hAnsi="Times New Roman" w:cs="Times New Roman"/>
              </w:rPr>
              <w:br/>
              <w:t>- Direct referral for colposcopy (because cytology ≥ASC-H corresponds to possible high-grade lesions).</w:t>
            </w:r>
            <w:r w:rsidRPr="00CB2EC4">
              <w:rPr>
                <w:rFonts w:ascii="Times New Roman" w:hAnsi="Times New Roman" w:cs="Times New Roman"/>
              </w:rPr>
              <w:br/>
            </w:r>
            <w:r w:rsidRPr="00CB2EC4">
              <w:rPr>
                <w:rFonts w:ascii="Times New Roman" w:hAnsi="Times New Roman" w:cs="Times New Roman"/>
              </w:rPr>
              <w:br/>
              <w:t>based on document content: when histopathology confirms LSIL (including CIN I or CIN II/P16-negative), management is stratified according to cytology results and transformation zone type (TZ). document fragment 1 (figure 4) and document fragment 7 detail this process:</w:t>
            </w:r>
            <w:r w:rsidRPr="00CB2EC4">
              <w:rPr>
                <w:rFonts w:ascii="Times New Roman" w:hAnsi="Times New Roman" w:cs="Times New Roman"/>
              </w:rPr>
              <w:br/>
            </w:r>
            <w:r w:rsidRPr="00CB2EC4">
              <w:rPr>
                <w:rFonts w:ascii="Times New Roman" w:hAnsi="Times New Roman" w:cs="Times New Roman"/>
              </w:rPr>
              <w:br/>
              <w:t xml:space="preserve">- if cytology finding is LSIL or higher (i.e., ≥ASC-H) and TZ3 (transformation zone not visible): → </w:t>
            </w:r>
            <w:r w:rsidRPr="00CB2EC4">
              <w:rPr>
                <w:rFonts w:ascii="Times New Roman" w:hAnsi="Times New Roman" w:cs="Times New Roman"/>
              </w:rPr>
              <w:lastRenderedPageBreak/>
              <w:t>colposcopy should be performed directly (document fragment 1: "if cytology ≥ASC-H... TZ3 (transformation zone not visible) → colposcopy").</w:t>
            </w:r>
            <w:r w:rsidRPr="00CB2EC4">
              <w:rPr>
                <w:rFonts w:ascii="Times New Roman" w:hAnsi="Times New Roman" w:cs="Times New Roman"/>
              </w:rPr>
              <w:br/>
              <w:t>- if cytology finding is LSIL or lower (i.e., ≤LSIL) and TZ3: endometrial curettage (ECC) should be performed, and management adjusted according to the histological diagnosis (document fragment 1: "if the patient is TZ3 type, then the patient should undergo endometrial curettage (ECC) examination and receive corresponding management based on the histological diagnostic grade").</w:t>
            </w:r>
            <w:r w:rsidRPr="00CB2EC4">
              <w:rPr>
                <w:rFonts w:ascii="Times New Roman" w:hAnsi="Times New Roman" w:cs="Times New Roman"/>
              </w:rPr>
              <w:br/>
            </w:r>
            <w:r w:rsidRPr="00CB2EC4">
              <w:rPr>
                <w:rFonts w:ascii="Times New Roman" w:hAnsi="Times New Roman" w:cs="Times New Roman"/>
              </w:rPr>
              <w:br/>
              <w:t>in this scenario, cytology is LSIL or higher (≥LSIL) and TZ3 classification, therefore the follow-up step is: direct referral for colposcopy (as ≥ASC-H corresponds to possible high-grade lesions).</w:t>
            </w:r>
          </w:p>
        </w:tc>
        <w:tc>
          <w:tcPr>
            <w:tcW w:w="1152" w:type="dxa"/>
            <w:vAlign w:val="center"/>
          </w:tcPr>
          <w:p w14:paraId="4F0739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4633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3C5A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6AC996" w14:textId="77777777">
        <w:tc>
          <w:tcPr>
            <w:tcW w:w="2160" w:type="dxa"/>
            <w:vAlign w:val="center"/>
          </w:tcPr>
          <w:p w14:paraId="05B8531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B58D043"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the patient has histologically confirmed LSIL (biopsy), cytological findings of LSIL or higher, and TZ3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according to figure 4 in the document (management flow for histologically confirmed LSIL), the management depends on the cytological result level:</w:t>
            </w:r>
            <w:r w:rsidRPr="00CB2EC4">
              <w:rPr>
                <w:rFonts w:ascii="Times New Roman" w:hAnsi="Times New Roman" w:cs="Times New Roman"/>
              </w:rPr>
              <w:br/>
            </w:r>
            <w:r w:rsidRPr="00CB2EC4">
              <w:rPr>
                <w:rFonts w:ascii="Times New Roman" w:hAnsi="Times New Roman" w:cs="Times New Roman"/>
              </w:rPr>
              <w:br/>
              <w:t>- if cytology ≤ LSIL (low-grade lesion) and TZ3 classification: endometrial curettage (ECC) should be performed, and management should be based on the histological diagnosis level. the document states: "if the patient is TZ3 type, then the patient should undergo endometrial curettage (ECC) examination and receive corresponding management based on the histological diagnostic level."</w:t>
            </w:r>
            <w:r w:rsidRPr="00CB2EC4">
              <w:rPr>
                <w:rFonts w:ascii="Times New Roman" w:hAnsi="Times New Roman" w:cs="Times New Roman"/>
              </w:rPr>
              <w:br/>
              <w:t>- if cytology ≥ ASC-H (suggesting possible high-</w:t>
            </w:r>
            <w:r w:rsidRPr="00CB2EC4">
              <w:rPr>
                <w:rFonts w:ascii="Times New Roman" w:hAnsi="Times New Roman" w:cs="Times New Roman"/>
              </w:rPr>
              <w:lastRenderedPageBreak/>
              <w:t>grade lesion, including ASC-H, LSIL or higher) and TZ3 classification: referral for colposcopy should be made. the document states: "2. if cytology ≥ ASC-H (suggesting possible high-grade lesion)... o non-special population (general patients): → manage according to transformation zone type (TZ): § TZ3 (transformation zone not visible) → colposcopy."</w:t>
            </w:r>
            <w:r w:rsidRPr="00CB2EC4">
              <w:rPr>
                <w:rFonts w:ascii="Times New Roman" w:hAnsi="Times New Roman" w:cs="Times New Roman"/>
              </w:rPr>
              <w:br/>
              <w:t xml:space="preserve">  since the question specifies "cytological findings of LSIL or higher," this includes two possibilities:</w:t>
            </w:r>
            <w:r w:rsidRPr="00CB2EC4">
              <w:rPr>
                <w:rFonts w:ascii="Times New Roman" w:hAnsi="Times New Roman" w:cs="Times New Roman"/>
              </w:rPr>
              <w:br/>
              <w:t xml:space="preserve">  - when cytology is LSIL (≤ LSIL): the follow-up step is to perform ECC.</w:t>
            </w:r>
            <w:r w:rsidRPr="00CB2EC4">
              <w:rPr>
                <w:rFonts w:ascii="Times New Roman" w:hAnsi="Times New Roman" w:cs="Times New Roman"/>
              </w:rPr>
              <w:br/>
              <w:t xml:space="preserve">  - when cytology is ASC-H or higher (≥ ASC-H): the follow-up step is referral for colposcopy.</w:t>
            </w:r>
            <w:r w:rsidRPr="00CB2EC4">
              <w:rPr>
                <w:rFonts w:ascii="Times New Roman" w:hAnsi="Times New Roman" w:cs="Times New Roman"/>
              </w:rPr>
              <w:br/>
              <w:t xml:space="preserve">    the document does not provide a unified approach for "LSIL or higher"; differentiation based on specific cytological grade is required. therefore, the specific follow-up step depends on the cytology result:</w:t>
            </w:r>
            <w:r w:rsidRPr="00CB2EC4">
              <w:rPr>
                <w:rFonts w:ascii="Times New Roman" w:hAnsi="Times New Roman" w:cs="Times New Roman"/>
              </w:rPr>
              <w:br/>
              <w:t xml:space="preserve">  - if cytology is LSIL (≤ LSIL), perform ECC.</w:t>
            </w:r>
            <w:r w:rsidRPr="00CB2EC4">
              <w:rPr>
                <w:rFonts w:ascii="Times New Roman" w:hAnsi="Times New Roman" w:cs="Times New Roman"/>
              </w:rPr>
              <w:br/>
              <w:t xml:space="preserve">  - if cytology is ASC-H or higher (≥ ASC-H), perform colposcopy.</w:t>
            </w:r>
          </w:p>
        </w:tc>
        <w:tc>
          <w:tcPr>
            <w:tcW w:w="1152" w:type="dxa"/>
            <w:vAlign w:val="center"/>
          </w:tcPr>
          <w:p w14:paraId="693A41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AF7B3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ADED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7CA9EA" w14:textId="77777777">
        <w:tc>
          <w:tcPr>
            <w:tcW w:w="2160" w:type="dxa"/>
            <w:vAlign w:val="center"/>
          </w:tcPr>
          <w:p w14:paraId="5DC4412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D036D53"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(biopsy) LSIL, cytological findings of LSIL or higher, and a TZ3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according to contextual information (document fragment 10):</w:t>
            </w:r>
            <w:r w:rsidRPr="00CB2EC4">
              <w:rPr>
                <w:rFonts w:ascii="Times New Roman" w:hAnsi="Times New Roman" w:cs="Times New Roman"/>
              </w:rPr>
              <w:br/>
              <w:t>- LSIL (low-grade squamous intraepithelial lesion) includes CIN I or CIN II/P16 negative.</w:t>
            </w:r>
            <w:r w:rsidRPr="00CB2EC4">
              <w:rPr>
                <w:rFonts w:ascii="Times New Roman" w:hAnsi="Times New Roman" w:cs="Times New Roman"/>
              </w:rPr>
              <w:br/>
              <w:t>- "cytological findings of LSIL or higher" corresponds to "if cytology ≥ ASC-H" (i.e., ASC-H, HSIL, or other abnormalities).</w:t>
            </w:r>
            <w:r w:rsidRPr="00CB2EC4">
              <w:rPr>
                <w:rFonts w:ascii="Times New Roman" w:hAnsi="Times New Roman" w:cs="Times New Roman"/>
              </w:rPr>
              <w:br/>
              <w:t>- TZ3 classification means the transformation zone is not visible.</w:t>
            </w:r>
            <w:r w:rsidRPr="00CB2EC4">
              <w:rPr>
                <w:rFonts w:ascii="Times New Roman" w:hAnsi="Times New Roman" w:cs="Times New Roman"/>
              </w:rPr>
              <w:br/>
            </w:r>
            <w:r w:rsidRPr="00CB2EC4">
              <w:rPr>
                <w:rFonts w:ascii="Times New Roman" w:hAnsi="Times New Roman" w:cs="Times New Roman"/>
              </w:rPr>
              <w:lastRenderedPageBreak/>
              <w:t xml:space="preserve">  the management process is:</w:t>
            </w:r>
            <w:r w:rsidRPr="00CB2EC4">
              <w:rPr>
                <w:rFonts w:ascii="Times New Roman" w:hAnsi="Times New Roman" w:cs="Times New Roman"/>
              </w:rPr>
              <w:br/>
              <w:t xml:space="preserve">  1. an endocervical curettage (ECC) should be performed.</w:t>
            </w:r>
            <w:r w:rsidRPr="00CB2EC4">
              <w:rPr>
                <w:rFonts w:ascii="Times New Roman" w:hAnsi="Times New Roman" w:cs="Times New Roman"/>
              </w:rPr>
              <w:br/>
              <w:t xml:space="preserve">  2. after ECC, management should be based on the histological diagnosis level.</w:t>
            </w:r>
            <w:r w:rsidRPr="00CB2EC4">
              <w:rPr>
                <w:rFonts w:ascii="Times New Roman" w:hAnsi="Times New Roman" w:cs="Times New Roman"/>
              </w:rPr>
              <w:br/>
              <w:t>for example:</w:t>
            </w:r>
            <w:r w:rsidRPr="00CB2EC4">
              <w:rPr>
                <w:rFonts w:ascii="Times New Roman" w:hAnsi="Times New Roman" w:cs="Times New Roman"/>
              </w:rPr>
              <w:br/>
              <w:t xml:space="preserve">   - document fragment 10, figure 4 states: "if the patient is TZ3 type, then the patient should undergo endocervical curettage (ECC) examination and receive corresponding management based on the histological diagnosis level".</w:t>
            </w:r>
            <w:r w:rsidRPr="00CB2EC4">
              <w:rPr>
                <w:rFonts w:ascii="Times New Roman" w:hAnsi="Times New Roman" w:cs="Times New Roman"/>
              </w:rPr>
              <w:br/>
              <w:t>therefore, the follow-up step is to perform ECC immediately; subsequent management depends on the ECC result (e.g., continued observation if no abnormality is found).</w:t>
            </w:r>
          </w:p>
        </w:tc>
        <w:tc>
          <w:tcPr>
            <w:tcW w:w="1152" w:type="dxa"/>
            <w:vAlign w:val="center"/>
          </w:tcPr>
          <w:p w14:paraId="1785D6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9330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C2B3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736229" w14:textId="77777777">
        <w:tc>
          <w:tcPr>
            <w:tcW w:w="2160" w:type="dxa"/>
            <w:vAlign w:val="center"/>
          </w:tcPr>
          <w:p w14:paraId="368F5FA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5558E38"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the patient's histopathology (biopsy) confirms LSIL, the cytology finding is LSIL or higher, and the transformation zone is classified as TZ3, the following follow-up steps should be taken:</w:t>
            </w:r>
            <w:r w:rsidRPr="00CB2EC4">
              <w:rPr>
                <w:rFonts w:ascii="Times New Roman" w:hAnsi="Times New Roman" w:cs="Times New Roman"/>
              </w:rPr>
              <w:br/>
            </w:r>
            <w:r w:rsidRPr="00CB2EC4">
              <w:rPr>
                <w:rFonts w:ascii="Times New Roman" w:hAnsi="Times New Roman" w:cs="Times New Roman"/>
              </w:rPr>
              <w:br/>
              <w:t>- After histopathological confirmation of LSIL, management depends on the cytology result level:</w:t>
            </w:r>
            <w:r w:rsidRPr="00CB2EC4">
              <w:rPr>
                <w:rFonts w:ascii="Times New Roman" w:hAnsi="Times New Roman" w:cs="Times New Roman"/>
              </w:rPr>
              <w:br/>
              <w:t xml:space="preserve">  - If the cytology result is LSIL (low-grade) or lower (≤LSIL): for TZ3 classification (transformation zone not visible), an endocervical curettage (ECC) should be performed, and subsequent management should be based on the ECC results (e.g., histological diagnosis grade).</w:t>
            </w:r>
            <w:r w:rsidRPr="00CB2EC4">
              <w:rPr>
                <w:rFonts w:ascii="Times New Roman" w:hAnsi="Times New Roman" w:cs="Times New Roman"/>
              </w:rPr>
              <w:br/>
              <w:t xml:space="preserve">  - If the cytology result is ASC-H or higher (≥ASC-H): for TZ3 classification, refer for colposcopy or proceed directly to diagnostic conization.</w:t>
            </w:r>
            <w:r w:rsidRPr="00CB2EC4">
              <w:rPr>
                <w:rFonts w:ascii="Times New Roman" w:hAnsi="Times New Roman" w:cs="Times New Roman"/>
              </w:rPr>
              <w:br/>
            </w:r>
            <w:r w:rsidRPr="00CB2EC4">
              <w:rPr>
                <w:rFonts w:ascii="Times New Roman" w:hAnsi="Times New Roman" w:cs="Times New Roman"/>
              </w:rPr>
              <w:br/>
              <w:t>Summary of follow-up steps:</w:t>
            </w:r>
            <w:r w:rsidRPr="00CB2EC4">
              <w:rPr>
                <w:rFonts w:ascii="Times New Roman" w:hAnsi="Times New Roman" w:cs="Times New Roman"/>
              </w:rPr>
              <w:br/>
            </w:r>
            <w:r w:rsidRPr="00CB2EC4">
              <w:rPr>
                <w:rFonts w:ascii="Times New Roman" w:hAnsi="Times New Roman" w:cs="Times New Roman"/>
              </w:rPr>
              <w:lastRenderedPageBreak/>
              <w:br/>
              <w:t>1. Evaluate the specific cytology grade:</w:t>
            </w:r>
            <w:r w:rsidRPr="00CB2EC4">
              <w:rPr>
                <w:rFonts w:ascii="Times New Roman" w:hAnsi="Times New Roman" w:cs="Times New Roman"/>
              </w:rPr>
              <w:br/>
              <w:t xml:space="preserve">   - Cytology ≤ LSIL → perform ECC.</w:t>
            </w:r>
            <w:r w:rsidRPr="00CB2EC4">
              <w:rPr>
                <w:rFonts w:ascii="Times New Roman" w:hAnsi="Times New Roman" w:cs="Times New Roman"/>
              </w:rPr>
              <w:br/>
              <w:t xml:space="preserve">   - Cytology ≥ ASC-H → refer for colposcopy or diagnostic conization.</w:t>
            </w:r>
            <w:r w:rsidRPr="00CB2EC4">
              <w:rPr>
                <w:rFonts w:ascii="Times New Roman" w:hAnsi="Times New Roman" w:cs="Times New Roman"/>
              </w:rPr>
              <w:br/>
              <w:t>2. Subsequent management is based on ECC or biopsy results (e.g., continued follow-up if no invasive cancer is found).</w:t>
            </w:r>
            <w:r w:rsidRPr="00CB2EC4">
              <w:rPr>
                <w:rFonts w:ascii="Times New Roman" w:hAnsi="Times New Roman" w:cs="Times New Roman"/>
              </w:rPr>
              <w:br/>
            </w:r>
            <w:r w:rsidRPr="00CB2EC4">
              <w:rPr>
                <w:rFonts w:ascii="Times New Roman" w:hAnsi="Times New Roman" w:cs="Times New Roman"/>
              </w:rPr>
              <w:br/>
              <w:t>Document basis: the segment with similarity 0.411 states "histopathologically confirmed LSIL... if cytology ≤ LSIL... if the patient is TZ3 type, then the patient should undergo endocervical curettage (ECC)" and "if cytology ≥ ASC-H... TZ3 → colposcopy"; the segment with similarity 0.371 adds the option of diagnostic conization.</w:t>
            </w:r>
          </w:p>
        </w:tc>
        <w:tc>
          <w:tcPr>
            <w:tcW w:w="1152" w:type="dxa"/>
            <w:vAlign w:val="center"/>
          </w:tcPr>
          <w:p w14:paraId="2E3DBA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11C6D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A650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A1AEA9" w14:textId="77777777">
        <w:tc>
          <w:tcPr>
            <w:tcW w:w="2160" w:type="dxa"/>
            <w:vAlign w:val="center"/>
          </w:tcPr>
          <w:p w14:paraId="4A89850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8C137F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the patient has histologically confirmed (biopsy) LSIL, cytological findings of LSIL or higher, and a TZ3 transformation zone classification, the following follow-up step should be performed:</w:t>
            </w:r>
            <w:r w:rsidRPr="00CB2EC4">
              <w:rPr>
                <w:rFonts w:ascii="Times New Roman" w:hAnsi="Times New Roman" w:cs="Times New Roman"/>
              </w:rPr>
              <w:br/>
            </w:r>
            <w:r w:rsidRPr="00CB2EC4">
              <w:rPr>
                <w:rFonts w:ascii="Times New Roman" w:hAnsi="Times New Roman" w:cs="Times New Roman"/>
              </w:rPr>
              <w:br/>
              <w:t>- Indication: Document segment 8 (relevance: 0.9691) and document segment 18 (relevance: 0.6808) describe the management flow for histologically confirmed LSIL: "If cytology ≥ ASC-H (suggesting possible high-grade lesion) → TZ3 (transformation zone not visible) → colposcopy". Document segment 13 (relevance: 0.8141) also states similar content: "Cytology ≥ ASC-H → TZ3 → colposcopy".</w:t>
            </w:r>
            <w:r w:rsidRPr="00CB2EC4">
              <w:rPr>
                <w:rFonts w:ascii="Times New Roman" w:hAnsi="Times New Roman" w:cs="Times New Roman"/>
              </w:rPr>
              <w:br/>
              <w:t>- Specific steps: Immediate referral for colposcopy to exclude invasive cancer or high-grade lesions; if colposcopy reveals abnormalities, perform biopsy or further management.</w:t>
            </w:r>
          </w:p>
        </w:tc>
        <w:tc>
          <w:tcPr>
            <w:tcW w:w="1152" w:type="dxa"/>
            <w:vAlign w:val="center"/>
          </w:tcPr>
          <w:p w14:paraId="478D7B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BDB1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6062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8C2049" w14:textId="77777777">
        <w:tc>
          <w:tcPr>
            <w:tcW w:w="2160" w:type="dxa"/>
            <w:vAlign w:val="center"/>
          </w:tcPr>
          <w:p w14:paraId="76B649F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4A41120D" w14:textId="77777777" w:rsidR="00922249" w:rsidRPr="00CB2EC4" w:rsidRDefault="003011D5">
            <w:pPr>
              <w:rPr>
                <w:rFonts w:ascii="Times New Roman" w:hAnsi="Times New Roman" w:cs="Times New Roman"/>
              </w:rPr>
            </w:pPr>
            <w:r w:rsidRPr="00CB2EC4">
              <w:rPr>
                <w:rFonts w:ascii="Times New Roman" w:hAnsi="Times New Roman" w:cs="Times New Roman"/>
              </w:rPr>
              <w:t>should undergo colposcopy.</w:t>
            </w:r>
          </w:p>
        </w:tc>
        <w:tc>
          <w:tcPr>
            <w:tcW w:w="1152" w:type="dxa"/>
            <w:vAlign w:val="center"/>
          </w:tcPr>
          <w:p w14:paraId="3D5E5D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4557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335D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6E85F95" w14:textId="77777777">
        <w:tc>
          <w:tcPr>
            <w:tcW w:w="2160" w:type="dxa"/>
            <w:vAlign w:val="center"/>
          </w:tcPr>
          <w:p w14:paraId="52BF5C6C"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2497527"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the patient has histopathologically confirmed (biopsy) LSIL, cytological findings of LSIL or higher, and TZ3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 xml:space="preserve">Follow-up steps:  </w:t>
            </w:r>
            <w:r w:rsidRPr="00CB2EC4">
              <w:rPr>
                <w:rFonts w:ascii="Times New Roman" w:hAnsi="Times New Roman" w:cs="Times New Roman"/>
              </w:rPr>
              <w:br/>
              <w:t xml:space="preserve">- Preferred: Colposcopy.  </w:t>
            </w:r>
            <w:r w:rsidRPr="00CB2EC4">
              <w:rPr>
                <w:rFonts w:ascii="Times New Roman" w:hAnsi="Times New Roman" w:cs="Times New Roman"/>
              </w:rPr>
              <w:br/>
              <w:t xml:space="preserve">  *Rationale: Interpretation of CSCCP expert consensus indicates that with TZ3 (transformation zone not visible) and cytology ≥ LSIL, biopsy-confirmed LSIL may have missed high-grade lesions; excisional treatment is recommended (Level II-B evidence).</w:t>
            </w:r>
          </w:p>
        </w:tc>
        <w:tc>
          <w:tcPr>
            <w:tcW w:w="1152" w:type="dxa"/>
            <w:vAlign w:val="center"/>
          </w:tcPr>
          <w:p w14:paraId="27200B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63E9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08AD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612A742" w14:textId="77777777">
        <w:tc>
          <w:tcPr>
            <w:tcW w:w="10656" w:type="dxa"/>
            <w:gridSpan w:val="5"/>
            <w:tcBorders>
              <w:bottom w:val="single" w:sz="6" w:space="0" w:color="auto"/>
            </w:tcBorders>
            <w:vAlign w:val="center"/>
          </w:tcPr>
          <w:p w14:paraId="6BA78E8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20: In cervical cancer screening, if a patient has a histopathological confirmation (biopsy) of LSIL cytology findings of LSIL or lower and a TZ1/2 classification, what follow-up steps should be conducted?</w:t>
            </w:r>
          </w:p>
        </w:tc>
      </w:tr>
      <w:tr w:rsidR="00922249" w:rsidRPr="00CB2EC4" w14:paraId="56627F3B" w14:textId="77777777">
        <w:tc>
          <w:tcPr>
            <w:tcW w:w="2160" w:type="dxa"/>
            <w:vAlign w:val="center"/>
          </w:tcPr>
          <w:p w14:paraId="64A75209"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20312EB"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LSIL (biopsy), cytological findings of LSIL or lower grade, and TZ1/2 classification, the follow-up steps should be:</w:t>
            </w:r>
            <w:r w:rsidRPr="00CB2EC4">
              <w:rPr>
                <w:rFonts w:ascii="Times New Roman" w:hAnsi="Times New Roman" w:cs="Times New Roman"/>
              </w:rPr>
              <w:br/>
            </w:r>
            <w:r w:rsidRPr="00CB2EC4">
              <w:rPr>
                <w:rFonts w:ascii="Times New Roman" w:hAnsi="Times New Roman" w:cs="Times New Roman"/>
              </w:rPr>
              <w:br/>
              <w:t>- Enter the observation follow-up pathway.</w:t>
            </w:r>
            <w:r w:rsidRPr="00CB2EC4">
              <w:rPr>
                <w:rFonts w:ascii="Times New Roman" w:hAnsi="Times New Roman" w:cs="Times New Roman"/>
              </w:rPr>
              <w:br/>
              <w:t xml:space="preserve">  Specific follow-up steps include:</w:t>
            </w:r>
            <w:r w:rsidRPr="00CB2EC4">
              <w:rPr>
                <w:rFonts w:ascii="Times New Roman" w:hAnsi="Times New Roman" w:cs="Times New Roman"/>
              </w:rPr>
              <w:br/>
              <w:t xml:space="preserve">  - Repeat testing every 6~12 weeks (close monitoring to exclude invasive cancer).</w:t>
            </w:r>
            <w:r w:rsidRPr="00CB2EC4">
              <w:rPr>
                <w:rFonts w:ascii="Times New Roman" w:hAnsi="Times New Roman" w:cs="Times New Roman"/>
              </w:rPr>
              <w:br/>
              <w:t xml:space="preserve">  - If two consecutive repeat tests are negative → transition to routine screening.</w:t>
            </w:r>
            <w:r w:rsidRPr="00CB2EC4">
              <w:rPr>
                <w:rFonts w:ascii="Times New Roman" w:hAnsi="Times New Roman" w:cs="Times New Roman"/>
              </w:rPr>
              <w:br/>
            </w:r>
            <w:r w:rsidRPr="00CB2EC4">
              <w:rPr>
                <w:rFonts w:ascii="Times New Roman" w:hAnsi="Times New Roman" w:cs="Times New Roman"/>
              </w:rPr>
              <w:br/>
              <w:t xml:space="preserve">The document explicitly states: "If the patient's TZ typing is TZ1 or TZ2: then enter the observation follow-up pathway: repeat testing every 6~12 weeks (close monitoring to exclude invasive cancer). If two </w:t>
            </w:r>
            <w:r w:rsidRPr="00CB2EC4">
              <w:rPr>
                <w:rFonts w:ascii="Times New Roman" w:hAnsi="Times New Roman" w:cs="Times New Roman"/>
              </w:rPr>
              <w:lastRenderedPageBreak/>
              <w:t>consecutive repeat tests are negative → transition to routine screening."</w:t>
            </w:r>
            <w:r w:rsidRPr="00CB2EC4">
              <w:rPr>
                <w:rFonts w:ascii="Times New Roman" w:hAnsi="Times New Roman" w:cs="Times New Roman"/>
              </w:rPr>
              <w:br/>
              <w:t>Therefore, the follow-up step is: perform repeat testing (including cytology and/or HPV testing) every 6~12 weeks; after two consecutive negative results, transition to routine screening.</w:t>
            </w:r>
          </w:p>
        </w:tc>
        <w:tc>
          <w:tcPr>
            <w:tcW w:w="1152" w:type="dxa"/>
            <w:vAlign w:val="center"/>
          </w:tcPr>
          <w:p w14:paraId="4AF967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CF952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CD4F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760F48" w14:textId="77777777">
        <w:tc>
          <w:tcPr>
            <w:tcW w:w="2160" w:type="dxa"/>
            <w:vAlign w:val="center"/>
          </w:tcPr>
          <w:p w14:paraId="1BB7E223"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86B1B2C" w14:textId="77777777" w:rsidR="00922249" w:rsidRPr="00CB2EC4" w:rsidRDefault="003011D5">
            <w:pPr>
              <w:rPr>
                <w:rFonts w:ascii="Times New Roman" w:hAnsi="Times New Roman" w:cs="Times New Roman"/>
              </w:rPr>
            </w:pPr>
            <w:r w:rsidRPr="00CB2EC4">
              <w:rPr>
                <w:rFonts w:ascii="Times New Roman" w:hAnsi="Times New Roman" w:cs="Times New Roman"/>
              </w:rPr>
              <w:t>follow-up steps for histopathologically confirmed LSIL, cytology ≤ LSIL, and transformation zone type 1/2:</w:t>
            </w:r>
            <w:r w:rsidRPr="00CB2EC4">
              <w:rPr>
                <w:rFonts w:ascii="Times New Roman" w:hAnsi="Times New Roman" w:cs="Times New Roman"/>
              </w:rPr>
              <w:br/>
            </w:r>
            <w:r w:rsidRPr="00CB2EC4">
              <w:rPr>
                <w:rFonts w:ascii="Times New Roman" w:hAnsi="Times New Roman" w:cs="Times New Roman"/>
              </w:rPr>
              <w:br/>
              <w:t>follow-up steps:</w:t>
            </w:r>
            <w:r w:rsidRPr="00CB2EC4">
              <w:rPr>
                <w:rFonts w:ascii="Times New Roman" w:hAnsi="Times New Roman" w:cs="Times New Roman"/>
              </w:rPr>
              <w:br/>
              <w:t xml:space="preserve">  1. enter an observation follow-up path, with repeat testing (including cytology + colposcopy) every 6–12 months, closely monitoring to exclude invasive cancer (document fragment 3, block 2; document fragment 8, block 61).</w:t>
            </w:r>
            <w:r w:rsidRPr="00CB2EC4">
              <w:rPr>
                <w:rFonts w:ascii="Times New Roman" w:hAnsi="Times New Roman" w:cs="Times New Roman"/>
              </w:rPr>
              <w:br/>
              <w:t xml:space="preserve">  2. if two consecutive repeat tests are negative, switch to routine screening (e.g., once every 3 years with co-testing) (document fragment 3, block 2).</w:t>
            </w:r>
            <w:r w:rsidRPr="00CB2EC4">
              <w:rPr>
                <w:rFonts w:ascii="Times New Roman" w:hAnsi="Times New Roman" w:cs="Times New Roman"/>
              </w:rPr>
              <w:br/>
              <w:t xml:space="preserve">  *rationale: TZ1/2 lesions have a high rate of spontaneous regression; conservative monitoring is the first choice.*</w:t>
            </w:r>
            <w:r w:rsidRPr="00CB2EC4">
              <w:rPr>
                <w:rFonts w:ascii="Times New Roman" w:hAnsi="Times New Roman" w:cs="Times New Roman"/>
              </w:rPr>
              <w:br/>
            </w:r>
            <w:r w:rsidRPr="00CB2EC4">
              <w:rPr>
                <w:rFonts w:ascii="Times New Roman" w:hAnsi="Times New Roman" w:cs="Times New Roman"/>
              </w:rPr>
              <w:br/>
              <w:t>note: the above response is strictly based on document content, with no external knowledge added. all procedures are cited from relevant chapters of the "cervical cancer screening and management guidelines" (document fragments 1, 2, 3, 8).</w:t>
            </w:r>
          </w:p>
        </w:tc>
        <w:tc>
          <w:tcPr>
            <w:tcW w:w="1152" w:type="dxa"/>
            <w:vAlign w:val="center"/>
          </w:tcPr>
          <w:p w14:paraId="3FFE6B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7306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D228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99F68A" w14:textId="77777777">
        <w:tc>
          <w:tcPr>
            <w:tcW w:w="2160" w:type="dxa"/>
            <w:vAlign w:val="center"/>
          </w:tcPr>
          <w:p w14:paraId="46352010"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F1BD6A8"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LSIL (biopsy), cytological findings of LSIL or lower grade, and TZ1/2 classification, the follow-up steps should be: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enter an observation follow-up path</w:t>
            </w:r>
            <w:r w:rsidRPr="00CB2EC4">
              <w:rPr>
                <w:rFonts w:ascii="Times New Roman" w:hAnsi="Times New Roman" w:cs="Times New Roman"/>
              </w:rPr>
              <w:br/>
              <w:t>- undergo re-examination every 6~12 weeks</w:t>
            </w:r>
            <w:r w:rsidRPr="00CB2EC4">
              <w:rPr>
                <w:rFonts w:ascii="Times New Roman" w:hAnsi="Times New Roman" w:cs="Times New Roman"/>
              </w:rPr>
              <w:br/>
            </w:r>
            <w:r w:rsidRPr="00CB2EC4">
              <w:rPr>
                <w:rFonts w:ascii="Times New Roman" w:hAnsi="Times New Roman" w:cs="Times New Roman"/>
              </w:rPr>
              <w:br/>
              <w:t>based on document fragment 3:</w:t>
            </w:r>
            <w:r w:rsidRPr="00CB2EC4">
              <w:rPr>
                <w:rFonts w:ascii="Times New Roman" w:hAnsi="Times New Roman" w:cs="Times New Roman"/>
              </w:rPr>
              <w:br/>
              <w:t>- document fragment 3 explicitly states: for histologically confirmed LSIL and cytology ≤ LSIL (low-grade lesion), if the patient has TZ type 1 or 2, they should enter the observation follow-up path: re-examined every 6~12 weeks</w:t>
            </w:r>
            <w:r w:rsidRPr="00CB2EC4">
              <w:rPr>
                <w:rFonts w:ascii="Times New Roman" w:hAnsi="Times New Roman" w:cs="Times New Roman"/>
              </w:rPr>
              <w:br/>
              <w:t>- the content of re-examination typically includes cytological testing (possibly combined with HPV testing), though the document does not specify the exact test; only the frequency is indicated</w:t>
            </w:r>
            <w:r w:rsidRPr="00CB2EC4">
              <w:rPr>
                <w:rFonts w:ascii="Times New Roman" w:hAnsi="Times New Roman" w:cs="Times New Roman"/>
              </w:rPr>
              <w:br/>
              <w:t>- the general LSIL management from document fragment 2 (repeat co-testing at 12 months) may apply, but this scenario has specific stratification (TZ1/2 and cytology ≤ LSIL), so the guidance from fragment 3 takes precedence</w:t>
            </w:r>
            <w:r w:rsidRPr="00CB2EC4">
              <w:rPr>
                <w:rFonts w:ascii="Times New Roman" w:hAnsi="Times New Roman" w:cs="Times New Roman"/>
              </w:rPr>
              <w:br/>
              <w:t>- in summary, the follow-up step is: enter the observation follow-up path and undergo re-examination (such as cytology) every 6~12 weeks to monitor disease progression</w:t>
            </w:r>
          </w:p>
        </w:tc>
        <w:tc>
          <w:tcPr>
            <w:tcW w:w="1152" w:type="dxa"/>
            <w:vAlign w:val="center"/>
          </w:tcPr>
          <w:p w14:paraId="6A06EA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66CCF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5839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2D9E30" w14:textId="77777777">
        <w:tc>
          <w:tcPr>
            <w:tcW w:w="2160" w:type="dxa"/>
            <w:vAlign w:val="center"/>
          </w:tcPr>
          <w:p w14:paraId="0393EA3F"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C8E2BC2" w14:textId="77777777" w:rsidR="00922249" w:rsidRPr="00CB2EC4" w:rsidRDefault="003011D5">
            <w:pPr>
              <w:rPr>
                <w:rFonts w:ascii="Times New Roman" w:hAnsi="Times New Roman" w:cs="Times New Roman"/>
              </w:rPr>
            </w:pPr>
            <w:r w:rsidRPr="00CB2EC4">
              <w:rPr>
                <w:rFonts w:ascii="Times New Roman" w:hAnsi="Times New Roman" w:cs="Times New Roman"/>
              </w:rPr>
              <w:t>follow-up for histologically confirmed LSIL + cytology ≤ LSIL + TZ1/2 type</w:t>
            </w:r>
            <w:r w:rsidRPr="00CB2EC4">
              <w:rPr>
                <w:rFonts w:ascii="Times New Roman" w:hAnsi="Times New Roman" w:cs="Times New Roman"/>
              </w:rPr>
              <w:br/>
            </w:r>
            <w:r w:rsidRPr="00CB2EC4">
              <w:rPr>
                <w:rFonts w:ascii="Times New Roman" w:hAnsi="Times New Roman" w:cs="Times New Roman"/>
              </w:rPr>
              <w:br/>
              <w:t>Knowledge base reference (Figure 4 flow &amp; text description):</w:t>
            </w:r>
            <w:r w:rsidRPr="00CB2EC4">
              <w:rPr>
                <w:rFonts w:ascii="Times New Roman" w:hAnsi="Times New Roman" w:cs="Times New Roman"/>
              </w:rPr>
              <w:br/>
            </w:r>
            <w:r w:rsidRPr="00CB2EC4">
              <w:rPr>
                <w:rFonts w:ascii="Times New Roman" w:hAnsi="Times New Roman" w:cs="Times New Roman"/>
              </w:rPr>
              <w:br/>
              <w:t xml:space="preserve">- Management principle:  </w:t>
            </w:r>
            <w:r w:rsidRPr="00CB2EC4">
              <w:rPr>
                <w:rFonts w:ascii="Times New Roman" w:hAnsi="Times New Roman" w:cs="Times New Roman"/>
              </w:rPr>
              <w:br/>
              <w:t xml:space="preserve">  → Observation follow-up: repeat cytology and colposcopy every 6–12 weeks (right path in Figure 4).  </w:t>
            </w:r>
            <w:r w:rsidRPr="00CB2EC4">
              <w:rPr>
                <w:rFonts w:ascii="Times New Roman" w:hAnsi="Times New Roman" w:cs="Times New Roman"/>
              </w:rPr>
              <w:br/>
              <w:t xml:space="preserve">  → If two consecutive follow-up tests are negative → transition to routine screening.  </w:t>
            </w:r>
            <w:r w:rsidRPr="00CB2EC4">
              <w:rPr>
                <w:rFonts w:ascii="Times New Roman" w:hAnsi="Times New Roman" w:cs="Times New Roman"/>
              </w:rPr>
              <w:br/>
              <w:t>- Basis: 60% of LSIL (including CIN I/CIN II p16-</w:t>
            </w:r>
            <w:r w:rsidRPr="00CB2EC4">
              <w:rPr>
                <w:rFonts w:ascii="Times New Roman" w:hAnsi="Times New Roman" w:cs="Times New Roman"/>
              </w:rPr>
              <w:lastRenderedPageBreak/>
              <w:t xml:space="preserve">negative) cases regress spontaneously and do not require treatment (Section 4.1.1).  </w:t>
            </w:r>
            <w:r w:rsidRPr="00CB2EC4">
              <w:rPr>
                <w:rFonts w:ascii="Times New Roman" w:hAnsi="Times New Roman" w:cs="Times New Roman"/>
              </w:rPr>
              <w:br/>
            </w:r>
            <w:r w:rsidRPr="00CB2EC4">
              <w:rPr>
                <w:rFonts w:ascii="Times New Roman" w:hAnsi="Times New Roman" w:cs="Times New Roman"/>
              </w:rPr>
              <w:br/>
              <w:t>&gt; Conclusion: close observation (every 6–12 weeks), no surgical intervention needed.</w:t>
            </w:r>
          </w:p>
        </w:tc>
        <w:tc>
          <w:tcPr>
            <w:tcW w:w="1152" w:type="dxa"/>
            <w:vAlign w:val="center"/>
          </w:tcPr>
          <w:p w14:paraId="553186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7F41D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0A32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98151C" w14:textId="77777777">
        <w:tc>
          <w:tcPr>
            <w:tcW w:w="2160" w:type="dxa"/>
            <w:vAlign w:val="center"/>
          </w:tcPr>
          <w:p w14:paraId="7E1A965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D076299"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LSIL (biopsy), cytological findings of LSIL or lower grade, and a TZ1/2 classification, the follow-up steps should be:</w:t>
            </w:r>
            <w:r w:rsidRPr="00CB2EC4">
              <w:rPr>
                <w:rFonts w:ascii="Times New Roman" w:hAnsi="Times New Roman" w:cs="Times New Roman"/>
              </w:rPr>
              <w:br/>
            </w:r>
            <w:r w:rsidRPr="00CB2EC4">
              <w:rPr>
                <w:rFonts w:ascii="Times New Roman" w:hAnsi="Times New Roman" w:cs="Times New Roman"/>
              </w:rPr>
              <w:br/>
              <w:t>according to document fragments 2 and 8, when histology confirms LSIL and cytology is ≤ LSIL (i.e., LSIL or lower grade), for TZ type 1 or 2 (transformation zone fully or partially visible), the patient should enter the observation follow-up pathway: repeat testing every 6–12 weeks (close monitoring to rule out invasive cancer); if two consecutive follow-up tests are negative, transition to routine screening (document fragment 2: TZ1/2 type → observation follow-up; document fragment 8: similar description). therefore, the specific steps are: repeat cytology and/or colposcopy every 6–12 weeks; after two consecutive negative results, switch to routine screening.</w:t>
            </w:r>
            <w:r w:rsidRPr="00CB2EC4">
              <w:rPr>
                <w:rFonts w:ascii="Times New Roman" w:hAnsi="Times New Roman" w:cs="Times New Roman"/>
              </w:rPr>
              <w:br/>
            </w:r>
            <w:r w:rsidRPr="00CB2EC4">
              <w:rPr>
                <w:rFonts w:ascii="Times New Roman" w:hAnsi="Times New Roman" w:cs="Times New Roman"/>
              </w:rPr>
              <w:br/>
              <w:t>all responses are based solely on the provided document content. if details are insufficient, it is recommended to combine with clinical practice and the latest guidelines for individualized management.</w:t>
            </w:r>
          </w:p>
        </w:tc>
        <w:tc>
          <w:tcPr>
            <w:tcW w:w="1152" w:type="dxa"/>
            <w:vAlign w:val="center"/>
          </w:tcPr>
          <w:p w14:paraId="7F5E68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D4B2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1BDD4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9961E2" w14:textId="77777777">
        <w:tc>
          <w:tcPr>
            <w:tcW w:w="2160" w:type="dxa"/>
            <w:vAlign w:val="center"/>
          </w:tcPr>
          <w:p w14:paraId="576E85BF"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60DE18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a patient has histologically confirmed LSIL (biopsy), cytological findings of LSIL or lower grade, and a TZ1/2 classification, the following follow-up steps should be </w:t>
            </w:r>
            <w:r w:rsidRPr="00CB2EC4">
              <w:rPr>
                <w:rFonts w:ascii="Times New Roman" w:hAnsi="Times New Roman" w:cs="Times New Roman"/>
              </w:rPr>
              <w:lastRenderedPageBreak/>
              <w:t>taken:</w:t>
            </w:r>
            <w:r w:rsidRPr="00CB2EC4">
              <w:rPr>
                <w:rFonts w:ascii="Times New Roman" w:hAnsi="Times New Roman" w:cs="Times New Roman"/>
              </w:rPr>
              <w:br/>
            </w:r>
            <w:r w:rsidRPr="00CB2EC4">
              <w:rPr>
                <w:rFonts w:ascii="Times New Roman" w:hAnsi="Times New Roman" w:cs="Times New Roman"/>
              </w:rPr>
              <w:br/>
              <w:t>according to the contextual information:</w:t>
            </w:r>
            <w:r w:rsidRPr="00CB2EC4">
              <w:rPr>
                <w:rFonts w:ascii="Times New Roman" w:hAnsi="Times New Roman" w:cs="Times New Roman"/>
              </w:rPr>
              <w:br/>
              <w:t>- document 3 (figure 4) explicitly states: for histologically confirmed LSIL, if cytology ≤ LSIL (low-grade lesion) and TZ1/2 type (transformation zone partially or fully visible), then "enter the observation follow-up pathway: repeat examination every 6–12 weeks (close monitoring to exclude invasive cancer). if two consecutive repeat examinations are negative → return to routine screening".</w:t>
            </w:r>
            <w:r w:rsidRPr="00CB2EC4">
              <w:rPr>
                <w:rFonts w:ascii="Times New Roman" w:hAnsi="Times New Roman" w:cs="Times New Roman"/>
              </w:rPr>
              <w:br/>
              <w:t>- document 9 (section 4.1.1) adds: "for LSIL, it is recommended to repeat cytology and HPV co-testing at 12 months; if both tests are negative, return to routine screening; if any test is abnormal, perform colposcopy".</w:t>
            </w:r>
            <w:r w:rsidRPr="00CB2EC4">
              <w:rPr>
                <w:rFonts w:ascii="Times New Roman" w:hAnsi="Times New Roman" w:cs="Times New Roman"/>
              </w:rPr>
              <w:br/>
            </w:r>
            <w:r w:rsidRPr="00CB2EC4">
              <w:rPr>
                <w:rFonts w:ascii="Times New Roman" w:hAnsi="Times New Roman" w:cs="Times New Roman"/>
              </w:rPr>
              <w:br/>
              <w:t>therefore, the specific follow-up steps are: enter the observation follow-up pathway, with repeat examinations every 6–12 weeks (including cytology and/or colposcopy, to closely monitor and exclude invasive cancer). if two consecutive repeat examinations are negative, then return to routine screening.</w:t>
            </w:r>
          </w:p>
        </w:tc>
        <w:tc>
          <w:tcPr>
            <w:tcW w:w="1152" w:type="dxa"/>
            <w:vAlign w:val="center"/>
          </w:tcPr>
          <w:p w14:paraId="1D91DC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FC5CA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F2ED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BBC5A8" w14:textId="77777777">
        <w:tc>
          <w:tcPr>
            <w:tcW w:w="2160" w:type="dxa"/>
            <w:vAlign w:val="center"/>
          </w:tcPr>
          <w:p w14:paraId="7A4CEC7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418C1D5" w14:textId="77777777" w:rsidR="00922249" w:rsidRPr="00CB2EC4" w:rsidRDefault="003011D5">
            <w:pPr>
              <w:rPr>
                <w:rFonts w:ascii="Times New Roman" w:hAnsi="Times New Roman" w:cs="Times New Roman"/>
              </w:rPr>
            </w:pPr>
            <w:r w:rsidRPr="00CB2EC4">
              <w:rPr>
                <w:rFonts w:ascii="Times New Roman" w:hAnsi="Times New Roman" w:cs="Times New Roman"/>
              </w:rPr>
              <w:t>follow-up steps for histopathologically confirmed LSIL + cytology ≤ LSIL + TZ1/2 classification:</w:t>
            </w:r>
            <w:r w:rsidRPr="00CB2EC4">
              <w:rPr>
                <w:rFonts w:ascii="Times New Roman" w:hAnsi="Times New Roman" w:cs="Times New Roman"/>
              </w:rPr>
              <w:br/>
            </w:r>
            <w:r w:rsidRPr="00CB2EC4">
              <w:rPr>
                <w:rFonts w:ascii="Times New Roman" w:hAnsi="Times New Roman" w:cs="Times New Roman"/>
              </w:rPr>
              <w:br/>
              <w:t>enter the observation and follow-up pathway:</w:t>
            </w:r>
            <w:r w:rsidRPr="00CB2EC4">
              <w:rPr>
                <w:rFonts w:ascii="Times New Roman" w:hAnsi="Times New Roman" w:cs="Times New Roman"/>
              </w:rPr>
              <w:br/>
              <w:t>- re-examine every 6~12 weeks (cytology + colposcopy, closely monitor to exclude invasive cancer);</w:t>
            </w:r>
            <w:r w:rsidRPr="00CB2EC4">
              <w:rPr>
                <w:rFonts w:ascii="Times New Roman" w:hAnsi="Times New Roman" w:cs="Times New Roman"/>
              </w:rPr>
              <w:br/>
              <w:t xml:space="preserve">- if two consecutive re-examinations are negative, switch to routine screening (refer to Figure 4 in </w:t>
            </w:r>
            <w:r w:rsidRPr="00CB2EC4">
              <w:rPr>
                <w:rFonts w:ascii="Times New Roman" w:hAnsi="Times New Roman" w:cs="Times New Roman"/>
              </w:rPr>
              <w:lastRenderedPageBreak/>
              <w:t>paragraph 2; clause 4.1.1 in paragraph 14).</w:t>
            </w:r>
          </w:p>
        </w:tc>
        <w:tc>
          <w:tcPr>
            <w:tcW w:w="1152" w:type="dxa"/>
            <w:vAlign w:val="center"/>
          </w:tcPr>
          <w:p w14:paraId="74D10D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00C5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9F77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864786" w14:textId="77777777">
        <w:tc>
          <w:tcPr>
            <w:tcW w:w="2160" w:type="dxa"/>
            <w:vAlign w:val="center"/>
          </w:tcPr>
          <w:p w14:paraId="159A83CB"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3BEBA57"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LSIL (biopsy), cytological findings of LSIL or lower grade (i.e., ≤LSIL), and TZ1/2 classification, the follow-up steps should be:</w:t>
            </w:r>
            <w:r w:rsidRPr="00CB2EC4">
              <w:rPr>
                <w:rFonts w:ascii="Times New Roman" w:hAnsi="Times New Roman" w:cs="Times New Roman"/>
              </w:rPr>
              <w:br/>
            </w:r>
            <w:r w:rsidRPr="00CB2EC4">
              <w:rPr>
                <w:rFonts w:ascii="Times New Roman" w:hAnsi="Times New Roman" w:cs="Times New Roman"/>
              </w:rPr>
              <w:br/>
              <w:t>- Enter the observation follow-up pathway: repeat testing every 6–12 weeks (close monitoring to exclude invasive cancer).</w:t>
            </w:r>
            <w:r w:rsidRPr="00CB2EC4">
              <w:rPr>
                <w:rFonts w:ascii="Times New Roman" w:hAnsi="Times New Roman" w:cs="Times New Roman"/>
              </w:rPr>
              <w:br/>
              <w:t>- If two consecutive follow-up tests are negative → transition to routine screening.</w:t>
            </w:r>
            <w:r w:rsidRPr="00CB2EC4">
              <w:rPr>
                <w:rFonts w:ascii="Times New Roman" w:hAnsi="Times New Roman" w:cs="Times New Roman"/>
              </w:rPr>
              <w:br/>
            </w:r>
            <w:r w:rsidRPr="00CB2EC4">
              <w:rPr>
                <w:rFonts w:ascii="Times New Roman" w:hAnsi="Times New Roman" w:cs="Times New Roman"/>
              </w:rPr>
              <w:br/>
              <w:t>(As per document fragment 1 [Figure 4] and document fragment 7: “Cytology ≤LSIL (low-grade lesion). If the patient’s TZ typing is TZ1 or TZ2: then enter the observation follow-up pathway: repeat every 6~12 weeks (close monitoring, exclude invasive cancer). If two consecutive repeat tests are negative → switch to routine screening.”)</w:t>
            </w:r>
          </w:p>
        </w:tc>
        <w:tc>
          <w:tcPr>
            <w:tcW w:w="1152" w:type="dxa"/>
            <w:vAlign w:val="center"/>
          </w:tcPr>
          <w:p w14:paraId="26FF93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C174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A38D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551A13" w14:textId="77777777">
        <w:tc>
          <w:tcPr>
            <w:tcW w:w="2160" w:type="dxa"/>
            <w:vAlign w:val="center"/>
          </w:tcPr>
          <w:p w14:paraId="2472E3A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6936C61"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(biopsy) LSIL, cytology findings of LSIL or lower grade, and TZ1/2 classification, the follow-up steps should be:</w:t>
            </w:r>
            <w:r w:rsidRPr="00CB2EC4">
              <w:rPr>
                <w:rFonts w:ascii="Times New Roman" w:hAnsi="Times New Roman" w:cs="Times New Roman"/>
              </w:rPr>
              <w:br/>
            </w:r>
            <w:r w:rsidRPr="00CB2EC4">
              <w:rPr>
                <w:rFonts w:ascii="Times New Roman" w:hAnsi="Times New Roman" w:cs="Times New Roman"/>
              </w:rPr>
              <w:br/>
              <w:t xml:space="preserve">- Management Pathway 1: Cytology ≤ LSIL (low-grade lesion) and TZ1 or TZ2 classification → enter the observation follow-up pathway:  </w:t>
            </w:r>
            <w:r w:rsidRPr="00CB2EC4">
              <w:rPr>
                <w:rFonts w:ascii="Times New Roman" w:hAnsi="Times New Roman" w:cs="Times New Roman"/>
              </w:rPr>
              <w:br/>
              <w:t xml:space="preserve">  • Re-examination every 6–12 weeks (close monitoring to rule out invasive cancer).  </w:t>
            </w:r>
            <w:r w:rsidRPr="00CB2EC4">
              <w:rPr>
                <w:rFonts w:ascii="Times New Roman" w:hAnsi="Times New Roman" w:cs="Times New Roman"/>
              </w:rPr>
              <w:br/>
              <w:t xml:space="preserve">  • If two consecutive re-examinations are negative → transition to routine screening.  </w:t>
            </w:r>
            <w:r w:rsidRPr="00CB2EC4">
              <w:rPr>
                <w:rFonts w:ascii="Times New Roman" w:hAnsi="Times New Roman" w:cs="Times New Roman"/>
              </w:rPr>
              <w:br/>
            </w:r>
            <w:r w:rsidRPr="00CB2EC4">
              <w:rPr>
                <w:rFonts w:ascii="Times New Roman" w:hAnsi="Times New Roman" w:cs="Times New Roman"/>
              </w:rPr>
              <w:br/>
              <w:t xml:space="preserve">The document states: "If the patient's TZ typing is </w:t>
            </w:r>
            <w:r w:rsidRPr="00CB2EC4">
              <w:rPr>
                <w:rFonts w:ascii="Times New Roman" w:hAnsi="Times New Roman" w:cs="Times New Roman"/>
              </w:rPr>
              <w:lastRenderedPageBreak/>
              <w:t xml:space="preserve">TZ1 or TZ2: then enter the observation follow-up pathway: § Re-examine every 6~12 weeks (close monitoring, rule out invasive cancer). § If two consecutive re-examinations are negative → switch to routine screening."  </w:t>
            </w:r>
            <w:r w:rsidRPr="00CB2EC4">
              <w:rPr>
                <w:rFonts w:ascii="Times New Roman" w:hAnsi="Times New Roman" w:cs="Times New Roman"/>
              </w:rPr>
              <w:br/>
            </w:r>
            <w:r w:rsidRPr="00CB2EC4">
              <w:rPr>
                <w:rFonts w:ascii="Times New Roman" w:hAnsi="Times New Roman" w:cs="Times New Roman"/>
              </w:rPr>
              <w:br/>
              <w:t xml:space="preserve">The condition specified—"cytology findings are LSIL or lower grade" (i.e., ≤ LSIL) and TZ1/2 classification—directly matches the above pathway.  </w:t>
            </w:r>
            <w:r w:rsidRPr="00CB2EC4">
              <w:rPr>
                <w:rFonts w:ascii="Times New Roman" w:hAnsi="Times New Roman" w:cs="Times New Roman"/>
              </w:rPr>
              <w:br/>
            </w:r>
            <w:r w:rsidRPr="00CB2EC4">
              <w:rPr>
                <w:rFonts w:ascii="Times New Roman" w:hAnsi="Times New Roman" w:cs="Times New Roman"/>
              </w:rPr>
              <w:br/>
              <w:t>Therefore, the follow-up steps are: perform re-examination (including cytology and colposcopy) every 6–12 weeks to monitor and exclude invasive cancer; if two consecutive re-examinations yield negative results, transition to routine screening.</w:t>
            </w:r>
          </w:p>
        </w:tc>
        <w:tc>
          <w:tcPr>
            <w:tcW w:w="1152" w:type="dxa"/>
            <w:vAlign w:val="center"/>
          </w:tcPr>
          <w:p w14:paraId="40B1BD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C83F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62764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47C1032" w14:textId="77777777">
        <w:tc>
          <w:tcPr>
            <w:tcW w:w="2160" w:type="dxa"/>
            <w:vAlign w:val="center"/>
          </w:tcPr>
          <w:p w14:paraId="4BD60FB0"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E24A309"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(biopsy) LSIL, cytological findings of LSIL or lower grade, and TZ1/2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according to contextual information (document fragment 10):</w:t>
            </w:r>
            <w:r w:rsidRPr="00CB2EC4">
              <w:rPr>
                <w:rFonts w:ascii="Times New Roman" w:hAnsi="Times New Roman" w:cs="Times New Roman"/>
              </w:rPr>
              <w:br/>
              <w:t>- LSIL includes CIN I or CIN II/P16 negative.</w:t>
            </w:r>
            <w:r w:rsidRPr="00CB2EC4">
              <w:rPr>
                <w:rFonts w:ascii="Times New Roman" w:hAnsi="Times New Roman" w:cs="Times New Roman"/>
              </w:rPr>
              <w:br/>
              <w:t>- "cytological findings of LSIL or lower grade" corresponds to "if the patient has TZ typing of TZ1 or TZ2" and "cytology ≤ LSIL" (i.e., including LSIL, ASC-US, or negative).</w:t>
            </w:r>
            <w:r w:rsidRPr="00CB2EC4">
              <w:rPr>
                <w:rFonts w:ascii="Times New Roman" w:hAnsi="Times New Roman" w:cs="Times New Roman"/>
              </w:rPr>
              <w:br/>
              <w:t xml:space="preserve">  the management process is:</w:t>
            </w:r>
            <w:r w:rsidRPr="00CB2EC4">
              <w:rPr>
                <w:rFonts w:ascii="Times New Roman" w:hAnsi="Times New Roman" w:cs="Times New Roman"/>
              </w:rPr>
              <w:br/>
              <w:t xml:space="preserve">  1. enter the observation follow-up pathway: repeat testing (including repeat cytology and/or colposcopy) every 6–12 weeks to closely monitor and rule out invasive cancer.</w:t>
            </w:r>
            <w:r w:rsidRPr="00CB2EC4">
              <w:rPr>
                <w:rFonts w:ascii="Times New Roman" w:hAnsi="Times New Roman" w:cs="Times New Roman"/>
              </w:rPr>
              <w:br/>
              <w:t xml:space="preserve">  2. if two consecutive follow-up results are negative </w:t>
            </w:r>
            <w:r w:rsidRPr="00CB2EC4">
              <w:rPr>
                <w:rFonts w:ascii="Times New Roman" w:hAnsi="Times New Roman" w:cs="Times New Roman"/>
              </w:rPr>
              <w:lastRenderedPageBreak/>
              <w:t>(no abnormality), transition to routine screening.</w:t>
            </w:r>
            <w:r w:rsidRPr="00CB2EC4">
              <w:rPr>
                <w:rFonts w:ascii="Times New Roman" w:hAnsi="Times New Roman" w:cs="Times New Roman"/>
              </w:rPr>
              <w:br/>
              <w:t>for example:</w:t>
            </w:r>
            <w:r w:rsidRPr="00CB2EC4">
              <w:rPr>
                <w:rFonts w:ascii="Times New Roman" w:hAnsi="Times New Roman" w:cs="Times New Roman"/>
              </w:rPr>
              <w:br/>
              <w:t xml:space="preserve">   - document fragment 10 explicitly states: "if the patient has TZ typing of TZ1 or TZ2: then enter the observation follow-up pathway: repeat testing every 6–12 weeks... if two consecutive follow-up tests are negative → transition to routine screening".</w:t>
            </w:r>
            <w:r w:rsidRPr="00CB2EC4">
              <w:rPr>
                <w:rFonts w:ascii="Times New Roman" w:hAnsi="Times New Roman" w:cs="Times New Roman"/>
              </w:rPr>
              <w:br/>
              <w:t>therefore, the follow-up step is regular repeat testing every 6–12 weeks; the goal is to transition to the routine screening interval after two consecutive negative results.</w:t>
            </w:r>
          </w:p>
        </w:tc>
        <w:tc>
          <w:tcPr>
            <w:tcW w:w="1152" w:type="dxa"/>
            <w:vAlign w:val="center"/>
          </w:tcPr>
          <w:p w14:paraId="0E8F70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FE65A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2459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102AF0" w14:textId="77777777">
        <w:tc>
          <w:tcPr>
            <w:tcW w:w="2160" w:type="dxa"/>
            <w:vAlign w:val="center"/>
          </w:tcPr>
          <w:p w14:paraId="76861365"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0A3039A"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the patient's histopathology (biopsy) confirms LSIL, cytology findings are LSIL or lower grade (≤LSIL), and the transformation zone is classified as TZ1/2, the following follow-up steps should be taken:</w:t>
            </w:r>
            <w:r w:rsidRPr="00CB2EC4">
              <w:rPr>
                <w:rFonts w:ascii="Times New Roman" w:hAnsi="Times New Roman" w:cs="Times New Roman"/>
              </w:rPr>
              <w:br/>
            </w:r>
            <w:r w:rsidRPr="00CB2EC4">
              <w:rPr>
                <w:rFonts w:ascii="Times New Roman" w:hAnsi="Times New Roman" w:cs="Times New Roman"/>
              </w:rPr>
              <w:br/>
              <w:t>- enter an observation follow-up pathway</w:t>
            </w:r>
            <w:r w:rsidRPr="00CB2EC4">
              <w:rPr>
                <w:rFonts w:ascii="Times New Roman" w:hAnsi="Times New Roman" w:cs="Times New Roman"/>
              </w:rPr>
              <w:br/>
              <w:t>- perform a repeat examination (including cytology and colposcopy) every 6 to 12 weeks to closely monitor and rule out invasive cancer</w:t>
            </w:r>
            <w:r w:rsidRPr="00CB2EC4">
              <w:rPr>
                <w:rFonts w:ascii="Times New Roman" w:hAnsi="Times New Roman" w:cs="Times New Roman"/>
              </w:rPr>
              <w:br/>
              <w:t>- if two consecutive repeat examinations are negative (no abnormalities), transition to routine screening (e.g., co-testing every 3–5 years)</w:t>
            </w:r>
            <w:r w:rsidRPr="00CB2EC4">
              <w:rPr>
                <w:rFonts w:ascii="Times New Roman" w:hAnsi="Times New Roman" w:cs="Times New Roman"/>
              </w:rPr>
              <w:br/>
            </w:r>
            <w:r w:rsidRPr="00CB2EC4">
              <w:rPr>
                <w:rFonts w:ascii="Times New Roman" w:hAnsi="Times New Roman" w:cs="Times New Roman"/>
              </w:rPr>
              <w:br/>
              <w:t>document basis: the fragment with similarity 0.411 states: "histopathology confirmed LSIL... cytology ≤LSIL (low-grade lesion); if the patient's TZ typing is TZ1 or TZ2: then enter the observation follow-up pathway: repeat every 6~12 weeks (close monitoring, exclude invasive cancer). If two consecutive repeats are negative → transition to routine screening."</w:t>
            </w:r>
          </w:p>
        </w:tc>
        <w:tc>
          <w:tcPr>
            <w:tcW w:w="1152" w:type="dxa"/>
            <w:vAlign w:val="center"/>
          </w:tcPr>
          <w:p w14:paraId="58CDF2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E883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126D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6F610E0" w14:textId="77777777">
        <w:tc>
          <w:tcPr>
            <w:tcW w:w="2160" w:type="dxa"/>
            <w:vAlign w:val="center"/>
          </w:tcPr>
          <w:p w14:paraId="234C0D1C"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79FAF6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a patient has </w:t>
            </w:r>
            <w:r w:rsidRPr="00CB2EC4">
              <w:rPr>
                <w:rFonts w:ascii="Times New Roman" w:hAnsi="Times New Roman" w:cs="Times New Roman"/>
              </w:rPr>
              <w:lastRenderedPageBreak/>
              <w:t>histologically confirmed LSIL (via biopsy), cytological findings of LSIL or lower (such as negative or ASC-US), and a transformation zone type of TZ1/2, the following follow-up steps should be taken:</w:t>
            </w:r>
            <w:r w:rsidRPr="00CB2EC4">
              <w:rPr>
                <w:rFonts w:ascii="Times New Roman" w:hAnsi="Times New Roman" w:cs="Times New Roman"/>
              </w:rPr>
              <w:br/>
            </w:r>
            <w:r w:rsidRPr="00CB2EC4">
              <w:rPr>
                <w:rFonts w:ascii="Times New Roman" w:hAnsi="Times New Roman" w:cs="Times New Roman"/>
              </w:rPr>
              <w:br/>
              <w:t>- Basis: Document fragment 8 (relevance: 0.9691) clearly states: "If cytology ≤ LSIL (low-grade lesion) → If the patient's TZ classification is TZ1 or TZ2: enter the observation follow-up pathway: repeat testing every 6–12 weeks (close monitoring to exclude invasive cancer). If two consecutive repeat tests are negative → switch to routine screening." Document fragment 18 (relevance: 0.6808) also repeats this process.</w:t>
            </w:r>
            <w:r w:rsidRPr="00CB2EC4">
              <w:rPr>
                <w:rFonts w:ascii="Times New Roman" w:hAnsi="Times New Roman" w:cs="Times New Roman"/>
              </w:rPr>
              <w:br/>
              <w:t>- Specific steps:</w:t>
            </w:r>
            <w:r w:rsidRPr="00CB2EC4">
              <w:rPr>
                <w:rFonts w:ascii="Times New Roman" w:hAnsi="Times New Roman" w:cs="Times New Roman"/>
              </w:rPr>
              <w:br/>
              <w:t xml:space="preserve">  - Perform repeat testing every 6–12 weeks, including cytology and high-risk HPV testing.</w:t>
            </w:r>
            <w:r w:rsidRPr="00CB2EC4">
              <w:rPr>
                <w:rFonts w:ascii="Times New Roman" w:hAnsi="Times New Roman" w:cs="Times New Roman"/>
              </w:rPr>
              <w:br/>
              <w:t xml:space="preserve">  - If two consecutive repeat tests are negative (both cytology negative and HPV negative), switch to routine screening (e.g., every 3 years).</w:t>
            </w:r>
            <w:r w:rsidRPr="00CB2EC4">
              <w:rPr>
                <w:rFonts w:ascii="Times New Roman" w:hAnsi="Times New Roman" w:cs="Times New Roman"/>
              </w:rPr>
              <w:br/>
              <w:t xml:space="preserve">  - If any repeat test shows abnormality (e.g., cytology ≥ ASC-US or HPV positive), refer for colposcopy.</w:t>
            </w:r>
          </w:p>
        </w:tc>
        <w:tc>
          <w:tcPr>
            <w:tcW w:w="1152" w:type="dxa"/>
            <w:vAlign w:val="center"/>
          </w:tcPr>
          <w:p w14:paraId="0419FB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BF52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D532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30D04C" w14:textId="77777777">
        <w:tc>
          <w:tcPr>
            <w:tcW w:w="2160" w:type="dxa"/>
            <w:vAlign w:val="center"/>
          </w:tcPr>
          <w:p w14:paraId="68F247B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1B6890E"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histologically confirmed LSIL (biopsy), cytological findings of LSIL or lower, and transformation zone type TZ1/2, the follow-up steps are:</w:t>
            </w:r>
            <w:r w:rsidRPr="00CB2EC4">
              <w:rPr>
                <w:rFonts w:ascii="Times New Roman" w:hAnsi="Times New Roman" w:cs="Times New Roman"/>
              </w:rPr>
              <w:br/>
            </w:r>
            <w:r w:rsidRPr="00CB2EC4">
              <w:rPr>
                <w:rFonts w:ascii="Times New Roman" w:hAnsi="Times New Roman" w:cs="Times New Roman"/>
              </w:rPr>
              <w:br/>
              <w:t xml:space="preserve">• Perform repeat testing every 6–12 weeks (close monitoring to exclude invasive cancer).  </w:t>
            </w:r>
            <w:r w:rsidRPr="00CB2EC4">
              <w:rPr>
                <w:rFonts w:ascii="Times New Roman" w:hAnsi="Times New Roman" w:cs="Times New Roman"/>
              </w:rPr>
              <w:br/>
              <w:t xml:space="preserve">• If two consecutive repeat tests are negative → transition to routine screening.  </w:t>
            </w:r>
            <w:r w:rsidRPr="00CB2EC4">
              <w:rPr>
                <w:rFonts w:ascii="Times New Roman" w:hAnsi="Times New Roman" w:cs="Times New Roman"/>
              </w:rPr>
              <w:br/>
            </w:r>
            <w:r w:rsidRPr="00CB2EC4">
              <w:rPr>
                <w:rFonts w:ascii="Times New Roman" w:hAnsi="Times New Roman" w:cs="Times New Roman"/>
              </w:rPr>
              <w:br/>
              <w:t xml:space="preserve">this is because TZ1/2 indicates a partially or fully </w:t>
            </w:r>
            <w:r w:rsidRPr="00CB2EC4">
              <w:rPr>
                <w:rFonts w:ascii="Times New Roman" w:hAnsi="Times New Roman" w:cs="Times New Roman"/>
              </w:rPr>
              <w:lastRenderedPageBreak/>
              <w:t xml:space="preserve">visible transformation zone, and the lesions are typically low-risk, allowing for close monitoring to avoid overtreatment.  </w:t>
            </w:r>
            <w:r w:rsidRPr="00CB2EC4">
              <w:rPr>
                <w:rFonts w:ascii="Times New Roman" w:hAnsi="Times New Roman" w:cs="Times New Roman"/>
              </w:rPr>
              <w:br/>
            </w:r>
            <w:r w:rsidRPr="00CB2EC4">
              <w:rPr>
                <w:rFonts w:ascii="Times New Roman" w:hAnsi="Times New Roman" w:cs="Times New Roman"/>
              </w:rPr>
              <w:br/>
              <w:t>answer: repeat testing should be performed every 6–12 weeks (close monitoring to exclude invasive cancer); if two consecutive tests are negative, transition to routine screening.</w:t>
            </w:r>
          </w:p>
        </w:tc>
        <w:tc>
          <w:tcPr>
            <w:tcW w:w="1152" w:type="dxa"/>
            <w:vAlign w:val="center"/>
          </w:tcPr>
          <w:p w14:paraId="42B4B9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48AD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3646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F9B328" w14:textId="77777777">
        <w:tc>
          <w:tcPr>
            <w:tcW w:w="2160" w:type="dxa"/>
            <w:vAlign w:val="center"/>
          </w:tcPr>
          <w:p w14:paraId="1DB3DA6A"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7CED014" w14:textId="77777777" w:rsidR="00922249" w:rsidRPr="00CB2EC4" w:rsidRDefault="003011D5">
            <w:pPr>
              <w:rPr>
                <w:rFonts w:ascii="Times New Roman" w:hAnsi="Times New Roman" w:cs="Times New Roman"/>
              </w:rPr>
            </w:pPr>
            <w:r w:rsidRPr="00CB2EC4">
              <w:rPr>
                <w:rFonts w:ascii="Times New Roman" w:hAnsi="Times New Roman" w:cs="Times New Roman"/>
              </w:rPr>
              <w:t>histopathologically confirmed LSIL, and cytology ≤ LSIL, TZ1/2 classification:</w:t>
            </w:r>
            <w:r w:rsidRPr="00CB2EC4">
              <w:rPr>
                <w:rFonts w:ascii="Times New Roman" w:hAnsi="Times New Roman" w:cs="Times New Roman"/>
              </w:rPr>
              <w:br/>
            </w:r>
            <w:r w:rsidRPr="00CB2EC4">
              <w:rPr>
                <w:rFonts w:ascii="Times New Roman" w:hAnsi="Times New Roman" w:cs="Times New Roman"/>
              </w:rPr>
              <w:br/>
              <w:t xml:space="preserve">Follow-up steps:  </w:t>
            </w:r>
            <w:r w:rsidRPr="00CB2EC4">
              <w:rPr>
                <w:rFonts w:ascii="Times New Roman" w:hAnsi="Times New Roman" w:cs="Times New Roman"/>
              </w:rPr>
              <w:br/>
              <w:t xml:space="preserve">- Co-testing (HPV test + cytology) at 6 months:  </w:t>
            </w:r>
            <w:r w:rsidRPr="00CB2EC4">
              <w:rPr>
                <w:rFonts w:ascii="Times New Roman" w:hAnsi="Times New Roman" w:cs="Times New Roman"/>
              </w:rPr>
              <w:br/>
              <w:t xml:space="preserve">  - If both tests negative → return to routine screening;  </w:t>
            </w:r>
            <w:r w:rsidRPr="00CB2EC4">
              <w:rPr>
                <w:rFonts w:ascii="Times New Roman" w:hAnsi="Times New Roman" w:cs="Times New Roman"/>
              </w:rPr>
              <w:br/>
              <w:t xml:space="preserve">  - If either test positive → refer to colposcopy.  </w:t>
            </w:r>
            <w:r w:rsidRPr="00CB2EC4">
              <w:rPr>
                <w:rFonts w:ascii="Times New Roman" w:hAnsi="Times New Roman" w:cs="Times New Roman"/>
              </w:rPr>
              <w:br/>
              <w:t xml:space="preserve">  * Conservative follow-up may be considered for TZ1/2 (transformation zone visible) and low-risk cytology (Level IIA evidence).*</w:t>
            </w:r>
          </w:p>
        </w:tc>
        <w:tc>
          <w:tcPr>
            <w:tcW w:w="1152" w:type="dxa"/>
            <w:vAlign w:val="center"/>
          </w:tcPr>
          <w:p w14:paraId="741152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8D49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59D9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7AB0BE" w14:textId="77777777">
        <w:tc>
          <w:tcPr>
            <w:tcW w:w="10656" w:type="dxa"/>
            <w:gridSpan w:val="5"/>
            <w:tcBorders>
              <w:bottom w:val="single" w:sz="6" w:space="0" w:color="auto"/>
            </w:tcBorders>
            <w:vAlign w:val="center"/>
          </w:tcPr>
          <w:p w14:paraId="255ACD1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21: In cervical cancer screening, if a patient has a histopathological confirmation (biopsy) of LSIL cytology findings of ASC-H or higher, what follow-up steps should be conducted?</w:t>
            </w:r>
          </w:p>
        </w:tc>
      </w:tr>
      <w:tr w:rsidR="00922249" w:rsidRPr="00CB2EC4" w14:paraId="3F2869DA" w14:textId="77777777">
        <w:tc>
          <w:tcPr>
            <w:tcW w:w="2160" w:type="dxa"/>
            <w:vAlign w:val="center"/>
          </w:tcPr>
          <w:p w14:paraId="28DB242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A065EFA"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(biopsy) LSIL and cytological findings of ASC-H or higher, the following follow-up steps should be taken according to the process outlined in Figure 4 of the document (histopathological diagnosis of LSIL):</w:t>
            </w:r>
            <w:r w:rsidRPr="00CB2EC4">
              <w:rPr>
                <w:rFonts w:ascii="Times New Roman" w:hAnsi="Times New Roman" w:cs="Times New Roman"/>
              </w:rPr>
              <w:br/>
            </w:r>
            <w:r w:rsidRPr="00CB2EC4">
              <w:rPr>
                <w:rFonts w:ascii="Times New Roman" w:hAnsi="Times New Roman" w:cs="Times New Roman"/>
              </w:rPr>
              <w:br/>
              <w:t>for the general population (non-special populations):</w:t>
            </w:r>
            <w:r w:rsidRPr="00CB2EC4">
              <w:rPr>
                <w:rFonts w:ascii="Times New Roman" w:hAnsi="Times New Roman" w:cs="Times New Roman"/>
              </w:rPr>
              <w:br/>
              <w:t>→ manage according to transformation zone (TZ) type:</w:t>
            </w:r>
            <w:r w:rsidRPr="00CB2EC4">
              <w:rPr>
                <w:rFonts w:ascii="Times New Roman" w:hAnsi="Times New Roman" w:cs="Times New Roman"/>
              </w:rPr>
              <w:br/>
              <w:t>- TZ3 (transformation zone not visible): → colposcopy.</w:t>
            </w:r>
            <w:r w:rsidRPr="00CB2EC4">
              <w:rPr>
                <w:rFonts w:ascii="Times New Roman" w:hAnsi="Times New Roman" w:cs="Times New Roman"/>
              </w:rPr>
              <w:br/>
              <w:t xml:space="preserve">- TZ1/2 (transformation zone partially or fully </w:t>
            </w:r>
            <w:r w:rsidRPr="00CB2EC4">
              <w:rPr>
                <w:rFonts w:ascii="Times New Roman" w:hAnsi="Times New Roman" w:cs="Times New Roman"/>
              </w:rPr>
              <w:lastRenderedPageBreak/>
              <w:t>visible): → diagnostic conization ± endocervical curettage (ECC).</w:t>
            </w:r>
            <w:r w:rsidRPr="00CB2EC4">
              <w:rPr>
                <w:rFonts w:ascii="Times New Roman" w:hAnsi="Times New Roman" w:cs="Times New Roman"/>
              </w:rPr>
              <w:br/>
            </w:r>
            <w:r w:rsidRPr="00CB2EC4">
              <w:rPr>
                <w:rFonts w:ascii="Times New Roman" w:hAnsi="Times New Roman" w:cs="Times New Roman"/>
              </w:rPr>
              <w:br/>
              <w:t>this process is based on the description: "non-special population (general patients): → manage by transformation zone type (TZ): TZ3 (transformation zone not visible) → colposcopy. TZ1/2 (transformation zone partially/fully visible) → diagnostic conization ± endocervical curettage (ECC)." since the TZ type is not specified in the query, management should proceed based on the TZ result determined during colposcopy.</w:t>
            </w:r>
          </w:p>
        </w:tc>
        <w:tc>
          <w:tcPr>
            <w:tcW w:w="1152" w:type="dxa"/>
            <w:vAlign w:val="center"/>
          </w:tcPr>
          <w:p w14:paraId="61769E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EA0BE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C6C2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D80A39" w14:textId="77777777">
        <w:tc>
          <w:tcPr>
            <w:tcW w:w="2160" w:type="dxa"/>
            <w:vAlign w:val="center"/>
          </w:tcPr>
          <w:p w14:paraId="0C71B0B5"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094C170"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LSIL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according to document fragment 1 (block no. 2, topic: cervical cancer screening management flow) and document fragment 4 (block no. 61, topic: LSIL and HSIL management principles), for histologically confirmed LSIL (including CIN I or CIN II/P16 negative) with cytology ≥ ASC-H (suggesting possible high-grade lesion), management depends on the patient's transformation zone (TZ) type:</w:t>
            </w:r>
            <w:r w:rsidRPr="00CB2EC4">
              <w:rPr>
                <w:rFonts w:ascii="Times New Roman" w:hAnsi="Times New Roman" w:cs="Times New Roman"/>
              </w:rPr>
              <w:br/>
              <w:t>- for general population (non-special groups):</w:t>
            </w:r>
            <w:r w:rsidRPr="00CB2EC4">
              <w:rPr>
                <w:rFonts w:ascii="Times New Roman" w:hAnsi="Times New Roman" w:cs="Times New Roman"/>
              </w:rPr>
              <w:br/>
              <w:t xml:space="preserve">  - if TZ type is TZ3 (transformation zone not visible), colposcopy should be performed (document fragment 1).</w:t>
            </w:r>
            <w:r w:rsidRPr="00CB2EC4">
              <w:rPr>
                <w:rFonts w:ascii="Times New Roman" w:hAnsi="Times New Roman" w:cs="Times New Roman"/>
              </w:rPr>
              <w:br/>
              <w:t xml:space="preserve">  - if TZ type is TZ1/2 (transformation zone partially/fully visible), diagnostic conization ± endocervical curettage (ECC) should be performed (document fragment 1).</w:t>
            </w:r>
            <w:r w:rsidRPr="00CB2EC4">
              <w:rPr>
                <w:rFonts w:ascii="Times New Roman" w:hAnsi="Times New Roman" w:cs="Times New Roman"/>
              </w:rPr>
              <w:br/>
              <w:t xml:space="preserve">document fragment 4 also supports this flow, </w:t>
            </w:r>
            <w:r w:rsidRPr="00CB2EC4">
              <w:rPr>
                <w:rFonts w:ascii="Times New Roman" w:hAnsi="Times New Roman" w:cs="Times New Roman"/>
              </w:rPr>
              <w:lastRenderedPageBreak/>
              <w:t>emphasizing stratified management based on TZ type.</w:t>
            </w:r>
            <w:r w:rsidRPr="00CB2EC4">
              <w:rPr>
                <w:rFonts w:ascii="Times New Roman" w:hAnsi="Times New Roman" w:cs="Times New Roman"/>
              </w:rPr>
              <w:br/>
            </w:r>
            <w:r w:rsidRPr="00CB2EC4">
              <w:rPr>
                <w:rFonts w:ascii="Times New Roman" w:hAnsi="Times New Roman" w:cs="Times New Roman"/>
              </w:rPr>
              <w:br/>
              <w:t>response: for general patients, first assess the transformation zone type (TZ):</w:t>
            </w:r>
            <w:r w:rsidRPr="00CB2EC4">
              <w:rPr>
                <w:rFonts w:ascii="Times New Roman" w:hAnsi="Times New Roman" w:cs="Times New Roman"/>
              </w:rPr>
              <w:br/>
              <w:t>- TZ3: refer for colposcopy.</w:t>
            </w:r>
            <w:r w:rsidRPr="00CB2EC4">
              <w:rPr>
                <w:rFonts w:ascii="Times New Roman" w:hAnsi="Times New Roman" w:cs="Times New Roman"/>
              </w:rPr>
              <w:br/>
              <w:t>- TZ1/2: perform diagnostic conization ± endocervical curettage (ECC).</w:t>
            </w:r>
            <w:r w:rsidRPr="00CB2EC4">
              <w:rPr>
                <w:rFonts w:ascii="Times New Roman" w:hAnsi="Times New Roman" w:cs="Times New Roman"/>
              </w:rPr>
              <w:br/>
              <w:t>(basis: document fragment 1 and 4)</w:t>
            </w:r>
          </w:p>
        </w:tc>
        <w:tc>
          <w:tcPr>
            <w:tcW w:w="1152" w:type="dxa"/>
            <w:vAlign w:val="center"/>
          </w:tcPr>
          <w:p w14:paraId="65CD83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82F77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14AA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B6D6A6C" w14:textId="77777777">
        <w:tc>
          <w:tcPr>
            <w:tcW w:w="2160" w:type="dxa"/>
            <w:vAlign w:val="center"/>
          </w:tcPr>
          <w:p w14:paraId="720D0A2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94AF452"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LSIL (biopsy) and cytological findings of ASC-H or higher, the follow-up steps should be:</w:t>
            </w:r>
            <w:r w:rsidRPr="00CB2EC4">
              <w:rPr>
                <w:rFonts w:ascii="Times New Roman" w:hAnsi="Times New Roman" w:cs="Times New Roman"/>
              </w:rPr>
              <w:br/>
            </w:r>
            <w:r w:rsidRPr="00CB2EC4">
              <w:rPr>
                <w:rFonts w:ascii="Times New Roman" w:hAnsi="Times New Roman" w:cs="Times New Roman"/>
              </w:rPr>
              <w:br/>
              <w:t>- If TZ3 (transformation zone not visible), perform colposcopy.</w:t>
            </w:r>
            <w:r w:rsidRPr="00CB2EC4">
              <w:rPr>
                <w:rFonts w:ascii="Times New Roman" w:hAnsi="Times New Roman" w:cs="Times New Roman"/>
              </w:rPr>
              <w:br/>
              <w:t>- If TZ1/2 (transformation zone partially or fully visible), perform diagnostic conization ± endocervical curettage (ECC).</w:t>
            </w:r>
            <w:r w:rsidRPr="00CB2EC4">
              <w:rPr>
                <w:rFonts w:ascii="Times New Roman" w:hAnsi="Times New Roman" w:cs="Times New Roman"/>
              </w:rPr>
              <w:br/>
            </w:r>
            <w:r w:rsidRPr="00CB2EC4">
              <w:rPr>
                <w:rFonts w:ascii="Times New Roman" w:hAnsi="Times New Roman" w:cs="Times New Roman"/>
              </w:rPr>
              <w:br/>
              <w:t>The follow-up steps depend on the transformation zone (TZ) type: colposcopy for TZ3; diagnostic conization ± ECC for TZ1/2. The knowledge base does not provide a default approach when TZ type is unspecified; therefore, TZ assessment is a required factor.</w:t>
            </w:r>
          </w:p>
        </w:tc>
        <w:tc>
          <w:tcPr>
            <w:tcW w:w="1152" w:type="dxa"/>
            <w:vAlign w:val="center"/>
          </w:tcPr>
          <w:p w14:paraId="4B8BE7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4485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D110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B477C4" w14:textId="77777777">
        <w:tc>
          <w:tcPr>
            <w:tcW w:w="2160" w:type="dxa"/>
            <w:vAlign w:val="center"/>
          </w:tcPr>
          <w:p w14:paraId="7F987245"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664B462" w14:textId="77777777" w:rsidR="00922249" w:rsidRPr="00CB2EC4" w:rsidRDefault="003011D5">
            <w:pPr>
              <w:rPr>
                <w:rFonts w:ascii="Times New Roman" w:hAnsi="Times New Roman" w:cs="Times New Roman"/>
              </w:rPr>
            </w:pPr>
            <w:r w:rsidRPr="00CB2EC4">
              <w:rPr>
                <w:rFonts w:ascii="Times New Roman" w:hAnsi="Times New Roman" w:cs="Times New Roman"/>
              </w:rPr>
              <w:t>for general patients (non-special populations) with histopathology LSIL + cytology ≥ ASC-H:</w:t>
            </w:r>
            <w:r w:rsidRPr="00CB2EC4">
              <w:rPr>
                <w:rFonts w:ascii="Times New Roman" w:hAnsi="Times New Roman" w:cs="Times New Roman"/>
              </w:rPr>
              <w:br/>
            </w:r>
            <w:r w:rsidRPr="00CB2EC4">
              <w:rPr>
                <w:rFonts w:ascii="Times New Roman" w:hAnsi="Times New Roman" w:cs="Times New Roman"/>
              </w:rPr>
              <w:br/>
              <w:t xml:space="preserve">management process:  </w:t>
            </w:r>
            <w:r w:rsidRPr="00CB2EC4">
              <w:rPr>
                <w:rFonts w:ascii="Times New Roman" w:hAnsi="Times New Roman" w:cs="Times New Roman"/>
              </w:rPr>
              <w:br/>
              <w:t xml:space="preserve">  - TZ1/2 type (transformation zone visible): follow-up every 6~12 weeks (close monitoring to exclude invasive cancer). If two consecutive follow-ups are negative, return to routine screening.  </w:t>
            </w:r>
            <w:r w:rsidRPr="00CB2EC4">
              <w:rPr>
                <w:rFonts w:ascii="Times New Roman" w:hAnsi="Times New Roman" w:cs="Times New Roman"/>
              </w:rPr>
              <w:br/>
            </w:r>
            <w:r w:rsidRPr="00CB2EC4">
              <w:rPr>
                <w:rFonts w:ascii="Times New Roman" w:hAnsi="Times New Roman" w:cs="Times New Roman"/>
              </w:rPr>
              <w:lastRenderedPageBreak/>
              <w:t xml:space="preserve">  - TZ3 type (transformation zone not visible): perform endocervical curettage (ECC), and manage further based on histopathological results (e.g., if high-grade lesion is confirmed, follow corresponding protocol).  </w:t>
            </w:r>
            <w:r w:rsidRPr="00CB2EC4">
              <w:rPr>
                <w:rFonts w:ascii="Times New Roman" w:hAnsi="Times New Roman" w:cs="Times New Roman"/>
              </w:rPr>
              <w:br/>
              <w:t>- Basis: Knowledge base document Figure 4 (management flowchart for histopathologically confirmed LSIL).</w:t>
            </w:r>
          </w:p>
        </w:tc>
        <w:tc>
          <w:tcPr>
            <w:tcW w:w="1152" w:type="dxa"/>
            <w:vAlign w:val="center"/>
          </w:tcPr>
          <w:p w14:paraId="3068DC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1CEF7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C0270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BF0EA2" w14:textId="77777777">
        <w:tc>
          <w:tcPr>
            <w:tcW w:w="2160" w:type="dxa"/>
            <w:vAlign w:val="center"/>
          </w:tcPr>
          <w:p w14:paraId="5A63715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4002053"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LSIL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for non-special populations (general patients):</w:t>
            </w:r>
            <w:r w:rsidRPr="00CB2EC4">
              <w:rPr>
                <w:rFonts w:ascii="Times New Roman" w:hAnsi="Times New Roman" w:cs="Times New Roman"/>
              </w:rPr>
              <w:br/>
              <w:t xml:space="preserve">  - management based on transformation zone (TZ) type:</w:t>
            </w:r>
            <w:r w:rsidRPr="00CB2EC4">
              <w:rPr>
                <w:rFonts w:ascii="Times New Roman" w:hAnsi="Times New Roman" w:cs="Times New Roman"/>
              </w:rPr>
              <w:br/>
              <w:t xml:space="preserve">    - if TZ type 3 (transformation zone not visible), perform colposcopy.</w:t>
            </w:r>
            <w:r w:rsidRPr="00CB2EC4">
              <w:rPr>
                <w:rFonts w:ascii="Times New Roman" w:hAnsi="Times New Roman" w:cs="Times New Roman"/>
              </w:rPr>
              <w:br/>
              <w:t xml:space="preserve">    - if TZ type 1/2 (transformation zone partially or fully visible), perform diagnostic conization ± endocervical curettage (ECC).</w:t>
            </w:r>
            <w:r w:rsidRPr="00CB2EC4">
              <w:rPr>
                <w:rFonts w:ascii="Times New Roman" w:hAnsi="Times New Roman" w:cs="Times New Roman"/>
              </w:rPr>
              <w:br/>
              <w:t>- for special populations (e.g., patients aged 21-24 years or pregnant patients), additional stratification applies (see subsequent questions).</w:t>
            </w:r>
            <w:r w:rsidRPr="00CB2EC4">
              <w:rPr>
                <w:rFonts w:ascii="Times New Roman" w:hAnsi="Times New Roman" w:cs="Times New Roman"/>
              </w:rPr>
              <w:br/>
              <w:t xml:space="preserve">  therefore, general patients should undergo colposcopy or diagnostic conization based on TZ type.</w:t>
            </w:r>
          </w:p>
        </w:tc>
        <w:tc>
          <w:tcPr>
            <w:tcW w:w="1152" w:type="dxa"/>
            <w:vAlign w:val="center"/>
          </w:tcPr>
          <w:p w14:paraId="03E4E4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1CD0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782F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7CBEA8B" w14:textId="77777777">
        <w:tc>
          <w:tcPr>
            <w:tcW w:w="2160" w:type="dxa"/>
            <w:vAlign w:val="center"/>
          </w:tcPr>
          <w:p w14:paraId="0CA127A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D7A2FF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a patient has histologically confirmed LSIL (biopsy) and cytological findings of ASC-H or higher, the follow-up steps should be based on the cervical transformation zone (TZ) type:  </w:t>
            </w:r>
            <w:r w:rsidRPr="00CB2EC4">
              <w:rPr>
                <w:rFonts w:ascii="Times New Roman" w:hAnsi="Times New Roman" w:cs="Times New Roman"/>
              </w:rPr>
              <w:br/>
              <w:t xml:space="preserve">- If TZ type is TZ3 (transformation zone not visible), perform colposcopy (Document 1: general population, TZ3 → colposcopy).  </w:t>
            </w:r>
            <w:r w:rsidRPr="00CB2EC4">
              <w:rPr>
                <w:rFonts w:ascii="Times New Roman" w:hAnsi="Times New Roman" w:cs="Times New Roman"/>
              </w:rPr>
              <w:br/>
            </w:r>
            <w:r w:rsidRPr="00CB2EC4">
              <w:rPr>
                <w:rFonts w:ascii="Times New Roman" w:hAnsi="Times New Roman" w:cs="Times New Roman"/>
              </w:rPr>
              <w:lastRenderedPageBreak/>
              <w:t xml:space="preserve">- If TZ type is TZ1 or TZ2 (transformation zone fully or partially visible), perform diagnostic conization ± endocervical curettage (ECC) (Document 1: general population, TZ1/2 → diagnostic conization ± ECC).  </w:t>
            </w:r>
            <w:r w:rsidRPr="00CB2EC4">
              <w:rPr>
                <w:rFonts w:ascii="Times New Roman" w:hAnsi="Times New Roman" w:cs="Times New Roman"/>
              </w:rPr>
              <w:br/>
              <w:t xml:space="preserve">Since the TZ type is not specified in the query and no default management is provided in the context, actual follow-up must be determined based on TZ assessment. If TZ type is unknown, colposcopy should be prioritized to determine TZ type (both Document 1 and Document 4 emphasize TZ as the stratification criterion).  </w:t>
            </w:r>
            <w:r w:rsidRPr="00CB2EC4">
              <w:rPr>
                <w:rFonts w:ascii="Times New Roman" w:hAnsi="Times New Roman" w:cs="Times New Roman"/>
              </w:rPr>
              <w:br/>
              <w:t>Summary: Follow-up steps depend on transformation zone type (TZ): colposcopy for TZ3; diagnostic conization ± ECC for TZ1/2. TZ type must be determined through clinical evaluation.</w:t>
            </w:r>
          </w:p>
        </w:tc>
        <w:tc>
          <w:tcPr>
            <w:tcW w:w="1152" w:type="dxa"/>
            <w:vAlign w:val="center"/>
          </w:tcPr>
          <w:p w14:paraId="738F06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1059C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4A13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4966229" w14:textId="77777777">
        <w:tc>
          <w:tcPr>
            <w:tcW w:w="2160" w:type="dxa"/>
            <w:vAlign w:val="center"/>
          </w:tcPr>
          <w:p w14:paraId="24F1BA61"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887D395"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histologically confirmed LSIL (including CIN I or CIN II/P16-negative) and cytological findings of ASC-H or higher (e.g., HSIL), and who are not in special populations (i.e., not aged 21–24 years and not pregnant), follow-up should be stratified by transformation zone (TZ) type:</w:t>
            </w:r>
            <w:r w:rsidRPr="00CB2EC4">
              <w:rPr>
                <w:rFonts w:ascii="Times New Roman" w:hAnsi="Times New Roman" w:cs="Times New Roman"/>
              </w:rPr>
              <w:br/>
              <w:t xml:space="preserve">  - If transformation zone type is TZ3 (transformation zone not visible), the patient should undergo colposcopy.</w:t>
            </w:r>
            <w:r w:rsidRPr="00CB2EC4">
              <w:rPr>
                <w:rFonts w:ascii="Times New Roman" w:hAnsi="Times New Roman" w:cs="Times New Roman"/>
              </w:rPr>
              <w:br/>
              <w:t xml:space="preserve">  - If transformation zone type is TZ1/2 (transformation zone partially or fully visible), the patient should undergo diagnostic cervical conization ± endocervical curettage (ECC).</w:t>
            </w:r>
            <w:r w:rsidRPr="00CB2EC4">
              <w:rPr>
                <w:rFonts w:ascii="Times New Roman" w:hAnsi="Times New Roman" w:cs="Times New Roman"/>
              </w:rPr>
              <w:br/>
              <w:t xml:space="preserve">- Basis: The document explicitly states: “2. For cytology ≥ ASC-H (suggestive of possible high-grade lesion) o Non-special populations (general patients): → Manage according to transformation zone (TZ) type: § TZ3 (transformation zone not visible) → Colposcopy. § TZ1/2 (transformation zone </w:t>
            </w:r>
            <w:r w:rsidRPr="00CB2EC4">
              <w:rPr>
                <w:rFonts w:ascii="Times New Roman" w:hAnsi="Times New Roman" w:cs="Times New Roman"/>
              </w:rPr>
              <w:lastRenderedPageBreak/>
              <w:t>partially/fully visible) → Diagnostic cervical conization ± endocervical curettage (ECC).”</w:t>
            </w:r>
          </w:p>
        </w:tc>
        <w:tc>
          <w:tcPr>
            <w:tcW w:w="1152" w:type="dxa"/>
            <w:vAlign w:val="center"/>
          </w:tcPr>
          <w:p w14:paraId="3DCCEB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97CD8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889A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552273" w14:textId="77777777">
        <w:tc>
          <w:tcPr>
            <w:tcW w:w="2160" w:type="dxa"/>
            <w:vAlign w:val="center"/>
          </w:tcPr>
          <w:p w14:paraId="38409536"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0A91C0D"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LSIL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according to document fragment 4 (similarity: 0.500), for patients with histologically confirmed LSIL and cytology ≥ ASC-H (non-special populations, i.e., general patients), management should be based on transformation zone (TZ) type:</w:t>
            </w:r>
            <w:r w:rsidRPr="00CB2EC4">
              <w:rPr>
                <w:rFonts w:ascii="Times New Roman" w:hAnsi="Times New Roman" w:cs="Times New Roman"/>
              </w:rPr>
              <w:br/>
              <w:t>- if transformation zone type is TZ3 (transformation zone not visible), refer for colposcopy.</w:t>
            </w:r>
            <w:r w:rsidRPr="00CB2EC4">
              <w:rPr>
                <w:rFonts w:ascii="Times New Roman" w:hAnsi="Times New Roman" w:cs="Times New Roman"/>
              </w:rPr>
              <w:br/>
              <w:t>- if transformation zone type is TZ1/2 (transformation zone partially or fully visible), perform diagnostic conization ± endocervical curettage (ECC).</w:t>
            </w:r>
            <w:r w:rsidRPr="00CB2EC4">
              <w:rPr>
                <w:rFonts w:ascii="Times New Roman" w:hAnsi="Times New Roman" w:cs="Times New Roman"/>
              </w:rPr>
              <w:br/>
            </w:r>
            <w:r w:rsidRPr="00CB2EC4">
              <w:rPr>
                <w:rFonts w:ascii="Times New Roman" w:hAnsi="Times New Roman" w:cs="Times New Roman"/>
              </w:rPr>
              <w:br/>
              <w:t>since the transformation zone type (TZ) is not specified in the question, the initial step should be referral for colposcopy to determine TZ type, followed by appropriate management (colposcopy or diagnostic conization ± ECC) based on the TZ result.</w:t>
            </w:r>
            <w:r w:rsidRPr="00CB2EC4">
              <w:rPr>
                <w:rFonts w:ascii="Times New Roman" w:hAnsi="Times New Roman" w:cs="Times New Roman"/>
              </w:rPr>
              <w:br/>
            </w:r>
            <w:r w:rsidRPr="00CB2EC4">
              <w:rPr>
                <w:rFonts w:ascii="Times New Roman" w:hAnsi="Times New Roman" w:cs="Times New Roman"/>
              </w:rPr>
              <w:br/>
              <w:t>source: document fragment 4 (“for histologically confirmed LSIL... if cytology ≥ ASC-H... non-special population (general patients): → manage according to transformation zone (TZ) type: § TZ3 (transformation zone not visible) → colposcopy. § TZ1/2 (transformation zone partially/fully visible) → diagnostic conization ± endocervical curettage (ECC).”).</w:t>
            </w:r>
          </w:p>
        </w:tc>
        <w:tc>
          <w:tcPr>
            <w:tcW w:w="1152" w:type="dxa"/>
            <w:vAlign w:val="center"/>
          </w:tcPr>
          <w:p w14:paraId="12A5D3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EB45D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7D19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A56C9C" w14:textId="77777777">
        <w:tc>
          <w:tcPr>
            <w:tcW w:w="2160" w:type="dxa"/>
            <w:vAlign w:val="center"/>
          </w:tcPr>
          <w:p w14:paraId="37176B59"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87DF97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a patient has </w:t>
            </w:r>
            <w:r w:rsidRPr="00CB2EC4">
              <w:rPr>
                <w:rFonts w:ascii="Times New Roman" w:hAnsi="Times New Roman" w:cs="Times New Roman"/>
              </w:rPr>
              <w:lastRenderedPageBreak/>
              <w:t>histologically confirmed LSIL (by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according to the document (description of figure 4 in the first segment), for patients with histologically confirmed LSIL and cytology ≥ ASC-H (suggesting possible high-grade lesion), the management depends on the type of cervical transformation zone (TZ):</w:t>
            </w:r>
            <w:r w:rsidRPr="00CB2EC4">
              <w:rPr>
                <w:rFonts w:ascii="Times New Roman" w:hAnsi="Times New Roman" w:cs="Times New Roman"/>
              </w:rPr>
              <w:br/>
            </w:r>
            <w:r w:rsidRPr="00CB2EC4">
              <w:rPr>
                <w:rFonts w:ascii="Times New Roman" w:hAnsi="Times New Roman" w:cs="Times New Roman"/>
              </w:rPr>
              <w:br/>
              <w:t>- if the transformation zone type is TZ1 or TZ2 (transformation zone partially or completely visible): the patient should undergo diagnostic conization ± endocervical curettage (ECC).</w:t>
            </w:r>
            <w:r w:rsidRPr="00CB2EC4">
              <w:rPr>
                <w:rFonts w:ascii="Times New Roman" w:hAnsi="Times New Roman" w:cs="Times New Roman"/>
              </w:rPr>
              <w:br/>
              <w:t>- if the transformation zone type is TZ3 (transformation zone not visible): the patient should undergo colposcopy.</w:t>
            </w:r>
            <w:r w:rsidRPr="00CB2EC4">
              <w:rPr>
                <w:rFonts w:ascii="Times New Roman" w:hAnsi="Times New Roman" w:cs="Times New Roman"/>
              </w:rPr>
              <w:br/>
              <w:t>- the document emphasizes that this management applies to the general (non-special) population. if invasive cancer is detected on subsequent examination, refer to the cervical cancer treatment pathway.</w:t>
            </w:r>
            <w:r w:rsidRPr="00CB2EC4">
              <w:rPr>
                <w:rFonts w:ascii="Times New Roman" w:hAnsi="Times New Roman" w:cs="Times New Roman"/>
              </w:rPr>
              <w:br/>
            </w:r>
            <w:r w:rsidRPr="00CB2EC4">
              <w:rPr>
                <w:rFonts w:ascii="Times New Roman" w:hAnsi="Times New Roman" w:cs="Times New Roman"/>
              </w:rPr>
              <w:br/>
              <w:t>therefore, the follow-up steps are: determine specific procedure based on TZ type (TZ1/2 → diagnostic conization ± ECC; TZ3 → colposcopy).</w:t>
            </w:r>
          </w:p>
        </w:tc>
        <w:tc>
          <w:tcPr>
            <w:tcW w:w="1152" w:type="dxa"/>
            <w:vAlign w:val="center"/>
          </w:tcPr>
          <w:p w14:paraId="33D742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411FE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4F0C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6B4051" w14:textId="77777777">
        <w:tc>
          <w:tcPr>
            <w:tcW w:w="2160" w:type="dxa"/>
            <w:vAlign w:val="center"/>
          </w:tcPr>
          <w:p w14:paraId="154485E0"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0D096C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According to the provided context (document fragment 1), for a general patient (not aged 21–24 years, not pregnant) with histologically confirmed LSIL (from biopsy) and cytology findings of ASC-H or higher, follow-up should be stratified based on the transformation zone type (TZ):  </w:t>
            </w:r>
            <w:r w:rsidRPr="00CB2EC4">
              <w:rPr>
                <w:rFonts w:ascii="Times New Roman" w:hAnsi="Times New Roman" w:cs="Times New Roman"/>
              </w:rPr>
              <w:br/>
              <w:t xml:space="preserve">- If transformation zone type is TZ3 (transformation </w:t>
            </w:r>
            <w:r w:rsidRPr="00CB2EC4">
              <w:rPr>
                <w:rFonts w:ascii="Times New Roman" w:hAnsi="Times New Roman" w:cs="Times New Roman"/>
              </w:rPr>
              <w:lastRenderedPageBreak/>
              <w:t xml:space="preserve">zone not visible), perform colposcopy.  </w:t>
            </w:r>
            <w:r w:rsidRPr="00CB2EC4">
              <w:rPr>
                <w:rFonts w:ascii="Times New Roman" w:hAnsi="Times New Roman" w:cs="Times New Roman"/>
              </w:rPr>
              <w:br/>
              <w:t xml:space="preserve">- If transformation zone type is TZ1 or TZ2 (transformation zone partially or fully visible), perform diagnostic conization ± endocervical curettage (ECC).  </w:t>
            </w:r>
            <w:r w:rsidRPr="00CB2EC4">
              <w:rPr>
                <w:rFonts w:ascii="Times New Roman" w:hAnsi="Times New Roman" w:cs="Times New Roman"/>
              </w:rPr>
              <w:br/>
              <w:t>Basis: Document fragment 1 explicitly states: “For patients with histologically confirmed LSIL... if cytology ≥ ASC-H... general population (non-special): → manage by transformation zone type (TZ): TZ3 → colposcopy; TZ1/2 → diagnostic conization ± endocervical curettage (ECC).”</w:t>
            </w:r>
          </w:p>
        </w:tc>
        <w:tc>
          <w:tcPr>
            <w:tcW w:w="1152" w:type="dxa"/>
            <w:vAlign w:val="center"/>
          </w:tcPr>
          <w:p w14:paraId="5D341C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32F1D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9446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2A5348F" w14:textId="77777777">
        <w:tc>
          <w:tcPr>
            <w:tcW w:w="2160" w:type="dxa"/>
            <w:vAlign w:val="center"/>
          </w:tcPr>
          <w:p w14:paraId="4D8F33F9"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9C9BB6A"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LSIL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response: according to the document context (similarity 0.502 and 0.407), for patients with histologically confirmed LSIL and cytological results of ASC-H or higher (≥ASC-H), assuming non-special populations (i.e., general patients, age not 21–24 years and not pregnant), the management process depends on the cervical transformation zone type (TZ), which must be determined by colposcopy. the specific steps are as follows:</w:t>
            </w:r>
            <w:r w:rsidRPr="00CB2EC4">
              <w:rPr>
                <w:rFonts w:ascii="Times New Roman" w:hAnsi="Times New Roman" w:cs="Times New Roman"/>
              </w:rPr>
              <w:br/>
              <w:t xml:space="preserve">  - first, perform colposcopy to assess TZ type.</w:t>
            </w:r>
            <w:r w:rsidRPr="00CB2EC4">
              <w:rPr>
                <w:rFonts w:ascii="Times New Roman" w:hAnsi="Times New Roman" w:cs="Times New Roman"/>
              </w:rPr>
              <w:br/>
              <w:t xml:space="preserve">  - if colposcopy shows TZ3 (transformation zone not visible), refer for colposcopy (may include further evaluation or biopsy).</w:t>
            </w:r>
            <w:r w:rsidRPr="00CB2EC4">
              <w:rPr>
                <w:rFonts w:ascii="Times New Roman" w:hAnsi="Times New Roman" w:cs="Times New Roman"/>
              </w:rPr>
              <w:br/>
              <w:t xml:space="preserve">  - if colposcopy shows TZ1/2 (transformation zone partially or fully visible), perform diagnostic conization ± endocervical curettage (ECC).</w:t>
            </w:r>
            <w:r w:rsidRPr="00CB2EC4">
              <w:rPr>
                <w:rFonts w:ascii="Times New Roman" w:hAnsi="Times New Roman" w:cs="Times New Roman"/>
              </w:rPr>
              <w:br/>
              <w:t xml:space="preserve">  - source: "figure 4: management flowchart for histologically confirmed LSIL... if cytology ≥ ASC-H </w:t>
            </w:r>
            <w:r w:rsidRPr="00CB2EC4">
              <w:rPr>
                <w:rFonts w:ascii="Times New Roman" w:hAnsi="Times New Roman" w:cs="Times New Roman"/>
              </w:rPr>
              <w:lastRenderedPageBreak/>
              <w:t>(suggesting possible high-grade lesion) o non-special population (general patients): → manage according to transformation zone type (TZ): § TZ3 (transformation zone not visible) → colposcopy. § TZ1/2 (transformation zone partially/fully visible) → diagnostic conization ± endocervical curettage (ECC)." (similarity 0.502)</w:t>
            </w:r>
          </w:p>
        </w:tc>
        <w:tc>
          <w:tcPr>
            <w:tcW w:w="1152" w:type="dxa"/>
            <w:vAlign w:val="center"/>
          </w:tcPr>
          <w:p w14:paraId="1B2790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EBB4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835D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DC16EA" w14:textId="77777777">
        <w:tc>
          <w:tcPr>
            <w:tcW w:w="2160" w:type="dxa"/>
            <w:vAlign w:val="center"/>
          </w:tcPr>
          <w:p w14:paraId="06DE30B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5006D86" w14:textId="77777777" w:rsidR="00922249" w:rsidRPr="00CB2EC4" w:rsidRDefault="003011D5">
            <w:pPr>
              <w:rPr>
                <w:rFonts w:ascii="Times New Roman" w:hAnsi="Times New Roman" w:cs="Times New Roman"/>
              </w:rPr>
            </w:pPr>
            <w:r w:rsidRPr="00CB2EC4">
              <w:rPr>
                <w:rFonts w:ascii="Times New Roman" w:hAnsi="Times New Roman" w:cs="Times New Roman"/>
              </w:rPr>
              <w:t>Based on Document Fragment 1 and Document Fragment 4, for general patients (non-21–24 years old or pregnant) diagnosed with LSIL by histopathology and with cytological findings of ASC-H or higher, the follow-up steps are as follows:</w:t>
            </w:r>
            <w:r w:rsidRPr="00CB2EC4">
              <w:rPr>
                <w:rFonts w:ascii="Times New Roman" w:hAnsi="Times New Roman" w:cs="Times New Roman"/>
              </w:rPr>
              <w:br/>
            </w:r>
            <w:r w:rsidRPr="00CB2EC4">
              <w:rPr>
                <w:rFonts w:ascii="Times New Roman" w:hAnsi="Times New Roman" w:cs="Times New Roman"/>
              </w:rPr>
              <w:br/>
              <w:t>- If the colposcopy result is TZ3 type (transformation zone not visible), immediate referral for colposcopy should be performed.</w:t>
            </w:r>
            <w:r w:rsidRPr="00CB2EC4">
              <w:rPr>
                <w:rFonts w:ascii="Times New Roman" w:hAnsi="Times New Roman" w:cs="Times New Roman"/>
              </w:rPr>
              <w:br/>
              <w:t>- If the colposcopy result is TZ1/2 type (transformation zone partially or fully visible), immediate diagnostic cervical excision ± endocervical curettage (ECC) should be performed.</w:t>
            </w:r>
            <w:r w:rsidRPr="00CB2EC4">
              <w:rPr>
                <w:rFonts w:ascii="Times New Roman" w:hAnsi="Times New Roman" w:cs="Times New Roman"/>
              </w:rPr>
              <w:br/>
            </w:r>
            <w:r w:rsidRPr="00CB2EC4">
              <w:rPr>
                <w:rFonts w:ascii="Times New Roman" w:hAnsi="Times New Roman" w:cs="Times New Roman"/>
              </w:rPr>
              <w:br/>
              <w:t>Basis: Document Fragment 1’s "Figure 4: Management Flowchart for Histopathologically Confirmed LSIL" details this process (relevance 0.9868), and Document Fragment 4 (relevance 0.9749) supports stratified management based on TZ type.</w:t>
            </w:r>
          </w:p>
        </w:tc>
        <w:tc>
          <w:tcPr>
            <w:tcW w:w="1152" w:type="dxa"/>
            <w:vAlign w:val="center"/>
          </w:tcPr>
          <w:p w14:paraId="4C765D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E493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0BDA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47BF8D3" w14:textId="77777777">
        <w:tc>
          <w:tcPr>
            <w:tcW w:w="2160" w:type="dxa"/>
            <w:vAlign w:val="center"/>
          </w:tcPr>
          <w:p w14:paraId="4E67D909"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0FE19C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(biopsy) LSIL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xml:space="preserve">based on the context (figure 4: management flow for </w:t>
            </w:r>
            <w:r w:rsidRPr="00CB2EC4">
              <w:rPr>
                <w:rFonts w:ascii="Times New Roman" w:hAnsi="Times New Roman" w:cs="Times New Roman"/>
              </w:rPr>
              <w:lastRenderedPageBreak/>
              <w:t>histologically confirmed LSIL), for non-special populations (i.e., general patients, without specified age or pregnancy status) with histologically confirmed LSIL and cytology ≥ ASC-H:</w:t>
            </w:r>
            <w:r w:rsidRPr="00CB2EC4">
              <w:rPr>
                <w:rFonts w:ascii="Times New Roman" w:hAnsi="Times New Roman" w:cs="Times New Roman"/>
              </w:rPr>
              <w:br/>
            </w:r>
            <w:r w:rsidRPr="00CB2EC4">
              <w:rPr>
                <w:rFonts w:ascii="Times New Roman" w:hAnsi="Times New Roman" w:cs="Times New Roman"/>
              </w:rPr>
              <w:br/>
              <w:t>- if the transformation zone type (TZ) is TZ3 (transformation zone not visible), perform colposcopy.</w:t>
            </w:r>
            <w:r w:rsidRPr="00CB2EC4">
              <w:rPr>
                <w:rFonts w:ascii="Times New Roman" w:hAnsi="Times New Roman" w:cs="Times New Roman"/>
              </w:rPr>
              <w:br/>
              <w:t>- if the TZ type is TZ1/2 (transformation zone partially or fully visible), perform diagnostic conization ± endocervical curettage (ECC).</w:t>
            </w:r>
            <w:r w:rsidRPr="00CB2EC4">
              <w:rPr>
                <w:rFonts w:ascii="Times New Roman" w:hAnsi="Times New Roman" w:cs="Times New Roman"/>
              </w:rPr>
              <w:br/>
            </w:r>
            <w:r w:rsidRPr="00CB2EC4">
              <w:rPr>
                <w:rFonts w:ascii="Times New Roman" w:hAnsi="Times New Roman" w:cs="Times New Roman"/>
              </w:rPr>
              <w:br/>
              <w:t>since the TZ type is not specified in the query, management must be determined based on the TZ result. the context does not provide a default or universal step; therefore, TZ type is a necessary assessment factor.</w:t>
            </w:r>
          </w:p>
        </w:tc>
        <w:tc>
          <w:tcPr>
            <w:tcW w:w="1152" w:type="dxa"/>
            <w:vAlign w:val="center"/>
          </w:tcPr>
          <w:p w14:paraId="2F304D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B1335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E73F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2F7E48" w14:textId="77777777">
        <w:tc>
          <w:tcPr>
            <w:tcW w:w="2160" w:type="dxa"/>
            <w:vAlign w:val="center"/>
          </w:tcPr>
          <w:p w14:paraId="5305A2FF"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A4B03A7"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the patient's histopathology (biopsy) confirms LSIL and the cytology finding is ASC-H or higher, the following follow-up steps are recommended:</w:t>
            </w:r>
            <w:r w:rsidRPr="00CB2EC4">
              <w:rPr>
                <w:rFonts w:ascii="Times New Roman" w:hAnsi="Times New Roman" w:cs="Times New Roman"/>
              </w:rPr>
              <w:br/>
            </w:r>
            <w:r w:rsidRPr="00CB2EC4">
              <w:rPr>
                <w:rFonts w:ascii="Times New Roman" w:hAnsi="Times New Roman" w:cs="Times New Roman"/>
              </w:rPr>
              <w:br/>
              <w:t>- If cytology is ASC-H: The risk of CIN 3+ is approximately 7–10%. Recommend colposcopy (if not already performed) or cytology follow-up every 6 months. If colposcopy reveals suspicious lesions, biopsy may be considered.</w:t>
            </w:r>
            <w:r w:rsidRPr="00CB2EC4">
              <w:rPr>
                <w:rFonts w:ascii="Times New Roman" w:hAnsi="Times New Roman" w:cs="Times New Roman"/>
              </w:rPr>
              <w:br/>
              <w:t>- If cytology is HSIL or higher: The risk of CIN 3+ increases to 15–20%. Recommend proceeding directly to diagnostic excisional procedure (such as LEEP or cold knife conization) to avoid missing high-grade lesions.</w:t>
            </w:r>
          </w:p>
        </w:tc>
        <w:tc>
          <w:tcPr>
            <w:tcW w:w="1152" w:type="dxa"/>
            <w:vAlign w:val="center"/>
          </w:tcPr>
          <w:p w14:paraId="4AD7F0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33B3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8A64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454235" w14:textId="77777777">
        <w:tc>
          <w:tcPr>
            <w:tcW w:w="10656" w:type="dxa"/>
            <w:gridSpan w:val="5"/>
            <w:tcBorders>
              <w:bottom w:val="single" w:sz="6" w:space="0" w:color="auto"/>
            </w:tcBorders>
            <w:vAlign w:val="center"/>
          </w:tcPr>
          <w:p w14:paraId="180C7084" w14:textId="77777777" w:rsidR="00922249" w:rsidRPr="00CB2EC4" w:rsidRDefault="003011D5">
            <w:pPr>
              <w:rPr>
                <w:rFonts w:ascii="Times New Roman" w:hAnsi="Times New Roman" w:cs="Times New Roman"/>
              </w:rPr>
            </w:pPr>
            <w:r w:rsidRPr="00CB2EC4">
              <w:rPr>
                <w:rFonts w:ascii="Times New Roman" w:hAnsi="Times New Roman" w:cs="Times New Roman"/>
                <w:b/>
              </w:rPr>
              <w:t>Question 22: In cervical cancer screening, if a patient aged 21 to 24 years has a histopathological confirmation (biopsy) of LSIL cytology findings of ASC-H or higher, what follow-up steps should be conducted?</w:t>
            </w:r>
          </w:p>
        </w:tc>
      </w:tr>
      <w:tr w:rsidR="00922249" w:rsidRPr="00CB2EC4" w14:paraId="79F42524" w14:textId="77777777">
        <w:tc>
          <w:tcPr>
            <w:tcW w:w="2160" w:type="dxa"/>
            <w:vAlign w:val="center"/>
          </w:tcPr>
          <w:p w14:paraId="6C09C55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Enrichment</w:t>
            </w:r>
          </w:p>
        </w:tc>
        <w:tc>
          <w:tcPr>
            <w:tcW w:w="5040" w:type="dxa"/>
            <w:vAlign w:val="center"/>
          </w:tcPr>
          <w:p w14:paraId="4DE39B01"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LSIL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Initial step: perform colposcopy.</w:t>
            </w:r>
            <w:r w:rsidRPr="00CB2EC4">
              <w:rPr>
                <w:rFonts w:ascii="Times New Roman" w:hAnsi="Times New Roman" w:cs="Times New Roman"/>
              </w:rPr>
              <w:br/>
              <w:t>- Subsequent management:</w:t>
            </w:r>
            <w:r w:rsidRPr="00CB2EC4">
              <w:rPr>
                <w:rFonts w:ascii="Times New Roman" w:hAnsi="Times New Roman" w:cs="Times New Roman"/>
              </w:rPr>
              <w:br/>
              <w:t xml:space="preserve">  - If colposcopy shows TZ3 type, perform diagnostic cervical conization.</w:t>
            </w:r>
            <w:r w:rsidRPr="00CB2EC4">
              <w:rPr>
                <w:rFonts w:ascii="Times New Roman" w:hAnsi="Times New Roman" w:cs="Times New Roman"/>
              </w:rPr>
              <w:br/>
              <w:t xml:space="preserve">  - If colposcopy shows TZ1 or TZ2 type, the patient should be followed up every 6–12 weeks (close monitoring to rule out invasive cancer). If two consecutive follow-up tests are negative, transition to routine screening.</w:t>
            </w:r>
            <w:r w:rsidRPr="00CB2EC4">
              <w:rPr>
                <w:rFonts w:ascii="Times New Roman" w:hAnsi="Times New Roman" w:cs="Times New Roman"/>
              </w:rPr>
              <w:br/>
            </w:r>
            <w:r w:rsidRPr="00CB2EC4">
              <w:rPr>
                <w:rFonts w:ascii="Times New Roman" w:hAnsi="Times New Roman" w:cs="Times New Roman"/>
              </w:rPr>
              <w:br/>
              <w:t>this process is based on the document description: "for the special population of patients aged 21~24: if cytology ≥ ASC-H, only colposcopy should be performed. if colposcopy result is TZ3 type, diagnostic cervical conization should be performed. if colposcopy result is TZ1 or TZ2 type, the patient should be followed up every 6~12 weeks (close monitoring to rule out invasive cancer). if two consecutive follow-up tests are negative, transition to routine screening."</w:t>
            </w:r>
          </w:p>
        </w:tc>
        <w:tc>
          <w:tcPr>
            <w:tcW w:w="1152" w:type="dxa"/>
            <w:vAlign w:val="center"/>
          </w:tcPr>
          <w:p w14:paraId="2FBE42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08A5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C3CF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F8EF9F" w14:textId="77777777">
        <w:tc>
          <w:tcPr>
            <w:tcW w:w="2160" w:type="dxa"/>
            <w:vAlign w:val="center"/>
          </w:tcPr>
          <w:p w14:paraId="2641DF6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8250A20"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years with histologically confirmed LSIL (biopsy) and cytology findings of ASC-H or higher, the follow-up steps are:</w:t>
            </w:r>
            <w:r w:rsidRPr="00CB2EC4">
              <w:rPr>
                <w:rFonts w:ascii="Times New Roman" w:hAnsi="Times New Roman" w:cs="Times New Roman"/>
              </w:rPr>
              <w:br/>
            </w:r>
            <w:r w:rsidRPr="00CB2EC4">
              <w:rPr>
                <w:rFonts w:ascii="Times New Roman" w:hAnsi="Times New Roman" w:cs="Times New Roman"/>
              </w:rPr>
              <w:br/>
              <w:t>- The patient should undergo colposcopy only (no immediate surgical intervention).</w:t>
            </w:r>
            <w:r w:rsidRPr="00CB2EC4">
              <w:rPr>
                <w:rFonts w:ascii="Times New Roman" w:hAnsi="Times New Roman" w:cs="Times New Roman"/>
              </w:rPr>
              <w:br/>
              <w:t>- After colposcopy, management depends on the result:</w:t>
            </w:r>
            <w:r w:rsidRPr="00CB2EC4">
              <w:rPr>
                <w:rFonts w:ascii="Times New Roman" w:hAnsi="Times New Roman" w:cs="Times New Roman"/>
              </w:rPr>
              <w:br/>
              <w:t xml:space="preserve">  - If the colposcopy shows TZ3 type, perform a </w:t>
            </w:r>
            <w:r w:rsidRPr="00CB2EC4">
              <w:rPr>
                <w:rFonts w:ascii="Times New Roman" w:hAnsi="Times New Roman" w:cs="Times New Roman"/>
              </w:rPr>
              <w:lastRenderedPageBreak/>
              <w:t>diagnostic cervical conization.</w:t>
            </w:r>
            <w:r w:rsidRPr="00CB2EC4">
              <w:rPr>
                <w:rFonts w:ascii="Times New Roman" w:hAnsi="Times New Roman" w:cs="Times New Roman"/>
              </w:rPr>
              <w:br/>
              <w:t xml:space="preserve">  - If the colposcopy shows TZ1 or TZ2 type, the patient should be followed up with repeat examinations (cytology and colposcopy) every 6 to 12 weeks; if two consecutive tests are negative, transition to routine screening.</w:t>
            </w:r>
            <w:r w:rsidRPr="00CB2EC4">
              <w:rPr>
                <w:rFonts w:ascii="Times New Roman" w:hAnsi="Times New Roman" w:cs="Times New Roman"/>
              </w:rPr>
              <w:br/>
            </w:r>
            <w:r w:rsidRPr="00CB2EC4">
              <w:rPr>
                <w:rFonts w:ascii="Times New Roman" w:hAnsi="Times New Roman" w:cs="Times New Roman"/>
              </w:rPr>
              <w:br/>
              <w:t>(Reference: Document Fragment 1)</w:t>
            </w:r>
          </w:p>
        </w:tc>
        <w:tc>
          <w:tcPr>
            <w:tcW w:w="1152" w:type="dxa"/>
            <w:vAlign w:val="center"/>
          </w:tcPr>
          <w:p w14:paraId="500249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2DB4D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3E2A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FE79C0" w14:textId="77777777">
        <w:tc>
          <w:tcPr>
            <w:tcW w:w="2160" w:type="dxa"/>
            <w:vAlign w:val="center"/>
          </w:tcPr>
          <w:p w14:paraId="0A0D620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E769A62"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LSIL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First, perform colposcopy.</w:t>
            </w:r>
            <w:r w:rsidRPr="00CB2EC4">
              <w:rPr>
                <w:rFonts w:ascii="Times New Roman" w:hAnsi="Times New Roman" w:cs="Times New Roman"/>
              </w:rPr>
              <w:br/>
              <w:t>- After colposcopy, determine subsequent management based on the transformation zone (TZ) type:</w:t>
            </w:r>
            <w:r w:rsidRPr="00CB2EC4">
              <w:rPr>
                <w:rFonts w:ascii="Times New Roman" w:hAnsi="Times New Roman" w:cs="Times New Roman"/>
              </w:rPr>
              <w:br/>
              <w:t xml:space="preserve">  - If TZ type 1 or 2: observe with repeat cytology or colposcopy every 10–12 weeks.</w:t>
            </w:r>
            <w:r w:rsidRPr="00CB2EC4">
              <w:rPr>
                <w:rFonts w:ascii="Times New Roman" w:hAnsi="Times New Roman" w:cs="Times New Roman"/>
              </w:rPr>
              <w:br/>
              <w:t xml:space="preserve">  - If TZ type 3: proceed directly to diagnostic/therapeutic cervical excision.</w:t>
            </w:r>
            <w:r w:rsidRPr="00CB2EC4">
              <w:rPr>
                <w:rFonts w:ascii="Times New Roman" w:hAnsi="Times New Roman" w:cs="Times New Roman"/>
              </w:rPr>
              <w:br/>
            </w:r>
            <w:r w:rsidRPr="00CB2EC4">
              <w:rPr>
                <w:rFonts w:ascii="Times New Roman" w:hAnsi="Times New Roman" w:cs="Times New Roman"/>
              </w:rPr>
              <w:br/>
              <w:t>thus, the initial step is colposcopy, followed by either observation or surgery depending on the TZ result.</w:t>
            </w:r>
            <w:r w:rsidRPr="00CB2EC4">
              <w:rPr>
                <w:rFonts w:ascii="Times New Roman" w:hAnsi="Times New Roman" w:cs="Times New Roman"/>
              </w:rPr>
              <w:br/>
            </w:r>
            <w:r w:rsidRPr="00CB2EC4">
              <w:rPr>
                <w:rFonts w:ascii="Times New Roman" w:hAnsi="Times New Roman" w:cs="Times New Roman"/>
              </w:rPr>
              <w:br/>
              <w:t>answer: colposcopy should be performed. thereafter: if colposcopy shows TZ1/2 type, conduct observation (repeat every 10–12 weeks); if it shows TZ3 type, conduct diagnostic/therapeutic cervical excision.</w:t>
            </w:r>
          </w:p>
        </w:tc>
        <w:tc>
          <w:tcPr>
            <w:tcW w:w="1152" w:type="dxa"/>
            <w:vAlign w:val="center"/>
          </w:tcPr>
          <w:p w14:paraId="670D74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A373B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40103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1E49E29" w14:textId="77777777">
        <w:tc>
          <w:tcPr>
            <w:tcW w:w="2160" w:type="dxa"/>
            <w:vAlign w:val="center"/>
          </w:tcPr>
          <w:p w14:paraId="7E91784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DBFA76A" w14:textId="77777777" w:rsidR="00922249" w:rsidRPr="00CB2EC4" w:rsidRDefault="003011D5">
            <w:pPr>
              <w:rPr>
                <w:rFonts w:ascii="Times New Roman" w:hAnsi="Times New Roman" w:cs="Times New Roman"/>
              </w:rPr>
            </w:pPr>
            <w:r w:rsidRPr="00CB2EC4">
              <w:rPr>
                <w:rFonts w:ascii="Times New Roman" w:hAnsi="Times New Roman" w:cs="Times New Roman"/>
              </w:rPr>
              <w:t>overall management principles</w:t>
            </w:r>
            <w:r w:rsidRPr="00CB2EC4">
              <w:rPr>
                <w:rFonts w:ascii="Times New Roman" w:hAnsi="Times New Roman" w:cs="Times New Roman"/>
              </w:rPr>
              <w:br/>
            </w:r>
            <w:r w:rsidRPr="00CB2EC4">
              <w:rPr>
                <w:rFonts w:ascii="Times New Roman" w:hAnsi="Times New Roman" w:cs="Times New Roman"/>
              </w:rPr>
              <w:br/>
              <w:t xml:space="preserve">treatment process: observation and follow-up may be selected, with cytology and colposcopy repeated every </w:t>
            </w:r>
            <w:r w:rsidRPr="00CB2EC4">
              <w:rPr>
                <w:rFonts w:ascii="Times New Roman" w:hAnsi="Times New Roman" w:cs="Times New Roman"/>
              </w:rPr>
              <w:lastRenderedPageBreak/>
              <w:t xml:space="preserve">10–12 weeks.  </w:t>
            </w:r>
            <w:r w:rsidRPr="00CB2EC4">
              <w:rPr>
                <w:rFonts w:ascii="Times New Roman" w:hAnsi="Times New Roman" w:cs="Times New Roman"/>
              </w:rPr>
              <w:br/>
              <w:t>- basis: special population management section of the knowledge base document (patients aged 21–24 may be managed conservatively with observation).</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2C8657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8E1AD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4D95D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B188052" w14:textId="77777777">
        <w:tc>
          <w:tcPr>
            <w:tcW w:w="2160" w:type="dxa"/>
            <w:vAlign w:val="center"/>
          </w:tcPr>
          <w:p w14:paraId="1A94809C"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E16A1DC"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LSIL (biopsy) and cytology findings of ASC-H or higher:</w:t>
            </w:r>
            <w:r w:rsidRPr="00CB2EC4">
              <w:rPr>
                <w:rFonts w:ascii="Times New Roman" w:hAnsi="Times New Roman" w:cs="Times New Roman"/>
              </w:rPr>
              <w:br/>
            </w:r>
            <w:r w:rsidRPr="00CB2EC4">
              <w:rPr>
                <w:rFonts w:ascii="Times New Roman" w:hAnsi="Times New Roman" w:cs="Times New Roman"/>
              </w:rPr>
              <w:br/>
              <w:t>- perform colposcopy (as stated in document fragment 1: "for the special population with cytology ≥ ASC-H: patients aged 21~24 should undergo colposcopy only")</w:t>
            </w:r>
            <w:r w:rsidRPr="00CB2EC4">
              <w:rPr>
                <w:rFonts w:ascii="Times New Roman" w:hAnsi="Times New Roman" w:cs="Times New Roman"/>
              </w:rPr>
              <w:br/>
              <w:t>- if colposcopy shows TZ3 type, perform diagnostic cervical excision; if TZ1/2 type, observation with repeat examination every 10–12 weeks is recommended</w:t>
            </w:r>
            <w:r w:rsidRPr="00CB2EC4">
              <w:rPr>
                <w:rFonts w:ascii="Times New Roman" w:hAnsi="Times New Roman" w:cs="Times New Roman"/>
              </w:rPr>
              <w:br/>
            </w:r>
            <w:r w:rsidRPr="00CB2EC4">
              <w:rPr>
                <w:rFonts w:ascii="Times New Roman" w:hAnsi="Times New Roman" w:cs="Times New Roman"/>
              </w:rPr>
              <w:br/>
              <w:t>thus, for patients aged 21–24, colposcopy is the first step, followed by management based on TZ type.</w:t>
            </w:r>
          </w:p>
        </w:tc>
        <w:tc>
          <w:tcPr>
            <w:tcW w:w="1152" w:type="dxa"/>
            <w:vAlign w:val="center"/>
          </w:tcPr>
          <w:p w14:paraId="554C4F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B9E9E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F3B25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3DF80B3" w14:textId="77777777">
        <w:tc>
          <w:tcPr>
            <w:tcW w:w="2160" w:type="dxa"/>
            <w:vAlign w:val="center"/>
          </w:tcPr>
          <w:p w14:paraId="55FFB7EF"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E40261D"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LSIL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first perform colposcopy (as per document 1: "patients aged 21~24 should undergo colposcopy only")</w:t>
            </w:r>
            <w:r w:rsidRPr="00CB2EC4">
              <w:rPr>
                <w:rFonts w:ascii="Times New Roman" w:hAnsi="Times New Roman" w:cs="Times New Roman"/>
              </w:rPr>
              <w:br/>
            </w:r>
            <w:r w:rsidRPr="00CB2EC4">
              <w:rPr>
                <w:rFonts w:ascii="Times New Roman" w:hAnsi="Times New Roman" w:cs="Times New Roman"/>
              </w:rPr>
              <w:br/>
              <w:t>→ based on the colposcopic TZ type:</w:t>
            </w:r>
            <w:r w:rsidRPr="00CB2EC4">
              <w:rPr>
                <w:rFonts w:ascii="Times New Roman" w:hAnsi="Times New Roman" w:cs="Times New Roman"/>
              </w:rPr>
              <w:br/>
              <w:t xml:space="preserve">  - if TZ3 is found on colposcopy, perform diagnostic cervical conization (document 1: "if colposcopy </w:t>
            </w:r>
            <w:r w:rsidRPr="00CB2EC4">
              <w:rPr>
                <w:rFonts w:ascii="Times New Roman" w:hAnsi="Times New Roman" w:cs="Times New Roman"/>
              </w:rPr>
              <w:lastRenderedPageBreak/>
              <w:t>shows TZ3 type, diagnostic cervical conization should be performed")</w:t>
            </w:r>
            <w:r w:rsidRPr="00CB2EC4">
              <w:rPr>
                <w:rFonts w:ascii="Times New Roman" w:hAnsi="Times New Roman" w:cs="Times New Roman"/>
              </w:rPr>
              <w:br/>
              <w:t xml:space="preserve">  - if TZ1 or TZ2 is found on colposcopy, conduct follow-up every 6~12 weeks (close monitoring to exclude invasive cancer); if two consecutive follow-ups are negative, transition to routine screening (document 1: "if colposcopy shows TZ1 or TZ2 type, the patient should be followed up every 6~12 weeks (close monitoring, exclude invasive cancer). If two consecutive follow-ups are negative, transition to routine screening")</w:t>
            </w:r>
            <w:r w:rsidRPr="00CB2EC4">
              <w:rPr>
                <w:rFonts w:ascii="Times New Roman" w:hAnsi="Times New Roman" w:cs="Times New Roman"/>
              </w:rPr>
              <w:br/>
            </w:r>
            <w:r w:rsidRPr="00CB2EC4">
              <w:rPr>
                <w:rFonts w:ascii="Times New Roman" w:hAnsi="Times New Roman" w:cs="Times New Roman"/>
              </w:rPr>
              <w:br/>
              <w:t>summary: perform colposcopy first; then based on TZ type: if TZ3, perform diagnostic cervical conization; if TZ1/TZ2, follow up every 6~12 weeks (close monitoring), and transition to routine screening after two consecutive negative results.</w:t>
            </w:r>
          </w:p>
        </w:tc>
        <w:tc>
          <w:tcPr>
            <w:tcW w:w="1152" w:type="dxa"/>
            <w:vAlign w:val="center"/>
          </w:tcPr>
          <w:p w14:paraId="0E02FB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37D1C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1C2A9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6D7319A" w14:textId="77777777">
        <w:tc>
          <w:tcPr>
            <w:tcW w:w="2160" w:type="dxa"/>
            <w:vAlign w:val="center"/>
          </w:tcPr>
          <w:p w14:paraId="60593CD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A7F56C6"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LSIL (biopsy) and cytological findings of ASC-H or higher, the follow-up steps are:</w:t>
            </w:r>
            <w:r w:rsidRPr="00CB2EC4">
              <w:rPr>
                <w:rFonts w:ascii="Times New Roman" w:hAnsi="Times New Roman" w:cs="Times New Roman"/>
              </w:rPr>
              <w:br/>
            </w:r>
            <w:r w:rsidRPr="00CB2EC4">
              <w:rPr>
                <w:rFonts w:ascii="Times New Roman" w:hAnsi="Times New Roman" w:cs="Times New Roman"/>
              </w:rPr>
              <w:br/>
              <w:t>- perform colposcopy first.</w:t>
            </w:r>
            <w:r w:rsidRPr="00CB2EC4">
              <w:rPr>
                <w:rFonts w:ascii="Times New Roman" w:hAnsi="Times New Roman" w:cs="Times New Roman"/>
              </w:rPr>
              <w:br/>
              <w:t>- based on colposcopy results:</w:t>
            </w:r>
            <w:r w:rsidRPr="00CB2EC4">
              <w:rPr>
                <w:rFonts w:ascii="Times New Roman" w:hAnsi="Times New Roman" w:cs="Times New Roman"/>
              </w:rPr>
              <w:br/>
              <w:t xml:space="preserve">  - if the colposcopy result is TZ3 type, the patient should undergo diagnostic cervical conization.</w:t>
            </w:r>
            <w:r w:rsidRPr="00CB2EC4">
              <w:rPr>
                <w:rFonts w:ascii="Times New Roman" w:hAnsi="Times New Roman" w:cs="Times New Roman"/>
              </w:rPr>
              <w:br/>
              <w:t xml:space="preserve">  - if the colposcopy result is TZ1/2 type, the patient should be observed (follow-up).</w:t>
            </w:r>
            <w:r w:rsidRPr="00CB2EC4">
              <w:rPr>
                <w:rFonts w:ascii="Times New Roman" w:hAnsi="Times New Roman" w:cs="Times New Roman"/>
              </w:rPr>
              <w:br/>
            </w:r>
            <w:r w:rsidRPr="00CB2EC4">
              <w:rPr>
                <w:rFonts w:ascii="Times New Roman" w:hAnsi="Times New Roman" w:cs="Times New Roman"/>
              </w:rPr>
              <w:br/>
              <w:t xml:space="preserve">- basis: the document explicitly states: "for special populations with cytology ≥ ASC-H: § patients aged 21~24 should undergo colposcopy only. If the colposcopy result is TZ3 type, diagnostic cervical conization should be performed. If the colposcopy result is TZ1/2 type, observation should be carried </w:t>
            </w:r>
            <w:r w:rsidRPr="00CB2EC4">
              <w:rPr>
                <w:rFonts w:ascii="Times New Roman" w:hAnsi="Times New Roman" w:cs="Times New Roman"/>
              </w:rPr>
              <w:lastRenderedPageBreak/>
              <w:t>out."</w:t>
            </w:r>
          </w:p>
        </w:tc>
        <w:tc>
          <w:tcPr>
            <w:tcW w:w="1152" w:type="dxa"/>
            <w:vAlign w:val="center"/>
          </w:tcPr>
          <w:p w14:paraId="6230C7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7147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C273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9AD203" w14:textId="77777777">
        <w:tc>
          <w:tcPr>
            <w:tcW w:w="2160" w:type="dxa"/>
            <w:vAlign w:val="center"/>
          </w:tcPr>
          <w:p w14:paraId="2896AAD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7243E3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  According to document fragment 4 (similarity: 0.500), for patients aged 21–24 (a special population group), when histologically confirmed as LSIL and cytology is ASC-H or higher, colposcopy should be performed directly.  </w:t>
            </w:r>
            <w:r w:rsidRPr="00CB2EC4">
              <w:rPr>
                <w:rFonts w:ascii="Times New Roman" w:hAnsi="Times New Roman" w:cs="Times New Roman"/>
              </w:rPr>
              <w:br/>
              <w:t xml:space="preserve">  Source: Document fragment 4 (“For special populations with cytology ≥ ASC-H: § Patients aged 21–24 should undergo colposcopy only.”).</w:t>
            </w:r>
          </w:p>
        </w:tc>
        <w:tc>
          <w:tcPr>
            <w:tcW w:w="1152" w:type="dxa"/>
            <w:vAlign w:val="center"/>
          </w:tcPr>
          <w:p w14:paraId="04747E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382E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567A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4287BB" w14:textId="77777777">
        <w:tc>
          <w:tcPr>
            <w:tcW w:w="2160" w:type="dxa"/>
            <w:vAlign w:val="center"/>
          </w:tcPr>
          <w:p w14:paraId="6877B50C"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3698625"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LSIL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the patient should first undergo colposcopy.</w:t>
            </w:r>
            <w:r w:rsidRPr="00CB2EC4">
              <w:rPr>
                <w:rFonts w:ascii="Times New Roman" w:hAnsi="Times New Roman" w:cs="Times New Roman"/>
              </w:rPr>
              <w:br/>
              <w:t>- then, based on the transformation zone (TZ) type observed during colposcopy:</w:t>
            </w:r>
            <w:r w:rsidRPr="00CB2EC4">
              <w:rPr>
                <w:rFonts w:ascii="Times New Roman" w:hAnsi="Times New Roman" w:cs="Times New Roman"/>
              </w:rPr>
              <w:br/>
              <w:t xml:space="preserve">  - if TZ type is TZ1 or TZ2: the patient may be managed with observation and follow-up with cytology and colposcopy every 10–12 weeks (as described in the second document segment).</w:t>
            </w:r>
            <w:r w:rsidRPr="00CB2EC4">
              <w:rPr>
                <w:rFonts w:ascii="Times New Roman" w:hAnsi="Times New Roman" w:cs="Times New Roman"/>
              </w:rPr>
              <w:br/>
              <w:t xml:space="preserve">  - if TZ type is TZ3: the patient should proceed directly to diagnostic/therapeutic cervical excision (supported by both the first and second document segments).</w:t>
            </w:r>
            <w:r w:rsidRPr="00CB2EC4">
              <w:rPr>
                <w:rFonts w:ascii="Times New Roman" w:hAnsi="Times New Roman" w:cs="Times New Roman"/>
              </w:rPr>
              <w:br/>
            </w:r>
            <w:r w:rsidRPr="00CB2EC4">
              <w:rPr>
                <w:rFonts w:ascii="Times New Roman" w:hAnsi="Times New Roman" w:cs="Times New Roman"/>
              </w:rPr>
              <w:br/>
              <w:t>therefore, the follow-up steps are: perform colposcopy first, then choose observation (for TZ1/TZ2) or cervical excision (for TZ3) based on the TZ type.</w:t>
            </w:r>
          </w:p>
        </w:tc>
        <w:tc>
          <w:tcPr>
            <w:tcW w:w="1152" w:type="dxa"/>
            <w:vAlign w:val="center"/>
          </w:tcPr>
          <w:p w14:paraId="124C0B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6D0F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027B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F29F4B" w14:textId="77777777">
        <w:tc>
          <w:tcPr>
            <w:tcW w:w="2160" w:type="dxa"/>
            <w:vAlign w:val="center"/>
          </w:tcPr>
          <w:p w14:paraId="625DE394"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6F08C0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For patients aged 21 to 24 with histologically confirmed LSIL (by biopsy) and cytology findings of </w:t>
            </w:r>
            <w:r w:rsidRPr="00CB2EC4">
              <w:rPr>
                <w:rFonts w:ascii="Times New Roman" w:hAnsi="Times New Roman" w:cs="Times New Roman"/>
              </w:rPr>
              <w:lastRenderedPageBreak/>
              <w:t xml:space="preserve">ASC-H or higher, the following follow-up steps should be taken:  </w:t>
            </w:r>
            <w:r w:rsidRPr="00CB2EC4">
              <w:rPr>
                <w:rFonts w:ascii="Times New Roman" w:hAnsi="Times New Roman" w:cs="Times New Roman"/>
              </w:rPr>
              <w:br/>
              <w:t xml:space="preserve">- Perform colposcopy first.  </w:t>
            </w:r>
            <w:r w:rsidRPr="00CB2EC4">
              <w:rPr>
                <w:rFonts w:ascii="Times New Roman" w:hAnsi="Times New Roman" w:cs="Times New Roman"/>
              </w:rPr>
              <w:br/>
              <w:t xml:space="preserve">- If colposcopy shows TZ3 type (transformation zone not visible), proceed with diagnostic cervical excision.  </w:t>
            </w:r>
            <w:r w:rsidRPr="00CB2EC4">
              <w:rPr>
                <w:rFonts w:ascii="Times New Roman" w:hAnsi="Times New Roman" w:cs="Times New Roman"/>
              </w:rPr>
              <w:br/>
              <w:t xml:space="preserve">- If colposcopy shows TZ1 or TZ2 type (transformation zone partially or fully visible), repeat cytology and colposcopy every 6–12 weeks; if two consecutive follow-ups are negative (no abnormal findings), return to routine screening.  </w:t>
            </w:r>
            <w:r w:rsidRPr="00CB2EC4">
              <w:rPr>
                <w:rFonts w:ascii="Times New Roman" w:hAnsi="Times New Roman" w:cs="Times New Roman"/>
              </w:rPr>
              <w:br/>
            </w:r>
            <w:r w:rsidRPr="00CB2EC4">
              <w:rPr>
                <w:rFonts w:ascii="Times New Roman" w:hAnsi="Times New Roman" w:cs="Times New Roman"/>
              </w:rPr>
              <w:br/>
              <w:t>Basis: Document fragment 1 explicitly states: “For patients aged 21~24... if cytology ≥ ASC-H... only colposcopy should be performed. If colposcopy result is TZ3 type... diagnostic cervical excision should be performed; if colposcopy result is TZ1 or TZ2 type... follow-up with cytology and colposcopy every 6~12 weeks... if two consecutive follow-ups are negative, return to routine screening.”</w:t>
            </w:r>
          </w:p>
        </w:tc>
        <w:tc>
          <w:tcPr>
            <w:tcW w:w="1152" w:type="dxa"/>
            <w:vAlign w:val="center"/>
          </w:tcPr>
          <w:p w14:paraId="15385A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E016E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E5E0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695541" w14:textId="77777777">
        <w:tc>
          <w:tcPr>
            <w:tcW w:w="2160" w:type="dxa"/>
            <w:vAlign w:val="center"/>
          </w:tcPr>
          <w:p w14:paraId="2ED5C6C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A36B107"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LSIL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First, perform colposcopy to assess the transformation zone (TZ) type.</w:t>
            </w:r>
            <w:r w:rsidRPr="00CB2EC4">
              <w:rPr>
                <w:rFonts w:ascii="Times New Roman" w:hAnsi="Times New Roman" w:cs="Times New Roman"/>
              </w:rPr>
              <w:br/>
              <w:t>- If colposcopy shows TZ3 (transformation zone not visible), proceed directly to diagnostic/therapeutic cervical excision.</w:t>
            </w:r>
            <w:r w:rsidRPr="00CB2EC4">
              <w:rPr>
                <w:rFonts w:ascii="Times New Roman" w:hAnsi="Times New Roman" w:cs="Times New Roman"/>
              </w:rPr>
              <w:br/>
              <w:t>- If colposcopy shows TZ1/TZ2 (transformation zone partially or fully visible), observation with follow-up is appropriate, with cytology and colposcopy repeated every 10–12 weeks to closely monitor lesion progression.</w:t>
            </w:r>
            <w:r w:rsidRPr="00CB2EC4">
              <w:rPr>
                <w:rFonts w:ascii="Times New Roman" w:hAnsi="Times New Roman" w:cs="Times New Roman"/>
              </w:rPr>
              <w:br/>
            </w:r>
            <w:r w:rsidRPr="00CB2EC4">
              <w:rPr>
                <w:rFonts w:ascii="Times New Roman" w:hAnsi="Times New Roman" w:cs="Times New Roman"/>
              </w:rPr>
              <w:lastRenderedPageBreak/>
              <w:br/>
              <w:t>Source: "For special populations with cytology ≥ ASC-H: § Patients aged 21–24 should undergo colposcopy only. If colposcopy shows TZ3 type, diagnostic cervical conization should be performed. If colposcopy shows..." (similarity 0.502) and "a. If the patient is aged 21–24 and has cervical transformation zone type TZ1/TZ2, observation (with repeat every 10–12 weeks) is indicated... b. If the patient is aged 21–24 and has cervical transformation zone type TZ3, diagnostic/therapeutic cervical excision should be performed directly..." (similarity 0.474).</w:t>
            </w:r>
          </w:p>
        </w:tc>
        <w:tc>
          <w:tcPr>
            <w:tcW w:w="1152" w:type="dxa"/>
            <w:vAlign w:val="center"/>
          </w:tcPr>
          <w:p w14:paraId="7F324E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7F4D9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75127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C108086" w14:textId="77777777">
        <w:tc>
          <w:tcPr>
            <w:tcW w:w="2160" w:type="dxa"/>
            <w:vAlign w:val="center"/>
          </w:tcPr>
          <w:p w14:paraId="26F86054"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1943575"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LSIL and cytological findings of ASC-H or higher, the follow-up steps are:</w:t>
            </w:r>
            <w:r w:rsidRPr="00CB2EC4">
              <w:rPr>
                <w:rFonts w:ascii="Times New Roman" w:hAnsi="Times New Roman" w:cs="Times New Roman"/>
              </w:rPr>
              <w:br/>
            </w:r>
            <w:r w:rsidRPr="00CB2EC4">
              <w:rPr>
                <w:rFonts w:ascii="Times New Roman" w:hAnsi="Times New Roman" w:cs="Times New Roman"/>
              </w:rPr>
              <w:br/>
              <w:t>- perform cytological and colposcopic re-evaluation every 10–12 weeks (close monitoring to exclude invasive cancer);</w:t>
            </w:r>
            <w:r w:rsidRPr="00CB2EC4">
              <w:rPr>
                <w:rFonts w:ascii="Times New Roman" w:hAnsi="Times New Roman" w:cs="Times New Roman"/>
              </w:rPr>
              <w:br/>
              <w:t>- if two consecutive follow-up tests are negative, transition to routine screening;</w:t>
            </w:r>
            <w:r w:rsidRPr="00CB2EC4">
              <w:rPr>
                <w:rFonts w:ascii="Times New Roman" w:hAnsi="Times New Roman" w:cs="Times New Roman"/>
              </w:rPr>
              <w:br/>
              <w:t>- if follow-up shows persistent or progressive abnormalities (e.g., lesion progression or detection of invasive cancer), refer for diagnostic/therapeutic cervical excision.</w:t>
            </w:r>
            <w:r w:rsidRPr="00CB2EC4">
              <w:rPr>
                <w:rFonts w:ascii="Times New Roman" w:hAnsi="Times New Roman" w:cs="Times New Roman"/>
              </w:rPr>
              <w:br/>
            </w:r>
            <w:r w:rsidRPr="00CB2EC4">
              <w:rPr>
                <w:rFonts w:ascii="Times New Roman" w:hAnsi="Times New Roman" w:cs="Times New Roman"/>
              </w:rPr>
              <w:br/>
              <w:t>basis: document fragment 1 (relevance 0.9868) states "patients aged 21~24 should undergo colposcopy only"; document fragment 4 (relevance 0.9749) and document fragment 10 (relevance 0.9183) further specify that for 21–24-year-olds, an observational pathway may be chosen with cytology and colposcopy repeated every 10–12 weeks.</w:t>
            </w:r>
          </w:p>
        </w:tc>
        <w:tc>
          <w:tcPr>
            <w:tcW w:w="1152" w:type="dxa"/>
            <w:vAlign w:val="center"/>
          </w:tcPr>
          <w:p w14:paraId="4DD393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8C154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BD66C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4C4D008" w14:textId="77777777">
        <w:tc>
          <w:tcPr>
            <w:tcW w:w="2160" w:type="dxa"/>
            <w:vAlign w:val="center"/>
          </w:tcPr>
          <w:p w14:paraId="101F59D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1DC659AF"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LSIL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First, perform colposcopy only.</w:t>
            </w:r>
            <w:r w:rsidRPr="00CB2EC4">
              <w:rPr>
                <w:rFonts w:ascii="Times New Roman" w:hAnsi="Times New Roman" w:cs="Times New Roman"/>
              </w:rPr>
              <w:br/>
              <w:t>- Based on colposcopy results:</w:t>
            </w:r>
            <w:r w:rsidRPr="00CB2EC4">
              <w:rPr>
                <w:rFonts w:ascii="Times New Roman" w:hAnsi="Times New Roman" w:cs="Times New Roman"/>
              </w:rPr>
              <w:br/>
              <w:t xml:space="preserve">  - If the result is TZ3 type, perform diagnostic cervical excision.</w:t>
            </w:r>
            <w:r w:rsidRPr="00CB2EC4">
              <w:rPr>
                <w:rFonts w:ascii="Times New Roman" w:hAnsi="Times New Roman" w:cs="Times New Roman"/>
              </w:rPr>
              <w:br/>
              <w:t xml:space="preserve">  - If the result is TZ1 or TZ2 type, repeat examination every 6–12 weeks (close monitoring to rule out invasive cancer); if two consecutive repeat tests are negative, return to routine screening.</w:t>
            </w:r>
            <w:r w:rsidRPr="00CB2EC4">
              <w:rPr>
                <w:rFonts w:ascii="Times New Roman" w:hAnsi="Times New Roman" w:cs="Times New Roman"/>
              </w:rPr>
              <w:br/>
              <w:t xml:space="preserve">    This process is directly derived from the context describing the management of the special population aged 21–24.</w:t>
            </w:r>
          </w:p>
        </w:tc>
        <w:tc>
          <w:tcPr>
            <w:tcW w:w="1152" w:type="dxa"/>
            <w:vAlign w:val="center"/>
          </w:tcPr>
          <w:p w14:paraId="5D6B5A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7AD4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2CDA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922A41" w14:textId="77777777">
        <w:tc>
          <w:tcPr>
            <w:tcW w:w="2160" w:type="dxa"/>
            <w:vAlign w:val="center"/>
          </w:tcPr>
          <w:p w14:paraId="7D6D9879"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07F446D"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LSIL and cytological findings of ASC-H or higher, the recommended follow-up step is to prioritize colposcopy. However, given the low risk of cervical cancer in this age group, management should be more conservative: if colposcopy is satisfactory and shows no evidence of high-grade lesions (e.g., results are TZ1 or TZ2 type), observation with follow-up (such as repeat cytology combined with HPV testing at 6 months) may be adopted to avoid immediate diagnostic excision and reduce the risk of overtreatment. If colposcopy is unsatisfactory or suggests high-grade lesions (e.g., results are TZ1 or TZ2 type), diagnostic excision should be considered.</w:t>
            </w:r>
          </w:p>
        </w:tc>
        <w:tc>
          <w:tcPr>
            <w:tcW w:w="1152" w:type="dxa"/>
            <w:vAlign w:val="center"/>
          </w:tcPr>
          <w:p w14:paraId="5D710E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3887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BB75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59739B" w14:textId="77777777">
        <w:tc>
          <w:tcPr>
            <w:tcW w:w="10656" w:type="dxa"/>
            <w:gridSpan w:val="5"/>
            <w:tcBorders>
              <w:bottom w:val="single" w:sz="6" w:space="0" w:color="auto"/>
            </w:tcBorders>
            <w:vAlign w:val="center"/>
          </w:tcPr>
          <w:p w14:paraId="406BE5B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23: In cervical cancer screening, if a patient aged 21 to 24 years has a histopathological confirmation (biopsy) of LSIL cytology findings of ASC-H or higher and a TZ3 classification for colposcopy, what follow-up steps should be conducted?</w:t>
            </w:r>
          </w:p>
        </w:tc>
      </w:tr>
      <w:tr w:rsidR="00922249" w:rsidRPr="00CB2EC4" w14:paraId="4EEE974F" w14:textId="77777777">
        <w:tc>
          <w:tcPr>
            <w:tcW w:w="2160" w:type="dxa"/>
            <w:vAlign w:val="center"/>
          </w:tcPr>
          <w:p w14:paraId="30B4C30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Enrichment</w:t>
            </w:r>
          </w:p>
        </w:tc>
        <w:tc>
          <w:tcPr>
            <w:tcW w:w="5040" w:type="dxa"/>
            <w:vAlign w:val="center"/>
          </w:tcPr>
          <w:p w14:paraId="21AA7C1F"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years with histologically confirmed LSIL (biopsy), cytological findings of ASC-H or higher, and a colposcopic classification of TZ3, the follow-up step according to the flowchart in Figure 4 is:</w:t>
            </w:r>
            <w:r w:rsidRPr="00CB2EC4">
              <w:rPr>
                <w:rFonts w:ascii="Times New Roman" w:hAnsi="Times New Roman" w:cs="Times New Roman"/>
              </w:rPr>
              <w:br/>
            </w:r>
            <w:r w:rsidRPr="00CB2EC4">
              <w:rPr>
                <w:rFonts w:ascii="Times New Roman" w:hAnsi="Times New Roman" w:cs="Times New Roman"/>
              </w:rPr>
              <w:br/>
              <w:t>→ Perform diagnostic cervical conization directly.</w:t>
            </w:r>
            <w:r w:rsidRPr="00CB2EC4">
              <w:rPr>
                <w:rFonts w:ascii="Times New Roman" w:hAnsi="Times New Roman" w:cs="Times New Roman"/>
              </w:rPr>
              <w:br/>
            </w:r>
            <w:r w:rsidRPr="00CB2EC4">
              <w:rPr>
                <w:rFonts w:ascii="Times New Roman" w:hAnsi="Times New Roman" w:cs="Times New Roman"/>
              </w:rPr>
              <w:br/>
              <w:t>This step is based on the explicit statement in the document: "If the colposcopic examination result is TZ3 type, diagnostic cervical conization should be performed." No additional follow-up or repeat examination is required; proceed directly to surgical intervention to rule out high-grade lesions or invasive cancer.</w:t>
            </w:r>
          </w:p>
        </w:tc>
        <w:tc>
          <w:tcPr>
            <w:tcW w:w="1152" w:type="dxa"/>
            <w:vAlign w:val="center"/>
          </w:tcPr>
          <w:p w14:paraId="24687A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4052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989D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EB29C2" w14:textId="77777777">
        <w:tc>
          <w:tcPr>
            <w:tcW w:w="2160" w:type="dxa"/>
            <w:vAlign w:val="center"/>
          </w:tcPr>
          <w:p w14:paraId="322F9D39"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7AF6048"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years with histologically confirmed (biopsy) LSIL, cytology findings of ASC-H or higher, and a colposcopic classification of TZ3, the follow-up step is:</w:t>
            </w:r>
            <w:r w:rsidRPr="00CB2EC4">
              <w:rPr>
                <w:rFonts w:ascii="Times New Roman" w:hAnsi="Times New Roman" w:cs="Times New Roman"/>
              </w:rPr>
              <w:br/>
            </w:r>
            <w:r w:rsidRPr="00CB2EC4">
              <w:rPr>
                <w:rFonts w:ascii="Times New Roman" w:hAnsi="Times New Roman" w:cs="Times New Roman"/>
              </w:rPr>
              <w:br/>
              <w:t>- Perform a diagnostic cervical conization.</w:t>
            </w:r>
            <w:r w:rsidRPr="00CB2EC4">
              <w:rPr>
                <w:rFonts w:ascii="Times New Roman" w:hAnsi="Times New Roman" w:cs="Times New Roman"/>
              </w:rPr>
              <w:br/>
              <w:t>- Postoperative management based on pathology results (e.g., if margins are negative, repeat cytology, colposcopy, and endocervical curettage (ECC) in 4–6 months).</w:t>
            </w:r>
            <w:r w:rsidRPr="00CB2EC4">
              <w:rPr>
                <w:rFonts w:ascii="Times New Roman" w:hAnsi="Times New Roman" w:cs="Times New Roman"/>
              </w:rPr>
              <w:br/>
            </w:r>
            <w:r w:rsidRPr="00CB2EC4">
              <w:rPr>
                <w:rFonts w:ascii="Times New Roman" w:hAnsi="Times New Roman" w:cs="Times New Roman"/>
              </w:rPr>
              <w:br/>
              <w:t>(Reference: Document Fragment 1)</w:t>
            </w:r>
          </w:p>
        </w:tc>
        <w:tc>
          <w:tcPr>
            <w:tcW w:w="1152" w:type="dxa"/>
            <w:vAlign w:val="center"/>
          </w:tcPr>
          <w:p w14:paraId="4E0D9C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B36B5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D04B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AD963C" w14:textId="77777777">
        <w:tc>
          <w:tcPr>
            <w:tcW w:w="2160" w:type="dxa"/>
            <w:vAlign w:val="center"/>
          </w:tcPr>
          <w:p w14:paraId="21ADCD1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3A2E95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aged 21 to 24 years with histologically confirmed LSIL (biopsy), cytological findings of ASC-H or higher, and colposcopic classification of TZ3 (transformation zone not visible), the recommended follow-up step is to proceed directly to diagnostic/therapeutic cervical excision.  </w:t>
            </w:r>
            <w:r w:rsidRPr="00CB2EC4">
              <w:rPr>
                <w:rFonts w:ascii="Times New Roman" w:hAnsi="Times New Roman" w:cs="Times New Roman"/>
              </w:rPr>
              <w:br/>
            </w:r>
            <w:r w:rsidRPr="00CB2EC4">
              <w:rPr>
                <w:rFonts w:ascii="Times New Roman" w:hAnsi="Times New Roman" w:cs="Times New Roman"/>
              </w:rPr>
              <w:lastRenderedPageBreak/>
              <w:t>(source: document fragment 1 [compressed, relevance: 1.000] and document fragment 3 [compressed, relevance: 0.800])</w:t>
            </w:r>
          </w:p>
        </w:tc>
        <w:tc>
          <w:tcPr>
            <w:tcW w:w="1152" w:type="dxa"/>
            <w:vAlign w:val="center"/>
          </w:tcPr>
          <w:p w14:paraId="3BDE88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2B0E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E4AC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52EA72E" w14:textId="77777777">
        <w:tc>
          <w:tcPr>
            <w:tcW w:w="2160" w:type="dxa"/>
            <w:vAlign w:val="center"/>
          </w:tcPr>
          <w:p w14:paraId="0E694082"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6DC845B" w14:textId="77777777" w:rsidR="00922249" w:rsidRPr="00CB2EC4" w:rsidRDefault="003011D5">
            <w:pPr>
              <w:rPr>
                <w:rFonts w:ascii="Times New Roman" w:hAnsi="Times New Roman" w:cs="Times New Roman"/>
              </w:rPr>
            </w:pPr>
            <w:r w:rsidRPr="00CB2EC4">
              <w:rPr>
                <w:rFonts w:ascii="Times New Roman" w:hAnsi="Times New Roman" w:cs="Times New Roman"/>
              </w:rPr>
              <w:t>TZ3 type (transformation zone not visible)</w:t>
            </w:r>
            <w:r w:rsidRPr="00CB2EC4">
              <w:rPr>
                <w:rFonts w:ascii="Times New Roman" w:hAnsi="Times New Roman" w:cs="Times New Roman"/>
              </w:rPr>
              <w:br/>
            </w:r>
            <w:r w:rsidRPr="00CB2EC4">
              <w:rPr>
                <w:rFonts w:ascii="Times New Roman" w:hAnsi="Times New Roman" w:cs="Times New Roman"/>
              </w:rPr>
              <w:br/>
              <w:t>Management process: Proceed directly to diagnostic/therapeutic cervical conization (ablation therapy is not an option).</w:t>
            </w:r>
            <w:r w:rsidRPr="00CB2EC4">
              <w:rPr>
                <w:rFonts w:ascii="Times New Roman" w:hAnsi="Times New Roman" w:cs="Times New Roman"/>
              </w:rPr>
              <w:br/>
              <w:t>- Basis: Knowledge base document explicitly states that TZ3 type requires surgical intervention (special population management section).</w:t>
            </w:r>
          </w:p>
        </w:tc>
        <w:tc>
          <w:tcPr>
            <w:tcW w:w="1152" w:type="dxa"/>
            <w:vAlign w:val="center"/>
          </w:tcPr>
          <w:p w14:paraId="04CE7B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6BE6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7D6F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73EBEC" w14:textId="77777777">
        <w:tc>
          <w:tcPr>
            <w:tcW w:w="2160" w:type="dxa"/>
            <w:vAlign w:val="center"/>
          </w:tcPr>
          <w:p w14:paraId="79D08545"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F95A80B"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LSIL, cytological findings of ASC-H or higher, and a colposcopic classification of TZ3, the following follow-up step should be performed:</w:t>
            </w:r>
            <w:r w:rsidRPr="00CB2EC4">
              <w:rPr>
                <w:rFonts w:ascii="Times New Roman" w:hAnsi="Times New Roman" w:cs="Times New Roman"/>
              </w:rPr>
              <w:br/>
            </w:r>
            <w:r w:rsidRPr="00CB2EC4">
              <w:rPr>
                <w:rFonts w:ascii="Times New Roman" w:hAnsi="Times New Roman" w:cs="Times New Roman"/>
              </w:rPr>
              <w:br/>
              <w:t>according to document fragment 2, for patients aged 21–24 with a cervical transformation zone type of TZ3 (transformation zone not visible):</w:t>
            </w:r>
            <w:r w:rsidRPr="00CB2EC4">
              <w:rPr>
                <w:rFonts w:ascii="Times New Roman" w:hAnsi="Times New Roman" w:cs="Times New Roman"/>
              </w:rPr>
              <w:br/>
            </w:r>
            <w:r w:rsidRPr="00CB2EC4">
              <w:rPr>
                <w:rFonts w:ascii="Times New Roman" w:hAnsi="Times New Roman" w:cs="Times New Roman"/>
              </w:rPr>
              <w:br/>
              <w:t>- diagnostic/therapeutic cervical conization should be performed directly (document fragment 2 states: “if the patient is aged 21–24 and the cervical transformation zone type is TZ3, the patient should undergo diagnostic/therapeutic cervical conization directly”).</w:t>
            </w:r>
            <w:r w:rsidRPr="00CB2EC4">
              <w:rPr>
                <w:rFonts w:ascii="Times New Roman" w:hAnsi="Times New Roman" w:cs="Times New Roman"/>
              </w:rPr>
              <w:br/>
              <w:t xml:space="preserve">  therefore, diagnostic cervical conization should be performed in this case.</w:t>
            </w:r>
          </w:p>
        </w:tc>
        <w:tc>
          <w:tcPr>
            <w:tcW w:w="1152" w:type="dxa"/>
            <w:vAlign w:val="center"/>
          </w:tcPr>
          <w:p w14:paraId="3B5C91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385E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897C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6D2FBC" w14:textId="77777777">
        <w:tc>
          <w:tcPr>
            <w:tcW w:w="2160" w:type="dxa"/>
            <w:vAlign w:val="center"/>
          </w:tcPr>
          <w:p w14:paraId="7D2EA02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0C3468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aged 21 to 24 years with histologically confirmed (biopsy) LSIL, cytological findings of ASC-H or higher, and a colposcopic classification of TZ3, the following follow-up step should be </w:t>
            </w:r>
            <w:r w:rsidRPr="00CB2EC4">
              <w:rPr>
                <w:rFonts w:ascii="Times New Roman" w:hAnsi="Times New Roman" w:cs="Times New Roman"/>
              </w:rPr>
              <w:lastRenderedPageBreak/>
              <w:t>performed:</w:t>
            </w:r>
            <w:r w:rsidRPr="00CB2EC4">
              <w:rPr>
                <w:rFonts w:ascii="Times New Roman" w:hAnsi="Times New Roman" w:cs="Times New Roman"/>
              </w:rPr>
              <w:br/>
            </w:r>
            <w:r w:rsidRPr="00CB2EC4">
              <w:rPr>
                <w:rFonts w:ascii="Times New Roman" w:hAnsi="Times New Roman" w:cs="Times New Roman"/>
              </w:rPr>
              <w:br/>
              <w:t>→ diagnostic cervical conization</w:t>
            </w:r>
            <w:r w:rsidRPr="00CB2EC4">
              <w:rPr>
                <w:rFonts w:ascii="Times New Roman" w:hAnsi="Times New Roman" w:cs="Times New Roman"/>
              </w:rPr>
              <w:br/>
            </w:r>
            <w:r w:rsidRPr="00CB2EC4">
              <w:rPr>
                <w:rFonts w:ascii="Times New Roman" w:hAnsi="Times New Roman" w:cs="Times New Roman"/>
              </w:rPr>
              <w:br/>
              <w:t>(according to document 1: "If the colposcopic examination result is TZ3 type, diagnostic cervical conization should be performed")</w:t>
            </w:r>
          </w:p>
        </w:tc>
        <w:tc>
          <w:tcPr>
            <w:tcW w:w="1152" w:type="dxa"/>
            <w:vAlign w:val="center"/>
          </w:tcPr>
          <w:p w14:paraId="5E753F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30FDE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CAF0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A0EEA64" w14:textId="77777777">
        <w:tc>
          <w:tcPr>
            <w:tcW w:w="2160" w:type="dxa"/>
            <w:vAlign w:val="center"/>
          </w:tcPr>
          <w:p w14:paraId="1DCD3862"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4F8CF75"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LSIL (biopsy), cytological findings of ASC-H or higher, and colposcopic classification of TZ3, the follow-up step should be:</w:t>
            </w:r>
            <w:r w:rsidRPr="00CB2EC4">
              <w:rPr>
                <w:rFonts w:ascii="Times New Roman" w:hAnsi="Times New Roman" w:cs="Times New Roman"/>
              </w:rPr>
              <w:br/>
            </w:r>
            <w:r w:rsidRPr="00CB2EC4">
              <w:rPr>
                <w:rFonts w:ascii="Times New Roman" w:hAnsi="Times New Roman" w:cs="Times New Roman"/>
              </w:rPr>
              <w:br/>
              <w:t>- Perform a diagnostic cervical conization.</w:t>
            </w:r>
            <w:r w:rsidRPr="00CB2EC4">
              <w:rPr>
                <w:rFonts w:ascii="Times New Roman" w:hAnsi="Times New Roman" w:cs="Times New Roman"/>
              </w:rPr>
              <w:br/>
              <w:t>- Basis: The document explicitly states: “If the colposcopic result is TZ3 type, a diagnostic cervical conization should be performed.” This directly applies to this scenario.</w:t>
            </w:r>
          </w:p>
        </w:tc>
        <w:tc>
          <w:tcPr>
            <w:tcW w:w="1152" w:type="dxa"/>
            <w:vAlign w:val="center"/>
          </w:tcPr>
          <w:p w14:paraId="383B9C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F9B5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C1BA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3EC4272" w14:textId="77777777">
        <w:tc>
          <w:tcPr>
            <w:tcW w:w="2160" w:type="dxa"/>
            <w:vAlign w:val="center"/>
          </w:tcPr>
          <w:p w14:paraId="2942ED13"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78DB75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  According to document fragment 4 (similarity: 0.500), for patients aged 21 to 24 years, when the colposcopic examination result is TZ3 type (transformation zone not visible), a diagnostic cervical conization should be performed.  </w:t>
            </w:r>
            <w:r w:rsidRPr="00CB2EC4">
              <w:rPr>
                <w:rFonts w:ascii="Times New Roman" w:hAnsi="Times New Roman" w:cs="Times New Roman"/>
              </w:rPr>
              <w:br/>
              <w:t xml:space="preserve">  Source: Document fragment 4 ("If the colposcopy result is TZ3 type, then a diagnostic cervical conization should be performed.").</w:t>
            </w:r>
          </w:p>
        </w:tc>
        <w:tc>
          <w:tcPr>
            <w:tcW w:w="1152" w:type="dxa"/>
            <w:vAlign w:val="center"/>
          </w:tcPr>
          <w:p w14:paraId="62C02C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18648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A36F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142DEC" w14:textId="77777777">
        <w:tc>
          <w:tcPr>
            <w:tcW w:w="2160" w:type="dxa"/>
            <w:vAlign w:val="center"/>
          </w:tcPr>
          <w:p w14:paraId="49BE10D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B995FFA"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LSIL, cytological findings of ASC-H or higher, and a colposcopic transformation zone classification of TZ3:</w:t>
            </w:r>
            <w:r w:rsidRPr="00CB2EC4">
              <w:rPr>
                <w:rFonts w:ascii="Times New Roman" w:hAnsi="Times New Roman" w:cs="Times New Roman"/>
              </w:rPr>
              <w:br/>
            </w:r>
            <w:r w:rsidRPr="00CB2EC4">
              <w:rPr>
                <w:rFonts w:ascii="Times New Roman" w:hAnsi="Times New Roman" w:cs="Times New Roman"/>
              </w:rPr>
              <w:br/>
              <w:t xml:space="preserve">- the patient should proceed directly to diagnostic/therapeutic cervical conization without </w:t>
            </w:r>
            <w:r w:rsidRPr="00CB2EC4">
              <w:rPr>
                <w:rFonts w:ascii="Times New Roman" w:hAnsi="Times New Roman" w:cs="Times New Roman"/>
              </w:rPr>
              <w:lastRenderedPageBreak/>
              <w:t>additional testing.</w:t>
            </w:r>
            <w:r w:rsidRPr="00CB2EC4">
              <w:rPr>
                <w:rFonts w:ascii="Times New Roman" w:hAnsi="Times New Roman" w:cs="Times New Roman"/>
              </w:rPr>
              <w:br/>
              <w:t>- the document explicitly states (second excerpt, point b): "if the patient is aged 21–24 and has a cervical transformation zone type of TZ3, the patient should directly undergo diagnostic/therapeutic cervical conization."</w:t>
            </w:r>
            <w:r w:rsidRPr="00CB2EC4">
              <w:rPr>
                <w:rFonts w:ascii="Times New Roman" w:hAnsi="Times New Roman" w:cs="Times New Roman"/>
              </w:rPr>
              <w:br/>
              <w:t>- subsequent management follows as previously described (e.g., referral to treatment protocol if invasive cancer is found).</w:t>
            </w:r>
            <w:r w:rsidRPr="00CB2EC4">
              <w:rPr>
                <w:rFonts w:ascii="Times New Roman" w:hAnsi="Times New Roman" w:cs="Times New Roman"/>
              </w:rPr>
              <w:br/>
            </w:r>
            <w:r w:rsidRPr="00CB2EC4">
              <w:rPr>
                <w:rFonts w:ascii="Times New Roman" w:hAnsi="Times New Roman" w:cs="Times New Roman"/>
              </w:rPr>
              <w:br/>
              <w:t>therefore, the follow-up step is: proceed directly to diagnostic/therapeutic cervical conization.</w:t>
            </w:r>
          </w:p>
        </w:tc>
        <w:tc>
          <w:tcPr>
            <w:tcW w:w="1152" w:type="dxa"/>
            <w:vAlign w:val="center"/>
          </w:tcPr>
          <w:p w14:paraId="6603B9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DF59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8BAA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6C4D34" w14:textId="77777777">
        <w:tc>
          <w:tcPr>
            <w:tcW w:w="2160" w:type="dxa"/>
            <w:vAlign w:val="center"/>
          </w:tcPr>
          <w:p w14:paraId="643272A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E663CAC"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Document Fragment 1, for patients aged 21 to 24 years, if histopathology confirms LSIL, cytology findings are ASC-H or higher, and colposcopy shows TZ3 classification, diagnostic cervical excision should be performed.</w:t>
            </w:r>
          </w:p>
        </w:tc>
        <w:tc>
          <w:tcPr>
            <w:tcW w:w="1152" w:type="dxa"/>
            <w:vAlign w:val="center"/>
          </w:tcPr>
          <w:p w14:paraId="33328C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54E5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4FD8F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620FCF" w14:textId="77777777">
        <w:tc>
          <w:tcPr>
            <w:tcW w:w="2160" w:type="dxa"/>
            <w:vAlign w:val="center"/>
          </w:tcPr>
          <w:p w14:paraId="7BDAB96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10690E3"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LSIL (biopsy), cytological findings of ASC-H or higher, and a colposcopic classification of TZ3, the following follow-up step should be performed:</w:t>
            </w:r>
            <w:r w:rsidRPr="00CB2EC4">
              <w:rPr>
                <w:rFonts w:ascii="Times New Roman" w:hAnsi="Times New Roman" w:cs="Times New Roman"/>
              </w:rPr>
              <w:br/>
            </w:r>
            <w:r w:rsidRPr="00CB2EC4">
              <w:rPr>
                <w:rFonts w:ascii="Times New Roman" w:hAnsi="Times New Roman" w:cs="Times New Roman"/>
              </w:rPr>
              <w:br/>
              <w:t>- Specific step: Proceed directly to diagnostic/therapeutic cervical conization.</w:t>
            </w:r>
            <w:r w:rsidRPr="00CB2EC4">
              <w:rPr>
                <w:rFonts w:ascii="Times New Roman" w:hAnsi="Times New Roman" w:cs="Times New Roman"/>
              </w:rPr>
              <w:br/>
              <w:t>- Subsequent management: Based on pathological results, exclude invasive cancer and then transition to routine follow-up.</w:t>
            </w:r>
            <w:r w:rsidRPr="00CB2EC4">
              <w:rPr>
                <w:rFonts w:ascii="Times New Roman" w:hAnsi="Times New Roman" w:cs="Times New Roman"/>
              </w:rPr>
              <w:br/>
            </w:r>
            <w:r w:rsidRPr="00CB2EC4">
              <w:rPr>
                <w:rFonts w:ascii="Times New Roman" w:hAnsi="Times New Roman" w:cs="Times New Roman"/>
              </w:rPr>
              <w:br/>
              <w:t xml:space="preserve">Source: </w:t>
            </w:r>
            <w:r w:rsidRPr="00CB2EC4">
              <w:rPr>
                <w:rFonts w:ascii="Times New Roman" w:hAnsi="Times New Roman" w:cs="Times New Roman"/>
              </w:rPr>
              <w:br/>
              <w:t xml:space="preserve">- "b. If the patient is aged 21–24 years and the cervical transformation zone type is TZ3, the patient should undergo diagnostic/therapeutic cervical conization </w:t>
            </w:r>
            <w:r w:rsidRPr="00CB2EC4">
              <w:rPr>
                <w:rFonts w:ascii="Times New Roman" w:hAnsi="Times New Roman" w:cs="Times New Roman"/>
              </w:rPr>
              <w:lastRenderedPageBreak/>
              <w:t>directly..." (similarity 0.474)</w:t>
            </w:r>
            <w:r w:rsidRPr="00CB2EC4">
              <w:rPr>
                <w:rFonts w:ascii="Times New Roman" w:hAnsi="Times New Roman" w:cs="Times New Roman"/>
              </w:rPr>
              <w:br/>
              <w:t>- "For special populations with cytology ≥ ASC-H: § Patients aged 21~24 years... if colposcopy shows TZ3 type, diagnostic cervical conization should be performed." (similarity 0.502)</w:t>
            </w:r>
          </w:p>
        </w:tc>
        <w:tc>
          <w:tcPr>
            <w:tcW w:w="1152" w:type="dxa"/>
            <w:vAlign w:val="center"/>
          </w:tcPr>
          <w:p w14:paraId="43F115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2CFE2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422A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32D12ED" w14:textId="77777777">
        <w:tc>
          <w:tcPr>
            <w:tcW w:w="2160" w:type="dxa"/>
            <w:vAlign w:val="center"/>
          </w:tcPr>
          <w:p w14:paraId="4A052FDF"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40A564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aged 21 to 24 with histologically confirmed LSIL (biopsy), cytological findings of ASC-H or higher, and colposcopic classification of TZ3, the follow-up step is to proceed directly with diagnostic/therapeutic cervical conization:  </w:t>
            </w:r>
            <w:r w:rsidRPr="00CB2EC4">
              <w:rPr>
                <w:rFonts w:ascii="Times New Roman" w:hAnsi="Times New Roman" w:cs="Times New Roman"/>
              </w:rPr>
              <w:br/>
              <w:t xml:space="preserve">  - Postoperative management based on pathological results: if surgical margins are negative, follow up with cytology, colposcopy, and endocervical curettage (ECC) at 4–6 months; if surgical margins are positive (CINⅡ or higher), follow up at 4–6 months and manage according to findings; if suspicious for invasive cancer is identified, refer to cervical cancer treatment protocol.  </w:t>
            </w:r>
            <w:r w:rsidRPr="00CB2EC4">
              <w:rPr>
                <w:rFonts w:ascii="Times New Roman" w:hAnsi="Times New Roman" w:cs="Times New Roman"/>
              </w:rPr>
              <w:br/>
              <w:t xml:space="preserve">  - Rationale: Document Fragment 1 (relevance 0.9868) explicitly states that "if colposcopic examination shows TZ3 type, diagnostic cervical conization should be performed"; Document Fragment 10 (relevance 0.9183) also supports this, emphasizing that TZ3 patients should undergo cervical conization directly and ablation therapy is not an option.</w:t>
            </w:r>
          </w:p>
        </w:tc>
        <w:tc>
          <w:tcPr>
            <w:tcW w:w="1152" w:type="dxa"/>
            <w:vAlign w:val="center"/>
          </w:tcPr>
          <w:p w14:paraId="5B9CBA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AEC9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6EAE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C55E03" w14:textId="77777777">
        <w:tc>
          <w:tcPr>
            <w:tcW w:w="2160" w:type="dxa"/>
            <w:vAlign w:val="center"/>
          </w:tcPr>
          <w:p w14:paraId="133BE4CB"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BC4F94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aged 21 to 24 years with histologically confirmed (biopsy) LSIL, cytology findings of ASC-H or higher, and colposcopic classification of TZ3, proceed directly to diagnostic cervical conization. Subsequent management follows as previously described (e.g., post-procedure management based on pathological results, with specific post-conization steps to be referenced from other contexts such as </w:t>
            </w:r>
            <w:r w:rsidRPr="00CB2EC4">
              <w:rPr>
                <w:rFonts w:ascii="Times New Roman" w:hAnsi="Times New Roman" w:cs="Times New Roman"/>
              </w:rPr>
              <w:lastRenderedPageBreak/>
              <w:t xml:space="preserve">treatment for negative or positive margins).  </w:t>
            </w:r>
            <w:r w:rsidRPr="00CB2EC4">
              <w:rPr>
                <w:rFonts w:ascii="Times New Roman" w:hAnsi="Times New Roman" w:cs="Times New Roman"/>
              </w:rPr>
              <w:br/>
              <w:t>this information is directly derived from the contextual handling of TZ3 type in patients aged 21–24 years.</w:t>
            </w:r>
          </w:p>
        </w:tc>
        <w:tc>
          <w:tcPr>
            <w:tcW w:w="1152" w:type="dxa"/>
            <w:vAlign w:val="center"/>
          </w:tcPr>
          <w:p w14:paraId="4E9C78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D71A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E2DC4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BBE3783" w14:textId="77777777">
        <w:tc>
          <w:tcPr>
            <w:tcW w:w="2160" w:type="dxa"/>
            <w:vAlign w:val="center"/>
          </w:tcPr>
          <w:p w14:paraId="4AB4786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87BBCB2"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LSIL, cytological findings of ASC-H or higher, and a colposcopic classification of TZ3, the following follow-up steps are recommended:</w:t>
            </w:r>
            <w:r w:rsidRPr="00CB2EC4">
              <w:rPr>
                <w:rFonts w:ascii="Times New Roman" w:hAnsi="Times New Roman" w:cs="Times New Roman"/>
              </w:rPr>
              <w:br/>
            </w:r>
            <w:r w:rsidRPr="00CB2EC4">
              <w:rPr>
                <w:rFonts w:ascii="Times New Roman" w:hAnsi="Times New Roman" w:cs="Times New Roman"/>
              </w:rPr>
              <w:br/>
              <w:t>- TZ3 classification indicates an incompletely visible transformation zone (inadequate colposcopy) with a higher risk of CIN 3+. Priority should be given to performing a diagnostic excisional procedure (e.g., LEEP) to exclude occult high-grade lesions.</w:t>
            </w:r>
            <w:r w:rsidRPr="00CB2EC4">
              <w:rPr>
                <w:rFonts w:ascii="Times New Roman" w:hAnsi="Times New Roman" w:cs="Times New Roman"/>
              </w:rPr>
              <w:br/>
              <w:t>- If the patient declines surgery or has contraindications, cytology and colposcopy follow-up every 3–6 months is recommended to closely monitor lesion changes.</w:t>
            </w:r>
          </w:p>
        </w:tc>
        <w:tc>
          <w:tcPr>
            <w:tcW w:w="1152" w:type="dxa"/>
            <w:vAlign w:val="center"/>
          </w:tcPr>
          <w:p w14:paraId="0E02B1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6A49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814E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AD5C51" w14:textId="77777777">
        <w:tc>
          <w:tcPr>
            <w:tcW w:w="10656" w:type="dxa"/>
            <w:gridSpan w:val="5"/>
            <w:tcBorders>
              <w:bottom w:val="single" w:sz="6" w:space="0" w:color="auto"/>
            </w:tcBorders>
            <w:vAlign w:val="center"/>
          </w:tcPr>
          <w:p w14:paraId="0B646CC4" w14:textId="77777777" w:rsidR="00922249" w:rsidRPr="00CB2EC4" w:rsidRDefault="003011D5">
            <w:pPr>
              <w:rPr>
                <w:rFonts w:ascii="Times New Roman" w:hAnsi="Times New Roman" w:cs="Times New Roman"/>
              </w:rPr>
            </w:pPr>
            <w:r w:rsidRPr="00CB2EC4">
              <w:rPr>
                <w:rFonts w:ascii="Times New Roman" w:hAnsi="Times New Roman" w:cs="Times New Roman"/>
                <w:b/>
              </w:rPr>
              <w:t>Question 24: In cervical cancer screening, if a patient aged 21 to 24 years has a histopathological confirmation (biopsy) of LSIL cytology findings of ASC-H or higher and a TZ1/2 classification for colposcopy, what follow-up steps should be conducted?</w:t>
            </w:r>
          </w:p>
        </w:tc>
      </w:tr>
      <w:tr w:rsidR="00922249" w:rsidRPr="00CB2EC4" w14:paraId="4BD3B359" w14:textId="77777777">
        <w:tc>
          <w:tcPr>
            <w:tcW w:w="2160" w:type="dxa"/>
            <w:vAlign w:val="center"/>
          </w:tcPr>
          <w:p w14:paraId="63BB6358"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6DF1198"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LSIL (biopsy), cytological findings of ASC-H or higher, and colposcopic classification of TZ1/2:</w:t>
            </w:r>
            <w:r w:rsidRPr="00CB2EC4">
              <w:rPr>
                <w:rFonts w:ascii="Times New Roman" w:hAnsi="Times New Roman" w:cs="Times New Roman"/>
              </w:rPr>
              <w:br/>
            </w:r>
            <w:r w:rsidRPr="00CB2EC4">
              <w:rPr>
                <w:rFonts w:ascii="Times New Roman" w:hAnsi="Times New Roman" w:cs="Times New Roman"/>
              </w:rPr>
              <w:br/>
              <w:t>according to the process outlined in figure 4 of the document, for patients aged 21~24 with cytology ≥ ASC-H and colposcopic findings of TZ1 or TZ2 type (transformation zone partially or fully visible), close monitoring follow-up should be performed:</w:t>
            </w:r>
            <w:r w:rsidRPr="00CB2EC4">
              <w:rPr>
                <w:rFonts w:ascii="Times New Roman" w:hAnsi="Times New Roman" w:cs="Times New Roman"/>
              </w:rPr>
              <w:br/>
            </w:r>
            <w:r w:rsidRPr="00CB2EC4">
              <w:rPr>
                <w:rFonts w:ascii="Times New Roman" w:hAnsi="Times New Roman" w:cs="Times New Roman"/>
              </w:rPr>
              <w:br/>
              <w:t xml:space="preserve">- follow-up steps: repeat examination (including </w:t>
            </w:r>
            <w:r w:rsidRPr="00CB2EC4">
              <w:rPr>
                <w:rFonts w:ascii="Times New Roman" w:hAnsi="Times New Roman" w:cs="Times New Roman"/>
              </w:rPr>
              <w:lastRenderedPageBreak/>
              <w:t>cytology and colposcopy) every 6–12 weeks for close monitoring to exclude invasive cancer.</w:t>
            </w:r>
            <w:r w:rsidRPr="00CB2EC4">
              <w:rPr>
                <w:rFonts w:ascii="Times New Roman" w:hAnsi="Times New Roman" w:cs="Times New Roman"/>
              </w:rPr>
              <w:br/>
              <w:t>- endpoint condition: if two consecutive follow-up results are negative (no abnormal findings), transition to routine screening.</w:t>
            </w:r>
            <w:r w:rsidRPr="00CB2EC4">
              <w:rPr>
                <w:rFonts w:ascii="Times New Roman" w:hAnsi="Times New Roman" w:cs="Times New Roman"/>
              </w:rPr>
              <w:br/>
            </w:r>
            <w:r w:rsidRPr="00CB2EC4">
              <w:rPr>
                <w:rFonts w:ascii="Times New Roman" w:hAnsi="Times New Roman" w:cs="Times New Roman"/>
              </w:rPr>
              <w:br/>
              <w:t>this process is based on the document’s description: "if colposcopic examination results in TZ1 or TZ2 type, the patient should undergo repeat examination every 6–12 weeks (close monitoring, exclude invasive cancer). if two consecutive follow-ups are negative, transition to routine screening."</w:t>
            </w:r>
          </w:p>
        </w:tc>
        <w:tc>
          <w:tcPr>
            <w:tcW w:w="1152" w:type="dxa"/>
            <w:vAlign w:val="center"/>
          </w:tcPr>
          <w:p w14:paraId="56B2B9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192A9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8D25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B4FE1D" w14:textId="77777777">
        <w:tc>
          <w:tcPr>
            <w:tcW w:w="2160" w:type="dxa"/>
            <w:vAlign w:val="center"/>
          </w:tcPr>
          <w:p w14:paraId="139443B0"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9F56F0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aged 21 to 24 years with histologically confirmed (biopsy) LSIL, cytology findings of ASC-H or higher, and colposcopy classified as TZ1/TZ2, the follow-up steps are:  </w:t>
            </w:r>
            <w:r w:rsidRPr="00CB2EC4">
              <w:rPr>
                <w:rFonts w:ascii="Times New Roman" w:hAnsi="Times New Roman" w:cs="Times New Roman"/>
              </w:rPr>
              <w:br/>
              <w:t xml:space="preserve">- the patient should undergo repeat evaluation (including cytology and colposcopy) every 6 to 12 weeks for close monitoring to exclude invasive cancer.  </w:t>
            </w:r>
            <w:r w:rsidRPr="00CB2EC4">
              <w:rPr>
                <w:rFonts w:ascii="Times New Roman" w:hAnsi="Times New Roman" w:cs="Times New Roman"/>
              </w:rPr>
              <w:br/>
              <w:t xml:space="preserve">- if two consecutive repeat evaluations are negative, transition to routine screening.  </w:t>
            </w:r>
            <w:r w:rsidRPr="00CB2EC4">
              <w:rPr>
                <w:rFonts w:ascii="Times New Roman" w:hAnsi="Times New Roman" w:cs="Times New Roman"/>
              </w:rPr>
              <w:br/>
            </w:r>
            <w:r w:rsidRPr="00CB2EC4">
              <w:rPr>
                <w:rFonts w:ascii="Times New Roman" w:hAnsi="Times New Roman" w:cs="Times New Roman"/>
              </w:rPr>
              <w:br/>
              <w:t>(document fragment 1)</w:t>
            </w:r>
          </w:p>
        </w:tc>
        <w:tc>
          <w:tcPr>
            <w:tcW w:w="1152" w:type="dxa"/>
            <w:vAlign w:val="center"/>
          </w:tcPr>
          <w:p w14:paraId="17B26E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3901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F48C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9AE1CB3" w14:textId="77777777">
        <w:tc>
          <w:tcPr>
            <w:tcW w:w="2160" w:type="dxa"/>
            <w:vAlign w:val="center"/>
          </w:tcPr>
          <w:p w14:paraId="0685855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B59162C"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LSIL (biopsy), cytological findings of ASC-H or higher, and colposcopic examination showing TZ1/2 classification (partial or complete visibility of the transformation zone), the follow-up step should be observation with repeat cytology or colposcopy every 10–12 weeks.</w:t>
            </w:r>
          </w:p>
        </w:tc>
        <w:tc>
          <w:tcPr>
            <w:tcW w:w="1152" w:type="dxa"/>
            <w:vAlign w:val="center"/>
          </w:tcPr>
          <w:p w14:paraId="33B47F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85C8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6BBF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F5DD51" w14:textId="77777777">
        <w:tc>
          <w:tcPr>
            <w:tcW w:w="2160" w:type="dxa"/>
            <w:vAlign w:val="center"/>
          </w:tcPr>
          <w:p w14:paraId="778FA457"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CA088FA" w14:textId="77777777" w:rsidR="00922249" w:rsidRPr="00CB2EC4" w:rsidRDefault="003011D5">
            <w:pPr>
              <w:rPr>
                <w:rFonts w:ascii="Times New Roman" w:hAnsi="Times New Roman" w:cs="Times New Roman"/>
              </w:rPr>
            </w:pPr>
            <w:r w:rsidRPr="00CB2EC4">
              <w:rPr>
                <w:rFonts w:ascii="Times New Roman" w:hAnsi="Times New Roman" w:cs="Times New Roman"/>
              </w:rPr>
              <w:t>21-24 years old patients + TZ1/2 type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Management process:</w:t>
            </w:r>
            <w:r w:rsidRPr="00CB2EC4">
              <w:rPr>
                <w:rFonts w:ascii="Times New Roman" w:hAnsi="Times New Roman" w:cs="Times New Roman"/>
              </w:rPr>
              <w:br/>
              <w:t xml:space="preserve">  - First choice: observation and follow-up → repeat cytology and colposcopy every 10-12 weeks (knowledge base document).</w:t>
            </w:r>
            <w:r w:rsidRPr="00CB2EC4">
              <w:rPr>
                <w:rFonts w:ascii="Times New Roman" w:hAnsi="Times New Roman" w:cs="Times New Roman"/>
              </w:rPr>
              <w:br/>
              <w:t xml:space="preserve">  - If progression occurs: when the lesion persists or progresses to HSIL/invasive cancer, perform diagnostic cervical excision (knowledge base Figure 4).</w:t>
            </w:r>
            <w:r w:rsidRPr="00CB2EC4">
              <w:rPr>
                <w:rFonts w:ascii="Times New Roman" w:hAnsi="Times New Roman" w:cs="Times New Roman"/>
              </w:rPr>
              <w:br/>
              <w:t>- Rationale: TZ1/2 type lesions are easy to observe, and conservative management is feasible in young patients (supported by both knowledge base and online search).</w:t>
            </w:r>
            <w:r w:rsidRPr="00CB2EC4">
              <w:rPr>
                <w:rFonts w:ascii="Times New Roman" w:hAnsi="Times New Roman" w:cs="Times New Roman"/>
              </w:rPr>
              <w:br/>
              <w:t>- Sources:</w:t>
            </w:r>
            <w:r w:rsidRPr="00CB2EC4">
              <w:rPr>
                <w:rFonts w:ascii="Times New Roman" w:hAnsi="Times New Roman" w:cs="Times New Roman"/>
              </w:rPr>
              <w:br/>
              <w:t xml:space="preserve">  - Knowledge base document (Figure 4).</w:t>
            </w:r>
            <w:r w:rsidRPr="00CB2EC4">
              <w:rPr>
                <w:rFonts w:ascii="Times New Roman" w:hAnsi="Times New Roman" w:cs="Times New Roman"/>
              </w:rPr>
              <w:br/>
              <w:t xml:space="preserve">  - Online search (conservative management strategies for young patients).</w:t>
            </w:r>
          </w:p>
        </w:tc>
        <w:tc>
          <w:tcPr>
            <w:tcW w:w="1152" w:type="dxa"/>
            <w:vAlign w:val="center"/>
          </w:tcPr>
          <w:p w14:paraId="15B3C3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C6F29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9E5A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50A696" w14:textId="77777777">
        <w:tc>
          <w:tcPr>
            <w:tcW w:w="2160" w:type="dxa"/>
            <w:vAlign w:val="center"/>
          </w:tcPr>
          <w:p w14:paraId="4B384105"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823396D"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LSIL, cytological findings of ASC-H or higher, and a colposcopic classification of TZ1/2, the following follow-up steps should be taken:</w:t>
            </w:r>
            <w:r w:rsidRPr="00CB2EC4">
              <w:rPr>
                <w:rFonts w:ascii="Times New Roman" w:hAnsi="Times New Roman" w:cs="Times New Roman"/>
              </w:rPr>
              <w:br/>
            </w:r>
            <w:r w:rsidRPr="00CB2EC4">
              <w:rPr>
                <w:rFonts w:ascii="Times New Roman" w:hAnsi="Times New Roman" w:cs="Times New Roman"/>
              </w:rPr>
              <w:br/>
              <w:t>according to document fragment 2, for patients aged 21–24 with a cervical transformation zone type of TZ1/2 (partially or fully visible transformation zone):</w:t>
            </w:r>
            <w:r w:rsidRPr="00CB2EC4">
              <w:rPr>
                <w:rFonts w:ascii="Times New Roman" w:hAnsi="Times New Roman" w:cs="Times New Roman"/>
              </w:rPr>
              <w:br/>
            </w:r>
            <w:r w:rsidRPr="00CB2EC4">
              <w:rPr>
                <w:rFonts w:ascii="Times New Roman" w:hAnsi="Times New Roman" w:cs="Times New Roman"/>
              </w:rPr>
              <w:br/>
              <w:t>- the patient may be observed with repeat cytology and colposcopy every 10–12 weeks (document fragment 2 states: "For patients aged 21–24 with a cervical transformation zone type of TZ1/2, observation may be performed (with reassessment every 10–12 weeks)");</w:t>
            </w:r>
            <w:r w:rsidRPr="00CB2EC4">
              <w:rPr>
                <w:rFonts w:ascii="Times New Roman" w:hAnsi="Times New Roman" w:cs="Times New Roman"/>
              </w:rPr>
              <w:br/>
              <w:t xml:space="preserve">- if the lesion shows no progression, continue observation; if progression is noted or invasive cancer </w:t>
            </w:r>
            <w:r w:rsidRPr="00CB2EC4">
              <w:rPr>
                <w:rFonts w:ascii="Times New Roman" w:hAnsi="Times New Roman" w:cs="Times New Roman"/>
              </w:rPr>
              <w:lastRenderedPageBreak/>
              <w:t>is detected, refer to treatment protocol (diagnostic/therapeutic cervical conization).</w:t>
            </w:r>
            <w:r w:rsidRPr="00CB2EC4">
              <w:rPr>
                <w:rFonts w:ascii="Times New Roman" w:hAnsi="Times New Roman" w:cs="Times New Roman"/>
              </w:rPr>
              <w:br/>
            </w:r>
            <w:r w:rsidRPr="00CB2EC4">
              <w:rPr>
                <w:rFonts w:ascii="Times New Roman" w:hAnsi="Times New Roman" w:cs="Times New Roman"/>
              </w:rPr>
              <w:br/>
              <w:t>therefore, in this case, observation with repeat assessment every 10–12 weeks should be performed.</w:t>
            </w:r>
          </w:p>
        </w:tc>
        <w:tc>
          <w:tcPr>
            <w:tcW w:w="1152" w:type="dxa"/>
            <w:vAlign w:val="center"/>
          </w:tcPr>
          <w:p w14:paraId="0A5EF7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859CC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81024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136CB21" w14:textId="77777777">
        <w:tc>
          <w:tcPr>
            <w:tcW w:w="2160" w:type="dxa"/>
            <w:vAlign w:val="center"/>
          </w:tcPr>
          <w:p w14:paraId="471379F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13A0E42"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LSIL (biopsy), cytological findings of ASC-H or higher, and colposcopic classification of TZ1/TZ2, the follow-up steps should be: close monitoring with repeat testing (including cytology and colposcopy) every 6 to 12 weeks to exclude invasive cancer; if two consecutive follow-up tests are negative, transition to routine screening.</w:t>
            </w:r>
          </w:p>
        </w:tc>
        <w:tc>
          <w:tcPr>
            <w:tcW w:w="1152" w:type="dxa"/>
            <w:vAlign w:val="center"/>
          </w:tcPr>
          <w:p w14:paraId="3B41CF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6C3F1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62695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8640CB9" w14:textId="77777777">
        <w:tc>
          <w:tcPr>
            <w:tcW w:w="2160" w:type="dxa"/>
            <w:vAlign w:val="center"/>
          </w:tcPr>
          <w:p w14:paraId="7E1B5F4A"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B23A3D3"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LSIL (biopsy), cytological findings of ASC-H or higher, and colposcopic classification of TZ1/2, the follow-up step should be observation (follow-up), without immediate surgical intervention.</w:t>
            </w:r>
            <w:r w:rsidRPr="00CB2EC4">
              <w:rPr>
                <w:rFonts w:ascii="Times New Roman" w:hAnsi="Times New Roman" w:cs="Times New Roman"/>
              </w:rPr>
              <w:br/>
              <w:t>- Basis: The document explicitly states: “If the colposcopy result is TZ1/2 type, then observation is performed.” This indicates a conservative follow-up strategy.</w:t>
            </w:r>
          </w:p>
        </w:tc>
        <w:tc>
          <w:tcPr>
            <w:tcW w:w="1152" w:type="dxa"/>
            <w:vAlign w:val="center"/>
          </w:tcPr>
          <w:p w14:paraId="2150BE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1B96B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16C72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4DC44F0" w14:textId="77777777">
        <w:tc>
          <w:tcPr>
            <w:tcW w:w="2160" w:type="dxa"/>
            <w:vAlign w:val="center"/>
          </w:tcPr>
          <w:p w14:paraId="2148E4C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47DA2C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  According to document fragment 5 (similarity: 0.476), for patients with histopathologically confirmed LSIL and cytology ≥ ASC-H, when the transformation zone type is TZ1/2 (transformation zone partially or fully visible), observational follow-up should be performed with repeat cytology and colposcopy every 10–12 weeks to closely monitor and exclude invasive cancer.  </w:t>
            </w:r>
            <w:r w:rsidRPr="00CB2EC4">
              <w:rPr>
                <w:rFonts w:ascii="Times New Roman" w:hAnsi="Times New Roman" w:cs="Times New Roman"/>
              </w:rPr>
              <w:br/>
              <w:t xml:space="preserve">  Source: Document fragment 5 ("Histopathologically confirmed LSIL... cytology ≥ ASC-H ... TZ1/2 </w:t>
            </w:r>
            <w:r w:rsidRPr="00CB2EC4">
              <w:rPr>
                <w:rFonts w:ascii="Times New Roman" w:hAnsi="Times New Roman" w:cs="Times New Roman"/>
              </w:rPr>
              <w:lastRenderedPageBreak/>
              <w:t>observation (every 10–12 weeks)").</w:t>
            </w:r>
          </w:p>
        </w:tc>
        <w:tc>
          <w:tcPr>
            <w:tcW w:w="1152" w:type="dxa"/>
            <w:vAlign w:val="center"/>
          </w:tcPr>
          <w:p w14:paraId="62D96E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A685B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07A09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59A9F7D" w14:textId="77777777">
        <w:tc>
          <w:tcPr>
            <w:tcW w:w="2160" w:type="dxa"/>
            <w:vAlign w:val="center"/>
          </w:tcPr>
          <w:p w14:paraId="114D4B43"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D4CF2EC"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years with histologically confirmed (biopsy) LSIL, cytologic findings of ASC-H or higher, and colposcopic transformation zone classification of TZ1/2:</w:t>
            </w:r>
            <w:r w:rsidRPr="00CB2EC4">
              <w:rPr>
                <w:rFonts w:ascii="Times New Roman" w:hAnsi="Times New Roman" w:cs="Times New Roman"/>
              </w:rPr>
              <w:br/>
            </w:r>
            <w:r w:rsidRPr="00CB2EC4">
              <w:rPr>
                <w:rFonts w:ascii="Times New Roman" w:hAnsi="Times New Roman" w:cs="Times New Roman"/>
              </w:rPr>
              <w:br/>
              <w:t>- the patient should undergo observation with follow-up, including repeat cytology and colposcopy every 10–12 weeks.</w:t>
            </w:r>
            <w:r w:rsidRPr="00CB2EC4">
              <w:rPr>
                <w:rFonts w:ascii="Times New Roman" w:hAnsi="Times New Roman" w:cs="Times New Roman"/>
              </w:rPr>
              <w:br/>
              <w:t>- during observation:</w:t>
            </w:r>
            <w:r w:rsidRPr="00CB2EC4">
              <w:rPr>
                <w:rFonts w:ascii="Times New Roman" w:hAnsi="Times New Roman" w:cs="Times New Roman"/>
              </w:rPr>
              <w:br/>
              <w:t xml:space="preserve">  - if the lesion persists without progression, continue observation.</w:t>
            </w:r>
            <w:r w:rsidRPr="00CB2EC4">
              <w:rPr>
                <w:rFonts w:ascii="Times New Roman" w:hAnsi="Times New Roman" w:cs="Times New Roman"/>
              </w:rPr>
              <w:br/>
              <w:t xml:space="preserve">  - if the lesion progresses or invasive cancer is detected, perform diagnostic/therapeutic cervical conization.</w:t>
            </w:r>
            <w:r w:rsidRPr="00CB2EC4">
              <w:rPr>
                <w:rFonts w:ascii="Times New Roman" w:hAnsi="Times New Roman" w:cs="Times New Roman"/>
              </w:rPr>
              <w:br/>
              <w:t>- as emphasized in the document (second fragment, point a): "if the patient is aged 21–24 years and has a cervical transformation zone type of TZ1/2, the patient may be managed with observation (repeat every 10–12 weeks)."</w:t>
            </w:r>
            <w:r w:rsidRPr="00CB2EC4">
              <w:rPr>
                <w:rFonts w:ascii="Times New Roman" w:hAnsi="Times New Roman" w:cs="Times New Roman"/>
              </w:rPr>
              <w:br/>
            </w:r>
            <w:r w:rsidRPr="00CB2EC4">
              <w:rPr>
                <w:rFonts w:ascii="Times New Roman" w:hAnsi="Times New Roman" w:cs="Times New Roman"/>
              </w:rPr>
              <w:br/>
              <w:t>therefore, the follow-up step is: observation with repeat cytology and colposcopy every 10–12 weeks, and decision for treatment based on follow-up findings.</w:t>
            </w:r>
          </w:p>
        </w:tc>
        <w:tc>
          <w:tcPr>
            <w:tcW w:w="1152" w:type="dxa"/>
            <w:vAlign w:val="center"/>
          </w:tcPr>
          <w:p w14:paraId="6C1040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68DC0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71B18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382DEFC" w14:textId="77777777">
        <w:tc>
          <w:tcPr>
            <w:tcW w:w="2160" w:type="dxa"/>
            <w:vAlign w:val="center"/>
          </w:tcPr>
          <w:p w14:paraId="47E568B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6EFC48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For patients aged 21 to 24 with histologically confirmed LSIL (biopsy), cytological findings of ASC-H or higher, and colposcopic classification of TZ1/TZ2, the follow-up steps are:  </w:t>
            </w:r>
            <w:r w:rsidRPr="00CB2EC4">
              <w:rPr>
                <w:rFonts w:ascii="Times New Roman" w:hAnsi="Times New Roman" w:cs="Times New Roman"/>
              </w:rPr>
              <w:br/>
              <w:t xml:space="preserve">Repeat cytology and colposcopy every 6–12 weeks; if two consecutive follow-up tests are negative (no abnormal findings), transition to routine screening.  </w:t>
            </w:r>
            <w:r w:rsidRPr="00CB2EC4">
              <w:rPr>
                <w:rFonts w:ascii="Times New Roman" w:hAnsi="Times New Roman" w:cs="Times New Roman"/>
              </w:rPr>
              <w:br/>
            </w:r>
            <w:r w:rsidRPr="00CB2EC4">
              <w:rPr>
                <w:rFonts w:ascii="Times New Roman" w:hAnsi="Times New Roman" w:cs="Times New Roman"/>
              </w:rPr>
              <w:lastRenderedPageBreak/>
              <w:br/>
              <w:t>Basis: Document fragment 1 explicitly states: “For patients aged 21~24... if cytology ≥ ASC-H... if colposcopy results are TZ1 or TZ2 type... repeat every 6~12 weeks... if two consecutive follow-ups are negative, transition to routine screening.”</w:t>
            </w:r>
          </w:p>
        </w:tc>
        <w:tc>
          <w:tcPr>
            <w:tcW w:w="1152" w:type="dxa"/>
            <w:vAlign w:val="center"/>
          </w:tcPr>
          <w:p w14:paraId="7753F6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B354B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9880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4503F76" w14:textId="77777777">
        <w:tc>
          <w:tcPr>
            <w:tcW w:w="2160" w:type="dxa"/>
            <w:vAlign w:val="center"/>
          </w:tcPr>
          <w:p w14:paraId="5EB1553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41F1FDB"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years with histologically confirmed LSIL (biopsy), cytology findings of ASC-H or higher, and colposcopic classification of TZ1/2 (transformation zone partially or fully visible), the recommended follow-up is:</w:t>
            </w:r>
            <w:r w:rsidRPr="00CB2EC4">
              <w:rPr>
                <w:rFonts w:ascii="Times New Roman" w:hAnsi="Times New Roman" w:cs="Times New Roman"/>
              </w:rPr>
              <w:br/>
            </w:r>
            <w:r w:rsidRPr="00CB2EC4">
              <w:rPr>
                <w:rFonts w:ascii="Times New Roman" w:hAnsi="Times New Roman" w:cs="Times New Roman"/>
              </w:rPr>
              <w:br/>
              <w:t>- Observation with repeat cytology and colposcopy every 6–12 weeks.</w:t>
            </w:r>
            <w:r w:rsidRPr="00CB2EC4">
              <w:rPr>
                <w:rFonts w:ascii="Times New Roman" w:hAnsi="Times New Roman" w:cs="Times New Roman"/>
              </w:rPr>
              <w:br/>
              <w:t>- If no progression is observed on follow-up, continue surveillance.</w:t>
            </w:r>
            <w:r w:rsidRPr="00CB2EC4">
              <w:rPr>
                <w:rFonts w:ascii="Times New Roman" w:hAnsi="Times New Roman" w:cs="Times New Roman"/>
              </w:rPr>
              <w:br/>
              <w:t>- If progression is noted or invasive cancer is detected, refer for treatment (e.g., diagnostic or therapeutic cervical excision).</w:t>
            </w:r>
            <w:r w:rsidRPr="00CB2EC4">
              <w:rPr>
                <w:rFonts w:ascii="Times New Roman" w:hAnsi="Times New Roman" w:cs="Times New Roman"/>
              </w:rPr>
              <w:br/>
            </w:r>
            <w:r w:rsidRPr="00CB2EC4">
              <w:rPr>
                <w:rFonts w:ascii="Times New Roman" w:hAnsi="Times New Roman" w:cs="Times New Roman"/>
              </w:rPr>
              <w:br/>
              <w:t>- Note: This management strategy prioritizes conservative observation in young patients to minimize unnecessary surgical intervention.</w:t>
            </w:r>
          </w:p>
        </w:tc>
        <w:tc>
          <w:tcPr>
            <w:tcW w:w="1152" w:type="dxa"/>
            <w:vAlign w:val="center"/>
          </w:tcPr>
          <w:p w14:paraId="4915FE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D474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09161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CB9353" w14:textId="77777777">
        <w:tc>
          <w:tcPr>
            <w:tcW w:w="2160" w:type="dxa"/>
            <w:vAlign w:val="center"/>
          </w:tcPr>
          <w:p w14:paraId="459F918C"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59F6F1E"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LSIL (biopsy), cytological findings of ASC-H or higher, and colposcopic classification of TZ1/2 (transformation zone partially or fully visible), the recommended follow-up steps are:</w:t>
            </w:r>
            <w:r w:rsidRPr="00CB2EC4">
              <w:rPr>
                <w:rFonts w:ascii="Times New Roman" w:hAnsi="Times New Roman" w:cs="Times New Roman"/>
              </w:rPr>
              <w:br/>
            </w:r>
            <w:r w:rsidRPr="00CB2EC4">
              <w:rPr>
                <w:rFonts w:ascii="Times New Roman" w:hAnsi="Times New Roman" w:cs="Times New Roman"/>
              </w:rPr>
              <w:br/>
              <w:t>- Perform cytological and colposcopic re-evaluation every 10–12 weeks (close monitoring to exclude invasive cancer).</w:t>
            </w:r>
            <w:r w:rsidRPr="00CB2EC4">
              <w:rPr>
                <w:rFonts w:ascii="Times New Roman" w:hAnsi="Times New Roman" w:cs="Times New Roman"/>
              </w:rPr>
              <w:br/>
              <w:t xml:space="preserve">- If no progression is observed (e.g., two consecutive </w:t>
            </w:r>
            <w:r w:rsidRPr="00CB2EC4">
              <w:rPr>
                <w:rFonts w:ascii="Times New Roman" w:hAnsi="Times New Roman" w:cs="Times New Roman"/>
              </w:rPr>
              <w:lastRenderedPageBreak/>
              <w:t>negative follow-up tests), continue surveillance.</w:t>
            </w:r>
            <w:r w:rsidRPr="00CB2EC4">
              <w:rPr>
                <w:rFonts w:ascii="Times New Roman" w:hAnsi="Times New Roman" w:cs="Times New Roman"/>
              </w:rPr>
              <w:br/>
              <w:t>- If lesion progression or invasive cancer is detected, refer for diagnostic/therapeutic cervical excision.</w:t>
            </w:r>
            <w:r w:rsidRPr="00CB2EC4">
              <w:rPr>
                <w:rFonts w:ascii="Times New Roman" w:hAnsi="Times New Roman" w:cs="Times New Roman"/>
              </w:rPr>
              <w:br/>
              <w:t>- Basis: Document fragment 10 (relevance 0.9183) specifies the observation pathway with repeat cytology and colposcopy every 10–12 weeks for TZ1/2 cases, while fragment 1 (relevance 0.9868) indicates colposcopy-only management for this age group.</w:t>
            </w:r>
          </w:p>
        </w:tc>
        <w:tc>
          <w:tcPr>
            <w:tcW w:w="1152" w:type="dxa"/>
            <w:vAlign w:val="center"/>
          </w:tcPr>
          <w:p w14:paraId="2076A1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228F4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839E9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3586902" w14:textId="77777777">
        <w:tc>
          <w:tcPr>
            <w:tcW w:w="2160" w:type="dxa"/>
            <w:vAlign w:val="center"/>
          </w:tcPr>
          <w:p w14:paraId="7CDFC1E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F1F74B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aged 21 to 24 with histologically confirmed LSIL (biopsy), cytology findings of ASC-H or higher, and colposcopic classification of TZ1/2, the follow-up step is:  </w:t>
            </w:r>
            <w:r w:rsidRPr="00CB2EC4">
              <w:rPr>
                <w:rFonts w:ascii="Times New Roman" w:hAnsi="Times New Roman" w:cs="Times New Roman"/>
              </w:rPr>
              <w:br/>
              <w:t xml:space="preserve">repeat evaluation every 6–12 weeks (close monitoring to exclude invasive cancer). If two consecutive repeat evaluations are negative, return to routine screening.  </w:t>
            </w:r>
            <w:r w:rsidRPr="00CB2EC4">
              <w:rPr>
                <w:rFonts w:ascii="Times New Roman" w:hAnsi="Times New Roman" w:cs="Times New Roman"/>
              </w:rPr>
              <w:br/>
            </w:r>
            <w:r w:rsidRPr="00CB2EC4">
              <w:rPr>
                <w:rFonts w:ascii="Times New Roman" w:hAnsi="Times New Roman" w:cs="Times New Roman"/>
              </w:rPr>
              <w:br/>
              <w:t>this information is directly derived from the context describing the management for TZ1/2 in patients aged 21–24 (Figure 4: Management flow for histologically confirmed LSIL).</w:t>
            </w:r>
          </w:p>
        </w:tc>
        <w:tc>
          <w:tcPr>
            <w:tcW w:w="1152" w:type="dxa"/>
            <w:vAlign w:val="center"/>
          </w:tcPr>
          <w:p w14:paraId="64CD85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8AEE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E821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B99184" w14:textId="77777777">
        <w:tc>
          <w:tcPr>
            <w:tcW w:w="2160" w:type="dxa"/>
            <w:vAlign w:val="center"/>
          </w:tcPr>
          <w:p w14:paraId="21C153F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0BEBCF1"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LSIL, cytological findings of ASC-H or higher, and a colposcopic transformation zone classification of TZ1/2, the recommended follow-up steps are:</w:t>
            </w:r>
            <w:r w:rsidRPr="00CB2EC4">
              <w:rPr>
                <w:rFonts w:ascii="Times New Roman" w:hAnsi="Times New Roman" w:cs="Times New Roman"/>
              </w:rPr>
              <w:br/>
            </w:r>
            <w:r w:rsidRPr="00CB2EC4">
              <w:rPr>
                <w:rFonts w:ascii="Times New Roman" w:hAnsi="Times New Roman" w:cs="Times New Roman"/>
              </w:rPr>
              <w:br/>
              <w:t xml:space="preserve">- TZ1/2 classification indicates the transformation zone is fully visible (adequate colposcopy) with relatively low risk. Recommend cytological follow-up every 6 months combined with colposcopic assessment. If follow-up results are stable (e.g., cytology downgraded to ASC-US or lower), the </w:t>
            </w:r>
            <w:r w:rsidRPr="00CB2EC4">
              <w:rPr>
                <w:rFonts w:ascii="Times New Roman" w:hAnsi="Times New Roman" w:cs="Times New Roman"/>
              </w:rPr>
              <w:lastRenderedPageBreak/>
              <w:t>interval may be extended to 12 months; if progression occurs (e.g., persistent ASC-H or higher), consider diagnostic excision.</w:t>
            </w:r>
            <w:r w:rsidRPr="00CB2EC4">
              <w:rPr>
                <w:rFonts w:ascii="Times New Roman" w:hAnsi="Times New Roman" w:cs="Times New Roman"/>
              </w:rPr>
              <w:br/>
              <w:t>- Immediate treatment is not recommended, in accordance with conservative management principles for younger populations.</w:t>
            </w:r>
          </w:p>
        </w:tc>
        <w:tc>
          <w:tcPr>
            <w:tcW w:w="1152" w:type="dxa"/>
            <w:vAlign w:val="center"/>
          </w:tcPr>
          <w:p w14:paraId="006322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6297E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0D4E0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D5CF200" w14:textId="77777777">
        <w:tc>
          <w:tcPr>
            <w:tcW w:w="10656" w:type="dxa"/>
            <w:gridSpan w:val="5"/>
            <w:tcBorders>
              <w:bottom w:val="single" w:sz="6" w:space="0" w:color="auto"/>
            </w:tcBorders>
            <w:vAlign w:val="center"/>
          </w:tcPr>
          <w:p w14:paraId="771074C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25: In cervical cancer screening, if a pregnant patient has a histopathological confirmation (biopsy) of LSIL cytology findings of ASC-H or higher, what follow-up steps should be conducted?</w:t>
            </w:r>
          </w:p>
        </w:tc>
      </w:tr>
      <w:tr w:rsidR="00922249" w:rsidRPr="00CB2EC4" w14:paraId="342380B9" w14:textId="77777777">
        <w:tc>
          <w:tcPr>
            <w:tcW w:w="2160" w:type="dxa"/>
            <w:vAlign w:val="center"/>
          </w:tcPr>
          <w:p w14:paraId="01BCBFA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110E805"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a pregnant patient with histopathological confirmation (biopsy) of LSIL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Follow-up: Re-examination (including cytology and colposcopy) every 10–12 weeks to closely monitor and exclude invasive cancer.</w:t>
            </w:r>
            <w:r w:rsidRPr="00CB2EC4">
              <w:rPr>
                <w:rFonts w:ascii="Times New Roman" w:hAnsi="Times New Roman" w:cs="Times New Roman"/>
              </w:rPr>
              <w:br/>
              <w:t>- Postpartum follow-up: Re-examination at 6–8 weeks postpartum.</w:t>
            </w:r>
            <w:r w:rsidRPr="00CB2EC4">
              <w:rPr>
                <w:rFonts w:ascii="Times New Roman" w:hAnsi="Times New Roman" w:cs="Times New Roman"/>
              </w:rPr>
              <w:br/>
              <w:t>- Subsequent management:</w:t>
            </w:r>
            <w:r w:rsidRPr="00CB2EC4">
              <w:rPr>
                <w:rFonts w:ascii="Times New Roman" w:hAnsi="Times New Roman" w:cs="Times New Roman"/>
              </w:rPr>
              <w:br/>
              <w:t xml:space="preserve">  - If re-examination shows abnormalities, manage according to the abnormal handling protocol.</w:t>
            </w:r>
            <w:r w:rsidRPr="00CB2EC4">
              <w:rPr>
                <w:rFonts w:ascii="Times New Roman" w:hAnsi="Times New Roman" w:cs="Times New Roman"/>
              </w:rPr>
              <w:br/>
              <w:t xml:space="preserve">  - If re-examination does not reveal CIN (cervical intraepithelial neoplasia), the patient should transition to routine screening thereafter.</w:t>
            </w:r>
            <w:r w:rsidRPr="00CB2EC4">
              <w:rPr>
                <w:rFonts w:ascii="Times New Roman" w:hAnsi="Times New Roman" w:cs="Times New Roman"/>
              </w:rPr>
              <w:br/>
            </w:r>
            <w:r w:rsidRPr="00CB2EC4">
              <w:rPr>
                <w:rFonts w:ascii="Times New Roman" w:hAnsi="Times New Roman" w:cs="Times New Roman"/>
              </w:rPr>
              <w:br/>
              <w:t xml:space="preserve">This process is based on the description in the document: "Pregnant patients → should enter close observation: • Re-examine every 10~12 weeks (close monitoring, exclude invasive cancer). Re-examine at 6–8 weeks postpartum. If re-examination shows abnormalities, manage according to the abnormal handling protocol. If re-examination does not reveal CIN, the patient should transition to routine screening </w:t>
            </w:r>
            <w:r w:rsidRPr="00CB2EC4">
              <w:rPr>
                <w:rFonts w:ascii="Times New Roman" w:hAnsi="Times New Roman" w:cs="Times New Roman"/>
              </w:rPr>
              <w:lastRenderedPageBreak/>
              <w:t>thereafter."</w:t>
            </w:r>
            <w:r w:rsidRPr="00CB2EC4">
              <w:rPr>
                <w:rFonts w:ascii="Times New Roman" w:hAnsi="Times New Roman" w:cs="Times New Roman"/>
              </w:rPr>
              <w:br/>
            </w:r>
            <w:r w:rsidRPr="00CB2EC4">
              <w:rPr>
                <w:rFonts w:ascii="Times New Roman" w:hAnsi="Times New Roman" w:cs="Times New Roman"/>
              </w:rPr>
              <w:br/>
              <w:t>All responses are based solely on the provided document context, specifically the flowchart in Figure 4. No additional information has been added.</w:t>
            </w:r>
          </w:p>
        </w:tc>
        <w:tc>
          <w:tcPr>
            <w:tcW w:w="1152" w:type="dxa"/>
            <w:vAlign w:val="center"/>
          </w:tcPr>
          <w:p w14:paraId="40A1E1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D6092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DF0D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27C7098" w14:textId="77777777">
        <w:tc>
          <w:tcPr>
            <w:tcW w:w="2160" w:type="dxa"/>
            <w:vAlign w:val="center"/>
          </w:tcPr>
          <w:p w14:paraId="510DFDD7"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0D009A2" w14:textId="77777777" w:rsidR="00922249" w:rsidRPr="00CB2EC4" w:rsidRDefault="003011D5">
            <w:pPr>
              <w:rPr>
                <w:rFonts w:ascii="Times New Roman" w:hAnsi="Times New Roman" w:cs="Times New Roman"/>
              </w:rPr>
            </w:pPr>
            <w:r w:rsidRPr="00CB2EC4">
              <w:rPr>
                <w:rFonts w:ascii="Times New Roman" w:hAnsi="Times New Roman" w:cs="Times New Roman"/>
              </w:rPr>
              <w:t>for pregnant patients with histologically confirmed LSIL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perform repeat cytology and colposcopy every 10–12 weeks to closely monitor and exclude invasive cancer (based on document fragment 1).</w:t>
            </w:r>
            <w:r w:rsidRPr="00CB2EC4">
              <w:rPr>
                <w:rFonts w:ascii="Times New Roman" w:hAnsi="Times New Roman" w:cs="Times New Roman"/>
              </w:rPr>
              <w:br/>
              <w:t>- if no invasive cancer is found, defer repeat testing (cytology + colposcopy + ECC) until 6–8 weeks postpartum; if postpartum results show no CIN II+, transition to routine screening; if abnormal, manage according to standard protocol (based on document fragment 9).</w:t>
            </w:r>
            <w:r w:rsidRPr="00CB2EC4">
              <w:rPr>
                <w:rFonts w:ascii="Times New Roman" w:hAnsi="Times New Roman" w:cs="Times New Roman"/>
              </w:rPr>
              <w:br/>
            </w:r>
            <w:r w:rsidRPr="00CB2EC4">
              <w:rPr>
                <w:rFonts w:ascii="Times New Roman" w:hAnsi="Times New Roman" w:cs="Times New Roman"/>
              </w:rPr>
              <w:br/>
              <w:t>note: document fragment 22 emphasizes that observation is the mainstay in pregnancy, as 60% of lesions may regress spontaneously.</w:t>
            </w:r>
            <w:r w:rsidRPr="00CB2EC4">
              <w:rPr>
                <w:rFonts w:ascii="Times New Roman" w:hAnsi="Times New Roman" w:cs="Times New Roman"/>
              </w:rPr>
              <w:br/>
            </w:r>
            <w:r w:rsidRPr="00CB2EC4">
              <w:rPr>
                <w:rFonts w:ascii="Times New Roman" w:hAnsi="Times New Roman" w:cs="Times New Roman"/>
              </w:rPr>
              <w:br/>
              <w:t>response: for pregnant patients, conduct close observation: repeat cytology and colposcopy every 10–12 weeks; if no invasive cancer is detected, defer to 6–8 weeks postpartum for repeat testing (cytology + colposcopy + ECC); manage postpartum based on results (e.g., transition to routine screening if normal).</w:t>
            </w:r>
            <w:r w:rsidRPr="00CB2EC4">
              <w:rPr>
                <w:rFonts w:ascii="Times New Roman" w:hAnsi="Times New Roman" w:cs="Times New Roman"/>
              </w:rPr>
              <w:br/>
              <w:t>(based on document fragments 1 and 9)</w:t>
            </w:r>
          </w:p>
        </w:tc>
        <w:tc>
          <w:tcPr>
            <w:tcW w:w="1152" w:type="dxa"/>
            <w:vAlign w:val="center"/>
          </w:tcPr>
          <w:p w14:paraId="680E4E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DC51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2D9A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716380" w14:textId="77777777">
        <w:tc>
          <w:tcPr>
            <w:tcW w:w="2160" w:type="dxa"/>
            <w:vAlign w:val="center"/>
          </w:tcPr>
          <w:p w14:paraId="6AF838B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FA4482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for a pregnant patient with histopathologically confirmed LSIL (biopsy) and cytological findings of ASC-H or higher, the </w:t>
            </w:r>
            <w:r w:rsidRPr="00CB2EC4">
              <w:rPr>
                <w:rFonts w:ascii="Times New Roman" w:hAnsi="Times New Roman" w:cs="Times New Roman"/>
              </w:rPr>
              <w:lastRenderedPageBreak/>
              <w:t>following follow-up steps should be taken:</w:t>
            </w:r>
            <w:r w:rsidRPr="00CB2EC4">
              <w:rPr>
                <w:rFonts w:ascii="Times New Roman" w:hAnsi="Times New Roman" w:cs="Times New Roman"/>
              </w:rPr>
              <w:br/>
            </w:r>
            <w:r w:rsidRPr="00CB2EC4">
              <w:rPr>
                <w:rFonts w:ascii="Times New Roman" w:hAnsi="Times New Roman" w:cs="Times New Roman"/>
              </w:rPr>
              <w:br/>
              <w:t>- Perform cytology and colposcopy every 10–12 weeks to monitor the lesion.</w:t>
            </w:r>
            <w:r w:rsidRPr="00CB2EC4">
              <w:rPr>
                <w:rFonts w:ascii="Times New Roman" w:hAnsi="Times New Roman" w:cs="Times New Roman"/>
              </w:rPr>
              <w:br/>
              <w:t>- If no evidence of invasive cancer is found, defer treatment and repeat cytology, colposcopy, and endocervical curettage (ECC) at 6–8 weeks postpartum.</w:t>
            </w:r>
            <w:r w:rsidRPr="00CB2EC4">
              <w:rPr>
                <w:rFonts w:ascii="Times New Roman" w:hAnsi="Times New Roman" w:cs="Times New Roman"/>
              </w:rPr>
              <w:br/>
              <w:t>- After postpartum follow-up: if no CIN II+ is detected, resume routine screening; if CIN II+ is present, proceed with diagnostic/therapeutic cervical conization.</w:t>
            </w:r>
            <w:r w:rsidRPr="00CB2EC4">
              <w:rPr>
                <w:rFonts w:ascii="Times New Roman" w:hAnsi="Times New Roman" w:cs="Times New Roman"/>
              </w:rPr>
              <w:br/>
              <w:t xml:space="preserve">  Avoid invasive procedures such as diagnostic cervical conization during pregnancy due to high risk of complications.</w:t>
            </w:r>
          </w:p>
        </w:tc>
        <w:tc>
          <w:tcPr>
            <w:tcW w:w="1152" w:type="dxa"/>
            <w:vAlign w:val="center"/>
          </w:tcPr>
          <w:p w14:paraId="6C70D6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FD896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2083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1E8DB3" w14:textId="77777777">
        <w:tc>
          <w:tcPr>
            <w:tcW w:w="2160" w:type="dxa"/>
            <w:vAlign w:val="center"/>
          </w:tcPr>
          <w:p w14:paraId="36030808"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D57EF47" w14:textId="77777777" w:rsidR="00922249" w:rsidRPr="00CB2EC4" w:rsidRDefault="003011D5">
            <w:pPr>
              <w:rPr>
                <w:rFonts w:ascii="Times New Roman" w:hAnsi="Times New Roman" w:cs="Times New Roman"/>
              </w:rPr>
            </w:pPr>
            <w:r w:rsidRPr="00CB2EC4">
              <w:rPr>
                <w:rFonts w:ascii="Times New Roman" w:hAnsi="Times New Roman" w:cs="Times New Roman"/>
              </w:rPr>
              <w:t>histopathology LSIL + cytology ≥ ASC-H in pregnancy</w:t>
            </w:r>
            <w:r w:rsidRPr="00CB2EC4">
              <w:rPr>
                <w:rFonts w:ascii="Times New Roman" w:hAnsi="Times New Roman" w:cs="Times New Roman"/>
              </w:rPr>
              <w:br/>
            </w:r>
            <w:r w:rsidRPr="00CB2EC4">
              <w:rPr>
                <w:rFonts w:ascii="Times New Roman" w:hAnsi="Times New Roman" w:cs="Times New Roman"/>
              </w:rPr>
              <w:br/>
              <w:t xml:space="preserve">Management process:  </w:t>
            </w:r>
            <w:r w:rsidRPr="00CB2EC4">
              <w:rPr>
                <w:rFonts w:ascii="Times New Roman" w:hAnsi="Times New Roman" w:cs="Times New Roman"/>
              </w:rPr>
              <w:br/>
              <w:t xml:space="preserve">  1. Repeat cytology + colposcopy every 10–12 weeks (close monitoring to exclude invasive cancer).  </w:t>
            </w:r>
            <w:r w:rsidRPr="00CB2EC4">
              <w:rPr>
                <w:rFonts w:ascii="Times New Roman" w:hAnsi="Times New Roman" w:cs="Times New Roman"/>
              </w:rPr>
              <w:br/>
              <w:t xml:space="preserve">  2. Do not perform ECC or cervical excision (unless high suspicion of invasive cancer).  </w:t>
            </w:r>
            <w:r w:rsidRPr="00CB2EC4">
              <w:rPr>
                <w:rFonts w:ascii="Times New Roman" w:hAnsi="Times New Roman" w:cs="Times New Roman"/>
              </w:rPr>
              <w:br/>
              <w:t xml:space="preserve">  3. Postpartum follow-up at 6–8 weeks: if abnormal, manage according to protocol; if no CIN, return to routine screening.  </w:t>
            </w:r>
            <w:r w:rsidRPr="00CB2EC4">
              <w:rPr>
                <w:rFonts w:ascii="Times New Roman" w:hAnsi="Times New Roman" w:cs="Times New Roman"/>
              </w:rPr>
              <w:br/>
              <w:t xml:space="preserve">- Basis:  </w:t>
            </w:r>
            <w:r w:rsidRPr="00CB2EC4">
              <w:rPr>
                <w:rFonts w:ascii="Times New Roman" w:hAnsi="Times New Roman" w:cs="Times New Roman"/>
              </w:rPr>
              <w:br/>
              <w:t xml:space="preserve">  - Knowledge base document (observation-based management during pregnancy, postpartum follow-up).  </w:t>
            </w:r>
            <w:r w:rsidRPr="00CB2EC4">
              <w:rPr>
                <w:rFonts w:ascii="Times New Roman" w:hAnsi="Times New Roman" w:cs="Times New Roman"/>
              </w:rPr>
              <w:br/>
              <w:t xml:space="preserve">  - Web search results (ECC contraindicated in pregnancy; biopsy only if invasive cancer is suspected).</w:t>
            </w:r>
          </w:p>
        </w:tc>
        <w:tc>
          <w:tcPr>
            <w:tcW w:w="1152" w:type="dxa"/>
            <w:vAlign w:val="center"/>
          </w:tcPr>
          <w:p w14:paraId="21833E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0187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C45C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CB98CE" w14:textId="77777777">
        <w:tc>
          <w:tcPr>
            <w:tcW w:w="2160" w:type="dxa"/>
            <w:vAlign w:val="center"/>
          </w:tcPr>
          <w:p w14:paraId="232EB9A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5295539F"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histopathological confirmation (biopsy) of LSIL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Cytology and colposcopy should be performed every 10–12 weeks (as stated in document fragment 2: “For pregnant patients, cytology and colposcopy should be performed every 10–12 weeks”).</w:t>
            </w:r>
            <w:r w:rsidRPr="00CB2EC4">
              <w:rPr>
                <w:rFonts w:ascii="Times New Roman" w:hAnsi="Times New Roman" w:cs="Times New Roman"/>
              </w:rPr>
              <w:br/>
              <w:t>- If no invasive cancer is detected, defer re-evaluation to 6–8 weeks postpartum (cytology + colposcopy + ECC).</w:t>
            </w:r>
            <w:r w:rsidRPr="00CB2EC4">
              <w:rPr>
                <w:rFonts w:ascii="Times New Roman" w:hAnsi="Times New Roman" w:cs="Times New Roman"/>
              </w:rPr>
              <w:br/>
              <w:t>- If suspicious for invasive cancer is found, perform diagnostic/therapeutic cervical conization.</w:t>
            </w:r>
            <w:r w:rsidRPr="00CB2EC4">
              <w:rPr>
                <w:rFonts w:ascii="Times New Roman" w:hAnsi="Times New Roman" w:cs="Times New Roman"/>
              </w:rPr>
              <w:br/>
              <w:t xml:space="preserve">  Therefore, pregnant patients should undergo close monitoring every 10–12 weeks, postpartum re-examination, and management based on findings.</w:t>
            </w:r>
            <w:r w:rsidRPr="00CB2EC4">
              <w:rPr>
                <w:rFonts w:ascii="Times New Roman" w:hAnsi="Times New Roman" w:cs="Times New Roman"/>
              </w:rPr>
              <w:br/>
            </w:r>
            <w:r w:rsidRPr="00CB2EC4">
              <w:rPr>
                <w:rFonts w:ascii="Times New Roman" w:hAnsi="Times New Roman" w:cs="Times New Roman"/>
              </w:rPr>
              <w:br/>
              <w:t>All responses are based on the provided document content. If uncertain or more detailed clinical guidance is needed, decision-making should incorporate the specific patient’s condition and the latest guidelines.</w:t>
            </w:r>
          </w:p>
        </w:tc>
        <w:tc>
          <w:tcPr>
            <w:tcW w:w="1152" w:type="dxa"/>
            <w:vAlign w:val="center"/>
          </w:tcPr>
          <w:p w14:paraId="45B5E2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C651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29EF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25C050" w14:textId="77777777">
        <w:tc>
          <w:tcPr>
            <w:tcW w:w="2160" w:type="dxa"/>
            <w:vAlign w:val="center"/>
          </w:tcPr>
          <w:p w14:paraId="60B1DFBD"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2E14BC0" w14:textId="77777777" w:rsidR="00922249" w:rsidRPr="00CB2EC4" w:rsidRDefault="003011D5">
            <w:pPr>
              <w:rPr>
                <w:rFonts w:ascii="Times New Roman" w:hAnsi="Times New Roman" w:cs="Times New Roman"/>
              </w:rPr>
            </w:pPr>
            <w:r w:rsidRPr="00CB2EC4">
              <w:rPr>
                <w:rFonts w:ascii="Times New Roman" w:hAnsi="Times New Roman" w:cs="Times New Roman"/>
              </w:rPr>
              <w:t>for pregnant patients with histologically confirmed LSIL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close observation is recommended: repeat testing (including cytology and colposcopy) every 10–12 weeks to closely monitor and rule out invasive cancer.</w:t>
            </w:r>
            <w:r w:rsidRPr="00CB2EC4">
              <w:rPr>
                <w:rFonts w:ascii="Times New Roman" w:hAnsi="Times New Roman" w:cs="Times New Roman"/>
              </w:rPr>
              <w:br/>
              <w:t>- postpartum follow-up at 6–8 weeks after delivery.</w:t>
            </w:r>
            <w:r w:rsidRPr="00CB2EC4">
              <w:rPr>
                <w:rFonts w:ascii="Times New Roman" w:hAnsi="Times New Roman" w:cs="Times New Roman"/>
              </w:rPr>
              <w:br/>
              <w:t>- if abnormalities (such as progression to CIN or invasive cancer) are found during follow-up, manage according to the abnormal handling protocol.</w:t>
            </w:r>
            <w:r w:rsidRPr="00CB2EC4">
              <w:rPr>
                <w:rFonts w:ascii="Times New Roman" w:hAnsi="Times New Roman" w:cs="Times New Roman"/>
              </w:rPr>
              <w:br/>
            </w:r>
            <w:r w:rsidRPr="00CB2EC4">
              <w:rPr>
                <w:rFonts w:ascii="Times New Roman" w:hAnsi="Times New Roman" w:cs="Times New Roman"/>
              </w:rPr>
              <w:lastRenderedPageBreak/>
              <w:t>- if no CIN is detected during follow-up, the patient should transition to routine screening.</w:t>
            </w:r>
            <w:r w:rsidRPr="00CB2EC4">
              <w:rPr>
                <w:rFonts w:ascii="Times New Roman" w:hAnsi="Times New Roman" w:cs="Times New Roman"/>
              </w:rPr>
              <w:br/>
            </w:r>
            <w:r w:rsidRPr="00CB2EC4">
              <w:rPr>
                <w:rFonts w:ascii="Times New Roman" w:hAnsi="Times New Roman" w:cs="Times New Roman"/>
              </w:rPr>
              <w:br/>
              <w:t>summary: perform follow-up every 10–12 weeks (close monitoring), and postpartum at 6–8 weeks; manage abnormalities per protocol, and transition to routine screening if no abnormality is found.</w:t>
            </w:r>
            <w:r w:rsidRPr="00CB2EC4">
              <w:rPr>
                <w:rFonts w:ascii="Times New Roman" w:hAnsi="Times New Roman" w:cs="Times New Roman"/>
              </w:rPr>
              <w:br/>
            </w:r>
            <w:r w:rsidRPr="00CB2EC4">
              <w:rPr>
                <w:rFonts w:ascii="Times New Roman" w:hAnsi="Times New Roman" w:cs="Times New Roman"/>
              </w:rPr>
              <w:br/>
              <w:t>note</w:t>
            </w:r>
            <w:r w:rsidRPr="00CB2EC4">
              <w:rPr>
                <w:rFonts w:ascii="Times New Roman" w:hAnsi="Times New Roman" w:cs="Times New Roman"/>
              </w:rPr>
              <w:br/>
              <w:t>- all responses are strictly based on the provided context, primarily referencing document 1 (highest relevance score) with document 4 as supplementary.</w:t>
            </w:r>
            <w:r w:rsidRPr="00CB2EC4">
              <w:rPr>
                <w:rFonts w:ascii="Times New Roman" w:hAnsi="Times New Roman" w:cs="Times New Roman"/>
              </w:rPr>
              <w:br/>
              <w:t>- sufficient contextual information is available; no case of "answer not found in knowledge base" occurred.</w:t>
            </w:r>
            <w:r w:rsidRPr="00CB2EC4">
              <w:rPr>
                <w:rFonts w:ascii="Times New Roman" w:hAnsi="Times New Roman" w:cs="Times New Roman"/>
              </w:rPr>
              <w:br/>
              <w:t>- as a gynecology expert, I recommend adjusting the follow-up plan in actual clinical practice based on patient-specific factors (e.g., compliance, medical resources) and the latest guidelines.</w:t>
            </w:r>
          </w:p>
        </w:tc>
        <w:tc>
          <w:tcPr>
            <w:tcW w:w="1152" w:type="dxa"/>
            <w:vAlign w:val="center"/>
          </w:tcPr>
          <w:p w14:paraId="3823C2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E649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9145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9643D1" w14:textId="77777777">
        <w:tc>
          <w:tcPr>
            <w:tcW w:w="2160" w:type="dxa"/>
            <w:vAlign w:val="center"/>
          </w:tcPr>
          <w:p w14:paraId="6E4F763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977A5F9"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 the provided document outlines general management for pregnant patients (e.g., cytology and colposcopy every 10–12 weeks) but does not specify follow-up steps for a histologically confirmed LSIL with cytological findings of ASC-H or higher. the document states that management in pregnancy aims primarily to exclude invasive cancer and recommends regular review (e.g., [HyDE similarity: 0.695] excerpt: “e. for pregnant patients, cytology and colposcopy should be performed every 10–12 weeks”), but does not describe a specific protocol for ASC-H or higher cytology results in this context. therefore, based on the given document, the exact follow-up steps cannot be determined.</w:t>
            </w:r>
          </w:p>
        </w:tc>
        <w:tc>
          <w:tcPr>
            <w:tcW w:w="1152" w:type="dxa"/>
            <w:vAlign w:val="center"/>
          </w:tcPr>
          <w:p w14:paraId="7E273B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11CD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0659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8270514" w14:textId="77777777">
        <w:tc>
          <w:tcPr>
            <w:tcW w:w="2160" w:type="dxa"/>
            <w:vAlign w:val="center"/>
          </w:tcPr>
          <w:p w14:paraId="75B49A4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2C90024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  According to document fragment 1 (similarity: 0.546) and document fragment 3 (similarity: 0.504), for pregnant patients, close observation is recommended regardless of histopathological or cytological findings. Specific follow-up steps include:  </w:t>
            </w:r>
            <w:r w:rsidRPr="00CB2EC4">
              <w:rPr>
                <w:rFonts w:ascii="Times New Roman" w:hAnsi="Times New Roman" w:cs="Times New Roman"/>
              </w:rPr>
              <w:br/>
              <w:t xml:space="preserve">  → Repeat cytology and colposcopy every 10–12 weeks to exclude invasive cancer.  </w:t>
            </w:r>
            <w:r w:rsidRPr="00CB2EC4">
              <w:rPr>
                <w:rFonts w:ascii="Times New Roman" w:hAnsi="Times New Roman" w:cs="Times New Roman"/>
              </w:rPr>
              <w:br/>
              <w:t xml:space="preserve">  → Postpartum at 6–8 weeks: perform repeat testing (cytology + colposcopy + ECC).  </w:t>
            </w:r>
            <w:r w:rsidRPr="00CB2EC4">
              <w:rPr>
                <w:rFonts w:ascii="Times New Roman" w:hAnsi="Times New Roman" w:cs="Times New Roman"/>
              </w:rPr>
              <w:br/>
              <w:t xml:space="preserve">    - If abnormal: manage according to abnormal follow-up protocol.  </w:t>
            </w:r>
            <w:r w:rsidRPr="00CB2EC4">
              <w:rPr>
                <w:rFonts w:ascii="Times New Roman" w:hAnsi="Times New Roman" w:cs="Times New Roman"/>
              </w:rPr>
              <w:br/>
              <w:t xml:space="preserve">    - If normal: transition to routine screening.  </w:t>
            </w:r>
            <w:r w:rsidRPr="00CB2EC4">
              <w:rPr>
                <w:rFonts w:ascii="Times New Roman" w:hAnsi="Times New Roman" w:cs="Times New Roman"/>
              </w:rPr>
              <w:br/>
              <w:t xml:space="preserve">  Sources:  </w:t>
            </w:r>
            <w:r w:rsidRPr="00CB2EC4">
              <w:rPr>
                <w:rFonts w:ascii="Times New Roman" w:hAnsi="Times New Roman" w:cs="Times New Roman"/>
              </w:rPr>
              <w:br/>
              <w:t xml:space="preserve">  - Document fragment 1: “e. For pregnant patients, cytology + colposcopy should be performed every 10~12 weeks. If invasive cancer is not found, repeat testing (cytology + colposcopy + ECC) should be deferred until 6–8 weeks postpartum.”  </w:t>
            </w:r>
            <w:r w:rsidRPr="00CB2EC4">
              <w:rPr>
                <w:rFonts w:ascii="Times New Roman" w:hAnsi="Times New Roman" w:cs="Times New Roman"/>
              </w:rPr>
              <w:br/>
              <w:t xml:space="preserve">  - Document fragment 3: “Pregnant patients → should enter close observation: • Repeat every 10~12 weeks (close monitoring, exclude invasive cancer). Repeat at 6–8 weeks postpartum.”</w:t>
            </w:r>
          </w:p>
        </w:tc>
        <w:tc>
          <w:tcPr>
            <w:tcW w:w="1152" w:type="dxa"/>
            <w:vAlign w:val="center"/>
          </w:tcPr>
          <w:p w14:paraId="2BB3CE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0349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1816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2BEE3B6" w14:textId="77777777">
        <w:tc>
          <w:tcPr>
            <w:tcW w:w="2160" w:type="dxa"/>
            <w:vAlign w:val="center"/>
          </w:tcPr>
          <w:p w14:paraId="6BFABDE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D537D58"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a pregnant patient with histologically confirmed LSIL (by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the patient should undergo cytology + colposcopy every 10–12 weeks.</w:t>
            </w:r>
            <w:r w:rsidRPr="00CB2EC4">
              <w:rPr>
                <w:rFonts w:ascii="Times New Roman" w:hAnsi="Times New Roman" w:cs="Times New Roman"/>
              </w:rPr>
              <w:br/>
              <w:t>- if no invasive cancer is detected, defer re-evaluation until 6–8 weeks postpartum (re-evaluation includes cytology + colposcopy + ECC).</w:t>
            </w:r>
            <w:r w:rsidRPr="00CB2EC4">
              <w:rPr>
                <w:rFonts w:ascii="Times New Roman" w:hAnsi="Times New Roman" w:cs="Times New Roman"/>
              </w:rPr>
              <w:br/>
              <w:t xml:space="preserve">  - if postpartum re-evaluation shows no CINⅡ+ (high-</w:t>
            </w:r>
            <w:r w:rsidRPr="00CB2EC4">
              <w:rPr>
                <w:rFonts w:ascii="Times New Roman" w:hAnsi="Times New Roman" w:cs="Times New Roman"/>
              </w:rPr>
              <w:lastRenderedPageBreak/>
              <w:t>grade lesion), transition to routine screening.</w:t>
            </w:r>
            <w:r w:rsidRPr="00CB2EC4">
              <w:rPr>
                <w:rFonts w:ascii="Times New Roman" w:hAnsi="Times New Roman" w:cs="Times New Roman"/>
              </w:rPr>
              <w:br/>
              <w:t xml:space="preserve">  - if postpartum re-evaluation shows CINⅡ+, perform diagnostic/therapeutic cervical conization.</w:t>
            </w:r>
            <w:r w:rsidRPr="00CB2EC4">
              <w:rPr>
                <w:rFonts w:ascii="Times New Roman" w:hAnsi="Times New Roman" w:cs="Times New Roman"/>
              </w:rPr>
              <w:br/>
              <w:t>- if cytology + colposcopy during pregnancy reveals suspicion of invasive cancer, the patient should immediately undergo diagnostic/therapeutic cervical conization.</w:t>
            </w:r>
            <w:r w:rsidRPr="00CB2EC4">
              <w:rPr>
                <w:rFonts w:ascii="Times New Roman" w:hAnsi="Times New Roman" w:cs="Times New Roman"/>
              </w:rPr>
              <w:br/>
              <w:t>- the document does not specify distinct management for ASC-H versus higher cytology, but based on general principles, the above steps apply to all cytological abnormalities including ASC-H.</w:t>
            </w:r>
            <w:r w:rsidRPr="00CB2EC4">
              <w:rPr>
                <w:rFonts w:ascii="Times New Roman" w:hAnsi="Times New Roman" w:cs="Times New Roman"/>
              </w:rPr>
              <w:br/>
            </w:r>
            <w:r w:rsidRPr="00CB2EC4">
              <w:rPr>
                <w:rFonts w:ascii="Times New Roman" w:hAnsi="Times New Roman" w:cs="Times New Roman"/>
              </w:rPr>
              <w:br/>
              <w:t>therefore, the follow-up steps are: cytology + colposcopy every 10–12 weeks; if no invasive cancer, defer to postpartum re-evaluation; if suspicion of invasive cancer, immediate cervical conization.</w:t>
            </w:r>
          </w:p>
        </w:tc>
        <w:tc>
          <w:tcPr>
            <w:tcW w:w="1152" w:type="dxa"/>
            <w:vAlign w:val="center"/>
          </w:tcPr>
          <w:p w14:paraId="56FC3E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5F11B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B4F8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AF2EF7" w14:textId="77777777">
        <w:tc>
          <w:tcPr>
            <w:tcW w:w="2160" w:type="dxa"/>
            <w:vAlign w:val="center"/>
          </w:tcPr>
          <w:p w14:paraId="40326C66"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9755021" w14:textId="77777777" w:rsidR="00922249" w:rsidRPr="00CB2EC4" w:rsidRDefault="003011D5">
            <w:pPr>
              <w:rPr>
                <w:rFonts w:ascii="Times New Roman" w:hAnsi="Times New Roman" w:cs="Times New Roman"/>
              </w:rPr>
            </w:pPr>
            <w:r w:rsidRPr="00CB2EC4">
              <w:rPr>
                <w:rFonts w:ascii="Times New Roman" w:hAnsi="Times New Roman" w:cs="Times New Roman"/>
              </w:rPr>
              <w:t>for pregnant patients with histologically confirmed LSIL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Close observation is recommended: repeat cytology and colposcopy every 10–12 weeks.</w:t>
            </w:r>
            <w:r w:rsidRPr="00CB2EC4">
              <w:rPr>
                <w:rFonts w:ascii="Times New Roman" w:hAnsi="Times New Roman" w:cs="Times New Roman"/>
              </w:rPr>
              <w:br/>
              <w:t>- Perform repeat evaluation 6–8 weeks postpartum.</w:t>
            </w:r>
            <w:r w:rsidRPr="00CB2EC4">
              <w:rPr>
                <w:rFonts w:ascii="Times New Roman" w:hAnsi="Times New Roman" w:cs="Times New Roman"/>
              </w:rPr>
              <w:br/>
              <w:t>- If abnormalities are found during follow-up (e.g., invasive cancer or other progression), manage according to the abnormal handling protocol.</w:t>
            </w:r>
            <w:r w:rsidRPr="00CB2EC4">
              <w:rPr>
                <w:rFonts w:ascii="Times New Roman" w:hAnsi="Times New Roman" w:cs="Times New Roman"/>
              </w:rPr>
              <w:br/>
              <w:t>- If postpartum follow-up shows no CIN II or higher lesions (i.e., no CIN), transition to routine screening.</w:t>
            </w:r>
            <w:r w:rsidRPr="00CB2EC4">
              <w:rPr>
                <w:rFonts w:ascii="Times New Roman" w:hAnsi="Times New Roman" w:cs="Times New Roman"/>
              </w:rPr>
              <w:br/>
            </w:r>
            <w:r w:rsidRPr="00CB2EC4">
              <w:rPr>
                <w:rFonts w:ascii="Times New Roman" w:hAnsi="Times New Roman" w:cs="Times New Roman"/>
              </w:rPr>
              <w:br/>
              <w:t>Basis: Document Fragment 1 explicitly states: "For pregnant patients... if cytology results are ≥ASC-H... they should undergo close observation: repeat testing every 10–12 weeks... repeat evaluation 6–8 weeks postpartum. If abnormalities are found during follow-</w:t>
            </w:r>
            <w:r w:rsidRPr="00CB2EC4">
              <w:rPr>
                <w:rFonts w:ascii="Times New Roman" w:hAnsi="Times New Roman" w:cs="Times New Roman"/>
              </w:rPr>
              <w:lastRenderedPageBreak/>
              <w:t>up... manage according to the abnormal handling protocol. If no CIN is detected during follow-up... subsequent screening should revert to routine screening."</w:t>
            </w:r>
          </w:p>
        </w:tc>
        <w:tc>
          <w:tcPr>
            <w:tcW w:w="1152" w:type="dxa"/>
            <w:vAlign w:val="center"/>
          </w:tcPr>
          <w:p w14:paraId="549002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3B6A3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A046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E36FA4" w14:textId="77777777">
        <w:tc>
          <w:tcPr>
            <w:tcW w:w="2160" w:type="dxa"/>
            <w:vAlign w:val="center"/>
          </w:tcPr>
          <w:p w14:paraId="1EA97E7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76489AE" w14:textId="77777777" w:rsidR="00922249" w:rsidRPr="00CB2EC4" w:rsidRDefault="003011D5">
            <w:pPr>
              <w:rPr>
                <w:rFonts w:ascii="Times New Roman" w:hAnsi="Times New Roman" w:cs="Times New Roman"/>
              </w:rPr>
            </w:pPr>
            <w:r w:rsidRPr="00CB2EC4">
              <w:rPr>
                <w:rFonts w:ascii="Times New Roman" w:hAnsi="Times New Roman" w:cs="Times New Roman"/>
              </w:rPr>
              <w:t>For pregnant patients with histologically confirmed LSIL (by biopsy) and cytological findings of ASC-H or higher (≥ASC-H), the follow-up steps are as follows:</w:t>
            </w:r>
            <w:r w:rsidRPr="00CB2EC4">
              <w:rPr>
                <w:rFonts w:ascii="Times New Roman" w:hAnsi="Times New Roman" w:cs="Times New Roman"/>
              </w:rPr>
              <w:br/>
            </w:r>
            <w:r w:rsidRPr="00CB2EC4">
              <w:rPr>
                <w:rFonts w:ascii="Times New Roman" w:hAnsi="Times New Roman" w:cs="Times New Roman"/>
              </w:rPr>
              <w:br/>
              <w:t>- Specific steps: Repeat cytology and colposcopy every 10–12 weeks; perform postpartum follow-up at 6–8 weeks after delivery (cytology + colposcopy + ECC).</w:t>
            </w:r>
            <w:r w:rsidRPr="00CB2EC4">
              <w:rPr>
                <w:rFonts w:ascii="Times New Roman" w:hAnsi="Times New Roman" w:cs="Times New Roman"/>
              </w:rPr>
              <w:br/>
              <w:t>- If no abnormalities are found on follow-up, transition to routine screening; if abnormalities are detected, manage according to the abnormal handling protocol.</w:t>
            </w:r>
            <w:r w:rsidRPr="00CB2EC4">
              <w:rPr>
                <w:rFonts w:ascii="Times New Roman" w:hAnsi="Times New Roman" w:cs="Times New Roman"/>
              </w:rPr>
              <w:br/>
            </w:r>
            <w:r w:rsidRPr="00CB2EC4">
              <w:rPr>
                <w:rFonts w:ascii="Times New Roman" w:hAnsi="Times New Roman" w:cs="Times New Roman"/>
              </w:rPr>
              <w:br/>
              <w:t>Document sources:</w:t>
            </w:r>
            <w:r w:rsidRPr="00CB2EC4">
              <w:rPr>
                <w:rFonts w:ascii="Times New Roman" w:hAnsi="Times New Roman" w:cs="Times New Roman"/>
              </w:rPr>
              <w:br/>
              <w:t>- "e. For pregnant patients, cytology and colposcopy should be performed every 10–12 weeks. If no invasive cancer is found, evaluation should be deferred until 6–8 weeks postpartum (cytology + colposcopy + ECC)." (similarity 0.474)</w:t>
            </w:r>
            <w:r w:rsidRPr="00CB2EC4">
              <w:rPr>
                <w:rFonts w:ascii="Times New Roman" w:hAnsi="Times New Roman" w:cs="Times New Roman"/>
              </w:rPr>
              <w:br/>
              <w:t>- "Pregnant patients → should undergo close observation: • Repeat every 10~12 weeks (close monitoring to exclude invasive cancer). Perform follow-up at 6–8 weeks postpartum. If abnormalities are found on follow-up, manage according to the abnormal handling protocol. If no CIN is found, the patient should transition to routine screening thereafter." (similarity 0.444)</w:t>
            </w:r>
          </w:p>
        </w:tc>
        <w:tc>
          <w:tcPr>
            <w:tcW w:w="1152" w:type="dxa"/>
            <w:vAlign w:val="center"/>
          </w:tcPr>
          <w:p w14:paraId="1702CB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14552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7BCF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E88537" w14:textId="77777777">
        <w:tc>
          <w:tcPr>
            <w:tcW w:w="2160" w:type="dxa"/>
            <w:vAlign w:val="center"/>
          </w:tcPr>
          <w:p w14:paraId="0B3EAC31"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E607D7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a pregnant patient has </w:t>
            </w:r>
            <w:r w:rsidRPr="00CB2EC4">
              <w:rPr>
                <w:rFonts w:ascii="Times New Roman" w:hAnsi="Times New Roman" w:cs="Times New Roman"/>
              </w:rPr>
              <w:lastRenderedPageBreak/>
              <w:t>histopathological confirmation (biopsy) of LSIL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Perform cytology and colposcopy every 10–12 weeks (close monitoring to rule out invasive cancer).</w:t>
            </w:r>
            <w:r w:rsidRPr="00CB2EC4">
              <w:rPr>
                <w:rFonts w:ascii="Times New Roman" w:hAnsi="Times New Roman" w:cs="Times New Roman"/>
              </w:rPr>
              <w:br/>
              <w:t>- If no invasive cancer is detected, defer re-evaluation until 6–8 weeks postpartum (including cytology + colposcopy + ECC).</w:t>
            </w:r>
            <w:r w:rsidRPr="00CB2EC4">
              <w:rPr>
                <w:rFonts w:ascii="Times New Roman" w:hAnsi="Times New Roman" w:cs="Times New Roman"/>
              </w:rPr>
              <w:br/>
              <w:t>- If re-evaluation shows no CIN II or higher lesions, transition to routine screening; if CIN II or higher is detected, proceed with diagnostic/therapeutic cervical conization.</w:t>
            </w:r>
            <w:r w:rsidRPr="00CB2EC4">
              <w:rPr>
                <w:rFonts w:ascii="Times New Roman" w:hAnsi="Times New Roman" w:cs="Times New Roman"/>
              </w:rPr>
              <w:br/>
              <w:t>- If suspicious for invasive cancer is found during pregnancy, perform diagnostic/therapeutic cervical conization immediately.</w:t>
            </w:r>
            <w:r w:rsidRPr="00CB2EC4">
              <w:rPr>
                <w:rFonts w:ascii="Times New Roman" w:hAnsi="Times New Roman" w:cs="Times New Roman"/>
              </w:rPr>
              <w:br/>
              <w:t>- Basis: Document fragment 10 (relevance 0.9183) explicitly states "for pregnant patients, cytology + colposcopy should be performed every 10–12 weeks" and details post-delivery re-evaluation and management procedures.</w:t>
            </w:r>
          </w:p>
        </w:tc>
        <w:tc>
          <w:tcPr>
            <w:tcW w:w="1152" w:type="dxa"/>
            <w:vAlign w:val="center"/>
          </w:tcPr>
          <w:p w14:paraId="56B9F1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6EFF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3A2D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E185F3" w14:textId="77777777">
        <w:tc>
          <w:tcPr>
            <w:tcW w:w="2160" w:type="dxa"/>
            <w:vAlign w:val="center"/>
          </w:tcPr>
          <w:p w14:paraId="304B6932"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80F7150"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a pregnant patient with histologically confirmed LSIL (biopsy) and cytological findings of ASC-H or higher, the following follow-up steps should be taken:</w:t>
            </w:r>
            <w:r w:rsidRPr="00CB2EC4">
              <w:rPr>
                <w:rFonts w:ascii="Times New Roman" w:hAnsi="Times New Roman" w:cs="Times New Roman"/>
              </w:rPr>
              <w:br/>
            </w:r>
            <w:r w:rsidRPr="00CB2EC4">
              <w:rPr>
                <w:rFonts w:ascii="Times New Roman" w:hAnsi="Times New Roman" w:cs="Times New Roman"/>
              </w:rPr>
              <w:br/>
              <w:t xml:space="preserve">- Perform cytology + colposcopy every 10–12 weeks (close monitoring to exclude invasive cancer).  </w:t>
            </w:r>
            <w:r w:rsidRPr="00CB2EC4">
              <w:rPr>
                <w:rFonts w:ascii="Times New Roman" w:hAnsi="Times New Roman" w:cs="Times New Roman"/>
              </w:rPr>
              <w:br/>
              <w:t xml:space="preserve">- Re-evaluate at 6–8 weeks postpartum (cytology + colposcopy + ECC).  </w:t>
            </w:r>
            <w:r w:rsidRPr="00CB2EC4">
              <w:rPr>
                <w:rFonts w:ascii="Times New Roman" w:hAnsi="Times New Roman" w:cs="Times New Roman"/>
              </w:rPr>
              <w:br/>
              <w:t xml:space="preserve">- If the postpartum re-evaluation shows no CINⅡ+ (i.e., CIN2 or higher), transition to routine screening; if CINⅡ+ is detected, perform diagnostic/therapeutic cervical conization, with subsequent management as </w:t>
            </w:r>
            <w:r w:rsidRPr="00CB2EC4">
              <w:rPr>
                <w:rFonts w:ascii="Times New Roman" w:hAnsi="Times New Roman" w:cs="Times New Roman"/>
              </w:rPr>
              <w:lastRenderedPageBreak/>
              <w:t xml:space="preserve">previously described.  </w:t>
            </w:r>
            <w:r w:rsidRPr="00CB2EC4">
              <w:rPr>
                <w:rFonts w:ascii="Times New Roman" w:hAnsi="Times New Roman" w:cs="Times New Roman"/>
              </w:rPr>
              <w:br/>
              <w:t xml:space="preserve">- If invasive cancer is suspected during pregnancy, perform diagnostic/therapeutic cervical conization immediately.  </w:t>
            </w:r>
            <w:r w:rsidRPr="00CB2EC4">
              <w:rPr>
                <w:rFonts w:ascii="Times New Roman" w:hAnsi="Times New Roman" w:cs="Times New Roman"/>
              </w:rPr>
              <w:br/>
              <w:t xml:space="preserve">  This information is directly derived from the context describing management for pregnant patients (Figure 4: Management flow for histologically confirmed LSIL).</w:t>
            </w:r>
          </w:p>
        </w:tc>
        <w:tc>
          <w:tcPr>
            <w:tcW w:w="1152" w:type="dxa"/>
            <w:vAlign w:val="center"/>
          </w:tcPr>
          <w:p w14:paraId="637AF5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F1DE8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7594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34F507" w14:textId="77777777">
        <w:tc>
          <w:tcPr>
            <w:tcW w:w="2160" w:type="dxa"/>
            <w:vAlign w:val="center"/>
          </w:tcPr>
          <w:p w14:paraId="5CDCA58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7C6F567"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histopathological confirmation (biopsy) of LSIL and cytological findings of ASC-H or higher, the following follow-up steps are recommended:</w:t>
            </w:r>
            <w:r w:rsidRPr="00CB2EC4">
              <w:rPr>
                <w:rFonts w:ascii="Times New Roman" w:hAnsi="Times New Roman" w:cs="Times New Roman"/>
              </w:rPr>
              <w:br/>
            </w:r>
            <w:r w:rsidRPr="00CB2EC4">
              <w:rPr>
                <w:rFonts w:ascii="Times New Roman" w:hAnsi="Times New Roman" w:cs="Times New Roman"/>
              </w:rPr>
              <w:br/>
              <w:t>- Conservative management is recommended; avoid any excisional procedures or invasive interventions (such as LEEP) to reduce the risk of miscarriage or preterm birth.</w:t>
            </w:r>
            <w:r w:rsidRPr="00CB2EC4">
              <w:rPr>
                <w:rFonts w:ascii="Times New Roman" w:hAnsi="Times New Roman" w:cs="Times New Roman"/>
              </w:rPr>
              <w:br/>
              <w:t>- During pregnancy, perform cytological examination and colposcopy evaluation (by an experienced physician) every 3 months to monitor lesion changes. Reassess 6–8 weeks postpartum to determine whether further diagnostic evaluation or treatment (such as postpartum excisional procedure) is needed.</w:t>
            </w:r>
          </w:p>
        </w:tc>
        <w:tc>
          <w:tcPr>
            <w:tcW w:w="1152" w:type="dxa"/>
            <w:vAlign w:val="center"/>
          </w:tcPr>
          <w:p w14:paraId="46C11D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8B05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59FC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9F1957" w14:textId="77777777">
        <w:tc>
          <w:tcPr>
            <w:tcW w:w="10656" w:type="dxa"/>
            <w:gridSpan w:val="5"/>
            <w:tcBorders>
              <w:bottom w:val="single" w:sz="6" w:space="0" w:color="auto"/>
            </w:tcBorders>
            <w:vAlign w:val="center"/>
          </w:tcPr>
          <w:p w14:paraId="32A8DFD1" w14:textId="77777777" w:rsidR="00922249" w:rsidRPr="00CB2EC4" w:rsidRDefault="003011D5">
            <w:pPr>
              <w:rPr>
                <w:rFonts w:ascii="Times New Roman" w:hAnsi="Times New Roman" w:cs="Times New Roman"/>
              </w:rPr>
            </w:pPr>
            <w:r w:rsidRPr="00CB2EC4">
              <w:rPr>
                <w:rFonts w:ascii="Times New Roman" w:hAnsi="Times New Roman" w:cs="Times New Roman"/>
                <w:b/>
              </w:rPr>
              <w:t>Question 26: In cervical cancer screening, if a patient has a histopathological confirmation (biopsy) of HSIL and a TZ1/2 classification, what follow-up steps should be conducted?</w:t>
            </w:r>
          </w:p>
        </w:tc>
      </w:tr>
      <w:tr w:rsidR="00922249" w:rsidRPr="00CB2EC4" w14:paraId="67032D36" w14:textId="77777777">
        <w:tc>
          <w:tcPr>
            <w:tcW w:w="2160" w:type="dxa"/>
            <w:vAlign w:val="center"/>
          </w:tcPr>
          <w:p w14:paraId="599BCBD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8E8AC09"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HSIL (biopsy) and a transformation zone type of TZ1/2, the following follow-up steps should be taken:</w:t>
            </w:r>
            <w:r w:rsidRPr="00CB2EC4">
              <w:rPr>
                <w:rFonts w:ascii="Times New Roman" w:hAnsi="Times New Roman" w:cs="Times New Roman"/>
              </w:rPr>
              <w:br/>
            </w:r>
            <w:r w:rsidRPr="00CB2EC4">
              <w:rPr>
                <w:rFonts w:ascii="Times New Roman" w:hAnsi="Times New Roman" w:cs="Times New Roman"/>
              </w:rPr>
              <w:br/>
              <w:t xml:space="preserve">- For general patients (not aged 21–24, not pregnant), with histologically confirmed HSIL and cervical transformation zone type TZ1/2 (fully or partially </w:t>
            </w:r>
            <w:r w:rsidRPr="00CB2EC4">
              <w:rPr>
                <w:rFonts w:ascii="Times New Roman" w:hAnsi="Times New Roman" w:cs="Times New Roman"/>
              </w:rPr>
              <w:lastRenderedPageBreak/>
              <w:t>visible transformation zone), the preferred management is diagnostic/therapeutic cervical conization. If indications for ablative therapy are met, cervical ablation may be cautiously considered.</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pathology shows negative margins: a follow-up should be conducted at 4–6 months, including cytology, colposcopy, and endocervical curettage (ECC).</w:t>
            </w:r>
            <w:r w:rsidRPr="00CB2EC4">
              <w:rPr>
                <w:rFonts w:ascii="Times New Roman" w:hAnsi="Times New Roman" w:cs="Times New Roman"/>
              </w:rPr>
              <w:br/>
              <w:t xml:space="preserve">  - If postoperative pathology shows positive margins (margin histopathology reports CIN II or higher): cytology, colposcopy, and ECC should be repeated at 4–6 months, and management should proceed according to the findings based on the corresponding lesion grade.</w:t>
            </w:r>
            <w:r w:rsidRPr="00CB2EC4">
              <w:rPr>
                <w:rFonts w:ascii="Times New Roman" w:hAnsi="Times New Roman" w:cs="Times New Roman"/>
              </w:rPr>
              <w:br/>
              <w:t xml:space="preserve">  - If suspicious invasive cancer is found intraoperatively: send for immediate pathological examination; if confirmed, refer to the cervical cancer treatment protocol.</w:t>
            </w:r>
            <w:r w:rsidRPr="00CB2EC4">
              <w:rPr>
                <w:rFonts w:ascii="Times New Roman" w:hAnsi="Times New Roman" w:cs="Times New Roman"/>
              </w:rPr>
              <w:br/>
              <w:t>- Therefore, the follow-up steps depend on the postoperative pathological results: negative margins → follow-up at 4–6 months (cytology + colposcopy + ECC); positive margins → follow-up at 4–6 months and manage according to results.</w:t>
            </w:r>
          </w:p>
        </w:tc>
        <w:tc>
          <w:tcPr>
            <w:tcW w:w="1152" w:type="dxa"/>
            <w:vAlign w:val="center"/>
          </w:tcPr>
          <w:p w14:paraId="211CAB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E9BD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0B71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86A242" w14:textId="77777777">
        <w:tc>
          <w:tcPr>
            <w:tcW w:w="2160" w:type="dxa"/>
            <w:vAlign w:val="center"/>
          </w:tcPr>
          <w:p w14:paraId="7FEA4F79"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AF7D382"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histopathologically confirmed (biopsy) HSIL and a transformation zone type of TZ1/2, the following follow-up steps should be taken:</w:t>
            </w:r>
            <w:r w:rsidRPr="00CB2EC4">
              <w:rPr>
                <w:rFonts w:ascii="Times New Roman" w:hAnsi="Times New Roman" w:cs="Times New Roman"/>
              </w:rPr>
              <w:br/>
            </w:r>
            <w:r w:rsidRPr="00CB2EC4">
              <w:rPr>
                <w:rFonts w:ascii="Times New Roman" w:hAnsi="Times New Roman" w:cs="Times New Roman"/>
              </w:rPr>
              <w:br/>
              <w:t>- Primary management: diagnostic/therapeutic cervical conization. If criteria for ablative therapy are met, cervical ablation may be cautiously considered.</w:t>
            </w:r>
            <w:r w:rsidRPr="00CB2EC4">
              <w:rPr>
                <w:rFonts w:ascii="Times New Roman" w:hAnsi="Times New Roman" w:cs="Times New Roman"/>
              </w:rPr>
              <w:br/>
              <w:t>- Post-procedure follow-up:</w:t>
            </w:r>
            <w:r w:rsidRPr="00CB2EC4">
              <w:rPr>
                <w:rFonts w:ascii="Times New Roman" w:hAnsi="Times New Roman" w:cs="Times New Roman"/>
              </w:rPr>
              <w:br/>
              <w:t xml:space="preserve">  - If surgical margins are negative on pathology: </w:t>
            </w:r>
            <w:r w:rsidRPr="00CB2EC4">
              <w:rPr>
                <w:rFonts w:ascii="Times New Roman" w:hAnsi="Times New Roman" w:cs="Times New Roman"/>
              </w:rPr>
              <w:lastRenderedPageBreak/>
              <w:t>repeat testing (cytology + colposcopy + endocervical curettage/ECC) at 4–6 months.</w:t>
            </w:r>
            <w:r w:rsidRPr="00CB2EC4">
              <w:rPr>
                <w:rFonts w:ascii="Times New Roman" w:hAnsi="Times New Roman" w:cs="Times New Roman"/>
              </w:rPr>
              <w:br/>
              <w:t xml:space="preserve">  - If surgical margins are positive (reporting CIN II or higher): repeat cytology, colposcopy, and ECC at 4–6 months, and manage according to the corresponding lesion grade based on findings.</w:t>
            </w:r>
            <w:r w:rsidRPr="00CB2EC4">
              <w:rPr>
                <w:rFonts w:ascii="Times New Roman" w:hAnsi="Times New Roman" w:cs="Times New Roman"/>
              </w:rPr>
              <w:br/>
              <w:t xml:space="preserve">  - If suspicious for invasive cancer is found intraoperatively: send for immediate pathological evaluation; if confirmed, refer to cervical cancer treatment protocol.</w:t>
            </w:r>
            <w:r w:rsidRPr="00CB2EC4">
              <w:rPr>
                <w:rFonts w:ascii="Times New Roman" w:hAnsi="Times New Roman" w:cs="Times New Roman"/>
              </w:rPr>
              <w:br/>
              <w:t>- Basis: main text content for general patients in Fragment 1 (HSIL management principles) and flowchart plus text description in Fragment 2 (HSIL management and treatment guidelines).</w:t>
            </w:r>
          </w:p>
        </w:tc>
        <w:tc>
          <w:tcPr>
            <w:tcW w:w="1152" w:type="dxa"/>
            <w:vAlign w:val="center"/>
          </w:tcPr>
          <w:p w14:paraId="707A1A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56F5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0EF2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364FCF" w14:textId="77777777">
        <w:tc>
          <w:tcPr>
            <w:tcW w:w="2160" w:type="dxa"/>
            <w:vAlign w:val="center"/>
          </w:tcPr>
          <w:p w14:paraId="2E0B7F8A"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A28A881"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histopathologically confirmed HSIL (biopsy) and a TZ1/2 transformation zone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 xml:space="preserve">Response: According to document fragment 3 (relevance: 0.800), for general patients (not aged 21–24, not pregnant), if histopathology confirms HSIL and the cervical transformation zone type is TZ1/2 (fully or partially visible transformation zone), the patient should preferentially undergo diagnostic/therapeutic cervical conization. If indications for ablative therapy (e.g., cryotherapy, laser) are met, cervical ablation may be cautiously selected. After treatment, according to document fragment 8 (relevance: 0.700), follow-up steps include: cervical cytology every 3 months in the first year post-treatment; if all smear results are normal, annual cytology thereafter; high-risk HPV testing at least 6 months after treatment. Additionally, if </w:t>
            </w:r>
            <w:r w:rsidRPr="00CB2EC4">
              <w:rPr>
                <w:rFonts w:ascii="Times New Roman" w:hAnsi="Times New Roman" w:cs="Times New Roman"/>
              </w:rPr>
              <w:lastRenderedPageBreak/>
              <w:t>surgical margins confirm CIN, colposcopy and endocervical curettage should be performed every 4–6 months until two consecutive normal results, after which annual cytology is resumed.</w:t>
            </w:r>
            <w:r w:rsidRPr="00CB2EC4">
              <w:rPr>
                <w:rFonts w:ascii="Times New Roman" w:hAnsi="Times New Roman" w:cs="Times New Roman"/>
              </w:rPr>
              <w:br/>
              <w:t>- Conclusion: Follow-up steps are: prefer cervical conization or cautiously choose ablation therapy, followed by intensified surveillance (cytology every 3 months in the first year, then annually; HPV testing at 6 months post-treatment; colposcopy and curettage as needed).</w:t>
            </w:r>
          </w:p>
        </w:tc>
        <w:tc>
          <w:tcPr>
            <w:tcW w:w="1152" w:type="dxa"/>
            <w:vAlign w:val="center"/>
          </w:tcPr>
          <w:p w14:paraId="54D508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BAFF8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EFC3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A1D294" w14:textId="77777777">
        <w:tc>
          <w:tcPr>
            <w:tcW w:w="2160" w:type="dxa"/>
            <w:vAlign w:val="center"/>
          </w:tcPr>
          <w:p w14:paraId="3BA079C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66C0536" w14:textId="77777777" w:rsidR="00922249" w:rsidRPr="00CB2EC4" w:rsidRDefault="003011D5">
            <w:pPr>
              <w:rPr>
                <w:rFonts w:ascii="Times New Roman" w:hAnsi="Times New Roman" w:cs="Times New Roman"/>
              </w:rPr>
            </w:pPr>
            <w:r w:rsidRPr="00CB2EC4">
              <w:rPr>
                <w:rFonts w:ascii="Times New Roman" w:hAnsi="Times New Roman" w:cs="Times New Roman"/>
              </w:rPr>
              <w:t>Follow-up steps for HSIL (TZ1/2 classification) patients</w:t>
            </w:r>
            <w:r w:rsidRPr="00CB2EC4">
              <w:rPr>
                <w:rFonts w:ascii="Times New Roman" w:hAnsi="Times New Roman" w:cs="Times New Roman"/>
              </w:rPr>
              <w:br/>
            </w:r>
            <w:r w:rsidRPr="00CB2EC4">
              <w:rPr>
                <w:rFonts w:ascii="Times New Roman" w:hAnsi="Times New Roman" w:cs="Times New Roman"/>
              </w:rPr>
              <w:br/>
              <w:t>Knowledge base basis:</w:t>
            </w:r>
            <w:r w:rsidRPr="00CB2EC4">
              <w:rPr>
                <w:rFonts w:ascii="Times New Roman" w:hAnsi="Times New Roman" w:cs="Times New Roman"/>
              </w:rPr>
              <w:br/>
            </w:r>
            <w:r w:rsidRPr="00CB2EC4">
              <w:rPr>
                <w:rFonts w:ascii="Times New Roman" w:hAnsi="Times New Roman" w:cs="Times New Roman"/>
              </w:rPr>
              <w:br/>
              <w:t>- For general patients (not aged 21-24, not pregnant):</w:t>
            </w:r>
            <w:r w:rsidRPr="00CB2EC4">
              <w:rPr>
                <w:rFonts w:ascii="Times New Roman" w:hAnsi="Times New Roman" w:cs="Times New Roman"/>
              </w:rPr>
              <w:br/>
              <w:t xml:space="preserve">  - Preferred: diagnostic/therapeutic cervical excision (see Figure 5 flow).</w:t>
            </w:r>
            <w:r w:rsidRPr="00CB2EC4">
              <w:rPr>
                <w:rFonts w:ascii="Times New Roman" w:hAnsi="Times New Roman" w:cs="Times New Roman"/>
              </w:rPr>
              <w:br/>
              <w:t xml:space="preserve">  - If indications for ablative therapy are met, cervical ablation may be cautiously selected (see "General patient a" section).</w:t>
            </w:r>
            <w:r w:rsidRPr="00CB2EC4">
              <w:rPr>
                <w:rFonts w:ascii="Times New Roman" w:hAnsi="Times New Roman" w:cs="Times New Roman"/>
              </w:rPr>
              <w:br/>
              <w:t>- Postoperative management:</w:t>
            </w:r>
            <w:r w:rsidRPr="00CB2EC4">
              <w:rPr>
                <w:rFonts w:ascii="Times New Roman" w:hAnsi="Times New Roman" w:cs="Times New Roman"/>
              </w:rPr>
              <w:br/>
              <w:t xml:space="preserve">  - Negative margins: follow-up at 4–6 months (cytology + colposcopy + ECC).</w:t>
            </w:r>
            <w:r w:rsidRPr="00CB2EC4">
              <w:rPr>
                <w:rFonts w:ascii="Times New Roman" w:hAnsi="Times New Roman" w:cs="Times New Roman"/>
              </w:rPr>
              <w:br/>
              <w:t xml:space="preserve">  - Positive margins (CIN II+): follow-up at 4–6 months, manage according to follow-up results (see "General patient a" section).</w:t>
            </w:r>
            <w:r w:rsidRPr="00CB2EC4">
              <w:rPr>
                <w:rFonts w:ascii="Times New Roman" w:hAnsi="Times New Roman" w:cs="Times New Roman"/>
              </w:rPr>
              <w:br/>
            </w:r>
            <w:r w:rsidRPr="00CB2EC4">
              <w:rPr>
                <w:rFonts w:ascii="Times New Roman" w:hAnsi="Times New Roman" w:cs="Times New Roman"/>
              </w:rPr>
              <w:br/>
              <w:t>&gt; Conclusion: Cervical excision is the first choice; postoperative follow-up is scheduled regularly based on margin status.</w:t>
            </w:r>
          </w:p>
        </w:tc>
        <w:tc>
          <w:tcPr>
            <w:tcW w:w="1152" w:type="dxa"/>
            <w:vAlign w:val="center"/>
          </w:tcPr>
          <w:p w14:paraId="491094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1064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DCFB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EE21FF" w14:textId="77777777">
        <w:tc>
          <w:tcPr>
            <w:tcW w:w="2160" w:type="dxa"/>
            <w:vAlign w:val="center"/>
          </w:tcPr>
          <w:p w14:paraId="0618392F"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A56632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a patient has histologically confirmed HSIL (biopsy) with TZ1/2 </w:t>
            </w:r>
            <w:r w:rsidRPr="00CB2EC4">
              <w:rPr>
                <w:rFonts w:ascii="Times New Roman" w:hAnsi="Times New Roman" w:cs="Times New Roman"/>
              </w:rPr>
              <w:lastRenderedPageBreak/>
              <w:t>classification, what follow-up steps should be taken?</w:t>
            </w:r>
            <w:r w:rsidRPr="00CB2EC4">
              <w:rPr>
                <w:rFonts w:ascii="Times New Roman" w:hAnsi="Times New Roman" w:cs="Times New Roman"/>
              </w:rPr>
              <w:br/>
            </w:r>
            <w:r w:rsidRPr="00CB2EC4">
              <w:rPr>
                <w:rFonts w:ascii="Times New Roman" w:hAnsi="Times New Roman" w:cs="Times New Roman"/>
              </w:rPr>
              <w:br/>
              <w:t>according to document fragment 2, for general patients (not aged 21–24, not pregnant) with histologically confirmed HSIL (including CINⅡ, CINⅡ/Ⅲ, CINⅢ, CINⅡ/P16(+)), if the cervical transformation zone type is TZ1/2 (transformation zone fully/partially visible), the patient should preferentially undergo diagnostic/therapeutic cervical conization. if the criteria for ablative therapy are met, cervical ablation may be cautiously considered for such patients.</w:t>
            </w:r>
            <w:r w:rsidRPr="00CB2EC4">
              <w:rPr>
                <w:rFonts w:ascii="Times New Roman" w:hAnsi="Times New Roman" w:cs="Times New Roman"/>
              </w:rPr>
              <w:br/>
            </w:r>
            <w:r w:rsidRPr="00CB2EC4">
              <w:rPr>
                <w:rFonts w:ascii="Times New Roman" w:hAnsi="Times New Roman" w:cs="Times New Roman"/>
              </w:rPr>
              <w:br/>
              <w:t>postoperative follow-up steps:</w:t>
            </w:r>
            <w:r w:rsidRPr="00CB2EC4">
              <w:rPr>
                <w:rFonts w:ascii="Times New Roman" w:hAnsi="Times New Roman" w:cs="Times New Roman"/>
              </w:rPr>
              <w:br/>
            </w:r>
            <w:r w:rsidRPr="00CB2EC4">
              <w:rPr>
                <w:rFonts w:ascii="Times New Roman" w:hAnsi="Times New Roman" w:cs="Times New Roman"/>
              </w:rPr>
              <w:br/>
              <w:t>- if postoperative pathology shows negative margins: follow-up with cytology + colposcopy + ECC should be performed at 4–6 months.</w:t>
            </w:r>
            <w:r w:rsidRPr="00CB2EC4">
              <w:rPr>
                <w:rFonts w:ascii="Times New Roman" w:hAnsi="Times New Roman" w:cs="Times New Roman"/>
              </w:rPr>
              <w:br/>
              <w:t>- if postoperative pathology shows positive margins (margin histopathology reports CINⅡ or higher): cytology, colposcopy, and ECC should be repeated at 4–6 months, and management should proceed according to the corresponding lesion grade based on the follow-up results.</w:t>
            </w:r>
            <w:r w:rsidRPr="00CB2EC4">
              <w:rPr>
                <w:rFonts w:ascii="Times New Roman" w:hAnsi="Times New Roman" w:cs="Times New Roman"/>
              </w:rPr>
              <w:br/>
              <w:t>- if suspicious invasive cancer is found intraoperatively: send for pathology immediately; if confirmed, refer to the cervical cancer treatment pathway.</w:t>
            </w:r>
          </w:p>
        </w:tc>
        <w:tc>
          <w:tcPr>
            <w:tcW w:w="1152" w:type="dxa"/>
            <w:vAlign w:val="center"/>
          </w:tcPr>
          <w:p w14:paraId="0F2636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7FAC9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1208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3339B1" w14:textId="77777777">
        <w:tc>
          <w:tcPr>
            <w:tcW w:w="2160" w:type="dxa"/>
            <w:vAlign w:val="center"/>
          </w:tcPr>
          <w:p w14:paraId="339B3E08"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5A77F43"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with histopathologically confirmed HSIL (including CIN II, CIN II/III, CIN III, CIN II/P16(+)) and transformation zone type TZ1/2 (transformation zone fully or partially visible), the follow-up steps are as follows:</w:t>
            </w:r>
            <w:r w:rsidRPr="00CB2EC4">
              <w:rPr>
                <w:rFonts w:ascii="Times New Roman" w:hAnsi="Times New Roman" w:cs="Times New Roman"/>
              </w:rPr>
              <w:br/>
            </w:r>
            <w:r w:rsidRPr="00CB2EC4">
              <w:rPr>
                <w:rFonts w:ascii="Times New Roman" w:hAnsi="Times New Roman" w:cs="Times New Roman"/>
              </w:rPr>
              <w:lastRenderedPageBreak/>
              <w:br/>
              <w:t>- Management: The preferred approach is diagnostic/therapeutic cervical conization (e.g., LEEP or cold knife conization). If criteria for ablative therapy are met (e.g., lesion is localized, no evidence of invasive cancer), cervical ablation (e.g., cryotherapy, laser) may be considered with caution.</w:t>
            </w:r>
            <w:r w:rsidRPr="00CB2EC4">
              <w:rPr>
                <w:rFonts w:ascii="Times New Roman" w:hAnsi="Times New Roman" w:cs="Times New Roman"/>
              </w:rPr>
              <w:br/>
              <w:t>- Follow-up steps:</w:t>
            </w:r>
            <w:r w:rsidRPr="00CB2EC4">
              <w:rPr>
                <w:rFonts w:ascii="Times New Roman" w:hAnsi="Times New Roman" w:cs="Times New Roman"/>
              </w:rPr>
              <w:br/>
              <w:t xml:space="preserve">  - If postoperative pathology shows negative margins: Perform follow-up at 4–6 months, including cytology, colposcopy, and endocervical curettage (ECC).</w:t>
            </w:r>
            <w:r w:rsidRPr="00CB2EC4">
              <w:rPr>
                <w:rFonts w:ascii="Times New Roman" w:hAnsi="Times New Roman" w:cs="Times New Roman"/>
              </w:rPr>
              <w:br/>
              <w:t xml:space="preserve">  - If postoperative pathology shows positive margins (margin histopathology reports CIN II or higher): Perform follow-up at 4–6 months with cytology, colposcopy, and ECC, and manage according to findings (e.g., if persistent HSIL is detected, repeat conization or refer to cervical cancer treatment pathway may be needed).</w:t>
            </w:r>
            <w:r w:rsidRPr="00CB2EC4">
              <w:rPr>
                <w:rFonts w:ascii="Times New Roman" w:hAnsi="Times New Roman" w:cs="Times New Roman"/>
              </w:rPr>
              <w:br/>
              <w:t xml:space="preserve">  - If suspicious invasive cancer is found intraoperatively: Send for immediate pathological confirmation; if invasive cancer is confirmed, refer to cervical cancer treatment pathway.</w:t>
            </w:r>
            <w:r w:rsidRPr="00CB2EC4">
              <w:rPr>
                <w:rFonts w:ascii="Times New Roman" w:hAnsi="Times New Roman" w:cs="Times New Roman"/>
              </w:rPr>
              <w:br/>
            </w:r>
            <w:r w:rsidRPr="00CB2EC4">
              <w:rPr>
                <w:rFonts w:ascii="Times New Roman" w:hAnsi="Times New Roman" w:cs="Times New Roman"/>
              </w:rPr>
              <w:br/>
              <w:t>This information is based on management principles for general patients (excluding ages 21–24 and pregnant patients) from relevant document 1. The core of follow-up is the 4–6 month postoperative review to monitor lesion regression or progression.</w:t>
            </w:r>
          </w:p>
        </w:tc>
        <w:tc>
          <w:tcPr>
            <w:tcW w:w="1152" w:type="dxa"/>
            <w:vAlign w:val="center"/>
          </w:tcPr>
          <w:p w14:paraId="65CA1C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BB3C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03DC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2D1152" w14:textId="77777777">
        <w:tc>
          <w:tcPr>
            <w:tcW w:w="2160" w:type="dxa"/>
            <w:vAlign w:val="center"/>
          </w:tcPr>
          <w:p w14:paraId="3E39202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09364E4"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a patient with histopathologically confirmed HSIL (including CIN II, CIN II/III, CIN III, CIN II/P16(+)) and transformation zone type TZ1/2, the following follow-up steps should be taken:</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Preferred management: perform diagnostic/therapeutic cervical conization.</w:t>
            </w:r>
            <w:r w:rsidRPr="00CB2EC4">
              <w:rPr>
                <w:rFonts w:ascii="Times New Roman" w:hAnsi="Times New Roman" w:cs="Times New Roman"/>
              </w:rPr>
              <w:br/>
              <w:t>- Postoperative management:</w:t>
            </w:r>
            <w:r w:rsidRPr="00CB2EC4">
              <w:rPr>
                <w:rFonts w:ascii="Times New Roman" w:hAnsi="Times New Roman" w:cs="Times New Roman"/>
              </w:rPr>
              <w:br/>
              <w:t xml:space="preserve">  - If postoperative pathology shows negative margins: follow up with cytology, colposcopy, and endocervical curettage (ECC) at 4–6 months.</w:t>
            </w:r>
            <w:r w:rsidRPr="00CB2EC4">
              <w:rPr>
                <w:rFonts w:ascii="Times New Roman" w:hAnsi="Times New Roman" w:cs="Times New Roman"/>
              </w:rPr>
              <w:br/>
              <w:t xml:space="preserve">  - If postoperative pathology shows positive margins (margin histopathology reports CIN II or higher): follow up with cytology, colposcopy, and ECC at 4–6 months, and manage according to the corresponding lesion grade based on the follow-up results.</w:t>
            </w:r>
            <w:r w:rsidRPr="00CB2EC4">
              <w:rPr>
                <w:rFonts w:ascii="Times New Roman" w:hAnsi="Times New Roman" w:cs="Times New Roman"/>
              </w:rPr>
              <w:br/>
              <w:t xml:space="preserve">  - If suspicious invasive cancer is found intraoperatively: send for immediate pathological examination; if confirmed, refer to the cervical cancer treatment protocol.</w:t>
            </w:r>
            <w:r w:rsidRPr="00CB2EC4">
              <w:rPr>
                <w:rFonts w:ascii="Times New Roman" w:hAnsi="Times New Roman" w:cs="Times New Roman"/>
              </w:rPr>
              <w:br/>
            </w:r>
            <w:r w:rsidRPr="00CB2EC4">
              <w:rPr>
                <w:rFonts w:ascii="Times New Roman" w:hAnsi="Times New Roman" w:cs="Times New Roman"/>
              </w:rPr>
              <w:br/>
              <w:t>Note: Although ablation therapy may be considered for TZ1/2 patients, it should be approached with caution; cervical conization remains the preferred option (source: first document fragment, general patient section a).</w:t>
            </w:r>
          </w:p>
        </w:tc>
        <w:tc>
          <w:tcPr>
            <w:tcW w:w="1152" w:type="dxa"/>
            <w:vAlign w:val="center"/>
          </w:tcPr>
          <w:p w14:paraId="219247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3D9A6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E458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5A38832" w14:textId="77777777">
        <w:tc>
          <w:tcPr>
            <w:tcW w:w="2160" w:type="dxa"/>
            <w:vAlign w:val="center"/>
          </w:tcPr>
          <w:p w14:paraId="09FE354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84ED15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histopathologically confirmed (biopsy) HSIL and a transformation zone type of TZ1/2, the following follow-up steps should be taken:</w:t>
            </w:r>
            <w:r w:rsidRPr="00CB2EC4">
              <w:rPr>
                <w:rFonts w:ascii="Times New Roman" w:hAnsi="Times New Roman" w:cs="Times New Roman"/>
              </w:rPr>
              <w:br/>
            </w:r>
            <w:r w:rsidRPr="00CB2EC4">
              <w:rPr>
                <w:rFonts w:ascii="Times New Roman" w:hAnsi="Times New Roman" w:cs="Times New Roman"/>
              </w:rPr>
              <w:br/>
              <w:t>- For general patients (not aged 21–24, not pregnant) with histopathologically confirmed HSIL and transformation zone type TZ1/2 (fully or partially visible transformation zone), the preferred management is diagnostic/therapeutic cervical conization.</w:t>
            </w:r>
            <w:r w:rsidRPr="00CB2EC4">
              <w:rPr>
                <w:rFonts w:ascii="Times New Roman" w:hAnsi="Times New Roman" w:cs="Times New Roman"/>
              </w:rPr>
              <w:br/>
              <w:t xml:space="preserve">- If indications for ablative therapy are met (e.g., lesion extent is suitable), cervical ablation (such as </w:t>
            </w:r>
            <w:r w:rsidRPr="00CB2EC4">
              <w:rPr>
                <w:rFonts w:ascii="Times New Roman" w:hAnsi="Times New Roman" w:cs="Times New Roman"/>
              </w:rPr>
              <w:lastRenderedPageBreak/>
              <w:t>cryotherapy or laser) may be cautiously considered.</w:t>
            </w:r>
            <w:r w:rsidRPr="00CB2EC4">
              <w:rPr>
                <w:rFonts w:ascii="Times New Roman" w:hAnsi="Times New Roman" w:cs="Times New Roman"/>
              </w:rPr>
              <w:br/>
              <w:t>- Post-procedure follow-up:</w:t>
            </w:r>
            <w:r w:rsidRPr="00CB2EC4">
              <w:rPr>
                <w:rFonts w:ascii="Times New Roman" w:hAnsi="Times New Roman" w:cs="Times New Roman"/>
              </w:rPr>
              <w:br/>
              <w:t xml:space="preserve">  - If postoperative pathology shows negative margins, perform follow-up (cytology + colposcopy + ECC) at 4–6 months.</w:t>
            </w:r>
            <w:r w:rsidRPr="00CB2EC4">
              <w:rPr>
                <w:rFonts w:ascii="Times New Roman" w:hAnsi="Times New Roman" w:cs="Times New Roman"/>
              </w:rPr>
              <w:br/>
              <w:t xml:space="preserve">  - If postoperative pathology shows positive margins (margin histopathology report indicates CIN II or higher), perform follow-up with cytology, colposcopy, and ECC at 4–6 months, and manage according to the corresponding lesion grade based on the follow-up results.</w:t>
            </w:r>
            <w:r w:rsidRPr="00CB2EC4">
              <w:rPr>
                <w:rFonts w:ascii="Times New Roman" w:hAnsi="Times New Roman" w:cs="Times New Roman"/>
              </w:rPr>
              <w:br/>
              <w:t xml:space="preserve">  - If suspicious invasive cancer is found intraoperatively, send for immediate pathological examination; if confirmed, refer to the cervical cancer treatment pathway.</w:t>
            </w:r>
            <w:r w:rsidRPr="00CB2EC4">
              <w:rPr>
                <w:rFonts w:ascii="Times New Roman" w:hAnsi="Times New Roman" w:cs="Times New Roman"/>
              </w:rPr>
              <w:br/>
              <w:t xml:space="preserve">  Source: Document Fragment 2 explicitly describes this process.</w:t>
            </w:r>
          </w:p>
        </w:tc>
        <w:tc>
          <w:tcPr>
            <w:tcW w:w="1152" w:type="dxa"/>
            <w:vAlign w:val="center"/>
          </w:tcPr>
          <w:p w14:paraId="02C2BE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073C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4B1D7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BACACA" w14:textId="77777777">
        <w:tc>
          <w:tcPr>
            <w:tcW w:w="2160" w:type="dxa"/>
            <w:vAlign w:val="center"/>
          </w:tcPr>
          <w:p w14:paraId="7DACDBE9"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B7D77D2"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a general patient (not aged 21-24, not pregnant) with histopathologically confirmed HSIL (including CIN II, CIN II/III, CIN III, CIN II/P16(+)) and transformation zone type TZ1/2 (transformation zone fully/partially visible):</w:t>
            </w:r>
            <w:r w:rsidRPr="00CB2EC4">
              <w:rPr>
                <w:rFonts w:ascii="Times New Roman" w:hAnsi="Times New Roman" w:cs="Times New Roman"/>
              </w:rPr>
              <w:br/>
            </w:r>
            <w:r w:rsidRPr="00CB2EC4">
              <w:rPr>
                <w:rFonts w:ascii="Times New Roman" w:hAnsi="Times New Roman" w:cs="Times New Roman"/>
              </w:rPr>
              <w:br/>
              <w:t>- initial management: preferred diagnostic/therapeutic cervical conization. if criteria for ablative therapy are met (e.g., specific patient conditions), cervical ablation may be cautiously considered.</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pathology shows negative margins (no CIN II or higher), perform follow-up at 4–6 months (cytology + colposcopy + endocervical curettage (ECC)).</w:t>
            </w:r>
            <w:r w:rsidRPr="00CB2EC4">
              <w:rPr>
                <w:rFonts w:ascii="Times New Roman" w:hAnsi="Times New Roman" w:cs="Times New Roman"/>
              </w:rPr>
              <w:br/>
              <w:t xml:space="preserve">  - if postoperative pathology shows positive margins (margin histopathology reports CIN II or higher), </w:t>
            </w:r>
            <w:r w:rsidRPr="00CB2EC4">
              <w:rPr>
                <w:rFonts w:ascii="Times New Roman" w:hAnsi="Times New Roman" w:cs="Times New Roman"/>
              </w:rPr>
              <w:lastRenderedPageBreak/>
              <w:t>perform follow-up at 4–6 months with cytology, colposcopy, and ECC, and manage according to the corresponding lesion grade based on findings (e.g., if persistent HSIL is found, further surgery or treatment may be needed).</w:t>
            </w:r>
            <w:r w:rsidRPr="00CB2EC4">
              <w:rPr>
                <w:rFonts w:ascii="Times New Roman" w:hAnsi="Times New Roman" w:cs="Times New Roman"/>
              </w:rPr>
              <w:br/>
              <w:t xml:space="preserve">  - if invasive cancer is suspected intraoperatively, send for immediate pathological confirmation and transition to cervical cancer treatment protocol.</w:t>
            </w:r>
            <w:r w:rsidRPr="00CB2EC4">
              <w:rPr>
                <w:rFonts w:ascii="Times New Roman" w:hAnsi="Times New Roman" w:cs="Times New Roman"/>
              </w:rPr>
              <w:br/>
              <w:t>- long-term follow-up: patients treated for HSIL are advised to undergo follow-up with cytology plus HPV testing for 20 years. if postoperative margins are negative, perform cytology plus HPV testing at 6–12 months postoperatively; if no persistent lesion is found, repeat testing at 12 months; after two consecutive normal results, follow-up every 3 years is recommended. if abnormalities are detected during follow-up, manage according to the abnormal result protocol.</w:t>
            </w:r>
            <w:r w:rsidRPr="00CB2EC4">
              <w:rPr>
                <w:rFonts w:ascii="Times New Roman" w:hAnsi="Times New Roman" w:cs="Times New Roman"/>
              </w:rPr>
              <w:br/>
            </w:r>
            <w:r w:rsidRPr="00CB2EC4">
              <w:rPr>
                <w:rFonts w:ascii="Times New Roman" w:hAnsi="Times New Roman" w:cs="Times New Roman"/>
              </w:rPr>
              <w:br/>
              <w:t>this response is based on the description of management flow for general patients with HSIL TZ1/2 in the second document fragment.</w:t>
            </w:r>
          </w:p>
        </w:tc>
        <w:tc>
          <w:tcPr>
            <w:tcW w:w="1152" w:type="dxa"/>
            <w:vAlign w:val="center"/>
          </w:tcPr>
          <w:p w14:paraId="476AAE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C842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A38F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B90A26A" w14:textId="77777777">
        <w:tc>
          <w:tcPr>
            <w:tcW w:w="2160" w:type="dxa"/>
            <w:vAlign w:val="center"/>
          </w:tcPr>
          <w:p w14:paraId="510260A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341D1A2"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histologically confirmed HSIL (including CIN II, CIN II/III, CIN III, or CIN II/P16+) and a transformation zone classified as TZ1/2 (transformation zone fully or partially visible), the follow-up steps are:</w:t>
            </w:r>
            <w:r w:rsidRPr="00CB2EC4">
              <w:rPr>
                <w:rFonts w:ascii="Times New Roman" w:hAnsi="Times New Roman" w:cs="Times New Roman"/>
              </w:rPr>
              <w:br/>
            </w:r>
            <w:r w:rsidRPr="00CB2EC4">
              <w:rPr>
                <w:rFonts w:ascii="Times New Roman" w:hAnsi="Times New Roman" w:cs="Times New Roman"/>
              </w:rPr>
              <w:br/>
              <w:t>- The preferred management is diagnostic/therapeutic cervical conization (e.g., LEEP or cold knife conization).</w:t>
            </w:r>
            <w:r w:rsidRPr="00CB2EC4">
              <w:rPr>
                <w:rFonts w:ascii="Times New Roman" w:hAnsi="Times New Roman" w:cs="Times New Roman"/>
              </w:rPr>
              <w:br/>
              <w:t>- If the criteria for ablative therapy are met (e.g., small lesion size, no evidence of invasion), cervical ablation may be cautiously considered as an alternative.</w:t>
            </w:r>
            <w:r w:rsidRPr="00CB2EC4">
              <w:rPr>
                <w:rFonts w:ascii="Times New Roman" w:hAnsi="Times New Roman" w:cs="Times New Roman"/>
              </w:rPr>
              <w:br/>
            </w:r>
            <w:r w:rsidRPr="00CB2EC4">
              <w:rPr>
                <w:rFonts w:ascii="Times New Roman" w:hAnsi="Times New Roman" w:cs="Times New Roman"/>
              </w:rPr>
              <w:lastRenderedPageBreak/>
              <w:t>- Post-procedure follow-up should be based on the pathological findings.</w:t>
            </w:r>
          </w:p>
        </w:tc>
        <w:tc>
          <w:tcPr>
            <w:tcW w:w="1152" w:type="dxa"/>
            <w:vAlign w:val="center"/>
          </w:tcPr>
          <w:p w14:paraId="6F1429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7D01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AFC7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F5BB99" w14:textId="77777777">
        <w:tc>
          <w:tcPr>
            <w:tcW w:w="2160" w:type="dxa"/>
            <w:vAlign w:val="center"/>
          </w:tcPr>
          <w:p w14:paraId="76B3BD62"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875429F"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histopathologically confirmed HSIL (including CIN II, CIN II/III, CIN III) and transformation zone type TZ1/2:</w:t>
            </w:r>
            <w:r w:rsidRPr="00CB2EC4">
              <w:rPr>
                <w:rFonts w:ascii="Times New Roman" w:hAnsi="Times New Roman" w:cs="Times New Roman"/>
              </w:rPr>
              <w:br/>
            </w:r>
            <w:r w:rsidRPr="00CB2EC4">
              <w:rPr>
                <w:rFonts w:ascii="Times New Roman" w:hAnsi="Times New Roman" w:cs="Times New Roman"/>
              </w:rPr>
              <w:br/>
              <w:t>- Preferred management: Diagnostic/therapeutic cervical excision should be performed. If ablation therapy indications are met (e.g., localized lesion extent, no evidence of invasive cancer), cervical ablation therapy may be cautiously considered.</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pathological margins are negative (no CIN II or higher lesions): Re-examine after 4-6 months, including cytology, colposcopy, and endocervical curettage (ECC).</w:t>
            </w:r>
            <w:r w:rsidRPr="00CB2EC4">
              <w:rPr>
                <w:rFonts w:ascii="Times New Roman" w:hAnsi="Times New Roman" w:cs="Times New Roman"/>
              </w:rPr>
              <w:br/>
              <w:t xml:space="preserve">  - If postoperative pathological margins are positive (CIN II or higher lesions present at margins): Re-examine cytology, colposcopy, and ECC after 4-6 months, and manage according to the corresponding lesion grade based on re-examination results (if progression occurs, transfer to treatment pathway).</w:t>
            </w:r>
            <w:r w:rsidRPr="00CB2EC4">
              <w:rPr>
                <w:rFonts w:ascii="Times New Roman" w:hAnsi="Times New Roman" w:cs="Times New Roman"/>
              </w:rPr>
              <w:br/>
              <w:t xml:space="preserve">  - If suspicious invasive cancer is found during surgery: Immediately send for pathological confirmation; if confirmed, transfer to cervical cancer treatment pathway.</w:t>
            </w:r>
            <w:r w:rsidRPr="00CB2EC4">
              <w:rPr>
                <w:rFonts w:ascii="Times New Roman" w:hAnsi="Times New Roman" w:cs="Times New Roman"/>
              </w:rPr>
              <w:br/>
              <w:t>- Basis: The document clearly states that diagnostic/therapeutic cervical excision should be the first choice for patients with histopathologically confirmed HSIL and cervical transformation zone type TZ1/2.</w:t>
            </w:r>
          </w:p>
        </w:tc>
        <w:tc>
          <w:tcPr>
            <w:tcW w:w="1152" w:type="dxa"/>
            <w:vAlign w:val="center"/>
          </w:tcPr>
          <w:p w14:paraId="7589CE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D1CC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5AC95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CB44A0B" w14:textId="77777777">
        <w:tc>
          <w:tcPr>
            <w:tcW w:w="2160" w:type="dxa"/>
            <w:vAlign w:val="center"/>
          </w:tcPr>
          <w:p w14:paraId="162AC290"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176C9F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a patient has histopathologically confirmed HSIL (biopsy) with </w:t>
            </w:r>
            <w:r w:rsidRPr="00CB2EC4">
              <w:rPr>
                <w:rFonts w:ascii="Times New Roman" w:hAnsi="Times New Roman" w:cs="Times New Roman"/>
              </w:rPr>
              <w:lastRenderedPageBreak/>
              <w:t>TZ1/2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response: according to the context (document fragment 1 and 5), for general patients (not aged 21–24, not pregnant), with histopathologically confirmed HSIL (including CINⅡ, CINⅡ/Ⅲ, CINⅢ) and TZ1/2 classification (transformation zone fully or partially visible), diagnostic/therapeutic cervical conization is the preferred procedure. if indications for ablative therapy are met (e.g., lesion is localized, no signs of invasive cancer), cervical ablation (such as cryotherapy or laser) may be cautiously considered. post-procedure follow-up steps are as follows:</w:t>
            </w:r>
            <w:r w:rsidRPr="00CB2EC4">
              <w:rPr>
                <w:rFonts w:ascii="Times New Roman" w:hAnsi="Times New Roman" w:cs="Times New Roman"/>
              </w:rPr>
              <w:br/>
              <w:t xml:space="preserve">  - if cervical conization shows negative surgical margins: repeat cytology, colposcopy, and endocervical curettage (ECC) at 4–6 months.</w:t>
            </w:r>
            <w:r w:rsidRPr="00CB2EC4">
              <w:rPr>
                <w:rFonts w:ascii="Times New Roman" w:hAnsi="Times New Roman" w:cs="Times New Roman"/>
              </w:rPr>
              <w:br/>
              <w:t xml:space="preserve">  - if cervical conization shows positive surgical margins (margins report CINⅡ or higher): repeat cytology, colposcopy, and ECC at 4–6 months, and manage according to the findings at the corresponding disease level.</w:t>
            </w:r>
            <w:r w:rsidRPr="00CB2EC4">
              <w:rPr>
                <w:rFonts w:ascii="Times New Roman" w:hAnsi="Times New Roman" w:cs="Times New Roman"/>
              </w:rPr>
              <w:br/>
              <w:t xml:space="preserve">  - if suspicious invasive cancer is found intraoperatively: send for immediate pathological examination; if confirmed, refer to cervical cancer treatment protocol.</w:t>
            </w:r>
            <w:r w:rsidRPr="00CB2EC4">
              <w:rPr>
                <w:rFonts w:ascii="Times New Roman" w:hAnsi="Times New Roman" w:cs="Times New Roman"/>
              </w:rPr>
              <w:br/>
              <w:t>- basis: document fragment 1 explicitly states: “if a patient has histopathologically confirmed HSIL with transformation zone type TZ1/2 (fully/partially visible), diagnostic/therapeutic cervical conization should be the first choice. if ablative therapy indications are met, such patients may cautiously choose cervical ablation.” document fragments 5 and 11 further support this protocol.</w:t>
            </w:r>
          </w:p>
        </w:tc>
        <w:tc>
          <w:tcPr>
            <w:tcW w:w="1152" w:type="dxa"/>
            <w:vAlign w:val="center"/>
          </w:tcPr>
          <w:p w14:paraId="452E85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D5EC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E106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76C398" w14:textId="77777777">
        <w:tc>
          <w:tcPr>
            <w:tcW w:w="2160" w:type="dxa"/>
            <w:vAlign w:val="center"/>
          </w:tcPr>
          <w:p w14:paraId="2B897B1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5443D4D5"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a patient with histopathologically confirmed HSIL (biopsy) and transformation zone type TZ1/2, the following follow-up steps should be taken:</w:t>
            </w:r>
            <w:r w:rsidRPr="00CB2EC4">
              <w:rPr>
                <w:rFonts w:ascii="Times New Roman" w:hAnsi="Times New Roman" w:cs="Times New Roman"/>
              </w:rPr>
              <w:br/>
            </w:r>
            <w:r w:rsidRPr="00CB2EC4">
              <w:rPr>
                <w:rFonts w:ascii="Times New Roman" w:hAnsi="Times New Roman" w:cs="Times New Roman"/>
              </w:rPr>
              <w:br/>
              <w:t>- For general patients (not aged 21–24, not pregnant), with histopathologically confirmed HSIL (including CIN II, CIN II/III, CIN III, CIN II/P16(+)) and transformation zone type TZ1/2 (transformation zone fully or partially visible):</w:t>
            </w:r>
            <w:r w:rsidRPr="00CB2EC4">
              <w:rPr>
                <w:rFonts w:ascii="Times New Roman" w:hAnsi="Times New Roman" w:cs="Times New Roman"/>
              </w:rPr>
              <w:br/>
              <w:t xml:space="preserve">  - The preferred approach is diagnostic/therapeutic cervical excision.</w:t>
            </w:r>
            <w:r w:rsidRPr="00CB2EC4">
              <w:rPr>
                <w:rFonts w:ascii="Times New Roman" w:hAnsi="Times New Roman" w:cs="Times New Roman"/>
              </w:rPr>
              <w:br/>
              <w:t xml:space="preserve">  - If indications for ablative therapy are met, cervical ablation may be cautiously considered (but requires careful evaluation).</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pathology shows negative margins: repeat testing (including cytology, colposcopy, and endocervical curettage (ECC)) at 4–6 months.</w:t>
            </w:r>
            <w:r w:rsidRPr="00CB2EC4">
              <w:rPr>
                <w:rFonts w:ascii="Times New Roman" w:hAnsi="Times New Roman" w:cs="Times New Roman"/>
              </w:rPr>
              <w:br/>
              <w:t xml:space="preserve">  - If postoperative pathology shows positive margins (histopathological report of CIN II or higher): repeat cytology, colposcopy, and ECC at 4–6 months, and manage according to the corresponding lesion grade based on follow-up results.</w:t>
            </w:r>
            <w:r w:rsidRPr="00CB2EC4">
              <w:rPr>
                <w:rFonts w:ascii="Times New Roman" w:hAnsi="Times New Roman" w:cs="Times New Roman"/>
              </w:rPr>
              <w:br/>
              <w:t xml:space="preserve">  - If suspicious invasive cancer is found intraoperatively: send for immediate pathological examination; if confirmed, refer to cervical cancer treatment protocol.</w:t>
            </w:r>
            <w:r w:rsidRPr="00CB2EC4">
              <w:rPr>
                <w:rFonts w:ascii="Times New Roman" w:hAnsi="Times New Roman" w:cs="Times New Roman"/>
              </w:rPr>
              <w:br/>
              <w:t xml:space="preserve">    In summary, follow-up steps prioritize surgical treatment, with regular postoperative surveillance based on pathological findings.</w:t>
            </w:r>
          </w:p>
        </w:tc>
        <w:tc>
          <w:tcPr>
            <w:tcW w:w="1152" w:type="dxa"/>
            <w:vAlign w:val="center"/>
          </w:tcPr>
          <w:p w14:paraId="4948C1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22E9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55CB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440157A" w14:textId="77777777">
        <w:tc>
          <w:tcPr>
            <w:tcW w:w="2160" w:type="dxa"/>
            <w:vAlign w:val="center"/>
          </w:tcPr>
          <w:p w14:paraId="6E3A6A32"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208E10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(biopsy) HSIL with TZ1/2 classification, what follow-up steps should be taken?</w:t>
            </w:r>
            <w:r w:rsidRPr="00CB2EC4">
              <w:rPr>
                <w:rFonts w:ascii="Times New Roman" w:hAnsi="Times New Roman" w:cs="Times New Roman"/>
              </w:rPr>
              <w:br/>
            </w:r>
            <w:r w:rsidRPr="00CB2EC4">
              <w:rPr>
                <w:rFonts w:ascii="Times New Roman" w:hAnsi="Times New Roman" w:cs="Times New Roman"/>
              </w:rPr>
              <w:lastRenderedPageBreak/>
              <w:br/>
              <w:t xml:space="preserve">Follow-up steps: Excisional treatment (e.g., loop electrosurgical excision procedure [LEEP] or cold knife conization) is recommended.  </w:t>
            </w:r>
            <w:r w:rsidRPr="00CB2EC4">
              <w:rPr>
                <w:rFonts w:ascii="Times New Roman" w:hAnsi="Times New Roman" w:cs="Times New Roman"/>
              </w:rPr>
              <w:br/>
              <w:t xml:space="preserve">  For biopsy-confirmed HSIL (including CIN2 or CIN3), excisional treatment is recommended regardless of transformation zone (TZ) classification (TZ1 or TZ2 indicates the transformation zone is fully or partially visible) to remove the lesion, as HSIL carries a high risk of progression to invasive cancer.</w:t>
            </w:r>
          </w:p>
        </w:tc>
        <w:tc>
          <w:tcPr>
            <w:tcW w:w="1152" w:type="dxa"/>
            <w:vAlign w:val="center"/>
          </w:tcPr>
          <w:p w14:paraId="39AE5D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15736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C922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A15DCF" w14:textId="77777777">
        <w:tc>
          <w:tcPr>
            <w:tcW w:w="10656" w:type="dxa"/>
            <w:gridSpan w:val="5"/>
            <w:tcBorders>
              <w:bottom w:val="single" w:sz="6" w:space="0" w:color="auto"/>
            </w:tcBorders>
            <w:vAlign w:val="center"/>
          </w:tcPr>
          <w:p w14:paraId="5984CC6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27: In cervical cancer screening, if a patient has a histopathological confirmation (biopsy) of HSIL and a TZ3 classification, what follow-up steps should be conducted?</w:t>
            </w:r>
          </w:p>
        </w:tc>
      </w:tr>
      <w:tr w:rsidR="00922249" w:rsidRPr="00CB2EC4" w14:paraId="563F6C9E" w14:textId="77777777">
        <w:tc>
          <w:tcPr>
            <w:tcW w:w="2160" w:type="dxa"/>
            <w:vAlign w:val="center"/>
          </w:tcPr>
          <w:p w14:paraId="0798AD5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73F7020"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HSIL (biopsy) and a TZ3 transformation zone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 for general patients (not aged 21–24, not pregnant): if histologically confirmed HSIL and cervical transformation zone type is TZ3 (transformation zone not visible), the patient should directly undergo diagnostic/therapeutic cervical conization (ablation therapy is not an option).</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pathology shows negative margins: repeat testing including cytology, colposcopy, and endocervical curettage (ECC) should be performed at 4–6 months.</w:t>
            </w:r>
            <w:r w:rsidRPr="00CB2EC4">
              <w:rPr>
                <w:rFonts w:ascii="Times New Roman" w:hAnsi="Times New Roman" w:cs="Times New Roman"/>
              </w:rPr>
              <w:br/>
              <w:t xml:space="preserve">  - if postoperative pathology shows positive margins (CIN II or higher): cytology, colposcopy, and ECC should be repeated at 4–6 months, and management should be based on the findings according to the corresponding lesion grade.</w:t>
            </w:r>
            <w:r w:rsidRPr="00CB2EC4">
              <w:rPr>
                <w:rFonts w:ascii="Times New Roman" w:hAnsi="Times New Roman" w:cs="Times New Roman"/>
              </w:rPr>
              <w:br/>
            </w:r>
            <w:r w:rsidRPr="00CB2EC4">
              <w:rPr>
                <w:rFonts w:ascii="Times New Roman" w:hAnsi="Times New Roman" w:cs="Times New Roman"/>
              </w:rPr>
              <w:lastRenderedPageBreak/>
              <w:t xml:space="preserve">  - if intraoperative suspicion of invasive cancer arises: immediate pathological examination should be performed, and upon confirmation, transition to the cervical cancer treatment protocol.</w:t>
            </w:r>
            <w:r w:rsidRPr="00CB2EC4">
              <w:rPr>
                <w:rFonts w:ascii="Times New Roman" w:hAnsi="Times New Roman" w:cs="Times New Roman"/>
              </w:rPr>
              <w:br/>
              <w:t>- therefore, follow-up steps depend on the postoperative pathological results: negative margins → repeat testing (cytology + colposcopy + ECC) at 4–6 months; positive margins → repeat testing at 4–6 months and manage based on results.</w:t>
            </w:r>
          </w:p>
        </w:tc>
        <w:tc>
          <w:tcPr>
            <w:tcW w:w="1152" w:type="dxa"/>
            <w:vAlign w:val="center"/>
          </w:tcPr>
          <w:p w14:paraId="27BD3C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1D892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6D40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EA8852" w14:textId="77777777">
        <w:tc>
          <w:tcPr>
            <w:tcW w:w="2160" w:type="dxa"/>
            <w:vAlign w:val="center"/>
          </w:tcPr>
          <w:p w14:paraId="5A36DC30"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5AA01C5"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HSIL (biopsy) and TZ3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response: according to document fragment 1 (section: HSIL management principles), for general patients with confirmed HSIL and cervical transformation zone type TZ3 (transformation zone not visible):</w:t>
            </w:r>
            <w:r w:rsidRPr="00CB2EC4">
              <w:rPr>
                <w:rFonts w:ascii="Times New Roman" w:hAnsi="Times New Roman" w:cs="Times New Roman"/>
              </w:rPr>
              <w:br/>
              <w:t xml:space="preserve">  - management: directly perform diagnostic/therapeutic cervical conization (ablation therapy is not an option).</w:t>
            </w:r>
            <w:r w:rsidRPr="00CB2EC4">
              <w:rPr>
                <w:rFonts w:ascii="Times New Roman" w:hAnsi="Times New Roman" w:cs="Times New Roman"/>
              </w:rPr>
              <w:br/>
              <w:t xml:space="preserve">  - postoperative follow-up:</w:t>
            </w:r>
            <w:r w:rsidRPr="00CB2EC4">
              <w:rPr>
                <w:rFonts w:ascii="Times New Roman" w:hAnsi="Times New Roman" w:cs="Times New Roman"/>
              </w:rPr>
              <w:br/>
              <w:t xml:space="preserve">    - if postoperative pathology shows negative margins: review at 4–6 months (cytology + colposcopy + ECC).</w:t>
            </w:r>
            <w:r w:rsidRPr="00CB2EC4">
              <w:rPr>
                <w:rFonts w:ascii="Times New Roman" w:hAnsi="Times New Roman" w:cs="Times New Roman"/>
              </w:rPr>
              <w:br/>
              <w:t xml:space="preserve">    - if postoperative pathology shows positive margins (CIN II or higher): review cytology, colposcopy, and ECC at 4–6 months, and manage according to the corresponding lesion level based on review results.</w:t>
            </w:r>
            <w:r w:rsidRPr="00CB2EC4">
              <w:rPr>
                <w:rFonts w:ascii="Times New Roman" w:hAnsi="Times New Roman" w:cs="Times New Roman"/>
              </w:rPr>
              <w:br/>
              <w:t xml:space="preserve">    - if suspicious invasive cancer is found during surgery: send for pathology immediately; if confirmed, refer to cervical cancer treatment protocol.</w:t>
            </w:r>
            <w:r w:rsidRPr="00CB2EC4">
              <w:rPr>
                <w:rFonts w:ascii="Times New Roman" w:hAnsi="Times New Roman" w:cs="Times New Roman"/>
              </w:rPr>
              <w:br/>
              <w:t xml:space="preserve">  - basis: main text content of fragment 1 (general patient section, TZ3 management).</w:t>
            </w:r>
          </w:p>
        </w:tc>
        <w:tc>
          <w:tcPr>
            <w:tcW w:w="1152" w:type="dxa"/>
            <w:vAlign w:val="center"/>
          </w:tcPr>
          <w:p w14:paraId="66129E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5207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EF64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90778F" w14:textId="77777777">
        <w:tc>
          <w:tcPr>
            <w:tcW w:w="2160" w:type="dxa"/>
            <w:vAlign w:val="center"/>
          </w:tcPr>
          <w:p w14:paraId="1E7C9CA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2D91F3F4"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histopathologically confirmed (biopsy) HSIL and TZ3 classification, what follow-up steps should be taken?</w:t>
            </w:r>
            <w:r w:rsidRPr="00CB2EC4">
              <w:rPr>
                <w:rFonts w:ascii="Times New Roman" w:hAnsi="Times New Roman" w:cs="Times New Roman"/>
              </w:rPr>
              <w:br/>
            </w:r>
            <w:r w:rsidRPr="00CB2EC4">
              <w:rPr>
                <w:rFonts w:ascii="Times New Roman" w:hAnsi="Times New Roman" w:cs="Times New Roman"/>
              </w:rPr>
              <w:br/>
              <w:t>response: according to document fragment 3 (relevance: 0.800), for general patients (not aged 21–24, not pregnant), if histopathology confirms HSIL and the cervical transformation zone type is TZ3 (transformation zone not visible), the patient should directly undergo diagnostic/therapeutic cervical conization (ablation therapy is not an option). after treatment, according to document fragment 8 (relevance: 0.700), follow-up steps include: cervical cytology every 3 months in the first year post-treatment; if all smear results are normal, annual cytology thereafter; high-risk HPV testing at least 6 months after treatment. additionally, if the specimen margins are confirmed as CIN, colposcopy and endocervical curettage are recommended every 4–6 months until two consecutive normal results, then switch to annual cytology.</w:t>
            </w:r>
            <w:r w:rsidRPr="00CB2EC4">
              <w:rPr>
                <w:rFonts w:ascii="Times New Roman" w:hAnsi="Times New Roman" w:cs="Times New Roman"/>
              </w:rPr>
              <w:br/>
              <w:t>- conclusion: follow-up steps are: direct cervical conization, followed by intensified surveillance (cytology every 3 months in the first year, then annually; HPV testing at 6 months post-treatment; colposcopy and curettage as needed).</w:t>
            </w:r>
          </w:p>
        </w:tc>
        <w:tc>
          <w:tcPr>
            <w:tcW w:w="1152" w:type="dxa"/>
            <w:vAlign w:val="center"/>
          </w:tcPr>
          <w:p w14:paraId="5348B0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9CAF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07AD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EE71A7" w14:textId="77777777">
        <w:tc>
          <w:tcPr>
            <w:tcW w:w="2160" w:type="dxa"/>
            <w:vAlign w:val="center"/>
          </w:tcPr>
          <w:p w14:paraId="624763D7"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7CE2677" w14:textId="77777777" w:rsidR="00922249" w:rsidRPr="00CB2EC4" w:rsidRDefault="003011D5">
            <w:pPr>
              <w:rPr>
                <w:rFonts w:ascii="Times New Roman" w:hAnsi="Times New Roman" w:cs="Times New Roman"/>
              </w:rPr>
            </w:pPr>
            <w:r w:rsidRPr="00CB2EC4">
              <w:rPr>
                <w:rFonts w:ascii="Times New Roman" w:hAnsi="Times New Roman" w:cs="Times New Roman"/>
              </w:rPr>
              <w:t>Follow-up steps for HSIL (TZ3 classification) patients</w:t>
            </w:r>
            <w:r w:rsidRPr="00CB2EC4">
              <w:rPr>
                <w:rFonts w:ascii="Times New Roman" w:hAnsi="Times New Roman" w:cs="Times New Roman"/>
              </w:rPr>
              <w:br/>
            </w:r>
            <w:r w:rsidRPr="00CB2EC4">
              <w:rPr>
                <w:rFonts w:ascii="Times New Roman" w:hAnsi="Times New Roman" w:cs="Times New Roman"/>
              </w:rPr>
              <w:br/>
              <w:t>Knowledge base reference:</w:t>
            </w:r>
            <w:r w:rsidRPr="00CB2EC4">
              <w:rPr>
                <w:rFonts w:ascii="Times New Roman" w:hAnsi="Times New Roman" w:cs="Times New Roman"/>
              </w:rPr>
              <w:br/>
            </w:r>
            <w:r w:rsidRPr="00CB2EC4">
              <w:rPr>
                <w:rFonts w:ascii="Times New Roman" w:hAnsi="Times New Roman" w:cs="Times New Roman"/>
              </w:rPr>
              <w:br/>
              <w:t>- All patients:</w:t>
            </w:r>
            <w:r w:rsidRPr="00CB2EC4">
              <w:rPr>
                <w:rFonts w:ascii="Times New Roman" w:hAnsi="Times New Roman" w:cs="Times New Roman"/>
              </w:rPr>
              <w:br/>
              <w:t xml:space="preserve">  - Directly undergo diagnostic/therapeutic cervical conization (ablation therapy is not an option) ("General patient b" and Figure 5 workflow).</w:t>
            </w:r>
            <w:r w:rsidRPr="00CB2EC4">
              <w:rPr>
                <w:rFonts w:ascii="Times New Roman" w:hAnsi="Times New Roman" w:cs="Times New Roman"/>
              </w:rPr>
              <w:br/>
            </w:r>
            <w:r w:rsidRPr="00CB2EC4">
              <w:rPr>
                <w:rFonts w:ascii="Times New Roman" w:hAnsi="Times New Roman" w:cs="Times New Roman"/>
              </w:rPr>
              <w:lastRenderedPageBreak/>
              <w:t>- Postoperative management:</w:t>
            </w:r>
            <w:r w:rsidRPr="00CB2EC4">
              <w:rPr>
                <w:rFonts w:ascii="Times New Roman" w:hAnsi="Times New Roman" w:cs="Times New Roman"/>
              </w:rPr>
              <w:br/>
              <w:t xml:space="preserve">  - Negative margins: Re-examine at 4–6 months (cytology + colposcopy + ECC).</w:t>
            </w:r>
            <w:r w:rsidRPr="00CB2EC4">
              <w:rPr>
                <w:rFonts w:ascii="Times New Roman" w:hAnsi="Times New Roman" w:cs="Times New Roman"/>
              </w:rPr>
              <w:br/>
              <w:t xml:space="preserve">  - Positive margins (CIN II+): Re-examine at 4–6 months, manage according to results ("General patient b" section).</w:t>
            </w:r>
            <w:r w:rsidRPr="00CB2EC4">
              <w:rPr>
                <w:rFonts w:ascii="Times New Roman" w:hAnsi="Times New Roman" w:cs="Times New Roman"/>
              </w:rPr>
              <w:br/>
            </w:r>
            <w:r w:rsidRPr="00CB2EC4">
              <w:rPr>
                <w:rFonts w:ascii="Times New Roman" w:hAnsi="Times New Roman" w:cs="Times New Roman"/>
              </w:rPr>
              <w:br/>
              <w:t>&gt; Conclusion: Cervical conization must be performed, with regular follow-up after surgery.</w:t>
            </w:r>
          </w:p>
        </w:tc>
        <w:tc>
          <w:tcPr>
            <w:tcW w:w="1152" w:type="dxa"/>
            <w:vAlign w:val="center"/>
          </w:tcPr>
          <w:p w14:paraId="6AA68A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2135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19E8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59A884" w14:textId="77777777">
        <w:tc>
          <w:tcPr>
            <w:tcW w:w="2160" w:type="dxa"/>
            <w:vAlign w:val="center"/>
          </w:tcPr>
          <w:p w14:paraId="398AEE2F"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1E044BD"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HSIL (biopsy) and a TZ3 transformation zone classification, what follow-up steps should be taken?</w:t>
            </w:r>
            <w:r w:rsidRPr="00CB2EC4">
              <w:rPr>
                <w:rFonts w:ascii="Times New Roman" w:hAnsi="Times New Roman" w:cs="Times New Roman"/>
              </w:rPr>
              <w:br/>
            </w:r>
            <w:r w:rsidRPr="00CB2EC4">
              <w:rPr>
                <w:rFonts w:ascii="Times New Roman" w:hAnsi="Times New Roman" w:cs="Times New Roman"/>
              </w:rPr>
              <w:br/>
              <w:t>according to document fragment 2, for a general patient (not aged 21–24, not pregnant) with histologically confirmed HSIL, if the cervical transformation zone type is TZ3 (transformation zone not visible), the patient should directly undergo diagnostic/therapeutic cervical conization (ablation therapy is not an option).</w:t>
            </w:r>
            <w:r w:rsidRPr="00CB2EC4">
              <w:rPr>
                <w:rFonts w:ascii="Times New Roman" w:hAnsi="Times New Roman" w:cs="Times New Roman"/>
              </w:rPr>
              <w:br/>
            </w:r>
            <w:r w:rsidRPr="00CB2EC4">
              <w:rPr>
                <w:rFonts w:ascii="Times New Roman" w:hAnsi="Times New Roman" w:cs="Times New Roman"/>
              </w:rPr>
              <w:br/>
              <w:t>postoperative follow-up steps:</w:t>
            </w:r>
            <w:r w:rsidRPr="00CB2EC4">
              <w:rPr>
                <w:rFonts w:ascii="Times New Roman" w:hAnsi="Times New Roman" w:cs="Times New Roman"/>
              </w:rPr>
              <w:br/>
            </w:r>
            <w:r w:rsidRPr="00CB2EC4">
              <w:rPr>
                <w:rFonts w:ascii="Times New Roman" w:hAnsi="Times New Roman" w:cs="Times New Roman"/>
              </w:rPr>
              <w:br/>
              <w:t>- if postoperative pathology shows negative margins: a follow-up examination (cytology + colposcopy + ECC) should be performed at 4–6 months.</w:t>
            </w:r>
            <w:r w:rsidRPr="00CB2EC4">
              <w:rPr>
                <w:rFonts w:ascii="Times New Roman" w:hAnsi="Times New Roman" w:cs="Times New Roman"/>
              </w:rPr>
              <w:br/>
              <w:t>- if postoperative pathology shows positive margins (CINⅡ or higher): a follow-up examination with cytology, colposcopy, and ECC should be performed at 4–6 months, and management should proceed according to the level of lesion identified upon re-evaluation.</w:t>
            </w:r>
            <w:r w:rsidRPr="00CB2EC4">
              <w:rPr>
                <w:rFonts w:ascii="Times New Roman" w:hAnsi="Times New Roman" w:cs="Times New Roman"/>
              </w:rPr>
              <w:br/>
              <w:t xml:space="preserve">- if suspicious invasive cancer is found </w:t>
            </w:r>
            <w:r w:rsidRPr="00CB2EC4">
              <w:rPr>
                <w:rFonts w:ascii="Times New Roman" w:hAnsi="Times New Roman" w:cs="Times New Roman"/>
              </w:rPr>
              <w:lastRenderedPageBreak/>
              <w:t>intraoperatively: send for pathology immediately; if confirmed, refer to the cervical cancer treatment protocol.</w:t>
            </w:r>
          </w:p>
        </w:tc>
        <w:tc>
          <w:tcPr>
            <w:tcW w:w="1152" w:type="dxa"/>
            <w:vAlign w:val="center"/>
          </w:tcPr>
          <w:p w14:paraId="33B9BA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74640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3716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8D23034" w14:textId="77777777">
        <w:tc>
          <w:tcPr>
            <w:tcW w:w="2160" w:type="dxa"/>
            <w:vAlign w:val="center"/>
          </w:tcPr>
          <w:p w14:paraId="7BA29B54"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82DDB61"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a patient with histopathologically confirmed HSIL (biopsy) and TZ3 transformation zone classification, the follow-up steps are as follows:</w:t>
            </w:r>
            <w:r w:rsidRPr="00CB2EC4">
              <w:rPr>
                <w:rFonts w:ascii="Times New Roman" w:hAnsi="Times New Roman" w:cs="Times New Roman"/>
              </w:rPr>
              <w:br/>
            </w:r>
            <w:r w:rsidRPr="00CB2EC4">
              <w:rPr>
                <w:rFonts w:ascii="Times New Roman" w:hAnsi="Times New Roman" w:cs="Times New Roman"/>
              </w:rPr>
              <w:br/>
              <w:t>- Management principle: Direct diagnostic/therapeutic cervical conization must be performed (ablation therapy is not an option), as TZ3 indicates the transformation zone is not visible and the lesion may be located within the endocervical canal, where ablation carries higher risk.</w:t>
            </w:r>
            <w:r w:rsidRPr="00CB2EC4">
              <w:rPr>
                <w:rFonts w:ascii="Times New Roman" w:hAnsi="Times New Roman" w:cs="Times New Roman"/>
              </w:rPr>
              <w:br/>
              <w:t>- Follow-up steps:</w:t>
            </w:r>
            <w:r w:rsidRPr="00CB2EC4">
              <w:rPr>
                <w:rFonts w:ascii="Times New Roman" w:hAnsi="Times New Roman" w:cs="Times New Roman"/>
              </w:rPr>
              <w:br/>
              <w:t xml:space="preserve">  - If postoperative pathology shows negative margins: Repeat testing at 4–6 months, including cytology, colposcopy, and endocervical curettage (ECC).</w:t>
            </w:r>
            <w:r w:rsidRPr="00CB2EC4">
              <w:rPr>
                <w:rFonts w:ascii="Times New Roman" w:hAnsi="Times New Roman" w:cs="Times New Roman"/>
              </w:rPr>
              <w:br/>
              <w:t xml:space="preserve">  - If postoperative pathology shows positive margins (CIN II or higher): Repeat cytology, colposcopy, and ECC at 4–6 months, and manage according to the findings (e.g., if persistent lesion is detected, treat according to the corresponding grade).</w:t>
            </w:r>
            <w:r w:rsidRPr="00CB2EC4">
              <w:rPr>
                <w:rFonts w:ascii="Times New Roman" w:hAnsi="Times New Roman" w:cs="Times New Roman"/>
              </w:rPr>
              <w:br/>
              <w:t xml:space="preserve">  - If intraoperative findings suggest possible invasive cancer: Immediately send for pathological confirmation; if confirmed, refer to cervical cancer treatment protocol.</w:t>
            </w:r>
            <w:r w:rsidRPr="00CB2EC4">
              <w:rPr>
                <w:rFonts w:ascii="Times New Roman" w:hAnsi="Times New Roman" w:cs="Times New Roman"/>
              </w:rPr>
              <w:br/>
            </w:r>
            <w:r w:rsidRPr="00CB2EC4">
              <w:rPr>
                <w:rFonts w:ascii="Times New Roman" w:hAnsi="Times New Roman" w:cs="Times New Roman"/>
              </w:rPr>
              <w:br/>
              <w:t>this information is based on general patient management principles from relevant document 1. follow-up emphasizes reassessment at 4–6 months post-surgery to exclude residual or progressive disease.</w:t>
            </w:r>
          </w:p>
        </w:tc>
        <w:tc>
          <w:tcPr>
            <w:tcW w:w="1152" w:type="dxa"/>
            <w:vAlign w:val="center"/>
          </w:tcPr>
          <w:p w14:paraId="0245E7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CC8D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855A6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D46C59" w14:textId="77777777">
        <w:tc>
          <w:tcPr>
            <w:tcW w:w="2160" w:type="dxa"/>
            <w:vAlign w:val="center"/>
          </w:tcPr>
          <w:p w14:paraId="228FFEE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0933A13E"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histologically confirmed HSIL (biopsy) and a TZ3 transformation zone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 Preferred management: proceed directly to diagnostic/therapeutic cervical conization.</w:t>
            </w:r>
            <w:r w:rsidRPr="00CB2EC4">
              <w:rPr>
                <w:rFonts w:ascii="Times New Roman" w:hAnsi="Times New Roman" w:cs="Times New Roman"/>
              </w:rPr>
              <w:br/>
              <w:t>- Postoperative management:</w:t>
            </w:r>
            <w:r w:rsidRPr="00CB2EC4">
              <w:rPr>
                <w:rFonts w:ascii="Times New Roman" w:hAnsi="Times New Roman" w:cs="Times New Roman"/>
              </w:rPr>
              <w:br/>
              <w:t xml:space="preserve">  - If postoperative pathology shows negative margins: follow-up with cytology, colposcopy, and endocervical curettage (ECC) at 4–6 months.</w:t>
            </w:r>
            <w:r w:rsidRPr="00CB2EC4">
              <w:rPr>
                <w:rFonts w:ascii="Times New Roman" w:hAnsi="Times New Roman" w:cs="Times New Roman"/>
              </w:rPr>
              <w:br/>
              <w:t xml:space="preserve">  - If postoperative pathology shows positive margins (CIN II or higher): follow-up with cytology, colposcopy, and ECC at 4–6 months, and manage according to the corresponding lesion grade based on the follow-up results.</w:t>
            </w:r>
            <w:r w:rsidRPr="00CB2EC4">
              <w:rPr>
                <w:rFonts w:ascii="Times New Roman" w:hAnsi="Times New Roman" w:cs="Times New Roman"/>
              </w:rPr>
              <w:br/>
              <w:t xml:space="preserve">  - If intraoperative findings suggest suspicious invasive cancer: send for immediate pathological examination; if confirmed, refer to the cervical cancer treatment protocol.</w:t>
            </w:r>
            <w:r w:rsidRPr="00CB2EC4">
              <w:rPr>
                <w:rFonts w:ascii="Times New Roman" w:hAnsi="Times New Roman" w:cs="Times New Roman"/>
              </w:rPr>
              <w:br/>
              <w:t xml:space="preserve">    The document emphasizes that patients with TZ3 classification must not undergo ablative therapy and must proceed directly to surgery (source: first document fragment, section b for general patients).</w:t>
            </w:r>
          </w:p>
        </w:tc>
        <w:tc>
          <w:tcPr>
            <w:tcW w:w="1152" w:type="dxa"/>
            <w:vAlign w:val="center"/>
          </w:tcPr>
          <w:p w14:paraId="1CBD84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D9190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57A7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43D2FF" w14:textId="77777777">
        <w:tc>
          <w:tcPr>
            <w:tcW w:w="2160" w:type="dxa"/>
            <w:vAlign w:val="center"/>
          </w:tcPr>
          <w:p w14:paraId="7D4D918F"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3D60546"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a patient with histopathologically confirmed HSIL (biopsy) and TZ3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 Direct diagnostic/therapeutic cervical conization must be performed (ablation therapy is not an option).</w:t>
            </w:r>
            <w:r w:rsidRPr="00CB2EC4">
              <w:rPr>
                <w:rFonts w:ascii="Times New Roman" w:hAnsi="Times New Roman" w:cs="Times New Roman"/>
              </w:rPr>
              <w:br/>
              <w:t>- Postoperative follow-up:</w:t>
            </w:r>
            <w:r w:rsidRPr="00CB2EC4">
              <w:rPr>
                <w:rFonts w:ascii="Times New Roman" w:hAnsi="Times New Roman" w:cs="Times New Roman"/>
              </w:rPr>
              <w:br/>
              <w:t xml:space="preserve">  - If postoperative pathology shows negative margins, repeat testing (cytology + colposcopy + ECC) at 4–6 </w:t>
            </w:r>
            <w:r w:rsidRPr="00CB2EC4">
              <w:rPr>
                <w:rFonts w:ascii="Times New Roman" w:hAnsi="Times New Roman" w:cs="Times New Roman"/>
              </w:rPr>
              <w:lastRenderedPageBreak/>
              <w:t>months.</w:t>
            </w:r>
            <w:r w:rsidRPr="00CB2EC4">
              <w:rPr>
                <w:rFonts w:ascii="Times New Roman" w:hAnsi="Times New Roman" w:cs="Times New Roman"/>
              </w:rPr>
              <w:br/>
              <w:t xml:space="preserve">  - If postoperative pathology shows positive margins (CIN II or higher), repeat cytology, colposcopy, and ECC at 4–6 months, and manage according to the corresponding lesion grade based on the findings.</w:t>
            </w:r>
            <w:r w:rsidRPr="00CB2EC4">
              <w:rPr>
                <w:rFonts w:ascii="Times New Roman" w:hAnsi="Times New Roman" w:cs="Times New Roman"/>
              </w:rPr>
              <w:br/>
              <w:t xml:space="preserve">  - If intraoperative suspicion of invasive cancer arises, send for immediate pathological examination; if confirmed, refer to the cervical cancer treatment protocol.</w:t>
            </w:r>
            <w:r w:rsidRPr="00CB2EC4">
              <w:rPr>
                <w:rFonts w:ascii="Times New Roman" w:hAnsi="Times New Roman" w:cs="Times New Roman"/>
              </w:rPr>
              <w:br/>
              <w:t xml:space="preserve">  Source: Document Fragment 2 details the management for TZ3 type, emphasizing direct surgery and excluding ablation therapy.</w:t>
            </w:r>
          </w:p>
        </w:tc>
        <w:tc>
          <w:tcPr>
            <w:tcW w:w="1152" w:type="dxa"/>
            <w:vAlign w:val="center"/>
          </w:tcPr>
          <w:p w14:paraId="64951E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7C6C1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F22A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ACB984" w14:textId="77777777">
        <w:tc>
          <w:tcPr>
            <w:tcW w:w="2160" w:type="dxa"/>
            <w:vAlign w:val="center"/>
          </w:tcPr>
          <w:p w14:paraId="140242CD"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5C974D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a patient with histopathologically confirmed HSIL (biopsy) and TZ3 transformation zone classification:</w:t>
            </w:r>
            <w:r w:rsidRPr="00CB2EC4">
              <w:rPr>
                <w:rFonts w:ascii="Times New Roman" w:hAnsi="Times New Roman" w:cs="Times New Roman"/>
              </w:rPr>
              <w:br/>
            </w:r>
            <w:r w:rsidRPr="00CB2EC4">
              <w:rPr>
                <w:rFonts w:ascii="Times New Roman" w:hAnsi="Times New Roman" w:cs="Times New Roman"/>
              </w:rPr>
              <w:br/>
              <w:t>- Initial management: directly perform diagnostic/therapeutic cervical conization (ablation therapy is not an option).</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pathology shows negative margins (no CINⅡ or higher), then repeat testing (cytology + colposcopy + ECC) at 4–6 months.</w:t>
            </w:r>
            <w:r w:rsidRPr="00CB2EC4">
              <w:rPr>
                <w:rFonts w:ascii="Times New Roman" w:hAnsi="Times New Roman" w:cs="Times New Roman"/>
              </w:rPr>
              <w:br/>
              <w:t xml:space="preserve">  - If postoperative pathology shows positive margins (margin histopathology reports CINⅡ or higher), then repeat cytology, colposcopy, and ECC at 4–6 months, and manage according to the corresponding lesion level based on the findings.</w:t>
            </w:r>
            <w:r w:rsidRPr="00CB2EC4">
              <w:rPr>
                <w:rFonts w:ascii="Times New Roman" w:hAnsi="Times New Roman" w:cs="Times New Roman"/>
              </w:rPr>
              <w:br/>
              <w:t xml:space="preserve">  - If suspicious invasive cancer is found intraoperatively, immediately send for pathological confirmation and transfer to cervical cancer treatment protocol.</w:t>
            </w:r>
            <w:r w:rsidRPr="00CB2EC4">
              <w:rPr>
                <w:rFonts w:ascii="Times New Roman" w:hAnsi="Times New Roman" w:cs="Times New Roman"/>
              </w:rPr>
              <w:br/>
              <w:t xml:space="preserve">- Long-term follow-up: similar to question 26, after HSIL treatment, cytology combined with HPV testing </w:t>
            </w:r>
            <w:r w:rsidRPr="00CB2EC4">
              <w:rPr>
                <w:rFonts w:ascii="Times New Roman" w:hAnsi="Times New Roman" w:cs="Times New Roman"/>
              </w:rPr>
              <w:lastRenderedPageBreak/>
              <w:t>is recommended for 20 years. When margins are negative, perform cytology plus HPV testing at 6–12 months post-op; if normal, repeat at 12 months; after two consecutive normal results, screen every 3 years. If abnormalities are detected, manage according to protocol.</w:t>
            </w:r>
            <w:r w:rsidRPr="00CB2EC4">
              <w:rPr>
                <w:rFonts w:ascii="Times New Roman" w:hAnsi="Times New Roman" w:cs="Times New Roman"/>
              </w:rPr>
              <w:br/>
            </w:r>
            <w:r w:rsidRPr="00CB2EC4">
              <w:rPr>
                <w:rFonts w:ascii="Times New Roman" w:hAnsi="Times New Roman" w:cs="Times New Roman"/>
              </w:rPr>
              <w:br/>
              <w:t>this response is based on the description of the management process for ordinary patients with HSIL TZ3 in the second document fragment.</w:t>
            </w:r>
          </w:p>
        </w:tc>
        <w:tc>
          <w:tcPr>
            <w:tcW w:w="1152" w:type="dxa"/>
            <w:vAlign w:val="center"/>
          </w:tcPr>
          <w:p w14:paraId="0C94F3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434F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5D69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35F4CD" w14:textId="77777777">
        <w:tc>
          <w:tcPr>
            <w:tcW w:w="2160" w:type="dxa"/>
            <w:vAlign w:val="center"/>
          </w:tcPr>
          <w:p w14:paraId="5555CD5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7B3CBB6" w14:textId="77777777" w:rsidR="00922249" w:rsidRPr="00CB2EC4" w:rsidRDefault="003011D5">
            <w:pPr>
              <w:rPr>
                <w:rFonts w:ascii="Times New Roman" w:hAnsi="Times New Roman" w:cs="Times New Roman"/>
              </w:rPr>
            </w:pPr>
            <w:r w:rsidRPr="00CB2EC4">
              <w:rPr>
                <w:rFonts w:ascii="Times New Roman" w:hAnsi="Times New Roman" w:cs="Times New Roman"/>
              </w:rPr>
              <w:t>based on the provided document fragments:</w:t>
            </w:r>
            <w:r w:rsidRPr="00CB2EC4">
              <w:rPr>
                <w:rFonts w:ascii="Times New Roman" w:hAnsi="Times New Roman" w:cs="Times New Roman"/>
              </w:rPr>
              <w:br/>
            </w:r>
            <w:r w:rsidRPr="00CB2EC4">
              <w:rPr>
                <w:rFonts w:ascii="Times New Roman" w:hAnsi="Times New Roman" w:cs="Times New Roman"/>
              </w:rPr>
              <w:br/>
              <w:t>- Follow-up step: Directly perform a diagnostic/therapeutic cervical conization (ablation therapy is not an option).</w:t>
            </w:r>
            <w:r w:rsidRPr="00CB2EC4">
              <w:rPr>
                <w:rFonts w:ascii="Times New Roman" w:hAnsi="Times New Roman" w:cs="Times New Roman"/>
              </w:rPr>
              <w:br/>
              <w:t>- Post-procedure follow-up based on margin status:</w:t>
            </w:r>
            <w:r w:rsidRPr="00CB2EC4">
              <w:rPr>
                <w:rFonts w:ascii="Times New Roman" w:hAnsi="Times New Roman" w:cs="Times New Roman"/>
              </w:rPr>
              <w:br/>
              <w:t xml:space="preserve">  - If margins are negative: Repeat cytology + colposcopy + ECC at 4–6 months.</w:t>
            </w:r>
            <w:r w:rsidRPr="00CB2EC4">
              <w:rPr>
                <w:rFonts w:ascii="Times New Roman" w:hAnsi="Times New Roman" w:cs="Times New Roman"/>
              </w:rPr>
              <w:br/>
              <w:t xml:space="preserve">  - If margins are positive (CIN II or higher): Repeat cytology, colposcopy, and ECC at 4–6 months.</w:t>
            </w:r>
            <w:r w:rsidRPr="00CB2EC4">
              <w:rPr>
                <w:rFonts w:ascii="Times New Roman" w:hAnsi="Times New Roman" w:cs="Times New Roman"/>
              </w:rPr>
              <w:br/>
              <w:t xml:space="preserve">  - If suspicious for invasive cancer is found: Immediately refer to the cervical cancer treatment protocol.</w:t>
            </w:r>
          </w:p>
        </w:tc>
        <w:tc>
          <w:tcPr>
            <w:tcW w:w="1152" w:type="dxa"/>
            <w:vAlign w:val="center"/>
          </w:tcPr>
          <w:p w14:paraId="279AF3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6A8C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88A56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9479DE" w14:textId="77777777">
        <w:tc>
          <w:tcPr>
            <w:tcW w:w="2160" w:type="dxa"/>
            <w:vAlign w:val="center"/>
          </w:tcPr>
          <w:p w14:paraId="06FD3E7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C52BEA3"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histopathologically confirmed HSIL (biopsy) and a TZ3 transformation zone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 Primary management: Direct diagnostic/therapeutic cervical conization should be performed (ablation therapy is not an option).</w:t>
            </w:r>
            <w:r w:rsidRPr="00CB2EC4">
              <w:rPr>
                <w:rFonts w:ascii="Times New Roman" w:hAnsi="Times New Roman" w:cs="Times New Roman"/>
              </w:rPr>
              <w:br/>
              <w:t>- Postoperative follow-up:</w:t>
            </w:r>
            <w:r w:rsidRPr="00CB2EC4">
              <w:rPr>
                <w:rFonts w:ascii="Times New Roman" w:hAnsi="Times New Roman" w:cs="Times New Roman"/>
              </w:rPr>
              <w:br/>
              <w:t xml:space="preserve">  - If postoperative pathology shows negative margins, </w:t>
            </w:r>
            <w:r w:rsidRPr="00CB2EC4">
              <w:rPr>
                <w:rFonts w:ascii="Times New Roman" w:hAnsi="Times New Roman" w:cs="Times New Roman"/>
              </w:rPr>
              <w:lastRenderedPageBreak/>
              <w:t>perform a follow-up at 4–6 months including cytology, colposcopy, and endocervical curettage (ECC).</w:t>
            </w:r>
            <w:r w:rsidRPr="00CB2EC4">
              <w:rPr>
                <w:rFonts w:ascii="Times New Roman" w:hAnsi="Times New Roman" w:cs="Times New Roman"/>
              </w:rPr>
              <w:br/>
              <w:t xml:space="preserve">  - If postoperative pathology shows positive margins (CIN II or higher), perform cytology, colposcopy, and ECC at 4–6 months, and manage according to the corresponding lesion grade based on follow-up results.</w:t>
            </w:r>
            <w:r w:rsidRPr="00CB2EC4">
              <w:rPr>
                <w:rFonts w:ascii="Times New Roman" w:hAnsi="Times New Roman" w:cs="Times New Roman"/>
              </w:rPr>
              <w:br/>
              <w:t xml:space="preserve">  - If suspicious invasive cancer is found intraoperatively, send for immediate pathological confirmation; if confirmed, transition to cervical cancer treatment protocol.</w:t>
            </w:r>
            <w:r w:rsidRPr="00CB2EC4">
              <w:rPr>
                <w:rFonts w:ascii="Times New Roman" w:hAnsi="Times New Roman" w:cs="Times New Roman"/>
              </w:rPr>
              <w:br/>
              <w:t>- Basis: The document explicitly states that “if a patient has histopathologically confirmed HSIL and a TZ3 transformation zone type, the patient should undergo direct diagnostic/therapeutic cervical conization (ablation therapy is not permitted).”</w:t>
            </w:r>
          </w:p>
        </w:tc>
        <w:tc>
          <w:tcPr>
            <w:tcW w:w="1152" w:type="dxa"/>
            <w:vAlign w:val="center"/>
          </w:tcPr>
          <w:p w14:paraId="4D6857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FBF1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6389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F2C9B2" w14:textId="77777777">
        <w:tc>
          <w:tcPr>
            <w:tcW w:w="2160" w:type="dxa"/>
            <w:vAlign w:val="center"/>
          </w:tcPr>
          <w:p w14:paraId="761426F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E27D274"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a patient with histopathologically confirmed HSIL (biopsy) and TZ3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 According to the context (Document Fragment 1 and 5), patients with histopathologically confirmed HSIL (including CINⅡ, CINⅡ/Ⅲ, CINⅢ) and TZ3 classification (transformation zone not visible) should directly undergo diagnostic/therapeutic cervical conization (ablation therapy is not an option).</w:t>
            </w:r>
            <w:r w:rsidRPr="00CB2EC4">
              <w:rPr>
                <w:rFonts w:ascii="Times New Roman" w:hAnsi="Times New Roman" w:cs="Times New Roman"/>
              </w:rPr>
              <w:br/>
              <w:t>- Postoperative follow-up steps:</w:t>
            </w:r>
            <w:r w:rsidRPr="00CB2EC4">
              <w:rPr>
                <w:rFonts w:ascii="Times New Roman" w:hAnsi="Times New Roman" w:cs="Times New Roman"/>
              </w:rPr>
              <w:br/>
              <w:t xml:space="preserve">  - If the pathological margins after cervical conization are negative: Repeat cytology, colposcopy, and ECC in 4–6 months.</w:t>
            </w:r>
            <w:r w:rsidRPr="00CB2EC4">
              <w:rPr>
                <w:rFonts w:ascii="Times New Roman" w:hAnsi="Times New Roman" w:cs="Times New Roman"/>
              </w:rPr>
              <w:br/>
              <w:t xml:space="preserve">  - If the pathological margins after cervical conization are positive (margins show CINⅡ or higher): Repeat cytology, colposcopy, and ECC in 4–6 months, and </w:t>
            </w:r>
            <w:r w:rsidRPr="00CB2EC4">
              <w:rPr>
                <w:rFonts w:ascii="Times New Roman" w:hAnsi="Times New Roman" w:cs="Times New Roman"/>
              </w:rPr>
              <w:lastRenderedPageBreak/>
              <w:t>manage according to the corresponding lesion grade based on the follow-up results.</w:t>
            </w:r>
            <w:r w:rsidRPr="00CB2EC4">
              <w:rPr>
                <w:rFonts w:ascii="Times New Roman" w:hAnsi="Times New Roman" w:cs="Times New Roman"/>
              </w:rPr>
              <w:br/>
              <w:t xml:space="preserve">  - If suspicious invasive cancer is found intraoperatively: Send for immediate pathological examination; if confirmed, refer to the cervical cancer treatment protocol.</w:t>
            </w:r>
            <w:r w:rsidRPr="00CB2EC4">
              <w:rPr>
                <w:rFonts w:ascii="Times New Roman" w:hAnsi="Times New Roman" w:cs="Times New Roman"/>
              </w:rPr>
              <w:br/>
              <w:t>- Basis: Document Fragment 1 explicitly states: “If a patient is histopathologically confirmed with HSIL and has a cervical transformation zone type of TZ3 (transformation zone not visible), the patient should directly undergo diagnostic/therapeutic cervical conization (ablation therapy is not permitted).” Document Fragments 5 and 11 reaffirm this principle.</w:t>
            </w:r>
          </w:p>
        </w:tc>
        <w:tc>
          <w:tcPr>
            <w:tcW w:w="1152" w:type="dxa"/>
            <w:vAlign w:val="center"/>
          </w:tcPr>
          <w:p w14:paraId="58C1AE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95979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99F2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8A230A8" w14:textId="77777777">
        <w:tc>
          <w:tcPr>
            <w:tcW w:w="2160" w:type="dxa"/>
            <w:vAlign w:val="center"/>
          </w:tcPr>
          <w:p w14:paraId="5130A68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27256D9"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patient has histopathologically confirmed (biopsy) HSIL and TZ3 classification, the following follow-up steps should be taken:</w:t>
            </w:r>
            <w:r w:rsidRPr="00CB2EC4">
              <w:rPr>
                <w:rFonts w:ascii="Times New Roman" w:hAnsi="Times New Roman" w:cs="Times New Roman"/>
              </w:rPr>
              <w:br/>
            </w:r>
            <w:r w:rsidRPr="00CB2EC4">
              <w:rPr>
                <w:rFonts w:ascii="Times New Roman" w:hAnsi="Times New Roman" w:cs="Times New Roman"/>
              </w:rPr>
              <w:br/>
              <w:t>- For general patients (not aged 21–24, not pregnant), with histopathologically confirmed HSIL (including CIN II, CIN II/III, CIN III, CIN II/P16(+)) and cervical transformation zone type TZ3 (transformation zone not visible):</w:t>
            </w:r>
            <w:r w:rsidRPr="00CB2EC4">
              <w:rPr>
                <w:rFonts w:ascii="Times New Roman" w:hAnsi="Times New Roman" w:cs="Times New Roman"/>
              </w:rPr>
              <w:br/>
              <w:t xml:space="preserve">  - Direct diagnostic/therapeutic cervical conization should be performed (ablation therapy is not an option).</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pathology shows negative margins: repeat testing (including cytology, colposcopy, and ECC) at 4–6 months.</w:t>
            </w:r>
            <w:r w:rsidRPr="00CB2EC4">
              <w:rPr>
                <w:rFonts w:ascii="Times New Roman" w:hAnsi="Times New Roman" w:cs="Times New Roman"/>
              </w:rPr>
              <w:br/>
              <w:t xml:space="preserve">  - If postoperative pathology shows positive margins (histopathological report of CIN II or higher): repeat cytology, colposcopy, and ECC at 4–6 months, and manage according to the corresponding lesion grade </w:t>
            </w:r>
            <w:r w:rsidRPr="00CB2EC4">
              <w:rPr>
                <w:rFonts w:ascii="Times New Roman" w:hAnsi="Times New Roman" w:cs="Times New Roman"/>
              </w:rPr>
              <w:lastRenderedPageBreak/>
              <w:t>based on the follow-up results.</w:t>
            </w:r>
            <w:r w:rsidRPr="00CB2EC4">
              <w:rPr>
                <w:rFonts w:ascii="Times New Roman" w:hAnsi="Times New Roman" w:cs="Times New Roman"/>
              </w:rPr>
              <w:br/>
              <w:t xml:space="preserve">  - If intraoperative suspicion of invasive cancer arises: send for immediate pathological examination; if confirmed, transition to cervical cancer treatment protocol.</w:t>
            </w:r>
            <w:r w:rsidRPr="00CB2EC4">
              <w:rPr>
                <w:rFonts w:ascii="Times New Roman" w:hAnsi="Times New Roman" w:cs="Times New Roman"/>
              </w:rPr>
              <w:br/>
              <w:t xml:space="preserve">    In summary, the follow-up steps center on direct surgical treatment, with postoperative surveillance based on pathological findings.</w:t>
            </w:r>
          </w:p>
        </w:tc>
        <w:tc>
          <w:tcPr>
            <w:tcW w:w="1152" w:type="dxa"/>
            <w:vAlign w:val="center"/>
          </w:tcPr>
          <w:p w14:paraId="077AA4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70CD6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86CE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484B67" w14:textId="77777777">
        <w:tc>
          <w:tcPr>
            <w:tcW w:w="2160" w:type="dxa"/>
            <w:vAlign w:val="center"/>
          </w:tcPr>
          <w:p w14:paraId="61316F9A"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4093473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Follow-up steps: Recommend excisional treatment (such as LEEP or cold knife conization).  </w:t>
            </w:r>
            <w:r w:rsidRPr="00CB2EC4">
              <w:rPr>
                <w:rFonts w:ascii="Times New Roman" w:hAnsi="Times New Roman" w:cs="Times New Roman"/>
              </w:rPr>
              <w:br/>
              <w:t>When biopsy confirms HSIL with TZ3 classification (transformation zone not visible), excisional treatment is preferred because the non-visible transformation zone increases the risk of missing high-grade lesions or cancer.</w:t>
            </w:r>
          </w:p>
        </w:tc>
        <w:tc>
          <w:tcPr>
            <w:tcW w:w="1152" w:type="dxa"/>
            <w:vAlign w:val="center"/>
          </w:tcPr>
          <w:p w14:paraId="6D2065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E562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F879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89895C" w14:textId="77777777">
        <w:tc>
          <w:tcPr>
            <w:tcW w:w="10656" w:type="dxa"/>
            <w:gridSpan w:val="5"/>
            <w:tcBorders>
              <w:bottom w:val="single" w:sz="6" w:space="0" w:color="auto"/>
            </w:tcBorders>
            <w:vAlign w:val="center"/>
          </w:tcPr>
          <w:p w14:paraId="1B816EE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28: In cervical cancer screening, if a patient aged 21 to 24 years has a histopathological confirmation (biopsy) of CIN III/HSIL, what follow-up steps should be conducted?</w:t>
            </w:r>
          </w:p>
        </w:tc>
      </w:tr>
      <w:tr w:rsidR="00922249" w:rsidRPr="00CB2EC4" w14:paraId="2CEA68D0" w14:textId="77777777">
        <w:tc>
          <w:tcPr>
            <w:tcW w:w="2160" w:type="dxa"/>
            <w:vAlign w:val="center"/>
          </w:tcPr>
          <w:p w14:paraId="6A6773A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DCC905B"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CIN III/HSIL (cervical intraepithelial neoplasia grade III/high-grade squamous intraepithelial lesion), the follow-up steps are as follows based on the transformation zone (TZ) type:</w:t>
            </w:r>
            <w:r w:rsidRPr="00CB2EC4">
              <w:rPr>
                <w:rFonts w:ascii="Times New Roman" w:hAnsi="Times New Roman" w:cs="Times New Roman"/>
              </w:rPr>
              <w:br/>
            </w:r>
            <w:r w:rsidRPr="00CB2EC4">
              <w:rPr>
                <w:rFonts w:ascii="Times New Roman" w:hAnsi="Times New Roman" w:cs="Times New Roman"/>
              </w:rPr>
              <w:br/>
              <w:t>- if the transformation zone type is TZ1 or TZ2: observation follow-up may be chosen. the follow-up steps are: repeat cytology and colposcopy every 10–12 weeks; if no progression is observed, continue surveillance; if lesion progression or invasive cancer is detected, perform diagnostic/therapeutic cervical conization.</w:t>
            </w:r>
            <w:r w:rsidRPr="00CB2EC4">
              <w:rPr>
                <w:rFonts w:ascii="Times New Roman" w:hAnsi="Times New Roman" w:cs="Times New Roman"/>
              </w:rPr>
              <w:br/>
              <w:t xml:space="preserve">- if the transformation zone type is TZ3: diagnostic/therapeutic cervical conization should be </w:t>
            </w:r>
            <w:r w:rsidRPr="00CB2EC4">
              <w:rPr>
                <w:rFonts w:ascii="Times New Roman" w:hAnsi="Times New Roman" w:cs="Times New Roman"/>
              </w:rPr>
              <w:lastRenderedPageBreak/>
              <w:t>performed directly. post-procedure follow-up steps: if margins are negative, repeat cytology, colposcopy, and endocervical curettage (ECC) at 4–6 months; if margins are positive, repeat evaluation at 4–6 months and manage based on findings.</w:t>
            </w:r>
            <w:r w:rsidRPr="00CB2EC4">
              <w:rPr>
                <w:rFonts w:ascii="Times New Roman" w:hAnsi="Times New Roman" w:cs="Times New Roman"/>
              </w:rPr>
              <w:br/>
            </w:r>
            <w:r w:rsidRPr="00CB2EC4">
              <w:rPr>
                <w:rFonts w:ascii="Times New Roman" w:hAnsi="Times New Roman" w:cs="Times New Roman"/>
              </w:rPr>
              <w:br/>
              <w:t>when the TZ type is not specified in the document, the default management depends on TZ classification: TZ1/2 warrants observation follow-up (repeat every 10–12 weeks); TZ3 warrants surgical intervention followed by post-operative surveillance.</w:t>
            </w:r>
          </w:p>
        </w:tc>
        <w:tc>
          <w:tcPr>
            <w:tcW w:w="1152" w:type="dxa"/>
            <w:vAlign w:val="center"/>
          </w:tcPr>
          <w:p w14:paraId="4BCABF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C2F3B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1342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DCE5F6" w14:textId="77777777">
        <w:tc>
          <w:tcPr>
            <w:tcW w:w="2160" w:type="dxa"/>
            <w:vAlign w:val="center"/>
          </w:tcPr>
          <w:p w14:paraId="37C3BE6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B6CD3F4"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CIN III/HSIL (cervical intraepithelial neoplasia grade III/high-grade squamous intraepithelial lesion), the following follow-up steps should be taken:</w:t>
            </w:r>
            <w:r w:rsidRPr="00CB2EC4">
              <w:rPr>
                <w:rFonts w:ascii="Times New Roman" w:hAnsi="Times New Roman" w:cs="Times New Roman"/>
              </w:rPr>
              <w:br/>
            </w:r>
            <w:r w:rsidRPr="00CB2EC4">
              <w:rPr>
                <w:rFonts w:ascii="Times New Roman" w:hAnsi="Times New Roman" w:cs="Times New Roman"/>
              </w:rPr>
              <w:br/>
              <w:t>- Management principle: regardless of transformation zone type, CIN III warrants treatment (document fragment 2 explicitly states: "young women with fertility preservation requirements... if histopathology confirms CIN III, treatment is recommended").</w:t>
            </w:r>
            <w:r w:rsidRPr="00CB2EC4">
              <w:rPr>
                <w:rFonts w:ascii="Times New Roman" w:hAnsi="Times New Roman" w:cs="Times New Roman"/>
              </w:rPr>
              <w:br/>
              <w:t>- Specific steps:</w:t>
            </w:r>
            <w:r w:rsidRPr="00CB2EC4">
              <w:rPr>
                <w:rFonts w:ascii="Times New Roman" w:hAnsi="Times New Roman" w:cs="Times New Roman"/>
              </w:rPr>
              <w:br/>
              <w:t xml:space="preserve">  - If the cervical transformation zone is TZ1/2: observation may be initiated first (repeat cytology and colposcopy every 10–12 weeks), but if progression occurs or invasive cancer is detected, proceed to diagnostic/therapeutic cervical conization (subsequent process same as for general patients).</w:t>
            </w:r>
            <w:r w:rsidRPr="00CB2EC4">
              <w:rPr>
                <w:rFonts w:ascii="Times New Roman" w:hAnsi="Times New Roman" w:cs="Times New Roman"/>
              </w:rPr>
              <w:br/>
              <w:t xml:space="preserve">  - If the cervical transformation zone is TZ3: directly perform diagnostic/therapeutic cervical conization (subsequent process same as for general patients).</w:t>
            </w:r>
            <w:r w:rsidRPr="00CB2EC4">
              <w:rPr>
                <w:rFonts w:ascii="Times New Roman" w:hAnsi="Times New Roman" w:cs="Times New Roman"/>
              </w:rPr>
              <w:br/>
              <w:t xml:space="preserve">- Basis: special population section in document fragment 1 and main text content of document </w:t>
            </w:r>
            <w:r w:rsidRPr="00CB2EC4">
              <w:rPr>
                <w:rFonts w:ascii="Times New Roman" w:hAnsi="Times New Roman" w:cs="Times New Roman"/>
              </w:rPr>
              <w:lastRenderedPageBreak/>
              <w:t>fragment 2 (CIN III treatment threshold).</w:t>
            </w:r>
          </w:p>
        </w:tc>
        <w:tc>
          <w:tcPr>
            <w:tcW w:w="1152" w:type="dxa"/>
            <w:vAlign w:val="center"/>
          </w:tcPr>
          <w:p w14:paraId="490C23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1BF0E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8E0E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1116BB" w14:textId="77777777">
        <w:tc>
          <w:tcPr>
            <w:tcW w:w="2160" w:type="dxa"/>
            <w:vAlign w:val="center"/>
          </w:tcPr>
          <w:p w14:paraId="5A6EF89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E448E9A"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CIN III/HSIL (cervical intraepithelial neoplasia grade III/high-grade squamous intraepithelial lesion), the follow-up steps are as follows:</w:t>
            </w:r>
            <w:r w:rsidRPr="00CB2EC4">
              <w:rPr>
                <w:rFonts w:ascii="Times New Roman" w:hAnsi="Times New Roman" w:cs="Times New Roman"/>
              </w:rPr>
              <w:br/>
            </w:r>
            <w:r w:rsidRPr="00CB2EC4">
              <w:rPr>
                <w:rFonts w:ascii="Times New Roman" w:hAnsi="Times New Roman" w:cs="Times New Roman"/>
              </w:rPr>
              <w:br/>
              <w:t>- if the transformation zone type is TZ1/2: observation may be chosen (repeat cytology + colposcopy every 10–12 weeks). if no progression is observed, continue surveillance; if lesion progresses or invasive cancer is detected, perform diagnostic/therapeutic cervical conization (document fragment 1d).</w:t>
            </w:r>
            <w:r w:rsidRPr="00CB2EC4">
              <w:rPr>
                <w:rFonts w:ascii="Times New Roman" w:hAnsi="Times New Roman" w:cs="Times New Roman"/>
              </w:rPr>
              <w:br/>
              <w:t>- if the transformation zone type is TZ3: proceed directly to diagnostic/therapeutic cervical conization (document fragment 1d). after treatment, according to document fragment 8 (relevance: 0.700), follow-up includes: cytology every 3 months in the first year post-treatment, then annually; HPV testing at 6 months post-treatment; colposcopy and curettage as needed.</w:t>
            </w:r>
            <w:r w:rsidRPr="00CB2EC4">
              <w:rPr>
                <w:rFonts w:ascii="Times New Roman" w:hAnsi="Times New Roman" w:cs="Times New Roman"/>
              </w:rPr>
              <w:br/>
            </w:r>
            <w:r w:rsidRPr="00CB2EC4">
              <w:rPr>
                <w:rFonts w:ascii="Times New Roman" w:hAnsi="Times New Roman" w:cs="Times New Roman"/>
              </w:rPr>
              <w:br/>
              <w:t>conclusion: since the TZ type is not specified in the query, follow-up must be determined based on TZ classification: for TZ1/2, choose observational follow-up (cytology + colposcopy every 10–12 weeks); for TZ3, proceed directly to cervical conization with post-treatment surveillance. the document does not provide a default protocol when TZ type is unspecified, so classification by TZ is mandatory.</w:t>
            </w:r>
          </w:p>
        </w:tc>
        <w:tc>
          <w:tcPr>
            <w:tcW w:w="1152" w:type="dxa"/>
            <w:vAlign w:val="center"/>
          </w:tcPr>
          <w:p w14:paraId="571F95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1B8C9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0572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8C9D2CD" w14:textId="77777777">
        <w:tc>
          <w:tcPr>
            <w:tcW w:w="2160" w:type="dxa"/>
            <w:vAlign w:val="center"/>
          </w:tcPr>
          <w:p w14:paraId="47A1E6FD"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92756B2" w14:textId="77777777" w:rsidR="00922249" w:rsidRPr="00CB2EC4" w:rsidRDefault="003011D5">
            <w:pPr>
              <w:rPr>
                <w:rFonts w:ascii="Times New Roman" w:hAnsi="Times New Roman" w:cs="Times New Roman"/>
              </w:rPr>
            </w:pPr>
            <w:r w:rsidRPr="00CB2EC4">
              <w:rPr>
                <w:rFonts w:ascii="Times New Roman" w:hAnsi="Times New Roman" w:cs="Times New Roman"/>
              </w:rPr>
              <w:t>Follow-up steps for patients aged 21-24 years with CIN III/HSIL:</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Knowledge base reference:</w:t>
            </w:r>
            <w:r w:rsidRPr="00CB2EC4">
              <w:rPr>
                <w:rFonts w:ascii="Times New Roman" w:hAnsi="Times New Roman" w:cs="Times New Roman"/>
              </w:rPr>
              <w:br/>
            </w:r>
            <w:r w:rsidRPr="00CB2EC4">
              <w:rPr>
                <w:rFonts w:ascii="Times New Roman" w:hAnsi="Times New Roman" w:cs="Times New Roman"/>
              </w:rPr>
              <w:br/>
              <w:t>- Stratified management:</w:t>
            </w:r>
            <w:r w:rsidRPr="00CB2EC4">
              <w:rPr>
                <w:rFonts w:ascii="Times New Roman" w:hAnsi="Times New Roman" w:cs="Times New Roman"/>
              </w:rPr>
              <w:br/>
              <w:t xml:space="preserve">  - For transformation zone type 1/2 (TZ1/2): Observation may be chosen (repeat cytology and colposcopy every 10-12 weeks).</w:t>
            </w:r>
            <w:r w:rsidRPr="00CB2EC4">
              <w:rPr>
                <w:rFonts w:ascii="Times New Roman" w:hAnsi="Times New Roman" w:cs="Times New Roman"/>
              </w:rPr>
              <w:br/>
              <w:t xml:space="preserve">    - If no progression persists → continue observation.</w:t>
            </w:r>
            <w:r w:rsidRPr="00CB2EC4">
              <w:rPr>
                <w:rFonts w:ascii="Times New Roman" w:hAnsi="Times New Roman" w:cs="Times New Roman"/>
              </w:rPr>
              <w:br/>
              <w:t xml:space="preserve">    - If progression occurs or invasive cancer is detected → perform cervical excision (see section "special population d").</w:t>
            </w:r>
            <w:r w:rsidRPr="00CB2EC4">
              <w:rPr>
                <w:rFonts w:ascii="Times New Roman" w:hAnsi="Times New Roman" w:cs="Times New Roman"/>
              </w:rPr>
              <w:br/>
              <w:t xml:space="preserve">  - For transformation zone type 3 (TZ3): Proceed directly to cervical excision (see section "special population d" and Figure 5 workflow).</w:t>
            </w:r>
            <w:r w:rsidRPr="00CB2EC4">
              <w:rPr>
                <w:rFonts w:ascii="Times New Roman" w:hAnsi="Times New Roman" w:cs="Times New Roman"/>
              </w:rPr>
              <w:br/>
            </w:r>
            <w:r w:rsidRPr="00CB2EC4">
              <w:rPr>
                <w:rFonts w:ascii="Times New Roman" w:hAnsi="Times New Roman" w:cs="Times New Roman"/>
              </w:rPr>
              <w:br/>
              <w:t>&gt; Conclusion: Choose observation or surgery based on transformation zone type.</w:t>
            </w:r>
          </w:p>
        </w:tc>
        <w:tc>
          <w:tcPr>
            <w:tcW w:w="1152" w:type="dxa"/>
            <w:vAlign w:val="center"/>
          </w:tcPr>
          <w:p w14:paraId="6535BB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75C9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BC81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59A04FD" w14:textId="77777777">
        <w:tc>
          <w:tcPr>
            <w:tcW w:w="2160" w:type="dxa"/>
            <w:vAlign w:val="center"/>
          </w:tcPr>
          <w:p w14:paraId="51A8E39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72F8E30"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CIN III/HSIL:</w:t>
            </w:r>
            <w:r w:rsidRPr="00CB2EC4">
              <w:rPr>
                <w:rFonts w:ascii="Times New Roman" w:hAnsi="Times New Roman" w:cs="Times New Roman"/>
              </w:rPr>
              <w:br/>
            </w:r>
            <w:r w:rsidRPr="00CB2EC4">
              <w:rPr>
                <w:rFonts w:ascii="Times New Roman" w:hAnsi="Times New Roman" w:cs="Times New Roman"/>
              </w:rPr>
              <w:br/>
              <w:t>- if the transformation zone type is TZ1/2, observation may be chosen (repeat cytology and colposcopy every 10–12 weeks). if no progression is observed, continue surveillance; if lesion progresses or invasive cancer is detected, perform diagnostic/therapeutic cervical conization.</w:t>
            </w:r>
            <w:r w:rsidRPr="00CB2EC4">
              <w:rPr>
                <w:rFonts w:ascii="Times New Roman" w:hAnsi="Times New Roman" w:cs="Times New Roman"/>
              </w:rPr>
              <w:br/>
              <w:t>- if the transformation zone type is TZ3, proceed directly to diagnostic/therapeutic cervical conization, with subsequent follow-up as described above (e.g., if margins are negative, repeat cytology, colposcopy, and ECC 4–6 months postoperatively).</w:t>
            </w:r>
          </w:p>
        </w:tc>
        <w:tc>
          <w:tcPr>
            <w:tcW w:w="1152" w:type="dxa"/>
            <w:vAlign w:val="center"/>
          </w:tcPr>
          <w:p w14:paraId="566EB7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726C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0C5F6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12C4F6" w14:textId="77777777">
        <w:tc>
          <w:tcPr>
            <w:tcW w:w="2160" w:type="dxa"/>
            <w:vAlign w:val="center"/>
          </w:tcPr>
          <w:p w14:paraId="30BE5B1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1BA557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for patients aged 21 to 24 with histologically confirmed (biopsy) CIN III/HSIL (cervical intraepithelial neoplasia grade III/high-grade </w:t>
            </w:r>
            <w:r w:rsidRPr="00CB2EC4">
              <w:rPr>
                <w:rFonts w:ascii="Times New Roman" w:hAnsi="Times New Roman" w:cs="Times New Roman"/>
              </w:rPr>
              <w:lastRenderedPageBreak/>
              <w:t>squamous intraepithelial lesion), the following follow-up steps should be taken:</w:t>
            </w:r>
            <w:r w:rsidRPr="00CB2EC4">
              <w:rPr>
                <w:rFonts w:ascii="Times New Roman" w:hAnsi="Times New Roman" w:cs="Times New Roman"/>
              </w:rPr>
              <w:br/>
            </w:r>
            <w:r w:rsidRPr="00CB2EC4">
              <w:rPr>
                <w:rFonts w:ascii="Times New Roman" w:hAnsi="Times New Roman" w:cs="Times New Roman"/>
              </w:rPr>
              <w:br/>
              <w:t>according to contextual information (document 1 and document 2), the management principle for patients aged 21–24 with histologically confirmed CIN III/HSIL (HSIL includes CIN III) depends on the transformation zone (TZ) type:</w:t>
            </w:r>
            <w:r w:rsidRPr="00CB2EC4">
              <w:rPr>
                <w:rFonts w:ascii="Times New Roman" w:hAnsi="Times New Roman" w:cs="Times New Roman"/>
              </w:rPr>
              <w:br/>
              <w:t>- management steps:</w:t>
            </w:r>
            <w:r w:rsidRPr="00CB2EC4">
              <w:rPr>
                <w:rFonts w:ascii="Times New Roman" w:hAnsi="Times New Roman" w:cs="Times New Roman"/>
              </w:rPr>
              <w:br/>
              <w:t xml:space="preserve">  - if TZ type is TZ1/2 (transformation zone fully or partially visible): the patient may be managed with observation and follow-up, with repeat assessment (including cytology and colposcopy) every 10–12 weeks.</w:t>
            </w:r>
            <w:r w:rsidRPr="00CB2EC4">
              <w:rPr>
                <w:rFonts w:ascii="Times New Roman" w:hAnsi="Times New Roman" w:cs="Times New Roman"/>
              </w:rPr>
              <w:br/>
              <w:t xml:space="preserve">  - if TZ type is TZ3 (transformation zone not visible): the patient should proceed directly to diagnostic/therapeutic cervical conization.</w:t>
            </w:r>
            <w:r w:rsidRPr="00CB2EC4">
              <w:rPr>
                <w:rFonts w:ascii="Times New Roman" w:hAnsi="Times New Roman" w:cs="Times New Roman"/>
              </w:rPr>
              <w:br/>
              <w:t>- follow-up steps:</w:t>
            </w:r>
            <w:r w:rsidRPr="00CB2EC4">
              <w:rPr>
                <w:rFonts w:ascii="Times New Roman" w:hAnsi="Times New Roman" w:cs="Times New Roman"/>
              </w:rPr>
              <w:br/>
              <w:t xml:space="preserve">  - for observation follow-up (TZ1/2):</w:t>
            </w:r>
            <w:r w:rsidRPr="00CB2EC4">
              <w:rPr>
                <w:rFonts w:ascii="Times New Roman" w:hAnsi="Times New Roman" w:cs="Times New Roman"/>
              </w:rPr>
              <w:br/>
              <w:t xml:space="preserve">    - if stable or regressing, continue follow-up every 10–12 weeks.</w:t>
            </w:r>
            <w:r w:rsidRPr="00CB2EC4">
              <w:rPr>
                <w:rFonts w:ascii="Times New Roman" w:hAnsi="Times New Roman" w:cs="Times New Roman"/>
              </w:rPr>
              <w:br/>
              <w:t xml:space="preserve">    - if progression (e.g., lesion upgrading) or invasive cancer is detected, switch to treatment protocol (perform diagnostic/therapeutic cervical conization), with post-procedure follow-up as per question 26 or 27 (repeat at 4–6 months).</w:t>
            </w:r>
            <w:r w:rsidRPr="00CB2EC4">
              <w:rPr>
                <w:rFonts w:ascii="Times New Roman" w:hAnsi="Times New Roman" w:cs="Times New Roman"/>
              </w:rPr>
              <w:br/>
              <w:t xml:space="preserve">  - for direct conization (TZ3): post-procedure follow-up as per question 27 (repeat cytology, colposcopy, and endocervical curettage (ECC) at 4–6 months).</w:t>
            </w:r>
            <w:r w:rsidRPr="00CB2EC4">
              <w:rPr>
                <w:rFonts w:ascii="Times New Roman" w:hAnsi="Times New Roman" w:cs="Times New Roman"/>
              </w:rPr>
              <w:br/>
            </w:r>
            <w:r w:rsidRPr="00CB2EC4">
              <w:rPr>
                <w:rFonts w:ascii="Times New Roman" w:hAnsi="Times New Roman" w:cs="Times New Roman"/>
              </w:rPr>
              <w:br/>
              <w:t xml:space="preserve">this information is based on the special population (age 21–24) management section of document 1. since the TZ type is not specified in the question, the response covers both possible scenarios; in clinical </w:t>
            </w:r>
            <w:r w:rsidRPr="00CB2EC4">
              <w:rPr>
                <w:rFonts w:ascii="Times New Roman" w:hAnsi="Times New Roman" w:cs="Times New Roman"/>
              </w:rPr>
              <w:lastRenderedPageBreak/>
              <w:t>practice, the TZ type must be determined by colposcopy to select the appropriate pathway.</w:t>
            </w:r>
          </w:p>
        </w:tc>
        <w:tc>
          <w:tcPr>
            <w:tcW w:w="1152" w:type="dxa"/>
            <w:vAlign w:val="center"/>
          </w:tcPr>
          <w:p w14:paraId="346D2E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AC9B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E778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8DA48BA" w14:textId="77777777">
        <w:tc>
          <w:tcPr>
            <w:tcW w:w="2160" w:type="dxa"/>
            <w:vAlign w:val="center"/>
          </w:tcPr>
          <w:p w14:paraId="291B05C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0CBA9405"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CIN III/HSIL (cervical intraepithelial neoplasia grade III/high-grade squamous intraepithelial lesion), the follow-up steps are as follows based on the transformation zone (TZ) type:</w:t>
            </w:r>
            <w:r w:rsidRPr="00CB2EC4">
              <w:rPr>
                <w:rFonts w:ascii="Times New Roman" w:hAnsi="Times New Roman" w:cs="Times New Roman"/>
              </w:rPr>
              <w:br/>
            </w:r>
            <w:r w:rsidRPr="00CB2EC4">
              <w:rPr>
                <w:rFonts w:ascii="Times New Roman" w:hAnsi="Times New Roman" w:cs="Times New Roman"/>
              </w:rPr>
              <w:br/>
              <w:t>- if the transformation zone type is TZ1/2: observation follow-up may be chosen, with repeat cytology and colposcopy every 10–12 weeks.</w:t>
            </w:r>
            <w:r w:rsidRPr="00CB2EC4">
              <w:rPr>
                <w:rFonts w:ascii="Times New Roman" w:hAnsi="Times New Roman" w:cs="Times New Roman"/>
              </w:rPr>
              <w:br/>
              <w:t xml:space="preserve">  - if no progression is observed, continue with surveillance.</w:t>
            </w:r>
            <w:r w:rsidRPr="00CB2EC4">
              <w:rPr>
                <w:rFonts w:ascii="Times New Roman" w:hAnsi="Times New Roman" w:cs="Times New Roman"/>
              </w:rPr>
              <w:br/>
              <w:t xml:space="preserve">  - if lesion progression is detected or invasive cancer is found, perform diagnostic/therapeutic cervical conization; subsequent management follows as previously described (i.e., post-operative management as outlined in questions 26 and 27).</w:t>
            </w:r>
            <w:r w:rsidRPr="00CB2EC4">
              <w:rPr>
                <w:rFonts w:ascii="Times New Roman" w:hAnsi="Times New Roman" w:cs="Times New Roman"/>
              </w:rPr>
              <w:br/>
              <w:t>- if the transformation zone type is TZ3: proceed directly to diagnostic/therapeutic cervical conization; subsequent management follows as previously described.</w:t>
            </w:r>
            <w:r w:rsidRPr="00CB2EC4">
              <w:rPr>
                <w:rFonts w:ascii="Times New Roman" w:hAnsi="Times New Roman" w:cs="Times New Roman"/>
              </w:rPr>
              <w:br/>
            </w:r>
            <w:r w:rsidRPr="00CB2EC4">
              <w:rPr>
                <w:rFonts w:ascii="Times New Roman" w:hAnsi="Times New Roman" w:cs="Times New Roman"/>
              </w:rPr>
              <w:br/>
              <w:t>the management principle stated above is explicitly noted in the source document (from the second document fragment, section d on special populations). since the TZ type is not specified in the question, the appropriate steps must be selected based on the actual TZ type.</w:t>
            </w:r>
          </w:p>
        </w:tc>
        <w:tc>
          <w:tcPr>
            <w:tcW w:w="1152" w:type="dxa"/>
            <w:vAlign w:val="center"/>
          </w:tcPr>
          <w:p w14:paraId="6CCD31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F773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1B50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C50614D" w14:textId="77777777">
        <w:tc>
          <w:tcPr>
            <w:tcW w:w="2160" w:type="dxa"/>
            <w:vAlign w:val="center"/>
          </w:tcPr>
          <w:p w14:paraId="1924F126"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943EFA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for patients aged 21 to 24 with histologically confirmed (biopsy) CIN III/HSIL (cervical intraepithelial neoplasia grade III/high-grade </w:t>
            </w:r>
            <w:r w:rsidRPr="00CB2EC4">
              <w:rPr>
                <w:rFonts w:ascii="Times New Roman" w:hAnsi="Times New Roman" w:cs="Times New Roman"/>
              </w:rPr>
              <w:lastRenderedPageBreak/>
              <w:t>squamous intraepithelial lesion), the follow-up steps depend on the transformation zone (TZ) type:</w:t>
            </w:r>
            <w:r w:rsidRPr="00CB2EC4">
              <w:rPr>
                <w:rFonts w:ascii="Times New Roman" w:hAnsi="Times New Roman" w:cs="Times New Roman"/>
              </w:rPr>
              <w:br/>
            </w:r>
            <w:r w:rsidRPr="00CB2EC4">
              <w:rPr>
                <w:rFonts w:ascii="Times New Roman" w:hAnsi="Times New Roman" w:cs="Times New Roman"/>
              </w:rPr>
              <w:br/>
              <w:t>- If TZ type is TZ1/2 (transformation zone fully/partially visible): observation follow-up may be chosen, with cytology and colposcopy repeated every 10–12 weeks.</w:t>
            </w:r>
            <w:r w:rsidRPr="00CB2EC4">
              <w:rPr>
                <w:rFonts w:ascii="Times New Roman" w:hAnsi="Times New Roman" w:cs="Times New Roman"/>
              </w:rPr>
              <w:br/>
              <w:t xml:space="preserve">  - If no progression is observed (lesion does not worsen), continue observation.</w:t>
            </w:r>
            <w:r w:rsidRPr="00CB2EC4">
              <w:rPr>
                <w:rFonts w:ascii="Times New Roman" w:hAnsi="Times New Roman" w:cs="Times New Roman"/>
              </w:rPr>
              <w:br/>
              <w:t xml:space="preserve">  - If lesion progresses or invasive cancer is detected, perform diagnostic/therapeutic cervical conization, and manage subsequent follow-up according to cervical cancer treatment protocols.</w:t>
            </w:r>
            <w:r w:rsidRPr="00CB2EC4">
              <w:rPr>
                <w:rFonts w:ascii="Times New Roman" w:hAnsi="Times New Roman" w:cs="Times New Roman"/>
              </w:rPr>
              <w:br/>
              <w:t>- If TZ type is TZ3 (transformation zone not visible): proceed directly to diagnostic/therapeutic cervical conization, with follow-up (e.g., at 4–6 months) as outlined above.</w:t>
            </w:r>
            <w:r w:rsidRPr="00CB2EC4">
              <w:rPr>
                <w:rFonts w:ascii="Times New Roman" w:hAnsi="Times New Roman" w:cs="Times New Roman"/>
              </w:rPr>
              <w:br/>
            </w:r>
            <w:r w:rsidRPr="00CB2EC4">
              <w:rPr>
                <w:rFonts w:ascii="Times New Roman" w:hAnsi="Times New Roman" w:cs="Times New Roman"/>
              </w:rPr>
              <w:br/>
              <w:t>Source: Section d of Document Fragment 1 and the chart in Document Fragment 5 explicitly cover management for this age group and lesion grade.</w:t>
            </w:r>
          </w:p>
        </w:tc>
        <w:tc>
          <w:tcPr>
            <w:tcW w:w="1152" w:type="dxa"/>
            <w:vAlign w:val="center"/>
          </w:tcPr>
          <w:p w14:paraId="7E4DEA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2475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B240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F9E83D" w14:textId="77777777">
        <w:tc>
          <w:tcPr>
            <w:tcW w:w="2160" w:type="dxa"/>
            <w:vAlign w:val="center"/>
          </w:tcPr>
          <w:p w14:paraId="32B1CFB8"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A7A8C59"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CIN III/HSIL, follow-up steps depend on the transformation zone (TZ) type:</w:t>
            </w:r>
            <w:r w:rsidRPr="00CB2EC4">
              <w:rPr>
                <w:rFonts w:ascii="Times New Roman" w:hAnsi="Times New Roman" w:cs="Times New Roman"/>
              </w:rPr>
              <w:br/>
            </w:r>
            <w:r w:rsidRPr="00CB2EC4">
              <w:rPr>
                <w:rFonts w:ascii="Times New Roman" w:hAnsi="Times New Roman" w:cs="Times New Roman"/>
              </w:rPr>
              <w:br/>
              <w:t>- if TZ type is TZ1/2 (transformation zone fully/partially visible):</w:t>
            </w:r>
            <w:r w:rsidRPr="00CB2EC4">
              <w:rPr>
                <w:rFonts w:ascii="Times New Roman" w:hAnsi="Times New Roman" w:cs="Times New Roman"/>
              </w:rPr>
              <w:br/>
              <w:t xml:space="preserve">  - observation may be chosen (repeat cytology + colposcopy every 10–12 weeks)</w:t>
            </w:r>
            <w:r w:rsidRPr="00CB2EC4">
              <w:rPr>
                <w:rFonts w:ascii="Times New Roman" w:hAnsi="Times New Roman" w:cs="Times New Roman"/>
              </w:rPr>
              <w:br/>
              <w:t xml:space="preserve">  - if no progression is observed, continue surveillance</w:t>
            </w:r>
            <w:r w:rsidRPr="00CB2EC4">
              <w:rPr>
                <w:rFonts w:ascii="Times New Roman" w:hAnsi="Times New Roman" w:cs="Times New Roman"/>
              </w:rPr>
              <w:br/>
              <w:t xml:space="preserve">  - if progression occurs or invasive cancer is detected, perform diagnostic/therapeutic cervical conization; follow-up after surgery as previously described (if margins are negative: repeat cytology + colposcopy + </w:t>
            </w:r>
            <w:r w:rsidRPr="00CB2EC4">
              <w:rPr>
                <w:rFonts w:ascii="Times New Roman" w:hAnsi="Times New Roman" w:cs="Times New Roman"/>
              </w:rPr>
              <w:lastRenderedPageBreak/>
              <w:t>ECC at 4–6 months; if margins are positive: repeat at 4–6 months and manage based on findings)</w:t>
            </w:r>
            <w:r w:rsidRPr="00CB2EC4">
              <w:rPr>
                <w:rFonts w:ascii="Times New Roman" w:hAnsi="Times New Roman" w:cs="Times New Roman"/>
              </w:rPr>
              <w:br/>
              <w:t>- if TZ type is TZ3 (transformation zone not visible):</w:t>
            </w:r>
            <w:r w:rsidRPr="00CB2EC4">
              <w:rPr>
                <w:rFonts w:ascii="Times New Roman" w:hAnsi="Times New Roman" w:cs="Times New Roman"/>
              </w:rPr>
              <w:br/>
              <w:t xml:space="preserve">  - proceed directly to diagnostic/therapeutic cervical conization; follow-up after surgery as previously described (if margins are negative: repeat cytology + colposcopy + ECC at 4–6 months; if margins are positive: repeat at 4–6 months and manage based on findings)</w:t>
            </w:r>
            <w:r w:rsidRPr="00CB2EC4">
              <w:rPr>
                <w:rFonts w:ascii="Times New Roman" w:hAnsi="Times New Roman" w:cs="Times New Roman"/>
              </w:rPr>
              <w:br/>
              <w:t>- note: management of CIN III/HSIL in patients aged 21–24 must be individualized based on TZ type; observation is an optional approach only for TZ1/2 type.</w:t>
            </w:r>
            <w:r w:rsidRPr="00CB2EC4">
              <w:rPr>
                <w:rFonts w:ascii="Times New Roman" w:hAnsi="Times New Roman" w:cs="Times New Roman"/>
              </w:rPr>
              <w:br/>
            </w:r>
            <w:r w:rsidRPr="00CB2EC4">
              <w:rPr>
                <w:rFonts w:ascii="Times New Roman" w:hAnsi="Times New Roman" w:cs="Times New Roman"/>
              </w:rPr>
              <w:br/>
              <w:t>this response is based on the specific description for patients aged 21–24 with CIN III/HSIL in the first document fragment (e.g., section d).</w:t>
            </w:r>
          </w:p>
        </w:tc>
        <w:tc>
          <w:tcPr>
            <w:tcW w:w="1152" w:type="dxa"/>
            <w:vAlign w:val="center"/>
          </w:tcPr>
          <w:p w14:paraId="7A672F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9A68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A73D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A70787" w14:textId="77777777">
        <w:tc>
          <w:tcPr>
            <w:tcW w:w="2160" w:type="dxa"/>
            <w:vAlign w:val="center"/>
          </w:tcPr>
          <w:p w14:paraId="6D4F4A0B"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5D878C4"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CIN III/HSIL (cervical intraepithelial neoplasia grade III/high-grade squamous intraepithelial lesion), the following follow-up steps should be taken:</w:t>
            </w:r>
            <w:r w:rsidRPr="00CB2EC4">
              <w:rPr>
                <w:rFonts w:ascii="Times New Roman" w:hAnsi="Times New Roman" w:cs="Times New Roman"/>
              </w:rPr>
              <w:br/>
            </w:r>
            <w:r w:rsidRPr="00CB2EC4">
              <w:rPr>
                <w:rFonts w:ascii="Times New Roman" w:hAnsi="Times New Roman" w:cs="Times New Roman"/>
              </w:rPr>
              <w:br/>
              <w:t>- first, perform colposcopy to determine the transformation zone (TZ) type.</w:t>
            </w:r>
            <w:r w:rsidRPr="00CB2EC4">
              <w:rPr>
                <w:rFonts w:ascii="Times New Roman" w:hAnsi="Times New Roman" w:cs="Times New Roman"/>
              </w:rPr>
              <w:br/>
              <w:t xml:space="preserve">  - if colposcopy shows TZ3 type: diagnostic or therapeutic cervical conization should be performed.</w:t>
            </w:r>
            <w:r w:rsidRPr="00CB2EC4">
              <w:rPr>
                <w:rFonts w:ascii="Times New Roman" w:hAnsi="Times New Roman" w:cs="Times New Roman"/>
              </w:rPr>
              <w:br/>
              <w:t xml:space="preserve">  - if colposcopy shows TZ1 or TZ2 type: the patient should be followed up with repeat examinations (including cytology and colposcopy) every 6 to 12 weeks for close monitoring to exclude invasive cancer. if two consecutive follow-up tests are negative, transition to routine screening.</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*note: since the question does not provide colposcopy results or transformation zone type, the initial step must include colposcopy to guide subsequent management.*</w:t>
            </w:r>
          </w:p>
        </w:tc>
        <w:tc>
          <w:tcPr>
            <w:tcW w:w="1152" w:type="dxa"/>
            <w:vAlign w:val="center"/>
          </w:tcPr>
          <w:p w14:paraId="2C9DB8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CBCE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B69C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8DBDF7" w14:textId="77777777">
        <w:tc>
          <w:tcPr>
            <w:tcW w:w="2160" w:type="dxa"/>
            <w:vAlign w:val="center"/>
          </w:tcPr>
          <w:p w14:paraId="64D880D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0D4685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aged 21 to 24 with histologically confirmed CIN III/HSIL, the follow-up steps depend on the transformation zone (TZ) type:  </w:t>
            </w:r>
            <w:r w:rsidRPr="00CB2EC4">
              <w:rPr>
                <w:rFonts w:ascii="Times New Roman" w:hAnsi="Times New Roman" w:cs="Times New Roman"/>
              </w:rPr>
              <w:br/>
              <w:t xml:space="preserve">- if TZ type is TZ1/2:  </w:t>
            </w:r>
            <w:r w:rsidRPr="00CB2EC4">
              <w:rPr>
                <w:rFonts w:ascii="Times New Roman" w:hAnsi="Times New Roman" w:cs="Times New Roman"/>
              </w:rPr>
              <w:br/>
              <w:t xml:space="preserve">  - observation with follow-up (non-surgical management) may be chosen  </w:t>
            </w:r>
            <w:r w:rsidRPr="00CB2EC4">
              <w:rPr>
                <w:rFonts w:ascii="Times New Roman" w:hAnsi="Times New Roman" w:cs="Times New Roman"/>
              </w:rPr>
              <w:br/>
              <w:t xml:space="preserve">  - follow-up steps: cytology and colposcopy every 10–12 weeks  </w:t>
            </w:r>
            <w:r w:rsidRPr="00CB2EC4">
              <w:rPr>
                <w:rFonts w:ascii="Times New Roman" w:hAnsi="Times New Roman" w:cs="Times New Roman"/>
              </w:rPr>
              <w:br/>
              <w:t xml:space="preserve">    - if no progression is observed, continue surveillance  </w:t>
            </w:r>
            <w:r w:rsidRPr="00CB2EC4">
              <w:rPr>
                <w:rFonts w:ascii="Times New Roman" w:hAnsi="Times New Roman" w:cs="Times New Roman"/>
              </w:rPr>
              <w:br/>
              <w:t xml:space="preserve">    - if progression occurs or invasive cancer is detected, perform diagnostic/therapeutic cervical conization; post-procedure follow-up as previously described (e.g., if margins are negative, repeat testing in 4–6 months)  </w:t>
            </w:r>
            <w:r w:rsidRPr="00CB2EC4">
              <w:rPr>
                <w:rFonts w:ascii="Times New Roman" w:hAnsi="Times New Roman" w:cs="Times New Roman"/>
              </w:rPr>
              <w:br/>
              <w:t xml:space="preserve">- if TZ type is TZ3:  </w:t>
            </w:r>
            <w:r w:rsidRPr="00CB2EC4">
              <w:rPr>
                <w:rFonts w:ascii="Times New Roman" w:hAnsi="Times New Roman" w:cs="Times New Roman"/>
              </w:rPr>
              <w:br/>
              <w:t xml:space="preserve">  - diagnostic/therapeutic cervical conization should be performed directly  </w:t>
            </w:r>
            <w:r w:rsidRPr="00CB2EC4">
              <w:rPr>
                <w:rFonts w:ascii="Times New Roman" w:hAnsi="Times New Roman" w:cs="Times New Roman"/>
              </w:rPr>
              <w:br/>
              <w:t xml:space="preserve">  - post-procedure follow-up steps: same as in Question 27 (if margins are negative, repeat testing in 4–6 months; if margins are positive, repeat testing in 4–6 months and manage based on results)  </w:t>
            </w:r>
            <w:r w:rsidRPr="00CB2EC4">
              <w:rPr>
                <w:rFonts w:ascii="Times New Roman" w:hAnsi="Times New Roman" w:cs="Times New Roman"/>
              </w:rPr>
              <w:br/>
              <w:t>- basis: the document explicitly states "for patients aged 21–24 with histologically confirmed CIN III/HSIL → if transformation zone type is TZ1/2, observation (with cytology + colposcopy every 10–12 weeks) may be chosen... if transformation zone type is TZ3, diagnostic/therapeutic cervical conization should be performed directly"</w:t>
            </w:r>
          </w:p>
        </w:tc>
        <w:tc>
          <w:tcPr>
            <w:tcW w:w="1152" w:type="dxa"/>
            <w:vAlign w:val="center"/>
          </w:tcPr>
          <w:p w14:paraId="4FB2B0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2D37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A679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5ED9F3" w14:textId="77777777">
        <w:tc>
          <w:tcPr>
            <w:tcW w:w="2160" w:type="dxa"/>
            <w:vAlign w:val="center"/>
          </w:tcPr>
          <w:p w14:paraId="23BD856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38B279C9"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CIN III/HSIL (cervical intraepithelial neoplasia grade III/high-grade squamous intraepithelial lesion), the follow-up steps are as follows:</w:t>
            </w:r>
            <w:r w:rsidRPr="00CB2EC4">
              <w:rPr>
                <w:rFonts w:ascii="Times New Roman" w:hAnsi="Times New Roman" w:cs="Times New Roman"/>
              </w:rPr>
              <w:br/>
            </w:r>
            <w:r w:rsidRPr="00CB2EC4">
              <w:rPr>
                <w:rFonts w:ascii="Times New Roman" w:hAnsi="Times New Roman" w:cs="Times New Roman"/>
              </w:rPr>
              <w:br/>
              <w:t>- if the transformation zone (TZ) type is TZ1/2 (transformation zone fully or partially visible): observation may be chosen, with repeat cytology and colposcopy every 10–12 weeks.</w:t>
            </w:r>
            <w:r w:rsidRPr="00CB2EC4">
              <w:rPr>
                <w:rFonts w:ascii="Times New Roman" w:hAnsi="Times New Roman" w:cs="Times New Roman"/>
              </w:rPr>
              <w:br/>
              <w:t xml:space="preserve">  - if follow-up shows persistent lesion without progression, continue observation.</w:t>
            </w:r>
            <w:r w:rsidRPr="00CB2EC4">
              <w:rPr>
                <w:rFonts w:ascii="Times New Roman" w:hAnsi="Times New Roman" w:cs="Times New Roman"/>
              </w:rPr>
              <w:br/>
              <w:t xml:space="preserve">  - if progression occurs or suspicious invasive cancer is found, perform diagnostic/therapeutic cervical conization.</w:t>
            </w:r>
            <w:r w:rsidRPr="00CB2EC4">
              <w:rPr>
                <w:rFonts w:ascii="Times New Roman" w:hAnsi="Times New Roman" w:cs="Times New Roman"/>
              </w:rPr>
              <w:br/>
              <w:t>- if the TZ type is TZ3 (transformation zone not visible): proceed directly to diagnostic/therapeutic cervical conization, followed by standard surveillance postoperatively (e.g., if margins are negative, repeat cytology + colposcopy + endocervical curettage (ECC) at 4–6 months).</w:t>
            </w:r>
            <w:r w:rsidRPr="00CB2EC4">
              <w:rPr>
                <w:rFonts w:ascii="Times New Roman" w:hAnsi="Times New Roman" w:cs="Times New Roman"/>
              </w:rPr>
              <w:br/>
            </w:r>
            <w:r w:rsidRPr="00CB2EC4">
              <w:rPr>
                <w:rFonts w:ascii="Times New Roman" w:hAnsi="Times New Roman" w:cs="Times New Roman"/>
              </w:rPr>
              <w:br/>
              <w:t>- basis: document fragment 5 specifies: "for patients aged 21–24 with histologically confirmed CIN III/HSIL → if transformation zone type is TZ1/2, observation may be chosen (repeat cytology + colposcopy every 10–12 weeks)... if transformation zone type is TZ3, proceed directly to diagnostic/therapeutic cervical conization." document fragments 1 and 11 support special management for this age group.</w:t>
            </w:r>
          </w:p>
        </w:tc>
        <w:tc>
          <w:tcPr>
            <w:tcW w:w="1152" w:type="dxa"/>
            <w:vAlign w:val="center"/>
          </w:tcPr>
          <w:p w14:paraId="31F6D9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04E5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EAA2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B1A443" w14:textId="77777777">
        <w:tc>
          <w:tcPr>
            <w:tcW w:w="2160" w:type="dxa"/>
            <w:vAlign w:val="center"/>
          </w:tcPr>
          <w:p w14:paraId="09DC0650"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8EAE60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for patients aged 21 to 24 with histologically confirmed (biopsy) CIN III/HSIL (cervical intraepithelial neoplasia grade III/high-grade </w:t>
            </w:r>
            <w:r w:rsidRPr="00CB2EC4">
              <w:rPr>
                <w:rFonts w:ascii="Times New Roman" w:hAnsi="Times New Roman" w:cs="Times New Roman"/>
              </w:rPr>
              <w:lastRenderedPageBreak/>
              <w:t>squamous intraepithelial lesion), the follow-up steps should be stratified based on the type of transformation zone (TZ):</w:t>
            </w:r>
            <w:r w:rsidRPr="00CB2EC4">
              <w:rPr>
                <w:rFonts w:ascii="Times New Roman" w:hAnsi="Times New Roman" w:cs="Times New Roman"/>
              </w:rPr>
              <w:br/>
            </w:r>
            <w:r w:rsidRPr="00CB2EC4">
              <w:rPr>
                <w:rFonts w:ascii="Times New Roman" w:hAnsi="Times New Roman" w:cs="Times New Roman"/>
              </w:rPr>
              <w:br/>
              <w:t>- If the transformation zone type is TZ1/2 (partially or fully visible transformation zone): observation follow-up may be chosen, with repeat cytology and colposcopy every 10–12 weeks.</w:t>
            </w:r>
            <w:r w:rsidRPr="00CB2EC4">
              <w:rPr>
                <w:rFonts w:ascii="Times New Roman" w:hAnsi="Times New Roman" w:cs="Times New Roman"/>
              </w:rPr>
              <w:br/>
              <w:t xml:space="preserve">  - If no progression is observed, continue with surveillance.</w:t>
            </w:r>
            <w:r w:rsidRPr="00CB2EC4">
              <w:rPr>
                <w:rFonts w:ascii="Times New Roman" w:hAnsi="Times New Roman" w:cs="Times New Roman"/>
              </w:rPr>
              <w:br/>
              <w:t xml:space="preserve">  - If lesion progression is detected or invasive cancer is found, perform diagnostic/therapeutic cervical conization; post-procedure management follows that for general patients (as described in question 26).</w:t>
            </w:r>
            <w:r w:rsidRPr="00CB2EC4">
              <w:rPr>
                <w:rFonts w:ascii="Times New Roman" w:hAnsi="Times New Roman" w:cs="Times New Roman"/>
              </w:rPr>
              <w:br/>
              <w:t>- If the transformation zone type is TZ3 (transformation zone not visible): proceed directly to diagnostic/therapeutic cervical conization; post-procedure management follows that for general patients (as described in question 27).</w:t>
            </w:r>
            <w:r w:rsidRPr="00CB2EC4">
              <w:rPr>
                <w:rFonts w:ascii="Times New Roman" w:hAnsi="Times New Roman" w:cs="Times New Roman"/>
              </w:rPr>
              <w:br/>
            </w:r>
            <w:r w:rsidRPr="00CB2EC4">
              <w:rPr>
                <w:rFonts w:ascii="Times New Roman" w:hAnsi="Times New Roman" w:cs="Times New Roman"/>
              </w:rPr>
              <w:br/>
              <w:t>In summary, follow-up steps depend on TZ type: TZ1/2 allows for observation follow-up, while TZ3 requires direct surgical intervention.</w:t>
            </w:r>
          </w:p>
        </w:tc>
        <w:tc>
          <w:tcPr>
            <w:tcW w:w="1152" w:type="dxa"/>
            <w:vAlign w:val="center"/>
          </w:tcPr>
          <w:p w14:paraId="468798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0086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2CB8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34540D" w14:textId="77777777">
        <w:tc>
          <w:tcPr>
            <w:tcW w:w="2160" w:type="dxa"/>
            <w:vAlign w:val="center"/>
          </w:tcPr>
          <w:p w14:paraId="3DF7756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95FF32B"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CIN III/HSIL (cervical intraepithelial neoplasia grade III/high-grade squamous intraepithelial lesion), the recommended follow-up steps are:</w:t>
            </w:r>
            <w:r w:rsidRPr="00CB2EC4">
              <w:rPr>
                <w:rFonts w:ascii="Times New Roman" w:hAnsi="Times New Roman" w:cs="Times New Roman"/>
              </w:rPr>
              <w:br/>
            </w:r>
            <w:r w:rsidRPr="00CB2EC4">
              <w:rPr>
                <w:rFonts w:ascii="Times New Roman" w:hAnsi="Times New Roman" w:cs="Times New Roman"/>
              </w:rPr>
              <w:br/>
              <w:t xml:space="preserve">→ Recommend excisional treatment (e.g., LEEP or cold knife conization).  </w:t>
            </w:r>
            <w:r w:rsidRPr="00CB2EC4">
              <w:rPr>
                <w:rFonts w:ascii="Times New Roman" w:hAnsi="Times New Roman" w:cs="Times New Roman"/>
              </w:rPr>
              <w:br/>
              <w:t xml:space="preserve">  For young women aged 21–24, excisional treatment is recommended over observation following biopsy-confirmed CIN3 (equivalent to HSIL) due to the high </w:t>
            </w:r>
            <w:r w:rsidRPr="00CB2EC4">
              <w:rPr>
                <w:rFonts w:ascii="Times New Roman" w:hAnsi="Times New Roman" w:cs="Times New Roman"/>
              </w:rPr>
              <w:lastRenderedPageBreak/>
              <w:t>risk of progression and low rate of spontaneous regression.</w:t>
            </w:r>
          </w:p>
        </w:tc>
        <w:tc>
          <w:tcPr>
            <w:tcW w:w="1152" w:type="dxa"/>
            <w:vAlign w:val="center"/>
          </w:tcPr>
          <w:p w14:paraId="510091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DC8ED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038CD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90F3D06" w14:textId="77777777">
        <w:tc>
          <w:tcPr>
            <w:tcW w:w="10656" w:type="dxa"/>
            <w:gridSpan w:val="5"/>
            <w:tcBorders>
              <w:bottom w:val="single" w:sz="6" w:space="0" w:color="auto"/>
            </w:tcBorders>
            <w:vAlign w:val="center"/>
          </w:tcPr>
          <w:p w14:paraId="18895F0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29: In cervical cancer screening, if a patient aged 21 to 24 years has a histopathological confirmation (biopsy) of HSIL and a TZ3 classification for colposcopy, what follow-up steps should be conducted?</w:t>
            </w:r>
          </w:p>
        </w:tc>
      </w:tr>
      <w:tr w:rsidR="00922249" w:rsidRPr="00CB2EC4" w14:paraId="2BE19761" w14:textId="77777777">
        <w:tc>
          <w:tcPr>
            <w:tcW w:w="2160" w:type="dxa"/>
            <w:vAlign w:val="center"/>
          </w:tcPr>
          <w:p w14:paraId="08A4F2D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B04C58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HSIL (biopsy) and colposcopic classification of TZ3, the following follow-up steps should be taken:</w:t>
            </w:r>
            <w:r w:rsidRPr="00CB2EC4">
              <w:rPr>
                <w:rFonts w:ascii="Times New Roman" w:hAnsi="Times New Roman" w:cs="Times New Roman"/>
              </w:rPr>
              <w:br/>
            </w:r>
            <w:r w:rsidRPr="00CB2EC4">
              <w:rPr>
                <w:rFonts w:ascii="Times New Roman" w:hAnsi="Times New Roman" w:cs="Times New Roman"/>
              </w:rPr>
              <w:br/>
              <w:t>- for patients aged 21–24 with histologically confirmed HSIL and TZ3 colposcopic type (transformation zone not visible), the patient should proceed directly to diagnostic/therapeutic cervical conization.</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pathology shows negative margins: repeat testing including cytology, colposcopy, and ECC should be performed at 4–6 months.</w:t>
            </w:r>
            <w:r w:rsidRPr="00CB2EC4">
              <w:rPr>
                <w:rFonts w:ascii="Times New Roman" w:hAnsi="Times New Roman" w:cs="Times New Roman"/>
              </w:rPr>
              <w:br/>
              <w:t xml:space="preserve">  - if postoperative pathology shows positive margins (CIN II or higher): repeat cytology, colposcopy, and ECC at 4–6 months, and manage according to the findings based on the corresponding lesion grade.</w:t>
            </w:r>
            <w:r w:rsidRPr="00CB2EC4">
              <w:rPr>
                <w:rFonts w:ascii="Times New Roman" w:hAnsi="Times New Roman" w:cs="Times New Roman"/>
              </w:rPr>
              <w:br/>
              <w:t xml:space="preserve">  - if intraoperative suspicious invasive cancer is found: send for immediate pathological examination; if confirmed, refer to the cervical cancer treatment protocol.</w:t>
            </w:r>
            <w:r w:rsidRPr="00CB2EC4">
              <w:rPr>
                <w:rFonts w:ascii="Times New Roman" w:hAnsi="Times New Roman" w:cs="Times New Roman"/>
              </w:rPr>
              <w:br/>
              <w:t>- therefore, the follow-up step is to proceed directly to surgery, and based on the postoperative pathology results: if margins are negative, repeat testing (cytology + colposcopy + ECC) at 4–6 months; if margins are positive, repeat testing at 4–6 months and manage accordingly.</w:t>
            </w:r>
          </w:p>
        </w:tc>
        <w:tc>
          <w:tcPr>
            <w:tcW w:w="1152" w:type="dxa"/>
            <w:vAlign w:val="center"/>
          </w:tcPr>
          <w:p w14:paraId="411B62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9DBB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25C4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E6ECA3" w14:textId="77777777">
        <w:tc>
          <w:tcPr>
            <w:tcW w:w="2160" w:type="dxa"/>
            <w:vAlign w:val="center"/>
          </w:tcPr>
          <w:p w14:paraId="08792DF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Contextual Chunk </w:t>
            </w:r>
            <w:r w:rsidRPr="00CB2EC4">
              <w:rPr>
                <w:rFonts w:ascii="Times New Roman" w:hAnsi="Times New Roman" w:cs="Times New Roman"/>
              </w:rPr>
              <w:lastRenderedPageBreak/>
              <w:t>Headers</w:t>
            </w:r>
          </w:p>
        </w:tc>
        <w:tc>
          <w:tcPr>
            <w:tcW w:w="5040" w:type="dxa"/>
            <w:vAlign w:val="center"/>
          </w:tcPr>
          <w:p w14:paraId="2BE552B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in cervical cancer screening, for patients aged 21 to 24 </w:t>
            </w:r>
            <w:r w:rsidRPr="00CB2EC4">
              <w:rPr>
                <w:rFonts w:ascii="Times New Roman" w:hAnsi="Times New Roman" w:cs="Times New Roman"/>
              </w:rPr>
              <w:lastRenderedPageBreak/>
              <w:t>with histologically confirmed (biopsy) HSIL and a colposcopic classification of TZ3, the following follow-up steps should be taken:</w:t>
            </w:r>
            <w:r w:rsidRPr="00CB2EC4">
              <w:rPr>
                <w:rFonts w:ascii="Times New Roman" w:hAnsi="Times New Roman" w:cs="Times New Roman"/>
              </w:rPr>
              <w:br/>
            </w:r>
            <w:r w:rsidRPr="00CB2EC4">
              <w:rPr>
                <w:rFonts w:ascii="Times New Roman" w:hAnsi="Times New Roman" w:cs="Times New Roman"/>
              </w:rPr>
              <w:br/>
              <w:t>- Management: proceed directly to diagnostic/therapeutic cervical conization.</w:t>
            </w:r>
            <w:r w:rsidRPr="00CB2EC4">
              <w:rPr>
                <w:rFonts w:ascii="Times New Roman" w:hAnsi="Times New Roman" w:cs="Times New Roman"/>
              </w:rPr>
              <w:br/>
              <w:t>- Postoperative follow-up: same as for general patients (refer to follow-up steps in question 27).</w:t>
            </w:r>
            <w:r w:rsidRPr="00CB2EC4">
              <w:rPr>
                <w:rFonts w:ascii="Times New Roman" w:hAnsi="Times New Roman" w:cs="Times New Roman"/>
              </w:rPr>
              <w:br/>
              <w:t>- Basis: main text of fragment 1 (special populations section, TZ3 management).</w:t>
            </w:r>
          </w:p>
        </w:tc>
        <w:tc>
          <w:tcPr>
            <w:tcW w:w="1152" w:type="dxa"/>
            <w:vAlign w:val="center"/>
          </w:tcPr>
          <w:p w14:paraId="17A420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6FB6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EB528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F43FF0" w14:textId="77777777">
        <w:tc>
          <w:tcPr>
            <w:tcW w:w="2160" w:type="dxa"/>
            <w:vAlign w:val="center"/>
          </w:tcPr>
          <w:p w14:paraId="5410F710"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9E31674"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HSIL and a colposcopic classification of TZ3, the following follow-up steps should be taken:</w:t>
            </w:r>
            <w:r w:rsidRPr="00CB2EC4">
              <w:rPr>
                <w:rFonts w:ascii="Times New Roman" w:hAnsi="Times New Roman" w:cs="Times New Roman"/>
              </w:rPr>
              <w:br/>
            </w:r>
            <w:r w:rsidRPr="00CB2EC4">
              <w:rPr>
                <w:rFonts w:ascii="Times New Roman" w:hAnsi="Times New Roman" w:cs="Times New Roman"/>
              </w:rPr>
              <w:br/>
              <w:t>response: according to document fragment 1 (relevance: 1.000), for patients aged 21–24, if the cervical transformation zone type is TZ3 (regardless of whether it is CIN III/HSIL or general HSIL), the patient should proceed directly to diagnostic/therapeutic cervical conization (document fragments 1b and 1d). after treatment, according to document fragment 8 (relevance: 0.700), follow-up steps include: cervical cytology every 3 months in the first year after treatment; if all smear results are normal, annual cytology thereafter; high-risk HPV testing at least 6 months after treatment. additionally, if the specimen margins are confirmed to be CIN, colposcopy and endocervical curettage are recommended every 4–6 months until two consecutive normal results are obtained, after which annual cytology is resumed.</w:t>
            </w:r>
            <w:r w:rsidRPr="00CB2EC4">
              <w:rPr>
                <w:rFonts w:ascii="Times New Roman" w:hAnsi="Times New Roman" w:cs="Times New Roman"/>
              </w:rPr>
              <w:br/>
              <w:t xml:space="preserve">- conclusion: follow-up steps are: proceed directly to cervical conization, then conduct intensified follow-up </w:t>
            </w:r>
            <w:r w:rsidRPr="00CB2EC4">
              <w:rPr>
                <w:rFonts w:ascii="Times New Roman" w:hAnsi="Times New Roman" w:cs="Times New Roman"/>
              </w:rPr>
              <w:lastRenderedPageBreak/>
              <w:t>(cervical cytology every 3 months in the first year, then annually; HPV testing at 6 months post-treatment; colposcopy and curettage as needed if margins show CIN).</w:t>
            </w:r>
          </w:p>
        </w:tc>
        <w:tc>
          <w:tcPr>
            <w:tcW w:w="1152" w:type="dxa"/>
            <w:vAlign w:val="center"/>
          </w:tcPr>
          <w:p w14:paraId="07E11A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1BD1A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ABD4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3A9BB1" w14:textId="77777777">
        <w:tc>
          <w:tcPr>
            <w:tcW w:w="2160" w:type="dxa"/>
            <w:vAlign w:val="center"/>
          </w:tcPr>
          <w:p w14:paraId="05459BE7"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A7AABDB" w14:textId="77777777" w:rsidR="00922249" w:rsidRPr="00CB2EC4" w:rsidRDefault="003011D5">
            <w:pPr>
              <w:rPr>
                <w:rFonts w:ascii="Times New Roman" w:hAnsi="Times New Roman" w:cs="Times New Roman"/>
              </w:rPr>
            </w:pPr>
            <w:r w:rsidRPr="00CB2EC4">
              <w:rPr>
                <w:rFonts w:ascii="Times New Roman" w:hAnsi="Times New Roman" w:cs="Times New Roman"/>
              </w:rPr>
              <w:t>Follow-up steps for patients aged 21-24 with HSIL (TZ3 classification):</w:t>
            </w:r>
            <w:r w:rsidRPr="00CB2EC4">
              <w:rPr>
                <w:rFonts w:ascii="Times New Roman" w:hAnsi="Times New Roman" w:cs="Times New Roman"/>
              </w:rPr>
              <w:br/>
            </w:r>
            <w:r w:rsidRPr="00CB2EC4">
              <w:rPr>
                <w:rFonts w:ascii="Times New Roman" w:hAnsi="Times New Roman" w:cs="Times New Roman"/>
              </w:rPr>
              <w:br/>
              <w:t>Knowledge base reference:</w:t>
            </w:r>
            <w:r w:rsidRPr="00CB2EC4">
              <w:rPr>
                <w:rFonts w:ascii="Times New Roman" w:hAnsi="Times New Roman" w:cs="Times New Roman"/>
              </w:rPr>
              <w:br/>
            </w:r>
            <w:r w:rsidRPr="00CB2EC4">
              <w:rPr>
                <w:rFonts w:ascii="Times New Roman" w:hAnsi="Times New Roman" w:cs="Times New Roman"/>
              </w:rPr>
              <w:br/>
              <w:t>- Explicit requirement:</w:t>
            </w:r>
            <w:r w:rsidRPr="00CB2EC4">
              <w:rPr>
                <w:rFonts w:ascii="Times New Roman" w:hAnsi="Times New Roman" w:cs="Times New Roman"/>
              </w:rPr>
              <w:br/>
              <w:t xml:space="preserve">  - Regardless of histological grade (CIN II/III/HSIL), TZ3 type requires direct diagnostic/therapeutic cervical conization ("special population b" and Figure 5 workflow).</w:t>
            </w:r>
            <w:r w:rsidRPr="00CB2EC4">
              <w:rPr>
                <w:rFonts w:ascii="Times New Roman" w:hAnsi="Times New Roman" w:cs="Times New Roman"/>
              </w:rPr>
              <w:br/>
            </w:r>
            <w:r w:rsidRPr="00CB2EC4">
              <w:rPr>
                <w:rFonts w:ascii="Times New Roman" w:hAnsi="Times New Roman" w:cs="Times New Roman"/>
              </w:rPr>
              <w:br/>
              <w:t>- Basis:</w:t>
            </w:r>
            <w:r w:rsidRPr="00CB2EC4">
              <w:rPr>
                <w:rFonts w:ascii="Times New Roman" w:hAnsi="Times New Roman" w:cs="Times New Roman"/>
              </w:rPr>
              <w:br/>
              <w:t xml:space="preserve">  &gt; "If the patient is aged 21-24 years and the cervical transformation zone type is TZ3, the patient should undergo direct diagnostic/therapeutic cervical conization."</w:t>
            </w:r>
            <w:r w:rsidRPr="00CB2EC4">
              <w:rPr>
                <w:rFonts w:ascii="Times New Roman" w:hAnsi="Times New Roman" w:cs="Times New Roman"/>
              </w:rPr>
              <w:br/>
            </w:r>
            <w:r w:rsidRPr="00CB2EC4">
              <w:rPr>
                <w:rFonts w:ascii="Times New Roman" w:hAnsi="Times New Roman" w:cs="Times New Roman"/>
              </w:rPr>
              <w:br/>
              <w:t>&gt; Conclusion: Cervical conization must be performed immediately.</w:t>
            </w:r>
          </w:p>
        </w:tc>
        <w:tc>
          <w:tcPr>
            <w:tcW w:w="1152" w:type="dxa"/>
            <w:vAlign w:val="center"/>
          </w:tcPr>
          <w:p w14:paraId="2F1FE0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F756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BC34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9B67D80" w14:textId="77777777">
        <w:tc>
          <w:tcPr>
            <w:tcW w:w="2160" w:type="dxa"/>
            <w:vAlign w:val="center"/>
          </w:tcPr>
          <w:p w14:paraId="1D737B1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24503A2"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HSIL and a colposcopic classification of TZ3, the follow-up step is to proceed directly to diagnostic/therapeutic cervical conization. Subsequent management follows as previously described (i.e., post-operative follow-up based on margin status, such as repeat cytology, colposcopy, and endocervical curettage at 4–6 months if margins are negative).</w:t>
            </w:r>
          </w:p>
        </w:tc>
        <w:tc>
          <w:tcPr>
            <w:tcW w:w="1152" w:type="dxa"/>
            <w:vAlign w:val="center"/>
          </w:tcPr>
          <w:p w14:paraId="5CA941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43482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88F1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B627CD" w14:textId="77777777">
        <w:tc>
          <w:tcPr>
            <w:tcW w:w="2160" w:type="dxa"/>
            <w:vAlign w:val="center"/>
          </w:tcPr>
          <w:p w14:paraId="08F94DE7"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F2E457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for patients aged 21 to 24 </w:t>
            </w:r>
            <w:r w:rsidRPr="00CB2EC4">
              <w:rPr>
                <w:rFonts w:ascii="Times New Roman" w:hAnsi="Times New Roman" w:cs="Times New Roman"/>
              </w:rPr>
              <w:lastRenderedPageBreak/>
              <w:t>with histologically confirmed HSIL (biopsy) and a colposcopic classification of TZ3, the follow-up steps are as follows:</w:t>
            </w:r>
            <w:r w:rsidRPr="00CB2EC4">
              <w:rPr>
                <w:rFonts w:ascii="Times New Roman" w:hAnsi="Times New Roman" w:cs="Times New Roman"/>
              </w:rPr>
              <w:br/>
            </w:r>
            <w:r w:rsidRPr="00CB2EC4">
              <w:rPr>
                <w:rFonts w:ascii="Times New Roman" w:hAnsi="Times New Roman" w:cs="Times New Roman"/>
              </w:rPr>
              <w:br/>
              <w:t>- management approach: directly perform diagnostic/therapeutic cervical conization (ablation therapy is not an option), because in TZ3 type, the lesion may be deep or located within the endocervical canal.</w:t>
            </w:r>
            <w:r w:rsidRPr="00CB2EC4">
              <w:rPr>
                <w:rFonts w:ascii="Times New Roman" w:hAnsi="Times New Roman" w:cs="Times New Roman"/>
              </w:rPr>
              <w:br/>
              <w:t>- follow-up steps:</w:t>
            </w:r>
            <w:r w:rsidRPr="00CB2EC4">
              <w:rPr>
                <w:rFonts w:ascii="Times New Roman" w:hAnsi="Times New Roman" w:cs="Times New Roman"/>
              </w:rPr>
              <w:br/>
              <w:t xml:space="preserve">  - if postoperative pathology shows negative margins: repeat testing at 4–6 months, including cytology, colposcopy, and endocervical curettage (ECC).</w:t>
            </w:r>
            <w:r w:rsidRPr="00CB2EC4">
              <w:rPr>
                <w:rFonts w:ascii="Times New Roman" w:hAnsi="Times New Roman" w:cs="Times New Roman"/>
              </w:rPr>
              <w:br/>
              <w:t xml:space="preserve">  - if postoperative pathology shows positive margins (CIN II or higher): repeat cytology, colposcopy, and ECC at 4–6 months, and manage according to the findings (e.g., if persistent HSIL is detected, repeat conization or manage as high-grade lesion).</w:t>
            </w:r>
            <w:r w:rsidRPr="00CB2EC4">
              <w:rPr>
                <w:rFonts w:ascii="Times New Roman" w:hAnsi="Times New Roman" w:cs="Times New Roman"/>
              </w:rPr>
              <w:br/>
              <w:t xml:space="preserve">  - if intraoperative findings suggest suspicious invasive cancer: immediately send for pathological confirmation, and if confirmed, refer to cervical cancer treatment protocol.</w:t>
            </w:r>
            <w:r w:rsidRPr="00CB2EC4">
              <w:rPr>
                <w:rFonts w:ascii="Times New Roman" w:hAnsi="Times New Roman" w:cs="Times New Roman"/>
              </w:rPr>
              <w:br/>
            </w:r>
            <w:r w:rsidRPr="00CB2EC4">
              <w:rPr>
                <w:rFonts w:ascii="Times New Roman" w:hAnsi="Times New Roman" w:cs="Times New Roman"/>
              </w:rPr>
              <w:br/>
              <w:t>this information is directly from the management section for 21–24-year-old patients in relevant document 1 (b. if the patient is aged 21–24 and has a cervical transformation zone type TZ3, the patient should directly undergo diagnostic/therapeutic cervical conization, with subsequent follow-up as described above). the core of follow-up is close monitoring at 4–6 months post-surgery.</w:t>
            </w:r>
          </w:p>
        </w:tc>
        <w:tc>
          <w:tcPr>
            <w:tcW w:w="1152" w:type="dxa"/>
            <w:vAlign w:val="center"/>
          </w:tcPr>
          <w:p w14:paraId="0D2B1E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A4D3A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FC5EA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886E82" w14:textId="77777777">
        <w:tc>
          <w:tcPr>
            <w:tcW w:w="2160" w:type="dxa"/>
            <w:vAlign w:val="center"/>
          </w:tcPr>
          <w:p w14:paraId="0521C0B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AE9D1E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aged 21 to 24 with histologically confirmed HSIL (biopsy) and colposcopic classification of TZ3, the following follow-up steps </w:t>
            </w:r>
            <w:r w:rsidRPr="00CB2EC4">
              <w:rPr>
                <w:rFonts w:ascii="Times New Roman" w:hAnsi="Times New Roman" w:cs="Times New Roman"/>
              </w:rPr>
              <w:lastRenderedPageBreak/>
              <w:t>should be performed:</w:t>
            </w:r>
            <w:r w:rsidRPr="00CB2EC4">
              <w:rPr>
                <w:rFonts w:ascii="Times New Roman" w:hAnsi="Times New Roman" w:cs="Times New Roman"/>
              </w:rPr>
              <w:br/>
            </w:r>
            <w:r w:rsidRPr="00CB2EC4">
              <w:rPr>
                <w:rFonts w:ascii="Times New Roman" w:hAnsi="Times New Roman" w:cs="Times New Roman"/>
              </w:rPr>
              <w:br/>
              <w:t>- Preferred management: Proceed directly to diagnostic/therapeutic cervical conization.</w:t>
            </w:r>
            <w:r w:rsidRPr="00CB2EC4">
              <w:rPr>
                <w:rFonts w:ascii="Times New Roman" w:hAnsi="Times New Roman" w:cs="Times New Roman"/>
              </w:rPr>
              <w:br/>
              <w:t>- Subsequent process: Postoperative management as previously described (i.e., if margins are negative, follow up in 4–6 months; if margins are positive, follow up in 4–6 months and manage based on results; if invasive cancer is found, refer to cervical cancer treatment pathway).</w:t>
            </w:r>
            <w:r w:rsidRPr="00CB2EC4">
              <w:rPr>
                <w:rFonts w:ascii="Times New Roman" w:hAnsi="Times New Roman" w:cs="Times New Roman"/>
              </w:rPr>
              <w:br/>
              <w:t xml:space="preserve">  The document explicitly states that patients aged 21–24 with HSIL and TZ3 classification must undergo direct surgery and observation is not an option (source: second document fragment, special population section b).</w:t>
            </w:r>
          </w:p>
        </w:tc>
        <w:tc>
          <w:tcPr>
            <w:tcW w:w="1152" w:type="dxa"/>
            <w:vAlign w:val="center"/>
          </w:tcPr>
          <w:p w14:paraId="7726DD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91687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56A8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9900694" w14:textId="77777777">
        <w:tc>
          <w:tcPr>
            <w:tcW w:w="2160" w:type="dxa"/>
            <w:vAlign w:val="center"/>
          </w:tcPr>
          <w:p w14:paraId="4804564E"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96FC985"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HSIL and a colposcopic classification of TZ3, the following follow-up steps should be taken:</w:t>
            </w:r>
            <w:r w:rsidRPr="00CB2EC4">
              <w:rPr>
                <w:rFonts w:ascii="Times New Roman" w:hAnsi="Times New Roman" w:cs="Times New Roman"/>
              </w:rPr>
              <w:br/>
            </w:r>
            <w:r w:rsidRPr="00CB2EC4">
              <w:rPr>
                <w:rFonts w:ascii="Times New Roman" w:hAnsi="Times New Roman" w:cs="Times New Roman"/>
              </w:rPr>
              <w:br/>
              <w:t>- direct diagnostic/therapeutic cervical conization must be performed; observation or ablative therapy is not an option.</w:t>
            </w:r>
            <w:r w:rsidRPr="00CB2EC4">
              <w:rPr>
                <w:rFonts w:ascii="Times New Roman" w:hAnsi="Times New Roman" w:cs="Times New Roman"/>
              </w:rPr>
              <w:br/>
              <w:t>- postoperative follow-up steps:</w:t>
            </w:r>
            <w:r w:rsidRPr="00CB2EC4">
              <w:rPr>
                <w:rFonts w:ascii="Times New Roman" w:hAnsi="Times New Roman" w:cs="Times New Roman"/>
              </w:rPr>
              <w:br/>
              <w:t xml:space="preserve">  - if surgical margins are negative on pathology, repeat testing (cytology + colposcopy + ECC) at 4–6 months.</w:t>
            </w:r>
            <w:r w:rsidRPr="00CB2EC4">
              <w:rPr>
                <w:rFonts w:ascii="Times New Roman" w:hAnsi="Times New Roman" w:cs="Times New Roman"/>
              </w:rPr>
              <w:br/>
              <w:t xml:space="preserve">  - if surgical margins are positive for CIN II or higher, repeat cytology, colposcopy, and ECC at 4–6 months, and manage according to the corresponding lesion grade based on findings.</w:t>
            </w:r>
            <w:r w:rsidRPr="00CB2EC4">
              <w:rPr>
                <w:rFonts w:ascii="Times New Roman" w:hAnsi="Times New Roman" w:cs="Times New Roman"/>
              </w:rPr>
              <w:br/>
              <w:t xml:space="preserve">  - if invasive cancer is suspected intraoperatively, send for immediate pathology; if confirmed, refer to cervical cancer treatment protocol.</w:t>
            </w:r>
            <w:r w:rsidRPr="00CB2EC4">
              <w:rPr>
                <w:rFonts w:ascii="Times New Roman" w:hAnsi="Times New Roman" w:cs="Times New Roman"/>
              </w:rPr>
              <w:br/>
            </w:r>
            <w:r w:rsidRPr="00CB2EC4">
              <w:rPr>
                <w:rFonts w:ascii="Times New Roman" w:hAnsi="Times New Roman" w:cs="Times New Roman"/>
              </w:rPr>
              <w:lastRenderedPageBreak/>
              <w:t xml:space="preserve">  source: document fragment 1, sections b and d specify that TZ3 type requires direct surgery.</w:t>
            </w:r>
          </w:p>
        </w:tc>
        <w:tc>
          <w:tcPr>
            <w:tcW w:w="1152" w:type="dxa"/>
            <w:vAlign w:val="center"/>
          </w:tcPr>
          <w:p w14:paraId="0092F5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0E863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33F0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1501F2" w14:textId="77777777">
        <w:tc>
          <w:tcPr>
            <w:tcW w:w="2160" w:type="dxa"/>
            <w:vAlign w:val="center"/>
          </w:tcPr>
          <w:p w14:paraId="2559432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C7125A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HSIL (biopsy) and colposcopic classification TZ3, the following follow-up steps should be taken:</w:t>
            </w:r>
            <w:r w:rsidRPr="00CB2EC4">
              <w:rPr>
                <w:rFonts w:ascii="Times New Roman" w:hAnsi="Times New Roman" w:cs="Times New Roman"/>
              </w:rPr>
              <w:br/>
            </w:r>
            <w:r w:rsidRPr="00CB2EC4">
              <w:rPr>
                <w:rFonts w:ascii="Times New Roman" w:hAnsi="Times New Roman" w:cs="Times New Roman"/>
              </w:rPr>
              <w:br/>
              <w:t>- initial management: perform diagnostic/therapeutic cervical conization directly (observation or ablative therapy is not an option).</w:t>
            </w:r>
            <w:r w:rsidRPr="00CB2EC4">
              <w:rPr>
                <w:rFonts w:ascii="Times New Roman" w:hAnsi="Times New Roman" w:cs="Times New Roman"/>
              </w:rPr>
              <w:br/>
              <w:t>- postoperative follow-up:</w:t>
            </w:r>
            <w:r w:rsidRPr="00CB2EC4">
              <w:rPr>
                <w:rFonts w:ascii="Times New Roman" w:hAnsi="Times New Roman" w:cs="Times New Roman"/>
              </w:rPr>
              <w:br/>
              <w:t xml:space="preserve">  - if postoperative pathology shows negative margins (no CINⅡ or higher), repeat cytology, colposcopy, and ECC at 4–6 months.</w:t>
            </w:r>
            <w:r w:rsidRPr="00CB2EC4">
              <w:rPr>
                <w:rFonts w:ascii="Times New Roman" w:hAnsi="Times New Roman" w:cs="Times New Roman"/>
              </w:rPr>
              <w:br/>
              <w:t xml:space="preserve">  - if postoperative pathology shows positive margins (margin histopathology reports CINⅡ or higher), repeat cytology, colposcopy, and ECC at 4–6 months, and manage according to the corresponding lesion grade based on follow-up findings.</w:t>
            </w:r>
            <w:r w:rsidRPr="00CB2EC4">
              <w:rPr>
                <w:rFonts w:ascii="Times New Roman" w:hAnsi="Times New Roman" w:cs="Times New Roman"/>
              </w:rPr>
              <w:br/>
              <w:t xml:space="preserve">  - if invasive cancer is suspected intraoperatively, send for immediate pathological confirmation and transition to cervical cancer treatment protocol.</w:t>
            </w:r>
            <w:r w:rsidRPr="00CB2EC4">
              <w:rPr>
                <w:rFonts w:ascii="Times New Roman" w:hAnsi="Times New Roman" w:cs="Times New Roman"/>
              </w:rPr>
              <w:br/>
              <w:t>- long-term follow-up: after HSIL treatment, cytology combined with HPV testing is recommended for 20 years. Specific follow-up intervals are similar to those in questions 26 and 27 (repeat cytology plus HPV testing at 6–12 months post-surgery; extend intervals after consecutive normal results).</w:t>
            </w:r>
            <w:r w:rsidRPr="00CB2EC4">
              <w:rPr>
                <w:rFonts w:ascii="Times New Roman" w:hAnsi="Times New Roman" w:cs="Times New Roman"/>
              </w:rPr>
              <w:br/>
            </w:r>
            <w:r w:rsidRPr="00CB2EC4">
              <w:rPr>
                <w:rFonts w:ascii="Times New Roman" w:hAnsi="Times New Roman" w:cs="Times New Roman"/>
              </w:rPr>
              <w:br/>
              <w:t>this response is based on the description of management for HSIL TZ3 in patients aged 21–24 in the first document fragment (e.g., points b and d).</w:t>
            </w:r>
          </w:p>
        </w:tc>
        <w:tc>
          <w:tcPr>
            <w:tcW w:w="1152" w:type="dxa"/>
            <w:vAlign w:val="center"/>
          </w:tcPr>
          <w:p w14:paraId="4BBF2B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FF21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A871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528C93E" w14:textId="77777777">
        <w:tc>
          <w:tcPr>
            <w:tcW w:w="2160" w:type="dxa"/>
            <w:vAlign w:val="center"/>
          </w:tcPr>
          <w:p w14:paraId="16F8918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8F3E87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aged 21 to 24 with histologically </w:t>
            </w:r>
            <w:r w:rsidRPr="00CB2EC4">
              <w:rPr>
                <w:rFonts w:ascii="Times New Roman" w:hAnsi="Times New Roman" w:cs="Times New Roman"/>
              </w:rPr>
              <w:lastRenderedPageBreak/>
              <w:t>confirmed (biopsy) HSIL and a colposcopic classification of TZ3, the follow-up step is:</w:t>
            </w:r>
            <w:r w:rsidRPr="00CB2EC4">
              <w:rPr>
                <w:rFonts w:ascii="Times New Roman" w:hAnsi="Times New Roman" w:cs="Times New Roman"/>
              </w:rPr>
              <w:br/>
            </w:r>
            <w:r w:rsidRPr="00CB2EC4">
              <w:rPr>
                <w:rFonts w:ascii="Times New Roman" w:hAnsi="Times New Roman" w:cs="Times New Roman"/>
              </w:rPr>
              <w:br/>
              <w:t>direct diagnostic/therapeutic cervical conization.</w:t>
            </w:r>
            <w:r w:rsidRPr="00CB2EC4">
              <w:rPr>
                <w:rFonts w:ascii="Times New Roman" w:hAnsi="Times New Roman" w:cs="Times New Roman"/>
              </w:rPr>
              <w:br/>
            </w:r>
            <w:r w:rsidRPr="00CB2EC4">
              <w:rPr>
                <w:rFonts w:ascii="Times New Roman" w:hAnsi="Times New Roman" w:cs="Times New Roman"/>
              </w:rPr>
              <w:br/>
              <w:t>Postoperative follow-up:</w:t>
            </w:r>
            <w:r w:rsidRPr="00CB2EC4">
              <w:rPr>
                <w:rFonts w:ascii="Times New Roman" w:hAnsi="Times New Roman" w:cs="Times New Roman"/>
              </w:rPr>
              <w:br/>
              <w:t>- If margins are negative: repeat cytology + colposcopy + ECC in 4–6 months.</w:t>
            </w:r>
            <w:r w:rsidRPr="00CB2EC4">
              <w:rPr>
                <w:rFonts w:ascii="Times New Roman" w:hAnsi="Times New Roman" w:cs="Times New Roman"/>
              </w:rPr>
              <w:br/>
              <w:t>- If margins are positive (CINⅡ or higher): repeat examination in 4–6 months and manage based on findings.</w:t>
            </w:r>
            <w:r w:rsidRPr="00CB2EC4">
              <w:rPr>
                <w:rFonts w:ascii="Times New Roman" w:hAnsi="Times New Roman" w:cs="Times New Roman"/>
              </w:rPr>
              <w:br/>
              <w:t>- If suspicious for invasive cancer is found: immediately refer to cervical cancer treatment protocol.</w:t>
            </w:r>
          </w:p>
        </w:tc>
        <w:tc>
          <w:tcPr>
            <w:tcW w:w="1152" w:type="dxa"/>
            <w:vAlign w:val="center"/>
          </w:tcPr>
          <w:p w14:paraId="202A2A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CA0A7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33ED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237BB3" w14:textId="77777777">
        <w:tc>
          <w:tcPr>
            <w:tcW w:w="2160" w:type="dxa"/>
            <w:vAlign w:val="center"/>
          </w:tcPr>
          <w:p w14:paraId="08BD040D"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65126D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HSIL and colposcopic classification of TZ3, the following follow-up steps should be taken:</w:t>
            </w:r>
            <w:r w:rsidRPr="00CB2EC4">
              <w:rPr>
                <w:rFonts w:ascii="Times New Roman" w:hAnsi="Times New Roman" w:cs="Times New Roman"/>
              </w:rPr>
              <w:br/>
            </w:r>
            <w:r w:rsidRPr="00CB2EC4">
              <w:rPr>
                <w:rFonts w:ascii="Times New Roman" w:hAnsi="Times New Roman" w:cs="Times New Roman"/>
              </w:rPr>
              <w:br/>
              <w:t>- Preferred management: perform diagnostic/therapeutic cervical conization directly (observation or ablative therapy is not an option).</w:t>
            </w:r>
            <w:r w:rsidRPr="00CB2EC4">
              <w:rPr>
                <w:rFonts w:ascii="Times New Roman" w:hAnsi="Times New Roman" w:cs="Times New Roman"/>
              </w:rPr>
              <w:br/>
              <w:t>- Postoperative follow-up steps:</w:t>
            </w:r>
            <w:r w:rsidRPr="00CB2EC4">
              <w:rPr>
                <w:rFonts w:ascii="Times New Roman" w:hAnsi="Times New Roman" w:cs="Times New Roman"/>
              </w:rPr>
              <w:br/>
              <w:t xml:space="preserve">  - If postoperative pathology shows negative margins, perform a follow-up at 4–6 months including cytology, colposcopy, and endocervical curettage (ECC).</w:t>
            </w:r>
            <w:r w:rsidRPr="00CB2EC4">
              <w:rPr>
                <w:rFonts w:ascii="Times New Roman" w:hAnsi="Times New Roman" w:cs="Times New Roman"/>
              </w:rPr>
              <w:br/>
              <w:t xml:space="preserve">  - If postoperative pathology shows positive margins (CIN II or higher), perform follow-up cytology, colposcopy, and ECC at 4–6 months, and manage according to the corresponding lesion grade based on the follow-up results.</w:t>
            </w:r>
            <w:r w:rsidRPr="00CB2EC4">
              <w:rPr>
                <w:rFonts w:ascii="Times New Roman" w:hAnsi="Times New Roman" w:cs="Times New Roman"/>
              </w:rPr>
              <w:br/>
              <w:t xml:space="preserve">  - If suspicious invasive cancer is found intraoperatively, send for immediate pathological </w:t>
            </w:r>
            <w:r w:rsidRPr="00CB2EC4">
              <w:rPr>
                <w:rFonts w:ascii="Times New Roman" w:hAnsi="Times New Roman" w:cs="Times New Roman"/>
              </w:rPr>
              <w:lastRenderedPageBreak/>
              <w:t>confirmation; if confirmed, transition to cervical cancer treatment protocol.</w:t>
            </w:r>
            <w:r w:rsidRPr="00CB2EC4">
              <w:rPr>
                <w:rFonts w:ascii="Times New Roman" w:hAnsi="Times New Roman" w:cs="Times New Roman"/>
              </w:rPr>
              <w:br/>
              <w:t>- Basis: the document states that “if the patient is aged 21–24 and has a cervical transformation zone type of TZ3, the patient should undergo diagnostic/therapeutic cervical conization directly,” which applies to HSIL cases.</w:t>
            </w:r>
          </w:p>
        </w:tc>
        <w:tc>
          <w:tcPr>
            <w:tcW w:w="1152" w:type="dxa"/>
            <w:vAlign w:val="center"/>
          </w:tcPr>
          <w:p w14:paraId="024CB2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62AD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A488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DD5A45C" w14:textId="77777777">
        <w:tc>
          <w:tcPr>
            <w:tcW w:w="2160" w:type="dxa"/>
            <w:vAlign w:val="center"/>
          </w:tcPr>
          <w:p w14:paraId="664D4DB4"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EAADDC3"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HSIL and colposcopic classification of TZ3, the following follow-up steps should be taken:</w:t>
            </w:r>
            <w:r w:rsidRPr="00CB2EC4">
              <w:rPr>
                <w:rFonts w:ascii="Times New Roman" w:hAnsi="Times New Roman" w:cs="Times New Roman"/>
              </w:rPr>
              <w:br/>
            </w:r>
            <w:r w:rsidRPr="00CB2EC4">
              <w:rPr>
                <w:rFonts w:ascii="Times New Roman" w:hAnsi="Times New Roman" w:cs="Times New Roman"/>
              </w:rPr>
              <w:br/>
              <w:t>- Direct diagnostic/therapeutic cervical conization should be performed.</w:t>
            </w:r>
            <w:r w:rsidRPr="00CB2EC4">
              <w:rPr>
                <w:rFonts w:ascii="Times New Roman" w:hAnsi="Times New Roman" w:cs="Times New Roman"/>
              </w:rPr>
              <w:br/>
              <w:t>- Post-conization follow-up:</w:t>
            </w:r>
            <w:r w:rsidRPr="00CB2EC4">
              <w:rPr>
                <w:rFonts w:ascii="Times New Roman" w:hAnsi="Times New Roman" w:cs="Times New Roman"/>
              </w:rPr>
              <w:br/>
              <w:t xml:space="preserve">  - If surgical margins are negative on pathology: Repeat cytology, colposcopy, and ECC at 4–6 months.</w:t>
            </w:r>
            <w:r w:rsidRPr="00CB2EC4">
              <w:rPr>
                <w:rFonts w:ascii="Times New Roman" w:hAnsi="Times New Roman" w:cs="Times New Roman"/>
              </w:rPr>
              <w:br/>
              <w:t xml:space="preserve">  - If surgical margins are positive (margins show CIN II or higher): Repeat cytology, colposcopy, and ECC at 4–6 months, and manage according to the findings at the corresponding lesion level.</w:t>
            </w:r>
            <w:r w:rsidRPr="00CB2EC4">
              <w:rPr>
                <w:rFonts w:ascii="Times New Roman" w:hAnsi="Times New Roman" w:cs="Times New Roman"/>
              </w:rPr>
              <w:br/>
              <w:t xml:space="preserve">  - If suspicious invasive cancer is found intraoperatively: Send for immediate pathological examination; if confirmed, refer to cervical cancer treatment protocol.</w:t>
            </w:r>
            <w:r w:rsidRPr="00CB2EC4">
              <w:rPr>
                <w:rFonts w:ascii="Times New Roman" w:hAnsi="Times New Roman" w:cs="Times New Roman"/>
              </w:rPr>
              <w:br/>
            </w:r>
            <w:r w:rsidRPr="00CB2EC4">
              <w:rPr>
                <w:rFonts w:ascii="Times New Roman" w:hAnsi="Times New Roman" w:cs="Times New Roman"/>
              </w:rPr>
              <w:br/>
              <w:t>- Basis: Document fragment 5 explicitly states: “For patients aged 21–24 with histologically confirmed CIN III/HSIL → if the transformation zone type is TZ3, diagnostic/therapeutic cervical conization should be performed directly.” This principle applies equally to HSIL (as CIN III is a subset of HSIL), supported by document fragments 1 and 11.</w:t>
            </w:r>
          </w:p>
        </w:tc>
        <w:tc>
          <w:tcPr>
            <w:tcW w:w="1152" w:type="dxa"/>
            <w:vAlign w:val="center"/>
          </w:tcPr>
          <w:p w14:paraId="3C0A66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1840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73A0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ADEBEE" w14:textId="77777777">
        <w:tc>
          <w:tcPr>
            <w:tcW w:w="2160" w:type="dxa"/>
            <w:vAlign w:val="center"/>
          </w:tcPr>
          <w:p w14:paraId="480F437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0C9C61EF"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HSIL (including CIN II, CIN II/III, CIN III, CIN II/P16(+)) and colposcopic classification TZ3 (transformation zone not visible):</w:t>
            </w:r>
            <w:r w:rsidRPr="00CB2EC4">
              <w:rPr>
                <w:rFonts w:ascii="Times New Roman" w:hAnsi="Times New Roman" w:cs="Times New Roman"/>
              </w:rPr>
              <w:br/>
            </w:r>
            <w:r w:rsidRPr="00CB2EC4">
              <w:rPr>
                <w:rFonts w:ascii="Times New Roman" w:hAnsi="Times New Roman" w:cs="Times New Roman"/>
              </w:rPr>
              <w:br/>
              <w:t>- Direct diagnostic/therapeutic cervical conization must be performed (ablation therapy is not an option).</w:t>
            </w:r>
            <w:r w:rsidRPr="00CB2EC4">
              <w:rPr>
                <w:rFonts w:ascii="Times New Roman" w:hAnsi="Times New Roman" w:cs="Times New Roman"/>
              </w:rPr>
              <w:br/>
            </w:r>
            <w:r w:rsidRPr="00CB2EC4">
              <w:rPr>
                <w:rFonts w:ascii="Times New Roman" w:hAnsi="Times New Roman" w:cs="Times New Roman"/>
              </w:rPr>
              <w:br/>
              <w:t>Postoperative follow-up steps:</w:t>
            </w:r>
            <w:r w:rsidRPr="00CB2EC4">
              <w:rPr>
                <w:rFonts w:ascii="Times New Roman" w:hAnsi="Times New Roman" w:cs="Times New Roman"/>
              </w:rPr>
              <w:br/>
            </w:r>
            <w:r w:rsidRPr="00CB2EC4">
              <w:rPr>
                <w:rFonts w:ascii="Times New Roman" w:hAnsi="Times New Roman" w:cs="Times New Roman"/>
              </w:rPr>
              <w:br/>
              <w:t>- If postoperative pathology shows negative margins:</w:t>
            </w:r>
            <w:r w:rsidRPr="00CB2EC4">
              <w:rPr>
                <w:rFonts w:ascii="Times New Roman" w:hAnsi="Times New Roman" w:cs="Times New Roman"/>
              </w:rPr>
              <w:br/>
              <w:t xml:space="preserve">  → Recheck (including cytology, colposcopy, and ECC) at 4–6 months.</w:t>
            </w:r>
            <w:r w:rsidRPr="00CB2EC4">
              <w:rPr>
                <w:rFonts w:ascii="Times New Roman" w:hAnsi="Times New Roman" w:cs="Times New Roman"/>
              </w:rPr>
              <w:br/>
              <w:t>- If postoperative pathology shows positive margins (histopathological report of CIN II or higher):</w:t>
            </w:r>
            <w:r w:rsidRPr="00CB2EC4">
              <w:rPr>
                <w:rFonts w:ascii="Times New Roman" w:hAnsi="Times New Roman" w:cs="Times New Roman"/>
              </w:rPr>
              <w:br/>
              <w:t xml:space="preserve">  → Recheck cytology, colposcopy, and ECC at 4–6 months, and manage according to the corresponding lesion grade based on the recheck results.</w:t>
            </w:r>
            <w:r w:rsidRPr="00CB2EC4">
              <w:rPr>
                <w:rFonts w:ascii="Times New Roman" w:hAnsi="Times New Roman" w:cs="Times New Roman"/>
              </w:rPr>
              <w:br/>
              <w:t>- If intraoperative findings suggest suspicious invasive cancer:</w:t>
            </w:r>
            <w:r w:rsidRPr="00CB2EC4">
              <w:rPr>
                <w:rFonts w:ascii="Times New Roman" w:hAnsi="Times New Roman" w:cs="Times New Roman"/>
              </w:rPr>
              <w:br/>
              <w:t xml:space="preserve">  → Immediately send for pathological examination; if confirmed, refer to the cervical cancer treatment protocol.</w:t>
            </w:r>
            <w:r w:rsidRPr="00CB2EC4">
              <w:rPr>
                <w:rFonts w:ascii="Times New Roman" w:hAnsi="Times New Roman" w:cs="Times New Roman"/>
              </w:rPr>
              <w:br/>
            </w:r>
            <w:r w:rsidRPr="00CB2EC4">
              <w:rPr>
                <w:rFonts w:ascii="Times New Roman" w:hAnsi="Times New Roman" w:cs="Times New Roman"/>
              </w:rPr>
              <w:br/>
              <w:t>In summary, the follow-up approach centers on direct surgical treatment, with regular rechecks post-surgery based on pathological results.</w:t>
            </w:r>
          </w:p>
        </w:tc>
        <w:tc>
          <w:tcPr>
            <w:tcW w:w="1152" w:type="dxa"/>
            <w:vAlign w:val="center"/>
          </w:tcPr>
          <w:p w14:paraId="6665D3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75B8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4582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F80273" w14:textId="77777777">
        <w:tc>
          <w:tcPr>
            <w:tcW w:w="2160" w:type="dxa"/>
            <w:vAlign w:val="center"/>
          </w:tcPr>
          <w:p w14:paraId="0A40F6B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945514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HSIL and a colposcopic classification of TZ3, what follow-up steps should be taken?</w:t>
            </w:r>
            <w:r w:rsidRPr="00CB2EC4">
              <w:rPr>
                <w:rFonts w:ascii="Times New Roman" w:hAnsi="Times New Roman" w:cs="Times New Roman"/>
              </w:rPr>
              <w:br/>
            </w:r>
            <w:r w:rsidRPr="00CB2EC4">
              <w:rPr>
                <w:rFonts w:ascii="Times New Roman" w:hAnsi="Times New Roman" w:cs="Times New Roman"/>
              </w:rPr>
              <w:br/>
              <w:t xml:space="preserve">Follow-up steps: Recommend excisional treatment (such as LEEP or cold knife conization).  </w:t>
            </w:r>
            <w:r w:rsidRPr="00CB2EC4">
              <w:rPr>
                <w:rFonts w:ascii="Times New Roman" w:hAnsi="Times New Roman" w:cs="Times New Roman"/>
              </w:rPr>
              <w:br/>
            </w:r>
            <w:r w:rsidRPr="00CB2EC4">
              <w:rPr>
                <w:rFonts w:ascii="Times New Roman" w:hAnsi="Times New Roman" w:cs="Times New Roman"/>
              </w:rPr>
              <w:lastRenderedPageBreak/>
              <w:t xml:space="preserve">  Basis: According to the 2019 ASCCP guidelines, for patients aged 21–24 with biopsy-confirmed HSIL (including CIN3) and TZ3 classification (transformation zone not visible), excisional treatment is necessary because the non-visible transformation zone increases the risk of residual lesion, and CIN3 still requires active intervention in young women (ASCCP guidelines, risk management and special population recommendations).</w:t>
            </w:r>
          </w:p>
        </w:tc>
        <w:tc>
          <w:tcPr>
            <w:tcW w:w="1152" w:type="dxa"/>
            <w:vAlign w:val="center"/>
          </w:tcPr>
          <w:p w14:paraId="734CBE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3ECC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3A20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7B080F" w14:textId="77777777">
        <w:tc>
          <w:tcPr>
            <w:tcW w:w="10656" w:type="dxa"/>
            <w:gridSpan w:val="5"/>
            <w:tcBorders>
              <w:bottom w:val="single" w:sz="6" w:space="0" w:color="auto"/>
            </w:tcBorders>
            <w:vAlign w:val="center"/>
          </w:tcPr>
          <w:p w14:paraId="6382C2E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30: In cervical cancer screening, if a patient aged 21 to 24 years has a histopathological confirmation (biopsy) of CIN II/III/HSIL or CIN II/HSIL and a TZ1/2 classification for colposcopy, what follow-up steps should be conducted?</w:t>
            </w:r>
          </w:p>
        </w:tc>
      </w:tr>
      <w:tr w:rsidR="00922249" w:rsidRPr="00CB2EC4" w14:paraId="26542271" w14:textId="77777777">
        <w:tc>
          <w:tcPr>
            <w:tcW w:w="2160" w:type="dxa"/>
            <w:vAlign w:val="center"/>
          </w:tcPr>
          <w:p w14:paraId="4CF0E48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07B7737"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CIN II/III/HSIL or CIN II/HSIL and colposcopic classification of TZ1/2 (complete/partial visibility of the transformation zone), observational follow-up may be chosen.</w:t>
            </w:r>
            <w:r w:rsidRPr="00CB2EC4">
              <w:rPr>
                <w:rFonts w:ascii="Times New Roman" w:hAnsi="Times New Roman" w:cs="Times New Roman"/>
              </w:rPr>
              <w:br/>
            </w:r>
            <w:r w:rsidRPr="00CB2EC4">
              <w:rPr>
                <w:rFonts w:ascii="Times New Roman" w:hAnsi="Times New Roman" w:cs="Times New Roman"/>
              </w:rPr>
              <w:br/>
              <w:t>Follow-up steps:</w:t>
            </w:r>
            <w:r w:rsidRPr="00CB2EC4">
              <w:rPr>
                <w:rFonts w:ascii="Times New Roman" w:hAnsi="Times New Roman" w:cs="Times New Roman"/>
              </w:rPr>
              <w:br/>
              <w:t>- Repeat cytology and colposcopy every 10–12 weeks.</w:t>
            </w:r>
            <w:r w:rsidRPr="00CB2EC4">
              <w:rPr>
                <w:rFonts w:ascii="Times New Roman" w:hAnsi="Times New Roman" w:cs="Times New Roman"/>
              </w:rPr>
              <w:br/>
              <w:t>- If no progression persists, continue observation.</w:t>
            </w:r>
            <w:r w:rsidRPr="00CB2EC4">
              <w:rPr>
                <w:rFonts w:ascii="Times New Roman" w:hAnsi="Times New Roman" w:cs="Times New Roman"/>
              </w:rPr>
              <w:br/>
              <w:t>- If lesion progresses or invasive cancer is detected, perform diagnostic/therapeutic cervical excision.</w:t>
            </w:r>
            <w:r w:rsidRPr="00CB2EC4">
              <w:rPr>
                <w:rFonts w:ascii="Times New Roman" w:hAnsi="Times New Roman" w:cs="Times New Roman"/>
              </w:rPr>
              <w:br/>
            </w:r>
            <w:r w:rsidRPr="00CB2EC4">
              <w:rPr>
                <w:rFonts w:ascii="Times New Roman" w:hAnsi="Times New Roman" w:cs="Times New Roman"/>
              </w:rPr>
              <w:br/>
              <w:t>Therefore, the follow-up step is regular observation: repeat (cytology + colposcopy) every 10–12 weeks, and decide whether to continue observation or proceed to surgical treatment based on follow-up results.</w:t>
            </w:r>
          </w:p>
        </w:tc>
        <w:tc>
          <w:tcPr>
            <w:tcW w:w="1152" w:type="dxa"/>
            <w:vAlign w:val="center"/>
          </w:tcPr>
          <w:p w14:paraId="2B995B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69C4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9814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4B4511A" w14:textId="77777777">
        <w:tc>
          <w:tcPr>
            <w:tcW w:w="2160" w:type="dxa"/>
            <w:vAlign w:val="center"/>
          </w:tcPr>
          <w:p w14:paraId="04BA0D2A"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097BC00"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for patients aged 21 to 24 with histologically confirmed (biopsy) CIN II/III/HSIL or CIN II/HSIL and colposcopic classification of TZ1/2, the following follow-up steps should be taken:</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Management: observation with follow-up is recommended (repeat cytology and colposcopy every 10–12 weeks).</w:t>
            </w:r>
            <w:r w:rsidRPr="00CB2EC4">
              <w:rPr>
                <w:rFonts w:ascii="Times New Roman" w:hAnsi="Times New Roman" w:cs="Times New Roman"/>
              </w:rPr>
              <w:br/>
              <w:t>- Management during observation:</w:t>
            </w:r>
            <w:r w:rsidRPr="00CB2EC4">
              <w:rPr>
                <w:rFonts w:ascii="Times New Roman" w:hAnsi="Times New Roman" w:cs="Times New Roman"/>
              </w:rPr>
              <w:br/>
              <w:t xml:space="preserve">  - If no progression is detected: continue observation.</w:t>
            </w:r>
            <w:r w:rsidRPr="00CB2EC4">
              <w:rPr>
                <w:rFonts w:ascii="Times New Roman" w:hAnsi="Times New Roman" w:cs="Times New Roman"/>
              </w:rPr>
              <w:br/>
              <w:t xml:space="preserve">  - If progression occurs or invasive cancer is identified: refer to treatment protocol and perform diagnostic/therapeutic cervical excision (subsequent management follows the standard pathway for general patients).</w:t>
            </w:r>
            <w:r w:rsidRPr="00CB2EC4">
              <w:rPr>
                <w:rFonts w:ascii="Times New Roman" w:hAnsi="Times New Roman" w:cs="Times New Roman"/>
              </w:rPr>
              <w:br/>
              <w:t>- Basis: content from Fragment 1 (section on special populations, TZ1/2 management) and Fragment 2 (states CIN II may be followed every 6 months, but observation is prioritized for ages 21–24).</w:t>
            </w:r>
            <w:r w:rsidRPr="00CB2EC4">
              <w:rPr>
                <w:rFonts w:ascii="Times New Roman" w:hAnsi="Times New Roman" w:cs="Times New Roman"/>
              </w:rPr>
              <w:br/>
            </w:r>
            <w:r w:rsidRPr="00CB2EC4">
              <w:rPr>
                <w:rFonts w:ascii="Times New Roman" w:hAnsi="Times New Roman" w:cs="Times New Roman"/>
              </w:rPr>
              <w:br/>
              <w:t>summary note:</w:t>
            </w:r>
            <w:r w:rsidRPr="00CB2EC4">
              <w:rPr>
                <w:rFonts w:ascii="Times New Roman" w:hAnsi="Times New Roman" w:cs="Times New Roman"/>
              </w:rPr>
              <w:br/>
              <w:t>- all responses are based solely on the core content of Fragment 1 and Fragment 2; no unrelated sections are cited.</w:t>
            </w:r>
            <w:r w:rsidRPr="00CB2EC4">
              <w:rPr>
                <w:rFonts w:ascii="Times New Roman" w:hAnsi="Times New Roman" w:cs="Times New Roman"/>
              </w:rPr>
              <w:br/>
              <w:t>- scenarios not covered in the documents (e.g., HSIL during pregnancy) are not included in this question list and therefore not addressed.</w:t>
            </w:r>
            <w:r w:rsidRPr="00CB2EC4">
              <w:rPr>
                <w:rFonts w:ascii="Times New Roman" w:hAnsi="Times New Roman" w:cs="Times New Roman"/>
              </w:rPr>
              <w:br/>
              <w:t>- in complex clinical cases, it is advised to integrate the latest guidelines and individual patient factors for comprehensive assessment.</w:t>
            </w:r>
          </w:p>
        </w:tc>
        <w:tc>
          <w:tcPr>
            <w:tcW w:w="1152" w:type="dxa"/>
            <w:vAlign w:val="center"/>
          </w:tcPr>
          <w:p w14:paraId="081451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8B2F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A36D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B0D218" w14:textId="77777777">
        <w:tc>
          <w:tcPr>
            <w:tcW w:w="2160" w:type="dxa"/>
            <w:vAlign w:val="center"/>
          </w:tcPr>
          <w:p w14:paraId="449853E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2D859C8"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CIN II/III/HSIL or CIN II/HSIL and colposcopic classification of TZ1/2, the follow-up steps are:</w:t>
            </w:r>
            <w:r w:rsidRPr="00CB2EC4">
              <w:rPr>
                <w:rFonts w:ascii="Times New Roman" w:hAnsi="Times New Roman" w:cs="Times New Roman"/>
              </w:rPr>
              <w:br/>
            </w:r>
            <w:r w:rsidRPr="00CB2EC4">
              <w:rPr>
                <w:rFonts w:ascii="Times New Roman" w:hAnsi="Times New Roman" w:cs="Times New Roman"/>
              </w:rPr>
              <w:br/>
              <w:t>- observation may be chosen, with repeat cytology and colposcopy every 10–12 weeks.</w:t>
            </w:r>
            <w:r w:rsidRPr="00CB2EC4">
              <w:rPr>
                <w:rFonts w:ascii="Times New Roman" w:hAnsi="Times New Roman" w:cs="Times New Roman"/>
              </w:rPr>
              <w:br/>
              <w:t>- if no progression is observed, continue surveillance.</w:t>
            </w:r>
            <w:r w:rsidRPr="00CB2EC4">
              <w:rPr>
                <w:rFonts w:ascii="Times New Roman" w:hAnsi="Times New Roman" w:cs="Times New Roman"/>
              </w:rPr>
              <w:br/>
              <w:t xml:space="preserve">- if lesion progression is detected or invasive cancer is </w:t>
            </w:r>
            <w:r w:rsidRPr="00CB2EC4">
              <w:rPr>
                <w:rFonts w:ascii="Times New Roman" w:hAnsi="Times New Roman" w:cs="Times New Roman"/>
              </w:rPr>
              <w:lastRenderedPageBreak/>
              <w:t>found, perform diagnostic/therapeutic cervical excision (document fragment 1c).</w:t>
            </w:r>
            <w:r w:rsidRPr="00CB2EC4">
              <w:rPr>
                <w:rFonts w:ascii="Times New Roman" w:hAnsi="Times New Roman" w:cs="Times New Roman"/>
              </w:rPr>
              <w:br/>
            </w:r>
            <w:r w:rsidRPr="00CB2EC4">
              <w:rPr>
                <w:rFonts w:ascii="Times New Roman" w:hAnsi="Times New Roman" w:cs="Times New Roman"/>
              </w:rPr>
              <w:br/>
              <w:t>the document does not specify a fixed duration for the observation period but emphasizes repeat assessment every 10–12 weeks.</w:t>
            </w:r>
            <w:r w:rsidRPr="00CB2EC4">
              <w:rPr>
                <w:rFonts w:ascii="Times New Roman" w:hAnsi="Times New Roman" w:cs="Times New Roman"/>
              </w:rPr>
              <w:br/>
            </w:r>
            <w:r w:rsidRPr="00CB2EC4">
              <w:rPr>
                <w:rFonts w:ascii="Times New Roman" w:hAnsi="Times New Roman" w:cs="Times New Roman"/>
              </w:rPr>
              <w:br/>
              <w:t>conclusion: the follow-up step is to opt for observational management with cytology and colposcopy repeated every 10–12 weeks; subsequent management (continued observation or intervention) is determined based on the results of these repeat assessments.</w:t>
            </w:r>
          </w:p>
        </w:tc>
        <w:tc>
          <w:tcPr>
            <w:tcW w:w="1152" w:type="dxa"/>
            <w:vAlign w:val="center"/>
          </w:tcPr>
          <w:p w14:paraId="60F907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C9BDC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5EDF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995DE2" w14:textId="77777777">
        <w:tc>
          <w:tcPr>
            <w:tcW w:w="2160" w:type="dxa"/>
            <w:vAlign w:val="center"/>
          </w:tcPr>
          <w:p w14:paraId="0678BD16"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0FAAAB7" w14:textId="77777777" w:rsidR="00922249" w:rsidRPr="00CB2EC4" w:rsidRDefault="003011D5">
            <w:pPr>
              <w:rPr>
                <w:rFonts w:ascii="Times New Roman" w:hAnsi="Times New Roman" w:cs="Times New Roman"/>
              </w:rPr>
            </w:pPr>
            <w:r w:rsidRPr="00CB2EC4">
              <w:rPr>
                <w:rFonts w:ascii="Times New Roman" w:hAnsi="Times New Roman" w:cs="Times New Roman"/>
              </w:rPr>
              <w:t>follow-up steps for patients aged 21-24 with CIN II/III/HSIL or CIN II/HSIL (TZ1/2 classification):</w:t>
            </w:r>
            <w:r w:rsidRPr="00CB2EC4">
              <w:rPr>
                <w:rFonts w:ascii="Times New Roman" w:hAnsi="Times New Roman" w:cs="Times New Roman"/>
              </w:rPr>
              <w:br/>
            </w:r>
            <w:r w:rsidRPr="00CB2EC4">
              <w:rPr>
                <w:rFonts w:ascii="Times New Roman" w:hAnsi="Times New Roman" w:cs="Times New Roman"/>
              </w:rPr>
              <w:br/>
              <w:t>- Management options:</w:t>
            </w:r>
            <w:r w:rsidRPr="00CB2EC4">
              <w:rPr>
                <w:rFonts w:ascii="Times New Roman" w:hAnsi="Times New Roman" w:cs="Times New Roman"/>
              </w:rPr>
              <w:br/>
            </w:r>
            <w:r w:rsidRPr="00CB2EC4">
              <w:rPr>
                <w:rFonts w:ascii="Times New Roman" w:hAnsi="Times New Roman" w:cs="Times New Roman"/>
              </w:rPr>
              <w:br/>
              <w:t xml:space="preserve">  - Observation may be chosen (repeat cytology + colposcopy every 10-12 weeks) (see "Special Populations c" section).</w:t>
            </w:r>
            <w:r w:rsidRPr="00CB2EC4">
              <w:rPr>
                <w:rFonts w:ascii="Times New Roman" w:hAnsi="Times New Roman" w:cs="Times New Roman"/>
              </w:rPr>
              <w:br/>
              <w:t xml:space="preserve">  - If no progression persists → continue observation.</w:t>
            </w:r>
            <w:r w:rsidRPr="00CB2EC4">
              <w:rPr>
                <w:rFonts w:ascii="Times New Roman" w:hAnsi="Times New Roman" w:cs="Times New Roman"/>
              </w:rPr>
              <w:br/>
              <w:t xml:space="preserve">  - If progression occurs or invasive cancer is detected → perform cervical excision (see "Special Populations c" and Figure 5 workflow).</w:t>
            </w:r>
            <w:r w:rsidRPr="00CB2EC4">
              <w:rPr>
                <w:rFonts w:ascii="Times New Roman" w:hAnsi="Times New Roman" w:cs="Times New Roman"/>
              </w:rPr>
              <w:br/>
            </w:r>
            <w:r w:rsidRPr="00CB2EC4">
              <w:rPr>
                <w:rFonts w:ascii="Times New Roman" w:hAnsi="Times New Roman" w:cs="Times New Roman"/>
              </w:rPr>
              <w:br/>
              <w:t>- Basis:</w:t>
            </w:r>
            <w:r w:rsidRPr="00CB2EC4">
              <w:rPr>
                <w:rFonts w:ascii="Times New Roman" w:hAnsi="Times New Roman" w:cs="Times New Roman"/>
              </w:rPr>
              <w:br/>
            </w:r>
            <w:r w:rsidRPr="00CB2EC4">
              <w:rPr>
                <w:rFonts w:ascii="Times New Roman" w:hAnsi="Times New Roman" w:cs="Times New Roman"/>
              </w:rPr>
              <w:br/>
              <w:t xml:space="preserve">  &gt; "For patients aged 21-24 with histopathologically confirmed CIN II/III/HSIL or CIN II/HSIL and TZ1/2 colposcopic classification → observation may be chosen."</w:t>
            </w:r>
            <w:r w:rsidRPr="00CB2EC4">
              <w:rPr>
                <w:rFonts w:ascii="Times New Roman" w:hAnsi="Times New Roman" w:cs="Times New Roman"/>
              </w:rPr>
              <w:br/>
            </w:r>
            <w:r w:rsidRPr="00CB2EC4">
              <w:rPr>
                <w:rFonts w:ascii="Times New Roman" w:hAnsi="Times New Roman" w:cs="Times New Roman"/>
              </w:rPr>
              <w:br/>
              <w:t xml:space="preserve">&gt; Conclusion: Close observation may be chosen, with </w:t>
            </w:r>
            <w:r w:rsidRPr="00CB2EC4">
              <w:rPr>
                <w:rFonts w:ascii="Times New Roman" w:hAnsi="Times New Roman" w:cs="Times New Roman"/>
              </w:rPr>
              <w:lastRenderedPageBreak/>
              <w:t>referral to surgery if progression occurs.</w:t>
            </w:r>
          </w:p>
        </w:tc>
        <w:tc>
          <w:tcPr>
            <w:tcW w:w="1152" w:type="dxa"/>
            <w:vAlign w:val="center"/>
          </w:tcPr>
          <w:p w14:paraId="0B7411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ECBD3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89AC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DD154D3" w14:textId="77777777">
        <w:tc>
          <w:tcPr>
            <w:tcW w:w="2160" w:type="dxa"/>
            <w:vAlign w:val="center"/>
          </w:tcPr>
          <w:p w14:paraId="2EB3A31C"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C853453"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CIN II/III/HSIL or CIN II/HSIL and colposcopic classification of TZ1/2, the follow-up steps are:</w:t>
            </w:r>
            <w:r w:rsidRPr="00CB2EC4">
              <w:rPr>
                <w:rFonts w:ascii="Times New Roman" w:hAnsi="Times New Roman" w:cs="Times New Roman"/>
              </w:rPr>
              <w:br/>
            </w:r>
            <w:r w:rsidRPr="00CB2EC4">
              <w:rPr>
                <w:rFonts w:ascii="Times New Roman" w:hAnsi="Times New Roman" w:cs="Times New Roman"/>
              </w:rPr>
              <w:br/>
              <w:t>patients may choose observation (repeat cytology + colposcopy every 10–12 weeks). if there is no progression, continue observation; if the lesion progresses or invasive cancer is detected, perform diagnostic/therapeutic cervical excision.</w:t>
            </w:r>
          </w:p>
        </w:tc>
        <w:tc>
          <w:tcPr>
            <w:tcW w:w="1152" w:type="dxa"/>
            <w:vAlign w:val="center"/>
          </w:tcPr>
          <w:p w14:paraId="5D3535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434E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2D7A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C5BDD8" w14:textId="77777777">
        <w:tc>
          <w:tcPr>
            <w:tcW w:w="2160" w:type="dxa"/>
            <w:vAlign w:val="center"/>
          </w:tcPr>
          <w:p w14:paraId="22AFF93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3F7C522"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CIN II/III/HSIL or CIN II/HSIL and colposcopic transformation zone classification TZ1/TZ2, the follow-up steps are as follows:</w:t>
            </w:r>
            <w:r w:rsidRPr="00CB2EC4">
              <w:rPr>
                <w:rFonts w:ascii="Times New Roman" w:hAnsi="Times New Roman" w:cs="Times New Roman"/>
              </w:rPr>
              <w:br/>
            </w:r>
            <w:r w:rsidRPr="00CB2EC4">
              <w:rPr>
                <w:rFonts w:ascii="Times New Roman" w:hAnsi="Times New Roman" w:cs="Times New Roman"/>
              </w:rPr>
              <w:br/>
              <w:t>- Management approach: Observation with follow-up is recommended (rather than immediate surgical intervention) due to the high rate of spontaneous regression in young patients.</w:t>
            </w:r>
            <w:r w:rsidRPr="00CB2EC4">
              <w:rPr>
                <w:rFonts w:ascii="Times New Roman" w:hAnsi="Times New Roman" w:cs="Times New Roman"/>
              </w:rPr>
              <w:br/>
              <w:t>- Follow-up steps:</w:t>
            </w:r>
            <w:r w:rsidRPr="00CB2EC4">
              <w:rPr>
                <w:rFonts w:ascii="Times New Roman" w:hAnsi="Times New Roman" w:cs="Times New Roman"/>
              </w:rPr>
              <w:br/>
              <w:t xml:space="preserve">  - Repeat testing every 10–12 weeks, including cytology and colposcopy (as stated in relevant document 1: "observation with repeat testing every 10–12 weeks").</w:t>
            </w:r>
            <w:r w:rsidRPr="00CB2EC4">
              <w:rPr>
                <w:rFonts w:ascii="Times New Roman" w:hAnsi="Times New Roman" w:cs="Times New Roman"/>
              </w:rPr>
              <w:br/>
              <w:t xml:space="preserve">  - If serial follow-up shows persistent but non-progressive disease (stable or regressing), continue observation.</w:t>
            </w:r>
            <w:r w:rsidRPr="00CB2EC4">
              <w:rPr>
                <w:rFonts w:ascii="Times New Roman" w:hAnsi="Times New Roman" w:cs="Times New Roman"/>
              </w:rPr>
              <w:br/>
              <w:t xml:space="preserve">  - If disease progression (e.g., upgrade to a higher-grade lesion) or invasive cancer is detected, refer for treatment (perform diagnostic/therapeutic cervical conization). Post-treatment follow-up aligns with the steps for question 26: cytology, colposcopy, and </w:t>
            </w:r>
            <w:r w:rsidRPr="00CB2EC4">
              <w:rPr>
                <w:rFonts w:ascii="Times New Roman" w:hAnsi="Times New Roman" w:cs="Times New Roman"/>
              </w:rPr>
              <w:lastRenderedPageBreak/>
              <w:t>endocervical curettage (ECC) at 4–6 months.</w:t>
            </w:r>
            <w:r w:rsidRPr="00CB2EC4">
              <w:rPr>
                <w:rFonts w:ascii="Times New Roman" w:hAnsi="Times New Roman" w:cs="Times New Roman"/>
              </w:rPr>
              <w:br/>
            </w:r>
            <w:r w:rsidRPr="00CB2EC4">
              <w:rPr>
                <w:rFonts w:ascii="Times New Roman" w:hAnsi="Times New Roman" w:cs="Times New Roman"/>
              </w:rPr>
              <w:br/>
              <w:t>Summary notes:</w:t>
            </w:r>
            <w:r w:rsidRPr="00CB2EC4">
              <w:rPr>
                <w:rFonts w:ascii="Times New Roman" w:hAnsi="Times New Roman" w:cs="Times New Roman"/>
              </w:rPr>
              <w:br/>
              <w:t>- All responses are based on the provided context documents, particularly relevant document 1 (highest confidence score), which details the management algorithm for HSIL.</w:t>
            </w:r>
            <w:r w:rsidRPr="00CB2EC4">
              <w:rPr>
                <w:rFonts w:ascii="Times New Roman" w:hAnsi="Times New Roman" w:cs="Times New Roman"/>
              </w:rPr>
              <w:br/>
              <w:t>- In actual clinical practice, individual factors (e.g., pregnancy, comorbidities, resource limitations) may require adjustment of management according to the latest guidelines and personalized assessment.</w:t>
            </w:r>
            <w:r w:rsidRPr="00CB2EC4">
              <w:rPr>
                <w:rFonts w:ascii="Times New Roman" w:hAnsi="Times New Roman" w:cs="Times New Roman"/>
              </w:rPr>
              <w:br/>
              <w:t>- No information is missing; all answers are explicitly supported by the context.</w:t>
            </w:r>
          </w:p>
        </w:tc>
        <w:tc>
          <w:tcPr>
            <w:tcW w:w="1152" w:type="dxa"/>
            <w:vAlign w:val="center"/>
          </w:tcPr>
          <w:p w14:paraId="63529E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9BD1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B31F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0E4BD9" w14:textId="77777777">
        <w:tc>
          <w:tcPr>
            <w:tcW w:w="2160" w:type="dxa"/>
            <w:vAlign w:val="center"/>
          </w:tcPr>
          <w:p w14:paraId="7A10E99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5DF7703"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CIN II/III/HSIL or CIN II/HSIL and colposcopic classification of TZ1/2, the following follow-up steps are recommended:</w:t>
            </w:r>
            <w:r w:rsidRPr="00CB2EC4">
              <w:rPr>
                <w:rFonts w:ascii="Times New Roman" w:hAnsi="Times New Roman" w:cs="Times New Roman"/>
              </w:rPr>
              <w:br/>
            </w:r>
            <w:r w:rsidRPr="00CB2EC4">
              <w:rPr>
                <w:rFonts w:ascii="Times New Roman" w:hAnsi="Times New Roman" w:cs="Times New Roman"/>
              </w:rPr>
              <w:br/>
              <w:t>- preferred management: observation may be chosen (repeat cytology and colposcopy every 10–12 weeks).</w:t>
            </w:r>
            <w:r w:rsidRPr="00CB2EC4">
              <w:rPr>
                <w:rFonts w:ascii="Times New Roman" w:hAnsi="Times New Roman" w:cs="Times New Roman"/>
              </w:rPr>
              <w:br/>
              <w:t>- management during observation:</w:t>
            </w:r>
            <w:r w:rsidRPr="00CB2EC4">
              <w:rPr>
                <w:rFonts w:ascii="Times New Roman" w:hAnsi="Times New Roman" w:cs="Times New Roman"/>
              </w:rPr>
              <w:br/>
              <w:t xml:space="preserve">  - if no progression persists, continue observation.</w:t>
            </w:r>
            <w:r w:rsidRPr="00CB2EC4">
              <w:rPr>
                <w:rFonts w:ascii="Times New Roman" w:hAnsi="Times New Roman" w:cs="Times New Roman"/>
              </w:rPr>
              <w:br/>
              <w:t xml:space="preserve">  - if lesion progresses or invasive cancer is detected, perform diagnostic/therapeutic cervical conization; subsequent procedures as previously described.</w:t>
            </w:r>
            <w:r w:rsidRPr="00CB2EC4">
              <w:rPr>
                <w:rFonts w:ascii="Times New Roman" w:hAnsi="Times New Roman" w:cs="Times New Roman"/>
              </w:rPr>
              <w:br/>
              <w:t xml:space="preserve">    this management protocol is explicitly described in the source document (from the second document fragment, special population section c).</w:t>
            </w:r>
          </w:p>
        </w:tc>
        <w:tc>
          <w:tcPr>
            <w:tcW w:w="1152" w:type="dxa"/>
            <w:vAlign w:val="center"/>
          </w:tcPr>
          <w:p w14:paraId="18E5B0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BE00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29B4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9C80541" w14:textId="77777777">
        <w:tc>
          <w:tcPr>
            <w:tcW w:w="2160" w:type="dxa"/>
            <w:vAlign w:val="center"/>
          </w:tcPr>
          <w:p w14:paraId="3880B1AD"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C2D1EA0"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CIN II/III/HSIL or CIN II/HSIL and colposcopy classification of TZ1/2 (complete/partial visibility of the transformation zone), observation follow-up may be chosen:</w:t>
            </w:r>
            <w:r w:rsidRPr="00CB2EC4">
              <w:rPr>
                <w:rFonts w:ascii="Times New Roman" w:hAnsi="Times New Roman" w:cs="Times New Roman"/>
              </w:rPr>
              <w:br/>
            </w:r>
            <w:r w:rsidRPr="00CB2EC4">
              <w:rPr>
                <w:rFonts w:ascii="Times New Roman" w:hAnsi="Times New Roman" w:cs="Times New Roman"/>
              </w:rPr>
              <w:lastRenderedPageBreak/>
              <w:br/>
              <w:t>- Repeat cytology and colposcopy every 10–12 weeks.</w:t>
            </w:r>
            <w:r w:rsidRPr="00CB2EC4">
              <w:rPr>
                <w:rFonts w:ascii="Times New Roman" w:hAnsi="Times New Roman" w:cs="Times New Roman"/>
              </w:rPr>
              <w:br/>
              <w:t>- If no progression is observed, continue surveillance.</w:t>
            </w:r>
            <w:r w:rsidRPr="00CB2EC4">
              <w:rPr>
                <w:rFonts w:ascii="Times New Roman" w:hAnsi="Times New Roman" w:cs="Times New Roman"/>
              </w:rPr>
              <w:br/>
              <w:t>- If progression occurs or invasive cancer is detected, perform diagnostic/therapeutic cervical excision, and manage subsequent steps according to the cervical cancer treatment protocol.</w:t>
            </w:r>
            <w:r w:rsidRPr="00CB2EC4">
              <w:rPr>
                <w:rFonts w:ascii="Times New Roman" w:hAnsi="Times New Roman" w:cs="Times New Roman"/>
              </w:rPr>
              <w:br/>
              <w:t xml:space="preserve">  Source: Directly from section c of Document Fragment 1.</w:t>
            </w:r>
          </w:p>
        </w:tc>
        <w:tc>
          <w:tcPr>
            <w:tcW w:w="1152" w:type="dxa"/>
            <w:vAlign w:val="center"/>
          </w:tcPr>
          <w:p w14:paraId="29FCC5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13A56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05DB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9930EC" w14:textId="77777777">
        <w:tc>
          <w:tcPr>
            <w:tcW w:w="2160" w:type="dxa"/>
            <w:vAlign w:val="center"/>
          </w:tcPr>
          <w:p w14:paraId="097E9749"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87E8AFC"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years with histologically confirmed (biopsy) CIN II/III/HSIL or CIN II/HSIL with colposcopic transformation zone type 1 or 2 (TZ1/2):</w:t>
            </w:r>
            <w:r w:rsidRPr="00CB2EC4">
              <w:rPr>
                <w:rFonts w:ascii="Times New Roman" w:hAnsi="Times New Roman" w:cs="Times New Roman"/>
              </w:rPr>
              <w:br/>
            </w:r>
            <w:r w:rsidRPr="00CB2EC4">
              <w:rPr>
                <w:rFonts w:ascii="Times New Roman" w:hAnsi="Times New Roman" w:cs="Times New Roman"/>
              </w:rPr>
              <w:br/>
              <w:t>- Initial management: observation may be chosen, with repeat cytology and colposcopy every 10–12 weeks.</w:t>
            </w:r>
            <w:r w:rsidRPr="00CB2EC4">
              <w:rPr>
                <w:rFonts w:ascii="Times New Roman" w:hAnsi="Times New Roman" w:cs="Times New Roman"/>
              </w:rPr>
              <w:br/>
              <w:t>- Follow-up during observation:</w:t>
            </w:r>
            <w:r w:rsidRPr="00CB2EC4">
              <w:rPr>
                <w:rFonts w:ascii="Times New Roman" w:hAnsi="Times New Roman" w:cs="Times New Roman"/>
              </w:rPr>
              <w:br/>
              <w:t xml:space="preserve">  - If no progression is detected, continue observation.</w:t>
            </w:r>
            <w:r w:rsidRPr="00CB2EC4">
              <w:rPr>
                <w:rFonts w:ascii="Times New Roman" w:hAnsi="Times New Roman" w:cs="Times New Roman"/>
              </w:rPr>
              <w:br/>
              <w:t xml:space="preserve">  - If progression occurs or invasive cancer is identified, perform diagnostic/therapeutic cervical excision. Postoperative follow-up: if margins are negative, repeat cytology, colposcopy, and endocervical curettage (ECC) at 4–6 months; if margins are positive, repeat evaluation at 4–6 months and manage based on findings.</w:t>
            </w:r>
            <w:r w:rsidRPr="00CB2EC4">
              <w:rPr>
                <w:rFonts w:ascii="Times New Roman" w:hAnsi="Times New Roman" w:cs="Times New Roman"/>
              </w:rPr>
              <w:br/>
              <w:t>- Note: observation is an optional approach for TZ1/2 patients; if observation is not chosen or the lesion progresses, proceed to surgical management.</w:t>
            </w:r>
          </w:p>
        </w:tc>
        <w:tc>
          <w:tcPr>
            <w:tcW w:w="1152" w:type="dxa"/>
            <w:vAlign w:val="center"/>
          </w:tcPr>
          <w:p w14:paraId="09A6B9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2BB4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BC0F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DD5F9C" w14:textId="77777777">
        <w:tc>
          <w:tcPr>
            <w:tcW w:w="2160" w:type="dxa"/>
            <w:vAlign w:val="center"/>
          </w:tcPr>
          <w:p w14:paraId="7FF69C1B"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2CFB7DD"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CIN II/III/HSIL or CIN II/HSIL and colposcopic transformation zone classification of TZ1/2, the follow-up steps are:</w:t>
            </w:r>
            <w:r w:rsidRPr="00CB2EC4">
              <w:rPr>
                <w:rFonts w:ascii="Times New Roman" w:hAnsi="Times New Roman" w:cs="Times New Roman"/>
              </w:rPr>
              <w:br/>
            </w:r>
            <w:r w:rsidRPr="00CB2EC4">
              <w:rPr>
                <w:rFonts w:ascii="Times New Roman" w:hAnsi="Times New Roman" w:cs="Times New Roman"/>
              </w:rPr>
              <w:lastRenderedPageBreak/>
              <w:br/>
              <w:t>- perform follow-up examinations every 6 to 12 weeks, including cytology and colposcopy, to closely monitor and exclude invasive cancer.</w:t>
            </w:r>
            <w:r w:rsidRPr="00CB2EC4">
              <w:rPr>
                <w:rFonts w:ascii="Times New Roman" w:hAnsi="Times New Roman" w:cs="Times New Roman"/>
              </w:rPr>
              <w:br/>
              <w:t>- if two consecutive follow-up examinations are negative (no abnormal findings), transition to routine screening.</w:t>
            </w:r>
            <w:r w:rsidRPr="00CB2EC4">
              <w:rPr>
                <w:rFonts w:ascii="Times New Roman" w:hAnsi="Times New Roman" w:cs="Times New Roman"/>
              </w:rPr>
              <w:br/>
              <w:t>- immediate surgical treatment is not required.</w:t>
            </w:r>
            <w:r w:rsidRPr="00CB2EC4">
              <w:rPr>
                <w:rFonts w:ascii="Times New Roman" w:hAnsi="Times New Roman" w:cs="Times New Roman"/>
              </w:rPr>
              <w:br/>
            </w:r>
            <w:r w:rsidRPr="00CB2EC4">
              <w:rPr>
                <w:rFonts w:ascii="Times New Roman" w:hAnsi="Times New Roman" w:cs="Times New Roman"/>
              </w:rPr>
              <w:br/>
              <w:t>summary</w:t>
            </w:r>
            <w:r w:rsidRPr="00CB2EC4">
              <w:rPr>
                <w:rFonts w:ascii="Times New Roman" w:hAnsi="Times New Roman" w:cs="Times New Roman"/>
              </w:rPr>
              <w:br/>
              <w:t>all responses are strictly based on the provided document excerpts. necessary steps were inferred according to document logic where details were not explicitly stated (e.g., unspecified transformation zone type in question 28). no case was found where the answer was not available in the knowledge base.</w:t>
            </w:r>
          </w:p>
        </w:tc>
        <w:tc>
          <w:tcPr>
            <w:tcW w:w="1152" w:type="dxa"/>
            <w:vAlign w:val="center"/>
          </w:tcPr>
          <w:p w14:paraId="65CD5D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794A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24F5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5E9D46" w14:textId="77777777">
        <w:tc>
          <w:tcPr>
            <w:tcW w:w="2160" w:type="dxa"/>
            <w:vAlign w:val="center"/>
          </w:tcPr>
          <w:p w14:paraId="3DA9D557"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76A3336"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CIN II/III/HSIL or CIN II/HSIL and colposcopic classification of TZ1/2 (transformation zone fully or partially visible):</w:t>
            </w:r>
            <w:r w:rsidRPr="00CB2EC4">
              <w:rPr>
                <w:rFonts w:ascii="Times New Roman" w:hAnsi="Times New Roman" w:cs="Times New Roman"/>
              </w:rPr>
              <w:br/>
            </w:r>
            <w:r w:rsidRPr="00CB2EC4">
              <w:rPr>
                <w:rFonts w:ascii="Times New Roman" w:hAnsi="Times New Roman" w:cs="Times New Roman"/>
              </w:rPr>
              <w:br/>
              <w:t>- Preferred management: observation with follow-up (non-surgical treatment may be chosen).</w:t>
            </w:r>
            <w:r w:rsidRPr="00CB2EC4">
              <w:rPr>
                <w:rFonts w:ascii="Times New Roman" w:hAnsi="Times New Roman" w:cs="Times New Roman"/>
              </w:rPr>
              <w:br/>
              <w:t>- Follow-up steps: repeat cytology and colposcopy every 10–12 weeks.</w:t>
            </w:r>
            <w:r w:rsidRPr="00CB2EC4">
              <w:rPr>
                <w:rFonts w:ascii="Times New Roman" w:hAnsi="Times New Roman" w:cs="Times New Roman"/>
              </w:rPr>
              <w:br/>
              <w:t xml:space="preserve">  - If no progression is observed, continue surveillance.</w:t>
            </w:r>
            <w:r w:rsidRPr="00CB2EC4">
              <w:rPr>
                <w:rFonts w:ascii="Times New Roman" w:hAnsi="Times New Roman" w:cs="Times New Roman"/>
              </w:rPr>
              <w:br/>
              <w:t xml:space="preserve">  - If progression occurs or invasive cancer is detected, perform diagnostic/therapeutic cervical conization; post-procedure management follows as previously described (e.g., if margins are negative, re-evaluate at 4–6 months; if margins are positive, re-evaluate at 4–6 months and manage based on findings).</w:t>
            </w:r>
            <w:r w:rsidRPr="00CB2EC4">
              <w:rPr>
                <w:rFonts w:ascii="Times New Roman" w:hAnsi="Times New Roman" w:cs="Times New Roman"/>
              </w:rPr>
              <w:br/>
              <w:t>- Basis: the document explicitly states that for 21–24-</w:t>
            </w:r>
            <w:r w:rsidRPr="00CB2EC4">
              <w:rPr>
                <w:rFonts w:ascii="Times New Roman" w:hAnsi="Times New Roman" w:cs="Times New Roman"/>
              </w:rPr>
              <w:lastRenderedPageBreak/>
              <w:t>year-old patients with histologically confirmed CIN II/III/HSIL or CIN II/HSIL and TZ1/2 colposcopic classification → observation may be chosen (repeat cytology + colposcopy every 10–12 weeks)... if no progression persists, continue observation; if progression or invasive cancer is found, diagnostic/therapeutic cervical conization should be performed.</w:t>
            </w:r>
          </w:p>
        </w:tc>
        <w:tc>
          <w:tcPr>
            <w:tcW w:w="1152" w:type="dxa"/>
            <w:vAlign w:val="center"/>
          </w:tcPr>
          <w:p w14:paraId="003B78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9751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1F93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E89315" w14:textId="77777777">
        <w:tc>
          <w:tcPr>
            <w:tcW w:w="2160" w:type="dxa"/>
            <w:vAlign w:val="center"/>
          </w:tcPr>
          <w:p w14:paraId="22C44B4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F892CF3"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aged 21 to 24 with histologically confirmed (biopsy) CIN II/III/HSIL or CIN II/HSIL and colposcopic classification of TZ1/2, the following follow-up steps should be taken:</w:t>
            </w:r>
            <w:r w:rsidRPr="00CB2EC4">
              <w:rPr>
                <w:rFonts w:ascii="Times New Roman" w:hAnsi="Times New Roman" w:cs="Times New Roman"/>
              </w:rPr>
              <w:br/>
            </w:r>
            <w:r w:rsidRPr="00CB2EC4">
              <w:rPr>
                <w:rFonts w:ascii="Times New Roman" w:hAnsi="Times New Roman" w:cs="Times New Roman"/>
              </w:rPr>
              <w:br/>
              <w:t>- observation with follow-up is an option.</w:t>
            </w:r>
            <w:r w:rsidRPr="00CB2EC4">
              <w:rPr>
                <w:rFonts w:ascii="Times New Roman" w:hAnsi="Times New Roman" w:cs="Times New Roman"/>
              </w:rPr>
              <w:br/>
              <w:t xml:space="preserve">  - repeat cytology and colposcopy every 10–12 weeks.</w:t>
            </w:r>
            <w:r w:rsidRPr="00CB2EC4">
              <w:rPr>
                <w:rFonts w:ascii="Times New Roman" w:hAnsi="Times New Roman" w:cs="Times New Roman"/>
              </w:rPr>
              <w:br/>
              <w:t xml:space="preserve">  - if repeat testing shows persistent but non-progressing lesions, continue observation.</w:t>
            </w:r>
            <w:r w:rsidRPr="00CB2EC4">
              <w:rPr>
                <w:rFonts w:ascii="Times New Roman" w:hAnsi="Times New Roman" w:cs="Times New Roman"/>
              </w:rPr>
              <w:br/>
              <w:t xml:space="preserve">  - if lesion progression is observed or invasive cancer is suspected, perform diagnostic/therapeutic cervical excision.</w:t>
            </w:r>
            <w:r w:rsidRPr="00CB2EC4">
              <w:rPr>
                <w:rFonts w:ascii="Times New Roman" w:hAnsi="Times New Roman" w:cs="Times New Roman"/>
              </w:rPr>
              <w:br/>
            </w:r>
            <w:r w:rsidRPr="00CB2EC4">
              <w:rPr>
                <w:rFonts w:ascii="Times New Roman" w:hAnsi="Times New Roman" w:cs="Times New Roman"/>
              </w:rPr>
              <w:br/>
              <w:t>- basis: Document fragment 5 explicitly states: “For patients aged 21–24 with histologically confirmed CIN II/III/HSIL or CIN II/HSIL and colposcopic TZ1/2 classification → observation may be chosen (repeat cytology + colposcopy every 10–12 weeks)... if lesion progression or invasive cancer is found, diagnostic/therapeutic cervical excision should be performed.” Document fragments 1 and 11 emphasize conservative management strategies for young patients.</w:t>
            </w:r>
          </w:p>
        </w:tc>
        <w:tc>
          <w:tcPr>
            <w:tcW w:w="1152" w:type="dxa"/>
            <w:vAlign w:val="center"/>
          </w:tcPr>
          <w:p w14:paraId="2C8E42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8A04C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971A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70067E" w14:textId="77777777">
        <w:tc>
          <w:tcPr>
            <w:tcW w:w="2160" w:type="dxa"/>
            <w:vAlign w:val="center"/>
          </w:tcPr>
          <w:p w14:paraId="005F53B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41C3B9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aged 21 to 24 with histologically </w:t>
            </w:r>
            <w:r w:rsidRPr="00CB2EC4">
              <w:rPr>
                <w:rFonts w:ascii="Times New Roman" w:hAnsi="Times New Roman" w:cs="Times New Roman"/>
              </w:rPr>
              <w:lastRenderedPageBreak/>
              <w:t>confirmed (biopsy) CIN II/III/HSIL or CIN II/HSIL and colposcopic classification of TZ1/2 (partially or completely visible transformation zone):</w:t>
            </w:r>
            <w:r w:rsidRPr="00CB2EC4">
              <w:rPr>
                <w:rFonts w:ascii="Times New Roman" w:hAnsi="Times New Roman" w:cs="Times New Roman"/>
              </w:rPr>
              <w:br/>
            </w:r>
            <w:r w:rsidRPr="00CB2EC4">
              <w:rPr>
                <w:rFonts w:ascii="Times New Roman" w:hAnsi="Times New Roman" w:cs="Times New Roman"/>
              </w:rPr>
              <w:br/>
              <w:t>- Observation follow-up may be chosen, with repeat cytology and colposcopy every 10–12 weeks.</w:t>
            </w:r>
            <w:r w:rsidRPr="00CB2EC4">
              <w:rPr>
                <w:rFonts w:ascii="Times New Roman" w:hAnsi="Times New Roman" w:cs="Times New Roman"/>
              </w:rPr>
              <w:br/>
              <w:t xml:space="preserve">  - If no progression is observed, continue with surveillance.</w:t>
            </w:r>
            <w:r w:rsidRPr="00CB2EC4">
              <w:rPr>
                <w:rFonts w:ascii="Times New Roman" w:hAnsi="Times New Roman" w:cs="Times New Roman"/>
              </w:rPr>
              <w:br/>
              <w:t xml:space="preserve">  - If lesion progression is detected or invasive cancer is found, perform diagnostic/therapeutic cervical excision; post-procedure management follows that for general patients (as described in Question 26).</w:t>
            </w:r>
            <w:r w:rsidRPr="00CB2EC4">
              <w:rPr>
                <w:rFonts w:ascii="Times New Roman" w:hAnsi="Times New Roman" w:cs="Times New Roman"/>
              </w:rPr>
              <w:br/>
            </w:r>
            <w:r w:rsidRPr="00CB2EC4">
              <w:rPr>
                <w:rFonts w:ascii="Times New Roman" w:hAnsi="Times New Roman" w:cs="Times New Roman"/>
              </w:rPr>
              <w:br/>
              <w:t>In summary, the follow-up approach is primarily observation with regular monitoring of lesion changes, and surgical intervention is indicated only upon progression.</w:t>
            </w:r>
          </w:p>
        </w:tc>
        <w:tc>
          <w:tcPr>
            <w:tcW w:w="1152" w:type="dxa"/>
            <w:vAlign w:val="center"/>
          </w:tcPr>
          <w:p w14:paraId="2A2730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C79B7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86D3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7AE474" w14:textId="77777777">
        <w:tc>
          <w:tcPr>
            <w:tcW w:w="2160" w:type="dxa"/>
            <w:vAlign w:val="center"/>
          </w:tcPr>
          <w:p w14:paraId="5BB60A4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1B5455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follow-up steps:  </w:t>
            </w:r>
            <w:r w:rsidRPr="00CB2EC4">
              <w:rPr>
                <w:rFonts w:ascii="Times New Roman" w:hAnsi="Times New Roman" w:cs="Times New Roman"/>
              </w:rPr>
              <w:br/>
              <w:t xml:space="preserve">  - If the biopsy result is CIN2 (or CIN II/HSIL), observation follow-up is recommended (cytology and colposcopy every 6 months).  </w:t>
            </w:r>
            <w:r w:rsidRPr="00CB2EC4">
              <w:rPr>
                <w:rFonts w:ascii="Times New Roman" w:hAnsi="Times New Roman" w:cs="Times New Roman"/>
              </w:rPr>
              <w:br/>
              <w:t xml:space="preserve">  - If the biopsy result is CIN3 (or CIN III/HSIL), excisional treatment (such as LEEP or cold knife conization) is recommended.  </w:t>
            </w:r>
            <w:r w:rsidRPr="00CB2EC4">
              <w:rPr>
                <w:rFonts w:ascii="Times New Roman" w:hAnsi="Times New Roman" w:cs="Times New Roman"/>
              </w:rPr>
              <w:br/>
              <w:t>Rationale: For patients aged 21–24 years, when biopsy shows CIN2 and colposcopy is TZ1/2 (transformation zone fully or partially visible), observation is preferred due to high spontaneous regression rates of CIN2 in young women; for CIN3, excisional treatment is recommended regardless of TZ classification. The conditions "CIN II/III/HSIL or CIN II/HSIL" include both CIN2 and CIN3, so management must be differentiated based on the specific histopathological result.</w:t>
            </w:r>
          </w:p>
        </w:tc>
        <w:tc>
          <w:tcPr>
            <w:tcW w:w="1152" w:type="dxa"/>
            <w:vAlign w:val="center"/>
          </w:tcPr>
          <w:p w14:paraId="52313A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59D0C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4E7DF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3C72420" w14:textId="77777777">
        <w:tc>
          <w:tcPr>
            <w:tcW w:w="10656" w:type="dxa"/>
            <w:gridSpan w:val="5"/>
            <w:tcBorders>
              <w:bottom w:val="single" w:sz="6" w:space="0" w:color="auto"/>
            </w:tcBorders>
            <w:vAlign w:val="center"/>
          </w:tcPr>
          <w:p w14:paraId="0B9AFC21" w14:textId="77777777" w:rsidR="00922249" w:rsidRPr="00CB2EC4" w:rsidRDefault="003011D5">
            <w:pPr>
              <w:rPr>
                <w:rFonts w:ascii="Times New Roman" w:hAnsi="Times New Roman" w:cs="Times New Roman"/>
              </w:rPr>
            </w:pPr>
            <w:r w:rsidRPr="00CB2EC4">
              <w:rPr>
                <w:rFonts w:ascii="Times New Roman" w:hAnsi="Times New Roman" w:cs="Times New Roman"/>
                <w:b/>
              </w:rPr>
              <w:lastRenderedPageBreak/>
              <w:t>Question 31: In cervical cancer screening, if a pregnant patient has a histopathological confirmation (biopsy) of HSIL, what follow-up steps should be conducted?</w:t>
            </w:r>
          </w:p>
        </w:tc>
      </w:tr>
      <w:tr w:rsidR="00922249" w:rsidRPr="00CB2EC4" w14:paraId="24DCF160" w14:textId="77777777">
        <w:tc>
          <w:tcPr>
            <w:tcW w:w="2160" w:type="dxa"/>
            <w:vAlign w:val="center"/>
          </w:tcPr>
          <w:p w14:paraId="19C1CAE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A929DC5"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is histopathologically confirmed (biopsy) as HSIL, the following follow-up steps should be taken:</w:t>
            </w:r>
            <w:r w:rsidRPr="00CB2EC4">
              <w:rPr>
                <w:rFonts w:ascii="Times New Roman" w:hAnsi="Times New Roman" w:cs="Times New Roman"/>
              </w:rPr>
              <w:br/>
            </w:r>
            <w:r w:rsidRPr="00CB2EC4">
              <w:rPr>
                <w:rFonts w:ascii="Times New Roman" w:hAnsi="Times New Roman" w:cs="Times New Roman"/>
              </w:rPr>
              <w:br/>
              <w:t>- for pregnant patients histopathologically diagnosed with HSIL (including CIN II, CIN II/III, CIN III, CIN II/P16(+)), perform cytology combined with colposcopy every 10–12 weeks to closely monitor and rule out invasive cancer.</w:t>
            </w:r>
            <w:r w:rsidRPr="00CB2EC4">
              <w:rPr>
                <w:rFonts w:ascii="Times New Roman" w:hAnsi="Times New Roman" w:cs="Times New Roman"/>
              </w:rPr>
              <w:br/>
              <w:t>- if no invasive cancer is detected during pregnancy, defer follow-up to 6–8 weeks postpartum for re-examination, including cytology, colposcopy, and endocervical curettage (ECC).</w:t>
            </w:r>
            <w:r w:rsidRPr="00CB2EC4">
              <w:rPr>
                <w:rFonts w:ascii="Times New Roman" w:hAnsi="Times New Roman" w:cs="Times New Roman"/>
              </w:rPr>
              <w:br/>
              <w:t>- if suspicious invasive cancer is found during pregnancy, perform diagnostic/therapeutic conization immediately and refer to the cervical cancer treatment pathway.</w:t>
            </w:r>
            <w:r w:rsidRPr="00CB2EC4">
              <w:rPr>
                <w:rFonts w:ascii="Times New Roman" w:hAnsi="Times New Roman" w:cs="Times New Roman"/>
              </w:rPr>
              <w:br/>
            </w:r>
            <w:r w:rsidRPr="00CB2EC4">
              <w:rPr>
                <w:rFonts w:ascii="Times New Roman" w:hAnsi="Times New Roman" w:cs="Times New Roman"/>
              </w:rPr>
              <w:br/>
              <w:t>summary of follow-up steps: cytology + colposcopy every 10–12 weeks → if no invasive cancer detected, postpartum 6–8 weeks re-examination (cytology + colposcopy + ECC).</w:t>
            </w:r>
          </w:p>
        </w:tc>
        <w:tc>
          <w:tcPr>
            <w:tcW w:w="1152" w:type="dxa"/>
            <w:vAlign w:val="center"/>
          </w:tcPr>
          <w:p w14:paraId="25BB66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64D2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DF9E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0E499F" w14:textId="77777777">
        <w:tc>
          <w:tcPr>
            <w:tcW w:w="2160" w:type="dxa"/>
            <w:vAlign w:val="center"/>
          </w:tcPr>
          <w:p w14:paraId="4B24B8D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AD48040"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histologically confirmed (biopsy) HSIL, what follow-up steps should be taken?</w:t>
            </w:r>
            <w:r w:rsidRPr="00CB2EC4">
              <w:rPr>
                <w:rFonts w:ascii="Times New Roman" w:hAnsi="Times New Roman" w:cs="Times New Roman"/>
              </w:rPr>
              <w:br/>
            </w:r>
            <w:r w:rsidRPr="00CB2EC4">
              <w:rPr>
                <w:rFonts w:ascii="Times New Roman" w:hAnsi="Times New Roman" w:cs="Times New Roman"/>
              </w:rPr>
              <w:br/>
              <w:t>according to document excerpt 1 (topic: cervical cancer screening process during pregnancy), excerpt 3 (topic: HSIL management principles), and excerpt 12 (topic: HSIL management and treatment guidelines):</w:t>
            </w:r>
            <w:r w:rsidRPr="00CB2EC4">
              <w:rPr>
                <w:rFonts w:ascii="Times New Roman" w:hAnsi="Times New Roman" w:cs="Times New Roman"/>
              </w:rPr>
              <w:br/>
              <w:t xml:space="preserve">- follow-up steps: during pregnancy, perform cytology </w:t>
            </w:r>
            <w:r w:rsidRPr="00CB2EC4">
              <w:rPr>
                <w:rFonts w:ascii="Times New Roman" w:hAnsi="Times New Roman" w:cs="Times New Roman"/>
              </w:rPr>
              <w:lastRenderedPageBreak/>
              <w:t>combined with colposcopy every 10-12 weeks to closely monitor and rule out invasive cancer. if no invasive cancer is found, defer re-examination until 6-8 weeks postpartum (re-examination includes cytology, colposcopy, and endocervical curettage (ECC)).</w:t>
            </w:r>
            <w:r w:rsidRPr="00CB2EC4">
              <w:rPr>
                <w:rFonts w:ascii="Times New Roman" w:hAnsi="Times New Roman" w:cs="Times New Roman"/>
              </w:rPr>
              <w:br/>
              <w:t>- basis: document excerpt 1 explicitly states: "for pregnant patients, cytology + colposcopy should be performed every 10-12 weeks. if no invasive cancer is found, re-examination (cytology + colposcopy + ECC) should be deferred until 6-8 weeks postpartum." excerpts 3 and 12 further confirm this observation strategy applies to pregnant patients with HSIL.</w:t>
            </w:r>
          </w:p>
        </w:tc>
        <w:tc>
          <w:tcPr>
            <w:tcW w:w="1152" w:type="dxa"/>
            <w:vAlign w:val="center"/>
          </w:tcPr>
          <w:p w14:paraId="2548F7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B3EA6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8854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D3E7DF" w14:textId="77777777">
        <w:tc>
          <w:tcPr>
            <w:tcW w:w="2160" w:type="dxa"/>
            <w:vAlign w:val="center"/>
          </w:tcPr>
          <w:p w14:paraId="592B481B"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C7A0A80" w14:textId="77777777" w:rsidR="00922249" w:rsidRPr="00CB2EC4" w:rsidRDefault="003011D5">
            <w:pPr>
              <w:rPr>
                <w:rFonts w:ascii="Times New Roman" w:hAnsi="Times New Roman" w:cs="Times New Roman"/>
              </w:rPr>
            </w:pPr>
            <w:r w:rsidRPr="00CB2EC4">
              <w:rPr>
                <w:rFonts w:ascii="Times New Roman" w:hAnsi="Times New Roman" w:cs="Times New Roman"/>
              </w:rPr>
              <w:t>for pregnant patients with histologically confirmed HSIL (including CIN II and CIN III), the follow-up steps are:</w:t>
            </w:r>
            <w:r w:rsidRPr="00CB2EC4">
              <w:rPr>
                <w:rFonts w:ascii="Times New Roman" w:hAnsi="Times New Roman" w:cs="Times New Roman"/>
              </w:rPr>
              <w:br/>
            </w:r>
            <w:r w:rsidRPr="00CB2EC4">
              <w:rPr>
                <w:rFonts w:ascii="Times New Roman" w:hAnsi="Times New Roman" w:cs="Times New Roman"/>
              </w:rPr>
              <w:br/>
              <w:t>- perform cytology and colposcopy every 10–12 weeks during pregnancy to closely monitor and exclude invasive cancer</w:t>
            </w:r>
            <w:r w:rsidRPr="00CB2EC4">
              <w:rPr>
                <w:rFonts w:ascii="Times New Roman" w:hAnsi="Times New Roman" w:cs="Times New Roman"/>
              </w:rPr>
              <w:br/>
              <w:t>- if no evidence of invasive cancer is found, continue pregnancy to term</w:t>
            </w:r>
            <w:r w:rsidRPr="00CB2EC4">
              <w:rPr>
                <w:rFonts w:ascii="Times New Roman" w:hAnsi="Times New Roman" w:cs="Times New Roman"/>
              </w:rPr>
              <w:br/>
              <w:t>- repeat cytology and colposcopy at 6–8 weeks postpartum</w:t>
            </w:r>
            <w:r w:rsidRPr="00CB2EC4">
              <w:rPr>
                <w:rFonts w:ascii="Times New Roman" w:hAnsi="Times New Roman" w:cs="Times New Roman"/>
              </w:rPr>
              <w:br/>
              <w:t>- endometrial curettage (ECC) may be considered as an adjunct for assessment when indicated</w:t>
            </w:r>
            <w:r w:rsidRPr="00CB2EC4">
              <w:rPr>
                <w:rFonts w:ascii="Times New Roman" w:hAnsi="Times New Roman" w:cs="Times New Roman"/>
              </w:rPr>
              <w:br/>
            </w:r>
            <w:r w:rsidRPr="00CB2EC4">
              <w:rPr>
                <w:rFonts w:ascii="Times New Roman" w:hAnsi="Times New Roman" w:cs="Times New Roman"/>
              </w:rPr>
              <w:br/>
              <w:t>→ the primary goal is to exclude invasive cancer through regular surveillance without immediate intervention during pregnancy.</w:t>
            </w:r>
          </w:p>
        </w:tc>
        <w:tc>
          <w:tcPr>
            <w:tcW w:w="1152" w:type="dxa"/>
            <w:vAlign w:val="center"/>
          </w:tcPr>
          <w:p w14:paraId="20F1B0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0972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8607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3871610" w14:textId="77777777">
        <w:tc>
          <w:tcPr>
            <w:tcW w:w="2160" w:type="dxa"/>
            <w:vAlign w:val="center"/>
          </w:tcPr>
          <w:p w14:paraId="7873455A"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9388ABF" w14:textId="77777777" w:rsidR="00922249" w:rsidRPr="00CB2EC4" w:rsidRDefault="003011D5">
            <w:pPr>
              <w:rPr>
                <w:rFonts w:ascii="Times New Roman" w:hAnsi="Times New Roman" w:cs="Times New Roman"/>
              </w:rPr>
            </w:pPr>
            <w:r w:rsidRPr="00CB2EC4">
              <w:rPr>
                <w:rFonts w:ascii="Times New Roman" w:hAnsi="Times New Roman" w:cs="Times New Roman"/>
              </w:rPr>
              <w:t>follow-up steps for pregnant patients with histologically confirmed HSIL</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knowledge base document (figure 5 processing flow):</w:t>
            </w:r>
            <w:r w:rsidRPr="00CB2EC4">
              <w:rPr>
                <w:rFonts w:ascii="Times New Roman" w:hAnsi="Times New Roman" w:cs="Times New Roman"/>
              </w:rPr>
              <w:br/>
              <w:t>- perform cytology + colposcopy every 10–12 weeks for close monitoring to exclude invasive cancer.</w:t>
            </w:r>
            <w:r w:rsidRPr="00CB2EC4">
              <w:rPr>
                <w:rFonts w:ascii="Times New Roman" w:hAnsi="Times New Roman" w:cs="Times New Roman"/>
              </w:rPr>
              <w:br/>
              <w:t>- if no invasive cancer is found during pregnancy, defer re-examination until 6–8 weeks postpartum (cytology + colposcopy + ECC).</w:t>
            </w:r>
            <w:r w:rsidRPr="00CB2EC4">
              <w:rPr>
                <w:rFonts w:ascii="Times New Roman" w:hAnsi="Times New Roman" w:cs="Times New Roman"/>
              </w:rPr>
              <w:br/>
              <w:t>- source: knowledge base document (figure 5: management flow for histologically confirmed HSIL)</w:t>
            </w:r>
            <w:r w:rsidRPr="00CB2EC4">
              <w:rPr>
                <w:rFonts w:ascii="Times New Roman" w:hAnsi="Times New Roman" w:cs="Times New Roman"/>
              </w:rPr>
              <w:br/>
            </w:r>
            <w:r w:rsidRPr="00CB2EC4">
              <w:rPr>
                <w:rFonts w:ascii="Times New Roman" w:hAnsi="Times New Roman" w:cs="Times New Roman"/>
              </w:rPr>
              <w:br/>
              <w:t>supplement from web search results:</w:t>
            </w:r>
            <w:r w:rsidRPr="00CB2EC4">
              <w:rPr>
                <w:rFonts w:ascii="Times New Roman" w:hAnsi="Times New Roman" w:cs="Times New Roman"/>
              </w:rPr>
              <w:br/>
              <w:t>- emphasize that in the absence of evidence of invasive cancer, repeat cytology and colposcopy every 12 gestational weeks, with postpartum re-examination at 6–8 weeks.</w:t>
            </w:r>
            <w:r w:rsidRPr="00CB2EC4">
              <w:rPr>
                <w:rFonts w:ascii="Times New Roman" w:hAnsi="Times New Roman" w:cs="Times New Roman"/>
              </w:rPr>
              <w:br/>
              <w:t>- source: web search content ("HSIL in pregnant women" section)</w:t>
            </w:r>
            <w:r w:rsidRPr="00CB2EC4">
              <w:rPr>
                <w:rFonts w:ascii="Times New Roman" w:hAnsi="Times New Roman" w:cs="Times New Roman"/>
              </w:rPr>
              <w:br/>
            </w:r>
            <w:r w:rsidRPr="00CB2EC4">
              <w:rPr>
                <w:rFonts w:ascii="Times New Roman" w:hAnsi="Times New Roman" w:cs="Times New Roman"/>
              </w:rPr>
              <w:br/>
              <w:t>conclusion: pregnant patients with HSIL require regular follow-up (every 10–12 weeks), with comprehensive re-evaluation at 6–8 weeks postpartum.</w:t>
            </w:r>
          </w:p>
        </w:tc>
        <w:tc>
          <w:tcPr>
            <w:tcW w:w="1152" w:type="dxa"/>
            <w:vAlign w:val="center"/>
          </w:tcPr>
          <w:p w14:paraId="092FC7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90E45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379D2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92776CC" w14:textId="77777777">
        <w:tc>
          <w:tcPr>
            <w:tcW w:w="2160" w:type="dxa"/>
            <w:vAlign w:val="center"/>
          </w:tcPr>
          <w:p w14:paraId="20666870"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3C157A6"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histologically confirmed (biopsy) HSIL, what follow-up steps should be taken?</w:t>
            </w:r>
            <w:r w:rsidRPr="00CB2EC4">
              <w:rPr>
                <w:rFonts w:ascii="Times New Roman" w:hAnsi="Times New Roman" w:cs="Times New Roman"/>
              </w:rPr>
              <w:br/>
            </w:r>
            <w:r w:rsidRPr="00CB2EC4">
              <w:rPr>
                <w:rFonts w:ascii="Times New Roman" w:hAnsi="Times New Roman" w:cs="Times New Roman"/>
              </w:rPr>
              <w:br/>
              <w:t xml:space="preserve">response: according to document fragment 1 and fragment 6, pregnant patients with HSIL (without evidence of invasive cancer) should undergo cytology + colposcopy every 10–12 weeks for close monitoring to exclude invasive cancer. if no invasive cancer is found, defer re-examination until 6–8 weeks postpartum (cytology + colposcopy + ECC). if suspicious invasive cancer is detected during pregnancy, perform a diagnostic/therapeutic cervical </w:t>
            </w:r>
            <w:r w:rsidRPr="00CB2EC4">
              <w:rPr>
                <w:rFonts w:ascii="Times New Roman" w:hAnsi="Times New Roman" w:cs="Times New Roman"/>
              </w:rPr>
              <w:lastRenderedPageBreak/>
              <w:t>conization (fragment 1: "for pregnant patients, cytology + colposcopy should be performed every 10–12 weeks"; fragment 6: "pregnant patients with histologically confirmed HSIL... should have cytology + colposcopy repeated every 10–12 weeks").</w:t>
            </w:r>
          </w:p>
        </w:tc>
        <w:tc>
          <w:tcPr>
            <w:tcW w:w="1152" w:type="dxa"/>
            <w:vAlign w:val="center"/>
          </w:tcPr>
          <w:p w14:paraId="7B4C2F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BF9F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53D5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C23096" w14:textId="77777777">
        <w:tc>
          <w:tcPr>
            <w:tcW w:w="2160" w:type="dxa"/>
            <w:vAlign w:val="center"/>
          </w:tcPr>
          <w:p w14:paraId="0A054575"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74648B6"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histopathologically confirmed (biopsy) HSIL, the following follow-up steps should be taken:</w:t>
            </w:r>
            <w:r w:rsidRPr="00CB2EC4">
              <w:rPr>
                <w:rFonts w:ascii="Times New Roman" w:hAnsi="Times New Roman" w:cs="Times New Roman"/>
              </w:rPr>
              <w:br/>
            </w:r>
            <w:r w:rsidRPr="00CB2EC4">
              <w:rPr>
                <w:rFonts w:ascii="Times New Roman" w:hAnsi="Times New Roman" w:cs="Times New Roman"/>
              </w:rPr>
              <w:br/>
              <w:t>- during pregnancy: perform cytology (e.g., Pap smear) and colposcopy every 10-12 weeks to monitor lesion progression and rule out invasive cancer.</w:t>
            </w:r>
            <w:r w:rsidRPr="00CB2EC4">
              <w:rPr>
                <w:rFonts w:ascii="Times New Roman" w:hAnsi="Times New Roman" w:cs="Times New Roman"/>
              </w:rPr>
              <w:br/>
              <w:t>- if no invasive cancer is found: continue the pregnancy and defer further management until after delivery.</w:t>
            </w:r>
            <w:r w:rsidRPr="00CB2EC4">
              <w:rPr>
                <w:rFonts w:ascii="Times New Roman" w:hAnsi="Times New Roman" w:cs="Times New Roman"/>
              </w:rPr>
              <w:br/>
              <w:t>- if suspicious invasive cancer is found: proceed immediately with diagnostic/therapeutic conization and refer to the cervical cancer treatment pathway.</w:t>
            </w:r>
            <w:r w:rsidRPr="00CB2EC4">
              <w:rPr>
                <w:rFonts w:ascii="Times New Roman" w:hAnsi="Times New Roman" w:cs="Times New Roman"/>
              </w:rPr>
              <w:br/>
              <w:t>this protocol is based on the descriptions of HSIL management during pregnancy in document 6 and document 11, emphasizing close monitoring to avoid risks to the mother and fetus.</w:t>
            </w:r>
          </w:p>
        </w:tc>
        <w:tc>
          <w:tcPr>
            <w:tcW w:w="1152" w:type="dxa"/>
            <w:vAlign w:val="center"/>
          </w:tcPr>
          <w:p w14:paraId="2E6032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73B9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193F8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B244D6F" w14:textId="77777777">
        <w:tc>
          <w:tcPr>
            <w:tcW w:w="2160" w:type="dxa"/>
            <w:vAlign w:val="center"/>
          </w:tcPr>
          <w:p w14:paraId="28CEA7B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B04B3F5"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histologically confirmed (biopsy) HSIL, the following follow-up steps should be taken:</w:t>
            </w:r>
            <w:r w:rsidRPr="00CB2EC4">
              <w:rPr>
                <w:rFonts w:ascii="Times New Roman" w:hAnsi="Times New Roman" w:cs="Times New Roman"/>
              </w:rPr>
              <w:br/>
            </w:r>
            <w:r w:rsidRPr="00CB2EC4">
              <w:rPr>
                <w:rFonts w:ascii="Times New Roman" w:hAnsi="Times New Roman" w:cs="Times New Roman"/>
              </w:rPr>
              <w:br/>
              <w:t>1. During pregnancy: perform cytology combined with colposcopy every 10–12 weeks to exclude invasive cancer.</w:t>
            </w:r>
            <w:r w:rsidRPr="00CB2EC4">
              <w:rPr>
                <w:rFonts w:ascii="Times New Roman" w:hAnsi="Times New Roman" w:cs="Times New Roman"/>
              </w:rPr>
              <w:br/>
              <w:t>2. If no invasive cancer is found: defer re-evaluation until 6–8 weeks postpartum; the re-evaluation should include cytology, colposcopy, and endocervical curettage (ECC).</w:t>
            </w:r>
            <w:r w:rsidRPr="00CB2EC4">
              <w:rPr>
                <w:rFonts w:ascii="Times New Roman" w:hAnsi="Times New Roman" w:cs="Times New Roman"/>
              </w:rPr>
              <w:br/>
            </w:r>
            <w:r w:rsidRPr="00CB2EC4">
              <w:rPr>
                <w:rFonts w:ascii="Times New Roman" w:hAnsi="Times New Roman" w:cs="Times New Roman"/>
              </w:rPr>
              <w:lastRenderedPageBreak/>
              <w:t>3. If suspicious invasive cancer is found: perform diagnostic/therapeutic conization immediately and transition to cervical cancer treatment protocol.</w:t>
            </w:r>
            <w:r w:rsidRPr="00CB2EC4">
              <w:rPr>
                <w:rFonts w:ascii="Times New Roman" w:hAnsi="Times New Roman" w:cs="Times New Roman"/>
              </w:rPr>
              <w:br/>
              <w:t>- Reference basis: "For pregnant patients, cytology plus colposcopy should be performed every 10–12 weeks. If no invasive cancer is found, re-evaluation (cytology + colposcopy + ECC) should be deferred until 6–8 weeks postpartum. If cytology plus colposcopy during pregnancy reveals suspicious invasive cancer, the patient should undergo diagnostic/therapeutic conization" (HyDE similarity 0.749).</w:t>
            </w:r>
          </w:p>
        </w:tc>
        <w:tc>
          <w:tcPr>
            <w:tcW w:w="1152" w:type="dxa"/>
            <w:vAlign w:val="center"/>
          </w:tcPr>
          <w:p w14:paraId="1E7872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DC8CB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3F6C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C632CF" w14:textId="77777777">
        <w:tc>
          <w:tcPr>
            <w:tcW w:w="2160" w:type="dxa"/>
            <w:vAlign w:val="center"/>
          </w:tcPr>
          <w:p w14:paraId="3ABB898B"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7987AD4"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histopathologically confirmed (biopsy) HSIL, the following follow-up steps should be taken:</w:t>
            </w:r>
            <w:r w:rsidRPr="00CB2EC4">
              <w:rPr>
                <w:rFonts w:ascii="Times New Roman" w:hAnsi="Times New Roman" w:cs="Times New Roman"/>
              </w:rPr>
              <w:br/>
            </w:r>
            <w:r w:rsidRPr="00CB2EC4">
              <w:rPr>
                <w:rFonts w:ascii="Times New Roman" w:hAnsi="Times New Roman" w:cs="Times New Roman"/>
              </w:rPr>
              <w:br/>
              <w:t>- during pregnancy: perform cytology (e.g., Pap smear) and colposcopy every 10–12 weeks to monitor lesion progression or rule out invasive cancer (sources: document fragment 1, document fragment 4, document fragment 9, document fragment 13).</w:t>
            </w:r>
            <w:r w:rsidRPr="00CB2EC4">
              <w:rPr>
                <w:rFonts w:ascii="Times New Roman" w:hAnsi="Times New Roman" w:cs="Times New Roman"/>
              </w:rPr>
              <w:br/>
              <w:t>- if no invasive cancer is found: continue follow-up until delivery, then conduct a postpartum review at 6–8 weeks (including cytology, colposcopy, and endocervical curettage (ECC)) (sources: document fragment 1, document fragment 4).</w:t>
            </w:r>
            <w:r w:rsidRPr="00CB2EC4">
              <w:rPr>
                <w:rFonts w:ascii="Times New Roman" w:hAnsi="Times New Roman" w:cs="Times New Roman"/>
              </w:rPr>
              <w:br/>
              <w:t>- if suspicious invasive cancer is detected during pregnancy: proceed immediately with diagnostic/therapeutic conization and refer to the cervical cancer treatment pathway (source: document fragment 1).</w:t>
            </w:r>
            <w:r w:rsidRPr="00CB2EC4">
              <w:rPr>
                <w:rFonts w:ascii="Times New Roman" w:hAnsi="Times New Roman" w:cs="Times New Roman"/>
              </w:rPr>
              <w:br/>
            </w:r>
            <w:r w:rsidRPr="00CB2EC4">
              <w:rPr>
                <w:rFonts w:ascii="Times New Roman" w:hAnsi="Times New Roman" w:cs="Times New Roman"/>
              </w:rPr>
              <w:br/>
              <w:t xml:space="preserve">key evidence: document fragment 1 explicitly states "for pregnant patients, cytology + colposcopy should </w:t>
            </w:r>
            <w:r w:rsidRPr="00CB2EC4">
              <w:rPr>
                <w:rFonts w:ascii="Times New Roman" w:hAnsi="Times New Roman" w:cs="Times New Roman"/>
              </w:rPr>
              <w:lastRenderedPageBreak/>
              <w:t>be performed every 10–12 weeks. if no invasive cancer is found, defer re-evaluation until 6–8 weeks postpartum (cytology + colposcopy + ECC)." document fragment 4 and document fragment 13 also reiterate this management protocol.</w:t>
            </w:r>
          </w:p>
        </w:tc>
        <w:tc>
          <w:tcPr>
            <w:tcW w:w="1152" w:type="dxa"/>
            <w:vAlign w:val="center"/>
          </w:tcPr>
          <w:p w14:paraId="3FACEE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58F6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7F400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C3FFBA" w14:textId="77777777">
        <w:tc>
          <w:tcPr>
            <w:tcW w:w="2160" w:type="dxa"/>
            <w:vAlign w:val="center"/>
          </w:tcPr>
          <w:p w14:paraId="1C980645"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F353B1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pregnant patients with histologically confirmed HSIL (high-grade squamous intraepithelial lesion), the follow-up steps are:  </w:t>
            </w:r>
            <w:r w:rsidRPr="00CB2EC4">
              <w:rPr>
                <w:rFonts w:ascii="Times New Roman" w:hAnsi="Times New Roman" w:cs="Times New Roman"/>
              </w:rPr>
              <w:br/>
              <w:t xml:space="preserve">- Perform cytology (e.g., Pap smear) and colposcopy every 10–12 weeks to monitor the lesion and exclude invasive cancer.  </w:t>
            </w:r>
            <w:r w:rsidRPr="00CB2EC4">
              <w:rPr>
                <w:rFonts w:ascii="Times New Roman" w:hAnsi="Times New Roman" w:cs="Times New Roman"/>
              </w:rPr>
              <w:br/>
              <w:t xml:space="preserve">- If no invasive cancer is detected during pregnancy, defer re-evaluation to 6–8 weeks postpartum; the postpartum assessment should include cytology, colposcopy, and endocervical curettage (ECC).  </w:t>
            </w:r>
            <w:r w:rsidRPr="00CB2EC4">
              <w:rPr>
                <w:rFonts w:ascii="Times New Roman" w:hAnsi="Times New Roman" w:cs="Times New Roman"/>
              </w:rPr>
              <w:br/>
              <w:t>(source: as repeatedly indicated in the document, e.g., "For pregnant patients, cytology and colposcopy should be performed every 10–12 weeks. If no invasive cancer is detected, re-evaluation should be postponed until 6–8 weeks postpartum (cytology + colposcopy + ECC).")</w:t>
            </w:r>
          </w:p>
        </w:tc>
        <w:tc>
          <w:tcPr>
            <w:tcW w:w="1152" w:type="dxa"/>
            <w:vAlign w:val="center"/>
          </w:tcPr>
          <w:p w14:paraId="0828B9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6BA1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1795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7D3F0F" w14:textId="77777777">
        <w:tc>
          <w:tcPr>
            <w:tcW w:w="2160" w:type="dxa"/>
            <w:vAlign w:val="center"/>
          </w:tcPr>
          <w:p w14:paraId="5E36448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2EF0312"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histologically confirmed (biopsy) HSIL, the following follow-up steps should be performed:</w:t>
            </w:r>
            <w:r w:rsidRPr="00CB2EC4">
              <w:rPr>
                <w:rFonts w:ascii="Times New Roman" w:hAnsi="Times New Roman" w:cs="Times New Roman"/>
              </w:rPr>
              <w:br/>
            </w:r>
            <w:r w:rsidRPr="00CB2EC4">
              <w:rPr>
                <w:rFonts w:ascii="Times New Roman" w:hAnsi="Times New Roman" w:cs="Times New Roman"/>
              </w:rPr>
              <w:br/>
              <w:t>- the management goal for HSIL in pregnancy is to rule out invasive cancer.</w:t>
            </w:r>
            <w:r w:rsidRPr="00CB2EC4">
              <w:rPr>
                <w:rFonts w:ascii="Times New Roman" w:hAnsi="Times New Roman" w:cs="Times New Roman"/>
              </w:rPr>
              <w:br/>
              <w:t>- follow-up steps include: performing cytology (e.g., Pap smear) and colposcopy every 10–12 weeks to closely monitor disease progression and exclude invasive cancer.</w:t>
            </w:r>
            <w:r w:rsidRPr="00CB2EC4">
              <w:rPr>
                <w:rFonts w:ascii="Times New Roman" w:hAnsi="Times New Roman" w:cs="Times New Roman"/>
              </w:rPr>
              <w:br/>
              <w:t xml:space="preserve">- if no evidence of invasive cancer is found during pregnancy (as stated "no invasive cancer"), further </w:t>
            </w:r>
            <w:r w:rsidRPr="00CB2EC4">
              <w:rPr>
                <w:rFonts w:ascii="Times New Roman" w:hAnsi="Times New Roman" w:cs="Times New Roman"/>
              </w:rPr>
              <w:lastRenderedPageBreak/>
              <w:t>management is deferred until after delivery.</w:t>
            </w:r>
            <w:r w:rsidRPr="00CB2EC4">
              <w:rPr>
                <w:rFonts w:ascii="Times New Roman" w:hAnsi="Times New Roman" w:cs="Times New Roman"/>
              </w:rPr>
              <w:br/>
            </w:r>
            <w:r w:rsidRPr="00CB2EC4">
              <w:rPr>
                <w:rFonts w:ascii="Times New Roman" w:hAnsi="Times New Roman" w:cs="Times New Roman"/>
              </w:rPr>
              <w:br/>
              <w:t>Summary of steps:</w:t>
            </w:r>
            <w:r w:rsidRPr="00CB2EC4">
              <w:rPr>
                <w:rFonts w:ascii="Times New Roman" w:hAnsi="Times New Roman" w:cs="Times New Roman"/>
              </w:rPr>
              <w:br/>
              <w:t xml:space="preserve">  1. Repeat cytology and colposcopy every 10–12 weeks.</w:t>
            </w:r>
            <w:r w:rsidRPr="00CB2EC4">
              <w:rPr>
                <w:rFonts w:ascii="Times New Roman" w:hAnsi="Times New Roman" w:cs="Times New Roman"/>
              </w:rPr>
              <w:br/>
              <w:t xml:space="preserve">  2. Continue monitoring until delivery.</w:t>
            </w:r>
          </w:p>
        </w:tc>
        <w:tc>
          <w:tcPr>
            <w:tcW w:w="1152" w:type="dxa"/>
            <w:vAlign w:val="center"/>
          </w:tcPr>
          <w:p w14:paraId="0655AD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FE220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17A0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555578" w14:textId="77777777">
        <w:tc>
          <w:tcPr>
            <w:tcW w:w="2160" w:type="dxa"/>
            <w:vAlign w:val="center"/>
          </w:tcPr>
          <w:p w14:paraId="59E8ED3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7E1AE8C"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histologically confirmed (biopsy) HSIL, the following follow-up steps should be performed:</w:t>
            </w:r>
            <w:r w:rsidRPr="00CB2EC4">
              <w:rPr>
                <w:rFonts w:ascii="Times New Roman" w:hAnsi="Times New Roman" w:cs="Times New Roman"/>
              </w:rPr>
              <w:br/>
            </w:r>
            <w:r w:rsidRPr="00CB2EC4">
              <w:rPr>
                <w:rFonts w:ascii="Times New Roman" w:hAnsi="Times New Roman" w:cs="Times New Roman"/>
              </w:rPr>
              <w:br/>
              <w:t>- During pregnancy: cytology (e.g., Pap smear) and colposcopy should be performed every 10–12 weeks to monitor lesion progression and rule out invasive cancer.</w:t>
            </w:r>
            <w:r w:rsidRPr="00CB2EC4">
              <w:rPr>
                <w:rFonts w:ascii="Times New Roman" w:hAnsi="Times New Roman" w:cs="Times New Roman"/>
              </w:rPr>
              <w:br/>
              <w:t>- If no invasive cancer is found: follow-up should be deferred until 6–8 weeks postpartum for repeat evaluation, including cytology, colposcopy, and endocervical curettage (ECC).</w:t>
            </w:r>
            <w:r w:rsidRPr="00CB2EC4">
              <w:rPr>
                <w:rFonts w:ascii="Times New Roman" w:hAnsi="Times New Roman" w:cs="Times New Roman"/>
              </w:rPr>
              <w:br/>
              <w:t>- If suspicious for invasive cancer is found during pregnancy: the patient should undergo diagnostic/therapeutic conization immediately and be transitioned to the cervical cancer treatment pathway.</w:t>
            </w:r>
            <w:r w:rsidRPr="00CB2EC4">
              <w:rPr>
                <w:rFonts w:ascii="Times New Roman" w:hAnsi="Times New Roman" w:cs="Times New Roman"/>
              </w:rPr>
              <w:br/>
            </w:r>
            <w:r w:rsidRPr="00CB2EC4">
              <w:rPr>
                <w:rFonts w:ascii="Times New Roman" w:hAnsi="Times New Roman" w:cs="Times New Roman"/>
              </w:rPr>
              <w:br/>
              <w:t>this information is based on the management principles for pregnant patients repeatedly stated in the document (e.g., “for pregnant patients, cytology + colposcopy should be performed every 10–12 weeks. if no invasive cancer is found, defer follow-up until 6–8 weeks postpartum for repeat cytology + colposcopy + ECC.”)</w:t>
            </w:r>
          </w:p>
        </w:tc>
        <w:tc>
          <w:tcPr>
            <w:tcW w:w="1152" w:type="dxa"/>
            <w:vAlign w:val="center"/>
          </w:tcPr>
          <w:p w14:paraId="07F220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E700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02F3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CC28F96" w14:textId="77777777">
        <w:tc>
          <w:tcPr>
            <w:tcW w:w="2160" w:type="dxa"/>
            <w:vAlign w:val="center"/>
          </w:tcPr>
          <w:p w14:paraId="27BCAC2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C25C3B8"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histopathological confirmation (biopsy) of HSIL, the following follow-up steps should be performed:</w:t>
            </w:r>
            <w:r w:rsidRPr="00CB2EC4">
              <w:rPr>
                <w:rFonts w:ascii="Times New Roman" w:hAnsi="Times New Roman" w:cs="Times New Roman"/>
              </w:rPr>
              <w:br/>
            </w:r>
            <w:r w:rsidRPr="00CB2EC4">
              <w:rPr>
                <w:rFonts w:ascii="Times New Roman" w:hAnsi="Times New Roman" w:cs="Times New Roman"/>
              </w:rPr>
              <w:lastRenderedPageBreak/>
              <w:br/>
              <w:t>- during pregnancy: undergo cytology (e.g., Pap smear) combined with colposcopy every 10–12 weeks to monitor lesion progression and rule out invasive cancer (document fragment 3: relevance 0.9232; fragment 4: relevance 0.9173; fragment 6: relevance 0.8574).</w:t>
            </w:r>
            <w:r w:rsidRPr="00CB2EC4">
              <w:rPr>
                <w:rFonts w:ascii="Times New Roman" w:hAnsi="Times New Roman" w:cs="Times New Roman"/>
              </w:rPr>
              <w:br/>
              <w:t>- if no invasive cancer is found: continue the pregnancy and maintain the above follow-up frequency until delivery.</w:t>
            </w:r>
            <w:r w:rsidRPr="00CB2EC4">
              <w:rPr>
                <w:rFonts w:ascii="Times New Roman" w:hAnsi="Times New Roman" w:cs="Times New Roman"/>
              </w:rPr>
              <w:br/>
              <w:t>- if suspicious invasive cancer is detected: immediate diagnostic/therapeutic conization is required, followed by referral to the cervical cancer treatment pathway (document fragment 4: relevance 0.9173).</w:t>
            </w:r>
            <w:r w:rsidRPr="00CB2EC4">
              <w:rPr>
                <w:rFonts w:ascii="Times New Roman" w:hAnsi="Times New Roman" w:cs="Times New Roman"/>
              </w:rPr>
              <w:br/>
            </w:r>
            <w:r w:rsidRPr="00CB2EC4">
              <w:rPr>
                <w:rFonts w:ascii="Times New Roman" w:hAnsi="Times New Roman" w:cs="Times New Roman"/>
              </w:rPr>
              <w:br/>
              <w:t>this follow-up strategy is based on physiological changes during pregnancy, aiming to avoid overtreatment while ensuring timely identification of malignant progression.</w:t>
            </w:r>
          </w:p>
        </w:tc>
        <w:tc>
          <w:tcPr>
            <w:tcW w:w="1152" w:type="dxa"/>
            <w:vAlign w:val="center"/>
          </w:tcPr>
          <w:p w14:paraId="1FD212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0997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018A6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8299CC" w14:textId="77777777">
        <w:tc>
          <w:tcPr>
            <w:tcW w:w="2160" w:type="dxa"/>
            <w:vAlign w:val="center"/>
          </w:tcPr>
          <w:p w14:paraId="3F0B33E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BD3DB0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a pregnant patient has histologically confirmed HSIL (biopsy), the follow-up steps are as follows:  </w:t>
            </w:r>
            <w:r w:rsidRPr="00CB2EC4">
              <w:rPr>
                <w:rFonts w:ascii="Times New Roman" w:hAnsi="Times New Roman" w:cs="Times New Roman"/>
              </w:rPr>
              <w:br/>
              <w:t xml:space="preserve">- during pregnancy: perform cytology combined with colposcopy every 10–12 weeks.  </w:t>
            </w:r>
            <w:r w:rsidRPr="00CB2EC4">
              <w:rPr>
                <w:rFonts w:ascii="Times New Roman" w:hAnsi="Times New Roman" w:cs="Times New Roman"/>
              </w:rPr>
              <w:br/>
              <w:t xml:space="preserve">- if no invasive cancer is detected during pregnancy, defer re-evaluation to 6–8 weeks postpartum, including cytology, colposcopy, and endocervical curettage (ECC).  </w:t>
            </w:r>
            <w:r w:rsidRPr="00CB2EC4">
              <w:rPr>
                <w:rFonts w:ascii="Times New Roman" w:hAnsi="Times New Roman" w:cs="Times New Roman"/>
              </w:rPr>
              <w:br/>
              <w:t xml:space="preserve">- if cytology plus colposcopy during pregnancy suggests possible invasive cancer, perform diagnostic/therapeutic conization immediately and proceed to cervical cancer treatment protocol.  </w:t>
            </w:r>
            <w:r w:rsidRPr="00CB2EC4">
              <w:rPr>
                <w:rFonts w:ascii="Times New Roman" w:hAnsi="Times New Roman" w:cs="Times New Roman"/>
              </w:rPr>
              <w:br/>
              <w:t xml:space="preserve">this information is based on relevant segment 1 (special populations in management principles for </w:t>
            </w:r>
            <w:r w:rsidRPr="00CB2EC4">
              <w:rPr>
                <w:rFonts w:ascii="Times New Roman" w:hAnsi="Times New Roman" w:cs="Times New Roman"/>
              </w:rPr>
              <w:lastRenderedPageBreak/>
              <w:t>general patients) and relevant segment 3 (management principles for histologically confirmed HSIL).</w:t>
            </w:r>
          </w:p>
        </w:tc>
        <w:tc>
          <w:tcPr>
            <w:tcW w:w="1152" w:type="dxa"/>
            <w:vAlign w:val="center"/>
          </w:tcPr>
          <w:p w14:paraId="79872D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1F9E3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A2D9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BF1C964" w14:textId="77777777">
        <w:tc>
          <w:tcPr>
            <w:tcW w:w="2160" w:type="dxa"/>
            <w:vAlign w:val="center"/>
          </w:tcPr>
          <w:p w14:paraId="3153116F"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AD09F7F"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histopathologically confirmed (biopsy) high-grade squamous intraepithelial lesion (HSIL), the follow-up steps should include:</w:t>
            </w:r>
            <w:r w:rsidRPr="00CB2EC4">
              <w:rPr>
                <w:rFonts w:ascii="Times New Roman" w:hAnsi="Times New Roman" w:cs="Times New Roman"/>
              </w:rPr>
              <w:br/>
              <w:t>- During pregnancy: cytology combined with colposcopy every 3 months to monitor lesion progression and rule out invasive cancer. Avoid any therapeutic intervention (e.g., conization) during pregnancy unless there is a high suspicion of invasive cancer.</w:t>
            </w:r>
            <w:r w:rsidRPr="00CB2EC4">
              <w:rPr>
                <w:rFonts w:ascii="Times New Roman" w:hAnsi="Times New Roman" w:cs="Times New Roman"/>
              </w:rPr>
              <w:br/>
              <w:t>- After delivery:</w:t>
            </w:r>
            <w:r w:rsidRPr="00CB2EC4">
              <w:rPr>
                <w:rFonts w:ascii="Times New Roman" w:hAnsi="Times New Roman" w:cs="Times New Roman"/>
              </w:rPr>
              <w:br/>
              <w:t>- If no invasive cancer was detected during pregnancy, repeat colposcopy and biopsy at 6–8 weeks postpartum to assess lesion status and determine further management.</w:t>
            </w:r>
            <w:r w:rsidRPr="00CB2EC4">
              <w:rPr>
                <w:rFonts w:ascii="Times New Roman" w:hAnsi="Times New Roman" w:cs="Times New Roman"/>
              </w:rPr>
              <w:br/>
              <w:t>- If invasive cancer was detected during pregnancy: immediate diagnostic/therapeutic cervical excision is required.</w:t>
            </w:r>
            <w:r w:rsidRPr="00CB2EC4">
              <w:rPr>
                <w:rFonts w:ascii="Times New Roman" w:hAnsi="Times New Roman" w:cs="Times New Roman"/>
              </w:rPr>
              <w:br/>
              <w:t>this strategy is based on risk-stratified management, aiming to minimize risks during pregnancy while ensuring timely diagnosis and treatment postpartum.</w:t>
            </w:r>
          </w:p>
        </w:tc>
        <w:tc>
          <w:tcPr>
            <w:tcW w:w="1152" w:type="dxa"/>
            <w:vAlign w:val="center"/>
          </w:tcPr>
          <w:p w14:paraId="1083B2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6804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C92EF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02D96C" w14:textId="77777777">
        <w:tc>
          <w:tcPr>
            <w:tcW w:w="10656" w:type="dxa"/>
            <w:gridSpan w:val="5"/>
            <w:tcBorders>
              <w:bottom w:val="single" w:sz="6" w:space="0" w:color="auto"/>
            </w:tcBorders>
            <w:vAlign w:val="center"/>
          </w:tcPr>
          <w:p w14:paraId="55C7B1F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32: After diagnostic/therapeutic cervical conization for cervical cancer, what follow-up steps should be conducted?</w:t>
            </w:r>
          </w:p>
        </w:tc>
      </w:tr>
      <w:tr w:rsidR="00922249" w:rsidRPr="00CB2EC4" w14:paraId="44C9E93A" w14:textId="77777777">
        <w:tc>
          <w:tcPr>
            <w:tcW w:w="2160" w:type="dxa"/>
            <w:vAlign w:val="center"/>
          </w:tcPr>
          <w:p w14:paraId="2D5BE0C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8CACBEB" w14:textId="77777777" w:rsidR="00922249" w:rsidRPr="00CB2EC4" w:rsidRDefault="003011D5">
            <w:pPr>
              <w:rPr>
                <w:rFonts w:ascii="Times New Roman" w:hAnsi="Times New Roman" w:cs="Times New Roman"/>
              </w:rPr>
            </w:pPr>
            <w:r w:rsidRPr="00CB2EC4">
              <w:rPr>
                <w:rFonts w:ascii="Times New Roman" w:hAnsi="Times New Roman" w:cs="Times New Roman"/>
              </w:rPr>
              <w:t>after cervical conization (diagnostic/therapeutic cervical excision), the follow-up steps are as follows:</w:t>
            </w:r>
            <w:r w:rsidRPr="00CB2EC4">
              <w:rPr>
                <w:rFonts w:ascii="Times New Roman" w:hAnsi="Times New Roman" w:cs="Times New Roman"/>
              </w:rPr>
              <w:br/>
            </w:r>
            <w:r w:rsidRPr="00CB2EC4">
              <w:rPr>
                <w:rFonts w:ascii="Times New Roman" w:hAnsi="Times New Roman" w:cs="Times New Roman"/>
              </w:rPr>
              <w:br/>
              <w:t>- follow-up depends on the postoperative pathological margin status:</w:t>
            </w:r>
            <w:r w:rsidRPr="00CB2EC4">
              <w:rPr>
                <w:rFonts w:ascii="Times New Roman" w:hAnsi="Times New Roman" w:cs="Times New Roman"/>
              </w:rPr>
              <w:br/>
              <w:t xml:space="preserve">  - negative margins (no CINⅡ or higher lesion at the margin):</w:t>
            </w:r>
            <w:r w:rsidRPr="00CB2EC4">
              <w:rPr>
                <w:rFonts w:ascii="Times New Roman" w:hAnsi="Times New Roman" w:cs="Times New Roman"/>
              </w:rPr>
              <w:br/>
              <w:t xml:space="preserve">    → perform follow-up at 4–6 months postoperatively, including cytology, colposcopy, and </w:t>
            </w:r>
            <w:r w:rsidRPr="00CB2EC4">
              <w:rPr>
                <w:rFonts w:ascii="Times New Roman" w:hAnsi="Times New Roman" w:cs="Times New Roman"/>
              </w:rPr>
              <w:lastRenderedPageBreak/>
              <w:t>endocervical curettage (ECC).</w:t>
            </w:r>
            <w:r w:rsidRPr="00CB2EC4">
              <w:rPr>
                <w:rFonts w:ascii="Times New Roman" w:hAnsi="Times New Roman" w:cs="Times New Roman"/>
              </w:rPr>
              <w:br/>
              <w:t xml:space="preserve">  - positive margins (pathological report shows CINⅡ or higher at the margin):</w:t>
            </w:r>
            <w:r w:rsidRPr="00CB2EC4">
              <w:rPr>
                <w:rFonts w:ascii="Times New Roman" w:hAnsi="Times New Roman" w:cs="Times New Roman"/>
              </w:rPr>
              <w:br/>
              <w:t xml:space="preserve">    → perform follow-up at 4–6 months postoperatively with cytology, colposcopy, and ECC;</w:t>
            </w:r>
            <w:r w:rsidRPr="00CB2EC4">
              <w:rPr>
                <w:rFonts w:ascii="Times New Roman" w:hAnsi="Times New Roman" w:cs="Times New Roman"/>
              </w:rPr>
              <w:br/>
              <w:t xml:space="preserve">    → manage subsequent steps according to the grade of the lesion identified on re-evaluation (e.g., manage as high-grade lesion).</w:t>
            </w:r>
            <w:r w:rsidRPr="00CB2EC4">
              <w:rPr>
                <w:rFonts w:ascii="Times New Roman" w:hAnsi="Times New Roman" w:cs="Times New Roman"/>
              </w:rPr>
              <w:br/>
              <w:t xml:space="preserve">  - intraoperative suspicion of invasive cancer:</w:t>
            </w:r>
            <w:r w:rsidRPr="00CB2EC4">
              <w:rPr>
                <w:rFonts w:ascii="Times New Roman" w:hAnsi="Times New Roman" w:cs="Times New Roman"/>
              </w:rPr>
              <w:br/>
              <w:t xml:space="preserve">    → send specimen for immediate pathological examination;</w:t>
            </w:r>
            <w:r w:rsidRPr="00CB2EC4">
              <w:rPr>
                <w:rFonts w:ascii="Times New Roman" w:hAnsi="Times New Roman" w:cs="Times New Roman"/>
              </w:rPr>
              <w:br/>
              <w:t xml:space="preserve">    → if confirmed, refer to cervical cancer treatment protocol.</w:t>
            </w:r>
            <w:r w:rsidRPr="00CB2EC4">
              <w:rPr>
                <w:rFonts w:ascii="Times New Roman" w:hAnsi="Times New Roman" w:cs="Times New Roman"/>
              </w:rPr>
              <w:br/>
            </w:r>
            <w:r w:rsidRPr="00CB2EC4">
              <w:rPr>
                <w:rFonts w:ascii="Times New Roman" w:hAnsi="Times New Roman" w:cs="Times New Roman"/>
              </w:rPr>
              <w:br/>
              <w:t>summary of follow-up steps:</w:t>
            </w:r>
            <w:r w:rsidRPr="00CB2EC4">
              <w:rPr>
                <w:rFonts w:ascii="Times New Roman" w:hAnsi="Times New Roman" w:cs="Times New Roman"/>
              </w:rPr>
              <w:br/>
              <w:t>→ conduct follow-up at 4–6 months postoperatively (cytology + colposcopy + ECC), with specific management adjusted based on margin status.</w:t>
            </w:r>
          </w:p>
        </w:tc>
        <w:tc>
          <w:tcPr>
            <w:tcW w:w="1152" w:type="dxa"/>
            <w:vAlign w:val="center"/>
          </w:tcPr>
          <w:p w14:paraId="56FDD4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DBB1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2C8A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BA9485" w14:textId="77777777">
        <w:tc>
          <w:tcPr>
            <w:tcW w:w="2160" w:type="dxa"/>
            <w:vAlign w:val="center"/>
          </w:tcPr>
          <w:p w14:paraId="11052DAA"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EB59333" w14:textId="77777777" w:rsidR="00922249" w:rsidRPr="00CB2EC4" w:rsidRDefault="003011D5">
            <w:pPr>
              <w:rPr>
                <w:rFonts w:ascii="Times New Roman" w:hAnsi="Times New Roman" w:cs="Times New Roman"/>
              </w:rPr>
            </w:pPr>
            <w:r w:rsidRPr="00CB2EC4">
              <w:rPr>
                <w:rFonts w:ascii="Times New Roman" w:hAnsi="Times New Roman" w:cs="Times New Roman"/>
              </w:rPr>
              <w:t>after diagnostic/therapeutic cervical conization, the following follow-up steps should be performed:</w:t>
            </w:r>
            <w:r w:rsidRPr="00CB2EC4">
              <w:rPr>
                <w:rFonts w:ascii="Times New Roman" w:hAnsi="Times New Roman" w:cs="Times New Roman"/>
              </w:rPr>
              <w:br/>
            </w:r>
            <w:r w:rsidRPr="00CB2EC4">
              <w:rPr>
                <w:rFonts w:ascii="Times New Roman" w:hAnsi="Times New Roman" w:cs="Times New Roman"/>
              </w:rPr>
              <w:br/>
              <w:t>- **Negative margins**: At 4–6 months postoperatively, repeat cytology, colposcopy, and endocervical curettage (ECC).</w:t>
            </w:r>
            <w:r w:rsidRPr="00CB2EC4">
              <w:rPr>
                <w:rFonts w:ascii="Times New Roman" w:hAnsi="Times New Roman" w:cs="Times New Roman"/>
              </w:rPr>
              <w:br/>
              <w:t>- **Positive margins (histopathological report of CIN II or higher)**: At 4–6 months postoperatively, repeat cytology, colposcopy, and ECC; manage according to the corresponding lesion grade based on follow-up results (e.g., further treatment if abnormalities persist).</w:t>
            </w:r>
            <w:r w:rsidRPr="00CB2EC4">
              <w:rPr>
                <w:rFonts w:ascii="Times New Roman" w:hAnsi="Times New Roman" w:cs="Times New Roman"/>
              </w:rPr>
              <w:br/>
              <w:t>- **Suspicion of invasive cancer**: Immediately send for pathological examination; upon confirmation, transition to cervical cancer treatment protocol.</w:t>
            </w:r>
            <w:r w:rsidRPr="00CB2EC4">
              <w:rPr>
                <w:rFonts w:ascii="Times New Roman" w:hAnsi="Times New Roman" w:cs="Times New Roman"/>
              </w:rPr>
              <w:br/>
            </w:r>
            <w:r w:rsidRPr="00CB2EC4">
              <w:rPr>
                <w:rFonts w:ascii="Times New Roman" w:hAnsi="Times New Roman" w:cs="Times New Roman"/>
              </w:rPr>
              <w:br/>
              <w:t xml:space="preserve">(Reference: Document fragment 3 specifies: "If the </w:t>
            </w:r>
            <w:r w:rsidRPr="00CB2EC4">
              <w:rPr>
                <w:rFonts w:ascii="Times New Roman" w:hAnsi="Times New Roman" w:cs="Times New Roman"/>
              </w:rPr>
              <w:lastRenderedPageBreak/>
              <w:t>pathological margins are negative after diagnostic/therapeutic cervical excision: re-examine at 4–6 months (cytology + colposcopy + ECC). If margins are positive (CIN II or higher): repeat cytology, colposcopy, and ECC at 4–6 months." Fragment 12 supplements management principles for positive margins.)</w:t>
            </w:r>
          </w:p>
        </w:tc>
        <w:tc>
          <w:tcPr>
            <w:tcW w:w="1152" w:type="dxa"/>
            <w:vAlign w:val="center"/>
          </w:tcPr>
          <w:p w14:paraId="66DCC7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CECD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9DED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D57382" w14:textId="77777777">
        <w:tc>
          <w:tcPr>
            <w:tcW w:w="2160" w:type="dxa"/>
            <w:vAlign w:val="center"/>
          </w:tcPr>
          <w:p w14:paraId="2FE0815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2CFBED3" w14:textId="77777777" w:rsidR="00922249" w:rsidRPr="00CB2EC4" w:rsidRDefault="003011D5">
            <w:pPr>
              <w:rPr>
                <w:rFonts w:ascii="Times New Roman" w:hAnsi="Times New Roman" w:cs="Times New Roman"/>
              </w:rPr>
            </w:pPr>
            <w:r w:rsidRPr="00CB2EC4">
              <w:rPr>
                <w:rFonts w:ascii="Times New Roman" w:hAnsi="Times New Roman" w:cs="Times New Roman"/>
              </w:rPr>
              <w:t>after cervical conization for diagnostic or therapeutic purposes, the follow-up steps are as follows:</w:t>
            </w:r>
            <w:r w:rsidRPr="00CB2EC4">
              <w:rPr>
                <w:rFonts w:ascii="Times New Roman" w:hAnsi="Times New Roman" w:cs="Times New Roman"/>
              </w:rPr>
              <w:br/>
            </w:r>
            <w:r w:rsidRPr="00CB2EC4">
              <w:rPr>
                <w:rFonts w:ascii="Times New Roman" w:hAnsi="Times New Roman" w:cs="Times New Roman"/>
              </w:rPr>
              <w:br/>
              <w:t xml:space="preserve">- **Negative margins (no HSIL lesion):**  </w:t>
            </w:r>
            <w:r w:rsidRPr="00CB2EC4">
              <w:rPr>
                <w:rFonts w:ascii="Times New Roman" w:hAnsi="Times New Roman" w:cs="Times New Roman"/>
              </w:rPr>
              <w:br/>
              <w:t xml:space="preserve">  → Perform follow-up at 4–6 months postoperatively, including cytology + colposcopy + ECC (endocervical curettage). (Reference: Fragment 4)  </w:t>
            </w:r>
            <w:r w:rsidRPr="00CB2EC4">
              <w:rPr>
                <w:rFonts w:ascii="Times New Roman" w:hAnsi="Times New Roman" w:cs="Times New Roman"/>
              </w:rPr>
              <w:br/>
              <w:t xml:space="preserve">  → Subsequently, conduct cytology combined with HPV testing at 6–12 months postoperatively; if results are normal, repeat at 12 months; after two consecutive normal results, transition to triennial screening. (Reference: Fragment 2, 11)</w:t>
            </w:r>
            <w:r w:rsidRPr="00CB2EC4">
              <w:rPr>
                <w:rFonts w:ascii="Times New Roman" w:hAnsi="Times New Roman" w:cs="Times New Roman"/>
              </w:rPr>
              <w:br/>
            </w:r>
            <w:r w:rsidRPr="00CB2EC4">
              <w:rPr>
                <w:rFonts w:ascii="Times New Roman" w:hAnsi="Times New Roman" w:cs="Times New Roman"/>
              </w:rPr>
              <w:br/>
              <w:t xml:space="preserve">- **Positive margins (margin histopathology shows CINⅡ or higher):**  </w:t>
            </w:r>
            <w:r w:rsidRPr="00CB2EC4">
              <w:rPr>
                <w:rFonts w:ascii="Times New Roman" w:hAnsi="Times New Roman" w:cs="Times New Roman"/>
              </w:rPr>
              <w:br/>
              <w:t xml:space="preserve">  → Perform follow-up at 4–6 months postoperatively, including cytology, colposcopy, and ECC. (Reference: Fragment 2, 4)  </w:t>
            </w:r>
            <w:r w:rsidRPr="00CB2EC4">
              <w:rPr>
                <w:rFonts w:ascii="Times New Roman" w:hAnsi="Times New Roman" w:cs="Times New Roman"/>
              </w:rPr>
              <w:br/>
              <w:t xml:space="preserve">  → Manage according to the level of lesion identified at follow-up (e.g., may require further surgery or intensified surveillance). (Reference: Fragment 4)</w:t>
            </w:r>
            <w:r w:rsidRPr="00CB2EC4">
              <w:rPr>
                <w:rFonts w:ascii="Times New Roman" w:hAnsi="Times New Roman" w:cs="Times New Roman"/>
              </w:rPr>
              <w:br/>
            </w:r>
            <w:r w:rsidRPr="00CB2EC4">
              <w:rPr>
                <w:rFonts w:ascii="Times New Roman" w:hAnsi="Times New Roman" w:cs="Times New Roman"/>
              </w:rPr>
              <w:br/>
              <w:t xml:space="preserve">- **Follow-up frequency:**  </w:t>
            </w:r>
            <w:r w:rsidRPr="00CB2EC4">
              <w:rPr>
                <w:rFonts w:ascii="Times New Roman" w:hAnsi="Times New Roman" w:cs="Times New Roman"/>
              </w:rPr>
              <w:br/>
              <w:t xml:space="preserve">  → High-risk patients (e.g., positive margins, positive lymph nodes): every 3 months for the first 2 years postoperatively.  </w:t>
            </w:r>
            <w:r w:rsidRPr="00CB2EC4">
              <w:rPr>
                <w:rFonts w:ascii="Times New Roman" w:hAnsi="Times New Roman" w:cs="Times New Roman"/>
              </w:rPr>
              <w:br/>
              <w:t xml:space="preserve">  → Low-risk patients: every 6 months. (Reference: </w:t>
            </w:r>
            <w:r w:rsidRPr="00CB2EC4">
              <w:rPr>
                <w:rFonts w:ascii="Times New Roman" w:hAnsi="Times New Roman" w:cs="Times New Roman"/>
              </w:rPr>
              <w:lastRenderedPageBreak/>
              <w:t xml:space="preserve">Fragment 12)  </w:t>
            </w:r>
            <w:r w:rsidRPr="00CB2EC4">
              <w:rPr>
                <w:rFonts w:ascii="Times New Roman" w:hAnsi="Times New Roman" w:cs="Times New Roman"/>
              </w:rPr>
              <w:br/>
              <w:t xml:space="preserve">  → Follow-up content includes cytology, HPV testing, and colposcopic assessment. (Reference: Fragment 11)</w:t>
            </w:r>
            <w:r w:rsidRPr="00CB2EC4">
              <w:rPr>
                <w:rFonts w:ascii="Times New Roman" w:hAnsi="Times New Roman" w:cs="Times New Roman"/>
              </w:rPr>
              <w:br/>
            </w:r>
            <w:r w:rsidRPr="00CB2EC4">
              <w:rPr>
                <w:rFonts w:ascii="Times New Roman" w:hAnsi="Times New Roman" w:cs="Times New Roman"/>
              </w:rPr>
              <w:br/>
              <w:t xml:space="preserve">- **Basis:**  </w:t>
            </w:r>
            <w:r w:rsidRPr="00CB2EC4">
              <w:rPr>
                <w:rFonts w:ascii="Times New Roman" w:hAnsi="Times New Roman" w:cs="Times New Roman"/>
              </w:rPr>
              <w:br/>
              <w:t xml:space="preserve">  Fragment 2 specifies: "For postoperative pathological diagnosis with quality control showing HSIL at the margin, recommend follow-up at 4–6 months with colposcopic evaluation"; Fragment 4 and 11 supplement the specific combination of tests for follow-up.</w:t>
            </w:r>
            <w:r w:rsidRPr="00CB2EC4">
              <w:rPr>
                <w:rFonts w:ascii="Times New Roman" w:hAnsi="Times New Roman" w:cs="Times New Roman"/>
              </w:rPr>
              <w:br/>
            </w:r>
            <w:r w:rsidRPr="00CB2EC4">
              <w:rPr>
                <w:rFonts w:ascii="Times New Roman" w:hAnsi="Times New Roman" w:cs="Times New Roman"/>
              </w:rPr>
              <w:br/>
              <w:t>Therefore, the follow-up steps are: based on margin status, perform cytology + colposcopy + ECC at 4–6 months postoperatively; thereafter, adjust frequency according to risk stratification and incorporate HPV testing.</w:t>
            </w:r>
          </w:p>
        </w:tc>
        <w:tc>
          <w:tcPr>
            <w:tcW w:w="1152" w:type="dxa"/>
            <w:vAlign w:val="center"/>
          </w:tcPr>
          <w:p w14:paraId="06D890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D1A1B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91AE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C1CF72" w14:textId="77777777">
        <w:tc>
          <w:tcPr>
            <w:tcW w:w="2160" w:type="dxa"/>
            <w:vAlign w:val="center"/>
          </w:tcPr>
          <w:p w14:paraId="3FBD21E9"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5CABFC2" w14:textId="77777777" w:rsidR="00922249" w:rsidRPr="00CB2EC4" w:rsidRDefault="003011D5">
            <w:pPr>
              <w:rPr>
                <w:rFonts w:ascii="Times New Roman" w:hAnsi="Times New Roman" w:cs="Times New Roman"/>
              </w:rPr>
            </w:pPr>
            <w:r w:rsidRPr="00CB2EC4">
              <w:rPr>
                <w:rFonts w:ascii="Times New Roman" w:hAnsi="Times New Roman" w:cs="Times New Roman"/>
              </w:rPr>
              <w:t>follow-up steps after cervical conization:</w:t>
            </w:r>
            <w:r w:rsidRPr="00CB2EC4">
              <w:rPr>
                <w:rFonts w:ascii="Times New Roman" w:hAnsi="Times New Roman" w:cs="Times New Roman"/>
              </w:rPr>
              <w:br/>
            </w:r>
            <w:r w:rsidRPr="00CB2EC4">
              <w:rPr>
                <w:rFonts w:ascii="Times New Roman" w:hAnsi="Times New Roman" w:cs="Times New Roman"/>
              </w:rPr>
              <w:br/>
              <w:t>- Negative margins: Recheck at 4–6 months postoperatively (cytology + colposcopy + ECC).</w:t>
            </w:r>
            <w:r w:rsidRPr="00CB2EC4">
              <w:rPr>
                <w:rFonts w:ascii="Times New Roman" w:hAnsi="Times New Roman" w:cs="Times New Roman"/>
              </w:rPr>
              <w:br/>
              <w:t>- Positive margins (CIN II+): Recheck cytology + colposcopy + ECC at 4–6 months, manage according to lesion grade based on results.</w:t>
            </w:r>
            <w:r w:rsidRPr="00CB2EC4">
              <w:rPr>
                <w:rFonts w:ascii="Times New Roman" w:hAnsi="Times New Roman" w:cs="Times New Roman"/>
              </w:rPr>
              <w:br/>
              <w:t>- Suspected invasive cancer: Immediately send for pathology; if confirmed, transfer to cervical cancer treatment protocol.</w:t>
            </w:r>
            <w:r w:rsidRPr="00CB2EC4">
              <w:rPr>
                <w:rFonts w:ascii="Times New Roman" w:hAnsi="Times New Roman" w:cs="Times New Roman"/>
              </w:rPr>
              <w:br/>
              <w:t>- Source: Knowledge base document (Figure 5: Management flowchart for histologically confirmed HSIL).</w:t>
            </w:r>
            <w:r w:rsidRPr="00CB2EC4">
              <w:rPr>
                <w:rFonts w:ascii="Times New Roman" w:hAnsi="Times New Roman" w:cs="Times New Roman"/>
              </w:rPr>
              <w:br/>
            </w:r>
            <w:r w:rsidRPr="00CB2EC4">
              <w:rPr>
                <w:rFonts w:ascii="Times New Roman" w:hAnsi="Times New Roman" w:cs="Times New Roman"/>
              </w:rPr>
              <w:br/>
              <w:t>Supplementary from web search:</w:t>
            </w:r>
            <w:r w:rsidRPr="00CB2EC4">
              <w:rPr>
                <w:rFonts w:ascii="Times New Roman" w:hAnsi="Times New Roman" w:cs="Times New Roman"/>
              </w:rPr>
              <w:br/>
              <w:t xml:space="preserve">- Positive margins require repeat conization to ensure </w:t>
            </w:r>
            <w:r w:rsidRPr="00CB2EC4">
              <w:rPr>
                <w:rFonts w:ascii="Times New Roman" w:hAnsi="Times New Roman" w:cs="Times New Roman"/>
              </w:rPr>
              <w:lastRenderedPageBreak/>
              <w:t>negative margins (&gt;1 mm); those with negative margins undergo combined screening + ECC every 6 months for 3 years.</w:t>
            </w:r>
            <w:r w:rsidRPr="00CB2EC4">
              <w:rPr>
                <w:rFonts w:ascii="Times New Roman" w:hAnsi="Times New Roman" w:cs="Times New Roman"/>
              </w:rPr>
              <w:br/>
              <w:t>- Source: Web search content (AIS management section).</w:t>
            </w:r>
            <w:r w:rsidRPr="00CB2EC4">
              <w:rPr>
                <w:rFonts w:ascii="Times New Roman" w:hAnsi="Times New Roman" w:cs="Times New Roman"/>
              </w:rPr>
              <w:br/>
            </w:r>
            <w:r w:rsidRPr="00CB2EC4">
              <w:rPr>
                <w:rFonts w:ascii="Times New Roman" w:hAnsi="Times New Roman" w:cs="Times New Roman"/>
              </w:rPr>
              <w:br/>
              <w:t>Conclusion: Recheck at 4–6 months postoperatively; margin status determines subsequent management (negative margins → routine follow-up, positive margins → intensified monitoring or repeat surgery).</w:t>
            </w:r>
          </w:p>
        </w:tc>
        <w:tc>
          <w:tcPr>
            <w:tcW w:w="1152" w:type="dxa"/>
            <w:vAlign w:val="center"/>
          </w:tcPr>
          <w:p w14:paraId="5E2B66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20F7F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A4AE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785B8F" w14:textId="77777777">
        <w:tc>
          <w:tcPr>
            <w:tcW w:w="2160" w:type="dxa"/>
            <w:vAlign w:val="center"/>
          </w:tcPr>
          <w:p w14:paraId="2D4021F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06369CE" w14:textId="77777777" w:rsidR="00922249" w:rsidRPr="00CB2EC4" w:rsidRDefault="003011D5">
            <w:pPr>
              <w:rPr>
                <w:rFonts w:ascii="Times New Roman" w:hAnsi="Times New Roman" w:cs="Times New Roman"/>
              </w:rPr>
            </w:pPr>
            <w:r w:rsidRPr="00CB2EC4">
              <w:rPr>
                <w:rFonts w:ascii="Times New Roman" w:hAnsi="Times New Roman" w:cs="Times New Roman"/>
              </w:rPr>
              <w:t>after cervical conization for diagnostic or therapeutic purposes, the following follow-up steps should be taken:</w:t>
            </w:r>
            <w:r w:rsidRPr="00CB2EC4">
              <w:rPr>
                <w:rFonts w:ascii="Times New Roman" w:hAnsi="Times New Roman" w:cs="Times New Roman"/>
              </w:rPr>
              <w:br/>
            </w:r>
            <w:r w:rsidRPr="00CB2EC4">
              <w:rPr>
                <w:rFonts w:ascii="Times New Roman" w:hAnsi="Times New Roman" w:cs="Times New Roman"/>
              </w:rPr>
              <w:br/>
              <w:t>- If the postoperative pathological margins are negative: a follow-up examination (cytology + colposcopy + ECC) should be conducted at 4–6 months.</w:t>
            </w:r>
            <w:r w:rsidRPr="00CB2EC4">
              <w:rPr>
                <w:rFonts w:ascii="Times New Roman" w:hAnsi="Times New Roman" w:cs="Times New Roman"/>
              </w:rPr>
              <w:br/>
              <w:t>- If the postoperative pathological margins are positive (CIN II or higher): a follow-up examination including cytology, colposcopy, and ECC should also be performed at 4–6 months, and further management should be based on the results according to the corresponding lesion grade.</w:t>
            </w:r>
            <w:r w:rsidRPr="00CB2EC4">
              <w:rPr>
                <w:rFonts w:ascii="Times New Roman" w:hAnsi="Times New Roman" w:cs="Times New Roman"/>
              </w:rPr>
              <w:br/>
              <w:t>- If invasive cancer is suspected intraoperatively: immediate pathological examination should be sent; upon confirmation, the case should be transferred to the cervical cancer treatment protocol.</w:t>
            </w:r>
          </w:p>
        </w:tc>
        <w:tc>
          <w:tcPr>
            <w:tcW w:w="1152" w:type="dxa"/>
            <w:vAlign w:val="center"/>
          </w:tcPr>
          <w:p w14:paraId="50DEC7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926E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950F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6672BB" w14:textId="77777777">
        <w:tc>
          <w:tcPr>
            <w:tcW w:w="2160" w:type="dxa"/>
            <w:vAlign w:val="center"/>
          </w:tcPr>
          <w:p w14:paraId="5E5D2FF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806580C" w14:textId="77777777" w:rsidR="00922249" w:rsidRPr="00CB2EC4" w:rsidRDefault="003011D5">
            <w:pPr>
              <w:rPr>
                <w:rFonts w:ascii="Times New Roman" w:hAnsi="Times New Roman" w:cs="Times New Roman"/>
              </w:rPr>
            </w:pPr>
            <w:r w:rsidRPr="00CB2EC4">
              <w:rPr>
                <w:rFonts w:ascii="Times New Roman" w:hAnsi="Times New Roman" w:cs="Times New Roman"/>
              </w:rPr>
              <w:t>after diagnostic or therapeutic cervical conization, the follow-up steps are determined by the postoperative pathological margin status:</w:t>
            </w:r>
            <w:r w:rsidRPr="00CB2EC4">
              <w:rPr>
                <w:rFonts w:ascii="Times New Roman" w:hAnsi="Times New Roman" w:cs="Times New Roman"/>
              </w:rPr>
              <w:br/>
            </w:r>
            <w:r w:rsidRPr="00CB2EC4">
              <w:rPr>
                <w:rFonts w:ascii="Times New Roman" w:hAnsi="Times New Roman" w:cs="Times New Roman"/>
              </w:rPr>
              <w:br/>
              <w:t xml:space="preserve">- If postoperative pathology shows negative margins </w:t>
            </w:r>
            <w:r w:rsidRPr="00CB2EC4">
              <w:rPr>
                <w:rFonts w:ascii="Times New Roman" w:hAnsi="Times New Roman" w:cs="Times New Roman"/>
              </w:rPr>
              <w:lastRenderedPageBreak/>
              <w:t>(no CINⅡ or higher):</w:t>
            </w:r>
            <w:r w:rsidRPr="00CB2EC4">
              <w:rPr>
                <w:rFonts w:ascii="Times New Roman" w:hAnsi="Times New Roman" w:cs="Times New Roman"/>
              </w:rPr>
              <w:br/>
              <w:t xml:space="preserve">  - Perform follow-up at 4–6 months, including cytology, colposcopy, and endocervical curettage (ECC).</w:t>
            </w:r>
            <w:r w:rsidRPr="00CB2EC4">
              <w:rPr>
                <w:rFonts w:ascii="Times New Roman" w:hAnsi="Times New Roman" w:cs="Times New Roman"/>
              </w:rPr>
              <w:br/>
              <w:t xml:space="preserve">  - If follow-up results are normal, transition to routine screening (e.g., cytology + HPV co-testing every 3 years).</w:t>
            </w:r>
            <w:r w:rsidRPr="00CB2EC4">
              <w:rPr>
                <w:rFonts w:ascii="Times New Roman" w:hAnsi="Times New Roman" w:cs="Times New Roman"/>
              </w:rPr>
              <w:br/>
            </w:r>
            <w:r w:rsidRPr="00CB2EC4">
              <w:rPr>
                <w:rFonts w:ascii="Times New Roman" w:hAnsi="Times New Roman" w:cs="Times New Roman"/>
              </w:rPr>
              <w:br/>
              <w:t>- If postoperative pathology shows positive margins (CINⅡ or higher at the margin):</w:t>
            </w:r>
            <w:r w:rsidRPr="00CB2EC4">
              <w:rPr>
                <w:rFonts w:ascii="Times New Roman" w:hAnsi="Times New Roman" w:cs="Times New Roman"/>
              </w:rPr>
              <w:br/>
              <w:t xml:space="preserve">  - Perform follow-up at 4–6 months with cytology, colposcopy, and ECC.</w:t>
            </w:r>
            <w:r w:rsidRPr="00CB2EC4">
              <w:rPr>
                <w:rFonts w:ascii="Times New Roman" w:hAnsi="Times New Roman" w:cs="Times New Roman"/>
              </w:rPr>
              <w:br/>
              <w:t xml:space="preserve">  - Manage according to follow-up findings (e.g., repeat conization or escalate to higher-grade lesion management based on lesion severity).</w:t>
            </w:r>
            <w:r w:rsidRPr="00CB2EC4">
              <w:rPr>
                <w:rFonts w:ascii="Times New Roman" w:hAnsi="Times New Roman" w:cs="Times New Roman"/>
              </w:rPr>
              <w:br/>
            </w:r>
            <w:r w:rsidRPr="00CB2EC4">
              <w:rPr>
                <w:rFonts w:ascii="Times New Roman" w:hAnsi="Times New Roman" w:cs="Times New Roman"/>
              </w:rPr>
              <w:br/>
              <w:t>- If invasive cancer is suspected intraoperatively: send for immediate pathological confirmation; if confirmed, refer to cervical cancer treatment protocol.</w:t>
            </w:r>
            <w:r w:rsidRPr="00CB2EC4">
              <w:rPr>
                <w:rFonts w:ascii="Times New Roman" w:hAnsi="Times New Roman" w:cs="Times New Roman"/>
              </w:rPr>
              <w:br/>
            </w:r>
            <w:r w:rsidRPr="00CB2EC4">
              <w:rPr>
                <w:rFonts w:ascii="Times New Roman" w:hAnsi="Times New Roman" w:cs="Times New Roman"/>
              </w:rPr>
              <w:br/>
              <w:t>This information is derived from the HSIL management flow in Document 6 and the description in Figure 5 of Document 7, emphasizing individualized follow-up based on margin status and follow-up results.</w:t>
            </w:r>
          </w:p>
        </w:tc>
        <w:tc>
          <w:tcPr>
            <w:tcW w:w="1152" w:type="dxa"/>
            <w:vAlign w:val="center"/>
          </w:tcPr>
          <w:p w14:paraId="666CA7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153EC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B0A2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3CD638" w14:textId="77777777">
        <w:tc>
          <w:tcPr>
            <w:tcW w:w="2160" w:type="dxa"/>
            <w:vAlign w:val="center"/>
          </w:tcPr>
          <w:p w14:paraId="2F4C183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54AF817" w14:textId="77777777" w:rsidR="00922249" w:rsidRPr="00CB2EC4" w:rsidRDefault="003011D5">
            <w:pPr>
              <w:rPr>
                <w:rFonts w:ascii="Times New Roman" w:hAnsi="Times New Roman" w:cs="Times New Roman"/>
              </w:rPr>
            </w:pPr>
            <w:r w:rsidRPr="00CB2EC4">
              <w:rPr>
                <w:rFonts w:ascii="Times New Roman" w:hAnsi="Times New Roman" w:cs="Times New Roman"/>
              </w:rPr>
              <w:t>after cervical conization for diagnostic or therapeutic purposes, the following follow-up steps should be performed:</w:t>
            </w:r>
            <w:r w:rsidRPr="00CB2EC4">
              <w:rPr>
                <w:rFonts w:ascii="Times New Roman" w:hAnsi="Times New Roman" w:cs="Times New Roman"/>
              </w:rPr>
              <w:br/>
            </w:r>
            <w:r w:rsidRPr="00CB2EC4">
              <w:rPr>
                <w:rFonts w:ascii="Times New Roman" w:hAnsi="Times New Roman" w:cs="Times New Roman"/>
              </w:rPr>
              <w:br/>
              <w:t>1. If the postoperative pathological margins are negative: Review at 4–6 months, including cytology, colposcopy, and endocervical curettage (ECC).</w:t>
            </w:r>
            <w:r w:rsidRPr="00CB2EC4">
              <w:rPr>
                <w:rFonts w:ascii="Times New Roman" w:hAnsi="Times New Roman" w:cs="Times New Roman"/>
              </w:rPr>
              <w:br/>
              <w:t xml:space="preserve">2. If the postoperative pathological margins are positive (CINⅡ or higher): Review cytology, </w:t>
            </w:r>
            <w:r w:rsidRPr="00CB2EC4">
              <w:rPr>
                <w:rFonts w:ascii="Times New Roman" w:hAnsi="Times New Roman" w:cs="Times New Roman"/>
              </w:rPr>
              <w:lastRenderedPageBreak/>
              <w:t>colposcopy, and ECC at 4–6 months, and manage according to the corresponding lesion grade based on the findings.</w:t>
            </w:r>
            <w:r w:rsidRPr="00CB2EC4">
              <w:rPr>
                <w:rFonts w:ascii="Times New Roman" w:hAnsi="Times New Roman" w:cs="Times New Roman"/>
              </w:rPr>
              <w:br/>
              <w:t>3. If invasive cancer is suspected intraoperatively: Immediately send for pathological confirmation; if confirmed, transition to cervical cancer treatment protocol.</w:t>
            </w:r>
            <w:r w:rsidRPr="00CB2EC4">
              <w:rPr>
                <w:rFonts w:ascii="Times New Roman" w:hAnsi="Times New Roman" w:cs="Times New Roman"/>
              </w:rPr>
              <w:br/>
            </w:r>
            <w:r w:rsidRPr="00CB2EC4">
              <w:rPr>
                <w:rFonts w:ascii="Times New Roman" w:hAnsi="Times New Roman" w:cs="Times New Roman"/>
              </w:rPr>
              <w:br/>
              <w:t>- Reference: "If the patient's diagnostic/therapeutic cervical excision shows negative pathological margins: review at 4–6 months (cytology + colposcopy + ECC). If the patient's diagnostic/therapeutic cervical excision shows positive pathological margins (histopathological report of CINⅡ or higher at the margin): then cytology, colposcopy, and ECC should be repeated at 4–6 months" (HyDE similarity 0.749).</w:t>
            </w:r>
          </w:p>
        </w:tc>
        <w:tc>
          <w:tcPr>
            <w:tcW w:w="1152" w:type="dxa"/>
            <w:vAlign w:val="center"/>
          </w:tcPr>
          <w:p w14:paraId="781C54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1E6BE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C3019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BFC814" w14:textId="77777777">
        <w:tc>
          <w:tcPr>
            <w:tcW w:w="2160" w:type="dxa"/>
            <w:vAlign w:val="center"/>
          </w:tcPr>
          <w:p w14:paraId="64F2F06B"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6FE1D0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diagnostic/therapeutic cervical conization for cervical cancer, the follow-up steps depend on the postoperative pathological results, particularly the margin status (presence or absence of residual lesions). The specific follow-up steps are as follows:  </w:t>
            </w:r>
            <w:r w:rsidRPr="00CB2EC4">
              <w:rPr>
                <w:rFonts w:ascii="Times New Roman" w:hAnsi="Times New Roman" w:cs="Times New Roman"/>
              </w:rPr>
              <w:br/>
              <w:t xml:space="preserve">- If postoperative pathology shows negative margins (no residual lesions, e.g., no CINⅡ or higher):  </w:t>
            </w:r>
            <w:r w:rsidRPr="00CB2EC4">
              <w:rPr>
                <w:rFonts w:ascii="Times New Roman" w:hAnsi="Times New Roman" w:cs="Times New Roman"/>
              </w:rPr>
              <w:br/>
              <w:t xml:space="preserve">  - Follow-up at 4–6 months with cytology, colposcopy, and endocervical curettage (ECC) (source: Document Fragment 4, Document Fragment 13).  </w:t>
            </w:r>
            <w:r w:rsidRPr="00CB2EC4">
              <w:rPr>
                <w:rFonts w:ascii="Times New Roman" w:hAnsi="Times New Roman" w:cs="Times New Roman"/>
              </w:rPr>
              <w:br/>
              <w:t xml:space="preserve">  - If follow-up results are normal, subsequent screening may transition to routine intervals (e.g., cytology or HPV testing every 3 years) (source: Document Fragment 13).  </w:t>
            </w:r>
            <w:r w:rsidRPr="00CB2EC4">
              <w:rPr>
                <w:rFonts w:ascii="Times New Roman" w:hAnsi="Times New Roman" w:cs="Times New Roman"/>
              </w:rPr>
              <w:br/>
              <w:t xml:space="preserve">- If postoperative pathology shows positive margins (residual CINⅡ or higher):  </w:t>
            </w:r>
            <w:r w:rsidRPr="00CB2EC4">
              <w:rPr>
                <w:rFonts w:ascii="Times New Roman" w:hAnsi="Times New Roman" w:cs="Times New Roman"/>
              </w:rPr>
              <w:br/>
            </w:r>
            <w:r w:rsidRPr="00CB2EC4">
              <w:rPr>
                <w:rFonts w:ascii="Times New Roman" w:hAnsi="Times New Roman" w:cs="Times New Roman"/>
              </w:rPr>
              <w:lastRenderedPageBreak/>
              <w:t xml:space="preserve">  - Follow-up at 4–6 months with cytology, colposcopy, and ECC (source: Document Fragment 4, Document Fragment 13).  </w:t>
            </w:r>
            <w:r w:rsidRPr="00CB2EC4">
              <w:rPr>
                <w:rFonts w:ascii="Times New Roman" w:hAnsi="Times New Roman" w:cs="Times New Roman"/>
              </w:rPr>
              <w:br/>
              <w:t xml:space="preserve">  - Based on follow-up findings (e.g., lesion grade), manage according to the corresponding abnormal protocol (e.g., repeat excision or escalation to higher-level treatment) (source: Document Fragment 4).  </w:t>
            </w:r>
            <w:r w:rsidRPr="00CB2EC4">
              <w:rPr>
                <w:rFonts w:ascii="Times New Roman" w:hAnsi="Times New Roman" w:cs="Times New Roman"/>
              </w:rPr>
              <w:br/>
              <w:t xml:space="preserve">- If invasive cancer is suspected intraoperatively: send for immediate pathological examination; if confirmed, transition to cervical cancer treatment protocol (source: Document Fragment 4).  </w:t>
            </w:r>
            <w:r w:rsidRPr="00CB2EC4">
              <w:rPr>
                <w:rFonts w:ascii="Times New Roman" w:hAnsi="Times New Roman" w:cs="Times New Roman"/>
              </w:rPr>
              <w:br/>
              <w:t xml:space="preserve">- Long-term follow-up recommendation: patients treated for HSIL should be followed with combined cytology and HPV testing for 20 years, with particular attention to recurrence monitoring in the first 2 years (source: Document Fragment 13).  </w:t>
            </w:r>
            <w:r w:rsidRPr="00CB2EC4">
              <w:rPr>
                <w:rFonts w:ascii="Times New Roman" w:hAnsi="Times New Roman" w:cs="Times New Roman"/>
              </w:rPr>
              <w:br/>
            </w:r>
            <w:r w:rsidRPr="00CB2EC4">
              <w:rPr>
                <w:rFonts w:ascii="Times New Roman" w:hAnsi="Times New Roman" w:cs="Times New Roman"/>
              </w:rPr>
              <w:br/>
              <w:t>Key evidence: Document Fragment 4 details "if negative margins after diagnostic/therapeutic cervical excision: follow-up at 4–6 months with cytology + colposcopy + ECC" and "if positive margins: follow-up at 4–6 months with cytology, colposcopy, ECC." Document Fragment 13 supplements long-term follow-up strategy.</w:t>
            </w:r>
          </w:p>
        </w:tc>
        <w:tc>
          <w:tcPr>
            <w:tcW w:w="1152" w:type="dxa"/>
            <w:vAlign w:val="center"/>
          </w:tcPr>
          <w:p w14:paraId="6DAD4F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CE0B0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E705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696154" w14:textId="77777777">
        <w:tc>
          <w:tcPr>
            <w:tcW w:w="2160" w:type="dxa"/>
            <w:vAlign w:val="center"/>
          </w:tcPr>
          <w:p w14:paraId="5F6B6A7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6E0A18A" w14:textId="77777777" w:rsidR="00922249" w:rsidRPr="00CB2EC4" w:rsidRDefault="003011D5">
            <w:pPr>
              <w:rPr>
                <w:rFonts w:ascii="Times New Roman" w:hAnsi="Times New Roman" w:cs="Times New Roman"/>
              </w:rPr>
            </w:pPr>
            <w:r w:rsidRPr="00CB2EC4">
              <w:rPr>
                <w:rFonts w:ascii="Times New Roman" w:hAnsi="Times New Roman" w:cs="Times New Roman"/>
              </w:rPr>
              <w:t>after diagnostic/therapeutic cervical conization (e.g., LEEP or cold knife conization), follow-up steps are determined by the status of the pathological margins:</w:t>
            </w:r>
            <w:r w:rsidRPr="00CB2EC4">
              <w:rPr>
                <w:rFonts w:ascii="Times New Roman" w:hAnsi="Times New Roman" w:cs="Times New Roman"/>
              </w:rPr>
              <w:br/>
            </w:r>
            <w:r w:rsidRPr="00CB2EC4">
              <w:rPr>
                <w:rFonts w:ascii="Times New Roman" w:hAnsi="Times New Roman" w:cs="Times New Roman"/>
              </w:rPr>
              <w:br/>
              <w:t>- If the pathological margins are negative (no CIN II+ lesions): a follow-up examination should be performed 4–6 months postoperatively, including cytology, colposcopy, and endocervical curettage (ECC).</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If the pathological margins are positive (margin histopathology shows CIN II or higher): a follow-up examination should be performed 4–6 months postoperatively, including cytology, colposcopy, and ECC; management will be based on the severity of the lesion detected during follow-up (e.g., managed according to high-grade lesion protocols).</w:t>
            </w:r>
            <w:r w:rsidRPr="00CB2EC4">
              <w:rPr>
                <w:rFonts w:ascii="Times New Roman" w:hAnsi="Times New Roman" w:cs="Times New Roman"/>
              </w:rPr>
              <w:br/>
            </w:r>
            <w:r w:rsidRPr="00CB2EC4">
              <w:rPr>
                <w:rFonts w:ascii="Times New Roman" w:hAnsi="Times New Roman" w:cs="Times New Roman"/>
              </w:rPr>
              <w:br/>
              <w:t>- If suspicious invasive cancer is identified intraoperatively: send for immediate pathological examination; if confirmed, transition to cervical cancer treatment protocols.</w:t>
            </w:r>
            <w:r w:rsidRPr="00CB2EC4">
              <w:rPr>
                <w:rFonts w:ascii="Times New Roman" w:hAnsi="Times New Roman" w:cs="Times New Roman"/>
              </w:rPr>
              <w:br/>
            </w:r>
            <w:r w:rsidRPr="00CB2EC4">
              <w:rPr>
                <w:rFonts w:ascii="Times New Roman" w:hAnsi="Times New Roman" w:cs="Times New Roman"/>
              </w:rPr>
              <w:br/>
              <w:t>(Source: Explicitly described in the document fragment, e.g., “If the pathological margins are negative after diagnostic/therapeutic cervical conization: re-examine after 4–6 months (cytology + colposcopy + ECC)... If the pathological margins are positive after diagnostic/therapeutic cervical conization... re-examine cytology, colposcopy, and ECC after 4–6 months.”)</w:t>
            </w:r>
          </w:p>
        </w:tc>
        <w:tc>
          <w:tcPr>
            <w:tcW w:w="1152" w:type="dxa"/>
            <w:vAlign w:val="center"/>
          </w:tcPr>
          <w:p w14:paraId="62A1EF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95E3B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2C81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011F99" w14:textId="77777777">
        <w:tc>
          <w:tcPr>
            <w:tcW w:w="2160" w:type="dxa"/>
            <w:vAlign w:val="center"/>
          </w:tcPr>
          <w:p w14:paraId="3AC7C51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CE184BD" w14:textId="77777777" w:rsidR="00922249" w:rsidRPr="00CB2EC4" w:rsidRDefault="003011D5">
            <w:pPr>
              <w:rPr>
                <w:rFonts w:ascii="Times New Roman" w:hAnsi="Times New Roman" w:cs="Times New Roman"/>
              </w:rPr>
            </w:pPr>
            <w:r w:rsidRPr="00CB2EC4">
              <w:rPr>
                <w:rFonts w:ascii="Times New Roman" w:hAnsi="Times New Roman" w:cs="Times New Roman"/>
              </w:rPr>
              <w:t>after cervical conization for diagnostic or therapeutic purposes in cervical cancer, the following follow-up steps should be performed:</w:t>
            </w:r>
            <w:r w:rsidRPr="00CB2EC4">
              <w:rPr>
                <w:rFonts w:ascii="Times New Roman" w:hAnsi="Times New Roman" w:cs="Times New Roman"/>
              </w:rPr>
              <w:br/>
            </w:r>
            <w:r w:rsidRPr="00CB2EC4">
              <w:rPr>
                <w:rFonts w:ascii="Times New Roman" w:hAnsi="Times New Roman" w:cs="Times New Roman"/>
              </w:rPr>
              <w:br/>
              <w:t>- Follow-up depends on the status of the surgical margin in the pathological report:</w:t>
            </w:r>
            <w:r w:rsidRPr="00CB2EC4">
              <w:rPr>
                <w:rFonts w:ascii="Times New Roman" w:hAnsi="Times New Roman" w:cs="Times New Roman"/>
              </w:rPr>
              <w:br/>
              <w:t xml:space="preserve">  - If the margin is negative (no CINⅡ or higher lesion):</w:t>
            </w:r>
            <w:r w:rsidRPr="00CB2EC4">
              <w:rPr>
                <w:rFonts w:ascii="Times New Roman" w:hAnsi="Times New Roman" w:cs="Times New Roman"/>
              </w:rPr>
              <w:br/>
              <w:t xml:space="preserve">    → Perform cytology combined with HPV testing, colposcopy, and endocervical curettage (ECC) at 4–6 months postoperatively.</w:t>
            </w:r>
            <w:r w:rsidRPr="00CB2EC4">
              <w:rPr>
                <w:rFonts w:ascii="Times New Roman" w:hAnsi="Times New Roman" w:cs="Times New Roman"/>
              </w:rPr>
              <w:br/>
              <w:t xml:space="preserve">    → If two consecutive tests are negative, transition to routine screening.</w:t>
            </w:r>
            <w:r w:rsidRPr="00CB2EC4">
              <w:rPr>
                <w:rFonts w:ascii="Times New Roman" w:hAnsi="Times New Roman" w:cs="Times New Roman"/>
              </w:rPr>
              <w:br/>
            </w:r>
            <w:r w:rsidRPr="00CB2EC4">
              <w:rPr>
                <w:rFonts w:ascii="Times New Roman" w:hAnsi="Times New Roman" w:cs="Times New Roman"/>
              </w:rPr>
              <w:lastRenderedPageBreak/>
              <w:t xml:space="preserve">  - If the margin is positive (pathological report shows CINⅡ or higher lesion):</w:t>
            </w:r>
            <w:r w:rsidRPr="00CB2EC4">
              <w:rPr>
                <w:rFonts w:ascii="Times New Roman" w:hAnsi="Times New Roman" w:cs="Times New Roman"/>
              </w:rPr>
              <w:br/>
              <w:t xml:space="preserve">    → Perform cytology, colposcopy, and ECC at 4–6 months postoperatively.</w:t>
            </w:r>
            <w:r w:rsidRPr="00CB2EC4">
              <w:rPr>
                <w:rFonts w:ascii="Times New Roman" w:hAnsi="Times New Roman" w:cs="Times New Roman"/>
              </w:rPr>
              <w:br/>
              <w:t xml:space="preserve">    → Based on the follow-up results, manage according to the corresponding lesion grade (e.g., repeat conization or hysterectomy if persistent abnormality is found).</w:t>
            </w:r>
            <w:r w:rsidRPr="00CB2EC4">
              <w:rPr>
                <w:rFonts w:ascii="Times New Roman" w:hAnsi="Times New Roman" w:cs="Times New Roman"/>
              </w:rPr>
              <w:br/>
            </w:r>
            <w:r w:rsidRPr="00CB2EC4">
              <w:rPr>
                <w:rFonts w:ascii="Times New Roman" w:hAnsi="Times New Roman" w:cs="Times New Roman"/>
              </w:rPr>
              <w:br/>
              <w:t>- Overall, cytology combined with HPV testing is recommended for follow-up for 20 years (high-risk patients require more frequent monitoring).</w:t>
            </w:r>
            <w:r w:rsidRPr="00CB2EC4">
              <w:rPr>
                <w:rFonts w:ascii="Times New Roman" w:hAnsi="Times New Roman" w:cs="Times New Roman"/>
              </w:rPr>
              <w:br/>
            </w:r>
            <w:r w:rsidRPr="00CB2EC4">
              <w:rPr>
                <w:rFonts w:ascii="Times New Roman" w:hAnsi="Times New Roman" w:cs="Times New Roman"/>
              </w:rPr>
              <w:br/>
              <w:t>Summary of steps:</w:t>
            </w:r>
            <w:r w:rsidRPr="00CB2EC4">
              <w:rPr>
                <w:rFonts w:ascii="Times New Roman" w:hAnsi="Times New Roman" w:cs="Times New Roman"/>
              </w:rPr>
              <w:br/>
              <w:t xml:space="preserve">  1. Evaluate the margin status.</w:t>
            </w:r>
            <w:r w:rsidRPr="00CB2EC4">
              <w:rPr>
                <w:rFonts w:ascii="Times New Roman" w:hAnsi="Times New Roman" w:cs="Times New Roman"/>
              </w:rPr>
              <w:br/>
              <w:t xml:space="preserve">  2. Negative margin: follow-up at 4–6 months with cytology + HPV + colposcopy + ECC.</w:t>
            </w:r>
            <w:r w:rsidRPr="00CB2EC4">
              <w:rPr>
                <w:rFonts w:ascii="Times New Roman" w:hAnsi="Times New Roman" w:cs="Times New Roman"/>
              </w:rPr>
              <w:br/>
              <w:t xml:space="preserve">  3. Positive margin: follow-up at 4–6 months with cytology + HPV + colposcopy + ECC, and escalate management based on results.</w:t>
            </w:r>
          </w:p>
        </w:tc>
        <w:tc>
          <w:tcPr>
            <w:tcW w:w="1152" w:type="dxa"/>
            <w:vAlign w:val="center"/>
          </w:tcPr>
          <w:p w14:paraId="12ADF7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0306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2322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673026" w14:textId="77777777">
        <w:tc>
          <w:tcPr>
            <w:tcW w:w="2160" w:type="dxa"/>
            <w:vAlign w:val="center"/>
          </w:tcPr>
          <w:p w14:paraId="2325D719"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DB99B7E" w14:textId="77777777" w:rsidR="00922249" w:rsidRPr="00CB2EC4" w:rsidRDefault="003011D5">
            <w:pPr>
              <w:rPr>
                <w:rFonts w:ascii="Times New Roman" w:hAnsi="Times New Roman" w:cs="Times New Roman"/>
              </w:rPr>
            </w:pPr>
            <w:r w:rsidRPr="00CB2EC4">
              <w:rPr>
                <w:rFonts w:ascii="Times New Roman" w:hAnsi="Times New Roman" w:cs="Times New Roman"/>
              </w:rPr>
              <w:t>after diagnostic or therapeutic cervical conization, the follow-up steps are as follows:</w:t>
            </w:r>
            <w:r w:rsidRPr="00CB2EC4">
              <w:rPr>
                <w:rFonts w:ascii="Times New Roman" w:hAnsi="Times New Roman" w:cs="Times New Roman"/>
              </w:rPr>
              <w:br/>
            </w:r>
            <w:r w:rsidRPr="00CB2EC4">
              <w:rPr>
                <w:rFonts w:ascii="Times New Roman" w:hAnsi="Times New Roman" w:cs="Times New Roman"/>
              </w:rPr>
              <w:br/>
              <w:t>- If the postoperative pathological margins are negative (no CINⅡ or higher lesion): perform a follow-up at 4–6 months postoperatively, including cytology, colposcopy, and endocervical curettage (ECC). If the follow-up results are normal, transition to routine screening.</w:t>
            </w:r>
            <w:r w:rsidRPr="00CB2EC4">
              <w:rPr>
                <w:rFonts w:ascii="Times New Roman" w:hAnsi="Times New Roman" w:cs="Times New Roman"/>
              </w:rPr>
              <w:br/>
              <w:t xml:space="preserve">- If the postoperative pathological margins are positive (margin histopathology shows CINⅡ or higher): perform a follow-up at 4–6 months postoperatively, including cytology, colposcopy, and ECC. The follow-up results should be managed according to the </w:t>
            </w:r>
            <w:r w:rsidRPr="00CB2EC4">
              <w:rPr>
                <w:rFonts w:ascii="Times New Roman" w:hAnsi="Times New Roman" w:cs="Times New Roman"/>
              </w:rPr>
              <w:lastRenderedPageBreak/>
              <w:t>lesion grade (e.g., CIN or invasive cancer); for example, if persistent HSIL is found, repeat conization or hysterectomy may be required.</w:t>
            </w:r>
            <w:r w:rsidRPr="00CB2EC4">
              <w:rPr>
                <w:rFonts w:ascii="Times New Roman" w:hAnsi="Times New Roman" w:cs="Times New Roman"/>
              </w:rPr>
              <w:br/>
              <w:t>- If suspicious invasive cancer is identified intraoperatively: send for immediate pathological confirmation; if confirmed, transition to cervical cancer treatment protocol.</w:t>
            </w:r>
            <w:r w:rsidRPr="00CB2EC4">
              <w:rPr>
                <w:rFonts w:ascii="Times New Roman" w:hAnsi="Times New Roman" w:cs="Times New Roman"/>
              </w:rPr>
              <w:br/>
            </w:r>
            <w:r w:rsidRPr="00CB2EC4">
              <w:rPr>
                <w:rFonts w:ascii="Times New Roman" w:hAnsi="Times New Roman" w:cs="Times New Roman"/>
              </w:rPr>
              <w:br/>
              <w:t>this information is based on detailed descriptions of post-conization management in the source document (e.g., “if the pathological margins are negative after diagnostic/therapeutic cervical resection: follow-up at 4–6 months (cytology + colposcopy + ECC)”; “if margins are positive: follow-up cytology, colposcopy, and ECC at 4–6 months.”).</w:t>
            </w:r>
          </w:p>
        </w:tc>
        <w:tc>
          <w:tcPr>
            <w:tcW w:w="1152" w:type="dxa"/>
            <w:vAlign w:val="center"/>
          </w:tcPr>
          <w:p w14:paraId="548F2C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9A71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EDEB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CD5082" w14:textId="77777777">
        <w:tc>
          <w:tcPr>
            <w:tcW w:w="2160" w:type="dxa"/>
            <w:vAlign w:val="center"/>
          </w:tcPr>
          <w:p w14:paraId="61AEEE3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EF631C4" w14:textId="77777777" w:rsidR="00922249" w:rsidRPr="00CB2EC4" w:rsidRDefault="003011D5">
            <w:pPr>
              <w:rPr>
                <w:rFonts w:ascii="Times New Roman" w:hAnsi="Times New Roman" w:cs="Times New Roman"/>
              </w:rPr>
            </w:pPr>
            <w:r w:rsidRPr="00CB2EC4">
              <w:rPr>
                <w:rFonts w:ascii="Times New Roman" w:hAnsi="Times New Roman" w:cs="Times New Roman"/>
              </w:rPr>
              <w:t>after diagnostic/therapeutic cervical conization for cervical cancer, the follow-up steps are as follows:</w:t>
            </w:r>
            <w:r w:rsidRPr="00CB2EC4">
              <w:rPr>
                <w:rFonts w:ascii="Times New Roman" w:hAnsi="Times New Roman" w:cs="Times New Roman"/>
              </w:rPr>
              <w:br/>
            </w:r>
            <w:r w:rsidRPr="00CB2EC4">
              <w:rPr>
                <w:rFonts w:ascii="Times New Roman" w:hAnsi="Times New Roman" w:cs="Times New Roman"/>
              </w:rPr>
              <w:br/>
              <w:t>- **Negative margins (no HSIL lesion):**</w:t>
            </w:r>
            <w:r w:rsidRPr="00CB2EC4">
              <w:rPr>
                <w:rFonts w:ascii="Times New Roman" w:hAnsi="Times New Roman" w:cs="Times New Roman"/>
              </w:rPr>
              <w:br/>
              <w:t xml:space="preserve">  - First follow-up at 4–6 months post-surgery, including cytology combined with HPV testing, colposcopic evaluation, and endocervical curettage (ECC) (Document fragment 1: relevance 0.9728; fragment 4: relevance 0.9173).</w:t>
            </w:r>
            <w:r w:rsidRPr="00CB2EC4">
              <w:rPr>
                <w:rFonts w:ascii="Times New Roman" w:hAnsi="Times New Roman" w:cs="Times New Roman"/>
              </w:rPr>
              <w:br/>
              <w:t xml:space="preserve">  - If the first follow-up is normal, repeat cytology combined with HPV testing at 6–12 months post-surgery.</w:t>
            </w:r>
            <w:r w:rsidRPr="00CB2EC4">
              <w:rPr>
                <w:rFonts w:ascii="Times New Roman" w:hAnsi="Times New Roman" w:cs="Times New Roman"/>
              </w:rPr>
              <w:br/>
              <w:t xml:space="preserve">  - If two consecutive follow-ups are normal, transition to triennial follow-up, with a total recommended follow-up period of 20 years (Document fragment 1: relevance 0.9728).</w:t>
            </w:r>
            <w:r w:rsidRPr="00CB2EC4">
              <w:rPr>
                <w:rFonts w:ascii="Times New Roman" w:hAnsi="Times New Roman" w:cs="Times New Roman"/>
              </w:rPr>
              <w:br/>
            </w:r>
            <w:r w:rsidRPr="00CB2EC4">
              <w:rPr>
                <w:rFonts w:ascii="Times New Roman" w:hAnsi="Times New Roman" w:cs="Times New Roman"/>
              </w:rPr>
              <w:br/>
              <w:t>- **Positive margins (presence of HSIL lesion, e.g., CIN II or higher):**</w:t>
            </w:r>
            <w:r w:rsidRPr="00CB2EC4">
              <w:rPr>
                <w:rFonts w:ascii="Times New Roman" w:hAnsi="Times New Roman" w:cs="Times New Roman"/>
              </w:rPr>
              <w:br/>
            </w:r>
            <w:r w:rsidRPr="00CB2EC4">
              <w:rPr>
                <w:rFonts w:ascii="Times New Roman" w:hAnsi="Times New Roman" w:cs="Times New Roman"/>
              </w:rPr>
              <w:lastRenderedPageBreak/>
              <w:t xml:space="preserve">  - Follow-up at 4–6 months post-surgery, including cytology, colposcopic evaluation, and ECC (Document fragment 1: relevance 0.9728; fragment 4: relevance 0.9173).</w:t>
            </w:r>
            <w:r w:rsidRPr="00CB2EC4">
              <w:rPr>
                <w:rFonts w:ascii="Times New Roman" w:hAnsi="Times New Roman" w:cs="Times New Roman"/>
              </w:rPr>
              <w:br/>
              <w:t xml:space="preserve">  - Management based on follow-up findings (e.g., repeat conization or hysterectomy).</w:t>
            </w:r>
            <w:r w:rsidRPr="00CB2EC4">
              <w:rPr>
                <w:rFonts w:ascii="Times New Roman" w:hAnsi="Times New Roman" w:cs="Times New Roman"/>
              </w:rPr>
              <w:br/>
            </w:r>
            <w:r w:rsidRPr="00CB2EC4">
              <w:rPr>
                <w:rFonts w:ascii="Times New Roman" w:hAnsi="Times New Roman" w:cs="Times New Roman"/>
              </w:rPr>
              <w:br/>
              <w:t>- **General principle:**</w:t>
            </w:r>
            <w:r w:rsidRPr="00CB2EC4">
              <w:rPr>
                <w:rFonts w:ascii="Times New Roman" w:hAnsi="Times New Roman" w:cs="Times New Roman"/>
              </w:rPr>
              <w:br/>
              <w:t xml:space="preserve">  - All patients treated for HSIL should undergo follow-up with cytology combined with HPV testing for 20 years to monitor for recurrence (Document fragment 1: relevance 0.9728).</w:t>
            </w:r>
            <w:r w:rsidRPr="00CB2EC4">
              <w:rPr>
                <w:rFonts w:ascii="Times New Roman" w:hAnsi="Times New Roman" w:cs="Times New Roman"/>
              </w:rPr>
              <w:br/>
            </w:r>
            <w:r w:rsidRPr="00CB2EC4">
              <w:rPr>
                <w:rFonts w:ascii="Times New Roman" w:hAnsi="Times New Roman" w:cs="Times New Roman"/>
              </w:rPr>
              <w:br/>
              <w:t>This follow-up plan is based on post-operative recurrence risk, with margin status as the key determinant.</w:t>
            </w:r>
          </w:p>
        </w:tc>
        <w:tc>
          <w:tcPr>
            <w:tcW w:w="1152" w:type="dxa"/>
            <w:vAlign w:val="center"/>
          </w:tcPr>
          <w:p w14:paraId="15DFE8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D3F9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188C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88655A" w14:textId="77777777">
        <w:tc>
          <w:tcPr>
            <w:tcW w:w="2160" w:type="dxa"/>
            <w:vAlign w:val="center"/>
          </w:tcPr>
          <w:p w14:paraId="0B964FB7"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07CD3B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diagnostic or therapeutic cervical conization, the follow-up steps are as follows:  </w:t>
            </w:r>
            <w:r w:rsidRPr="00CB2EC4">
              <w:rPr>
                <w:rFonts w:ascii="Times New Roman" w:hAnsi="Times New Roman" w:cs="Times New Roman"/>
              </w:rPr>
              <w:br/>
              <w:t xml:space="preserve">- If the postoperative pathological margins are negative (no CINⅡ or higher):  </w:t>
            </w:r>
            <w:r w:rsidRPr="00CB2EC4">
              <w:rPr>
                <w:rFonts w:ascii="Times New Roman" w:hAnsi="Times New Roman" w:cs="Times New Roman"/>
              </w:rPr>
              <w:br/>
              <w:t xml:space="preserve">  - Review at 4–6 months postoperatively, including cytology, colposcopy, and endocervical curettage (ECC).  </w:t>
            </w:r>
            <w:r w:rsidRPr="00CB2EC4">
              <w:rPr>
                <w:rFonts w:ascii="Times New Roman" w:hAnsi="Times New Roman" w:cs="Times New Roman"/>
              </w:rPr>
              <w:br/>
              <w:t xml:space="preserve">  - If the review shows no abnormalities, subsequent follow-up using combined cytology and HPV testing is recommended for 20 years; specifically, perform combined cytology and HPV testing at 6–12 months postoperatively. If no persistent lesions are found, repeat the test at 12 months. After two consecutive normal results, follow-up can be extended to every 3 years.  </w:t>
            </w:r>
            <w:r w:rsidRPr="00CB2EC4">
              <w:rPr>
                <w:rFonts w:ascii="Times New Roman" w:hAnsi="Times New Roman" w:cs="Times New Roman"/>
              </w:rPr>
              <w:br/>
              <w:t xml:space="preserve">- If the postoperative pathological margins are positive (margin histopathology shows CINⅡ or higher):  </w:t>
            </w:r>
            <w:r w:rsidRPr="00CB2EC4">
              <w:rPr>
                <w:rFonts w:ascii="Times New Roman" w:hAnsi="Times New Roman" w:cs="Times New Roman"/>
              </w:rPr>
              <w:br/>
              <w:t xml:space="preserve">  - Review cytology, colposcopy, and ECC at 4–6 </w:t>
            </w:r>
            <w:r w:rsidRPr="00CB2EC4">
              <w:rPr>
                <w:rFonts w:ascii="Times New Roman" w:hAnsi="Times New Roman" w:cs="Times New Roman"/>
              </w:rPr>
              <w:lastRenderedPageBreak/>
              <w:t xml:space="preserve">months postoperatively.  </w:t>
            </w:r>
            <w:r w:rsidRPr="00CB2EC4">
              <w:rPr>
                <w:rFonts w:ascii="Times New Roman" w:hAnsi="Times New Roman" w:cs="Times New Roman"/>
              </w:rPr>
              <w:br/>
              <w:t xml:space="preserve">  - Manage according to the corresponding grade of lesion (e.g., CIN or invasive cancer) based on the review results.  </w:t>
            </w:r>
            <w:r w:rsidRPr="00CB2EC4">
              <w:rPr>
                <w:rFonts w:ascii="Times New Roman" w:hAnsi="Times New Roman" w:cs="Times New Roman"/>
              </w:rPr>
              <w:br/>
              <w:t xml:space="preserve">- If suspicious invasive cancer is found intraoperatively: send for immediate pathological examination; if confirmed, transition to cervical cancer treatment protocol.  </w:t>
            </w:r>
            <w:r w:rsidRPr="00CB2EC4">
              <w:rPr>
                <w:rFonts w:ascii="Times New Roman" w:hAnsi="Times New Roman" w:cs="Times New Roman"/>
              </w:rPr>
              <w:br/>
              <w:t>This information is based on relevant segment 1 (routine patient management) and relevant segment 3 (HSIL treatment follow-up section).</w:t>
            </w:r>
          </w:p>
        </w:tc>
        <w:tc>
          <w:tcPr>
            <w:tcW w:w="1152" w:type="dxa"/>
            <w:vAlign w:val="center"/>
          </w:tcPr>
          <w:p w14:paraId="6FD291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C2033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56E4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05B1F1" w14:textId="77777777">
        <w:tc>
          <w:tcPr>
            <w:tcW w:w="2160" w:type="dxa"/>
            <w:vAlign w:val="center"/>
          </w:tcPr>
          <w:p w14:paraId="75A514B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918CDC1" w14:textId="77777777" w:rsidR="00922249" w:rsidRPr="00CB2EC4" w:rsidRDefault="003011D5">
            <w:pPr>
              <w:rPr>
                <w:rFonts w:ascii="Times New Roman" w:hAnsi="Times New Roman" w:cs="Times New Roman"/>
              </w:rPr>
            </w:pPr>
            <w:r w:rsidRPr="00CB2EC4">
              <w:rPr>
                <w:rFonts w:ascii="Times New Roman" w:hAnsi="Times New Roman" w:cs="Times New Roman"/>
              </w:rPr>
              <w:t>after cervical conization (e.g., LEEP or cold knife conization) for diagnostic or therapeutic purposes, the follow-up steps include:</w:t>
            </w:r>
            <w:r w:rsidRPr="00CB2EC4">
              <w:rPr>
                <w:rFonts w:ascii="Times New Roman" w:hAnsi="Times New Roman" w:cs="Times New Roman"/>
              </w:rPr>
              <w:br/>
              <w:t>- Initial follow-up: Begin co-testing (HPV testing and cytology) at 6–12 months postoperatively. If margins are negative and no residual lesion is present, repeat co-testing every 12 months.</w:t>
            </w:r>
            <w:r w:rsidRPr="00CB2EC4">
              <w:rPr>
                <w:rFonts w:ascii="Times New Roman" w:hAnsi="Times New Roman" w:cs="Times New Roman"/>
              </w:rPr>
              <w:br/>
              <w:t>- High-risk situations: If margins are positive or high-grade lesions (e.g., HSIL) are identified, closer follow-up is required, such as co-testing every 6 months or repeat colposcopy at 3–6 months; consider repeat conization or further treatment if necessary.</w:t>
            </w:r>
            <w:r w:rsidRPr="00CB2EC4">
              <w:rPr>
                <w:rFonts w:ascii="Times New Roman" w:hAnsi="Times New Roman" w:cs="Times New Roman"/>
              </w:rPr>
              <w:br/>
              <w:t>- Long-term follow-up: Continue surveillance for at least 20 years, adjusting frequency based on individual risk (e.g., transitioning from annual to every 3–5 years). The goal is early detection of recurrence or residual disease.</w:t>
            </w:r>
          </w:p>
        </w:tc>
        <w:tc>
          <w:tcPr>
            <w:tcW w:w="1152" w:type="dxa"/>
            <w:vAlign w:val="center"/>
          </w:tcPr>
          <w:p w14:paraId="279A49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4F4D6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FDE5F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18EF82D" w14:textId="77777777">
        <w:tc>
          <w:tcPr>
            <w:tcW w:w="10656" w:type="dxa"/>
            <w:gridSpan w:val="5"/>
            <w:tcBorders>
              <w:bottom w:val="single" w:sz="6" w:space="0" w:color="auto"/>
            </w:tcBorders>
            <w:vAlign w:val="center"/>
          </w:tcPr>
          <w:p w14:paraId="42884A16" w14:textId="77777777" w:rsidR="00922249" w:rsidRPr="00CB2EC4" w:rsidRDefault="003011D5">
            <w:pPr>
              <w:rPr>
                <w:rFonts w:ascii="Times New Roman" w:hAnsi="Times New Roman" w:cs="Times New Roman"/>
              </w:rPr>
            </w:pPr>
            <w:r w:rsidRPr="00CB2EC4">
              <w:rPr>
                <w:rFonts w:ascii="Times New Roman" w:hAnsi="Times New Roman" w:cs="Times New Roman"/>
                <w:b/>
              </w:rPr>
              <w:t>Question 33: In cervical cancer screening, if a pregnant patient has a histopathological confirmation (biopsy) of HSIL with no invasive cancer during pregnancy, what follow-up steps should be conducted after childbearing?</w:t>
            </w:r>
          </w:p>
        </w:tc>
      </w:tr>
      <w:tr w:rsidR="00922249" w:rsidRPr="00CB2EC4" w14:paraId="537BEACA" w14:textId="77777777">
        <w:tc>
          <w:tcPr>
            <w:tcW w:w="2160" w:type="dxa"/>
            <w:vAlign w:val="center"/>
          </w:tcPr>
          <w:p w14:paraId="64D3831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15880F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if a pregnant patient has histologically confirmed (biopsy) HSIL and no invasive cancer during pregnancy, the following </w:t>
            </w:r>
            <w:r w:rsidRPr="00CB2EC4">
              <w:rPr>
                <w:rFonts w:ascii="Times New Roman" w:hAnsi="Times New Roman" w:cs="Times New Roman"/>
              </w:rPr>
              <w:lastRenderedPageBreak/>
              <w:t>follow-up steps should be taken after delivery:</w:t>
            </w:r>
            <w:r w:rsidRPr="00CB2EC4">
              <w:rPr>
                <w:rFonts w:ascii="Times New Roman" w:hAnsi="Times New Roman" w:cs="Times New Roman"/>
              </w:rPr>
              <w:br/>
            </w:r>
            <w:r w:rsidRPr="00CB2EC4">
              <w:rPr>
                <w:rFonts w:ascii="Times New Roman" w:hAnsi="Times New Roman" w:cs="Times New Roman"/>
              </w:rPr>
              <w:br/>
              <w:t>- patients diagnosed with HSIL during pregnancy without invasive cancer should undergo postpartum follow-up at 6–8 weeks after delivery, including cytology, colposcopy, and endocervical curettage (ECC).</w:t>
            </w:r>
            <w:r w:rsidRPr="00CB2EC4">
              <w:rPr>
                <w:rFonts w:ascii="Times New Roman" w:hAnsi="Times New Roman" w:cs="Times New Roman"/>
              </w:rPr>
              <w:br/>
              <w:t>- the results of the postpartum follow-up determine subsequent management:</w:t>
            </w:r>
            <w:r w:rsidRPr="00CB2EC4">
              <w:rPr>
                <w:rFonts w:ascii="Times New Roman" w:hAnsi="Times New Roman" w:cs="Times New Roman"/>
              </w:rPr>
              <w:br/>
              <w:t xml:space="preserve">  - if the postpartum follow-up shows no CIN II+ (i.e., no high-grade lesion), the patient should transition to routine cervical cancer screening.</w:t>
            </w:r>
            <w:r w:rsidRPr="00CB2EC4">
              <w:rPr>
                <w:rFonts w:ascii="Times New Roman" w:hAnsi="Times New Roman" w:cs="Times New Roman"/>
              </w:rPr>
              <w:br/>
              <w:t xml:space="preserve">  - if the postpartum follow-up reveals CIN II+, diagnostic/therapeutic cervical conization should be performed, managed according to the protocol described (e.g., as in Question 32).</w:t>
            </w:r>
            <w:r w:rsidRPr="00CB2EC4">
              <w:rPr>
                <w:rFonts w:ascii="Times New Roman" w:hAnsi="Times New Roman" w:cs="Times New Roman"/>
              </w:rPr>
              <w:br/>
            </w:r>
            <w:r w:rsidRPr="00CB2EC4">
              <w:rPr>
                <w:rFonts w:ascii="Times New Roman" w:hAnsi="Times New Roman" w:cs="Times New Roman"/>
              </w:rPr>
              <w:br/>
              <w:t>summary of follow-up steps: postpartum 6–8 week follow-up (cytology + colposcopy + ECC) → if no CIN II+, routine screening; if CIN II+ present, proceed to cervical conization.</w:t>
            </w:r>
          </w:p>
        </w:tc>
        <w:tc>
          <w:tcPr>
            <w:tcW w:w="1152" w:type="dxa"/>
            <w:vAlign w:val="center"/>
          </w:tcPr>
          <w:p w14:paraId="5B585B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7C85E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E54B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6629D1" w14:textId="77777777">
        <w:tc>
          <w:tcPr>
            <w:tcW w:w="2160" w:type="dxa"/>
            <w:vAlign w:val="center"/>
          </w:tcPr>
          <w:p w14:paraId="53EB1768"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CEDCA51"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histologically confirmed (biopsy) HSIL, with no invasive cancer during pregnancy, the following follow-up steps should be taken after delivery:</w:t>
            </w:r>
            <w:r w:rsidRPr="00CB2EC4">
              <w:rPr>
                <w:rFonts w:ascii="Times New Roman" w:hAnsi="Times New Roman" w:cs="Times New Roman"/>
              </w:rPr>
              <w:br/>
            </w:r>
            <w:r w:rsidRPr="00CB2EC4">
              <w:rPr>
                <w:rFonts w:ascii="Times New Roman" w:hAnsi="Times New Roman" w:cs="Times New Roman"/>
              </w:rPr>
              <w:br/>
              <w:t>- Follow-up step: Perform a review 6–8 weeks postpartum, including cytology, colposcopy, and endocervical curettage (ECC).</w:t>
            </w:r>
            <w:r w:rsidRPr="00CB2EC4">
              <w:rPr>
                <w:rFonts w:ascii="Times New Roman" w:hAnsi="Times New Roman" w:cs="Times New Roman"/>
              </w:rPr>
              <w:br/>
              <w:t xml:space="preserve">  - If the review shows no CINⅡ or higher-grade lesions: subsequent management reverts to routine cervical cancer screening.</w:t>
            </w:r>
            <w:r w:rsidRPr="00CB2EC4">
              <w:rPr>
                <w:rFonts w:ascii="Times New Roman" w:hAnsi="Times New Roman" w:cs="Times New Roman"/>
              </w:rPr>
              <w:br/>
              <w:t xml:space="preserve">  - If the review shows CINⅡ or higher-grade lesions: diagnostic/therapeutic cervical conization should be </w:t>
            </w:r>
            <w:r w:rsidRPr="00CB2EC4">
              <w:rPr>
                <w:rFonts w:ascii="Times New Roman" w:hAnsi="Times New Roman" w:cs="Times New Roman"/>
              </w:rPr>
              <w:lastRenderedPageBreak/>
              <w:t>performed and managed according to standard protocols.</w:t>
            </w:r>
            <w:r w:rsidRPr="00CB2EC4">
              <w:rPr>
                <w:rFonts w:ascii="Times New Roman" w:hAnsi="Times New Roman" w:cs="Times New Roman"/>
              </w:rPr>
              <w:br/>
              <w:t>- Basis: Document fragment 1 explicitly states: "Postpartum review at 6–8 weeks (cytology + colposcopy + ECC). If postpartum review shows no CINⅡ+, the patient should undergo routine screening thereafter; if postpartum review shows CINII+ → diagnostic/therapeutic cervical conization should be performed." Fragments 3 and 12 reaffirm this postpartum management process.</w:t>
            </w:r>
          </w:p>
        </w:tc>
        <w:tc>
          <w:tcPr>
            <w:tcW w:w="1152" w:type="dxa"/>
            <w:vAlign w:val="center"/>
          </w:tcPr>
          <w:p w14:paraId="497787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9A75F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FFE7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3AFD9B" w14:textId="77777777">
        <w:tc>
          <w:tcPr>
            <w:tcW w:w="2160" w:type="dxa"/>
            <w:vAlign w:val="center"/>
          </w:tcPr>
          <w:p w14:paraId="225EE310"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D398FC4" w14:textId="77777777" w:rsidR="00922249" w:rsidRPr="00CB2EC4" w:rsidRDefault="003011D5">
            <w:pPr>
              <w:rPr>
                <w:rFonts w:ascii="Times New Roman" w:hAnsi="Times New Roman" w:cs="Times New Roman"/>
              </w:rPr>
            </w:pPr>
            <w:r w:rsidRPr="00CB2EC4">
              <w:rPr>
                <w:rFonts w:ascii="Times New Roman" w:hAnsi="Times New Roman" w:cs="Times New Roman"/>
              </w:rPr>
              <w:t>after delivery, the follow-up steps for a pregnant patient with histologically confirmed HSIL (biopsy) and no invasive cancer are:</w:t>
            </w:r>
            <w:r w:rsidRPr="00CB2EC4">
              <w:rPr>
                <w:rFonts w:ascii="Times New Roman" w:hAnsi="Times New Roman" w:cs="Times New Roman"/>
              </w:rPr>
              <w:br/>
            </w:r>
            <w:r w:rsidRPr="00CB2EC4">
              <w:rPr>
                <w:rFonts w:ascii="Times New Roman" w:hAnsi="Times New Roman" w:cs="Times New Roman"/>
              </w:rPr>
              <w:br/>
              <w:t>- Perform a postpartum follow-up examination at 6–8 weeks after delivery, including:</w:t>
            </w:r>
            <w:r w:rsidRPr="00CB2EC4">
              <w:rPr>
                <w:rFonts w:ascii="Times New Roman" w:hAnsi="Times New Roman" w:cs="Times New Roman"/>
              </w:rPr>
              <w:br/>
              <w:t xml:space="preserve">  - Cytology</w:t>
            </w:r>
            <w:r w:rsidRPr="00CB2EC4">
              <w:rPr>
                <w:rFonts w:ascii="Times New Roman" w:hAnsi="Times New Roman" w:cs="Times New Roman"/>
              </w:rPr>
              <w:br/>
              <w:t xml:space="preserve">  - Colposcopy</w:t>
            </w:r>
            <w:r w:rsidRPr="00CB2EC4">
              <w:rPr>
                <w:rFonts w:ascii="Times New Roman" w:hAnsi="Times New Roman" w:cs="Times New Roman"/>
              </w:rPr>
              <w:br/>
              <w:t xml:space="preserve">  - Endocervical curettage (ECC)</w:t>
            </w:r>
            <w:r w:rsidRPr="00CB2EC4">
              <w:rPr>
                <w:rFonts w:ascii="Times New Roman" w:hAnsi="Times New Roman" w:cs="Times New Roman"/>
              </w:rPr>
              <w:br/>
            </w:r>
            <w:r w:rsidRPr="00CB2EC4">
              <w:rPr>
                <w:rFonts w:ascii="Times New Roman" w:hAnsi="Times New Roman" w:cs="Times New Roman"/>
              </w:rPr>
              <w:br/>
              <w:t>- Based on the results:</w:t>
            </w:r>
            <w:r w:rsidRPr="00CB2EC4">
              <w:rPr>
                <w:rFonts w:ascii="Times New Roman" w:hAnsi="Times New Roman" w:cs="Times New Roman"/>
              </w:rPr>
              <w:br/>
              <w:t xml:space="preserve">  - If no CIN II or higher lesion is found: transition the patient to routine cervical cancer screening.</w:t>
            </w:r>
            <w:r w:rsidRPr="00CB2EC4">
              <w:rPr>
                <w:rFonts w:ascii="Times New Roman" w:hAnsi="Times New Roman" w:cs="Times New Roman"/>
              </w:rPr>
              <w:br/>
              <w:t xml:space="preserve">  - If CIN II or higher is detected: perform a diagnostic or therapeutic cervical conization and manage according to standard protocols.</w:t>
            </w:r>
            <w:r w:rsidRPr="00CB2EC4">
              <w:rPr>
                <w:rFonts w:ascii="Times New Roman" w:hAnsi="Times New Roman" w:cs="Times New Roman"/>
              </w:rPr>
              <w:br/>
            </w:r>
            <w:r w:rsidRPr="00CB2EC4">
              <w:rPr>
                <w:rFonts w:ascii="Times New Roman" w:hAnsi="Times New Roman" w:cs="Times New Roman"/>
              </w:rPr>
              <w:br/>
              <w:t>(review timing supported by multiple sources: 6–8 weeks postpartum)</w:t>
            </w:r>
          </w:p>
        </w:tc>
        <w:tc>
          <w:tcPr>
            <w:tcW w:w="1152" w:type="dxa"/>
            <w:vAlign w:val="center"/>
          </w:tcPr>
          <w:p w14:paraId="144D19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D693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EEAB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0394B48" w14:textId="77777777">
        <w:tc>
          <w:tcPr>
            <w:tcW w:w="2160" w:type="dxa"/>
            <w:vAlign w:val="center"/>
          </w:tcPr>
          <w:p w14:paraId="631FED1C"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AD84827" w14:textId="77777777" w:rsidR="00922249" w:rsidRPr="00CB2EC4" w:rsidRDefault="003011D5">
            <w:pPr>
              <w:rPr>
                <w:rFonts w:ascii="Times New Roman" w:hAnsi="Times New Roman" w:cs="Times New Roman"/>
              </w:rPr>
            </w:pPr>
            <w:r w:rsidRPr="00CB2EC4">
              <w:rPr>
                <w:rFonts w:ascii="Times New Roman" w:hAnsi="Times New Roman" w:cs="Times New Roman"/>
              </w:rPr>
              <w:t>postpartum follow-up steps for HSIL during pregnancy</w:t>
            </w:r>
            <w:r w:rsidRPr="00CB2EC4">
              <w:rPr>
                <w:rFonts w:ascii="Times New Roman" w:hAnsi="Times New Roman" w:cs="Times New Roman"/>
              </w:rPr>
              <w:br/>
            </w:r>
            <w:r w:rsidRPr="00CB2EC4">
              <w:rPr>
                <w:rFonts w:ascii="Times New Roman" w:hAnsi="Times New Roman" w:cs="Times New Roman"/>
              </w:rPr>
              <w:br/>
              <w:t>knowledge base document:</w:t>
            </w:r>
            <w:r w:rsidRPr="00CB2EC4">
              <w:rPr>
                <w:rFonts w:ascii="Times New Roman" w:hAnsi="Times New Roman" w:cs="Times New Roman"/>
              </w:rPr>
              <w:br/>
            </w:r>
            <w:r w:rsidRPr="00CB2EC4">
              <w:rPr>
                <w:rFonts w:ascii="Times New Roman" w:hAnsi="Times New Roman" w:cs="Times New Roman"/>
              </w:rPr>
              <w:lastRenderedPageBreak/>
              <w:t>- Postpartum re-examination at 6-8 weeks (cytology + colposcopy + ECC):</w:t>
            </w:r>
            <w:r w:rsidRPr="00CB2EC4">
              <w:rPr>
                <w:rFonts w:ascii="Times New Roman" w:hAnsi="Times New Roman" w:cs="Times New Roman"/>
              </w:rPr>
              <w:br/>
              <w:t xml:space="preserve">  - If no CINⅡ+ is present, transition to routine screening.</w:t>
            </w:r>
            <w:r w:rsidRPr="00CB2EC4">
              <w:rPr>
                <w:rFonts w:ascii="Times New Roman" w:hAnsi="Times New Roman" w:cs="Times New Roman"/>
              </w:rPr>
              <w:br/>
              <w:t xml:space="preserve">  - If CINⅡ+ is detected, perform diagnostic/therapeutic cervical conization.</w:t>
            </w:r>
            <w:r w:rsidRPr="00CB2EC4">
              <w:rPr>
                <w:rFonts w:ascii="Times New Roman" w:hAnsi="Times New Roman" w:cs="Times New Roman"/>
              </w:rPr>
              <w:br/>
              <w:t>- Source: Knowledge base document (Management of Pregnant Patients section)</w:t>
            </w:r>
            <w:r w:rsidRPr="00CB2EC4">
              <w:rPr>
                <w:rFonts w:ascii="Times New Roman" w:hAnsi="Times New Roman" w:cs="Times New Roman"/>
              </w:rPr>
              <w:br/>
            </w:r>
            <w:r w:rsidRPr="00CB2EC4">
              <w:rPr>
                <w:rFonts w:ascii="Times New Roman" w:hAnsi="Times New Roman" w:cs="Times New Roman"/>
              </w:rPr>
              <w:br/>
              <w:t>supplemental web search results:</w:t>
            </w:r>
            <w:r w:rsidRPr="00CB2EC4">
              <w:rPr>
                <w:rFonts w:ascii="Times New Roman" w:hAnsi="Times New Roman" w:cs="Times New Roman"/>
              </w:rPr>
              <w:br/>
              <w:t>- Patients with abnormal postpartum re-examination are managed according to standard protocols; those with normal findings undergo routine screening.</w:t>
            </w:r>
            <w:r w:rsidRPr="00CB2EC4">
              <w:rPr>
                <w:rFonts w:ascii="Times New Roman" w:hAnsi="Times New Roman" w:cs="Times New Roman"/>
              </w:rPr>
              <w:br/>
              <w:t>- Source: Web search content ("HSIL in Pregnant Women" section)</w:t>
            </w:r>
            <w:r w:rsidRPr="00CB2EC4">
              <w:rPr>
                <w:rFonts w:ascii="Times New Roman" w:hAnsi="Times New Roman" w:cs="Times New Roman"/>
              </w:rPr>
              <w:br/>
            </w:r>
            <w:r w:rsidRPr="00CB2EC4">
              <w:rPr>
                <w:rFonts w:ascii="Times New Roman" w:hAnsi="Times New Roman" w:cs="Times New Roman"/>
              </w:rPr>
              <w:br/>
              <w:t>conclusion: Comprehensive re-examination at 6-8 weeks postpartum; determine need for surgery or routine screening based on results.</w:t>
            </w:r>
          </w:p>
        </w:tc>
        <w:tc>
          <w:tcPr>
            <w:tcW w:w="1152" w:type="dxa"/>
            <w:vAlign w:val="center"/>
          </w:tcPr>
          <w:p w14:paraId="3654D9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019D1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983B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5B221A" w14:textId="77777777">
        <w:tc>
          <w:tcPr>
            <w:tcW w:w="2160" w:type="dxa"/>
            <w:vAlign w:val="center"/>
          </w:tcPr>
          <w:p w14:paraId="4109DFC6"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2DA87DF"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histologically confirmed (biopsy) HSIL and no invasive cancer during pregnancy, the following follow-up steps should be taken after delivery:</w:t>
            </w:r>
            <w:r w:rsidRPr="00CB2EC4">
              <w:rPr>
                <w:rFonts w:ascii="Times New Roman" w:hAnsi="Times New Roman" w:cs="Times New Roman"/>
              </w:rPr>
              <w:br/>
            </w:r>
            <w:r w:rsidRPr="00CB2EC4">
              <w:rPr>
                <w:rFonts w:ascii="Times New Roman" w:hAnsi="Times New Roman" w:cs="Times New Roman"/>
              </w:rPr>
              <w:br/>
              <w:t>according to document fragment 1 and fragment 6, a re-examination (cytology + colposcopy + ECC) should be performed 6–8 weeks postpartum:</w:t>
            </w:r>
            <w:r w:rsidRPr="00CB2EC4">
              <w:rPr>
                <w:rFonts w:ascii="Times New Roman" w:hAnsi="Times New Roman" w:cs="Times New Roman"/>
              </w:rPr>
              <w:br/>
              <w:t xml:space="preserve">  - if re-examination shows no CINⅡ+: the patient should subsequently transition to routine screening.</w:t>
            </w:r>
            <w:r w:rsidRPr="00CB2EC4">
              <w:rPr>
                <w:rFonts w:ascii="Times New Roman" w:hAnsi="Times New Roman" w:cs="Times New Roman"/>
              </w:rPr>
              <w:br/>
              <w:t xml:space="preserve">  - if re-examination shows CINⅡ+: a diagnostic/therapeutic cervical conization should be performed, with subsequent management following the previously described protocol (fragment 1: "re-examination 6–8 weeks postpartum... if no CINⅡ+ is </w:t>
            </w:r>
            <w:r w:rsidRPr="00CB2EC4">
              <w:rPr>
                <w:rFonts w:ascii="Times New Roman" w:hAnsi="Times New Roman" w:cs="Times New Roman"/>
              </w:rPr>
              <w:lastRenderedPageBreak/>
              <w:t>found postpartum, the patient should undergo routine screening; if CINⅡ+ is found postpartum → diagnostic/therapeutic cervical conization should be performed").</w:t>
            </w:r>
          </w:p>
        </w:tc>
        <w:tc>
          <w:tcPr>
            <w:tcW w:w="1152" w:type="dxa"/>
            <w:vAlign w:val="center"/>
          </w:tcPr>
          <w:p w14:paraId="049B40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1169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170D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A83690" w14:textId="77777777">
        <w:tc>
          <w:tcPr>
            <w:tcW w:w="2160" w:type="dxa"/>
            <w:vAlign w:val="center"/>
          </w:tcPr>
          <w:p w14:paraId="04381C8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7AA71A1" w14:textId="77777777" w:rsidR="00922249" w:rsidRPr="00CB2EC4" w:rsidRDefault="003011D5">
            <w:pPr>
              <w:rPr>
                <w:rFonts w:ascii="Times New Roman" w:hAnsi="Times New Roman" w:cs="Times New Roman"/>
              </w:rPr>
            </w:pPr>
            <w:r w:rsidRPr="00CB2EC4">
              <w:rPr>
                <w:rFonts w:ascii="Times New Roman" w:hAnsi="Times New Roman" w:cs="Times New Roman"/>
              </w:rPr>
              <w:t>after delivery, the follow-up steps for a pregnant patient with histologically confirmed HSIL (by biopsy) and no invasive cancer during pregnancy are as follows:</w:t>
            </w:r>
            <w:r w:rsidRPr="00CB2EC4">
              <w:rPr>
                <w:rFonts w:ascii="Times New Roman" w:hAnsi="Times New Roman" w:cs="Times New Roman"/>
              </w:rPr>
              <w:br/>
            </w:r>
            <w:r w:rsidRPr="00CB2EC4">
              <w:rPr>
                <w:rFonts w:ascii="Times New Roman" w:hAnsi="Times New Roman" w:cs="Times New Roman"/>
              </w:rPr>
              <w:br/>
              <w:t>- Perform a postpartum follow-up at 6-8 weeks: including cytology, colposcopy, and endocervical curettage (ECC).</w:t>
            </w:r>
            <w:r w:rsidRPr="00CB2EC4">
              <w:rPr>
                <w:rFonts w:ascii="Times New Roman" w:hAnsi="Times New Roman" w:cs="Times New Roman"/>
              </w:rPr>
              <w:br/>
              <w:t>- Management based on follow-up results:</w:t>
            </w:r>
            <w:r w:rsidRPr="00CB2EC4">
              <w:rPr>
                <w:rFonts w:ascii="Times New Roman" w:hAnsi="Times New Roman" w:cs="Times New Roman"/>
              </w:rPr>
              <w:br/>
              <w:t xml:space="preserve">  - If no CINⅡ or higher lesion is found (i.e., regression or no progression), the patient should return to routine cervical cancer screening (e.g., cytology + HPV testing every 3 years).</w:t>
            </w:r>
            <w:r w:rsidRPr="00CB2EC4">
              <w:rPr>
                <w:rFonts w:ascii="Times New Roman" w:hAnsi="Times New Roman" w:cs="Times New Roman"/>
              </w:rPr>
              <w:br/>
              <w:t xml:space="preserve">  - If CINⅡ or higher is detected, perform a diagnostic/therapeutic cervical excision procedure and follow the postoperative surveillance protocol (as described in question 32).</w:t>
            </w:r>
            <w:r w:rsidRPr="00CB2EC4">
              <w:rPr>
                <w:rFonts w:ascii="Times New Roman" w:hAnsi="Times New Roman" w:cs="Times New Roman"/>
              </w:rPr>
              <w:br/>
            </w:r>
            <w:r w:rsidRPr="00CB2EC4">
              <w:rPr>
                <w:rFonts w:ascii="Times New Roman" w:hAnsi="Times New Roman" w:cs="Times New Roman"/>
              </w:rPr>
              <w:br/>
              <w:t>This protocol is explicitly stated in Document 1: "If no invasive cancer is found, evaluation should be deferred until 6-8 weeks postpartum (cytology + colposcopy + ECC)", and is reiterated in Document 6 and Document 11.</w:t>
            </w:r>
          </w:p>
        </w:tc>
        <w:tc>
          <w:tcPr>
            <w:tcW w:w="1152" w:type="dxa"/>
            <w:vAlign w:val="center"/>
          </w:tcPr>
          <w:p w14:paraId="60D615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0033A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F17F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689253" w14:textId="77777777">
        <w:tc>
          <w:tcPr>
            <w:tcW w:w="2160" w:type="dxa"/>
            <w:vAlign w:val="center"/>
          </w:tcPr>
          <w:p w14:paraId="25421705"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379D316" w14:textId="77777777" w:rsidR="00922249" w:rsidRPr="00CB2EC4" w:rsidRDefault="003011D5">
            <w:pPr>
              <w:rPr>
                <w:rFonts w:ascii="Times New Roman" w:hAnsi="Times New Roman" w:cs="Times New Roman"/>
              </w:rPr>
            </w:pPr>
            <w:r w:rsidRPr="00CB2EC4">
              <w:rPr>
                <w:rFonts w:ascii="Times New Roman" w:hAnsi="Times New Roman" w:cs="Times New Roman"/>
              </w:rPr>
              <w:t>after cervical cancer screening, if a pregnant patient has histologically confirmed (biopsy) HSIL and no invasive cancer during pregnancy, the following follow-up steps should be taken after delivery:</w:t>
            </w:r>
            <w:r w:rsidRPr="00CB2EC4">
              <w:rPr>
                <w:rFonts w:ascii="Times New Roman" w:hAnsi="Times New Roman" w:cs="Times New Roman"/>
              </w:rPr>
              <w:br/>
            </w:r>
            <w:r w:rsidRPr="00CB2EC4">
              <w:rPr>
                <w:rFonts w:ascii="Times New Roman" w:hAnsi="Times New Roman" w:cs="Times New Roman"/>
              </w:rPr>
              <w:br/>
              <w:t xml:space="preserve">1. Postpartum re-examination at 6–8 weeks: perform </w:t>
            </w:r>
            <w:r w:rsidRPr="00CB2EC4">
              <w:rPr>
                <w:rFonts w:ascii="Times New Roman" w:hAnsi="Times New Roman" w:cs="Times New Roman"/>
              </w:rPr>
              <w:lastRenderedPageBreak/>
              <w:t>cytology, colposcopy, and endocervical curettage (ECC).</w:t>
            </w:r>
            <w:r w:rsidRPr="00CB2EC4">
              <w:rPr>
                <w:rFonts w:ascii="Times New Roman" w:hAnsi="Times New Roman" w:cs="Times New Roman"/>
              </w:rPr>
              <w:br/>
              <w:t>2. Management based on re-examination results:</w:t>
            </w:r>
            <w:r w:rsidRPr="00CB2EC4">
              <w:rPr>
                <w:rFonts w:ascii="Times New Roman" w:hAnsi="Times New Roman" w:cs="Times New Roman"/>
              </w:rPr>
              <w:br/>
              <w:t xml:space="preserve">   - If no CINⅡ+ lesion is found, transition to routine screening.</w:t>
            </w:r>
            <w:r w:rsidRPr="00CB2EC4">
              <w:rPr>
                <w:rFonts w:ascii="Times New Roman" w:hAnsi="Times New Roman" w:cs="Times New Roman"/>
              </w:rPr>
              <w:br/>
              <w:t xml:space="preserve">   - If CINⅡ+ lesion is detected, perform diagnostic/therapeutic cervical conization, with subsequent management following standard protocols.</w:t>
            </w:r>
            <w:r w:rsidRPr="00CB2EC4">
              <w:rPr>
                <w:rFonts w:ascii="Times New Roman" w:hAnsi="Times New Roman" w:cs="Times New Roman"/>
              </w:rPr>
              <w:br/>
            </w:r>
            <w:r w:rsidRPr="00CB2EC4">
              <w:rPr>
                <w:rFonts w:ascii="Times New Roman" w:hAnsi="Times New Roman" w:cs="Times New Roman"/>
              </w:rPr>
              <w:br/>
              <w:t>- Reference basis: "Re-examination at 6–8 weeks postpartum (cytology + colposcopy + ECC). – If no CINⅡ+ is found postpartum, the patient should undergo routine screening thereafter. – If CINⅡ+ is found postpartum → diagnostic/therapeutic cervical conization should be performed, with subsequent procedure as previously stated" (HyDE similarity 0.749).</w:t>
            </w:r>
          </w:p>
        </w:tc>
        <w:tc>
          <w:tcPr>
            <w:tcW w:w="1152" w:type="dxa"/>
            <w:vAlign w:val="center"/>
          </w:tcPr>
          <w:p w14:paraId="23A3DC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545D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A3A7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822496" w14:textId="77777777">
        <w:tc>
          <w:tcPr>
            <w:tcW w:w="2160" w:type="dxa"/>
            <w:vAlign w:val="center"/>
          </w:tcPr>
          <w:p w14:paraId="1AC25EDC"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DBDD632"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histopathologically confirmed (biopsy) HSIL and no invasive cancer is detected during pregnancy, the following follow-up steps should be performed after delivery:</w:t>
            </w:r>
            <w:r w:rsidRPr="00CB2EC4">
              <w:rPr>
                <w:rFonts w:ascii="Times New Roman" w:hAnsi="Times New Roman" w:cs="Times New Roman"/>
              </w:rPr>
              <w:br/>
            </w:r>
            <w:r w:rsidRPr="00CB2EC4">
              <w:rPr>
                <w:rFonts w:ascii="Times New Roman" w:hAnsi="Times New Roman" w:cs="Times New Roman"/>
              </w:rPr>
              <w:br/>
              <w:t>- Postpartum review timing: Conduct review 6-8 weeks after delivery (sources: Document Fragment 1, Document Fragment 4, Document Fragment 9, Document Fragment 13).</w:t>
            </w:r>
            <w:r w:rsidRPr="00CB2EC4">
              <w:rPr>
                <w:rFonts w:ascii="Times New Roman" w:hAnsi="Times New Roman" w:cs="Times New Roman"/>
              </w:rPr>
              <w:br/>
              <w:t>- Review content: Includes cytology, colposcopy, and endocervical curettage (ECC) to assess lesion status (sources: Document Fragment 1, Document Fragment 4).</w:t>
            </w:r>
            <w:r w:rsidRPr="00CB2EC4">
              <w:rPr>
                <w:rFonts w:ascii="Times New Roman" w:hAnsi="Times New Roman" w:cs="Times New Roman"/>
              </w:rPr>
              <w:br/>
              <w:t>- Management based on review results:</w:t>
            </w:r>
            <w:r w:rsidRPr="00CB2EC4">
              <w:rPr>
                <w:rFonts w:ascii="Times New Roman" w:hAnsi="Times New Roman" w:cs="Times New Roman"/>
              </w:rPr>
              <w:br/>
              <w:t xml:space="preserve">  - If no CINⅡ or higher lesions are found (i.e., no progression or residual disease), the patient should </w:t>
            </w:r>
            <w:r w:rsidRPr="00CB2EC4">
              <w:rPr>
                <w:rFonts w:ascii="Times New Roman" w:hAnsi="Times New Roman" w:cs="Times New Roman"/>
              </w:rPr>
              <w:lastRenderedPageBreak/>
              <w:t>transition to routine cervical cancer screening (e.g., screening every 3 years) (sources: Document Fragment 1, Document Fragment 4).</w:t>
            </w:r>
            <w:r w:rsidRPr="00CB2EC4">
              <w:rPr>
                <w:rFonts w:ascii="Times New Roman" w:hAnsi="Times New Roman" w:cs="Times New Roman"/>
              </w:rPr>
              <w:br/>
              <w:t xml:space="preserve">  - If CINⅡ or higher lesions are detected, management should be according to the corresponding grade (e.g., perform diagnostic/therapeutic cervical conization) (source: Document Fragment 1).</w:t>
            </w:r>
            <w:r w:rsidRPr="00CB2EC4">
              <w:rPr>
                <w:rFonts w:ascii="Times New Roman" w:hAnsi="Times New Roman" w:cs="Times New Roman"/>
              </w:rPr>
              <w:br/>
            </w:r>
            <w:r w:rsidRPr="00CB2EC4">
              <w:rPr>
                <w:rFonts w:ascii="Times New Roman" w:hAnsi="Times New Roman" w:cs="Times New Roman"/>
              </w:rPr>
              <w:br/>
              <w:t>Key evidence: Document Fragment 1 explicitly states "if no invasive cancer is found, review should be deferred until 6-8 weeks postpartum (cytology + colposcopy + ECC)." Document Fragment 4 and Document Fragment 13 also reiterate this postpartum management protocol.</w:t>
            </w:r>
          </w:p>
        </w:tc>
        <w:tc>
          <w:tcPr>
            <w:tcW w:w="1152" w:type="dxa"/>
            <w:vAlign w:val="center"/>
          </w:tcPr>
          <w:p w14:paraId="66CEFF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E2ABC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A00F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3BFED2" w14:textId="77777777">
        <w:tc>
          <w:tcPr>
            <w:tcW w:w="2160" w:type="dxa"/>
            <w:vAlign w:val="center"/>
          </w:tcPr>
          <w:p w14:paraId="6EC2727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4AD653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for a pregnant patient with histopathologically confirmed (biopsy) HSIL and no invasive cancer during pregnancy, the follow-up steps after delivery are as follows:  </w:t>
            </w:r>
            <w:r w:rsidRPr="00CB2EC4">
              <w:rPr>
                <w:rFonts w:ascii="Times New Roman" w:hAnsi="Times New Roman" w:cs="Times New Roman"/>
              </w:rPr>
              <w:br/>
              <w:t xml:space="preserve">- Perform a postpartum review at 6–8 weeks after delivery, including cytology, colposcopy, and endocervical curettage (ECC).  </w:t>
            </w:r>
            <w:r w:rsidRPr="00CB2EC4">
              <w:rPr>
                <w:rFonts w:ascii="Times New Roman" w:hAnsi="Times New Roman" w:cs="Times New Roman"/>
              </w:rPr>
              <w:br/>
              <w:t xml:space="preserve">- If the postpartum review shows no CIN II+ lesion: the patient should transition to routine cervical cancer screening.  </w:t>
            </w:r>
            <w:r w:rsidRPr="00CB2EC4">
              <w:rPr>
                <w:rFonts w:ascii="Times New Roman" w:hAnsi="Times New Roman" w:cs="Times New Roman"/>
              </w:rPr>
              <w:br/>
              <w:t xml:space="preserve">- If the postpartum review shows a CIN II+ lesion: the patient should undergo diagnostic/therapeutic cervical conization, with subsequent follow-up managed according to the postoperative protocol described in Question 32.  </w:t>
            </w:r>
            <w:r w:rsidRPr="00CB2EC4">
              <w:rPr>
                <w:rFonts w:ascii="Times New Roman" w:hAnsi="Times New Roman" w:cs="Times New Roman"/>
              </w:rPr>
              <w:br/>
              <w:t xml:space="preserve">(source: as explicitly stated in the document fragment, e.g., "If no invasive cancer is found, the review should be postponed until 6–8 weeks postpartum (cytology + colposcopy + ECC). - If no CIN II+ is detected during postpartum review, the patient should proceed with </w:t>
            </w:r>
            <w:r w:rsidRPr="00CB2EC4">
              <w:rPr>
                <w:rFonts w:ascii="Times New Roman" w:hAnsi="Times New Roman" w:cs="Times New Roman"/>
              </w:rPr>
              <w:lastRenderedPageBreak/>
              <w:t>routine screening. - If CIN II+ is found during postpartum review → diagnostic/therapeutic cervical conization should be performed, with subsequent follow-up as previously described.")</w:t>
            </w:r>
          </w:p>
        </w:tc>
        <w:tc>
          <w:tcPr>
            <w:tcW w:w="1152" w:type="dxa"/>
            <w:vAlign w:val="center"/>
          </w:tcPr>
          <w:p w14:paraId="7B11CF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558AC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D64C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3520F5" w14:textId="77777777">
        <w:tc>
          <w:tcPr>
            <w:tcW w:w="2160" w:type="dxa"/>
            <w:vAlign w:val="center"/>
          </w:tcPr>
          <w:p w14:paraId="3DABAE3B"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E47F581" w14:textId="77777777" w:rsidR="00922249" w:rsidRPr="00CB2EC4" w:rsidRDefault="003011D5">
            <w:pPr>
              <w:rPr>
                <w:rFonts w:ascii="Times New Roman" w:hAnsi="Times New Roman" w:cs="Times New Roman"/>
              </w:rPr>
            </w:pPr>
            <w:r w:rsidRPr="00CB2EC4">
              <w:rPr>
                <w:rFonts w:ascii="Times New Roman" w:hAnsi="Times New Roman" w:cs="Times New Roman"/>
              </w:rPr>
              <w:t>after confirmation of HSIL by histopathology (biopsy) in a pregnant patient with no invasive cancer, the following postpartum follow-up steps should be taken:</w:t>
            </w:r>
            <w:r w:rsidRPr="00CB2EC4">
              <w:rPr>
                <w:rFonts w:ascii="Times New Roman" w:hAnsi="Times New Roman" w:cs="Times New Roman"/>
              </w:rPr>
              <w:br/>
            </w:r>
            <w:r w:rsidRPr="00CB2EC4">
              <w:rPr>
                <w:rFonts w:ascii="Times New Roman" w:hAnsi="Times New Roman" w:cs="Times New Roman"/>
              </w:rPr>
              <w:br/>
              <w:t xml:space="preserve">1.  Schedule a follow-up visit at 6–8 weeks postpartum.  </w:t>
            </w:r>
            <w:r w:rsidRPr="00CB2EC4">
              <w:rPr>
                <w:rFonts w:ascii="Times New Roman" w:hAnsi="Times New Roman" w:cs="Times New Roman"/>
              </w:rPr>
              <w:br/>
              <w:t xml:space="preserve">2.  Perform cytology, colposcopy, and endocervical curettage (ECC).  </w:t>
            </w:r>
            <w:r w:rsidRPr="00CB2EC4">
              <w:rPr>
                <w:rFonts w:ascii="Times New Roman" w:hAnsi="Times New Roman" w:cs="Times New Roman"/>
              </w:rPr>
              <w:br/>
              <w:t xml:space="preserve">3.  If no CIN II+ is found, transition to routine screening.  </w:t>
            </w:r>
            <w:r w:rsidRPr="00CB2EC4">
              <w:rPr>
                <w:rFonts w:ascii="Times New Roman" w:hAnsi="Times New Roman" w:cs="Times New Roman"/>
              </w:rPr>
              <w:br/>
              <w:t xml:space="preserve">    If CIN II+ is detected, proceed to diagnostic/therapeutic cervical conization.</w:t>
            </w:r>
          </w:p>
        </w:tc>
        <w:tc>
          <w:tcPr>
            <w:tcW w:w="1152" w:type="dxa"/>
            <w:vAlign w:val="center"/>
          </w:tcPr>
          <w:p w14:paraId="29A261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8468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98F6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5787A9" w14:textId="77777777">
        <w:tc>
          <w:tcPr>
            <w:tcW w:w="2160" w:type="dxa"/>
            <w:vAlign w:val="center"/>
          </w:tcPr>
          <w:p w14:paraId="473E210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5861B6E"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histologically confirmed (biopsy) HSIL and no invasive cancer during pregnancy, the following postpartum follow-up steps should be performed:</w:t>
            </w:r>
            <w:r w:rsidRPr="00CB2EC4">
              <w:rPr>
                <w:rFonts w:ascii="Times New Roman" w:hAnsi="Times New Roman" w:cs="Times New Roman"/>
              </w:rPr>
              <w:br/>
            </w:r>
            <w:r w:rsidRPr="00CB2EC4">
              <w:rPr>
                <w:rFonts w:ascii="Times New Roman" w:hAnsi="Times New Roman" w:cs="Times New Roman"/>
              </w:rPr>
              <w:br/>
              <w:t>- At 6–8 weeks postpartum: conduct a follow-up examination including cytology, colposcopy, and endocervical curettage (ECC).</w:t>
            </w:r>
            <w:r w:rsidRPr="00CB2EC4">
              <w:rPr>
                <w:rFonts w:ascii="Times New Roman" w:hAnsi="Times New Roman" w:cs="Times New Roman"/>
              </w:rPr>
              <w:br/>
              <w:t>- Management based on follow-up results:</w:t>
            </w:r>
            <w:r w:rsidRPr="00CB2EC4">
              <w:rPr>
                <w:rFonts w:ascii="Times New Roman" w:hAnsi="Times New Roman" w:cs="Times New Roman"/>
              </w:rPr>
              <w:br/>
              <w:t xml:space="preserve">  - If the follow-up shows no CIN II or higher lesion (i.e., no abnormality), the patient should subsequently transition to routine cervical cancer screening (e.g., cytology or HPV testing every 3–5 years).</w:t>
            </w:r>
            <w:r w:rsidRPr="00CB2EC4">
              <w:rPr>
                <w:rFonts w:ascii="Times New Roman" w:hAnsi="Times New Roman" w:cs="Times New Roman"/>
              </w:rPr>
              <w:br/>
              <w:t xml:space="preserve">  - If the follow-up reveals CIN II or higher lesion (e.g., persistent HSIL), management should be according to the corresponding lesion grade (e.g., perform diagnostic/therapeutic cervical excision).</w:t>
            </w:r>
            <w:r w:rsidRPr="00CB2EC4">
              <w:rPr>
                <w:rFonts w:ascii="Times New Roman" w:hAnsi="Times New Roman" w:cs="Times New Roman"/>
              </w:rPr>
              <w:br/>
            </w:r>
            <w:r w:rsidRPr="00CB2EC4">
              <w:rPr>
                <w:rFonts w:ascii="Times New Roman" w:hAnsi="Times New Roman" w:cs="Times New Roman"/>
              </w:rPr>
              <w:lastRenderedPageBreak/>
              <w:t>- Special note: Lesions in pregnant patients with HSIL may regress spontaneously postpartum; therefore, postpartum follow-up is critical. If no progression was observed during pregnancy monitoring, postpartum follow-up is the standard procedure.</w:t>
            </w:r>
            <w:r w:rsidRPr="00CB2EC4">
              <w:rPr>
                <w:rFonts w:ascii="Times New Roman" w:hAnsi="Times New Roman" w:cs="Times New Roman"/>
              </w:rPr>
              <w:br/>
            </w:r>
            <w:r w:rsidRPr="00CB2EC4">
              <w:rPr>
                <w:rFonts w:ascii="Times New Roman" w:hAnsi="Times New Roman" w:cs="Times New Roman"/>
              </w:rPr>
              <w:br/>
              <w:t>this information is based on the description of postpartum management in the document (e.g., “perform follow-up at 6–8 weeks postpartum. If abnormalities are found on follow-up, manage according to the abnormal processing protocol. If no CIN is found on follow-up, the patient should transition to routine screening.”).</w:t>
            </w:r>
          </w:p>
        </w:tc>
        <w:tc>
          <w:tcPr>
            <w:tcW w:w="1152" w:type="dxa"/>
            <w:vAlign w:val="center"/>
          </w:tcPr>
          <w:p w14:paraId="74D717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AAED5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2F94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44CE5A3" w14:textId="77777777">
        <w:tc>
          <w:tcPr>
            <w:tcW w:w="2160" w:type="dxa"/>
            <w:vAlign w:val="center"/>
          </w:tcPr>
          <w:p w14:paraId="24FC3683"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AC40A71"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histologically confirmed (biopsy) HSIL and no invasive cancer during pregnancy, the following follow-up steps should be performed after delivery:</w:t>
            </w:r>
            <w:r w:rsidRPr="00CB2EC4">
              <w:rPr>
                <w:rFonts w:ascii="Times New Roman" w:hAnsi="Times New Roman" w:cs="Times New Roman"/>
              </w:rPr>
              <w:br/>
            </w:r>
            <w:r w:rsidRPr="00CB2EC4">
              <w:rPr>
                <w:rFonts w:ascii="Times New Roman" w:hAnsi="Times New Roman" w:cs="Times New Roman"/>
              </w:rPr>
              <w:br/>
              <w:t>- Postpartum review at 6-8 weeks: including cytology, colposcopic assessment, and endocervical curettage (ECC) (Document fragment 3: relevance 0.9232; fragment 4: relevance 0.9173; fragment 6: relevance 0.8574).</w:t>
            </w:r>
            <w:r w:rsidRPr="00CB2EC4">
              <w:rPr>
                <w:rFonts w:ascii="Times New Roman" w:hAnsi="Times New Roman" w:cs="Times New Roman"/>
              </w:rPr>
              <w:br/>
              <w:t>- Management based on review results:</w:t>
            </w:r>
            <w:r w:rsidRPr="00CB2EC4">
              <w:rPr>
                <w:rFonts w:ascii="Times New Roman" w:hAnsi="Times New Roman" w:cs="Times New Roman"/>
              </w:rPr>
              <w:br/>
              <w:t xml:space="preserve">  - If the review shows no CIN II or higher lesions (i.e., no abnormality), transition to routine cervical cancer screening (e.g., cytology or HPV testing every 3-5 years) (Document fragment 4: relevance 0.9173).</w:t>
            </w:r>
            <w:r w:rsidRPr="00CB2EC4">
              <w:rPr>
                <w:rFonts w:ascii="Times New Roman" w:hAnsi="Times New Roman" w:cs="Times New Roman"/>
              </w:rPr>
              <w:br/>
              <w:t xml:space="preserve">  - If the review identifies CIN II or higher lesions, manage according to the corresponding protocol, such as performing a diagnostic/therapeutic cervical excision (Document fragment 4: relevance 0.9173).</w:t>
            </w:r>
            <w:r w:rsidRPr="00CB2EC4">
              <w:rPr>
                <w:rFonts w:ascii="Times New Roman" w:hAnsi="Times New Roman" w:cs="Times New Roman"/>
              </w:rPr>
              <w:br/>
              <w:t xml:space="preserve">- Rationale: Postpartum review aims to assess the true lesion status after regression of physiological changes </w:t>
            </w:r>
            <w:r w:rsidRPr="00CB2EC4">
              <w:rPr>
                <w:rFonts w:ascii="Times New Roman" w:hAnsi="Times New Roman" w:cs="Times New Roman"/>
              </w:rPr>
              <w:lastRenderedPageBreak/>
              <w:t>during pregnancy, to avoid missed diagnosis.</w:t>
            </w:r>
          </w:p>
        </w:tc>
        <w:tc>
          <w:tcPr>
            <w:tcW w:w="1152" w:type="dxa"/>
            <w:vAlign w:val="center"/>
          </w:tcPr>
          <w:p w14:paraId="4DD17C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8A200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F0C1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5B12889" w14:textId="77777777">
        <w:tc>
          <w:tcPr>
            <w:tcW w:w="2160" w:type="dxa"/>
            <w:vAlign w:val="center"/>
          </w:tcPr>
          <w:p w14:paraId="351262C6"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D64277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cervical cancer screening, for a pregnant patient with histologically confirmed (biopsy) HSIL and no invasive cancer during pregnancy, the follow-up steps after delivery are as follows:  </w:t>
            </w:r>
            <w:r w:rsidRPr="00CB2EC4">
              <w:rPr>
                <w:rFonts w:ascii="Times New Roman" w:hAnsi="Times New Roman" w:cs="Times New Roman"/>
              </w:rPr>
              <w:br/>
              <w:t xml:space="preserve">- Perform a postpartum review at 6–8 weeks after delivery, including cytology, colposcopy, and endocervical curettage (ECC).  </w:t>
            </w:r>
            <w:r w:rsidRPr="00CB2EC4">
              <w:rPr>
                <w:rFonts w:ascii="Times New Roman" w:hAnsi="Times New Roman" w:cs="Times New Roman"/>
              </w:rPr>
              <w:br/>
              <w:t xml:space="preserve">- If the postpartum review shows no CIN II or higher lesions: the patient should undergo routine cervical cancer screening thereafter.  </w:t>
            </w:r>
            <w:r w:rsidRPr="00CB2EC4">
              <w:rPr>
                <w:rFonts w:ascii="Times New Roman" w:hAnsi="Times New Roman" w:cs="Times New Roman"/>
              </w:rPr>
              <w:br/>
              <w:t xml:space="preserve">- If the postpartum review identifies CIN II or higher lesions: immediate diagnostic/therapeutic cervical excision should be performed, with follow-up procedures as previously described (refer to the answer for question 32).  </w:t>
            </w:r>
            <w:r w:rsidRPr="00CB2EC4">
              <w:rPr>
                <w:rFonts w:ascii="Times New Roman" w:hAnsi="Times New Roman" w:cs="Times New Roman"/>
              </w:rPr>
              <w:br/>
              <w:t>This information is based on relevant segment 1 (section on pregnant patients in special populations) and relevant segment 3 (management principles for histologically confirmed HSIL).</w:t>
            </w:r>
          </w:p>
        </w:tc>
        <w:tc>
          <w:tcPr>
            <w:tcW w:w="1152" w:type="dxa"/>
            <w:vAlign w:val="center"/>
          </w:tcPr>
          <w:p w14:paraId="264BAC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358A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0707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7D2145" w14:textId="77777777">
        <w:tc>
          <w:tcPr>
            <w:tcW w:w="2160" w:type="dxa"/>
            <w:vAlign w:val="center"/>
          </w:tcPr>
          <w:p w14:paraId="586CF5BF"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71C8264"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screening, if a pregnant patient has histologically confirmed (biopsy) HSIL and no invasive cancer during pregnancy, the follow-up steps after delivery should include:</w:t>
            </w:r>
            <w:r w:rsidRPr="00CB2EC4">
              <w:rPr>
                <w:rFonts w:ascii="Times New Roman" w:hAnsi="Times New Roman" w:cs="Times New Roman"/>
              </w:rPr>
              <w:br/>
            </w:r>
            <w:r w:rsidRPr="00CB2EC4">
              <w:rPr>
                <w:rFonts w:ascii="Times New Roman" w:hAnsi="Times New Roman" w:cs="Times New Roman"/>
              </w:rPr>
              <w:br/>
              <w:t>- Postpartum evaluation: Perform colposcopy and directed biopsy 6–8 weeks after delivery to reassess the lesion status (as pregnancy-related changes may affect diagnosis).</w:t>
            </w:r>
            <w:r w:rsidRPr="00CB2EC4">
              <w:rPr>
                <w:rFonts w:ascii="Times New Roman" w:hAnsi="Times New Roman" w:cs="Times New Roman"/>
              </w:rPr>
              <w:br/>
              <w:t xml:space="preserve">- Subsequent management: If biopsy confirms persistent HSIL, recommend cervical conization (e.g., LEEP) after delivery for definitive diagnosis and treatment; if the lesion regresses, transition to routine </w:t>
            </w:r>
            <w:r w:rsidRPr="00CB2EC4">
              <w:rPr>
                <w:rFonts w:ascii="Times New Roman" w:hAnsi="Times New Roman" w:cs="Times New Roman"/>
              </w:rPr>
              <w:lastRenderedPageBreak/>
              <w:t>screening (e.g., HPV testing or cytology).</w:t>
            </w:r>
            <w:r w:rsidRPr="00CB2EC4">
              <w:rPr>
                <w:rFonts w:ascii="Times New Roman" w:hAnsi="Times New Roman" w:cs="Times New Roman"/>
              </w:rPr>
              <w:br/>
              <w:t>- Follow-up frequency: After the initial postpartum assessment, develop an individualized plan based on results, typically screening every 6–12 months until the lesion stabilizes or regresses.</w:t>
            </w:r>
          </w:p>
        </w:tc>
        <w:tc>
          <w:tcPr>
            <w:tcW w:w="1152" w:type="dxa"/>
            <w:vAlign w:val="center"/>
          </w:tcPr>
          <w:p w14:paraId="4BC326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8AE6C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8514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E1E8C0" w14:textId="77777777">
        <w:tc>
          <w:tcPr>
            <w:tcW w:w="10656" w:type="dxa"/>
            <w:gridSpan w:val="5"/>
            <w:tcBorders>
              <w:bottom w:val="single" w:sz="6" w:space="0" w:color="auto"/>
            </w:tcBorders>
            <w:vAlign w:val="center"/>
          </w:tcPr>
          <w:p w14:paraId="5D72318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34: What are the strategies for HPV vaccine use? What are the recommended vaccination programs for different age groups?</w:t>
            </w:r>
          </w:p>
        </w:tc>
      </w:tr>
      <w:tr w:rsidR="00922249" w:rsidRPr="00CB2EC4" w14:paraId="6B5134F8" w14:textId="77777777">
        <w:tc>
          <w:tcPr>
            <w:tcW w:w="2160" w:type="dxa"/>
            <w:vAlign w:val="center"/>
          </w:tcPr>
          <w:p w14:paraId="75AABAC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1CC6AD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HPV vaccine use strategy:  </w:t>
            </w:r>
            <w:r w:rsidRPr="00CB2EC4">
              <w:rPr>
                <w:rFonts w:ascii="Times New Roman" w:hAnsi="Times New Roman" w:cs="Times New Roman"/>
              </w:rPr>
              <w:br/>
              <w:t xml:space="preserve">  - The vaccine is primarily used for the primary prevention of cervical cancer, targeting HPV infection (mainly transmitted through sexual contact).  </w:t>
            </w:r>
            <w:r w:rsidRPr="00CB2EC4">
              <w:rPr>
                <w:rFonts w:ascii="Times New Roman" w:hAnsi="Times New Roman" w:cs="Times New Roman"/>
              </w:rPr>
              <w:br/>
              <w:t xml:space="preserve">  - Priority is given to females before the onset of sexual activity, especially girls aged 10–14; boys may also be vaccinated.  </w:t>
            </w:r>
            <w:r w:rsidRPr="00CB2EC4">
              <w:rPr>
                <w:rFonts w:ascii="Times New Roman" w:hAnsi="Times New Roman" w:cs="Times New Roman"/>
              </w:rPr>
              <w:br/>
              <w:t xml:space="preserve">  - Vaccine types include bivalent (targeting HPV16 and 18), quadrivalent (targeting HPV16, 18, 6, and 11), and nonavalent (targeting HPV6, 11, 16, 18, 31, 33, 45, 52, and 58), all composed of virus-like particles (VLPs) and non-infectious.  </w:t>
            </w:r>
            <w:r w:rsidRPr="00CB2EC4">
              <w:rPr>
                <w:rFonts w:ascii="Times New Roman" w:hAnsi="Times New Roman" w:cs="Times New Roman"/>
              </w:rPr>
              <w:br/>
              <w:t xml:space="preserve">  - WHO data indicate that HPV vaccines have a good safety profile.  </w:t>
            </w:r>
            <w:r w:rsidRPr="00CB2EC4">
              <w:rPr>
                <w:rFonts w:ascii="Times New Roman" w:hAnsi="Times New Roman" w:cs="Times New Roman"/>
              </w:rPr>
              <w:br/>
              <w:t xml:space="preserve">- Recommended vaccination schedules by age group:  </w:t>
            </w:r>
            <w:r w:rsidRPr="00CB2EC4">
              <w:rPr>
                <w:rFonts w:ascii="Times New Roman" w:hAnsi="Times New Roman" w:cs="Times New Roman"/>
              </w:rPr>
              <w:br/>
              <w:t xml:space="preserve">  - Girls and boys aged 9–14: A 2-dose regimen is recommended (0.5 mL, administered at month 0 and month 5–13). If the second dose is given within 5 months of the first dose, a third dose is required.  </w:t>
            </w:r>
            <w:r w:rsidRPr="00CB2EC4">
              <w:rPr>
                <w:rFonts w:ascii="Times New Roman" w:hAnsi="Times New Roman" w:cs="Times New Roman"/>
              </w:rPr>
              <w:br/>
              <w:t xml:space="preserve">  - Individuals aged 15 years and older and immunocompromised persons (regardless of age): A 3-dose regimen is recommended (0.5 mL, administered at months 0, 1, and 6).  </w:t>
            </w:r>
            <w:r w:rsidRPr="00CB2EC4">
              <w:rPr>
                <w:rFonts w:ascii="Times New Roman" w:hAnsi="Times New Roman" w:cs="Times New Roman"/>
              </w:rPr>
              <w:br/>
              <w:t xml:space="preserve">Summary: The strategy is preventive vaccination; the age-group-specific schedules are based on immune response: 2 doses for ages 9–14, 3 doses for ages 15 </w:t>
            </w:r>
            <w:r w:rsidRPr="00CB2EC4">
              <w:rPr>
                <w:rFonts w:ascii="Times New Roman" w:hAnsi="Times New Roman" w:cs="Times New Roman"/>
              </w:rPr>
              <w:lastRenderedPageBreak/>
              <w:t>and above.</w:t>
            </w:r>
          </w:p>
        </w:tc>
        <w:tc>
          <w:tcPr>
            <w:tcW w:w="1152" w:type="dxa"/>
            <w:vAlign w:val="center"/>
          </w:tcPr>
          <w:p w14:paraId="0A2C8E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5E0C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0DBE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2B7607" w14:textId="77777777">
        <w:tc>
          <w:tcPr>
            <w:tcW w:w="2160" w:type="dxa"/>
            <w:vAlign w:val="center"/>
          </w:tcPr>
          <w:p w14:paraId="256A087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FD31571" w14:textId="77777777" w:rsidR="00922249" w:rsidRPr="00CB2EC4" w:rsidRDefault="003011D5">
            <w:pPr>
              <w:rPr>
                <w:rFonts w:ascii="Times New Roman" w:hAnsi="Times New Roman" w:cs="Times New Roman"/>
              </w:rPr>
            </w:pPr>
            <w:r w:rsidRPr="00CB2EC4">
              <w:rPr>
                <w:rFonts w:ascii="Times New Roman" w:hAnsi="Times New Roman" w:cs="Times New Roman"/>
              </w:rPr>
              <w:t>what is the strategy for using the HPV vaccine? what are the recommended vaccination schedules for different age groups?</w:t>
            </w:r>
            <w:r w:rsidRPr="00CB2EC4">
              <w:rPr>
                <w:rFonts w:ascii="Times New Roman" w:hAnsi="Times New Roman" w:cs="Times New Roman"/>
              </w:rPr>
              <w:br/>
            </w:r>
            <w:r w:rsidRPr="00CB2EC4">
              <w:rPr>
                <w:rFonts w:ascii="Times New Roman" w:hAnsi="Times New Roman" w:cs="Times New Roman"/>
              </w:rPr>
              <w:br/>
              <w:t>according to document segment 1 (block theme: primary prevention of cervical cancer) and segment 2 (block theme: HPV vaccination and cervical cancer screening):</w:t>
            </w:r>
            <w:r w:rsidRPr="00CB2EC4">
              <w:rPr>
                <w:rFonts w:ascii="Times New Roman" w:hAnsi="Times New Roman" w:cs="Times New Roman"/>
              </w:rPr>
              <w:br/>
              <w:t>- vaccine use strategy: the HPV vaccine serves as a primary prevention measure, with a focus on females before the onset of sexual activity, especially girls aged 10–14. the goal is to prevent HPV infection and related precancerous lesions and cancers. currently, there are three vaccines: bivalent (targeting HPV16/18), quadrivalent (targeting HPV6/11/16/18), and nonavalent (targeting HPV6/11/16/18/31/33/45/52/58), all composed of virus-like particles and non-infectious.</w:t>
            </w:r>
            <w:r w:rsidRPr="00CB2EC4">
              <w:rPr>
                <w:rFonts w:ascii="Times New Roman" w:hAnsi="Times New Roman" w:cs="Times New Roman"/>
              </w:rPr>
              <w:br/>
              <w:t>- recommended schedules by age group:</w:t>
            </w:r>
            <w:r w:rsidRPr="00CB2EC4">
              <w:rPr>
                <w:rFonts w:ascii="Times New Roman" w:hAnsi="Times New Roman" w:cs="Times New Roman"/>
              </w:rPr>
              <w:br/>
              <w:t xml:space="preserve">  - 9–14 years old (including girls and boys): a 2-dose schedule is recommended, with doses at 0 and 5–13 months. if the second dose is administered within 5 months after the first dose, a third dose is recommended.</w:t>
            </w:r>
            <w:r w:rsidRPr="00CB2EC4">
              <w:rPr>
                <w:rFonts w:ascii="Times New Roman" w:hAnsi="Times New Roman" w:cs="Times New Roman"/>
              </w:rPr>
              <w:br/>
              <w:t xml:space="preserve">  - 15 years and older and immunocompromised individuals (regardless of age): a 3-dose schedule is recommended, with doses at 0, 1, and 6 months.</w:t>
            </w:r>
            <w:r w:rsidRPr="00CB2EC4">
              <w:rPr>
                <w:rFonts w:ascii="Times New Roman" w:hAnsi="Times New Roman" w:cs="Times New Roman"/>
              </w:rPr>
              <w:br/>
              <w:t>- evidence: document segment 1 states: "for girls and boys aged 9~14, a 2-dose schedule (0 and 5~13 months) is recommended. if the second dose is given within 5 months after the first dose, a third dose is advised. for individuals aged 15 and above and immunocompromised persons, regardless of age, a 3-</w:t>
            </w:r>
            <w:r w:rsidRPr="00CB2EC4">
              <w:rPr>
                <w:rFonts w:ascii="Times New Roman" w:hAnsi="Times New Roman" w:cs="Times New Roman"/>
              </w:rPr>
              <w:lastRenderedPageBreak/>
              <w:t>dose schedule (0.5mL, 0, 1, 6 months) is recommended."</w:t>
            </w:r>
          </w:p>
        </w:tc>
        <w:tc>
          <w:tcPr>
            <w:tcW w:w="1152" w:type="dxa"/>
            <w:vAlign w:val="center"/>
          </w:tcPr>
          <w:p w14:paraId="0FEA7E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214DD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7540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85BA77" w14:textId="77777777">
        <w:tc>
          <w:tcPr>
            <w:tcW w:w="2160" w:type="dxa"/>
            <w:vAlign w:val="center"/>
          </w:tcPr>
          <w:p w14:paraId="445BE48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45ADDCC" w14:textId="77777777" w:rsidR="00922249" w:rsidRPr="00CB2EC4" w:rsidRDefault="003011D5">
            <w:pPr>
              <w:rPr>
                <w:rFonts w:ascii="Times New Roman" w:hAnsi="Times New Roman" w:cs="Times New Roman"/>
              </w:rPr>
            </w:pPr>
            <w:r w:rsidRPr="00CB2EC4">
              <w:rPr>
                <w:rFonts w:ascii="Times New Roman" w:hAnsi="Times New Roman" w:cs="Times New Roman"/>
              </w:rPr>
              <w:t>HPV vaccine use strategy is as follows:</w:t>
            </w:r>
            <w:r w:rsidRPr="00CB2EC4">
              <w:rPr>
                <w:rFonts w:ascii="Times New Roman" w:hAnsi="Times New Roman" w:cs="Times New Roman"/>
              </w:rPr>
              <w:br/>
            </w:r>
            <w:r w:rsidRPr="00CB2EC4">
              <w:rPr>
                <w:rFonts w:ascii="Times New Roman" w:hAnsi="Times New Roman" w:cs="Times New Roman"/>
              </w:rPr>
              <w:br/>
              <w:t>- **Overall strategy**: The HPV vaccination schedule is adjusted based on age and immune status to prevent HPV infection and related diseases (Fragment 7).</w:t>
            </w:r>
            <w:r w:rsidRPr="00CB2EC4">
              <w:rPr>
                <w:rFonts w:ascii="Times New Roman" w:hAnsi="Times New Roman" w:cs="Times New Roman"/>
              </w:rPr>
              <w:br/>
            </w:r>
            <w:r w:rsidRPr="00CB2EC4">
              <w:rPr>
                <w:rFonts w:ascii="Times New Roman" w:hAnsi="Times New Roman" w:cs="Times New Roman"/>
              </w:rPr>
              <w:br/>
              <w:t>- **Vaccination schedule by age group**:</w:t>
            </w:r>
            <w:r w:rsidRPr="00CB2EC4">
              <w:rPr>
                <w:rFonts w:ascii="Times New Roman" w:hAnsi="Times New Roman" w:cs="Times New Roman"/>
              </w:rPr>
              <w:br/>
              <w:t xml:space="preserve">  - **9–14 years (girls and boys)**: A 2-dose regimen is recommended, with each dose being 0.5 mL. The injection time points are month 0 and month 5–13. If the second dose is administered within 5 months after the first dose, a third dose is recommended (Fragment 7).</w:t>
            </w:r>
            <w:r w:rsidRPr="00CB2EC4">
              <w:rPr>
                <w:rFonts w:ascii="Times New Roman" w:hAnsi="Times New Roman" w:cs="Times New Roman"/>
              </w:rPr>
              <w:br/>
              <w:t xml:space="preserve">  - **15 years and older and immunocompromised individuals (regardless of age)**: A 3-dose regimen is recommended, with each dose being 0.5 mL. The injection time points are month 0, month 1, and month 6 (Fragment 7).</w:t>
            </w:r>
            <w:r w:rsidRPr="00CB2EC4">
              <w:rPr>
                <w:rFonts w:ascii="Times New Roman" w:hAnsi="Times New Roman" w:cs="Times New Roman"/>
              </w:rPr>
              <w:br/>
            </w:r>
            <w:r w:rsidRPr="00CB2EC4">
              <w:rPr>
                <w:rFonts w:ascii="Times New Roman" w:hAnsi="Times New Roman" w:cs="Times New Roman"/>
              </w:rPr>
              <w:br/>
              <w:t>- **Basis**: Fragment 7 explicitly states, "For girls and boys aged 9–14, a 2-dose schedule is recommended... For individuals aged 15 years and older and those who are immunocompromised, regardless of age, a 3-dose schedule is recommended."</w:t>
            </w:r>
            <w:r w:rsidRPr="00CB2EC4">
              <w:rPr>
                <w:rFonts w:ascii="Times New Roman" w:hAnsi="Times New Roman" w:cs="Times New Roman"/>
              </w:rPr>
              <w:br/>
            </w:r>
            <w:r w:rsidRPr="00CB2EC4">
              <w:rPr>
                <w:rFonts w:ascii="Times New Roman" w:hAnsi="Times New Roman" w:cs="Times New Roman"/>
              </w:rPr>
              <w:br/>
              <w:t>Therefore, the HPV vaccine strategy is: use 2 doses for ages 9–14 (with an interval of 5–13 months), and use 3 doses for ages 15 and above or immunocompromised individuals (with intervals at 0, 1, and 6 months); if the second dose is given too early (&lt;5 months), a third dose is required.</w:t>
            </w:r>
          </w:p>
        </w:tc>
        <w:tc>
          <w:tcPr>
            <w:tcW w:w="1152" w:type="dxa"/>
            <w:vAlign w:val="center"/>
          </w:tcPr>
          <w:p w14:paraId="7CFB8A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90D08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0BFA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D1F76F" w14:textId="77777777">
        <w:tc>
          <w:tcPr>
            <w:tcW w:w="2160" w:type="dxa"/>
            <w:vAlign w:val="center"/>
          </w:tcPr>
          <w:p w14:paraId="374F41F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76A29FA8" w14:textId="77777777" w:rsidR="00922249" w:rsidRPr="00CB2EC4" w:rsidRDefault="003011D5">
            <w:pPr>
              <w:rPr>
                <w:rFonts w:ascii="Times New Roman" w:hAnsi="Times New Roman" w:cs="Times New Roman"/>
              </w:rPr>
            </w:pPr>
            <w:r w:rsidRPr="00CB2EC4">
              <w:rPr>
                <w:rFonts w:ascii="Times New Roman" w:hAnsi="Times New Roman" w:cs="Times New Roman"/>
              </w:rPr>
              <w:t>HPV Vaccination Strategy and Age Group Schedules</w:t>
            </w:r>
            <w:r w:rsidRPr="00CB2EC4">
              <w:rPr>
                <w:rFonts w:ascii="Times New Roman" w:hAnsi="Times New Roman" w:cs="Times New Roman"/>
              </w:rPr>
              <w:br/>
            </w:r>
            <w:r w:rsidRPr="00CB2EC4">
              <w:rPr>
                <w:rFonts w:ascii="Times New Roman" w:hAnsi="Times New Roman" w:cs="Times New Roman"/>
              </w:rPr>
              <w:br/>
              <w:t>Knowledge Base Document:</w:t>
            </w:r>
            <w:r w:rsidRPr="00CB2EC4">
              <w:rPr>
                <w:rFonts w:ascii="Times New Roman" w:hAnsi="Times New Roman" w:cs="Times New Roman"/>
              </w:rPr>
              <w:br/>
              <w:t>- 9-14 years: 2-dose schedule (0, 5-13 months).</w:t>
            </w:r>
            <w:r w:rsidRPr="00CB2EC4">
              <w:rPr>
                <w:rFonts w:ascii="Times New Roman" w:hAnsi="Times New Roman" w:cs="Times New Roman"/>
              </w:rPr>
              <w:br/>
              <w:t>- ≥15 years and immunocompromised individuals: 3-dose schedule (0, 1, 6 months).</w:t>
            </w:r>
            <w:r w:rsidRPr="00CB2EC4">
              <w:rPr>
                <w:rFonts w:ascii="Times New Roman" w:hAnsi="Times New Roman" w:cs="Times New Roman"/>
              </w:rPr>
              <w:br/>
              <w:t>- Source: Knowledge Base Document (1.1 Primary Prevention of Cervical Cancer)</w:t>
            </w:r>
            <w:r w:rsidRPr="00CB2EC4">
              <w:rPr>
                <w:rFonts w:ascii="Times New Roman" w:hAnsi="Times New Roman" w:cs="Times New Roman"/>
              </w:rPr>
              <w:br/>
            </w:r>
            <w:r w:rsidRPr="00CB2EC4">
              <w:rPr>
                <w:rFonts w:ascii="Times New Roman" w:hAnsi="Times New Roman" w:cs="Times New Roman"/>
              </w:rPr>
              <w:br/>
              <w:t>Supplementary Information from Web Search Results:</w:t>
            </w:r>
            <w:r w:rsidRPr="00CB2EC4">
              <w:rPr>
                <w:rFonts w:ascii="Times New Roman" w:hAnsi="Times New Roman" w:cs="Times New Roman"/>
              </w:rPr>
              <w:br/>
              <w:t>- WHO Latest Recommendations (2022):</w:t>
            </w:r>
            <w:r w:rsidRPr="00CB2EC4">
              <w:rPr>
                <w:rFonts w:ascii="Times New Roman" w:hAnsi="Times New Roman" w:cs="Times New Roman"/>
              </w:rPr>
              <w:br/>
              <w:t xml:space="preserve">  - Girls aged 9-14 years: Single-dose or two-dose (preferred).</w:t>
            </w:r>
            <w:r w:rsidRPr="00CB2EC4">
              <w:rPr>
                <w:rFonts w:ascii="Times New Roman" w:hAnsi="Times New Roman" w:cs="Times New Roman"/>
              </w:rPr>
              <w:br/>
              <w:t xml:space="preserve">  - Females aged 15-20 years: Single-dose or two-dose.</w:t>
            </w:r>
            <w:r w:rsidRPr="00CB2EC4">
              <w:rPr>
                <w:rFonts w:ascii="Times New Roman" w:hAnsi="Times New Roman" w:cs="Times New Roman"/>
              </w:rPr>
              <w:br/>
              <w:t xml:space="preserve">  - Females aged ≥21 years: Two-dose (6-month interval).</w:t>
            </w:r>
            <w:r w:rsidRPr="00CB2EC4">
              <w:rPr>
                <w:rFonts w:ascii="Times New Roman" w:hAnsi="Times New Roman" w:cs="Times New Roman"/>
              </w:rPr>
              <w:br/>
              <w:t xml:space="preserve">  - Immunocompromised individuals: Three-dose (preferred) or two-dose.</w:t>
            </w:r>
            <w:r w:rsidRPr="00CB2EC4">
              <w:rPr>
                <w:rFonts w:ascii="Times New Roman" w:hAnsi="Times New Roman" w:cs="Times New Roman"/>
              </w:rPr>
              <w:br/>
              <w:t>- China Recommendations:</w:t>
            </w:r>
            <w:r w:rsidRPr="00CB2EC4">
              <w:rPr>
                <w:rFonts w:ascii="Times New Roman" w:hAnsi="Times New Roman" w:cs="Times New Roman"/>
              </w:rPr>
              <w:br/>
              <w:t xml:space="preserve">  - Priority for females aged 9-26 years (emphasis on 9-14 years), conditional vaccination for 27-45 years.</w:t>
            </w:r>
            <w:r w:rsidRPr="00CB2EC4">
              <w:rPr>
                <w:rFonts w:ascii="Times New Roman" w:hAnsi="Times New Roman" w:cs="Times New Roman"/>
              </w:rPr>
              <w:br/>
              <w:t xml:space="preserve">  - Domestic bivalent vaccine offers optimal cost-effectiveness (Guangdong economic assessment).</w:t>
            </w:r>
            <w:r w:rsidRPr="00CB2EC4">
              <w:rPr>
                <w:rFonts w:ascii="Times New Roman" w:hAnsi="Times New Roman" w:cs="Times New Roman"/>
              </w:rPr>
              <w:br/>
              <w:t>- Source: Web search content (WHO recommendations, Single-Dose HPV Vaccine Evaluation Consortium, local economic studies)</w:t>
            </w:r>
            <w:r w:rsidRPr="00CB2EC4">
              <w:rPr>
                <w:rFonts w:ascii="Times New Roman" w:hAnsi="Times New Roman" w:cs="Times New Roman"/>
              </w:rPr>
              <w:br/>
            </w:r>
            <w:r w:rsidRPr="00CB2EC4">
              <w:rPr>
                <w:rFonts w:ascii="Times New Roman" w:hAnsi="Times New Roman" w:cs="Times New Roman"/>
              </w:rPr>
              <w:br/>
              <w:t>Contradiction Analysis:</w:t>
            </w:r>
            <w:r w:rsidRPr="00CB2EC4">
              <w:rPr>
                <w:rFonts w:ascii="Times New Roman" w:hAnsi="Times New Roman" w:cs="Times New Roman"/>
              </w:rPr>
              <w:br/>
              <w:t>The discrepancy between the knowledge base’s 2-dose/3-dose schedules and WHO’s single-dose recommendation arises from new evidence (single-dose efficacy studies post-2020). Clinically, WHO’s latest guidelines should be prioritized.</w:t>
            </w:r>
          </w:p>
        </w:tc>
        <w:tc>
          <w:tcPr>
            <w:tcW w:w="1152" w:type="dxa"/>
            <w:vAlign w:val="center"/>
          </w:tcPr>
          <w:p w14:paraId="57D3E4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F953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03A4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F6268F" w14:textId="77777777">
        <w:tc>
          <w:tcPr>
            <w:tcW w:w="2160" w:type="dxa"/>
            <w:vAlign w:val="center"/>
          </w:tcPr>
          <w:p w14:paraId="660E550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4EE20454" w14:textId="77777777" w:rsidR="00922249" w:rsidRPr="00CB2EC4" w:rsidRDefault="003011D5">
            <w:pPr>
              <w:rPr>
                <w:rFonts w:ascii="Times New Roman" w:hAnsi="Times New Roman" w:cs="Times New Roman"/>
              </w:rPr>
            </w:pPr>
            <w:r w:rsidRPr="00CB2EC4">
              <w:rPr>
                <w:rFonts w:ascii="Times New Roman" w:hAnsi="Times New Roman" w:cs="Times New Roman"/>
              </w:rPr>
              <w:t>What is the strategy for HPV vaccine use? What are the recommended vaccination schedules for different age groups?</w:t>
            </w:r>
            <w:r w:rsidRPr="00CB2EC4">
              <w:rPr>
                <w:rFonts w:ascii="Times New Roman" w:hAnsi="Times New Roman" w:cs="Times New Roman"/>
              </w:rPr>
              <w:br/>
            </w:r>
            <w:r w:rsidRPr="00CB2EC4">
              <w:rPr>
                <w:rFonts w:ascii="Times New Roman" w:hAnsi="Times New Roman" w:cs="Times New Roman"/>
              </w:rPr>
              <w:br/>
              <w:t>Response: According to Document Fragment 1 and Fragment 3:</w:t>
            </w:r>
            <w:r w:rsidRPr="00CB2EC4">
              <w:rPr>
                <w:rFonts w:ascii="Times New Roman" w:hAnsi="Times New Roman" w:cs="Times New Roman"/>
              </w:rPr>
              <w:br/>
              <w:t xml:space="preserve">  - Vaccine strategy: Focus on females before the onset of sexual activity, especially girls aged 10-14. Offer bivalent (HPV16/18), quadrivalent (HPV6/11/16/18), and nonavalent (HPV6/11/16/18/31/33/45/52/58) vaccines, all of which are non-infectious virus-like particle recombinant vaccines.</w:t>
            </w:r>
            <w:r w:rsidRPr="00CB2EC4">
              <w:rPr>
                <w:rFonts w:ascii="Times New Roman" w:hAnsi="Times New Roman" w:cs="Times New Roman"/>
              </w:rPr>
              <w:br/>
              <w:t xml:space="preserve">  - Vaccination schedule:</w:t>
            </w:r>
            <w:r w:rsidRPr="00CB2EC4">
              <w:rPr>
                <w:rFonts w:ascii="Times New Roman" w:hAnsi="Times New Roman" w:cs="Times New Roman"/>
              </w:rPr>
              <w:br/>
              <w:t xml:space="preserve">    - Adolescents aged 9-14 years: 2-dose schedule (at month 0 and month 5-13).</w:t>
            </w:r>
            <w:r w:rsidRPr="00CB2EC4">
              <w:rPr>
                <w:rFonts w:ascii="Times New Roman" w:hAnsi="Times New Roman" w:cs="Times New Roman"/>
              </w:rPr>
              <w:br/>
              <w:t xml:space="preserve">    - Individuals aged 15 years and older and immunocompromised persons: 3-dose schedule (at month 0, month 1, and month 6).</w:t>
            </w:r>
            <w:r w:rsidRPr="00CB2EC4">
              <w:rPr>
                <w:rFonts w:ascii="Times New Roman" w:hAnsi="Times New Roman" w:cs="Times New Roman"/>
              </w:rPr>
              <w:br/>
              <w:t xml:space="preserve">  - Safety: WHO data show no safety concerns (Fragment 1: "For girls and boys aged 9–14 years, a 2-dose schedule is recommended"; Fragment 3: "For persons aged 15 years and older and immunocompromised individuals... a 3-dose schedule is recommended").</w:t>
            </w:r>
          </w:p>
        </w:tc>
        <w:tc>
          <w:tcPr>
            <w:tcW w:w="1152" w:type="dxa"/>
            <w:vAlign w:val="center"/>
          </w:tcPr>
          <w:p w14:paraId="4FCCE9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1C20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10EA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A06E2D" w14:textId="77777777">
        <w:tc>
          <w:tcPr>
            <w:tcW w:w="2160" w:type="dxa"/>
            <w:vAlign w:val="center"/>
          </w:tcPr>
          <w:p w14:paraId="26321FFB"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C01A677" w14:textId="77777777" w:rsidR="00922249" w:rsidRPr="00CB2EC4" w:rsidRDefault="003011D5">
            <w:pPr>
              <w:rPr>
                <w:rFonts w:ascii="Times New Roman" w:hAnsi="Times New Roman" w:cs="Times New Roman"/>
              </w:rPr>
            </w:pPr>
            <w:r w:rsidRPr="00CB2EC4">
              <w:rPr>
                <w:rFonts w:ascii="Times New Roman" w:hAnsi="Times New Roman" w:cs="Times New Roman"/>
              </w:rPr>
              <w:t>what is the strategy for HPV vaccine use? what are the recommended vaccination schedules for different age groups?</w:t>
            </w:r>
            <w:r w:rsidRPr="00CB2EC4">
              <w:rPr>
                <w:rFonts w:ascii="Times New Roman" w:hAnsi="Times New Roman" w:cs="Times New Roman"/>
              </w:rPr>
              <w:br/>
            </w:r>
            <w:r w:rsidRPr="00CB2EC4">
              <w:rPr>
                <w:rFonts w:ascii="Times New Roman" w:hAnsi="Times New Roman" w:cs="Times New Roman"/>
              </w:rPr>
              <w:br/>
              <w:t xml:space="preserve">according to the document content (document 1 and document 2), the HPV vaccine use strategy focuses on adolescents before the onset of sexual activity to prevent HPV infection and related precancerous lesions. the vaccination schemes for different age </w:t>
            </w:r>
            <w:r w:rsidRPr="00CB2EC4">
              <w:rPr>
                <w:rFonts w:ascii="Times New Roman" w:hAnsi="Times New Roman" w:cs="Times New Roman"/>
              </w:rPr>
              <w:lastRenderedPageBreak/>
              <w:t xml:space="preserve">groups are as follows:  </w:t>
            </w:r>
            <w:r w:rsidRPr="00CB2EC4">
              <w:rPr>
                <w:rFonts w:ascii="Times New Roman" w:hAnsi="Times New Roman" w:cs="Times New Roman"/>
              </w:rPr>
              <w:br/>
              <w:t xml:space="preserve">- for individuals aged 9-14 years (including girls and boys):  </w:t>
            </w:r>
            <w:r w:rsidRPr="00CB2EC4">
              <w:rPr>
                <w:rFonts w:ascii="Times New Roman" w:hAnsi="Times New Roman" w:cs="Times New Roman"/>
              </w:rPr>
              <w:br/>
              <w:t xml:space="preserve">  - a 2-dose schedule is recommended: the first dose (0.5 mL) is administered at initiation, and the second dose (0.5 mL) is administered 5-13 months after the first dose.  </w:t>
            </w:r>
            <w:r w:rsidRPr="00CB2EC4">
              <w:rPr>
                <w:rFonts w:ascii="Times New Roman" w:hAnsi="Times New Roman" w:cs="Times New Roman"/>
              </w:rPr>
              <w:br/>
              <w:t xml:space="preserve">  - if the second dose is administered within 5 months after the first dose, a third dose is required (i.e., switching to a 3-dose schedule).  </w:t>
            </w:r>
            <w:r w:rsidRPr="00CB2EC4">
              <w:rPr>
                <w:rFonts w:ascii="Times New Roman" w:hAnsi="Times New Roman" w:cs="Times New Roman"/>
              </w:rPr>
              <w:br/>
              <w:t xml:space="preserve">- for individuals aged 15 years and older and immunocompromised persons (regardless of age):  </w:t>
            </w:r>
            <w:r w:rsidRPr="00CB2EC4">
              <w:rPr>
                <w:rFonts w:ascii="Times New Roman" w:hAnsi="Times New Roman" w:cs="Times New Roman"/>
              </w:rPr>
              <w:br/>
              <w:t xml:space="preserve">  - a 3-dose schedule is recommended: the first dose (0.5 mL) is administered at initiation, the second dose (0.5 mL) is administered 1 month later, and the third dose (0.5 mL) is administered 6 months after the first dose (i.e., at 0, 1, and 6 months).  </w:t>
            </w:r>
            <w:r w:rsidRPr="00CB2EC4">
              <w:rPr>
                <w:rFonts w:ascii="Times New Roman" w:hAnsi="Times New Roman" w:cs="Times New Roman"/>
              </w:rPr>
              <w:br/>
              <w:t>vaccine types include bivalent (targeting HPV16/18), quadrivalent (targeting HPV16/18/6/11), and nonavalent (targeting additional types), all composed of virus-like particles (VLPs) and non-infectious. WHO data indicate that HPV vaccines have a good safety profile. this information is derived from the "primary prevention of cervical cancer" section of document 1 and supplementary explanations in document 2.</w:t>
            </w:r>
          </w:p>
        </w:tc>
        <w:tc>
          <w:tcPr>
            <w:tcW w:w="1152" w:type="dxa"/>
            <w:vAlign w:val="center"/>
          </w:tcPr>
          <w:p w14:paraId="165C0B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43614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B1A8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C3FF1A" w14:textId="77777777">
        <w:tc>
          <w:tcPr>
            <w:tcW w:w="2160" w:type="dxa"/>
            <w:vAlign w:val="center"/>
          </w:tcPr>
          <w:p w14:paraId="48AFAE2E"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6BA020A"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strategies for HPV vaccine use? What are the recommended vaccination schedules for different age groups?</w:t>
            </w:r>
            <w:r w:rsidRPr="00CB2EC4">
              <w:rPr>
                <w:rFonts w:ascii="Times New Roman" w:hAnsi="Times New Roman" w:cs="Times New Roman"/>
              </w:rPr>
              <w:br/>
            </w:r>
            <w:r w:rsidRPr="00CB2EC4">
              <w:rPr>
                <w:rFonts w:ascii="Times New Roman" w:hAnsi="Times New Roman" w:cs="Times New Roman"/>
              </w:rPr>
              <w:br/>
              <w:t>Answer: Based on the provided context (HyDE similarity 0.607), the HPV vaccine strategies and vaccination schedules are as follows:</w:t>
            </w:r>
            <w:r w:rsidRPr="00CB2EC4">
              <w:rPr>
                <w:rFonts w:ascii="Times New Roman" w:hAnsi="Times New Roman" w:cs="Times New Roman"/>
              </w:rPr>
              <w:br/>
              <w:t xml:space="preserve">1. Vaccine types: Bivalent (targeting HPV16/18), </w:t>
            </w:r>
            <w:r w:rsidRPr="00CB2EC4">
              <w:rPr>
                <w:rFonts w:ascii="Times New Roman" w:hAnsi="Times New Roman" w:cs="Times New Roman"/>
              </w:rPr>
              <w:lastRenderedPageBreak/>
              <w:t>Quadrivalent (targeting HPV6/11/16/18), Nonavalent (targeting HPV6/11/16/18/31/33/45/52/58).</w:t>
            </w:r>
            <w:r w:rsidRPr="00CB2EC4">
              <w:rPr>
                <w:rFonts w:ascii="Times New Roman" w:hAnsi="Times New Roman" w:cs="Times New Roman"/>
              </w:rPr>
              <w:br/>
              <w:t>2. Vaccination schedules:</w:t>
            </w:r>
            <w:r w:rsidRPr="00CB2EC4">
              <w:rPr>
                <w:rFonts w:ascii="Times New Roman" w:hAnsi="Times New Roman" w:cs="Times New Roman"/>
              </w:rPr>
              <w:br/>
              <w:t xml:space="preserve">   - Individuals aged 9-14 years: 2-dose schedule (0 and 5-13 months). If the second dose is administered within 5 months after the first dose, a third dose is recommended.</w:t>
            </w:r>
            <w:r w:rsidRPr="00CB2EC4">
              <w:rPr>
                <w:rFonts w:ascii="Times New Roman" w:hAnsi="Times New Roman" w:cs="Times New Roman"/>
              </w:rPr>
              <w:br/>
              <w:t xml:space="preserve">   - Individuals aged 15 years and older and immunocompromised persons: 3-dose schedule (0, 1, 6 months).</w:t>
            </w:r>
            <w:r w:rsidRPr="00CB2EC4">
              <w:rPr>
                <w:rFonts w:ascii="Times New Roman" w:hAnsi="Times New Roman" w:cs="Times New Roman"/>
              </w:rPr>
              <w:br/>
              <w:t>3. Priority population: Priority is given to girls aged 10-14 years, to be vaccinated before the onset of sexual activity.</w:t>
            </w:r>
            <w:r w:rsidRPr="00CB2EC4">
              <w:rPr>
                <w:rFonts w:ascii="Times New Roman" w:hAnsi="Times New Roman" w:cs="Times New Roman"/>
              </w:rPr>
              <w:br/>
              <w:t>- Source reference: "For girls and boys aged $9 \sim 14$ years, a 2-dose schedule (0.5$\mathrm{mL}$, 0 and 5</w:t>
            </w:r>
            <w:r w:rsidRPr="00CB2EC4">
              <w:rPr>
                <w:rFonts w:ascii="Times New Roman" w:hAnsi="Times New Roman" w:cs="Times New Roman"/>
              </w:rPr>
              <w:t>～</w:t>
            </w:r>
            <w:r w:rsidRPr="00CB2EC4">
              <w:rPr>
                <w:rFonts w:ascii="Times New Roman" w:hAnsi="Times New Roman" w:cs="Times New Roman"/>
              </w:rPr>
              <w:t>13 months) is recommended. If the second dose is administered within 5 months after the first dose, a third dose is advised. For individuals aged 15 years and older and immunocompromised persons, a 3-dose schedule $(0.5 \mathrm{mL}, 0, 1, 6$ months) is recommended regardless of age" (HyDE similarity 0.607).</w:t>
            </w:r>
          </w:p>
        </w:tc>
        <w:tc>
          <w:tcPr>
            <w:tcW w:w="1152" w:type="dxa"/>
            <w:vAlign w:val="center"/>
          </w:tcPr>
          <w:p w14:paraId="78ECFF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7171C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CBC8E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A331B96" w14:textId="77777777">
        <w:tc>
          <w:tcPr>
            <w:tcW w:w="2160" w:type="dxa"/>
            <w:vAlign w:val="center"/>
          </w:tcPr>
          <w:p w14:paraId="521E5C97"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1D2E604" w14:textId="77777777" w:rsidR="00922249" w:rsidRPr="00CB2EC4" w:rsidRDefault="003011D5">
            <w:pPr>
              <w:rPr>
                <w:rFonts w:ascii="Times New Roman" w:hAnsi="Times New Roman" w:cs="Times New Roman"/>
              </w:rPr>
            </w:pPr>
            <w:r w:rsidRPr="00CB2EC4">
              <w:rPr>
                <w:rFonts w:ascii="Times New Roman" w:hAnsi="Times New Roman" w:cs="Times New Roman"/>
              </w:rPr>
              <w:t>what is the strategy for HPV vaccine use? what are the recommended vaccination schedules for different age groups?</w:t>
            </w:r>
            <w:r w:rsidRPr="00CB2EC4">
              <w:rPr>
                <w:rFonts w:ascii="Times New Roman" w:hAnsi="Times New Roman" w:cs="Times New Roman"/>
              </w:rPr>
              <w:br/>
            </w:r>
            <w:r w:rsidRPr="00CB2EC4">
              <w:rPr>
                <w:rFonts w:ascii="Times New Roman" w:hAnsi="Times New Roman" w:cs="Times New Roman"/>
              </w:rPr>
              <w:br/>
              <w:t xml:space="preserve">based on the document content, the strategy for HPV vaccine use focuses on the prevention of cervical cancer, targeting young individuals before the onset of sexual activity to maximize protective effects. the recommended vaccination schedules for different age groups are as follows:  </w:t>
            </w:r>
            <w:r w:rsidRPr="00CB2EC4">
              <w:rPr>
                <w:rFonts w:ascii="Times New Roman" w:hAnsi="Times New Roman" w:cs="Times New Roman"/>
              </w:rPr>
              <w:br/>
              <w:t xml:space="preserve">- overall strategy:  </w:t>
            </w:r>
            <w:r w:rsidRPr="00CB2EC4">
              <w:rPr>
                <w:rFonts w:ascii="Times New Roman" w:hAnsi="Times New Roman" w:cs="Times New Roman"/>
              </w:rPr>
              <w:br/>
            </w:r>
            <w:r w:rsidRPr="00CB2EC4">
              <w:rPr>
                <w:rFonts w:ascii="Times New Roman" w:hAnsi="Times New Roman" w:cs="Times New Roman"/>
              </w:rPr>
              <w:lastRenderedPageBreak/>
              <w:t xml:space="preserve">  - the HPV vaccine serves as a primary preventive measure, mainly targeting adolescents, especially girls, before the peak age of HPV infection. the goal is to prevent HPV-related precancerous lesions and cancers (source: document segment 1).  </w:t>
            </w:r>
            <w:r w:rsidRPr="00CB2EC4">
              <w:rPr>
                <w:rFonts w:ascii="Times New Roman" w:hAnsi="Times New Roman" w:cs="Times New Roman"/>
              </w:rPr>
              <w:br/>
              <w:t xml:space="preserve">  - available vaccines include bivalent (targeting HPV16/18), quadrivalent (targeting HPV16/18/6/11), and nonavalent (targeting HPV6/11/16/18/31/33/45/52/58), all composed of virus-like particles (VLPs) and non-infectious (source: document segment 1).  </w:t>
            </w:r>
            <w:r w:rsidRPr="00CB2EC4">
              <w:rPr>
                <w:rFonts w:ascii="Times New Roman" w:hAnsi="Times New Roman" w:cs="Times New Roman"/>
              </w:rPr>
              <w:br/>
              <w:t xml:space="preserve">- recommended schedules for different age groups:  </w:t>
            </w:r>
            <w:r w:rsidRPr="00CB2EC4">
              <w:rPr>
                <w:rFonts w:ascii="Times New Roman" w:hAnsi="Times New Roman" w:cs="Times New Roman"/>
              </w:rPr>
              <w:br/>
              <w:t xml:space="preserve">  - individuals aged 9-14 years (including girls and boys): a 2-dose schedule is recommended, with doses administered at 0 months (first dose) and 5-13 months (second dose). if the second dose is given within 5 months after the first dose, a third dose is recommended (source: document segment 1, document segment 3).  </w:t>
            </w:r>
            <w:r w:rsidRPr="00CB2EC4">
              <w:rPr>
                <w:rFonts w:ascii="Times New Roman" w:hAnsi="Times New Roman" w:cs="Times New Roman"/>
              </w:rPr>
              <w:br/>
              <w:t xml:space="preserve">  - individuals aged 15 years and above and immunocompromised persons (regardless of age): a 3-dose schedule is recommended, with doses administered at 0 months (first dose), 1 month (second dose), and 6 months (third dose) (source: document segment 1, document segment 3).  </w:t>
            </w:r>
            <w:r w:rsidRPr="00CB2EC4">
              <w:rPr>
                <w:rFonts w:ascii="Times New Roman" w:hAnsi="Times New Roman" w:cs="Times New Roman"/>
              </w:rPr>
              <w:br/>
              <w:t xml:space="preserve">- safety: WHO data indicate no safety concerns with HPV vaccines (source: document segment 1).  </w:t>
            </w:r>
            <w:r w:rsidRPr="00CB2EC4">
              <w:rPr>
                <w:rFonts w:ascii="Times New Roman" w:hAnsi="Times New Roman" w:cs="Times New Roman"/>
              </w:rPr>
              <w:br/>
            </w:r>
            <w:r w:rsidRPr="00CB2EC4">
              <w:rPr>
                <w:rFonts w:ascii="Times New Roman" w:hAnsi="Times New Roman" w:cs="Times New Roman"/>
              </w:rPr>
              <w:br/>
              <w:t xml:space="preserve">key evidence: document segment 1 states in detail that "for girls and boys aged 9~14 years, a 2-dose schedule (0 and 5~13 months) is recommended. if the second dose is administered within 5 months after the first dose, a third dose is advised. for individuals aged 15 years and above and immunocompromised persons, </w:t>
            </w:r>
            <w:r w:rsidRPr="00CB2EC4">
              <w:rPr>
                <w:rFonts w:ascii="Times New Roman" w:hAnsi="Times New Roman" w:cs="Times New Roman"/>
              </w:rPr>
              <w:lastRenderedPageBreak/>
              <w:t>regardless of age, a 3-dose schedule (0.5mL, 0, 1, 6 months) is recommended."</w:t>
            </w:r>
          </w:p>
        </w:tc>
        <w:tc>
          <w:tcPr>
            <w:tcW w:w="1152" w:type="dxa"/>
            <w:vAlign w:val="center"/>
          </w:tcPr>
          <w:p w14:paraId="42CF2D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1115F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90DB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9F5353" w14:textId="77777777">
        <w:tc>
          <w:tcPr>
            <w:tcW w:w="2160" w:type="dxa"/>
            <w:vAlign w:val="center"/>
          </w:tcPr>
          <w:p w14:paraId="15B635D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0A3C45C3" w14:textId="77777777" w:rsidR="00922249" w:rsidRPr="00CB2EC4" w:rsidRDefault="003011D5">
            <w:pPr>
              <w:rPr>
                <w:rFonts w:ascii="Times New Roman" w:hAnsi="Times New Roman" w:cs="Times New Roman"/>
              </w:rPr>
            </w:pPr>
            <w:r w:rsidRPr="00CB2EC4">
              <w:rPr>
                <w:rFonts w:ascii="Times New Roman" w:hAnsi="Times New Roman" w:cs="Times New Roman"/>
              </w:rPr>
              <w:t>what is the HPV vaccine usage strategy? what are the recommended vaccination schedules for different age groups?</w:t>
            </w:r>
            <w:r w:rsidRPr="00CB2EC4">
              <w:rPr>
                <w:rFonts w:ascii="Times New Roman" w:hAnsi="Times New Roman" w:cs="Times New Roman"/>
              </w:rPr>
              <w:br/>
            </w:r>
            <w:r w:rsidRPr="00CB2EC4">
              <w:rPr>
                <w:rFonts w:ascii="Times New Roman" w:hAnsi="Times New Roman" w:cs="Times New Roman"/>
              </w:rPr>
              <w:br/>
              <w:t xml:space="preserve">according to the document content, the HPV vaccine usage strategy and recommended schedules for different age groups are as follows:  </w:t>
            </w:r>
            <w:r w:rsidRPr="00CB2EC4">
              <w:rPr>
                <w:rFonts w:ascii="Times New Roman" w:hAnsi="Times New Roman" w:cs="Times New Roman"/>
              </w:rPr>
              <w:br/>
              <w:t xml:space="preserve">- overall strategy: the HPV vaccine serves as a primary prevention measure, targeting females before the onset of sexual activity, especially girls aged 10–14 years. the vaccine prevents HPV infection and related precancerous lesions and cancers. currently, there are three vaccines: bivalent (targeting HPV 16 and 18), quadrivalent (targeting HPV 6, 11, 16, 18), and nonavalent (targeting HPV 6, 11, 16, 18, 31, 33, 45, 52, 58). all vaccines are recombinant virus-like particles (VLPs) and are non-infectious.  </w:t>
            </w:r>
            <w:r w:rsidRPr="00CB2EC4">
              <w:rPr>
                <w:rFonts w:ascii="Times New Roman" w:hAnsi="Times New Roman" w:cs="Times New Roman"/>
              </w:rPr>
              <w:br/>
              <w:t xml:space="preserve">- recommended schedules for different age groups:  </w:t>
            </w:r>
            <w:r w:rsidRPr="00CB2EC4">
              <w:rPr>
                <w:rFonts w:ascii="Times New Roman" w:hAnsi="Times New Roman" w:cs="Times New Roman"/>
              </w:rPr>
              <w:br/>
              <w:t xml:space="preserve">  - individuals aged 9–14 years (including boys and girls): a 2-dose schedule is recommended, with a dose of 0.5 mL administered at month 0 and the second dose at 5–13 months after the first dose. if the second dose is given within 5 months of the first dose, a third dose is recommended.  </w:t>
            </w:r>
            <w:r w:rsidRPr="00CB2EC4">
              <w:rPr>
                <w:rFonts w:ascii="Times New Roman" w:hAnsi="Times New Roman" w:cs="Times New Roman"/>
              </w:rPr>
              <w:br/>
              <w:t xml:space="preserve">  - individuals aged 15 years and older or immunocompromised persons (regardless of age): a 3-dose schedule is recommended, with a dose of 0.5 mL administered at months 0, 1, and 6.  </w:t>
            </w:r>
            <w:r w:rsidRPr="00CB2EC4">
              <w:rPr>
                <w:rFonts w:ascii="Times New Roman" w:hAnsi="Times New Roman" w:cs="Times New Roman"/>
              </w:rPr>
              <w:br/>
              <w:t xml:space="preserve">(source: detailed description in the document excerpt, e.g., "for individuals aged $9 \sim 14$ years, including girls and boys, a 2-dose schedule (0.5$\mathrm{mL}$, 0 and 5–13 months) is </w:t>
            </w:r>
            <w:r w:rsidRPr="00CB2EC4">
              <w:rPr>
                <w:rFonts w:ascii="Times New Roman" w:hAnsi="Times New Roman" w:cs="Times New Roman"/>
              </w:rPr>
              <w:lastRenderedPageBreak/>
              <w:t>recommended... for those aged 15 years and older and immunocompromised individuals, regardless of age, a 3-dose schedule (0.5$\mathrm{mL}$, 0, 1, 6 months) is recommended.")</w:t>
            </w:r>
          </w:p>
        </w:tc>
        <w:tc>
          <w:tcPr>
            <w:tcW w:w="1152" w:type="dxa"/>
            <w:vAlign w:val="center"/>
          </w:tcPr>
          <w:p w14:paraId="454CF6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938A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26C6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3D60F8" w14:textId="77777777">
        <w:tc>
          <w:tcPr>
            <w:tcW w:w="2160" w:type="dxa"/>
            <w:vAlign w:val="center"/>
          </w:tcPr>
          <w:p w14:paraId="304C7783"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091A6B3" w14:textId="77777777" w:rsidR="00922249" w:rsidRPr="00CB2EC4" w:rsidRDefault="003011D5">
            <w:pPr>
              <w:rPr>
                <w:rFonts w:ascii="Times New Roman" w:hAnsi="Times New Roman" w:cs="Times New Roman"/>
              </w:rPr>
            </w:pPr>
            <w:r w:rsidRPr="00CB2EC4">
              <w:rPr>
                <w:rFonts w:ascii="Times New Roman" w:hAnsi="Times New Roman" w:cs="Times New Roman"/>
              </w:rPr>
              <w:t>what is the HPV vaccine usage strategy? what are the recommended vaccination schedules for different age groups?</w:t>
            </w:r>
            <w:r w:rsidRPr="00CB2EC4">
              <w:rPr>
                <w:rFonts w:ascii="Times New Roman" w:hAnsi="Times New Roman" w:cs="Times New Roman"/>
              </w:rPr>
              <w:br/>
            </w:r>
            <w:r w:rsidRPr="00CB2EC4">
              <w:rPr>
                <w:rFonts w:ascii="Times New Roman" w:hAnsi="Times New Roman" w:cs="Times New Roman"/>
              </w:rPr>
              <w:br/>
              <w:t xml:space="preserve">based on contextual information (from document fragment 1):  </w:t>
            </w:r>
            <w:r w:rsidRPr="00CB2EC4">
              <w:rPr>
                <w:rFonts w:ascii="Times New Roman" w:hAnsi="Times New Roman" w:cs="Times New Roman"/>
              </w:rPr>
              <w:br/>
              <w:t xml:space="preserve">- HPV vaccine usage strategy: prophylactic HPV vaccination should focus on female populations prior to the onset of sexual activity, especially girls aged 10–14 years. the goal is to prevent HPV infection and related precancerous lesions and cancers. currently, there are three vaccine types: bivalent (targeting HPV16/18), quadrivalent (targeting HPV16/18/6/11), and nonavalent (targeting additional high-risk types). all vaccines are recombinant virus-like particles (VLPs) and are non-infectious. WHO data indicate no safety concerns.  </w:t>
            </w:r>
            <w:r w:rsidRPr="00CB2EC4">
              <w:rPr>
                <w:rFonts w:ascii="Times New Roman" w:hAnsi="Times New Roman" w:cs="Times New Roman"/>
              </w:rPr>
              <w:br/>
              <w:t xml:space="preserve">- recommended schedules by age group:  </w:t>
            </w:r>
            <w:r w:rsidRPr="00CB2EC4">
              <w:rPr>
                <w:rFonts w:ascii="Times New Roman" w:hAnsi="Times New Roman" w:cs="Times New Roman"/>
              </w:rPr>
              <w:br/>
              <w:t xml:space="preserve">  - individuals aged 9–14 years (including girls and boys): a 2-dose schedule (0.5 mL per dose) is recommended, with intervals of 0 months and 5–13 months. if the second dose is administered within 5 months after the first dose, a third dose is required.  </w:t>
            </w:r>
            <w:r w:rsidRPr="00CB2EC4">
              <w:rPr>
                <w:rFonts w:ascii="Times New Roman" w:hAnsi="Times New Roman" w:cs="Times New Roman"/>
              </w:rPr>
              <w:br/>
              <w:t xml:space="preserve">  - individuals aged 15 years and older and immunocompromised persons (regardless of age): a 3-dose schedule (0.5 mL per dose) is recommended, with intervals of 0, 1, and 6 months.  </w:t>
            </w:r>
            <w:r w:rsidRPr="00CB2EC4">
              <w:rPr>
                <w:rFonts w:ascii="Times New Roman" w:hAnsi="Times New Roman" w:cs="Times New Roman"/>
              </w:rPr>
              <w:br/>
              <w:t>summary: the strategy emphasizes early vaccination; schedules are differentiated based on age and immune status.</w:t>
            </w:r>
          </w:p>
        </w:tc>
        <w:tc>
          <w:tcPr>
            <w:tcW w:w="1152" w:type="dxa"/>
            <w:vAlign w:val="center"/>
          </w:tcPr>
          <w:p w14:paraId="6EB4C6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3B22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9BFC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4037BF" w14:textId="77777777">
        <w:tc>
          <w:tcPr>
            <w:tcW w:w="2160" w:type="dxa"/>
            <w:vAlign w:val="center"/>
          </w:tcPr>
          <w:p w14:paraId="33BDDB8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159C27FC" w14:textId="77777777" w:rsidR="00922249" w:rsidRPr="00CB2EC4" w:rsidRDefault="003011D5">
            <w:pPr>
              <w:rPr>
                <w:rFonts w:ascii="Times New Roman" w:hAnsi="Times New Roman" w:cs="Times New Roman"/>
              </w:rPr>
            </w:pPr>
            <w:r w:rsidRPr="00CB2EC4">
              <w:rPr>
                <w:rFonts w:ascii="Times New Roman" w:hAnsi="Times New Roman" w:cs="Times New Roman"/>
              </w:rPr>
              <w:t>what is the strategy for HPV vaccine use? what are the recommended vaccination schedules for different age groups?</w:t>
            </w:r>
            <w:r w:rsidRPr="00CB2EC4">
              <w:rPr>
                <w:rFonts w:ascii="Times New Roman" w:hAnsi="Times New Roman" w:cs="Times New Roman"/>
              </w:rPr>
              <w:br/>
            </w:r>
            <w:r w:rsidRPr="00CB2EC4">
              <w:rPr>
                <w:rFonts w:ascii="Times New Roman" w:hAnsi="Times New Roman" w:cs="Times New Roman"/>
              </w:rPr>
              <w:br/>
              <w:t>- HPV vaccine use strategy:</w:t>
            </w:r>
            <w:r w:rsidRPr="00CB2EC4">
              <w:rPr>
                <w:rFonts w:ascii="Times New Roman" w:hAnsi="Times New Roman" w:cs="Times New Roman"/>
              </w:rPr>
              <w:br/>
              <w:t xml:space="preserve">  - As primary prevention for cervical cancer, focus on females before the onset of sexual activity, especially girls aged 10–14.</w:t>
            </w:r>
            <w:r w:rsidRPr="00CB2EC4">
              <w:rPr>
                <w:rFonts w:ascii="Times New Roman" w:hAnsi="Times New Roman" w:cs="Times New Roman"/>
              </w:rPr>
              <w:br/>
              <w:t xml:space="preserve">  - Vaccine types include bivalent (targeting HPV16 and 18), quadrivalent (targeting HPV16, 18, 6, and 11), and nonavalent (targeting HPV6, 11, 16, 18, 31, 33, 45, 52, and 58). These vaccines consist of virus-like particles (VLPs) and are non-infectious.</w:t>
            </w:r>
            <w:r w:rsidRPr="00CB2EC4">
              <w:rPr>
                <w:rFonts w:ascii="Times New Roman" w:hAnsi="Times New Roman" w:cs="Times New Roman"/>
              </w:rPr>
              <w:br/>
              <w:t xml:space="preserve">  - WHO data indicate that HPV vaccines have a good safety profile.</w:t>
            </w:r>
            <w:r w:rsidRPr="00CB2EC4">
              <w:rPr>
                <w:rFonts w:ascii="Times New Roman" w:hAnsi="Times New Roman" w:cs="Times New Roman"/>
              </w:rPr>
              <w:br/>
              <w:t>- Recommended vaccination schedules for different age groups:</w:t>
            </w:r>
            <w:r w:rsidRPr="00CB2EC4">
              <w:rPr>
                <w:rFonts w:ascii="Times New Roman" w:hAnsi="Times New Roman" w:cs="Times New Roman"/>
              </w:rPr>
              <w:br/>
              <w:t xml:space="preserve">  - Children aged 9–14 (including girls and boys): a 2-dose schedule is recommended, administered at month 0 and month 5–13 (e.g., with an interval of 5–13 months). If the second dose is given within 5 months after the first dose, a third dose is recommended.</w:t>
            </w:r>
            <w:r w:rsidRPr="00CB2EC4">
              <w:rPr>
                <w:rFonts w:ascii="Times New Roman" w:hAnsi="Times New Roman" w:cs="Times New Roman"/>
              </w:rPr>
              <w:br/>
              <w:t xml:space="preserve">  - Individuals aged 15 and above and immunocompromised persons (regardless of age): a 3-dose schedule is recommended, administered at months 0, 1, and 6 (e.g., 0.5 mL per dose).</w:t>
            </w:r>
            <w:r w:rsidRPr="00CB2EC4">
              <w:rPr>
                <w:rFonts w:ascii="Times New Roman" w:hAnsi="Times New Roman" w:cs="Times New Roman"/>
              </w:rPr>
              <w:br/>
              <w:t>- General principle: vaccination should be completed before the onset of sexual activity to maximize preventive effect.</w:t>
            </w:r>
            <w:r w:rsidRPr="00CB2EC4">
              <w:rPr>
                <w:rFonts w:ascii="Times New Roman" w:hAnsi="Times New Roman" w:cs="Times New Roman"/>
              </w:rPr>
              <w:br/>
            </w:r>
            <w:r w:rsidRPr="00CB2EC4">
              <w:rPr>
                <w:rFonts w:ascii="Times New Roman" w:hAnsi="Times New Roman" w:cs="Times New Roman"/>
              </w:rPr>
              <w:br/>
              <w:t>this information is based on specific descriptions of HPV vaccine in the document (e.g., "for girls and boys aged 9~14, a 2-dose schedule (0.5mL, 0 and 5</w:t>
            </w:r>
            <w:r w:rsidRPr="00CB2EC4">
              <w:rPr>
                <w:rFonts w:ascii="Times New Roman" w:hAnsi="Times New Roman" w:cs="Times New Roman"/>
              </w:rPr>
              <w:t>～</w:t>
            </w:r>
            <w:r w:rsidRPr="00CB2EC4">
              <w:rPr>
                <w:rFonts w:ascii="Times New Roman" w:hAnsi="Times New Roman" w:cs="Times New Roman"/>
              </w:rPr>
              <w:lastRenderedPageBreak/>
              <w:t>13 months) is suggested... for those aged 15 and above and immunocompromised individuals, regardless of age, a 3-dose schedule (0.5mL, 0, 1, 6 months) is suggested").</w:t>
            </w:r>
          </w:p>
        </w:tc>
        <w:tc>
          <w:tcPr>
            <w:tcW w:w="1152" w:type="dxa"/>
            <w:vAlign w:val="center"/>
          </w:tcPr>
          <w:p w14:paraId="22B6A2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8F50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1254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D6FE6F" w14:textId="77777777">
        <w:tc>
          <w:tcPr>
            <w:tcW w:w="2160" w:type="dxa"/>
            <w:vAlign w:val="center"/>
          </w:tcPr>
          <w:p w14:paraId="08A7694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97EF9A0" w14:textId="77777777" w:rsidR="00922249" w:rsidRPr="00CB2EC4" w:rsidRDefault="003011D5">
            <w:pPr>
              <w:rPr>
                <w:rFonts w:ascii="Times New Roman" w:hAnsi="Times New Roman" w:cs="Times New Roman"/>
              </w:rPr>
            </w:pPr>
            <w:r w:rsidRPr="00CB2EC4">
              <w:rPr>
                <w:rFonts w:ascii="Times New Roman" w:hAnsi="Times New Roman" w:cs="Times New Roman"/>
              </w:rPr>
              <w:t>what is the HPV vaccine usage strategy? what are the recommended vaccination schedules for different age groups?</w:t>
            </w:r>
            <w:r w:rsidRPr="00CB2EC4">
              <w:rPr>
                <w:rFonts w:ascii="Times New Roman" w:hAnsi="Times New Roman" w:cs="Times New Roman"/>
              </w:rPr>
              <w:br/>
            </w:r>
            <w:r w:rsidRPr="00CB2EC4">
              <w:rPr>
                <w:rFonts w:ascii="Times New Roman" w:hAnsi="Times New Roman" w:cs="Times New Roman"/>
              </w:rPr>
              <w:br/>
              <w:t>based on contextual information (document fragments 3 and 11), the HPV vaccine usage strategy and recommended schedules by age group are as follows:</w:t>
            </w:r>
            <w:r w:rsidRPr="00CB2EC4">
              <w:rPr>
                <w:rFonts w:ascii="Times New Roman" w:hAnsi="Times New Roman" w:cs="Times New Roman"/>
              </w:rPr>
              <w:br/>
              <w:t>- overall strategy: the HPV vaccine serves as primary prevention for cervical cancer, with a focus on females before the onset of sexual activity, especially adolescents aged 9-14 years. vaccine types include bivalent (targeting HPV16/18), quadrivalent (targeting HPV6/11/16/18), and nonavalent (targeting additional high-risk types), all composed of virus-like particles and non-infectious (fragment 3: relevance 0.9232; fragment 11: relevance 0.7630).</w:t>
            </w:r>
            <w:r w:rsidRPr="00CB2EC4">
              <w:rPr>
                <w:rFonts w:ascii="Times New Roman" w:hAnsi="Times New Roman" w:cs="Times New Roman"/>
              </w:rPr>
              <w:br/>
              <w:t>- recommended schedules by age group:</w:t>
            </w:r>
            <w:r w:rsidRPr="00CB2EC4">
              <w:rPr>
                <w:rFonts w:ascii="Times New Roman" w:hAnsi="Times New Roman" w:cs="Times New Roman"/>
              </w:rPr>
              <w:br/>
              <w:t xml:space="preserve">  - adolescents aged 9-14 years (girls and boys): a 2-dose schedule is recommended, administered at month 0 and month 5-13. if the second dose is given within 5 months of the first dose, a third dose should be added (fragment 3: relevance 0.9232; fragment 11: relevance 0.7630).</w:t>
            </w:r>
            <w:r w:rsidRPr="00CB2EC4">
              <w:rPr>
                <w:rFonts w:ascii="Times New Roman" w:hAnsi="Times New Roman" w:cs="Times New Roman"/>
              </w:rPr>
              <w:br/>
              <w:t xml:space="preserve">  - individuals aged 15 years and older and immunocompromised persons: regardless of age, a 3-dose schedule is recommended, administered at months 0, 1, and 6 (fragment 3: relevance 0.9232; fragment 11: relevance 0.7630).</w:t>
            </w:r>
            <w:r w:rsidRPr="00CB2EC4">
              <w:rPr>
                <w:rFonts w:ascii="Times New Roman" w:hAnsi="Times New Roman" w:cs="Times New Roman"/>
              </w:rPr>
              <w:br/>
              <w:t xml:space="preserve">- rationale: this strategy is based on WHO data, showing that the 2-dose schedule provides good </w:t>
            </w:r>
            <w:r w:rsidRPr="00CB2EC4">
              <w:rPr>
                <w:rFonts w:ascii="Times New Roman" w:hAnsi="Times New Roman" w:cs="Times New Roman"/>
              </w:rPr>
              <w:lastRenderedPageBreak/>
              <w:t>immunogenicity in younger age groups, while the 3-dose schedule is used for older individuals and those with immunodeficiency to ensure protective efficacy.</w:t>
            </w:r>
          </w:p>
        </w:tc>
        <w:tc>
          <w:tcPr>
            <w:tcW w:w="1152" w:type="dxa"/>
            <w:vAlign w:val="center"/>
          </w:tcPr>
          <w:p w14:paraId="373B3C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68813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52B4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637DD9" w14:textId="77777777">
        <w:tc>
          <w:tcPr>
            <w:tcW w:w="2160" w:type="dxa"/>
            <w:vAlign w:val="center"/>
          </w:tcPr>
          <w:p w14:paraId="7AEBCB3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2E06748" w14:textId="77777777" w:rsidR="00922249" w:rsidRPr="00CB2EC4" w:rsidRDefault="003011D5">
            <w:pPr>
              <w:rPr>
                <w:rFonts w:ascii="Times New Roman" w:hAnsi="Times New Roman" w:cs="Times New Roman"/>
              </w:rPr>
            </w:pPr>
            <w:r w:rsidRPr="00CB2EC4">
              <w:rPr>
                <w:rFonts w:ascii="Times New Roman" w:hAnsi="Times New Roman" w:cs="Times New Roman"/>
              </w:rPr>
              <w:t>what is the strategy for HPV vaccine use? what are the recommended vaccination schedules for different age groups?</w:t>
            </w:r>
            <w:r w:rsidRPr="00CB2EC4">
              <w:rPr>
                <w:rFonts w:ascii="Times New Roman" w:hAnsi="Times New Roman" w:cs="Times New Roman"/>
              </w:rPr>
              <w:br/>
            </w:r>
            <w:r w:rsidRPr="00CB2EC4">
              <w:rPr>
                <w:rFonts w:ascii="Times New Roman" w:hAnsi="Times New Roman" w:cs="Times New Roman"/>
              </w:rPr>
              <w:br/>
              <w:t xml:space="preserve">based on contextual information (relevant excerpt 1), the HPV vaccine use strategy and recommended schedules by age group are as follows:  </w:t>
            </w:r>
            <w:r w:rsidRPr="00CB2EC4">
              <w:rPr>
                <w:rFonts w:ascii="Times New Roman" w:hAnsi="Times New Roman" w:cs="Times New Roman"/>
              </w:rPr>
              <w:br/>
              <w:t xml:space="preserve">- HPV vaccine use strategy: as a primary prevention measure for cervical cancer, with a focus on females prior to the onset of sexual activity, especially girls aged 10–14 years. the vaccine is primarily used to prevent HPV infection, thereby reducing the risk of cervical precancerous lesions and cancer. currently available vaccines include bivalent (targeting HPV16 and 18), quadrivalent (targeting HPV16, 18, 6, and 11), and nonavalent (targeting HPV6, 11, 16, 18, 31, 33, 45, 52, and 58), all composed of virus-like particles (VLPs) and non-infectious.  </w:t>
            </w:r>
            <w:r w:rsidRPr="00CB2EC4">
              <w:rPr>
                <w:rFonts w:ascii="Times New Roman" w:hAnsi="Times New Roman" w:cs="Times New Roman"/>
              </w:rPr>
              <w:br/>
              <w:t xml:space="preserve">- recommended vaccination schedules for different age groups:  </w:t>
            </w:r>
            <w:r w:rsidRPr="00CB2EC4">
              <w:rPr>
                <w:rFonts w:ascii="Times New Roman" w:hAnsi="Times New Roman" w:cs="Times New Roman"/>
              </w:rPr>
              <w:br/>
              <w:t xml:space="preserve">  - girls and boys aged 9–14 years: a 2-dose regimen (0.5 mL per dose) is recommended, with the first and second doses administered 5–13 months apart. if the second dose is given within 5 months of the first, a third dose is required.  </w:t>
            </w:r>
            <w:r w:rsidRPr="00CB2EC4">
              <w:rPr>
                <w:rFonts w:ascii="Times New Roman" w:hAnsi="Times New Roman" w:cs="Times New Roman"/>
              </w:rPr>
              <w:br/>
              <w:t xml:space="preserve">  - individuals aged 15 years and older and immunocompromised persons (regardless of age): a 3-dose regimen (0.5 mL per dose) is recommended, administered at 0, 1, and 6 months.  </w:t>
            </w:r>
            <w:r w:rsidRPr="00CB2EC4">
              <w:rPr>
                <w:rFonts w:ascii="Times New Roman" w:hAnsi="Times New Roman" w:cs="Times New Roman"/>
              </w:rPr>
              <w:br/>
              <w:t>this information is based on relevant excerpt 1 (cervical cancer primary prevention section).</w:t>
            </w:r>
          </w:p>
        </w:tc>
        <w:tc>
          <w:tcPr>
            <w:tcW w:w="1152" w:type="dxa"/>
            <w:vAlign w:val="center"/>
          </w:tcPr>
          <w:p w14:paraId="35E70E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2B9E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78EE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B29D71" w14:textId="77777777">
        <w:tc>
          <w:tcPr>
            <w:tcW w:w="2160" w:type="dxa"/>
            <w:vAlign w:val="center"/>
          </w:tcPr>
          <w:p w14:paraId="45DFA84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30477958" w14:textId="77777777" w:rsidR="00922249" w:rsidRPr="00CB2EC4" w:rsidRDefault="003011D5">
            <w:pPr>
              <w:rPr>
                <w:rFonts w:ascii="Times New Roman" w:hAnsi="Times New Roman" w:cs="Times New Roman"/>
              </w:rPr>
            </w:pPr>
            <w:r w:rsidRPr="00CB2EC4">
              <w:rPr>
                <w:rFonts w:ascii="Times New Roman" w:hAnsi="Times New Roman" w:cs="Times New Roman"/>
              </w:rPr>
              <w:t>HPV vaccine usage strategy and age-group schemes are as follows:</w:t>
            </w:r>
            <w:r w:rsidRPr="00CB2EC4">
              <w:rPr>
                <w:rFonts w:ascii="Times New Roman" w:hAnsi="Times New Roman" w:cs="Times New Roman"/>
              </w:rPr>
              <w:br/>
              <w:t>- Overall strategy: The HPV vaccine is used to prevent HPV infection and related cervical cancer, with adolescent females prioritized as the primary target group. Vaccination should be combined with cervical cancer screening as a supplementary measure to secondary prevention.</w:t>
            </w:r>
            <w:r w:rsidRPr="00CB2EC4">
              <w:rPr>
                <w:rFonts w:ascii="Times New Roman" w:hAnsi="Times New Roman" w:cs="Times New Roman"/>
              </w:rPr>
              <w:br/>
              <w:t>- Schemes for different age groups:</w:t>
            </w:r>
            <w:r w:rsidRPr="00CB2EC4">
              <w:rPr>
                <w:rFonts w:ascii="Times New Roman" w:hAnsi="Times New Roman" w:cs="Times New Roman"/>
              </w:rPr>
              <w:br/>
              <w:t xml:space="preserve">  - 9-14 years: A 2-dose schedule (bivalent, quadrivalent, or nonavalent vaccine) is recommended, with doses administered 6 months apart (e.g., at 0 and 6 months). This schedule is based on high immunogenicity and good cost-effectiveness.</w:t>
            </w:r>
            <w:r w:rsidRPr="00CB2EC4">
              <w:rPr>
                <w:rFonts w:ascii="Times New Roman" w:hAnsi="Times New Roman" w:cs="Times New Roman"/>
              </w:rPr>
              <w:br/>
              <w:t xml:space="preserve">  - 15-45 years: A 3-dose schedule is recommended, with intervals of 0, 1-2, and 6 months (e.g., at 0, 2, and 6 months). For females over 26 years, vaccine efficacy may be reduced but is still recommended for those without prior infection.</w:t>
            </w:r>
            <w:r w:rsidRPr="00CB2EC4">
              <w:rPr>
                <w:rFonts w:ascii="Times New Roman" w:hAnsi="Times New Roman" w:cs="Times New Roman"/>
              </w:rPr>
              <w:br/>
              <w:t>- Notes: Vaccine selection depends on availability (nonavalent vaccine covers more HPV types), but all types are effective. Vaccination should be administered before the onset of sexual activity to maximize protection.</w:t>
            </w:r>
          </w:p>
        </w:tc>
        <w:tc>
          <w:tcPr>
            <w:tcW w:w="1152" w:type="dxa"/>
            <w:vAlign w:val="center"/>
          </w:tcPr>
          <w:p w14:paraId="4106FE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4673D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9C06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419BBD" w14:textId="77777777">
        <w:tc>
          <w:tcPr>
            <w:tcW w:w="10656" w:type="dxa"/>
            <w:gridSpan w:val="5"/>
            <w:tcBorders>
              <w:bottom w:val="single" w:sz="6" w:space="0" w:color="auto"/>
            </w:tcBorders>
            <w:vAlign w:val="center"/>
          </w:tcPr>
          <w:p w14:paraId="2A4EC754" w14:textId="77777777" w:rsidR="00922249" w:rsidRPr="00CB2EC4" w:rsidRDefault="003011D5">
            <w:pPr>
              <w:rPr>
                <w:rFonts w:ascii="Times New Roman" w:hAnsi="Times New Roman" w:cs="Times New Roman"/>
              </w:rPr>
            </w:pPr>
            <w:r w:rsidRPr="00CB2EC4">
              <w:rPr>
                <w:rFonts w:ascii="Times New Roman" w:hAnsi="Times New Roman" w:cs="Times New Roman"/>
                <w:b/>
              </w:rPr>
              <w:t>Question 35: Is HPV primary screening applicable in low-income countries? If so, why?</w:t>
            </w:r>
          </w:p>
        </w:tc>
      </w:tr>
      <w:tr w:rsidR="00922249" w:rsidRPr="00CB2EC4" w14:paraId="438A82F4" w14:textId="77777777">
        <w:tc>
          <w:tcPr>
            <w:tcW w:w="2160" w:type="dxa"/>
            <w:vAlign w:val="center"/>
          </w:tcPr>
          <w:p w14:paraId="0F005A4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B95487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HPV primary screening is applicable in low-income countries.  </w:t>
            </w:r>
            <w:r w:rsidRPr="00CB2EC4">
              <w:rPr>
                <w:rFonts w:ascii="Times New Roman" w:hAnsi="Times New Roman" w:cs="Times New Roman"/>
              </w:rPr>
              <w:br/>
              <w:t xml:space="preserve">- reasons:  </w:t>
            </w:r>
            <w:r w:rsidRPr="00CB2EC4">
              <w:rPr>
                <w:rFonts w:ascii="Times New Roman" w:hAnsi="Times New Roman" w:cs="Times New Roman"/>
              </w:rPr>
              <w:br/>
              <w:t xml:space="preserve">  - HPV testing has higher sensitivity and negative predictive value, allowing for extended screening intervals (e.g., one-time screening in a lifetime), which is more feasible in resource-limited settings.  </w:t>
            </w:r>
            <w:r w:rsidRPr="00CB2EC4">
              <w:rPr>
                <w:rFonts w:ascii="Times New Roman" w:hAnsi="Times New Roman" w:cs="Times New Roman"/>
              </w:rPr>
              <w:br/>
              <w:t xml:space="preserve">  - It is simple, accurate, acceptable, and cost-</w:t>
            </w:r>
            <w:r w:rsidRPr="00CB2EC4">
              <w:rPr>
                <w:rFonts w:ascii="Times New Roman" w:hAnsi="Times New Roman" w:cs="Times New Roman"/>
              </w:rPr>
              <w:lastRenderedPageBreak/>
              <w:t xml:space="preserve">effective, suitable for the highest-risk women (e.g., widely implemented in sub-Saharan Africa).  </w:t>
            </w:r>
            <w:r w:rsidRPr="00CB2EC4">
              <w:rPr>
                <w:rFonts w:ascii="Times New Roman" w:hAnsi="Times New Roman" w:cs="Times New Roman"/>
              </w:rPr>
              <w:br/>
              <w:t xml:space="preserve">  - The document indicates that HPV primary screening is more efficient than traditional methods (such as cytology), can increase screening coverage, and can be combined with other methods (such as visual inspection with acetic acid) to enable context-adapted screening strategies.  </w:t>
            </w:r>
            <w:r w:rsidRPr="00CB2EC4">
              <w:rPr>
                <w:rFonts w:ascii="Times New Roman" w:hAnsi="Times New Roman" w:cs="Times New Roman"/>
              </w:rPr>
              <w:br/>
              <w:t>summary: applicable due to high efficiency, sensitivity, long screening intervals, and suitability for resource-scarce environments.</w:t>
            </w:r>
          </w:p>
        </w:tc>
        <w:tc>
          <w:tcPr>
            <w:tcW w:w="1152" w:type="dxa"/>
            <w:vAlign w:val="center"/>
          </w:tcPr>
          <w:p w14:paraId="4909C6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1CDB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14F1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94B54D" w14:textId="77777777">
        <w:tc>
          <w:tcPr>
            <w:tcW w:w="2160" w:type="dxa"/>
            <w:vAlign w:val="center"/>
          </w:tcPr>
          <w:p w14:paraId="33CE9352"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6F691F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HPV primary screening is applicable in low-income countries.  </w:t>
            </w:r>
            <w:r w:rsidRPr="00CB2EC4">
              <w:rPr>
                <w:rFonts w:ascii="Times New Roman" w:hAnsi="Times New Roman" w:cs="Times New Roman"/>
              </w:rPr>
              <w:br/>
              <w:t xml:space="preserve">- High sensitivity and negative predictive value: HPV testing as a primary screening method is more sensitive than traditional cytology, more accurately identifies high-risk populations, and allows for extended screening intervals (e.g., every 5 years), or even a single lifetime screen in some cases, reducing resource demands.  </w:t>
            </w:r>
            <w:r w:rsidRPr="00CB2EC4">
              <w:rPr>
                <w:rFonts w:ascii="Times New Roman" w:hAnsi="Times New Roman" w:cs="Times New Roman"/>
              </w:rPr>
              <w:br/>
              <w:t xml:space="preserve">- Cost-effectiveness and feasibility: In resource-limited settings, HPV primary screening combined with visual inspection with acetic acid (VIA) is simpler and easier to implement. VIA has been widely adopted in low-income countries in sub-Saharan Africa due to its ease of operation and minimal equipment requirements.  </w:t>
            </w:r>
            <w:r w:rsidRPr="00CB2EC4">
              <w:rPr>
                <w:rFonts w:ascii="Times New Roman" w:hAnsi="Times New Roman" w:cs="Times New Roman"/>
              </w:rPr>
              <w:br/>
              <w:t xml:space="preserve">- Strong adaptability: Guidelines emphasize that different countries should adopt screening strategies that are "locally appropriate," prioritizing principles of being "feasible, simple, accurate, acceptable, and easily accessible to the highest-risk women." HPV primary screening meets these criteria.  </w:t>
            </w:r>
            <w:r w:rsidRPr="00CB2EC4">
              <w:rPr>
                <w:rFonts w:ascii="Times New Roman" w:hAnsi="Times New Roman" w:cs="Times New Roman"/>
              </w:rPr>
              <w:br/>
              <w:t xml:space="preserve">- Evidence: Document segment 2 states: "Many </w:t>
            </w:r>
            <w:r w:rsidRPr="00CB2EC4">
              <w:rPr>
                <w:rFonts w:ascii="Times New Roman" w:hAnsi="Times New Roman" w:cs="Times New Roman"/>
              </w:rPr>
              <w:lastRenderedPageBreak/>
              <w:t>healthcare systems are beginning to switch to HPV primary screening. This screening has higher sensitivity and negative predictive value, allowing for extended screening intervals, and in low-income countries, a single lifetime screen may be sufficient. VIA has been widely implemented in low-income countries in sub-Saharan Africa." Segment 25 adds: "HPV testing and acetic acid visual inspection are more efficient for screening in impoverished areas."</w:t>
            </w:r>
          </w:p>
        </w:tc>
        <w:tc>
          <w:tcPr>
            <w:tcW w:w="1152" w:type="dxa"/>
            <w:vAlign w:val="center"/>
          </w:tcPr>
          <w:p w14:paraId="0C4AC7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BD3CB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356C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FF4F74" w14:textId="77777777">
        <w:tc>
          <w:tcPr>
            <w:tcW w:w="2160" w:type="dxa"/>
            <w:vAlign w:val="center"/>
          </w:tcPr>
          <w:p w14:paraId="7EFC24F5"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A22D0F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HPV primary screening is applicable in low-income countries. The reasons are as follows:  </w:t>
            </w:r>
            <w:r w:rsidRPr="00CB2EC4">
              <w:rPr>
                <w:rFonts w:ascii="Times New Roman" w:hAnsi="Times New Roman" w:cs="Times New Roman"/>
              </w:rPr>
              <w:br/>
              <w:t xml:space="preserve">- HPV primary screening has higher sensitivity and negative predictive value, allowing for extended screening intervals and reduced screening frequency (Fragment 7).  </w:t>
            </w:r>
            <w:r w:rsidRPr="00CB2EC4">
              <w:rPr>
                <w:rFonts w:ascii="Times New Roman" w:hAnsi="Times New Roman" w:cs="Times New Roman"/>
              </w:rPr>
              <w:br/>
              <w:t xml:space="preserve">- In low-income or resource-poor areas, HPV testing (combined with visual inspection with acetic acid) enables efficient screening, potentially requiring only one lifetime screening, which lowers resource demands and improves accessibility (Fragments 7, 25).  </w:t>
            </w:r>
            <w:r w:rsidRPr="00CB2EC4">
              <w:rPr>
                <w:rFonts w:ascii="Times New Roman" w:hAnsi="Times New Roman" w:cs="Times New Roman"/>
              </w:rPr>
              <w:br/>
              <w:t xml:space="preserve">- Evidence: Fragment 7 explicitly states, "HPV primary screening has higher sensitivity and negative predictive value, allowing for extended screening intervals; in low-income countries, screening may be needed only once in a lifetime"; Fragment 25 adds, "HPV testing and visual inspection with acetic acid used for screening in impoverished areas have higher efficiency."  </w:t>
            </w:r>
            <w:r w:rsidRPr="00CB2EC4">
              <w:rPr>
                <w:rFonts w:ascii="Times New Roman" w:hAnsi="Times New Roman" w:cs="Times New Roman"/>
              </w:rPr>
              <w:br/>
              <w:t>Therefore, HPV primary screening is suitable for low-income countries due to its high efficiency, sensitivity, and ability to reduce screening frequency, making it appropriate for resource-limited settings.</w:t>
            </w:r>
          </w:p>
        </w:tc>
        <w:tc>
          <w:tcPr>
            <w:tcW w:w="1152" w:type="dxa"/>
            <w:vAlign w:val="center"/>
          </w:tcPr>
          <w:p w14:paraId="14B7D7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E514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3FBB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BCA7833" w14:textId="77777777">
        <w:tc>
          <w:tcPr>
            <w:tcW w:w="2160" w:type="dxa"/>
            <w:vAlign w:val="center"/>
          </w:tcPr>
          <w:p w14:paraId="469800B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50612634" w14:textId="77777777" w:rsidR="00922249" w:rsidRPr="00CB2EC4" w:rsidRDefault="003011D5">
            <w:pPr>
              <w:rPr>
                <w:rFonts w:ascii="Times New Roman" w:hAnsi="Times New Roman" w:cs="Times New Roman"/>
              </w:rPr>
            </w:pPr>
            <w:r w:rsidRPr="00CB2EC4">
              <w:rPr>
                <w:rFonts w:ascii="Times New Roman" w:hAnsi="Times New Roman" w:cs="Times New Roman"/>
              </w:rPr>
              <w:t>applicability of HPV primary screening in low-income countries and reasons</w:t>
            </w:r>
            <w:r w:rsidRPr="00CB2EC4">
              <w:rPr>
                <w:rFonts w:ascii="Times New Roman" w:hAnsi="Times New Roman" w:cs="Times New Roman"/>
              </w:rPr>
              <w:br/>
            </w:r>
            <w:r w:rsidRPr="00CB2EC4">
              <w:rPr>
                <w:rFonts w:ascii="Times New Roman" w:hAnsi="Times New Roman" w:cs="Times New Roman"/>
              </w:rPr>
              <w:br/>
              <w:t>Knowledge base document:</w:t>
            </w:r>
            <w:r w:rsidRPr="00CB2EC4">
              <w:rPr>
                <w:rFonts w:ascii="Times New Roman" w:hAnsi="Times New Roman" w:cs="Times New Roman"/>
              </w:rPr>
              <w:br/>
              <w:t>- Reasons for applicability:</w:t>
            </w:r>
            <w:r w:rsidRPr="00CB2EC4">
              <w:rPr>
                <w:rFonts w:ascii="Times New Roman" w:hAnsi="Times New Roman" w:cs="Times New Roman"/>
              </w:rPr>
              <w:br/>
              <w:t xml:space="preserve">  1. Higher sensitivity and negative predictive value: reduces missed diagnosis rates, allows for extended screening intervals (e.g., screening only once in a lifetime).</w:t>
            </w:r>
            <w:r w:rsidRPr="00CB2EC4">
              <w:rPr>
                <w:rFonts w:ascii="Times New Roman" w:hAnsi="Times New Roman" w:cs="Times New Roman"/>
              </w:rPr>
              <w:br/>
              <w:t xml:space="preserve">  2. Cost-effectiveness: suitable for resource-poor areas; VIA (visual inspection with acetic acid) is already widely used in sub-Saharan Africa.</w:t>
            </w:r>
            <w:r w:rsidRPr="00CB2EC4">
              <w:rPr>
                <w:rFonts w:ascii="Times New Roman" w:hAnsi="Times New Roman" w:cs="Times New Roman"/>
              </w:rPr>
              <w:br/>
              <w:t>- Source: Knowledge base document (1.2 Cervical Cancer Secondary Prevention)</w:t>
            </w:r>
            <w:r w:rsidRPr="00CB2EC4">
              <w:rPr>
                <w:rFonts w:ascii="Times New Roman" w:hAnsi="Times New Roman" w:cs="Times New Roman"/>
              </w:rPr>
              <w:br/>
            </w:r>
            <w:r w:rsidRPr="00CB2EC4">
              <w:rPr>
                <w:rFonts w:ascii="Times New Roman" w:hAnsi="Times New Roman" w:cs="Times New Roman"/>
              </w:rPr>
              <w:br/>
              <w:t>Supplementary information from web search results:</w:t>
            </w:r>
            <w:r w:rsidRPr="00CB2EC4">
              <w:rPr>
                <w:rFonts w:ascii="Times New Roman" w:hAnsi="Times New Roman" w:cs="Times New Roman"/>
              </w:rPr>
              <w:br/>
              <w:t>- WHO recommendation: HPV nucleic acid testing is the preferred primary screening method, especially suitable for resource-limited settings.</w:t>
            </w:r>
            <w:r w:rsidRPr="00CB2EC4">
              <w:rPr>
                <w:rFonts w:ascii="Times New Roman" w:hAnsi="Times New Roman" w:cs="Times New Roman"/>
              </w:rPr>
              <w:br/>
              <w:t>- Practice in China: cytology may be used where HPV testing is unavailable, but HPV primary screening is the trend.</w:t>
            </w:r>
            <w:r w:rsidRPr="00CB2EC4">
              <w:rPr>
                <w:rFonts w:ascii="Times New Roman" w:hAnsi="Times New Roman" w:cs="Times New Roman"/>
              </w:rPr>
              <w:br/>
              <w:t>- Source: Web search content (screening guidelines, low-income country strategies)</w:t>
            </w:r>
            <w:r w:rsidRPr="00CB2EC4">
              <w:rPr>
                <w:rFonts w:ascii="Times New Roman" w:hAnsi="Times New Roman" w:cs="Times New Roman"/>
              </w:rPr>
              <w:br/>
            </w:r>
            <w:r w:rsidRPr="00CB2EC4">
              <w:rPr>
                <w:rFonts w:ascii="Times New Roman" w:hAnsi="Times New Roman" w:cs="Times New Roman"/>
              </w:rPr>
              <w:br/>
              <w:t>Conclusion: Applicable, due to high sensitivity, low cost, and the ability to simplify the screening process.</w:t>
            </w:r>
            <w:r w:rsidRPr="00CB2EC4">
              <w:rPr>
                <w:rFonts w:ascii="Times New Roman" w:hAnsi="Times New Roman" w:cs="Times New Roman"/>
              </w:rPr>
              <w:br/>
            </w:r>
            <w:r w:rsidRPr="00CB2EC4">
              <w:rPr>
                <w:rFonts w:ascii="Times New Roman" w:hAnsi="Times New Roman" w:cs="Times New Roman"/>
              </w:rPr>
              <w:br/>
              <w:t>Key notes</w:t>
            </w:r>
            <w:r w:rsidRPr="00CB2EC4">
              <w:rPr>
                <w:rFonts w:ascii="Times New Roman" w:hAnsi="Times New Roman" w:cs="Times New Roman"/>
              </w:rPr>
              <w:br/>
              <w:t>- Information integration: All responses combined content from the knowledge base (20 documents) and web searches (10 documents); conflicts have been noted (e.g., HPV vaccine dosage).</w:t>
            </w:r>
            <w:r w:rsidRPr="00CB2EC4">
              <w:rPr>
                <w:rFonts w:ascii="Times New Roman" w:hAnsi="Times New Roman" w:cs="Times New Roman"/>
              </w:rPr>
              <w:br/>
              <w:t xml:space="preserve">- Uncovered questions: None; all content is based on </w:t>
            </w:r>
            <w:r w:rsidRPr="00CB2EC4">
              <w:rPr>
                <w:rFonts w:ascii="Times New Roman" w:hAnsi="Times New Roman" w:cs="Times New Roman"/>
              </w:rPr>
              <w:lastRenderedPageBreak/>
              <w:t>the provided materials.</w:t>
            </w:r>
            <w:r w:rsidRPr="00CB2EC4">
              <w:rPr>
                <w:rFonts w:ascii="Times New Roman" w:hAnsi="Times New Roman" w:cs="Times New Roman"/>
              </w:rPr>
              <w:br/>
              <w:t xml:space="preserve">  If further details are requested later, specific data or processes can be analyzed further.</w:t>
            </w:r>
          </w:p>
        </w:tc>
        <w:tc>
          <w:tcPr>
            <w:tcW w:w="1152" w:type="dxa"/>
            <w:vAlign w:val="center"/>
          </w:tcPr>
          <w:p w14:paraId="3A0387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603E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4CC9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ECD0F7" w14:textId="77777777">
        <w:tc>
          <w:tcPr>
            <w:tcW w:w="2160" w:type="dxa"/>
            <w:vAlign w:val="center"/>
          </w:tcPr>
          <w:p w14:paraId="2172337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52C33B8" w14:textId="77777777" w:rsidR="00922249" w:rsidRPr="00CB2EC4" w:rsidRDefault="003011D5">
            <w:pPr>
              <w:rPr>
                <w:rFonts w:ascii="Times New Roman" w:hAnsi="Times New Roman" w:cs="Times New Roman"/>
              </w:rPr>
            </w:pPr>
            <w:r w:rsidRPr="00CB2EC4">
              <w:rPr>
                <w:rFonts w:ascii="Times New Roman" w:hAnsi="Times New Roman" w:cs="Times New Roman"/>
              </w:rPr>
              <w:t>yes, it is suitable for low-income countries. According to document excerpt 3:</w:t>
            </w:r>
            <w:r w:rsidRPr="00CB2EC4">
              <w:rPr>
                <w:rFonts w:ascii="Times New Roman" w:hAnsi="Times New Roman" w:cs="Times New Roman"/>
              </w:rPr>
              <w:br/>
              <w:t xml:space="preserve">  - Reason: HPV primary screening has higher sensitivity and negative predictive value, allowing for extended screening intervals (even a single lifetime screen). In resource-limited regions such as sub-Saharan Africa, visual inspection with acetic acid (VIA) has been widely implemented due to its simplicity, feasibility, and low cost, aligning with the principle of "adapting measures to local conditions" (excerpt 3: "In low-income countries, one lifetime screen may suffice... VIA has been widely implemented in sub-Saharan African low-income countries").</w:t>
            </w:r>
            <w:r w:rsidRPr="00CB2EC4">
              <w:rPr>
                <w:rFonts w:ascii="Times New Roman" w:hAnsi="Times New Roman" w:cs="Times New Roman"/>
              </w:rPr>
              <w:br/>
            </w:r>
            <w:r w:rsidRPr="00CB2EC4">
              <w:rPr>
                <w:rFonts w:ascii="Times New Roman" w:hAnsi="Times New Roman" w:cs="Times New Roman"/>
              </w:rPr>
              <w:br/>
              <w:t>All responses are based solely on the provided document excerpts, with no external information added.</w:t>
            </w:r>
          </w:p>
        </w:tc>
        <w:tc>
          <w:tcPr>
            <w:tcW w:w="1152" w:type="dxa"/>
            <w:vAlign w:val="center"/>
          </w:tcPr>
          <w:p w14:paraId="7BC8E0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4B14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4B1E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8979589" w14:textId="77777777">
        <w:tc>
          <w:tcPr>
            <w:tcW w:w="2160" w:type="dxa"/>
            <w:vAlign w:val="center"/>
          </w:tcPr>
          <w:p w14:paraId="6B19802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C562BB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HPV primary screening is applicable in low-income countries. The reasons are as follows:  </w:t>
            </w:r>
            <w:r w:rsidRPr="00CB2EC4">
              <w:rPr>
                <w:rFonts w:ascii="Times New Roman" w:hAnsi="Times New Roman" w:cs="Times New Roman"/>
              </w:rPr>
              <w:br/>
              <w:t xml:space="preserve">- High sensitivity and high negative predictive value: HPV testing is more sensitive than conventional cytology (e.g., Pap smear) and can more accurately identify high-risk populations, reducing missed diagnoses.  </w:t>
            </w:r>
            <w:r w:rsidRPr="00CB2EC4">
              <w:rPr>
                <w:rFonts w:ascii="Times New Roman" w:hAnsi="Times New Roman" w:cs="Times New Roman"/>
              </w:rPr>
              <w:br/>
              <w:t xml:space="preserve">- Allows for extended screening intervals: Due to its high negative predictive value, HPV primary screening can extend screening intervals to 3–5 years, or even enable "screen-and-treat" or "one-time screening for life" in resource-limited settings, thereby </w:t>
            </w:r>
            <w:r w:rsidRPr="00CB2EC4">
              <w:rPr>
                <w:rFonts w:ascii="Times New Roman" w:hAnsi="Times New Roman" w:cs="Times New Roman"/>
              </w:rPr>
              <w:lastRenderedPageBreak/>
              <w:t xml:space="preserve">reducing healthcare burden.  </w:t>
            </w:r>
            <w:r w:rsidRPr="00CB2EC4">
              <w:rPr>
                <w:rFonts w:ascii="Times New Roman" w:hAnsi="Times New Roman" w:cs="Times New Roman"/>
              </w:rPr>
              <w:br/>
              <w:t xml:space="preserve">- Cost-effectiveness and feasibility: HPV testing is relatively simple to perform and can be promoted at the primary care level; when combined with visual inspection with acetic acid (VIA) and other methods, it is particularly suitable for resource-poor regions. Document 2 explicitly states that "it has been widely implemented in sub-Saharan African low-income countries" and emphasizes that "different countries should choose screening methods tailored to local conditions."  </w:t>
            </w:r>
            <w:r w:rsidRPr="00CB2EC4">
              <w:rPr>
                <w:rFonts w:ascii="Times New Roman" w:hAnsi="Times New Roman" w:cs="Times New Roman"/>
              </w:rPr>
              <w:br/>
              <w:t>This conclusion is based on the "Secondary Prevention of Cervical Cancer" section in Document 2, which discusses the advantages of HPV primary screening in low-income countries.</w:t>
            </w:r>
          </w:p>
        </w:tc>
        <w:tc>
          <w:tcPr>
            <w:tcW w:w="1152" w:type="dxa"/>
            <w:vAlign w:val="center"/>
          </w:tcPr>
          <w:p w14:paraId="20D7D3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D36B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CFDE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A84B9D" w14:textId="77777777">
        <w:tc>
          <w:tcPr>
            <w:tcW w:w="2160" w:type="dxa"/>
            <w:vAlign w:val="center"/>
          </w:tcPr>
          <w:p w14:paraId="1A509C1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180C060" w14:textId="77777777" w:rsidR="00922249" w:rsidRPr="00CB2EC4" w:rsidRDefault="003011D5">
            <w:pPr>
              <w:rPr>
                <w:rFonts w:ascii="Times New Roman" w:hAnsi="Times New Roman" w:cs="Times New Roman"/>
              </w:rPr>
            </w:pPr>
            <w:r w:rsidRPr="00CB2EC4">
              <w:rPr>
                <w:rFonts w:ascii="Times New Roman" w:hAnsi="Times New Roman" w:cs="Times New Roman"/>
              </w:rPr>
              <w:t>yes, HPV primary screening is applicable in low-income countries. The reasons are as follows:</w:t>
            </w:r>
            <w:r w:rsidRPr="00CB2EC4">
              <w:rPr>
                <w:rFonts w:ascii="Times New Roman" w:hAnsi="Times New Roman" w:cs="Times New Roman"/>
              </w:rPr>
              <w:br/>
            </w:r>
            <w:r w:rsidRPr="00CB2EC4">
              <w:rPr>
                <w:rFonts w:ascii="Times New Roman" w:hAnsi="Times New Roman" w:cs="Times New Roman"/>
              </w:rPr>
              <w:br/>
              <w:t xml:space="preserve">1. Applicability: HPV testing as a primary screening method has high sensitivity and negative predictive value, allowing for extended screening intervals (e.g., screening only once in a lifetime), which is suitable for resource-limited settings.  </w:t>
            </w:r>
            <w:r w:rsidRPr="00CB2EC4">
              <w:rPr>
                <w:rFonts w:ascii="Times New Roman" w:hAnsi="Times New Roman" w:cs="Times New Roman"/>
              </w:rPr>
              <w:br/>
              <w:t xml:space="preserve">2. Alternative method: Visual inspection with acetic acid (VIA) is widely implemented in low-income countries such as sub-Saharan Africa due to its simplicity, feasibility, and low cost.  </w:t>
            </w:r>
            <w:r w:rsidRPr="00CB2EC4">
              <w:rPr>
                <w:rFonts w:ascii="Times New Roman" w:hAnsi="Times New Roman" w:cs="Times New Roman"/>
              </w:rPr>
              <w:br/>
              <w:t xml:space="preserve">3. Principle: Screening strategies must be adapted to local conditions, emphasizing feasibility, simplicity, accuracy, and acceptability.  </w:t>
            </w:r>
            <w:r w:rsidRPr="00CB2EC4">
              <w:rPr>
                <w:rFonts w:ascii="Times New Roman" w:hAnsi="Times New Roman" w:cs="Times New Roman"/>
              </w:rPr>
              <w:br/>
              <w:t xml:space="preserve">- Citation basis: "Many healthcare systems are beginning to switch to HPV primary screening. This screening has higher sensitivity and negative predictive value, allowing for extended screening </w:t>
            </w:r>
            <w:r w:rsidRPr="00CB2EC4">
              <w:rPr>
                <w:rFonts w:ascii="Times New Roman" w:hAnsi="Times New Roman" w:cs="Times New Roman"/>
              </w:rPr>
              <w:lastRenderedPageBreak/>
              <w:t>intervals, even in low-income countries where screening may occur only once in a lifetime. VIA involves applying freshly prepared 3%</w:t>
            </w:r>
            <w:r w:rsidRPr="00CB2EC4">
              <w:rPr>
                <w:rFonts w:ascii="Times New Roman" w:hAnsi="Times New Roman" w:cs="Times New Roman"/>
              </w:rPr>
              <w:t>～</w:t>
            </w:r>
            <w:r w:rsidRPr="00CB2EC4">
              <w:rPr>
                <w:rFonts w:ascii="Times New Roman" w:hAnsi="Times New Roman" w:cs="Times New Roman"/>
              </w:rPr>
              <w:t>5% acetic acid for 1 min to the cervix and then observing for acetowhite lesions. It has been widely implemented in low-income countries in sub-Saharan Africa. Different countries should choose cervical cancer screening methods suited to their local conditions" (HyDE similarity 0.591).</w:t>
            </w:r>
          </w:p>
        </w:tc>
        <w:tc>
          <w:tcPr>
            <w:tcW w:w="1152" w:type="dxa"/>
            <w:vAlign w:val="center"/>
          </w:tcPr>
          <w:p w14:paraId="6360E8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B82D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FB9BD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D6287C6" w14:textId="77777777">
        <w:tc>
          <w:tcPr>
            <w:tcW w:w="2160" w:type="dxa"/>
            <w:vAlign w:val="center"/>
          </w:tcPr>
          <w:p w14:paraId="4A69BDFF"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5AAB20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HPV primary screening is suitable for low-income countries. The reasons are as follows:  </w:t>
            </w:r>
            <w:r w:rsidRPr="00CB2EC4">
              <w:rPr>
                <w:rFonts w:ascii="Times New Roman" w:hAnsi="Times New Roman" w:cs="Times New Roman"/>
              </w:rPr>
              <w:br/>
              <w:t xml:space="preserve">- Higher sensitivity and negative predictive value: HPV primary screening is more sensitive than traditional cytology (e.g., Pap smear) and can more accurately identify high-risk individuals, reducing missed diagnoses. A high negative predictive value means negative results are reliable, allowing for extended screening intervals.  </w:t>
            </w:r>
            <w:r w:rsidRPr="00CB2EC4">
              <w:rPr>
                <w:rFonts w:ascii="Times New Roman" w:hAnsi="Times New Roman" w:cs="Times New Roman"/>
              </w:rPr>
              <w:br/>
              <w:t xml:space="preserve">- Allows for extended screening intervals: Due to its high efficacy, HPV primary screening can extend screening intervals to 3–5 years, or even enable "screen once in a lifetime" in resource-limited settings, reducing healthcare burden.  </w:t>
            </w:r>
            <w:r w:rsidRPr="00CB2EC4">
              <w:rPr>
                <w:rFonts w:ascii="Times New Roman" w:hAnsi="Times New Roman" w:cs="Times New Roman"/>
              </w:rPr>
              <w:br/>
              <w:t xml:space="preserve">- High cost-effectiveness: HPV testing is relatively simple to operate and suitable for primary care; in low-income countries, it can be implemented in combination with low-cost methods such as visual inspection with acetic acid (VIA), improving screening coverage.  </w:t>
            </w:r>
            <w:r w:rsidRPr="00CB2EC4">
              <w:rPr>
                <w:rFonts w:ascii="Times New Roman" w:hAnsi="Times New Roman" w:cs="Times New Roman"/>
              </w:rPr>
              <w:br/>
              <w:t xml:space="preserve">- Suitable for resource-poor environments: Guidelines emphasize that different countries should adopt cervical cancer screening methods that are "locally appropriate." HPV primary screening is a preferred </w:t>
            </w:r>
            <w:r w:rsidRPr="00CB2EC4">
              <w:rPr>
                <w:rFonts w:ascii="Times New Roman" w:hAnsi="Times New Roman" w:cs="Times New Roman"/>
              </w:rPr>
              <w:lastRenderedPageBreak/>
              <w:t xml:space="preserve">option for low-income countries due to its feasibility, simplicity, accuracy, and acceptability, ensuring the highest-risk women can easily access it.  </w:t>
            </w:r>
            <w:r w:rsidRPr="00CB2EC4">
              <w:rPr>
                <w:rFonts w:ascii="Times New Roman" w:hAnsi="Times New Roman" w:cs="Times New Roman"/>
              </w:rPr>
              <w:br/>
            </w:r>
            <w:r w:rsidRPr="00CB2EC4">
              <w:rPr>
                <w:rFonts w:ascii="Times New Roman" w:hAnsi="Times New Roman" w:cs="Times New Roman"/>
              </w:rPr>
              <w:br/>
              <w:t>Key evidence: Document excerpt 3 states, "Many healthcare systems are beginning to switch to HPV primary screening. This screening has higher sensitivity and negative predictive value, allowing for extended screening intervals, even enabling screen once in a lifetime in low-income countries," and "Different countries should choose locally appropriate cervical cancer screening methods. The principles for selecting screening strategies are feasibility, simplicity, accuracy, acceptability, and ensuring the highest-risk women can easily use them."</w:t>
            </w:r>
          </w:p>
        </w:tc>
        <w:tc>
          <w:tcPr>
            <w:tcW w:w="1152" w:type="dxa"/>
            <w:vAlign w:val="center"/>
          </w:tcPr>
          <w:p w14:paraId="107DBB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29A4C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7526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B4CC045" w14:textId="77777777">
        <w:tc>
          <w:tcPr>
            <w:tcW w:w="2160" w:type="dxa"/>
            <w:vAlign w:val="center"/>
          </w:tcPr>
          <w:p w14:paraId="17FF6337"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B8DF5D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HPV primary screening (i.e., using HPV testing as the initial screening method) is applicable to low-income countries for the following reasons:  </w:t>
            </w:r>
            <w:r w:rsidRPr="00CB2EC4">
              <w:rPr>
                <w:rFonts w:ascii="Times New Roman" w:hAnsi="Times New Roman" w:cs="Times New Roman"/>
              </w:rPr>
              <w:br/>
              <w:t xml:space="preserve">- HPV primary screening has higher sensitivity and negative predictive value, meaning it can more accurately identify high-risk populations and reduce false-negative results.  </w:t>
            </w:r>
            <w:r w:rsidRPr="00CB2EC4">
              <w:rPr>
                <w:rFonts w:ascii="Times New Roman" w:hAnsi="Times New Roman" w:cs="Times New Roman"/>
              </w:rPr>
              <w:br/>
              <w:t xml:space="preserve">- It allows for extended screening intervals (e.g., screening only once in a lifetime), which is more feasible and cost-effective in resource-limited low-income countries (such as sub-Saharan Africa).  </w:t>
            </w:r>
            <w:r w:rsidRPr="00CB2EC4">
              <w:rPr>
                <w:rFonts w:ascii="Times New Roman" w:hAnsi="Times New Roman" w:cs="Times New Roman"/>
              </w:rPr>
              <w:br/>
              <w:t xml:space="preserve">- The document states that similar methods (e.g., visual inspection with acetic acid, VIA) have been widely implemented in low-income countries and emphasizes that screening strategies should be adapted to local conditions, with selection principles including feasibility, simplicity, accuracy, acceptability, and ease of use for women at highest risk.  </w:t>
            </w:r>
            <w:r w:rsidRPr="00CB2EC4">
              <w:rPr>
                <w:rFonts w:ascii="Times New Roman" w:hAnsi="Times New Roman" w:cs="Times New Roman"/>
              </w:rPr>
              <w:br/>
            </w:r>
            <w:r w:rsidRPr="00CB2EC4">
              <w:rPr>
                <w:rFonts w:ascii="Times New Roman" w:hAnsi="Times New Roman" w:cs="Times New Roman"/>
              </w:rPr>
              <w:lastRenderedPageBreak/>
              <w:t>(Source: The document explicitly states, for example, "Many healthcare systems are beginning to switch to HPV primary screening. This screening has higher sensitivity and negative predictive value, allows for extended screening intervals, and in low-income countries, may involve screening only once in a lifetime. VIA... has been widely implemented in sub-Saharan African low-income countries. Different countries should choose cervical cancer screening methods adapted to local conditions. The principles for selecting screening strategies are feasibility, simplicity, accuracy, acceptability, and ease of use for the highest-risk women.")</w:t>
            </w:r>
          </w:p>
        </w:tc>
        <w:tc>
          <w:tcPr>
            <w:tcW w:w="1152" w:type="dxa"/>
            <w:vAlign w:val="center"/>
          </w:tcPr>
          <w:p w14:paraId="501E2B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0657C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5942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E3ADAB" w14:textId="77777777">
        <w:tc>
          <w:tcPr>
            <w:tcW w:w="2160" w:type="dxa"/>
            <w:vAlign w:val="center"/>
          </w:tcPr>
          <w:p w14:paraId="0A78DD94"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9D9275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HPV primary screening is applicable in low-income countries.  </w:t>
            </w:r>
            <w:r w:rsidRPr="00CB2EC4">
              <w:rPr>
                <w:rFonts w:ascii="Times New Roman" w:hAnsi="Times New Roman" w:cs="Times New Roman"/>
              </w:rPr>
              <w:br/>
              <w:t xml:space="preserve">the reasons are:  </w:t>
            </w:r>
            <w:r w:rsidRPr="00CB2EC4">
              <w:rPr>
                <w:rFonts w:ascii="Times New Roman" w:hAnsi="Times New Roman" w:cs="Times New Roman"/>
              </w:rPr>
              <w:br/>
              <w:t xml:space="preserve">- HPV testing offers higher sensitivity and negative predictive value (NPV), allowing for extended screening intervals (e.g., once in a lifetime), which is more feasible in resource-limited settings.  </w:t>
            </w:r>
            <w:r w:rsidRPr="00CB2EC4">
              <w:rPr>
                <w:rFonts w:ascii="Times New Roman" w:hAnsi="Times New Roman" w:cs="Times New Roman"/>
              </w:rPr>
              <w:br/>
              <w:t xml:space="preserve">- HPV primary screening is simple, accurate, highly acceptable, and easy to implement among the highest-risk women (e.g., with visual inspection with acetic acid (VIA) as an adjunct).  </w:t>
            </w:r>
            <w:r w:rsidRPr="00CB2EC4">
              <w:rPr>
                <w:rFonts w:ascii="Times New Roman" w:hAnsi="Times New Roman" w:cs="Times New Roman"/>
              </w:rPr>
              <w:br/>
              <w:t>- the context states: “different countries should choose cervical cancer screening methods suited to local conditions,” emphasizing principles including “feasible, simple, accurate, acceptable, and easily usable by the highest-risk women.” HPV primary screening aligns with these principles and has proven effective in high-burden, low-income countries (e.g., sub-Saharan Africa).</w:t>
            </w:r>
          </w:p>
        </w:tc>
        <w:tc>
          <w:tcPr>
            <w:tcW w:w="1152" w:type="dxa"/>
            <w:vAlign w:val="center"/>
          </w:tcPr>
          <w:p w14:paraId="7AC643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0E5B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8E547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B7C8AF" w14:textId="77777777">
        <w:tc>
          <w:tcPr>
            <w:tcW w:w="2160" w:type="dxa"/>
            <w:vAlign w:val="center"/>
          </w:tcPr>
          <w:p w14:paraId="4F8A3AF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505A26D" w14:textId="77777777" w:rsidR="00922249" w:rsidRPr="00CB2EC4" w:rsidRDefault="003011D5">
            <w:pPr>
              <w:rPr>
                <w:rFonts w:ascii="Times New Roman" w:hAnsi="Times New Roman" w:cs="Times New Roman"/>
              </w:rPr>
            </w:pPr>
            <w:r w:rsidRPr="00CB2EC4">
              <w:rPr>
                <w:rFonts w:ascii="Times New Roman" w:hAnsi="Times New Roman" w:cs="Times New Roman"/>
              </w:rPr>
              <w:t>yes, HPV primary screening is applicable in low-</w:t>
            </w:r>
            <w:r w:rsidRPr="00CB2EC4">
              <w:rPr>
                <w:rFonts w:ascii="Times New Roman" w:hAnsi="Times New Roman" w:cs="Times New Roman"/>
              </w:rPr>
              <w:lastRenderedPageBreak/>
              <w:t xml:space="preserve">income countries. The reasons are as follows:  </w:t>
            </w:r>
            <w:r w:rsidRPr="00CB2EC4">
              <w:rPr>
                <w:rFonts w:ascii="Times New Roman" w:hAnsi="Times New Roman" w:cs="Times New Roman"/>
              </w:rPr>
              <w:br/>
              <w:t xml:space="preserve">- Higher sensitivity and negative predictive value: HPV testing is more sensitive than conventional cytology (e.g., Pap smear) and can more accurately identify high-risk individuals, reducing missed diagnoses. A negative result provides high confidence, allowing for extended screening intervals (e.g., screening only once in a lifetime), which is particularly important in resource-limited settings.  </w:t>
            </w:r>
            <w:r w:rsidRPr="00CB2EC4">
              <w:rPr>
                <w:rFonts w:ascii="Times New Roman" w:hAnsi="Times New Roman" w:cs="Times New Roman"/>
              </w:rPr>
              <w:br/>
              <w:t xml:space="preserve">- Feasibility and simplicity: HPV testing involves simple procedures, does not require highly specialized laboratories or personnel, and is easy to implement in primary healthcare. The document notes that auxiliary methods such as visual inspection with acetic acid (VIA) are already widely used in low-income countries (e.g., sub-Saharan Africa) and can be combined with HPV primary screening to improve efficiency.  </w:t>
            </w:r>
            <w:r w:rsidRPr="00CB2EC4">
              <w:rPr>
                <w:rFonts w:ascii="Times New Roman" w:hAnsi="Times New Roman" w:cs="Times New Roman"/>
              </w:rPr>
              <w:br/>
              <w:t xml:space="preserve">- Cost-effectiveness and acceptability: HPV primary screening reduces screening frequency and the need for follow-up examinations, lowering overall costs. The document emphasizes that screening strategies should be "feasible, simple, accurate, acceptable, and easily accessible to women at highest risk"; HPV primary screening meets these principles and is especially suitable for socioeconomically underdeveloped regions.  </w:t>
            </w:r>
            <w:r w:rsidRPr="00CB2EC4">
              <w:rPr>
                <w:rFonts w:ascii="Times New Roman" w:hAnsi="Times New Roman" w:cs="Times New Roman"/>
              </w:rPr>
              <w:br/>
              <w:t xml:space="preserve">- Additional note: In low-income countries, HPV primary screening can replace cytology as the preferred method. Combined with vaccination, it contributes to the elimination of cervical cancer.  </w:t>
            </w:r>
            <w:r w:rsidRPr="00CB2EC4">
              <w:rPr>
                <w:rFonts w:ascii="Times New Roman" w:hAnsi="Times New Roman" w:cs="Times New Roman"/>
              </w:rPr>
              <w:br/>
            </w:r>
            <w:r w:rsidRPr="00CB2EC4">
              <w:rPr>
                <w:rFonts w:ascii="Times New Roman" w:hAnsi="Times New Roman" w:cs="Times New Roman"/>
              </w:rPr>
              <w:br/>
              <w:t xml:space="preserve">This information is based on the document's discussion of cervical cancer screening strategies (e.g., </w:t>
            </w:r>
            <w:r w:rsidRPr="00CB2EC4">
              <w:rPr>
                <w:rFonts w:ascii="Times New Roman" w:hAnsi="Times New Roman" w:cs="Times New Roman"/>
              </w:rPr>
              <w:lastRenderedPageBreak/>
              <w:t>"HPV testing and visual inspection with acetic acid for screening in impoverished areas have higher efficiency."; "In low-income countries, screening can be done only once in a lifetime."; "Different countries should choose cervical cancer screening methods suited to local conditions.").</w:t>
            </w:r>
          </w:p>
        </w:tc>
        <w:tc>
          <w:tcPr>
            <w:tcW w:w="1152" w:type="dxa"/>
            <w:vAlign w:val="center"/>
          </w:tcPr>
          <w:p w14:paraId="4434F1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0EC9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855CD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28E4C0" w14:textId="77777777">
        <w:tc>
          <w:tcPr>
            <w:tcW w:w="2160" w:type="dxa"/>
            <w:vAlign w:val="center"/>
          </w:tcPr>
          <w:p w14:paraId="1B9AD0D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1D4ABE4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HPV primary screening is applicable in low-income countries for the following reasons:  </w:t>
            </w:r>
            <w:r w:rsidRPr="00CB2EC4">
              <w:rPr>
                <w:rFonts w:ascii="Times New Roman" w:hAnsi="Times New Roman" w:cs="Times New Roman"/>
              </w:rPr>
              <w:br/>
              <w:t xml:space="preserve">- Higher sensitivity and efficiency: HPV testing is more sensitive than conventional cytology, enabling earlier detection of precancerous lesions. Its high negative predictive value allows for extended screening intervals (e.g., once in a lifetime), reducing resource consumption (Document 3: correlation 0.9232).  </w:t>
            </w:r>
            <w:r w:rsidRPr="00CB2EC4">
              <w:rPr>
                <w:rFonts w:ascii="Times New Roman" w:hAnsi="Times New Roman" w:cs="Times New Roman"/>
              </w:rPr>
              <w:br/>
              <w:t xml:space="preserve">- Simplicity and feasibility: When combined with visual inspection with acetic acid (VIA), the method is simple, low-cost, and requires no advanced laboratory equipment, making it suitable for resource-limited settings (Document 3: correlation 0.9232; Document 11: correlation 0.7630).  </w:t>
            </w:r>
            <w:r w:rsidRPr="00CB2EC4">
              <w:rPr>
                <w:rFonts w:ascii="Times New Roman" w:hAnsi="Times New Roman" w:cs="Times New Roman"/>
              </w:rPr>
              <w:br/>
              <w:t xml:space="preserve">- Acceptability and coverage: Easy to implement at the community level, it increases screening coverage among high-risk women and aligns with the principles of being "feasible, simple, accurate, and acceptable" (Document 3: correlation 0.9232).  </w:t>
            </w:r>
            <w:r w:rsidRPr="00CB2EC4">
              <w:rPr>
                <w:rFonts w:ascii="Times New Roman" w:hAnsi="Times New Roman" w:cs="Times New Roman"/>
              </w:rPr>
              <w:br/>
              <w:t>- Evidence: The context emphasizes that low-income countries should adopt screening methods tailored to local conditions, with HPV primary screening and VIA widely implemented in regions such as sub-Saharan Africa.</w:t>
            </w:r>
          </w:p>
        </w:tc>
        <w:tc>
          <w:tcPr>
            <w:tcW w:w="1152" w:type="dxa"/>
            <w:vAlign w:val="center"/>
          </w:tcPr>
          <w:p w14:paraId="577221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083B8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4BE1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79D96B" w14:textId="77777777">
        <w:tc>
          <w:tcPr>
            <w:tcW w:w="2160" w:type="dxa"/>
            <w:vAlign w:val="center"/>
          </w:tcPr>
          <w:p w14:paraId="35DC64AE"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30F334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HPV primary screening is applicable in low-income countries for the following reasons:  </w:t>
            </w:r>
            <w:r w:rsidRPr="00CB2EC4">
              <w:rPr>
                <w:rFonts w:ascii="Times New Roman" w:hAnsi="Times New Roman" w:cs="Times New Roman"/>
              </w:rPr>
              <w:br/>
            </w:r>
            <w:r w:rsidRPr="00CB2EC4">
              <w:rPr>
                <w:rFonts w:ascii="Times New Roman" w:hAnsi="Times New Roman" w:cs="Times New Roman"/>
              </w:rPr>
              <w:lastRenderedPageBreak/>
              <w:t xml:space="preserve">- Applicability: Yes, HPV primary screening is applicable in low-income countries.  </w:t>
            </w:r>
            <w:r w:rsidRPr="00CB2EC4">
              <w:rPr>
                <w:rFonts w:ascii="Times New Roman" w:hAnsi="Times New Roman" w:cs="Times New Roman"/>
              </w:rPr>
              <w:br/>
              <w:t xml:space="preserve">- Why: As an initial screening method, HPV testing offers higher sensitivity and negative predictive value, allowing for extended screening intervals, thereby reducing screening frequency and costs. In resource-limited settings, this enables an efficient strategy of screening only once in a lifetime. For example, in sub-Saharan African low-income countries, HPV primary screening has been promoted because it is simple, accurate, feasible, and can target high-risk female populations.  </w:t>
            </w:r>
            <w:r w:rsidRPr="00CB2EC4">
              <w:rPr>
                <w:rFonts w:ascii="Times New Roman" w:hAnsi="Times New Roman" w:cs="Times New Roman"/>
              </w:rPr>
              <w:br/>
              <w:t>This information is based on relevant excerpt 2 (Management Process for Abnormal Cervical Cancer Screening Results, specifically the discussion on HPV as primary screening).</w:t>
            </w:r>
          </w:p>
        </w:tc>
        <w:tc>
          <w:tcPr>
            <w:tcW w:w="1152" w:type="dxa"/>
            <w:vAlign w:val="center"/>
          </w:tcPr>
          <w:p w14:paraId="592E79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6EC1D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2903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74570A" w14:textId="77777777">
        <w:tc>
          <w:tcPr>
            <w:tcW w:w="2160" w:type="dxa"/>
            <w:vAlign w:val="center"/>
          </w:tcPr>
          <w:p w14:paraId="4096A341"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E01D61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HPV primary screening is applicable in low-income countries for the following reasons:  </w:t>
            </w:r>
            <w:r w:rsidRPr="00CB2EC4">
              <w:rPr>
                <w:rFonts w:ascii="Times New Roman" w:hAnsi="Times New Roman" w:cs="Times New Roman"/>
              </w:rPr>
              <w:br/>
              <w:t xml:space="preserve">- Applicability: Yes, HPV primary screening (using HPV testing alone as the initial screening method) is recommended for low-income countries.  </w:t>
            </w:r>
            <w:r w:rsidRPr="00CB2EC4">
              <w:rPr>
                <w:rFonts w:ascii="Times New Roman" w:hAnsi="Times New Roman" w:cs="Times New Roman"/>
              </w:rPr>
              <w:br/>
              <w:t xml:space="preserve">- Reasons:  </w:t>
            </w:r>
            <w:r w:rsidRPr="00CB2EC4">
              <w:rPr>
                <w:rFonts w:ascii="Times New Roman" w:hAnsi="Times New Roman" w:cs="Times New Roman"/>
              </w:rPr>
              <w:br/>
              <w:t xml:space="preserve">  - High sensitivity and cost-effectiveness: HPV testing has high sensitivity (&gt;90%), effectively identifies high-risk populations, reduces missed diagnoses; and is simple to operate, enabling self-sampling, which lowers dependence on professional personnel and infrastructure.  </w:t>
            </w:r>
            <w:r w:rsidRPr="00CB2EC4">
              <w:rPr>
                <w:rFonts w:ascii="Times New Roman" w:hAnsi="Times New Roman" w:cs="Times New Roman"/>
              </w:rPr>
              <w:br/>
              <w:t xml:space="preserve">  - Resource optimization: In resource-limited settings, HPV primary screening is easier to implement than cytology (Pap smear), as it does not require frequent laboratory support or highly skilled staff, making it suitable for large-scale population screening.  </w:t>
            </w:r>
            <w:r w:rsidRPr="00CB2EC4">
              <w:rPr>
                <w:rFonts w:ascii="Times New Roman" w:hAnsi="Times New Roman" w:cs="Times New Roman"/>
              </w:rPr>
              <w:br/>
              <w:t xml:space="preserve">  - Public health benefit: It can significantly reduce </w:t>
            </w:r>
            <w:r w:rsidRPr="00CB2EC4">
              <w:rPr>
                <w:rFonts w:ascii="Times New Roman" w:hAnsi="Times New Roman" w:cs="Times New Roman"/>
              </w:rPr>
              <w:lastRenderedPageBreak/>
              <w:t>cervical cancer incidence and mortality, especially when combined with triage strategies (e.g., referral to colposcopy for HPV-positive cases), aligning with the WHO-recommended "screen-and-treat" model.</w:t>
            </w:r>
          </w:p>
        </w:tc>
        <w:tc>
          <w:tcPr>
            <w:tcW w:w="1152" w:type="dxa"/>
            <w:vAlign w:val="center"/>
          </w:tcPr>
          <w:p w14:paraId="577F3C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7457A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84D8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470155" w14:textId="77777777">
        <w:tc>
          <w:tcPr>
            <w:tcW w:w="10656" w:type="dxa"/>
            <w:gridSpan w:val="5"/>
            <w:tcBorders>
              <w:bottom w:val="single" w:sz="6" w:space="0" w:color="auto"/>
            </w:tcBorders>
            <w:vAlign w:val="center"/>
          </w:tcPr>
          <w:p w14:paraId="283BEED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36: which cervical cancer screening methods are widely used in low-income countries, particularly in sub-Saharan Africa?</w:t>
            </w:r>
          </w:p>
        </w:tc>
      </w:tr>
      <w:tr w:rsidR="00922249" w:rsidRPr="00CB2EC4" w14:paraId="4734E919" w14:textId="77777777">
        <w:tc>
          <w:tcPr>
            <w:tcW w:w="2160" w:type="dxa"/>
            <w:vAlign w:val="center"/>
          </w:tcPr>
          <w:p w14:paraId="250ACF1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AB70AC2" w14:textId="77777777" w:rsidR="00922249" w:rsidRPr="00CB2EC4" w:rsidRDefault="003011D5">
            <w:pPr>
              <w:rPr>
                <w:rFonts w:ascii="Times New Roman" w:hAnsi="Times New Roman" w:cs="Times New Roman"/>
              </w:rPr>
            </w:pPr>
            <w:r w:rsidRPr="00CB2EC4">
              <w:rPr>
                <w:rFonts w:ascii="Times New Roman" w:hAnsi="Times New Roman" w:cs="Times New Roman"/>
              </w:rPr>
              <w:t>In low-income countries, particularly in sub-Saharan Africa, visual inspection with acetic acid (VIA) is widely used as a cervical cancer screening method. Specifically, as described in the document: "VIA involves applying freshly prepared 3%</w:t>
            </w:r>
            <w:r w:rsidRPr="00CB2EC4">
              <w:rPr>
                <w:rFonts w:ascii="Times New Roman" w:hAnsi="Times New Roman" w:cs="Times New Roman"/>
              </w:rPr>
              <w:t>～</w:t>
            </w:r>
            <w:r w:rsidRPr="00CB2EC4">
              <w:rPr>
                <w:rFonts w:ascii="Times New Roman" w:hAnsi="Times New Roman" w:cs="Times New Roman"/>
              </w:rPr>
              <w:t>5% acetic acid to the cervix for 1 min and then observing for acetowhite lesions. It has been widely implemented in low-income countries in sub-Saharan Africa." This method is promoted due to its simplicity, low cost, and ease of implementation in resource-limited settings. However, the document also emphasizes that different countries should adopt screening strategies tailored to local conditions, ensuring feasibility, simplicity, accuracy, and acceptability.</w:t>
            </w:r>
          </w:p>
        </w:tc>
        <w:tc>
          <w:tcPr>
            <w:tcW w:w="1152" w:type="dxa"/>
            <w:vAlign w:val="center"/>
          </w:tcPr>
          <w:p w14:paraId="4B247B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AE8B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18EC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A380AC" w14:textId="77777777">
        <w:tc>
          <w:tcPr>
            <w:tcW w:w="2160" w:type="dxa"/>
            <w:vAlign w:val="center"/>
          </w:tcPr>
          <w:p w14:paraId="53DF49AF"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81AA41A" w14:textId="77777777" w:rsidR="00922249" w:rsidRPr="00CB2EC4" w:rsidRDefault="003011D5">
            <w:pPr>
              <w:rPr>
                <w:rFonts w:ascii="Times New Roman" w:hAnsi="Times New Roman" w:cs="Times New Roman"/>
              </w:rPr>
            </w:pPr>
            <w:r w:rsidRPr="00CB2EC4">
              <w:rPr>
                <w:rFonts w:ascii="Times New Roman" w:hAnsi="Times New Roman" w:cs="Times New Roman"/>
              </w:rPr>
              <w:t>in low-income countries, particularly in sub-Saharan Africa, the widely used cervical cancer screening method is VIA (visual inspection with acetic acid). According to document excerpt 9 (block theme: HPV vaccination and cervical cancer screening), VIA is described as a simple, feasible, and economical method: apply freshly prepared 3%</w:t>
            </w:r>
            <w:r w:rsidRPr="00CB2EC4">
              <w:rPr>
                <w:rFonts w:ascii="Times New Roman" w:hAnsi="Times New Roman" w:cs="Times New Roman"/>
              </w:rPr>
              <w:t>～</w:t>
            </w:r>
            <w:r w:rsidRPr="00CB2EC4">
              <w:rPr>
                <w:rFonts w:ascii="Times New Roman" w:hAnsi="Times New Roman" w:cs="Times New Roman"/>
              </w:rPr>
              <w:t xml:space="preserve">5% acetic acid to the cervix for 1 minute and observe for acetowhite lesions. This method is suitable for resource-limited settings because it does not require complex equipment and is easy to implement at the primary care level. The document states: "VIA is performed by applying freshly prepared 3% to 5% acetic acid to the </w:t>
            </w:r>
            <w:r w:rsidRPr="00CB2EC4">
              <w:rPr>
                <w:rFonts w:ascii="Times New Roman" w:hAnsi="Times New Roman" w:cs="Times New Roman"/>
              </w:rPr>
              <w:lastRenderedPageBreak/>
              <w:t>cervix for 1 min and then observing for acetowhite lesions. It has been widely implemented in low-income countries in sub-Saharan Africa." Additionally, the document emphasizes that different countries should select screening methods adapted to local conditions, with principles of feasibility, simplicity, accuracy, acceptability, and accessibility for women at highest risk.</w:t>
            </w:r>
            <w:r w:rsidRPr="00CB2EC4">
              <w:rPr>
                <w:rFonts w:ascii="Times New Roman" w:hAnsi="Times New Roman" w:cs="Times New Roman"/>
              </w:rPr>
              <w:br/>
              <w:t>- Source: Document excerpt 9 (block theme: HPV vaccination and cervical cancer screening).</w:t>
            </w:r>
          </w:p>
        </w:tc>
        <w:tc>
          <w:tcPr>
            <w:tcW w:w="1152" w:type="dxa"/>
            <w:vAlign w:val="center"/>
          </w:tcPr>
          <w:p w14:paraId="711658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3B01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A3E5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2D26AA" w14:textId="77777777">
        <w:tc>
          <w:tcPr>
            <w:tcW w:w="2160" w:type="dxa"/>
            <w:vAlign w:val="center"/>
          </w:tcPr>
          <w:p w14:paraId="648C21E5"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EFD3F1B" w14:textId="77777777" w:rsidR="00922249" w:rsidRPr="00CB2EC4" w:rsidRDefault="003011D5">
            <w:pPr>
              <w:rPr>
                <w:rFonts w:ascii="Times New Roman" w:hAnsi="Times New Roman" w:cs="Times New Roman"/>
              </w:rPr>
            </w:pPr>
            <w:r w:rsidRPr="00CB2EC4">
              <w:rPr>
                <w:rFonts w:ascii="Times New Roman" w:hAnsi="Times New Roman" w:cs="Times New Roman"/>
              </w:rPr>
              <w:t>in low-income countries, particularly in sub-Saharan Africa, which cervical cancer screening methods are widely used?</w:t>
            </w:r>
            <w:r w:rsidRPr="00CB2EC4">
              <w:rPr>
                <w:rFonts w:ascii="Times New Roman" w:hAnsi="Times New Roman" w:cs="Times New Roman"/>
              </w:rPr>
              <w:br/>
            </w:r>
            <w:r w:rsidRPr="00CB2EC4">
              <w:rPr>
                <w:rFonts w:ascii="Times New Roman" w:hAnsi="Times New Roman" w:cs="Times New Roman"/>
              </w:rPr>
              <w:br/>
              <w:t xml:space="preserve">According to Document Fragment 1 (Relevance: 0.900), in low-income countries of sub-Saharan Africa, the widely implemented cervical cancer screening methods include:  </w:t>
            </w:r>
            <w:r w:rsidRPr="00CB2EC4">
              <w:rPr>
                <w:rFonts w:ascii="Times New Roman" w:hAnsi="Times New Roman" w:cs="Times New Roman"/>
              </w:rPr>
              <w:br/>
              <w:t xml:space="preserve">- Visual inspection with acetic acid (VIA): This involves applying freshly prepared 3% to 5% acetic acid to the cervix for 1 minute and then observing for acetowhite lesions with the naked eye.  </w:t>
            </w:r>
            <w:r w:rsidRPr="00CB2EC4">
              <w:rPr>
                <w:rFonts w:ascii="Times New Roman" w:hAnsi="Times New Roman" w:cs="Times New Roman"/>
              </w:rPr>
              <w:br/>
              <w:t xml:space="preserve">- Other methods such as conventional cytology (Pap smear), liquid-based cytology, and HPV testing are also mentioned, but VIA is emphasized as the widely implemented method due to its feasibility, simplicity, accuracy, acceptability, and ease of use among high-risk women.  </w:t>
            </w:r>
            <w:r w:rsidRPr="00CB2EC4">
              <w:rPr>
                <w:rFonts w:ascii="Times New Roman" w:hAnsi="Times New Roman" w:cs="Times New Roman"/>
              </w:rPr>
              <w:br/>
              <w:t>The document stresses that different countries should select context-appropriate screening strategies, with the principles being feasibility, simplicity, accuracy, acceptability, and ensuring easy access for the highest-risk women.</w:t>
            </w:r>
          </w:p>
        </w:tc>
        <w:tc>
          <w:tcPr>
            <w:tcW w:w="1152" w:type="dxa"/>
            <w:vAlign w:val="center"/>
          </w:tcPr>
          <w:p w14:paraId="046AE4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D649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D381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70FBE6" w14:textId="77777777">
        <w:tc>
          <w:tcPr>
            <w:tcW w:w="2160" w:type="dxa"/>
            <w:vAlign w:val="center"/>
          </w:tcPr>
          <w:p w14:paraId="6631040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01734F57" w14:textId="77777777" w:rsidR="00922249" w:rsidRPr="00CB2EC4" w:rsidRDefault="003011D5">
            <w:pPr>
              <w:rPr>
                <w:rFonts w:ascii="Times New Roman" w:hAnsi="Times New Roman" w:cs="Times New Roman"/>
              </w:rPr>
            </w:pPr>
            <w:r w:rsidRPr="00CB2EC4">
              <w:rPr>
                <w:rFonts w:ascii="Times New Roman" w:hAnsi="Times New Roman" w:cs="Times New Roman"/>
              </w:rPr>
              <w:t>in low-income countries, particularly in sub-Saharan Africa, the cervical cancer screening methods widely used include:</w:t>
            </w:r>
            <w:r w:rsidRPr="00CB2EC4">
              <w:rPr>
                <w:rFonts w:ascii="Times New Roman" w:hAnsi="Times New Roman" w:cs="Times New Roman"/>
              </w:rPr>
              <w:br/>
            </w:r>
            <w:r w:rsidRPr="00CB2EC4">
              <w:rPr>
                <w:rFonts w:ascii="Times New Roman" w:hAnsi="Times New Roman" w:cs="Times New Roman"/>
              </w:rPr>
              <w:br/>
              <w:t>- Visual Inspection with Acetic Acid (VIA), which is extensively applied in sub-Saharan Africa due to its simple operation and low cost, making it suitable for resource-limited settings (source: web search supplementary content).</w:t>
            </w:r>
            <w:r w:rsidRPr="00CB2EC4">
              <w:rPr>
                <w:rFonts w:ascii="Times New Roman" w:hAnsi="Times New Roman" w:cs="Times New Roman"/>
              </w:rPr>
              <w:br/>
              <w:t>- HPV self-sampling and urine HPV testing serve as alternative approaches, which can improve screening coverage in remote areas (source: web search supplementary content).</w:t>
            </w:r>
            <w:r w:rsidRPr="00CB2EC4">
              <w:rPr>
                <w:rFonts w:ascii="Times New Roman" w:hAnsi="Times New Roman" w:cs="Times New Roman"/>
              </w:rPr>
              <w:br/>
            </w:r>
            <w:r w:rsidRPr="00CB2EC4">
              <w:rPr>
                <w:rFonts w:ascii="Times New Roman" w:hAnsi="Times New Roman" w:cs="Times New Roman"/>
              </w:rPr>
              <w:br/>
              <w:t>Conclusion: VIA is the primary screening method in sub-Saharan Africa, supplemented by HPV self-sampling techniques.</w:t>
            </w:r>
          </w:p>
        </w:tc>
        <w:tc>
          <w:tcPr>
            <w:tcW w:w="1152" w:type="dxa"/>
            <w:vAlign w:val="center"/>
          </w:tcPr>
          <w:p w14:paraId="3FB780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BDAB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6908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559D85" w14:textId="77777777">
        <w:tc>
          <w:tcPr>
            <w:tcW w:w="2160" w:type="dxa"/>
            <w:vAlign w:val="center"/>
          </w:tcPr>
          <w:p w14:paraId="717C4C6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88B8E1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low-income countries, particularly in sub-Saharan Africa, the cervical cancer screening methods widely used are visual inspection with acetic acid (VIA) and HPV testing. these methods are recommended due to their simplicity, low cost, and feasibility in resource-limited settings:  </w:t>
            </w:r>
            <w:r w:rsidRPr="00CB2EC4">
              <w:rPr>
                <w:rFonts w:ascii="Times New Roman" w:hAnsi="Times New Roman" w:cs="Times New Roman"/>
              </w:rPr>
              <w:br/>
              <w:t xml:space="preserve">- VIA involves applying 3% to 5% acetic acid to the cervix for 1 minute and observing for acetowhite lesions; it is simple to perform and requires no complex equipment (fragment 8: "VIA is performed by applying freshly prepared 3% to 5% acetic acid to the cervix for 1 min and then observing for acetowhite lesions. It has been widely implemented in low-income countries in sub-Saharan Africa.").  </w:t>
            </w:r>
            <w:r w:rsidRPr="00CB2EC4">
              <w:rPr>
                <w:rFonts w:ascii="Times New Roman" w:hAnsi="Times New Roman" w:cs="Times New Roman"/>
              </w:rPr>
              <w:br/>
              <w:t xml:space="preserve">- HPV testing is also mentioned as an efficient screening tool, especially suitable for impoverished areas (fragment 16: "HPV testing and visual </w:t>
            </w:r>
            <w:r w:rsidRPr="00CB2EC4">
              <w:rPr>
                <w:rFonts w:ascii="Times New Roman" w:hAnsi="Times New Roman" w:cs="Times New Roman"/>
              </w:rPr>
              <w:lastRenderedPageBreak/>
              <w:t xml:space="preserve">inspection with acetic acid are more efficient for screening in impoverished areas.").  </w:t>
            </w:r>
            <w:r w:rsidRPr="00CB2EC4">
              <w:rPr>
                <w:rFonts w:ascii="Times New Roman" w:hAnsi="Times New Roman" w:cs="Times New Roman"/>
              </w:rPr>
              <w:br/>
              <w:t>therefore, the widely used screening methods include VIA and HPV testing.</w:t>
            </w:r>
          </w:p>
        </w:tc>
        <w:tc>
          <w:tcPr>
            <w:tcW w:w="1152" w:type="dxa"/>
            <w:vAlign w:val="center"/>
          </w:tcPr>
          <w:p w14:paraId="2CD7DD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04838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B9EA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29D60E" w14:textId="77777777">
        <w:tc>
          <w:tcPr>
            <w:tcW w:w="2160" w:type="dxa"/>
            <w:vAlign w:val="center"/>
          </w:tcPr>
          <w:p w14:paraId="6F8896C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60D81F3" w14:textId="77777777" w:rsidR="00922249" w:rsidRPr="00CB2EC4" w:rsidRDefault="003011D5">
            <w:pPr>
              <w:rPr>
                <w:rFonts w:ascii="Times New Roman" w:hAnsi="Times New Roman" w:cs="Times New Roman"/>
              </w:rPr>
            </w:pPr>
            <w:r w:rsidRPr="00CB2EC4">
              <w:rPr>
                <w:rFonts w:ascii="Times New Roman" w:hAnsi="Times New Roman" w:cs="Times New Roman"/>
              </w:rPr>
              <w:t>in low-income countries, particularly in sub-Saharan Africa, the cervical cancer screening method widely used is visual inspection with acetic acid (VIA). According to the context, VIA involves applying freshly prepared 3% to 5% acetic acid to the cervix for 1 minute and then observing for acetowhite lesions. It has been widely implemented in low-income countries in sub-Saharan Africa. This is because VIA is simple, low-cost, and easy to perform, making it suitable for resource-limited settings, although it has lower sensitivity and must be used in conjunction with local circumstances. Other methods such as cytology or HPV testing are less commonly used in low-income countries, and the document does not mention the widespread use of alternative methods in sub-Saharan Africa.</w:t>
            </w:r>
          </w:p>
        </w:tc>
        <w:tc>
          <w:tcPr>
            <w:tcW w:w="1152" w:type="dxa"/>
            <w:vAlign w:val="center"/>
          </w:tcPr>
          <w:p w14:paraId="2F3F22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2B4A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D4A0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9007BBD" w14:textId="77777777">
        <w:tc>
          <w:tcPr>
            <w:tcW w:w="2160" w:type="dxa"/>
            <w:vAlign w:val="center"/>
          </w:tcPr>
          <w:p w14:paraId="3B059B0C"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119EB8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low-income countries, particularly in sub-Saharan Africa, the cervical cancer screening method widely used is VIA (visual inspection with acetic acid).  </w:t>
            </w:r>
            <w:r w:rsidRPr="00CB2EC4">
              <w:rPr>
                <w:rFonts w:ascii="Times New Roman" w:hAnsi="Times New Roman" w:cs="Times New Roman"/>
              </w:rPr>
              <w:br/>
              <w:t xml:space="preserve">- The document states: "It has been widely implemented in low-income countries in sub-Saharan Africa. VIA involves applying freshly prepared 3% to 5% acetic acid to the cervix for 1 minute and then observing for acetowhite lesions." (Source: [HyDE similarity: 0.457]).  </w:t>
            </w:r>
            <w:r w:rsidRPr="00CB2EC4">
              <w:rPr>
                <w:rFonts w:ascii="Times New Roman" w:hAnsi="Times New Roman" w:cs="Times New Roman"/>
              </w:rPr>
              <w:br/>
              <w:t xml:space="preserve">- This method is recommended due to its simplicity, low cost, feasibility, and lack of requirement for complex equipment. The document emphasizes that different countries should adopt context-appropriate </w:t>
            </w:r>
            <w:r w:rsidRPr="00CB2EC4">
              <w:rPr>
                <w:rFonts w:ascii="Times New Roman" w:hAnsi="Times New Roman" w:cs="Times New Roman"/>
              </w:rPr>
              <w:lastRenderedPageBreak/>
              <w:t xml:space="preserve">screening methods, with VIA serving as the primary screening tool in low-income settings.  </w:t>
            </w:r>
            <w:r w:rsidRPr="00CB2EC4">
              <w:rPr>
                <w:rFonts w:ascii="Times New Roman" w:hAnsi="Times New Roman" w:cs="Times New Roman"/>
              </w:rPr>
              <w:br/>
              <w:t>Therefore, the widely used screening method is VIA (visual inspection with acetic acid).</w:t>
            </w:r>
          </w:p>
        </w:tc>
        <w:tc>
          <w:tcPr>
            <w:tcW w:w="1152" w:type="dxa"/>
            <w:vAlign w:val="center"/>
          </w:tcPr>
          <w:p w14:paraId="3A6DA7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BCE5D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D373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706BF7" w14:textId="77777777">
        <w:tc>
          <w:tcPr>
            <w:tcW w:w="2160" w:type="dxa"/>
            <w:vAlign w:val="center"/>
          </w:tcPr>
          <w:p w14:paraId="7297B249"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09F964D" w14:textId="77777777" w:rsidR="00922249" w:rsidRPr="00CB2EC4" w:rsidRDefault="003011D5">
            <w:pPr>
              <w:rPr>
                <w:rFonts w:ascii="Times New Roman" w:hAnsi="Times New Roman" w:cs="Times New Roman"/>
              </w:rPr>
            </w:pPr>
            <w:r w:rsidRPr="00CB2EC4">
              <w:rPr>
                <w:rFonts w:ascii="Times New Roman" w:hAnsi="Times New Roman" w:cs="Times New Roman"/>
              </w:rPr>
              <w:t>in low-income countries, particularly in sub-Saharan Africa, the widely used cervical cancer screening method is visual inspection with acetic acid (VIA).</w:t>
            </w:r>
            <w:r w:rsidRPr="00CB2EC4">
              <w:rPr>
                <w:rFonts w:ascii="Times New Roman" w:hAnsi="Times New Roman" w:cs="Times New Roman"/>
              </w:rPr>
              <w:br/>
            </w:r>
            <w:r w:rsidRPr="00CB2EC4">
              <w:rPr>
                <w:rFonts w:ascii="Times New Roman" w:hAnsi="Times New Roman" w:cs="Times New Roman"/>
              </w:rPr>
              <w:br/>
              <w:t>As explicitly stated in document fragment 10: "VIA involves applying freshly prepared 3% to 5% acetic acid to the cervix for 1 min and then observing for acetowhite lesions. It has been widely implemented in low-income countries in sub-Saharan Africa." Therefore, VIA is the screening method broadly adopted in these settings. It is a simple, low-cost approach suitable for resource-limited environments.</w:t>
            </w:r>
          </w:p>
        </w:tc>
        <w:tc>
          <w:tcPr>
            <w:tcW w:w="1152" w:type="dxa"/>
            <w:vAlign w:val="center"/>
          </w:tcPr>
          <w:p w14:paraId="4555E4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2C35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104D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F9D85A" w14:textId="77777777">
        <w:tc>
          <w:tcPr>
            <w:tcW w:w="2160" w:type="dxa"/>
            <w:vAlign w:val="center"/>
          </w:tcPr>
          <w:p w14:paraId="59EAA2CB"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9742B34" w14:textId="77777777" w:rsidR="00922249" w:rsidRPr="00CB2EC4" w:rsidRDefault="003011D5">
            <w:pPr>
              <w:rPr>
                <w:rFonts w:ascii="Times New Roman" w:hAnsi="Times New Roman" w:cs="Times New Roman"/>
              </w:rPr>
            </w:pPr>
            <w:r w:rsidRPr="00CB2EC4">
              <w:rPr>
                <w:rFonts w:ascii="Times New Roman" w:hAnsi="Times New Roman" w:cs="Times New Roman"/>
              </w:rPr>
              <w:t>in low-income countries, particularly in sub-Saharan Africa, the cervical cancer screening method widely used is visual inspection with acetic acid (VIA). Specifically described as: "VIA involves applying freshly prepared 3% to 5% acetic acid to the cervix for 1 min and then observing for acetowhite lesions. It has been widely implemented in low-income countries in sub-Saharan Africa." (Source: Secondary Prevention section). This method is promoted due to its simple operation and low cost.</w:t>
            </w:r>
          </w:p>
        </w:tc>
        <w:tc>
          <w:tcPr>
            <w:tcW w:w="1152" w:type="dxa"/>
            <w:vAlign w:val="center"/>
          </w:tcPr>
          <w:p w14:paraId="18AA1B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DF34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F598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075CAE" w14:textId="77777777">
        <w:tc>
          <w:tcPr>
            <w:tcW w:w="2160" w:type="dxa"/>
            <w:vAlign w:val="center"/>
          </w:tcPr>
          <w:p w14:paraId="18EDDD5F"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85255E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low-income countries, particularly in sub-Saharan Africa, the widely used cervical cancer screening methods include VIA (visual inspection with acetic acid). This is a low-cost, simple method that involves applying acetic acid to the cervix and visually inspecting for acetowhite lesions after one minute. VIA has been widely implemented in resource-limited </w:t>
            </w:r>
            <w:r w:rsidRPr="00CB2EC4">
              <w:rPr>
                <w:rFonts w:ascii="Times New Roman" w:hAnsi="Times New Roman" w:cs="Times New Roman"/>
              </w:rPr>
              <w:lastRenderedPageBreak/>
              <w:t>settings in sub-Saharan Africa.</w:t>
            </w:r>
            <w:r w:rsidRPr="00CB2EC4">
              <w:rPr>
                <w:rFonts w:ascii="Times New Roman" w:hAnsi="Times New Roman" w:cs="Times New Roman"/>
              </w:rPr>
              <w:br/>
            </w:r>
            <w:r w:rsidRPr="00CB2EC4">
              <w:rPr>
                <w:rFonts w:ascii="Times New Roman" w:hAnsi="Times New Roman" w:cs="Times New Roman"/>
              </w:rPr>
              <w:br/>
              <w:t>Additional methods mentioned include:</w:t>
            </w:r>
            <w:r w:rsidRPr="00CB2EC4">
              <w:rPr>
                <w:rFonts w:ascii="Times New Roman" w:hAnsi="Times New Roman" w:cs="Times New Roman"/>
              </w:rPr>
              <w:br/>
              <w:t>- Conventional cytology (Pap smear)</w:t>
            </w:r>
            <w:r w:rsidRPr="00CB2EC4">
              <w:rPr>
                <w:rFonts w:ascii="Times New Roman" w:hAnsi="Times New Roman" w:cs="Times New Roman"/>
              </w:rPr>
              <w:br/>
              <w:t>- Liquid-based cytology</w:t>
            </w:r>
            <w:r w:rsidRPr="00CB2EC4">
              <w:rPr>
                <w:rFonts w:ascii="Times New Roman" w:hAnsi="Times New Roman" w:cs="Times New Roman"/>
              </w:rPr>
              <w:br/>
              <w:t>- HPV DNA testing</w:t>
            </w:r>
            <w:r w:rsidRPr="00CB2EC4">
              <w:rPr>
                <w:rFonts w:ascii="Times New Roman" w:hAnsi="Times New Roman" w:cs="Times New Roman"/>
              </w:rPr>
              <w:br/>
              <w:t>- Visual inspection with acetic acid (VIA)</w:t>
            </w:r>
            <w:r w:rsidRPr="00CB2EC4">
              <w:rPr>
                <w:rFonts w:ascii="Times New Roman" w:hAnsi="Times New Roman" w:cs="Times New Roman"/>
              </w:rPr>
              <w:br/>
            </w:r>
            <w:r w:rsidRPr="00CB2EC4">
              <w:rPr>
                <w:rFonts w:ascii="Times New Roman" w:hAnsi="Times New Roman" w:cs="Times New Roman"/>
              </w:rPr>
              <w:br/>
              <w:t>Different countries should select screening methods suited to their local conditions, with emphasis on the applicability of VIA in resource-poor areas.</w:t>
            </w:r>
          </w:p>
        </w:tc>
        <w:tc>
          <w:tcPr>
            <w:tcW w:w="1152" w:type="dxa"/>
            <w:vAlign w:val="center"/>
          </w:tcPr>
          <w:p w14:paraId="09B6A1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64BE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E5EE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1905FB" w14:textId="77777777">
        <w:tc>
          <w:tcPr>
            <w:tcW w:w="2160" w:type="dxa"/>
            <w:vAlign w:val="center"/>
          </w:tcPr>
          <w:p w14:paraId="467B651D"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6E2E494" w14:textId="77777777" w:rsidR="00922249" w:rsidRPr="00CB2EC4" w:rsidRDefault="003011D5">
            <w:pPr>
              <w:rPr>
                <w:rFonts w:ascii="Times New Roman" w:hAnsi="Times New Roman" w:cs="Times New Roman"/>
              </w:rPr>
            </w:pPr>
            <w:r w:rsidRPr="00CB2EC4">
              <w:rPr>
                <w:rFonts w:ascii="Times New Roman" w:hAnsi="Times New Roman" w:cs="Times New Roman"/>
              </w:rPr>
              <w:t>in low-income countries, particularly in sub-Saharan Africa, the cervical cancer screening method widely used is visual inspection with acetic acid (VIA). The document states: "VIA involves applying freshly prepared 3%</w:t>
            </w:r>
            <w:r w:rsidRPr="00CB2EC4">
              <w:rPr>
                <w:rFonts w:ascii="Times New Roman" w:hAnsi="Times New Roman" w:cs="Times New Roman"/>
              </w:rPr>
              <w:t>～</w:t>
            </w:r>
            <w:r w:rsidRPr="00CB2EC4">
              <w:rPr>
                <w:rFonts w:ascii="Times New Roman" w:hAnsi="Times New Roman" w:cs="Times New Roman"/>
              </w:rPr>
              <w:t>5% acetic acid to the cervix for 1 min and then observing for acetowhite lesions. It has been widely implemented in low-income countries in sub-Saharan Africa." This highlights VIA as a simple, cost-effective, and easily implementable screening method adopted broadly in resource-limited settings.</w:t>
            </w:r>
          </w:p>
        </w:tc>
        <w:tc>
          <w:tcPr>
            <w:tcW w:w="1152" w:type="dxa"/>
            <w:vAlign w:val="center"/>
          </w:tcPr>
          <w:p w14:paraId="4967A9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DD91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723AF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2EB59C" w14:textId="77777777">
        <w:tc>
          <w:tcPr>
            <w:tcW w:w="2160" w:type="dxa"/>
            <w:vAlign w:val="center"/>
          </w:tcPr>
          <w:p w14:paraId="4E07236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2E53F19" w14:textId="77777777" w:rsidR="00922249" w:rsidRPr="00CB2EC4" w:rsidRDefault="003011D5">
            <w:pPr>
              <w:rPr>
                <w:rFonts w:ascii="Times New Roman" w:hAnsi="Times New Roman" w:cs="Times New Roman"/>
              </w:rPr>
            </w:pPr>
            <w:r w:rsidRPr="00CB2EC4">
              <w:rPr>
                <w:rFonts w:ascii="Times New Roman" w:hAnsi="Times New Roman" w:cs="Times New Roman"/>
              </w:rPr>
              <w:t>In low-income countries, particularly in sub-Saharan Africa, the widely used cervical cancer screening method is VIA (visual inspection with acetic acid).</w:t>
            </w:r>
            <w:r w:rsidRPr="00CB2EC4">
              <w:rPr>
                <w:rFonts w:ascii="Times New Roman" w:hAnsi="Times New Roman" w:cs="Times New Roman"/>
              </w:rPr>
              <w:br/>
            </w:r>
            <w:r w:rsidRPr="00CB2EC4">
              <w:rPr>
                <w:rFonts w:ascii="Times New Roman" w:hAnsi="Times New Roman" w:cs="Times New Roman"/>
              </w:rPr>
              <w:br/>
              <w:t xml:space="preserve">  - Based on the context:</w:t>
            </w:r>
            <w:r w:rsidRPr="00CB2EC4">
              <w:rPr>
                <w:rFonts w:ascii="Times New Roman" w:hAnsi="Times New Roman" w:cs="Times New Roman"/>
              </w:rPr>
              <w:br/>
              <w:t xml:space="preserve">    - Document excerpt 1 (relevance: 0.9658) explicitly states: "VIA involves applying freshly prepared 3% to 5% acetic acid to the cervix for 1 min and then observing for acetowhite lesions. It has been widely implemented in low-income countries in sub-Saharan Africa."</w:t>
            </w:r>
            <w:r w:rsidRPr="00CB2EC4">
              <w:rPr>
                <w:rFonts w:ascii="Times New Roman" w:hAnsi="Times New Roman" w:cs="Times New Roman"/>
              </w:rPr>
              <w:br/>
              <w:t xml:space="preserve">    - The excerpt also notes that in resource-limited </w:t>
            </w:r>
            <w:r w:rsidRPr="00CB2EC4">
              <w:rPr>
                <w:rFonts w:ascii="Times New Roman" w:hAnsi="Times New Roman" w:cs="Times New Roman"/>
              </w:rPr>
              <w:lastRenderedPageBreak/>
              <w:t>settings, VIA is promoted due to its simplicity, low cost, and ease of operation, aligning with the principle of adapting screening methods to local conditions (e.g., no need for complex equipment, suitable for primary healthcare).</w:t>
            </w:r>
            <w:r w:rsidRPr="00CB2EC4">
              <w:rPr>
                <w:rFonts w:ascii="Times New Roman" w:hAnsi="Times New Roman" w:cs="Times New Roman"/>
              </w:rPr>
              <w:br/>
              <w:t xml:space="preserve">  - Supplementary note: The context does not mention the widespread use of other methods (such as HPV testing or cytology) in sub-Saharan Africa; VIA is the primary recommended low-cost screening tool.</w:t>
            </w:r>
          </w:p>
        </w:tc>
        <w:tc>
          <w:tcPr>
            <w:tcW w:w="1152" w:type="dxa"/>
            <w:vAlign w:val="center"/>
          </w:tcPr>
          <w:p w14:paraId="2FB243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4C320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C539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51E1977" w14:textId="77777777">
        <w:tc>
          <w:tcPr>
            <w:tcW w:w="2160" w:type="dxa"/>
            <w:vAlign w:val="center"/>
          </w:tcPr>
          <w:p w14:paraId="0BF9E1B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C55CEC1" w14:textId="77777777" w:rsidR="00922249" w:rsidRPr="00CB2EC4" w:rsidRDefault="003011D5">
            <w:pPr>
              <w:rPr>
                <w:rFonts w:ascii="Times New Roman" w:hAnsi="Times New Roman" w:cs="Times New Roman"/>
              </w:rPr>
            </w:pPr>
            <w:r w:rsidRPr="00CB2EC4">
              <w:rPr>
                <w:rFonts w:ascii="Times New Roman" w:hAnsi="Times New Roman" w:cs="Times New Roman"/>
              </w:rPr>
              <w:t>In low-income countries, particularly sub-Saharan Africa, widely used cervical cancer screening methods include:</w:t>
            </w:r>
            <w:r w:rsidRPr="00CB2EC4">
              <w:rPr>
                <w:rFonts w:ascii="Times New Roman" w:hAnsi="Times New Roman" w:cs="Times New Roman"/>
              </w:rPr>
              <w:br/>
            </w:r>
            <w:r w:rsidRPr="00CB2EC4">
              <w:rPr>
                <w:rFonts w:ascii="Times New Roman" w:hAnsi="Times New Roman" w:cs="Times New Roman"/>
              </w:rPr>
              <w:br/>
              <w:t xml:space="preserve">1. Visual Inspection (VIA/VILI)  </w:t>
            </w:r>
            <w:r w:rsidRPr="00CB2EC4">
              <w:rPr>
                <w:rFonts w:ascii="Times New Roman" w:hAnsi="Times New Roman" w:cs="Times New Roman"/>
              </w:rPr>
              <w:br/>
              <w:t xml:space="preserve">   - Visual inspection with acetic acid (VIA)  </w:t>
            </w:r>
            <w:r w:rsidRPr="00CB2EC4">
              <w:rPr>
                <w:rFonts w:ascii="Times New Roman" w:hAnsi="Times New Roman" w:cs="Times New Roman"/>
              </w:rPr>
              <w:br/>
              <w:t xml:space="preserve">   - Visual inspection with Lugol's iodine (VILI)  </w:t>
            </w:r>
            <w:r w:rsidRPr="00CB2EC4">
              <w:rPr>
                <w:rFonts w:ascii="Times New Roman" w:hAnsi="Times New Roman" w:cs="Times New Roman"/>
              </w:rPr>
              <w:br/>
            </w:r>
            <w:r w:rsidRPr="00CB2EC4">
              <w:rPr>
                <w:rFonts w:ascii="Times New Roman" w:hAnsi="Times New Roman" w:cs="Times New Roman"/>
              </w:rPr>
              <w:br/>
              <w:t xml:space="preserve">2. Human Papillomavirus (HPV) Testing  </w:t>
            </w:r>
            <w:r w:rsidRPr="00CB2EC4">
              <w:rPr>
                <w:rFonts w:ascii="Times New Roman" w:hAnsi="Times New Roman" w:cs="Times New Roman"/>
              </w:rPr>
              <w:br/>
              <w:t xml:space="preserve">   - HPV DNA testing based on hybrid capture technology  </w:t>
            </w:r>
            <w:r w:rsidRPr="00CB2EC4">
              <w:rPr>
                <w:rFonts w:ascii="Times New Roman" w:hAnsi="Times New Roman" w:cs="Times New Roman"/>
              </w:rPr>
              <w:br/>
              <w:t xml:space="preserve">   - Rapid HPV testing (e.g., careHPV)  </w:t>
            </w:r>
            <w:r w:rsidRPr="00CB2EC4">
              <w:rPr>
                <w:rFonts w:ascii="Times New Roman" w:hAnsi="Times New Roman" w:cs="Times New Roman"/>
              </w:rPr>
              <w:br/>
            </w:r>
            <w:r w:rsidRPr="00CB2EC4">
              <w:rPr>
                <w:rFonts w:ascii="Times New Roman" w:hAnsi="Times New Roman" w:cs="Times New Roman"/>
              </w:rPr>
              <w:br/>
              <w:t xml:space="preserve">3. Cytology (Pap Smear)  </w:t>
            </w:r>
            <w:r w:rsidRPr="00CB2EC4">
              <w:rPr>
                <w:rFonts w:ascii="Times New Roman" w:hAnsi="Times New Roman" w:cs="Times New Roman"/>
              </w:rPr>
              <w:br/>
              <w:t xml:space="preserve">   - Conventional Pap smear (less commonly used due to high infrastructure requirements)  </w:t>
            </w:r>
            <w:r w:rsidRPr="00CB2EC4">
              <w:rPr>
                <w:rFonts w:ascii="Times New Roman" w:hAnsi="Times New Roman" w:cs="Times New Roman"/>
              </w:rPr>
              <w:br/>
              <w:t xml:space="preserve">   - Liquid-based cytology (even rarer, limited by cost and technology)  </w:t>
            </w:r>
            <w:r w:rsidRPr="00CB2EC4">
              <w:rPr>
                <w:rFonts w:ascii="Times New Roman" w:hAnsi="Times New Roman" w:cs="Times New Roman"/>
              </w:rPr>
              <w:br/>
            </w:r>
            <w:r w:rsidRPr="00CB2EC4">
              <w:rPr>
                <w:rFonts w:ascii="Times New Roman" w:hAnsi="Times New Roman" w:cs="Times New Roman"/>
              </w:rPr>
              <w:br/>
              <w:t xml:space="preserve">4. "Screen-and-Treat" Strategy in a Single Visit  </w:t>
            </w:r>
            <w:r w:rsidRPr="00CB2EC4">
              <w:rPr>
                <w:rFonts w:ascii="Times New Roman" w:hAnsi="Times New Roman" w:cs="Times New Roman"/>
              </w:rPr>
              <w:br/>
              <w:t xml:space="preserve">   - Completing HPV or VIA screening and cryotherapy in the same visit  </w:t>
            </w:r>
            <w:r w:rsidRPr="00CB2EC4">
              <w:rPr>
                <w:rFonts w:ascii="Times New Roman" w:hAnsi="Times New Roman" w:cs="Times New Roman"/>
              </w:rPr>
              <w:br/>
            </w:r>
            <w:r w:rsidRPr="00CB2EC4">
              <w:rPr>
                <w:rFonts w:ascii="Times New Roman" w:hAnsi="Times New Roman" w:cs="Times New Roman"/>
              </w:rPr>
              <w:br/>
              <w:t xml:space="preserve">5. Cryotherapy  </w:t>
            </w:r>
            <w:r w:rsidRPr="00CB2EC4">
              <w:rPr>
                <w:rFonts w:ascii="Times New Roman" w:hAnsi="Times New Roman" w:cs="Times New Roman"/>
              </w:rPr>
              <w:br/>
              <w:t xml:space="preserve">   - Used as an immediate treatment method following </w:t>
            </w:r>
            <w:r w:rsidRPr="00CB2EC4">
              <w:rPr>
                <w:rFonts w:ascii="Times New Roman" w:hAnsi="Times New Roman" w:cs="Times New Roman"/>
              </w:rPr>
              <w:lastRenderedPageBreak/>
              <w:t xml:space="preserve">positive VIA or HPV results  </w:t>
            </w:r>
            <w:r w:rsidRPr="00CB2EC4">
              <w:rPr>
                <w:rFonts w:ascii="Times New Roman" w:hAnsi="Times New Roman" w:cs="Times New Roman"/>
              </w:rPr>
              <w:br/>
            </w:r>
            <w:r w:rsidRPr="00CB2EC4">
              <w:rPr>
                <w:rFonts w:ascii="Times New Roman" w:hAnsi="Times New Roman" w:cs="Times New Roman"/>
              </w:rPr>
              <w:br/>
              <w:t xml:space="preserve">6. Visual Inspection with Acetic Acid and Magnification (VIAM)  </w:t>
            </w:r>
            <w:r w:rsidRPr="00CB2EC4">
              <w:rPr>
                <w:rFonts w:ascii="Times New Roman" w:hAnsi="Times New Roman" w:cs="Times New Roman"/>
              </w:rPr>
              <w:br/>
              <w:t xml:space="preserve">   - Used in resource-limited areas with access to magnification devices  </w:t>
            </w:r>
            <w:r w:rsidRPr="00CB2EC4">
              <w:rPr>
                <w:rFonts w:ascii="Times New Roman" w:hAnsi="Times New Roman" w:cs="Times New Roman"/>
              </w:rPr>
              <w:br/>
            </w:r>
            <w:r w:rsidRPr="00CB2EC4">
              <w:rPr>
                <w:rFonts w:ascii="Times New Roman" w:hAnsi="Times New Roman" w:cs="Times New Roman"/>
              </w:rPr>
              <w:br/>
              <w:t xml:space="preserve">7. Self-Sampling HPV Testing  </w:t>
            </w:r>
            <w:r w:rsidRPr="00CB2EC4">
              <w:rPr>
                <w:rFonts w:ascii="Times New Roman" w:hAnsi="Times New Roman" w:cs="Times New Roman"/>
              </w:rPr>
              <w:br/>
              <w:t xml:space="preserve">   - Women collect their own vaginal samples for HPV testing to improve accessibility  </w:t>
            </w:r>
            <w:r w:rsidRPr="00CB2EC4">
              <w:rPr>
                <w:rFonts w:ascii="Times New Roman" w:hAnsi="Times New Roman" w:cs="Times New Roman"/>
              </w:rPr>
              <w:br/>
            </w:r>
            <w:r w:rsidRPr="00CB2EC4">
              <w:rPr>
                <w:rFonts w:ascii="Times New Roman" w:hAnsi="Times New Roman" w:cs="Times New Roman"/>
              </w:rPr>
              <w:br/>
              <w:t>These methods are widely adopted due to their low cost, simplicity, and lack of need for complex laboratory equipment, especially in rural and remote areas with scarce medical resources.</w:t>
            </w:r>
            <w:r w:rsidRPr="00CB2EC4">
              <w:rPr>
                <w:rFonts w:ascii="Times New Roman" w:hAnsi="Times New Roman" w:cs="Times New Roman"/>
              </w:rPr>
              <w:br/>
            </w:r>
            <w:r w:rsidRPr="00CB2EC4">
              <w:rPr>
                <w:rFonts w:ascii="Times New Roman" w:hAnsi="Times New Roman" w:cs="Times New Roman"/>
              </w:rPr>
              <w:br/>
              <w:t xml:space="preserve">→ VIA and VILI are still used in some countries due to their immediacy and low cost but are gradually being replaced by HPV testing  </w:t>
            </w:r>
            <w:r w:rsidRPr="00CB2EC4">
              <w:rPr>
                <w:rFonts w:ascii="Times New Roman" w:hAnsi="Times New Roman" w:cs="Times New Roman"/>
              </w:rPr>
              <w:br/>
              <w:t xml:space="preserve">→ HPV DNA testing is being progressively promoted, particularly in pilot programs  </w:t>
            </w:r>
            <w:r w:rsidRPr="00CB2EC4">
              <w:rPr>
                <w:rFonts w:ascii="Times New Roman" w:hAnsi="Times New Roman" w:cs="Times New Roman"/>
              </w:rPr>
              <w:br/>
              <w:t xml:space="preserve">→ The integrated "screen-and-treat" model is currently the mainstream strategy to reduce patient loss  </w:t>
            </w:r>
            <w:r w:rsidRPr="00CB2EC4">
              <w:rPr>
                <w:rFonts w:ascii="Times New Roman" w:hAnsi="Times New Roman" w:cs="Times New Roman"/>
              </w:rPr>
              <w:br/>
              <w:t xml:space="preserve">→ Cryotherapy, as the most common and affordable treatment method, is used in combination with screening  </w:t>
            </w:r>
            <w:r w:rsidRPr="00CB2EC4">
              <w:rPr>
                <w:rFonts w:ascii="Times New Roman" w:hAnsi="Times New Roman" w:cs="Times New Roman"/>
              </w:rPr>
              <w:br/>
            </w:r>
            <w:r w:rsidRPr="00CB2EC4">
              <w:rPr>
                <w:rFonts w:ascii="Times New Roman" w:hAnsi="Times New Roman" w:cs="Times New Roman"/>
              </w:rPr>
              <w:br/>
              <w:t>(Note: The above information is based on global public health guidelines and cervical cancer prevention practices in low-income countries and does not appear in the provided knowledge base context.)</w:t>
            </w:r>
          </w:p>
        </w:tc>
        <w:tc>
          <w:tcPr>
            <w:tcW w:w="1152" w:type="dxa"/>
            <w:vAlign w:val="center"/>
          </w:tcPr>
          <w:p w14:paraId="52E973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FAB7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5AF2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8D2861" w14:textId="77777777">
        <w:tc>
          <w:tcPr>
            <w:tcW w:w="2160" w:type="dxa"/>
            <w:vAlign w:val="center"/>
          </w:tcPr>
          <w:p w14:paraId="1EC3D2E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97EDEA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low-income countries, particularly in sub-Saharan Africa, the cervical cancer screening methods widely </w:t>
            </w:r>
            <w:r w:rsidRPr="00CB2EC4">
              <w:rPr>
                <w:rFonts w:ascii="Times New Roman" w:hAnsi="Times New Roman" w:cs="Times New Roman"/>
              </w:rPr>
              <w:lastRenderedPageBreak/>
              <w:t>used include visual inspection with acetic acid (VIA) and visual inspection with Lugol's iodine (VILI). these methods are low-cost, simple to perform, and do not require complex laboratory equipment, making them suitable for primary health care settings. FIGO guidelines recommend these methods as alternative strategies to address resource limitations for HPV testing or cytology.</w:t>
            </w:r>
          </w:p>
        </w:tc>
        <w:tc>
          <w:tcPr>
            <w:tcW w:w="1152" w:type="dxa"/>
            <w:vAlign w:val="center"/>
          </w:tcPr>
          <w:p w14:paraId="73318F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F5091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FD82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01A017" w14:textId="77777777">
        <w:tc>
          <w:tcPr>
            <w:tcW w:w="10656" w:type="dxa"/>
            <w:gridSpan w:val="5"/>
            <w:tcBorders>
              <w:bottom w:val="single" w:sz="6" w:space="0" w:color="auto"/>
            </w:tcBorders>
            <w:vAlign w:val="center"/>
          </w:tcPr>
          <w:p w14:paraId="5A531962" w14:textId="77777777" w:rsidR="00922249" w:rsidRPr="00CB2EC4" w:rsidRDefault="003011D5">
            <w:pPr>
              <w:rPr>
                <w:rFonts w:ascii="Times New Roman" w:hAnsi="Times New Roman" w:cs="Times New Roman"/>
              </w:rPr>
            </w:pPr>
            <w:r w:rsidRPr="00CB2EC4">
              <w:rPr>
                <w:rFonts w:ascii="Times New Roman" w:hAnsi="Times New Roman" w:cs="Times New Roman"/>
                <w:b/>
              </w:rPr>
              <w:t>Question 37: what are the key indicators included in the expert consensus for quality control management of HPV testing?</w:t>
            </w:r>
          </w:p>
        </w:tc>
      </w:tr>
      <w:tr w:rsidR="00922249" w:rsidRPr="00CB2EC4" w14:paraId="37C78EC6" w14:textId="77777777">
        <w:tc>
          <w:tcPr>
            <w:tcW w:w="2160" w:type="dxa"/>
            <w:vAlign w:val="center"/>
          </w:tcPr>
          <w:p w14:paraId="766763E0"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76F7A30" w14:textId="77777777" w:rsidR="00922249" w:rsidRPr="00CB2EC4" w:rsidRDefault="003011D5">
            <w:pPr>
              <w:rPr>
                <w:rFonts w:ascii="Times New Roman" w:hAnsi="Times New Roman" w:cs="Times New Roman"/>
              </w:rPr>
            </w:pPr>
            <w:r w:rsidRPr="00CB2EC4">
              <w:rPr>
                <w:rFonts w:ascii="Times New Roman" w:hAnsi="Times New Roman" w:cs="Times New Roman"/>
              </w:rPr>
              <w:t>the key indicators included in the HPV testing quality control management expert consensus are as follows:</w:t>
            </w:r>
            <w:r w:rsidRPr="00CB2EC4">
              <w:rPr>
                <w:rFonts w:ascii="Times New Roman" w:hAnsi="Times New Roman" w:cs="Times New Roman"/>
              </w:rPr>
              <w:br/>
            </w:r>
            <w:r w:rsidRPr="00CB2EC4">
              <w:rPr>
                <w:rFonts w:ascii="Times New Roman" w:hAnsi="Times New Roman" w:cs="Times New Roman"/>
              </w:rPr>
              <w:br/>
              <w:t xml:space="preserve">1. Positive detection rate for each TBS category: Requires statistical evaluation based on more than 5,000 cases.  </w:t>
            </w:r>
            <w:r w:rsidRPr="00CB2EC4">
              <w:rPr>
                <w:rFonts w:ascii="Times New Roman" w:hAnsi="Times New Roman" w:cs="Times New Roman"/>
              </w:rPr>
              <w:br/>
              <w:t xml:space="preserve">2. ASC/SIL ratio (Atypical Squamous Cells / Squamous Intraepithelial Lesion): The ideal range is 1.5 to 3.0, used to assess diagnostic accuracy.  </w:t>
            </w:r>
            <w:r w:rsidRPr="00CB2EC4">
              <w:rPr>
                <w:rFonts w:ascii="Times New Roman" w:hAnsi="Times New Roman" w:cs="Times New Roman"/>
              </w:rPr>
              <w:br/>
              <w:t xml:space="preserve">3. High-risk HPV positivity rates for different TBS classifications:  </w:t>
            </w:r>
            <w:r w:rsidRPr="00CB2EC4">
              <w:rPr>
                <w:rFonts w:ascii="Times New Roman" w:hAnsi="Times New Roman" w:cs="Times New Roman"/>
              </w:rPr>
              <w:br/>
              <w:t xml:space="preserve">   - ASC-US: 20%~40%  </w:t>
            </w:r>
            <w:r w:rsidRPr="00CB2EC4">
              <w:rPr>
                <w:rFonts w:ascii="Times New Roman" w:hAnsi="Times New Roman" w:cs="Times New Roman"/>
              </w:rPr>
              <w:br/>
              <w:t xml:space="preserve">   - ASC-H: 40%~60%  </w:t>
            </w:r>
            <w:r w:rsidRPr="00CB2EC4">
              <w:rPr>
                <w:rFonts w:ascii="Times New Roman" w:hAnsi="Times New Roman" w:cs="Times New Roman"/>
              </w:rPr>
              <w:br/>
              <w:t xml:space="preserve">   - LSIL: 50%~70%  </w:t>
            </w:r>
            <w:r w:rsidRPr="00CB2EC4">
              <w:rPr>
                <w:rFonts w:ascii="Times New Roman" w:hAnsi="Times New Roman" w:cs="Times New Roman"/>
              </w:rPr>
              <w:br/>
              <w:t xml:space="preserve">   - HSIL: 70%~90%  </w:t>
            </w:r>
            <w:r w:rsidRPr="00CB2EC4">
              <w:rPr>
                <w:rFonts w:ascii="Times New Roman" w:hAnsi="Times New Roman" w:cs="Times New Roman"/>
              </w:rPr>
              <w:br/>
              <w:t xml:space="preserve">   - SCC: &gt;90%  </w:t>
            </w:r>
            <w:r w:rsidRPr="00CB2EC4">
              <w:rPr>
                <w:rFonts w:ascii="Times New Roman" w:hAnsi="Times New Roman" w:cs="Times New Roman"/>
              </w:rPr>
              <w:br/>
              <w:t xml:space="preserve">   These rates are used to measure testing quality.  </w:t>
            </w:r>
            <w:r w:rsidRPr="00CB2EC4">
              <w:rPr>
                <w:rFonts w:ascii="Times New Roman" w:hAnsi="Times New Roman" w:cs="Times New Roman"/>
              </w:rPr>
              <w:br/>
              <w:t xml:space="preserve">4. Concordance rate between cytology-positive specimens and histologically confirmed results: Requires concordance assessment for more than 100 positive cytology cases (e.g., ASC-US, ASC-H, LSIL) with final histopathological diagnoses (e.g., from conization or hysterectomy specimens).  </w:t>
            </w:r>
            <w:r w:rsidRPr="00CB2EC4">
              <w:rPr>
                <w:rFonts w:ascii="Times New Roman" w:hAnsi="Times New Roman" w:cs="Times New Roman"/>
              </w:rPr>
              <w:br/>
              <w:t xml:space="preserve">5. Follow-up registration system and follow-up rate </w:t>
            </w:r>
            <w:r w:rsidRPr="00CB2EC4">
              <w:rPr>
                <w:rFonts w:ascii="Times New Roman" w:hAnsi="Times New Roman" w:cs="Times New Roman"/>
              </w:rPr>
              <w:lastRenderedPageBreak/>
              <w:t xml:space="preserve">for positive cases: Ensures traceability and management of cases.  </w:t>
            </w:r>
            <w:r w:rsidRPr="00CB2EC4">
              <w:rPr>
                <w:rFonts w:ascii="Times New Roman" w:hAnsi="Times New Roman" w:cs="Times New Roman"/>
              </w:rPr>
              <w:br/>
              <w:t xml:space="preserve">6. On-site inspection and assessment: Randomly select 10–20 consecutive positive cases, 20–30 negative cases, and 20 inter-laboratory quality control standard slides for on-site evaluation.  </w:t>
            </w:r>
            <w:r w:rsidRPr="00CB2EC4">
              <w:rPr>
                <w:rFonts w:ascii="Times New Roman" w:hAnsi="Times New Roman" w:cs="Times New Roman"/>
              </w:rPr>
              <w:br/>
            </w:r>
            <w:r w:rsidRPr="00CB2EC4">
              <w:rPr>
                <w:rFonts w:ascii="Times New Roman" w:hAnsi="Times New Roman" w:cs="Times New Roman"/>
              </w:rPr>
              <w:br/>
              <w:t>These indicators aim to strengthen cytology quality control, enhance the reliability and consistency of HPV testing, and address issues of insufficient cytopathologists and variable proficiency levels in China.</w:t>
            </w:r>
          </w:p>
        </w:tc>
        <w:tc>
          <w:tcPr>
            <w:tcW w:w="1152" w:type="dxa"/>
            <w:vAlign w:val="center"/>
          </w:tcPr>
          <w:p w14:paraId="0AAF80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9DB82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17A9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4E90CD5" w14:textId="77777777">
        <w:tc>
          <w:tcPr>
            <w:tcW w:w="2160" w:type="dxa"/>
            <w:vAlign w:val="center"/>
          </w:tcPr>
          <w:p w14:paraId="7DBD0F8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90A9B5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key indicators included in the expert consensus on quality control management for HPV testing primarily involve quality control in cytopathology, specifically as follows (based on Document Fragment 3, block theme: Quality Control Management for Cervical Cancer Screening):  </w:t>
            </w:r>
            <w:r w:rsidRPr="00CB2EC4">
              <w:rPr>
                <w:rFonts w:ascii="Times New Roman" w:hAnsi="Times New Roman" w:cs="Times New Roman"/>
              </w:rPr>
              <w:br/>
              <w:t xml:space="preserve">1. Positive detection rate for each TBS interpretation category: assessment must be based on statistical volume exceeding 5,000 cases.  </w:t>
            </w:r>
            <w:r w:rsidRPr="00CB2EC4">
              <w:rPr>
                <w:rFonts w:ascii="Times New Roman" w:hAnsi="Times New Roman" w:cs="Times New Roman"/>
              </w:rPr>
              <w:br/>
              <w:t xml:space="preserve">2. ASC/SIL ratio (Atypical Squamous Cells / Squamous Intraepithelial Lesion ratio): the ideal range is 1.5–3.0, indicating good quality control.  </w:t>
            </w:r>
            <w:r w:rsidRPr="00CB2EC4">
              <w:rPr>
                <w:rFonts w:ascii="Times New Roman" w:hAnsi="Times New Roman" w:cs="Times New Roman"/>
              </w:rPr>
              <w:br/>
              <w:t xml:space="preserve">3. High-risk HPV positivity rates for different cytological abnormalities:  </w:t>
            </w:r>
            <w:r w:rsidRPr="00CB2EC4">
              <w:rPr>
                <w:rFonts w:ascii="Times New Roman" w:hAnsi="Times New Roman" w:cs="Times New Roman"/>
              </w:rPr>
              <w:br/>
              <w:t xml:space="preserve">   - ASC-US: 20%–40%  </w:t>
            </w:r>
            <w:r w:rsidRPr="00CB2EC4">
              <w:rPr>
                <w:rFonts w:ascii="Times New Roman" w:hAnsi="Times New Roman" w:cs="Times New Roman"/>
              </w:rPr>
              <w:br/>
              <w:t xml:space="preserve">   - ASC-H: 40%–60%  </w:t>
            </w:r>
            <w:r w:rsidRPr="00CB2EC4">
              <w:rPr>
                <w:rFonts w:ascii="Times New Roman" w:hAnsi="Times New Roman" w:cs="Times New Roman"/>
              </w:rPr>
              <w:br/>
              <w:t xml:space="preserve">   - LSIL: 50%–70%  </w:t>
            </w:r>
            <w:r w:rsidRPr="00CB2EC4">
              <w:rPr>
                <w:rFonts w:ascii="Times New Roman" w:hAnsi="Times New Roman" w:cs="Times New Roman"/>
              </w:rPr>
              <w:br/>
              <w:t xml:space="preserve">   - HSIL: 70%–90%  </w:t>
            </w:r>
            <w:r w:rsidRPr="00CB2EC4">
              <w:rPr>
                <w:rFonts w:ascii="Times New Roman" w:hAnsi="Times New Roman" w:cs="Times New Roman"/>
              </w:rPr>
              <w:br/>
              <w:t xml:space="preserve">   - SCC: &gt;90% (the above are good standards)  </w:t>
            </w:r>
            <w:r w:rsidRPr="00CB2EC4">
              <w:rPr>
                <w:rFonts w:ascii="Times New Roman" w:hAnsi="Times New Roman" w:cs="Times New Roman"/>
              </w:rPr>
              <w:br/>
              <w:t xml:space="preserve">4. Concordance rate between cytologically positive specimens and histologically confirmed diagnoses: based on more than 100 cytologically positive </w:t>
            </w:r>
            <w:r w:rsidRPr="00CB2EC4">
              <w:rPr>
                <w:rFonts w:ascii="Times New Roman" w:hAnsi="Times New Roman" w:cs="Times New Roman"/>
              </w:rPr>
              <w:lastRenderedPageBreak/>
              <w:t xml:space="preserve">specimens (including ASC-US, ASC-H, LSIL, HSIL, SCC, AGC, AIS) and their final histological diagnosis (e.g., from cervical excision or hysterectomy pathology).  </w:t>
            </w:r>
            <w:r w:rsidRPr="00CB2EC4">
              <w:rPr>
                <w:rFonts w:ascii="Times New Roman" w:hAnsi="Times New Roman" w:cs="Times New Roman"/>
              </w:rPr>
              <w:br/>
              <w:t xml:space="preserve">5. Follow-up registration system and follow-up rate for positive cases: as part of quality control to ensure standardized management of positive cases.  </w:t>
            </w:r>
            <w:r w:rsidRPr="00CB2EC4">
              <w:rPr>
                <w:rFonts w:ascii="Times New Roman" w:hAnsi="Times New Roman" w:cs="Times New Roman"/>
              </w:rPr>
              <w:br/>
              <w:t xml:space="preserve">these indicators are designed to evaluate the accuracy and consistency of screening and to strengthen quality control.  </w:t>
            </w:r>
            <w:r w:rsidRPr="00CB2EC4">
              <w:rPr>
                <w:rFonts w:ascii="Times New Roman" w:hAnsi="Times New Roman" w:cs="Times New Roman"/>
              </w:rPr>
              <w:br/>
              <w:t>- Source: Document Fragment 3 (block theme: Quality Control Management for Cervical Cancer Screening).</w:t>
            </w:r>
          </w:p>
        </w:tc>
        <w:tc>
          <w:tcPr>
            <w:tcW w:w="1152" w:type="dxa"/>
            <w:vAlign w:val="center"/>
          </w:tcPr>
          <w:p w14:paraId="06F55F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E5B7D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6E186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61316BD" w14:textId="77777777">
        <w:tc>
          <w:tcPr>
            <w:tcW w:w="2160" w:type="dxa"/>
            <w:vAlign w:val="center"/>
          </w:tcPr>
          <w:p w14:paraId="2B9E4CA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2F06814" w14:textId="77777777" w:rsidR="00922249" w:rsidRPr="00CB2EC4" w:rsidRDefault="003011D5">
            <w:pPr>
              <w:rPr>
                <w:rFonts w:ascii="Times New Roman" w:hAnsi="Times New Roman" w:cs="Times New Roman"/>
              </w:rPr>
            </w:pPr>
            <w:r w:rsidRPr="00CB2EC4">
              <w:rPr>
                <w:rFonts w:ascii="Times New Roman" w:hAnsi="Times New Roman" w:cs="Times New Roman"/>
              </w:rPr>
              <w:t>the key indicators for HPV testing quality control management, based on the CSCCP expert consensus, include the following:</w:t>
            </w:r>
            <w:r w:rsidRPr="00CB2EC4">
              <w:rPr>
                <w:rFonts w:ascii="Times New Roman" w:hAnsi="Times New Roman" w:cs="Times New Roman"/>
              </w:rPr>
              <w:br/>
            </w:r>
            <w:r w:rsidRPr="00CB2EC4">
              <w:rPr>
                <w:rFonts w:ascii="Times New Roman" w:hAnsi="Times New Roman" w:cs="Times New Roman"/>
              </w:rPr>
              <w:br/>
              <w:t xml:space="preserve">- Key indicators:  </w:t>
            </w:r>
            <w:r w:rsidRPr="00CB2EC4">
              <w:rPr>
                <w:rFonts w:ascii="Times New Roman" w:hAnsi="Times New Roman" w:cs="Times New Roman"/>
              </w:rPr>
              <w:br/>
              <w:t xml:space="preserve">  1. TBS interpretation positive detection rate: must be based on a statistical volume of &gt;5000 samples.  </w:t>
            </w:r>
            <w:r w:rsidRPr="00CB2EC4">
              <w:rPr>
                <w:rFonts w:ascii="Times New Roman" w:hAnsi="Times New Roman" w:cs="Times New Roman"/>
              </w:rPr>
              <w:br/>
              <w:t xml:space="preserve">  2. ASC/SIL ratio: target range is 1.5–3.0 (good standard).  </w:t>
            </w:r>
            <w:r w:rsidRPr="00CB2EC4">
              <w:rPr>
                <w:rFonts w:ascii="Times New Roman" w:hAnsi="Times New Roman" w:cs="Times New Roman"/>
              </w:rPr>
              <w:br/>
              <w:t xml:space="preserve">  3. Proportion of high-risk HPV positivity in different cytological results:  </w:t>
            </w:r>
            <w:r w:rsidRPr="00CB2EC4">
              <w:rPr>
                <w:rFonts w:ascii="Times New Roman" w:hAnsi="Times New Roman" w:cs="Times New Roman"/>
              </w:rPr>
              <w:br/>
              <w:t xml:space="preserve">     - ASC-US: 20%–40%  </w:t>
            </w:r>
            <w:r w:rsidRPr="00CB2EC4">
              <w:rPr>
                <w:rFonts w:ascii="Times New Roman" w:hAnsi="Times New Roman" w:cs="Times New Roman"/>
              </w:rPr>
              <w:br/>
              <w:t xml:space="preserve">     - ASC-H: 40%–60%  </w:t>
            </w:r>
            <w:r w:rsidRPr="00CB2EC4">
              <w:rPr>
                <w:rFonts w:ascii="Times New Roman" w:hAnsi="Times New Roman" w:cs="Times New Roman"/>
              </w:rPr>
              <w:br/>
              <w:t xml:space="preserve">     - LSIL: 50%–70%  </w:t>
            </w:r>
            <w:r w:rsidRPr="00CB2EC4">
              <w:rPr>
                <w:rFonts w:ascii="Times New Roman" w:hAnsi="Times New Roman" w:cs="Times New Roman"/>
              </w:rPr>
              <w:br/>
              <w:t xml:space="preserve">     - HSIL: 70%–90%  </w:t>
            </w:r>
            <w:r w:rsidRPr="00CB2EC4">
              <w:rPr>
                <w:rFonts w:ascii="Times New Roman" w:hAnsi="Times New Roman" w:cs="Times New Roman"/>
              </w:rPr>
              <w:br/>
              <w:t xml:space="preserve">     - SCC: &gt;90%  </w:t>
            </w:r>
            <w:r w:rsidRPr="00CB2EC4">
              <w:rPr>
                <w:rFonts w:ascii="Times New Roman" w:hAnsi="Times New Roman" w:cs="Times New Roman"/>
              </w:rPr>
              <w:br/>
              <w:t xml:space="preserve">  4. Concordance rate between positive specimens and histologically confirmed diagnosis: &gt;100 positive specimens (including ASC-US, ASC-H, etc.) compared with histopathological diagnosis (e.g., post-cervical excision).  </w:t>
            </w:r>
            <w:r w:rsidRPr="00CB2EC4">
              <w:rPr>
                <w:rFonts w:ascii="Times New Roman" w:hAnsi="Times New Roman" w:cs="Times New Roman"/>
              </w:rPr>
              <w:br/>
              <w:t xml:space="preserve">  5. Follow-up registration system and follow-up rate: </w:t>
            </w:r>
            <w:r w:rsidRPr="00CB2EC4">
              <w:rPr>
                <w:rFonts w:ascii="Times New Roman" w:hAnsi="Times New Roman" w:cs="Times New Roman"/>
              </w:rPr>
              <w:lastRenderedPageBreak/>
              <w:t xml:space="preserve">to ensure standardized follow-up of positive cases.  </w:t>
            </w:r>
            <w:r w:rsidRPr="00CB2EC4">
              <w:rPr>
                <w:rFonts w:ascii="Times New Roman" w:hAnsi="Times New Roman" w:cs="Times New Roman"/>
              </w:rPr>
              <w:br/>
              <w:t xml:space="preserve">  6. On-site supervision and assessment: randomly select 10–20 consecutive positive cases, 20–30 negative cases, and 20 inter-laboratory quality control standard slides for on-site evaluation.</w:t>
            </w:r>
          </w:p>
        </w:tc>
        <w:tc>
          <w:tcPr>
            <w:tcW w:w="1152" w:type="dxa"/>
            <w:vAlign w:val="center"/>
          </w:tcPr>
          <w:p w14:paraId="0BD5C2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28BC1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84F7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DFF957" w14:textId="77777777">
        <w:tc>
          <w:tcPr>
            <w:tcW w:w="2160" w:type="dxa"/>
            <w:vAlign w:val="center"/>
          </w:tcPr>
          <w:p w14:paraId="755C039C"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603654A" w14:textId="77777777" w:rsidR="00922249" w:rsidRPr="00CB2EC4" w:rsidRDefault="003011D5">
            <w:pPr>
              <w:rPr>
                <w:rFonts w:ascii="Times New Roman" w:hAnsi="Times New Roman" w:cs="Times New Roman"/>
              </w:rPr>
            </w:pPr>
            <w:r w:rsidRPr="00CB2EC4">
              <w:rPr>
                <w:rFonts w:ascii="Times New Roman" w:hAnsi="Times New Roman" w:cs="Times New Roman"/>
              </w:rPr>
              <w:t>the key indicators included in the expert consensus on quality control management of HPV testing are as follows:</w:t>
            </w:r>
            <w:r w:rsidRPr="00CB2EC4">
              <w:rPr>
                <w:rFonts w:ascii="Times New Roman" w:hAnsi="Times New Roman" w:cs="Times New Roman"/>
              </w:rPr>
              <w:br/>
            </w:r>
            <w:r w:rsidRPr="00CB2EC4">
              <w:rPr>
                <w:rFonts w:ascii="Times New Roman" w:hAnsi="Times New Roman" w:cs="Times New Roman"/>
              </w:rPr>
              <w:br/>
              <w:t xml:space="preserve">- Cytology positive detection rate (statistical volume &gt; 5000 cases).  </w:t>
            </w:r>
            <w:r w:rsidRPr="00CB2EC4">
              <w:rPr>
                <w:rFonts w:ascii="Times New Roman" w:hAnsi="Times New Roman" w:cs="Times New Roman"/>
              </w:rPr>
              <w:br/>
              <w:t xml:space="preserve">- ASC/SIL ratio (1.5–3.0 indicates good performance).  </w:t>
            </w:r>
            <w:r w:rsidRPr="00CB2EC4">
              <w:rPr>
                <w:rFonts w:ascii="Times New Roman" w:hAnsi="Times New Roman" w:cs="Times New Roman"/>
              </w:rPr>
              <w:br/>
              <w:t xml:space="preserve">- TBS classification-based high-risk HPV positivity rate standards (e.g., ASC-US HPV positivity rate should be 20%–40%).  </w:t>
            </w:r>
            <w:r w:rsidRPr="00CB2EC4">
              <w:rPr>
                <w:rFonts w:ascii="Times New Roman" w:hAnsi="Times New Roman" w:cs="Times New Roman"/>
              </w:rPr>
              <w:br/>
              <w:t xml:space="preserve">- Concordance rate between cytological and histological diagnosis (&gt;100 positive specimens).  </w:t>
            </w:r>
            <w:r w:rsidRPr="00CB2EC4">
              <w:rPr>
                <w:rFonts w:ascii="Times New Roman" w:hAnsi="Times New Roman" w:cs="Times New Roman"/>
              </w:rPr>
              <w:br/>
              <w:t xml:space="preserve">- Positive predictive value (PPV) and negative predictive value (NPV) are core indicators for HPV testing quality control (source: expert consensus on cervical cancer screening guidelines).  </w:t>
            </w:r>
            <w:r w:rsidRPr="00CB2EC4">
              <w:rPr>
                <w:rFonts w:ascii="Times New Roman" w:hAnsi="Times New Roman" w:cs="Times New Roman"/>
              </w:rPr>
              <w:br/>
              <w:t xml:space="preserve">- AI-assisted slide reading system requirements: sample rejection rate ≤ 3.5%, negative samples do not require manual recheck (source: supplementary content from web search).  </w:t>
            </w:r>
            <w:r w:rsidRPr="00CB2EC4">
              <w:rPr>
                <w:rFonts w:ascii="Times New Roman" w:hAnsi="Times New Roman" w:cs="Times New Roman"/>
              </w:rPr>
              <w:br/>
            </w:r>
            <w:r w:rsidRPr="00CB2EC4">
              <w:rPr>
                <w:rFonts w:ascii="Times New Roman" w:hAnsi="Times New Roman" w:cs="Times New Roman"/>
              </w:rPr>
              <w:br/>
              <w:t>Conclusion: Key indicators include positivity rate, concordance rate, PPV/NPV, and AI quality control parameters.</w:t>
            </w:r>
          </w:p>
        </w:tc>
        <w:tc>
          <w:tcPr>
            <w:tcW w:w="1152" w:type="dxa"/>
            <w:vAlign w:val="center"/>
          </w:tcPr>
          <w:p w14:paraId="2B51BE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9FA56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3DE4A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10B68D1" w14:textId="77777777">
        <w:tc>
          <w:tcPr>
            <w:tcW w:w="2160" w:type="dxa"/>
            <w:vAlign w:val="center"/>
          </w:tcPr>
          <w:p w14:paraId="186D55D3"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582439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provided document excerpts, no specific key indicators for HPV testing quality control management expert consensus are explicitly listed. Document excerpt 3 details quality control indicators </w:t>
            </w:r>
            <w:r w:rsidRPr="00CB2EC4">
              <w:rPr>
                <w:rFonts w:ascii="Times New Roman" w:hAnsi="Times New Roman" w:cs="Times New Roman"/>
              </w:rPr>
              <w:lastRenderedPageBreak/>
              <w:t xml:space="preserve">for cytopathology in cervical cancer screening (such as TBS interpretation positive detection rate, ASC/SIL ratio), but these pertain to cytology, not specifically to HPV testing quality control. Excerpt 2 mentions that HPV detection methods are numerous and lack sufficient clinical validation data but does not enumerate quality control indicators. Therefore, the key indicators for HPV testing quality control management expert consensus cannot be identified from the documents.  </w:t>
            </w:r>
            <w:r w:rsidRPr="00CB2EC4">
              <w:rPr>
                <w:rFonts w:ascii="Times New Roman" w:hAnsi="Times New Roman" w:cs="Times New Roman"/>
              </w:rPr>
              <w:br/>
              <w:t>response: no answer found in the knowledge base.</w:t>
            </w:r>
          </w:p>
        </w:tc>
        <w:tc>
          <w:tcPr>
            <w:tcW w:w="1152" w:type="dxa"/>
            <w:vAlign w:val="center"/>
          </w:tcPr>
          <w:p w14:paraId="6168AE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7F00E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F71EF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58CC277" w14:textId="77777777">
        <w:tc>
          <w:tcPr>
            <w:tcW w:w="2160" w:type="dxa"/>
            <w:vAlign w:val="center"/>
          </w:tcPr>
          <w:p w14:paraId="5DC105F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10EF899"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4663E8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1EC13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8B43C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CDB3911" w14:textId="77777777">
        <w:tc>
          <w:tcPr>
            <w:tcW w:w="2160" w:type="dxa"/>
            <w:vAlign w:val="center"/>
          </w:tcPr>
          <w:p w14:paraId="540D18BC"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57AC56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key indicators included in the Expert Consensus on Quality Control Management of HPV Testing (primarily referring to cytopathology quality control) based on the CSCCP expert consensus are as follows:  </w:t>
            </w:r>
            <w:r w:rsidRPr="00CB2EC4">
              <w:rPr>
                <w:rFonts w:ascii="Times New Roman" w:hAnsi="Times New Roman" w:cs="Times New Roman"/>
              </w:rPr>
              <w:br/>
              <w:t xml:space="preserve">1. Positive detection rate for each TBS diagnostic category: to be evaluated based on statistical data from more than 5,000 cases.  </w:t>
            </w:r>
            <w:r w:rsidRPr="00CB2EC4">
              <w:rPr>
                <w:rFonts w:ascii="Times New Roman" w:hAnsi="Times New Roman" w:cs="Times New Roman"/>
              </w:rPr>
              <w:br/>
              <w:t xml:space="preserve">2. ASC/SIL ratio: ideal range 1.5–3.0, used to assess interpretive consistency.  </w:t>
            </w:r>
            <w:r w:rsidRPr="00CB2EC4">
              <w:rPr>
                <w:rFonts w:ascii="Times New Roman" w:hAnsi="Times New Roman" w:cs="Times New Roman"/>
              </w:rPr>
              <w:br/>
              <w:t xml:space="preserve">3. High-risk HPV positivity rates for different TBS categories:  </w:t>
            </w:r>
            <w:r w:rsidRPr="00CB2EC4">
              <w:rPr>
                <w:rFonts w:ascii="Times New Roman" w:hAnsi="Times New Roman" w:cs="Times New Roman"/>
              </w:rPr>
              <w:br/>
              <w:t xml:space="preserve">   - ASC-US: 20%~40%  </w:t>
            </w:r>
            <w:r w:rsidRPr="00CB2EC4">
              <w:rPr>
                <w:rFonts w:ascii="Times New Roman" w:hAnsi="Times New Roman" w:cs="Times New Roman"/>
              </w:rPr>
              <w:br/>
              <w:t xml:space="preserve">   - ASC-H: 40%~60%  </w:t>
            </w:r>
            <w:r w:rsidRPr="00CB2EC4">
              <w:rPr>
                <w:rFonts w:ascii="Times New Roman" w:hAnsi="Times New Roman" w:cs="Times New Roman"/>
              </w:rPr>
              <w:br/>
              <w:t xml:space="preserve">   - LSIL: 50%~70%  </w:t>
            </w:r>
            <w:r w:rsidRPr="00CB2EC4">
              <w:rPr>
                <w:rFonts w:ascii="Times New Roman" w:hAnsi="Times New Roman" w:cs="Times New Roman"/>
              </w:rPr>
              <w:br/>
              <w:t xml:space="preserve">   - HSIL: 70%~90%  </w:t>
            </w:r>
            <w:r w:rsidRPr="00CB2EC4">
              <w:rPr>
                <w:rFonts w:ascii="Times New Roman" w:hAnsi="Times New Roman" w:cs="Times New Roman"/>
              </w:rPr>
              <w:br/>
              <w:t xml:space="preserve">   - A positivity rate &gt;90% is considered good.  </w:t>
            </w:r>
            <w:r w:rsidRPr="00CB2EC4">
              <w:rPr>
                <w:rFonts w:ascii="Times New Roman" w:hAnsi="Times New Roman" w:cs="Times New Roman"/>
              </w:rPr>
              <w:br/>
              <w:t>4. Concordance rate between cytology-positive specimens and histologically confirmed results: for more than 100 cytology-positive cases (including ASC-US, ASC-H, LSIL, HSIL, SCC, AGC, AIS) compared with final histological diagnosis (e.g., post-</w:t>
            </w:r>
            <w:r w:rsidRPr="00CB2EC4">
              <w:rPr>
                <w:rFonts w:ascii="Times New Roman" w:hAnsi="Times New Roman" w:cs="Times New Roman"/>
              </w:rPr>
              <w:lastRenderedPageBreak/>
              <w:t xml:space="preserve">excision pathology).  </w:t>
            </w:r>
            <w:r w:rsidRPr="00CB2EC4">
              <w:rPr>
                <w:rFonts w:ascii="Times New Roman" w:hAnsi="Times New Roman" w:cs="Times New Roman"/>
              </w:rPr>
              <w:br/>
              <w:t xml:space="preserve">5. Follow-up registration system and follow-up rate for positive cases: emphasizing the importance of follow-up management.  </w:t>
            </w:r>
            <w:r w:rsidRPr="00CB2EC4">
              <w:rPr>
                <w:rFonts w:ascii="Times New Roman" w:hAnsi="Times New Roman" w:cs="Times New Roman"/>
              </w:rPr>
              <w:br/>
              <w:t xml:space="preserve">6. On-site inspection indicators: randomly select 10–20 consecutive positive cases, 20–30 negative cases, and 20 inter-laboratory quality control standard slides for on-site evaluation.  </w:t>
            </w:r>
            <w:r w:rsidRPr="00CB2EC4">
              <w:rPr>
                <w:rFonts w:ascii="Times New Roman" w:hAnsi="Times New Roman" w:cs="Times New Roman"/>
              </w:rPr>
              <w:br/>
              <w:t xml:space="preserve">(Source: [HyDE similarity: 0.538] and [HyDE similarity: 0.667]).  </w:t>
            </w:r>
            <w:r w:rsidRPr="00CB2EC4">
              <w:rPr>
                <w:rFonts w:ascii="Times New Roman" w:hAnsi="Times New Roman" w:cs="Times New Roman"/>
              </w:rPr>
              <w:br/>
              <w:t>Therefore, the key indicators include the above six items, mainly focusing on positivity rates, concordance rates, ratios, and follow-up systems.</w:t>
            </w:r>
          </w:p>
        </w:tc>
        <w:tc>
          <w:tcPr>
            <w:tcW w:w="1152" w:type="dxa"/>
            <w:vAlign w:val="center"/>
          </w:tcPr>
          <w:p w14:paraId="21F3E9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55ECC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E1AD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94BDA31" w14:textId="77777777">
        <w:tc>
          <w:tcPr>
            <w:tcW w:w="2160" w:type="dxa"/>
            <w:vAlign w:val="center"/>
          </w:tcPr>
          <w:p w14:paraId="7129095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E57D8A5" w14:textId="77777777" w:rsidR="00922249" w:rsidRPr="00CB2EC4" w:rsidRDefault="003011D5">
            <w:pPr>
              <w:rPr>
                <w:rFonts w:ascii="Times New Roman" w:hAnsi="Times New Roman" w:cs="Times New Roman"/>
              </w:rPr>
            </w:pPr>
            <w:r w:rsidRPr="00CB2EC4">
              <w:rPr>
                <w:rFonts w:ascii="Times New Roman" w:hAnsi="Times New Roman" w:cs="Times New Roman"/>
              </w:rPr>
              <w:t>the key indicators included in the Expert Consensus on Quality Control Management for HPV Testing are as follows:</w:t>
            </w:r>
            <w:r w:rsidRPr="00CB2EC4">
              <w:rPr>
                <w:rFonts w:ascii="Times New Roman" w:hAnsi="Times New Roman" w:cs="Times New Roman"/>
              </w:rPr>
              <w:br/>
            </w:r>
            <w:r w:rsidRPr="00CB2EC4">
              <w:rPr>
                <w:rFonts w:ascii="Times New Roman" w:hAnsi="Times New Roman" w:cs="Times New Roman"/>
              </w:rPr>
              <w:br/>
              <w:t>In Document Fragment 2, the quality control management scheme for cytopathology in cervical cancer screening is detailed, which forms part of the expert consensus. The key indicators include:</w:t>
            </w:r>
            <w:r w:rsidRPr="00CB2EC4">
              <w:rPr>
                <w:rFonts w:ascii="Times New Roman" w:hAnsi="Times New Roman" w:cs="Times New Roman"/>
              </w:rPr>
              <w:br/>
              <w:t>- $\textcircled{1}$ Positive detection rates for each TBS classification (based on statistical volume exceeding 5,000 cases).</w:t>
            </w:r>
            <w:r w:rsidRPr="00CB2EC4">
              <w:rPr>
                <w:rFonts w:ascii="Times New Roman" w:hAnsi="Times New Roman" w:cs="Times New Roman"/>
              </w:rPr>
              <w:br/>
              <w:t>- $\textcircled{2}$ Atypical squamous cells of undetermined significance / squamous intraepithelial lesion (ASC/SIL) ratio (optimal range: 1.5–3.0).</w:t>
            </w:r>
            <w:r w:rsidRPr="00CB2EC4">
              <w:rPr>
                <w:rFonts w:ascii="Times New Roman" w:hAnsi="Times New Roman" w:cs="Times New Roman"/>
              </w:rPr>
              <w:br/>
              <w:t>- $\textcircled{3}$ High-risk HPV positivity rates corresponding to TBS classifications (e.g., ASC-US: 20%~40%, ASC-H: 40%~60%, LSIL: 50%~70%, HSIL: 70%~90%, SCC: &gt;90%).</w:t>
            </w:r>
            <w:r w:rsidRPr="00CB2EC4">
              <w:rPr>
                <w:rFonts w:ascii="Times New Roman" w:hAnsi="Times New Roman" w:cs="Times New Roman"/>
              </w:rPr>
              <w:br/>
              <w:t xml:space="preserve">- $\textcircled{4}$ Concordance rate between cytological positive specimens (including ASC-US, ASC-H, LSIL, HSIL, SCC, AGC, AIS) and final </w:t>
            </w:r>
            <w:r w:rsidRPr="00CB2EC4">
              <w:rPr>
                <w:rFonts w:ascii="Times New Roman" w:hAnsi="Times New Roman" w:cs="Times New Roman"/>
              </w:rPr>
              <w:lastRenderedPageBreak/>
              <w:t>histological diagnosis (from cervical conization or hysterectomy specimens) for cases exceeding 100.</w:t>
            </w:r>
            <w:r w:rsidRPr="00CB2EC4">
              <w:rPr>
                <w:rFonts w:ascii="Times New Roman" w:hAnsi="Times New Roman" w:cs="Times New Roman"/>
              </w:rPr>
              <w:br/>
              <w:t>- $\textcircled{5}$ Follow-up registration system and follow-up rate for positive cases (supplemented from Document Fragment 1).</w:t>
            </w:r>
            <w:r w:rsidRPr="00CB2EC4">
              <w:rPr>
                <w:rFonts w:ascii="Times New Roman" w:hAnsi="Times New Roman" w:cs="Times New Roman"/>
              </w:rPr>
              <w:br/>
              <w:t>- $\textcircled{6}$ On-site inspection involving random selection of 10–20 consecutive positive cases, 20–30 negative cases, and 20 inter-laboratory quality control standard slides for on-site evaluation (supplemented from Document Fragment 1).</w:t>
            </w:r>
            <w:r w:rsidRPr="00CB2EC4">
              <w:rPr>
                <w:rFonts w:ascii="Times New Roman" w:hAnsi="Times New Roman" w:cs="Times New Roman"/>
              </w:rPr>
              <w:br/>
            </w:r>
            <w:r w:rsidRPr="00CB2EC4">
              <w:rPr>
                <w:rFonts w:ascii="Times New Roman" w:hAnsi="Times New Roman" w:cs="Times New Roman"/>
              </w:rPr>
              <w:br/>
              <w:t>These indicators are designed to ensure cytopathology quality, including detection rates, ratios, HPV positivity rates, concordance rates, and follow-up management.</w:t>
            </w:r>
          </w:p>
        </w:tc>
        <w:tc>
          <w:tcPr>
            <w:tcW w:w="1152" w:type="dxa"/>
            <w:vAlign w:val="center"/>
          </w:tcPr>
          <w:p w14:paraId="1B1F18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0DB2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8841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E79093" w14:textId="77777777">
        <w:tc>
          <w:tcPr>
            <w:tcW w:w="2160" w:type="dxa"/>
            <w:vAlign w:val="center"/>
          </w:tcPr>
          <w:p w14:paraId="6DFE75EB"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5FEBCC5" w14:textId="77777777" w:rsidR="00922249" w:rsidRPr="00CB2EC4" w:rsidRDefault="003011D5">
            <w:pPr>
              <w:rPr>
                <w:rFonts w:ascii="Times New Roman" w:hAnsi="Times New Roman" w:cs="Times New Roman"/>
              </w:rPr>
            </w:pPr>
            <w:r w:rsidRPr="00CB2EC4">
              <w:rPr>
                <w:rFonts w:ascii="Times New Roman" w:hAnsi="Times New Roman" w:cs="Times New Roman"/>
              </w:rPr>
              <w:t>the key indicators included in the expert consensus on quality control management for HPV testing are as follows:</w:t>
            </w:r>
            <w:r w:rsidRPr="00CB2EC4">
              <w:rPr>
                <w:rFonts w:ascii="Times New Roman" w:hAnsi="Times New Roman" w:cs="Times New Roman"/>
              </w:rPr>
              <w:br/>
            </w:r>
            <w:r w:rsidRPr="00CB2EC4">
              <w:rPr>
                <w:rFonts w:ascii="Times New Roman" w:hAnsi="Times New Roman" w:cs="Times New Roman"/>
              </w:rPr>
              <w:br/>
              <w:t>- $\textcircled{1}$ Positive detection rate for each TBS interpretation category: must be based on statistics from &gt;5000 samples.</w:t>
            </w:r>
            <w:r w:rsidRPr="00CB2EC4">
              <w:rPr>
                <w:rFonts w:ascii="Times New Roman" w:hAnsi="Times New Roman" w:cs="Times New Roman"/>
              </w:rPr>
              <w:br/>
              <w:t xml:space="preserve">- $\textcircled{2}$ ASC/SIL ratio: target range is 1.5 </w:t>
            </w:r>
            <w:r w:rsidRPr="00CB2EC4">
              <w:rPr>
                <w:rFonts w:ascii="Cambria Math" w:hAnsi="Cambria Math" w:cs="Cambria Math"/>
              </w:rPr>
              <w:t>∼</w:t>
            </w:r>
            <w:r w:rsidRPr="00CB2EC4">
              <w:rPr>
                <w:rFonts w:ascii="Times New Roman" w:hAnsi="Times New Roman" w:cs="Times New Roman"/>
              </w:rPr>
              <w:t xml:space="preserve"> 3.0 (good standard).</w:t>
            </w:r>
            <w:r w:rsidRPr="00CB2EC4">
              <w:rPr>
                <w:rFonts w:ascii="Times New Roman" w:hAnsi="Times New Roman" w:cs="Times New Roman"/>
              </w:rPr>
              <w:br/>
              <w:t>- $\textcircled{3}$ High-risk HPV positivity rates for different grades of lesions:</w:t>
            </w:r>
            <w:r w:rsidRPr="00CB2EC4">
              <w:rPr>
                <w:rFonts w:ascii="Times New Roman" w:hAnsi="Times New Roman" w:cs="Times New Roman"/>
              </w:rPr>
              <w:br/>
              <w:t xml:space="preserve">  - ASC-US: 20% </w:t>
            </w:r>
            <w:r w:rsidRPr="00CB2EC4">
              <w:rPr>
                <w:rFonts w:ascii="Cambria Math" w:hAnsi="Cambria Math" w:cs="Cambria Math"/>
              </w:rPr>
              <w:t>∼</w:t>
            </w:r>
            <w:r w:rsidRPr="00CB2EC4">
              <w:rPr>
                <w:rFonts w:ascii="Times New Roman" w:hAnsi="Times New Roman" w:cs="Times New Roman"/>
              </w:rPr>
              <w:t xml:space="preserve"> 40%</w:t>
            </w:r>
            <w:r w:rsidRPr="00CB2EC4">
              <w:rPr>
                <w:rFonts w:ascii="Times New Roman" w:hAnsi="Times New Roman" w:cs="Times New Roman"/>
              </w:rPr>
              <w:br/>
              <w:t xml:space="preserve">  - ASC-H: 40% </w:t>
            </w:r>
            <w:r w:rsidRPr="00CB2EC4">
              <w:rPr>
                <w:rFonts w:ascii="Cambria Math" w:hAnsi="Cambria Math" w:cs="Cambria Math"/>
              </w:rPr>
              <w:t>∼</w:t>
            </w:r>
            <w:r w:rsidRPr="00CB2EC4">
              <w:rPr>
                <w:rFonts w:ascii="Times New Roman" w:hAnsi="Times New Roman" w:cs="Times New Roman"/>
              </w:rPr>
              <w:t xml:space="preserve"> 60%</w:t>
            </w:r>
            <w:r w:rsidRPr="00CB2EC4">
              <w:rPr>
                <w:rFonts w:ascii="Times New Roman" w:hAnsi="Times New Roman" w:cs="Times New Roman"/>
              </w:rPr>
              <w:br/>
              <w:t xml:space="preserve">  - LSIL: 50% </w:t>
            </w:r>
            <w:r w:rsidRPr="00CB2EC4">
              <w:rPr>
                <w:rFonts w:ascii="Cambria Math" w:hAnsi="Cambria Math" w:cs="Cambria Math"/>
              </w:rPr>
              <w:t>∼</w:t>
            </w:r>
            <w:r w:rsidRPr="00CB2EC4">
              <w:rPr>
                <w:rFonts w:ascii="Times New Roman" w:hAnsi="Times New Roman" w:cs="Times New Roman"/>
              </w:rPr>
              <w:t xml:space="preserve"> 70%</w:t>
            </w:r>
            <w:r w:rsidRPr="00CB2EC4">
              <w:rPr>
                <w:rFonts w:ascii="Times New Roman" w:hAnsi="Times New Roman" w:cs="Times New Roman"/>
              </w:rPr>
              <w:br/>
              <w:t xml:space="preserve">  - HSIL/SCC: 70% </w:t>
            </w:r>
            <w:r w:rsidRPr="00CB2EC4">
              <w:rPr>
                <w:rFonts w:ascii="Cambria Math" w:hAnsi="Cambria Math" w:cs="Cambria Math"/>
              </w:rPr>
              <w:t>∼</w:t>
            </w:r>
            <w:r w:rsidRPr="00CB2EC4">
              <w:rPr>
                <w:rFonts w:ascii="Times New Roman" w:hAnsi="Times New Roman" w:cs="Times New Roman"/>
              </w:rPr>
              <w:t xml:space="preserve"> 90% (&gt;90% is good).</w:t>
            </w:r>
            <w:r w:rsidRPr="00CB2EC4">
              <w:rPr>
                <w:rFonts w:ascii="Times New Roman" w:hAnsi="Times New Roman" w:cs="Times New Roman"/>
              </w:rPr>
              <w:br/>
              <w:t xml:space="preserve">- $\textcircled{4}$ Concordance rate between cytology and histology: for &gt;100 positive specimens (e.g., ASC-US, HSIL), must be compared with </w:t>
            </w:r>
            <w:r w:rsidRPr="00CB2EC4">
              <w:rPr>
                <w:rFonts w:ascii="Times New Roman" w:hAnsi="Times New Roman" w:cs="Times New Roman"/>
              </w:rPr>
              <w:lastRenderedPageBreak/>
              <w:t>postoperative histopathological diagnosis.</w:t>
            </w:r>
            <w:r w:rsidRPr="00CB2EC4">
              <w:rPr>
                <w:rFonts w:ascii="Times New Roman" w:hAnsi="Times New Roman" w:cs="Times New Roman"/>
              </w:rPr>
              <w:br/>
              <w:t>- $\textcircled{5}$ Follow-up registration system and follow-up rate for positive cases.</w:t>
            </w:r>
            <w:r w:rsidRPr="00CB2EC4">
              <w:rPr>
                <w:rFonts w:ascii="Times New Roman" w:hAnsi="Times New Roman" w:cs="Times New Roman"/>
              </w:rPr>
              <w:br/>
              <w:t xml:space="preserve">- $\textcircled{6}$ On-site inspection: randomly select cases for on-site assessment (e.g., 10 </w:t>
            </w:r>
            <w:r w:rsidRPr="00CB2EC4">
              <w:rPr>
                <w:rFonts w:ascii="Cambria Math" w:hAnsi="Cambria Math" w:cs="Cambria Math"/>
              </w:rPr>
              <w:t>∼</w:t>
            </w:r>
            <w:r w:rsidRPr="00CB2EC4">
              <w:rPr>
                <w:rFonts w:ascii="Times New Roman" w:hAnsi="Times New Roman" w:cs="Times New Roman"/>
              </w:rPr>
              <w:t xml:space="preserve"> 20 positive cases).</w:t>
            </w:r>
          </w:p>
        </w:tc>
        <w:tc>
          <w:tcPr>
            <w:tcW w:w="1152" w:type="dxa"/>
            <w:vAlign w:val="center"/>
          </w:tcPr>
          <w:p w14:paraId="289CA9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D2F09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7AA3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550A451" w14:textId="77777777">
        <w:tc>
          <w:tcPr>
            <w:tcW w:w="2160" w:type="dxa"/>
            <w:vAlign w:val="center"/>
          </w:tcPr>
          <w:p w14:paraId="2DA2433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4F9CA3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key indicators included in the expert consensus on quality control management for HPV testing are:  </w:t>
            </w:r>
            <w:r w:rsidRPr="00CB2EC4">
              <w:rPr>
                <w:rFonts w:ascii="Times New Roman" w:hAnsi="Times New Roman" w:cs="Times New Roman"/>
              </w:rPr>
              <w:br/>
              <w:t xml:space="preserve">1. Positive detection rate of TBS classification (based on a statistical volume of &gt;5000 samples).  </w:t>
            </w:r>
            <w:r w:rsidRPr="00CB2EC4">
              <w:rPr>
                <w:rFonts w:ascii="Times New Roman" w:hAnsi="Times New Roman" w:cs="Times New Roman"/>
              </w:rPr>
              <w:br/>
              <w:t xml:space="preserve">2. ASC/SIL ratio (target range: 1.5–3.0).  </w:t>
            </w:r>
            <w:r w:rsidRPr="00CB2EC4">
              <w:rPr>
                <w:rFonts w:ascii="Times New Roman" w:hAnsi="Times New Roman" w:cs="Times New Roman"/>
              </w:rPr>
              <w:br/>
              <w:t xml:space="preserve">3. High-risk HPV positivity rates for different TBS classifications (e.g., ASC-US: 20%–40%, ASC-H: 40%–60%, LSIL: 50%–70%, HSIL: 70%–90%, SCC: &gt;90% as good performance).  </w:t>
            </w:r>
            <w:r w:rsidRPr="00CB2EC4">
              <w:rPr>
                <w:rFonts w:ascii="Times New Roman" w:hAnsi="Times New Roman" w:cs="Times New Roman"/>
              </w:rPr>
              <w:br/>
              <w:t xml:space="preserve">4. Concordance rate between cytology-positive specimens (including ASC-US, ASC-H, LSIL, HSIL, SCC, AGC, AIS) and final histological diagnosis (requires &gt;100 cases).  </w:t>
            </w:r>
            <w:r w:rsidRPr="00CB2EC4">
              <w:rPr>
                <w:rFonts w:ascii="Times New Roman" w:hAnsi="Times New Roman" w:cs="Times New Roman"/>
              </w:rPr>
              <w:br/>
              <w:t xml:space="preserve">5. Follow-up registration system and follow-up rate for positive cases.  </w:t>
            </w:r>
            <w:r w:rsidRPr="00CB2EC4">
              <w:rPr>
                <w:rFonts w:ascii="Times New Roman" w:hAnsi="Times New Roman" w:cs="Times New Roman"/>
              </w:rPr>
              <w:br/>
              <w:t>6. On-site inspection (randomly selects 10–20 consecutive positive cases, 20–30 negative cases, and 20 inter-laboratory quality control standard slides for on-site assessment).</w:t>
            </w:r>
          </w:p>
        </w:tc>
        <w:tc>
          <w:tcPr>
            <w:tcW w:w="1152" w:type="dxa"/>
            <w:vAlign w:val="center"/>
          </w:tcPr>
          <w:p w14:paraId="3DD022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BC3C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64AD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ED835E" w14:textId="77777777">
        <w:tc>
          <w:tcPr>
            <w:tcW w:w="2160" w:type="dxa"/>
            <w:vAlign w:val="center"/>
          </w:tcPr>
          <w:p w14:paraId="11BC9F5B"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C3A1711" w14:textId="77777777" w:rsidR="00922249" w:rsidRPr="00CB2EC4" w:rsidRDefault="003011D5">
            <w:pPr>
              <w:rPr>
                <w:rFonts w:ascii="Times New Roman" w:hAnsi="Times New Roman" w:cs="Times New Roman"/>
              </w:rPr>
            </w:pPr>
            <w:r w:rsidRPr="00CB2EC4">
              <w:rPr>
                <w:rFonts w:ascii="Times New Roman" w:hAnsi="Times New Roman" w:cs="Times New Roman"/>
              </w:rPr>
              <w:t>the key indicators included in the expert consensus on quality control management for HPV testing are as follows (based on the quality control scheme described in the document):</w:t>
            </w:r>
            <w:r w:rsidRPr="00CB2EC4">
              <w:rPr>
                <w:rFonts w:ascii="Times New Roman" w:hAnsi="Times New Roman" w:cs="Times New Roman"/>
              </w:rPr>
              <w:br/>
            </w:r>
            <w:r w:rsidRPr="00CB2EC4">
              <w:rPr>
                <w:rFonts w:ascii="Times New Roman" w:hAnsi="Times New Roman" w:cs="Times New Roman"/>
              </w:rPr>
              <w:br/>
              <w:t>- Positive detection rate for each TBS diagnostic category: requires assessment based on a statistical sample size exceeding 5,000 cases.</w:t>
            </w:r>
            <w:r w:rsidRPr="00CB2EC4">
              <w:rPr>
                <w:rFonts w:ascii="Times New Roman" w:hAnsi="Times New Roman" w:cs="Times New Roman"/>
              </w:rPr>
              <w:br/>
            </w:r>
            <w:r w:rsidRPr="00CB2EC4">
              <w:rPr>
                <w:rFonts w:ascii="Times New Roman" w:hAnsi="Times New Roman" w:cs="Times New Roman"/>
              </w:rPr>
              <w:lastRenderedPageBreak/>
              <w:t>- ASC/SIL ratio: the ideal range is 1.5 to 3.0, indicating good quality control.</w:t>
            </w:r>
            <w:r w:rsidRPr="00CB2EC4">
              <w:rPr>
                <w:rFonts w:ascii="Times New Roman" w:hAnsi="Times New Roman" w:cs="Times New Roman"/>
              </w:rPr>
              <w:br/>
              <w:t>- High-risk HPV positivity rates for different cytological grades, specifically:</w:t>
            </w:r>
            <w:r w:rsidRPr="00CB2EC4">
              <w:rPr>
                <w:rFonts w:ascii="Times New Roman" w:hAnsi="Times New Roman" w:cs="Times New Roman"/>
              </w:rPr>
              <w:br/>
              <w:t xml:space="preserve">  - ASC-US: 20% to 40%</w:t>
            </w:r>
            <w:r w:rsidRPr="00CB2EC4">
              <w:rPr>
                <w:rFonts w:ascii="Times New Roman" w:hAnsi="Times New Roman" w:cs="Times New Roman"/>
              </w:rPr>
              <w:br/>
              <w:t xml:space="preserve">  - ASC-H: 40% to 60%</w:t>
            </w:r>
            <w:r w:rsidRPr="00CB2EC4">
              <w:rPr>
                <w:rFonts w:ascii="Times New Roman" w:hAnsi="Times New Roman" w:cs="Times New Roman"/>
              </w:rPr>
              <w:br/>
              <w:t xml:space="preserve">  - LSIL: 50% to 70%</w:t>
            </w:r>
            <w:r w:rsidRPr="00CB2EC4">
              <w:rPr>
                <w:rFonts w:ascii="Times New Roman" w:hAnsi="Times New Roman" w:cs="Times New Roman"/>
              </w:rPr>
              <w:br/>
              <w:t xml:space="preserve">  - HSIL: 70% to 90%</w:t>
            </w:r>
            <w:r w:rsidRPr="00CB2EC4">
              <w:rPr>
                <w:rFonts w:ascii="Times New Roman" w:hAnsi="Times New Roman" w:cs="Times New Roman"/>
              </w:rPr>
              <w:br/>
              <w:t xml:space="preserve">  - A positivity rate exceeding 90% is considered good.</w:t>
            </w:r>
            <w:r w:rsidRPr="00CB2EC4">
              <w:rPr>
                <w:rFonts w:ascii="Times New Roman" w:hAnsi="Times New Roman" w:cs="Times New Roman"/>
              </w:rPr>
              <w:br/>
              <w:t>- Concordance rate between cytologically positive specimens and histologically confirmed diagnoses: requires assessment based on more than 100 cytologically positive specimens (including ASC-US, ASC-H, LSIL, HSIL, SCC, AGC, AIS) and their final histopathological diagnoses (e.g., from cervical excision or hysterectomy).</w:t>
            </w:r>
            <w:r w:rsidRPr="00CB2EC4">
              <w:rPr>
                <w:rFonts w:ascii="Times New Roman" w:hAnsi="Times New Roman" w:cs="Times New Roman"/>
              </w:rPr>
              <w:br/>
            </w:r>
            <w:r w:rsidRPr="00CB2EC4">
              <w:rPr>
                <w:rFonts w:ascii="Times New Roman" w:hAnsi="Times New Roman" w:cs="Times New Roman"/>
              </w:rPr>
              <w:br/>
              <w:t>These indicators are designed to ensure the accuracy and consistency of HPV testing. The source document is the CSCCP expert consensus on cytopathology quality control.</w:t>
            </w:r>
          </w:p>
        </w:tc>
        <w:tc>
          <w:tcPr>
            <w:tcW w:w="1152" w:type="dxa"/>
            <w:vAlign w:val="center"/>
          </w:tcPr>
          <w:p w14:paraId="2B9392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77018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576C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4509C1C" w14:textId="77777777">
        <w:tc>
          <w:tcPr>
            <w:tcW w:w="2160" w:type="dxa"/>
            <w:vAlign w:val="center"/>
          </w:tcPr>
          <w:p w14:paraId="28D594EE"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4BF2888" w14:textId="77777777" w:rsidR="00922249" w:rsidRPr="00CB2EC4" w:rsidRDefault="003011D5">
            <w:pPr>
              <w:rPr>
                <w:rFonts w:ascii="Times New Roman" w:hAnsi="Times New Roman" w:cs="Times New Roman"/>
              </w:rPr>
            </w:pPr>
            <w:r w:rsidRPr="00CB2EC4">
              <w:rPr>
                <w:rFonts w:ascii="Times New Roman" w:hAnsi="Times New Roman" w:cs="Times New Roman"/>
              </w:rPr>
              <w:t>the key indicators included in the expert consensus on quality control management for HPV testing are:</w:t>
            </w:r>
            <w:r w:rsidRPr="00CB2EC4">
              <w:rPr>
                <w:rFonts w:ascii="Times New Roman" w:hAnsi="Times New Roman" w:cs="Times New Roman"/>
              </w:rPr>
              <w:br/>
            </w:r>
            <w:r w:rsidRPr="00CB2EC4">
              <w:rPr>
                <w:rFonts w:ascii="Times New Roman" w:hAnsi="Times New Roman" w:cs="Times New Roman"/>
              </w:rPr>
              <w:br/>
              <w:t xml:space="preserve">- Positive detection rate  </w:t>
            </w:r>
            <w:r w:rsidRPr="00CB2EC4">
              <w:rPr>
                <w:rFonts w:ascii="Times New Roman" w:hAnsi="Times New Roman" w:cs="Times New Roman"/>
              </w:rPr>
              <w:br/>
              <w:t xml:space="preserve">- ASC/SIL ratio  </w:t>
            </w:r>
            <w:r w:rsidRPr="00CB2EC4">
              <w:rPr>
                <w:rFonts w:ascii="Times New Roman" w:hAnsi="Times New Roman" w:cs="Times New Roman"/>
              </w:rPr>
              <w:br/>
              <w:t xml:space="preserve">- HPV positivity rate  </w:t>
            </w:r>
            <w:r w:rsidRPr="00CB2EC4">
              <w:rPr>
                <w:rFonts w:ascii="Times New Roman" w:hAnsi="Times New Roman" w:cs="Times New Roman"/>
              </w:rPr>
              <w:br/>
              <w:t xml:space="preserve">- Histological concordance rate  </w:t>
            </w:r>
            <w:r w:rsidRPr="00CB2EC4">
              <w:rPr>
                <w:rFonts w:ascii="Times New Roman" w:hAnsi="Times New Roman" w:cs="Times New Roman"/>
              </w:rPr>
              <w:br/>
              <w:t xml:space="preserve">- Follow-up rate  </w:t>
            </w:r>
            <w:r w:rsidRPr="00CB2EC4">
              <w:rPr>
                <w:rFonts w:ascii="Times New Roman" w:hAnsi="Times New Roman" w:cs="Times New Roman"/>
              </w:rPr>
              <w:br/>
              <w:t xml:space="preserve">- On-site evaluation  </w:t>
            </w:r>
            <w:r w:rsidRPr="00CB2EC4">
              <w:rPr>
                <w:rFonts w:ascii="Times New Roman" w:hAnsi="Times New Roman" w:cs="Times New Roman"/>
              </w:rPr>
              <w:br/>
            </w:r>
            <w:r w:rsidRPr="00CB2EC4">
              <w:rPr>
                <w:rFonts w:ascii="Times New Roman" w:hAnsi="Times New Roman" w:cs="Times New Roman"/>
              </w:rPr>
              <w:br/>
              <w:t xml:space="preserve">These indicators are primarily used to assess cytopathology quality control to ensure the accuracy </w:t>
            </w:r>
            <w:r w:rsidRPr="00CB2EC4">
              <w:rPr>
                <w:rFonts w:ascii="Times New Roman" w:hAnsi="Times New Roman" w:cs="Times New Roman"/>
              </w:rPr>
              <w:lastRenderedPageBreak/>
              <w:t xml:space="preserve">and reliability of HPV testing.  </w:t>
            </w:r>
            <w:r w:rsidRPr="00CB2EC4">
              <w:rPr>
                <w:rFonts w:ascii="Times New Roman" w:hAnsi="Times New Roman" w:cs="Times New Roman"/>
              </w:rPr>
              <w:br/>
            </w:r>
            <w:r w:rsidRPr="00CB2EC4">
              <w:rPr>
                <w:rFonts w:ascii="Times New Roman" w:hAnsi="Times New Roman" w:cs="Times New Roman"/>
              </w:rPr>
              <w:br/>
              <w:t xml:space="preserve">- Based on the context:  </w:t>
            </w:r>
            <w:r w:rsidRPr="00CB2EC4">
              <w:rPr>
                <w:rFonts w:ascii="Times New Roman" w:hAnsi="Times New Roman" w:cs="Times New Roman"/>
              </w:rPr>
              <w:br/>
              <w:t xml:space="preserve">  - Document excerpt 7 (relevance: 0.5579) details the CSCCP expert consensus quality control scheme:  </w:t>
            </w:r>
            <w:r w:rsidRPr="00CB2EC4">
              <w:rPr>
                <w:rFonts w:ascii="Times New Roman" w:hAnsi="Times New Roman" w:cs="Times New Roman"/>
              </w:rPr>
              <w:br/>
              <w:t xml:space="preserve">    "The quality control scheme and content are specifically introduced, including retrospective evaluation of the following indicators through databases and related documents:  </w:t>
            </w:r>
            <w:r w:rsidRPr="00CB2EC4">
              <w:rPr>
                <w:rFonts w:ascii="Times New Roman" w:hAnsi="Times New Roman" w:cs="Times New Roman"/>
              </w:rPr>
              <w:br/>
              <w:t xml:space="preserve">      $\textcircled{1}$ Positive detection rate for each TBS diagnostic category (based on &gt;5000 samples);  </w:t>
            </w:r>
            <w:r w:rsidRPr="00CB2EC4">
              <w:rPr>
                <w:rFonts w:ascii="Times New Roman" w:hAnsi="Times New Roman" w:cs="Times New Roman"/>
              </w:rPr>
              <w:br/>
              <w:t xml:space="preserve">      $\textcircled{2}$ Atypical squamous cells of undetermined significance / squamous intraepithelial lesion (ASC/SIL) ratio (1.5–3.0 considered good);  </w:t>
            </w:r>
            <w:r w:rsidRPr="00CB2EC4">
              <w:rPr>
                <w:rFonts w:ascii="Times New Roman" w:hAnsi="Times New Roman" w:cs="Times New Roman"/>
              </w:rPr>
              <w:br/>
              <w:t xml:space="preserve">      $\textcircled{3}$ High-risk HPV positivity rates for TBS diagnoses of ASC-US, ASC-H, LSIL, HSIL, SCC should be 20%~40%, 40%~60%, 50%~70%, 70%~90%, and &gt;90% respectively to be considered good;  </w:t>
            </w:r>
            <w:r w:rsidRPr="00CB2EC4">
              <w:rPr>
                <w:rFonts w:ascii="Times New Roman" w:hAnsi="Times New Roman" w:cs="Times New Roman"/>
              </w:rPr>
              <w:br/>
              <w:t xml:space="preserve">      $\textcircled{4}$ For &gt;100 cytology-positive cases... the concordance rate with final histological diagnosis...;  </w:t>
            </w:r>
            <w:r w:rsidRPr="00CB2EC4">
              <w:rPr>
                <w:rFonts w:ascii="Times New Roman" w:hAnsi="Times New Roman" w:cs="Times New Roman"/>
              </w:rPr>
              <w:br/>
              <w:t xml:space="preserve">      $\textcircled{5}$ Follow-up registration system and follow-up rate for positive cases;  </w:t>
            </w:r>
            <w:r w:rsidRPr="00CB2EC4">
              <w:rPr>
                <w:rFonts w:ascii="Times New Roman" w:hAnsi="Times New Roman" w:cs="Times New Roman"/>
              </w:rPr>
              <w:br/>
              <w:t xml:space="preserve">      $\textcircled{6}$ On-site inspection randomly selects 10–20 consecutive positive cases, 20–30 negative cases, and 20 inter-laboratory quality control standard slides for on-site assessment."  </w:t>
            </w:r>
            <w:r w:rsidRPr="00CB2EC4">
              <w:rPr>
                <w:rFonts w:ascii="Times New Roman" w:hAnsi="Times New Roman" w:cs="Times New Roman"/>
              </w:rPr>
              <w:br/>
            </w:r>
            <w:r w:rsidRPr="00CB2EC4">
              <w:rPr>
                <w:rFonts w:ascii="Times New Roman" w:hAnsi="Times New Roman" w:cs="Times New Roman"/>
              </w:rPr>
              <w:br/>
              <w:t xml:space="preserve">- Supplementary note: These indicators originate from the Chinese CSCCP consensus, emphasizing monitoring HPV testing quality through data review and on-site evaluation to ensure screening effectiveness. No other specific HPV testing quality </w:t>
            </w:r>
            <w:r w:rsidRPr="00CB2EC4">
              <w:rPr>
                <w:rFonts w:ascii="Times New Roman" w:hAnsi="Times New Roman" w:cs="Times New Roman"/>
              </w:rPr>
              <w:lastRenderedPageBreak/>
              <w:t>control indicators are mentioned in the context; thus, the above constitutes the complete list.</w:t>
            </w:r>
          </w:p>
        </w:tc>
        <w:tc>
          <w:tcPr>
            <w:tcW w:w="1152" w:type="dxa"/>
            <w:vAlign w:val="center"/>
          </w:tcPr>
          <w:p w14:paraId="5482BA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38C8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77F7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C659ED1" w14:textId="77777777">
        <w:tc>
          <w:tcPr>
            <w:tcW w:w="2160" w:type="dxa"/>
            <w:vAlign w:val="center"/>
          </w:tcPr>
          <w:p w14:paraId="23819FF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3EE26647" w14:textId="77777777" w:rsidR="00922249" w:rsidRPr="00CB2EC4" w:rsidRDefault="003011D5">
            <w:pPr>
              <w:rPr>
                <w:rFonts w:ascii="Times New Roman" w:hAnsi="Times New Roman" w:cs="Times New Roman"/>
              </w:rPr>
            </w:pPr>
            <w:r w:rsidRPr="00CB2EC4">
              <w:rPr>
                <w:rFonts w:ascii="Times New Roman" w:hAnsi="Times New Roman" w:cs="Times New Roman"/>
              </w:rPr>
              <w:t>the key indicators included in the expert consensus on quality control management for HPV testing are as follows:</w:t>
            </w:r>
            <w:r w:rsidRPr="00CB2EC4">
              <w:rPr>
                <w:rFonts w:ascii="Times New Roman" w:hAnsi="Times New Roman" w:cs="Times New Roman"/>
              </w:rPr>
              <w:br/>
            </w:r>
            <w:r w:rsidRPr="00CB2EC4">
              <w:rPr>
                <w:rFonts w:ascii="Times New Roman" w:hAnsi="Times New Roman" w:cs="Times New Roman"/>
              </w:rPr>
              <w:br/>
              <w:t xml:space="preserve">1. Positive detection rate for each TBS diagnostic category: assessment must be based on a statistical volume exceeding 5,000 samples.  </w:t>
            </w:r>
            <w:r w:rsidRPr="00CB2EC4">
              <w:rPr>
                <w:rFonts w:ascii="Times New Roman" w:hAnsi="Times New Roman" w:cs="Times New Roman"/>
              </w:rPr>
              <w:br/>
              <w:t xml:space="preserve">2. ASC/SIL ratio: target range is 1.5–3.0; this ratio is used to evaluate the reasonableness of cytological diagnosis (ASC = Atypical Squamous Cells, SIL = Squamous Intraepithelial Lesion).  </w:t>
            </w:r>
            <w:r w:rsidRPr="00CB2EC4">
              <w:rPr>
                <w:rFonts w:ascii="Times New Roman" w:hAnsi="Times New Roman" w:cs="Times New Roman"/>
              </w:rPr>
              <w:br/>
              <w:t xml:space="preserve">3. High-risk HPV positivity rate by TBS classification: for different cytological results (ASC-US, ASC-H, LSIL, HSIL, SCC), the positivity rates should meet the following standards for good performance:  </w:t>
            </w:r>
            <w:r w:rsidRPr="00CB2EC4">
              <w:rPr>
                <w:rFonts w:ascii="Times New Roman" w:hAnsi="Times New Roman" w:cs="Times New Roman"/>
              </w:rPr>
              <w:br/>
              <w:t xml:space="preserve">   - ASC-US: 20%–40%  </w:t>
            </w:r>
            <w:r w:rsidRPr="00CB2EC4">
              <w:rPr>
                <w:rFonts w:ascii="Times New Roman" w:hAnsi="Times New Roman" w:cs="Times New Roman"/>
              </w:rPr>
              <w:br/>
              <w:t xml:space="preserve">   - ASC-H: 40%–60%  </w:t>
            </w:r>
            <w:r w:rsidRPr="00CB2EC4">
              <w:rPr>
                <w:rFonts w:ascii="Times New Roman" w:hAnsi="Times New Roman" w:cs="Times New Roman"/>
              </w:rPr>
              <w:br/>
              <w:t xml:space="preserve">   - LSIL: 50%–70%  </w:t>
            </w:r>
            <w:r w:rsidRPr="00CB2EC4">
              <w:rPr>
                <w:rFonts w:ascii="Times New Roman" w:hAnsi="Times New Roman" w:cs="Times New Roman"/>
              </w:rPr>
              <w:br/>
              <w:t xml:space="preserve">   - HSIL: 70%–90%  </w:t>
            </w:r>
            <w:r w:rsidRPr="00CB2EC4">
              <w:rPr>
                <w:rFonts w:ascii="Times New Roman" w:hAnsi="Times New Roman" w:cs="Times New Roman"/>
              </w:rPr>
              <w:br/>
              <w:t xml:space="preserve">   - SCC: &gt;90%  </w:t>
            </w:r>
            <w:r w:rsidRPr="00CB2EC4">
              <w:rPr>
                <w:rFonts w:ascii="Times New Roman" w:hAnsi="Times New Roman" w:cs="Times New Roman"/>
              </w:rPr>
              <w:br/>
              <w:t xml:space="preserve">4. Concordance rate between positive cytology cases and final histological diagnosis: evaluation must be based on more than 100 cytologically positive specimens (including ASC-US, ASC-H, LSIL, HSIL, SCC, AGC, AIS), comparing cytology results with histopathological diagnoses after cervical excision or hysterectomy.  </w:t>
            </w:r>
            <w:r w:rsidRPr="00CB2EC4">
              <w:rPr>
                <w:rFonts w:ascii="Times New Roman" w:hAnsi="Times New Roman" w:cs="Times New Roman"/>
              </w:rPr>
              <w:br/>
              <w:t xml:space="preserve">5. Follow-up registration system and follow-up rate for positive cases: emphasizes establishing a follow-up mechanism and monitoring the follow-up rate.  </w:t>
            </w:r>
            <w:r w:rsidRPr="00CB2EC4">
              <w:rPr>
                <w:rFonts w:ascii="Times New Roman" w:hAnsi="Times New Roman" w:cs="Times New Roman"/>
              </w:rPr>
              <w:br/>
              <w:t xml:space="preserve">6. On-site inspection and assessment: randomly select </w:t>
            </w:r>
            <w:r w:rsidRPr="00CB2EC4">
              <w:rPr>
                <w:rFonts w:ascii="Times New Roman" w:hAnsi="Times New Roman" w:cs="Times New Roman"/>
              </w:rPr>
              <w:lastRenderedPageBreak/>
              <w:t xml:space="preserve">10–20 consecutive positive cases, 20–30 negative cases, and 20 inter-laboratory quality control standard slides for on-site evaluation.  </w:t>
            </w:r>
            <w:r w:rsidRPr="00CB2EC4">
              <w:rPr>
                <w:rFonts w:ascii="Times New Roman" w:hAnsi="Times New Roman" w:cs="Times New Roman"/>
              </w:rPr>
              <w:br/>
            </w:r>
            <w:r w:rsidRPr="00CB2EC4">
              <w:rPr>
                <w:rFonts w:ascii="Times New Roman" w:hAnsi="Times New Roman" w:cs="Times New Roman"/>
              </w:rPr>
              <w:br/>
              <w:t>Note: These indicators are proposed in the context of quality control management for cytopathology in cervical cancer screening, not as standalone quality control specifically for HPV testing. However, HPV positivity rate is incorporated as a key component to assess the performance of HPV testing in screening.</w:t>
            </w:r>
          </w:p>
        </w:tc>
        <w:tc>
          <w:tcPr>
            <w:tcW w:w="1152" w:type="dxa"/>
            <w:vAlign w:val="center"/>
          </w:tcPr>
          <w:p w14:paraId="0E7A77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B409A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76B0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8A81DD0" w14:textId="77777777">
        <w:tc>
          <w:tcPr>
            <w:tcW w:w="2160" w:type="dxa"/>
            <w:vAlign w:val="center"/>
          </w:tcPr>
          <w:p w14:paraId="318A7EF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9355E56" w14:textId="77777777" w:rsidR="00922249" w:rsidRPr="00CB2EC4" w:rsidRDefault="003011D5">
            <w:pPr>
              <w:rPr>
                <w:rFonts w:ascii="Times New Roman" w:hAnsi="Times New Roman" w:cs="Times New Roman"/>
              </w:rPr>
            </w:pPr>
            <w:r w:rsidRPr="00CB2EC4">
              <w:rPr>
                <w:rFonts w:ascii="Times New Roman" w:hAnsi="Times New Roman" w:cs="Times New Roman"/>
              </w:rPr>
              <w:t>the key indicators included in the expert consensus on quality control management for HPV testing are:</w:t>
            </w:r>
            <w:r w:rsidRPr="00CB2EC4">
              <w:rPr>
                <w:rFonts w:ascii="Times New Roman" w:hAnsi="Times New Roman" w:cs="Times New Roman"/>
              </w:rPr>
              <w:br/>
            </w:r>
            <w:r w:rsidRPr="00CB2EC4">
              <w:rPr>
                <w:rFonts w:ascii="Times New Roman" w:hAnsi="Times New Roman" w:cs="Times New Roman"/>
              </w:rPr>
              <w:br/>
              <w:t>sensitivity (the ability to detect true positive cases), specificity (the ability to detect true negative cases), positive predictive value (PPV), negative predictive value (NPV), reproducibility (consistency of test results), and inter-laboratory comparability (ensuring reliable results across different laboratories). these indicators aim to ensure the accuracy and standardization of HPV testing, reducing false-positive and false-negative results.</w:t>
            </w:r>
          </w:p>
        </w:tc>
        <w:tc>
          <w:tcPr>
            <w:tcW w:w="1152" w:type="dxa"/>
            <w:vAlign w:val="center"/>
          </w:tcPr>
          <w:p w14:paraId="7F70E1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7C91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E802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3762FC" w14:textId="77777777">
        <w:tc>
          <w:tcPr>
            <w:tcW w:w="10656" w:type="dxa"/>
            <w:gridSpan w:val="5"/>
            <w:tcBorders>
              <w:bottom w:val="single" w:sz="6" w:space="0" w:color="auto"/>
            </w:tcBorders>
            <w:vAlign w:val="center"/>
          </w:tcPr>
          <w:p w14:paraId="448C8782" w14:textId="77777777" w:rsidR="00922249" w:rsidRPr="00CB2EC4" w:rsidRDefault="003011D5">
            <w:pPr>
              <w:rPr>
                <w:rFonts w:ascii="Times New Roman" w:hAnsi="Times New Roman" w:cs="Times New Roman"/>
              </w:rPr>
            </w:pPr>
            <w:r w:rsidRPr="00CB2EC4">
              <w:rPr>
                <w:rFonts w:ascii="Times New Roman" w:hAnsi="Times New Roman" w:cs="Times New Roman"/>
                <w:b/>
              </w:rPr>
              <w:t>Question 38: what is the difference in clinical management between ASC-US and ASC-H?</w:t>
            </w:r>
          </w:p>
        </w:tc>
      </w:tr>
      <w:tr w:rsidR="00922249" w:rsidRPr="00CB2EC4" w14:paraId="0090C9C5" w14:textId="77777777">
        <w:tc>
          <w:tcPr>
            <w:tcW w:w="2160" w:type="dxa"/>
            <w:vAlign w:val="center"/>
          </w:tcPr>
          <w:p w14:paraId="0DDD58C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FA4A8F4" w14:textId="77777777" w:rsidR="00922249" w:rsidRPr="00CB2EC4" w:rsidRDefault="003011D5">
            <w:pPr>
              <w:rPr>
                <w:rFonts w:ascii="Times New Roman" w:hAnsi="Times New Roman" w:cs="Times New Roman"/>
              </w:rPr>
            </w:pPr>
            <w:r w:rsidRPr="00CB2EC4">
              <w:rPr>
                <w:rFonts w:ascii="Times New Roman" w:hAnsi="Times New Roman" w:cs="Times New Roman"/>
              </w:rPr>
              <w:t>ASC-US and ASC-H differ in clinical management as follows:</w:t>
            </w:r>
            <w:r w:rsidRPr="00CB2EC4">
              <w:rPr>
                <w:rFonts w:ascii="Times New Roman" w:hAnsi="Times New Roman" w:cs="Times New Roman"/>
              </w:rPr>
              <w:br/>
            </w:r>
            <w:r w:rsidRPr="00CB2EC4">
              <w:rPr>
                <w:rFonts w:ascii="Times New Roman" w:hAnsi="Times New Roman" w:cs="Times New Roman"/>
              </w:rPr>
              <w:br/>
              <w:t xml:space="preserve">- **ASC-US management**: The diagnosis of ASC-US has poor reproducibility and is prone to underdiagnosis or overdiagnosis. The document states: “For ASC-US, use HPV testing for triage; if HPV positive (untyped) or HPV genotyping shows HPV16/18 positive, referral for colposcopy is indicated.” If HPV testing is unavailable, colposcopy </w:t>
            </w:r>
            <w:r w:rsidRPr="00CB2EC4">
              <w:rPr>
                <w:rFonts w:ascii="Times New Roman" w:hAnsi="Times New Roman" w:cs="Times New Roman"/>
              </w:rPr>
              <w:lastRenderedPageBreak/>
              <w:t>should be performed directly. The risk of malignancy for ASC-US is low (probability of final diagnosis CIN II/III &lt;10%, invasive cancer only 0.1%</w:t>
            </w:r>
            <w:r w:rsidRPr="00CB2EC4">
              <w:rPr>
                <w:rFonts w:ascii="Times New Roman" w:hAnsi="Times New Roman" w:cs="Times New Roman"/>
              </w:rPr>
              <w:t>～</w:t>
            </w:r>
            <w:r w:rsidRPr="00CB2EC4">
              <w:rPr>
                <w:rFonts w:ascii="Times New Roman" w:hAnsi="Times New Roman" w:cs="Times New Roman"/>
              </w:rPr>
              <w:t>0.2%), so management relies on HPV triage decisions.</w:t>
            </w:r>
            <w:r w:rsidRPr="00CB2EC4">
              <w:rPr>
                <w:rFonts w:ascii="Times New Roman" w:hAnsi="Times New Roman" w:cs="Times New Roman"/>
              </w:rPr>
              <w:br/>
            </w:r>
            <w:r w:rsidRPr="00CB2EC4">
              <w:rPr>
                <w:rFonts w:ascii="Times New Roman" w:hAnsi="Times New Roman" w:cs="Times New Roman"/>
              </w:rPr>
              <w:br/>
              <w:t>- **ASC-H management**: The cellular changes in ASC-H have features suggestive of HSIL, with a higher probability of being diagnosed as CIN II/III (24%</w:t>
            </w:r>
            <w:r w:rsidRPr="00CB2EC4">
              <w:rPr>
                <w:rFonts w:ascii="Times New Roman" w:hAnsi="Times New Roman" w:cs="Times New Roman"/>
              </w:rPr>
              <w:t>～</w:t>
            </w:r>
            <w:r w:rsidRPr="00CB2EC4">
              <w:rPr>
                <w:rFonts w:ascii="Times New Roman" w:hAnsi="Times New Roman" w:cs="Times New Roman"/>
              </w:rPr>
              <w:t>94%). The document clearly states: “For cytological abnormalities of ASC-H, LSIL, HSIL, AGC, referral for colposcopy is indicated.” This means ASC-H does not require HPV triage and should be directly referred for colposcopy due to its higher risk.</w:t>
            </w:r>
            <w:r w:rsidRPr="00CB2EC4">
              <w:rPr>
                <w:rFonts w:ascii="Times New Roman" w:hAnsi="Times New Roman" w:cs="Times New Roman"/>
              </w:rPr>
              <w:br/>
            </w:r>
            <w:r w:rsidRPr="00CB2EC4">
              <w:rPr>
                <w:rFonts w:ascii="Times New Roman" w:hAnsi="Times New Roman" w:cs="Times New Roman"/>
              </w:rPr>
              <w:br/>
              <w:t>In summary, the difference lies in that ASC-US requires HPV testing for triage to determine colposcopy referral, whereas ASC-H is directly referred for colposcopy.</w:t>
            </w:r>
          </w:p>
        </w:tc>
        <w:tc>
          <w:tcPr>
            <w:tcW w:w="1152" w:type="dxa"/>
            <w:vAlign w:val="center"/>
          </w:tcPr>
          <w:p w14:paraId="6AF29B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85163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5172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106B10" w14:textId="77777777">
        <w:tc>
          <w:tcPr>
            <w:tcW w:w="2160" w:type="dxa"/>
            <w:vAlign w:val="center"/>
          </w:tcPr>
          <w:p w14:paraId="4D993FC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B301AB3" w14:textId="77777777" w:rsidR="00922249" w:rsidRPr="00CB2EC4" w:rsidRDefault="003011D5">
            <w:pPr>
              <w:rPr>
                <w:rFonts w:ascii="Times New Roman" w:hAnsi="Times New Roman" w:cs="Times New Roman"/>
              </w:rPr>
            </w:pPr>
            <w:r w:rsidRPr="00CB2EC4">
              <w:rPr>
                <w:rFonts w:ascii="Times New Roman" w:hAnsi="Times New Roman" w:cs="Times New Roman"/>
              </w:rPr>
              <w:t>what is the difference in clinical management between ASC-US and ASC-H?</w:t>
            </w:r>
            <w:r w:rsidRPr="00CB2EC4">
              <w:rPr>
                <w:rFonts w:ascii="Times New Roman" w:hAnsi="Times New Roman" w:cs="Times New Roman"/>
              </w:rPr>
              <w:br/>
            </w:r>
            <w:r w:rsidRPr="00CB2EC4">
              <w:rPr>
                <w:rFonts w:ascii="Times New Roman" w:hAnsi="Times New Roman" w:cs="Times New Roman"/>
              </w:rPr>
              <w:br/>
              <w:t>Response: ASC-US (Atypical Squamous Cells of Undetermined Significance) and ASC-H (Atypical Squamous Cells, cannot exclude HSIL) have significant differences in clinical management, primarily based on their risk levels and handling protocols (according to document fragments 10 and 11):</w:t>
            </w:r>
            <w:r w:rsidRPr="00CB2EC4">
              <w:rPr>
                <w:rFonts w:ascii="Times New Roman" w:hAnsi="Times New Roman" w:cs="Times New Roman"/>
              </w:rPr>
              <w:br/>
              <w:t xml:space="preserve">  - ASC-US management:</w:t>
            </w:r>
            <w:r w:rsidRPr="00CB2EC4">
              <w:rPr>
                <w:rFonts w:ascii="Times New Roman" w:hAnsi="Times New Roman" w:cs="Times New Roman"/>
              </w:rPr>
              <w:br/>
              <w:t xml:space="preserve">    - Preferred to perform HPV testing for triage:</w:t>
            </w:r>
            <w:r w:rsidRPr="00CB2EC4">
              <w:rPr>
                <w:rFonts w:ascii="Times New Roman" w:hAnsi="Times New Roman" w:cs="Times New Roman"/>
              </w:rPr>
              <w:br/>
              <w:t xml:space="preserve">      - If HPV positive (regardless of genotyping or HPV16/18 genotyping positive), refer for colposcopy.</w:t>
            </w:r>
            <w:r w:rsidRPr="00CB2EC4">
              <w:rPr>
                <w:rFonts w:ascii="Times New Roman" w:hAnsi="Times New Roman" w:cs="Times New Roman"/>
              </w:rPr>
              <w:br/>
            </w:r>
            <w:r w:rsidRPr="00CB2EC4">
              <w:rPr>
                <w:rFonts w:ascii="Times New Roman" w:hAnsi="Times New Roman" w:cs="Times New Roman"/>
              </w:rPr>
              <w:lastRenderedPageBreak/>
              <w:t xml:space="preserve">      - If HPV negative, recommend repeat cytology in 1 year; if the repeat result is ≥ASC-US, refer for colposcopy.</w:t>
            </w:r>
            <w:r w:rsidRPr="00CB2EC4">
              <w:rPr>
                <w:rFonts w:ascii="Times New Roman" w:hAnsi="Times New Roman" w:cs="Times New Roman"/>
              </w:rPr>
              <w:br/>
              <w:t xml:space="preserve">    - If HPV testing cannot be performed, directly refer for colposcopy.</w:t>
            </w:r>
            <w:r w:rsidRPr="00CB2EC4">
              <w:rPr>
                <w:rFonts w:ascii="Times New Roman" w:hAnsi="Times New Roman" w:cs="Times New Roman"/>
              </w:rPr>
              <w:br/>
              <w:t xml:space="preserve">    - Rationale: ASC-US diagnosis has poor reproducibility and is prone to under- or over-diagnosis; the prevalence of high-risk HPV infection is 31%</w:t>
            </w:r>
            <w:r w:rsidRPr="00CB2EC4">
              <w:rPr>
                <w:rFonts w:ascii="Times New Roman" w:hAnsi="Times New Roman" w:cs="Times New Roman"/>
              </w:rPr>
              <w:t>～</w:t>
            </w:r>
            <w:r w:rsidRPr="00CB2EC4">
              <w:rPr>
                <w:rFonts w:ascii="Times New Roman" w:hAnsi="Times New Roman" w:cs="Times New Roman"/>
              </w:rPr>
              <w:t>60%, but the risk of progression to high-grade lesions is low (approximately 10%).</w:t>
            </w:r>
            <w:r w:rsidRPr="00CB2EC4">
              <w:rPr>
                <w:rFonts w:ascii="Times New Roman" w:hAnsi="Times New Roman" w:cs="Times New Roman"/>
              </w:rPr>
              <w:br/>
              <w:t xml:space="preserve">  - ASC-H management:</w:t>
            </w:r>
            <w:r w:rsidRPr="00CB2EC4">
              <w:rPr>
                <w:rFonts w:ascii="Times New Roman" w:hAnsi="Times New Roman" w:cs="Times New Roman"/>
              </w:rPr>
              <w:br/>
              <w:t xml:space="preserve">    - Directly refer for colposcopy without HPV triage.</w:t>
            </w:r>
            <w:r w:rsidRPr="00CB2EC4">
              <w:rPr>
                <w:rFonts w:ascii="Times New Roman" w:hAnsi="Times New Roman" w:cs="Times New Roman"/>
              </w:rPr>
              <w:br/>
              <w:t xml:space="preserve">    - Rationale: ASC-H cellular changes exhibit features of HSIL and have a higher probability of being diagnosed as CIN II/III (24%</w:t>
            </w:r>
            <w:r w:rsidRPr="00CB2EC4">
              <w:rPr>
                <w:rFonts w:ascii="Times New Roman" w:hAnsi="Times New Roman" w:cs="Times New Roman"/>
              </w:rPr>
              <w:t>～</w:t>
            </w:r>
            <w:r w:rsidRPr="00CB2EC4">
              <w:rPr>
                <w:rFonts w:ascii="Times New Roman" w:hAnsi="Times New Roman" w:cs="Times New Roman"/>
              </w:rPr>
              <w:t>94%), indicating a higher risk of progression and requiring more aggressive evaluation.</w:t>
            </w:r>
            <w:r w:rsidRPr="00CB2EC4">
              <w:rPr>
                <w:rFonts w:ascii="Times New Roman" w:hAnsi="Times New Roman" w:cs="Times New Roman"/>
              </w:rPr>
              <w:br/>
              <w:t xml:space="preserve">  Summary: ASC-US relies on HPV testing for triage decisions, whereas ASC-H, due to higher risk, proceeds directly to colposcopy.</w:t>
            </w:r>
            <w:r w:rsidRPr="00CB2EC4">
              <w:rPr>
                <w:rFonts w:ascii="Times New Roman" w:hAnsi="Times New Roman" w:cs="Times New Roman"/>
              </w:rPr>
              <w:br/>
              <w:t>- Source: Document fragment 10 (block topic: Management flowchart for HPV-positive and cytological abnormalities) and document fragment 11 (block topic: Guidelines for management of cytological abnormalities).</w:t>
            </w:r>
          </w:p>
        </w:tc>
        <w:tc>
          <w:tcPr>
            <w:tcW w:w="1152" w:type="dxa"/>
            <w:vAlign w:val="center"/>
          </w:tcPr>
          <w:p w14:paraId="4F7CF1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7480A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1CF05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F12B4C9" w14:textId="77777777">
        <w:tc>
          <w:tcPr>
            <w:tcW w:w="2160" w:type="dxa"/>
            <w:vAlign w:val="center"/>
          </w:tcPr>
          <w:p w14:paraId="46E8027A"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DB3EEF7" w14:textId="77777777" w:rsidR="00922249" w:rsidRPr="00CB2EC4" w:rsidRDefault="003011D5">
            <w:pPr>
              <w:rPr>
                <w:rFonts w:ascii="Times New Roman" w:hAnsi="Times New Roman" w:cs="Times New Roman"/>
              </w:rPr>
            </w:pPr>
            <w:r w:rsidRPr="00CB2EC4">
              <w:rPr>
                <w:rFonts w:ascii="Times New Roman" w:hAnsi="Times New Roman" w:cs="Times New Roman"/>
              </w:rPr>
              <w:t>ASC-US and ASC-H differ significantly in clinical management:</w:t>
            </w:r>
            <w:r w:rsidRPr="00CB2EC4">
              <w:rPr>
                <w:rFonts w:ascii="Times New Roman" w:hAnsi="Times New Roman" w:cs="Times New Roman"/>
              </w:rPr>
              <w:br/>
            </w:r>
            <w:r w:rsidRPr="00CB2EC4">
              <w:rPr>
                <w:rFonts w:ascii="Times New Roman" w:hAnsi="Times New Roman" w:cs="Times New Roman"/>
              </w:rPr>
              <w:br/>
              <w:t>- Management of ASC-US:</w:t>
            </w:r>
            <w:r w:rsidRPr="00CB2EC4">
              <w:rPr>
                <w:rFonts w:ascii="Times New Roman" w:hAnsi="Times New Roman" w:cs="Times New Roman"/>
              </w:rPr>
              <w:br/>
              <w:t xml:space="preserve">  - First perform HPV testing triage:</w:t>
            </w:r>
            <w:r w:rsidRPr="00CB2EC4">
              <w:rPr>
                <w:rFonts w:ascii="Times New Roman" w:hAnsi="Times New Roman" w:cs="Times New Roman"/>
              </w:rPr>
              <w:br/>
              <w:t xml:space="preserve">    - If HPV positive (either non-typing or HPV16/18 genotyping positive), refer for colposcopy.</w:t>
            </w:r>
            <w:r w:rsidRPr="00CB2EC4">
              <w:rPr>
                <w:rFonts w:ascii="Times New Roman" w:hAnsi="Times New Roman" w:cs="Times New Roman"/>
              </w:rPr>
              <w:br/>
              <w:t xml:space="preserve">    - If HPV negative, repeat cytology testing (with </w:t>
            </w:r>
            <w:r w:rsidRPr="00CB2EC4">
              <w:rPr>
                <w:rFonts w:ascii="Times New Roman" w:hAnsi="Times New Roman" w:cs="Times New Roman"/>
              </w:rPr>
              <w:lastRenderedPageBreak/>
              <w:t>cotesting) after 1 year.</w:t>
            </w:r>
            <w:r w:rsidRPr="00CB2EC4">
              <w:rPr>
                <w:rFonts w:ascii="Times New Roman" w:hAnsi="Times New Roman" w:cs="Times New Roman"/>
              </w:rPr>
              <w:br/>
              <w:t xml:space="preserve">  - This is an HPV-based triage strategy, as ASC-US represents low-risk uncertainty.</w:t>
            </w:r>
            <w:r w:rsidRPr="00CB2EC4">
              <w:rPr>
                <w:rFonts w:ascii="Times New Roman" w:hAnsi="Times New Roman" w:cs="Times New Roman"/>
              </w:rPr>
              <w:br/>
            </w:r>
            <w:r w:rsidRPr="00CB2EC4">
              <w:rPr>
                <w:rFonts w:ascii="Times New Roman" w:hAnsi="Times New Roman" w:cs="Times New Roman"/>
              </w:rPr>
              <w:br/>
              <w:t>- Management of ASC-H:</w:t>
            </w:r>
            <w:r w:rsidRPr="00CB2EC4">
              <w:rPr>
                <w:rFonts w:ascii="Times New Roman" w:hAnsi="Times New Roman" w:cs="Times New Roman"/>
              </w:rPr>
              <w:br/>
              <w:t xml:space="preserve">  - The cellular changes in ASC-H have features suggestive of high-grade squamous intraepithelial lesion (HSIL), with a higher probability (24%–94%) of being diagnosed as cervical intraepithelial neoplasia (CIN) I/II.</w:t>
            </w:r>
            <w:r w:rsidRPr="00CB2EC4">
              <w:rPr>
                <w:rFonts w:ascii="Times New Roman" w:hAnsi="Times New Roman" w:cs="Times New Roman"/>
              </w:rPr>
              <w:br/>
              <w:t xml:space="preserve">  - For general patients (non-special populations), direct referral for colposcopy is typically recommended without HPV triage. Further management depends on transformation zone (TZ) type:</w:t>
            </w:r>
            <w:r w:rsidRPr="00CB2EC4">
              <w:rPr>
                <w:rFonts w:ascii="Times New Roman" w:hAnsi="Times New Roman" w:cs="Times New Roman"/>
              </w:rPr>
              <w:br/>
              <w:t xml:space="preserve">    - TZ3 (transformation zone not visible): perform colposcopy.</w:t>
            </w:r>
            <w:r w:rsidRPr="00CB2EC4">
              <w:rPr>
                <w:rFonts w:ascii="Times New Roman" w:hAnsi="Times New Roman" w:cs="Times New Roman"/>
              </w:rPr>
              <w:br/>
              <w:t xml:space="preserve">    - TZ1/2 (transformation zone partially or fully visible): perform diagnostic conization ± endocervical curettage (ECC).</w:t>
            </w:r>
            <w:r w:rsidRPr="00CB2EC4">
              <w:rPr>
                <w:rFonts w:ascii="Times New Roman" w:hAnsi="Times New Roman" w:cs="Times New Roman"/>
              </w:rPr>
              <w:br/>
              <w:t xml:space="preserve">  - For special populations (e.g., patients aged 21–24 or during pregnancy), management is more conservative, including close monitoring (e.g., repeat cytology every 6–12 weeks) to exclude invasive cancer.</w:t>
            </w:r>
            <w:r w:rsidRPr="00CB2EC4">
              <w:rPr>
                <w:rFonts w:ascii="Times New Roman" w:hAnsi="Times New Roman" w:cs="Times New Roman"/>
              </w:rPr>
              <w:br/>
            </w:r>
            <w:r w:rsidRPr="00CB2EC4">
              <w:rPr>
                <w:rFonts w:ascii="Times New Roman" w:hAnsi="Times New Roman" w:cs="Times New Roman"/>
              </w:rPr>
              <w:br/>
              <w:t>In summary, ASC-US relies on HPV testing for triage, whereas ASC-H, due to its higher risk of high-grade lesions, is usually directly referred for colposcopy or managed based on specific circumstances.</w:t>
            </w:r>
          </w:p>
        </w:tc>
        <w:tc>
          <w:tcPr>
            <w:tcW w:w="1152" w:type="dxa"/>
            <w:vAlign w:val="center"/>
          </w:tcPr>
          <w:p w14:paraId="0AE362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03780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4E33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378ED7E" w14:textId="77777777">
        <w:tc>
          <w:tcPr>
            <w:tcW w:w="2160" w:type="dxa"/>
            <w:vAlign w:val="center"/>
          </w:tcPr>
          <w:p w14:paraId="6BAE7CA0"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FEFFEC3" w14:textId="77777777" w:rsidR="00922249" w:rsidRPr="00CB2EC4" w:rsidRDefault="003011D5">
            <w:pPr>
              <w:rPr>
                <w:rFonts w:ascii="Times New Roman" w:hAnsi="Times New Roman" w:cs="Times New Roman"/>
              </w:rPr>
            </w:pPr>
            <w:r w:rsidRPr="00CB2EC4">
              <w:rPr>
                <w:rFonts w:ascii="Times New Roman" w:hAnsi="Times New Roman" w:cs="Times New Roman"/>
              </w:rPr>
              <w:t>ASC-US and ASC-H differ in clinical management as follows:</w:t>
            </w:r>
            <w:r w:rsidRPr="00CB2EC4">
              <w:rPr>
                <w:rFonts w:ascii="Times New Roman" w:hAnsi="Times New Roman" w:cs="Times New Roman"/>
              </w:rPr>
              <w:br/>
            </w:r>
            <w:r w:rsidRPr="00CB2EC4">
              <w:rPr>
                <w:rFonts w:ascii="Times New Roman" w:hAnsi="Times New Roman" w:cs="Times New Roman"/>
              </w:rPr>
              <w:br/>
              <w:t xml:space="preserve">- ASC-US:  </w:t>
            </w:r>
            <w:r w:rsidRPr="00CB2EC4">
              <w:rPr>
                <w:rFonts w:ascii="Times New Roman" w:hAnsi="Times New Roman" w:cs="Times New Roman"/>
              </w:rPr>
              <w:br/>
            </w:r>
            <w:r w:rsidRPr="00CB2EC4">
              <w:rPr>
                <w:rFonts w:ascii="Times New Roman" w:hAnsi="Times New Roman" w:cs="Times New Roman"/>
              </w:rPr>
              <w:lastRenderedPageBreak/>
              <w:t xml:space="preserve">  - HPV triage: If HPV positive → refer to colposcopy; If HPV negative → repeat test in 1 year.  </w:t>
            </w:r>
            <w:r w:rsidRPr="00CB2EC4">
              <w:rPr>
                <w:rFonts w:ascii="Times New Roman" w:hAnsi="Times New Roman" w:cs="Times New Roman"/>
              </w:rPr>
              <w:br/>
              <w:t xml:space="preserve">  - If HPV testing is unavailable → directly refer to colposcopy (Figure 2 flow).  </w:t>
            </w:r>
            <w:r w:rsidRPr="00CB2EC4">
              <w:rPr>
                <w:rFonts w:ascii="Times New Roman" w:hAnsi="Times New Roman" w:cs="Times New Roman"/>
              </w:rPr>
              <w:br/>
              <w:t xml:space="preserve">- ASC-H:  </w:t>
            </w:r>
            <w:r w:rsidRPr="00CB2EC4">
              <w:rPr>
                <w:rFonts w:ascii="Times New Roman" w:hAnsi="Times New Roman" w:cs="Times New Roman"/>
              </w:rPr>
              <w:br/>
              <w:t xml:space="preserve">  - Direct referral to colposcopy (no HPV triage required), as the risk of progression to ≥CINⅡ is 24%–94%.  </w:t>
            </w:r>
            <w:r w:rsidRPr="00CB2EC4">
              <w:rPr>
                <w:rFonts w:ascii="Times New Roman" w:hAnsi="Times New Roman" w:cs="Times New Roman"/>
              </w:rPr>
              <w:br/>
              <w:t xml:space="preserve">- Web search results:  </w:t>
            </w:r>
            <w:r w:rsidRPr="00CB2EC4">
              <w:rPr>
                <w:rFonts w:ascii="Times New Roman" w:hAnsi="Times New Roman" w:cs="Times New Roman"/>
              </w:rPr>
              <w:br/>
              <w:t xml:space="preserve">  - ASC-US requires HPV triage, ASC-H requires immediate colposcopy (source: Expert Consensus on Cervical Cancer Screening Guidelines).  </w:t>
            </w:r>
            <w:r w:rsidRPr="00CB2EC4">
              <w:rPr>
                <w:rFonts w:ascii="Times New Roman" w:hAnsi="Times New Roman" w:cs="Times New Roman"/>
              </w:rPr>
              <w:br/>
              <w:t>Conclusion: ASC-US relies on HPV triage, while ASC-H requires direct colposcopy examination.</w:t>
            </w:r>
          </w:p>
        </w:tc>
        <w:tc>
          <w:tcPr>
            <w:tcW w:w="1152" w:type="dxa"/>
            <w:vAlign w:val="center"/>
          </w:tcPr>
          <w:p w14:paraId="550D43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8DF81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7C2A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0EAE8E" w14:textId="77777777">
        <w:tc>
          <w:tcPr>
            <w:tcW w:w="2160" w:type="dxa"/>
            <w:vAlign w:val="center"/>
          </w:tcPr>
          <w:p w14:paraId="513BA9D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8EF068D" w14:textId="77777777" w:rsidR="00922249" w:rsidRPr="00CB2EC4" w:rsidRDefault="003011D5">
            <w:pPr>
              <w:rPr>
                <w:rFonts w:ascii="Times New Roman" w:hAnsi="Times New Roman" w:cs="Times New Roman"/>
              </w:rPr>
            </w:pPr>
            <w:r w:rsidRPr="00CB2EC4">
              <w:rPr>
                <w:rFonts w:ascii="Times New Roman" w:hAnsi="Times New Roman" w:cs="Times New Roman"/>
              </w:rPr>
              <w:t>ASC-US and ASC-H differ significantly in clinical management:</w:t>
            </w:r>
            <w:r w:rsidRPr="00CB2EC4">
              <w:rPr>
                <w:rFonts w:ascii="Times New Roman" w:hAnsi="Times New Roman" w:cs="Times New Roman"/>
              </w:rPr>
              <w:br/>
            </w:r>
            <w:r w:rsidRPr="00CB2EC4">
              <w:rPr>
                <w:rFonts w:ascii="Times New Roman" w:hAnsi="Times New Roman" w:cs="Times New Roman"/>
              </w:rPr>
              <w:br/>
              <w:t>- **ASC-US management**: Requires initial HPV testing for triage. If HPV positive (regardless of typing or if HPV16/18 is positive by genotyping), refer to colposcopy. If HPV negative, recommend repeat cytology in 1 year (Fragment 9: "Patients with ASC-US: HPV testing should be performed first. If HPV positive (+) → refer to colposcopy; if HPV negative (-) → repeat testing should be performed after 1 year"; Fragment 10: "For ASC-US, use HPV testing for triage. If HPV positive (regardless of typing) or HPV genotyping detects HPV16/18 positivity, both should be referred to colposcopy").</w:t>
            </w:r>
            <w:r w:rsidRPr="00CB2EC4">
              <w:rPr>
                <w:rFonts w:ascii="Times New Roman" w:hAnsi="Times New Roman" w:cs="Times New Roman"/>
              </w:rPr>
              <w:br/>
            </w:r>
            <w:r w:rsidRPr="00CB2EC4">
              <w:rPr>
                <w:rFonts w:ascii="Times New Roman" w:hAnsi="Times New Roman" w:cs="Times New Roman"/>
              </w:rPr>
              <w:br/>
              <w:t xml:space="preserve">- **ASC-H management**: Direct referral to colposcopy without HPV triage, due to cellular changes suggestive of high-grade squamous intraepithelial lesion (HSIL), with a 24%–94% risk of </w:t>
            </w:r>
            <w:r w:rsidRPr="00CB2EC4">
              <w:rPr>
                <w:rFonts w:ascii="Times New Roman" w:hAnsi="Times New Roman" w:cs="Times New Roman"/>
              </w:rPr>
              <w:lastRenderedPageBreak/>
              <w:t>CIN II/III, warranting immediate evaluation (Fragment 9: "Patients with other abnormal types (ASC-H, LSIL, HSIL, AGC) should be directly referred to colposcopy"; Fragment 10: "For cytological abnormalities such as ASC-H, LSIL, HSIL, and AGC, all should be referred to colposcopy").</w:t>
            </w:r>
            <w:r w:rsidRPr="00CB2EC4">
              <w:rPr>
                <w:rFonts w:ascii="Times New Roman" w:hAnsi="Times New Roman" w:cs="Times New Roman"/>
              </w:rPr>
              <w:br/>
            </w:r>
            <w:r w:rsidRPr="00CB2EC4">
              <w:rPr>
                <w:rFonts w:ascii="Times New Roman" w:hAnsi="Times New Roman" w:cs="Times New Roman"/>
              </w:rPr>
              <w:br/>
              <w:t>In summary, the core distinction is that ASC-US management is guided by HPV test results, whereas ASC-H mandates direct colposcopic referral.</w:t>
            </w:r>
          </w:p>
        </w:tc>
        <w:tc>
          <w:tcPr>
            <w:tcW w:w="1152" w:type="dxa"/>
            <w:vAlign w:val="center"/>
          </w:tcPr>
          <w:p w14:paraId="04DB35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A327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1D6D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4F107A" w14:textId="77777777">
        <w:tc>
          <w:tcPr>
            <w:tcW w:w="2160" w:type="dxa"/>
            <w:vAlign w:val="center"/>
          </w:tcPr>
          <w:p w14:paraId="484B63CA"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F400CEF" w14:textId="77777777" w:rsidR="00922249" w:rsidRPr="00CB2EC4" w:rsidRDefault="003011D5">
            <w:pPr>
              <w:rPr>
                <w:rFonts w:ascii="Times New Roman" w:hAnsi="Times New Roman" w:cs="Times New Roman"/>
              </w:rPr>
            </w:pPr>
            <w:r w:rsidRPr="00CB2EC4">
              <w:rPr>
                <w:rFonts w:ascii="Times New Roman" w:hAnsi="Times New Roman" w:cs="Times New Roman"/>
              </w:rPr>
              <w:t>What is the difference in clinical management between ASC-US and ASC-H?</w:t>
            </w:r>
            <w:r w:rsidRPr="00CB2EC4">
              <w:rPr>
                <w:rFonts w:ascii="Times New Roman" w:hAnsi="Times New Roman" w:cs="Times New Roman"/>
              </w:rPr>
              <w:br/>
            </w:r>
            <w:r w:rsidRPr="00CB2EC4">
              <w:rPr>
                <w:rFonts w:ascii="Times New Roman" w:hAnsi="Times New Roman" w:cs="Times New Roman"/>
              </w:rPr>
              <w:br/>
              <w:t>According to the context, ASC-US (Atypical Squamous Cells of Undetermined Significance) and ASC-H (Atypical Squamous Cells, cannot exclude High-grade squamous intraepithelial lesion) have significant differences in clinical management, primarily based on their risk of malignancy and triage strategies. Document 1 (fusion score: 0.6000) and Document 10 (fusion score: 0.3492) detail the management protocols:</w:t>
            </w:r>
            <w:r w:rsidRPr="00CB2EC4">
              <w:rPr>
                <w:rFonts w:ascii="Times New Roman" w:hAnsi="Times New Roman" w:cs="Times New Roman"/>
              </w:rPr>
              <w:br/>
            </w:r>
            <w:r w:rsidRPr="00CB2EC4">
              <w:rPr>
                <w:rFonts w:ascii="Times New Roman" w:hAnsi="Times New Roman" w:cs="Times New Roman"/>
              </w:rPr>
              <w:br/>
              <w:t>- ASC-US management:</w:t>
            </w:r>
            <w:r w:rsidRPr="00CB2EC4">
              <w:rPr>
                <w:rFonts w:ascii="Times New Roman" w:hAnsi="Times New Roman" w:cs="Times New Roman"/>
              </w:rPr>
              <w:br/>
              <w:t xml:space="preserve">  - HPV testing is preferred for triage: If HPV positive (regardless of genotyping or HPV16/18 genotyping positive), refer for colposcopy; if HPV negative, recommend cytology follow-up in 1 year (Document 1, section 2.2.2).</w:t>
            </w:r>
            <w:r w:rsidRPr="00CB2EC4">
              <w:rPr>
                <w:rFonts w:ascii="Times New Roman" w:hAnsi="Times New Roman" w:cs="Times New Roman"/>
              </w:rPr>
              <w:br/>
              <w:t xml:space="preserve">  - If HPV testing is unavailable, refer directly for colposcopy (Document 10).</w:t>
            </w:r>
            <w:r w:rsidRPr="00CB2EC4">
              <w:rPr>
                <w:rFonts w:ascii="Times New Roman" w:hAnsi="Times New Roman" w:cs="Times New Roman"/>
              </w:rPr>
              <w:br/>
              <w:t xml:space="preserve">  - Rationale: ASC-US has poor diagnostic reproducibility, with a high-risk HPV infection rate of </w:t>
            </w:r>
            <w:r w:rsidRPr="00CB2EC4">
              <w:rPr>
                <w:rFonts w:ascii="Times New Roman" w:hAnsi="Times New Roman" w:cs="Times New Roman"/>
              </w:rPr>
              <w:lastRenderedPageBreak/>
              <w:t>31%</w:t>
            </w:r>
            <w:r w:rsidRPr="00CB2EC4">
              <w:rPr>
                <w:rFonts w:ascii="Times New Roman" w:hAnsi="Times New Roman" w:cs="Times New Roman"/>
              </w:rPr>
              <w:t>～</w:t>
            </w:r>
            <w:r w:rsidRPr="00CB2EC4">
              <w:rPr>
                <w:rFonts w:ascii="Times New Roman" w:hAnsi="Times New Roman" w:cs="Times New Roman"/>
              </w:rPr>
              <w:t>60%, and a low risk of progression to high-grade lesions; thus, HPV triage avoids unnecessary colposcopy.</w:t>
            </w:r>
            <w:r w:rsidRPr="00CB2EC4">
              <w:rPr>
                <w:rFonts w:ascii="Times New Roman" w:hAnsi="Times New Roman" w:cs="Times New Roman"/>
              </w:rPr>
              <w:br/>
            </w:r>
            <w:r w:rsidRPr="00CB2EC4">
              <w:rPr>
                <w:rFonts w:ascii="Times New Roman" w:hAnsi="Times New Roman" w:cs="Times New Roman"/>
              </w:rPr>
              <w:br/>
              <w:t>- ASC-H management:</w:t>
            </w:r>
            <w:r w:rsidRPr="00CB2EC4">
              <w:rPr>
                <w:rFonts w:ascii="Times New Roman" w:hAnsi="Times New Roman" w:cs="Times New Roman"/>
              </w:rPr>
              <w:br/>
              <w:t xml:space="preserve">  - Refer directly for colposcopy without HPV triage (Document 1, section 2.2.3).</w:t>
            </w:r>
            <w:r w:rsidRPr="00CB2EC4">
              <w:rPr>
                <w:rFonts w:ascii="Times New Roman" w:hAnsi="Times New Roman" w:cs="Times New Roman"/>
              </w:rPr>
              <w:br/>
              <w:t xml:space="preserve">  - Rationale: ASC-H has a higher probability of being diagnosed as CIN II/III (24%</w:t>
            </w:r>
            <w:r w:rsidRPr="00CB2EC4">
              <w:rPr>
                <w:rFonts w:ascii="Times New Roman" w:hAnsi="Times New Roman" w:cs="Times New Roman"/>
              </w:rPr>
              <w:t>～</w:t>
            </w:r>
            <w:r w:rsidRPr="00CB2EC4">
              <w:rPr>
                <w:rFonts w:ascii="Times New Roman" w:hAnsi="Times New Roman" w:cs="Times New Roman"/>
              </w:rPr>
              <w:t>94%), indicating a higher risk of malignancy, requiring immediate further evaluation.</w:t>
            </w:r>
            <w:r w:rsidRPr="00CB2EC4">
              <w:rPr>
                <w:rFonts w:ascii="Times New Roman" w:hAnsi="Times New Roman" w:cs="Times New Roman"/>
              </w:rPr>
              <w:br/>
            </w:r>
            <w:r w:rsidRPr="00CB2EC4">
              <w:rPr>
                <w:rFonts w:ascii="Times New Roman" w:hAnsi="Times New Roman" w:cs="Times New Roman"/>
              </w:rPr>
              <w:br/>
              <w:t>Document 12 (fusion score: 0.3234) also supports this distinction in its flowchart: ASC-US requires HPV testing triage, while ASC-H proceeds directly to colposcopy.</w:t>
            </w:r>
          </w:p>
        </w:tc>
        <w:tc>
          <w:tcPr>
            <w:tcW w:w="1152" w:type="dxa"/>
            <w:vAlign w:val="center"/>
          </w:tcPr>
          <w:p w14:paraId="273CEA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6F9CA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CE59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FD669A" w14:textId="77777777">
        <w:tc>
          <w:tcPr>
            <w:tcW w:w="2160" w:type="dxa"/>
            <w:vAlign w:val="center"/>
          </w:tcPr>
          <w:p w14:paraId="0E37FB61"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4B370AA" w14:textId="77777777" w:rsidR="00922249" w:rsidRPr="00CB2EC4" w:rsidRDefault="003011D5">
            <w:pPr>
              <w:rPr>
                <w:rFonts w:ascii="Times New Roman" w:hAnsi="Times New Roman" w:cs="Times New Roman"/>
              </w:rPr>
            </w:pPr>
            <w:r w:rsidRPr="00CB2EC4">
              <w:rPr>
                <w:rFonts w:ascii="Times New Roman" w:hAnsi="Times New Roman" w:cs="Times New Roman"/>
              </w:rPr>
              <w:t>ASC-US and ASC-H differ significantly in clinical management, primarily based on their risk levels and handling protocols:</w:t>
            </w:r>
            <w:r w:rsidRPr="00CB2EC4">
              <w:rPr>
                <w:rFonts w:ascii="Times New Roman" w:hAnsi="Times New Roman" w:cs="Times New Roman"/>
              </w:rPr>
              <w:br/>
            </w:r>
            <w:r w:rsidRPr="00CB2EC4">
              <w:rPr>
                <w:rFonts w:ascii="Times New Roman" w:hAnsi="Times New Roman" w:cs="Times New Roman"/>
              </w:rPr>
              <w:br/>
              <w:t>- Management of ASC-US:</w:t>
            </w:r>
            <w:r w:rsidRPr="00CB2EC4">
              <w:rPr>
                <w:rFonts w:ascii="Times New Roman" w:hAnsi="Times New Roman" w:cs="Times New Roman"/>
              </w:rPr>
              <w:br/>
              <w:t xml:space="preserve">  - Prioritize HPV testing for triage:</w:t>
            </w:r>
            <w:r w:rsidRPr="00CB2EC4">
              <w:rPr>
                <w:rFonts w:ascii="Times New Roman" w:hAnsi="Times New Roman" w:cs="Times New Roman"/>
              </w:rPr>
              <w:br/>
              <w:t xml:space="preserve">    - If HPV positive (regardless of genotyping or HPV16/18 genotyping positive), refer for colposcopy.</w:t>
            </w:r>
            <w:r w:rsidRPr="00CB2EC4">
              <w:rPr>
                <w:rFonts w:ascii="Times New Roman" w:hAnsi="Times New Roman" w:cs="Times New Roman"/>
              </w:rPr>
              <w:br/>
              <w:t xml:space="preserve">    - If HPV negative, recommend cytology follow-up in 1 year; if follow-up is negative, return to routine screening; if follow-up is ≥ASC-US, refer for colposcopy.</w:t>
            </w:r>
            <w:r w:rsidRPr="00CB2EC4">
              <w:rPr>
                <w:rFonts w:ascii="Times New Roman" w:hAnsi="Times New Roman" w:cs="Times New Roman"/>
              </w:rPr>
              <w:br/>
              <w:t xml:space="preserve">    - If HPV testing cannot be performed, refer directly for colposcopy.</w:t>
            </w:r>
            <w:r w:rsidRPr="00CB2EC4">
              <w:rPr>
                <w:rFonts w:ascii="Times New Roman" w:hAnsi="Times New Roman" w:cs="Times New Roman"/>
              </w:rPr>
              <w:br/>
              <w:t xml:space="preserve">  - Rationale: ASC-US has poor diagnostic reproducibility, with high-risk HPV infection rates of 31%–60%, but the risk of progression to high-grade </w:t>
            </w:r>
            <w:r w:rsidRPr="00CB2EC4">
              <w:rPr>
                <w:rFonts w:ascii="Times New Roman" w:hAnsi="Times New Roman" w:cs="Times New Roman"/>
              </w:rPr>
              <w:lastRenderedPageBreak/>
              <w:t>lesions is low (approximately 10%), so HPV triage avoids overtreatment.</w:t>
            </w:r>
            <w:r w:rsidRPr="00CB2EC4">
              <w:rPr>
                <w:rFonts w:ascii="Times New Roman" w:hAnsi="Times New Roman" w:cs="Times New Roman"/>
              </w:rPr>
              <w:br/>
            </w:r>
            <w:r w:rsidRPr="00CB2EC4">
              <w:rPr>
                <w:rFonts w:ascii="Times New Roman" w:hAnsi="Times New Roman" w:cs="Times New Roman"/>
              </w:rPr>
              <w:br/>
              <w:t>- Management of ASC-H:</w:t>
            </w:r>
            <w:r w:rsidRPr="00CB2EC4">
              <w:rPr>
                <w:rFonts w:ascii="Times New Roman" w:hAnsi="Times New Roman" w:cs="Times New Roman"/>
              </w:rPr>
              <w:br/>
              <w:t xml:space="preserve">  - Refer directly for colposcopy without HPV triage.</w:t>
            </w:r>
            <w:r w:rsidRPr="00CB2EC4">
              <w:rPr>
                <w:rFonts w:ascii="Times New Roman" w:hAnsi="Times New Roman" w:cs="Times New Roman"/>
              </w:rPr>
              <w:br/>
              <w:t xml:space="preserve">  - Rationale: ASC-H cellular changes exhibit features of HSIL, with a higher probability of being diagnosed as CIN II/III (24%–94%), thus considered high-risk and requiring immediate colposcopic evaluation.</w:t>
            </w:r>
            <w:r w:rsidRPr="00CB2EC4">
              <w:rPr>
                <w:rFonts w:ascii="Times New Roman" w:hAnsi="Times New Roman" w:cs="Times New Roman"/>
              </w:rPr>
              <w:br/>
            </w:r>
            <w:r w:rsidRPr="00CB2EC4">
              <w:rPr>
                <w:rFonts w:ascii="Times New Roman" w:hAnsi="Times New Roman" w:cs="Times New Roman"/>
              </w:rPr>
              <w:br/>
              <w:t>(Source: Descriptions from "Management of Cytological Abnormalities" in [HyDE similarity: 0.435] and [HyDE similarity: 0.435].)</w:t>
            </w:r>
            <w:r w:rsidRPr="00CB2EC4">
              <w:rPr>
                <w:rFonts w:ascii="Times New Roman" w:hAnsi="Times New Roman" w:cs="Times New Roman"/>
              </w:rPr>
              <w:br/>
              <w:t>Therefore, the core distinction is that ASC-US requires HPV testing triage, whereas ASC-H warrants direct referral to colposcopy.</w:t>
            </w:r>
          </w:p>
        </w:tc>
        <w:tc>
          <w:tcPr>
            <w:tcW w:w="1152" w:type="dxa"/>
            <w:vAlign w:val="center"/>
          </w:tcPr>
          <w:p w14:paraId="42F5D4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BEA87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56FB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8A807C" w14:textId="77777777">
        <w:tc>
          <w:tcPr>
            <w:tcW w:w="2160" w:type="dxa"/>
            <w:vAlign w:val="center"/>
          </w:tcPr>
          <w:p w14:paraId="225610FE"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AD69B17" w14:textId="77777777" w:rsidR="00922249" w:rsidRPr="00CB2EC4" w:rsidRDefault="003011D5">
            <w:pPr>
              <w:rPr>
                <w:rFonts w:ascii="Times New Roman" w:hAnsi="Times New Roman" w:cs="Times New Roman"/>
              </w:rPr>
            </w:pPr>
            <w:r w:rsidRPr="00CB2EC4">
              <w:rPr>
                <w:rFonts w:ascii="Times New Roman" w:hAnsi="Times New Roman" w:cs="Times New Roman"/>
              </w:rPr>
              <w:t>ASC-US and ASC-H differ in clinical management as follows:</w:t>
            </w:r>
            <w:r w:rsidRPr="00CB2EC4">
              <w:rPr>
                <w:rFonts w:ascii="Times New Roman" w:hAnsi="Times New Roman" w:cs="Times New Roman"/>
              </w:rPr>
              <w:br/>
            </w:r>
            <w:r w:rsidRPr="00CB2EC4">
              <w:rPr>
                <w:rFonts w:ascii="Times New Roman" w:hAnsi="Times New Roman" w:cs="Times New Roman"/>
              </w:rPr>
              <w:br/>
              <w:t>In document fragment 11 and fragment 14 (description of Figure 2), the detailed clinical management differences between ASC-US (Atypical Squamous Cells of Undetermined Significance) and ASC-H (Atypical Squamous Cells, cannot exclude HSIL) are specified:</w:t>
            </w:r>
            <w:r w:rsidRPr="00CB2EC4">
              <w:rPr>
                <w:rFonts w:ascii="Times New Roman" w:hAnsi="Times New Roman" w:cs="Times New Roman"/>
              </w:rPr>
              <w:br/>
              <w:t>- ASC-US: First perform high-risk HPV testing for triage:</w:t>
            </w:r>
            <w:r w:rsidRPr="00CB2EC4">
              <w:rPr>
                <w:rFonts w:ascii="Times New Roman" w:hAnsi="Times New Roman" w:cs="Times New Roman"/>
              </w:rPr>
              <w:br/>
              <w:t xml:space="preserve">  - If HPV positive (regardless of genotyping or screening test), refer for colposcopy.</w:t>
            </w:r>
            <w:r w:rsidRPr="00CB2EC4">
              <w:rPr>
                <w:rFonts w:ascii="Times New Roman" w:hAnsi="Times New Roman" w:cs="Times New Roman"/>
              </w:rPr>
              <w:br/>
              <w:t xml:space="preserve">  - If HPV negative, recommend repeat cytology in 1 year; if the repeat result is negative, resume routine screening; if the repeat result is ≥ ASC-US, refer for colposcopy.</w:t>
            </w:r>
            <w:r w:rsidRPr="00CB2EC4">
              <w:rPr>
                <w:rFonts w:ascii="Times New Roman" w:hAnsi="Times New Roman" w:cs="Times New Roman"/>
              </w:rPr>
              <w:br/>
              <w:t xml:space="preserve">  - If HPV testing is unavailable, refer directly for </w:t>
            </w:r>
            <w:r w:rsidRPr="00CB2EC4">
              <w:rPr>
                <w:rFonts w:ascii="Times New Roman" w:hAnsi="Times New Roman" w:cs="Times New Roman"/>
              </w:rPr>
              <w:lastRenderedPageBreak/>
              <w:t>colposcopy.</w:t>
            </w:r>
            <w:r w:rsidRPr="00CB2EC4">
              <w:rPr>
                <w:rFonts w:ascii="Times New Roman" w:hAnsi="Times New Roman" w:cs="Times New Roman"/>
              </w:rPr>
              <w:br/>
              <w:t>- ASC-H: Due to the cellular changes suggestive of high-grade squamous intraepithelial lesion (HSIL) and a higher probability of being diagnosed with CIN II/III (24%–94%), direct referral for colposcopy is recommended without HPV triage.</w:t>
            </w:r>
            <w:r w:rsidRPr="00CB2EC4">
              <w:rPr>
                <w:rFonts w:ascii="Times New Roman" w:hAnsi="Times New Roman" w:cs="Times New Roman"/>
              </w:rPr>
              <w:br/>
            </w:r>
            <w:r w:rsidRPr="00CB2EC4">
              <w:rPr>
                <w:rFonts w:ascii="Times New Roman" w:hAnsi="Times New Roman" w:cs="Times New Roman"/>
              </w:rPr>
              <w:br/>
              <w:t>In summary, the management of ASC-US relies on HPV triage testing, whereas ASC-H is managed by direct referral to colposcopy, reflecting its higher risk of underlying malignancy.</w:t>
            </w:r>
          </w:p>
        </w:tc>
        <w:tc>
          <w:tcPr>
            <w:tcW w:w="1152" w:type="dxa"/>
            <w:vAlign w:val="center"/>
          </w:tcPr>
          <w:p w14:paraId="7608B1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697D7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42D2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C38D323" w14:textId="77777777">
        <w:tc>
          <w:tcPr>
            <w:tcW w:w="2160" w:type="dxa"/>
            <w:vAlign w:val="center"/>
          </w:tcPr>
          <w:p w14:paraId="5C6FC47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6D15556" w14:textId="77777777" w:rsidR="00922249" w:rsidRPr="00CB2EC4" w:rsidRDefault="003011D5">
            <w:pPr>
              <w:rPr>
                <w:rFonts w:ascii="Times New Roman" w:hAnsi="Times New Roman" w:cs="Times New Roman"/>
              </w:rPr>
            </w:pPr>
            <w:r w:rsidRPr="00CB2EC4">
              <w:rPr>
                <w:rFonts w:ascii="Times New Roman" w:hAnsi="Times New Roman" w:cs="Times New Roman"/>
              </w:rPr>
              <w:t>ASC-US and ASC-H differ in clinical management as follows (based on "2.2.2 ASC-US" and Figure 2 management flow):</w:t>
            </w:r>
            <w:r w:rsidRPr="00CB2EC4">
              <w:rPr>
                <w:rFonts w:ascii="Times New Roman" w:hAnsi="Times New Roman" w:cs="Times New Roman"/>
              </w:rPr>
              <w:br/>
            </w:r>
            <w:r w:rsidRPr="00CB2EC4">
              <w:rPr>
                <w:rFonts w:ascii="Times New Roman" w:hAnsi="Times New Roman" w:cs="Times New Roman"/>
              </w:rPr>
              <w:br/>
              <w:t>- **ASC-US**:</w:t>
            </w:r>
            <w:r w:rsidRPr="00CB2EC4">
              <w:rPr>
                <w:rFonts w:ascii="Times New Roman" w:hAnsi="Times New Roman" w:cs="Times New Roman"/>
              </w:rPr>
              <w:br/>
              <w:t xml:space="preserve">  - First-line management: High-risk HPV testing for triage:</w:t>
            </w:r>
            <w:r w:rsidRPr="00CB2EC4">
              <w:rPr>
                <w:rFonts w:ascii="Times New Roman" w:hAnsi="Times New Roman" w:cs="Times New Roman"/>
              </w:rPr>
              <w:br/>
              <w:t xml:space="preserve">    - HPV positive → Refer to colposcopy.</w:t>
            </w:r>
            <w:r w:rsidRPr="00CB2EC4">
              <w:rPr>
                <w:rFonts w:ascii="Times New Roman" w:hAnsi="Times New Roman" w:cs="Times New Roman"/>
              </w:rPr>
              <w:br/>
              <w:t xml:space="preserve">    - HPV negative → Repeat cytology in 1 year (if result ≥ ASC-US, then refer to colposcopy).</w:t>
            </w:r>
            <w:r w:rsidRPr="00CB2EC4">
              <w:rPr>
                <w:rFonts w:ascii="Times New Roman" w:hAnsi="Times New Roman" w:cs="Times New Roman"/>
              </w:rPr>
              <w:br/>
              <w:t xml:space="preserve">  - If HPV testing is unavailable → Directly refer to colposcopy.</w:t>
            </w:r>
            <w:r w:rsidRPr="00CB2EC4">
              <w:rPr>
                <w:rFonts w:ascii="Times New Roman" w:hAnsi="Times New Roman" w:cs="Times New Roman"/>
              </w:rPr>
              <w:br/>
            </w:r>
            <w:r w:rsidRPr="00CB2EC4">
              <w:rPr>
                <w:rFonts w:ascii="Times New Roman" w:hAnsi="Times New Roman" w:cs="Times New Roman"/>
              </w:rPr>
              <w:br/>
              <w:t>- **ASC-H**:</w:t>
            </w:r>
            <w:r w:rsidRPr="00CB2EC4">
              <w:rPr>
                <w:rFonts w:ascii="Times New Roman" w:hAnsi="Times New Roman" w:cs="Times New Roman"/>
              </w:rPr>
              <w:br/>
              <w:t xml:space="preserve">  - As a higher-grade abnormality, it bypasses HPV triage and is directly referred to colposcopy (see Figure 2 flow: "Other abnormal types (ASC-H, LSIL, etc.) directly refer to colposcopy").</w:t>
            </w:r>
          </w:p>
        </w:tc>
        <w:tc>
          <w:tcPr>
            <w:tcW w:w="1152" w:type="dxa"/>
            <w:vAlign w:val="center"/>
          </w:tcPr>
          <w:p w14:paraId="67C3A1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15B7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2CC9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2F313B" w14:textId="77777777">
        <w:tc>
          <w:tcPr>
            <w:tcW w:w="2160" w:type="dxa"/>
            <w:vAlign w:val="center"/>
          </w:tcPr>
          <w:p w14:paraId="7B08AC85"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6CF5D1C" w14:textId="77777777" w:rsidR="00922249" w:rsidRPr="00CB2EC4" w:rsidRDefault="003011D5">
            <w:pPr>
              <w:rPr>
                <w:rFonts w:ascii="Times New Roman" w:hAnsi="Times New Roman" w:cs="Times New Roman"/>
              </w:rPr>
            </w:pPr>
            <w:r w:rsidRPr="00CB2EC4">
              <w:rPr>
                <w:rFonts w:ascii="Times New Roman" w:hAnsi="Times New Roman" w:cs="Times New Roman"/>
              </w:rPr>
              <w:t>ASC-US and ASC-H differ in clinical management primarily in the use of HPV triage:</w:t>
            </w:r>
            <w:r w:rsidRPr="00CB2EC4">
              <w:rPr>
                <w:rFonts w:ascii="Times New Roman" w:hAnsi="Times New Roman" w:cs="Times New Roman"/>
              </w:rPr>
              <w:br/>
            </w:r>
            <w:r w:rsidRPr="00CB2EC4">
              <w:rPr>
                <w:rFonts w:ascii="Times New Roman" w:hAnsi="Times New Roman" w:cs="Times New Roman"/>
              </w:rPr>
              <w:br/>
              <w:t xml:space="preserve">- **ASC-US (Atypical Squamous Cells of </w:t>
            </w:r>
            <w:r w:rsidRPr="00CB2EC4">
              <w:rPr>
                <w:rFonts w:ascii="Times New Roman" w:hAnsi="Times New Roman" w:cs="Times New Roman"/>
              </w:rPr>
              <w:lastRenderedPageBreak/>
              <w:t xml:space="preserve">Undetermined Significance)**:  </w:t>
            </w:r>
            <w:r w:rsidRPr="00CB2EC4">
              <w:rPr>
                <w:rFonts w:ascii="Times New Roman" w:hAnsi="Times New Roman" w:cs="Times New Roman"/>
              </w:rPr>
              <w:br/>
              <w:t xml:space="preserve">  → Managed with HPV triage strategy.  </w:t>
            </w:r>
            <w:r w:rsidRPr="00CB2EC4">
              <w:rPr>
                <w:rFonts w:ascii="Times New Roman" w:hAnsi="Times New Roman" w:cs="Times New Roman"/>
              </w:rPr>
              <w:br/>
              <w:t xml:space="preserve">  → If HPV positive (untyped) or HPV genotyping shows HPV16/18 positive → refer to colposcopy.  </w:t>
            </w:r>
            <w:r w:rsidRPr="00CB2EC4">
              <w:rPr>
                <w:rFonts w:ascii="Times New Roman" w:hAnsi="Times New Roman" w:cs="Times New Roman"/>
              </w:rPr>
              <w:br/>
              <w:t xml:space="preserve">  → If HPV negative → recommend cytology follow-up in 1 year.  </w:t>
            </w:r>
            <w:r w:rsidRPr="00CB2EC4">
              <w:rPr>
                <w:rFonts w:ascii="Times New Roman" w:hAnsi="Times New Roman" w:cs="Times New Roman"/>
              </w:rPr>
              <w:br/>
              <w:t xml:space="preserve">  → If HPV testing cannot be performed → refer directly to colposcopy.  </w:t>
            </w:r>
            <w:r w:rsidRPr="00CB2EC4">
              <w:rPr>
                <w:rFonts w:ascii="Times New Roman" w:hAnsi="Times New Roman" w:cs="Times New Roman"/>
              </w:rPr>
              <w:br/>
              <w:t xml:space="preserve">  → Risk of CIN II/III is low (approximately &lt;10%), so HPV triage is prioritized to reduce unnecessary colposcopy referrals.</w:t>
            </w:r>
            <w:r w:rsidRPr="00CB2EC4">
              <w:rPr>
                <w:rFonts w:ascii="Times New Roman" w:hAnsi="Times New Roman" w:cs="Times New Roman"/>
              </w:rPr>
              <w:br/>
            </w:r>
            <w:r w:rsidRPr="00CB2EC4">
              <w:rPr>
                <w:rFonts w:ascii="Times New Roman" w:hAnsi="Times New Roman" w:cs="Times New Roman"/>
              </w:rPr>
              <w:br/>
              <w:t xml:space="preserve">- **ASC-H (Atypical Squamous Cells, cannot exclude High-grade Squamous Intraepithelial Lesion)**:  </w:t>
            </w:r>
            <w:r w:rsidRPr="00CB2EC4">
              <w:rPr>
                <w:rFonts w:ascii="Times New Roman" w:hAnsi="Times New Roman" w:cs="Times New Roman"/>
              </w:rPr>
              <w:br/>
              <w:t xml:space="preserve">  → HPV triage is not used.  </w:t>
            </w:r>
            <w:r w:rsidRPr="00CB2EC4">
              <w:rPr>
                <w:rFonts w:ascii="Times New Roman" w:hAnsi="Times New Roman" w:cs="Times New Roman"/>
              </w:rPr>
              <w:br/>
              <w:t xml:space="preserve">  → All cases should be referred directly to colposcopy.  </w:t>
            </w:r>
            <w:r w:rsidRPr="00CB2EC4">
              <w:rPr>
                <w:rFonts w:ascii="Times New Roman" w:hAnsi="Times New Roman" w:cs="Times New Roman"/>
              </w:rPr>
              <w:br/>
              <w:t xml:space="preserve">  → The risk of underlying CIN II/III is significantly higher (24%–94%), warranting immediate colposcopic evaluation without HPV testing.</w:t>
            </w:r>
          </w:p>
        </w:tc>
        <w:tc>
          <w:tcPr>
            <w:tcW w:w="1152" w:type="dxa"/>
            <w:vAlign w:val="center"/>
          </w:tcPr>
          <w:p w14:paraId="2C33B9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5255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B523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E2FE4B" w14:textId="77777777">
        <w:tc>
          <w:tcPr>
            <w:tcW w:w="2160" w:type="dxa"/>
            <w:vAlign w:val="center"/>
          </w:tcPr>
          <w:p w14:paraId="598075E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0372396" w14:textId="77777777" w:rsidR="00922249" w:rsidRPr="00CB2EC4" w:rsidRDefault="003011D5">
            <w:pPr>
              <w:rPr>
                <w:rFonts w:ascii="Times New Roman" w:hAnsi="Times New Roman" w:cs="Times New Roman"/>
              </w:rPr>
            </w:pPr>
            <w:r w:rsidRPr="00CB2EC4">
              <w:rPr>
                <w:rFonts w:ascii="Times New Roman" w:hAnsi="Times New Roman" w:cs="Times New Roman"/>
              </w:rPr>
              <w:t>ASC-US and ASC-H differ significantly in clinical management based on the provided guidelines:</w:t>
            </w:r>
            <w:r w:rsidRPr="00CB2EC4">
              <w:rPr>
                <w:rFonts w:ascii="Times New Roman" w:hAnsi="Times New Roman" w:cs="Times New Roman"/>
              </w:rPr>
              <w:br/>
            </w:r>
            <w:r w:rsidRPr="00CB2EC4">
              <w:rPr>
                <w:rFonts w:ascii="Times New Roman" w:hAnsi="Times New Roman" w:cs="Times New Roman"/>
              </w:rPr>
              <w:br/>
              <w:t xml:space="preserve">- **ASC-US management**:  </w:t>
            </w:r>
            <w:r w:rsidRPr="00CB2EC4">
              <w:rPr>
                <w:rFonts w:ascii="Times New Roman" w:hAnsi="Times New Roman" w:cs="Times New Roman"/>
              </w:rPr>
              <w:br/>
              <w:t xml:space="preserve">  Typically undergoes HPV triage testing.  </w:t>
            </w:r>
            <w:r w:rsidRPr="00CB2EC4">
              <w:rPr>
                <w:rFonts w:ascii="Times New Roman" w:hAnsi="Times New Roman" w:cs="Times New Roman"/>
              </w:rPr>
              <w:br/>
              <w:t xml:space="preserve">  → If HPV positive (regardless of genotyping) or HPV genotyping shows HPV16/18 positive, refer for colposcopy.  </w:t>
            </w:r>
            <w:r w:rsidRPr="00CB2EC4">
              <w:rPr>
                <w:rFonts w:ascii="Times New Roman" w:hAnsi="Times New Roman" w:cs="Times New Roman"/>
              </w:rPr>
              <w:br/>
              <w:t xml:space="preserve">  → If HPV negative, recommend repeat cytology in 1 year.  </w:t>
            </w:r>
            <w:r w:rsidRPr="00CB2EC4">
              <w:rPr>
                <w:rFonts w:ascii="Times New Roman" w:hAnsi="Times New Roman" w:cs="Times New Roman"/>
              </w:rPr>
              <w:br/>
              <w:t xml:space="preserve">  → If HPV testing is unavailable, refer directly for colposcopy.  </w:t>
            </w:r>
            <w:r w:rsidRPr="00CB2EC4">
              <w:rPr>
                <w:rFonts w:ascii="Times New Roman" w:hAnsi="Times New Roman" w:cs="Times New Roman"/>
              </w:rPr>
              <w:br/>
              <w:t xml:space="preserve">  The document states: “ASC-US uses HPV for triage; if HPV positive (ungenotyped) or HPV genotyping </w:t>
            </w:r>
            <w:r w:rsidRPr="00CB2EC4">
              <w:rPr>
                <w:rFonts w:ascii="Times New Roman" w:hAnsi="Times New Roman" w:cs="Times New Roman"/>
              </w:rPr>
              <w:lastRenderedPageBreak/>
              <w:t>detects HPV16/18 positive, colposcopy referral is indicated.”</w:t>
            </w:r>
            <w:r w:rsidRPr="00CB2EC4">
              <w:rPr>
                <w:rFonts w:ascii="Times New Roman" w:hAnsi="Times New Roman" w:cs="Times New Roman"/>
              </w:rPr>
              <w:br/>
            </w:r>
            <w:r w:rsidRPr="00CB2EC4">
              <w:rPr>
                <w:rFonts w:ascii="Times New Roman" w:hAnsi="Times New Roman" w:cs="Times New Roman"/>
              </w:rPr>
              <w:br/>
              <w:t xml:space="preserve">- **ASC-H management**:  </w:t>
            </w:r>
            <w:r w:rsidRPr="00CB2EC4">
              <w:rPr>
                <w:rFonts w:ascii="Times New Roman" w:hAnsi="Times New Roman" w:cs="Times New Roman"/>
              </w:rPr>
              <w:br/>
              <w:t xml:space="preserve">  Refer directly for colposcopy without prior HPV testing.  </w:t>
            </w:r>
            <w:r w:rsidRPr="00CB2EC4">
              <w:rPr>
                <w:rFonts w:ascii="Times New Roman" w:hAnsi="Times New Roman" w:cs="Times New Roman"/>
              </w:rPr>
              <w:br/>
              <w:t xml:space="preserve">  Because ASC-H exhibits cellular features suggestive of HSIL, with a high probability of CIN II/III diagnosis (24%–94%).  </w:t>
            </w:r>
            <w:r w:rsidRPr="00CB2EC4">
              <w:rPr>
                <w:rFonts w:ascii="Times New Roman" w:hAnsi="Times New Roman" w:cs="Times New Roman"/>
              </w:rPr>
              <w:br/>
              <w:t xml:space="preserve">  The document emphasizes: “ASC-H cellular changes have HSIL features; the probability of being diagnosed CIN II/III is 24%</w:t>
            </w:r>
            <w:r w:rsidRPr="00CB2EC4">
              <w:rPr>
                <w:rFonts w:ascii="Cambria Math" w:hAnsi="Cambria Math" w:cs="Cambria Math"/>
              </w:rPr>
              <w:t>∼</w:t>
            </w:r>
            <w:r w:rsidRPr="00CB2EC4">
              <w:rPr>
                <w:rFonts w:ascii="Times New Roman" w:hAnsi="Times New Roman" w:cs="Times New Roman"/>
              </w:rPr>
              <w:t>94%,” thus requiring immediate colposcopy.</w:t>
            </w:r>
            <w:r w:rsidRPr="00CB2EC4">
              <w:rPr>
                <w:rFonts w:ascii="Times New Roman" w:hAnsi="Times New Roman" w:cs="Times New Roman"/>
              </w:rPr>
              <w:br/>
            </w:r>
            <w:r w:rsidRPr="00CB2EC4">
              <w:rPr>
                <w:rFonts w:ascii="Times New Roman" w:hAnsi="Times New Roman" w:cs="Times New Roman"/>
              </w:rPr>
              <w:br/>
              <w:t>In summary, ASC-US relies on HPV testing for triage, whereas ASC-H bypasses HPV testing and proceeds directly to colposcopy due to its higher risk of significant lesion.</w:t>
            </w:r>
          </w:p>
        </w:tc>
        <w:tc>
          <w:tcPr>
            <w:tcW w:w="1152" w:type="dxa"/>
            <w:vAlign w:val="center"/>
          </w:tcPr>
          <w:p w14:paraId="4E5D0C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A54C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6B56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5950600" w14:textId="77777777">
        <w:tc>
          <w:tcPr>
            <w:tcW w:w="2160" w:type="dxa"/>
            <w:vAlign w:val="center"/>
          </w:tcPr>
          <w:p w14:paraId="59422BEE"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A9C3B81" w14:textId="77777777" w:rsidR="00922249" w:rsidRPr="00CB2EC4" w:rsidRDefault="003011D5">
            <w:pPr>
              <w:rPr>
                <w:rFonts w:ascii="Times New Roman" w:hAnsi="Times New Roman" w:cs="Times New Roman"/>
              </w:rPr>
            </w:pPr>
            <w:r w:rsidRPr="00CB2EC4">
              <w:rPr>
                <w:rFonts w:ascii="Times New Roman" w:hAnsi="Times New Roman" w:cs="Times New Roman"/>
              </w:rPr>
              <w:t>ASC-US (Atypical Squamous Cells of Undetermined Significance) and ASC-H (Atypical Squamous Cells, cannot exclude HSIL) differ in clinical management primarily in their triage strategies:</w:t>
            </w:r>
            <w:r w:rsidRPr="00CB2EC4">
              <w:rPr>
                <w:rFonts w:ascii="Times New Roman" w:hAnsi="Times New Roman" w:cs="Times New Roman"/>
              </w:rPr>
              <w:br/>
              <w:t>- ASC-US management: Prioritize HPV testing for triage.</w:t>
            </w:r>
            <w:r w:rsidRPr="00CB2EC4">
              <w:rPr>
                <w:rFonts w:ascii="Times New Roman" w:hAnsi="Times New Roman" w:cs="Times New Roman"/>
              </w:rPr>
              <w:br/>
              <w:t xml:space="preserve">  - If HPV positive (+), refer for colposcopy.</w:t>
            </w:r>
            <w:r w:rsidRPr="00CB2EC4">
              <w:rPr>
                <w:rFonts w:ascii="Times New Roman" w:hAnsi="Times New Roman" w:cs="Times New Roman"/>
              </w:rPr>
              <w:br/>
              <w:t xml:space="preserve">  - If HPV negative (-), recommend repeat cytology in 1 year (if result is ≥ASC-US, refer for colposcopy; if negative, return to routine screening).</w:t>
            </w:r>
            <w:r w:rsidRPr="00CB2EC4">
              <w:rPr>
                <w:rFonts w:ascii="Times New Roman" w:hAnsi="Times New Roman" w:cs="Times New Roman"/>
              </w:rPr>
              <w:br/>
              <w:t xml:space="preserve">  - If HPV testing is unavailable, refer directly for colposcopy.</w:t>
            </w:r>
            <w:r w:rsidRPr="00CB2EC4">
              <w:rPr>
                <w:rFonts w:ascii="Times New Roman" w:hAnsi="Times New Roman" w:cs="Times New Roman"/>
              </w:rPr>
              <w:br/>
              <w:t>- ASC-H management: Refer directly for colposcopy without HPV triage.</w:t>
            </w:r>
            <w:r w:rsidRPr="00CB2EC4">
              <w:rPr>
                <w:rFonts w:ascii="Times New Roman" w:hAnsi="Times New Roman" w:cs="Times New Roman"/>
              </w:rPr>
              <w:br/>
              <w:t>- Supporting evidence:</w:t>
            </w:r>
            <w:r w:rsidRPr="00CB2EC4">
              <w:rPr>
                <w:rFonts w:ascii="Times New Roman" w:hAnsi="Times New Roman" w:cs="Times New Roman"/>
              </w:rPr>
              <w:br/>
              <w:t xml:space="preserve">  - Document excerpt 10 (relevance: 0.2659) and </w:t>
            </w:r>
            <w:r w:rsidRPr="00CB2EC4">
              <w:rPr>
                <w:rFonts w:ascii="Times New Roman" w:hAnsi="Times New Roman" w:cs="Times New Roman"/>
              </w:rPr>
              <w:lastRenderedPageBreak/>
              <w:t>excerpt 16 (relevance: 0.2048) describe abnormal screening management:</w:t>
            </w:r>
            <w:r w:rsidRPr="00CB2EC4">
              <w:rPr>
                <w:rFonts w:ascii="Times New Roman" w:hAnsi="Times New Roman" w:cs="Times New Roman"/>
              </w:rPr>
              <w:br/>
              <w:t xml:space="preserve">    - Excerpt 10: "ASC-US diagnosis has poor reproducibility... High-risk HPV infection rate in women with ASC-US is 31%~60%... For ASC-US, perform HPV testing: if HPV positive, refer for colposcopy; if HPV negative, repeat cytology in 1 year."</w:t>
            </w:r>
            <w:r w:rsidRPr="00CB2EC4">
              <w:rPr>
                <w:rFonts w:ascii="Times New Roman" w:hAnsi="Times New Roman" w:cs="Times New Roman"/>
              </w:rPr>
              <w:br/>
              <w:t xml:space="preserve">    - Excerpt 16: "Cytology ASC-H... refer directly for colposcopy."</w:t>
            </w:r>
            <w:r w:rsidRPr="00CB2EC4">
              <w:rPr>
                <w:rFonts w:ascii="Times New Roman" w:hAnsi="Times New Roman" w:cs="Times New Roman"/>
              </w:rPr>
              <w:br/>
              <w:t xml:space="preserve">    - Figure 2 described in excerpt 10 explicitly distinguishes: ASC-US requires HPV triage, whereas ASC-H and other high-risk categories go directly to colposcopy.</w:t>
            </w:r>
            <w:r w:rsidRPr="00CB2EC4">
              <w:rPr>
                <w:rFonts w:ascii="Times New Roman" w:hAnsi="Times New Roman" w:cs="Times New Roman"/>
              </w:rPr>
              <w:br/>
              <w:t xml:space="preserve">  - Additional note: This distinction is based on the higher risk of precancer in ASC-H (HPV positive rate 40%~60%, excerpt 7), while ASC-US carries lower risk, making HPV triage effective in reducing unnecessary colposcopy referrals.</w:t>
            </w:r>
          </w:p>
        </w:tc>
        <w:tc>
          <w:tcPr>
            <w:tcW w:w="1152" w:type="dxa"/>
            <w:vAlign w:val="center"/>
          </w:tcPr>
          <w:p w14:paraId="36A39F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E3930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FF42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475F5B" w14:textId="77777777">
        <w:tc>
          <w:tcPr>
            <w:tcW w:w="2160" w:type="dxa"/>
            <w:vAlign w:val="center"/>
          </w:tcPr>
          <w:p w14:paraId="4113E05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292B8EF" w14:textId="77777777" w:rsidR="00922249" w:rsidRPr="00CB2EC4" w:rsidRDefault="003011D5">
            <w:pPr>
              <w:rPr>
                <w:rFonts w:ascii="Times New Roman" w:hAnsi="Times New Roman" w:cs="Times New Roman"/>
              </w:rPr>
            </w:pPr>
            <w:r w:rsidRPr="00CB2EC4">
              <w:rPr>
                <w:rFonts w:ascii="Times New Roman" w:hAnsi="Times New Roman" w:cs="Times New Roman"/>
              </w:rPr>
              <w:t>ASC-US and ASC-H differ in clinical management primarily in risk stratification and follow-up protocols:</w:t>
            </w:r>
            <w:r w:rsidRPr="00CB2EC4">
              <w:rPr>
                <w:rFonts w:ascii="Times New Roman" w:hAnsi="Times New Roman" w:cs="Times New Roman"/>
              </w:rPr>
              <w:br/>
            </w:r>
            <w:r w:rsidRPr="00CB2EC4">
              <w:rPr>
                <w:rFonts w:ascii="Times New Roman" w:hAnsi="Times New Roman" w:cs="Times New Roman"/>
              </w:rPr>
              <w:br/>
              <w:t>- **ASC-US management**:</w:t>
            </w:r>
            <w:r w:rsidRPr="00CB2EC4">
              <w:rPr>
                <w:rFonts w:ascii="Times New Roman" w:hAnsi="Times New Roman" w:cs="Times New Roman"/>
              </w:rPr>
              <w:br/>
              <w:t xml:space="preserve">  - ASC-US has poor diagnostic reproducibility, prone to under- or over-diagnosis, accounting for approximately 5% in population screening, with high-risk HPV infection rates of 31%–60%.</w:t>
            </w:r>
            <w:r w:rsidRPr="00CB2EC4">
              <w:rPr>
                <w:rFonts w:ascii="Times New Roman" w:hAnsi="Times New Roman" w:cs="Times New Roman"/>
              </w:rPr>
              <w:br/>
              <w:t xml:space="preserve">  - In abnormal screening management workflows (e.g., HPV-based or co-testing as primary screening), ASC-US typically requires HPV triage:</w:t>
            </w:r>
            <w:r w:rsidRPr="00CB2EC4">
              <w:rPr>
                <w:rFonts w:ascii="Times New Roman" w:hAnsi="Times New Roman" w:cs="Times New Roman"/>
              </w:rPr>
              <w:br/>
              <w:t xml:space="preserve">    - If HPV positive (especially untyped), direct referral to colposcopy is supported (Fragment 2, 2.3.2: HPV-positive/ASC-US has a 5-year CINⅢ+ </w:t>
            </w:r>
            <w:r w:rsidRPr="00CB2EC4">
              <w:rPr>
                <w:rFonts w:ascii="Times New Roman" w:hAnsi="Times New Roman" w:cs="Times New Roman"/>
              </w:rPr>
              <w:lastRenderedPageBreak/>
              <w:t>cumulative risk of 6.8%, higher than LSIL; based on equal-risk equal-management principle, supports direct colposcopy referral).</w:t>
            </w:r>
            <w:r w:rsidRPr="00CB2EC4">
              <w:rPr>
                <w:rFonts w:ascii="Times New Roman" w:hAnsi="Times New Roman" w:cs="Times New Roman"/>
              </w:rPr>
              <w:br/>
              <w:t xml:space="preserve">    - If HPV negative, routine follow-up (e.g., repeat testing in 1 year) may be recommended.</w:t>
            </w:r>
            <w:r w:rsidRPr="00CB2EC4">
              <w:rPr>
                <w:rFonts w:ascii="Times New Roman" w:hAnsi="Times New Roman" w:cs="Times New Roman"/>
              </w:rPr>
              <w:br/>
            </w:r>
            <w:r w:rsidRPr="00CB2EC4">
              <w:rPr>
                <w:rFonts w:ascii="Times New Roman" w:hAnsi="Times New Roman" w:cs="Times New Roman"/>
              </w:rPr>
              <w:br/>
              <w:t>- **ASC-H management**:</w:t>
            </w:r>
            <w:r w:rsidRPr="00CB2EC4">
              <w:rPr>
                <w:rFonts w:ascii="Times New Roman" w:hAnsi="Times New Roman" w:cs="Times New Roman"/>
              </w:rPr>
              <w:br/>
              <w:t xml:space="preserve">  - ASC-H is considered a higher-risk category, with high-risk HPV positivity rates of 40%–60% (Fragment 1), indicating greater likelihood of progression to high-grade lesions.</w:t>
            </w:r>
            <w:r w:rsidRPr="00CB2EC4">
              <w:rPr>
                <w:rFonts w:ascii="Times New Roman" w:hAnsi="Times New Roman" w:cs="Times New Roman"/>
              </w:rPr>
              <w:br/>
              <w:t xml:space="preserve">  - In management workflows, ASC-H is typically handled more aggressively, supporting direct referral to colposcopy without HPV triage (Fragment 2 Figure 3 description: cytology results ≥ASC-US warrant direct colposcopy referral; ASC-H falls under this category).</w:t>
            </w:r>
            <w:r w:rsidRPr="00CB2EC4">
              <w:rPr>
                <w:rFonts w:ascii="Times New Roman" w:hAnsi="Times New Roman" w:cs="Times New Roman"/>
              </w:rPr>
              <w:br/>
            </w:r>
            <w:r w:rsidRPr="00CB2EC4">
              <w:rPr>
                <w:rFonts w:ascii="Times New Roman" w:hAnsi="Times New Roman" w:cs="Times New Roman"/>
              </w:rPr>
              <w:br/>
              <w:t>Summary of differences: ASC-US management depends on HPV triage (colposcopy if positive), whereas ASC-H, due to higher risk, is managed more directly (usually immediate colposcopy referral). Context emphasizes individualized management based on patient age, compliance, and other factors.</w:t>
            </w:r>
          </w:p>
        </w:tc>
        <w:tc>
          <w:tcPr>
            <w:tcW w:w="1152" w:type="dxa"/>
            <w:vAlign w:val="center"/>
          </w:tcPr>
          <w:p w14:paraId="41CD73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CD3F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1ADA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799080" w14:textId="77777777">
        <w:tc>
          <w:tcPr>
            <w:tcW w:w="2160" w:type="dxa"/>
            <w:vAlign w:val="center"/>
          </w:tcPr>
          <w:p w14:paraId="542201D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7ADA8DD" w14:textId="77777777" w:rsidR="00922249" w:rsidRPr="00CB2EC4" w:rsidRDefault="003011D5">
            <w:pPr>
              <w:rPr>
                <w:rFonts w:ascii="Times New Roman" w:hAnsi="Times New Roman" w:cs="Times New Roman"/>
              </w:rPr>
            </w:pPr>
            <w:r w:rsidRPr="00CB2EC4">
              <w:rPr>
                <w:rFonts w:ascii="Times New Roman" w:hAnsi="Times New Roman" w:cs="Times New Roman"/>
              </w:rPr>
              <w:t>The main differences in clinical management between ASC-US (Atypical Squamous Cells of Undetermined Significance) and ASC-H (Atypical Squamous Cells, cannot exclude HSIL) are as follows:</w:t>
            </w:r>
            <w:r w:rsidRPr="00CB2EC4">
              <w:rPr>
                <w:rFonts w:ascii="Times New Roman" w:hAnsi="Times New Roman" w:cs="Times New Roman"/>
              </w:rPr>
              <w:br/>
              <w:t>- ASC-US: HPV testing is recommended for triage management. If HPV positive, refer for colposcopy; if HPV negative, recommend 3-year follow-up (repeat cotesting or HPV testing alone). Management is based on risk stratification to avoid unnecessary colposcopy.</w:t>
            </w:r>
            <w:r w:rsidRPr="00CB2EC4">
              <w:rPr>
                <w:rFonts w:ascii="Times New Roman" w:hAnsi="Times New Roman" w:cs="Times New Roman"/>
              </w:rPr>
              <w:br/>
              <w:t xml:space="preserve">- ASC-H: Direct referral for colposcopy is </w:t>
            </w:r>
            <w:r w:rsidRPr="00CB2EC4">
              <w:rPr>
                <w:rFonts w:ascii="Times New Roman" w:hAnsi="Times New Roman" w:cs="Times New Roman"/>
              </w:rPr>
              <w:lastRenderedPageBreak/>
              <w:t>recommended without HPV triage, as ASC-H carries a higher risk of high-grade squamous intraepithelial lesion (HSIL) (approximately 24–68%), requiring prompt evaluation to exclude precancerous lesions or cancer.</w:t>
            </w:r>
          </w:p>
        </w:tc>
        <w:tc>
          <w:tcPr>
            <w:tcW w:w="1152" w:type="dxa"/>
            <w:vAlign w:val="center"/>
          </w:tcPr>
          <w:p w14:paraId="1C3407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1510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21A3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49B547" w14:textId="77777777">
        <w:tc>
          <w:tcPr>
            <w:tcW w:w="10656" w:type="dxa"/>
            <w:gridSpan w:val="5"/>
            <w:tcBorders>
              <w:bottom w:val="single" w:sz="6" w:space="0" w:color="auto"/>
            </w:tcBorders>
            <w:vAlign w:val="center"/>
          </w:tcPr>
          <w:p w14:paraId="3DA969B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39: is four-quadrant sampling still necessary for patients with no abnormalities on colposcopy?</w:t>
            </w:r>
          </w:p>
        </w:tc>
      </w:tr>
      <w:tr w:rsidR="00922249" w:rsidRPr="00CB2EC4" w14:paraId="4BD1BB72" w14:textId="77777777">
        <w:tc>
          <w:tcPr>
            <w:tcW w:w="2160" w:type="dxa"/>
            <w:vAlign w:val="center"/>
          </w:tcPr>
          <w:p w14:paraId="51BC1AD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85D9C58"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In the document, for patients with no abnormalities found on colposcopy, expert consensus does not recommend routine four-quadrant biopsy. Specifically, it states: “Given the varying levels of colposcopy physicians in our country and the lack of small biopsy forceps (2–3 mm), caution is advised when performing four-quadrant biopsies in the absence of colposcopic abnormalities. Targeted multiple biopsies under colposcopic guidance are recommended instead.” This indicates that four-quadrant biopsy (i.e., random biopsies taken from all four quadrants of the cervix) should be avoided, as it may increase unnecessary trauma and the risk of misdiagnosis; instead, targeted multiple biopsies guided by colposcopy (i.e., sampling from suspicious areas) are recommended to balance diagnostic accuracy and patient safety.</w:t>
            </w:r>
          </w:p>
        </w:tc>
        <w:tc>
          <w:tcPr>
            <w:tcW w:w="1152" w:type="dxa"/>
            <w:vAlign w:val="center"/>
          </w:tcPr>
          <w:p w14:paraId="7A439C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D143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247C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79CAF5" w14:textId="77777777">
        <w:tc>
          <w:tcPr>
            <w:tcW w:w="2160" w:type="dxa"/>
            <w:vAlign w:val="center"/>
          </w:tcPr>
          <w:p w14:paraId="4810D00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8090DD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For patients with no abnormalities on colposcopy, routine four-quadrant sampling is not required and should be approached with caution. According to Document Fragment 2 (Block Theme: Colposcopy Operation Standards), expert consensus recommends targeted multi-site biopsy guided by colposcopic findings, rather than blind four-quadrant sampling. </w:t>
            </w:r>
            <w:r w:rsidRPr="00CB2EC4">
              <w:rPr>
                <w:rFonts w:ascii="Times New Roman" w:hAnsi="Times New Roman" w:cs="Times New Roman"/>
              </w:rPr>
              <w:lastRenderedPageBreak/>
              <w:t xml:space="preserve">Reasons include:  </w:t>
            </w:r>
            <w:r w:rsidRPr="00CB2EC4">
              <w:rPr>
                <w:rFonts w:ascii="Times New Roman" w:hAnsi="Times New Roman" w:cs="Times New Roman"/>
              </w:rPr>
              <w:br/>
              <w:t xml:space="preserve">  - Variability in colposcopy physician expertise in China and lack of micro-biopsy forceps (2–3 mm), which may lead to unnecessary tissue injury or false-negative results with four-quadrant sampling.  </w:t>
            </w:r>
            <w:r w:rsidRPr="00CB2EC4">
              <w:rPr>
                <w:rFonts w:ascii="Times New Roman" w:hAnsi="Times New Roman" w:cs="Times New Roman"/>
              </w:rPr>
              <w:br/>
              <w:t xml:space="preserve">  - The document explicitly states: “Four-quadrant sampling in the absence of colposcopic abnormalities should be performed cautiously; targeted multi-site biopsy guided by colposcopy is recommended.”  </w:t>
            </w:r>
            <w:r w:rsidRPr="00CB2EC4">
              <w:rPr>
                <w:rFonts w:ascii="Times New Roman" w:hAnsi="Times New Roman" w:cs="Times New Roman"/>
              </w:rPr>
              <w:br/>
              <w:t xml:space="preserve">  Therefore, the management strategy emphasizes targeted biopsy based on specific colposcopic findings to avoid overdiagnosis and overtreatment.  </w:t>
            </w:r>
            <w:r w:rsidRPr="00CB2EC4">
              <w:rPr>
                <w:rFonts w:ascii="Times New Roman" w:hAnsi="Times New Roman" w:cs="Times New Roman"/>
              </w:rPr>
              <w:br/>
              <w:t>- Source: Document Fragment 2 (Block Theme: Colposcopy Operation Standards).</w:t>
            </w:r>
          </w:p>
        </w:tc>
        <w:tc>
          <w:tcPr>
            <w:tcW w:w="1152" w:type="dxa"/>
            <w:vAlign w:val="center"/>
          </w:tcPr>
          <w:p w14:paraId="1E6573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513D4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C610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45DB8B" w14:textId="77777777">
        <w:tc>
          <w:tcPr>
            <w:tcW w:w="2160" w:type="dxa"/>
            <w:vAlign w:val="center"/>
          </w:tcPr>
          <w:p w14:paraId="546BEF3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BC62059" w14:textId="77777777" w:rsidR="00922249" w:rsidRPr="00CB2EC4" w:rsidRDefault="003011D5">
            <w:pPr>
              <w:rPr>
                <w:rFonts w:ascii="Times New Roman" w:hAnsi="Times New Roman" w:cs="Times New Roman"/>
              </w:rPr>
            </w:pPr>
            <w:r w:rsidRPr="00CB2EC4">
              <w:rPr>
                <w:rFonts w:ascii="Times New Roman" w:hAnsi="Times New Roman" w:cs="Times New Roman"/>
              </w:rPr>
              <w:t>no, routine four-quadrant sampling is not required for patients with no abnormalities on colposcopy. instead, targeted multiple biopsies should be performed under colposcopic guidance, not as a routine four-quadrant procedure, to avoid unnecessary invasive interventions and focus on suspicious areas.</w:t>
            </w:r>
          </w:p>
        </w:tc>
        <w:tc>
          <w:tcPr>
            <w:tcW w:w="1152" w:type="dxa"/>
            <w:vAlign w:val="center"/>
          </w:tcPr>
          <w:p w14:paraId="0AD3D5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BAB0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0217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A6F5A4" w14:textId="77777777">
        <w:tc>
          <w:tcPr>
            <w:tcW w:w="2160" w:type="dxa"/>
            <w:vAlign w:val="center"/>
          </w:tcPr>
          <w:p w14:paraId="560417CC"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611BEB4"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For patients with no abnormalities found on colposcopy, routine four-quadrant sampling is not recommended. Instead, targeted biopsies should be performed only at suspicious sites to avoid unnecessary trauma.</w:t>
            </w:r>
            <w:r w:rsidRPr="00CB2EC4">
              <w:rPr>
                <w:rFonts w:ascii="Times New Roman" w:hAnsi="Times New Roman" w:cs="Times New Roman"/>
              </w:rPr>
              <w:br/>
            </w:r>
            <w:r w:rsidRPr="00CB2EC4">
              <w:rPr>
                <w:rFonts w:ascii="Times New Roman" w:hAnsi="Times New Roman" w:cs="Times New Roman"/>
              </w:rPr>
              <w:br/>
              <w:t>- Explicit opposition to untargeted four-quadrant sampling:</w:t>
            </w:r>
            <w:r w:rsidRPr="00CB2EC4">
              <w:rPr>
                <w:rFonts w:ascii="Times New Roman" w:hAnsi="Times New Roman" w:cs="Times New Roman"/>
              </w:rPr>
              <w:br/>
              <w:t xml:space="preserve">  &gt; "Caution should be exercised when performing four-quadrant sampling in the absence of colposcopic abnormalities; targeted multi-site biopsy under </w:t>
            </w:r>
            <w:r w:rsidRPr="00CB2EC4">
              <w:rPr>
                <w:rFonts w:ascii="Times New Roman" w:hAnsi="Times New Roman" w:cs="Times New Roman"/>
              </w:rPr>
              <w:lastRenderedPageBreak/>
              <w:t>colposcopic guidance is recommended."</w:t>
            </w:r>
            <w:r w:rsidRPr="00CB2EC4">
              <w:rPr>
                <w:rFonts w:ascii="Times New Roman" w:hAnsi="Times New Roman" w:cs="Times New Roman"/>
              </w:rPr>
              <w:br/>
              <w:t>- Emphasis on combining lesion localization with sampling to prevent excessive trauma.</w:t>
            </w:r>
            <w:r w:rsidRPr="00CB2EC4">
              <w:rPr>
                <w:rFonts w:ascii="Times New Roman" w:hAnsi="Times New Roman" w:cs="Times New Roman"/>
              </w:rPr>
              <w:br/>
              <w:t>- According to CSCCP colposcopy operation guidelines, blind biopsy should be avoided when no abnormalities are present (source: supplementary content from web search).</w:t>
            </w:r>
            <w:r w:rsidRPr="00CB2EC4">
              <w:rPr>
                <w:rFonts w:ascii="Times New Roman" w:hAnsi="Times New Roman" w:cs="Times New Roman"/>
              </w:rPr>
              <w:br/>
            </w:r>
            <w:r w:rsidRPr="00CB2EC4">
              <w:rPr>
                <w:rFonts w:ascii="Times New Roman" w:hAnsi="Times New Roman" w:cs="Times New Roman"/>
              </w:rPr>
              <w:br/>
              <w:t>Conclusion: Routine four-quadrant sampling is not required; perform targeted biopsy only at suspicious lesions.</w:t>
            </w:r>
          </w:p>
        </w:tc>
        <w:tc>
          <w:tcPr>
            <w:tcW w:w="1152" w:type="dxa"/>
            <w:vAlign w:val="center"/>
          </w:tcPr>
          <w:p w14:paraId="21CDF8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5B6A8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7280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2EE969" w14:textId="77777777">
        <w:tc>
          <w:tcPr>
            <w:tcW w:w="2160" w:type="dxa"/>
            <w:vAlign w:val="center"/>
          </w:tcPr>
          <w:p w14:paraId="0A2A9815"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F1908B7"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according to document excerpt 2 (operational specifications for colposcopy of the cervix), for patients with no abnormalities found on colposcopy, routine quadrant sampling is not recommended. the document emphasizes that quadrant biopsy should be approached with caution and advocates for targeted multi-site biopsy guided by colposcopic findings:  </w:t>
            </w:r>
            <w:r w:rsidRPr="00CB2EC4">
              <w:rPr>
                <w:rFonts w:ascii="Times New Roman" w:hAnsi="Times New Roman" w:cs="Times New Roman"/>
              </w:rPr>
              <w:br/>
              <w:t xml:space="preserve">- "given the varying levels of expertise among colposcopy physicians in china and the lack of micro-biopsy forceps (2~3 mm), quadrant biopsy should be performed cautiously in patients with no colposcopic abnormalities; targeted multi-site biopsy guided by colposcopy is recommended" (excerpt 2).  </w:t>
            </w:r>
            <w:r w:rsidRPr="00CB2EC4">
              <w:rPr>
                <w:rFonts w:ascii="Times New Roman" w:hAnsi="Times New Roman" w:cs="Times New Roman"/>
              </w:rPr>
              <w:br/>
              <w:t>therefore, quadrant sampling is not mandatory and should be based on specific colposcopic observations to avoid unnecessary trauma and overtreatment.</w:t>
            </w:r>
          </w:p>
        </w:tc>
        <w:tc>
          <w:tcPr>
            <w:tcW w:w="1152" w:type="dxa"/>
            <w:vAlign w:val="center"/>
          </w:tcPr>
          <w:p w14:paraId="1E7018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7A96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E592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C01981" w14:textId="77777777">
        <w:tc>
          <w:tcPr>
            <w:tcW w:w="2160" w:type="dxa"/>
            <w:vAlign w:val="center"/>
          </w:tcPr>
          <w:p w14:paraId="5EBD598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121728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According to the contextual information, for patients with no abnormalities found on colposcopy, routine four-quadrant sampling is not recommended. </w:t>
            </w:r>
            <w:r w:rsidRPr="00CB2EC4">
              <w:rPr>
                <w:rFonts w:ascii="Times New Roman" w:hAnsi="Times New Roman" w:cs="Times New Roman"/>
              </w:rPr>
              <w:lastRenderedPageBreak/>
              <w:t xml:space="preserve">Document 2 (fusion score: 0.5116) explicitly states in the section on standardized colposcopy procedures: "Given the uneven level of colposcopy physicians in our country and the lack of small biopsy forceps (2–3 mm), four-quadrant sampling should be approached with caution when no abnormalities are seen on colposcopy; targeted multi-site biopsy guided by colposcopy is recommended." This means:  </w:t>
            </w:r>
            <w:r w:rsidRPr="00CB2EC4">
              <w:rPr>
                <w:rFonts w:ascii="Times New Roman" w:hAnsi="Times New Roman" w:cs="Times New Roman"/>
              </w:rPr>
              <w:br/>
              <w:t xml:space="preserve">- Four-quadrant sampling (i.e., random biopsy in all four cervical quadrants) should only be considered in specific situations and must be done cautiously, as it may increase patient discomfort and disrupt the microenvironment.  </w:t>
            </w:r>
            <w:r w:rsidRPr="00CB2EC4">
              <w:rPr>
                <w:rFonts w:ascii="Times New Roman" w:hAnsi="Times New Roman" w:cs="Times New Roman"/>
              </w:rPr>
              <w:br/>
              <w:t xml:space="preserve">- The preferred method is colposcopy-guided targeted multi-site biopsy (focusing on suspicious areas) to improve diagnostic accuracy and reduce overtreatment.  </w:t>
            </w:r>
            <w:r w:rsidRPr="00CB2EC4">
              <w:rPr>
                <w:rFonts w:ascii="Times New Roman" w:hAnsi="Times New Roman" w:cs="Times New Roman"/>
              </w:rPr>
              <w:br/>
              <w:t>The document does not mandate four-quadrant sampling in the absence of abnormalities and emphasizes individualized management.</w:t>
            </w:r>
          </w:p>
        </w:tc>
        <w:tc>
          <w:tcPr>
            <w:tcW w:w="1152" w:type="dxa"/>
            <w:vAlign w:val="center"/>
          </w:tcPr>
          <w:p w14:paraId="1B338B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38E7F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B069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C10405F" w14:textId="77777777">
        <w:tc>
          <w:tcPr>
            <w:tcW w:w="2160" w:type="dxa"/>
            <w:vAlign w:val="center"/>
          </w:tcPr>
          <w:p w14:paraId="129F0CC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ABA20DB"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based on the document content, for patients with no abnormalities found on colposcopy, routine four-quadrant sampling is not recommended. the specific explanation is as follows:  </w:t>
            </w:r>
            <w:r w:rsidRPr="00CB2EC4">
              <w:rPr>
                <w:rFonts w:ascii="Times New Roman" w:hAnsi="Times New Roman" w:cs="Times New Roman"/>
              </w:rPr>
              <w:br/>
              <w:t xml:space="preserve">- the document clearly states: "given the varying levels of colposcopy physicians in our country and the lack of small biopsy forceps (2~3 mm), four-quadrant sampling performed when no abnormality is seen on colposcopy should be approached with caution; targeted multi-site biopsy under colposcopic guidance is recommended."  </w:t>
            </w:r>
            <w:r w:rsidRPr="00CB2EC4">
              <w:rPr>
                <w:rFonts w:ascii="Times New Roman" w:hAnsi="Times New Roman" w:cs="Times New Roman"/>
              </w:rPr>
              <w:br/>
              <w:t xml:space="preserve">- this means that when no abnormality is detected on </w:t>
            </w:r>
            <w:r w:rsidRPr="00CB2EC4">
              <w:rPr>
                <w:rFonts w:ascii="Times New Roman" w:hAnsi="Times New Roman" w:cs="Times New Roman"/>
              </w:rPr>
              <w:lastRenderedPageBreak/>
              <w:t xml:space="preserve">colposcopy, four-quadrant sampling (i.e., random four-quadrant biopsy) should be used cautiously to avoid unnecessary trauma and false-positive risks; priority should be given to targeted multi-site biopsy under colposcopic guidance (e.g., targeting suspicious areas).  </w:t>
            </w:r>
            <w:r w:rsidRPr="00CB2EC4">
              <w:rPr>
                <w:rFonts w:ascii="Times New Roman" w:hAnsi="Times New Roman" w:cs="Times New Roman"/>
              </w:rPr>
              <w:br/>
              <w:t xml:space="preserve">(source: [hyde similarity: 0.568]).  </w:t>
            </w:r>
            <w:r w:rsidRPr="00CB2EC4">
              <w:rPr>
                <w:rFonts w:ascii="Times New Roman" w:hAnsi="Times New Roman" w:cs="Times New Roman"/>
              </w:rPr>
              <w:br/>
              <w:t>therefore, routine four-quadrant sampling is not required; targeted multi-site biopsy should be adopted instead.</w:t>
            </w:r>
          </w:p>
        </w:tc>
        <w:tc>
          <w:tcPr>
            <w:tcW w:w="1152" w:type="dxa"/>
            <w:vAlign w:val="center"/>
          </w:tcPr>
          <w:p w14:paraId="518B67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0889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8F57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74D1DA" w14:textId="77777777">
        <w:tc>
          <w:tcPr>
            <w:tcW w:w="2160" w:type="dxa"/>
            <w:vAlign w:val="center"/>
          </w:tcPr>
          <w:p w14:paraId="1682735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58FFA78"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According to Document Fragment 3: "Given the varying levels of expertise among colposcopists in our country and the lack of small biopsy forceps (2~3 mm), quadrant sampling in cases with no colposcopic abnormalities should be undertaken with caution. Targeted multi-site biopsy guided by colposcopy is recommended." Therefore, for patients with no abnormal findings on colposcopy, routine quadrant sampling (i.e., random sampling from all four quadrants of the cervix) is not recommended, as it should be approached cautiously due to the risk of unnecessary injury and false-negative results. Expert consensus supports targeted multi-site biopsy under colposcopic guidance, which involves sampling based on suspicious lesion areas to improve accuracy and reduce overtreatment.</w:t>
            </w:r>
          </w:p>
        </w:tc>
        <w:tc>
          <w:tcPr>
            <w:tcW w:w="1152" w:type="dxa"/>
            <w:vAlign w:val="center"/>
          </w:tcPr>
          <w:p w14:paraId="1F889E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474D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7938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1624FC" w14:textId="77777777">
        <w:tc>
          <w:tcPr>
            <w:tcW w:w="2160" w:type="dxa"/>
            <w:vAlign w:val="center"/>
          </w:tcPr>
          <w:p w14:paraId="7AA3989F"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122F27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r>
            <w:r w:rsidRPr="00CB2EC4">
              <w:rPr>
                <w:rFonts w:ascii="Times New Roman" w:hAnsi="Times New Roman" w:cs="Times New Roman"/>
              </w:rPr>
              <w:br/>
              <w:t xml:space="preserve">according to the document ("3 Colposcopic Examination of the Cervix: Operational Specifications" section):  </w:t>
            </w:r>
            <w:r w:rsidRPr="00CB2EC4">
              <w:rPr>
                <w:rFonts w:ascii="Times New Roman" w:hAnsi="Times New Roman" w:cs="Times New Roman"/>
              </w:rPr>
              <w:br/>
            </w:r>
            <w:r w:rsidRPr="00CB2EC4">
              <w:rPr>
                <w:rFonts w:ascii="Times New Roman" w:hAnsi="Times New Roman" w:cs="Times New Roman"/>
              </w:rPr>
              <w:lastRenderedPageBreak/>
              <w:t xml:space="preserve">- "given the varying levels of expertise among colposcopists in china, the lack of micro-biopsy forceps, caution is advised when performing quadrant biopsies in cases where no abnormalities are found on colposcopy"  </w:t>
            </w:r>
            <w:r w:rsidRPr="00CB2EC4">
              <w:rPr>
                <w:rFonts w:ascii="Times New Roman" w:hAnsi="Times New Roman" w:cs="Times New Roman"/>
              </w:rPr>
              <w:br/>
              <w:t xml:space="preserve">- recommended alternative: targeted multi-site biopsy under colposcopic guidance (to avoid blind sampling)  </w:t>
            </w:r>
            <w:r w:rsidRPr="00CB2EC4">
              <w:rPr>
                <w:rFonts w:ascii="Times New Roman" w:hAnsi="Times New Roman" w:cs="Times New Roman"/>
              </w:rPr>
              <w:br/>
              <w:t>- simultaneously emphasizes the need to strengthen colposcopy training and quality control</w:t>
            </w:r>
          </w:p>
        </w:tc>
        <w:tc>
          <w:tcPr>
            <w:tcW w:w="1152" w:type="dxa"/>
            <w:vAlign w:val="center"/>
          </w:tcPr>
          <w:p w14:paraId="64BD80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4F589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B934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0D2454" w14:textId="77777777">
        <w:tc>
          <w:tcPr>
            <w:tcW w:w="2160" w:type="dxa"/>
            <w:vAlign w:val="center"/>
          </w:tcPr>
          <w:p w14:paraId="1295B80F"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4C2C921"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Based on the provided document fragment 4:  </w:t>
            </w:r>
            <w:r w:rsidRPr="00CB2EC4">
              <w:rPr>
                <w:rFonts w:ascii="Times New Roman" w:hAnsi="Times New Roman" w:cs="Times New Roman"/>
              </w:rPr>
              <w:br/>
              <w:t xml:space="preserve">"Given the varying skill levels of colposcopists in China and the lack of miniature biopsy forceps (2–3 mm), caution should be exercised when performing quadrant sampling in cases where no abnormalities are detected during colposcopy. Targeted multi-point biopsy under colposcopic guidance is recommended..."  </w:t>
            </w:r>
            <w:r w:rsidRPr="00CB2EC4">
              <w:rPr>
                <w:rFonts w:ascii="Times New Roman" w:hAnsi="Times New Roman" w:cs="Times New Roman"/>
              </w:rPr>
              <w:br/>
              <w:t>→ For patients with no abnormalities found on colposcopy, routine quadrant sampling is not recommended. Instead, targeted multi-point biopsy under colposcopic guidance is advised to avoid unnecessary trauma and overdiagnosis.</w:t>
            </w:r>
          </w:p>
        </w:tc>
        <w:tc>
          <w:tcPr>
            <w:tcW w:w="1152" w:type="dxa"/>
            <w:vAlign w:val="center"/>
          </w:tcPr>
          <w:p w14:paraId="0FAABA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CFEC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AB3D5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13C7F3" w14:textId="77777777">
        <w:tc>
          <w:tcPr>
            <w:tcW w:w="2160" w:type="dxa"/>
            <w:vAlign w:val="center"/>
          </w:tcPr>
          <w:p w14:paraId="733798BB"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6EB458E"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For patients with no abnormalities found on colposcopy, routine quadrant sampling is not recommended. The document explicitly states: “Given the varying levels of colposcopy physicians in our country and the lack of small biopsy forceps (2~3 mm), quadrant sampling performed without colposcopic abnormalities should be approached with </w:t>
            </w:r>
            <w:r w:rsidRPr="00CB2EC4">
              <w:rPr>
                <w:rFonts w:ascii="Times New Roman" w:hAnsi="Times New Roman" w:cs="Times New Roman"/>
              </w:rPr>
              <w:lastRenderedPageBreak/>
              <w:t>caution. Targeted multi-site biopsy guided by colposcopy is recommended.” This emphasizes avoiding blind quadrant sampling and instead performing targeted biopsies under colposcopic guidance to reduce unnecessary trauma and overtreatment.</w:t>
            </w:r>
          </w:p>
        </w:tc>
        <w:tc>
          <w:tcPr>
            <w:tcW w:w="1152" w:type="dxa"/>
            <w:vAlign w:val="center"/>
          </w:tcPr>
          <w:p w14:paraId="7AD829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1C5E0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39A2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955E99" w14:textId="77777777">
        <w:tc>
          <w:tcPr>
            <w:tcW w:w="2160" w:type="dxa"/>
            <w:vAlign w:val="center"/>
          </w:tcPr>
          <w:p w14:paraId="7EEA91A9"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7E2FF2D" w14:textId="77777777" w:rsidR="00922249" w:rsidRPr="00CB2EC4" w:rsidRDefault="003011D5">
            <w:pPr>
              <w:rPr>
                <w:rFonts w:ascii="Times New Roman" w:hAnsi="Times New Roman" w:cs="Times New Roman"/>
              </w:rPr>
            </w:pPr>
            <w:r w:rsidRPr="00CB2EC4">
              <w:rPr>
                <w:rFonts w:ascii="Times New Roman" w:hAnsi="Times New Roman" w:cs="Times New Roman"/>
              </w:rPr>
              <w:t>no. For patients with no abnormal findings on colposcopy, routine four-quadrant sampling is not recommended. Caution should be exercised, and targeted multi-site biopsy under colposcopic guidance is advised.</w:t>
            </w:r>
            <w:r w:rsidRPr="00CB2EC4">
              <w:rPr>
                <w:rFonts w:ascii="Times New Roman" w:hAnsi="Times New Roman" w:cs="Times New Roman"/>
              </w:rPr>
              <w:br/>
            </w:r>
            <w:r w:rsidRPr="00CB2EC4">
              <w:rPr>
                <w:rFonts w:ascii="Times New Roman" w:hAnsi="Times New Roman" w:cs="Times New Roman"/>
              </w:rPr>
              <w:br/>
              <w:t>- Based on the context:</w:t>
            </w:r>
            <w:r w:rsidRPr="00CB2EC4">
              <w:rPr>
                <w:rFonts w:ascii="Times New Roman" w:hAnsi="Times New Roman" w:cs="Times New Roman"/>
              </w:rPr>
              <w:br/>
              <w:t xml:space="preserve">  - Document excerpt 2 (relevance: 0.6649) explicitly states: "Given the variability in colposcopy expertise in our country and the lack of small biopsy forceps (2~3 mm), caution is warranted when performing four-quadrant sampling in the absence of colposcopic abnormalities. Targeted multi-site biopsy under colposcopic guidance is recommended, along with strengthening colposcopy training and quality control."</w:t>
            </w:r>
            <w:r w:rsidRPr="00CB2EC4">
              <w:rPr>
                <w:rFonts w:ascii="Times New Roman" w:hAnsi="Times New Roman" w:cs="Times New Roman"/>
              </w:rPr>
              <w:br/>
              <w:t>- Additional note: The context emphasizes that four-quadrant sampling (i.e., random biopsy) may lead to overtreatment or complications, especially in resource-limited settings. Therefore, biopsy should be performed only when suspicious lesions are identified during colposcopy, avoiding routine sampling when no abnormalities are present.</w:t>
            </w:r>
          </w:p>
        </w:tc>
        <w:tc>
          <w:tcPr>
            <w:tcW w:w="1152" w:type="dxa"/>
            <w:vAlign w:val="center"/>
          </w:tcPr>
          <w:p w14:paraId="2A6421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6E1E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84D2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9E935D" w14:textId="77777777">
        <w:tc>
          <w:tcPr>
            <w:tcW w:w="2160" w:type="dxa"/>
            <w:vAlign w:val="center"/>
          </w:tcPr>
          <w:p w14:paraId="405AE76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A6D2440"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Based on the contextual information (Fragment 2, Section 3. Operational Standards for Colposcopic </w:t>
            </w:r>
            <w:r w:rsidRPr="00CB2EC4">
              <w:rPr>
                <w:rFonts w:ascii="Times New Roman" w:hAnsi="Times New Roman" w:cs="Times New Roman"/>
              </w:rPr>
              <w:lastRenderedPageBreak/>
              <w:t>Examination of the Cervix), for patients with no abnormal findings on colposcopy, routine four-quadrant sampling is not required.</w:t>
            </w:r>
            <w:r w:rsidRPr="00CB2EC4">
              <w:rPr>
                <w:rFonts w:ascii="Times New Roman" w:hAnsi="Times New Roman" w:cs="Times New Roman"/>
              </w:rPr>
              <w:br/>
            </w:r>
            <w:r w:rsidRPr="00CB2EC4">
              <w:rPr>
                <w:rFonts w:ascii="Times New Roman" w:hAnsi="Times New Roman" w:cs="Times New Roman"/>
              </w:rPr>
              <w:br/>
              <w:t>Explanation: The context explicitly states: “For cases where no abnormality is found on colposcopy, four-quadrant sampling should be performed with caution; targeted multi-site biopsy under colposcopic guidance is recommended.” This means:</w:t>
            </w:r>
            <w:r w:rsidRPr="00CB2EC4">
              <w:rPr>
                <w:rFonts w:ascii="Times New Roman" w:hAnsi="Times New Roman" w:cs="Times New Roman"/>
              </w:rPr>
              <w:br/>
              <w:t>- Blind four-quadrant sampling (i.e., taking biopsies from all four quadrants of the cervix without specific visual guidance) is not recommended, as it may increase patient discomfort and disrupt the microenvironment.</w:t>
            </w:r>
            <w:r w:rsidRPr="00CB2EC4">
              <w:rPr>
                <w:rFonts w:ascii="Times New Roman" w:hAnsi="Times New Roman" w:cs="Times New Roman"/>
              </w:rPr>
              <w:br/>
              <w:t>- Priority should be given to “targeted multi-site biopsy under colposcopic guidance,” which involves sampling only when suspicious areas are identified during colposcopy.</w:t>
            </w:r>
            <w:r w:rsidRPr="00CB2EC4">
              <w:rPr>
                <w:rFonts w:ascii="Times New Roman" w:hAnsi="Times New Roman" w:cs="Times New Roman"/>
              </w:rPr>
              <w:br/>
              <w:t>- This recommendation considers the variability in colposcopy expertise among physicians in China and the lack of availability of micro-biopsy forceps, emphasizing the avoidance of unnecessary invasive procedures.</w:t>
            </w:r>
          </w:p>
        </w:tc>
        <w:tc>
          <w:tcPr>
            <w:tcW w:w="1152" w:type="dxa"/>
            <w:vAlign w:val="center"/>
          </w:tcPr>
          <w:p w14:paraId="48149B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9B2E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562A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D9EE461" w14:textId="77777777">
        <w:tc>
          <w:tcPr>
            <w:tcW w:w="2160" w:type="dxa"/>
            <w:vAlign w:val="center"/>
          </w:tcPr>
          <w:p w14:paraId="4B883BA3"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4464C8C9"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for patients with no abnormal findings on colposcopy, if the examination is satisfactory (i.e., the entire transformation zone is fully visible) and there are no other high-risk factors (such as a history of high-grade lesions or persistent HPV infection), routine four-quadrant sampling is generally not required. the decision to sample should be based on individualized risk assessment: if initial screening results indicate high risk (e.g., HPV 16/18 positive or prior </w:t>
            </w:r>
            <w:r w:rsidRPr="00CB2EC4">
              <w:rPr>
                <w:rFonts w:ascii="Times New Roman" w:hAnsi="Times New Roman" w:cs="Times New Roman"/>
              </w:rPr>
              <w:lastRenderedPageBreak/>
              <w:t>abnormality), targeted sampling may be considered; otherwise, follow-up is sufficient. guidelines emphasize avoiding excessive sampling to reduce unnecessary trauma.</w:t>
            </w:r>
          </w:p>
        </w:tc>
        <w:tc>
          <w:tcPr>
            <w:tcW w:w="1152" w:type="dxa"/>
            <w:vAlign w:val="center"/>
          </w:tcPr>
          <w:p w14:paraId="6977A8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E853C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700C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1DD63B" w14:textId="77777777">
        <w:tc>
          <w:tcPr>
            <w:tcW w:w="10656" w:type="dxa"/>
            <w:gridSpan w:val="5"/>
            <w:tcBorders>
              <w:bottom w:val="single" w:sz="6" w:space="0" w:color="auto"/>
            </w:tcBorders>
            <w:vAlign w:val="center"/>
          </w:tcPr>
          <w:p w14:paraId="23AC1E94" w14:textId="77777777" w:rsidR="00922249" w:rsidRPr="00CB2EC4" w:rsidRDefault="003011D5">
            <w:pPr>
              <w:rPr>
                <w:rFonts w:ascii="Times New Roman" w:hAnsi="Times New Roman" w:cs="Times New Roman"/>
              </w:rPr>
            </w:pPr>
            <w:r w:rsidRPr="00CB2EC4">
              <w:rPr>
                <w:rFonts w:ascii="Times New Roman" w:hAnsi="Times New Roman" w:cs="Times New Roman"/>
                <w:b/>
              </w:rPr>
              <w:t>Question 40: what are the differences in cervical cancer screening and management strategies for women during pregnancy?</w:t>
            </w:r>
          </w:p>
        </w:tc>
      </w:tr>
      <w:tr w:rsidR="00922249" w:rsidRPr="00CB2EC4" w14:paraId="4909FC31" w14:textId="77777777">
        <w:tc>
          <w:tcPr>
            <w:tcW w:w="2160" w:type="dxa"/>
            <w:vAlign w:val="center"/>
          </w:tcPr>
          <w:p w14:paraId="1CB04D5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2937CB0"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In the document, special adjustments are made for cervical cancer screening and management strategies in pregnant women:  </w:t>
            </w:r>
            <w:r w:rsidRPr="00CB2EC4">
              <w:rPr>
                <w:rFonts w:ascii="Times New Roman" w:hAnsi="Times New Roman" w:cs="Times New Roman"/>
              </w:rPr>
              <w:br/>
              <w:t xml:space="preserve">- Screening strategy: Pregnant women can undergo routine cervical cancer screening (such as cytological examination), but risks must be considered. The document states that in the management flow for histologically confirmed LSIL, "for pregnant patients, cytology plus colposcopy should be performed every 10–12 weeks." This emphasizes regular monitoring rather than immediate intervention.  </w:t>
            </w:r>
            <w:r w:rsidRPr="00CB2EC4">
              <w:rPr>
                <w:rFonts w:ascii="Times New Roman" w:hAnsi="Times New Roman" w:cs="Times New Roman"/>
              </w:rPr>
              <w:br/>
              <w:t xml:space="preserve">- Management strategy: If invasive cancer is not detected, treatment should be deferred until after delivery. Specifically: "If no invasive cancer is found, defer to 6–8 weeks postpartum for repeat testing (cytology + colposcopy + ECC)." If the postpartum re-evaluation shows no CIN II+ lesions, transition to routine screening; if abnormalities are found, manage according to standard protocols (such as diagnostic conization). If suspicious invasive cancer is detected during pregnancy, immediate diagnostic conization is required.  </w:t>
            </w:r>
            <w:r w:rsidRPr="00CB2EC4">
              <w:rPr>
                <w:rFonts w:ascii="Times New Roman" w:hAnsi="Times New Roman" w:cs="Times New Roman"/>
              </w:rPr>
              <w:br/>
              <w:t xml:space="preserve">This strategy aims to avoid fetal risks, prioritize conservative monitoring, and assess and manage lesions postpartum. The document does not mention that certain screening methods (such as HPV testing) </w:t>
            </w:r>
            <w:r w:rsidRPr="00CB2EC4">
              <w:rPr>
                <w:rFonts w:ascii="Times New Roman" w:hAnsi="Times New Roman" w:cs="Times New Roman"/>
              </w:rPr>
              <w:lastRenderedPageBreak/>
              <w:t>are contraindicated in pregnancy but emphasizes individualized management based on patient wishes and clinical presentation.</w:t>
            </w:r>
          </w:p>
        </w:tc>
        <w:tc>
          <w:tcPr>
            <w:tcW w:w="1152" w:type="dxa"/>
            <w:vAlign w:val="center"/>
          </w:tcPr>
          <w:p w14:paraId="5F2338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5362C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A4736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4E295BF" w14:textId="77777777">
        <w:tc>
          <w:tcPr>
            <w:tcW w:w="2160" w:type="dxa"/>
            <w:vAlign w:val="center"/>
          </w:tcPr>
          <w:p w14:paraId="1F1CC01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D02E9F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screening and management strategies for cervical cancer in pregnant women differ from those in non-pregnant women, primarily emphasizing safety and deferring invasive procedures (based on Document Fragment 7 and Document Fragment 17):  </w:t>
            </w:r>
            <w:r w:rsidRPr="00CB2EC4">
              <w:rPr>
                <w:rFonts w:ascii="Times New Roman" w:hAnsi="Times New Roman" w:cs="Times New Roman"/>
              </w:rPr>
              <w:br/>
              <w:t xml:space="preserve">  - Screening strategy:  </w:t>
            </w:r>
            <w:r w:rsidRPr="00CB2EC4">
              <w:rPr>
                <w:rFonts w:ascii="Times New Roman" w:hAnsi="Times New Roman" w:cs="Times New Roman"/>
              </w:rPr>
              <w:br/>
              <w:t xml:space="preserve">    - Cervical cancer screening can be performed during pregnancy, with priority given to cytological examination (conventional Pap smear or liquid-based cytology), combined with HPV testing when necessary.  </w:t>
            </w:r>
            <w:r w:rsidRPr="00CB2EC4">
              <w:rPr>
                <w:rFonts w:ascii="Times New Roman" w:hAnsi="Times New Roman" w:cs="Times New Roman"/>
              </w:rPr>
              <w:br/>
              <w:t xml:space="preserve">    - Methods that may affect the fetus, such as ECC (endocervical curettage), are generally not recommended during pregnancy.  </w:t>
            </w:r>
            <w:r w:rsidRPr="00CB2EC4">
              <w:rPr>
                <w:rFonts w:ascii="Times New Roman" w:hAnsi="Times New Roman" w:cs="Times New Roman"/>
              </w:rPr>
              <w:br/>
              <w:t xml:space="preserve">  - Management strategy:  </w:t>
            </w:r>
            <w:r w:rsidRPr="00CB2EC4">
              <w:rPr>
                <w:rFonts w:ascii="Times New Roman" w:hAnsi="Times New Roman" w:cs="Times New Roman"/>
              </w:rPr>
              <w:br/>
              <w:t xml:space="preserve">    - When no invasive cancer is found: monitor with cytology and colposcopy every 10–12 weeks. If no invasive cancer is detected, defer management until 6–8 weeks postpartum for re-evaluation (including cytology + colposcopy + ECC).  </w:t>
            </w:r>
            <w:r w:rsidRPr="00CB2EC4">
              <w:rPr>
                <w:rFonts w:ascii="Times New Roman" w:hAnsi="Times New Roman" w:cs="Times New Roman"/>
              </w:rPr>
              <w:br/>
              <w:t xml:space="preserve">    - When abnormalities are detected:  </w:t>
            </w:r>
            <w:r w:rsidRPr="00CB2EC4">
              <w:rPr>
                <w:rFonts w:ascii="Times New Roman" w:hAnsi="Times New Roman" w:cs="Times New Roman"/>
              </w:rPr>
              <w:br/>
              <w:t xml:space="preserve">      - Cervical cancer diagnosed before 16–20 weeks of gestation: prompt treatment (surgery or chemoradiation) is recommended, as early intervention reduces risk.  </w:t>
            </w:r>
            <w:r w:rsidRPr="00CB2EC4">
              <w:rPr>
                <w:rFonts w:ascii="Times New Roman" w:hAnsi="Times New Roman" w:cs="Times New Roman"/>
              </w:rPr>
              <w:br/>
              <w:t xml:space="preserve">      - Cervical cancer diagnosed after 20 weeks of gestation (e.g., stages IA2–IB2): definitive radical treatment may be delayed until after delivery, with monitoring every 10–12 weeks; if intervention is needed, neoadjuvant chemotherapy may be used to control progression.  </w:t>
            </w:r>
            <w:r w:rsidRPr="00CB2EC4">
              <w:rPr>
                <w:rFonts w:ascii="Times New Roman" w:hAnsi="Times New Roman" w:cs="Times New Roman"/>
              </w:rPr>
              <w:br/>
            </w:r>
            <w:r w:rsidRPr="00CB2EC4">
              <w:rPr>
                <w:rFonts w:ascii="Times New Roman" w:hAnsi="Times New Roman" w:cs="Times New Roman"/>
              </w:rPr>
              <w:lastRenderedPageBreak/>
              <w:t xml:space="preserve">      - Postpartum follow-up: if no CIN II+ is found, transition to routine screening; if CIN II+ is detected, perform diagnostic or therapeutic cervical excision.  </w:t>
            </w:r>
            <w:r w:rsidRPr="00CB2EC4">
              <w:rPr>
                <w:rFonts w:ascii="Times New Roman" w:hAnsi="Times New Roman" w:cs="Times New Roman"/>
              </w:rPr>
              <w:br/>
              <w:t xml:space="preserve">    - Rationale: hormonal changes during pregnancy may alter cervical appearance; management must balance maternal and fetal safety to avoid preterm birth or fetal injury. The documents emphasize that "management of pregnant patients should follow individualized principles, referencing clinical presentation and available medical resources."  </w:t>
            </w:r>
            <w:r w:rsidRPr="00CB2EC4">
              <w:rPr>
                <w:rFonts w:ascii="Times New Roman" w:hAnsi="Times New Roman" w:cs="Times New Roman"/>
              </w:rPr>
              <w:br/>
              <w:t xml:space="preserve">  - Source: Document Fragment 7 (Block Topic: Screening Process for Cervical Cancer in Pregnancy) and Document Fragment 17 (Block Topic: Management Principles for Cervical Cancer in Pregnancy).</w:t>
            </w:r>
          </w:p>
        </w:tc>
        <w:tc>
          <w:tcPr>
            <w:tcW w:w="1152" w:type="dxa"/>
            <w:vAlign w:val="center"/>
          </w:tcPr>
          <w:p w14:paraId="63D72D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0E766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853E0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172E3AD" w14:textId="77777777">
        <w:tc>
          <w:tcPr>
            <w:tcW w:w="2160" w:type="dxa"/>
            <w:vAlign w:val="center"/>
          </w:tcPr>
          <w:p w14:paraId="2397925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8D6A253" w14:textId="77777777" w:rsidR="00922249" w:rsidRPr="00CB2EC4" w:rsidRDefault="003011D5">
            <w:pPr>
              <w:rPr>
                <w:rFonts w:ascii="Times New Roman" w:hAnsi="Times New Roman" w:cs="Times New Roman"/>
              </w:rPr>
            </w:pPr>
            <w:r w:rsidRPr="00CB2EC4">
              <w:rPr>
                <w:rFonts w:ascii="Times New Roman" w:hAnsi="Times New Roman" w:cs="Times New Roman"/>
              </w:rPr>
              <w:t>the screening and management strategies for cervical cancer in pregnant women differ from those in non-pregnant women, with a focus on excluding invasive cancer, avoiding invasive procedures, and prioritizing fetal safety. key strategies include:</w:t>
            </w:r>
            <w:r w:rsidRPr="00CB2EC4">
              <w:rPr>
                <w:rFonts w:ascii="Times New Roman" w:hAnsi="Times New Roman" w:cs="Times New Roman"/>
              </w:rPr>
              <w:br/>
            </w:r>
            <w:r w:rsidRPr="00CB2EC4">
              <w:rPr>
                <w:rFonts w:ascii="Times New Roman" w:hAnsi="Times New Roman" w:cs="Times New Roman"/>
              </w:rPr>
              <w:br/>
              <w:t>- screening strategy:</w:t>
            </w:r>
            <w:r w:rsidRPr="00CB2EC4">
              <w:rPr>
                <w:rFonts w:ascii="Times New Roman" w:hAnsi="Times New Roman" w:cs="Times New Roman"/>
              </w:rPr>
              <w:br/>
              <w:t xml:space="preserve">  - strengthen prenatal cytology as a routine item (fragment 4) to achieve early detection and early treatment.</w:t>
            </w:r>
            <w:r w:rsidRPr="00CB2EC4">
              <w:rPr>
                <w:rFonts w:ascii="Times New Roman" w:hAnsi="Times New Roman" w:cs="Times New Roman"/>
              </w:rPr>
              <w:br/>
              <w:t xml:space="preserve">  - screening methods are similar to non-pregnant women (e.g., cytology), but management is more conservative to avoid high-risk interventions.</w:t>
            </w:r>
            <w:r w:rsidRPr="00CB2EC4">
              <w:rPr>
                <w:rFonts w:ascii="Times New Roman" w:hAnsi="Times New Roman" w:cs="Times New Roman"/>
              </w:rPr>
              <w:br/>
              <w:t>- management strategy:</w:t>
            </w:r>
            <w:r w:rsidRPr="00CB2EC4">
              <w:rPr>
                <w:rFonts w:ascii="Times New Roman" w:hAnsi="Times New Roman" w:cs="Times New Roman"/>
              </w:rPr>
              <w:br/>
              <w:t xml:space="preserve">  - regular monitoring: if no evidence of invasive cancer, perform cytology and colposcopy every 10–12 weeks (fragments 6, 8, 10) to closely monitor lesion changes.</w:t>
            </w:r>
            <w:r w:rsidRPr="00CB2EC4">
              <w:rPr>
                <w:rFonts w:ascii="Times New Roman" w:hAnsi="Times New Roman" w:cs="Times New Roman"/>
              </w:rPr>
              <w:br/>
              <w:t xml:space="preserve">  - defer invasive treatment:</w:t>
            </w:r>
            <w:r w:rsidRPr="00CB2EC4">
              <w:rPr>
                <w:rFonts w:ascii="Times New Roman" w:hAnsi="Times New Roman" w:cs="Times New Roman"/>
              </w:rPr>
              <w:br/>
            </w:r>
            <w:r w:rsidRPr="00CB2EC4">
              <w:rPr>
                <w:rFonts w:ascii="Times New Roman" w:hAnsi="Times New Roman" w:cs="Times New Roman"/>
              </w:rPr>
              <w:lastRenderedPageBreak/>
              <w:t xml:space="preserve">    - avoid therapeutic conization due to high complication rates (20%~30%) and high residual cancer rates (43.6%) (fragment 5).</w:t>
            </w:r>
            <w:r w:rsidRPr="00CB2EC4">
              <w:rPr>
                <w:rFonts w:ascii="Times New Roman" w:hAnsi="Times New Roman" w:cs="Times New Roman"/>
              </w:rPr>
              <w:br/>
              <w:t xml:space="preserve">    - for cervical intraepithelial neoplasia (CIN):</w:t>
            </w:r>
            <w:r w:rsidRPr="00CB2EC4">
              <w:rPr>
                <w:rFonts w:ascii="Times New Roman" w:hAnsi="Times New Roman" w:cs="Times New Roman"/>
              </w:rPr>
              <w:br/>
              <w:t xml:space="preserve">      - CIN I–II: may continue pregnancy under close observation until full-term delivery, with follow-up 6–8 weeks postpartum; if still CIN I–II at 6 months postpartum, manage as non-pregnant cases (fragment 11).</w:t>
            </w:r>
            <w:r w:rsidRPr="00CB2EC4">
              <w:rPr>
                <w:rFonts w:ascii="Times New Roman" w:hAnsi="Times New Roman" w:cs="Times New Roman"/>
              </w:rPr>
              <w:br/>
              <w:t xml:space="preserve">      - CIN III: decide based on gestational age and patient preference, possibly terminating pregnancy or observing until fetal viability (fragment 11).</w:t>
            </w:r>
            <w:r w:rsidRPr="00CB2EC4">
              <w:rPr>
                <w:rFonts w:ascii="Times New Roman" w:hAnsi="Times New Roman" w:cs="Times New Roman"/>
              </w:rPr>
              <w:br/>
              <w:t xml:space="preserve">    - for cervical cancer:</w:t>
            </w:r>
            <w:r w:rsidRPr="00CB2EC4">
              <w:rPr>
                <w:rFonts w:ascii="Times New Roman" w:hAnsi="Times New Roman" w:cs="Times New Roman"/>
              </w:rPr>
              <w:br/>
              <w:t xml:space="preserve">      - diagnosed before 16–20 weeks of gestation: treat promptly (surgery or chemoradiation) (fragment 9).</w:t>
            </w:r>
            <w:r w:rsidRPr="00CB2EC4">
              <w:rPr>
                <w:rFonts w:ascii="Times New Roman" w:hAnsi="Times New Roman" w:cs="Times New Roman"/>
              </w:rPr>
              <w:br/>
              <w:t xml:space="preserve">      - diagnosed after 20 weeks (e.g., IA2–IB stage): may defer radical treatment until after delivery, with no worse outcomes than non-pregnant patients; consider cesarean section with radical surgery at delivery (fragments 5, 9).</w:t>
            </w:r>
            <w:r w:rsidRPr="00CB2EC4">
              <w:rPr>
                <w:rFonts w:ascii="Times New Roman" w:hAnsi="Times New Roman" w:cs="Times New Roman"/>
              </w:rPr>
              <w:br/>
              <w:t xml:space="preserve">      - neoadjuvant chemotherapy can be used to halt disease progression (fragment 9).</w:t>
            </w:r>
            <w:r w:rsidRPr="00CB2EC4">
              <w:rPr>
                <w:rFonts w:ascii="Times New Roman" w:hAnsi="Times New Roman" w:cs="Times New Roman"/>
              </w:rPr>
              <w:br/>
              <w:t xml:space="preserve">  - postpartum follow-up: conduct cytology, colposcopy, and endocervical curettage (ECC) 6–8 weeks postpartum; if no CIN II+ is found, transition to routine screening; if abnormal, manage according to protocol (fragments 6, 10).</w:t>
            </w:r>
            <w:r w:rsidRPr="00CB2EC4">
              <w:rPr>
                <w:rFonts w:ascii="Times New Roman" w:hAnsi="Times New Roman" w:cs="Times New Roman"/>
              </w:rPr>
              <w:br/>
              <w:t xml:space="preserve">  - management for special populations: e.g., for ASC-H in pregnancy, repeat testing every 10–12 weeks to exclude invasive cancer (fragment 10).</w:t>
            </w:r>
            <w:r w:rsidRPr="00CB2EC4">
              <w:rPr>
                <w:rFonts w:ascii="Times New Roman" w:hAnsi="Times New Roman" w:cs="Times New Roman"/>
              </w:rPr>
              <w:br/>
              <w:t xml:space="preserve">in summary, the strategy during pregnancy emphasizes non-invasive monitoring, deferral of treatment until postpartum or when fetal safety is ensured, and individualized management to balance </w:t>
            </w:r>
            <w:r w:rsidRPr="00CB2EC4">
              <w:rPr>
                <w:rFonts w:ascii="Times New Roman" w:hAnsi="Times New Roman" w:cs="Times New Roman"/>
              </w:rPr>
              <w:lastRenderedPageBreak/>
              <w:t>maternal and fetal health.</w:t>
            </w:r>
          </w:p>
        </w:tc>
        <w:tc>
          <w:tcPr>
            <w:tcW w:w="1152" w:type="dxa"/>
            <w:vAlign w:val="center"/>
          </w:tcPr>
          <w:p w14:paraId="2D1E07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421A9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6E38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1338CA" w14:textId="77777777">
        <w:tc>
          <w:tcPr>
            <w:tcW w:w="2160" w:type="dxa"/>
            <w:vAlign w:val="center"/>
          </w:tcPr>
          <w:p w14:paraId="2F95276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0816A106" w14:textId="77777777" w:rsidR="00922249" w:rsidRPr="00CB2EC4" w:rsidRDefault="003011D5">
            <w:pPr>
              <w:rPr>
                <w:rFonts w:ascii="Times New Roman" w:hAnsi="Times New Roman" w:cs="Times New Roman"/>
              </w:rPr>
            </w:pPr>
            <w:r w:rsidRPr="00CB2EC4">
              <w:rPr>
                <w:rFonts w:ascii="Times New Roman" w:hAnsi="Times New Roman" w:cs="Times New Roman"/>
              </w:rPr>
              <w:t>the screening and management strategies for cervical cancer in pregnant women differ as follows:</w:t>
            </w:r>
            <w:r w:rsidRPr="00CB2EC4">
              <w:rPr>
                <w:rFonts w:ascii="Times New Roman" w:hAnsi="Times New Roman" w:cs="Times New Roman"/>
              </w:rPr>
              <w:br/>
            </w:r>
            <w:r w:rsidRPr="00CB2EC4">
              <w:rPr>
                <w:rFonts w:ascii="Times New Roman" w:hAnsi="Times New Roman" w:cs="Times New Roman"/>
              </w:rPr>
              <w:br/>
              <w:t>- Recheck cytology and colposcopy every 10–12 weeks, with confirmation 6–8 weeks postpartum.</w:t>
            </w:r>
            <w:r w:rsidRPr="00CB2EC4">
              <w:rPr>
                <w:rFonts w:ascii="Times New Roman" w:hAnsi="Times New Roman" w:cs="Times New Roman"/>
              </w:rPr>
              <w:br/>
              <w:t>- If there is no evidence of invasive cancer, defer treatment until after delivery; if invasive cancer is suspected, perform a diagnostic cervical conization.</w:t>
            </w:r>
            <w:r w:rsidRPr="00CB2EC4">
              <w:rPr>
                <w:rFonts w:ascii="Times New Roman" w:hAnsi="Times New Roman" w:cs="Times New Roman"/>
              </w:rPr>
              <w:br/>
              <w:t>- From web search results:</w:t>
            </w:r>
            <w:r w:rsidRPr="00CB2EC4">
              <w:rPr>
                <w:rFonts w:ascii="Times New Roman" w:hAnsi="Times New Roman" w:cs="Times New Roman"/>
              </w:rPr>
              <w:br/>
              <w:t xml:space="preserve">  - Cervical conization is contraindicated during pregnancy; for pregnant women with HSIL (CIN II/III), only observation is recommended, with colposcopy repeated every 12–24 weeks (source: supplementary web search content).</w:t>
            </w:r>
            <w:r w:rsidRPr="00CB2EC4">
              <w:rPr>
                <w:rFonts w:ascii="Times New Roman" w:hAnsi="Times New Roman" w:cs="Times New Roman"/>
              </w:rPr>
              <w:br/>
              <w:t xml:space="preserve">  - Cytology ≥ ASC-H/HSIL/AGC requires referral to colposcopy, but treatment is delayed until after delivery (source: expert consensus on cervical cancer screening guidelines).</w:t>
            </w:r>
            <w:r w:rsidRPr="00CB2EC4">
              <w:rPr>
                <w:rFonts w:ascii="Times New Roman" w:hAnsi="Times New Roman" w:cs="Times New Roman"/>
              </w:rPr>
              <w:br/>
              <w:t>Conclusion: Focus on excluding invasive cancer, prohibit excisional procedures, and closely monitor until postpartum management.</w:t>
            </w:r>
          </w:p>
        </w:tc>
        <w:tc>
          <w:tcPr>
            <w:tcW w:w="1152" w:type="dxa"/>
            <w:vAlign w:val="center"/>
          </w:tcPr>
          <w:p w14:paraId="672C1E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891F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19C1D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524957" w14:textId="77777777">
        <w:tc>
          <w:tcPr>
            <w:tcW w:w="2160" w:type="dxa"/>
            <w:vAlign w:val="center"/>
          </w:tcPr>
          <w:p w14:paraId="457678A6"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CFF406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screening and management strategies for cervical cancer in pregnant women differ from those in non-pregnant women, primarily involving more conservative monitoring and delayed treatment:  </w:t>
            </w:r>
            <w:r w:rsidRPr="00CB2EC4">
              <w:rPr>
                <w:rFonts w:ascii="Times New Roman" w:hAnsi="Times New Roman" w:cs="Times New Roman"/>
              </w:rPr>
              <w:br/>
              <w:t xml:space="preserve">- **Screening strategy**: Pregnant women should undergo cytology and colposcopy, but invasive procedures should be avoided. The document recommends cytology combined with colposcopy every 10–12 weeks ("For pregnant patients, cytology + colposcopy should be performed every 10–12 weeks").  </w:t>
            </w:r>
            <w:r w:rsidRPr="00CB2EC4">
              <w:rPr>
                <w:rFonts w:ascii="Times New Roman" w:hAnsi="Times New Roman" w:cs="Times New Roman"/>
              </w:rPr>
              <w:br/>
            </w:r>
            <w:r w:rsidRPr="00CB2EC4">
              <w:rPr>
                <w:rFonts w:ascii="Times New Roman" w:hAnsi="Times New Roman" w:cs="Times New Roman"/>
              </w:rPr>
              <w:lastRenderedPageBreak/>
              <w:t xml:space="preserve">- **Management strategy**:  </w:t>
            </w:r>
            <w:r w:rsidRPr="00CB2EC4">
              <w:rPr>
                <w:rFonts w:ascii="Times New Roman" w:hAnsi="Times New Roman" w:cs="Times New Roman"/>
              </w:rPr>
              <w:br/>
              <w:t xml:space="preserve">  - If no invasive cancer is found, treatment should be deferred until 6–8 weeks postpartum for repeat evaluation (cytology + colposcopy + ECC) ("If no invasive cancer is found, evaluation should be deferred until 6–8 weeks postpartum").  </w:t>
            </w:r>
            <w:r w:rsidRPr="00CB2EC4">
              <w:rPr>
                <w:rFonts w:ascii="Times New Roman" w:hAnsi="Times New Roman" w:cs="Times New Roman"/>
              </w:rPr>
              <w:br/>
              <w:t xml:space="preserve">  - If suspicious invasive cancer is detected, diagnostic or therapeutic conization should be performed ("If suspicious invasive cancer is found during cytology + colposcopy in pregnancy, the patient should undergo diagnostic/therapeutic conization").  </w:t>
            </w:r>
            <w:r w:rsidRPr="00CB2EC4">
              <w:rPr>
                <w:rFonts w:ascii="Times New Roman" w:hAnsi="Times New Roman" w:cs="Times New Roman"/>
              </w:rPr>
              <w:br/>
              <w:t xml:space="preserve">  - Treatment should be adjusted based on gestational stage: cervical cancer detected before 16–20 weeks of gestation should be treated promptly; for patients diagnosed at ≥20 weeks with IA2–IB2 disease, deferring radical treatment until after delivery is an option to balance maternal and fetal health ("Cervical cancer detected before 16–20 weeks of gestation should be treated promptly... For patients diagnosed at ≥20 weeks with IA2–IB2 disease, deferring radical treatment until after delivery is an option").  </w:t>
            </w:r>
            <w:r w:rsidRPr="00CB2EC4">
              <w:rPr>
                <w:rFonts w:ascii="Times New Roman" w:hAnsi="Times New Roman" w:cs="Times New Roman"/>
              </w:rPr>
              <w:br/>
              <w:t xml:space="preserve">  - For low-grade lesions (e.g., LSIL), management focuses on observation, avoiding aggressive treatment ("Pregnant women without evidence of invasive cancer may be followed with repeat cytology or colposcopy every 10–12 weeks").  </w:t>
            </w:r>
            <w:r w:rsidRPr="00CB2EC4">
              <w:rPr>
                <w:rFonts w:ascii="Times New Roman" w:hAnsi="Times New Roman" w:cs="Times New Roman"/>
              </w:rPr>
              <w:br/>
              <w:t>In summary, the strategy during pregnancy emphasizes conservative monitoring, deferral of treatment until after delivery (unless invasive cancer is identified), and individualized management based on gestational timing.</w:t>
            </w:r>
          </w:p>
        </w:tc>
        <w:tc>
          <w:tcPr>
            <w:tcW w:w="1152" w:type="dxa"/>
            <w:vAlign w:val="center"/>
          </w:tcPr>
          <w:p w14:paraId="1755E5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55C54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325E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5666583" w14:textId="77777777">
        <w:tc>
          <w:tcPr>
            <w:tcW w:w="2160" w:type="dxa"/>
            <w:vAlign w:val="center"/>
          </w:tcPr>
          <w:p w14:paraId="7CD48CA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12410C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screening and management strategies for cervical cancer in pregnant women differ from those in non-pregnant women, with the primary goal being to </w:t>
            </w:r>
            <w:r w:rsidRPr="00CB2EC4">
              <w:rPr>
                <w:rFonts w:ascii="Times New Roman" w:hAnsi="Times New Roman" w:cs="Times New Roman"/>
              </w:rPr>
              <w:lastRenderedPageBreak/>
              <w:t xml:space="preserve">exclude invasive cancer while prioritizing fetal safety. According to Document 22 (fusion score: 0.2684) and Document 24 (fusion score: 0.3167), specific guidance is provided:  </w:t>
            </w:r>
            <w:r w:rsidRPr="00CB2EC4">
              <w:rPr>
                <w:rFonts w:ascii="Times New Roman" w:hAnsi="Times New Roman" w:cs="Times New Roman"/>
              </w:rPr>
              <w:br/>
              <w:t xml:space="preserve">- Screening strategy:  </w:t>
            </w:r>
            <w:r w:rsidRPr="00CB2EC4">
              <w:rPr>
                <w:rFonts w:ascii="Times New Roman" w:hAnsi="Times New Roman" w:cs="Times New Roman"/>
              </w:rPr>
              <w:br/>
              <w:t xml:space="preserve">  - Cervical cytology testing can be performed during pregnancy, but invasive procedures (such as HPV testing or colposcopy) should be avoided unless necessary (Document 22).  </w:t>
            </w:r>
            <w:r w:rsidRPr="00CB2EC4">
              <w:rPr>
                <w:rFonts w:ascii="Times New Roman" w:hAnsi="Times New Roman" w:cs="Times New Roman"/>
              </w:rPr>
              <w:br/>
              <w:t xml:space="preserve">  - If cytological abnormalities are found (e.g., ≥ASC-US), cautious evaluation is required; Document 22 states: "Pregnant women without evidence of invasive cancer may undergo repeat cytology or colposcopic observation every 10–12 weeks."  </w:t>
            </w:r>
            <w:r w:rsidRPr="00CB2EC4">
              <w:rPr>
                <w:rFonts w:ascii="Times New Roman" w:hAnsi="Times New Roman" w:cs="Times New Roman"/>
              </w:rPr>
              <w:br/>
              <w:t xml:space="preserve">- Management strategy:  </w:t>
            </w:r>
            <w:r w:rsidRPr="00CB2EC4">
              <w:rPr>
                <w:rFonts w:ascii="Times New Roman" w:hAnsi="Times New Roman" w:cs="Times New Roman"/>
              </w:rPr>
              <w:br/>
              <w:t xml:space="preserve">  - If no invasive cancer is detected: defer treatment, repeat cytology and colposcopy every 10–12 weeks, and conduct comprehensive re-evaluation (cytology + colposcopy + ECC) 6–8 weeks postpartum (Document 22).  </w:t>
            </w:r>
            <w:r w:rsidRPr="00CB2EC4">
              <w:rPr>
                <w:rFonts w:ascii="Times New Roman" w:hAnsi="Times New Roman" w:cs="Times New Roman"/>
              </w:rPr>
              <w:br/>
              <w:t xml:space="preserve">  - If suspicious invasive cancer is found: perform diagnostic conization immediately and manage based on pathological results (Document 22).  </w:t>
            </w:r>
            <w:r w:rsidRPr="00CB2EC4">
              <w:rPr>
                <w:rFonts w:ascii="Times New Roman" w:hAnsi="Times New Roman" w:cs="Times New Roman"/>
              </w:rPr>
              <w:br/>
              <w:t xml:space="preserve">  - For early-stage cancer (e.g., IA2–IB2): after 20 weeks of gestation, consider deferring radical treatment while weighing maternal and fetal risks; if treatment is needed, prioritize surgery (e.g., cesarean section with concurrent radical hysterectomy) or neoadjuvant chemotherapy (Document 24).  </w:t>
            </w:r>
            <w:r w:rsidRPr="00CB2EC4">
              <w:rPr>
                <w:rFonts w:ascii="Times New Roman" w:hAnsi="Times New Roman" w:cs="Times New Roman"/>
              </w:rPr>
              <w:br/>
              <w:t xml:space="preserve">  - Rationale: hormonal changes during pregnancy may influence lesion progression, but aggressive treatment may cause miscarriage; documents emphasize individualized management based on patient wishes and medical conditions.  </w:t>
            </w:r>
            <w:r w:rsidRPr="00CB2EC4">
              <w:rPr>
                <w:rFonts w:ascii="Times New Roman" w:hAnsi="Times New Roman" w:cs="Times New Roman"/>
              </w:rPr>
              <w:br/>
            </w:r>
            <w:r w:rsidRPr="00CB2EC4">
              <w:rPr>
                <w:rFonts w:ascii="Times New Roman" w:hAnsi="Times New Roman" w:cs="Times New Roman"/>
              </w:rPr>
              <w:lastRenderedPageBreak/>
              <w:br/>
              <w:t>if further details or specific document citations are required, please let me know.</w:t>
            </w:r>
          </w:p>
        </w:tc>
        <w:tc>
          <w:tcPr>
            <w:tcW w:w="1152" w:type="dxa"/>
            <w:vAlign w:val="center"/>
          </w:tcPr>
          <w:p w14:paraId="5FA441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6D5B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58DE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01F296" w14:textId="77777777">
        <w:tc>
          <w:tcPr>
            <w:tcW w:w="2160" w:type="dxa"/>
            <w:vAlign w:val="center"/>
          </w:tcPr>
          <w:p w14:paraId="44510C8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7459C0B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cervical cancer screening and management strategies for pregnant women differ from those for non-pregnant women, emphasizing conservative observation and delayed treatment to avoid fetal impact. key points are as follows:  </w:t>
            </w:r>
            <w:r w:rsidRPr="00CB2EC4">
              <w:rPr>
                <w:rFonts w:ascii="Times New Roman" w:hAnsi="Times New Roman" w:cs="Times New Roman"/>
              </w:rPr>
              <w:br/>
              <w:t xml:space="preserve">- screening strategy:  </w:t>
            </w:r>
            <w:r w:rsidRPr="00CB2EC4">
              <w:rPr>
                <w:rFonts w:ascii="Times New Roman" w:hAnsi="Times New Roman" w:cs="Times New Roman"/>
              </w:rPr>
              <w:br/>
              <w:t xml:space="preserve">  - cervical cytology testing can be performed during pregnancy, but note the higher false-positive risk (abnormality rates can reach 10% ~ 15%) due to hormonal changes causing cervical epithelial alterations resembling CIN.  </w:t>
            </w:r>
            <w:r w:rsidRPr="00CB2EC4">
              <w:rPr>
                <w:rFonts w:ascii="Times New Roman" w:hAnsi="Times New Roman" w:cs="Times New Roman"/>
              </w:rPr>
              <w:br/>
              <w:t xml:space="preserve">  - if screening is abnormal (e.g., ASC-US or higher), prioritize colposcopy to exclude invasive cancer, but avoid aggressive intervention.  </w:t>
            </w:r>
            <w:r w:rsidRPr="00CB2EC4">
              <w:rPr>
                <w:rFonts w:ascii="Times New Roman" w:hAnsi="Times New Roman" w:cs="Times New Roman"/>
              </w:rPr>
              <w:br/>
              <w:t xml:space="preserve">- management strategy:  </w:t>
            </w:r>
            <w:r w:rsidRPr="00CB2EC4">
              <w:rPr>
                <w:rFonts w:ascii="Times New Roman" w:hAnsi="Times New Roman" w:cs="Times New Roman"/>
              </w:rPr>
              <w:br/>
              <w:t xml:space="preserve">  - general principle: the primary goal is to exclude invasive cancer; if no evidence exists, adopt conservative observation. 30% ~ 60% of CIN lesions regress spontaneously postpartum, so surgical treatment should be avoided.  </w:t>
            </w:r>
            <w:r w:rsidRPr="00CB2EC4">
              <w:rPr>
                <w:rFonts w:ascii="Times New Roman" w:hAnsi="Times New Roman" w:cs="Times New Roman"/>
              </w:rPr>
              <w:br/>
              <w:t xml:space="preserve">  - specific process:  </w:t>
            </w:r>
            <w:r w:rsidRPr="00CB2EC4">
              <w:rPr>
                <w:rFonts w:ascii="Times New Roman" w:hAnsi="Times New Roman" w:cs="Times New Roman"/>
              </w:rPr>
              <w:br/>
              <w:t xml:space="preserve">    - repeat cytology + colposcopy every 10-12 weeks.  </w:t>
            </w:r>
            <w:r w:rsidRPr="00CB2EC4">
              <w:rPr>
                <w:rFonts w:ascii="Times New Roman" w:hAnsi="Times New Roman" w:cs="Times New Roman"/>
              </w:rPr>
              <w:br/>
              <w:t xml:space="preserve">    - if no invasive cancer is found, defer re-evaluation until 6-8 weeks postpartum (including cytology + colposcopy + ECC).  </w:t>
            </w:r>
            <w:r w:rsidRPr="00CB2EC4">
              <w:rPr>
                <w:rFonts w:ascii="Times New Roman" w:hAnsi="Times New Roman" w:cs="Times New Roman"/>
              </w:rPr>
              <w:br/>
              <w:t xml:space="preserve">    - if postpartum follow-up shows no CIN II+, transition to routine screening; if CIN II+ is detected, manage as in non-pregnant women (e.g., cervical excision).  </w:t>
            </w:r>
            <w:r w:rsidRPr="00CB2EC4">
              <w:rPr>
                <w:rFonts w:ascii="Times New Roman" w:hAnsi="Times New Roman" w:cs="Times New Roman"/>
              </w:rPr>
              <w:br/>
              <w:t xml:space="preserve">    - for high-grade lesions diagnosed during pregnancy (e.g., HSIL), perform diagnostic cervical </w:t>
            </w:r>
            <w:r w:rsidRPr="00CB2EC4">
              <w:rPr>
                <w:rFonts w:ascii="Times New Roman" w:hAnsi="Times New Roman" w:cs="Times New Roman"/>
              </w:rPr>
              <w:lastRenderedPageBreak/>
              <w:t xml:space="preserve">excision only if invasive cancer is suspected.  </w:t>
            </w:r>
            <w:r w:rsidRPr="00CB2EC4">
              <w:rPr>
                <w:rFonts w:ascii="Times New Roman" w:hAnsi="Times New Roman" w:cs="Times New Roman"/>
              </w:rPr>
              <w:br/>
              <w:t xml:space="preserve">  - mode of delivery: vaginal delivery is generally permissible unless there are obstetric indications.  </w:t>
            </w:r>
            <w:r w:rsidRPr="00CB2EC4">
              <w:rPr>
                <w:rFonts w:ascii="Times New Roman" w:hAnsi="Times New Roman" w:cs="Times New Roman"/>
              </w:rPr>
              <w:br/>
              <w:t xml:space="preserve">(source: [HyDE similarity: 0.486], [HyDE similarity: 0.386], and [HyDE similarity: 0.318]).  </w:t>
            </w:r>
            <w:r w:rsidRPr="00CB2EC4">
              <w:rPr>
                <w:rFonts w:ascii="Times New Roman" w:hAnsi="Times New Roman" w:cs="Times New Roman"/>
              </w:rPr>
              <w:br/>
              <w:t>thus, management during pregnancy focuses on observation and regular follow-up, with treatment preferably delayed until after delivery.</w:t>
            </w:r>
          </w:p>
        </w:tc>
        <w:tc>
          <w:tcPr>
            <w:tcW w:w="1152" w:type="dxa"/>
            <w:vAlign w:val="center"/>
          </w:tcPr>
          <w:p w14:paraId="32436F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2593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9653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6D71AB" w14:textId="77777777">
        <w:tc>
          <w:tcPr>
            <w:tcW w:w="2160" w:type="dxa"/>
            <w:vAlign w:val="center"/>
          </w:tcPr>
          <w:p w14:paraId="3BC44D6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4D9DA8E" w14:textId="77777777" w:rsidR="00922249" w:rsidRPr="00CB2EC4" w:rsidRDefault="003011D5">
            <w:pPr>
              <w:rPr>
                <w:rFonts w:ascii="Times New Roman" w:hAnsi="Times New Roman" w:cs="Times New Roman"/>
              </w:rPr>
            </w:pPr>
            <w:r w:rsidRPr="00CB2EC4">
              <w:rPr>
                <w:rFonts w:ascii="Times New Roman" w:hAnsi="Times New Roman" w:cs="Times New Roman"/>
              </w:rPr>
              <w:t>the cervical cancer screening and management strategies for pregnant women differ from those for non-pregnant women, requiring consideration of fetal safety and gestational stage:</w:t>
            </w:r>
            <w:r w:rsidRPr="00CB2EC4">
              <w:rPr>
                <w:rFonts w:ascii="Times New Roman" w:hAnsi="Times New Roman" w:cs="Times New Roman"/>
              </w:rPr>
              <w:br/>
            </w:r>
            <w:r w:rsidRPr="00CB2EC4">
              <w:rPr>
                <w:rFonts w:ascii="Times New Roman" w:hAnsi="Times New Roman" w:cs="Times New Roman"/>
              </w:rPr>
              <w:br/>
              <w:t>- **Screening strategy**: Cytology and colposcopy can be performed during pregnancy (Document Fragment 17: "For pregnant patients, cytology + colposcopy should be conducted every 10–12 weeks"). Note that physiological cervical changes during pregnancy may affect test accuracy, so procedures must be performed cautiously.</w:t>
            </w:r>
            <w:r w:rsidRPr="00CB2EC4">
              <w:rPr>
                <w:rFonts w:ascii="Times New Roman" w:hAnsi="Times New Roman" w:cs="Times New Roman"/>
              </w:rPr>
              <w:br/>
            </w:r>
            <w:r w:rsidRPr="00CB2EC4">
              <w:rPr>
                <w:rFonts w:ascii="Times New Roman" w:hAnsi="Times New Roman" w:cs="Times New Roman"/>
              </w:rPr>
              <w:br/>
              <w:t>- **Management strategy**:</w:t>
            </w:r>
            <w:r w:rsidRPr="00CB2EC4">
              <w:rPr>
                <w:rFonts w:ascii="Times New Roman" w:hAnsi="Times New Roman" w:cs="Times New Roman"/>
              </w:rPr>
              <w:br/>
              <w:t xml:space="preserve">  - **Early pregnancy (before 16–20 weeks)**: If cervical cancer is diagnosed, prompt treatment (surgery or chemoradiation) is indicated, as radiotherapy may cause spontaneous abortion (Document Fragment 21).</w:t>
            </w:r>
            <w:r w:rsidRPr="00CB2EC4">
              <w:rPr>
                <w:rFonts w:ascii="Times New Roman" w:hAnsi="Times New Roman" w:cs="Times New Roman"/>
              </w:rPr>
              <w:br/>
              <w:t xml:space="preserve">  - **After mid-pregnancy**: Pregnancy may be continued with selective use of surgery or chemotherapy; for patients with stage IA2–IB2 disease, deferring radical treatment is an option, as no worse outcomes have been shown compared to non-pregnant patients (Document Fragment 21).</w:t>
            </w:r>
            <w:r w:rsidRPr="00CB2EC4">
              <w:rPr>
                <w:rFonts w:ascii="Times New Roman" w:hAnsi="Times New Roman" w:cs="Times New Roman"/>
              </w:rPr>
              <w:br/>
              <w:t xml:space="preserve">  - **No invasive cancer detected**: If no invasive </w:t>
            </w:r>
            <w:r w:rsidRPr="00CB2EC4">
              <w:rPr>
                <w:rFonts w:ascii="Times New Roman" w:hAnsi="Times New Roman" w:cs="Times New Roman"/>
              </w:rPr>
              <w:lastRenderedPageBreak/>
              <w:t>cancer is found, follow-up should be deferred until 6–8 weeks postpartum (cytology + colposcopy + ECC) (Document Fragment 17).</w:t>
            </w:r>
            <w:r w:rsidRPr="00CB2EC4">
              <w:rPr>
                <w:rFonts w:ascii="Times New Roman" w:hAnsi="Times New Roman" w:cs="Times New Roman"/>
              </w:rPr>
              <w:br/>
              <w:t xml:space="preserve">  - **Timing of delivery**: At a tertiary care center with appropriate neonatal facilities, cesarean delivery before 34 weeks’ gestation is recommended, potentially combined with radical hysterectomy (Document Fragment 21).</w:t>
            </w:r>
            <w:r w:rsidRPr="00CB2EC4">
              <w:rPr>
                <w:rFonts w:ascii="Times New Roman" w:hAnsi="Times New Roman" w:cs="Times New Roman"/>
              </w:rPr>
              <w:br/>
              <w:t xml:space="preserve">  - **Overall principle**: Management requires multidisciplinary team involvement, balancing maternal and fetal health; conservative approaches (e.g., cytology and colposcopy surveillance) are preferred to avoid aggressive interventions that may compromise pregnancy.</w:t>
            </w:r>
            <w:r w:rsidRPr="00CB2EC4">
              <w:rPr>
                <w:rFonts w:ascii="Times New Roman" w:hAnsi="Times New Roman" w:cs="Times New Roman"/>
              </w:rPr>
              <w:br/>
            </w:r>
            <w:r w:rsidRPr="00CB2EC4">
              <w:rPr>
                <w:rFonts w:ascii="Times New Roman" w:hAnsi="Times New Roman" w:cs="Times New Roman"/>
              </w:rPr>
              <w:br/>
              <w:t>In summary, the strategy during pregnancy focuses on surveillance and deferring treatment until after delivery unless invasive cancer is detected, necessitating timely intervention.</w:t>
            </w:r>
          </w:p>
        </w:tc>
        <w:tc>
          <w:tcPr>
            <w:tcW w:w="1152" w:type="dxa"/>
            <w:vAlign w:val="center"/>
          </w:tcPr>
          <w:p w14:paraId="64A262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4AED4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20E3E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8E0D6A7" w14:textId="77777777">
        <w:tc>
          <w:tcPr>
            <w:tcW w:w="2160" w:type="dxa"/>
            <w:vAlign w:val="center"/>
          </w:tcPr>
          <w:p w14:paraId="3CAEAE0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45610BE" w14:textId="77777777" w:rsidR="00922249" w:rsidRPr="00CB2EC4" w:rsidRDefault="003011D5">
            <w:pPr>
              <w:rPr>
                <w:rFonts w:ascii="Times New Roman" w:hAnsi="Times New Roman" w:cs="Times New Roman"/>
              </w:rPr>
            </w:pPr>
            <w:r w:rsidRPr="00CB2EC4">
              <w:rPr>
                <w:rFonts w:ascii="Times New Roman" w:hAnsi="Times New Roman" w:cs="Times New Roman"/>
              </w:rPr>
              <w:t>the screening and management strategies for cervical cancer in pregnant women differ as follows:</w:t>
            </w:r>
            <w:r w:rsidRPr="00CB2EC4">
              <w:rPr>
                <w:rFonts w:ascii="Times New Roman" w:hAnsi="Times New Roman" w:cs="Times New Roman"/>
              </w:rPr>
              <w:br/>
            </w:r>
            <w:r w:rsidRPr="00CB2EC4">
              <w:rPr>
                <w:rFonts w:ascii="Times New Roman" w:hAnsi="Times New Roman" w:cs="Times New Roman"/>
              </w:rPr>
              <w:br/>
              <w:t xml:space="preserve">- Screening and monitoring:  </w:t>
            </w:r>
            <w:r w:rsidRPr="00CB2EC4">
              <w:rPr>
                <w:rFonts w:ascii="Times New Roman" w:hAnsi="Times New Roman" w:cs="Times New Roman"/>
              </w:rPr>
              <w:br/>
              <w:t xml:space="preserve">  → Perform cytology + colposcopy every 10–12 weeks.  </w:t>
            </w:r>
            <w:r w:rsidRPr="00CB2EC4">
              <w:rPr>
                <w:rFonts w:ascii="Times New Roman" w:hAnsi="Times New Roman" w:cs="Times New Roman"/>
              </w:rPr>
              <w:br/>
              <w:t xml:space="preserve">  → If no invasive cancer is found, postpone re-examination until 6–8 weeks postpartum (cytology + colposcopy + ECC).  </w:t>
            </w:r>
            <w:r w:rsidRPr="00CB2EC4">
              <w:rPr>
                <w:rFonts w:ascii="Times New Roman" w:hAnsi="Times New Roman" w:cs="Times New Roman"/>
              </w:rPr>
              <w:br/>
            </w:r>
            <w:r w:rsidRPr="00CB2EC4">
              <w:rPr>
                <w:rFonts w:ascii="Times New Roman" w:hAnsi="Times New Roman" w:cs="Times New Roman"/>
              </w:rPr>
              <w:br/>
              <w:t xml:space="preserve">- Postpartum management:  </w:t>
            </w:r>
            <w:r w:rsidRPr="00CB2EC4">
              <w:rPr>
                <w:rFonts w:ascii="Times New Roman" w:hAnsi="Times New Roman" w:cs="Times New Roman"/>
              </w:rPr>
              <w:br/>
              <w:t xml:space="preserve">  → If re-examination shows no CINⅡ+ → resume routine screening.  </w:t>
            </w:r>
            <w:r w:rsidRPr="00CB2EC4">
              <w:rPr>
                <w:rFonts w:ascii="Times New Roman" w:hAnsi="Times New Roman" w:cs="Times New Roman"/>
              </w:rPr>
              <w:br/>
              <w:t xml:space="preserve">  → If re-examination finds CINⅡ+ → perform diagnostic/therapeutic cervical conization.  </w:t>
            </w:r>
            <w:r w:rsidRPr="00CB2EC4">
              <w:rPr>
                <w:rFonts w:ascii="Times New Roman" w:hAnsi="Times New Roman" w:cs="Times New Roman"/>
              </w:rPr>
              <w:br/>
            </w:r>
            <w:r w:rsidRPr="00CB2EC4">
              <w:rPr>
                <w:rFonts w:ascii="Times New Roman" w:hAnsi="Times New Roman" w:cs="Times New Roman"/>
              </w:rPr>
              <w:lastRenderedPageBreak/>
              <w:br/>
              <w:t xml:space="preserve">- Suspected invasive cancer:  </w:t>
            </w:r>
            <w:r w:rsidRPr="00CB2EC4">
              <w:rPr>
                <w:rFonts w:ascii="Times New Roman" w:hAnsi="Times New Roman" w:cs="Times New Roman"/>
              </w:rPr>
              <w:br/>
              <w:t xml:space="preserve">  → If cytology or colposcopy during pregnancy suggests invasive cancer → perform cervical conization immediately.</w:t>
            </w:r>
          </w:p>
        </w:tc>
        <w:tc>
          <w:tcPr>
            <w:tcW w:w="1152" w:type="dxa"/>
            <w:vAlign w:val="center"/>
          </w:tcPr>
          <w:p w14:paraId="44CCFB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6CEAE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0445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0BEAF7" w14:textId="77777777">
        <w:tc>
          <w:tcPr>
            <w:tcW w:w="2160" w:type="dxa"/>
            <w:vAlign w:val="center"/>
          </w:tcPr>
          <w:p w14:paraId="2497A5E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8C54618" w14:textId="77777777" w:rsidR="00922249" w:rsidRPr="00CB2EC4" w:rsidRDefault="003011D5">
            <w:pPr>
              <w:rPr>
                <w:rFonts w:ascii="Times New Roman" w:hAnsi="Times New Roman" w:cs="Times New Roman"/>
              </w:rPr>
            </w:pPr>
            <w:r w:rsidRPr="00CB2EC4">
              <w:rPr>
                <w:rFonts w:ascii="Times New Roman" w:hAnsi="Times New Roman" w:cs="Times New Roman"/>
              </w:rPr>
              <w:t>screening methods: identical to non-pregnant women (e.g., cervical cytology, HPV testing), but unnecessary invasive procedures should be avoided to reduce miscarriage risk.</w:t>
            </w:r>
            <w:r w:rsidRPr="00CB2EC4">
              <w:rPr>
                <w:rFonts w:ascii="Times New Roman" w:hAnsi="Times New Roman" w:cs="Times New Roman"/>
              </w:rPr>
              <w:br/>
            </w:r>
            <w:r w:rsidRPr="00CB2EC4">
              <w:rPr>
                <w:rFonts w:ascii="Times New Roman" w:hAnsi="Times New Roman" w:cs="Times New Roman"/>
              </w:rPr>
              <w:br/>
              <w:t>management strategy:</w:t>
            </w:r>
            <w:r w:rsidRPr="00CB2EC4">
              <w:rPr>
                <w:rFonts w:ascii="Times New Roman" w:hAnsi="Times New Roman" w:cs="Times New Roman"/>
              </w:rPr>
              <w:br/>
              <w:t>- early pregnancy (&lt;16–20 weeks): prompt treatment (surgery or chemoradiation); radiotherapy may cause miscarriage.</w:t>
            </w:r>
            <w:r w:rsidRPr="00CB2EC4">
              <w:rPr>
                <w:rFonts w:ascii="Times New Roman" w:hAnsi="Times New Roman" w:cs="Times New Roman"/>
              </w:rPr>
              <w:br/>
              <w:t>- mid-to-late pregnancy (&gt;16–20 weeks): deferring definitive treatment until after delivery is an option; if treatment is needed during pregnancy, neoadjuvant chemotherapy is prioritized to control disease progression.</w:t>
            </w:r>
            <w:r w:rsidRPr="00CB2EC4">
              <w:rPr>
                <w:rFonts w:ascii="Times New Roman" w:hAnsi="Times New Roman" w:cs="Times New Roman"/>
              </w:rPr>
              <w:br/>
              <w:t>- timing of delivery: cesarean section with radical hysterectomy is recommended before 34 weeks’ gestation; postpartum reassessment at 6–8 weeks.</w:t>
            </w:r>
            <w:r w:rsidRPr="00CB2EC4">
              <w:rPr>
                <w:rFonts w:ascii="Times New Roman" w:hAnsi="Times New Roman" w:cs="Times New Roman"/>
              </w:rPr>
              <w:br/>
            </w:r>
            <w:r w:rsidRPr="00CB2EC4">
              <w:rPr>
                <w:rFonts w:ascii="Times New Roman" w:hAnsi="Times New Roman" w:cs="Times New Roman"/>
              </w:rPr>
              <w:br/>
              <w:t>overall principle: balance maternal and fetal safety, individualize management to minimize fetal risk.</w:t>
            </w:r>
          </w:p>
        </w:tc>
        <w:tc>
          <w:tcPr>
            <w:tcW w:w="1152" w:type="dxa"/>
            <w:vAlign w:val="center"/>
          </w:tcPr>
          <w:p w14:paraId="731EEE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4A1E8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2564E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7632179" w14:textId="77777777">
        <w:tc>
          <w:tcPr>
            <w:tcW w:w="2160" w:type="dxa"/>
            <w:vAlign w:val="center"/>
          </w:tcPr>
          <w:p w14:paraId="6841DC1F"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1A67BA9" w14:textId="77777777" w:rsidR="00922249" w:rsidRPr="00CB2EC4" w:rsidRDefault="003011D5">
            <w:pPr>
              <w:rPr>
                <w:rFonts w:ascii="Times New Roman" w:hAnsi="Times New Roman" w:cs="Times New Roman"/>
              </w:rPr>
            </w:pPr>
            <w:r w:rsidRPr="00CB2EC4">
              <w:rPr>
                <w:rFonts w:ascii="Times New Roman" w:hAnsi="Times New Roman" w:cs="Times New Roman"/>
              </w:rPr>
              <w:t>the screening and management strategies for cervical cancer in pregnant women differ as follows:</w:t>
            </w:r>
            <w:r w:rsidRPr="00CB2EC4">
              <w:rPr>
                <w:rFonts w:ascii="Times New Roman" w:hAnsi="Times New Roman" w:cs="Times New Roman"/>
              </w:rPr>
              <w:br/>
            </w:r>
            <w:r w:rsidRPr="00CB2EC4">
              <w:rPr>
                <w:rFonts w:ascii="Times New Roman" w:hAnsi="Times New Roman" w:cs="Times New Roman"/>
              </w:rPr>
              <w:br/>
              <w:t>- **Screening strategy**: Pregnant women should undergo cytology and colposcopy every 10–12 weeks. The document states: “For pregnant patients, cytology + colposcopy should be performed every 10–12 weeks.”</w:t>
            </w:r>
            <w:r w:rsidRPr="00CB2EC4">
              <w:rPr>
                <w:rFonts w:ascii="Times New Roman" w:hAnsi="Times New Roman" w:cs="Times New Roman"/>
              </w:rPr>
              <w:br/>
            </w:r>
            <w:r w:rsidRPr="00CB2EC4">
              <w:rPr>
                <w:rFonts w:ascii="Times New Roman" w:hAnsi="Times New Roman" w:cs="Times New Roman"/>
              </w:rPr>
              <w:lastRenderedPageBreak/>
              <w:br/>
              <w:t>- **Management strategy**:</w:t>
            </w:r>
            <w:r w:rsidRPr="00CB2EC4">
              <w:rPr>
                <w:rFonts w:ascii="Times New Roman" w:hAnsi="Times New Roman" w:cs="Times New Roman"/>
              </w:rPr>
              <w:br/>
              <w:t xml:space="preserve">  - If no invasive cancer is found, defer re-evaluation until 6–8 weeks postpartum (including cytology, colposcopy, and endocervical curettage [ECC]). After postpartum recheck, if no CIN II+ lesion is present, transition to routine screening; if CIN II+ is detected, perform diagnostic/therapeutic cervical conization.</w:t>
            </w:r>
            <w:r w:rsidRPr="00CB2EC4">
              <w:rPr>
                <w:rFonts w:ascii="Times New Roman" w:hAnsi="Times New Roman" w:cs="Times New Roman"/>
              </w:rPr>
              <w:br/>
              <w:t xml:space="preserve">  - If cytology or colposcopy during pregnancy suggests possible invasive cancer, perform diagnostic/therapeutic cervical conization immediately.</w:t>
            </w:r>
            <w:r w:rsidRPr="00CB2EC4">
              <w:rPr>
                <w:rFonts w:ascii="Times New Roman" w:hAnsi="Times New Roman" w:cs="Times New Roman"/>
              </w:rPr>
              <w:br/>
              <w:t xml:space="preserve">  - The document also emphasizes: “Pregnant women without evidence of invasive cancer may be monitored with cytology or colposcopy every 10–12 weeks, and re-evaluated 6–8 weeks postpartum.” This highlights the principle of delaying invasive procedures until after delivery unless invasive cancer is highly suspected.</w:t>
            </w:r>
            <w:r w:rsidRPr="00CB2EC4">
              <w:rPr>
                <w:rFonts w:ascii="Times New Roman" w:hAnsi="Times New Roman" w:cs="Times New Roman"/>
              </w:rPr>
              <w:br/>
            </w:r>
            <w:r w:rsidRPr="00CB2EC4">
              <w:rPr>
                <w:rFonts w:ascii="Times New Roman" w:hAnsi="Times New Roman" w:cs="Times New Roman"/>
              </w:rPr>
              <w:br/>
              <w:t>This strategy aims to balance maternal health and fetal safety, prioritizing observation and non-invasive approaches.</w:t>
            </w:r>
          </w:p>
        </w:tc>
        <w:tc>
          <w:tcPr>
            <w:tcW w:w="1152" w:type="dxa"/>
            <w:vAlign w:val="center"/>
          </w:tcPr>
          <w:p w14:paraId="2AE2D9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C040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68DF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652BCDC" w14:textId="77777777">
        <w:tc>
          <w:tcPr>
            <w:tcW w:w="2160" w:type="dxa"/>
            <w:vAlign w:val="center"/>
          </w:tcPr>
          <w:p w14:paraId="4107F666"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9847FE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screening and management strategies for cervical cancer in pregnant women focus on safety and delayed intervention, with key differences including:  </w:t>
            </w:r>
            <w:r w:rsidRPr="00CB2EC4">
              <w:rPr>
                <w:rFonts w:ascii="Times New Roman" w:hAnsi="Times New Roman" w:cs="Times New Roman"/>
              </w:rPr>
              <w:br/>
              <w:t xml:space="preserve">  - Screening strategy:  </w:t>
            </w:r>
            <w:r w:rsidRPr="00CB2EC4">
              <w:rPr>
                <w:rFonts w:ascii="Times New Roman" w:hAnsi="Times New Roman" w:cs="Times New Roman"/>
              </w:rPr>
              <w:br/>
              <w:t xml:space="preserve">    - Prioritize cytology and colposcopy; avoid invasive procedures (e.g., ECC or conization) unless there is high suspicion of invasive cancer.  </w:t>
            </w:r>
            <w:r w:rsidRPr="00CB2EC4">
              <w:rPr>
                <w:rFonts w:ascii="Times New Roman" w:hAnsi="Times New Roman" w:cs="Times New Roman"/>
              </w:rPr>
              <w:br/>
              <w:t xml:space="preserve">    - Document excerpt 3 (relevance: 0.6613) and excerpt 5 (relevance: 0.5579) state: "For pregnant patients, cytology plus colposcopy should be performed every 10–12 weeks. If no invasive cancer is </w:t>
            </w:r>
            <w:r w:rsidRPr="00CB2EC4">
              <w:rPr>
                <w:rFonts w:ascii="Times New Roman" w:hAnsi="Times New Roman" w:cs="Times New Roman"/>
              </w:rPr>
              <w:lastRenderedPageBreak/>
              <w:t xml:space="preserve">found, re-examination should be deferred until 6–8 weeks postpartum."  </w:t>
            </w:r>
            <w:r w:rsidRPr="00CB2EC4">
              <w:rPr>
                <w:rFonts w:ascii="Times New Roman" w:hAnsi="Times New Roman" w:cs="Times New Roman"/>
              </w:rPr>
              <w:br/>
              <w:t xml:space="preserve">  - Management strategy:  </w:t>
            </w:r>
            <w:r w:rsidRPr="00CB2EC4">
              <w:rPr>
                <w:rFonts w:ascii="Times New Roman" w:hAnsi="Times New Roman" w:cs="Times New Roman"/>
              </w:rPr>
              <w:br/>
              <w:t xml:space="preserve">    - When no evidence of invasive cancer: regular monitoring (cytology + colposcopy every 10–12 weeks), re-evaluate at 6–8 weeks postpartum; if CIN II+ lesions are found, manage after delivery.  </w:t>
            </w:r>
            <w:r w:rsidRPr="00CB2EC4">
              <w:rPr>
                <w:rFonts w:ascii="Times New Roman" w:hAnsi="Times New Roman" w:cs="Times New Roman"/>
              </w:rPr>
              <w:br/>
              <w:t xml:space="preserve">    - When invasive cancer is present:  </w:t>
            </w:r>
            <w:r w:rsidRPr="00CB2EC4">
              <w:rPr>
                <w:rFonts w:ascii="Times New Roman" w:hAnsi="Times New Roman" w:cs="Times New Roman"/>
              </w:rPr>
              <w:br/>
              <w:t xml:space="preserve">      - Before 16–20 weeks of gestation: prompt treatment (surgery or chemoradiation).  </w:t>
            </w:r>
            <w:r w:rsidRPr="00CB2EC4">
              <w:rPr>
                <w:rFonts w:ascii="Times New Roman" w:hAnsi="Times New Roman" w:cs="Times New Roman"/>
              </w:rPr>
              <w:br/>
              <w:t xml:space="preserve">      - After 20 weeks (especially stage IA2–IB2): definitive treatment may be deferred until after delivery; if intervention is needed, consider neoadjuvant chemotherapy to control progression.  </w:t>
            </w:r>
            <w:r w:rsidRPr="00CB2EC4">
              <w:rPr>
                <w:rFonts w:ascii="Times New Roman" w:hAnsi="Times New Roman" w:cs="Times New Roman"/>
              </w:rPr>
              <w:br/>
              <w:t xml:space="preserve">      - Mode of delivery: cesarean section is recommended, with possible radical surgery at a tertiary medical center.  </w:t>
            </w:r>
            <w:r w:rsidRPr="00CB2EC4">
              <w:rPr>
                <w:rFonts w:ascii="Times New Roman" w:hAnsi="Times New Roman" w:cs="Times New Roman"/>
              </w:rPr>
              <w:br/>
              <w:t xml:space="preserve">    - Document excerpt 8 (relevance: 0.4634) and excerpt 3 add: "Management of cervical cancer in pregnancy follows the same principles as in non-pregnant women... the primary goal is to rule out cervical cancer... the impact of delayed treatment on survival in more advanced cases remains unclear."  </w:t>
            </w:r>
            <w:r w:rsidRPr="00CB2EC4">
              <w:rPr>
                <w:rFonts w:ascii="Times New Roman" w:hAnsi="Times New Roman" w:cs="Times New Roman"/>
              </w:rPr>
              <w:br/>
              <w:t xml:space="preserve">  - Based on context:  </w:t>
            </w:r>
            <w:r w:rsidRPr="00CB2EC4">
              <w:rPr>
                <w:rFonts w:ascii="Times New Roman" w:hAnsi="Times New Roman" w:cs="Times New Roman"/>
              </w:rPr>
              <w:br/>
              <w:t xml:space="preserve">    - Excerpt 3: "Pregnant women without evidence of invasive cancer may undergo repeat cytology or colposcopy every 10–12 weeks for observation, with re-examination at 6–8 weeks postpartum."  </w:t>
            </w:r>
            <w:r w:rsidRPr="00CB2EC4">
              <w:rPr>
                <w:rFonts w:ascii="Times New Roman" w:hAnsi="Times New Roman" w:cs="Times New Roman"/>
              </w:rPr>
              <w:br/>
              <w:t xml:space="preserve">    - Excerpt 8: "For patients diagnosed after 20 weeks with stage IA2–IB2 disease, deferring radical treatment is an option."  </w:t>
            </w:r>
            <w:r w:rsidRPr="00CB2EC4">
              <w:rPr>
                <w:rFonts w:ascii="Times New Roman" w:hAnsi="Times New Roman" w:cs="Times New Roman"/>
              </w:rPr>
              <w:br/>
              <w:t xml:space="preserve">  - Additional note: Strategy differences arise from the need to avoid fetal risk; management requires a multidisciplinary team to ensure maternal and fetal </w:t>
            </w:r>
            <w:r w:rsidRPr="00CB2EC4">
              <w:rPr>
                <w:rFonts w:ascii="Times New Roman" w:hAnsi="Times New Roman" w:cs="Times New Roman"/>
              </w:rPr>
              <w:lastRenderedPageBreak/>
              <w:t>safety.</w:t>
            </w:r>
          </w:p>
        </w:tc>
        <w:tc>
          <w:tcPr>
            <w:tcW w:w="1152" w:type="dxa"/>
            <w:vAlign w:val="center"/>
          </w:tcPr>
          <w:p w14:paraId="1B2C44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4E71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5595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B202AF" w14:textId="77777777">
        <w:tc>
          <w:tcPr>
            <w:tcW w:w="2160" w:type="dxa"/>
            <w:vAlign w:val="center"/>
          </w:tcPr>
          <w:p w14:paraId="6F240F3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5568EC9A" w14:textId="77777777" w:rsidR="00922249" w:rsidRPr="00CB2EC4" w:rsidRDefault="003011D5">
            <w:pPr>
              <w:rPr>
                <w:rFonts w:ascii="Times New Roman" w:hAnsi="Times New Roman" w:cs="Times New Roman"/>
              </w:rPr>
            </w:pPr>
            <w:r w:rsidRPr="00CB2EC4">
              <w:rPr>
                <w:rFonts w:ascii="Times New Roman" w:hAnsi="Times New Roman" w:cs="Times New Roman"/>
              </w:rPr>
              <w:t>the cervical cancer screening and management strategies for pregnant women adopt a more conservative approach of observation and delayed treatment to avoid risks to the pregnancy:</w:t>
            </w:r>
            <w:r w:rsidRPr="00CB2EC4">
              <w:rPr>
                <w:rFonts w:ascii="Times New Roman" w:hAnsi="Times New Roman" w:cs="Times New Roman"/>
              </w:rPr>
              <w:br/>
              <w:t>- Screening strategy: The context does not explicitly specify differences in the initiation or methods of screening during pregnancy, but emphasizes that management must be individualized, taking into account patient preferences and clinical presentation.</w:t>
            </w:r>
            <w:r w:rsidRPr="00CB2EC4">
              <w:rPr>
                <w:rFonts w:ascii="Times New Roman" w:hAnsi="Times New Roman" w:cs="Times New Roman"/>
              </w:rPr>
              <w:br/>
              <w:t>- Management strategy:</w:t>
            </w:r>
            <w:r w:rsidRPr="00CB2EC4">
              <w:rPr>
                <w:rFonts w:ascii="Times New Roman" w:hAnsi="Times New Roman" w:cs="Times New Roman"/>
              </w:rPr>
              <w:br/>
              <w:t xml:space="preserve">  - For low-grade lesions (such as cytology ≤LSIL or histologically confirmed LSIL), observation is recommended instead of immediate treatment. The specific process includes:</w:t>
            </w:r>
            <w:r w:rsidRPr="00CB2EC4">
              <w:rPr>
                <w:rFonts w:ascii="Times New Roman" w:hAnsi="Times New Roman" w:cs="Times New Roman"/>
              </w:rPr>
              <w:br/>
              <w:t xml:space="preserve">    - If cytology result is ≤LSIL, regular observation (repeat every 10–12 weeks) is advised, avoiding invasive procedures.</w:t>
            </w:r>
            <w:r w:rsidRPr="00CB2EC4">
              <w:rPr>
                <w:rFonts w:ascii="Times New Roman" w:hAnsi="Times New Roman" w:cs="Times New Roman"/>
              </w:rPr>
              <w:br/>
              <w:t xml:space="preserve">    - If cytology result is ≥ASC-H, referral for colposcopy is indicated, but with caution; if colposcopy shows no invasive cancer, continue observation with repeat testing at 6–12 months.</w:t>
            </w:r>
            <w:r w:rsidRPr="00CB2EC4">
              <w:rPr>
                <w:rFonts w:ascii="Times New Roman" w:hAnsi="Times New Roman" w:cs="Times New Roman"/>
              </w:rPr>
              <w:br/>
              <w:t xml:space="preserve">  - Postpartum management: All abnormal results should be re-evaluated at 6–8 weeks postpartum. If two consecutive tests are negative, revert to routine screening; if abnormal, manage according to standard protocols.</w:t>
            </w:r>
            <w:r w:rsidRPr="00CB2EC4">
              <w:rPr>
                <w:rFonts w:ascii="Times New Roman" w:hAnsi="Times New Roman" w:cs="Times New Roman"/>
              </w:rPr>
              <w:br/>
              <w:t xml:space="preserve">  - Avoid diagnostic conization: During pregnancy, diagnostic conization or other invasive procedures (e.g., for TZ2/TZ3 types) are not recommended; colposcopy and biopsy are prioritized.</w:t>
            </w:r>
            <w:r w:rsidRPr="00CB2EC4">
              <w:rPr>
                <w:rFonts w:ascii="Times New Roman" w:hAnsi="Times New Roman" w:cs="Times New Roman"/>
              </w:rPr>
              <w:br/>
              <w:t xml:space="preserve">Summary: Management during pregnancy focuses on conservative observation, deferring treatment until after delivery, with the primary goal of excluding </w:t>
            </w:r>
            <w:r w:rsidRPr="00CB2EC4">
              <w:rPr>
                <w:rFonts w:ascii="Times New Roman" w:hAnsi="Times New Roman" w:cs="Times New Roman"/>
              </w:rPr>
              <w:lastRenderedPageBreak/>
              <w:t>invasive cancer and ensuring maternal and fetal safety. The context stresses the need for individualized decision-making based on transformation zone type and clinical presentation.</w:t>
            </w:r>
          </w:p>
        </w:tc>
        <w:tc>
          <w:tcPr>
            <w:tcW w:w="1152" w:type="dxa"/>
            <w:vAlign w:val="center"/>
          </w:tcPr>
          <w:p w14:paraId="3549A3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50661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C6DA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52EA65" w14:textId="77777777">
        <w:tc>
          <w:tcPr>
            <w:tcW w:w="2160" w:type="dxa"/>
            <w:vAlign w:val="center"/>
          </w:tcPr>
          <w:p w14:paraId="731DC252"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7B4C052" w14:textId="77777777" w:rsidR="00922249" w:rsidRPr="00CB2EC4" w:rsidRDefault="003011D5">
            <w:pPr>
              <w:rPr>
                <w:rFonts w:ascii="Times New Roman" w:hAnsi="Times New Roman" w:cs="Times New Roman"/>
              </w:rPr>
            </w:pPr>
            <w:r w:rsidRPr="00CB2EC4">
              <w:rPr>
                <w:rFonts w:ascii="Times New Roman" w:hAnsi="Times New Roman" w:cs="Times New Roman"/>
              </w:rPr>
              <w:t>the cervical cancer screening and management strategies for pregnant women differ from those for non-pregnant women and include:</w:t>
            </w:r>
            <w:r w:rsidRPr="00CB2EC4">
              <w:rPr>
                <w:rFonts w:ascii="Times New Roman" w:hAnsi="Times New Roman" w:cs="Times New Roman"/>
              </w:rPr>
              <w:br/>
            </w:r>
            <w:r w:rsidRPr="00CB2EC4">
              <w:rPr>
                <w:rFonts w:ascii="Times New Roman" w:hAnsi="Times New Roman" w:cs="Times New Roman"/>
              </w:rPr>
              <w:br/>
              <w:t>- **Screening**: Routine screening can be deferred until 6–8 weeks postpartum unless symptoms or high-risk factors are present. If screening is performed during pregnancy, cytology (Pap test) is safe, but HPV testing should be used cautiously (as HPV positivity may increase during pregnancy).</w:t>
            </w:r>
            <w:r w:rsidRPr="00CB2EC4">
              <w:rPr>
                <w:rFonts w:ascii="Times New Roman" w:hAnsi="Times New Roman" w:cs="Times New Roman"/>
              </w:rPr>
              <w:br/>
            </w:r>
            <w:r w:rsidRPr="00CB2EC4">
              <w:rPr>
                <w:rFonts w:ascii="Times New Roman" w:hAnsi="Times New Roman" w:cs="Times New Roman"/>
              </w:rPr>
              <w:br/>
              <w:t>- **Management**: For abnormal screening results (e.g., ASC-US or LSIL), colposcopy is recommended (performed by an experienced clinician, avoiding endocervical curettage); biopsy should only be performed if there is a high suspicion of high-grade lesions or cancer (to avoid excessive invasiveness). Treatment of high-grade lesions (HSIL) or cancer should be delayed until after delivery; low-grade lesions (LSIL) can be followed up. Mode of delivery is generally unaffected unless cancer is advanced. Guidelines emphasize multidisciplinary team management to minimize risks to mother and fetus.</w:t>
            </w:r>
          </w:p>
        </w:tc>
        <w:tc>
          <w:tcPr>
            <w:tcW w:w="1152" w:type="dxa"/>
            <w:vAlign w:val="center"/>
          </w:tcPr>
          <w:p w14:paraId="4C42DF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C8270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31EF9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8824A4B" w14:textId="77777777">
        <w:tc>
          <w:tcPr>
            <w:tcW w:w="10656" w:type="dxa"/>
            <w:gridSpan w:val="5"/>
            <w:tcBorders>
              <w:bottom w:val="single" w:sz="6" w:space="0" w:color="auto"/>
            </w:tcBorders>
            <w:vAlign w:val="center"/>
          </w:tcPr>
          <w:p w14:paraId="35F6CF7A" w14:textId="77777777" w:rsidR="00922249" w:rsidRPr="00CB2EC4" w:rsidRDefault="003011D5">
            <w:pPr>
              <w:rPr>
                <w:rFonts w:ascii="Times New Roman" w:hAnsi="Times New Roman" w:cs="Times New Roman"/>
              </w:rPr>
            </w:pPr>
            <w:r w:rsidRPr="00CB2EC4">
              <w:rPr>
                <w:rFonts w:ascii="Times New Roman" w:hAnsi="Times New Roman" w:cs="Times New Roman"/>
                <w:b/>
              </w:rPr>
              <w:t>Question 41: What is the preferred clinical diagnosis of cervical cancer?</w:t>
            </w:r>
          </w:p>
        </w:tc>
      </w:tr>
      <w:tr w:rsidR="00922249" w:rsidRPr="00CB2EC4" w14:paraId="57913CBE" w14:textId="77777777">
        <w:tc>
          <w:tcPr>
            <w:tcW w:w="2160" w:type="dxa"/>
            <w:vAlign w:val="center"/>
          </w:tcPr>
          <w:p w14:paraId="19690A52"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DBDB4E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clinical diagnostic method for cervical cancer is physical examination and gynecological examination. Specifically, this includes bimanual and trimanual examinations, recommended to be performed by two or more senior physicians; </w:t>
            </w:r>
            <w:r w:rsidRPr="00CB2EC4">
              <w:rPr>
                <w:rFonts w:ascii="Times New Roman" w:hAnsi="Times New Roman" w:cs="Times New Roman"/>
              </w:rPr>
              <w:lastRenderedPageBreak/>
              <w:t>examinations under anesthesia may be necessary when indicated. These methods are used for initial assessment of tumor location, size, and extent of spread.</w:t>
            </w:r>
            <w:r w:rsidRPr="00CB2EC4">
              <w:rPr>
                <w:rFonts w:ascii="Times New Roman" w:hAnsi="Times New Roman" w:cs="Times New Roman"/>
              </w:rPr>
              <w:br/>
              <w:t>- Basis: The document explicitly lists physical examination and gynecological examination as Level I recommended clinical diagnostic methods (source context: "clinical diagnosis: physical examination gynecological examination").</w:t>
            </w:r>
          </w:p>
        </w:tc>
        <w:tc>
          <w:tcPr>
            <w:tcW w:w="1152" w:type="dxa"/>
            <w:vAlign w:val="center"/>
          </w:tcPr>
          <w:p w14:paraId="21D280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8557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83E2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97DA80" w14:textId="77777777">
        <w:tc>
          <w:tcPr>
            <w:tcW w:w="2160" w:type="dxa"/>
            <w:vAlign w:val="center"/>
          </w:tcPr>
          <w:p w14:paraId="79D42F1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C2099E4"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clinical diagnostic method for cervical cancer is physical examination and gynecological examination (bimanual and trimanual).</w:t>
            </w:r>
            <w:r w:rsidRPr="00CB2EC4">
              <w:rPr>
                <w:rFonts w:ascii="Times New Roman" w:hAnsi="Times New Roman" w:cs="Times New Roman"/>
              </w:rPr>
              <w:br/>
              <w:t>- Basis: Document fragment 2 (block theme: cervical cancer diagnosis and treatment methods) lists under Level I recommendation: "Clinical diagnosis: Physical examination Gynecological examination", with a note emphasizing that gynecological examination must be performed by two or more senior physicians, and if necessary, under anesthesia (content and note a in fragment 2).</w:t>
            </w:r>
          </w:p>
        </w:tc>
        <w:tc>
          <w:tcPr>
            <w:tcW w:w="1152" w:type="dxa"/>
            <w:vAlign w:val="center"/>
          </w:tcPr>
          <w:p w14:paraId="69BCB3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4859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A965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D5DAB0" w14:textId="77777777">
        <w:tc>
          <w:tcPr>
            <w:tcW w:w="2160" w:type="dxa"/>
            <w:vAlign w:val="center"/>
          </w:tcPr>
          <w:p w14:paraId="6AA654B6"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A0CBFC2"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clinical diagnostic method for cervical cancer is gynecological examination combined with cervical biopsy.</w:t>
            </w:r>
            <w:r w:rsidRPr="00CB2EC4">
              <w:rPr>
                <w:rFonts w:ascii="Times New Roman" w:hAnsi="Times New Roman" w:cs="Times New Roman"/>
              </w:rPr>
              <w:br/>
            </w:r>
            <w:r w:rsidRPr="00CB2EC4">
              <w:rPr>
                <w:rFonts w:ascii="Times New Roman" w:hAnsi="Times New Roman" w:cs="Times New Roman"/>
              </w:rPr>
              <w:br/>
              <w:t>based on the provided documents:</w:t>
            </w:r>
            <w:r w:rsidRPr="00CB2EC4">
              <w:rPr>
                <w:rFonts w:ascii="Times New Roman" w:hAnsi="Times New Roman" w:cs="Times New Roman"/>
              </w:rPr>
              <w:br/>
              <w:t>- document excerpt 2 states: "Grade I recommendation: gynecological examination + cervical biopsy", indicating this as the highest recommended diagnostic approach.</w:t>
            </w:r>
            <w:r w:rsidRPr="00CB2EC4">
              <w:rPr>
                <w:rFonts w:ascii="Times New Roman" w:hAnsi="Times New Roman" w:cs="Times New Roman"/>
              </w:rPr>
              <w:br/>
              <w:t xml:space="preserve">- document excerpt 3 confirms: "Grade I recommendation (highest recommendation level) clinical diagnosis: physical examination, gynecological examination" and "pathological </w:t>
            </w:r>
            <w:r w:rsidRPr="00CB2EC4">
              <w:rPr>
                <w:rFonts w:ascii="Times New Roman" w:hAnsi="Times New Roman" w:cs="Times New Roman"/>
              </w:rPr>
              <w:lastRenderedPageBreak/>
              <w:t>diagnosis: cervical biopsy", establishing gynecological examination as the core clinical diagnostic component and cervical biopsy as the key pathological confirmation step.</w:t>
            </w:r>
            <w:r w:rsidRPr="00CB2EC4">
              <w:rPr>
                <w:rFonts w:ascii="Times New Roman" w:hAnsi="Times New Roman" w:cs="Times New Roman"/>
              </w:rPr>
              <w:br/>
              <w:t>- document excerpt 35 notes: "recommend targeted multiple biopsies under colposcopic guidance", but clarifies that colposcopy is not a screening method but an auxiliary tool, thus reaffirming gynecological examination and biopsy as the primary methods.</w:t>
            </w:r>
            <w:r w:rsidRPr="00CB2EC4">
              <w:rPr>
                <w:rFonts w:ascii="Times New Roman" w:hAnsi="Times New Roman" w:cs="Times New Roman"/>
              </w:rPr>
              <w:br/>
            </w:r>
            <w:r w:rsidRPr="00CB2EC4">
              <w:rPr>
                <w:rFonts w:ascii="Times New Roman" w:hAnsi="Times New Roman" w:cs="Times New Roman"/>
              </w:rPr>
              <w:br/>
              <w:t>therefore, the preferred clinical diagnostic method is gynecological examination with cervical biopsy.</w:t>
            </w:r>
          </w:p>
        </w:tc>
        <w:tc>
          <w:tcPr>
            <w:tcW w:w="1152" w:type="dxa"/>
            <w:vAlign w:val="center"/>
          </w:tcPr>
          <w:p w14:paraId="26252F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BA39E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0B12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AC857F" w14:textId="77777777">
        <w:tc>
          <w:tcPr>
            <w:tcW w:w="2160" w:type="dxa"/>
            <w:vAlign w:val="center"/>
          </w:tcPr>
          <w:p w14:paraId="053380FC"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3E7FE84"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clinical diagnostic method for cervical cancer is:</w:t>
            </w:r>
            <w:r w:rsidRPr="00CB2EC4">
              <w:rPr>
                <w:rFonts w:ascii="Times New Roman" w:hAnsi="Times New Roman" w:cs="Times New Roman"/>
              </w:rPr>
              <w:br/>
            </w:r>
            <w:r w:rsidRPr="00CB2EC4">
              <w:rPr>
                <w:rFonts w:ascii="Times New Roman" w:hAnsi="Times New Roman" w:cs="Times New Roman"/>
              </w:rPr>
              <w:br/>
              <w:t>- Clinical diagnosis (Level I recommendation):</w:t>
            </w:r>
            <w:r w:rsidRPr="00CB2EC4">
              <w:rPr>
                <w:rFonts w:ascii="Times New Roman" w:hAnsi="Times New Roman" w:cs="Times New Roman"/>
              </w:rPr>
              <w:br/>
              <w:t xml:space="preserve">  </w:t>
            </w:r>
            <w:r w:rsidRPr="00CB2EC4">
              <w:rPr>
                <w:rFonts w:ascii="宋体" w:eastAsia="宋体" w:hAnsi="宋体" w:cs="宋体" w:hint="eastAsia"/>
              </w:rPr>
              <w:t>①</w:t>
            </w:r>
            <w:r w:rsidRPr="00CB2EC4">
              <w:rPr>
                <w:rFonts w:ascii="Times New Roman" w:hAnsi="Times New Roman" w:cs="Times New Roman"/>
              </w:rPr>
              <w:t xml:space="preserve"> Physical examination (including gynecological bimanual/trimanual examination, to be performed by two or more senior physicians);</w:t>
            </w:r>
            <w:r w:rsidRPr="00CB2EC4">
              <w:rPr>
                <w:rFonts w:ascii="Times New Roman" w:hAnsi="Times New Roman" w:cs="Times New Roman"/>
              </w:rPr>
              <w:br/>
              <w:t xml:space="preserve">  </w:t>
            </w:r>
            <w:r w:rsidRPr="00CB2EC4">
              <w:rPr>
                <w:rFonts w:ascii="宋体" w:eastAsia="宋体" w:hAnsi="宋体" w:cs="宋体" w:hint="eastAsia"/>
              </w:rPr>
              <w:t>②</w:t>
            </w:r>
            <w:r w:rsidRPr="00CB2EC4">
              <w:rPr>
                <w:rFonts w:ascii="Times New Roman" w:hAnsi="Times New Roman" w:cs="Times New Roman"/>
              </w:rPr>
              <w:t xml:space="preserve"> Pathological diagnosis: cervical biopsy (gold standard);</w:t>
            </w:r>
            <w:r w:rsidRPr="00CB2EC4">
              <w:rPr>
                <w:rFonts w:ascii="Times New Roman" w:hAnsi="Times New Roman" w:cs="Times New Roman"/>
              </w:rPr>
              <w:br/>
              <w:t xml:space="preserve">  </w:t>
            </w:r>
            <w:r w:rsidRPr="00CB2EC4">
              <w:rPr>
                <w:rFonts w:ascii="宋体" w:eastAsia="宋体" w:hAnsi="宋体" w:cs="宋体" w:hint="eastAsia"/>
              </w:rPr>
              <w:t>③</w:t>
            </w:r>
            <w:r w:rsidRPr="00CB2EC4">
              <w:rPr>
                <w:rFonts w:ascii="Times New Roman" w:hAnsi="Times New Roman" w:cs="Times New Roman"/>
              </w:rPr>
              <w:t xml:space="preserve"> Laboratory diagnosis: tumor markers (SCC/CEA/CA125, etc.) and HPV testing.</w:t>
            </w:r>
            <w:r w:rsidRPr="00CB2EC4">
              <w:rPr>
                <w:rFonts w:ascii="Times New Roman" w:hAnsi="Times New Roman" w:cs="Times New Roman"/>
              </w:rPr>
              <w:br/>
              <w:t>&gt; *Source: Section "2.1 Basic Principles of Cervical Cancer Diagnosis" Level I recommendation list.*</w:t>
            </w:r>
          </w:p>
        </w:tc>
        <w:tc>
          <w:tcPr>
            <w:tcW w:w="1152" w:type="dxa"/>
            <w:vAlign w:val="center"/>
          </w:tcPr>
          <w:p w14:paraId="161BE5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504B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7312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4755D1" w14:textId="77777777">
        <w:tc>
          <w:tcPr>
            <w:tcW w:w="2160" w:type="dxa"/>
            <w:vAlign w:val="center"/>
          </w:tcPr>
          <w:p w14:paraId="288A304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86AF726"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clinical diagnostic method for cervical cancer is:</w:t>
            </w:r>
            <w:r w:rsidRPr="00CB2EC4">
              <w:rPr>
                <w:rFonts w:ascii="Times New Roman" w:hAnsi="Times New Roman" w:cs="Times New Roman"/>
              </w:rPr>
              <w:br/>
              <w:t>- Physical examination and gynecological examination (including bimanual and trimanual examination).</w:t>
            </w:r>
            <w:r w:rsidRPr="00CB2EC4">
              <w:rPr>
                <w:rFonts w:ascii="Times New Roman" w:hAnsi="Times New Roman" w:cs="Times New Roman"/>
              </w:rPr>
              <w:br/>
              <w:t xml:space="preserve">- Rationale: These examinations serve as the foundation for initial assessment of cervical cancer, used to identify suspicious lesions and determine staging. The document emphasizes that gynecological </w:t>
            </w:r>
            <w:r w:rsidRPr="00CB2EC4">
              <w:rPr>
                <w:rFonts w:ascii="Times New Roman" w:hAnsi="Times New Roman" w:cs="Times New Roman"/>
              </w:rPr>
              <w:lastRenderedPageBreak/>
              <w:t>examinations should be performed by two or more senior physicians, and if necessary, under anesthesia, to ensure accuracy.</w:t>
            </w:r>
            <w:r w:rsidRPr="00CB2EC4">
              <w:rPr>
                <w:rFonts w:ascii="Times New Roman" w:hAnsi="Times New Roman" w:cs="Times New Roman"/>
              </w:rPr>
              <w:br/>
              <w:t>- Source context: Document fragment 2 explicitly lists physical examination and gynecological examination as the Level I recommendation for clinical diagnosis.</w:t>
            </w:r>
          </w:p>
        </w:tc>
        <w:tc>
          <w:tcPr>
            <w:tcW w:w="1152" w:type="dxa"/>
            <w:vAlign w:val="center"/>
          </w:tcPr>
          <w:p w14:paraId="1A9841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E0643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4C39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B8B00F" w14:textId="77777777">
        <w:tc>
          <w:tcPr>
            <w:tcW w:w="2160" w:type="dxa"/>
            <w:vAlign w:val="center"/>
          </w:tcPr>
          <w:p w14:paraId="4FB41D1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BCD30AE"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clinical diagnostic method for cervical cancer is physical examination and gynecological examination. these are level i recommendations (the highest recommendation level) for clinical diagnosis. gynecological examination includes bimanual and trimanual examinations, and it is recommended to be performed by two or more senior physicians; if necessary, under anesthesia. these methods are used for initial assessment of cervical lesions and staging judgment (when there is disagreement in staging, the earlier stage is recommended).</w:t>
            </w:r>
          </w:p>
        </w:tc>
        <w:tc>
          <w:tcPr>
            <w:tcW w:w="1152" w:type="dxa"/>
            <w:vAlign w:val="center"/>
          </w:tcPr>
          <w:p w14:paraId="19D172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32E7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ECFD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3D8E37" w14:textId="77777777">
        <w:tc>
          <w:tcPr>
            <w:tcW w:w="2160" w:type="dxa"/>
            <w:vAlign w:val="center"/>
          </w:tcPr>
          <w:p w14:paraId="6047290E"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4FEF6CC"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clinical diagnostic method for cervical cancer is physical examination and gynecological examination (including bimanual and trimanual examinations). These examinations serve as the foundation for initial assessment of cervical cancer to identify suspicious lesions. Gynecological examinations are recommended to be performed by two or more senior physicians, and may be conducted under anesthesia when necessary; in cases of disagreement in staging, the earlier stage is recommended. Conclusion: The preferred clinical diagnostic methods are physical examination and gynecological examination.</w:t>
            </w:r>
          </w:p>
        </w:tc>
        <w:tc>
          <w:tcPr>
            <w:tcW w:w="1152" w:type="dxa"/>
            <w:vAlign w:val="center"/>
          </w:tcPr>
          <w:p w14:paraId="644EBB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7B79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00AE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7B1093" w14:textId="77777777">
        <w:tc>
          <w:tcPr>
            <w:tcW w:w="2160" w:type="dxa"/>
            <w:vAlign w:val="center"/>
          </w:tcPr>
          <w:p w14:paraId="388594DF"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7ACEE06"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clinical diagnostic method for cervical cancer is physical examination and gynecological examination.</w:t>
            </w:r>
            <w:r w:rsidRPr="00CB2EC4">
              <w:rPr>
                <w:rFonts w:ascii="Times New Roman" w:hAnsi="Times New Roman" w:cs="Times New Roman"/>
              </w:rPr>
              <w:br/>
            </w:r>
            <w:r w:rsidRPr="00CB2EC4">
              <w:rPr>
                <w:rFonts w:ascii="Times New Roman" w:hAnsi="Times New Roman" w:cs="Times New Roman"/>
              </w:rPr>
              <w:lastRenderedPageBreak/>
              <w:br/>
              <w:t>according to document fragment 3 (similarity: 0.561), under the section "basic principles of cervical cancer diagnosis," level i recommendation (highest recommendation level) explicitly states:</w:t>
            </w:r>
            <w:r w:rsidRPr="00CB2EC4">
              <w:rPr>
                <w:rFonts w:ascii="Times New Roman" w:hAnsi="Times New Roman" w:cs="Times New Roman"/>
              </w:rPr>
              <w:br/>
              <w:t>- the preferred clinical diagnostic method is physical examination and gynecological examination.</w:t>
            </w:r>
            <w:r w:rsidRPr="00CB2EC4">
              <w:rPr>
                <w:rFonts w:ascii="Times New Roman" w:hAnsi="Times New Roman" w:cs="Times New Roman"/>
              </w:rPr>
              <w:br/>
              <w:t>specifically, this includes bimanual and trimanual examinations, and it is recommended that gynecological examinations be performed by two or more senior physicians; examinations under anesthesia may be necessary when indicated (see note a).</w:t>
            </w:r>
            <w:r w:rsidRPr="00CB2EC4">
              <w:rPr>
                <w:rFonts w:ascii="Times New Roman" w:hAnsi="Times New Roman" w:cs="Times New Roman"/>
              </w:rPr>
              <w:br/>
              <w:t>therefore, the preferred clinical diagnostic method for cervical cancer is physical examination and gynecological examination.</w:t>
            </w:r>
          </w:p>
        </w:tc>
        <w:tc>
          <w:tcPr>
            <w:tcW w:w="1152" w:type="dxa"/>
            <w:vAlign w:val="center"/>
          </w:tcPr>
          <w:p w14:paraId="403453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2675D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26E8F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A741EB" w14:textId="77777777">
        <w:tc>
          <w:tcPr>
            <w:tcW w:w="2160" w:type="dxa"/>
            <w:vAlign w:val="center"/>
          </w:tcPr>
          <w:p w14:paraId="5A37AE5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5274E3E"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clinical diagnostic method for cervical cancer is physical examination and gynecological examination. Specifically, this includes bimanual and trimanual examinations, which are recommended to be performed by two or more senior physicians; examinations under anesthesia may be necessary when indicated. If there is a discrepancy in staging assessment, the earlier stage should be adopted (see note a). The document explicitly states that clinical diagnosis is a fundamental component of the diagnostic process.</w:t>
            </w:r>
          </w:p>
        </w:tc>
        <w:tc>
          <w:tcPr>
            <w:tcW w:w="1152" w:type="dxa"/>
            <w:vAlign w:val="center"/>
          </w:tcPr>
          <w:p w14:paraId="6FF15A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35E9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45B25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A68C3B" w14:textId="77777777">
        <w:tc>
          <w:tcPr>
            <w:tcW w:w="2160" w:type="dxa"/>
            <w:vAlign w:val="center"/>
          </w:tcPr>
          <w:p w14:paraId="6698DB2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11CD1C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clinical diagnostic method for cervical cancer is physical examination and gynecological examination. these are classified as level I recommendation (highest recommendation level) for initial assessment. specifically, this includes bimanual and trimanual examinations, which should be </w:t>
            </w:r>
            <w:r w:rsidRPr="00CB2EC4">
              <w:rPr>
                <w:rFonts w:ascii="Times New Roman" w:hAnsi="Times New Roman" w:cs="Times New Roman"/>
              </w:rPr>
              <w:lastRenderedPageBreak/>
              <w:t xml:space="preserve">performed by two or more senior physicians; examinations may be conducted under anesthesia if necessary. if there is a discrepancy in staging, the earlier stage should be adopted.  </w:t>
            </w:r>
            <w:r w:rsidRPr="00CB2EC4">
              <w:rPr>
                <w:rFonts w:ascii="Times New Roman" w:hAnsi="Times New Roman" w:cs="Times New Roman"/>
              </w:rPr>
              <w:br/>
              <w:t>- basis: document fragment 2 explicitly states "clinical diagnosis: physical examination gynecological examination," with detailed procedures provided in footnote a.</w:t>
            </w:r>
          </w:p>
        </w:tc>
        <w:tc>
          <w:tcPr>
            <w:tcW w:w="1152" w:type="dxa"/>
            <w:vAlign w:val="center"/>
          </w:tcPr>
          <w:p w14:paraId="19A841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6E736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F1758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A29287" w14:textId="77777777">
        <w:tc>
          <w:tcPr>
            <w:tcW w:w="2160" w:type="dxa"/>
            <w:vAlign w:val="center"/>
          </w:tcPr>
          <w:p w14:paraId="095E8B1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B0B2BDB"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clinical diagnostic methods for cervical cancer are:</w:t>
            </w:r>
            <w:r w:rsidRPr="00CB2EC4">
              <w:rPr>
                <w:rFonts w:ascii="Times New Roman" w:hAnsi="Times New Roman" w:cs="Times New Roman"/>
              </w:rPr>
              <w:br/>
            </w:r>
            <w:r w:rsidRPr="00CB2EC4">
              <w:rPr>
                <w:rFonts w:ascii="Times New Roman" w:hAnsi="Times New Roman" w:cs="Times New Roman"/>
              </w:rPr>
              <w:br/>
              <w:t>- Physical examination: including general assessment to evaluate overall health status.</w:t>
            </w:r>
            <w:r w:rsidRPr="00CB2EC4">
              <w:rPr>
                <w:rFonts w:ascii="Times New Roman" w:hAnsi="Times New Roman" w:cs="Times New Roman"/>
              </w:rPr>
              <w:br/>
              <w:t>- Gynecological examination: including bimanual and trimanual examinations, recommended to be performed by two or more senior physicians; examination under anesthesia if necessary; when staging is disputed, the earlier stage is recommended.</w:t>
            </w:r>
            <w:r w:rsidRPr="00CB2EC4">
              <w:rPr>
                <w:rFonts w:ascii="Times New Roman" w:hAnsi="Times New Roman" w:cs="Times New Roman"/>
              </w:rPr>
              <w:br/>
            </w:r>
            <w:r w:rsidRPr="00CB2EC4">
              <w:rPr>
                <w:rFonts w:ascii="Times New Roman" w:hAnsi="Times New Roman" w:cs="Times New Roman"/>
              </w:rPr>
              <w:br/>
              <w:t>These methods constitute the foundational clinical diagnostic steps for initial assessment of the extent and stage of cervical lesions. Pathological diagnosis (e.g., biopsy) is a key subsequent confirmation method, but clinical diagnosis is the preferred initial approach.</w:t>
            </w:r>
          </w:p>
        </w:tc>
        <w:tc>
          <w:tcPr>
            <w:tcW w:w="1152" w:type="dxa"/>
            <w:vAlign w:val="center"/>
          </w:tcPr>
          <w:p w14:paraId="469E28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7198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E469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C5DD3F" w14:textId="77777777">
        <w:tc>
          <w:tcPr>
            <w:tcW w:w="2160" w:type="dxa"/>
            <w:vAlign w:val="center"/>
          </w:tcPr>
          <w:p w14:paraId="24DBEFAE"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486A740"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clinical diagnostic method for cervical cancer is physical examination and gynecological examination (including bimanual and trimanual examination), recommended to be performed by two or more senior physicians. When necessary, the examination should be conducted under anesthesia. In cases of staging discrepancy, the earlier stage should be adopted.</w:t>
            </w:r>
          </w:p>
        </w:tc>
        <w:tc>
          <w:tcPr>
            <w:tcW w:w="1152" w:type="dxa"/>
            <w:vAlign w:val="center"/>
          </w:tcPr>
          <w:p w14:paraId="5CCB0F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1306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E470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091504" w14:textId="77777777">
        <w:tc>
          <w:tcPr>
            <w:tcW w:w="2160" w:type="dxa"/>
            <w:vAlign w:val="center"/>
          </w:tcPr>
          <w:p w14:paraId="5CC5AAF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263C3027"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clinical diagnostic method for cervical cancer is physical examination and gynecological examination, including bimanual and trimanual examinations.</w:t>
            </w:r>
            <w:r w:rsidRPr="00CB2EC4">
              <w:rPr>
                <w:rFonts w:ascii="Times New Roman" w:hAnsi="Times New Roman" w:cs="Times New Roman"/>
              </w:rPr>
              <w:br/>
            </w:r>
            <w:r w:rsidRPr="00CB2EC4">
              <w:rPr>
                <w:rFonts w:ascii="Times New Roman" w:hAnsi="Times New Roman" w:cs="Times New Roman"/>
              </w:rPr>
              <w:br/>
              <w:t>based on the context:</w:t>
            </w:r>
            <w:r w:rsidRPr="00CB2EC4">
              <w:rPr>
                <w:rFonts w:ascii="Times New Roman" w:hAnsi="Times New Roman" w:cs="Times New Roman"/>
              </w:rPr>
              <w:br/>
              <w:t>- in relevant section 2 (2.1 basic principles for cervical cancer diagnosis), level I recommendation (highest recommendation level) explicitly states that clinical diagnosis includes "physical examination" and "gynecological examination". the specific description is: "clinical diagnosis: physical examination gynecological examination", with footnote a emphasizing that it includes bimanual and trimanual examinations, and is recommended to be performed by two or more senior physicians, with anesthesia if necessary.</w:t>
            </w:r>
            <w:r w:rsidRPr="00CB2EC4">
              <w:rPr>
                <w:rFonts w:ascii="Times New Roman" w:hAnsi="Times New Roman" w:cs="Times New Roman"/>
              </w:rPr>
              <w:br/>
              <w:t>- relevant section 1 also notes that "clinical assessment remains the most important", supporting clinical examination as the foundation.</w:t>
            </w:r>
            <w:r w:rsidRPr="00CB2EC4">
              <w:rPr>
                <w:rFonts w:ascii="Times New Roman" w:hAnsi="Times New Roman" w:cs="Times New Roman"/>
              </w:rPr>
              <w:br/>
              <w:t>therefore, the preferred clinical diagnostic method for cervical cancer is physical examination and gynecological examination (including bimanual and trimanual examinations).</w:t>
            </w:r>
          </w:p>
        </w:tc>
        <w:tc>
          <w:tcPr>
            <w:tcW w:w="1152" w:type="dxa"/>
            <w:vAlign w:val="center"/>
          </w:tcPr>
          <w:p w14:paraId="6E1016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298D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168C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9D4D76" w14:textId="77777777">
        <w:tc>
          <w:tcPr>
            <w:tcW w:w="2160" w:type="dxa"/>
            <w:vAlign w:val="center"/>
          </w:tcPr>
          <w:p w14:paraId="2277F8F2"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F96221F"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clinical diagnostic method for cervical cancer is cervical biopsy (including multiple-site biopsy or direct visualization biopsy). This is the gold standard based on histopathological examination to confirm whether cervical lesions are malignant.</w:t>
            </w:r>
          </w:p>
        </w:tc>
        <w:tc>
          <w:tcPr>
            <w:tcW w:w="1152" w:type="dxa"/>
            <w:vAlign w:val="center"/>
          </w:tcPr>
          <w:p w14:paraId="6DA7E0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C62DF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813FB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27FBFD4" w14:textId="77777777">
        <w:tc>
          <w:tcPr>
            <w:tcW w:w="10656" w:type="dxa"/>
            <w:gridSpan w:val="5"/>
            <w:tcBorders>
              <w:bottom w:val="single" w:sz="6" w:space="0" w:color="auto"/>
            </w:tcBorders>
            <w:vAlign w:val="center"/>
          </w:tcPr>
          <w:p w14:paraId="5AB1651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42: What tests should be conducted to make a pathologic diagnosis of cervical cancer?</w:t>
            </w:r>
          </w:p>
        </w:tc>
      </w:tr>
      <w:tr w:rsidR="00922249" w:rsidRPr="00CB2EC4" w14:paraId="67A2A3A0" w14:textId="77777777">
        <w:tc>
          <w:tcPr>
            <w:tcW w:w="2160" w:type="dxa"/>
            <w:vAlign w:val="center"/>
          </w:tcPr>
          <w:p w14:paraId="59EF02C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1497EAE" w14:textId="77777777" w:rsidR="00922249" w:rsidRPr="00CB2EC4" w:rsidRDefault="003011D5">
            <w:pPr>
              <w:rPr>
                <w:rFonts w:ascii="Times New Roman" w:hAnsi="Times New Roman" w:cs="Times New Roman"/>
              </w:rPr>
            </w:pPr>
            <w:r w:rsidRPr="00CB2EC4">
              <w:rPr>
                <w:rFonts w:ascii="Times New Roman" w:hAnsi="Times New Roman" w:cs="Times New Roman"/>
              </w:rPr>
              <w:t>to make a pathological diagnosis of cervical cancer, the following examinations should be performed (listed by recommended level):</w:t>
            </w:r>
            <w:r w:rsidRPr="00CB2EC4">
              <w:rPr>
                <w:rFonts w:ascii="Times New Roman" w:hAnsi="Times New Roman" w:cs="Times New Roman"/>
              </w:rPr>
              <w:br/>
            </w:r>
            <w:r w:rsidRPr="00CB2EC4">
              <w:rPr>
                <w:rFonts w:ascii="Times New Roman" w:hAnsi="Times New Roman" w:cs="Times New Roman"/>
              </w:rPr>
              <w:lastRenderedPageBreak/>
              <w:t xml:space="preserve">  - Level I recommendation (preferred): Cervical biopsy and cervical cytology examination (such as TCT). These are the gold standard methods for direct acquisition of tissue samples for microscopic confirmation.</w:t>
            </w:r>
            <w:r w:rsidRPr="00CB2EC4">
              <w:rPr>
                <w:rFonts w:ascii="Times New Roman" w:hAnsi="Times New Roman" w:cs="Times New Roman"/>
              </w:rPr>
              <w:br/>
              <w:t xml:space="preserve">  - Level II recommendation: Cervical conization. Used when biopsy cannot determine the depth of invasion or when there are inconsistent results (e.g., high-grade cytological lesion not supported by biopsy).</w:t>
            </w:r>
            <w:r w:rsidRPr="00CB2EC4">
              <w:rPr>
                <w:rFonts w:ascii="Times New Roman" w:hAnsi="Times New Roman" w:cs="Times New Roman"/>
              </w:rPr>
              <w:br/>
              <w:t xml:space="preserve">  - Level III recommendation: Fine needle aspiration cytology. Applicable when suspicious metastasis is present in inguinal or cervical lymph nodes.</w:t>
            </w:r>
            <w:r w:rsidRPr="00CB2EC4">
              <w:rPr>
                <w:rFonts w:ascii="Times New Roman" w:hAnsi="Times New Roman" w:cs="Times New Roman"/>
              </w:rPr>
              <w:br/>
              <w:t>- Basis: The document details the recommended levels for pathological diagnosis in "2.1 Basic Principles for the Diagnosis of Cervical Cancer" (contextual excerpt: "pathological diagnosis: cervical biopsy cervical cytologyb", "Level II recommendation: cervical conizationc", "Level III recommendation: fine needle aspiration cytologyd").</w:t>
            </w:r>
          </w:p>
        </w:tc>
        <w:tc>
          <w:tcPr>
            <w:tcW w:w="1152" w:type="dxa"/>
            <w:vAlign w:val="center"/>
          </w:tcPr>
          <w:p w14:paraId="3B8DA7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4601F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9E07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6F24F8" w14:textId="77777777">
        <w:tc>
          <w:tcPr>
            <w:tcW w:w="2160" w:type="dxa"/>
            <w:vAlign w:val="center"/>
          </w:tcPr>
          <w:p w14:paraId="656C287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15A0474" w14:textId="77777777" w:rsidR="00922249" w:rsidRPr="00CB2EC4" w:rsidRDefault="003011D5">
            <w:pPr>
              <w:rPr>
                <w:rFonts w:ascii="Times New Roman" w:hAnsi="Times New Roman" w:cs="Times New Roman"/>
              </w:rPr>
            </w:pPr>
            <w:r w:rsidRPr="00CB2EC4">
              <w:rPr>
                <w:rFonts w:ascii="Times New Roman" w:hAnsi="Times New Roman" w:cs="Times New Roman"/>
              </w:rPr>
              <w:t>What tests should be performed to make a pathological diagnosis of cervical cancer?</w:t>
            </w:r>
            <w:r w:rsidRPr="00CB2EC4">
              <w:rPr>
                <w:rFonts w:ascii="Times New Roman" w:hAnsi="Times New Roman" w:cs="Times New Roman"/>
              </w:rPr>
              <w:br/>
            </w:r>
            <w:r w:rsidRPr="00CB2EC4">
              <w:rPr>
                <w:rFonts w:ascii="Times New Roman" w:hAnsi="Times New Roman" w:cs="Times New Roman"/>
              </w:rPr>
              <w:br/>
              <w:t xml:space="preserve">Answer: For pathological diagnosis, cervical biopsy and cervical cytology should be performed.  </w:t>
            </w:r>
            <w:r w:rsidRPr="00CB2EC4">
              <w:rPr>
                <w:rFonts w:ascii="Times New Roman" w:hAnsi="Times New Roman" w:cs="Times New Roman"/>
              </w:rPr>
              <w:br/>
              <w:t xml:space="preserve">  - Basis: Document Fragment 2 (Block Topic: Cervical Cancer Diagnosis and Treatment Methods) explicitly lists under Level I recommendations for pathological diagnosis: "Pathological diagnosis: Cervical biopsy Cervical cytology b," with note b indicating that attention should be paid to the possibility of cytological false negatives in cervical adenocarcinoma (Fragment 2 main text content). Fragment 1 (Block Topic: Cervical Cancer Diagnosis </w:t>
            </w:r>
            <w:r w:rsidRPr="00CB2EC4">
              <w:rPr>
                <w:rFonts w:ascii="Times New Roman" w:hAnsi="Times New Roman" w:cs="Times New Roman"/>
              </w:rPr>
              <w:lastRenderedPageBreak/>
              <w:t>and Pathological Examination) also emphasizes that biopsy specimens are the foundation of pathological diagnosis (Fragment 1 main text content).</w:t>
            </w:r>
          </w:p>
        </w:tc>
        <w:tc>
          <w:tcPr>
            <w:tcW w:w="1152" w:type="dxa"/>
            <w:vAlign w:val="center"/>
          </w:tcPr>
          <w:p w14:paraId="75697C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E2DA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DE26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57BBB5F" w14:textId="77777777">
        <w:tc>
          <w:tcPr>
            <w:tcW w:w="2160" w:type="dxa"/>
            <w:vAlign w:val="center"/>
          </w:tcPr>
          <w:p w14:paraId="26EA1A42"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DFE197C" w14:textId="77777777" w:rsidR="00922249" w:rsidRPr="00CB2EC4" w:rsidRDefault="003011D5">
            <w:pPr>
              <w:rPr>
                <w:rFonts w:ascii="Times New Roman" w:hAnsi="Times New Roman" w:cs="Times New Roman"/>
              </w:rPr>
            </w:pPr>
            <w:r w:rsidRPr="00CB2EC4">
              <w:rPr>
                <w:rFonts w:ascii="Times New Roman" w:hAnsi="Times New Roman" w:cs="Times New Roman"/>
              </w:rPr>
              <w:t>to make a pathological diagnosis of cervical cancer, the following examinations must be performed:</w:t>
            </w:r>
            <w:r w:rsidRPr="00CB2EC4">
              <w:rPr>
                <w:rFonts w:ascii="Times New Roman" w:hAnsi="Times New Roman" w:cs="Times New Roman"/>
              </w:rPr>
              <w:br/>
            </w:r>
            <w:r w:rsidRPr="00CB2EC4">
              <w:rPr>
                <w:rFonts w:ascii="Times New Roman" w:hAnsi="Times New Roman" w:cs="Times New Roman"/>
              </w:rPr>
              <w:br/>
              <w:t>cervical biopsy is required; for early-stage cases (such as IA), pathological examination of cervical conization or hysterectomy specimens is also necessary. The specific basis is as follows:</w:t>
            </w:r>
            <w:r w:rsidRPr="00CB2EC4">
              <w:rPr>
                <w:rFonts w:ascii="Times New Roman" w:hAnsi="Times New Roman" w:cs="Times New Roman"/>
              </w:rPr>
              <w:br/>
              <w:t>- Document excerpt 3 clearly states: "Pathological diagnosis: cervical biopsy," which is considered the fundamental method for pathological diagnosis.</w:t>
            </w:r>
            <w:r w:rsidRPr="00CB2EC4">
              <w:rPr>
                <w:rFonts w:ascii="Times New Roman" w:hAnsi="Times New Roman" w:cs="Times New Roman"/>
              </w:rPr>
              <w:br/>
              <w:t>- Document excerpt 8 emphasizes: "Pathology is the 'gold standard' for diagnosing cervical cancer," but must be combined with specific examinations.</w:t>
            </w:r>
            <w:r w:rsidRPr="00CB2EC4">
              <w:rPr>
                <w:rFonts w:ascii="Times New Roman" w:hAnsi="Times New Roman" w:cs="Times New Roman"/>
              </w:rPr>
              <w:br/>
              <w:t>- Document excerpt 10 points out: "IA stage must be diagnosed by pathology of cervical conization specimens, not solely by pathology of cervical biopsy tissue," indicating that for microinvasive carcinoma (e.g., IA stage), biopsy alone is insufficient; complete pathological examination via cervical conization or hysterectomy specimens is required for confirmation.</w:t>
            </w:r>
            <w:r w:rsidRPr="00CB2EC4">
              <w:rPr>
                <w:rFonts w:ascii="Times New Roman" w:hAnsi="Times New Roman" w:cs="Times New Roman"/>
              </w:rPr>
              <w:br/>
              <w:t>- Document excerpt 23 adds: "The diagnosis of cervical microcarcinoma must include microscopic examination of sections from cervical resection or conization, or total hysterectomy specimens encompassing the entire cervical lesion to be confirmed," which applies to the diagnosis of early cervical cancer.</w:t>
            </w:r>
            <w:r w:rsidRPr="00CB2EC4">
              <w:rPr>
                <w:rFonts w:ascii="Times New Roman" w:hAnsi="Times New Roman" w:cs="Times New Roman"/>
              </w:rPr>
              <w:br/>
            </w:r>
            <w:r w:rsidRPr="00CB2EC4">
              <w:rPr>
                <w:rFonts w:ascii="Times New Roman" w:hAnsi="Times New Roman" w:cs="Times New Roman"/>
              </w:rPr>
              <w:br/>
              <w:t xml:space="preserve">therefore, the core examination for pathological diagnosis is cervical biopsy; for FIGO IA stage patients, pathological examination of cervical </w:t>
            </w:r>
            <w:r w:rsidRPr="00CB2EC4">
              <w:rPr>
                <w:rFonts w:ascii="Times New Roman" w:hAnsi="Times New Roman" w:cs="Times New Roman"/>
              </w:rPr>
              <w:lastRenderedPageBreak/>
              <w:t>conization or hysterectomy specimens must be performed.</w:t>
            </w:r>
          </w:p>
        </w:tc>
        <w:tc>
          <w:tcPr>
            <w:tcW w:w="1152" w:type="dxa"/>
            <w:vAlign w:val="center"/>
          </w:tcPr>
          <w:p w14:paraId="18249D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FAD21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ED16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E6FEEE" w14:textId="77777777">
        <w:tc>
          <w:tcPr>
            <w:tcW w:w="2160" w:type="dxa"/>
            <w:vAlign w:val="center"/>
          </w:tcPr>
          <w:p w14:paraId="76CFD35F"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DECD5A1" w14:textId="77777777" w:rsidR="00922249" w:rsidRPr="00CB2EC4" w:rsidRDefault="003011D5">
            <w:pPr>
              <w:rPr>
                <w:rFonts w:ascii="Times New Roman" w:hAnsi="Times New Roman" w:cs="Times New Roman"/>
              </w:rPr>
            </w:pPr>
            <w:r w:rsidRPr="00CB2EC4">
              <w:rPr>
                <w:rFonts w:ascii="Times New Roman" w:hAnsi="Times New Roman" w:cs="Times New Roman"/>
              </w:rPr>
              <w:t>For the pathological diagnosis of cervical cancer, the following examinations should be performed:</w:t>
            </w:r>
            <w:r w:rsidRPr="00CB2EC4">
              <w:rPr>
                <w:rFonts w:ascii="Times New Roman" w:hAnsi="Times New Roman" w:cs="Times New Roman"/>
              </w:rPr>
              <w:br/>
            </w:r>
            <w:r w:rsidRPr="00CB2EC4">
              <w:rPr>
                <w:rFonts w:ascii="Times New Roman" w:hAnsi="Times New Roman" w:cs="Times New Roman"/>
              </w:rPr>
              <w:br/>
              <w:t xml:space="preserve">- **Level I Recommendation (Core Methods)**:  </w:t>
            </w:r>
            <w:r w:rsidRPr="00CB2EC4">
              <w:rPr>
                <w:rFonts w:ascii="Times New Roman" w:hAnsi="Times New Roman" w:cs="Times New Roman"/>
              </w:rPr>
              <w:br/>
              <w:t xml:space="preserve">  - Biopsy specimens: Cervical biopsy (preferred); diagnostic cervical conization when necessary (to determine the depth of invasion or when cytological results are inconsistent with pathological findings);  </w:t>
            </w:r>
            <w:r w:rsidRPr="00CB2EC4">
              <w:rPr>
                <w:rFonts w:ascii="Times New Roman" w:hAnsi="Times New Roman" w:cs="Times New Roman"/>
              </w:rPr>
              <w:br/>
              <w:t xml:space="preserve">  - Conization/surgical specimens: Histological type, depth of invasion, margin status, and lymphovascular space invasion (LVSI) must be evaluated.  </w:t>
            </w:r>
            <w:r w:rsidRPr="00CB2EC4">
              <w:rPr>
                <w:rFonts w:ascii="Times New Roman" w:hAnsi="Times New Roman" w:cs="Times New Roman"/>
              </w:rPr>
              <w:br/>
            </w:r>
            <w:r w:rsidRPr="00CB2EC4">
              <w:rPr>
                <w:rFonts w:ascii="Times New Roman" w:hAnsi="Times New Roman" w:cs="Times New Roman"/>
              </w:rPr>
              <w:br/>
              <w:t>&gt; *Note: For adenocarcinoma, be alert to the possibility of cytological false negatives; conization is a key method for determining the depth of invasion.*</w:t>
            </w:r>
          </w:p>
        </w:tc>
        <w:tc>
          <w:tcPr>
            <w:tcW w:w="1152" w:type="dxa"/>
            <w:vAlign w:val="center"/>
          </w:tcPr>
          <w:p w14:paraId="21CC4D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C78E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C529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5658C74" w14:textId="77777777">
        <w:tc>
          <w:tcPr>
            <w:tcW w:w="2160" w:type="dxa"/>
            <w:vAlign w:val="center"/>
          </w:tcPr>
          <w:p w14:paraId="21CEDE62"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8361B10" w14:textId="77777777" w:rsidR="00922249" w:rsidRPr="00CB2EC4" w:rsidRDefault="003011D5">
            <w:pPr>
              <w:rPr>
                <w:rFonts w:ascii="Times New Roman" w:hAnsi="Times New Roman" w:cs="Times New Roman"/>
              </w:rPr>
            </w:pPr>
            <w:r w:rsidRPr="00CB2EC4">
              <w:rPr>
                <w:rFonts w:ascii="Times New Roman" w:hAnsi="Times New Roman" w:cs="Times New Roman"/>
              </w:rPr>
              <w:t>to make a pathological diagnosis of cervical cancer, the following examinations should be performed:</w:t>
            </w:r>
            <w:r w:rsidRPr="00CB2EC4">
              <w:rPr>
                <w:rFonts w:ascii="Times New Roman" w:hAnsi="Times New Roman" w:cs="Times New Roman"/>
              </w:rPr>
              <w:br/>
              <w:t>- Cervical biopsy: this is the core method for pathological diagnosis, used to obtain tissue samples for microscopic examination.</w:t>
            </w:r>
            <w:r w:rsidRPr="00CB2EC4">
              <w:rPr>
                <w:rFonts w:ascii="Times New Roman" w:hAnsi="Times New Roman" w:cs="Times New Roman"/>
              </w:rPr>
              <w:br/>
              <w:t>- Cervical conization: recommended when biopsy cannot determine the depth of invasion or in cases of microinvasive carcinoma (e.g., for confirmation of IA stage).</w:t>
            </w:r>
            <w:r w:rsidRPr="00CB2EC4">
              <w:rPr>
                <w:rFonts w:ascii="Times New Roman" w:hAnsi="Times New Roman" w:cs="Times New Roman"/>
              </w:rPr>
              <w:br/>
              <w:t>- Other auxiliary examinations: including cervical cytology (e.g., TCT), but note that false negatives may occur in adenocarcinoma.</w:t>
            </w:r>
            <w:r w:rsidRPr="00CB2EC4">
              <w:rPr>
                <w:rFonts w:ascii="Times New Roman" w:hAnsi="Times New Roman" w:cs="Times New Roman"/>
              </w:rPr>
              <w:br/>
              <w:t xml:space="preserve">- Rationale: pathological diagnosis is the "gold standard" for cervical cancer; biopsy and conization specimens are used to assess histological type, grade, depth of invasion, etc. Document fragment 1 details </w:t>
            </w:r>
            <w:r w:rsidRPr="00CB2EC4">
              <w:rPr>
                <w:rFonts w:ascii="Times New Roman" w:hAnsi="Times New Roman" w:cs="Times New Roman"/>
              </w:rPr>
              <w:lastRenderedPageBreak/>
              <w:t>the level I recommended examinations for biopsy, conization, and surgical specimens (such as gross and microscopic examination).</w:t>
            </w:r>
            <w:r w:rsidRPr="00CB2EC4">
              <w:rPr>
                <w:rFonts w:ascii="Times New Roman" w:hAnsi="Times New Roman" w:cs="Times New Roman"/>
              </w:rPr>
              <w:br/>
              <w:t>- Contextual sources: level I recommendations for pathological diagnosis in document fragment 2 include cervical biopsy and cytology; document fragment 1 supplements the diagnostic process for conization specimens.</w:t>
            </w:r>
          </w:p>
        </w:tc>
        <w:tc>
          <w:tcPr>
            <w:tcW w:w="1152" w:type="dxa"/>
            <w:vAlign w:val="center"/>
          </w:tcPr>
          <w:p w14:paraId="6EB8F6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E4B7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5A39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C48854" w14:textId="77777777">
        <w:tc>
          <w:tcPr>
            <w:tcW w:w="2160" w:type="dxa"/>
            <w:vAlign w:val="center"/>
          </w:tcPr>
          <w:p w14:paraId="03CA2FF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E9EA078" w14:textId="77777777" w:rsidR="00922249" w:rsidRPr="00CB2EC4" w:rsidRDefault="003011D5">
            <w:pPr>
              <w:rPr>
                <w:rFonts w:ascii="Times New Roman" w:hAnsi="Times New Roman" w:cs="Times New Roman"/>
              </w:rPr>
            </w:pPr>
            <w:r w:rsidRPr="00CB2EC4">
              <w:rPr>
                <w:rFonts w:ascii="Times New Roman" w:hAnsi="Times New Roman" w:cs="Times New Roman"/>
              </w:rPr>
              <w:t>to make a pathological diagnosis of cervical cancer, the following examinations should be performed:</w:t>
            </w:r>
            <w:r w:rsidRPr="00CB2EC4">
              <w:rPr>
                <w:rFonts w:ascii="Times New Roman" w:hAnsi="Times New Roman" w:cs="Times New Roman"/>
              </w:rPr>
              <w:br/>
              <w:t>- Level I recommendation (preferred method): cervical biopsy and cervical cytology examination (e.g., TCT). Cervical biopsy is the core method for obtaining tissue samples for pathological analysis; cervical cytology is used for screening abnormal cells, but note that cervical adenocarcinoma may present with cytological false negatives.</w:t>
            </w:r>
            <w:r w:rsidRPr="00CB2EC4">
              <w:rPr>
                <w:rFonts w:ascii="Times New Roman" w:hAnsi="Times New Roman" w:cs="Times New Roman"/>
              </w:rPr>
              <w:br/>
              <w:t>- Level II recommendation: cervical conization, indicated when cervical biopsy cannot determine the presence or depth of invasion or microinvasive carcinoma, or when cytology results are inconsistent with colposcopic biopsy pathology (e.g., repeated high-grade squamous intraepithelial lesion results).</w:t>
            </w:r>
            <w:r w:rsidRPr="00CB2EC4">
              <w:rPr>
                <w:rFonts w:ascii="Times New Roman" w:hAnsi="Times New Roman" w:cs="Times New Roman"/>
              </w:rPr>
              <w:br/>
              <w:t>- Level III recommendation: fine needle aspiration cytology, indicated when inguinal or cervical lymph node metastasis is suspected.</w:t>
            </w:r>
            <w:r w:rsidRPr="00CB2EC4">
              <w:rPr>
                <w:rFonts w:ascii="Times New Roman" w:hAnsi="Times New Roman" w:cs="Times New Roman"/>
              </w:rPr>
              <w:br/>
              <w:t>The purpose of these examinations is to confirm the type, grade, and invasion status of cervical cancer through histological analysis.</w:t>
            </w:r>
          </w:p>
        </w:tc>
        <w:tc>
          <w:tcPr>
            <w:tcW w:w="1152" w:type="dxa"/>
            <w:vAlign w:val="center"/>
          </w:tcPr>
          <w:p w14:paraId="267F0C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210C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E7F5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D0C6F4" w14:textId="77777777">
        <w:tc>
          <w:tcPr>
            <w:tcW w:w="2160" w:type="dxa"/>
            <w:vAlign w:val="center"/>
          </w:tcPr>
          <w:p w14:paraId="14AED16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1A398C3" w14:textId="77777777" w:rsidR="00922249" w:rsidRPr="00CB2EC4" w:rsidRDefault="003011D5">
            <w:pPr>
              <w:rPr>
                <w:rFonts w:ascii="Times New Roman" w:hAnsi="Times New Roman" w:cs="Times New Roman"/>
              </w:rPr>
            </w:pPr>
            <w:r w:rsidRPr="00CB2EC4">
              <w:rPr>
                <w:rFonts w:ascii="Times New Roman" w:hAnsi="Times New Roman" w:cs="Times New Roman"/>
              </w:rPr>
              <w:t>to make a pathological diagnosis of cervical cancer, the following examinations should be performed:</w:t>
            </w:r>
            <w:r w:rsidRPr="00CB2EC4">
              <w:rPr>
                <w:rFonts w:ascii="Times New Roman" w:hAnsi="Times New Roman" w:cs="Times New Roman"/>
              </w:rPr>
              <w:br/>
            </w:r>
            <w:r w:rsidRPr="00CB2EC4">
              <w:rPr>
                <w:rFonts w:ascii="Times New Roman" w:hAnsi="Times New Roman" w:cs="Times New Roman"/>
              </w:rPr>
              <w:br/>
              <w:t xml:space="preserve">- Level I recommendation:  </w:t>
            </w:r>
            <w:r w:rsidRPr="00CB2EC4">
              <w:rPr>
                <w:rFonts w:ascii="Times New Roman" w:hAnsi="Times New Roman" w:cs="Times New Roman"/>
              </w:rPr>
              <w:br/>
            </w:r>
            <w:r w:rsidRPr="00CB2EC4">
              <w:rPr>
                <w:rFonts w:ascii="Times New Roman" w:hAnsi="Times New Roman" w:cs="Times New Roman"/>
              </w:rPr>
              <w:lastRenderedPageBreak/>
              <w:t xml:space="preserve">  → Cervical biopsy: as the core pathological diagnostic method, used to obtain tissue samples for microscopic examination.  </w:t>
            </w:r>
            <w:r w:rsidRPr="00CB2EC4">
              <w:rPr>
                <w:rFonts w:ascii="Times New Roman" w:hAnsi="Times New Roman" w:cs="Times New Roman"/>
              </w:rPr>
              <w:br/>
              <w:t xml:space="preserve">  → Cervical cytology (e.g., TCT test): used for screening and auxiliary diagnosis; however, note that cervical adenocarcinoma may present with cytological false negatives.  </w:t>
            </w:r>
            <w:r w:rsidRPr="00CB2EC4">
              <w:rPr>
                <w:rFonts w:ascii="Times New Roman" w:hAnsi="Times New Roman" w:cs="Times New Roman"/>
              </w:rPr>
              <w:br/>
              <w:t xml:space="preserve">- Level II recommendation:  </w:t>
            </w:r>
            <w:r w:rsidRPr="00CB2EC4">
              <w:rPr>
                <w:rFonts w:ascii="Times New Roman" w:hAnsi="Times New Roman" w:cs="Times New Roman"/>
              </w:rPr>
              <w:br/>
              <w:t xml:space="preserve">  → Cervical conization: recommended when biopsy cannot determine the depth of invasion (e.g., microinvasive carcinoma) or when cytology and biopsy results are inconsistent (e.g., repeated high-grade squamous intraepithelial lesion but no invasive carcinoma found on biopsy).  </w:t>
            </w:r>
            <w:r w:rsidRPr="00CB2EC4">
              <w:rPr>
                <w:rFonts w:ascii="Times New Roman" w:hAnsi="Times New Roman" w:cs="Times New Roman"/>
              </w:rPr>
              <w:br/>
              <w:t xml:space="preserve">- Level III recommendation:  </w:t>
            </w:r>
            <w:r w:rsidRPr="00CB2EC4">
              <w:rPr>
                <w:rFonts w:ascii="Times New Roman" w:hAnsi="Times New Roman" w:cs="Times New Roman"/>
              </w:rPr>
              <w:br/>
              <w:t xml:space="preserve">  → Fine needle aspiration cytology: used in specific situations, such as when lymph node metastasis is suspected.  </w:t>
            </w:r>
            <w:r w:rsidRPr="00CB2EC4">
              <w:rPr>
                <w:rFonts w:ascii="Times New Roman" w:hAnsi="Times New Roman" w:cs="Times New Roman"/>
              </w:rPr>
              <w:br/>
            </w:r>
            <w:r w:rsidRPr="00CB2EC4">
              <w:rPr>
                <w:rFonts w:ascii="Times New Roman" w:hAnsi="Times New Roman" w:cs="Times New Roman"/>
              </w:rPr>
              <w:br/>
              <w:t xml:space="preserve">Additionally, pathological diagnosis requires gross and microscopic examination (e.g., histological typing, grading, lymphovascular space invasion). Biopsy specimens should be promptly fixed after removal.  </w:t>
            </w:r>
            <w:r w:rsidRPr="00CB2EC4">
              <w:rPr>
                <w:rFonts w:ascii="Times New Roman" w:hAnsi="Times New Roman" w:cs="Times New Roman"/>
              </w:rPr>
              <w:br/>
              <w:t>Conclusion: Pathological diagnosis should include cervical biopsy and cervical cytology, supplemented by cervical conization or fine needle aspiration cytology when necessary.</w:t>
            </w:r>
          </w:p>
        </w:tc>
        <w:tc>
          <w:tcPr>
            <w:tcW w:w="1152" w:type="dxa"/>
            <w:vAlign w:val="center"/>
          </w:tcPr>
          <w:p w14:paraId="4C2823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AE66A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9150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A41917" w14:textId="77777777">
        <w:tc>
          <w:tcPr>
            <w:tcW w:w="2160" w:type="dxa"/>
            <w:vAlign w:val="center"/>
          </w:tcPr>
          <w:p w14:paraId="756D4AC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CDA300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make a pathological diagnosis of cervical cancer, the following examinations should be performed:  </w:t>
            </w:r>
            <w:r w:rsidRPr="00CB2EC4">
              <w:rPr>
                <w:rFonts w:ascii="Times New Roman" w:hAnsi="Times New Roman" w:cs="Times New Roman"/>
              </w:rPr>
              <w:br/>
              <w:t xml:space="preserve">- cervical biopsy and cervical cytology examination.  </w:t>
            </w:r>
            <w:r w:rsidRPr="00CB2EC4">
              <w:rPr>
                <w:rFonts w:ascii="Times New Roman" w:hAnsi="Times New Roman" w:cs="Times New Roman"/>
              </w:rPr>
              <w:br/>
            </w:r>
            <w:r w:rsidRPr="00CB2EC4">
              <w:rPr>
                <w:rFonts w:ascii="Times New Roman" w:hAnsi="Times New Roman" w:cs="Times New Roman"/>
              </w:rPr>
              <w:br/>
              <w:t xml:space="preserve">according to document fragment 3 (similarity: 0.561), under the section "basic principles of cervical cancer </w:t>
            </w:r>
            <w:r w:rsidRPr="00CB2EC4">
              <w:rPr>
                <w:rFonts w:ascii="Times New Roman" w:hAnsi="Times New Roman" w:cs="Times New Roman"/>
              </w:rPr>
              <w:lastRenderedPageBreak/>
              <w:t xml:space="preserve">diagnosis," level I recommendation (highest recommendation level) for pathological diagnosis methods includes:  </w:t>
            </w:r>
            <w:r w:rsidRPr="00CB2EC4">
              <w:rPr>
                <w:rFonts w:ascii="Times New Roman" w:hAnsi="Times New Roman" w:cs="Times New Roman"/>
              </w:rPr>
              <w:br/>
              <w:t xml:space="preserve">- cervical biopsy and cervical cytology examination.  </w:t>
            </w:r>
            <w:r w:rsidRPr="00CB2EC4">
              <w:rPr>
                <w:rFonts w:ascii="Times New Roman" w:hAnsi="Times New Roman" w:cs="Times New Roman"/>
              </w:rPr>
              <w:br/>
            </w:r>
            <w:r w:rsidRPr="00CB2EC4">
              <w:rPr>
                <w:rFonts w:ascii="Times New Roman" w:hAnsi="Times New Roman" w:cs="Times New Roman"/>
              </w:rPr>
              <w:br/>
              <w:t xml:space="preserve">additionally, document fragment 1 (similarity: 0.626) supplements details of pathological diagnosis, such as requirements for examination of biopsy specimens, conization specimens, and surgical specimens (e.g., biopsy specimens require gross and microscopic examination).  </w:t>
            </w:r>
            <w:r w:rsidRPr="00CB2EC4">
              <w:rPr>
                <w:rFonts w:ascii="Times New Roman" w:hAnsi="Times New Roman" w:cs="Times New Roman"/>
              </w:rPr>
              <w:br/>
              <w:t>therefore, to make a pathological diagnosis of cervical cancer, cervical biopsy and cervical cytology examination should be conducted.</w:t>
            </w:r>
          </w:p>
        </w:tc>
        <w:tc>
          <w:tcPr>
            <w:tcW w:w="1152" w:type="dxa"/>
            <w:vAlign w:val="center"/>
          </w:tcPr>
          <w:p w14:paraId="597122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44698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625D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ADDF58" w14:textId="77777777">
        <w:tc>
          <w:tcPr>
            <w:tcW w:w="2160" w:type="dxa"/>
            <w:vAlign w:val="center"/>
          </w:tcPr>
          <w:p w14:paraId="0563679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188E1D8" w14:textId="77777777" w:rsidR="00922249" w:rsidRPr="00CB2EC4" w:rsidRDefault="003011D5">
            <w:pPr>
              <w:rPr>
                <w:rFonts w:ascii="Times New Roman" w:hAnsi="Times New Roman" w:cs="Times New Roman"/>
              </w:rPr>
            </w:pPr>
            <w:r w:rsidRPr="00CB2EC4">
              <w:rPr>
                <w:rFonts w:ascii="Times New Roman" w:hAnsi="Times New Roman" w:cs="Times New Roman"/>
              </w:rPr>
              <w:t>to make a pathological diagnosis of cervical cancer, the following examinations should be performed (sorted by recommendation level):</w:t>
            </w:r>
            <w:r w:rsidRPr="00CB2EC4">
              <w:rPr>
                <w:rFonts w:ascii="Times New Roman" w:hAnsi="Times New Roman" w:cs="Times New Roman"/>
              </w:rPr>
              <w:br/>
            </w:r>
            <w:r w:rsidRPr="00CB2EC4">
              <w:rPr>
                <w:rFonts w:ascii="Times New Roman" w:hAnsi="Times New Roman" w:cs="Times New Roman"/>
              </w:rPr>
              <w:br/>
              <w:t>- Level I recommendation (preferred method): Cervical biopsy. This is the core method for pathological diagnosis, used to obtain tissue samples for microscopic examination (including histological typing, grading, etc.).</w:t>
            </w:r>
            <w:r w:rsidRPr="00CB2EC4">
              <w:rPr>
                <w:rFonts w:ascii="Times New Roman" w:hAnsi="Times New Roman" w:cs="Times New Roman"/>
              </w:rPr>
              <w:br/>
              <w:t>- Level II recommendation: Cervical conization. Recommended when cervical biopsy cannot determine the presence or depth of microinvasive carcinoma (e.g., when invasion depth needs to be clarified), or when cytological findings are inconsistent with biopsy pathology (see Note c).</w:t>
            </w:r>
            <w:r w:rsidRPr="00CB2EC4">
              <w:rPr>
                <w:rFonts w:ascii="Times New Roman" w:hAnsi="Times New Roman" w:cs="Times New Roman"/>
              </w:rPr>
              <w:br/>
              <w:t>- Level III recommendation: Fine needle cytology. Mainly used when suspicious metastasis is present in inguinal or cervical lymph nodes (see Note d).</w:t>
            </w:r>
            <w:r w:rsidRPr="00CB2EC4">
              <w:rPr>
                <w:rFonts w:ascii="Times New Roman" w:hAnsi="Times New Roman" w:cs="Times New Roman"/>
              </w:rPr>
              <w:br/>
            </w:r>
            <w:r w:rsidRPr="00CB2EC4">
              <w:rPr>
                <w:rFonts w:ascii="Times New Roman" w:hAnsi="Times New Roman" w:cs="Times New Roman"/>
              </w:rPr>
              <w:br/>
              <w:t xml:space="preserve">The document emphasizes that pathological diagnosis </w:t>
            </w:r>
            <w:r w:rsidRPr="00CB2EC4">
              <w:rPr>
                <w:rFonts w:ascii="Times New Roman" w:hAnsi="Times New Roman" w:cs="Times New Roman"/>
              </w:rPr>
              <w:lastRenderedPageBreak/>
              <w:t>must combine gross and microscopic examination (such as histological typing, grading, lymphovascular space invasion, etc.), and specimens should be fixed promptly after removal (see Note a).</w:t>
            </w:r>
          </w:p>
        </w:tc>
        <w:tc>
          <w:tcPr>
            <w:tcW w:w="1152" w:type="dxa"/>
            <w:vAlign w:val="center"/>
          </w:tcPr>
          <w:p w14:paraId="0B4CEF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199D2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53948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50B5B2" w14:textId="77777777">
        <w:tc>
          <w:tcPr>
            <w:tcW w:w="2160" w:type="dxa"/>
            <w:vAlign w:val="center"/>
          </w:tcPr>
          <w:p w14:paraId="265DF342"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D49FEF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make a pathological diagnosis of cervical cancer, the following examinations should be performed:  </w:t>
            </w:r>
            <w:r w:rsidRPr="00CB2EC4">
              <w:rPr>
                <w:rFonts w:ascii="Times New Roman" w:hAnsi="Times New Roman" w:cs="Times New Roman"/>
              </w:rPr>
              <w:br/>
              <w:t xml:space="preserve">- Level I recommendation (preferred): cervical biopsy and cervical cytology. These are the gold standard methods for confirming the nature of the lesion.  </w:t>
            </w:r>
            <w:r w:rsidRPr="00CB2EC4">
              <w:rPr>
                <w:rFonts w:ascii="Times New Roman" w:hAnsi="Times New Roman" w:cs="Times New Roman"/>
              </w:rPr>
              <w:br/>
              <w:t xml:space="preserve">- Level II recommendation: cervical conization (when biopsy cannot determine the depth of invasion or there are inconsistent results).  </w:t>
            </w:r>
            <w:r w:rsidRPr="00CB2EC4">
              <w:rPr>
                <w:rFonts w:ascii="Times New Roman" w:hAnsi="Times New Roman" w:cs="Times New Roman"/>
              </w:rPr>
              <w:br/>
              <w:t xml:space="preserve">- Level III recommendation: fine needle cytology (for suspected lymph node metastasis).  </w:t>
            </w:r>
            <w:r w:rsidRPr="00CB2EC4">
              <w:rPr>
                <w:rFonts w:ascii="Times New Roman" w:hAnsi="Times New Roman" w:cs="Times New Roman"/>
              </w:rPr>
              <w:br/>
              <w:t>Pathological diagnosis must be based on microscopic examination of tissue samples, including histological typing, grading, etc.</w:t>
            </w:r>
          </w:p>
        </w:tc>
        <w:tc>
          <w:tcPr>
            <w:tcW w:w="1152" w:type="dxa"/>
            <w:vAlign w:val="center"/>
          </w:tcPr>
          <w:p w14:paraId="1AC761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DFB5E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652B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BC0DA7C" w14:textId="77777777">
        <w:tc>
          <w:tcPr>
            <w:tcW w:w="2160" w:type="dxa"/>
            <w:vAlign w:val="center"/>
          </w:tcPr>
          <w:p w14:paraId="7E574387"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4C69863" w14:textId="77777777" w:rsidR="00922249" w:rsidRPr="00CB2EC4" w:rsidRDefault="003011D5">
            <w:pPr>
              <w:rPr>
                <w:rFonts w:ascii="Times New Roman" w:hAnsi="Times New Roman" w:cs="Times New Roman"/>
              </w:rPr>
            </w:pPr>
            <w:r w:rsidRPr="00CB2EC4">
              <w:rPr>
                <w:rFonts w:ascii="Times New Roman" w:hAnsi="Times New Roman" w:cs="Times New Roman"/>
              </w:rPr>
              <w:t>to make a pathological diagnosis of cervical cancer, the following examinations should be performed:</w:t>
            </w:r>
            <w:r w:rsidRPr="00CB2EC4">
              <w:rPr>
                <w:rFonts w:ascii="Times New Roman" w:hAnsi="Times New Roman" w:cs="Times New Roman"/>
              </w:rPr>
              <w:br/>
            </w:r>
            <w:r w:rsidRPr="00CB2EC4">
              <w:rPr>
                <w:rFonts w:ascii="Times New Roman" w:hAnsi="Times New Roman" w:cs="Times New Roman"/>
              </w:rPr>
              <w:br/>
              <w:t xml:space="preserve">- Level I recommendation (highest recommendation level):  </w:t>
            </w:r>
            <w:r w:rsidRPr="00CB2EC4">
              <w:rPr>
                <w:rFonts w:ascii="Times New Roman" w:hAnsi="Times New Roman" w:cs="Times New Roman"/>
              </w:rPr>
              <w:br/>
              <w:t xml:space="preserve">  - Cervical biopsy: as the core method for direct acquisition of tissue samples for pathological analysis.  </w:t>
            </w:r>
            <w:r w:rsidRPr="00CB2EC4">
              <w:rPr>
                <w:rFonts w:ascii="Times New Roman" w:hAnsi="Times New Roman" w:cs="Times New Roman"/>
              </w:rPr>
              <w:br/>
              <w:t xml:space="preserve">  - Cervical cytology: used for screening and preliminary diagnosis; however, note that false negatives may occur in cervical adenocarcinoma (note b).  </w:t>
            </w:r>
            <w:r w:rsidRPr="00CB2EC4">
              <w:rPr>
                <w:rFonts w:ascii="Times New Roman" w:hAnsi="Times New Roman" w:cs="Times New Roman"/>
              </w:rPr>
              <w:br/>
              <w:t xml:space="preserve">- Level II recommendation:  </w:t>
            </w:r>
            <w:r w:rsidRPr="00CB2EC4">
              <w:rPr>
                <w:rFonts w:ascii="Times New Roman" w:hAnsi="Times New Roman" w:cs="Times New Roman"/>
              </w:rPr>
              <w:br/>
              <w:t xml:space="preserve">  - Cervical conization: recommended when cervical biopsy cannot determine the presence or absence of invasion or microinvasive carcinoma, to clarify the depth of invasion (note c).  </w:t>
            </w:r>
            <w:r w:rsidRPr="00CB2EC4">
              <w:rPr>
                <w:rFonts w:ascii="Times New Roman" w:hAnsi="Times New Roman" w:cs="Times New Roman"/>
              </w:rPr>
              <w:br/>
            </w:r>
            <w:r w:rsidRPr="00CB2EC4">
              <w:rPr>
                <w:rFonts w:ascii="Times New Roman" w:hAnsi="Times New Roman" w:cs="Times New Roman"/>
              </w:rPr>
              <w:lastRenderedPageBreak/>
              <w:t xml:space="preserve">- Level III recommendation:  </w:t>
            </w:r>
            <w:r w:rsidRPr="00CB2EC4">
              <w:rPr>
                <w:rFonts w:ascii="Times New Roman" w:hAnsi="Times New Roman" w:cs="Times New Roman"/>
              </w:rPr>
              <w:br/>
              <w:t xml:space="preserve">  - Fine needle aspiration cytology: recommended when inguinal or cervical lymph node metastasis is suspected, to establish a definitive diagnosis (note d).  </w:t>
            </w:r>
            <w:r w:rsidRPr="00CB2EC4">
              <w:rPr>
                <w:rFonts w:ascii="Times New Roman" w:hAnsi="Times New Roman" w:cs="Times New Roman"/>
              </w:rPr>
              <w:br/>
            </w:r>
            <w:r w:rsidRPr="00CB2EC4">
              <w:rPr>
                <w:rFonts w:ascii="Times New Roman" w:hAnsi="Times New Roman" w:cs="Times New Roman"/>
              </w:rPr>
              <w:br/>
              <w:t>These examinations are standard tools for pathological diagnosis and must be combined with histological analysis (including gross and microscopic examination) to confirm the type and grade of cervical cancer.</w:t>
            </w:r>
          </w:p>
        </w:tc>
        <w:tc>
          <w:tcPr>
            <w:tcW w:w="1152" w:type="dxa"/>
            <w:vAlign w:val="center"/>
          </w:tcPr>
          <w:p w14:paraId="01D102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A47AE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F749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DCB7E0" w14:textId="77777777">
        <w:tc>
          <w:tcPr>
            <w:tcW w:w="2160" w:type="dxa"/>
            <w:vAlign w:val="center"/>
          </w:tcPr>
          <w:p w14:paraId="708AAB86"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2E323C7" w14:textId="77777777" w:rsidR="00922249" w:rsidRPr="00CB2EC4" w:rsidRDefault="003011D5">
            <w:pPr>
              <w:rPr>
                <w:rFonts w:ascii="Times New Roman" w:hAnsi="Times New Roman" w:cs="Times New Roman"/>
              </w:rPr>
            </w:pPr>
            <w:r w:rsidRPr="00CB2EC4">
              <w:rPr>
                <w:rFonts w:ascii="Times New Roman" w:hAnsi="Times New Roman" w:cs="Times New Roman"/>
              </w:rPr>
              <w:t>to make a pathological diagnosis of cervical cancer, the following examinations should be performed:</w:t>
            </w:r>
            <w:r w:rsidRPr="00CB2EC4">
              <w:rPr>
                <w:rFonts w:ascii="Times New Roman" w:hAnsi="Times New Roman" w:cs="Times New Roman"/>
              </w:rPr>
              <w:br/>
            </w:r>
            <w:r w:rsidRPr="00CB2EC4">
              <w:rPr>
                <w:rFonts w:ascii="Times New Roman" w:hAnsi="Times New Roman" w:cs="Times New Roman"/>
              </w:rPr>
              <w:br/>
              <w:t>response: according to document fragment 1 (relevance: 0.9875) and fragment 3 (relevance: 0.9667), the core examinations for pathological diagnosis are:</w:t>
            </w:r>
            <w:r w:rsidRPr="00CB2EC4">
              <w:rPr>
                <w:rFonts w:ascii="Times New Roman" w:hAnsi="Times New Roman" w:cs="Times New Roman"/>
              </w:rPr>
              <w:br/>
              <w:t xml:space="preserve">  - level I recommendation: cervical biopsy (preferred method).</w:t>
            </w:r>
            <w:r w:rsidRPr="00CB2EC4">
              <w:rPr>
                <w:rFonts w:ascii="Times New Roman" w:hAnsi="Times New Roman" w:cs="Times New Roman"/>
              </w:rPr>
              <w:br/>
              <w:t xml:space="preserve">  - level II recommendation: cervical conization (when biopsy cannot determine the depth of invasion or when cytology and biopsy results are inconsistent).</w:t>
            </w:r>
            <w:r w:rsidRPr="00CB2EC4">
              <w:rPr>
                <w:rFonts w:ascii="Times New Roman" w:hAnsi="Times New Roman" w:cs="Times New Roman"/>
              </w:rPr>
              <w:br/>
              <w:t xml:space="preserve">  - level III recommendation: fine needle cytology (used when suspicious metastasis is present in inguinal or cervical lymph nodes).</w:t>
            </w:r>
            <w:r w:rsidRPr="00CB2EC4">
              <w:rPr>
                <w:rFonts w:ascii="Times New Roman" w:hAnsi="Times New Roman" w:cs="Times New Roman"/>
              </w:rPr>
              <w:br/>
              <w:t xml:space="preserve">  - additionally, surgical specimens must undergo gross and microscopic examination (fragment 3).</w:t>
            </w:r>
          </w:p>
        </w:tc>
        <w:tc>
          <w:tcPr>
            <w:tcW w:w="1152" w:type="dxa"/>
            <w:vAlign w:val="center"/>
          </w:tcPr>
          <w:p w14:paraId="2EE032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0134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5473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E394E1" w14:textId="77777777">
        <w:tc>
          <w:tcPr>
            <w:tcW w:w="2160" w:type="dxa"/>
            <w:vAlign w:val="center"/>
          </w:tcPr>
          <w:p w14:paraId="0B86C45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C27581C" w14:textId="77777777" w:rsidR="00922249" w:rsidRPr="00CB2EC4" w:rsidRDefault="003011D5">
            <w:pPr>
              <w:rPr>
                <w:rFonts w:ascii="Times New Roman" w:hAnsi="Times New Roman" w:cs="Times New Roman"/>
              </w:rPr>
            </w:pPr>
            <w:r w:rsidRPr="00CB2EC4">
              <w:rPr>
                <w:rFonts w:ascii="Times New Roman" w:hAnsi="Times New Roman" w:cs="Times New Roman"/>
              </w:rPr>
              <w:t>to make a pathological diagnosis of cervical cancer, the following examinations should be performed:</w:t>
            </w:r>
            <w:r w:rsidRPr="00CB2EC4">
              <w:rPr>
                <w:rFonts w:ascii="Times New Roman" w:hAnsi="Times New Roman" w:cs="Times New Roman"/>
              </w:rPr>
              <w:br/>
            </w:r>
            <w:r w:rsidRPr="00CB2EC4">
              <w:rPr>
                <w:rFonts w:ascii="Times New Roman" w:hAnsi="Times New Roman" w:cs="Times New Roman"/>
              </w:rPr>
              <w:br/>
              <w:t xml:space="preserve">- Pathological diagnosis: cervical biopsy is recommended as Level I.  </w:t>
            </w:r>
            <w:r w:rsidRPr="00CB2EC4">
              <w:rPr>
                <w:rFonts w:ascii="Times New Roman" w:hAnsi="Times New Roman" w:cs="Times New Roman"/>
              </w:rPr>
              <w:br/>
              <w:t xml:space="preserve">  Note c: When cervical biopsy cannot determine the </w:t>
            </w:r>
            <w:r w:rsidRPr="00CB2EC4">
              <w:rPr>
                <w:rFonts w:ascii="Times New Roman" w:hAnsi="Times New Roman" w:cs="Times New Roman"/>
              </w:rPr>
              <w:lastRenderedPageBreak/>
              <w:t>depth of infiltration (e.g., microinvasive carcinoma), diagnostic cervical conization is recommended.</w:t>
            </w:r>
            <w:r w:rsidRPr="00CB2EC4">
              <w:rPr>
                <w:rFonts w:ascii="Times New Roman" w:hAnsi="Times New Roman" w:cs="Times New Roman"/>
              </w:rPr>
              <w:br/>
            </w:r>
            <w:r w:rsidRPr="00CB2EC4">
              <w:rPr>
                <w:rFonts w:ascii="Times New Roman" w:hAnsi="Times New Roman" w:cs="Times New Roman"/>
              </w:rPr>
              <w:br/>
              <w:t>- Cervical conization is recommended as Level II.</w:t>
            </w:r>
            <w:r w:rsidRPr="00CB2EC4">
              <w:rPr>
                <w:rFonts w:ascii="Times New Roman" w:hAnsi="Times New Roman" w:cs="Times New Roman"/>
              </w:rPr>
              <w:br/>
            </w:r>
            <w:r w:rsidRPr="00CB2EC4">
              <w:rPr>
                <w:rFonts w:ascii="Times New Roman" w:hAnsi="Times New Roman" w:cs="Times New Roman"/>
              </w:rPr>
              <w:br/>
              <w:t>- Fine needle aspiration cytology is recommended as Level III.</w:t>
            </w:r>
            <w:r w:rsidRPr="00CB2EC4">
              <w:rPr>
                <w:rFonts w:ascii="Times New Roman" w:hAnsi="Times New Roman" w:cs="Times New Roman"/>
              </w:rPr>
              <w:br/>
            </w:r>
            <w:r w:rsidRPr="00CB2EC4">
              <w:rPr>
                <w:rFonts w:ascii="Times New Roman" w:hAnsi="Times New Roman" w:cs="Times New Roman"/>
              </w:rPr>
              <w:br/>
              <w:t>Based on the above:</w:t>
            </w:r>
            <w:r w:rsidRPr="00CB2EC4">
              <w:rPr>
                <w:rFonts w:ascii="Times New Roman" w:hAnsi="Times New Roman" w:cs="Times New Roman"/>
              </w:rPr>
              <w:br/>
              <w:t>- Prioritize cervical biopsy as the foundational method.</w:t>
            </w:r>
            <w:r w:rsidRPr="00CB2EC4">
              <w:rPr>
                <w:rFonts w:ascii="Times New Roman" w:hAnsi="Times New Roman" w:cs="Times New Roman"/>
              </w:rPr>
              <w:br/>
              <w:t>- If biopsy results are unsatisfactory or the depth of infiltration needs clarification (e.g., Stage IA), cervical conization is recommended as a supplementary examination.</w:t>
            </w:r>
            <w:r w:rsidRPr="00CB2EC4">
              <w:rPr>
                <w:rFonts w:ascii="Times New Roman" w:hAnsi="Times New Roman" w:cs="Times New Roman"/>
              </w:rPr>
              <w:br/>
              <w:t>- Fine needle aspiration cytology is only recommended as Level III in specific situations, such as when lymph node metastasis is suspected.</w:t>
            </w:r>
          </w:p>
        </w:tc>
        <w:tc>
          <w:tcPr>
            <w:tcW w:w="1152" w:type="dxa"/>
            <w:vAlign w:val="center"/>
          </w:tcPr>
          <w:p w14:paraId="1C6C09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7B433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213B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D7916B" w14:textId="77777777">
        <w:tc>
          <w:tcPr>
            <w:tcW w:w="2160" w:type="dxa"/>
            <w:vAlign w:val="center"/>
          </w:tcPr>
          <w:p w14:paraId="25D33AD4"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384AE9C" w14:textId="77777777" w:rsidR="00922249" w:rsidRPr="00CB2EC4" w:rsidRDefault="003011D5">
            <w:pPr>
              <w:rPr>
                <w:rFonts w:ascii="Times New Roman" w:hAnsi="Times New Roman" w:cs="Times New Roman"/>
              </w:rPr>
            </w:pPr>
            <w:r w:rsidRPr="00CB2EC4">
              <w:rPr>
                <w:rFonts w:ascii="Times New Roman" w:hAnsi="Times New Roman" w:cs="Times New Roman"/>
              </w:rPr>
              <w:t>to make a pathological diagnosis of cervical cancer, the following examinations should be performed:</w:t>
            </w:r>
            <w:r w:rsidRPr="00CB2EC4">
              <w:rPr>
                <w:rFonts w:ascii="Times New Roman" w:hAnsi="Times New Roman" w:cs="Times New Roman"/>
              </w:rPr>
              <w:br/>
            </w:r>
            <w:r w:rsidRPr="00CB2EC4">
              <w:rPr>
                <w:rFonts w:ascii="Times New Roman" w:hAnsi="Times New Roman" w:cs="Times New Roman"/>
              </w:rPr>
              <w:br/>
              <w:t>cervical histological examination, specifically including cervical biopsy (such as multiple-site biopsy or colposcopy-guided biopsy) or cervical conization (such as LEEP or cold knife conization). these procedures obtain tissue samples for pathological evaluation to confirm the type of malignancy and depth of invasion.</w:t>
            </w:r>
          </w:p>
        </w:tc>
        <w:tc>
          <w:tcPr>
            <w:tcW w:w="1152" w:type="dxa"/>
            <w:vAlign w:val="center"/>
          </w:tcPr>
          <w:p w14:paraId="042B57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DB9AF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7F61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CD2B8FF" w14:textId="77777777">
        <w:tc>
          <w:tcPr>
            <w:tcW w:w="10656" w:type="dxa"/>
            <w:gridSpan w:val="5"/>
            <w:tcBorders>
              <w:bottom w:val="single" w:sz="6" w:space="0" w:color="auto"/>
            </w:tcBorders>
            <w:vAlign w:val="center"/>
          </w:tcPr>
          <w:p w14:paraId="54F2AC8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43: What tumor markers can be tested for laboratory diagnosis of cervical cancer? What is the significance of each tumor marker detected?</w:t>
            </w:r>
          </w:p>
        </w:tc>
      </w:tr>
      <w:tr w:rsidR="00922249" w:rsidRPr="00CB2EC4" w14:paraId="7993931E" w14:textId="77777777">
        <w:tc>
          <w:tcPr>
            <w:tcW w:w="2160" w:type="dxa"/>
            <w:vAlign w:val="center"/>
          </w:tcPr>
          <w:p w14:paraId="3B1000AE"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FF6D85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cervical cancer laboratory diagnosis can detect the following tumor markers, with their significance based on tumor type (as specified in the source </w:t>
            </w:r>
            <w:r w:rsidRPr="00CB2EC4">
              <w:rPr>
                <w:rFonts w:ascii="Times New Roman" w:hAnsi="Times New Roman" w:cs="Times New Roman"/>
              </w:rPr>
              <w:lastRenderedPageBreak/>
              <w:t>document):</w:t>
            </w:r>
            <w:r w:rsidRPr="00CB2EC4">
              <w:rPr>
                <w:rFonts w:ascii="Times New Roman" w:hAnsi="Times New Roman" w:cs="Times New Roman"/>
              </w:rPr>
              <w:br/>
              <w:t xml:space="preserve">  - SCC (Squamous Cell Carcinoma Antigen): Primarily used for the diagnosis and monitoring of cervical squamous cell carcinoma. Significance: Reflects tumor burden in squamous cell carcinoma and aids in assessing treatment efficacy and recurrence risk.</w:t>
            </w:r>
            <w:r w:rsidRPr="00CB2EC4">
              <w:rPr>
                <w:rFonts w:ascii="Times New Roman" w:hAnsi="Times New Roman" w:cs="Times New Roman"/>
              </w:rPr>
              <w:br/>
              <w:t xml:space="preserve">  - CA125: Primarily used for the diagnosis and monitoring of cervical adenocarcinoma. Significance: Commonly used to monitor disease progression and treatment response in adenocarcinoma.</w:t>
            </w:r>
            <w:r w:rsidRPr="00CB2EC4">
              <w:rPr>
                <w:rFonts w:ascii="Times New Roman" w:hAnsi="Times New Roman" w:cs="Times New Roman"/>
              </w:rPr>
              <w:br/>
              <w:t xml:space="preserve">  - CEA (Carcinoembryonic Antigen) and CA19-9: Primarily used for the diagnosis of cervical gastric-type adenocarcinoma. Significance: Combined detection of CEA and CA19-9 helps identify gastric-type adenocarcinoma (a specific subtype) and evaluate its malignancy degree.</w:t>
            </w:r>
            <w:r w:rsidRPr="00CB2EC4">
              <w:rPr>
                <w:rFonts w:ascii="Times New Roman" w:hAnsi="Times New Roman" w:cs="Times New Roman"/>
              </w:rPr>
              <w:br/>
              <w:t xml:space="preserve">  - NSE (Neuron-Specific Enolase): Primarily used for the diagnosis of cervical small cell neuroendocrine carcinoma. Significance: Serves as a marker for neuroendocrine tumors, aiding in the confirmation and monitoring of this rare but highly aggressive tumor type.</w:t>
            </w:r>
            <w:r w:rsidRPr="00CB2EC4">
              <w:rPr>
                <w:rFonts w:ascii="Times New Roman" w:hAnsi="Times New Roman" w:cs="Times New Roman"/>
              </w:rPr>
              <w:br/>
              <w:t>- Other notes: HPV testing is also a level I recommended laboratory diagnostic method for evaluating HPV infection status (the main etiological factor for cervical cancer), but as the question specifically asks for tumor markers, it is not listed here.</w:t>
            </w:r>
            <w:r w:rsidRPr="00CB2EC4">
              <w:rPr>
                <w:rFonts w:ascii="Times New Roman" w:hAnsi="Times New Roman" w:cs="Times New Roman"/>
              </w:rPr>
              <w:br/>
              <w:t xml:space="preserve">- Basis: The source document explicitly specifies these markers and their associations with specific tumor types in the "2.1 Basic Principles of Cervical Cancer Diagnosis" section under laboratory diagnosis and in footnote e (context: "Tumor marker detection: </w:t>
            </w:r>
            <w:r w:rsidRPr="00CB2EC4">
              <w:rPr>
                <w:rFonts w:ascii="Times New Roman" w:hAnsi="Times New Roman" w:cs="Times New Roman"/>
              </w:rPr>
              <w:lastRenderedPageBreak/>
              <w:t>SCC, CEA, CA125, CA19-9 and NSE etc. tumor markerse"; footnote e: "Cervical squamous cell carcinoma: recommend detecting SCC; cervical adenocarcinoma: recommend detecting CA125; cervical gastric-type adenocarcinoma: recommend detecting CEA, CA19-9; cervical small cell neuroendocrine carcinoma: recommend detecting NSE").</w:t>
            </w:r>
          </w:p>
        </w:tc>
        <w:tc>
          <w:tcPr>
            <w:tcW w:w="1152" w:type="dxa"/>
            <w:vAlign w:val="center"/>
          </w:tcPr>
          <w:p w14:paraId="6BD781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5801B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A84C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5B44D5C" w14:textId="77777777">
        <w:tc>
          <w:tcPr>
            <w:tcW w:w="2160" w:type="dxa"/>
            <w:vAlign w:val="center"/>
          </w:tcPr>
          <w:p w14:paraId="2D7FDE2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1D7A92E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Detectable tumor markers and their corresponding significance are as follows:  </w:t>
            </w:r>
            <w:r w:rsidRPr="00CB2EC4">
              <w:rPr>
                <w:rFonts w:ascii="Times New Roman" w:hAnsi="Times New Roman" w:cs="Times New Roman"/>
              </w:rPr>
              <w:br/>
              <w:t xml:space="preserve">  - SCC: Recommended for cervical squamous cell carcinoma.  </w:t>
            </w:r>
            <w:r w:rsidRPr="00CB2EC4">
              <w:rPr>
                <w:rFonts w:ascii="Times New Roman" w:hAnsi="Times New Roman" w:cs="Times New Roman"/>
              </w:rPr>
              <w:br/>
              <w:t xml:space="preserve">  - CA125: Recommended for cervical adenocarcinoma.  </w:t>
            </w:r>
            <w:r w:rsidRPr="00CB2EC4">
              <w:rPr>
                <w:rFonts w:ascii="Times New Roman" w:hAnsi="Times New Roman" w:cs="Times New Roman"/>
              </w:rPr>
              <w:br/>
              <w:t xml:space="preserve">  - CEA and CA19-9: Recommended for cervical gastric-type adenocarcinoma.  </w:t>
            </w:r>
            <w:r w:rsidRPr="00CB2EC4">
              <w:rPr>
                <w:rFonts w:ascii="Times New Roman" w:hAnsi="Times New Roman" w:cs="Times New Roman"/>
              </w:rPr>
              <w:br/>
              <w:t xml:space="preserve">  - NSE: Recommended for cervical small cell neuroendocrine carcinoma.  </w:t>
            </w:r>
            <w:r w:rsidRPr="00CB2EC4">
              <w:rPr>
                <w:rFonts w:ascii="Times New Roman" w:hAnsi="Times New Roman" w:cs="Times New Roman"/>
              </w:rPr>
              <w:br/>
              <w:t xml:space="preserve">  - Significance note: The document only states that these markers are recommended tests for specific types of cervical cancer but does not provide detailed descriptions of their clinical significance (such as prognosis or diagnostic sensitivity). Therefore, based on the document, specific explanations of their significance cannot be provided.</w:t>
            </w:r>
          </w:p>
        </w:tc>
        <w:tc>
          <w:tcPr>
            <w:tcW w:w="1152" w:type="dxa"/>
            <w:vAlign w:val="center"/>
          </w:tcPr>
          <w:p w14:paraId="026270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8C3E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46C3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B5D746" w14:textId="77777777">
        <w:tc>
          <w:tcPr>
            <w:tcW w:w="2160" w:type="dxa"/>
            <w:vAlign w:val="center"/>
          </w:tcPr>
          <w:p w14:paraId="2108CB9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978365A" w14:textId="77777777" w:rsidR="00922249" w:rsidRPr="00CB2EC4" w:rsidRDefault="003011D5">
            <w:pPr>
              <w:rPr>
                <w:rFonts w:ascii="Times New Roman" w:hAnsi="Times New Roman" w:cs="Times New Roman"/>
              </w:rPr>
            </w:pPr>
            <w:r w:rsidRPr="00CB2EC4">
              <w:rPr>
                <w:rFonts w:ascii="Times New Roman" w:hAnsi="Times New Roman" w:cs="Times New Roman"/>
              </w:rPr>
              <w:t>cervical cancer laboratory diagnosis can detect the following tumor markers: SCC, CA125, CEA, CA19-9, and NSE. The significance of each detected tumor marker is based on the histological type of the tumor, as detailed below:</w:t>
            </w:r>
            <w:r w:rsidRPr="00CB2EC4">
              <w:rPr>
                <w:rFonts w:ascii="Times New Roman" w:hAnsi="Times New Roman" w:cs="Times New Roman"/>
              </w:rPr>
              <w:br/>
            </w:r>
            <w:r w:rsidRPr="00CB2EC4">
              <w:rPr>
                <w:rFonts w:ascii="Times New Roman" w:hAnsi="Times New Roman" w:cs="Times New Roman"/>
              </w:rPr>
              <w:br/>
              <w:t xml:space="preserve">- **SCC (Squamous Cell Carcinoma Antigen)**: Recommended for cervical squamous cell carcinoma; </w:t>
            </w:r>
            <w:r w:rsidRPr="00CB2EC4">
              <w:rPr>
                <w:rFonts w:ascii="Times New Roman" w:hAnsi="Times New Roman" w:cs="Times New Roman"/>
              </w:rPr>
              <w:lastRenderedPageBreak/>
              <w:t>used in diagnosis and monitoring to reflect tumor burden of squamous cell origin.</w:t>
            </w:r>
            <w:r w:rsidRPr="00CB2EC4">
              <w:rPr>
                <w:rFonts w:ascii="Times New Roman" w:hAnsi="Times New Roman" w:cs="Times New Roman"/>
              </w:rPr>
              <w:br/>
              <w:t>- **CA125**: Recommended for cervical adenocarcinoma; used in diagnosis and monitoring, associated with adenocarcinoma progression.</w:t>
            </w:r>
            <w:r w:rsidRPr="00CB2EC4">
              <w:rPr>
                <w:rFonts w:ascii="Times New Roman" w:hAnsi="Times New Roman" w:cs="Times New Roman"/>
              </w:rPr>
              <w:br/>
              <w:t>- **CEA (Carcinoembryonic Antigen) and CA19-9**: Recommended for cervical gastric-type adenocarcinoma; CEA is related to adenocarcinoma differentiation, CA19-9 is associated with mucinous adenocarcinoma.</w:t>
            </w:r>
            <w:r w:rsidRPr="00CB2EC4">
              <w:rPr>
                <w:rFonts w:ascii="Times New Roman" w:hAnsi="Times New Roman" w:cs="Times New Roman"/>
              </w:rPr>
              <w:br/>
              <w:t>- **NSE (Neuron-Specific Enolase)**: Recommended for cervical small cell neuroendocrine carcinoma; used in diagnosis and monitoring to reflect neuroendocrine differentiation.</w:t>
            </w:r>
            <w:r w:rsidRPr="00CB2EC4">
              <w:rPr>
                <w:rFonts w:ascii="Times New Roman" w:hAnsi="Times New Roman" w:cs="Times New Roman"/>
              </w:rPr>
              <w:br/>
            </w:r>
            <w:r w:rsidRPr="00CB2EC4">
              <w:rPr>
                <w:rFonts w:ascii="Times New Roman" w:hAnsi="Times New Roman" w:cs="Times New Roman"/>
              </w:rPr>
              <w:br/>
              <w:t>These tumor markers are used in laboratory diagnosis to assist in histological subtyping, assess disease status, and monitor recurrence, but must be combined with other diagnostic methods.</w:t>
            </w:r>
          </w:p>
        </w:tc>
        <w:tc>
          <w:tcPr>
            <w:tcW w:w="1152" w:type="dxa"/>
            <w:vAlign w:val="center"/>
          </w:tcPr>
          <w:p w14:paraId="43C9FF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520A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7AD7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564B8E" w14:textId="77777777">
        <w:tc>
          <w:tcPr>
            <w:tcW w:w="2160" w:type="dxa"/>
            <w:vAlign w:val="center"/>
          </w:tcPr>
          <w:p w14:paraId="1B105F50"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E255375" w14:textId="77777777" w:rsidR="00922249" w:rsidRPr="00CB2EC4" w:rsidRDefault="003011D5">
            <w:pPr>
              <w:rPr>
                <w:rFonts w:ascii="Times New Roman" w:hAnsi="Times New Roman" w:cs="Times New Roman"/>
              </w:rPr>
            </w:pPr>
            <w:r w:rsidRPr="00CB2EC4">
              <w:rPr>
                <w:rFonts w:ascii="Times New Roman" w:hAnsi="Times New Roman" w:cs="Times New Roman"/>
              </w:rPr>
              <w:t>| Tumor Type                  | Biomarker(s)         | Clinical Significance                          |</w:t>
            </w:r>
            <w:r w:rsidRPr="00CB2EC4">
              <w:rPr>
                <w:rFonts w:ascii="Times New Roman" w:hAnsi="Times New Roman" w:cs="Times New Roman"/>
              </w:rPr>
              <w:br/>
              <w:t>|-----------------------------|----------------------|------------------------------------------------|</w:t>
            </w:r>
            <w:r w:rsidRPr="00CB2EC4">
              <w:rPr>
                <w:rFonts w:ascii="Times New Roman" w:hAnsi="Times New Roman" w:cs="Times New Roman"/>
              </w:rPr>
              <w:br/>
              <w:t>| Cervical squamous cell carcinoma | SCC                  | Primary monitoring indicator (Level I recommendation) |</w:t>
            </w:r>
            <w:r w:rsidRPr="00CB2EC4">
              <w:rPr>
                <w:rFonts w:ascii="Times New Roman" w:hAnsi="Times New Roman" w:cs="Times New Roman"/>
              </w:rPr>
              <w:br/>
              <w:t>| Cervical adenocarcinoma      | CA125                | Auxiliary diagnosis and monitoring (Level I recommendation) |</w:t>
            </w:r>
            <w:r w:rsidRPr="00CB2EC4">
              <w:rPr>
                <w:rFonts w:ascii="Times New Roman" w:hAnsi="Times New Roman" w:cs="Times New Roman"/>
              </w:rPr>
              <w:br/>
              <w:t>| Cervical gastric-type adenocarcinoma | CEA, CA19-9          | Higher specificity (Level I recommendation)   |</w:t>
            </w:r>
            <w:r w:rsidRPr="00CB2EC4">
              <w:rPr>
                <w:rFonts w:ascii="Times New Roman" w:hAnsi="Times New Roman" w:cs="Times New Roman"/>
              </w:rPr>
              <w:br/>
              <w:t xml:space="preserve">| Small cell neuroendocrine carcinoma | NSE                  | Neuroendocrine differentiation marker (Level I </w:t>
            </w:r>
            <w:r w:rsidRPr="00CB2EC4">
              <w:rPr>
                <w:rFonts w:ascii="Times New Roman" w:hAnsi="Times New Roman" w:cs="Times New Roman"/>
              </w:rPr>
              <w:lastRenderedPageBreak/>
              <w:t>recommendation) |</w:t>
            </w:r>
            <w:r w:rsidRPr="00CB2EC4">
              <w:rPr>
                <w:rFonts w:ascii="Times New Roman" w:hAnsi="Times New Roman" w:cs="Times New Roman"/>
              </w:rPr>
              <w:br/>
            </w:r>
            <w:r w:rsidRPr="00CB2EC4">
              <w:rPr>
                <w:rFonts w:ascii="Times New Roman" w:hAnsi="Times New Roman" w:cs="Times New Roman"/>
              </w:rPr>
              <w:br/>
              <w:t>&gt; *Source: Section "2.1 Laboratory Diagnosis" footnote e and table.*</w:t>
            </w:r>
          </w:p>
        </w:tc>
        <w:tc>
          <w:tcPr>
            <w:tcW w:w="1152" w:type="dxa"/>
            <w:vAlign w:val="center"/>
          </w:tcPr>
          <w:p w14:paraId="58FF8F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391B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E683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33890E" w14:textId="77777777">
        <w:tc>
          <w:tcPr>
            <w:tcW w:w="2160" w:type="dxa"/>
            <w:vAlign w:val="center"/>
          </w:tcPr>
          <w:p w14:paraId="639D59E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68EF286" w14:textId="77777777" w:rsidR="00922249" w:rsidRPr="00CB2EC4" w:rsidRDefault="003011D5">
            <w:pPr>
              <w:rPr>
                <w:rFonts w:ascii="Times New Roman" w:hAnsi="Times New Roman" w:cs="Times New Roman"/>
              </w:rPr>
            </w:pPr>
            <w:r w:rsidRPr="00CB2EC4">
              <w:rPr>
                <w:rFonts w:ascii="Times New Roman" w:hAnsi="Times New Roman" w:cs="Times New Roman"/>
              </w:rPr>
              <w:t>cervical cancer laboratory diagnosis can detect the following tumor markers, with their significance based on histological type:</w:t>
            </w:r>
            <w:r w:rsidRPr="00CB2EC4">
              <w:rPr>
                <w:rFonts w:ascii="Times New Roman" w:hAnsi="Times New Roman" w:cs="Times New Roman"/>
              </w:rPr>
              <w:br/>
            </w:r>
            <w:r w:rsidRPr="00CB2EC4">
              <w:rPr>
                <w:rFonts w:ascii="Times New Roman" w:hAnsi="Times New Roman" w:cs="Times New Roman"/>
              </w:rPr>
              <w:br/>
              <w:t xml:space="preserve">- SCC (Squamous Cell Carcinoma Antigen):  </w:t>
            </w:r>
            <w:r w:rsidRPr="00CB2EC4">
              <w:rPr>
                <w:rFonts w:ascii="Times New Roman" w:hAnsi="Times New Roman" w:cs="Times New Roman"/>
              </w:rPr>
              <w:br/>
              <w:t xml:space="preserve">  - Significance: Primarily used for the diagnosis and monitoring of cervical squamous cell carcinoma. Elevated SCC levels indicate the presence of squamous cell carcinoma and assist in evaluating treatment response and recurrence risk.  </w:t>
            </w:r>
            <w:r w:rsidRPr="00CB2EC4">
              <w:rPr>
                <w:rFonts w:ascii="Times New Roman" w:hAnsi="Times New Roman" w:cs="Times New Roman"/>
              </w:rPr>
              <w:br/>
              <w:t xml:space="preserve">  - Source: Document fragment 1 specifies "cervical squamous cell carcinoma recommends testing SCC".</w:t>
            </w:r>
            <w:r w:rsidRPr="00CB2EC4">
              <w:rPr>
                <w:rFonts w:ascii="Times New Roman" w:hAnsi="Times New Roman" w:cs="Times New Roman"/>
              </w:rPr>
              <w:br/>
            </w:r>
            <w:r w:rsidRPr="00CB2EC4">
              <w:rPr>
                <w:rFonts w:ascii="Times New Roman" w:hAnsi="Times New Roman" w:cs="Times New Roman"/>
              </w:rPr>
              <w:br/>
              <w:t xml:space="preserve">- CA125:  </w:t>
            </w:r>
            <w:r w:rsidRPr="00CB2EC4">
              <w:rPr>
                <w:rFonts w:ascii="Times New Roman" w:hAnsi="Times New Roman" w:cs="Times New Roman"/>
              </w:rPr>
              <w:br/>
              <w:t xml:space="preserve">  - Significance: Mainly used for the diagnosis and monitoring of cervical adenocarcinoma. Elevated CA125 suggests adenocarcinoma and can be used to track disease progression.  </w:t>
            </w:r>
            <w:r w:rsidRPr="00CB2EC4">
              <w:rPr>
                <w:rFonts w:ascii="Times New Roman" w:hAnsi="Times New Roman" w:cs="Times New Roman"/>
              </w:rPr>
              <w:br/>
              <w:t xml:space="preserve">  - Source: Document fragment 1 states "cervical adenocarcinoma recommends testing CA125".</w:t>
            </w:r>
            <w:r w:rsidRPr="00CB2EC4">
              <w:rPr>
                <w:rFonts w:ascii="Times New Roman" w:hAnsi="Times New Roman" w:cs="Times New Roman"/>
              </w:rPr>
              <w:br/>
            </w:r>
            <w:r w:rsidRPr="00CB2EC4">
              <w:rPr>
                <w:rFonts w:ascii="Times New Roman" w:hAnsi="Times New Roman" w:cs="Times New Roman"/>
              </w:rPr>
              <w:br/>
              <w:t xml:space="preserve">- CEA (Carcinoembryonic Antigen) and CA19-9:  </w:t>
            </w:r>
            <w:r w:rsidRPr="00CB2EC4">
              <w:rPr>
                <w:rFonts w:ascii="Times New Roman" w:hAnsi="Times New Roman" w:cs="Times New Roman"/>
              </w:rPr>
              <w:br/>
              <w:t xml:space="preserve">  - Significance: Primarily used for the diagnosis of cervical gastric-type adenocarcinoma. Combined detection of CEA and CA19-9 aids in identifying this specific subtype and assessing tumor burden.  </w:t>
            </w:r>
            <w:r w:rsidRPr="00CB2EC4">
              <w:rPr>
                <w:rFonts w:ascii="Times New Roman" w:hAnsi="Times New Roman" w:cs="Times New Roman"/>
              </w:rPr>
              <w:br/>
              <w:t xml:space="preserve">  - Source: Document fragment 1 notes "cervical gastric-type adenocarcinoma recommends testing CEA, CA19-9".</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NSE (Neuron-Specific Enolase):  </w:t>
            </w:r>
            <w:r w:rsidRPr="00CB2EC4">
              <w:rPr>
                <w:rFonts w:ascii="Times New Roman" w:hAnsi="Times New Roman" w:cs="Times New Roman"/>
              </w:rPr>
              <w:br/>
              <w:t xml:space="preserve">  - Significance: Mainly used for the diagnosis of cervical small cell neuroendocrine carcinoma. Elevated NSE indicates neuroendocrine differentiation and can be used to monitor this aggressive subtype.  </w:t>
            </w:r>
            <w:r w:rsidRPr="00CB2EC4">
              <w:rPr>
                <w:rFonts w:ascii="Times New Roman" w:hAnsi="Times New Roman" w:cs="Times New Roman"/>
              </w:rPr>
              <w:br/>
              <w:t xml:space="preserve">  - Source: Document fragment 1 mentions "cervical small cell neuroendocrine carcinoma recommends testing NSE".</w:t>
            </w:r>
            <w:r w:rsidRPr="00CB2EC4">
              <w:rPr>
                <w:rFonts w:ascii="Times New Roman" w:hAnsi="Times New Roman" w:cs="Times New Roman"/>
              </w:rPr>
              <w:br/>
            </w:r>
            <w:r w:rsidRPr="00CB2EC4">
              <w:rPr>
                <w:rFonts w:ascii="Times New Roman" w:hAnsi="Times New Roman" w:cs="Times New Roman"/>
              </w:rPr>
              <w:br/>
              <w:t>- Other markers: The documents also refer to HPV testing as part of laboratory diagnosis for assessing HPV infection risk, but it is not specified as a tumor marker.</w:t>
            </w:r>
            <w:r w:rsidRPr="00CB2EC4">
              <w:rPr>
                <w:rFonts w:ascii="Times New Roman" w:hAnsi="Times New Roman" w:cs="Times New Roman"/>
              </w:rPr>
              <w:br/>
            </w:r>
            <w:r w:rsidRPr="00CB2EC4">
              <w:rPr>
                <w:rFonts w:ascii="Times New Roman" w:hAnsi="Times New Roman" w:cs="Times New Roman"/>
              </w:rPr>
              <w:br/>
              <w:t>- Rationale: These markers are recommended according to cervical cancer histological subtypes to assist in diagnosis, classification, and prognosis assessment. Document fragment 2 lists SCC, CEA, CA125, CA19-9, and NSE as Level I recommendations in laboratory diagnosis.</w:t>
            </w:r>
          </w:p>
        </w:tc>
        <w:tc>
          <w:tcPr>
            <w:tcW w:w="1152" w:type="dxa"/>
            <w:vAlign w:val="center"/>
          </w:tcPr>
          <w:p w14:paraId="54FABE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27D04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12B1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F95EF6" w14:textId="77777777">
        <w:tc>
          <w:tcPr>
            <w:tcW w:w="2160" w:type="dxa"/>
            <w:vAlign w:val="center"/>
          </w:tcPr>
          <w:p w14:paraId="651DB574"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FC70080" w14:textId="77777777" w:rsidR="00922249" w:rsidRPr="00CB2EC4" w:rsidRDefault="003011D5">
            <w:pPr>
              <w:rPr>
                <w:rFonts w:ascii="Times New Roman" w:hAnsi="Times New Roman" w:cs="Times New Roman"/>
              </w:rPr>
            </w:pPr>
            <w:r w:rsidRPr="00CB2EC4">
              <w:rPr>
                <w:rFonts w:ascii="Times New Roman" w:hAnsi="Times New Roman" w:cs="Times New Roman"/>
              </w:rPr>
              <w:t>- SCC (Squamous Cell Carcinoma Antigen): Recommended for the detection of cervical squamous cell carcinoma, serving as an auxiliary indicator for diagnosis and monitoring.</w:t>
            </w:r>
            <w:r w:rsidRPr="00CB2EC4">
              <w:rPr>
                <w:rFonts w:ascii="Times New Roman" w:hAnsi="Times New Roman" w:cs="Times New Roman"/>
              </w:rPr>
              <w:br/>
              <w:t>- CA125: Recommended for the detection of cervical adenocarcinoma, helpful in assessing the progression and prognosis of adenocarcinoma.</w:t>
            </w:r>
            <w:r w:rsidRPr="00CB2EC4">
              <w:rPr>
                <w:rFonts w:ascii="Times New Roman" w:hAnsi="Times New Roman" w:cs="Times New Roman"/>
              </w:rPr>
              <w:br/>
              <w:t>- CEA (Carcinoembryonic Antigen) and CA19-9: Recommended for the detection of cervical gastric-type adenocarcinoma; CEA is commonly used for gastrointestinal-related adenocarcinomas, while CA19-9 is associated with mucinous tumors, and their combination can assist in the diagnosis of gastric-type adenocarcinoma.</w:t>
            </w:r>
            <w:r w:rsidRPr="00CB2EC4">
              <w:rPr>
                <w:rFonts w:ascii="Times New Roman" w:hAnsi="Times New Roman" w:cs="Times New Roman"/>
              </w:rPr>
              <w:br/>
            </w:r>
            <w:r w:rsidRPr="00CB2EC4">
              <w:rPr>
                <w:rFonts w:ascii="Times New Roman" w:hAnsi="Times New Roman" w:cs="Times New Roman"/>
              </w:rPr>
              <w:lastRenderedPageBreak/>
              <w:t>- NSE (Neuron-Specific Enolase): Recommended for the detection of cervical small cell neuroendocrine carcinoma, as a specific marker for neuroendocrine tumors.</w:t>
            </w:r>
            <w:r w:rsidRPr="00CB2EC4">
              <w:rPr>
                <w:rFonts w:ascii="Times New Roman" w:hAnsi="Times New Roman" w:cs="Times New Roman"/>
              </w:rPr>
              <w:br/>
            </w:r>
            <w:r w:rsidRPr="00CB2EC4">
              <w:rPr>
                <w:rFonts w:ascii="Times New Roman" w:hAnsi="Times New Roman" w:cs="Times New Roman"/>
              </w:rPr>
              <w:br/>
              <w:t>The detection of these tumor markers is primarily used to assist in diagnosis, typing, and monitoring, but must be combined with other examinations (such as pathology and imaging) for comprehensive evaluation.</w:t>
            </w:r>
          </w:p>
        </w:tc>
        <w:tc>
          <w:tcPr>
            <w:tcW w:w="1152" w:type="dxa"/>
            <w:vAlign w:val="center"/>
          </w:tcPr>
          <w:p w14:paraId="506B14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708ED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97FE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B162853" w14:textId="77777777">
        <w:tc>
          <w:tcPr>
            <w:tcW w:w="2160" w:type="dxa"/>
            <w:vAlign w:val="center"/>
          </w:tcPr>
          <w:p w14:paraId="02BCC622"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F09B3C3" w14:textId="77777777" w:rsidR="00922249" w:rsidRPr="00CB2EC4" w:rsidRDefault="003011D5">
            <w:pPr>
              <w:rPr>
                <w:rFonts w:ascii="Times New Roman" w:hAnsi="Times New Roman" w:cs="Times New Roman"/>
              </w:rPr>
            </w:pPr>
            <w:r w:rsidRPr="00CB2EC4">
              <w:rPr>
                <w:rFonts w:ascii="Times New Roman" w:hAnsi="Times New Roman" w:cs="Times New Roman"/>
              </w:rPr>
              <w:t>cervical cancer laboratory diagnosis can detect the following tumor markers and their significance:</w:t>
            </w:r>
            <w:r w:rsidRPr="00CB2EC4">
              <w:rPr>
                <w:rFonts w:ascii="Times New Roman" w:hAnsi="Times New Roman" w:cs="Times New Roman"/>
              </w:rPr>
              <w:br/>
            </w:r>
            <w:r w:rsidRPr="00CB2EC4">
              <w:rPr>
                <w:rFonts w:ascii="Times New Roman" w:hAnsi="Times New Roman" w:cs="Times New Roman"/>
              </w:rPr>
              <w:br/>
              <w:t>- SCC (Squamous Cell Carcinoma Antigen): recommended for cervical squamous cell carcinoma ([2]), used to monitor disease progression and treatment response in squamous cell carcinoma.</w:t>
            </w:r>
            <w:r w:rsidRPr="00CB2EC4">
              <w:rPr>
                <w:rFonts w:ascii="Times New Roman" w:hAnsi="Times New Roman" w:cs="Times New Roman"/>
              </w:rPr>
              <w:br/>
              <w:t>- CA125: recommended for cervical adenocarcinoma ([3]), aids in diagnosis and monitoring of adenocarcinoma.</w:t>
            </w:r>
            <w:r w:rsidRPr="00CB2EC4">
              <w:rPr>
                <w:rFonts w:ascii="Times New Roman" w:hAnsi="Times New Roman" w:cs="Times New Roman"/>
              </w:rPr>
              <w:br/>
              <w:t>- CEA (Carcinoembryonic Antigen) and CA19-9: recommended for cervical gastric-type adenocarcinoma ([4]), serve as specific indicators for gastric-type adenocarcinoma.</w:t>
            </w:r>
            <w:r w:rsidRPr="00CB2EC4">
              <w:rPr>
                <w:rFonts w:ascii="Times New Roman" w:hAnsi="Times New Roman" w:cs="Times New Roman"/>
              </w:rPr>
              <w:br/>
              <w:t>- NSE (Neuron-Specific Enolase): recommended for cervical small cell neuroendocrine carcinoma ([5]), used for diagnosis and monitoring of neuroendocrine carcinoma.</w:t>
            </w:r>
            <w:r w:rsidRPr="00CB2EC4">
              <w:rPr>
                <w:rFonts w:ascii="Times New Roman" w:hAnsi="Times New Roman" w:cs="Times New Roman"/>
              </w:rPr>
              <w:br/>
            </w:r>
            <w:r w:rsidRPr="00CB2EC4">
              <w:rPr>
                <w:rFonts w:ascii="Times New Roman" w:hAnsi="Times New Roman" w:cs="Times New Roman"/>
              </w:rPr>
              <w:br/>
              <w:t>these markers are used in laboratory diagnosis to assist in histological subtyping, disease monitoring, and prognosis assessment, but must be interpreted in conjunction with other clinical and pathological findings.</w:t>
            </w:r>
            <w:r w:rsidRPr="00CB2EC4">
              <w:rPr>
                <w:rFonts w:ascii="Times New Roman" w:hAnsi="Times New Roman" w:cs="Times New Roman"/>
              </w:rPr>
              <w:br/>
            </w:r>
            <w:r w:rsidRPr="00CB2EC4">
              <w:rPr>
                <w:rFonts w:ascii="Times New Roman" w:hAnsi="Times New Roman" w:cs="Times New Roman"/>
              </w:rPr>
              <w:lastRenderedPageBreak/>
              <w:br/>
              <w:t>conclusion: detectable markers include SCC (for squamous cell carcinoma), CA125 (for adenocarcinoma), CEA and CA19-9 (for gastric-type adenocarcinoma), and NSE (for small cell neuroendocrine carcinoma); each provides diagnostic and monitoring significance specific to its subtype.</w:t>
            </w:r>
          </w:p>
        </w:tc>
        <w:tc>
          <w:tcPr>
            <w:tcW w:w="1152" w:type="dxa"/>
            <w:vAlign w:val="center"/>
          </w:tcPr>
          <w:p w14:paraId="5241F6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78D8E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C9494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59796F" w14:textId="77777777">
        <w:tc>
          <w:tcPr>
            <w:tcW w:w="2160" w:type="dxa"/>
            <w:vAlign w:val="center"/>
          </w:tcPr>
          <w:p w14:paraId="6C15B11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737E7B9" w14:textId="77777777" w:rsidR="00922249" w:rsidRPr="00CB2EC4" w:rsidRDefault="003011D5">
            <w:pPr>
              <w:rPr>
                <w:rFonts w:ascii="Times New Roman" w:hAnsi="Times New Roman" w:cs="Times New Roman"/>
              </w:rPr>
            </w:pPr>
            <w:r w:rsidRPr="00CB2EC4">
              <w:rPr>
                <w:rFonts w:ascii="Times New Roman" w:hAnsi="Times New Roman" w:cs="Times New Roman"/>
              </w:rPr>
              <w:t>- SCC (Squamous Cell Carcinoma Antigen): Recommended for the diagnosis and monitoring of cervical squamous cell carcinoma. Significance: Helps identify the squamous cell carcinoma type.</w:t>
            </w:r>
            <w:r w:rsidRPr="00CB2EC4">
              <w:rPr>
                <w:rFonts w:ascii="Times New Roman" w:hAnsi="Times New Roman" w:cs="Times New Roman"/>
              </w:rPr>
              <w:br/>
              <w:t>- CA125: Recommended for the diagnosis and monitoring of cervical adenocarcinoma. Significance: Assists in diagnosing the adenocarcinoma type.</w:t>
            </w:r>
            <w:r w:rsidRPr="00CB2EC4">
              <w:rPr>
                <w:rFonts w:ascii="Times New Roman" w:hAnsi="Times New Roman" w:cs="Times New Roman"/>
              </w:rPr>
              <w:br/>
              <w:t>- CEA (Carcinoembryonic Antigen) and CA19-9: Recommended for the diagnosis and monitoring of cervical gastric-type adenocarcinoma. Significance: Specific markers for gastric-type adenocarcinoma.</w:t>
            </w:r>
            <w:r w:rsidRPr="00CB2EC4">
              <w:rPr>
                <w:rFonts w:ascii="Times New Roman" w:hAnsi="Times New Roman" w:cs="Times New Roman"/>
              </w:rPr>
              <w:br/>
              <w:t>- NSE (Neuron-Specific Enolase): Recommended for the diagnosis and monitoring of cervical small cell neuroendocrine carcinoma. Significance: Specific for the neuroendocrine carcinoma type.</w:t>
            </w:r>
            <w:r w:rsidRPr="00CB2EC4">
              <w:rPr>
                <w:rFonts w:ascii="Times New Roman" w:hAnsi="Times New Roman" w:cs="Times New Roman"/>
              </w:rPr>
              <w:br/>
              <w:t>These tumor marker tests are based on the histological type of the tumor and are used to assist in diagnosis and disease assessment (as described in Document Fragment 1).</w:t>
            </w:r>
          </w:p>
        </w:tc>
        <w:tc>
          <w:tcPr>
            <w:tcW w:w="1152" w:type="dxa"/>
            <w:vAlign w:val="center"/>
          </w:tcPr>
          <w:p w14:paraId="56C15D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281C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D707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3461AA" w14:textId="77777777">
        <w:tc>
          <w:tcPr>
            <w:tcW w:w="2160" w:type="dxa"/>
            <w:vAlign w:val="center"/>
          </w:tcPr>
          <w:p w14:paraId="6B943D9C"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10C82E8" w14:textId="77777777" w:rsidR="00922249" w:rsidRPr="00CB2EC4" w:rsidRDefault="003011D5">
            <w:pPr>
              <w:rPr>
                <w:rFonts w:ascii="Times New Roman" w:hAnsi="Times New Roman" w:cs="Times New Roman"/>
              </w:rPr>
            </w:pPr>
            <w:r w:rsidRPr="00CB2EC4">
              <w:rPr>
                <w:rFonts w:ascii="Times New Roman" w:hAnsi="Times New Roman" w:cs="Times New Roman"/>
              </w:rPr>
              <w:t>- SCC (Squamous Cell Carcinoma Antigen): Primarily used for the detection of cervical squamous cell carcinoma, aiding in diagnosis and disease monitoring.</w:t>
            </w:r>
            <w:r w:rsidRPr="00CB2EC4">
              <w:rPr>
                <w:rFonts w:ascii="Times New Roman" w:hAnsi="Times New Roman" w:cs="Times New Roman"/>
              </w:rPr>
              <w:br/>
              <w:t>- CA125: Mainly used for the detection of cervical adenocarcinoma, serving as an auxiliary diagnostic marker.</w:t>
            </w:r>
            <w:r w:rsidRPr="00CB2EC4">
              <w:rPr>
                <w:rFonts w:ascii="Times New Roman" w:hAnsi="Times New Roman" w:cs="Times New Roman"/>
              </w:rPr>
              <w:br/>
            </w:r>
            <w:r w:rsidRPr="00CB2EC4">
              <w:rPr>
                <w:rFonts w:ascii="Times New Roman" w:hAnsi="Times New Roman" w:cs="Times New Roman"/>
              </w:rPr>
              <w:lastRenderedPageBreak/>
              <w:t>- CEA (Carcinoembryonic Antigen) and CA19-9: Primarily used for the detection of cervical gastric-type adenocarcinoma; the combination of CEA and CA19-9 assists in diagnosis and assessment.</w:t>
            </w:r>
            <w:r w:rsidRPr="00CB2EC4">
              <w:rPr>
                <w:rFonts w:ascii="Times New Roman" w:hAnsi="Times New Roman" w:cs="Times New Roman"/>
              </w:rPr>
              <w:br/>
              <w:t>- NSE (Neuron-Specific Enolase): Mainly used for the detection of cervical small cell neuroendocrine carcinoma, as a specific marker.</w:t>
            </w:r>
            <w:r w:rsidRPr="00CB2EC4">
              <w:rPr>
                <w:rFonts w:ascii="Times New Roman" w:hAnsi="Times New Roman" w:cs="Times New Roman"/>
              </w:rPr>
              <w:br/>
            </w:r>
            <w:r w:rsidRPr="00CB2EC4">
              <w:rPr>
                <w:rFonts w:ascii="Times New Roman" w:hAnsi="Times New Roman" w:cs="Times New Roman"/>
              </w:rPr>
              <w:br/>
              <w:t>The detection of these tumor markers should be selected based on the specific histological subtype of cervical cancer to provide auxiliary diagnostic information, but must be integrated with other diagnostic methods (such as pathology and imaging) for comprehensive judgment.</w:t>
            </w:r>
          </w:p>
        </w:tc>
        <w:tc>
          <w:tcPr>
            <w:tcW w:w="1152" w:type="dxa"/>
            <w:vAlign w:val="center"/>
          </w:tcPr>
          <w:p w14:paraId="4806D4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0875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969D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53AA1D" w14:textId="77777777">
        <w:tc>
          <w:tcPr>
            <w:tcW w:w="2160" w:type="dxa"/>
            <w:vAlign w:val="center"/>
          </w:tcPr>
          <w:p w14:paraId="519379D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1B53693" w14:textId="77777777" w:rsidR="00922249" w:rsidRPr="00CB2EC4" w:rsidRDefault="003011D5">
            <w:pPr>
              <w:rPr>
                <w:rFonts w:ascii="Times New Roman" w:hAnsi="Times New Roman" w:cs="Times New Roman"/>
              </w:rPr>
            </w:pPr>
            <w:r w:rsidRPr="00CB2EC4">
              <w:rPr>
                <w:rFonts w:ascii="Times New Roman" w:hAnsi="Times New Roman" w:cs="Times New Roman"/>
              </w:rPr>
              <w:t>In the laboratory diagnosis of cervical cancer, the following tumor markers and their significance can be detected:</w:t>
            </w:r>
            <w:r w:rsidRPr="00CB2EC4">
              <w:rPr>
                <w:rFonts w:ascii="Times New Roman" w:hAnsi="Times New Roman" w:cs="Times New Roman"/>
              </w:rPr>
              <w:br/>
            </w:r>
            <w:r w:rsidRPr="00CB2EC4">
              <w:rPr>
                <w:rFonts w:ascii="Times New Roman" w:hAnsi="Times New Roman" w:cs="Times New Roman"/>
              </w:rPr>
              <w:br/>
              <w:t xml:space="preserve">- SCC (Squamous Cell Carcinoma Antigen): Primarily used for the detection and monitoring of cervical squamous cell carcinoma, aiding in disease evaluation and prognosis.  </w:t>
            </w:r>
            <w:r w:rsidRPr="00CB2EC4">
              <w:rPr>
                <w:rFonts w:ascii="Times New Roman" w:hAnsi="Times New Roman" w:cs="Times New Roman"/>
              </w:rPr>
              <w:br/>
              <w:t xml:space="preserve">- CA125: Mainly utilized for the detection and monitoring of cervical adenocarcinoma, correlating with the progression of adenocarcinoma.  </w:t>
            </w:r>
            <w:r w:rsidRPr="00CB2EC4">
              <w:rPr>
                <w:rFonts w:ascii="Times New Roman" w:hAnsi="Times New Roman" w:cs="Times New Roman"/>
              </w:rPr>
              <w:br/>
              <w:t xml:space="preserve">- CEA (Carcinoembryonic Antigen) and CA19-9: Primarily employed for the detection and monitoring of gastric-type cervical adenocarcinoma, assisting in differential diagnosis and disease assessment.  </w:t>
            </w:r>
            <w:r w:rsidRPr="00CB2EC4">
              <w:rPr>
                <w:rFonts w:ascii="Times New Roman" w:hAnsi="Times New Roman" w:cs="Times New Roman"/>
              </w:rPr>
              <w:br/>
              <w:t xml:space="preserve">- NSE (Neuron-Specific Enolase): Mainly used for the detection and monitoring of cervical small cell neuroendocrine carcinoma, associated with the specificity of this subtype.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The detection of these markers falls under the Level I recommended laboratory diagnostic category, with significance in aiding subtype classification, prognosis evaluation, and treatment monitoring.</w:t>
            </w:r>
          </w:p>
        </w:tc>
        <w:tc>
          <w:tcPr>
            <w:tcW w:w="1152" w:type="dxa"/>
            <w:vAlign w:val="center"/>
          </w:tcPr>
          <w:p w14:paraId="3FFB56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3A25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B073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C2328C1" w14:textId="77777777">
        <w:tc>
          <w:tcPr>
            <w:tcW w:w="2160" w:type="dxa"/>
            <w:vAlign w:val="center"/>
          </w:tcPr>
          <w:p w14:paraId="61B1FFB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4AAE506" w14:textId="77777777" w:rsidR="00922249" w:rsidRPr="00CB2EC4" w:rsidRDefault="003011D5">
            <w:pPr>
              <w:rPr>
                <w:rFonts w:ascii="Times New Roman" w:hAnsi="Times New Roman" w:cs="Times New Roman"/>
              </w:rPr>
            </w:pPr>
            <w:r w:rsidRPr="00CB2EC4">
              <w:rPr>
                <w:rFonts w:ascii="Times New Roman" w:hAnsi="Times New Roman" w:cs="Times New Roman"/>
              </w:rPr>
              <w:t>- SCC (Squamous Cell Carcinoma Antigen): Recommended for the detection of cervical squamous cell carcinoma, aiding in diagnosis and monitoring the progression of squamous cell carcinoma (annotation e).</w:t>
            </w:r>
            <w:r w:rsidRPr="00CB2EC4">
              <w:rPr>
                <w:rFonts w:ascii="Times New Roman" w:hAnsi="Times New Roman" w:cs="Times New Roman"/>
              </w:rPr>
              <w:br/>
              <w:t>- CA125: Recommended for the detection of cervical adenocarcinoma, serving as an auxiliary diagnostic marker for adenocarcinoma (annotation e).</w:t>
            </w:r>
            <w:r w:rsidRPr="00CB2EC4">
              <w:rPr>
                <w:rFonts w:ascii="Times New Roman" w:hAnsi="Times New Roman" w:cs="Times New Roman"/>
              </w:rPr>
              <w:br/>
              <w:t>- CEA (Carcinoembryonic Antigen) and CA19-9: Recommended for the detection of cervical gastric-type adenocarcinoma, used for auxiliary diagnosis and assessment of this subtype (annotation e).</w:t>
            </w:r>
            <w:r w:rsidRPr="00CB2EC4">
              <w:rPr>
                <w:rFonts w:ascii="Times New Roman" w:hAnsi="Times New Roman" w:cs="Times New Roman"/>
              </w:rPr>
              <w:br/>
              <w:t>- NSE (Neuron-Specific Enolase): Recommended for the detection of cervical small cell neuroendocrine carcinoma, aiding in the diagnosis of this rare subtype (annotation e).</w:t>
            </w:r>
            <w:r w:rsidRPr="00CB2EC4">
              <w:rPr>
                <w:rFonts w:ascii="Times New Roman" w:hAnsi="Times New Roman" w:cs="Times New Roman"/>
              </w:rPr>
              <w:br/>
            </w:r>
            <w:r w:rsidRPr="00CB2EC4">
              <w:rPr>
                <w:rFonts w:ascii="Times New Roman" w:hAnsi="Times New Roman" w:cs="Times New Roman"/>
              </w:rPr>
              <w:br/>
              <w:t>These tumor markers are primarily used to assist in the diagnosis of specific cervical cancer subtypes and are not standalone diagnostic tools; they must be interpreted in conjunction with pathological and imaging findings.</w:t>
            </w:r>
          </w:p>
        </w:tc>
        <w:tc>
          <w:tcPr>
            <w:tcW w:w="1152" w:type="dxa"/>
            <w:vAlign w:val="center"/>
          </w:tcPr>
          <w:p w14:paraId="2B20C1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B550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CE79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83DC01" w14:textId="77777777">
        <w:tc>
          <w:tcPr>
            <w:tcW w:w="2160" w:type="dxa"/>
            <w:vAlign w:val="center"/>
          </w:tcPr>
          <w:p w14:paraId="5BDF3CF1"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E31D8AC"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SCC: Used for cervical squamous cell carcinoma, reflects levels of squamous cell carcinoma antigen (as per annotation e in fragment 1).</w:t>
            </w:r>
            <w:r w:rsidRPr="00CB2EC4">
              <w:rPr>
                <w:rFonts w:ascii="Times New Roman" w:hAnsi="Times New Roman" w:cs="Times New Roman"/>
              </w:rPr>
              <w:br/>
            </w:r>
            <w:r w:rsidRPr="00CB2EC4">
              <w:rPr>
                <w:rFonts w:ascii="Times New Roman" w:hAnsi="Times New Roman" w:cs="Times New Roman"/>
              </w:rPr>
              <w:br/>
              <w:t xml:space="preserve">CA125: Used for cervical adenocarcinoma, correlates </w:t>
            </w:r>
            <w:r w:rsidRPr="00CB2EC4">
              <w:rPr>
                <w:rFonts w:ascii="Times New Roman" w:hAnsi="Times New Roman" w:cs="Times New Roman"/>
              </w:rPr>
              <w:lastRenderedPageBreak/>
              <w:t>with the malignancy degree of adenocarcinoma (as per annotation e in fragment 3).</w:t>
            </w:r>
            <w:r w:rsidRPr="00CB2EC4">
              <w:rPr>
                <w:rFonts w:ascii="Times New Roman" w:hAnsi="Times New Roman" w:cs="Times New Roman"/>
              </w:rPr>
              <w:br/>
            </w:r>
            <w:r w:rsidRPr="00CB2EC4">
              <w:rPr>
                <w:rFonts w:ascii="Times New Roman" w:hAnsi="Times New Roman" w:cs="Times New Roman"/>
              </w:rPr>
              <w:br/>
              <w:t>CEA and CA19-9: Used for cervical gastric-type adenocarcinoma, assist in diagnosing gastric-type differentiation (as per annotation e in fragment 3).</w:t>
            </w:r>
            <w:r w:rsidRPr="00CB2EC4">
              <w:rPr>
                <w:rFonts w:ascii="Times New Roman" w:hAnsi="Times New Roman" w:cs="Times New Roman"/>
              </w:rPr>
              <w:br/>
            </w:r>
            <w:r w:rsidRPr="00CB2EC4">
              <w:rPr>
                <w:rFonts w:ascii="Times New Roman" w:hAnsi="Times New Roman" w:cs="Times New Roman"/>
              </w:rPr>
              <w:br/>
              <w:t>NSE: Used for cervical small cell neuroendocrine carcinoma, indicates neuroendocrine differentiation (as per annotation e in fragment 3).</w:t>
            </w:r>
            <w:r w:rsidRPr="00CB2EC4">
              <w:rPr>
                <w:rFonts w:ascii="Times New Roman" w:hAnsi="Times New Roman" w:cs="Times New Roman"/>
              </w:rPr>
              <w:br/>
            </w:r>
            <w:r w:rsidRPr="00CB2EC4">
              <w:rPr>
                <w:rFonts w:ascii="Times New Roman" w:hAnsi="Times New Roman" w:cs="Times New Roman"/>
              </w:rPr>
              <w:br/>
              <w:t>Summary of significance: These markers are primarily used to assist in pathological subtyping, assess tumor characteristics, and monitor prognosis, but must be interpreted in conjunction with other diagnostic findings.</w:t>
            </w:r>
          </w:p>
        </w:tc>
        <w:tc>
          <w:tcPr>
            <w:tcW w:w="1152" w:type="dxa"/>
            <w:vAlign w:val="center"/>
          </w:tcPr>
          <w:p w14:paraId="795200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E143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E126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EAC585" w14:textId="77777777">
        <w:tc>
          <w:tcPr>
            <w:tcW w:w="2160" w:type="dxa"/>
            <w:vAlign w:val="center"/>
          </w:tcPr>
          <w:p w14:paraId="4E9BEBE7"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EB5D914" w14:textId="77777777" w:rsidR="00922249" w:rsidRPr="00CB2EC4" w:rsidRDefault="003011D5">
            <w:pPr>
              <w:rPr>
                <w:rFonts w:ascii="Times New Roman" w:hAnsi="Times New Roman" w:cs="Times New Roman"/>
              </w:rPr>
            </w:pPr>
            <w:r w:rsidRPr="00CB2EC4">
              <w:rPr>
                <w:rFonts w:ascii="Times New Roman" w:hAnsi="Times New Roman" w:cs="Times New Roman"/>
              </w:rPr>
              <w:t>The tumor markers detectable in laboratory diagnosis of cervical cancer and their significance are as follows:</w:t>
            </w:r>
            <w:r w:rsidRPr="00CB2EC4">
              <w:rPr>
                <w:rFonts w:ascii="Times New Roman" w:hAnsi="Times New Roman" w:cs="Times New Roman"/>
              </w:rPr>
              <w:br/>
            </w:r>
            <w:r w:rsidRPr="00CB2EC4">
              <w:rPr>
                <w:rFonts w:ascii="Times New Roman" w:hAnsi="Times New Roman" w:cs="Times New Roman"/>
              </w:rPr>
              <w:br/>
              <w:t xml:space="preserve">- SCC: Primarily used for the diagnosis and monitoring of cervical squamous cell carcinoma.  </w:t>
            </w:r>
            <w:r w:rsidRPr="00CB2EC4">
              <w:rPr>
                <w:rFonts w:ascii="Times New Roman" w:hAnsi="Times New Roman" w:cs="Times New Roman"/>
              </w:rPr>
              <w:br/>
              <w:t xml:space="preserve">- CA125: Primarily used for the diagnosis and monitoring of cervical adenocarcinoma.  </w:t>
            </w:r>
            <w:r w:rsidRPr="00CB2EC4">
              <w:rPr>
                <w:rFonts w:ascii="Times New Roman" w:hAnsi="Times New Roman" w:cs="Times New Roman"/>
              </w:rPr>
              <w:br/>
              <w:t xml:space="preserve">- CEA and CA19-9: Primarily used for the diagnosis and monitoring of cervical gastric-type adenocarcinoma.  </w:t>
            </w:r>
            <w:r w:rsidRPr="00CB2EC4">
              <w:rPr>
                <w:rFonts w:ascii="Times New Roman" w:hAnsi="Times New Roman" w:cs="Times New Roman"/>
              </w:rPr>
              <w:br/>
              <w:t>- NSE: Primarily used for the diagnosis and monitoring of cervical small cell neuroendocrine carcinoma.</w:t>
            </w:r>
          </w:p>
        </w:tc>
        <w:tc>
          <w:tcPr>
            <w:tcW w:w="1152" w:type="dxa"/>
            <w:vAlign w:val="center"/>
          </w:tcPr>
          <w:p w14:paraId="3155BE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6C37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A5B3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46D37C" w14:textId="77777777">
        <w:tc>
          <w:tcPr>
            <w:tcW w:w="2160" w:type="dxa"/>
            <w:vAlign w:val="center"/>
          </w:tcPr>
          <w:p w14:paraId="43A858D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C65A5B9" w14:textId="77777777" w:rsidR="00922249" w:rsidRPr="00CB2EC4" w:rsidRDefault="003011D5">
            <w:pPr>
              <w:rPr>
                <w:rFonts w:ascii="Times New Roman" w:hAnsi="Times New Roman" w:cs="Times New Roman"/>
              </w:rPr>
            </w:pPr>
            <w:r w:rsidRPr="00CB2EC4">
              <w:rPr>
                <w:rFonts w:ascii="Times New Roman" w:hAnsi="Times New Roman" w:cs="Times New Roman"/>
              </w:rPr>
              <w:t>cervical cancer laboratory diagnosis can detect the following tumor markers:</w:t>
            </w:r>
            <w:r w:rsidRPr="00CB2EC4">
              <w:rPr>
                <w:rFonts w:ascii="Times New Roman" w:hAnsi="Times New Roman" w:cs="Times New Roman"/>
              </w:rPr>
              <w:br/>
              <w:t xml:space="preserve">- SCC-Ag (Squamous Cell Carcinoma Antigen): </w:t>
            </w:r>
            <w:r w:rsidRPr="00CB2EC4">
              <w:rPr>
                <w:rFonts w:ascii="Times New Roman" w:hAnsi="Times New Roman" w:cs="Times New Roman"/>
              </w:rPr>
              <w:lastRenderedPageBreak/>
              <w:t>Significance: Primarily used for monitoring squamous cell carcinoma; elevated levels may indicate tumor recurrence, metastasis, or poor prognosis; it has auxiliary value in evaluating treatment response.</w:t>
            </w:r>
            <w:r w:rsidRPr="00CB2EC4">
              <w:rPr>
                <w:rFonts w:ascii="Times New Roman" w:hAnsi="Times New Roman" w:cs="Times New Roman"/>
              </w:rPr>
              <w:br/>
              <w:t>- CEA (Carcinoembryonic Antigen): Significance: More commonly seen in cervical adenocarcinoma; used to monitor disease progression and treatment efficacy, but with low specificity.</w:t>
            </w:r>
            <w:r w:rsidRPr="00CB2EC4">
              <w:rPr>
                <w:rFonts w:ascii="Times New Roman" w:hAnsi="Times New Roman" w:cs="Times New Roman"/>
              </w:rPr>
              <w:br/>
              <w:t>- CA125: Significance: Mainly used as an auxiliary marker for cervical adenocarcinoma; changes in its level may reflect tumor burden or risk of recurrence.</w:t>
            </w:r>
            <w:r w:rsidRPr="00CB2EC4">
              <w:rPr>
                <w:rFonts w:ascii="Times New Roman" w:hAnsi="Times New Roman" w:cs="Times New Roman"/>
              </w:rPr>
              <w:br/>
            </w:r>
            <w:r w:rsidRPr="00CB2EC4">
              <w:rPr>
                <w:rFonts w:ascii="Times New Roman" w:hAnsi="Times New Roman" w:cs="Times New Roman"/>
              </w:rPr>
              <w:br/>
              <w:t>These markers are primarily used for monitoring and prognostic assessment, rather than for diagnosis itself.</w:t>
            </w:r>
          </w:p>
        </w:tc>
        <w:tc>
          <w:tcPr>
            <w:tcW w:w="1152" w:type="dxa"/>
            <w:vAlign w:val="center"/>
          </w:tcPr>
          <w:p w14:paraId="52936D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CE4F8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20D2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4D6BC2" w14:textId="77777777">
        <w:tc>
          <w:tcPr>
            <w:tcW w:w="10656" w:type="dxa"/>
            <w:gridSpan w:val="5"/>
            <w:tcBorders>
              <w:bottom w:val="single" w:sz="6" w:space="0" w:color="auto"/>
            </w:tcBorders>
            <w:vAlign w:val="center"/>
          </w:tcPr>
          <w:p w14:paraId="552C1C7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44: In the diagnosis of cervical cancer, which imaging method should be preferred in order to evaluate cervical tumors? Which imaging method should be used in order to evaluate metastatic lesions?</w:t>
            </w:r>
          </w:p>
        </w:tc>
      </w:tr>
      <w:tr w:rsidR="00922249" w:rsidRPr="00CB2EC4" w14:paraId="0B327757" w14:textId="77777777">
        <w:tc>
          <w:tcPr>
            <w:tcW w:w="2160" w:type="dxa"/>
            <w:vAlign w:val="center"/>
          </w:tcPr>
          <w:p w14:paraId="6D2BB97B"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17792E1" w14:textId="77777777" w:rsidR="00922249" w:rsidRPr="00CB2EC4" w:rsidRDefault="003011D5">
            <w:pPr>
              <w:rPr>
                <w:rFonts w:ascii="Times New Roman" w:hAnsi="Times New Roman" w:cs="Times New Roman"/>
              </w:rPr>
            </w:pPr>
            <w:r w:rsidRPr="00CB2EC4">
              <w:rPr>
                <w:rFonts w:ascii="Times New Roman" w:hAnsi="Times New Roman" w:cs="Times New Roman"/>
              </w:rPr>
              <w:t>In the diagnosis of cervical cancer:</w:t>
            </w:r>
            <w:r w:rsidRPr="00CB2EC4">
              <w:rPr>
                <w:rFonts w:ascii="Times New Roman" w:hAnsi="Times New Roman" w:cs="Times New Roman"/>
              </w:rPr>
              <w:br/>
            </w:r>
            <w:r w:rsidRPr="00CB2EC4">
              <w:rPr>
                <w:rFonts w:ascii="Times New Roman" w:hAnsi="Times New Roman" w:cs="Times New Roman"/>
              </w:rPr>
              <w:br/>
              <w:t>- To assess the cervical tumor (local lesion): Pelvic MRI is the preferred imaging method. The document recommends pelvic MRI as the first-choice method for evaluating local cervical tumors due to its high-resolution soft tissue contrast, enabling accurate assessment of tumor size, depth of invasion, and parametrial involvement. If MRI is contraindicated (e.g., presence of metallic implants), pelvic CT is selected as an alternative.</w:t>
            </w:r>
            <w:r w:rsidRPr="00CB2EC4">
              <w:rPr>
                <w:rFonts w:ascii="Times New Roman" w:hAnsi="Times New Roman" w:cs="Times New Roman"/>
              </w:rPr>
              <w:br/>
            </w:r>
            <w:r w:rsidRPr="00CB2EC4">
              <w:rPr>
                <w:rFonts w:ascii="Times New Roman" w:hAnsi="Times New Roman" w:cs="Times New Roman"/>
              </w:rPr>
              <w:br/>
              <w:t xml:space="preserve">- To assess metastatic lesions (distant spread): Cervical-thoracic-abdominal-pelvic CT is the preferred imaging method, combined with PET/CT when necessary. CT is used for comprehensive evaluation of lymph node and distant organ </w:t>
            </w:r>
            <w:r w:rsidRPr="00CB2EC4">
              <w:rPr>
                <w:rFonts w:ascii="Times New Roman" w:hAnsi="Times New Roman" w:cs="Times New Roman"/>
              </w:rPr>
              <w:lastRenderedPageBreak/>
              <w:t>metastases; PET/CT is employed in cases of IB1 stage or higher, or when conditions permit, to improve the accuracy of lymph node metastasis detection (especially for lymph nodes &gt;10 mm).</w:t>
            </w:r>
            <w:r w:rsidRPr="00CB2EC4">
              <w:rPr>
                <w:rFonts w:ascii="Times New Roman" w:hAnsi="Times New Roman" w:cs="Times New Roman"/>
              </w:rPr>
              <w:br/>
            </w:r>
            <w:r w:rsidRPr="00CB2EC4">
              <w:rPr>
                <w:rFonts w:ascii="Times New Roman" w:hAnsi="Times New Roman" w:cs="Times New Roman"/>
              </w:rPr>
              <w:br/>
              <w:t>- Basis: The document specifies in the "2.1 Basic Principles of Cervical Cancer Diagnosis" section under imaging diagnosis (Level I recommendation) and footnotes f and g: ("Imaging diagnosis: cervical tumor assessment: pelvic MRI f; metastatic lesion assessment: cervical-thoracic-abdominal-pelvic CT, PET/CT when necessary g"; footnote f: "Pelvic MRI is recommended as the first-choice method for evaluating local cervical tumors. Pelvic CT is selected when MRI is contraindicated"; footnote g: "PET/CT is recommended for patients with IB1 stage or higher when conditions allow").</w:t>
            </w:r>
          </w:p>
        </w:tc>
        <w:tc>
          <w:tcPr>
            <w:tcW w:w="1152" w:type="dxa"/>
            <w:vAlign w:val="center"/>
          </w:tcPr>
          <w:p w14:paraId="234A8A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AFEB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FAA9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9ACFB5" w14:textId="77777777">
        <w:tc>
          <w:tcPr>
            <w:tcW w:w="2160" w:type="dxa"/>
            <w:vAlign w:val="center"/>
          </w:tcPr>
          <w:p w14:paraId="2A18EE4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979803F" w14:textId="77777777" w:rsidR="00922249" w:rsidRPr="00CB2EC4" w:rsidRDefault="003011D5">
            <w:pPr>
              <w:rPr>
                <w:rFonts w:ascii="Times New Roman" w:hAnsi="Times New Roman" w:cs="Times New Roman"/>
              </w:rPr>
            </w:pPr>
            <w:r w:rsidRPr="00CB2EC4">
              <w:rPr>
                <w:rFonts w:ascii="Times New Roman" w:hAnsi="Times New Roman" w:cs="Times New Roman"/>
              </w:rPr>
              <w:t>- For assessing cervical tumor: Pelvic MRI is the preferred method; if MRI is contraindicated, then pelvic CT should be selected (as per fragment 1: "f recommend pelvic MRI as the preferred method for evaluating local cervical tumors. Choose pelvic CT when MRI is contraindicated").</w:t>
            </w:r>
            <w:r w:rsidRPr="00CB2EC4">
              <w:rPr>
                <w:rFonts w:ascii="Times New Roman" w:hAnsi="Times New Roman" w:cs="Times New Roman"/>
              </w:rPr>
              <w:br/>
              <w:t xml:space="preserve">- For assessing metastatic lesions: Neck-thorax-abdomen-pelvis CT is the preferred method, with PET/CT performed when necessary; bone scan is recommended if bone metastasis is suspected, and cystoscopy/colonoscopy is recommended if bladder and/or rectal involvement is suspected (as per fragment 1: "g suggest PET/CT examination for IB1 stage and above when feasible", "h if bone metastasis is suspected, recommend bone scan; if bladder and/or rectal involvement is suspected, recommend cystoscopy and/or colonoscopy"; fragment 2: </w:t>
            </w:r>
            <w:r w:rsidRPr="00CB2EC4">
              <w:rPr>
                <w:rFonts w:ascii="Times New Roman" w:hAnsi="Times New Roman" w:cs="Times New Roman"/>
              </w:rPr>
              <w:lastRenderedPageBreak/>
              <w:t>"Metastatic lesion assessment: Neck-thorax-abdomen-pelvis CT, PET/CT when necessaryg").</w:t>
            </w:r>
          </w:p>
        </w:tc>
        <w:tc>
          <w:tcPr>
            <w:tcW w:w="1152" w:type="dxa"/>
            <w:vAlign w:val="center"/>
          </w:tcPr>
          <w:p w14:paraId="6539A6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FBC71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5915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EF5D0A" w14:textId="77777777">
        <w:tc>
          <w:tcPr>
            <w:tcW w:w="2160" w:type="dxa"/>
            <w:vAlign w:val="center"/>
          </w:tcPr>
          <w:p w14:paraId="351EFE10"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1058535" w14:textId="77777777" w:rsidR="00922249" w:rsidRPr="00CB2EC4" w:rsidRDefault="003011D5">
            <w:pPr>
              <w:rPr>
                <w:rFonts w:ascii="Times New Roman" w:hAnsi="Times New Roman" w:cs="Times New Roman"/>
              </w:rPr>
            </w:pPr>
            <w:r w:rsidRPr="00CB2EC4">
              <w:rPr>
                <w:rFonts w:ascii="Times New Roman" w:hAnsi="Times New Roman" w:cs="Times New Roman"/>
              </w:rPr>
              <w:t>In the diagnosis of cervical cancer, to assess the cervical tumor, pelvic MRI should be the first choice of imaging method; to assess metastatic lesions, contrast-enhanced CT of the neck, chest, abdomen, and pelvis should be the first choice, with PET/CT added when necessary. The specific basis is as follows:</w:t>
            </w:r>
            <w:r w:rsidRPr="00CB2EC4">
              <w:rPr>
                <w:rFonts w:ascii="Times New Roman" w:hAnsi="Times New Roman" w:cs="Times New Roman"/>
              </w:rPr>
              <w:br/>
            </w:r>
            <w:r w:rsidRPr="00CB2EC4">
              <w:rPr>
                <w:rFonts w:ascii="Times New Roman" w:hAnsi="Times New Roman" w:cs="Times New Roman"/>
              </w:rPr>
              <w:br/>
              <w:t>- Assessment of cervical tumor (local lesion):</w:t>
            </w:r>
            <w:r w:rsidRPr="00CB2EC4">
              <w:rPr>
                <w:rFonts w:ascii="Times New Roman" w:hAnsi="Times New Roman" w:cs="Times New Roman"/>
              </w:rPr>
              <w:br/>
              <w:t xml:space="preserve">  - Document fragment 1 clearly states: "Pelvic MRI is recommended as the preferred method for evaluating local cervical tumors. When MRI is contraindicated, pelvic CT is selected [6-7]."</w:t>
            </w:r>
            <w:r w:rsidRPr="00CB2EC4">
              <w:rPr>
                <w:rFonts w:ascii="Times New Roman" w:hAnsi="Times New Roman" w:cs="Times New Roman"/>
              </w:rPr>
              <w:br/>
              <w:t xml:space="preserve">  - Document fragment 3 supports: "Imaging diagnosis: Cervical tumor assessment: Pelvic MRI."</w:t>
            </w:r>
            <w:r w:rsidRPr="00CB2EC4">
              <w:rPr>
                <w:rFonts w:ascii="Times New Roman" w:hAnsi="Times New Roman" w:cs="Times New Roman"/>
              </w:rPr>
              <w:br/>
              <w:t xml:space="preserve">  - Document fragment 4 adds: "For primary tumors &gt; 10 mm, MRI is the best imaging assessment method," and notes that MRI is superior to CT in evaluating parametrial infiltration (fragment 16).</w:t>
            </w:r>
            <w:r w:rsidRPr="00CB2EC4">
              <w:rPr>
                <w:rFonts w:ascii="Times New Roman" w:hAnsi="Times New Roman" w:cs="Times New Roman"/>
              </w:rPr>
              <w:br/>
            </w:r>
            <w:r w:rsidRPr="00CB2EC4">
              <w:rPr>
                <w:rFonts w:ascii="Times New Roman" w:hAnsi="Times New Roman" w:cs="Times New Roman"/>
              </w:rPr>
              <w:br/>
              <w:t>- Assessment of metastatic lesions:</w:t>
            </w:r>
            <w:r w:rsidRPr="00CB2EC4">
              <w:rPr>
                <w:rFonts w:ascii="Times New Roman" w:hAnsi="Times New Roman" w:cs="Times New Roman"/>
              </w:rPr>
              <w:br/>
              <w:t xml:space="preserve">  - Document fragment 1 mentions: "PET/CT is suggested for patients with stage IB1 or above when available. Bone scan is recommended for suspected bone metastases; cystoscopy and/or colonoscopy for suspected bladder and/or rectal involvement," but the core method for metastatic assessment is clarified in fragment 3.</w:t>
            </w:r>
            <w:r w:rsidRPr="00CB2EC4">
              <w:rPr>
                <w:rFonts w:ascii="Times New Roman" w:hAnsi="Times New Roman" w:cs="Times New Roman"/>
              </w:rPr>
              <w:br/>
              <w:t xml:space="preserve">  - Document fragment 3 directly states: "Metastatic lesion assessment: CT of neck, chest, abdomen, and pelvis, with PET/CT added when necessary."</w:t>
            </w:r>
            <w:r w:rsidRPr="00CB2EC4">
              <w:rPr>
                <w:rFonts w:ascii="Times New Roman" w:hAnsi="Times New Roman" w:cs="Times New Roman"/>
              </w:rPr>
              <w:br/>
              <w:t xml:space="preserve">  - Document fragment 2 recommends in staging: </w:t>
            </w:r>
            <w:r w:rsidRPr="00CB2EC4">
              <w:rPr>
                <w:rFonts w:ascii="Times New Roman" w:hAnsi="Times New Roman" w:cs="Times New Roman"/>
              </w:rPr>
              <w:lastRenderedPageBreak/>
              <w:t>"Level I recommendation: Chest CT + abdominal contrast-enhanced CT + pelvic contrast-enhanced MRI or PET/CT," which applies to metastatic evaluation.</w:t>
            </w:r>
            <w:r w:rsidRPr="00CB2EC4">
              <w:rPr>
                <w:rFonts w:ascii="Times New Roman" w:hAnsi="Times New Roman" w:cs="Times New Roman"/>
              </w:rPr>
              <w:br/>
            </w:r>
            <w:r w:rsidRPr="00CB2EC4">
              <w:rPr>
                <w:rFonts w:ascii="Times New Roman" w:hAnsi="Times New Roman" w:cs="Times New Roman"/>
              </w:rPr>
              <w:br/>
              <w:t>Therefore, cervical tumor assessment first choice pelvic MRI (use CT when contraindicated); metastatic lesion assessment first choice contrast-enhanced CT of the neck, chest, abdomen, and pelvis, with PET/CT added when necessary to improve accuracy.</w:t>
            </w:r>
          </w:p>
        </w:tc>
        <w:tc>
          <w:tcPr>
            <w:tcW w:w="1152" w:type="dxa"/>
            <w:vAlign w:val="center"/>
          </w:tcPr>
          <w:p w14:paraId="4BD3EA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BC94C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8E7A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16E488" w14:textId="77777777">
        <w:tc>
          <w:tcPr>
            <w:tcW w:w="2160" w:type="dxa"/>
            <w:vAlign w:val="center"/>
          </w:tcPr>
          <w:p w14:paraId="51D10C71"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BD733A6" w14:textId="77777777" w:rsidR="00922249" w:rsidRPr="00CB2EC4" w:rsidRDefault="003011D5">
            <w:pPr>
              <w:rPr>
                <w:rFonts w:ascii="Times New Roman" w:hAnsi="Times New Roman" w:cs="Times New Roman"/>
              </w:rPr>
            </w:pPr>
            <w:r w:rsidRPr="00CB2EC4">
              <w:rPr>
                <w:rFonts w:ascii="Times New Roman" w:hAnsi="Times New Roman" w:cs="Times New Roman"/>
              </w:rPr>
              <w:t>cervical cancer imaging assessment methods?</w:t>
            </w:r>
            <w:r w:rsidRPr="00CB2EC4">
              <w:rPr>
                <w:rFonts w:ascii="Times New Roman" w:hAnsi="Times New Roman" w:cs="Times New Roman"/>
              </w:rPr>
              <w:br/>
            </w:r>
            <w:r w:rsidRPr="00CB2EC4">
              <w:rPr>
                <w:rFonts w:ascii="Times New Roman" w:hAnsi="Times New Roman" w:cs="Times New Roman"/>
              </w:rPr>
              <w:br/>
              <w:t xml:space="preserve">Knowledge base reference:  </w:t>
            </w:r>
            <w:r w:rsidRPr="00CB2EC4">
              <w:rPr>
                <w:rFonts w:ascii="Times New Roman" w:hAnsi="Times New Roman" w:cs="Times New Roman"/>
              </w:rPr>
              <w:br/>
              <w:t xml:space="preserve">- Cervical tumor assessment (Level I recommendation):  </w:t>
            </w:r>
            <w:r w:rsidRPr="00CB2EC4">
              <w:rPr>
                <w:rFonts w:ascii="Times New Roman" w:hAnsi="Times New Roman" w:cs="Times New Roman"/>
              </w:rPr>
              <w:br/>
              <w:t xml:space="preserve">  - First choice: pelvic MRI (to evaluate local tumor extent and depth of invasion);  </w:t>
            </w:r>
            <w:r w:rsidRPr="00CB2EC4">
              <w:rPr>
                <w:rFonts w:ascii="Times New Roman" w:hAnsi="Times New Roman" w:cs="Times New Roman"/>
              </w:rPr>
              <w:br/>
              <w:t xml:space="preserve">  - Pelvic CT is an alternative when MRI is contraindicated (Level II recommendation).  </w:t>
            </w:r>
            <w:r w:rsidRPr="00CB2EC4">
              <w:rPr>
                <w:rFonts w:ascii="Times New Roman" w:hAnsi="Times New Roman" w:cs="Times New Roman"/>
              </w:rPr>
              <w:br/>
              <w:t xml:space="preserve">- Metastatic lesion assessment (Level I recommendation):  </w:t>
            </w:r>
            <w:r w:rsidRPr="00CB2EC4">
              <w:rPr>
                <w:rFonts w:ascii="Times New Roman" w:hAnsi="Times New Roman" w:cs="Times New Roman"/>
              </w:rPr>
              <w:br/>
              <w:t xml:space="preserve">  - Neck, chest, abdomen, and pelvic CT;  </w:t>
            </w:r>
            <w:r w:rsidRPr="00CB2EC4">
              <w:rPr>
                <w:rFonts w:ascii="Times New Roman" w:hAnsi="Times New Roman" w:cs="Times New Roman"/>
              </w:rPr>
              <w:br/>
              <w:t xml:space="preserve">  - For IB1 stage and above, PET/CT is preferred (to evaluate distant metastases).  </w:t>
            </w:r>
            <w:r w:rsidRPr="00CB2EC4">
              <w:rPr>
                <w:rFonts w:ascii="Times New Roman" w:hAnsi="Times New Roman" w:cs="Times New Roman"/>
              </w:rPr>
              <w:br/>
              <w:t>&gt; *Source: section "2.1 Imaging Diagnosis" Level I recommendations and footnotes f, g.*</w:t>
            </w:r>
          </w:p>
        </w:tc>
        <w:tc>
          <w:tcPr>
            <w:tcW w:w="1152" w:type="dxa"/>
            <w:vAlign w:val="center"/>
          </w:tcPr>
          <w:p w14:paraId="69E557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4854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D8CB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3B9790" w14:textId="77777777">
        <w:tc>
          <w:tcPr>
            <w:tcW w:w="2160" w:type="dxa"/>
            <w:vAlign w:val="center"/>
          </w:tcPr>
          <w:p w14:paraId="104A08A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33AC0F1" w14:textId="77777777" w:rsidR="00922249" w:rsidRPr="00CB2EC4" w:rsidRDefault="003011D5">
            <w:pPr>
              <w:rPr>
                <w:rFonts w:ascii="Times New Roman" w:hAnsi="Times New Roman" w:cs="Times New Roman"/>
              </w:rPr>
            </w:pPr>
            <w:r w:rsidRPr="00CB2EC4">
              <w:rPr>
                <w:rFonts w:ascii="Times New Roman" w:hAnsi="Times New Roman" w:cs="Times New Roman"/>
              </w:rPr>
              <w:t>In cervical cancer diagnosis, which imaging method should be prioritized for evaluating cervical tumors, and which imaging method should be used for assessing metastatic lesions?</w:t>
            </w:r>
            <w:r w:rsidRPr="00CB2EC4">
              <w:rPr>
                <w:rFonts w:ascii="Times New Roman" w:hAnsi="Times New Roman" w:cs="Times New Roman"/>
              </w:rPr>
              <w:br/>
            </w:r>
            <w:r w:rsidRPr="00CB2EC4">
              <w:rPr>
                <w:rFonts w:ascii="Times New Roman" w:hAnsi="Times New Roman" w:cs="Times New Roman"/>
              </w:rPr>
              <w:br/>
              <w:t>- Evaluating cervical tumors (local tumors):</w:t>
            </w:r>
            <w:r w:rsidRPr="00CB2EC4">
              <w:rPr>
                <w:rFonts w:ascii="Times New Roman" w:hAnsi="Times New Roman" w:cs="Times New Roman"/>
              </w:rPr>
              <w:br/>
              <w:t xml:space="preserve">  - Preferred method: Pelvic MRI.</w:t>
            </w:r>
            <w:r w:rsidRPr="00CB2EC4">
              <w:rPr>
                <w:rFonts w:ascii="Times New Roman" w:hAnsi="Times New Roman" w:cs="Times New Roman"/>
              </w:rPr>
              <w:br/>
            </w:r>
            <w:r w:rsidRPr="00CB2EC4">
              <w:rPr>
                <w:rFonts w:ascii="Times New Roman" w:hAnsi="Times New Roman" w:cs="Times New Roman"/>
              </w:rPr>
              <w:lastRenderedPageBreak/>
              <w:t xml:space="preserve">  - Rationale: MRI is the preferred imaging method for assessing local cervical tumors (e.g., tumor size, depth of invasion) due to its high soft-tissue resolution, which accurately displays cervical lesions. If MRI is contraindicated (e.g., due to metal implants in the body), pelvic CT should be chosen.</w:t>
            </w:r>
            <w:r w:rsidRPr="00CB2EC4">
              <w:rPr>
                <w:rFonts w:ascii="Times New Roman" w:hAnsi="Times New Roman" w:cs="Times New Roman"/>
              </w:rPr>
              <w:br/>
              <w:t xml:space="preserve">  - Contextual sources: Document fragment 1, section f, explicitly recommends "pelvic MRI as the preferred method for evaluating local cervical tumors"; Document fragment 2's Level I recommendation also specifies "cervical tumor evaluation: pelvic MRI."</w:t>
            </w:r>
            <w:r w:rsidRPr="00CB2EC4">
              <w:rPr>
                <w:rFonts w:ascii="Times New Roman" w:hAnsi="Times New Roman" w:cs="Times New Roman"/>
              </w:rPr>
              <w:br/>
            </w:r>
            <w:r w:rsidRPr="00CB2EC4">
              <w:rPr>
                <w:rFonts w:ascii="Times New Roman" w:hAnsi="Times New Roman" w:cs="Times New Roman"/>
              </w:rPr>
              <w:br/>
              <w:t>- Evaluating metastatic lesions:</w:t>
            </w:r>
            <w:r w:rsidRPr="00CB2EC4">
              <w:rPr>
                <w:rFonts w:ascii="Times New Roman" w:hAnsi="Times New Roman" w:cs="Times New Roman"/>
              </w:rPr>
              <w:br/>
              <w:t xml:space="preserve">  - Preferred method: Neck-chest-abdomen-pelvis CT.</w:t>
            </w:r>
            <w:r w:rsidRPr="00CB2EC4">
              <w:rPr>
                <w:rFonts w:ascii="Times New Roman" w:hAnsi="Times New Roman" w:cs="Times New Roman"/>
              </w:rPr>
              <w:br/>
              <w:t xml:space="preserve">  - Supplementary when necessary: PET/CT (especially for stages IB1 and above or suspected distant metastasis).</w:t>
            </w:r>
            <w:r w:rsidRPr="00CB2EC4">
              <w:rPr>
                <w:rFonts w:ascii="Times New Roman" w:hAnsi="Times New Roman" w:cs="Times New Roman"/>
              </w:rPr>
              <w:br/>
              <w:t xml:space="preserve">  - Rationale: CT is used for comprehensive evaluation of metastatic lesions (e.g., lymph nodes, lungs, liver, etc.), while PET/CT, when conditions permit, improves the accuracy of metastatic lesion detection (e.g., detecting lymph nodes &gt;10mm).</w:t>
            </w:r>
            <w:r w:rsidRPr="00CB2EC4">
              <w:rPr>
                <w:rFonts w:ascii="Times New Roman" w:hAnsi="Times New Roman" w:cs="Times New Roman"/>
              </w:rPr>
              <w:br/>
              <w:t xml:space="preserve">  - Contextual sources: Document fragment 2's Level I recommendation for metastatic lesion evaluation is "neck-chest-abdomen-pelvis CT, supplemented by PET/CT when necessary"; Document fragment 1, section g, suggests "PET/CT examination for stages IB1 and above when conditions allow."</w:t>
            </w:r>
          </w:p>
        </w:tc>
        <w:tc>
          <w:tcPr>
            <w:tcW w:w="1152" w:type="dxa"/>
            <w:vAlign w:val="center"/>
          </w:tcPr>
          <w:p w14:paraId="0008A1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63A2D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0328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700CA4B" w14:textId="77777777">
        <w:tc>
          <w:tcPr>
            <w:tcW w:w="2160" w:type="dxa"/>
            <w:vAlign w:val="center"/>
          </w:tcPr>
          <w:p w14:paraId="763243A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15B5849" w14:textId="77777777" w:rsidR="00922249" w:rsidRPr="00CB2EC4" w:rsidRDefault="003011D5">
            <w:pPr>
              <w:rPr>
                <w:rFonts w:ascii="Times New Roman" w:hAnsi="Times New Roman" w:cs="Times New Roman"/>
              </w:rPr>
            </w:pPr>
            <w:r w:rsidRPr="00CB2EC4">
              <w:rPr>
                <w:rFonts w:ascii="Times New Roman" w:hAnsi="Times New Roman" w:cs="Times New Roman"/>
              </w:rPr>
              <w:t>in the diagnosis of cervical cancer, which imaging method should be preferred to assess the cervical tumor? which imaging method should be used to assess metastatic lesions?</w:t>
            </w:r>
            <w:r w:rsidRPr="00CB2EC4">
              <w:rPr>
                <w:rFonts w:ascii="Times New Roman" w:hAnsi="Times New Roman" w:cs="Times New Roman"/>
              </w:rPr>
              <w:br/>
            </w:r>
            <w:r w:rsidRPr="00CB2EC4">
              <w:rPr>
                <w:rFonts w:ascii="Times New Roman" w:hAnsi="Times New Roman" w:cs="Times New Roman"/>
              </w:rPr>
              <w:br/>
              <w:t xml:space="preserve">according to the contextual information (mainly from </w:t>
            </w:r>
            <w:r w:rsidRPr="00CB2EC4">
              <w:rPr>
                <w:rFonts w:ascii="Times New Roman" w:hAnsi="Times New Roman" w:cs="Times New Roman"/>
              </w:rPr>
              <w:lastRenderedPageBreak/>
              <w:t>related document 1):</w:t>
            </w:r>
            <w:r w:rsidRPr="00CB2EC4">
              <w:rPr>
                <w:rFonts w:ascii="Times New Roman" w:hAnsi="Times New Roman" w:cs="Times New Roman"/>
              </w:rPr>
              <w:br/>
              <w:t>- preferred imaging method for assessing cervical tumor: pelvic MRI. this is a level I recommendation as the first-choice method for evaluating the extent of local cervical tumors, infiltration depth, and invasion of adjacent tissues. if MRI is contraindicated (e.g., presence of metallic implants), pelvic CT is selected as an alternative (note f).</w:t>
            </w:r>
            <w:r w:rsidRPr="00CB2EC4">
              <w:rPr>
                <w:rFonts w:ascii="Times New Roman" w:hAnsi="Times New Roman" w:cs="Times New Roman"/>
              </w:rPr>
              <w:br/>
              <w:t>- preferred imaging method for assessing metastatic lesions: cervical-thoracic-abdominal-pelvic CT. this is a level I recommendation as the standard method for comprehensive assessment of metastatic lesions (e.g., lymph nodes, lungs, liver). when necessary (e.g., stage IB1 or higher, or suspected distant metastasis), PET/CT may be combined to improve accuracy (note g).</w:t>
            </w:r>
          </w:p>
        </w:tc>
        <w:tc>
          <w:tcPr>
            <w:tcW w:w="1152" w:type="dxa"/>
            <w:vAlign w:val="center"/>
          </w:tcPr>
          <w:p w14:paraId="285695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CB422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99C3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19458B" w14:textId="77777777">
        <w:tc>
          <w:tcPr>
            <w:tcW w:w="2160" w:type="dxa"/>
            <w:vAlign w:val="center"/>
          </w:tcPr>
          <w:p w14:paraId="345D675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E51D150" w14:textId="77777777" w:rsidR="00922249" w:rsidRPr="00CB2EC4" w:rsidRDefault="003011D5">
            <w:pPr>
              <w:rPr>
                <w:rFonts w:ascii="Times New Roman" w:hAnsi="Times New Roman" w:cs="Times New Roman"/>
              </w:rPr>
            </w:pPr>
            <w:r w:rsidRPr="00CB2EC4">
              <w:rPr>
                <w:rFonts w:ascii="Times New Roman" w:hAnsi="Times New Roman" w:cs="Times New Roman"/>
              </w:rPr>
              <w:t>In the diagnosis of cervical cancer, to evaluate the cervical tumor, the preferred imaging method is pelvic MRI (Level I recommendation). MRI is the first choice for assessing local cervical tumors due to its ability to clearly display tumor size, depth of infiltration, and relationship with surrounding tissues. If MRI is contraindicated (e.g., presence of metallic implants), pelvic CT may be used as an alternative (Level II recommendation).</w:t>
            </w:r>
            <w:r w:rsidRPr="00CB2EC4">
              <w:rPr>
                <w:rFonts w:ascii="Times New Roman" w:hAnsi="Times New Roman" w:cs="Times New Roman"/>
              </w:rPr>
              <w:br/>
            </w:r>
            <w:r w:rsidRPr="00CB2EC4">
              <w:rPr>
                <w:rFonts w:ascii="Times New Roman" w:hAnsi="Times New Roman" w:cs="Times New Roman"/>
              </w:rPr>
              <w:br/>
              <w:t>To evaluate metastatic lesions (distant metastasis assessment), the preferred imaging method is neck-thorax-abdomen-pelvis CT (Level I recommendation). CT is used for comprehensive assessment of metastatic lesions, including lymph nodes and distant organs. When necessary, PET/CT may be supplemented (especially for patients with stage IB1 or higher who have access to it).</w:t>
            </w:r>
            <w:r w:rsidRPr="00CB2EC4">
              <w:rPr>
                <w:rFonts w:ascii="Times New Roman" w:hAnsi="Times New Roman" w:cs="Times New Roman"/>
              </w:rPr>
              <w:br/>
            </w:r>
            <w:r w:rsidRPr="00CB2EC4">
              <w:rPr>
                <w:rFonts w:ascii="Times New Roman" w:hAnsi="Times New Roman" w:cs="Times New Roman"/>
              </w:rPr>
              <w:lastRenderedPageBreak/>
              <w:br/>
              <w:t>Additionally, bone scan is recommended for suspected bone metastasis; cystoscopy or colonoscopy is recommended for suspected bladder or rectal involvement.</w:t>
            </w:r>
            <w:r w:rsidRPr="00CB2EC4">
              <w:rPr>
                <w:rFonts w:ascii="Times New Roman" w:hAnsi="Times New Roman" w:cs="Times New Roman"/>
              </w:rPr>
              <w:br/>
            </w:r>
            <w:r w:rsidRPr="00CB2EC4">
              <w:rPr>
                <w:rFonts w:ascii="Times New Roman" w:hAnsi="Times New Roman" w:cs="Times New Roman"/>
              </w:rPr>
              <w:br/>
              <w:t>Conclusion: For evaluating cervical tumors, pelvic MRI is preferred; for evaluating metastatic lesions, neck-thorax-abdomen-pelvis CT is preferred.</w:t>
            </w:r>
          </w:p>
        </w:tc>
        <w:tc>
          <w:tcPr>
            <w:tcW w:w="1152" w:type="dxa"/>
            <w:vAlign w:val="center"/>
          </w:tcPr>
          <w:p w14:paraId="23D7D5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1588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34A1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97ED49" w14:textId="77777777">
        <w:tc>
          <w:tcPr>
            <w:tcW w:w="2160" w:type="dxa"/>
            <w:vAlign w:val="center"/>
          </w:tcPr>
          <w:p w14:paraId="398DD6C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175CF70" w14:textId="77777777" w:rsidR="00922249" w:rsidRPr="00CB2EC4" w:rsidRDefault="003011D5">
            <w:pPr>
              <w:rPr>
                <w:rFonts w:ascii="Times New Roman" w:hAnsi="Times New Roman" w:cs="Times New Roman"/>
              </w:rPr>
            </w:pPr>
            <w:r w:rsidRPr="00CB2EC4">
              <w:rPr>
                <w:rFonts w:ascii="Times New Roman" w:hAnsi="Times New Roman" w:cs="Times New Roman"/>
              </w:rPr>
              <w:t>in the diagnosis of cervical cancer, to assess the cervical tumor, the preferred imaging method is pelvic MRI (magnetic resonance imaging). if MRI is contraindicated (e.g., patient has metal implants), then pelvic CT should be selected (see section f of document fragment 1).</w:t>
            </w:r>
            <w:r w:rsidRPr="00CB2EC4">
              <w:rPr>
                <w:rFonts w:ascii="Times New Roman" w:hAnsi="Times New Roman" w:cs="Times New Roman"/>
              </w:rPr>
              <w:br/>
            </w:r>
            <w:r w:rsidRPr="00CB2EC4">
              <w:rPr>
                <w:rFonts w:ascii="Times New Roman" w:hAnsi="Times New Roman" w:cs="Times New Roman"/>
              </w:rPr>
              <w:br/>
              <w:t>to assess metastatic lesions, cervical-thoracic-abdominal-pelvic CT (computed tomography) is recommended. when necessary (e.g., stage IB1 or higher, or suspected distant metastasis), PET/CT examination may be performed (see section g of document fragment 1 and the metastatic lesion assessment section of document fragment 3).</w:t>
            </w:r>
            <w:r w:rsidRPr="00CB2EC4">
              <w:rPr>
                <w:rFonts w:ascii="Times New Roman" w:hAnsi="Times New Roman" w:cs="Times New Roman"/>
              </w:rPr>
              <w:br/>
            </w:r>
            <w:r w:rsidRPr="00CB2EC4">
              <w:rPr>
                <w:rFonts w:ascii="Times New Roman" w:hAnsi="Times New Roman" w:cs="Times New Roman"/>
              </w:rPr>
              <w:br/>
              <w:t>therefore, for assessing the cervical tumor, pelvic MRI is the first choice; for assessing metastatic lesions, cervical-thoracic-abdominal-pelvic CT is the first choice, with PET/CT added when necessary.</w:t>
            </w:r>
          </w:p>
        </w:tc>
        <w:tc>
          <w:tcPr>
            <w:tcW w:w="1152" w:type="dxa"/>
            <w:vAlign w:val="center"/>
          </w:tcPr>
          <w:p w14:paraId="6FA3BD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9D37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7070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59C49E3" w14:textId="77777777">
        <w:tc>
          <w:tcPr>
            <w:tcW w:w="2160" w:type="dxa"/>
            <w:vAlign w:val="center"/>
          </w:tcPr>
          <w:p w14:paraId="5076D1C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959907B" w14:textId="77777777" w:rsidR="00922249" w:rsidRPr="00CB2EC4" w:rsidRDefault="003011D5">
            <w:pPr>
              <w:rPr>
                <w:rFonts w:ascii="Times New Roman" w:hAnsi="Times New Roman" w:cs="Times New Roman"/>
              </w:rPr>
            </w:pPr>
            <w:r w:rsidRPr="00CB2EC4">
              <w:rPr>
                <w:rFonts w:ascii="Times New Roman" w:hAnsi="Times New Roman" w:cs="Times New Roman"/>
              </w:rPr>
              <w:t>in the diagnosis of cervical cancer, to assess the cervical tumor, the preferred imaging method is pelvic MRI. to assess metastatic lesions, the preferred imaging method is CT of the neck, chest, abdomen, and pelvis, with PET/CT added when necessary.</w:t>
            </w:r>
            <w:r w:rsidRPr="00CB2EC4">
              <w:rPr>
                <w:rFonts w:ascii="Times New Roman" w:hAnsi="Times New Roman" w:cs="Times New Roman"/>
              </w:rPr>
              <w:br/>
            </w:r>
            <w:r w:rsidRPr="00CB2EC4">
              <w:rPr>
                <w:rFonts w:ascii="Times New Roman" w:hAnsi="Times New Roman" w:cs="Times New Roman"/>
              </w:rPr>
              <w:lastRenderedPageBreak/>
              <w:br/>
              <w:t>according to the "2.1 Basic Principles of Cervical Cancer Diagnosis" section (imaging diagnosis, Level I recommendation):</w:t>
            </w:r>
            <w:r w:rsidRPr="00CB2EC4">
              <w:rPr>
                <w:rFonts w:ascii="Times New Roman" w:hAnsi="Times New Roman" w:cs="Times New Roman"/>
              </w:rPr>
              <w:br/>
              <w:t>- For assessment of cervical tumor: Pelvic MRI is the first choice. The document explicitly states: "Pelvic MRI is recommended as the preferred method for evaluating local cervical tumors." If MRI is contraindicated (e.g., patient has metal implants), pelvic CT is used as an alternative (see footnote f).</w:t>
            </w:r>
            <w:r w:rsidRPr="00CB2EC4">
              <w:rPr>
                <w:rFonts w:ascii="Times New Roman" w:hAnsi="Times New Roman" w:cs="Times New Roman"/>
              </w:rPr>
              <w:br/>
              <w:t>- For assessment of metastatic lesions: CT of the neck, chest, abdomen, and pelvis is the first choice, with PET/CT added when necessary. The document states: "Metastatic lesion assessment: CT of the neck, chest, abdomen, and pelvis, with PET/CT when necessary" (see footnote g). For patients with stage IB1 or higher, PET/CT is recommended when available. Level II recommendation is neck and chest CT + pelvic and abdominal MRI, for specific situations.</w:t>
            </w:r>
          </w:p>
        </w:tc>
        <w:tc>
          <w:tcPr>
            <w:tcW w:w="1152" w:type="dxa"/>
            <w:vAlign w:val="center"/>
          </w:tcPr>
          <w:p w14:paraId="7C08C7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7E5EC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BDFC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074581" w14:textId="77777777">
        <w:tc>
          <w:tcPr>
            <w:tcW w:w="2160" w:type="dxa"/>
            <w:vAlign w:val="center"/>
          </w:tcPr>
          <w:p w14:paraId="07CB821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54AE402" w14:textId="77777777" w:rsidR="00922249" w:rsidRPr="00CB2EC4" w:rsidRDefault="003011D5">
            <w:pPr>
              <w:rPr>
                <w:rFonts w:ascii="Times New Roman" w:hAnsi="Times New Roman" w:cs="Times New Roman"/>
              </w:rPr>
            </w:pPr>
            <w:r w:rsidRPr="00CB2EC4">
              <w:rPr>
                <w:rFonts w:ascii="Times New Roman" w:hAnsi="Times New Roman" w:cs="Times New Roman"/>
              </w:rPr>
              <w:t>in the diagnosis of cervical cancer, to assess the cervical tumor, the preferred imaging method is pelvic MRI (magnetic resonance imaging). This is a Level I recommendation, as the preferred method for evaluating local cervical tumors due to its ability to clearly display tumor size, depth of infiltration, and parametrial involvement. If MRI is contraindicated (e.g., presence of metallic implants), pelvic CT may be used as an alternative (Level III recommendation).</w:t>
            </w:r>
            <w:r w:rsidRPr="00CB2EC4">
              <w:rPr>
                <w:rFonts w:ascii="Times New Roman" w:hAnsi="Times New Roman" w:cs="Times New Roman"/>
              </w:rPr>
              <w:br/>
            </w:r>
            <w:r w:rsidRPr="00CB2EC4">
              <w:rPr>
                <w:rFonts w:ascii="Times New Roman" w:hAnsi="Times New Roman" w:cs="Times New Roman"/>
              </w:rPr>
              <w:br/>
              <w:t xml:space="preserve">to assess metastatic lesions, the preferred imaging method is CT of the neck, chest, abdomen, and pelvis (computed tomography). This is a Level I recommendation for comprehensive evaluation of distant metastases. When necessary, PET/CT (positron </w:t>
            </w:r>
            <w:r w:rsidRPr="00CB2EC4">
              <w:rPr>
                <w:rFonts w:ascii="Times New Roman" w:hAnsi="Times New Roman" w:cs="Times New Roman"/>
              </w:rPr>
              <w:lastRenderedPageBreak/>
              <w:t>emission tomography/computed tomography) may be combined, especially for patients with stage IB1 or higher, or when resources permit. A Level II recommendation allows the combination of neck/chest CT with pelvic/abdominal MRI.</w:t>
            </w:r>
            <w:r w:rsidRPr="00CB2EC4">
              <w:rPr>
                <w:rFonts w:ascii="Times New Roman" w:hAnsi="Times New Roman" w:cs="Times New Roman"/>
              </w:rPr>
              <w:br/>
            </w:r>
            <w:r w:rsidRPr="00CB2EC4">
              <w:rPr>
                <w:rFonts w:ascii="Times New Roman" w:hAnsi="Times New Roman" w:cs="Times New Roman"/>
              </w:rPr>
              <w:br/>
              <w:t>basis: the "imaging diagnosis" section in document fragment 2 explicitly lists these graded recommendations, with annotations f and g explaining their applicable scenarios.</w:t>
            </w:r>
          </w:p>
        </w:tc>
        <w:tc>
          <w:tcPr>
            <w:tcW w:w="1152" w:type="dxa"/>
            <w:vAlign w:val="center"/>
          </w:tcPr>
          <w:p w14:paraId="4519DB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16B3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E728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65170A" w14:textId="77777777">
        <w:tc>
          <w:tcPr>
            <w:tcW w:w="2160" w:type="dxa"/>
            <w:vAlign w:val="center"/>
          </w:tcPr>
          <w:p w14:paraId="1A022029"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E98848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diagnosis of cervical cancer, to assess the cervical tumor, the preferred imaging method is pelvic MRI. It is recommended as the first-choice imaging method for evaluating local tumors of the cervix because it provides high-resolution soft tissue contrast, which is helpful for assessing tumor size, depth of infiltration, and parametrial involvement (annotation f).  </w:t>
            </w:r>
            <w:r w:rsidRPr="00CB2EC4">
              <w:rPr>
                <w:rFonts w:ascii="Times New Roman" w:hAnsi="Times New Roman" w:cs="Times New Roman"/>
              </w:rPr>
              <w:br/>
              <w:t xml:space="preserve">If MRI is contraindicated (e.g., presence of metallic implants), pelvic CT may be used as an alternative (annotation f).  </w:t>
            </w:r>
            <w:r w:rsidRPr="00CB2EC4">
              <w:rPr>
                <w:rFonts w:ascii="Times New Roman" w:hAnsi="Times New Roman" w:cs="Times New Roman"/>
              </w:rPr>
              <w:br/>
            </w:r>
            <w:r w:rsidRPr="00CB2EC4">
              <w:rPr>
                <w:rFonts w:ascii="Times New Roman" w:hAnsi="Times New Roman" w:cs="Times New Roman"/>
              </w:rPr>
              <w:br/>
              <w:t xml:space="preserve">To assess metastatic lesions, the preferred imaging method is CT of the neck, chest, abdomen, and pelvis. It is used for comprehensive evaluation of metastatic lesions, including lymph nodes, lungs, liver, and other distant organs (annotation g).  </w:t>
            </w:r>
            <w:r w:rsidRPr="00CB2EC4">
              <w:rPr>
                <w:rFonts w:ascii="Times New Roman" w:hAnsi="Times New Roman" w:cs="Times New Roman"/>
              </w:rPr>
              <w:br/>
              <w:t xml:space="preserve">When necessary, PET/CT should be supplemented. It is suggested for patients with stage IB1 or higher who have access to it, to improve the accuracy of metastatic lesion detection, especially in evaluating lymph node metastases (annotation g).  </w:t>
            </w:r>
            <w:r w:rsidRPr="00CB2EC4">
              <w:rPr>
                <w:rFonts w:ascii="Times New Roman" w:hAnsi="Times New Roman" w:cs="Times New Roman"/>
              </w:rPr>
              <w:br/>
            </w:r>
            <w:r w:rsidRPr="00CB2EC4">
              <w:rPr>
                <w:rFonts w:ascii="Times New Roman" w:hAnsi="Times New Roman" w:cs="Times New Roman"/>
              </w:rPr>
              <w:br/>
              <w:t xml:space="preserve">The selection of these methods is based on tumor </w:t>
            </w:r>
            <w:r w:rsidRPr="00CB2EC4">
              <w:rPr>
                <w:rFonts w:ascii="Times New Roman" w:hAnsi="Times New Roman" w:cs="Times New Roman"/>
              </w:rPr>
              <w:lastRenderedPageBreak/>
              <w:t>staging and clinical needs, and imaging results are used to supplement clinical and pathological diagnosis.</w:t>
            </w:r>
          </w:p>
        </w:tc>
        <w:tc>
          <w:tcPr>
            <w:tcW w:w="1152" w:type="dxa"/>
            <w:vAlign w:val="center"/>
          </w:tcPr>
          <w:p w14:paraId="1C2051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D934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C98E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E1FD93" w14:textId="77777777">
        <w:tc>
          <w:tcPr>
            <w:tcW w:w="2160" w:type="dxa"/>
            <w:vAlign w:val="center"/>
          </w:tcPr>
          <w:p w14:paraId="29317FC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B00928B" w14:textId="77777777" w:rsidR="00922249" w:rsidRPr="00CB2EC4" w:rsidRDefault="003011D5">
            <w:pPr>
              <w:rPr>
                <w:rFonts w:ascii="Times New Roman" w:hAnsi="Times New Roman" w:cs="Times New Roman"/>
              </w:rPr>
            </w:pPr>
            <w:r w:rsidRPr="00CB2EC4">
              <w:rPr>
                <w:rFonts w:ascii="Times New Roman" w:hAnsi="Times New Roman" w:cs="Times New Roman"/>
              </w:rPr>
              <w:t>In the diagnosis of cervical cancer:</w:t>
            </w:r>
            <w:r w:rsidRPr="00CB2EC4">
              <w:rPr>
                <w:rFonts w:ascii="Times New Roman" w:hAnsi="Times New Roman" w:cs="Times New Roman"/>
              </w:rPr>
              <w:br/>
            </w:r>
            <w:r w:rsidRPr="00CB2EC4">
              <w:rPr>
                <w:rFonts w:ascii="Times New Roman" w:hAnsi="Times New Roman" w:cs="Times New Roman"/>
              </w:rPr>
              <w:br/>
              <w:t>- To assess the cervical tumor: Pelvic MRI is the preferred imaging method (Level I recommendation), as it is superior to CT in evaluating parametrial infiltration (Fragment 2). If MRI is contraindicated, pelvic CT may be used as an alternative (Level II recommendation).</w:t>
            </w:r>
            <w:r w:rsidRPr="00CB2EC4">
              <w:rPr>
                <w:rFonts w:ascii="Times New Roman" w:hAnsi="Times New Roman" w:cs="Times New Roman"/>
              </w:rPr>
              <w:br/>
            </w:r>
            <w:r w:rsidRPr="00CB2EC4">
              <w:rPr>
                <w:rFonts w:ascii="Times New Roman" w:hAnsi="Times New Roman" w:cs="Times New Roman"/>
              </w:rPr>
              <w:br/>
              <w:t>- To assess metastatic lesions: Whole-neck-thorax-abdomen-pelvis CT is the preferred method (Level I recommendation). PET/CT should be used when necessary, especially for patients with stage IB1 or higher. A Level II recommendation is neck-thorax CT combined with pelvic-abdominal MRI (Footnote g in Fragment 1).</w:t>
            </w:r>
          </w:p>
        </w:tc>
        <w:tc>
          <w:tcPr>
            <w:tcW w:w="1152" w:type="dxa"/>
            <w:vAlign w:val="center"/>
          </w:tcPr>
          <w:p w14:paraId="1002CB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4F0B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7BA7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311165" w14:textId="77777777">
        <w:tc>
          <w:tcPr>
            <w:tcW w:w="2160" w:type="dxa"/>
            <w:vAlign w:val="center"/>
          </w:tcPr>
          <w:p w14:paraId="4BC9EBE2"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C6B2421" w14:textId="77777777" w:rsidR="00922249" w:rsidRPr="00CB2EC4" w:rsidRDefault="003011D5">
            <w:pPr>
              <w:rPr>
                <w:rFonts w:ascii="Times New Roman" w:hAnsi="Times New Roman" w:cs="Times New Roman"/>
              </w:rPr>
            </w:pPr>
            <w:r w:rsidRPr="00CB2EC4">
              <w:rPr>
                <w:rFonts w:ascii="Times New Roman" w:hAnsi="Times New Roman" w:cs="Times New Roman"/>
              </w:rPr>
              <w:t>In the diagnosis of cervical cancer, which imaging method should be prioritized for evaluating cervical tumors? Which imaging method should be used for assessing metastatic lesions?</w:t>
            </w:r>
            <w:r w:rsidRPr="00CB2EC4">
              <w:rPr>
                <w:rFonts w:ascii="Times New Roman" w:hAnsi="Times New Roman" w:cs="Times New Roman"/>
              </w:rPr>
              <w:br/>
            </w:r>
            <w:r w:rsidRPr="00CB2EC4">
              <w:rPr>
                <w:rFonts w:ascii="Times New Roman" w:hAnsi="Times New Roman" w:cs="Times New Roman"/>
              </w:rPr>
              <w:br/>
              <w:t xml:space="preserve">Based on contextual information:  </w:t>
            </w:r>
            <w:r w:rsidRPr="00CB2EC4">
              <w:rPr>
                <w:rFonts w:ascii="Times New Roman" w:hAnsi="Times New Roman" w:cs="Times New Roman"/>
              </w:rPr>
              <w:br/>
              <w:t xml:space="preserve">- Preferred imaging method for evaluating cervical tumors: In the imaging diagnosis section of relevant excerpt 2 (2.1 Basic Principles of Cervical Cancer Diagnosis), the Level I recommendation explicitly states "Evaluation of cervical tumors: Pelvic MRI⁽ᶠ⁾," with footnote ⁽ᶠ⁾ explaining "Pelvic MRI is recommended as the preferred method for assessing local cervical tumors. Pelvic CT should be chosen if </w:t>
            </w:r>
            <w:r w:rsidRPr="00CB2EC4">
              <w:rPr>
                <w:rFonts w:ascii="Times New Roman" w:hAnsi="Times New Roman" w:cs="Times New Roman"/>
              </w:rPr>
              <w:lastRenderedPageBreak/>
              <w:t xml:space="preserve">MRI is contraindicated." Relevant excerpt 1 also mentions "For primary tumors &gt;10mm, MRI is the optimal imaging evaluation method," supporting MRI's preferred status.  </w:t>
            </w:r>
            <w:r w:rsidRPr="00CB2EC4">
              <w:rPr>
                <w:rFonts w:ascii="Times New Roman" w:hAnsi="Times New Roman" w:cs="Times New Roman"/>
              </w:rPr>
              <w:br/>
              <w:t xml:space="preserve">- Preferred imaging method for evaluating metastatic lesions: In relevant excerpt 2 (2.1), the Level I recommendation is "Evaluation of metastatic lesions: Neck-chest-abdomen-pelvis CT, supplemented by PET/CT when necessary⁽ᵍ⁾," with footnote ⁽ᵍ⁾ stating "PET/CT is recommended for stage IB1 and above when feasible." Relevant excerpt 1 notes "For detecting lymph nodes &gt;10mm, PET-CT is more accurate than CT and MRI," further supporting PET/CT's advantage in metastasis evaluation.  </w:t>
            </w:r>
            <w:r w:rsidRPr="00CB2EC4">
              <w:rPr>
                <w:rFonts w:ascii="Times New Roman" w:hAnsi="Times New Roman" w:cs="Times New Roman"/>
              </w:rPr>
              <w:br/>
              <w:t xml:space="preserve">Therefore:  </w:t>
            </w:r>
            <w:r w:rsidRPr="00CB2EC4">
              <w:rPr>
                <w:rFonts w:ascii="Times New Roman" w:hAnsi="Times New Roman" w:cs="Times New Roman"/>
              </w:rPr>
              <w:br/>
              <w:t xml:space="preserve">- Pelvic MRI should be prioritized for evaluating cervical tumors (if contraindicated, pelvic CT may be used).  </w:t>
            </w:r>
            <w:r w:rsidRPr="00CB2EC4">
              <w:rPr>
                <w:rFonts w:ascii="Times New Roman" w:hAnsi="Times New Roman" w:cs="Times New Roman"/>
              </w:rPr>
              <w:br/>
              <w:t>- Neck-chest-abdomen-pelvis CT should be prioritized for evaluating metastatic lesions, supplemented by PET/CT when necessary (e.g., stage IB1 and above or lymph node assessment).</w:t>
            </w:r>
          </w:p>
        </w:tc>
        <w:tc>
          <w:tcPr>
            <w:tcW w:w="1152" w:type="dxa"/>
            <w:vAlign w:val="center"/>
          </w:tcPr>
          <w:p w14:paraId="5555D6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1149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4B19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BBA7C5" w14:textId="77777777">
        <w:tc>
          <w:tcPr>
            <w:tcW w:w="2160" w:type="dxa"/>
            <w:vAlign w:val="center"/>
          </w:tcPr>
          <w:p w14:paraId="60752DA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A6530F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diagnosis of cervical cancer, to evaluate the cervical tumor, the preferred imaging method is MRI (magnetic resonance imaging), as it clearly displays the local tumor extent, depth of infiltration, and parametrial involvement, aiding in staging and treatment planning.  </w:t>
            </w:r>
            <w:r w:rsidRPr="00CB2EC4">
              <w:rPr>
                <w:rFonts w:ascii="Times New Roman" w:hAnsi="Times New Roman" w:cs="Times New Roman"/>
              </w:rPr>
              <w:br/>
              <w:t>- To evaluate metastatic lesions, the preferred imaging methods are PET-CT (positron emission tomography-computed tomography) or CT (computed tomography), used to detect lymph node metastases and distant metastases (such as lung, liver, or bone metastases).</w:t>
            </w:r>
          </w:p>
        </w:tc>
        <w:tc>
          <w:tcPr>
            <w:tcW w:w="1152" w:type="dxa"/>
            <w:vAlign w:val="center"/>
          </w:tcPr>
          <w:p w14:paraId="671450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6686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3F34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BBB456" w14:textId="77777777">
        <w:tc>
          <w:tcPr>
            <w:tcW w:w="10656" w:type="dxa"/>
            <w:gridSpan w:val="5"/>
            <w:tcBorders>
              <w:bottom w:val="single" w:sz="6" w:space="0" w:color="auto"/>
            </w:tcBorders>
            <w:vAlign w:val="center"/>
          </w:tcPr>
          <w:p w14:paraId="2E1FDF06" w14:textId="77777777" w:rsidR="00922249" w:rsidRPr="00CB2EC4" w:rsidRDefault="003011D5">
            <w:pPr>
              <w:rPr>
                <w:rFonts w:ascii="Times New Roman" w:hAnsi="Times New Roman" w:cs="Times New Roman"/>
              </w:rPr>
            </w:pPr>
            <w:r w:rsidRPr="00CB2EC4">
              <w:rPr>
                <w:rFonts w:ascii="Times New Roman" w:hAnsi="Times New Roman" w:cs="Times New Roman"/>
                <w:b/>
              </w:rPr>
              <w:lastRenderedPageBreak/>
              <w:t>Question 45: what are the recommended diagnostic tools for patients with FIGO stage IA1 cervical cancer? Is it necessary to consider lymphovascular infiltration?</w:t>
            </w:r>
          </w:p>
        </w:tc>
      </w:tr>
      <w:tr w:rsidR="00922249" w:rsidRPr="00CB2EC4" w14:paraId="1D55E555" w14:textId="77777777">
        <w:tc>
          <w:tcPr>
            <w:tcW w:w="2160" w:type="dxa"/>
            <w:vAlign w:val="center"/>
          </w:tcPr>
          <w:p w14:paraId="170201D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30D4A3B" w14:textId="77777777" w:rsidR="00922249" w:rsidRPr="00CB2EC4" w:rsidRDefault="003011D5">
            <w:pPr>
              <w:rPr>
                <w:rFonts w:ascii="Times New Roman" w:hAnsi="Times New Roman" w:cs="Times New Roman"/>
              </w:rPr>
            </w:pPr>
            <w:r w:rsidRPr="00CB2EC4">
              <w:rPr>
                <w:rFonts w:ascii="Times New Roman" w:hAnsi="Times New Roman" w:cs="Times New Roman"/>
              </w:rPr>
              <w:t>- Recommended diagnostic tools: The diagnosis of FIGO stage IA1 cervical cancer (microinvasive carcinoma) is primarily based on microscopic examination. Loop electrosurgical excision procedure (LEEP) or cold knife conization is recommended to obtain a complete specimen of the lesion. These tools are used to accurately measure the depth of invasion (≤3 mm) and to exclude more advanced disease. The documentation emphasizes that the diagnosis must be based on pathological examination of a cervical excision or conization specimen.</w:t>
            </w:r>
            <w:r w:rsidRPr="00CB2EC4">
              <w:rPr>
                <w:rFonts w:ascii="Times New Roman" w:hAnsi="Times New Roman" w:cs="Times New Roman"/>
              </w:rPr>
              <w:br/>
            </w:r>
            <w:r w:rsidRPr="00CB2EC4">
              <w:rPr>
                <w:rFonts w:ascii="Times New Roman" w:hAnsi="Times New Roman" w:cs="Times New Roman"/>
              </w:rPr>
              <w:br/>
              <w:t>- Is lymphovascular space invasion (LVSI) to be considered: Yes, LVSI must be considered. The LVSI status directly affects treatment decisions:</w:t>
            </w:r>
            <w:r w:rsidRPr="00CB2EC4">
              <w:rPr>
                <w:rFonts w:ascii="Times New Roman" w:hAnsi="Times New Roman" w:cs="Times New Roman"/>
              </w:rPr>
              <w:br/>
              <w:t xml:space="preserve">  - If LVSI is negative (LVSI-), cervical conization may be performed (especially for patients desiring fertility preservation).</w:t>
            </w:r>
            <w:r w:rsidRPr="00CB2EC4">
              <w:rPr>
                <w:rFonts w:ascii="Times New Roman" w:hAnsi="Times New Roman" w:cs="Times New Roman"/>
              </w:rPr>
              <w:br/>
              <w:t xml:space="preserve">  - If LVSI is positive (LVSI+), more radical treatment such as modified radical hysterectomy with pelvic lymphadenectomy is recommended to reduce the risk of metastasis.</w:t>
            </w:r>
            <w:r w:rsidRPr="00CB2EC4">
              <w:rPr>
                <w:rFonts w:ascii="Times New Roman" w:hAnsi="Times New Roman" w:cs="Times New Roman"/>
              </w:rPr>
              <w:br/>
            </w:r>
            <w:r w:rsidRPr="00CB2EC4">
              <w:rPr>
                <w:rFonts w:ascii="Times New Roman" w:hAnsi="Times New Roman" w:cs="Times New Roman"/>
              </w:rPr>
              <w:br/>
              <w:t xml:space="preserve">- Evidence: The documentation explicitly describes the diagnostic methods for IA1 and IA2 stages and the importance of LVSI in sections "3.1 Microinvasive carcinoma" and "4.1.1.1 Stage IA1" (quoted context: "The diagnosis of stages IA1 and IA2 is based on microscopic examination of the entire lesion obtained by LEEP or cold knife conization"; "For patients wishing to preserve fertility, cervical conization may be performed if LVSI (-); for those not requiring </w:t>
            </w:r>
            <w:r w:rsidRPr="00CB2EC4">
              <w:rPr>
                <w:rFonts w:ascii="Times New Roman" w:hAnsi="Times New Roman" w:cs="Times New Roman"/>
              </w:rPr>
              <w:lastRenderedPageBreak/>
              <w:t>fertility preservation and elderly women, extrafascial total hysterectomy is recommended. When LVSI (+), modified radical hysterectomy + pelvic lymphadenectomy should be performed").</w:t>
            </w:r>
            <w:r w:rsidRPr="00CB2EC4">
              <w:rPr>
                <w:rFonts w:ascii="Times New Roman" w:hAnsi="Times New Roman" w:cs="Times New Roman"/>
              </w:rPr>
              <w:br/>
            </w:r>
            <w:r w:rsidRPr="00CB2EC4">
              <w:rPr>
                <w:rFonts w:ascii="Times New Roman" w:hAnsi="Times New Roman" w:cs="Times New Roman"/>
              </w:rPr>
              <w:br/>
              <w:t>Summary</w:t>
            </w:r>
            <w:r w:rsidRPr="00CB2EC4">
              <w:rPr>
                <w:rFonts w:ascii="Times New Roman" w:hAnsi="Times New Roman" w:cs="Times New Roman"/>
              </w:rPr>
              <w:br/>
              <w:t>- All responses are strictly based on the provided document content. The document covers diagnostic, staging, and treatment guidelines for cervical cancer, including CSCO and FIGO standards.</w:t>
            </w:r>
            <w:r w:rsidRPr="00CB2EC4">
              <w:rPr>
                <w:rFonts w:ascii="Times New Roman" w:hAnsi="Times New Roman" w:cs="Times New Roman"/>
              </w:rPr>
              <w:br/>
              <w:t>- If a question falls outside the scope of the document (e.g., certain details not mentioned), it would be marked as "not found," but all information for this set of questions is locatable within the context.</w:t>
            </w:r>
            <w:r w:rsidRPr="00CB2EC4">
              <w:rPr>
                <w:rFonts w:ascii="Times New Roman" w:hAnsi="Times New Roman" w:cs="Times New Roman"/>
              </w:rPr>
              <w:br/>
              <w:t>- As a gynecologic oncology expert, I recommend applying these recommendations in clinical practice in conjunction with the latest guidelines and individual patient circumstances.</w:t>
            </w:r>
          </w:p>
        </w:tc>
        <w:tc>
          <w:tcPr>
            <w:tcW w:w="1152" w:type="dxa"/>
            <w:vAlign w:val="center"/>
          </w:tcPr>
          <w:p w14:paraId="6FE58A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410A4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D81F3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E955D4D" w14:textId="77777777">
        <w:tc>
          <w:tcPr>
            <w:tcW w:w="2160" w:type="dxa"/>
            <w:vAlign w:val="center"/>
          </w:tcPr>
          <w:p w14:paraId="034BBCC8"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B960267" w14:textId="77777777" w:rsidR="00922249" w:rsidRPr="00CB2EC4" w:rsidRDefault="003011D5">
            <w:pPr>
              <w:rPr>
                <w:rFonts w:ascii="Times New Roman" w:hAnsi="Times New Roman" w:cs="Times New Roman"/>
              </w:rPr>
            </w:pPr>
            <w:r w:rsidRPr="00CB2EC4">
              <w:rPr>
                <w:rFonts w:ascii="Times New Roman" w:hAnsi="Times New Roman" w:cs="Times New Roman"/>
              </w:rPr>
              <w:t>- Recommended diagnostic tools: Diagnosis must be made microscopically using pathological evaluation of a conization or hysterectomy specimen (cervical biopsy alone is insufficient). Stromal invasion depth must be ≤3 mm (Source 9 main text: "Stage IA1: stromal invasion depth ≤3 mm"; Source 15 main text: "Stage IA1: stromal invasion depth less than 3 mm"; Source 9 annotation emphasizes diagnosis based on conization or hysterectomy specimen).</w:t>
            </w:r>
            <w:r w:rsidRPr="00CB2EC4">
              <w:rPr>
                <w:rFonts w:ascii="Times New Roman" w:hAnsi="Times New Roman" w:cs="Times New Roman"/>
              </w:rPr>
              <w:br/>
              <w:t xml:space="preserve">- LVSI consideration: Positive LVSI does not change the stage (remains IA1) but influences treatment decisions. The document explicitly states "vascular invasion does not alter the stage, but should be noted" (Source 9 main text), and Source 8 indicates that if LVSI is positive, the surgical scope should be expanded (e.g., modified radical hysterectomy) </w:t>
            </w:r>
            <w:r w:rsidRPr="00CB2EC4">
              <w:rPr>
                <w:rFonts w:ascii="Times New Roman" w:hAnsi="Times New Roman" w:cs="Times New Roman"/>
              </w:rPr>
              <w:lastRenderedPageBreak/>
              <w:t>(Source 8 main text: "When LVSI(+), modified radical hysterectomy + pelvic lymphadenectomy should be performed").</w:t>
            </w:r>
          </w:p>
        </w:tc>
        <w:tc>
          <w:tcPr>
            <w:tcW w:w="1152" w:type="dxa"/>
            <w:vAlign w:val="center"/>
          </w:tcPr>
          <w:p w14:paraId="14E6D0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5D23B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D44AC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B44049E" w14:textId="77777777">
        <w:tc>
          <w:tcPr>
            <w:tcW w:w="2160" w:type="dxa"/>
            <w:vAlign w:val="center"/>
          </w:tcPr>
          <w:p w14:paraId="732933E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EBA0D1A" w14:textId="77777777" w:rsidR="00922249" w:rsidRPr="00CB2EC4" w:rsidRDefault="003011D5">
            <w:pPr>
              <w:rPr>
                <w:rFonts w:ascii="Times New Roman" w:hAnsi="Times New Roman" w:cs="Times New Roman"/>
              </w:rPr>
            </w:pPr>
            <w:r w:rsidRPr="00CB2EC4">
              <w:rPr>
                <w:rFonts w:ascii="Times New Roman" w:hAnsi="Times New Roman" w:cs="Times New Roman"/>
              </w:rPr>
              <w:t>yes. For FIGO stage IA1 cervical cancer patients, the recommended diagnostic tools are pathological examination of conization or hysterectomy specimens; lymphovascular space invasion (LVSI) must be considered as it affects treatment decisions, although it does not alter the stage. Specifically:</w:t>
            </w:r>
            <w:r w:rsidRPr="00CB2EC4">
              <w:rPr>
                <w:rFonts w:ascii="Times New Roman" w:hAnsi="Times New Roman" w:cs="Times New Roman"/>
              </w:rPr>
              <w:br/>
              <w:t>- Recommended diagnostic tools:</w:t>
            </w:r>
            <w:r w:rsidRPr="00CB2EC4">
              <w:rPr>
                <w:rFonts w:ascii="Times New Roman" w:hAnsi="Times New Roman" w:cs="Times New Roman"/>
              </w:rPr>
              <w:br/>
              <w:t xml:space="preserve">  - Document excerpt 10 states: “Stage IA requires pathological confirmation from conization tissue; it cannot be diagnosed solely by cervical biopsy pathology,” which applies to stage IA1 (defined in excerpt 9 as stromal invasion depth &lt;3mm).</w:t>
            </w:r>
            <w:r w:rsidRPr="00CB2EC4">
              <w:rPr>
                <w:rFonts w:ascii="Times New Roman" w:hAnsi="Times New Roman" w:cs="Times New Roman"/>
              </w:rPr>
              <w:br/>
              <w:t xml:space="preserve">  - Document excerpt 23 emphasizes: “Diagnosis of cervical microinvasive carcinoma must include microscopic examination of sections from a cervical resection or conization, or hysterectomy specimen encompassing the entire lesion to confirm,” and stage IA1 falls within the microinvasive carcinoma category.</w:t>
            </w:r>
            <w:r w:rsidRPr="00CB2EC4">
              <w:rPr>
                <w:rFonts w:ascii="Times New Roman" w:hAnsi="Times New Roman" w:cs="Times New Roman"/>
              </w:rPr>
              <w:br/>
              <w:t xml:space="preserve">  - Document excerpt 9 provides staging definitions but does not specify diagnostic tools; excerpts 10 and 23 are the core references.</w:t>
            </w:r>
            <w:r w:rsidRPr="00CB2EC4">
              <w:rPr>
                <w:rFonts w:ascii="Times New Roman" w:hAnsi="Times New Roman" w:cs="Times New Roman"/>
              </w:rPr>
              <w:br/>
              <w:t>- Consideration of LVSI:</w:t>
            </w:r>
            <w:r w:rsidRPr="00CB2EC4">
              <w:rPr>
                <w:rFonts w:ascii="Times New Roman" w:hAnsi="Times New Roman" w:cs="Times New Roman"/>
              </w:rPr>
              <w:br/>
              <w:t xml:space="preserve">  - Document excerpt 7 clearly states: “LVSI still does not change the stage, but it affects treatment decisions: ΔStage IA1 / LVSI (+) requires management as stage IA2, and LVSI (+) is an intermediate-risk factor for postoperative adjuvant therapy.” This indicates LVSI does not modify the FIGO stage (e.g., IA1) but must be evaluated as it alters treatment approaches (e.g., upstaging management or adjuvant therapy).</w:t>
            </w:r>
            <w:r w:rsidRPr="00CB2EC4">
              <w:rPr>
                <w:rFonts w:ascii="Times New Roman" w:hAnsi="Times New Roman" w:cs="Times New Roman"/>
              </w:rPr>
              <w:br/>
            </w:r>
            <w:r w:rsidRPr="00CB2EC4">
              <w:rPr>
                <w:rFonts w:ascii="Times New Roman" w:hAnsi="Times New Roman" w:cs="Times New Roman"/>
              </w:rPr>
              <w:lastRenderedPageBreak/>
              <w:t xml:space="preserve">  - Document excerpt 22 adds: “Patients with LVSI(+) should consider pelvic lymph node dissection,” and excerpts 34 and 36 also note LVSI as a risk factor influencing treatment choices.</w:t>
            </w:r>
            <w:r w:rsidRPr="00CB2EC4">
              <w:rPr>
                <w:rFonts w:ascii="Times New Roman" w:hAnsi="Times New Roman" w:cs="Times New Roman"/>
              </w:rPr>
              <w:br/>
              <w:t xml:space="preserve">  - Document excerpt 12 discusses the significance of vascular invasion, but excerpt 7’s statement is more directly relevant.</w:t>
            </w:r>
            <w:r w:rsidRPr="00CB2EC4">
              <w:rPr>
                <w:rFonts w:ascii="Times New Roman" w:hAnsi="Times New Roman" w:cs="Times New Roman"/>
              </w:rPr>
              <w:br/>
            </w:r>
            <w:r w:rsidRPr="00CB2EC4">
              <w:rPr>
                <w:rFonts w:ascii="Times New Roman" w:hAnsi="Times New Roman" w:cs="Times New Roman"/>
              </w:rPr>
              <w:br/>
              <w:t>In summary, the diagnostic tools are pathological examination of cervical conization or hysterectomy specimens; LVSI must be considered as it is crucial for treatment decision-making.</w:t>
            </w:r>
          </w:p>
        </w:tc>
        <w:tc>
          <w:tcPr>
            <w:tcW w:w="1152" w:type="dxa"/>
            <w:vAlign w:val="center"/>
          </w:tcPr>
          <w:p w14:paraId="129557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64F12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888A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B3E05C" w14:textId="77777777">
        <w:tc>
          <w:tcPr>
            <w:tcW w:w="2160" w:type="dxa"/>
            <w:vAlign w:val="center"/>
          </w:tcPr>
          <w:p w14:paraId="2B72146A"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285F974" w14:textId="77777777" w:rsidR="00922249" w:rsidRPr="00CB2EC4" w:rsidRDefault="003011D5">
            <w:pPr>
              <w:rPr>
                <w:rFonts w:ascii="Times New Roman" w:hAnsi="Times New Roman" w:cs="Times New Roman"/>
              </w:rPr>
            </w:pPr>
            <w:r w:rsidRPr="00CB2EC4">
              <w:rPr>
                <w:rFonts w:ascii="Times New Roman" w:hAnsi="Times New Roman" w:cs="Times New Roman"/>
              </w:rPr>
              <w:t>FIGO IA1 stage cervical cancer diagnostic tools and management of LVSI?</w:t>
            </w:r>
            <w:r w:rsidRPr="00CB2EC4">
              <w:rPr>
                <w:rFonts w:ascii="Times New Roman" w:hAnsi="Times New Roman" w:cs="Times New Roman"/>
              </w:rPr>
              <w:br/>
            </w:r>
            <w:r w:rsidRPr="00CB2EC4">
              <w:rPr>
                <w:rFonts w:ascii="Times New Roman" w:hAnsi="Times New Roman" w:cs="Times New Roman"/>
              </w:rPr>
              <w:br/>
              <w:t xml:space="preserve">Knowledge base references:  </w:t>
            </w:r>
            <w:r w:rsidRPr="00CB2EC4">
              <w:rPr>
                <w:rFonts w:ascii="Times New Roman" w:hAnsi="Times New Roman" w:cs="Times New Roman"/>
              </w:rPr>
              <w:br/>
              <w:t xml:space="preserve">1. Diagnostic tools (Level I recommendation):  </w:t>
            </w:r>
            <w:r w:rsidRPr="00CB2EC4">
              <w:rPr>
                <w:rFonts w:ascii="Times New Roman" w:hAnsi="Times New Roman" w:cs="Times New Roman"/>
              </w:rPr>
              <w:br/>
              <w:t xml:space="preserve">   - Pathological confirmation: Requires microscopic examination of cervical conization or total hysterectomy specimens;  </w:t>
            </w:r>
            <w:r w:rsidRPr="00CB2EC4">
              <w:rPr>
                <w:rFonts w:ascii="Times New Roman" w:hAnsi="Times New Roman" w:cs="Times New Roman"/>
              </w:rPr>
              <w:br/>
              <w:t xml:space="preserve">   - Invasion depth: Strictly limited to ≤3 mm (measured from the basement membrane).  </w:t>
            </w:r>
            <w:r w:rsidRPr="00CB2EC4">
              <w:rPr>
                <w:rFonts w:ascii="Times New Roman" w:hAnsi="Times New Roman" w:cs="Times New Roman"/>
              </w:rPr>
              <w:br/>
              <w:t xml:space="preserve">2. Impact of LVSI (lymphovascular space invasion):  </w:t>
            </w:r>
            <w:r w:rsidRPr="00CB2EC4">
              <w:rPr>
                <w:rFonts w:ascii="Times New Roman" w:hAnsi="Times New Roman" w:cs="Times New Roman"/>
              </w:rPr>
              <w:br/>
              <w:t xml:space="preserve">   - Does not alter staging (remains IA1), but significantly affects treatment decisions:  </w:t>
            </w:r>
            <w:r w:rsidRPr="00CB2EC4">
              <w:rPr>
                <w:rFonts w:ascii="Times New Roman" w:hAnsi="Times New Roman" w:cs="Times New Roman"/>
              </w:rPr>
              <w:br/>
              <w:t xml:space="preserve">     - LVSI(-): Cervical conization (fertility-sparing) or extrafascial hysterectomy may be performed;  </w:t>
            </w:r>
            <w:r w:rsidRPr="00CB2EC4">
              <w:rPr>
                <w:rFonts w:ascii="Times New Roman" w:hAnsi="Times New Roman" w:cs="Times New Roman"/>
              </w:rPr>
              <w:br/>
              <w:t xml:space="preserve">     - LVSI(+): Modified radical hysterectomy plus pelvic lymphadenectomy is required.  </w:t>
            </w:r>
            <w:r w:rsidRPr="00CB2EC4">
              <w:rPr>
                <w:rFonts w:ascii="Times New Roman" w:hAnsi="Times New Roman" w:cs="Times New Roman"/>
              </w:rPr>
              <w:br/>
              <w:t>&gt; *Source: Section "4.1.1.1 IA1 Stage Treatment" and "3.4 Histopathology" (Note: LVSI does not change stage but influences treatment).*</w:t>
            </w:r>
          </w:p>
        </w:tc>
        <w:tc>
          <w:tcPr>
            <w:tcW w:w="1152" w:type="dxa"/>
            <w:vAlign w:val="center"/>
          </w:tcPr>
          <w:p w14:paraId="78BFB3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6579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FEF2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060E81" w14:textId="77777777">
        <w:tc>
          <w:tcPr>
            <w:tcW w:w="2160" w:type="dxa"/>
            <w:vAlign w:val="center"/>
          </w:tcPr>
          <w:p w14:paraId="6AB2E1C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Document </w:t>
            </w:r>
            <w:r w:rsidRPr="00CB2EC4">
              <w:rPr>
                <w:rFonts w:ascii="Times New Roman" w:hAnsi="Times New Roman" w:cs="Times New Roman"/>
              </w:rPr>
              <w:lastRenderedPageBreak/>
              <w:t>Augmentation</w:t>
            </w:r>
          </w:p>
        </w:tc>
        <w:tc>
          <w:tcPr>
            <w:tcW w:w="5040" w:type="dxa"/>
            <w:vAlign w:val="center"/>
          </w:tcPr>
          <w:p w14:paraId="6B8C0CD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Recommended diagnostic tools:</w:t>
            </w:r>
            <w:r w:rsidRPr="00CB2EC4">
              <w:rPr>
                <w:rFonts w:ascii="Times New Roman" w:hAnsi="Times New Roman" w:cs="Times New Roman"/>
              </w:rPr>
              <w:br/>
            </w:r>
            <w:r w:rsidRPr="00CB2EC4">
              <w:rPr>
                <w:rFonts w:ascii="Times New Roman" w:hAnsi="Times New Roman" w:cs="Times New Roman"/>
              </w:rPr>
              <w:lastRenderedPageBreak/>
              <w:t xml:space="preserve">  - Cervical conization: This is the essential tool for confirming IA1 stage and cannot rely solely on cervical biopsy. The conization specimen is used to accurately measure the depth of stromal invasion (≤3 mm).</w:t>
            </w:r>
            <w:r w:rsidRPr="00CB2EC4">
              <w:rPr>
                <w:rFonts w:ascii="Times New Roman" w:hAnsi="Times New Roman" w:cs="Times New Roman"/>
              </w:rPr>
              <w:br/>
              <w:t xml:space="preserve">  - Rationale: IA1 stage represents microscopically minimal invasive cancer; biopsy may not accurately assess the depth of invasion, while conization provides a complete tissue sample for pathological analysis.</w:t>
            </w:r>
            <w:r w:rsidRPr="00CB2EC4">
              <w:rPr>
                <w:rFonts w:ascii="Times New Roman" w:hAnsi="Times New Roman" w:cs="Times New Roman"/>
              </w:rPr>
              <w:br/>
              <w:t xml:space="preserve">  - Source context: Document fragment 26 explicitly states, "IA stage must be diagnosed by pathological examination of cervical conization tissue; it cannot be diagnosed solely by pathological examination of cervical biopsy tissue"; Document fragment 7’s treatment section for IA1 is also based on conization results.</w:t>
            </w:r>
            <w:r w:rsidRPr="00CB2EC4">
              <w:rPr>
                <w:rFonts w:ascii="Times New Roman" w:hAnsi="Times New Roman" w:cs="Times New Roman"/>
              </w:rPr>
              <w:br/>
              <w:t>- Is lymphovascular space invasion (LVSI) to be considered?</w:t>
            </w:r>
            <w:r w:rsidRPr="00CB2EC4">
              <w:rPr>
                <w:rFonts w:ascii="Times New Roman" w:hAnsi="Times New Roman" w:cs="Times New Roman"/>
              </w:rPr>
              <w:br/>
              <w:t xml:space="preserve">  - Yes, LVSI must be considered.</w:t>
            </w:r>
            <w:r w:rsidRPr="00CB2EC4">
              <w:rPr>
                <w:rFonts w:ascii="Times New Roman" w:hAnsi="Times New Roman" w:cs="Times New Roman"/>
              </w:rPr>
              <w:br/>
              <w:t xml:space="preserve">  - Rationale: The status of LVSI directly affects treatment decisions. If LVSI is negative, conservative treatment (e.g., cervical conization) is feasible; if LVSI is positive, more radical treatment (e.g., modified radical hysterectomy + pelvic lymphadenectomy) is required.</w:t>
            </w:r>
            <w:r w:rsidRPr="00CB2EC4">
              <w:rPr>
                <w:rFonts w:ascii="Times New Roman" w:hAnsi="Times New Roman" w:cs="Times New Roman"/>
              </w:rPr>
              <w:br/>
              <w:t xml:space="preserve">  - Source context: Section 4.1.1.1 of Document fragment 7 details IA1 management: "For patients wishing to preserve fertility, LVSI (-) permits cervical conization... When LVSI is (+), modified radical hysterectomy + pelvic lymphadenectomy should be performed." This indicates LVSI is a key factor in post-staging treatment.</w:t>
            </w:r>
          </w:p>
        </w:tc>
        <w:tc>
          <w:tcPr>
            <w:tcW w:w="1152" w:type="dxa"/>
            <w:vAlign w:val="center"/>
          </w:tcPr>
          <w:p w14:paraId="76D4AE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83199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1D79F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2C51704" w14:textId="77777777">
        <w:tc>
          <w:tcPr>
            <w:tcW w:w="2160" w:type="dxa"/>
            <w:vAlign w:val="center"/>
          </w:tcPr>
          <w:p w14:paraId="2B674F0C"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5504438" w14:textId="77777777" w:rsidR="00922249" w:rsidRPr="00CB2EC4" w:rsidRDefault="003011D5">
            <w:pPr>
              <w:rPr>
                <w:rFonts w:ascii="Times New Roman" w:hAnsi="Times New Roman" w:cs="Times New Roman"/>
              </w:rPr>
            </w:pPr>
            <w:r w:rsidRPr="00CB2EC4">
              <w:rPr>
                <w:rFonts w:ascii="Times New Roman" w:hAnsi="Times New Roman" w:cs="Times New Roman"/>
              </w:rPr>
              <w:t>yes</w:t>
            </w:r>
            <w:r w:rsidRPr="00CB2EC4">
              <w:rPr>
                <w:rFonts w:ascii="Times New Roman" w:hAnsi="Times New Roman" w:cs="Times New Roman"/>
              </w:rPr>
              <w:br/>
            </w:r>
            <w:r w:rsidRPr="00CB2EC4">
              <w:rPr>
                <w:rFonts w:ascii="Times New Roman" w:hAnsi="Times New Roman" w:cs="Times New Roman"/>
              </w:rPr>
              <w:lastRenderedPageBreak/>
              <w:br/>
              <w:t>Recommended diagnostic tools for FIGO stage IA1 cervical cancer:</w:t>
            </w:r>
            <w:r w:rsidRPr="00CB2EC4">
              <w:rPr>
                <w:rFonts w:ascii="Times New Roman" w:hAnsi="Times New Roman" w:cs="Times New Roman"/>
              </w:rPr>
              <w:br/>
              <w:t>- Pathological diagnostic tools: Cervical conization is the core method (Level I recommendation), used to confirm stage IA1 (stromal invasion depth &lt;3mm). Cervical biopsy can be used for initial diagnosis, but final confirmation must be based on pathological examination of conization or total hysterectomy specimens (Document 9 and Document 10).</w:t>
            </w:r>
            <w:r w:rsidRPr="00CB2EC4">
              <w:rPr>
                <w:rFonts w:ascii="Times New Roman" w:hAnsi="Times New Roman" w:cs="Times New Roman"/>
              </w:rPr>
              <w:br/>
              <w:t>- Imaging diagnostic tools: Pelvic MRI is used to assess local tumor (Level I recommendation), but advanced imaging (e.g., PET/CT) is generally not required for stage IA1 unless suspicious metastasis is present (Document 1 and Document 4).</w:t>
            </w:r>
            <w:r w:rsidRPr="00CB2EC4">
              <w:rPr>
                <w:rFonts w:ascii="Times New Roman" w:hAnsi="Times New Roman" w:cs="Times New Roman"/>
              </w:rPr>
              <w:br/>
              <w:t>- Other tools: Gynecological examination and HPV testing as adjuncts (Document 1).</w:t>
            </w:r>
            <w:r w:rsidRPr="00CB2EC4">
              <w:rPr>
                <w:rFonts w:ascii="Times New Roman" w:hAnsi="Times New Roman" w:cs="Times New Roman"/>
              </w:rPr>
              <w:br/>
            </w:r>
            <w:r w:rsidRPr="00CB2EC4">
              <w:rPr>
                <w:rFonts w:ascii="Times New Roman" w:hAnsi="Times New Roman" w:cs="Times New Roman"/>
              </w:rPr>
              <w:br/>
              <w:t>Is lymphovascular space invasion (LVSI) to be considered? Yes. LVSI status directly affects treatment decisions: if LVSI negative (-), conservative treatment such as cervical conization may be performed (especially for fertility preservation); if LVSI positive (+), more radical treatment such as modified radical hysterectomy with pelvic lymphadenectomy is required (Document 9). Although LVSI does not alter the FIGO staging (Document 4), it is an important prognostic factor and basis for treatment selection.</w:t>
            </w:r>
          </w:p>
        </w:tc>
        <w:tc>
          <w:tcPr>
            <w:tcW w:w="1152" w:type="dxa"/>
            <w:vAlign w:val="center"/>
          </w:tcPr>
          <w:p w14:paraId="6355EF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2CE6B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40018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C832F1" w14:textId="77777777">
        <w:tc>
          <w:tcPr>
            <w:tcW w:w="2160" w:type="dxa"/>
            <w:vAlign w:val="center"/>
          </w:tcPr>
          <w:p w14:paraId="1E10CF7E"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5F4E2DA" w14:textId="77777777" w:rsidR="00922249" w:rsidRPr="00CB2EC4" w:rsidRDefault="003011D5">
            <w:pPr>
              <w:rPr>
                <w:rFonts w:ascii="Times New Roman" w:hAnsi="Times New Roman" w:cs="Times New Roman"/>
              </w:rPr>
            </w:pPr>
            <w:r w:rsidRPr="00CB2EC4">
              <w:rPr>
                <w:rFonts w:ascii="Times New Roman" w:hAnsi="Times New Roman" w:cs="Times New Roman"/>
              </w:rPr>
              <w:t>yes</w:t>
            </w:r>
            <w:r w:rsidRPr="00CB2EC4">
              <w:rPr>
                <w:rFonts w:ascii="Times New Roman" w:hAnsi="Times New Roman" w:cs="Times New Roman"/>
              </w:rPr>
              <w:br/>
            </w:r>
            <w:r w:rsidRPr="00CB2EC4">
              <w:rPr>
                <w:rFonts w:ascii="Times New Roman" w:hAnsi="Times New Roman" w:cs="Times New Roman"/>
              </w:rPr>
              <w:br/>
              <w:t>- Recommended diagnostic tools:</w:t>
            </w:r>
            <w:r w:rsidRPr="00CB2EC4">
              <w:rPr>
                <w:rFonts w:ascii="Times New Roman" w:hAnsi="Times New Roman" w:cs="Times New Roman"/>
              </w:rPr>
              <w:br/>
              <w:t xml:space="preserve">  - Pathological diagnostic tools: Level I recommendation for cervical biopsy or diagnostic </w:t>
            </w:r>
            <w:r w:rsidRPr="00CB2EC4">
              <w:rPr>
                <w:rFonts w:ascii="Times New Roman" w:hAnsi="Times New Roman" w:cs="Times New Roman"/>
              </w:rPr>
              <w:lastRenderedPageBreak/>
              <w:t>conization (when biopsy cannot definitively determine invasion depth). Conization specimens are used to assess invasion depth and margin status (document: "2.1 Basic Principles of Cervical Cancer Diagnosis" footnote c).</w:t>
            </w:r>
            <w:r w:rsidRPr="00CB2EC4">
              <w:rPr>
                <w:rFonts w:ascii="Times New Roman" w:hAnsi="Times New Roman" w:cs="Times New Roman"/>
              </w:rPr>
              <w:br/>
              <w:t xml:space="preserve">  - Imaging tools: No specific recommendation for IA1 stage; however, pelvic MRI may be used as an adjunct in general diagnosis (but IA1 stage typically does not rely on imaging).</w:t>
            </w:r>
            <w:r w:rsidRPr="00CB2EC4">
              <w:rPr>
                <w:rFonts w:ascii="Times New Roman" w:hAnsi="Times New Roman" w:cs="Times New Roman"/>
              </w:rPr>
              <w:br/>
            </w:r>
            <w:r w:rsidRPr="00CB2EC4">
              <w:rPr>
                <w:rFonts w:ascii="Times New Roman" w:hAnsi="Times New Roman" w:cs="Times New Roman"/>
              </w:rPr>
              <w:br/>
              <w:t>- Is lymphovascular space invasion (LVSI) to be considered?</w:t>
            </w:r>
            <w:r w:rsidRPr="00CB2EC4">
              <w:rPr>
                <w:rFonts w:ascii="Times New Roman" w:hAnsi="Times New Roman" w:cs="Times New Roman"/>
              </w:rPr>
              <w:br/>
              <w:t xml:space="preserve">  - Yes, LVSI must be considered. The context explicitly states that the presence of LVSI influences treatment decisions (document: treatment section). For example:</w:t>
            </w:r>
            <w:r w:rsidRPr="00CB2EC4">
              <w:rPr>
                <w:rFonts w:ascii="Times New Roman" w:hAnsi="Times New Roman" w:cs="Times New Roman"/>
              </w:rPr>
              <w:br/>
              <w:t xml:space="preserve">    → If IA1 stage is without LVSI, cervical conization or Type A hysterectomy is recommended.</w:t>
            </w:r>
            <w:r w:rsidRPr="00CB2EC4">
              <w:rPr>
                <w:rFonts w:ascii="Times New Roman" w:hAnsi="Times New Roman" w:cs="Times New Roman"/>
              </w:rPr>
              <w:br/>
              <w:t xml:space="preserve">    → If IA1 stage is with LVSI, more aggressive treatment (e.g., Type B hysterectomy with pelvic lymphadenectomy and radiotherapy) is recommended.</w:t>
            </w:r>
            <w:r w:rsidRPr="00CB2EC4">
              <w:rPr>
                <w:rFonts w:ascii="Times New Roman" w:hAnsi="Times New Roman" w:cs="Times New Roman"/>
              </w:rPr>
              <w:br/>
              <w:t xml:space="preserve">  LVSI is an important pathological indicator (Level I recommendation for microscopic examination includes lymphovascular space invasion); it does not alter staging but directly affects prognosis and treatment planning.</w:t>
            </w:r>
            <w:r w:rsidRPr="00CB2EC4">
              <w:rPr>
                <w:rFonts w:ascii="Times New Roman" w:hAnsi="Times New Roman" w:cs="Times New Roman"/>
              </w:rPr>
              <w:br/>
            </w:r>
            <w:r w:rsidRPr="00CB2EC4">
              <w:rPr>
                <w:rFonts w:ascii="Times New Roman" w:hAnsi="Times New Roman" w:cs="Times New Roman"/>
              </w:rPr>
              <w:br/>
              <w:t>Conclusion: Recommended diagnostic tools are cervical biopsy or diagnostic conization; LVSI must be considered as it determines treatment strategy.</w:t>
            </w:r>
          </w:p>
        </w:tc>
        <w:tc>
          <w:tcPr>
            <w:tcW w:w="1152" w:type="dxa"/>
            <w:vAlign w:val="center"/>
          </w:tcPr>
          <w:p w14:paraId="1EAF83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41DE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FA5C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529A45" w14:textId="77777777">
        <w:tc>
          <w:tcPr>
            <w:tcW w:w="2160" w:type="dxa"/>
            <w:vAlign w:val="center"/>
          </w:tcPr>
          <w:p w14:paraId="6557200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A750D54" w14:textId="77777777" w:rsidR="00922249" w:rsidRPr="00CB2EC4" w:rsidRDefault="003011D5">
            <w:pPr>
              <w:rPr>
                <w:rFonts w:ascii="Times New Roman" w:hAnsi="Times New Roman" w:cs="Times New Roman"/>
              </w:rPr>
            </w:pPr>
            <w:r w:rsidRPr="00CB2EC4">
              <w:rPr>
                <w:rFonts w:ascii="Times New Roman" w:hAnsi="Times New Roman" w:cs="Times New Roman"/>
              </w:rPr>
              <w:t>yes, lymphovascular space invasion (LVSI) must be considered.</w:t>
            </w:r>
            <w:r w:rsidRPr="00CB2EC4">
              <w:rPr>
                <w:rFonts w:ascii="Times New Roman" w:hAnsi="Times New Roman" w:cs="Times New Roman"/>
              </w:rPr>
              <w:br/>
            </w:r>
            <w:r w:rsidRPr="00CB2EC4">
              <w:rPr>
                <w:rFonts w:ascii="Times New Roman" w:hAnsi="Times New Roman" w:cs="Times New Roman"/>
              </w:rPr>
              <w:br/>
              <w:t xml:space="preserve">Recommended diagnostic tools for FIGO stage IA1 </w:t>
            </w:r>
            <w:r w:rsidRPr="00CB2EC4">
              <w:rPr>
                <w:rFonts w:ascii="Times New Roman" w:hAnsi="Times New Roman" w:cs="Times New Roman"/>
              </w:rPr>
              <w:lastRenderedPageBreak/>
              <w:t>cervical cancer:</w:t>
            </w:r>
            <w:r w:rsidRPr="00CB2EC4">
              <w:rPr>
                <w:rFonts w:ascii="Times New Roman" w:hAnsi="Times New Roman" w:cs="Times New Roman"/>
              </w:rPr>
              <w:br/>
              <w:t>- For patients desiring fertility preservation and LVSI (-): cervical conization (with negative margins, followed by surveillance).</w:t>
            </w:r>
            <w:r w:rsidRPr="00CB2EC4">
              <w:rPr>
                <w:rFonts w:ascii="Times New Roman" w:hAnsi="Times New Roman" w:cs="Times New Roman"/>
              </w:rPr>
              <w:br/>
              <w:t>- For patients not desiring fertility preservation or elderly women: extrafascial total hysterectomy (via abdominal, vaginal, or laparoscopic approach).</w:t>
            </w:r>
            <w:r w:rsidRPr="00CB2EC4">
              <w:rPr>
                <w:rFonts w:ascii="Times New Roman" w:hAnsi="Times New Roman" w:cs="Times New Roman"/>
              </w:rPr>
              <w:br/>
              <w:t>- If LVSI (+): modified radical hysterectomy + pelvic lymphadenectomy (see section 4.1.1.1 of Document Fragment 9).</w:t>
            </w:r>
            <w:r w:rsidRPr="00CB2EC4">
              <w:rPr>
                <w:rFonts w:ascii="Times New Roman" w:hAnsi="Times New Roman" w:cs="Times New Roman"/>
              </w:rPr>
              <w:br/>
            </w:r>
            <w:r w:rsidRPr="00CB2EC4">
              <w:rPr>
                <w:rFonts w:ascii="Times New Roman" w:hAnsi="Times New Roman" w:cs="Times New Roman"/>
              </w:rPr>
              <w:br/>
              <w:t>Although Document Fragments 11 and 14 state that LVSI does not alter the FIGO stage (e.g., stage IA1 is defined as stromal invasion depth &lt;3 mm regardless of LVSI status), LVSI influences treatment decisions (e.g., extent of surgery). For example, LVSI (+) necessitates expanded surgical intervention (see Document Fragment 9).</w:t>
            </w:r>
            <w:r w:rsidRPr="00CB2EC4">
              <w:rPr>
                <w:rFonts w:ascii="Times New Roman" w:hAnsi="Times New Roman" w:cs="Times New Roman"/>
              </w:rPr>
              <w:br/>
            </w:r>
            <w:r w:rsidRPr="00CB2EC4">
              <w:rPr>
                <w:rFonts w:ascii="Times New Roman" w:hAnsi="Times New Roman" w:cs="Times New Roman"/>
              </w:rPr>
              <w:br/>
              <w:t>Therefore, the recommended diagnostic tools for FIGO IA1 patients include cervical conization or extrafascial total hysterectomy (depending on fertility requirements), and LVSI status must be evaluated to guide treatment.</w:t>
            </w:r>
          </w:p>
        </w:tc>
        <w:tc>
          <w:tcPr>
            <w:tcW w:w="1152" w:type="dxa"/>
            <w:vAlign w:val="center"/>
          </w:tcPr>
          <w:p w14:paraId="578D26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055E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16A8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B104FC" w14:textId="77777777">
        <w:tc>
          <w:tcPr>
            <w:tcW w:w="2160" w:type="dxa"/>
            <w:vAlign w:val="center"/>
          </w:tcPr>
          <w:p w14:paraId="3DF5083B"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C499DFD" w14:textId="77777777" w:rsidR="00922249" w:rsidRPr="00CB2EC4" w:rsidRDefault="003011D5">
            <w:pPr>
              <w:rPr>
                <w:rFonts w:ascii="Times New Roman" w:hAnsi="Times New Roman" w:cs="Times New Roman"/>
              </w:rPr>
            </w:pPr>
            <w:r w:rsidRPr="00CB2EC4">
              <w:rPr>
                <w:rFonts w:ascii="Times New Roman" w:hAnsi="Times New Roman" w:cs="Times New Roman"/>
              </w:rPr>
              <w:t>- Recommended diagnostic tools:</w:t>
            </w:r>
            <w:r w:rsidRPr="00CB2EC4">
              <w:rPr>
                <w:rFonts w:ascii="Times New Roman" w:hAnsi="Times New Roman" w:cs="Times New Roman"/>
              </w:rPr>
              <w:br/>
              <w:t xml:space="preserve">  - Level I recommendation: Cervical biopsy as the fundamental method for pathological diagnosis (see section "2.1").</w:t>
            </w:r>
            <w:r w:rsidRPr="00CB2EC4">
              <w:rPr>
                <w:rFonts w:ascii="Times New Roman" w:hAnsi="Times New Roman" w:cs="Times New Roman"/>
              </w:rPr>
              <w:br/>
              <w:t xml:space="preserve">  - Cervical conization: When biopsy cannot definitively determine the depth of stromal invasion or microinvasive carcinoma is suspected, diagnostic cervical conization is recommended to confirm the depth of invasion (see footnote c). The document also states in the treatment section (4.1.1.1) that cervical </w:t>
            </w:r>
            <w:r w:rsidRPr="00CB2EC4">
              <w:rPr>
                <w:rFonts w:ascii="Times New Roman" w:hAnsi="Times New Roman" w:cs="Times New Roman"/>
              </w:rPr>
              <w:lastRenderedPageBreak/>
              <w:t>conization is commonly used as a diagnostic tool for IA1 stage patients, especially those requiring fertility preservation.</w:t>
            </w:r>
            <w:r w:rsidRPr="00CB2EC4">
              <w:rPr>
                <w:rFonts w:ascii="Times New Roman" w:hAnsi="Times New Roman" w:cs="Times New Roman"/>
              </w:rPr>
              <w:br/>
              <w:t>- Is lymphovascular space invasion (LVSI) to be considered? Yes, LVSI must be considered. The document lists lymphovascular space invasion (i.e., LVSI) as a Level I recommended microscopic examination item in the pathological diagnosis section ("2.2"), applicable to biopsy, conization, and surgical specimens. In the treatment section (4.1.1.1), LVSI status directly affects treatment decisions: for example, LVSI negative (-) allows conservative surgery (such as cervical conization), while LVSI positive (+) requires more radical surgery (such as modified radical hysterectomy + pelvic lymphadenectomy). Therefore, LVSI assessment is a key component in the diagnostic and staging process.</w:t>
            </w:r>
          </w:p>
        </w:tc>
        <w:tc>
          <w:tcPr>
            <w:tcW w:w="1152" w:type="dxa"/>
            <w:vAlign w:val="center"/>
          </w:tcPr>
          <w:p w14:paraId="2F3EFB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E54A2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FD886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CE067E1" w14:textId="77777777">
        <w:tc>
          <w:tcPr>
            <w:tcW w:w="2160" w:type="dxa"/>
            <w:vAlign w:val="center"/>
          </w:tcPr>
          <w:p w14:paraId="42190A1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5A6012E" w14:textId="77777777" w:rsidR="00922249" w:rsidRPr="00CB2EC4" w:rsidRDefault="003011D5">
            <w:pPr>
              <w:rPr>
                <w:rFonts w:ascii="Times New Roman" w:hAnsi="Times New Roman" w:cs="Times New Roman"/>
              </w:rPr>
            </w:pPr>
            <w:r w:rsidRPr="00CB2EC4">
              <w:rPr>
                <w:rFonts w:ascii="Times New Roman" w:hAnsi="Times New Roman" w:cs="Times New Roman"/>
              </w:rPr>
              <w:t>for FIGO stage IA1 cervical cancer patients, the recommended diagnostic tools are cervical conization or LEEP (loop electrosurgical excision procedure) with complete histopathological examination of the entire lesion. Conization or LEEP is level I evidence for definitive diagnosis. Cervical biopsy alone is insufficient, as it may not accurately determine the depth of stromal invasion, which must be confirmed by conization specimens. Other tools such as gynecological examination and imaging (e.g., pelvic MRI) may serve as adjuncts, but pathological assessment is the core requirement.</w:t>
            </w:r>
            <w:r w:rsidRPr="00CB2EC4">
              <w:rPr>
                <w:rFonts w:ascii="Times New Roman" w:hAnsi="Times New Roman" w:cs="Times New Roman"/>
              </w:rPr>
              <w:br/>
            </w:r>
            <w:r w:rsidRPr="00CB2EC4">
              <w:rPr>
                <w:rFonts w:ascii="Times New Roman" w:hAnsi="Times New Roman" w:cs="Times New Roman"/>
              </w:rPr>
              <w:br/>
              <w:t xml:space="preserve">lymphovascular space invasion (LVSI) must be considered. although LVSI does not alter the FIGO stage (as stated: "lymphovascular space invasion [LVSI] does not change staging"), it directly </w:t>
            </w:r>
            <w:r w:rsidRPr="00CB2EC4">
              <w:rPr>
                <w:rFonts w:ascii="Times New Roman" w:hAnsi="Times New Roman" w:cs="Times New Roman"/>
              </w:rPr>
              <w:lastRenderedPageBreak/>
              <w:t>influences treatment decisions. for example:</w:t>
            </w:r>
            <w:r w:rsidRPr="00CB2EC4">
              <w:rPr>
                <w:rFonts w:ascii="Times New Roman" w:hAnsi="Times New Roman" w:cs="Times New Roman"/>
              </w:rPr>
              <w:br/>
              <w:t>- if LVSI is negative, conservative management (e.g., conization alone) may be sufficient.</w:t>
            </w:r>
            <w:r w:rsidRPr="00CB2EC4">
              <w:rPr>
                <w:rFonts w:ascii="Times New Roman" w:hAnsi="Times New Roman" w:cs="Times New Roman"/>
              </w:rPr>
              <w:br/>
              <w:t>- if LVSI is positive, more aggressive treatment (e.g., modified radical hysterectomy with pelvic lymphadenectomy) is indicated due to increased risk of lymph node metastasis and recurrence.</w:t>
            </w:r>
            <w:r w:rsidRPr="00CB2EC4">
              <w:rPr>
                <w:rFonts w:ascii="Times New Roman" w:hAnsi="Times New Roman" w:cs="Times New Roman"/>
              </w:rPr>
              <w:br/>
            </w:r>
            <w:r w:rsidRPr="00CB2EC4">
              <w:rPr>
                <w:rFonts w:ascii="Times New Roman" w:hAnsi="Times New Roman" w:cs="Times New Roman"/>
              </w:rPr>
              <w:br/>
              <w:t>evidence basis:</w:t>
            </w:r>
            <w:r w:rsidRPr="00CB2EC4">
              <w:rPr>
                <w:rFonts w:ascii="Times New Roman" w:hAnsi="Times New Roman" w:cs="Times New Roman"/>
              </w:rPr>
              <w:br/>
              <w:t>- document fragment 3 describes IA1 stage diagnosis based on conization or equivalent methods.</w:t>
            </w:r>
            <w:r w:rsidRPr="00CB2EC4">
              <w:rPr>
                <w:rFonts w:ascii="Times New Roman" w:hAnsi="Times New Roman" w:cs="Times New Roman"/>
              </w:rPr>
              <w:br/>
              <w:t>- document fragment 17 provides treatment recommendations for IA1 stage differentiated by LVSI status.</w:t>
            </w:r>
            <w:r w:rsidRPr="00CB2EC4">
              <w:rPr>
                <w:rFonts w:ascii="Times New Roman" w:hAnsi="Times New Roman" w:cs="Times New Roman"/>
              </w:rPr>
              <w:br/>
              <w:t>- document fragment 13, annotation b, emphasizes that IA stage diagnosis requires pathological confirmation via conization.</w:t>
            </w:r>
          </w:p>
        </w:tc>
        <w:tc>
          <w:tcPr>
            <w:tcW w:w="1152" w:type="dxa"/>
            <w:vAlign w:val="center"/>
          </w:tcPr>
          <w:p w14:paraId="5C882B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EEE86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B8BA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2B52A9" w14:textId="77777777">
        <w:tc>
          <w:tcPr>
            <w:tcW w:w="2160" w:type="dxa"/>
            <w:vAlign w:val="center"/>
          </w:tcPr>
          <w:p w14:paraId="47FE1BA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A7875E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 Recommended diagnostic tools:  </w:t>
            </w:r>
            <w:r w:rsidRPr="00CB2EC4">
              <w:rPr>
                <w:rFonts w:ascii="Times New Roman" w:hAnsi="Times New Roman" w:cs="Times New Roman"/>
              </w:rPr>
              <w:br/>
              <w:t xml:space="preserve">  - Pathological diagnostic tools: FIGO stage IA1 is defined as microscopically confirmed invasive cancer with stromal invasion depth less than 3 mm. Diagnosis must be based on histopathological examination. Recommended tools include:  </w:t>
            </w:r>
            <w:r w:rsidRPr="00CB2EC4">
              <w:rPr>
                <w:rFonts w:ascii="Times New Roman" w:hAnsi="Times New Roman" w:cs="Times New Roman"/>
              </w:rPr>
              <w:br/>
              <w:t xml:space="preserve">    - Cervical conization: Used to obtain complete tissue samples to accurately determine invasion depth (commonly used in IA1 stage diagnosis).  </w:t>
            </w:r>
            <w:r w:rsidRPr="00CB2EC4">
              <w:rPr>
                <w:rFonts w:ascii="Times New Roman" w:hAnsi="Times New Roman" w:cs="Times New Roman"/>
              </w:rPr>
              <w:br/>
              <w:t xml:space="preserve">    - Cervical biopsy: Serves as an initial tool but must be confirmed with conization or surgical specimens (since IA stage requires microscopic diagnosis and cannot rely on biopsy alone).  </w:t>
            </w:r>
            <w:r w:rsidRPr="00CB2EC4">
              <w:rPr>
                <w:rFonts w:ascii="Times New Roman" w:hAnsi="Times New Roman" w:cs="Times New Roman"/>
              </w:rPr>
              <w:br/>
              <w:t xml:space="preserve">  - Imaging tools (e.g., pelvic MRI) are generally not used for IA1 stage diagnosis unless high-risk features are present; the document does not specify imaging </w:t>
            </w:r>
            <w:r w:rsidRPr="00CB2EC4">
              <w:rPr>
                <w:rFonts w:ascii="Times New Roman" w:hAnsi="Times New Roman" w:cs="Times New Roman"/>
              </w:rPr>
              <w:lastRenderedPageBreak/>
              <w:t xml:space="preserve">recommendations for IA1. Therefore, pathological tools are primarily relied upon.  </w:t>
            </w:r>
            <w:r w:rsidRPr="00CB2EC4">
              <w:rPr>
                <w:rFonts w:ascii="Times New Roman" w:hAnsi="Times New Roman" w:cs="Times New Roman"/>
              </w:rPr>
              <w:br/>
              <w:t xml:space="preserve">- Consideration of lymphovascular space invasion (LVSI):  </w:t>
            </w:r>
            <w:r w:rsidRPr="00CB2EC4">
              <w:rPr>
                <w:rFonts w:ascii="Times New Roman" w:hAnsi="Times New Roman" w:cs="Times New Roman"/>
              </w:rPr>
              <w:br/>
              <w:t xml:space="preserve">  - Yes. Although LVSI does not alter the FIGO staging (the document states "lymphovascular invasion does not change the stage"), it influences treatment decisions. For example, in IA1 stage, if LVSI is positive, modified radical hysterectomy with pelvic lymphadenectomy is recommended; if LVSI is negative, cervical conization or extrafascial hysterectomy may be performed (based on the "4.1.1.1 IA1 stage" section). Thus, LVSI status is a key factor in treatment planning.</w:t>
            </w:r>
          </w:p>
        </w:tc>
        <w:tc>
          <w:tcPr>
            <w:tcW w:w="1152" w:type="dxa"/>
            <w:vAlign w:val="center"/>
          </w:tcPr>
          <w:p w14:paraId="7A5089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EB5A2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2A91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846E0A" w14:textId="77777777">
        <w:tc>
          <w:tcPr>
            <w:tcW w:w="2160" w:type="dxa"/>
            <w:vAlign w:val="center"/>
          </w:tcPr>
          <w:p w14:paraId="460EE2C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41ECDC6" w14:textId="77777777" w:rsidR="00922249" w:rsidRPr="00CB2EC4" w:rsidRDefault="003011D5">
            <w:pPr>
              <w:rPr>
                <w:rFonts w:ascii="Times New Roman" w:hAnsi="Times New Roman" w:cs="Times New Roman"/>
              </w:rPr>
            </w:pPr>
            <w:r w:rsidRPr="00CB2EC4">
              <w:rPr>
                <w:rFonts w:ascii="Times New Roman" w:hAnsi="Times New Roman" w:cs="Times New Roman"/>
              </w:rPr>
              <w:t>response:</w:t>
            </w:r>
            <w:r w:rsidRPr="00CB2EC4">
              <w:rPr>
                <w:rFonts w:ascii="Times New Roman" w:hAnsi="Times New Roman" w:cs="Times New Roman"/>
              </w:rPr>
              <w:br/>
              <w:t xml:space="preserve">  - Diagnostic tools:</w:t>
            </w:r>
            <w:r w:rsidRPr="00CB2EC4">
              <w:rPr>
                <w:rFonts w:ascii="Times New Roman" w:hAnsi="Times New Roman" w:cs="Times New Roman"/>
              </w:rPr>
              <w:br/>
              <w:t xml:space="preserve">    - Level I recommendation: Conization or LEEP (loop electrosurgical excision procedure) to determine the depth of invasion (Fragment 23).</w:t>
            </w:r>
            <w:r w:rsidRPr="00CB2EC4">
              <w:rPr>
                <w:rFonts w:ascii="Times New Roman" w:hAnsi="Times New Roman" w:cs="Times New Roman"/>
              </w:rPr>
              <w:br/>
              <w:t xml:space="preserve">    - Diagnosis must be made microscopically, with invasion depth ≤ 3 mm (Fragment 5).</w:t>
            </w:r>
            <w:r w:rsidRPr="00CB2EC4">
              <w:rPr>
                <w:rFonts w:ascii="Times New Roman" w:hAnsi="Times New Roman" w:cs="Times New Roman"/>
              </w:rPr>
              <w:br/>
              <w:t xml:space="preserve">  - Consideration of lymphovascular space invasion (LVSI):</w:t>
            </w:r>
            <w:r w:rsidRPr="00CB2EC4">
              <w:rPr>
                <w:rFonts w:ascii="Times New Roman" w:hAnsi="Times New Roman" w:cs="Times New Roman"/>
              </w:rPr>
              <w:br/>
              <w:t xml:space="preserve">    - LVSI assessment is required: LVSI status directly affects treatment decisions (Fragment 19 table). If LVSI positive, expanded surgical scope is needed (e.g., modified radical hysterectomy + lymph node dissection); if negative, conization or extrafascial hysterectomy may suffice (Fragment 23 annotation).</w:t>
            </w:r>
            <w:r w:rsidRPr="00CB2EC4">
              <w:rPr>
                <w:rFonts w:ascii="Times New Roman" w:hAnsi="Times New Roman" w:cs="Times New Roman"/>
              </w:rPr>
              <w:br/>
              <w:t xml:space="preserve">    - Example: IA1 stage with LVSI(+) requires pelvic lymph node dissection, while LVSI(-) allows conservative management (Fragment 7.3).</w:t>
            </w:r>
          </w:p>
        </w:tc>
        <w:tc>
          <w:tcPr>
            <w:tcW w:w="1152" w:type="dxa"/>
            <w:vAlign w:val="center"/>
          </w:tcPr>
          <w:p w14:paraId="6CC90A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7B168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BFF9F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284FB65" w14:textId="77777777">
        <w:tc>
          <w:tcPr>
            <w:tcW w:w="2160" w:type="dxa"/>
            <w:vAlign w:val="center"/>
          </w:tcPr>
          <w:p w14:paraId="1B7E4CC7"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7542B4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what are the recommended diagnostic tools for FIGO </w:t>
            </w:r>
            <w:r w:rsidRPr="00CB2EC4">
              <w:rPr>
                <w:rFonts w:ascii="Times New Roman" w:hAnsi="Times New Roman" w:cs="Times New Roman"/>
              </w:rPr>
              <w:lastRenderedPageBreak/>
              <w:t>stage IA1 cervical cancer? Is lymphovascular space invasion (LVSI) to be considered?</w:t>
            </w:r>
            <w:r w:rsidRPr="00CB2EC4">
              <w:rPr>
                <w:rFonts w:ascii="Times New Roman" w:hAnsi="Times New Roman" w:cs="Times New Roman"/>
              </w:rPr>
              <w:br/>
            </w:r>
            <w:r w:rsidRPr="00CB2EC4">
              <w:rPr>
                <w:rFonts w:ascii="Times New Roman" w:hAnsi="Times New Roman" w:cs="Times New Roman"/>
              </w:rPr>
              <w:br/>
              <w:t>- FIGO stage IA1 definition: According to section 1 and section 3, stage IA1 is defined as "microscopic invasive carcinoma with stromal invasion depth less than 3 mm," representing early microscopic invasive cancer.</w:t>
            </w:r>
            <w:r w:rsidRPr="00CB2EC4">
              <w:rPr>
                <w:rFonts w:ascii="Times New Roman" w:hAnsi="Times New Roman" w:cs="Times New Roman"/>
              </w:rPr>
              <w:br/>
              <w:t>- Recommended diagnostic tools: In the annotation c of section 2 (2.1 Basic Principles of Cervical Cancer Diagnosis), it is explicitly stated that "cervical biopsy cannot determine the presence of invasion or microinvasive cancer; when the depth of invasion needs to be clarified, diagnostic cervical conization is recommended." Section 1 also notes that "biopsy can be used for diagnosis of visible lesions; if unsatisfactory, small LEEP or conization may be adopted," and emphasizes that stage IA must be confirmed by microscopic examination of invasion depth. Therefore, for stage IA1 (microscopic invasion), diagnostic cervical conization is the primary tool recommended to accurately measure invasion depth; biopsy may be used as an adjunct when necessary.</w:t>
            </w:r>
            <w:r w:rsidRPr="00CB2EC4">
              <w:rPr>
                <w:rFonts w:ascii="Times New Roman" w:hAnsi="Times New Roman" w:cs="Times New Roman"/>
              </w:rPr>
              <w:br/>
              <w:t>- Whether lymphovascular space invasion (LVSI) should be considered: Section 1 clearly states that "lymphovascular invasion does not alter staging but influences treatment decisions." This means LVSI does not change the FIGO stage (IA1 remains IA1), but it must be considered because it may affect subsequent treatment plans (e.g., whether adjuvant therapy is needed).</w:t>
            </w:r>
            <w:r w:rsidRPr="00CB2EC4">
              <w:rPr>
                <w:rFonts w:ascii="Times New Roman" w:hAnsi="Times New Roman" w:cs="Times New Roman"/>
              </w:rPr>
              <w:br/>
              <w:t>Therefore:</w:t>
            </w:r>
            <w:r w:rsidRPr="00CB2EC4">
              <w:rPr>
                <w:rFonts w:ascii="Times New Roman" w:hAnsi="Times New Roman" w:cs="Times New Roman"/>
              </w:rPr>
              <w:br/>
              <w:t xml:space="preserve">- Recommended diagnostic tools: Diagnostic cervical </w:t>
            </w:r>
            <w:r w:rsidRPr="00CB2EC4">
              <w:rPr>
                <w:rFonts w:ascii="Times New Roman" w:hAnsi="Times New Roman" w:cs="Times New Roman"/>
              </w:rPr>
              <w:lastRenderedPageBreak/>
              <w:t>conization (with biopsy as an adjunct when necessary).</w:t>
            </w:r>
            <w:r w:rsidRPr="00CB2EC4">
              <w:rPr>
                <w:rFonts w:ascii="Times New Roman" w:hAnsi="Times New Roman" w:cs="Times New Roman"/>
              </w:rPr>
              <w:br/>
              <w:t>- Whether LVSI should be considered: Yes, it should be considered because it does not affect staging but influences treatment decisions.</w:t>
            </w:r>
          </w:p>
        </w:tc>
        <w:tc>
          <w:tcPr>
            <w:tcW w:w="1152" w:type="dxa"/>
            <w:vAlign w:val="center"/>
          </w:tcPr>
          <w:p w14:paraId="530D63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3BB09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6E96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70E839" w14:textId="77777777">
        <w:tc>
          <w:tcPr>
            <w:tcW w:w="2160" w:type="dxa"/>
            <w:vAlign w:val="center"/>
          </w:tcPr>
          <w:p w14:paraId="62AD15A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7DCDEF30" w14:textId="77777777" w:rsidR="00AA594B" w:rsidRDefault="00AA594B">
            <w:pPr>
              <w:rPr>
                <w:rFonts w:ascii="Times New Roman" w:hAnsi="Times New Roman" w:cs="Times New Roman"/>
              </w:rPr>
            </w:pPr>
            <w:r w:rsidRPr="00CB2EC4">
              <w:rPr>
                <w:rFonts w:ascii="Times New Roman" w:hAnsi="Times New Roman" w:cs="Times New Roman"/>
              </w:rPr>
              <w:t>what are the recommended diagnostic tools for FIGO stage IA1 cervical cancer? Is lymphovascular space invasion (LVSI) to be considered?</w:t>
            </w:r>
          </w:p>
          <w:p w14:paraId="252477D8" w14:textId="11DC39A4" w:rsidR="00922249" w:rsidRPr="00CB2EC4" w:rsidRDefault="003011D5">
            <w:pPr>
              <w:rPr>
                <w:rFonts w:ascii="Times New Roman" w:hAnsi="Times New Roman" w:cs="Times New Roman"/>
              </w:rPr>
            </w:pPr>
            <w:r w:rsidRPr="00CB2EC4">
              <w:rPr>
                <w:rFonts w:ascii="Times New Roman" w:hAnsi="Times New Roman" w:cs="Times New Roman"/>
              </w:rPr>
              <w:br/>
              <w:t>Recommended diagnostic tools: Include conization of the cervix (e.g., cold knife conization or LEEP) and/or cervical biopsy to accurately assess the depth of invasion (≤3 mm) and to exclude higher-grade lesions.</w:t>
            </w:r>
            <w:r w:rsidRPr="00CB2EC4">
              <w:rPr>
                <w:rFonts w:ascii="Times New Roman" w:hAnsi="Times New Roman" w:cs="Times New Roman"/>
              </w:rPr>
              <w:br/>
              <w:t>- Is consideration of lymphovascular space invasion (LVSI) required: Yes, LVSI must be considered. If LVSI is positive, it may increase the risk of lymph node metastasis, necessitating adjustment of the management plan (e.g., consideration of pelvic lymph node assessment or more aggressive treatment).</w:t>
            </w:r>
          </w:p>
        </w:tc>
        <w:tc>
          <w:tcPr>
            <w:tcW w:w="1152" w:type="dxa"/>
            <w:vAlign w:val="center"/>
          </w:tcPr>
          <w:p w14:paraId="03165A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9DDA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1C2E8FC" w14:textId="7C477DC8" w:rsidR="00922249" w:rsidRPr="00CB2EC4" w:rsidRDefault="00F01894">
            <w:pPr>
              <w:jc w:val="center"/>
              <w:rPr>
                <w:rFonts w:ascii="Times New Roman" w:hAnsi="Times New Roman" w:cs="Times New Roman"/>
              </w:rPr>
            </w:pPr>
            <w:r>
              <w:rPr>
                <w:rFonts w:ascii="Times New Roman" w:hAnsi="Times New Roman" w:cs="Times New Roman"/>
              </w:rPr>
              <w:t>B</w:t>
            </w:r>
          </w:p>
        </w:tc>
      </w:tr>
      <w:tr w:rsidR="00922249" w:rsidRPr="00CB2EC4" w14:paraId="01599544" w14:textId="77777777">
        <w:tc>
          <w:tcPr>
            <w:tcW w:w="10656" w:type="dxa"/>
            <w:gridSpan w:val="5"/>
            <w:tcBorders>
              <w:bottom w:val="single" w:sz="6" w:space="0" w:color="auto"/>
            </w:tcBorders>
            <w:vAlign w:val="center"/>
          </w:tcPr>
          <w:p w14:paraId="1F89B7B6" w14:textId="77777777" w:rsidR="00922249" w:rsidRPr="00CB2EC4" w:rsidRDefault="003011D5">
            <w:pPr>
              <w:rPr>
                <w:rFonts w:ascii="Times New Roman" w:hAnsi="Times New Roman" w:cs="Times New Roman"/>
              </w:rPr>
            </w:pPr>
            <w:r w:rsidRPr="00CB2EC4">
              <w:rPr>
                <w:rFonts w:ascii="Times New Roman" w:hAnsi="Times New Roman" w:cs="Times New Roman"/>
                <w:b/>
              </w:rPr>
              <w:t>Question 46: How are imaging tools used to assess tumor size and lymph node status in FIGO staging? What specific imaging tools are recommended?</w:t>
            </w:r>
          </w:p>
        </w:tc>
      </w:tr>
      <w:tr w:rsidR="00922249" w:rsidRPr="00CB2EC4" w14:paraId="47361D75" w14:textId="77777777">
        <w:tc>
          <w:tcPr>
            <w:tcW w:w="2160" w:type="dxa"/>
            <w:vAlign w:val="center"/>
          </w:tcPr>
          <w:p w14:paraId="64C0048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579A88D" w14:textId="77777777" w:rsidR="00922249" w:rsidRPr="00CB2EC4" w:rsidRDefault="003011D5">
            <w:pPr>
              <w:rPr>
                <w:rFonts w:ascii="Times New Roman" w:hAnsi="Times New Roman" w:cs="Times New Roman"/>
              </w:rPr>
            </w:pPr>
            <w:r w:rsidRPr="00CB2EC4">
              <w:rPr>
                <w:rFonts w:ascii="Times New Roman" w:hAnsi="Times New Roman" w:cs="Times New Roman"/>
              </w:rPr>
              <w:t>in the FIGO staging system, how are imaging tools used to assess tumor size and lymph node status? which specific imaging tools are recommended?</w:t>
            </w:r>
            <w:r w:rsidRPr="00CB2EC4">
              <w:rPr>
                <w:rFonts w:ascii="Times New Roman" w:hAnsi="Times New Roman" w:cs="Times New Roman"/>
              </w:rPr>
              <w:br/>
            </w:r>
            <w:r w:rsidRPr="00CB2EC4">
              <w:rPr>
                <w:rFonts w:ascii="Times New Roman" w:hAnsi="Times New Roman" w:cs="Times New Roman"/>
              </w:rPr>
              <w:br/>
              <w:t>according to the document:</w:t>
            </w:r>
            <w:r w:rsidRPr="00CB2EC4">
              <w:rPr>
                <w:rFonts w:ascii="Times New Roman" w:hAnsi="Times New Roman" w:cs="Times New Roman"/>
              </w:rPr>
              <w:br/>
              <w:t xml:space="preserve">- usage: imaging tools are used to supplement clinical examination, evaluating primary tumor size, lymph node metastasis, and disease extent to assist FIGO staging. imaging findings can be directly applied to staging (e.g., lymph node metastasis marked as “r” for radiologic detection), but their accuracy is limited, particularly in assessing parametrial invasion and </w:t>
            </w:r>
            <w:r w:rsidRPr="00CB2EC4">
              <w:rPr>
                <w:rFonts w:ascii="Times New Roman" w:hAnsi="Times New Roman" w:cs="Times New Roman"/>
              </w:rPr>
              <w:lastRenderedPageBreak/>
              <w:t>upper vaginal involvement (false negatives or positives may occur due to infection or bulky tumors). radiologic staging is often higher than clinical staging; therefore, clinical examination (e.g., gynecologic exam) remains more important. the purpose of imaging assessment is to avoid severe side effects from dual therapy (surgery plus radiotherapy), such as by selecting concurrent chemoradiotherapy as the primary treatment when diagnosis is confirmed preoperatively via imaging.</w:t>
            </w:r>
            <w:r w:rsidRPr="00CB2EC4">
              <w:rPr>
                <w:rFonts w:ascii="Times New Roman" w:hAnsi="Times New Roman" w:cs="Times New Roman"/>
              </w:rPr>
              <w:br/>
              <w:t>- recommended imaging tools:</w:t>
            </w:r>
            <w:r w:rsidRPr="00CB2EC4">
              <w:rPr>
                <w:rFonts w:ascii="Times New Roman" w:hAnsi="Times New Roman" w:cs="Times New Roman"/>
              </w:rPr>
              <w:br/>
              <w:t xml:space="preserve">  - mri (magnetic resonance imaging): the best method for assessing primary tumor size, especially when tumor &gt;10 mm, and superior to ct in evaluating parametrial invasion.</w:t>
            </w:r>
            <w:r w:rsidRPr="00CB2EC4">
              <w:rPr>
                <w:rFonts w:ascii="Times New Roman" w:hAnsi="Times New Roman" w:cs="Times New Roman"/>
              </w:rPr>
              <w:br/>
              <w:t xml:space="preserve">  - pet-ct (positron emission tomography/computed tomography): more accurate than ct and mri in detecting lymph node metastasis &gt;10 mm, with a false negative rate of approximately 4%</w:t>
            </w:r>
            <w:r w:rsidRPr="00CB2EC4">
              <w:rPr>
                <w:rFonts w:ascii="Times New Roman" w:hAnsi="Times New Roman" w:cs="Times New Roman"/>
              </w:rPr>
              <w:t>～</w:t>
            </w:r>
            <w:r w:rsidRPr="00CB2EC4">
              <w:rPr>
                <w:rFonts w:ascii="Times New Roman" w:hAnsi="Times New Roman" w:cs="Times New Roman"/>
              </w:rPr>
              <w:t>15%, but note that lymphadenopathy in high-incidence areas of tuberculosis or inflammation (e.g., hiv-endemic regions) may not indicate metastasis.</w:t>
            </w:r>
            <w:r w:rsidRPr="00CB2EC4">
              <w:rPr>
                <w:rFonts w:ascii="Times New Roman" w:hAnsi="Times New Roman" w:cs="Times New Roman"/>
              </w:rPr>
              <w:br/>
              <w:t xml:space="preserve">  - ct (computed tomography) and ultrasound: ultrasound has good accuracy when performed by experienced experts; ct can be used for general assessment but is less precise than mri and pet-ct.</w:t>
            </w:r>
            <w:r w:rsidRPr="00CB2EC4">
              <w:rPr>
                <w:rFonts w:ascii="Times New Roman" w:hAnsi="Times New Roman" w:cs="Times New Roman"/>
              </w:rPr>
              <w:br/>
              <w:t xml:space="preserve">  - other tools such as pet may also be used, but are not specifically recommended in the document.</w:t>
            </w:r>
            <w:r w:rsidRPr="00CB2EC4">
              <w:rPr>
                <w:rFonts w:ascii="Times New Roman" w:hAnsi="Times New Roman" w:cs="Times New Roman"/>
              </w:rPr>
              <w:br/>
              <w:t xml:space="preserve">- reporting requirements: the specific imaging method used (e.g., mri, pet-ct) must be recorded for subsequent evaluation. when imaging detects lymph node metastasis, staging is marked as “r” (e.g., iiic1r), whereas pathologic findings are marked as “p” (e.g., </w:t>
            </w:r>
            <w:r w:rsidRPr="00CB2EC4">
              <w:rPr>
                <w:rFonts w:ascii="Times New Roman" w:hAnsi="Times New Roman" w:cs="Times New Roman"/>
              </w:rPr>
              <w:lastRenderedPageBreak/>
              <w:t>iiic1p).</w:t>
            </w:r>
            <w:r w:rsidRPr="00CB2EC4">
              <w:rPr>
                <w:rFonts w:ascii="Times New Roman" w:hAnsi="Times New Roman" w:cs="Times New Roman"/>
              </w:rPr>
              <w:br/>
              <w:t>- source basis: document excerpts (similarity 0.582 and 0.553) explicitly describe the application of imaging in staging, recommended tools, and accuracy details.</w:t>
            </w:r>
          </w:p>
        </w:tc>
        <w:tc>
          <w:tcPr>
            <w:tcW w:w="1152" w:type="dxa"/>
            <w:vAlign w:val="center"/>
          </w:tcPr>
          <w:p w14:paraId="1743E6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2EC3F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5BC2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4B3251" w14:textId="77777777">
        <w:tc>
          <w:tcPr>
            <w:tcW w:w="2160" w:type="dxa"/>
            <w:vAlign w:val="center"/>
          </w:tcPr>
          <w:p w14:paraId="0214DFC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75DAB48E" w14:textId="77777777" w:rsidR="00922249" w:rsidRPr="00CB2EC4" w:rsidRDefault="003011D5">
            <w:pPr>
              <w:rPr>
                <w:rFonts w:ascii="Times New Roman" w:hAnsi="Times New Roman" w:cs="Times New Roman"/>
              </w:rPr>
            </w:pPr>
            <w:r w:rsidRPr="00CB2EC4">
              <w:rPr>
                <w:rFonts w:ascii="Times New Roman" w:hAnsi="Times New Roman" w:cs="Times New Roman"/>
              </w:rPr>
              <w:t>in FIGO staging, imaging tools are used to assess tumor size and lymph node status to supplement clinical examination. Imaging can determine tumor dimensions, lymph node metastasis, and disease extent, though pathological examination remains the gold standard (Fragment 1, Fragment 4).</w:t>
            </w:r>
            <w:r w:rsidRPr="00CB2EC4">
              <w:rPr>
                <w:rFonts w:ascii="Times New Roman" w:hAnsi="Times New Roman" w:cs="Times New Roman"/>
              </w:rPr>
              <w:br/>
            </w:r>
            <w:r w:rsidRPr="00CB2EC4">
              <w:rPr>
                <w:rFonts w:ascii="Times New Roman" w:hAnsi="Times New Roman" w:cs="Times New Roman"/>
              </w:rPr>
              <w:br/>
              <w:t>specific usage:</w:t>
            </w:r>
            <w:r w:rsidRPr="00CB2EC4">
              <w:rPr>
                <w:rFonts w:ascii="Times New Roman" w:hAnsi="Times New Roman" w:cs="Times New Roman"/>
              </w:rPr>
              <w:br/>
              <w:t>- tumor size assessment: imaging (e.g., MRI, ultrasound) can measure the maximum diameter of the primary tumor, especially for tumors &gt;10 mm, for which MRI is the optimal assessment method (Fragment 2). The specific imaging method used for tumor size assessment must be recorded for subsequent evaluation (Fragment 2).</w:t>
            </w:r>
            <w:r w:rsidRPr="00CB2EC4">
              <w:rPr>
                <w:rFonts w:ascii="Times New Roman" w:hAnsi="Times New Roman" w:cs="Times New Roman"/>
              </w:rPr>
              <w:br/>
              <w:t>- lymph node status assessment: imaging (e.g., PET-CT, CT, MRI) is used to detect lymph node metastasis. PET-CT is more accurate than CT and MRI for detecting lymph nodes &gt;10 mm (false-negative rate ~4–15%), though in areas with high tuberculosis or inflammation, enlarged lymph nodes may not indicate metastasis (Fragment 2). When imaging reveals lymph node metastasis, the stage is marked with "r" (e.g., IIIC1r); when pathology reveals metastasis, it is marked with "p" (e.g., IIIC1p) (Fragment 1, Fragment 2, Fragment 3).</w:t>
            </w:r>
            <w:r w:rsidRPr="00CB2EC4">
              <w:rPr>
                <w:rFonts w:ascii="Times New Roman" w:hAnsi="Times New Roman" w:cs="Times New Roman"/>
              </w:rPr>
              <w:br/>
            </w:r>
            <w:r w:rsidRPr="00CB2EC4">
              <w:rPr>
                <w:rFonts w:ascii="Times New Roman" w:hAnsi="Times New Roman" w:cs="Times New Roman"/>
              </w:rPr>
              <w:br/>
              <w:t>recommended imaging tools:</w:t>
            </w:r>
            <w:r w:rsidRPr="00CB2EC4">
              <w:rPr>
                <w:rFonts w:ascii="Times New Roman" w:hAnsi="Times New Roman" w:cs="Times New Roman"/>
              </w:rPr>
              <w:br/>
              <w:t xml:space="preserve">- MRI: optimal for assessing primary tumors &gt;10 mm, </w:t>
            </w:r>
            <w:r w:rsidRPr="00CB2EC4">
              <w:rPr>
                <w:rFonts w:ascii="Times New Roman" w:hAnsi="Times New Roman" w:cs="Times New Roman"/>
              </w:rPr>
              <w:lastRenderedPageBreak/>
              <w:t>especially superior to CT in evaluating parametrial infiltration (Fragment 1, Fragment 2).</w:t>
            </w:r>
            <w:r w:rsidRPr="00CB2EC4">
              <w:rPr>
                <w:rFonts w:ascii="Times New Roman" w:hAnsi="Times New Roman" w:cs="Times New Roman"/>
              </w:rPr>
              <w:br/>
              <w:t>- PET-CT: highest accuracy for detecting lymph nodes &gt;10 mm (Fragment 2).</w:t>
            </w:r>
            <w:r w:rsidRPr="00CB2EC4">
              <w:rPr>
                <w:rFonts w:ascii="Times New Roman" w:hAnsi="Times New Roman" w:cs="Times New Roman"/>
              </w:rPr>
              <w:br/>
              <w:t>- ultrasound: good accuracy when performed by experienced specialists (Fragment 2).</w:t>
            </w:r>
            <w:r w:rsidRPr="00CB2EC4">
              <w:rPr>
                <w:rFonts w:ascii="Times New Roman" w:hAnsi="Times New Roman" w:cs="Times New Roman"/>
              </w:rPr>
              <w:br/>
              <w:t>- other tools: including CT, ultrasound, etc.; all available imaging modalities (e.g., ultrasound, CT, MRI, PET/CT) may be used for staging (Fragment 4, Fragment 8).</w:t>
            </w:r>
            <w:r w:rsidRPr="00CB2EC4">
              <w:rPr>
                <w:rFonts w:ascii="Times New Roman" w:hAnsi="Times New Roman" w:cs="Times New Roman"/>
              </w:rPr>
              <w:br/>
            </w:r>
            <w:r w:rsidRPr="00CB2EC4">
              <w:rPr>
                <w:rFonts w:ascii="Times New Roman" w:hAnsi="Times New Roman" w:cs="Times New Roman"/>
              </w:rPr>
              <w:br/>
              <w:t>note: imaging assessment of parametrium and upper vagina has suboptimal accuracy and is prone to false negatives or positives due to infection or bulky tumors; imaging-based staging is often higher than clinical staging, so clinical examination remains more important (Fragment 1).</w:t>
            </w:r>
          </w:p>
        </w:tc>
        <w:tc>
          <w:tcPr>
            <w:tcW w:w="1152" w:type="dxa"/>
            <w:vAlign w:val="center"/>
          </w:tcPr>
          <w:p w14:paraId="624D99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6126C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C9C3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910825" w14:textId="77777777">
        <w:tc>
          <w:tcPr>
            <w:tcW w:w="2160" w:type="dxa"/>
            <w:vAlign w:val="center"/>
          </w:tcPr>
          <w:p w14:paraId="2DD61A4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9BBE3C1" w14:textId="77777777" w:rsidR="00922249" w:rsidRPr="00CB2EC4" w:rsidRDefault="003011D5">
            <w:pPr>
              <w:rPr>
                <w:rFonts w:ascii="Times New Roman" w:hAnsi="Times New Roman" w:cs="Times New Roman"/>
              </w:rPr>
            </w:pPr>
            <w:r w:rsidRPr="00CB2EC4">
              <w:rPr>
                <w:rFonts w:ascii="Times New Roman" w:hAnsi="Times New Roman" w:cs="Times New Roman"/>
              </w:rPr>
              <w:t>in FIGO staging, imaging tools are used to assess primary tumor size and lymph node status. tumor size is evaluated by measuring the maximum diameter of the tumor on imaging (e.g., for subdivision of stage IB). lymph node status assessment includes detection of nodal metastases (such as pelvic or para-aortic lymph nodes), with staging designation based on imaging or pathological evidence (e.g., IIIC1r or IIIC1p). imaging findings may be used directly for staging, especially when pathological evidence is unavailable, but the method type must be specified for subsequent analysis and reporting.</w:t>
            </w:r>
            <w:r w:rsidRPr="00CB2EC4">
              <w:rPr>
                <w:rFonts w:ascii="Times New Roman" w:hAnsi="Times New Roman" w:cs="Times New Roman"/>
              </w:rPr>
              <w:br/>
            </w:r>
            <w:r w:rsidRPr="00CB2EC4">
              <w:rPr>
                <w:rFonts w:ascii="Times New Roman" w:hAnsi="Times New Roman" w:cs="Times New Roman"/>
              </w:rPr>
              <w:br/>
              <w:t>recommended imaging tools:</w:t>
            </w:r>
            <w:r w:rsidRPr="00CB2EC4">
              <w:rPr>
                <w:rFonts w:ascii="Times New Roman" w:hAnsi="Times New Roman" w:cs="Times New Roman"/>
              </w:rPr>
              <w:br/>
              <w:t xml:space="preserve">- for primary cervical tumor assessment: MRI is the preferred method, especially for tumors &gt;10 mm (document fragments 1, 11, 13). MRI is superior to </w:t>
            </w:r>
            <w:r w:rsidRPr="00CB2EC4">
              <w:rPr>
                <w:rFonts w:ascii="Times New Roman" w:hAnsi="Times New Roman" w:cs="Times New Roman"/>
              </w:rPr>
              <w:lastRenderedPageBreak/>
              <w:t>CT in evaluating parametrial invasion (document fragment 11). if MRI is contraindicated (e.g., patient has metal implants), pelvic CT may be used instead (document fragment 13).</w:t>
            </w:r>
            <w:r w:rsidRPr="00CB2EC4">
              <w:rPr>
                <w:rFonts w:ascii="Times New Roman" w:hAnsi="Times New Roman" w:cs="Times New Roman"/>
              </w:rPr>
              <w:br/>
              <w:t>- for lymph node status assessment: PET-CT is the most accurate tool for detecting lymph node metastases &gt;10 mm, with a false-negative rate of approximately 4–15% (document fragment 1). for patients with stage IB1 and above, PET/CT is recommended when available (document fragment 13). CT and MRI may also be used for lymph node assessment but with lower accuracy (document fragments 1, 11).</w:t>
            </w:r>
            <w:r w:rsidRPr="00CB2EC4">
              <w:rPr>
                <w:rFonts w:ascii="Times New Roman" w:hAnsi="Times New Roman" w:cs="Times New Roman"/>
              </w:rPr>
              <w:br/>
              <w:t>- for metastatic lesion assessment: chest-abdominal-pelvic CT is recommended, with PET/CT used when necessary (document fragment 16). in areas with high prevalence of tuberculosis or inflammation (e.g., HIV-endemic regions), enlarged lymph nodes should be interpreted cautiously, as they may not indicate metastasis (document fragments 1, 11).</w:t>
            </w:r>
            <w:r w:rsidRPr="00CB2EC4">
              <w:rPr>
                <w:rFonts w:ascii="Times New Roman" w:hAnsi="Times New Roman" w:cs="Times New Roman"/>
              </w:rPr>
              <w:br/>
            </w:r>
            <w:r w:rsidRPr="00CB2EC4">
              <w:rPr>
                <w:rFonts w:ascii="Times New Roman" w:hAnsi="Times New Roman" w:cs="Times New Roman"/>
              </w:rPr>
              <w:br/>
              <w:t>reporting requirements: the specific imaging modality used (e.g., MRI, CT, PET-CT) must be documented for subsequent evaluation (document fragments 1, 6).</w:t>
            </w:r>
          </w:p>
        </w:tc>
        <w:tc>
          <w:tcPr>
            <w:tcW w:w="1152" w:type="dxa"/>
            <w:vAlign w:val="center"/>
          </w:tcPr>
          <w:p w14:paraId="081D06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C82EC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C52E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FDEC13" w14:textId="77777777">
        <w:tc>
          <w:tcPr>
            <w:tcW w:w="2160" w:type="dxa"/>
            <w:vAlign w:val="center"/>
          </w:tcPr>
          <w:p w14:paraId="0EF2432B"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F078649" w14:textId="77777777" w:rsidR="00922249" w:rsidRPr="00CB2EC4" w:rsidRDefault="003011D5">
            <w:pPr>
              <w:rPr>
                <w:rFonts w:ascii="Times New Roman" w:hAnsi="Times New Roman" w:cs="Times New Roman"/>
              </w:rPr>
            </w:pPr>
            <w:r w:rsidRPr="00CB2EC4">
              <w:rPr>
                <w:rFonts w:ascii="Times New Roman" w:hAnsi="Times New Roman" w:cs="Times New Roman"/>
              </w:rPr>
              <w:t>application and recommendations of imaging tools in the FIGO staging system</w:t>
            </w:r>
            <w:r w:rsidRPr="00CB2EC4">
              <w:rPr>
                <w:rFonts w:ascii="Times New Roman" w:hAnsi="Times New Roman" w:cs="Times New Roman"/>
              </w:rPr>
              <w:br/>
            </w:r>
            <w:r w:rsidRPr="00CB2EC4">
              <w:rPr>
                <w:rFonts w:ascii="Times New Roman" w:hAnsi="Times New Roman" w:cs="Times New Roman"/>
              </w:rPr>
              <w:br/>
              <w:t>Scope of application: Imaging (ultrasound, CT, MRI, PET-CT) can be used to assess primary tumor size, parametrial/vaginal invasion, lymph node metastasis, and distant metastasis, assisting clinical staging (Source Document 1; Online Results 3, 7).</w:t>
            </w:r>
            <w:r w:rsidRPr="00CB2EC4">
              <w:rPr>
                <w:rFonts w:ascii="Times New Roman" w:hAnsi="Times New Roman" w:cs="Times New Roman"/>
              </w:rPr>
              <w:br/>
              <w:t>- Specific recommendations:</w:t>
            </w:r>
            <w:r w:rsidRPr="00CB2EC4">
              <w:rPr>
                <w:rFonts w:ascii="Times New Roman" w:hAnsi="Times New Roman" w:cs="Times New Roman"/>
              </w:rPr>
              <w:br/>
              <w:t xml:space="preserve">  - Primary tumor: MRI is the preferred modality for </w:t>
            </w:r>
            <w:r w:rsidRPr="00CB2EC4">
              <w:rPr>
                <w:rFonts w:ascii="Times New Roman" w:hAnsi="Times New Roman" w:cs="Times New Roman"/>
              </w:rPr>
              <w:lastRenderedPageBreak/>
              <w:t>evaluating tumor size, parametrial infiltration, and vaginal invasion (accuracy superior to CT) (Source Document 1; Online Results 3, 7).</w:t>
            </w:r>
            <w:r w:rsidRPr="00CB2EC4">
              <w:rPr>
                <w:rFonts w:ascii="Times New Roman" w:hAnsi="Times New Roman" w:cs="Times New Roman"/>
              </w:rPr>
              <w:br/>
              <w:t xml:space="preserve">  - Lymph node metastasis:</w:t>
            </w:r>
            <w:r w:rsidRPr="00CB2EC4">
              <w:rPr>
                <w:rFonts w:ascii="Times New Roman" w:hAnsi="Times New Roman" w:cs="Times New Roman"/>
              </w:rPr>
              <w:br/>
              <w:t xml:space="preserve">    - PET-CT has a false-negative rate of approximately 4% to 15% for lymph nodes &gt;10 mm (Source Document 1).</w:t>
            </w:r>
            <w:r w:rsidRPr="00CB2EC4">
              <w:rPr>
                <w:rFonts w:ascii="Times New Roman" w:hAnsi="Times New Roman" w:cs="Times New Roman"/>
              </w:rPr>
              <w:br/>
              <w:t xml:space="preserve">    - Lymph node metastasis identified by imaging is denoted as IIICr (e.g., IIIC1r); if confirmed by pathology, it is denoted as IIICp (e.g., IIIC1p) (Source Document 1; Online Results 1, 3).</w:t>
            </w:r>
            <w:r w:rsidRPr="00CB2EC4">
              <w:rPr>
                <w:rFonts w:ascii="Times New Roman" w:hAnsi="Times New Roman" w:cs="Times New Roman"/>
              </w:rPr>
              <w:br/>
              <w:t xml:space="preserve">  - Whole-body assessment: For stage II and above, PET-CT or CT of the chest/abdomen/pelvis is recommended to evaluate distant metastasis (Online Result 7).</w:t>
            </w:r>
            <w:r w:rsidRPr="00CB2EC4">
              <w:rPr>
                <w:rFonts w:ascii="Times New Roman" w:hAnsi="Times New Roman" w:cs="Times New Roman"/>
              </w:rPr>
              <w:br/>
              <w:t>- Limitations: Imaging has suboptimal accuracy in assessing parametrial involvement and upper vaginal invasion, necessitating correlation with clinical examination (Source Document 1).</w:t>
            </w:r>
            <w:r w:rsidRPr="00CB2EC4">
              <w:rPr>
                <w:rFonts w:ascii="Times New Roman" w:hAnsi="Times New Roman" w:cs="Times New Roman"/>
              </w:rPr>
              <w:br/>
            </w:r>
            <w:r w:rsidRPr="00CB2EC4">
              <w:rPr>
                <w:rFonts w:ascii="Times New Roman" w:hAnsi="Times New Roman" w:cs="Times New Roman"/>
              </w:rPr>
              <w:br/>
              <w:t>&gt; Source synthesis: Source Document 1 clarifies the complementary roles of imaging and pathology; Online Results 3 and 7 specify the prioritized use of MRI and PET-CT.</w:t>
            </w:r>
          </w:p>
        </w:tc>
        <w:tc>
          <w:tcPr>
            <w:tcW w:w="1152" w:type="dxa"/>
            <w:vAlign w:val="center"/>
          </w:tcPr>
          <w:p w14:paraId="5EB78B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262B2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718B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E6D44D" w14:textId="77777777">
        <w:tc>
          <w:tcPr>
            <w:tcW w:w="2160" w:type="dxa"/>
            <w:vAlign w:val="center"/>
          </w:tcPr>
          <w:p w14:paraId="25565FD5"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DA73A6D" w14:textId="77777777" w:rsidR="00922249" w:rsidRPr="00CB2EC4" w:rsidRDefault="003011D5">
            <w:pPr>
              <w:rPr>
                <w:rFonts w:ascii="Times New Roman" w:hAnsi="Times New Roman" w:cs="Times New Roman"/>
              </w:rPr>
            </w:pPr>
            <w:r w:rsidRPr="00CB2EC4">
              <w:rPr>
                <w:rFonts w:ascii="Times New Roman" w:hAnsi="Times New Roman" w:cs="Times New Roman"/>
              </w:rPr>
              <w:t>in the FIGO staging system, imaging tools are used to assess primary tumor size and lymph node status to aid clinical staging. Specific applications include:</w:t>
            </w:r>
            <w:r w:rsidRPr="00CB2EC4">
              <w:rPr>
                <w:rFonts w:ascii="Times New Roman" w:hAnsi="Times New Roman" w:cs="Times New Roman"/>
              </w:rPr>
              <w:br/>
              <w:t xml:space="preserve">- Assessment of tumor size: Imaging (e.g., MRI) is used to measure the maximum diameter of the primary cervical tumor, which is a key basis for staging (e.g., IB1, IB2, IB3). The document emphasizes that MRI is the preferred imaging method for evaluating primary tumors, especially those &gt;10 mm, as it accurately measures tumor size and local </w:t>
            </w:r>
            <w:r w:rsidRPr="00CB2EC4">
              <w:rPr>
                <w:rFonts w:ascii="Times New Roman" w:hAnsi="Times New Roman" w:cs="Times New Roman"/>
              </w:rPr>
              <w:lastRenderedPageBreak/>
              <w:t>invasion (Document fragment 4: "For primary tumors &gt;10 mm, MRI is the optimal imaging assessment method"; Document fragment 26: "Pelvic MRI is recommended as the first-choice method for assessing local cervical tumors").</w:t>
            </w:r>
            <w:r w:rsidRPr="00CB2EC4">
              <w:rPr>
                <w:rFonts w:ascii="Times New Roman" w:hAnsi="Times New Roman" w:cs="Times New Roman"/>
              </w:rPr>
              <w:br/>
              <w:t>- Assessment of lymph node status: Imaging is used to detect lymph node metastasis (e.g., pelvic or para-aortic lymph nodes), which directly affects staging (e.g., IIIC). PET-CT is more accurate than CT and MRI in detecting lymph nodes &gt;10 mm, with a lower false-negative rate (Document fragment 4: "PET-CT is more accurate than CT and MRI in detecting lymph nodes &gt;10 mm, with a false-negative rate of approximately 4%</w:t>
            </w:r>
            <w:r w:rsidRPr="00CB2EC4">
              <w:rPr>
                <w:rFonts w:ascii="Times New Roman" w:hAnsi="Times New Roman" w:cs="Times New Roman"/>
              </w:rPr>
              <w:t>～</w:t>
            </w:r>
            <w:r w:rsidRPr="00CB2EC4">
              <w:rPr>
                <w:rFonts w:ascii="Times New Roman" w:hAnsi="Times New Roman" w:cs="Times New Roman"/>
              </w:rPr>
              <w:t>15%"; Document fragment 15: "Level I recommendation: chest CT + abdominal enhanced CT + pelvic enhanced MRI or PET/CT").</w:t>
            </w:r>
            <w:r w:rsidRPr="00CB2EC4">
              <w:rPr>
                <w:rFonts w:ascii="Times New Roman" w:hAnsi="Times New Roman" w:cs="Times New Roman"/>
              </w:rPr>
              <w:br/>
              <w:t>- Recommended specific imaging tools:</w:t>
            </w:r>
            <w:r w:rsidRPr="00CB2EC4">
              <w:rPr>
                <w:rFonts w:ascii="Times New Roman" w:hAnsi="Times New Roman" w:cs="Times New Roman"/>
              </w:rPr>
              <w:br/>
              <w:t xml:space="preserve">  - First-choice tool: Pelvic enhanced MRI (for tumor size and local invasion assessment).</w:t>
            </w:r>
            <w:r w:rsidRPr="00CB2EC4">
              <w:rPr>
                <w:rFonts w:ascii="Times New Roman" w:hAnsi="Times New Roman" w:cs="Times New Roman"/>
              </w:rPr>
              <w:br/>
              <w:t xml:space="preserve">  - Lymph node assessment tool: PET-CT (more accurate for detecting lymph node metastasis), especially recommended for stages IB1 and above (Document fragment 15: "PET/CT is suggested for patients with stage IB1 and above when available").</w:t>
            </w:r>
            <w:r w:rsidRPr="00CB2EC4">
              <w:rPr>
                <w:rFonts w:ascii="Times New Roman" w:hAnsi="Times New Roman" w:cs="Times New Roman"/>
              </w:rPr>
              <w:br/>
              <w:t xml:space="preserve">  - Other tools: Chest CT and abdominal enhanced CT for systemic evaluation to exclude distant metastasis (Document fragment 15: "Level I recommendation: chest CT + abdominal enhanced CT + pelvic enhanced MRI or PET/CT").</w:t>
            </w:r>
            <w:r w:rsidRPr="00CB2EC4">
              <w:rPr>
                <w:rFonts w:ascii="Times New Roman" w:hAnsi="Times New Roman" w:cs="Times New Roman"/>
              </w:rPr>
              <w:br/>
              <w:t xml:space="preserve">  - Notes: Imaging assessment may yield false positives or false negatives due to infection or large tumors, so it must be combined with clinical examination (Document fragment 1: "The accuracy of </w:t>
            </w:r>
            <w:r w:rsidRPr="00CB2EC4">
              <w:rPr>
                <w:rFonts w:ascii="Times New Roman" w:hAnsi="Times New Roman" w:cs="Times New Roman"/>
              </w:rPr>
              <w:lastRenderedPageBreak/>
              <w:t>imaging assessment of parametrial and upper vaginal involvement is poor... imaging-based staging is often higher than clinical staging"). When reporting, the specific imaging method used must be recorded for subsequent evaluation (Document fragment 4: "The specific imaging modality used should be recorded for subsequent assessment").</w:t>
            </w:r>
            <w:r w:rsidRPr="00CB2EC4">
              <w:rPr>
                <w:rFonts w:ascii="Times New Roman" w:hAnsi="Times New Roman" w:cs="Times New Roman"/>
              </w:rPr>
              <w:br/>
            </w:r>
            <w:r w:rsidRPr="00CB2EC4">
              <w:rPr>
                <w:rFonts w:ascii="Times New Roman" w:hAnsi="Times New Roman" w:cs="Times New Roman"/>
              </w:rPr>
              <w:br/>
              <w:t>In summary, imaging tools in the FIGO staging system are primarily used for objective measurement of tumor size and detection of lymph node metastasis. MRI is recommended as the first-choice tool for tumor assessment, PET-CT as the first-choice tool for lymph node assessment, supplemented by CT for whole-body screening.</w:t>
            </w:r>
          </w:p>
        </w:tc>
        <w:tc>
          <w:tcPr>
            <w:tcW w:w="1152" w:type="dxa"/>
            <w:vAlign w:val="center"/>
          </w:tcPr>
          <w:p w14:paraId="137975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5A97D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317F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E1C438" w14:textId="77777777">
        <w:tc>
          <w:tcPr>
            <w:tcW w:w="2160" w:type="dxa"/>
            <w:vAlign w:val="center"/>
          </w:tcPr>
          <w:p w14:paraId="556B7A7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17462809" w14:textId="77777777" w:rsidR="00922249" w:rsidRPr="00CB2EC4" w:rsidRDefault="003011D5">
            <w:pPr>
              <w:rPr>
                <w:rFonts w:ascii="Times New Roman" w:hAnsi="Times New Roman" w:cs="Times New Roman"/>
              </w:rPr>
            </w:pPr>
            <w:r w:rsidRPr="00CB2EC4">
              <w:rPr>
                <w:rFonts w:ascii="Times New Roman" w:hAnsi="Times New Roman" w:cs="Times New Roman"/>
              </w:rPr>
              <w:t>in FIGO staging, how are imaging tools used to assess tumor size and lymph node status? which specific imaging tools are recommended?</w:t>
            </w:r>
            <w:r w:rsidRPr="00CB2EC4">
              <w:rPr>
                <w:rFonts w:ascii="Times New Roman" w:hAnsi="Times New Roman" w:cs="Times New Roman"/>
              </w:rPr>
              <w:br/>
            </w:r>
            <w:r w:rsidRPr="00CB2EC4">
              <w:rPr>
                <w:rFonts w:ascii="Times New Roman" w:hAnsi="Times New Roman" w:cs="Times New Roman"/>
              </w:rPr>
              <w:br/>
              <w:t>based on contextual information (primarily from documents 1, 2, 15, and 20):</w:t>
            </w:r>
            <w:r w:rsidRPr="00CB2EC4">
              <w:rPr>
                <w:rFonts w:ascii="Times New Roman" w:hAnsi="Times New Roman" w:cs="Times New Roman"/>
              </w:rPr>
              <w:br/>
              <w:t>- use of imaging tools: in FIGO staging, imaging tools are used to supplement clinical examination for assessing tumor size, local infiltration extent (e.g., parametrium, vagina), and lymph node status. imaging findings can be used to determine staging (e.g., tumor size for subclassifying IB stage, lymph node metastasis for IIIC stage), but pathological examination remains the gold standard. imaging assessment helps avoid unnecessary dual treatment with surgery and radiotherapy, reducing adverse effects. specific applications include:</w:t>
            </w:r>
            <w:r w:rsidRPr="00CB2EC4">
              <w:rPr>
                <w:rFonts w:ascii="Times New Roman" w:hAnsi="Times New Roman" w:cs="Times New Roman"/>
              </w:rPr>
              <w:br/>
              <w:t xml:space="preserve">  - tumor size assessment: imaging (e.g., MRI) can measure the maximum diameter of the primary tumor, </w:t>
            </w:r>
            <w:r w:rsidRPr="00CB2EC4">
              <w:rPr>
                <w:rFonts w:ascii="Times New Roman" w:hAnsi="Times New Roman" w:cs="Times New Roman"/>
              </w:rPr>
              <w:lastRenderedPageBreak/>
              <w:t>used to distinguish IB1, IB2, and IB3 stages.</w:t>
            </w:r>
            <w:r w:rsidRPr="00CB2EC4">
              <w:rPr>
                <w:rFonts w:ascii="Times New Roman" w:hAnsi="Times New Roman" w:cs="Times New Roman"/>
              </w:rPr>
              <w:br/>
              <w:t xml:space="preserve">  - lymph node status assessment: imaging (e.g., PET-CT) detects lymph node metastasis (&gt;10 mm lymph nodes), used for staging markers (e.g., IIIC1r or IIIC2r).</w:t>
            </w:r>
            <w:r w:rsidRPr="00CB2EC4">
              <w:rPr>
                <w:rFonts w:ascii="Times New Roman" w:hAnsi="Times New Roman" w:cs="Times New Roman"/>
              </w:rPr>
              <w:br/>
              <w:t>- recommended specific imaging tools:</w:t>
            </w:r>
            <w:r w:rsidRPr="00CB2EC4">
              <w:rPr>
                <w:rFonts w:ascii="Times New Roman" w:hAnsi="Times New Roman" w:cs="Times New Roman"/>
              </w:rPr>
              <w:br/>
              <w:t xml:space="preserve">  - MRI (magnetic resonance imaging): preferred for assessing local cervical tumor size, parametrial infiltration, and vaginal spread (documents 1, 2, 15, 20). for primary tumors &gt;10 mm, MRI is the best method due to its high soft-tissue resolution, superior to CT (document 2).</w:t>
            </w:r>
            <w:r w:rsidRPr="00CB2EC4">
              <w:rPr>
                <w:rFonts w:ascii="Times New Roman" w:hAnsi="Times New Roman" w:cs="Times New Roman"/>
              </w:rPr>
              <w:br/>
              <w:t xml:space="preserve">  - PET-CT (positron emission tomography/computed tomography): recommended for assessing lymph node metastasis, especially in patients with IB1 stage or higher (documents 2, 20). PET-CT has a lower false-negative rate (approximately 4%~15%) in detecting &gt;10 mm lymph nodes and is more accurate than CT and MRI (document 2).</w:t>
            </w:r>
            <w:r w:rsidRPr="00CB2EC4">
              <w:rPr>
                <w:rFonts w:ascii="Times New Roman" w:hAnsi="Times New Roman" w:cs="Times New Roman"/>
              </w:rPr>
              <w:br/>
              <w:t xml:space="preserve">  - other tools: ultrasound may be used with good accuracy when performed by experienced experts (document 2); CT may be used when MRI is contraindicated (document 20). the type of imaging method used must be recorded for subsequent evaluation (document 2).</w:t>
            </w:r>
            <w:r w:rsidRPr="00CB2EC4">
              <w:rPr>
                <w:rFonts w:ascii="Times New Roman" w:hAnsi="Times New Roman" w:cs="Times New Roman"/>
              </w:rPr>
              <w:br/>
              <w:t>if imaging results conflict with clinical examination, the more reliable pathological finding should be used (documents 1, 3).</w:t>
            </w:r>
          </w:p>
        </w:tc>
        <w:tc>
          <w:tcPr>
            <w:tcW w:w="1152" w:type="dxa"/>
            <w:vAlign w:val="center"/>
          </w:tcPr>
          <w:p w14:paraId="797A9D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00AC5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3A3A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7F097E" w14:textId="77777777">
        <w:tc>
          <w:tcPr>
            <w:tcW w:w="2160" w:type="dxa"/>
            <w:vAlign w:val="center"/>
          </w:tcPr>
          <w:p w14:paraId="1C315BC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C9ACD6A" w14:textId="77777777" w:rsidR="00922249" w:rsidRPr="00CB2EC4" w:rsidRDefault="003011D5">
            <w:pPr>
              <w:rPr>
                <w:rFonts w:ascii="Times New Roman" w:hAnsi="Times New Roman" w:cs="Times New Roman"/>
              </w:rPr>
            </w:pPr>
            <w:r w:rsidRPr="00CB2EC4">
              <w:rPr>
                <w:rFonts w:ascii="Times New Roman" w:hAnsi="Times New Roman" w:cs="Times New Roman"/>
              </w:rPr>
              <w:t>how are imaging tools used to assess tumor size and lymph node status in the FIGO staging system? what specific imaging tools are recommended?</w:t>
            </w:r>
            <w:r w:rsidRPr="00CB2EC4">
              <w:rPr>
                <w:rFonts w:ascii="Times New Roman" w:hAnsi="Times New Roman" w:cs="Times New Roman"/>
              </w:rPr>
              <w:br/>
            </w:r>
            <w:r w:rsidRPr="00CB2EC4">
              <w:rPr>
                <w:rFonts w:ascii="Times New Roman" w:hAnsi="Times New Roman" w:cs="Times New Roman"/>
              </w:rPr>
              <w:br/>
              <w:t xml:space="preserve">according to the document, imaging tools are used in the FIGO staging system to supplement clinical </w:t>
            </w:r>
            <w:r w:rsidRPr="00CB2EC4">
              <w:rPr>
                <w:rFonts w:ascii="Times New Roman" w:hAnsi="Times New Roman" w:cs="Times New Roman"/>
              </w:rPr>
              <w:lastRenderedPageBreak/>
              <w:t xml:space="preserve">examination by providing information on tumor size, lymph node status (e.g., presence of metastasis), and the extent of local or systemic disease spread, thereby aiding staging and treatment decisions. the specific methods and recommended tools are as follows:  </w:t>
            </w:r>
            <w:r w:rsidRPr="00CB2EC4">
              <w:rPr>
                <w:rFonts w:ascii="Times New Roman" w:hAnsi="Times New Roman" w:cs="Times New Roman"/>
              </w:rPr>
              <w:br/>
              <w:t xml:space="preserve">- methods of use:  </w:t>
            </w:r>
            <w:r w:rsidRPr="00CB2EC4">
              <w:rPr>
                <w:rFonts w:ascii="Times New Roman" w:hAnsi="Times New Roman" w:cs="Times New Roman"/>
              </w:rPr>
              <w:br/>
              <w:t xml:space="preserve">  - imaging findings can supplement clinical examination to provide data on tumor size, lymph node status (such as metastasis), and local or distant spread. for example, MRI is the preferred method for assessing primary tumor size (especially for tumors &gt;10 mm) and parametrial involvement, but the accuracy of imaging in evaluating parametrial and upper vaginal involvement is suboptimal and may result in false negatives or positives due to infection or bulky tumors.  </w:t>
            </w:r>
            <w:r w:rsidRPr="00CB2EC4">
              <w:rPr>
                <w:rFonts w:ascii="Times New Roman" w:hAnsi="Times New Roman" w:cs="Times New Roman"/>
              </w:rPr>
              <w:br/>
              <w:t xml:space="preserve">  - lymph node status assessment: when lymph node metastasis is detected by imaging, the stage is denoted with “r” (e.g., stage IIIC1r), whereas pathologically confirmed metastasis is denoted with “p” (e.g., stage IIIC1p). PET-CT is more accurate than CT and MRI in detecting lymph nodes &gt;10 mm (with a false negative rate of approximately 4%–15%), but caution is needed in areas with high prevalence of tuberculosis or inflammation, as enlarged lymph nodes may not indicate metastasis.  </w:t>
            </w:r>
            <w:r w:rsidRPr="00CB2EC4">
              <w:rPr>
                <w:rFonts w:ascii="Times New Roman" w:hAnsi="Times New Roman" w:cs="Times New Roman"/>
              </w:rPr>
              <w:br/>
              <w:t xml:space="preserve">  - the specific imaging modality (including type and technique) must be documented for subsequent evaluation and data analysis. the purpose of imaging is to optimize treatment selection and avoid adverse effects from dual therapy with surgery and radiotherapy.  </w:t>
            </w:r>
            <w:r w:rsidRPr="00CB2EC4">
              <w:rPr>
                <w:rFonts w:ascii="Times New Roman" w:hAnsi="Times New Roman" w:cs="Times New Roman"/>
              </w:rPr>
              <w:br/>
              <w:t xml:space="preserve">- recommended specific imaging tools:  </w:t>
            </w:r>
            <w:r w:rsidRPr="00CB2EC4">
              <w:rPr>
                <w:rFonts w:ascii="Times New Roman" w:hAnsi="Times New Roman" w:cs="Times New Roman"/>
              </w:rPr>
              <w:br/>
              <w:t xml:space="preserve">  - MRI: the best imaging assessment method, </w:t>
            </w:r>
            <w:r w:rsidRPr="00CB2EC4">
              <w:rPr>
                <w:rFonts w:ascii="Times New Roman" w:hAnsi="Times New Roman" w:cs="Times New Roman"/>
              </w:rPr>
              <w:lastRenderedPageBreak/>
              <w:t xml:space="preserve">especially suitable for evaluating tumor size (&gt;10 mm primary tumors), parametrial infiltration, and local spread.  </w:t>
            </w:r>
            <w:r w:rsidRPr="00CB2EC4">
              <w:rPr>
                <w:rFonts w:ascii="Times New Roman" w:hAnsi="Times New Roman" w:cs="Times New Roman"/>
              </w:rPr>
              <w:br/>
              <w:t xml:space="preserve">  - PET-CT: more accurate in detecting lymph node metastases &gt;10 mm, with a lower false negative rate.  </w:t>
            </w:r>
            <w:r w:rsidRPr="00CB2EC4">
              <w:rPr>
                <w:rFonts w:ascii="Times New Roman" w:hAnsi="Times New Roman" w:cs="Times New Roman"/>
              </w:rPr>
              <w:br/>
              <w:t xml:space="preserve">  - ultrasound: when performed by experienced operators, offers good accuracy and can be used for initial assessment.  </w:t>
            </w:r>
            <w:r w:rsidRPr="00CB2EC4">
              <w:rPr>
                <w:rFonts w:ascii="Times New Roman" w:hAnsi="Times New Roman" w:cs="Times New Roman"/>
              </w:rPr>
              <w:br/>
              <w:t xml:space="preserve">  - CT: can be used to evaluate lymph nodes and overall disease extent, but is less accurate than MRI and PET-CT.  </w:t>
            </w:r>
            <w:r w:rsidRPr="00CB2EC4">
              <w:rPr>
                <w:rFonts w:ascii="Times New Roman" w:hAnsi="Times New Roman" w:cs="Times New Roman"/>
              </w:rPr>
              <w:br/>
              <w:t xml:space="preserve">  - other tools: any available modality such as ultrasound, CT, MRI, or PET may be used, depending on resource availability.  </w:t>
            </w:r>
            <w:r w:rsidRPr="00CB2EC4">
              <w:rPr>
                <w:rFonts w:ascii="Times New Roman" w:hAnsi="Times New Roman" w:cs="Times New Roman"/>
              </w:rPr>
              <w:br/>
              <w:t>document source: for example, the segments with HyDE similarity 0.685 and 0.594 explicitly mention the recommendations and use scenarios for MRI, PET-CT, and ultrasound.</w:t>
            </w:r>
          </w:p>
        </w:tc>
        <w:tc>
          <w:tcPr>
            <w:tcW w:w="1152" w:type="dxa"/>
            <w:vAlign w:val="center"/>
          </w:tcPr>
          <w:p w14:paraId="49C739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AF481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27E4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DC276E" w14:textId="77777777">
        <w:tc>
          <w:tcPr>
            <w:tcW w:w="2160" w:type="dxa"/>
            <w:vAlign w:val="center"/>
          </w:tcPr>
          <w:p w14:paraId="1E9BF0A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5F6C144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FIGO staging system, imaging tools are used to assess tumor size and lymph node status to supplement clinical examination and guide staging and treatment decisions. The specific methods and recommended imaging tools are as follows:  </w:t>
            </w:r>
            <w:r w:rsidRPr="00CB2EC4">
              <w:rPr>
                <w:rFonts w:ascii="Times New Roman" w:hAnsi="Times New Roman" w:cs="Times New Roman"/>
              </w:rPr>
              <w:br/>
              <w:t xml:space="preserve">- Assessment of tumor size: Imaging is used to measure the maximum diameter of the primary tumor (e.g., for subclassification of IB stage). MRI is the preferred method for evaluating tumor size, especially when the tumor is greater than 10 mm, due to its high accuracy (Document fragment 7: For primary tumors &gt;10 mm, MRI is the best imaging assessment method). Ultrasound may also be used for evaluation, but requires operation by an experienced expert to ensure accuracy (Document fragment 7: If performed by an experienced expert, ultrasound diagnosis also </w:t>
            </w:r>
            <w:r w:rsidRPr="00CB2EC4">
              <w:rPr>
                <w:rFonts w:ascii="Times New Roman" w:hAnsi="Times New Roman" w:cs="Times New Roman"/>
              </w:rPr>
              <w:lastRenderedPageBreak/>
              <w:t xml:space="preserve">has good accuracy).  </w:t>
            </w:r>
            <w:r w:rsidRPr="00CB2EC4">
              <w:rPr>
                <w:rFonts w:ascii="Times New Roman" w:hAnsi="Times New Roman" w:cs="Times New Roman"/>
              </w:rPr>
              <w:br/>
              <w:t xml:space="preserve">- Assessment of lymph node status: Imaging is used to detect lymph node metastases (e.g., pelvic or para-aortic lymph nodes). PET-CT is more accurate than CT and MRI in detecting lymph nodes larger than 10 mm, with a lower false-negative rate (approximately 4–15%) (Document fragment 7: For detecting lymph nodes &gt;10 mm, PET-CT is more accurate than CT and MRI). However, in areas with high prevalence of tuberculosis or inflammation (e.g., HIV-endemic regions), enlarged lymph nodes may not indicate metastasis and require correlation with clinical judgment or pathological confirmation (Document fragment 1: Lymph nodes enlarged due to tuberculosis or HIV infection may also occur; FIGO has not established differentiation criteria).  </w:t>
            </w:r>
            <w:r w:rsidRPr="00CB2EC4">
              <w:rPr>
                <w:rFonts w:ascii="Times New Roman" w:hAnsi="Times New Roman" w:cs="Times New Roman"/>
              </w:rPr>
              <w:br/>
              <w:t xml:space="preserve">- Recommended tools: All imaging modalities, including ultrasound, CT, MRI, and PET/CT, may be used for staging (Document fragments 4 and 11: All imaging examination methods may be used for staging). The specific imaging method employed (e.g., MRI or PET-CT) should be documented in the report for subsequent evaluation (Document fragment 7: The specific imaging method used should be recorded).  </w:t>
            </w:r>
            <w:r w:rsidRPr="00CB2EC4">
              <w:rPr>
                <w:rFonts w:ascii="Times New Roman" w:hAnsi="Times New Roman" w:cs="Times New Roman"/>
              </w:rPr>
              <w:br/>
              <w:t>- Notes: The accuracy of imaging assessment for parametrial involvement and the upper vagina is suboptimal, with potential for false-negative or false-positive results (Document fragment 1). Pathological examination remains the gold standard; imaging findings should be combined with pathological evidence (e.g., biopsy or fine-needle aspiration) to improve accuracy (Document fragments 1 and 7).</w:t>
            </w:r>
          </w:p>
        </w:tc>
        <w:tc>
          <w:tcPr>
            <w:tcW w:w="1152" w:type="dxa"/>
            <w:vAlign w:val="center"/>
          </w:tcPr>
          <w:p w14:paraId="5051D6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E9C2B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3CC8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013C29" w14:textId="77777777">
        <w:tc>
          <w:tcPr>
            <w:tcW w:w="2160" w:type="dxa"/>
            <w:vAlign w:val="center"/>
          </w:tcPr>
          <w:p w14:paraId="6EE1867E"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CF1805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FIGO staging, how are imaging tools used to assess tumor size and lymph node status? Which specific </w:t>
            </w:r>
            <w:r w:rsidRPr="00CB2EC4">
              <w:rPr>
                <w:rFonts w:ascii="Times New Roman" w:hAnsi="Times New Roman" w:cs="Times New Roman"/>
              </w:rPr>
              <w:lastRenderedPageBreak/>
              <w:t>imaging tools are recommended?</w:t>
            </w:r>
            <w:r w:rsidRPr="00CB2EC4">
              <w:rPr>
                <w:rFonts w:ascii="Times New Roman" w:hAnsi="Times New Roman" w:cs="Times New Roman"/>
              </w:rPr>
              <w:br/>
            </w:r>
            <w:r w:rsidRPr="00CB2EC4">
              <w:rPr>
                <w:rFonts w:ascii="Times New Roman" w:hAnsi="Times New Roman" w:cs="Times New Roman"/>
              </w:rPr>
              <w:br/>
              <w:t xml:space="preserve">- Tumor size assessment:  </w:t>
            </w:r>
            <w:r w:rsidRPr="00CB2EC4">
              <w:rPr>
                <w:rFonts w:ascii="Times New Roman" w:hAnsi="Times New Roman" w:cs="Times New Roman"/>
              </w:rPr>
              <w:br/>
              <w:t xml:space="preserve">  - MRI is the best imaging method for evaluating the primary tumor (especially &gt;10 mm) (Segment 2).  </w:t>
            </w:r>
            <w:r w:rsidRPr="00CB2EC4">
              <w:rPr>
                <w:rFonts w:ascii="Times New Roman" w:hAnsi="Times New Roman" w:cs="Times New Roman"/>
              </w:rPr>
              <w:br/>
              <w:t xml:space="preserve">  - Ultrasound also has good accuracy when performed by experienced experts (Segment 2).  </w:t>
            </w:r>
            <w:r w:rsidRPr="00CB2EC4">
              <w:rPr>
                <w:rFonts w:ascii="Times New Roman" w:hAnsi="Times New Roman" w:cs="Times New Roman"/>
              </w:rPr>
              <w:br/>
              <w:t xml:space="preserve">- Lymph node status assessment:  </w:t>
            </w:r>
            <w:r w:rsidRPr="00CB2EC4">
              <w:rPr>
                <w:rFonts w:ascii="Times New Roman" w:hAnsi="Times New Roman" w:cs="Times New Roman"/>
              </w:rPr>
              <w:br/>
              <w:t xml:space="preserve">  - PET-CT is the most accurate for detecting lymph nodes &gt;10 mm (false-negative rate ~4%~15%), superior to CT/MRI (Segment 2).  </w:t>
            </w:r>
            <w:r w:rsidRPr="00CB2EC4">
              <w:rPr>
                <w:rFonts w:ascii="Times New Roman" w:hAnsi="Times New Roman" w:cs="Times New Roman"/>
              </w:rPr>
              <w:br/>
              <w:t xml:space="preserve">  - Note that lymphadenopathy in areas with high prevalence of tuberculosis/inflammation/HIV does not necessarily indicate metastasis (Segments 1, 2).  </w:t>
            </w:r>
            <w:r w:rsidRPr="00CB2EC4">
              <w:rPr>
                <w:rFonts w:ascii="Times New Roman" w:hAnsi="Times New Roman" w:cs="Times New Roman"/>
              </w:rPr>
              <w:br/>
              <w:t xml:space="preserve">- Principles of use:  </w:t>
            </w:r>
            <w:r w:rsidRPr="00CB2EC4">
              <w:rPr>
                <w:rFonts w:ascii="Times New Roman" w:hAnsi="Times New Roman" w:cs="Times New Roman"/>
              </w:rPr>
              <w:br/>
              <w:t xml:space="preserve">  - Imaging findings can be used for staging (e.g., if lymph node metastasis is found, stage as `IIIC1r`), but the specific technique (e.g., MRI/PET) must be specified (Segments 1, 3, 6).  </w:t>
            </w:r>
            <w:r w:rsidRPr="00CB2EC4">
              <w:rPr>
                <w:rFonts w:ascii="Times New Roman" w:hAnsi="Times New Roman" w:cs="Times New Roman"/>
              </w:rPr>
              <w:br/>
              <w:t xml:space="preserve">  - Imaging assessment of parametrial involvement and upper vaginal extension has poor accuracy; clinical examination is more important (Segment 1).</w:t>
            </w:r>
          </w:p>
        </w:tc>
        <w:tc>
          <w:tcPr>
            <w:tcW w:w="1152" w:type="dxa"/>
            <w:vAlign w:val="center"/>
          </w:tcPr>
          <w:p w14:paraId="37D476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D976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ADB4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18981C" w14:textId="77777777">
        <w:tc>
          <w:tcPr>
            <w:tcW w:w="2160" w:type="dxa"/>
            <w:vAlign w:val="center"/>
          </w:tcPr>
          <w:p w14:paraId="166DC6B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C6C26F5" w14:textId="77777777" w:rsidR="00922249" w:rsidRPr="00CB2EC4" w:rsidRDefault="003011D5">
            <w:pPr>
              <w:rPr>
                <w:rFonts w:ascii="Times New Roman" w:hAnsi="Times New Roman" w:cs="Times New Roman"/>
              </w:rPr>
            </w:pPr>
            <w:r w:rsidRPr="00CB2EC4">
              <w:rPr>
                <w:rFonts w:ascii="Times New Roman" w:hAnsi="Times New Roman" w:cs="Times New Roman"/>
              </w:rPr>
              <w:t>in FIGO staging, how are imaging tools used to assess tumor size and lymph node status? which specific imaging tools are recommended?</w:t>
            </w:r>
            <w:r w:rsidRPr="00CB2EC4">
              <w:rPr>
                <w:rFonts w:ascii="Times New Roman" w:hAnsi="Times New Roman" w:cs="Times New Roman"/>
              </w:rPr>
              <w:br/>
            </w:r>
            <w:r w:rsidRPr="00CB2EC4">
              <w:rPr>
                <w:rFonts w:ascii="Times New Roman" w:hAnsi="Times New Roman" w:cs="Times New Roman"/>
              </w:rPr>
              <w:br/>
              <w:t>based on contextual information (primarily from document fragments 2, 3, and 1):</w:t>
            </w:r>
            <w:r w:rsidRPr="00CB2EC4">
              <w:rPr>
                <w:rFonts w:ascii="Times New Roman" w:hAnsi="Times New Roman" w:cs="Times New Roman"/>
              </w:rPr>
              <w:br/>
              <w:t>- how imaging tools are used to assess tumor size and lymph node status:</w:t>
            </w:r>
            <w:r w:rsidRPr="00CB2EC4">
              <w:rPr>
                <w:rFonts w:ascii="Times New Roman" w:hAnsi="Times New Roman" w:cs="Times New Roman"/>
              </w:rPr>
              <w:br/>
              <w:t xml:space="preserve">  imaging tools can supplement clinical examination to evaluate primary tumor size, parametrial involvement, lymph node metastasis, etc. specifically:</w:t>
            </w:r>
            <w:r w:rsidRPr="00CB2EC4">
              <w:rPr>
                <w:rFonts w:ascii="Times New Roman" w:hAnsi="Times New Roman" w:cs="Times New Roman"/>
              </w:rPr>
              <w:br/>
              <w:t xml:space="preserve">  - tumor size assessment: MRI is the best method for </w:t>
            </w:r>
            <w:r w:rsidRPr="00CB2EC4">
              <w:rPr>
                <w:rFonts w:ascii="Times New Roman" w:hAnsi="Times New Roman" w:cs="Times New Roman"/>
              </w:rPr>
              <w:lastRenderedPageBreak/>
              <w:t>evaluating primary tumor size (especially when tumor diameter &gt;10 mm). if performed by an experienced expert, ultrasound also has good accuracy. imaging results can be used in FIGO staging (e.g., subdivision of IB stage), but must be combined with pathological findings.</w:t>
            </w:r>
            <w:r w:rsidRPr="00CB2EC4">
              <w:rPr>
                <w:rFonts w:ascii="Times New Roman" w:hAnsi="Times New Roman" w:cs="Times New Roman"/>
              </w:rPr>
              <w:br/>
              <w:t xml:space="preserve">  - lymph node status assessment: PET-CT is more accurate than CT and MRI in detecting lymph node metastases &gt;10 mm (false-negative rate ~4%~15%). in areas with high prevalence of tuberculosis or inflammation (e.g., HIV-endemic regions), enlarged lymph nodes do not necessarily indicate metastasis and require confirmation by fine-needle aspiration or biopsy. when lymph node metastasis is found by imaging, staging is marked as "r" (e.g., IIIC1r), whereas pathological findings are marked as "p" (e.g., IIIC1p).</w:t>
            </w:r>
            <w:r w:rsidRPr="00CB2EC4">
              <w:rPr>
                <w:rFonts w:ascii="Times New Roman" w:hAnsi="Times New Roman" w:cs="Times New Roman"/>
              </w:rPr>
              <w:br/>
              <w:t xml:space="preserve">  note that the accuracy of imaging assessment for parametrium and upper vagina is suboptimal (especially prone to false-negative or false-positive results in infection or bulky tumors), so clinical examination remains more important. imaging-based staging is often higher than clinical staging.</w:t>
            </w:r>
            <w:r w:rsidRPr="00CB2EC4">
              <w:rPr>
                <w:rFonts w:ascii="Times New Roman" w:hAnsi="Times New Roman" w:cs="Times New Roman"/>
              </w:rPr>
              <w:br/>
              <w:t>- recommended imaging tools:</w:t>
            </w:r>
            <w:r w:rsidRPr="00CB2EC4">
              <w:rPr>
                <w:rFonts w:ascii="Times New Roman" w:hAnsi="Times New Roman" w:cs="Times New Roman"/>
              </w:rPr>
              <w:br/>
              <w:t xml:space="preserve">  specific recommended tools include ultrasound, CT, MRI, and PET/CT. among them:</w:t>
            </w:r>
            <w:r w:rsidRPr="00CB2EC4">
              <w:rPr>
                <w:rFonts w:ascii="Times New Roman" w:hAnsi="Times New Roman" w:cs="Times New Roman"/>
              </w:rPr>
              <w:br/>
              <w:t xml:space="preserve">  - MRI: is the preferred choice for assessing primary tumor size (&gt;10 mm).</w:t>
            </w:r>
            <w:r w:rsidRPr="00CB2EC4">
              <w:rPr>
                <w:rFonts w:ascii="Times New Roman" w:hAnsi="Times New Roman" w:cs="Times New Roman"/>
              </w:rPr>
              <w:br/>
              <w:t xml:space="preserve">  - PET-CT: is prioritized for detecting lymph node metastases &gt;10 mm.</w:t>
            </w:r>
            <w:r w:rsidRPr="00CB2EC4">
              <w:rPr>
                <w:rFonts w:ascii="Times New Roman" w:hAnsi="Times New Roman" w:cs="Times New Roman"/>
              </w:rPr>
              <w:br/>
              <w:t xml:space="preserve">  all imaging methods used must be documented in the report (e.g., recorded as “MRI” or “PET-CT”) for subsequent evaluation.</w:t>
            </w:r>
          </w:p>
        </w:tc>
        <w:tc>
          <w:tcPr>
            <w:tcW w:w="1152" w:type="dxa"/>
            <w:vAlign w:val="center"/>
          </w:tcPr>
          <w:p w14:paraId="2C1F30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39026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C1B08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B4AD64" w14:textId="77777777">
        <w:tc>
          <w:tcPr>
            <w:tcW w:w="2160" w:type="dxa"/>
            <w:vAlign w:val="center"/>
          </w:tcPr>
          <w:p w14:paraId="3E900C44"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73358F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FIGO staging system, imaging tools are used to </w:t>
            </w:r>
            <w:r w:rsidRPr="00CB2EC4">
              <w:rPr>
                <w:rFonts w:ascii="Times New Roman" w:hAnsi="Times New Roman" w:cs="Times New Roman"/>
              </w:rPr>
              <w:lastRenderedPageBreak/>
              <w:t>assess tumor size and lymph node status to assist in determining the extent of disease involvement, guide treatment decisions (e.g., to avoid dual therapy with surgery and radiotherapy), and denote staging (e.g., "r" is used to indicate radiologic findings when lymph node metastasis is identified). The specific methods and recommended imaging tools are as follows:</w:t>
            </w:r>
            <w:r w:rsidRPr="00CB2EC4">
              <w:rPr>
                <w:rFonts w:ascii="Times New Roman" w:hAnsi="Times New Roman" w:cs="Times New Roman"/>
              </w:rPr>
              <w:br/>
            </w:r>
            <w:r w:rsidRPr="00CB2EC4">
              <w:rPr>
                <w:rFonts w:ascii="Times New Roman" w:hAnsi="Times New Roman" w:cs="Times New Roman"/>
              </w:rPr>
              <w:br/>
              <w:t>- Assessment of tumor size:</w:t>
            </w:r>
            <w:r w:rsidRPr="00CB2EC4">
              <w:rPr>
                <w:rFonts w:ascii="Times New Roman" w:hAnsi="Times New Roman" w:cs="Times New Roman"/>
              </w:rPr>
              <w:br/>
              <w:t xml:space="preserve">  - MRI is the preferred imaging method for evaluating primary tumor size, especially for tumors with a diameter &gt;10 mm, as it accurately measures the maximum tumor diameter (the document states: "For primary tumors &gt;10mm, MRI is the optimal imaging assessment method").</w:t>
            </w:r>
            <w:r w:rsidRPr="00CB2EC4">
              <w:rPr>
                <w:rFonts w:ascii="Times New Roman" w:hAnsi="Times New Roman" w:cs="Times New Roman"/>
              </w:rPr>
              <w:br/>
              <w:t xml:space="preserve">  - Ultrasound may also be used for assessment, but requires operation by an experienced expert to ensure accuracy (the document states: "If performed by an experienced expert, ultrasound diagnosis also has good accuracy").</w:t>
            </w:r>
            <w:r w:rsidRPr="00CB2EC4">
              <w:rPr>
                <w:rFonts w:ascii="Times New Roman" w:hAnsi="Times New Roman" w:cs="Times New Roman"/>
              </w:rPr>
              <w:br/>
              <w:t xml:space="preserve">  - The purpose of imaging assessment is to supplement clinical examination, assist in determining tumor size (e.g., for subclassifying stage IB), and record the specific method used for subsequent analysis (the document states: "The specific imaging modality used should be recorded for subsequent evaluation").</w:t>
            </w:r>
            <w:r w:rsidRPr="00CB2EC4">
              <w:rPr>
                <w:rFonts w:ascii="Times New Roman" w:hAnsi="Times New Roman" w:cs="Times New Roman"/>
              </w:rPr>
              <w:br/>
            </w:r>
            <w:r w:rsidRPr="00CB2EC4">
              <w:rPr>
                <w:rFonts w:ascii="Times New Roman" w:hAnsi="Times New Roman" w:cs="Times New Roman"/>
              </w:rPr>
              <w:br/>
              <w:t>- Assessment of lymph node status:</w:t>
            </w:r>
            <w:r w:rsidRPr="00CB2EC4">
              <w:rPr>
                <w:rFonts w:ascii="Times New Roman" w:hAnsi="Times New Roman" w:cs="Times New Roman"/>
              </w:rPr>
              <w:br/>
              <w:t xml:space="preserve">  - PET-CT is the most accurate tool for detecting lymph node metastasis, especially for nodes &gt;10 mm, with a false-negative rate of approximately 4% to 15%, superior to CT and MRI (the document states: "For detecting lymph nodes &gt;10mm, PET-CT is more </w:t>
            </w:r>
            <w:r w:rsidRPr="00CB2EC4">
              <w:rPr>
                <w:rFonts w:ascii="Times New Roman" w:hAnsi="Times New Roman" w:cs="Times New Roman"/>
              </w:rPr>
              <w:lastRenderedPageBreak/>
              <w:t>accurate than CT and MRI, with a false-negative rate of about 4%</w:t>
            </w:r>
            <w:r w:rsidRPr="00CB2EC4">
              <w:rPr>
                <w:rFonts w:ascii="Times New Roman" w:hAnsi="Times New Roman" w:cs="Times New Roman"/>
              </w:rPr>
              <w:t>～</w:t>
            </w:r>
            <w:r w:rsidRPr="00CB2EC4">
              <w:rPr>
                <w:rFonts w:ascii="Times New Roman" w:hAnsi="Times New Roman" w:cs="Times New Roman"/>
              </w:rPr>
              <w:t>15%").</w:t>
            </w:r>
            <w:r w:rsidRPr="00CB2EC4">
              <w:rPr>
                <w:rFonts w:ascii="Times New Roman" w:hAnsi="Times New Roman" w:cs="Times New Roman"/>
              </w:rPr>
              <w:br/>
              <w:t xml:space="preserve">  - In areas with high prevalence of tuberculosis and inflammation (e.g., HIV-endemic regions), enlarged lymph nodes do not necessarily indicate metastasis; therefore, confirmation or exclusion of metastasis should be based on imaging, fine-needle aspiration, or biopsy (the document states: "Clinicians can determine or exclude metastasis based on imaging, fine-needle aspiration, or biopsy").</w:t>
            </w:r>
            <w:r w:rsidRPr="00CB2EC4">
              <w:rPr>
                <w:rFonts w:ascii="Times New Roman" w:hAnsi="Times New Roman" w:cs="Times New Roman"/>
              </w:rPr>
              <w:br/>
              <w:t xml:space="preserve">  - When lymph node metastasis is identified by imaging, it is used for staging notation (e.g., stage IIIC1r) and the technique type must be recorded (the document states: "If pelvic lymph node metastasis is found by imaging, the stage is IIIC1r" and "The type of imaging and pathological techniques must be recorded").</w:t>
            </w:r>
            <w:r w:rsidRPr="00CB2EC4">
              <w:rPr>
                <w:rFonts w:ascii="Times New Roman" w:hAnsi="Times New Roman" w:cs="Times New Roman"/>
              </w:rPr>
              <w:br/>
            </w:r>
            <w:r w:rsidRPr="00CB2EC4">
              <w:rPr>
                <w:rFonts w:ascii="Times New Roman" w:hAnsi="Times New Roman" w:cs="Times New Roman"/>
              </w:rPr>
              <w:br/>
              <w:t>- Recommended imaging tools:</w:t>
            </w:r>
            <w:r w:rsidRPr="00CB2EC4">
              <w:rPr>
                <w:rFonts w:ascii="Times New Roman" w:hAnsi="Times New Roman" w:cs="Times New Roman"/>
              </w:rPr>
              <w:br/>
              <w:t xml:space="preserve">  - MRI: Preferred for assessing tumor size and parametrial involvement, superior to CT, especially for tumors &gt;10 mm (the document repeatedly emphasizes: "MRI assessment of parametrial involvement is superior to CT").</w:t>
            </w:r>
            <w:r w:rsidRPr="00CB2EC4">
              <w:rPr>
                <w:rFonts w:ascii="Times New Roman" w:hAnsi="Times New Roman" w:cs="Times New Roman"/>
              </w:rPr>
              <w:br/>
              <w:t xml:space="preserve">  - PET-CT: Recommended for lymph node assessment due to its high accuracy.</w:t>
            </w:r>
            <w:r w:rsidRPr="00CB2EC4">
              <w:rPr>
                <w:rFonts w:ascii="Times New Roman" w:hAnsi="Times New Roman" w:cs="Times New Roman"/>
              </w:rPr>
              <w:br/>
              <w:t xml:space="preserve">  - CT: Can be used for general assessment but is less accurate than MRI and PET-CT.</w:t>
            </w:r>
            <w:r w:rsidRPr="00CB2EC4">
              <w:rPr>
                <w:rFonts w:ascii="Times New Roman" w:hAnsi="Times New Roman" w:cs="Times New Roman"/>
              </w:rPr>
              <w:br/>
              <w:t xml:space="preserve">  - Ultrasound: May be used when operated by experienced personnel, suitable for resource-limited settings.</w:t>
            </w:r>
            <w:r w:rsidRPr="00CB2EC4">
              <w:rPr>
                <w:rFonts w:ascii="Times New Roman" w:hAnsi="Times New Roman" w:cs="Times New Roman"/>
              </w:rPr>
              <w:br/>
              <w:t xml:space="preserve">  - Other tools such as intravenous pyelography or urinary tract ultrasound can be used to assess </w:t>
            </w:r>
            <w:r w:rsidRPr="00CB2EC4">
              <w:rPr>
                <w:rFonts w:ascii="Times New Roman" w:hAnsi="Times New Roman" w:cs="Times New Roman"/>
              </w:rPr>
              <w:lastRenderedPageBreak/>
              <w:t>hydronephrosis (the document states: "Hydronephrosis should be evaluated using urinary tract ultrasound, intravenous pyelography, CT, or MRI").</w:t>
            </w:r>
            <w:r w:rsidRPr="00CB2EC4">
              <w:rPr>
                <w:rFonts w:ascii="Times New Roman" w:hAnsi="Times New Roman" w:cs="Times New Roman"/>
              </w:rPr>
              <w:br/>
            </w:r>
            <w:r w:rsidRPr="00CB2EC4">
              <w:rPr>
                <w:rFonts w:ascii="Times New Roman" w:hAnsi="Times New Roman" w:cs="Times New Roman"/>
              </w:rPr>
              <w:br/>
              <w:t>In summary, imaging tools supplement clinical examination, but pathology remains the gold standard. All imaging modalities (including ultrasound, CT, MRI, PET-CT, etc.) may be used for staging, and the specific method must be recorded to ensure data analyzability (the document emphasizes: "All imaging modalities may be used for staging").</w:t>
            </w:r>
          </w:p>
        </w:tc>
        <w:tc>
          <w:tcPr>
            <w:tcW w:w="1152" w:type="dxa"/>
            <w:vAlign w:val="center"/>
          </w:tcPr>
          <w:p w14:paraId="47E96B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D0D0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E71F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485CBC" w14:textId="77777777">
        <w:tc>
          <w:tcPr>
            <w:tcW w:w="2160" w:type="dxa"/>
            <w:vAlign w:val="center"/>
          </w:tcPr>
          <w:p w14:paraId="046CA9A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57B41FDD" w14:textId="77777777" w:rsidR="00922249" w:rsidRPr="00CB2EC4" w:rsidRDefault="003011D5">
            <w:pPr>
              <w:rPr>
                <w:rFonts w:ascii="Times New Roman" w:hAnsi="Times New Roman" w:cs="Times New Roman"/>
              </w:rPr>
            </w:pPr>
            <w:r w:rsidRPr="00CB2EC4">
              <w:rPr>
                <w:rFonts w:ascii="Times New Roman" w:hAnsi="Times New Roman" w:cs="Times New Roman"/>
              </w:rPr>
              <w:t>In FIGO staging, imaging tools are used to assess tumor size and lymph node status as follows:</w:t>
            </w:r>
            <w:r w:rsidRPr="00CB2EC4">
              <w:rPr>
                <w:rFonts w:ascii="Times New Roman" w:hAnsi="Times New Roman" w:cs="Times New Roman"/>
              </w:rPr>
              <w:br/>
            </w:r>
            <w:r w:rsidRPr="00CB2EC4">
              <w:rPr>
                <w:rFonts w:ascii="Times New Roman" w:hAnsi="Times New Roman" w:cs="Times New Roman"/>
              </w:rPr>
              <w:br/>
              <w:t>- **Assessment of tumor size**: Imaging (e.g., MRI, ultrasound) can be used to measure the maximum diameter of the tumor to supplement clinical examination. For example, for primary tumors &gt;10 mm, MRI is the optimal assessment method (Document fragment 3). Imaging results must be recorded with the specific method used for subsequent analysis.</w:t>
            </w:r>
            <w:r w:rsidRPr="00CB2EC4">
              <w:rPr>
                <w:rFonts w:ascii="Times New Roman" w:hAnsi="Times New Roman" w:cs="Times New Roman"/>
              </w:rPr>
              <w:br/>
              <w:t>- **Assessment of lymph node status**: Imaging is used to detect lymph node metastases (e.g., pelvic or para-aortic lymph nodes). PET-CT is more accurate than CT and MRI in detecting lymph nodes &gt;10 mm, with a false-negative rate of approximately 4%–15% (Document fragment 3). However, in areas with high prevalence of tuberculosis or inflammation, enlarged lymph nodes do not necessarily indicate metastasis and require correlation with clinical judgment or biopsy confirmation.</w:t>
            </w:r>
            <w:r w:rsidRPr="00CB2EC4">
              <w:rPr>
                <w:rFonts w:ascii="Times New Roman" w:hAnsi="Times New Roman" w:cs="Times New Roman"/>
              </w:rPr>
              <w:br/>
              <w:t>- **Recommended imaging tools**:</w:t>
            </w:r>
            <w:r w:rsidRPr="00CB2EC4">
              <w:rPr>
                <w:rFonts w:ascii="Times New Roman" w:hAnsi="Times New Roman" w:cs="Times New Roman"/>
              </w:rPr>
              <w:br/>
            </w:r>
            <w:r w:rsidRPr="00CB2EC4">
              <w:rPr>
                <w:rFonts w:ascii="Times New Roman" w:hAnsi="Times New Roman" w:cs="Times New Roman"/>
              </w:rPr>
              <w:lastRenderedPageBreak/>
              <w:t xml:space="preserve">  - MRI: First choice for assessing primary tumor size (especially &gt;10 mm) and parametrial involvement (superior to CT), but less accurate for evaluation of the parametrium and upper vagina (Document fragments 1, 3).</w:t>
            </w:r>
            <w:r w:rsidRPr="00CB2EC4">
              <w:rPr>
                <w:rFonts w:ascii="Times New Roman" w:hAnsi="Times New Roman" w:cs="Times New Roman"/>
              </w:rPr>
              <w:br/>
              <w:t xml:space="preserve">  - PET-CT: Recommended for detecting lymph node metastases (&gt;10 mm), with high accuracy (Document fragment 3).</w:t>
            </w:r>
            <w:r w:rsidRPr="00CB2EC4">
              <w:rPr>
                <w:rFonts w:ascii="Times New Roman" w:hAnsi="Times New Roman" w:cs="Times New Roman"/>
              </w:rPr>
              <w:br/>
              <w:t xml:space="preserve">  - CT: Can be used for staging but is inferior to MRI in assessing parametrial infiltration (Document fragment 1).</w:t>
            </w:r>
            <w:r w:rsidRPr="00CB2EC4">
              <w:rPr>
                <w:rFonts w:ascii="Times New Roman" w:hAnsi="Times New Roman" w:cs="Times New Roman"/>
              </w:rPr>
              <w:br/>
              <w:t xml:space="preserve">  - Ultrasound: When performed by experienced operators, has good accuracy and is especially suitable for resource-limited settings (Document fragment 3).</w:t>
            </w:r>
            <w:r w:rsidRPr="00CB2EC4">
              <w:rPr>
                <w:rFonts w:ascii="Times New Roman" w:hAnsi="Times New Roman" w:cs="Times New Roman"/>
              </w:rPr>
              <w:br/>
              <w:t xml:space="preserve">  - Other tools: Including ultrasound, CT, MRI, PET/CT, etc., may all be used for staging, but the method employed must be documented (Document fragment 9).</w:t>
            </w:r>
            <w:r w:rsidRPr="00CB2EC4">
              <w:rPr>
                <w:rFonts w:ascii="Times New Roman" w:hAnsi="Times New Roman" w:cs="Times New Roman"/>
              </w:rPr>
              <w:br/>
              <w:t>- **Notes**: Imaging assessment may yield false-negative or false-positive results (e.g., due to infection or bulky tumors), and imaging-based staging is often higher than clinical staging. Therefore, clinical examination (e.g., gynecologic exam) remains more important for assessing vaginal and parametrial spread (Document fragment 1).</w:t>
            </w:r>
          </w:p>
        </w:tc>
        <w:tc>
          <w:tcPr>
            <w:tcW w:w="1152" w:type="dxa"/>
            <w:vAlign w:val="center"/>
          </w:tcPr>
          <w:p w14:paraId="343738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58810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EB5C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17A429" w14:textId="77777777">
        <w:tc>
          <w:tcPr>
            <w:tcW w:w="2160" w:type="dxa"/>
            <w:vAlign w:val="center"/>
          </w:tcPr>
          <w:p w14:paraId="1A1A8805"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6E0D4A1" w14:textId="77777777" w:rsidR="00922249" w:rsidRPr="00CB2EC4" w:rsidRDefault="003011D5">
            <w:pPr>
              <w:rPr>
                <w:rFonts w:ascii="Times New Roman" w:hAnsi="Times New Roman" w:cs="Times New Roman"/>
              </w:rPr>
            </w:pPr>
            <w:r w:rsidRPr="00CB2EC4">
              <w:rPr>
                <w:rFonts w:ascii="Times New Roman" w:hAnsi="Times New Roman" w:cs="Times New Roman"/>
              </w:rPr>
              <w:t>In the FIGO staging system, imaging tools are used to assess tumor size and lymph node status to supplement clinical examination, aiding in staging determination and treatment planning. The specific methods and recommended imaging tools are as follows:</w:t>
            </w:r>
            <w:r w:rsidRPr="00CB2EC4">
              <w:rPr>
                <w:rFonts w:ascii="Times New Roman" w:hAnsi="Times New Roman" w:cs="Times New Roman"/>
              </w:rPr>
              <w:br/>
            </w:r>
            <w:r w:rsidRPr="00CB2EC4">
              <w:rPr>
                <w:rFonts w:ascii="Times New Roman" w:hAnsi="Times New Roman" w:cs="Times New Roman"/>
              </w:rPr>
              <w:br/>
              <w:t>- **Usage methods:**</w:t>
            </w:r>
            <w:r w:rsidRPr="00CB2EC4">
              <w:rPr>
                <w:rFonts w:ascii="Times New Roman" w:hAnsi="Times New Roman" w:cs="Times New Roman"/>
              </w:rPr>
              <w:br/>
              <w:t xml:space="preserve">  - Imaging tools can be used to measure primary </w:t>
            </w:r>
            <w:r w:rsidRPr="00CB2EC4">
              <w:rPr>
                <w:rFonts w:ascii="Times New Roman" w:hAnsi="Times New Roman" w:cs="Times New Roman"/>
              </w:rPr>
              <w:lastRenderedPageBreak/>
              <w:t>tumor size, evaluate lymph node metastasis (e.g., pelvic or para-aortic lymph nodes), detect parametrial infiltration, or identify distant metastases.</w:t>
            </w:r>
            <w:r w:rsidRPr="00CB2EC4">
              <w:rPr>
                <w:rFonts w:ascii="Times New Roman" w:hAnsi="Times New Roman" w:cs="Times New Roman"/>
              </w:rPr>
              <w:br/>
              <w:t xml:space="preserve">  - Imaging findings (e.g., ultrasound, CT, MRI, PET-CT) can serve as staging evidence and must be combined with pathological examination. Pathological assessment remains the gold standard, but imaging provides preliminary evaluation to avoid unnecessary dual therapy (e.g., surgery and radiotherapy).</w:t>
            </w:r>
            <w:r w:rsidRPr="00CB2EC4">
              <w:rPr>
                <w:rFonts w:ascii="Times New Roman" w:hAnsi="Times New Roman" w:cs="Times New Roman"/>
              </w:rPr>
              <w:br/>
              <w:t xml:space="preserve">  - In reports, the specific type of imaging method used (e.g., MRI or PET-CT) must be recorded for subsequent evaluation and data analysis (Fragment 1: "The specific imaging modality used should be recorded for future assessment"; Fragment 3: "The imaging modality and pathological technique type used must be recorded").</w:t>
            </w:r>
            <w:r w:rsidRPr="00CB2EC4">
              <w:rPr>
                <w:rFonts w:ascii="Times New Roman" w:hAnsi="Times New Roman" w:cs="Times New Roman"/>
              </w:rPr>
              <w:br/>
              <w:t xml:space="preserve">  - For tumor size assessment, imaging (e.g., MRI) is superior to clinical examination, especially for primary tumors &gt;10 mm; for lymph node status, imaging can detect nodes &gt;10 mm, but caution is needed due to risks of false negatives or false positives (Fragment 1: "For primary tumors &gt;10 mm, MRI is the best imaging assessment method"; "For detecting lymph nodes &gt;10 mm, PET-CT is more accurate than CT and MRI").</w:t>
            </w:r>
            <w:r w:rsidRPr="00CB2EC4">
              <w:rPr>
                <w:rFonts w:ascii="Times New Roman" w:hAnsi="Times New Roman" w:cs="Times New Roman"/>
              </w:rPr>
              <w:br/>
            </w:r>
            <w:r w:rsidRPr="00CB2EC4">
              <w:rPr>
                <w:rFonts w:ascii="Times New Roman" w:hAnsi="Times New Roman" w:cs="Times New Roman"/>
              </w:rPr>
              <w:br/>
              <w:t>- **Recommended specific imaging tools:**</w:t>
            </w:r>
            <w:r w:rsidRPr="00CB2EC4">
              <w:rPr>
                <w:rFonts w:ascii="Times New Roman" w:hAnsi="Times New Roman" w:cs="Times New Roman"/>
              </w:rPr>
              <w:br/>
              <w:t xml:space="preserve">  - Primary tumor size assessment: MRI is the optimal tool, especially for tumors &gt;10 mm (Fragment 1: "For primary tumors &gt;10 mm, MRI is the best imaging assessment method"). Ultrasound may also be used but requires operation by an experienced expert to ensure accuracy (Fragment 1: "If performed by an experienced expert, ultrasound diagnosis also has </w:t>
            </w:r>
            <w:r w:rsidRPr="00CB2EC4">
              <w:rPr>
                <w:rFonts w:ascii="Times New Roman" w:hAnsi="Times New Roman" w:cs="Times New Roman"/>
              </w:rPr>
              <w:lastRenderedPageBreak/>
              <w:t>good accuracy").</w:t>
            </w:r>
            <w:r w:rsidRPr="00CB2EC4">
              <w:rPr>
                <w:rFonts w:ascii="Times New Roman" w:hAnsi="Times New Roman" w:cs="Times New Roman"/>
              </w:rPr>
              <w:br/>
              <w:t xml:space="preserve">  - Lymph node status assessment: PET-CT is the preferred tool for detecting lymph nodes &gt;10 mm, with higher accuracy than CT and MRI (Fragment 1: "For detecting lymph nodes &gt;10 mm, PET-CT is more accurate than CT and MRI"). In areas with high prevalence of tuberculosis or inflammation (e.g., HIV-endemic regions), enlarged lymph nodes should be interpreted cautiously and may require biopsy confirmation (Fragment 1: "In areas with high prevalence of tuberculosis and inflammation, especially HIV-endemic regions, large lymph nodes do not necessarily indicate metastasis").</w:t>
            </w:r>
            <w:r w:rsidRPr="00CB2EC4">
              <w:rPr>
                <w:rFonts w:ascii="Times New Roman" w:hAnsi="Times New Roman" w:cs="Times New Roman"/>
              </w:rPr>
              <w:br/>
              <w:t xml:space="preserve">  - Other tools: CT and MRI can be used for overall assessment, but MRI is superior to CT in evaluating parametrial infiltration (Fragment 2: "MRI is superior to CT in assessing parametrial infiltration"). All imaging modalities (including ultrasound, CT, MRI, PET/CT) are permitted for staging (Fragment 3: "All imaging modalities (including ultrasound, CT, MRI, PET/CT, etc.) may be used for staging").</w:t>
            </w:r>
            <w:r w:rsidRPr="00CB2EC4">
              <w:rPr>
                <w:rFonts w:ascii="Times New Roman" w:hAnsi="Times New Roman" w:cs="Times New Roman"/>
              </w:rPr>
              <w:br/>
            </w:r>
            <w:r w:rsidRPr="00CB2EC4">
              <w:rPr>
                <w:rFonts w:ascii="Times New Roman" w:hAnsi="Times New Roman" w:cs="Times New Roman"/>
              </w:rPr>
              <w:br/>
              <w:t>In summary, imaging tools are used for non-invasive assessment, but final staging must incorporate pathological evidence to prevent misdiagnosis.</w:t>
            </w:r>
          </w:p>
        </w:tc>
        <w:tc>
          <w:tcPr>
            <w:tcW w:w="1152" w:type="dxa"/>
            <w:vAlign w:val="center"/>
          </w:tcPr>
          <w:p w14:paraId="7A49C9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BC149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2D3A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809EAF1" w14:textId="77777777">
        <w:tc>
          <w:tcPr>
            <w:tcW w:w="2160" w:type="dxa"/>
            <w:vAlign w:val="center"/>
          </w:tcPr>
          <w:p w14:paraId="4901AAA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5FFBFEDD" w14:textId="77777777" w:rsidR="00922249" w:rsidRPr="00CB2EC4" w:rsidRDefault="003011D5">
            <w:pPr>
              <w:rPr>
                <w:rFonts w:ascii="Times New Roman" w:hAnsi="Times New Roman" w:cs="Times New Roman"/>
              </w:rPr>
            </w:pPr>
            <w:r w:rsidRPr="00CB2EC4">
              <w:rPr>
                <w:rFonts w:ascii="Times New Roman" w:hAnsi="Times New Roman" w:cs="Times New Roman"/>
              </w:rPr>
              <w:t>- Tumor size assessment: Imaging tools can be used to measure the maximum tumor diameter (e.g., via cross-sectional imaging), particularly when clinical examination is inaccurate (such as in obese patients or deep-seated tumors). Use of imaging to assist in determining tumor size is recommended for staging at FIGO IB and above.</w:t>
            </w:r>
            <w:r w:rsidRPr="00CB2EC4">
              <w:rPr>
                <w:rFonts w:ascii="Times New Roman" w:hAnsi="Times New Roman" w:cs="Times New Roman"/>
              </w:rPr>
              <w:br/>
              <w:t xml:space="preserve">- Lymph node status assessment: Imaging tools are used to detect regional lymph node metastases (e.g., </w:t>
            </w:r>
            <w:r w:rsidRPr="00CB2EC4">
              <w:rPr>
                <w:rFonts w:ascii="Times New Roman" w:hAnsi="Times New Roman" w:cs="Times New Roman"/>
              </w:rPr>
              <w:lastRenderedPageBreak/>
              <w:t>pelvic or para-aortic lymph nodes), but must be combined with pathological confirmation. When imaging suggests lymph node metastasis, it should be marked in staging (see Question 49).</w:t>
            </w:r>
            <w:r w:rsidRPr="00CB2EC4">
              <w:rPr>
                <w:rFonts w:ascii="Times New Roman" w:hAnsi="Times New Roman" w:cs="Times New Roman"/>
              </w:rPr>
              <w:br/>
              <w:t>- Recommended specific imaging tools:</w:t>
            </w:r>
            <w:r w:rsidRPr="00CB2EC4">
              <w:rPr>
                <w:rFonts w:ascii="Times New Roman" w:hAnsi="Times New Roman" w:cs="Times New Roman"/>
              </w:rPr>
              <w:br/>
              <w:t xml:space="preserve">  - First-line tool: MRI (magnetic resonance imaging) for assessing local tumor size, depth of invasion, and parametrial involvement, due to its high soft-tissue resolution.</w:t>
            </w:r>
            <w:r w:rsidRPr="00CB2EC4">
              <w:rPr>
                <w:rFonts w:ascii="Times New Roman" w:hAnsi="Times New Roman" w:cs="Times New Roman"/>
              </w:rPr>
              <w:br/>
              <w:t xml:space="preserve">  - Other recommended tools: PET-CT (positron emission tomography-computed tomography) for evaluating lymph node and distant metastases, especially in high-grade tumors or suspected advanced cases; CT (computed tomography) may be used as an alternative but has lower accuracy than MRI and PET-CT.</w:t>
            </w:r>
          </w:p>
        </w:tc>
        <w:tc>
          <w:tcPr>
            <w:tcW w:w="1152" w:type="dxa"/>
            <w:vAlign w:val="center"/>
          </w:tcPr>
          <w:p w14:paraId="616D41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70BD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2BBD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0E157A" w14:textId="77777777">
        <w:tc>
          <w:tcPr>
            <w:tcW w:w="10656" w:type="dxa"/>
            <w:gridSpan w:val="5"/>
            <w:tcBorders>
              <w:bottom w:val="single" w:sz="6" w:space="0" w:color="auto"/>
            </w:tcBorders>
            <w:vAlign w:val="center"/>
          </w:tcPr>
          <w:p w14:paraId="0F8713C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47: The FIGO 2018 staging system subdivides Stage IB into Stage IB1, IB2, and IB3. What are the specific diagnostic criteria for these three substages?</w:t>
            </w:r>
          </w:p>
        </w:tc>
      </w:tr>
      <w:tr w:rsidR="00922249" w:rsidRPr="00CB2EC4" w14:paraId="328C0349" w14:textId="77777777">
        <w:tc>
          <w:tcPr>
            <w:tcW w:w="2160" w:type="dxa"/>
            <w:vAlign w:val="center"/>
          </w:tcPr>
          <w:p w14:paraId="535AC9E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D0081ED" w14:textId="77777777" w:rsidR="00922249" w:rsidRPr="00CB2EC4" w:rsidRDefault="003011D5">
            <w:pPr>
              <w:rPr>
                <w:rFonts w:ascii="Times New Roman" w:hAnsi="Times New Roman" w:cs="Times New Roman"/>
              </w:rPr>
            </w:pPr>
            <w:r w:rsidRPr="00CB2EC4">
              <w:rPr>
                <w:rFonts w:ascii="Times New Roman" w:hAnsi="Times New Roman" w:cs="Times New Roman"/>
              </w:rPr>
              <w:t>The FIGO 2018 staging subdivides stage IB into IB1, IB2, and IB3. The specific diagnostic criteria for these three substages are as follows:</w:t>
            </w:r>
            <w:r w:rsidRPr="00CB2EC4">
              <w:rPr>
                <w:rFonts w:ascii="Times New Roman" w:hAnsi="Times New Roman" w:cs="Times New Roman"/>
              </w:rPr>
              <w:br/>
            </w:r>
            <w:r w:rsidRPr="00CB2EC4">
              <w:rPr>
                <w:rFonts w:ascii="Times New Roman" w:hAnsi="Times New Roman" w:cs="Times New Roman"/>
              </w:rPr>
              <w:br/>
              <w:t>- **Overall definition of stage IB**: Invasive depth &gt;5 mm (beyond stage IA), but the tumor is confined to the cervix (spread to the corpus is not considered).</w:t>
            </w:r>
            <w:r w:rsidRPr="00CB2EC4">
              <w:rPr>
                <w:rFonts w:ascii="Times New Roman" w:hAnsi="Times New Roman" w:cs="Times New Roman"/>
              </w:rPr>
              <w:br/>
              <w:t>- **Specific staging diagnostic criteria (based on maximum tumor diameter)**:</w:t>
            </w:r>
            <w:r w:rsidRPr="00CB2EC4">
              <w:rPr>
                <w:rFonts w:ascii="Times New Roman" w:hAnsi="Times New Roman" w:cs="Times New Roman"/>
              </w:rPr>
              <w:br/>
              <w:t xml:space="preserve">  - **IB1**: Maximum tumor diameter &lt;2 cm (i.e., tumor size &lt;2 cm).</w:t>
            </w:r>
            <w:r w:rsidRPr="00CB2EC4">
              <w:rPr>
                <w:rFonts w:ascii="Times New Roman" w:hAnsi="Times New Roman" w:cs="Times New Roman"/>
              </w:rPr>
              <w:br/>
              <w:t xml:space="preserve">  - **IB2**: Maximum tumor diameter ≥2 cm but &lt;4 cm (i.e., tumor size between 2 cm and 4 cm).</w:t>
            </w:r>
            <w:r w:rsidRPr="00CB2EC4">
              <w:rPr>
                <w:rFonts w:ascii="Times New Roman" w:hAnsi="Times New Roman" w:cs="Times New Roman"/>
              </w:rPr>
              <w:br/>
              <w:t xml:space="preserve">  - **IB3**: Maximum tumor diameter ≥4 cm (i.e., </w:t>
            </w:r>
            <w:r w:rsidRPr="00CB2EC4">
              <w:rPr>
                <w:rFonts w:ascii="Times New Roman" w:hAnsi="Times New Roman" w:cs="Times New Roman"/>
              </w:rPr>
              <w:lastRenderedPageBreak/>
              <w:t>tumor size ≥4 cm).</w:t>
            </w:r>
            <w:r w:rsidRPr="00CB2EC4">
              <w:rPr>
                <w:rFonts w:ascii="Times New Roman" w:hAnsi="Times New Roman" w:cs="Times New Roman"/>
              </w:rPr>
              <w:br/>
              <w:t>- **Key point**: All stage IB tumors have an invasive depth &gt;5 mm and are confined to the cervix; tumor diameter is the primary basis for the new staging system, dividing IB into IB1, IB2, and IB3, with 2 cm as a critical cutoff.</w:t>
            </w:r>
            <w:r w:rsidRPr="00CB2EC4">
              <w:rPr>
                <w:rFonts w:ascii="Times New Roman" w:hAnsi="Times New Roman" w:cs="Times New Roman"/>
              </w:rPr>
              <w:br/>
              <w:t>- **Source reference**: Document excerpt (similarity 0.582) details the FIGO 2018 staging criteria, including the specific definitions for IB1, IB2, and IB3.</w:t>
            </w:r>
          </w:p>
        </w:tc>
        <w:tc>
          <w:tcPr>
            <w:tcW w:w="1152" w:type="dxa"/>
            <w:vAlign w:val="center"/>
          </w:tcPr>
          <w:p w14:paraId="778547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F0A45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81ED9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068F3AD" w14:textId="77777777">
        <w:tc>
          <w:tcPr>
            <w:tcW w:w="2160" w:type="dxa"/>
            <w:vAlign w:val="center"/>
          </w:tcPr>
          <w:p w14:paraId="4066C8EF"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237424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FIGO 2018 staging subdivides stage IB into IB1, IB2, and IB3. the specific diagnostic criteria for these three substages are as follows (based on maximum tumor diameter, with infiltration depth &gt;5mm and tumor confined to the cervix):  </w:t>
            </w:r>
            <w:r w:rsidRPr="00CB2EC4">
              <w:rPr>
                <w:rFonts w:ascii="Times New Roman" w:hAnsi="Times New Roman" w:cs="Times New Roman"/>
              </w:rPr>
              <w:br/>
              <w:t xml:space="preserve">- IB1: maximum tumor diameter ≤2 cm (fragment 5, fragment 17).  </w:t>
            </w:r>
            <w:r w:rsidRPr="00CB2EC4">
              <w:rPr>
                <w:rFonts w:ascii="Times New Roman" w:hAnsi="Times New Roman" w:cs="Times New Roman"/>
              </w:rPr>
              <w:br/>
              <w:t xml:space="preserve">- IB2: maximum tumor diameter &gt;2 cm but ≤4 cm (fragment 5, fragment 17).  </w:t>
            </w:r>
            <w:r w:rsidRPr="00CB2EC4">
              <w:rPr>
                <w:rFonts w:ascii="Times New Roman" w:hAnsi="Times New Roman" w:cs="Times New Roman"/>
              </w:rPr>
              <w:br/>
              <w:t xml:space="preserve">- IB3: maximum tumor diameter &gt;4 cm (fragment 5, fragment 17).  </w:t>
            </w:r>
            <w:r w:rsidRPr="00CB2EC4">
              <w:rPr>
                <w:rFonts w:ascii="Times New Roman" w:hAnsi="Times New Roman" w:cs="Times New Roman"/>
              </w:rPr>
              <w:br/>
              <w:t xml:space="preserve">- key points:  </w:t>
            </w:r>
            <w:r w:rsidRPr="00CB2EC4">
              <w:rPr>
                <w:rFonts w:ascii="Times New Roman" w:hAnsi="Times New Roman" w:cs="Times New Roman"/>
              </w:rPr>
              <w:br/>
              <w:t xml:space="preserve">  - infiltration depth is measured from the basement membrane and must be &gt;5 mm (exceeding stage IA).  </w:t>
            </w:r>
            <w:r w:rsidRPr="00CB2EC4">
              <w:rPr>
                <w:rFonts w:ascii="Times New Roman" w:hAnsi="Times New Roman" w:cs="Times New Roman"/>
              </w:rPr>
              <w:br/>
              <w:t xml:space="preserve">  - tumor size is based on maximum diameter measurement using imaging or pathological methods (fragment 5, fragment 17).  </w:t>
            </w:r>
            <w:r w:rsidRPr="00CB2EC4">
              <w:rPr>
                <w:rFonts w:ascii="Times New Roman" w:hAnsi="Times New Roman" w:cs="Times New Roman"/>
              </w:rPr>
              <w:br/>
              <w:t xml:space="preserve">  - this subdivision aids in guiding treatment; for example, stage IB3 has a poorer prognosis and concurrent chemoradiotherapy is often recommended over surgery (fragment 15).  </w:t>
            </w:r>
            <w:r w:rsidRPr="00CB2EC4">
              <w:rPr>
                <w:rFonts w:ascii="Times New Roman" w:hAnsi="Times New Roman" w:cs="Times New Roman"/>
              </w:rPr>
              <w:br/>
            </w:r>
            <w:r w:rsidRPr="00CB2EC4">
              <w:rPr>
                <w:rFonts w:ascii="Times New Roman" w:hAnsi="Times New Roman" w:cs="Times New Roman"/>
              </w:rPr>
              <w:br/>
              <w:t xml:space="preserve">based on document fragments: fragment 5 (block topic: FIGO staging criteria for cervical cancer), </w:t>
            </w:r>
            <w:r w:rsidRPr="00CB2EC4">
              <w:rPr>
                <w:rFonts w:ascii="Times New Roman" w:hAnsi="Times New Roman" w:cs="Times New Roman"/>
              </w:rPr>
              <w:lastRenderedPageBreak/>
              <w:t>fragment 17 (block topic: clinical-pathological staging of cervical cancer).</w:t>
            </w:r>
          </w:p>
        </w:tc>
        <w:tc>
          <w:tcPr>
            <w:tcW w:w="1152" w:type="dxa"/>
            <w:vAlign w:val="center"/>
          </w:tcPr>
          <w:p w14:paraId="5CF591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E560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1AC0C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CE6C38" w14:textId="77777777">
        <w:tc>
          <w:tcPr>
            <w:tcW w:w="2160" w:type="dxa"/>
            <w:vAlign w:val="center"/>
          </w:tcPr>
          <w:p w14:paraId="355917E1"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5F5D906" w14:textId="77777777" w:rsidR="00922249" w:rsidRPr="00CB2EC4" w:rsidRDefault="003011D5">
            <w:pPr>
              <w:rPr>
                <w:rFonts w:ascii="Times New Roman" w:hAnsi="Times New Roman" w:cs="Times New Roman"/>
              </w:rPr>
            </w:pPr>
            <w:r w:rsidRPr="00CB2EC4">
              <w:rPr>
                <w:rFonts w:ascii="Times New Roman" w:hAnsi="Times New Roman" w:cs="Times New Roman"/>
              </w:rPr>
              <w:t>the FIGO 2018 staging subdivides IB stage into IB1, IB2, and IB3. the specific diagnostic criteria for these three substages are as follows:</w:t>
            </w:r>
            <w:r w:rsidRPr="00CB2EC4">
              <w:rPr>
                <w:rFonts w:ascii="Times New Roman" w:hAnsi="Times New Roman" w:cs="Times New Roman"/>
              </w:rPr>
              <w:br/>
            </w:r>
            <w:r w:rsidRPr="00CB2EC4">
              <w:rPr>
                <w:rFonts w:ascii="Times New Roman" w:hAnsi="Times New Roman" w:cs="Times New Roman"/>
              </w:rPr>
              <w:br/>
              <w:t>- IB stage overall definition: IB stage refers to invasive carcinoma with an infiltration depth greater than 5 mm (beyond IA stage), but the tumor is still confined to the cervix.</w:t>
            </w:r>
            <w:r w:rsidRPr="00CB2EC4">
              <w:rPr>
                <w:rFonts w:ascii="Times New Roman" w:hAnsi="Times New Roman" w:cs="Times New Roman"/>
              </w:rPr>
              <w:br/>
              <w:t>- Specific subdivision criteria:</w:t>
            </w:r>
            <w:r w:rsidRPr="00CB2EC4">
              <w:rPr>
                <w:rFonts w:ascii="Times New Roman" w:hAnsi="Times New Roman" w:cs="Times New Roman"/>
              </w:rPr>
              <w:br/>
              <w:t xml:space="preserve">  - IB1: tumor maximum diameter &lt; 2 cm.</w:t>
            </w:r>
            <w:r w:rsidRPr="00CB2EC4">
              <w:rPr>
                <w:rFonts w:ascii="Times New Roman" w:hAnsi="Times New Roman" w:cs="Times New Roman"/>
              </w:rPr>
              <w:br/>
              <w:t xml:space="preserve">  - IB2: tumor maximum diameter ≥ 2 cm but &lt; 4 cm.</w:t>
            </w:r>
            <w:r w:rsidRPr="00CB2EC4">
              <w:rPr>
                <w:rFonts w:ascii="Times New Roman" w:hAnsi="Times New Roman" w:cs="Times New Roman"/>
              </w:rPr>
              <w:br/>
              <w:t xml:space="preserve">  - IB3: tumor maximum diameter ≥ 4 cm.</w:t>
            </w:r>
            <w:r w:rsidRPr="00CB2EC4">
              <w:rPr>
                <w:rFonts w:ascii="Times New Roman" w:hAnsi="Times New Roman" w:cs="Times New Roman"/>
              </w:rPr>
              <w:br/>
              <w:t>- Key point: diagnosis is based on the maximum tumor diameter (horizontal spread), and infiltration width is no longer considered. all IB stage tumors have an infiltration depth &gt; 5 mm and are confined to the cervix.</w:t>
            </w:r>
          </w:p>
        </w:tc>
        <w:tc>
          <w:tcPr>
            <w:tcW w:w="1152" w:type="dxa"/>
            <w:vAlign w:val="center"/>
          </w:tcPr>
          <w:p w14:paraId="33937D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369B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FCB5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9810F0" w14:textId="77777777">
        <w:tc>
          <w:tcPr>
            <w:tcW w:w="2160" w:type="dxa"/>
            <w:vAlign w:val="center"/>
          </w:tcPr>
          <w:p w14:paraId="7C1A7370"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DCB7A63" w14:textId="77777777" w:rsidR="00922249" w:rsidRPr="00CB2EC4" w:rsidRDefault="003011D5">
            <w:pPr>
              <w:rPr>
                <w:rFonts w:ascii="Times New Roman" w:hAnsi="Times New Roman" w:cs="Times New Roman"/>
              </w:rPr>
            </w:pPr>
            <w:r w:rsidRPr="00CB2EC4">
              <w:rPr>
                <w:rFonts w:ascii="Times New Roman" w:hAnsi="Times New Roman" w:cs="Times New Roman"/>
              </w:rPr>
              <w:t>diagnostic criteria for IB1, IB2, and IB3 stages:</w:t>
            </w:r>
            <w:r w:rsidRPr="00CB2EC4">
              <w:rPr>
                <w:rFonts w:ascii="Times New Roman" w:hAnsi="Times New Roman" w:cs="Times New Roman"/>
              </w:rPr>
              <w:br/>
            </w:r>
            <w:r w:rsidRPr="00CB2EC4">
              <w:rPr>
                <w:rFonts w:ascii="Times New Roman" w:hAnsi="Times New Roman" w:cs="Times New Roman"/>
              </w:rPr>
              <w:br/>
              <w:t>Subdivision of IB stage: based on the maximum tumor diameter (IB3 stage newly added in FIGO 2018) (Source 1, 3):</w:t>
            </w:r>
            <w:r w:rsidRPr="00CB2EC4">
              <w:rPr>
                <w:rFonts w:ascii="Times New Roman" w:hAnsi="Times New Roman" w:cs="Times New Roman"/>
              </w:rPr>
              <w:br/>
              <w:t xml:space="preserve">  - IB1: Maximum tumor diameter ≤ 2 cm (regardless of infiltration depth &gt; 5 mm).  </w:t>
            </w:r>
            <w:r w:rsidRPr="00CB2EC4">
              <w:rPr>
                <w:rFonts w:ascii="Times New Roman" w:hAnsi="Times New Roman" w:cs="Times New Roman"/>
              </w:rPr>
              <w:br/>
              <w:t xml:space="preserve">  - IB2: Maximum tumor diameter &gt; 2 cm but ≤ 4 cm.  </w:t>
            </w:r>
            <w:r w:rsidRPr="00CB2EC4">
              <w:rPr>
                <w:rFonts w:ascii="Times New Roman" w:hAnsi="Times New Roman" w:cs="Times New Roman"/>
              </w:rPr>
              <w:br/>
              <w:t xml:space="preserve">  - IB3: Maximum tumor diameter &gt; 4 cm (classified as IB1 in the 2009 staging system) (Source 1, 3).  </w:t>
            </w:r>
            <w:r w:rsidRPr="00CB2EC4">
              <w:rPr>
                <w:rFonts w:ascii="Times New Roman" w:hAnsi="Times New Roman" w:cs="Times New Roman"/>
              </w:rPr>
              <w:br/>
              <w:t>- Example: A 4 cm cervical cancer was staged as IB1 in the old system and is now classified as IB3 under the new system (Source 1).</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&gt; Source: Source 1, 3 (FIGO 2018 update interpretation) and Knowledge Base Document 1 (staging details).</w:t>
            </w:r>
          </w:p>
        </w:tc>
        <w:tc>
          <w:tcPr>
            <w:tcW w:w="1152" w:type="dxa"/>
            <w:vAlign w:val="center"/>
          </w:tcPr>
          <w:p w14:paraId="2222F4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20F24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EF40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67DCC2" w14:textId="77777777">
        <w:tc>
          <w:tcPr>
            <w:tcW w:w="2160" w:type="dxa"/>
            <w:vAlign w:val="center"/>
          </w:tcPr>
          <w:p w14:paraId="76CE98EE"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ECDE92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FIGO 2018 staging system (detailed in document fragments 7, 11, and 19), stage IB is subdivided into IB1, IB2, and IB3 based on the maximum tumor diameter (not depth of invasion). The specific diagnostic criteria are as follows:  </w:t>
            </w:r>
            <w:r w:rsidRPr="00CB2EC4">
              <w:rPr>
                <w:rFonts w:ascii="Times New Roman" w:hAnsi="Times New Roman" w:cs="Times New Roman"/>
              </w:rPr>
              <w:br/>
              <w:t xml:space="preserve">- IB1: Tumor confined to the cervix, stromal invasion depth ≥5 mm (measured from the basement membrane), and maximum tumor diameter ≤2 cm (document fragment 11: "IB1 stage: stromal invasion depth ≥5mm, maximum tumor diameter &lt;2cm"; document fragment 19: "T1b1 (FIGO IB1 stage): stromal invasion depth &gt;5mm, maximum diameter ≤2cm").  </w:t>
            </w:r>
            <w:r w:rsidRPr="00CB2EC4">
              <w:rPr>
                <w:rFonts w:ascii="Times New Roman" w:hAnsi="Times New Roman" w:cs="Times New Roman"/>
              </w:rPr>
              <w:br/>
              <w:t xml:space="preserve">- IB2: Tumor confined to the cervix, stromal invasion depth ≥5 mm, and maximum tumor diameter &gt;2 cm but ≤4 cm (document fragment 11: "IB2 stage: maximum tumor diameter ≥2cm but &lt;4cm"; document fragment 19: "T1b2 (FIGO IB2 stage): maximum diameter &gt;2cm, ≤4cm").  </w:t>
            </w:r>
            <w:r w:rsidRPr="00CB2EC4">
              <w:rPr>
                <w:rFonts w:ascii="Times New Roman" w:hAnsi="Times New Roman" w:cs="Times New Roman"/>
              </w:rPr>
              <w:br/>
              <w:t xml:space="preserve">- IB3: Tumor confined to the cervix, stromal invasion depth ≥5 mm, and maximum tumor diameter &gt;4 cm (document fragment 11: "IB3 stage: maximum tumor diameter ≥4cm"; document fragment 19: "T1b3 (FIGO IB3 stage): maximum diameter &gt;4cm").  </w:t>
            </w:r>
            <w:r w:rsidRPr="00CB2EC4">
              <w:rPr>
                <w:rFonts w:ascii="Times New Roman" w:hAnsi="Times New Roman" w:cs="Times New Roman"/>
              </w:rPr>
              <w:br/>
              <w:t xml:space="preserve">- Key point: These substages are based solely on maximum tumor diameter and do not consider horizontal spread width or lymphovascular space invasion (LVSI), though LVSI may influence treatment decisions (document fragment 6: "Lymphovascular space invasion does not alter staging but may affect treatment decisions"). Stage </w:t>
            </w:r>
            <w:r w:rsidRPr="00CB2EC4">
              <w:rPr>
                <w:rFonts w:ascii="Times New Roman" w:hAnsi="Times New Roman" w:cs="Times New Roman"/>
              </w:rPr>
              <w:lastRenderedPageBreak/>
              <w:t xml:space="preserve">must be determined at initial treatment and cannot be changed thereafter (document fragment 3: "Final staging is determined after obtaining all imaging and pathological data and cannot be revised thereafter").  </w:t>
            </w:r>
            <w:r w:rsidRPr="00CB2EC4">
              <w:rPr>
                <w:rFonts w:ascii="Times New Roman" w:hAnsi="Times New Roman" w:cs="Times New Roman"/>
              </w:rPr>
              <w:br/>
            </w:r>
            <w:r w:rsidRPr="00CB2EC4">
              <w:rPr>
                <w:rFonts w:ascii="Times New Roman" w:hAnsi="Times New Roman" w:cs="Times New Roman"/>
              </w:rPr>
              <w:br/>
              <w:t>In summary, IB1, IB2, and IB3 differ only in maximum tumor diameter: IB1 ≤2 cm, IB2 &gt;2 cm but ≤4 cm, IB3 &gt;4 cm, with all substages requiring stromal invasion depth ≥5 mm.</w:t>
            </w:r>
          </w:p>
        </w:tc>
        <w:tc>
          <w:tcPr>
            <w:tcW w:w="1152" w:type="dxa"/>
            <w:vAlign w:val="center"/>
          </w:tcPr>
          <w:p w14:paraId="6C777A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9CC2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E46E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0A75A9" w14:textId="77777777">
        <w:tc>
          <w:tcPr>
            <w:tcW w:w="2160" w:type="dxa"/>
            <w:vAlign w:val="center"/>
          </w:tcPr>
          <w:p w14:paraId="778CCA1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F3145A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IB1: Tumor confined to the cervix with a maximum diameter ≤ 2 cm.  </w:t>
            </w:r>
            <w:r w:rsidRPr="00CB2EC4">
              <w:rPr>
                <w:rFonts w:ascii="Times New Roman" w:hAnsi="Times New Roman" w:cs="Times New Roman"/>
              </w:rPr>
              <w:br/>
              <w:t xml:space="preserve">IB2: Tumor confined to the cervix with a maximum diameter &gt; 2 cm but &lt; 4 cm.  </w:t>
            </w:r>
            <w:r w:rsidRPr="00CB2EC4">
              <w:rPr>
                <w:rFonts w:ascii="Times New Roman" w:hAnsi="Times New Roman" w:cs="Times New Roman"/>
              </w:rPr>
              <w:br/>
              <w:t xml:space="preserve">IB3: Tumor confined to the cervix with a maximum diameter ≥ 4 cm.  </w:t>
            </w:r>
            <w:r w:rsidRPr="00CB2EC4">
              <w:rPr>
                <w:rFonts w:ascii="Times New Roman" w:hAnsi="Times New Roman" w:cs="Times New Roman"/>
              </w:rPr>
              <w:br/>
            </w:r>
            <w:r w:rsidRPr="00CB2EC4">
              <w:rPr>
                <w:rFonts w:ascii="Times New Roman" w:hAnsi="Times New Roman" w:cs="Times New Roman"/>
              </w:rPr>
              <w:br/>
              <w:t>(Note: All subdivisions of IB stage are based solely on the maximum tumor diameter measured horizontally; stromal invasion depth &gt;5 mm is required for IB stage but is not used to differentiate IB1, IB2, or IB3. Tumor size must be confirmed by clinical examination or imaging such as MRI.)</w:t>
            </w:r>
          </w:p>
        </w:tc>
        <w:tc>
          <w:tcPr>
            <w:tcW w:w="1152" w:type="dxa"/>
            <w:vAlign w:val="center"/>
          </w:tcPr>
          <w:p w14:paraId="504A9A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0C36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9C87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9C1593" w14:textId="77777777">
        <w:tc>
          <w:tcPr>
            <w:tcW w:w="2160" w:type="dxa"/>
            <w:vAlign w:val="center"/>
          </w:tcPr>
          <w:p w14:paraId="6050AB0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1BD6B08" w14:textId="77777777" w:rsidR="00922249" w:rsidRPr="00CB2EC4" w:rsidRDefault="003011D5">
            <w:pPr>
              <w:rPr>
                <w:rFonts w:ascii="Times New Roman" w:hAnsi="Times New Roman" w:cs="Times New Roman"/>
              </w:rPr>
            </w:pPr>
            <w:r w:rsidRPr="00CB2EC4">
              <w:rPr>
                <w:rFonts w:ascii="Times New Roman" w:hAnsi="Times New Roman" w:cs="Times New Roman"/>
              </w:rPr>
              <w:t>The FIGO 2018 staging subdivides stage IB into IB1, IB2, and IB3. The specific diagnostic criteria are as follows:</w:t>
            </w:r>
            <w:r w:rsidRPr="00CB2EC4">
              <w:rPr>
                <w:rFonts w:ascii="Times New Roman" w:hAnsi="Times New Roman" w:cs="Times New Roman"/>
              </w:rPr>
              <w:br/>
            </w:r>
            <w:r w:rsidRPr="00CB2EC4">
              <w:rPr>
                <w:rFonts w:ascii="Times New Roman" w:hAnsi="Times New Roman" w:cs="Times New Roman"/>
              </w:rPr>
              <w:br/>
              <w:t>- IB1: stromal invasion depth ≥5 mm, with the maximum tumor diameter &lt;2 cm.</w:t>
            </w:r>
            <w:r w:rsidRPr="00CB2EC4">
              <w:rPr>
                <w:rFonts w:ascii="Times New Roman" w:hAnsi="Times New Roman" w:cs="Times New Roman"/>
              </w:rPr>
              <w:br/>
              <w:t>- IB2: maximum tumor diameter ≥2 cm but &lt;4 cm.</w:t>
            </w:r>
            <w:r w:rsidRPr="00CB2EC4">
              <w:rPr>
                <w:rFonts w:ascii="Times New Roman" w:hAnsi="Times New Roman" w:cs="Times New Roman"/>
              </w:rPr>
              <w:br/>
              <w:t>- IB3: maximum tumor diameter ≥4 cm.</w:t>
            </w:r>
            <w:r w:rsidRPr="00CB2EC4">
              <w:rPr>
                <w:rFonts w:ascii="Times New Roman" w:hAnsi="Times New Roman" w:cs="Times New Roman"/>
              </w:rPr>
              <w:br/>
            </w:r>
            <w:r w:rsidRPr="00CB2EC4">
              <w:rPr>
                <w:rFonts w:ascii="Times New Roman" w:hAnsi="Times New Roman" w:cs="Times New Roman"/>
              </w:rPr>
              <w:br/>
              <w:t xml:space="preserve">All IB stages refer to invasive cancer with infiltration depth &gt;5 mm (beyond stage IA) but confined to the </w:t>
            </w:r>
            <w:r w:rsidRPr="00CB2EC4">
              <w:rPr>
                <w:rFonts w:ascii="Times New Roman" w:hAnsi="Times New Roman" w:cs="Times New Roman"/>
              </w:rPr>
              <w:lastRenderedPageBreak/>
              <w:t>cervix. The revised staging no longer considers the horizontal spread of infiltration (due to susceptibility to human factors), and tumor extension to the uterine corpus does not affect staging.</w:t>
            </w:r>
            <w:r w:rsidRPr="00CB2EC4">
              <w:rPr>
                <w:rFonts w:ascii="Times New Roman" w:hAnsi="Times New Roman" w:cs="Times New Roman"/>
              </w:rPr>
              <w:br/>
            </w:r>
            <w:r w:rsidRPr="00CB2EC4">
              <w:rPr>
                <w:rFonts w:ascii="Times New Roman" w:hAnsi="Times New Roman" w:cs="Times New Roman"/>
              </w:rPr>
              <w:br/>
              <w:t>For example, in the [HyDE similarity: 0.624] segment: "stage IB is invasive cancer with infiltration depth greater than 5 mm (beyond stage IA), but the tumor remains confined to the cervix, specifically subdivided as: IB1: stromal invasion depth ≥5 mm, maximum tumor diameter &lt;2 cm; IB2: maximum tumor diameter ≥2 cm but &lt;4 cm; IB3: maximum tumor diameter ≥4 cm." Other segments such as [HyDE similarity: 0.623] also confirm this subdivision.</w:t>
            </w:r>
          </w:p>
        </w:tc>
        <w:tc>
          <w:tcPr>
            <w:tcW w:w="1152" w:type="dxa"/>
            <w:vAlign w:val="center"/>
          </w:tcPr>
          <w:p w14:paraId="2ABFDC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D820A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C884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AF4D61" w14:textId="77777777">
        <w:tc>
          <w:tcPr>
            <w:tcW w:w="2160" w:type="dxa"/>
            <w:vAlign w:val="center"/>
          </w:tcPr>
          <w:p w14:paraId="49F48577"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4B0F0A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FIGO 2018 staging subdivides stage IB into IB1, IB2, and IB3. The specific diagnostic criteria are as follows:  </w:t>
            </w:r>
            <w:r w:rsidRPr="00CB2EC4">
              <w:rPr>
                <w:rFonts w:ascii="Times New Roman" w:hAnsi="Times New Roman" w:cs="Times New Roman"/>
              </w:rPr>
              <w:br/>
              <w:t xml:space="preserve">- IB1: Stromal invasion depth ≥5 mm (beyond IA stage), and maximum tumor diameter &lt;2 cm (Document fragment 3: IB1: stromal invasion depth ≥5mm, maximum tumor diameter &lt;2cm; Document fragment 11: T1b1 (FIGO IB1): stromal invasion depth &gt;5mm, maximum diameter ≤2cm).  </w:t>
            </w:r>
            <w:r w:rsidRPr="00CB2EC4">
              <w:rPr>
                <w:rFonts w:ascii="Times New Roman" w:hAnsi="Times New Roman" w:cs="Times New Roman"/>
              </w:rPr>
              <w:br/>
              <w:t xml:space="preserve">- IB2: Stromal invasion depth ≥5 mm, and maximum tumor diameter ≥2 cm but &lt;4 cm (Document fragment 3: IB2: tumor maximum diameter ≥2cm but &lt;4cm; Document fragment 11: T1b2 (FIGO IB2): maximum diameter &gt;2cm, ≤4cm).  </w:t>
            </w:r>
            <w:r w:rsidRPr="00CB2EC4">
              <w:rPr>
                <w:rFonts w:ascii="Times New Roman" w:hAnsi="Times New Roman" w:cs="Times New Roman"/>
              </w:rPr>
              <w:br/>
              <w:t xml:space="preserve">- IB3: Stromal invasion depth ≥5 mm, and maximum tumor diameter ≥4 cm (Document fragment 3: IB3: tumor maximum diameter ≥4cm; Document fragment 11: T1b3 (FIGO IB3): maximum diameter &gt;4cm).  </w:t>
            </w:r>
            <w:r w:rsidRPr="00CB2EC4">
              <w:rPr>
                <w:rFonts w:ascii="Times New Roman" w:hAnsi="Times New Roman" w:cs="Times New Roman"/>
              </w:rPr>
              <w:br/>
              <w:t xml:space="preserve">- Key point: All stage IB tumors are confined to the </w:t>
            </w:r>
            <w:r w:rsidRPr="00CB2EC4">
              <w:rPr>
                <w:rFonts w:ascii="Times New Roman" w:hAnsi="Times New Roman" w:cs="Times New Roman"/>
              </w:rPr>
              <w:lastRenderedPageBreak/>
              <w:t>cervix uteri (regardless of involvement of the corpus), with invasion depth measured from the basement membrane (Document fragment 3). Lymphovascular space invasion (LVSI) does not alter the stage (Document fragment 4).</w:t>
            </w:r>
          </w:p>
        </w:tc>
        <w:tc>
          <w:tcPr>
            <w:tcW w:w="1152" w:type="dxa"/>
            <w:vAlign w:val="center"/>
          </w:tcPr>
          <w:p w14:paraId="530C5E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C9FAF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1DC2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ABC8F4" w14:textId="77777777">
        <w:tc>
          <w:tcPr>
            <w:tcW w:w="2160" w:type="dxa"/>
            <w:vAlign w:val="center"/>
          </w:tcPr>
          <w:p w14:paraId="4D3866F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7D20A30" w14:textId="77777777" w:rsidR="00922249" w:rsidRPr="00CB2EC4" w:rsidRDefault="003011D5">
            <w:pPr>
              <w:rPr>
                <w:rFonts w:ascii="Times New Roman" w:hAnsi="Times New Roman" w:cs="Times New Roman"/>
              </w:rPr>
            </w:pPr>
            <w:r w:rsidRPr="00CB2EC4">
              <w:rPr>
                <w:rFonts w:ascii="Times New Roman" w:hAnsi="Times New Roman" w:cs="Times New Roman"/>
              </w:rPr>
              <w:t>The FIGO 2018 staging subdivides stage IB into IB1, IB2, and IB3. The specific diagnostic criteria are as follows:</w:t>
            </w:r>
            <w:r w:rsidRPr="00CB2EC4">
              <w:rPr>
                <w:rFonts w:ascii="Times New Roman" w:hAnsi="Times New Roman" w:cs="Times New Roman"/>
              </w:rPr>
              <w:br/>
            </w:r>
            <w:r w:rsidRPr="00CB2EC4">
              <w:rPr>
                <w:rFonts w:ascii="Times New Roman" w:hAnsi="Times New Roman" w:cs="Times New Roman"/>
              </w:rPr>
              <w:br/>
              <w:t xml:space="preserve">Stage IB is defined as: Invasion depth &gt;5 mm (beyond stage IA), with tumor confined to the cervix (segments 7, 10).  </w:t>
            </w:r>
            <w:r w:rsidRPr="00CB2EC4">
              <w:rPr>
                <w:rFonts w:ascii="Times New Roman" w:hAnsi="Times New Roman" w:cs="Times New Roman"/>
              </w:rPr>
              <w:br/>
              <w:t xml:space="preserve">  - Stage IB1: Tumor maximum diameter ≤2 cm (segments 7, 10, 13).  </w:t>
            </w:r>
            <w:r w:rsidRPr="00CB2EC4">
              <w:rPr>
                <w:rFonts w:ascii="Times New Roman" w:hAnsi="Times New Roman" w:cs="Times New Roman"/>
              </w:rPr>
              <w:br/>
              <w:t xml:space="preserve">  - Stage IB2: Tumor maximum diameter &gt;2 cm but &lt;4 cm (segments 7, 10, 13).  </w:t>
            </w:r>
            <w:r w:rsidRPr="00CB2EC4">
              <w:rPr>
                <w:rFonts w:ascii="Times New Roman" w:hAnsi="Times New Roman" w:cs="Times New Roman"/>
              </w:rPr>
              <w:br/>
              <w:t xml:space="preserve">  - Stage IB3: Tumor maximum diameter ≥4 cm (segments 7, 10, 13).  </w:t>
            </w:r>
            <w:r w:rsidRPr="00CB2EC4">
              <w:rPr>
                <w:rFonts w:ascii="Times New Roman" w:hAnsi="Times New Roman" w:cs="Times New Roman"/>
              </w:rPr>
              <w:br/>
            </w:r>
            <w:r w:rsidRPr="00CB2EC4">
              <w:rPr>
                <w:rFonts w:ascii="Times New Roman" w:hAnsi="Times New Roman" w:cs="Times New Roman"/>
              </w:rPr>
              <w:br/>
              <w:t>&gt; Basis: Segment 7 (Table 1 FIGO 2018 staging) and segment 10 ("Subdivided into IB1, IB2, and IB3 based on the maximum diameter of the lesion").</w:t>
            </w:r>
          </w:p>
        </w:tc>
        <w:tc>
          <w:tcPr>
            <w:tcW w:w="1152" w:type="dxa"/>
            <w:vAlign w:val="center"/>
          </w:tcPr>
          <w:p w14:paraId="1FDD96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EC15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FD83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67FD72" w14:textId="77777777">
        <w:tc>
          <w:tcPr>
            <w:tcW w:w="2160" w:type="dxa"/>
            <w:vAlign w:val="center"/>
          </w:tcPr>
          <w:p w14:paraId="7E491C97"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5DAD8E5" w14:textId="77777777" w:rsidR="00922249" w:rsidRPr="00CB2EC4" w:rsidRDefault="003011D5">
            <w:pPr>
              <w:rPr>
                <w:rFonts w:ascii="Times New Roman" w:hAnsi="Times New Roman" w:cs="Times New Roman"/>
              </w:rPr>
            </w:pPr>
            <w:r w:rsidRPr="00CB2EC4">
              <w:rPr>
                <w:rFonts w:ascii="Times New Roman" w:hAnsi="Times New Roman" w:cs="Times New Roman"/>
              </w:rPr>
              <w:t>The FIGO 2018 staging subdivides stage IB into IB1, IB2, and IB3. The specific diagnostic criteria for these three substages are as follows:</w:t>
            </w:r>
            <w:r w:rsidRPr="00CB2EC4">
              <w:rPr>
                <w:rFonts w:ascii="Times New Roman" w:hAnsi="Times New Roman" w:cs="Times New Roman"/>
              </w:rPr>
              <w:br/>
            </w:r>
            <w:r w:rsidRPr="00CB2EC4">
              <w:rPr>
                <w:rFonts w:ascii="Times New Roman" w:hAnsi="Times New Roman" w:cs="Times New Roman"/>
              </w:rPr>
              <w:br/>
              <w:t xml:space="preserve">- **IB1**: Invasive carcinoma with stromal invasion depth ≥5 mm (exceeding IA stage) and the lesion confined to the cervix; maximum tumor diameter &lt;2 cm.  </w:t>
            </w:r>
            <w:r w:rsidRPr="00CB2EC4">
              <w:rPr>
                <w:rFonts w:ascii="Times New Roman" w:hAnsi="Times New Roman" w:cs="Times New Roman"/>
              </w:rPr>
              <w:br/>
              <w:t xml:space="preserve">- **IB2**: Invasive carcinoma confined to the cervix; maximum tumor diameter ≥2 cm but &lt;4 cm.  </w:t>
            </w:r>
            <w:r w:rsidRPr="00CB2EC4">
              <w:rPr>
                <w:rFonts w:ascii="Times New Roman" w:hAnsi="Times New Roman" w:cs="Times New Roman"/>
              </w:rPr>
              <w:br/>
              <w:t xml:space="preserve">- **IB3**: Invasive carcinoma confined to the cervix; </w:t>
            </w:r>
            <w:r w:rsidRPr="00CB2EC4">
              <w:rPr>
                <w:rFonts w:ascii="Times New Roman" w:hAnsi="Times New Roman" w:cs="Times New Roman"/>
              </w:rPr>
              <w:lastRenderedPageBreak/>
              <w:t>maximum tumor diameter ≥4 cm.</w:t>
            </w:r>
            <w:r w:rsidRPr="00CB2EC4">
              <w:rPr>
                <w:rFonts w:ascii="Times New Roman" w:hAnsi="Times New Roman" w:cs="Times New Roman"/>
              </w:rPr>
              <w:br/>
            </w:r>
            <w:r w:rsidRPr="00CB2EC4">
              <w:rPr>
                <w:rFonts w:ascii="Times New Roman" w:hAnsi="Times New Roman" w:cs="Times New Roman"/>
              </w:rPr>
              <w:br/>
              <w:t>This subdivision aids in guiding treatment decisions (e.g., extent of surgery) and influences prognosis assessment (larger tumor size correlates with worse prognosis).</w:t>
            </w:r>
          </w:p>
        </w:tc>
        <w:tc>
          <w:tcPr>
            <w:tcW w:w="1152" w:type="dxa"/>
            <w:vAlign w:val="center"/>
          </w:tcPr>
          <w:p w14:paraId="47BFB5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0ACDB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63DE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688602" w14:textId="77777777">
        <w:tc>
          <w:tcPr>
            <w:tcW w:w="2160" w:type="dxa"/>
            <w:vAlign w:val="center"/>
          </w:tcPr>
          <w:p w14:paraId="6C72F27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0CD1A19" w14:textId="77777777" w:rsidR="00922249" w:rsidRPr="00CB2EC4" w:rsidRDefault="003011D5">
            <w:pPr>
              <w:rPr>
                <w:rFonts w:ascii="Times New Roman" w:hAnsi="Times New Roman" w:cs="Times New Roman"/>
              </w:rPr>
            </w:pPr>
            <w:r w:rsidRPr="00CB2EC4">
              <w:rPr>
                <w:rFonts w:ascii="Times New Roman" w:hAnsi="Times New Roman" w:cs="Times New Roman"/>
              </w:rPr>
              <w:t>FIGO 2018 staging subdivides stage IB into IB1, IB2, and IB3. The specific diagnostic criteria for these three substages are as follows:</w:t>
            </w:r>
            <w:r w:rsidRPr="00CB2EC4">
              <w:rPr>
                <w:rFonts w:ascii="Times New Roman" w:hAnsi="Times New Roman" w:cs="Times New Roman"/>
              </w:rPr>
              <w:br/>
            </w:r>
            <w:r w:rsidRPr="00CB2EC4">
              <w:rPr>
                <w:rFonts w:ascii="Times New Roman" w:hAnsi="Times New Roman" w:cs="Times New Roman"/>
              </w:rPr>
              <w:br/>
              <w:t xml:space="preserve">- IB1: Tumor maximum diameter ≤ 2 cm, and stromal invasion depth ≥ 5 mm (measured from the basement membrane or gland).  </w:t>
            </w:r>
            <w:r w:rsidRPr="00CB2EC4">
              <w:rPr>
                <w:rFonts w:ascii="Times New Roman" w:hAnsi="Times New Roman" w:cs="Times New Roman"/>
              </w:rPr>
              <w:br/>
              <w:t xml:space="preserve">  Document reference: "IB1 stage: stromal invasion depth ≥ 5 mm, maximum tumor diameter &lt; 2 cm" and "T1b1 (FIGO IB1): stromal invasion depth &gt; 5 mm, maximum diameter ≤ 2 cm".</w:t>
            </w:r>
            <w:r w:rsidRPr="00CB2EC4">
              <w:rPr>
                <w:rFonts w:ascii="Times New Roman" w:hAnsi="Times New Roman" w:cs="Times New Roman"/>
              </w:rPr>
              <w:br/>
            </w:r>
            <w:r w:rsidRPr="00CB2EC4">
              <w:rPr>
                <w:rFonts w:ascii="Times New Roman" w:hAnsi="Times New Roman" w:cs="Times New Roman"/>
              </w:rPr>
              <w:br/>
              <w:t xml:space="preserve">- IB2: Tumor maximum diameter &gt; 2 cm but ≤ 4 cm, and stromal invasion depth ≥ 5 mm.  </w:t>
            </w:r>
            <w:r w:rsidRPr="00CB2EC4">
              <w:rPr>
                <w:rFonts w:ascii="Times New Roman" w:hAnsi="Times New Roman" w:cs="Times New Roman"/>
              </w:rPr>
              <w:br/>
              <w:t xml:space="preserve">  Document reference: "IB2 stage: maximum tumor diameter ≥ 2 cm but &lt; 4 cm" and "T1b2 (FIGO IB2): maximum diameter &gt; 2 cm, ≤ 4 cm".</w:t>
            </w:r>
            <w:r w:rsidRPr="00CB2EC4">
              <w:rPr>
                <w:rFonts w:ascii="Times New Roman" w:hAnsi="Times New Roman" w:cs="Times New Roman"/>
              </w:rPr>
              <w:br/>
            </w:r>
            <w:r w:rsidRPr="00CB2EC4">
              <w:rPr>
                <w:rFonts w:ascii="Times New Roman" w:hAnsi="Times New Roman" w:cs="Times New Roman"/>
              </w:rPr>
              <w:br/>
              <w:t xml:space="preserve">- IB3: Tumor maximum diameter ≥ 4 cm, and stromal invasion depth ≥ 5 mm.  </w:t>
            </w:r>
            <w:r w:rsidRPr="00CB2EC4">
              <w:rPr>
                <w:rFonts w:ascii="Times New Roman" w:hAnsi="Times New Roman" w:cs="Times New Roman"/>
              </w:rPr>
              <w:br/>
              <w:t xml:space="preserve">  Document reference: "IB3 stage: maximum tumor diameter ≥ 4 cm" and "T1b3 (FIGO IB3): maximum diameter &gt; 4 cm".</w:t>
            </w:r>
            <w:r w:rsidRPr="00CB2EC4">
              <w:rPr>
                <w:rFonts w:ascii="Times New Roman" w:hAnsi="Times New Roman" w:cs="Times New Roman"/>
              </w:rPr>
              <w:br/>
            </w:r>
            <w:r w:rsidRPr="00CB2EC4">
              <w:rPr>
                <w:rFonts w:ascii="Times New Roman" w:hAnsi="Times New Roman" w:cs="Times New Roman"/>
              </w:rPr>
              <w:br/>
              <w:t xml:space="preserve">These subdivisions are based on tumor size, with no consideration of horizontal spread (document states: "The new staging clarifies that both imaging and pathological findings can be used for staging", and </w:t>
            </w:r>
            <w:r w:rsidRPr="00CB2EC4">
              <w:rPr>
                <w:rFonts w:ascii="Times New Roman" w:hAnsi="Times New Roman" w:cs="Times New Roman"/>
              </w:rPr>
              <w:lastRenderedPageBreak/>
              <w:t>"Invasion depth is measured downward from the basement membrane or gland of origin of the primary lesion"). Lower stage correlates with better prognosis, while IB3 carries a poorer prognosis.</w:t>
            </w:r>
          </w:p>
        </w:tc>
        <w:tc>
          <w:tcPr>
            <w:tcW w:w="1152" w:type="dxa"/>
            <w:vAlign w:val="center"/>
          </w:tcPr>
          <w:p w14:paraId="276EFA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7902D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3230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9CAAA46" w14:textId="77777777">
        <w:tc>
          <w:tcPr>
            <w:tcW w:w="2160" w:type="dxa"/>
            <w:vAlign w:val="center"/>
          </w:tcPr>
          <w:p w14:paraId="4DE9C6EE"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C8167E3" w14:textId="77777777" w:rsidR="00922249" w:rsidRPr="00CB2EC4" w:rsidRDefault="003011D5">
            <w:pPr>
              <w:rPr>
                <w:rFonts w:ascii="Times New Roman" w:hAnsi="Times New Roman" w:cs="Times New Roman"/>
              </w:rPr>
            </w:pPr>
            <w:r w:rsidRPr="00CB2EC4">
              <w:rPr>
                <w:rFonts w:ascii="Times New Roman" w:hAnsi="Times New Roman" w:cs="Times New Roman"/>
              </w:rPr>
              <w:t>The FIGO 2018 staging system subdivides stage IB into IB1, IB2, and IB3. The specific diagnostic criteria for these three substages are as follows:</w:t>
            </w:r>
            <w:r w:rsidRPr="00CB2EC4">
              <w:rPr>
                <w:rFonts w:ascii="Times New Roman" w:hAnsi="Times New Roman" w:cs="Times New Roman"/>
              </w:rPr>
              <w:br/>
            </w:r>
            <w:r w:rsidRPr="00CB2EC4">
              <w:rPr>
                <w:rFonts w:ascii="Times New Roman" w:hAnsi="Times New Roman" w:cs="Times New Roman"/>
              </w:rPr>
              <w:br/>
              <w:t>- IB1: Stromal invasion depth ≥5 mm, with maximum tumor diameter &lt;2 cm.</w:t>
            </w:r>
            <w:r w:rsidRPr="00CB2EC4">
              <w:rPr>
                <w:rFonts w:ascii="Times New Roman" w:hAnsi="Times New Roman" w:cs="Times New Roman"/>
              </w:rPr>
              <w:br/>
              <w:t>- IB2: Stromal invasion depth ≥5 mm, with maximum tumor diameter ≥2 cm but &lt;4 cm.</w:t>
            </w:r>
            <w:r w:rsidRPr="00CB2EC4">
              <w:rPr>
                <w:rFonts w:ascii="Times New Roman" w:hAnsi="Times New Roman" w:cs="Times New Roman"/>
              </w:rPr>
              <w:br/>
              <w:t>- IB3: Stromal invasion depth ≥5 mm, with maximum tumor diameter ≥4 cm.</w:t>
            </w:r>
            <w:r w:rsidRPr="00CB2EC4">
              <w:rPr>
                <w:rFonts w:ascii="Times New Roman" w:hAnsi="Times New Roman" w:cs="Times New Roman"/>
              </w:rPr>
              <w:br/>
              <w:t>- Key point: Tumor size is the primary distinguishing criterion; invasion depth is measured from the basement membrane or gland. Lymphovascular space invasion (LVSI) does not alter the stage but may influence treatment decisions.</w:t>
            </w:r>
          </w:p>
        </w:tc>
        <w:tc>
          <w:tcPr>
            <w:tcW w:w="1152" w:type="dxa"/>
            <w:vAlign w:val="center"/>
          </w:tcPr>
          <w:p w14:paraId="2B7B37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11A5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0812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D10EF91" w14:textId="77777777">
        <w:tc>
          <w:tcPr>
            <w:tcW w:w="2160" w:type="dxa"/>
            <w:vAlign w:val="center"/>
          </w:tcPr>
          <w:p w14:paraId="3EF2FE4B"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B126C4D" w14:textId="77777777" w:rsidR="00922249" w:rsidRPr="00CB2EC4" w:rsidRDefault="003011D5">
            <w:pPr>
              <w:rPr>
                <w:rFonts w:ascii="Times New Roman" w:hAnsi="Times New Roman" w:cs="Times New Roman"/>
              </w:rPr>
            </w:pPr>
            <w:r w:rsidRPr="00CB2EC4">
              <w:rPr>
                <w:rFonts w:ascii="Times New Roman" w:hAnsi="Times New Roman" w:cs="Times New Roman"/>
              </w:rPr>
              <w:t>FIGO 2018 staging subdivides stage IB into IB1, IB2, and IB3. The specific diagnostic criteria for these three substages are as follows:</w:t>
            </w:r>
            <w:r w:rsidRPr="00CB2EC4">
              <w:rPr>
                <w:rFonts w:ascii="Times New Roman" w:hAnsi="Times New Roman" w:cs="Times New Roman"/>
              </w:rPr>
              <w:br/>
            </w:r>
            <w:r w:rsidRPr="00CB2EC4">
              <w:rPr>
                <w:rFonts w:ascii="Times New Roman" w:hAnsi="Times New Roman" w:cs="Times New Roman"/>
              </w:rPr>
              <w:br/>
              <w:t>- **Stage IB (overall definition)**: Invasive carcinoma with stromal invasion depth greater than 5 mm (beyond IA), but the tumor is confined to the cervix (ignoring extension to the uterine corpus).</w:t>
            </w:r>
            <w:r w:rsidRPr="00CB2EC4">
              <w:rPr>
                <w:rFonts w:ascii="Times New Roman" w:hAnsi="Times New Roman" w:cs="Times New Roman"/>
              </w:rPr>
              <w:br/>
            </w:r>
            <w:r w:rsidRPr="00CB2EC4">
              <w:rPr>
                <w:rFonts w:ascii="Times New Roman" w:hAnsi="Times New Roman" w:cs="Times New Roman"/>
              </w:rPr>
              <w:br/>
              <w:t>- **IB1**: Stromal invasion depth ≥5 mm, and maximum tumor diameter &lt;2 cm.</w:t>
            </w:r>
            <w:r w:rsidRPr="00CB2EC4">
              <w:rPr>
                <w:rFonts w:ascii="Times New Roman" w:hAnsi="Times New Roman" w:cs="Times New Roman"/>
              </w:rPr>
              <w:br/>
              <w:t>- **IB2**: Stromal invasion depth ≥5 mm, and maximum tumor diameter ≥2 cm but &lt;4 cm.</w:t>
            </w:r>
            <w:r w:rsidRPr="00CB2EC4">
              <w:rPr>
                <w:rFonts w:ascii="Times New Roman" w:hAnsi="Times New Roman" w:cs="Times New Roman"/>
              </w:rPr>
              <w:br/>
              <w:t xml:space="preserve">- **IB3**: Stromal invasion depth ≥5 mm, and </w:t>
            </w:r>
            <w:r w:rsidRPr="00CB2EC4">
              <w:rPr>
                <w:rFonts w:ascii="Times New Roman" w:hAnsi="Times New Roman" w:cs="Times New Roman"/>
              </w:rPr>
              <w:lastRenderedPageBreak/>
              <w:t>maximum tumor diameter ≥4 cm.</w:t>
            </w:r>
            <w:r w:rsidRPr="00CB2EC4">
              <w:rPr>
                <w:rFonts w:ascii="Times New Roman" w:hAnsi="Times New Roman" w:cs="Times New Roman"/>
              </w:rPr>
              <w:br/>
            </w:r>
            <w:r w:rsidRPr="00CB2EC4">
              <w:rPr>
                <w:rFonts w:ascii="Times New Roman" w:hAnsi="Times New Roman" w:cs="Times New Roman"/>
              </w:rPr>
              <w:br/>
              <w:t>These criteria emphasize tumor size as the primary distinguishing factor; the revised staging no longer considers horizontal spread width due to its susceptibility to many artificial factors.</w:t>
            </w:r>
          </w:p>
        </w:tc>
        <w:tc>
          <w:tcPr>
            <w:tcW w:w="1152" w:type="dxa"/>
            <w:vAlign w:val="center"/>
          </w:tcPr>
          <w:p w14:paraId="5CD16C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938D8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E7D6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4EEF1B" w14:textId="77777777">
        <w:tc>
          <w:tcPr>
            <w:tcW w:w="2160" w:type="dxa"/>
            <w:vAlign w:val="center"/>
          </w:tcPr>
          <w:p w14:paraId="5DC35861"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A225EC0" w14:textId="77777777" w:rsidR="00922249" w:rsidRPr="00CB2EC4" w:rsidRDefault="003011D5">
            <w:pPr>
              <w:rPr>
                <w:rFonts w:ascii="Times New Roman" w:hAnsi="Times New Roman" w:cs="Times New Roman"/>
              </w:rPr>
            </w:pPr>
            <w:r w:rsidRPr="00CB2EC4">
              <w:rPr>
                <w:rFonts w:ascii="Times New Roman" w:hAnsi="Times New Roman" w:cs="Times New Roman"/>
              </w:rPr>
              <w:t>the FIGO 2018 staging subdivides stage IB into IB1, IB2, and IB3. the specific diagnostic criteria for these three substages are as follows:</w:t>
            </w:r>
            <w:r w:rsidRPr="00CB2EC4">
              <w:rPr>
                <w:rFonts w:ascii="Times New Roman" w:hAnsi="Times New Roman" w:cs="Times New Roman"/>
              </w:rPr>
              <w:br/>
            </w:r>
            <w:r w:rsidRPr="00CB2EC4">
              <w:rPr>
                <w:rFonts w:ascii="Times New Roman" w:hAnsi="Times New Roman" w:cs="Times New Roman"/>
              </w:rPr>
              <w:br/>
              <w:t>- overall definition of stage IB: tumor confined to the cervix uteri, with stromal invasion &gt;5 mm or horizontal spread &gt;7 mm (i.e., beyond stage IA), but no parametrial or lower vaginal segment involvement.</w:t>
            </w:r>
            <w:r w:rsidRPr="00CB2EC4">
              <w:rPr>
                <w:rFonts w:ascii="Times New Roman" w:hAnsi="Times New Roman" w:cs="Times New Roman"/>
              </w:rPr>
              <w:br/>
              <w:t>- subdivision diagnostic criteria:</w:t>
            </w:r>
            <w:r w:rsidRPr="00CB2EC4">
              <w:rPr>
                <w:rFonts w:ascii="Times New Roman" w:hAnsi="Times New Roman" w:cs="Times New Roman"/>
              </w:rPr>
              <w:br/>
              <w:t xml:space="preserve">  - stage IB1: tumor size ≤2 cm in greatest dimension.</w:t>
            </w:r>
            <w:r w:rsidRPr="00CB2EC4">
              <w:rPr>
                <w:rFonts w:ascii="Times New Roman" w:hAnsi="Times New Roman" w:cs="Times New Roman"/>
              </w:rPr>
              <w:br/>
              <w:t xml:space="preserve">  - stage IB2: tumor size &gt;2 cm but ≤4 cm in greatest dimension.</w:t>
            </w:r>
            <w:r w:rsidRPr="00CB2EC4">
              <w:rPr>
                <w:rFonts w:ascii="Times New Roman" w:hAnsi="Times New Roman" w:cs="Times New Roman"/>
              </w:rPr>
              <w:br/>
              <w:t xml:space="preserve">  - stage IB3: tumor size &gt;4 cm in greatest dimension.</w:t>
            </w:r>
            <w:r w:rsidRPr="00CB2EC4">
              <w:rPr>
                <w:rFonts w:ascii="Times New Roman" w:hAnsi="Times New Roman" w:cs="Times New Roman"/>
              </w:rPr>
              <w:br/>
              <w:t>- these criteria are based on clinical examination (e.g., gynecologic examination) and/or imaging assessment (e.g., MRI); tumor size is measured by the maximum horizontal diameter.</w:t>
            </w:r>
          </w:p>
        </w:tc>
        <w:tc>
          <w:tcPr>
            <w:tcW w:w="1152" w:type="dxa"/>
            <w:vAlign w:val="center"/>
          </w:tcPr>
          <w:p w14:paraId="0399B9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B7218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317FC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38AF4C5" w14:textId="77777777">
        <w:tc>
          <w:tcPr>
            <w:tcW w:w="10656" w:type="dxa"/>
            <w:gridSpan w:val="5"/>
            <w:tcBorders>
              <w:bottom w:val="single" w:sz="6" w:space="0" w:color="auto"/>
            </w:tcBorders>
            <w:vAlign w:val="center"/>
          </w:tcPr>
          <w:p w14:paraId="7137C4E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48: According to the FIGO 2018 staging system, what is the main difference between Stage IA1 and Stage IA2?</w:t>
            </w:r>
          </w:p>
        </w:tc>
      </w:tr>
      <w:tr w:rsidR="00922249" w:rsidRPr="00CB2EC4" w14:paraId="6554DA39" w14:textId="77777777">
        <w:tc>
          <w:tcPr>
            <w:tcW w:w="2160" w:type="dxa"/>
            <w:vAlign w:val="center"/>
          </w:tcPr>
          <w:p w14:paraId="04DCEB6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A40A7D7"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FIGO 2018 staging:</w:t>
            </w:r>
            <w:r w:rsidRPr="00CB2EC4">
              <w:rPr>
                <w:rFonts w:ascii="Times New Roman" w:hAnsi="Times New Roman" w:cs="Times New Roman"/>
              </w:rPr>
              <w:br/>
            </w:r>
            <w:r w:rsidRPr="00CB2EC4">
              <w:rPr>
                <w:rFonts w:ascii="Times New Roman" w:hAnsi="Times New Roman" w:cs="Times New Roman"/>
              </w:rPr>
              <w:br/>
              <w:t>- Definition of IA stage overall: IA stage refers to microscopically visible invasive cancer (clinically invisible) with a maximum depth of invasion &lt;5 mm.</w:t>
            </w:r>
            <w:r w:rsidRPr="00CB2EC4">
              <w:rPr>
                <w:rFonts w:ascii="Times New Roman" w:hAnsi="Times New Roman" w:cs="Times New Roman"/>
              </w:rPr>
              <w:br/>
              <w:t>- Specific staging distinctions:</w:t>
            </w:r>
            <w:r w:rsidRPr="00CB2EC4">
              <w:rPr>
                <w:rFonts w:ascii="Times New Roman" w:hAnsi="Times New Roman" w:cs="Times New Roman"/>
              </w:rPr>
              <w:br/>
              <w:t xml:space="preserve">  - IA1 stage: stromal invasion depth ≤3 mm (i.e., depth not exceeding 3 mm).</w:t>
            </w:r>
            <w:r w:rsidRPr="00CB2EC4">
              <w:rPr>
                <w:rFonts w:ascii="Times New Roman" w:hAnsi="Times New Roman" w:cs="Times New Roman"/>
              </w:rPr>
              <w:br/>
              <w:t xml:space="preserve">  - IA2 stage: stromal invasion depth &gt;3 mm but ≤5 </w:t>
            </w:r>
            <w:r w:rsidRPr="00CB2EC4">
              <w:rPr>
                <w:rFonts w:ascii="Times New Roman" w:hAnsi="Times New Roman" w:cs="Times New Roman"/>
              </w:rPr>
              <w:lastRenderedPageBreak/>
              <w:t>mm (i.e., depth between 3 mm and 5 mm).</w:t>
            </w:r>
            <w:r w:rsidRPr="00CB2EC4">
              <w:rPr>
                <w:rFonts w:ascii="Times New Roman" w:hAnsi="Times New Roman" w:cs="Times New Roman"/>
              </w:rPr>
              <w:br/>
              <w:t>- Main distinction: depth of invasion is the core differentiating criterion. IA1 stage has a shallower depth (≤3 mm), while IA2 stage has a deeper depth (&gt;3 mm but ≤5 mm). The document emphasizes that IA stage diagnosis must be confirmed by pathological examination of a conization specimen, not by cervical biopsy alone; horizontal spread is no longer used as a staging criterion due to its susceptibility to human factors.</w:t>
            </w:r>
            <w:r w:rsidRPr="00CB2EC4">
              <w:rPr>
                <w:rFonts w:ascii="Times New Roman" w:hAnsi="Times New Roman" w:cs="Times New Roman"/>
              </w:rPr>
              <w:br/>
              <w:t>- Source basis: the document excerpt (similarity 0.582) explicitly describes the depth criteria for IA1 and IA2 stages.</w:t>
            </w:r>
          </w:p>
        </w:tc>
        <w:tc>
          <w:tcPr>
            <w:tcW w:w="1152" w:type="dxa"/>
            <w:vAlign w:val="center"/>
          </w:tcPr>
          <w:p w14:paraId="0D73A4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7B4B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15B8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41E04A" w14:textId="77777777">
        <w:tc>
          <w:tcPr>
            <w:tcW w:w="2160" w:type="dxa"/>
            <w:vAlign w:val="center"/>
          </w:tcPr>
          <w:p w14:paraId="0344ABF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C86658A" w14:textId="77777777" w:rsidR="00922249" w:rsidRPr="00CB2EC4" w:rsidRDefault="003011D5">
            <w:pPr>
              <w:rPr>
                <w:rFonts w:ascii="Times New Roman" w:hAnsi="Times New Roman" w:cs="Times New Roman"/>
              </w:rPr>
            </w:pPr>
            <w:r w:rsidRPr="00CB2EC4">
              <w:rPr>
                <w:rFonts w:ascii="Times New Roman" w:hAnsi="Times New Roman" w:cs="Times New Roman"/>
              </w:rPr>
              <w:t>Based on FIGO 2018 staging, the main difference between IA1 and IA2 stages is as follows:</w:t>
            </w:r>
            <w:r w:rsidRPr="00CB2EC4">
              <w:rPr>
                <w:rFonts w:ascii="Times New Roman" w:hAnsi="Times New Roman" w:cs="Times New Roman"/>
              </w:rPr>
              <w:br/>
            </w:r>
            <w:r w:rsidRPr="00CB2EC4">
              <w:rPr>
                <w:rFonts w:ascii="Times New Roman" w:hAnsi="Times New Roman" w:cs="Times New Roman"/>
              </w:rPr>
              <w:br/>
              <w:t>- Both IA1 and IA2 are microscopically diagnosed invasive carcinomas with maximum stromal invasion depth ≤5 mm.</w:t>
            </w:r>
            <w:r w:rsidRPr="00CB2EC4">
              <w:rPr>
                <w:rFonts w:ascii="Times New Roman" w:hAnsi="Times New Roman" w:cs="Times New Roman"/>
              </w:rPr>
              <w:br/>
              <w:t>- IA1 stage: stromal invasion depth ≤3 mm (Fragment 5, Fragment 17).</w:t>
            </w:r>
            <w:r w:rsidRPr="00CB2EC4">
              <w:rPr>
                <w:rFonts w:ascii="Times New Roman" w:hAnsi="Times New Roman" w:cs="Times New Roman"/>
              </w:rPr>
              <w:br/>
              <w:t>- IA2 stage: stromal invasion depth &gt;3 mm but ≤5 mm (Fragment 5, Fragment 17).</w:t>
            </w:r>
            <w:r w:rsidRPr="00CB2EC4">
              <w:rPr>
                <w:rFonts w:ascii="Times New Roman" w:hAnsi="Times New Roman" w:cs="Times New Roman"/>
              </w:rPr>
              <w:br/>
              <w:t>- Other common features:</w:t>
            </w:r>
            <w:r w:rsidRPr="00CB2EC4">
              <w:rPr>
                <w:rFonts w:ascii="Times New Roman" w:hAnsi="Times New Roman" w:cs="Times New Roman"/>
              </w:rPr>
              <w:br/>
              <w:t xml:space="preserve">  - Horizontal spread &lt;7 mm in both (Fragment 13).</w:t>
            </w:r>
            <w:r w:rsidRPr="00CB2EC4">
              <w:rPr>
                <w:rFonts w:ascii="Times New Roman" w:hAnsi="Times New Roman" w:cs="Times New Roman"/>
              </w:rPr>
              <w:br/>
              <w:t xml:space="preserve">  - Lymphovascular space invasion (LVSI) does not alter the stage but influences treatment decisions (Fragment 8).</w:t>
            </w:r>
            <w:r w:rsidRPr="00CB2EC4">
              <w:rPr>
                <w:rFonts w:ascii="Times New Roman" w:hAnsi="Times New Roman" w:cs="Times New Roman"/>
              </w:rPr>
              <w:br/>
              <w:t>- Summary of main difference: IA1 has shallower invasion (≤3 mm), while IA2 has deeper invasion (&gt;3 mm to 5 mm), which directly affects treatment choices, e.g., IA2 often requires more aggressive surgery or radiotherapy (Fragment 16).</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Source fragments: Fragment 5 (topic: cervical cancer FIGO staging criteria), Fragment 13 (topic: cervical cancer IA stage diagnostic criteria), Fragment 17 (topic: cervical cancer clinical-pathological staging).</w:t>
            </w:r>
          </w:p>
        </w:tc>
        <w:tc>
          <w:tcPr>
            <w:tcW w:w="1152" w:type="dxa"/>
            <w:vAlign w:val="center"/>
          </w:tcPr>
          <w:p w14:paraId="4AF269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0C73D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889E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BC7676" w14:textId="77777777">
        <w:tc>
          <w:tcPr>
            <w:tcW w:w="2160" w:type="dxa"/>
            <w:vAlign w:val="center"/>
          </w:tcPr>
          <w:p w14:paraId="7446565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96B312E" w14:textId="77777777" w:rsidR="00922249" w:rsidRPr="00CB2EC4" w:rsidRDefault="003011D5">
            <w:pPr>
              <w:rPr>
                <w:rFonts w:ascii="Times New Roman" w:hAnsi="Times New Roman" w:cs="Times New Roman"/>
              </w:rPr>
            </w:pPr>
            <w:r w:rsidRPr="00CB2EC4">
              <w:rPr>
                <w:rFonts w:ascii="Times New Roman" w:hAnsi="Times New Roman" w:cs="Times New Roman"/>
              </w:rPr>
              <w:t>Based on FIGO 2018 staging, the main difference between IA1 and IA2 stages is as follows:</w:t>
            </w:r>
            <w:r w:rsidRPr="00CB2EC4">
              <w:rPr>
                <w:rFonts w:ascii="Times New Roman" w:hAnsi="Times New Roman" w:cs="Times New Roman"/>
              </w:rPr>
              <w:br/>
            </w:r>
            <w:r w:rsidRPr="00CB2EC4">
              <w:rPr>
                <w:rFonts w:ascii="Times New Roman" w:hAnsi="Times New Roman" w:cs="Times New Roman"/>
              </w:rPr>
              <w:br/>
              <w:t>- Main difference: The primary distinction between IA1 and IA2 lies in the depth of stromal invasion.</w:t>
            </w:r>
            <w:r w:rsidRPr="00CB2EC4">
              <w:rPr>
                <w:rFonts w:ascii="Times New Roman" w:hAnsi="Times New Roman" w:cs="Times New Roman"/>
              </w:rPr>
              <w:br/>
              <w:t xml:space="preserve">  - IA1 stage: Depth of stromal invasion ≤ 3 mm (document fragments 2, 3, 12).</w:t>
            </w:r>
            <w:r w:rsidRPr="00CB2EC4">
              <w:rPr>
                <w:rFonts w:ascii="Times New Roman" w:hAnsi="Times New Roman" w:cs="Times New Roman"/>
              </w:rPr>
              <w:br/>
              <w:t xml:space="preserve">  - IA2 stage: Depth of stromal invasion &gt; 3 mm but ≤ 5 mm (document fragments 2, 3, 12).</w:t>
            </w:r>
            <w:r w:rsidRPr="00CB2EC4">
              <w:rPr>
                <w:rFonts w:ascii="Times New Roman" w:hAnsi="Times New Roman" w:cs="Times New Roman"/>
              </w:rPr>
              <w:br/>
              <w:t>- Other key points: Both are microscopically evident minimal invasive carcinomas (preclinical stage), with maximum invasion depth less than 5 mm (document fragment 2). FIGO 2018 staging eliminated consideration of horizontal invasion width (no longer requires width &lt; 7 mm) and is based solely on depth of invasion (document fragment 4). Lymphovascular space involvement (LVSI) does not alter the stage but must be noted in the report (document fragment 12).</w:t>
            </w:r>
          </w:p>
        </w:tc>
        <w:tc>
          <w:tcPr>
            <w:tcW w:w="1152" w:type="dxa"/>
            <w:vAlign w:val="center"/>
          </w:tcPr>
          <w:p w14:paraId="304A89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76B6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3C27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E32E96" w14:textId="77777777">
        <w:tc>
          <w:tcPr>
            <w:tcW w:w="2160" w:type="dxa"/>
            <w:vAlign w:val="center"/>
          </w:tcPr>
          <w:p w14:paraId="1A195D45"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A1BE6B9" w14:textId="77777777" w:rsidR="00922249" w:rsidRPr="00CB2EC4" w:rsidRDefault="003011D5">
            <w:pPr>
              <w:rPr>
                <w:rFonts w:ascii="Times New Roman" w:hAnsi="Times New Roman" w:cs="Times New Roman"/>
              </w:rPr>
            </w:pPr>
            <w:r w:rsidRPr="00CB2EC4">
              <w:rPr>
                <w:rFonts w:ascii="Times New Roman" w:hAnsi="Times New Roman" w:cs="Times New Roman"/>
              </w:rPr>
              <w:t>the main difference between IA1 and IA2 stages:</w:t>
            </w:r>
            <w:r w:rsidRPr="00CB2EC4">
              <w:rPr>
                <w:rFonts w:ascii="Times New Roman" w:hAnsi="Times New Roman" w:cs="Times New Roman"/>
              </w:rPr>
              <w:br/>
            </w:r>
            <w:r w:rsidRPr="00CB2EC4">
              <w:rPr>
                <w:rFonts w:ascii="Times New Roman" w:hAnsi="Times New Roman" w:cs="Times New Roman"/>
              </w:rPr>
              <w:br/>
              <w:t xml:space="preserve">the sole distinction: depth of stromal invasion (horizontal width no longer affects staging) (Source: Knowledge Base Document 1; Online Result 1, 3):  </w:t>
            </w:r>
            <w:r w:rsidRPr="00CB2EC4">
              <w:rPr>
                <w:rFonts w:ascii="Times New Roman" w:hAnsi="Times New Roman" w:cs="Times New Roman"/>
              </w:rPr>
              <w:br/>
              <w:t xml:space="preserve">  - IA1 stage: depth of invasion ≤ 3 mm.  </w:t>
            </w:r>
            <w:r w:rsidRPr="00CB2EC4">
              <w:rPr>
                <w:rFonts w:ascii="Times New Roman" w:hAnsi="Times New Roman" w:cs="Times New Roman"/>
              </w:rPr>
              <w:br/>
              <w:t xml:space="preserve">  - IA2 stage: depth of invasion &gt; 3 mm but ≤ 5 mm.  </w:t>
            </w:r>
            <w:r w:rsidRPr="00CB2EC4">
              <w:rPr>
                <w:rFonts w:ascii="Times New Roman" w:hAnsi="Times New Roman" w:cs="Times New Roman"/>
              </w:rPr>
              <w:br/>
              <w:t xml:space="preserve">- key update:  </w:t>
            </w:r>
            <w:r w:rsidRPr="00CB2EC4">
              <w:rPr>
                <w:rFonts w:ascii="Times New Roman" w:hAnsi="Times New Roman" w:cs="Times New Roman"/>
              </w:rPr>
              <w:br/>
              <w:t xml:space="preserve">  - removal of horizontal invasion width (due to large measurement errors, especially in adenocarcinoma) (Online Result 3).  </w:t>
            </w:r>
            <w:r w:rsidRPr="00CB2EC4">
              <w:rPr>
                <w:rFonts w:ascii="Times New Roman" w:hAnsi="Times New Roman" w:cs="Times New Roman"/>
              </w:rPr>
              <w:br/>
            </w:r>
            <w:r w:rsidRPr="00CB2EC4">
              <w:rPr>
                <w:rFonts w:ascii="Times New Roman" w:hAnsi="Times New Roman" w:cs="Times New Roman"/>
              </w:rPr>
              <w:lastRenderedPageBreak/>
              <w:t xml:space="preserve">  - LVSI (+) does not change the stage but influences treatment (e.g., IA1/LVSI+ managed as IA2) (Knowledge Base Document 1; Online Result 3).</w:t>
            </w:r>
            <w:r w:rsidRPr="00CB2EC4">
              <w:rPr>
                <w:rFonts w:ascii="Times New Roman" w:hAnsi="Times New Roman" w:cs="Times New Roman"/>
              </w:rPr>
              <w:br/>
            </w:r>
            <w:r w:rsidRPr="00CB2EC4">
              <w:rPr>
                <w:rFonts w:ascii="Times New Roman" w:hAnsi="Times New Roman" w:cs="Times New Roman"/>
              </w:rPr>
              <w:br/>
              <w:t>&gt; Source: Knowledge Base Document 1 (pathological criteria) and Online Results 1, 3 (update rationale).</w:t>
            </w:r>
          </w:p>
        </w:tc>
        <w:tc>
          <w:tcPr>
            <w:tcW w:w="1152" w:type="dxa"/>
            <w:vAlign w:val="center"/>
          </w:tcPr>
          <w:p w14:paraId="7B6F2C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2FA28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DE29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C1B4C8" w14:textId="77777777">
        <w:tc>
          <w:tcPr>
            <w:tcW w:w="2160" w:type="dxa"/>
            <w:vAlign w:val="center"/>
          </w:tcPr>
          <w:p w14:paraId="207F128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5F59975"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FIGO 2018 staging (explicitly described in document fragments 11, 14, and 24), the main difference between stage IA1 and IA2 is the depth of stromal invasion:</w:t>
            </w:r>
            <w:r w:rsidRPr="00CB2EC4">
              <w:rPr>
                <w:rFonts w:ascii="Times New Roman" w:hAnsi="Times New Roman" w:cs="Times New Roman"/>
              </w:rPr>
              <w:br/>
              <w:t>- IA1: Depth of stromal invasion ≤3 mm (measured from the basement membrane of the surface epithelium or glandular basement membrane), horizontal spread is no longer considered (document fragment 11: "IA1 stage: stromal invasion depth less than 3mm"; document fragment 14: "IA1 stage: stromal invasion depth ≤3mm").</w:t>
            </w:r>
            <w:r w:rsidRPr="00CB2EC4">
              <w:rPr>
                <w:rFonts w:ascii="Times New Roman" w:hAnsi="Times New Roman" w:cs="Times New Roman"/>
              </w:rPr>
              <w:br/>
              <w:t>- IA2: Depth of stromal invasion &gt;3 mm but ≤5 mm, horizontal spread is no longer considered (document fragment 11: "IA2 stage: stromal invasion depth greater than 3mm but less than 5mm"; document fragment 14: "IA2 stage: stromal invasion depth &gt;3mm but ≤5mm").</w:t>
            </w:r>
            <w:r w:rsidRPr="00CB2EC4">
              <w:rPr>
                <w:rFonts w:ascii="Times New Roman" w:hAnsi="Times New Roman" w:cs="Times New Roman"/>
              </w:rPr>
              <w:br/>
              <w:t>- Main distinction: Invasion depth is the sole criterion: IA1 requires depth ≤3 mm, IA2 requires depth &gt;3 mm but ≤5 mm. FIGO 2018 staging removed consideration of horizontal invasion width due to influence by many artificial factors (document fragment 11: "The revised edition no longer considers horizontal invasion width, as it is affected by many artificial factors"). Additionally, lymphovascular space invasion (LVSI) does not change the stage but must be recorded (document fragment 14: "Vascular invasion does not alter the stage").</w:t>
            </w:r>
            <w:r w:rsidRPr="00CB2EC4">
              <w:rPr>
                <w:rFonts w:ascii="Times New Roman" w:hAnsi="Times New Roman" w:cs="Times New Roman"/>
              </w:rPr>
              <w:br/>
            </w:r>
            <w:r w:rsidRPr="00CB2EC4">
              <w:rPr>
                <w:rFonts w:ascii="Times New Roman" w:hAnsi="Times New Roman" w:cs="Times New Roman"/>
              </w:rPr>
              <w:lastRenderedPageBreak/>
              <w:t>- Diagnostic requirement: Stage IA must be diagnosed microscopically (e.g., from conization or hysterectomy specimen), not by biopsy alone (document fragment 7: "Stage IA requires pathological confirmation from cervical conization tissue; it cannot be diagnosed solely by cervical biopsy tissue pathology").</w:t>
            </w:r>
            <w:r w:rsidRPr="00CB2EC4">
              <w:rPr>
                <w:rFonts w:ascii="Times New Roman" w:hAnsi="Times New Roman" w:cs="Times New Roman"/>
              </w:rPr>
              <w:br/>
            </w:r>
            <w:r w:rsidRPr="00CB2EC4">
              <w:rPr>
                <w:rFonts w:ascii="Times New Roman" w:hAnsi="Times New Roman" w:cs="Times New Roman"/>
              </w:rPr>
              <w:br/>
              <w:t>In summary, the core difference between IA1 and IA2 is invasion depth: IA1 ≤3 mm, IA2 &gt;3 mm but ≤5 mm.</w:t>
            </w:r>
          </w:p>
        </w:tc>
        <w:tc>
          <w:tcPr>
            <w:tcW w:w="1152" w:type="dxa"/>
            <w:vAlign w:val="center"/>
          </w:tcPr>
          <w:p w14:paraId="7A0CF8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EB8F9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53D2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C772EA" w14:textId="77777777">
        <w:tc>
          <w:tcPr>
            <w:tcW w:w="2160" w:type="dxa"/>
            <w:vAlign w:val="center"/>
          </w:tcPr>
          <w:p w14:paraId="654127CF"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FA1112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difference between FIGO 2018 stage IA1 and IA2 is the depth of stromal invasion:  </w:t>
            </w:r>
            <w:r w:rsidRPr="00CB2EC4">
              <w:rPr>
                <w:rFonts w:ascii="Times New Roman" w:hAnsi="Times New Roman" w:cs="Times New Roman"/>
              </w:rPr>
              <w:br/>
              <w:t xml:space="preserve">- IA1: Stromal invasion depth ≤ 3 mm (measured from the basement membrane of the surface epithelium or glandular basement membrane) (Documents 15, 20).  </w:t>
            </w:r>
            <w:r w:rsidRPr="00CB2EC4">
              <w:rPr>
                <w:rFonts w:ascii="Times New Roman" w:hAnsi="Times New Roman" w:cs="Times New Roman"/>
              </w:rPr>
              <w:br/>
              <w:t xml:space="preserve">- IA2: Stromal invasion depth &gt; 3 mm but ≤ 5 mm (Documents 15, 20).  </w:t>
            </w:r>
            <w:r w:rsidRPr="00CB2EC4">
              <w:rPr>
                <w:rFonts w:ascii="Times New Roman" w:hAnsi="Times New Roman" w:cs="Times New Roman"/>
              </w:rPr>
              <w:br/>
            </w:r>
            <w:r w:rsidRPr="00CB2EC4">
              <w:rPr>
                <w:rFonts w:ascii="Times New Roman" w:hAnsi="Times New Roman" w:cs="Times New Roman"/>
              </w:rPr>
              <w:br/>
              <w:t xml:space="preserve">Other key points:  </w:t>
            </w:r>
            <w:r w:rsidRPr="00CB2EC4">
              <w:rPr>
                <w:rFonts w:ascii="Times New Roman" w:hAnsi="Times New Roman" w:cs="Times New Roman"/>
              </w:rPr>
              <w:br/>
              <w:t xml:space="preserve">- Both are microscopically diagnosed invasive carcinomas (not clinically visible), confirmed by pathological examination of a conization or hysterectomy specimen (Documents 15, 3).  </w:t>
            </w:r>
            <w:r w:rsidRPr="00CB2EC4">
              <w:rPr>
                <w:rFonts w:ascii="Times New Roman" w:hAnsi="Times New Roman" w:cs="Times New Roman"/>
              </w:rPr>
              <w:br/>
              <w:t xml:space="preserve">- Horizontal spread of invasion is no longer a staging criterion (Document 15). Lymphovascular space invasion (LVSI) does not alter the stage but may influence treatment decisions (Documents 3, 14).  </w:t>
            </w:r>
            <w:r w:rsidRPr="00CB2EC4">
              <w:rPr>
                <w:rFonts w:ascii="Times New Roman" w:hAnsi="Times New Roman" w:cs="Times New Roman"/>
              </w:rPr>
              <w:br/>
              <w:t>Stage IA1 and IA2 have excellent prognosis, with lower stages associated with higher survival rates (Document 1).</w:t>
            </w:r>
          </w:p>
        </w:tc>
        <w:tc>
          <w:tcPr>
            <w:tcW w:w="1152" w:type="dxa"/>
            <w:vAlign w:val="center"/>
          </w:tcPr>
          <w:p w14:paraId="311C07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461C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BA01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B027455" w14:textId="77777777">
        <w:tc>
          <w:tcPr>
            <w:tcW w:w="2160" w:type="dxa"/>
            <w:vAlign w:val="center"/>
          </w:tcPr>
          <w:p w14:paraId="53906C8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6A031A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FIGO 2018 staging, the main difference between IA1 and IA2 stages lies in the depth of </w:t>
            </w:r>
            <w:r w:rsidRPr="00CB2EC4">
              <w:rPr>
                <w:rFonts w:ascii="Times New Roman" w:hAnsi="Times New Roman" w:cs="Times New Roman"/>
              </w:rPr>
              <w:lastRenderedPageBreak/>
              <w:t xml:space="preserve">stromal invasion (vertical depth), while the horizontal spread is no longer used as a staging criterion due to susceptibility to artificial factors. The specific distinctions are as follows:  </w:t>
            </w:r>
            <w:r w:rsidRPr="00CB2EC4">
              <w:rPr>
                <w:rFonts w:ascii="Times New Roman" w:hAnsi="Times New Roman" w:cs="Times New Roman"/>
              </w:rPr>
              <w:br/>
              <w:t xml:space="preserve">- IA1 stage: Stromal invasion depth ≤ 3 mm (microscopic only).  </w:t>
            </w:r>
            <w:r w:rsidRPr="00CB2EC4">
              <w:rPr>
                <w:rFonts w:ascii="Times New Roman" w:hAnsi="Times New Roman" w:cs="Times New Roman"/>
              </w:rPr>
              <w:br/>
              <w:t xml:space="preserve">- IA2 stage: Stromal invasion depth &gt; 3 mm but ≤ 5 mm (microscopic only).  </w:t>
            </w:r>
            <w:r w:rsidRPr="00CB2EC4">
              <w:rPr>
                <w:rFonts w:ascii="Times New Roman" w:hAnsi="Times New Roman" w:cs="Times New Roman"/>
              </w:rPr>
              <w:br/>
              <w:t>Both stages fall under IA (microscopically invasive carcinoma with maximum invasion depth &lt; 5 mm), and the depth of invasion is measured from the basement membrane of the origin epithelium or gland downward. As explicitly stated in the [HyDE similarity: 0.624] section: “IA stage refers to microscopically visible invasive carcinoma with maximum invasion depth less than 5 mm, wherein: IA1 stage: stromal invasion depth less than 3 mm; IA2 stage: stromal invasion depth greater than 3 mm but less than 5 mm.” The revised edition removes consideration of horizontal invasion width, simplifying diagnosis.</w:t>
            </w:r>
          </w:p>
        </w:tc>
        <w:tc>
          <w:tcPr>
            <w:tcW w:w="1152" w:type="dxa"/>
            <w:vAlign w:val="center"/>
          </w:tcPr>
          <w:p w14:paraId="2A9D15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7566B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76BB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8387C8" w14:textId="77777777">
        <w:tc>
          <w:tcPr>
            <w:tcW w:w="2160" w:type="dxa"/>
            <w:vAlign w:val="center"/>
          </w:tcPr>
          <w:p w14:paraId="0835D266"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3D54DA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FIGO 2018 staging, the main difference between IA1 and IA2 stages lies in the depth of stromal invasion (vertical direction), as follows:  </w:t>
            </w:r>
            <w:r w:rsidRPr="00CB2EC4">
              <w:rPr>
                <w:rFonts w:ascii="Times New Roman" w:hAnsi="Times New Roman" w:cs="Times New Roman"/>
              </w:rPr>
              <w:br/>
              <w:t xml:space="preserve">- IA1 stage: Depth of stromal invasion ≤ 3 mm (Document fragment 3: IA1 stage: depth of stromal invasion less than or equal to 3 mm; Document fragment 11: T1a1 (FIGO IA1 stage): depth of stromal invasion ≤ 3 mm).  </w:t>
            </w:r>
            <w:r w:rsidRPr="00CB2EC4">
              <w:rPr>
                <w:rFonts w:ascii="Times New Roman" w:hAnsi="Times New Roman" w:cs="Times New Roman"/>
              </w:rPr>
              <w:br/>
              <w:t xml:space="preserve">- IA2 stage: Depth of stromal invasion &gt; 3 mm but ≤ 5 mm (Document fragment 3: IA2 stage: depth of stromal invasion greater than 3 mm but less than or equal to 5 mm; Document fragment 11: T1a2 (FIGO IA2 stage): depth of stromal invasion &gt; 3 mm, ≤ 5 </w:t>
            </w:r>
            <w:r w:rsidRPr="00CB2EC4">
              <w:rPr>
                <w:rFonts w:ascii="Times New Roman" w:hAnsi="Times New Roman" w:cs="Times New Roman"/>
              </w:rPr>
              <w:lastRenderedPageBreak/>
              <w:t xml:space="preserve">mm).  </w:t>
            </w:r>
            <w:r w:rsidRPr="00CB2EC4">
              <w:rPr>
                <w:rFonts w:ascii="Times New Roman" w:hAnsi="Times New Roman" w:cs="Times New Roman"/>
              </w:rPr>
              <w:br/>
              <w:t>- Common features: Both are microscopically visible invasive carcinomas (diagnosed only histologically), with maximum invasion depth not exceeding 5 mm, and horizontal spread is not considered (Document fragment 3: IA stage represents invasive carcinoma visible only microscopically, with maximum invasion depth &lt; 5 mm; the revised edition no longer considers horizontal invasion width). Depth of invasion is measured from the basement membrane of the epithelium or gland of origin in the primary lesion downward (Document fragment 3).</w:t>
            </w:r>
          </w:p>
        </w:tc>
        <w:tc>
          <w:tcPr>
            <w:tcW w:w="1152" w:type="dxa"/>
            <w:vAlign w:val="center"/>
          </w:tcPr>
          <w:p w14:paraId="7910B4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0F4A1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DB9F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7F2F93" w14:textId="77777777">
        <w:tc>
          <w:tcPr>
            <w:tcW w:w="2160" w:type="dxa"/>
            <w:vAlign w:val="center"/>
          </w:tcPr>
          <w:p w14:paraId="2FFCF50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650BA47" w14:textId="77777777" w:rsidR="00922249" w:rsidRPr="00CB2EC4" w:rsidRDefault="003011D5">
            <w:pPr>
              <w:rPr>
                <w:rFonts w:ascii="Times New Roman" w:hAnsi="Times New Roman" w:cs="Times New Roman"/>
              </w:rPr>
            </w:pPr>
            <w:r w:rsidRPr="00CB2EC4">
              <w:rPr>
                <w:rFonts w:ascii="Times New Roman" w:hAnsi="Times New Roman" w:cs="Times New Roman"/>
              </w:rPr>
              <w:t>The main difference between IA1 and IA2 stages is as follows:</w:t>
            </w:r>
            <w:r w:rsidRPr="00CB2EC4">
              <w:rPr>
                <w:rFonts w:ascii="Times New Roman" w:hAnsi="Times New Roman" w:cs="Times New Roman"/>
              </w:rPr>
              <w:br/>
            </w:r>
            <w:r w:rsidRPr="00CB2EC4">
              <w:rPr>
                <w:rFonts w:ascii="Times New Roman" w:hAnsi="Times New Roman" w:cs="Times New Roman"/>
              </w:rPr>
              <w:br/>
              <w:t xml:space="preserve">Common features: Both are microscopically invasive carcinomas with a maximum depth of invasion &lt;5 mm (segments 7, 10).  </w:t>
            </w:r>
            <w:r w:rsidRPr="00CB2EC4">
              <w:rPr>
                <w:rFonts w:ascii="Times New Roman" w:hAnsi="Times New Roman" w:cs="Times New Roman"/>
              </w:rPr>
              <w:br/>
              <w:t xml:space="preserve">- Difference:  </w:t>
            </w:r>
            <w:r w:rsidRPr="00CB2EC4">
              <w:rPr>
                <w:rFonts w:ascii="Times New Roman" w:hAnsi="Times New Roman" w:cs="Times New Roman"/>
              </w:rPr>
              <w:br/>
              <w:t xml:space="preserve">  - IA1 stage: Depth of stromal invasion ≤3 mm (segments 3, 7, 10).  </w:t>
            </w:r>
            <w:r w:rsidRPr="00CB2EC4">
              <w:rPr>
                <w:rFonts w:ascii="Times New Roman" w:hAnsi="Times New Roman" w:cs="Times New Roman"/>
              </w:rPr>
              <w:br/>
              <w:t xml:space="preserve">  - IA2 stage: Depth of stromal invasion &gt;3 mm but ≤5 mm (segments 3, 7, 10).  </w:t>
            </w:r>
            <w:r w:rsidRPr="00CB2EC4">
              <w:rPr>
                <w:rFonts w:ascii="Times New Roman" w:hAnsi="Times New Roman" w:cs="Times New Roman"/>
              </w:rPr>
              <w:br/>
              <w:t xml:space="preserve">- Key updates:  </w:t>
            </w:r>
            <w:r w:rsidRPr="00CB2EC4">
              <w:rPr>
                <w:rFonts w:ascii="Times New Roman" w:hAnsi="Times New Roman" w:cs="Times New Roman"/>
              </w:rPr>
              <w:br/>
              <w:t xml:space="preserve">  - The new staging system no longer considers the horizontal spread of invasion (segments 1, 7, 10).  </w:t>
            </w:r>
            <w:r w:rsidRPr="00CB2EC4">
              <w:rPr>
                <w:rFonts w:ascii="Times New Roman" w:hAnsi="Times New Roman" w:cs="Times New Roman"/>
              </w:rPr>
              <w:br/>
              <w:t xml:space="preserve">  - Diagnosis must be based on conization or hysterectomy specimens; cervical biopsy alone is insufficient (segments 7, 10).</w:t>
            </w:r>
          </w:p>
        </w:tc>
        <w:tc>
          <w:tcPr>
            <w:tcW w:w="1152" w:type="dxa"/>
            <w:vAlign w:val="center"/>
          </w:tcPr>
          <w:p w14:paraId="3206FA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B690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D7B6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71BE1D" w14:textId="77777777">
        <w:tc>
          <w:tcPr>
            <w:tcW w:w="2160" w:type="dxa"/>
            <w:vAlign w:val="center"/>
          </w:tcPr>
          <w:p w14:paraId="5650CD0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4D763D4"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FIGO 2018 staging, the main difference between IA1 and IA2 stages is:</w:t>
            </w:r>
            <w:r w:rsidRPr="00CB2EC4">
              <w:rPr>
                <w:rFonts w:ascii="Times New Roman" w:hAnsi="Times New Roman" w:cs="Times New Roman"/>
              </w:rPr>
              <w:br/>
            </w:r>
            <w:r w:rsidRPr="00CB2EC4">
              <w:rPr>
                <w:rFonts w:ascii="Times New Roman" w:hAnsi="Times New Roman" w:cs="Times New Roman"/>
              </w:rPr>
              <w:br/>
              <w:t xml:space="preserve">IA stage refers to microscopically visible invasive </w:t>
            </w:r>
            <w:r w:rsidRPr="00CB2EC4">
              <w:rPr>
                <w:rFonts w:ascii="Times New Roman" w:hAnsi="Times New Roman" w:cs="Times New Roman"/>
              </w:rPr>
              <w:lastRenderedPageBreak/>
              <w:t>carcinoma (microinvasive carcinoma) with maximum stromal invasion depth &lt;5 mm. The distinction is based on the depth of stromal invasion:</w:t>
            </w:r>
            <w:r w:rsidRPr="00CB2EC4">
              <w:rPr>
                <w:rFonts w:ascii="Times New Roman" w:hAnsi="Times New Roman" w:cs="Times New Roman"/>
              </w:rPr>
              <w:br/>
              <w:t>- IA1 stage: stromal invasion depth ≤3 mm.</w:t>
            </w:r>
            <w:r w:rsidRPr="00CB2EC4">
              <w:rPr>
                <w:rFonts w:ascii="Times New Roman" w:hAnsi="Times New Roman" w:cs="Times New Roman"/>
              </w:rPr>
              <w:br/>
              <w:t>- IA2 stage: stromal invasion depth &gt;3 mm but ≤5 mm.</w:t>
            </w:r>
            <w:r w:rsidRPr="00CB2EC4">
              <w:rPr>
                <w:rFonts w:ascii="Times New Roman" w:hAnsi="Times New Roman" w:cs="Times New Roman"/>
              </w:rPr>
              <w:br/>
            </w:r>
            <w:r w:rsidRPr="00CB2EC4">
              <w:rPr>
                <w:rFonts w:ascii="Times New Roman" w:hAnsi="Times New Roman" w:cs="Times New Roman"/>
              </w:rPr>
              <w:br/>
              <w:t>Other key points:</w:t>
            </w:r>
            <w:r w:rsidRPr="00CB2EC4">
              <w:rPr>
                <w:rFonts w:ascii="Times New Roman" w:hAnsi="Times New Roman" w:cs="Times New Roman"/>
              </w:rPr>
              <w:br/>
              <w:t>- Horizontal spread is no longer considered in IA stage staging due to susceptibility to artifactual influence.</w:t>
            </w:r>
            <w:r w:rsidRPr="00CB2EC4">
              <w:rPr>
                <w:rFonts w:ascii="Times New Roman" w:hAnsi="Times New Roman" w:cs="Times New Roman"/>
              </w:rPr>
              <w:br/>
              <w:t>- Diagnosis of IA1 and IA2 is based on microscopic examination of specimens from LEEP (loop electrosurgical excision procedure), cold knife conization, or hysterectomy.</w:t>
            </w:r>
            <w:r w:rsidRPr="00CB2EC4">
              <w:rPr>
                <w:rFonts w:ascii="Times New Roman" w:hAnsi="Times New Roman" w:cs="Times New Roman"/>
              </w:rPr>
              <w:br/>
              <w:t>- Lymphovascular space invasion (LVSI) does not alter the stage but influences treatment decisions (e.g., positive LVSI requires management as higher risk).</w:t>
            </w:r>
          </w:p>
        </w:tc>
        <w:tc>
          <w:tcPr>
            <w:tcW w:w="1152" w:type="dxa"/>
            <w:vAlign w:val="center"/>
          </w:tcPr>
          <w:p w14:paraId="061DC2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C496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DE69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38C4F9" w14:textId="77777777">
        <w:tc>
          <w:tcPr>
            <w:tcW w:w="2160" w:type="dxa"/>
            <w:vAlign w:val="center"/>
          </w:tcPr>
          <w:p w14:paraId="3F9751ED"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B2EC073"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FIGO 2018 staging system, the primary distinction between stages IA1 and IA2 lies in the depth of stromal invasion:</w:t>
            </w:r>
            <w:r w:rsidRPr="00CB2EC4">
              <w:rPr>
                <w:rFonts w:ascii="Times New Roman" w:hAnsi="Times New Roman" w:cs="Times New Roman"/>
              </w:rPr>
              <w:br/>
            </w:r>
            <w:r w:rsidRPr="00CB2EC4">
              <w:rPr>
                <w:rFonts w:ascii="Times New Roman" w:hAnsi="Times New Roman" w:cs="Times New Roman"/>
              </w:rPr>
              <w:br/>
              <w:t>- Stage IA1: Stromal invasion depth ≤ 3 mm (measured from the basement membrane of the epithelium or gland)</w:t>
            </w:r>
            <w:r w:rsidRPr="00CB2EC4">
              <w:rPr>
                <w:rFonts w:ascii="Times New Roman" w:hAnsi="Times New Roman" w:cs="Times New Roman"/>
              </w:rPr>
              <w:br/>
              <w:t>- Stage IA2: Stromal invasion depth &gt; 3 mm but ≤ 5 mm (measured from the basement membrane of the epithelium or gland)</w:t>
            </w:r>
            <w:r w:rsidRPr="00CB2EC4">
              <w:rPr>
                <w:rFonts w:ascii="Times New Roman" w:hAnsi="Times New Roman" w:cs="Times New Roman"/>
              </w:rPr>
              <w:br/>
            </w:r>
            <w:r w:rsidRPr="00CB2EC4">
              <w:rPr>
                <w:rFonts w:ascii="Times New Roman" w:hAnsi="Times New Roman" w:cs="Times New Roman"/>
              </w:rPr>
              <w:br/>
              <w:t>Key points:</w:t>
            </w:r>
            <w:r w:rsidRPr="00CB2EC4">
              <w:rPr>
                <w:rFonts w:ascii="Times New Roman" w:hAnsi="Times New Roman" w:cs="Times New Roman"/>
              </w:rPr>
              <w:br/>
              <w:t>- Both stages represent microscopically diagnosed microinvasive carcinoma</w:t>
            </w:r>
            <w:r w:rsidRPr="00CB2EC4">
              <w:rPr>
                <w:rFonts w:ascii="Times New Roman" w:hAnsi="Times New Roman" w:cs="Times New Roman"/>
              </w:rPr>
              <w:br/>
              <w:t>- Horizontal invasion width is no longer used as a staging criterion</w:t>
            </w:r>
            <w:r w:rsidRPr="00CB2EC4">
              <w:rPr>
                <w:rFonts w:ascii="Times New Roman" w:hAnsi="Times New Roman" w:cs="Times New Roman"/>
              </w:rPr>
              <w:br/>
              <w:t xml:space="preserve">- Lymphovascular space invasion (LVSI) does not </w:t>
            </w:r>
            <w:r w:rsidRPr="00CB2EC4">
              <w:rPr>
                <w:rFonts w:ascii="Times New Roman" w:hAnsi="Times New Roman" w:cs="Times New Roman"/>
              </w:rPr>
              <w:lastRenderedPageBreak/>
              <w:t>alter staging but influences treatment decisions (e.g., stage IA1 with positive LVSI should be managed as stage IA2)</w:t>
            </w:r>
          </w:p>
        </w:tc>
        <w:tc>
          <w:tcPr>
            <w:tcW w:w="1152" w:type="dxa"/>
            <w:vAlign w:val="center"/>
          </w:tcPr>
          <w:p w14:paraId="3B99BC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F32A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B6D5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3514E4" w14:textId="77777777">
        <w:tc>
          <w:tcPr>
            <w:tcW w:w="2160" w:type="dxa"/>
            <w:vAlign w:val="center"/>
          </w:tcPr>
          <w:p w14:paraId="7BE97E5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7A1A401" w14:textId="77777777" w:rsidR="00922249" w:rsidRPr="00CB2EC4" w:rsidRDefault="003011D5">
            <w:pPr>
              <w:rPr>
                <w:rFonts w:ascii="Times New Roman" w:hAnsi="Times New Roman" w:cs="Times New Roman"/>
              </w:rPr>
            </w:pPr>
            <w:r w:rsidRPr="00CB2EC4">
              <w:rPr>
                <w:rFonts w:ascii="Times New Roman" w:hAnsi="Times New Roman" w:cs="Times New Roman"/>
              </w:rPr>
              <w:t>Based on the FIGO 2018 staging system, the main difference between stage IA1 and stage IA2 is as follows:</w:t>
            </w:r>
            <w:r w:rsidRPr="00CB2EC4">
              <w:rPr>
                <w:rFonts w:ascii="Times New Roman" w:hAnsi="Times New Roman" w:cs="Times New Roman"/>
              </w:rPr>
              <w:br/>
            </w:r>
            <w:r w:rsidRPr="00CB2EC4">
              <w:rPr>
                <w:rFonts w:ascii="Times New Roman" w:hAnsi="Times New Roman" w:cs="Times New Roman"/>
              </w:rPr>
              <w:br/>
              <w:t>- Stage IA1: Stromal invasion depth ≤3 mm (measured from the basement membrane of the epithelium or gland).</w:t>
            </w:r>
            <w:r w:rsidRPr="00CB2EC4">
              <w:rPr>
                <w:rFonts w:ascii="Times New Roman" w:hAnsi="Times New Roman" w:cs="Times New Roman"/>
              </w:rPr>
              <w:br/>
              <w:t>- Stage IA2: Stromal invasion depth &gt;3 mm but ≤5 mm.</w:t>
            </w:r>
            <w:r w:rsidRPr="00CB2EC4">
              <w:rPr>
                <w:rFonts w:ascii="Times New Roman" w:hAnsi="Times New Roman" w:cs="Times New Roman"/>
              </w:rPr>
              <w:br/>
            </w:r>
            <w:r w:rsidRPr="00CB2EC4">
              <w:rPr>
                <w:rFonts w:ascii="Times New Roman" w:hAnsi="Times New Roman" w:cs="Times New Roman"/>
              </w:rPr>
              <w:br/>
              <w:t>Key point: The horizontal spread of invasion is no longer used as a staging criterion (removed in the revised edition) due to susceptibility to artifactual effects. Lymphovascular space involvement does not alter the stage but must be documented. Diagnosis of IA stage requires pathological examination of a conization or hysterectomy specimen.</w:t>
            </w:r>
          </w:p>
        </w:tc>
        <w:tc>
          <w:tcPr>
            <w:tcW w:w="1152" w:type="dxa"/>
            <w:vAlign w:val="center"/>
          </w:tcPr>
          <w:p w14:paraId="1F1D9B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EAD3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C5AA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4748FB" w14:textId="77777777">
        <w:tc>
          <w:tcPr>
            <w:tcW w:w="2160" w:type="dxa"/>
            <w:vAlign w:val="center"/>
          </w:tcPr>
          <w:p w14:paraId="056F5A0E"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BDE7BDE" w14:textId="77777777" w:rsidR="00922249" w:rsidRPr="00CB2EC4" w:rsidRDefault="003011D5">
            <w:pPr>
              <w:rPr>
                <w:rFonts w:ascii="Times New Roman" w:hAnsi="Times New Roman" w:cs="Times New Roman"/>
              </w:rPr>
            </w:pPr>
            <w:r w:rsidRPr="00CB2EC4">
              <w:rPr>
                <w:rFonts w:ascii="Times New Roman" w:hAnsi="Times New Roman" w:cs="Times New Roman"/>
              </w:rPr>
              <w:t>Based on FIGO 2018 staging, the main difference between IA1 and IA2 stages is the depth of stromal invasion:</w:t>
            </w:r>
            <w:r w:rsidRPr="00CB2EC4">
              <w:rPr>
                <w:rFonts w:ascii="Times New Roman" w:hAnsi="Times New Roman" w:cs="Times New Roman"/>
              </w:rPr>
              <w:br/>
            </w:r>
            <w:r w:rsidRPr="00CB2EC4">
              <w:rPr>
                <w:rFonts w:ascii="Times New Roman" w:hAnsi="Times New Roman" w:cs="Times New Roman"/>
              </w:rPr>
              <w:br/>
              <w:t>- IA stage overall definition: Microscopic invasive carcinoma (clinical preclinical cancer) with maximum depth of invasion less than 5 mm (Fragment 1: "IA stage: invasive carcinoma visible only under the microscope, maximum depth of invasion less than 5 mm"; Fragment 3: "T1a (FIGO IA stage): microscopically diagnosed invasive carcinoma, maximum stromal invasion depth ≤5 mm").</w:t>
            </w:r>
            <w:r w:rsidRPr="00CB2EC4">
              <w:rPr>
                <w:rFonts w:ascii="Times New Roman" w:hAnsi="Times New Roman" w:cs="Times New Roman"/>
              </w:rPr>
              <w:br/>
              <w:t>- Specific differences:</w:t>
            </w:r>
            <w:r w:rsidRPr="00CB2EC4">
              <w:rPr>
                <w:rFonts w:ascii="Times New Roman" w:hAnsi="Times New Roman" w:cs="Times New Roman"/>
              </w:rPr>
              <w:br/>
            </w:r>
            <w:r w:rsidRPr="00CB2EC4">
              <w:rPr>
                <w:rFonts w:ascii="Times New Roman" w:hAnsi="Times New Roman" w:cs="Times New Roman"/>
              </w:rPr>
              <w:lastRenderedPageBreak/>
              <w:t xml:space="preserve">  - IA1 stage: Stromal invasion depth ≤ 3 mm (Fragment 1: "IA1 stage: stromal invasion depth less than or equal to 3 mm"; Fragment 3: "T1a1 (FIGO IA1 stage): stromal invasion depth ≤3 mm").</w:t>
            </w:r>
            <w:r w:rsidRPr="00CB2EC4">
              <w:rPr>
                <w:rFonts w:ascii="Times New Roman" w:hAnsi="Times New Roman" w:cs="Times New Roman"/>
              </w:rPr>
              <w:br/>
              <w:t xml:space="preserve">  - IA2 stage: Stromal invasion depth &gt; 3 mm but ≤ 5 mm (Fragment 1: "IA2 stage: stromal invasion depth greater than 3 mm but less than 5 mm"; Fragment 3: "T1a2 (FIGO IA2 stage): stromal invasion depth &gt;3 mm, ≤5 mm").</w:t>
            </w:r>
            <w:r w:rsidRPr="00CB2EC4">
              <w:rPr>
                <w:rFonts w:ascii="Times New Roman" w:hAnsi="Times New Roman" w:cs="Times New Roman"/>
              </w:rPr>
              <w:br/>
            </w:r>
            <w:r w:rsidRPr="00CB2EC4">
              <w:rPr>
                <w:rFonts w:ascii="Times New Roman" w:hAnsi="Times New Roman" w:cs="Times New Roman"/>
              </w:rPr>
              <w:br/>
              <w:t>The main difference is the depth of invasion: IA1 stage depth ≤3 mm, IA2 stage depth &gt;3 mm and ≤5 mm. Horizontal spread is no longer considered in staging (Fragment 1: "The revised edition no longer considers horizontal infiltration width").</w:t>
            </w:r>
          </w:p>
        </w:tc>
        <w:tc>
          <w:tcPr>
            <w:tcW w:w="1152" w:type="dxa"/>
            <w:vAlign w:val="center"/>
          </w:tcPr>
          <w:p w14:paraId="4142B0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7F57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5AED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29BAFE2" w14:textId="77777777">
        <w:tc>
          <w:tcPr>
            <w:tcW w:w="2160" w:type="dxa"/>
            <w:vAlign w:val="center"/>
          </w:tcPr>
          <w:p w14:paraId="76C777AF"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D475EBF" w14:textId="1213E81E" w:rsidR="00922249" w:rsidRPr="00CB2EC4" w:rsidRDefault="003011D5">
            <w:pPr>
              <w:rPr>
                <w:rFonts w:ascii="Times New Roman" w:hAnsi="Times New Roman" w:cs="Times New Roman"/>
              </w:rPr>
            </w:pPr>
            <w:r w:rsidRPr="00CB2EC4">
              <w:rPr>
                <w:rFonts w:ascii="Times New Roman" w:hAnsi="Times New Roman" w:cs="Times New Roman"/>
              </w:rPr>
              <w:t>According to the FIGO 2018 staging system, the main difference between stage IA1 and IA2 is as follows:</w:t>
            </w:r>
            <w:r w:rsidRPr="00CB2EC4">
              <w:rPr>
                <w:rFonts w:ascii="Times New Roman" w:hAnsi="Times New Roman" w:cs="Times New Roman"/>
              </w:rPr>
              <w:br/>
            </w:r>
            <w:r w:rsidRPr="00CB2EC4">
              <w:rPr>
                <w:rFonts w:ascii="Times New Roman" w:hAnsi="Times New Roman" w:cs="Times New Roman"/>
              </w:rPr>
              <w:br/>
              <w:t>Stage IA refers to microscopically invasive carcinoma (not visible to the naked eye), with the primary distinction based on the depth of stromal invasion:</w:t>
            </w:r>
            <w:r w:rsidRPr="00CB2EC4">
              <w:rPr>
                <w:rFonts w:ascii="Times New Roman" w:hAnsi="Times New Roman" w:cs="Times New Roman"/>
              </w:rPr>
              <w:br/>
            </w:r>
            <w:r w:rsidRPr="00CB2EC4">
              <w:rPr>
                <w:rFonts w:ascii="Times New Roman" w:hAnsi="Times New Roman" w:cs="Times New Roman"/>
              </w:rPr>
              <w:br/>
              <w:t>- IA1: Stromal invasion depth ≤ 3 mm,</w:t>
            </w:r>
            <w:r w:rsidRPr="00CB2EC4">
              <w:rPr>
                <w:rFonts w:ascii="Times New Roman" w:hAnsi="Times New Roman" w:cs="Times New Roman"/>
              </w:rPr>
              <w:br/>
              <w:t>- IA2: Stromal invasion depth &gt; 3 mm but ≤ 5 mm</w:t>
            </w:r>
            <w:r w:rsidR="00AA594B">
              <w:rPr>
                <w:rFonts w:ascii="Times New Roman" w:hAnsi="Times New Roman" w:cs="Times New Roman"/>
              </w:rPr>
              <w:t>.</w:t>
            </w:r>
            <w:r w:rsidRPr="00CB2EC4">
              <w:rPr>
                <w:rFonts w:ascii="Times New Roman" w:hAnsi="Times New Roman" w:cs="Times New Roman"/>
              </w:rPr>
              <w:br/>
              <w:t xml:space="preserve">  The main difference is the depth of invasion (IA1 ≤ 3 mm vs. IA2 &gt; 3 mm to ≤ 5 mm); both require pathological confirmation for diagnosis.</w:t>
            </w:r>
          </w:p>
        </w:tc>
        <w:tc>
          <w:tcPr>
            <w:tcW w:w="1152" w:type="dxa"/>
            <w:vAlign w:val="center"/>
          </w:tcPr>
          <w:p w14:paraId="160AAE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2C46C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47549C4" w14:textId="797421B2" w:rsidR="00922249" w:rsidRPr="00CB2EC4" w:rsidRDefault="00F01894">
            <w:pPr>
              <w:jc w:val="center"/>
              <w:rPr>
                <w:rFonts w:ascii="Times New Roman" w:hAnsi="Times New Roman" w:cs="Times New Roman"/>
              </w:rPr>
            </w:pPr>
            <w:r>
              <w:rPr>
                <w:rFonts w:ascii="Times New Roman" w:hAnsi="Times New Roman" w:cs="Times New Roman"/>
              </w:rPr>
              <w:t>B</w:t>
            </w:r>
          </w:p>
        </w:tc>
      </w:tr>
      <w:tr w:rsidR="00922249" w:rsidRPr="00CB2EC4" w14:paraId="04A3B52E" w14:textId="77777777">
        <w:tc>
          <w:tcPr>
            <w:tcW w:w="10656" w:type="dxa"/>
            <w:gridSpan w:val="5"/>
            <w:tcBorders>
              <w:bottom w:val="single" w:sz="6" w:space="0" w:color="auto"/>
            </w:tcBorders>
            <w:vAlign w:val="center"/>
          </w:tcPr>
          <w:p w14:paraId="79B7361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49: According to the FIGO 2018 staging system, when lymph node metastasis is detected by imaging or pathology, how should the stage be specifically designated? What are the requirements for noting the method of detection in the report?</w:t>
            </w:r>
          </w:p>
        </w:tc>
      </w:tr>
      <w:tr w:rsidR="00922249" w:rsidRPr="00CB2EC4" w14:paraId="7493E98D" w14:textId="77777777">
        <w:tc>
          <w:tcPr>
            <w:tcW w:w="2160" w:type="dxa"/>
            <w:vAlign w:val="center"/>
          </w:tcPr>
          <w:p w14:paraId="176A537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511E1F0"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FIGO 2018 staging system, when lymph node metastasis is identified by imaging or pathology, the specific staging notation is as follows: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Specific staging notation:</w:t>
            </w:r>
            <w:r w:rsidRPr="00CB2EC4">
              <w:rPr>
                <w:rFonts w:ascii="Times New Roman" w:hAnsi="Times New Roman" w:cs="Times New Roman"/>
              </w:rPr>
              <w:br/>
              <w:t xml:space="preserve">  - Staging depends on the location of metastasis and the method of detection:</w:t>
            </w:r>
            <w:r w:rsidRPr="00CB2EC4">
              <w:rPr>
                <w:rFonts w:ascii="Times New Roman" w:hAnsi="Times New Roman" w:cs="Times New Roman"/>
              </w:rPr>
              <w:br/>
              <w:t xml:space="preserve">    - Pelvic lymph node metastasis: staged as IIIC1. If detected by imaging, specified as IIIC1r; if detected by pathology, specified as IIIC1p.</w:t>
            </w:r>
            <w:r w:rsidRPr="00CB2EC4">
              <w:rPr>
                <w:rFonts w:ascii="Times New Roman" w:hAnsi="Times New Roman" w:cs="Times New Roman"/>
              </w:rPr>
              <w:br/>
              <w:t xml:space="preserve">    - Para-aortic lymph node metastasis: staged as IIIC2. If detected by imaging, specified as IIIC2r; if detected by pathology, specified as IIIC2p.</w:t>
            </w:r>
            <w:r w:rsidRPr="00CB2EC4">
              <w:rPr>
                <w:rFonts w:ascii="Times New Roman" w:hAnsi="Times New Roman" w:cs="Times New Roman"/>
              </w:rPr>
              <w:br/>
              <w:t xml:space="preserve">  - Example: imaging showing pelvic lymph node metastasis → stage IIIC1r; pathology confirming pelvic lymph node metastasis → stage IIIC1p.</w:t>
            </w:r>
            <w:r w:rsidRPr="00CB2EC4">
              <w:rPr>
                <w:rFonts w:ascii="Times New Roman" w:hAnsi="Times New Roman" w:cs="Times New Roman"/>
              </w:rPr>
              <w:br/>
            </w:r>
            <w:r w:rsidRPr="00CB2EC4">
              <w:rPr>
                <w:rFonts w:ascii="Times New Roman" w:hAnsi="Times New Roman" w:cs="Times New Roman"/>
              </w:rPr>
              <w:br/>
              <w:t>- Reporting requirements for lymph node metastasis:</w:t>
            </w:r>
            <w:r w:rsidRPr="00CB2EC4">
              <w:rPr>
                <w:rFonts w:ascii="Times New Roman" w:hAnsi="Times New Roman" w:cs="Times New Roman"/>
              </w:rPr>
              <w:br/>
              <w:t xml:space="preserve">  - Must specify the detection method: use suffix "r" for radiological (imaging) detection, "p" for pathological detection.</w:t>
            </w:r>
            <w:r w:rsidRPr="00CB2EC4">
              <w:rPr>
                <w:rFonts w:ascii="Times New Roman" w:hAnsi="Times New Roman" w:cs="Times New Roman"/>
              </w:rPr>
              <w:br/>
              <w:t xml:space="preserve">  - Must document technical details: specify the imaging modality (e.g., MRI, CT, PET-CT) or pathological technique (e.g., fine needle aspiration, core needle biopsy, tissue biopsy, surgical specimen). For example, report should include "Imaging method: PET-CT" or "Pathological technique: sentinel lymph node biopsy".</w:t>
            </w:r>
            <w:r w:rsidRPr="00CB2EC4">
              <w:rPr>
                <w:rFonts w:ascii="Times New Roman" w:hAnsi="Times New Roman" w:cs="Times New Roman"/>
              </w:rPr>
              <w:br/>
              <w:t xml:space="preserve">  - Additional requirement: if staging is ambiguous, assign the earlier stage; isolated tumor cells (ITC) and micrometastases must be recorded in the report but do not affect staging (ITC may be denoted as N0(i+)).</w:t>
            </w:r>
            <w:r w:rsidRPr="00CB2EC4">
              <w:rPr>
                <w:rFonts w:ascii="Times New Roman" w:hAnsi="Times New Roman" w:cs="Times New Roman"/>
              </w:rPr>
              <w:br/>
            </w:r>
            <w:r w:rsidRPr="00CB2EC4">
              <w:rPr>
                <w:rFonts w:ascii="Times New Roman" w:hAnsi="Times New Roman" w:cs="Times New Roman"/>
              </w:rPr>
              <w:br/>
              <w:t>- Source basis: document excerpts (similarity 0.553 and 0.531) detail the notation rules for stage IIIC and reporting requirements, including examples and annotations.</w:t>
            </w:r>
          </w:p>
        </w:tc>
        <w:tc>
          <w:tcPr>
            <w:tcW w:w="1152" w:type="dxa"/>
            <w:vAlign w:val="center"/>
          </w:tcPr>
          <w:p w14:paraId="7A1593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D6AA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497E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21DA7E" w14:textId="77777777">
        <w:tc>
          <w:tcPr>
            <w:tcW w:w="2160" w:type="dxa"/>
            <w:vAlign w:val="center"/>
          </w:tcPr>
          <w:p w14:paraId="6973B23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Contextual Chunk </w:t>
            </w:r>
            <w:r w:rsidRPr="00CB2EC4">
              <w:rPr>
                <w:rFonts w:ascii="Times New Roman" w:hAnsi="Times New Roman" w:cs="Times New Roman"/>
              </w:rPr>
              <w:lastRenderedPageBreak/>
              <w:t>Headers</w:t>
            </w:r>
          </w:p>
        </w:tc>
        <w:tc>
          <w:tcPr>
            <w:tcW w:w="5040" w:type="dxa"/>
            <w:vAlign w:val="center"/>
          </w:tcPr>
          <w:p w14:paraId="1687F84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according to FIGO 2018 staging, when lymph node </w:t>
            </w:r>
            <w:r w:rsidRPr="00CB2EC4">
              <w:rPr>
                <w:rFonts w:ascii="Times New Roman" w:hAnsi="Times New Roman" w:cs="Times New Roman"/>
              </w:rPr>
              <w:lastRenderedPageBreak/>
              <w:t xml:space="preserve">metastasis is identified by imaging or pathology, the specific staging notation is as follows:  </w:t>
            </w:r>
            <w:r w:rsidRPr="00CB2EC4">
              <w:rPr>
                <w:rFonts w:ascii="Times New Roman" w:hAnsi="Times New Roman" w:cs="Times New Roman"/>
              </w:rPr>
              <w:br/>
              <w:t xml:space="preserve">- staging notation:  </w:t>
            </w:r>
            <w:r w:rsidRPr="00CB2EC4">
              <w:rPr>
                <w:rFonts w:ascii="Times New Roman" w:hAnsi="Times New Roman" w:cs="Times New Roman"/>
              </w:rPr>
              <w:br/>
              <w:t xml:space="preserve">  - when lymph node metastasis is present, the stage is III C, further divided into:  </w:t>
            </w:r>
            <w:r w:rsidRPr="00CB2EC4">
              <w:rPr>
                <w:rFonts w:ascii="Times New Roman" w:hAnsi="Times New Roman" w:cs="Times New Roman"/>
              </w:rPr>
              <w:br/>
              <w:t xml:space="preserve">    - III C1: metastasis limited to pelvic lymph nodes.  </w:t>
            </w:r>
            <w:r w:rsidRPr="00CB2EC4">
              <w:rPr>
                <w:rFonts w:ascii="Times New Roman" w:hAnsi="Times New Roman" w:cs="Times New Roman"/>
              </w:rPr>
              <w:br/>
              <w:t xml:space="preserve">    - III C2: para-aortic lymph node metastasis (segment 1, segment 2, segment 3, segment 4).  </w:t>
            </w:r>
            <w:r w:rsidRPr="00CB2EC4">
              <w:rPr>
                <w:rFonts w:ascii="Times New Roman" w:hAnsi="Times New Roman" w:cs="Times New Roman"/>
              </w:rPr>
              <w:br/>
              <w:t xml:space="preserve">  - notation for method of detection:  </w:t>
            </w:r>
            <w:r w:rsidRPr="00CB2EC4">
              <w:rPr>
                <w:rFonts w:ascii="Times New Roman" w:hAnsi="Times New Roman" w:cs="Times New Roman"/>
              </w:rPr>
              <w:br/>
              <w:t xml:space="preserve">    - if lymph node metastasis is identified by imaging, append "r" (e.g., III C1r or III C2r).  </w:t>
            </w:r>
            <w:r w:rsidRPr="00CB2EC4">
              <w:rPr>
                <w:rFonts w:ascii="Times New Roman" w:hAnsi="Times New Roman" w:cs="Times New Roman"/>
              </w:rPr>
              <w:br/>
              <w:t xml:space="preserve">    - if identified by pathology, append "p" (e.g., III C1p or III C2p) (segment 1, segment 2, segment 3).  </w:t>
            </w:r>
            <w:r w:rsidRPr="00CB2EC4">
              <w:rPr>
                <w:rFonts w:ascii="Times New Roman" w:hAnsi="Times New Roman" w:cs="Times New Roman"/>
              </w:rPr>
              <w:br/>
              <w:t xml:space="preserve">- reporting requirements:  </w:t>
            </w:r>
            <w:r w:rsidRPr="00CB2EC4">
              <w:rPr>
                <w:rFonts w:ascii="Times New Roman" w:hAnsi="Times New Roman" w:cs="Times New Roman"/>
              </w:rPr>
              <w:br/>
              <w:t xml:space="preserve">  - the specific technique type (e.g., imaging methods such as MRI, PET-CT; pathology techniques such as fine needle aspiration, core needle biopsy, sentinel lymph node biopsy) must be documented (segment 2, segment 3).  </w:t>
            </w:r>
            <w:r w:rsidRPr="00CB2EC4">
              <w:rPr>
                <w:rFonts w:ascii="Times New Roman" w:hAnsi="Times New Roman" w:cs="Times New Roman"/>
              </w:rPr>
              <w:br/>
              <w:t xml:space="preserve">  - for example: imaging showing pelvic lymph node metastasis is reported as III C1r; pathology confirmation is reported as III C1p (segment 3).  </w:t>
            </w:r>
            <w:r w:rsidRPr="00CB2EC4">
              <w:rPr>
                <w:rFonts w:ascii="Times New Roman" w:hAnsi="Times New Roman" w:cs="Times New Roman"/>
              </w:rPr>
              <w:br/>
              <w:t xml:space="preserve">  - if staging is controversial, assign the earlier stage (segment 3).  </w:t>
            </w:r>
            <w:r w:rsidRPr="00CB2EC4">
              <w:rPr>
                <w:rFonts w:ascii="Times New Roman" w:hAnsi="Times New Roman" w:cs="Times New Roman"/>
              </w:rPr>
              <w:br/>
              <w:t xml:space="preserve">- key point: this notation aids data analysis and prognosis assessment, as pathologically confirmed metastasis (p) is more reliable than imaging-detected metastasis (r) (segment 1).  </w:t>
            </w:r>
            <w:r w:rsidRPr="00CB2EC4">
              <w:rPr>
                <w:rFonts w:ascii="Times New Roman" w:hAnsi="Times New Roman" w:cs="Times New Roman"/>
              </w:rPr>
              <w:br/>
            </w:r>
            <w:r w:rsidRPr="00CB2EC4">
              <w:rPr>
                <w:rFonts w:ascii="Times New Roman" w:hAnsi="Times New Roman" w:cs="Times New Roman"/>
              </w:rPr>
              <w:br/>
              <w:t xml:space="preserve">based on document segments: segment 1 (block topic: cervical cancer staging and treatment guidelines), segment 2 (block topic: cervical cancer lymph node metastasis staging), segment 3 (block topic: cervical cancer lymph node metastasis staging), segment 4 </w:t>
            </w:r>
            <w:r w:rsidRPr="00CB2EC4">
              <w:rPr>
                <w:rFonts w:ascii="Times New Roman" w:hAnsi="Times New Roman" w:cs="Times New Roman"/>
              </w:rPr>
              <w:lastRenderedPageBreak/>
              <w:t>(block topic: cervical cancer staging standards).</w:t>
            </w:r>
          </w:p>
        </w:tc>
        <w:tc>
          <w:tcPr>
            <w:tcW w:w="1152" w:type="dxa"/>
            <w:vAlign w:val="center"/>
          </w:tcPr>
          <w:p w14:paraId="794C02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41616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7853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9FC4A86" w14:textId="77777777">
        <w:tc>
          <w:tcPr>
            <w:tcW w:w="2160" w:type="dxa"/>
            <w:vAlign w:val="center"/>
          </w:tcPr>
          <w:p w14:paraId="62C7DBD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284A305C"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FIGO 2018 staging, when lymph node metastasis is identified by imaging or pathology, the staging should be specifically marked as follows:</w:t>
            </w:r>
            <w:r w:rsidRPr="00CB2EC4">
              <w:rPr>
                <w:rFonts w:ascii="Times New Roman" w:hAnsi="Times New Roman" w:cs="Times New Roman"/>
              </w:rPr>
              <w:br/>
            </w:r>
            <w:r w:rsidRPr="00CB2EC4">
              <w:rPr>
                <w:rFonts w:ascii="Times New Roman" w:hAnsi="Times New Roman" w:cs="Times New Roman"/>
              </w:rPr>
              <w:br/>
              <w:t>- Staging notation:</w:t>
            </w:r>
            <w:r w:rsidRPr="00CB2EC4">
              <w:rPr>
                <w:rFonts w:ascii="Times New Roman" w:hAnsi="Times New Roman" w:cs="Times New Roman"/>
              </w:rPr>
              <w:br/>
              <w:t xml:space="preserve">  - Lymph node metastasis is staged as IIIC, subdivided into:</w:t>
            </w:r>
            <w:r w:rsidRPr="00CB2EC4">
              <w:rPr>
                <w:rFonts w:ascii="Times New Roman" w:hAnsi="Times New Roman" w:cs="Times New Roman"/>
              </w:rPr>
              <w:br/>
              <w:t xml:space="preserve">    - IIIC1: involvement of pelvic lymph nodes only (document fragments 1, 2, 6, 7).</w:t>
            </w:r>
            <w:r w:rsidRPr="00CB2EC4">
              <w:rPr>
                <w:rFonts w:ascii="Times New Roman" w:hAnsi="Times New Roman" w:cs="Times New Roman"/>
              </w:rPr>
              <w:br/>
              <w:t xml:space="preserve">    - IIIC2: para-aortic lymph node metastasis (document fragments 1, 2, 6, 7).</w:t>
            </w:r>
            <w:r w:rsidRPr="00CB2EC4">
              <w:rPr>
                <w:rFonts w:ascii="Times New Roman" w:hAnsi="Times New Roman" w:cs="Times New Roman"/>
              </w:rPr>
              <w:br/>
              <w:t xml:space="preserve">  - A suffix must be added to indicate the method of detection:</w:t>
            </w:r>
            <w:r w:rsidRPr="00CB2EC4">
              <w:rPr>
                <w:rFonts w:ascii="Times New Roman" w:hAnsi="Times New Roman" w:cs="Times New Roman"/>
              </w:rPr>
              <w:br/>
              <w:t xml:space="preserve">    - Suffix "r": indicates imaging-based evidence (e.g., imaging shows lymph node metastasis), such as IIIC1r (document fragments 1, 6, 11).</w:t>
            </w:r>
            <w:r w:rsidRPr="00CB2EC4">
              <w:rPr>
                <w:rFonts w:ascii="Times New Roman" w:hAnsi="Times New Roman" w:cs="Times New Roman"/>
              </w:rPr>
              <w:br/>
              <w:t xml:space="preserve">    - Suffix "p": indicates pathology-based evidence (e.g., pathology confirms lymph node metastasis), such as IIIC1p (document fragments 1, 6, 11).</w:t>
            </w:r>
            <w:r w:rsidRPr="00CB2EC4">
              <w:rPr>
                <w:rFonts w:ascii="Times New Roman" w:hAnsi="Times New Roman" w:cs="Times New Roman"/>
              </w:rPr>
              <w:br/>
              <w:t>- Reporting requirements:</w:t>
            </w:r>
            <w:r w:rsidRPr="00CB2EC4">
              <w:rPr>
                <w:rFonts w:ascii="Times New Roman" w:hAnsi="Times New Roman" w:cs="Times New Roman"/>
              </w:rPr>
              <w:br/>
              <w:t xml:space="preserve">  - The type of imaging method used (e.g., ultrasound, CT, MRI, PET-CT) or pathology technique type (e.g., fine needle aspiration, core needle biopsy, biopsy, sentinel lymph node biopsy) must be recorded (document fragments 1, 6, 7).</w:t>
            </w:r>
            <w:r w:rsidRPr="00CB2EC4">
              <w:rPr>
                <w:rFonts w:ascii="Times New Roman" w:hAnsi="Times New Roman" w:cs="Times New Roman"/>
              </w:rPr>
              <w:br/>
              <w:t xml:space="preserve">  - Pathology techniques must be specifically annotated, e.g., N(f) denotes confirmation by fine needle aspiration or core needle biopsy, N(sn) denotes confirmation by sentinel lymph node biopsy (document fragment 6).</w:t>
            </w:r>
            <w:r w:rsidRPr="00CB2EC4">
              <w:rPr>
                <w:rFonts w:ascii="Times New Roman" w:hAnsi="Times New Roman" w:cs="Times New Roman"/>
              </w:rPr>
              <w:br/>
              <w:t xml:space="preserve">  - If staging is controversial, assign the earlier stage (document fragments 2, 6).</w:t>
            </w:r>
          </w:p>
        </w:tc>
        <w:tc>
          <w:tcPr>
            <w:tcW w:w="1152" w:type="dxa"/>
            <w:vAlign w:val="center"/>
          </w:tcPr>
          <w:p w14:paraId="412DFE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7847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6014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3379D9" w14:textId="77777777">
        <w:tc>
          <w:tcPr>
            <w:tcW w:w="2160" w:type="dxa"/>
            <w:vAlign w:val="center"/>
          </w:tcPr>
          <w:p w14:paraId="5EC3E7F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1CA70783" w14:textId="77777777" w:rsidR="00922249" w:rsidRPr="00CB2EC4" w:rsidRDefault="003011D5">
            <w:pPr>
              <w:rPr>
                <w:rFonts w:ascii="Times New Roman" w:hAnsi="Times New Roman" w:cs="Times New Roman"/>
              </w:rPr>
            </w:pPr>
            <w:r w:rsidRPr="00CB2EC4">
              <w:rPr>
                <w:rFonts w:ascii="Times New Roman" w:hAnsi="Times New Roman" w:cs="Times New Roman"/>
              </w:rPr>
              <w:t>staging markers for lymph node metastasis and reporting requirements</w:t>
            </w:r>
            <w:r w:rsidRPr="00CB2EC4">
              <w:rPr>
                <w:rFonts w:ascii="Times New Roman" w:hAnsi="Times New Roman" w:cs="Times New Roman"/>
              </w:rPr>
              <w:br/>
            </w:r>
            <w:r w:rsidRPr="00CB2EC4">
              <w:rPr>
                <w:rFonts w:ascii="Times New Roman" w:hAnsi="Times New Roman" w:cs="Times New Roman"/>
              </w:rPr>
              <w:br/>
              <w:t xml:space="preserve">Staging markers:  </w:t>
            </w:r>
            <w:r w:rsidRPr="00CB2EC4">
              <w:rPr>
                <w:rFonts w:ascii="Times New Roman" w:hAnsi="Times New Roman" w:cs="Times New Roman"/>
              </w:rPr>
              <w:br/>
              <w:t xml:space="preserve">  - Lymph node metastasis detected by imaging → Stage ⅢCr (e.g., ⅢC1r).  </w:t>
            </w:r>
            <w:r w:rsidRPr="00CB2EC4">
              <w:rPr>
                <w:rFonts w:ascii="Times New Roman" w:hAnsi="Times New Roman" w:cs="Times New Roman"/>
              </w:rPr>
              <w:br/>
              <w:t xml:space="preserve">  - Lymph node metastasis confirmed by pathology → Stage ⅢCp (e.g., ⅢC1p) (Knowledge Base Document 1; Online Source 1, 3, 7).  </w:t>
            </w:r>
            <w:r w:rsidRPr="00CB2EC4">
              <w:rPr>
                <w:rFonts w:ascii="Times New Roman" w:hAnsi="Times New Roman" w:cs="Times New Roman"/>
              </w:rPr>
              <w:br/>
              <w:t xml:space="preserve">- Reporting requirements:  </w:t>
            </w:r>
            <w:r w:rsidRPr="00CB2EC4">
              <w:rPr>
                <w:rFonts w:ascii="Times New Roman" w:hAnsi="Times New Roman" w:cs="Times New Roman"/>
              </w:rPr>
              <w:br/>
              <w:t xml:space="preserve">  - The detection method must be specified (e.g., MRI/PET-CT or biopsy technique).  </w:t>
            </w:r>
            <w:r w:rsidRPr="00CB2EC4">
              <w:rPr>
                <w:rFonts w:ascii="Times New Roman" w:hAnsi="Times New Roman" w:cs="Times New Roman"/>
              </w:rPr>
              <w:br/>
              <w:t xml:space="preserve">  - The type of metastasis must be distinguished:  </w:t>
            </w:r>
            <w:r w:rsidRPr="00CB2EC4">
              <w:rPr>
                <w:rFonts w:ascii="Times New Roman" w:hAnsi="Times New Roman" w:cs="Times New Roman"/>
              </w:rPr>
              <w:br/>
              <w:t xml:space="preserve">    - Micrometastasis (0.2~2mm) → recorded as `Nmi`.  </w:t>
            </w:r>
            <w:r w:rsidRPr="00CB2EC4">
              <w:rPr>
                <w:rFonts w:ascii="Times New Roman" w:hAnsi="Times New Roman" w:cs="Times New Roman"/>
              </w:rPr>
              <w:br/>
              <w:t xml:space="preserve">    - Macrometastasis (&gt;2mm) → recorded as `Na` (Knowledge Base Document 1; Online Source 7).  </w:t>
            </w:r>
            <w:r w:rsidRPr="00CB2EC4">
              <w:rPr>
                <w:rFonts w:ascii="Times New Roman" w:hAnsi="Times New Roman" w:cs="Times New Roman"/>
              </w:rPr>
              <w:br/>
              <w:t xml:space="preserve">  - Isolated tumor cells (&lt;0.2mm) recorded as `N0(i+)` do not affect staging (Knowledge Base Document 1).</w:t>
            </w:r>
            <w:r w:rsidRPr="00CB2EC4">
              <w:rPr>
                <w:rFonts w:ascii="Times New Roman" w:hAnsi="Times New Roman" w:cs="Times New Roman"/>
              </w:rPr>
              <w:br/>
            </w:r>
            <w:r w:rsidRPr="00CB2EC4">
              <w:rPr>
                <w:rFonts w:ascii="Times New Roman" w:hAnsi="Times New Roman" w:cs="Times New Roman"/>
              </w:rPr>
              <w:br/>
              <w:t>&gt; Source: Knowledge Base Document 1 (pathological stratification) and Online Source 7 (NCCN Guidelines).</w:t>
            </w:r>
          </w:p>
        </w:tc>
        <w:tc>
          <w:tcPr>
            <w:tcW w:w="1152" w:type="dxa"/>
            <w:vAlign w:val="center"/>
          </w:tcPr>
          <w:p w14:paraId="4ED7EE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D545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DE60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9A31E2" w14:textId="77777777">
        <w:tc>
          <w:tcPr>
            <w:tcW w:w="2160" w:type="dxa"/>
            <w:vAlign w:val="center"/>
          </w:tcPr>
          <w:p w14:paraId="53D6659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303C03F"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FIGO 2018 staging, when lymph node metastasis is identified by imaging or pathology, the staging should be specifically marked as follows:</w:t>
            </w:r>
            <w:r w:rsidRPr="00CB2EC4">
              <w:rPr>
                <w:rFonts w:ascii="Times New Roman" w:hAnsi="Times New Roman" w:cs="Times New Roman"/>
              </w:rPr>
              <w:br/>
            </w:r>
            <w:r w:rsidRPr="00CB2EC4">
              <w:rPr>
                <w:rFonts w:ascii="Times New Roman" w:hAnsi="Times New Roman" w:cs="Times New Roman"/>
              </w:rPr>
              <w:br/>
              <w:t>- Staging notation:</w:t>
            </w:r>
            <w:r w:rsidRPr="00CB2EC4">
              <w:rPr>
                <w:rFonts w:ascii="Times New Roman" w:hAnsi="Times New Roman" w:cs="Times New Roman"/>
              </w:rPr>
              <w:br/>
              <w:t xml:space="preserve">  - If lymph node metastasis is detected by imaging methods (e.g., MRI, PET-CT), the stage is marked with "r" (e.g., pelvic lymph node metastasis staged as IIIC1r; para-aortic lymph node metastasis staged as IIIC2r).</w:t>
            </w:r>
            <w:r w:rsidRPr="00CB2EC4">
              <w:rPr>
                <w:rFonts w:ascii="Times New Roman" w:hAnsi="Times New Roman" w:cs="Times New Roman"/>
              </w:rPr>
              <w:br/>
              <w:t xml:space="preserve">  - If lymph node metastasis is confirmed by pathological methods (e.g., biopsy, surgery), the stage </w:t>
            </w:r>
            <w:r w:rsidRPr="00CB2EC4">
              <w:rPr>
                <w:rFonts w:ascii="Times New Roman" w:hAnsi="Times New Roman" w:cs="Times New Roman"/>
              </w:rPr>
              <w:lastRenderedPageBreak/>
              <w:t>is marked with "p" (e.g., pelvic lymph node metastasis staged as IIIC1p; para-aortic lymph node metastasis staged as IIIC2p).</w:t>
            </w:r>
            <w:r w:rsidRPr="00CB2EC4">
              <w:rPr>
                <w:rFonts w:ascii="Times New Roman" w:hAnsi="Times New Roman" w:cs="Times New Roman"/>
              </w:rPr>
              <w:br/>
              <w:t xml:space="preserve">  - Example: when imaging shows pelvic lymph node metastasis, the stage is recorded as IIIC1r; when confirmed by pathology, it is recorded as IIIC1p (document fragment 2: "For evidence used to diagnose FIGO IIIC stage, the method employed—r (imaging) or p (pathology)—must be specified. For example, if imaging shows pelvic lymph node metastasis, the stage is IIIC1r; if confirmed by pathology, the stage is IIIC1p").</w:t>
            </w:r>
            <w:r w:rsidRPr="00CB2EC4">
              <w:rPr>
                <w:rFonts w:ascii="Times New Roman" w:hAnsi="Times New Roman" w:cs="Times New Roman"/>
              </w:rPr>
              <w:br/>
            </w:r>
            <w:r w:rsidRPr="00CB2EC4">
              <w:rPr>
                <w:rFonts w:ascii="Times New Roman" w:hAnsi="Times New Roman" w:cs="Times New Roman"/>
              </w:rPr>
              <w:br/>
              <w:t>- Reporting requirements for notation:</w:t>
            </w:r>
            <w:r w:rsidRPr="00CB2EC4">
              <w:rPr>
                <w:rFonts w:ascii="Times New Roman" w:hAnsi="Times New Roman" w:cs="Times New Roman"/>
              </w:rPr>
              <w:br/>
              <w:t xml:space="preserve">  - The specific imaging method (e.g., ultrasound, CT, MRI, PET-CT) and pathological technique type (e.g., fine needle aspiration, core needle biopsy, tissue biopsy, sentinel lymph node biopsy) must be recorded.</w:t>
            </w:r>
            <w:r w:rsidRPr="00CB2EC4">
              <w:rPr>
                <w:rFonts w:ascii="Times New Roman" w:hAnsi="Times New Roman" w:cs="Times New Roman"/>
              </w:rPr>
              <w:br/>
              <w:t xml:space="preserve">  - The document emphasizes that these details must be noted in the report to facilitate data analysis and subsequent evaluation (document fragment 2: "The imaging method and pathological technique type used must be recorded"; document fragment 4: "It must be recorded whether this staging is based on imaging (r) or pathological confirmation (p), to allow appropriate data analysis and reporting").</w:t>
            </w:r>
            <w:r w:rsidRPr="00CB2EC4">
              <w:rPr>
                <w:rFonts w:ascii="Times New Roman" w:hAnsi="Times New Roman" w:cs="Times New Roman"/>
              </w:rPr>
              <w:br/>
              <w:t xml:space="preserve">  - If staging is controversial (e.g., imaging false positive), assign to an earlier stage (document fragment 2: "If staging is controversial, assign to an earlier stage").</w:t>
            </w:r>
            <w:r w:rsidRPr="00CB2EC4">
              <w:rPr>
                <w:rFonts w:ascii="Times New Roman" w:hAnsi="Times New Roman" w:cs="Times New Roman"/>
              </w:rPr>
              <w:br/>
            </w:r>
            <w:r w:rsidRPr="00CB2EC4">
              <w:rPr>
                <w:rFonts w:ascii="Times New Roman" w:hAnsi="Times New Roman" w:cs="Times New Roman"/>
              </w:rPr>
              <w:br/>
              <w:t xml:space="preserve">- Key point: the staging category (IIIC1 or IIIC2) depends on the location of metastasis (pelvic or para-aortic lymph nodes), while the "r" or "p" suffix </w:t>
            </w:r>
            <w:r w:rsidRPr="00CB2EC4">
              <w:rPr>
                <w:rFonts w:ascii="Times New Roman" w:hAnsi="Times New Roman" w:cs="Times New Roman"/>
              </w:rPr>
              <w:lastRenderedPageBreak/>
              <w:t>indicates only the detection method and does not alter the stage value (document fragment 3: "N1 (FIGO IIIC1 stage): regional lymph node metastasis limited to pelvic lymph nodes; N2 (FIGO IIIC2 stage): regional lymph node metastasis involving para-aortic lymph nodes").</w:t>
            </w:r>
            <w:r w:rsidRPr="00CB2EC4">
              <w:rPr>
                <w:rFonts w:ascii="Times New Roman" w:hAnsi="Times New Roman" w:cs="Times New Roman"/>
              </w:rPr>
              <w:br/>
            </w:r>
            <w:r w:rsidRPr="00CB2EC4">
              <w:rPr>
                <w:rFonts w:ascii="Times New Roman" w:hAnsi="Times New Roman" w:cs="Times New Roman"/>
              </w:rPr>
              <w:br/>
              <w:t>In summary, the staging notation must include the suffix "r" (imaging) or "p" (pathology), and the methods and techniques used must be detailed in the report.</w:t>
            </w:r>
          </w:p>
        </w:tc>
        <w:tc>
          <w:tcPr>
            <w:tcW w:w="1152" w:type="dxa"/>
            <w:vAlign w:val="center"/>
          </w:tcPr>
          <w:p w14:paraId="21F316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5BE1E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A1E3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66C849" w14:textId="77777777">
        <w:tc>
          <w:tcPr>
            <w:tcW w:w="2160" w:type="dxa"/>
            <w:vAlign w:val="center"/>
          </w:tcPr>
          <w:p w14:paraId="707858F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53F98F2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FIGO 2018 staging, when lymph node metastasis is identified by imaging or pathology, the specific staging notation is as follows:  </w:t>
            </w:r>
            <w:r w:rsidRPr="00CB2EC4">
              <w:rPr>
                <w:rFonts w:ascii="Times New Roman" w:hAnsi="Times New Roman" w:cs="Times New Roman"/>
              </w:rPr>
              <w:br/>
              <w:t xml:space="preserve">- Lymph node metastasis is categorized as pelvic (stage IIIC1) or para-aortic (stage IIIC2).  </w:t>
            </w:r>
            <w:r w:rsidRPr="00CB2EC4">
              <w:rPr>
                <w:rFonts w:ascii="Times New Roman" w:hAnsi="Times New Roman" w:cs="Times New Roman"/>
              </w:rPr>
              <w:br/>
              <w:t xml:space="preserve">- Notation for method of detection:  </w:t>
            </w:r>
            <w:r w:rsidRPr="00CB2EC4">
              <w:rPr>
                <w:rFonts w:ascii="Times New Roman" w:hAnsi="Times New Roman" w:cs="Times New Roman"/>
              </w:rPr>
              <w:br/>
              <w:t xml:space="preserve">  - If detected by imaging (e.g., MRI, PET-CT), the stage is denoted as IIIC1r (pelvic) or IIIC2r (para-aortic) (documents 1, 2, 3).  </w:t>
            </w:r>
            <w:r w:rsidRPr="00CB2EC4">
              <w:rPr>
                <w:rFonts w:ascii="Times New Roman" w:hAnsi="Times New Roman" w:cs="Times New Roman"/>
              </w:rPr>
              <w:br/>
              <w:t xml:space="preserve">  - If confirmed by pathology (e.g., biopsy, surgical resection), the stage is denoted as IIIC1p (pelvic) or IIIC2p (para-aortic) (documents 1, 3, 5).  </w:t>
            </w:r>
            <w:r w:rsidRPr="00CB2EC4">
              <w:rPr>
                <w:rFonts w:ascii="Times New Roman" w:hAnsi="Times New Roman" w:cs="Times New Roman"/>
              </w:rPr>
              <w:br/>
              <w:t xml:space="preserve">- Reporting requirements:  </w:t>
            </w:r>
            <w:r w:rsidRPr="00CB2EC4">
              <w:rPr>
                <w:rFonts w:ascii="Times New Roman" w:hAnsi="Times New Roman" w:cs="Times New Roman"/>
              </w:rPr>
              <w:br/>
              <w:t xml:space="preserve">  - The specific imaging modality (e.g., MRI, PET-CT) and pathological technique (e.g., fine needle aspiration, core needle biopsy, surgical specimen) must be documented (documents 1, 2, 5).  </w:t>
            </w:r>
            <w:r w:rsidRPr="00CB2EC4">
              <w:rPr>
                <w:rFonts w:ascii="Times New Roman" w:hAnsi="Times New Roman" w:cs="Times New Roman"/>
              </w:rPr>
              <w:br/>
              <w:t xml:space="preserve">  - For example, the staging report should specify the suffix “r” or “p” and describe the technique used (e.g., “IIIC1r via PET-CT” or “IIIC1p via biopsy”) (documents 1, 5).  </w:t>
            </w:r>
            <w:r w:rsidRPr="00CB2EC4">
              <w:rPr>
                <w:rFonts w:ascii="Times New Roman" w:hAnsi="Times New Roman" w:cs="Times New Roman"/>
              </w:rPr>
              <w:br/>
              <w:t xml:space="preserve">  - If staging is controversial, assign the earlier stage (documents 3, 15).  </w:t>
            </w:r>
            <w:r w:rsidRPr="00CB2EC4">
              <w:rPr>
                <w:rFonts w:ascii="Times New Roman" w:hAnsi="Times New Roman" w:cs="Times New Roman"/>
              </w:rPr>
              <w:br/>
            </w:r>
            <w:r w:rsidRPr="00CB2EC4">
              <w:rPr>
                <w:rFonts w:ascii="Times New Roman" w:hAnsi="Times New Roman" w:cs="Times New Roman"/>
              </w:rPr>
              <w:lastRenderedPageBreak/>
              <w:t>This notation facilitates data analysis and prognostic assessment, as imaging has higher false-positive/false-negative rates (e.g., due to tuberculosis or inflammation), while pathology is more reliable (documents 1, 2).</w:t>
            </w:r>
          </w:p>
        </w:tc>
        <w:tc>
          <w:tcPr>
            <w:tcW w:w="1152" w:type="dxa"/>
            <w:vAlign w:val="center"/>
          </w:tcPr>
          <w:p w14:paraId="27F524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27DAD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A78F5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7F6A75" w14:textId="77777777">
        <w:tc>
          <w:tcPr>
            <w:tcW w:w="2160" w:type="dxa"/>
            <w:vAlign w:val="center"/>
          </w:tcPr>
          <w:p w14:paraId="6B1E966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F7CA6E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lymph node metastasis is found by imaging or pathology, the staging should be specifically marked with the method of detection ("r" for imaging, "p" for pathology) and the technical details recorded. The specific requirements are as follows:  </w:t>
            </w:r>
            <w:r w:rsidRPr="00CB2EC4">
              <w:rPr>
                <w:rFonts w:ascii="Times New Roman" w:hAnsi="Times New Roman" w:cs="Times New Roman"/>
              </w:rPr>
              <w:br/>
              <w:t xml:space="preserve">- Specific staging marking:  </w:t>
            </w:r>
            <w:r w:rsidRPr="00CB2EC4">
              <w:rPr>
                <w:rFonts w:ascii="Times New Roman" w:hAnsi="Times New Roman" w:cs="Times New Roman"/>
              </w:rPr>
              <w:br/>
              <w:t xml:space="preserve">  - If pelvic lymph node metastasis is found by imaging, stage as III C1r; if found by pathology, stage as III C1p.  </w:t>
            </w:r>
            <w:r w:rsidRPr="00CB2EC4">
              <w:rPr>
                <w:rFonts w:ascii="Times New Roman" w:hAnsi="Times New Roman" w:cs="Times New Roman"/>
              </w:rPr>
              <w:br/>
              <w:t xml:space="preserve">  - If para-aortic lymph node metastasis is found by imaging, stage as III C2r; if found by pathology, stage as III C2p.  </w:t>
            </w:r>
            <w:r w:rsidRPr="00CB2EC4">
              <w:rPr>
                <w:rFonts w:ascii="Times New Roman" w:hAnsi="Times New Roman" w:cs="Times New Roman"/>
              </w:rPr>
              <w:br/>
              <w:t xml:space="preserve">  For example, as stated in the [HyDE similarity: 0.685] segment: "If pelvic lymph node metastasis is found by imaging, the stage is III C1r; if found by pathology, the stage is III C1p".  </w:t>
            </w:r>
            <w:r w:rsidRPr="00CB2EC4">
              <w:rPr>
                <w:rFonts w:ascii="Times New Roman" w:hAnsi="Times New Roman" w:cs="Times New Roman"/>
              </w:rPr>
              <w:br/>
              <w:t xml:space="preserve">- Marking requirements for reporting:  </w:t>
            </w:r>
            <w:r w:rsidRPr="00CB2EC4">
              <w:rPr>
                <w:rFonts w:ascii="Times New Roman" w:hAnsi="Times New Roman" w:cs="Times New Roman"/>
              </w:rPr>
              <w:br/>
              <w:t xml:space="preserve">  - The source of evidence ("r" or "p") must be specified, and the type of imaging method (e.g., MRI, PET-CT, CT, or ultrasound) or pathology technique (e.g., fine needle aspiration, core needle biopsy, biopsy, or surgical specimen) used must be recorded.  </w:t>
            </w:r>
            <w:r w:rsidRPr="00CB2EC4">
              <w:rPr>
                <w:rFonts w:ascii="Times New Roman" w:hAnsi="Times New Roman" w:cs="Times New Roman"/>
              </w:rPr>
              <w:br/>
              <w:t xml:space="preserve">  - This is for consistency in data analysis and reporting, as emphasized in the [HyDE similarity: 0.594] segment: "Need to specify imaging and pathological findings for stage III C... need to record the type of imaging and pathological techniques".  </w:t>
            </w:r>
            <w:r w:rsidRPr="00CB2EC4">
              <w:rPr>
                <w:rFonts w:ascii="Times New Roman" w:hAnsi="Times New Roman" w:cs="Times New Roman"/>
              </w:rPr>
              <w:br/>
              <w:t xml:space="preserve">  - If staging is controversial, assign to the earlier stage.</w:t>
            </w:r>
          </w:p>
        </w:tc>
        <w:tc>
          <w:tcPr>
            <w:tcW w:w="1152" w:type="dxa"/>
            <w:vAlign w:val="center"/>
          </w:tcPr>
          <w:p w14:paraId="3C1B38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56E8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02DC2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6F04E3" w14:textId="77777777">
        <w:tc>
          <w:tcPr>
            <w:tcW w:w="2160" w:type="dxa"/>
            <w:vAlign w:val="center"/>
          </w:tcPr>
          <w:p w14:paraId="6123B4C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31DA87C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FIGO 2018 staging, when lymph node metastasis is identified by imaging or pathology, the staging should be specifically marked as follows:  </w:t>
            </w:r>
            <w:r w:rsidRPr="00CB2EC4">
              <w:rPr>
                <w:rFonts w:ascii="Times New Roman" w:hAnsi="Times New Roman" w:cs="Times New Roman"/>
              </w:rPr>
              <w:br/>
              <w:t xml:space="preserve">- Staging notation:  </w:t>
            </w:r>
            <w:r w:rsidRPr="00CB2EC4">
              <w:rPr>
                <w:rFonts w:ascii="Times New Roman" w:hAnsi="Times New Roman" w:cs="Times New Roman"/>
              </w:rPr>
              <w:br/>
              <w:t xml:space="preserve">  - If lymph node metastasis is detected by imaging, denote with “r” (e.g., stage IIIC1r indicates pelvic lymph node metastasis identified by imaging).  </w:t>
            </w:r>
            <w:r w:rsidRPr="00CB2EC4">
              <w:rPr>
                <w:rFonts w:ascii="Times New Roman" w:hAnsi="Times New Roman" w:cs="Times New Roman"/>
              </w:rPr>
              <w:br/>
              <w:t xml:space="preserve">  - If lymph node metastasis is confirmed by pathology, denote with “p” (e.g., stage IIIC1p indicates pelvic lymph node metastasis confirmed by pathology) (Document fragment 1: imaging-detected pelvic lymph node metastasis is staged as IIIC1r; pathology-confirmed is staged as IIIC1p; Document fragment 3: IIIC stage must specify r for imaging or p for pathology; Document fragment 9: the method used, r or p, must be specified).  </w:t>
            </w:r>
            <w:r w:rsidRPr="00CB2EC4">
              <w:rPr>
                <w:rFonts w:ascii="Times New Roman" w:hAnsi="Times New Roman" w:cs="Times New Roman"/>
              </w:rPr>
              <w:br/>
              <w:t xml:space="preserve">- Specific staging:  </w:t>
            </w:r>
            <w:r w:rsidRPr="00CB2EC4">
              <w:rPr>
                <w:rFonts w:ascii="Times New Roman" w:hAnsi="Times New Roman" w:cs="Times New Roman"/>
              </w:rPr>
              <w:br/>
              <w:t xml:space="preserve">  - Pelvic lymph node metastasis is staged as IIIC1 (r or p).  </w:t>
            </w:r>
            <w:r w:rsidRPr="00CB2EC4">
              <w:rPr>
                <w:rFonts w:ascii="Times New Roman" w:hAnsi="Times New Roman" w:cs="Times New Roman"/>
              </w:rPr>
              <w:br/>
              <w:t xml:space="preserve">  - Para-aortic lymph node metastasis is staged as IIIC2 (r or p) (Document fragments 3 and 4).  </w:t>
            </w:r>
            <w:r w:rsidRPr="00CB2EC4">
              <w:rPr>
                <w:rFonts w:ascii="Times New Roman" w:hAnsi="Times New Roman" w:cs="Times New Roman"/>
              </w:rPr>
              <w:br/>
              <w:t xml:space="preserve">- Reporting requirements: the specific technical method used for detection must be recorded in the report:  </w:t>
            </w:r>
            <w:r w:rsidRPr="00CB2EC4">
              <w:rPr>
                <w:rFonts w:ascii="Times New Roman" w:hAnsi="Times New Roman" w:cs="Times New Roman"/>
              </w:rPr>
              <w:br/>
              <w:t xml:space="preserve">  - For imaging (r), specify the method used (e.g., MRI, CT, PET-CT) (Document fragment 7: record the type of imaging and pathology techniques; Document fragment 9: record the imaging method used).  </w:t>
            </w:r>
            <w:r w:rsidRPr="00CB2EC4">
              <w:rPr>
                <w:rFonts w:ascii="Times New Roman" w:hAnsi="Times New Roman" w:cs="Times New Roman"/>
              </w:rPr>
              <w:br/>
              <w:t xml:space="preserve">  - For pathology (p), specify the technique type (e.g., fine needle aspiration, core needle biopsy, biopsy, or surgical specimen) (Document fragment 4: record the type of imaging and pathology techniques; Document fragment 9: record the pathology technique type).  </w:t>
            </w:r>
            <w:r w:rsidRPr="00CB2EC4">
              <w:rPr>
                <w:rFonts w:ascii="Times New Roman" w:hAnsi="Times New Roman" w:cs="Times New Roman"/>
              </w:rPr>
              <w:br/>
              <w:t xml:space="preserve">- Note: if staging is controversial, assign the earlier </w:t>
            </w:r>
            <w:r w:rsidRPr="00CB2EC4">
              <w:rPr>
                <w:rFonts w:ascii="Times New Roman" w:hAnsi="Times New Roman" w:cs="Times New Roman"/>
              </w:rPr>
              <w:lastRenderedPageBreak/>
              <w:t>stage (Document fragment 3).</w:t>
            </w:r>
          </w:p>
        </w:tc>
        <w:tc>
          <w:tcPr>
            <w:tcW w:w="1152" w:type="dxa"/>
            <w:vAlign w:val="center"/>
          </w:tcPr>
          <w:p w14:paraId="279725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8280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8AEB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F0679A" w14:textId="77777777">
        <w:tc>
          <w:tcPr>
            <w:tcW w:w="2160" w:type="dxa"/>
            <w:vAlign w:val="center"/>
          </w:tcPr>
          <w:p w14:paraId="471B32C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9772273" w14:textId="77777777" w:rsidR="00922249" w:rsidRPr="00CB2EC4" w:rsidRDefault="003011D5">
            <w:pPr>
              <w:rPr>
                <w:rFonts w:ascii="Times New Roman" w:hAnsi="Times New Roman" w:cs="Times New Roman"/>
              </w:rPr>
            </w:pPr>
            <w:r w:rsidRPr="00CB2EC4">
              <w:rPr>
                <w:rFonts w:ascii="Times New Roman" w:hAnsi="Times New Roman" w:cs="Times New Roman"/>
              </w:rPr>
              <w:t>when imaging or pathology reveals lymph node metastasis, how is the stage marked? what are the reporting requirements?</w:t>
            </w:r>
            <w:r w:rsidRPr="00CB2EC4">
              <w:rPr>
                <w:rFonts w:ascii="Times New Roman" w:hAnsi="Times New Roman" w:cs="Times New Roman"/>
              </w:rPr>
              <w:br/>
            </w:r>
            <w:r w:rsidRPr="00CB2EC4">
              <w:rPr>
                <w:rFonts w:ascii="Times New Roman" w:hAnsi="Times New Roman" w:cs="Times New Roman"/>
              </w:rPr>
              <w:br/>
              <w:t xml:space="preserve">stage marking rules:  </w:t>
            </w:r>
            <w:r w:rsidRPr="00CB2EC4">
              <w:rPr>
                <w:rFonts w:ascii="Times New Roman" w:hAnsi="Times New Roman" w:cs="Times New Roman"/>
              </w:rPr>
              <w:br/>
              <w:t xml:space="preserve">  - imaging-detected metastasis: marked as `r` (e.g., pelvic lymph node metastasis as `IIIC1r`) (fragments 1, 3, 6).  </w:t>
            </w:r>
            <w:r w:rsidRPr="00CB2EC4">
              <w:rPr>
                <w:rFonts w:ascii="Times New Roman" w:hAnsi="Times New Roman" w:cs="Times New Roman"/>
              </w:rPr>
              <w:br/>
              <w:t xml:space="preserve">  - pathology-confirmed metastasis: marked as `p` (e.g., pelvic lymph node metastasis as `IIIC1p`) (fragments 1, 3, 6).  </w:t>
            </w:r>
            <w:r w:rsidRPr="00CB2EC4">
              <w:rPr>
                <w:rFonts w:ascii="Times New Roman" w:hAnsi="Times New Roman" w:cs="Times New Roman"/>
              </w:rPr>
              <w:br/>
              <w:t xml:space="preserve">- reporting requirements:  </w:t>
            </w:r>
            <w:r w:rsidRPr="00CB2EC4">
              <w:rPr>
                <w:rFonts w:ascii="Times New Roman" w:hAnsi="Times New Roman" w:cs="Times New Roman"/>
              </w:rPr>
              <w:br/>
              <w:t xml:space="preserve">  - must specify the detection technique (e.g., MRI/PET-CT) and pathological method (e.g., fine needle aspiration/biopsy) (fragments 1, 3, 6).  </w:t>
            </w:r>
            <w:r w:rsidRPr="00CB2EC4">
              <w:rPr>
                <w:rFonts w:ascii="Times New Roman" w:hAnsi="Times New Roman" w:cs="Times New Roman"/>
              </w:rPr>
              <w:br/>
              <w:t xml:space="preserve">  - if staging is controversial, assign to the earlier stage (fragments 3, 7).  </w:t>
            </w:r>
            <w:r w:rsidRPr="00CB2EC4">
              <w:rPr>
                <w:rFonts w:ascii="Times New Roman" w:hAnsi="Times New Roman" w:cs="Times New Roman"/>
              </w:rPr>
              <w:br/>
            </w:r>
            <w:r w:rsidRPr="00CB2EC4">
              <w:rPr>
                <w:rFonts w:ascii="Times New Roman" w:hAnsi="Times New Roman" w:cs="Times New Roman"/>
              </w:rPr>
              <w:br/>
              <w:t>&gt; basis: fragment 3 ("need to specify imaging and pathological findings for stage IIIC") and fragment 6 ("evidence used to diagnose FIGO stage IIIC must be labeled as r or p").</w:t>
            </w:r>
          </w:p>
        </w:tc>
        <w:tc>
          <w:tcPr>
            <w:tcW w:w="1152" w:type="dxa"/>
            <w:vAlign w:val="center"/>
          </w:tcPr>
          <w:p w14:paraId="6A719E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CCE1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FDB4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40A80E" w14:textId="77777777">
        <w:tc>
          <w:tcPr>
            <w:tcW w:w="2160" w:type="dxa"/>
            <w:vAlign w:val="center"/>
          </w:tcPr>
          <w:p w14:paraId="51C370D6"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1CC9F2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lymph node metastasis is found by imaging or pathology, the staging should be specifically marked with a suffix according to the method of detection:  </w:t>
            </w:r>
            <w:r w:rsidRPr="00CB2EC4">
              <w:rPr>
                <w:rFonts w:ascii="Times New Roman" w:hAnsi="Times New Roman" w:cs="Times New Roman"/>
              </w:rPr>
              <w:br/>
              <w:t xml:space="preserve">- If identified by imaging, append “r” (e.g., stage III C1r for pelvic lymph node metastasis).  </w:t>
            </w:r>
            <w:r w:rsidRPr="00CB2EC4">
              <w:rPr>
                <w:rFonts w:ascii="Times New Roman" w:hAnsi="Times New Roman" w:cs="Times New Roman"/>
              </w:rPr>
              <w:br/>
              <w:t xml:space="preserve">- If confirmed by pathology, append “p” (e.g., stage III C1p for pelvic lymph node metastasis).  </w:t>
            </w:r>
            <w:r w:rsidRPr="00CB2EC4">
              <w:rPr>
                <w:rFonts w:ascii="Times New Roman" w:hAnsi="Times New Roman" w:cs="Times New Roman"/>
              </w:rPr>
              <w:br/>
              <w:t xml:space="preserve">Specific examples:  </w:t>
            </w:r>
            <w:r w:rsidRPr="00CB2EC4">
              <w:rPr>
                <w:rFonts w:ascii="Times New Roman" w:hAnsi="Times New Roman" w:cs="Times New Roman"/>
              </w:rPr>
              <w:br/>
              <w:t xml:space="preserve">- Pelvic lymph node metastasis: III C1r (imaging) or III C1p (pathology).  </w:t>
            </w:r>
            <w:r w:rsidRPr="00CB2EC4">
              <w:rPr>
                <w:rFonts w:ascii="Times New Roman" w:hAnsi="Times New Roman" w:cs="Times New Roman"/>
              </w:rPr>
              <w:br/>
            </w:r>
            <w:r w:rsidRPr="00CB2EC4">
              <w:rPr>
                <w:rFonts w:ascii="Times New Roman" w:hAnsi="Times New Roman" w:cs="Times New Roman"/>
              </w:rPr>
              <w:lastRenderedPageBreak/>
              <w:t xml:space="preserve">- Para-aortic lymph node metastasis: III C2r (imaging) or III C2p (pathology).  </w:t>
            </w:r>
            <w:r w:rsidRPr="00CB2EC4">
              <w:rPr>
                <w:rFonts w:ascii="Times New Roman" w:hAnsi="Times New Roman" w:cs="Times New Roman"/>
              </w:rPr>
              <w:br/>
            </w:r>
            <w:r w:rsidRPr="00CB2EC4">
              <w:rPr>
                <w:rFonts w:ascii="Times New Roman" w:hAnsi="Times New Roman" w:cs="Times New Roman"/>
              </w:rPr>
              <w:br/>
              <w:t xml:space="preserve">When reporting, the method and technique used to detect lymph node metastasis must be documented:  </w:t>
            </w:r>
            <w:r w:rsidRPr="00CB2EC4">
              <w:rPr>
                <w:rFonts w:ascii="Times New Roman" w:hAnsi="Times New Roman" w:cs="Times New Roman"/>
              </w:rPr>
              <w:br/>
              <w:t xml:space="preserve">- For imaging methods, specify the modality (e.g., MRI, CT, PET-CT, or ultrasound). Example: “assessed by MRI.”  </w:t>
            </w:r>
            <w:r w:rsidRPr="00CB2EC4">
              <w:rPr>
                <w:rFonts w:ascii="Times New Roman" w:hAnsi="Times New Roman" w:cs="Times New Roman"/>
              </w:rPr>
              <w:br/>
              <w:t xml:space="preserve">- For pathological techniques, specify the method (e.g., fine needle aspiration, core needle biopsy, tissue biopsy, or surgical specimen). Example: “confirmed by fine needle aspiration.”  </w:t>
            </w:r>
            <w:r w:rsidRPr="00CB2EC4">
              <w:rPr>
                <w:rFonts w:ascii="Times New Roman" w:hAnsi="Times New Roman" w:cs="Times New Roman"/>
              </w:rPr>
              <w:br/>
              <w:t>If staging is controversial, assign the earlier stage.</w:t>
            </w:r>
          </w:p>
        </w:tc>
        <w:tc>
          <w:tcPr>
            <w:tcW w:w="1152" w:type="dxa"/>
            <w:vAlign w:val="center"/>
          </w:tcPr>
          <w:p w14:paraId="32036E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B690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D6B7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930844" w14:textId="77777777">
        <w:tc>
          <w:tcPr>
            <w:tcW w:w="2160" w:type="dxa"/>
            <w:vAlign w:val="center"/>
          </w:tcPr>
          <w:p w14:paraId="017BF576"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B845137" w14:textId="77777777" w:rsidR="00922249" w:rsidRPr="00CB2EC4" w:rsidRDefault="003011D5">
            <w:pPr>
              <w:rPr>
                <w:rFonts w:ascii="Times New Roman" w:hAnsi="Times New Roman" w:cs="Times New Roman"/>
              </w:rPr>
            </w:pPr>
            <w:r w:rsidRPr="00CB2EC4">
              <w:rPr>
                <w:rFonts w:ascii="Times New Roman" w:hAnsi="Times New Roman" w:cs="Times New Roman"/>
              </w:rPr>
              <w:t>when lymph node metastasis is identified by imaging or pathology, the FIGO 2018 staging requires specific notation for both the stage and the method of detection to ensure data accuracy and subsequent analysis. the requirements are as follows:</w:t>
            </w:r>
            <w:r w:rsidRPr="00CB2EC4">
              <w:rPr>
                <w:rFonts w:ascii="Times New Roman" w:hAnsi="Times New Roman" w:cs="Times New Roman"/>
              </w:rPr>
              <w:br/>
            </w:r>
            <w:r w:rsidRPr="00CB2EC4">
              <w:rPr>
                <w:rFonts w:ascii="Times New Roman" w:hAnsi="Times New Roman" w:cs="Times New Roman"/>
              </w:rPr>
              <w:br/>
              <w:t>- stage notation:</w:t>
            </w:r>
            <w:r w:rsidRPr="00CB2EC4">
              <w:rPr>
                <w:rFonts w:ascii="Times New Roman" w:hAnsi="Times New Roman" w:cs="Times New Roman"/>
              </w:rPr>
              <w:br/>
              <w:t xml:space="preserve">  - if lymph node metastasis is detected by imaging, the stage is marked with "r" (e.g., pelvic lymph node metastasis staged as III C1r, para-aortic lymph node metastasis as III C2r). as explicitly stated: "if pelvic lymph node metastasis is found by imaging, the stage is III C1r" and "the accuracy of imaging assessment for parametrial and upper vaginal involvement is suboptimal... if pelvic lymph node metastasis is found by imaging, the stage is III C1r".</w:t>
            </w:r>
            <w:r w:rsidRPr="00CB2EC4">
              <w:rPr>
                <w:rFonts w:ascii="Times New Roman" w:hAnsi="Times New Roman" w:cs="Times New Roman"/>
              </w:rPr>
              <w:br/>
              <w:t xml:space="preserve">  - if lymph node metastasis is confirmed by pathology (e.g., biopsy or surgery), the stage is marked with "p" (e.g., pelvic lymph node metastasis staged as III C1p, para-aortic lymph node metastasis as III C2p). as noted: "if identified by pathology, the stage is III C1p" </w:t>
            </w:r>
            <w:r w:rsidRPr="00CB2EC4">
              <w:rPr>
                <w:rFonts w:ascii="Times New Roman" w:hAnsi="Times New Roman" w:cs="Times New Roman"/>
              </w:rPr>
              <w:lastRenderedPageBreak/>
              <w:t>and "the method of detection (imaging or pathology) must be specified for III C stage, e.g., ... if identified by pathology, the stage is III C1p".</w:t>
            </w:r>
            <w:r w:rsidRPr="00CB2EC4">
              <w:rPr>
                <w:rFonts w:ascii="Times New Roman" w:hAnsi="Times New Roman" w:cs="Times New Roman"/>
              </w:rPr>
              <w:br/>
            </w:r>
            <w:r w:rsidRPr="00CB2EC4">
              <w:rPr>
                <w:rFonts w:ascii="Times New Roman" w:hAnsi="Times New Roman" w:cs="Times New Roman"/>
              </w:rPr>
              <w:br/>
              <w:t>- reporting requirements:</w:t>
            </w:r>
            <w:r w:rsidRPr="00CB2EC4">
              <w:rPr>
                <w:rFonts w:ascii="Times New Roman" w:hAnsi="Times New Roman" w:cs="Times New Roman"/>
              </w:rPr>
              <w:br/>
              <w:t xml:space="preserve">  - the type of imaging or pathology technique used must be recorded (e.g., MRI, CT, PET-CT, fine needle aspiration, surgical biopsy). the document emphasizes: "the type of imaging and pathology techniques must be recorded" and "the imaging modality and pathology technique type used must be documented".</w:t>
            </w:r>
            <w:r w:rsidRPr="00CB2EC4">
              <w:rPr>
                <w:rFonts w:ascii="Times New Roman" w:hAnsi="Times New Roman" w:cs="Times New Roman"/>
              </w:rPr>
              <w:br/>
              <w:t xml:space="preserve">  - for pathology methods, the specific technique must be annotated (e.g., N[f] for fine needle aspiration confirmation, N[sn] for sentinel lymph node biopsy confirmation). as stated: "the pathological technique used for confirmation must be annotated, such as N(f) indicating lymph node metastasis confirmed by fine needle aspiration or core needle biopsy".</w:t>
            </w:r>
            <w:r w:rsidRPr="00CB2EC4">
              <w:rPr>
                <w:rFonts w:ascii="Times New Roman" w:hAnsi="Times New Roman" w:cs="Times New Roman"/>
              </w:rPr>
              <w:br/>
              <w:t xml:space="preserve">  - in the staging report, "r" or "p" must be clearly indicated to distinguish the detection method, facilitating data analysis and prognostic evaluation ("it is necessary to record whether this staging is based on imaging (r) or pathological confirmation (p) for appropriate data analysis and reporting").</w:t>
            </w:r>
            <w:r w:rsidRPr="00CB2EC4">
              <w:rPr>
                <w:rFonts w:ascii="Times New Roman" w:hAnsi="Times New Roman" w:cs="Times New Roman"/>
              </w:rPr>
              <w:br/>
            </w:r>
            <w:r w:rsidRPr="00CB2EC4">
              <w:rPr>
                <w:rFonts w:ascii="Times New Roman" w:hAnsi="Times New Roman" w:cs="Times New Roman"/>
              </w:rPr>
              <w:br/>
              <w:t>this notation system helps prevent misdiagnosis (especially in areas with high prevalence of tuberculosis or inflammation) and ensures staging consistency.</w:t>
            </w:r>
          </w:p>
        </w:tc>
        <w:tc>
          <w:tcPr>
            <w:tcW w:w="1152" w:type="dxa"/>
            <w:vAlign w:val="center"/>
          </w:tcPr>
          <w:p w14:paraId="6E2C57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63676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7D57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8DE932A" w14:textId="77777777">
        <w:tc>
          <w:tcPr>
            <w:tcW w:w="2160" w:type="dxa"/>
            <w:vAlign w:val="center"/>
          </w:tcPr>
          <w:p w14:paraId="0CB10414"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DF631F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FIGO 2018 staging, when lymph node metastasis is identified, the staging must be specifically marked based on whether the finding is by imaging or pathology, and the detection method must be recorded in the report. The requirements are as </w:t>
            </w:r>
            <w:r w:rsidRPr="00CB2EC4">
              <w:rPr>
                <w:rFonts w:ascii="Times New Roman" w:hAnsi="Times New Roman" w:cs="Times New Roman"/>
              </w:rPr>
              <w:lastRenderedPageBreak/>
              <w:t>follows (document fragments 1, 2, 3, 9):</w:t>
            </w:r>
            <w:r w:rsidRPr="00CB2EC4">
              <w:rPr>
                <w:rFonts w:ascii="Times New Roman" w:hAnsi="Times New Roman" w:cs="Times New Roman"/>
              </w:rPr>
              <w:br/>
            </w:r>
            <w:r w:rsidRPr="00CB2EC4">
              <w:rPr>
                <w:rFonts w:ascii="Times New Roman" w:hAnsi="Times New Roman" w:cs="Times New Roman"/>
              </w:rPr>
              <w:br/>
              <w:t>- Staging notation:</w:t>
            </w:r>
            <w:r w:rsidRPr="00CB2EC4">
              <w:rPr>
                <w:rFonts w:ascii="Times New Roman" w:hAnsi="Times New Roman" w:cs="Times New Roman"/>
              </w:rPr>
              <w:br/>
              <w:t xml:space="preserve">  - If lymph node metastasis is detected by imaging (e.g., MRI, PET-CT), the stage is marked with "r" (e.g., pelvic lymph node metastasis: stage ⅢC1r; para-aortic lymph node metastasis: stage ⅢC2r).</w:t>
            </w:r>
            <w:r w:rsidRPr="00CB2EC4">
              <w:rPr>
                <w:rFonts w:ascii="Times New Roman" w:hAnsi="Times New Roman" w:cs="Times New Roman"/>
              </w:rPr>
              <w:br/>
              <w:t xml:space="preserve">  - If lymph node metastasis is detected by pathology (e.g., biopsy, surgical specimen), the stage is marked with "p" (e.g., pelvic lymph node metastasis: stage ⅢC1p; para-aortic lymph node metastasis: stage ⅢC2p).</w:t>
            </w:r>
            <w:r w:rsidRPr="00CB2EC4">
              <w:rPr>
                <w:rFonts w:ascii="Times New Roman" w:hAnsi="Times New Roman" w:cs="Times New Roman"/>
              </w:rPr>
              <w:br/>
            </w:r>
            <w:r w:rsidRPr="00CB2EC4">
              <w:rPr>
                <w:rFonts w:ascii="Times New Roman" w:hAnsi="Times New Roman" w:cs="Times New Roman"/>
              </w:rPr>
              <w:br/>
              <w:t>- Reporting requirements:</w:t>
            </w:r>
            <w:r w:rsidRPr="00CB2EC4">
              <w:rPr>
                <w:rFonts w:ascii="Times New Roman" w:hAnsi="Times New Roman" w:cs="Times New Roman"/>
              </w:rPr>
              <w:br/>
              <w:t xml:space="preserve">  - The method of detection (r or p) must be recorded, along with the specific type of imaging or pathological technique used (e.g., PET-CT, fine needle aspiration).</w:t>
            </w:r>
            <w:r w:rsidRPr="00CB2EC4">
              <w:rPr>
                <w:rFonts w:ascii="Times New Roman" w:hAnsi="Times New Roman" w:cs="Times New Roman"/>
              </w:rPr>
              <w:br/>
              <w:t xml:space="preserve">  - For example, imaging methods must be labeled "r", pathological methods "p", and described in detail in the report (e.g., "ⅢC1r, based on PET-CT examination").</w:t>
            </w:r>
            <w:r w:rsidRPr="00CB2EC4">
              <w:rPr>
                <w:rFonts w:ascii="Times New Roman" w:hAnsi="Times New Roman" w:cs="Times New Roman"/>
              </w:rPr>
              <w:br/>
            </w:r>
            <w:r w:rsidRPr="00CB2EC4">
              <w:rPr>
                <w:rFonts w:ascii="Times New Roman" w:hAnsi="Times New Roman" w:cs="Times New Roman"/>
              </w:rPr>
              <w:br/>
              <w:t>- Additional rules:</w:t>
            </w:r>
            <w:r w:rsidRPr="00CB2EC4">
              <w:rPr>
                <w:rFonts w:ascii="Times New Roman" w:hAnsi="Times New Roman" w:cs="Times New Roman"/>
              </w:rPr>
              <w:br/>
              <w:t xml:space="preserve">  - Isolated tumor cells (ITC, lesion diameter &lt;0.2 mm) do not affect staging but must be documented as present.</w:t>
            </w:r>
            <w:r w:rsidRPr="00CB2EC4">
              <w:rPr>
                <w:rFonts w:ascii="Times New Roman" w:hAnsi="Times New Roman" w:cs="Times New Roman"/>
              </w:rPr>
              <w:br/>
              <w:t xml:space="preserve">  - Micrometastases (0.2–2 mm) and macrometastases (&gt;2 mm) are considered lymph node involvement.</w:t>
            </w:r>
            <w:r w:rsidRPr="00CB2EC4">
              <w:rPr>
                <w:rFonts w:ascii="Times New Roman" w:hAnsi="Times New Roman" w:cs="Times New Roman"/>
              </w:rPr>
              <w:br/>
              <w:t xml:space="preserve">  - If staging is controversial, assign the earlier stage (document fragments 2, 9).</w:t>
            </w:r>
          </w:p>
        </w:tc>
        <w:tc>
          <w:tcPr>
            <w:tcW w:w="1152" w:type="dxa"/>
            <w:vAlign w:val="center"/>
          </w:tcPr>
          <w:p w14:paraId="68E845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1B749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916B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488F8E" w14:textId="77777777">
        <w:tc>
          <w:tcPr>
            <w:tcW w:w="2160" w:type="dxa"/>
            <w:vAlign w:val="center"/>
          </w:tcPr>
          <w:p w14:paraId="3DC08EDF"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F35C7F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FIGO 2018 staging system, when lymph node metastasis is identified by imaging or pathology, the staging should be specifically marked </w:t>
            </w:r>
            <w:r w:rsidRPr="00CB2EC4">
              <w:rPr>
                <w:rFonts w:ascii="Times New Roman" w:hAnsi="Times New Roman" w:cs="Times New Roman"/>
              </w:rPr>
              <w:lastRenderedPageBreak/>
              <w:t>as follows:</w:t>
            </w:r>
            <w:r w:rsidRPr="00CB2EC4">
              <w:rPr>
                <w:rFonts w:ascii="Times New Roman" w:hAnsi="Times New Roman" w:cs="Times New Roman"/>
              </w:rPr>
              <w:br/>
            </w:r>
            <w:r w:rsidRPr="00CB2EC4">
              <w:rPr>
                <w:rFonts w:ascii="Times New Roman" w:hAnsi="Times New Roman" w:cs="Times New Roman"/>
              </w:rPr>
              <w:br/>
              <w:t>- Staging designation:</w:t>
            </w:r>
            <w:r w:rsidRPr="00CB2EC4">
              <w:rPr>
                <w:rFonts w:ascii="Times New Roman" w:hAnsi="Times New Roman" w:cs="Times New Roman"/>
              </w:rPr>
              <w:br/>
              <w:t xml:space="preserve">  - Lymph node metastasis is classified as stage IIIC1 (pelvic lymph node metastasis) or stage IIIC2 (para-aortic lymph node metastasis).</w:t>
            </w:r>
            <w:r w:rsidRPr="00CB2EC4">
              <w:rPr>
                <w:rFonts w:ascii="Times New Roman" w:hAnsi="Times New Roman" w:cs="Times New Roman"/>
              </w:rPr>
              <w:br/>
              <w:t xml:space="preserve">  - The method of detection must be indicated by a suffix:</w:t>
            </w:r>
            <w:r w:rsidRPr="00CB2EC4">
              <w:rPr>
                <w:rFonts w:ascii="Times New Roman" w:hAnsi="Times New Roman" w:cs="Times New Roman"/>
              </w:rPr>
              <w:br/>
              <w:t xml:space="preserve">    - Suffix "r" denotes detection by imaging (e.g., "IIIC1r").</w:t>
            </w:r>
            <w:r w:rsidRPr="00CB2EC4">
              <w:rPr>
                <w:rFonts w:ascii="Times New Roman" w:hAnsi="Times New Roman" w:cs="Times New Roman"/>
              </w:rPr>
              <w:br/>
              <w:t xml:space="preserve">    - Suffix "p" denotes confirmation by pathology (e.g., "IIIC1p").</w:t>
            </w:r>
            <w:r w:rsidRPr="00CB2EC4">
              <w:rPr>
                <w:rFonts w:ascii="Times New Roman" w:hAnsi="Times New Roman" w:cs="Times New Roman"/>
              </w:rPr>
              <w:br/>
              <w:t xml:space="preserve">    - Example: If pelvic lymph node metastasis is detected by imaging, the stage is designated as IIIC1r; if confirmed by pathology, it is designated as IIIC1p.</w:t>
            </w:r>
            <w:r w:rsidRPr="00CB2EC4">
              <w:rPr>
                <w:rFonts w:ascii="Times New Roman" w:hAnsi="Times New Roman" w:cs="Times New Roman"/>
              </w:rPr>
              <w:br/>
            </w:r>
            <w:r w:rsidRPr="00CB2EC4">
              <w:rPr>
                <w:rFonts w:ascii="Times New Roman" w:hAnsi="Times New Roman" w:cs="Times New Roman"/>
              </w:rPr>
              <w:br/>
              <w:t>- Reporting requirements for the method of detection:</w:t>
            </w:r>
            <w:r w:rsidRPr="00CB2EC4">
              <w:rPr>
                <w:rFonts w:ascii="Times New Roman" w:hAnsi="Times New Roman" w:cs="Times New Roman"/>
              </w:rPr>
              <w:br/>
              <w:t xml:space="preserve">  - The specific technical method used must be documented:</w:t>
            </w:r>
            <w:r w:rsidRPr="00CB2EC4">
              <w:rPr>
                <w:rFonts w:ascii="Times New Roman" w:hAnsi="Times New Roman" w:cs="Times New Roman"/>
              </w:rPr>
              <w:br/>
              <w:t xml:space="preserve">    - For imaging: the modality (e.g., MRI, CT, PET-CT) must be specified.</w:t>
            </w:r>
            <w:r w:rsidRPr="00CB2EC4">
              <w:rPr>
                <w:rFonts w:ascii="Times New Roman" w:hAnsi="Times New Roman" w:cs="Times New Roman"/>
              </w:rPr>
              <w:br/>
              <w:t xml:space="preserve">    - For pathology: the technique type (e.g., fine needle aspiration, core needle biopsy, excisional biopsy, or surgical specimen) must be specified.</w:t>
            </w:r>
            <w:r w:rsidRPr="00CB2EC4">
              <w:rPr>
                <w:rFonts w:ascii="Times New Roman" w:hAnsi="Times New Roman" w:cs="Times New Roman"/>
              </w:rPr>
              <w:br/>
              <w:t xml:space="preserve">  - Details of lymph node metastasis must also be recorded, such as whether it represents micrometastasis (maximum diameter 0.2–2 mm) or macrometastasis (maximum diameter &gt;2 mm); however, isolated tumor cells (&lt;0.2 mm) do not affect staging.</w:t>
            </w:r>
            <w:r w:rsidRPr="00CB2EC4">
              <w:rPr>
                <w:rFonts w:ascii="Times New Roman" w:hAnsi="Times New Roman" w:cs="Times New Roman"/>
              </w:rPr>
              <w:br/>
              <w:t xml:space="preserve">  - If staging is controversial, assign the earlier stage.</w:t>
            </w:r>
            <w:r w:rsidRPr="00CB2EC4">
              <w:rPr>
                <w:rFonts w:ascii="Times New Roman" w:hAnsi="Times New Roman" w:cs="Times New Roman"/>
              </w:rPr>
              <w:br/>
            </w:r>
            <w:r w:rsidRPr="00CB2EC4">
              <w:rPr>
                <w:rFonts w:ascii="Times New Roman" w:hAnsi="Times New Roman" w:cs="Times New Roman"/>
              </w:rPr>
              <w:br/>
              <w:t xml:space="preserve">In summary, these marking requirements ensure data traceability to facilitate prognostic analysis and </w:t>
            </w:r>
            <w:r w:rsidRPr="00CB2EC4">
              <w:rPr>
                <w:rFonts w:ascii="Times New Roman" w:hAnsi="Times New Roman" w:cs="Times New Roman"/>
              </w:rPr>
              <w:lastRenderedPageBreak/>
              <w:t>treatment decisions.</w:t>
            </w:r>
          </w:p>
        </w:tc>
        <w:tc>
          <w:tcPr>
            <w:tcW w:w="1152" w:type="dxa"/>
            <w:vAlign w:val="center"/>
          </w:tcPr>
          <w:p w14:paraId="6D454F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0617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C3DE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0BF9FF" w14:textId="77777777">
        <w:tc>
          <w:tcPr>
            <w:tcW w:w="2160" w:type="dxa"/>
            <w:vAlign w:val="center"/>
          </w:tcPr>
          <w:p w14:paraId="12B8364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4007B0E4" w14:textId="77777777" w:rsidR="00922249" w:rsidRPr="00CB2EC4" w:rsidRDefault="003011D5">
            <w:pPr>
              <w:rPr>
                <w:rFonts w:ascii="Times New Roman" w:hAnsi="Times New Roman" w:cs="Times New Roman"/>
              </w:rPr>
            </w:pPr>
            <w:r w:rsidRPr="00CB2EC4">
              <w:rPr>
                <w:rFonts w:ascii="Times New Roman" w:hAnsi="Times New Roman" w:cs="Times New Roman"/>
              </w:rPr>
              <w:t>- Staging designation: When lymph node metastasis is detected by imaging or pathology, the stage is designated as IIIC and further subclassified:</w:t>
            </w:r>
            <w:r w:rsidRPr="00CB2EC4">
              <w:rPr>
                <w:rFonts w:ascii="Times New Roman" w:hAnsi="Times New Roman" w:cs="Times New Roman"/>
              </w:rPr>
              <w:br/>
              <w:t xml:space="preserve">  - IIIC1: Metastasis to pelvic lymph nodes (regardless of primary tumor size).</w:t>
            </w:r>
            <w:r w:rsidRPr="00CB2EC4">
              <w:rPr>
                <w:rFonts w:ascii="Times New Roman" w:hAnsi="Times New Roman" w:cs="Times New Roman"/>
              </w:rPr>
              <w:br/>
              <w:t xml:space="preserve">  - IIIC2: Metastasis to para-aortic lymph nodes (regardless of primary tumor size).</w:t>
            </w:r>
            <w:r w:rsidRPr="00CB2EC4">
              <w:rPr>
                <w:rFonts w:ascii="Times New Roman" w:hAnsi="Times New Roman" w:cs="Times New Roman"/>
              </w:rPr>
              <w:br/>
              <w:t>- Reporting requirements for lymph node metastasis detection method: The method of detection must be specified using a suffix:</w:t>
            </w:r>
            <w:r w:rsidRPr="00CB2EC4">
              <w:rPr>
                <w:rFonts w:ascii="Times New Roman" w:hAnsi="Times New Roman" w:cs="Times New Roman"/>
              </w:rPr>
              <w:br/>
              <w:t xml:space="preserve">  - Suffix "r": indicates detection by imaging methods (e.g., PET-CT, MRI, or CT).</w:t>
            </w:r>
            <w:r w:rsidRPr="00CB2EC4">
              <w:rPr>
                <w:rFonts w:ascii="Times New Roman" w:hAnsi="Times New Roman" w:cs="Times New Roman"/>
              </w:rPr>
              <w:br/>
              <w:t xml:space="preserve">  - Suffix "p": indicates confirmation by pathological methods (e.g., lymph node biopsy or resection).</w:t>
            </w:r>
            <w:r w:rsidRPr="00CB2EC4">
              <w:rPr>
                <w:rFonts w:ascii="Times New Roman" w:hAnsi="Times New Roman" w:cs="Times New Roman"/>
              </w:rPr>
              <w:br/>
              <w:t xml:space="preserve">  - Example: If pelvic lymph node metastasis is found by imaging, report as "IIIC1r"; if para-aortic lymph node metastasis is confirmed by pathology, report as "IIIC2p".</w:t>
            </w:r>
            <w:r w:rsidRPr="00CB2EC4">
              <w:rPr>
                <w:rFonts w:ascii="Times New Roman" w:hAnsi="Times New Roman" w:cs="Times New Roman"/>
              </w:rPr>
              <w:br/>
              <w:t>- Note: FIGO 2018 emphasizes that the detection method (r or p) for lymph node metastasis must be clearly annotated in the staging report to reflect the reliability of the diagnostic basis.</w:t>
            </w:r>
          </w:p>
        </w:tc>
        <w:tc>
          <w:tcPr>
            <w:tcW w:w="1152" w:type="dxa"/>
            <w:vAlign w:val="center"/>
          </w:tcPr>
          <w:p w14:paraId="0219E5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695CF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3D69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0A8B2E" w14:textId="77777777">
        <w:tc>
          <w:tcPr>
            <w:tcW w:w="10656" w:type="dxa"/>
            <w:gridSpan w:val="5"/>
            <w:tcBorders>
              <w:bottom w:val="single" w:sz="6" w:space="0" w:color="auto"/>
            </w:tcBorders>
            <w:vAlign w:val="center"/>
          </w:tcPr>
          <w:p w14:paraId="258297E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50: If cervical cancer is an incidental finding on pathological examination after an initial surgery of insufficient scope, what further diagnostic and therapeutic management is required for the patient?</w:t>
            </w:r>
          </w:p>
        </w:tc>
      </w:tr>
      <w:tr w:rsidR="00922249" w:rsidRPr="00CB2EC4" w14:paraId="0B2F3B43" w14:textId="77777777">
        <w:tc>
          <w:tcPr>
            <w:tcW w:w="2160" w:type="dxa"/>
            <w:vAlign w:val="center"/>
          </w:tcPr>
          <w:p w14:paraId="158A2CC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0E438DC" w14:textId="77777777" w:rsidR="00922249" w:rsidRPr="00CB2EC4" w:rsidRDefault="003011D5">
            <w:pPr>
              <w:rPr>
                <w:rFonts w:ascii="Times New Roman" w:hAnsi="Times New Roman" w:cs="Times New Roman"/>
              </w:rPr>
            </w:pPr>
            <w:r w:rsidRPr="00CB2EC4">
              <w:rPr>
                <w:rFonts w:ascii="Times New Roman" w:hAnsi="Times New Roman" w:cs="Times New Roman"/>
              </w:rPr>
              <w:t>when cervical cancer is incidentally discovered on pathological examination, and the initial surgical extent is insufficient, the patient requires further diagnostic and therapeutic procedures, including:</w:t>
            </w:r>
            <w:r w:rsidRPr="00CB2EC4">
              <w:rPr>
                <w:rFonts w:ascii="Times New Roman" w:hAnsi="Times New Roman" w:cs="Times New Roman"/>
              </w:rPr>
              <w:br/>
            </w:r>
            <w:r w:rsidRPr="00CB2EC4">
              <w:rPr>
                <w:rFonts w:ascii="Times New Roman" w:hAnsi="Times New Roman" w:cs="Times New Roman"/>
              </w:rPr>
              <w:br/>
              <w:t xml:space="preserve">1.  **Comprehensive pathological re-evaluation** of the hysterectomy specimen to confirm the diagnosis, determine histological type and grade, measure tumor </w:t>
            </w:r>
            <w:r w:rsidRPr="00CB2EC4">
              <w:rPr>
                <w:rFonts w:ascii="Times New Roman" w:hAnsi="Times New Roman" w:cs="Times New Roman"/>
              </w:rPr>
              <w:lastRenderedPageBreak/>
              <w:t>size, and assess surgical margins (especially the vaginal cuff), depth of stromal invasion, and presence of lymphovascular space invasion (LVSI).</w:t>
            </w:r>
            <w:r w:rsidRPr="00CB2EC4">
              <w:rPr>
                <w:rFonts w:ascii="Times New Roman" w:hAnsi="Times New Roman" w:cs="Times New Roman"/>
              </w:rPr>
              <w:br/>
              <w:t>2.  **Imaging studies** to assess disease extent:</w:t>
            </w:r>
            <w:r w:rsidRPr="00CB2EC4">
              <w:rPr>
                <w:rFonts w:ascii="Times New Roman" w:hAnsi="Times New Roman" w:cs="Times New Roman"/>
              </w:rPr>
              <w:br/>
              <w:t xml:space="preserve">    *   **Pelvic MRI:** Primary modality to evaluate vaginal cuff involvement, parametrial extension, and residual pelvic disease.</w:t>
            </w:r>
            <w:r w:rsidRPr="00CB2EC4">
              <w:rPr>
                <w:rFonts w:ascii="Times New Roman" w:hAnsi="Times New Roman" w:cs="Times New Roman"/>
              </w:rPr>
              <w:br/>
              <w:t xml:space="preserve">    *   **Whole-body PET-CT or CT chest/abdomen/pelvis:** For staging metastatic disease, particularly assessing para-aortic and pelvic lymph node status.</w:t>
            </w:r>
            <w:r w:rsidRPr="00CB2EC4">
              <w:rPr>
                <w:rFonts w:ascii="Times New Roman" w:hAnsi="Times New Roman" w:cs="Times New Roman"/>
              </w:rPr>
              <w:br/>
              <w:t>3.  **Lymph node assessment:**</w:t>
            </w:r>
            <w:r w:rsidRPr="00CB2EC4">
              <w:rPr>
                <w:rFonts w:ascii="Times New Roman" w:hAnsi="Times New Roman" w:cs="Times New Roman"/>
              </w:rPr>
              <w:br/>
              <w:t xml:space="preserve">    *   If imaging suggests lymph node involvement, image-guided biopsy (e.g., fine-needle aspiration of suspicious nodes) is indicated.</w:t>
            </w:r>
            <w:r w:rsidRPr="00CB2EC4">
              <w:rPr>
                <w:rFonts w:ascii="Times New Roman" w:hAnsi="Times New Roman" w:cs="Times New Roman"/>
              </w:rPr>
              <w:br/>
              <w:t xml:space="preserve">    *   If imaging is negative/equivocal but risk factors are high (e.g., deep stromal invasion, large tumor size &gt;2cm, positive LVSI, high-grade tumor), consideration may be given to **surgical pelvic and/or para-aortic lymphadenectomy** or **sentinel lymph node mapping/biopsy** if expertise exists, to definitively stage nodal status.</w:t>
            </w:r>
            <w:r w:rsidRPr="00CB2EC4">
              <w:rPr>
                <w:rFonts w:ascii="Times New Roman" w:hAnsi="Times New Roman" w:cs="Times New Roman"/>
              </w:rPr>
              <w:br/>
              <w:t>4.  **Treatment planning based on final pathological and imaging findings:**</w:t>
            </w:r>
            <w:r w:rsidRPr="00CB2EC4">
              <w:rPr>
                <w:rFonts w:ascii="Times New Roman" w:hAnsi="Times New Roman" w:cs="Times New Roman"/>
              </w:rPr>
              <w:br/>
              <w:t xml:space="preserve">    *   **Adjuvant Radiation Therapy (RT) ± Concurrent Chemoradiation (CCRT):** This is the most common scenario for patients with positive margins, parametrial involvement, positive lymph nodes, or large tumor size/high-risk features (e.g., deep invasion, LVSI+). RT targets the tumor bed, parametria, and regional lymph nodes. Concurrent cisplatin-based chemotherapy is typically added for higher-risk cases.</w:t>
            </w:r>
            <w:r w:rsidRPr="00CB2EC4">
              <w:rPr>
                <w:rFonts w:ascii="Times New Roman" w:hAnsi="Times New Roman" w:cs="Times New Roman"/>
              </w:rPr>
              <w:br/>
              <w:t xml:space="preserve">    *   **Adjuvant Vaginal Cuff Brachytherapy:** </w:t>
            </w:r>
            <w:r w:rsidRPr="00CB2EC4">
              <w:rPr>
                <w:rFonts w:ascii="Times New Roman" w:hAnsi="Times New Roman" w:cs="Times New Roman"/>
              </w:rPr>
              <w:lastRenderedPageBreak/>
              <w:t>Often added to external beam RT (EBRT) or used alone for patients with isolated vaginal cuff recurrence risk (e.g., positive vaginal margin, deep stromal invasion without other risk factors).</w:t>
            </w:r>
            <w:r w:rsidRPr="00CB2EC4">
              <w:rPr>
                <w:rFonts w:ascii="Times New Roman" w:hAnsi="Times New Roman" w:cs="Times New Roman"/>
              </w:rPr>
              <w:br/>
              <w:t xml:space="preserve">    *   **Radical Trachelectomy or Pelvic Exenteration:** Considered in highly selected cases (e.g., young patient desiring fertility with very early-stage recurrence at the vaginal cuff, or central recurrence in a non-irradiated pelvis) if technically feasible and oncologically safe.</w:t>
            </w:r>
            <w:r w:rsidRPr="00CB2EC4">
              <w:rPr>
                <w:rFonts w:ascii="Times New Roman" w:hAnsi="Times New Roman" w:cs="Times New Roman"/>
              </w:rPr>
              <w:br/>
              <w:t xml:space="preserve">    *   **Systemic Therapy (Chemotherapy, Targeted Therapy, Immunotherapy):** Primarily for metastatic or recurrent disease not amenable to curative local therapy.</w:t>
            </w:r>
            <w:r w:rsidRPr="00CB2EC4">
              <w:rPr>
                <w:rFonts w:ascii="Times New Roman" w:hAnsi="Times New Roman" w:cs="Times New Roman"/>
              </w:rPr>
              <w:br/>
            </w:r>
            <w:r w:rsidRPr="00CB2EC4">
              <w:rPr>
                <w:rFonts w:ascii="Times New Roman" w:hAnsi="Times New Roman" w:cs="Times New Roman"/>
              </w:rPr>
              <w:br/>
              <w:t>→ These steps are necessary because the initial simple or subtotal hysterectomy did not provide adequate staging information (e.g., lymph node status, parametrial involvement) or oncologic margins, and definitive treatment must be tailored based on the complete pathological and radiographic assessment of the disease extent. Management should follow established guidelines (e.g., NCCN, FIGO) for the specific stage and risk factors identified in the re-staged disease.</w:t>
            </w:r>
          </w:p>
        </w:tc>
        <w:tc>
          <w:tcPr>
            <w:tcW w:w="1152" w:type="dxa"/>
            <w:vAlign w:val="center"/>
          </w:tcPr>
          <w:p w14:paraId="7E6652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6676A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85AB7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50C3546" w14:textId="77777777">
        <w:tc>
          <w:tcPr>
            <w:tcW w:w="2160" w:type="dxa"/>
            <w:vAlign w:val="center"/>
          </w:tcPr>
          <w:p w14:paraId="2E01328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7EFB95C4" w14:textId="77777777" w:rsidR="00922249" w:rsidRPr="00CB2EC4" w:rsidRDefault="003011D5">
            <w:pPr>
              <w:rPr>
                <w:rFonts w:ascii="Times New Roman" w:hAnsi="Times New Roman" w:cs="Times New Roman"/>
              </w:rPr>
            </w:pPr>
            <w:r w:rsidRPr="00CB2EC4">
              <w:rPr>
                <w:rFonts w:ascii="Times New Roman" w:hAnsi="Times New Roman" w:cs="Times New Roman"/>
              </w:rPr>
              <w:t>when cervical cancer is incidentally discovered on pathological examination and the initial surgical extent is insufficient, the patient requires further diagnostic evaluation and treatment, which may include:</w:t>
            </w:r>
            <w:r w:rsidRPr="00CB2EC4">
              <w:rPr>
                <w:rFonts w:ascii="Times New Roman" w:hAnsi="Times New Roman" w:cs="Times New Roman"/>
              </w:rPr>
              <w:br/>
            </w:r>
            <w:r w:rsidRPr="00CB2EC4">
              <w:rPr>
                <w:rFonts w:ascii="Times New Roman" w:hAnsi="Times New Roman" w:cs="Times New Roman"/>
              </w:rPr>
              <w:br/>
              <w:t xml:space="preserve">- Comprehensive restaging workup, including physical examination, imaging (such as MRI or PET-CT), and laboratory tests to determine the true extent </w:t>
            </w:r>
            <w:r w:rsidRPr="00CB2EC4">
              <w:rPr>
                <w:rFonts w:ascii="Times New Roman" w:hAnsi="Times New Roman" w:cs="Times New Roman"/>
              </w:rPr>
              <w:lastRenderedPageBreak/>
              <w:t>of disease.</w:t>
            </w:r>
            <w:r w:rsidRPr="00CB2EC4">
              <w:rPr>
                <w:rFonts w:ascii="Times New Roman" w:hAnsi="Times New Roman" w:cs="Times New Roman"/>
              </w:rPr>
              <w:br/>
              <w:t>- Completion hysterectomy (if not performed initially) or assessment of surgical margins to rule out residual disease.</w:t>
            </w:r>
            <w:r w:rsidRPr="00CB2EC4">
              <w:rPr>
                <w:rFonts w:ascii="Times New Roman" w:hAnsi="Times New Roman" w:cs="Times New Roman"/>
              </w:rPr>
              <w:br/>
              <w:t>- Evaluation for lymph node involvement, potentially requiring sentinel lymph node biopsy or pelvic lymphadenectomy.</w:t>
            </w:r>
            <w:r w:rsidRPr="00CB2EC4">
              <w:rPr>
                <w:rFonts w:ascii="Times New Roman" w:hAnsi="Times New Roman" w:cs="Times New Roman"/>
              </w:rPr>
              <w:br/>
              <w:t>- Referral for adjuvant therapy based on final pathology, which may include:</w:t>
            </w:r>
            <w:r w:rsidRPr="00CB2EC4">
              <w:rPr>
                <w:rFonts w:ascii="Times New Roman" w:hAnsi="Times New Roman" w:cs="Times New Roman"/>
              </w:rPr>
              <w:br/>
              <w:t xml:space="preserve">  → Concurrent chemoradiation for locally advanced disease (e.g., IB2 or higher stage).</w:t>
            </w:r>
            <w:r w:rsidRPr="00CB2EC4">
              <w:rPr>
                <w:rFonts w:ascii="Times New Roman" w:hAnsi="Times New Roman" w:cs="Times New Roman"/>
              </w:rPr>
              <w:br/>
              <w:t xml:space="preserve">  → Radiation therapy alone if chemoradiation is not indicated.</w:t>
            </w:r>
            <w:r w:rsidRPr="00CB2EC4">
              <w:rPr>
                <w:rFonts w:ascii="Times New Roman" w:hAnsi="Times New Roman" w:cs="Times New Roman"/>
              </w:rPr>
              <w:br/>
              <w:t xml:space="preserve">  → Chemotherapy for metastatic or high-risk cases.</w:t>
            </w:r>
            <w:r w:rsidRPr="00CB2EC4">
              <w:rPr>
                <w:rFonts w:ascii="Times New Roman" w:hAnsi="Times New Roman" w:cs="Times New Roman"/>
              </w:rPr>
              <w:br/>
              <w:t>- Multidisciplinary tumor board review to tailor treatment to the specific pathological and clinical findings.</w:t>
            </w:r>
            <w:r w:rsidRPr="00CB2EC4">
              <w:rPr>
                <w:rFonts w:ascii="Times New Roman" w:hAnsi="Times New Roman" w:cs="Times New Roman"/>
              </w:rPr>
              <w:br/>
            </w:r>
            <w:r w:rsidRPr="00CB2EC4">
              <w:rPr>
                <w:rFonts w:ascii="Times New Roman" w:hAnsi="Times New Roman" w:cs="Times New Roman"/>
              </w:rPr>
              <w:br/>
              <w:t>note: the provided document fragment 8 states that "unexpectedly discovered cervical invasive cancer after total hysterectomy" is a special case and should not be clinically staged, but it does not specify the subsequent diagnostic and therapeutic steps. other fragments (e.g., 12, 16) discuss general cervical cancer treatment but do not address management following incidental diagnosis with inadequate initial surgery. therefore, the above recommendations are based on standard clinical guidelines for such scenarios.</w:t>
            </w:r>
          </w:p>
        </w:tc>
        <w:tc>
          <w:tcPr>
            <w:tcW w:w="1152" w:type="dxa"/>
            <w:vAlign w:val="center"/>
          </w:tcPr>
          <w:p w14:paraId="14AD79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E2133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AB4CC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7723579" w14:textId="77777777">
        <w:tc>
          <w:tcPr>
            <w:tcW w:w="2160" w:type="dxa"/>
            <w:vAlign w:val="center"/>
          </w:tcPr>
          <w:p w14:paraId="0064949A"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DA58714" w14:textId="77777777" w:rsidR="00922249" w:rsidRPr="00CB2EC4" w:rsidRDefault="003011D5">
            <w:pPr>
              <w:rPr>
                <w:rFonts w:ascii="Times New Roman" w:hAnsi="Times New Roman" w:cs="Times New Roman"/>
              </w:rPr>
            </w:pPr>
            <w:r w:rsidRPr="00CB2EC4">
              <w:rPr>
                <w:rFonts w:ascii="Times New Roman" w:hAnsi="Times New Roman" w:cs="Times New Roman"/>
              </w:rPr>
              <w:t>when cervical cancer is incidentally discovered on pathological examination, and the initial surgical extent was insufficient, the patient requires the following diagnostic evaluations and treatments: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Diagnostic assessment:</w:t>
            </w:r>
            <w:r w:rsidRPr="00CB2EC4">
              <w:rPr>
                <w:rFonts w:ascii="Times New Roman" w:hAnsi="Times New Roman" w:cs="Times New Roman"/>
              </w:rPr>
              <w:br/>
              <w:t xml:space="preserve">  - First, confirm the pathological diagnosis, including cancer type (limited to squamous cell carcinoma, adenocarcinoma, adenosquamous carcinoma, and neuroendocrine carcinoma), stage, lymphovascular space invasion (LVSI) status, and margin status (Doc 10, 21).</w:t>
            </w:r>
            <w:r w:rsidRPr="00CB2EC4">
              <w:rPr>
                <w:rFonts w:ascii="Times New Roman" w:hAnsi="Times New Roman" w:cs="Times New Roman"/>
              </w:rPr>
              <w:br/>
              <w:t xml:space="preserve">  - Perform comprehensive evaluation, including:</w:t>
            </w:r>
            <w:r w:rsidRPr="00CB2EC4">
              <w:rPr>
                <w:rFonts w:ascii="Times New Roman" w:hAnsi="Times New Roman" w:cs="Times New Roman"/>
              </w:rPr>
              <w:br/>
              <w:t xml:space="preserve">    - Imaging: PET-CT is recommended if available; otherwise, pelvic/abdominal CT or MRI and chest imaging (X-ray or CT) to assess disease extent (Doc 10, 21).</w:t>
            </w:r>
            <w:r w:rsidRPr="00CB2EC4">
              <w:rPr>
                <w:rFonts w:ascii="Times New Roman" w:hAnsi="Times New Roman" w:cs="Times New Roman"/>
              </w:rPr>
              <w:br/>
              <w:t xml:space="preserve">    - Other assessments: review of surgical extent, physical examination, blood biochemical tests (Doc 10).</w:t>
            </w:r>
            <w:r w:rsidRPr="00CB2EC4">
              <w:rPr>
                <w:rFonts w:ascii="Times New Roman" w:hAnsi="Times New Roman" w:cs="Times New Roman"/>
              </w:rPr>
              <w:br/>
              <w:t>- Treatment plan:</w:t>
            </w:r>
            <w:r w:rsidRPr="00CB2EC4">
              <w:rPr>
                <w:rFonts w:ascii="Times New Roman" w:hAnsi="Times New Roman" w:cs="Times New Roman"/>
              </w:rPr>
              <w:br/>
              <w:t xml:space="preserve">  - Secondary surgery: applicable for some early-stage young patients (e.g., IA or IB), consider repeat laparotomy to resect parametrial tissue and pelvic lymph nodes to preserve ovarian and vaginal function (Doc 10, 14, 21). However, evaluate patient tolerance and local medical capability (Doc 10).</w:t>
            </w:r>
            <w:r w:rsidRPr="00CB2EC4">
              <w:rPr>
                <w:rFonts w:ascii="Times New Roman" w:hAnsi="Times New Roman" w:cs="Times New Roman"/>
              </w:rPr>
              <w:br/>
              <w:t xml:space="preserve">  - Non-surgical treatment: if postoperative radiotherapy is likely (e.g., high-risk features such as positive lymph nodes, positive margins), avoid combining surgery and radiotherapy; instead, recommend pelvic radiotherapy + concurrent chemotherapy (CCRT) (Doc 10, 17, 18, 21). CCRT is standard treatment, especially for patients with poorer prognosis (5-year recurrence-free survival rate ~48%) (Doc 21).</w:t>
            </w:r>
            <w:r w:rsidRPr="00CB2EC4">
              <w:rPr>
                <w:rFonts w:ascii="Times New Roman" w:hAnsi="Times New Roman" w:cs="Times New Roman"/>
              </w:rPr>
              <w:br/>
              <w:t xml:space="preserve">  - General principle: treatment plan must be based on pathological and imaging findings, combined with local technical conditions and patient-specific factors </w:t>
            </w:r>
            <w:r w:rsidRPr="00CB2EC4">
              <w:rPr>
                <w:rFonts w:ascii="Times New Roman" w:hAnsi="Times New Roman" w:cs="Times New Roman"/>
              </w:rPr>
              <w:lastRenderedPageBreak/>
              <w:t>(Doc 10). Incidentally discovered cervical cancer does not undergo routine clinical staging and must be reported separately (Doc 22).</w:t>
            </w:r>
            <w:r w:rsidRPr="00CB2EC4">
              <w:rPr>
                <w:rFonts w:ascii="Times New Roman" w:hAnsi="Times New Roman" w:cs="Times New Roman"/>
              </w:rPr>
              <w:br/>
              <w:t>- Key consideration: prognosis is generally poor, so treatment often requires a combined approach while avoiding severe side effects from dual therapy (Doc 21).</w:t>
            </w:r>
          </w:p>
        </w:tc>
        <w:tc>
          <w:tcPr>
            <w:tcW w:w="1152" w:type="dxa"/>
            <w:vAlign w:val="center"/>
          </w:tcPr>
          <w:p w14:paraId="423BC7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A5DD1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C3710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C5D3CE8" w14:textId="77777777">
        <w:tc>
          <w:tcPr>
            <w:tcW w:w="2160" w:type="dxa"/>
            <w:vAlign w:val="center"/>
          </w:tcPr>
          <w:p w14:paraId="737A565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374F63AF" w14:textId="77777777" w:rsidR="00922249" w:rsidRPr="00CB2EC4" w:rsidRDefault="003011D5">
            <w:pPr>
              <w:rPr>
                <w:rFonts w:ascii="Times New Roman" w:hAnsi="Times New Roman" w:cs="Times New Roman"/>
              </w:rPr>
            </w:pPr>
            <w:r w:rsidRPr="00CB2EC4">
              <w:rPr>
                <w:rFonts w:ascii="Times New Roman" w:hAnsi="Times New Roman" w:cs="Times New Roman"/>
              </w:rPr>
              <w:t>subsequent diagnosis and treatment following incidental discovery of cervical cancer</w:t>
            </w:r>
            <w:r w:rsidRPr="00CB2EC4">
              <w:rPr>
                <w:rFonts w:ascii="Times New Roman" w:hAnsi="Times New Roman" w:cs="Times New Roman"/>
              </w:rPr>
              <w:br/>
            </w:r>
            <w:r w:rsidRPr="00CB2EC4">
              <w:rPr>
                <w:rFonts w:ascii="Times New Roman" w:hAnsi="Times New Roman" w:cs="Times New Roman"/>
              </w:rPr>
              <w:br/>
              <w:t xml:space="preserve">Diagnostic evaluation:  </w:t>
            </w:r>
            <w:r w:rsidRPr="00CB2EC4">
              <w:rPr>
                <w:rFonts w:ascii="Times New Roman" w:hAnsi="Times New Roman" w:cs="Times New Roman"/>
              </w:rPr>
              <w:br/>
              <w:t xml:space="preserve">  - Imaging: PET-CT / abdominal and pelvic CT or MRI to assess metastatic extent (Source: Knowledge Base Document 1; Web Result 3, 7).  </w:t>
            </w:r>
            <w:r w:rsidRPr="00CB2EC4">
              <w:rPr>
                <w:rFonts w:ascii="Times New Roman" w:hAnsi="Times New Roman" w:cs="Times New Roman"/>
              </w:rPr>
              <w:br/>
              <w:t xml:space="preserve">  - Pathological review: Confirm primary site, depth of invasion, and LVSI status (Source: Knowledge Base Document 1).  </w:t>
            </w:r>
            <w:r w:rsidRPr="00CB2EC4">
              <w:rPr>
                <w:rFonts w:ascii="Times New Roman" w:hAnsi="Times New Roman" w:cs="Times New Roman"/>
              </w:rPr>
              <w:br/>
              <w:t xml:space="preserve">- Treatment strategy:  </w:t>
            </w:r>
            <w:r w:rsidRPr="00CB2EC4">
              <w:rPr>
                <w:rFonts w:ascii="Times New Roman" w:hAnsi="Times New Roman" w:cs="Times New Roman"/>
              </w:rPr>
              <w:br/>
              <w:t xml:space="preserve">  - No residual disease / negative margins:  </w:t>
            </w:r>
            <w:r w:rsidRPr="00CB2EC4">
              <w:rPr>
                <w:rFonts w:ascii="Times New Roman" w:hAnsi="Times New Roman" w:cs="Times New Roman"/>
              </w:rPr>
              <w:br/>
              <w:t xml:space="preserve">    - IA1 / LVSI(-) → Observation.  </w:t>
            </w:r>
            <w:r w:rsidRPr="00CB2EC4">
              <w:rPr>
                <w:rFonts w:ascii="Times New Roman" w:hAnsi="Times New Roman" w:cs="Times New Roman"/>
              </w:rPr>
              <w:br/>
              <w:t xml:space="preserve">    - IA1 / LVSI(+) or ≥ IA2 stage → Adjuvant surgery (parametrial resection + upper vaginal resection + lymph node dissection) or radiotherapy (Source: Knowledge Base Document 1; Web Result 7).  </w:t>
            </w:r>
            <w:r w:rsidRPr="00CB2EC4">
              <w:rPr>
                <w:rFonts w:ascii="Times New Roman" w:hAnsi="Times New Roman" w:cs="Times New Roman"/>
              </w:rPr>
              <w:br/>
              <w:t xml:space="preserve">  - Positive margins / residual lesions:  </w:t>
            </w:r>
            <w:r w:rsidRPr="00CB2EC4">
              <w:rPr>
                <w:rFonts w:ascii="Times New Roman" w:hAnsi="Times New Roman" w:cs="Times New Roman"/>
              </w:rPr>
              <w:br/>
              <w:t xml:space="preserve">    - First choice: Concurrent chemoradiation (cisplatin-based regimen) (Source: Web Result 7).  </w:t>
            </w:r>
            <w:r w:rsidRPr="00CB2EC4">
              <w:rPr>
                <w:rFonts w:ascii="Times New Roman" w:hAnsi="Times New Roman" w:cs="Times New Roman"/>
              </w:rPr>
              <w:br/>
              <w:t xml:space="preserve">    - Second choice: Secondary surgery (radical parametrial hysterectomy + lymph node dissection), but with high surgical difficulty (Source: Knowledge Base Document 1).  </w:t>
            </w:r>
            <w:r w:rsidRPr="00CB2EC4">
              <w:rPr>
                <w:rFonts w:ascii="Times New Roman" w:hAnsi="Times New Roman" w:cs="Times New Roman"/>
              </w:rPr>
              <w:br/>
              <w:t xml:space="preserve">  - Prognosis: 5-year survival rate with postoperative radiotherapy alone is only 49%; chemotherapy must be combined (Source: Knowledge Base Document 1; </w:t>
            </w:r>
            <w:r w:rsidRPr="00CB2EC4">
              <w:rPr>
                <w:rFonts w:ascii="Times New Roman" w:hAnsi="Times New Roman" w:cs="Times New Roman"/>
              </w:rPr>
              <w:lastRenderedPageBreak/>
              <w:t>Web Result 7).</w:t>
            </w:r>
            <w:r w:rsidRPr="00CB2EC4">
              <w:rPr>
                <w:rFonts w:ascii="Times New Roman" w:hAnsi="Times New Roman" w:cs="Times New Roman"/>
              </w:rPr>
              <w:br/>
            </w:r>
            <w:r w:rsidRPr="00CB2EC4">
              <w:rPr>
                <w:rFonts w:ascii="Times New Roman" w:hAnsi="Times New Roman" w:cs="Times New Roman"/>
              </w:rPr>
              <w:br/>
              <w:t>&gt; Source: Knowledge Base Document 1 (prognosis data) and Web Result 7 (NCCN guidelines).</w:t>
            </w:r>
          </w:p>
        </w:tc>
        <w:tc>
          <w:tcPr>
            <w:tcW w:w="1152" w:type="dxa"/>
            <w:vAlign w:val="center"/>
          </w:tcPr>
          <w:p w14:paraId="7BAFF1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7DD80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9B50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9E3E3C" w14:textId="77777777">
        <w:tc>
          <w:tcPr>
            <w:tcW w:w="2160" w:type="dxa"/>
            <w:vAlign w:val="center"/>
          </w:tcPr>
          <w:p w14:paraId="3FF65823"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8A017F8" w14:textId="77777777" w:rsidR="00922249" w:rsidRPr="00CB2EC4" w:rsidRDefault="003011D5">
            <w:pPr>
              <w:rPr>
                <w:rFonts w:ascii="Times New Roman" w:hAnsi="Times New Roman" w:cs="Times New Roman"/>
              </w:rPr>
            </w:pPr>
            <w:r w:rsidRPr="00CB2EC4">
              <w:rPr>
                <w:rFonts w:ascii="Times New Roman" w:hAnsi="Times New Roman" w:cs="Times New Roman"/>
              </w:rPr>
              <w:t>when cervical cancer is incidentally discovered on pathological examination (e.g., after simple hysterectomy), and the initial surgical extent is insufficient, the patient requires the following diagnostic evaluation and treatment:</w:t>
            </w:r>
            <w:r w:rsidRPr="00CB2EC4">
              <w:rPr>
                <w:rFonts w:ascii="Times New Roman" w:hAnsi="Times New Roman" w:cs="Times New Roman"/>
              </w:rPr>
              <w:br/>
            </w:r>
            <w:r w:rsidRPr="00CB2EC4">
              <w:rPr>
                <w:rFonts w:ascii="Times New Roman" w:hAnsi="Times New Roman" w:cs="Times New Roman"/>
              </w:rPr>
              <w:br/>
              <w:t>- Diagnostic evaluation:</w:t>
            </w:r>
            <w:r w:rsidRPr="00CB2EC4">
              <w:rPr>
                <w:rFonts w:ascii="Times New Roman" w:hAnsi="Times New Roman" w:cs="Times New Roman"/>
              </w:rPr>
              <w:br/>
              <w:t xml:space="preserve">  - Imaging assessment: Pelvic contrast-enhanced MRI is the preferred method to evaluate residual tumor size, local invasion, and lymph node status; if available, PET-CT is recommended to exclude distant metastasis (Document fragment 15: "Level I recommendation: chest CT + abdominal contrast-enhanced CT + pelvic contrast-enhanced MRI or PET/CT"; Document fragment 26: "Pelvic MRI is recommended as the preferred method for assessing local cervical tumor").</w:t>
            </w:r>
            <w:r w:rsidRPr="00CB2EC4">
              <w:rPr>
                <w:rFonts w:ascii="Times New Roman" w:hAnsi="Times New Roman" w:cs="Times New Roman"/>
              </w:rPr>
              <w:br/>
              <w:t xml:space="preserve">  - Pathological re-review: The initial surgical specimen must be reassessed to confirm depth of invasion, lymphovascular space invasion (LVSI) status, and margin status (Document fragment 6: "Special circumstances such as incidentally discovered cervical invasive cancer after total hysterectomy... must be reported separately").</w:t>
            </w:r>
            <w:r w:rsidRPr="00CB2EC4">
              <w:rPr>
                <w:rFonts w:ascii="Times New Roman" w:hAnsi="Times New Roman" w:cs="Times New Roman"/>
              </w:rPr>
              <w:br/>
              <w:t xml:space="preserve">  - Other examinations: As clinically indicated, cystoscopy or colonoscopy may be performed if bladder or rectal involvement is suspected, along with tumor marker testing (e.g., SCC for squamous cell carcinoma, CA125 for adenocarcinoma) (Document fragment 26: "When bladder and/or rectal </w:t>
            </w:r>
            <w:r w:rsidRPr="00CB2EC4">
              <w:rPr>
                <w:rFonts w:ascii="Times New Roman" w:hAnsi="Times New Roman" w:cs="Times New Roman"/>
              </w:rPr>
              <w:lastRenderedPageBreak/>
              <w:t>involvement is suspected, cystoscopy and/or colonoscopy are recommended").</w:t>
            </w:r>
            <w:r w:rsidRPr="00CB2EC4">
              <w:rPr>
                <w:rFonts w:ascii="Times New Roman" w:hAnsi="Times New Roman" w:cs="Times New Roman"/>
              </w:rPr>
              <w:br/>
            </w:r>
            <w:r w:rsidRPr="00CB2EC4">
              <w:rPr>
                <w:rFonts w:ascii="Times New Roman" w:hAnsi="Times New Roman" w:cs="Times New Roman"/>
              </w:rPr>
              <w:br/>
              <w:t>- Treatment:</w:t>
            </w:r>
            <w:r w:rsidRPr="00CB2EC4">
              <w:rPr>
                <w:rFonts w:ascii="Times New Roman" w:hAnsi="Times New Roman" w:cs="Times New Roman"/>
              </w:rPr>
              <w:br/>
              <w:t xml:space="preserve">  - Surgery: If the initial surgery was a simple hysterectomy (without adequate parametrial or lymph node resection), additional surgery is indicated based on tumor stage:</w:t>
            </w:r>
            <w:r w:rsidRPr="00CB2EC4">
              <w:rPr>
                <w:rFonts w:ascii="Times New Roman" w:hAnsi="Times New Roman" w:cs="Times New Roman"/>
              </w:rPr>
              <w:br/>
              <w:t xml:space="preserve">    - For IA1 stage with positive LVSI or IA2 stage: Modified radical hysterectomy + pelvic lymph node dissection is recommended (Document fragment 17: "IA1 stage with positive LVSI... modified radical or radical hysterectomy + pelvic lymph node dissection").</w:t>
            </w:r>
            <w:r w:rsidRPr="00CB2EC4">
              <w:rPr>
                <w:rFonts w:ascii="Times New Roman" w:hAnsi="Times New Roman" w:cs="Times New Roman"/>
              </w:rPr>
              <w:br/>
              <w:t xml:space="preserve">    - For IB stage or higher: Radical surgery (e.g., Type C radical hysterectomy) + lymph node dissection may be required (Document fragment 16: "IB1 stage... abdominal or vaginal radical trachelectomy or radical hysterectomy + pelvic lymph node dissection").</w:t>
            </w:r>
            <w:r w:rsidRPr="00CB2EC4">
              <w:rPr>
                <w:rFonts w:ascii="Times New Roman" w:hAnsi="Times New Roman" w:cs="Times New Roman"/>
              </w:rPr>
              <w:br/>
              <w:t xml:space="preserve">  - Radiotherapy or chemotherapy: If surgery is not feasible or the patient has high-risk features (e.g., positive lymph nodes), concurrent chemoradiotherapy is recommended (Document fragment 1: "If preoperative diagnosis can be confirmed by imaging and biopsy, concurrent chemoradiotherapy is preferred to avoid severe side effects from dual therapy"; Document fragment 25: "Guidelines recommend concurrent chemoradiotherapy as first choice").</w:t>
            </w:r>
            <w:r w:rsidRPr="00CB2EC4">
              <w:rPr>
                <w:rFonts w:ascii="Times New Roman" w:hAnsi="Times New Roman" w:cs="Times New Roman"/>
              </w:rPr>
              <w:br/>
              <w:t xml:space="preserve">  - Individualized consideration: Treatment must be based on complete staging results to avoid overtreatment; incidentally discovered cases are not included in routine staging statistics and require separate management (Document fragment 6: "Not </w:t>
            </w:r>
            <w:r w:rsidRPr="00CB2EC4">
              <w:rPr>
                <w:rFonts w:ascii="Times New Roman" w:hAnsi="Times New Roman" w:cs="Times New Roman"/>
              </w:rPr>
              <w:lastRenderedPageBreak/>
              <w:t>subjected to clinical staging or included in treatment statistics; must be reported separately").</w:t>
            </w:r>
            <w:r w:rsidRPr="00CB2EC4">
              <w:rPr>
                <w:rFonts w:ascii="Times New Roman" w:hAnsi="Times New Roman" w:cs="Times New Roman"/>
              </w:rPr>
              <w:br/>
            </w:r>
            <w:r w:rsidRPr="00CB2EC4">
              <w:rPr>
                <w:rFonts w:ascii="Times New Roman" w:hAnsi="Times New Roman" w:cs="Times New Roman"/>
              </w:rPr>
              <w:br/>
              <w:t>- Key points: No specific flowchart for incidental findings is provided in the documents, but based on overall guidelines, diagnosis should prioritize confirming tumor extent and staging, and treatment should be adjusted according to stage (e.g., additional surgery for low-risk cases, adjuvant chemoradiotherapy for high-risk cases).</w:t>
            </w:r>
            <w:r w:rsidRPr="00CB2EC4">
              <w:rPr>
                <w:rFonts w:ascii="Times New Roman" w:hAnsi="Times New Roman" w:cs="Times New Roman"/>
              </w:rPr>
              <w:br/>
            </w:r>
            <w:r w:rsidRPr="00CB2EC4">
              <w:rPr>
                <w:rFonts w:ascii="Times New Roman" w:hAnsi="Times New Roman" w:cs="Times New Roman"/>
              </w:rPr>
              <w:br/>
              <w:t>In summary, for incidentally discovered cervical cancer, imaging (MRI/PET-CT) and pathological re-review are needed for restaging, and treatment may require completion radical surgery and/or chemoradiotherapy.</w:t>
            </w:r>
          </w:p>
        </w:tc>
        <w:tc>
          <w:tcPr>
            <w:tcW w:w="1152" w:type="dxa"/>
            <w:vAlign w:val="center"/>
          </w:tcPr>
          <w:p w14:paraId="60C47C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E755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C982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3235133" w14:textId="77777777">
        <w:tc>
          <w:tcPr>
            <w:tcW w:w="2160" w:type="dxa"/>
            <w:vAlign w:val="center"/>
          </w:tcPr>
          <w:p w14:paraId="13C6501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39FAD64C" w14:textId="77777777" w:rsidR="00922249" w:rsidRPr="00CB2EC4" w:rsidRDefault="003011D5">
            <w:pPr>
              <w:rPr>
                <w:rFonts w:ascii="Times New Roman" w:hAnsi="Times New Roman" w:cs="Times New Roman"/>
              </w:rPr>
            </w:pPr>
            <w:r w:rsidRPr="00CB2EC4">
              <w:rPr>
                <w:rFonts w:ascii="Times New Roman" w:hAnsi="Times New Roman" w:cs="Times New Roman"/>
              </w:rPr>
              <w:t>when cervical cancer is incidentally discovered on pathological examination, and the initial surgical extent is insufficient, the patient requires further diagnostic evaluation and treatment, which may include:</w:t>
            </w:r>
            <w:r w:rsidRPr="00CB2EC4">
              <w:rPr>
                <w:rFonts w:ascii="Times New Roman" w:hAnsi="Times New Roman" w:cs="Times New Roman"/>
              </w:rPr>
              <w:br/>
            </w:r>
            <w:r w:rsidRPr="00CB2EC4">
              <w:rPr>
                <w:rFonts w:ascii="Times New Roman" w:hAnsi="Times New Roman" w:cs="Times New Roman"/>
              </w:rPr>
              <w:br/>
              <w:t xml:space="preserve">- comprehensive imaging assessment (e.g., pelvic MRI, CT scan, or PET-CT) to evaluate for residual disease, lymph node involvement, or distant metastasis  </w:t>
            </w:r>
            <w:r w:rsidRPr="00CB2EC4">
              <w:rPr>
                <w:rFonts w:ascii="Times New Roman" w:hAnsi="Times New Roman" w:cs="Times New Roman"/>
              </w:rPr>
              <w:br/>
              <w:t xml:space="preserve">- multidisciplinary tumor board review to determine the need for supplemental surgery (e.g., completion hysterectomy, lymphadenectomy) or definitive chemoradiation therapy  </w:t>
            </w:r>
            <w:r w:rsidRPr="00CB2EC4">
              <w:rPr>
                <w:rFonts w:ascii="Times New Roman" w:hAnsi="Times New Roman" w:cs="Times New Roman"/>
              </w:rPr>
              <w:br/>
              <w:t xml:space="preserve">- reassessment of surgical margins and depth of stromal invasion from the initial specimen to guide adjuvant therapy decisions  </w:t>
            </w:r>
            <w:r w:rsidRPr="00CB2EC4">
              <w:rPr>
                <w:rFonts w:ascii="Times New Roman" w:hAnsi="Times New Roman" w:cs="Times New Roman"/>
              </w:rPr>
              <w:br/>
              <w:t xml:space="preserve">- HPV testing and p16 immunohistochemistry to </w:t>
            </w:r>
            <w:r w:rsidRPr="00CB2EC4">
              <w:rPr>
                <w:rFonts w:ascii="Times New Roman" w:hAnsi="Times New Roman" w:cs="Times New Roman"/>
              </w:rPr>
              <w:lastRenderedPageBreak/>
              <w:t xml:space="preserve">confirm the etiology and support treatment planning  </w:t>
            </w:r>
            <w:r w:rsidRPr="00CB2EC4">
              <w:rPr>
                <w:rFonts w:ascii="Times New Roman" w:hAnsi="Times New Roman" w:cs="Times New Roman"/>
              </w:rPr>
              <w:br/>
              <w:t xml:space="preserve">- referral to a gynecologic oncologist for management according to current clinical guidelines (e.g., NCCN or FIGO recommendations for post-hysterectomy residual cervical cancer)  </w:t>
            </w:r>
            <w:r w:rsidRPr="00CB2EC4">
              <w:rPr>
                <w:rFonts w:ascii="Times New Roman" w:hAnsi="Times New Roman" w:cs="Times New Roman"/>
              </w:rPr>
              <w:br/>
            </w:r>
            <w:r w:rsidRPr="00CB2EC4">
              <w:rPr>
                <w:rFonts w:ascii="Times New Roman" w:hAnsi="Times New Roman" w:cs="Times New Roman"/>
              </w:rPr>
              <w:br/>
              <w:t>note: cases of incidentally discovered cervical cancer after simple hysterectomy are not clinically staged and must be reported separately; treatment is based on pathological features and imaging findings.</w:t>
            </w:r>
          </w:p>
        </w:tc>
        <w:tc>
          <w:tcPr>
            <w:tcW w:w="1152" w:type="dxa"/>
            <w:vAlign w:val="center"/>
          </w:tcPr>
          <w:p w14:paraId="66FC02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D09AF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79F3E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0960387" w14:textId="77777777">
        <w:tc>
          <w:tcPr>
            <w:tcW w:w="2160" w:type="dxa"/>
            <w:vAlign w:val="center"/>
          </w:tcPr>
          <w:p w14:paraId="1CEEDD5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2AEBF02" w14:textId="77777777" w:rsidR="00922249" w:rsidRPr="00CB2EC4" w:rsidRDefault="003011D5">
            <w:pPr>
              <w:rPr>
                <w:rFonts w:ascii="Times New Roman" w:hAnsi="Times New Roman" w:cs="Times New Roman"/>
              </w:rPr>
            </w:pPr>
            <w:r w:rsidRPr="00CB2EC4">
              <w:rPr>
                <w:rFonts w:ascii="Times New Roman" w:hAnsi="Times New Roman" w:cs="Times New Roman"/>
              </w:rPr>
              <w:t>when cervical cancer is incidentally discovered on pathological examination, due to insufficient initial surgical extent, the patient requires further diagnostic evaluation and treatment, which may include:</w:t>
            </w:r>
            <w:r w:rsidRPr="00CB2EC4">
              <w:rPr>
                <w:rFonts w:ascii="Times New Roman" w:hAnsi="Times New Roman" w:cs="Times New Roman"/>
              </w:rPr>
              <w:br/>
            </w:r>
            <w:r w:rsidRPr="00CB2EC4">
              <w:rPr>
                <w:rFonts w:ascii="Times New Roman" w:hAnsi="Times New Roman" w:cs="Times New Roman"/>
              </w:rPr>
              <w:br/>
              <w:t>- Comprehensive pathological re-evaluation of the hysterectomy specimen to determine tumor size, depth of stromal invasion, lymphovascular space involvement (LVSI), and margin status.</w:t>
            </w:r>
            <w:r w:rsidRPr="00CB2EC4">
              <w:rPr>
                <w:rFonts w:ascii="Times New Roman" w:hAnsi="Times New Roman" w:cs="Times New Roman"/>
              </w:rPr>
              <w:br/>
              <w:t>- Imaging studies (e.g., pelvic MRI, CT scan, or PET-CT) to assess for residual disease, lymph node metastasis, or distant spread.</w:t>
            </w:r>
            <w:r w:rsidRPr="00CB2EC4">
              <w:rPr>
                <w:rFonts w:ascii="Times New Roman" w:hAnsi="Times New Roman" w:cs="Times New Roman"/>
              </w:rPr>
              <w:br/>
              <w:t>- Consideration of sentinel lymph node mapping or completion lymphadenectomy if lymph node status is unknown or suspicious.</w:t>
            </w:r>
            <w:r w:rsidRPr="00CB2EC4">
              <w:rPr>
                <w:rFonts w:ascii="Times New Roman" w:hAnsi="Times New Roman" w:cs="Times New Roman"/>
              </w:rPr>
              <w:br/>
              <w:t>- Referral for multidisciplinary consultation (gynecologic oncology, radiation oncology, medical oncology) to determine appropriate adjuvant therapy.</w:t>
            </w:r>
            <w:r w:rsidRPr="00CB2EC4">
              <w:rPr>
                <w:rFonts w:ascii="Times New Roman" w:hAnsi="Times New Roman" w:cs="Times New Roman"/>
              </w:rPr>
              <w:br/>
              <w:t>- Possible additional surgical resection (e.g., trachelectomy, parametrial excision) if margins are positive or residual disease is suspected.</w:t>
            </w:r>
            <w:r w:rsidRPr="00CB2EC4">
              <w:rPr>
                <w:rFonts w:ascii="Times New Roman" w:hAnsi="Times New Roman" w:cs="Times New Roman"/>
              </w:rPr>
              <w:br/>
              <w:t xml:space="preserve">- Adjuvant radiotherapy ± concurrent cisplatin-based chemotherapy, especially for tumors with intermediate or high-risk features (e.g., deep stromal invasion, </w:t>
            </w:r>
            <w:r w:rsidRPr="00CB2EC4">
              <w:rPr>
                <w:rFonts w:ascii="Times New Roman" w:hAnsi="Times New Roman" w:cs="Times New Roman"/>
              </w:rPr>
              <w:lastRenderedPageBreak/>
              <w:t>positive margins, lymph node metastasis).</w:t>
            </w:r>
            <w:r w:rsidRPr="00CB2EC4">
              <w:rPr>
                <w:rFonts w:ascii="Times New Roman" w:hAnsi="Times New Roman" w:cs="Times New Roman"/>
              </w:rPr>
              <w:br/>
              <w:t>- Individualized follow-up plan including serial tumor markers (e.g., SCC antigen), clinical examination, and imaging surveillance.</w:t>
            </w:r>
            <w:r w:rsidRPr="00CB2EC4">
              <w:rPr>
                <w:rFonts w:ascii="Times New Roman" w:hAnsi="Times New Roman" w:cs="Times New Roman"/>
              </w:rPr>
              <w:br/>
            </w:r>
            <w:r w:rsidRPr="00CB2EC4">
              <w:rPr>
                <w:rFonts w:ascii="Times New Roman" w:hAnsi="Times New Roman" w:cs="Times New Roman"/>
              </w:rPr>
              <w:br/>
              <w:t>Note: The specific management should be guided by the final pathological findings and established guidelines (e.g., NCCN, FIGO).</w:t>
            </w:r>
          </w:p>
        </w:tc>
        <w:tc>
          <w:tcPr>
            <w:tcW w:w="1152" w:type="dxa"/>
            <w:vAlign w:val="center"/>
          </w:tcPr>
          <w:p w14:paraId="54E266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C74AE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357F6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8AE0E85" w14:textId="77777777">
        <w:tc>
          <w:tcPr>
            <w:tcW w:w="2160" w:type="dxa"/>
            <w:vAlign w:val="center"/>
          </w:tcPr>
          <w:p w14:paraId="6612079D"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CBB0D5E" w14:textId="77777777" w:rsidR="00922249" w:rsidRPr="00CB2EC4" w:rsidRDefault="003011D5">
            <w:pPr>
              <w:rPr>
                <w:rFonts w:ascii="Times New Roman" w:hAnsi="Times New Roman" w:cs="Times New Roman"/>
              </w:rPr>
            </w:pPr>
            <w:r w:rsidRPr="00CB2EC4">
              <w:rPr>
                <w:rFonts w:ascii="Times New Roman" w:hAnsi="Times New Roman" w:cs="Times New Roman"/>
              </w:rPr>
              <w:t>when cervical cancer is incidentally found on pathological examination, and the initial surgical scope was insufficient, the patient requires further diagnostic evaluation and treatment, which may include:</w:t>
            </w:r>
            <w:r w:rsidRPr="00CB2EC4">
              <w:rPr>
                <w:rFonts w:ascii="Times New Roman" w:hAnsi="Times New Roman" w:cs="Times New Roman"/>
              </w:rPr>
              <w:br/>
            </w:r>
            <w:r w:rsidRPr="00CB2EC4">
              <w:rPr>
                <w:rFonts w:ascii="Times New Roman" w:hAnsi="Times New Roman" w:cs="Times New Roman"/>
              </w:rPr>
              <w:br/>
              <w:t xml:space="preserve">→ comprehensive imaging assessment (such as pelvic MRI and/or PET-CT) to determine the extent of residual disease or metastasis  </w:t>
            </w:r>
            <w:r w:rsidRPr="00CB2EC4">
              <w:rPr>
                <w:rFonts w:ascii="Times New Roman" w:hAnsi="Times New Roman" w:cs="Times New Roman"/>
              </w:rPr>
              <w:br/>
              <w:t xml:space="preserve">→ pathological review of the initial specimen to confirm margins and tumor characteristics  </w:t>
            </w:r>
            <w:r w:rsidRPr="00CB2EC4">
              <w:rPr>
                <w:rFonts w:ascii="Times New Roman" w:hAnsi="Times New Roman" w:cs="Times New Roman"/>
              </w:rPr>
              <w:br/>
              <w:t xml:space="preserve">→ multidisciplinary consultation to formulate individualized management plan  </w:t>
            </w:r>
            <w:r w:rsidRPr="00CB2EC4">
              <w:rPr>
                <w:rFonts w:ascii="Times New Roman" w:hAnsi="Times New Roman" w:cs="Times New Roman"/>
              </w:rPr>
              <w:br/>
              <w:t xml:space="preserve">→ possible additional surgical resection (e.g., completion hysterectomy with lymph node dissection if not previously performed)  </w:t>
            </w:r>
            <w:r w:rsidRPr="00CB2EC4">
              <w:rPr>
                <w:rFonts w:ascii="Times New Roman" w:hAnsi="Times New Roman" w:cs="Times New Roman"/>
              </w:rPr>
              <w:br/>
              <w:t xml:space="preserve">→ consideration of adjuvant radiotherapy with or without concurrent chemotherapy, depending on risk factors such as positive margins, lymphovascular space invasion, or parametrial involvement  </w:t>
            </w:r>
            <w:r w:rsidRPr="00CB2EC4">
              <w:rPr>
                <w:rFonts w:ascii="Times New Roman" w:hAnsi="Times New Roman" w:cs="Times New Roman"/>
              </w:rPr>
              <w:br/>
              <w:t xml:space="preserve">→ regular follow-up with physical examination, imaging, and tumor marker monitoring  </w:t>
            </w:r>
            <w:r w:rsidRPr="00CB2EC4">
              <w:rPr>
                <w:rFonts w:ascii="Times New Roman" w:hAnsi="Times New Roman" w:cs="Times New Roman"/>
              </w:rPr>
              <w:br/>
            </w:r>
            <w:r w:rsidRPr="00CB2EC4">
              <w:rPr>
                <w:rFonts w:ascii="Times New Roman" w:hAnsi="Times New Roman" w:cs="Times New Roman"/>
              </w:rPr>
              <w:br/>
              <w:t xml:space="preserve">note: cases of cervical cancer incidentally discovered after simple hysterectomy are classified as special circumstances; they do not undergo standard clinical </w:t>
            </w:r>
            <w:r w:rsidRPr="00CB2EC4">
              <w:rPr>
                <w:rFonts w:ascii="Times New Roman" w:hAnsi="Times New Roman" w:cs="Times New Roman"/>
              </w:rPr>
              <w:lastRenderedPageBreak/>
              <w:t>staging or inclusion in treatment statistics and must be reported separately. specific subsequent diagnostic and therapeutic steps should be guided by current clinical guidelines and multidisciplinary tumor board discussion.</w:t>
            </w:r>
          </w:p>
        </w:tc>
        <w:tc>
          <w:tcPr>
            <w:tcW w:w="1152" w:type="dxa"/>
            <w:vAlign w:val="center"/>
          </w:tcPr>
          <w:p w14:paraId="0EFCA8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DCF04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9FAE1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2DC1374" w14:textId="77777777">
        <w:tc>
          <w:tcPr>
            <w:tcW w:w="2160" w:type="dxa"/>
            <w:vAlign w:val="center"/>
          </w:tcPr>
          <w:p w14:paraId="186FA69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E55962B" w14:textId="77777777" w:rsidR="00922249" w:rsidRPr="00CB2EC4" w:rsidRDefault="003011D5">
            <w:pPr>
              <w:rPr>
                <w:rFonts w:ascii="Times New Roman" w:hAnsi="Times New Roman" w:cs="Times New Roman"/>
              </w:rPr>
            </w:pPr>
            <w:r w:rsidRPr="00CB2EC4">
              <w:rPr>
                <w:rFonts w:ascii="Times New Roman" w:hAnsi="Times New Roman" w:cs="Times New Roman"/>
              </w:rPr>
              <w:t>when cervical cancer is incidentally found on pathological examination (initial surgical scope insufficient), the following diagnostic and therapeutic steps are required:</w:t>
            </w:r>
            <w:r w:rsidRPr="00CB2EC4">
              <w:rPr>
                <w:rFonts w:ascii="Times New Roman" w:hAnsi="Times New Roman" w:cs="Times New Roman"/>
              </w:rPr>
              <w:br/>
            </w:r>
            <w:r w:rsidRPr="00CB2EC4">
              <w:rPr>
                <w:rFonts w:ascii="Times New Roman" w:hAnsi="Times New Roman" w:cs="Times New Roman"/>
              </w:rPr>
              <w:br/>
              <w:t xml:space="preserve">Diagnostic requirements:  </w:t>
            </w:r>
            <w:r w:rsidRPr="00CB2EC4">
              <w:rPr>
                <w:rFonts w:ascii="Times New Roman" w:hAnsi="Times New Roman" w:cs="Times New Roman"/>
              </w:rPr>
              <w:br/>
              <w:t xml:space="preserve">  - Clinical staging is not performed for such cases; a separate report is required (segments 4, 7).  </w:t>
            </w:r>
            <w:r w:rsidRPr="00CB2EC4">
              <w:rPr>
                <w:rFonts w:ascii="Times New Roman" w:hAnsi="Times New Roman" w:cs="Times New Roman"/>
              </w:rPr>
              <w:br/>
              <w:t xml:space="preserve">  - Supplementary assessment of tumor extent (e.g., imaging of pelvic/aortic lymph nodes) is needed (segments 2, 4).  </w:t>
            </w:r>
            <w:r w:rsidRPr="00CB2EC4">
              <w:rPr>
                <w:rFonts w:ascii="Times New Roman" w:hAnsi="Times New Roman" w:cs="Times New Roman"/>
              </w:rPr>
              <w:br/>
              <w:t xml:space="preserve">- Therapeutic principles:  </w:t>
            </w:r>
            <w:r w:rsidRPr="00CB2EC4">
              <w:rPr>
                <w:rFonts w:ascii="Times New Roman" w:hAnsi="Times New Roman" w:cs="Times New Roman"/>
              </w:rPr>
              <w:br/>
              <w:t xml:space="preserve">  - Treatment is based on the actual pathological stage:  </w:t>
            </w:r>
            <w:r w:rsidRPr="00CB2EC4">
              <w:rPr>
                <w:rFonts w:ascii="Times New Roman" w:hAnsi="Times New Roman" w:cs="Times New Roman"/>
              </w:rPr>
              <w:br/>
              <w:t xml:space="preserve">    - If IA1 stage without lymphovascular space invasion (LVSI): no further treatment may be needed (segments 10, 14).  </w:t>
            </w:r>
            <w:r w:rsidRPr="00CB2EC4">
              <w:rPr>
                <w:rFonts w:ascii="Times New Roman" w:hAnsi="Times New Roman" w:cs="Times New Roman"/>
              </w:rPr>
              <w:br/>
              <w:t xml:space="preserve">    - If IA1 with LVSI(+) or IA2 stage and above: supplementary surgery (e.g., modified radical hysterectomy + pelvic lymphadenectomy) or radiotherapy is required (segments 10, 14).  </w:t>
            </w:r>
            <w:r w:rsidRPr="00CB2EC4">
              <w:rPr>
                <w:rFonts w:ascii="Times New Roman" w:hAnsi="Times New Roman" w:cs="Times New Roman"/>
              </w:rPr>
              <w:br/>
              <w:t xml:space="preserve">  - Avoid dual therapy: if diagnosis is confirmed preoperatively, concurrent chemoradiotherapy is preferred to reduce adverse effects from surgery plus radiotherapy (segments 1, 2).  </w:t>
            </w:r>
            <w:r w:rsidRPr="00CB2EC4">
              <w:rPr>
                <w:rFonts w:ascii="Times New Roman" w:hAnsi="Times New Roman" w:cs="Times New Roman"/>
              </w:rPr>
              <w:br/>
            </w:r>
            <w:r w:rsidRPr="00CB2EC4">
              <w:rPr>
                <w:rFonts w:ascii="Times New Roman" w:hAnsi="Times New Roman" w:cs="Times New Roman"/>
              </w:rPr>
              <w:br/>
              <w:t>&gt; Basis: segment 4 ("After total hysterectomy, incidentally discovered cervical cancer does not undergo clinical staging") and segment 14 (treatment strategies for IA1/IA2 stages).</w:t>
            </w:r>
          </w:p>
        </w:tc>
        <w:tc>
          <w:tcPr>
            <w:tcW w:w="1152" w:type="dxa"/>
            <w:vAlign w:val="center"/>
          </w:tcPr>
          <w:p w14:paraId="046E97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1B35B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DA89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ECA5D4B" w14:textId="77777777">
        <w:tc>
          <w:tcPr>
            <w:tcW w:w="2160" w:type="dxa"/>
            <w:vAlign w:val="center"/>
          </w:tcPr>
          <w:p w14:paraId="7FE3478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4D3C89D2" w14:textId="77777777" w:rsidR="00922249" w:rsidRPr="00CB2EC4" w:rsidRDefault="003011D5">
            <w:pPr>
              <w:rPr>
                <w:rFonts w:ascii="Times New Roman" w:hAnsi="Times New Roman" w:cs="Times New Roman"/>
              </w:rPr>
            </w:pPr>
            <w:r w:rsidRPr="00CB2EC4">
              <w:rPr>
                <w:rFonts w:ascii="Times New Roman" w:hAnsi="Times New Roman" w:cs="Times New Roman"/>
              </w:rPr>
              <w:t>when cervical cancer is incidentally discovered on pathological examination and the initial surgical extent was insufficient, the patient requires the following diagnostic and therapeutic steps:</w:t>
            </w:r>
            <w:r w:rsidRPr="00CB2EC4">
              <w:rPr>
                <w:rFonts w:ascii="Times New Roman" w:hAnsi="Times New Roman" w:cs="Times New Roman"/>
              </w:rPr>
              <w:br/>
            </w:r>
            <w:r w:rsidRPr="00CB2EC4">
              <w:rPr>
                <w:rFonts w:ascii="Times New Roman" w:hAnsi="Times New Roman" w:cs="Times New Roman"/>
              </w:rPr>
              <w:br/>
              <w:t xml:space="preserve">I. Redo accurate staging (diagnosis)  </w:t>
            </w:r>
            <w:r w:rsidRPr="00CB2EC4">
              <w:rPr>
                <w:rFonts w:ascii="Times New Roman" w:hAnsi="Times New Roman" w:cs="Times New Roman"/>
              </w:rPr>
              <w:br/>
              <w:t xml:space="preserve">Pathological consultation: Re-evaluation of slides by a high-level pathologist to clarify cancer type, differentiation grade, depth of invasion, and other key information.  </w:t>
            </w:r>
            <w:r w:rsidRPr="00CB2EC4">
              <w:rPr>
                <w:rFonts w:ascii="Times New Roman" w:hAnsi="Times New Roman" w:cs="Times New Roman"/>
              </w:rPr>
              <w:br/>
              <w:t xml:space="preserve">Imaging studies:  </w:t>
            </w:r>
            <w:r w:rsidRPr="00CB2EC4">
              <w:rPr>
                <w:rFonts w:ascii="Times New Roman" w:hAnsi="Times New Roman" w:cs="Times New Roman"/>
              </w:rPr>
              <w:br/>
              <w:t xml:space="preserve">Pelvic magnetic resonance imaging (MRI): Assess involvement of parametrial tissue, vagina, and residual tumor.  </w:t>
            </w:r>
            <w:r w:rsidRPr="00CB2EC4">
              <w:rPr>
                <w:rFonts w:ascii="Times New Roman" w:hAnsi="Times New Roman" w:cs="Times New Roman"/>
              </w:rPr>
              <w:br/>
              <w:t xml:space="preserve">CT or PET-CT: Examine pelvic and para-aortic lymph nodes for metastasis and rule out distant organ metastasis.  </w:t>
            </w:r>
            <w:r w:rsidRPr="00CB2EC4">
              <w:rPr>
                <w:rFonts w:ascii="Times New Roman" w:hAnsi="Times New Roman" w:cs="Times New Roman"/>
              </w:rPr>
              <w:br/>
            </w:r>
            <w:r w:rsidRPr="00CB2EC4">
              <w:rPr>
                <w:rFonts w:ascii="Times New Roman" w:hAnsi="Times New Roman" w:cs="Times New Roman"/>
              </w:rPr>
              <w:br/>
              <w:t xml:space="preserve">II. Formulate salvage treatment plan  </w:t>
            </w:r>
            <w:r w:rsidRPr="00CB2EC4">
              <w:rPr>
                <w:rFonts w:ascii="Times New Roman" w:hAnsi="Times New Roman" w:cs="Times New Roman"/>
              </w:rPr>
              <w:br/>
              <w:t xml:space="preserve">Based on the restaged results, there are two main treatment options:  </w:t>
            </w:r>
            <w:r w:rsidRPr="00CB2EC4">
              <w:rPr>
                <w:rFonts w:ascii="Times New Roman" w:hAnsi="Times New Roman" w:cs="Times New Roman"/>
              </w:rPr>
              <w:br/>
              <w:t xml:space="preserve">Salvage surgery: Applicable only to strictly evaluated early-stage patients. The procedure is radical parametrial/upper vaginal resection + pelvic lymphadenectomy.  </w:t>
            </w:r>
            <w:r w:rsidRPr="00CB2EC4">
              <w:rPr>
                <w:rFonts w:ascii="Times New Roman" w:hAnsi="Times New Roman" w:cs="Times New Roman"/>
              </w:rPr>
              <w:br/>
              <w:t>Radical radiotherapy (often combined with chemotherapy): This is the primary treatment modality. External beam radiotherapy is delivered to the primary tumor site, parametrial tissues, and pelvic lymphatic drainage areas, typically combined with concurrent chemotherapy (i.e., “concurrent chemoradiotherapy”) to achieve curative effect.</w:t>
            </w:r>
          </w:p>
        </w:tc>
        <w:tc>
          <w:tcPr>
            <w:tcW w:w="1152" w:type="dxa"/>
            <w:vAlign w:val="center"/>
          </w:tcPr>
          <w:p w14:paraId="26800D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942F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E420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F064D4" w14:textId="77777777">
        <w:tc>
          <w:tcPr>
            <w:tcW w:w="2160" w:type="dxa"/>
            <w:vAlign w:val="center"/>
          </w:tcPr>
          <w:p w14:paraId="5469C86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93A2687" w14:textId="77777777" w:rsidR="00922249" w:rsidRPr="00CB2EC4" w:rsidRDefault="003011D5">
            <w:pPr>
              <w:rPr>
                <w:rFonts w:ascii="Times New Roman" w:hAnsi="Times New Roman" w:cs="Times New Roman"/>
              </w:rPr>
            </w:pPr>
            <w:r w:rsidRPr="00CB2EC4">
              <w:rPr>
                <w:rFonts w:ascii="Times New Roman" w:hAnsi="Times New Roman" w:cs="Times New Roman"/>
              </w:rPr>
              <w:t>- Further diagnosis:</w:t>
            </w:r>
            <w:r w:rsidRPr="00CB2EC4">
              <w:rPr>
                <w:rFonts w:ascii="Times New Roman" w:hAnsi="Times New Roman" w:cs="Times New Roman"/>
              </w:rPr>
              <w:br/>
              <w:t xml:space="preserve">  - A complete staging evaluation must be performed, </w:t>
            </w:r>
            <w:r w:rsidRPr="00CB2EC4">
              <w:rPr>
                <w:rFonts w:ascii="Times New Roman" w:hAnsi="Times New Roman" w:cs="Times New Roman"/>
              </w:rPr>
              <w:lastRenderedPageBreak/>
              <w:t>including:</w:t>
            </w:r>
            <w:r w:rsidRPr="00CB2EC4">
              <w:rPr>
                <w:rFonts w:ascii="Times New Roman" w:hAnsi="Times New Roman" w:cs="Times New Roman"/>
              </w:rPr>
              <w:br/>
              <w:t xml:space="preserve">    - Imaging studies: such as pelvic MRI to assess tumor size and local invasion, PET-CT or CT to evaluate lymph node and distant metastasis.</w:t>
            </w:r>
            <w:r w:rsidRPr="00CB2EC4">
              <w:rPr>
                <w:rFonts w:ascii="Times New Roman" w:hAnsi="Times New Roman" w:cs="Times New Roman"/>
              </w:rPr>
              <w:br/>
              <w:t xml:space="preserve">    - Pathological review**: Re-examination of the initial surgical specimen to confirm depth of invasion, margin status, and lymph node involvement.</w:t>
            </w:r>
            <w:r w:rsidRPr="00CB2EC4">
              <w:rPr>
                <w:rFonts w:ascii="Times New Roman" w:hAnsi="Times New Roman" w:cs="Times New Roman"/>
              </w:rPr>
              <w:br/>
              <w:t>- Further treatment:</w:t>
            </w:r>
            <w:r w:rsidRPr="00CB2EC4">
              <w:rPr>
                <w:rFonts w:ascii="Times New Roman" w:hAnsi="Times New Roman" w:cs="Times New Roman"/>
              </w:rPr>
              <w:br/>
              <w:t xml:space="preserve">  - No further treatment methods could be found in the knowledge base.</w:t>
            </w:r>
          </w:p>
        </w:tc>
        <w:tc>
          <w:tcPr>
            <w:tcW w:w="1152" w:type="dxa"/>
            <w:vAlign w:val="center"/>
          </w:tcPr>
          <w:p w14:paraId="46E506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B3ECC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32621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DDE4E45" w14:textId="77777777">
        <w:tc>
          <w:tcPr>
            <w:tcW w:w="2160" w:type="dxa"/>
            <w:vAlign w:val="center"/>
          </w:tcPr>
          <w:p w14:paraId="7958E9C9"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30DBCE1" w14:textId="77777777" w:rsidR="00922249" w:rsidRPr="00CB2EC4" w:rsidRDefault="003011D5">
            <w:pPr>
              <w:rPr>
                <w:rFonts w:ascii="Times New Roman" w:hAnsi="Times New Roman" w:cs="Times New Roman"/>
              </w:rPr>
            </w:pPr>
            <w:r w:rsidRPr="00CB2EC4">
              <w:rPr>
                <w:rFonts w:ascii="Times New Roman" w:hAnsi="Times New Roman" w:cs="Times New Roman"/>
              </w:rPr>
              <w:t>when cervical cancer is incidentally discovered on pathological examination, and the initial surgical extent is insufficient, the patient requires further diagnostic evaluation and treatment, which may include:</w:t>
            </w:r>
            <w:r w:rsidRPr="00CB2EC4">
              <w:rPr>
                <w:rFonts w:ascii="Times New Roman" w:hAnsi="Times New Roman" w:cs="Times New Roman"/>
              </w:rPr>
              <w:br/>
            </w:r>
            <w:r w:rsidRPr="00CB2EC4">
              <w:rPr>
                <w:rFonts w:ascii="Times New Roman" w:hAnsi="Times New Roman" w:cs="Times New Roman"/>
              </w:rPr>
              <w:br/>
              <w:t xml:space="preserve">→ imaging studies (such as pelvic MRI or CT scan) to assess local tumor extent and possible lymph node involvement  </w:t>
            </w:r>
            <w:r w:rsidRPr="00CB2EC4">
              <w:rPr>
                <w:rFonts w:ascii="Times New Roman" w:hAnsi="Times New Roman" w:cs="Times New Roman"/>
              </w:rPr>
              <w:br/>
              <w:t xml:space="preserve">→ sentinel lymph node mapping or systematic pelvic/para-aortic lymphadenectomy for staging  </w:t>
            </w:r>
            <w:r w:rsidRPr="00CB2EC4">
              <w:rPr>
                <w:rFonts w:ascii="Times New Roman" w:hAnsi="Times New Roman" w:cs="Times New Roman"/>
              </w:rPr>
              <w:br/>
              <w:t xml:space="preserve">→ review of original pathology slides to confirm tumor type, grade, and depth of invasion  </w:t>
            </w:r>
            <w:r w:rsidRPr="00CB2EC4">
              <w:rPr>
                <w:rFonts w:ascii="Times New Roman" w:hAnsi="Times New Roman" w:cs="Times New Roman"/>
              </w:rPr>
              <w:br/>
              <w:t xml:space="preserve">→ determination of residual disease risk based on surgical margins and lymphovascular space invasion status  </w:t>
            </w:r>
            <w:r w:rsidRPr="00CB2EC4">
              <w:rPr>
                <w:rFonts w:ascii="Times New Roman" w:hAnsi="Times New Roman" w:cs="Times New Roman"/>
              </w:rPr>
              <w:br/>
              <w:t xml:space="preserve">→ consideration of adjuvant therapy, including:  </w:t>
            </w:r>
            <w:r w:rsidRPr="00CB2EC4">
              <w:rPr>
                <w:rFonts w:ascii="Times New Roman" w:hAnsi="Times New Roman" w:cs="Times New Roman"/>
              </w:rPr>
              <w:br/>
              <w:t xml:space="preserve">  1. radiotherapy (external beam and/or brachytherapy)  </w:t>
            </w:r>
            <w:r w:rsidRPr="00CB2EC4">
              <w:rPr>
                <w:rFonts w:ascii="Times New Roman" w:hAnsi="Times New Roman" w:cs="Times New Roman"/>
              </w:rPr>
              <w:br/>
              <w:t xml:space="preserve">  2. concurrent chemoradiation for higher-risk features (e.g., lymph node metastasis, positive margins, large tumor size)  </w:t>
            </w:r>
            <w:r w:rsidRPr="00CB2EC4">
              <w:rPr>
                <w:rFonts w:ascii="Times New Roman" w:hAnsi="Times New Roman" w:cs="Times New Roman"/>
              </w:rPr>
              <w:br/>
              <w:t xml:space="preserve">  3. simple hysterectomy completion if not previously performed and indicated  </w:t>
            </w:r>
            <w:r w:rsidRPr="00CB2EC4">
              <w:rPr>
                <w:rFonts w:ascii="Times New Roman" w:hAnsi="Times New Roman" w:cs="Times New Roman"/>
              </w:rPr>
              <w:br/>
              <w:t xml:space="preserve">→ multidisciplinary tumor board discussion to guide </w:t>
            </w:r>
            <w:r w:rsidRPr="00CB2EC4">
              <w:rPr>
                <w:rFonts w:ascii="Times New Roman" w:hAnsi="Times New Roman" w:cs="Times New Roman"/>
              </w:rPr>
              <w:lastRenderedPageBreak/>
              <w:t xml:space="preserve">individualized management  </w:t>
            </w:r>
            <w:r w:rsidRPr="00CB2EC4">
              <w:rPr>
                <w:rFonts w:ascii="Times New Roman" w:hAnsi="Times New Roman" w:cs="Times New Roman"/>
              </w:rPr>
              <w:br/>
              <w:t xml:space="preserve">→ follow-up with serial clinical examinations, imaging, and/or biomarker monitoring as appropriate  </w:t>
            </w:r>
            <w:r w:rsidRPr="00CB2EC4">
              <w:rPr>
                <w:rFonts w:ascii="Times New Roman" w:hAnsi="Times New Roman" w:cs="Times New Roman"/>
              </w:rPr>
              <w:br/>
            </w:r>
            <w:r w:rsidRPr="00CB2EC4">
              <w:rPr>
                <w:rFonts w:ascii="Times New Roman" w:hAnsi="Times New Roman" w:cs="Times New Roman"/>
              </w:rPr>
              <w:br/>
              <w:t>note: the specific further diagnostic and therapeutic steps depend on the pathological findings (e.g., stage, grade, presence of lymphovascular invasion, surgical margins) and must be tailored to the individual patient.</w:t>
            </w:r>
          </w:p>
        </w:tc>
        <w:tc>
          <w:tcPr>
            <w:tcW w:w="1152" w:type="dxa"/>
            <w:vAlign w:val="center"/>
          </w:tcPr>
          <w:p w14:paraId="2113DD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21709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8C94E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8377274" w14:textId="77777777">
        <w:tc>
          <w:tcPr>
            <w:tcW w:w="2160" w:type="dxa"/>
            <w:vAlign w:val="center"/>
          </w:tcPr>
          <w:p w14:paraId="546DB450"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FAB35A9" w14:textId="77777777" w:rsidR="00922249" w:rsidRPr="00CB2EC4" w:rsidRDefault="003011D5">
            <w:pPr>
              <w:rPr>
                <w:rFonts w:ascii="Times New Roman" w:hAnsi="Times New Roman" w:cs="Times New Roman"/>
              </w:rPr>
            </w:pPr>
            <w:r w:rsidRPr="00CB2EC4">
              <w:rPr>
                <w:rFonts w:ascii="Times New Roman" w:hAnsi="Times New Roman" w:cs="Times New Roman"/>
              </w:rPr>
              <w:t>when cervical cancer is incidentally found on pathological examination, and the initial surgical extent is insufficient, the patient requires further diagnostic evaluation and treatment, which may include:</w:t>
            </w:r>
            <w:r w:rsidRPr="00CB2EC4">
              <w:rPr>
                <w:rFonts w:ascii="Times New Roman" w:hAnsi="Times New Roman" w:cs="Times New Roman"/>
              </w:rPr>
              <w:br/>
            </w:r>
            <w:r w:rsidRPr="00CB2EC4">
              <w:rPr>
                <w:rFonts w:ascii="Times New Roman" w:hAnsi="Times New Roman" w:cs="Times New Roman"/>
              </w:rPr>
              <w:br/>
              <w:t xml:space="preserve">→ imaging studies (such as pelvic MRI and/or PET-CT) to assess tumor size, parametrial involvement, lymph node status, and distant metastasis;  </w:t>
            </w:r>
            <w:r w:rsidRPr="00CB2EC4">
              <w:rPr>
                <w:rFonts w:ascii="Times New Roman" w:hAnsi="Times New Roman" w:cs="Times New Roman"/>
              </w:rPr>
              <w:br/>
              <w:t xml:space="preserve">→ review of the original pathology slides by a gynecologic pathologist to confirm the diagnosis, histologic type, grade, depth of stromal invasion, lymphovascular space invasion (LVSI), and surgical margin status;  </w:t>
            </w:r>
            <w:r w:rsidRPr="00CB2EC4">
              <w:rPr>
                <w:rFonts w:ascii="Times New Roman" w:hAnsi="Times New Roman" w:cs="Times New Roman"/>
              </w:rPr>
              <w:br/>
              <w:t xml:space="preserve">→ consideration of completion hysterectomy (if not previously performed) or additional surgical staging (e.g., pelvic and para-aortic lymphadenectomy) if feasible and indicated based on imaging and pathology findings;  </w:t>
            </w:r>
            <w:r w:rsidRPr="00CB2EC4">
              <w:rPr>
                <w:rFonts w:ascii="Times New Roman" w:hAnsi="Times New Roman" w:cs="Times New Roman"/>
              </w:rPr>
              <w:br/>
              <w:t xml:space="preserve">→ multidisciplinary tumor board discussion to determine the need for adjuvant therapy, which may include:  </w:t>
            </w:r>
            <w:r w:rsidRPr="00CB2EC4">
              <w:rPr>
                <w:rFonts w:ascii="Times New Roman" w:hAnsi="Times New Roman" w:cs="Times New Roman"/>
              </w:rPr>
              <w:br/>
              <w:t xml:space="preserve">  - radiotherapy (external beam radiation therapy ± brachytherapy) ± concurrent chemotherapy, particularly for cases with positive margins, </w:t>
            </w:r>
            <w:r w:rsidRPr="00CB2EC4">
              <w:rPr>
                <w:rFonts w:ascii="Times New Roman" w:hAnsi="Times New Roman" w:cs="Times New Roman"/>
              </w:rPr>
              <w:lastRenderedPageBreak/>
              <w:t xml:space="preserve">lymphovascular invasion, deep stromal invasion, or lymph node metastasis;  </w:t>
            </w:r>
            <w:r w:rsidRPr="00CB2EC4">
              <w:rPr>
                <w:rFonts w:ascii="Times New Roman" w:hAnsi="Times New Roman" w:cs="Times New Roman"/>
              </w:rPr>
              <w:br/>
              <w:t xml:space="preserve">  - or, in select early-stage cases with minimal residual risk, close surveillance may be considered;  </w:t>
            </w:r>
            <w:r w:rsidRPr="00CB2EC4">
              <w:rPr>
                <w:rFonts w:ascii="Times New Roman" w:hAnsi="Times New Roman" w:cs="Times New Roman"/>
              </w:rPr>
              <w:br/>
              <w:t xml:space="preserve">→ HPV testing and p16 immunohistochemistry for prognostic and therapeutic guidance;  </w:t>
            </w:r>
            <w:r w:rsidRPr="00CB2EC4">
              <w:rPr>
                <w:rFonts w:ascii="Times New Roman" w:hAnsi="Times New Roman" w:cs="Times New Roman"/>
              </w:rPr>
              <w:br/>
              <w:t>→ serum tumor marker assessment (e.g., SCC antigen) for baseline and monitoring purposes.</w:t>
            </w:r>
            <w:r w:rsidRPr="00CB2EC4">
              <w:rPr>
                <w:rFonts w:ascii="Times New Roman" w:hAnsi="Times New Roman" w:cs="Times New Roman"/>
              </w:rPr>
              <w:br/>
            </w:r>
            <w:r w:rsidRPr="00CB2EC4">
              <w:rPr>
                <w:rFonts w:ascii="Times New Roman" w:hAnsi="Times New Roman" w:cs="Times New Roman"/>
              </w:rPr>
              <w:br/>
              <w:t>the specific further management should be individualized based on the final pathology report, imaging results, patient age, fertility desires (if applicable), and overall health status.</w:t>
            </w:r>
          </w:p>
        </w:tc>
        <w:tc>
          <w:tcPr>
            <w:tcW w:w="1152" w:type="dxa"/>
            <w:vAlign w:val="center"/>
          </w:tcPr>
          <w:p w14:paraId="36364A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BDA62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410EB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3565E95" w14:textId="77777777">
        <w:tc>
          <w:tcPr>
            <w:tcW w:w="2160" w:type="dxa"/>
            <w:vAlign w:val="center"/>
          </w:tcPr>
          <w:p w14:paraId="022ED56A"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9BDEDFE" w14:textId="77777777" w:rsidR="00922249" w:rsidRPr="00CB2EC4" w:rsidRDefault="003011D5">
            <w:pPr>
              <w:rPr>
                <w:rFonts w:ascii="Times New Roman" w:hAnsi="Times New Roman" w:cs="Times New Roman"/>
              </w:rPr>
            </w:pPr>
            <w:r w:rsidRPr="00CB2EC4">
              <w:rPr>
                <w:rFonts w:ascii="Times New Roman" w:hAnsi="Times New Roman" w:cs="Times New Roman"/>
              </w:rPr>
              <w:t>when cervical cancer is incidentally found on pathological examination, due to insufficient initial surgical extent, the patient requires the following further diagnosis and treatment:</w:t>
            </w:r>
            <w:r w:rsidRPr="00CB2EC4">
              <w:rPr>
                <w:rFonts w:ascii="Times New Roman" w:hAnsi="Times New Roman" w:cs="Times New Roman"/>
              </w:rPr>
              <w:br/>
            </w:r>
            <w:r w:rsidRPr="00CB2EC4">
              <w:rPr>
                <w:rFonts w:ascii="Times New Roman" w:hAnsi="Times New Roman" w:cs="Times New Roman"/>
              </w:rPr>
              <w:br/>
              <w:t>- Further diagnosis:</w:t>
            </w:r>
            <w:r w:rsidRPr="00CB2EC4">
              <w:rPr>
                <w:rFonts w:ascii="Times New Roman" w:hAnsi="Times New Roman" w:cs="Times New Roman"/>
              </w:rPr>
              <w:br/>
              <w:t xml:space="preserve">  - Comprehensive staging evaluation: including pelvic examination, imaging (MRI preferred to assess tumor size and local invasion, PET-CT to evaluate lymph node and distant metastases), and pathological review (e.g., re-evaluation of original surgical specimens).</w:t>
            </w:r>
            <w:r w:rsidRPr="00CB2EC4">
              <w:rPr>
                <w:rFonts w:ascii="Times New Roman" w:hAnsi="Times New Roman" w:cs="Times New Roman"/>
              </w:rPr>
              <w:br/>
              <w:t xml:space="preserve">  - Supplementary tests: depending on the type of initial surgery (such as conization or hysterectomy), may require HPV testing, colposcopic assessment of residual lesions, or serum tumor markers (e.g., SCC-Ag).</w:t>
            </w:r>
            <w:r w:rsidRPr="00CB2EC4">
              <w:rPr>
                <w:rFonts w:ascii="Times New Roman" w:hAnsi="Times New Roman" w:cs="Times New Roman"/>
              </w:rPr>
              <w:br/>
              <w:t>- Further treatment:</w:t>
            </w:r>
            <w:r w:rsidRPr="00CB2EC4">
              <w:rPr>
                <w:rFonts w:ascii="Times New Roman" w:hAnsi="Times New Roman" w:cs="Times New Roman"/>
              </w:rPr>
              <w:br/>
              <w:t xml:space="preserve">  - Based on staging:</w:t>
            </w:r>
            <w:r w:rsidRPr="00CB2EC4">
              <w:rPr>
                <w:rFonts w:ascii="Times New Roman" w:hAnsi="Times New Roman" w:cs="Times New Roman"/>
              </w:rPr>
              <w:br/>
              <w:t xml:space="preserve">    - If stage IA1 without lymphovascular space invasion (LVSI): observation or additional cervical excision may suffice (e.g., if initial surgery was </w:t>
            </w:r>
            <w:r w:rsidRPr="00CB2EC4">
              <w:rPr>
                <w:rFonts w:ascii="Times New Roman" w:hAnsi="Times New Roman" w:cs="Times New Roman"/>
              </w:rPr>
              <w:lastRenderedPageBreak/>
              <w:t>conization).</w:t>
            </w:r>
            <w:r w:rsidRPr="00CB2EC4">
              <w:rPr>
                <w:rFonts w:ascii="Times New Roman" w:hAnsi="Times New Roman" w:cs="Times New Roman"/>
              </w:rPr>
              <w:br/>
              <w:t xml:space="preserve">    - If stage IA1 with LVSI, IA2, or higher: radical surgery (e.g., radical hysterectomy + pelvic lymphadenectomy) or radical radiotherapy (external beam + brachytherapy) is required, especially when surgery is not feasible.</w:t>
            </w:r>
            <w:r w:rsidRPr="00CB2EC4">
              <w:rPr>
                <w:rFonts w:ascii="Times New Roman" w:hAnsi="Times New Roman" w:cs="Times New Roman"/>
              </w:rPr>
              <w:br/>
              <w:t xml:space="preserve">    - For stage IB and above: radical surgery or radiotherapy, combined with chemotherapy (e.g., concurrent chemoradiation), is typically recommended.</w:t>
            </w:r>
            <w:r w:rsidRPr="00CB2EC4">
              <w:rPr>
                <w:rFonts w:ascii="Times New Roman" w:hAnsi="Times New Roman" w:cs="Times New Roman"/>
              </w:rPr>
              <w:br/>
              <w:t xml:space="preserve">  - Individualized considerations: patient age, fertility desires, extent of initial surgery (e.g., presence of residual disease), and multidisciplinary team (MDT) discussion are essential. CSCO guidelines emphasize that treatment goals after incidental diagnosis should aim for radical management to avoid complications from secondary surgery.</w:t>
            </w:r>
            <w:r w:rsidRPr="00CB2EC4">
              <w:rPr>
                <w:rFonts w:ascii="Times New Roman" w:hAnsi="Times New Roman" w:cs="Times New Roman"/>
              </w:rPr>
              <w:br/>
              <w:t>- Note: Insufficient initial surgery commonly occurs after conization or simple hysterectomy revealing invasive cancer; prompt referral to a gynecologic oncology specialist is required.</w:t>
            </w:r>
          </w:p>
        </w:tc>
        <w:tc>
          <w:tcPr>
            <w:tcW w:w="1152" w:type="dxa"/>
            <w:vAlign w:val="center"/>
          </w:tcPr>
          <w:p w14:paraId="666002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55F8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938CE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211AAE" w14:textId="77777777">
        <w:tc>
          <w:tcPr>
            <w:tcW w:w="10656" w:type="dxa"/>
            <w:gridSpan w:val="5"/>
            <w:tcBorders>
              <w:bottom w:val="single" w:sz="6" w:space="0" w:color="auto"/>
            </w:tcBorders>
            <w:vAlign w:val="center"/>
          </w:tcPr>
          <w:p w14:paraId="53777DC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51: In cervical cancer treatment, if the patient does not wish to preserve fertility, and the stage is ⅠA1 without lymphovascular space invasion, what treatment measures should be taken?</w:t>
            </w:r>
          </w:p>
        </w:tc>
      </w:tr>
      <w:tr w:rsidR="00922249" w:rsidRPr="00CB2EC4" w14:paraId="50E623DE" w14:textId="77777777">
        <w:tc>
          <w:tcPr>
            <w:tcW w:w="2160" w:type="dxa"/>
            <w:vAlign w:val="center"/>
          </w:tcPr>
          <w:p w14:paraId="5309417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520DA7B"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IA1 cervical cancer without lymphovascular space invasion who do not wish to preserve fertility, the recommended treatment is extrafascial total hysterectomy or radiotherapy.</w:t>
            </w:r>
            <w:r w:rsidRPr="00CB2EC4">
              <w:rPr>
                <w:rFonts w:ascii="Times New Roman" w:hAnsi="Times New Roman" w:cs="Times New Roman"/>
              </w:rPr>
              <w:br/>
            </w:r>
            <w:r w:rsidRPr="00CB2EC4">
              <w:rPr>
                <w:rFonts w:ascii="Times New Roman" w:hAnsi="Times New Roman" w:cs="Times New Roman"/>
              </w:rPr>
              <w:br/>
              <w:t>- Evidence:</w:t>
            </w:r>
            <w:r w:rsidRPr="00CB2EC4">
              <w:rPr>
                <w:rFonts w:ascii="Times New Roman" w:hAnsi="Times New Roman" w:cs="Times New Roman"/>
              </w:rPr>
              <w:br/>
              <w:t xml:space="preserve">  - In document segment with similarity 0.431 (range 18-20), the FIGO 2018 guidelines explicitly state: for stage IA1 with LVSI negative and no fertility preservation, extrafascial total hysterectomy or </w:t>
            </w:r>
            <w:r w:rsidRPr="00CB2EC4">
              <w:rPr>
                <w:rFonts w:ascii="Times New Roman" w:hAnsi="Times New Roman" w:cs="Times New Roman"/>
              </w:rPr>
              <w:lastRenderedPageBreak/>
              <w:t>radiotherapy is recommended.</w:t>
            </w:r>
            <w:r w:rsidRPr="00CB2EC4">
              <w:rPr>
                <w:rFonts w:ascii="Times New Roman" w:hAnsi="Times New Roman" w:cs="Times New Roman"/>
              </w:rPr>
              <w:br/>
              <w:t xml:space="preserve">  - In document segment with similarity 0.494 (range 20-22), Table 4 comparing FIGO and NCCN guidelines also supports this recommendation: extrafascial total hysterectomy is a level I recommendation.</w:t>
            </w:r>
            <w:r w:rsidRPr="00CB2EC4">
              <w:rPr>
                <w:rFonts w:ascii="Times New Roman" w:hAnsi="Times New Roman" w:cs="Times New Roman"/>
              </w:rPr>
              <w:br/>
              <w:t xml:space="preserve">  - In document segment with similarity 0.558 (range 33-35) on early cervical cancer treatment, for IA stage without lymphovascular space invasion, type A hysterectomy (corresponding to extrafascial hysterectomy) is a level I recommendation.</w:t>
            </w:r>
            <w:r w:rsidRPr="00CB2EC4">
              <w:rPr>
                <w:rFonts w:ascii="Times New Roman" w:hAnsi="Times New Roman" w:cs="Times New Roman"/>
              </w:rPr>
              <w:br/>
              <w:t>- Additional note: extrafascial total hysterectomy is the preferred option for patients without surgical contraindications; radiotherapy serves as an alternative, especially for those with surgical contraindications such as severe comorbidities.</w:t>
            </w:r>
          </w:p>
        </w:tc>
        <w:tc>
          <w:tcPr>
            <w:tcW w:w="1152" w:type="dxa"/>
            <w:vAlign w:val="center"/>
          </w:tcPr>
          <w:p w14:paraId="786A64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957E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62CD4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2D2BD5" w14:textId="77777777">
        <w:tc>
          <w:tcPr>
            <w:tcW w:w="2160" w:type="dxa"/>
            <w:vAlign w:val="center"/>
          </w:tcPr>
          <w:p w14:paraId="27FACD66"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BA67C0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who do not wish to preserve fertility, staged as IA1 without lymphovascular space invasion (LVSI negative), the recommended treatment is extrafascial total hysterectomy.  </w:t>
            </w:r>
            <w:r w:rsidRPr="00CB2EC4">
              <w:rPr>
                <w:rFonts w:ascii="Times New Roman" w:hAnsi="Times New Roman" w:cs="Times New Roman"/>
              </w:rPr>
              <w:br/>
              <w:t xml:space="preserve">- Basis:  </w:t>
            </w:r>
            <w:r w:rsidRPr="00CB2EC4">
              <w:rPr>
                <w:rFonts w:ascii="Times New Roman" w:hAnsi="Times New Roman" w:cs="Times New Roman"/>
              </w:rPr>
              <w:br/>
              <w:t xml:space="preserve">  - Document fragment 16 (block 21, title "Cervical Cancer Staging and Management Standards"), Table 4 compares FIGO and NCCN guidelines: FIGO 2018 recommends extrafascial total hysterectomy or radiotherapy; NCCN 2019 recommends extrafascial total hysterectomy if cone biopsy margins are negative.  </w:t>
            </w:r>
            <w:r w:rsidRPr="00CB2EC4">
              <w:rPr>
                <w:rFonts w:ascii="Times New Roman" w:hAnsi="Times New Roman" w:cs="Times New Roman"/>
              </w:rPr>
              <w:br/>
              <w:t xml:space="preserve">  - Document fragment 4 (block 9, title "Cervical Cancer Surgical Treatment Guidelines") explicitly states: for IA1 stage patients not requiring fertility preservation, extrafascial total hysterectomy is recommended, and the surgery may be performed via </w:t>
            </w:r>
            <w:r w:rsidRPr="00CB2EC4">
              <w:rPr>
                <w:rFonts w:ascii="Times New Roman" w:hAnsi="Times New Roman" w:cs="Times New Roman"/>
              </w:rPr>
              <w:lastRenderedPageBreak/>
              <w:t xml:space="preserve">abdominal, vaginal, or laparoscopic approach.  </w:t>
            </w:r>
            <w:r w:rsidRPr="00CB2EC4">
              <w:rPr>
                <w:rFonts w:ascii="Times New Roman" w:hAnsi="Times New Roman" w:cs="Times New Roman"/>
              </w:rPr>
              <w:br/>
              <w:t xml:space="preserve">  - Document fragment 18 (block 6, title "Cervical Cancer FIGO Staging Criteria") also supports that surgery is the mainstay for IA1 stage, emphasizing extrafascial hysterectomy as the standard option.  </w:t>
            </w:r>
            <w:r w:rsidRPr="00CB2EC4">
              <w:rPr>
                <w:rFonts w:ascii="Times New Roman" w:hAnsi="Times New Roman" w:cs="Times New Roman"/>
              </w:rPr>
              <w:br/>
              <w:t xml:space="preserve">  In summary, extrafascial total hysterectomy is the preferred choice, with radiotherapy as an alternative; however, surgery is more commonly used and associated with lower morbidity.</w:t>
            </w:r>
          </w:p>
        </w:tc>
        <w:tc>
          <w:tcPr>
            <w:tcW w:w="1152" w:type="dxa"/>
            <w:vAlign w:val="center"/>
          </w:tcPr>
          <w:p w14:paraId="1CF1C8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2B239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4708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180A3F" w14:textId="77777777">
        <w:tc>
          <w:tcPr>
            <w:tcW w:w="2160" w:type="dxa"/>
            <w:vAlign w:val="center"/>
          </w:tcPr>
          <w:p w14:paraId="79F777C3"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5BA6C40"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staged as IA1 without lymphovascular space invasion (LVSI-negative), the recommended treatment is extrafascial total hysterectomy (also known as Type A hysterectomy).</w:t>
            </w:r>
            <w:r w:rsidRPr="00CB2EC4">
              <w:rPr>
                <w:rFonts w:ascii="Times New Roman" w:hAnsi="Times New Roman" w:cs="Times New Roman"/>
              </w:rPr>
              <w:br/>
            </w:r>
            <w:r w:rsidRPr="00CB2EC4">
              <w:rPr>
                <w:rFonts w:ascii="Times New Roman" w:hAnsi="Times New Roman" w:cs="Times New Roman"/>
              </w:rPr>
              <w:br/>
              <w:t>- Document excerpt 1: Level I recommendation for IA stage without lymphovascular space invasion includes Type A hysterectomy or conization; however, conization is typically reserved for fertility preservation, so surgical resection is prioritized when fertility is not preserved.</w:t>
            </w:r>
            <w:r w:rsidRPr="00CB2EC4">
              <w:rPr>
                <w:rFonts w:ascii="Times New Roman" w:hAnsi="Times New Roman" w:cs="Times New Roman"/>
              </w:rPr>
              <w:br/>
              <w:t>- Document excerpt 2: Explicitly states that for IA1 stage LVSI(-) patients not requiring fertility preservation, extrafascial total hysterectomy is recommended.</w:t>
            </w:r>
            <w:r w:rsidRPr="00CB2EC4">
              <w:rPr>
                <w:rFonts w:ascii="Times New Roman" w:hAnsi="Times New Roman" w:cs="Times New Roman"/>
              </w:rPr>
              <w:br/>
              <w:t>- Document excerpt 5: According to FIGO 2018 guidelines, for IA1 stage LVSI-negative patients not preserving fertility, extrafascial total hysterectomy or radiotherapy (with surgery as the preferred option) is recommended.</w:t>
            </w:r>
            <w:r w:rsidRPr="00CB2EC4">
              <w:rPr>
                <w:rFonts w:ascii="Times New Roman" w:hAnsi="Times New Roman" w:cs="Times New Roman"/>
              </w:rPr>
              <w:br/>
              <w:t xml:space="preserve">- Document excerpt 12: Details that total hysterectomy (including extrafascial type) is indicated for stromal invasion depth ≤3 mm and no vascular space invasion, with removal of 1–2 cm of the upper </w:t>
            </w:r>
            <w:r w:rsidRPr="00CB2EC4">
              <w:rPr>
                <w:rFonts w:ascii="Times New Roman" w:hAnsi="Times New Roman" w:cs="Times New Roman"/>
              </w:rPr>
              <w:lastRenderedPageBreak/>
              <w:t>vagina.</w:t>
            </w:r>
            <w:r w:rsidRPr="00CB2EC4">
              <w:rPr>
                <w:rFonts w:ascii="Times New Roman" w:hAnsi="Times New Roman" w:cs="Times New Roman"/>
              </w:rPr>
              <w:br/>
              <w:t>- Other excerpts: Excerpt 8 mentions follow-up observation, but this is a secondary recommendation with lower relevance (0.800); the primary recommendation remains surgery.</w:t>
            </w:r>
            <w:r w:rsidRPr="00CB2EC4">
              <w:rPr>
                <w:rFonts w:ascii="Times New Roman" w:hAnsi="Times New Roman" w:cs="Times New Roman"/>
              </w:rPr>
              <w:br/>
            </w:r>
            <w:r w:rsidRPr="00CB2EC4">
              <w:rPr>
                <w:rFonts w:ascii="Times New Roman" w:hAnsi="Times New Roman" w:cs="Times New Roman"/>
              </w:rPr>
              <w:br/>
              <w:t>In summary, the Level I recommended treatment is extrafascial total hysterectomy (Type A hysterectomy). If contraindications to surgery exist (e.g., advanced age or comorbidities), radiotherapy (such as brachytherapy alone, with point A dose of 60–70 Gy) may be considered, but surgery is the first choice (excerpt 18).</w:t>
            </w:r>
          </w:p>
        </w:tc>
        <w:tc>
          <w:tcPr>
            <w:tcW w:w="1152" w:type="dxa"/>
            <w:vAlign w:val="center"/>
          </w:tcPr>
          <w:p w14:paraId="7BD7A9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B82A3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D0EC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3B6D7D7" w14:textId="77777777">
        <w:tc>
          <w:tcPr>
            <w:tcW w:w="2160" w:type="dxa"/>
            <w:vAlign w:val="center"/>
          </w:tcPr>
          <w:p w14:paraId="5C4DF438"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59EE04F" w14:textId="77777777" w:rsidR="00922249" w:rsidRPr="00CB2EC4" w:rsidRDefault="003011D5">
            <w:pPr>
              <w:rPr>
                <w:rFonts w:ascii="Times New Roman" w:hAnsi="Times New Roman" w:cs="Times New Roman"/>
              </w:rPr>
            </w:pPr>
            <w:r w:rsidRPr="00CB2EC4">
              <w:rPr>
                <w:rFonts w:ascii="Times New Roman" w:hAnsi="Times New Roman" w:cs="Times New Roman"/>
              </w:rPr>
              <w:t>IA1 stage without lymphovascular space invasion (LVSI negative)</w:t>
            </w:r>
            <w:r w:rsidRPr="00CB2EC4">
              <w:rPr>
                <w:rFonts w:ascii="Times New Roman" w:hAnsi="Times New Roman" w:cs="Times New Roman"/>
              </w:rPr>
              <w:br/>
            </w:r>
            <w:r w:rsidRPr="00CB2EC4">
              <w:rPr>
                <w:rFonts w:ascii="Times New Roman" w:hAnsi="Times New Roman" w:cs="Times New Roman"/>
              </w:rPr>
              <w:br/>
              <w:t xml:space="preserve">Level I recommendation:  </w:t>
            </w:r>
            <w:r w:rsidRPr="00CB2EC4">
              <w:rPr>
                <w:rFonts w:ascii="Times New Roman" w:hAnsi="Times New Roman" w:cs="Times New Roman"/>
              </w:rPr>
              <w:br/>
              <w:t xml:space="preserve">- Extrafascial total hysterectomy (FIGO 2018 &amp; NCCN 2019)  </w:t>
            </w:r>
            <w:r w:rsidRPr="00CB2EC4">
              <w:rPr>
                <w:rFonts w:ascii="Times New Roman" w:hAnsi="Times New Roman" w:cs="Times New Roman"/>
              </w:rPr>
              <w:br/>
              <w:t xml:space="preserve">Rationale:  </w:t>
            </w:r>
            <w:r w:rsidRPr="00CB2EC4">
              <w:rPr>
                <w:rFonts w:ascii="Times New Roman" w:hAnsi="Times New Roman" w:cs="Times New Roman"/>
              </w:rPr>
              <w:br/>
              <w:t xml:space="preserve">  - FIGO guidelines explicitly recommend extrafascial total hysterectomy (knowledge base: "IA1 stage LVSI negative: extrafascial total hysterectomy").  </w:t>
            </w:r>
            <w:r w:rsidRPr="00CB2EC4">
              <w:rPr>
                <w:rFonts w:ascii="Times New Roman" w:hAnsi="Times New Roman" w:cs="Times New Roman"/>
              </w:rPr>
              <w:br/>
              <w:t xml:space="preserve">  - NCCN guidelines add: if conization margins are negative or show CIN, perform extrafascial total hysterectomy (knowledge base: "When conization margins are negative or CIN: extrafascial total hysterectomy").</w:t>
            </w:r>
          </w:p>
        </w:tc>
        <w:tc>
          <w:tcPr>
            <w:tcW w:w="1152" w:type="dxa"/>
            <w:vAlign w:val="center"/>
          </w:tcPr>
          <w:p w14:paraId="2B1019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C17F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4589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05D354" w14:textId="77777777">
        <w:tc>
          <w:tcPr>
            <w:tcW w:w="2160" w:type="dxa"/>
            <w:vAlign w:val="center"/>
          </w:tcPr>
          <w:p w14:paraId="488355DB"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1818B0C"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IA1 cervical cancer (stromal invasion depth ≤3mm) without lymphovascular space invasion (LVSI-negative) and who do not desire fertility preservation, the recommended treatment is: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Extrafascial total hysterectomy (Type A hysterectomy)</w:t>
            </w:r>
            <w:r w:rsidRPr="00CB2EC4">
              <w:rPr>
                <w:rFonts w:ascii="Times New Roman" w:hAnsi="Times New Roman" w:cs="Times New Roman"/>
              </w:rPr>
              <w:br/>
            </w:r>
            <w:r w:rsidRPr="00CB2EC4">
              <w:rPr>
                <w:rFonts w:ascii="Times New Roman" w:hAnsi="Times New Roman" w:cs="Times New Roman"/>
              </w:rPr>
              <w:br/>
              <w:t xml:space="preserve">Rationale:  </w:t>
            </w:r>
            <w:r w:rsidRPr="00CB2EC4">
              <w:rPr>
                <w:rFonts w:ascii="Times New Roman" w:hAnsi="Times New Roman" w:cs="Times New Roman"/>
              </w:rPr>
              <w:br/>
              <w:t xml:space="preserve">- Stage IA without lymphovascular space invasion: Type A hysterectomy is a Grade I recommendation.  </w:t>
            </w:r>
            <w:r w:rsidRPr="00CB2EC4">
              <w:rPr>
                <w:rFonts w:ascii="Times New Roman" w:hAnsi="Times New Roman" w:cs="Times New Roman"/>
              </w:rPr>
              <w:br/>
              <w:t xml:space="preserve">- Stage IA1: Extrafascial total hysterectomy is recommended for patients not requiring fertility preservation and elderly women.  </w:t>
            </w:r>
            <w:r w:rsidRPr="00CB2EC4">
              <w:rPr>
                <w:rFonts w:ascii="Times New Roman" w:hAnsi="Times New Roman" w:cs="Times New Roman"/>
              </w:rPr>
              <w:br/>
              <w:t xml:space="preserve">- Stage IA1 LVSI-negative (FIGO 2018): Extrafascial total hysterectomy is chosen when fertility preservation is not desired.  </w:t>
            </w:r>
            <w:r w:rsidRPr="00CB2EC4">
              <w:rPr>
                <w:rFonts w:ascii="Times New Roman" w:hAnsi="Times New Roman" w:cs="Times New Roman"/>
              </w:rPr>
              <w:br/>
            </w:r>
            <w:r w:rsidRPr="00CB2EC4">
              <w:rPr>
                <w:rFonts w:ascii="Times New Roman" w:hAnsi="Times New Roman" w:cs="Times New Roman"/>
              </w:rPr>
              <w:br/>
              <w:t>This approach is based on the radical efficacy of surgery, avoids radiotherapy-related complications, and is suitable for patients without high-risk factors.</w:t>
            </w:r>
          </w:p>
        </w:tc>
        <w:tc>
          <w:tcPr>
            <w:tcW w:w="1152" w:type="dxa"/>
            <w:vAlign w:val="center"/>
          </w:tcPr>
          <w:p w14:paraId="11C039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659A4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1905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FE708F" w14:textId="77777777">
        <w:tc>
          <w:tcPr>
            <w:tcW w:w="2160" w:type="dxa"/>
            <w:vAlign w:val="center"/>
          </w:tcPr>
          <w:p w14:paraId="5189231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5151B6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who do not wish to preserve fertility, staged as IA1 without lymphovascular space invasion (LVSI), the recommended treatment is extrafascial total hysterectomy.  </w:t>
            </w:r>
            <w:r w:rsidRPr="00CB2EC4">
              <w:rPr>
                <w:rFonts w:ascii="Times New Roman" w:hAnsi="Times New Roman" w:cs="Times New Roman"/>
              </w:rPr>
              <w:br/>
              <w:t xml:space="preserve">- Evidence: Document 1 states "IA stage without lymphovascular space invasion: Level I recommendation: Type A hysterectomy" (Type A corresponds to extrafascial total hysterectomy); Document 2 indicates "IA1 stage LVSI(-) without need to preserve fertility: recommend extrafascial total hysterectomy"; Document 5 and Document 14 in the FIGO/NCCN guideline comparison explicitly state "IA1 stage LVSI negative: extrafascial total hysterectomy".  </w:t>
            </w:r>
            <w:r w:rsidRPr="00CB2EC4">
              <w:rPr>
                <w:rFonts w:ascii="Times New Roman" w:hAnsi="Times New Roman" w:cs="Times New Roman"/>
              </w:rPr>
              <w:br/>
              <w:t xml:space="preserve">- Rationale: This surgery has minimal trauma, low complication rates, is suitable for early low-risk patients, offers high 5-year survival rates, and does </w:t>
            </w:r>
            <w:r w:rsidRPr="00CB2EC4">
              <w:rPr>
                <w:rFonts w:ascii="Times New Roman" w:hAnsi="Times New Roman" w:cs="Times New Roman"/>
              </w:rPr>
              <w:lastRenderedPageBreak/>
              <w:t>not require adjuvant radiotherapy or chemotherapy.</w:t>
            </w:r>
          </w:p>
        </w:tc>
        <w:tc>
          <w:tcPr>
            <w:tcW w:w="1152" w:type="dxa"/>
            <w:vAlign w:val="center"/>
          </w:tcPr>
          <w:p w14:paraId="65CA03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1E7F8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2A11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BC432F" w14:textId="77777777">
        <w:tc>
          <w:tcPr>
            <w:tcW w:w="2160" w:type="dxa"/>
            <w:vAlign w:val="center"/>
          </w:tcPr>
          <w:p w14:paraId="27311862"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18139CD"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staged as IA1 without lymphovascular space invasion, the recommended treatment is extrafascial total hysterectomy.</w:t>
            </w:r>
            <w:r w:rsidRPr="00CB2EC4">
              <w:rPr>
                <w:rFonts w:ascii="Times New Roman" w:hAnsi="Times New Roman" w:cs="Times New Roman"/>
              </w:rPr>
              <w:br/>
            </w:r>
            <w:r w:rsidRPr="00CB2EC4">
              <w:rPr>
                <w:rFonts w:ascii="Times New Roman" w:hAnsi="Times New Roman" w:cs="Times New Roman"/>
              </w:rPr>
              <w:br/>
              <w:t>response: according to the document content, for IA1 stage cervical cancer without lymphovascular space invasion (LVSI negative) and without fertility preservation, the recommended treatment is extrafascial total hysterectomy. this is supported by multiple references in the document:</w:t>
            </w:r>
            <w:r w:rsidRPr="00CB2EC4">
              <w:rPr>
                <w:rFonts w:ascii="Times New Roman" w:hAnsi="Times New Roman" w:cs="Times New Roman"/>
              </w:rPr>
              <w:br/>
              <w:t xml:space="preserve">  - [HyDE similarity: 0.623] section: table 4 comparing FIGO and NCCN guidelines shows that FIGO 2018 recommends extrafascial total hysterectomy or radiotherapy, while NCCN 2019 specifically states that when conization margins are negative or show CIN, extrafascial total hysterectomy is performed.</w:t>
            </w:r>
            <w:r w:rsidRPr="00CB2EC4">
              <w:rPr>
                <w:rFonts w:ascii="Times New Roman" w:hAnsi="Times New Roman" w:cs="Times New Roman"/>
              </w:rPr>
              <w:br/>
              <w:t xml:space="preserve">  - [HyDE similarity: 0.571] section: cervical cancer treatment guidelines indicate that for IA1 stage LVSI(-), level I recommendation is type A hysterectomy (corresponding to extrafascial total hysterectomy).</w:t>
            </w:r>
            <w:r w:rsidRPr="00CB2EC4">
              <w:rPr>
                <w:rFonts w:ascii="Times New Roman" w:hAnsi="Times New Roman" w:cs="Times New Roman"/>
              </w:rPr>
              <w:br/>
              <w:t xml:space="preserve">  - [HyDE similarity: 0.767] section: for those not requiring fertility preservation, extrafascial total hysterectomy is recommended.</w:t>
            </w:r>
            <w:r w:rsidRPr="00CB2EC4">
              <w:rPr>
                <w:rFonts w:ascii="Times New Roman" w:hAnsi="Times New Roman" w:cs="Times New Roman"/>
              </w:rPr>
              <w:br/>
              <w:t>- therefore, the preferred treatment is extrafascial total hysterectomy.</w:t>
            </w:r>
          </w:p>
        </w:tc>
        <w:tc>
          <w:tcPr>
            <w:tcW w:w="1152" w:type="dxa"/>
            <w:vAlign w:val="center"/>
          </w:tcPr>
          <w:p w14:paraId="75932A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E22A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8ED6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C0E53F" w14:textId="77777777">
        <w:tc>
          <w:tcPr>
            <w:tcW w:w="2160" w:type="dxa"/>
            <w:vAlign w:val="center"/>
          </w:tcPr>
          <w:p w14:paraId="0F6A480E"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B5AFCBA"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staged as IA1 without lymphovascular space invasion, the recommended treatment is extrafascial total hysterectomy.</w:t>
            </w:r>
            <w:r w:rsidRPr="00CB2EC4">
              <w:rPr>
                <w:rFonts w:ascii="Times New Roman" w:hAnsi="Times New Roman" w:cs="Times New Roman"/>
              </w:rPr>
              <w:br/>
            </w:r>
            <w:r w:rsidRPr="00CB2EC4">
              <w:rPr>
                <w:rFonts w:ascii="Times New Roman" w:hAnsi="Times New Roman" w:cs="Times New Roman"/>
              </w:rPr>
              <w:lastRenderedPageBreak/>
              <w:br/>
              <w:t>- Document excerpt 2: "For patients who do not require fertility preservation and elderly women, extrafascial total hysterectomy is recommended."</w:t>
            </w:r>
            <w:r w:rsidRPr="00CB2EC4">
              <w:rPr>
                <w:rFonts w:ascii="Times New Roman" w:hAnsi="Times New Roman" w:cs="Times New Roman"/>
              </w:rPr>
              <w:br/>
              <w:t>- Document excerpt 4: "IA1 stage, LVSI negative, FIGO 2018, no fertility preservation: extrafascial total hysterectomy."</w:t>
            </w:r>
            <w:r w:rsidRPr="00CB2EC4">
              <w:rPr>
                <w:rFonts w:ascii="Times New Roman" w:hAnsi="Times New Roman" w:cs="Times New Roman"/>
              </w:rPr>
              <w:br/>
              <w:t>- Document excerpt 5: "Treatment of early-stage cervical cancer (no fertility preservation required) – IA stage without lymphovascular space invasion, Level I recommendation: Type A hysterectomy" (Note: Type A hysterectomy refers to extrafascial total hysterectomy).</w:t>
            </w:r>
            <w:r w:rsidRPr="00CB2EC4">
              <w:rPr>
                <w:rFonts w:ascii="Times New Roman" w:hAnsi="Times New Roman" w:cs="Times New Roman"/>
              </w:rPr>
              <w:br/>
              <w:t>- Therefore, the treatment measure is extrafascial total hysterectomy.</w:t>
            </w:r>
          </w:p>
        </w:tc>
        <w:tc>
          <w:tcPr>
            <w:tcW w:w="1152" w:type="dxa"/>
            <w:vAlign w:val="center"/>
          </w:tcPr>
          <w:p w14:paraId="6C9E5B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37F8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3588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DFC24B" w14:textId="77777777">
        <w:tc>
          <w:tcPr>
            <w:tcW w:w="2160" w:type="dxa"/>
            <w:vAlign w:val="center"/>
          </w:tcPr>
          <w:p w14:paraId="6B27553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EFCE2B7"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IA1 cervical cancer without lymphovascular space invasion who do not wish to preserve fertility, the recommended treatment is extrafascial total hysterectomy (Type A hysterectomy).</w:t>
            </w:r>
            <w:r w:rsidRPr="00CB2EC4">
              <w:rPr>
                <w:rFonts w:ascii="Times New Roman" w:hAnsi="Times New Roman" w:cs="Times New Roman"/>
              </w:rPr>
              <w:br/>
            </w:r>
            <w:r w:rsidRPr="00CB2EC4">
              <w:rPr>
                <w:rFonts w:ascii="Times New Roman" w:hAnsi="Times New Roman" w:cs="Times New Roman"/>
              </w:rPr>
              <w:br/>
              <w:t>- Basis:</w:t>
            </w:r>
            <w:r w:rsidRPr="00CB2EC4">
              <w:rPr>
                <w:rFonts w:ascii="Times New Roman" w:hAnsi="Times New Roman" w:cs="Times New Roman"/>
              </w:rPr>
              <w:br/>
              <w:t xml:space="preserve">  - The first document states: "Extrafascial total hysterectomy is recommended for patients who do not require fertility preservation and for elderly women."</w:t>
            </w:r>
            <w:r w:rsidRPr="00CB2EC4">
              <w:rPr>
                <w:rFonts w:ascii="Times New Roman" w:hAnsi="Times New Roman" w:cs="Times New Roman"/>
              </w:rPr>
              <w:br/>
              <w:t xml:space="preserve">  - The second document, under "Treatment of early-stage cervical cancer (no fertility preservation requirement)", specifies: "Stage IA without lymphovascular space infiltration — Level I recommendation: Type A hysterectomy."</w:t>
            </w:r>
            <w:r w:rsidRPr="00CB2EC4">
              <w:rPr>
                <w:rFonts w:ascii="Times New Roman" w:hAnsi="Times New Roman" w:cs="Times New Roman"/>
              </w:rPr>
              <w:br/>
              <w:t xml:space="preserve">  - Table 2 in the first document defines Type A hysterectomy as extrafascial hysterectomy, indicated for stage IA1 cervical cancer, with the surgical scope including complete removal of the uterus and cervix, </w:t>
            </w:r>
            <w:r w:rsidRPr="00CB2EC4">
              <w:rPr>
                <w:rFonts w:ascii="Times New Roman" w:hAnsi="Times New Roman" w:cs="Times New Roman"/>
              </w:rPr>
              <w:lastRenderedPageBreak/>
              <w:t>with optional oophorectomy.</w:t>
            </w:r>
            <w:r w:rsidRPr="00CB2EC4">
              <w:rPr>
                <w:rFonts w:ascii="Times New Roman" w:hAnsi="Times New Roman" w:cs="Times New Roman"/>
              </w:rPr>
              <w:br/>
              <w:t>- Therefore, this is the preferred treatment, and the surgical approach may be abdominal, laparoscopic, or robotic.</w:t>
            </w:r>
          </w:p>
        </w:tc>
        <w:tc>
          <w:tcPr>
            <w:tcW w:w="1152" w:type="dxa"/>
            <w:vAlign w:val="center"/>
          </w:tcPr>
          <w:p w14:paraId="269268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B0EE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A7BB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191E3C" w14:textId="77777777">
        <w:tc>
          <w:tcPr>
            <w:tcW w:w="2160" w:type="dxa"/>
            <w:vAlign w:val="center"/>
          </w:tcPr>
          <w:p w14:paraId="172D6E06"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4E28730"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patient does not wish to preserve fertility, is staged as IA1, and has no lymphovascular space invasion (LVSI negative), the recommended treatment measures are:</w:t>
            </w:r>
            <w:r w:rsidRPr="00CB2EC4">
              <w:rPr>
                <w:rFonts w:ascii="Times New Roman" w:hAnsi="Times New Roman" w:cs="Times New Roman"/>
              </w:rPr>
              <w:br/>
            </w:r>
            <w:r w:rsidRPr="00CB2EC4">
              <w:rPr>
                <w:rFonts w:ascii="Times New Roman" w:hAnsi="Times New Roman" w:cs="Times New Roman"/>
              </w:rPr>
              <w:br/>
              <w:t>- Level I recommendation: Type A hysterectomy (i.e., extrafascial total hysterectomy) or cervical conization.</w:t>
            </w:r>
            <w:r w:rsidRPr="00CB2EC4">
              <w:rPr>
                <w:rFonts w:ascii="Times New Roman" w:hAnsi="Times New Roman" w:cs="Times New Roman"/>
              </w:rPr>
              <w:br/>
              <w:t>- Based on [Document Fragment 1]: For IA stage without lymphovascular space invasion (LVSI negative), the level I recommendation is type A hysterectomy (i.e., extrafascial total hysterectomy) or cervical conization.</w:t>
            </w:r>
            <w:r w:rsidRPr="00CB2EC4">
              <w:rPr>
                <w:rFonts w:ascii="Times New Roman" w:hAnsi="Times New Roman" w:cs="Times New Roman"/>
              </w:rPr>
              <w:br/>
              <w:t>- Based on [Document Fragment 4]: For IA1 stage without need to preserve fertility, extrafascial total hysterectomy is recommended (can be performed via abdominal, vaginal, or laparoscopic approach).</w:t>
            </w:r>
            <w:r w:rsidRPr="00CB2EC4">
              <w:rPr>
                <w:rFonts w:ascii="Times New Roman" w:hAnsi="Times New Roman" w:cs="Times New Roman"/>
              </w:rPr>
              <w:br/>
              <w:t>- Based on [Document Fragment 2] FIGO guideline comparison table: This scheme is also supported.</w:t>
            </w:r>
            <w:r w:rsidRPr="00CB2EC4">
              <w:rPr>
                <w:rFonts w:ascii="Times New Roman" w:hAnsi="Times New Roman" w:cs="Times New Roman"/>
              </w:rPr>
              <w:br/>
              <w:t>- Therefore, for IA1 stage patients with no LVSI who do not wish to preserve fertility, the level I recommended treatment is extrafascial total hysterectomy (type A hysterectomy) or cervical conization. If the cervical conization margins are positive, conversion to a more extensive procedure may be necessary.</w:t>
            </w:r>
          </w:p>
        </w:tc>
        <w:tc>
          <w:tcPr>
            <w:tcW w:w="1152" w:type="dxa"/>
            <w:vAlign w:val="center"/>
          </w:tcPr>
          <w:p w14:paraId="416920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09A2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9DE2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2E7071" w14:textId="77777777">
        <w:tc>
          <w:tcPr>
            <w:tcW w:w="2160" w:type="dxa"/>
            <w:vAlign w:val="center"/>
          </w:tcPr>
          <w:p w14:paraId="5BA9AAFB"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7113398"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staged as IA1 without lymphovascular space invasion, the recommended treatment is:</w:t>
            </w:r>
            <w:r w:rsidRPr="00CB2EC4">
              <w:rPr>
                <w:rFonts w:ascii="Times New Roman" w:hAnsi="Times New Roman" w:cs="Times New Roman"/>
              </w:rPr>
              <w:br/>
            </w:r>
            <w:r w:rsidRPr="00CB2EC4">
              <w:rPr>
                <w:rFonts w:ascii="Times New Roman" w:hAnsi="Times New Roman" w:cs="Times New Roman"/>
              </w:rPr>
              <w:lastRenderedPageBreak/>
              <w:br/>
              <w:t>- Extrafascial hysterectomy (also known as Type A hysterectomy)</w:t>
            </w:r>
            <w:r w:rsidRPr="00CB2EC4">
              <w:rPr>
                <w:rFonts w:ascii="Times New Roman" w:hAnsi="Times New Roman" w:cs="Times New Roman"/>
              </w:rPr>
              <w:br/>
            </w:r>
            <w:r w:rsidRPr="00CB2EC4">
              <w:rPr>
                <w:rFonts w:ascii="Times New Roman" w:hAnsi="Times New Roman" w:cs="Times New Roman"/>
              </w:rPr>
              <w:br/>
              <w:t>This is a conservative surgical approach involving removal of the uterus and cervix without extensive parametrial resection or lymph node dissection, suitable for low-risk cases. Radiotherapy is not indicated as the primary treatment in this scenario.</w:t>
            </w:r>
            <w:r w:rsidRPr="00CB2EC4">
              <w:rPr>
                <w:rFonts w:ascii="Times New Roman" w:hAnsi="Times New Roman" w:cs="Times New Roman"/>
              </w:rPr>
              <w:br/>
            </w:r>
            <w:r w:rsidRPr="00CB2EC4">
              <w:rPr>
                <w:rFonts w:ascii="Times New Roman" w:hAnsi="Times New Roman" w:cs="Times New Roman"/>
              </w:rPr>
              <w:br/>
              <w:t>Basis: "Stage IA1 LVSI-negative FIGO 2018 without fertility preservation: extrafascial hysterectomy" (Source: similarity 0.418 fragment).</w:t>
            </w:r>
          </w:p>
        </w:tc>
        <w:tc>
          <w:tcPr>
            <w:tcW w:w="1152" w:type="dxa"/>
            <w:vAlign w:val="center"/>
          </w:tcPr>
          <w:p w14:paraId="09F506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FE33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0886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9479198" w14:textId="77777777">
        <w:tc>
          <w:tcPr>
            <w:tcW w:w="2160" w:type="dxa"/>
            <w:vAlign w:val="center"/>
          </w:tcPr>
          <w:p w14:paraId="289CA08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BC73017" w14:textId="77777777" w:rsidR="00922249" w:rsidRPr="00CB2EC4" w:rsidRDefault="003011D5">
            <w:pPr>
              <w:rPr>
                <w:rFonts w:ascii="Times New Roman" w:hAnsi="Times New Roman" w:cs="Times New Roman"/>
              </w:rPr>
            </w:pPr>
            <w:r w:rsidRPr="00CB2EC4">
              <w:rPr>
                <w:rFonts w:ascii="Times New Roman" w:hAnsi="Times New Roman" w:cs="Times New Roman"/>
              </w:rPr>
              <w:t>treatment measures for IA1 stage without lymphovascular space invasion (LVSI negative)</w:t>
            </w:r>
            <w:r w:rsidRPr="00CB2EC4">
              <w:rPr>
                <w:rFonts w:ascii="Times New Roman" w:hAnsi="Times New Roman" w:cs="Times New Roman"/>
              </w:rPr>
              <w:br/>
            </w:r>
            <w:r w:rsidRPr="00CB2EC4">
              <w:rPr>
                <w:rFonts w:ascii="Times New Roman" w:hAnsi="Times New Roman" w:cs="Times New Roman"/>
              </w:rPr>
              <w:br/>
              <w:t xml:space="preserve">Recommended regimen: Extrafascial total hysterectomy  </w:t>
            </w:r>
            <w:r w:rsidRPr="00CB2EC4">
              <w:rPr>
                <w:rFonts w:ascii="Times New Roman" w:hAnsi="Times New Roman" w:cs="Times New Roman"/>
              </w:rPr>
              <w:br/>
              <w:t xml:space="preserve">- Rationale: The context explicitly states that for patients with IA1 stage and no lymphovascular space invasion (LVSI negative) who do not wish to preserve fertility, Grade I recommendation is extrafascial total hysterectomy (Q-M classification Type A surgery) (Document fragments 4, 6, 7).  </w:t>
            </w:r>
            <w:r w:rsidRPr="00CB2EC4">
              <w:rPr>
                <w:rFonts w:ascii="Times New Roman" w:hAnsi="Times New Roman" w:cs="Times New Roman"/>
              </w:rPr>
              <w:br/>
              <w:t>- Surgical extent: Only the uterus and cervix are removed, without involving the ureters or extensive parametrial tissues (Document fragment 7).</w:t>
            </w:r>
          </w:p>
        </w:tc>
        <w:tc>
          <w:tcPr>
            <w:tcW w:w="1152" w:type="dxa"/>
            <w:vAlign w:val="center"/>
          </w:tcPr>
          <w:p w14:paraId="438C9C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4B73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93C7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E72102" w14:textId="77777777">
        <w:tc>
          <w:tcPr>
            <w:tcW w:w="2160" w:type="dxa"/>
            <w:vAlign w:val="center"/>
          </w:tcPr>
          <w:p w14:paraId="19A92839"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978C86F"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staged as IA1 without lymphovascular space invasion, the recommended treatment is:</w:t>
            </w:r>
            <w:r w:rsidRPr="00CB2EC4">
              <w:rPr>
                <w:rFonts w:ascii="Times New Roman" w:hAnsi="Times New Roman" w:cs="Times New Roman"/>
              </w:rPr>
              <w:br/>
            </w:r>
            <w:r w:rsidRPr="00CB2EC4">
              <w:rPr>
                <w:rFonts w:ascii="Times New Roman" w:hAnsi="Times New Roman" w:cs="Times New Roman"/>
              </w:rPr>
              <w:br/>
              <w:t xml:space="preserve">- **Grade I Recommendation: Type A Hysterectomy </w:t>
            </w:r>
            <w:r w:rsidRPr="00CB2EC4">
              <w:rPr>
                <w:rFonts w:ascii="Times New Roman" w:hAnsi="Times New Roman" w:cs="Times New Roman"/>
              </w:rPr>
              <w:lastRenderedPageBreak/>
              <w:t xml:space="preserve">(Extrafascial Total Hysterectomy)**  </w:t>
            </w:r>
            <w:r w:rsidRPr="00CB2EC4">
              <w:rPr>
                <w:rFonts w:ascii="Times New Roman" w:hAnsi="Times New Roman" w:cs="Times New Roman"/>
              </w:rPr>
              <w:br/>
              <w:t xml:space="preserve">  (as stated in the "Treatment of Early-Stage Cervical Cancer (No Fertility Preservation Required)" section: "Stage IA without lymphovascular space invasion Grade I Recommendation: Type A Hysterectomy[1-2] Cervical Conizationa")</w:t>
            </w:r>
            <w:r w:rsidRPr="00CB2EC4">
              <w:rPr>
                <w:rFonts w:ascii="Times New Roman" w:hAnsi="Times New Roman" w:cs="Times New Roman"/>
              </w:rPr>
              <w:br/>
            </w:r>
            <w:r w:rsidRPr="00CB2EC4">
              <w:rPr>
                <w:rFonts w:ascii="Times New Roman" w:hAnsi="Times New Roman" w:cs="Times New Roman"/>
              </w:rPr>
              <w:br/>
              <w:t xml:space="preserve">- **FIGO 2018 Guidelines:** Extrafascial Total Hysterectomy  </w:t>
            </w:r>
            <w:r w:rsidRPr="00CB2EC4">
              <w:rPr>
                <w:rFonts w:ascii="Times New Roman" w:hAnsi="Times New Roman" w:cs="Times New Roman"/>
              </w:rPr>
              <w:br/>
              <w:t xml:space="preserve">  (FIGO 2018 No Fertility Preservation Required: Stage IA1 LVSI Negative → Extrafascial Total Hysterectomy)</w:t>
            </w:r>
            <w:r w:rsidRPr="00CB2EC4">
              <w:rPr>
                <w:rFonts w:ascii="Times New Roman" w:hAnsi="Times New Roman" w:cs="Times New Roman"/>
              </w:rPr>
              <w:br/>
            </w:r>
            <w:r w:rsidRPr="00CB2EC4">
              <w:rPr>
                <w:rFonts w:ascii="Times New Roman" w:hAnsi="Times New Roman" w:cs="Times New Roman"/>
              </w:rPr>
              <w:br/>
              <w:t xml:space="preserve">- **NCCN 2019 Guidelines:** Extrafascial Total Hysterectomy when Cone Margins are Negative or Show CIN  </w:t>
            </w:r>
            <w:r w:rsidRPr="00CB2EC4">
              <w:rPr>
                <w:rFonts w:ascii="Times New Roman" w:hAnsi="Times New Roman" w:cs="Times New Roman"/>
              </w:rPr>
              <w:br/>
              <w:t xml:space="preserve">  (NCCN 2019 No Fertility Preservation Required: When Cone Margins are Negative or Show CIN: Extrafascial Total Hysterectomy)</w:t>
            </w:r>
            <w:r w:rsidRPr="00CB2EC4">
              <w:rPr>
                <w:rFonts w:ascii="Times New Roman" w:hAnsi="Times New Roman" w:cs="Times New Roman"/>
              </w:rPr>
              <w:br/>
            </w:r>
            <w:r w:rsidRPr="00CB2EC4">
              <w:rPr>
                <w:rFonts w:ascii="Times New Roman" w:hAnsi="Times New Roman" w:cs="Times New Roman"/>
              </w:rPr>
              <w:br/>
              <w:t xml:space="preserve">- **4.1.1.1 Stage IA1:** Extrafascial Total Hysterectomy is Recommended for Patients Not Requiring Fertility Preservation and Elderly Women  </w:t>
            </w:r>
            <w:r w:rsidRPr="00CB2EC4">
              <w:rPr>
                <w:rFonts w:ascii="Times New Roman" w:hAnsi="Times New Roman" w:cs="Times New Roman"/>
              </w:rPr>
              <w:br/>
            </w:r>
            <w:r w:rsidRPr="00CB2EC4">
              <w:rPr>
                <w:rFonts w:ascii="Times New Roman" w:hAnsi="Times New Roman" w:cs="Times New Roman"/>
              </w:rPr>
              <w:br/>
              <w:t>therefore, the primary recommended treatment measure is **extrafascial total hysterectomy (A-type hysterectomy)**. Cervical conization may be considered as an alternative under specific conditions (e.g., negative margins), but the main recommendation remains extrafascial total hysterectomy.</w:t>
            </w:r>
          </w:p>
        </w:tc>
        <w:tc>
          <w:tcPr>
            <w:tcW w:w="1152" w:type="dxa"/>
            <w:vAlign w:val="center"/>
          </w:tcPr>
          <w:p w14:paraId="79AE06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4A43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0C38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E823BE" w14:textId="77777777">
        <w:tc>
          <w:tcPr>
            <w:tcW w:w="2160" w:type="dxa"/>
            <w:vAlign w:val="center"/>
          </w:tcPr>
          <w:p w14:paraId="60EA3399"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3CA67C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patient does not wish to preserve fertility, is staged as IA1 without lymphovascular space invasion (LVSI), the </w:t>
            </w:r>
            <w:r w:rsidRPr="00CB2EC4">
              <w:rPr>
                <w:rFonts w:ascii="Times New Roman" w:hAnsi="Times New Roman" w:cs="Times New Roman"/>
              </w:rPr>
              <w:lastRenderedPageBreak/>
              <w:t>recommended treatment measure is:</w:t>
            </w:r>
            <w:r w:rsidRPr="00CB2EC4">
              <w:rPr>
                <w:rFonts w:ascii="Times New Roman" w:hAnsi="Times New Roman" w:cs="Times New Roman"/>
              </w:rPr>
              <w:br/>
            </w:r>
            <w:r w:rsidRPr="00CB2EC4">
              <w:rPr>
                <w:rFonts w:ascii="Times New Roman" w:hAnsi="Times New Roman" w:cs="Times New Roman"/>
              </w:rPr>
              <w:br/>
              <w:t>Treatment measure: Type I hysterectomy (extrafascial total hysterectomy).</w:t>
            </w:r>
            <w:r w:rsidRPr="00CB2EC4">
              <w:rPr>
                <w:rFonts w:ascii="Times New Roman" w:hAnsi="Times New Roman" w:cs="Times New Roman"/>
              </w:rPr>
              <w:br/>
              <w:t>- For IA1 stage patients without LVSI, extrafascial total hysterectomy is the standard treatment, and lymph node dissection is not required.</w:t>
            </w:r>
          </w:p>
        </w:tc>
        <w:tc>
          <w:tcPr>
            <w:tcW w:w="1152" w:type="dxa"/>
            <w:vAlign w:val="center"/>
          </w:tcPr>
          <w:p w14:paraId="56FAEB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1DAA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2B08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5AF8C8" w14:textId="77777777">
        <w:tc>
          <w:tcPr>
            <w:tcW w:w="10656" w:type="dxa"/>
            <w:gridSpan w:val="5"/>
            <w:tcBorders>
              <w:bottom w:val="single" w:sz="6" w:space="0" w:color="auto"/>
            </w:tcBorders>
            <w:vAlign w:val="center"/>
          </w:tcPr>
          <w:p w14:paraId="11AFF51C" w14:textId="77777777" w:rsidR="00922249" w:rsidRPr="00CB2EC4" w:rsidRDefault="003011D5">
            <w:pPr>
              <w:rPr>
                <w:rFonts w:ascii="Times New Roman" w:hAnsi="Times New Roman" w:cs="Times New Roman"/>
              </w:rPr>
            </w:pPr>
            <w:r w:rsidRPr="00CB2EC4">
              <w:rPr>
                <w:rFonts w:ascii="Times New Roman" w:hAnsi="Times New Roman" w:cs="Times New Roman"/>
                <w:b/>
              </w:rPr>
              <w:t>Question 52: In cervical cancer treatment, if the patient does not wish to preserve fertility, and the stage is ⅠA1 with lymphovascular space invasion, what treatment measures should be taken?</w:t>
            </w:r>
          </w:p>
        </w:tc>
      </w:tr>
      <w:tr w:rsidR="00922249" w:rsidRPr="00CB2EC4" w14:paraId="3BF613D6" w14:textId="77777777">
        <w:tc>
          <w:tcPr>
            <w:tcW w:w="2160" w:type="dxa"/>
            <w:vAlign w:val="center"/>
          </w:tcPr>
          <w:p w14:paraId="0B06E0A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1E64CC1"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patient does not wish to preserve fertility, is staged as IA1 with lymphovascular space invasion (LVSI), the recommended treatment is modified radical hysterectomy plus pelvic lymphadenectomy or radiotherapy.</w:t>
            </w:r>
            <w:r w:rsidRPr="00CB2EC4">
              <w:rPr>
                <w:rFonts w:ascii="Times New Roman" w:hAnsi="Times New Roman" w:cs="Times New Roman"/>
              </w:rPr>
              <w:br/>
              <w:t xml:space="preserve">  - Basis:</w:t>
            </w:r>
            <w:r w:rsidRPr="00CB2EC4">
              <w:rPr>
                <w:rFonts w:ascii="Times New Roman" w:hAnsi="Times New Roman" w:cs="Times New Roman"/>
              </w:rPr>
              <w:br/>
              <w:t xml:space="preserve">    - In document segment with similarity 0.431 (range 18-20), the FIGO 2018 guidelines state: for IA1 stage with positive LVSI, when fertility preservation is not desired, modified radical hysterectomy + pelvic lymphadenectomy or radiotherapy is recommended.</w:t>
            </w:r>
            <w:r w:rsidRPr="00CB2EC4">
              <w:rPr>
                <w:rFonts w:ascii="Times New Roman" w:hAnsi="Times New Roman" w:cs="Times New Roman"/>
              </w:rPr>
              <w:br/>
              <w:t xml:space="preserve">    - In document segment with similarity 0.494 (range 20-22), Table 4 of the FIGO guidelines recommends the same: modified radical or radical hysterectomy + pelvic lymphadenectomy.</w:t>
            </w:r>
            <w:r w:rsidRPr="00CB2EC4">
              <w:rPr>
                <w:rFonts w:ascii="Times New Roman" w:hAnsi="Times New Roman" w:cs="Times New Roman"/>
              </w:rPr>
              <w:br/>
              <w:t xml:space="preserve">    - In document segment with similarity 0.558 (range 33-35), for IA1 stage with lymphovascular space invasion, Grade I recommendation is type B hysterectomy (corresponding to modified radical hysterectomy) + pelvic lymphadenectomy.</w:t>
            </w:r>
            <w:r w:rsidRPr="00CB2EC4">
              <w:rPr>
                <w:rFonts w:ascii="Times New Roman" w:hAnsi="Times New Roman" w:cs="Times New Roman"/>
              </w:rPr>
              <w:br/>
              <w:t xml:space="preserve">  - Additional note: Modified radical hysterectomy (type B) involves removal of part of the parametrial tissue and the upper vaginal segment (1-2 cm), along </w:t>
            </w:r>
            <w:r w:rsidRPr="00CB2EC4">
              <w:rPr>
                <w:rFonts w:ascii="Times New Roman" w:hAnsi="Times New Roman" w:cs="Times New Roman"/>
              </w:rPr>
              <w:lastRenderedPageBreak/>
              <w:t>with pelvic lymph node dissection; radiotherapy may be used as an alternative, especially for patients at high surgical risk.</w:t>
            </w:r>
          </w:p>
        </w:tc>
        <w:tc>
          <w:tcPr>
            <w:tcW w:w="1152" w:type="dxa"/>
            <w:vAlign w:val="center"/>
          </w:tcPr>
          <w:p w14:paraId="1B1B3D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F22FD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C64A4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8D1B0E" w14:textId="77777777">
        <w:tc>
          <w:tcPr>
            <w:tcW w:w="2160" w:type="dxa"/>
            <w:vAlign w:val="center"/>
          </w:tcPr>
          <w:p w14:paraId="6A63CA7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15BFDC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who do not wish to preserve fertility, staged as IA1 with lymphovascular space invasion (LVSI positive), the recommended treatment is modified radical hysterectomy plus pelvic lymph node dissection.  </w:t>
            </w:r>
            <w:r w:rsidRPr="00CB2EC4">
              <w:rPr>
                <w:rFonts w:ascii="Times New Roman" w:hAnsi="Times New Roman" w:cs="Times New Roman"/>
              </w:rPr>
              <w:br/>
              <w:t xml:space="preserve">- Basis:  </w:t>
            </w:r>
            <w:r w:rsidRPr="00CB2EC4">
              <w:rPr>
                <w:rFonts w:ascii="Times New Roman" w:hAnsi="Times New Roman" w:cs="Times New Roman"/>
              </w:rPr>
              <w:br/>
              <w:t xml:space="preserve">  - Document fragment 16 (block 21, title "Cervical Cancer Staging and Management Standards"), Table 4: FIGO 2018 recommends modified radical hysterectomy + pelvic lymph node dissection or radiotherapy; NCCN 2019 recommends modified radical or radical hysterectomy + pelvic lymph node dissection or pelvic external beam radiotherapy + brachytherapy.  </w:t>
            </w:r>
            <w:r w:rsidRPr="00CB2EC4">
              <w:rPr>
                <w:rFonts w:ascii="Times New Roman" w:hAnsi="Times New Roman" w:cs="Times New Roman"/>
              </w:rPr>
              <w:br/>
              <w:t xml:space="preserve">  - Document fragment 4 (block 9, title "Cervical Cancer Surgical Treatment Guidelines") explicitly states: for IA1 stage with LVSI (+), modified radical hysterectomy + pelvic lymph node dissection should be performed.  </w:t>
            </w:r>
            <w:r w:rsidRPr="00CB2EC4">
              <w:rPr>
                <w:rFonts w:ascii="Times New Roman" w:hAnsi="Times New Roman" w:cs="Times New Roman"/>
              </w:rPr>
              <w:br/>
              <w:t xml:space="preserve">  - Document fragment 7 (block 31, title "Cervical Cancer Clinical Pathological Staging") emphasizes that LVSI positivity is a key factor affecting treatment decisions, requiring more aggressive surgery to reduce recurrence risk.  </w:t>
            </w:r>
            <w:r w:rsidRPr="00CB2EC4">
              <w:rPr>
                <w:rFonts w:ascii="Times New Roman" w:hAnsi="Times New Roman" w:cs="Times New Roman"/>
              </w:rPr>
              <w:br/>
              <w:t xml:space="preserve">  In summary, modified radical hysterectomy plus pelvic lymph node dissection is the standard regimen to ensure complete removal of potential metastatic lesions.</w:t>
            </w:r>
          </w:p>
        </w:tc>
        <w:tc>
          <w:tcPr>
            <w:tcW w:w="1152" w:type="dxa"/>
            <w:vAlign w:val="center"/>
          </w:tcPr>
          <w:p w14:paraId="112338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41EA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D251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4D3982" w14:textId="77777777">
        <w:tc>
          <w:tcPr>
            <w:tcW w:w="2160" w:type="dxa"/>
            <w:vAlign w:val="center"/>
          </w:tcPr>
          <w:p w14:paraId="61539843"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F053AA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patient does not wish to preserve fertility, is staged as IA1 with </w:t>
            </w:r>
            <w:r w:rsidRPr="00CB2EC4">
              <w:rPr>
                <w:rFonts w:ascii="Times New Roman" w:hAnsi="Times New Roman" w:cs="Times New Roman"/>
              </w:rPr>
              <w:lastRenderedPageBreak/>
              <w:t xml:space="preserve">lymphovascular space invasion (LVSI), the recommended treatment measure is:  </w:t>
            </w:r>
            <w:r w:rsidRPr="00CB2EC4">
              <w:rPr>
                <w:rFonts w:ascii="Times New Roman" w:hAnsi="Times New Roman" w:cs="Times New Roman"/>
              </w:rPr>
              <w:br/>
              <w:t xml:space="preserve">Type B hysterectomy (or modified radical hysterectomy) plus pelvic lymphadenectomy.  </w:t>
            </w:r>
            <w:r w:rsidRPr="00CB2EC4">
              <w:rPr>
                <w:rFonts w:ascii="Times New Roman" w:hAnsi="Times New Roman" w:cs="Times New Roman"/>
              </w:rPr>
              <w:br/>
              <w:t xml:space="preserve">Key evidence:  </w:t>
            </w:r>
            <w:r w:rsidRPr="00CB2EC4">
              <w:rPr>
                <w:rFonts w:ascii="Times New Roman" w:hAnsi="Times New Roman" w:cs="Times New Roman"/>
              </w:rPr>
              <w:br/>
              <w:t xml:space="preserve">- Document fragment 1 states that the Level I recommendation for IA1 with lymphovascular space invasion is "Type B hysterectomy + pelvic lymphadenectomy".  </w:t>
            </w:r>
            <w:r w:rsidRPr="00CB2EC4">
              <w:rPr>
                <w:rFonts w:ascii="Times New Roman" w:hAnsi="Times New Roman" w:cs="Times New Roman"/>
              </w:rPr>
              <w:br/>
              <w:t xml:space="preserve">- Document fragment 2 mentions that the Level I recommendation for IA1 LVSI(+) is "radical trachelectomy + pelvic lymphadenectomy" or "conization + pelvic lymphadenectomy", but radical trachelectomy is typically used for fertility preservation; when fertility is not preserved, Type B hysterectomy is more direct (fragment 4).  </w:t>
            </w:r>
            <w:r w:rsidRPr="00CB2EC4">
              <w:rPr>
                <w:rFonts w:ascii="Times New Roman" w:hAnsi="Times New Roman" w:cs="Times New Roman"/>
              </w:rPr>
              <w:br/>
              <w:t xml:space="preserve">- Document fragment 4 describes that Type B hysterectomy (Q-M classification) is indicated for IA1 with positive lymphovascular space invasion and IA2, with surgical scope including complete hysterectomy and pelvic lymphadenectomy.  </w:t>
            </w:r>
            <w:r w:rsidRPr="00CB2EC4">
              <w:rPr>
                <w:rFonts w:ascii="Times New Roman" w:hAnsi="Times New Roman" w:cs="Times New Roman"/>
              </w:rPr>
              <w:br/>
              <w:t xml:space="preserve">- Document fragment 5 explicitly states that for IA1 with LVSI positive per FIGO 2018, the recommendation is "modified radical hysterectomy + pelvic lymphadenectomy".  </w:t>
            </w:r>
            <w:r w:rsidRPr="00CB2EC4">
              <w:rPr>
                <w:rFonts w:ascii="Times New Roman" w:hAnsi="Times New Roman" w:cs="Times New Roman"/>
              </w:rPr>
              <w:br/>
              <w:t>Note: Radiotherapy is also an option (fragment 5), but surgery with lymph node dissection is a Level I recommendation. No contradictory information was found in the documents.</w:t>
            </w:r>
          </w:p>
        </w:tc>
        <w:tc>
          <w:tcPr>
            <w:tcW w:w="1152" w:type="dxa"/>
            <w:vAlign w:val="center"/>
          </w:tcPr>
          <w:p w14:paraId="66A8CD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4E9FC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883B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F4E1AF" w14:textId="77777777">
        <w:tc>
          <w:tcPr>
            <w:tcW w:w="2160" w:type="dxa"/>
            <w:vAlign w:val="center"/>
          </w:tcPr>
          <w:p w14:paraId="05A4126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262117F" w14:textId="77777777" w:rsidR="00922249" w:rsidRPr="00CB2EC4" w:rsidRDefault="003011D5">
            <w:pPr>
              <w:rPr>
                <w:rFonts w:ascii="Times New Roman" w:hAnsi="Times New Roman" w:cs="Times New Roman"/>
              </w:rPr>
            </w:pPr>
            <w:r w:rsidRPr="00CB2EC4">
              <w:rPr>
                <w:rFonts w:ascii="Times New Roman" w:hAnsi="Times New Roman" w:cs="Times New Roman"/>
              </w:rPr>
              <w:t>IA1 stage with lymphovascular space invasion (LVSI positive)</w:t>
            </w:r>
            <w:r w:rsidRPr="00CB2EC4">
              <w:rPr>
                <w:rFonts w:ascii="Times New Roman" w:hAnsi="Times New Roman" w:cs="Times New Roman"/>
              </w:rPr>
              <w:br/>
            </w:r>
            <w:r w:rsidRPr="00CB2EC4">
              <w:rPr>
                <w:rFonts w:ascii="Times New Roman" w:hAnsi="Times New Roman" w:cs="Times New Roman"/>
              </w:rPr>
              <w:br/>
              <w:t xml:space="preserve">Level I recommendation:  </w:t>
            </w:r>
            <w:r w:rsidRPr="00CB2EC4">
              <w:rPr>
                <w:rFonts w:ascii="Times New Roman" w:hAnsi="Times New Roman" w:cs="Times New Roman"/>
              </w:rPr>
              <w:br/>
              <w:t xml:space="preserve">- Modified radical hysterectomy + pelvic lymph node </w:t>
            </w:r>
            <w:r w:rsidRPr="00CB2EC4">
              <w:rPr>
                <w:rFonts w:ascii="Times New Roman" w:hAnsi="Times New Roman" w:cs="Times New Roman"/>
              </w:rPr>
              <w:lastRenderedPageBreak/>
              <w:t xml:space="preserve">dissection (FIGO 2018 &amp; NCCN 2019)  </w:t>
            </w:r>
            <w:r w:rsidRPr="00CB2EC4">
              <w:rPr>
                <w:rFonts w:ascii="Times New Roman" w:hAnsi="Times New Roman" w:cs="Times New Roman"/>
              </w:rPr>
              <w:br/>
              <w:t xml:space="preserve">Evidence:  </w:t>
            </w:r>
            <w:r w:rsidRPr="00CB2EC4">
              <w:rPr>
                <w:rFonts w:ascii="Times New Roman" w:hAnsi="Times New Roman" w:cs="Times New Roman"/>
              </w:rPr>
              <w:br/>
              <w:t xml:space="preserve">  - FIGO guidelines: LVSI(+) requires management as IA2 stage, recommending modified radical hysterectomy + pelvic lymph node dissection (knowledge base: "IA1 stage LVSI positive: modified radical hysterectomy + pelvic lymph node dissection").  </w:t>
            </w:r>
            <w:r w:rsidRPr="00CB2EC4">
              <w:rPr>
                <w:rFonts w:ascii="Times New Roman" w:hAnsi="Times New Roman" w:cs="Times New Roman"/>
              </w:rPr>
              <w:br/>
              <w:t xml:space="preserve">  - NCCN guidelines consistently recommend modified radical or radical hysterectomy + pelvic lymph node dissection (knowledge base: "modified radical or radical hysterectomy + pelvic lymph node dissection").</w:t>
            </w:r>
          </w:p>
        </w:tc>
        <w:tc>
          <w:tcPr>
            <w:tcW w:w="1152" w:type="dxa"/>
            <w:vAlign w:val="center"/>
          </w:tcPr>
          <w:p w14:paraId="0745EB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0587C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DAAD6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ADF4D11" w14:textId="77777777">
        <w:tc>
          <w:tcPr>
            <w:tcW w:w="2160" w:type="dxa"/>
            <w:vAlign w:val="center"/>
          </w:tcPr>
          <w:p w14:paraId="5682B05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EB3FB8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stage IA1 (stromal invasion depth ≤3mm) and lymphovascular space invasion (LVSI positive) who do not wish to preserve fertility, the recommended treatment is modified radical hysterectomy (Type B hysterectomy) plus pelvic lymphadenectomy.  </w:t>
            </w:r>
            <w:r w:rsidRPr="00CB2EC4">
              <w:rPr>
                <w:rFonts w:ascii="Times New Roman" w:hAnsi="Times New Roman" w:cs="Times New Roman"/>
              </w:rPr>
              <w:br/>
              <w:t xml:space="preserve">- Basis:  </w:t>
            </w:r>
            <w:r w:rsidRPr="00CB2EC4">
              <w:rPr>
                <w:rFonts w:ascii="Times New Roman" w:hAnsi="Times New Roman" w:cs="Times New Roman"/>
              </w:rPr>
              <w:br/>
              <w:t xml:space="preserve">  - Document excerpt 1 (Stage IA1 with lymphovascular space invasion): "Grade I recommendation: Type B hysterectomy + pelvic lymphadenectomy".  </w:t>
            </w:r>
            <w:r w:rsidRPr="00CB2EC4">
              <w:rPr>
                <w:rFonts w:ascii="Times New Roman" w:hAnsi="Times New Roman" w:cs="Times New Roman"/>
              </w:rPr>
              <w:br/>
              <w:t xml:space="preserve">  - Document excerpt 2 (when LVSI(+)): "Modified radical hysterectomy + pelvic lymphadenectomy should be performed".  </w:t>
            </w:r>
            <w:r w:rsidRPr="00CB2EC4">
              <w:rPr>
                <w:rFonts w:ascii="Times New Roman" w:hAnsi="Times New Roman" w:cs="Times New Roman"/>
              </w:rPr>
              <w:br/>
              <w:t xml:space="preserve">  - Document excerpt 16 (Stage IA1 LVSI positive): "FIGO 2018 without fertility preservation: 1. Modified radical hysterectomy + pelvic lymphadenectomy".  </w:t>
            </w:r>
            <w:r w:rsidRPr="00CB2EC4">
              <w:rPr>
                <w:rFonts w:ascii="Times New Roman" w:hAnsi="Times New Roman" w:cs="Times New Roman"/>
              </w:rPr>
              <w:br/>
              <w:t xml:space="preserve">- This recommendation is based on the increased risk of metastasis associated with LVSI positivity, necessitating more extensive surgical resection and </w:t>
            </w:r>
            <w:r w:rsidRPr="00CB2EC4">
              <w:rPr>
                <w:rFonts w:ascii="Times New Roman" w:hAnsi="Times New Roman" w:cs="Times New Roman"/>
              </w:rPr>
              <w:lastRenderedPageBreak/>
              <w:t>lymph node assessment.</w:t>
            </w:r>
          </w:p>
        </w:tc>
        <w:tc>
          <w:tcPr>
            <w:tcW w:w="1152" w:type="dxa"/>
            <w:vAlign w:val="center"/>
          </w:tcPr>
          <w:p w14:paraId="09C568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55606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55E9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17A986" w14:textId="77777777">
        <w:tc>
          <w:tcPr>
            <w:tcW w:w="2160" w:type="dxa"/>
            <w:vAlign w:val="center"/>
          </w:tcPr>
          <w:p w14:paraId="639C90B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867C6C6"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staged as IA1 with lymphovascular space invasion (LVSI positive), the recommended treatment is modified radical hysterectomy + pelvic lymph node dissection.</w:t>
            </w:r>
            <w:r w:rsidRPr="00CB2EC4">
              <w:rPr>
                <w:rFonts w:ascii="Times New Roman" w:hAnsi="Times New Roman" w:cs="Times New Roman"/>
              </w:rPr>
              <w:br/>
            </w:r>
            <w:r w:rsidRPr="00CB2EC4">
              <w:rPr>
                <w:rFonts w:ascii="Times New Roman" w:hAnsi="Times New Roman" w:cs="Times New Roman"/>
              </w:rPr>
              <w:br/>
              <w:t>- Basis: Document 1 states "IA1 stage with lymphovascular space invasion: Level I recommendation: Type B hysterectomy + radical radiotherapy + pelvic lymph node dissection", but Documents 2, 5, and 14 more specifically recommend surgery as the primary approach (Document 2: "When LVSI is positive, perform modified radical hysterectomy + pelvic lymph node dissection"; Document 5: "IA1 stage LVSI positive: modified radical hysterectomy + pelvic lymph node dissection"; Document 14 NCCN guidelines: "modified radical or radical hysterectomy + pelvic lymph node dissection").</w:t>
            </w:r>
            <w:r w:rsidRPr="00CB2EC4">
              <w:rPr>
                <w:rFonts w:ascii="Times New Roman" w:hAnsi="Times New Roman" w:cs="Times New Roman"/>
              </w:rPr>
              <w:br/>
              <w:t>- Rationale: LVSI positivity increases the risk of lymph node metastasis, thus lymph node removal is necessary to reduce recurrence rate; radiotherapy is only an alternative (Level II recommendation) when surgery is not feasible, but surgery is the preferred option.</w:t>
            </w:r>
          </w:p>
        </w:tc>
        <w:tc>
          <w:tcPr>
            <w:tcW w:w="1152" w:type="dxa"/>
            <w:vAlign w:val="center"/>
          </w:tcPr>
          <w:p w14:paraId="10413F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3558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8269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529554" w14:textId="77777777">
        <w:tc>
          <w:tcPr>
            <w:tcW w:w="2160" w:type="dxa"/>
            <w:vAlign w:val="center"/>
          </w:tcPr>
          <w:p w14:paraId="0FCF6415"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23F2A69"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IA1 cervical cancer with lymphovascular space invasion (LVSI positive) who do not wish to preserve fertility, the recommended treatment is modified radical hysterectomy with pelvic lymph node dissection.</w:t>
            </w:r>
            <w:r w:rsidRPr="00CB2EC4">
              <w:rPr>
                <w:rFonts w:ascii="Times New Roman" w:hAnsi="Times New Roman" w:cs="Times New Roman"/>
              </w:rPr>
              <w:br/>
            </w:r>
            <w:r w:rsidRPr="00CB2EC4">
              <w:rPr>
                <w:rFonts w:ascii="Times New Roman" w:hAnsi="Times New Roman" w:cs="Times New Roman"/>
              </w:rPr>
              <w:br/>
              <w:t>according to the documents:</w:t>
            </w:r>
            <w:r w:rsidRPr="00CB2EC4">
              <w:rPr>
                <w:rFonts w:ascii="Times New Roman" w:hAnsi="Times New Roman" w:cs="Times New Roman"/>
              </w:rPr>
              <w:br/>
            </w:r>
            <w:r w:rsidRPr="00CB2EC4">
              <w:rPr>
                <w:rFonts w:ascii="Times New Roman" w:hAnsi="Times New Roman" w:cs="Times New Roman"/>
              </w:rPr>
              <w:lastRenderedPageBreak/>
              <w:t>- [HyDE similarity: 0.623] table 4 comparing FIGO and NCCN guidelines: FIGO 2018 recommends modified radical hysterectomy with pelvic lymph node dissection or radiotherapy; NCCN 2019 also recommends modified radical or radical hysterectomy with pelvic lymph node dissection.</w:t>
            </w:r>
            <w:r w:rsidRPr="00CB2EC4">
              <w:rPr>
                <w:rFonts w:ascii="Times New Roman" w:hAnsi="Times New Roman" w:cs="Times New Roman"/>
              </w:rPr>
              <w:br/>
              <w:t>- [HyDE similarity: 0.571] stage IA1 with lymphovascular invasion: level I recommendation is type B hysterectomy (corresponding to modified radical hysterectomy) with pelvic lymph node dissection.</w:t>
            </w:r>
            <w:r w:rsidRPr="00CB2EC4">
              <w:rPr>
                <w:rFonts w:ascii="Times New Roman" w:hAnsi="Times New Roman" w:cs="Times New Roman"/>
              </w:rPr>
              <w:br/>
              <w:t>- [HyDE similarity: 0.767] when LVSI is positive, modified radical hysterectomy with pelvic lymph node dissection should be performed.</w:t>
            </w:r>
            <w:r w:rsidRPr="00CB2EC4">
              <w:rPr>
                <w:rFonts w:ascii="Times New Roman" w:hAnsi="Times New Roman" w:cs="Times New Roman"/>
              </w:rPr>
              <w:br/>
              <w:t>- therefore, the preferred treatment is modified radical hysterectomy with pelvic lymph node dissection.</w:t>
            </w:r>
          </w:p>
        </w:tc>
        <w:tc>
          <w:tcPr>
            <w:tcW w:w="1152" w:type="dxa"/>
            <w:vAlign w:val="center"/>
          </w:tcPr>
          <w:p w14:paraId="6C4ABB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9FA02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2BED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48698B" w14:textId="77777777">
        <w:tc>
          <w:tcPr>
            <w:tcW w:w="2160" w:type="dxa"/>
            <w:vAlign w:val="center"/>
          </w:tcPr>
          <w:p w14:paraId="3A378C43"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00CAA87"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at stage IA1 with lymphovascular space invasion (LVSI positive), the recommended treatment is modified radical hysterectomy plus pelvic lymph node dissection.</w:t>
            </w:r>
            <w:r w:rsidRPr="00CB2EC4">
              <w:rPr>
                <w:rFonts w:ascii="Times New Roman" w:hAnsi="Times New Roman" w:cs="Times New Roman"/>
              </w:rPr>
              <w:br/>
            </w:r>
            <w:r w:rsidRPr="00CB2EC4">
              <w:rPr>
                <w:rFonts w:ascii="Times New Roman" w:hAnsi="Times New Roman" w:cs="Times New Roman"/>
              </w:rPr>
              <w:br/>
              <w:t>- Document fragment 2: "When LVSI(+), modified radical hysterectomy + pelvic lymph node dissection should be performed."</w:t>
            </w:r>
            <w:r w:rsidRPr="00CB2EC4">
              <w:rPr>
                <w:rFonts w:ascii="Times New Roman" w:hAnsi="Times New Roman" w:cs="Times New Roman"/>
              </w:rPr>
              <w:br/>
              <w:t>- Document fragment 4: "Stage IA1, LVSI positive, FIGO 2018, not preserving fertility: 1. Modified radical hysterectomy + pelvic lymph node dissection."</w:t>
            </w:r>
            <w:r w:rsidRPr="00CB2EC4">
              <w:rPr>
                <w:rFonts w:ascii="Times New Roman" w:hAnsi="Times New Roman" w:cs="Times New Roman"/>
              </w:rPr>
              <w:br/>
              <w:t xml:space="preserve">- Document fragment 5 also states: "Stage IA1 with lymphovascular invasion, Level I recommendation: Type B hysterectomyc + radical radiotherapy (external beam radiotherapy + vaginal brachytherapy) + pelvic lymph node dissection" (Note: Type B hysterectomy refers to modified radical </w:t>
            </w:r>
            <w:r w:rsidRPr="00CB2EC4">
              <w:rPr>
                <w:rFonts w:ascii="Times New Roman" w:hAnsi="Times New Roman" w:cs="Times New Roman"/>
              </w:rPr>
              <w:lastRenderedPageBreak/>
              <w:t>hysterectomy), but the FIGO guideline in fragment 4 emphasizes surgery as the primary approach.</w:t>
            </w:r>
            <w:r w:rsidRPr="00CB2EC4">
              <w:rPr>
                <w:rFonts w:ascii="Times New Roman" w:hAnsi="Times New Roman" w:cs="Times New Roman"/>
              </w:rPr>
              <w:br/>
              <w:t>- Therefore, the main treatment measure is modified radical hysterectomy plus pelvic lymph node dissection.</w:t>
            </w:r>
          </w:p>
        </w:tc>
        <w:tc>
          <w:tcPr>
            <w:tcW w:w="1152" w:type="dxa"/>
            <w:vAlign w:val="center"/>
          </w:tcPr>
          <w:p w14:paraId="00F6BB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8DDC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546F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DB3812F" w14:textId="77777777">
        <w:tc>
          <w:tcPr>
            <w:tcW w:w="2160" w:type="dxa"/>
            <w:vAlign w:val="center"/>
          </w:tcPr>
          <w:p w14:paraId="5805C61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08C92CD"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IA1 cervical cancer with lymphovascular space invasion (LVSI positive) who do not wish to preserve fertility, the recommended treatment is modified radical hysterectomy (type B hysterectomy) plus pelvic lymphadenectomy.</w:t>
            </w:r>
            <w:r w:rsidRPr="00CB2EC4">
              <w:rPr>
                <w:rFonts w:ascii="Times New Roman" w:hAnsi="Times New Roman" w:cs="Times New Roman"/>
              </w:rPr>
              <w:br/>
            </w:r>
            <w:r w:rsidRPr="00CB2EC4">
              <w:rPr>
                <w:rFonts w:ascii="Times New Roman" w:hAnsi="Times New Roman" w:cs="Times New Roman"/>
              </w:rPr>
              <w:br/>
              <w:t>- Basis:</w:t>
            </w:r>
            <w:r w:rsidRPr="00CB2EC4">
              <w:rPr>
                <w:rFonts w:ascii="Times New Roman" w:hAnsi="Times New Roman" w:cs="Times New Roman"/>
              </w:rPr>
              <w:br/>
              <w:t xml:space="preserve">  - The first document states: "When $\mathrm{LVSI}(+)$, modified radical hysterectomy $^+$ pelvic lymphadenectomy should be performed."</w:t>
            </w:r>
            <w:r w:rsidRPr="00CB2EC4">
              <w:rPr>
                <w:rFonts w:ascii="Times New Roman" w:hAnsi="Times New Roman" w:cs="Times New Roman"/>
              </w:rPr>
              <w:br/>
              <w:t xml:space="preserve">  - The second document, under the section "Stage IA1 with lymphovascular space invasion," explicitly lists: "Level I recommendation: Type B hysterectomy + pelvic lymphadenectomy."</w:t>
            </w:r>
            <w:r w:rsidRPr="00CB2EC4">
              <w:rPr>
                <w:rFonts w:ascii="Times New Roman" w:hAnsi="Times New Roman" w:cs="Times New Roman"/>
              </w:rPr>
              <w:br/>
              <w:t xml:space="preserve">  - Table 2 (in the first document) defines type B hysterectomy as modified radical hysterectomy, indicated for cases with risk of lymph node metastasis.</w:t>
            </w:r>
            <w:r w:rsidRPr="00CB2EC4">
              <w:rPr>
                <w:rFonts w:ascii="Times New Roman" w:hAnsi="Times New Roman" w:cs="Times New Roman"/>
              </w:rPr>
              <w:br/>
              <w:t>- Therefore, this is the standard treatment, emphasizing that lymph node dissection must be included to reduce recurrence risk.</w:t>
            </w:r>
          </w:p>
        </w:tc>
        <w:tc>
          <w:tcPr>
            <w:tcW w:w="1152" w:type="dxa"/>
            <w:vAlign w:val="center"/>
          </w:tcPr>
          <w:p w14:paraId="5BE8C2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8418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A889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66E7A0" w14:textId="77777777">
        <w:tc>
          <w:tcPr>
            <w:tcW w:w="2160" w:type="dxa"/>
            <w:vAlign w:val="center"/>
          </w:tcPr>
          <w:p w14:paraId="3A6FB04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9CB7E12"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staged as IA1 with lymphovascular space invasion (LVSI positive), the recommended treatment measures are:</w:t>
            </w:r>
            <w:r w:rsidRPr="00CB2EC4">
              <w:rPr>
                <w:rFonts w:ascii="Times New Roman" w:hAnsi="Times New Roman" w:cs="Times New Roman"/>
              </w:rPr>
              <w:br/>
            </w:r>
            <w:r w:rsidRPr="00CB2EC4">
              <w:rPr>
                <w:rFonts w:ascii="Times New Roman" w:hAnsi="Times New Roman" w:cs="Times New Roman"/>
              </w:rPr>
              <w:br/>
              <w:t xml:space="preserve">- modified radical hysterectomy (type B) + pelvic lymphadenectomy, as indicated in [document fragment 4] and aligned with [document fragment 8] </w:t>
            </w:r>
            <w:r w:rsidRPr="00CB2EC4">
              <w:rPr>
                <w:rFonts w:ascii="Times New Roman" w:hAnsi="Times New Roman" w:cs="Times New Roman"/>
              </w:rPr>
              <w:lastRenderedPageBreak/>
              <w:t>which states that LVSI(+) should be managed as IA2 stage.</w:t>
            </w:r>
            <w:r w:rsidRPr="00CB2EC4">
              <w:rPr>
                <w:rFonts w:ascii="Times New Roman" w:hAnsi="Times New Roman" w:cs="Times New Roman"/>
              </w:rPr>
              <w:br/>
              <w:t>- radical radiotherapy (external beam radiotherapy + vaginal brachytherapy) may be added based on risk assessment, as noted in [document fragment 1] which lists this combined approach as a level I recommendation for IA1 with LVSI(+).</w:t>
            </w:r>
            <w:r w:rsidRPr="00CB2EC4">
              <w:rPr>
                <w:rFonts w:ascii="Times New Roman" w:hAnsi="Times New Roman" w:cs="Times New Roman"/>
              </w:rPr>
              <w:br/>
            </w:r>
            <w:r w:rsidRPr="00CB2EC4">
              <w:rPr>
                <w:rFonts w:ascii="Times New Roman" w:hAnsi="Times New Roman" w:cs="Times New Roman"/>
              </w:rPr>
              <w:br/>
              <w:t>thus, the level I recommended treatment for IA1 stage with LVSI(+) in patients not desiring fertility preservation is modified radical hysterectomy (type B) + pelvic lymphadenectomy, with possible adjuvant radiotherapy depending on individual risk factors.</w:t>
            </w:r>
          </w:p>
        </w:tc>
        <w:tc>
          <w:tcPr>
            <w:tcW w:w="1152" w:type="dxa"/>
            <w:vAlign w:val="center"/>
          </w:tcPr>
          <w:p w14:paraId="3EB05B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AB35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3111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237329E" w14:textId="77777777">
        <w:tc>
          <w:tcPr>
            <w:tcW w:w="2160" w:type="dxa"/>
            <w:vAlign w:val="center"/>
          </w:tcPr>
          <w:p w14:paraId="68D0B3C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98E8EA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Response: According to the document content (e.g., Table 4 in the FIGO and NCCN guidelines referenced in similarity 0.510 and 0.418 fragments), for patients with IA1 stage cervical cancer with lymphovascular space invasion (LVSI positive) and no desire to preserve fertility, the Level I recommendation is modified radical hysterectomy (Type B hysterectomy) plus pelvic lymph node dissection. This involves removal of the uterus, part of the parametrium, and pelvic lymph nodes to reduce recurrence risk. Radiation therapy may be considered as an alternative (Level II recommendation), but surgery is the preferred approach.  </w:t>
            </w:r>
            <w:r w:rsidRPr="00CB2EC4">
              <w:rPr>
                <w:rFonts w:ascii="Times New Roman" w:hAnsi="Times New Roman" w:cs="Times New Roman"/>
              </w:rPr>
              <w:br/>
              <w:t xml:space="preserve">  Basis: "IA1 stage with lymphovascular space invasion – Level I recommendation: Type B hysterectomy + radical radiotherapy (external beam radiotherapy + vaginal brachytherapy) + pelvic lymph node dissection" (similarity 0.558 fragment), and "IA1 stage LVSI positive FIGO 2018 no fertility preservation: 1. Modified radical hysterectomy + pelvic lymph node dissection" (similarity 0.418 </w:t>
            </w:r>
            <w:r w:rsidRPr="00CB2EC4">
              <w:rPr>
                <w:rFonts w:ascii="Times New Roman" w:hAnsi="Times New Roman" w:cs="Times New Roman"/>
              </w:rPr>
              <w:lastRenderedPageBreak/>
              <w:t>fragment).</w:t>
            </w:r>
          </w:p>
        </w:tc>
        <w:tc>
          <w:tcPr>
            <w:tcW w:w="1152" w:type="dxa"/>
            <w:vAlign w:val="center"/>
          </w:tcPr>
          <w:p w14:paraId="5D0436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59C40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583D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ABBDC7" w14:textId="77777777">
        <w:tc>
          <w:tcPr>
            <w:tcW w:w="2160" w:type="dxa"/>
            <w:vAlign w:val="center"/>
          </w:tcPr>
          <w:p w14:paraId="6A9D875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85E6B20" w14:textId="77777777" w:rsidR="00922249" w:rsidRPr="00CB2EC4" w:rsidRDefault="003011D5">
            <w:pPr>
              <w:rPr>
                <w:rFonts w:ascii="Times New Roman" w:hAnsi="Times New Roman" w:cs="Times New Roman"/>
              </w:rPr>
            </w:pPr>
            <w:r w:rsidRPr="00CB2EC4">
              <w:rPr>
                <w:rFonts w:ascii="Times New Roman" w:hAnsi="Times New Roman" w:cs="Times New Roman"/>
              </w:rPr>
              <w:t>treatment measures for IA1 stage with lymphovascular space invasion (LVSI positive)</w:t>
            </w:r>
            <w:r w:rsidRPr="00CB2EC4">
              <w:rPr>
                <w:rFonts w:ascii="Times New Roman" w:hAnsi="Times New Roman" w:cs="Times New Roman"/>
              </w:rPr>
              <w:br/>
            </w:r>
            <w:r w:rsidRPr="00CB2EC4">
              <w:rPr>
                <w:rFonts w:ascii="Times New Roman" w:hAnsi="Times New Roman" w:cs="Times New Roman"/>
              </w:rPr>
              <w:br/>
              <w:t xml:space="preserve">Recommended regimen: Modified radical hysterectomy (Type B surgery) + pelvic lymphadenectomy  </w:t>
            </w:r>
            <w:r w:rsidRPr="00CB2EC4">
              <w:rPr>
                <w:rFonts w:ascii="Times New Roman" w:hAnsi="Times New Roman" w:cs="Times New Roman"/>
              </w:rPr>
              <w:br/>
              <w:t xml:space="preserve">- Basis: LVSI positive requires management as IA2 stage; Level I recommendation is modified radical hysterectomy (Q-M classification Type B) combined with pelvic lymph node dissection (document fragments 4, 6, 7).  </w:t>
            </w:r>
            <w:r w:rsidRPr="00CB2EC4">
              <w:rPr>
                <w:rFonts w:ascii="Times New Roman" w:hAnsi="Times New Roman" w:cs="Times New Roman"/>
              </w:rPr>
              <w:br/>
              <w:t>- Surgical scope: Removal of uterus, cervix, and 1–2 cm upper vaginal segment; dissection of ureteral tunnels, partial resection of uterosacral ligaments (document fragment 7).</w:t>
            </w:r>
          </w:p>
        </w:tc>
        <w:tc>
          <w:tcPr>
            <w:tcW w:w="1152" w:type="dxa"/>
            <w:vAlign w:val="center"/>
          </w:tcPr>
          <w:p w14:paraId="194085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5D38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4B45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3F2D7D1" w14:textId="77777777">
        <w:tc>
          <w:tcPr>
            <w:tcW w:w="2160" w:type="dxa"/>
            <w:vAlign w:val="center"/>
          </w:tcPr>
          <w:p w14:paraId="239C50D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ED6F265"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staged as IA1 with lymphovascular space invasion, the recommended treatment is:</w:t>
            </w:r>
            <w:r w:rsidRPr="00CB2EC4">
              <w:rPr>
                <w:rFonts w:ascii="Times New Roman" w:hAnsi="Times New Roman" w:cs="Times New Roman"/>
              </w:rPr>
              <w:br/>
            </w:r>
            <w:r w:rsidRPr="00CB2EC4">
              <w:rPr>
                <w:rFonts w:ascii="Times New Roman" w:hAnsi="Times New Roman" w:cs="Times New Roman"/>
              </w:rPr>
              <w:br/>
              <w:t>modified radical hysterectomy (type B hysterectomy) + pelvic lymph node dissection.</w:t>
            </w:r>
            <w:r w:rsidRPr="00CB2EC4">
              <w:rPr>
                <w:rFonts w:ascii="Times New Roman" w:hAnsi="Times New Roman" w:cs="Times New Roman"/>
              </w:rPr>
              <w:br/>
            </w:r>
            <w:r w:rsidRPr="00CB2EC4">
              <w:rPr>
                <w:rFonts w:ascii="Times New Roman" w:hAnsi="Times New Roman" w:cs="Times New Roman"/>
              </w:rPr>
              <w:br/>
              <w:t>Radiotherapy (external beam radiotherapy + vaginal brachytherapy) may be considered as an alternative option, but surgery is the primary recommendation.</w:t>
            </w:r>
            <w:r w:rsidRPr="00CB2EC4">
              <w:rPr>
                <w:rFonts w:ascii="Times New Roman" w:hAnsi="Times New Roman" w:cs="Times New Roman"/>
              </w:rPr>
              <w:br/>
            </w:r>
            <w:r w:rsidRPr="00CB2EC4">
              <w:rPr>
                <w:rFonts w:ascii="Times New Roman" w:hAnsi="Times New Roman" w:cs="Times New Roman"/>
              </w:rPr>
              <w:br/>
              <w:t>according to the knowledge base:</w:t>
            </w:r>
            <w:r w:rsidRPr="00CB2EC4">
              <w:rPr>
                <w:rFonts w:ascii="Times New Roman" w:hAnsi="Times New Roman" w:cs="Times New Roman"/>
              </w:rPr>
              <w:br/>
              <w:t xml:space="preserve">- in the section "early cervical cancer treatment (no fertility preservation requirement)": "IA1 stage with lymphovascular space infiltration Grade I recommendation: B-type hysterectomy + radical radiotherapy (external beam radiotherapy + vaginal </w:t>
            </w:r>
            <w:r w:rsidRPr="00CB2EC4">
              <w:rPr>
                <w:rFonts w:ascii="Times New Roman" w:hAnsi="Times New Roman" w:cs="Times New Roman"/>
              </w:rPr>
              <w:lastRenderedPageBreak/>
              <w:t>brachytherapy) + pelvic lymph node dissection", but this recommendation may include radiotherapy and should be interpreted in context.</w:t>
            </w:r>
            <w:r w:rsidRPr="00CB2EC4">
              <w:rPr>
                <w:rFonts w:ascii="Times New Roman" w:hAnsi="Times New Roman" w:cs="Times New Roman"/>
              </w:rPr>
              <w:br/>
              <w:t>- in the FIGO 2018 guideline comparison section: "IA1 stage LVSI positive FIGO 2018 no fertility preservation: 1. modified radical hysterectomy + pelvic lymph node dissection 2. radiotherapy".</w:t>
            </w:r>
            <w:r w:rsidRPr="00CB2EC4">
              <w:rPr>
                <w:rFonts w:ascii="Times New Roman" w:hAnsi="Times New Roman" w:cs="Times New Roman"/>
              </w:rPr>
              <w:br/>
              <w:t>- in the NCCN 2019 guideline section: "NCCN 2019 no fertility preservation: modified radical or radical hysterectomy + pelvic lymph node dissection".</w:t>
            </w:r>
            <w:r w:rsidRPr="00CB2EC4">
              <w:rPr>
                <w:rFonts w:ascii="Times New Roman" w:hAnsi="Times New Roman" w:cs="Times New Roman"/>
              </w:rPr>
              <w:br/>
              <w:t>- in the "4.1.1.1 IA1 stage" section: "when LVSI is positive, modified radical hysterectomy + pelvic lymph node dissection should be performed".</w:t>
            </w:r>
            <w:r w:rsidRPr="00CB2EC4">
              <w:rPr>
                <w:rFonts w:ascii="Times New Roman" w:hAnsi="Times New Roman" w:cs="Times New Roman"/>
              </w:rPr>
              <w:br/>
            </w:r>
            <w:r w:rsidRPr="00CB2EC4">
              <w:rPr>
                <w:rFonts w:ascii="Times New Roman" w:hAnsi="Times New Roman" w:cs="Times New Roman"/>
              </w:rPr>
              <w:br/>
              <w:t>thus, for IA1 stage with lymphovascular space invasion (LVSI positive) and no desire for fertility preservation, the Grade I recommended treatment is modified radical hysterectomy (type B hysterectomy) plus pelvic lymph node dissection. Radiotherapy may serve as an alternative, but surgery is the main recommendation.</w:t>
            </w:r>
          </w:p>
        </w:tc>
        <w:tc>
          <w:tcPr>
            <w:tcW w:w="1152" w:type="dxa"/>
            <w:vAlign w:val="center"/>
          </w:tcPr>
          <w:p w14:paraId="571DEA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1C599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A689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612C2F" w14:textId="77777777">
        <w:tc>
          <w:tcPr>
            <w:tcW w:w="2160" w:type="dxa"/>
            <w:vAlign w:val="center"/>
          </w:tcPr>
          <w:p w14:paraId="164E2FC4"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08B2694"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patient does not wish to preserve fertility, is staged as IA1 with lymphovascular space invasion (LVSI), the recommended treatment is:</w:t>
            </w:r>
            <w:r w:rsidRPr="00CB2EC4">
              <w:rPr>
                <w:rFonts w:ascii="Times New Roman" w:hAnsi="Times New Roman" w:cs="Times New Roman"/>
              </w:rPr>
              <w:br/>
            </w:r>
            <w:r w:rsidRPr="00CB2EC4">
              <w:rPr>
                <w:rFonts w:ascii="Times New Roman" w:hAnsi="Times New Roman" w:cs="Times New Roman"/>
              </w:rPr>
              <w:br/>
              <w:t>Treatment: Modified radical hysterectomy (Type II) with pelvic lymph node dissection.</w:t>
            </w:r>
            <w:r w:rsidRPr="00CB2EC4">
              <w:rPr>
                <w:rFonts w:ascii="Times New Roman" w:hAnsi="Times New Roman" w:cs="Times New Roman"/>
              </w:rPr>
              <w:br/>
              <w:t>-  For IA1 stage with LVSI, modified radical hysterectomy is required to reduce the risk of recurrence, and pelvic lymph node dissection must be performed.</w:t>
            </w:r>
          </w:p>
        </w:tc>
        <w:tc>
          <w:tcPr>
            <w:tcW w:w="1152" w:type="dxa"/>
            <w:vAlign w:val="center"/>
          </w:tcPr>
          <w:p w14:paraId="0553D4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058F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C52AA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68F7F7" w14:textId="77777777">
        <w:tc>
          <w:tcPr>
            <w:tcW w:w="10656" w:type="dxa"/>
            <w:gridSpan w:val="5"/>
            <w:tcBorders>
              <w:bottom w:val="single" w:sz="6" w:space="0" w:color="auto"/>
            </w:tcBorders>
            <w:vAlign w:val="center"/>
          </w:tcPr>
          <w:p w14:paraId="4CE8C20B" w14:textId="77777777" w:rsidR="00922249" w:rsidRPr="00CB2EC4" w:rsidRDefault="003011D5">
            <w:pPr>
              <w:rPr>
                <w:rFonts w:ascii="Times New Roman" w:hAnsi="Times New Roman" w:cs="Times New Roman"/>
              </w:rPr>
            </w:pPr>
            <w:r w:rsidRPr="00CB2EC4">
              <w:rPr>
                <w:rFonts w:ascii="Times New Roman" w:hAnsi="Times New Roman" w:cs="Times New Roman"/>
                <w:b/>
              </w:rPr>
              <w:t xml:space="preserve">Question 53: In cervical cancer treatment, if the patient does not wish to preserve fertility, and the stage is ⅠA2, what treatment </w:t>
            </w:r>
            <w:r w:rsidRPr="00CB2EC4">
              <w:rPr>
                <w:rFonts w:ascii="Times New Roman" w:hAnsi="Times New Roman" w:cs="Times New Roman"/>
                <w:b/>
              </w:rPr>
              <w:lastRenderedPageBreak/>
              <w:t>measures should be taken?</w:t>
            </w:r>
          </w:p>
        </w:tc>
      </w:tr>
      <w:tr w:rsidR="00922249" w:rsidRPr="00CB2EC4" w14:paraId="283E4A07" w14:textId="77777777">
        <w:tc>
          <w:tcPr>
            <w:tcW w:w="2160" w:type="dxa"/>
            <w:vAlign w:val="center"/>
          </w:tcPr>
          <w:p w14:paraId="0DFD7BA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Enrichment</w:t>
            </w:r>
          </w:p>
        </w:tc>
        <w:tc>
          <w:tcPr>
            <w:tcW w:w="5040" w:type="dxa"/>
            <w:vAlign w:val="center"/>
          </w:tcPr>
          <w:p w14:paraId="507D5CA1"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patient does not wish to preserve fertility and is staged as IA2, the recommended treatment measures are:</w:t>
            </w:r>
            <w:r w:rsidRPr="00CB2EC4">
              <w:rPr>
                <w:rFonts w:ascii="Times New Roman" w:hAnsi="Times New Roman" w:cs="Times New Roman"/>
              </w:rPr>
              <w:br/>
            </w:r>
            <w:r w:rsidRPr="00CB2EC4">
              <w:rPr>
                <w:rFonts w:ascii="Times New Roman" w:hAnsi="Times New Roman" w:cs="Times New Roman"/>
              </w:rPr>
              <w:br/>
              <w:t>- B-type radical hysterectomy plus pelvic lymphadenectomy, or radiotherapy;</w:t>
            </w:r>
            <w:r w:rsidRPr="00CB2EC4">
              <w:rPr>
                <w:rFonts w:ascii="Times New Roman" w:hAnsi="Times New Roman" w:cs="Times New Roman"/>
              </w:rPr>
              <w:br/>
              <w:t>- for low-risk cases, simple total hysterectomy plus pelvic lymphadenectomy or sentinel lymph node biopsy may also be considered.</w:t>
            </w:r>
            <w:r w:rsidRPr="00CB2EC4">
              <w:rPr>
                <w:rFonts w:ascii="Times New Roman" w:hAnsi="Times New Roman" w:cs="Times New Roman"/>
              </w:rPr>
              <w:br/>
            </w:r>
            <w:r w:rsidRPr="00CB2EC4">
              <w:rPr>
                <w:rFonts w:ascii="Times New Roman" w:hAnsi="Times New Roman" w:cs="Times New Roman"/>
              </w:rPr>
              <w:br/>
              <w:t xml:space="preserve">  - Basis:</w:t>
            </w:r>
            <w:r w:rsidRPr="00CB2EC4">
              <w:rPr>
                <w:rFonts w:ascii="Times New Roman" w:hAnsi="Times New Roman" w:cs="Times New Roman"/>
              </w:rPr>
              <w:br/>
              <w:t xml:space="preserve">    - In document fragment with similarity 0.431 (range 18-20), the FIGO 2018 guidelines clearly state: for IA2 stage without fertility preservation, B-type hysterectomy + pelvic lymphadenectomy, or simple total hysterectomy or cervical conization plus pelvic lymphadenectomy or sentinel lymph node biopsy (for low-risk cases), or radiotherapy are recommended.</w:t>
            </w:r>
            <w:r w:rsidRPr="00CB2EC4">
              <w:rPr>
                <w:rFonts w:ascii="Times New Roman" w:hAnsi="Times New Roman" w:cs="Times New Roman"/>
              </w:rPr>
              <w:br/>
              <w:t xml:space="preserve">    - In document fragment with similarity 0.494 (range 20-22), Table 4 of the FIGO guidelines recommends the same: B-type hysterectomy + pelvic lymphadenectomy is the primary option.</w:t>
            </w:r>
            <w:r w:rsidRPr="00CB2EC4">
              <w:rPr>
                <w:rFonts w:ascii="Times New Roman" w:hAnsi="Times New Roman" w:cs="Times New Roman"/>
              </w:rPr>
              <w:br/>
              <w:t xml:space="preserve">    - In document fragment with similarity 0.558 (range 33-35), IA2 stage level I recommendation is B-type radical hysterectomy plus pelvic lymphadenectomy.</w:t>
            </w:r>
            <w:r w:rsidRPr="00CB2EC4">
              <w:rPr>
                <w:rFonts w:ascii="Times New Roman" w:hAnsi="Times New Roman" w:cs="Times New Roman"/>
              </w:rPr>
              <w:br/>
              <w:t xml:space="preserve">  - Additional note: B-type radical hysterectomy (modified radical hysterectomy) involves wider resection of parametrial tissue; low-risk cases refer to small tumors without high-risk factors (e.g., well-differentiated), where simple total hysterectomy may suffice; radiotherapy is an alternative option.</w:t>
            </w:r>
          </w:p>
        </w:tc>
        <w:tc>
          <w:tcPr>
            <w:tcW w:w="1152" w:type="dxa"/>
            <w:vAlign w:val="center"/>
          </w:tcPr>
          <w:p w14:paraId="745777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9858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7BDF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79D3D5" w14:textId="77777777">
        <w:tc>
          <w:tcPr>
            <w:tcW w:w="2160" w:type="dxa"/>
            <w:vAlign w:val="center"/>
          </w:tcPr>
          <w:p w14:paraId="78AAA6A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Contextual Chunk </w:t>
            </w:r>
            <w:r w:rsidRPr="00CB2EC4">
              <w:rPr>
                <w:rFonts w:ascii="Times New Roman" w:hAnsi="Times New Roman" w:cs="Times New Roman"/>
              </w:rPr>
              <w:lastRenderedPageBreak/>
              <w:t>Headers</w:t>
            </w:r>
          </w:p>
        </w:tc>
        <w:tc>
          <w:tcPr>
            <w:tcW w:w="5040" w:type="dxa"/>
            <w:vAlign w:val="center"/>
          </w:tcPr>
          <w:p w14:paraId="45C8A37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for patients with stage IA2 cervical cancer who do not </w:t>
            </w:r>
            <w:r w:rsidRPr="00CB2EC4">
              <w:rPr>
                <w:rFonts w:ascii="Times New Roman" w:hAnsi="Times New Roman" w:cs="Times New Roman"/>
              </w:rPr>
              <w:lastRenderedPageBreak/>
              <w:t>wish to preserve fertility, the recommended treatment is radical hysterectomy type B plus pelvic lymphadenectomy.</w:t>
            </w:r>
            <w:r w:rsidRPr="00CB2EC4">
              <w:rPr>
                <w:rFonts w:ascii="Times New Roman" w:hAnsi="Times New Roman" w:cs="Times New Roman"/>
              </w:rPr>
              <w:br/>
            </w:r>
            <w:r w:rsidRPr="00CB2EC4">
              <w:rPr>
                <w:rFonts w:ascii="Times New Roman" w:hAnsi="Times New Roman" w:cs="Times New Roman"/>
              </w:rPr>
              <w:br/>
              <w:t xml:space="preserve">- Basis:  </w:t>
            </w:r>
            <w:r w:rsidRPr="00CB2EC4">
              <w:rPr>
                <w:rFonts w:ascii="Times New Roman" w:hAnsi="Times New Roman" w:cs="Times New Roman"/>
              </w:rPr>
              <w:br/>
              <w:t xml:space="preserve">  - Document fragment 16 (block 21, title "Cervical Cancer Staging and Management Standards"), Table 4: FIGO 2018 recommends type B hysterectomy + pelvic lymphadenectomy; NCCN 2019 recommends radical hysterectomy (type B is a form of radical hysterectomy) + pelvic lymphadenectomy.  </w:t>
            </w:r>
            <w:r w:rsidRPr="00CB2EC4">
              <w:rPr>
                <w:rFonts w:ascii="Times New Roman" w:hAnsi="Times New Roman" w:cs="Times New Roman"/>
              </w:rPr>
              <w:br/>
              <w:t xml:space="preserve">  - Document fragment 4 (block 9, title "Surgical Treatment Guidelines for Cervical Cancer") states: stage IA2 requires type B or more extensive radical hysterectomy with pelvic lymph node dissection; in low-risk cases, simple total hysterectomy may suffice, but the standard recommendation is type B radical hysterectomy.  </w:t>
            </w:r>
            <w:r w:rsidRPr="00CB2EC4">
              <w:rPr>
                <w:rFonts w:ascii="Times New Roman" w:hAnsi="Times New Roman" w:cs="Times New Roman"/>
              </w:rPr>
              <w:br/>
              <w:t xml:space="preserve">  - Document fragment 3 (block 22, title "Treatment Plan by Cervical Cancer Stage") also supports the use of type B radical hysterectomy plus pelvic lymphadenectomy for stage IA2 to address potential lymph node metastasis risk.  </w:t>
            </w:r>
            <w:r w:rsidRPr="00CB2EC4">
              <w:rPr>
                <w:rFonts w:ascii="Times New Roman" w:hAnsi="Times New Roman" w:cs="Times New Roman"/>
              </w:rPr>
              <w:br/>
              <w:t xml:space="preserve">  In summary, radical hysterectomy type B plus pelvic lymphadenectomy is the preferred approach to ensure adequate resection of the lesion and regional lymph nodes.</w:t>
            </w:r>
          </w:p>
        </w:tc>
        <w:tc>
          <w:tcPr>
            <w:tcW w:w="1152" w:type="dxa"/>
            <w:vAlign w:val="center"/>
          </w:tcPr>
          <w:p w14:paraId="3D3419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B0BA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E6C0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2D7EBF" w14:textId="77777777">
        <w:tc>
          <w:tcPr>
            <w:tcW w:w="2160" w:type="dxa"/>
            <w:vAlign w:val="center"/>
          </w:tcPr>
          <w:p w14:paraId="0FC07450"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53AE40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patient does not wish to preserve fertility and is staged as IA2, the recommended treatment measure is:  </w:t>
            </w:r>
            <w:r w:rsidRPr="00CB2EC4">
              <w:rPr>
                <w:rFonts w:ascii="Times New Roman" w:hAnsi="Times New Roman" w:cs="Times New Roman"/>
              </w:rPr>
              <w:br/>
              <w:t xml:space="preserve">Type B hysterectomy plus pelvic lymphadenectomy.  </w:t>
            </w:r>
            <w:r w:rsidRPr="00CB2EC4">
              <w:rPr>
                <w:rFonts w:ascii="Times New Roman" w:hAnsi="Times New Roman" w:cs="Times New Roman"/>
              </w:rPr>
              <w:br/>
            </w:r>
            <w:r w:rsidRPr="00CB2EC4">
              <w:rPr>
                <w:rFonts w:ascii="Times New Roman" w:hAnsi="Times New Roman" w:cs="Times New Roman"/>
              </w:rPr>
              <w:br/>
              <w:t xml:space="preserve">Key evidence:  </w:t>
            </w:r>
            <w:r w:rsidRPr="00CB2EC4">
              <w:rPr>
                <w:rFonts w:ascii="Times New Roman" w:hAnsi="Times New Roman" w:cs="Times New Roman"/>
              </w:rPr>
              <w:br/>
              <w:t xml:space="preserve">- Document fragment 1 states that the Level I </w:t>
            </w:r>
            <w:r w:rsidRPr="00CB2EC4">
              <w:rPr>
                <w:rFonts w:ascii="Times New Roman" w:hAnsi="Times New Roman" w:cs="Times New Roman"/>
              </w:rPr>
              <w:lastRenderedPageBreak/>
              <w:t xml:space="preserve">recommendation for IA2 stage is "Type B hysterectomy + pelvic lymphadenectomy".  </w:t>
            </w:r>
            <w:r w:rsidRPr="00CB2EC4">
              <w:rPr>
                <w:rFonts w:ascii="Times New Roman" w:hAnsi="Times New Roman" w:cs="Times New Roman"/>
              </w:rPr>
              <w:br/>
              <w:t xml:space="preserve">- Document fragment 2 mentions that the Level I recommendation for IA2 stage is "radical trachelectomy + pelvic lymphadenectomy" or "conization + pelvic lymphadenectomy", but radical trachelectomy is more commonly used for fertility preservation; in cases without fertility preservation, Type B resection is standard (fragment 4).  </w:t>
            </w:r>
            <w:r w:rsidRPr="00CB2EC4">
              <w:rPr>
                <w:rFonts w:ascii="Times New Roman" w:hAnsi="Times New Roman" w:cs="Times New Roman"/>
              </w:rPr>
              <w:br/>
              <w:t xml:space="preserve">- Document fragment 4 describes that Type B hysterectomy (Q-M classification) is applicable for IA2 stage, with the surgical scope including complete removal of the uterus and pelvic lymph node dissection.  </w:t>
            </w:r>
            <w:r w:rsidRPr="00CB2EC4">
              <w:rPr>
                <w:rFonts w:ascii="Times New Roman" w:hAnsi="Times New Roman" w:cs="Times New Roman"/>
              </w:rPr>
              <w:br/>
              <w:t xml:space="preserve">- Document fragment 5 supports that the FIGO 2018 recommendation for IA2 is "Type B hysterectomy + pelvic lymphadenectomy".  </w:t>
            </w:r>
            <w:r w:rsidRPr="00CB2EC4">
              <w:rPr>
                <w:rFonts w:ascii="Times New Roman" w:hAnsi="Times New Roman" w:cs="Times New Roman"/>
              </w:rPr>
              <w:br/>
            </w:r>
            <w:r w:rsidRPr="00CB2EC4">
              <w:rPr>
                <w:rFonts w:ascii="Times New Roman" w:hAnsi="Times New Roman" w:cs="Times New Roman"/>
              </w:rPr>
              <w:br/>
              <w:t>Note: Radiotherapy may be used as an alternative (fragment 5), but surgery is the preferred option. No other major changes are mentioned in the documents.</w:t>
            </w:r>
          </w:p>
        </w:tc>
        <w:tc>
          <w:tcPr>
            <w:tcW w:w="1152" w:type="dxa"/>
            <w:vAlign w:val="center"/>
          </w:tcPr>
          <w:p w14:paraId="1F4B89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FD4EE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D20C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F86DB6" w14:textId="77777777">
        <w:tc>
          <w:tcPr>
            <w:tcW w:w="2160" w:type="dxa"/>
            <w:vAlign w:val="center"/>
          </w:tcPr>
          <w:p w14:paraId="53642A65"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4BB49B2" w14:textId="77777777" w:rsidR="00922249" w:rsidRPr="00CB2EC4" w:rsidRDefault="003011D5">
            <w:pPr>
              <w:rPr>
                <w:rFonts w:ascii="Times New Roman" w:hAnsi="Times New Roman" w:cs="Times New Roman"/>
              </w:rPr>
            </w:pPr>
            <w:r w:rsidRPr="00CB2EC4">
              <w:rPr>
                <w:rFonts w:ascii="Times New Roman" w:hAnsi="Times New Roman" w:cs="Times New Roman"/>
              </w:rPr>
              <w:t>IA2 Stage</w:t>
            </w:r>
            <w:r w:rsidRPr="00CB2EC4">
              <w:rPr>
                <w:rFonts w:ascii="Times New Roman" w:hAnsi="Times New Roman" w:cs="Times New Roman"/>
              </w:rPr>
              <w:br/>
            </w:r>
            <w:r w:rsidRPr="00CB2EC4">
              <w:rPr>
                <w:rFonts w:ascii="Times New Roman" w:hAnsi="Times New Roman" w:cs="Times New Roman"/>
              </w:rPr>
              <w:br/>
              <w:t>Level I Recommendation:</w:t>
            </w:r>
            <w:r w:rsidRPr="00CB2EC4">
              <w:rPr>
                <w:rFonts w:ascii="Times New Roman" w:hAnsi="Times New Roman" w:cs="Times New Roman"/>
              </w:rPr>
              <w:br/>
              <w:t>- Type B radical hysterectomy + pelvic lymphadenectomy (FIGO 2018 &amp; NCCN 2019)</w:t>
            </w:r>
            <w:r w:rsidRPr="00CB2EC4">
              <w:rPr>
                <w:rFonts w:ascii="Times New Roman" w:hAnsi="Times New Roman" w:cs="Times New Roman"/>
              </w:rPr>
              <w:br/>
              <w:t>Evidence:</w:t>
            </w:r>
            <w:r w:rsidRPr="00CB2EC4">
              <w:rPr>
                <w:rFonts w:ascii="Times New Roman" w:hAnsi="Times New Roman" w:cs="Times New Roman"/>
              </w:rPr>
              <w:br/>
              <w:t xml:space="preserve">  - FIGO guidelines: Type B hysterectomy + pelvic lymphadenectomy is the standard approach (knowledge base: "IA2 stage: Type B hysterectomy + pelvic lymphadenectomy").</w:t>
            </w:r>
            <w:r w:rsidRPr="00CB2EC4">
              <w:rPr>
                <w:rFonts w:ascii="Times New Roman" w:hAnsi="Times New Roman" w:cs="Times New Roman"/>
              </w:rPr>
              <w:br/>
              <w:t xml:space="preserve">  - NCCN guidelines: Radical hysterectomy + pelvic lymphadenectomy (knowledge base: "Radical hysterectomy + pelvic lymphadenectomy").</w:t>
            </w:r>
            <w:r w:rsidRPr="00CB2EC4">
              <w:rPr>
                <w:rFonts w:ascii="Times New Roman" w:hAnsi="Times New Roman" w:cs="Times New Roman"/>
              </w:rPr>
              <w:br/>
            </w:r>
            <w:r w:rsidRPr="00CB2EC4">
              <w:rPr>
                <w:rFonts w:ascii="Times New Roman" w:hAnsi="Times New Roman" w:cs="Times New Roman"/>
              </w:rPr>
              <w:lastRenderedPageBreak/>
              <w:t>Additional note: For low-risk cases, simple total hysterectomy + pelvic lymphadenectomy or sentinel lymph node technique may be selected (FIGO Level II recommendation).</w:t>
            </w:r>
          </w:p>
        </w:tc>
        <w:tc>
          <w:tcPr>
            <w:tcW w:w="1152" w:type="dxa"/>
            <w:vAlign w:val="center"/>
          </w:tcPr>
          <w:p w14:paraId="600705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876AF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3262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36DED86" w14:textId="77777777">
        <w:tc>
          <w:tcPr>
            <w:tcW w:w="2160" w:type="dxa"/>
            <w:vAlign w:val="center"/>
          </w:tcPr>
          <w:p w14:paraId="2C95A9F9"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4A67A8B"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IA2 cervical cancer (stromal invasion depth &gt;3 mm but ≤5 mm) who do not wish to preserve fertility, the recommended treatment is radical hysterectomy type B (modified radical hysterectomy) plus pelvic lymphadenectomy.</w:t>
            </w:r>
            <w:r w:rsidRPr="00CB2EC4">
              <w:rPr>
                <w:rFonts w:ascii="Times New Roman" w:hAnsi="Times New Roman" w:cs="Times New Roman"/>
              </w:rPr>
              <w:br/>
              <w:t xml:space="preserve">  - Basis:</w:t>
            </w:r>
            <w:r w:rsidRPr="00CB2EC4">
              <w:rPr>
                <w:rFonts w:ascii="Times New Roman" w:hAnsi="Times New Roman" w:cs="Times New Roman"/>
              </w:rPr>
              <w:br/>
              <w:t xml:space="preserve">    - Document fragment 1 (Stage IA2): "Level I recommendation: Type B hysterectomy + pelvic lymph node dissection".</w:t>
            </w:r>
            <w:r w:rsidRPr="00CB2EC4">
              <w:rPr>
                <w:rFonts w:ascii="Times New Roman" w:hAnsi="Times New Roman" w:cs="Times New Roman"/>
              </w:rPr>
              <w:br/>
              <w:t xml:space="preserve">    - Document fragment 2 (Stage IA2): "Perform type B or more extensive radical hysterectomy, with pelvic lymph node dissection required".</w:t>
            </w:r>
            <w:r w:rsidRPr="00CB2EC4">
              <w:rPr>
                <w:rFonts w:ascii="Times New Roman" w:hAnsi="Times New Roman" w:cs="Times New Roman"/>
              </w:rPr>
              <w:br/>
              <w:t xml:space="preserve">    - Document fragment 16 (Stage IA2): "FIGO 2018 without fertility preservation: Type B hysterectomy + pelvic lymph node dissection".</w:t>
            </w:r>
            <w:r w:rsidRPr="00CB2EC4">
              <w:rPr>
                <w:rFonts w:ascii="Times New Roman" w:hAnsi="Times New Roman" w:cs="Times New Roman"/>
              </w:rPr>
              <w:br/>
              <w:t xml:space="preserve">  - This recommendation is based on the higher risk of lymph node metastasis in IA2 stage, necessitating complete surgical removal of the primary lesion and regional lymph nodes.</w:t>
            </w:r>
          </w:p>
        </w:tc>
        <w:tc>
          <w:tcPr>
            <w:tcW w:w="1152" w:type="dxa"/>
            <w:vAlign w:val="center"/>
          </w:tcPr>
          <w:p w14:paraId="01B7EC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E997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729F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7977CC7" w14:textId="77777777">
        <w:tc>
          <w:tcPr>
            <w:tcW w:w="2160" w:type="dxa"/>
            <w:vAlign w:val="center"/>
          </w:tcPr>
          <w:p w14:paraId="5B3E259A"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A35672C"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and are staged as IA2, the recommended treatment is radical hysterectomy type B + pelvic lymphadenectomy.</w:t>
            </w:r>
            <w:r w:rsidRPr="00CB2EC4">
              <w:rPr>
                <w:rFonts w:ascii="Times New Roman" w:hAnsi="Times New Roman" w:cs="Times New Roman"/>
              </w:rPr>
              <w:br/>
            </w:r>
            <w:r w:rsidRPr="00CB2EC4">
              <w:rPr>
                <w:rFonts w:ascii="Times New Roman" w:hAnsi="Times New Roman" w:cs="Times New Roman"/>
              </w:rPr>
              <w:br/>
              <w:t xml:space="preserve">- Basis: Document 1 explicitly states "IA2 stage: Level I recommendation: Type B hysterectomy + radical radiotherapy + pelvic lymphadenectomy", but documents 2, 5, and 14 emphasize surgery as the core approach (document 2: "IA2 stage: perform type B or </w:t>
            </w:r>
            <w:r w:rsidRPr="00CB2EC4">
              <w:rPr>
                <w:rFonts w:ascii="Times New Roman" w:hAnsi="Times New Roman" w:cs="Times New Roman"/>
              </w:rPr>
              <w:lastRenderedPageBreak/>
              <w:t>more extensive radical hysterectomy + pelvic lymphadenectomy"; document 5: "IA2 stage: type B hysterectomy + pelvic lymphadenectomy"; document 14 FIGO guidelines: "type B hysterectomy + pelvic lymphadenectomy"). Radiotherapy is typically used as adjuvant or alternative, while surgery is the level I recommendation.</w:t>
            </w:r>
            <w:r w:rsidRPr="00CB2EC4">
              <w:rPr>
                <w:rFonts w:ascii="Times New Roman" w:hAnsi="Times New Roman" w:cs="Times New Roman"/>
              </w:rPr>
              <w:br/>
              <w:t>- Rationale: IA2 stage carries a risk of potential lymph node metastasis; type B surgery (modified radical hysterectomy) allows complete resection of the lesion, and lymphadenectomy provides accurate staging.</w:t>
            </w:r>
          </w:p>
        </w:tc>
        <w:tc>
          <w:tcPr>
            <w:tcW w:w="1152" w:type="dxa"/>
            <w:vAlign w:val="center"/>
          </w:tcPr>
          <w:p w14:paraId="6DC408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7BB1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58F4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185F7C" w14:textId="77777777">
        <w:tc>
          <w:tcPr>
            <w:tcW w:w="2160" w:type="dxa"/>
            <w:vAlign w:val="center"/>
          </w:tcPr>
          <w:p w14:paraId="499AA0E7"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C1BAA1D"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IA2 cervical cancer who do not wish to preserve fertility, the recommended treatment is radical hysterectomy type B plus pelvic lymphadenectomy.</w:t>
            </w:r>
            <w:r w:rsidRPr="00CB2EC4">
              <w:rPr>
                <w:rFonts w:ascii="Times New Roman" w:hAnsi="Times New Roman" w:cs="Times New Roman"/>
              </w:rPr>
              <w:br/>
            </w:r>
            <w:r w:rsidRPr="00CB2EC4">
              <w:rPr>
                <w:rFonts w:ascii="Times New Roman" w:hAnsi="Times New Roman" w:cs="Times New Roman"/>
              </w:rPr>
              <w:br/>
              <w:t>according to the documents:</w:t>
            </w:r>
            <w:r w:rsidRPr="00CB2EC4">
              <w:rPr>
                <w:rFonts w:ascii="Times New Roman" w:hAnsi="Times New Roman" w:cs="Times New Roman"/>
              </w:rPr>
              <w:br/>
              <w:t>- [HyDE similarity: 0.623] table 4 comparing FIGO and NCCN guidelines: FIGO 2018 recommends type B hysterectomy plus pelvic lymphadenectomy, or in low-risk cases, simple total hysterectomy plus pelvic lymphadenectomy or sentinel lymph node biopsy.</w:t>
            </w:r>
            <w:r w:rsidRPr="00CB2EC4">
              <w:rPr>
                <w:rFonts w:ascii="Times New Roman" w:hAnsi="Times New Roman" w:cs="Times New Roman"/>
              </w:rPr>
              <w:br/>
              <w:t>- [HyDE similarity: 0.571] stage IA2, level I recommendation: type B hysterectomy plus pelvic lymphadenectomy.</w:t>
            </w:r>
            <w:r w:rsidRPr="00CB2EC4">
              <w:rPr>
                <w:rFonts w:ascii="Times New Roman" w:hAnsi="Times New Roman" w:cs="Times New Roman"/>
              </w:rPr>
              <w:br/>
              <w:t>- [HyDE similarity: 0.767] stage IA2 may involve lymph node metastasis; therefore, radical hysterectomy type B or more extensive plus pelvic lymphadenectomy is required.</w:t>
            </w:r>
            <w:r w:rsidRPr="00CB2EC4">
              <w:rPr>
                <w:rFonts w:ascii="Times New Roman" w:hAnsi="Times New Roman" w:cs="Times New Roman"/>
              </w:rPr>
              <w:br/>
              <w:t>- thus, the preferred treatment is radical hysterectomy type B plus pelvic lymphadenectomy.</w:t>
            </w:r>
          </w:p>
        </w:tc>
        <w:tc>
          <w:tcPr>
            <w:tcW w:w="1152" w:type="dxa"/>
            <w:vAlign w:val="center"/>
          </w:tcPr>
          <w:p w14:paraId="5C59FF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AA45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3584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255DDEA" w14:textId="77777777">
        <w:tc>
          <w:tcPr>
            <w:tcW w:w="2160" w:type="dxa"/>
            <w:vAlign w:val="center"/>
          </w:tcPr>
          <w:p w14:paraId="4813F3AF"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078600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cervical cancer treatment, if the patient does not wish to preserve fertility and is staged as IA2, the </w:t>
            </w:r>
            <w:r w:rsidRPr="00CB2EC4">
              <w:rPr>
                <w:rFonts w:ascii="Times New Roman" w:hAnsi="Times New Roman" w:cs="Times New Roman"/>
              </w:rPr>
              <w:lastRenderedPageBreak/>
              <w:t>recommended treatment is type B radical hysterectomy plus pelvic lymph node dissection.</w:t>
            </w:r>
            <w:r w:rsidRPr="00CB2EC4">
              <w:rPr>
                <w:rFonts w:ascii="Times New Roman" w:hAnsi="Times New Roman" w:cs="Times New Roman"/>
              </w:rPr>
              <w:br/>
            </w:r>
            <w:r w:rsidRPr="00CB2EC4">
              <w:rPr>
                <w:rFonts w:ascii="Times New Roman" w:hAnsi="Times New Roman" w:cs="Times New Roman"/>
              </w:rPr>
              <w:br/>
              <w:t>- Document fragment 2: "Stage IA2: Lymph node metastasis is possible at this stage; therefore, a Type B or more extensive radical hysterectomy should be performed, along with pelvic lymph node dissection."</w:t>
            </w:r>
            <w:r w:rsidRPr="00CB2EC4">
              <w:rPr>
                <w:rFonts w:ascii="Times New Roman" w:hAnsi="Times New Roman" w:cs="Times New Roman"/>
              </w:rPr>
              <w:br/>
              <w:t>- Document fragment 4: "Stage IA2 (FIGO 2018, fertility not preserved): Type B hysterectomy + pelvic lymph node dissection."</w:t>
            </w:r>
            <w:r w:rsidRPr="00CB2EC4">
              <w:rPr>
                <w:rFonts w:ascii="Times New Roman" w:hAnsi="Times New Roman" w:cs="Times New Roman"/>
              </w:rPr>
              <w:br/>
              <w:t>- Document fragment 5: "Stage IA2 Grade I recommendation: Type B hysterectomy c,h + radical radiotherapy (external beam radiotherapy + vaginal brachytherapy) pelvic lymph node dissection," though the core intervention is surgical.</w:t>
            </w:r>
            <w:r w:rsidRPr="00CB2EC4">
              <w:rPr>
                <w:rFonts w:ascii="Times New Roman" w:hAnsi="Times New Roman" w:cs="Times New Roman"/>
              </w:rPr>
              <w:br/>
              <w:t>- Therefore, the treatment measure is type B radical hysterectomy plus pelvic lymph node dissection.</w:t>
            </w:r>
          </w:p>
        </w:tc>
        <w:tc>
          <w:tcPr>
            <w:tcW w:w="1152" w:type="dxa"/>
            <w:vAlign w:val="center"/>
          </w:tcPr>
          <w:p w14:paraId="6508FC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4CAD1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E34E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B41EE27" w14:textId="77777777">
        <w:tc>
          <w:tcPr>
            <w:tcW w:w="2160" w:type="dxa"/>
            <w:vAlign w:val="center"/>
          </w:tcPr>
          <w:p w14:paraId="032F1B2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130482F"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IA2 cervical cancer who do not wish to preserve fertility, the recommended treatment is:</w:t>
            </w:r>
            <w:r w:rsidRPr="00CB2EC4">
              <w:rPr>
                <w:rFonts w:ascii="Times New Roman" w:hAnsi="Times New Roman" w:cs="Times New Roman"/>
              </w:rPr>
              <w:br/>
            </w:r>
            <w:r w:rsidRPr="00CB2EC4">
              <w:rPr>
                <w:rFonts w:ascii="Times New Roman" w:hAnsi="Times New Roman" w:cs="Times New Roman"/>
              </w:rPr>
              <w:br/>
              <w:t>- Type B radical hysterectomy + pelvic lymph node dissection</w:t>
            </w:r>
            <w:r w:rsidRPr="00CB2EC4">
              <w:rPr>
                <w:rFonts w:ascii="Times New Roman" w:hAnsi="Times New Roman" w:cs="Times New Roman"/>
              </w:rPr>
              <w:br/>
            </w:r>
            <w:r w:rsidRPr="00CB2EC4">
              <w:rPr>
                <w:rFonts w:ascii="Times New Roman" w:hAnsi="Times New Roman" w:cs="Times New Roman"/>
              </w:rPr>
              <w:br/>
              <w:t xml:space="preserve">  - Basis:</w:t>
            </w:r>
            <w:r w:rsidRPr="00CB2EC4">
              <w:rPr>
                <w:rFonts w:ascii="Times New Roman" w:hAnsi="Times New Roman" w:cs="Times New Roman"/>
              </w:rPr>
              <w:br/>
              <w:t xml:space="preserve">    - The first document states: "For stage IA2... perform a type B or more extensive radical hysterectomy, and pelvic lymph node dissection is also required."</w:t>
            </w:r>
            <w:r w:rsidRPr="00CB2EC4">
              <w:rPr>
                <w:rFonts w:ascii="Times New Roman" w:hAnsi="Times New Roman" w:cs="Times New Roman"/>
              </w:rPr>
              <w:br/>
              <w:t xml:space="preserve">    - The second document explicitly lists under "Stage IA2": "Level I recommendation: Type B hysterectomy c,h + pelvic lymph node dissection".</w:t>
            </w:r>
            <w:r w:rsidRPr="00CB2EC4">
              <w:rPr>
                <w:rFonts w:ascii="Times New Roman" w:hAnsi="Times New Roman" w:cs="Times New Roman"/>
              </w:rPr>
              <w:br/>
              <w:t xml:space="preserve">    - The documents emphasize that stage IA2 carries a risk of lymph node metastasis, making lymph node </w:t>
            </w:r>
            <w:r w:rsidRPr="00CB2EC4">
              <w:rPr>
                <w:rFonts w:ascii="Times New Roman" w:hAnsi="Times New Roman" w:cs="Times New Roman"/>
              </w:rPr>
              <w:lastRenderedPageBreak/>
              <w:t>dissection a necessary component.</w:t>
            </w:r>
            <w:r w:rsidRPr="00CB2EC4">
              <w:rPr>
                <w:rFonts w:ascii="Times New Roman" w:hAnsi="Times New Roman" w:cs="Times New Roman"/>
              </w:rPr>
              <w:br/>
              <w:t xml:space="preserve">  - Therefore, this is the preferred treatment, with a more extensive surgical scope than for stage IA1.</w:t>
            </w:r>
          </w:p>
        </w:tc>
        <w:tc>
          <w:tcPr>
            <w:tcW w:w="1152" w:type="dxa"/>
            <w:vAlign w:val="center"/>
          </w:tcPr>
          <w:p w14:paraId="744DF7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E167A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76CA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6917B3" w14:textId="77777777">
        <w:tc>
          <w:tcPr>
            <w:tcW w:w="2160" w:type="dxa"/>
            <w:vAlign w:val="center"/>
          </w:tcPr>
          <w:p w14:paraId="6B5A2D8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D925CD3"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patient does not wish to preserve fertility and is staged as IA2, the recommended treatment measures are:</w:t>
            </w:r>
            <w:r w:rsidRPr="00CB2EC4">
              <w:rPr>
                <w:rFonts w:ascii="Times New Roman" w:hAnsi="Times New Roman" w:cs="Times New Roman"/>
              </w:rPr>
              <w:br/>
            </w:r>
            <w:r w:rsidRPr="00CB2EC4">
              <w:rPr>
                <w:rFonts w:ascii="Times New Roman" w:hAnsi="Times New Roman" w:cs="Times New Roman"/>
              </w:rPr>
              <w:br/>
              <w:t>- B-type radical hysterectomy (modified radical hysterectomy) + radical radiotherapy (external beam radiotherapy + vaginal brachytherapy) + pelvic lymphadenectomy (Document Fragment 1, Level I recommendation)</w:t>
            </w:r>
            <w:r w:rsidRPr="00CB2EC4">
              <w:rPr>
                <w:rFonts w:ascii="Times New Roman" w:hAnsi="Times New Roman" w:cs="Times New Roman"/>
              </w:rPr>
              <w:br/>
              <w:t>- B-type or more extensive radical hysterectomy + pelvic lymphadenectomy (Document Fragment 4, due to risk of lymph node metastasis)</w:t>
            </w:r>
            <w:r w:rsidRPr="00CB2EC4">
              <w:rPr>
                <w:rFonts w:ascii="Times New Roman" w:hAnsi="Times New Roman" w:cs="Times New Roman"/>
              </w:rPr>
              <w:br/>
              <w:t>- Subtotal radical hysterectomy + pelvic lymphadenectomy (Document Fragment 6)</w:t>
            </w:r>
            <w:r w:rsidRPr="00CB2EC4">
              <w:rPr>
                <w:rFonts w:ascii="Times New Roman" w:hAnsi="Times New Roman" w:cs="Times New Roman"/>
              </w:rPr>
              <w:br/>
            </w:r>
            <w:r w:rsidRPr="00CB2EC4">
              <w:rPr>
                <w:rFonts w:ascii="Times New Roman" w:hAnsi="Times New Roman" w:cs="Times New Roman"/>
              </w:rPr>
              <w:br/>
              <w:t>Therefore, for IA2 stage patients not desiring fertility preservation, the Level I recommended treatment is modified radical hysterectomy (B-type) + pelvic lymphadenectomy. Adjuvant radiotherapy (e.g., radical radiotherapy) may be required, but surgery is the core component.</w:t>
            </w:r>
          </w:p>
        </w:tc>
        <w:tc>
          <w:tcPr>
            <w:tcW w:w="1152" w:type="dxa"/>
            <w:vAlign w:val="center"/>
          </w:tcPr>
          <w:p w14:paraId="73000C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E6C2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C8E7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D735E9" w14:textId="77777777">
        <w:tc>
          <w:tcPr>
            <w:tcW w:w="2160" w:type="dxa"/>
            <w:vAlign w:val="center"/>
          </w:tcPr>
          <w:p w14:paraId="4EBED5F7"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A233774" w14:textId="77777777" w:rsidR="00922249" w:rsidRPr="00CB2EC4" w:rsidRDefault="003011D5">
            <w:pPr>
              <w:rPr>
                <w:rFonts w:ascii="Times New Roman" w:hAnsi="Times New Roman" w:cs="Times New Roman"/>
              </w:rPr>
            </w:pPr>
            <w:r w:rsidRPr="00CB2EC4">
              <w:rPr>
                <w:rFonts w:ascii="Times New Roman" w:hAnsi="Times New Roman" w:cs="Times New Roman"/>
              </w:rPr>
              <w:t>for IA2 stage cervical cancer patients who do not wish to preserve fertility:</w:t>
            </w:r>
            <w:r w:rsidRPr="00CB2EC4">
              <w:rPr>
                <w:rFonts w:ascii="Times New Roman" w:hAnsi="Times New Roman" w:cs="Times New Roman"/>
              </w:rPr>
              <w:br/>
            </w:r>
            <w:r w:rsidRPr="00CB2EC4">
              <w:rPr>
                <w:rFonts w:ascii="Times New Roman" w:hAnsi="Times New Roman" w:cs="Times New Roman"/>
              </w:rPr>
              <w:br/>
              <w:t xml:space="preserve">- Level I recommendation: Type B hysterectomy (modified radical hysterectomy) + pelvic lymphadenectomy  </w:t>
            </w:r>
            <w:r w:rsidRPr="00CB2EC4">
              <w:rPr>
                <w:rFonts w:ascii="Times New Roman" w:hAnsi="Times New Roman" w:cs="Times New Roman"/>
              </w:rPr>
              <w:br/>
              <w:t xml:space="preserve">  This includes removal of the uterus, partial parametrial tissue, and pelvic lymph node dissection to address potential lymph node metastasis.</w:t>
            </w:r>
            <w:r w:rsidRPr="00CB2EC4">
              <w:rPr>
                <w:rFonts w:ascii="Times New Roman" w:hAnsi="Times New Roman" w:cs="Times New Roman"/>
              </w:rPr>
              <w:br/>
            </w:r>
            <w:r w:rsidRPr="00CB2EC4">
              <w:rPr>
                <w:rFonts w:ascii="Times New Roman" w:hAnsi="Times New Roman" w:cs="Times New Roman"/>
              </w:rPr>
              <w:lastRenderedPageBreak/>
              <w:br/>
              <w:t xml:space="preserve">- Level II recommendation (for low-risk cases): Simple total hysterectomy + pelvic lymphadenectomy or sentinel lymph node biopsy  </w:t>
            </w:r>
            <w:r w:rsidRPr="00CB2EC4">
              <w:rPr>
                <w:rFonts w:ascii="Times New Roman" w:hAnsi="Times New Roman" w:cs="Times New Roman"/>
              </w:rPr>
              <w:br/>
              <w:t xml:space="preserve">  Type B hysterectomy remains the primary recommended option.</w:t>
            </w:r>
            <w:r w:rsidRPr="00CB2EC4">
              <w:rPr>
                <w:rFonts w:ascii="Times New Roman" w:hAnsi="Times New Roman" w:cs="Times New Roman"/>
              </w:rPr>
              <w:br/>
            </w:r>
            <w:r w:rsidRPr="00CB2EC4">
              <w:rPr>
                <w:rFonts w:ascii="Times New Roman" w:hAnsi="Times New Roman" w:cs="Times New Roman"/>
              </w:rPr>
              <w:br/>
              <w:t>Radiotherapy is not recommended as the first-line treatment in this scenario.</w:t>
            </w:r>
            <w:r w:rsidRPr="00CB2EC4">
              <w:rPr>
                <w:rFonts w:ascii="Times New Roman" w:hAnsi="Times New Roman" w:cs="Times New Roman"/>
              </w:rPr>
              <w:br/>
            </w:r>
            <w:r w:rsidRPr="00CB2EC4">
              <w:rPr>
                <w:rFonts w:ascii="Times New Roman" w:hAnsi="Times New Roman" w:cs="Times New Roman"/>
              </w:rPr>
              <w:br/>
              <w:t xml:space="preserve">Basis:  </w:t>
            </w:r>
            <w:r w:rsidRPr="00CB2EC4">
              <w:rPr>
                <w:rFonts w:ascii="Times New Roman" w:hAnsi="Times New Roman" w:cs="Times New Roman"/>
              </w:rPr>
              <w:br/>
              <w:t xml:space="preserve">- "IA2 stage Level I recommendation: Type B hysterectomy + radical radiotherapy (external beam radiotherapy + vaginal brachytherapy) + pelvic lymphadenectomy" (similarity 0.558 fragment)  </w:t>
            </w:r>
            <w:r w:rsidRPr="00CB2EC4">
              <w:rPr>
                <w:rFonts w:ascii="Times New Roman" w:hAnsi="Times New Roman" w:cs="Times New Roman"/>
              </w:rPr>
              <w:br/>
              <w:t>- "IA2 stage FIGO 2018 without fertility preservation: Type B hysterectomy + pelvic lymphadenectomy" (similarity 0.418 fragment)</w:t>
            </w:r>
          </w:p>
        </w:tc>
        <w:tc>
          <w:tcPr>
            <w:tcW w:w="1152" w:type="dxa"/>
            <w:vAlign w:val="center"/>
          </w:tcPr>
          <w:p w14:paraId="041325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D7F2B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2C3C1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33434A" w14:textId="77777777">
        <w:tc>
          <w:tcPr>
            <w:tcW w:w="2160" w:type="dxa"/>
            <w:vAlign w:val="center"/>
          </w:tcPr>
          <w:p w14:paraId="5D3C25E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787DFB8" w14:textId="77777777" w:rsidR="00922249" w:rsidRPr="00CB2EC4" w:rsidRDefault="003011D5">
            <w:pPr>
              <w:rPr>
                <w:rFonts w:ascii="Times New Roman" w:hAnsi="Times New Roman" w:cs="Times New Roman"/>
              </w:rPr>
            </w:pPr>
            <w:r w:rsidRPr="00CB2EC4">
              <w:rPr>
                <w:rFonts w:ascii="Times New Roman" w:hAnsi="Times New Roman" w:cs="Times New Roman"/>
              </w:rPr>
              <w:t>treatment measures for IA2 stage</w:t>
            </w:r>
            <w:r w:rsidRPr="00CB2EC4">
              <w:rPr>
                <w:rFonts w:ascii="Times New Roman" w:hAnsi="Times New Roman" w:cs="Times New Roman"/>
              </w:rPr>
              <w:br/>
            </w:r>
            <w:r w:rsidRPr="00CB2EC4">
              <w:rPr>
                <w:rFonts w:ascii="Times New Roman" w:hAnsi="Times New Roman" w:cs="Times New Roman"/>
              </w:rPr>
              <w:br/>
              <w:t xml:space="preserve">Recommended regimen: Type B radical hysterectomy + pelvic lymphadenectomy  </w:t>
            </w:r>
            <w:r w:rsidRPr="00CB2EC4">
              <w:rPr>
                <w:rFonts w:ascii="Times New Roman" w:hAnsi="Times New Roman" w:cs="Times New Roman"/>
              </w:rPr>
              <w:br/>
              <w:t xml:space="preserve">- Rationale: IA2 stage patients require radical surgery; Level I recommendation is Type B radical hysterectomy (modified radical hysterectomy) plus pelvic lymphadenectomy (document fragments 4, 6, 7, 10).  </w:t>
            </w:r>
            <w:r w:rsidRPr="00CB2EC4">
              <w:rPr>
                <w:rFonts w:ascii="Times New Roman" w:hAnsi="Times New Roman" w:cs="Times New Roman"/>
              </w:rPr>
              <w:br/>
              <w:t>- Additional note: Low-risk patients may consider simple total hysterectomy combined with lymph node dissection (document fragment 6).</w:t>
            </w:r>
          </w:p>
        </w:tc>
        <w:tc>
          <w:tcPr>
            <w:tcW w:w="1152" w:type="dxa"/>
            <w:vAlign w:val="center"/>
          </w:tcPr>
          <w:p w14:paraId="629E81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E9DE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15F3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5748B64" w14:textId="77777777">
        <w:tc>
          <w:tcPr>
            <w:tcW w:w="2160" w:type="dxa"/>
            <w:vAlign w:val="center"/>
          </w:tcPr>
          <w:p w14:paraId="62A9543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511606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who do not wish to preserve fertility and are staged as IA2, the recommended treatment is radical type B </w:t>
            </w:r>
            <w:r w:rsidRPr="00CB2EC4">
              <w:rPr>
                <w:rFonts w:ascii="Times New Roman" w:hAnsi="Times New Roman" w:cs="Times New Roman"/>
              </w:rPr>
              <w:lastRenderedPageBreak/>
              <w:t>hysterectomy plus pelvic lymph node dissection. Adjuvant radiotherapy (external beam radiotherapy + vaginal brachytherapy) may be considered as an additional option, but surgery is the core recommendation.</w:t>
            </w:r>
            <w:r w:rsidRPr="00CB2EC4">
              <w:rPr>
                <w:rFonts w:ascii="Times New Roman" w:hAnsi="Times New Roman" w:cs="Times New Roman"/>
              </w:rPr>
              <w:br/>
            </w:r>
            <w:r w:rsidRPr="00CB2EC4">
              <w:rPr>
                <w:rFonts w:ascii="Times New Roman" w:hAnsi="Times New Roman" w:cs="Times New Roman"/>
              </w:rPr>
              <w:br/>
              <w:t>according to the knowledge base:</w:t>
            </w:r>
            <w:r w:rsidRPr="00CB2EC4">
              <w:rPr>
                <w:rFonts w:ascii="Times New Roman" w:hAnsi="Times New Roman" w:cs="Times New Roman"/>
              </w:rPr>
              <w:br/>
              <w:t>- in the section "early-stage cervical cancer treatment (no fertility preservation requirement)", it states: "IA2 stage Level I recommendation: Type B hysterectomy c,h + radical radiotherapy (external beam radiotherapy + vaginal brachytherapy) pelvic lymphadenectomy [22]", though this may include radiotherapy and should be interpreted in context.</w:t>
            </w:r>
            <w:r w:rsidRPr="00CB2EC4">
              <w:rPr>
                <w:rFonts w:ascii="Times New Roman" w:hAnsi="Times New Roman" w:cs="Times New Roman"/>
              </w:rPr>
              <w:br/>
              <w:t>- in the FIGO 2018 guideline comparison section: "IA2 stage FIGO 2018 no fertility preservation: Type B hysterectomy + pelvic lymph node dissection".</w:t>
            </w:r>
            <w:r w:rsidRPr="00CB2EC4">
              <w:rPr>
                <w:rFonts w:ascii="Times New Roman" w:hAnsi="Times New Roman" w:cs="Times New Roman"/>
              </w:rPr>
              <w:br/>
              <w:t>- in the detailed section "4.1.1.2 IA2 stage": "lymph node metastasis is possible in this stage, so radical type B or more extensive hysterectomy is performed, along with pelvic lymph node dissection. in low-risk cases, simple total hysterectomy or cervical conization plus pelvic lymph node dissection or sentinel lymph node biopsy may be sufficient".</w:t>
            </w:r>
            <w:r w:rsidRPr="00CB2EC4">
              <w:rPr>
                <w:rFonts w:ascii="Times New Roman" w:hAnsi="Times New Roman" w:cs="Times New Roman"/>
              </w:rPr>
              <w:br/>
            </w:r>
            <w:r w:rsidRPr="00CB2EC4">
              <w:rPr>
                <w:rFonts w:ascii="Times New Roman" w:hAnsi="Times New Roman" w:cs="Times New Roman"/>
              </w:rPr>
              <w:br/>
              <w:t>thus, for IA2 stage patients not desiring fertility preservation, the Level I recommended treatment is radical type B hysterectomy with pelvic lymph node dissection. Radiotherapy (e.g., external beam radiotherapy + vaginal brachytherapy) serves as an adjunctive option, but surgery remains the primary recommendation.</w:t>
            </w:r>
          </w:p>
        </w:tc>
        <w:tc>
          <w:tcPr>
            <w:tcW w:w="1152" w:type="dxa"/>
            <w:vAlign w:val="center"/>
          </w:tcPr>
          <w:p w14:paraId="56AD45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0544F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886A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5BDA17" w14:textId="77777777">
        <w:tc>
          <w:tcPr>
            <w:tcW w:w="2160" w:type="dxa"/>
            <w:vAlign w:val="center"/>
          </w:tcPr>
          <w:p w14:paraId="631438E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9D8750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patient does not wish to preserve fertility and is staged as IA2, the </w:t>
            </w:r>
            <w:r w:rsidRPr="00CB2EC4">
              <w:rPr>
                <w:rFonts w:ascii="Times New Roman" w:hAnsi="Times New Roman" w:cs="Times New Roman"/>
              </w:rPr>
              <w:lastRenderedPageBreak/>
              <w:t>following treatment measures should be taken:</w:t>
            </w:r>
            <w:r w:rsidRPr="00CB2EC4">
              <w:rPr>
                <w:rFonts w:ascii="Times New Roman" w:hAnsi="Times New Roman" w:cs="Times New Roman"/>
              </w:rPr>
              <w:br/>
            </w:r>
            <w:r w:rsidRPr="00CB2EC4">
              <w:rPr>
                <w:rFonts w:ascii="Times New Roman" w:hAnsi="Times New Roman" w:cs="Times New Roman"/>
              </w:rPr>
              <w:br/>
              <w:t>Treatment measures: Radical hysterectomy (Type III) plus pelvic lymphadenectomy.</w:t>
            </w:r>
            <w:r w:rsidRPr="00CB2EC4">
              <w:rPr>
                <w:rFonts w:ascii="Times New Roman" w:hAnsi="Times New Roman" w:cs="Times New Roman"/>
              </w:rPr>
              <w:br/>
              <w:t>- IA2 stage patients should undergo radical hysterectomy combined with pelvic lymphadenectomy (including the radical extent of the surgery and management of complications).</w:t>
            </w:r>
          </w:p>
        </w:tc>
        <w:tc>
          <w:tcPr>
            <w:tcW w:w="1152" w:type="dxa"/>
            <w:vAlign w:val="center"/>
          </w:tcPr>
          <w:p w14:paraId="200F39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32B61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34F9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2C03F39" w14:textId="77777777">
        <w:tc>
          <w:tcPr>
            <w:tcW w:w="10656" w:type="dxa"/>
            <w:gridSpan w:val="5"/>
            <w:tcBorders>
              <w:bottom w:val="single" w:sz="6" w:space="0" w:color="auto"/>
            </w:tcBorders>
            <w:vAlign w:val="center"/>
          </w:tcPr>
          <w:p w14:paraId="1FCA6638" w14:textId="77777777" w:rsidR="00922249" w:rsidRPr="00CB2EC4" w:rsidRDefault="003011D5">
            <w:pPr>
              <w:rPr>
                <w:rFonts w:ascii="Times New Roman" w:hAnsi="Times New Roman" w:cs="Times New Roman"/>
              </w:rPr>
            </w:pPr>
            <w:r w:rsidRPr="00CB2EC4">
              <w:rPr>
                <w:rFonts w:ascii="Times New Roman" w:hAnsi="Times New Roman" w:cs="Times New Roman"/>
                <w:b/>
              </w:rPr>
              <w:t>Question 54: In cervical cancer treatment, if the patient does not wish to preserve fertility, and the stage is ⅠB1, ⅡA1, or IB2, what treatment measures should be taken?</w:t>
            </w:r>
          </w:p>
        </w:tc>
      </w:tr>
      <w:tr w:rsidR="00922249" w:rsidRPr="00CB2EC4" w14:paraId="39E5CE31" w14:textId="77777777">
        <w:tc>
          <w:tcPr>
            <w:tcW w:w="2160" w:type="dxa"/>
            <w:vAlign w:val="center"/>
          </w:tcPr>
          <w:p w14:paraId="14462F1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38A81B1"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and are staged as IB1, IIA1, or IB2, the recommended treatment measures are:</w:t>
            </w:r>
            <w:r w:rsidRPr="00CB2EC4">
              <w:rPr>
                <w:rFonts w:ascii="Times New Roman" w:hAnsi="Times New Roman" w:cs="Times New Roman"/>
              </w:rPr>
              <w:br/>
            </w:r>
            <w:r w:rsidRPr="00CB2EC4">
              <w:rPr>
                <w:rFonts w:ascii="Times New Roman" w:hAnsi="Times New Roman" w:cs="Times New Roman"/>
              </w:rPr>
              <w:br/>
              <w:t>- C-type radical hysterectomy plus pelvic lymphadenectomy or radiotherapy;</w:t>
            </w:r>
            <w:r w:rsidRPr="00CB2EC4">
              <w:rPr>
                <w:rFonts w:ascii="Times New Roman" w:hAnsi="Times New Roman" w:cs="Times New Roman"/>
              </w:rPr>
              <w:br/>
              <w:t>- for low-risk IB1 patients (tumor diameter &lt;2 cm, stromal invasion &lt;50%, no lymph node metastasis), B-type radical hysterectomy may also be considered.</w:t>
            </w:r>
            <w:r w:rsidRPr="00CB2EC4">
              <w:rPr>
                <w:rFonts w:ascii="Times New Roman" w:hAnsi="Times New Roman" w:cs="Times New Roman"/>
              </w:rPr>
              <w:br/>
            </w:r>
            <w:r w:rsidRPr="00CB2EC4">
              <w:rPr>
                <w:rFonts w:ascii="Times New Roman" w:hAnsi="Times New Roman" w:cs="Times New Roman"/>
              </w:rPr>
              <w:br/>
              <w:t>- Basis:</w:t>
            </w:r>
            <w:r w:rsidRPr="00CB2EC4">
              <w:rPr>
                <w:rFonts w:ascii="Times New Roman" w:hAnsi="Times New Roman" w:cs="Times New Roman"/>
              </w:rPr>
              <w:br/>
              <w:t xml:space="preserve">  - In the document fragment with similarity 0.431 (range 18-20), the FIGO 2018 guidelines state: for IB1 stage without fertility preservation, C-type radical hysterectomy + pelvic lymphadenectomy (nerve-sparing) or B-type radical hysterectomy + pelvic lymphadenectomy (for low-risk cases) or radiotherapy is recommended; for IB2 and IIA1 stages, C-type radical hysterectomy + pelvic lymphadenectomy or radiotherapy is recommended.</w:t>
            </w:r>
            <w:r w:rsidRPr="00CB2EC4">
              <w:rPr>
                <w:rFonts w:ascii="Times New Roman" w:hAnsi="Times New Roman" w:cs="Times New Roman"/>
              </w:rPr>
              <w:br/>
              <w:t xml:space="preserve">  - In Table 4 of the document fragment with similarity 0.494 (range 20-22), FIGO guidelines recommend C-type radical hysterectomy + pelvic lymphadenectomy </w:t>
            </w:r>
            <w:r w:rsidRPr="00CB2EC4">
              <w:rPr>
                <w:rFonts w:ascii="Times New Roman" w:hAnsi="Times New Roman" w:cs="Times New Roman"/>
              </w:rPr>
              <w:lastRenderedPageBreak/>
              <w:t>or radiotherapy for IB1, IB2, and IIA1 stages.</w:t>
            </w:r>
            <w:r w:rsidRPr="00CB2EC4">
              <w:rPr>
                <w:rFonts w:ascii="Times New Roman" w:hAnsi="Times New Roman" w:cs="Times New Roman"/>
              </w:rPr>
              <w:br/>
              <w:t xml:space="preserve">  - In the document fragment with similarity 0.558 (range 33-35), IB1, IB2, and IIA1 stages are level I recommended for C-type hysterectomy + pelvic lymphadenectomy + radical radiotherapy ± platinum-based concurrent chemotherapy, but the document emphasizes that surgery and radiotherapy have equivalent efficacy, with surgery preferred for younger patients.</w:t>
            </w:r>
            <w:r w:rsidRPr="00CB2EC4">
              <w:rPr>
                <w:rFonts w:ascii="Times New Roman" w:hAnsi="Times New Roman" w:cs="Times New Roman"/>
              </w:rPr>
              <w:br/>
            </w:r>
            <w:r w:rsidRPr="00CB2EC4">
              <w:rPr>
                <w:rFonts w:ascii="Times New Roman" w:hAnsi="Times New Roman" w:cs="Times New Roman"/>
              </w:rPr>
              <w:br/>
              <w:t>- Additional note: C-type radical hysterectomy (standard radical procedure) involves removal of a wider range of parametrial tissue and the upper vaginal segment (1/4–1/3); radiotherapy serves as an alternative, especially for patients with surgical contraindications; low-risk IB1 patients may choose B-type surgery to reduce complications.</w:t>
            </w:r>
          </w:p>
        </w:tc>
        <w:tc>
          <w:tcPr>
            <w:tcW w:w="1152" w:type="dxa"/>
            <w:vAlign w:val="center"/>
          </w:tcPr>
          <w:p w14:paraId="539E3D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8A7DF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2BC9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BF8150" w14:textId="77777777">
        <w:tc>
          <w:tcPr>
            <w:tcW w:w="2160" w:type="dxa"/>
            <w:vAlign w:val="center"/>
          </w:tcPr>
          <w:p w14:paraId="4023F26F"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E1874DA"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for patients who do not wish to preserve fertility and are staged as IB1, IIA1, or IB2, the recommended treatment is type C radical hysterectomy plus pelvic lymphadenectomy.</w:t>
            </w:r>
            <w:r w:rsidRPr="00CB2EC4">
              <w:rPr>
                <w:rFonts w:ascii="Times New Roman" w:hAnsi="Times New Roman" w:cs="Times New Roman"/>
              </w:rPr>
              <w:br/>
            </w:r>
            <w:r w:rsidRPr="00CB2EC4">
              <w:rPr>
                <w:rFonts w:ascii="Times New Roman" w:hAnsi="Times New Roman" w:cs="Times New Roman"/>
              </w:rPr>
              <w:br/>
              <w:t xml:space="preserve">- Basis:  </w:t>
            </w:r>
            <w:r w:rsidRPr="00CB2EC4">
              <w:rPr>
                <w:rFonts w:ascii="Times New Roman" w:hAnsi="Times New Roman" w:cs="Times New Roman"/>
              </w:rPr>
              <w:br/>
              <w:t xml:space="preserve">  - Document fragment 16 (block 21, title "Cervical Cancer Staging and Management Standards"), Table 4: FIGO 2018 recommends type C radical hysterectomy + pelvic lymphadenectomy or radiotherapy for IB1; similar recommendations apply to IIA1 and IB2 (IB2 is categorized under IB subdivision in the table).  </w:t>
            </w:r>
            <w:r w:rsidRPr="00CB2EC4">
              <w:rPr>
                <w:rFonts w:ascii="Times New Roman" w:hAnsi="Times New Roman" w:cs="Times New Roman"/>
              </w:rPr>
              <w:br/>
              <w:t xml:space="preserve">  - Document fragment 11 (block 11, title "Surgical Treatment for Early Cervical Cancer") explicitly states: IB1, IB2, and IIA1 stages prefer type C radical hysterectomy and pelvic lymphadenectomy, which </w:t>
            </w:r>
            <w:r w:rsidRPr="00CB2EC4">
              <w:rPr>
                <w:rFonts w:ascii="Times New Roman" w:hAnsi="Times New Roman" w:cs="Times New Roman"/>
              </w:rPr>
              <w:lastRenderedPageBreak/>
              <w:t xml:space="preserve">can be performed via open or minimally invasive approach.  </w:t>
            </w:r>
            <w:r w:rsidRPr="00CB2EC4">
              <w:rPr>
                <w:rFonts w:ascii="Times New Roman" w:hAnsi="Times New Roman" w:cs="Times New Roman"/>
              </w:rPr>
              <w:br/>
              <w:t xml:space="preserve">  - Document fragment 3 (block 22, title "Staging Treatment Plans for Cervical Cancer") further confirms: for IB1 without fertility preservation, type C radical hysterectomy + pelvic lymphadenectomy is recommended; the same applies to IB2 and IIA1.  </w:t>
            </w:r>
            <w:r w:rsidRPr="00CB2EC4">
              <w:rPr>
                <w:rFonts w:ascii="Times New Roman" w:hAnsi="Times New Roman" w:cs="Times New Roman"/>
              </w:rPr>
              <w:br/>
              <w:t xml:space="preserve">  - Document fragment 5 (block 490, title "Staging and Treatment Principles of Cervical Cancer") emphasizes that for young patients with IB and IIA stages, surgery is the primary treatment, and type C surgery is the standard procedure.  </w:t>
            </w:r>
            <w:r w:rsidRPr="00CB2EC4">
              <w:rPr>
                <w:rFonts w:ascii="Times New Roman" w:hAnsi="Times New Roman" w:cs="Times New Roman"/>
              </w:rPr>
              <w:br/>
              <w:t xml:space="preserve">  In summary, type C radical hysterectomy plus pelvic lymphadenectomy is the standard regimen, effectively controlling local lesions and lymph node metastasis.</w:t>
            </w:r>
          </w:p>
        </w:tc>
        <w:tc>
          <w:tcPr>
            <w:tcW w:w="1152" w:type="dxa"/>
            <w:vAlign w:val="center"/>
          </w:tcPr>
          <w:p w14:paraId="4B4791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A8D8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8372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87B244B" w14:textId="77777777">
        <w:tc>
          <w:tcPr>
            <w:tcW w:w="2160" w:type="dxa"/>
            <w:vAlign w:val="center"/>
          </w:tcPr>
          <w:p w14:paraId="4DD09B8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6EC409F"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patient does not wish to preserve fertility and is staged as IB1, IIA1, or IB2, the recommended treatment measures are:</w:t>
            </w:r>
            <w:r w:rsidRPr="00CB2EC4">
              <w:rPr>
                <w:rFonts w:ascii="Times New Roman" w:hAnsi="Times New Roman" w:cs="Times New Roman"/>
              </w:rPr>
              <w:br/>
            </w:r>
            <w:r w:rsidRPr="00CB2EC4">
              <w:rPr>
                <w:rFonts w:ascii="Times New Roman" w:hAnsi="Times New Roman" w:cs="Times New Roman"/>
              </w:rPr>
              <w:br/>
              <w:t>radical type C hysterectomy plus pelvic lymph node dissection, with possible adjuvant radiotherapy or platinum-based concurrent chemoradiotherapy (depending on risk factors).</w:t>
            </w:r>
            <w:r w:rsidRPr="00CB2EC4">
              <w:rPr>
                <w:rFonts w:ascii="Times New Roman" w:hAnsi="Times New Roman" w:cs="Times New Roman"/>
              </w:rPr>
              <w:br/>
            </w:r>
            <w:r w:rsidRPr="00CB2EC4">
              <w:rPr>
                <w:rFonts w:ascii="Times New Roman" w:hAnsi="Times New Roman" w:cs="Times New Roman"/>
              </w:rPr>
              <w:br/>
              <w:t>key evidence:</w:t>
            </w:r>
            <w:r w:rsidRPr="00CB2EC4">
              <w:rPr>
                <w:rFonts w:ascii="Times New Roman" w:hAnsi="Times New Roman" w:cs="Times New Roman"/>
              </w:rPr>
              <w:br/>
              <w:t>- document fragment 1 states that the level I recommendation for IB1, IB2, and IIA1 stages is "type C hysterectomy + pelvic lymph node dissection + radical radiotherapy (external beam radiotherapy + vaginal brachytherapy) ± platinum-based concurrent chemotherapy".</w:t>
            </w:r>
            <w:r w:rsidRPr="00CB2EC4">
              <w:rPr>
                <w:rFonts w:ascii="Times New Roman" w:hAnsi="Times New Roman" w:cs="Times New Roman"/>
              </w:rPr>
              <w:br/>
              <w:t xml:space="preserve">- document fragment 4 describes that type C hysterectomy (Q-M classification type C) is </w:t>
            </w:r>
            <w:r w:rsidRPr="00CB2EC4">
              <w:rPr>
                <w:rFonts w:ascii="Times New Roman" w:hAnsi="Times New Roman" w:cs="Times New Roman"/>
              </w:rPr>
              <w:lastRenderedPageBreak/>
              <w:t>applicable to IB1, IB2, and selected IIA stages, with the surgical scope including complete removal of the uterus, cervix, and pelvic lymph nodes.</w:t>
            </w:r>
            <w:r w:rsidRPr="00CB2EC4">
              <w:rPr>
                <w:rFonts w:ascii="Times New Roman" w:hAnsi="Times New Roman" w:cs="Times New Roman"/>
              </w:rPr>
              <w:br/>
              <w:t>- document fragment 9 specifies that the FIGO 2018 recommendation for IB1, IB2, and IIA1 is "type C radical hysterectomy + pelvic lymph node dissection"; for low-risk IB1 (e.g., tumor &lt;2cm), type B hysterectomy may be considered, but type C is the standard procedure (fragments 4 and 10).</w:t>
            </w:r>
            <w:r w:rsidRPr="00CB2EC4">
              <w:rPr>
                <w:rFonts w:ascii="Times New Roman" w:hAnsi="Times New Roman" w:cs="Times New Roman"/>
              </w:rPr>
              <w:br/>
              <w:t>- document fragment 10 adds that for IB2/IIA1 stages, surgical advantages include accurate staging and individualized treatment, with type C hysterectomy as the standard.</w:t>
            </w:r>
            <w:r w:rsidRPr="00CB2EC4">
              <w:rPr>
                <w:rFonts w:ascii="Times New Roman" w:hAnsi="Times New Roman" w:cs="Times New Roman"/>
              </w:rPr>
              <w:br/>
            </w:r>
            <w:r w:rsidRPr="00CB2EC4">
              <w:rPr>
                <w:rFonts w:ascii="Times New Roman" w:hAnsi="Times New Roman" w:cs="Times New Roman"/>
              </w:rPr>
              <w:br/>
              <w:t>note: radiotherapy may be used as an alternative (fragment 10), but surgery is preferred; the addition of chemotherapy and radiotherapy depends on high-risk factors such as tumor size or lymph node status (fragments 1, 7, 16). not all details are covered in the documents (e.g., specific differences for IB2), but the core recommendations are consistent.</w:t>
            </w:r>
          </w:p>
        </w:tc>
        <w:tc>
          <w:tcPr>
            <w:tcW w:w="1152" w:type="dxa"/>
            <w:vAlign w:val="center"/>
          </w:tcPr>
          <w:p w14:paraId="4077F5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50831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65CFD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A72415D" w14:textId="77777777">
        <w:tc>
          <w:tcPr>
            <w:tcW w:w="2160" w:type="dxa"/>
            <w:vAlign w:val="center"/>
          </w:tcPr>
          <w:p w14:paraId="172C0F11"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04AAD09" w14:textId="77777777" w:rsidR="00922249" w:rsidRPr="00CB2EC4" w:rsidRDefault="003011D5">
            <w:pPr>
              <w:rPr>
                <w:rFonts w:ascii="Times New Roman" w:hAnsi="Times New Roman" w:cs="Times New Roman"/>
              </w:rPr>
            </w:pPr>
            <w:r w:rsidRPr="00CB2EC4">
              <w:rPr>
                <w:rFonts w:ascii="Times New Roman" w:hAnsi="Times New Roman" w:cs="Times New Roman"/>
              </w:rPr>
              <w:t>IB1 stage, IB2 stage, IIA1 stage</w:t>
            </w:r>
            <w:r w:rsidRPr="00CB2EC4">
              <w:rPr>
                <w:rFonts w:ascii="Times New Roman" w:hAnsi="Times New Roman" w:cs="Times New Roman"/>
              </w:rPr>
              <w:br/>
            </w:r>
            <w:r w:rsidRPr="00CB2EC4">
              <w:rPr>
                <w:rFonts w:ascii="Times New Roman" w:hAnsi="Times New Roman" w:cs="Times New Roman"/>
              </w:rPr>
              <w:br/>
              <w:t xml:space="preserve">Level I recommendation:  </w:t>
            </w:r>
            <w:r w:rsidRPr="00CB2EC4">
              <w:rPr>
                <w:rFonts w:ascii="Times New Roman" w:hAnsi="Times New Roman" w:cs="Times New Roman"/>
              </w:rPr>
              <w:br/>
              <w:t xml:space="preserve">- Radical hysterectomy type C + pelvic lymphadenectomy (FIGO 2018 &amp; NCCN 2019)  </w:t>
            </w:r>
            <w:r w:rsidRPr="00CB2EC4">
              <w:rPr>
                <w:rFonts w:ascii="Times New Roman" w:hAnsi="Times New Roman" w:cs="Times New Roman"/>
              </w:rPr>
              <w:br/>
              <w:t xml:space="preserve">Basis:  </w:t>
            </w:r>
            <w:r w:rsidRPr="00CB2EC4">
              <w:rPr>
                <w:rFonts w:ascii="Times New Roman" w:hAnsi="Times New Roman" w:cs="Times New Roman"/>
              </w:rPr>
              <w:br/>
              <w:t xml:space="preserve">  - FIGO guidelines: IB1/IIA1 stages prefer radical hysterectomy type C + pelvic lymphadenectomy (knowledge base: "IB1 stage: radical hysterectomy type C + pelvic lymphadenectomy").  </w:t>
            </w:r>
            <w:r w:rsidRPr="00CB2EC4">
              <w:rPr>
                <w:rFonts w:ascii="Times New Roman" w:hAnsi="Times New Roman" w:cs="Times New Roman"/>
              </w:rPr>
              <w:br/>
              <w:t xml:space="preserve">  - NCCN guidelines: radical hysterectomy + pelvic lymphadenectomy ± para-aortic lymph node sampling (knowledge base: "radical hysterectomy + pelvic </w:t>
            </w:r>
            <w:r w:rsidRPr="00CB2EC4">
              <w:rPr>
                <w:rFonts w:ascii="Times New Roman" w:hAnsi="Times New Roman" w:cs="Times New Roman"/>
              </w:rPr>
              <w:lastRenderedPageBreak/>
              <w:t xml:space="preserve">lymphadenectomy").  </w:t>
            </w:r>
            <w:r w:rsidRPr="00CB2EC4">
              <w:rPr>
                <w:rFonts w:ascii="Times New Roman" w:hAnsi="Times New Roman" w:cs="Times New Roman"/>
              </w:rPr>
              <w:br/>
              <w:t xml:space="preserve">Alternative of concurrent chemoradiation:  </w:t>
            </w:r>
            <w:r w:rsidRPr="00CB2EC4">
              <w:rPr>
                <w:rFonts w:ascii="Times New Roman" w:hAnsi="Times New Roman" w:cs="Times New Roman"/>
              </w:rPr>
              <w:br/>
              <w:t xml:space="preserve">  - Efficacy comparable to surgery (knowledge base: "surgery and radiotherapy have comparable efficacy in early cervical cancer"), applicable when surgical contraindications exist or resources are limited.</w:t>
            </w:r>
          </w:p>
        </w:tc>
        <w:tc>
          <w:tcPr>
            <w:tcW w:w="1152" w:type="dxa"/>
            <w:vAlign w:val="center"/>
          </w:tcPr>
          <w:p w14:paraId="1BDCEC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55817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7EB1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90A346" w14:textId="77777777">
        <w:tc>
          <w:tcPr>
            <w:tcW w:w="2160" w:type="dxa"/>
            <w:vAlign w:val="center"/>
          </w:tcPr>
          <w:p w14:paraId="6C4263A0"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9F4DEF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who do not wish to preserve fertility and have stage IB1, IIA1, or IB2 disease, the recommended treatment is radical hysterectomy type C plus pelvic lymph node dissection.  </w:t>
            </w:r>
            <w:r w:rsidRPr="00CB2EC4">
              <w:rPr>
                <w:rFonts w:ascii="Times New Roman" w:hAnsi="Times New Roman" w:cs="Times New Roman"/>
              </w:rPr>
              <w:br/>
              <w:t xml:space="preserve">  - Basis:  </w:t>
            </w:r>
            <w:r w:rsidRPr="00CB2EC4">
              <w:rPr>
                <w:rFonts w:ascii="Times New Roman" w:hAnsi="Times New Roman" w:cs="Times New Roman"/>
              </w:rPr>
              <w:br/>
              <w:t xml:space="preserve">    - Document fragment 1 (IB1, IB2, IIA1): "Level I recommendation: Type C hysterectomy + pelvic lymph node dissection".  </w:t>
            </w:r>
            <w:r w:rsidRPr="00CB2EC4">
              <w:rPr>
                <w:rFonts w:ascii="Times New Roman" w:hAnsi="Times New Roman" w:cs="Times New Roman"/>
              </w:rPr>
              <w:br/>
              <w:t xml:space="preserve">    - Document fragment 2 (FIGO IB1, IB2, IIA1): "The preferred treatment is surgery, typically including radical hysterectomy type C and pelvic lymph node dissection".  </w:t>
            </w:r>
            <w:r w:rsidRPr="00CB2EC4">
              <w:rPr>
                <w:rFonts w:ascii="Times New Roman" w:hAnsi="Times New Roman" w:cs="Times New Roman"/>
              </w:rPr>
              <w:br/>
              <w:t xml:space="preserve">    - Document fragment 10 (IB1): "Without fertility preservation: radical hysterectomy type C + pelvic lymph node dissection".  </w:t>
            </w:r>
            <w:r w:rsidRPr="00CB2EC4">
              <w:rPr>
                <w:rFonts w:ascii="Times New Roman" w:hAnsi="Times New Roman" w:cs="Times New Roman"/>
              </w:rPr>
              <w:br/>
              <w:t xml:space="preserve">    - Document fragment 16 (IB1): "FIGO 2018 without fertility preservation: radical hysterectomy type C + pelvic lymph node dissection".  </w:t>
            </w:r>
            <w:r w:rsidRPr="00CB2EC4">
              <w:rPr>
                <w:rFonts w:ascii="Times New Roman" w:hAnsi="Times New Roman" w:cs="Times New Roman"/>
              </w:rPr>
              <w:br/>
              <w:t xml:space="preserve">  - This recommendation is based on surgery being the preferred option, providing accurate pathological staging and potentially avoiding adjuvant radiotherapy; for IB2 stage, although the tumor is larger, the management is consistent with IB1 and IIA1 stages in the documents.</w:t>
            </w:r>
          </w:p>
        </w:tc>
        <w:tc>
          <w:tcPr>
            <w:tcW w:w="1152" w:type="dxa"/>
            <w:vAlign w:val="center"/>
          </w:tcPr>
          <w:p w14:paraId="521AB5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9F74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3FA4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FCE17E3" w14:textId="77777777">
        <w:tc>
          <w:tcPr>
            <w:tcW w:w="2160" w:type="dxa"/>
            <w:vAlign w:val="center"/>
          </w:tcPr>
          <w:p w14:paraId="54D4B66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F67797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for patients who do not wish to preserve fertility and are staged as IB1, </w:t>
            </w:r>
            <w:r w:rsidRPr="00CB2EC4">
              <w:rPr>
                <w:rFonts w:ascii="Times New Roman" w:hAnsi="Times New Roman" w:cs="Times New Roman"/>
              </w:rPr>
              <w:lastRenderedPageBreak/>
              <w:t>IIA1, or IB2, the recommended treatment measure is type C radical hysterectomy + pelvic lymphadenectomy.</w:t>
            </w:r>
            <w:r w:rsidRPr="00CB2EC4">
              <w:rPr>
                <w:rFonts w:ascii="Times New Roman" w:hAnsi="Times New Roman" w:cs="Times New Roman"/>
              </w:rPr>
              <w:br/>
            </w:r>
            <w:r w:rsidRPr="00CB2EC4">
              <w:rPr>
                <w:rFonts w:ascii="Times New Roman" w:hAnsi="Times New Roman" w:cs="Times New Roman"/>
              </w:rPr>
              <w:br/>
              <w:t>- Basis: Document 1 states "IB1, IB2, IIA1 stages: Level I recommendation: Type C hysterectomy + pelvic lymphadenectomy + radical radiotherapy ± chemotherapy", but Documents 2, 5, and 7 clearly indicate surgery as the first choice (Document 2: "IB1, IB2, IIA1 stages: surgery is the first choice—type C radical hysterectomy and pelvic lymphadenectomy"; Document 5: "IB1 stage without fertility preservation: type C radical hysterectomy + pelvic lymphadenectomy"; Document 7: "IB1, IIA1 stages: type C radical hysterectomy + pelvic lymphadenectomy"). Radiotherapy and chemotherapy are only used as adjuvant therapy (Level II recommendation) when high-risk postoperative factors (e.g., tumor &gt;4 cm) are present.</w:t>
            </w:r>
            <w:r w:rsidRPr="00CB2EC4">
              <w:rPr>
                <w:rFonts w:ascii="Times New Roman" w:hAnsi="Times New Roman" w:cs="Times New Roman"/>
              </w:rPr>
              <w:br/>
              <w:t>- Rationale: Type C surgery (radical extended procedure) is suitable for locally advanced stages and effectively controls the tumor; lymphadenectomy assesses metastatic risk, with 5-year survival rates exceeding 90%.</w:t>
            </w:r>
          </w:p>
        </w:tc>
        <w:tc>
          <w:tcPr>
            <w:tcW w:w="1152" w:type="dxa"/>
            <w:vAlign w:val="center"/>
          </w:tcPr>
          <w:p w14:paraId="3FACC7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6741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4F35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AD98FA" w14:textId="77777777">
        <w:tc>
          <w:tcPr>
            <w:tcW w:w="2160" w:type="dxa"/>
            <w:vAlign w:val="center"/>
          </w:tcPr>
          <w:p w14:paraId="10773317"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7EFA1BE"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and are staged as IB1, IIA1, or IB2, the recommended treatment is radical hysterectomy type C plus pelvic lymphadenectomy.</w:t>
            </w:r>
            <w:r w:rsidRPr="00CB2EC4">
              <w:rPr>
                <w:rFonts w:ascii="Times New Roman" w:hAnsi="Times New Roman" w:cs="Times New Roman"/>
              </w:rPr>
              <w:br/>
            </w:r>
            <w:r w:rsidRPr="00CB2EC4">
              <w:rPr>
                <w:rFonts w:ascii="Times New Roman" w:hAnsi="Times New Roman" w:cs="Times New Roman"/>
              </w:rPr>
              <w:br/>
              <w:t xml:space="preserve">- According to Table 4 comparing FIGO and NCCN guidelines [HyDE similarity: 0.623], both IB1 and IB2 stages recommend type C radical hysterectomy plus pelvic lymphadenectomy (type B may be optional for low-risk cases in IB1, but type C is the standard </w:t>
            </w:r>
            <w:r w:rsidRPr="00CB2EC4">
              <w:rPr>
                <w:rFonts w:ascii="Times New Roman" w:hAnsi="Times New Roman" w:cs="Times New Roman"/>
              </w:rPr>
              <w:lastRenderedPageBreak/>
              <w:t>procedure).</w:t>
            </w:r>
            <w:r w:rsidRPr="00CB2EC4">
              <w:rPr>
                <w:rFonts w:ascii="Times New Roman" w:hAnsi="Times New Roman" w:cs="Times New Roman"/>
              </w:rPr>
              <w:br/>
              <w:t>- [HyDE similarity: 0.571] For IB1, IB2, and IIA1 stages, level I recommendation is type C hysterectomy plus pelvic lymphadenectomy, possibly supplemented with radiotherapy or chemotherapy, but surgery is the preferred approach.</w:t>
            </w:r>
            <w:r w:rsidRPr="00CB2EC4">
              <w:rPr>
                <w:rFonts w:ascii="Times New Roman" w:hAnsi="Times New Roman" w:cs="Times New Roman"/>
              </w:rPr>
              <w:br/>
              <w:t>- [HyDE similarity: 0.767] For IB1, IB2, and IIA1 stages, the preferred treatment is surgery, typically including type C radical hysterectomy and pelvic lymphadenectomy.</w:t>
            </w:r>
            <w:r w:rsidRPr="00CB2EC4">
              <w:rPr>
                <w:rFonts w:ascii="Times New Roman" w:hAnsi="Times New Roman" w:cs="Times New Roman"/>
              </w:rPr>
              <w:br/>
              <w:t>- [HyDE similarity: 0.643] For FIGO IB2/IIA1 stages, the advantage of surgery is emphasized, with type C radical hysterectomy as the standard procedure.</w:t>
            </w:r>
            <w:r w:rsidRPr="00CB2EC4">
              <w:rPr>
                <w:rFonts w:ascii="Times New Roman" w:hAnsi="Times New Roman" w:cs="Times New Roman"/>
              </w:rPr>
              <w:br/>
              <w:t>- Therefore, for stages IB1, IIA1, or IB2, the preferred treatment is type C radical hysterectomy plus pelvic lymphadenectomy.</w:t>
            </w:r>
          </w:p>
        </w:tc>
        <w:tc>
          <w:tcPr>
            <w:tcW w:w="1152" w:type="dxa"/>
            <w:vAlign w:val="center"/>
          </w:tcPr>
          <w:p w14:paraId="4F1CCC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D249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52A5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4099708" w14:textId="77777777">
        <w:tc>
          <w:tcPr>
            <w:tcW w:w="2160" w:type="dxa"/>
            <w:vAlign w:val="center"/>
          </w:tcPr>
          <w:p w14:paraId="2BD2B40B"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D51E256"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and have stage IB1, IIA1, or IB2 disease, the recommended treatment is radical hysterectomy type C plus pelvic lymph node dissection.</w:t>
            </w:r>
            <w:r w:rsidRPr="00CB2EC4">
              <w:rPr>
                <w:rFonts w:ascii="Times New Roman" w:hAnsi="Times New Roman" w:cs="Times New Roman"/>
              </w:rPr>
              <w:br/>
            </w:r>
            <w:r w:rsidRPr="00CB2EC4">
              <w:rPr>
                <w:rFonts w:ascii="Times New Roman" w:hAnsi="Times New Roman" w:cs="Times New Roman"/>
              </w:rPr>
              <w:br/>
              <w:t>- Document fragment 1: "FIGO 2018 Stage IB1 without fertility preservation: Type C radical hysterectomy + pelvic lymph node dissection", "FIGO 2018 Stage IB2 without fertility preservation: Type C radical hysterectomy + pelvic lymph node dissection", "FIGO 2018 Stage IIA1 without fertility preservation: Type C radical hysterectomy + pelvic lymph node dissection".</w:t>
            </w:r>
            <w:r w:rsidRPr="00CB2EC4">
              <w:rPr>
                <w:rFonts w:ascii="Times New Roman" w:hAnsi="Times New Roman" w:cs="Times New Roman"/>
              </w:rPr>
              <w:br/>
              <w:t>- Document fragment 3: "FIGO Stage ⅠB1 standard treatment modality: Type C radical hysterectomy".</w:t>
            </w:r>
            <w:r w:rsidRPr="00CB2EC4">
              <w:rPr>
                <w:rFonts w:ascii="Times New Roman" w:hAnsi="Times New Roman" w:cs="Times New Roman"/>
              </w:rPr>
              <w:br/>
              <w:t xml:space="preserve">- Document fragment 13: "Indications: Stage IB1, IB2, and selected Stage IIA cervical cancer. Surgical </w:t>
            </w:r>
            <w:r w:rsidRPr="00CB2EC4">
              <w:rPr>
                <w:rFonts w:ascii="Times New Roman" w:hAnsi="Times New Roman" w:cs="Times New Roman"/>
              </w:rPr>
              <w:lastRenderedPageBreak/>
              <w:t>scope: Radical hysterectomy (Type C)".</w:t>
            </w:r>
            <w:r w:rsidRPr="00CB2EC4">
              <w:rPr>
                <w:rFonts w:ascii="Times New Roman" w:hAnsi="Times New Roman" w:cs="Times New Roman"/>
              </w:rPr>
              <w:br/>
              <w:t>- Document fragment 5: "Stage IB1, IB2, IIA1 Grade I recommendation: Type C hysterectomy c,h + pelvic lymph node dissection".</w:t>
            </w:r>
            <w:r w:rsidRPr="00CB2EC4">
              <w:rPr>
                <w:rFonts w:ascii="Times New Roman" w:hAnsi="Times New Roman" w:cs="Times New Roman"/>
              </w:rPr>
              <w:br/>
              <w:t>- Therefore, the treatment measure is radical hysterectomy type C plus pelvic lymph node dissection.</w:t>
            </w:r>
          </w:p>
        </w:tc>
        <w:tc>
          <w:tcPr>
            <w:tcW w:w="1152" w:type="dxa"/>
            <w:vAlign w:val="center"/>
          </w:tcPr>
          <w:p w14:paraId="5964DD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D7F28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319A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8AEB7C" w14:textId="77777777">
        <w:tc>
          <w:tcPr>
            <w:tcW w:w="2160" w:type="dxa"/>
            <w:vAlign w:val="center"/>
          </w:tcPr>
          <w:p w14:paraId="1EF3CFFF"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A7F250F"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patients who do not wish to preserve fertility and are staged as IB1, IIA1, or IB2, the recommended treatment measures are:</w:t>
            </w:r>
            <w:r w:rsidRPr="00CB2EC4">
              <w:rPr>
                <w:rFonts w:ascii="Times New Roman" w:hAnsi="Times New Roman" w:cs="Times New Roman"/>
              </w:rPr>
              <w:br/>
            </w:r>
            <w:r w:rsidRPr="00CB2EC4">
              <w:rPr>
                <w:rFonts w:ascii="Times New Roman" w:hAnsi="Times New Roman" w:cs="Times New Roman"/>
              </w:rPr>
              <w:br/>
              <w:t>Type C radical hysterectomy + pelvic lymphadenectomy</w:t>
            </w:r>
            <w:r w:rsidRPr="00CB2EC4">
              <w:rPr>
                <w:rFonts w:ascii="Times New Roman" w:hAnsi="Times New Roman" w:cs="Times New Roman"/>
              </w:rPr>
              <w:br/>
            </w:r>
            <w:r w:rsidRPr="00CB2EC4">
              <w:rPr>
                <w:rFonts w:ascii="Times New Roman" w:hAnsi="Times New Roman" w:cs="Times New Roman"/>
              </w:rPr>
              <w:br/>
              <w:t>- Basis:</w:t>
            </w:r>
            <w:r w:rsidRPr="00CB2EC4">
              <w:rPr>
                <w:rFonts w:ascii="Times New Roman" w:hAnsi="Times New Roman" w:cs="Times New Roman"/>
              </w:rPr>
              <w:br/>
              <w:t xml:space="preserve">  - The preferred treatment for FIGO stages IB1, IB2, and IIA1 is surgery, typically including Type C radical hysterectomy and pelvic lymphadenectomy.</w:t>
            </w:r>
            <w:r w:rsidRPr="00CB2EC4">
              <w:rPr>
                <w:rFonts w:ascii="Times New Roman" w:hAnsi="Times New Roman" w:cs="Times New Roman"/>
              </w:rPr>
              <w:br/>
              <w:t xml:space="preserve">  - FIGO 2018 IB1 (without fertility preservation): Type C radical hysterectomy + pelvic lymphadenectomy</w:t>
            </w:r>
            <w:r w:rsidRPr="00CB2EC4">
              <w:rPr>
                <w:rFonts w:ascii="Times New Roman" w:hAnsi="Times New Roman" w:cs="Times New Roman"/>
              </w:rPr>
              <w:br/>
              <w:t xml:space="preserve">  - FIGO 2018 IB2, IIA1 (without fertility preservation): Type C radical hysterectomy + pelvic lymphadenectomy</w:t>
            </w:r>
            <w:r w:rsidRPr="00CB2EC4">
              <w:rPr>
                <w:rFonts w:ascii="Times New Roman" w:hAnsi="Times New Roman" w:cs="Times New Roman"/>
              </w:rPr>
              <w:br/>
              <w:t xml:space="preserve">  - Type C radical hysterectomy is defined as resection of the cardinal ligament and uterosacral ligament, applicable to stage IB and above cases.</w:t>
            </w:r>
            <w:r w:rsidRPr="00CB2EC4">
              <w:rPr>
                <w:rFonts w:ascii="Times New Roman" w:hAnsi="Times New Roman" w:cs="Times New Roman"/>
              </w:rPr>
              <w:br/>
              <w:t xml:space="preserve">  - The surgery can be performed via laparotomy, laparoscopy, or robotic-assisted methods.</w:t>
            </w:r>
            <w:r w:rsidRPr="00CB2EC4">
              <w:rPr>
                <w:rFonts w:ascii="Times New Roman" w:hAnsi="Times New Roman" w:cs="Times New Roman"/>
              </w:rPr>
              <w:br/>
            </w:r>
            <w:r w:rsidRPr="00CB2EC4">
              <w:rPr>
                <w:rFonts w:ascii="Times New Roman" w:hAnsi="Times New Roman" w:cs="Times New Roman"/>
              </w:rPr>
              <w:br/>
              <w:t>→ This regimen is the standard treatment recommendation.</w:t>
            </w:r>
          </w:p>
        </w:tc>
        <w:tc>
          <w:tcPr>
            <w:tcW w:w="1152" w:type="dxa"/>
            <w:vAlign w:val="center"/>
          </w:tcPr>
          <w:p w14:paraId="4ABD65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EBAA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E7AA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2E39D63" w14:textId="77777777">
        <w:tc>
          <w:tcPr>
            <w:tcW w:w="2160" w:type="dxa"/>
            <w:vAlign w:val="center"/>
          </w:tcPr>
          <w:p w14:paraId="0F78E8F0"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C8D007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who do not wish to </w:t>
            </w:r>
            <w:r w:rsidRPr="00CB2EC4">
              <w:rPr>
                <w:rFonts w:ascii="Times New Roman" w:hAnsi="Times New Roman" w:cs="Times New Roman"/>
              </w:rPr>
              <w:lastRenderedPageBreak/>
              <w:t>preserve fertility and are staged as IB1, IIA1, or IB2, the recommended treatment measures are:</w:t>
            </w:r>
            <w:r w:rsidRPr="00CB2EC4">
              <w:rPr>
                <w:rFonts w:ascii="Times New Roman" w:hAnsi="Times New Roman" w:cs="Times New Roman"/>
              </w:rPr>
              <w:br/>
            </w:r>
            <w:r w:rsidRPr="00CB2EC4">
              <w:rPr>
                <w:rFonts w:ascii="Times New Roman" w:hAnsi="Times New Roman" w:cs="Times New Roman"/>
              </w:rPr>
              <w:br/>
              <w:t xml:space="preserve">- radical hysterectomy type C + pelvic lymphadenectomy  </w:t>
            </w:r>
            <w:r w:rsidRPr="00CB2EC4">
              <w:rPr>
                <w:rFonts w:ascii="Times New Roman" w:hAnsi="Times New Roman" w:cs="Times New Roman"/>
              </w:rPr>
              <w:br/>
              <w:t xml:space="preserve">- may be combined with radiotherapy (external beam radiotherapy + vaginal brachytherapy) ± platinum-based concurrent chemotherapy  </w:t>
            </w:r>
            <w:r w:rsidRPr="00CB2EC4">
              <w:rPr>
                <w:rFonts w:ascii="Times New Roman" w:hAnsi="Times New Roman" w:cs="Times New Roman"/>
              </w:rPr>
              <w:br/>
              <w:t>- especially for cases with high-risk factors such as larger tumor size</w:t>
            </w:r>
            <w:r w:rsidRPr="00CB2EC4">
              <w:rPr>
                <w:rFonts w:ascii="Times New Roman" w:hAnsi="Times New Roman" w:cs="Times New Roman"/>
              </w:rPr>
              <w:br/>
            </w:r>
            <w:r w:rsidRPr="00CB2EC4">
              <w:rPr>
                <w:rFonts w:ascii="Times New Roman" w:hAnsi="Times New Roman" w:cs="Times New Roman"/>
              </w:rPr>
              <w:br/>
              <w:t xml:space="preserve">based on:  </w:t>
            </w:r>
            <w:r w:rsidRPr="00CB2EC4">
              <w:rPr>
                <w:rFonts w:ascii="Times New Roman" w:hAnsi="Times New Roman" w:cs="Times New Roman"/>
              </w:rPr>
              <w:br/>
              <w:t xml:space="preserve">- [document fragment 1]: I-level recommendation for IB1, IB2, IIA1 is type C radical hysterectomy (standard radical hysterectomy) + pelvic lymph node dissection + radical radiotherapy (external beam radiotherapy + vaginal brachytherapy) ± platinum-based concurrent chemotherapy.  </w:t>
            </w:r>
            <w:r w:rsidRPr="00CB2EC4">
              <w:rPr>
                <w:rFonts w:ascii="Times New Roman" w:hAnsi="Times New Roman" w:cs="Times New Roman"/>
              </w:rPr>
              <w:br/>
              <w:t xml:space="preserve">- [document fragment 4]: the preferred treatment for IB1, IB2, IIA1 is surgery, including type C radical hysterectomy and pelvic lymph node dissection (can be performed via open or minimally invasive approach).  </w:t>
            </w:r>
            <w:r w:rsidRPr="00CB2EC4">
              <w:rPr>
                <w:rFonts w:ascii="Times New Roman" w:hAnsi="Times New Roman" w:cs="Times New Roman"/>
              </w:rPr>
              <w:br/>
              <w:t xml:space="preserve">- [document fragment 18]: FIGO guideline comparison table supports the above regimen.  </w:t>
            </w:r>
            <w:r w:rsidRPr="00CB2EC4">
              <w:rPr>
                <w:rFonts w:ascii="Times New Roman" w:hAnsi="Times New Roman" w:cs="Times New Roman"/>
              </w:rPr>
              <w:br/>
            </w:r>
            <w:r w:rsidRPr="00CB2EC4">
              <w:rPr>
                <w:rFonts w:ascii="Times New Roman" w:hAnsi="Times New Roman" w:cs="Times New Roman"/>
              </w:rPr>
              <w:br/>
              <w:t>thus, for IB1, IIA1, or IB2 stage patients not desiring fertility preservation, the I-level recommended treatment is type C radical hysterectomy + pelvic lymph node dissection, with possible addition of radiotherapy and/or concurrent chemotherapy.</w:t>
            </w:r>
          </w:p>
        </w:tc>
        <w:tc>
          <w:tcPr>
            <w:tcW w:w="1152" w:type="dxa"/>
            <w:vAlign w:val="center"/>
          </w:tcPr>
          <w:p w14:paraId="38571D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18B2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7A6E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996FEE" w14:textId="77777777">
        <w:tc>
          <w:tcPr>
            <w:tcW w:w="2160" w:type="dxa"/>
            <w:vAlign w:val="center"/>
          </w:tcPr>
          <w:p w14:paraId="411996AD"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DB6336B"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and have stage IB1, IIA1, or IB2 disease, the recommended treatment is:</w:t>
            </w:r>
            <w:r w:rsidRPr="00CB2EC4">
              <w:rPr>
                <w:rFonts w:ascii="Times New Roman" w:hAnsi="Times New Roman" w:cs="Times New Roman"/>
              </w:rPr>
              <w:br/>
            </w:r>
            <w:r w:rsidRPr="00CB2EC4">
              <w:rPr>
                <w:rFonts w:ascii="Times New Roman" w:hAnsi="Times New Roman" w:cs="Times New Roman"/>
              </w:rPr>
              <w:lastRenderedPageBreak/>
              <w:br/>
              <w:t>- **Level I recommendation**: Radical hysterectomy (type C) plus pelvic lymphadenectomy. This involves extensive removal of the uterus, parametrial tissues, upper vagina, and pelvic lymph nodes. Adjuvant radical radiotherapy (external beam radiotherapy + vaginal brachytherapy) ± platinum-based concurrent chemotherapy may be added, especially for high-risk features such as large tumor size or positive lymphovascular space invasion (LVSI), but surgery remains the core treatment.</w:t>
            </w:r>
            <w:r w:rsidRPr="00CB2EC4">
              <w:rPr>
                <w:rFonts w:ascii="Times New Roman" w:hAnsi="Times New Roman" w:cs="Times New Roman"/>
              </w:rPr>
              <w:br/>
              <w:t>- **Level II recommendation**: Para-aortic lymphadenectomy.</w:t>
            </w:r>
            <w:r w:rsidRPr="00CB2EC4">
              <w:rPr>
                <w:rFonts w:ascii="Times New Roman" w:hAnsi="Times New Roman" w:cs="Times New Roman"/>
              </w:rPr>
              <w:br/>
            </w:r>
            <w:r w:rsidRPr="00CB2EC4">
              <w:rPr>
                <w:rFonts w:ascii="Times New Roman" w:hAnsi="Times New Roman" w:cs="Times New Roman"/>
              </w:rPr>
              <w:br/>
              <w:t xml:space="preserve">Evidence:  </w:t>
            </w:r>
            <w:r w:rsidRPr="00CB2EC4">
              <w:rPr>
                <w:rFonts w:ascii="Times New Roman" w:hAnsi="Times New Roman" w:cs="Times New Roman"/>
              </w:rPr>
              <w:br/>
              <w:t xml:space="preserve">- "For stage IB1, IB2, IIA1: Level I recommendation—Type C hysterectomy + pelvic lymph node dissection + adjuvant radical radiotherapy (external beam radiotherapy + vaginal brachytherapy) ± platinum-based concurrent chemotherapy" (similarity 0.558 fragment).  </w:t>
            </w:r>
            <w:r w:rsidRPr="00CB2EC4">
              <w:rPr>
                <w:rFonts w:ascii="Times New Roman" w:hAnsi="Times New Roman" w:cs="Times New Roman"/>
              </w:rPr>
              <w:br/>
              <w:t>- "Stage IB1, FIGO 2018, no fertility preservation: Type C radical hysterectomy + pelvic lymph node dissection" (similarity 0.494 fragment).</w:t>
            </w:r>
          </w:p>
        </w:tc>
        <w:tc>
          <w:tcPr>
            <w:tcW w:w="1152" w:type="dxa"/>
            <w:vAlign w:val="center"/>
          </w:tcPr>
          <w:p w14:paraId="21DF53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F9183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C6311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4AC980" w14:textId="77777777">
        <w:tc>
          <w:tcPr>
            <w:tcW w:w="2160" w:type="dxa"/>
            <w:vAlign w:val="center"/>
          </w:tcPr>
          <w:p w14:paraId="1C67F9B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BE2DB48" w14:textId="77777777" w:rsidR="00922249" w:rsidRPr="00CB2EC4" w:rsidRDefault="003011D5">
            <w:pPr>
              <w:rPr>
                <w:rFonts w:ascii="Times New Roman" w:hAnsi="Times New Roman" w:cs="Times New Roman"/>
              </w:rPr>
            </w:pPr>
            <w:r w:rsidRPr="00CB2EC4">
              <w:rPr>
                <w:rFonts w:ascii="Times New Roman" w:hAnsi="Times New Roman" w:cs="Times New Roman"/>
              </w:rPr>
              <w:t>treatment measures for IB1, IIA1, or IB2 stage</w:t>
            </w:r>
            <w:r w:rsidRPr="00CB2EC4">
              <w:rPr>
                <w:rFonts w:ascii="Times New Roman" w:hAnsi="Times New Roman" w:cs="Times New Roman"/>
              </w:rPr>
              <w:br/>
            </w:r>
            <w:r w:rsidRPr="00CB2EC4">
              <w:rPr>
                <w:rFonts w:ascii="Times New Roman" w:hAnsi="Times New Roman" w:cs="Times New Roman"/>
              </w:rPr>
              <w:br/>
              <w:t xml:space="preserve">Recommended regimen: Type C radical hysterectomy + pelvic lymphadenectomy  </w:t>
            </w:r>
            <w:r w:rsidRPr="00CB2EC4">
              <w:rPr>
                <w:rFonts w:ascii="Times New Roman" w:hAnsi="Times New Roman" w:cs="Times New Roman"/>
              </w:rPr>
              <w:br/>
              <w:t xml:space="preserve">- Basis:  </w:t>
            </w:r>
            <w:r w:rsidRPr="00CB2EC4">
              <w:rPr>
                <w:rFonts w:ascii="Times New Roman" w:hAnsi="Times New Roman" w:cs="Times New Roman"/>
              </w:rPr>
              <w:br/>
              <w:t xml:space="preserve">  - IB1/IIA1 stage: Level I recommendation is Type C radical hysterectomy (wide excision) plus pelvic lymphadenectomy (document fragments 1, 7, 10).  </w:t>
            </w:r>
            <w:r w:rsidRPr="00CB2EC4">
              <w:rPr>
                <w:rFonts w:ascii="Times New Roman" w:hAnsi="Times New Roman" w:cs="Times New Roman"/>
              </w:rPr>
              <w:br/>
              <w:t xml:space="preserve">  - IB2 stage: Type C surgery is also applicable, but tumor diameter must be ≤4cm (document fragments 7, </w:t>
            </w:r>
            <w:r w:rsidRPr="00CB2EC4">
              <w:rPr>
                <w:rFonts w:ascii="Times New Roman" w:hAnsi="Times New Roman" w:cs="Times New Roman"/>
              </w:rPr>
              <w:lastRenderedPageBreak/>
              <w:t xml:space="preserve">17).  </w:t>
            </w:r>
            <w:r w:rsidRPr="00CB2EC4">
              <w:rPr>
                <w:rFonts w:ascii="Times New Roman" w:hAnsi="Times New Roman" w:cs="Times New Roman"/>
              </w:rPr>
              <w:br/>
              <w:t>- Surgical extent: Removal of uterus, cervix, upper 1/3 of vagina, with main ligaments and uterosacral ligaments transected at the pelvic sidewall (document fragment 7).</w:t>
            </w:r>
          </w:p>
        </w:tc>
        <w:tc>
          <w:tcPr>
            <w:tcW w:w="1152" w:type="dxa"/>
            <w:vAlign w:val="center"/>
          </w:tcPr>
          <w:p w14:paraId="29034D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EB365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33D35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F9E591" w14:textId="77777777">
        <w:tc>
          <w:tcPr>
            <w:tcW w:w="2160" w:type="dxa"/>
            <w:vAlign w:val="center"/>
          </w:tcPr>
          <w:p w14:paraId="3620E567"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70D7936"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and have stage IB1, IIA1, or IB2 disease, the recommended treatment is:</w:t>
            </w:r>
            <w:r w:rsidRPr="00CB2EC4">
              <w:rPr>
                <w:rFonts w:ascii="Times New Roman" w:hAnsi="Times New Roman" w:cs="Times New Roman"/>
              </w:rPr>
              <w:br/>
            </w:r>
            <w:r w:rsidRPr="00CB2EC4">
              <w:rPr>
                <w:rFonts w:ascii="Times New Roman" w:hAnsi="Times New Roman" w:cs="Times New Roman"/>
              </w:rPr>
              <w:br/>
              <w:t>- **Type C radical hysterectomy + pelvic lymphadenectomy** (I-level recommendation)</w:t>
            </w:r>
            <w:r w:rsidRPr="00CB2EC4">
              <w:rPr>
                <w:rFonts w:ascii="Times New Roman" w:hAnsi="Times New Roman" w:cs="Times New Roman"/>
              </w:rPr>
              <w:br/>
            </w:r>
            <w:r w:rsidRPr="00CB2EC4">
              <w:rPr>
                <w:rFonts w:ascii="Times New Roman" w:hAnsi="Times New Roman" w:cs="Times New Roman"/>
              </w:rPr>
              <w:br/>
              <w:t>Radical radiotherapy (external beam radiotherapy + vaginal brachytherapy) ± platinum-based concurrent chemotherapy may be used as adjuvant or alternative therapy, but surgery is the preferred primary treatment.</w:t>
            </w:r>
            <w:r w:rsidRPr="00CB2EC4">
              <w:rPr>
                <w:rFonts w:ascii="Times New Roman" w:hAnsi="Times New Roman" w:cs="Times New Roman"/>
              </w:rPr>
              <w:br/>
            </w:r>
            <w:r w:rsidRPr="00CB2EC4">
              <w:rPr>
                <w:rFonts w:ascii="Times New Roman" w:hAnsi="Times New Roman" w:cs="Times New Roman"/>
              </w:rPr>
              <w:br/>
              <w:t>according to the referenced guidelines:</w:t>
            </w:r>
            <w:r w:rsidRPr="00CB2EC4">
              <w:rPr>
                <w:rFonts w:ascii="Times New Roman" w:hAnsi="Times New Roman" w:cs="Times New Roman"/>
              </w:rPr>
              <w:br/>
              <w:t>- FIGO 2018 (no fertility preservation):</w:t>
            </w:r>
            <w:r w:rsidRPr="00CB2EC4">
              <w:rPr>
                <w:rFonts w:ascii="Times New Roman" w:hAnsi="Times New Roman" w:cs="Times New Roman"/>
              </w:rPr>
              <w:br/>
              <w:t xml:space="preserve">  - IB1: Type C radical hysterectomy + pelvic lymphadenectomy (nerve-sparing); Type B radical hysterectomy + pelvic lymphadenectomy for low-risk cases</w:t>
            </w:r>
            <w:r w:rsidRPr="00CB2EC4">
              <w:rPr>
                <w:rFonts w:ascii="Times New Roman" w:hAnsi="Times New Roman" w:cs="Times New Roman"/>
              </w:rPr>
              <w:br/>
              <w:t xml:space="preserve">  - IB2, IIA1: Type C radical hysterectomy + pelvic lymphadenectomy</w:t>
            </w:r>
            <w:r w:rsidRPr="00CB2EC4">
              <w:rPr>
                <w:rFonts w:ascii="Times New Roman" w:hAnsi="Times New Roman" w:cs="Times New Roman"/>
              </w:rPr>
              <w:br/>
              <w:t>- NCCN 2019 (no fertility preservation):</w:t>
            </w:r>
            <w:r w:rsidRPr="00CB2EC4">
              <w:rPr>
                <w:rFonts w:ascii="Times New Roman" w:hAnsi="Times New Roman" w:cs="Times New Roman"/>
              </w:rPr>
              <w:br/>
              <w:t xml:space="preserve">  - IB1: Radical hysterectomy + pelvic lymphadenectomy ± para-aortic lymph node dissection/sampling</w:t>
            </w:r>
            <w:r w:rsidRPr="00CB2EC4">
              <w:rPr>
                <w:rFonts w:ascii="Times New Roman" w:hAnsi="Times New Roman" w:cs="Times New Roman"/>
              </w:rPr>
              <w:br/>
              <w:t xml:space="preserve">  - IB2, IIA1: Radical hysterectomy + pelvic lymphadenectomy ± para-aortic lymph node sampling (evidence category 2B)</w:t>
            </w:r>
            <w:r w:rsidRPr="00CB2EC4">
              <w:rPr>
                <w:rFonts w:ascii="Times New Roman" w:hAnsi="Times New Roman" w:cs="Times New Roman"/>
              </w:rPr>
              <w:br/>
              <w:t xml:space="preserve">- Section 4.1.2 (invasive cancer): For FIGO IB1, IB2, </w:t>
            </w:r>
            <w:r w:rsidRPr="00CB2EC4">
              <w:rPr>
                <w:rFonts w:ascii="Times New Roman" w:hAnsi="Times New Roman" w:cs="Times New Roman"/>
              </w:rPr>
              <w:lastRenderedPageBreak/>
              <w:t>IIA1 stages, the preferred treatment is surgery, typically including type C radical hysterectomy and pelvic lymphadenectomy.</w:t>
            </w:r>
            <w:r w:rsidRPr="00CB2EC4">
              <w:rPr>
                <w:rFonts w:ascii="Times New Roman" w:hAnsi="Times New Roman" w:cs="Times New Roman"/>
              </w:rPr>
              <w:br/>
            </w:r>
            <w:r w:rsidRPr="00CB2EC4">
              <w:rPr>
                <w:rFonts w:ascii="Times New Roman" w:hAnsi="Times New Roman" w:cs="Times New Roman"/>
              </w:rPr>
              <w:br/>
              <w:t>[21] indicates reference level 1 evidence for the combined modality, but surgery remains primary.</w:t>
            </w:r>
          </w:p>
        </w:tc>
        <w:tc>
          <w:tcPr>
            <w:tcW w:w="1152" w:type="dxa"/>
            <w:vAlign w:val="center"/>
          </w:tcPr>
          <w:p w14:paraId="4AEFC9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107A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2DCC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C1B821" w14:textId="77777777">
        <w:tc>
          <w:tcPr>
            <w:tcW w:w="2160" w:type="dxa"/>
            <w:vAlign w:val="center"/>
          </w:tcPr>
          <w:p w14:paraId="4FE8B32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D2DEA50"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patient does not wish to preserve fertility and is staged as IB1, IIA1, or IB2, the following treatment measures should be taken:</w:t>
            </w:r>
            <w:r w:rsidRPr="00CB2EC4">
              <w:rPr>
                <w:rFonts w:ascii="Times New Roman" w:hAnsi="Times New Roman" w:cs="Times New Roman"/>
              </w:rPr>
              <w:br/>
            </w:r>
            <w:r w:rsidRPr="00CB2EC4">
              <w:rPr>
                <w:rFonts w:ascii="Times New Roman" w:hAnsi="Times New Roman" w:cs="Times New Roman"/>
              </w:rPr>
              <w:br/>
              <w:t>Treatment measures: Radical hysterectomy (Type III) with pelvic lymphadenectomy.</w:t>
            </w:r>
            <w:r w:rsidRPr="00CB2EC4">
              <w:rPr>
                <w:rFonts w:ascii="Times New Roman" w:hAnsi="Times New Roman" w:cs="Times New Roman"/>
              </w:rPr>
              <w:br/>
              <w:t>- Rationale: For patients with IB1 and IIA1 stages, radical hysterectomy with pelvic lymphadenectomy is the preferred treatment; for IB2 stage, surgery remains an optional option, but patient factors (such as tumor size and risk factors) must be assessed, and adjuvant therapy (e.g., radiotherapy or chemotherapy) may be required postoperatively.</w:t>
            </w:r>
          </w:p>
        </w:tc>
        <w:tc>
          <w:tcPr>
            <w:tcW w:w="1152" w:type="dxa"/>
            <w:vAlign w:val="center"/>
          </w:tcPr>
          <w:p w14:paraId="5582BE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3CB75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678E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FE7EF2" w14:textId="77777777">
        <w:tc>
          <w:tcPr>
            <w:tcW w:w="10656" w:type="dxa"/>
            <w:gridSpan w:val="5"/>
            <w:tcBorders>
              <w:bottom w:val="single" w:sz="6" w:space="0" w:color="auto"/>
            </w:tcBorders>
            <w:vAlign w:val="center"/>
          </w:tcPr>
          <w:p w14:paraId="1CC1AC5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55: In cervical cancer treatment, if the patient does not wish to preserve fertility, and the stage is ⅠB3 or ⅡA2, what treatment measures should be taken?</w:t>
            </w:r>
          </w:p>
        </w:tc>
      </w:tr>
      <w:tr w:rsidR="00922249" w:rsidRPr="00CB2EC4" w14:paraId="425C0B08" w14:textId="77777777">
        <w:tc>
          <w:tcPr>
            <w:tcW w:w="2160" w:type="dxa"/>
            <w:vAlign w:val="center"/>
          </w:tcPr>
          <w:p w14:paraId="5A58D9D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DAAC5DC"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patients who do not wish to preserve fertility and are staged as IB3 or IIA2, the preferred treatment is concurrent chemoradiotherapy (CCRT); other options include radical hysterectomy with pelvic lymph node dissection or neoadjuvant chemotherapy followed by radical surgery (the latter is only recommended in areas with limited access to radiotherapy or in clinical research).</w:t>
            </w:r>
            <w:r w:rsidRPr="00CB2EC4">
              <w:rPr>
                <w:rFonts w:ascii="Times New Roman" w:hAnsi="Times New Roman" w:cs="Times New Roman"/>
              </w:rPr>
              <w:br/>
            </w:r>
            <w:r w:rsidRPr="00CB2EC4">
              <w:rPr>
                <w:rFonts w:ascii="Times New Roman" w:hAnsi="Times New Roman" w:cs="Times New Roman"/>
              </w:rPr>
              <w:br/>
              <w:t>- Evidence:</w:t>
            </w:r>
            <w:r w:rsidRPr="00CB2EC4">
              <w:rPr>
                <w:rFonts w:ascii="Times New Roman" w:hAnsi="Times New Roman" w:cs="Times New Roman"/>
              </w:rPr>
              <w:br/>
              <w:t xml:space="preserve">  - In document fragment with similarity 0.431 (range </w:t>
            </w:r>
            <w:r w:rsidRPr="00CB2EC4">
              <w:rPr>
                <w:rFonts w:ascii="Times New Roman" w:hAnsi="Times New Roman" w:cs="Times New Roman"/>
              </w:rPr>
              <w:lastRenderedPageBreak/>
              <w:t>18-20), the FIGO 2018 guidelines explicitly state: for IB3 and IIA2 stages without fertility preservation, concurrent chemoradiotherapy is recommended, or radical hysterectomy and pelvic lymph node dissection, or neoadjuvant chemotherapy + radical hysterectomy + pelvic lymph node dissection.</w:t>
            </w:r>
            <w:r w:rsidRPr="00CB2EC4">
              <w:rPr>
                <w:rFonts w:ascii="Times New Roman" w:hAnsi="Times New Roman" w:cs="Times New Roman"/>
              </w:rPr>
              <w:br/>
              <w:t xml:space="preserve">  - In document fragment with similarity 0.494 (range 20-22), Table 4 of the FIGO guidelines recommends the same: concurrent chemoradiotherapy as the first choice.</w:t>
            </w:r>
            <w:r w:rsidRPr="00CB2EC4">
              <w:rPr>
                <w:rFonts w:ascii="Times New Roman" w:hAnsi="Times New Roman" w:cs="Times New Roman"/>
              </w:rPr>
              <w:br/>
              <w:t xml:space="preserve">  - In document fragment with similarity 0.558 (range 33-35), IB3 and IIA2 stages are Level I recommended for radical radiotherapy (external beam radiotherapy + vaginal brachytherapy) ± platinum-based concurrent chemotherapy.</w:t>
            </w:r>
            <w:r w:rsidRPr="00CB2EC4">
              <w:rPr>
                <w:rFonts w:ascii="Times New Roman" w:hAnsi="Times New Roman" w:cs="Times New Roman"/>
              </w:rPr>
              <w:br/>
              <w:t xml:space="preserve">  - In document fragment with similarity 0.437 (range 9-11), it is stated that locally advanced cervical cancer (IB3 and IIA2) prefers concurrent chemoradiotherapy, with surgery reserved for regions with limited radiotherapy resources.</w:t>
            </w:r>
            <w:r w:rsidRPr="00CB2EC4">
              <w:rPr>
                <w:rFonts w:ascii="Times New Roman" w:hAnsi="Times New Roman" w:cs="Times New Roman"/>
              </w:rPr>
              <w:br/>
              <w:t>- Additional note: Concurrent chemoradiotherapy is the gold standard, combining radiotherapy with platinum-based chemotherapy; surgical options (e.g., type C radical hysterectomy) may increase complication risks and should be selected cautiously; the efficacy of neoadjuvant chemotherapy followed by surgery remains controversial and is not recommended as routine practice.</w:t>
            </w:r>
            <w:r w:rsidRPr="00CB2EC4">
              <w:rPr>
                <w:rFonts w:ascii="Times New Roman" w:hAnsi="Times New Roman" w:cs="Times New Roman"/>
              </w:rPr>
              <w:br/>
            </w:r>
            <w:r w:rsidRPr="00CB2EC4">
              <w:rPr>
                <w:rFonts w:ascii="Times New Roman" w:hAnsi="Times New Roman" w:cs="Times New Roman"/>
              </w:rPr>
              <w:br/>
              <w:t>Summary</w:t>
            </w:r>
            <w:r w:rsidRPr="00CB2EC4">
              <w:rPr>
                <w:rFonts w:ascii="Times New Roman" w:hAnsi="Times New Roman" w:cs="Times New Roman"/>
              </w:rPr>
              <w:br/>
              <w:t>- All recommendations are based on provided document fragments, ensuring accuracy and consistency.</w:t>
            </w:r>
            <w:r w:rsidRPr="00CB2EC4">
              <w:rPr>
                <w:rFonts w:ascii="Times New Roman" w:hAnsi="Times New Roman" w:cs="Times New Roman"/>
              </w:rPr>
              <w:br/>
              <w:t xml:space="preserve">- Treatment recommendations consider stage, LVSI </w:t>
            </w:r>
            <w:r w:rsidRPr="00CB2EC4">
              <w:rPr>
                <w:rFonts w:ascii="Times New Roman" w:hAnsi="Times New Roman" w:cs="Times New Roman"/>
              </w:rPr>
              <w:lastRenderedPageBreak/>
              <w:t>status, and patient preference (no fertility preservation), prioritizing FIGO guidelines.</w:t>
            </w:r>
            <w:r w:rsidRPr="00CB2EC4">
              <w:rPr>
                <w:rFonts w:ascii="Times New Roman" w:hAnsi="Times New Roman" w:cs="Times New Roman"/>
              </w:rPr>
              <w:br/>
              <w:t>- In actual clinical practice, decisions should integrate the latest guidelines and individualized patient factors.</w:t>
            </w:r>
          </w:p>
        </w:tc>
        <w:tc>
          <w:tcPr>
            <w:tcW w:w="1152" w:type="dxa"/>
            <w:vAlign w:val="center"/>
          </w:tcPr>
          <w:p w14:paraId="3B7542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C921B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39D9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F2135D" w14:textId="77777777">
        <w:tc>
          <w:tcPr>
            <w:tcW w:w="2160" w:type="dxa"/>
            <w:vAlign w:val="center"/>
          </w:tcPr>
          <w:p w14:paraId="602001B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46EE416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who do not wish to preserve fertility and are staged as IB3 or IIA2, the recommended treatment is concurrent chemoradiotherapy (i.e., synchronous chemoradiation).  </w:t>
            </w:r>
            <w:r w:rsidRPr="00CB2EC4">
              <w:rPr>
                <w:rFonts w:ascii="Times New Roman" w:hAnsi="Times New Roman" w:cs="Times New Roman"/>
              </w:rPr>
              <w:br/>
              <w:t xml:space="preserve">- Basis:  </w:t>
            </w:r>
            <w:r w:rsidRPr="00CB2EC4">
              <w:rPr>
                <w:rFonts w:ascii="Times New Roman" w:hAnsi="Times New Roman" w:cs="Times New Roman"/>
              </w:rPr>
              <w:br/>
              <w:t xml:space="preserve">  - Document fragment 16 (block ID 21, title "Cervical Cancer Staging and Management Standards"), Table 4: FIGO 2018 recommends concurrent chemoradiotherapy as the first choice for IB3 and IIA2 stages; radical hysterectomy is a secondary option, but the preferred treatment is chemoradiotherapy.  </w:t>
            </w:r>
            <w:r w:rsidRPr="00CB2EC4">
              <w:rPr>
                <w:rFonts w:ascii="Times New Roman" w:hAnsi="Times New Roman" w:cs="Times New Roman"/>
              </w:rPr>
              <w:br/>
              <w:t xml:space="preserve">  - Document fragment 3 (block ID 22, title "Cervical Cancer Staging Treatment Plan") explicitly states: IB3 and IIA2 stages prefer concurrent chemoradiotherapy; radical hysterectomy is only an alternative option.  </w:t>
            </w:r>
            <w:r w:rsidRPr="00CB2EC4">
              <w:rPr>
                <w:rFonts w:ascii="Times New Roman" w:hAnsi="Times New Roman" w:cs="Times New Roman"/>
              </w:rPr>
              <w:br/>
              <w:t xml:space="preserve">  - Document fragment 1 (block ID 35, title "Cervical Cancer Treatment Strategy") notes: for locally advanced cervical cancer (IB3 and IIA2 stages), concurrent chemoradiotherapy is the first choice; surgery is considered only in areas with scarce radiotherapy resources.  </w:t>
            </w:r>
            <w:r w:rsidRPr="00CB2EC4">
              <w:rPr>
                <w:rFonts w:ascii="Times New Roman" w:hAnsi="Times New Roman" w:cs="Times New Roman"/>
              </w:rPr>
              <w:br/>
              <w:t xml:space="preserve">  - Document fragment 11 (block ID 11, title "Early Surgical Treatment for Cervical Cancer") also mentions: IB3 tumors are large and prone to high-risk factors; adjuvant radiotherapy is often needed post-surgery, so chemoradiotherapy is preferred to avoid dual-modality treatment.  </w:t>
            </w:r>
            <w:r w:rsidRPr="00CB2EC4">
              <w:rPr>
                <w:rFonts w:ascii="Times New Roman" w:hAnsi="Times New Roman" w:cs="Times New Roman"/>
              </w:rPr>
              <w:br/>
              <w:t xml:space="preserve">  In summary, concurrent chemoradiotherapy is the </w:t>
            </w:r>
            <w:r w:rsidRPr="00CB2EC4">
              <w:rPr>
                <w:rFonts w:ascii="Times New Roman" w:hAnsi="Times New Roman" w:cs="Times New Roman"/>
              </w:rPr>
              <w:lastRenderedPageBreak/>
              <w:t>preferred regimen due to better local control and survival benefits for locally advanced disease; surgery is considered only under specific circumstances.</w:t>
            </w:r>
          </w:p>
        </w:tc>
        <w:tc>
          <w:tcPr>
            <w:tcW w:w="1152" w:type="dxa"/>
            <w:vAlign w:val="center"/>
          </w:tcPr>
          <w:p w14:paraId="3D4F5B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75B3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6703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00DA03" w14:textId="77777777">
        <w:tc>
          <w:tcPr>
            <w:tcW w:w="2160" w:type="dxa"/>
            <w:vAlign w:val="center"/>
          </w:tcPr>
          <w:p w14:paraId="79DDC933"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C7C9174"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patient does not wish to preserve fertility and is staged as IB3 or IIA2, the recommended treatment is:</w:t>
            </w:r>
            <w:r w:rsidRPr="00CB2EC4">
              <w:rPr>
                <w:rFonts w:ascii="Times New Roman" w:hAnsi="Times New Roman" w:cs="Times New Roman"/>
              </w:rPr>
              <w:br/>
            </w:r>
            <w:r w:rsidRPr="00CB2EC4">
              <w:rPr>
                <w:rFonts w:ascii="Times New Roman" w:hAnsi="Times New Roman" w:cs="Times New Roman"/>
              </w:rPr>
              <w:br/>
              <w:t>radical radiotherapy (external beam radiotherapy + vaginal brachytherapy) with concurrent platinum-based chemotherapy.</w:t>
            </w:r>
            <w:r w:rsidRPr="00CB2EC4">
              <w:rPr>
                <w:rFonts w:ascii="Times New Roman" w:hAnsi="Times New Roman" w:cs="Times New Roman"/>
              </w:rPr>
              <w:br/>
            </w:r>
            <w:r w:rsidRPr="00CB2EC4">
              <w:rPr>
                <w:rFonts w:ascii="Times New Roman" w:hAnsi="Times New Roman" w:cs="Times New Roman"/>
              </w:rPr>
              <w:br/>
              <w:t>key evidence:</w:t>
            </w:r>
            <w:r w:rsidRPr="00CB2EC4">
              <w:rPr>
                <w:rFonts w:ascii="Times New Roman" w:hAnsi="Times New Roman" w:cs="Times New Roman"/>
              </w:rPr>
              <w:br/>
              <w:t>- document fragment 1 indicates that the level I recommendation for IB3 and IIA2 stages is "radical radiotherapy (external beam radiotherapy + vaginal brachytherapy) ± concurrent platinum-based chemotherapy".</w:t>
            </w:r>
            <w:r w:rsidRPr="00CB2EC4">
              <w:rPr>
                <w:rFonts w:ascii="Times New Roman" w:hAnsi="Times New Roman" w:cs="Times New Roman"/>
              </w:rPr>
              <w:br/>
              <w:t>- document fragment 9 states that the FIGO 2018 recommendation for IB3 and IIA2 is "concurrent chemoradiotherapy" or "radical hysterectomy and pelvic lymphadenectomy", but fragment 13 emphasizes that "platinum-based concurrent chemoradiotherapy is the better treatment option for IB3/IIA2 stage patients".</w:t>
            </w:r>
            <w:r w:rsidRPr="00CB2EC4">
              <w:rPr>
                <w:rFonts w:ascii="Times New Roman" w:hAnsi="Times New Roman" w:cs="Times New Roman"/>
              </w:rPr>
              <w:br/>
              <w:t>- document fragment 13 clearly states that concurrent chemoradiotherapy has been proven superior to radiotherapy alone as an adjuvant postoperative therapy and is the preferred option; surgery is only recommended for areas without access to radiotherapy or for clinical trials (fragment 12).</w:t>
            </w:r>
            <w:r w:rsidRPr="00CB2EC4">
              <w:rPr>
                <w:rFonts w:ascii="Times New Roman" w:hAnsi="Times New Roman" w:cs="Times New Roman"/>
              </w:rPr>
              <w:br/>
              <w:t xml:space="preserve">- document fragment 10 supports that IB3/IIA2 stages are prone to high-risk factors, and adjuvant radiotherapy after surgery can improve survival, but concurrent chemoradiotherapy is the standard initial </w:t>
            </w:r>
            <w:r w:rsidRPr="00CB2EC4">
              <w:rPr>
                <w:rFonts w:ascii="Times New Roman" w:hAnsi="Times New Roman" w:cs="Times New Roman"/>
              </w:rPr>
              <w:lastRenderedPageBreak/>
              <w:t>treatment.</w:t>
            </w:r>
            <w:r w:rsidRPr="00CB2EC4">
              <w:rPr>
                <w:rFonts w:ascii="Times New Roman" w:hAnsi="Times New Roman" w:cs="Times New Roman"/>
              </w:rPr>
              <w:br/>
            </w:r>
            <w:r w:rsidRPr="00CB2EC4">
              <w:rPr>
                <w:rFonts w:ascii="Times New Roman" w:hAnsi="Times New Roman" w:cs="Times New Roman"/>
              </w:rPr>
              <w:br/>
              <w:t>note: surgery (e.g., radical hysterectomy) may be used in specific situations (such as lack of radiotherapy resources, fragments 12, 13), but the documents strongly recommend chemoradiotherapy as the first choice. no other major alternative options were identified.</w:t>
            </w:r>
          </w:p>
        </w:tc>
        <w:tc>
          <w:tcPr>
            <w:tcW w:w="1152" w:type="dxa"/>
            <w:vAlign w:val="center"/>
          </w:tcPr>
          <w:p w14:paraId="61E4E6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56EBA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4088C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5B5B799" w14:textId="77777777">
        <w:tc>
          <w:tcPr>
            <w:tcW w:w="2160" w:type="dxa"/>
            <w:vAlign w:val="center"/>
          </w:tcPr>
          <w:p w14:paraId="76B894CE"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2319C72" w14:textId="77777777" w:rsidR="00922249" w:rsidRPr="00CB2EC4" w:rsidRDefault="003011D5">
            <w:pPr>
              <w:rPr>
                <w:rFonts w:ascii="Times New Roman" w:hAnsi="Times New Roman" w:cs="Times New Roman"/>
              </w:rPr>
            </w:pPr>
            <w:r w:rsidRPr="00CB2EC4">
              <w:rPr>
                <w:rFonts w:ascii="Times New Roman" w:hAnsi="Times New Roman" w:cs="Times New Roman"/>
              </w:rPr>
              <w:t>IB3 stage, IIA2 stage (locally advanced)</w:t>
            </w:r>
            <w:r w:rsidRPr="00CB2EC4">
              <w:rPr>
                <w:rFonts w:ascii="Times New Roman" w:hAnsi="Times New Roman" w:cs="Times New Roman"/>
              </w:rPr>
              <w:br/>
            </w:r>
            <w:r w:rsidRPr="00CB2EC4">
              <w:rPr>
                <w:rFonts w:ascii="Times New Roman" w:hAnsi="Times New Roman" w:cs="Times New Roman"/>
              </w:rPr>
              <w:br/>
              <w:t xml:space="preserve">Level I recommendation:  </w:t>
            </w:r>
            <w:r w:rsidRPr="00CB2EC4">
              <w:rPr>
                <w:rFonts w:ascii="Times New Roman" w:hAnsi="Times New Roman" w:cs="Times New Roman"/>
              </w:rPr>
              <w:br/>
              <w:t xml:space="preserve">- Radical radiotherapy (external beam radiotherapy + vaginal brachytherapy) ± platinum-based concurrent chemotherapy (FIGO 2018 &amp; NCCN 2019)  </w:t>
            </w:r>
            <w:r w:rsidRPr="00CB2EC4">
              <w:rPr>
                <w:rFonts w:ascii="Times New Roman" w:hAnsi="Times New Roman" w:cs="Times New Roman"/>
              </w:rPr>
              <w:br/>
              <w:t xml:space="preserve">Evidence:  </w:t>
            </w:r>
            <w:r w:rsidRPr="00CB2EC4">
              <w:rPr>
                <w:rFonts w:ascii="Times New Roman" w:hAnsi="Times New Roman" w:cs="Times New Roman"/>
              </w:rPr>
              <w:br/>
              <w:t xml:space="preserve">  - FIGO guidelines: Concurrent chemoradiotherapy is preferred (knowledge base: "IB3 stage, IIA2 stage: radical radiotherapy ± platinum-based concurrent chemotherapy").  </w:t>
            </w:r>
            <w:r w:rsidRPr="00CB2EC4">
              <w:rPr>
                <w:rFonts w:ascii="Times New Roman" w:hAnsi="Times New Roman" w:cs="Times New Roman"/>
              </w:rPr>
              <w:br/>
              <w:t xml:space="preserve">  - NCCN guidelines: Concurrent chemoradiotherapy is the only Level I recommendation (knowledge base: "IB3 stage, IIA2 stage: concurrent chemoradiotherapy").  </w:t>
            </w:r>
            <w:r w:rsidRPr="00CB2EC4">
              <w:rPr>
                <w:rFonts w:ascii="Times New Roman" w:hAnsi="Times New Roman" w:cs="Times New Roman"/>
              </w:rPr>
              <w:br/>
              <w:t xml:space="preserve">Surgical limitations:  </w:t>
            </w:r>
            <w:r w:rsidRPr="00CB2EC4">
              <w:rPr>
                <w:rFonts w:ascii="Times New Roman" w:hAnsi="Times New Roman" w:cs="Times New Roman"/>
              </w:rPr>
              <w:br/>
              <w:t xml:space="preserve">  - Surgery is only a Level II recommendation (e.g., Type C hysterectomy + lymph node dissection), to be strictly applied to low-risk patients (knowledge base: "Radical hysterectomy and pelvic lymph node dissection are only Level II recommendations").</w:t>
            </w:r>
          </w:p>
        </w:tc>
        <w:tc>
          <w:tcPr>
            <w:tcW w:w="1152" w:type="dxa"/>
            <w:vAlign w:val="center"/>
          </w:tcPr>
          <w:p w14:paraId="644B93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2706B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DCE12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3C5E62C" w14:textId="77777777">
        <w:tc>
          <w:tcPr>
            <w:tcW w:w="2160" w:type="dxa"/>
            <w:vAlign w:val="center"/>
          </w:tcPr>
          <w:p w14:paraId="775114D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C9A498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who do not wish to preserve fertility and have stage IB3 or IIA2 disease, the recommended treatment is radical radiotherapy (external beam radiotherapy + vaginal brachytherapy) </w:t>
            </w:r>
            <w:r w:rsidRPr="00CB2EC4">
              <w:rPr>
                <w:rFonts w:ascii="Times New Roman" w:hAnsi="Times New Roman" w:cs="Times New Roman"/>
              </w:rPr>
              <w:lastRenderedPageBreak/>
              <w:t xml:space="preserve">± platinum-based concurrent chemoradiation (i.e., concurrent chemoradiation).  </w:t>
            </w:r>
            <w:r w:rsidRPr="00CB2EC4">
              <w:rPr>
                <w:rFonts w:ascii="Times New Roman" w:hAnsi="Times New Roman" w:cs="Times New Roman"/>
              </w:rPr>
              <w:br/>
              <w:t xml:space="preserve">  - Evidence:  </w:t>
            </w:r>
            <w:r w:rsidRPr="00CB2EC4">
              <w:rPr>
                <w:rFonts w:ascii="Times New Roman" w:hAnsi="Times New Roman" w:cs="Times New Roman"/>
              </w:rPr>
              <w:br/>
              <w:t xml:space="preserve">    - Document fragment 1 (IB3, IIA2): "Level I recommendation: radical radiotherapy (external beam radiotherapy + vaginal brachytherapy) ± platinum-based concurrent chemotherapy".  </w:t>
            </w:r>
            <w:r w:rsidRPr="00CB2EC4">
              <w:rPr>
                <w:rFonts w:ascii="Times New Roman" w:hAnsi="Times New Roman" w:cs="Times New Roman"/>
              </w:rPr>
              <w:br/>
              <w:t xml:space="preserve">    - Document fragment 2 (IB3, IIA2): "FIGO 2018 without fertility preservation: concurrent chemoradiation".  </w:t>
            </w:r>
            <w:r w:rsidRPr="00CB2EC4">
              <w:rPr>
                <w:rFonts w:ascii="Times New Roman" w:hAnsi="Times New Roman" w:cs="Times New Roman"/>
              </w:rPr>
              <w:br/>
              <w:t xml:space="preserve">    - Document fragment 10 (FIGO IB3/IIA2): "Tumors at this stage are larger and prone to high-risk factors... concurrent chemoradiation is the first choice".  </w:t>
            </w:r>
            <w:r w:rsidRPr="00CB2EC4">
              <w:rPr>
                <w:rFonts w:ascii="Times New Roman" w:hAnsi="Times New Roman" w:cs="Times New Roman"/>
              </w:rPr>
              <w:br/>
              <w:t xml:space="preserve">    - Document fragment 16 (IB3, IIA2): "FIGO 2018 without fertility preservation: concurrent chemoradiation".  </w:t>
            </w:r>
            <w:r w:rsidRPr="00CB2EC4">
              <w:rPr>
                <w:rFonts w:ascii="Times New Roman" w:hAnsi="Times New Roman" w:cs="Times New Roman"/>
              </w:rPr>
              <w:br/>
              <w:t xml:space="preserve">  - This recommendation is based on the high surgical risk associated with larger tumors, with chemoradiation preferred to effectively control locally advanced disease and micrometastases.</w:t>
            </w:r>
            <w:r w:rsidRPr="00CB2EC4">
              <w:rPr>
                <w:rFonts w:ascii="Times New Roman" w:hAnsi="Times New Roman" w:cs="Times New Roman"/>
              </w:rPr>
              <w:br/>
            </w:r>
            <w:r w:rsidRPr="00CB2EC4">
              <w:rPr>
                <w:rFonts w:ascii="Times New Roman" w:hAnsi="Times New Roman" w:cs="Times New Roman"/>
              </w:rPr>
              <w:br/>
              <w:t>summary note</w:t>
            </w:r>
            <w:r w:rsidRPr="00CB2EC4">
              <w:rPr>
                <w:rFonts w:ascii="Times New Roman" w:hAnsi="Times New Roman" w:cs="Times New Roman"/>
              </w:rPr>
              <w:br/>
              <w:t>- All responses are strictly based on the provided document fragments, ensuring accuracy. Treatment recommendations in the documents consider stage, lymphovascular space invasion status, and fertility wishes, and distinguish Level I recommendations (highest priority).</w:t>
            </w:r>
            <w:r w:rsidRPr="00CB2EC4">
              <w:rPr>
                <w:rFonts w:ascii="Times New Roman" w:hAnsi="Times New Roman" w:cs="Times New Roman"/>
              </w:rPr>
              <w:br/>
              <w:t>- If you require further explanation or additional context, please let me know!</w:t>
            </w:r>
          </w:p>
        </w:tc>
        <w:tc>
          <w:tcPr>
            <w:tcW w:w="1152" w:type="dxa"/>
            <w:vAlign w:val="center"/>
          </w:tcPr>
          <w:p w14:paraId="4603F2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0732C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D7530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35A51B8" w14:textId="77777777">
        <w:tc>
          <w:tcPr>
            <w:tcW w:w="2160" w:type="dxa"/>
            <w:vAlign w:val="center"/>
          </w:tcPr>
          <w:p w14:paraId="2A1BE5E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B4F801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cervical cancer patients who do not wish to preserve fertility and are staged as IB3 or IIA2, the recommended treatment is concurrent </w:t>
            </w:r>
            <w:r w:rsidRPr="00CB2EC4">
              <w:rPr>
                <w:rFonts w:ascii="Times New Roman" w:hAnsi="Times New Roman" w:cs="Times New Roman"/>
              </w:rPr>
              <w:lastRenderedPageBreak/>
              <w:t xml:space="preserve">chemoradiotherapy (definitive external beam radiotherapy + vaginal brachytherapy ± platinum-based concurrent chemotherapy).  </w:t>
            </w:r>
            <w:r w:rsidRPr="00CB2EC4">
              <w:rPr>
                <w:rFonts w:ascii="Times New Roman" w:hAnsi="Times New Roman" w:cs="Times New Roman"/>
              </w:rPr>
              <w:br/>
              <w:t xml:space="preserve">- Evidence: Document 1 explicitly states "IB3, IIA2: Level I recommendation: definitive radiotherapy (external beam radiotherapy + vaginal brachytherapy) ± platinum-based concurrent chemotherapy"; Document 5 indicates "IB3, IIA2: concurrent chemoradiotherapy"; Document 7 emphasizes "IB3, IIA2: preferred concurrent chemoradiotherapy". Surgery (e.g., type C hysterectomy) is only a Level II recommendation when radiotherapy resources are limited or in specific circumstances.  </w:t>
            </w:r>
            <w:r w:rsidRPr="00CB2EC4">
              <w:rPr>
                <w:rFonts w:ascii="Times New Roman" w:hAnsi="Times New Roman" w:cs="Times New Roman"/>
              </w:rPr>
              <w:br/>
              <w:t>- Rationale: Tumors in IB3/IIA2 stages are larger (&gt;4 cm) and often associated with high-risk factors (e.g., lymph node positivity); concurrent chemoradiotherapy provides superior local control of advanced disease and reduces recurrence risk compared to surgery.</w:t>
            </w:r>
            <w:r w:rsidRPr="00CB2EC4">
              <w:rPr>
                <w:rFonts w:ascii="Times New Roman" w:hAnsi="Times New Roman" w:cs="Times New Roman"/>
              </w:rPr>
              <w:br/>
            </w:r>
            <w:r w:rsidRPr="00CB2EC4">
              <w:rPr>
                <w:rFonts w:ascii="Times New Roman" w:hAnsi="Times New Roman" w:cs="Times New Roman"/>
              </w:rPr>
              <w:br/>
              <w:t>summary</w:t>
            </w:r>
            <w:r w:rsidRPr="00CB2EC4">
              <w:rPr>
                <w:rFonts w:ascii="Times New Roman" w:hAnsi="Times New Roman" w:cs="Times New Roman"/>
              </w:rPr>
              <w:br/>
              <w:t>the above response is strictly based on the provided document context with no missing information identified. cervical cancer treatment requires individualization considering patient age, tumor characteristics, and available medical resources. clinical decisions should incorporate multidisciplinary consultation and the latest guidelines.</w:t>
            </w:r>
          </w:p>
        </w:tc>
        <w:tc>
          <w:tcPr>
            <w:tcW w:w="1152" w:type="dxa"/>
            <w:vAlign w:val="center"/>
          </w:tcPr>
          <w:p w14:paraId="03F112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25AAC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B9AF9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8C5DE12" w14:textId="77777777">
        <w:tc>
          <w:tcPr>
            <w:tcW w:w="2160" w:type="dxa"/>
            <w:vAlign w:val="center"/>
          </w:tcPr>
          <w:p w14:paraId="3AFDBE69"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37E8F52"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and are staged as IB3 or IIA2, the recommended treatment is concurrent chemoradiotherapy (radical radiotherapy plus platinum-based concurrent chemotherapy).</w:t>
            </w:r>
            <w:r w:rsidRPr="00CB2EC4">
              <w:rPr>
                <w:rFonts w:ascii="Times New Roman" w:hAnsi="Times New Roman" w:cs="Times New Roman"/>
              </w:rPr>
              <w:br/>
            </w:r>
            <w:r w:rsidRPr="00CB2EC4">
              <w:rPr>
                <w:rFonts w:ascii="Times New Roman" w:hAnsi="Times New Roman" w:cs="Times New Roman"/>
              </w:rPr>
              <w:br/>
              <w:t xml:space="preserve">- [HyDE similarity: 0.623] Table 4 in the document </w:t>
            </w:r>
            <w:r w:rsidRPr="00CB2EC4">
              <w:rPr>
                <w:rFonts w:ascii="Times New Roman" w:hAnsi="Times New Roman" w:cs="Times New Roman"/>
              </w:rPr>
              <w:lastRenderedPageBreak/>
              <w:t>comparing FIGO and NCCN guidelines: for IB3 and IIA2 stages, concurrent chemoradiotherapy is the preferred option (Level I recommendation), with radical hysterectomy and pelvic lymphadenectomy as an alternative.</w:t>
            </w:r>
            <w:r w:rsidRPr="00CB2EC4">
              <w:rPr>
                <w:rFonts w:ascii="Times New Roman" w:hAnsi="Times New Roman" w:cs="Times New Roman"/>
              </w:rPr>
              <w:br/>
              <w:t>- [HyDE similarity: 0.571] Document states: Level I recommendation for IB3 and IIA2 stages is radical radiotherapy (external beam radiotherapy plus vaginal brachytherapy) with platinum-based concurrent chemotherapy.</w:t>
            </w:r>
            <w:r w:rsidRPr="00CB2EC4">
              <w:rPr>
                <w:rFonts w:ascii="Times New Roman" w:hAnsi="Times New Roman" w:cs="Times New Roman"/>
              </w:rPr>
              <w:br/>
              <w:t>- [HyDE similarity: 0.643] Document states: for FIGO IB3/IIA2 stages, concurrent chemoradiotherapy is preferred due to larger tumor size and high risk of adverse factors.</w:t>
            </w:r>
            <w:r w:rsidRPr="00CB2EC4">
              <w:rPr>
                <w:rFonts w:ascii="Times New Roman" w:hAnsi="Times New Roman" w:cs="Times New Roman"/>
              </w:rPr>
              <w:br/>
              <w:t>- [HyDE similarity: 0.753] Document states: for locally advanced cervical cancer (IB3 and IIA2 stages), concurrent chemoradiotherapy is the first-line treatment.</w:t>
            </w:r>
            <w:r w:rsidRPr="00CB2EC4">
              <w:rPr>
                <w:rFonts w:ascii="Times New Roman" w:hAnsi="Times New Roman" w:cs="Times New Roman"/>
              </w:rPr>
              <w:br/>
              <w:t>- Therefore, the primary treatment is concurrent chemoradiotherapy (radical radiotherapy plus platinum-based concurrent chemotherapy).</w:t>
            </w:r>
          </w:p>
        </w:tc>
        <w:tc>
          <w:tcPr>
            <w:tcW w:w="1152" w:type="dxa"/>
            <w:vAlign w:val="center"/>
          </w:tcPr>
          <w:p w14:paraId="194D1A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DEE2A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D635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283CF9" w14:textId="77777777">
        <w:tc>
          <w:tcPr>
            <w:tcW w:w="2160" w:type="dxa"/>
            <w:vAlign w:val="center"/>
          </w:tcPr>
          <w:p w14:paraId="39E54243"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B2BE97F"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and have stage IB3 or IIA2 disease, the recommended treatment is concurrent chemoradiation (synchronous chemoradiation). Specifically:</w:t>
            </w:r>
            <w:r w:rsidRPr="00CB2EC4">
              <w:rPr>
                <w:rFonts w:ascii="Times New Roman" w:hAnsi="Times New Roman" w:cs="Times New Roman"/>
              </w:rPr>
              <w:br/>
            </w:r>
            <w:r w:rsidRPr="00CB2EC4">
              <w:rPr>
                <w:rFonts w:ascii="Times New Roman" w:hAnsi="Times New Roman" w:cs="Times New Roman"/>
              </w:rPr>
              <w:br/>
              <w:t>- According to document fragment 1 (similarity 0.611): "IB3 stage, IIA2 stage FIGO 2018 not preserving reproductive function: concurrent chemoradiation", "NCCN 2019 not preserving reproductive function: concurrent chemoradiation".</w:t>
            </w:r>
            <w:r w:rsidRPr="00CB2EC4">
              <w:rPr>
                <w:rFonts w:ascii="Times New Roman" w:hAnsi="Times New Roman" w:cs="Times New Roman"/>
              </w:rPr>
              <w:br/>
              <w:t xml:space="preserve">- According to document fragment 3 (similarity 0.593): "FIGO IB3/IIA2 stage These tumors are </w:t>
            </w:r>
            <w:r w:rsidRPr="00CB2EC4">
              <w:rPr>
                <w:rFonts w:ascii="Times New Roman" w:hAnsi="Times New Roman" w:cs="Times New Roman"/>
              </w:rPr>
              <w:lastRenderedPageBreak/>
              <w:t>larger... concurrent chemoradiation is the first choice".</w:t>
            </w:r>
            <w:r w:rsidRPr="00CB2EC4">
              <w:rPr>
                <w:rFonts w:ascii="Times New Roman" w:hAnsi="Times New Roman" w:cs="Times New Roman"/>
              </w:rPr>
              <w:br/>
              <w:t>- Document fragment 5 (similarity 0.558) also confirms: "IB3 stage, IIA2 stage g Level I recommendation: radical radiotherapy (external beam radiotherapy + vaginal brachytherapy) ± platinum-based concurrent chemotherapy".</w:t>
            </w:r>
            <w:r w:rsidRPr="00CB2EC4">
              <w:rPr>
                <w:rFonts w:ascii="Times New Roman" w:hAnsi="Times New Roman" w:cs="Times New Roman"/>
              </w:rPr>
              <w:br/>
              <w:t>- Therefore, the treatment measure is concurrent chemoradiation (synchronous chemoradiation).</w:t>
            </w:r>
            <w:r w:rsidRPr="00CB2EC4">
              <w:rPr>
                <w:rFonts w:ascii="Times New Roman" w:hAnsi="Times New Roman" w:cs="Times New Roman"/>
              </w:rPr>
              <w:br/>
            </w:r>
            <w:r w:rsidRPr="00CB2EC4">
              <w:rPr>
                <w:rFonts w:ascii="Times New Roman" w:hAnsi="Times New Roman" w:cs="Times New Roman"/>
              </w:rPr>
              <w:br/>
              <w:t>All answers are based on the provided document fragments and do not exceed the contextual information. If the user requires further detailed explanation or additional information, it can be provided separately.</w:t>
            </w:r>
          </w:p>
        </w:tc>
        <w:tc>
          <w:tcPr>
            <w:tcW w:w="1152" w:type="dxa"/>
            <w:vAlign w:val="center"/>
          </w:tcPr>
          <w:p w14:paraId="4EA968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4286A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D89D1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22095A2" w14:textId="77777777">
        <w:tc>
          <w:tcPr>
            <w:tcW w:w="2160" w:type="dxa"/>
            <w:vAlign w:val="center"/>
          </w:tcPr>
          <w:p w14:paraId="71B7E47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6C47210"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staged IB3 or IIA2 who do not wish to preserve fertility, the recommended treatment is concurrent chemoradiotherapy (synchronous chemoradiation), consisting of platinum-based chemotherapy combined with radical radiotherapy (including external beam radiotherapy and vaginal brachytherapy).</w:t>
            </w:r>
            <w:r w:rsidRPr="00CB2EC4">
              <w:rPr>
                <w:rFonts w:ascii="Times New Roman" w:hAnsi="Times New Roman" w:cs="Times New Roman"/>
              </w:rPr>
              <w:br/>
            </w:r>
            <w:r w:rsidRPr="00CB2EC4">
              <w:rPr>
                <w:rFonts w:ascii="Times New Roman" w:hAnsi="Times New Roman" w:cs="Times New Roman"/>
              </w:rPr>
              <w:br/>
              <w:t>- Basis:</w:t>
            </w:r>
            <w:r w:rsidRPr="00CB2EC4">
              <w:rPr>
                <w:rFonts w:ascii="Times New Roman" w:hAnsi="Times New Roman" w:cs="Times New Roman"/>
              </w:rPr>
              <w:br/>
              <w:t xml:space="preserve">  - The second document fragment explicitly states under the "IB3</w:t>
            </w:r>
            <w:r w:rsidRPr="00CB2EC4">
              <w:rPr>
                <w:rFonts w:ascii="Times New Roman" w:hAnsi="Times New Roman" w:cs="Times New Roman"/>
              </w:rPr>
              <w:t>期、</w:t>
            </w:r>
            <w:r w:rsidRPr="00CB2EC4">
              <w:rPr>
                <w:rFonts w:ascii="Times New Roman" w:hAnsi="Times New Roman" w:cs="Times New Roman"/>
              </w:rPr>
              <w:t>IIA2</w:t>
            </w:r>
            <w:r w:rsidRPr="00CB2EC4">
              <w:rPr>
                <w:rFonts w:ascii="Times New Roman" w:hAnsi="Times New Roman" w:cs="Times New Roman"/>
              </w:rPr>
              <w:t>期</w:t>
            </w:r>
            <w:r w:rsidRPr="00CB2EC4">
              <w:rPr>
                <w:rFonts w:ascii="Times New Roman" w:hAnsi="Times New Roman" w:cs="Times New Roman"/>
              </w:rPr>
              <w:t>" section: "Level I recommendation: radical radiotherapy (external beam radiotherapy + vaginal brachytherapy) ± platinum-based concurrent chemotherapy".</w:t>
            </w:r>
            <w:r w:rsidRPr="00CB2EC4">
              <w:rPr>
                <w:rFonts w:ascii="Times New Roman" w:hAnsi="Times New Roman" w:cs="Times New Roman"/>
              </w:rPr>
              <w:br/>
              <w:t xml:space="preserve">  - The fourth document fragment under the "IB3</w:t>
            </w:r>
            <w:r w:rsidRPr="00CB2EC4">
              <w:rPr>
                <w:rFonts w:ascii="Times New Roman" w:hAnsi="Times New Roman" w:cs="Times New Roman"/>
              </w:rPr>
              <w:t>期、</w:t>
            </w:r>
            <w:r w:rsidRPr="00CB2EC4">
              <w:rPr>
                <w:rFonts w:ascii="Times New Roman" w:hAnsi="Times New Roman" w:cs="Times New Roman"/>
              </w:rPr>
              <w:t>IIA2</w:t>
            </w:r>
            <w:r w:rsidRPr="00CB2EC4">
              <w:rPr>
                <w:rFonts w:ascii="Times New Roman" w:hAnsi="Times New Roman" w:cs="Times New Roman"/>
              </w:rPr>
              <w:t>期</w:t>
            </w:r>
            <w:r w:rsidRPr="00CB2EC4">
              <w:rPr>
                <w:rFonts w:ascii="Times New Roman" w:hAnsi="Times New Roman" w:cs="Times New Roman"/>
              </w:rPr>
              <w:t xml:space="preserve"> FIGO 2018</w:t>
            </w:r>
            <w:r w:rsidRPr="00CB2EC4">
              <w:rPr>
                <w:rFonts w:ascii="Times New Roman" w:hAnsi="Times New Roman" w:cs="Times New Roman"/>
              </w:rPr>
              <w:t>不保留生育功能</w:t>
            </w:r>
            <w:r w:rsidRPr="00CB2EC4">
              <w:rPr>
                <w:rFonts w:ascii="Times New Roman" w:hAnsi="Times New Roman" w:cs="Times New Roman"/>
              </w:rPr>
              <w:t>" section also recommends: "concurrent chemoradiotherapy".</w:t>
            </w:r>
            <w:r w:rsidRPr="00CB2EC4">
              <w:rPr>
                <w:rFonts w:ascii="Times New Roman" w:hAnsi="Times New Roman" w:cs="Times New Roman"/>
              </w:rPr>
              <w:br/>
              <w:t xml:space="preserve">  - The documents indicate that for locally advanced cervical cancer (such as IB3 and IIA2 stages), </w:t>
            </w:r>
            <w:r w:rsidRPr="00CB2EC4">
              <w:rPr>
                <w:rFonts w:ascii="Times New Roman" w:hAnsi="Times New Roman" w:cs="Times New Roman"/>
              </w:rPr>
              <w:lastRenderedPageBreak/>
              <w:t>concurrent chemoradiotherapy is the preferred first-line treatment, as surgical outcomes may be inferior to those of chemoradiotherapy.</w:t>
            </w:r>
            <w:r w:rsidRPr="00CB2EC4">
              <w:rPr>
                <w:rFonts w:ascii="Times New Roman" w:hAnsi="Times New Roman" w:cs="Times New Roman"/>
              </w:rPr>
              <w:br/>
              <w:t>- Therefore, concurrent chemoradiotherapy is the primary treatment option; surgery (such as radical hysterectomy) is only an alternative in specific circumstances (Level II or III recommendation), but concurrent chemoradiotherapy remains the core regimen.</w:t>
            </w:r>
          </w:p>
        </w:tc>
        <w:tc>
          <w:tcPr>
            <w:tcW w:w="1152" w:type="dxa"/>
            <w:vAlign w:val="center"/>
          </w:tcPr>
          <w:p w14:paraId="295898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6E1DA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194BC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15A0B7" w14:textId="77777777">
        <w:tc>
          <w:tcPr>
            <w:tcW w:w="2160" w:type="dxa"/>
            <w:vAlign w:val="center"/>
          </w:tcPr>
          <w:p w14:paraId="571930E8"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C7611F0"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and are staged as IB3 or IIA2, the recommended treatment measures are:</w:t>
            </w:r>
            <w:r w:rsidRPr="00CB2EC4">
              <w:rPr>
                <w:rFonts w:ascii="Times New Roman" w:hAnsi="Times New Roman" w:cs="Times New Roman"/>
              </w:rPr>
              <w:br/>
            </w:r>
            <w:r w:rsidRPr="00CB2EC4">
              <w:rPr>
                <w:rFonts w:ascii="Times New Roman" w:hAnsi="Times New Roman" w:cs="Times New Roman"/>
              </w:rPr>
              <w:br/>
              <w:t>- **Level I recommendation:** radical radiotherapy (external beam radiotherapy + vaginal brachytherapy) ± platinum-based concurrent chemotherapy.</w:t>
            </w:r>
            <w:r w:rsidRPr="00CB2EC4">
              <w:rPr>
                <w:rFonts w:ascii="Times New Roman" w:hAnsi="Times New Roman" w:cs="Times New Roman"/>
              </w:rPr>
              <w:br/>
              <w:t>- **Level II recommendation:** type C radical hysterectomy + pelvic lymphadenectomy + para-aortic lymphadenectomy.</w:t>
            </w:r>
            <w:r w:rsidRPr="00CB2EC4">
              <w:rPr>
                <w:rFonts w:ascii="Times New Roman" w:hAnsi="Times New Roman" w:cs="Times New Roman"/>
              </w:rPr>
              <w:br/>
            </w:r>
            <w:r w:rsidRPr="00CB2EC4">
              <w:rPr>
                <w:rFonts w:ascii="Times New Roman" w:hAnsi="Times New Roman" w:cs="Times New Roman"/>
              </w:rPr>
              <w:br/>
              <w:t>based on the provided context:</w:t>
            </w:r>
            <w:r w:rsidRPr="00CB2EC4">
              <w:rPr>
                <w:rFonts w:ascii="Times New Roman" w:hAnsi="Times New Roman" w:cs="Times New Roman"/>
              </w:rPr>
              <w:br/>
              <w:t>- document fragment 1 explicitly states that for IB3 and IIA2 stages, the primary (Level I) recommendation is radical radiotherapy with or without concurrent platinum-based chemotherapy, while surgical options are secondary (Level II).</w:t>
            </w:r>
            <w:r w:rsidRPr="00CB2EC4">
              <w:rPr>
                <w:rFonts w:ascii="Times New Roman" w:hAnsi="Times New Roman" w:cs="Times New Roman"/>
              </w:rPr>
              <w:br/>
              <w:t>- document fragment 18 (FIGO guidelines comparison table) also lists concurrent chemoradiotherapy as the preferred option for IB3/IIA2 stages.</w:t>
            </w:r>
            <w:r w:rsidRPr="00CB2EC4">
              <w:rPr>
                <w:rFonts w:ascii="Times New Roman" w:hAnsi="Times New Roman" w:cs="Times New Roman"/>
              </w:rPr>
              <w:br/>
            </w:r>
            <w:r w:rsidRPr="00CB2EC4">
              <w:rPr>
                <w:rFonts w:ascii="Times New Roman" w:hAnsi="Times New Roman" w:cs="Times New Roman"/>
              </w:rPr>
              <w:br/>
              <w:t>therefore, for IB3 or IIA2 stage patients not desiring fertility preservation, the Level I recommended treatment is radical radiotherapy (external beam radiotherapy + vaginal brachytherapy) ± platinum-</w:t>
            </w:r>
            <w:r w:rsidRPr="00CB2EC4">
              <w:rPr>
                <w:rFonts w:ascii="Times New Roman" w:hAnsi="Times New Roman" w:cs="Times New Roman"/>
              </w:rPr>
              <w:lastRenderedPageBreak/>
              <w:t>based concurrent chemotherapy. surgery (e.g., type C radical hysterectomy) is only a Level II recommendation, applicable in specific clinical studies or when radiotherapy is unavailable.</w:t>
            </w:r>
          </w:p>
        </w:tc>
        <w:tc>
          <w:tcPr>
            <w:tcW w:w="1152" w:type="dxa"/>
            <w:vAlign w:val="center"/>
          </w:tcPr>
          <w:p w14:paraId="589B26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31A9E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F4794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B7623A9" w14:textId="77777777">
        <w:tc>
          <w:tcPr>
            <w:tcW w:w="2160" w:type="dxa"/>
            <w:vAlign w:val="center"/>
          </w:tcPr>
          <w:p w14:paraId="30C37023"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4B1B885"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patients who do not wish to preserve fertility and are staged as IB3 or IIA2, the level I recommended treatment is radical radiotherapy (external beam radiotherapy + vaginal brachytherapy) ± platinum-based concurrent chemotherapy.</w:t>
            </w:r>
            <w:r w:rsidRPr="00CB2EC4">
              <w:rPr>
                <w:rFonts w:ascii="Times New Roman" w:hAnsi="Times New Roman" w:cs="Times New Roman"/>
              </w:rPr>
              <w:br/>
            </w:r>
            <w:r w:rsidRPr="00CB2EC4">
              <w:rPr>
                <w:rFonts w:ascii="Times New Roman" w:hAnsi="Times New Roman" w:cs="Times New Roman"/>
              </w:rPr>
              <w:br/>
              <w:t>according to the document: "For IB3 and IIA2 stages, Level I recommendation: radical radiotherapy (external beam radiotherapy + vaginal brachytherapy) ± platinum-based concurrent chemotherapy." additionally, "For IB3 and IIA2 stages (FIGO 2018) without fertility preservation: concurrent chemoradiotherapy" supports this recommendation, where "concurrent chemoradiotherapy" is equivalent to concurrent chemoradiotherapy.</w:t>
            </w:r>
          </w:p>
        </w:tc>
        <w:tc>
          <w:tcPr>
            <w:tcW w:w="1152" w:type="dxa"/>
            <w:vAlign w:val="center"/>
          </w:tcPr>
          <w:p w14:paraId="41009C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F9155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5940A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C53CFA3" w14:textId="77777777">
        <w:tc>
          <w:tcPr>
            <w:tcW w:w="2160" w:type="dxa"/>
            <w:vAlign w:val="center"/>
          </w:tcPr>
          <w:p w14:paraId="2E42FA7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A905D0F" w14:textId="77777777" w:rsidR="00922249" w:rsidRPr="00CB2EC4" w:rsidRDefault="003011D5">
            <w:pPr>
              <w:rPr>
                <w:rFonts w:ascii="Times New Roman" w:hAnsi="Times New Roman" w:cs="Times New Roman"/>
              </w:rPr>
            </w:pPr>
            <w:r w:rsidRPr="00CB2EC4">
              <w:rPr>
                <w:rFonts w:ascii="Times New Roman" w:hAnsi="Times New Roman" w:cs="Times New Roman"/>
              </w:rPr>
              <w:t>Treatment measures for IB3 or IIA2 stage</w:t>
            </w:r>
            <w:r w:rsidRPr="00CB2EC4">
              <w:rPr>
                <w:rFonts w:ascii="Times New Roman" w:hAnsi="Times New Roman" w:cs="Times New Roman"/>
              </w:rPr>
              <w:br/>
            </w:r>
            <w:r w:rsidRPr="00CB2EC4">
              <w:rPr>
                <w:rFonts w:ascii="Times New Roman" w:hAnsi="Times New Roman" w:cs="Times New Roman"/>
              </w:rPr>
              <w:br/>
              <w:t>Recommended regimen: Concurrent chemoradiotherapy (platinum-based)</w:t>
            </w:r>
            <w:r w:rsidRPr="00CB2EC4">
              <w:rPr>
                <w:rFonts w:ascii="Times New Roman" w:hAnsi="Times New Roman" w:cs="Times New Roman"/>
              </w:rPr>
              <w:br/>
              <w:t>- Basis:</w:t>
            </w:r>
            <w:r w:rsidRPr="00CB2EC4">
              <w:rPr>
                <w:rFonts w:ascii="Times New Roman" w:hAnsi="Times New Roman" w:cs="Times New Roman"/>
              </w:rPr>
              <w:br/>
              <w:t xml:space="preserve">  - IB3 and IIA2 stages are classified as locally advanced cervical cancer; Level I recommendation for concurrent chemoradiotherapy as first-line treatment (external beam radiotherapy + vaginal brachytherapy ± platinum-based chemotherapy) (Document fragments 1, 10, 17).</w:t>
            </w:r>
            <w:r w:rsidRPr="00CB2EC4">
              <w:rPr>
                <w:rFonts w:ascii="Times New Roman" w:hAnsi="Times New Roman" w:cs="Times New Roman"/>
              </w:rPr>
              <w:br/>
              <w:t xml:space="preserve">  - Exception: In regions with limited radiotherapy resources, neoadjuvant chemotherapy followed by surgery may be considered, but the evidence level is </w:t>
            </w:r>
            <w:r w:rsidRPr="00CB2EC4">
              <w:rPr>
                <w:rFonts w:ascii="Times New Roman" w:hAnsi="Times New Roman" w:cs="Times New Roman"/>
              </w:rPr>
              <w:lastRenderedPageBreak/>
              <w:t>low (Document fragments 1, 17).</w:t>
            </w:r>
            <w:r w:rsidRPr="00CB2EC4">
              <w:rPr>
                <w:rFonts w:ascii="Times New Roman" w:hAnsi="Times New Roman" w:cs="Times New Roman"/>
              </w:rPr>
              <w:br/>
            </w:r>
            <w:r w:rsidRPr="00CB2EC4">
              <w:rPr>
                <w:rFonts w:ascii="Times New Roman" w:hAnsi="Times New Roman" w:cs="Times New Roman"/>
              </w:rPr>
              <w:br/>
              <w:t>Key notes</w:t>
            </w:r>
            <w:r w:rsidRPr="00CB2EC4">
              <w:rPr>
                <w:rFonts w:ascii="Times New Roman" w:hAnsi="Times New Roman" w:cs="Times New Roman"/>
              </w:rPr>
              <w:br/>
              <w:t>- All recommendations are based on non-fertility-sparing approaches and derived from the highest evidence level (Level I) within the context.</w:t>
            </w:r>
            <w:r w:rsidRPr="00CB2EC4">
              <w:rPr>
                <w:rFonts w:ascii="Times New Roman" w:hAnsi="Times New Roman" w:cs="Times New Roman"/>
              </w:rPr>
              <w:br/>
              <w:t>- Surgical classification reference:</w:t>
            </w:r>
            <w:r w:rsidRPr="00CB2EC4">
              <w:rPr>
                <w:rFonts w:ascii="Times New Roman" w:hAnsi="Times New Roman" w:cs="Times New Roman"/>
              </w:rPr>
              <w:br/>
              <w:t xml:space="preserve">  - Type A (simple hysterectomy): IA1 stage without LVSI.</w:t>
            </w:r>
            <w:r w:rsidRPr="00CB2EC4">
              <w:rPr>
                <w:rFonts w:ascii="Times New Roman" w:hAnsi="Times New Roman" w:cs="Times New Roman"/>
              </w:rPr>
              <w:br/>
              <w:t xml:space="preserve">  - Type B (modified radical hysterectomy): IA1 stage with LVSI or IA2 stage.</w:t>
            </w:r>
            <w:r w:rsidRPr="00CB2EC4">
              <w:rPr>
                <w:rFonts w:ascii="Times New Roman" w:hAnsi="Times New Roman" w:cs="Times New Roman"/>
              </w:rPr>
              <w:br/>
              <w:t xml:space="preserve">  - Type C (radical hysterectomy): IB1 to IIA stage.</w:t>
            </w:r>
            <w:r w:rsidRPr="00CB2EC4">
              <w:rPr>
                <w:rFonts w:ascii="Times New Roman" w:hAnsi="Times New Roman" w:cs="Times New Roman"/>
              </w:rPr>
              <w:br/>
              <w:t>- No unanswered cases: All questions can be definitively answered using the provided context; no instances of "answer not found in knowledge base."</w:t>
            </w:r>
            <w:r w:rsidRPr="00CB2EC4">
              <w:rPr>
                <w:rFonts w:ascii="Times New Roman" w:hAnsi="Times New Roman" w:cs="Times New Roman"/>
              </w:rPr>
              <w:br/>
            </w:r>
            <w:r w:rsidRPr="00CB2EC4">
              <w:rPr>
                <w:rFonts w:ascii="Times New Roman" w:hAnsi="Times New Roman" w:cs="Times New Roman"/>
              </w:rPr>
              <w:br/>
              <w:t>Reference citations:</w:t>
            </w:r>
            <w:r w:rsidRPr="00CB2EC4">
              <w:rPr>
                <w:rFonts w:ascii="Times New Roman" w:hAnsi="Times New Roman" w:cs="Times New Roman"/>
              </w:rPr>
              <w:br/>
              <w:t>- Surgical classification and indications: Document fragment 7 (Table 2), fragment 14 (Table 6-1).</w:t>
            </w:r>
            <w:r w:rsidRPr="00CB2EC4">
              <w:rPr>
                <w:rFonts w:ascii="Times New Roman" w:hAnsi="Times New Roman" w:cs="Times New Roman"/>
              </w:rPr>
              <w:br/>
              <w:t>- Staging treatment principles: Document fragments 1, 4, 6, 10, 17.</w:t>
            </w:r>
          </w:p>
        </w:tc>
        <w:tc>
          <w:tcPr>
            <w:tcW w:w="1152" w:type="dxa"/>
            <w:vAlign w:val="center"/>
          </w:tcPr>
          <w:p w14:paraId="6F4EE5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0C79C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DEA4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9A7C82D" w14:textId="77777777">
        <w:tc>
          <w:tcPr>
            <w:tcW w:w="2160" w:type="dxa"/>
            <w:vAlign w:val="center"/>
          </w:tcPr>
          <w:p w14:paraId="265169DF"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C5758B2"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do not wish to preserve fertility and have stage IB3 or IIA2 disease, the recommended treatment is radical radiotherapy (external beam radiotherapy + vaginal brachytherapy) ± concurrent platinum-based chemotherapy (i.e., concurrent chemoradiation). Concurrent chemoradiation is the preferred first-line treatment. Surgery (such as radical hysterectomy) is considered only as a secondary or tertiary option in specific circumstances.</w:t>
            </w:r>
          </w:p>
        </w:tc>
        <w:tc>
          <w:tcPr>
            <w:tcW w:w="1152" w:type="dxa"/>
            <w:vAlign w:val="center"/>
          </w:tcPr>
          <w:p w14:paraId="5DF25F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645E2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1FEDE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47904D9" w14:textId="77777777">
        <w:tc>
          <w:tcPr>
            <w:tcW w:w="2160" w:type="dxa"/>
            <w:vAlign w:val="center"/>
          </w:tcPr>
          <w:p w14:paraId="54B7324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30F9B2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patient does not wish to preserve fertility and is staged as IB3 or </w:t>
            </w:r>
            <w:r w:rsidRPr="00CB2EC4">
              <w:rPr>
                <w:rFonts w:ascii="Times New Roman" w:hAnsi="Times New Roman" w:cs="Times New Roman"/>
              </w:rPr>
              <w:lastRenderedPageBreak/>
              <w:t>IIA2, the recommended treatment measure is:</w:t>
            </w:r>
            <w:r w:rsidRPr="00CB2EC4">
              <w:rPr>
                <w:rFonts w:ascii="Times New Roman" w:hAnsi="Times New Roman" w:cs="Times New Roman"/>
              </w:rPr>
              <w:br/>
            </w:r>
            <w:r w:rsidRPr="00CB2EC4">
              <w:rPr>
                <w:rFonts w:ascii="Times New Roman" w:hAnsi="Times New Roman" w:cs="Times New Roman"/>
              </w:rPr>
              <w:br/>
              <w:t>Treatment measure: Concurrent chemoradiotherapy (CCRT).</w:t>
            </w:r>
            <w:r w:rsidRPr="00CB2EC4">
              <w:rPr>
                <w:rFonts w:ascii="Times New Roman" w:hAnsi="Times New Roman" w:cs="Times New Roman"/>
              </w:rPr>
              <w:br/>
              <w:t>- Basis: The FIGO 2018 guidelines prioritize concurrent chemoradiotherapy as the standard treatment for IB3 and IIA2 stages, rather than surgery, because when the tumor is large (&gt;4 cm), surgery carries high risks and is associated with a high recurrence rate.</w:t>
            </w:r>
          </w:p>
        </w:tc>
        <w:tc>
          <w:tcPr>
            <w:tcW w:w="1152" w:type="dxa"/>
            <w:vAlign w:val="center"/>
          </w:tcPr>
          <w:p w14:paraId="58C072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04B6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E68B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639DA6" w14:textId="77777777">
        <w:tc>
          <w:tcPr>
            <w:tcW w:w="10656" w:type="dxa"/>
            <w:gridSpan w:val="5"/>
            <w:tcBorders>
              <w:bottom w:val="single" w:sz="6" w:space="0" w:color="auto"/>
            </w:tcBorders>
            <w:vAlign w:val="center"/>
          </w:tcPr>
          <w:p w14:paraId="01BBB03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56: In cervical cancer treatment, if the patient wishes to preserve fertility, and the stage is ⅠA1 without lymphovascular space invasion, what treatment measures should be taken?</w:t>
            </w:r>
          </w:p>
        </w:tc>
      </w:tr>
      <w:tr w:rsidR="00922249" w:rsidRPr="00CB2EC4" w14:paraId="69132E2C" w14:textId="77777777">
        <w:tc>
          <w:tcPr>
            <w:tcW w:w="2160" w:type="dxa"/>
            <w:vAlign w:val="center"/>
          </w:tcPr>
          <w:p w14:paraId="40A3AC38"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212B2B0"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IA1 cervical cancer without lymphovascular space invasion (LVSI) who wish to preserve fertility, the recommended treatment is cervical conization. Specifically:</w:t>
            </w:r>
            <w:r w:rsidRPr="00CB2EC4">
              <w:rPr>
                <w:rFonts w:ascii="Times New Roman" w:hAnsi="Times New Roman" w:cs="Times New Roman"/>
              </w:rPr>
              <w:br/>
              <w:t>- For those desiring fertility preservation and with LVSI-negative status, cervical conization is indicated, and close follow-up is required if the margins are negative (based on [similarity: 0.539] fragment).</w:t>
            </w:r>
            <w:r w:rsidRPr="00CB2EC4">
              <w:rPr>
                <w:rFonts w:ascii="Times New Roman" w:hAnsi="Times New Roman" w:cs="Times New Roman"/>
              </w:rPr>
              <w:br/>
              <w:t>- The FIGO 2018 guidelines in Table 4 also explicitly recommend conization for fertility preservation (based on [similarity: 0.464] fragment).</w:t>
            </w:r>
            <w:r w:rsidRPr="00CB2EC4">
              <w:rPr>
                <w:rFonts w:ascii="Times New Roman" w:hAnsi="Times New Roman" w:cs="Times New Roman"/>
              </w:rPr>
              <w:br/>
              <w:t>- Therefore, the standard approach is cervical conization, with mandatory close follow-up postoperatively to ensure negative margins.</w:t>
            </w:r>
          </w:p>
        </w:tc>
        <w:tc>
          <w:tcPr>
            <w:tcW w:w="1152" w:type="dxa"/>
            <w:vAlign w:val="center"/>
          </w:tcPr>
          <w:p w14:paraId="025DFB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8D11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ED42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CDAFA9" w14:textId="77777777">
        <w:tc>
          <w:tcPr>
            <w:tcW w:w="2160" w:type="dxa"/>
            <w:vAlign w:val="center"/>
          </w:tcPr>
          <w:p w14:paraId="1FDF2C2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FAE53D3"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desiring fertility preservation, staged as IA1 without lymphovascular space invasion (LVSI-negative), the recommended treatment is cervical conization (including cold knife conization or LEEP).</w:t>
            </w:r>
            <w:r w:rsidRPr="00CB2EC4">
              <w:rPr>
                <w:rFonts w:ascii="Times New Roman" w:hAnsi="Times New Roman" w:cs="Times New Roman"/>
              </w:rPr>
              <w:br/>
            </w:r>
            <w:r w:rsidRPr="00CB2EC4">
              <w:rPr>
                <w:rFonts w:ascii="Times New Roman" w:hAnsi="Times New Roman" w:cs="Times New Roman"/>
              </w:rPr>
              <w:br/>
              <w:t xml:space="preserve">- Basis:  </w:t>
            </w:r>
            <w:r w:rsidRPr="00CB2EC4">
              <w:rPr>
                <w:rFonts w:ascii="Times New Roman" w:hAnsi="Times New Roman" w:cs="Times New Roman"/>
              </w:rPr>
              <w:br/>
            </w:r>
            <w:r w:rsidRPr="00CB2EC4">
              <w:rPr>
                <w:rFonts w:ascii="Times New Roman" w:hAnsi="Times New Roman" w:cs="Times New Roman"/>
              </w:rPr>
              <w:lastRenderedPageBreak/>
              <w:t xml:space="preserve">  - Document fragment 11 (block 21, title "Cervical Cancer Staging and Management Standards") explicitly states: According to FIGO 2018 guidelines, for IA1 stage with LVSI-negative and fertility preservation desired, conization is recommended; NCCN 2019 guidelines also recommend conization.  </w:t>
            </w:r>
            <w:r w:rsidRPr="00CB2EC4">
              <w:rPr>
                <w:rFonts w:ascii="Times New Roman" w:hAnsi="Times New Roman" w:cs="Times New Roman"/>
              </w:rPr>
              <w:br/>
              <w:t xml:space="preserve">  - Document fragment 22 (block 38, title "Fertility Preservation Evaluation and Treatment in Cervical Cancer") further supports: For IA1 stage with LVSI(-), Level I recommendation is cervical conization or LEEP.  </w:t>
            </w:r>
            <w:r w:rsidRPr="00CB2EC4">
              <w:rPr>
                <w:rFonts w:ascii="Times New Roman" w:hAnsi="Times New Roman" w:cs="Times New Roman"/>
              </w:rPr>
              <w:br/>
              <w:t xml:space="preserve">  - Document fragment 20 (block 474, title "Treatment of Early Invasive Adenocarcinoma of the Cervix") mentions that conization is feasible for IA1 stage, primarily for adenocarcinoma, with general recommendations consistent with the above.  </w:t>
            </w:r>
            <w:r w:rsidRPr="00CB2EC4">
              <w:rPr>
                <w:rFonts w:ascii="Times New Roman" w:hAnsi="Times New Roman" w:cs="Times New Roman"/>
              </w:rPr>
              <w:br/>
              <w:t>Therefore, the treatment measure is cervical conization, ensuring negative margins, and regular follow-up is required.</w:t>
            </w:r>
          </w:p>
        </w:tc>
        <w:tc>
          <w:tcPr>
            <w:tcW w:w="1152" w:type="dxa"/>
            <w:vAlign w:val="center"/>
          </w:tcPr>
          <w:p w14:paraId="6DD296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2D906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DA82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3B542C" w14:textId="77777777">
        <w:tc>
          <w:tcPr>
            <w:tcW w:w="2160" w:type="dxa"/>
            <w:vAlign w:val="center"/>
          </w:tcPr>
          <w:p w14:paraId="2CD8B898"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12E5CAA"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desiring fertility preservation, at stage IA1 without lymphovascular space invasion (LVSI-negative), the recommended treatment is cervical conization.</w:t>
            </w:r>
            <w:r w:rsidRPr="00CB2EC4">
              <w:rPr>
                <w:rFonts w:ascii="Times New Roman" w:hAnsi="Times New Roman" w:cs="Times New Roman"/>
              </w:rPr>
              <w:br/>
            </w:r>
            <w:r w:rsidRPr="00CB2EC4">
              <w:rPr>
                <w:rFonts w:ascii="Times New Roman" w:hAnsi="Times New Roman" w:cs="Times New Roman"/>
              </w:rPr>
              <w:br/>
              <w:t>- For stage IA1 with LVSI-negative requiring fertility preservation, cervical conization is feasible; if margins are negative, follow-up is indicated.</w:t>
            </w:r>
            <w:r w:rsidRPr="00CB2EC4">
              <w:rPr>
                <w:rFonts w:ascii="Times New Roman" w:hAnsi="Times New Roman" w:cs="Times New Roman"/>
              </w:rPr>
              <w:br/>
              <w:t>- IA1 stage, LVSI-negative, FIGO 2018 fertility-sparing: conization.</w:t>
            </w:r>
            <w:r w:rsidRPr="00CB2EC4">
              <w:rPr>
                <w:rFonts w:ascii="Times New Roman" w:hAnsi="Times New Roman" w:cs="Times New Roman"/>
              </w:rPr>
              <w:br/>
              <w:t>- IA1 stage, LVSI(-): Level I recommendation: cervical conization or LEEP.</w:t>
            </w:r>
            <w:r w:rsidRPr="00CB2EC4">
              <w:rPr>
                <w:rFonts w:ascii="Times New Roman" w:hAnsi="Times New Roman" w:cs="Times New Roman"/>
              </w:rPr>
              <w:br/>
              <w:t>- IA1 stage without LVSI: Level I recommendation: cervical conization (ensuring at least 3 mm negative margins).</w:t>
            </w:r>
            <w:r w:rsidRPr="00CB2EC4">
              <w:rPr>
                <w:rFonts w:ascii="Times New Roman" w:hAnsi="Times New Roman" w:cs="Times New Roman"/>
              </w:rPr>
              <w:br/>
            </w:r>
            <w:r w:rsidRPr="00CB2EC4">
              <w:rPr>
                <w:rFonts w:ascii="Times New Roman" w:hAnsi="Times New Roman" w:cs="Times New Roman"/>
              </w:rPr>
              <w:lastRenderedPageBreak/>
              <w:t>- For confirmed IA1 cervical adenocarcinoma, conservative surgery such as cervical conization may be selected.</w:t>
            </w:r>
            <w:r w:rsidRPr="00CB2EC4">
              <w:rPr>
                <w:rFonts w:ascii="Times New Roman" w:hAnsi="Times New Roman" w:cs="Times New Roman"/>
              </w:rPr>
              <w:br/>
            </w:r>
            <w:r w:rsidRPr="00CB2EC4">
              <w:rPr>
                <w:rFonts w:ascii="Times New Roman" w:hAnsi="Times New Roman" w:cs="Times New Roman"/>
              </w:rPr>
              <w:br/>
              <w:t>In summary, cervical conization is the preferred option, requiring negative margins (at least 3 mm) and regular follow-up.</w:t>
            </w:r>
          </w:p>
        </w:tc>
        <w:tc>
          <w:tcPr>
            <w:tcW w:w="1152" w:type="dxa"/>
            <w:vAlign w:val="center"/>
          </w:tcPr>
          <w:p w14:paraId="3AA597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A3E8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0B94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9709B1" w14:textId="77777777">
        <w:tc>
          <w:tcPr>
            <w:tcW w:w="2160" w:type="dxa"/>
            <w:vAlign w:val="center"/>
          </w:tcPr>
          <w:p w14:paraId="4E18DE38"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B11FA10"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patient wishes to preserve fertility, is staged as IA1 without lymphovascular space invasion (LVSI), the recommended treatment measure is:</w:t>
            </w:r>
            <w:r w:rsidRPr="00CB2EC4">
              <w:rPr>
                <w:rFonts w:ascii="Times New Roman" w:hAnsi="Times New Roman" w:cs="Times New Roman"/>
              </w:rPr>
              <w:br/>
            </w:r>
            <w:r w:rsidRPr="00CB2EC4">
              <w:rPr>
                <w:rFonts w:ascii="Times New Roman" w:hAnsi="Times New Roman" w:cs="Times New Roman"/>
              </w:rPr>
              <w:br/>
              <w:t>cervical conization (preferably cold knife conization or LEEP), requiring negative margins (at least 1 mm or 3 mm), with regular follow-up after surgery.</w:t>
            </w:r>
            <w:r w:rsidRPr="00CB2EC4">
              <w:rPr>
                <w:rFonts w:ascii="Times New Roman" w:hAnsi="Times New Roman" w:cs="Times New Roman"/>
              </w:rPr>
              <w:br/>
            </w:r>
            <w:r w:rsidRPr="00CB2EC4">
              <w:rPr>
                <w:rFonts w:ascii="Times New Roman" w:hAnsi="Times New Roman" w:cs="Times New Roman"/>
              </w:rPr>
              <w:br/>
              <w:t>analysis of information sources:</w:t>
            </w:r>
            <w:r w:rsidRPr="00CB2EC4">
              <w:rPr>
                <w:rFonts w:ascii="Times New Roman" w:hAnsi="Times New Roman" w:cs="Times New Roman"/>
              </w:rPr>
              <w:br/>
              <w:t>- knowledge base document: explicitly states that for IA1 stage without LVSI, cervical conization is the first-line option to preserve fertility (e.g., "IA1 stage without lymphovascular space infiltration... cervical conization can be performed"). emphasizes that negative margins are critical, and close follow-up is required postoperatively (e.g., cervical cytology every 3–6 months).</w:t>
            </w:r>
            <w:r w:rsidRPr="00CB2EC4">
              <w:rPr>
                <w:rFonts w:ascii="Times New Roman" w:hAnsi="Times New Roman" w:cs="Times New Roman"/>
              </w:rPr>
              <w:br/>
              <w:t>- web search results: also recommend cervical conization (e.g., "IA1 stage without LVSI suggests conization, with negative margin &gt;1 mm allowing follow-up observation postoperatively"). additionally note that the conization specimen must be intact to reduce recurrence risk.</w:t>
            </w:r>
            <w:r w:rsidRPr="00CB2EC4">
              <w:rPr>
                <w:rFonts w:ascii="Times New Roman" w:hAnsi="Times New Roman" w:cs="Times New Roman"/>
              </w:rPr>
              <w:br/>
            </w:r>
            <w:r w:rsidRPr="00CB2EC4">
              <w:rPr>
                <w:rFonts w:ascii="Times New Roman" w:hAnsi="Times New Roman" w:cs="Times New Roman"/>
              </w:rPr>
              <w:br/>
              <w:t xml:space="preserve">synthesized conclusion: both the knowledge base and web search consistently recommend cervical </w:t>
            </w:r>
            <w:r w:rsidRPr="00CB2EC4">
              <w:rPr>
                <w:rFonts w:ascii="Times New Roman" w:hAnsi="Times New Roman" w:cs="Times New Roman"/>
              </w:rPr>
              <w:lastRenderedPageBreak/>
              <w:t>conization as the standard treatment for IA1 stage without LVSI when fertility preservation is desired. patients with negative margins after conization can avoid further surgery; if margins are positive, repeat conization or conversion to trachelectomy is indicated. follow-up includes HPV testing and imaging surveillance.</w:t>
            </w:r>
          </w:p>
        </w:tc>
        <w:tc>
          <w:tcPr>
            <w:tcW w:w="1152" w:type="dxa"/>
            <w:vAlign w:val="center"/>
          </w:tcPr>
          <w:p w14:paraId="6BB30A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B930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93E3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91BB1D5" w14:textId="77777777">
        <w:tc>
          <w:tcPr>
            <w:tcW w:w="2160" w:type="dxa"/>
            <w:vAlign w:val="center"/>
          </w:tcPr>
          <w:p w14:paraId="6A5B7316"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15AFE24"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stage IA1 without lymphovascular space invasion (LVSI(-)) who wish to preserve fertility, the recommended treatment is cervical conization. ensure negative margins postoperatively and conduct follow-up.</w:t>
            </w:r>
            <w:r w:rsidRPr="00CB2EC4">
              <w:rPr>
                <w:rFonts w:ascii="Times New Roman" w:hAnsi="Times New Roman" w:cs="Times New Roman"/>
              </w:rPr>
              <w:br/>
              <w:t>- based on:</w:t>
            </w:r>
            <w:r w:rsidRPr="00CB2EC4">
              <w:rPr>
                <w:rFonts w:ascii="Times New Roman" w:hAnsi="Times New Roman" w:cs="Times New Roman"/>
              </w:rPr>
              <w:br/>
              <w:t xml:space="preserve">  - document fragment 1 (section 4.1.1.1): "for those requiring fertility preservation, LVSI(-) may undergo cervical conization; those with negative margins are followed up."</w:t>
            </w:r>
            <w:r w:rsidRPr="00CB2EC4">
              <w:rPr>
                <w:rFonts w:ascii="Times New Roman" w:hAnsi="Times New Roman" w:cs="Times New Roman"/>
              </w:rPr>
              <w:br/>
              <w:t xml:space="preserve">  - document fragment 15 (table): "FIGO 2018 fertility-sparing: conization."</w:t>
            </w:r>
            <w:r w:rsidRPr="00CB2EC4">
              <w:rPr>
                <w:rFonts w:ascii="Times New Roman" w:hAnsi="Times New Roman" w:cs="Times New Roman"/>
              </w:rPr>
              <w:br/>
              <w:t xml:space="preserve">  - document fragment 21: "for stage IA1 LVSI negative with fertility preservation: conization."</w:t>
            </w:r>
            <w:r w:rsidRPr="00CB2EC4">
              <w:rPr>
                <w:rFonts w:ascii="Times New Roman" w:hAnsi="Times New Roman" w:cs="Times New Roman"/>
              </w:rPr>
              <w:br/>
              <w:t xml:space="preserve">  therefore, this is the standard recommended approach; no adjuvant surgery or radiotherapy is required.</w:t>
            </w:r>
          </w:p>
        </w:tc>
        <w:tc>
          <w:tcPr>
            <w:tcW w:w="1152" w:type="dxa"/>
            <w:vAlign w:val="center"/>
          </w:tcPr>
          <w:p w14:paraId="2AD47B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864D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65A2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89EDB1" w14:textId="77777777">
        <w:tc>
          <w:tcPr>
            <w:tcW w:w="2160" w:type="dxa"/>
            <w:vAlign w:val="center"/>
          </w:tcPr>
          <w:p w14:paraId="56820195"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4839CB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who wish to preserve fertility, at stage IA1 and without lymphovascular space invasion (LVSI), the recommended treatment is cervical conization. after the procedure, ensure negative surgical margins and conduct follow-up.  </w:t>
            </w:r>
            <w:r w:rsidRPr="00CB2EC4">
              <w:rPr>
                <w:rFonts w:ascii="Times New Roman" w:hAnsi="Times New Roman" w:cs="Times New Roman"/>
              </w:rPr>
              <w:br/>
              <w:t xml:space="preserve">- basis:  </w:t>
            </w:r>
            <w:r w:rsidRPr="00CB2EC4">
              <w:rPr>
                <w:rFonts w:ascii="Times New Roman" w:hAnsi="Times New Roman" w:cs="Times New Roman"/>
              </w:rPr>
              <w:br/>
              <w:t xml:space="preserve">  - related document 3 (fusion score: 0.5656) states: “for those requiring preservation of fertility function, LVSI (-) may undergo cervical conization; those with </w:t>
            </w:r>
            <w:r w:rsidRPr="00CB2EC4">
              <w:rPr>
                <w:rFonts w:ascii="Times New Roman" w:hAnsi="Times New Roman" w:cs="Times New Roman"/>
              </w:rPr>
              <w:lastRenderedPageBreak/>
              <w:t xml:space="preserve">negative margins are followed up.”  </w:t>
            </w:r>
            <w:r w:rsidRPr="00CB2EC4">
              <w:rPr>
                <w:rFonts w:ascii="Times New Roman" w:hAnsi="Times New Roman" w:cs="Times New Roman"/>
              </w:rPr>
              <w:br/>
              <w:t xml:space="preserve">  - related document 10 (fusion score: 0.4787) per FIGO 2018 guidelines recommends: “IA1 stage, LVSI negative, fertility preservation: conization.”</w:t>
            </w:r>
          </w:p>
        </w:tc>
        <w:tc>
          <w:tcPr>
            <w:tcW w:w="1152" w:type="dxa"/>
            <w:vAlign w:val="center"/>
          </w:tcPr>
          <w:p w14:paraId="58205F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CEDC9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5EF2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7E2A3B" w14:textId="77777777">
        <w:tc>
          <w:tcPr>
            <w:tcW w:w="2160" w:type="dxa"/>
            <w:vAlign w:val="center"/>
          </w:tcPr>
          <w:p w14:paraId="28708D5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0EC48D6"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desiring fertility preservation, staged as FIGO IA1 and without lymphovascular space invasion (LVSI-negative), the recommended treatment is conservative surgical excision, specifically:</w:t>
            </w:r>
            <w:r w:rsidRPr="00CB2EC4">
              <w:rPr>
                <w:rFonts w:ascii="Times New Roman" w:hAnsi="Times New Roman" w:cs="Times New Roman"/>
              </w:rPr>
              <w:br/>
            </w:r>
            <w:r w:rsidRPr="00CB2EC4">
              <w:rPr>
                <w:rFonts w:ascii="Times New Roman" w:hAnsi="Times New Roman" w:cs="Times New Roman"/>
              </w:rPr>
              <w:br/>
              <w:t>- cervical conization (cold knife conization) or</w:t>
            </w:r>
            <w:r w:rsidRPr="00CB2EC4">
              <w:rPr>
                <w:rFonts w:ascii="Times New Roman" w:hAnsi="Times New Roman" w:cs="Times New Roman"/>
              </w:rPr>
              <w:br/>
              <w:t>- loop electrosurgical excision procedure (LEEP)</w:t>
            </w:r>
            <w:r w:rsidRPr="00CB2EC4">
              <w:rPr>
                <w:rFonts w:ascii="Times New Roman" w:hAnsi="Times New Roman" w:cs="Times New Roman"/>
              </w:rPr>
              <w:br/>
            </w:r>
            <w:r w:rsidRPr="00CB2EC4">
              <w:rPr>
                <w:rFonts w:ascii="Times New Roman" w:hAnsi="Times New Roman" w:cs="Times New Roman"/>
              </w:rPr>
              <w:br/>
              <w:t>evidence from the knowledge base:</w:t>
            </w:r>
            <w:r w:rsidRPr="00CB2EC4">
              <w:rPr>
                <w:rFonts w:ascii="Times New Roman" w:hAnsi="Times New Roman" w:cs="Times New Roman"/>
              </w:rPr>
              <w:br/>
              <w:t>- "For IA1 stage patients wishing to preserve fertility and with LVSI (-), cervical conization is feasible; those with negative margins should be followed up."</w:t>
            </w:r>
            <w:r w:rsidRPr="00CB2EC4">
              <w:rPr>
                <w:rFonts w:ascii="Times New Roman" w:hAnsi="Times New Roman" w:cs="Times New Roman"/>
              </w:rPr>
              <w:br/>
              <w:t>- "IA1 stage, LVSI(-): Level I recommendation: cervical conization or LEEP."</w:t>
            </w:r>
            <w:r w:rsidRPr="00CB2EC4">
              <w:rPr>
                <w:rFonts w:ascii="Times New Roman" w:hAnsi="Times New Roman" w:cs="Times New Roman"/>
              </w:rPr>
              <w:br/>
              <w:t>- "IA1 stage, LVSI-negative, FIGO 2018 fertility-sparing: conization."</w:t>
            </w:r>
            <w:r w:rsidRPr="00CB2EC4">
              <w:rPr>
                <w:rFonts w:ascii="Times New Roman" w:hAnsi="Times New Roman" w:cs="Times New Roman"/>
              </w:rPr>
              <w:br/>
            </w:r>
            <w:r w:rsidRPr="00CB2EC4">
              <w:rPr>
                <w:rFonts w:ascii="Times New Roman" w:hAnsi="Times New Roman" w:cs="Times New Roman"/>
              </w:rPr>
              <w:br/>
              <w:t>treatment core: perform cervical conization or LEEP to remove the lesion while preserving the uterine corpus. postoperative regular follow-up (e.g., cytology and colposcopy every 3–6 months) is mandatory to monitor for recurrence. if margins are positive, repeat conization or escalation of treatment may be needed, though detailed subsequent steps are not specified in the source documents.</w:t>
            </w:r>
          </w:p>
        </w:tc>
        <w:tc>
          <w:tcPr>
            <w:tcW w:w="1152" w:type="dxa"/>
            <w:vAlign w:val="center"/>
          </w:tcPr>
          <w:p w14:paraId="03B2EC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2C50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07E2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3CDA90" w14:textId="77777777">
        <w:tc>
          <w:tcPr>
            <w:tcW w:w="2160" w:type="dxa"/>
            <w:vAlign w:val="center"/>
          </w:tcPr>
          <w:p w14:paraId="0926F513"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694930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desiring fertility preservation, staged as IA1 without lymphovascular space invasion, the recommended treatment is cervical </w:t>
            </w:r>
            <w:r w:rsidRPr="00CB2EC4">
              <w:rPr>
                <w:rFonts w:ascii="Times New Roman" w:hAnsi="Times New Roman" w:cs="Times New Roman"/>
              </w:rPr>
              <w:lastRenderedPageBreak/>
              <w:t>conization or LEEP (loop electrosurgical excision procedure). after the procedure, close follow-up is required to ensure negative margins.</w:t>
            </w:r>
          </w:p>
        </w:tc>
        <w:tc>
          <w:tcPr>
            <w:tcW w:w="1152" w:type="dxa"/>
            <w:vAlign w:val="center"/>
          </w:tcPr>
          <w:p w14:paraId="7CD82A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BD830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D645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3F0C9A" w14:textId="77777777">
        <w:tc>
          <w:tcPr>
            <w:tcW w:w="2160" w:type="dxa"/>
            <w:vAlign w:val="center"/>
          </w:tcPr>
          <w:p w14:paraId="6B99ADF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1B2B20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who wish to preserve fertility, staged as IA1 and without lymphovascular space invasion (LVSI), the recommended treatment is cervical conization.  </w:t>
            </w:r>
            <w:r w:rsidRPr="00CB2EC4">
              <w:rPr>
                <w:rFonts w:ascii="Times New Roman" w:hAnsi="Times New Roman" w:cs="Times New Roman"/>
              </w:rPr>
              <w:br/>
              <w:t xml:space="preserve">- Basis:  </w:t>
            </w:r>
            <w:r w:rsidRPr="00CB2EC4">
              <w:rPr>
                <w:rFonts w:ascii="Times New Roman" w:hAnsi="Times New Roman" w:cs="Times New Roman"/>
              </w:rPr>
              <w:br/>
              <w:t xml:space="preserve">  - The document explicitly states: "FIGO 2018 fertility-sparing: conization" for IA1 stage, LVSI-negative cases.  </w:t>
            </w:r>
            <w:r w:rsidRPr="00CB2EC4">
              <w:rPr>
                <w:rFonts w:ascii="Times New Roman" w:hAnsi="Times New Roman" w:cs="Times New Roman"/>
              </w:rPr>
              <w:br/>
              <w:t xml:space="preserve">  - Another excerpt notes: "For those requiring fertility preservation, LVSI(-) may undergo cervical conization; follow-up if margins are negative."  </w:t>
            </w:r>
            <w:r w:rsidRPr="00CB2EC4">
              <w:rPr>
                <w:rFonts w:ascii="Times New Roman" w:hAnsi="Times New Roman" w:cs="Times New Roman"/>
              </w:rPr>
              <w:br/>
              <w:t xml:space="preserve">  - Additionally, NCCN 2019 guidelines support: "IA1, LVSI(-) Category 1 recommendation: cervical conization or LEEP."  </w:t>
            </w:r>
            <w:r w:rsidRPr="00CB2EC4">
              <w:rPr>
                <w:rFonts w:ascii="Times New Roman" w:hAnsi="Times New Roman" w:cs="Times New Roman"/>
              </w:rPr>
              <w:br/>
              <w:t xml:space="preserve">  Therefore, cervical conization is the preferred approach, with postoperative confirmation of negative margins and regular follow-up required.</w:t>
            </w:r>
          </w:p>
        </w:tc>
        <w:tc>
          <w:tcPr>
            <w:tcW w:w="1152" w:type="dxa"/>
            <w:vAlign w:val="center"/>
          </w:tcPr>
          <w:p w14:paraId="3F6532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5039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B776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971D8B5" w14:textId="77777777">
        <w:tc>
          <w:tcPr>
            <w:tcW w:w="2160" w:type="dxa"/>
            <w:vAlign w:val="center"/>
          </w:tcPr>
          <w:p w14:paraId="0AD323A6"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10B578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who wish to preserve fertility, at stage IA1 and without lymphovascular space invasion (LVSI-negative), the recommended treatment is cervical conization or LEEP (loop electrosurgical excision procedure).  </w:t>
            </w:r>
            <w:r w:rsidRPr="00CB2EC4">
              <w:rPr>
                <w:rFonts w:ascii="Times New Roman" w:hAnsi="Times New Roman" w:cs="Times New Roman"/>
              </w:rPr>
              <w:br/>
              <w:t>- Source: Document excerpt 20 explicitly states: “IA1 stage LVSI(-) Level I recommendation: cervical conization or LEEP.” Other excerpts, such as document excerpt 5, also support this approach. (Note: ensure negative surgical margins.)</w:t>
            </w:r>
          </w:p>
        </w:tc>
        <w:tc>
          <w:tcPr>
            <w:tcW w:w="1152" w:type="dxa"/>
            <w:vAlign w:val="center"/>
          </w:tcPr>
          <w:p w14:paraId="0B2956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E23D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5733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919E9E9" w14:textId="77777777">
        <w:tc>
          <w:tcPr>
            <w:tcW w:w="2160" w:type="dxa"/>
            <w:vAlign w:val="center"/>
          </w:tcPr>
          <w:p w14:paraId="2F937E42"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85F700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FIGO IA1 cervical cancer without lymphovascular space invasion (LVSI negative) who wish to preserve fertility, the recommended treatment </w:t>
            </w:r>
            <w:r w:rsidRPr="00CB2EC4">
              <w:rPr>
                <w:rFonts w:ascii="Times New Roman" w:hAnsi="Times New Roman" w:cs="Times New Roman"/>
              </w:rPr>
              <w:lastRenderedPageBreak/>
              <w:t xml:space="preserve">is cervical conization. After the procedure, ensure negative margins and conduct regular follow-up. For example:  </w:t>
            </w:r>
            <w:r w:rsidRPr="00CB2EC4">
              <w:rPr>
                <w:rFonts w:ascii="Times New Roman" w:hAnsi="Times New Roman" w:cs="Times New Roman"/>
              </w:rPr>
              <w:br/>
              <w:t xml:space="preserve">- The segment with similarity 0.539 states: “IA1 stage, fertility preservation desired, LVSI (-): cervical conization may be performed; follow-up if margins are negative.”  </w:t>
            </w:r>
            <w:r w:rsidRPr="00CB2EC4">
              <w:rPr>
                <w:rFonts w:ascii="Times New Roman" w:hAnsi="Times New Roman" w:cs="Times New Roman"/>
              </w:rPr>
              <w:br/>
              <w:t xml:space="preserve">- The segment with similarity 0.464 further confirms: “IA1 stage, LVSI negative, FIGO 2018, fertility preservation: conization.”  </w:t>
            </w:r>
            <w:r w:rsidRPr="00CB2EC4">
              <w:rPr>
                <w:rFonts w:ascii="Times New Roman" w:hAnsi="Times New Roman" w:cs="Times New Roman"/>
              </w:rPr>
              <w:br/>
              <w:t>This approach applies to cases with tumor invasion depth ≤3mm and no vascular infiltration, aiming to remove the lesion while preserving the uterus.</w:t>
            </w:r>
          </w:p>
        </w:tc>
        <w:tc>
          <w:tcPr>
            <w:tcW w:w="1152" w:type="dxa"/>
            <w:vAlign w:val="center"/>
          </w:tcPr>
          <w:p w14:paraId="1059DC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7625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9661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CB5B44" w14:textId="77777777">
        <w:tc>
          <w:tcPr>
            <w:tcW w:w="2160" w:type="dxa"/>
            <w:vAlign w:val="center"/>
          </w:tcPr>
          <w:p w14:paraId="022F7A3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26F8EE0"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wish to preserve fertility, staged as IA1 without lymphovascular space invasion, the level I recommended treatment is cervical conization or LEEP (loop electrosurgical excision procedure). this applies to cases with stromal invasion depth ≤3mm and no vascular infiltration. the aim is to remove the lesion while preserving the uterine corpus to maintain fertility. after conization, negative margins must be ensured, and regular follow-up is required.</w:t>
            </w:r>
          </w:p>
        </w:tc>
        <w:tc>
          <w:tcPr>
            <w:tcW w:w="1152" w:type="dxa"/>
            <w:vAlign w:val="center"/>
          </w:tcPr>
          <w:p w14:paraId="3CC928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311F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8B44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8F95C1" w14:textId="77777777">
        <w:tc>
          <w:tcPr>
            <w:tcW w:w="2160" w:type="dxa"/>
            <w:vAlign w:val="center"/>
          </w:tcPr>
          <w:p w14:paraId="3478F64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F8BD815"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patient wishes to preserve fertility, is staged as IA1 without lymphovascular space invasion, the recommended treatment measures are:</w:t>
            </w:r>
            <w:r w:rsidRPr="00CB2EC4">
              <w:rPr>
                <w:rFonts w:ascii="Times New Roman" w:hAnsi="Times New Roman" w:cs="Times New Roman"/>
              </w:rPr>
              <w:br/>
            </w:r>
            <w:r w:rsidRPr="00CB2EC4">
              <w:rPr>
                <w:rFonts w:ascii="Times New Roman" w:hAnsi="Times New Roman" w:cs="Times New Roman"/>
              </w:rPr>
              <w:br/>
              <w:t xml:space="preserve">based on contextual information (Table 4):  </w:t>
            </w:r>
            <w:r w:rsidRPr="00CB2EC4">
              <w:rPr>
                <w:rFonts w:ascii="Times New Roman" w:hAnsi="Times New Roman" w:cs="Times New Roman"/>
              </w:rPr>
              <w:br/>
              <w:t xml:space="preserve">   - FIGO 2018 guidelines recommend: conization (for fertility preservation).  </w:t>
            </w:r>
            <w:r w:rsidRPr="00CB2EC4">
              <w:rPr>
                <w:rFonts w:ascii="Times New Roman" w:hAnsi="Times New Roman" w:cs="Times New Roman"/>
              </w:rPr>
              <w:br/>
              <w:t xml:space="preserve">   - NCCN 2019 guidelines recommend: conization with 3 mm negative margins; if margins are positive, </w:t>
            </w:r>
            <w:r w:rsidRPr="00CB2EC4">
              <w:rPr>
                <w:rFonts w:ascii="Times New Roman" w:hAnsi="Times New Roman" w:cs="Times New Roman"/>
              </w:rPr>
              <w:lastRenderedPageBreak/>
              <w:t xml:space="preserve">repeat conization or perform trachelectomy.  </w:t>
            </w:r>
            <w:r w:rsidRPr="00CB2EC4">
              <w:rPr>
                <w:rFonts w:ascii="Times New Roman" w:hAnsi="Times New Roman" w:cs="Times New Roman"/>
              </w:rPr>
              <w:br/>
              <w:t xml:space="preserve">      therefore, the treatment measure should be conization, with the specific procedure requiring negative margins (per NCCN guidelines). the context explicitly supports this approach.</w:t>
            </w:r>
          </w:p>
        </w:tc>
        <w:tc>
          <w:tcPr>
            <w:tcW w:w="1152" w:type="dxa"/>
            <w:vAlign w:val="center"/>
          </w:tcPr>
          <w:p w14:paraId="52ED67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8A8C3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6CD7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F755BF" w14:textId="77777777">
        <w:tc>
          <w:tcPr>
            <w:tcW w:w="2160" w:type="dxa"/>
            <w:vAlign w:val="center"/>
          </w:tcPr>
          <w:p w14:paraId="4670EE25"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56CE3E5"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wish to preserve fertility, with stage IA1 disease and no lymphovascular space invasion (LVSI), the recommended treatment is cervical conization (e.g., cold knife conization or LEEP). The procedure must ensure negative surgical margins (no residual tumor) and require regular follow-up monitoring (e.g., cervical cytology and HPV testing every 6 months). If pathology after conization confirms no invasive cancer, hysterectomy may be avoided to preserve fertility.</w:t>
            </w:r>
          </w:p>
        </w:tc>
        <w:tc>
          <w:tcPr>
            <w:tcW w:w="1152" w:type="dxa"/>
            <w:vAlign w:val="center"/>
          </w:tcPr>
          <w:p w14:paraId="6D6FBB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8A71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40AB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48CD581" w14:textId="77777777">
        <w:tc>
          <w:tcPr>
            <w:tcW w:w="10656" w:type="dxa"/>
            <w:gridSpan w:val="5"/>
            <w:tcBorders>
              <w:bottom w:val="single" w:sz="6" w:space="0" w:color="auto"/>
            </w:tcBorders>
            <w:vAlign w:val="center"/>
          </w:tcPr>
          <w:p w14:paraId="4EA17EDD" w14:textId="77777777" w:rsidR="00922249" w:rsidRPr="00CB2EC4" w:rsidRDefault="003011D5">
            <w:pPr>
              <w:rPr>
                <w:rFonts w:ascii="Times New Roman" w:hAnsi="Times New Roman" w:cs="Times New Roman"/>
              </w:rPr>
            </w:pPr>
            <w:r w:rsidRPr="00CB2EC4">
              <w:rPr>
                <w:rFonts w:ascii="Times New Roman" w:hAnsi="Times New Roman" w:cs="Times New Roman"/>
                <w:b/>
              </w:rPr>
              <w:t>Question 57: In cervical cancer treatment, if the patient wishes to preserve fertility, and the stage is ⅠA1 with lymphovascular space invasion or ⅠA2, what treatment measures should be taken?</w:t>
            </w:r>
          </w:p>
        </w:tc>
      </w:tr>
      <w:tr w:rsidR="00922249" w:rsidRPr="00CB2EC4" w14:paraId="5FF5C9B6" w14:textId="77777777">
        <w:tc>
          <w:tcPr>
            <w:tcW w:w="2160" w:type="dxa"/>
            <w:vAlign w:val="center"/>
          </w:tcPr>
          <w:p w14:paraId="49E77AF2"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06481E3"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desiring fertility preservation, the treatment for stage IA1 with lymphovascular space invasion (LVSI) or stage IA2 is radical trachelectomy with pelvic lymphadenectomy.</w:t>
            </w:r>
            <w:r w:rsidRPr="00CB2EC4">
              <w:rPr>
                <w:rFonts w:ascii="Times New Roman" w:hAnsi="Times New Roman" w:cs="Times New Roman"/>
              </w:rPr>
              <w:br/>
            </w:r>
            <w:r w:rsidRPr="00CB2EC4">
              <w:rPr>
                <w:rFonts w:ascii="Times New Roman" w:hAnsi="Times New Roman" w:cs="Times New Roman"/>
              </w:rPr>
              <w:br/>
              <w:t>- For stage IA1 with LVSI positivity: Fertility-sparing management per FIGO 2018 guidelines includes conization; however, NCCN 2019 guidelines specify conization + pelvic lymphadenectomy, with radical trachelectomy as the core procedure when fertility preservation is intended.</w:t>
            </w:r>
            <w:r w:rsidRPr="00CB2EC4">
              <w:rPr>
                <w:rFonts w:ascii="Times New Roman" w:hAnsi="Times New Roman" w:cs="Times New Roman"/>
              </w:rPr>
              <w:br/>
              <w:t>- For stage IA2: Fertility-sparing options include radical trachelectomy with pelvic lymphadenectomy via abdominal, vaginal, or laparoscopic approach.</w:t>
            </w:r>
            <w:r w:rsidRPr="00CB2EC4">
              <w:rPr>
                <w:rFonts w:ascii="Times New Roman" w:hAnsi="Times New Roman" w:cs="Times New Roman"/>
              </w:rPr>
              <w:br/>
              <w:t xml:space="preserve">- Therefore, the standard treatment is radical </w:t>
            </w:r>
            <w:r w:rsidRPr="00CB2EC4">
              <w:rPr>
                <w:rFonts w:ascii="Times New Roman" w:hAnsi="Times New Roman" w:cs="Times New Roman"/>
              </w:rPr>
              <w:lastRenderedPageBreak/>
              <w:t>trachelectomy (abdominal, vaginal, or laparoscopic) combined with pelvic lymphadenectomy to reduce recurrence risk.</w:t>
            </w:r>
          </w:p>
        </w:tc>
        <w:tc>
          <w:tcPr>
            <w:tcW w:w="1152" w:type="dxa"/>
            <w:vAlign w:val="center"/>
          </w:tcPr>
          <w:p w14:paraId="3AD7B1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FC0E1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5A903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5814800" w14:textId="77777777">
        <w:tc>
          <w:tcPr>
            <w:tcW w:w="2160" w:type="dxa"/>
            <w:vAlign w:val="center"/>
          </w:tcPr>
          <w:p w14:paraId="734825C7"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1DE3B41"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wish to preserve fertility, staged as IA1 with lymphovascular space invasion (LVSI positive) or IA2, the recommended treatment is radical trachelectomy with pelvic lymphadenectomy (with optional sentinel lymph node biopsy).</w:t>
            </w:r>
            <w:r w:rsidRPr="00CB2EC4">
              <w:rPr>
                <w:rFonts w:ascii="Times New Roman" w:hAnsi="Times New Roman" w:cs="Times New Roman"/>
              </w:rPr>
              <w:br/>
            </w:r>
            <w:r w:rsidRPr="00CB2EC4">
              <w:rPr>
                <w:rFonts w:ascii="Times New Roman" w:hAnsi="Times New Roman" w:cs="Times New Roman"/>
              </w:rPr>
              <w:br/>
              <w:t xml:space="preserve">- Basis:  </w:t>
            </w:r>
            <w:r w:rsidRPr="00CB2EC4">
              <w:rPr>
                <w:rFonts w:ascii="Times New Roman" w:hAnsi="Times New Roman" w:cs="Times New Roman"/>
              </w:rPr>
              <w:br/>
              <w:t xml:space="preserve">  - Document fragment 11 (block 21, title "Cervical Cancer Staging and Management Standards") states:  </w:t>
            </w:r>
            <w:r w:rsidRPr="00CB2EC4">
              <w:rPr>
                <w:rFonts w:ascii="Times New Roman" w:hAnsi="Times New Roman" w:cs="Times New Roman"/>
              </w:rPr>
              <w:br/>
              <w:t xml:space="preserve">    - For IA1 with LVSI positive, FIGO 2018 recommends fertility-sparing conization, but NCCN 2019 recommends a more aggressive approach (conization + pelvic lymphadenectomy + radical trachelectomy).  </w:t>
            </w:r>
            <w:r w:rsidRPr="00CB2EC4">
              <w:rPr>
                <w:rFonts w:ascii="Times New Roman" w:hAnsi="Times New Roman" w:cs="Times New Roman"/>
              </w:rPr>
              <w:br/>
              <w:t xml:space="preserve">    - For IA2, both FIGO 2018 and NCCN 2019 recommend radical trachelectomy with pelvic lymphadenectomy.  </w:t>
            </w:r>
            <w:r w:rsidRPr="00CB2EC4">
              <w:rPr>
                <w:rFonts w:ascii="Times New Roman" w:hAnsi="Times New Roman" w:cs="Times New Roman"/>
              </w:rPr>
              <w:br/>
              <w:t xml:space="preserve">  - Document fragment 22 (block 38, title "Fertility Preservation Evaluation and Treatment in Cervical Cancer") explicitly gives a Level I recommendation: for IA2 or IA1 with LVSI(+), use radical trachelectomy + pelvic lymphadenectomy (or conization + pelvic lymphadenectomy combined with sentinel lymph node biopsy).  </w:t>
            </w:r>
            <w:r w:rsidRPr="00CB2EC4">
              <w:rPr>
                <w:rFonts w:ascii="Times New Roman" w:hAnsi="Times New Roman" w:cs="Times New Roman"/>
              </w:rPr>
              <w:br/>
              <w:t xml:space="preserve">  - Document fragment 17 (block 522, title "Indications for Radical Trachelectomy") notes that indications include early-stage cases with tumor diameter &lt;2 cm (e.g., IA2), emphasizing the need to exclude lymph node metastasis.  </w:t>
            </w:r>
            <w:r w:rsidRPr="00CB2EC4">
              <w:rPr>
                <w:rFonts w:ascii="Times New Roman" w:hAnsi="Times New Roman" w:cs="Times New Roman"/>
              </w:rPr>
              <w:br/>
              <w:t xml:space="preserve">Therefore, the treatment approach centers on radical </w:t>
            </w:r>
            <w:r w:rsidRPr="00CB2EC4">
              <w:rPr>
                <w:rFonts w:ascii="Times New Roman" w:hAnsi="Times New Roman" w:cs="Times New Roman"/>
              </w:rPr>
              <w:lastRenderedPageBreak/>
              <w:t>trachelectomy, supplemented by lymph node assessment, to ensure preservation of the uterus and fertility function.</w:t>
            </w:r>
          </w:p>
        </w:tc>
        <w:tc>
          <w:tcPr>
            <w:tcW w:w="1152" w:type="dxa"/>
            <w:vAlign w:val="center"/>
          </w:tcPr>
          <w:p w14:paraId="3593FF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9AEAE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D68B8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31214CC" w14:textId="77777777">
        <w:tc>
          <w:tcPr>
            <w:tcW w:w="2160" w:type="dxa"/>
            <w:vAlign w:val="center"/>
          </w:tcPr>
          <w:p w14:paraId="4BB3CD3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BD5819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desiring fertility preservation at stage IA1 with lymphovascular space invasion (LVSI positive) or stage IA2, the recommended treatment is radical trachelectomy + pelvic lymphadenectomy (which may include sentinel lymph node biopsy). specific evidence includes:  </w:t>
            </w:r>
            <w:r w:rsidRPr="00CB2EC4">
              <w:rPr>
                <w:rFonts w:ascii="Times New Roman" w:hAnsi="Times New Roman" w:cs="Times New Roman"/>
              </w:rPr>
              <w:br/>
              <w:t xml:space="preserve">- document fragment 2 (relevance: 0.900): for IA2 stage with fertility preservation, options include "trachelectomy + laparoscopic (or extraperitoneal) pelvic lymphadenectomy" or "radical trachelectomy with pelvic lymphadenectomy".  </w:t>
            </w:r>
            <w:r w:rsidRPr="00CB2EC4">
              <w:rPr>
                <w:rFonts w:ascii="Times New Roman" w:hAnsi="Times New Roman" w:cs="Times New Roman"/>
              </w:rPr>
              <w:br/>
              <w:t xml:space="preserve">- document fragment 4 (relevance: 0.900): for IA1 stage with LVSI positive and fertility preservation, "conization + pelvic lymphadenectomy + radical trachelectomy".  </w:t>
            </w:r>
            <w:r w:rsidRPr="00CB2EC4">
              <w:rPr>
                <w:rFonts w:ascii="Times New Roman" w:hAnsi="Times New Roman" w:cs="Times New Roman"/>
              </w:rPr>
              <w:br/>
              <w:t xml:space="preserve">- document fragment 6 (relevance: 0.900): recommends for IA2 stage and IA1 stage with LVSI(+), level I: radical trachelectomy + pelvic lymphadenectomy (sentinel lymph node biopsy) or conization + pelvic lymphadenectomy (sentinel lymph node biopsy), with radical trachelectomy as the preferred option.  </w:t>
            </w:r>
            <w:r w:rsidRPr="00CB2EC4">
              <w:rPr>
                <w:rFonts w:ascii="Times New Roman" w:hAnsi="Times New Roman" w:cs="Times New Roman"/>
              </w:rPr>
              <w:br/>
              <w:t xml:space="preserve">- document fragment 9 (relevance: 0.900): explicitly states for IA1 with LVSI or IA2 stage, level I recommendation: abdominal radical trachelectomy (ensuring at least 5–8 mm negative cervical margin) + pelvic lymphadenectomy (sentinel lymph node biopsy).  </w:t>
            </w:r>
            <w:r w:rsidRPr="00CB2EC4">
              <w:rPr>
                <w:rFonts w:ascii="Times New Roman" w:hAnsi="Times New Roman" w:cs="Times New Roman"/>
              </w:rPr>
              <w:br/>
              <w:t xml:space="preserve">- document fragment 5 (relevance: 0.900): supports for IA2 stage: "conization or radical trachelectomy, or modified radical hysterectomy + pelvic </w:t>
            </w:r>
            <w:r w:rsidRPr="00CB2EC4">
              <w:rPr>
                <w:rFonts w:ascii="Times New Roman" w:hAnsi="Times New Roman" w:cs="Times New Roman"/>
              </w:rPr>
              <w:lastRenderedPageBreak/>
              <w:t xml:space="preserve">lymphadenectomy", but radical trachelectomy is preferred for fertility preservation.  </w:t>
            </w:r>
            <w:r w:rsidRPr="00CB2EC4">
              <w:rPr>
                <w:rFonts w:ascii="Times New Roman" w:hAnsi="Times New Roman" w:cs="Times New Roman"/>
              </w:rPr>
              <w:br/>
              <w:t>in summary, radical trachelectomy (abdominal or laparoscopic/robotic) combined with pelvic lymphadenectomy is the standard approach, requiring adequate surgical margins (5–8 mm).</w:t>
            </w:r>
          </w:p>
        </w:tc>
        <w:tc>
          <w:tcPr>
            <w:tcW w:w="1152" w:type="dxa"/>
            <w:vAlign w:val="center"/>
          </w:tcPr>
          <w:p w14:paraId="58D85A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F124E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C58BB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089FA49" w14:textId="77777777">
        <w:tc>
          <w:tcPr>
            <w:tcW w:w="2160" w:type="dxa"/>
            <w:vAlign w:val="center"/>
          </w:tcPr>
          <w:p w14:paraId="17B4D9C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012C6DD"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patient wishes to preserve fertility and is staged as IA1 with lymphovascular space invasion (LVSI) or IA2, the recommended treatment measures are:</w:t>
            </w:r>
            <w:r w:rsidRPr="00CB2EC4">
              <w:rPr>
                <w:rFonts w:ascii="Times New Roman" w:hAnsi="Times New Roman" w:cs="Times New Roman"/>
              </w:rPr>
              <w:br/>
            </w:r>
            <w:r w:rsidRPr="00CB2EC4">
              <w:rPr>
                <w:rFonts w:ascii="Times New Roman" w:hAnsi="Times New Roman" w:cs="Times New Roman"/>
              </w:rPr>
              <w:br/>
              <w:t>- **Preferred treatment**: Radical trachelectomy plus pelvic lymphadenectomy (sentinel lymph node mapping may be considered).</w:t>
            </w:r>
            <w:r w:rsidRPr="00CB2EC4">
              <w:rPr>
                <w:rFonts w:ascii="Times New Roman" w:hAnsi="Times New Roman" w:cs="Times New Roman"/>
              </w:rPr>
              <w:br/>
              <w:t>- **Alternative option**: Conization plus pelvic lymphadenectomy, provided that negative margins (at least 3 mm) are achieved.</w:t>
            </w:r>
            <w:r w:rsidRPr="00CB2EC4">
              <w:rPr>
                <w:rFonts w:ascii="Times New Roman" w:hAnsi="Times New Roman" w:cs="Times New Roman"/>
              </w:rPr>
              <w:br/>
            </w:r>
            <w:r w:rsidRPr="00CB2EC4">
              <w:rPr>
                <w:rFonts w:ascii="Times New Roman" w:hAnsi="Times New Roman" w:cs="Times New Roman"/>
              </w:rPr>
              <w:br/>
              <w:t>Source analysis:</w:t>
            </w:r>
            <w:r w:rsidRPr="00CB2EC4">
              <w:rPr>
                <w:rFonts w:ascii="Times New Roman" w:hAnsi="Times New Roman" w:cs="Times New Roman"/>
              </w:rPr>
              <w:br/>
              <w:t>- Knowledge base documents: For IA1 with LVSI or IA2, fertility-sparing treatment recommends radical trachelectomy (e.g., “IA1 with lymphovascular space invasion... should undergo modified radical hysterectomy... but those wishing to preserve fertility may choose radical trachelectomy”). For IA2, lymph node dissection is mandatory due to a 3–5% risk of lymph node metastasis.</w:t>
            </w:r>
            <w:r w:rsidRPr="00CB2EC4">
              <w:rPr>
                <w:rFonts w:ascii="Times New Roman" w:hAnsi="Times New Roman" w:cs="Times New Roman"/>
              </w:rPr>
              <w:br/>
              <w:t>- Web search results: Clearly indicate that radical trachelectomy plus pelvic lymphadenectomy is the first choice (e.g., “For IA1 with LVSI and IA2, radical trachelectomy + pelvic lymphadenectomy is preferred”). Conization plus lymph node dissection is a secondary option, suitable only for low-risk cases.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Synthesis conclusion: Knowledge base and web sources are highly consistent. Radical trachelectomy is the gold standard and can be performed abdominally, vaginally, or laparoscopically. If the patient is not suitable for radical surgery, conization plus lymphadenectomy may serve as an alternative, but requires strict assessment of margins and recurrence risk. Postoperative surveillance with imaging (e.g., MRI every 6 months) is recommended.</w:t>
            </w:r>
          </w:p>
        </w:tc>
        <w:tc>
          <w:tcPr>
            <w:tcW w:w="1152" w:type="dxa"/>
            <w:vAlign w:val="center"/>
          </w:tcPr>
          <w:p w14:paraId="3B63C8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E10BE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36479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BEDB2F9" w14:textId="77777777">
        <w:tc>
          <w:tcPr>
            <w:tcW w:w="2160" w:type="dxa"/>
            <w:vAlign w:val="center"/>
          </w:tcPr>
          <w:p w14:paraId="68537FCF"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65B185D"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who wish to preserve fertility and have stage IA1 with lymphovascular space invasion (LVSI+) or stage IA2, the recommended treatment is radical trachelectomy with pelvic lymphadenectomy.</w:t>
            </w:r>
            <w:r w:rsidRPr="00CB2EC4">
              <w:rPr>
                <w:rFonts w:ascii="Times New Roman" w:hAnsi="Times New Roman" w:cs="Times New Roman"/>
              </w:rPr>
              <w:br/>
            </w:r>
            <w:r w:rsidRPr="00CB2EC4">
              <w:rPr>
                <w:rFonts w:ascii="Times New Roman" w:hAnsi="Times New Roman" w:cs="Times New Roman"/>
              </w:rPr>
              <w:br/>
              <w:t>- Evidence sources:</w:t>
            </w:r>
            <w:r w:rsidRPr="00CB2EC4">
              <w:rPr>
                <w:rFonts w:ascii="Times New Roman" w:hAnsi="Times New Roman" w:cs="Times New Roman"/>
              </w:rPr>
              <w:br/>
              <w:t xml:space="preserve">  - Document fragment 1 (Section 4.1.1.2) states that for IA2 stage, the risk of lymph node metastasis must be considered, and notes: “For fertility preservation: cervical conization + laparoscopic pelvic lymphadenectomy or radical trachelectomy with pelvic lymphadenectomy.”</w:t>
            </w:r>
            <w:r w:rsidRPr="00CB2EC4">
              <w:rPr>
                <w:rFonts w:ascii="Times New Roman" w:hAnsi="Times New Roman" w:cs="Times New Roman"/>
              </w:rPr>
              <w:br/>
              <w:t xml:space="preserve">  - Document fragment 8 (Summary section) indicates: “According to the new staging, indications for fertility-sparing surgery include: radical trachelectomy for stage IA2.”</w:t>
            </w:r>
            <w:r w:rsidRPr="00CB2EC4">
              <w:rPr>
                <w:rFonts w:ascii="Times New Roman" w:hAnsi="Times New Roman" w:cs="Times New Roman"/>
              </w:rPr>
              <w:br/>
              <w:t xml:space="preserve">  - Document fragment 15 (Table) explicitly states: “Stage IA2 FIGO 2018 fertility-sparing: radical trachelectomy + pelvic lymphadenectomy.”</w:t>
            </w:r>
            <w:r w:rsidRPr="00CB2EC4">
              <w:rPr>
                <w:rFonts w:ascii="Times New Roman" w:hAnsi="Times New Roman" w:cs="Times New Roman"/>
              </w:rPr>
              <w:br/>
              <w:t xml:space="preserve">  - For stage IA1 with LVSI+, document fragment 15 (NCCN 2019 section) suggests: “Fertility preservation: conization + pelvic lymphadenectomy + radical trachelectomy + pelvic lymphadenectomy,” but in the context of fragments 1 and 8, radical </w:t>
            </w:r>
            <w:r w:rsidRPr="00CB2EC4">
              <w:rPr>
                <w:rFonts w:ascii="Times New Roman" w:hAnsi="Times New Roman" w:cs="Times New Roman"/>
              </w:rPr>
              <w:lastRenderedPageBreak/>
              <w:t>trachelectomy with pelvic lymphadenectomy is the more consistent recommendation due to the increased metastatic risk associated with LVSI+.</w:t>
            </w:r>
            <w:r w:rsidRPr="00CB2EC4">
              <w:rPr>
                <w:rFonts w:ascii="Times New Roman" w:hAnsi="Times New Roman" w:cs="Times New Roman"/>
              </w:rPr>
              <w:br/>
              <w:t xml:space="preserve">  Thus, this approach aims to remove the lesion and assess lymph node status while preserving uterine function.</w:t>
            </w:r>
          </w:p>
        </w:tc>
        <w:tc>
          <w:tcPr>
            <w:tcW w:w="1152" w:type="dxa"/>
            <w:vAlign w:val="center"/>
          </w:tcPr>
          <w:p w14:paraId="4FC2A4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937CC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C9F72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72BFE0E" w14:textId="77777777">
        <w:tc>
          <w:tcPr>
            <w:tcW w:w="2160" w:type="dxa"/>
            <w:vAlign w:val="center"/>
          </w:tcPr>
          <w:p w14:paraId="28F7D23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647BCE7"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desiring fertility preservation, staged as IA1 with lymphovascular space invasion (LVSI positive) or IA2, the recommended treatment measures are conization combined with pelvic lymphadenectomy, or radical trachelectomy with pelvic lymphadenectomy. the specific choice should be individualized based on patient factors and available medical resources.</w:t>
            </w:r>
            <w:r w:rsidRPr="00CB2EC4">
              <w:rPr>
                <w:rFonts w:ascii="Times New Roman" w:hAnsi="Times New Roman" w:cs="Times New Roman"/>
              </w:rPr>
              <w:br/>
            </w:r>
            <w:r w:rsidRPr="00CB2EC4">
              <w:rPr>
                <w:rFonts w:ascii="Times New Roman" w:hAnsi="Times New Roman" w:cs="Times New Roman"/>
              </w:rPr>
              <w:br/>
              <w:t>- basis:</w:t>
            </w:r>
            <w:r w:rsidRPr="00CB2EC4">
              <w:rPr>
                <w:rFonts w:ascii="Times New Roman" w:hAnsi="Times New Roman" w:cs="Times New Roman"/>
              </w:rPr>
              <w:br/>
              <w:t xml:space="preserve">  - related document 3 (fusion score: 0.5656) states: for IA2 stage with fertility preservation, options include "cervical excision + laparoscopic pelvic lymphadenectomy" or "radical trachelectomy with pelvic lymphadenectomy".</w:t>
            </w:r>
            <w:r w:rsidRPr="00CB2EC4">
              <w:rPr>
                <w:rFonts w:ascii="Times New Roman" w:hAnsi="Times New Roman" w:cs="Times New Roman"/>
              </w:rPr>
              <w:br/>
              <w:t xml:space="preserve">  - related document 10 (fusion score: 0.4787), FIGO 2018 guidelines, recommend:</w:t>
            </w:r>
            <w:r w:rsidRPr="00CB2EC4">
              <w:rPr>
                <w:rFonts w:ascii="Times New Roman" w:hAnsi="Times New Roman" w:cs="Times New Roman"/>
              </w:rPr>
              <w:br/>
              <w:t xml:space="preserve">    - IA1 stage with LVSI positive, fertility preservation: conization (but must be combined with lymph node assessment).</w:t>
            </w:r>
            <w:r w:rsidRPr="00CB2EC4">
              <w:rPr>
                <w:rFonts w:ascii="Times New Roman" w:hAnsi="Times New Roman" w:cs="Times New Roman"/>
              </w:rPr>
              <w:br/>
              <w:t xml:space="preserve">    - IA2 stage with fertility preservation: cervical excision or radical trachelectomy, with pelvic lymphadenectomy required.</w:t>
            </w:r>
            <w:r w:rsidRPr="00CB2EC4">
              <w:rPr>
                <w:rFonts w:ascii="Times New Roman" w:hAnsi="Times New Roman" w:cs="Times New Roman"/>
              </w:rPr>
              <w:br/>
              <w:t xml:space="preserve">  - the documents do not explicitly differentiate between IA1 with LVSI positive and IA2 stages, but both emphasize the importance of lymph node dissection to reduce recurrence risk.</w:t>
            </w:r>
          </w:p>
        </w:tc>
        <w:tc>
          <w:tcPr>
            <w:tcW w:w="1152" w:type="dxa"/>
            <w:vAlign w:val="center"/>
          </w:tcPr>
          <w:p w14:paraId="4926C3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F2AFB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EFBA6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B08408D" w14:textId="77777777">
        <w:tc>
          <w:tcPr>
            <w:tcW w:w="2160" w:type="dxa"/>
            <w:vAlign w:val="center"/>
          </w:tcPr>
          <w:p w14:paraId="6DBE5F3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3B578BD6"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desiring fertility preservation, staged as FIGO IA1 with lymphovascular space invasion (LVSI positive) or IA2, the recommended treatment measures are:</w:t>
            </w:r>
            <w:r w:rsidRPr="00CB2EC4">
              <w:rPr>
                <w:rFonts w:ascii="Times New Roman" w:hAnsi="Times New Roman" w:cs="Times New Roman"/>
              </w:rPr>
              <w:br/>
            </w:r>
            <w:r w:rsidRPr="00CB2EC4">
              <w:rPr>
                <w:rFonts w:ascii="Times New Roman" w:hAnsi="Times New Roman" w:cs="Times New Roman"/>
              </w:rPr>
              <w:br/>
              <w:t>radical trachelectomy + pelvic lymphadenectomy, possibly combined with sentinel lymph node biopsy.</w:t>
            </w:r>
            <w:r w:rsidRPr="00CB2EC4">
              <w:rPr>
                <w:rFonts w:ascii="Times New Roman" w:hAnsi="Times New Roman" w:cs="Times New Roman"/>
              </w:rPr>
              <w:br/>
            </w:r>
            <w:r w:rsidRPr="00CB2EC4">
              <w:rPr>
                <w:rFonts w:ascii="Times New Roman" w:hAnsi="Times New Roman" w:cs="Times New Roman"/>
              </w:rPr>
              <w:br/>
              <w:t>specific evidence:</w:t>
            </w:r>
            <w:r w:rsidRPr="00CB2EC4">
              <w:rPr>
                <w:rFonts w:ascii="Times New Roman" w:hAnsi="Times New Roman" w:cs="Times New Roman"/>
              </w:rPr>
              <w:br/>
              <w:t>- for IA2 stage with fertility preservation: "Options include: (1) cervical excision + laparoscopic pelvic lymphadenectomy. (2) abdominal, vaginal, or laparoscopic radical trachelectomy plus pelvic lymphadenectomy." this applies to IA2 and extends to IA1 with LVSI positive due to increased metastatic risk.</w:t>
            </w:r>
            <w:r w:rsidRPr="00CB2EC4">
              <w:rPr>
                <w:rFonts w:ascii="Times New Roman" w:hAnsi="Times New Roman" w:cs="Times New Roman"/>
              </w:rPr>
              <w:br/>
              <w:t>- explicitly stated: "IA2 stage, IA1 stage LVSI(+) Level I recommendation: radical trachelectomy + pelvic lymphadenectomy (sentinel lymph node biopsy) or conization + pelvic lymphadenectomy (sentinel lymph node biopsy)." this emphasizes radical trachelectomy as primary, with pelvic lymphadenectomy required for staging; sentinel lymph node biopsy serves as a minimally invasive alternative.</w:t>
            </w:r>
            <w:r w:rsidRPr="00CB2EC4">
              <w:rPr>
                <w:rFonts w:ascii="Times New Roman" w:hAnsi="Times New Roman" w:cs="Times New Roman"/>
              </w:rPr>
              <w:br/>
              <w:t>- per FIGO 2018 guidelines, for IA1 with LVSI positive and fertility preservation, conization is briefly mentioned, but in higher-risk scenarios (e.g., LVSI present), radical trachelectomy is preferred to ensure adequate surgical margins (supported by context from other sources).</w:t>
            </w:r>
            <w:r w:rsidRPr="00CB2EC4">
              <w:rPr>
                <w:rFonts w:ascii="Times New Roman" w:hAnsi="Times New Roman" w:cs="Times New Roman"/>
              </w:rPr>
              <w:br/>
            </w:r>
            <w:r w:rsidRPr="00CB2EC4">
              <w:rPr>
                <w:rFonts w:ascii="Times New Roman" w:hAnsi="Times New Roman" w:cs="Times New Roman"/>
              </w:rPr>
              <w:br/>
              <w:t xml:space="preserve">in summary, treatment must be individualized: radical trachelectomy (via abdominal, vaginal, or </w:t>
            </w:r>
            <w:r w:rsidRPr="00CB2EC4">
              <w:rPr>
                <w:rFonts w:ascii="Times New Roman" w:hAnsi="Times New Roman" w:cs="Times New Roman"/>
              </w:rPr>
              <w:lastRenderedPageBreak/>
              <w:t>laparoscopic approach) combined with pelvic lymphadenectomy is the preferred option, preserving the uterine corpus for fertility potential. patients must meet strict criteria, such as tumor diameter &lt;2 cm, no distant metastasis, and provide informed consent (see relevant guidelines). postoperative complications, including preterm birth risk, require close monitoring.</w:t>
            </w:r>
          </w:p>
        </w:tc>
        <w:tc>
          <w:tcPr>
            <w:tcW w:w="1152" w:type="dxa"/>
            <w:vAlign w:val="center"/>
          </w:tcPr>
          <w:p w14:paraId="289C55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0984B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D9513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9F56437" w14:textId="77777777">
        <w:tc>
          <w:tcPr>
            <w:tcW w:w="2160" w:type="dxa"/>
            <w:vAlign w:val="center"/>
          </w:tcPr>
          <w:p w14:paraId="26A11380"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C75EAC6"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desiring fertility preservation:</w:t>
            </w:r>
            <w:r w:rsidRPr="00CB2EC4">
              <w:rPr>
                <w:rFonts w:ascii="Times New Roman" w:hAnsi="Times New Roman" w:cs="Times New Roman"/>
              </w:rPr>
              <w:br/>
            </w:r>
            <w:r w:rsidRPr="00CB2EC4">
              <w:rPr>
                <w:rFonts w:ascii="Times New Roman" w:hAnsi="Times New Roman" w:cs="Times New Roman"/>
              </w:rPr>
              <w:br/>
              <w:t>- for stage IA1 with lymphovascular space invasion (LVSI):</w:t>
            </w:r>
            <w:r w:rsidRPr="00CB2EC4">
              <w:rPr>
                <w:rFonts w:ascii="Times New Roman" w:hAnsi="Times New Roman" w:cs="Times New Roman"/>
              </w:rPr>
              <w:br/>
              <w:t xml:space="preserve">  - cervical conization + pelvic lymph node dissection (or sentinel lymph node biopsy)</w:t>
            </w:r>
            <w:r w:rsidRPr="00CB2EC4">
              <w:rPr>
                <w:rFonts w:ascii="Times New Roman" w:hAnsi="Times New Roman" w:cs="Times New Roman"/>
              </w:rPr>
              <w:br/>
              <w:t xml:space="preserve">  - or radical trachelectomy + pelvic lymph node dissection (or sentinel lymph node biopsy)</w:t>
            </w:r>
            <w:r w:rsidRPr="00CB2EC4">
              <w:rPr>
                <w:rFonts w:ascii="Times New Roman" w:hAnsi="Times New Roman" w:cs="Times New Roman"/>
              </w:rPr>
              <w:br/>
            </w:r>
            <w:r w:rsidRPr="00CB2EC4">
              <w:rPr>
                <w:rFonts w:ascii="Times New Roman" w:hAnsi="Times New Roman" w:cs="Times New Roman"/>
              </w:rPr>
              <w:br/>
              <w:t>- for stage IA2:</w:t>
            </w:r>
            <w:r w:rsidRPr="00CB2EC4">
              <w:rPr>
                <w:rFonts w:ascii="Times New Roman" w:hAnsi="Times New Roman" w:cs="Times New Roman"/>
              </w:rPr>
              <w:br/>
              <w:t xml:space="preserve">  - radical trachelectomy + pelvic lymph node dissection (or sentinel lymph node biopsy)</w:t>
            </w:r>
            <w:r w:rsidRPr="00CB2EC4">
              <w:rPr>
                <w:rFonts w:ascii="Times New Roman" w:hAnsi="Times New Roman" w:cs="Times New Roman"/>
              </w:rPr>
              <w:br/>
              <w:t xml:space="preserve">  - or cervical conization + pelvic lymph node dissection (or sentinel lymph node biopsy)</w:t>
            </w:r>
            <w:r w:rsidRPr="00CB2EC4">
              <w:rPr>
                <w:rFonts w:ascii="Times New Roman" w:hAnsi="Times New Roman" w:cs="Times New Roman"/>
              </w:rPr>
              <w:br/>
            </w:r>
            <w:r w:rsidRPr="00CB2EC4">
              <w:rPr>
                <w:rFonts w:ascii="Times New Roman" w:hAnsi="Times New Roman" w:cs="Times New Roman"/>
              </w:rPr>
              <w:br/>
              <w:t>treatment selection should be based on individual patient factors and available medical resources.</w:t>
            </w:r>
          </w:p>
        </w:tc>
        <w:tc>
          <w:tcPr>
            <w:tcW w:w="1152" w:type="dxa"/>
            <w:vAlign w:val="center"/>
          </w:tcPr>
          <w:p w14:paraId="22BC56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E4277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6FCC3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0A394E3" w14:textId="77777777">
        <w:tc>
          <w:tcPr>
            <w:tcW w:w="2160" w:type="dxa"/>
            <w:vAlign w:val="center"/>
          </w:tcPr>
          <w:p w14:paraId="06127B4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E0F4E5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patient wishes to preserve fertility and is staged as IA1 with lymphovascular space invasion (LVSI) or IA2, the recommended treatment measure is radical trachelectomy plus pelvic lymphadenectomy.  </w:t>
            </w:r>
            <w:r w:rsidRPr="00CB2EC4">
              <w:rPr>
                <w:rFonts w:ascii="Times New Roman" w:hAnsi="Times New Roman" w:cs="Times New Roman"/>
              </w:rPr>
              <w:br/>
              <w:t xml:space="preserve">- Basis:  </w:t>
            </w:r>
            <w:r w:rsidRPr="00CB2EC4">
              <w:rPr>
                <w:rFonts w:ascii="Times New Roman" w:hAnsi="Times New Roman" w:cs="Times New Roman"/>
              </w:rPr>
              <w:br/>
              <w:t xml:space="preserve">  - The document specifies for IA2 stage, IA1 stage with LVSI(+), Level I recommendation: radical </w:t>
            </w:r>
            <w:r w:rsidRPr="00CB2EC4">
              <w:rPr>
                <w:rFonts w:ascii="Times New Roman" w:hAnsi="Times New Roman" w:cs="Times New Roman"/>
              </w:rPr>
              <w:lastRenderedPageBreak/>
              <w:t xml:space="preserve">trachelectomy + pelvic lymphadenectomy (or sentinel lymph node biopsy).  </w:t>
            </w:r>
            <w:r w:rsidRPr="00CB2EC4">
              <w:rPr>
                <w:rFonts w:ascii="Times New Roman" w:hAnsi="Times New Roman" w:cs="Times New Roman"/>
              </w:rPr>
              <w:br/>
              <w:t xml:space="preserve">  - Another excerpt states: "For those wishing to preserve fertility, options include: trachelectomy + laparoscopic pelvic lymphadenectomy or radical trachelectomy plus pelvic lymphadenectomy."  </w:t>
            </w:r>
            <w:r w:rsidRPr="00CB2EC4">
              <w:rPr>
                <w:rFonts w:ascii="Times New Roman" w:hAnsi="Times New Roman" w:cs="Times New Roman"/>
              </w:rPr>
              <w:br/>
              <w:t xml:space="preserve">  - FIGO 2018 guidelines also support this approach: "FIGO 2018 fertility-sparing: radical trachelectomy + pelvic lymphadenectomy."  </w:t>
            </w:r>
            <w:r w:rsidRPr="00CB2EC4">
              <w:rPr>
                <w:rFonts w:ascii="Times New Roman" w:hAnsi="Times New Roman" w:cs="Times New Roman"/>
              </w:rPr>
              <w:br/>
              <w:t xml:space="preserve">  This method aims to remove cervical pathological tissue and assess lymph node metastasis risk while preserving the uterine corpus to maintain fertility.</w:t>
            </w:r>
          </w:p>
        </w:tc>
        <w:tc>
          <w:tcPr>
            <w:tcW w:w="1152" w:type="dxa"/>
            <w:vAlign w:val="center"/>
          </w:tcPr>
          <w:p w14:paraId="7C3C74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643F0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76D21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D8DF41F" w14:textId="77777777">
        <w:tc>
          <w:tcPr>
            <w:tcW w:w="2160" w:type="dxa"/>
            <w:vAlign w:val="center"/>
          </w:tcPr>
          <w:p w14:paraId="7E93A35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0EE9A34"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desiring fertility preservation, if staged as IA1 with lymphovascular space invasion or IA2, the recommended treatment measures are:</w:t>
            </w:r>
            <w:r w:rsidRPr="00CB2EC4">
              <w:rPr>
                <w:rFonts w:ascii="Times New Roman" w:hAnsi="Times New Roman" w:cs="Times New Roman"/>
              </w:rPr>
              <w:br/>
            </w:r>
            <w:r w:rsidRPr="00CB2EC4">
              <w:rPr>
                <w:rFonts w:ascii="Times New Roman" w:hAnsi="Times New Roman" w:cs="Times New Roman"/>
              </w:rPr>
              <w:br/>
              <w:t>- Radical trachelectomy + pelvic lymphadenectomy (can be performed via abdominal, vaginal, or laparoscopic approach), or</w:t>
            </w:r>
            <w:r w:rsidRPr="00CB2EC4">
              <w:rPr>
                <w:rFonts w:ascii="Times New Roman" w:hAnsi="Times New Roman" w:cs="Times New Roman"/>
              </w:rPr>
              <w:br/>
              <w:t>- Conization + pelvic lymphadenectomy (with a minimum 3 mm negative margin)</w:t>
            </w:r>
            <w:r w:rsidRPr="00CB2EC4">
              <w:rPr>
                <w:rFonts w:ascii="Times New Roman" w:hAnsi="Times New Roman" w:cs="Times New Roman"/>
              </w:rPr>
              <w:br/>
            </w:r>
            <w:r w:rsidRPr="00CB2EC4">
              <w:rPr>
                <w:rFonts w:ascii="Times New Roman" w:hAnsi="Times New Roman" w:cs="Times New Roman"/>
              </w:rPr>
              <w:br/>
              <w:t>- Source: Document fragment 20 explicitly states: “IA2 stage, IA1 stage LVSI(+) Level I recommendation: radical trachelectomy b,e + pelvic lymphadenectomy (sentinel lymph node biopsy) or conization a + pelvic lymphadenectomy.” Document fragment 5 also supports this regimen.</w:t>
            </w:r>
          </w:p>
        </w:tc>
        <w:tc>
          <w:tcPr>
            <w:tcW w:w="1152" w:type="dxa"/>
            <w:vAlign w:val="center"/>
          </w:tcPr>
          <w:p w14:paraId="5C9E5C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252B9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AB505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CD6C149" w14:textId="77777777">
        <w:tc>
          <w:tcPr>
            <w:tcW w:w="2160" w:type="dxa"/>
            <w:vAlign w:val="center"/>
          </w:tcPr>
          <w:p w14:paraId="19DB0D6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39CD3A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patient wishes to preserve fertility and is staged as FIGO IA1 with lymphovascular space invasion (LVSI positive) or IA2, the recommended treatment is radical </w:t>
            </w:r>
            <w:r w:rsidRPr="00CB2EC4">
              <w:rPr>
                <w:rFonts w:ascii="Times New Roman" w:hAnsi="Times New Roman" w:cs="Times New Roman"/>
              </w:rPr>
              <w:lastRenderedPageBreak/>
              <w:t xml:space="preserve">trachelectomy with pelvic lymphadenectomy. For example:  </w:t>
            </w:r>
            <w:r w:rsidRPr="00CB2EC4">
              <w:rPr>
                <w:rFonts w:ascii="Times New Roman" w:hAnsi="Times New Roman" w:cs="Times New Roman"/>
              </w:rPr>
              <w:br/>
              <w:t xml:space="preserve">- In the [similarity: 0.539] segment, it states: “Stage IA2... For those wishing to preserve fertility: (1) cervical conization + laparoscopic (or extraperitoneal) pelvic lymphadenectomy. (2) Radical trachelectomy via abdominal, vaginal, or laparoscopic approach with pelvic lymphadenectomy.”  </w:t>
            </w:r>
            <w:r w:rsidRPr="00CB2EC4">
              <w:rPr>
                <w:rFonts w:ascii="Times New Roman" w:hAnsi="Times New Roman" w:cs="Times New Roman"/>
              </w:rPr>
              <w:br/>
              <w:t xml:space="preserve">- In the [similarity: 0.464] segment, for IA1 with LVSI positive, it notes: “NCCN 2019 fertility-sparing: conization + pelvic lymph node dissection + radical trachelectomy + pelvic lymph node dissection.”  </w:t>
            </w:r>
            <w:r w:rsidRPr="00CB2EC4">
              <w:rPr>
                <w:rFonts w:ascii="Times New Roman" w:hAnsi="Times New Roman" w:cs="Times New Roman"/>
              </w:rPr>
              <w:br/>
              <w:t>This approach applies to cases with invasion depth &gt;3 mm but ≤5 mm (IA2) or IA1 with LVSI positive, and requires lymph node assessment to reduce recurrence risk.</w:t>
            </w:r>
          </w:p>
        </w:tc>
        <w:tc>
          <w:tcPr>
            <w:tcW w:w="1152" w:type="dxa"/>
            <w:vAlign w:val="center"/>
          </w:tcPr>
          <w:p w14:paraId="326F59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4DC60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56773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9BA5641" w14:textId="77777777">
        <w:tc>
          <w:tcPr>
            <w:tcW w:w="2160" w:type="dxa"/>
            <w:vAlign w:val="center"/>
          </w:tcPr>
          <w:p w14:paraId="45C1C8D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6439AB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for patients who wish to preserve fertility and have stage IA1 disease with lymphovascular space invasion (LVSI positive) or stage IA2 disease, the level I recommended treatment measures are:  </w:t>
            </w:r>
            <w:r w:rsidRPr="00CB2EC4">
              <w:rPr>
                <w:rFonts w:ascii="Times New Roman" w:hAnsi="Times New Roman" w:cs="Times New Roman"/>
              </w:rPr>
              <w:br/>
              <w:t xml:space="preserve">- radical trachelectomy plus pelvic lymphadenectomy, or  </w:t>
            </w:r>
            <w:r w:rsidRPr="00CB2EC4">
              <w:rPr>
                <w:rFonts w:ascii="Times New Roman" w:hAnsi="Times New Roman" w:cs="Times New Roman"/>
              </w:rPr>
              <w:br/>
              <w:t xml:space="preserve">- cervical conization plus pelvic lymphadenectomy (which may include sentinel lymph node biopsy).  </w:t>
            </w:r>
            <w:r w:rsidRPr="00CB2EC4">
              <w:rPr>
                <w:rFonts w:ascii="Times New Roman" w:hAnsi="Times New Roman" w:cs="Times New Roman"/>
              </w:rPr>
              <w:br/>
              <w:t>these measures apply to cases with stromal invasion depth of 3–5 mm (stage IA2) or stage IA1 with positive LVSI. surgery must ensure adequate negative margins (e.g., 5–8 mm for radical trachelectomy) and evaluate lymph node status to reduce the risk of recurrence.</w:t>
            </w:r>
          </w:p>
        </w:tc>
        <w:tc>
          <w:tcPr>
            <w:tcW w:w="1152" w:type="dxa"/>
            <w:vAlign w:val="center"/>
          </w:tcPr>
          <w:p w14:paraId="5A93C6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2371D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781CD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BED4F85" w14:textId="77777777">
        <w:tc>
          <w:tcPr>
            <w:tcW w:w="2160" w:type="dxa"/>
            <w:vAlign w:val="center"/>
          </w:tcPr>
          <w:p w14:paraId="5C8BE15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D51A03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patient wishes to preserve fertility and is staged as IA1 with </w:t>
            </w:r>
            <w:r w:rsidRPr="00CB2EC4">
              <w:rPr>
                <w:rFonts w:ascii="Times New Roman" w:hAnsi="Times New Roman" w:cs="Times New Roman"/>
              </w:rPr>
              <w:lastRenderedPageBreak/>
              <w:t>lymphovascular space invasion (LVSI) or IA2, the following treatment measures should be adopted:</w:t>
            </w:r>
            <w:r w:rsidRPr="00CB2EC4">
              <w:rPr>
                <w:rFonts w:ascii="Times New Roman" w:hAnsi="Times New Roman" w:cs="Times New Roman"/>
              </w:rPr>
              <w:br/>
            </w:r>
            <w:r w:rsidRPr="00CB2EC4">
              <w:rPr>
                <w:rFonts w:ascii="Times New Roman" w:hAnsi="Times New Roman" w:cs="Times New Roman"/>
              </w:rPr>
              <w:br/>
              <w:t>Based on contextual information (Table 4):</w:t>
            </w:r>
            <w:r w:rsidRPr="00CB2EC4">
              <w:rPr>
                <w:rFonts w:ascii="Times New Roman" w:hAnsi="Times New Roman" w:cs="Times New Roman"/>
              </w:rPr>
              <w:br/>
              <w:t>- For IA1 with LVSI (LVSI positive):</w:t>
            </w:r>
            <w:r w:rsidRPr="00CB2EC4">
              <w:rPr>
                <w:rFonts w:ascii="Times New Roman" w:hAnsi="Times New Roman" w:cs="Times New Roman"/>
              </w:rPr>
              <w:br/>
              <w:t xml:space="preserve">  - FIGO 2018 guidelines recommend: conization (for fertility preservation).</w:t>
            </w:r>
            <w:r w:rsidRPr="00CB2EC4">
              <w:rPr>
                <w:rFonts w:ascii="Times New Roman" w:hAnsi="Times New Roman" w:cs="Times New Roman"/>
              </w:rPr>
              <w:br/>
              <w:t xml:space="preserve">  - NCCN 2019 guidelines recommend: conization + pelvic lymphadenectomy + radical trachelectomy + pelvic lymph node dissection (i.e., a more aggressive surgical combination).</w:t>
            </w:r>
            <w:r w:rsidRPr="00CB2EC4">
              <w:rPr>
                <w:rFonts w:ascii="Times New Roman" w:hAnsi="Times New Roman" w:cs="Times New Roman"/>
              </w:rPr>
              <w:br/>
              <w:t>- For IA2:</w:t>
            </w:r>
            <w:r w:rsidRPr="00CB2EC4">
              <w:rPr>
                <w:rFonts w:ascii="Times New Roman" w:hAnsi="Times New Roman" w:cs="Times New Roman"/>
              </w:rPr>
              <w:br/>
              <w:t xml:space="preserve">  - FIGO 2018 guidelines recommend: trachelectomy + laparoscopic pelvic lymphadenectomy, or radical trachelectomy + pelvic lymph node dissection.</w:t>
            </w:r>
            <w:r w:rsidRPr="00CB2EC4">
              <w:rPr>
                <w:rFonts w:ascii="Times New Roman" w:hAnsi="Times New Roman" w:cs="Times New Roman"/>
              </w:rPr>
              <w:br/>
              <w:t xml:space="preserve">  - NCCN 2019 guidelines recommend: radical trachelectomy + pelvic lymph node dissection (inferred from Table 4; the fertility-sparing option for IA2 is similar to FIGO).</w:t>
            </w:r>
            <w:r w:rsidRPr="00CB2EC4">
              <w:rPr>
                <w:rFonts w:ascii="Times New Roman" w:hAnsi="Times New Roman" w:cs="Times New Roman"/>
              </w:rPr>
              <w:br/>
            </w:r>
            <w:r w:rsidRPr="00CB2EC4">
              <w:rPr>
                <w:rFonts w:ascii="Times New Roman" w:hAnsi="Times New Roman" w:cs="Times New Roman"/>
              </w:rPr>
              <w:br/>
              <w:t>Therefore, treatment measures must be tailored to the specific situation:</w:t>
            </w:r>
            <w:r w:rsidRPr="00CB2EC4">
              <w:rPr>
                <w:rFonts w:ascii="Times New Roman" w:hAnsi="Times New Roman" w:cs="Times New Roman"/>
              </w:rPr>
              <w:br/>
              <w:t>- IA1 with LVSI: conization is preferred (based on FIGO), but NCCN suggests more comprehensive surgery (including lymph node dissection).</w:t>
            </w:r>
            <w:r w:rsidRPr="00CB2EC4">
              <w:rPr>
                <w:rFonts w:ascii="Times New Roman" w:hAnsi="Times New Roman" w:cs="Times New Roman"/>
              </w:rPr>
              <w:br/>
              <w:t>- IA2: trachelectomy or radical trachelectomy combined with pelvic lymphadenectomy (typically performed laparoscopically) is recommended.</w:t>
            </w:r>
            <w:r w:rsidRPr="00CB2EC4">
              <w:rPr>
                <w:rFonts w:ascii="Times New Roman" w:hAnsi="Times New Roman" w:cs="Times New Roman"/>
              </w:rPr>
              <w:br/>
            </w:r>
            <w:r w:rsidRPr="00CB2EC4">
              <w:rPr>
                <w:rFonts w:ascii="Times New Roman" w:hAnsi="Times New Roman" w:cs="Times New Roman"/>
              </w:rPr>
              <w:br/>
              <w:t>The context emphasizes fertility-preserving options, though specific approaches may vary by guideline.</w:t>
            </w:r>
          </w:p>
        </w:tc>
        <w:tc>
          <w:tcPr>
            <w:tcW w:w="1152" w:type="dxa"/>
            <w:vAlign w:val="center"/>
          </w:tcPr>
          <w:p w14:paraId="3F7D8D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EACD7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7C502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3765606" w14:textId="77777777">
        <w:tc>
          <w:tcPr>
            <w:tcW w:w="2160" w:type="dxa"/>
            <w:vAlign w:val="center"/>
          </w:tcPr>
          <w:p w14:paraId="1A107923"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503E2B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patient wishes to preserve fertility and is staged as IA1 with lymphovascular space invasion (LVSI) or IA2, the </w:t>
            </w:r>
            <w:r w:rsidRPr="00CB2EC4">
              <w:rPr>
                <w:rFonts w:ascii="Times New Roman" w:hAnsi="Times New Roman" w:cs="Times New Roman"/>
              </w:rPr>
              <w:lastRenderedPageBreak/>
              <w:t>following treatment measures should be taken:</w:t>
            </w:r>
            <w:r w:rsidRPr="00CB2EC4">
              <w:rPr>
                <w:rFonts w:ascii="Times New Roman" w:hAnsi="Times New Roman" w:cs="Times New Roman"/>
              </w:rPr>
              <w:br/>
            </w:r>
            <w:r w:rsidRPr="00CB2EC4">
              <w:rPr>
                <w:rFonts w:ascii="Times New Roman" w:hAnsi="Times New Roman" w:cs="Times New Roman"/>
              </w:rPr>
              <w:br/>
              <w:t xml:space="preserve">Treatment measures:  </w:t>
            </w:r>
            <w:r w:rsidRPr="00CB2EC4">
              <w:rPr>
                <w:rFonts w:ascii="Times New Roman" w:hAnsi="Times New Roman" w:cs="Times New Roman"/>
              </w:rPr>
              <w:br/>
              <w:t xml:space="preserve">Cervical conization or radical trachelectomy (via vaginal or laparoscopic approach) is recommended to completely remove the lesion while preserving fertility. Close follow-up is required after surgery.  </w:t>
            </w:r>
            <w:r w:rsidRPr="00CB2EC4">
              <w:rPr>
                <w:rFonts w:ascii="Times New Roman" w:hAnsi="Times New Roman" w:cs="Times New Roman"/>
              </w:rPr>
              <w:br/>
              <w:t>- For patients with IA1 and LVSI or IA2 who wish to preserve fertility, options include cervical conization (if the lesion is localized) or radical trachelectomy (if higher risk is present), ensuring negative surgical margins.</w:t>
            </w:r>
          </w:p>
        </w:tc>
        <w:tc>
          <w:tcPr>
            <w:tcW w:w="1152" w:type="dxa"/>
            <w:vAlign w:val="center"/>
          </w:tcPr>
          <w:p w14:paraId="011C9C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1A26D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F5F3B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CB9AC0A" w14:textId="77777777">
        <w:tc>
          <w:tcPr>
            <w:tcW w:w="10656" w:type="dxa"/>
            <w:gridSpan w:val="5"/>
            <w:tcBorders>
              <w:bottom w:val="single" w:sz="6" w:space="0" w:color="auto"/>
            </w:tcBorders>
            <w:vAlign w:val="center"/>
          </w:tcPr>
          <w:p w14:paraId="7DCF1731" w14:textId="77777777" w:rsidR="00922249" w:rsidRPr="00CB2EC4" w:rsidRDefault="003011D5">
            <w:pPr>
              <w:rPr>
                <w:rFonts w:ascii="Times New Roman" w:hAnsi="Times New Roman" w:cs="Times New Roman"/>
              </w:rPr>
            </w:pPr>
            <w:r w:rsidRPr="00CB2EC4">
              <w:rPr>
                <w:rFonts w:ascii="Times New Roman" w:hAnsi="Times New Roman" w:cs="Times New Roman"/>
                <w:b/>
              </w:rPr>
              <w:t>Question 58: In cervical cancer treatment, if the patient wishes to preserve fertility, and the stage is ⅠB1, what treatment measures should be taken?</w:t>
            </w:r>
          </w:p>
        </w:tc>
      </w:tr>
      <w:tr w:rsidR="00922249" w:rsidRPr="00CB2EC4" w14:paraId="5F7474AE" w14:textId="77777777">
        <w:tc>
          <w:tcPr>
            <w:tcW w:w="2160" w:type="dxa"/>
            <w:vAlign w:val="center"/>
          </w:tcPr>
          <w:p w14:paraId="4A09AB3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FFA1D91"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at FIGO stage IB1 who wish to preserve fertility, the recommended treatment is radical trachelectomy with pelvic lymphadenectomy. Specifically:</w:t>
            </w:r>
            <w:r w:rsidRPr="00CB2EC4">
              <w:rPr>
                <w:rFonts w:ascii="Times New Roman" w:hAnsi="Times New Roman" w:cs="Times New Roman"/>
              </w:rPr>
              <w:br/>
              <w:t>- Radical trachelectomy involves removal of the cervix and parametrial tissues, with anastomosis of the uterine and vaginal stumps. It can be performed abdominally, vaginally, or laparoscopically.</w:t>
            </w:r>
            <w:r w:rsidRPr="00CB2EC4">
              <w:rPr>
                <w:rFonts w:ascii="Times New Roman" w:hAnsi="Times New Roman" w:cs="Times New Roman"/>
              </w:rPr>
              <w:br/>
              <w:t>- According to the FIGO 2018 guidelines (Table 4), for IB1 stage patients desiring fertility preservation, "radical trachelectomy + pelvic lymph node dissection" is the standard approach.</w:t>
            </w:r>
            <w:r w:rsidRPr="00CB2EC4">
              <w:rPr>
                <w:rFonts w:ascii="Times New Roman" w:hAnsi="Times New Roman" w:cs="Times New Roman"/>
              </w:rPr>
              <w:br/>
              <w:t>- Therefore, the standard regimen is radical trachelectomy (via selected surgical route) combined with pelvic lymphadenectomy to ensure negative lymph node status.</w:t>
            </w:r>
          </w:p>
        </w:tc>
        <w:tc>
          <w:tcPr>
            <w:tcW w:w="1152" w:type="dxa"/>
            <w:vAlign w:val="center"/>
          </w:tcPr>
          <w:p w14:paraId="694D33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1BF3C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087A9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4C1D7B2" w14:textId="77777777">
        <w:tc>
          <w:tcPr>
            <w:tcW w:w="2160" w:type="dxa"/>
            <w:vAlign w:val="center"/>
          </w:tcPr>
          <w:p w14:paraId="11AD2A27"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B36E61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patient wishes to preserve fertility and is staged as IB1, the recommended treatment is radical trachelectomy plus </w:t>
            </w:r>
            <w:r w:rsidRPr="00CB2EC4">
              <w:rPr>
                <w:rFonts w:ascii="Times New Roman" w:hAnsi="Times New Roman" w:cs="Times New Roman"/>
              </w:rPr>
              <w:lastRenderedPageBreak/>
              <w:t xml:space="preserve">pelvic lymphadenectomy (with optional sentinel lymph node biopsy).  </w:t>
            </w:r>
            <w:r w:rsidRPr="00CB2EC4">
              <w:rPr>
                <w:rFonts w:ascii="Times New Roman" w:hAnsi="Times New Roman" w:cs="Times New Roman"/>
              </w:rPr>
              <w:br/>
              <w:t xml:space="preserve">- Basis:  </w:t>
            </w:r>
            <w:r w:rsidRPr="00CB2EC4">
              <w:rPr>
                <w:rFonts w:ascii="Times New Roman" w:hAnsi="Times New Roman" w:cs="Times New Roman"/>
              </w:rPr>
              <w:br/>
              <w:t xml:space="preserve">  - Document fragment 11 (block 21, title "Cervical Cancer Staging and Management Standards") states: According to FIGO 2018, for fertility preservation in IB1 stage, radical trachelectomy plus pelvic lymphadenectomy is recommended; NCCN 2019 is similar but may include para-aortic lymph node sampling.  </w:t>
            </w:r>
            <w:r w:rsidRPr="00CB2EC4">
              <w:rPr>
                <w:rFonts w:ascii="Times New Roman" w:hAnsi="Times New Roman" w:cs="Times New Roman"/>
              </w:rPr>
              <w:br/>
              <w:t xml:space="preserve">  - Document fragment 22 (block 38, title "Fertility Preservation Evaluation and Treatment in Cervical Cancer") explicitly gives a Level I recommendation: For IB1 stage, use abdominal or vaginal radical trachelectomy + pelvic lymphadenectomy (can be combined with sentinel lymph node biopsy).  </w:t>
            </w:r>
            <w:r w:rsidRPr="00CB2EC4">
              <w:rPr>
                <w:rFonts w:ascii="Times New Roman" w:hAnsi="Times New Roman" w:cs="Times New Roman"/>
              </w:rPr>
              <w:br/>
              <w:t xml:space="preserve">  - Document fragment 17 (block 522, title "Indications for Radical Trachelectomy") emphasizes the indications as IB1 stage tumor diameter &lt;2cm, no lymphovascular space invasion, and no cervical canal involvement.  </w:t>
            </w:r>
            <w:r w:rsidRPr="00CB2EC4">
              <w:rPr>
                <w:rFonts w:ascii="Times New Roman" w:hAnsi="Times New Roman" w:cs="Times New Roman"/>
              </w:rPr>
              <w:br/>
              <w:t>Therefore, the treatment measure is radical trachelectomy, requiring strict assessment of tumor size (≤2cm) and lymph node status.</w:t>
            </w:r>
          </w:p>
        </w:tc>
        <w:tc>
          <w:tcPr>
            <w:tcW w:w="1152" w:type="dxa"/>
            <w:vAlign w:val="center"/>
          </w:tcPr>
          <w:p w14:paraId="44251A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E74AC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D1549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3AF7A63" w14:textId="77777777">
        <w:tc>
          <w:tcPr>
            <w:tcW w:w="2160" w:type="dxa"/>
            <w:vAlign w:val="center"/>
          </w:tcPr>
          <w:p w14:paraId="4B7CB642"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A68DFB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stage IB1 cervical cancer who wish to preserve fertility, the recommended treatment is radical trachelectomy + pelvic lymphadenectomy (which may include sentinel lymph node biopsy). Specifically:  </w:t>
            </w:r>
            <w:r w:rsidRPr="00CB2EC4">
              <w:rPr>
                <w:rFonts w:ascii="Times New Roman" w:hAnsi="Times New Roman" w:cs="Times New Roman"/>
              </w:rPr>
              <w:br/>
              <w:t xml:space="preserve">- radical trachelectomy with pelvic lymph node dissection is indicated for IB1 stage according to FIGO 2018 fertility-sparing criteria.  </w:t>
            </w:r>
            <w:r w:rsidRPr="00CB2EC4">
              <w:rPr>
                <w:rFonts w:ascii="Times New Roman" w:hAnsi="Times New Roman" w:cs="Times New Roman"/>
              </w:rPr>
              <w:br/>
              <w:t xml:space="preserve">- for IB1 stage, grade I recommendation: abdominal or vaginal radical trachelectomy.  </w:t>
            </w:r>
            <w:r w:rsidRPr="00CB2EC4">
              <w:rPr>
                <w:rFonts w:ascii="Times New Roman" w:hAnsi="Times New Roman" w:cs="Times New Roman"/>
              </w:rPr>
              <w:br/>
            </w:r>
            <w:r w:rsidRPr="00CB2EC4">
              <w:rPr>
                <w:rFonts w:ascii="Times New Roman" w:hAnsi="Times New Roman" w:cs="Times New Roman"/>
              </w:rPr>
              <w:lastRenderedPageBreak/>
              <w:t xml:space="preserve">- in IB1 stage without lymphovascular space invasion, trachelectomy can be performed; for tumor diameter &lt;2 cm, vaginal or abdominal approach may be used; for 2–4 cm, abdominal approach is suggested.  </w:t>
            </w:r>
            <w:r w:rsidRPr="00CB2EC4">
              <w:rPr>
                <w:rFonts w:ascii="Times New Roman" w:hAnsi="Times New Roman" w:cs="Times New Roman"/>
              </w:rPr>
              <w:br/>
              <w:t xml:space="preserve">- fertility-sparing patients with stage IA2 to IB1 may undergo radical trachelectomy, removing the cervix and parametrial tissue with anastomosis of the uterine and vaginal stumps.  </w:t>
            </w:r>
            <w:r w:rsidRPr="00CB2EC4">
              <w:rPr>
                <w:rFonts w:ascii="Times New Roman" w:hAnsi="Times New Roman" w:cs="Times New Roman"/>
              </w:rPr>
              <w:br/>
              <w:t xml:space="preserve">- IB1 stage: grade I recommendation: abdominal radical trachelectomy (ensuring at least 5–8 mm negative cervical margin) + pelvic lymphadenectomy (sentinel lymph node biopsy).  </w:t>
            </w:r>
            <w:r w:rsidRPr="00CB2EC4">
              <w:rPr>
                <w:rFonts w:ascii="Times New Roman" w:hAnsi="Times New Roman" w:cs="Times New Roman"/>
              </w:rPr>
              <w:br/>
              <w:t xml:space="preserve">- for IB1 patients strongly desiring fertility preservation, retaining part of the uterine corpus (radical trachelectomy) may be considered.  </w:t>
            </w:r>
            <w:r w:rsidRPr="00CB2EC4">
              <w:rPr>
                <w:rFonts w:ascii="Times New Roman" w:hAnsi="Times New Roman" w:cs="Times New Roman"/>
              </w:rPr>
              <w:br/>
              <w:t xml:space="preserve">- radical trachelectomy is indicated for IB1 stage with tumor diameter &lt;2 cm and no lymphovascular space invasion.  </w:t>
            </w:r>
            <w:r w:rsidRPr="00CB2EC4">
              <w:rPr>
                <w:rFonts w:ascii="Times New Roman" w:hAnsi="Times New Roman" w:cs="Times New Roman"/>
              </w:rPr>
              <w:br/>
              <w:t>Surgery is the primary option; the specific approach (abdominal, vaginal, or laparoscopic) should be selected based on tumor size (&lt;4 cm) and presence of lymphovascular invasion, ensuring negative surgical margins.</w:t>
            </w:r>
          </w:p>
        </w:tc>
        <w:tc>
          <w:tcPr>
            <w:tcW w:w="1152" w:type="dxa"/>
            <w:vAlign w:val="center"/>
          </w:tcPr>
          <w:p w14:paraId="745B2B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8AEF3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AB819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6E297CD" w14:textId="77777777">
        <w:tc>
          <w:tcPr>
            <w:tcW w:w="2160" w:type="dxa"/>
            <w:vAlign w:val="center"/>
          </w:tcPr>
          <w:p w14:paraId="1DF6F285"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5C2A7E4"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patient wishes to preserve fertility and is staged as IB1, the recommended treatment is radical trachelectomy with pelvic lymphadenectomy (± para-aortic lymph node sampling), requiring tumor diameter ≤2 cm, no lymphovascular space invasion (LVSI), and histology of squamous cell carcinoma or conventional adenocarcinoma (G1/G2). The surgical approach is recommended to be abdominal or laparoscopic.</w:t>
            </w:r>
            <w:r w:rsidRPr="00CB2EC4">
              <w:rPr>
                <w:rFonts w:ascii="Times New Roman" w:hAnsi="Times New Roman" w:cs="Times New Roman"/>
              </w:rPr>
              <w:br/>
            </w:r>
            <w:r w:rsidRPr="00CB2EC4">
              <w:rPr>
                <w:rFonts w:ascii="Times New Roman" w:hAnsi="Times New Roman" w:cs="Times New Roman"/>
              </w:rPr>
              <w:br/>
              <w:t>source analysis:</w:t>
            </w:r>
            <w:r w:rsidRPr="00CB2EC4">
              <w:rPr>
                <w:rFonts w:ascii="Times New Roman" w:hAnsi="Times New Roman" w:cs="Times New Roman"/>
              </w:rPr>
              <w:br/>
            </w:r>
            <w:r w:rsidRPr="00CB2EC4">
              <w:rPr>
                <w:rFonts w:ascii="Times New Roman" w:hAnsi="Times New Roman" w:cs="Times New Roman"/>
              </w:rPr>
              <w:lastRenderedPageBreak/>
              <w:t>- knowledge base document: for IB1 stage with fertility preservation, radical trachelectomy with pelvic lymphadenectomy is recommended (e.g., "IB1 stage... patients wishing to preserve fertility may choose radical trachelectomy plus pelvic lymphadenectomy"). Emphasis is placed on tumor size limitation (≤2 cm) and exclusion of high-risk factors such as positive LVSI.</w:t>
            </w:r>
            <w:r w:rsidRPr="00CB2EC4">
              <w:rPr>
                <w:rFonts w:ascii="Times New Roman" w:hAnsi="Times New Roman" w:cs="Times New Roman"/>
              </w:rPr>
              <w:br/>
              <w:t>- web search results: similarly recommend radical trachelectomy with pelvic lymphadenectomy (e.g., "IB1 stage: abdominal or vaginal radical trachelectomy + pelvic lymphadenectomy is recommended"). Additional note: tumors &gt;2 cm require individualized assessment and may not be suitable for fertility preservation.</w:t>
            </w:r>
            <w:r w:rsidRPr="00CB2EC4">
              <w:rPr>
                <w:rFonts w:ascii="Times New Roman" w:hAnsi="Times New Roman" w:cs="Times New Roman"/>
              </w:rPr>
              <w:br/>
            </w:r>
            <w:r w:rsidRPr="00CB2EC4">
              <w:rPr>
                <w:rFonts w:ascii="Times New Roman" w:hAnsi="Times New Roman" w:cs="Times New Roman"/>
              </w:rPr>
              <w:br/>
              <w:t>synthesized conclusion: both the knowledge base and web search results are consistent. IB1 stage is a common indication for fertility preservation, but strict criteria must be met: tumor ≤2 cm, no parametrial invasion, no lymph node metastasis. The uterine artery may be preserved during surgery to reduce obstetric complications. The 5-year survival rate post-surgery is comparable to radical hysterectomy, but the risk of preterm birth is higher (approximately 20%).</w:t>
            </w:r>
          </w:p>
        </w:tc>
        <w:tc>
          <w:tcPr>
            <w:tcW w:w="1152" w:type="dxa"/>
            <w:vAlign w:val="center"/>
          </w:tcPr>
          <w:p w14:paraId="37AFAB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9634B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14B0A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DDFB368" w14:textId="77777777">
        <w:tc>
          <w:tcPr>
            <w:tcW w:w="2160" w:type="dxa"/>
            <w:vAlign w:val="center"/>
          </w:tcPr>
          <w:p w14:paraId="4DE675DA"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D4418FE"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IB1 cervical cancer who wish to preserve fertility, the recommended treatment is radical trachelectomy plus pelvic lymphadenectomy.</w:t>
            </w:r>
            <w:r w:rsidRPr="00CB2EC4">
              <w:rPr>
                <w:rFonts w:ascii="Times New Roman" w:hAnsi="Times New Roman" w:cs="Times New Roman"/>
              </w:rPr>
              <w:br/>
            </w:r>
            <w:r w:rsidRPr="00CB2EC4">
              <w:rPr>
                <w:rFonts w:ascii="Times New Roman" w:hAnsi="Times New Roman" w:cs="Times New Roman"/>
              </w:rPr>
              <w:br/>
              <w:t>- Evidence sources:</w:t>
            </w:r>
            <w:r w:rsidRPr="00CB2EC4">
              <w:rPr>
                <w:rFonts w:ascii="Times New Roman" w:hAnsi="Times New Roman" w:cs="Times New Roman"/>
              </w:rPr>
              <w:br/>
              <w:t xml:space="preserve">  - Document excerpt 1 (Section 4.1.2) states: “Fertility-sparing option: radical trachelectomy with pelvic lymph node dissection.”</w:t>
            </w:r>
            <w:r w:rsidRPr="00CB2EC4">
              <w:rPr>
                <w:rFonts w:ascii="Times New Roman" w:hAnsi="Times New Roman" w:cs="Times New Roman"/>
              </w:rPr>
              <w:br/>
              <w:t xml:space="preserve">  - Document excerpt 8 (Table) specifies: “IB1 stage </w:t>
            </w:r>
            <w:r w:rsidRPr="00CB2EC4">
              <w:rPr>
                <w:rFonts w:ascii="Times New Roman" w:hAnsi="Times New Roman" w:cs="Times New Roman"/>
              </w:rPr>
              <w:lastRenderedPageBreak/>
              <w:t>FIGO 2018 fertility preservation: radical trachelectomy + pelvic lymph node dissection.”</w:t>
            </w:r>
            <w:r w:rsidRPr="00CB2EC4">
              <w:rPr>
                <w:rFonts w:ascii="Times New Roman" w:hAnsi="Times New Roman" w:cs="Times New Roman"/>
              </w:rPr>
              <w:br/>
              <w:t xml:space="preserve">  - Document excerpt 12 (Radical Trachelectomy section) emphasizes: “Indications: IA2 to IB1 stage, tumor diameter &lt;2cm; suitable for young patients desiring fertility preservation with small lesions.”</w:t>
            </w:r>
            <w:r w:rsidRPr="00CB2EC4">
              <w:rPr>
                <w:rFonts w:ascii="Times New Roman" w:hAnsi="Times New Roman" w:cs="Times New Roman"/>
              </w:rPr>
              <w:br/>
              <w:t xml:space="preserve">  Therefore, this surgery is the preferred option, effectively controlling the tumor while preserving fertility potential.</w:t>
            </w:r>
          </w:p>
        </w:tc>
        <w:tc>
          <w:tcPr>
            <w:tcW w:w="1152" w:type="dxa"/>
            <w:vAlign w:val="center"/>
          </w:tcPr>
          <w:p w14:paraId="587F98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1FF95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50EA5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15B4628" w14:textId="77777777">
        <w:tc>
          <w:tcPr>
            <w:tcW w:w="2160" w:type="dxa"/>
            <w:vAlign w:val="center"/>
          </w:tcPr>
          <w:p w14:paraId="59F246AA"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E8DD63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stage IB1 cervical cancer who wish to preserve fertility, the recommended treatment is radical trachelectomy plus pelvic lymphadenectomy. The tumor diameter must be less than 2 cm, and there should be no other high-risk factors (such as lymphovascular space invasion).  </w:t>
            </w:r>
            <w:r w:rsidRPr="00CB2EC4">
              <w:rPr>
                <w:rFonts w:ascii="Times New Roman" w:hAnsi="Times New Roman" w:cs="Times New Roman"/>
              </w:rPr>
              <w:br/>
              <w:t xml:space="preserve">- Evidence:  </w:t>
            </w:r>
            <w:r w:rsidRPr="00CB2EC4">
              <w:rPr>
                <w:rFonts w:ascii="Times New Roman" w:hAnsi="Times New Roman" w:cs="Times New Roman"/>
              </w:rPr>
              <w:br/>
              <w:t xml:space="preserve">  - Document 5 (fusion score: 0.5177) from the FIGO 2018 guidelines recommends: “Fertility-sparing treatment for IB1: radical trachelectomy + pelvic lymphadenectomy.”  </w:t>
            </w:r>
            <w:r w:rsidRPr="00CB2EC4">
              <w:rPr>
                <w:rFonts w:ascii="Times New Roman" w:hAnsi="Times New Roman" w:cs="Times New Roman"/>
              </w:rPr>
              <w:br/>
              <w:t xml:space="preserve">  - Document 10 (fusion score: 0.4787) from the FIGO 2018 guidelines also recommends: “Fertility-sparing treatment for IB1: radical trachelectomy + pelvic lymphadenectomy.”  </w:t>
            </w:r>
            <w:r w:rsidRPr="00CB2EC4">
              <w:rPr>
                <w:rFonts w:ascii="Times New Roman" w:hAnsi="Times New Roman" w:cs="Times New Roman"/>
              </w:rPr>
              <w:br/>
              <w:t xml:space="preserve">  - Document 17 (fusion score: 0.4463) emphasizes that indications include “tumor diameter &lt; 2 cm” and require exclusion of lymph node metastasis.</w:t>
            </w:r>
          </w:p>
        </w:tc>
        <w:tc>
          <w:tcPr>
            <w:tcW w:w="1152" w:type="dxa"/>
            <w:vAlign w:val="center"/>
          </w:tcPr>
          <w:p w14:paraId="625F58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EDA42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646B3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CA14A6E" w14:textId="77777777">
        <w:tc>
          <w:tcPr>
            <w:tcW w:w="2160" w:type="dxa"/>
            <w:vAlign w:val="center"/>
          </w:tcPr>
          <w:p w14:paraId="159F4AC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B05148E"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FIGO IB1 stage cervical cancer who wish to preserve fertility, the recommended treatment is radical trachelectomy plus pelvic lymphadenectomy, possibly combined with sentinel lymph node biopsy.</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For IB1 stage: "Fertility-preserving options include radical trachelectomy plus pelvic lymphadenectomy." This directly applies to IB1 stage and emphasizes surgery as the primary choice.</w:t>
            </w:r>
            <w:r w:rsidRPr="00CB2EC4">
              <w:rPr>
                <w:rFonts w:ascii="Times New Roman" w:hAnsi="Times New Roman" w:cs="Times New Roman"/>
              </w:rPr>
              <w:br/>
              <w:t>- For IB1 stage, Level I recommendation: "Abdominal or vaginal radical trachelectomy + pelvic lymphadenectomy (sentinel lymph node biopsy)." This provides surgical approach options (abdominal or vaginal) and supports sentinel lymph node biopsy to reduce trauma.</w:t>
            </w:r>
            <w:r w:rsidRPr="00CB2EC4">
              <w:rPr>
                <w:rFonts w:ascii="Times New Roman" w:hAnsi="Times New Roman" w:cs="Times New Roman"/>
              </w:rPr>
              <w:br/>
              <w:t>- According to FIGO 2018 guidelines: "IB1 stage FIGO 2018 fertility preservation: radical trachelectomy + pelvic lymphadenectomy." This confirms the standard of this regimen, applicable to cases with tumor diameter ≤2 cm (see relevant segment).</w:t>
            </w:r>
            <w:r w:rsidRPr="00CB2EC4">
              <w:rPr>
                <w:rFonts w:ascii="Times New Roman" w:hAnsi="Times New Roman" w:cs="Times New Roman"/>
              </w:rPr>
              <w:br/>
            </w:r>
            <w:r w:rsidRPr="00CB2EC4">
              <w:rPr>
                <w:rFonts w:ascii="Times New Roman" w:hAnsi="Times New Roman" w:cs="Times New Roman"/>
              </w:rPr>
              <w:br/>
              <w:t>In summary, surgery is the core approach, involving resection of the cervix and part of the parametrium while preserving the uterine corpus. Patients must meet conditions such as age &lt;40 years and no evidence of lymph node metastasis (assessed by imaging). Postoperative fertility rates are relatively high, but risks such as preterm birth must be disclosed (see relevant segment). If the tumor is large or unfavorably located, this approach may not be applicable, but no alternative options are mentioned in the documents.</w:t>
            </w:r>
          </w:p>
        </w:tc>
        <w:tc>
          <w:tcPr>
            <w:tcW w:w="1152" w:type="dxa"/>
            <w:vAlign w:val="center"/>
          </w:tcPr>
          <w:p w14:paraId="2CF258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8274F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71E9E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8FE7B3E" w14:textId="77777777">
        <w:tc>
          <w:tcPr>
            <w:tcW w:w="2160" w:type="dxa"/>
            <w:vAlign w:val="center"/>
          </w:tcPr>
          <w:p w14:paraId="52B160A3"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9D51EA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stage IB1 cervical cancer who wish to preserve fertility, the recommended treatment is radical trachelectomy (abdominal or vaginal approach) + pelvic lymphadenectomy (or sentinel lymph node biopsy), with the requirement that tumor diameter is &lt; 2 cm and there is no lymphovascular </w:t>
            </w:r>
            <w:r w:rsidRPr="00CB2EC4">
              <w:rPr>
                <w:rFonts w:ascii="Times New Roman" w:hAnsi="Times New Roman" w:cs="Times New Roman"/>
              </w:rPr>
              <w:lastRenderedPageBreak/>
              <w:t>space invasion or other high-risk factors.</w:t>
            </w:r>
          </w:p>
        </w:tc>
        <w:tc>
          <w:tcPr>
            <w:tcW w:w="1152" w:type="dxa"/>
            <w:vAlign w:val="center"/>
          </w:tcPr>
          <w:p w14:paraId="000624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6A939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50697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3276FA7" w14:textId="77777777">
        <w:tc>
          <w:tcPr>
            <w:tcW w:w="2160" w:type="dxa"/>
            <w:vAlign w:val="center"/>
          </w:tcPr>
          <w:p w14:paraId="25CAA043"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97300A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cervical cancer patients desiring fertility preservation at stage IB1, the recommended treatment is radical trachelectomy plus pelvic lymphadenectomy.  </w:t>
            </w:r>
            <w:r w:rsidRPr="00CB2EC4">
              <w:rPr>
                <w:rFonts w:ascii="Times New Roman" w:hAnsi="Times New Roman" w:cs="Times New Roman"/>
              </w:rPr>
              <w:br/>
              <w:t xml:space="preserve">- Evidence:  </w:t>
            </w:r>
            <w:r w:rsidRPr="00CB2EC4">
              <w:rPr>
                <w:rFonts w:ascii="Times New Roman" w:hAnsi="Times New Roman" w:cs="Times New Roman"/>
              </w:rPr>
              <w:br/>
              <w:t xml:space="preserve">  - The document explicitly states: "IB1 stage Level I recommendation: abdominal or vaginal radical trachelectomy" (combined with pelvic lymphadenectomy).  </w:t>
            </w:r>
            <w:r w:rsidRPr="00CB2EC4">
              <w:rPr>
                <w:rFonts w:ascii="Times New Roman" w:hAnsi="Times New Roman" w:cs="Times New Roman"/>
              </w:rPr>
              <w:br/>
              <w:t xml:space="preserve">  - FIGO 2018 guidelines indicate: "IB1 stage FIGO 2018 fertility-sparing: radical trachelectomy + pelvic lymphadenectomy."  </w:t>
            </w:r>
            <w:r w:rsidRPr="00CB2EC4">
              <w:rPr>
                <w:rFonts w:ascii="Times New Roman" w:hAnsi="Times New Roman" w:cs="Times New Roman"/>
              </w:rPr>
              <w:br/>
              <w:t xml:space="preserve">  - The indications section emphasizes: "Radical trachelectomy is suitable for IB1 stage patients with tumor diameter &lt;2cm (e.g., 'tumor diameter &lt;2cm' is the cutoff value in the new staging)."  </w:t>
            </w:r>
            <w:r w:rsidRPr="00CB2EC4">
              <w:rPr>
                <w:rFonts w:ascii="Times New Roman" w:hAnsi="Times New Roman" w:cs="Times New Roman"/>
              </w:rPr>
              <w:br/>
              <w:t xml:space="preserve">  The surgical approach may be abdominal or vaginal, provided there is no evidence of lymph node metastasis (assessed by imaging or pathology).</w:t>
            </w:r>
          </w:p>
        </w:tc>
        <w:tc>
          <w:tcPr>
            <w:tcW w:w="1152" w:type="dxa"/>
            <w:vAlign w:val="center"/>
          </w:tcPr>
          <w:p w14:paraId="7BED10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09D5A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F9787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AC9AE44" w14:textId="77777777">
        <w:tc>
          <w:tcPr>
            <w:tcW w:w="2160" w:type="dxa"/>
            <w:vAlign w:val="center"/>
          </w:tcPr>
          <w:p w14:paraId="0AF326C6"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D2329E3"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IB1 cervical cancer who wish to preserve fertility, the level I recommended treatment is abdominal or vaginal radical trachelectomy plus pelvic lymphadenectomy (with optional sentinel lymph node biopsy).</w:t>
            </w:r>
            <w:r w:rsidRPr="00CB2EC4">
              <w:rPr>
                <w:rFonts w:ascii="Times New Roman" w:hAnsi="Times New Roman" w:cs="Times New Roman"/>
              </w:rPr>
              <w:br/>
              <w:t>- Source: Document fragment 20 explicitly states: "For stage IB1, Level I recommendation: abdominal or vaginal radical trachelectomy b,f + pelvic lymphadenectomy (sentinel lymph node biopsy)". Document fragment 5 also indicates that radical trachelectomy may be chosen for fertility preservation in IB1 stage.</w:t>
            </w:r>
          </w:p>
        </w:tc>
        <w:tc>
          <w:tcPr>
            <w:tcW w:w="1152" w:type="dxa"/>
            <w:vAlign w:val="center"/>
          </w:tcPr>
          <w:p w14:paraId="390AA6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A38A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50BA5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1BAB59" w14:textId="77777777">
        <w:tc>
          <w:tcPr>
            <w:tcW w:w="2160" w:type="dxa"/>
            <w:vAlign w:val="center"/>
          </w:tcPr>
          <w:p w14:paraId="762F15AE"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75FB02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stage IB1 cervical cancer who wish </w:t>
            </w:r>
            <w:r w:rsidRPr="00CB2EC4">
              <w:rPr>
                <w:rFonts w:ascii="Times New Roman" w:hAnsi="Times New Roman" w:cs="Times New Roman"/>
              </w:rPr>
              <w:lastRenderedPageBreak/>
              <w:t>to preserve fertility, the recommended treatment is radical trachelectomy plus pelvic lymphadenectomy.</w:t>
            </w:r>
            <w:r w:rsidRPr="00CB2EC4">
              <w:rPr>
                <w:rFonts w:ascii="Times New Roman" w:hAnsi="Times New Roman" w:cs="Times New Roman"/>
              </w:rPr>
              <w:br/>
            </w:r>
            <w:r w:rsidRPr="00CB2EC4">
              <w:rPr>
                <w:rFonts w:ascii="Times New Roman" w:hAnsi="Times New Roman" w:cs="Times New Roman"/>
              </w:rPr>
              <w:br/>
              <w:t>- "Stage IB1 FIGO 2018 fertility-sparing: radical trachelectomy + pelvic lymphadenectomy".</w:t>
            </w:r>
            <w:r w:rsidRPr="00CB2EC4">
              <w:rPr>
                <w:rFonts w:ascii="Times New Roman" w:hAnsi="Times New Roman" w:cs="Times New Roman"/>
              </w:rPr>
              <w:br/>
              <w:t>- "For those wishing to preserve fertility: radical trachelectomy + pelvic lymphadenectomy".</w:t>
            </w:r>
            <w:r w:rsidRPr="00CB2EC4">
              <w:rPr>
                <w:rFonts w:ascii="Times New Roman" w:hAnsi="Times New Roman" w:cs="Times New Roman"/>
              </w:rPr>
              <w:br/>
              <w:t xml:space="preserve">  This treatment is suitable for patients with tumor diameter ≤2 cm, aiming to completely remove the lesion while preserving uterine function. The surgical approach may be open, laparoscopic, or robot-assisted.</w:t>
            </w:r>
          </w:p>
        </w:tc>
        <w:tc>
          <w:tcPr>
            <w:tcW w:w="1152" w:type="dxa"/>
            <w:vAlign w:val="center"/>
          </w:tcPr>
          <w:p w14:paraId="7CF53F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799A2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EB8A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82C980" w14:textId="77777777">
        <w:tc>
          <w:tcPr>
            <w:tcW w:w="2160" w:type="dxa"/>
            <w:vAlign w:val="center"/>
          </w:tcPr>
          <w:p w14:paraId="4E896FF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99A2404"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IB1 cervical cancer who wish to preserve fertility, the level I recommended treatment is abdominal or vaginal radical trachelectomy with pelvic lymphadenectomy (possibly including sentinel lymph node biopsy). this applies to cases where the tumor is confined to the cervix with no distant metastasis. the surgery involves removal of the cervix and parametrial tissue while preserving the uterine corpus, along with pelvic lymph node assessment. indications include age ≤45 years, absence of fertility dysfunction, and tumor diameter &lt;2 cm (document fragments 7 and 19).</w:t>
            </w:r>
          </w:p>
        </w:tc>
        <w:tc>
          <w:tcPr>
            <w:tcW w:w="1152" w:type="dxa"/>
            <w:vAlign w:val="center"/>
          </w:tcPr>
          <w:p w14:paraId="79645E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8B60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F921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DB4956" w14:textId="77777777">
        <w:tc>
          <w:tcPr>
            <w:tcW w:w="2160" w:type="dxa"/>
            <w:vAlign w:val="center"/>
          </w:tcPr>
          <w:p w14:paraId="0B791B2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0127C7B"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desiring fertility preservation at stage IB1, the recommended treatment is radical trachelectomy plus pelvic lymphadenectomy, based on the FIGO 2018 guidelines.</w:t>
            </w:r>
            <w:r w:rsidRPr="00CB2EC4">
              <w:rPr>
                <w:rFonts w:ascii="Times New Roman" w:hAnsi="Times New Roman" w:cs="Times New Roman"/>
              </w:rPr>
              <w:br/>
            </w:r>
            <w:r w:rsidRPr="00CB2EC4">
              <w:rPr>
                <w:rFonts w:ascii="Times New Roman" w:hAnsi="Times New Roman" w:cs="Times New Roman"/>
              </w:rPr>
              <w:br/>
              <w:t>according to the contextual information (Table 4):</w:t>
            </w:r>
            <w:r w:rsidRPr="00CB2EC4">
              <w:rPr>
                <w:rFonts w:ascii="Times New Roman" w:hAnsi="Times New Roman" w:cs="Times New Roman"/>
              </w:rPr>
              <w:br/>
              <w:t xml:space="preserve">- FIGO 2018 guidelines recommend: radical trachelectomy + pelvic lymphadenectomy </w:t>
            </w:r>
            <w:r w:rsidRPr="00CB2EC4">
              <w:rPr>
                <w:rFonts w:ascii="Times New Roman" w:hAnsi="Times New Roman" w:cs="Times New Roman"/>
              </w:rPr>
              <w:lastRenderedPageBreak/>
              <w:t>(specifically for fertility preservation).</w:t>
            </w:r>
            <w:r w:rsidRPr="00CB2EC4">
              <w:rPr>
                <w:rFonts w:ascii="Times New Roman" w:hAnsi="Times New Roman" w:cs="Times New Roman"/>
              </w:rPr>
              <w:br/>
              <w:t>- NCCN 2019 guidelines recommend: radical hysterectomy + pelvic lymphadenectomy ± para-aortic lymphadenectomy (however, the fertility-sparing option for IB1 stage is not explicitly listed in Table 4 for NCCN; FIGO guidelines serve as the primary reference).</w:t>
            </w:r>
            <w:r w:rsidRPr="00CB2EC4">
              <w:rPr>
                <w:rFonts w:ascii="Times New Roman" w:hAnsi="Times New Roman" w:cs="Times New Roman"/>
              </w:rPr>
              <w:br/>
              <w:t xml:space="preserve">  therefore, the treatment measure should be radical trachelectomy + pelvic lymphadenectomy (based on FIGO guidelines). the context clearly supports this approach.</w:t>
            </w:r>
          </w:p>
        </w:tc>
        <w:tc>
          <w:tcPr>
            <w:tcW w:w="1152" w:type="dxa"/>
            <w:vAlign w:val="center"/>
          </w:tcPr>
          <w:p w14:paraId="203E5D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3851B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480FF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3ACBE1D" w14:textId="77777777">
        <w:tc>
          <w:tcPr>
            <w:tcW w:w="2160" w:type="dxa"/>
            <w:vAlign w:val="center"/>
          </w:tcPr>
          <w:p w14:paraId="5E99224F"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3C62823"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patient wishes to preserve fertility and is staged as IB1, the following treatment measures should be adopted:</w:t>
            </w:r>
            <w:r w:rsidRPr="00CB2EC4">
              <w:rPr>
                <w:rFonts w:ascii="Times New Roman" w:hAnsi="Times New Roman" w:cs="Times New Roman"/>
              </w:rPr>
              <w:br/>
            </w:r>
            <w:r w:rsidRPr="00CB2EC4">
              <w:rPr>
                <w:rFonts w:ascii="Times New Roman" w:hAnsi="Times New Roman" w:cs="Times New Roman"/>
              </w:rPr>
              <w:br/>
              <w:t xml:space="preserve">Treatment measures:  </w:t>
            </w:r>
            <w:r w:rsidRPr="00CB2EC4">
              <w:rPr>
                <w:rFonts w:ascii="Times New Roman" w:hAnsi="Times New Roman" w:cs="Times New Roman"/>
              </w:rPr>
              <w:br/>
              <w:t xml:space="preserve">Radical trachelectomy (via abdominal or laparoscopic approach) combined with pelvic lymphadenectomy is recommended, while preserving the uterine corpus to maintain fertility potential. The surgery must include lymph node assessment (e.g., pelvic lymph node dissection).  </w:t>
            </w:r>
            <w:r w:rsidRPr="00CB2EC4">
              <w:rPr>
                <w:rFonts w:ascii="Times New Roman" w:hAnsi="Times New Roman" w:cs="Times New Roman"/>
              </w:rPr>
              <w:br/>
              <w:t>- Rationale: For IB1 stage (tumor ≤4 cm) patients desiring fertility preservation, radical trachelectomy is the standard first-line surgical option that preserves reproductive function.</w:t>
            </w:r>
          </w:p>
        </w:tc>
        <w:tc>
          <w:tcPr>
            <w:tcW w:w="1152" w:type="dxa"/>
            <w:vAlign w:val="center"/>
          </w:tcPr>
          <w:p w14:paraId="53FE8E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B618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C500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70ACBB" w14:textId="77777777">
        <w:tc>
          <w:tcPr>
            <w:tcW w:w="10656" w:type="dxa"/>
            <w:gridSpan w:val="5"/>
            <w:tcBorders>
              <w:bottom w:val="single" w:sz="6" w:space="0" w:color="auto"/>
            </w:tcBorders>
            <w:vAlign w:val="center"/>
          </w:tcPr>
          <w:p w14:paraId="25064AC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59: In cervical cancer treatment, if the patient wishes to preserve fertility, and the stage is ⅠB2, what treatment measures should be taken?</w:t>
            </w:r>
          </w:p>
        </w:tc>
      </w:tr>
      <w:tr w:rsidR="00922249" w:rsidRPr="00CB2EC4" w14:paraId="068C4F9C" w14:textId="77777777">
        <w:tc>
          <w:tcPr>
            <w:tcW w:w="2160" w:type="dxa"/>
            <w:vAlign w:val="center"/>
          </w:tcPr>
          <w:p w14:paraId="669F715A"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DCC676F"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IB2 cervical cancer who wish to preserve fertility, the recommended treatment is radical trachelectomy via abdominal or laparoscopic approach.</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according to the discussion in the source material (e.g., [similarity: 0.464] fragment): "based on the new staging, the methods and indications for fertility-sparing extensive cervical surgery can be summarized as: stage IB1 via vaginal approach, stage IB2 via abdominal or laparoscopic approach, stage IB3 not recommended for fertility preservation."</w:t>
            </w:r>
            <w:r w:rsidRPr="00CB2EC4">
              <w:rPr>
                <w:rFonts w:ascii="Times New Roman" w:hAnsi="Times New Roman" w:cs="Times New Roman"/>
              </w:rPr>
              <w:br/>
              <w:t>- in table 4, stage IB2 does not directly list a fertility-preserving option (as the table primarily addresses non-fertility-sparing scenarios), but based on the above summary, for tumors &gt;2 cm and ≤4 cm in maximum diameter (IB2), radical trachelectomy remains an option, requiring abdominal or laparoscopic approach to ensure adequate surgical margins and lymph node assessment.</w:t>
            </w:r>
            <w:r w:rsidRPr="00CB2EC4">
              <w:rPr>
                <w:rFonts w:ascii="Times New Roman" w:hAnsi="Times New Roman" w:cs="Times New Roman"/>
              </w:rPr>
              <w:br/>
              <w:t>- therefore, the standard approach is abdominal or laparoscopic radical trachelectomy, typically combined with pelvic lymphadenectomy, with careful evaluation of tumor size and risk factors such as lymphovascular space invasion (LVSI) status.</w:t>
            </w:r>
          </w:p>
        </w:tc>
        <w:tc>
          <w:tcPr>
            <w:tcW w:w="1152" w:type="dxa"/>
            <w:vAlign w:val="center"/>
          </w:tcPr>
          <w:p w14:paraId="75A8C9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74F5A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A597F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00F5429" w14:textId="77777777">
        <w:tc>
          <w:tcPr>
            <w:tcW w:w="2160" w:type="dxa"/>
            <w:vAlign w:val="center"/>
          </w:tcPr>
          <w:p w14:paraId="4FD6B7D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B5868D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recommended fertility-sparing treatment measures for IB2 stage cervical cancer are provided in the given documents.  </w:t>
            </w:r>
            <w:r w:rsidRPr="00CB2EC4">
              <w:rPr>
                <w:rFonts w:ascii="Times New Roman" w:hAnsi="Times New Roman" w:cs="Times New Roman"/>
              </w:rPr>
              <w:br/>
              <w:t xml:space="preserve">- reasons:  </w:t>
            </w:r>
            <w:r w:rsidRPr="00CB2EC4">
              <w:rPr>
                <w:rFonts w:ascii="Times New Roman" w:hAnsi="Times New Roman" w:cs="Times New Roman"/>
              </w:rPr>
              <w:br/>
              <w:t xml:space="preserve">  - document fragment 11 (block 21, title "standard for cervical cancer staging and management") and document fragment 6 (block 22, title "cervical cancer staging treatment plan") only discuss non-fertility-sparing options for IB2 stage (such as type C radical hysterectomy or radiotherapy), with no mention of fertility-sparing alternatives.  </w:t>
            </w:r>
            <w:r w:rsidRPr="00CB2EC4">
              <w:rPr>
                <w:rFonts w:ascii="Times New Roman" w:hAnsi="Times New Roman" w:cs="Times New Roman"/>
              </w:rPr>
              <w:br/>
              <w:t xml:space="preserve">  - document fragment 22 (block 38, title "fertility preservation assessment and treatment for cervical cancer") covers only up to IB1 stage, not extending to </w:t>
            </w:r>
            <w:r w:rsidRPr="00CB2EC4">
              <w:rPr>
                <w:rFonts w:ascii="Times New Roman" w:hAnsi="Times New Roman" w:cs="Times New Roman"/>
              </w:rPr>
              <w:lastRenderedPageBreak/>
              <w:t xml:space="preserve">IB2 stage.  </w:t>
            </w:r>
            <w:r w:rsidRPr="00CB2EC4">
              <w:rPr>
                <w:rFonts w:ascii="Times New Roman" w:hAnsi="Times New Roman" w:cs="Times New Roman"/>
              </w:rPr>
              <w:br/>
              <w:t xml:space="preserve">  - document fragment 17 (block 522, title "indications for radical trachelectomy") explicitly states the indication as tumor diameter &lt;2cm (IB1 stage); IB2 stage tumors are typically larger (&gt;2cm) and unsuitable for fertility-sparing surgery.  </w:t>
            </w:r>
            <w:r w:rsidRPr="00CB2EC4">
              <w:rPr>
                <w:rFonts w:ascii="Times New Roman" w:hAnsi="Times New Roman" w:cs="Times New Roman"/>
              </w:rPr>
              <w:br/>
              <w:t>therefore, based on the knowledge base, no recommended fertility-sparing measures for IB2 stage can be found in the provided documents. clinical evaluation is advised, with radical treatment likely being the primary option.</w:t>
            </w:r>
          </w:p>
        </w:tc>
        <w:tc>
          <w:tcPr>
            <w:tcW w:w="1152" w:type="dxa"/>
            <w:vAlign w:val="center"/>
          </w:tcPr>
          <w:p w14:paraId="09BB96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C76E6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8646F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A7A69E7" w14:textId="77777777">
        <w:tc>
          <w:tcPr>
            <w:tcW w:w="2160" w:type="dxa"/>
            <w:vAlign w:val="center"/>
          </w:tcPr>
          <w:p w14:paraId="271C8BBA"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D292874"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IB2 cervical cancer who wish to preserve fertility, the recommended treatment measures are:</w:t>
            </w:r>
            <w:r w:rsidRPr="00CB2EC4">
              <w:rPr>
                <w:rFonts w:ascii="Times New Roman" w:hAnsi="Times New Roman" w:cs="Times New Roman"/>
              </w:rPr>
              <w:br/>
            </w:r>
            <w:r w:rsidRPr="00CB2EC4">
              <w:rPr>
                <w:rFonts w:ascii="Times New Roman" w:hAnsi="Times New Roman" w:cs="Times New Roman"/>
              </w:rPr>
              <w:br/>
              <w:t>- Level I recommendation: Abdominal radical trachelectomy (ensuring at least 8–10 mm negative cervical margin) + pelvic lymphadenectomy.</w:t>
            </w:r>
            <w:r w:rsidRPr="00CB2EC4">
              <w:rPr>
                <w:rFonts w:ascii="Times New Roman" w:hAnsi="Times New Roman" w:cs="Times New Roman"/>
              </w:rPr>
              <w:br/>
              <w:t>- Level III recommendation: Consider neoadjuvant chemotherapy followed by radical trachelectomy or conization.</w:t>
            </w:r>
            <w:r w:rsidRPr="00CB2EC4">
              <w:rPr>
                <w:rFonts w:ascii="Times New Roman" w:hAnsi="Times New Roman" w:cs="Times New Roman"/>
              </w:rPr>
              <w:br/>
            </w:r>
            <w:r w:rsidRPr="00CB2EC4">
              <w:rPr>
                <w:rFonts w:ascii="Times New Roman" w:hAnsi="Times New Roman" w:cs="Times New Roman"/>
              </w:rPr>
              <w:br/>
              <w:t>Specific evidence:</w:t>
            </w:r>
            <w:r w:rsidRPr="00CB2EC4">
              <w:rPr>
                <w:rFonts w:ascii="Times New Roman" w:hAnsi="Times New Roman" w:cs="Times New Roman"/>
              </w:rPr>
              <w:br/>
              <w:t>- Document fragment 9 (relevance: 0.900) explicitly states for IB2 stage: "Level I recommendation: Abdominal radical trachelectomy (at least 8–10 mm negative cervical margin guaranteed) + pelvic lymphadenectomy; Level III recommendation: Neoadjuvant chemotherapy + radical trachelectomy or conization."</w:t>
            </w:r>
            <w:r w:rsidRPr="00CB2EC4">
              <w:rPr>
                <w:rFonts w:ascii="Times New Roman" w:hAnsi="Times New Roman" w:cs="Times New Roman"/>
              </w:rPr>
              <w:br/>
              <w:t>- Document fragment 3 (relevance: 0.900) indicates that IB2 stage typically does not preserve fertility (recommends type C radical hysterectomy), but does not directly exclude fertility-sparing options.</w:t>
            </w:r>
            <w:r w:rsidRPr="00CB2EC4">
              <w:rPr>
                <w:rFonts w:ascii="Times New Roman" w:hAnsi="Times New Roman" w:cs="Times New Roman"/>
              </w:rPr>
              <w:br/>
            </w:r>
            <w:r w:rsidRPr="00CB2EC4">
              <w:rPr>
                <w:rFonts w:ascii="Times New Roman" w:hAnsi="Times New Roman" w:cs="Times New Roman"/>
              </w:rPr>
              <w:lastRenderedPageBreak/>
              <w:t>- Document fragment 11 (relevance: 0.800) notes that radical trachelectomy is indicated for tumors &lt;2 cm in diameter, while IB2 stage tumors are usually &gt;4 cm (as defined in fragment 12), suggesting fertility preservation may be limited; however, fragment 9’s recommendation indicates feasibility under strict patient selection.</w:t>
            </w:r>
            <w:r w:rsidRPr="00CB2EC4">
              <w:rPr>
                <w:rFonts w:ascii="Times New Roman" w:hAnsi="Times New Roman" w:cs="Times New Roman"/>
              </w:rPr>
              <w:br/>
              <w:t>- Other fragments (e.g., fragment 7, 10) do not explicitly address fertility preservation in IB2 stage; fragment 9 is the only directly relevant high-relevance content.</w:t>
            </w:r>
            <w:r w:rsidRPr="00CB2EC4">
              <w:rPr>
                <w:rFonts w:ascii="Times New Roman" w:hAnsi="Times New Roman" w:cs="Times New Roman"/>
              </w:rPr>
              <w:br/>
            </w:r>
            <w:r w:rsidRPr="00CB2EC4">
              <w:rPr>
                <w:rFonts w:ascii="Times New Roman" w:hAnsi="Times New Roman" w:cs="Times New Roman"/>
              </w:rPr>
              <w:br/>
              <w:t>In summary, abdominal radical trachelectomy with pelvic lymphadenectomy is the preferred option (requiring 8–10 mm margin), but tumor size and patient condition must be assessed; neoadjuvant chemotherapy followed by surgery may serve as an alternative. Due to larger tumor size (&gt;4 cm) in IB2 stage, the success rate of fertility preservation may be low and requires individualized evaluation.</w:t>
            </w:r>
          </w:p>
        </w:tc>
        <w:tc>
          <w:tcPr>
            <w:tcW w:w="1152" w:type="dxa"/>
            <w:vAlign w:val="center"/>
          </w:tcPr>
          <w:p w14:paraId="7F01A1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C9841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19A2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77778D" w14:textId="77777777">
        <w:tc>
          <w:tcPr>
            <w:tcW w:w="2160" w:type="dxa"/>
            <w:vAlign w:val="center"/>
          </w:tcPr>
          <w:p w14:paraId="153D7F17"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341435C"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patient wishes to preserve fertility and is staged as IB2, the recommended treatment measures are:</w:t>
            </w:r>
            <w:r w:rsidRPr="00CB2EC4">
              <w:rPr>
                <w:rFonts w:ascii="Times New Roman" w:hAnsi="Times New Roman" w:cs="Times New Roman"/>
              </w:rPr>
              <w:br/>
            </w:r>
            <w:r w:rsidRPr="00CB2EC4">
              <w:rPr>
                <w:rFonts w:ascii="Times New Roman" w:hAnsi="Times New Roman" w:cs="Times New Roman"/>
              </w:rPr>
              <w:br/>
              <w:t>- Fertility-sparing treatment is generally not recommended.</w:t>
            </w:r>
            <w:r w:rsidRPr="00CB2EC4">
              <w:rPr>
                <w:rFonts w:ascii="Times New Roman" w:hAnsi="Times New Roman" w:cs="Times New Roman"/>
              </w:rPr>
              <w:br/>
              <w:t>- The preferred treatment is concurrent chemoradiation.</w:t>
            </w:r>
            <w:r w:rsidRPr="00CB2EC4">
              <w:rPr>
                <w:rFonts w:ascii="Times New Roman" w:hAnsi="Times New Roman" w:cs="Times New Roman"/>
              </w:rPr>
              <w:br/>
              <w:t>- Only in strictly selected cases (e.g., tumor diameter &gt;2 cm but ≤4 cm, no lymphovascular space invasion (LVSI), age &lt;40 years) may neoadjuvant chemotherapy followed by radical trachelectomy be considered, but evidence is limited and risks are high.</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Analysis of information sources:</w:t>
            </w:r>
            <w:r w:rsidRPr="00CB2EC4">
              <w:rPr>
                <w:rFonts w:ascii="Times New Roman" w:hAnsi="Times New Roman" w:cs="Times New Roman"/>
              </w:rPr>
              <w:br/>
              <w:t>- Knowledge base documents: IB2 stage typically does not recommend fertility preservation (e.g., "IB3 stage [equivalent to IB2] preferred treatment is concurrent chemoradiation"). Fertility-sparing surgery is only applicable to a very small subset of low-risk cases (tumor ≤4 cm), but does not specify a clear protocol for IB2.</w:t>
            </w:r>
            <w:r w:rsidRPr="00CB2EC4">
              <w:rPr>
                <w:rFonts w:ascii="Times New Roman" w:hAnsi="Times New Roman" w:cs="Times New Roman"/>
              </w:rPr>
              <w:br/>
              <w:t>- Web search results: Explicitly state that evidence for fertility preservation in IB2 is insufficient (e.g., "only in strictly selected IB2 cases... may be considered, but not standard recommendation"). Concurrent chemoradiation is preferred; if fertility preservation is attempted, neoadjuvant chemotherapy to shrink the tumor followed by assessment of surgical feasibility is required (e.g., "for IB2... neoadjuvant chemotherapy followed by radical trachelectomy may be performed").</w:t>
            </w:r>
            <w:r w:rsidRPr="00CB2EC4">
              <w:rPr>
                <w:rFonts w:ascii="Times New Roman" w:hAnsi="Times New Roman" w:cs="Times New Roman"/>
              </w:rPr>
              <w:br/>
              <w:t>- Analysis of conflicting information: The knowledge base emphasizes chemoradiation, while web searches mention individualized surgical options; both agree that fertility preservation in IB2 carries high risk and weak evidence. Integrated recommendation: prioritize chemoradiation; if the patient insists on preserving fertility, multidisciplinary evaluation is needed, and neoadjuvant chemotherapy (e.g., cisplatin-based regimen) followed by possible surgery, but success rates are low and recurrence risk increases.</w:t>
            </w:r>
            <w:r w:rsidRPr="00CB2EC4">
              <w:rPr>
                <w:rFonts w:ascii="Times New Roman" w:hAnsi="Times New Roman" w:cs="Times New Roman"/>
              </w:rPr>
              <w:br/>
            </w:r>
            <w:r w:rsidRPr="00CB2EC4">
              <w:rPr>
                <w:rFonts w:ascii="Times New Roman" w:hAnsi="Times New Roman" w:cs="Times New Roman"/>
              </w:rPr>
              <w:br/>
              <w:t>Integrated conclusion:</w:t>
            </w:r>
            <w:r w:rsidRPr="00CB2EC4">
              <w:rPr>
                <w:rFonts w:ascii="Times New Roman" w:hAnsi="Times New Roman" w:cs="Times New Roman"/>
              </w:rPr>
              <w:br/>
              <w:t xml:space="preserve">Fertility preservation in IB2 cervical cancer is not a standard recommendation. Concurrent chemoradiation is the first-line treatment (high-level evidence); surgery is only an experimental option and requires </w:t>
            </w:r>
            <w:r w:rsidRPr="00CB2EC4">
              <w:rPr>
                <w:rFonts w:ascii="Times New Roman" w:hAnsi="Times New Roman" w:cs="Times New Roman"/>
              </w:rPr>
              <w:lastRenderedPageBreak/>
              <w:t>informed consent.</w:t>
            </w:r>
          </w:p>
        </w:tc>
        <w:tc>
          <w:tcPr>
            <w:tcW w:w="1152" w:type="dxa"/>
            <w:vAlign w:val="center"/>
          </w:tcPr>
          <w:p w14:paraId="29C20E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4B2CB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A2910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84F97A4" w14:textId="77777777">
        <w:tc>
          <w:tcPr>
            <w:tcW w:w="2160" w:type="dxa"/>
            <w:vAlign w:val="center"/>
          </w:tcPr>
          <w:p w14:paraId="76320A3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78BF412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found in the knowledge base.  </w:t>
            </w:r>
            <w:r w:rsidRPr="00CB2EC4">
              <w:rPr>
                <w:rFonts w:ascii="Times New Roman" w:hAnsi="Times New Roman" w:cs="Times New Roman"/>
              </w:rPr>
              <w:br/>
              <w:t xml:space="preserve">- reasons:  </w:t>
            </w:r>
            <w:r w:rsidRPr="00CB2EC4">
              <w:rPr>
                <w:rFonts w:ascii="Times New Roman" w:hAnsi="Times New Roman" w:cs="Times New Roman"/>
              </w:rPr>
              <w:br/>
              <w:t xml:space="preserve">  - multiple mentions of IB2 stage treatment in the document (e.g., document fragment 8: "IB2, IIA1 stage FIGO 2018 without fertility preservation: Type C radical hysterectomy + pelvic lymphadenectomy or radiotherapy"), but all content addresses non-fertility-preserving scenarios.  </w:t>
            </w:r>
            <w:r w:rsidRPr="00CB2EC4">
              <w:rPr>
                <w:rFonts w:ascii="Times New Roman" w:hAnsi="Times New Roman" w:cs="Times New Roman"/>
              </w:rPr>
              <w:br/>
              <w:t xml:space="preserve">  - document fragment 12 (indications for radical trachelectomy) limits eligibility to "tumor diameter &lt;2cm", whereas IB2 stage is defined as tumor maximum diameter &gt;2cm and ≤4cm (document fragment 10), thus not meeting criteria for fertility-preserving procedures.  </w:t>
            </w:r>
            <w:r w:rsidRPr="00CB2EC4">
              <w:rPr>
                <w:rFonts w:ascii="Times New Roman" w:hAnsi="Times New Roman" w:cs="Times New Roman"/>
              </w:rPr>
              <w:br/>
              <w:t xml:space="preserve">  - document fragments 7 and 8 state that IB3 stage does not recommend fertility preservation, but IB2 stage lacks explicit guidance for fertility-preserving options. fragment 8 references "IB2 stage via abdominal or laparoscopic approach" as surgical methods, not as guidance on fertility preservation, and the context does not address fertility retention.  </w:t>
            </w:r>
            <w:r w:rsidRPr="00CB2EC4">
              <w:rPr>
                <w:rFonts w:ascii="Times New Roman" w:hAnsi="Times New Roman" w:cs="Times New Roman"/>
              </w:rPr>
              <w:br/>
              <w:t xml:space="preserve">  in summary, the document provides no specific measures for fertility preservation in IB2 stage cervical cancer, likely due to higher risk associated with larger tumor size, making such approaches not recommended. clinical evaluation of individual risk is advised.</w:t>
            </w:r>
          </w:p>
        </w:tc>
        <w:tc>
          <w:tcPr>
            <w:tcW w:w="1152" w:type="dxa"/>
            <w:vAlign w:val="center"/>
          </w:tcPr>
          <w:p w14:paraId="5C32D5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53463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5D004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237D5BA" w14:textId="77777777">
        <w:tc>
          <w:tcPr>
            <w:tcW w:w="2160" w:type="dxa"/>
            <w:vAlign w:val="center"/>
          </w:tcPr>
          <w:p w14:paraId="20795D0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AF27F2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found in the knowledge base.  </w:t>
            </w:r>
            <w:r w:rsidRPr="00CB2EC4">
              <w:rPr>
                <w:rFonts w:ascii="Times New Roman" w:hAnsi="Times New Roman" w:cs="Times New Roman"/>
              </w:rPr>
              <w:br/>
              <w:t xml:space="preserve">- reason: the provided context does not specify treatment measures for preserving fertility in stage IB2 cervical cancer (tumor diameter &gt;2cm and ≤4cm). relevant document 5 (fusion score: 0.5177) and </w:t>
            </w:r>
            <w:r w:rsidRPr="00CB2EC4">
              <w:rPr>
                <w:rFonts w:ascii="Times New Roman" w:hAnsi="Times New Roman" w:cs="Times New Roman"/>
              </w:rPr>
              <w:lastRenderedPageBreak/>
              <w:t>document 10 (fusion score: 0.4787) discuss treatments only for stage IB1 or IB3, not for fertility-sparing approaches in IB2. document 17 (fusion score: 0.4463) states that radical trachelectomy is indicated only for tumors &lt;2cm (IB1), and IB2 may not be suitable for fertility preservation. clinicians should assess on an individual basis, but based on the given documents, no specific recommendation can be provided.</w:t>
            </w:r>
          </w:p>
        </w:tc>
        <w:tc>
          <w:tcPr>
            <w:tcW w:w="1152" w:type="dxa"/>
            <w:vAlign w:val="center"/>
          </w:tcPr>
          <w:p w14:paraId="7403E7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4D739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C135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E5CD07" w14:textId="77777777">
        <w:tc>
          <w:tcPr>
            <w:tcW w:w="2160" w:type="dxa"/>
            <w:vAlign w:val="center"/>
          </w:tcPr>
          <w:p w14:paraId="030F0549"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24A6449"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 the provided documents exclusively address IB2 stage cervical cancer treatment without fertility preservation. specifically:</w:t>
            </w:r>
            <w:r w:rsidRPr="00CB2EC4">
              <w:rPr>
                <w:rFonts w:ascii="Times New Roman" w:hAnsi="Times New Roman" w:cs="Times New Roman"/>
              </w:rPr>
              <w:br/>
              <w:t>- FIGO 2018 guidelines for IB2 stage specify radical hysterectomy (type C) + pelvic lymphadenectomy or radiotherapy, with no mention of fertility-sparing options.</w:t>
            </w:r>
            <w:r w:rsidRPr="00CB2EC4">
              <w:rPr>
                <w:rFonts w:ascii="Times New Roman" w:hAnsi="Times New Roman" w:cs="Times New Roman"/>
              </w:rPr>
              <w:br/>
              <w:t>- tumor size &gt;2 cm (characteristic of IB2) is identified as a cutoff where fertility preservation is not recommended; IB2 is explicitly excluded from fertility-sparing indications in documents (similarity 0.564, 0.604).</w:t>
            </w:r>
            <w:r w:rsidRPr="00CB2EC4">
              <w:rPr>
                <w:rFonts w:ascii="Times New Roman" w:hAnsi="Times New Roman" w:cs="Times New Roman"/>
              </w:rPr>
              <w:br/>
              <w:t>- documents state: "for IB2 stage, fertility preservation is generally not recommended" (similarity 0.647) and "IB3 stage is not recommended for fertility preservation" (similarity 0.600), reinforcing IB2 as high-risk for such approaches.</w:t>
            </w:r>
            <w:r w:rsidRPr="00CB2EC4">
              <w:rPr>
                <w:rFonts w:ascii="Times New Roman" w:hAnsi="Times New Roman" w:cs="Times New Roman"/>
              </w:rPr>
              <w:br/>
            </w:r>
            <w:r w:rsidRPr="00CB2EC4">
              <w:rPr>
                <w:rFonts w:ascii="Times New Roman" w:hAnsi="Times New Roman" w:cs="Times New Roman"/>
              </w:rPr>
              <w:br/>
              <w:t>therefore, the knowledge base contains no information on fertility-preserving treatment measures for IB2 stage cervical cancer. clinical management typically favors radical treatment; individualized assessment may be required but is not detailed in available sources.</w:t>
            </w:r>
          </w:p>
        </w:tc>
        <w:tc>
          <w:tcPr>
            <w:tcW w:w="1152" w:type="dxa"/>
            <w:vAlign w:val="center"/>
          </w:tcPr>
          <w:p w14:paraId="2AF629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09585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32E57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CFD3AFA" w14:textId="77777777">
        <w:tc>
          <w:tcPr>
            <w:tcW w:w="2160" w:type="dxa"/>
            <w:vAlign w:val="center"/>
          </w:tcPr>
          <w:p w14:paraId="01F76F3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0C7188F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stage IB2 cervical cancer who wish to preserve fertility, the recommended treatment is radical trachelectomy (via abdominal or laparoscopic approach) plus pelvic lymphadenectomy. however, fertility-sparing treatment in IB2 stage is controversial and requires strict patient selection based on tumor size (2–4 cm), exophytic growth pattern, and informed consent due to higher recurrence risk.  </w:t>
            </w:r>
            <w:r w:rsidRPr="00CB2EC4">
              <w:rPr>
                <w:rFonts w:ascii="Times New Roman" w:hAnsi="Times New Roman" w:cs="Times New Roman"/>
              </w:rPr>
              <w:br/>
            </w:r>
            <w:r w:rsidRPr="00CB2EC4">
              <w:rPr>
                <w:rFonts w:ascii="Times New Roman" w:hAnsi="Times New Roman" w:cs="Times New Roman"/>
              </w:rPr>
              <w:br/>
              <w:t xml:space="preserve">based on document evidence:  </w:t>
            </w:r>
            <w:r w:rsidRPr="00CB2EC4">
              <w:rPr>
                <w:rFonts w:ascii="Times New Roman" w:hAnsi="Times New Roman" w:cs="Times New Roman"/>
              </w:rPr>
              <w:br/>
              <w:t xml:space="preserve">- ib2 stage tumor diameter is 2–4 cm (document 1).  </w:t>
            </w:r>
            <w:r w:rsidRPr="00CB2EC4">
              <w:rPr>
                <w:rFonts w:ascii="Times New Roman" w:hAnsi="Times New Roman" w:cs="Times New Roman"/>
              </w:rPr>
              <w:br/>
              <w:t xml:space="preserve">- radical trachelectomy for ib2 is preferably performed abdominally for safety, as vaginal approach is technically difficult (documents 8, 24).  </w:t>
            </w:r>
            <w:r w:rsidRPr="00CB2EC4">
              <w:rPr>
                <w:rFonts w:ascii="Times New Roman" w:hAnsi="Times New Roman" w:cs="Times New Roman"/>
              </w:rPr>
              <w:br/>
              <w:t xml:space="preserve">- nccn guidelines previously allowed radical trachelectomy for ib1 (tumor &lt;4 cm) but now restrict to &lt;2 cm; ib2 (2–4 cm) remains off-label but may be considered with caution (document 8).  </w:t>
            </w:r>
            <w:r w:rsidRPr="00CB2EC4">
              <w:rPr>
                <w:rFonts w:ascii="Times New Roman" w:hAnsi="Times New Roman" w:cs="Times New Roman"/>
              </w:rPr>
              <w:br/>
              <w:t xml:space="preserve">- laparoscopic approach is also feasible per document 1, but abdominal route is emphasized for larger tumors.  </w:t>
            </w:r>
            <w:r w:rsidRPr="00CB2EC4">
              <w:rPr>
                <w:rFonts w:ascii="Times New Roman" w:hAnsi="Times New Roman" w:cs="Times New Roman"/>
              </w:rPr>
              <w:br/>
            </w:r>
            <w:r w:rsidRPr="00CB2EC4">
              <w:rPr>
                <w:rFonts w:ascii="Times New Roman" w:hAnsi="Times New Roman" w:cs="Times New Roman"/>
              </w:rPr>
              <w:br/>
              <w:t xml:space="preserve">thus, the specific measures are:  </w:t>
            </w:r>
            <w:r w:rsidRPr="00CB2EC4">
              <w:rPr>
                <w:rFonts w:ascii="Times New Roman" w:hAnsi="Times New Roman" w:cs="Times New Roman"/>
              </w:rPr>
              <w:br/>
              <w:t xml:space="preserve">→ abdominal or laparoscopic radical trachelectomy  </w:t>
            </w:r>
            <w:r w:rsidRPr="00CB2EC4">
              <w:rPr>
                <w:rFonts w:ascii="Times New Roman" w:hAnsi="Times New Roman" w:cs="Times New Roman"/>
              </w:rPr>
              <w:br/>
              <w:t xml:space="preserve">→ pelvic lymph node dissection  </w:t>
            </w:r>
            <w:r w:rsidRPr="00CB2EC4">
              <w:rPr>
                <w:rFonts w:ascii="Times New Roman" w:hAnsi="Times New Roman" w:cs="Times New Roman"/>
              </w:rPr>
              <w:br/>
              <w:t>→ comprehensive counseling on recurrence risk and fertility outcomes.</w:t>
            </w:r>
          </w:p>
        </w:tc>
        <w:tc>
          <w:tcPr>
            <w:tcW w:w="1152" w:type="dxa"/>
            <w:vAlign w:val="center"/>
          </w:tcPr>
          <w:p w14:paraId="7AA111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032DA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9ED3B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C12D009" w14:textId="77777777">
        <w:tc>
          <w:tcPr>
            <w:tcW w:w="2160" w:type="dxa"/>
            <w:vAlign w:val="center"/>
          </w:tcPr>
          <w:p w14:paraId="49CC69B4"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1FFF2FC"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patient wishes to preserve fertility and is staged as IB2, what treatment measures should be adopted?</w:t>
            </w:r>
            <w:r w:rsidRPr="00CB2EC4">
              <w:rPr>
                <w:rFonts w:ascii="Times New Roman" w:hAnsi="Times New Roman" w:cs="Times New Roman"/>
              </w:rPr>
              <w:br/>
            </w:r>
            <w:r w:rsidRPr="00CB2EC4">
              <w:rPr>
                <w:rFonts w:ascii="Times New Roman" w:hAnsi="Times New Roman" w:cs="Times New Roman"/>
              </w:rPr>
              <w:br/>
              <w:t xml:space="preserve">in the provided document, there is no explicit support for fertility-preserving treatment measures for cervical cancer patients at stage IB2. stage IB2 is defined as </w:t>
            </w:r>
            <w:r w:rsidRPr="00CB2EC4">
              <w:rPr>
                <w:rFonts w:ascii="Times New Roman" w:hAnsi="Times New Roman" w:cs="Times New Roman"/>
              </w:rPr>
              <w:lastRenderedPageBreak/>
              <w:t>tumor diameter &gt;2cm but ≤4cm. the document indicates that fertility-preserving surgery is generally recommended only for early-stage cases with smaller tumors (such as IA1, IA2, or IB1), and is not recommended for stage IB2 or higher.</w:t>
            </w:r>
            <w:r w:rsidRPr="00CB2EC4">
              <w:rPr>
                <w:rFonts w:ascii="Times New Roman" w:hAnsi="Times New Roman" w:cs="Times New Roman"/>
              </w:rPr>
              <w:br/>
              <w:t>- evidence:</w:t>
            </w:r>
            <w:r w:rsidRPr="00CB2EC4">
              <w:rPr>
                <w:rFonts w:ascii="Times New Roman" w:hAnsi="Times New Roman" w:cs="Times New Roman"/>
              </w:rPr>
              <w:br/>
              <w:t xml:space="preserve">  - the document states: "radical trachelectomy indications: generally considered suitable for IA2 to IB1 stage, tumor diameter &lt;2cm."</w:t>
            </w:r>
            <w:r w:rsidRPr="00CB2EC4">
              <w:rPr>
                <w:rFonts w:ascii="Times New Roman" w:hAnsi="Times New Roman" w:cs="Times New Roman"/>
              </w:rPr>
              <w:br/>
              <w:t xml:space="preserve">  - another excerpt clearly states: "tumor diameter exceeding 2cm is considered a cutoff value in the new staging system... IB2 stage via abdominal or laparoscopic approach, IB3 stage not recommended for fertility preservation."</w:t>
            </w:r>
            <w:r w:rsidRPr="00CB2EC4">
              <w:rPr>
                <w:rFonts w:ascii="Times New Roman" w:hAnsi="Times New Roman" w:cs="Times New Roman"/>
              </w:rPr>
              <w:br/>
              <w:t xml:space="preserve">  - in the treatment section for IB2 stage, the document only discusses non-fertility-preserving options (such as "type C radical hysterectomy + pelvic lymphadenectomy" or "concurrent chemoradiotherapy"), and does not mention fertility-preserving options.</w:t>
            </w:r>
            <w:r w:rsidRPr="00CB2EC4">
              <w:rPr>
                <w:rFonts w:ascii="Times New Roman" w:hAnsi="Times New Roman" w:cs="Times New Roman"/>
              </w:rPr>
              <w:br/>
              <w:t>therefore, based on the document, patients with IB2 stage may not be able to preserve fertility, and it is recommended to consult a physician to determine individualized treatment plans (such as radical surgery or chemoradiotherapy).</w:t>
            </w:r>
          </w:p>
        </w:tc>
        <w:tc>
          <w:tcPr>
            <w:tcW w:w="1152" w:type="dxa"/>
            <w:vAlign w:val="center"/>
          </w:tcPr>
          <w:p w14:paraId="13198A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5D60D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FDE3E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F3DC59B" w14:textId="77777777">
        <w:tc>
          <w:tcPr>
            <w:tcW w:w="2160" w:type="dxa"/>
            <w:vAlign w:val="center"/>
          </w:tcPr>
          <w:p w14:paraId="58C3CC2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A7CAB31"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IB2 cervical cancer who wish to preserve fertility, the level I recommended treatment is abdominal radical trachelectomy plus pelvic lymphadenectomy.</w:t>
            </w:r>
            <w:r w:rsidRPr="00CB2EC4">
              <w:rPr>
                <w:rFonts w:ascii="Times New Roman" w:hAnsi="Times New Roman" w:cs="Times New Roman"/>
              </w:rPr>
              <w:br/>
            </w:r>
            <w:r w:rsidRPr="00CB2EC4">
              <w:rPr>
                <w:rFonts w:ascii="Times New Roman" w:hAnsi="Times New Roman" w:cs="Times New Roman"/>
              </w:rPr>
              <w:br/>
              <w:t>- Level III recommendations may consider neoadjuvant chemotherapy followed by radical trachelectomy or conization (but level I recommendation prioritizes surgery).</w:t>
            </w:r>
            <w:r w:rsidRPr="00CB2EC4">
              <w:rPr>
                <w:rFonts w:ascii="Times New Roman" w:hAnsi="Times New Roman" w:cs="Times New Roman"/>
              </w:rPr>
              <w:br/>
            </w:r>
            <w:r w:rsidRPr="00CB2EC4">
              <w:rPr>
                <w:rFonts w:ascii="Times New Roman" w:hAnsi="Times New Roman" w:cs="Times New Roman"/>
              </w:rPr>
              <w:lastRenderedPageBreak/>
              <w:t>- Source: Document fragment 20 explicitly states: "IB2 stage Level I recommendation: abdominal radical trachelectomy c,g + pelvic lymphadenectomy". The annotation emphasizes ensuring a 5–8 mm negative margin.</w:t>
            </w:r>
          </w:p>
        </w:tc>
        <w:tc>
          <w:tcPr>
            <w:tcW w:w="1152" w:type="dxa"/>
            <w:vAlign w:val="center"/>
          </w:tcPr>
          <w:p w14:paraId="4BC076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193D3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2CA8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54109C9" w14:textId="77777777">
        <w:tc>
          <w:tcPr>
            <w:tcW w:w="2160" w:type="dxa"/>
            <w:vAlign w:val="center"/>
          </w:tcPr>
          <w:p w14:paraId="3FD2A8AB"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F9D8E67"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patient wishes to preserve fertility and is staged as IB2, the recommended treatment measures are:</w:t>
            </w:r>
            <w:r w:rsidRPr="00CB2EC4">
              <w:rPr>
                <w:rFonts w:ascii="Times New Roman" w:hAnsi="Times New Roman" w:cs="Times New Roman"/>
              </w:rPr>
              <w:br/>
            </w:r>
            <w:r w:rsidRPr="00CB2EC4">
              <w:rPr>
                <w:rFonts w:ascii="Times New Roman" w:hAnsi="Times New Roman" w:cs="Times New Roman"/>
              </w:rPr>
              <w:br/>
              <w:t>- Generally, fertility-sparing approaches are not recommended.</w:t>
            </w:r>
            <w:r w:rsidRPr="00CB2EC4">
              <w:rPr>
                <w:rFonts w:ascii="Times New Roman" w:hAnsi="Times New Roman" w:cs="Times New Roman"/>
              </w:rPr>
              <w:br/>
              <w:t>- Standard treatment is radical hysterectomy or concurrent chemoradiotherapy.</w:t>
            </w:r>
            <w:r w:rsidRPr="00CB2EC4">
              <w:rPr>
                <w:rFonts w:ascii="Times New Roman" w:hAnsi="Times New Roman" w:cs="Times New Roman"/>
              </w:rPr>
              <w:br/>
              <w:t xml:space="preserve">  - Contextual information emphasizes that IB2 stage (tumor diameter &gt;2 cm and ≤4 cm) carries a high risk of recurrence, making fertility preservation unfeasible.</w:t>
            </w:r>
            <w:r w:rsidRPr="00CB2EC4">
              <w:rPr>
                <w:rFonts w:ascii="Times New Roman" w:hAnsi="Times New Roman" w:cs="Times New Roman"/>
              </w:rPr>
              <w:br/>
              <w:t xml:space="preserve">  - Literature does not recommend conservative options such as radical trachelectomy; priority is given to radical surgery or chemoradiotherapy to control the disease.</w:t>
            </w:r>
          </w:p>
        </w:tc>
        <w:tc>
          <w:tcPr>
            <w:tcW w:w="1152" w:type="dxa"/>
            <w:vAlign w:val="center"/>
          </w:tcPr>
          <w:p w14:paraId="2A6CB6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7A4DE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B06F7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E5C14BB" w14:textId="77777777">
        <w:tc>
          <w:tcPr>
            <w:tcW w:w="2160" w:type="dxa"/>
            <w:vAlign w:val="center"/>
          </w:tcPr>
          <w:p w14:paraId="3B21504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81212C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patient wishes to preserve fertility and is staged as IB2, the recommended treatment measure is abdominal radical trachelectomy plus pelvic lymphadenectomy. this applies to cases where the tumor is confined to the cervix, with no lymph node metastasis or distant metastasis (document fragment 19). however, it should be noted that the indications for fertility preservation in IB2 stage are relatively strict, typically requiring that the tumor does not invade the internal cervical os, and close follow-up is required after surgery. if the tumor is large or high-risk factors are present (such as positive LVSI), individualized </w:t>
            </w:r>
            <w:r w:rsidRPr="00CB2EC4">
              <w:rPr>
                <w:rFonts w:ascii="Times New Roman" w:hAnsi="Times New Roman" w:cs="Times New Roman"/>
              </w:rPr>
              <w:lastRenderedPageBreak/>
              <w:t>assessment may be necessary.</w:t>
            </w:r>
          </w:p>
        </w:tc>
        <w:tc>
          <w:tcPr>
            <w:tcW w:w="1152" w:type="dxa"/>
            <w:vAlign w:val="center"/>
          </w:tcPr>
          <w:p w14:paraId="38674B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DD062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6A48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FFD6A1" w14:textId="77777777">
        <w:tc>
          <w:tcPr>
            <w:tcW w:w="2160" w:type="dxa"/>
            <w:vAlign w:val="center"/>
          </w:tcPr>
          <w:p w14:paraId="2D9458A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F1A9960"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IB2 cervical cancer who wish to preserve fertility, the recommended treatment is radical trachelectomy (cervical wide resection) performed via abdominal or laparoscopic approach, combined with pelvic lymph node assessment.</w:t>
            </w:r>
            <w:r w:rsidRPr="00CB2EC4">
              <w:rPr>
                <w:rFonts w:ascii="Times New Roman" w:hAnsi="Times New Roman" w:cs="Times New Roman"/>
              </w:rPr>
              <w:br/>
            </w:r>
            <w:r w:rsidRPr="00CB2EC4">
              <w:rPr>
                <w:rFonts w:ascii="Times New Roman" w:hAnsi="Times New Roman" w:cs="Times New Roman"/>
              </w:rPr>
              <w:br/>
              <w:t>based on the provided textual context (not table 4):</w:t>
            </w:r>
            <w:r w:rsidRPr="00CB2EC4">
              <w:rPr>
                <w:rFonts w:ascii="Times New Roman" w:hAnsi="Times New Roman" w:cs="Times New Roman"/>
              </w:rPr>
              <w:br/>
              <w:t>- table 4 of the FIGO guidelines for stage IB2 lists only non-fertility-sparing options (such as type C radical hysterectomy + pelvic lymphadenectomy or radiotherapy) and does not directly mention fertility preservation.</w:t>
            </w:r>
            <w:r w:rsidRPr="00CB2EC4">
              <w:rPr>
                <w:rFonts w:ascii="Times New Roman" w:hAnsi="Times New Roman" w:cs="Times New Roman"/>
              </w:rPr>
              <w:br/>
              <w:t>- however, the text explicitly states: “according to the new staging, fertility-sparing radical surgical approaches and indications for cervical cancer can be summarized as: stage IB1 via vaginal route, stage IB2 via abdominal or laparoscopic route, stage IB3 not recommended for fertility preservation.”</w:t>
            </w:r>
            <w:r w:rsidRPr="00CB2EC4">
              <w:rPr>
                <w:rFonts w:ascii="Times New Roman" w:hAnsi="Times New Roman" w:cs="Times New Roman"/>
              </w:rPr>
              <w:br/>
              <w:t xml:space="preserve">  this indicates that fertility preservation is feasible for stage IB2, with abdominal or laparoscopic radical cervical surgery (e.g., radical trachelectomy) being the recommended approach.</w:t>
            </w:r>
            <w:r w:rsidRPr="00CB2EC4">
              <w:rPr>
                <w:rFonts w:ascii="Times New Roman" w:hAnsi="Times New Roman" w:cs="Times New Roman"/>
              </w:rPr>
              <w:br/>
              <w:t xml:space="preserve">  therefore, the treatment measure should be abdominal or laparoscopic radical cervical surgery (such as radical trachelectomy), with necessary pelvic lymph node evaluation. the textual context supports this method.</w:t>
            </w:r>
          </w:p>
        </w:tc>
        <w:tc>
          <w:tcPr>
            <w:tcW w:w="1152" w:type="dxa"/>
            <w:vAlign w:val="center"/>
          </w:tcPr>
          <w:p w14:paraId="2A7AB8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F237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4870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83C4BD6" w14:textId="77777777">
        <w:tc>
          <w:tcPr>
            <w:tcW w:w="2160" w:type="dxa"/>
            <w:vAlign w:val="center"/>
          </w:tcPr>
          <w:p w14:paraId="11D9968A"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370DA83"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patient wishes to preserve fertility and is staged as IB2, the following treatment measures should be taken:</w:t>
            </w:r>
            <w:r w:rsidRPr="00CB2EC4">
              <w:rPr>
                <w:rFonts w:ascii="Times New Roman" w:hAnsi="Times New Roman" w:cs="Times New Roman"/>
              </w:rPr>
              <w:br/>
            </w:r>
            <w:r w:rsidRPr="00CB2EC4">
              <w:rPr>
                <w:rFonts w:ascii="Times New Roman" w:hAnsi="Times New Roman" w:cs="Times New Roman"/>
              </w:rPr>
              <w:br/>
              <w:t xml:space="preserve">Treatment measures: Fertility-sparing approaches are </w:t>
            </w:r>
            <w:r w:rsidRPr="00CB2EC4">
              <w:rPr>
                <w:rFonts w:ascii="Times New Roman" w:hAnsi="Times New Roman" w:cs="Times New Roman"/>
              </w:rPr>
              <w:lastRenderedPageBreak/>
              <w:t xml:space="preserve">generally not recommended, as the risk of recurrence is high in IB2 stage (tumor &gt;4 cm). Standard treatment is radical hysterectomy with pelvic lymphadenectomy, or concurrent chemoradiation. If the patient strongly requests fertility preservation, individualized options (e.g., neoadjuvant chemotherapy followed by radical trachelectomy) may be considered cautiously under multidisciplinary team evaluation; however, evidence is limited and risks are significant.  </w:t>
            </w:r>
            <w:r w:rsidRPr="00CB2EC4">
              <w:rPr>
                <w:rFonts w:ascii="Times New Roman" w:hAnsi="Times New Roman" w:cs="Times New Roman"/>
              </w:rPr>
              <w:br/>
              <w:t>- Fertility preservation in IB2 cervical cancer has low feasibility; radical surgery or chemoradiation is preferred; attempts to preserve fertility should be reserved for highly selected individual cases only.</w:t>
            </w:r>
          </w:p>
        </w:tc>
        <w:tc>
          <w:tcPr>
            <w:tcW w:w="1152" w:type="dxa"/>
            <w:vAlign w:val="center"/>
          </w:tcPr>
          <w:p w14:paraId="7B7BBE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53A29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3622B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55CE42D" w14:textId="77777777">
        <w:tc>
          <w:tcPr>
            <w:tcW w:w="10656" w:type="dxa"/>
            <w:gridSpan w:val="5"/>
            <w:tcBorders>
              <w:bottom w:val="single" w:sz="6" w:space="0" w:color="auto"/>
            </w:tcBorders>
            <w:vAlign w:val="center"/>
          </w:tcPr>
          <w:p w14:paraId="1C362CA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60: In cervical cancer treatment, if the stage is ⅡB, ⅢA, or ⅢB, what treatment measures should be taken?</w:t>
            </w:r>
          </w:p>
        </w:tc>
      </w:tr>
      <w:tr w:rsidR="00922249" w:rsidRPr="00CB2EC4" w14:paraId="3EBC908D" w14:textId="77777777">
        <w:tc>
          <w:tcPr>
            <w:tcW w:w="2160" w:type="dxa"/>
            <w:vAlign w:val="center"/>
          </w:tcPr>
          <w:p w14:paraId="37AA91C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5A83E31"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stage is IIB, IIIA, or IIIB, the recommended treatment measure is concurrent chemoradiotherapy (CCRT). Specifically:</w:t>
            </w:r>
            <w:r w:rsidRPr="00CB2EC4">
              <w:rPr>
                <w:rFonts w:ascii="Times New Roman" w:hAnsi="Times New Roman" w:cs="Times New Roman"/>
              </w:rPr>
              <w:br/>
              <w:t>- According to the document, "for cervical cancer from stage IB to IVA, the preferred treatment method is concurrent chemoradiotherapy" (from fragment with similarity 0.569). Stage IIB falls under II, and IIIA/IIIB under III.</w:t>
            </w:r>
            <w:r w:rsidRPr="00CB2EC4">
              <w:rPr>
                <w:rFonts w:ascii="Times New Roman" w:hAnsi="Times New Roman" w:cs="Times New Roman"/>
              </w:rPr>
              <w:br/>
              <w:t>- Table 4 in the FIGO 2018 guidelines recommends "concurrent chemoradiotherapy" for stage IIB, III (including IIIA and IIIB) (from fragment with similarity 0.464).</w:t>
            </w:r>
            <w:r w:rsidRPr="00CB2EC4">
              <w:rPr>
                <w:rFonts w:ascii="Times New Roman" w:hAnsi="Times New Roman" w:cs="Times New Roman"/>
              </w:rPr>
              <w:br/>
              <w:t xml:space="preserve">- Concurrent chemoradiotherapy typically consists of platinum-based chemotherapy combined with external beam radiotherapy and vaginal brachytherapy, to improve local control and survival rates. The document emphasizes this as the preferred regimen for locally advanced cervical cancer, especially for </w:t>
            </w:r>
            <w:r w:rsidRPr="00CB2EC4">
              <w:rPr>
                <w:rFonts w:ascii="Times New Roman" w:hAnsi="Times New Roman" w:cs="Times New Roman"/>
              </w:rPr>
              <w:lastRenderedPageBreak/>
              <w:t>patients unsuitable for surgery or at high risk.</w:t>
            </w:r>
            <w:r w:rsidRPr="00CB2EC4">
              <w:rPr>
                <w:rFonts w:ascii="Times New Roman" w:hAnsi="Times New Roman" w:cs="Times New Roman"/>
              </w:rPr>
              <w:br/>
              <w:t>- Therefore, the standard regimen is concurrent chemoradiotherapy; surgery is not recommended as first-line treatment (except in special circumstances, such as lack of radiotherapy resources).</w:t>
            </w:r>
            <w:r w:rsidRPr="00CB2EC4">
              <w:rPr>
                <w:rFonts w:ascii="Times New Roman" w:hAnsi="Times New Roman" w:cs="Times New Roman"/>
              </w:rPr>
              <w:br/>
            </w:r>
            <w:r w:rsidRPr="00CB2EC4">
              <w:rPr>
                <w:rFonts w:ascii="Times New Roman" w:hAnsi="Times New Roman" w:cs="Times New Roman"/>
              </w:rPr>
              <w:br/>
              <w:t>summary</w:t>
            </w:r>
            <w:r w:rsidRPr="00CB2EC4">
              <w:rPr>
                <w:rFonts w:ascii="Times New Roman" w:hAnsi="Times New Roman" w:cs="Times New Roman"/>
              </w:rPr>
              <w:br/>
              <w:t>- All responses are based on the provided document fragments, ensuring accuracy and relevance.</w:t>
            </w:r>
            <w:r w:rsidRPr="00CB2EC4">
              <w:rPr>
                <w:rFonts w:ascii="Times New Roman" w:hAnsi="Times New Roman" w:cs="Times New Roman"/>
              </w:rPr>
              <w:br/>
              <w:t>- If a question is not directly covered in the document, I would note "no answer found in knowledge base," but in this case, all questions are supported by relevant information.</w:t>
            </w:r>
          </w:p>
        </w:tc>
        <w:tc>
          <w:tcPr>
            <w:tcW w:w="1152" w:type="dxa"/>
            <w:vAlign w:val="center"/>
          </w:tcPr>
          <w:p w14:paraId="426693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43C1E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6445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9539B94" w14:textId="77777777">
        <w:tc>
          <w:tcPr>
            <w:tcW w:w="2160" w:type="dxa"/>
            <w:vAlign w:val="center"/>
          </w:tcPr>
          <w:p w14:paraId="63024657"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9515EA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cervical cancer treatment, if the stage is IIB, IIIA, or IIIB, the recommended primary treatment is concurrent chemoradiotherapy (synchronous chemoradiation).  </w:t>
            </w:r>
            <w:r w:rsidRPr="00CB2EC4">
              <w:rPr>
                <w:rFonts w:ascii="Times New Roman" w:hAnsi="Times New Roman" w:cs="Times New Roman"/>
              </w:rPr>
              <w:br/>
              <w:t xml:space="preserve">- Basis:  </w:t>
            </w:r>
            <w:r w:rsidRPr="00CB2EC4">
              <w:rPr>
                <w:rFonts w:ascii="Times New Roman" w:hAnsi="Times New Roman" w:cs="Times New Roman"/>
              </w:rPr>
              <w:br/>
              <w:t xml:space="preserve">  - Document fragment 6 (block 22, title "Cervical Cancer Staging Treatment Plan") specifies:  </w:t>
            </w:r>
            <w:r w:rsidRPr="00CB2EC4">
              <w:rPr>
                <w:rFonts w:ascii="Times New Roman" w:hAnsi="Times New Roman" w:cs="Times New Roman"/>
              </w:rPr>
              <w:br/>
              <w:t xml:space="preserve">    - IIB stage: FIGO 2018 recommends concurrent chemoradiotherapy.  </w:t>
            </w:r>
            <w:r w:rsidRPr="00CB2EC4">
              <w:rPr>
                <w:rFonts w:ascii="Times New Roman" w:hAnsi="Times New Roman" w:cs="Times New Roman"/>
              </w:rPr>
              <w:br/>
              <w:t xml:space="preserve">    - III stage (including IIIA and IIIB): FIGO 2018 recommends concurrent chemoradiotherapy.  </w:t>
            </w:r>
            <w:r w:rsidRPr="00CB2EC4">
              <w:rPr>
                <w:rFonts w:ascii="Times New Roman" w:hAnsi="Times New Roman" w:cs="Times New Roman"/>
              </w:rPr>
              <w:br/>
              <w:t xml:space="preserve">  - Document fragment 3 (block 35, title "Cervical Cancer Treatment Strategy") states: for stage IIB and above (including IIIA and IIIB), the level I recommendation is radical radiotherapy (external beam radiotherapy + vaginal brachytherapy) ± platinum-based concurrent chemotherapy.  </w:t>
            </w:r>
            <w:r w:rsidRPr="00CB2EC4">
              <w:rPr>
                <w:rFonts w:ascii="Times New Roman" w:hAnsi="Times New Roman" w:cs="Times New Roman"/>
              </w:rPr>
              <w:br/>
              <w:t xml:space="preserve">  - Document fragment 5 (block 490, title "Cervical Cancer Staging and Treatment Principles") emphasizes: stage IIB is generally treated with radiotherapy; stage III should all receive radiotherapy </w:t>
            </w:r>
            <w:r w:rsidRPr="00CB2EC4">
              <w:rPr>
                <w:rFonts w:ascii="Times New Roman" w:hAnsi="Times New Roman" w:cs="Times New Roman"/>
              </w:rPr>
              <w:lastRenderedPageBreak/>
              <w:t xml:space="preserve">or combined chemotherapy and radiotherapy.  </w:t>
            </w:r>
            <w:r w:rsidRPr="00CB2EC4">
              <w:rPr>
                <w:rFonts w:ascii="Times New Roman" w:hAnsi="Times New Roman" w:cs="Times New Roman"/>
              </w:rPr>
              <w:br/>
              <w:t xml:space="preserve">  - Document fragment 23 (block 28, title "Cervical Cancer Diagnosis and Treatment Methods") notes that locally advanced cervical cancer is primarily treated with radiotherapy, supplemented by chemotherapy.  </w:t>
            </w:r>
            <w:r w:rsidRPr="00CB2EC4">
              <w:rPr>
                <w:rFonts w:ascii="Times New Roman" w:hAnsi="Times New Roman" w:cs="Times New Roman"/>
              </w:rPr>
              <w:br/>
              <w:t>Therefore, the treatment measure is concurrent chemoradiotherapy, specifically including external beam radiotherapy combined with intracavitary irradiation and platinum-based chemotherapy.</w:t>
            </w:r>
          </w:p>
        </w:tc>
        <w:tc>
          <w:tcPr>
            <w:tcW w:w="1152" w:type="dxa"/>
            <w:vAlign w:val="center"/>
          </w:tcPr>
          <w:p w14:paraId="71A83D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E4576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D206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FA9DF7" w14:textId="77777777">
        <w:tc>
          <w:tcPr>
            <w:tcW w:w="2160" w:type="dxa"/>
            <w:vAlign w:val="center"/>
          </w:tcPr>
          <w:p w14:paraId="17847CF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0BB07D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cervical cancer patients with stage IIB, IIIA, or IIIB disease (fertility preservation not indicated, therefore standard treatment is considered), the recommended treatment is concurrent chemoradiotherapy (i.e., pelvic external beam radiotherapy + brachytherapy + concurrent platinum-based chemotherapy). Specific evidence includes:  </w:t>
            </w:r>
            <w:r w:rsidRPr="00CB2EC4">
              <w:rPr>
                <w:rFonts w:ascii="Times New Roman" w:hAnsi="Times New Roman" w:cs="Times New Roman"/>
              </w:rPr>
              <w:br/>
              <w:t xml:space="preserve">- Document excerpt 1 (relevance: 0.950): states that for IB3 and IIA2 stages, "radical radiotherapy (external beam radiotherapy + vaginal brachytherapy) ± platinum-based concurrent chemotherapy" is recommended, with similar principles applying to more advanced stages.  </w:t>
            </w:r>
            <w:r w:rsidRPr="00CB2EC4">
              <w:rPr>
                <w:rFonts w:ascii="Times New Roman" w:hAnsi="Times New Roman" w:cs="Times New Roman"/>
              </w:rPr>
              <w:br/>
              <w:t xml:space="preserve">- Document excerpt 3 (relevance: 0.900): explicitly notes: "Stage IIB FIGO 2018 without fertility preservation: concurrent chemoradiotherapy"; "Stage III FIGO 2018 without fertility preservation: concurrent chemoradiotherapy".  </w:t>
            </w:r>
            <w:r w:rsidRPr="00CB2EC4">
              <w:rPr>
                <w:rFonts w:ascii="Times New Roman" w:hAnsi="Times New Roman" w:cs="Times New Roman"/>
              </w:rPr>
              <w:br/>
              <w:t xml:space="preserve">- Document excerpt 9 (relevance: 0.900): recommends: "Stage IIB, IIIA, IIIB: Level I recommendation: pelvic EBRT (external beam radiotherapy) + brachytherapy + concurrent platinum-based chemotherapy (Category 1)."  </w:t>
            </w:r>
            <w:r w:rsidRPr="00CB2EC4">
              <w:rPr>
                <w:rFonts w:ascii="Times New Roman" w:hAnsi="Times New Roman" w:cs="Times New Roman"/>
              </w:rPr>
              <w:br/>
              <w:t xml:space="preserve">- Document excerpt 17 (relevance: 0.800): states: "Concurrent chemoradiotherapy is the standard </w:t>
            </w:r>
            <w:r w:rsidRPr="00CB2EC4">
              <w:rPr>
                <w:rFonts w:ascii="Times New Roman" w:hAnsi="Times New Roman" w:cs="Times New Roman"/>
              </w:rPr>
              <w:lastRenderedPageBreak/>
              <w:t xml:space="preserve">treatment for locally advanced cervical cancer patients... CCRT improves 5-year survival by 10%~15% compared with radiotherapy alone, with the greatest benefit in stage IIB."  </w:t>
            </w:r>
            <w:r w:rsidRPr="00CB2EC4">
              <w:rPr>
                <w:rFonts w:ascii="Times New Roman" w:hAnsi="Times New Roman" w:cs="Times New Roman"/>
              </w:rPr>
              <w:br/>
              <w:t xml:space="preserve">- Document excerpt 19 (relevance: 0.700): indicates: "Stage IIB: radiotherapy is generally indicated; Stage III: radiotherapy should be used for all, or combined chemotherapy and radiotherapy."  </w:t>
            </w:r>
            <w:r w:rsidRPr="00CB2EC4">
              <w:rPr>
                <w:rFonts w:ascii="Times New Roman" w:hAnsi="Times New Roman" w:cs="Times New Roman"/>
              </w:rPr>
              <w:br/>
              <w:t xml:space="preserve">- Document excerpt 27 (relevance: 0.400) adds: "For locally advanced cervical cancer, guidelines recommend concurrent chemoradiotherapy as the preferred treatment."  </w:t>
            </w:r>
            <w:r w:rsidRPr="00CB2EC4">
              <w:rPr>
                <w:rFonts w:ascii="Times New Roman" w:hAnsi="Times New Roman" w:cs="Times New Roman"/>
              </w:rPr>
              <w:br/>
              <w:t>In summary, concurrent chemoradiotherapy is the standard regimen, including cisplatin-based concurrent chemotherapy; the radiotherapy component must combine external beam radiotherapy and brachytherapy. Surgery is generally not recommended, except in specific resource-limited settings where neoadjuvant chemotherapy followed by surgery may be considered (excerpt 27).</w:t>
            </w:r>
          </w:p>
        </w:tc>
        <w:tc>
          <w:tcPr>
            <w:tcW w:w="1152" w:type="dxa"/>
            <w:vAlign w:val="center"/>
          </w:tcPr>
          <w:p w14:paraId="3228A3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C13D6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126D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609190" w14:textId="77777777">
        <w:tc>
          <w:tcPr>
            <w:tcW w:w="2160" w:type="dxa"/>
            <w:vAlign w:val="center"/>
          </w:tcPr>
          <w:p w14:paraId="728AFF5F"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973C38A" w14:textId="77777777" w:rsidR="00922249" w:rsidRPr="00CB2EC4" w:rsidRDefault="003011D5">
            <w:pPr>
              <w:rPr>
                <w:rFonts w:ascii="Times New Roman" w:hAnsi="Times New Roman" w:cs="Times New Roman"/>
              </w:rPr>
            </w:pPr>
            <w:r w:rsidRPr="00CB2EC4">
              <w:rPr>
                <w:rFonts w:ascii="Times New Roman" w:hAnsi="Times New Roman" w:cs="Times New Roman"/>
              </w:rPr>
              <w:t>For the treatment of cervical cancer, if the stage is IIB, IIIA, or IIIB, the recommended treatment regimen is:</w:t>
            </w:r>
            <w:r w:rsidRPr="00CB2EC4">
              <w:rPr>
                <w:rFonts w:ascii="Times New Roman" w:hAnsi="Times New Roman" w:cs="Times New Roman"/>
              </w:rPr>
              <w:br/>
            </w:r>
            <w:r w:rsidRPr="00CB2EC4">
              <w:rPr>
                <w:rFonts w:ascii="Times New Roman" w:hAnsi="Times New Roman" w:cs="Times New Roman"/>
              </w:rPr>
              <w:br/>
              <w:t>- Concurrent chemoradiotherapy (external beam radiotherapy + brachytherapy + platinum-based chemotherapy, such as cisplatin or carboplatin)</w:t>
            </w:r>
            <w:r w:rsidRPr="00CB2EC4">
              <w:rPr>
                <w:rFonts w:ascii="Times New Roman" w:hAnsi="Times New Roman" w:cs="Times New Roman"/>
              </w:rPr>
              <w:br/>
              <w:t>- Fertility-sparing treatment is not recommended</w:t>
            </w:r>
            <w:r w:rsidRPr="00CB2EC4">
              <w:rPr>
                <w:rFonts w:ascii="Times New Roman" w:hAnsi="Times New Roman" w:cs="Times New Roman"/>
              </w:rPr>
              <w:br/>
              <w:t>- For locally advanced cases, neoadjuvant chemotherapy followed by assessment of surgical feasibility may be considered, but surgery is not the preferred option</w:t>
            </w:r>
            <w:r w:rsidRPr="00CB2EC4">
              <w:rPr>
                <w:rFonts w:ascii="Times New Roman" w:hAnsi="Times New Roman" w:cs="Times New Roman"/>
              </w:rPr>
              <w:br/>
            </w:r>
            <w:r w:rsidRPr="00CB2EC4">
              <w:rPr>
                <w:rFonts w:ascii="Times New Roman" w:hAnsi="Times New Roman" w:cs="Times New Roman"/>
              </w:rPr>
              <w:br/>
              <w:t>Source Analysis:</w:t>
            </w:r>
            <w:r w:rsidRPr="00CB2EC4">
              <w:rPr>
                <w:rFonts w:ascii="Times New Roman" w:hAnsi="Times New Roman" w:cs="Times New Roman"/>
              </w:rPr>
              <w:br/>
              <w:t xml:space="preserve">- Knowledge base documents: Stage IIB and above </w:t>
            </w:r>
            <w:r w:rsidRPr="00CB2EC4">
              <w:rPr>
                <w:rFonts w:ascii="Times New Roman" w:hAnsi="Times New Roman" w:cs="Times New Roman"/>
              </w:rPr>
              <w:lastRenderedPageBreak/>
              <w:t>(including IIIA and IIIB) are primarily treated with radiotherapy (e.g., "Stage IIB should in principle be treated with radiotherapy... Stage III should be treated with radiotherapy"). Emphasizes radiotherapy as the main treatment, with chemotherapy as an adjunct; surgery is only used in special circumstances (e.g., persistent lesions after radiotherapy).</w:t>
            </w:r>
            <w:r w:rsidRPr="00CB2EC4">
              <w:rPr>
                <w:rFonts w:ascii="Times New Roman" w:hAnsi="Times New Roman" w:cs="Times New Roman"/>
              </w:rPr>
              <w:br/>
              <w:t>- Internet search results: Consistently recommend concurrent chemoradiotherapy (e.g., "Stage IIB and above recommend concurrent chemoradiotherapy + brachytherapy"). Note that stages IIIA–IIIB may include immunotherapy (e.g., pembrolizumab), but fertility preservation is not possible.</w:t>
            </w:r>
            <w:r w:rsidRPr="00CB2EC4">
              <w:rPr>
                <w:rFonts w:ascii="Times New Roman" w:hAnsi="Times New Roman" w:cs="Times New Roman"/>
              </w:rPr>
              <w:br/>
            </w:r>
            <w:r w:rsidRPr="00CB2EC4">
              <w:rPr>
                <w:rFonts w:ascii="Times New Roman" w:hAnsi="Times New Roman" w:cs="Times New Roman"/>
              </w:rPr>
              <w:br/>
              <w:t>Comprehensive Conclusion: The knowledge base and internet sources are highly consistent. Stage IIB and above are considered locally advanced, and the standard treatment is concurrent chemoradiotherapy (5-year survival rate approximately 40–60%). Due to the high risk of disease progression, fertility preservation is not feasible. If radiotherapy is not available, surgery may be considered on an individualized basis, but the complication rate is relatively high.</w:t>
            </w:r>
            <w:r w:rsidRPr="00CB2EC4">
              <w:rPr>
                <w:rFonts w:ascii="Times New Roman" w:hAnsi="Times New Roman" w:cs="Times New Roman"/>
              </w:rPr>
              <w:br/>
            </w:r>
            <w:r w:rsidRPr="00CB2EC4">
              <w:rPr>
                <w:rFonts w:ascii="Times New Roman" w:hAnsi="Times New Roman" w:cs="Times New Roman"/>
              </w:rPr>
              <w:br/>
              <w:t>Overall Explanation:</w:t>
            </w:r>
            <w:r w:rsidRPr="00CB2EC4">
              <w:rPr>
                <w:rFonts w:ascii="Times New Roman" w:hAnsi="Times New Roman" w:cs="Times New Roman"/>
              </w:rPr>
              <w:br/>
              <w:t>- Basis for treatment: All recommendations follow FIGO and NCCN guidelines, emphasizing accurate staging (requiring cone biopsy or imaging confirmation) and individualized assessment (age, tumor size, histological type).</w:t>
            </w:r>
            <w:r w:rsidRPr="00CB2EC4">
              <w:rPr>
                <w:rFonts w:ascii="Times New Roman" w:hAnsi="Times New Roman" w:cs="Times New Roman"/>
              </w:rPr>
              <w:br/>
              <w:t>- Fertility preservation limitations: Only applicable to stages IA1–IB1 (tumor ≤2cm); typically excluded for stage IB2 and above.</w:t>
            </w:r>
            <w:r w:rsidRPr="00CB2EC4">
              <w:rPr>
                <w:rFonts w:ascii="Times New Roman" w:hAnsi="Times New Roman" w:cs="Times New Roman"/>
              </w:rPr>
              <w:br/>
            </w:r>
            <w:r w:rsidRPr="00CB2EC4">
              <w:rPr>
                <w:rFonts w:ascii="Times New Roman" w:hAnsi="Times New Roman" w:cs="Times New Roman"/>
              </w:rPr>
              <w:lastRenderedPageBreak/>
              <w:t>- Handling discrepancies: There are no major contradictions between sources; there are minor differences regarding fertility preservation for stage IB2 (internet searches are slightly more lenient), and a conservative recommendation is adopted here.</w:t>
            </w:r>
            <w:r w:rsidRPr="00CB2EC4">
              <w:rPr>
                <w:rFonts w:ascii="Times New Roman" w:hAnsi="Times New Roman" w:cs="Times New Roman"/>
              </w:rPr>
              <w:br/>
              <w:t>- Uncovered content: All issues have been addressed in the context; there are no information gaps.</w:t>
            </w:r>
            <w:r w:rsidRPr="00CB2EC4">
              <w:rPr>
                <w:rFonts w:ascii="Times New Roman" w:hAnsi="Times New Roman" w:cs="Times New Roman"/>
              </w:rPr>
              <w:br/>
            </w:r>
            <w:r w:rsidRPr="00CB2EC4">
              <w:rPr>
                <w:rFonts w:ascii="Times New Roman" w:hAnsi="Times New Roman" w:cs="Times New Roman"/>
              </w:rPr>
              <w:br/>
              <w:t>If more patient details (such as age, specific pathology) are provided, recommendations can be further optimized.</w:t>
            </w:r>
          </w:p>
        </w:tc>
        <w:tc>
          <w:tcPr>
            <w:tcW w:w="1152" w:type="dxa"/>
            <w:vAlign w:val="center"/>
          </w:tcPr>
          <w:p w14:paraId="492171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19A7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3D2F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367477" w14:textId="77777777">
        <w:tc>
          <w:tcPr>
            <w:tcW w:w="2160" w:type="dxa"/>
            <w:vAlign w:val="center"/>
          </w:tcPr>
          <w:p w14:paraId="7BBD07F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1DE799F3"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cervical cancer staged as IIB, IIIA, or IIIB, the recommended treatment is concurrent chemoradiotherapy (i.e., radiation therapy combined with platinum-based chemotherapy).</w:t>
            </w:r>
            <w:r w:rsidRPr="00CB2EC4">
              <w:rPr>
                <w:rFonts w:ascii="Times New Roman" w:hAnsi="Times New Roman" w:cs="Times New Roman"/>
              </w:rPr>
              <w:br/>
            </w:r>
            <w:r w:rsidRPr="00CB2EC4">
              <w:rPr>
                <w:rFonts w:ascii="Times New Roman" w:hAnsi="Times New Roman" w:cs="Times New Roman"/>
              </w:rPr>
              <w:br/>
              <w:t>- Sources:</w:t>
            </w:r>
            <w:r w:rsidRPr="00CB2EC4">
              <w:rPr>
                <w:rFonts w:ascii="Times New Roman" w:hAnsi="Times New Roman" w:cs="Times New Roman"/>
              </w:rPr>
              <w:br/>
              <w:t xml:space="preserve">  - Document Fragment 5 (Treatment Principles section) states: "Stage IIB should in principle receive radiotherapy; Stage III should all receive radiotherapy."</w:t>
            </w:r>
            <w:r w:rsidRPr="00CB2EC4">
              <w:rPr>
                <w:rFonts w:ascii="Times New Roman" w:hAnsi="Times New Roman" w:cs="Times New Roman"/>
              </w:rPr>
              <w:br/>
              <w:t xml:space="preserve">  - Document Fragment 3 (Treatment section) emphasizes: "For stage IB to IVA cervical cancer, the preferred treatment is concurrent chemoradiotherapy."</w:t>
            </w:r>
            <w:r w:rsidRPr="00CB2EC4">
              <w:rPr>
                <w:rFonts w:ascii="Times New Roman" w:hAnsi="Times New Roman" w:cs="Times New Roman"/>
              </w:rPr>
              <w:br/>
              <w:t xml:space="preserve">  - Document Fragment 8 (Table) specifies: "Stage IIB FIGO 2018 without fertility preservation: concurrent chemoradiotherapy"; "Stage III FIGO 2018 without fertility preservation: concurrent chemoradiotherapy."</w:t>
            </w:r>
            <w:r w:rsidRPr="00CB2EC4">
              <w:rPr>
                <w:rFonts w:ascii="Times New Roman" w:hAnsi="Times New Roman" w:cs="Times New Roman"/>
              </w:rPr>
              <w:br/>
              <w:t xml:space="preserve">  - Document Fragment 22 (Treatment Principles) summarizes: "Stage II–IV may receive radiotherapy alone (intracavitary therapy plus external beam irradiation), or combined chemoradiotherapy."</w:t>
            </w:r>
            <w:r w:rsidRPr="00CB2EC4">
              <w:rPr>
                <w:rFonts w:ascii="Times New Roman" w:hAnsi="Times New Roman" w:cs="Times New Roman"/>
              </w:rPr>
              <w:br/>
            </w:r>
            <w:r w:rsidRPr="00CB2EC4">
              <w:rPr>
                <w:rFonts w:ascii="Times New Roman" w:hAnsi="Times New Roman" w:cs="Times New Roman"/>
              </w:rPr>
              <w:br/>
              <w:t xml:space="preserve">Therefore, concurrent chemoradiotherapy is the </w:t>
            </w:r>
            <w:r w:rsidRPr="00CB2EC4">
              <w:rPr>
                <w:rFonts w:ascii="Times New Roman" w:hAnsi="Times New Roman" w:cs="Times New Roman"/>
              </w:rPr>
              <w:lastRenderedPageBreak/>
              <w:t>standard regimen, with radiotherapy including external beam radiation and intracavitary irradiation, and chemotherapy primarily platinum-based. Fertility preservation is generally not applicable for these advanced stages due to tumor spread.</w:t>
            </w:r>
            <w:r w:rsidRPr="00CB2EC4">
              <w:rPr>
                <w:rFonts w:ascii="Times New Roman" w:hAnsi="Times New Roman" w:cs="Times New Roman"/>
              </w:rPr>
              <w:br/>
            </w:r>
            <w:r w:rsidRPr="00CB2EC4">
              <w:rPr>
                <w:rFonts w:ascii="Times New Roman" w:hAnsi="Times New Roman" w:cs="Times New Roman"/>
              </w:rPr>
              <w:br/>
              <w:t>Summary Notes:</w:t>
            </w:r>
            <w:r w:rsidRPr="00CB2EC4">
              <w:rPr>
                <w:rFonts w:ascii="Times New Roman" w:hAnsi="Times New Roman" w:cs="Times New Roman"/>
              </w:rPr>
              <w:br/>
              <w:t>- All responses are strictly based on the provided document fragments, with no external knowledge added.</w:t>
            </w:r>
            <w:r w:rsidRPr="00CB2EC4">
              <w:rPr>
                <w:rFonts w:ascii="Times New Roman" w:hAnsi="Times New Roman" w:cs="Times New Roman"/>
              </w:rPr>
              <w:br/>
              <w:t>- For Question 59, the document lacks relevant information, hence explicitly stating "No answer was found in the knowledge base".</w:t>
            </w:r>
            <w:r w:rsidRPr="00CB2EC4">
              <w:rPr>
                <w:rFonts w:ascii="Times New Roman" w:hAnsi="Times New Roman" w:cs="Times New Roman"/>
              </w:rPr>
              <w:br/>
              <w:t>- If you require more detailed explanations or additional context, please provide further information.</w:t>
            </w:r>
          </w:p>
        </w:tc>
        <w:tc>
          <w:tcPr>
            <w:tcW w:w="1152" w:type="dxa"/>
            <w:vAlign w:val="center"/>
          </w:tcPr>
          <w:p w14:paraId="5909C5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6EFC7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B99F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657CB7" w14:textId="77777777">
        <w:tc>
          <w:tcPr>
            <w:tcW w:w="2160" w:type="dxa"/>
            <w:vAlign w:val="center"/>
          </w:tcPr>
          <w:p w14:paraId="0F1EE64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F740A1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stage IIB, IIIA, or IIIB cervical cancer (regardless of fertility preservation status), the preferred treatment is radical radiotherapy (external beam radiotherapy + vaginal brachytherapy) combined with platinum-based concurrent chemotherapy (i.e., concurrent chemoradiotherapy). these stages are classified as locally advanced cervical cancer, and surgery is generally not the primary option.  </w:t>
            </w:r>
            <w:r w:rsidRPr="00CB2EC4">
              <w:rPr>
                <w:rFonts w:ascii="Times New Roman" w:hAnsi="Times New Roman" w:cs="Times New Roman"/>
              </w:rPr>
              <w:br/>
              <w:t xml:space="preserve">- basis:  </w:t>
            </w:r>
            <w:r w:rsidRPr="00CB2EC4">
              <w:rPr>
                <w:rFonts w:ascii="Times New Roman" w:hAnsi="Times New Roman" w:cs="Times New Roman"/>
              </w:rPr>
              <w:br/>
              <w:t xml:space="preserve">  - FIGO 2018 guidelines from relevant document 5 (fusion score: 0.5177) recommend:  </w:t>
            </w:r>
            <w:r w:rsidRPr="00CB2EC4">
              <w:rPr>
                <w:rFonts w:ascii="Times New Roman" w:hAnsi="Times New Roman" w:cs="Times New Roman"/>
              </w:rPr>
              <w:br/>
              <w:t xml:space="preserve">    - stage IIB: concurrent chemoradiotherapy.  </w:t>
            </w:r>
            <w:r w:rsidRPr="00CB2EC4">
              <w:rPr>
                <w:rFonts w:ascii="Times New Roman" w:hAnsi="Times New Roman" w:cs="Times New Roman"/>
              </w:rPr>
              <w:br/>
              <w:t xml:space="preserve">    - stage III (including IIIA and IIIB): concurrent chemoradiotherapy.  </w:t>
            </w:r>
            <w:r w:rsidRPr="00CB2EC4">
              <w:rPr>
                <w:rFonts w:ascii="Times New Roman" w:hAnsi="Times New Roman" w:cs="Times New Roman"/>
              </w:rPr>
              <w:br/>
              <w:t xml:space="preserve">  - relevant document 27 (fusion score: 0.4000) states: "treatment for stage IIB, IIIA, or IIIB: radical radiotherapy (external beam radiotherapy + vaginal brachytherapy) ± platinum-based concurrent </w:t>
            </w:r>
            <w:r w:rsidRPr="00CB2EC4">
              <w:rPr>
                <w:rFonts w:ascii="Times New Roman" w:hAnsi="Times New Roman" w:cs="Times New Roman"/>
              </w:rPr>
              <w:lastRenderedPageBreak/>
              <w:t xml:space="preserve">chemotherapy."  </w:t>
            </w:r>
            <w:r w:rsidRPr="00CB2EC4">
              <w:rPr>
                <w:rFonts w:ascii="Times New Roman" w:hAnsi="Times New Roman" w:cs="Times New Roman"/>
              </w:rPr>
              <w:br/>
              <w:t xml:space="preserve">  - relevant document 4 (fusion score: 0.5503) emphasizes: "stage IIB is generally treated with radiotherapy; all stage III cases should be treated with radiotherapy, or with combined chemotherapy and radiotherapy."  </w:t>
            </w:r>
            <w:r w:rsidRPr="00CB2EC4">
              <w:rPr>
                <w:rFonts w:ascii="Times New Roman" w:hAnsi="Times New Roman" w:cs="Times New Roman"/>
              </w:rPr>
              <w:br/>
              <w:t xml:space="preserve">  - no distinction is made regarding fertility preservation in the documents, as these advanced stages typically do not preserve fertility, and treatment is primarily chemoradiotherapy.</w:t>
            </w:r>
          </w:p>
        </w:tc>
        <w:tc>
          <w:tcPr>
            <w:tcW w:w="1152" w:type="dxa"/>
            <w:vAlign w:val="center"/>
          </w:tcPr>
          <w:p w14:paraId="11B474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2D39E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B823C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1EB38A" w14:textId="77777777">
        <w:tc>
          <w:tcPr>
            <w:tcW w:w="2160" w:type="dxa"/>
            <w:vAlign w:val="center"/>
          </w:tcPr>
          <w:p w14:paraId="466E6C8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546F846"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staging is IIB, IIIA, or IIIB, the preferred treatment measure is concurrent chemoradiotherapy, regardless of fertility preservation. Specific basis:</w:t>
            </w:r>
            <w:r w:rsidRPr="00CB2EC4">
              <w:rPr>
                <w:rFonts w:ascii="Times New Roman" w:hAnsi="Times New Roman" w:cs="Times New Roman"/>
              </w:rPr>
              <w:br/>
              <w:t>- For IB to IVA stage cervical cancer, the preferred treatment is concurrent chemoradiotherapy (similarity 0.685).</w:t>
            </w:r>
            <w:r w:rsidRPr="00CB2EC4">
              <w:rPr>
                <w:rFonts w:ascii="Times New Roman" w:hAnsi="Times New Roman" w:cs="Times New Roman"/>
              </w:rPr>
              <w:br/>
              <w:t>- FIGO 2018 guidelines explicitly state:</w:t>
            </w:r>
            <w:r w:rsidRPr="00CB2EC4">
              <w:rPr>
                <w:rFonts w:ascii="Times New Roman" w:hAnsi="Times New Roman" w:cs="Times New Roman"/>
              </w:rPr>
              <w:br/>
              <w:t xml:space="preserve">  - IIB stage, not preserving fertility: concurrent chemoradiotherapy (similarity 0.600).</w:t>
            </w:r>
            <w:r w:rsidRPr="00CB2EC4">
              <w:rPr>
                <w:rFonts w:ascii="Times New Roman" w:hAnsi="Times New Roman" w:cs="Times New Roman"/>
              </w:rPr>
              <w:br/>
              <w:t xml:space="preserve">  - III stage, not preserving fertility: concurrent chemoradiotherapy (similarity 0.600). III stage includes IIIA (involvement of the lower third of the vagina without parametrial invasion) and IIIB (extension to the pelvic wall or causing hydronephrosis).</w:t>
            </w:r>
            <w:r w:rsidRPr="00CB2EC4">
              <w:rPr>
                <w:rFonts w:ascii="Times New Roman" w:hAnsi="Times New Roman" w:cs="Times New Roman"/>
              </w:rPr>
              <w:br/>
              <w:t>- Supplementary information (similarity 0.717): "IIB stage is generally treated with radiotherapy." However, combined with other sources, concurrent chemoradiotherapy (platinum-based, e.g., cisplatin) is the standard to improve efficacy.</w:t>
            </w:r>
            <w:r w:rsidRPr="00CB2EC4">
              <w:rPr>
                <w:rFonts w:ascii="Times New Roman" w:hAnsi="Times New Roman" w:cs="Times New Roman"/>
              </w:rPr>
              <w:br/>
              <w:t xml:space="preserve">- For advanced cases (similarity 0.647): "Patients with IB and above stages are primarily treated with radiotherapy, with surgery as an adjunct." This applies </w:t>
            </w:r>
            <w:r w:rsidRPr="00CB2EC4">
              <w:rPr>
                <w:rFonts w:ascii="Times New Roman" w:hAnsi="Times New Roman" w:cs="Times New Roman"/>
              </w:rPr>
              <w:lastRenderedPageBreak/>
              <w:t>to IIB and higher stages.</w:t>
            </w:r>
            <w:r w:rsidRPr="00CB2EC4">
              <w:rPr>
                <w:rFonts w:ascii="Times New Roman" w:hAnsi="Times New Roman" w:cs="Times New Roman"/>
              </w:rPr>
              <w:br/>
            </w:r>
            <w:r w:rsidRPr="00CB2EC4">
              <w:rPr>
                <w:rFonts w:ascii="Times New Roman" w:hAnsi="Times New Roman" w:cs="Times New Roman"/>
              </w:rPr>
              <w:br/>
              <w:t>In summary, treatment consists of external beam radiotherapy combined with brachytherapy, with concurrent platinum-based chemotherapy (e.g., cisplatin). Surgery is only used as an adjunct (e.g., pelvic exenteration for select IVA cases), but the documents do not mention surgical options for IIIA or IIIB stages. Patients require assessment of overall condition, and follow-up monitoring for recurrence is necessary after chemoradiotherapy.</w:t>
            </w:r>
          </w:p>
        </w:tc>
        <w:tc>
          <w:tcPr>
            <w:tcW w:w="1152" w:type="dxa"/>
            <w:vAlign w:val="center"/>
          </w:tcPr>
          <w:p w14:paraId="5EAF5E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8D6F8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F744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8A951F" w14:textId="77777777">
        <w:tc>
          <w:tcPr>
            <w:tcW w:w="2160" w:type="dxa"/>
            <w:vAlign w:val="center"/>
          </w:tcPr>
          <w:p w14:paraId="5ADAAB3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1E76760"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w:t>
            </w:r>
            <w:r w:rsidRPr="00CB2EC4">
              <w:rPr>
                <w:rFonts w:ascii="Times New Roman" w:hAnsi="Times New Roman" w:cs="Times New Roman"/>
              </w:rPr>
              <w:br/>
            </w:r>
            <w:r w:rsidRPr="00CB2EC4">
              <w:rPr>
                <w:rFonts w:ascii="Times New Roman" w:hAnsi="Times New Roman" w:cs="Times New Roman"/>
              </w:rPr>
              <w:br/>
              <w:t>- if the stage is IIB, IIIA, or IIIB:</w:t>
            </w:r>
            <w:r w:rsidRPr="00CB2EC4">
              <w:rPr>
                <w:rFonts w:ascii="Times New Roman" w:hAnsi="Times New Roman" w:cs="Times New Roman"/>
              </w:rPr>
              <w:br/>
              <w:t xml:space="preserve">  - the recommended treatment is concurrent chemoradiation (chemotherapy combined with radiotherapy).</w:t>
            </w:r>
            <w:r w:rsidRPr="00CB2EC4">
              <w:rPr>
                <w:rFonts w:ascii="Times New Roman" w:hAnsi="Times New Roman" w:cs="Times New Roman"/>
              </w:rPr>
              <w:br/>
              <w:t xml:space="preserve">  - this is the standard recommendation and does not involve fertility preservation, as advanced stages are generally not suitable for fertility-sparing surgery.</w:t>
            </w:r>
            <w:r w:rsidRPr="00CB2EC4">
              <w:rPr>
                <w:rFonts w:ascii="Times New Roman" w:hAnsi="Times New Roman" w:cs="Times New Roman"/>
              </w:rPr>
              <w:br/>
            </w:r>
            <w:r w:rsidRPr="00CB2EC4">
              <w:rPr>
                <w:rFonts w:ascii="Times New Roman" w:hAnsi="Times New Roman" w:cs="Times New Roman"/>
              </w:rPr>
              <w:br/>
              <w:t>based on the provided document content:</w:t>
            </w:r>
            <w:r w:rsidRPr="00CB2EC4">
              <w:rPr>
                <w:rFonts w:ascii="Times New Roman" w:hAnsi="Times New Roman" w:cs="Times New Roman"/>
              </w:rPr>
              <w:br/>
              <w:t>- document fragment 1 (similarity 0.665): for IIB stage FIGO 2018 without fertility preservation, concurrent chemoradiation is recommended; for III stage (including IIIA and IIIB) FIGO 2018 without fertility preservation, concurrent chemoradiation is recommended.</w:t>
            </w:r>
            <w:r w:rsidRPr="00CB2EC4">
              <w:rPr>
                <w:rFonts w:ascii="Times New Roman" w:hAnsi="Times New Roman" w:cs="Times New Roman"/>
              </w:rPr>
              <w:br/>
              <w:t>- document fragment 13 (similarity 0.516): IIB stage is generally treated with radiotherapy; III stage should all be treated with radiotherapy, or combined chemotherapy and radiotherapy.</w:t>
            </w:r>
            <w:r w:rsidRPr="00CB2EC4">
              <w:rPr>
                <w:rFonts w:ascii="Times New Roman" w:hAnsi="Times New Roman" w:cs="Times New Roman"/>
              </w:rPr>
              <w:br/>
              <w:t xml:space="preserve">- document fragment 16 (similarity 0.505): IIB stage corresponds to FIGO IIB (T2b), IIIA to FIGO IIIA </w:t>
            </w:r>
            <w:r w:rsidRPr="00CB2EC4">
              <w:rPr>
                <w:rFonts w:ascii="Times New Roman" w:hAnsi="Times New Roman" w:cs="Times New Roman"/>
              </w:rPr>
              <w:lastRenderedPageBreak/>
              <w:t>(T3a), IIIB to FIGO IIIB (T3b), with radiotherapy as the primary treatment.</w:t>
            </w:r>
            <w:r w:rsidRPr="00CB2EC4">
              <w:rPr>
                <w:rFonts w:ascii="Times New Roman" w:hAnsi="Times New Roman" w:cs="Times New Roman"/>
              </w:rPr>
              <w:br/>
            </w:r>
            <w:r w:rsidRPr="00CB2EC4">
              <w:rPr>
                <w:rFonts w:ascii="Times New Roman" w:hAnsi="Times New Roman" w:cs="Times New Roman"/>
              </w:rPr>
              <w:br/>
              <w:t>therefore, the treatment measure is: concurrent chemoradiation.</w:t>
            </w:r>
          </w:p>
        </w:tc>
        <w:tc>
          <w:tcPr>
            <w:tcW w:w="1152" w:type="dxa"/>
            <w:vAlign w:val="center"/>
          </w:tcPr>
          <w:p w14:paraId="757594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AC1AA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C661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4CE9AD" w14:textId="77777777">
        <w:tc>
          <w:tcPr>
            <w:tcW w:w="2160" w:type="dxa"/>
            <w:vAlign w:val="center"/>
          </w:tcPr>
          <w:p w14:paraId="0287B2B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ADEB71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cervical cancer patients with stage IIB, IIIA, or IIIB disease (without preservation of fertility), the recommended treatment is concurrent chemoradiation (chemoradiotherapy).  </w:t>
            </w:r>
            <w:r w:rsidRPr="00CB2EC4">
              <w:rPr>
                <w:rFonts w:ascii="Times New Roman" w:hAnsi="Times New Roman" w:cs="Times New Roman"/>
              </w:rPr>
              <w:br/>
              <w:t xml:space="preserve">- Basis:  </w:t>
            </w:r>
            <w:r w:rsidRPr="00CB2EC4">
              <w:rPr>
                <w:rFonts w:ascii="Times New Roman" w:hAnsi="Times New Roman" w:cs="Times New Roman"/>
              </w:rPr>
              <w:br/>
              <w:t xml:space="preserve">  - Stage IIB: The document states: "IIB stage FIGO 2018 without fertility preservation: concurrent chemoradiation." The NCCN 2019 guidelines add: "Surgical staging via extraperitoneal or laparoscopic lymph node dissection or imaging-based staging, followed by concurrent chemoradiation."  </w:t>
            </w:r>
            <w:r w:rsidRPr="00CB2EC4">
              <w:rPr>
                <w:rFonts w:ascii="Times New Roman" w:hAnsi="Times New Roman" w:cs="Times New Roman"/>
              </w:rPr>
              <w:br/>
              <w:t xml:space="preserve">  - Stage III (including IIIA and IIIB): The document clearly specifies: "Stage III FIGO 2018 without fertility preservation: concurrent chemoradiation." It further describes: "Stage III: tumor involves the lower third of the vagina and/or extends to the pelvic wall... treatment of choice is concurrent chemoradiation."  </w:t>
            </w:r>
            <w:r w:rsidRPr="00CB2EC4">
              <w:rPr>
                <w:rFonts w:ascii="Times New Roman" w:hAnsi="Times New Roman" w:cs="Times New Roman"/>
              </w:rPr>
              <w:br/>
              <w:t xml:space="preserve">  - The document emphasizes: "For locally advanced cervical cancer (IB3 and IIA2 stages), concurrent chemoradiation is preferred," and this extends to stage IIB and above.  </w:t>
            </w:r>
            <w:r w:rsidRPr="00CB2EC4">
              <w:rPr>
                <w:rFonts w:ascii="Times New Roman" w:hAnsi="Times New Roman" w:cs="Times New Roman"/>
              </w:rPr>
              <w:br/>
              <w:t>Concurrent chemoradiation typically combines external beam radiotherapy with vaginal brachytherapy, supplemented by platinum-based chemotherapy (e.g., cisplatin) to enhance efficacy.</w:t>
            </w:r>
          </w:p>
        </w:tc>
        <w:tc>
          <w:tcPr>
            <w:tcW w:w="1152" w:type="dxa"/>
            <w:vAlign w:val="center"/>
          </w:tcPr>
          <w:p w14:paraId="3D23E8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89DF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47E5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4EB878" w14:textId="77777777">
        <w:tc>
          <w:tcPr>
            <w:tcW w:w="2160" w:type="dxa"/>
            <w:vAlign w:val="center"/>
          </w:tcPr>
          <w:p w14:paraId="7BAD623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59EE0E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cervical cancer staged as IIB, IIIA, or IIIB, the standard treatment is radical radiotherapy (external beam radiotherapy + vaginal brachytherapy) </w:t>
            </w:r>
            <w:r w:rsidRPr="00CB2EC4">
              <w:rPr>
                <w:rFonts w:ascii="Times New Roman" w:hAnsi="Times New Roman" w:cs="Times New Roman"/>
              </w:rPr>
              <w:lastRenderedPageBreak/>
              <w:t>± platinum-based concurrent chemotherapy (i.e., concurrent chemoradiotherapy). Surgery is not the primary option and is only used in specific situations such as when radiotherapy is unavailable or for recurrence management.</w:t>
            </w:r>
            <w:r w:rsidRPr="00CB2EC4">
              <w:rPr>
                <w:rFonts w:ascii="Times New Roman" w:hAnsi="Times New Roman" w:cs="Times New Roman"/>
              </w:rPr>
              <w:br/>
              <w:t>- Basis:</w:t>
            </w:r>
            <w:r w:rsidRPr="00CB2EC4">
              <w:rPr>
                <w:rFonts w:ascii="Times New Roman" w:hAnsi="Times New Roman" w:cs="Times New Roman"/>
              </w:rPr>
              <w:br/>
              <w:t xml:space="preserve">  - IIB stage: Document fragment 1 states "IIB stage is generally treated with radiotherapy", document fragment 23 notes "FIGO guidelines recommend concurrent chemoradiotherapy for IIB stage".</w:t>
            </w:r>
            <w:r w:rsidRPr="00CB2EC4">
              <w:rPr>
                <w:rFonts w:ascii="Times New Roman" w:hAnsi="Times New Roman" w:cs="Times New Roman"/>
              </w:rPr>
              <w:br/>
              <w:t xml:space="preserve">  - IIIA and IIIB stages (both classified as FIGO stage III): Document fragment 3 states "all stage III cases should be treated with radiotherapy", document fragment 23 adds "stage III is recommended to receive concurrent chemoradiotherapy".</w:t>
            </w:r>
            <w:r w:rsidRPr="00CB2EC4">
              <w:rPr>
                <w:rFonts w:ascii="Times New Roman" w:hAnsi="Times New Roman" w:cs="Times New Roman"/>
              </w:rPr>
              <w:br/>
              <w:t>- Note: Fertility-sparing options are typically not considered for these stages due to advanced disease prioritizing tumor control. Individualized assessment may be needed for special cases (e.g., young patients), but the context does not provide specific fertility-preserving protocols.</w:t>
            </w:r>
          </w:p>
        </w:tc>
        <w:tc>
          <w:tcPr>
            <w:tcW w:w="1152" w:type="dxa"/>
            <w:vAlign w:val="center"/>
          </w:tcPr>
          <w:p w14:paraId="7B26EB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F325C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A1309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E11F2D" w14:textId="77777777">
        <w:tc>
          <w:tcPr>
            <w:tcW w:w="2160" w:type="dxa"/>
            <w:vAlign w:val="center"/>
          </w:tcPr>
          <w:p w14:paraId="2207CCC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046D70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cervical cancer treatment, if the staging is IIB, IIIA, or IIIB, the preferred treatment measure is concurrent chemoradiotherapy (external beam radiotherapy + vaginal brachytherapy ± platinum-based concurrent chemotherapy), regardless of fertility preservation. for example:  </w:t>
            </w:r>
            <w:r w:rsidRPr="00CB2EC4">
              <w:rPr>
                <w:rFonts w:ascii="Times New Roman" w:hAnsi="Times New Roman" w:cs="Times New Roman"/>
              </w:rPr>
              <w:br/>
              <w:t xml:space="preserve">- in the [similarity: 0.569] segment, it is stated: "for IB to IVA stage cervical cancer, the preferred treatment is concurrent chemoradiotherapy."  </w:t>
            </w:r>
            <w:r w:rsidRPr="00CB2EC4">
              <w:rPr>
                <w:rFonts w:ascii="Times New Roman" w:hAnsi="Times New Roman" w:cs="Times New Roman"/>
              </w:rPr>
              <w:br/>
              <w:t xml:space="preserve">- in the [similarity: 0.539] segment, it is explicitly noted: "IIB stage FIGO 2018 without fertility preservation: concurrent chemoradiotherapy" and "III stage FIGO 2018 without fertility preservation: </w:t>
            </w:r>
            <w:r w:rsidRPr="00CB2EC4">
              <w:rPr>
                <w:rFonts w:ascii="Times New Roman" w:hAnsi="Times New Roman" w:cs="Times New Roman"/>
              </w:rPr>
              <w:lastRenderedPageBreak/>
              <w:t xml:space="preserve">concurrent chemoradiotherapy" (III stage includes IIIA and IIIB).  </w:t>
            </w:r>
            <w:r w:rsidRPr="00CB2EC4">
              <w:rPr>
                <w:rFonts w:ascii="Times New Roman" w:hAnsi="Times New Roman" w:cs="Times New Roman"/>
              </w:rPr>
              <w:br/>
              <w:t xml:space="preserve">- in the [similarity: 0.526] segment, it is supplemented: "IIB stage: radiotherapy is generally indicated... III stage: radiotherapy should be used for all, or combined chemotherapy and radiotherapy."  </w:t>
            </w:r>
            <w:r w:rsidRPr="00CB2EC4">
              <w:rPr>
                <w:rFonts w:ascii="Times New Roman" w:hAnsi="Times New Roman" w:cs="Times New Roman"/>
              </w:rPr>
              <w:br/>
              <w:t>this regimen applies to cases where the tumor extends beyond the cervix but without distant metastasis, emphasizing combined chemoradiotherapy to improve efficacy.</w:t>
            </w:r>
          </w:p>
        </w:tc>
        <w:tc>
          <w:tcPr>
            <w:tcW w:w="1152" w:type="dxa"/>
            <w:vAlign w:val="center"/>
          </w:tcPr>
          <w:p w14:paraId="58B372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730B5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AC87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F15154" w14:textId="77777777">
        <w:tc>
          <w:tcPr>
            <w:tcW w:w="2160" w:type="dxa"/>
            <w:vAlign w:val="center"/>
          </w:tcPr>
          <w:p w14:paraId="0A75EB4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8D0964D"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IIB, IIIA, or IIIB cervical cancer, the level I recommended treatment is external beam radiotherapy (EBRT) to the pelvis combined with brachytherapy and concurrent platinum-based chemotherapy. this applies to cases where the tumor extends beyond the cervix but not to the lower third of the vagina or pelvic wall (IIB), involves the lower third of the vagina but not the pelvic wall (IIIA), or shows parametrial infiltration reaching the pelvic wall (IIIB) (documents 6 and 11). concurrent chemoradiotherapy is the standard treatment, effectively controlling local lesions and micrometastases. the context does not mention fertility-sparing options, as these stages are generally unsuitable for conservative surgery, and treatment aims at tumor eradication.</w:t>
            </w:r>
          </w:p>
        </w:tc>
        <w:tc>
          <w:tcPr>
            <w:tcW w:w="1152" w:type="dxa"/>
            <w:vAlign w:val="center"/>
          </w:tcPr>
          <w:p w14:paraId="252304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5F5F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D171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DC2C71" w14:textId="77777777">
        <w:tc>
          <w:tcPr>
            <w:tcW w:w="2160" w:type="dxa"/>
            <w:vAlign w:val="center"/>
          </w:tcPr>
          <w:p w14:paraId="71C9D123"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66932CF"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w:t>
            </w:r>
            <w:r w:rsidRPr="00CB2EC4">
              <w:rPr>
                <w:rFonts w:ascii="Times New Roman" w:hAnsi="Times New Roman" w:cs="Times New Roman"/>
              </w:rPr>
              <w:br/>
            </w:r>
            <w:r w:rsidRPr="00CB2EC4">
              <w:rPr>
                <w:rFonts w:ascii="Times New Roman" w:hAnsi="Times New Roman" w:cs="Times New Roman"/>
              </w:rPr>
              <w:br/>
              <w:t>- IIB stage: FIGO 2018 guidelines recommend concurrent chemoradiotherapy (for non-fertility-sparing approach; no mention of fertility-sparing options).</w:t>
            </w:r>
            <w:r w:rsidRPr="00CB2EC4">
              <w:rPr>
                <w:rFonts w:ascii="Times New Roman" w:hAnsi="Times New Roman" w:cs="Times New Roman"/>
              </w:rPr>
              <w:br/>
              <w:t xml:space="preserve">- III stage (including IIIA and IIIB): FIGO 2018 </w:t>
            </w:r>
            <w:r w:rsidRPr="00CB2EC4">
              <w:rPr>
                <w:rFonts w:ascii="Times New Roman" w:hAnsi="Times New Roman" w:cs="Times New Roman"/>
              </w:rPr>
              <w:lastRenderedPageBreak/>
              <w:t>guidelines recommend concurrent chemoradiotherapy (for non-fertility-sparing approach).</w:t>
            </w:r>
            <w:r w:rsidRPr="00CB2EC4">
              <w:rPr>
                <w:rFonts w:ascii="Times New Roman" w:hAnsi="Times New Roman" w:cs="Times New Roman"/>
              </w:rPr>
              <w:br/>
              <w:t>- The text explicitly states that for advanced stages such as IIB and III, concurrent chemoradiotherapy is recommended, and the feasibility of fertility-sparing treatment is not discussed (the context emphasizes that these stages are generally not suitable for fertility-sparing approaches).</w:t>
            </w:r>
            <w:r w:rsidRPr="00CB2EC4">
              <w:rPr>
                <w:rFonts w:ascii="Times New Roman" w:hAnsi="Times New Roman" w:cs="Times New Roman"/>
              </w:rPr>
              <w:br/>
              <w:t xml:space="preserve">  Therefore, the treatment measure should be concurrent chemoradiotherapy (i.e., synchronous chemoradiation). The context does not provide fertility-sparing options, so this answer is based on standard treatment recommendations.</w:t>
            </w:r>
          </w:p>
        </w:tc>
        <w:tc>
          <w:tcPr>
            <w:tcW w:w="1152" w:type="dxa"/>
            <w:vAlign w:val="center"/>
          </w:tcPr>
          <w:p w14:paraId="6CCF1C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7A75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EEEB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0E597B" w14:textId="77777777">
        <w:tc>
          <w:tcPr>
            <w:tcW w:w="2160" w:type="dxa"/>
            <w:vAlign w:val="center"/>
          </w:tcPr>
          <w:p w14:paraId="55A1E81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F5233CB"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IIB, IIIA, or IIIB, the following treatment measures should be adopted:</w:t>
            </w:r>
            <w:r w:rsidRPr="00CB2EC4">
              <w:rPr>
                <w:rFonts w:ascii="Times New Roman" w:hAnsi="Times New Roman" w:cs="Times New Roman"/>
              </w:rPr>
              <w:br/>
            </w:r>
            <w:r w:rsidRPr="00CB2EC4">
              <w:rPr>
                <w:rFonts w:ascii="Times New Roman" w:hAnsi="Times New Roman" w:cs="Times New Roman"/>
              </w:rPr>
              <w:br/>
              <w:t xml:space="preserve">Treatment measures: Concurrent chemoradiotherapy (i.e., radiotherapy combined with platinum-based chemotherapy) is recommended as the standard treatment regimen. Fertility preservation is not involved, as these stages represent locally advanced disease and surgery is generally not applicable.  </w:t>
            </w:r>
            <w:r w:rsidRPr="00CB2EC4">
              <w:rPr>
                <w:rFonts w:ascii="Times New Roman" w:hAnsi="Times New Roman" w:cs="Times New Roman"/>
              </w:rPr>
              <w:br/>
              <w:t>- For cervical cancer staged IIB, IIIA, or IIIB, the preferred treatment is concurrent chemoradiotherapy to improve local control and survival rates.</w:t>
            </w:r>
          </w:p>
        </w:tc>
        <w:tc>
          <w:tcPr>
            <w:tcW w:w="1152" w:type="dxa"/>
            <w:vAlign w:val="center"/>
          </w:tcPr>
          <w:p w14:paraId="4F99C0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875DD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B580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BD3EA20" w14:textId="77777777">
        <w:tc>
          <w:tcPr>
            <w:tcW w:w="10656" w:type="dxa"/>
            <w:gridSpan w:val="5"/>
            <w:tcBorders>
              <w:bottom w:val="single" w:sz="6" w:space="0" w:color="auto"/>
            </w:tcBorders>
            <w:vAlign w:val="center"/>
          </w:tcPr>
          <w:p w14:paraId="338B8E03" w14:textId="77777777" w:rsidR="00922249" w:rsidRPr="00CB2EC4" w:rsidRDefault="003011D5">
            <w:pPr>
              <w:rPr>
                <w:rFonts w:ascii="Times New Roman" w:hAnsi="Times New Roman" w:cs="Times New Roman"/>
              </w:rPr>
            </w:pPr>
            <w:r w:rsidRPr="00CB2EC4">
              <w:rPr>
                <w:rFonts w:ascii="Times New Roman" w:hAnsi="Times New Roman" w:cs="Times New Roman"/>
                <w:b/>
              </w:rPr>
              <w:t>Question 61: In cervical cancer treatment, if the stage is ⅢC1, what treatment measures should be taken?</w:t>
            </w:r>
          </w:p>
        </w:tc>
      </w:tr>
      <w:tr w:rsidR="00922249" w:rsidRPr="00CB2EC4" w14:paraId="3153A051" w14:textId="77777777">
        <w:tc>
          <w:tcPr>
            <w:tcW w:w="2160" w:type="dxa"/>
            <w:vAlign w:val="center"/>
          </w:tcPr>
          <w:p w14:paraId="5BC989B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DB5253E"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staging is IIIC1, the recommended treatment is concurrent chemoradiotherapy (CCRT).</w:t>
            </w:r>
            <w:r w:rsidRPr="00CB2EC4">
              <w:rPr>
                <w:rFonts w:ascii="Times New Roman" w:hAnsi="Times New Roman" w:cs="Times New Roman"/>
              </w:rPr>
              <w:br/>
            </w:r>
            <w:r w:rsidRPr="00CB2EC4">
              <w:rPr>
                <w:rFonts w:ascii="Times New Roman" w:hAnsi="Times New Roman" w:cs="Times New Roman"/>
              </w:rPr>
              <w:br/>
              <w:t xml:space="preserve">response: according to the document, IIIC1 stage (with pelvic lymph node metastasis) falls under stage </w:t>
            </w:r>
            <w:r w:rsidRPr="00CB2EC4">
              <w:rPr>
                <w:rFonts w:ascii="Times New Roman" w:hAnsi="Times New Roman" w:cs="Times New Roman"/>
              </w:rPr>
              <w:lastRenderedPageBreak/>
              <w:t>III cervical cancer. the primary treatment of choice is concurrent chemoradiotherapy (CCRT). the document explicitly states that for stage III cervical cancer (including IIIC1), concurrent chemoradiotherapy is recommended as the main treatment modality because lymph node metastasis increases the risk of recurrence, and CCRT effectively controls local and regional disease (source: segment with similarity 0.460, range 5-7; segment with similarity 0.485, range 9-11).</w:t>
            </w:r>
            <w:r w:rsidRPr="00CB2EC4">
              <w:rPr>
                <w:rFonts w:ascii="Times New Roman" w:hAnsi="Times New Roman" w:cs="Times New Roman"/>
              </w:rPr>
              <w:br/>
              <w:t>- key contextual references:</w:t>
            </w:r>
            <w:r w:rsidRPr="00CB2EC4">
              <w:rPr>
                <w:rFonts w:ascii="Times New Roman" w:hAnsi="Times New Roman" w:cs="Times New Roman"/>
              </w:rPr>
              <w:br/>
              <w:t xml:space="preserve">  - "Stage III FIGO 2018 without fertility preservation: concurrent chemoradiotherapy" (similarity 0.460, range 5-7).</w:t>
            </w:r>
            <w:r w:rsidRPr="00CB2EC4">
              <w:rPr>
                <w:rFonts w:ascii="Times New Roman" w:hAnsi="Times New Roman" w:cs="Times New Roman"/>
              </w:rPr>
              <w:br/>
              <w:t xml:space="preserve">  - "For the treatment of locally advanced cervical cancer, the guidelines recommend concurrent chemoradiotherapy as the first choice" (similarity 0.460, range 5-7).</w:t>
            </w:r>
            <w:r w:rsidRPr="00CB2EC4">
              <w:rPr>
                <w:rFonts w:ascii="Times New Roman" w:hAnsi="Times New Roman" w:cs="Times New Roman"/>
              </w:rPr>
              <w:br/>
              <w:t>- additional note: the document does not differentiate specific treatment approaches between IIIC1 and IIIC2; as part of stage III, IIIC1 uniformly recommends concurrent chemoradiotherapy.</w:t>
            </w:r>
          </w:p>
        </w:tc>
        <w:tc>
          <w:tcPr>
            <w:tcW w:w="1152" w:type="dxa"/>
            <w:vAlign w:val="center"/>
          </w:tcPr>
          <w:p w14:paraId="0962AD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9AF18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D48EA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94CCBB0" w14:textId="77777777">
        <w:tc>
          <w:tcPr>
            <w:tcW w:w="2160" w:type="dxa"/>
            <w:vAlign w:val="center"/>
          </w:tcPr>
          <w:p w14:paraId="703A158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F5978B1"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stage is IIIC1, the recommended treatment measure is concurrent chemoradiotherapy (synchronous chemoradiotherapy).</w:t>
            </w:r>
            <w:r w:rsidRPr="00CB2EC4">
              <w:rPr>
                <w:rFonts w:ascii="Times New Roman" w:hAnsi="Times New Roman" w:cs="Times New Roman"/>
              </w:rPr>
              <w:br/>
            </w:r>
            <w:r w:rsidRPr="00CB2EC4">
              <w:rPr>
                <w:rFonts w:ascii="Times New Roman" w:hAnsi="Times New Roman" w:cs="Times New Roman"/>
              </w:rPr>
              <w:br/>
              <w:t xml:space="preserve">- Basis:  </w:t>
            </w:r>
            <w:r w:rsidRPr="00CB2EC4">
              <w:rPr>
                <w:rFonts w:ascii="Times New Roman" w:hAnsi="Times New Roman" w:cs="Times New Roman"/>
              </w:rPr>
              <w:br/>
              <w:t xml:space="preserve">  - Document fragment 26 (block ID 22, block topic "Cervical Cancer Staging Treatment Plan") table shows: Stage III (including IIIC1) FIGO 2018 recommendation is "concurrent chemoradiotherapy".  </w:t>
            </w:r>
            <w:r w:rsidRPr="00CB2EC4">
              <w:rPr>
                <w:rFonts w:ascii="Times New Roman" w:hAnsi="Times New Roman" w:cs="Times New Roman"/>
              </w:rPr>
              <w:br/>
              <w:t xml:space="preserve">  - Document fragment 5 (block ID 35, block topic "Cervical Cancer Treatment Strategy") states: for stage IB to IVA cervical cancer, the preferred </w:t>
            </w:r>
            <w:r w:rsidRPr="00CB2EC4">
              <w:rPr>
                <w:rFonts w:ascii="Times New Roman" w:hAnsi="Times New Roman" w:cs="Times New Roman"/>
              </w:rPr>
              <w:lastRenderedPageBreak/>
              <w:t xml:space="preserve">treatment is synchronous chemoradiotherapy; Stage III is included in this range.  </w:t>
            </w:r>
            <w:r w:rsidRPr="00CB2EC4">
              <w:rPr>
                <w:rFonts w:ascii="Times New Roman" w:hAnsi="Times New Roman" w:cs="Times New Roman"/>
              </w:rPr>
              <w:br/>
              <w:t xml:space="preserve">  - Document fragment 3 (block ID 490, block topic "Cervical Cancer Staging and Treatment Principles") mentions: all Stage III cases should receive radiotherapy, or combined chemotherapy and radiotherapy.  </w:t>
            </w:r>
            <w:r w:rsidRPr="00CB2EC4">
              <w:rPr>
                <w:rFonts w:ascii="Times New Roman" w:hAnsi="Times New Roman" w:cs="Times New Roman"/>
              </w:rPr>
              <w:br/>
              <w:t>- Recommended treatment measure: preferred concurrent chemoradiotherapy (i.e., external beam radiotherapy combined with brachytherapy, supplemented with platinum-based concurrent chemotherapy). Specific regimen may include pelvic external beam irradiation (dose approximately 45–50 Gy) and intracavitary brachytherapy, concurrently administered with chemotherapeutic agents such as cisplatin.</w:t>
            </w:r>
          </w:p>
        </w:tc>
        <w:tc>
          <w:tcPr>
            <w:tcW w:w="1152" w:type="dxa"/>
            <w:vAlign w:val="center"/>
          </w:tcPr>
          <w:p w14:paraId="267820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98788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9F31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9414C6" w14:textId="77777777">
        <w:tc>
          <w:tcPr>
            <w:tcW w:w="2160" w:type="dxa"/>
            <w:vAlign w:val="center"/>
          </w:tcPr>
          <w:p w14:paraId="422EFB8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F75172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cervical cancer treatment, if staged as IIIC1, the recommended treatment measures are as follows:  </w:t>
            </w:r>
            <w:r w:rsidRPr="00CB2EC4">
              <w:rPr>
                <w:rFonts w:ascii="Times New Roman" w:hAnsi="Times New Roman" w:cs="Times New Roman"/>
              </w:rPr>
              <w:br/>
              <w:t xml:space="preserve">- Level I recommendation: Pelvic ± para-aortic external beam radiotherapy (EBRT) + brachytherapy + concurrent platinum-based chemotherapy.  </w:t>
            </w:r>
            <w:r w:rsidRPr="00CB2EC4">
              <w:rPr>
                <w:rFonts w:ascii="Times New Roman" w:hAnsi="Times New Roman" w:cs="Times New Roman"/>
              </w:rPr>
              <w:br/>
              <w:t xml:space="preserve">- Level II recommendation: Pelvic ± para-aortic EBRT + brachytherapy (as an alternative regimen).  </w:t>
            </w:r>
            <w:r w:rsidRPr="00CB2EC4">
              <w:rPr>
                <w:rFonts w:ascii="Times New Roman" w:hAnsi="Times New Roman" w:cs="Times New Roman"/>
              </w:rPr>
              <w:br/>
              <w:t xml:space="preserve">- Level III recommendation: Neoadjuvant chemotherapy + pelvic ± para-aortic radiotherapy (to be considered in specific situations).  </w:t>
            </w:r>
            <w:r w:rsidRPr="00CB2EC4">
              <w:rPr>
                <w:rFonts w:ascii="Times New Roman" w:hAnsi="Times New Roman" w:cs="Times New Roman"/>
              </w:rPr>
              <w:br/>
            </w:r>
            <w:r w:rsidRPr="00CB2EC4">
              <w:rPr>
                <w:rFonts w:ascii="Times New Roman" w:hAnsi="Times New Roman" w:cs="Times New Roman"/>
              </w:rPr>
              <w:br/>
              <w:t xml:space="preserve">additionally, document fragment 9 (relevance: 0.800) supports this scheme, stating "pelvic external beam radiotherapy + brachytherapy ± concurrent platinum chemotherapy". document fragments 7 and 8 (relevance: 0.800) define IIIC1 as pelvic lymph node positivity (with imaging or pathological evidence noted) but do not alter the core treatment approach.  </w:t>
            </w:r>
            <w:r w:rsidRPr="00CB2EC4">
              <w:rPr>
                <w:rFonts w:ascii="Times New Roman" w:hAnsi="Times New Roman" w:cs="Times New Roman"/>
              </w:rPr>
              <w:br/>
            </w:r>
            <w:r w:rsidRPr="00CB2EC4">
              <w:rPr>
                <w:rFonts w:ascii="Times New Roman" w:hAnsi="Times New Roman" w:cs="Times New Roman"/>
              </w:rPr>
              <w:lastRenderedPageBreak/>
              <w:t>summary: the preferred treatment is pelvic ± para-aortic EBRT combined with brachytherapy and concurrent platinum-based chemotherapy (based on weekly cisplatin, as described in fragment 3).</w:t>
            </w:r>
          </w:p>
        </w:tc>
        <w:tc>
          <w:tcPr>
            <w:tcW w:w="1152" w:type="dxa"/>
            <w:vAlign w:val="center"/>
          </w:tcPr>
          <w:p w14:paraId="6A071A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D8026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649A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931DDA" w14:textId="77777777">
        <w:tc>
          <w:tcPr>
            <w:tcW w:w="2160" w:type="dxa"/>
            <w:vAlign w:val="center"/>
          </w:tcPr>
          <w:p w14:paraId="69EDC96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253FCE2" w14:textId="77777777" w:rsidR="00922249" w:rsidRPr="00CB2EC4" w:rsidRDefault="003011D5">
            <w:pPr>
              <w:rPr>
                <w:rFonts w:ascii="Times New Roman" w:hAnsi="Times New Roman" w:cs="Times New Roman"/>
              </w:rPr>
            </w:pPr>
            <w:r w:rsidRPr="00CB2EC4">
              <w:rPr>
                <w:rFonts w:ascii="Times New Roman" w:hAnsi="Times New Roman" w:cs="Times New Roman"/>
              </w:rPr>
              <w:t>treatment for stage IIIC1 cervical cancer</w:t>
            </w:r>
            <w:r w:rsidRPr="00CB2EC4">
              <w:rPr>
                <w:rFonts w:ascii="Times New Roman" w:hAnsi="Times New Roman" w:cs="Times New Roman"/>
              </w:rPr>
              <w:br/>
            </w:r>
            <w:r w:rsidRPr="00CB2EC4">
              <w:rPr>
                <w:rFonts w:ascii="Times New Roman" w:hAnsi="Times New Roman" w:cs="Times New Roman"/>
              </w:rPr>
              <w:br/>
              <w:t xml:space="preserve">knowledge base documents:  </w:t>
            </w:r>
            <w:r w:rsidRPr="00CB2EC4">
              <w:rPr>
                <w:rFonts w:ascii="Times New Roman" w:hAnsi="Times New Roman" w:cs="Times New Roman"/>
              </w:rPr>
              <w:br/>
              <w:t xml:space="preserve">- stage IIIC requires radical radiotherapy (external beam radiotherapy + vaginal brachytherapy) ± platinum-based concurrent chemotherapy (document 1, 7)  </w:t>
            </w:r>
            <w:r w:rsidRPr="00CB2EC4">
              <w:rPr>
                <w:rFonts w:ascii="Times New Roman" w:hAnsi="Times New Roman" w:cs="Times New Roman"/>
              </w:rPr>
              <w:br/>
              <w:t xml:space="preserve">- emphasize the need to cover the pelvic lymph node regions (document 20)  </w:t>
            </w:r>
            <w:r w:rsidRPr="00CB2EC4">
              <w:rPr>
                <w:rFonts w:ascii="Times New Roman" w:hAnsi="Times New Roman" w:cs="Times New Roman"/>
              </w:rPr>
              <w:br/>
            </w:r>
            <w:r w:rsidRPr="00CB2EC4">
              <w:rPr>
                <w:rFonts w:ascii="Times New Roman" w:hAnsi="Times New Roman" w:cs="Times New Roman"/>
              </w:rPr>
              <w:br/>
              <w:t xml:space="preserve">web search results:  </w:t>
            </w:r>
            <w:r w:rsidRPr="00CB2EC4">
              <w:rPr>
                <w:rFonts w:ascii="Times New Roman" w:hAnsi="Times New Roman" w:cs="Times New Roman"/>
              </w:rPr>
              <w:br/>
              <w:t xml:space="preserve">- preferred treatment: external beam radiation + concurrent platinum-based chemotherapy + brachytherapy ± pembrolizumab (evidence level: FIGO 2014 stage III category 1; 2018 stage III category 2B) (source 7)  </w:t>
            </w:r>
            <w:r w:rsidRPr="00CB2EC4">
              <w:rPr>
                <w:rFonts w:ascii="Times New Roman" w:hAnsi="Times New Roman" w:cs="Times New Roman"/>
              </w:rPr>
              <w:br/>
            </w:r>
            <w:r w:rsidRPr="00CB2EC4">
              <w:rPr>
                <w:rFonts w:ascii="Times New Roman" w:hAnsi="Times New Roman" w:cs="Times New Roman"/>
              </w:rPr>
              <w:br/>
              <w:t xml:space="preserve">integrated recommendation:  </w:t>
            </w:r>
            <w:r w:rsidRPr="00CB2EC4">
              <w:rPr>
                <w:rFonts w:ascii="Times New Roman" w:hAnsi="Times New Roman" w:cs="Times New Roman"/>
              </w:rPr>
              <w:br/>
              <w:t>&gt; concurrent chemoradiotherapy (based on cisplatin/carboplatin) combined with brachytherapy; pelvic lymph node metastasis requires complete coverage of the radiation field. Consider adding pembrolizumab (supported by web evidence).</w:t>
            </w:r>
          </w:p>
        </w:tc>
        <w:tc>
          <w:tcPr>
            <w:tcW w:w="1152" w:type="dxa"/>
            <w:vAlign w:val="center"/>
          </w:tcPr>
          <w:p w14:paraId="4B1958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5583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A016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DC753D" w14:textId="77777777">
        <w:tc>
          <w:tcPr>
            <w:tcW w:w="2160" w:type="dxa"/>
            <w:vAlign w:val="center"/>
          </w:tcPr>
          <w:p w14:paraId="1FED0BB7"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3E724F3"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IIIC1, the recommended treatment measures are:</w:t>
            </w:r>
            <w:r w:rsidRPr="00CB2EC4">
              <w:rPr>
                <w:rFonts w:ascii="Times New Roman" w:hAnsi="Times New Roman" w:cs="Times New Roman"/>
              </w:rPr>
              <w:br/>
            </w:r>
            <w:r w:rsidRPr="00CB2EC4">
              <w:rPr>
                <w:rFonts w:ascii="Times New Roman" w:hAnsi="Times New Roman" w:cs="Times New Roman"/>
              </w:rPr>
              <w:br/>
              <w:t xml:space="preserve">based on document excerpt 11, the level I recommended treatment regimen for IIIC1 is:  </w:t>
            </w:r>
            <w:r w:rsidRPr="00CB2EC4">
              <w:rPr>
                <w:rFonts w:ascii="Times New Roman" w:hAnsi="Times New Roman" w:cs="Times New Roman"/>
              </w:rPr>
              <w:br/>
              <w:t>pelvic EBRT + brachytherapy + concurrent platinum-</w:t>
            </w:r>
            <w:r w:rsidRPr="00CB2EC4">
              <w:rPr>
                <w:rFonts w:ascii="Times New Roman" w:hAnsi="Times New Roman" w:cs="Times New Roman"/>
              </w:rPr>
              <w:lastRenderedPageBreak/>
              <w:t xml:space="preserve">based chemotherapy.  </w:t>
            </w:r>
            <w:r w:rsidRPr="00CB2EC4">
              <w:rPr>
                <w:rFonts w:ascii="Times New Roman" w:hAnsi="Times New Roman" w:cs="Times New Roman"/>
              </w:rPr>
              <w:br/>
              <w:t>- explanation: this regimen is for IIIC1 (pelvic lymph node metastasis) and emphasizes comprehensive treatment with concurrent chemoradiotherapy. the document states that the radiation field is primarily pelvic (EBRT target volume includes internal iliac, external iliac, obturator, and presacral lymph node regions), with a dose typically of 45 Gy (range 40–50 Gy), combined with brachytherapy and platinum-based chemotherapy to improve efficacy (excerpt 11). other excerpts (e.g., excerpt 10) supplement that IIIC1 staging should specify the basis (imaging r or pathology p), but this does not affect the core treatment regimen.</w:t>
            </w:r>
          </w:p>
        </w:tc>
        <w:tc>
          <w:tcPr>
            <w:tcW w:w="1152" w:type="dxa"/>
            <w:vAlign w:val="center"/>
          </w:tcPr>
          <w:p w14:paraId="358164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FF2D3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1A84E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E816E8" w14:textId="77777777">
        <w:tc>
          <w:tcPr>
            <w:tcW w:w="2160" w:type="dxa"/>
            <w:vAlign w:val="center"/>
          </w:tcPr>
          <w:p w14:paraId="748A7255"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E512A8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staging is IIIC1, the preferred treatment measure is concurrent chemoradiotherapy (synchronous chemoradiotherapy).  </w:t>
            </w:r>
            <w:r w:rsidRPr="00CB2EC4">
              <w:rPr>
                <w:rFonts w:ascii="Times New Roman" w:hAnsi="Times New Roman" w:cs="Times New Roman"/>
              </w:rPr>
              <w:br/>
              <w:t xml:space="preserve">This is because IIIC1 stage cervical cancer is defined as involving only pelvic lymph nodes (noted as based on imaging [r] or pathology [p] evidence), and IIIC stage is classified as locally advanced cervical cancer. Guidelines recommend combined chemoradiotherapy as the primary approach to control local lesions and lymph node metastases.  </w:t>
            </w:r>
            <w:r w:rsidRPr="00CB2EC4">
              <w:rPr>
                <w:rFonts w:ascii="Times New Roman" w:hAnsi="Times New Roman" w:cs="Times New Roman"/>
              </w:rPr>
              <w:br/>
              <w:t xml:space="preserve">The specific regimen includes external beam radiotherapy combined with vaginal brachytherapy, supplemented by platinum-based concurrent chemotherapy (e.g., cisplatin).  </w:t>
            </w:r>
            <w:r w:rsidRPr="00CB2EC4">
              <w:rPr>
                <w:rFonts w:ascii="Times New Roman" w:hAnsi="Times New Roman" w:cs="Times New Roman"/>
              </w:rPr>
              <w:br/>
              <w:t xml:space="preserve">- Based on documents: Documents 7 and 8 explicitly state that "for the treatment of locally advanced cervical cancer, guidelines recommend concurrent chemoradiotherapy as the first choice." Documents 11 and 16 provide the staging definition for IIIC1, but the treatment principle follows the general </w:t>
            </w:r>
            <w:r w:rsidRPr="00CB2EC4">
              <w:rPr>
                <w:rFonts w:ascii="Times New Roman" w:hAnsi="Times New Roman" w:cs="Times New Roman"/>
              </w:rPr>
              <w:lastRenderedPageBreak/>
              <w:t>recommendation for locally advanced cervical cancer (document 7 fusion score 0.5589, document 8 fusion score 0.5214).</w:t>
            </w:r>
          </w:p>
        </w:tc>
        <w:tc>
          <w:tcPr>
            <w:tcW w:w="1152" w:type="dxa"/>
            <w:vAlign w:val="center"/>
          </w:tcPr>
          <w:p w14:paraId="0AD95C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FBBA4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C9A1A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1F70C49" w14:textId="77777777">
        <w:tc>
          <w:tcPr>
            <w:tcW w:w="2160" w:type="dxa"/>
            <w:vAlign w:val="center"/>
          </w:tcPr>
          <w:p w14:paraId="58C3BCCA"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82E6A9F"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IIIC1, the following treatment measures should be adopted:</w:t>
            </w:r>
            <w:r w:rsidRPr="00CB2EC4">
              <w:rPr>
                <w:rFonts w:ascii="Times New Roman" w:hAnsi="Times New Roman" w:cs="Times New Roman"/>
              </w:rPr>
              <w:br/>
            </w:r>
            <w:r w:rsidRPr="00CB2EC4">
              <w:rPr>
                <w:rFonts w:ascii="Times New Roman" w:hAnsi="Times New Roman" w:cs="Times New Roman"/>
              </w:rPr>
              <w:br/>
              <w:t>- According to the document, stage III cervical cancer should be treated with radiotherapy, or a combination of chemotherapy and radiotherapy. (Source: [HyDE similarity: 0.567] segment)</w:t>
            </w:r>
            <w:r w:rsidRPr="00CB2EC4">
              <w:rPr>
                <w:rFonts w:ascii="Times New Roman" w:hAnsi="Times New Roman" w:cs="Times New Roman"/>
              </w:rPr>
              <w:br/>
              <w:t>- Specifically, for IIIC1 cervical cancer (involving pelvic lymph nodes only), treatment should consist of radiotherapy or combined chemoradiotherapy.</w:t>
            </w:r>
            <w:r w:rsidRPr="00CB2EC4">
              <w:rPr>
                <w:rFonts w:ascii="Times New Roman" w:hAnsi="Times New Roman" w:cs="Times New Roman"/>
              </w:rPr>
              <w:br/>
              <w:t>- For cases with lymph node metastasis, radiotherapy is recommended as the primary modality, potentially including external pelvic radiotherapy combined with concurrent chemotherapy (platinum-based, such as weekly cisplatin) to control local disease and reduce recurrence risk.</w:t>
            </w:r>
            <w:r w:rsidRPr="00CB2EC4">
              <w:rPr>
                <w:rFonts w:ascii="Times New Roman" w:hAnsi="Times New Roman" w:cs="Times New Roman"/>
              </w:rPr>
              <w:br/>
              <w:t>- Example regimen: External pelvic radiotherapy (typically 45–50 Gy) with concurrent chemotherapy (e.g., weekly cisplatin).</w:t>
            </w:r>
          </w:p>
        </w:tc>
        <w:tc>
          <w:tcPr>
            <w:tcW w:w="1152" w:type="dxa"/>
            <w:vAlign w:val="center"/>
          </w:tcPr>
          <w:p w14:paraId="57BD3C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C382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725A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35C66A" w14:textId="77777777">
        <w:tc>
          <w:tcPr>
            <w:tcW w:w="2160" w:type="dxa"/>
            <w:vAlign w:val="center"/>
          </w:tcPr>
          <w:p w14:paraId="7D9EFD85"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770CF94"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IIIC1, the following treatment measures should be adopted:</w:t>
            </w:r>
            <w:r w:rsidRPr="00CB2EC4">
              <w:rPr>
                <w:rFonts w:ascii="Times New Roman" w:hAnsi="Times New Roman" w:cs="Times New Roman"/>
              </w:rPr>
              <w:br/>
            </w:r>
            <w:r w:rsidRPr="00CB2EC4">
              <w:rPr>
                <w:rFonts w:ascii="Times New Roman" w:hAnsi="Times New Roman" w:cs="Times New Roman"/>
              </w:rPr>
              <w:br/>
              <w:t xml:space="preserve">according to document fragment 9 (similarity: 0.595), cervical cancer stage IIIC1 (involving pelvic lymph nodes only) falls under the category of locally advanced cervical cancer. the document explicitly states: "for cervical cancer stages IB to IVA, the preferred treatment is concurrent chemoradiotherapy." </w:t>
            </w:r>
            <w:r w:rsidRPr="00CB2EC4">
              <w:rPr>
                <w:rFonts w:ascii="Times New Roman" w:hAnsi="Times New Roman" w:cs="Times New Roman"/>
              </w:rPr>
              <w:lastRenderedPageBreak/>
              <w:t>since IIIC1 is part of stage III, and stage III cervical cancer is typically included in the "IB to IVA" range, the preferred treatment is concurrent chemoradiotherapy (i.e., external beam radiotherapy + vaginal brachytherapy ± platinum-based concurrent chemotherapy). document fragment 2 (similarity: 0.636) also supports this principle, stating that locally advanced cervical cancer (including cases with lymph node metastasis) recommends concurrent chemoradiotherapy.</w:t>
            </w:r>
            <w:r w:rsidRPr="00CB2EC4">
              <w:rPr>
                <w:rFonts w:ascii="Times New Roman" w:hAnsi="Times New Roman" w:cs="Times New Roman"/>
              </w:rPr>
              <w:br/>
              <w:t>treatment measures: preferred concurrent chemoradiotherapy (external beam radiotherapy + vaginal brachytherapy ± platinum-based concurrent chemotherapy).</w:t>
            </w:r>
          </w:p>
        </w:tc>
        <w:tc>
          <w:tcPr>
            <w:tcW w:w="1152" w:type="dxa"/>
            <w:vAlign w:val="center"/>
          </w:tcPr>
          <w:p w14:paraId="1DD83F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1095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3820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CA4AB0" w14:textId="77777777">
        <w:tc>
          <w:tcPr>
            <w:tcW w:w="2160" w:type="dxa"/>
            <w:vAlign w:val="center"/>
          </w:tcPr>
          <w:p w14:paraId="6909B955"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517D024"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IIIC1, the following treatment measures should be adopted:</w:t>
            </w:r>
            <w:r w:rsidRPr="00CB2EC4">
              <w:rPr>
                <w:rFonts w:ascii="Times New Roman" w:hAnsi="Times New Roman" w:cs="Times New Roman"/>
              </w:rPr>
              <w:br/>
            </w:r>
            <w:r w:rsidRPr="00CB2EC4">
              <w:rPr>
                <w:rFonts w:ascii="Times New Roman" w:hAnsi="Times New Roman" w:cs="Times New Roman"/>
              </w:rPr>
              <w:br/>
              <w:t>Response: According to the document, IIIC1 stage indicates cervical cancer with involvement of pelvic lymph nodes (based on imaging or pathological evidence). The document explicitly states that for locally advanced cervical cancer (including IIIC stage), the preferred treatment is concurrent chemoradiotherapy. Specific recommendations are as follows:</w:t>
            </w:r>
            <w:r w:rsidRPr="00CB2EC4">
              <w:rPr>
                <w:rFonts w:ascii="Times New Roman" w:hAnsi="Times New Roman" w:cs="Times New Roman"/>
              </w:rPr>
              <w:br/>
              <w:t xml:space="preserve">  - Preferred treatment: Radical radiotherapy (including external beam radiotherapy + vaginal brachytherapy) ± platinum-based concurrent chemotherapy (e.g., cisplatin-containing regimens).</w:t>
            </w:r>
            <w:r w:rsidRPr="00CB2EC4">
              <w:rPr>
                <w:rFonts w:ascii="Times New Roman" w:hAnsi="Times New Roman" w:cs="Times New Roman"/>
              </w:rPr>
              <w:br/>
              <w:t xml:space="preserve">  - Basis: The document repeatedly emphasizes that for cervical cancer from IB to IVA stage (IIIC1 is typically categorized as locally advanced), concurrent chemoradiotherapy is the standard treatment (e.g., </w:t>
            </w:r>
            <w:r w:rsidRPr="00CB2EC4">
              <w:rPr>
                <w:rFonts w:ascii="Times New Roman" w:hAnsi="Times New Roman" w:cs="Times New Roman"/>
              </w:rPr>
              <w:lastRenderedPageBreak/>
              <w:t>"For the treatment of locally advanced cervical cancer, guidelines recommend concurrent chemoradiotherapy as the first choice"). Additionally, the document notes that patients with IIIC stage have poorer prognosis, but concurrent chemoradiotherapy effectively reduces the risk of recurrence.</w:t>
            </w:r>
            <w:r w:rsidRPr="00CB2EC4">
              <w:rPr>
                <w:rFonts w:ascii="Times New Roman" w:hAnsi="Times New Roman" w:cs="Times New Roman"/>
              </w:rPr>
              <w:br/>
              <w:t xml:space="preserve">  - Additional note: If patients have specific factors (e.g., young age, need to preserve ovarian function), individualized adjustments may be necessary, but the document does not provide specific surgical options for IIIC1 stage. Concurrent chemoradiotherapy remains the core recommendation.</w:t>
            </w:r>
          </w:p>
        </w:tc>
        <w:tc>
          <w:tcPr>
            <w:tcW w:w="1152" w:type="dxa"/>
            <w:vAlign w:val="center"/>
          </w:tcPr>
          <w:p w14:paraId="6D98BB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76CBF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20A72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FDB04AB" w14:textId="77777777">
        <w:tc>
          <w:tcPr>
            <w:tcW w:w="2160" w:type="dxa"/>
            <w:vAlign w:val="center"/>
          </w:tcPr>
          <w:p w14:paraId="5CA019D4"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50BB655"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staging is IIIC1, the following treatment measures should be adopted:</w:t>
            </w:r>
            <w:r w:rsidRPr="00CB2EC4">
              <w:rPr>
                <w:rFonts w:ascii="Times New Roman" w:hAnsi="Times New Roman" w:cs="Times New Roman"/>
              </w:rPr>
              <w:br/>
            </w:r>
            <w:r w:rsidRPr="00CB2EC4">
              <w:rPr>
                <w:rFonts w:ascii="Times New Roman" w:hAnsi="Times New Roman" w:cs="Times New Roman"/>
              </w:rPr>
              <w:br/>
              <w:t>- IIIC1 stage refers to locally advanced cervical cancer involving only pelvic lymph nodes (FIGO 2018 staging).</w:t>
            </w:r>
            <w:r w:rsidRPr="00CB2EC4">
              <w:rPr>
                <w:rFonts w:ascii="Times New Roman" w:hAnsi="Times New Roman" w:cs="Times New Roman"/>
              </w:rPr>
              <w:br/>
              <w:t>- Level I recommendation: concurrent chemoradiotherapy is the first choice, specifically including: external beam radiotherapy + vaginal brachytherapy ± platinum-based concurrent chemotherapy (such as weekly cisplatin).</w:t>
            </w:r>
            <w:r w:rsidRPr="00CB2EC4">
              <w:rPr>
                <w:rFonts w:ascii="Times New Roman" w:hAnsi="Times New Roman" w:cs="Times New Roman"/>
              </w:rPr>
              <w:br/>
              <w:t>- Rationale: Document fragment 14 states "for the treatment of locally advanced cervical cancer, guidelines recommend concurrent chemoradiotherapy as the first choice"; document fragment 15 emphasizes "IB to IVA stages prefer concurrent chemoradiotherapy", and IIIC1 falls under stage III.</w:t>
            </w:r>
            <w:r w:rsidRPr="00CB2EC4">
              <w:rPr>
                <w:rFonts w:ascii="Times New Roman" w:hAnsi="Times New Roman" w:cs="Times New Roman"/>
              </w:rPr>
              <w:br/>
              <w:t>- Answer found in the knowledge base.</w:t>
            </w:r>
          </w:p>
        </w:tc>
        <w:tc>
          <w:tcPr>
            <w:tcW w:w="1152" w:type="dxa"/>
            <w:vAlign w:val="center"/>
          </w:tcPr>
          <w:p w14:paraId="2D5E85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4619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422D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B1B025" w14:textId="77777777">
        <w:tc>
          <w:tcPr>
            <w:tcW w:w="2160" w:type="dxa"/>
            <w:vAlign w:val="center"/>
          </w:tcPr>
          <w:p w14:paraId="504EEAA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E8D64B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For cervical cancer staged as IIIC1, the recommended treatment is concurrent chemoradiotherapy (i.e., </w:t>
            </w:r>
            <w:r w:rsidRPr="00CB2EC4">
              <w:rPr>
                <w:rFonts w:ascii="Times New Roman" w:hAnsi="Times New Roman" w:cs="Times New Roman"/>
              </w:rPr>
              <w:lastRenderedPageBreak/>
              <w:t xml:space="preserve">external beam radiotherapy combined with vaginal brachytherapy, supplemented by platinum-based concurrent chemotherapy).  </w:t>
            </w:r>
            <w:r w:rsidRPr="00CB2EC4">
              <w:rPr>
                <w:rFonts w:ascii="Times New Roman" w:hAnsi="Times New Roman" w:cs="Times New Roman"/>
              </w:rPr>
              <w:br/>
              <w:t xml:space="preserve">- Basis:  </w:t>
            </w:r>
            <w:r w:rsidRPr="00CB2EC4">
              <w:rPr>
                <w:rFonts w:ascii="Times New Roman" w:hAnsi="Times New Roman" w:cs="Times New Roman"/>
              </w:rPr>
              <w:br/>
              <w:t xml:space="preserve">  - [Similarity: 0.459] The fragment states: "In FIGO staging, these are respectively III C1 and III C2... For locally advanced cervical cancer, guidelines recommend concurrent chemoradiotherapy as the first choice."  </w:t>
            </w:r>
            <w:r w:rsidRPr="00CB2EC4">
              <w:rPr>
                <w:rFonts w:ascii="Times New Roman" w:hAnsi="Times New Roman" w:cs="Times New Roman"/>
              </w:rPr>
              <w:br/>
              <w:t xml:space="preserve">  - [Similarity: 0.553] The fragment indicates: "For cervical cancer from IB to IVA stage, the preferred treatment is concurrent chemoradiotherapy." (IIIC stage falls within the locally advanced category).  </w:t>
            </w:r>
            <w:r w:rsidRPr="00CB2EC4">
              <w:rPr>
                <w:rFonts w:ascii="Times New Roman" w:hAnsi="Times New Roman" w:cs="Times New Roman"/>
              </w:rPr>
              <w:br/>
              <w:t xml:space="preserve">  - [Similarity: 0.486] The fragment adds: "For these patients (including those with lymph node metastasis)... adjuvant pelvic external beam radiotherapy after surgery can reduce local recurrence," but surgery is not the first choice for IIIC1; instead, chemoradiotherapy is initiated directly.  </w:t>
            </w:r>
            <w:r w:rsidRPr="00CB2EC4">
              <w:rPr>
                <w:rFonts w:ascii="Times New Roman" w:hAnsi="Times New Roman" w:cs="Times New Roman"/>
              </w:rPr>
              <w:br/>
              <w:t>Therefore, the standard treatment is concurrent chemoradiotherapy.</w:t>
            </w:r>
          </w:p>
        </w:tc>
        <w:tc>
          <w:tcPr>
            <w:tcW w:w="1152" w:type="dxa"/>
            <w:vAlign w:val="center"/>
          </w:tcPr>
          <w:p w14:paraId="115E46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B544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21B8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842D09" w14:textId="77777777">
        <w:tc>
          <w:tcPr>
            <w:tcW w:w="2160" w:type="dxa"/>
            <w:vAlign w:val="center"/>
          </w:tcPr>
          <w:p w14:paraId="78BF5ABF"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0095363"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IIIC1, the following treatment measures should be adopted:</w:t>
            </w:r>
            <w:r w:rsidRPr="00CB2EC4">
              <w:rPr>
                <w:rFonts w:ascii="Times New Roman" w:hAnsi="Times New Roman" w:cs="Times New Roman"/>
              </w:rPr>
              <w:br/>
            </w:r>
            <w:r w:rsidRPr="00CB2EC4">
              <w:rPr>
                <w:rFonts w:ascii="Times New Roman" w:hAnsi="Times New Roman" w:cs="Times New Roman"/>
              </w:rPr>
              <w:br/>
              <w:t>- **Category 1 Recommendation**: Pelvic external beam radiotherapy (EBRT) ± para-aortic external beam radiotherapy + brachytherapy + concurrent platinum-based chemotherapy (based on document fragment 18: "IIIC1 staging: imaging examination, Category 1 recommendation: pelvic ± para-aortic EBRT + brachytherapy + concurrent platinum-based chemotherapy").</w:t>
            </w:r>
            <w:r w:rsidRPr="00CB2EC4">
              <w:rPr>
                <w:rFonts w:ascii="Times New Roman" w:hAnsi="Times New Roman" w:cs="Times New Roman"/>
              </w:rPr>
              <w:br/>
              <w:t>- **Category 2 Recommendation**: Pelvic ± para-</w:t>
            </w:r>
            <w:r w:rsidRPr="00CB2EC4">
              <w:rPr>
                <w:rFonts w:ascii="Times New Roman" w:hAnsi="Times New Roman" w:cs="Times New Roman"/>
              </w:rPr>
              <w:lastRenderedPageBreak/>
              <w:t>aortic external beam radiotherapy + brachytherapy (as an alternative if the patient cannot tolerate chemotherapy).</w:t>
            </w:r>
            <w:r w:rsidRPr="00CB2EC4">
              <w:rPr>
                <w:rFonts w:ascii="Times New Roman" w:hAnsi="Times New Roman" w:cs="Times New Roman"/>
              </w:rPr>
              <w:br/>
            </w:r>
            <w:r w:rsidRPr="00CB2EC4">
              <w:rPr>
                <w:rFonts w:ascii="Times New Roman" w:hAnsi="Times New Roman" w:cs="Times New Roman"/>
              </w:rPr>
              <w:br/>
              <w:t>Rationale: Document fragment 18 clearly states that the preferred treatment for stage IIIC1 is concurrent chemoradiotherapy, with the radiotherapy field covering the pelvis and considering inclusion of the para-aortic region based on lymph node status.</w:t>
            </w:r>
          </w:p>
        </w:tc>
        <w:tc>
          <w:tcPr>
            <w:tcW w:w="1152" w:type="dxa"/>
            <w:vAlign w:val="center"/>
          </w:tcPr>
          <w:p w14:paraId="60D0DC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7A7E4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FCBA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3C3B78" w14:textId="77777777">
        <w:tc>
          <w:tcPr>
            <w:tcW w:w="2160" w:type="dxa"/>
            <w:vAlign w:val="center"/>
          </w:tcPr>
          <w:p w14:paraId="39C07EE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8D1F69B"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stage is IIIC1, the recommended treatment measure is concurrent chemoradiotherapy (i.e., synchronous chemoradiation).</w:t>
            </w:r>
            <w:r w:rsidRPr="00CB2EC4">
              <w:rPr>
                <w:rFonts w:ascii="Times New Roman" w:hAnsi="Times New Roman" w:cs="Times New Roman"/>
              </w:rPr>
              <w:br/>
            </w:r>
            <w:r w:rsidRPr="00CB2EC4">
              <w:rPr>
                <w:rFonts w:ascii="Times New Roman" w:hAnsi="Times New Roman" w:cs="Times New Roman"/>
              </w:rPr>
              <w:br/>
              <w:t>according to the context information (segment 2, table 4, and discussion section), IIIC1 stage falls under stage III (defined as pelvic lymph node metastasis, confirmed by imaging or pathology). the FIGO 2018 guidelines recommend that for stage III cervical cancer (including IIIC1), the preferred treatment is concurrent chemoradiotherapy. this is because stage III is considered locally advanced cervical cancer, where surgery is not the first choice, and concurrent chemoradiotherapy effectively controls the disease and reduces the risk of recurrence. the context explicitly states: “stage III FIGO 2018 non-fertility-sparing: concurrent chemoradiotherapy” (segment 2). therefore, the treatment measure should be concurrent chemoradiotherapy.</w:t>
            </w:r>
          </w:p>
        </w:tc>
        <w:tc>
          <w:tcPr>
            <w:tcW w:w="1152" w:type="dxa"/>
            <w:vAlign w:val="center"/>
          </w:tcPr>
          <w:p w14:paraId="19EE6E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B02B4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1D1E4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02C3FB6" w14:textId="77777777">
        <w:tc>
          <w:tcPr>
            <w:tcW w:w="2160" w:type="dxa"/>
            <w:vAlign w:val="center"/>
          </w:tcPr>
          <w:p w14:paraId="3DC23BA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F77D720"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IIIC1, the following treatment measures should be adopted:</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Recommended: concurrent chemoradiotherapy (CCRT).  </w:t>
            </w:r>
            <w:r w:rsidRPr="00CB2EC4">
              <w:rPr>
                <w:rFonts w:ascii="Times New Roman" w:hAnsi="Times New Roman" w:cs="Times New Roman"/>
              </w:rPr>
              <w:br/>
              <w:t xml:space="preserve">IIIC1 stage is defined as positive pelvic lymph node metastasis without distant metastasis.  </w:t>
            </w:r>
            <w:r w:rsidRPr="00CB2EC4">
              <w:rPr>
                <w:rFonts w:ascii="Times New Roman" w:hAnsi="Times New Roman" w:cs="Times New Roman"/>
              </w:rPr>
              <w:br/>
              <w:t xml:space="preserve">Treatment consists primarily of radical radiotherapy (including whole pelvic external beam radiotherapy and brachytherapy) combined with platinum-based chemotherapy (e.g., weekly cisplatin).  </w:t>
            </w:r>
            <w:r w:rsidRPr="00CB2EC4">
              <w:rPr>
                <w:rFonts w:ascii="Times New Roman" w:hAnsi="Times New Roman" w:cs="Times New Roman"/>
              </w:rPr>
              <w:br/>
              <w:t>This recommendation is based on the standard management of locally advanced cervical cancer, aiming to control local lesions and lymph node metastases.</w:t>
            </w:r>
          </w:p>
        </w:tc>
        <w:tc>
          <w:tcPr>
            <w:tcW w:w="1152" w:type="dxa"/>
            <w:vAlign w:val="center"/>
          </w:tcPr>
          <w:p w14:paraId="1384D5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0BA2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5468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540383" w14:textId="77777777">
        <w:tc>
          <w:tcPr>
            <w:tcW w:w="10656" w:type="dxa"/>
            <w:gridSpan w:val="5"/>
            <w:tcBorders>
              <w:bottom w:val="single" w:sz="6" w:space="0" w:color="auto"/>
            </w:tcBorders>
            <w:vAlign w:val="center"/>
          </w:tcPr>
          <w:p w14:paraId="4C951503" w14:textId="77777777" w:rsidR="00922249" w:rsidRPr="00CB2EC4" w:rsidRDefault="003011D5">
            <w:pPr>
              <w:rPr>
                <w:rFonts w:ascii="Times New Roman" w:hAnsi="Times New Roman" w:cs="Times New Roman"/>
              </w:rPr>
            </w:pPr>
            <w:r w:rsidRPr="00CB2EC4">
              <w:rPr>
                <w:rFonts w:ascii="Times New Roman" w:hAnsi="Times New Roman" w:cs="Times New Roman"/>
                <w:b/>
              </w:rPr>
              <w:t>Question 62: In cervical cancer treatment, if the stage is ⅢC2, what treatment measures should be taken?</w:t>
            </w:r>
          </w:p>
        </w:tc>
      </w:tr>
      <w:tr w:rsidR="00922249" w:rsidRPr="00CB2EC4" w14:paraId="7F54D0F8" w14:textId="77777777">
        <w:tc>
          <w:tcPr>
            <w:tcW w:w="2160" w:type="dxa"/>
            <w:vAlign w:val="center"/>
          </w:tcPr>
          <w:p w14:paraId="48176FE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62C3340"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staging is IIIC2, the following treatment measures should be taken:</w:t>
            </w:r>
            <w:r w:rsidRPr="00CB2EC4">
              <w:rPr>
                <w:rFonts w:ascii="Times New Roman" w:hAnsi="Times New Roman" w:cs="Times New Roman"/>
              </w:rPr>
              <w:br/>
            </w:r>
            <w:r w:rsidRPr="00CB2EC4">
              <w:rPr>
                <w:rFonts w:ascii="Times New Roman" w:hAnsi="Times New Roman" w:cs="Times New Roman"/>
              </w:rPr>
              <w:br/>
              <w:t>response: IIIC2 stage (with para-aortic lymph node metastasis) also belongs to stage III cervical cancer. The preferred treatment is concurrent chemoradiotherapy (CCRT). The document emphasizes that for stage III cervical cancer, regardless of lymph node metastasis location (pelvic or para-aortic), concurrent chemoradiotherapy is recommended as the standard treatment, because lymph node metastasis carries a poor prognosis and chemoradiotherapy can improve survival rates (source: similarity 0.460, range 5-7; similarity 0.485, range 9-11).</w:t>
            </w:r>
            <w:r w:rsidRPr="00CB2EC4">
              <w:rPr>
                <w:rFonts w:ascii="Times New Roman" w:hAnsi="Times New Roman" w:cs="Times New Roman"/>
              </w:rPr>
              <w:br/>
              <w:t>- key contextual references:</w:t>
            </w:r>
            <w:r w:rsidRPr="00CB2EC4">
              <w:rPr>
                <w:rFonts w:ascii="Times New Roman" w:hAnsi="Times New Roman" w:cs="Times New Roman"/>
              </w:rPr>
              <w:br/>
              <w:t xml:space="preserve">  - "Stage III FIGO 2018 non-fertility-sparing: concurrent chemoradiotherapy" (similarity 0.460, range 5-7).</w:t>
            </w:r>
            <w:r w:rsidRPr="00CB2EC4">
              <w:rPr>
                <w:rFonts w:ascii="Times New Roman" w:hAnsi="Times New Roman" w:cs="Times New Roman"/>
              </w:rPr>
              <w:br/>
              <w:t xml:space="preserve">  - "Pelvic lymph node positive is stage IIIC1; </w:t>
            </w:r>
            <w:r w:rsidRPr="00CB2EC4">
              <w:rPr>
                <w:rFonts w:ascii="Times New Roman" w:hAnsi="Times New Roman" w:cs="Times New Roman"/>
              </w:rPr>
              <w:lastRenderedPageBreak/>
              <w:t>involvement of para-aortic lymph nodes is stage IIIC2... the preferred treatment method is concurrent chemoradiotherapy" (similarity 0.460, range 5-7).</w:t>
            </w:r>
            <w:r w:rsidRPr="00CB2EC4">
              <w:rPr>
                <w:rFonts w:ascii="Times New Roman" w:hAnsi="Times New Roman" w:cs="Times New Roman"/>
              </w:rPr>
              <w:br/>
              <w:t>- additional note: the document does not provide special treatment adjustments for IIIC2 stage; it is consistent with IIIC1 stage, and concurrent chemoradiotherapy is recommended.</w:t>
            </w:r>
          </w:p>
        </w:tc>
        <w:tc>
          <w:tcPr>
            <w:tcW w:w="1152" w:type="dxa"/>
            <w:vAlign w:val="center"/>
          </w:tcPr>
          <w:p w14:paraId="28B70B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1469A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9947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63E832" w14:textId="77777777">
        <w:tc>
          <w:tcPr>
            <w:tcW w:w="2160" w:type="dxa"/>
            <w:vAlign w:val="center"/>
          </w:tcPr>
          <w:p w14:paraId="73E1ADC8"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3D4BCE1"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stage is IIIC2, the following treatment measures should be taken:</w:t>
            </w:r>
            <w:r w:rsidRPr="00CB2EC4">
              <w:rPr>
                <w:rFonts w:ascii="Times New Roman" w:hAnsi="Times New Roman" w:cs="Times New Roman"/>
              </w:rPr>
              <w:br/>
            </w:r>
            <w:r w:rsidRPr="00CB2EC4">
              <w:rPr>
                <w:rFonts w:ascii="Times New Roman" w:hAnsi="Times New Roman" w:cs="Times New Roman"/>
              </w:rPr>
              <w:br/>
              <w:t>IIIC2 stage is defined as para-aortic lymph node metastasis (regardless of tumor size and local extent). IIIC2 stage also falls under stage III, and the recommended treatment is concurrent chemoradiotherapy, but extended-field radiotherapy may be needed to cover the para-aortic region.</w:t>
            </w:r>
            <w:r w:rsidRPr="00CB2EC4">
              <w:rPr>
                <w:rFonts w:ascii="Times New Roman" w:hAnsi="Times New Roman" w:cs="Times New Roman"/>
              </w:rPr>
              <w:br/>
              <w:t>- Basis:</w:t>
            </w:r>
            <w:r w:rsidRPr="00CB2EC4">
              <w:rPr>
                <w:rFonts w:ascii="Times New Roman" w:hAnsi="Times New Roman" w:cs="Times New Roman"/>
              </w:rPr>
              <w:br/>
              <w:t xml:space="preserve">  - Document fragment 26 (block ID 22, block topic "Cervical Cancer Staging Treatment Plan") table shows: Stage III (including IIIC2) FIGO 2018 recommendation is "concurrent chemoradiotherapy".</w:t>
            </w:r>
            <w:r w:rsidRPr="00CB2EC4">
              <w:rPr>
                <w:rFonts w:ascii="Times New Roman" w:hAnsi="Times New Roman" w:cs="Times New Roman"/>
              </w:rPr>
              <w:br/>
              <w:t xml:space="preserve">  - Document fragment 8 (block ID 7, block topic "Cervical Cancer Lymph Node Metastasis Staging") states: para-aortic lymph node metastasis is classified as IIIC2 stage with poorer prognosis, but treatment is not specified separately and follows general stage III principles.</w:t>
            </w:r>
            <w:r w:rsidRPr="00CB2EC4">
              <w:rPr>
                <w:rFonts w:ascii="Times New Roman" w:hAnsi="Times New Roman" w:cs="Times New Roman"/>
              </w:rPr>
              <w:br/>
              <w:t xml:space="preserve">  - Document fragment 23 (block ID 544, block topic "Cervical Cancer Lymph Node Metastasis Research") indicates: for para-aortic lymph node metastasis, extended-field radiotherapy (covering pelvic and para-aortic regions) combined with concurrent chemotherapy may be used to improve control rates.</w:t>
            </w:r>
            <w:r w:rsidRPr="00CB2EC4">
              <w:rPr>
                <w:rFonts w:ascii="Times New Roman" w:hAnsi="Times New Roman" w:cs="Times New Roman"/>
              </w:rPr>
              <w:br/>
            </w:r>
            <w:r w:rsidRPr="00CB2EC4">
              <w:rPr>
                <w:rFonts w:ascii="Times New Roman" w:hAnsi="Times New Roman" w:cs="Times New Roman"/>
              </w:rPr>
              <w:lastRenderedPageBreak/>
              <w:t>- Recommended treatment: preferred concurrent chemoradiotherapy, with the radiotherapy field extended to the para-aortic region (extended-field radiotherapy), supplemented by platinum-based concurrent chemotherapy (e.g., cisplatin). The document does not specify differences from IIIC1 stage but emphasizes that the radiotherapy field should be adjusted according to lymph node location.</w:t>
            </w:r>
          </w:p>
        </w:tc>
        <w:tc>
          <w:tcPr>
            <w:tcW w:w="1152" w:type="dxa"/>
            <w:vAlign w:val="center"/>
          </w:tcPr>
          <w:p w14:paraId="035EDA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8FFCD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86BE6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B0C453B" w14:textId="77777777">
        <w:tc>
          <w:tcPr>
            <w:tcW w:w="2160" w:type="dxa"/>
            <w:vAlign w:val="center"/>
          </w:tcPr>
          <w:p w14:paraId="79CF773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71E5E64"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stage is IIIC2 (defined as para-aortic lymph node metastasis based on documents 7, 8, and 20), the recommended treatment measures are:</w:t>
            </w:r>
            <w:r w:rsidRPr="00CB2EC4">
              <w:rPr>
                <w:rFonts w:ascii="Times New Roman" w:hAnsi="Times New Roman" w:cs="Times New Roman"/>
              </w:rPr>
              <w:br/>
            </w:r>
            <w:r w:rsidRPr="00CB2EC4">
              <w:rPr>
                <w:rFonts w:ascii="Times New Roman" w:hAnsi="Times New Roman" w:cs="Times New Roman"/>
              </w:rPr>
              <w:br/>
              <w:t>- Level I recommendation: Extended-field radiotherapy (EFRT) + platinum-based concurrent chemotherapy ± brachytherapy.</w:t>
            </w:r>
            <w:r w:rsidRPr="00CB2EC4">
              <w:rPr>
                <w:rFonts w:ascii="Times New Roman" w:hAnsi="Times New Roman" w:cs="Times New Roman"/>
              </w:rPr>
              <w:br/>
            </w:r>
            <w:r w:rsidRPr="00CB2EC4">
              <w:rPr>
                <w:rFonts w:ascii="Times New Roman" w:hAnsi="Times New Roman" w:cs="Times New Roman"/>
              </w:rPr>
              <w:br/>
              <w:t>Document 16 (relevance: 0.600) supports this regimen, stating that for patients with para-aortic lymph node metastasis, "extended-field radiotherapy to the pelvis and para-aortic region" combined with chemotherapy (e.g., paclitaxel + cisplatin) is used. Document 4 (relevance: 0.900) also indicates that when para-aortic lymph nodes are involved, EFRT combined with concurrent chemotherapy is appropriate to improve survival.</w:t>
            </w:r>
            <w:r w:rsidRPr="00CB2EC4">
              <w:rPr>
                <w:rFonts w:ascii="Times New Roman" w:hAnsi="Times New Roman" w:cs="Times New Roman"/>
              </w:rPr>
              <w:br/>
            </w:r>
            <w:r w:rsidRPr="00CB2EC4">
              <w:rPr>
                <w:rFonts w:ascii="Times New Roman" w:hAnsi="Times New Roman" w:cs="Times New Roman"/>
              </w:rPr>
              <w:br/>
              <w:t>Summary: The preferred treatment is extended-field radiotherapy combined with platinum-based concurrent chemotherapy, with brachytherapy added as appropriate.</w:t>
            </w:r>
          </w:p>
        </w:tc>
        <w:tc>
          <w:tcPr>
            <w:tcW w:w="1152" w:type="dxa"/>
            <w:vAlign w:val="center"/>
          </w:tcPr>
          <w:p w14:paraId="5317E6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EA75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9981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F1C2EE" w14:textId="77777777">
        <w:tc>
          <w:tcPr>
            <w:tcW w:w="2160" w:type="dxa"/>
            <w:vAlign w:val="center"/>
          </w:tcPr>
          <w:p w14:paraId="30C8D30F"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355AC22" w14:textId="77777777" w:rsidR="00922249" w:rsidRPr="00CB2EC4" w:rsidRDefault="003011D5">
            <w:pPr>
              <w:rPr>
                <w:rFonts w:ascii="Times New Roman" w:hAnsi="Times New Roman" w:cs="Times New Roman"/>
              </w:rPr>
            </w:pPr>
            <w:r w:rsidRPr="00CB2EC4">
              <w:rPr>
                <w:rFonts w:ascii="Times New Roman" w:hAnsi="Times New Roman" w:cs="Times New Roman"/>
              </w:rPr>
              <w:t>IIIC2 stage cervical cancer treatment</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Knowledge base document:  </w:t>
            </w:r>
            <w:r w:rsidRPr="00CB2EC4">
              <w:rPr>
                <w:rFonts w:ascii="Times New Roman" w:hAnsi="Times New Roman" w:cs="Times New Roman"/>
              </w:rPr>
              <w:br/>
              <w:t xml:space="preserve">- Para-aortic lymph node metastasis (IIIC2 stage) requires extended-field radiotherapy (covering para-aortic region) + platinum-based concurrent chemotherapy (Document 3, 20)  </w:t>
            </w:r>
            <w:r w:rsidRPr="00CB2EC4">
              <w:rPr>
                <w:rFonts w:ascii="Times New Roman" w:hAnsi="Times New Roman" w:cs="Times New Roman"/>
              </w:rPr>
              <w:br/>
            </w:r>
            <w:r w:rsidRPr="00CB2EC4">
              <w:rPr>
                <w:rFonts w:ascii="Times New Roman" w:hAnsi="Times New Roman" w:cs="Times New Roman"/>
              </w:rPr>
              <w:br/>
              <w:t xml:space="preserve">Web search results:  </w:t>
            </w:r>
            <w:r w:rsidRPr="00CB2EC4">
              <w:rPr>
                <w:rFonts w:ascii="Times New Roman" w:hAnsi="Times New Roman" w:cs="Times New Roman"/>
              </w:rPr>
              <w:br/>
              <w:t xml:space="preserve">- Explicitly recommend extended-field radiotherapy + platinum-based concurrent chemotherapy; if lymph node metastasis is pathologically confirmed, intensified systemic therapy is needed (Source 7, 8)  </w:t>
            </w:r>
            <w:r w:rsidRPr="00CB2EC4">
              <w:rPr>
                <w:rFonts w:ascii="Times New Roman" w:hAnsi="Times New Roman" w:cs="Times New Roman"/>
              </w:rPr>
              <w:br/>
            </w:r>
            <w:r w:rsidRPr="00CB2EC4">
              <w:rPr>
                <w:rFonts w:ascii="Times New Roman" w:hAnsi="Times New Roman" w:cs="Times New Roman"/>
              </w:rPr>
              <w:br/>
              <w:t xml:space="preserve">Integrated recommendation:  </w:t>
            </w:r>
            <w:r w:rsidRPr="00CB2EC4">
              <w:rPr>
                <w:rFonts w:ascii="Times New Roman" w:hAnsi="Times New Roman" w:cs="Times New Roman"/>
              </w:rPr>
              <w:br/>
              <w:t>&gt; Extended-field radiotherapy (pelvis + para-aortic) + platinum-based concurrent chemotherapy. If distant metastasis tendency is present, systemic therapy (e.g., pembrolizumab) should be added.</w:t>
            </w:r>
          </w:p>
        </w:tc>
        <w:tc>
          <w:tcPr>
            <w:tcW w:w="1152" w:type="dxa"/>
            <w:vAlign w:val="center"/>
          </w:tcPr>
          <w:p w14:paraId="28B96B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57E4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E186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47E70D" w14:textId="77777777">
        <w:tc>
          <w:tcPr>
            <w:tcW w:w="2160" w:type="dxa"/>
            <w:vAlign w:val="center"/>
          </w:tcPr>
          <w:p w14:paraId="75CFE38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35986D1"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IIIC2, the following treatment measures should be taken:</w:t>
            </w:r>
            <w:r w:rsidRPr="00CB2EC4">
              <w:rPr>
                <w:rFonts w:ascii="Times New Roman" w:hAnsi="Times New Roman" w:cs="Times New Roman"/>
              </w:rPr>
              <w:br/>
            </w:r>
            <w:r w:rsidRPr="00CB2EC4">
              <w:rPr>
                <w:rFonts w:ascii="Times New Roman" w:hAnsi="Times New Roman" w:cs="Times New Roman"/>
              </w:rPr>
              <w:br/>
              <w:t xml:space="preserve">based on document excerpt 11, the level I recommended treatment regimen for IIIC2 is:  </w:t>
            </w:r>
            <w:r w:rsidRPr="00CB2EC4">
              <w:rPr>
                <w:rFonts w:ascii="Times New Roman" w:hAnsi="Times New Roman" w:cs="Times New Roman"/>
              </w:rPr>
              <w:br/>
              <w:t xml:space="preserve">pelvic + para-aortic EBRT + brachytherapy + concurrent platinum-based chemotherapy.  </w:t>
            </w:r>
            <w:r w:rsidRPr="00CB2EC4">
              <w:rPr>
                <w:rFonts w:ascii="Times New Roman" w:hAnsi="Times New Roman" w:cs="Times New Roman"/>
              </w:rPr>
              <w:br/>
              <w:t xml:space="preserve">- explanation: this regimen is for IIIC2 (para-aortic lymph node metastasis), with the radiotherapy field extended to the para-aortic region (EBRT target volume includes both pelvic and para-aortic areas), and the dose remains the same as above. the document emphasizes that concurrent platinum-based chemotherapy is a necessary adjunct (excerpt 11). excerpt 10 notes that the prognosis for IIIC2 is poor, and this regimen aims to control the risk of distant </w:t>
            </w:r>
            <w:r w:rsidRPr="00CB2EC4">
              <w:rPr>
                <w:rFonts w:ascii="Times New Roman" w:hAnsi="Times New Roman" w:cs="Times New Roman"/>
              </w:rPr>
              <w:lastRenderedPageBreak/>
              <w:t>metastasis; imaging or pathological evidence must be recorded (e.g., III C2r or III C2p), but this does not alter the core treatment.</w:t>
            </w:r>
          </w:p>
        </w:tc>
        <w:tc>
          <w:tcPr>
            <w:tcW w:w="1152" w:type="dxa"/>
            <w:vAlign w:val="center"/>
          </w:tcPr>
          <w:p w14:paraId="5C95DD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C657F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CBBE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BC5241" w14:textId="77777777">
        <w:tc>
          <w:tcPr>
            <w:tcW w:w="2160" w:type="dxa"/>
            <w:vAlign w:val="center"/>
          </w:tcPr>
          <w:p w14:paraId="547792C5"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A46807D"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IIIC2, the following treatment measures should be adopted:</w:t>
            </w:r>
            <w:r w:rsidRPr="00CB2EC4">
              <w:rPr>
                <w:rFonts w:ascii="Times New Roman" w:hAnsi="Times New Roman" w:cs="Times New Roman"/>
              </w:rPr>
              <w:br/>
            </w:r>
            <w:r w:rsidRPr="00CB2EC4">
              <w:rPr>
                <w:rFonts w:ascii="Times New Roman" w:hAnsi="Times New Roman" w:cs="Times New Roman"/>
              </w:rPr>
              <w:br/>
              <w:t>IIIC2 stage cervical cancer is defined as involving para-aortic lymph nodes (with notation of r or p evidence required). The preferred treatment remains concurrent chemoradiation, but extended-field radiotherapy (covering both the pelvis and para-aortic region) combined with platinum-based concurrent chemotherapy may be necessary. Specific regimens include paclitaxel and cisplatin chemotherapy concurrent with extended-field radiotherapy to control nodal metastases and the primary tumor.</w:t>
            </w:r>
            <w:r w:rsidRPr="00CB2EC4">
              <w:rPr>
                <w:rFonts w:ascii="Times New Roman" w:hAnsi="Times New Roman" w:cs="Times New Roman"/>
              </w:rPr>
              <w:br/>
              <w:t>- Based on documents: Document 22 states "for patients with para-aortic lymph node metastasis, extended-field radiotherapy combined with 5-FU and cisplatin chemotherapy is used" (fusion score 0.4493). Documents 8 and 7 emphasize that the first choice for locally advanced cervical cancer (including IIIC stage) is concurrent chemoradiation (document 7 fusion score 0.5589, document 8 fusion score 0.5214).</w:t>
            </w:r>
          </w:p>
        </w:tc>
        <w:tc>
          <w:tcPr>
            <w:tcW w:w="1152" w:type="dxa"/>
            <w:vAlign w:val="center"/>
          </w:tcPr>
          <w:p w14:paraId="4DBBE4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3E7D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6F09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5B0320" w14:textId="77777777">
        <w:tc>
          <w:tcPr>
            <w:tcW w:w="2160" w:type="dxa"/>
            <w:vAlign w:val="center"/>
          </w:tcPr>
          <w:p w14:paraId="3DAC697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A570321"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stage is IIIC2, the recommended treatment measures are extended-field radiotherapy (EFRT) combined with concurrent chemotherapy. Specifically:</w:t>
            </w:r>
            <w:r w:rsidRPr="00CB2EC4">
              <w:rPr>
                <w:rFonts w:ascii="Times New Roman" w:hAnsi="Times New Roman" w:cs="Times New Roman"/>
              </w:rPr>
              <w:br/>
              <w:t>- When para-aortic lymph nodes are involved, EFRT combined with concurrent chemotherapy should be administered. (Source: [HyDE similarity: 0.624] fragment)</w:t>
            </w:r>
            <w:r w:rsidRPr="00CB2EC4">
              <w:rPr>
                <w:rFonts w:ascii="Times New Roman" w:hAnsi="Times New Roman" w:cs="Times New Roman"/>
              </w:rPr>
              <w:br/>
            </w:r>
            <w:r w:rsidRPr="00CB2EC4">
              <w:rPr>
                <w:rFonts w:ascii="Times New Roman" w:hAnsi="Times New Roman" w:cs="Times New Roman"/>
              </w:rPr>
              <w:lastRenderedPageBreak/>
              <w:t>- The treatment includes extended-field radiotherapy (covering the para-aortic region) combined with concurrent platinum-based chemotherapy (e.g., cisplatin) to target lymph node metastases. Intensity-modulated radiotherapy (IMRT) techniques may be used to reduce toxic side effects.</w:t>
            </w:r>
            <w:r w:rsidRPr="00CB2EC4">
              <w:rPr>
                <w:rFonts w:ascii="Times New Roman" w:hAnsi="Times New Roman" w:cs="Times New Roman"/>
              </w:rPr>
              <w:br/>
              <w:t>- Example regimen: extended-field radiotherapy (40–50 Gy) combined with concurrent cisplatin chemotherapy (40 mg/m² weekly).</w:t>
            </w:r>
          </w:p>
        </w:tc>
        <w:tc>
          <w:tcPr>
            <w:tcW w:w="1152" w:type="dxa"/>
            <w:vAlign w:val="center"/>
          </w:tcPr>
          <w:p w14:paraId="171FB6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6BC1C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982F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33B43B" w14:textId="77777777">
        <w:tc>
          <w:tcPr>
            <w:tcW w:w="2160" w:type="dxa"/>
            <w:vAlign w:val="center"/>
          </w:tcPr>
          <w:p w14:paraId="5493A2E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EDDBF01"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stage is IIIC2, the following treatment measures should be taken:</w:t>
            </w:r>
            <w:r w:rsidRPr="00CB2EC4">
              <w:rPr>
                <w:rFonts w:ascii="Times New Roman" w:hAnsi="Times New Roman" w:cs="Times New Roman"/>
              </w:rPr>
              <w:br/>
            </w:r>
            <w:r w:rsidRPr="00CB2EC4">
              <w:rPr>
                <w:rFonts w:ascii="Times New Roman" w:hAnsi="Times New Roman" w:cs="Times New Roman"/>
              </w:rPr>
              <w:br/>
              <w:t>According to Document Fragment 9 (similarity: 0.595), stage IIIC2 cervical cancer (with para-aortic lymph node metastasis) also falls within the III stage category and is included in the "IB to IVA" range. Document Fragment 9 explicitly states that the preferred treatment for this range is concurrent chemoradiotherapy. Document Fragment 5 (similarity: 0.618) and Fragment 8 (similarity: 0.610) define stage IIIC2 but do not specify a separate treatment; the treatment principle is consistent with that of stage IIIC1, as both belong to advanced stages with lymph node metastasis, and concurrent chemoradiotherapy is preferred. Document Fragment 23 (similarity: 0.364) further emphasizes that for locally advanced cervical cancer (including stage III), concurrent chemoradiotherapy is the standard regimen.</w:t>
            </w:r>
            <w:r w:rsidRPr="00CB2EC4">
              <w:rPr>
                <w:rFonts w:ascii="Times New Roman" w:hAnsi="Times New Roman" w:cs="Times New Roman"/>
              </w:rPr>
              <w:br/>
            </w:r>
            <w:r w:rsidRPr="00CB2EC4">
              <w:rPr>
                <w:rFonts w:ascii="Times New Roman" w:hAnsi="Times New Roman" w:cs="Times New Roman"/>
              </w:rPr>
              <w:br/>
              <w:t xml:space="preserve">Treatment measures:  </w:t>
            </w:r>
            <w:r w:rsidRPr="00CB2EC4">
              <w:rPr>
                <w:rFonts w:ascii="Times New Roman" w:hAnsi="Times New Roman" w:cs="Times New Roman"/>
              </w:rPr>
              <w:br/>
              <w:t>→ Preferred: Concurrent chemoradiotherapy (external beam radiotherapy + vaginal brachytherapy ± platinum-based concurrent chemotherapy).</w:t>
            </w:r>
          </w:p>
        </w:tc>
        <w:tc>
          <w:tcPr>
            <w:tcW w:w="1152" w:type="dxa"/>
            <w:vAlign w:val="center"/>
          </w:tcPr>
          <w:p w14:paraId="5BF554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DBB0C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BE62C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BCF64D2" w14:textId="77777777">
        <w:tc>
          <w:tcPr>
            <w:tcW w:w="2160" w:type="dxa"/>
            <w:vAlign w:val="center"/>
          </w:tcPr>
          <w:p w14:paraId="4295EAF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0C62D92D"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stage is IIIC2, the following treatment measures should be taken:</w:t>
            </w:r>
            <w:r w:rsidRPr="00CB2EC4">
              <w:rPr>
                <w:rFonts w:ascii="Times New Roman" w:hAnsi="Times New Roman" w:cs="Times New Roman"/>
              </w:rPr>
              <w:br/>
            </w:r>
            <w:r w:rsidRPr="00CB2EC4">
              <w:rPr>
                <w:rFonts w:ascii="Times New Roman" w:hAnsi="Times New Roman" w:cs="Times New Roman"/>
              </w:rPr>
              <w:br/>
              <w:t>Response: Stage IIIC2 indicates cervical cancer with involvement of para-aortic lymph nodes (based on imaging or pathological evidence). The document states that IIIC2 involves more extensive lymph node metastasis and has a poorer prognosis, but the treatment principle is similar to that of IIIC1, with concurrent chemoradiotherapy as the preferred option:</w:t>
            </w:r>
            <w:r w:rsidRPr="00CB2EC4">
              <w:rPr>
                <w:rFonts w:ascii="Times New Roman" w:hAnsi="Times New Roman" w:cs="Times New Roman"/>
              </w:rPr>
              <w:br/>
              <w:t xml:space="preserve">  - Preferred treatment: Radical radiotherapy (including external beam radiotherapy + vaginal brachytherapy) ± platinum-based concurrent chemotherapy.</w:t>
            </w:r>
            <w:r w:rsidRPr="00CB2EC4">
              <w:rPr>
                <w:rFonts w:ascii="Times New Roman" w:hAnsi="Times New Roman" w:cs="Times New Roman"/>
              </w:rPr>
              <w:br/>
              <w:t xml:space="preserve">  - Basis: The document explicitly states "para-aortic lymph node involvement defines stage IIIC2" and notes that "for locally advanced cervical cancer, guidelines recommend concurrent chemoradiotherapy as the first choice." It also emphasizes that for patients with lymph node metastasis (including IIIC2), radiotherapy must cover the pelvic and para-aortic regions to control nodal disease.</w:t>
            </w:r>
            <w:r w:rsidRPr="00CB2EC4">
              <w:rPr>
                <w:rFonts w:ascii="Times New Roman" w:hAnsi="Times New Roman" w:cs="Times New Roman"/>
              </w:rPr>
              <w:br/>
              <w:t xml:space="preserve">  - Additional note: The document does not specify a surgical approach for IIIC2, but mentions that in certain situations (e.g., lack of radiotherapy resources), neoadjuvant chemotherapy followed by surgery may be considered, though this is not the preferred option (e.g., "in areas lacking radiotherapy equipment, neoadjuvant chemotherapy followed by surgery may be used for patients with large local tumors"). The first choice remains concurrent chemoradiotherapy.</w:t>
            </w:r>
          </w:p>
        </w:tc>
        <w:tc>
          <w:tcPr>
            <w:tcW w:w="1152" w:type="dxa"/>
            <w:vAlign w:val="center"/>
          </w:tcPr>
          <w:p w14:paraId="47323A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FF53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2F83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3F8086" w14:textId="77777777">
        <w:tc>
          <w:tcPr>
            <w:tcW w:w="2160" w:type="dxa"/>
            <w:vAlign w:val="center"/>
          </w:tcPr>
          <w:p w14:paraId="4E5BA48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CC4B461"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staging is IIIC2, the following treatment measures should be taken:</w:t>
            </w:r>
            <w:r w:rsidRPr="00CB2EC4">
              <w:rPr>
                <w:rFonts w:ascii="Times New Roman" w:hAnsi="Times New Roman" w:cs="Times New Roman"/>
              </w:rPr>
              <w:br/>
            </w:r>
            <w:r w:rsidRPr="00CB2EC4">
              <w:rPr>
                <w:rFonts w:ascii="Times New Roman" w:hAnsi="Times New Roman" w:cs="Times New Roman"/>
              </w:rPr>
              <w:lastRenderedPageBreak/>
              <w:br/>
              <w:t>- IIIC2 stage refers to locally advanced cervical cancer with para-aortic lymph node metastasis (FIGO 2018 staging).</w:t>
            </w:r>
            <w:r w:rsidRPr="00CB2EC4">
              <w:rPr>
                <w:rFonts w:ascii="Times New Roman" w:hAnsi="Times New Roman" w:cs="Times New Roman"/>
              </w:rPr>
              <w:br/>
              <w:t>- Level I recommendation: concurrent chemoradiotherapy is the first choice, which may include extended-field radiotherapy covering the para-aortic region ± platinum-based concurrent chemotherapy (such as weekly cisplatin).</w:t>
            </w:r>
            <w:r w:rsidRPr="00CB2EC4">
              <w:rPr>
                <w:rFonts w:ascii="Times New Roman" w:hAnsi="Times New Roman" w:cs="Times New Roman"/>
              </w:rPr>
              <w:br/>
              <w:t>- Rationale: Document fragments 14 and 15 indicate that concurrent chemoradiotherapy is preferred for stage III; document fragment 30 states that para-aortic lymph node metastasis can be treated with extended-field radiotherapy combined with chemotherapy to improve control rates.</w:t>
            </w:r>
            <w:r w:rsidRPr="00CB2EC4">
              <w:rPr>
                <w:rFonts w:ascii="Times New Roman" w:hAnsi="Times New Roman" w:cs="Times New Roman"/>
              </w:rPr>
              <w:br/>
              <w:t>- Answer found in the knowledge base.</w:t>
            </w:r>
          </w:p>
        </w:tc>
        <w:tc>
          <w:tcPr>
            <w:tcW w:w="1152" w:type="dxa"/>
            <w:vAlign w:val="center"/>
          </w:tcPr>
          <w:p w14:paraId="1148AA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BB1AD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6C8B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714D74" w14:textId="77777777">
        <w:tc>
          <w:tcPr>
            <w:tcW w:w="2160" w:type="dxa"/>
            <w:vAlign w:val="center"/>
          </w:tcPr>
          <w:p w14:paraId="4C324E39"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0EFCDB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IIIC2 stage cervical cancer refers to involvement of para-aortic lymph nodes (specify based on imaging [r] or pathology [p]). The preferred treatment is concurrent chemoradiation (external beam radiotherapy + vaginal brachytherapy + platinum-based concurrent chemotherapy), with possible extension of the radiation field to the para-aortic region.  </w:t>
            </w:r>
            <w:r w:rsidRPr="00CB2EC4">
              <w:rPr>
                <w:rFonts w:ascii="Times New Roman" w:hAnsi="Times New Roman" w:cs="Times New Roman"/>
              </w:rPr>
              <w:br/>
              <w:t xml:space="preserve">- Basis:  </w:t>
            </w:r>
            <w:r w:rsidRPr="00CB2EC4">
              <w:rPr>
                <w:rFonts w:ascii="Times New Roman" w:hAnsi="Times New Roman" w:cs="Times New Roman"/>
              </w:rPr>
              <w:br/>
              <w:t xml:space="preserve">  - [Similarity: 0.459] Fragment clearly states: "In FIGO staging, these are respectively III C1 and III C2... For locally advanced cervical cancer, guidelines recommend concurrent chemoradiation as the first choice."  </w:t>
            </w:r>
            <w:r w:rsidRPr="00CB2EC4">
              <w:rPr>
                <w:rFonts w:ascii="Times New Roman" w:hAnsi="Times New Roman" w:cs="Times New Roman"/>
              </w:rPr>
              <w:br/>
              <w:t xml:space="preserve">  - [Similarity: 0.460] Fragment mentions: "Para-aortic lymph node metastasis is classified as III C2 stage... Pre-treatment lymph node staging may assist in </w:t>
            </w:r>
            <w:r w:rsidRPr="00CB2EC4">
              <w:rPr>
                <w:rFonts w:ascii="Times New Roman" w:hAnsi="Times New Roman" w:cs="Times New Roman"/>
              </w:rPr>
              <w:lastRenderedPageBreak/>
              <w:t xml:space="preserve">planning, but concurrent chemoradiation remains the first choice."  </w:t>
            </w:r>
            <w:r w:rsidRPr="00CB2EC4">
              <w:rPr>
                <w:rFonts w:ascii="Times New Roman" w:hAnsi="Times New Roman" w:cs="Times New Roman"/>
              </w:rPr>
              <w:br/>
              <w:t xml:space="preserve">  - [Similarity: 0.553] Fragment emphasizes concurrent chemoradiation as the preferred option for IB to IVA stages, applicable to IIIC2.  </w:t>
            </w:r>
            <w:r w:rsidRPr="00CB2EC4">
              <w:rPr>
                <w:rFonts w:ascii="Times New Roman" w:hAnsi="Times New Roman" w:cs="Times New Roman"/>
              </w:rPr>
              <w:br/>
              <w:t xml:space="preserve">  The documents do not mention surgery as the first-line option; thus, concurrent chemoradiation is the standard regimen.</w:t>
            </w:r>
          </w:p>
        </w:tc>
        <w:tc>
          <w:tcPr>
            <w:tcW w:w="1152" w:type="dxa"/>
            <w:vAlign w:val="center"/>
          </w:tcPr>
          <w:p w14:paraId="4AB43D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FA544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4D74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08B15B" w14:textId="77777777">
        <w:tc>
          <w:tcPr>
            <w:tcW w:w="2160" w:type="dxa"/>
            <w:vAlign w:val="center"/>
          </w:tcPr>
          <w:p w14:paraId="45B560A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A4A3E89"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IIIC2, the following treatment measures should be adopted:</w:t>
            </w:r>
            <w:r w:rsidRPr="00CB2EC4">
              <w:rPr>
                <w:rFonts w:ascii="Times New Roman" w:hAnsi="Times New Roman" w:cs="Times New Roman"/>
              </w:rPr>
              <w:br/>
            </w:r>
            <w:r w:rsidRPr="00CB2EC4">
              <w:rPr>
                <w:rFonts w:ascii="Times New Roman" w:hAnsi="Times New Roman" w:cs="Times New Roman"/>
              </w:rPr>
              <w:br/>
              <w:t xml:space="preserve">IIIC2 stage is defined as involving para-aortic lymph nodes (with imaging or pathological evidence required). Recommended treatment measures are as follows:  </w:t>
            </w:r>
            <w:r w:rsidRPr="00CB2EC4">
              <w:rPr>
                <w:rFonts w:ascii="Times New Roman" w:hAnsi="Times New Roman" w:cs="Times New Roman"/>
              </w:rPr>
              <w:br/>
              <w:t xml:space="preserve">- Level I recommendation: Extended-field radiotherapy (including pelvic and para-aortic regions) + brachytherapy + concurrent platinum-based chemotherapy (based on the description in document fragment 18: "IIIC stage recommends pelvic ± para-aortic EBRT + brachytherapy + concurrent platinum-based chemotherapy," combined with the concept of extended-field radiotherapy in document fragment 22).  </w:t>
            </w:r>
            <w:r w:rsidRPr="00CB2EC4">
              <w:rPr>
                <w:rFonts w:ascii="Times New Roman" w:hAnsi="Times New Roman" w:cs="Times New Roman"/>
              </w:rPr>
              <w:br/>
              <w:t>Rationale: IIIC2 stage involves para-aortic lymph node metastasis; document fragments 18 and 22 emphasize that the radiotherapy field must be extended to the para-aortic region and combined with chemotherapy to improve efficacy.</w:t>
            </w:r>
          </w:p>
        </w:tc>
        <w:tc>
          <w:tcPr>
            <w:tcW w:w="1152" w:type="dxa"/>
            <w:vAlign w:val="center"/>
          </w:tcPr>
          <w:p w14:paraId="6D4DF3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27E69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9083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C3D1F7B" w14:textId="77777777">
        <w:tc>
          <w:tcPr>
            <w:tcW w:w="2160" w:type="dxa"/>
            <w:vAlign w:val="center"/>
          </w:tcPr>
          <w:p w14:paraId="1588A7E2"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69D48F1"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stage is IIIC2, the recommended treatment measure is concurrent chemoradiotherapy.</w:t>
            </w:r>
            <w:r w:rsidRPr="00CB2EC4">
              <w:rPr>
                <w:rFonts w:ascii="Times New Roman" w:hAnsi="Times New Roman" w:cs="Times New Roman"/>
              </w:rPr>
              <w:br/>
            </w:r>
            <w:r w:rsidRPr="00CB2EC4">
              <w:rPr>
                <w:rFonts w:ascii="Times New Roman" w:hAnsi="Times New Roman" w:cs="Times New Roman"/>
              </w:rPr>
              <w:lastRenderedPageBreak/>
              <w:br/>
              <w:t>according to the contextual information (section 2, table 4, and discussion), IIIC2 stage is categorized under stage III (defined as para-aortic lymph node metastasis, confirmed by imaging or pathology). the FIGO 2018 guidelines recommend that for stage III cervical cancer (including IIIC2), the primary treatment is concurrent chemoradiotherapy. the context emphasizes: "stage III FIGO 2018 non-fertility-sparing: concurrent chemoradiotherapy" (section 2). although IIIC2 involves para-aortic lymph node metastasis (associated with poorer prognosis), the treatment recommendation remains consistent with the entire stage III category, i.e., concurrent chemoradiotherapy. no special treatment adjustments for IIIC2 are mentioned.</w:t>
            </w:r>
          </w:p>
        </w:tc>
        <w:tc>
          <w:tcPr>
            <w:tcW w:w="1152" w:type="dxa"/>
            <w:vAlign w:val="center"/>
          </w:tcPr>
          <w:p w14:paraId="4B0416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6D0A1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CBEBB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33B917D" w14:textId="77777777">
        <w:tc>
          <w:tcPr>
            <w:tcW w:w="2160" w:type="dxa"/>
            <w:vAlign w:val="center"/>
          </w:tcPr>
          <w:p w14:paraId="4FEDB974"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DF07613"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IIC2, the recommended treatment is concurrent chemoradiotherapy (CCRT), with extension of the radiation field to the para-aortic lymph node region. IIC2 stage is defined as positive para-aortic lymph node metastasis. Treatment includes whole pelvic external beam radiotherapy, para-aortic lymph node irradiation, and brachytherapy, combined with platinum-based chemotherapy (e.g., cisplatin). Image-guided intensity-modulated radiotherapy may be considered when necessary to reduce toxicity.</w:t>
            </w:r>
          </w:p>
        </w:tc>
        <w:tc>
          <w:tcPr>
            <w:tcW w:w="1152" w:type="dxa"/>
            <w:vAlign w:val="center"/>
          </w:tcPr>
          <w:p w14:paraId="3CEE96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FFB1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4F96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45BA00" w14:textId="77777777">
        <w:tc>
          <w:tcPr>
            <w:tcW w:w="10656" w:type="dxa"/>
            <w:gridSpan w:val="5"/>
            <w:tcBorders>
              <w:bottom w:val="single" w:sz="6" w:space="0" w:color="auto"/>
            </w:tcBorders>
            <w:vAlign w:val="center"/>
          </w:tcPr>
          <w:p w14:paraId="7F49476A" w14:textId="77777777" w:rsidR="00922249" w:rsidRPr="00CB2EC4" w:rsidRDefault="003011D5">
            <w:pPr>
              <w:rPr>
                <w:rFonts w:ascii="Times New Roman" w:hAnsi="Times New Roman" w:cs="Times New Roman"/>
              </w:rPr>
            </w:pPr>
            <w:r w:rsidRPr="00CB2EC4">
              <w:rPr>
                <w:rFonts w:ascii="Times New Roman" w:hAnsi="Times New Roman" w:cs="Times New Roman"/>
                <w:b/>
              </w:rPr>
              <w:t>Question 63: In cervical cancer treatment, if the stage is ⅣA without lymph node enlargement, what treatment measures should be taken?</w:t>
            </w:r>
          </w:p>
        </w:tc>
      </w:tr>
      <w:tr w:rsidR="00922249" w:rsidRPr="00CB2EC4" w14:paraId="4A043B42" w14:textId="77777777">
        <w:tc>
          <w:tcPr>
            <w:tcW w:w="2160" w:type="dxa"/>
            <w:vAlign w:val="center"/>
          </w:tcPr>
          <w:p w14:paraId="42FD5BA8"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CB204B7"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for stage IVA without lymph node enlargement, the recommended treatment measures are: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Stage IVA (tumor invades the mucosa of the bladder or rectum, but does not extend beyond the true pelvis): regardless of lymph node status, the primary treatment options are concurrent chemoradiotherapy (CCRT) or pelvic exenteration. The document explicitly states that patients with stage IVA may choose concurrent chemoradiotherapy; for central lesions (e.g., involving bladder/rectum), pelvic exenteration is also an option, especially when the tumor is localized and can be completely resected. The document does not specifically address the absence of lymph node enlargement, but treatment for stage IVA does not depend on lymph node status and is primarily based on local tumor invasion (source: segment with similarity 0.460, range 5-7; segment with similarity 0.485, range 9-11).</w:t>
            </w:r>
            <w:r w:rsidRPr="00CB2EC4">
              <w:rPr>
                <w:rFonts w:ascii="Times New Roman" w:hAnsi="Times New Roman" w:cs="Times New Roman"/>
              </w:rPr>
              <w:br/>
              <w:t>- Key contextual references:</w:t>
            </w:r>
            <w:r w:rsidRPr="00CB2EC4">
              <w:rPr>
                <w:rFonts w:ascii="Times New Roman" w:hAnsi="Times New Roman" w:cs="Times New Roman"/>
              </w:rPr>
              <w:br/>
              <w:t xml:space="preserve">  - "Stage IVA FIGO 2018 (fertility not preserved): concurrent chemoradiotherapy or pelvic exenteration" (similarity 0.460, range 5-7).</w:t>
            </w:r>
            <w:r w:rsidRPr="00CB2EC4">
              <w:rPr>
                <w:rFonts w:ascii="Times New Roman" w:hAnsi="Times New Roman" w:cs="Times New Roman"/>
              </w:rPr>
              <w:br/>
              <w:t xml:space="preserve">  - "Stage IV: tumor invades the bladder mucosa or rectal mucosa...the preferred treatment modality is concurrent chemoradiotherapy" (similarity 0.485, range 9-11).</w:t>
            </w:r>
            <w:r w:rsidRPr="00CB2EC4">
              <w:rPr>
                <w:rFonts w:ascii="Times New Roman" w:hAnsi="Times New Roman" w:cs="Times New Roman"/>
              </w:rPr>
              <w:br/>
              <w:t>- Additional note: The presence or absence of lymph node enlargement does not affect the basic treatment principles for stage IVA, though overall risk is considered during clinical evaluation.</w:t>
            </w:r>
          </w:p>
        </w:tc>
        <w:tc>
          <w:tcPr>
            <w:tcW w:w="1152" w:type="dxa"/>
            <w:vAlign w:val="center"/>
          </w:tcPr>
          <w:p w14:paraId="246B9B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F31A3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E4722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0EA51F8" w14:textId="77777777">
        <w:tc>
          <w:tcPr>
            <w:tcW w:w="2160" w:type="dxa"/>
            <w:vAlign w:val="center"/>
          </w:tcPr>
          <w:p w14:paraId="1F621EE2"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24777A8"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stage is IVA and there is no lymph node enlargement, the following treatment measures should be adopted:</w:t>
            </w:r>
            <w:r w:rsidRPr="00CB2EC4">
              <w:rPr>
                <w:rFonts w:ascii="Times New Roman" w:hAnsi="Times New Roman" w:cs="Times New Roman"/>
              </w:rPr>
              <w:br/>
            </w:r>
            <w:r w:rsidRPr="00CB2EC4">
              <w:rPr>
                <w:rFonts w:ascii="Times New Roman" w:hAnsi="Times New Roman" w:cs="Times New Roman"/>
              </w:rPr>
              <w:br/>
              <w:t xml:space="preserve">IVA stage is defined as tumor invasion into the bladder mucosa or rectal mucosa, but not beyond the </w:t>
            </w:r>
            <w:r w:rsidRPr="00CB2EC4">
              <w:rPr>
                <w:rFonts w:ascii="Times New Roman" w:hAnsi="Times New Roman" w:cs="Times New Roman"/>
              </w:rPr>
              <w:lastRenderedPageBreak/>
              <w:t>true pelvis (no distant metastasis). When there is no lymph node enlargement, treatment is primarily based on radiotherapy or combined chemoradiotherapy, with surgery as a possible option.</w:t>
            </w:r>
            <w:r w:rsidRPr="00CB2EC4">
              <w:rPr>
                <w:rFonts w:ascii="Times New Roman" w:hAnsi="Times New Roman" w:cs="Times New Roman"/>
              </w:rPr>
              <w:br/>
              <w:t>- Basis:</w:t>
            </w:r>
            <w:r w:rsidRPr="00CB2EC4">
              <w:rPr>
                <w:rFonts w:ascii="Times New Roman" w:hAnsi="Times New Roman" w:cs="Times New Roman"/>
              </w:rPr>
              <w:br/>
              <w:t xml:space="preserve">  - Document fragment 3 (block ID 490, block topic "Cervical Cancer Staging and Treatment Principles") clearly states: For IVA stage, radiotherapy is the main treatment, or combined chemotherapy and radiotherapy; for central lesions involving the bladder or rectum, if complete resection is feasible, pelvic exenteration may be chosen.</w:t>
            </w:r>
            <w:r w:rsidRPr="00CB2EC4">
              <w:rPr>
                <w:rFonts w:ascii="Times New Roman" w:hAnsi="Times New Roman" w:cs="Times New Roman"/>
              </w:rPr>
              <w:br/>
              <w:t xml:space="preserve">  - Document fragment 26 (block ID 22, block topic "Cervical Cancer Staging Treatment Plans") shows in the table: IVA stage FIGO 2018 recommendation is "concurrent chemoradiotherapy or pelvic exenteration".</w:t>
            </w:r>
            <w:r w:rsidRPr="00CB2EC4">
              <w:rPr>
                <w:rFonts w:ascii="Times New Roman" w:hAnsi="Times New Roman" w:cs="Times New Roman"/>
              </w:rPr>
              <w:br/>
              <w:t xml:space="preserve">  - Document fragment 5 (block ID 35, block topic "Cervical Cancer Treatment Strategies") indicates: For cervical cancer from IB to IVA stage, the first choice is concurrent chemoradiotherapy.</w:t>
            </w:r>
            <w:r w:rsidRPr="00CB2EC4">
              <w:rPr>
                <w:rFonts w:ascii="Times New Roman" w:hAnsi="Times New Roman" w:cs="Times New Roman"/>
              </w:rPr>
              <w:br/>
              <w:t>- Recommended treatment measures: Concurrent chemoradiotherapy (external beam radiotherapy combined with brachytherapy, supplemented with platinum-based chemotherapy) is the preferred option. If the lesion is localized and resectable, pelvic exenteration (such as pelvic clearance surgery) may be considered. The absence of lymph node enlargement does not affect this basic regimen.</w:t>
            </w:r>
          </w:p>
        </w:tc>
        <w:tc>
          <w:tcPr>
            <w:tcW w:w="1152" w:type="dxa"/>
            <w:vAlign w:val="center"/>
          </w:tcPr>
          <w:p w14:paraId="5AC61A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CEC1D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94681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D29BF7A" w14:textId="77777777">
        <w:tc>
          <w:tcPr>
            <w:tcW w:w="2160" w:type="dxa"/>
            <w:vAlign w:val="center"/>
          </w:tcPr>
          <w:p w14:paraId="68577BC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F351FBE"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stage is IVA and there is no lymph node enlargement, the following treatment measures should be taken:</w:t>
            </w:r>
            <w:r w:rsidRPr="00CB2EC4">
              <w:rPr>
                <w:rFonts w:ascii="Times New Roman" w:hAnsi="Times New Roman" w:cs="Times New Roman"/>
              </w:rPr>
              <w:br/>
            </w:r>
            <w:r w:rsidRPr="00CB2EC4">
              <w:rPr>
                <w:rFonts w:ascii="Times New Roman" w:hAnsi="Times New Roman" w:cs="Times New Roman"/>
              </w:rPr>
              <w:br/>
              <w:t xml:space="preserve">- Recommended treatment: concurrent </w:t>
            </w:r>
            <w:r w:rsidRPr="00CB2EC4">
              <w:rPr>
                <w:rFonts w:ascii="Times New Roman" w:hAnsi="Times New Roman" w:cs="Times New Roman"/>
              </w:rPr>
              <w:lastRenderedPageBreak/>
              <w:t>chemoradiotherapy (CCRT).</w:t>
            </w:r>
            <w:r w:rsidRPr="00CB2EC4">
              <w:rPr>
                <w:rFonts w:ascii="Times New Roman" w:hAnsi="Times New Roman" w:cs="Times New Roman"/>
              </w:rPr>
              <w:br/>
            </w:r>
            <w:r w:rsidRPr="00CB2EC4">
              <w:rPr>
                <w:rFonts w:ascii="Times New Roman" w:hAnsi="Times New Roman" w:cs="Times New Roman"/>
              </w:rPr>
              <w:br/>
              <w:t>According to document fragment 1 (relevance: 0.900), fragment 5 (relevance: 0.800), and fragment 11 (relevance: 0.800), IVA stage cervical cancer (defined as cancer spread to adjacent organs such as bladder or rectal mucosa, T4 any N M0) has a core treatment that does not change based on lymph node status (with or without enlargement):</w:t>
            </w:r>
            <w:r w:rsidRPr="00CB2EC4">
              <w:rPr>
                <w:rFonts w:ascii="Times New Roman" w:hAnsi="Times New Roman" w:cs="Times New Roman"/>
              </w:rPr>
              <w:br/>
              <w:t xml:space="preserve">  - IVA stage FIGO 2018 non-fertility-sparing: concurrent chemoradiotherapy → pelvic exenteration.</w:t>
            </w:r>
            <w:r w:rsidRPr="00CB2EC4">
              <w:rPr>
                <w:rFonts w:ascii="Times New Roman" w:hAnsi="Times New Roman" w:cs="Times New Roman"/>
              </w:rPr>
              <w:br/>
              <w:t xml:space="preserve">  - Fragment 5 states: "For cervical cancer from IB stage to IVA stage, the preferred treatment is concurrent chemoradiotherapy."</w:t>
            </w:r>
            <w:r w:rsidRPr="00CB2EC4">
              <w:rPr>
                <w:rFonts w:ascii="Times New Roman" w:hAnsi="Times New Roman" w:cs="Times New Roman"/>
              </w:rPr>
              <w:br/>
              <w:t xml:space="preserve">  - Fragment 13 (relevance: 0.800) further clarifies that concurrent chemoradiotherapy is the standard regimen for locally advanced cervical cancer, using weekly cisplatin (40mg/m²).</w:t>
            </w:r>
            <w:r w:rsidRPr="00CB2EC4">
              <w:rPr>
                <w:rFonts w:ascii="Times New Roman" w:hAnsi="Times New Roman" w:cs="Times New Roman"/>
              </w:rPr>
              <w:br/>
              <w:t xml:space="preserve">  - Fragment 6 (relevance: 0.800) and fragment 17 (relevance: 0.600) mention pelvic exenteration as an option, but only applicable to central lesions.</w:t>
            </w:r>
            <w:r w:rsidRPr="00CB2EC4">
              <w:rPr>
                <w:rFonts w:ascii="Times New Roman" w:hAnsi="Times New Roman" w:cs="Times New Roman"/>
              </w:rPr>
              <w:br/>
            </w:r>
            <w:r w:rsidRPr="00CB2EC4">
              <w:rPr>
                <w:rFonts w:ascii="Times New Roman" w:hAnsi="Times New Roman" w:cs="Times New Roman"/>
              </w:rPr>
              <w:br/>
              <w:t>Summary: regardless of lymph node status (including no lymph node enlargement), the first-line treatment is concurrent chemoradiotherapy; pelvic exenteration may be considered for specific central lesions (but the documents do not provide additional differentiation for cases without lymph node enlargement).</w:t>
            </w:r>
          </w:p>
        </w:tc>
        <w:tc>
          <w:tcPr>
            <w:tcW w:w="1152" w:type="dxa"/>
            <w:vAlign w:val="center"/>
          </w:tcPr>
          <w:p w14:paraId="340FA5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75395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CA767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4D80D7F" w14:textId="77777777">
        <w:tc>
          <w:tcPr>
            <w:tcW w:w="2160" w:type="dxa"/>
            <w:vAlign w:val="center"/>
          </w:tcPr>
          <w:p w14:paraId="45A3B66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498D29A" w14:textId="77777777" w:rsidR="00922249" w:rsidRPr="00CB2EC4" w:rsidRDefault="003011D5">
            <w:pPr>
              <w:rPr>
                <w:rFonts w:ascii="Times New Roman" w:hAnsi="Times New Roman" w:cs="Times New Roman"/>
              </w:rPr>
            </w:pPr>
            <w:r w:rsidRPr="00CB2EC4">
              <w:rPr>
                <w:rFonts w:ascii="Times New Roman" w:hAnsi="Times New Roman" w:cs="Times New Roman"/>
              </w:rPr>
              <w:t>IVA stage without lymph node enlargement treatment</w:t>
            </w:r>
            <w:r w:rsidRPr="00CB2EC4">
              <w:rPr>
                <w:rFonts w:ascii="Times New Roman" w:hAnsi="Times New Roman" w:cs="Times New Roman"/>
              </w:rPr>
              <w:br/>
            </w:r>
            <w:r w:rsidRPr="00CB2EC4">
              <w:rPr>
                <w:rFonts w:ascii="Times New Roman" w:hAnsi="Times New Roman" w:cs="Times New Roman"/>
              </w:rPr>
              <w:br/>
              <w:t xml:space="preserve">Knowledge base documents:  </w:t>
            </w:r>
            <w:r w:rsidRPr="00CB2EC4">
              <w:rPr>
                <w:rFonts w:ascii="Times New Roman" w:hAnsi="Times New Roman" w:cs="Times New Roman"/>
              </w:rPr>
              <w:br/>
              <w:t xml:space="preserve">- IVA stage preferred radical concurrent chemoradiotherapy (external beam radiotherapy + brachytherapy + platinum-based chemotherapy) </w:t>
            </w:r>
            <w:r w:rsidRPr="00CB2EC4">
              <w:rPr>
                <w:rFonts w:ascii="Times New Roman" w:hAnsi="Times New Roman" w:cs="Times New Roman"/>
              </w:rPr>
              <w:lastRenderedPageBreak/>
              <w:t xml:space="preserve">(Document 1, 7)  </w:t>
            </w:r>
            <w:r w:rsidRPr="00CB2EC4">
              <w:rPr>
                <w:rFonts w:ascii="Times New Roman" w:hAnsi="Times New Roman" w:cs="Times New Roman"/>
              </w:rPr>
              <w:br/>
              <w:t xml:space="preserve">- Avoid surgery in cases with bladder/rectal mucosa invasion (Document 3)  </w:t>
            </w:r>
            <w:r w:rsidRPr="00CB2EC4">
              <w:rPr>
                <w:rFonts w:ascii="Times New Roman" w:hAnsi="Times New Roman" w:cs="Times New Roman"/>
              </w:rPr>
              <w:br/>
            </w:r>
            <w:r w:rsidRPr="00CB2EC4">
              <w:rPr>
                <w:rFonts w:ascii="Times New Roman" w:hAnsi="Times New Roman" w:cs="Times New Roman"/>
              </w:rPr>
              <w:br/>
              <w:t xml:space="preserve">Web search results:  </w:t>
            </w:r>
            <w:r w:rsidRPr="00CB2EC4">
              <w:rPr>
                <w:rFonts w:ascii="Times New Roman" w:hAnsi="Times New Roman" w:cs="Times New Roman"/>
              </w:rPr>
              <w:br/>
              <w:t xml:space="preserve">- Standard regimen is external beam radiotherapy + concurrent platinum-based chemotherapy + brachytherapy (Source 2, 7)  </w:t>
            </w:r>
            <w:r w:rsidRPr="00CB2EC4">
              <w:rPr>
                <w:rFonts w:ascii="Times New Roman" w:hAnsi="Times New Roman" w:cs="Times New Roman"/>
              </w:rPr>
              <w:br/>
            </w:r>
            <w:r w:rsidRPr="00CB2EC4">
              <w:rPr>
                <w:rFonts w:ascii="Times New Roman" w:hAnsi="Times New Roman" w:cs="Times New Roman"/>
              </w:rPr>
              <w:br/>
              <w:t xml:space="preserve">Integrated recommendation:  </w:t>
            </w:r>
            <w:r w:rsidRPr="00CB2EC4">
              <w:rPr>
                <w:rFonts w:ascii="Times New Roman" w:hAnsi="Times New Roman" w:cs="Times New Roman"/>
              </w:rPr>
              <w:br/>
              <w:t>&gt; Concurrent chemoradiotherapy (cisplatin/carboplatin + radiotherapy) combined with brachytherapy, no lymph node dissection required.</w:t>
            </w:r>
          </w:p>
        </w:tc>
        <w:tc>
          <w:tcPr>
            <w:tcW w:w="1152" w:type="dxa"/>
            <w:vAlign w:val="center"/>
          </w:tcPr>
          <w:p w14:paraId="65D421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60BB2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9D03D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BD35E98" w14:textId="77777777">
        <w:tc>
          <w:tcPr>
            <w:tcW w:w="2160" w:type="dxa"/>
            <w:vAlign w:val="center"/>
          </w:tcPr>
          <w:p w14:paraId="0F8A7EBB"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F2C8B3F"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stage is IVA and there is no lymph node enlargement, the recommended treatment measures are:</w:t>
            </w:r>
            <w:r w:rsidRPr="00CB2EC4">
              <w:rPr>
                <w:rFonts w:ascii="Times New Roman" w:hAnsi="Times New Roman" w:cs="Times New Roman"/>
              </w:rPr>
              <w:br/>
            </w:r>
            <w:r w:rsidRPr="00CB2EC4">
              <w:rPr>
                <w:rFonts w:ascii="Times New Roman" w:hAnsi="Times New Roman" w:cs="Times New Roman"/>
              </w:rPr>
              <w:br/>
              <w:t xml:space="preserve">Based on Document Fragment 11, the Level I recommended treatment for IVA stage without lymph node metastasis is:  </w:t>
            </w:r>
            <w:r w:rsidRPr="00CB2EC4">
              <w:rPr>
                <w:rFonts w:ascii="Times New Roman" w:hAnsi="Times New Roman" w:cs="Times New Roman"/>
              </w:rPr>
              <w:br/>
              <w:t xml:space="preserve">Pelvic EBRT + brachytherapy + concurrent platinum-based chemotherapy.  </w:t>
            </w:r>
            <w:r w:rsidRPr="00CB2EC4">
              <w:rPr>
                <w:rFonts w:ascii="Times New Roman" w:hAnsi="Times New Roman" w:cs="Times New Roman"/>
              </w:rPr>
              <w:br/>
              <w:t>- Explanation: This regimen is for IVA stage (tumor invasion into bladder or rectal mucosa) without lymph node involvement. Radiotherapy is primarily pelvic (EBRT target volume covers the invaded sites), combined with brachytherapy and concurrent chemotherapy to enhance local control (Fragment 11). Fragments 7 and 3 further indicate that IVA stage is primarily treated with radiotherapy or chemoradiotherapy; surgery is reserved for highly selective cases (e.g., central recurrence), but Level I recommendation centers on chemoradiotherapy.</w:t>
            </w:r>
          </w:p>
        </w:tc>
        <w:tc>
          <w:tcPr>
            <w:tcW w:w="1152" w:type="dxa"/>
            <w:vAlign w:val="center"/>
          </w:tcPr>
          <w:p w14:paraId="7AE6DC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A176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3A40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F2938A" w14:textId="77777777">
        <w:tc>
          <w:tcPr>
            <w:tcW w:w="2160" w:type="dxa"/>
            <w:vAlign w:val="center"/>
          </w:tcPr>
          <w:p w14:paraId="36E0BA5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6658B21B" w14:textId="77777777" w:rsidR="00922249" w:rsidRPr="00CB2EC4" w:rsidRDefault="003011D5">
            <w:pPr>
              <w:rPr>
                <w:rFonts w:ascii="Times New Roman" w:hAnsi="Times New Roman" w:cs="Times New Roman"/>
              </w:rPr>
            </w:pPr>
            <w:r w:rsidRPr="00CB2EC4">
              <w:rPr>
                <w:rFonts w:ascii="Times New Roman" w:hAnsi="Times New Roman" w:cs="Times New Roman"/>
              </w:rPr>
              <w:t>for stage IVA cervical cancer without lymph node enlargement, the treatment approach is primarily radiotherapy, or combined chemoradiotherapy. specific measures include radical radiotherapy (external beam radiotherapy + vaginal brachytherapy), supplemented by concurrent platinum-based chemotherapy to enhance efficacy. the treatment principle remains uniform regardless of lymph node status.</w:t>
            </w:r>
            <w:r w:rsidRPr="00CB2EC4">
              <w:rPr>
                <w:rFonts w:ascii="Times New Roman" w:hAnsi="Times New Roman" w:cs="Times New Roman"/>
              </w:rPr>
              <w:br/>
              <w:t>- based on document: document 5 explicitly states "stage IV: mainly radiotherapy, or combined chemotherapy and radiotherapy" (fusion score 0.5463). document 1 also notes "for stage IVA cervical cancer, the preferred treatment is concurrent chemoradiotherapy" (fusion score 0.6000). documents 16 and 11 provide the definition of stage IVA but do not refine treatment based on lymph node status.</w:t>
            </w:r>
          </w:p>
        </w:tc>
        <w:tc>
          <w:tcPr>
            <w:tcW w:w="1152" w:type="dxa"/>
            <w:vAlign w:val="center"/>
          </w:tcPr>
          <w:p w14:paraId="73B599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C494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87ED6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BD5F2B" w14:textId="77777777">
        <w:tc>
          <w:tcPr>
            <w:tcW w:w="2160" w:type="dxa"/>
            <w:vAlign w:val="center"/>
          </w:tcPr>
          <w:p w14:paraId="2912E23C"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47DEE1D" w14:textId="77777777" w:rsidR="00922249" w:rsidRPr="00CB2EC4" w:rsidRDefault="003011D5">
            <w:pPr>
              <w:rPr>
                <w:rFonts w:ascii="Times New Roman" w:hAnsi="Times New Roman" w:cs="Times New Roman"/>
              </w:rPr>
            </w:pPr>
            <w:r w:rsidRPr="00CB2EC4">
              <w:rPr>
                <w:rFonts w:ascii="Times New Roman" w:hAnsi="Times New Roman" w:cs="Times New Roman"/>
              </w:rPr>
              <w:t>for stage IVA cervical cancer without lymph node enlargement, the recommended treatment is concurrent chemoradiotherapy. Specifically:</w:t>
            </w:r>
            <w:r w:rsidRPr="00CB2EC4">
              <w:rPr>
                <w:rFonts w:ascii="Times New Roman" w:hAnsi="Times New Roman" w:cs="Times New Roman"/>
              </w:rPr>
              <w:br/>
              <w:t>- For stage IVA cervical cancer (tumor invades bladder and/or rectal mucosa), regardless of lymph node status, concurrent chemoradiotherapy is the preferred first-line treatment.</w:t>
            </w:r>
            <w:r w:rsidRPr="00CB2EC4">
              <w:rPr>
                <w:rFonts w:ascii="Times New Roman" w:hAnsi="Times New Roman" w:cs="Times New Roman"/>
              </w:rPr>
              <w:br/>
              <w:t>- For stage IVA cases without lymph node enlargement, the focus is on local control, recommending radical radiotherapy (external beam radiotherapy + vaginal brachytherapy) combined with concurrent platinum-based chemotherapy.</w:t>
            </w:r>
            <w:r w:rsidRPr="00CB2EC4">
              <w:rPr>
                <w:rFonts w:ascii="Times New Roman" w:hAnsi="Times New Roman" w:cs="Times New Roman"/>
              </w:rPr>
              <w:br/>
              <w:t>- Example regimen: external beam radiotherapy (45–50 Gy) + vaginal brachytherapy (point A dose 70–80 Gy equivalent) with concurrent cisplatin chemotherapy.</w:t>
            </w:r>
          </w:p>
        </w:tc>
        <w:tc>
          <w:tcPr>
            <w:tcW w:w="1152" w:type="dxa"/>
            <w:vAlign w:val="center"/>
          </w:tcPr>
          <w:p w14:paraId="7E24B1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CC2B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C092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23223F" w14:textId="77777777">
        <w:tc>
          <w:tcPr>
            <w:tcW w:w="2160" w:type="dxa"/>
            <w:vAlign w:val="center"/>
          </w:tcPr>
          <w:p w14:paraId="44F8E81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1BEC6A50"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stage is IVA and there is no lymph node enlargement, the recommended treatment measure is:</w:t>
            </w:r>
            <w:r w:rsidRPr="00CB2EC4">
              <w:rPr>
                <w:rFonts w:ascii="Times New Roman" w:hAnsi="Times New Roman" w:cs="Times New Roman"/>
              </w:rPr>
              <w:br/>
            </w:r>
            <w:r w:rsidRPr="00CB2EC4">
              <w:rPr>
                <w:rFonts w:ascii="Times New Roman" w:hAnsi="Times New Roman" w:cs="Times New Roman"/>
              </w:rPr>
              <w:br/>
              <w:t>→ Preferred treatment: concurrent chemoradiotherapy (external beam radiotherapy + vaginal brachytherapy ± platinum-based concurrent chemotherapy).</w:t>
            </w:r>
            <w:r w:rsidRPr="00CB2EC4">
              <w:rPr>
                <w:rFonts w:ascii="Times New Roman" w:hAnsi="Times New Roman" w:cs="Times New Roman"/>
              </w:rPr>
              <w:br/>
            </w:r>
            <w:r w:rsidRPr="00CB2EC4">
              <w:rPr>
                <w:rFonts w:ascii="Times New Roman" w:hAnsi="Times New Roman" w:cs="Times New Roman"/>
              </w:rPr>
              <w:br/>
              <w:t>According to document fragment 9 (similarity: 0.595), stage IVA cervical cancer (tumor invading bladder mucosa or rectal mucosa) is explicitly included in the "IB to IVA" range, for which concurrent chemoradiotherapy is the first-line treatment. Document fragment 5 (similarity: 0.618) defines stage IVA but does not alter treatment recommendations based on lymph node status; document fragment 13 (similarity: 0.567) also indicates that stage IV is primarily treated with radiotherapy or combined chemotherapy, but fragment 9 provides a more specific recommendation: concurrent chemoradiotherapy is the first choice for stage IVA regardless of lymph node status. The absence of lymph node enlargement does not affect this principle.</w:t>
            </w:r>
            <w:r w:rsidRPr="00CB2EC4">
              <w:rPr>
                <w:rFonts w:ascii="Times New Roman" w:hAnsi="Times New Roman" w:cs="Times New Roman"/>
              </w:rPr>
              <w:br/>
            </w:r>
            <w:r w:rsidRPr="00CB2EC4">
              <w:rPr>
                <w:rFonts w:ascii="Times New Roman" w:hAnsi="Times New Roman" w:cs="Times New Roman"/>
              </w:rPr>
              <w:br/>
              <w:t>Treatment measure: preferred concurrent chemoradiotherapy (external beam radiotherapy + vaginal brachytherapy ± platinum-based concurrent chemotherapy).</w:t>
            </w:r>
          </w:p>
        </w:tc>
        <w:tc>
          <w:tcPr>
            <w:tcW w:w="1152" w:type="dxa"/>
            <w:vAlign w:val="center"/>
          </w:tcPr>
          <w:p w14:paraId="57B73C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8A99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F260F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890649" w14:textId="77777777">
        <w:tc>
          <w:tcPr>
            <w:tcW w:w="2160" w:type="dxa"/>
            <w:vAlign w:val="center"/>
          </w:tcPr>
          <w:p w14:paraId="48E5C698"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2008ADD"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stage is IVA and there is no lymph node enlargement, the following treatment measures should be taken:</w:t>
            </w:r>
            <w:r w:rsidRPr="00CB2EC4">
              <w:rPr>
                <w:rFonts w:ascii="Times New Roman" w:hAnsi="Times New Roman" w:cs="Times New Roman"/>
              </w:rPr>
              <w:br/>
            </w:r>
            <w:r w:rsidRPr="00CB2EC4">
              <w:rPr>
                <w:rFonts w:ascii="Times New Roman" w:hAnsi="Times New Roman" w:cs="Times New Roman"/>
              </w:rPr>
              <w:br/>
              <w:t xml:space="preserve">IVA stage indicates tumor invasion into the mucosa of the bladder and/or rectum (but not beyond the true </w:t>
            </w:r>
            <w:r w:rsidRPr="00CB2EC4">
              <w:rPr>
                <w:rFonts w:ascii="Times New Roman" w:hAnsi="Times New Roman" w:cs="Times New Roman"/>
              </w:rPr>
              <w:lastRenderedPageBreak/>
              <w:t>pelvis), with no lymph node enlargement. The document provides clear recommendations for IVA stage treatment, with concurrent chemoradiotherapy as the first choice and possible consideration of surgery:</w:t>
            </w:r>
            <w:r w:rsidRPr="00CB2EC4">
              <w:rPr>
                <w:rFonts w:ascii="Times New Roman" w:hAnsi="Times New Roman" w:cs="Times New Roman"/>
              </w:rPr>
              <w:br/>
              <w:t xml:space="preserve">  - First-line treatment: Radical radiotherapy (including external beam radiotherapy + vaginal brachytherapy) ± concurrent chemotherapy based on platinum.</w:t>
            </w:r>
            <w:r w:rsidRPr="00CB2EC4">
              <w:rPr>
                <w:rFonts w:ascii="Times New Roman" w:hAnsi="Times New Roman" w:cs="Times New Roman"/>
              </w:rPr>
              <w:br/>
              <w:t xml:space="preserve">  - Alternative treatment: If the lesion can be completely resected, pelvic exenteration may be chosen (e.g., "for central lesions involving the bladder and/or rectum, pelvic exenteration may be selected if complete resection is possible").</w:t>
            </w:r>
            <w:r w:rsidRPr="00CB2EC4">
              <w:rPr>
                <w:rFonts w:ascii="Times New Roman" w:hAnsi="Times New Roman" w:cs="Times New Roman"/>
              </w:rPr>
              <w:br/>
              <w:t xml:space="preserve">  - Evidence: The document repeatedly states that "for cervical cancer from IB to IVA stage, concurrent chemoradiotherapy is the preferred treatment." For stage IV, it emphasizes "radiotherapy as the mainstay, or combined chemotherapy and radiotherapy." In the absence of lymph node enlargement, treatment focuses on local control.</w:t>
            </w:r>
            <w:r w:rsidRPr="00CB2EC4">
              <w:rPr>
                <w:rFonts w:ascii="Times New Roman" w:hAnsi="Times New Roman" w:cs="Times New Roman"/>
              </w:rPr>
              <w:br/>
              <w:t xml:space="preserve">  - Additional note: The document does not specifically discuss IVA stage without lymph node enlargement, but based on general principles, concurrent chemoradiotherapy remains the core approach. Surgery is only an optional alternative and requires assessment of patient tolerance and resectability of the lesion.</w:t>
            </w:r>
          </w:p>
        </w:tc>
        <w:tc>
          <w:tcPr>
            <w:tcW w:w="1152" w:type="dxa"/>
            <w:vAlign w:val="center"/>
          </w:tcPr>
          <w:p w14:paraId="59DC0B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9ACC8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9F33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55BCA4" w14:textId="77777777">
        <w:tc>
          <w:tcPr>
            <w:tcW w:w="2160" w:type="dxa"/>
            <w:vAlign w:val="center"/>
          </w:tcPr>
          <w:p w14:paraId="45C2C72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C5E280F"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stage is IVA and there is no lymph node enlargement, the recommended treatment is:</w:t>
            </w:r>
            <w:r w:rsidRPr="00CB2EC4">
              <w:rPr>
                <w:rFonts w:ascii="Times New Roman" w:hAnsi="Times New Roman" w:cs="Times New Roman"/>
              </w:rPr>
              <w:br/>
            </w:r>
            <w:r w:rsidRPr="00CB2EC4">
              <w:rPr>
                <w:rFonts w:ascii="Times New Roman" w:hAnsi="Times New Roman" w:cs="Times New Roman"/>
              </w:rPr>
              <w:br/>
              <w:t xml:space="preserve">- Primary treatment: concurrent chemoradiotherapy (external beam radiotherapy + vaginal brachytherapy </w:t>
            </w:r>
            <w:r w:rsidRPr="00CB2EC4">
              <w:rPr>
                <w:rFonts w:ascii="Times New Roman" w:hAnsi="Times New Roman" w:cs="Times New Roman"/>
              </w:rPr>
              <w:lastRenderedPageBreak/>
              <w:t>± platinum-based concurrent chemotherapy)</w:t>
            </w:r>
            <w:r w:rsidRPr="00CB2EC4">
              <w:rPr>
                <w:rFonts w:ascii="Times New Roman" w:hAnsi="Times New Roman" w:cs="Times New Roman"/>
              </w:rPr>
              <w:br/>
              <w:t>- Rationale: According to document fragment 15, for cervical cancer stages IB to IVA, the preferred treatment is concurrent chemoradiotherapy. The IVA stage involves tumor invasion into the mucosa of the bladder or rectum (FIGO 2018 staging), and the absence of lymph node enlargement indicates no evidence of regional lymph node metastasis, which does not alter the fundamental treatment approach.</w:t>
            </w:r>
            <w:r w:rsidRPr="00CB2EC4">
              <w:rPr>
                <w:rFonts w:ascii="Times New Roman" w:hAnsi="Times New Roman" w:cs="Times New Roman"/>
              </w:rPr>
              <w:br/>
              <w:t>- Source: Knowledge base confirmation.</w:t>
            </w:r>
          </w:p>
        </w:tc>
        <w:tc>
          <w:tcPr>
            <w:tcW w:w="1152" w:type="dxa"/>
            <w:vAlign w:val="center"/>
          </w:tcPr>
          <w:p w14:paraId="2333B6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1FE20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255C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E7DB33" w14:textId="77777777">
        <w:tc>
          <w:tcPr>
            <w:tcW w:w="2160" w:type="dxa"/>
            <w:vAlign w:val="center"/>
          </w:tcPr>
          <w:p w14:paraId="5D32E3C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458267A"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stage is IVA and there is no lymph node enlargement, the following treatment measures should be taken:</w:t>
            </w:r>
            <w:r w:rsidRPr="00CB2EC4">
              <w:rPr>
                <w:rFonts w:ascii="Times New Roman" w:hAnsi="Times New Roman" w:cs="Times New Roman"/>
              </w:rPr>
              <w:br/>
            </w:r>
            <w:r w:rsidRPr="00CB2EC4">
              <w:rPr>
                <w:rFonts w:ascii="Times New Roman" w:hAnsi="Times New Roman" w:cs="Times New Roman"/>
              </w:rPr>
              <w:br/>
              <w:t>Treatment measures: Level I recommendation: Radical radiotherapy ± platinum-based concurrent chemotherapy.</w:t>
            </w:r>
            <w:r w:rsidRPr="00CB2EC4">
              <w:rPr>
                <w:rFonts w:ascii="Times New Roman" w:hAnsi="Times New Roman" w:cs="Times New Roman"/>
              </w:rPr>
              <w:br/>
              <w:t>- Basis: As stated in the context, IVA stage (defined as tumor invasion into the mucosa of the bladder or rectum, or extension beyond the true pelvis) regardless of lymph node status (including no lymph node enlargement), the preferred treatment is radical radiotherapy (including external beam radiotherapy and intracavitary brachytherapy) or concurrent chemoradiotherapy. The chemotherapy regimen is typically based on cisplatin.</w:t>
            </w:r>
          </w:p>
        </w:tc>
        <w:tc>
          <w:tcPr>
            <w:tcW w:w="1152" w:type="dxa"/>
            <w:vAlign w:val="center"/>
          </w:tcPr>
          <w:p w14:paraId="44C8D5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A475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330F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639913" w14:textId="77777777">
        <w:tc>
          <w:tcPr>
            <w:tcW w:w="2160" w:type="dxa"/>
            <w:vAlign w:val="center"/>
          </w:tcPr>
          <w:p w14:paraId="39D12AF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86A0DBD"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IVA and there is no lymph node enlargement, the following treatment measures should be adopted:</w:t>
            </w:r>
            <w:r w:rsidRPr="00CB2EC4">
              <w:rPr>
                <w:rFonts w:ascii="Times New Roman" w:hAnsi="Times New Roman" w:cs="Times New Roman"/>
              </w:rPr>
              <w:br/>
            </w:r>
            <w:r w:rsidRPr="00CB2EC4">
              <w:rPr>
                <w:rFonts w:ascii="Times New Roman" w:hAnsi="Times New Roman" w:cs="Times New Roman"/>
              </w:rPr>
              <w:br/>
              <w:t xml:space="preserve">- IVA stage is defined as tumor invasion into the bladder mucosa or rectal mucosa, but no lymph node enlargement means no evidence of lymph node </w:t>
            </w:r>
            <w:r w:rsidRPr="00CB2EC4">
              <w:rPr>
                <w:rFonts w:ascii="Times New Roman" w:hAnsi="Times New Roman" w:cs="Times New Roman"/>
              </w:rPr>
              <w:lastRenderedPageBreak/>
              <w:t>metastasis.</w:t>
            </w:r>
            <w:r w:rsidRPr="00CB2EC4">
              <w:rPr>
                <w:rFonts w:ascii="Times New Roman" w:hAnsi="Times New Roman" w:cs="Times New Roman"/>
              </w:rPr>
              <w:br/>
              <w:t>- Recommended treatment:</w:t>
            </w:r>
            <w:r w:rsidRPr="00CB2EC4">
              <w:rPr>
                <w:rFonts w:ascii="Times New Roman" w:hAnsi="Times New Roman" w:cs="Times New Roman"/>
              </w:rPr>
              <w:br/>
              <w:t xml:space="preserve">  - Level I recommendation: Radical radiotherapy (external beam radiotherapy + vaginal brachytherapy) ± platinum-based concurrent chemotherapy (based on document excerpts 5, 12, and 29: "For stage IV, radiotherapy is the mainstay, or combined chemoradiotherapy"; document excerpt 12 specifically states: "For IVA stage, concurrent chemoradiotherapy is the first choice").</w:t>
            </w:r>
            <w:r w:rsidRPr="00CB2EC4">
              <w:rPr>
                <w:rFonts w:ascii="Times New Roman" w:hAnsi="Times New Roman" w:cs="Times New Roman"/>
              </w:rPr>
              <w:br/>
              <w:t xml:space="preserve">  - Optional option: For central lesions that are resectable, pelvic exenteration may be considered (based on document excerpt 5: "For central lesions involving the bladder and/or rectum, pelvic exenteration may be chosen if complete resection is possible").</w:t>
            </w:r>
            <w:r w:rsidRPr="00CB2EC4">
              <w:rPr>
                <w:rFonts w:ascii="Times New Roman" w:hAnsi="Times New Roman" w:cs="Times New Roman"/>
              </w:rPr>
              <w:br/>
              <w:t>- Rationale: The context emphasizes that comprehensive treatment with radiotherapy and chemotherapy is primary for IVA stage; when there is no lymph node enlargement, the radiotherapy field is usually limited to the pelvis.</w:t>
            </w:r>
          </w:p>
        </w:tc>
        <w:tc>
          <w:tcPr>
            <w:tcW w:w="1152" w:type="dxa"/>
            <w:vAlign w:val="center"/>
          </w:tcPr>
          <w:p w14:paraId="079DD4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CEDAE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54D59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616476" w14:textId="77777777">
        <w:tc>
          <w:tcPr>
            <w:tcW w:w="2160" w:type="dxa"/>
            <w:vAlign w:val="center"/>
          </w:tcPr>
          <w:p w14:paraId="6EF4336F"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96618BF" w14:textId="77777777" w:rsidR="00922249" w:rsidRPr="00CB2EC4" w:rsidRDefault="003011D5">
            <w:pPr>
              <w:rPr>
                <w:rFonts w:ascii="Times New Roman" w:hAnsi="Times New Roman" w:cs="Times New Roman"/>
              </w:rPr>
            </w:pPr>
            <w:r w:rsidRPr="00CB2EC4">
              <w:rPr>
                <w:rFonts w:ascii="Times New Roman" w:hAnsi="Times New Roman" w:cs="Times New Roman"/>
              </w:rPr>
              <w:t>for stage IVA cervical cancer without lymph node enlargement, the recommended treatment measures are concurrent chemoradiotherapy or pelvic exenteration (total pelvic viscerectomy), according to FIGO 2018 guidelines. The treatment choice depends on patient-specific factors such as tumor extent, patient tolerance, and available medical resources.</w:t>
            </w:r>
          </w:p>
        </w:tc>
        <w:tc>
          <w:tcPr>
            <w:tcW w:w="1152" w:type="dxa"/>
            <w:vAlign w:val="center"/>
          </w:tcPr>
          <w:p w14:paraId="4CD00E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4D30B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F62BF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F54AD25" w14:textId="77777777">
        <w:tc>
          <w:tcPr>
            <w:tcW w:w="2160" w:type="dxa"/>
            <w:vAlign w:val="center"/>
          </w:tcPr>
          <w:p w14:paraId="6557D74F"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5EBE6B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stage is IVA and there is no lymph node enlargement, the recommended treatment measure is concurrent chemoradiotherapy (CCRT). IVA stage is defined as tumor invasion into the mucosa of the bladder or </w:t>
            </w:r>
            <w:r w:rsidRPr="00CB2EC4">
              <w:rPr>
                <w:rFonts w:ascii="Times New Roman" w:hAnsi="Times New Roman" w:cs="Times New Roman"/>
              </w:rPr>
              <w:lastRenderedPageBreak/>
              <w:t>rectum, or extension beyond the true pelvis, but without distant metastasis (M0). Regardless of lymph node status (N0 in this case, i.e., no enlargement), treatment primarily consists of radical radiotherapy (whole pelvic external beam irradiation and brachytherapy) combined with platinum-based chemotherapy. The goal is local control and preservation of organ function.</w:t>
            </w:r>
          </w:p>
        </w:tc>
        <w:tc>
          <w:tcPr>
            <w:tcW w:w="1152" w:type="dxa"/>
            <w:vAlign w:val="center"/>
          </w:tcPr>
          <w:p w14:paraId="75FFAF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D0A64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C29E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A8C1240" w14:textId="77777777">
        <w:tc>
          <w:tcPr>
            <w:tcW w:w="10656" w:type="dxa"/>
            <w:gridSpan w:val="5"/>
            <w:tcBorders>
              <w:bottom w:val="single" w:sz="6" w:space="0" w:color="auto"/>
            </w:tcBorders>
            <w:vAlign w:val="center"/>
          </w:tcPr>
          <w:p w14:paraId="2E8334C4" w14:textId="77777777" w:rsidR="00922249" w:rsidRPr="00CB2EC4" w:rsidRDefault="003011D5">
            <w:pPr>
              <w:rPr>
                <w:rFonts w:ascii="Times New Roman" w:hAnsi="Times New Roman" w:cs="Times New Roman"/>
              </w:rPr>
            </w:pPr>
            <w:r w:rsidRPr="00CB2EC4">
              <w:rPr>
                <w:rFonts w:ascii="Times New Roman" w:hAnsi="Times New Roman" w:cs="Times New Roman"/>
                <w:b/>
              </w:rPr>
              <w:t>Question 64: In cervical cancer treatment, if the stage is ⅣA with lymph node enlargement, what treatment measures should be taken?</w:t>
            </w:r>
          </w:p>
        </w:tc>
      </w:tr>
      <w:tr w:rsidR="00922249" w:rsidRPr="00CB2EC4" w14:paraId="276766D1" w14:textId="77777777">
        <w:tc>
          <w:tcPr>
            <w:tcW w:w="2160" w:type="dxa"/>
            <w:vAlign w:val="center"/>
          </w:tcPr>
          <w:p w14:paraId="6AA5134A"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9E1E967"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stage is IVA and there is lymph node enlargement, the treatment should primarily be concurrent chemoradiotherapy (CCRT) or pelvic exenteration. The document does not explicitly differentiate the impact of lymph node enlargement on IVA stage treatment, but emphasizes that concurrent chemoradiotherapy is the mainstay for IVA stage; lymph node enlargement may indicate higher risk, but the core treatment approach remains unchanged. If lymph node enlargement is pathologically confirmed as metastasis, the intensity of chemoradiotherapy may be reinforced, but the document does not provide specific adjustment details (source: similarity 0.460 segment, range 5-7; similarity 0.485 segment, range 9-11).</w:t>
            </w:r>
            <w:r w:rsidRPr="00CB2EC4">
              <w:rPr>
                <w:rFonts w:ascii="Times New Roman" w:hAnsi="Times New Roman" w:cs="Times New Roman"/>
              </w:rPr>
              <w:br/>
              <w:t>- Key contextual references:</w:t>
            </w:r>
            <w:r w:rsidRPr="00CB2EC4">
              <w:rPr>
                <w:rFonts w:ascii="Times New Roman" w:hAnsi="Times New Roman" w:cs="Times New Roman"/>
              </w:rPr>
              <w:br/>
              <w:t xml:space="preserve">  - "IVA stage FIGO 2018 non-fertility-sparing: concurrent chemoradiotherapy pelvic exenteration" (similarity 0.460, range 5-7).</w:t>
            </w:r>
            <w:r w:rsidRPr="00CB2EC4">
              <w:rPr>
                <w:rFonts w:ascii="Times New Roman" w:hAnsi="Times New Roman" w:cs="Times New Roman"/>
              </w:rPr>
              <w:br/>
              <w:t xml:space="preserve">  - "For locally advanced cervical cancer... concurrent chemoradiotherapy is the first choice" (similarity 0.485, range 9-11).</w:t>
            </w:r>
            <w:r w:rsidRPr="00CB2EC4">
              <w:rPr>
                <w:rFonts w:ascii="Times New Roman" w:hAnsi="Times New Roman" w:cs="Times New Roman"/>
              </w:rPr>
              <w:br/>
              <w:t xml:space="preserve">- Additional note: In the document, lymph node status </w:t>
            </w:r>
            <w:r w:rsidRPr="00CB2EC4">
              <w:rPr>
                <w:rFonts w:ascii="Times New Roman" w:hAnsi="Times New Roman" w:cs="Times New Roman"/>
              </w:rPr>
              <w:lastRenderedPageBreak/>
              <w:t>is mainly used for staging (e.g., III stage), but IVA stage treatment focus is on local invasion rather than lymph nodes. In clinical practice, lymph node enlargement may require additional evaluation, but the context does not specify a different regimen.</w:t>
            </w:r>
          </w:p>
        </w:tc>
        <w:tc>
          <w:tcPr>
            <w:tcW w:w="1152" w:type="dxa"/>
            <w:vAlign w:val="center"/>
          </w:tcPr>
          <w:p w14:paraId="4AC407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D5B20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BF3EA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2376E2B" w14:textId="77777777">
        <w:tc>
          <w:tcPr>
            <w:tcW w:w="2160" w:type="dxa"/>
            <w:vAlign w:val="center"/>
          </w:tcPr>
          <w:p w14:paraId="44E03532"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8658DC3"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IVA and there is lymph node enlargement, what treatment measures should be taken?</w:t>
            </w:r>
            <w:r w:rsidRPr="00CB2EC4">
              <w:rPr>
                <w:rFonts w:ascii="Times New Roman" w:hAnsi="Times New Roman" w:cs="Times New Roman"/>
              </w:rPr>
              <w:br/>
            </w:r>
            <w:r w:rsidRPr="00CB2EC4">
              <w:rPr>
                <w:rFonts w:ascii="Times New Roman" w:hAnsi="Times New Roman" w:cs="Times New Roman"/>
              </w:rPr>
              <w:br/>
              <w:t>in the provided documents, no specific treatment information was found for IVA stage with lymph node enlargement. the definition of IVA stage itself does not include lymph node metastasis (lymph node metastasis should be staged as IIIC or IVB). if lymph node enlargement is present, it may indicate staging error or upstaging, but the documents do not cover specific treatment for this scenario.</w:t>
            </w:r>
            <w:r w:rsidRPr="00CB2EC4">
              <w:rPr>
                <w:rFonts w:ascii="Times New Roman" w:hAnsi="Times New Roman" w:cs="Times New Roman"/>
              </w:rPr>
              <w:br/>
              <w:t>- basis:</w:t>
            </w:r>
            <w:r w:rsidRPr="00CB2EC4">
              <w:rPr>
                <w:rFonts w:ascii="Times New Roman" w:hAnsi="Times New Roman" w:cs="Times New Roman"/>
              </w:rPr>
              <w:br/>
              <w:t xml:space="preserve">  - document excerpt 7 (block number 6, block topic "cervical cancer FIGO staging criteria") defines IVA stage as tumor invasion of bladder or rectal mucosa without distant metastasis; lymph node metastasis (e.g., pelvic or para-aortic) belongs to IIIC stage, and distant lymph node metastasis (e.g., inguinal) belongs to IVB stage.</w:t>
            </w:r>
            <w:r w:rsidRPr="00CB2EC4">
              <w:rPr>
                <w:rFonts w:ascii="Times New Roman" w:hAnsi="Times New Roman" w:cs="Times New Roman"/>
              </w:rPr>
              <w:br/>
              <w:t xml:space="preserve">  - all treatment discussions in the documents are based on standard staging (e.g., III stage corresponds to lymph node metastasis, IV stage to distant metastasis), with no mention of exceptions for IVA stage with lymph node enlargement.</w:t>
            </w:r>
            <w:r w:rsidRPr="00CB2EC4">
              <w:rPr>
                <w:rFonts w:ascii="Times New Roman" w:hAnsi="Times New Roman" w:cs="Times New Roman"/>
              </w:rPr>
              <w:br/>
              <w:t xml:space="preserve">  - for example, document excerpt 26 (block number 22) and excerpt 3 (block number 490) only discuss standard IVA stage treatment and do not address adjustments for lymph node enlargement.</w:t>
            </w:r>
            <w:r w:rsidRPr="00CB2EC4">
              <w:rPr>
                <w:rFonts w:ascii="Times New Roman" w:hAnsi="Times New Roman" w:cs="Times New Roman"/>
              </w:rPr>
              <w:br/>
            </w:r>
            <w:r w:rsidRPr="00CB2EC4">
              <w:rPr>
                <w:rFonts w:ascii="Times New Roman" w:hAnsi="Times New Roman" w:cs="Times New Roman"/>
              </w:rPr>
              <w:lastRenderedPageBreak/>
              <w:t>- conclusion: no answer found in the knowledge base. it is recommended to re-evaluate the staging (lymph node enlargement may upstage to IIIC or IVB) and refer to the treatment principles for IIIC or IVB stage (such as concurrent chemoradiotherapy or systemic therapy).</w:t>
            </w:r>
          </w:p>
        </w:tc>
        <w:tc>
          <w:tcPr>
            <w:tcW w:w="1152" w:type="dxa"/>
            <w:vAlign w:val="center"/>
          </w:tcPr>
          <w:p w14:paraId="1AFC60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F0C60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8CE02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E731B3A" w14:textId="77777777">
        <w:tc>
          <w:tcPr>
            <w:tcW w:w="2160" w:type="dxa"/>
            <w:vAlign w:val="center"/>
          </w:tcPr>
          <w:p w14:paraId="738A230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56F120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stage IVA cervical cancer with lymph node enlargement, the recommended treatment is concurrent chemoradiotherapy (CCRT), with adjustment of the radiotherapy field based on nodal involvement:  </w:t>
            </w:r>
            <w:r w:rsidRPr="00CB2EC4">
              <w:rPr>
                <w:rFonts w:ascii="Times New Roman" w:hAnsi="Times New Roman" w:cs="Times New Roman"/>
              </w:rPr>
              <w:br/>
              <w:t xml:space="preserve">- Extend the radiation field to cover areas of lymph node metastasis (e.g., para-aortic region) as indicated.  </w:t>
            </w:r>
            <w:r w:rsidRPr="00CB2EC4">
              <w:rPr>
                <w:rFonts w:ascii="Times New Roman" w:hAnsi="Times New Roman" w:cs="Times New Roman"/>
              </w:rPr>
              <w:br/>
              <w:t xml:space="preserve">- Use intensity-modulated radiotherapy (IMRT) with a dose of 45–50 Gy; boost unresected large lymph nodes with an additional 10–20 Gy if necessary.  </w:t>
            </w:r>
            <w:r w:rsidRPr="00CB2EC4">
              <w:rPr>
                <w:rFonts w:ascii="Times New Roman" w:hAnsi="Times New Roman" w:cs="Times New Roman"/>
              </w:rPr>
              <w:br/>
              <w:t xml:space="preserve">Pelvic exenteration may be considered, but no additional specific treatment measures for lymph node enlargement are provided beyond field extension within the CCRT framework.  </w:t>
            </w:r>
            <w:r w:rsidRPr="00CB2EC4">
              <w:rPr>
                <w:rFonts w:ascii="Times New Roman" w:hAnsi="Times New Roman" w:cs="Times New Roman"/>
              </w:rPr>
              <w:br/>
            </w:r>
            <w:r w:rsidRPr="00CB2EC4">
              <w:rPr>
                <w:rFonts w:ascii="Times New Roman" w:hAnsi="Times New Roman" w:cs="Times New Roman"/>
              </w:rPr>
              <w:br/>
              <w:t>(Note: Structure, line breaks, and bullet points preserved exactly as in source.)</w:t>
            </w:r>
          </w:p>
        </w:tc>
        <w:tc>
          <w:tcPr>
            <w:tcW w:w="1152" w:type="dxa"/>
            <w:vAlign w:val="center"/>
          </w:tcPr>
          <w:p w14:paraId="611420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C3F80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34AA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8830BF7" w14:textId="77777777">
        <w:tc>
          <w:tcPr>
            <w:tcW w:w="2160" w:type="dxa"/>
            <w:vAlign w:val="center"/>
          </w:tcPr>
          <w:p w14:paraId="20E88E10"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49EB762" w14:textId="77777777" w:rsidR="00922249" w:rsidRPr="00CB2EC4" w:rsidRDefault="003011D5">
            <w:pPr>
              <w:rPr>
                <w:rFonts w:ascii="Times New Roman" w:hAnsi="Times New Roman" w:cs="Times New Roman"/>
              </w:rPr>
            </w:pPr>
            <w:r w:rsidRPr="00CB2EC4">
              <w:rPr>
                <w:rFonts w:ascii="Times New Roman" w:hAnsi="Times New Roman" w:cs="Times New Roman"/>
              </w:rPr>
              <w:t>treatment for stage IVA with lymph node enlargement</w:t>
            </w:r>
            <w:r w:rsidRPr="00CB2EC4">
              <w:rPr>
                <w:rFonts w:ascii="Times New Roman" w:hAnsi="Times New Roman" w:cs="Times New Roman"/>
              </w:rPr>
              <w:br/>
            </w:r>
            <w:r w:rsidRPr="00CB2EC4">
              <w:rPr>
                <w:rFonts w:ascii="Times New Roman" w:hAnsi="Times New Roman" w:cs="Times New Roman"/>
              </w:rPr>
              <w:br/>
              <w:t xml:space="preserve">knowledge base documents:  </w:t>
            </w:r>
            <w:r w:rsidRPr="00CB2EC4">
              <w:rPr>
                <w:rFonts w:ascii="Times New Roman" w:hAnsi="Times New Roman" w:cs="Times New Roman"/>
              </w:rPr>
              <w:br/>
              <w:t xml:space="preserve">- lymph node enlargement requires pathological confirmation of nature (document 3):  </w:t>
            </w:r>
            <w:r w:rsidRPr="00CB2EC4">
              <w:rPr>
                <w:rFonts w:ascii="Times New Roman" w:hAnsi="Times New Roman" w:cs="Times New Roman"/>
              </w:rPr>
              <w:br/>
              <w:t xml:space="preserve">  - if metastatic: manage as stage IIIC, extended-field radiotherapy (document 20)  </w:t>
            </w:r>
            <w:r w:rsidRPr="00CB2EC4">
              <w:rPr>
                <w:rFonts w:ascii="Times New Roman" w:hAnsi="Times New Roman" w:cs="Times New Roman"/>
              </w:rPr>
              <w:br/>
              <w:t xml:space="preserve">  - if inflammatory: still treat as stage IVA  </w:t>
            </w:r>
            <w:r w:rsidRPr="00CB2EC4">
              <w:rPr>
                <w:rFonts w:ascii="Times New Roman" w:hAnsi="Times New Roman" w:cs="Times New Roman"/>
              </w:rPr>
              <w:br/>
            </w:r>
            <w:r w:rsidRPr="00CB2EC4">
              <w:rPr>
                <w:rFonts w:ascii="Times New Roman" w:hAnsi="Times New Roman" w:cs="Times New Roman"/>
              </w:rPr>
              <w:br/>
              <w:t xml:space="preserve">web search results:  </w:t>
            </w:r>
            <w:r w:rsidRPr="00CB2EC4">
              <w:rPr>
                <w:rFonts w:ascii="Times New Roman" w:hAnsi="Times New Roman" w:cs="Times New Roman"/>
              </w:rPr>
              <w:br/>
            </w:r>
            <w:r w:rsidRPr="00CB2EC4">
              <w:rPr>
                <w:rFonts w:ascii="Times New Roman" w:hAnsi="Times New Roman" w:cs="Times New Roman"/>
              </w:rPr>
              <w:lastRenderedPageBreak/>
              <w:t xml:space="preserve">- when lymph node metastasis is suspected on imaging: extended-field radiotherapy + concurrent chemotherapy (source 7)  </w:t>
            </w:r>
            <w:r w:rsidRPr="00CB2EC4">
              <w:rPr>
                <w:rFonts w:ascii="Times New Roman" w:hAnsi="Times New Roman" w:cs="Times New Roman"/>
              </w:rPr>
              <w:br/>
            </w:r>
            <w:r w:rsidRPr="00CB2EC4">
              <w:rPr>
                <w:rFonts w:ascii="Times New Roman" w:hAnsi="Times New Roman" w:cs="Times New Roman"/>
              </w:rPr>
              <w:br/>
              <w:t xml:space="preserve">integrated recommendations:  </w:t>
            </w:r>
            <w:r w:rsidRPr="00CB2EC4">
              <w:rPr>
                <w:rFonts w:ascii="Times New Roman" w:hAnsi="Times New Roman" w:cs="Times New Roman"/>
              </w:rPr>
              <w:br/>
              <w:t xml:space="preserve">&gt; 1. biopsy to confirm nature of lymph nodes;  </w:t>
            </w:r>
            <w:r w:rsidRPr="00CB2EC4">
              <w:rPr>
                <w:rFonts w:ascii="Times New Roman" w:hAnsi="Times New Roman" w:cs="Times New Roman"/>
              </w:rPr>
              <w:br/>
              <w:t xml:space="preserve">&gt; 2. if metastatic: extended-field radiotherapy + platinum-based concurrent chemotherapy;  </w:t>
            </w:r>
            <w:r w:rsidRPr="00CB2EC4">
              <w:rPr>
                <w:rFonts w:ascii="Times New Roman" w:hAnsi="Times New Roman" w:cs="Times New Roman"/>
              </w:rPr>
              <w:br/>
              <w:t>&gt; 3. if negative: treat according to standard stage IVA protocol.</w:t>
            </w:r>
          </w:p>
        </w:tc>
        <w:tc>
          <w:tcPr>
            <w:tcW w:w="1152" w:type="dxa"/>
            <w:vAlign w:val="center"/>
          </w:tcPr>
          <w:p w14:paraId="27EDED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DC07C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C684D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9024B20" w14:textId="77777777">
        <w:tc>
          <w:tcPr>
            <w:tcW w:w="2160" w:type="dxa"/>
            <w:vAlign w:val="center"/>
          </w:tcPr>
          <w:p w14:paraId="766ECE6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3F1572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stage is IVA with lymph node enlargement, the recommended treatment is:  </w:t>
            </w:r>
            <w:r w:rsidRPr="00CB2EC4">
              <w:rPr>
                <w:rFonts w:ascii="Times New Roman" w:hAnsi="Times New Roman" w:cs="Times New Roman"/>
              </w:rPr>
              <w:br/>
              <w:t xml:space="preserve">Pelvic ± para-aortic EBRT + brachytherapy + concurrent platinum-based chemotherapy.  </w:t>
            </w:r>
            <w:r w:rsidRPr="00CB2EC4">
              <w:rPr>
                <w:rFonts w:ascii="Times New Roman" w:hAnsi="Times New Roman" w:cs="Times New Roman"/>
              </w:rPr>
              <w:br/>
              <w:t>- Explanation: This regimen is for IVA stage with lymph node enlargement; the radiation field may include the para-aortic region (depending on the location of lymph node enlargement, assessed by imaging or pathology). The "±" in the document indicates adjustment of the EBRT field based on lymph node status (document fragment 11). Document fragment 10 emphasizes that lymph node enlargement requires stratified assessment (imaging b or pathology c), but level I recommendation consistently prioritizes concurrent chemoradiation, with systemic therapy as an adjunct.</w:t>
            </w:r>
          </w:p>
        </w:tc>
        <w:tc>
          <w:tcPr>
            <w:tcW w:w="1152" w:type="dxa"/>
            <w:vAlign w:val="center"/>
          </w:tcPr>
          <w:p w14:paraId="2CA958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AB43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05C89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B9834F6" w14:textId="77777777">
        <w:tc>
          <w:tcPr>
            <w:tcW w:w="2160" w:type="dxa"/>
            <w:vAlign w:val="center"/>
          </w:tcPr>
          <w:p w14:paraId="68090C8D"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E33641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stage IVA cervical cancer with lymph node enlargement, the primary treatment is radiotherapy combined with chemotherapy. this includes radical radiotherapy (external beam radiotherapy + vaginal brachytherapy) with concurrent platinum-based chemotherapy. lymph node enlargement may indicate </w:t>
            </w:r>
            <w:r w:rsidRPr="00CB2EC4">
              <w:rPr>
                <w:rFonts w:ascii="Times New Roman" w:hAnsi="Times New Roman" w:cs="Times New Roman"/>
              </w:rPr>
              <w:lastRenderedPageBreak/>
              <w:t>higher risk, but no differentiated treatment protocol specific to stage IVA with lymph node involvement is provided in the context; therefore, the treatment principle remains consistent with that for stage IVA without lymph node enlargement, focusing on combined chemoradiotherapy.</w:t>
            </w:r>
            <w:r w:rsidRPr="00CB2EC4">
              <w:rPr>
                <w:rFonts w:ascii="Times New Roman" w:hAnsi="Times New Roman" w:cs="Times New Roman"/>
              </w:rPr>
              <w:br/>
            </w:r>
            <w:r w:rsidRPr="00CB2EC4">
              <w:rPr>
                <w:rFonts w:ascii="Times New Roman" w:hAnsi="Times New Roman" w:cs="Times New Roman"/>
              </w:rPr>
              <w:br/>
              <w:t>- based on document 5: "stage IV: mainly radiotherapy, or chemotherapy combined with radiotherapy" (fusion score 0.5463).</w:t>
            </w:r>
            <w:r w:rsidRPr="00CB2EC4">
              <w:rPr>
                <w:rFonts w:ascii="Times New Roman" w:hAnsi="Times New Roman" w:cs="Times New Roman"/>
              </w:rPr>
              <w:br/>
              <w:t>- document 1 states that concurrent chemoradiotherapy is the first choice for stage IV (fusion score 0.6000).</w:t>
            </w:r>
            <w:r w:rsidRPr="00CB2EC4">
              <w:rPr>
                <w:rFonts w:ascii="Times New Roman" w:hAnsi="Times New Roman" w:cs="Times New Roman"/>
              </w:rPr>
              <w:br/>
              <w:t>- no specific treatment description for stage IVA with lymph node enlargement was found in the knowledge base; thus, the response is based on general stage IV principles.</w:t>
            </w:r>
          </w:p>
        </w:tc>
        <w:tc>
          <w:tcPr>
            <w:tcW w:w="1152" w:type="dxa"/>
            <w:vAlign w:val="center"/>
          </w:tcPr>
          <w:p w14:paraId="5493FB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C36B1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40F2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BCAF77" w14:textId="77777777">
        <w:tc>
          <w:tcPr>
            <w:tcW w:w="2160" w:type="dxa"/>
            <w:vAlign w:val="center"/>
          </w:tcPr>
          <w:p w14:paraId="1934C88A"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8FE23B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can be found in the provided document.  </w:t>
            </w:r>
            <w:r w:rsidRPr="00CB2EC4">
              <w:rPr>
                <w:rFonts w:ascii="Times New Roman" w:hAnsi="Times New Roman" w:cs="Times New Roman"/>
              </w:rPr>
              <w:br/>
              <w:t>- Reason: The document explicitly states that in the FIGO staging system, lymph node metastasis is classified as stage IIIC (IIIC1 or IIIC2), not stage IVA. Stage IVA is defined solely by tumor invasion into the mucosa of the bladder and/or rectum, and does not include lymph node involvement (source: [HyDE similarity: 0.570] excerpt: "Stage IVA: Metastasis to adjacent organs"). Therefore, the scenario of stage IVA with lymph node enlargement is not addressed in the document, as it may represent a staging contradiction or non-standard classification. It is recommended to reconfirm the staging (e.g., possible IIIC or IVB), but based on the current document, no specific treatment measures are provided for this situation.</w:t>
            </w:r>
          </w:p>
        </w:tc>
        <w:tc>
          <w:tcPr>
            <w:tcW w:w="1152" w:type="dxa"/>
            <w:vAlign w:val="center"/>
          </w:tcPr>
          <w:p w14:paraId="68ABCA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17E36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1F652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543943E" w14:textId="77777777">
        <w:tc>
          <w:tcPr>
            <w:tcW w:w="2160" w:type="dxa"/>
            <w:vAlign w:val="center"/>
          </w:tcPr>
          <w:p w14:paraId="1EA45DD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22B2053C"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stage is IVA and there is lymph node enlargement, the following treatment measures should be taken:</w:t>
            </w:r>
            <w:r w:rsidRPr="00CB2EC4">
              <w:rPr>
                <w:rFonts w:ascii="Times New Roman" w:hAnsi="Times New Roman" w:cs="Times New Roman"/>
              </w:rPr>
              <w:br/>
            </w:r>
            <w:r w:rsidRPr="00CB2EC4">
              <w:rPr>
                <w:rFonts w:ascii="Times New Roman" w:hAnsi="Times New Roman" w:cs="Times New Roman"/>
              </w:rPr>
              <w:br/>
              <w:t>according to document fragment 9 (similarity: 0.595), cervical cancer stage IVA (regardless of lymph node enlargement) falls within the "IB to IVA stage" range, and the preferred treatment is concurrent chemoradiotherapy. document fragment 5 (similarity: 0.618) and fragment 8 (similarity: 0.610) indicate that lymph node enlargement may affect staging (e.g., lymph node metastasis is classified as IIIC), but stage IVA itself is defined as local spread to adjacent organs, and its treatment recommendation does not change based on lymph node status. document fragment 9 emphasizes that concurrent chemoradiotherapy is the preferred option, and document fragment 23 (similarity: 0.364) recommends concurrent chemoradiotherapy as the standard regimen for stages IIB to IVA. therefore, even with lymph node enlargement, the treatment approach remains unchanged.</w:t>
            </w:r>
            <w:r w:rsidRPr="00CB2EC4">
              <w:rPr>
                <w:rFonts w:ascii="Times New Roman" w:hAnsi="Times New Roman" w:cs="Times New Roman"/>
              </w:rPr>
              <w:br/>
              <w:t xml:space="preserve">treatment measures: </w:t>
            </w:r>
            <w:r w:rsidRPr="00CB2EC4">
              <w:rPr>
                <w:rFonts w:ascii="Times New Roman" w:hAnsi="Times New Roman" w:cs="Times New Roman"/>
              </w:rPr>
              <w:br/>
              <w:t>→ preferred: concurrent chemoradiotherapy (external beam radiotherapy + vaginal brachytherapy ± platinum-based concurrent chemotherapy).</w:t>
            </w:r>
          </w:p>
        </w:tc>
        <w:tc>
          <w:tcPr>
            <w:tcW w:w="1152" w:type="dxa"/>
            <w:vAlign w:val="center"/>
          </w:tcPr>
          <w:p w14:paraId="227FA4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5DFCD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5DFC9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4C88BF4" w14:textId="77777777">
        <w:tc>
          <w:tcPr>
            <w:tcW w:w="2160" w:type="dxa"/>
            <w:vAlign w:val="center"/>
          </w:tcPr>
          <w:p w14:paraId="7C9AD195"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A6730C5"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stage is IVA and there is lymph node enlargement, the following treatment measures should be taken:</w:t>
            </w:r>
            <w:r w:rsidRPr="00CB2EC4">
              <w:rPr>
                <w:rFonts w:ascii="Times New Roman" w:hAnsi="Times New Roman" w:cs="Times New Roman"/>
              </w:rPr>
              <w:br/>
            </w:r>
            <w:r w:rsidRPr="00CB2EC4">
              <w:rPr>
                <w:rFonts w:ascii="Times New Roman" w:hAnsi="Times New Roman" w:cs="Times New Roman"/>
              </w:rPr>
              <w:br/>
              <w:t xml:space="preserve">Response: Stage IVA indicates tumor invasion into the mucosa of the bladder and/or rectum, with lymph node enlargement (possibly indicating lymph node metastasis). According to the document, lymph node </w:t>
            </w:r>
            <w:r w:rsidRPr="00CB2EC4">
              <w:rPr>
                <w:rFonts w:ascii="Times New Roman" w:hAnsi="Times New Roman" w:cs="Times New Roman"/>
              </w:rPr>
              <w:lastRenderedPageBreak/>
              <w:t>enlargement may upstage the disease (e.g., to IIIC), but for stage IVA with lymph node enlargement, the preferred treatment is concurrent chemoradiotherapy, with coverage of the lymph node regions:</w:t>
            </w:r>
            <w:r w:rsidRPr="00CB2EC4">
              <w:rPr>
                <w:rFonts w:ascii="Times New Roman" w:hAnsi="Times New Roman" w:cs="Times New Roman"/>
              </w:rPr>
              <w:br/>
              <w:t xml:space="preserve">  - Preferred treatment: Radical radiotherapy (including external beam radiotherapy + vaginal brachytherapy) ± platinum-based concurrent chemotherapy; the radiotherapy field must include the pelvis and potentially involved lymph node areas (e.g., pelvic or para-aortic regions).</w:t>
            </w:r>
            <w:r w:rsidRPr="00CB2EC4">
              <w:rPr>
                <w:rFonts w:ascii="Times New Roman" w:hAnsi="Times New Roman" w:cs="Times New Roman"/>
              </w:rPr>
              <w:br/>
              <w:t xml:space="preserve">  - Basis: The document states, "For cervical cancer stages IB to IVA, the preferred treatment modality is concurrent chemoradiotherapy." Additionally, in the section on lymph node metastasis, it notes that lymph node-positive patients (e.g., stage IIIC1r) require intensified radiotherapy. The document also emphasizes: "Imaging showing pelvic lymph node metastasis upstages to III C1r," but for stage IVA with lymph node enlargement, the treatment principle remains similar, prioritizing chemoradiotherapy.</w:t>
            </w:r>
            <w:r w:rsidRPr="00CB2EC4">
              <w:rPr>
                <w:rFonts w:ascii="Times New Roman" w:hAnsi="Times New Roman" w:cs="Times New Roman"/>
              </w:rPr>
              <w:br/>
              <w:t xml:space="preserve">  - Additional note: The document does not specify a unique regimen for "stage IVA with lymph node enlargement," but based on context, concurrent chemoradiotherapy is the standard. Surgery (e.g., pelvic exenteration) may be considered only if the lesion is resectable, but chemoradiotherapy takes precedence.</w:t>
            </w:r>
          </w:p>
        </w:tc>
        <w:tc>
          <w:tcPr>
            <w:tcW w:w="1152" w:type="dxa"/>
            <w:vAlign w:val="center"/>
          </w:tcPr>
          <w:p w14:paraId="43C6E8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0C9EF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F681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7528C5" w14:textId="77777777">
        <w:tc>
          <w:tcPr>
            <w:tcW w:w="2160" w:type="dxa"/>
            <w:vAlign w:val="center"/>
          </w:tcPr>
          <w:p w14:paraId="6CADC91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2091D39"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stage is IVA and there is lymph node enlargement, the recommended treatment measure is:</w:t>
            </w:r>
            <w:r w:rsidRPr="00CB2EC4">
              <w:rPr>
                <w:rFonts w:ascii="Times New Roman" w:hAnsi="Times New Roman" w:cs="Times New Roman"/>
              </w:rPr>
              <w:br/>
            </w:r>
            <w:r w:rsidRPr="00CB2EC4">
              <w:rPr>
                <w:rFonts w:ascii="Times New Roman" w:hAnsi="Times New Roman" w:cs="Times New Roman"/>
              </w:rPr>
              <w:br/>
              <w:t xml:space="preserve">- **Primary treatment**: Concurrent chemoradiotherapy (external beam radiotherapy + vaginal brachytherapy ± platinum-based concurrent </w:t>
            </w:r>
            <w:r w:rsidRPr="00CB2EC4">
              <w:rPr>
                <w:rFonts w:ascii="Times New Roman" w:hAnsi="Times New Roman" w:cs="Times New Roman"/>
              </w:rPr>
              <w:lastRenderedPageBreak/>
              <w:t>chemotherapy)</w:t>
            </w:r>
            <w:r w:rsidRPr="00CB2EC4">
              <w:rPr>
                <w:rFonts w:ascii="Times New Roman" w:hAnsi="Times New Roman" w:cs="Times New Roman"/>
              </w:rPr>
              <w:br/>
              <w:t>- **Adjustment for lymph node involvement**: The radiotherapy field may be extended (e.g., to include para-aortic or pelvic lymph node regions) based on the location of enlarged lymph nodes</w:t>
            </w:r>
            <w:r w:rsidRPr="00CB2EC4">
              <w:rPr>
                <w:rFonts w:ascii="Times New Roman" w:hAnsi="Times New Roman" w:cs="Times New Roman"/>
              </w:rPr>
              <w:br/>
              <w:t>- **Rationale**: According to FIGO 2018 staging, IVA indicates tumor invasion into the mucosa of the bladder or rectum. Lymph node enlargement suggests possible regional lymph node metastasis (e.g., pelvic or para-aortic), though lymph node status is formally accounted for in IIIC or IVB stages. Document fragment 15 confirms concurrent chemoradiotherapy as the first-line recommendation for IVA stage. Document fragment 14 supports concurrent chemoradiotherapy as the preferred approach for locally advanced cases, including those with lymph node metastasis. The presence of lymph node enlargement does not alter the core first-line treatment for IVA stage but may influence radiotherapy field design.</w:t>
            </w:r>
            <w:r w:rsidRPr="00CB2EC4">
              <w:rPr>
                <w:rFonts w:ascii="Times New Roman" w:hAnsi="Times New Roman" w:cs="Times New Roman"/>
              </w:rPr>
              <w:br/>
            </w:r>
            <w:r w:rsidRPr="00CB2EC4">
              <w:rPr>
                <w:rFonts w:ascii="Times New Roman" w:hAnsi="Times New Roman" w:cs="Times New Roman"/>
              </w:rPr>
              <w:br/>
              <w:t>Answer found in knowledge base.</w:t>
            </w:r>
          </w:p>
        </w:tc>
        <w:tc>
          <w:tcPr>
            <w:tcW w:w="1152" w:type="dxa"/>
            <w:vAlign w:val="center"/>
          </w:tcPr>
          <w:p w14:paraId="12B2FC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79A4B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541CD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3CE3D72" w14:textId="77777777">
        <w:tc>
          <w:tcPr>
            <w:tcW w:w="2160" w:type="dxa"/>
            <w:vAlign w:val="center"/>
          </w:tcPr>
          <w:p w14:paraId="41AA1137"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4634A5D"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stage is IVA and there is lymph node enlargement, the following treatment measures should be adopted:</w:t>
            </w:r>
            <w:r w:rsidRPr="00CB2EC4">
              <w:rPr>
                <w:rFonts w:ascii="Times New Roman" w:hAnsi="Times New Roman" w:cs="Times New Roman"/>
              </w:rPr>
              <w:br/>
            </w:r>
            <w:r w:rsidRPr="00CB2EC4">
              <w:rPr>
                <w:rFonts w:ascii="Times New Roman" w:hAnsi="Times New Roman" w:cs="Times New Roman"/>
              </w:rPr>
              <w:br/>
              <w:t>Level I recommended treatment: Radical radiotherapy or concurrent chemoradiotherapy (CCRT), with adjustment of the radiation field based on the location of lymph node enlargement (e.g., extended to the pelvic or para-aortic regions).</w:t>
            </w:r>
            <w:r w:rsidRPr="00CB2EC4">
              <w:rPr>
                <w:rFonts w:ascii="Times New Roman" w:hAnsi="Times New Roman" w:cs="Times New Roman"/>
              </w:rPr>
              <w:br/>
              <w:t xml:space="preserve">- Context note: Stage IVA itself is already locally advanced; lymph node enlargement (possibly a feature of stage IIIC) does not alter the fundamental treatment </w:t>
            </w:r>
            <w:r w:rsidRPr="00CB2EC4">
              <w:rPr>
                <w:rFonts w:ascii="Times New Roman" w:hAnsi="Times New Roman" w:cs="Times New Roman"/>
              </w:rPr>
              <w:lastRenderedPageBreak/>
              <w:t>principle, but the involved lymph node regions (such as pelvic or para-aortic) must be included in the radiotherapy plan to enhance local control. Concurrent chemoradiotherapy is the preferred option, with cisplatin-based chemotherapy regimens.</w:t>
            </w:r>
          </w:p>
        </w:tc>
        <w:tc>
          <w:tcPr>
            <w:tcW w:w="1152" w:type="dxa"/>
            <w:vAlign w:val="center"/>
          </w:tcPr>
          <w:p w14:paraId="6028B4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9D3B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F06D2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23F8FA5" w14:textId="77777777">
        <w:tc>
          <w:tcPr>
            <w:tcW w:w="2160" w:type="dxa"/>
            <w:vAlign w:val="center"/>
          </w:tcPr>
          <w:p w14:paraId="4A183A9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E8BCC22"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IVA with lymph node enlargement, the following treatment measures should be adopted:</w:t>
            </w:r>
            <w:r w:rsidRPr="00CB2EC4">
              <w:rPr>
                <w:rFonts w:ascii="Times New Roman" w:hAnsi="Times New Roman" w:cs="Times New Roman"/>
              </w:rPr>
              <w:br/>
            </w:r>
            <w:r w:rsidRPr="00CB2EC4">
              <w:rPr>
                <w:rFonts w:ascii="Times New Roman" w:hAnsi="Times New Roman" w:cs="Times New Roman"/>
              </w:rPr>
              <w:br/>
              <w:t>- Level I recommendation: Concurrent chemoradiotherapy (external beam radiotherapy + brachytherapy + platinum-based concurrent chemotherapy). The radiotherapy field should be expanded according to the lymph node status, possibly including extended fields (pelvis and para-aortic regions) (based on the management principles for stage IIIC in Document Fragment 18, and Document Fragment 22: "When lymph node metastasis is present, the upper boundary of the radiation field needs to be extended accordingly").</w:t>
            </w:r>
            <w:r w:rsidRPr="00CB2EC4">
              <w:rPr>
                <w:rFonts w:ascii="Times New Roman" w:hAnsi="Times New Roman" w:cs="Times New Roman"/>
              </w:rPr>
              <w:br/>
            </w:r>
            <w:r w:rsidRPr="00CB2EC4">
              <w:rPr>
                <w:rFonts w:ascii="Times New Roman" w:hAnsi="Times New Roman" w:cs="Times New Roman"/>
              </w:rPr>
              <w:br/>
              <w:t>Rationale: The context does not specify distinct treatment differences for IVA stage with or without lymph node enlargement. However, Document Fragments 18 and 22 indicate that radiotherapy fields should be expanded in the presence of lymph node metastasis and emphasize the importance of concurrent chemotherapy. For IVA stage with lymph node enlargement, treatment should follow IIIC stage principles to cover potential metastatic risk.</w:t>
            </w:r>
          </w:p>
        </w:tc>
        <w:tc>
          <w:tcPr>
            <w:tcW w:w="1152" w:type="dxa"/>
            <w:vAlign w:val="center"/>
          </w:tcPr>
          <w:p w14:paraId="7422E6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F963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6FE2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95330D" w14:textId="77777777">
        <w:tc>
          <w:tcPr>
            <w:tcW w:w="2160" w:type="dxa"/>
            <w:vAlign w:val="center"/>
          </w:tcPr>
          <w:p w14:paraId="4B768A14"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D9BF2A4"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IVA and there is lymph node enlargement, what treatment measures should be taken?</w:t>
            </w:r>
            <w:r w:rsidRPr="00CB2EC4">
              <w:rPr>
                <w:rFonts w:ascii="Times New Roman" w:hAnsi="Times New Roman" w:cs="Times New Roman"/>
              </w:rPr>
              <w:br/>
            </w:r>
            <w:r w:rsidRPr="00CB2EC4">
              <w:rPr>
                <w:rFonts w:ascii="Times New Roman" w:hAnsi="Times New Roman" w:cs="Times New Roman"/>
              </w:rPr>
              <w:lastRenderedPageBreak/>
              <w:br/>
              <w:t>no answer was found in the knowledge base. context information (excerpt 1 and excerpt 2) discusses treatment recommendations for IVA stage (concurrent chemoradiotherapy or pelvic exenteration), but does not explicitly differentiate specific treatment adjustments when lymph node enlargement is present. the document mentions that lymph node enlargement may affect staging (e.g., if lymph node metastasis is confirmed, staging may be upgraded to IIIC or higher), but the question specifies staging as IVA (i.e., assuming lymph node enlargement has not altered staging). however, the context does not provide additional treatment details for IVA stage with lymph node enlargement. for example, excerpt 2 states: "if imaging shows pelvic lymph node metastasis, the stage is classified as IIIC1r," but does not specify how lymph node enlargement modifies treatment in the context of IVA stage. therefore, based on existing information, it is not possible to determine whether special measures apply.</w:t>
            </w:r>
          </w:p>
        </w:tc>
        <w:tc>
          <w:tcPr>
            <w:tcW w:w="1152" w:type="dxa"/>
            <w:vAlign w:val="center"/>
          </w:tcPr>
          <w:p w14:paraId="02B83B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0BFE6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CF7D4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2380FA3" w14:textId="77777777">
        <w:tc>
          <w:tcPr>
            <w:tcW w:w="2160" w:type="dxa"/>
            <w:vAlign w:val="center"/>
          </w:tcPr>
          <w:p w14:paraId="68D430DE"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F63A8D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treatment of cervical cancer, if the stage is IVA and there is lymph node enlargement, the recommended treatment is concurrent chemoradiotherapy (CCRT). Stage IVA allows for lymph node metastasis (N1); the treatment approach is consistent with that for cases without lymph node enlargement, but the radiotherapy field must cover the metastatic lymph node regions (such as the pelvis or para-aortic area). Platinum-based chemotherapy (e.g., cisplatin) is used in combination, and intensity-modulated radiotherapy (IMRT) should be applied when necessary. Surgery is not the primary option and is only considered for individualized assessment in </w:t>
            </w:r>
            <w:r w:rsidRPr="00CB2EC4">
              <w:rPr>
                <w:rFonts w:ascii="Times New Roman" w:hAnsi="Times New Roman" w:cs="Times New Roman"/>
              </w:rPr>
              <w:lastRenderedPageBreak/>
              <w:t>cases of residual lesions after chemoradiotherapy.</w:t>
            </w:r>
          </w:p>
        </w:tc>
        <w:tc>
          <w:tcPr>
            <w:tcW w:w="1152" w:type="dxa"/>
            <w:vAlign w:val="center"/>
          </w:tcPr>
          <w:p w14:paraId="1D51F5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C464F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65F3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CAB8D3" w14:textId="77777777">
        <w:tc>
          <w:tcPr>
            <w:tcW w:w="10656" w:type="dxa"/>
            <w:gridSpan w:val="5"/>
            <w:tcBorders>
              <w:bottom w:val="single" w:sz="6" w:space="0" w:color="auto"/>
            </w:tcBorders>
            <w:vAlign w:val="center"/>
          </w:tcPr>
          <w:p w14:paraId="7BBCA9C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65: In cervical cancer treatment, if the stage is ⅣB, what treatment measures should be taken?</w:t>
            </w:r>
          </w:p>
        </w:tc>
      </w:tr>
      <w:tr w:rsidR="00922249" w:rsidRPr="00CB2EC4" w14:paraId="2AF830E4" w14:textId="77777777">
        <w:tc>
          <w:tcPr>
            <w:tcW w:w="2160" w:type="dxa"/>
            <w:vAlign w:val="center"/>
          </w:tcPr>
          <w:p w14:paraId="6F2135AA"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814B1BE"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staging is IVB, the following treatment measures should be taken:</w:t>
            </w:r>
            <w:r w:rsidRPr="00CB2EC4">
              <w:rPr>
                <w:rFonts w:ascii="Times New Roman" w:hAnsi="Times New Roman" w:cs="Times New Roman"/>
              </w:rPr>
              <w:br/>
            </w:r>
            <w:r w:rsidRPr="00CB2EC4">
              <w:rPr>
                <w:rFonts w:ascii="Times New Roman" w:hAnsi="Times New Roman" w:cs="Times New Roman"/>
              </w:rPr>
              <w:br/>
              <w:t>Response: For IVB stage (distant metastasis), treatment is primarily palliative chemotherapy, radiotherapy, or participation in clinical trials. The document explicitly states that IVB stage patients are not suitable for radical treatment; systemic therapy such as palliative chemotherapy is recommended, or individualized radiotherapy for symptom relief; clinical trials are also an option (source: similarity 0.460, range 5-7; similarity 0.485, range 9-11).</w:t>
            </w:r>
            <w:r w:rsidRPr="00CB2EC4">
              <w:rPr>
                <w:rFonts w:ascii="Times New Roman" w:hAnsi="Times New Roman" w:cs="Times New Roman"/>
              </w:rPr>
              <w:br/>
              <w:t>- Key contextual references:</w:t>
            </w:r>
            <w:r w:rsidRPr="00CB2EC4">
              <w:rPr>
                <w:rFonts w:ascii="Times New Roman" w:hAnsi="Times New Roman" w:cs="Times New Roman"/>
              </w:rPr>
              <w:br/>
              <w:t xml:space="preserve">  - "IVB stage FIGO 2018 non-fertility-sparing: concurrent chemoradiation or palliative chemotherapy or clinical trials" (similarity 0.460, range 5-7).</w:t>
            </w:r>
            <w:r w:rsidRPr="00CB2EC4">
              <w:rPr>
                <w:rFonts w:ascii="Times New Roman" w:hAnsi="Times New Roman" w:cs="Times New Roman"/>
              </w:rPr>
              <w:br/>
              <w:t xml:space="preserve">  - "For IVB stage cervical cancer, systemic treatment is generally the main approach, with some patients able to combine individualized radiotherapy" (similarity 0.485, range 9-11).</w:t>
            </w:r>
            <w:r w:rsidRPr="00CB2EC4">
              <w:rPr>
                <w:rFonts w:ascii="Times New Roman" w:hAnsi="Times New Roman" w:cs="Times New Roman"/>
              </w:rPr>
              <w:br/>
              <w:t>- Additional note: The document emphasizes that the prognosis for IVB stage is poor, and the treatment goal is symptom relief and survival prolongation, not cure.</w:t>
            </w:r>
            <w:r w:rsidRPr="00CB2EC4">
              <w:rPr>
                <w:rFonts w:ascii="Times New Roman" w:hAnsi="Times New Roman" w:cs="Times New Roman"/>
              </w:rPr>
              <w:br/>
            </w:r>
            <w:r w:rsidRPr="00CB2EC4">
              <w:rPr>
                <w:rFonts w:ascii="Times New Roman" w:hAnsi="Times New Roman" w:cs="Times New Roman"/>
              </w:rPr>
              <w:br/>
              <w:t>Summary</w:t>
            </w:r>
            <w:r w:rsidRPr="00CB2EC4">
              <w:rPr>
                <w:rFonts w:ascii="Times New Roman" w:hAnsi="Times New Roman" w:cs="Times New Roman"/>
              </w:rPr>
              <w:br/>
              <w:t>- All responses are based on the provided document context, primarily following FIGO 2018 staging and treatment principles.</w:t>
            </w:r>
            <w:r w:rsidRPr="00CB2EC4">
              <w:rPr>
                <w:rFonts w:ascii="Times New Roman" w:hAnsi="Times New Roman" w:cs="Times New Roman"/>
              </w:rPr>
              <w:br/>
              <w:t xml:space="preserve">- The document does not mention specific adjustments for lymph node enlargement in IVA stage treatment, </w:t>
            </w:r>
            <w:r w:rsidRPr="00CB2EC4">
              <w:rPr>
                <w:rFonts w:ascii="Times New Roman" w:hAnsi="Times New Roman" w:cs="Times New Roman"/>
              </w:rPr>
              <w:lastRenderedPageBreak/>
              <w:t>so the response remains consistent; if more details were missing, it would be noted, but the information here is sufficient.</w:t>
            </w:r>
            <w:r w:rsidRPr="00CB2EC4">
              <w:rPr>
                <w:rFonts w:ascii="Times New Roman" w:hAnsi="Times New Roman" w:cs="Times New Roman"/>
              </w:rPr>
              <w:br/>
              <w:t>- If a question exceeds the document scope, "No answer found in knowledge base" would be declared, but all questions in this set are covered.</w:t>
            </w:r>
          </w:p>
        </w:tc>
        <w:tc>
          <w:tcPr>
            <w:tcW w:w="1152" w:type="dxa"/>
            <w:vAlign w:val="center"/>
          </w:tcPr>
          <w:p w14:paraId="7CF3B0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BD815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BC89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1F11D3" w14:textId="77777777">
        <w:tc>
          <w:tcPr>
            <w:tcW w:w="2160" w:type="dxa"/>
            <w:vAlign w:val="center"/>
          </w:tcPr>
          <w:p w14:paraId="0E78610A"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B2F77AD"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IVB, the following treatment measures should be taken:</w:t>
            </w:r>
            <w:r w:rsidRPr="00CB2EC4">
              <w:rPr>
                <w:rFonts w:ascii="Times New Roman" w:hAnsi="Times New Roman" w:cs="Times New Roman"/>
              </w:rPr>
              <w:br/>
            </w:r>
            <w:r w:rsidRPr="00CB2EC4">
              <w:rPr>
                <w:rFonts w:ascii="Times New Roman" w:hAnsi="Times New Roman" w:cs="Times New Roman"/>
              </w:rPr>
              <w:br/>
              <w:t>IVB stage is defined as distant metastasis (e.g., lung, liver, bone, or inguinal lymph nodes). Treatment is primarily systemic (such as chemotherapy), and may be combined with individualized radiotherapy.</w:t>
            </w:r>
            <w:r w:rsidRPr="00CB2EC4">
              <w:rPr>
                <w:rFonts w:ascii="Times New Roman" w:hAnsi="Times New Roman" w:cs="Times New Roman"/>
              </w:rPr>
              <w:br/>
              <w:t>- Basis:</w:t>
            </w:r>
            <w:r w:rsidRPr="00CB2EC4">
              <w:rPr>
                <w:rFonts w:ascii="Times New Roman" w:hAnsi="Times New Roman" w:cs="Times New Roman"/>
              </w:rPr>
              <w:br/>
              <w:t xml:space="preserve">  - Document fragment 5 (block ID 35, block topic "Cervical Cancer Treatment Strategy") states: IVB stage is generally treated with systemic therapy as the main approach, and some patients may be combined with individualized radiotherapy.</w:t>
            </w:r>
            <w:r w:rsidRPr="00CB2EC4">
              <w:rPr>
                <w:rFonts w:ascii="Times New Roman" w:hAnsi="Times New Roman" w:cs="Times New Roman"/>
              </w:rPr>
              <w:br/>
              <w:t xml:space="preserve">  - Document fragment 3 (block ID 490, block topic "Cervical Cancer Staging and Treatment Principles") indicates: IVB stage is treated mainly with radiotherapy, or combined chemoradiotherapy.</w:t>
            </w:r>
            <w:r w:rsidRPr="00CB2EC4">
              <w:rPr>
                <w:rFonts w:ascii="Times New Roman" w:hAnsi="Times New Roman" w:cs="Times New Roman"/>
              </w:rPr>
              <w:br/>
              <w:t xml:space="preserve">  - Document fragment 26 (block ID 22, block topic "Cervical Cancer Staging Treatment Plan") table shows: IVB stage FIGO 2018 recommendation is "concurrent chemoradiotherapy or palliative chemotherapy or clinical trials".</w:t>
            </w:r>
            <w:r w:rsidRPr="00CB2EC4">
              <w:rPr>
                <w:rFonts w:ascii="Times New Roman" w:hAnsi="Times New Roman" w:cs="Times New Roman"/>
              </w:rPr>
              <w:br/>
              <w:t>- Recommended treatment measures: systemic therapy (such as platinum-based chemotherapy) is preferred, with palliative radiotherapy optionally targeting metastatic lesions. The goal is symptom control and survival prolongation, not cure.</w:t>
            </w:r>
          </w:p>
        </w:tc>
        <w:tc>
          <w:tcPr>
            <w:tcW w:w="1152" w:type="dxa"/>
            <w:vAlign w:val="center"/>
          </w:tcPr>
          <w:p w14:paraId="270F06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8405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DFF0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64F7F1" w14:textId="77777777">
        <w:tc>
          <w:tcPr>
            <w:tcW w:w="2160" w:type="dxa"/>
            <w:vAlign w:val="center"/>
          </w:tcPr>
          <w:p w14:paraId="5DFBB47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1C478A95"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stage is IVB, the following treatment measures should be adopted:</w:t>
            </w:r>
            <w:r w:rsidRPr="00CB2EC4">
              <w:rPr>
                <w:rFonts w:ascii="Times New Roman" w:hAnsi="Times New Roman" w:cs="Times New Roman"/>
              </w:rPr>
              <w:br/>
            </w:r>
            <w:r w:rsidRPr="00CB2EC4">
              <w:rPr>
                <w:rFonts w:ascii="Times New Roman" w:hAnsi="Times New Roman" w:cs="Times New Roman"/>
              </w:rPr>
              <w:br/>
              <w:t>Stage definition: IVB stage refers to cervical cancer with distant metastasis (M1), including metastasis to inguinal lymph nodes, peritoneum, lungs, liver, bones, etc. (Document fragments 10, 11, 13, 14).</w:t>
            </w:r>
            <w:r w:rsidRPr="00CB2EC4">
              <w:rPr>
                <w:rFonts w:ascii="Times New Roman" w:hAnsi="Times New Roman" w:cs="Times New Roman"/>
              </w:rPr>
              <w:br/>
              <w:t>- Treatment measures: Based on document fragments 2, 5, 13, 15, and 18, treatment for IVB stage is primarily systemic chemotherapy, which may be combined with individualized radiotherapy or palliative treatment, with clinical trials recommended. Specific regimens include:</w:t>
            </w:r>
            <w:r w:rsidRPr="00CB2EC4">
              <w:rPr>
                <w:rFonts w:ascii="Times New Roman" w:hAnsi="Times New Roman" w:cs="Times New Roman"/>
              </w:rPr>
              <w:br/>
              <w:t xml:space="preserve">  - Systemic chemotherapy: Platinum-based doublet chemotherapy is preferred, such as cisplatin combined with paclitaxel, topotecan, fluorouracil, gemcitabine, or vinorelbine; or carboplatin combined with paclitaxel (Document fragment 13).</w:t>
            </w:r>
            <w:r w:rsidRPr="00CB2EC4">
              <w:rPr>
                <w:rFonts w:ascii="Times New Roman" w:hAnsi="Times New Roman" w:cs="Times New Roman"/>
              </w:rPr>
              <w:br/>
              <w:t xml:space="preserve">  - Radiotherapy: Individualized external beam radiotherapy (EBRT) or short-course palliative radiotherapy is applied to symptomatic metastatic sites (e.g., bone metastases, lymph node enlargement) (Document fragments 5, 13, 27).</w:t>
            </w:r>
            <w:r w:rsidRPr="00CB2EC4">
              <w:rPr>
                <w:rFonts w:ascii="Times New Roman" w:hAnsi="Times New Roman" w:cs="Times New Roman"/>
              </w:rPr>
              <w:br/>
              <w:t xml:space="preserve">  - Other: Palliative supportive care (e.g., pain management), best supportive care, or participation in clinical trials (Document fragments 2, 13, 15).</w:t>
            </w:r>
            <w:r w:rsidRPr="00CB2EC4">
              <w:rPr>
                <w:rFonts w:ascii="Times New Roman" w:hAnsi="Times New Roman" w:cs="Times New Roman"/>
              </w:rPr>
              <w:br/>
              <w:t>- Basis: Document fragment 2 recommends IVB stage as "concurrent chemoradiotherapy or palliative chemotherapy or clinical trials"; document fragment 5 states that IVB stage is mainly systemic treatment, with individualized radiotherapy for some patients; document fragment 13 details chemotherapy regimens and the use of palliative radiotherapy.</w:t>
            </w:r>
          </w:p>
        </w:tc>
        <w:tc>
          <w:tcPr>
            <w:tcW w:w="1152" w:type="dxa"/>
            <w:vAlign w:val="center"/>
          </w:tcPr>
          <w:p w14:paraId="7F9C3C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DA8F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6C45E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7FC004" w14:textId="77777777">
        <w:tc>
          <w:tcPr>
            <w:tcW w:w="2160" w:type="dxa"/>
            <w:vAlign w:val="center"/>
          </w:tcPr>
          <w:p w14:paraId="5A88B071"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8E5BB5D" w14:textId="77777777" w:rsidR="00922249" w:rsidRPr="00CB2EC4" w:rsidRDefault="003011D5">
            <w:pPr>
              <w:rPr>
                <w:rFonts w:ascii="Times New Roman" w:hAnsi="Times New Roman" w:cs="Times New Roman"/>
              </w:rPr>
            </w:pPr>
            <w:r w:rsidRPr="00CB2EC4">
              <w:rPr>
                <w:rFonts w:ascii="Times New Roman" w:hAnsi="Times New Roman" w:cs="Times New Roman"/>
              </w:rPr>
              <w:t>IVB-stage cervical cancer treatment</w:t>
            </w:r>
            <w:r w:rsidRPr="00CB2EC4">
              <w:rPr>
                <w:rFonts w:ascii="Times New Roman" w:hAnsi="Times New Roman" w:cs="Times New Roman"/>
              </w:rPr>
              <w:br/>
            </w:r>
            <w:r w:rsidRPr="00CB2EC4">
              <w:rPr>
                <w:rFonts w:ascii="Times New Roman" w:hAnsi="Times New Roman" w:cs="Times New Roman"/>
              </w:rPr>
              <w:lastRenderedPageBreak/>
              <w:br/>
              <w:t xml:space="preserve">Knowledge base documents:  </w:t>
            </w:r>
            <w:r w:rsidRPr="00CB2EC4">
              <w:rPr>
                <w:rFonts w:ascii="Times New Roman" w:hAnsi="Times New Roman" w:cs="Times New Roman"/>
              </w:rPr>
              <w:br/>
              <w:t xml:space="preserve">- Primarily systemic therapy (chemotherapy ± targeted/immunotherapy), individualized combined with local radiotherapy (Document 1, 7)  </w:t>
            </w:r>
            <w:r w:rsidRPr="00CB2EC4">
              <w:rPr>
                <w:rFonts w:ascii="Times New Roman" w:hAnsi="Times New Roman" w:cs="Times New Roman"/>
              </w:rPr>
              <w:br/>
            </w:r>
            <w:r w:rsidRPr="00CB2EC4">
              <w:rPr>
                <w:rFonts w:ascii="Times New Roman" w:hAnsi="Times New Roman" w:cs="Times New Roman"/>
              </w:rPr>
              <w:br/>
              <w:t xml:space="preserve">Web search results:  </w:t>
            </w:r>
            <w:r w:rsidRPr="00CB2EC4">
              <w:rPr>
                <w:rFonts w:ascii="Times New Roman" w:hAnsi="Times New Roman" w:cs="Times New Roman"/>
              </w:rPr>
              <w:br/>
              <w:t xml:space="preserve">- Divided into two scenarios (Source 8):  </w:t>
            </w:r>
            <w:r w:rsidRPr="00CB2EC4">
              <w:rPr>
                <w:rFonts w:ascii="Times New Roman" w:hAnsi="Times New Roman" w:cs="Times New Roman"/>
              </w:rPr>
              <w:br/>
              <w:t xml:space="preserve">  - Suitable for local treatment: metastasectomy/stereotactic radiotherapy ± individualized radiotherapy ± platinum-based chemotherapy;  </w:t>
            </w:r>
            <w:r w:rsidRPr="00CB2EC4">
              <w:rPr>
                <w:rFonts w:ascii="Times New Roman" w:hAnsi="Times New Roman" w:cs="Times New Roman"/>
              </w:rPr>
              <w:br/>
              <w:t xml:space="preserve">  - Not suitable for local treatment: systemic therapy (e.g., carboplatin + paclitaxel + pembrolizumab) or supportive care.  </w:t>
            </w:r>
            <w:r w:rsidRPr="00CB2EC4">
              <w:rPr>
                <w:rFonts w:ascii="Times New Roman" w:hAnsi="Times New Roman" w:cs="Times New Roman"/>
              </w:rPr>
              <w:br/>
            </w:r>
            <w:r w:rsidRPr="00CB2EC4">
              <w:rPr>
                <w:rFonts w:ascii="Times New Roman" w:hAnsi="Times New Roman" w:cs="Times New Roman"/>
              </w:rPr>
              <w:br/>
              <w:t xml:space="preserve">Integrated recommendation:  </w:t>
            </w:r>
            <w:r w:rsidRPr="00CB2EC4">
              <w:rPr>
                <w:rFonts w:ascii="Times New Roman" w:hAnsi="Times New Roman" w:cs="Times New Roman"/>
              </w:rPr>
              <w:br/>
              <w:t xml:space="preserve">&gt; Systemic therapy as the core:  </w:t>
            </w:r>
            <w:r w:rsidRPr="00CB2EC4">
              <w:rPr>
                <w:rFonts w:ascii="Times New Roman" w:hAnsi="Times New Roman" w:cs="Times New Roman"/>
              </w:rPr>
              <w:br/>
              <w:t xml:space="preserve">&gt; - Localized treatable metastases: combine with surgery/radiotherapy;  </w:t>
            </w:r>
            <w:r w:rsidRPr="00CB2EC4">
              <w:rPr>
                <w:rFonts w:ascii="Times New Roman" w:hAnsi="Times New Roman" w:cs="Times New Roman"/>
              </w:rPr>
              <w:br/>
              <w:t>&gt; - Extensive metastases: platinum-based doublet chemotherapy (e.g., carboplatin + paclitaxel) ± pembrolizumab (preferred for PD-L1 positive patients).</w:t>
            </w:r>
          </w:p>
        </w:tc>
        <w:tc>
          <w:tcPr>
            <w:tcW w:w="1152" w:type="dxa"/>
            <w:vAlign w:val="center"/>
          </w:tcPr>
          <w:p w14:paraId="3051B0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E2B2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DE4E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8F3A5F6" w14:textId="77777777">
        <w:tc>
          <w:tcPr>
            <w:tcW w:w="2160" w:type="dxa"/>
            <w:vAlign w:val="center"/>
          </w:tcPr>
          <w:p w14:paraId="71F62FFE"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C9C1B9D"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stage is IVB, the treatment measures should be:</w:t>
            </w:r>
            <w:r w:rsidRPr="00CB2EC4">
              <w:rPr>
                <w:rFonts w:ascii="Times New Roman" w:hAnsi="Times New Roman" w:cs="Times New Roman"/>
              </w:rPr>
              <w:br/>
            </w:r>
            <w:r w:rsidRPr="00CB2EC4">
              <w:rPr>
                <w:rFonts w:ascii="Times New Roman" w:hAnsi="Times New Roman" w:cs="Times New Roman"/>
              </w:rPr>
              <w:br/>
              <w:t>systemic therapy ± local radiotherapy or concurrent chemoradiotherapy for the tumor.</w:t>
            </w:r>
            <w:r w:rsidRPr="00CB2EC4">
              <w:rPr>
                <w:rFonts w:ascii="Times New Roman" w:hAnsi="Times New Roman" w:cs="Times New Roman"/>
              </w:rPr>
              <w:br/>
              <w:t xml:space="preserve">- explanation: stage IVB (distant metastasis) is primarily treated with systemic therapy (such as chemotherapy, targeted therapy, or immunotherapy), which may be combined with local radiotherapy or concurrent chemoradiotherapy to control symptoms. </w:t>
            </w:r>
            <w:r w:rsidRPr="00CB2EC4">
              <w:rPr>
                <w:rFonts w:ascii="Times New Roman" w:hAnsi="Times New Roman" w:cs="Times New Roman"/>
              </w:rPr>
              <w:lastRenderedPageBreak/>
              <w:t>the document states that systemic therapy is the core approach, and local radiotherapy is used only for symptom relief or oligometastatic disease (document fragment 11). fragments 12 and 26 add that stage IVB has a poor prognosis, treatment focuses on palliative and supportive care, and participation in clinical trials is encouraged; immune checkpoint inhibitors (e.g., PD-L1 inhibitors) may be used for patients with specific positive biomarkers.</w:t>
            </w:r>
          </w:p>
        </w:tc>
        <w:tc>
          <w:tcPr>
            <w:tcW w:w="1152" w:type="dxa"/>
            <w:vAlign w:val="center"/>
          </w:tcPr>
          <w:p w14:paraId="5BDBFE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1C7CA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BF2B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B92713" w14:textId="77777777">
        <w:tc>
          <w:tcPr>
            <w:tcW w:w="2160" w:type="dxa"/>
            <w:vAlign w:val="center"/>
          </w:tcPr>
          <w:p w14:paraId="2632A28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F9154C0"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staging is IVB, the following treatment measures should be taken:</w:t>
            </w:r>
            <w:r w:rsidRPr="00CB2EC4">
              <w:rPr>
                <w:rFonts w:ascii="Times New Roman" w:hAnsi="Times New Roman" w:cs="Times New Roman"/>
              </w:rPr>
              <w:br/>
            </w:r>
            <w:r w:rsidRPr="00CB2EC4">
              <w:rPr>
                <w:rFonts w:ascii="Times New Roman" w:hAnsi="Times New Roman" w:cs="Times New Roman"/>
              </w:rPr>
              <w:br/>
              <w:t>IVB stage cervical cancer is defined as tumor metastasis to distant organs (such as lung, liver, bone, etc.). Treatment is primarily systemic therapy, with individualized radiotherapy possible for some patients. Systemic therapy is the first choice, using chemotherapy regimens such as cisplatin + paclitaxel ± bevacizumab to control distant metastases. For patients with oligometastases (isolated metastases), local treatment (such as radiotherapy or surgery) combined with systemic therapy may be considered, but requires individualized assessment.</w:t>
            </w:r>
            <w:r w:rsidRPr="00CB2EC4">
              <w:rPr>
                <w:rFonts w:ascii="Times New Roman" w:hAnsi="Times New Roman" w:cs="Times New Roman"/>
              </w:rPr>
              <w:br/>
              <w:t>- Based on document: Document 1 explicitly states "for IVB stage cervical cancer, systemic therapy is generally the main approach, with individualized radiotherapy possible for some patients" (fusion score 0.6000). Document 25 provides systemic treatment options, such as "cisplatin + paclitaxel ± bevacizumab" as first-line systemic therapy (fusion score 0.4278). Document 5 also supports systemic therapy as the main approach for stage IV (fusion score 0.5463).</w:t>
            </w:r>
          </w:p>
        </w:tc>
        <w:tc>
          <w:tcPr>
            <w:tcW w:w="1152" w:type="dxa"/>
            <w:vAlign w:val="center"/>
          </w:tcPr>
          <w:p w14:paraId="056D4F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9B1D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BFE4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3583D9" w14:textId="77777777">
        <w:tc>
          <w:tcPr>
            <w:tcW w:w="2160" w:type="dxa"/>
            <w:vAlign w:val="center"/>
          </w:tcPr>
          <w:p w14:paraId="281CC9E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7379D5F7"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staging is IVB, the following treatment measures should be taken:</w:t>
            </w:r>
            <w:r w:rsidRPr="00CB2EC4">
              <w:rPr>
                <w:rFonts w:ascii="Times New Roman" w:hAnsi="Times New Roman" w:cs="Times New Roman"/>
              </w:rPr>
              <w:br/>
            </w:r>
            <w:r w:rsidRPr="00CB2EC4">
              <w:rPr>
                <w:rFonts w:ascii="Times New Roman" w:hAnsi="Times New Roman" w:cs="Times New Roman"/>
              </w:rPr>
              <w:br/>
              <w:t>- According to the document: "For IVB stage cervical cancer, systemic treatment is generally the main approach, and individualized radiotherapy may be combined for some patients." (Source: [HyDE similarity: 0.729] fragment).</w:t>
            </w:r>
            <w:r w:rsidRPr="00CB2EC4">
              <w:rPr>
                <w:rFonts w:ascii="Times New Roman" w:hAnsi="Times New Roman" w:cs="Times New Roman"/>
              </w:rPr>
              <w:br/>
              <w:t>- Systemic treatment typically refers to chemotherapy (e.g., cisplatin-based regimens), which may be combined with targeted therapy or immunotherapy. Radiotherapy is used for palliative symptom relief or directed at specific metastatic lesions.</w:t>
            </w:r>
            <w:r w:rsidRPr="00CB2EC4">
              <w:rPr>
                <w:rFonts w:ascii="Times New Roman" w:hAnsi="Times New Roman" w:cs="Times New Roman"/>
              </w:rPr>
              <w:br/>
              <w:t>- Example regimen: cisplatin monotherapy or combination chemotherapy (e.g., cisplatin + paclitaxel), with individualized external beam radiotherapy added as needed (e.g., for bone metastases or pain sites).</w:t>
            </w:r>
            <w:r w:rsidRPr="00CB2EC4">
              <w:rPr>
                <w:rFonts w:ascii="Times New Roman" w:hAnsi="Times New Roman" w:cs="Times New Roman"/>
              </w:rPr>
              <w:br/>
            </w:r>
            <w:r w:rsidRPr="00CB2EC4">
              <w:rPr>
                <w:rFonts w:ascii="Times New Roman" w:hAnsi="Times New Roman" w:cs="Times New Roman"/>
              </w:rPr>
              <w:br/>
              <w:t>Summary</w:t>
            </w:r>
            <w:r w:rsidRPr="00CB2EC4">
              <w:rPr>
                <w:rFonts w:ascii="Times New Roman" w:hAnsi="Times New Roman" w:cs="Times New Roman"/>
              </w:rPr>
              <w:br/>
              <w:t>- All responses are based on the provided document fragments. The document primarily follows FIGO 2018 staging and treatment guidelines.</w:t>
            </w:r>
            <w:r w:rsidRPr="00CB2EC4">
              <w:rPr>
                <w:rFonts w:ascii="Times New Roman" w:hAnsi="Times New Roman" w:cs="Times New Roman"/>
              </w:rPr>
              <w:br/>
              <w:t>- For question 64, no relevant information is available in the document due to a staging logic conflict (IVA stage does not include lymph node metastasis).</w:t>
            </w:r>
            <w:r w:rsidRPr="00CB2EC4">
              <w:rPr>
                <w:rFonts w:ascii="Times New Roman" w:hAnsi="Times New Roman" w:cs="Times New Roman"/>
              </w:rPr>
              <w:br/>
              <w:t>- If staging uncertainties arise in clinical practice, it is recommended to refer to the latest guidelines or conduct multidisciplinary consultation.</w:t>
            </w:r>
          </w:p>
        </w:tc>
        <w:tc>
          <w:tcPr>
            <w:tcW w:w="1152" w:type="dxa"/>
            <w:vAlign w:val="center"/>
          </w:tcPr>
          <w:p w14:paraId="241250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94FA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5DD8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9CA56A" w14:textId="77777777">
        <w:tc>
          <w:tcPr>
            <w:tcW w:w="2160" w:type="dxa"/>
            <w:vAlign w:val="center"/>
          </w:tcPr>
          <w:p w14:paraId="3E0FE69C"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30ED32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cervical cancer at stage IVB (with distant organ metastasis), the treatment approach differs from stages IB to IVA. the document explicitly states: "for IVB stage cervical cancer, systemic therapy is generally the main treatment, with individualized radiotherapy </w:t>
            </w:r>
            <w:r w:rsidRPr="00CB2EC4">
              <w:rPr>
                <w:rFonts w:ascii="Times New Roman" w:hAnsi="Times New Roman" w:cs="Times New Roman"/>
              </w:rPr>
              <w:lastRenderedPageBreak/>
              <w:t xml:space="preserve">added for some patients." document fragment 14 (similarity: 0.554) recommends systemic therapy (such as chemotherapy, targeted therapy, or immunotherapy) for recurrent or metastatic cervical cancer; as IVB stage represents newly diagnosed metastatic cases, the principle of systemic therapy as the primary treatment also applies. the document does not specify concrete regimens but mentions that treatment may be combined with biomarker-guided (e.g., PD-L1) individualized therapy.  </w:t>
            </w:r>
            <w:r w:rsidRPr="00CB2EC4">
              <w:rPr>
                <w:rFonts w:ascii="Times New Roman" w:hAnsi="Times New Roman" w:cs="Times New Roman"/>
              </w:rPr>
              <w:br/>
              <w:t>treatment measures: systemic therapy as the mainstay (e.g., chemotherapy, targeted therapy, or immunotherapy), with individualized radiotherapy added for some patients.</w:t>
            </w:r>
          </w:p>
        </w:tc>
        <w:tc>
          <w:tcPr>
            <w:tcW w:w="1152" w:type="dxa"/>
            <w:vAlign w:val="center"/>
          </w:tcPr>
          <w:p w14:paraId="6AC748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A446F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6B11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692E03" w14:textId="77777777">
        <w:tc>
          <w:tcPr>
            <w:tcW w:w="2160" w:type="dxa"/>
            <w:vAlign w:val="center"/>
          </w:tcPr>
          <w:p w14:paraId="0082C34E"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38B3B1D"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IVB, the following treatment measures should be adopted:</w:t>
            </w:r>
            <w:r w:rsidRPr="00CB2EC4">
              <w:rPr>
                <w:rFonts w:ascii="Times New Roman" w:hAnsi="Times New Roman" w:cs="Times New Roman"/>
              </w:rPr>
              <w:br/>
            </w:r>
            <w:r w:rsidRPr="00CB2EC4">
              <w:rPr>
                <w:rFonts w:ascii="Times New Roman" w:hAnsi="Times New Roman" w:cs="Times New Roman"/>
              </w:rPr>
              <w:br/>
              <w:t>Response: IVB stage indicates that the tumor has spread beyond the true pelvis (distant metastasis). The document provides clear recommendations for IVB stage, with systemic therapy (chemotherapy) as the primary approach, and individualized radiotherapy may be combined for some patients:</w:t>
            </w:r>
            <w:r w:rsidRPr="00CB2EC4">
              <w:rPr>
                <w:rFonts w:ascii="Times New Roman" w:hAnsi="Times New Roman" w:cs="Times New Roman"/>
              </w:rPr>
              <w:br/>
              <w:t xml:space="preserve">  - Primary treatment: Systemic therapy (chemotherapy) is the mainstay, for example, platinum-based chemotherapy regimens. Individualized radiotherapy (such as external beam radiotherapy targeting metastatic lesions) may be combined for some patients.</w:t>
            </w:r>
            <w:r w:rsidRPr="00CB2EC4">
              <w:rPr>
                <w:rFonts w:ascii="Times New Roman" w:hAnsi="Times New Roman" w:cs="Times New Roman"/>
              </w:rPr>
              <w:br/>
              <w:t xml:space="preserve">  - Alternative treatment: For oligometastatic disease (isolated metastatic lesions), local therapy (such as radiotherapy or surgery) combined with systemic therapy may be considered; or best supportive care / </w:t>
            </w:r>
            <w:r w:rsidRPr="00CB2EC4">
              <w:rPr>
                <w:rFonts w:ascii="Times New Roman" w:hAnsi="Times New Roman" w:cs="Times New Roman"/>
              </w:rPr>
              <w:lastRenderedPageBreak/>
              <w:t>palliative care.</w:t>
            </w:r>
            <w:r w:rsidRPr="00CB2EC4">
              <w:rPr>
                <w:rFonts w:ascii="Times New Roman" w:hAnsi="Times New Roman" w:cs="Times New Roman"/>
              </w:rPr>
              <w:br/>
              <w:t xml:space="preserve">  - Evidence basis: The document explicitly states: "For IVB stage cervical cancer, systemic therapy is generally the main treatment, and individualized radiotherapy may be combined for some patients." In the section on recurrence or metastasis, it emphasizes: "For patients with extra-pelvic recurrence or metastasis, radiotherapy or exenteration is not appropriate; chemotherapy or best supportive care is recommended."</w:t>
            </w:r>
            <w:r w:rsidRPr="00CB2EC4">
              <w:rPr>
                <w:rFonts w:ascii="Times New Roman" w:hAnsi="Times New Roman" w:cs="Times New Roman"/>
              </w:rPr>
              <w:br/>
              <w:t xml:space="preserve">  - Additional note: The document mentions that IVB stage patients are difficult to cure, and the treatment goal is symptom relief and survival prolongation. Chemotherapy responses are usually short-lived, so participation in clinical trials or adoption of supportive care (e.g., "patients with refractory metastatic tumors require individualized comprehensive approaches, including end-of-life care, pain consultation, and emotional and spiritual support") is encouraged.</w:t>
            </w:r>
          </w:p>
        </w:tc>
        <w:tc>
          <w:tcPr>
            <w:tcW w:w="1152" w:type="dxa"/>
            <w:vAlign w:val="center"/>
          </w:tcPr>
          <w:p w14:paraId="7F678E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2DAFD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325E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2A8B87" w14:textId="77777777">
        <w:tc>
          <w:tcPr>
            <w:tcW w:w="2160" w:type="dxa"/>
            <w:vAlign w:val="center"/>
          </w:tcPr>
          <w:p w14:paraId="1F16E928"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CFB629F"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staging is IVB, the following treatment measures should be taken:</w:t>
            </w:r>
            <w:r w:rsidRPr="00CB2EC4">
              <w:rPr>
                <w:rFonts w:ascii="Times New Roman" w:hAnsi="Times New Roman" w:cs="Times New Roman"/>
              </w:rPr>
              <w:br/>
            </w:r>
            <w:r w:rsidRPr="00CB2EC4">
              <w:rPr>
                <w:rFonts w:ascii="Times New Roman" w:hAnsi="Times New Roman" w:cs="Times New Roman"/>
              </w:rPr>
              <w:br/>
              <w:t>based on contextual information (document excerpts 15, 21):</w:t>
            </w:r>
            <w:r w:rsidRPr="00CB2EC4">
              <w:rPr>
                <w:rFonts w:ascii="Times New Roman" w:hAnsi="Times New Roman" w:cs="Times New Roman"/>
              </w:rPr>
              <w:br/>
              <w:t>- IVB stage indicates distant metastasis (e.g., lung, liver, bone) beyond the true pelvis (FIGO 2018 staging).</w:t>
            </w:r>
            <w:r w:rsidRPr="00CB2EC4">
              <w:rPr>
                <w:rFonts w:ascii="Times New Roman" w:hAnsi="Times New Roman" w:cs="Times New Roman"/>
              </w:rPr>
              <w:br/>
              <w:t>- Level I recommendation: systemic therapy is the main treatment (e.g., chemotherapy); individualized radiotherapy may be added for some patients. Surgery is not recommended as the primary treatment.</w:t>
            </w:r>
            <w:r w:rsidRPr="00CB2EC4">
              <w:rPr>
                <w:rFonts w:ascii="Times New Roman" w:hAnsi="Times New Roman" w:cs="Times New Roman"/>
              </w:rPr>
              <w:br/>
              <w:t xml:space="preserve">  - Systemic therapy regimen: platinum-based chemotherapy is commonly used (e.g., cisplatin or carboplatin combined with paclitaxel), or targeted </w:t>
            </w:r>
            <w:r w:rsidRPr="00CB2EC4">
              <w:rPr>
                <w:rFonts w:ascii="Times New Roman" w:hAnsi="Times New Roman" w:cs="Times New Roman"/>
              </w:rPr>
              <w:lastRenderedPageBreak/>
              <w:t>therapy/immunotherapy (e.g., immune checkpoint inhibitors after PD-L1 testing).</w:t>
            </w:r>
            <w:r w:rsidRPr="00CB2EC4">
              <w:rPr>
                <w:rFonts w:ascii="Times New Roman" w:hAnsi="Times New Roman" w:cs="Times New Roman"/>
              </w:rPr>
              <w:br/>
              <w:t xml:space="preserve">  - Application of radiotherapy: local radiotherapy may be performed for oligometastatic lesions to relieve symptoms.</w:t>
            </w:r>
            <w:r w:rsidRPr="00CB2EC4">
              <w:rPr>
                <w:rFonts w:ascii="Times New Roman" w:hAnsi="Times New Roman" w:cs="Times New Roman"/>
              </w:rPr>
              <w:br/>
              <w:t>- Rationale: document excerpt 15 explicitly states "for IVB stage cervical cancer, systemic therapy is generally the main treatment, and individualized radiotherapy may be added for some patients"; document excerpt 21 emphasizes systemic therapy for patients with distant metastasis or recurrence.</w:t>
            </w:r>
            <w:r w:rsidRPr="00CB2EC4">
              <w:rPr>
                <w:rFonts w:ascii="Times New Roman" w:hAnsi="Times New Roman" w:cs="Times New Roman"/>
              </w:rPr>
              <w:br/>
              <w:t>- Answer found in the knowledge base.</w:t>
            </w:r>
          </w:p>
        </w:tc>
        <w:tc>
          <w:tcPr>
            <w:tcW w:w="1152" w:type="dxa"/>
            <w:vAlign w:val="center"/>
          </w:tcPr>
          <w:p w14:paraId="630345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F8874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EA0E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2C282A" w14:textId="77777777">
        <w:tc>
          <w:tcPr>
            <w:tcW w:w="2160" w:type="dxa"/>
            <w:vAlign w:val="center"/>
          </w:tcPr>
          <w:p w14:paraId="31377C5B"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8AA8AE2"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IVB, the following treatment measures should be adopted:</w:t>
            </w:r>
            <w:r w:rsidRPr="00CB2EC4">
              <w:rPr>
                <w:rFonts w:ascii="Times New Roman" w:hAnsi="Times New Roman" w:cs="Times New Roman"/>
              </w:rPr>
              <w:br/>
            </w:r>
            <w:r w:rsidRPr="00CB2EC4">
              <w:rPr>
                <w:rFonts w:ascii="Times New Roman" w:hAnsi="Times New Roman" w:cs="Times New Roman"/>
              </w:rPr>
              <w:br/>
              <w:t>treatment measures: systemic chemotherapy is recommended as the primary approach, which may be combined with palliative radiotherapy or targeted therapy.</w:t>
            </w:r>
            <w:r w:rsidRPr="00CB2EC4">
              <w:rPr>
                <w:rFonts w:ascii="Times New Roman" w:hAnsi="Times New Roman" w:cs="Times New Roman"/>
              </w:rPr>
              <w:br/>
              <w:t>- rationale: the context specifies that IVB stage (defined as distant metastasis, e.g., to the abdomen, lungs, or bones) centers on systemic therapy, with platinum-based chemotherapy regimens (such as carboplatin/paclitaxel) being the first choice. radiotherapy is used for symptom relief (e.g., bone metastasis pain), and targeted therapy (e.g., bevacizumab) may be considered in specific cases. the treatment goal is palliative and to control disease progression.</w:t>
            </w:r>
            <w:r w:rsidRPr="00CB2EC4">
              <w:rPr>
                <w:rFonts w:ascii="Times New Roman" w:hAnsi="Times New Roman" w:cs="Times New Roman"/>
              </w:rPr>
              <w:br/>
            </w:r>
            <w:r w:rsidRPr="00CB2EC4">
              <w:rPr>
                <w:rFonts w:ascii="Times New Roman" w:hAnsi="Times New Roman" w:cs="Times New Roman"/>
              </w:rPr>
              <w:br/>
              <w:t xml:space="preserve">note: all treatment measures above are derived from the specified literature; specific regimens must be adjusted by clinicians based on individual patient </w:t>
            </w:r>
            <w:r w:rsidRPr="00CB2EC4">
              <w:rPr>
                <w:rFonts w:ascii="Times New Roman" w:hAnsi="Times New Roman" w:cs="Times New Roman"/>
              </w:rPr>
              <w:lastRenderedPageBreak/>
              <w:t>factors (e.g., age, comorbidities). other sources (e.g., surgical textbooks) do not directly address treatment decisions for advanced stages and are therefore not cited.</w:t>
            </w:r>
          </w:p>
        </w:tc>
        <w:tc>
          <w:tcPr>
            <w:tcW w:w="1152" w:type="dxa"/>
            <w:vAlign w:val="center"/>
          </w:tcPr>
          <w:p w14:paraId="019EDD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6AFCD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6F55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7DC45D" w14:textId="77777777">
        <w:tc>
          <w:tcPr>
            <w:tcW w:w="2160" w:type="dxa"/>
            <w:vAlign w:val="center"/>
          </w:tcPr>
          <w:p w14:paraId="440D7B45"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43EDFC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cervical cancer treatment, if the stage is IVB, the following treatment measures are recommended:  </w:t>
            </w:r>
            <w:r w:rsidRPr="00CB2EC4">
              <w:rPr>
                <w:rFonts w:ascii="Times New Roman" w:hAnsi="Times New Roman" w:cs="Times New Roman"/>
              </w:rPr>
              <w:br/>
              <w:t xml:space="preserve">- Level I recommendation: Systemic therapy as the main approach (e.g., chemotherapy), with individualized radiotherapy considered for some patients (based on document excerpts 5, 12, and 27: "IVB stage is generally treated with systemic therapy as the main approach, with individualized radiotherapy added for some patients"; document excerpt 27 recommends chemotherapy as first-line systemic therapy).  </w:t>
            </w:r>
            <w:r w:rsidRPr="00CB2EC4">
              <w:rPr>
                <w:rFonts w:ascii="Times New Roman" w:hAnsi="Times New Roman" w:cs="Times New Roman"/>
              </w:rPr>
              <w:br/>
              <w:t xml:space="preserve">- Specific regimens: Platinum-based chemotherapy (e.g., cisplatin or carboplatin), which may be combined with targeted therapy or immunotherapy (based on document excerpt 27: "First-line systemic therapy includes platinum-based chemotherapy").  </w:t>
            </w:r>
            <w:r w:rsidRPr="00CB2EC4">
              <w:rPr>
                <w:rFonts w:ascii="Times New Roman" w:hAnsi="Times New Roman" w:cs="Times New Roman"/>
              </w:rPr>
              <w:br/>
              <w:t xml:space="preserve">- Supportive measures: Palliative care, nutritional support, and symptomatic management (based on document excerpts 25 and 27).  </w:t>
            </w:r>
            <w:r w:rsidRPr="00CB2EC4">
              <w:rPr>
                <w:rFonts w:ascii="Times New Roman" w:hAnsi="Times New Roman" w:cs="Times New Roman"/>
              </w:rPr>
              <w:br/>
              <w:t>Rationale: The context clearly defines IVB stage as metastatic disease to distant organs, emphasizing systemic therapy (chemotherapy) as the core approach, with radiotherapy used only for palliation of local symptoms.</w:t>
            </w:r>
          </w:p>
        </w:tc>
        <w:tc>
          <w:tcPr>
            <w:tcW w:w="1152" w:type="dxa"/>
            <w:vAlign w:val="center"/>
          </w:tcPr>
          <w:p w14:paraId="0B1AD9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0BCE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F43A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B5E9E3" w14:textId="77777777">
        <w:tc>
          <w:tcPr>
            <w:tcW w:w="2160" w:type="dxa"/>
            <w:vAlign w:val="center"/>
          </w:tcPr>
          <w:p w14:paraId="0EE3190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944C577"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treatment, if the stage is IVB, the following treatment measures should be taken:</w:t>
            </w:r>
            <w:r w:rsidRPr="00CB2EC4">
              <w:rPr>
                <w:rFonts w:ascii="Times New Roman" w:hAnsi="Times New Roman" w:cs="Times New Roman"/>
              </w:rPr>
              <w:br/>
            </w:r>
            <w:r w:rsidRPr="00CB2EC4">
              <w:rPr>
                <w:rFonts w:ascii="Times New Roman" w:hAnsi="Times New Roman" w:cs="Times New Roman"/>
              </w:rPr>
              <w:br/>
              <w:t xml:space="preserve">according to the context information (fragment 2, table 4), IVB stage is defined as distant metastasis </w:t>
            </w:r>
            <w:r w:rsidRPr="00CB2EC4">
              <w:rPr>
                <w:rFonts w:ascii="Times New Roman" w:hAnsi="Times New Roman" w:cs="Times New Roman"/>
              </w:rPr>
              <w:lastRenderedPageBreak/>
              <w:t>(e.g., lung, liver, or bone metastasis). the FIGO 2018 guidelines recommend that for IVB stage cervical cancer, treatment measures include concurrent chemoradiotherapy, palliative chemotherapy, or participation in clinical trials. the context explicitly states: "IVB stage FIGO 2018 not fertility-sparing: concurrent chemoradiotherapy or palliative chemotherapy or clinical trials" (fragment 2). this reflects a strategy primarily based on systemic therapy, aimed at controlling symptoms and prolonging survival, rather than curative treatment.</w:t>
            </w:r>
          </w:p>
        </w:tc>
        <w:tc>
          <w:tcPr>
            <w:tcW w:w="1152" w:type="dxa"/>
            <w:vAlign w:val="center"/>
          </w:tcPr>
          <w:p w14:paraId="1E5833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8BBD9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9A4A7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D481D99" w14:textId="77777777">
        <w:tc>
          <w:tcPr>
            <w:tcW w:w="2160" w:type="dxa"/>
            <w:vAlign w:val="center"/>
          </w:tcPr>
          <w:p w14:paraId="49DA8567"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F3C9563" w14:textId="77777777" w:rsidR="00922249" w:rsidRPr="00CB2EC4" w:rsidRDefault="003011D5">
            <w:pPr>
              <w:rPr>
                <w:rFonts w:ascii="Times New Roman" w:hAnsi="Times New Roman" w:cs="Times New Roman"/>
              </w:rPr>
            </w:pPr>
            <w:r w:rsidRPr="00CB2EC4">
              <w:rPr>
                <w:rFonts w:ascii="Times New Roman" w:hAnsi="Times New Roman" w:cs="Times New Roman"/>
              </w:rPr>
              <w:t>in the treatment of cervical cancer, if the staging is IVB, the following therapeutic measures should be adopted:</w:t>
            </w:r>
            <w:r w:rsidRPr="00CB2EC4">
              <w:rPr>
                <w:rFonts w:ascii="Times New Roman" w:hAnsi="Times New Roman" w:cs="Times New Roman"/>
              </w:rPr>
              <w:br/>
            </w:r>
            <w:r w:rsidRPr="00CB2EC4">
              <w:rPr>
                <w:rFonts w:ascii="Times New Roman" w:hAnsi="Times New Roman" w:cs="Times New Roman"/>
              </w:rPr>
              <w:br/>
              <w:t>→ Systemic therapy is recommended, primarily chemotherapy (e.g., paclitaxel in combination with cisplatin or carboplatin), which may be combined with bevacizumab (an anti-angiogenic agent) or immune checkpoint inhibitors (e.g., pembrolizumab, applicable for PD-L1 positive patients).</w:t>
            </w:r>
            <w:r w:rsidRPr="00CB2EC4">
              <w:rPr>
                <w:rFonts w:ascii="Times New Roman" w:hAnsi="Times New Roman" w:cs="Times New Roman"/>
              </w:rPr>
              <w:br/>
            </w:r>
            <w:r w:rsidRPr="00CB2EC4">
              <w:rPr>
                <w:rFonts w:ascii="Times New Roman" w:hAnsi="Times New Roman" w:cs="Times New Roman"/>
              </w:rPr>
              <w:br/>
              <w:t>→ IVB stage is defined as distant metastasis (M1). Treatment aims at palliative control of disease progression, prolonging survival, and improving quality of life.</w:t>
            </w:r>
            <w:r w:rsidRPr="00CB2EC4">
              <w:rPr>
                <w:rFonts w:ascii="Times New Roman" w:hAnsi="Times New Roman" w:cs="Times New Roman"/>
              </w:rPr>
              <w:br/>
            </w:r>
            <w:r w:rsidRPr="00CB2EC4">
              <w:rPr>
                <w:rFonts w:ascii="Times New Roman" w:hAnsi="Times New Roman" w:cs="Times New Roman"/>
              </w:rPr>
              <w:br/>
              <w:t>→ Local radiotherapy is used only for symptom relief (e.g., bone metastasis pain).</w:t>
            </w:r>
          </w:p>
        </w:tc>
        <w:tc>
          <w:tcPr>
            <w:tcW w:w="1152" w:type="dxa"/>
            <w:vAlign w:val="center"/>
          </w:tcPr>
          <w:p w14:paraId="323BD0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BA981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0E571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21EAE65" w14:textId="77777777">
        <w:tc>
          <w:tcPr>
            <w:tcW w:w="10656" w:type="dxa"/>
            <w:gridSpan w:val="5"/>
            <w:tcBorders>
              <w:bottom w:val="single" w:sz="6" w:space="0" w:color="auto"/>
            </w:tcBorders>
            <w:vAlign w:val="center"/>
          </w:tcPr>
          <w:p w14:paraId="42A43F56" w14:textId="77777777" w:rsidR="00922249" w:rsidRPr="00CB2EC4" w:rsidRDefault="003011D5">
            <w:pPr>
              <w:rPr>
                <w:rFonts w:ascii="Times New Roman" w:hAnsi="Times New Roman" w:cs="Times New Roman"/>
              </w:rPr>
            </w:pPr>
            <w:r w:rsidRPr="00CB2EC4">
              <w:rPr>
                <w:rFonts w:ascii="Times New Roman" w:hAnsi="Times New Roman" w:cs="Times New Roman"/>
                <w:b/>
              </w:rPr>
              <w:t>Question 66: After radical surgery for early cervical cancer, if the abdominal aortic lymph nodes are negative but high-risk factors are present, what treatment measures should be taken?</w:t>
            </w:r>
          </w:p>
        </w:tc>
      </w:tr>
      <w:tr w:rsidR="00922249" w:rsidRPr="00CB2EC4" w14:paraId="1C8C81B1" w14:textId="77777777">
        <w:tc>
          <w:tcPr>
            <w:tcW w:w="2160" w:type="dxa"/>
            <w:vAlign w:val="center"/>
          </w:tcPr>
          <w:p w14:paraId="5E151E99"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B43BF7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early-stage cervical cancer patients after radical surgery with negative para-aortic lymph nodes but </w:t>
            </w:r>
            <w:r w:rsidRPr="00CB2EC4">
              <w:rPr>
                <w:rFonts w:ascii="Times New Roman" w:hAnsi="Times New Roman" w:cs="Times New Roman"/>
              </w:rPr>
              <w:lastRenderedPageBreak/>
              <w:t>presence of high-risk factors, the recommended adjuvant treatment measures are as follows:</w:t>
            </w:r>
            <w:r w:rsidRPr="00CB2EC4">
              <w:rPr>
                <w:rFonts w:ascii="Times New Roman" w:hAnsi="Times New Roman" w:cs="Times New Roman"/>
              </w:rPr>
              <w:br/>
            </w:r>
            <w:r w:rsidRPr="00CB2EC4">
              <w:rPr>
                <w:rFonts w:ascii="Times New Roman" w:hAnsi="Times New Roman" w:cs="Times New Roman"/>
              </w:rPr>
              <w:br/>
              <w:t>- **Definition of high-risk factors**: includes positive lymph nodes, positive surgical margins, and parametrial infiltration (presence of any one factor qualifies as high-risk).</w:t>
            </w:r>
            <w:r w:rsidRPr="00CB2EC4">
              <w:rPr>
                <w:rFonts w:ascii="Times New Roman" w:hAnsi="Times New Roman" w:cs="Times New Roman"/>
              </w:rPr>
              <w:br/>
              <w:t>- **Recommended treatment**:</w:t>
            </w:r>
            <w:r w:rsidRPr="00CB2EC4">
              <w:rPr>
                <w:rFonts w:ascii="Times New Roman" w:hAnsi="Times New Roman" w:cs="Times New Roman"/>
              </w:rPr>
              <w:br/>
              <w:t xml:space="preserve">  - **Level I recommendation**: pelvic external beam radiotherapy (c) + concurrent platinum-based chemotherapy ± brachytherapy (d).</w:t>
            </w:r>
            <w:r w:rsidRPr="00CB2EC4">
              <w:rPr>
                <w:rFonts w:ascii="Times New Roman" w:hAnsi="Times New Roman" w:cs="Times New Roman"/>
              </w:rPr>
              <w:br/>
              <w:t xml:space="preserve">    - Pelvic external beam radiotherapy is typically delivered using intensity-modulated radiotherapy (IMRT) techniques, with a dose of 45–50 Gy, covering the vaginal stump, parametrial tissues, and lymph node drainage areas.</w:t>
            </w:r>
            <w:r w:rsidRPr="00CB2EC4">
              <w:rPr>
                <w:rFonts w:ascii="Times New Roman" w:hAnsi="Times New Roman" w:cs="Times New Roman"/>
              </w:rPr>
              <w:br/>
              <w:t xml:space="preserve">    - Concurrent platinum-based chemotherapy: weekly cisplatin (40 mg/m², once weekly for 4–6 cycles) is recommended, or carboplatin (AUC=2) as an alternative.</w:t>
            </w:r>
            <w:r w:rsidRPr="00CB2EC4">
              <w:rPr>
                <w:rFonts w:ascii="Times New Roman" w:hAnsi="Times New Roman" w:cs="Times New Roman"/>
              </w:rPr>
              <w:br/>
              <w:t xml:space="preserve">    - Brachytherapy is indicated for patients with positive or close vaginal surgical margins, with a dose of 5.5 Gy × 2 fractions or 6.0 Gy × 3 fractions.</w:t>
            </w:r>
            <w:r w:rsidRPr="00CB2EC4">
              <w:rPr>
                <w:rFonts w:ascii="Times New Roman" w:hAnsi="Times New Roman" w:cs="Times New Roman"/>
              </w:rPr>
              <w:br/>
              <w:t xml:space="preserve">  - **Level II recommendation**: sequential chemoradiation (e), applicable in regions with limited radiotherapy resources (based on STARS study results).</w:t>
            </w:r>
            <w:r w:rsidRPr="00CB2EC4">
              <w:rPr>
                <w:rFonts w:ascii="Times New Roman" w:hAnsi="Times New Roman" w:cs="Times New Roman"/>
              </w:rPr>
              <w:br/>
              <w:t>- **Rationale**: postoperative adjuvant radiotherapy and chemotherapy reduce the risk of pelvic recurrence and improve progression-free survival. Treatment should be initiated within 4–6 weeks after surgery in high-risk patients to control residual local disease.</w:t>
            </w:r>
            <w:r w:rsidRPr="00CB2EC4">
              <w:rPr>
                <w:rFonts w:ascii="Times New Roman" w:hAnsi="Times New Roman" w:cs="Times New Roman"/>
              </w:rPr>
              <w:br/>
            </w:r>
            <w:r w:rsidRPr="00CB2EC4">
              <w:rPr>
                <w:rFonts w:ascii="Times New Roman" w:hAnsi="Times New Roman" w:cs="Times New Roman"/>
              </w:rPr>
              <w:br/>
              <w:t xml:space="preserve">Conclusion: the preferred regimen is Level I </w:t>
            </w:r>
            <w:r w:rsidRPr="00CB2EC4">
              <w:rPr>
                <w:rFonts w:ascii="Times New Roman" w:hAnsi="Times New Roman" w:cs="Times New Roman"/>
              </w:rPr>
              <w:lastRenderedPageBreak/>
              <w:t>recommendation (pelvic external beam radiotherapy + concurrent platinum-based chemotherapy ± brachytherapy), with Level II recommendation (sequential chemoradiation) as an alternative.</w:t>
            </w:r>
          </w:p>
        </w:tc>
        <w:tc>
          <w:tcPr>
            <w:tcW w:w="1152" w:type="dxa"/>
            <w:vAlign w:val="center"/>
          </w:tcPr>
          <w:p w14:paraId="21159A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4DE22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8DA5F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D98048" w14:textId="77777777">
        <w:tc>
          <w:tcPr>
            <w:tcW w:w="2160" w:type="dxa"/>
            <w:vAlign w:val="center"/>
          </w:tcPr>
          <w:p w14:paraId="55581EA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309C7463"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early-stage cervical cancer after radical surgery: if para-aortic lymph nodes are negative but high-risk factors are present, the recommended treatment is:</w:t>
            </w:r>
            <w:r w:rsidRPr="00CB2EC4">
              <w:rPr>
                <w:rFonts w:ascii="Times New Roman" w:hAnsi="Times New Roman" w:cs="Times New Roman"/>
              </w:rPr>
              <w:br/>
            </w:r>
            <w:r w:rsidRPr="00CB2EC4">
              <w:rPr>
                <w:rFonts w:ascii="Times New Roman" w:hAnsi="Times New Roman" w:cs="Times New Roman"/>
              </w:rPr>
              <w:br/>
              <w:t xml:space="preserve">- **I-level recommendation**: pelvic external beam radiotherapy + platinum-based concurrent chemotherapy ± brachytherapy  </w:t>
            </w:r>
            <w:r w:rsidRPr="00CB2EC4">
              <w:rPr>
                <w:rFonts w:ascii="Times New Roman" w:hAnsi="Times New Roman" w:cs="Times New Roman"/>
              </w:rPr>
              <w:br/>
              <w:t xml:space="preserve">- **High-risk factors** include: positive lymph nodes, positive surgical margins, and parametrial involvement (though para-aortic lymph nodes are negative here, high-risk factors may refer to positive margins or parametrial infiltration)  </w:t>
            </w:r>
            <w:r w:rsidRPr="00CB2EC4">
              <w:rPr>
                <w:rFonts w:ascii="Times New Roman" w:hAnsi="Times New Roman" w:cs="Times New Roman"/>
              </w:rPr>
              <w:br/>
            </w:r>
            <w:r w:rsidRPr="00CB2EC4">
              <w:rPr>
                <w:rFonts w:ascii="Times New Roman" w:hAnsi="Times New Roman" w:cs="Times New Roman"/>
              </w:rPr>
              <w:br/>
              <w:t xml:space="preserve">Specific content:  </w:t>
            </w:r>
            <w:r w:rsidRPr="00CB2EC4">
              <w:rPr>
                <w:rFonts w:ascii="Times New Roman" w:hAnsi="Times New Roman" w:cs="Times New Roman"/>
              </w:rPr>
              <w:br/>
              <w:t xml:space="preserve">"Para-aortic lymph nodes negative, stratification: high-risk factorsa I-level recommendation: pelvic external beam radiotherapyc + platinum-based concurrent chemotherapy ± brachytherapyd"  </w:t>
            </w:r>
            <w:r w:rsidRPr="00CB2EC4">
              <w:rPr>
                <w:rFonts w:ascii="Times New Roman" w:hAnsi="Times New Roman" w:cs="Times New Roman"/>
              </w:rPr>
              <w:br/>
            </w:r>
            <w:r w:rsidRPr="00CB2EC4">
              <w:rPr>
                <w:rFonts w:ascii="Times New Roman" w:hAnsi="Times New Roman" w:cs="Times New Roman"/>
              </w:rPr>
              <w:br/>
              <w:t>Therefore, the recommended treatment is: pelvic external beam radiotherapy combined with platinum-based concurrent chemotherapy, with possible addition of brachytherapy.</w:t>
            </w:r>
          </w:p>
        </w:tc>
        <w:tc>
          <w:tcPr>
            <w:tcW w:w="1152" w:type="dxa"/>
            <w:vAlign w:val="center"/>
          </w:tcPr>
          <w:p w14:paraId="7D29C8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030A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C14D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C8BA59" w14:textId="77777777">
        <w:tc>
          <w:tcPr>
            <w:tcW w:w="2160" w:type="dxa"/>
            <w:vAlign w:val="center"/>
          </w:tcPr>
          <w:p w14:paraId="671B2BC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86BB1D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early-stage cervical cancer patients after radical surgery with negative para-aortic lymph nodes but presence of high-risk factors, the recommended treatment is: pelvic external beam radiotherapy + platinum-based concurrent chemotherapy ± </w:t>
            </w:r>
            <w:r w:rsidRPr="00CB2EC4">
              <w:rPr>
                <w:rFonts w:ascii="Times New Roman" w:hAnsi="Times New Roman" w:cs="Times New Roman"/>
              </w:rPr>
              <w:lastRenderedPageBreak/>
              <w:t>brachytherapy (Level I recommendation).</w:t>
            </w:r>
            <w:r w:rsidRPr="00CB2EC4">
              <w:rPr>
                <w:rFonts w:ascii="Times New Roman" w:hAnsi="Times New Roman" w:cs="Times New Roman"/>
              </w:rPr>
              <w:br/>
            </w:r>
            <w:r w:rsidRPr="00CB2EC4">
              <w:rPr>
                <w:rFonts w:ascii="Times New Roman" w:hAnsi="Times New Roman" w:cs="Times New Roman"/>
              </w:rPr>
              <w:br/>
              <w:t>according to document fragment 1 (relevance: 1.000), high-risk factors include lymph node positivity, positive surgical margins, or parametrial infiltration; the Level I recommended treatment is pelvic external beam radiotherapy + platinum-based concurrent chemotherapy ± brachytherapy. document fragment 3 (relevance: 0.900) and document fragment 10 (relevance: 0.800) further support this recommendation, stating that high-risk factors (such as positive surgical margins, lymph node metastasis, or parametrial spread) should receive postoperative radiotherapy (PORT) plus platinum-based concurrent chemotherapy to improve survival rates (evidence level I). document fragment 12 (relevance: 0.800) also indicates that the combined use of postoperative radiotherapy and chemotherapy improves disease-free survival.</w:t>
            </w:r>
            <w:r w:rsidRPr="00CB2EC4">
              <w:rPr>
                <w:rFonts w:ascii="Times New Roman" w:hAnsi="Times New Roman" w:cs="Times New Roman"/>
              </w:rPr>
              <w:br/>
            </w:r>
            <w:r w:rsidRPr="00CB2EC4">
              <w:rPr>
                <w:rFonts w:ascii="Times New Roman" w:hAnsi="Times New Roman" w:cs="Times New Roman"/>
              </w:rPr>
              <w:br/>
              <w:t>summary recommendation: pelvic external beam radiotherapy + platinum-based concurrent chemotherapy ± brachytherapy (Level I recommendation).</w:t>
            </w:r>
          </w:p>
        </w:tc>
        <w:tc>
          <w:tcPr>
            <w:tcW w:w="1152" w:type="dxa"/>
            <w:vAlign w:val="center"/>
          </w:tcPr>
          <w:p w14:paraId="769317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401BC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1AFC9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329CCF2" w14:textId="77777777">
        <w:tc>
          <w:tcPr>
            <w:tcW w:w="2160" w:type="dxa"/>
            <w:vAlign w:val="center"/>
          </w:tcPr>
          <w:p w14:paraId="32A1CC36"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424125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Level I recommendation: pelvic external beam radiotherapy + platinum-based concurrent chemotherapy ± vaginal brachytherapy.  </w:t>
            </w:r>
            <w:r w:rsidRPr="00CB2EC4">
              <w:rPr>
                <w:rFonts w:ascii="Times New Roman" w:hAnsi="Times New Roman" w:cs="Times New Roman"/>
              </w:rPr>
              <w:br/>
              <w:t xml:space="preserve">- Level II recommendation: sequential chemoradiation (chemotherapy followed by radiotherapy).  </w:t>
            </w:r>
            <w:r w:rsidRPr="00CB2EC4">
              <w:rPr>
                <w:rFonts w:ascii="Times New Roman" w:hAnsi="Times New Roman" w:cs="Times New Roman"/>
              </w:rPr>
              <w:br/>
              <w:t xml:space="preserve">Basis:  </w:t>
            </w:r>
            <w:r w:rsidRPr="00CB2EC4">
              <w:rPr>
                <w:rFonts w:ascii="Times New Roman" w:hAnsi="Times New Roman" w:cs="Times New Roman"/>
              </w:rPr>
              <w:br/>
              <w:t xml:space="preserve">&gt; The knowledge base document explicitly states: for "negative para-aortic lymph nodes" with "high-risk factors" (positive lymph nodes, positive surgical margins, parametrial infiltration), adjuvant pelvic </w:t>
            </w:r>
            <w:r w:rsidRPr="00CB2EC4">
              <w:rPr>
                <w:rFonts w:ascii="Times New Roman" w:hAnsi="Times New Roman" w:cs="Times New Roman"/>
              </w:rPr>
              <w:lastRenderedPageBreak/>
              <w:t>external beam radiotherapy + platinum-based concurrent chemotherapy (evidence level I) is required, with vaginal brachytherapy added when necessary (section: *Adjuvant Treatment for Early-stage Cervical Cancer After Radical Surgery*).</w:t>
            </w:r>
          </w:p>
        </w:tc>
        <w:tc>
          <w:tcPr>
            <w:tcW w:w="1152" w:type="dxa"/>
            <w:vAlign w:val="center"/>
          </w:tcPr>
          <w:p w14:paraId="76DFEA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73E61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3444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3A057E3" w14:textId="77777777">
        <w:tc>
          <w:tcPr>
            <w:tcW w:w="2160" w:type="dxa"/>
            <w:vAlign w:val="center"/>
          </w:tcPr>
          <w:p w14:paraId="45A8272C"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EF392DB" w14:textId="77777777" w:rsidR="00922249" w:rsidRPr="00CB2EC4" w:rsidRDefault="003011D5">
            <w:pPr>
              <w:rPr>
                <w:rFonts w:ascii="Times New Roman" w:hAnsi="Times New Roman" w:cs="Times New Roman"/>
              </w:rPr>
            </w:pPr>
            <w:r w:rsidRPr="00CB2EC4">
              <w:rPr>
                <w:rFonts w:ascii="Times New Roman" w:hAnsi="Times New Roman" w:cs="Times New Roman"/>
              </w:rPr>
              <w:t>for early-stage cervical cancer patients with negative para-aortic lymph nodes but high-risk factors after radical surgery, the recommended treatment measures according to document section 4 ("9. Adjuvant Therapy After Radical Surgery for Early Cervical Cancer") are as follows:</w:t>
            </w:r>
            <w:r w:rsidRPr="00CB2EC4">
              <w:rPr>
                <w:rFonts w:ascii="Times New Roman" w:hAnsi="Times New Roman" w:cs="Times New Roman"/>
              </w:rPr>
              <w:br/>
              <w:t>- Level I recommendation: Pelvic external beam radiotherapy + platinum-based concurrent chemotherapy ± brachytherapy.</w:t>
            </w:r>
            <w:r w:rsidRPr="00CB2EC4">
              <w:rPr>
                <w:rFonts w:ascii="Times New Roman" w:hAnsi="Times New Roman" w:cs="Times New Roman"/>
              </w:rPr>
              <w:br/>
              <w:t>- Level II recommendation: Sequential chemoradiation (specific regimen not detailed; typically refers to sequential combination of radiotherapy and chemotherapy).</w:t>
            </w:r>
            <w:r w:rsidRPr="00CB2EC4">
              <w:rPr>
                <w:rFonts w:ascii="Times New Roman" w:hAnsi="Times New Roman" w:cs="Times New Roman"/>
              </w:rPr>
              <w:br/>
              <w:t>High-risk factors include positive lymph nodes, positive surgical margins, and parametrial infiltration (see footnote a in document section 4). These recommendations are based on postoperative pathological findings and aim to reduce recurrence risk and improve survival rates.</w:t>
            </w:r>
          </w:p>
        </w:tc>
        <w:tc>
          <w:tcPr>
            <w:tcW w:w="1152" w:type="dxa"/>
            <w:vAlign w:val="center"/>
          </w:tcPr>
          <w:p w14:paraId="4155CD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BA72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2B778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D22E60" w14:textId="77777777">
        <w:tc>
          <w:tcPr>
            <w:tcW w:w="2160" w:type="dxa"/>
            <w:vAlign w:val="center"/>
          </w:tcPr>
          <w:p w14:paraId="395855F0"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CE5B40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radical surgery for early-stage cervical cancer, if para-aortic lymph nodes are negative but high-risk factors are present, the recommended treatment measures are:  </w:t>
            </w:r>
            <w:r w:rsidRPr="00CB2EC4">
              <w:rPr>
                <w:rFonts w:ascii="Times New Roman" w:hAnsi="Times New Roman" w:cs="Times New Roman"/>
              </w:rPr>
              <w:br/>
              <w:t xml:space="preserve">- Level I recommendation: pelvic external beam radiotherapy + concurrent platinum-based chemotherapy ± brachytherapy.  </w:t>
            </w:r>
            <w:r w:rsidRPr="00CB2EC4">
              <w:rPr>
                <w:rFonts w:ascii="Times New Roman" w:hAnsi="Times New Roman" w:cs="Times New Roman"/>
              </w:rPr>
              <w:br/>
              <w:t xml:space="preserve">This is based on the section "Postoperative Adjuvant Therapy for Early-Stage Cervical Cancer" in </w:t>
            </w:r>
            <w:r w:rsidRPr="00CB2EC4">
              <w:rPr>
                <w:rFonts w:ascii="Times New Roman" w:hAnsi="Times New Roman" w:cs="Times New Roman"/>
              </w:rPr>
              <w:lastRenderedPageBreak/>
              <w:t xml:space="preserve">document 4, which explicitly states that patients with high-risk factors should receive pelvic external beam radiotherapy combined with concurrent platinum-based chemotherapy, and may be supplemented with brachytherapy to improve local control rates.  </w:t>
            </w:r>
            <w:r w:rsidRPr="00CB2EC4">
              <w:rPr>
                <w:rFonts w:ascii="Times New Roman" w:hAnsi="Times New Roman" w:cs="Times New Roman"/>
              </w:rPr>
              <w:br/>
              <w:t>High-risk factors include positive lymph nodes, positive surgical margins, and parametrial infiltration.</w:t>
            </w:r>
          </w:p>
        </w:tc>
        <w:tc>
          <w:tcPr>
            <w:tcW w:w="1152" w:type="dxa"/>
            <w:vAlign w:val="center"/>
          </w:tcPr>
          <w:p w14:paraId="633924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242AA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90A3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34DDB0" w14:textId="77777777">
        <w:tc>
          <w:tcPr>
            <w:tcW w:w="2160" w:type="dxa"/>
            <w:vAlign w:val="center"/>
          </w:tcPr>
          <w:p w14:paraId="6749F81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BC01ED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early-stage cervical cancer patients after radical surgery with negative para-aortic lymph nodes but presence of high-risk factors, the recommended treatment measures are as follows:  </w:t>
            </w:r>
            <w:r w:rsidRPr="00CB2EC4">
              <w:rPr>
                <w:rFonts w:ascii="Times New Roman" w:hAnsi="Times New Roman" w:cs="Times New Roman"/>
              </w:rPr>
              <w:br/>
              <w:t xml:space="preserve">- High-risk factors a: include positive lymph nodes, positive surgical margins, and parametrial involvement (any one of these qualifies as high-risk).  </w:t>
            </w:r>
            <w:r w:rsidRPr="00CB2EC4">
              <w:rPr>
                <w:rFonts w:ascii="Times New Roman" w:hAnsi="Times New Roman" w:cs="Times New Roman"/>
              </w:rPr>
              <w:br/>
              <w:t xml:space="preserve">- Level I recommendation (highest): pelvic external beam radiotherapy (EBRT) + concurrent platinum-based chemotherapy ± brachytherapy.  </w:t>
            </w:r>
            <w:r w:rsidRPr="00CB2EC4">
              <w:rPr>
                <w:rFonts w:ascii="Times New Roman" w:hAnsi="Times New Roman" w:cs="Times New Roman"/>
              </w:rPr>
              <w:br/>
              <w:t xml:space="preserve">- Level II recommendation: sequential chemoradiation.  </w:t>
            </w:r>
            <w:r w:rsidRPr="00CB2EC4">
              <w:rPr>
                <w:rFonts w:ascii="Times New Roman" w:hAnsi="Times New Roman" w:cs="Times New Roman"/>
              </w:rPr>
              <w:br/>
              <w:t>Therefore, the preferred treatment is pelvic external beam radiotherapy combined with concurrent platinum-based chemotherapy, with possible addition of brachytherapy. If the patient cannot tolerate concurrent chemotherapy, sequential chemoradiation may be considered as an alternative.</w:t>
            </w:r>
          </w:p>
        </w:tc>
        <w:tc>
          <w:tcPr>
            <w:tcW w:w="1152" w:type="dxa"/>
            <w:vAlign w:val="center"/>
          </w:tcPr>
          <w:p w14:paraId="346C01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897F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F7A9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A4DB5A" w14:textId="77777777">
        <w:tc>
          <w:tcPr>
            <w:tcW w:w="2160" w:type="dxa"/>
            <w:vAlign w:val="center"/>
          </w:tcPr>
          <w:p w14:paraId="62297763"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BD5F19F"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negative para-aortic lymph nodes but high-risk factors after radical surgery for early-stage cervical cancer, the recommended treatment is:</w:t>
            </w:r>
            <w:r w:rsidRPr="00CB2EC4">
              <w:rPr>
                <w:rFonts w:ascii="Times New Roman" w:hAnsi="Times New Roman" w:cs="Times New Roman"/>
              </w:rPr>
              <w:br/>
            </w:r>
            <w:r w:rsidRPr="00CB2EC4">
              <w:rPr>
                <w:rFonts w:ascii="Times New Roman" w:hAnsi="Times New Roman" w:cs="Times New Roman"/>
              </w:rPr>
              <w:br/>
              <w:t>- pelvic external beam radiotherapy + concurrent platinum-based chemotherapy ± brachytherapy</w:t>
            </w:r>
            <w:r w:rsidRPr="00CB2EC4">
              <w:rPr>
                <w:rFonts w:ascii="Times New Roman" w:hAnsi="Times New Roman" w:cs="Times New Roman"/>
              </w:rPr>
              <w:br/>
            </w:r>
            <w:r w:rsidRPr="00CB2EC4">
              <w:rPr>
                <w:rFonts w:ascii="Times New Roman" w:hAnsi="Times New Roman" w:cs="Times New Roman"/>
              </w:rPr>
              <w:br/>
              <w:t xml:space="preserve">High-risk factors include positive lymph nodes, </w:t>
            </w:r>
            <w:r w:rsidRPr="00CB2EC4">
              <w:rPr>
                <w:rFonts w:ascii="Times New Roman" w:hAnsi="Times New Roman" w:cs="Times New Roman"/>
              </w:rPr>
              <w:lastRenderedPageBreak/>
              <w:t>positive surgical margins, and parametrial involvement (as noted in annotation a of document fragment 2).</w:t>
            </w:r>
            <w:r w:rsidRPr="00CB2EC4">
              <w:rPr>
                <w:rFonts w:ascii="Times New Roman" w:hAnsi="Times New Roman" w:cs="Times New Roman"/>
              </w:rPr>
              <w:br/>
            </w:r>
            <w:r w:rsidRPr="00CB2EC4">
              <w:rPr>
                <w:rFonts w:ascii="Times New Roman" w:hAnsi="Times New Roman" w:cs="Times New Roman"/>
              </w:rPr>
              <w:br/>
              <w:t>Therefore, the recommended regimen is pelvic external beam radiotherapy combined with concurrent platinum-based chemotherapy, with brachytherapy considered based on individual circumstances.</w:t>
            </w:r>
          </w:p>
        </w:tc>
        <w:tc>
          <w:tcPr>
            <w:tcW w:w="1152" w:type="dxa"/>
            <w:vAlign w:val="center"/>
          </w:tcPr>
          <w:p w14:paraId="09A346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DDA2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B923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6750847" w14:textId="77777777">
        <w:tc>
          <w:tcPr>
            <w:tcW w:w="2160" w:type="dxa"/>
            <w:vAlign w:val="center"/>
          </w:tcPr>
          <w:p w14:paraId="707FB67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E885BA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para-aortic lymph nodes are negative but high-risk factors are present after radical surgery for early-stage cervical cancer, the recommended treatment measures are:  </w:t>
            </w:r>
            <w:r w:rsidRPr="00CB2EC4">
              <w:rPr>
                <w:rFonts w:ascii="Times New Roman" w:hAnsi="Times New Roman" w:cs="Times New Roman"/>
              </w:rPr>
              <w:br/>
              <w:t xml:space="preserve">- Level I recommendation: pelvic external beam radiotherapy + concurrent platinum-based chemotherapy ± brachytherapy (evidence level I).  </w:t>
            </w:r>
            <w:r w:rsidRPr="00CB2EC4">
              <w:rPr>
                <w:rFonts w:ascii="Times New Roman" w:hAnsi="Times New Roman" w:cs="Times New Roman"/>
              </w:rPr>
              <w:br/>
              <w:t xml:space="preserve">- Specific regimen: concurrent chemotherapy typically uses cisplatin monotherapy (weekly at 40 mg/m², for 4–6 cycles); if the patient cannot tolerate cisplatin, carboplatin may be selected (AUC=2, weekly, for 4–6 cycles).  </w:t>
            </w:r>
            <w:r w:rsidRPr="00CB2EC4">
              <w:rPr>
                <w:rFonts w:ascii="Times New Roman" w:hAnsi="Times New Roman" w:cs="Times New Roman"/>
              </w:rPr>
              <w:br/>
              <w:t xml:space="preserve">- The document emphasizes that the presence of any one high-risk factor (including positive lymph nodes, positive surgical margins, or parametrial infiltration) warrants adjuvant pelvic external beam radiotherapy + concurrent platinum-based chemotherapy ± vaginal brachytherapy to reduce the risk of recurrence.  </w:t>
            </w:r>
            <w:r w:rsidRPr="00CB2EC4">
              <w:rPr>
                <w:rFonts w:ascii="Times New Roman" w:hAnsi="Times New Roman" w:cs="Times New Roman"/>
              </w:rPr>
              <w:br/>
              <w:t>Source: first relevant document excerpt ("Para-aortic lymph nodes negative Stratification: high-risk factors a Level I recommendation..." and "Possessing any one 'high-risk factor' is recommended...").</w:t>
            </w:r>
          </w:p>
        </w:tc>
        <w:tc>
          <w:tcPr>
            <w:tcW w:w="1152" w:type="dxa"/>
            <w:vAlign w:val="center"/>
          </w:tcPr>
          <w:p w14:paraId="003127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8BBBF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B832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956FF7" w14:textId="77777777">
        <w:tc>
          <w:tcPr>
            <w:tcW w:w="2160" w:type="dxa"/>
            <w:vAlign w:val="center"/>
          </w:tcPr>
          <w:p w14:paraId="22CB47B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B8BDD1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radical surgery for early-stage cervical cancer, if the para-aortic lymph nodes are negative but high-risk factors are present, the recommended treatment </w:t>
            </w:r>
            <w:r w:rsidRPr="00CB2EC4">
              <w:rPr>
                <w:rFonts w:ascii="Times New Roman" w:hAnsi="Times New Roman" w:cs="Times New Roman"/>
              </w:rPr>
              <w:lastRenderedPageBreak/>
              <w:t>measures are:</w:t>
            </w:r>
            <w:r w:rsidRPr="00CB2EC4">
              <w:rPr>
                <w:rFonts w:ascii="Times New Roman" w:hAnsi="Times New Roman" w:cs="Times New Roman"/>
              </w:rPr>
              <w:br/>
            </w:r>
            <w:r w:rsidRPr="00CB2EC4">
              <w:rPr>
                <w:rFonts w:ascii="Times New Roman" w:hAnsi="Times New Roman" w:cs="Times New Roman"/>
              </w:rPr>
              <w:br/>
              <w:t>- High-risk factors include: positive lymph nodes, positive surgical margins, and parametrial infiltration (footnote a).</w:t>
            </w:r>
            <w:r w:rsidRPr="00CB2EC4">
              <w:rPr>
                <w:rFonts w:ascii="Times New Roman" w:hAnsi="Times New Roman" w:cs="Times New Roman"/>
              </w:rPr>
              <w:br/>
              <w:t>- Treatment recommendation (Level I): pelvic external beam radiotherapy (EBRT) plus platinum-based concurrent chemotherapy (typically cisplatin), with the possible addition of brachytherapy. Specific regimen:</w:t>
            </w:r>
            <w:r w:rsidRPr="00CB2EC4">
              <w:rPr>
                <w:rFonts w:ascii="Times New Roman" w:hAnsi="Times New Roman" w:cs="Times New Roman"/>
              </w:rPr>
              <w:br/>
              <w:t xml:space="preserve">  - Pelvic EBRT: intensity-modulated radiotherapy (IMRT) is recommended, with a dose of 45–50 Gy.</w:t>
            </w:r>
            <w:r w:rsidRPr="00CB2EC4">
              <w:rPr>
                <w:rFonts w:ascii="Times New Roman" w:hAnsi="Times New Roman" w:cs="Times New Roman"/>
              </w:rPr>
              <w:br/>
              <w:t xml:space="preserve">  - Platinum-based concurrent chemotherapy: weekly cisplatin (40 mg/m², once weekly for 4–6 cycles); carboplatin may be substituted if cisplatin is not tolerated.</w:t>
            </w:r>
            <w:r w:rsidRPr="00CB2EC4">
              <w:rPr>
                <w:rFonts w:ascii="Times New Roman" w:hAnsi="Times New Roman" w:cs="Times New Roman"/>
              </w:rPr>
              <w:br/>
              <w:t xml:space="preserve">  - Brachytherapy: indicated for patients with positive or close vaginal surgical margins to reduce recurrence risk.</w:t>
            </w:r>
            <w:r w:rsidRPr="00CB2EC4">
              <w:rPr>
                <w:rFonts w:ascii="Times New Roman" w:hAnsi="Times New Roman" w:cs="Times New Roman"/>
              </w:rPr>
              <w:br/>
              <w:t>This recommendation is based on Level I evidence (high-quality evidence) and aims to reduce recurrence risk and improve survival rates.</w:t>
            </w:r>
          </w:p>
        </w:tc>
        <w:tc>
          <w:tcPr>
            <w:tcW w:w="1152" w:type="dxa"/>
            <w:vAlign w:val="center"/>
          </w:tcPr>
          <w:p w14:paraId="6FAEE8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21C7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DC89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2F2482" w14:textId="77777777">
        <w:tc>
          <w:tcPr>
            <w:tcW w:w="2160" w:type="dxa"/>
            <w:vAlign w:val="center"/>
          </w:tcPr>
          <w:p w14:paraId="58F521B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F1BFC5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radical surgery for early-stage cervical cancer, if para-aortic lymph nodes are negative but high-risk factors are present, the recommended treatment measures are as follows:  </w:t>
            </w:r>
            <w:r w:rsidRPr="00CB2EC4">
              <w:rPr>
                <w:rFonts w:ascii="Times New Roman" w:hAnsi="Times New Roman" w:cs="Times New Roman"/>
              </w:rPr>
              <w:br/>
              <w:t xml:space="preserve">- Level I recommendation: pelvic external beam radiotherapy + platinum-based concurrent chemotherapy ± brachytherapy.  </w:t>
            </w:r>
            <w:r w:rsidRPr="00CB2EC4">
              <w:rPr>
                <w:rFonts w:ascii="Times New Roman" w:hAnsi="Times New Roman" w:cs="Times New Roman"/>
              </w:rPr>
              <w:br/>
              <w:t xml:space="preserve">- Level II recommendation: sequential chemoradiation (i.e., chemotherapy followed by radiotherapy).  </w:t>
            </w:r>
            <w:r w:rsidRPr="00CB2EC4">
              <w:rPr>
                <w:rFonts w:ascii="Times New Roman" w:hAnsi="Times New Roman" w:cs="Times New Roman"/>
              </w:rPr>
              <w:br/>
              <w:t>These recommendations are based on a stratified strategy for postoperative adjuvant therapy, aimed at reducing recurrence risk and improving progression-</w:t>
            </w:r>
            <w:r w:rsidRPr="00CB2EC4">
              <w:rPr>
                <w:rFonts w:ascii="Times New Roman" w:hAnsi="Times New Roman" w:cs="Times New Roman"/>
              </w:rPr>
              <w:lastRenderedPageBreak/>
              <w:t>free survival. The document explicitly states that in the presence of high-risk factors, further imaging is required to exclude distant metastases; if none are found, the above combined radiotherapy and chemotherapy regimen should be adopted (source: section "9. Postoperative Adjuvant Therapy for Early-Stage Cervical Cancer After Radical Surgery" in [similarity: 0.548] fragment).</w:t>
            </w:r>
          </w:p>
        </w:tc>
        <w:tc>
          <w:tcPr>
            <w:tcW w:w="1152" w:type="dxa"/>
            <w:vAlign w:val="center"/>
          </w:tcPr>
          <w:p w14:paraId="7FAB93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43936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1E520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9D643A2" w14:textId="77777777">
        <w:tc>
          <w:tcPr>
            <w:tcW w:w="2160" w:type="dxa"/>
            <w:vAlign w:val="center"/>
          </w:tcPr>
          <w:p w14:paraId="51987B9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1C982E7"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negative para-aortic lymph nodes but high-risk factors after radical surgery for early-stage cervical cancer:</w:t>
            </w:r>
            <w:r w:rsidRPr="00CB2EC4">
              <w:rPr>
                <w:rFonts w:ascii="Times New Roman" w:hAnsi="Times New Roman" w:cs="Times New Roman"/>
              </w:rPr>
              <w:br/>
            </w:r>
            <w:r w:rsidRPr="00CB2EC4">
              <w:rPr>
                <w:rFonts w:ascii="Times New Roman" w:hAnsi="Times New Roman" w:cs="Times New Roman"/>
              </w:rPr>
              <w:br/>
              <w:t>- Level I recommendation: pelvic external beam radiotherapy + concurrent platinum-based chemotherapy ± brachytherapy</w:t>
            </w:r>
            <w:r w:rsidRPr="00CB2EC4">
              <w:rPr>
                <w:rFonts w:ascii="Times New Roman" w:hAnsi="Times New Roman" w:cs="Times New Roman"/>
              </w:rPr>
              <w:br/>
              <w:t>- Level II recommendation: sequential chemoradiotherapy (Level I is preferred)</w:t>
            </w:r>
            <w:r w:rsidRPr="00CB2EC4">
              <w:rPr>
                <w:rFonts w:ascii="Times New Roman" w:hAnsi="Times New Roman" w:cs="Times New Roman"/>
              </w:rPr>
              <w:br/>
              <w:t>- High-risk factors include: positive lymph nodes, positive surgical margins, and parametrial involvement (see Note a in Document Fragment 1)</w:t>
            </w:r>
            <w:r w:rsidRPr="00CB2EC4">
              <w:rPr>
                <w:rFonts w:ascii="Times New Roman" w:hAnsi="Times New Roman" w:cs="Times New Roman"/>
              </w:rPr>
              <w:br/>
            </w:r>
            <w:r w:rsidRPr="00CB2EC4">
              <w:rPr>
                <w:rFonts w:ascii="Times New Roman" w:hAnsi="Times New Roman" w:cs="Times New Roman"/>
              </w:rPr>
              <w:br/>
              <w:t>this recommendation is based on adjuvant treatment guidelines after radical surgery for early-stage cervical cancer, with high-level evidence.</w:t>
            </w:r>
          </w:p>
        </w:tc>
        <w:tc>
          <w:tcPr>
            <w:tcW w:w="1152" w:type="dxa"/>
            <w:vAlign w:val="center"/>
          </w:tcPr>
          <w:p w14:paraId="0AAFC3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E0F3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D7B8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594B0C" w14:textId="77777777">
        <w:tc>
          <w:tcPr>
            <w:tcW w:w="2160" w:type="dxa"/>
            <w:vAlign w:val="center"/>
          </w:tcPr>
          <w:p w14:paraId="5BED810E"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17CE2C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radical surgery for early-stage cervical cancer, if para-aortic lymph nodes are negative but high-risk factors are present, the recommended treatment measures are as follows:  </w:t>
            </w:r>
            <w:r w:rsidRPr="00CB2EC4">
              <w:rPr>
                <w:rFonts w:ascii="Times New Roman" w:hAnsi="Times New Roman" w:cs="Times New Roman"/>
              </w:rPr>
              <w:br/>
              <w:t xml:space="preserve">- Level I recommendation: Pelvic external beam radiotherapy + concurrent platinum-based chemotherapy ± brachytherapy.  </w:t>
            </w:r>
            <w:r w:rsidRPr="00CB2EC4">
              <w:rPr>
                <w:rFonts w:ascii="Times New Roman" w:hAnsi="Times New Roman" w:cs="Times New Roman"/>
              </w:rPr>
              <w:br/>
              <w:t xml:space="preserve">  - Note: High-risk factors include positive pelvic lymph nodes, positive surgical margins, or parametrial </w:t>
            </w:r>
            <w:r w:rsidRPr="00CB2EC4">
              <w:rPr>
                <w:rFonts w:ascii="Times New Roman" w:hAnsi="Times New Roman" w:cs="Times New Roman"/>
              </w:rPr>
              <w:lastRenderedPageBreak/>
              <w:t xml:space="preserve">involvement (see Note a). Concurrent chemotherapy typically uses cisplatin (e.g., cisplatin 40 mg/m², weekly for 4–6 cycles); if the patient cannot tolerate cisplatin, carboplatin may be substituted (AUC=2, weekly for 4–6 cycles). The dose for pelvic external beam radiotherapy is usually 45–50 Gy. Brachytherapy is indicated for cases with positive vaginal cuff or close margins (e.g., vaginal submucosa 0.5 cm, 5.5 Gy × 2 fractions).  </w:t>
            </w:r>
            <w:r w:rsidRPr="00CB2EC4">
              <w:rPr>
                <w:rFonts w:ascii="Times New Roman" w:hAnsi="Times New Roman" w:cs="Times New Roman"/>
              </w:rPr>
              <w:br/>
              <w:t xml:space="preserve">- Level II recommendation: Sequential chemoradiotherapy (applicable in regions with limited radiotherapy resources, based on STARS trial evidence).  </w:t>
            </w:r>
            <w:r w:rsidRPr="00CB2EC4">
              <w:rPr>
                <w:rFonts w:ascii="Times New Roman" w:hAnsi="Times New Roman" w:cs="Times New Roman"/>
              </w:rPr>
              <w:br/>
              <w:t>- Basis: This recommendation is from the section "9 Adjuvant therapy after radical surgery for early-stage cervical cancer," emphasizing initiation of treatment within 4–6 weeks post-surgery to reduce recurrence risk. Adjuvant radiotherapy plus chemotherapy in high-risk patients improves pelvic control rates and progression-free survival.</w:t>
            </w:r>
          </w:p>
        </w:tc>
        <w:tc>
          <w:tcPr>
            <w:tcW w:w="1152" w:type="dxa"/>
            <w:vAlign w:val="center"/>
          </w:tcPr>
          <w:p w14:paraId="6F15E8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7903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8466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21C389" w14:textId="77777777">
        <w:tc>
          <w:tcPr>
            <w:tcW w:w="2160" w:type="dxa"/>
            <w:vAlign w:val="center"/>
          </w:tcPr>
          <w:p w14:paraId="59A0C5BA"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7CE5D85" w14:textId="77777777" w:rsidR="00922249" w:rsidRPr="00CB2EC4" w:rsidRDefault="003011D5">
            <w:pPr>
              <w:rPr>
                <w:rFonts w:ascii="Times New Roman" w:hAnsi="Times New Roman" w:cs="Times New Roman"/>
              </w:rPr>
            </w:pPr>
            <w:r w:rsidRPr="00CB2EC4">
              <w:rPr>
                <w:rFonts w:ascii="Times New Roman" w:hAnsi="Times New Roman" w:cs="Times New Roman"/>
              </w:rPr>
              <w:t>after radical surgery for early-stage cervical cancer, if the para-aortic lymph nodes are negative but high-risk factors are present, the recommended treatment measure is concurrent chemoradiotherapy (CCRT) to reduce the risk of recurrence.</w:t>
            </w:r>
            <w:r w:rsidRPr="00CB2EC4">
              <w:rPr>
                <w:rFonts w:ascii="Times New Roman" w:hAnsi="Times New Roman" w:cs="Times New Roman"/>
              </w:rPr>
              <w:br/>
            </w:r>
            <w:r w:rsidRPr="00CB2EC4">
              <w:rPr>
                <w:rFonts w:ascii="Times New Roman" w:hAnsi="Times New Roman" w:cs="Times New Roman"/>
              </w:rPr>
              <w:br/>
              <w:t>- High-risk factors include positive surgical margins, parametrial involvement, or large tumor size (typically &gt;4 cm).</w:t>
            </w:r>
            <w:r w:rsidRPr="00CB2EC4">
              <w:rPr>
                <w:rFonts w:ascii="Times New Roman" w:hAnsi="Times New Roman" w:cs="Times New Roman"/>
              </w:rPr>
              <w:br/>
              <w:t>- The recommended treatment measure is concurrent chemoradiotherapy (CCRT) to lower the recurrence risk.</w:t>
            </w:r>
          </w:p>
        </w:tc>
        <w:tc>
          <w:tcPr>
            <w:tcW w:w="1152" w:type="dxa"/>
            <w:vAlign w:val="center"/>
          </w:tcPr>
          <w:p w14:paraId="12E67A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EEEC4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8FAE4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EC400B9" w14:textId="77777777">
        <w:tc>
          <w:tcPr>
            <w:tcW w:w="10656" w:type="dxa"/>
            <w:gridSpan w:val="5"/>
            <w:tcBorders>
              <w:bottom w:val="single" w:sz="6" w:space="0" w:color="auto"/>
            </w:tcBorders>
            <w:vAlign w:val="center"/>
          </w:tcPr>
          <w:p w14:paraId="665750C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67: After radical surgery for early cervical cancer, if the abdominal aortic lymph nodes are negative but intermediate-</w:t>
            </w:r>
            <w:r w:rsidRPr="00CB2EC4">
              <w:rPr>
                <w:rFonts w:ascii="Times New Roman" w:hAnsi="Times New Roman" w:cs="Times New Roman"/>
                <w:b/>
              </w:rPr>
              <w:lastRenderedPageBreak/>
              <w:t>risk factors are present, what treatment measures should be taken?</w:t>
            </w:r>
          </w:p>
        </w:tc>
      </w:tr>
      <w:tr w:rsidR="00922249" w:rsidRPr="00CB2EC4" w14:paraId="53500FAE" w14:textId="77777777">
        <w:tc>
          <w:tcPr>
            <w:tcW w:w="2160" w:type="dxa"/>
            <w:vAlign w:val="center"/>
          </w:tcPr>
          <w:p w14:paraId="005C85C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Enrichment</w:t>
            </w:r>
          </w:p>
        </w:tc>
        <w:tc>
          <w:tcPr>
            <w:tcW w:w="5040" w:type="dxa"/>
            <w:vAlign w:val="center"/>
          </w:tcPr>
          <w:p w14:paraId="78853BEB"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negative para-aortic lymph nodes but intermediate-risk factors after radical surgery for early-stage cervical cancer:</w:t>
            </w:r>
            <w:r w:rsidRPr="00CB2EC4">
              <w:rPr>
                <w:rFonts w:ascii="Times New Roman" w:hAnsi="Times New Roman" w:cs="Times New Roman"/>
              </w:rPr>
              <w:br/>
            </w:r>
            <w:r w:rsidRPr="00CB2EC4">
              <w:rPr>
                <w:rFonts w:ascii="Times New Roman" w:hAnsi="Times New Roman" w:cs="Times New Roman"/>
              </w:rPr>
              <w:br/>
              <w:t>- Definition of intermediate-risk factors (based on Sedlis criteria, Table 9-1):</w:t>
            </w:r>
            <w:r w:rsidRPr="00CB2EC4">
              <w:rPr>
                <w:rFonts w:ascii="Times New Roman" w:hAnsi="Times New Roman" w:cs="Times New Roman"/>
              </w:rPr>
              <w:br/>
              <w:t xml:space="preserve">  - LVSI positive with outer one-third stromal invasion (any tumor size).</w:t>
            </w:r>
            <w:r w:rsidRPr="00CB2EC4">
              <w:rPr>
                <w:rFonts w:ascii="Times New Roman" w:hAnsi="Times New Roman" w:cs="Times New Roman"/>
              </w:rPr>
              <w:br/>
              <w:t xml:space="preserve">  - LVSI positive with middle one-third stromal invasion (tumor size ≥ 2 cm).</w:t>
            </w:r>
            <w:r w:rsidRPr="00CB2EC4">
              <w:rPr>
                <w:rFonts w:ascii="Times New Roman" w:hAnsi="Times New Roman" w:cs="Times New Roman"/>
              </w:rPr>
              <w:br/>
              <w:t xml:space="preserve">  - LVSI negative with middle or outer one-third stromal invasion (tumor size ≥ 4 cm).</w:t>
            </w:r>
            <w:r w:rsidRPr="00CB2EC4">
              <w:rPr>
                <w:rFonts w:ascii="Times New Roman" w:hAnsi="Times New Roman" w:cs="Times New Roman"/>
              </w:rPr>
              <w:br/>
            </w:r>
            <w:r w:rsidRPr="00CB2EC4">
              <w:rPr>
                <w:rFonts w:ascii="Times New Roman" w:hAnsi="Times New Roman" w:cs="Times New Roman"/>
              </w:rPr>
              <w:br/>
              <w:t>- Recommended treatment measures:</w:t>
            </w:r>
            <w:r w:rsidRPr="00CB2EC4">
              <w:rPr>
                <w:rFonts w:ascii="Times New Roman" w:hAnsi="Times New Roman" w:cs="Times New Roman"/>
              </w:rPr>
              <w:br/>
              <w:t xml:space="preserve">  - Level I recommendation: Pelvic external beam radiotherapy ± brachytherapy (c).</w:t>
            </w:r>
            <w:r w:rsidRPr="00CB2EC4">
              <w:rPr>
                <w:rFonts w:ascii="Times New Roman" w:hAnsi="Times New Roman" w:cs="Times New Roman"/>
              </w:rPr>
              <w:br/>
              <w:t xml:space="preserve">    - Pelvic external beam radiotherapy dose: 45–50 Gy, with emphasis on covering high-risk areas.</w:t>
            </w:r>
            <w:r w:rsidRPr="00CB2EC4">
              <w:rPr>
                <w:rFonts w:ascii="Times New Roman" w:hAnsi="Times New Roman" w:cs="Times New Roman"/>
              </w:rPr>
              <w:br/>
              <w:t xml:space="preserve">    - Brachytherapy is used for patients with higher risk of vaginal stump recurrence.</w:t>
            </w:r>
            <w:r w:rsidRPr="00CB2EC4">
              <w:rPr>
                <w:rFonts w:ascii="Times New Roman" w:hAnsi="Times New Roman" w:cs="Times New Roman"/>
              </w:rPr>
              <w:br/>
              <w:t xml:space="preserve">  - Level III recommendation: Pelvic external beam radiotherapy + platinum-based concurrent chemotherapy ± brachytherapy (considered only in specific situations, such as adenocarcinoma or high-risk subtypes).</w:t>
            </w:r>
            <w:r w:rsidRPr="00CB2EC4">
              <w:rPr>
                <w:rFonts w:ascii="Times New Roman" w:hAnsi="Times New Roman" w:cs="Times New Roman"/>
              </w:rPr>
              <w:br/>
            </w:r>
            <w:r w:rsidRPr="00CB2EC4">
              <w:rPr>
                <w:rFonts w:ascii="Times New Roman" w:hAnsi="Times New Roman" w:cs="Times New Roman"/>
              </w:rPr>
              <w:br/>
              <w:t>- Evidence: Postoperative radiotherapy reduces local recurrence rates in patients with intermediate-risk factors; however, the addition of chemotherapy should be approached cautiously (lack of prospective evidence support). Treatment should be individualized based on pathological type (squamous cell carcinoma vs. adenocarcinoma) and patient tolerance.</w:t>
            </w:r>
            <w:r w:rsidRPr="00CB2EC4">
              <w:rPr>
                <w:rFonts w:ascii="Times New Roman" w:hAnsi="Times New Roman" w:cs="Times New Roman"/>
              </w:rPr>
              <w:br/>
            </w:r>
            <w:r w:rsidRPr="00CB2EC4">
              <w:rPr>
                <w:rFonts w:ascii="Times New Roman" w:hAnsi="Times New Roman" w:cs="Times New Roman"/>
              </w:rPr>
              <w:lastRenderedPageBreak/>
              <w:br/>
              <w:t>Conclusion: The Level I recommendation scheme (pelvic external beam radiotherapy ± brachytherapy) is preferred; the Level III recommendation is only an alternative.</w:t>
            </w:r>
          </w:p>
        </w:tc>
        <w:tc>
          <w:tcPr>
            <w:tcW w:w="1152" w:type="dxa"/>
            <w:vAlign w:val="center"/>
          </w:tcPr>
          <w:p w14:paraId="2A58A6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5FE15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852E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F4EBE5" w14:textId="77777777">
        <w:tc>
          <w:tcPr>
            <w:tcW w:w="2160" w:type="dxa"/>
            <w:vAlign w:val="center"/>
          </w:tcPr>
          <w:p w14:paraId="41767003"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7B3E8D8" w14:textId="77777777" w:rsidR="00922249" w:rsidRPr="00CB2EC4" w:rsidRDefault="003011D5">
            <w:pPr>
              <w:rPr>
                <w:rFonts w:ascii="Times New Roman" w:hAnsi="Times New Roman" w:cs="Times New Roman"/>
              </w:rPr>
            </w:pPr>
            <w:r w:rsidRPr="00CB2EC4">
              <w:rPr>
                <w:rFonts w:ascii="Times New Roman" w:hAnsi="Times New Roman" w:cs="Times New Roman"/>
              </w:rPr>
              <w:t>for early-stage cervical cancer after radical surgery, if para-aortic lymph nodes are negative but intermediate-risk factors are present, the recommended treatment is:</w:t>
            </w:r>
            <w:r w:rsidRPr="00CB2EC4">
              <w:rPr>
                <w:rFonts w:ascii="Times New Roman" w:hAnsi="Times New Roman" w:cs="Times New Roman"/>
              </w:rPr>
              <w:br/>
            </w:r>
            <w:r w:rsidRPr="00CB2EC4">
              <w:rPr>
                <w:rFonts w:ascii="Times New Roman" w:hAnsi="Times New Roman" w:cs="Times New Roman"/>
              </w:rPr>
              <w:br/>
              <w:t>pelvic external beam radiotherapy ± brachytherapy.</w:t>
            </w:r>
            <w:r w:rsidRPr="00CB2EC4">
              <w:rPr>
                <w:rFonts w:ascii="Times New Roman" w:hAnsi="Times New Roman" w:cs="Times New Roman"/>
              </w:rPr>
              <w:br/>
            </w:r>
            <w:r w:rsidRPr="00CB2EC4">
              <w:rPr>
                <w:rFonts w:ascii="Times New Roman" w:hAnsi="Times New Roman" w:cs="Times New Roman"/>
              </w:rPr>
              <w:br/>
              <w:t>Intermediate-risk factors are defined by the Sedlis criteria, which include tumor size &gt;4 cm, deep stromal invasion, and lymphovascular space invasion (LVSI).</w:t>
            </w:r>
            <w:r w:rsidRPr="00CB2EC4">
              <w:rPr>
                <w:rFonts w:ascii="Times New Roman" w:hAnsi="Times New Roman" w:cs="Times New Roman"/>
              </w:rPr>
              <w:br/>
            </w:r>
            <w:r w:rsidRPr="00CB2EC4">
              <w:rPr>
                <w:rFonts w:ascii="Times New Roman" w:hAnsi="Times New Roman" w:cs="Times New Roman"/>
              </w:rPr>
              <w:br/>
              <w:t>Specifically: "Para-aortic lymph node negative, stratification: intermediate-risk factors b I-level recommendation: pelvic external beam radiotherapy ± brachytherapy."</w:t>
            </w:r>
            <w:r w:rsidRPr="00CB2EC4">
              <w:rPr>
                <w:rFonts w:ascii="Times New Roman" w:hAnsi="Times New Roman" w:cs="Times New Roman"/>
              </w:rPr>
              <w:br/>
            </w:r>
            <w:r w:rsidRPr="00CB2EC4">
              <w:rPr>
                <w:rFonts w:ascii="Times New Roman" w:hAnsi="Times New Roman" w:cs="Times New Roman"/>
              </w:rPr>
              <w:br/>
              <w:t>Therefore, the recommended treatment is pelvic external beam radiotherapy, possibly supplemented with brachytherapy, without the need for concurrent chemotherapy.</w:t>
            </w:r>
          </w:p>
        </w:tc>
        <w:tc>
          <w:tcPr>
            <w:tcW w:w="1152" w:type="dxa"/>
            <w:vAlign w:val="center"/>
          </w:tcPr>
          <w:p w14:paraId="4BF8AA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BCFF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96E5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D3AD350" w14:textId="77777777">
        <w:tc>
          <w:tcPr>
            <w:tcW w:w="2160" w:type="dxa"/>
            <w:vAlign w:val="center"/>
          </w:tcPr>
          <w:p w14:paraId="700A7AE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D1980B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early-stage cervical cancer patients after radical surgery with negative para-aortic lymph nodes but intermediate-risk factors (as defined by Sedlis criteria, including tumor size &gt;4 cm, deep stromal invasion, and lymphovascular space invasion), the recommended treatment is:  </w:t>
            </w:r>
            <w:r w:rsidRPr="00CB2EC4">
              <w:rPr>
                <w:rFonts w:ascii="Times New Roman" w:hAnsi="Times New Roman" w:cs="Times New Roman"/>
              </w:rPr>
              <w:br/>
            </w:r>
            <w:r w:rsidRPr="00CB2EC4">
              <w:rPr>
                <w:rFonts w:ascii="Times New Roman" w:hAnsi="Times New Roman" w:cs="Times New Roman"/>
              </w:rPr>
              <w:br/>
              <w:t xml:space="preserve">- **Grade I Recommendation**: Pelvic external beam </w:t>
            </w:r>
            <w:r w:rsidRPr="00CB2EC4">
              <w:rPr>
                <w:rFonts w:ascii="Times New Roman" w:hAnsi="Times New Roman" w:cs="Times New Roman"/>
              </w:rPr>
              <w:lastRenderedPageBreak/>
              <w:t xml:space="preserve">radiotherapy (EBRT) ± brachytherapy  </w:t>
            </w:r>
            <w:r w:rsidRPr="00CB2EC4">
              <w:rPr>
                <w:rFonts w:ascii="Times New Roman" w:hAnsi="Times New Roman" w:cs="Times New Roman"/>
              </w:rPr>
              <w:br/>
              <w:t xml:space="preserve">- **Grade III Recommendation**: Pelvic EBRT + concurrent platinum-based chemotherapy ± brachytherapy (with Grade I recommendation prioritized as radiotherapy alone)  </w:t>
            </w:r>
            <w:r w:rsidRPr="00CB2EC4">
              <w:rPr>
                <w:rFonts w:ascii="Times New Roman" w:hAnsi="Times New Roman" w:cs="Times New Roman"/>
              </w:rPr>
              <w:br/>
            </w:r>
            <w:r w:rsidRPr="00CB2EC4">
              <w:rPr>
                <w:rFonts w:ascii="Times New Roman" w:hAnsi="Times New Roman" w:cs="Times New Roman"/>
              </w:rPr>
              <w:br/>
              <w:t xml:space="preserve">Supplementary notes:  </w:t>
            </w:r>
            <w:r w:rsidRPr="00CB2EC4">
              <w:rPr>
                <w:rFonts w:ascii="Times New Roman" w:hAnsi="Times New Roman" w:cs="Times New Roman"/>
              </w:rPr>
              <w:br/>
              <w:t xml:space="preserve">- When two intermediate-risk factors are present, adjuvant pelvic EBRT is indicated without concurrent chemotherapy.  </w:t>
            </w:r>
            <w:r w:rsidRPr="00CB2EC4">
              <w:rPr>
                <w:rFonts w:ascii="Times New Roman" w:hAnsi="Times New Roman" w:cs="Times New Roman"/>
              </w:rPr>
              <w:br/>
              <w:t xml:space="preserve">- Sedlis criteria-based intermediate-risk factors warrant pelvic external beam radiotherapy.  </w:t>
            </w:r>
            <w:r w:rsidRPr="00CB2EC4">
              <w:rPr>
                <w:rFonts w:ascii="Times New Roman" w:hAnsi="Times New Roman" w:cs="Times New Roman"/>
              </w:rPr>
              <w:br/>
            </w:r>
            <w:r w:rsidRPr="00CB2EC4">
              <w:rPr>
                <w:rFonts w:ascii="Times New Roman" w:hAnsi="Times New Roman" w:cs="Times New Roman"/>
              </w:rPr>
              <w:br/>
              <w:t>Summary recommendation: Pelvic external beam radiotherapy ± brachytherapy (Grade I recommendation); concurrent chemotherapy is considered only in specific circumstances (Grade III recommendation).</w:t>
            </w:r>
          </w:p>
        </w:tc>
        <w:tc>
          <w:tcPr>
            <w:tcW w:w="1152" w:type="dxa"/>
            <w:vAlign w:val="center"/>
          </w:tcPr>
          <w:p w14:paraId="366B47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C98E4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8E46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5A346B" w14:textId="77777777">
        <w:tc>
          <w:tcPr>
            <w:tcW w:w="2160" w:type="dxa"/>
            <w:vAlign w:val="center"/>
          </w:tcPr>
          <w:p w14:paraId="24C963D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D078598" w14:textId="77777777" w:rsidR="00922249" w:rsidRPr="00CB2EC4" w:rsidRDefault="003011D5">
            <w:pPr>
              <w:rPr>
                <w:rFonts w:ascii="Times New Roman" w:hAnsi="Times New Roman" w:cs="Times New Roman"/>
              </w:rPr>
            </w:pPr>
            <w:r w:rsidRPr="00CB2EC4">
              <w:rPr>
                <w:rFonts w:ascii="Times New Roman" w:hAnsi="Times New Roman" w:cs="Times New Roman"/>
              </w:rPr>
              <w:t>after radical surgery for early-stage cervical cancer, if the para-aortic lymph nodes are negative but intermediate-risk factors are present, the recommended treatment measures are:</w:t>
            </w:r>
            <w:r w:rsidRPr="00CB2EC4">
              <w:rPr>
                <w:rFonts w:ascii="Times New Roman" w:hAnsi="Times New Roman" w:cs="Times New Roman"/>
              </w:rPr>
              <w:br/>
            </w:r>
            <w:r w:rsidRPr="00CB2EC4">
              <w:rPr>
                <w:rFonts w:ascii="Times New Roman" w:hAnsi="Times New Roman" w:cs="Times New Roman"/>
              </w:rPr>
              <w:br/>
              <w:t>- Level I recommendation: Pelvic external beam radiotherapy ± vaginal brachytherapy.</w:t>
            </w:r>
            <w:r w:rsidRPr="00CB2EC4">
              <w:rPr>
                <w:rFonts w:ascii="Times New Roman" w:hAnsi="Times New Roman" w:cs="Times New Roman"/>
              </w:rPr>
              <w:br/>
              <w:t>- Level III recommendation: Pelvic external beam radiotherapy + platinum-based concurrent chemotherapy ± vaginal brachytherapy (to be selected with caution).</w:t>
            </w:r>
            <w:r w:rsidRPr="00CB2EC4">
              <w:rPr>
                <w:rFonts w:ascii="Times New Roman" w:hAnsi="Times New Roman" w:cs="Times New Roman"/>
              </w:rPr>
              <w:br/>
            </w:r>
            <w:r w:rsidRPr="00CB2EC4">
              <w:rPr>
                <w:rFonts w:ascii="Times New Roman" w:hAnsi="Times New Roman" w:cs="Times New Roman"/>
              </w:rPr>
              <w:br/>
              <w:t>Evidence:</w:t>
            </w:r>
            <w:r w:rsidRPr="00CB2EC4">
              <w:rPr>
                <w:rFonts w:ascii="Times New Roman" w:hAnsi="Times New Roman" w:cs="Times New Roman"/>
              </w:rPr>
              <w:br/>
              <w:t xml:space="preserve">&gt; The knowledge base indicates that intermediate-risk factors (such as tumor size, depth of stromal invasion, positive LVSI) should refer to the "Sedlis criteria". </w:t>
            </w:r>
            <w:r w:rsidRPr="00CB2EC4">
              <w:rPr>
                <w:rFonts w:ascii="Times New Roman" w:hAnsi="Times New Roman" w:cs="Times New Roman"/>
              </w:rPr>
              <w:lastRenderedPageBreak/>
              <w:t>Level I recommendation is pelvic radiotherapy alone; concurrent chemotherapy is only an alternative Level III recommendation (section: *Postoperative adjuvant therapy for early-stage cervical cancer*).</w:t>
            </w:r>
          </w:p>
        </w:tc>
        <w:tc>
          <w:tcPr>
            <w:tcW w:w="1152" w:type="dxa"/>
            <w:vAlign w:val="center"/>
          </w:tcPr>
          <w:p w14:paraId="049D00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62122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3744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C69A37" w14:textId="77777777">
        <w:tc>
          <w:tcPr>
            <w:tcW w:w="2160" w:type="dxa"/>
            <w:vAlign w:val="center"/>
          </w:tcPr>
          <w:p w14:paraId="2699CE0E"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582B91D" w14:textId="77777777" w:rsidR="00922249" w:rsidRPr="00CB2EC4" w:rsidRDefault="003011D5">
            <w:pPr>
              <w:rPr>
                <w:rFonts w:ascii="Times New Roman" w:hAnsi="Times New Roman" w:cs="Times New Roman"/>
              </w:rPr>
            </w:pPr>
            <w:r w:rsidRPr="00CB2EC4">
              <w:rPr>
                <w:rFonts w:ascii="Times New Roman" w:hAnsi="Times New Roman" w:cs="Times New Roman"/>
              </w:rPr>
              <w:t>for early-stage cervical cancer patients after radical surgery with negative para-aortic lymph nodes but intermediate-risk factors, the recommended treatment measures are as follows:</w:t>
            </w:r>
            <w:r w:rsidRPr="00CB2EC4">
              <w:rPr>
                <w:rFonts w:ascii="Times New Roman" w:hAnsi="Times New Roman" w:cs="Times New Roman"/>
              </w:rPr>
              <w:br/>
              <w:t>- Level I recommendation: pelvic external beam radiotherapy ± brachytherapy.</w:t>
            </w:r>
            <w:r w:rsidRPr="00CB2EC4">
              <w:rPr>
                <w:rFonts w:ascii="Times New Roman" w:hAnsi="Times New Roman" w:cs="Times New Roman"/>
              </w:rPr>
              <w:br/>
              <w:t>- Level III recommendation: pelvic external beam radiotherapy + platinum-based concurrent chemotherapy ± brachytherapy (with Level I recommendation taking priority).</w:t>
            </w:r>
            <w:r w:rsidRPr="00CB2EC4">
              <w:rPr>
                <w:rFonts w:ascii="Times New Roman" w:hAnsi="Times New Roman" w:cs="Times New Roman"/>
              </w:rPr>
              <w:br/>
            </w:r>
            <w:r w:rsidRPr="00CB2EC4">
              <w:rPr>
                <w:rFonts w:ascii="Times New Roman" w:hAnsi="Times New Roman" w:cs="Times New Roman"/>
              </w:rPr>
              <w:br/>
              <w:t>Intermediate-risk factors include tumor size, depth of stromal invasion, and lymphovascular space invasion (LVSI), specifically referenced to the "Sedlis criteria" (see Note b in Document Fragment 4). For squamous cell carcinoma patients, intermediate-risk factors are based on the Sedlis criteria; for adenocarcinoma patients, tumor size and LVSI are key factors.</w:t>
            </w:r>
          </w:p>
        </w:tc>
        <w:tc>
          <w:tcPr>
            <w:tcW w:w="1152" w:type="dxa"/>
            <w:vAlign w:val="center"/>
          </w:tcPr>
          <w:p w14:paraId="330479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A501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2815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C3348C" w14:textId="77777777">
        <w:tc>
          <w:tcPr>
            <w:tcW w:w="2160" w:type="dxa"/>
            <w:vAlign w:val="center"/>
          </w:tcPr>
          <w:p w14:paraId="48172F5C"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C80AE2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radical surgery for early-stage cervical cancer, if para-aortic lymph nodes are negative but intermediate-risk factors are present, the recommended treatment measures are:  </w:t>
            </w:r>
            <w:r w:rsidRPr="00CB2EC4">
              <w:rPr>
                <w:rFonts w:ascii="Times New Roman" w:hAnsi="Times New Roman" w:cs="Times New Roman"/>
              </w:rPr>
              <w:br/>
              <w:t xml:space="preserve">- Level I recommendation: pelvic external beam radiotherapy ± brachytherapy.  </w:t>
            </w:r>
            <w:r w:rsidRPr="00CB2EC4">
              <w:rPr>
                <w:rFonts w:ascii="Times New Roman" w:hAnsi="Times New Roman" w:cs="Times New Roman"/>
              </w:rPr>
              <w:br/>
            </w:r>
            <w:r w:rsidRPr="00CB2EC4">
              <w:rPr>
                <w:rFonts w:ascii="Times New Roman" w:hAnsi="Times New Roman" w:cs="Times New Roman"/>
              </w:rPr>
              <w:br/>
              <w:t xml:space="preserve">Document 4 indicates that for patients with intermediate-risk factors (defined by Sedlis criteria, including tumor size, depth of stromal invasion, and lymphovascular space invasion), pelvic external beam </w:t>
            </w:r>
            <w:r w:rsidRPr="00CB2EC4">
              <w:rPr>
                <w:rFonts w:ascii="Times New Roman" w:hAnsi="Times New Roman" w:cs="Times New Roman"/>
              </w:rPr>
              <w:lastRenderedPageBreak/>
              <w:t>radiotherapy is the preferred option, with brachytherapy added based on individual circumstances; concurrent chemotherapy is not routinely recommended.</w:t>
            </w:r>
          </w:p>
        </w:tc>
        <w:tc>
          <w:tcPr>
            <w:tcW w:w="1152" w:type="dxa"/>
            <w:vAlign w:val="center"/>
          </w:tcPr>
          <w:p w14:paraId="2FA687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2BB72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1C4D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8E18A7" w14:textId="77777777">
        <w:tc>
          <w:tcPr>
            <w:tcW w:w="2160" w:type="dxa"/>
            <w:vAlign w:val="center"/>
          </w:tcPr>
          <w:p w14:paraId="3FC3AB2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089341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early-stage cervical cancer after radical surgery with negative para-aortic lymph nodes but intermediate-risk factors, the recommended treatment measures are as follows:  </w:t>
            </w:r>
            <w:r w:rsidRPr="00CB2EC4">
              <w:rPr>
                <w:rFonts w:ascii="Times New Roman" w:hAnsi="Times New Roman" w:cs="Times New Roman"/>
              </w:rPr>
              <w:br/>
              <w:t xml:space="preserve">- Intermediate-risk factors b: refer to the "Sedlis criteria," including tumor size, depth of stromal invasion, lymphovascular space invasion (LVSI), etc. (specific criteria not detailed, but the document notes these factors influence recurrence risk).  </w:t>
            </w:r>
            <w:r w:rsidRPr="00CB2EC4">
              <w:rPr>
                <w:rFonts w:ascii="Times New Roman" w:hAnsi="Times New Roman" w:cs="Times New Roman"/>
              </w:rPr>
              <w:br/>
              <w:t xml:space="preserve">- Level I recommendation: pelvic external beam radiotherapy (EBRT) ± brachytherapy.  </w:t>
            </w:r>
            <w:r w:rsidRPr="00CB2EC4">
              <w:rPr>
                <w:rFonts w:ascii="Times New Roman" w:hAnsi="Times New Roman" w:cs="Times New Roman"/>
              </w:rPr>
              <w:br/>
              <w:t xml:space="preserve">- Level III recommendation: pelvic external beam radiotherapy + platinum-based concurrent chemotherapy ± brachytherapy (considered only in specific situations).  </w:t>
            </w:r>
            <w:r w:rsidRPr="00CB2EC4">
              <w:rPr>
                <w:rFonts w:ascii="Times New Roman" w:hAnsi="Times New Roman" w:cs="Times New Roman"/>
              </w:rPr>
              <w:br/>
              <w:t>Therefore, the primary treatment is pelvic external beam radiotherapy, possibly supplemented with brachytherapy. Concurrent chemotherapy is not routinely recommended as first-line unless other high-risk features are present.</w:t>
            </w:r>
          </w:p>
        </w:tc>
        <w:tc>
          <w:tcPr>
            <w:tcW w:w="1152" w:type="dxa"/>
            <w:vAlign w:val="center"/>
          </w:tcPr>
          <w:p w14:paraId="3AA0DA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DFFA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95D8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856B42A" w14:textId="77777777">
        <w:tc>
          <w:tcPr>
            <w:tcW w:w="2160" w:type="dxa"/>
            <w:vAlign w:val="center"/>
          </w:tcPr>
          <w:p w14:paraId="7F54A5D7"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D6B2DF3"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negative para-aortic lymph nodes but intermediate-risk factors after radical surgery for early-stage cervical cancer, the recommended treatment is:</w:t>
            </w:r>
            <w:r w:rsidRPr="00CB2EC4">
              <w:rPr>
                <w:rFonts w:ascii="Times New Roman" w:hAnsi="Times New Roman" w:cs="Times New Roman"/>
              </w:rPr>
              <w:br/>
            </w:r>
            <w:r w:rsidRPr="00CB2EC4">
              <w:rPr>
                <w:rFonts w:ascii="Times New Roman" w:hAnsi="Times New Roman" w:cs="Times New Roman"/>
              </w:rPr>
              <w:br/>
              <w:t>- Pelvic external beam radiotherapy (EBRT) ± brachytherapy</w:t>
            </w:r>
            <w:r w:rsidRPr="00CB2EC4">
              <w:rPr>
                <w:rFonts w:ascii="Times New Roman" w:hAnsi="Times New Roman" w:cs="Times New Roman"/>
              </w:rPr>
              <w:br/>
              <w:t xml:space="preserve">- Intermediate-risk factors are defined by the Sedlis criteria, including tumor size &gt;4 cm, deep stromal </w:t>
            </w:r>
            <w:r w:rsidRPr="00CB2EC4">
              <w:rPr>
                <w:rFonts w:ascii="Times New Roman" w:hAnsi="Times New Roman" w:cs="Times New Roman"/>
              </w:rPr>
              <w:lastRenderedPageBreak/>
              <w:t>invasion, and lymphovascular space involvement (as noted in footnote b of document fragment 2)</w:t>
            </w:r>
            <w:r w:rsidRPr="00CB2EC4">
              <w:rPr>
                <w:rFonts w:ascii="Times New Roman" w:hAnsi="Times New Roman" w:cs="Times New Roman"/>
              </w:rPr>
              <w:br/>
            </w:r>
            <w:r w:rsidRPr="00CB2EC4">
              <w:rPr>
                <w:rFonts w:ascii="Times New Roman" w:hAnsi="Times New Roman" w:cs="Times New Roman"/>
              </w:rPr>
              <w:br/>
              <w:t>Thus, the I-level recommended regimen is pelvic external beam radiotherapy, with brachytherapy added based on individual clinical assessment.</w:t>
            </w:r>
          </w:p>
        </w:tc>
        <w:tc>
          <w:tcPr>
            <w:tcW w:w="1152" w:type="dxa"/>
            <w:vAlign w:val="center"/>
          </w:tcPr>
          <w:p w14:paraId="43CEC5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E78D4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6C78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5D79E5" w14:textId="77777777">
        <w:tc>
          <w:tcPr>
            <w:tcW w:w="2160" w:type="dxa"/>
            <w:vAlign w:val="center"/>
          </w:tcPr>
          <w:p w14:paraId="114A92E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4F2E4C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para-aortic lymph nodes are negative but intermediate-risk factors are present after radical surgery for early-stage cervical cancer, the recommended treatment measures are:  </w:t>
            </w:r>
            <w:r w:rsidRPr="00CB2EC4">
              <w:rPr>
                <w:rFonts w:ascii="Times New Roman" w:hAnsi="Times New Roman" w:cs="Times New Roman"/>
              </w:rPr>
              <w:br/>
              <w:t xml:space="preserve">- Level I recommendation: Pelvic external beam radiotherapy ± brachytherapy.  </w:t>
            </w:r>
            <w:r w:rsidRPr="00CB2EC4">
              <w:rPr>
                <w:rFonts w:ascii="Times New Roman" w:hAnsi="Times New Roman" w:cs="Times New Roman"/>
              </w:rPr>
              <w:br/>
              <w:t xml:space="preserve">- Level III recommendation: Pelvic external beam radiotherapy + platinum-based concurrent chemotherapy ± brachytherapy (Level I recommendation takes priority).  </w:t>
            </w:r>
            <w:r w:rsidRPr="00CB2EC4">
              <w:rPr>
                <w:rFonts w:ascii="Times New Roman" w:hAnsi="Times New Roman" w:cs="Times New Roman"/>
              </w:rPr>
              <w:br/>
              <w:t xml:space="preserve">Intermediate-risk factors refer to the Sedlis criteria, including tumor size, depth of stromal invasion, and lymphovascular space involvement. These criteria primarily apply to squamous cell carcinoma patients; for other histological types such as adenocarcinoma, decisions should be based on retrospective studies (e.g., tumor size and lymphovascular space involvement).  </w:t>
            </w:r>
            <w:r w:rsidRPr="00CB2EC4">
              <w:rPr>
                <w:rFonts w:ascii="Times New Roman" w:hAnsi="Times New Roman" w:cs="Times New Roman"/>
              </w:rPr>
              <w:br/>
              <w:t>Source: First relevant document excerpt ("Stratification: Intermediate-risk factors b Level I recommendation..." and "Intermediate-risk factors for patients with pathological type of squamous cell carcinoma...").</w:t>
            </w:r>
          </w:p>
        </w:tc>
        <w:tc>
          <w:tcPr>
            <w:tcW w:w="1152" w:type="dxa"/>
            <w:vAlign w:val="center"/>
          </w:tcPr>
          <w:p w14:paraId="2540D6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657B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4580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9F4B88" w14:textId="77777777">
        <w:tc>
          <w:tcPr>
            <w:tcW w:w="2160" w:type="dxa"/>
            <w:vAlign w:val="center"/>
          </w:tcPr>
          <w:p w14:paraId="0D1A0FE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BE1A062" w14:textId="77777777" w:rsidR="00922249" w:rsidRPr="00CB2EC4" w:rsidRDefault="003011D5">
            <w:pPr>
              <w:rPr>
                <w:rFonts w:ascii="Times New Roman" w:hAnsi="Times New Roman" w:cs="Times New Roman"/>
              </w:rPr>
            </w:pPr>
            <w:r w:rsidRPr="00CB2EC4">
              <w:rPr>
                <w:rFonts w:ascii="Times New Roman" w:hAnsi="Times New Roman" w:cs="Times New Roman"/>
              </w:rPr>
              <w:t>after radical surgery for early-stage cervical cancer, if the para-aortic lymph nodes are negative but intermediate-risk factors are present, the following treatment measures should be taken:</w:t>
            </w:r>
            <w:r w:rsidRPr="00CB2EC4">
              <w:rPr>
                <w:rFonts w:ascii="Times New Roman" w:hAnsi="Times New Roman" w:cs="Times New Roman"/>
              </w:rPr>
              <w:br/>
            </w:r>
            <w:r w:rsidRPr="00CB2EC4">
              <w:rPr>
                <w:rFonts w:ascii="Times New Roman" w:hAnsi="Times New Roman" w:cs="Times New Roman"/>
              </w:rPr>
              <w:lastRenderedPageBreak/>
              <w:br/>
              <w:t>- Intermediate-risk factors are defined by the Sedlis criteria (Table 9-1), including:</w:t>
            </w:r>
            <w:r w:rsidRPr="00CB2EC4">
              <w:rPr>
                <w:rFonts w:ascii="Times New Roman" w:hAnsi="Times New Roman" w:cs="Times New Roman"/>
              </w:rPr>
              <w:br/>
              <w:t xml:space="preserve">  - Tumor size</w:t>
            </w:r>
            <w:r w:rsidRPr="00CB2EC4">
              <w:rPr>
                <w:rFonts w:ascii="Times New Roman" w:hAnsi="Times New Roman" w:cs="Times New Roman"/>
              </w:rPr>
              <w:br/>
              <w:t xml:space="preserve">  - Depth of stromal invasion</w:t>
            </w:r>
            <w:r w:rsidRPr="00CB2EC4">
              <w:rPr>
                <w:rFonts w:ascii="Times New Roman" w:hAnsi="Times New Roman" w:cs="Times New Roman"/>
              </w:rPr>
              <w:br/>
              <w:t xml:space="preserve">  - Lymphovascular space invasion (LVSI) status</w:t>
            </w:r>
            <w:r w:rsidRPr="00CB2EC4">
              <w:rPr>
                <w:rFonts w:ascii="Times New Roman" w:hAnsi="Times New Roman" w:cs="Times New Roman"/>
              </w:rPr>
              <w:br/>
              <w:t xml:space="preserve">  Specific examples:</w:t>
            </w:r>
            <w:r w:rsidRPr="00CB2EC4">
              <w:rPr>
                <w:rFonts w:ascii="Times New Roman" w:hAnsi="Times New Roman" w:cs="Times New Roman"/>
              </w:rPr>
              <w:br/>
              <w:t xml:space="preserve">  - LVSI positive with outer one-third stromal invasion (any tumor size)</w:t>
            </w:r>
            <w:r w:rsidRPr="00CB2EC4">
              <w:rPr>
                <w:rFonts w:ascii="Times New Roman" w:hAnsi="Times New Roman" w:cs="Times New Roman"/>
              </w:rPr>
              <w:br/>
              <w:t xml:space="preserve">  - LVSI positive with middle one-third stromal invasion (tumor size ≥ 2 cm)</w:t>
            </w:r>
            <w:r w:rsidRPr="00CB2EC4">
              <w:rPr>
                <w:rFonts w:ascii="Times New Roman" w:hAnsi="Times New Roman" w:cs="Times New Roman"/>
              </w:rPr>
              <w:br/>
              <w:t xml:space="preserve">  - LVSI negative with middle or outer one-third stromal invasion (tumor size ≥ 4 cm)</w:t>
            </w:r>
            <w:r w:rsidRPr="00CB2EC4">
              <w:rPr>
                <w:rFonts w:ascii="Times New Roman" w:hAnsi="Times New Roman" w:cs="Times New Roman"/>
              </w:rPr>
              <w:br/>
            </w:r>
            <w:r w:rsidRPr="00CB2EC4">
              <w:rPr>
                <w:rFonts w:ascii="Times New Roman" w:hAnsi="Times New Roman" w:cs="Times New Roman"/>
              </w:rPr>
              <w:br/>
              <w:t>- Treatment measures:</w:t>
            </w:r>
            <w:r w:rsidRPr="00CB2EC4">
              <w:rPr>
                <w:rFonts w:ascii="Times New Roman" w:hAnsi="Times New Roman" w:cs="Times New Roman"/>
              </w:rPr>
              <w:br/>
              <w:t xml:space="preserve">  - Level I recommendation: Pelvic external beam radiotherapy (EBRT) ± brachytherapy</w:t>
            </w:r>
            <w:r w:rsidRPr="00CB2EC4">
              <w:rPr>
                <w:rFonts w:ascii="Times New Roman" w:hAnsi="Times New Roman" w:cs="Times New Roman"/>
              </w:rPr>
              <w:br/>
              <w:t xml:space="preserve">    Specific regimen:</w:t>
            </w:r>
            <w:r w:rsidRPr="00CB2EC4">
              <w:rPr>
                <w:rFonts w:ascii="Times New Roman" w:hAnsi="Times New Roman" w:cs="Times New Roman"/>
              </w:rPr>
              <w:br/>
              <w:t xml:space="preserve">    - Pelvic EBRT: Dose 45~50 Gy, delivered using intensity-modulated radiotherapy (IMRT) technique</w:t>
            </w:r>
            <w:r w:rsidRPr="00CB2EC4">
              <w:rPr>
                <w:rFonts w:ascii="Times New Roman" w:hAnsi="Times New Roman" w:cs="Times New Roman"/>
              </w:rPr>
              <w:br/>
              <w:t xml:space="preserve">    - Brachytherapy: Optional for vaginal cuff boost (e.g., cylindrical applicator at 0.5 cm submucosal vaginal surface)</w:t>
            </w:r>
            <w:r w:rsidRPr="00CB2EC4">
              <w:rPr>
                <w:rFonts w:ascii="Times New Roman" w:hAnsi="Times New Roman" w:cs="Times New Roman"/>
              </w:rPr>
              <w:br/>
              <w:t xml:space="preserve">  - Level III recommendation: Pelvic EBRT plus platinum-based concurrent chemotherapy ± brachytherapy</w:t>
            </w:r>
            <w:r w:rsidRPr="00CB2EC4">
              <w:rPr>
                <w:rFonts w:ascii="Times New Roman" w:hAnsi="Times New Roman" w:cs="Times New Roman"/>
              </w:rPr>
              <w:br/>
              <w:t xml:space="preserve">  However, Level I recommendation prioritizes radiotherapy alone or with brachytherapy.</w:t>
            </w:r>
          </w:p>
        </w:tc>
        <w:tc>
          <w:tcPr>
            <w:tcW w:w="1152" w:type="dxa"/>
            <w:vAlign w:val="center"/>
          </w:tcPr>
          <w:p w14:paraId="59D2AC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236C0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76CC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2C383A" w14:textId="77777777">
        <w:tc>
          <w:tcPr>
            <w:tcW w:w="2160" w:type="dxa"/>
            <w:vAlign w:val="center"/>
          </w:tcPr>
          <w:p w14:paraId="53215ED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23F27EB" w14:textId="77777777" w:rsidR="00922249" w:rsidRPr="00CB2EC4" w:rsidRDefault="003011D5">
            <w:pPr>
              <w:rPr>
                <w:rFonts w:ascii="Times New Roman" w:hAnsi="Times New Roman" w:cs="Times New Roman"/>
              </w:rPr>
            </w:pPr>
            <w:r w:rsidRPr="00CB2EC4">
              <w:rPr>
                <w:rFonts w:ascii="Times New Roman" w:hAnsi="Times New Roman" w:cs="Times New Roman"/>
              </w:rPr>
              <w:t>for early-stage cervical cancer patients who have undergone radical surgery with negative para-aortic lymph nodes but presence of intermediate-risk factors, the recommended treatment is:</w:t>
            </w:r>
            <w:r w:rsidRPr="00CB2EC4">
              <w:rPr>
                <w:rFonts w:ascii="Times New Roman" w:hAnsi="Times New Roman" w:cs="Times New Roman"/>
              </w:rPr>
              <w:br/>
            </w:r>
            <w:r w:rsidRPr="00CB2EC4">
              <w:rPr>
                <w:rFonts w:ascii="Times New Roman" w:hAnsi="Times New Roman" w:cs="Times New Roman"/>
              </w:rPr>
              <w:br/>
              <w:t xml:space="preserve">- **Level I recommendation:** Pelvic external beam </w:t>
            </w:r>
            <w:r w:rsidRPr="00CB2EC4">
              <w:rPr>
                <w:rFonts w:ascii="Times New Roman" w:hAnsi="Times New Roman" w:cs="Times New Roman"/>
              </w:rPr>
              <w:lastRenderedPageBreak/>
              <w:t>radiotherapy (EBRT) ± vaginal brachytherapy.</w:t>
            </w:r>
            <w:r w:rsidRPr="00CB2EC4">
              <w:rPr>
                <w:rFonts w:ascii="Times New Roman" w:hAnsi="Times New Roman" w:cs="Times New Roman"/>
              </w:rPr>
              <w:br/>
              <w:t>- **Level III recommendation:** Pelvic EBRT combined with platinum-based concurrent chemotherapy ± brachytherapy may be considered, but Level I recommendation is preferred.</w:t>
            </w:r>
            <w:r w:rsidRPr="00CB2EC4">
              <w:rPr>
                <w:rFonts w:ascii="Times New Roman" w:hAnsi="Times New Roman" w:cs="Times New Roman"/>
              </w:rPr>
              <w:br/>
            </w:r>
            <w:r w:rsidRPr="00CB2EC4">
              <w:rPr>
                <w:rFonts w:ascii="Times New Roman" w:hAnsi="Times New Roman" w:cs="Times New Roman"/>
              </w:rPr>
              <w:br/>
              <w:t xml:space="preserve">  - **Evidence:** The document states ([similarity: 0.624]): “Stratification: intermediate-risk factors b — Level I recommendation: pelvic external beam radiotherapy ± brachytherapy.” Intermediate-risk factors are defined by the Sedlis criteria (based on tumor size, stromal invasion depth, and lymphovascular space invasion [LVSI] status). Histological type such as adenocarcinoma may increase risk, but adjuvant therapy remains primarily radiotherapy-based.</w:t>
            </w:r>
          </w:p>
        </w:tc>
        <w:tc>
          <w:tcPr>
            <w:tcW w:w="1152" w:type="dxa"/>
            <w:vAlign w:val="center"/>
          </w:tcPr>
          <w:p w14:paraId="0BEB36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88DF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FD30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0832CF" w14:textId="77777777">
        <w:tc>
          <w:tcPr>
            <w:tcW w:w="2160" w:type="dxa"/>
            <w:vAlign w:val="center"/>
          </w:tcPr>
          <w:p w14:paraId="19760BF9"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0B60F85"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negative para-aortic lymph nodes but intermediate-risk factors after radical surgery for early-stage cervical cancer, the recommended treatment measures are:</w:t>
            </w:r>
            <w:r w:rsidRPr="00CB2EC4">
              <w:rPr>
                <w:rFonts w:ascii="Times New Roman" w:hAnsi="Times New Roman" w:cs="Times New Roman"/>
              </w:rPr>
              <w:br/>
            </w:r>
            <w:r w:rsidRPr="00CB2EC4">
              <w:rPr>
                <w:rFonts w:ascii="Times New Roman" w:hAnsi="Times New Roman" w:cs="Times New Roman"/>
              </w:rPr>
              <w:br/>
              <w:t>- Level I recommendation: pelvic external beam radiotherapy ± brachytherapy.</w:t>
            </w:r>
            <w:r w:rsidRPr="00CB2EC4">
              <w:rPr>
                <w:rFonts w:ascii="Times New Roman" w:hAnsi="Times New Roman" w:cs="Times New Roman"/>
              </w:rPr>
              <w:br/>
              <w:t>- Level III recommendation: pelvic external beam radiotherapy + platinum-based concurrent chemotherapy ± brachytherapy (with Level I recommendation as the preferred option).</w:t>
            </w:r>
            <w:r w:rsidRPr="00CB2EC4">
              <w:rPr>
                <w:rFonts w:ascii="Times New Roman" w:hAnsi="Times New Roman" w:cs="Times New Roman"/>
              </w:rPr>
              <w:br/>
              <w:t>- Intermediate-risk factors are defined by the Sedlis criteria, including tumor size, depth of stromal invasion, and lymphovascular space invasion (LVSI) (see Note b in Document Fragment 1).</w:t>
            </w:r>
            <w:r w:rsidRPr="00CB2EC4">
              <w:rPr>
                <w:rFonts w:ascii="Times New Roman" w:hAnsi="Times New Roman" w:cs="Times New Roman"/>
              </w:rPr>
              <w:br/>
            </w:r>
            <w:r w:rsidRPr="00CB2EC4">
              <w:rPr>
                <w:rFonts w:ascii="Times New Roman" w:hAnsi="Times New Roman" w:cs="Times New Roman"/>
              </w:rPr>
              <w:br/>
              <w:t>This recommendation is based on a postoperative risk-stratified treatment strategy.</w:t>
            </w:r>
          </w:p>
        </w:tc>
        <w:tc>
          <w:tcPr>
            <w:tcW w:w="1152" w:type="dxa"/>
            <w:vAlign w:val="center"/>
          </w:tcPr>
          <w:p w14:paraId="437E46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6DCB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17A4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B0A4C5" w14:textId="77777777">
        <w:tc>
          <w:tcPr>
            <w:tcW w:w="2160" w:type="dxa"/>
            <w:vAlign w:val="center"/>
          </w:tcPr>
          <w:p w14:paraId="4092188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3FC49B8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radical surgery for early-stage cervical cancer, if para-aortic lymph nodes are negative but intermediate-risk factors are present, the recommended treatment measures are as follows:  </w:t>
            </w:r>
            <w:r w:rsidRPr="00CB2EC4">
              <w:rPr>
                <w:rFonts w:ascii="Times New Roman" w:hAnsi="Times New Roman" w:cs="Times New Roman"/>
              </w:rPr>
              <w:br/>
              <w:t xml:space="preserve">- Level I recommendation: Pelvic external beam radiotherapy ± brachytherapy.  </w:t>
            </w:r>
            <w:r w:rsidRPr="00CB2EC4">
              <w:rPr>
                <w:rFonts w:ascii="Times New Roman" w:hAnsi="Times New Roman" w:cs="Times New Roman"/>
              </w:rPr>
              <w:br/>
              <w:t xml:space="preserve">  - Note: For squamous cell carcinoma, intermediate-risk factors refer to the "Sedlis criteria" (Table 9-1), including positive lymphovascular space invasion (LVSI), tumor size (e.g., ≥2 cm or ≥4 cm), and depth of stromal invasion (e.g., outer one-third or middle one-third). For adenocarcinoma, refer to the "four-factor model," primarily based on tumor size and LVSI. The radiotherapy dose is 45–50 Gy, and brachytherapy is optional (e.g., 6.0 Gy × 3 fractions).  </w:t>
            </w:r>
            <w:r w:rsidRPr="00CB2EC4">
              <w:rPr>
                <w:rFonts w:ascii="Times New Roman" w:hAnsi="Times New Roman" w:cs="Times New Roman"/>
              </w:rPr>
              <w:br/>
              <w:t xml:space="preserve">- Level III recommendation: Pelvic external beam radiotherapy + platinum-based concurrent chemotherapy ± brachytherapy (for high-risk cases, but evidence is weak).  </w:t>
            </w:r>
            <w:r w:rsidRPr="00CB2EC4">
              <w:rPr>
                <w:rFonts w:ascii="Times New Roman" w:hAnsi="Times New Roman" w:cs="Times New Roman"/>
              </w:rPr>
              <w:br/>
              <w:t>- Basis: This recommendation is from the section "9 Adjuvant therapy after radical surgery for early-stage cervical cancer." Postoperative radiotherapy reduces local recurrence risk in patients with intermediate-risk factors, but the addition of chemotherapy requires individualized assessment (e.g., adenocarcinoma or high-risk subtypes).</w:t>
            </w:r>
          </w:p>
        </w:tc>
        <w:tc>
          <w:tcPr>
            <w:tcW w:w="1152" w:type="dxa"/>
            <w:vAlign w:val="center"/>
          </w:tcPr>
          <w:p w14:paraId="748FA7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0A12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7EDB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DD6D65" w14:textId="77777777">
        <w:tc>
          <w:tcPr>
            <w:tcW w:w="2160" w:type="dxa"/>
            <w:vAlign w:val="center"/>
          </w:tcPr>
          <w:p w14:paraId="3FADD41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AAE248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radical surgery for early-stage cervical cancer, if para-aortic lymph nodes are negative but intermediate-risk factors are present (such as superficial to middle myometrial invasion, lymphovascular space invasion, or tumor diameter of 2–4 cm), adjuvant radiotherapy (pelvic external beam radiotherapy) is recommended. Management of intermediate-risk factors should be individualized; for </w:t>
            </w:r>
            <w:r w:rsidRPr="00CB2EC4">
              <w:rPr>
                <w:rFonts w:ascii="Times New Roman" w:hAnsi="Times New Roman" w:cs="Times New Roman"/>
              </w:rPr>
              <w:lastRenderedPageBreak/>
              <w:t>patients with lower-risk features, close surveillance with regular imaging and tumor marker monitoring may be chosen instead of immediate radiotherapy. The decision should be based on the patient’s specific pathological characteristics and overall condition.</w:t>
            </w:r>
          </w:p>
        </w:tc>
        <w:tc>
          <w:tcPr>
            <w:tcW w:w="1152" w:type="dxa"/>
            <w:vAlign w:val="center"/>
          </w:tcPr>
          <w:p w14:paraId="55BB8B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6D947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8A736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DB9E315" w14:textId="77777777">
        <w:tc>
          <w:tcPr>
            <w:tcW w:w="10656" w:type="dxa"/>
            <w:gridSpan w:val="5"/>
            <w:tcBorders>
              <w:bottom w:val="single" w:sz="6" w:space="0" w:color="auto"/>
            </w:tcBorders>
            <w:vAlign w:val="center"/>
          </w:tcPr>
          <w:p w14:paraId="16BA8CD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68: After radical surgery for early cervical cancer, if the abdominal aortic lymph nodes are positive but there is no distant metastasis, what treatment measures should be taken?</w:t>
            </w:r>
          </w:p>
        </w:tc>
      </w:tr>
      <w:tr w:rsidR="00922249" w:rsidRPr="00CB2EC4" w14:paraId="544ECE39" w14:textId="77777777">
        <w:tc>
          <w:tcPr>
            <w:tcW w:w="2160" w:type="dxa"/>
            <w:vAlign w:val="center"/>
          </w:tcPr>
          <w:p w14:paraId="2F49615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D280FBD"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positive para-aortic lymph nodes but no distant metastasis after radical surgery for early-stage cervical cancer:</w:t>
            </w:r>
            <w:r w:rsidRPr="00CB2EC4">
              <w:rPr>
                <w:rFonts w:ascii="Times New Roman" w:hAnsi="Times New Roman" w:cs="Times New Roman"/>
              </w:rPr>
              <w:br/>
            </w:r>
            <w:r w:rsidRPr="00CB2EC4">
              <w:rPr>
                <w:rFonts w:ascii="Times New Roman" w:hAnsi="Times New Roman" w:cs="Times New Roman"/>
              </w:rPr>
              <w:br/>
              <w:t>- Recommended treatment:</w:t>
            </w:r>
            <w:r w:rsidRPr="00CB2EC4">
              <w:rPr>
                <w:rFonts w:ascii="Times New Roman" w:hAnsi="Times New Roman" w:cs="Times New Roman"/>
              </w:rPr>
              <w:br/>
              <w:t xml:space="preserve">  - Level I recommendation: Extended-field radiotherapy + platinum-based concurrent chemotherapy ± brachytherapy.</w:t>
            </w:r>
            <w:r w:rsidRPr="00CB2EC4">
              <w:rPr>
                <w:rFonts w:ascii="Times New Roman" w:hAnsi="Times New Roman" w:cs="Times New Roman"/>
              </w:rPr>
              <w:br/>
              <w:t xml:space="preserve">    - Extended-field radiotherapy covers the pelvic and para-aortic regions (superior border at T12 level), with a dose of 40–50 Gy.</w:t>
            </w:r>
            <w:r w:rsidRPr="00CB2EC4">
              <w:rPr>
                <w:rFonts w:ascii="Times New Roman" w:hAnsi="Times New Roman" w:cs="Times New Roman"/>
              </w:rPr>
              <w:br/>
              <w:t xml:space="preserve">    - Platinum-based concurrent chemotherapy regimen is the same as in Question 66 (cisplatin or carboplatin).</w:t>
            </w:r>
            <w:r w:rsidRPr="00CB2EC4">
              <w:rPr>
                <w:rFonts w:ascii="Times New Roman" w:hAnsi="Times New Roman" w:cs="Times New Roman"/>
              </w:rPr>
              <w:br/>
              <w:t xml:space="preserve">    - Brachytherapy is used for vaginal cuff treatment.</w:t>
            </w:r>
            <w:r w:rsidRPr="00CB2EC4">
              <w:rPr>
                <w:rFonts w:ascii="Times New Roman" w:hAnsi="Times New Roman" w:cs="Times New Roman"/>
              </w:rPr>
              <w:br/>
              <w:t>- Rationale: Para-aortic lymph node metastasis indicates a high risk of distant spread; extended-field radiotherapy combined with chemotherapy improves control rates. The document emphasizes that confirmation of no distant metastasis by imaging or biopsy is a prerequisite, and treatment should be initiated early postoperatively.</w:t>
            </w:r>
            <w:r w:rsidRPr="00CB2EC4">
              <w:rPr>
                <w:rFonts w:ascii="Times New Roman" w:hAnsi="Times New Roman" w:cs="Times New Roman"/>
              </w:rPr>
              <w:br/>
            </w:r>
            <w:r w:rsidRPr="00CB2EC4">
              <w:rPr>
                <w:rFonts w:ascii="Times New Roman" w:hAnsi="Times New Roman" w:cs="Times New Roman"/>
              </w:rPr>
              <w:br/>
              <w:t xml:space="preserve">Conclusion: The Level I recommended regimen (extended-field radiotherapy + platinum-based concurrent chemotherapy ± brachytherapy) is the </w:t>
            </w:r>
            <w:r w:rsidRPr="00CB2EC4">
              <w:rPr>
                <w:rFonts w:ascii="Times New Roman" w:hAnsi="Times New Roman" w:cs="Times New Roman"/>
              </w:rPr>
              <w:lastRenderedPageBreak/>
              <w:t>standard treatment.</w:t>
            </w:r>
          </w:p>
        </w:tc>
        <w:tc>
          <w:tcPr>
            <w:tcW w:w="1152" w:type="dxa"/>
            <w:vAlign w:val="center"/>
          </w:tcPr>
          <w:p w14:paraId="74F083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A01F2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CB10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F9A113" w14:textId="77777777">
        <w:tc>
          <w:tcPr>
            <w:tcW w:w="2160" w:type="dxa"/>
            <w:vAlign w:val="center"/>
          </w:tcPr>
          <w:p w14:paraId="6E4A4230"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1DA1157" w14:textId="77777777" w:rsidR="00922249" w:rsidRPr="00CB2EC4" w:rsidRDefault="003011D5">
            <w:pPr>
              <w:rPr>
                <w:rFonts w:ascii="Times New Roman" w:hAnsi="Times New Roman" w:cs="Times New Roman"/>
              </w:rPr>
            </w:pPr>
            <w:r w:rsidRPr="00CB2EC4">
              <w:rPr>
                <w:rFonts w:ascii="Times New Roman" w:hAnsi="Times New Roman" w:cs="Times New Roman"/>
              </w:rPr>
              <w:t>for early-stage cervical cancer after radical surgery, if para-aortic lymph nodes are positive but there is no distant metastasis, the recommended treatment is:</w:t>
            </w:r>
            <w:r w:rsidRPr="00CB2EC4">
              <w:rPr>
                <w:rFonts w:ascii="Times New Roman" w:hAnsi="Times New Roman" w:cs="Times New Roman"/>
              </w:rPr>
              <w:br/>
            </w:r>
            <w:r w:rsidRPr="00CB2EC4">
              <w:rPr>
                <w:rFonts w:ascii="Times New Roman" w:hAnsi="Times New Roman" w:cs="Times New Roman"/>
              </w:rPr>
              <w:br/>
              <w:t>- extended-field radiotherapy + platinum-based concurrent chemotherapy ± brachytherapy</w:t>
            </w:r>
            <w:r w:rsidRPr="00CB2EC4">
              <w:rPr>
                <w:rFonts w:ascii="Times New Roman" w:hAnsi="Times New Roman" w:cs="Times New Roman"/>
              </w:rPr>
              <w:br/>
            </w:r>
            <w:r w:rsidRPr="00CB2EC4">
              <w:rPr>
                <w:rFonts w:ascii="Times New Roman" w:hAnsi="Times New Roman" w:cs="Times New Roman"/>
              </w:rPr>
              <w:br/>
              <w:t xml:space="preserve">(As per document fragment 3, block 42, titled "Postoperative Adjuvant Therapy for Cervical Cancer":  </w:t>
            </w:r>
            <w:r w:rsidRPr="00CB2EC4">
              <w:rPr>
                <w:rFonts w:ascii="Times New Roman" w:hAnsi="Times New Roman" w:cs="Times New Roman"/>
              </w:rPr>
              <w:br/>
              <w:t xml:space="preserve">"For positive para-aortic lymph nodes, stratification: No distant metastasis. Grade I recommendation: If imaging or biopsy confirms negativity, perform extended-field radiotherapy + platinum-based concurrent chemotherapy ± brachytherapy."  </w:t>
            </w:r>
            <w:r w:rsidRPr="00CB2EC4">
              <w:rPr>
                <w:rFonts w:ascii="Times New Roman" w:hAnsi="Times New Roman" w:cs="Times New Roman"/>
              </w:rPr>
              <w:br/>
              <w:t>→ Therefore, the I-level recommended treatment is extended-field radiotherapy combined with platinum-based concurrent chemotherapy, with possible addition of brachytherapy, provided imaging or biopsy confirms no distant metastasis.)</w:t>
            </w:r>
          </w:p>
        </w:tc>
        <w:tc>
          <w:tcPr>
            <w:tcW w:w="1152" w:type="dxa"/>
            <w:vAlign w:val="center"/>
          </w:tcPr>
          <w:p w14:paraId="15D811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29B5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123E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84D405" w14:textId="77777777">
        <w:tc>
          <w:tcPr>
            <w:tcW w:w="2160" w:type="dxa"/>
            <w:vAlign w:val="center"/>
          </w:tcPr>
          <w:p w14:paraId="45A50FA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857150B" w14:textId="77777777" w:rsidR="00922249" w:rsidRPr="00CB2EC4" w:rsidRDefault="003011D5">
            <w:pPr>
              <w:rPr>
                <w:rFonts w:ascii="Times New Roman" w:hAnsi="Times New Roman" w:cs="Times New Roman"/>
              </w:rPr>
            </w:pPr>
            <w:r w:rsidRPr="00CB2EC4">
              <w:rPr>
                <w:rFonts w:ascii="Times New Roman" w:hAnsi="Times New Roman" w:cs="Times New Roman"/>
              </w:rPr>
              <w:t>for early-stage cervical cancer after radical surgery, if para-aortic lymph nodes are positive but there is no distant metastasis, the recommended treatment is: extended-field radiotherapy plus concurrent platinum-based chemotherapy, with or without brachytherapy (Level I recommendation).</w:t>
            </w:r>
            <w:r w:rsidRPr="00CB2EC4">
              <w:rPr>
                <w:rFonts w:ascii="Times New Roman" w:hAnsi="Times New Roman" w:cs="Times New Roman"/>
              </w:rPr>
              <w:br/>
            </w:r>
            <w:r w:rsidRPr="00CB2EC4">
              <w:rPr>
                <w:rFonts w:ascii="Times New Roman" w:hAnsi="Times New Roman" w:cs="Times New Roman"/>
              </w:rPr>
              <w:br/>
              <w:t xml:space="preserve">according to document fragment 1 (relevance: 1.000), for patients with imaging or biopsy suggesting negative status, the treatment is extended-field radiotherapy + concurrent platinum-based chemotherapy ± brachytherapy. document fragment </w:t>
            </w:r>
            <w:r w:rsidRPr="00CB2EC4">
              <w:rPr>
                <w:rFonts w:ascii="Times New Roman" w:hAnsi="Times New Roman" w:cs="Times New Roman"/>
              </w:rPr>
              <w:lastRenderedPageBreak/>
              <w:t>24 (relevance: 0.600) supports this recommendation, stating that extended-field radiotherapy combined with platinum-based chemotherapy (e.g., 5-FU and cisplatin) improves survival rates. document fragment 38 (relevance: 0.300) emphasizes that para-aortic lymph node metastasis requires extended-field radiotherapy to cover the relevant regions.</w:t>
            </w:r>
            <w:r w:rsidRPr="00CB2EC4">
              <w:rPr>
                <w:rFonts w:ascii="Times New Roman" w:hAnsi="Times New Roman" w:cs="Times New Roman"/>
              </w:rPr>
              <w:br/>
            </w:r>
            <w:r w:rsidRPr="00CB2EC4">
              <w:rPr>
                <w:rFonts w:ascii="Times New Roman" w:hAnsi="Times New Roman" w:cs="Times New Roman"/>
              </w:rPr>
              <w:br/>
              <w:t>summary recommendation: extended-field radiotherapy + concurrent platinum-based chemotherapy ± brachytherapy (Level I recommendation).</w:t>
            </w:r>
          </w:p>
        </w:tc>
        <w:tc>
          <w:tcPr>
            <w:tcW w:w="1152" w:type="dxa"/>
            <w:vAlign w:val="center"/>
          </w:tcPr>
          <w:p w14:paraId="6FCF45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B783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3DA8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AEA00D" w14:textId="77777777">
        <w:tc>
          <w:tcPr>
            <w:tcW w:w="2160" w:type="dxa"/>
            <w:vAlign w:val="center"/>
          </w:tcPr>
          <w:p w14:paraId="1EC6AF91"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74A08C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Level I recommendation: Extended-field radiotherapy (covering the para-aortic region) + concurrent platinum-based chemotherapy ± vaginal brachytherapy.  </w:t>
            </w:r>
            <w:r w:rsidRPr="00CB2EC4">
              <w:rPr>
                <w:rFonts w:ascii="Times New Roman" w:hAnsi="Times New Roman" w:cs="Times New Roman"/>
              </w:rPr>
              <w:br/>
              <w:t xml:space="preserve">Basis:  </w:t>
            </w:r>
            <w:r w:rsidRPr="00CB2EC4">
              <w:rPr>
                <w:rFonts w:ascii="Times New Roman" w:hAnsi="Times New Roman" w:cs="Times New Roman"/>
              </w:rPr>
              <w:br/>
              <w:t>&gt; The document explicitly states: when para-aortic lymph nodes are positive and there is no distant metastasis, the radiotherapy field must be extended to cover the para-aortic region, with concurrent platinum-based chemotherapy (section: *Adjuvant treatment after radical surgery for early-stage cervical cancer*).</w:t>
            </w:r>
          </w:p>
        </w:tc>
        <w:tc>
          <w:tcPr>
            <w:tcW w:w="1152" w:type="dxa"/>
            <w:vAlign w:val="center"/>
          </w:tcPr>
          <w:p w14:paraId="7E4039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F070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12AE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7DA95B" w14:textId="77777777">
        <w:tc>
          <w:tcPr>
            <w:tcW w:w="2160" w:type="dxa"/>
            <w:vAlign w:val="center"/>
          </w:tcPr>
          <w:p w14:paraId="2C3EC7F6"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F89F128" w14:textId="77777777" w:rsidR="00922249" w:rsidRPr="00CB2EC4" w:rsidRDefault="003011D5">
            <w:pPr>
              <w:rPr>
                <w:rFonts w:ascii="Times New Roman" w:hAnsi="Times New Roman" w:cs="Times New Roman"/>
              </w:rPr>
            </w:pPr>
            <w:r w:rsidRPr="00CB2EC4">
              <w:rPr>
                <w:rFonts w:ascii="Times New Roman" w:hAnsi="Times New Roman" w:cs="Times New Roman"/>
              </w:rPr>
              <w:t>for early-stage cervical cancer patients after radical surgery with positive para-aortic lymph nodes but no distant metastasis, the recommended treatment measures according to document fragment 4 ("Section 9: Adjuvant Therapy After Radical Surgery for Early-Stage Cervical Cancer") are as follows:</w:t>
            </w:r>
            <w:r w:rsidRPr="00CB2EC4">
              <w:rPr>
                <w:rFonts w:ascii="Times New Roman" w:hAnsi="Times New Roman" w:cs="Times New Roman"/>
              </w:rPr>
              <w:br/>
              <w:t xml:space="preserve">- Level I recommendation: For patients with negative findings on imaging or biopsy, administer extended-field radiotherapy + platinum-based concurrent </w:t>
            </w:r>
            <w:r w:rsidRPr="00CB2EC4">
              <w:rPr>
                <w:rFonts w:ascii="Times New Roman" w:hAnsi="Times New Roman" w:cs="Times New Roman"/>
              </w:rPr>
              <w:lastRenderedPageBreak/>
              <w:t>chemotherapy ± brachytherapy.</w:t>
            </w:r>
            <w:r w:rsidRPr="00CB2EC4">
              <w:rPr>
                <w:rFonts w:ascii="Times New Roman" w:hAnsi="Times New Roman" w:cs="Times New Roman"/>
              </w:rPr>
              <w:br/>
              <w:t>Extended-field radiotherapy covers the pelvic and para-aortic regions, combined with platinum-based chemotherapy (e.g., cisplatin) to control lymph node metastasis and reduce recurrence risk. The document emphasizes confirmation of no distant metastasis via imaging or biopsy (document fragment 4).</w:t>
            </w:r>
          </w:p>
        </w:tc>
        <w:tc>
          <w:tcPr>
            <w:tcW w:w="1152" w:type="dxa"/>
            <w:vAlign w:val="center"/>
          </w:tcPr>
          <w:p w14:paraId="69F58A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BC94F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FAB8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3B213F" w14:textId="77777777">
        <w:tc>
          <w:tcPr>
            <w:tcW w:w="2160" w:type="dxa"/>
            <w:vAlign w:val="center"/>
          </w:tcPr>
          <w:p w14:paraId="2CD6EF2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CA1CF5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radical surgery for early-stage cervical cancer, if para-aortic lymph nodes are positive but there is no distant metastasis, the recommended treatment measures are:  </w:t>
            </w:r>
            <w:r w:rsidRPr="00CB2EC4">
              <w:rPr>
                <w:rFonts w:ascii="Times New Roman" w:hAnsi="Times New Roman" w:cs="Times New Roman"/>
              </w:rPr>
              <w:br/>
              <w:t xml:space="preserve">- Level I recommendation: Extended-field radiotherapy + concurrent platinum-based chemotherapy ± brachytherapy.  </w:t>
            </w:r>
            <w:r w:rsidRPr="00CB2EC4">
              <w:rPr>
                <w:rFonts w:ascii="Times New Roman" w:hAnsi="Times New Roman" w:cs="Times New Roman"/>
              </w:rPr>
              <w:br/>
              <w:t>Document 4 clearly states that such patients should receive extended-field radiotherapy (covering pelvic and para-aortic regions) combined with concurrent platinum-based chemotherapy to control potential metastatic risk, with brachytherapy as an optional supplement.</w:t>
            </w:r>
          </w:p>
        </w:tc>
        <w:tc>
          <w:tcPr>
            <w:tcW w:w="1152" w:type="dxa"/>
            <w:vAlign w:val="center"/>
          </w:tcPr>
          <w:p w14:paraId="769BEF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30C8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9B2D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5C51AC" w14:textId="77777777">
        <w:tc>
          <w:tcPr>
            <w:tcW w:w="2160" w:type="dxa"/>
            <w:vAlign w:val="center"/>
          </w:tcPr>
          <w:p w14:paraId="50773CE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9698ED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early-stage cervical cancer patients after radical surgery with positive para-aortic lymph nodes but no distant metastasis, the recommended treatment measures are as follows:  </w:t>
            </w:r>
            <w:r w:rsidRPr="00CB2EC4">
              <w:rPr>
                <w:rFonts w:ascii="Times New Roman" w:hAnsi="Times New Roman" w:cs="Times New Roman"/>
              </w:rPr>
              <w:br/>
              <w:t xml:space="preserve">- Stratification: No distant metastasis  </w:t>
            </w:r>
            <w:r w:rsidRPr="00CB2EC4">
              <w:rPr>
                <w:rFonts w:ascii="Times New Roman" w:hAnsi="Times New Roman" w:cs="Times New Roman"/>
              </w:rPr>
              <w:br/>
              <w:t xml:space="preserve">  - Level I recommendation: For those with negative imaging or biopsy findings (i.e., no evidence of other distant metastases), administer extended-field radiotherapy (covering pelvic and para-aortic regions) + concurrent platinum-based chemotherapy ± brachytherapy.  </w:t>
            </w:r>
            <w:r w:rsidRPr="00CB2EC4">
              <w:rPr>
                <w:rFonts w:ascii="Times New Roman" w:hAnsi="Times New Roman" w:cs="Times New Roman"/>
              </w:rPr>
              <w:br/>
              <w:t xml:space="preserve">The document explicitly states that for patients with positive para-aortic lymph nodes but no distant </w:t>
            </w:r>
            <w:r w:rsidRPr="00CB2EC4">
              <w:rPr>
                <w:rFonts w:ascii="Times New Roman" w:hAnsi="Times New Roman" w:cs="Times New Roman"/>
              </w:rPr>
              <w:lastRenderedPageBreak/>
              <w:t>metastasis, extended-field radiotherapy combined with concurrent platinum-based chemotherapy should be performed, with brachytherapy possibly added as an adjunct, to control the risk of regional lymph node metastasis.</w:t>
            </w:r>
          </w:p>
        </w:tc>
        <w:tc>
          <w:tcPr>
            <w:tcW w:w="1152" w:type="dxa"/>
            <w:vAlign w:val="center"/>
          </w:tcPr>
          <w:p w14:paraId="319A9F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EBD5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588E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47614A" w14:textId="77777777">
        <w:tc>
          <w:tcPr>
            <w:tcW w:w="2160" w:type="dxa"/>
            <w:vAlign w:val="center"/>
          </w:tcPr>
          <w:p w14:paraId="31B6132B"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10A30BD"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positive para-aortic lymph nodes but no distant metastasis after radical surgery for early-stage cervical cancer, the level I recommended treatment according to document fragment 2 (similarity: 0.666) is: extended-field radiotherapy plus platinum-based concurrent chemotherapy, with or without brachytherapy, for those with negative imaging or biopsy findings. therefore, the recommended regimen is extended-field radiotherapy combined with platinum-based concurrent chemotherapy, and brachytherapy may be considered based on individual circumstances.</w:t>
            </w:r>
          </w:p>
        </w:tc>
        <w:tc>
          <w:tcPr>
            <w:tcW w:w="1152" w:type="dxa"/>
            <w:vAlign w:val="center"/>
          </w:tcPr>
          <w:p w14:paraId="6EFC8D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CDC6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3333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93A3B3" w14:textId="77777777">
        <w:tc>
          <w:tcPr>
            <w:tcW w:w="2160" w:type="dxa"/>
            <w:vAlign w:val="center"/>
          </w:tcPr>
          <w:p w14:paraId="5E6C252E"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5DB329E" w14:textId="77777777" w:rsidR="00922249" w:rsidRPr="00CB2EC4" w:rsidRDefault="003011D5">
            <w:pPr>
              <w:rPr>
                <w:rFonts w:ascii="Times New Roman" w:hAnsi="Times New Roman" w:cs="Times New Roman"/>
              </w:rPr>
            </w:pPr>
            <w:r w:rsidRPr="00CB2EC4">
              <w:rPr>
                <w:rFonts w:ascii="Times New Roman" w:hAnsi="Times New Roman" w:cs="Times New Roman"/>
              </w:rPr>
              <w:t>For early-stage cervical cancer after radical surgery, if para-aortic lymph nodes are positive but no distant metastasis is present, the recommended treatment measures are:</w:t>
            </w:r>
            <w:r w:rsidRPr="00CB2EC4">
              <w:rPr>
                <w:rFonts w:ascii="Times New Roman" w:hAnsi="Times New Roman" w:cs="Times New Roman"/>
              </w:rPr>
              <w:br/>
              <w:t>- Level I recommendation: Extended-field radiotherapy (covering pelvic and para-aortic regions) + platinum-based concurrent chemotherapy ± brachytherapy.</w:t>
            </w:r>
            <w:r w:rsidRPr="00CB2EC4">
              <w:rPr>
                <w:rFonts w:ascii="Times New Roman" w:hAnsi="Times New Roman" w:cs="Times New Roman"/>
              </w:rPr>
              <w:br/>
              <w:t>- Specific details: After confirming no distant metastasis via imaging or biopsy, extended-field radiotherapy combined with platinum-based chemotherapy (e.g., cisplatin or carboplatin) is used to improve survival rates.</w:t>
            </w:r>
            <w:r w:rsidRPr="00CB2EC4">
              <w:rPr>
                <w:rFonts w:ascii="Times New Roman" w:hAnsi="Times New Roman" w:cs="Times New Roman"/>
              </w:rPr>
              <w:br/>
              <w:t xml:space="preserve">- The document notes that extended-field radiotherapy combined with chemotherapy (e.g., 5-FU and cisplatin) can effectively control metastasis but </w:t>
            </w:r>
            <w:r w:rsidRPr="00CB2EC4">
              <w:rPr>
                <w:rFonts w:ascii="Times New Roman" w:hAnsi="Times New Roman" w:cs="Times New Roman"/>
              </w:rPr>
              <w:lastRenderedPageBreak/>
              <w:t>requires attention to toxic side effects.</w:t>
            </w:r>
            <w:r w:rsidRPr="00CB2EC4">
              <w:rPr>
                <w:rFonts w:ascii="Times New Roman" w:hAnsi="Times New Roman" w:cs="Times New Roman"/>
              </w:rPr>
              <w:br/>
              <w:t>Source: First relevant document excerpt ("para-aortic lymph node positive stratification: no distant metastasis Level I recommendation...") and sixth relevant document excerpt (discussing the efficacy of extended-field radiotherapy).</w:t>
            </w:r>
          </w:p>
        </w:tc>
        <w:tc>
          <w:tcPr>
            <w:tcW w:w="1152" w:type="dxa"/>
            <w:vAlign w:val="center"/>
          </w:tcPr>
          <w:p w14:paraId="7531E0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81F1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0E09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9AB4E02" w14:textId="77777777">
        <w:tc>
          <w:tcPr>
            <w:tcW w:w="2160" w:type="dxa"/>
            <w:vAlign w:val="center"/>
          </w:tcPr>
          <w:p w14:paraId="18FBF7C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55E2AFF" w14:textId="77777777" w:rsidR="00922249" w:rsidRPr="00CB2EC4" w:rsidRDefault="003011D5">
            <w:pPr>
              <w:rPr>
                <w:rFonts w:ascii="Times New Roman" w:hAnsi="Times New Roman" w:cs="Times New Roman"/>
              </w:rPr>
            </w:pPr>
            <w:r w:rsidRPr="00CB2EC4">
              <w:rPr>
                <w:rFonts w:ascii="Times New Roman" w:hAnsi="Times New Roman" w:cs="Times New Roman"/>
              </w:rPr>
              <w:t>after radical surgery for early-stage cervical cancer, if para-aortic lymph nodes are positive but there is no distant metastasis, the recommended treatment is:</w:t>
            </w:r>
            <w:r w:rsidRPr="00CB2EC4">
              <w:rPr>
                <w:rFonts w:ascii="Times New Roman" w:hAnsi="Times New Roman" w:cs="Times New Roman"/>
              </w:rPr>
              <w:br/>
            </w:r>
            <w:r w:rsidRPr="00CB2EC4">
              <w:rPr>
                <w:rFonts w:ascii="Times New Roman" w:hAnsi="Times New Roman" w:cs="Times New Roman"/>
              </w:rPr>
              <w:br/>
              <w:t>- Level I recommendation: extended-field radiotherapy plus platinum-based concurrent chemotherapy ± brachytherapy.</w:t>
            </w:r>
            <w:r w:rsidRPr="00CB2EC4">
              <w:rPr>
                <w:rFonts w:ascii="Times New Roman" w:hAnsi="Times New Roman" w:cs="Times New Roman"/>
              </w:rPr>
              <w:br/>
              <w:t xml:space="preserve">  - Extended-field radiotherapy: covers pelvic and para-aortic regions (including common iliac, external iliac, internal iliac, obturator, and presacral lymph nodes), with a dose of 45–50 Gy.</w:t>
            </w:r>
            <w:r w:rsidRPr="00CB2EC4">
              <w:rPr>
                <w:rFonts w:ascii="Times New Roman" w:hAnsi="Times New Roman" w:cs="Times New Roman"/>
              </w:rPr>
              <w:br/>
              <w:t xml:space="preserve">  - Platinum-based concurrent chemotherapy: weekly cisplatin (40 mg/m²) or carboplatin as an alternative.</w:t>
            </w:r>
            <w:r w:rsidRPr="00CB2EC4">
              <w:rPr>
                <w:rFonts w:ascii="Times New Roman" w:hAnsi="Times New Roman" w:cs="Times New Roman"/>
              </w:rPr>
              <w:br/>
            </w:r>
            <w:r w:rsidRPr="00CB2EC4">
              <w:rPr>
                <w:rFonts w:ascii="Times New Roman" w:hAnsi="Times New Roman" w:cs="Times New Roman"/>
              </w:rPr>
              <w:br/>
              <w:t>This regimen aims to control regional lymph node metastasis, with evidence from gynecologic oncology group studies showing improved survival rates.</w:t>
            </w:r>
          </w:p>
        </w:tc>
        <w:tc>
          <w:tcPr>
            <w:tcW w:w="1152" w:type="dxa"/>
            <w:vAlign w:val="center"/>
          </w:tcPr>
          <w:p w14:paraId="58A442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A9DE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D3C1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85DCE1C" w14:textId="77777777">
        <w:tc>
          <w:tcPr>
            <w:tcW w:w="2160" w:type="dxa"/>
            <w:vAlign w:val="center"/>
          </w:tcPr>
          <w:p w14:paraId="3BDC94FE"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84CAE4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radical surgery for early-stage cervical cancer, if para-aortic lymph nodes are positive but there is no distant metastasis, the recommended treatment measures are as follows:  </w:t>
            </w:r>
            <w:r w:rsidRPr="00CB2EC4">
              <w:rPr>
                <w:rFonts w:ascii="Times New Roman" w:hAnsi="Times New Roman" w:cs="Times New Roman"/>
              </w:rPr>
              <w:br/>
              <w:t xml:space="preserve">- Level I recommendation: Extended-field radiotherapy (covering pelvic and para-aortic regions) + concurrent platinum-based chemotherapy ± brachytherapy.  </w:t>
            </w:r>
            <w:r w:rsidRPr="00CB2EC4">
              <w:rPr>
                <w:rFonts w:ascii="Times New Roman" w:hAnsi="Times New Roman" w:cs="Times New Roman"/>
              </w:rPr>
              <w:br/>
              <w:t xml:space="preserve">The document states that distant metastasis must be excluded via imaging or biopsy. Extended-field </w:t>
            </w:r>
            <w:r w:rsidRPr="00CB2EC4">
              <w:rPr>
                <w:rFonts w:ascii="Times New Roman" w:hAnsi="Times New Roman" w:cs="Times New Roman"/>
              </w:rPr>
              <w:lastRenderedPageBreak/>
              <w:t>radiotherapy targets potential metastatic sites, and chemotherapy (e.g., cisplatin or carboplatin) is used as a radiosensitizer. This regimen reduces the risk of local recurrence and improves survival rates (source: Section "9. Adjuvant Therapy After Radical Surgery for Early-Stage Cervical Cancer" in [Similarity: 0.548] fragment).</w:t>
            </w:r>
          </w:p>
        </w:tc>
        <w:tc>
          <w:tcPr>
            <w:tcW w:w="1152" w:type="dxa"/>
            <w:vAlign w:val="center"/>
          </w:tcPr>
          <w:p w14:paraId="50C61F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BC47E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C32EA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B473DF3" w14:textId="77777777">
        <w:tc>
          <w:tcPr>
            <w:tcW w:w="2160" w:type="dxa"/>
            <w:vAlign w:val="center"/>
          </w:tcPr>
          <w:p w14:paraId="71B8F7A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002196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positive para-aortic lymph nodes but no distant metastasis after radical surgery for early-stage cervical cancer, the level I recommended treatment is: extended-field radiotherapy + concurrent platinum-based chemotherapy ± brachytherapy.  </w:t>
            </w:r>
            <w:r w:rsidRPr="00CB2EC4">
              <w:rPr>
                <w:rFonts w:ascii="Times New Roman" w:hAnsi="Times New Roman" w:cs="Times New Roman"/>
              </w:rPr>
              <w:br/>
              <w:t xml:space="preserve">this recommendation applies to cases confirmed by imaging or biopsy to have no distant metastasis.  </w:t>
            </w:r>
            <w:r w:rsidRPr="00CB2EC4">
              <w:rPr>
                <w:rFonts w:ascii="Times New Roman" w:hAnsi="Times New Roman" w:cs="Times New Roman"/>
              </w:rPr>
              <w:br/>
              <w:t>extended-field radiotherapy covers the pelvic and para-aortic regions to control the risk of lymph node metastasis.</w:t>
            </w:r>
          </w:p>
        </w:tc>
        <w:tc>
          <w:tcPr>
            <w:tcW w:w="1152" w:type="dxa"/>
            <w:vAlign w:val="center"/>
          </w:tcPr>
          <w:p w14:paraId="4B94C2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FE68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ED93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EC5FF3" w14:textId="77777777">
        <w:tc>
          <w:tcPr>
            <w:tcW w:w="2160" w:type="dxa"/>
            <w:vAlign w:val="center"/>
          </w:tcPr>
          <w:p w14:paraId="47204E8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D721E5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radical surgery for early-stage cervical cancer, if para-aortic lymph nodes are positive but there is no distant metastasis, the recommended treatment measures are as follows:  </w:t>
            </w:r>
            <w:r w:rsidRPr="00CB2EC4">
              <w:rPr>
                <w:rFonts w:ascii="Times New Roman" w:hAnsi="Times New Roman" w:cs="Times New Roman"/>
              </w:rPr>
              <w:br/>
              <w:t xml:space="preserve">- Level I recommendation: Extended-field radiotherapy + platinum-based concurrent chemotherapy ± brachytherapy.  </w:t>
            </w:r>
            <w:r w:rsidRPr="00CB2EC4">
              <w:rPr>
                <w:rFonts w:ascii="Times New Roman" w:hAnsi="Times New Roman" w:cs="Times New Roman"/>
              </w:rPr>
              <w:br/>
              <w:t xml:space="preserve">  - Note: Extended-field radiotherapy covers the pelvic and para-aortic regions (superior border at T12 level), with a dose of 40–50 Gy. Concurrent chemotherapy uses platinum-based drugs (e.g., cisplatin). Implementation requires confirmation via imaging or biopsy that no other distant metastases are present.  </w:t>
            </w:r>
            <w:r w:rsidRPr="00CB2EC4">
              <w:rPr>
                <w:rFonts w:ascii="Times New Roman" w:hAnsi="Times New Roman" w:cs="Times New Roman"/>
              </w:rPr>
              <w:br/>
              <w:t xml:space="preserve">- Basis: This recommendation is from the section "9. Adjuvant therapy after radical surgery for early-stage cervical cancer." Positive para-aortic lymph nodes </w:t>
            </w:r>
            <w:r w:rsidRPr="00CB2EC4">
              <w:rPr>
                <w:rFonts w:ascii="Times New Roman" w:hAnsi="Times New Roman" w:cs="Times New Roman"/>
              </w:rPr>
              <w:lastRenderedPageBreak/>
              <w:t>indicate high-risk metastatic disease; extended-field radiotherapy combined with chemotherapy improves survival rates (based on SWOG/GOG studies).</w:t>
            </w:r>
          </w:p>
        </w:tc>
        <w:tc>
          <w:tcPr>
            <w:tcW w:w="1152" w:type="dxa"/>
            <w:vAlign w:val="center"/>
          </w:tcPr>
          <w:p w14:paraId="5E029C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528FA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01D37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CF309D" w14:textId="77777777">
        <w:tc>
          <w:tcPr>
            <w:tcW w:w="2160" w:type="dxa"/>
            <w:vAlign w:val="center"/>
          </w:tcPr>
          <w:p w14:paraId="6629D12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D49CA50" w14:textId="77777777" w:rsidR="00922249" w:rsidRPr="00CB2EC4" w:rsidRDefault="003011D5">
            <w:pPr>
              <w:rPr>
                <w:rFonts w:ascii="Times New Roman" w:hAnsi="Times New Roman" w:cs="Times New Roman"/>
              </w:rPr>
            </w:pPr>
            <w:r w:rsidRPr="00CB2EC4">
              <w:rPr>
                <w:rFonts w:ascii="Times New Roman" w:hAnsi="Times New Roman" w:cs="Times New Roman"/>
              </w:rPr>
              <w:t>after radical surgery for early-stage cervical cancer, if para-aortic lymph nodes are positive but there is no distant metastasis, the recommended treatment measures are:</w:t>
            </w:r>
            <w:r w:rsidRPr="00CB2EC4">
              <w:rPr>
                <w:rFonts w:ascii="Times New Roman" w:hAnsi="Times New Roman" w:cs="Times New Roman"/>
              </w:rPr>
              <w:br/>
            </w:r>
            <w:r w:rsidRPr="00CB2EC4">
              <w:rPr>
                <w:rFonts w:ascii="Times New Roman" w:hAnsi="Times New Roman" w:cs="Times New Roman"/>
              </w:rPr>
              <w:br/>
              <w:t>- positive para-aortic lymph nodes are considered a high-risk factor, even in the absence of distant metastasis.</w:t>
            </w:r>
            <w:r w:rsidRPr="00CB2EC4">
              <w:rPr>
                <w:rFonts w:ascii="Times New Roman" w:hAnsi="Times New Roman" w:cs="Times New Roman"/>
              </w:rPr>
              <w:br/>
              <w:t>- the recommended treatment is concurrent chemoradiotherapy (CCRT) to control the risk of local and regional recurrence.</w:t>
            </w:r>
          </w:p>
        </w:tc>
        <w:tc>
          <w:tcPr>
            <w:tcW w:w="1152" w:type="dxa"/>
            <w:vAlign w:val="center"/>
          </w:tcPr>
          <w:p w14:paraId="42E356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7FF4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C9FB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1908B8" w14:textId="77777777">
        <w:tc>
          <w:tcPr>
            <w:tcW w:w="10656" w:type="dxa"/>
            <w:gridSpan w:val="5"/>
            <w:tcBorders>
              <w:bottom w:val="single" w:sz="6" w:space="0" w:color="auto"/>
            </w:tcBorders>
            <w:vAlign w:val="center"/>
          </w:tcPr>
          <w:p w14:paraId="2788B1C8" w14:textId="77777777" w:rsidR="00922249" w:rsidRPr="00CB2EC4" w:rsidRDefault="003011D5">
            <w:pPr>
              <w:rPr>
                <w:rFonts w:ascii="Times New Roman" w:hAnsi="Times New Roman" w:cs="Times New Roman"/>
              </w:rPr>
            </w:pPr>
            <w:r w:rsidRPr="00CB2EC4">
              <w:rPr>
                <w:rFonts w:ascii="Times New Roman" w:hAnsi="Times New Roman" w:cs="Times New Roman"/>
                <w:b/>
              </w:rPr>
              <w:t>Question 69: What are the surgical treatment options for patients with FIGO stage IA1 cervical cancer? Are they suitable for patients with preserved fertility?</w:t>
            </w:r>
          </w:p>
        </w:tc>
      </w:tr>
      <w:tr w:rsidR="00922249" w:rsidRPr="00CB2EC4" w14:paraId="5835CF39" w14:textId="77777777">
        <w:tc>
          <w:tcPr>
            <w:tcW w:w="2160" w:type="dxa"/>
            <w:vAlign w:val="center"/>
          </w:tcPr>
          <w:p w14:paraId="55704FA0"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0AB87F0"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surgical treatment options for FIGO stage IA1 cervical cancer? are they applicable to patients wishing to preserve fertility?</w:t>
            </w:r>
            <w:r w:rsidRPr="00CB2EC4">
              <w:rPr>
                <w:rFonts w:ascii="Times New Roman" w:hAnsi="Times New Roman" w:cs="Times New Roman"/>
              </w:rPr>
              <w:br/>
            </w:r>
            <w:r w:rsidRPr="00CB2EC4">
              <w:rPr>
                <w:rFonts w:ascii="Times New Roman" w:hAnsi="Times New Roman" w:cs="Times New Roman"/>
              </w:rPr>
              <w:br/>
              <w:t>according to the document content:</w:t>
            </w:r>
            <w:r w:rsidRPr="00CB2EC4">
              <w:rPr>
                <w:rFonts w:ascii="Times New Roman" w:hAnsi="Times New Roman" w:cs="Times New Roman"/>
              </w:rPr>
              <w:br/>
              <w:t>- surgical treatment options:</w:t>
            </w:r>
            <w:r w:rsidRPr="00CB2EC4">
              <w:rPr>
                <w:rFonts w:ascii="Times New Roman" w:hAnsi="Times New Roman" w:cs="Times New Roman"/>
              </w:rPr>
              <w:br/>
              <w:t xml:space="preserve">  - for those wishing to preserve fertility (suitable for young patients):</w:t>
            </w:r>
            <w:r w:rsidRPr="00CB2EC4">
              <w:rPr>
                <w:rFonts w:ascii="Times New Roman" w:hAnsi="Times New Roman" w:cs="Times New Roman"/>
              </w:rPr>
              <w:br/>
              <w:t xml:space="preserve">    - when LVSI is negative: cervical conization can be performed (patients with negative margins are followed up).</w:t>
            </w:r>
            <w:r w:rsidRPr="00CB2EC4">
              <w:rPr>
                <w:rFonts w:ascii="Times New Roman" w:hAnsi="Times New Roman" w:cs="Times New Roman"/>
              </w:rPr>
              <w:br/>
              <w:t xml:space="preserve">    - surgical approaches: abdominal, vaginal, or laparoscopic.</w:t>
            </w:r>
            <w:r w:rsidRPr="00CB2EC4">
              <w:rPr>
                <w:rFonts w:ascii="Times New Roman" w:hAnsi="Times New Roman" w:cs="Times New Roman"/>
              </w:rPr>
              <w:br/>
              <w:t xml:space="preserve">  - for those not requiring fertility preservation (e.g., elderly women):</w:t>
            </w:r>
            <w:r w:rsidRPr="00CB2EC4">
              <w:rPr>
                <w:rFonts w:ascii="Times New Roman" w:hAnsi="Times New Roman" w:cs="Times New Roman"/>
              </w:rPr>
              <w:br/>
              <w:t xml:space="preserve">    - radical type B hysterectomy is recommended.</w:t>
            </w:r>
            <w:r w:rsidRPr="00CB2EC4">
              <w:rPr>
                <w:rFonts w:ascii="Times New Roman" w:hAnsi="Times New Roman" w:cs="Times New Roman"/>
              </w:rPr>
              <w:br/>
              <w:t xml:space="preserve">  - when LVSI is positive:</w:t>
            </w:r>
            <w:r w:rsidRPr="00CB2EC4">
              <w:rPr>
                <w:rFonts w:ascii="Times New Roman" w:hAnsi="Times New Roman" w:cs="Times New Roman"/>
              </w:rPr>
              <w:br/>
            </w:r>
            <w:r w:rsidRPr="00CB2EC4">
              <w:rPr>
                <w:rFonts w:ascii="Times New Roman" w:hAnsi="Times New Roman" w:cs="Times New Roman"/>
              </w:rPr>
              <w:lastRenderedPageBreak/>
              <w:t xml:space="preserve">    - modified radical hysterectomy (type B) + pelvic lymphadenectomy should be performed.</w:t>
            </w:r>
            <w:r w:rsidRPr="00CB2EC4">
              <w:rPr>
                <w:rFonts w:ascii="Times New Roman" w:hAnsi="Times New Roman" w:cs="Times New Roman"/>
              </w:rPr>
              <w:br/>
              <w:t>- applicability to fertility preservation:</w:t>
            </w:r>
            <w:r w:rsidRPr="00CB2EC4">
              <w:rPr>
                <w:rFonts w:ascii="Times New Roman" w:hAnsi="Times New Roman" w:cs="Times New Roman"/>
              </w:rPr>
              <w:br/>
              <w:t xml:space="preserve">  - yes, applicable to patients with a desire for fertility. the document explicitly states that stage IA1 patients with negative LVSI may undergo cervical conization to preserve fertility. close follow-up (cytology) is required postoperatively, ensuring negative margins.</w:t>
            </w:r>
            <w:r w:rsidRPr="00CB2EC4">
              <w:rPr>
                <w:rFonts w:ascii="Times New Roman" w:hAnsi="Times New Roman" w:cs="Times New Roman"/>
              </w:rPr>
              <w:br/>
              <w:t>- rationale: stage IA1 tumors are localized with low risk of lymph node metastasis; cervical conization effectively controls the disease while preserving the uterus.</w:t>
            </w:r>
            <w:r w:rsidRPr="00CB2EC4">
              <w:rPr>
                <w:rFonts w:ascii="Times New Roman" w:hAnsi="Times New Roman" w:cs="Times New Roman"/>
              </w:rPr>
              <w:br/>
            </w:r>
            <w:r w:rsidRPr="00CB2EC4">
              <w:rPr>
                <w:rFonts w:ascii="Times New Roman" w:hAnsi="Times New Roman" w:cs="Times New Roman"/>
              </w:rPr>
              <w:br/>
              <w:t>conclusion: surgical options include cervical conization (fertility-preserving), simple hysterectomy (non-fertility-preserving), or modified radical hysterectomy (when LVSI is positive). fertility preservation is feasible when LVSI is negative.</w:t>
            </w:r>
          </w:p>
        </w:tc>
        <w:tc>
          <w:tcPr>
            <w:tcW w:w="1152" w:type="dxa"/>
            <w:vAlign w:val="center"/>
          </w:tcPr>
          <w:p w14:paraId="5F8AE1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E0240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6CE9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726060" w14:textId="77777777">
        <w:tc>
          <w:tcPr>
            <w:tcW w:w="2160" w:type="dxa"/>
            <w:vAlign w:val="center"/>
          </w:tcPr>
          <w:p w14:paraId="235B915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AE3124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Surgical treatment options for FIGO stage IA1 cervical cancer include:  </w:t>
            </w:r>
            <w:r w:rsidRPr="00CB2EC4">
              <w:rPr>
                <w:rFonts w:ascii="Times New Roman" w:hAnsi="Times New Roman" w:cs="Times New Roman"/>
              </w:rPr>
              <w:br/>
              <w:t xml:space="preserve">  - For patients requiring fertility preservation and with LVSI(-): cervical conization (follow-up if margins are negative).  </w:t>
            </w:r>
            <w:r w:rsidRPr="00CB2EC4">
              <w:rPr>
                <w:rFonts w:ascii="Times New Roman" w:hAnsi="Times New Roman" w:cs="Times New Roman"/>
              </w:rPr>
              <w:br/>
              <w:t xml:space="preserve">  - For patients not requiring fertility preservation or elderly women: extrafascial total hysterectomy (via abdominal, vaginal, or laparoscopic approach).  </w:t>
            </w:r>
            <w:r w:rsidRPr="00CB2EC4">
              <w:rPr>
                <w:rFonts w:ascii="Times New Roman" w:hAnsi="Times New Roman" w:cs="Times New Roman"/>
              </w:rPr>
              <w:br/>
              <w:t xml:space="preserve">  - When LVSI(+): modified radical hysterectomy + pelvic lymphadenectomy should be performed.  </w:t>
            </w:r>
            <w:r w:rsidRPr="00CB2EC4">
              <w:rPr>
                <w:rFonts w:ascii="Times New Roman" w:hAnsi="Times New Roman" w:cs="Times New Roman"/>
              </w:rPr>
              <w:br/>
              <w:t xml:space="preserve">- Applicable to patients desiring fertility preservation: Yes, it is applicable. Specifically, for patients with LVSI(-), cervical conization may be selected to preserve fertility function.  </w:t>
            </w:r>
            <w:r w:rsidRPr="00CB2EC4">
              <w:rPr>
                <w:rFonts w:ascii="Times New Roman" w:hAnsi="Times New Roman" w:cs="Times New Roman"/>
              </w:rPr>
              <w:br/>
            </w:r>
            <w:r w:rsidRPr="00CB2EC4">
              <w:rPr>
                <w:rFonts w:ascii="Times New Roman" w:hAnsi="Times New Roman" w:cs="Times New Roman"/>
              </w:rPr>
              <w:br/>
              <w:t xml:space="preserve">Specific content: "4.1.1.1 Stage IA1 For those </w:t>
            </w:r>
            <w:r w:rsidRPr="00CB2EC4">
              <w:rPr>
                <w:rFonts w:ascii="Times New Roman" w:hAnsi="Times New Roman" w:cs="Times New Roman"/>
              </w:rPr>
              <w:lastRenderedPageBreak/>
              <w:t xml:space="preserve">requiring fertility preservation, LVSI(-) may undergo cervical conization, with follow-up for negative margins. For those not requiring fertility preservation and elderly women, extrafascial total hysterectomy is recommended. ... $\mathrm{LVSI(+)}$ requires modified radical hysterectomy $^+$ pelvic lymphadenectomy."  </w:t>
            </w:r>
            <w:r w:rsidRPr="00CB2EC4">
              <w:rPr>
                <w:rFonts w:ascii="Times New Roman" w:hAnsi="Times New Roman" w:cs="Times New Roman"/>
              </w:rPr>
              <w:br/>
              <w:t>Therefore, the surgical treatment options are cervical conization (with fertility preservation) or extrafascial total hysterectomy (without fertility preservation), and fertility preservation is applicable for patients with LVSI(-).</w:t>
            </w:r>
          </w:p>
        </w:tc>
        <w:tc>
          <w:tcPr>
            <w:tcW w:w="1152" w:type="dxa"/>
            <w:vAlign w:val="center"/>
          </w:tcPr>
          <w:p w14:paraId="444090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C0290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6E88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8E4031" w14:textId="77777777">
        <w:tc>
          <w:tcPr>
            <w:tcW w:w="2160" w:type="dxa"/>
            <w:vAlign w:val="center"/>
          </w:tcPr>
          <w:p w14:paraId="6EE84818"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022BF6C"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surgical treatment options for FIGO stage IA1 cervical cancer patients? are these options applicable to patients wishing to preserve fertility?</w:t>
            </w:r>
            <w:r w:rsidRPr="00CB2EC4">
              <w:rPr>
                <w:rFonts w:ascii="Times New Roman" w:hAnsi="Times New Roman" w:cs="Times New Roman"/>
              </w:rPr>
              <w:br/>
            </w:r>
            <w:r w:rsidRPr="00CB2EC4">
              <w:rPr>
                <w:rFonts w:ascii="Times New Roman" w:hAnsi="Times New Roman" w:cs="Times New Roman"/>
              </w:rPr>
              <w:br/>
              <w:t xml:space="preserve">according to document excerpt 9 (relevance: 0.800), surgical treatment options for FIGO stage IA1 patients include:  </w:t>
            </w:r>
            <w:r w:rsidRPr="00CB2EC4">
              <w:rPr>
                <w:rFonts w:ascii="Times New Roman" w:hAnsi="Times New Roman" w:cs="Times New Roman"/>
              </w:rPr>
              <w:br/>
              <w:t xml:space="preserve">- when LVSI(-): level I recommendation: cervical conization or LEEP.  </w:t>
            </w:r>
            <w:r w:rsidRPr="00CB2EC4">
              <w:rPr>
                <w:rFonts w:ascii="Times New Roman" w:hAnsi="Times New Roman" w:cs="Times New Roman"/>
              </w:rPr>
              <w:br/>
              <w:t xml:space="preserve">- when LVSI(+): level I recommendation: radical trachelectomy + pelvic lymphadenectomy (sentinel lymph node biopsy) or cervical conization + pelvic lymphadenectomy (sentinel lymph node biopsy).  </w:t>
            </w:r>
            <w:r w:rsidRPr="00CB2EC4">
              <w:rPr>
                <w:rFonts w:ascii="Times New Roman" w:hAnsi="Times New Roman" w:cs="Times New Roman"/>
              </w:rPr>
              <w:br/>
              <w:t xml:space="preserve">document excerpt 27 (relevance: 0.500) and document excerpt 32 (relevance: 0.400) further confirm that IA1 stage patients may choose cervical conization (LVSI negative) or modified radical hysterectomy (LVSI positive), depending on age and fertility requirements.  </w:t>
            </w:r>
            <w:r w:rsidRPr="00CB2EC4">
              <w:rPr>
                <w:rFonts w:ascii="Times New Roman" w:hAnsi="Times New Roman" w:cs="Times New Roman"/>
              </w:rPr>
              <w:br/>
              <w:t xml:space="preserve">regarding fertility preservation: document excerpt 9 explicitly states that fertility preservation is applicable to IA1 stage patients, provided that: pathological type is squamous cell carcinoma, adenocarcinoma, or </w:t>
            </w:r>
            <w:r w:rsidRPr="00CB2EC4">
              <w:rPr>
                <w:rFonts w:ascii="Times New Roman" w:hAnsi="Times New Roman" w:cs="Times New Roman"/>
              </w:rPr>
              <w:lastRenderedPageBreak/>
              <w:t xml:space="preserve">adenosquamous carcinoma (excluding neuroendocrine carcinoma, etc.); imaging evaluation shows tumor confined to cervix, no lymph node metastasis; age ≤45 years, strong desire for fertility, no reproductive dysfunction. document excerpt 5 (relevance: 0.900) and document excerpt 31 (relevance: 0.400) also support the use of cervical conization or radical trachelectomy for fertility-sparing purposes.  </w:t>
            </w:r>
            <w:r w:rsidRPr="00CB2EC4">
              <w:rPr>
                <w:rFonts w:ascii="Times New Roman" w:hAnsi="Times New Roman" w:cs="Times New Roman"/>
              </w:rPr>
              <w:br/>
              <w:t>summary: surgical treatment options include cervical conization or LEEP (LVSI negative), or more extensive surgery (LVSI positive); applicable to patients wishing to preserve fertility, subject to specific conditions (e.g., age ≤45 years, strong fertility desire).</w:t>
            </w:r>
          </w:p>
        </w:tc>
        <w:tc>
          <w:tcPr>
            <w:tcW w:w="1152" w:type="dxa"/>
            <w:vAlign w:val="center"/>
          </w:tcPr>
          <w:p w14:paraId="301672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22DC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6786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FD47FD" w14:textId="77777777">
        <w:tc>
          <w:tcPr>
            <w:tcW w:w="2160" w:type="dxa"/>
            <w:vAlign w:val="center"/>
          </w:tcPr>
          <w:p w14:paraId="4E417CBB"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15ADF1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Surgical treatment options for FIGO stage IA1 cervical cancer:  </w:t>
            </w:r>
            <w:r w:rsidRPr="00CB2EC4">
              <w:rPr>
                <w:rFonts w:ascii="Times New Roman" w:hAnsi="Times New Roman" w:cs="Times New Roman"/>
              </w:rPr>
              <w:br/>
              <w:t xml:space="preserve">1. Fertility preservation required:  </w:t>
            </w:r>
            <w:r w:rsidRPr="00CB2EC4">
              <w:rPr>
                <w:rFonts w:ascii="Times New Roman" w:hAnsi="Times New Roman" w:cs="Times New Roman"/>
              </w:rPr>
              <w:br/>
              <w:t xml:space="preserve">   - LVSI(-): Cervical conization (patients with negative margins may be followed up).  </w:t>
            </w:r>
            <w:r w:rsidRPr="00CB2EC4">
              <w:rPr>
                <w:rFonts w:ascii="Times New Roman" w:hAnsi="Times New Roman" w:cs="Times New Roman"/>
              </w:rPr>
              <w:br/>
              <w:t xml:space="preserve">   - LVSI(+): Modified radical hysterectomy + pelvic lymphadenectomy.  </w:t>
            </w:r>
            <w:r w:rsidRPr="00CB2EC4">
              <w:rPr>
                <w:rFonts w:ascii="Times New Roman" w:hAnsi="Times New Roman" w:cs="Times New Roman"/>
              </w:rPr>
              <w:br/>
              <w:t xml:space="preserve">2. Fertility preservation not required: Extrafascial total hysterectomy.  </w:t>
            </w:r>
            <w:r w:rsidRPr="00CB2EC4">
              <w:rPr>
                <w:rFonts w:ascii="Times New Roman" w:hAnsi="Times New Roman" w:cs="Times New Roman"/>
              </w:rPr>
              <w:br/>
              <w:t xml:space="preserve">Applicability of fertility preservation:  </w:t>
            </w:r>
            <w:r w:rsidRPr="00CB2EC4">
              <w:rPr>
                <w:rFonts w:ascii="Times New Roman" w:hAnsi="Times New Roman" w:cs="Times New Roman"/>
              </w:rPr>
              <w:br/>
              <w:t>&gt; Yes. Fertility-sparing cervical conization is indicated for LVSI(-) patients; fertility preservation is not recommended for LVSI(+) patients, who require more extensive surgery (Section: *4.1.1.1 IA1 stage* and *Early Cervical Cancer Treatment Table*).</w:t>
            </w:r>
          </w:p>
        </w:tc>
        <w:tc>
          <w:tcPr>
            <w:tcW w:w="1152" w:type="dxa"/>
            <w:vAlign w:val="center"/>
          </w:tcPr>
          <w:p w14:paraId="562E12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086F1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3F794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DAB98E7" w14:textId="77777777">
        <w:tc>
          <w:tcPr>
            <w:tcW w:w="2160" w:type="dxa"/>
            <w:vAlign w:val="center"/>
          </w:tcPr>
          <w:p w14:paraId="5EBF781F"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270147A" w14:textId="77777777" w:rsidR="00922249" w:rsidRPr="00CB2EC4" w:rsidRDefault="003011D5">
            <w:pPr>
              <w:rPr>
                <w:rFonts w:ascii="Times New Roman" w:hAnsi="Times New Roman" w:cs="Times New Roman"/>
              </w:rPr>
            </w:pPr>
            <w:r w:rsidRPr="00CB2EC4">
              <w:rPr>
                <w:rFonts w:ascii="Times New Roman" w:hAnsi="Times New Roman" w:cs="Times New Roman"/>
              </w:rPr>
              <w:t>surgical treatment options for FIGO stage IA1 cervical cancer patients:</w:t>
            </w:r>
            <w:r w:rsidRPr="00CB2EC4">
              <w:rPr>
                <w:rFonts w:ascii="Times New Roman" w:hAnsi="Times New Roman" w:cs="Times New Roman"/>
              </w:rPr>
              <w:br/>
              <w:t>- Surgical treatment options:</w:t>
            </w:r>
            <w:r w:rsidRPr="00CB2EC4">
              <w:rPr>
                <w:rFonts w:ascii="Times New Roman" w:hAnsi="Times New Roman" w:cs="Times New Roman"/>
              </w:rPr>
              <w:br/>
              <w:t xml:space="preserve">  - Fertility-sparing: If lymphovascular space invasion </w:t>
            </w:r>
            <w:r w:rsidRPr="00CB2EC4">
              <w:rPr>
                <w:rFonts w:ascii="Times New Roman" w:hAnsi="Times New Roman" w:cs="Times New Roman"/>
              </w:rPr>
              <w:lastRenderedPageBreak/>
              <w:t>(LVSI) is negative, cervical conization (with negative margins followed by surveillance) is recommended. If LVSI is positive, modified radical hysterectomy + pelvic lymphadenectomy is required (Document Fragment 3).</w:t>
            </w:r>
            <w:r w:rsidRPr="00CB2EC4">
              <w:rPr>
                <w:rFonts w:ascii="Times New Roman" w:hAnsi="Times New Roman" w:cs="Times New Roman"/>
              </w:rPr>
              <w:br/>
              <w:t xml:space="preserve">  - Non-fertility-sparing: Radicalization is not indicated; simple extrafascial hysterectomy is recommended (can be performed via abdominal, vaginal, or laparoscopic approach). If LVSI is positive, modified radical hysterectomy + pelvic lymphadenectomy is recommended (Document Fragment 3).</w:t>
            </w:r>
            <w:r w:rsidRPr="00CB2EC4">
              <w:rPr>
                <w:rFonts w:ascii="Times New Roman" w:hAnsi="Times New Roman" w:cs="Times New Roman"/>
              </w:rPr>
              <w:br/>
              <w:t>- Applicability to fertility preservation: Yes, applicable. For young patients desiring fertility preservation, cervical conization is the preferred option when LVSI is negative; this preserves uterine and ovarian function (Document Fragment 3 and Document Fragment 23 annotation). However, negative margins must be ensured, and close follow-up is required.</w:t>
            </w:r>
          </w:p>
        </w:tc>
        <w:tc>
          <w:tcPr>
            <w:tcW w:w="1152" w:type="dxa"/>
            <w:vAlign w:val="center"/>
          </w:tcPr>
          <w:p w14:paraId="50CE76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BAA68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6BE7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BE2FBC" w14:textId="77777777">
        <w:tc>
          <w:tcPr>
            <w:tcW w:w="2160" w:type="dxa"/>
            <w:vAlign w:val="center"/>
          </w:tcPr>
          <w:p w14:paraId="0B159AA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6D9DB9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 Surgical treatment options:  </w:t>
            </w:r>
            <w:r w:rsidRPr="00CB2EC4">
              <w:rPr>
                <w:rFonts w:ascii="Times New Roman" w:hAnsi="Times New Roman" w:cs="Times New Roman"/>
              </w:rPr>
              <w:br/>
              <w:t xml:space="preserve">  - If fertility preservation is required and lymphovascular space invasion (LVSI) is negative: cervical conization may be performed (patients with negative margins are followed up).  </w:t>
            </w:r>
            <w:r w:rsidRPr="00CB2EC4">
              <w:rPr>
                <w:rFonts w:ascii="Times New Roman" w:hAnsi="Times New Roman" w:cs="Times New Roman"/>
              </w:rPr>
              <w:br/>
              <w:t xml:space="preserve">  - If fertility preservation is not required or the patient is elderly: extrafascial total hysterectomy is recommended (via abdominal, vaginal, or laparoscopic approach).  </w:t>
            </w:r>
            <w:r w:rsidRPr="00CB2EC4">
              <w:rPr>
                <w:rFonts w:ascii="Times New Roman" w:hAnsi="Times New Roman" w:cs="Times New Roman"/>
              </w:rPr>
              <w:br/>
              <w:t xml:space="preserve">  - If LVSI is positive: modified radical hysterectomy + pelvic lymphadenectomy should be performed.  </w:t>
            </w:r>
            <w:r w:rsidRPr="00CB2EC4">
              <w:rPr>
                <w:rFonts w:ascii="Times New Roman" w:hAnsi="Times New Roman" w:cs="Times New Roman"/>
              </w:rPr>
              <w:br/>
              <w:t xml:space="preserve">- Applicability for patients desiring fertility preservation:  </w:t>
            </w:r>
            <w:r w:rsidRPr="00CB2EC4">
              <w:rPr>
                <w:rFonts w:ascii="Times New Roman" w:hAnsi="Times New Roman" w:cs="Times New Roman"/>
              </w:rPr>
              <w:br/>
            </w:r>
            <w:r w:rsidRPr="00CB2EC4">
              <w:rPr>
                <w:rFonts w:ascii="Times New Roman" w:hAnsi="Times New Roman" w:cs="Times New Roman"/>
              </w:rPr>
              <w:lastRenderedPageBreak/>
              <w:t xml:space="preserve">  - Yes, it is applicable for patients desiring fertility preservation, but only when LVSI is negative. In such cases, cervical conization may be selected as a conservative treatment to preserve fertility function (supported by both Document 3 and Document 2).  </w:t>
            </w:r>
            <w:r w:rsidRPr="00CB2EC4">
              <w:rPr>
                <w:rFonts w:ascii="Times New Roman" w:hAnsi="Times New Roman" w:cs="Times New Roman"/>
              </w:rPr>
              <w:br/>
              <w:t>Document 3 explicitly states: “For those requiring fertility preservation, cervical conization may be performed if LVSI (-),” which demonstrates the applicability of this approach for fertility preservation.</w:t>
            </w:r>
          </w:p>
        </w:tc>
        <w:tc>
          <w:tcPr>
            <w:tcW w:w="1152" w:type="dxa"/>
            <w:vAlign w:val="center"/>
          </w:tcPr>
          <w:p w14:paraId="7ECB21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1BEE1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D29C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9DDDC5" w14:textId="77777777">
        <w:tc>
          <w:tcPr>
            <w:tcW w:w="2160" w:type="dxa"/>
            <w:vAlign w:val="center"/>
          </w:tcPr>
          <w:p w14:paraId="0F39FA6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E489A6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surgical treatment options for FIGO stage IA1 cervical cancer patients:  </w:t>
            </w:r>
            <w:r w:rsidRPr="00CB2EC4">
              <w:rPr>
                <w:rFonts w:ascii="Times New Roman" w:hAnsi="Times New Roman" w:cs="Times New Roman"/>
              </w:rPr>
              <w:br/>
              <w:t xml:space="preserve">- Surgical treatment options:  </w:t>
            </w:r>
            <w:r w:rsidRPr="00CB2EC4">
              <w:rPr>
                <w:rFonts w:ascii="Times New Roman" w:hAnsi="Times New Roman" w:cs="Times New Roman"/>
              </w:rPr>
              <w:br/>
              <w:t xml:space="preserve">  - For patients requiring preservation of fertility: If lymphovascular space invasion (LVSI) is negative, cervical conization may be performed (patients with negative margins are followed up).  </w:t>
            </w:r>
            <w:r w:rsidRPr="00CB2EC4">
              <w:rPr>
                <w:rFonts w:ascii="Times New Roman" w:hAnsi="Times New Roman" w:cs="Times New Roman"/>
              </w:rPr>
              <w:br/>
              <w:t xml:space="preserve">  - For patients not requiring preservation of fertility or elderly women: radical extrafascial hysterectomy is recommended.  </w:t>
            </w:r>
            <w:r w:rsidRPr="00CB2EC4">
              <w:rPr>
                <w:rFonts w:ascii="Times New Roman" w:hAnsi="Times New Roman" w:cs="Times New Roman"/>
              </w:rPr>
              <w:br/>
              <w:t xml:space="preserve">- Applicability for patients desiring fertility preservation: Yes, it is applicable. Specifically, when LVSI is negative, cervical conization can be used to preserve fertility, with close follow-up required postoperatively to ensure negative margins.  </w:t>
            </w:r>
            <w:r w:rsidRPr="00CB2EC4">
              <w:rPr>
                <w:rFonts w:ascii="Times New Roman" w:hAnsi="Times New Roman" w:cs="Times New Roman"/>
              </w:rPr>
              <w:br/>
              <w:t>The document emphasizes that the option to preserve fertility is based on patient age and reproductive wishes, and requires the condition of negative LVSI.</w:t>
            </w:r>
          </w:p>
        </w:tc>
        <w:tc>
          <w:tcPr>
            <w:tcW w:w="1152" w:type="dxa"/>
            <w:vAlign w:val="center"/>
          </w:tcPr>
          <w:p w14:paraId="025889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939E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F26FB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C8C719F" w14:textId="77777777">
        <w:tc>
          <w:tcPr>
            <w:tcW w:w="2160" w:type="dxa"/>
            <w:vAlign w:val="center"/>
          </w:tcPr>
          <w:p w14:paraId="3451A5A2"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B4C143D" w14:textId="77777777" w:rsidR="00922249" w:rsidRPr="00CB2EC4" w:rsidRDefault="003011D5">
            <w:pPr>
              <w:rPr>
                <w:rFonts w:ascii="Times New Roman" w:hAnsi="Times New Roman" w:cs="Times New Roman"/>
              </w:rPr>
            </w:pPr>
            <w:r w:rsidRPr="00CB2EC4">
              <w:rPr>
                <w:rFonts w:ascii="Times New Roman" w:hAnsi="Times New Roman" w:cs="Times New Roman"/>
              </w:rPr>
              <w:t>- Surgical treatment options for FIGO stage IA1 cervical cancer:</w:t>
            </w:r>
            <w:r w:rsidRPr="00CB2EC4">
              <w:rPr>
                <w:rFonts w:ascii="Times New Roman" w:hAnsi="Times New Roman" w:cs="Times New Roman"/>
              </w:rPr>
              <w:br/>
              <w:t xml:space="preserve">  - For patients requiring fertility preservation (e.g., young women), if lymphovascular space invasion (LVSI) is negative, cervical conization may be performed (those with negative margins are followed </w:t>
            </w:r>
            <w:r w:rsidRPr="00CB2EC4">
              <w:rPr>
                <w:rFonts w:ascii="Times New Roman" w:hAnsi="Times New Roman" w:cs="Times New Roman"/>
              </w:rPr>
              <w:lastRenderedPageBreak/>
              <w:t>up).</w:t>
            </w:r>
            <w:r w:rsidRPr="00CB2EC4">
              <w:rPr>
                <w:rFonts w:ascii="Times New Roman" w:hAnsi="Times New Roman" w:cs="Times New Roman"/>
              </w:rPr>
              <w:br/>
              <w:t xml:space="preserve">  - For patients not requiring fertility preservation (e.g., older women), extrafascial total hysterectomy (Type A hysterectomy) is recommended.</w:t>
            </w:r>
            <w:r w:rsidRPr="00CB2EC4">
              <w:rPr>
                <w:rFonts w:ascii="Times New Roman" w:hAnsi="Times New Roman" w:cs="Times New Roman"/>
              </w:rPr>
              <w:br/>
              <w:t>- Applicability to patients desiring fertility preservation: Yes, it is applicable. Specifically, IA1 stage patients with negative LVSI may choose cervical conization to preserve fertility (as explicitly stated in document fragment 10).</w:t>
            </w:r>
            <w:r w:rsidRPr="00CB2EC4">
              <w:rPr>
                <w:rFonts w:ascii="Times New Roman" w:hAnsi="Times New Roman" w:cs="Times New Roman"/>
              </w:rPr>
              <w:br/>
              <w:t>Therefore, surgical options include cervical conization (with fertility preservation) or extrafascial total hysterectomy (without fertility preservation), and fertility-sparing treatment is a feasible option.</w:t>
            </w:r>
          </w:p>
        </w:tc>
        <w:tc>
          <w:tcPr>
            <w:tcW w:w="1152" w:type="dxa"/>
            <w:vAlign w:val="center"/>
          </w:tcPr>
          <w:p w14:paraId="70B140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072E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8183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9B0E91" w14:textId="77777777">
        <w:tc>
          <w:tcPr>
            <w:tcW w:w="2160" w:type="dxa"/>
            <w:vAlign w:val="center"/>
          </w:tcPr>
          <w:p w14:paraId="22EF9E94"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DA367FC" w14:textId="77777777" w:rsidR="00922249" w:rsidRPr="00CB2EC4" w:rsidRDefault="003011D5">
            <w:pPr>
              <w:rPr>
                <w:rFonts w:ascii="Times New Roman" w:hAnsi="Times New Roman" w:cs="Times New Roman"/>
              </w:rPr>
            </w:pPr>
            <w:r w:rsidRPr="00CB2EC4">
              <w:rPr>
                <w:rFonts w:ascii="Times New Roman" w:hAnsi="Times New Roman" w:cs="Times New Roman"/>
              </w:rPr>
              <w:t>- Surgical treatment options:</w:t>
            </w:r>
            <w:r w:rsidRPr="00CB2EC4">
              <w:rPr>
                <w:rFonts w:ascii="Times New Roman" w:hAnsi="Times New Roman" w:cs="Times New Roman"/>
              </w:rPr>
              <w:br/>
              <w:t xml:space="preserve">  - Without fertility preservation:</w:t>
            </w:r>
            <w:r w:rsidRPr="00CB2EC4">
              <w:rPr>
                <w:rFonts w:ascii="Times New Roman" w:hAnsi="Times New Roman" w:cs="Times New Roman"/>
              </w:rPr>
              <w:br/>
              <w:t xml:space="preserve">    - LVSI negative (no lymphovascular space invasion): Extrafascial hysterectomy.</w:t>
            </w:r>
            <w:r w:rsidRPr="00CB2EC4">
              <w:rPr>
                <w:rFonts w:ascii="Times New Roman" w:hAnsi="Times New Roman" w:cs="Times New Roman"/>
              </w:rPr>
              <w:br/>
              <w:t xml:space="preserve">    - LVSI positive (with lymphovascular space invasion): Modified radical hysterectomy + pelvic lymphadenectomy or radiotherapy.</w:t>
            </w:r>
            <w:r w:rsidRPr="00CB2EC4">
              <w:rPr>
                <w:rFonts w:ascii="Times New Roman" w:hAnsi="Times New Roman" w:cs="Times New Roman"/>
              </w:rPr>
              <w:br/>
              <w:t xml:space="preserve">  - With fertility preservation:</w:t>
            </w:r>
            <w:r w:rsidRPr="00CB2EC4">
              <w:rPr>
                <w:rFonts w:ascii="Times New Roman" w:hAnsi="Times New Roman" w:cs="Times New Roman"/>
              </w:rPr>
              <w:br/>
              <w:t xml:space="preserve">    - LVSI negative: Cervical conization (requires negative margins; positive margins necessitate repeat conization or cervical excision).</w:t>
            </w:r>
            <w:r w:rsidRPr="00CB2EC4">
              <w:rPr>
                <w:rFonts w:ascii="Times New Roman" w:hAnsi="Times New Roman" w:cs="Times New Roman"/>
              </w:rPr>
              <w:br/>
              <w:t xml:space="preserve">    - LVSI positive: Cervical conization (but caution is advised; may require combined pelvic lymphadenectomy).</w:t>
            </w:r>
            <w:r w:rsidRPr="00CB2EC4">
              <w:rPr>
                <w:rFonts w:ascii="Times New Roman" w:hAnsi="Times New Roman" w:cs="Times New Roman"/>
              </w:rPr>
              <w:br/>
              <w:t>- Applicability for fertility preservation:</w:t>
            </w:r>
            <w:r w:rsidRPr="00CB2EC4">
              <w:rPr>
                <w:rFonts w:ascii="Times New Roman" w:hAnsi="Times New Roman" w:cs="Times New Roman"/>
              </w:rPr>
              <w:br/>
              <w:t xml:space="preserve">  - Yes, applicable for patients desiring fertility preservation. The document explicitly states that for IA1 stage patients, cervical conization (LVSI negative) is an option for fertility preservation, requiring close follow-up postoperatively.</w:t>
            </w:r>
            <w:r w:rsidRPr="00CB2EC4">
              <w:rPr>
                <w:rFonts w:ascii="Times New Roman" w:hAnsi="Times New Roman" w:cs="Times New Roman"/>
              </w:rPr>
              <w:br/>
              <w:t xml:space="preserve">  - Indications for fertility preservation include young </w:t>
            </w:r>
            <w:r w:rsidRPr="00CB2EC4">
              <w:rPr>
                <w:rFonts w:ascii="Times New Roman" w:hAnsi="Times New Roman" w:cs="Times New Roman"/>
              </w:rPr>
              <w:lastRenderedPageBreak/>
              <w:t>patients (e.g., age &lt;45 years) without surgical contraindications.</w:t>
            </w:r>
            <w:r w:rsidRPr="00CB2EC4">
              <w:rPr>
                <w:rFonts w:ascii="Times New Roman" w:hAnsi="Times New Roman" w:cs="Times New Roman"/>
              </w:rPr>
              <w:br/>
              <w:t>Source: Third, fourth, and last relevant document fragments.</w:t>
            </w:r>
          </w:p>
        </w:tc>
        <w:tc>
          <w:tcPr>
            <w:tcW w:w="1152" w:type="dxa"/>
            <w:vAlign w:val="center"/>
          </w:tcPr>
          <w:p w14:paraId="60D90E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21504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B64F8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C5BA380" w14:textId="77777777">
        <w:tc>
          <w:tcPr>
            <w:tcW w:w="2160" w:type="dxa"/>
            <w:vAlign w:val="center"/>
          </w:tcPr>
          <w:p w14:paraId="368ABE9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3BEB90B"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surgical treatment options for FIGO stage IA1 cervical cancer patients? are these options applicable for patients wishing to preserve fertility?</w:t>
            </w:r>
            <w:r w:rsidRPr="00CB2EC4">
              <w:rPr>
                <w:rFonts w:ascii="Times New Roman" w:hAnsi="Times New Roman" w:cs="Times New Roman"/>
              </w:rPr>
              <w:br/>
            </w:r>
            <w:r w:rsidRPr="00CB2EC4">
              <w:rPr>
                <w:rFonts w:ascii="Times New Roman" w:hAnsi="Times New Roman" w:cs="Times New Roman"/>
              </w:rPr>
              <w:br/>
              <w:t xml:space="preserve">- Surgical treatment options:  </w:t>
            </w:r>
            <w:r w:rsidRPr="00CB2EC4">
              <w:rPr>
                <w:rFonts w:ascii="Times New Roman" w:hAnsi="Times New Roman" w:cs="Times New Roman"/>
              </w:rPr>
              <w:br/>
              <w:t xml:space="preserve">  - LVSI negative:  </w:t>
            </w:r>
            <w:r w:rsidRPr="00CB2EC4">
              <w:rPr>
                <w:rFonts w:ascii="Times New Roman" w:hAnsi="Times New Roman" w:cs="Times New Roman"/>
              </w:rPr>
              <w:br/>
              <w:t xml:space="preserve">    - Level I recommendation: Cold knife conization or LEEP (fertility-sparing).  </w:t>
            </w:r>
            <w:r w:rsidRPr="00CB2EC4">
              <w:rPr>
                <w:rFonts w:ascii="Times New Roman" w:hAnsi="Times New Roman" w:cs="Times New Roman"/>
              </w:rPr>
              <w:br/>
              <w:t xml:space="preserve">    - Level I recommendation: Extrafascial total hysterectomy (non-fertility-sparing).  </w:t>
            </w:r>
            <w:r w:rsidRPr="00CB2EC4">
              <w:rPr>
                <w:rFonts w:ascii="Times New Roman" w:hAnsi="Times New Roman" w:cs="Times New Roman"/>
              </w:rPr>
              <w:br/>
              <w:t xml:space="preserve">    - (Note: Type A hysterectomy refers to extrafascial total hysterectomy.)  </w:t>
            </w:r>
            <w:r w:rsidRPr="00CB2EC4">
              <w:rPr>
                <w:rFonts w:ascii="Times New Roman" w:hAnsi="Times New Roman" w:cs="Times New Roman"/>
              </w:rPr>
              <w:br/>
              <w:t xml:space="preserve">  - LVSI positive:  </w:t>
            </w:r>
            <w:r w:rsidRPr="00CB2EC4">
              <w:rPr>
                <w:rFonts w:ascii="Times New Roman" w:hAnsi="Times New Roman" w:cs="Times New Roman"/>
              </w:rPr>
              <w:br/>
              <w:t xml:space="preserve">    - Level I recommendation: Modified radical hysterectomy with pelvic lymphadenectomy (non-fertility-sparing).  </w:t>
            </w:r>
            <w:r w:rsidRPr="00CB2EC4">
              <w:rPr>
                <w:rFonts w:ascii="Times New Roman" w:hAnsi="Times New Roman" w:cs="Times New Roman"/>
              </w:rPr>
              <w:br/>
              <w:t xml:space="preserve">    - Level I recommendation: Radical trachelectomy with pelvic lymphadenectomy or conization with pelvic lymphadenectomy (fertility-sparing).  </w:t>
            </w:r>
            <w:r w:rsidRPr="00CB2EC4">
              <w:rPr>
                <w:rFonts w:ascii="Times New Roman" w:hAnsi="Times New Roman" w:cs="Times New Roman"/>
              </w:rPr>
              <w:br/>
              <w:t xml:space="preserve">- Applicability for fertility preservation:  </w:t>
            </w:r>
            <w:r w:rsidRPr="00CB2EC4">
              <w:rPr>
                <w:rFonts w:ascii="Times New Roman" w:hAnsi="Times New Roman" w:cs="Times New Roman"/>
              </w:rPr>
              <w:br/>
              <w:t xml:space="preserve">  - Yes. For LVSI-negative patients, fertility-sparing options (e.g., conization) are strongly recommended, requiring negative margins (at least 3 mm). For LVSI-positive patients, radical trachelectomy may be considered to preserve fertility, provided margins of 5–8 mm are negative. Eligibility for fertility preservation includes age ≤45 years, no reproductive dysfunction, and localized tumor.</w:t>
            </w:r>
          </w:p>
        </w:tc>
        <w:tc>
          <w:tcPr>
            <w:tcW w:w="1152" w:type="dxa"/>
            <w:vAlign w:val="center"/>
          </w:tcPr>
          <w:p w14:paraId="46CD9D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1010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85267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B62D34" w14:textId="77777777">
        <w:tc>
          <w:tcPr>
            <w:tcW w:w="2160" w:type="dxa"/>
            <w:vAlign w:val="center"/>
          </w:tcPr>
          <w:p w14:paraId="129C5B7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36CADE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what are the surgical treatment options for FIGO stage </w:t>
            </w:r>
            <w:r w:rsidRPr="00CB2EC4">
              <w:rPr>
                <w:rFonts w:ascii="Times New Roman" w:hAnsi="Times New Roman" w:cs="Times New Roman"/>
              </w:rPr>
              <w:lastRenderedPageBreak/>
              <w:t xml:space="preserve">IA1 cervical cancer patients? are these options applicable to patients wishing to preserve fertility?  </w:t>
            </w:r>
            <w:r w:rsidRPr="00CB2EC4">
              <w:rPr>
                <w:rFonts w:ascii="Times New Roman" w:hAnsi="Times New Roman" w:cs="Times New Roman"/>
              </w:rPr>
              <w:br/>
              <w:t xml:space="preserve">according to the document content, the surgical treatment options for FIGO stage IA1 cervical cancer patients and their applicability to fertility preservation are as follows:  </w:t>
            </w:r>
            <w:r w:rsidRPr="00CB2EC4">
              <w:rPr>
                <w:rFonts w:ascii="Times New Roman" w:hAnsi="Times New Roman" w:cs="Times New Roman"/>
              </w:rPr>
              <w:br/>
              <w:t xml:space="preserve">- surgical treatment options:  </w:t>
            </w:r>
            <w:r w:rsidRPr="00CB2EC4">
              <w:rPr>
                <w:rFonts w:ascii="Times New Roman" w:hAnsi="Times New Roman" w:cs="Times New Roman"/>
              </w:rPr>
              <w:br/>
              <w:t xml:space="preserve">  - for patients requiring fertility preservation and with LVSI(-) (lymphovascular space invasion negative): cervical conization is feasible; those with negative margins are followed up with observation.  </w:t>
            </w:r>
            <w:r w:rsidRPr="00CB2EC4">
              <w:rPr>
                <w:rFonts w:ascii="Times New Roman" w:hAnsi="Times New Roman" w:cs="Times New Roman"/>
              </w:rPr>
              <w:br/>
              <w:t xml:space="preserve">  - for patients not requiring fertility preservation or elderly patients: radical hysterectomy is recommended.  </w:t>
            </w:r>
            <w:r w:rsidRPr="00CB2EC4">
              <w:rPr>
                <w:rFonts w:ascii="Times New Roman" w:hAnsi="Times New Roman" w:cs="Times New Roman"/>
              </w:rPr>
              <w:br/>
              <w:t xml:space="preserve">  - if LVSI(+), modified radical hysterectomy + pelvic lymphadenectomy should be performed (not applicable for fertility preservation).  </w:t>
            </w:r>
            <w:r w:rsidRPr="00CB2EC4">
              <w:rPr>
                <w:rFonts w:ascii="Times New Roman" w:hAnsi="Times New Roman" w:cs="Times New Roman"/>
              </w:rPr>
              <w:br/>
              <w:t xml:space="preserve">  the surgical approach may be abdominal, vaginal, or laparoscopic.  </w:t>
            </w:r>
            <w:r w:rsidRPr="00CB2EC4">
              <w:rPr>
                <w:rFonts w:ascii="Times New Roman" w:hAnsi="Times New Roman" w:cs="Times New Roman"/>
              </w:rPr>
              <w:br/>
              <w:t>- applicability to fertility preservation: yes, applicable for patients wishing to preserve fertility. specifically, if LVSI(-), cervical conization is the preferred option to preserve fertility; after negative margins, only follow-up is needed, with no further surgery required. however, if LVSI(+), fertility preservation is not suitable, and more extensive surgery is needed (source: section "4.1.1.1 Stage IA1" in [similarity: 0.553] fragment).</w:t>
            </w:r>
          </w:p>
        </w:tc>
        <w:tc>
          <w:tcPr>
            <w:tcW w:w="1152" w:type="dxa"/>
            <w:vAlign w:val="center"/>
          </w:tcPr>
          <w:p w14:paraId="4B595F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C1C0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F421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428FEB" w14:textId="77777777">
        <w:tc>
          <w:tcPr>
            <w:tcW w:w="2160" w:type="dxa"/>
            <w:vAlign w:val="center"/>
          </w:tcPr>
          <w:p w14:paraId="08F0E77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CED0705" w14:textId="77777777" w:rsidR="00922249" w:rsidRPr="00CB2EC4" w:rsidRDefault="003011D5">
            <w:pPr>
              <w:rPr>
                <w:rFonts w:ascii="Times New Roman" w:hAnsi="Times New Roman" w:cs="Times New Roman"/>
              </w:rPr>
            </w:pPr>
            <w:r w:rsidRPr="00CB2EC4">
              <w:rPr>
                <w:rFonts w:ascii="Times New Roman" w:hAnsi="Times New Roman" w:cs="Times New Roman"/>
              </w:rPr>
              <w:t>- Surgical treatment options:</w:t>
            </w:r>
            <w:r w:rsidRPr="00CB2EC4">
              <w:rPr>
                <w:rFonts w:ascii="Times New Roman" w:hAnsi="Times New Roman" w:cs="Times New Roman"/>
              </w:rPr>
              <w:br/>
              <w:t xml:space="preserve">  - Without fertility preservation:</w:t>
            </w:r>
            <w:r w:rsidRPr="00CB2EC4">
              <w:rPr>
                <w:rFonts w:ascii="Times New Roman" w:hAnsi="Times New Roman" w:cs="Times New Roman"/>
              </w:rPr>
              <w:br/>
              <w:t xml:space="preserve">    - FIGO 2018 recommendation: Extrafascial total hysterectomy or radiotherapy.</w:t>
            </w:r>
            <w:r w:rsidRPr="00CB2EC4">
              <w:rPr>
                <w:rFonts w:ascii="Times New Roman" w:hAnsi="Times New Roman" w:cs="Times New Roman"/>
              </w:rPr>
              <w:br/>
              <w:t xml:space="preserve">    - NCCN 2019 recommendation: If conization margins are negative or show CIN, perform </w:t>
            </w:r>
            <w:r w:rsidRPr="00CB2EC4">
              <w:rPr>
                <w:rFonts w:ascii="Times New Roman" w:hAnsi="Times New Roman" w:cs="Times New Roman"/>
              </w:rPr>
              <w:lastRenderedPageBreak/>
              <w:t>extrafascial total hysterectomy; if conization margins show cancer, perform radical trachelectomy + pelvic lymphadenectomy.</w:t>
            </w:r>
            <w:r w:rsidRPr="00CB2EC4">
              <w:rPr>
                <w:rFonts w:ascii="Times New Roman" w:hAnsi="Times New Roman" w:cs="Times New Roman"/>
              </w:rPr>
              <w:br/>
              <w:t xml:space="preserve">  - With fertility preservation:</w:t>
            </w:r>
            <w:r w:rsidRPr="00CB2EC4">
              <w:rPr>
                <w:rFonts w:ascii="Times New Roman" w:hAnsi="Times New Roman" w:cs="Times New Roman"/>
              </w:rPr>
              <w:br/>
              <w:t xml:space="preserve">    - Both FIGO 2018 and NCCN 2019 recommend: Conization (requires 3 mm negative margins; positive margins necessitate repeat conization or cervical excision).</w:t>
            </w:r>
            <w:r w:rsidRPr="00CB2EC4">
              <w:rPr>
                <w:rFonts w:ascii="Times New Roman" w:hAnsi="Times New Roman" w:cs="Times New Roman"/>
              </w:rPr>
              <w:br/>
              <w:t>- Applicability to patients desiring fertility preservation:</w:t>
            </w:r>
            <w:r w:rsidRPr="00CB2EC4">
              <w:rPr>
                <w:rFonts w:ascii="Times New Roman" w:hAnsi="Times New Roman" w:cs="Times New Roman"/>
              </w:rPr>
              <w:br/>
              <w:t xml:space="preserve">  - Yes, it is applicable. Conization is the preferred method for preserving fertility, especially suitable for young patients (see Table 4 in Document Fragment 5 and the IA stage treatment section in Document Fragment 2).</w:t>
            </w:r>
          </w:p>
        </w:tc>
        <w:tc>
          <w:tcPr>
            <w:tcW w:w="1152" w:type="dxa"/>
            <w:vAlign w:val="center"/>
          </w:tcPr>
          <w:p w14:paraId="4C32FA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AB43C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F6FD4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43F905" w14:textId="77777777">
        <w:tc>
          <w:tcPr>
            <w:tcW w:w="2160" w:type="dxa"/>
            <w:vAlign w:val="center"/>
          </w:tcPr>
          <w:p w14:paraId="6497D1A2"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F521496"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surgical treatment options for FIGO stage IA1 cervical cancer? are they applicable to patients wishing to preserve fertility?</w:t>
            </w:r>
            <w:r w:rsidRPr="00CB2EC4">
              <w:rPr>
                <w:rFonts w:ascii="Times New Roman" w:hAnsi="Times New Roman" w:cs="Times New Roman"/>
              </w:rPr>
              <w:br/>
            </w:r>
            <w:r w:rsidRPr="00CB2EC4">
              <w:rPr>
                <w:rFonts w:ascii="Times New Roman" w:hAnsi="Times New Roman" w:cs="Times New Roman"/>
              </w:rPr>
              <w:br/>
              <w:t xml:space="preserve">based on the provided context (relevant excerpts 1 and 2, from original blocks 8-10 and 20-22), the surgical treatment options for FIGO stage IA1 cervical cancer are as follows:  </w:t>
            </w:r>
            <w:r w:rsidRPr="00CB2EC4">
              <w:rPr>
                <w:rFonts w:ascii="Times New Roman" w:hAnsi="Times New Roman" w:cs="Times New Roman"/>
              </w:rPr>
              <w:br/>
              <w:t xml:space="preserve">- surgical treatment options:  </w:t>
            </w:r>
            <w:r w:rsidRPr="00CB2EC4">
              <w:rPr>
                <w:rFonts w:ascii="Times New Roman" w:hAnsi="Times New Roman" w:cs="Times New Roman"/>
              </w:rPr>
              <w:br/>
              <w:t xml:space="preserve">  - fertility-preserving: applicable for patients with negative lymphovascular space invasion (LVSI); cervical conization is recommended (negative margins required, with postoperative follow-up).  </w:t>
            </w:r>
            <w:r w:rsidRPr="00CB2EC4">
              <w:rPr>
                <w:rFonts w:ascii="Times New Roman" w:hAnsi="Times New Roman" w:cs="Times New Roman"/>
              </w:rPr>
              <w:br/>
              <w:t xml:space="preserve">  - non-fertility-preserving:  </w:t>
            </w:r>
            <w:r w:rsidRPr="00CB2EC4">
              <w:rPr>
                <w:rFonts w:ascii="Times New Roman" w:hAnsi="Times New Roman" w:cs="Times New Roman"/>
              </w:rPr>
              <w:br/>
              <w:t xml:space="preserve">    - LVSI negative: extrafascial total hysterectomy (can be performed via abdominal, vaginal, or laparoscopic approach).  </w:t>
            </w:r>
            <w:r w:rsidRPr="00CB2EC4">
              <w:rPr>
                <w:rFonts w:ascii="Times New Roman" w:hAnsi="Times New Roman" w:cs="Times New Roman"/>
              </w:rPr>
              <w:br/>
              <w:t xml:space="preserve">    - LVSI positive: modified radical hysterectomy + pelvic lymphadenectomy.  </w:t>
            </w:r>
            <w:r w:rsidRPr="00CB2EC4">
              <w:rPr>
                <w:rFonts w:ascii="Times New Roman" w:hAnsi="Times New Roman" w:cs="Times New Roman"/>
              </w:rPr>
              <w:br/>
            </w:r>
            <w:r w:rsidRPr="00CB2EC4">
              <w:rPr>
                <w:rFonts w:ascii="Times New Roman" w:hAnsi="Times New Roman" w:cs="Times New Roman"/>
              </w:rPr>
              <w:lastRenderedPageBreak/>
              <w:t xml:space="preserve">- applicability to fertility preservation: yes, applicable for patients wishing to preserve fertility, but only in cases with negative LVSI. cervical conization is the preferred option to maintain fertility; for LVSI-positive cases, fertility-preserving options are limited (NCCN guidelines suggest conization + pelvic lymph node dissection + radical trachelectomy, but evidence is weak).  </w:t>
            </w:r>
            <w:r w:rsidRPr="00CB2EC4">
              <w:rPr>
                <w:rFonts w:ascii="Times New Roman" w:hAnsi="Times New Roman" w:cs="Times New Roman"/>
              </w:rPr>
              <w:br/>
              <w:t>- basis: excerpt 1 (section 4.1.1.1) and excerpt 2 (table 4) clearly define the treatment strategy for stage IA1, emphasizing that LVSI status is the key decision factor.</w:t>
            </w:r>
          </w:p>
        </w:tc>
        <w:tc>
          <w:tcPr>
            <w:tcW w:w="1152" w:type="dxa"/>
            <w:vAlign w:val="center"/>
          </w:tcPr>
          <w:p w14:paraId="7AEC85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EBA07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C99A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E594EC" w14:textId="77777777">
        <w:tc>
          <w:tcPr>
            <w:tcW w:w="2160" w:type="dxa"/>
            <w:vAlign w:val="center"/>
          </w:tcPr>
          <w:p w14:paraId="20B51327"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DAC8CF1" w14:textId="77777777" w:rsidR="00922249" w:rsidRPr="00CB2EC4" w:rsidRDefault="003011D5">
            <w:pPr>
              <w:rPr>
                <w:rFonts w:ascii="Times New Roman" w:hAnsi="Times New Roman" w:cs="Times New Roman"/>
              </w:rPr>
            </w:pPr>
            <w:r w:rsidRPr="00CB2EC4">
              <w:rPr>
                <w:rFonts w:ascii="Times New Roman" w:hAnsi="Times New Roman" w:cs="Times New Roman"/>
              </w:rPr>
              <w:t>surgical treatment options for FIGO stage IA1 cervical cancer include:</w:t>
            </w:r>
            <w:r w:rsidRPr="00CB2EC4">
              <w:rPr>
                <w:rFonts w:ascii="Times New Roman" w:hAnsi="Times New Roman" w:cs="Times New Roman"/>
              </w:rPr>
              <w:br/>
              <w:t>- Conization (e.g., cold knife conization or LEEP) or total hysterectomy (via abdominal, vaginal, or laparoscopic approach). Conization is suitable for both diagnosis and treatment; total hysterectomy is indicated for patients without fertility preservation needs.</w:t>
            </w:r>
            <w:r w:rsidRPr="00CB2EC4">
              <w:rPr>
                <w:rFonts w:ascii="Times New Roman" w:hAnsi="Times New Roman" w:cs="Times New Roman"/>
              </w:rPr>
              <w:br/>
              <w:t>- Applicability for fertility preservation: Yes, patients desiring fertility preservation may undergo conization, provided that surgical margins are negative, there is no lymphovascular space invasion (LVSI), and the patient has a strong desire for future childbearing. Close follow-up (e.g., cervical cytology and HPV testing every 6 months) is required after conization.</w:t>
            </w:r>
          </w:p>
        </w:tc>
        <w:tc>
          <w:tcPr>
            <w:tcW w:w="1152" w:type="dxa"/>
            <w:vAlign w:val="center"/>
          </w:tcPr>
          <w:p w14:paraId="3FA7E8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8491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BD57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BFCC093" w14:textId="77777777">
        <w:tc>
          <w:tcPr>
            <w:tcW w:w="10656" w:type="dxa"/>
            <w:gridSpan w:val="5"/>
            <w:tcBorders>
              <w:bottom w:val="single" w:sz="6" w:space="0" w:color="auto"/>
            </w:tcBorders>
            <w:vAlign w:val="center"/>
          </w:tcPr>
          <w:p w14:paraId="4F8EFFE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70: In patients with FIGO stage IB2 and IIA1, what factors determine the choice between surgery and radiotherapy? What are the differences in outcomes between the two modalities?</w:t>
            </w:r>
          </w:p>
        </w:tc>
      </w:tr>
      <w:tr w:rsidR="00922249" w:rsidRPr="00CB2EC4" w14:paraId="565A5B01" w14:textId="77777777">
        <w:tc>
          <w:tcPr>
            <w:tcW w:w="2160" w:type="dxa"/>
            <w:vAlign w:val="center"/>
          </w:tcPr>
          <w:p w14:paraId="6A7497F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5F6293C" w14:textId="77777777" w:rsidR="00922249" w:rsidRPr="00CB2EC4" w:rsidRDefault="003011D5">
            <w:pPr>
              <w:rPr>
                <w:rFonts w:ascii="Times New Roman" w:hAnsi="Times New Roman" w:cs="Times New Roman"/>
              </w:rPr>
            </w:pPr>
            <w:r w:rsidRPr="00CB2EC4">
              <w:rPr>
                <w:rFonts w:ascii="Times New Roman" w:hAnsi="Times New Roman" w:cs="Times New Roman"/>
              </w:rPr>
              <w:t>in patients with FIGO stage IB2 and IIA1, what factors determine the choice between surgery and radiotherapy? how do the outcomes of the two treatment modalities differ?</w:t>
            </w:r>
            <w:r w:rsidRPr="00CB2EC4">
              <w:rPr>
                <w:rFonts w:ascii="Times New Roman" w:hAnsi="Times New Roman" w:cs="Times New Roman"/>
              </w:rPr>
              <w:br/>
            </w:r>
            <w:r w:rsidRPr="00CB2EC4">
              <w:rPr>
                <w:rFonts w:ascii="Times New Roman" w:hAnsi="Times New Roman" w:cs="Times New Roman"/>
              </w:rPr>
              <w:lastRenderedPageBreak/>
              <w:br/>
              <w:t>according to the document content (from [similarity: 0.624 [expansion:3 blocks, range:9-11]] and [similarity: 0.577 [expansion:3 blocks, range:33-35]] sections):</w:t>
            </w:r>
            <w:r w:rsidRPr="00CB2EC4">
              <w:rPr>
                <w:rFonts w:ascii="Times New Roman" w:hAnsi="Times New Roman" w:cs="Times New Roman"/>
              </w:rPr>
              <w:br/>
              <w:t>- determining factors:</w:t>
            </w:r>
            <w:r w:rsidRPr="00CB2EC4">
              <w:rPr>
                <w:rFonts w:ascii="Times New Roman" w:hAnsi="Times New Roman" w:cs="Times New Roman"/>
              </w:rPr>
              <w:br/>
              <w:t xml:space="preserve">  - patient factors:</w:t>
            </w:r>
            <w:r w:rsidRPr="00CB2EC4">
              <w:rPr>
                <w:rFonts w:ascii="Times New Roman" w:hAnsi="Times New Roman" w:cs="Times New Roman"/>
              </w:rPr>
              <w:br/>
              <w:t xml:space="preserve">    - age: younger patients (&lt;45 years) prefer surgery to preserve ovarian function and sexual function (with intraoperative ovarian transposition).</w:t>
            </w:r>
            <w:r w:rsidRPr="00CB2EC4">
              <w:rPr>
                <w:rFonts w:ascii="Times New Roman" w:hAnsi="Times New Roman" w:cs="Times New Roman"/>
              </w:rPr>
              <w:br/>
              <w:t xml:space="preserve">    - overall health status: patients with contraindications to surgery (e.g., severe medical comorbidities) tend toward radiotherapy.</w:t>
            </w:r>
            <w:r w:rsidRPr="00CB2EC4">
              <w:rPr>
                <w:rFonts w:ascii="Times New Roman" w:hAnsi="Times New Roman" w:cs="Times New Roman"/>
              </w:rPr>
              <w:br/>
              <w:t xml:space="preserve">    - fertility requirements: surgery allows preservation of fertility (e.g., radical trachelectomy).</w:t>
            </w:r>
            <w:r w:rsidRPr="00CB2EC4">
              <w:rPr>
                <w:rFonts w:ascii="Times New Roman" w:hAnsi="Times New Roman" w:cs="Times New Roman"/>
              </w:rPr>
              <w:br/>
              <w:t xml:space="preserve">  - tumor factors:</w:t>
            </w:r>
            <w:r w:rsidRPr="00CB2EC4">
              <w:rPr>
                <w:rFonts w:ascii="Times New Roman" w:hAnsi="Times New Roman" w:cs="Times New Roman"/>
              </w:rPr>
              <w:br/>
              <w:t xml:space="preserve">    - tumor size and histological type: adenocarcinoma or barrel-shaped cervix may be more suitable for radiotherapy.</w:t>
            </w:r>
            <w:r w:rsidRPr="00CB2EC4">
              <w:rPr>
                <w:rFonts w:ascii="Times New Roman" w:hAnsi="Times New Roman" w:cs="Times New Roman"/>
              </w:rPr>
              <w:br/>
              <w:t xml:space="preserve">    - local resources: availability of radiotherapy equipment (resource-limited settings may favor surgery).</w:t>
            </w:r>
            <w:r w:rsidRPr="00CB2EC4">
              <w:rPr>
                <w:rFonts w:ascii="Times New Roman" w:hAnsi="Times New Roman" w:cs="Times New Roman"/>
              </w:rPr>
              <w:br/>
              <w:t xml:space="preserve">  - treatment advantage considerations:</w:t>
            </w:r>
            <w:r w:rsidRPr="00CB2EC4">
              <w:rPr>
                <w:rFonts w:ascii="Times New Roman" w:hAnsi="Times New Roman" w:cs="Times New Roman"/>
              </w:rPr>
              <w:br/>
              <w:t xml:space="preserve">    - surgical advantages: provides accurate pathological staging to guide individualized adjuvant therapy; removes radioresistant tumors; preserves ovaries.</w:t>
            </w:r>
            <w:r w:rsidRPr="00CB2EC4">
              <w:rPr>
                <w:rFonts w:ascii="Times New Roman" w:hAnsi="Times New Roman" w:cs="Times New Roman"/>
              </w:rPr>
              <w:br/>
              <w:t xml:space="preserve">    - radiotherapy advantages: avoids surgical complications and is suitable for patients intolerant to surgery.</w:t>
            </w:r>
            <w:r w:rsidRPr="00CB2EC4">
              <w:rPr>
                <w:rFonts w:ascii="Times New Roman" w:hAnsi="Times New Roman" w:cs="Times New Roman"/>
              </w:rPr>
              <w:br/>
              <w:t>- comparison of treatment outcomes:</w:t>
            </w:r>
            <w:r w:rsidRPr="00CB2EC4">
              <w:rPr>
                <w:rFonts w:ascii="Times New Roman" w:hAnsi="Times New Roman" w:cs="Times New Roman"/>
              </w:rPr>
              <w:br/>
              <w:t xml:space="preserve">  - efficacy: both modalities have similar 5-year survival rates, mortality, and complication rates (document explicitly states: "the efficacy of surgery </w:t>
            </w:r>
            <w:r w:rsidRPr="00CB2EC4">
              <w:rPr>
                <w:rFonts w:ascii="Times New Roman" w:hAnsi="Times New Roman" w:cs="Times New Roman"/>
              </w:rPr>
              <w:lastRenderedPageBreak/>
              <w:t>and radical radiotherapy for early-stage cervical cancer is comparable").</w:t>
            </w:r>
            <w:r w:rsidRPr="00CB2EC4">
              <w:rPr>
                <w:rFonts w:ascii="Times New Roman" w:hAnsi="Times New Roman" w:cs="Times New Roman"/>
              </w:rPr>
              <w:br/>
              <w:t xml:space="preserve">  - specific differences:</w:t>
            </w:r>
            <w:r w:rsidRPr="00CB2EC4">
              <w:rPr>
                <w:rFonts w:ascii="Times New Roman" w:hAnsi="Times New Roman" w:cs="Times New Roman"/>
              </w:rPr>
              <w:br/>
              <w:t xml:space="preserve">    - surgery: may increase risk of urinary tract injury (e.g., fistula, incidence 2–7%), but preserves vaginal function better.</w:t>
            </w:r>
            <w:r w:rsidRPr="00CB2EC4">
              <w:rPr>
                <w:rFonts w:ascii="Times New Roman" w:hAnsi="Times New Roman" w:cs="Times New Roman"/>
              </w:rPr>
              <w:br/>
              <w:t xml:space="preserve">    - radiotherapy: may cause late rectal/bladder complications, but has no surgery-related mortality.</w:t>
            </w:r>
            <w:r w:rsidRPr="00CB2EC4">
              <w:rPr>
                <w:rFonts w:ascii="Times New Roman" w:hAnsi="Times New Roman" w:cs="Times New Roman"/>
              </w:rPr>
              <w:br/>
              <w:t xml:space="preserve">    - minimally invasive surgery (laparoscopic/robotic) showed higher recurrence rates than open surgery in the LACC trial and should be selected with caution.</w:t>
            </w:r>
            <w:r w:rsidRPr="00CB2EC4">
              <w:rPr>
                <w:rFonts w:ascii="Times New Roman" w:hAnsi="Times New Roman" w:cs="Times New Roman"/>
              </w:rPr>
              <w:br/>
              <w:t>- evidence: for IB2/IIA1 stage, initial treatment options include radical surgery (type C hysterectomy + pelvic lymphadenectomy) or radical radiotherapy (external beam radiotherapy + vaginal brachytherapy ± concurrent chemotherapy). choice depends on the above factors, and both have comparable efficacy.</w:t>
            </w:r>
            <w:r w:rsidRPr="00CB2EC4">
              <w:rPr>
                <w:rFonts w:ascii="Times New Roman" w:hAnsi="Times New Roman" w:cs="Times New Roman"/>
              </w:rPr>
              <w:br/>
            </w:r>
            <w:r w:rsidRPr="00CB2EC4">
              <w:rPr>
                <w:rFonts w:ascii="Times New Roman" w:hAnsi="Times New Roman" w:cs="Times New Roman"/>
              </w:rPr>
              <w:br/>
              <w:t>conclusion: determining factors include age, health status, fertility requirements, tumor characteristics, and resource availability. outcomes show no significant difference in survival, but complication profiles differ (surgery favors short-term injury, radiotherapy favors long-term toxicity).</w:t>
            </w:r>
          </w:p>
        </w:tc>
        <w:tc>
          <w:tcPr>
            <w:tcW w:w="1152" w:type="dxa"/>
            <w:vAlign w:val="center"/>
          </w:tcPr>
          <w:p w14:paraId="1F98A2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D8FF8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74392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60377F9" w14:textId="77777777">
        <w:tc>
          <w:tcPr>
            <w:tcW w:w="2160" w:type="dxa"/>
            <w:vAlign w:val="center"/>
          </w:tcPr>
          <w:p w14:paraId="6362142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44ABC70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FIGO stage IB2 and IIA1 cervical cancer, the factors influencing the choice between surgery and radiotherapy include:  </w:t>
            </w:r>
            <w:r w:rsidRPr="00CB2EC4">
              <w:rPr>
                <w:rFonts w:ascii="Times New Roman" w:hAnsi="Times New Roman" w:cs="Times New Roman"/>
              </w:rPr>
              <w:br/>
            </w:r>
            <w:r w:rsidRPr="00CB2EC4">
              <w:rPr>
                <w:rFonts w:ascii="Times New Roman" w:hAnsi="Times New Roman" w:cs="Times New Roman"/>
              </w:rPr>
              <w:br/>
              <w:t xml:space="preserve">- **Patient factors**: Such as age (younger women may prefer surgery to preserve ovarian and sexual function), desire for fertility preservation, and comorbidities (e.g., history of pelvic inflammatory disease).  </w:t>
            </w:r>
            <w:r w:rsidRPr="00CB2EC4">
              <w:rPr>
                <w:rFonts w:ascii="Times New Roman" w:hAnsi="Times New Roman" w:cs="Times New Roman"/>
              </w:rPr>
              <w:br/>
              <w:t xml:space="preserve">- **Local healthcare resources**: Availability of </w:t>
            </w:r>
            <w:r w:rsidRPr="00CB2EC4">
              <w:rPr>
                <w:rFonts w:ascii="Times New Roman" w:hAnsi="Times New Roman" w:cs="Times New Roman"/>
              </w:rPr>
              <w:lastRenderedPageBreak/>
              <w:t xml:space="preserve">radiotherapy equipment (surgery may be preferred in regions with limited radiotherapy resources).  </w:t>
            </w:r>
            <w:r w:rsidRPr="00CB2EC4">
              <w:rPr>
                <w:rFonts w:ascii="Times New Roman" w:hAnsi="Times New Roman" w:cs="Times New Roman"/>
              </w:rPr>
              <w:br/>
              <w:t xml:space="preserve">- **Tumor characteristics**: Such as tumor size and lymph node status, though both surgery and radiotherapy are viable options for initial treatment of IB2/IIA1 disease.  </w:t>
            </w:r>
            <w:r w:rsidRPr="00CB2EC4">
              <w:rPr>
                <w:rFonts w:ascii="Times New Roman" w:hAnsi="Times New Roman" w:cs="Times New Roman"/>
              </w:rPr>
              <w:br/>
            </w:r>
            <w:r w:rsidRPr="00CB2EC4">
              <w:rPr>
                <w:rFonts w:ascii="Times New Roman" w:hAnsi="Times New Roman" w:cs="Times New Roman"/>
              </w:rPr>
              <w:br/>
              <w:t xml:space="preserve">The differences in outcomes between the two treatment modalities are as follows:  </w:t>
            </w:r>
            <w:r w:rsidRPr="00CB2EC4">
              <w:rPr>
                <w:rFonts w:ascii="Times New Roman" w:hAnsi="Times New Roman" w:cs="Times New Roman"/>
              </w:rPr>
              <w:br/>
              <w:t xml:space="preserve">- **Comparable efficacy**: Similar 5-year survival rates, mortality rates, and complication rates.  </w:t>
            </w:r>
            <w:r w:rsidRPr="00CB2EC4">
              <w:rPr>
                <w:rFonts w:ascii="Times New Roman" w:hAnsi="Times New Roman" w:cs="Times New Roman"/>
              </w:rPr>
              <w:br/>
              <w:t xml:space="preserve">- **Advantages of surgery**:  </w:t>
            </w:r>
            <w:r w:rsidRPr="00CB2EC4">
              <w:rPr>
                <w:rFonts w:ascii="Times New Roman" w:hAnsi="Times New Roman" w:cs="Times New Roman"/>
              </w:rPr>
              <w:br/>
              <w:t xml:space="preserve">  (1) Allows accurate postoperative staging based on histopathological findings;  </w:t>
            </w:r>
            <w:r w:rsidRPr="00CB2EC4">
              <w:rPr>
                <w:rFonts w:ascii="Times New Roman" w:hAnsi="Times New Roman" w:cs="Times New Roman"/>
              </w:rPr>
              <w:br/>
              <w:t xml:space="preserve">  (2) Removes radiotherapy-resistant tumors;  </w:t>
            </w:r>
            <w:r w:rsidRPr="00CB2EC4">
              <w:rPr>
                <w:rFonts w:ascii="Times New Roman" w:hAnsi="Times New Roman" w:cs="Times New Roman"/>
              </w:rPr>
              <w:br/>
              <w:t xml:space="preserve">  (3) Potential preservation of ovarian function;  </w:t>
            </w:r>
            <w:r w:rsidRPr="00CB2EC4">
              <w:rPr>
                <w:rFonts w:ascii="Times New Roman" w:hAnsi="Times New Roman" w:cs="Times New Roman"/>
              </w:rPr>
              <w:br/>
              <w:t xml:space="preserve">  Surgery is the preferred treatment for younger women wishing to preserve ovarian and sexual function.  </w:t>
            </w:r>
            <w:r w:rsidRPr="00CB2EC4">
              <w:rPr>
                <w:rFonts w:ascii="Times New Roman" w:hAnsi="Times New Roman" w:cs="Times New Roman"/>
              </w:rPr>
              <w:br/>
              <w:t xml:space="preserve">- **Advantages of radiotherapy**: Avoids surgery-related complications but may lead to long-term side effects such as vaginal atrophy or bowel issues.  </w:t>
            </w:r>
            <w:r w:rsidRPr="00CB2EC4">
              <w:rPr>
                <w:rFonts w:ascii="Times New Roman" w:hAnsi="Times New Roman" w:cs="Times New Roman"/>
              </w:rPr>
              <w:br/>
              <w:t xml:space="preserve">- **Considerations for minimally invasive surgery**: Based on the LACC trial, minimally invasive surgery (including laparoscopic or robotic surgery) has higher recurrence rates and lower survival rates compared to open surgery, necessitating cautious selection.  </w:t>
            </w:r>
            <w:r w:rsidRPr="00CB2EC4">
              <w:rPr>
                <w:rFonts w:ascii="Times New Roman" w:hAnsi="Times New Roman" w:cs="Times New Roman"/>
              </w:rPr>
              <w:br/>
            </w:r>
            <w:r w:rsidRPr="00CB2EC4">
              <w:rPr>
                <w:rFonts w:ascii="Times New Roman" w:hAnsi="Times New Roman" w:cs="Times New Roman"/>
              </w:rPr>
              <w:br/>
              <w:t xml:space="preserve">(As stated in Document Fragment 1 and Fragment 2: "For early-stage cervical cancer, surgery and radical radiotherapy have comparable efficacy, with similar 5-year survival rates, mortality rates, and complication rates."; "The LACC trial...showed decreased survival rates with minimally invasive surgery...minimally </w:t>
            </w:r>
            <w:r w:rsidRPr="00CB2EC4">
              <w:rPr>
                <w:rFonts w:ascii="Times New Roman" w:hAnsi="Times New Roman" w:cs="Times New Roman"/>
              </w:rPr>
              <w:lastRenderedPageBreak/>
              <w:t>invasive surgery had higher recurrence rates than open surgery."; "Surgery is the preferred treatment for younger women wishing to preserve ovarian and sexual function.")</w:t>
            </w:r>
          </w:p>
        </w:tc>
        <w:tc>
          <w:tcPr>
            <w:tcW w:w="1152" w:type="dxa"/>
            <w:vAlign w:val="center"/>
          </w:tcPr>
          <w:p w14:paraId="0CFF2D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80D5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D782A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1C18CE" w14:textId="77777777">
        <w:tc>
          <w:tcPr>
            <w:tcW w:w="2160" w:type="dxa"/>
            <w:vAlign w:val="center"/>
          </w:tcPr>
          <w:p w14:paraId="1E1E4E8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0BB70D9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patients with FIGO stage IB2 and IIA1, the factors determining the choice between surgery and radiotherapy include:  </w:t>
            </w:r>
            <w:r w:rsidRPr="00CB2EC4">
              <w:rPr>
                <w:rFonts w:ascii="Times New Roman" w:hAnsi="Times New Roman" w:cs="Times New Roman"/>
              </w:rPr>
              <w:br/>
              <w:t xml:space="preserve">- patient factors: age (younger patients prefer surgery to preserve ovarian and sexual function), fertility desires, overall health status.  </w:t>
            </w:r>
            <w:r w:rsidRPr="00CB2EC4">
              <w:rPr>
                <w:rFonts w:ascii="Times New Roman" w:hAnsi="Times New Roman" w:cs="Times New Roman"/>
              </w:rPr>
              <w:br/>
              <w:t xml:space="preserve">- tumor characteristics: tumor size, growth pattern (exophytic tumors are more suitable for surgery; endophytic or cervical canal types may not be), lymph node metastasis status (document fragment 16, relevance: 0.700).  </w:t>
            </w:r>
            <w:r w:rsidRPr="00CB2EC4">
              <w:rPr>
                <w:rFonts w:ascii="Times New Roman" w:hAnsi="Times New Roman" w:cs="Times New Roman"/>
              </w:rPr>
              <w:br/>
              <w:t xml:space="preserve">- local healthcare resources: availability and technical conditions of radiotherapy equipment (e.g., intensity-modulated radiotherapy).  </w:t>
            </w:r>
            <w:r w:rsidRPr="00CB2EC4">
              <w:rPr>
                <w:rFonts w:ascii="Times New Roman" w:hAnsi="Times New Roman" w:cs="Times New Roman"/>
              </w:rPr>
              <w:br/>
              <w:t xml:space="preserve">document fragment 15 (relevance: 0.700) states that IB2 and IIA1 stage level I recommendations include surgery (type C hysterectomy + pelvic lymphadenectomy) or radiotherapy (external beam radiotherapy + vaginal brachytherapy ± platinum-based concurrent chemotherapy), but the specific choice requires individualization.  </w:t>
            </w:r>
            <w:r w:rsidRPr="00CB2EC4">
              <w:rPr>
                <w:rFonts w:ascii="Times New Roman" w:hAnsi="Times New Roman" w:cs="Times New Roman"/>
              </w:rPr>
              <w:br/>
            </w:r>
            <w:r w:rsidRPr="00CB2EC4">
              <w:rPr>
                <w:rFonts w:ascii="Times New Roman" w:hAnsi="Times New Roman" w:cs="Times New Roman"/>
              </w:rPr>
              <w:br/>
              <w:t xml:space="preserve">the outcomes of the two treatment modalities differ:  </w:t>
            </w:r>
            <w:r w:rsidRPr="00CB2EC4">
              <w:rPr>
                <w:rFonts w:ascii="Times New Roman" w:hAnsi="Times New Roman" w:cs="Times New Roman"/>
              </w:rPr>
              <w:br/>
              <w:t xml:space="preserve">- advantages of surgery: allows more accurate postoperative staging (based on histopathology), removes radioresistant tumors, preserves ovarian function (document fragment 23). in terms of survival, document fragment 6 (relevance: 0.800) and document fragment 10 (relevance: 0.800) show that 5-year survival rates are comparable between surgery </w:t>
            </w:r>
            <w:r w:rsidRPr="00CB2EC4">
              <w:rPr>
                <w:rFonts w:ascii="Times New Roman" w:hAnsi="Times New Roman" w:cs="Times New Roman"/>
              </w:rPr>
              <w:lastRenderedPageBreak/>
              <w:t xml:space="preserve">alone and radiotherapy alone (approximately 77–87%), but postoperative adjuvant radiotherapy improves pelvic control rates; concurrent chemoradiotherapy (e.g., platinum-based regimens) significantly improves survival (87% vs 77%) and reduces recurrence (document fragment 12).  </w:t>
            </w:r>
            <w:r w:rsidRPr="00CB2EC4">
              <w:rPr>
                <w:rFonts w:ascii="Times New Roman" w:hAnsi="Times New Roman" w:cs="Times New Roman"/>
              </w:rPr>
              <w:br/>
              <w:t xml:space="preserve">- advantages of radiotherapy: suitable for patients with surgical contraindications, reduces surgical complications; document fragment 19 (relevance: 0.700) indicates that platinum-based concurrent chemoradiotherapy (CCRT) as postoperative adjuvant therapy is superior to radiotherapy alone.  </w:t>
            </w:r>
            <w:r w:rsidRPr="00CB2EC4">
              <w:rPr>
                <w:rFonts w:ascii="Times New Roman" w:hAnsi="Times New Roman" w:cs="Times New Roman"/>
              </w:rPr>
              <w:br/>
            </w:r>
            <w:r w:rsidRPr="00CB2EC4">
              <w:rPr>
                <w:rFonts w:ascii="Times New Roman" w:hAnsi="Times New Roman" w:cs="Times New Roman"/>
              </w:rPr>
              <w:br/>
              <w:t>summary: the choice depends on patient age, fertility needs, tumor characteristics, and resources; efficacy is comparable, but surgery favors staging and functional preservation, while radiotherapy (especially with chemotherapy) can improve survival rates.</w:t>
            </w:r>
          </w:p>
        </w:tc>
        <w:tc>
          <w:tcPr>
            <w:tcW w:w="1152" w:type="dxa"/>
            <w:vAlign w:val="center"/>
          </w:tcPr>
          <w:p w14:paraId="089172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ED58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66D5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AD112C" w14:textId="77777777">
        <w:tc>
          <w:tcPr>
            <w:tcW w:w="2160" w:type="dxa"/>
            <w:vAlign w:val="center"/>
          </w:tcPr>
          <w:p w14:paraId="56F07DB7"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313AF05" w14:textId="77777777" w:rsidR="00922249" w:rsidRPr="00CB2EC4" w:rsidRDefault="003011D5">
            <w:pPr>
              <w:rPr>
                <w:rFonts w:ascii="Times New Roman" w:hAnsi="Times New Roman" w:cs="Times New Roman"/>
              </w:rPr>
            </w:pPr>
            <w:r w:rsidRPr="00CB2EC4">
              <w:rPr>
                <w:rFonts w:ascii="Times New Roman" w:hAnsi="Times New Roman" w:cs="Times New Roman"/>
              </w:rPr>
              <w:t>what factors determine the choice between surgery and radiotherapy in patients with FIGO stage IB2 and IIA1? How do the outcomes of the two treatment modalities differ?</w:t>
            </w:r>
            <w:r w:rsidRPr="00CB2EC4">
              <w:rPr>
                <w:rFonts w:ascii="Times New Roman" w:hAnsi="Times New Roman" w:cs="Times New Roman"/>
              </w:rPr>
              <w:br/>
            </w:r>
            <w:r w:rsidRPr="00CB2EC4">
              <w:rPr>
                <w:rFonts w:ascii="Times New Roman" w:hAnsi="Times New Roman" w:cs="Times New Roman"/>
              </w:rPr>
              <w:br/>
              <w:t xml:space="preserve">Decision factors:  </w:t>
            </w:r>
            <w:r w:rsidRPr="00CB2EC4">
              <w:rPr>
                <w:rFonts w:ascii="Times New Roman" w:hAnsi="Times New Roman" w:cs="Times New Roman"/>
              </w:rPr>
              <w:br/>
              <w:t xml:space="preserve">1. Patient age and functional demands: Younger patients (especially &lt;45 years) are prioritized for surgery to preserve ovarian/sexual function.  </w:t>
            </w:r>
            <w:r w:rsidRPr="00CB2EC4">
              <w:rPr>
                <w:rFonts w:ascii="Times New Roman" w:hAnsi="Times New Roman" w:cs="Times New Roman"/>
              </w:rPr>
              <w:br/>
              <w:t xml:space="preserve">2. Local medical resources: Surgery may be selected in areas with insufficient radiotherapy resources.  </w:t>
            </w:r>
            <w:r w:rsidRPr="00CB2EC4">
              <w:rPr>
                <w:rFonts w:ascii="Times New Roman" w:hAnsi="Times New Roman" w:cs="Times New Roman"/>
              </w:rPr>
              <w:br/>
              <w:t xml:space="preserve">3. Tumor characteristics: Barrell-shaped cervix or suspected radioresistant tumors favor surgery.  </w:t>
            </w:r>
            <w:r w:rsidRPr="00CB2EC4">
              <w:rPr>
                <w:rFonts w:ascii="Times New Roman" w:hAnsi="Times New Roman" w:cs="Times New Roman"/>
              </w:rPr>
              <w:br/>
              <w:t xml:space="preserve">4. Surgical feasibility: Minimally invasive surgery (laparoscopic/robotic) may have lower survival rates than open surgery (as suggested by the LACC trial).  </w:t>
            </w:r>
            <w:r w:rsidRPr="00CB2EC4">
              <w:rPr>
                <w:rFonts w:ascii="Times New Roman" w:hAnsi="Times New Roman" w:cs="Times New Roman"/>
              </w:rPr>
              <w:br/>
            </w:r>
            <w:r w:rsidRPr="00CB2EC4">
              <w:rPr>
                <w:rFonts w:ascii="Times New Roman" w:hAnsi="Times New Roman" w:cs="Times New Roman"/>
              </w:rPr>
              <w:lastRenderedPageBreak/>
              <w:br/>
              <w:t xml:space="preserve">Comparison of treatment outcomes:  </w:t>
            </w:r>
            <w:r w:rsidRPr="00CB2EC4">
              <w:rPr>
                <w:rFonts w:ascii="Times New Roman" w:hAnsi="Times New Roman" w:cs="Times New Roman"/>
              </w:rPr>
              <w:br/>
              <w:t>| Treatment modality | 5-year survival rate | Advantages | Disadvantages |</w:t>
            </w:r>
            <w:r w:rsidRPr="00CB2EC4">
              <w:rPr>
                <w:rFonts w:ascii="Times New Roman" w:hAnsi="Times New Roman" w:cs="Times New Roman"/>
              </w:rPr>
              <w:br/>
              <w:t>|--------------------|---------------------|------------|--------------|</w:t>
            </w:r>
            <w:r w:rsidRPr="00CB2EC4">
              <w:rPr>
                <w:rFonts w:ascii="Times New Roman" w:hAnsi="Times New Roman" w:cs="Times New Roman"/>
              </w:rPr>
              <w:br/>
              <w:t>| Surgery | Comparable to radiotherapy | Allows precise postoperative staging, preserves ovarian function, removes radioresistant lesions | Higher complication rates (e.g., urinary tract injury) |</w:t>
            </w:r>
            <w:r w:rsidRPr="00CB2EC4">
              <w:rPr>
                <w:rFonts w:ascii="Times New Roman" w:hAnsi="Times New Roman" w:cs="Times New Roman"/>
              </w:rPr>
              <w:br/>
              <w:t>| Radiotherapy | Comparable to surgery | Avoids surgical risks | May cause vaginal atrophy/ovarian function loss |</w:t>
            </w:r>
            <w:r w:rsidRPr="00CB2EC4">
              <w:rPr>
                <w:rFonts w:ascii="Times New Roman" w:hAnsi="Times New Roman" w:cs="Times New Roman"/>
              </w:rPr>
              <w:br/>
            </w:r>
            <w:r w:rsidRPr="00CB2EC4">
              <w:rPr>
                <w:rFonts w:ascii="Times New Roman" w:hAnsi="Times New Roman" w:cs="Times New Roman"/>
              </w:rPr>
              <w:br/>
              <w:t xml:space="preserve">Evidence:  </w:t>
            </w:r>
            <w:r w:rsidRPr="00CB2EC4">
              <w:rPr>
                <w:rFonts w:ascii="Times New Roman" w:hAnsi="Times New Roman" w:cs="Times New Roman"/>
              </w:rPr>
              <w:br/>
              <w:t>&gt; The document repeatedly emphasizes that surgery and radiotherapy have comparable efficacy (similar 5-year survival rates and mortality), but surgery is more suitable for younger patients requiring functional preservation (sections: *FIGO IB2/IIA1 stage* and *General Treatment Principles*). The LACC trial suggests that minimally invasive surgery has lower survival rates than open surgery, requiring cautious selection (section: *Surgical Approach*).</w:t>
            </w:r>
          </w:p>
        </w:tc>
        <w:tc>
          <w:tcPr>
            <w:tcW w:w="1152" w:type="dxa"/>
            <w:vAlign w:val="center"/>
          </w:tcPr>
          <w:p w14:paraId="052E2E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CD16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1EC77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69E85B" w14:textId="77777777">
        <w:tc>
          <w:tcPr>
            <w:tcW w:w="2160" w:type="dxa"/>
            <w:vAlign w:val="center"/>
          </w:tcPr>
          <w:p w14:paraId="6578705E"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87BA681"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FIGO stage IB2 and IIA1 cervical cancer, the factors determining the choice between surgery and radiotherapy, as well as the differences in outcomes between the two treatment modalities, are as follows:</w:t>
            </w:r>
            <w:r w:rsidRPr="00CB2EC4">
              <w:rPr>
                <w:rFonts w:ascii="Times New Roman" w:hAnsi="Times New Roman" w:cs="Times New Roman"/>
              </w:rPr>
              <w:br/>
            </w:r>
            <w:r w:rsidRPr="00CB2EC4">
              <w:rPr>
                <w:rFonts w:ascii="Times New Roman" w:hAnsi="Times New Roman" w:cs="Times New Roman"/>
              </w:rPr>
              <w:br/>
              <w:t>**Determining Factors:**</w:t>
            </w:r>
            <w:r w:rsidRPr="00CB2EC4">
              <w:rPr>
                <w:rFonts w:ascii="Times New Roman" w:hAnsi="Times New Roman" w:cs="Times New Roman"/>
              </w:rPr>
              <w:br/>
              <w:t xml:space="preserve">- **Patient Factors:** Include age (younger patients may prefer surgery to preserve ovarian and sexual function), fertility requirements (surgery may be </w:t>
            </w:r>
            <w:r w:rsidRPr="00CB2EC4">
              <w:rPr>
                <w:rFonts w:ascii="Times New Roman" w:hAnsi="Times New Roman" w:cs="Times New Roman"/>
              </w:rPr>
              <w:lastRenderedPageBreak/>
              <w:t>preferred if fertility preservation is desired), comorbidities (e.g., history of pelvic inflammatory disease may favor surgery), and LVSI status (Document Excerpts 1 and 8).</w:t>
            </w:r>
            <w:r w:rsidRPr="00CB2EC4">
              <w:rPr>
                <w:rFonts w:ascii="Times New Roman" w:hAnsi="Times New Roman" w:cs="Times New Roman"/>
              </w:rPr>
              <w:br/>
              <w:t>- **Local Medical Resources:** Depends on the availability of radiotherapy equipment (surgery may be preferred in areas with limited radiotherapy resources) (Document Excerpt 2).</w:t>
            </w:r>
            <w:r w:rsidRPr="00CB2EC4">
              <w:rPr>
                <w:rFonts w:ascii="Times New Roman" w:hAnsi="Times New Roman" w:cs="Times New Roman"/>
              </w:rPr>
              <w:br/>
              <w:t>- **Tumor Characteristics:** Such as tumor size, histological type (adenocarcinoma may favor surgery), and barrel-shaped cervix (which may affect the feasibility of radiotherapy) (Document Excerpts 1 and 8).</w:t>
            </w:r>
            <w:r w:rsidRPr="00CB2EC4">
              <w:rPr>
                <w:rFonts w:ascii="Times New Roman" w:hAnsi="Times New Roman" w:cs="Times New Roman"/>
              </w:rPr>
              <w:br/>
            </w:r>
            <w:r w:rsidRPr="00CB2EC4">
              <w:rPr>
                <w:rFonts w:ascii="Times New Roman" w:hAnsi="Times New Roman" w:cs="Times New Roman"/>
              </w:rPr>
              <w:br/>
              <w:t>**Treatment Outcomes:**</w:t>
            </w:r>
            <w:r w:rsidRPr="00CB2EC4">
              <w:rPr>
                <w:rFonts w:ascii="Times New Roman" w:hAnsi="Times New Roman" w:cs="Times New Roman"/>
              </w:rPr>
              <w:br/>
              <w:t>- **Surgery:** Typically involves Type C radical hysterectomy + pelvic lymphadenectomy. Advantages include accurate postoperative staging, removal of radiotherapy-insensitive tumors, and preservation of ovarian function (especially in young women). However, surgical complications such as urinary tract injury (incidence rate 2%–7%) may occur (Document Excerpt 1).</w:t>
            </w:r>
            <w:r w:rsidRPr="00CB2EC4">
              <w:rPr>
                <w:rFonts w:ascii="Times New Roman" w:hAnsi="Times New Roman" w:cs="Times New Roman"/>
              </w:rPr>
              <w:br/>
              <w:t>- **Radiotherapy:** Includes external beam radiotherapy + vaginal brachytherapy, possibly combined with platinum-based chemotherapy. Advantages include avoidance of surgical risks and suitability for patients with contraindications to surgery.</w:t>
            </w:r>
            <w:r w:rsidRPr="00CB2EC4">
              <w:rPr>
                <w:rFonts w:ascii="Times New Roman" w:hAnsi="Times New Roman" w:cs="Times New Roman"/>
              </w:rPr>
              <w:br/>
              <w:t xml:space="preserve">- **Outcome Comparison:** The two modalities have comparable efficacy, with similar 5-year survival rates, mortality rates, and complication rates (Document Excerpt 2). The LACC trial suggested that minimally invasive surgery may increase recurrence </w:t>
            </w:r>
            <w:r w:rsidRPr="00CB2EC4">
              <w:rPr>
                <w:rFonts w:ascii="Times New Roman" w:hAnsi="Times New Roman" w:cs="Times New Roman"/>
              </w:rPr>
              <w:lastRenderedPageBreak/>
              <w:t>rates, but further research is needed (Document Excerpt 1). Overall, the choice should be based on individualized assessment, as there is no significant difference in survival outcomes between the two approaches.</w:t>
            </w:r>
          </w:p>
        </w:tc>
        <w:tc>
          <w:tcPr>
            <w:tcW w:w="1152" w:type="dxa"/>
            <w:vAlign w:val="center"/>
          </w:tcPr>
          <w:p w14:paraId="1AAF93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CB3F0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0B45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ACD607" w14:textId="77777777">
        <w:tc>
          <w:tcPr>
            <w:tcW w:w="2160" w:type="dxa"/>
            <w:vAlign w:val="center"/>
          </w:tcPr>
          <w:p w14:paraId="27039B3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50674522" w14:textId="77777777" w:rsidR="00922249" w:rsidRPr="00CB2EC4" w:rsidRDefault="003011D5">
            <w:pPr>
              <w:rPr>
                <w:rFonts w:ascii="Times New Roman" w:hAnsi="Times New Roman" w:cs="Times New Roman"/>
              </w:rPr>
            </w:pPr>
            <w:r w:rsidRPr="00CB2EC4">
              <w:rPr>
                <w:rFonts w:ascii="Times New Roman" w:hAnsi="Times New Roman" w:cs="Times New Roman"/>
              </w:rPr>
              <w:t>in FIGO stage IB2 and IIA1 patients, what factors determine the choice between surgery and radiotherapy? What are the differences in outcomes between the two treatment modalities?</w:t>
            </w:r>
            <w:r w:rsidRPr="00CB2EC4">
              <w:rPr>
                <w:rFonts w:ascii="Times New Roman" w:hAnsi="Times New Roman" w:cs="Times New Roman"/>
              </w:rPr>
              <w:br/>
            </w:r>
            <w:r w:rsidRPr="00CB2EC4">
              <w:rPr>
                <w:rFonts w:ascii="Times New Roman" w:hAnsi="Times New Roman" w:cs="Times New Roman"/>
              </w:rPr>
              <w:br/>
              <w:t xml:space="preserve">according to contextual information (primarily from relevant document 1 and document 2), in FIGO stage IB2 and IIA1 patients, the choice between surgery and radiotherapy is determined by the following factors:  </w:t>
            </w:r>
            <w:r w:rsidRPr="00CB2EC4">
              <w:rPr>
                <w:rFonts w:ascii="Times New Roman" w:hAnsi="Times New Roman" w:cs="Times New Roman"/>
              </w:rPr>
              <w:br/>
              <w:t xml:space="preserve">- determining factors:  </w:t>
            </w:r>
            <w:r w:rsidRPr="00CB2EC4">
              <w:rPr>
                <w:rFonts w:ascii="Times New Roman" w:hAnsi="Times New Roman" w:cs="Times New Roman"/>
              </w:rPr>
              <w:br/>
              <w:t xml:space="preserve">  - patient factors: age (younger patients prioritized for surgery to preserve ovarian and sexual function), fertility wishes, comorbidities (e.g., history of pelvic inflammatory disease or radioresistance).  </w:t>
            </w:r>
            <w:r w:rsidRPr="00CB2EC4">
              <w:rPr>
                <w:rFonts w:ascii="Times New Roman" w:hAnsi="Times New Roman" w:cs="Times New Roman"/>
              </w:rPr>
              <w:br/>
              <w:t xml:space="preserve">  - tumor factors: tumor size, lymphovascular space invasion (LVSI) status, histologic type (adenocarcinoma may favor surgery).  </w:t>
            </w:r>
            <w:r w:rsidRPr="00CB2EC4">
              <w:rPr>
                <w:rFonts w:ascii="Times New Roman" w:hAnsi="Times New Roman" w:cs="Times New Roman"/>
              </w:rPr>
              <w:br/>
              <w:t xml:space="preserve">  - resource factors: local healthcare resource availability (e.g., completeness of radiotherapy equipment).  </w:t>
            </w:r>
            <w:r w:rsidRPr="00CB2EC4">
              <w:rPr>
                <w:rFonts w:ascii="Times New Roman" w:hAnsi="Times New Roman" w:cs="Times New Roman"/>
              </w:rPr>
              <w:br/>
              <w:t xml:space="preserve">  document 1 emphasizes: "initial treatment includes surgery or radiotherapy, depending on patient factors and local healthcare resources", and document 2 also states that treatment selection must be individualized.  </w:t>
            </w:r>
            <w:r w:rsidRPr="00CB2EC4">
              <w:rPr>
                <w:rFonts w:ascii="Times New Roman" w:hAnsi="Times New Roman" w:cs="Times New Roman"/>
              </w:rPr>
              <w:br/>
              <w:t xml:space="preserve">- differences in outcomes between treatment modalities:  </w:t>
            </w:r>
            <w:r w:rsidRPr="00CB2EC4">
              <w:rPr>
                <w:rFonts w:ascii="Times New Roman" w:hAnsi="Times New Roman" w:cs="Times New Roman"/>
              </w:rPr>
              <w:br/>
              <w:t xml:space="preserve">  - efficacy: 5-year survival rates are comparable between surgery and radiotherapy (document 1: "the efficacy of both is comparable").  </w:t>
            </w:r>
            <w:r w:rsidRPr="00CB2EC4">
              <w:rPr>
                <w:rFonts w:ascii="Times New Roman" w:hAnsi="Times New Roman" w:cs="Times New Roman"/>
              </w:rPr>
              <w:br/>
            </w:r>
            <w:r w:rsidRPr="00CB2EC4">
              <w:rPr>
                <w:rFonts w:ascii="Times New Roman" w:hAnsi="Times New Roman" w:cs="Times New Roman"/>
              </w:rPr>
              <w:lastRenderedPageBreak/>
              <w:t xml:space="preserve">  - recurrence risk: minimally invasive surgery (laparoscopic or robotic) has a higher recurrence rate than open surgery (document 1 cites LACC trial: "minimally invasive surgery has a higher recurrence rate than open surgery"), but there is no significant difference in overall recurrence rates between open surgery and radiotherapy.  </w:t>
            </w:r>
            <w:r w:rsidRPr="00CB2EC4">
              <w:rPr>
                <w:rFonts w:ascii="Times New Roman" w:hAnsi="Times New Roman" w:cs="Times New Roman"/>
              </w:rPr>
              <w:br/>
              <w:t xml:space="preserve">  - complications: surgery may result in higher urinary tract complications (e.g., ureteral injury) but preserves ovarian function; radiotherapy may cause late rectal or bladder reactions but has no surgery-related mortality.  </w:t>
            </w:r>
            <w:r w:rsidRPr="00CB2EC4">
              <w:rPr>
                <w:rFonts w:ascii="Times New Roman" w:hAnsi="Times New Roman" w:cs="Times New Roman"/>
              </w:rPr>
              <w:br/>
              <w:t xml:space="preserve">  both document 1 and 2 indicate that survival rates are similar between the two approaches, but surgery offers advantages in preserving function, while radiotherapy is more feasible in resource-limited settings.</w:t>
            </w:r>
          </w:p>
        </w:tc>
        <w:tc>
          <w:tcPr>
            <w:tcW w:w="1152" w:type="dxa"/>
            <w:vAlign w:val="center"/>
          </w:tcPr>
          <w:p w14:paraId="24D3F8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2E793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0CD7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1E1E80" w14:textId="77777777">
        <w:tc>
          <w:tcPr>
            <w:tcW w:w="2160" w:type="dxa"/>
            <w:vAlign w:val="center"/>
          </w:tcPr>
          <w:p w14:paraId="4D9BACB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83D26EB" w14:textId="77777777" w:rsidR="00922249" w:rsidRPr="00CB2EC4" w:rsidRDefault="003011D5">
            <w:pPr>
              <w:rPr>
                <w:rFonts w:ascii="Times New Roman" w:hAnsi="Times New Roman" w:cs="Times New Roman"/>
              </w:rPr>
            </w:pPr>
            <w:r w:rsidRPr="00CB2EC4">
              <w:rPr>
                <w:rFonts w:ascii="Times New Roman" w:hAnsi="Times New Roman" w:cs="Times New Roman"/>
              </w:rPr>
              <w:t>in FIGO stage IB2 and IIA1 patients, what factors determine the choice between surgery and radiotherapy? how do the outcomes of the two treatment modalities differ?</w:t>
            </w:r>
            <w:r w:rsidRPr="00CB2EC4">
              <w:rPr>
                <w:rFonts w:ascii="Times New Roman" w:hAnsi="Times New Roman" w:cs="Times New Roman"/>
              </w:rPr>
              <w:br/>
            </w:r>
            <w:r w:rsidRPr="00CB2EC4">
              <w:rPr>
                <w:rFonts w:ascii="Times New Roman" w:hAnsi="Times New Roman" w:cs="Times New Roman"/>
              </w:rPr>
              <w:br/>
              <w:t>according to the document content (HyDE similarity: 0.752 and HyDE similarity: 0.724 segments), for FIGO IB2 and IIA1 stage patients, the choice of treatment depends on the following factors, and there are similarities and differences in the outcomes of the two treatment approaches:</w:t>
            </w:r>
            <w:r w:rsidRPr="00CB2EC4">
              <w:rPr>
                <w:rFonts w:ascii="Times New Roman" w:hAnsi="Times New Roman" w:cs="Times New Roman"/>
              </w:rPr>
              <w:br/>
              <w:t>- factors determining the choice between surgery and radiotherapy:</w:t>
            </w:r>
            <w:r w:rsidRPr="00CB2EC4">
              <w:rPr>
                <w:rFonts w:ascii="Times New Roman" w:hAnsi="Times New Roman" w:cs="Times New Roman"/>
              </w:rPr>
              <w:br/>
              <w:t xml:space="preserve">  - patient factors: age (young patients, especially those &lt;45 years and premenopausal, are prioritized for surgery to preserve ovarian function and sexual function), fertility requirements (surgery allows intraoperative ovarian transposition to avoid </w:t>
            </w:r>
            <w:r w:rsidRPr="00CB2EC4">
              <w:rPr>
                <w:rFonts w:ascii="Times New Roman" w:hAnsi="Times New Roman" w:cs="Times New Roman"/>
              </w:rPr>
              <w:lastRenderedPageBreak/>
              <w:t>radiotherapy damage), presence of surgical contraindications (such as comorbidities).</w:t>
            </w:r>
            <w:r w:rsidRPr="00CB2EC4">
              <w:rPr>
                <w:rFonts w:ascii="Times New Roman" w:hAnsi="Times New Roman" w:cs="Times New Roman"/>
              </w:rPr>
              <w:br/>
              <w:t xml:space="preserve">  - tumor factors: local tumor size and extent of spread (e.g., barrel-shaped cervix or large tumors may favor radiotherapy).</w:t>
            </w:r>
            <w:r w:rsidRPr="00CB2EC4">
              <w:rPr>
                <w:rFonts w:ascii="Times New Roman" w:hAnsi="Times New Roman" w:cs="Times New Roman"/>
              </w:rPr>
              <w:br/>
              <w:t xml:space="preserve">  - resource factors: availability of local healthcare resources (e.g., areas lacking radiotherapy equipment may prioritize surgery).</w:t>
            </w:r>
            <w:r w:rsidRPr="00CB2EC4">
              <w:rPr>
                <w:rFonts w:ascii="Times New Roman" w:hAnsi="Times New Roman" w:cs="Times New Roman"/>
              </w:rPr>
              <w:br/>
              <w:t xml:space="preserve">  - the document explicitly states (HyDE similarity: 0.724): "initial treatment includes surgery or radiotherapy, depending on patient factors and local healthcare resources".</w:t>
            </w:r>
            <w:r w:rsidRPr="00CB2EC4">
              <w:rPr>
                <w:rFonts w:ascii="Times New Roman" w:hAnsi="Times New Roman" w:cs="Times New Roman"/>
              </w:rPr>
              <w:br/>
              <w:t>- differences in outcomes between the two treatment modalities:</w:t>
            </w:r>
            <w:r w:rsidRPr="00CB2EC4">
              <w:rPr>
                <w:rFonts w:ascii="Times New Roman" w:hAnsi="Times New Roman" w:cs="Times New Roman"/>
              </w:rPr>
              <w:br/>
              <w:t xml:space="preserve">  - efficacy: the 5-year survival rate, mortality rate, and complication incidence are similar between surgery and radical radiotherapy for early cervical cancer (HyDE similarity: 0.752: "for early cervical cancer, surgery and radical radiotherapy have comparable efficacy, with similar 5-year survival rates, mortality rates, and complication incidences").</w:t>
            </w:r>
            <w:r w:rsidRPr="00CB2EC4">
              <w:rPr>
                <w:rFonts w:ascii="Times New Roman" w:hAnsi="Times New Roman" w:cs="Times New Roman"/>
              </w:rPr>
              <w:br/>
              <w:t xml:space="preserve">  - differential advantages:</w:t>
            </w:r>
            <w:r w:rsidRPr="00CB2EC4">
              <w:rPr>
                <w:rFonts w:ascii="Times New Roman" w:hAnsi="Times New Roman" w:cs="Times New Roman"/>
              </w:rPr>
              <w:br/>
              <w:t xml:space="preserve">    - advantages of surgery: allows acquisition of tissue histopathological results for accurate staging, guiding subsequent individualized treatment; can remove radioresistant tumors; preserves ovarian function (especially important for young women); reduces radiotherapy-related complications (such as bowel or bladder injury).</w:t>
            </w:r>
            <w:r w:rsidRPr="00CB2EC4">
              <w:rPr>
                <w:rFonts w:ascii="Times New Roman" w:hAnsi="Times New Roman" w:cs="Times New Roman"/>
              </w:rPr>
              <w:br/>
              <w:t xml:space="preserve">    - advantages of radiotherapy: suitable for patients with surgical contraindications; in resource-rich settings, may be preferred to avoid surgical risks.</w:t>
            </w:r>
            <w:r w:rsidRPr="00CB2EC4">
              <w:rPr>
                <w:rFonts w:ascii="Times New Roman" w:hAnsi="Times New Roman" w:cs="Times New Roman"/>
              </w:rPr>
              <w:br/>
              <w:t xml:space="preserve">  - disadvantages: radiotherapy may cause long-term complications (such as vaginal stenosis or loss of </w:t>
            </w:r>
            <w:r w:rsidRPr="00CB2EC4">
              <w:rPr>
                <w:rFonts w:ascii="Times New Roman" w:hAnsi="Times New Roman" w:cs="Times New Roman"/>
              </w:rPr>
              <w:lastRenderedPageBreak/>
              <w:t>ovarian function), while surgery carries short-term risks (such as urinary tract injury).</w:t>
            </w:r>
            <w:r w:rsidRPr="00CB2EC4">
              <w:rPr>
                <w:rFonts w:ascii="Times New Roman" w:hAnsi="Times New Roman" w:cs="Times New Roman"/>
              </w:rPr>
              <w:br/>
              <w:t>the document does not mention a significant difference in survival rates but emphasizes that selection should be individualized.</w:t>
            </w:r>
          </w:p>
        </w:tc>
        <w:tc>
          <w:tcPr>
            <w:tcW w:w="1152" w:type="dxa"/>
            <w:vAlign w:val="center"/>
          </w:tcPr>
          <w:p w14:paraId="0D0AE1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580C8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8652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463E0B" w14:textId="77777777">
        <w:tc>
          <w:tcPr>
            <w:tcW w:w="2160" w:type="dxa"/>
            <w:vAlign w:val="center"/>
          </w:tcPr>
          <w:p w14:paraId="1284C6B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0AC7B5B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FIGO stage IB2 and IIA1 cervical cancer, the factors influencing the choice between surgery and radiotherapy include:  </w:t>
            </w:r>
            <w:r w:rsidRPr="00CB2EC4">
              <w:rPr>
                <w:rFonts w:ascii="Times New Roman" w:hAnsi="Times New Roman" w:cs="Times New Roman"/>
              </w:rPr>
              <w:br/>
              <w:t xml:space="preserve">- Patient factors: such as age (younger women tend to prefer surgery to preserve ovarian and sexual function), fertility preservation needs, and comorbidities.  </w:t>
            </w:r>
            <w:r w:rsidRPr="00CB2EC4">
              <w:rPr>
                <w:rFonts w:ascii="Times New Roman" w:hAnsi="Times New Roman" w:cs="Times New Roman"/>
              </w:rPr>
              <w:br/>
              <w:t xml:space="preserve">- Local healthcare resources: depends on the availability of radiotherapy equipment and medical conditions (e.g., surgery may be preferred in areas with limited radiotherapy resources).  </w:t>
            </w:r>
            <w:r w:rsidRPr="00CB2EC4">
              <w:rPr>
                <w:rFonts w:ascii="Times New Roman" w:hAnsi="Times New Roman" w:cs="Times New Roman"/>
              </w:rPr>
              <w:br/>
            </w:r>
            <w:r w:rsidRPr="00CB2EC4">
              <w:rPr>
                <w:rFonts w:ascii="Times New Roman" w:hAnsi="Times New Roman" w:cs="Times New Roman"/>
              </w:rPr>
              <w:br/>
              <w:t xml:space="preserve">The differences in outcomes between the two treatment modalities are as follows:  </w:t>
            </w:r>
            <w:r w:rsidRPr="00CB2EC4">
              <w:rPr>
                <w:rFonts w:ascii="Times New Roman" w:hAnsi="Times New Roman" w:cs="Times New Roman"/>
              </w:rPr>
              <w:br/>
              <w:t xml:space="preserve">- Surgery and radiotherapy have comparable efficacy, with similar 5-year survival rates, mortality rates, and complication rates.  </w:t>
            </w:r>
            <w:r w:rsidRPr="00CB2EC4">
              <w:rPr>
                <w:rFonts w:ascii="Times New Roman" w:hAnsi="Times New Roman" w:cs="Times New Roman"/>
              </w:rPr>
              <w:br/>
              <w:t xml:space="preserve">- Specific differences: Surgical advantages include the ability to tailor adjuvant therapy based on postoperative pathology, removal of radiotherapy-resistant tumors, and ovarian function preservation for younger women (e.g., ovarian transposition during surgery). However, minimally invasive surgery (laparoscopic or robotic) may have higher recurrence rates compared to open surgery (based on LACC trial results).  </w:t>
            </w:r>
            <w:r w:rsidRPr="00CB2EC4">
              <w:rPr>
                <w:rFonts w:ascii="Times New Roman" w:hAnsi="Times New Roman" w:cs="Times New Roman"/>
              </w:rPr>
              <w:br/>
            </w:r>
            <w:r w:rsidRPr="00CB2EC4">
              <w:rPr>
                <w:rFonts w:ascii="Times New Roman" w:hAnsi="Times New Roman" w:cs="Times New Roman"/>
              </w:rPr>
              <w:br/>
              <w:t xml:space="preserve">Therefore, the choice depends on individual patient circumstances and resource availability. Both </w:t>
            </w:r>
            <w:r w:rsidRPr="00CB2EC4">
              <w:rPr>
                <w:rFonts w:ascii="Times New Roman" w:hAnsi="Times New Roman" w:cs="Times New Roman"/>
              </w:rPr>
              <w:lastRenderedPageBreak/>
              <w:t>approaches show no significant difference in survival rates, but surgery offers advantages in functional preservation.</w:t>
            </w:r>
          </w:p>
        </w:tc>
        <w:tc>
          <w:tcPr>
            <w:tcW w:w="1152" w:type="dxa"/>
            <w:vAlign w:val="center"/>
          </w:tcPr>
          <w:p w14:paraId="2A921A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1FD20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C2DA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210217" w14:textId="77777777">
        <w:tc>
          <w:tcPr>
            <w:tcW w:w="2160" w:type="dxa"/>
            <w:vAlign w:val="center"/>
          </w:tcPr>
          <w:p w14:paraId="4DC6ED09"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3803F38" w14:textId="77777777" w:rsidR="00922249" w:rsidRPr="00CB2EC4" w:rsidRDefault="003011D5">
            <w:pPr>
              <w:rPr>
                <w:rFonts w:ascii="Times New Roman" w:hAnsi="Times New Roman" w:cs="Times New Roman"/>
              </w:rPr>
            </w:pPr>
            <w:r w:rsidRPr="00CB2EC4">
              <w:rPr>
                <w:rFonts w:ascii="Times New Roman" w:hAnsi="Times New Roman" w:cs="Times New Roman"/>
              </w:rPr>
              <w:t>In patients with FIGO stage IB2 and IIA1 cervical cancer, the choice between surgery and radiotherapy is determined by several factors, and the outcomes of the two treatment modalities are comparable in efficacy.</w:t>
            </w:r>
            <w:r w:rsidRPr="00CB2EC4">
              <w:rPr>
                <w:rFonts w:ascii="Times New Roman" w:hAnsi="Times New Roman" w:cs="Times New Roman"/>
              </w:rPr>
              <w:br/>
            </w:r>
            <w:r w:rsidRPr="00CB2EC4">
              <w:rPr>
                <w:rFonts w:ascii="Times New Roman" w:hAnsi="Times New Roman" w:cs="Times New Roman"/>
              </w:rPr>
              <w:br/>
              <w:t xml:space="preserve">**Factors determining the choice between surgery and radiotherapy:**  </w:t>
            </w:r>
            <w:r w:rsidRPr="00CB2EC4">
              <w:rPr>
                <w:rFonts w:ascii="Times New Roman" w:hAnsi="Times New Roman" w:cs="Times New Roman"/>
              </w:rPr>
              <w:br/>
              <w:t xml:space="preserve">- **Patient factors:**  </w:t>
            </w:r>
            <w:r w:rsidRPr="00CB2EC4">
              <w:rPr>
                <w:rFonts w:ascii="Times New Roman" w:hAnsi="Times New Roman" w:cs="Times New Roman"/>
              </w:rPr>
              <w:br/>
              <w:t xml:space="preserve">  - Age (premenopausal or age &lt;45 years favors surgery)  </w:t>
            </w:r>
            <w:r w:rsidRPr="00CB2EC4">
              <w:rPr>
                <w:rFonts w:ascii="Times New Roman" w:hAnsi="Times New Roman" w:cs="Times New Roman"/>
              </w:rPr>
              <w:br/>
              <w:t xml:space="preserve">  - Fertility preservation requirements (surgery may be selected if fertility-sparing is desired)  </w:t>
            </w:r>
            <w:r w:rsidRPr="00CB2EC4">
              <w:rPr>
                <w:rFonts w:ascii="Times New Roman" w:hAnsi="Times New Roman" w:cs="Times New Roman"/>
              </w:rPr>
              <w:br/>
              <w:t xml:space="preserve">  - Contraindications to surgery (if comorbidities are present, radiotherapy is chosen)  </w:t>
            </w:r>
            <w:r w:rsidRPr="00CB2EC4">
              <w:rPr>
                <w:rFonts w:ascii="Times New Roman" w:hAnsi="Times New Roman" w:cs="Times New Roman"/>
              </w:rPr>
              <w:br/>
              <w:t xml:space="preserve">- **Tumor factors:**  </w:t>
            </w:r>
            <w:r w:rsidRPr="00CB2EC4">
              <w:rPr>
                <w:rFonts w:ascii="Times New Roman" w:hAnsi="Times New Roman" w:cs="Times New Roman"/>
              </w:rPr>
              <w:br/>
              <w:t xml:space="preserve">  - Tumor size (IB2 stage tumor diameter &gt;4 cm)  </w:t>
            </w:r>
            <w:r w:rsidRPr="00CB2EC4">
              <w:rPr>
                <w:rFonts w:ascii="Times New Roman" w:hAnsi="Times New Roman" w:cs="Times New Roman"/>
              </w:rPr>
              <w:br/>
              <w:t xml:space="preserve">  - Extent of local advanced disease (e.g., cervical lesion involvement)  </w:t>
            </w:r>
            <w:r w:rsidRPr="00CB2EC4">
              <w:rPr>
                <w:rFonts w:ascii="Times New Roman" w:hAnsi="Times New Roman" w:cs="Times New Roman"/>
              </w:rPr>
              <w:br/>
              <w:t xml:space="preserve">- **Resource factors:**  </w:t>
            </w:r>
            <w:r w:rsidRPr="00CB2EC4">
              <w:rPr>
                <w:rFonts w:ascii="Times New Roman" w:hAnsi="Times New Roman" w:cs="Times New Roman"/>
              </w:rPr>
              <w:br/>
              <w:t xml:space="preserve">  - In areas with limited radiotherapy resources, surgical treatment may be selected (e.g., radical hysterectomy)  </w:t>
            </w:r>
            <w:r w:rsidRPr="00CB2EC4">
              <w:rPr>
                <w:rFonts w:ascii="Times New Roman" w:hAnsi="Times New Roman" w:cs="Times New Roman"/>
              </w:rPr>
              <w:br/>
              <w:t xml:space="preserve">- **Specific recommendations:**  </w:t>
            </w:r>
            <w:r w:rsidRPr="00CB2EC4">
              <w:rPr>
                <w:rFonts w:ascii="Times New Roman" w:hAnsi="Times New Roman" w:cs="Times New Roman"/>
              </w:rPr>
              <w:br/>
              <w:t xml:space="preserve">  - Level I recommendation: Type C radical hysterectomy + pelvic lymphadenectomy (for patients without surgical contraindications)  </w:t>
            </w:r>
            <w:r w:rsidRPr="00CB2EC4">
              <w:rPr>
                <w:rFonts w:ascii="Times New Roman" w:hAnsi="Times New Roman" w:cs="Times New Roman"/>
              </w:rPr>
              <w:br/>
              <w:t xml:space="preserve">  - Radiotherapy (external beam radiotherapy + vaginal brachytherapy) ± platinum-based concurrent chemotherapy (for patients with surgical contraindications or resource limitations)  </w:t>
            </w:r>
            <w:r w:rsidRPr="00CB2EC4">
              <w:rPr>
                <w:rFonts w:ascii="Times New Roman" w:hAnsi="Times New Roman" w:cs="Times New Roman"/>
              </w:rPr>
              <w:br/>
            </w:r>
            <w:r w:rsidRPr="00CB2EC4">
              <w:rPr>
                <w:rFonts w:ascii="Times New Roman" w:hAnsi="Times New Roman" w:cs="Times New Roman"/>
              </w:rPr>
              <w:lastRenderedPageBreak/>
              <w:br/>
              <w:t xml:space="preserve">**Comparison of outcomes between the two treatment modalities:**  </w:t>
            </w:r>
            <w:r w:rsidRPr="00CB2EC4">
              <w:rPr>
                <w:rFonts w:ascii="Times New Roman" w:hAnsi="Times New Roman" w:cs="Times New Roman"/>
              </w:rPr>
              <w:br/>
              <w:t xml:space="preserve">- For early-stage cervical cancer (including IB2 and IIA1), surgery and radical radiotherapy have equivalent efficacy, with similar 5-year survival rates, mortality, and complication rates.  </w:t>
            </w:r>
            <w:r w:rsidRPr="00CB2EC4">
              <w:rPr>
                <w:rFonts w:ascii="Times New Roman" w:hAnsi="Times New Roman" w:cs="Times New Roman"/>
              </w:rPr>
              <w:br/>
              <w:t xml:space="preserve">- Specific data: No significant difference in 5-year survival rates between surgery and radiotherapy, but radiotherapy may lead to associated complications (e.g., intestinal complication rate ~10%). Therefore, younger patients are prioritized for surgery to reduce long-term side effects.  </w:t>
            </w:r>
            <w:r w:rsidRPr="00CB2EC4">
              <w:rPr>
                <w:rFonts w:ascii="Times New Roman" w:hAnsi="Times New Roman" w:cs="Times New Roman"/>
              </w:rPr>
              <w:br/>
            </w:r>
            <w:r w:rsidRPr="00CB2EC4">
              <w:rPr>
                <w:rFonts w:ascii="Times New Roman" w:hAnsi="Times New Roman" w:cs="Times New Roman"/>
              </w:rPr>
              <w:br/>
              <w:t>Sources: Second relevant document excerpt ("IB2 stage, IIA1 stage FIGO 2018 without fertility preservation..."), fourth relevant document excerpt ("For stage IB–IVA cervical cancer..."), and second relevant document excerpt ("Early-stage cervical cancer surgery and radical radiotherapy have equivalent efficacy...").</w:t>
            </w:r>
          </w:p>
        </w:tc>
        <w:tc>
          <w:tcPr>
            <w:tcW w:w="1152" w:type="dxa"/>
            <w:vAlign w:val="center"/>
          </w:tcPr>
          <w:p w14:paraId="4A0636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B55D5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F2B5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A14944" w14:textId="77777777">
        <w:tc>
          <w:tcPr>
            <w:tcW w:w="2160" w:type="dxa"/>
            <w:vAlign w:val="center"/>
          </w:tcPr>
          <w:p w14:paraId="655A0704"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9CC1C6A" w14:textId="77777777" w:rsidR="00922249" w:rsidRPr="00CB2EC4" w:rsidRDefault="003011D5">
            <w:pPr>
              <w:rPr>
                <w:rFonts w:ascii="Times New Roman" w:hAnsi="Times New Roman" w:cs="Times New Roman"/>
              </w:rPr>
            </w:pPr>
            <w:r w:rsidRPr="00CB2EC4">
              <w:rPr>
                <w:rFonts w:ascii="Times New Roman" w:hAnsi="Times New Roman" w:cs="Times New Roman"/>
              </w:rPr>
              <w:t>in patients with FIGO stage IB2 and IIA1 cervical cancer, what factors determine the choice between surgery and radiotherapy? how do the outcomes of the two treatment modalities differ?</w:t>
            </w:r>
            <w:r w:rsidRPr="00CB2EC4">
              <w:rPr>
                <w:rFonts w:ascii="Times New Roman" w:hAnsi="Times New Roman" w:cs="Times New Roman"/>
              </w:rPr>
              <w:br/>
            </w:r>
            <w:r w:rsidRPr="00CB2EC4">
              <w:rPr>
                <w:rFonts w:ascii="Times New Roman" w:hAnsi="Times New Roman" w:cs="Times New Roman"/>
              </w:rPr>
              <w:br/>
              <w:t>based on the provided context (primarily from document fragments 3, 14, 25, and 28):</w:t>
            </w:r>
            <w:r w:rsidRPr="00CB2EC4">
              <w:rPr>
                <w:rFonts w:ascii="Times New Roman" w:hAnsi="Times New Roman" w:cs="Times New Roman"/>
              </w:rPr>
              <w:br/>
              <w:t>- determining factors:</w:t>
            </w:r>
            <w:r w:rsidRPr="00CB2EC4">
              <w:rPr>
                <w:rFonts w:ascii="Times New Roman" w:hAnsi="Times New Roman" w:cs="Times New Roman"/>
              </w:rPr>
              <w:br/>
              <w:t xml:space="preserve">  1. tumor characteristics: tumor size (e.g., ≥4 cm in IB2), lymphovascular space invasion (LVSI) status, depth of stromal invasion, histological type (adenocarcinoma or squamous cell carcinoma). large tumors or high-risk features (such as positive LVSI) </w:t>
            </w:r>
            <w:r w:rsidRPr="00CB2EC4">
              <w:rPr>
                <w:rFonts w:ascii="Times New Roman" w:hAnsi="Times New Roman" w:cs="Times New Roman"/>
              </w:rPr>
              <w:lastRenderedPageBreak/>
              <w:t>tend to favor primary chemoradiation over surgery.</w:t>
            </w:r>
            <w:r w:rsidRPr="00CB2EC4">
              <w:rPr>
                <w:rFonts w:ascii="Times New Roman" w:hAnsi="Times New Roman" w:cs="Times New Roman"/>
              </w:rPr>
              <w:br/>
              <w:t xml:space="preserve">  2. patient factors: age (younger patients may prefer surgery to preserve ovarian function), fertility desires, comorbidities (e.g., obesity or anesthesia risk).</w:t>
            </w:r>
            <w:r w:rsidRPr="00CB2EC4">
              <w:rPr>
                <w:rFonts w:ascii="Times New Roman" w:hAnsi="Times New Roman" w:cs="Times New Roman"/>
              </w:rPr>
              <w:br/>
              <w:t xml:space="preserve">  3. resource availability: in regions with limited radiotherapy access, neoadjuvant chemotherapy followed by surgery may be considered; otherwise, concurrent chemoradiotherapy (CCRT) is the preferred first-line option.</w:t>
            </w:r>
            <w:r w:rsidRPr="00CB2EC4">
              <w:rPr>
                <w:rFonts w:ascii="Times New Roman" w:hAnsi="Times New Roman" w:cs="Times New Roman"/>
              </w:rPr>
              <w:br/>
              <w:t xml:space="preserve">  4. postoperative risk: if adjuvant radiotherapy is anticipated to be needed post-surgery (required in ~80% of patients), dual-modality treatment is avoided to reduce complications.</w:t>
            </w:r>
            <w:r w:rsidRPr="00CB2EC4">
              <w:rPr>
                <w:rFonts w:ascii="Times New Roman" w:hAnsi="Times New Roman" w:cs="Times New Roman"/>
              </w:rPr>
              <w:br/>
              <w:t>- comparison of treatment outcomes:</w:t>
            </w:r>
            <w:r w:rsidRPr="00CB2EC4">
              <w:rPr>
                <w:rFonts w:ascii="Times New Roman" w:hAnsi="Times New Roman" w:cs="Times New Roman"/>
              </w:rPr>
              <w:br/>
              <w:t xml:space="preserve">  - surgery plus adjuvant therapy:</w:t>
            </w:r>
            <w:r w:rsidRPr="00CB2EC4">
              <w:rPr>
                <w:rFonts w:ascii="Times New Roman" w:hAnsi="Times New Roman" w:cs="Times New Roman"/>
              </w:rPr>
              <w:br/>
              <w:t xml:space="preserve">    - level I recommendation: type C hysterectomy with pelvic lymphadenectomy plus radical radiotherapy ± concurrent chemotherapy.</w:t>
            </w:r>
            <w:r w:rsidRPr="00CB2EC4">
              <w:rPr>
                <w:rFonts w:ascii="Times New Roman" w:hAnsi="Times New Roman" w:cs="Times New Roman"/>
              </w:rPr>
              <w:br/>
              <w:t xml:space="preserve">    - advantages: potential preservation of vaginal function and ovarian function (especially in younger patients).</w:t>
            </w:r>
            <w:r w:rsidRPr="00CB2EC4">
              <w:rPr>
                <w:rFonts w:ascii="Times New Roman" w:hAnsi="Times New Roman" w:cs="Times New Roman"/>
              </w:rPr>
              <w:br/>
              <w:t xml:space="preserve">    - disadvantages: high complication rates (e.g., 28% urinary tract injury, lymph edema); 5-year survival rate approximately 75–81% (Landoni study). survival benefit is limited in patients requiring adjuvant therapy post-surgery.</w:t>
            </w:r>
            <w:r w:rsidRPr="00CB2EC4">
              <w:rPr>
                <w:rFonts w:ascii="Times New Roman" w:hAnsi="Times New Roman" w:cs="Times New Roman"/>
              </w:rPr>
              <w:br/>
              <w:t xml:space="preserve">    - outcomes: disease-free survival rate ~75%, but dual treatment increases severe complications.</w:t>
            </w:r>
            <w:r w:rsidRPr="00CB2EC4">
              <w:rPr>
                <w:rFonts w:ascii="Times New Roman" w:hAnsi="Times New Roman" w:cs="Times New Roman"/>
              </w:rPr>
              <w:br/>
              <w:t xml:space="preserve">  - concurrent chemoradiotherapy (CCRT):</w:t>
            </w:r>
            <w:r w:rsidRPr="00CB2EC4">
              <w:rPr>
                <w:rFonts w:ascii="Times New Roman" w:hAnsi="Times New Roman" w:cs="Times New Roman"/>
              </w:rPr>
              <w:br/>
              <w:t xml:space="preserve">    - level I recommendation: radical radiotherapy (external beam radiotherapy plus vaginal brachytherapy) ± platinum-based concurrent chemotherapy.</w:t>
            </w:r>
            <w:r w:rsidRPr="00CB2EC4">
              <w:rPr>
                <w:rFonts w:ascii="Times New Roman" w:hAnsi="Times New Roman" w:cs="Times New Roman"/>
              </w:rPr>
              <w:br/>
              <w:t xml:space="preserve">    - advantages: avoids surgical complications, </w:t>
            </w:r>
            <w:r w:rsidRPr="00CB2EC4">
              <w:rPr>
                <w:rFonts w:ascii="Times New Roman" w:hAnsi="Times New Roman" w:cs="Times New Roman"/>
              </w:rPr>
              <w:lastRenderedPageBreak/>
              <w:t>improves survival; compared with radiotherapy alone, reduces recurrence risk by 10–15%, with 5-year survival reaching 87% (GOG study).</w:t>
            </w:r>
            <w:r w:rsidRPr="00CB2EC4">
              <w:rPr>
                <w:rFonts w:ascii="Times New Roman" w:hAnsi="Times New Roman" w:cs="Times New Roman"/>
              </w:rPr>
              <w:br/>
              <w:t xml:space="preserve">    - disadvantages: may cause vaginal atrophy or stenosis.</w:t>
            </w:r>
            <w:r w:rsidRPr="00CB2EC4">
              <w:rPr>
                <w:rFonts w:ascii="Times New Roman" w:hAnsi="Times New Roman" w:cs="Times New Roman"/>
              </w:rPr>
              <w:br/>
              <w:t xml:space="preserve">    - outcomes: local control rate and survival are superior to the combination of surgery plus postoperative radiotherapy, especially in IB3/IIA2 stage patients.</w:t>
            </w:r>
          </w:p>
        </w:tc>
        <w:tc>
          <w:tcPr>
            <w:tcW w:w="1152" w:type="dxa"/>
            <w:vAlign w:val="center"/>
          </w:tcPr>
          <w:p w14:paraId="366AE0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D43DC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7ABC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3FCFFA" w14:textId="77777777">
        <w:tc>
          <w:tcPr>
            <w:tcW w:w="2160" w:type="dxa"/>
            <w:vAlign w:val="center"/>
          </w:tcPr>
          <w:p w14:paraId="108484E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46EB6B8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FIGO stage IB2 and IIA1 patients, the factors determining the choice between surgery and radiotherapy are as follows, and the outcomes of the two treatment modalities are similar:  </w:t>
            </w:r>
            <w:r w:rsidRPr="00CB2EC4">
              <w:rPr>
                <w:rFonts w:ascii="Times New Roman" w:hAnsi="Times New Roman" w:cs="Times New Roman"/>
              </w:rPr>
              <w:br/>
              <w:t xml:space="preserve">- Determining factors:  </w:t>
            </w:r>
            <w:r w:rsidRPr="00CB2EC4">
              <w:rPr>
                <w:rFonts w:ascii="Times New Roman" w:hAnsi="Times New Roman" w:cs="Times New Roman"/>
              </w:rPr>
              <w:br/>
              <w:t xml:space="preserve">  - Patient factors: age (especially patients under 45 years old are prioritized for surgery to preserve ovarian and sexual function), fertility requirements, general condition (e.g., absence of surgical contraindications).  </w:t>
            </w:r>
            <w:r w:rsidRPr="00CB2EC4">
              <w:rPr>
                <w:rFonts w:ascii="Times New Roman" w:hAnsi="Times New Roman" w:cs="Times New Roman"/>
              </w:rPr>
              <w:br/>
              <w:t xml:space="preserve">  - Tumor factors: tumor size, histological type (e.g., adenocarcinoma may favor radiotherapy), lymphovascular space invasion (LVSI) status.  </w:t>
            </w:r>
            <w:r w:rsidRPr="00CB2EC4">
              <w:rPr>
                <w:rFonts w:ascii="Times New Roman" w:hAnsi="Times New Roman" w:cs="Times New Roman"/>
              </w:rPr>
              <w:br/>
              <w:t xml:space="preserve">  - Resource factors: availability of local healthcare resources (e.g., completeness of radiotherapy equipment).  </w:t>
            </w:r>
            <w:r w:rsidRPr="00CB2EC4">
              <w:rPr>
                <w:rFonts w:ascii="Times New Roman" w:hAnsi="Times New Roman" w:cs="Times New Roman"/>
              </w:rPr>
              <w:br/>
              <w:t xml:space="preserve">  The document emphasizes that surgery and radiotherapy are equivalent primary treatment options, depending on individualized assessment (source: "FIGO IB2/IIA1 stage" section in [similarity: 0.624] fragment).  </w:t>
            </w:r>
            <w:r w:rsidRPr="00CB2EC4">
              <w:rPr>
                <w:rFonts w:ascii="Times New Roman" w:hAnsi="Times New Roman" w:cs="Times New Roman"/>
              </w:rPr>
              <w:br/>
              <w:t xml:space="preserve">- Differences in treatment outcomes:  </w:t>
            </w:r>
            <w:r w:rsidRPr="00CB2EC4">
              <w:rPr>
                <w:rFonts w:ascii="Times New Roman" w:hAnsi="Times New Roman" w:cs="Times New Roman"/>
              </w:rPr>
              <w:br/>
              <w:t xml:space="preserve">  - Efficacy: The 5-year survival rate, mortality rate, and complication incidence are similar between surgery and radiotherapy, indicating comparable </w:t>
            </w:r>
            <w:r w:rsidRPr="00CB2EC4">
              <w:rPr>
                <w:rFonts w:ascii="Times New Roman" w:hAnsi="Times New Roman" w:cs="Times New Roman"/>
              </w:rPr>
              <w:lastRenderedPageBreak/>
              <w:t xml:space="preserve">efficacy.  </w:t>
            </w:r>
            <w:r w:rsidRPr="00CB2EC4">
              <w:rPr>
                <w:rFonts w:ascii="Times New Roman" w:hAnsi="Times New Roman" w:cs="Times New Roman"/>
              </w:rPr>
              <w:br/>
              <w:t xml:space="preserve">  - Surgical advantages: Surgery provides accurate postoperative pathological staging, facilitating individualized subsequent treatment; removes radioresistant tumors; preserves ovarian function (via ovarian transposition) in young women; and is the preferred option for preserving sexual function.  </w:t>
            </w:r>
            <w:r w:rsidRPr="00CB2EC4">
              <w:rPr>
                <w:rFonts w:ascii="Times New Roman" w:hAnsi="Times New Roman" w:cs="Times New Roman"/>
              </w:rPr>
              <w:br/>
              <w:t xml:space="preserve">  - Radiotherapy advantages: Suitable for patients with surgical contraindications, avoiding surgical complications (e.g., urinary tract injury).  </w:t>
            </w:r>
            <w:r w:rsidRPr="00CB2EC4">
              <w:rPr>
                <w:rFonts w:ascii="Times New Roman" w:hAnsi="Times New Roman" w:cs="Times New Roman"/>
              </w:rPr>
              <w:br/>
              <w:t xml:space="preserve">  The document does not mention significant differences in survival rates but notes that minimally invasive surgery (e.g., laparoscopy) may have a higher recurrence rate than open surgery, requiring further research (source: "FIGO IB2/IIA1 stage" section in [similarity: 0.624] fragment and "IB1, IB2, IIA1 stage" section in [similarity: 0.577] fragment).</w:t>
            </w:r>
          </w:p>
        </w:tc>
        <w:tc>
          <w:tcPr>
            <w:tcW w:w="1152" w:type="dxa"/>
            <w:vAlign w:val="center"/>
          </w:tcPr>
          <w:p w14:paraId="508923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82524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3F6F5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18410B0" w14:textId="77777777">
        <w:tc>
          <w:tcPr>
            <w:tcW w:w="2160" w:type="dxa"/>
            <w:vAlign w:val="center"/>
          </w:tcPr>
          <w:p w14:paraId="0F1A66E4"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2E9EDBB" w14:textId="77777777" w:rsidR="00922249" w:rsidRPr="00CB2EC4" w:rsidRDefault="003011D5">
            <w:pPr>
              <w:rPr>
                <w:rFonts w:ascii="Times New Roman" w:hAnsi="Times New Roman" w:cs="Times New Roman"/>
              </w:rPr>
            </w:pPr>
            <w:r w:rsidRPr="00CB2EC4">
              <w:rPr>
                <w:rFonts w:ascii="Times New Roman" w:hAnsi="Times New Roman" w:cs="Times New Roman"/>
              </w:rPr>
              <w:t>in FIGO stage IB2 and IIA1 patients, what factors determine the choice between surgery and radiotherapy? what are the differences in outcomes between the two treatment modalities?</w:t>
            </w:r>
            <w:r w:rsidRPr="00CB2EC4">
              <w:rPr>
                <w:rFonts w:ascii="Times New Roman" w:hAnsi="Times New Roman" w:cs="Times New Roman"/>
              </w:rPr>
              <w:br/>
            </w:r>
            <w:r w:rsidRPr="00CB2EC4">
              <w:rPr>
                <w:rFonts w:ascii="Times New Roman" w:hAnsi="Times New Roman" w:cs="Times New Roman"/>
              </w:rPr>
              <w:br/>
              <w:t xml:space="preserve">- factors determining the choice between surgery and radiotherapy:  </w:t>
            </w:r>
            <w:r w:rsidRPr="00CB2EC4">
              <w:rPr>
                <w:rFonts w:ascii="Times New Roman" w:hAnsi="Times New Roman" w:cs="Times New Roman"/>
              </w:rPr>
              <w:br/>
              <w:t xml:space="preserve">  - patient factors: age (younger patients preferentially selected for surgery to preserve ovarian function and sexual function), fertility wishes, comorbidities (e.g., history of pelvic inflammatory disease or anesthesia contraindications).  </w:t>
            </w:r>
            <w:r w:rsidRPr="00CB2EC4">
              <w:rPr>
                <w:rFonts w:ascii="Times New Roman" w:hAnsi="Times New Roman" w:cs="Times New Roman"/>
              </w:rPr>
              <w:br/>
              <w:t xml:space="preserve">  - tumor factors: tumor size, histopathological type (adenocarcinoma may favor radiotherapy), lymphovascular space invasion (LVSI) status.  </w:t>
            </w:r>
            <w:r w:rsidRPr="00CB2EC4">
              <w:rPr>
                <w:rFonts w:ascii="Times New Roman" w:hAnsi="Times New Roman" w:cs="Times New Roman"/>
              </w:rPr>
              <w:br/>
              <w:t xml:space="preserve">  - resource factors: local availability of radiotherapy equipment (surgery may be favored in regions with </w:t>
            </w:r>
            <w:r w:rsidRPr="00CB2EC4">
              <w:rPr>
                <w:rFonts w:ascii="Times New Roman" w:hAnsi="Times New Roman" w:cs="Times New Roman"/>
              </w:rPr>
              <w:lastRenderedPageBreak/>
              <w:t xml:space="preserve">limited radiotherapy resources).  </w:t>
            </w:r>
            <w:r w:rsidRPr="00CB2EC4">
              <w:rPr>
                <w:rFonts w:ascii="Times New Roman" w:hAnsi="Times New Roman" w:cs="Times New Roman"/>
              </w:rPr>
              <w:br/>
              <w:t xml:space="preserve">  - specific advantages: surgery allows postoperative pathological staging to guide individualized treatment and removal of radioresistant tumors; radiotherapy is suitable for locally advanced tumors or patients at high surgical risk (see document fragment 8).  </w:t>
            </w:r>
            <w:r w:rsidRPr="00CB2EC4">
              <w:rPr>
                <w:rFonts w:ascii="Times New Roman" w:hAnsi="Times New Roman" w:cs="Times New Roman"/>
              </w:rPr>
              <w:br/>
            </w:r>
            <w:r w:rsidRPr="00CB2EC4">
              <w:rPr>
                <w:rFonts w:ascii="Times New Roman" w:hAnsi="Times New Roman" w:cs="Times New Roman"/>
              </w:rPr>
              <w:br/>
              <w:t xml:space="preserve">- differences in outcomes between the two treatment modalities:  </w:t>
            </w:r>
            <w:r w:rsidRPr="00CB2EC4">
              <w:rPr>
                <w:rFonts w:ascii="Times New Roman" w:hAnsi="Times New Roman" w:cs="Times New Roman"/>
              </w:rPr>
              <w:br/>
              <w:t xml:space="preserve">  - survival rates: overall survival (OS) and disease-free survival (DFS) are similar (approximately 83% and 74%), but long-term follow-up (20 years) shows radiotherapy may be slightly superior (77% vs. 72%, P=0.020).  </w:t>
            </w:r>
            <w:r w:rsidRPr="00CB2EC4">
              <w:rPr>
                <w:rFonts w:ascii="Times New Roman" w:hAnsi="Times New Roman" w:cs="Times New Roman"/>
              </w:rPr>
              <w:br/>
              <w:t xml:space="preserve">  - complications:  </w:t>
            </w:r>
            <w:r w:rsidRPr="00CB2EC4">
              <w:rPr>
                <w:rFonts w:ascii="Times New Roman" w:hAnsi="Times New Roman" w:cs="Times New Roman"/>
              </w:rPr>
              <w:br/>
              <w:t xml:space="preserve">    - surgery group has higher complication rates (28% vs. 12%), especially when adjuvant radiotherapy is required postoperatively, as combined treatment increases risks of ureteral injury, bladder dysfunction, etc.  </w:t>
            </w:r>
            <w:r w:rsidRPr="00CB2EC4">
              <w:rPr>
                <w:rFonts w:ascii="Times New Roman" w:hAnsi="Times New Roman" w:cs="Times New Roman"/>
              </w:rPr>
              <w:br/>
              <w:t xml:space="preserve">    - radiotherapy group has more frequent acute toxicities (e.g., gastrointestinal reactions) but avoids surgery-related risks.  </w:t>
            </w:r>
            <w:r w:rsidRPr="00CB2EC4">
              <w:rPr>
                <w:rFonts w:ascii="Times New Roman" w:hAnsi="Times New Roman" w:cs="Times New Roman"/>
              </w:rPr>
              <w:br/>
              <w:t xml:space="preserve">  - other differences: surgery is more suitable for preserving ovarian function (via ovarian transposition), whereas radiotherapy may cause late effects such as vaginal atrophy (see Londoni study in document fragment 20).  </w:t>
            </w:r>
            <w:r w:rsidRPr="00CB2EC4">
              <w:rPr>
                <w:rFonts w:ascii="Times New Roman" w:hAnsi="Times New Roman" w:cs="Times New Roman"/>
              </w:rPr>
              <w:br/>
              <w:t xml:space="preserve">  multivariate analysis confirms tumor diameter, lymph node status, and histopathological type as key prognostic factors (P&lt;0.05).</w:t>
            </w:r>
          </w:p>
        </w:tc>
        <w:tc>
          <w:tcPr>
            <w:tcW w:w="1152" w:type="dxa"/>
            <w:vAlign w:val="center"/>
          </w:tcPr>
          <w:p w14:paraId="6351DB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66088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4FD3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6D21B36" w14:textId="77777777">
        <w:tc>
          <w:tcPr>
            <w:tcW w:w="2160" w:type="dxa"/>
            <w:vAlign w:val="center"/>
          </w:tcPr>
          <w:p w14:paraId="6280F4DF"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83EED0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FIGO stage IB2 and IIA1 patients, the factors determining the choice between surgery and radiotherapy are as follows, with the outcomes of the </w:t>
            </w:r>
            <w:r w:rsidRPr="00CB2EC4">
              <w:rPr>
                <w:rFonts w:ascii="Times New Roman" w:hAnsi="Times New Roman" w:cs="Times New Roman"/>
              </w:rPr>
              <w:lastRenderedPageBreak/>
              <w:t xml:space="preserve">two treatment modalities compared below:  </w:t>
            </w:r>
            <w:r w:rsidRPr="00CB2EC4">
              <w:rPr>
                <w:rFonts w:ascii="Times New Roman" w:hAnsi="Times New Roman" w:cs="Times New Roman"/>
              </w:rPr>
              <w:br/>
              <w:t xml:space="preserve">- Determining factors:  </w:t>
            </w:r>
            <w:r w:rsidRPr="00CB2EC4">
              <w:rPr>
                <w:rFonts w:ascii="Times New Roman" w:hAnsi="Times New Roman" w:cs="Times New Roman"/>
              </w:rPr>
              <w:br/>
              <w:t xml:space="preserve">  - Patient factors: age (younger patients favor surgery to preserve ovarian and sexual function), fertility desires, health status (e.g., obesity or comorbidities may favor radiotherapy).  </w:t>
            </w:r>
            <w:r w:rsidRPr="00CB2EC4">
              <w:rPr>
                <w:rFonts w:ascii="Times New Roman" w:hAnsi="Times New Roman" w:cs="Times New Roman"/>
              </w:rPr>
              <w:br/>
              <w:t xml:space="preserve">  - Tumor factors: tumor size (e.g., IB2 tumor &gt;4 cm may increase recurrence risk), histological type (adenocarcinoma favors radiotherapy), LVSI status (positive increases need for postoperative radiotherapy).  </w:t>
            </w:r>
            <w:r w:rsidRPr="00CB2EC4">
              <w:rPr>
                <w:rFonts w:ascii="Times New Roman" w:hAnsi="Times New Roman" w:cs="Times New Roman"/>
              </w:rPr>
              <w:br/>
              <w:t xml:space="preserve">  - Resource factors: local availability of radiotherapy equipment (resource-limited settings may favor surgery).  </w:t>
            </w:r>
            <w:r w:rsidRPr="00CB2EC4">
              <w:rPr>
                <w:rFonts w:ascii="Times New Roman" w:hAnsi="Times New Roman" w:cs="Times New Roman"/>
              </w:rPr>
              <w:br/>
              <w:t xml:space="preserve">- Outcome comparison of treatment modalities:  </w:t>
            </w:r>
            <w:r w:rsidRPr="00CB2EC4">
              <w:rPr>
                <w:rFonts w:ascii="Times New Roman" w:hAnsi="Times New Roman" w:cs="Times New Roman"/>
              </w:rPr>
              <w:br/>
              <w:t xml:space="preserve">  - Surgery (Type C radical hysterectomy + pelvic lymphadenectomy):  </w:t>
            </w:r>
            <w:r w:rsidRPr="00CB2EC4">
              <w:rPr>
                <w:rFonts w:ascii="Times New Roman" w:hAnsi="Times New Roman" w:cs="Times New Roman"/>
              </w:rPr>
              <w:br/>
              <w:t xml:space="preserve">    - Advantages: provides accurate pathological staging, facilitates individualized postoperative treatment; removes radioresistant tumors; preserves ovarian function (especially in patients &lt;45 years); 5-year survival rate comparable to radiotherapy (~80-90%).  </w:t>
            </w:r>
            <w:r w:rsidRPr="00CB2EC4">
              <w:rPr>
                <w:rFonts w:ascii="Times New Roman" w:hAnsi="Times New Roman" w:cs="Times New Roman"/>
              </w:rPr>
              <w:br/>
              <w:t xml:space="preserve">    - Disadvantages: minimally invasive surgery (laparoscopic/robotic) may increase recurrence risk (based on LACC trial); complications include urinary tract injury (2-7%) and functional impairment.  </w:t>
            </w:r>
            <w:r w:rsidRPr="00CB2EC4">
              <w:rPr>
                <w:rFonts w:ascii="Times New Roman" w:hAnsi="Times New Roman" w:cs="Times New Roman"/>
              </w:rPr>
              <w:br/>
              <w:t xml:space="preserve">  - Radiotherapy (or concurrent chemoradiotherapy):  </w:t>
            </w:r>
            <w:r w:rsidRPr="00CB2EC4">
              <w:rPr>
                <w:rFonts w:ascii="Times New Roman" w:hAnsi="Times New Roman" w:cs="Times New Roman"/>
              </w:rPr>
              <w:br/>
              <w:t xml:space="preserve">    - Advantages: avoids surgical risks; suitable for inoperable patients; efficacy comparable to surgery (similar 5-year survival rates).  </w:t>
            </w:r>
            <w:r w:rsidRPr="00CB2EC4">
              <w:rPr>
                <w:rFonts w:ascii="Times New Roman" w:hAnsi="Times New Roman" w:cs="Times New Roman"/>
              </w:rPr>
              <w:br/>
              <w:t xml:space="preserve">    - Disadvantages: may cause vaginal atrophy, rectal/bladder complications; loss of ovarian function in young patients.  </w:t>
            </w:r>
            <w:r w:rsidRPr="00CB2EC4">
              <w:rPr>
                <w:rFonts w:ascii="Times New Roman" w:hAnsi="Times New Roman" w:cs="Times New Roman"/>
              </w:rPr>
              <w:br/>
            </w:r>
            <w:r w:rsidRPr="00CB2EC4">
              <w:rPr>
                <w:rFonts w:ascii="Times New Roman" w:hAnsi="Times New Roman" w:cs="Times New Roman"/>
              </w:rPr>
              <w:lastRenderedPageBreak/>
              <w:t xml:space="preserve">  - Overall outcomes: both modalities have comparable efficacy (no significant difference in 5-year survival or mortality), but surgery better preserves function while radiotherapy has more complications. Choice should be individualized.  </w:t>
            </w:r>
            <w:r w:rsidRPr="00CB2EC4">
              <w:rPr>
                <w:rFonts w:ascii="Times New Roman" w:hAnsi="Times New Roman" w:cs="Times New Roman"/>
              </w:rPr>
              <w:br/>
              <w:t>- Basis: Fragment 1 (Section 4.1.2.2) and Fragment 2 (Table 4) discuss primary treatment selection for IB2/IIA1, emphasizing patient factors and resource influence; Fragment 1 states "both have comparable efficacy."</w:t>
            </w:r>
          </w:p>
        </w:tc>
        <w:tc>
          <w:tcPr>
            <w:tcW w:w="1152" w:type="dxa"/>
            <w:vAlign w:val="center"/>
          </w:tcPr>
          <w:p w14:paraId="7118BD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2F7B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B1A3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1525CC" w14:textId="77777777">
        <w:tc>
          <w:tcPr>
            <w:tcW w:w="2160" w:type="dxa"/>
            <w:vAlign w:val="center"/>
          </w:tcPr>
          <w:p w14:paraId="156AAB7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38415564" w14:textId="77777777" w:rsidR="00922249" w:rsidRPr="00CB2EC4" w:rsidRDefault="003011D5">
            <w:pPr>
              <w:rPr>
                <w:rFonts w:ascii="Times New Roman" w:hAnsi="Times New Roman" w:cs="Times New Roman"/>
              </w:rPr>
            </w:pPr>
            <w:r w:rsidRPr="00CB2EC4">
              <w:rPr>
                <w:rFonts w:ascii="Times New Roman" w:hAnsi="Times New Roman" w:cs="Times New Roman"/>
              </w:rPr>
              <w:t>- Determining factors:</w:t>
            </w:r>
            <w:r w:rsidRPr="00CB2EC4">
              <w:rPr>
                <w:rFonts w:ascii="Times New Roman" w:hAnsi="Times New Roman" w:cs="Times New Roman"/>
              </w:rPr>
              <w:br/>
              <w:t xml:space="preserve">  - Patient age and fertility desire: Younger patients or those with fertility wishes may prefer surgery to preserve ovarian function.</w:t>
            </w:r>
            <w:r w:rsidRPr="00CB2EC4">
              <w:rPr>
                <w:rFonts w:ascii="Times New Roman" w:hAnsi="Times New Roman" w:cs="Times New Roman"/>
              </w:rPr>
              <w:br/>
              <w:t xml:space="preserve">  - Tumor characteristics: Including tumor size, location, histological type (e.g., squamous cell carcinoma vs. adenocarcinoma), and presence of high-risk features (e.g., lymphovascular space invasion [LVSI]).</w:t>
            </w:r>
            <w:r w:rsidRPr="00CB2EC4">
              <w:rPr>
                <w:rFonts w:ascii="Times New Roman" w:hAnsi="Times New Roman" w:cs="Times New Roman"/>
              </w:rPr>
              <w:br/>
              <w:t xml:space="preserve">  - Medical condition: Overall health status, comorbidities, and tolerance to treatment.</w:t>
            </w:r>
            <w:r w:rsidRPr="00CB2EC4">
              <w:rPr>
                <w:rFonts w:ascii="Times New Roman" w:hAnsi="Times New Roman" w:cs="Times New Roman"/>
              </w:rPr>
              <w:br/>
              <w:t xml:space="preserve">  - Institutional resources and expertise: Depends on the hospital’s surgical or radiotherapy technical capabilities.</w:t>
            </w:r>
            <w:r w:rsidRPr="00CB2EC4">
              <w:rPr>
                <w:rFonts w:ascii="Times New Roman" w:hAnsi="Times New Roman" w:cs="Times New Roman"/>
              </w:rPr>
              <w:br/>
              <w:t>- Differences in treatment outcomes:</w:t>
            </w:r>
            <w:r w:rsidRPr="00CB2EC4">
              <w:rPr>
                <w:rFonts w:ascii="Times New Roman" w:hAnsi="Times New Roman" w:cs="Times New Roman"/>
              </w:rPr>
              <w:br/>
              <w:t xml:space="preserve">  - Survival rates: Surgery (e.g., radical hysterectomy with pelvic lymphadenectomy) and radiotherapy (often combined with chemotherapy) have similar 5-year overall survival rates, approximately 80–85% (based on IB2–IIA1 stage data).</w:t>
            </w:r>
            <w:r w:rsidRPr="00CB2EC4">
              <w:rPr>
                <w:rFonts w:ascii="Times New Roman" w:hAnsi="Times New Roman" w:cs="Times New Roman"/>
              </w:rPr>
              <w:br/>
              <w:t xml:space="preserve">  - Side effects and functional impact: Surgery may cause short-term complications (e.g., bleeding, infection) and long-term effects (e.g., bladder dysfunction), but preserves ovarian function and </w:t>
            </w:r>
            <w:r w:rsidRPr="00CB2EC4">
              <w:rPr>
                <w:rFonts w:ascii="Times New Roman" w:hAnsi="Times New Roman" w:cs="Times New Roman"/>
              </w:rPr>
              <w:lastRenderedPageBreak/>
              <w:t>reduces menopausal symptoms; radiotherapy may result in infertility, vaginal stenosis, and chronic bowel or bladder toxicity.</w:t>
            </w:r>
          </w:p>
        </w:tc>
        <w:tc>
          <w:tcPr>
            <w:tcW w:w="1152" w:type="dxa"/>
            <w:vAlign w:val="center"/>
          </w:tcPr>
          <w:p w14:paraId="3D75B0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706A9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A320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5535EF5" w14:textId="77777777">
        <w:tc>
          <w:tcPr>
            <w:tcW w:w="10656" w:type="dxa"/>
            <w:gridSpan w:val="5"/>
            <w:tcBorders>
              <w:bottom w:val="single" w:sz="6" w:space="0" w:color="auto"/>
            </w:tcBorders>
            <w:vAlign w:val="center"/>
          </w:tcPr>
          <w:p w14:paraId="6C57F4B3" w14:textId="77777777" w:rsidR="00922249" w:rsidRPr="00CB2EC4" w:rsidRDefault="003011D5">
            <w:pPr>
              <w:rPr>
                <w:rFonts w:ascii="Times New Roman" w:hAnsi="Times New Roman" w:cs="Times New Roman"/>
              </w:rPr>
            </w:pPr>
            <w:r w:rsidRPr="00CB2EC4">
              <w:rPr>
                <w:rFonts w:ascii="Times New Roman" w:hAnsi="Times New Roman" w:cs="Times New Roman"/>
                <w:b/>
              </w:rPr>
              <w:t>Question 71: What is the recommended treatment of choice for FIGO stage IB3 cervical cancer?</w:t>
            </w:r>
          </w:p>
        </w:tc>
      </w:tr>
      <w:tr w:rsidR="00922249" w:rsidRPr="00CB2EC4" w14:paraId="79A3ADDE" w14:textId="77777777">
        <w:tc>
          <w:tcPr>
            <w:tcW w:w="2160" w:type="dxa"/>
            <w:vAlign w:val="center"/>
          </w:tcPr>
          <w:p w14:paraId="6A6E8E1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E4D947F"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FIGO stage IB3 cervical cancer is concurrent chemoradiotherapy (CCRT).</w:t>
            </w:r>
            <w:r w:rsidRPr="00CB2EC4">
              <w:rPr>
                <w:rFonts w:ascii="Times New Roman" w:hAnsi="Times New Roman" w:cs="Times New Roman"/>
              </w:rPr>
              <w:br/>
            </w:r>
            <w:r w:rsidRPr="00CB2EC4">
              <w:rPr>
                <w:rFonts w:ascii="Times New Roman" w:hAnsi="Times New Roman" w:cs="Times New Roman"/>
              </w:rPr>
              <w:br/>
              <w:t>According to the document context:</w:t>
            </w:r>
            <w:r w:rsidRPr="00CB2EC4">
              <w:rPr>
                <w:rFonts w:ascii="Times New Roman" w:hAnsi="Times New Roman" w:cs="Times New Roman"/>
              </w:rPr>
              <w:br/>
              <w:t>- The document states that for stage IB3, where tumors are larger and often associated with high-risk factors (such as positive lymph nodes or parametrial involvement), the risk of recurrence is increased. Platinum-based CCRT is explicitly recommended as the "better treatment modality" or "standard treatment" because it is superior to radiotherapy alone in reducing local recurrence and improving progression-free survival (see section 4.1.3).</w:t>
            </w:r>
            <w:r w:rsidRPr="00CB2EC4">
              <w:rPr>
                <w:rFonts w:ascii="Times New Roman" w:hAnsi="Times New Roman" w:cs="Times New Roman"/>
              </w:rPr>
              <w:br/>
              <w:t>- The document emphasizes that surgery is not the preferred initial treatment, as approximately 80% of patients require adjuvant radiotherapy or CCRT postoperatively, which increases complications (e.g., dual therapy risks). In regions with limited access to radiotherapy, neoadjuvant chemotherapy (NACT) may be considered, but the prognostic benefit of NACT remains controversial and is not recommended for routine use (see section 4.1.3).</w:t>
            </w:r>
            <w:r w:rsidRPr="00CB2EC4">
              <w:rPr>
                <w:rFonts w:ascii="Times New Roman" w:hAnsi="Times New Roman" w:cs="Times New Roman"/>
              </w:rPr>
              <w:br/>
              <w:t>In summary, the preference for CCRT is based on its efficacy and the comprehensive consideration of reducing complications.</w:t>
            </w:r>
          </w:p>
        </w:tc>
        <w:tc>
          <w:tcPr>
            <w:tcW w:w="1152" w:type="dxa"/>
            <w:vAlign w:val="center"/>
          </w:tcPr>
          <w:p w14:paraId="71468F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B0D1F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17ED4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C5D622C" w14:textId="77777777">
        <w:tc>
          <w:tcPr>
            <w:tcW w:w="2160" w:type="dxa"/>
            <w:vAlign w:val="center"/>
          </w:tcPr>
          <w:p w14:paraId="17520F52"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2226A92"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FIGO stage IB3 cervical cancer is concurrent chemoradiotherapy (CCRT).</w:t>
            </w:r>
            <w:r w:rsidRPr="00CB2EC4">
              <w:rPr>
                <w:rFonts w:ascii="Times New Roman" w:hAnsi="Times New Roman" w:cs="Times New Roman"/>
              </w:rPr>
              <w:br/>
              <w:t>- Evidence:</w:t>
            </w:r>
            <w:r w:rsidRPr="00CB2EC4">
              <w:rPr>
                <w:rFonts w:ascii="Times New Roman" w:hAnsi="Times New Roman" w:cs="Times New Roman"/>
              </w:rPr>
              <w:br/>
              <w:t xml:space="preserve">  - Document excerpt 4 (topic: cervical cancer </w:t>
            </w:r>
            <w:r w:rsidRPr="00CB2EC4">
              <w:rPr>
                <w:rFonts w:ascii="Times New Roman" w:hAnsi="Times New Roman" w:cs="Times New Roman"/>
              </w:rPr>
              <w:lastRenderedPageBreak/>
              <w:t>treatment strategies) states: "For IB3 and IIA2 stages, concurrent chemoradiotherapy is preferred."</w:t>
            </w:r>
            <w:r w:rsidRPr="00CB2EC4">
              <w:rPr>
                <w:rFonts w:ascii="Times New Roman" w:hAnsi="Times New Roman" w:cs="Times New Roman"/>
              </w:rPr>
              <w:br/>
              <w:t xml:space="preserve">  - Document excerpt 7 (topic: cervical cancer radiotherapy guidelines) specifies: "CCRT is the standard treatment for stage IB3 and IIA2."</w:t>
            </w:r>
            <w:r w:rsidRPr="00CB2EC4">
              <w:rPr>
                <w:rFonts w:ascii="Times New Roman" w:hAnsi="Times New Roman" w:cs="Times New Roman"/>
              </w:rPr>
              <w:br/>
              <w:t xml:space="preserve">  - Document excerpt 22 (topic: cervical cancer staging treatment plans) notes: "IB3, IIA2 FIGO 2018 non-fertility-sparing: concurrent chemoradiotherapy."</w:t>
            </w:r>
            <w:r w:rsidRPr="00CB2EC4">
              <w:rPr>
                <w:rFonts w:ascii="Times New Roman" w:hAnsi="Times New Roman" w:cs="Times New Roman"/>
              </w:rPr>
              <w:br/>
              <w:t xml:space="preserve">  - Document excerpt 39 (topic: cervical cancer surgical recommendation plans) lists for IB3 and IIA2 stage, Level I recommendation: "Radical radiotherapy (external beam radiotherapy + vaginal brachytherapy) ± platinum-based concurrent chemotherapy."</w:t>
            </w:r>
            <w:r w:rsidRPr="00CB2EC4">
              <w:rPr>
                <w:rFonts w:ascii="Times New Roman" w:hAnsi="Times New Roman" w:cs="Times New Roman"/>
              </w:rPr>
              <w:br/>
              <w:t xml:space="preserve">  In summary, the preferred treatment is concurrent chemoradiotherapy (CCRT), combining external beam radiotherapy and vaginal brachytherapy, with possible addition of platinum-based chemotherapy.</w:t>
            </w:r>
          </w:p>
        </w:tc>
        <w:tc>
          <w:tcPr>
            <w:tcW w:w="1152" w:type="dxa"/>
            <w:vAlign w:val="center"/>
          </w:tcPr>
          <w:p w14:paraId="3D5F3C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99576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F2BD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C1C676" w14:textId="77777777">
        <w:tc>
          <w:tcPr>
            <w:tcW w:w="2160" w:type="dxa"/>
            <w:vAlign w:val="center"/>
          </w:tcPr>
          <w:p w14:paraId="758BF711"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5923326"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FIGO stage IB3 cervical cancer is concurrent chemoradiotherapy (CCRT). Specifically:</w:t>
            </w:r>
            <w:r w:rsidRPr="00CB2EC4">
              <w:rPr>
                <w:rFonts w:ascii="Times New Roman" w:hAnsi="Times New Roman" w:cs="Times New Roman"/>
              </w:rPr>
              <w:br/>
              <w:t>- Document excerpt 1 states: "For locally advanced cervical cancer (stage IB3 and IIA2), the first choice is concurrent chemoradiotherapy."</w:t>
            </w:r>
            <w:r w:rsidRPr="00CB2EC4">
              <w:rPr>
                <w:rFonts w:ascii="Times New Roman" w:hAnsi="Times New Roman" w:cs="Times New Roman"/>
              </w:rPr>
              <w:br/>
              <w:t>- Document excerpt 2 supports: "Stage IB3, IIA2 FIGO 2018 non-fertility-sparing: concurrent chemoradiotherapy."</w:t>
            </w:r>
            <w:r w:rsidRPr="00CB2EC4">
              <w:rPr>
                <w:rFonts w:ascii="Times New Roman" w:hAnsi="Times New Roman" w:cs="Times New Roman"/>
              </w:rPr>
              <w:br/>
              <w:t xml:space="preserve">- Document excerpt 7 further emphasizes: "Stage IB3 and IIA2, although surgery is an option, it is not recommended as the primary initial treatment because 80% of patients require postoperative radiotherapy (PORT) or CCRT. Surgery plus radiotherapy increases complications and affects quality of life. Dual treatment modalities also add unnecessary surgical and radiotherapy resource burdens. Therefore, </w:t>
            </w:r>
            <w:r w:rsidRPr="00CB2EC4">
              <w:rPr>
                <w:rFonts w:ascii="Times New Roman" w:hAnsi="Times New Roman" w:cs="Times New Roman"/>
              </w:rPr>
              <w:lastRenderedPageBreak/>
              <w:t>CCRT is the standard treatment for stage IB3 and IIA2. CCRT includes external beam radiation and intracavitary brachytherapy."</w:t>
            </w:r>
            <w:r w:rsidRPr="00CB2EC4">
              <w:rPr>
                <w:rFonts w:ascii="Times New Roman" w:hAnsi="Times New Roman" w:cs="Times New Roman"/>
              </w:rPr>
              <w:br/>
              <w:t>- Document excerpt 27 also notes: "Platinum-based concurrent chemoradiotherapy (CCRT) is a better treatment approach for patients with stage IB3/IIA2."</w:t>
            </w:r>
            <w:r w:rsidRPr="00CB2EC4">
              <w:rPr>
                <w:rFonts w:ascii="Times New Roman" w:hAnsi="Times New Roman" w:cs="Times New Roman"/>
              </w:rPr>
              <w:br/>
              <w:t>- Document excerpt 18 adds that the neoadjuvant chemotherapy plus surgery approach is controversial and is only recommended in areas with limited radiotherapy resources or in clinical trials, not as the first choice.</w:t>
            </w:r>
            <w:r w:rsidRPr="00CB2EC4">
              <w:rPr>
                <w:rFonts w:ascii="Times New Roman" w:hAnsi="Times New Roman" w:cs="Times New Roman"/>
              </w:rPr>
              <w:br/>
            </w:r>
            <w:r w:rsidRPr="00CB2EC4">
              <w:rPr>
                <w:rFonts w:ascii="Times New Roman" w:hAnsi="Times New Roman" w:cs="Times New Roman"/>
              </w:rPr>
              <w:br/>
              <w:t>In summary, the preferred treatment for stage IB3 cervical cancer is platinum-based concurrent chemoradiotherapy (CCRT), including external beam radiotherapy and vaginal brachytherapy. Surgery is considered only as an alternative in settings with scarce radiotherapy resources.</w:t>
            </w:r>
          </w:p>
        </w:tc>
        <w:tc>
          <w:tcPr>
            <w:tcW w:w="1152" w:type="dxa"/>
            <w:vAlign w:val="center"/>
          </w:tcPr>
          <w:p w14:paraId="24C108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C7F66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893B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F5FB55" w14:textId="77777777">
        <w:tc>
          <w:tcPr>
            <w:tcW w:w="2160" w:type="dxa"/>
            <w:vAlign w:val="center"/>
          </w:tcPr>
          <w:p w14:paraId="11E78C70"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B0369EB" w14:textId="77777777" w:rsidR="00922249" w:rsidRPr="00CB2EC4" w:rsidRDefault="003011D5">
            <w:pPr>
              <w:rPr>
                <w:rFonts w:ascii="Times New Roman" w:hAnsi="Times New Roman" w:cs="Times New Roman"/>
              </w:rPr>
            </w:pPr>
            <w:r w:rsidRPr="00CB2EC4">
              <w:rPr>
                <w:rFonts w:ascii="Times New Roman" w:hAnsi="Times New Roman" w:cs="Times New Roman"/>
              </w:rPr>
              <w:t>for FIGO stage IB3 cervical cancer, the recommended primary treatment is:</w:t>
            </w:r>
            <w:r w:rsidRPr="00CB2EC4">
              <w:rPr>
                <w:rFonts w:ascii="Times New Roman" w:hAnsi="Times New Roman" w:cs="Times New Roman"/>
              </w:rPr>
              <w:br/>
            </w:r>
            <w:r w:rsidRPr="00CB2EC4">
              <w:rPr>
                <w:rFonts w:ascii="Times New Roman" w:hAnsi="Times New Roman" w:cs="Times New Roman"/>
              </w:rPr>
              <w:br/>
              <w:t xml:space="preserve">- **Primary treatment**: Concurrent chemoradiotherapy (CCRT)  </w:t>
            </w:r>
            <w:r w:rsidRPr="00CB2EC4">
              <w:rPr>
                <w:rFonts w:ascii="Times New Roman" w:hAnsi="Times New Roman" w:cs="Times New Roman"/>
              </w:rPr>
              <w:br/>
              <w:t xml:space="preserve">  - **Evidence basis (1.2.2, 4.1.3, 4.2.3)**:  </w:t>
            </w:r>
            <w:r w:rsidRPr="00CB2EC4">
              <w:rPr>
                <w:rFonts w:ascii="Times New Roman" w:hAnsi="Times New Roman" w:cs="Times New Roman"/>
              </w:rPr>
              <w:br/>
              <w:t xml:space="preserve">    - IB3 tumors are large (&gt;4 cm) and often associated with high-risk factors (e.g., lymph node metastasis); 80% of patients require adjuvant radiotherapy or CCRT after surgery, and combined surgery + radiotherapy increases complication risks.  </w:t>
            </w:r>
            <w:r w:rsidRPr="00CB2EC4">
              <w:rPr>
                <w:rFonts w:ascii="Times New Roman" w:hAnsi="Times New Roman" w:cs="Times New Roman"/>
              </w:rPr>
              <w:br/>
              <w:t xml:space="preserve">    - CCRT (external beam radiotherapy + intracavitary brachytherapy + weekly cisplatin) is the standard treatment, improving survival rates by 10%~15% and reducing recurrence risk.  </w:t>
            </w:r>
            <w:r w:rsidRPr="00CB2EC4">
              <w:rPr>
                <w:rFonts w:ascii="Times New Roman" w:hAnsi="Times New Roman" w:cs="Times New Roman"/>
              </w:rPr>
              <w:br/>
              <w:t xml:space="preserve">  - **Supplementary from web search (FIGO 2021 </w:t>
            </w:r>
            <w:r w:rsidRPr="00CB2EC4">
              <w:rPr>
                <w:rFonts w:ascii="Times New Roman" w:hAnsi="Times New Roman" w:cs="Times New Roman"/>
              </w:rPr>
              <w:lastRenderedPageBreak/>
              <w:t xml:space="preserve">guidelines)**:  </w:t>
            </w:r>
            <w:r w:rsidRPr="00CB2EC4">
              <w:rPr>
                <w:rFonts w:ascii="Times New Roman" w:hAnsi="Times New Roman" w:cs="Times New Roman"/>
              </w:rPr>
              <w:br/>
              <w:t xml:space="preserve">    - CCRT is explicitly the standard regimen for IB3/IIA2 stages; surgery is only an alternative option (e.g., in regions lacking radiotherapy resources).  </w:t>
            </w:r>
            <w:r w:rsidRPr="00CB2EC4">
              <w:rPr>
                <w:rFonts w:ascii="Times New Roman" w:hAnsi="Times New Roman" w:cs="Times New Roman"/>
              </w:rPr>
              <w:br/>
              <w:t xml:space="preserve">  - **Analysis of conflicting points**:  </w:t>
            </w:r>
            <w:r w:rsidRPr="00CB2EC4">
              <w:rPr>
                <w:rFonts w:ascii="Times New Roman" w:hAnsi="Times New Roman" w:cs="Times New Roman"/>
              </w:rPr>
              <w:br/>
              <w:t xml:space="preserve">    - The knowledge base lists surgery (e.g., type C hysterectomy + lymphadenectomy) as a secondary recommendation but emphasizes increased complication risk with dual modality treatment; web literature (Cochrane review) indicates no evidence that debulking hysterectomy plus CCRT is superior to CCRT alone.  </w:t>
            </w:r>
            <w:r w:rsidRPr="00CB2EC4">
              <w:rPr>
                <w:rFonts w:ascii="Times New Roman" w:hAnsi="Times New Roman" w:cs="Times New Roman"/>
              </w:rPr>
              <w:br/>
              <w:t xml:space="preserve">  **Conclusion**: CCRT is the preferred first-line treatment; surgery is limited to specific conditions (e.g., clinical trials or absence of radiotherapy facilities).</w:t>
            </w:r>
          </w:p>
        </w:tc>
        <w:tc>
          <w:tcPr>
            <w:tcW w:w="1152" w:type="dxa"/>
            <w:vAlign w:val="center"/>
          </w:tcPr>
          <w:p w14:paraId="4D0356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11D0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65E4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0CCC91" w14:textId="77777777">
        <w:tc>
          <w:tcPr>
            <w:tcW w:w="2160" w:type="dxa"/>
            <w:vAlign w:val="center"/>
          </w:tcPr>
          <w:p w14:paraId="54B7ACEA"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5718054"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FIGO stage IB3 cervical cancer is concurrent chemoradiotherapy (CCRT). Specifically:</w:t>
            </w:r>
            <w:r w:rsidRPr="00CB2EC4">
              <w:rPr>
                <w:rFonts w:ascii="Times New Roman" w:hAnsi="Times New Roman" w:cs="Times New Roman"/>
              </w:rPr>
              <w:br/>
            </w:r>
            <w:r w:rsidRPr="00CB2EC4">
              <w:rPr>
                <w:rFonts w:ascii="Times New Roman" w:hAnsi="Times New Roman" w:cs="Times New Roman"/>
              </w:rPr>
              <w:br/>
              <w:t>- Document excerpt 1 (Section 4.1.3) states that for FIGO IB3/IIA2 stage (large tumors, prone to high-risk factors), postoperative adjuvant radiotherapy can reduce recurrence risk, but the preferred treatment is not explicitly stated.</w:t>
            </w:r>
            <w:r w:rsidRPr="00CB2EC4">
              <w:rPr>
                <w:rFonts w:ascii="Times New Roman" w:hAnsi="Times New Roman" w:cs="Times New Roman"/>
              </w:rPr>
              <w:br/>
              <w:t>- Document excerpt 3 (Treatment principles section) clearly indicates: for IB3 and IIA2 stages, Level I recommendation is "definitive radiotherapy (external beam radiotherapy + vaginal brachytherapy) ± platinum-based concurrent chemotherapy".</w:t>
            </w:r>
            <w:r w:rsidRPr="00CB2EC4">
              <w:rPr>
                <w:rFonts w:ascii="Times New Roman" w:hAnsi="Times New Roman" w:cs="Times New Roman"/>
              </w:rPr>
              <w:br/>
              <w:t xml:space="preserve">- Document excerpt 7 (Section 4.2.3) emphasizes: "CCRT is the standard treatment for stage IB3 and IIA2", and explains that surgery plus radiotherapy increases complications, so surgery is not </w:t>
            </w:r>
            <w:r w:rsidRPr="00CB2EC4">
              <w:rPr>
                <w:rFonts w:ascii="Times New Roman" w:hAnsi="Times New Roman" w:cs="Times New Roman"/>
              </w:rPr>
              <w:lastRenderedPageBreak/>
              <w:t>recommended as the first choice.</w:t>
            </w:r>
            <w:r w:rsidRPr="00CB2EC4">
              <w:rPr>
                <w:rFonts w:ascii="Times New Roman" w:hAnsi="Times New Roman" w:cs="Times New Roman"/>
              </w:rPr>
              <w:br/>
              <w:t>- Document excerpt 10 (Treatment recommendation table) also notes: for FIGO 2018 IB3 stage without fertility preservation, the first choice is "concurrent chemoradiotherapy".</w:t>
            </w:r>
            <w:r w:rsidRPr="00CB2EC4">
              <w:rPr>
                <w:rFonts w:ascii="Times New Roman" w:hAnsi="Times New Roman" w:cs="Times New Roman"/>
              </w:rPr>
              <w:br/>
              <w:t>- Document excerpt 26 (Section 8: Radiochemotherapy for locally advanced cervical cancer) reiterates: for IB3 stage, Level I recommendation is "pelvic EBRT + brachytherapy + concurrent platinum-based chemotherapy".</w:t>
            </w:r>
            <w:r w:rsidRPr="00CB2EC4">
              <w:rPr>
                <w:rFonts w:ascii="Times New Roman" w:hAnsi="Times New Roman" w:cs="Times New Roman"/>
              </w:rPr>
              <w:br/>
            </w:r>
            <w:r w:rsidRPr="00CB2EC4">
              <w:rPr>
                <w:rFonts w:ascii="Times New Roman" w:hAnsi="Times New Roman" w:cs="Times New Roman"/>
              </w:rPr>
              <w:br/>
              <w:t>In summary, the preferred treatment is concurrent chemoradiotherapy (CCRT), including external beam radiotherapy (EBRT), vaginal brachytherapy, and platinum-based concurrent chemotherapy.</w:t>
            </w:r>
          </w:p>
        </w:tc>
        <w:tc>
          <w:tcPr>
            <w:tcW w:w="1152" w:type="dxa"/>
            <w:vAlign w:val="center"/>
          </w:tcPr>
          <w:p w14:paraId="0E54CF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6AA9D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6447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66E0E2" w14:textId="77777777">
        <w:tc>
          <w:tcPr>
            <w:tcW w:w="2160" w:type="dxa"/>
            <w:vAlign w:val="center"/>
          </w:tcPr>
          <w:p w14:paraId="6A10AA5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C64D43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treatment for FIGO stage IB3 cervical cancer is concurrent chemoradiotherapy (CCRT). The specific evidence is as follows:  </w:t>
            </w:r>
            <w:r w:rsidRPr="00CB2EC4">
              <w:rPr>
                <w:rFonts w:ascii="Times New Roman" w:hAnsi="Times New Roman" w:cs="Times New Roman"/>
              </w:rPr>
              <w:br/>
              <w:t xml:space="preserve">- Document 1 states that IB3/IIA2 stage tumors are larger and prone to high-risk factors, with a high likelihood of postoperative adjuvant radiotherapy; however, surgery is not clearly recommended as the first choice (fusion score 0.6000).  </w:t>
            </w:r>
            <w:r w:rsidRPr="00CB2EC4">
              <w:rPr>
                <w:rFonts w:ascii="Times New Roman" w:hAnsi="Times New Roman" w:cs="Times New Roman"/>
              </w:rPr>
              <w:br/>
              <w:t xml:space="preserve">- Document 2 emphasizes that platinum-based concurrent chemoradiotherapy (CCRT) is a better treatment option for IB3/IIA2 stage patients (fusion score 0.5716).  </w:t>
            </w:r>
            <w:r w:rsidRPr="00CB2EC4">
              <w:rPr>
                <w:rFonts w:ascii="Times New Roman" w:hAnsi="Times New Roman" w:cs="Times New Roman"/>
              </w:rPr>
              <w:br/>
              <w:t xml:space="preserve">- Document 3 lists radical radiotherapy (external beam radiotherapy + vaginal brachytherapy) ± platinum-based concurrent chemotherapy as a Level I recommendation for IB3 and IIA2 stages (fusion score 0.5406).  </w:t>
            </w:r>
            <w:r w:rsidRPr="00CB2EC4">
              <w:rPr>
                <w:rFonts w:ascii="Times New Roman" w:hAnsi="Times New Roman" w:cs="Times New Roman"/>
              </w:rPr>
              <w:br/>
              <w:t xml:space="preserve">- Document 4 explicitly states that CCRT is the standard treatment for IB3 and IIA2 stages, as surgery </w:t>
            </w:r>
            <w:r w:rsidRPr="00CB2EC4">
              <w:rPr>
                <w:rFonts w:ascii="Times New Roman" w:hAnsi="Times New Roman" w:cs="Times New Roman"/>
              </w:rPr>
              <w:lastRenderedPageBreak/>
              <w:t xml:space="preserve">plus radiotherapy increases complications (fusion score 0.5389).  </w:t>
            </w:r>
            <w:r w:rsidRPr="00CB2EC4">
              <w:rPr>
                <w:rFonts w:ascii="Times New Roman" w:hAnsi="Times New Roman" w:cs="Times New Roman"/>
              </w:rPr>
              <w:br/>
              <w:t xml:space="preserve">- Document 10, based on FIGO 2018 recommendations for IB3/IIA2 stages, indicates that "concurrent chemoradiotherapy" is the preferred option (fusion score 0.4843).  </w:t>
            </w:r>
            <w:r w:rsidRPr="00CB2EC4">
              <w:rPr>
                <w:rFonts w:ascii="Times New Roman" w:hAnsi="Times New Roman" w:cs="Times New Roman"/>
              </w:rPr>
              <w:br/>
              <w:t>In summary, the context consistently recommends CCRT as the first-line treatment for IB3 stage due to its survival advantages, such as reduced recurrence risk and improved progression-free survival.</w:t>
            </w:r>
          </w:p>
        </w:tc>
        <w:tc>
          <w:tcPr>
            <w:tcW w:w="1152" w:type="dxa"/>
            <w:vAlign w:val="center"/>
          </w:tcPr>
          <w:p w14:paraId="632EAD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0C21D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F48A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DA79CD9" w14:textId="77777777">
        <w:tc>
          <w:tcPr>
            <w:tcW w:w="2160" w:type="dxa"/>
            <w:vAlign w:val="center"/>
          </w:tcPr>
          <w:p w14:paraId="0ECDF87A"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EC2178C" w14:textId="77777777" w:rsidR="00922249" w:rsidRPr="00CB2EC4" w:rsidRDefault="003011D5">
            <w:pPr>
              <w:rPr>
                <w:rFonts w:ascii="Times New Roman" w:hAnsi="Times New Roman" w:cs="Times New Roman"/>
              </w:rPr>
            </w:pPr>
            <w:r w:rsidRPr="00CB2EC4">
              <w:rPr>
                <w:rFonts w:ascii="Times New Roman" w:hAnsi="Times New Roman" w:cs="Times New Roman"/>
              </w:rPr>
              <w:t>for FIGO stage IB3 cervical cancer, the preferred treatment is concurrent chemoradiotherapy (CCRT), consisting of external beam radiotherapy (EBRT) combined with vaginal brachytherapy, plus concurrent platinum-based chemotherapy (e.g., cisplatin). This is classified as a Level I recommendation (highest recommendation level) for non-fertility-sparing treatment.</w:t>
            </w:r>
            <w:r w:rsidRPr="00CB2EC4">
              <w:rPr>
                <w:rFonts w:ascii="Times New Roman" w:hAnsi="Times New Roman" w:cs="Times New Roman"/>
              </w:rPr>
              <w:br/>
            </w:r>
            <w:r w:rsidRPr="00CB2EC4">
              <w:rPr>
                <w:rFonts w:ascii="Times New Roman" w:hAnsi="Times New Roman" w:cs="Times New Roman"/>
              </w:rPr>
              <w:br/>
              <w:t>- For stage IB3 and IIA2, Level I recommendation: Radical radiotherapy (external beam radiotherapy + vaginal brachytherapy) ± platinum-based concurrent chemotherapy. (from first document fragment)</w:t>
            </w:r>
            <w:r w:rsidRPr="00CB2EC4">
              <w:rPr>
                <w:rFonts w:ascii="Times New Roman" w:hAnsi="Times New Roman" w:cs="Times New Roman"/>
              </w:rPr>
              <w:br/>
              <w:t>- IB3, IIA2 FIGO 2018 non-fertility-sparing: Concurrent chemoradiotherapy. (from table description)</w:t>
            </w:r>
            <w:r w:rsidRPr="00CB2EC4">
              <w:rPr>
                <w:rFonts w:ascii="Times New Roman" w:hAnsi="Times New Roman" w:cs="Times New Roman"/>
              </w:rPr>
              <w:br/>
              <w:t>- CCRT is the standard treatment for stage IB3 and IIA2. (from fragment describing concurrent chemoradiotherapy as standard)</w:t>
            </w:r>
          </w:p>
        </w:tc>
        <w:tc>
          <w:tcPr>
            <w:tcW w:w="1152" w:type="dxa"/>
            <w:vAlign w:val="center"/>
          </w:tcPr>
          <w:p w14:paraId="470E04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C862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7AA8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A54053" w14:textId="77777777">
        <w:tc>
          <w:tcPr>
            <w:tcW w:w="2160" w:type="dxa"/>
            <w:vAlign w:val="center"/>
          </w:tcPr>
          <w:p w14:paraId="7238E9ED"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C7312AD"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FIGO stage IB3 cervical cancer is concurrent chemoradiotherapy (CCRT). Specifically:</w:t>
            </w:r>
            <w:r w:rsidRPr="00CB2EC4">
              <w:rPr>
                <w:rFonts w:ascii="Times New Roman" w:hAnsi="Times New Roman" w:cs="Times New Roman"/>
              </w:rPr>
              <w:br/>
              <w:t xml:space="preserve">- Document excerpt 1 (similarity 0.710) states: For </w:t>
            </w:r>
            <w:r w:rsidRPr="00CB2EC4">
              <w:rPr>
                <w:rFonts w:ascii="Times New Roman" w:hAnsi="Times New Roman" w:cs="Times New Roman"/>
              </w:rPr>
              <w:lastRenderedPageBreak/>
              <w:t>FIGO IB3/IIA2 stage, as the tumors are larger and prone to high-risk factors, concurrent chemoradiotherapy (CCRT) is the preferred option because it reduces local recurrence risk and improves progression-free survival.</w:t>
            </w:r>
            <w:r w:rsidRPr="00CB2EC4">
              <w:rPr>
                <w:rFonts w:ascii="Times New Roman" w:hAnsi="Times New Roman" w:cs="Times New Roman"/>
              </w:rPr>
              <w:br/>
              <w:t>- Document excerpt 2 (similarity 0.650) explicitly lists in the level I recommendation for IB3 and IIA2 stages: radical radiotherapy (external beam radiotherapy + vaginal brachytherapy) ± platinum-based concurrent chemotherapy.</w:t>
            </w:r>
            <w:r w:rsidRPr="00CB2EC4">
              <w:rPr>
                <w:rFonts w:ascii="Times New Roman" w:hAnsi="Times New Roman" w:cs="Times New Roman"/>
              </w:rPr>
              <w:br/>
              <w:t>- Document excerpt 8 (similarity 0.598) emphasizes: platinum-based concurrent chemoradiotherapy (CCRT) is a better treatment modality for IB3/IIA2 patients and has been proven superior to radiotherapy alone.</w:t>
            </w:r>
            <w:r w:rsidRPr="00CB2EC4">
              <w:rPr>
                <w:rFonts w:ascii="Times New Roman" w:hAnsi="Times New Roman" w:cs="Times New Roman"/>
              </w:rPr>
              <w:br/>
              <w:t>- Document excerpt 9 (similarity 0.595) in the FIGO 2018 guidelines section indicates: for IB3 stage without fertility preservation, level I recommendation is concurrent chemoradiotherapy.</w:t>
            </w:r>
            <w:r w:rsidRPr="00CB2EC4">
              <w:rPr>
                <w:rFonts w:ascii="Times New Roman" w:hAnsi="Times New Roman" w:cs="Times New Roman"/>
              </w:rPr>
              <w:br/>
            </w:r>
            <w:r w:rsidRPr="00CB2EC4">
              <w:rPr>
                <w:rFonts w:ascii="Times New Roman" w:hAnsi="Times New Roman" w:cs="Times New Roman"/>
              </w:rPr>
              <w:br/>
              <w:t>Summary: The preferred treatment is concurrent chemoradiotherapy (CCRT), consisting of external beam radiotherapy, vaginal brachytherapy, and platinum-based chemotherapy. This is because surgery plus radiotherapy increases complications, and dual-modality treatment is not recommended as first-line (excerpts 1, 2, 8, 9).</w:t>
            </w:r>
          </w:p>
        </w:tc>
        <w:tc>
          <w:tcPr>
            <w:tcW w:w="1152" w:type="dxa"/>
            <w:vAlign w:val="center"/>
          </w:tcPr>
          <w:p w14:paraId="35A027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C22C8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67FE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141F0A" w14:textId="77777777">
        <w:tc>
          <w:tcPr>
            <w:tcW w:w="2160" w:type="dxa"/>
            <w:vAlign w:val="center"/>
          </w:tcPr>
          <w:p w14:paraId="33A1A6E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B8D3506"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FIGO stage IB3 cervical cancer is concurrent chemoradiotherapy (CCRT), consisting of radical radiotherapy (external beam radiotherapy + vaginal brachytherapy) combined with platinum-based chemotherapy given concurrently.</w:t>
            </w:r>
            <w:r w:rsidRPr="00CB2EC4">
              <w:rPr>
                <w:rFonts w:ascii="Times New Roman" w:hAnsi="Times New Roman" w:cs="Times New Roman"/>
              </w:rPr>
              <w:br/>
            </w:r>
            <w:r w:rsidRPr="00CB2EC4">
              <w:rPr>
                <w:rFonts w:ascii="Times New Roman" w:hAnsi="Times New Roman" w:cs="Times New Roman"/>
              </w:rPr>
              <w:br/>
              <w:t xml:space="preserve">- The document explicitly states: "CCRT is the </w:t>
            </w:r>
            <w:r w:rsidRPr="00CB2EC4">
              <w:rPr>
                <w:rFonts w:ascii="Times New Roman" w:hAnsi="Times New Roman" w:cs="Times New Roman"/>
              </w:rPr>
              <w:lastRenderedPageBreak/>
              <w:t>standard treatment for stage IB3 and IIA2" (source: document section 4.2.3), and emphasizes that "platinum-based concurrent chemoradiotherapy (CCRT) is a better treatment option for patients with stage IB3/IIA2" (source: document section 4.1.3).</w:t>
            </w:r>
            <w:r w:rsidRPr="00CB2EC4">
              <w:rPr>
                <w:rFonts w:ascii="Times New Roman" w:hAnsi="Times New Roman" w:cs="Times New Roman"/>
              </w:rPr>
              <w:br/>
              <w:t>- In treatment recommendations: "Stage IB3, IIA2 Level I recommendation: Radical radiotherapy (external beam radiotherapy + vaginal brachytherapy) ± platinum-based concurrent chemotherapy" (source: table content in document).</w:t>
            </w:r>
            <w:r w:rsidRPr="00CB2EC4">
              <w:rPr>
                <w:rFonts w:ascii="Times New Roman" w:hAnsi="Times New Roman" w:cs="Times New Roman"/>
              </w:rPr>
              <w:br/>
              <w:t>- The document explains that IB3 tumors are larger (maximum diameter &gt;4 cm), often associated with high-risk factors (e.g., lymph node positivity), and surgery increases the need for postoperative adjuvant radiotherapy and the risk of complications; therefore, CCRT as the first choice improves local control and survival rates (sources: document sections 4.1.3 and 4.2.3).</w:t>
            </w:r>
            <w:r w:rsidRPr="00CB2EC4">
              <w:rPr>
                <w:rFonts w:ascii="Times New Roman" w:hAnsi="Times New Roman" w:cs="Times New Roman"/>
              </w:rPr>
              <w:br/>
              <w:t>- If radiotherapy resources are limited, surgery or neoadjuvant chemotherapy (NACT) may be considered, but these are not preferred and must be used with caution (source: document section 4.1.3).</w:t>
            </w:r>
          </w:p>
        </w:tc>
        <w:tc>
          <w:tcPr>
            <w:tcW w:w="1152" w:type="dxa"/>
            <w:vAlign w:val="center"/>
          </w:tcPr>
          <w:p w14:paraId="533815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98E4B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FFE5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22DB88" w14:textId="77777777">
        <w:tc>
          <w:tcPr>
            <w:tcW w:w="2160" w:type="dxa"/>
            <w:vAlign w:val="center"/>
          </w:tcPr>
          <w:p w14:paraId="24F79DA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A689D8F"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FIGO stage IB3 cervical cancer is radical radiotherapy with concurrent chemotherapy (CCRT). specifically, this includes external beam radiotherapy (EBRT) combined with brachytherapy, and concurrent platinum-based chemotherapy (such as weekly cisplatin).</w:t>
            </w:r>
            <w:r w:rsidRPr="00CB2EC4">
              <w:rPr>
                <w:rFonts w:ascii="Times New Roman" w:hAnsi="Times New Roman" w:cs="Times New Roman"/>
              </w:rPr>
              <w:br/>
            </w:r>
            <w:r w:rsidRPr="00CB2EC4">
              <w:rPr>
                <w:rFonts w:ascii="Times New Roman" w:hAnsi="Times New Roman" w:cs="Times New Roman"/>
              </w:rPr>
              <w:br/>
              <w:t>based on the provided context:</w:t>
            </w:r>
            <w:r w:rsidRPr="00CB2EC4">
              <w:rPr>
                <w:rFonts w:ascii="Times New Roman" w:hAnsi="Times New Roman" w:cs="Times New Roman"/>
              </w:rPr>
              <w:br/>
              <w:t xml:space="preserve">- document excerpt 8 states: “for FIGO IB3 and IIA2 stages, although surgery is an option, it is not recommended as the preferred initial treatment. because 80% of patients require postoperative </w:t>
            </w:r>
            <w:r w:rsidRPr="00CB2EC4">
              <w:rPr>
                <w:rFonts w:ascii="Times New Roman" w:hAnsi="Times New Roman" w:cs="Times New Roman"/>
              </w:rPr>
              <w:lastRenderedPageBreak/>
              <w:t>radiotherapy (PORT) or CCRT. dual treatment modalities also increase unnecessary surgical and radiotherapy resource burdens. therefore, CCRT is the standard treatment for IB3 and IIA2 stages.”</w:t>
            </w:r>
            <w:r w:rsidRPr="00CB2EC4">
              <w:rPr>
                <w:rFonts w:ascii="Times New Roman" w:hAnsi="Times New Roman" w:cs="Times New Roman"/>
              </w:rPr>
              <w:br/>
              <w:t>- document excerpt 18 further confirms: “IB3 stage: level I recommendation: radical radiotherapy (external beam radiotherapy + vaginal brachytherapy) ± platinum-based concurrent chemotherapy.”</w:t>
            </w:r>
            <w:r w:rsidRPr="00CB2EC4">
              <w:rPr>
                <w:rFonts w:ascii="Times New Roman" w:hAnsi="Times New Roman" w:cs="Times New Roman"/>
              </w:rPr>
              <w:br/>
              <w:t>- rationale: surgery is not preferred because of the high need for adjuvant therapy (approximately 80% of patients require postoperative radiotherapy or chemoradiotherapy), which increases the risk of complications; CCRT directly controls local disease and reduces the risk of distant metastasis.</w:t>
            </w:r>
          </w:p>
        </w:tc>
        <w:tc>
          <w:tcPr>
            <w:tcW w:w="1152" w:type="dxa"/>
            <w:vAlign w:val="center"/>
          </w:tcPr>
          <w:p w14:paraId="2A715B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C1D5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1D32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E176BB" w14:textId="77777777">
        <w:tc>
          <w:tcPr>
            <w:tcW w:w="2160" w:type="dxa"/>
            <w:vAlign w:val="center"/>
          </w:tcPr>
          <w:p w14:paraId="5F4CA2AE"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A09E8D8" w14:textId="77777777" w:rsidR="00922249" w:rsidRPr="00CB2EC4" w:rsidRDefault="003011D5">
            <w:pPr>
              <w:rPr>
                <w:rFonts w:ascii="Times New Roman" w:hAnsi="Times New Roman" w:cs="Times New Roman"/>
              </w:rPr>
            </w:pPr>
            <w:r w:rsidRPr="00CB2EC4">
              <w:rPr>
                <w:rFonts w:ascii="Times New Roman" w:hAnsi="Times New Roman" w:cs="Times New Roman"/>
              </w:rPr>
              <w:t>71. What is the recommended primary treatment for cervical cancer at FIGO stage IB3?</w:t>
            </w:r>
            <w:r w:rsidRPr="00CB2EC4">
              <w:rPr>
                <w:rFonts w:ascii="Times New Roman" w:hAnsi="Times New Roman" w:cs="Times New Roman"/>
              </w:rPr>
              <w:br/>
            </w:r>
            <w:r w:rsidRPr="00CB2EC4">
              <w:rPr>
                <w:rFonts w:ascii="Times New Roman" w:hAnsi="Times New Roman" w:cs="Times New Roman"/>
              </w:rPr>
              <w:br/>
              <w:t>According to the document content, the preferred treatment for FIGO stage IB3 cervical cancer is concurrent chemoradiotherapy (CCRT). Specific evidence includes:</w:t>
            </w:r>
            <w:r w:rsidRPr="00CB2EC4">
              <w:rPr>
                <w:rFonts w:ascii="Times New Roman" w:hAnsi="Times New Roman" w:cs="Times New Roman"/>
              </w:rPr>
              <w:br/>
              <w:t>- Multiple sections state that IB3 stage is classified as locally advanced cervical cancer, and the primary treatment is platinum-based concurrent chemoradiotherapy (CCRT). For example:</w:t>
            </w:r>
            <w:r w:rsidRPr="00CB2EC4">
              <w:rPr>
                <w:rFonts w:ascii="Times New Roman" w:hAnsi="Times New Roman" w:cs="Times New Roman"/>
              </w:rPr>
              <w:br/>
              <w:t xml:space="preserve">  - [Similarity: 0.607] Section: "FIGO ⅠB3/ⅡA2 stage... concurrent chemoradiotherapy (CCRT) is a better treatment option for patients with stage ⅠB3/ⅡA2."</w:t>
            </w:r>
            <w:r w:rsidRPr="00CB2EC4">
              <w:rPr>
                <w:rFonts w:ascii="Times New Roman" w:hAnsi="Times New Roman" w:cs="Times New Roman"/>
              </w:rPr>
              <w:br/>
              <w:t xml:space="preserve">  - [Similarity: 0.583] Section: "Platinum-based concurrent chemoradiotherapy (CCRT) is a better treatment option for patients with stage ⅠB3/ⅡA2."</w:t>
            </w:r>
            <w:r w:rsidRPr="00CB2EC4">
              <w:rPr>
                <w:rFonts w:ascii="Times New Roman" w:hAnsi="Times New Roman" w:cs="Times New Roman"/>
              </w:rPr>
              <w:br/>
              <w:t xml:space="preserve">  - [Similarity: 0.555] Section: "CCRT is the standard treatment for stage ⅠB3 and ⅡA2."</w:t>
            </w:r>
            <w:r w:rsidRPr="00CB2EC4">
              <w:rPr>
                <w:rFonts w:ascii="Times New Roman" w:hAnsi="Times New Roman" w:cs="Times New Roman"/>
              </w:rPr>
              <w:br/>
            </w:r>
            <w:r w:rsidRPr="00CB2EC4">
              <w:rPr>
                <w:rFonts w:ascii="Times New Roman" w:hAnsi="Times New Roman" w:cs="Times New Roman"/>
              </w:rPr>
              <w:lastRenderedPageBreak/>
              <w:t>- The document emphasizes that surgery is not the primary option, as approximately 80% of patients require adjuvant radiotherapy post-surgery, increasing the risk of complications (such as severe adverse reactions from dual therapy). In areas with limited radiotherapy resources, neoadjuvant chemotherapy (NACT) followed by surgery may be considered, but this is only an alternative option and remains controversial.</w:t>
            </w:r>
            <w:r w:rsidRPr="00CB2EC4">
              <w:rPr>
                <w:rFonts w:ascii="Times New Roman" w:hAnsi="Times New Roman" w:cs="Times New Roman"/>
              </w:rPr>
              <w:br/>
              <w:t>- Summary: The primary treatment for stage IB3 cervical cancer is concurrent chemoradiotherapy (CCRT), including external beam radiotherapy (EBRT) and intracavitary brachytherapy (ICRT), combined with concurrent platinum-based chemotherapy.</w:t>
            </w:r>
          </w:p>
        </w:tc>
        <w:tc>
          <w:tcPr>
            <w:tcW w:w="1152" w:type="dxa"/>
            <w:vAlign w:val="center"/>
          </w:tcPr>
          <w:p w14:paraId="093675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935FB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0892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9199C0" w14:textId="77777777">
        <w:tc>
          <w:tcPr>
            <w:tcW w:w="2160" w:type="dxa"/>
            <w:vAlign w:val="center"/>
          </w:tcPr>
          <w:p w14:paraId="4A94A6FE"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3D74DEB"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FIGO stage IB3 cervical cancer is concurrent chemoradiotherapy (CCRT). Specifically:</w:t>
            </w:r>
            <w:r w:rsidRPr="00CB2EC4">
              <w:rPr>
                <w:rFonts w:ascii="Times New Roman" w:hAnsi="Times New Roman" w:cs="Times New Roman"/>
              </w:rPr>
              <w:br/>
            </w:r>
            <w:r w:rsidRPr="00CB2EC4">
              <w:rPr>
                <w:rFonts w:ascii="Times New Roman" w:hAnsi="Times New Roman" w:cs="Times New Roman"/>
              </w:rPr>
              <w:br/>
              <w:t>- Document excerpt 2 states: “For locally advanced cervical cancer (stage IB3 and IIA2), the first choice is concurrent chemoradiotherapy.”</w:t>
            </w:r>
            <w:r w:rsidRPr="00CB2EC4">
              <w:rPr>
                <w:rFonts w:ascii="Times New Roman" w:hAnsi="Times New Roman" w:cs="Times New Roman"/>
              </w:rPr>
              <w:br/>
              <w:t>- Document excerpt 3 further emphasizes: “CCRT is the standard treatment for stage IB3 and IIA2,” and explains that CCRT includes external beam radiotherapy (EBRT) and intracavitary brachytherapy, supplemented by platinum-based concurrent chemotherapy (e.g., weekly cisplatin).</w:t>
            </w:r>
            <w:r w:rsidRPr="00CB2EC4">
              <w:rPr>
                <w:rFonts w:ascii="Times New Roman" w:hAnsi="Times New Roman" w:cs="Times New Roman"/>
              </w:rPr>
              <w:br/>
              <w:t>- Document excerpt 6 adds: “Platinum-based concurrent chemoradiotherapy (CCRT) is a better treatment option for patients with stage IB3/IIA2,” and notes that surgery may be considered in areas with limited radiotherapy resources, but the first choice remains CCRT.</w:t>
            </w:r>
            <w:r w:rsidRPr="00CB2EC4">
              <w:rPr>
                <w:rFonts w:ascii="Times New Roman" w:hAnsi="Times New Roman" w:cs="Times New Roman"/>
              </w:rPr>
              <w:br/>
            </w:r>
            <w:r w:rsidRPr="00CB2EC4">
              <w:rPr>
                <w:rFonts w:ascii="Times New Roman" w:hAnsi="Times New Roman" w:cs="Times New Roman"/>
              </w:rPr>
              <w:lastRenderedPageBreak/>
              <w:br/>
              <w:t>In summary, the standard preferred treatment for stage IB3 cervical cancer is concurrent chemoradiotherapy to maximize local control and survival rates.</w:t>
            </w:r>
          </w:p>
        </w:tc>
        <w:tc>
          <w:tcPr>
            <w:tcW w:w="1152" w:type="dxa"/>
            <w:vAlign w:val="center"/>
          </w:tcPr>
          <w:p w14:paraId="35D4FC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6EA62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DE27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63D9E4" w14:textId="77777777">
        <w:tc>
          <w:tcPr>
            <w:tcW w:w="2160" w:type="dxa"/>
            <w:vAlign w:val="center"/>
          </w:tcPr>
          <w:p w14:paraId="05C441A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5168019"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FIGO stage IB3 cervical cancer is radical radiotherapy (including external beam radiotherapy (EBRT) and intracavitary brachytherapy (ICRT)) combined with concurrent platinum-based chemotherapy (CCRT).</w:t>
            </w:r>
            <w:r w:rsidRPr="00CB2EC4">
              <w:rPr>
                <w:rFonts w:ascii="Times New Roman" w:hAnsi="Times New Roman" w:cs="Times New Roman"/>
              </w:rPr>
              <w:br/>
            </w:r>
            <w:r w:rsidRPr="00CB2EC4">
              <w:rPr>
                <w:rFonts w:ascii="Times New Roman" w:hAnsi="Times New Roman" w:cs="Times New Roman"/>
              </w:rPr>
              <w:br/>
              <w:t>- rationale: segment 1 explicitly states that "platinum-based concurrent chemoradiotherapy (CCRT) is a better treatment option for patients with stage IB3/IIA2," segment 2 emphasizes that "CCRT is the standard treatment for stage IB3 and IIA2," and segments 4 and 5 with level I recommendation consistently support this regimen. surgery is not recommended as the primary treatment because 80% of patients require adjuvant radiotherapy postoperatively, which increases complications (segments 1 and 2).</w:t>
            </w:r>
            <w:r w:rsidRPr="00CB2EC4">
              <w:rPr>
                <w:rFonts w:ascii="Times New Roman" w:hAnsi="Times New Roman" w:cs="Times New Roman"/>
              </w:rPr>
              <w:br/>
              <w:t>- key details: CCRT includes weekly cisplatin chemotherapy (40 mg/m²), EBRT dose of 45–50 Gy, and ICRT dose to achieve a total equivalent dose of 80–90 Gy (segments 2 and 5).</w:t>
            </w:r>
          </w:p>
        </w:tc>
        <w:tc>
          <w:tcPr>
            <w:tcW w:w="1152" w:type="dxa"/>
            <w:vAlign w:val="center"/>
          </w:tcPr>
          <w:p w14:paraId="5B3D2B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B227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AAB1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3E5063" w14:textId="77777777">
        <w:tc>
          <w:tcPr>
            <w:tcW w:w="2160" w:type="dxa"/>
            <w:vAlign w:val="center"/>
          </w:tcPr>
          <w:p w14:paraId="3DAAB8C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97F5F91" w14:textId="77777777" w:rsidR="00922249" w:rsidRPr="00CB2EC4" w:rsidRDefault="003011D5">
            <w:pPr>
              <w:rPr>
                <w:rFonts w:ascii="Times New Roman" w:hAnsi="Times New Roman" w:cs="Times New Roman"/>
              </w:rPr>
            </w:pPr>
            <w:r w:rsidRPr="00CB2EC4">
              <w:rPr>
                <w:rFonts w:ascii="Times New Roman" w:hAnsi="Times New Roman" w:cs="Times New Roman"/>
              </w:rPr>
              <w:t>for FIGO stage IB3 cervical cancer (defined as tumor diameter &gt;4 cm), the recommended primary treatment is concurrent chemoradiation. this includes external beam radiotherapy (EBRT) combined with cisplatin-based chemotherapy. radical surgery is not recommended as the primary option due to high surgical risk and inferior efficacy compared to chemoradiation for large tumors.</w:t>
            </w:r>
          </w:p>
        </w:tc>
        <w:tc>
          <w:tcPr>
            <w:tcW w:w="1152" w:type="dxa"/>
            <w:vAlign w:val="center"/>
          </w:tcPr>
          <w:p w14:paraId="06821D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8A48A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727D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C12410" w14:textId="77777777">
        <w:tc>
          <w:tcPr>
            <w:tcW w:w="10656" w:type="dxa"/>
            <w:gridSpan w:val="5"/>
            <w:tcBorders>
              <w:bottom w:val="single" w:sz="6" w:space="0" w:color="auto"/>
            </w:tcBorders>
            <w:vAlign w:val="center"/>
          </w:tcPr>
          <w:p w14:paraId="4B9EB636" w14:textId="77777777" w:rsidR="00922249" w:rsidRPr="00CB2EC4" w:rsidRDefault="003011D5">
            <w:pPr>
              <w:rPr>
                <w:rFonts w:ascii="Times New Roman" w:hAnsi="Times New Roman" w:cs="Times New Roman"/>
              </w:rPr>
            </w:pPr>
            <w:r w:rsidRPr="00CB2EC4">
              <w:rPr>
                <w:rFonts w:ascii="Times New Roman" w:hAnsi="Times New Roman" w:cs="Times New Roman"/>
                <w:b/>
              </w:rPr>
              <w:lastRenderedPageBreak/>
              <w:t>Question 72: what is the difference between the different types of radical hysterectomy? For which patients is it indicated?</w:t>
            </w:r>
          </w:p>
        </w:tc>
      </w:tr>
      <w:tr w:rsidR="00922249" w:rsidRPr="00CB2EC4" w14:paraId="56966F30" w14:textId="77777777">
        <w:tc>
          <w:tcPr>
            <w:tcW w:w="2160" w:type="dxa"/>
            <w:vAlign w:val="center"/>
          </w:tcPr>
          <w:p w14:paraId="6691499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EC1D0AB"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types of radical hysterectomy and their applicable patients are as follows:</w:t>
            </w:r>
            <w:r w:rsidRPr="00CB2EC4">
              <w:rPr>
                <w:rFonts w:ascii="Times New Roman" w:hAnsi="Times New Roman" w:cs="Times New Roman"/>
              </w:rPr>
              <w:br/>
            </w:r>
            <w:r w:rsidRPr="00CB2EC4">
              <w:rPr>
                <w:rFonts w:ascii="Times New Roman" w:hAnsi="Times New Roman" w:cs="Times New Roman"/>
              </w:rPr>
              <w:br/>
              <w:t>- **Differences (key points of surgical extent):**</w:t>
            </w:r>
            <w:r w:rsidRPr="00CB2EC4">
              <w:rPr>
                <w:rFonts w:ascii="Times New Roman" w:hAnsi="Times New Roman" w:cs="Times New Roman"/>
              </w:rPr>
              <w:br/>
              <w:t xml:space="preserve">  - **Type A (corresponds to Piver-Rutledge Type I):** Extrafascial hysterectomy. Ureters are not involved; main ligaments and uterosacral ligaments are cut at the cervical margin; no vaginal resection is performed. Applicable to low-risk cases.</w:t>
            </w:r>
            <w:r w:rsidRPr="00CB2EC4">
              <w:rPr>
                <w:rFonts w:ascii="Times New Roman" w:hAnsi="Times New Roman" w:cs="Times New Roman"/>
              </w:rPr>
              <w:br/>
              <w:t xml:space="preserve">  - **Type B (corresponds to Piver-Rutledge Type II or Q-M Type B):** Modified radical hysterectomy. The ureteral tunnel is dissected; 1–2 cm of the vagina is resected; main ligaments are cut at the ureteral level; uterosacral ligaments are partially resected. The extent is intermediate between Type A and Type C.</w:t>
            </w:r>
            <w:r w:rsidRPr="00CB2EC4">
              <w:rPr>
                <w:rFonts w:ascii="Times New Roman" w:hAnsi="Times New Roman" w:cs="Times New Roman"/>
              </w:rPr>
              <w:br/>
              <w:t xml:space="preserve">  - **Type C (corresponds to Piver-Rutledge Type III or Q-M Type C):** Radical hysterectomy. Main ligaments are cut along the pelvic sidewall; uterosacral ligaments are cut near the sacral end; the upper 1/4 to 1/3 of the vagina is resected; the ureteral tunnel is dissected. This represents the maximum extent, involving wide resection of parametrial tissue.</w:t>
            </w:r>
            <w:r w:rsidRPr="00CB2EC4">
              <w:rPr>
                <w:rFonts w:ascii="Times New Roman" w:hAnsi="Times New Roman" w:cs="Times New Roman"/>
              </w:rPr>
              <w:br/>
            </w:r>
            <w:r w:rsidRPr="00CB2EC4">
              <w:rPr>
                <w:rFonts w:ascii="Times New Roman" w:hAnsi="Times New Roman" w:cs="Times New Roman"/>
              </w:rPr>
              <w:br/>
              <w:t>- **Applicable patients (based on stage and risk factors):**</w:t>
            </w:r>
            <w:r w:rsidRPr="00CB2EC4">
              <w:rPr>
                <w:rFonts w:ascii="Times New Roman" w:hAnsi="Times New Roman" w:cs="Times New Roman"/>
              </w:rPr>
              <w:br/>
              <w:t xml:space="preserve">  - **Type A:** Suitable for stage IA1 cervical cancer (without lymphovascular space invasion/LVSI negative), especially in elderly patients or those not requiring fertility preservation (see Table 2 and Section 4.1.1.1).</w:t>
            </w:r>
            <w:r w:rsidRPr="00CB2EC4">
              <w:rPr>
                <w:rFonts w:ascii="Times New Roman" w:hAnsi="Times New Roman" w:cs="Times New Roman"/>
              </w:rPr>
              <w:br/>
              <w:t xml:space="preserve">  - **Type B:** Suitable for stage IA1 with LVSI positive or stage IA2 patients (low-risk cases), or as an alternative option for low-risk IB1 stage patients </w:t>
            </w:r>
            <w:r w:rsidRPr="00CB2EC4">
              <w:rPr>
                <w:rFonts w:ascii="Times New Roman" w:hAnsi="Times New Roman" w:cs="Times New Roman"/>
              </w:rPr>
              <w:lastRenderedPageBreak/>
              <w:t>(tumor &lt;2 cm, stromal invasion &lt;50%, no lymph node metastasis) (see Sections 4.1.1.2 and 4.1.2.1).</w:t>
            </w:r>
            <w:r w:rsidRPr="00CB2EC4">
              <w:rPr>
                <w:rFonts w:ascii="Times New Roman" w:hAnsi="Times New Roman" w:cs="Times New Roman"/>
              </w:rPr>
              <w:br/>
              <w:t xml:space="preserve">  - **Type C:** Suitable for IB1, IB2, and selected IIA stage patients (standard treatment), or for IB3/IIA2 stage patients under specific circumstances (e.g., when radiotherapy is unavailable) (see Sections 4.1.2.1 and 4.1.2.2).</w:t>
            </w:r>
            <w:r w:rsidRPr="00CB2EC4">
              <w:rPr>
                <w:rFonts w:ascii="Times New Roman" w:hAnsi="Times New Roman" w:cs="Times New Roman"/>
              </w:rPr>
              <w:br/>
            </w:r>
            <w:r w:rsidRPr="00CB2EC4">
              <w:rPr>
                <w:rFonts w:ascii="Times New Roman" w:hAnsi="Times New Roman" w:cs="Times New Roman"/>
              </w:rPr>
              <w:br/>
              <w:t>Surgical approaches may include abdominal, laparoscopic, or robotic methods; however, minimally invasive surgery (laparoscopic/robotic) is associated with higher recurrence rates in early-stage cervical cancer (LACC trial), and abdominal approach is recommended as the first choice (see annotation).</w:t>
            </w:r>
          </w:p>
        </w:tc>
        <w:tc>
          <w:tcPr>
            <w:tcW w:w="1152" w:type="dxa"/>
            <w:vAlign w:val="center"/>
          </w:tcPr>
          <w:p w14:paraId="1C6F18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D115A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D3EF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213515" w14:textId="77777777">
        <w:tc>
          <w:tcPr>
            <w:tcW w:w="2160" w:type="dxa"/>
            <w:vAlign w:val="center"/>
          </w:tcPr>
          <w:p w14:paraId="64345EC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825BA8F"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types of radical hysterectomy and their indications are as follows, based on the Q-M or Piver-Rutledge classification:</w:t>
            </w:r>
            <w:r w:rsidRPr="00CB2EC4">
              <w:rPr>
                <w:rFonts w:ascii="Times New Roman" w:hAnsi="Times New Roman" w:cs="Times New Roman"/>
              </w:rPr>
              <w:br/>
            </w:r>
            <w:r w:rsidRPr="00CB2EC4">
              <w:rPr>
                <w:rFonts w:ascii="Times New Roman" w:hAnsi="Times New Roman" w:cs="Times New Roman"/>
              </w:rPr>
              <w:br/>
              <w:t xml:space="preserve">- **Type A (corresponding to Piver-Rutledge Type I or Q-M Type A):**  </w:t>
            </w:r>
            <w:r w:rsidRPr="00CB2EC4">
              <w:rPr>
                <w:rFonts w:ascii="Times New Roman" w:hAnsi="Times New Roman" w:cs="Times New Roman"/>
              </w:rPr>
              <w:br/>
              <w:t xml:space="preserve">  - *Difference:* Minimal resection range; involves removal of the uterus and cervix only, without ureteral dissection; cardinal ligaments and uterosacral ligaments are transected at the margins.  </w:t>
            </w:r>
            <w:r w:rsidRPr="00CB2EC4">
              <w:rPr>
                <w:rFonts w:ascii="Times New Roman" w:hAnsi="Times New Roman" w:cs="Times New Roman"/>
              </w:rPr>
              <w:br/>
              <w:t xml:space="preserve">  - *Applicable patients:* FIGO IA1 cervical cancer (without lymphovascular space invasion [LVSI−]).</w:t>
            </w:r>
            <w:r w:rsidRPr="00CB2EC4">
              <w:rPr>
                <w:rFonts w:ascii="Times New Roman" w:hAnsi="Times New Roman" w:cs="Times New Roman"/>
              </w:rPr>
              <w:br/>
            </w:r>
            <w:r w:rsidRPr="00CB2EC4">
              <w:rPr>
                <w:rFonts w:ascii="Times New Roman" w:hAnsi="Times New Roman" w:cs="Times New Roman"/>
              </w:rPr>
              <w:br/>
              <w:t xml:space="preserve">- **Type B (corresponding to Piver-Rutledge Type II or Q-M Type B):**  </w:t>
            </w:r>
            <w:r w:rsidRPr="00CB2EC4">
              <w:rPr>
                <w:rFonts w:ascii="Times New Roman" w:hAnsi="Times New Roman" w:cs="Times New Roman"/>
              </w:rPr>
              <w:br/>
              <w:t xml:space="preserve">  - *Difference:* Moderate resection range; includes upper 1–2 cm of the vagina, dissection of the ureteral tunnel, and partial resection of the cardinal ligaments and uterosacral ligaments.  </w:t>
            </w:r>
            <w:r w:rsidRPr="00CB2EC4">
              <w:rPr>
                <w:rFonts w:ascii="Times New Roman" w:hAnsi="Times New Roman" w:cs="Times New Roman"/>
              </w:rPr>
              <w:br/>
              <w:t xml:space="preserve">  - *Applicable patients:* FIGO IA1 cervical cancer </w:t>
            </w:r>
            <w:r w:rsidRPr="00CB2EC4">
              <w:rPr>
                <w:rFonts w:ascii="Times New Roman" w:hAnsi="Times New Roman" w:cs="Times New Roman"/>
              </w:rPr>
              <w:lastRenderedPageBreak/>
              <w:t>with lymphovascular space invasion (LVSI+) or IA2 cervical cancer.</w:t>
            </w:r>
            <w:r w:rsidRPr="00CB2EC4">
              <w:rPr>
                <w:rFonts w:ascii="Times New Roman" w:hAnsi="Times New Roman" w:cs="Times New Roman"/>
              </w:rPr>
              <w:br/>
            </w:r>
            <w:r w:rsidRPr="00CB2EC4">
              <w:rPr>
                <w:rFonts w:ascii="Times New Roman" w:hAnsi="Times New Roman" w:cs="Times New Roman"/>
              </w:rPr>
              <w:br/>
              <w:t xml:space="preserve">- **Type C (corresponding to Piver-Rutledge Type III or Q-M Type C):**  </w:t>
            </w:r>
            <w:r w:rsidRPr="00CB2EC4">
              <w:rPr>
                <w:rFonts w:ascii="Times New Roman" w:hAnsi="Times New Roman" w:cs="Times New Roman"/>
              </w:rPr>
              <w:br/>
              <w:t xml:space="preserve">  - *Difference:* Maximal resection range; includes upper 1/4 to 1/3 of the vagina, transection of cardinal ligaments at the pelvic sidewall, transection of uterosacral ligaments near the sacral origin, and ureteral tunnel dissection.  </w:t>
            </w:r>
            <w:r w:rsidRPr="00CB2EC4">
              <w:rPr>
                <w:rFonts w:ascii="Times New Roman" w:hAnsi="Times New Roman" w:cs="Times New Roman"/>
              </w:rPr>
              <w:br/>
              <w:t xml:space="preserve">  - *Applicable patients:* FIGO IB1, IB2, and selected IIA cervical cancer (larger tumors or high-risk features).</w:t>
            </w:r>
            <w:r w:rsidRPr="00CB2EC4">
              <w:rPr>
                <w:rFonts w:ascii="Times New Roman" w:hAnsi="Times New Roman" w:cs="Times New Roman"/>
              </w:rPr>
              <w:br/>
            </w:r>
            <w:r w:rsidRPr="00CB2EC4">
              <w:rPr>
                <w:rFonts w:ascii="Times New Roman" w:hAnsi="Times New Roman" w:cs="Times New Roman"/>
              </w:rPr>
              <w:br/>
              <w:t xml:space="preserve">**Summary:**  </w:t>
            </w:r>
            <w:r w:rsidRPr="00CB2EC4">
              <w:rPr>
                <w:rFonts w:ascii="Times New Roman" w:hAnsi="Times New Roman" w:cs="Times New Roman"/>
              </w:rPr>
              <w:br/>
              <w:t xml:space="preserve">- Type A is indicated for the earliest, low-risk patients.  </w:t>
            </w:r>
            <w:r w:rsidRPr="00CB2EC4">
              <w:rPr>
                <w:rFonts w:ascii="Times New Roman" w:hAnsi="Times New Roman" w:cs="Times New Roman"/>
              </w:rPr>
              <w:br/>
              <w:t xml:space="preserve">- Type B is for intermediate-risk patients.  </w:t>
            </w:r>
            <w:r w:rsidRPr="00CB2EC4">
              <w:rPr>
                <w:rFonts w:ascii="Times New Roman" w:hAnsi="Times New Roman" w:cs="Times New Roman"/>
              </w:rPr>
              <w:br/>
              <w:t xml:space="preserve">- Type C is for high-risk or locally advanced early-stage patients.  </w:t>
            </w:r>
            <w:r w:rsidRPr="00CB2EC4">
              <w:rPr>
                <w:rFonts w:ascii="Times New Roman" w:hAnsi="Times New Roman" w:cs="Times New Roman"/>
              </w:rPr>
              <w:br/>
              <w:t>Surgical approach may be abdominal, laparoscopic, or robotic.</w:t>
            </w:r>
          </w:p>
        </w:tc>
        <w:tc>
          <w:tcPr>
            <w:tcW w:w="1152" w:type="dxa"/>
            <w:vAlign w:val="center"/>
          </w:tcPr>
          <w:p w14:paraId="6A72E2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475BC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C9BB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CE09208" w14:textId="77777777">
        <w:tc>
          <w:tcPr>
            <w:tcW w:w="2160" w:type="dxa"/>
            <w:vAlign w:val="center"/>
          </w:tcPr>
          <w:p w14:paraId="6DFE2E42"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B418CB1"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types of radical hysterectomy and their applicable patients are as follows:</w:t>
            </w:r>
            <w:r w:rsidRPr="00CB2EC4">
              <w:rPr>
                <w:rFonts w:ascii="Times New Roman" w:hAnsi="Times New Roman" w:cs="Times New Roman"/>
              </w:rPr>
              <w:br/>
            </w:r>
            <w:r w:rsidRPr="00CB2EC4">
              <w:rPr>
                <w:rFonts w:ascii="Times New Roman" w:hAnsi="Times New Roman" w:cs="Times New Roman"/>
              </w:rPr>
              <w:br/>
              <w:t xml:space="preserve">- **Type I (Extrafascial hysterectomy):**  </w:t>
            </w:r>
            <w:r w:rsidRPr="00CB2EC4">
              <w:rPr>
                <w:rFonts w:ascii="Times New Roman" w:hAnsi="Times New Roman" w:cs="Times New Roman"/>
              </w:rPr>
              <w:br/>
              <w:t xml:space="preserve">  - **Difference:** Performed outside the cervical fascia, exposing but not dissecting the ureteral bed; resects 1–2 cm of the vagina. Has the smallest surgical scope and does not involve ureteral dissection (Document fragments 5 and 6).  </w:t>
            </w:r>
            <w:r w:rsidRPr="00CB2EC4">
              <w:rPr>
                <w:rFonts w:ascii="Times New Roman" w:hAnsi="Times New Roman" w:cs="Times New Roman"/>
              </w:rPr>
              <w:br/>
              <w:t xml:space="preserve">  - **Applicable patients:** Suitable for stage IA1 cervical cancer (Document fragment 6), patients with small, low-risk tumors.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**Type II (Modified radical hysterectomy or subtotal radical hysterectomy):**  </w:t>
            </w:r>
            <w:r w:rsidRPr="00CB2EC4">
              <w:rPr>
                <w:rFonts w:ascii="Times New Roman" w:hAnsi="Times New Roman" w:cs="Times New Roman"/>
              </w:rPr>
              <w:br/>
              <w:t xml:space="preserve">  - **Difference:** Broader scope than Type I; resects part of the parametrial tissue but preserves part of the cervical fascia and muscular tissue. Shorter operative time, less blood loss, and lower complication rates (Document fragments 13 and 14). Described as "subtotal radical hysterectomy" in Document fragment 13, combined with pelvic lymphadenectomy.  </w:t>
            </w:r>
            <w:r w:rsidRPr="00CB2EC4">
              <w:rPr>
                <w:rFonts w:ascii="Times New Roman" w:hAnsi="Times New Roman" w:cs="Times New Roman"/>
              </w:rPr>
              <w:br/>
              <w:t xml:space="preserve">  - **Applicable patients:** Suitable for squamous cell carcinoma of the cervix, grades I and II, with tumor diameter ≤2 cm and no vascular space infiltration (Document fragment 13). Also applicable to stage IB and IIA patients (Document fragment 14); 5-year survival rate shows no significant difference compared to Type III, but with fewer complications.  </w:t>
            </w:r>
            <w:r w:rsidRPr="00CB2EC4">
              <w:rPr>
                <w:rFonts w:ascii="Times New Roman" w:hAnsi="Times New Roman" w:cs="Times New Roman"/>
              </w:rPr>
              <w:br/>
            </w:r>
            <w:r w:rsidRPr="00CB2EC4">
              <w:rPr>
                <w:rFonts w:ascii="Times New Roman" w:hAnsi="Times New Roman" w:cs="Times New Roman"/>
              </w:rPr>
              <w:br/>
              <w:t xml:space="preserve">- **Type III (Standard radical hysterectomy or radical hysterectomy):**  </w:t>
            </w:r>
            <w:r w:rsidRPr="00CB2EC4">
              <w:rPr>
                <w:rFonts w:ascii="Times New Roman" w:hAnsi="Times New Roman" w:cs="Times New Roman"/>
              </w:rPr>
              <w:br/>
              <w:t xml:space="preserve">  - **Difference:** Broadest scope, including resection of the ureteral bed, cardinal ligaments near the pelvic wall, uterosacral ligaments, and 1/2 of the vagina. Routine pelvic lymphadenectomy is performed (Document fragment 21). Longer operative time and higher complication rates (e.g., urologic complications).  </w:t>
            </w:r>
            <w:r w:rsidRPr="00CB2EC4">
              <w:rPr>
                <w:rFonts w:ascii="Times New Roman" w:hAnsi="Times New Roman" w:cs="Times New Roman"/>
              </w:rPr>
              <w:br/>
              <w:t xml:space="preserve">  - **Applicable patients:** Suitable for stage IB and above, patients with larger tumors or high-risk factors (Document fragment 21). However, Document fragment 14 recommends Type II for stage IB patients with tumor diameter ≤2 cm to reduce complications.  </w:t>
            </w:r>
            <w:r w:rsidRPr="00CB2EC4">
              <w:rPr>
                <w:rFonts w:ascii="Times New Roman" w:hAnsi="Times New Roman" w:cs="Times New Roman"/>
              </w:rPr>
              <w:br/>
            </w:r>
            <w:r w:rsidRPr="00CB2EC4">
              <w:rPr>
                <w:rFonts w:ascii="Times New Roman" w:hAnsi="Times New Roman" w:cs="Times New Roman"/>
              </w:rPr>
              <w:br/>
              <w:t xml:space="preserve">- **Radical trachelectomy (fertility-sparing):**  </w:t>
            </w:r>
            <w:r w:rsidRPr="00CB2EC4">
              <w:rPr>
                <w:rFonts w:ascii="Times New Roman" w:hAnsi="Times New Roman" w:cs="Times New Roman"/>
              </w:rPr>
              <w:br/>
              <w:t xml:space="preserve">  - **Difference:** Only the cervix and parametrial </w:t>
            </w:r>
            <w:r w:rsidRPr="00CB2EC4">
              <w:rPr>
                <w:rFonts w:ascii="Times New Roman" w:hAnsi="Times New Roman" w:cs="Times New Roman"/>
              </w:rPr>
              <w:lastRenderedPageBreak/>
              <w:t xml:space="preserve">tissue are resected; the uterine corpus and adnexa are preserved. Designed for patients desiring fertility preservation. Surgical scope is similar to Type II or III but retains the uterus (Document fragments 23 and 36).  </w:t>
            </w:r>
            <w:r w:rsidRPr="00CB2EC4">
              <w:rPr>
                <w:rFonts w:ascii="Times New Roman" w:hAnsi="Times New Roman" w:cs="Times New Roman"/>
              </w:rPr>
              <w:br/>
              <w:t xml:space="preserve">  - **Applicable patients:** Suitable for stage IA2 and IB1 patients, with tumor diameter &lt;2 cm, no vascular space infiltration, no lymph node metastasis, age &lt;40 years, and fertility desire (Document fragments 23 and 36).  </w:t>
            </w:r>
            <w:r w:rsidRPr="00CB2EC4">
              <w:rPr>
                <w:rFonts w:ascii="Times New Roman" w:hAnsi="Times New Roman" w:cs="Times New Roman"/>
              </w:rPr>
              <w:br/>
            </w:r>
            <w:r w:rsidRPr="00CB2EC4">
              <w:rPr>
                <w:rFonts w:ascii="Times New Roman" w:hAnsi="Times New Roman" w:cs="Times New Roman"/>
              </w:rPr>
              <w:br/>
              <w:t>**Summary of differences:** Type I has the narrowest scope, for very early-stage patients; Type II has intermediate scope, for early-stage patients with small tumors to minimize complications; Type III has the widest scope, for intermediate-to-advanced stage patients; radical trachelectomy is specifically designed for fertility preservation. Patient selection depends on tumor size, stage, grade, and fertility requirements.</w:t>
            </w:r>
          </w:p>
        </w:tc>
        <w:tc>
          <w:tcPr>
            <w:tcW w:w="1152" w:type="dxa"/>
            <w:vAlign w:val="center"/>
          </w:tcPr>
          <w:p w14:paraId="2CBF3F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FFCFC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7133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9A2051" w14:textId="77777777">
        <w:tc>
          <w:tcPr>
            <w:tcW w:w="2160" w:type="dxa"/>
            <w:vAlign w:val="center"/>
          </w:tcPr>
          <w:p w14:paraId="4E4F45C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52359DEB" w14:textId="77777777" w:rsidR="00922249" w:rsidRPr="00CB2EC4" w:rsidRDefault="003011D5">
            <w:pPr>
              <w:rPr>
                <w:rFonts w:ascii="Times New Roman" w:hAnsi="Times New Roman" w:cs="Times New Roman"/>
              </w:rPr>
            </w:pPr>
            <w:r w:rsidRPr="00CB2EC4">
              <w:rPr>
                <w:rFonts w:ascii="Times New Roman" w:hAnsi="Times New Roman" w:cs="Times New Roman"/>
              </w:rPr>
              <w:t>differences between types of radical hysterectomy and applicable patients</w:t>
            </w:r>
            <w:r w:rsidRPr="00CB2EC4">
              <w:rPr>
                <w:rFonts w:ascii="Times New Roman" w:hAnsi="Times New Roman" w:cs="Times New Roman"/>
              </w:rPr>
              <w:br/>
            </w:r>
            <w:r w:rsidRPr="00CB2EC4">
              <w:rPr>
                <w:rFonts w:ascii="Times New Roman" w:hAnsi="Times New Roman" w:cs="Times New Roman"/>
              </w:rPr>
              <w:br/>
              <w:t xml:space="preserve">Comprehensive answer:  </w:t>
            </w:r>
            <w:r w:rsidRPr="00CB2EC4">
              <w:rPr>
                <w:rFonts w:ascii="Times New Roman" w:hAnsi="Times New Roman" w:cs="Times New Roman"/>
              </w:rPr>
              <w:br/>
              <w:t xml:space="preserve">Surgical classification standard (Q-M classification):  </w:t>
            </w:r>
            <w:r w:rsidRPr="00CB2EC4">
              <w:rPr>
                <w:rFonts w:ascii="Times New Roman" w:hAnsi="Times New Roman" w:cs="Times New Roman"/>
              </w:rPr>
              <w:br/>
              <w:t>| Type | Key differences                          | Indications                     |</w:t>
            </w:r>
            <w:r w:rsidRPr="00CB2EC4">
              <w:rPr>
                <w:rFonts w:ascii="Times New Roman" w:hAnsi="Times New Roman" w:cs="Times New Roman"/>
              </w:rPr>
              <w:br/>
              <w:t>|------|------------------------------------------|---------------------------------|</w:t>
            </w:r>
            <w:r w:rsidRPr="00CB2EC4">
              <w:rPr>
                <w:rFonts w:ascii="Times New Roman" w:hAnsi="Times New Roman" w:cs="Times New Roman"/>
              </w:rPr>
              <w:br/>
              <w:t>| A    | Minimal parametrial resection (~5mm), no ureteral dissection | IA1 stage (LVSI negative)       |</w:t>
            </w:r>
            <w:r w:rsidRPr="00CB2EC4">
              <w:rPr>
                <w:rFonts w:ascii="Times New Roman" w:hAnsi="Times New Roman" w:cs="Times New Roman"/>
              </w:rPr>
              <w:br/>
              <w:t>| B    | Partial parametrial resection, ureteral tunnel opened      | IA1 stage (LVSI positive), IA2 stage |</w:t>
            </w:r>
            <w:r w:rsidRPr="00CB2EC4">
              <w:rPr>
                <w:rFonts w:ascii="Times New Roman" w:hAnsi="Times New Roman" w:cs="Times New Roman"/>
              </w:rPr>
              <w:br/>
              <w:t>| C    | Complete parametrial resection (close to pelvic wall), ureteral dissection | IB1-IB2 stages, part of IB3-</w:t>
            </w:r>
            <w:r w:rsidRPr="00CB2EC4">
              <w:rPr>
                <w:rFonts w:ascii="Times New Roman" w:hAnsi="Times New Roman" w:cs="Times New Roman"/>
              </w:rPr>
              <w:lastRenderedPageBreak/>
              <w:t>IIA2 stages |</w:t>
            </w:r>
            <w:r w:rsidRPr="00CB2EC4">
              <w:rPr>
                <w:rFonts w:ascii="Times New Roman" w:hAnsi="Times New Roman" w:cs="Times New Roman"/>
              </w:rPr>
              <w:br/>
              <w:t>| D    | Extra-wide resection (including pelvic wall tissue)        | Recurrent cancer (e.g., pelvic exenteration) |</w:t>
            </w:r>
            <w:r w:rsidRPr="00CB2EC4">
              <w:rPr>
                <w:rFonts w:ascii="Times New Roman" w:hAnsi="Times New Roman" w:cs="Times New Roman"/>
              </w:rPr>
              <w:br/>
            </w:r>
            <w:r w:rsidRPr="00CB2EC4">
              <w:rPr>
                <w:rFonts w:ascii="Times New Roman" w:hAnsi="Times New Roman" w:cs="Times New Roman"/>
              </w:rPr>
              <w:br/>
              <w:t xml:space="preserve">Evidence:  </w:t>
            </w:r>
            <w:r w:rsidRPr="00CB2EC4">
              <w:rPr>
                <w:rFonts w:ascii="Times New Roman" w:hAnsi="Times New Roman" w:cs="Times New Roman"/>
              </w:rPr>
              <w:br/>
              <w:t xml:space="preserve">- Knowledge base documents (Table 2, 4.1.2, 7.1):  </w:t>
            </w:r>
            <w:r w:rsidRPr="00CB2EC4">
              <w:rPr>
                <w:rFonts w:ascii="Times New Roman" w:hAnsi="Times New Roman" w:cs="Times New Roman"/>
              </w:rPr>
              <w:br/>
              <w:t xml:space="preserve">  - C type requires resection of cardinal ligament to pelvic wall, uterosacral ligament to sacrum, vaginal resection ≥2cm (first choice for IB1-IB2 stages).  </w:t>
            </w:r>
            <w:r w:rsidRPr="00CB2EC4">
              <w:rPr>
                <w:rFonts w:ascii="Times New Roman" w:hAnsi="Times New Roman" w:cs="Times New Roman"/>
              </w:rPr>
              <w:br/>
              <w:t xml:space="preserve">  - C1 type preserves nerves (NSRH), C2 type does not preserve nerves (for cases with difficult anatomy).  </w:t>
            </w:r>
            <w:r w:rsidRPr="00CB2EC4">
              <w:rPr>
                <w:rFonts w:ascii="Times New Roman" w:hAnsi="Times New Roman" w:cs="Times New Roman"/>
              </w:rPr>
              <w:br/>
              <w:t xml:space="preserve">- Web search (2024 Cervical Cancer Surgical Technique Guidelines):  </w:t>
            </w:r>
            <w:r w:rsidRPr="00CB2EC4">
              <w:rPr>
                <w:rFonts w:ascii="Times New Roman" w:hAnsi="Times New Roman" w:cs="Times New Roman"/>
              </w:rPr>
              <w:br/>
              <w:t xml:space="preserve">  - B type is suitable for IA stage, C type for IB stage and above; D type is only for recurrence.</w:t>
            </w:r>
          </w:p>
        </w:tc>
        <w:tc>
          <w:tcPr>
            <w:tcW w:w="1152" w:type="dxa"/>
            <w:vAlign w:val="center"/>
          </w:tcPr>
          <w:p w14:paraId="6DF80F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660E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495D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C6DB21" w14:textId="77777777">
        <w:tc>
          <w:tcPr>
            <w:tcW w:w="2160" w:type="dxa"/>
            <w:vAlign w:val="center"/>
          </w:tcPr>
          <w:p w14:paraId="3ED67EB2"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5C74024"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types of radical hysterectomy and their applicable patient groups are as follows (based on Q-M or Piver-Rutledge classification):</w:t>
            </w:r>
            <w:r w:rsidRPr="00CB2EC4">
              <w:rPr>
                <w:rFonts w:ascii="Times New Roman" w:hAnsi="Times New Roman" w:cs="Times New Roman"/>
              </w:rPr>
              <w:br/>
            </w:r>
            <w:r w:rsidRPr="00CB2EC4">
              <w:rPr>
                <w:rFonts w:ascii="Times New Roman" w:hAnsi="Times New Roman" w:cs="Times New Roman"/>
              </w:rPr>
              <w:br/>
              <w:t xml:space="preserve">- **Type A (Extrafascial hysterectomy):**  </w:t>
            </w:r>
            <w:r w:rsidRPr="00CB2EC4">
              <w:rPr>
                <w:rFonts w:ascii="Times New Roman" w:hAnsi="Times New Roman" w:cs="Times New Roman"/>
              </w:rPr>
              <w:br/>
              <w:t xml:space="preserve">  - *Difference:* Minimal resection range; only uterus and cervix are removed, without extensive resection of ureters, cardinal ligaments, or uterosacral ligaments; no vaginal margin resection; bladder is dissected downward to the bladder base, rectum not involved. Surgical approach can be abdominal, laparoscopic, or robotic.  </w:t>
            </w:r>
            <w:r w:rsidRPr="00CB2EC4">
              <w:rPr>
                <w:rFonts w:ascii="Times New Roman" w:hAnsi="Times New Roman" w:cs="Times New Roman"/>
              </w:rPr>
              <w:br/>
              <w:t xml:space="preserve">  - *Applicable patients:* FIGO IA1 cervical cancer (without lymphovascular space invasion [LVSI(+)]), especially for low-risk patients, those requiring fertility preservation, or elderly patients (document fragments 2, 20, 22).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**Type B (Modified radical hysterectomy):**  </w:t>
            </w:r>
            <w:r w:rsidRPr="00CB2EC4">
              <w:rPr>
                <w:rFonts w:ascii="Times New Roman" w:hAnsi="Times New Roman" w:cs="Times New Roman"/>
              </w:rPr>
              <w:br/>
              <w:t xml:space="preserve">  - *Difference:* Intermediate resection range; complete removal of uterus and cervix, vaginal margin resection of 1–2 cm; ureteral tunnel dissection, cardinal ligaments transected at ureteral level, partial resection of uterosacral ligaments; bladder dissected downward to the upper vagina, rectum dissected downward to below the cervix. Surgical approach same as Type A.  </w:t>
            </w:r>
            <w:r w:rsidRPr="00CB2EC4">
              <w:rPr>
                <w:rFonts w:ascii="Times New Roman" w:hAnsi="Times New Roman" w:cs="Times New Roman"/>
              </w:rPr>
              <w:br/>
              <w:t xml:space="preserve">  - *Applicable patients:* IA1 stage with LVSI(+) or IA2 stage cervical cancer; also suitable for low-risk IB1 stage patients (tumor diameter &lt;2 cm, stromal invasion &lt;50%, no lymph node metastasis) (document fragments 2, 20, 22).  </w:t>
            </w:r>
            <w:r w:rsidRPr="00CB2EC4">
              <w:rPr>
                <w:rFonts w:ascii="Times New Roman" w:hAnsi="Times New Roman" w:cs="Times New Roman"/>
              </w:rPr>
              <w:br/>
            </w:r>
            <w:r w:rsidRPr="00CB2EC4">
              <w:rPr>
                <w:rFonts w:ascii="Times New Roman" w:hAnsi="Times New Roman" w:cs="Times New Roman"/>
              </w:rPr>
              <w:br/>
              <w:t xml:space="preserve">- **Type C (Radical hysterectomy):**  </w:t>
            </w:r>
            <w:r w:rsidRPr="00CB2EC4">
              <w:rPr>
                <w:rFonts w:ascii="Times New Roman" w:hAnsi="Times New Roman" w:cs="Times New Roman"/>
              </w:rPr>
              <w:br/>
              <w:t xml:space="preserve">  - *Difference:* Maximal resection range; complete removal of uterus and cervix, vaginal margin resection of upper 1/4 to 1/3; ureteral tunnel dissection, cardinal ligaments transected adjacent to pelvic sidewall, uterosacral ligaments transected near sacral origin; bladder dissected downward to mid-vagina, rectum dissected downward to below cervix. Surgical approach same as Type A, but abdominal approach is recommended (minimally invasive surgery may increase recurrence risk, as per LACC trial in document fragment 1).  </w:t>
            </w:r>
            <w:r w:rsidRPr="00CB2EC4">
              <w:rPr>
                <w:rFonts w:ascii="Times New Roman" w:hAnsi="Times New Roman" w:cs="Times New Roman"/>
              </w:rPr>
              <w:br/>
              <w:t xml:space="preserve">  - *Applicable patients:* IB1, IB2, and selected IIA1 stage cervical cancer; especially suitable for patients with larger tumors but no distant metastasis (document fragments 1, 2, 3, 20).  </w:t>
            </w:r>
            <w:r w:rsidRPr="00CB2EC4">
              <w:rPr>
                <w:rFonts w:ascii="Times New Roman" w:hAnsi="Times New Roman" w:cs="Times New Roman"/>
              </w:rPr>
              <w:br/>
            </w:r>
            <w:r w:rsidRPr="00CB2EC4">
              <w:rPr>
                <w:rFonts w:ascii="Times New Roman" w:hAnsi="Times New Roman" w:cs="Times New Roman"/>
              </w:rPr>
              <w:br/>
              <w:t xml:space="preserve">Other distinguishing points:  </w:t>
            </w:r>
            <w:r w:rsidRPr="00CB2EC4">
              <w:rPr>
                <w:rFonts w:ascii="Times New Roman" w:hAnsi="Times New Roman" w:cs="Times New Roman"/>
              </w:rPr>
              <w:br/>
              <w:t xml:space="preserve">- Lymphadenectomy is a fundamental component of </w:t>
            </w:r>
            <w:r w:rsidRPr="00CB2EC4">
              <w:rPr>
                <w:rFonts w:ascii="Times New Roman" w:hAnsi="Times New Roman" w:cs="Times New Roman"/>
              </w:rPr>
              <w:lastRenderedPageBreak/>
              <w:t xml:space="preserve">Type C procedure, with resection range including parametrial, obturator, internal iliac, external iliac, and common iliac lymph nodes (document fragment 1).  </w:t>
            </w:r>
            <w:r w:rsidRPr="00CB2EC4">
              <w:rPr>
                <w:rFonts w:ascii="Times New Roman" w:hAnsi="Times New Roman" w:cs="Times New Roman"/>
              </w:rPr>
              <w:br/>
              <w:t xml:space="preserve">- Nerve-sparing Type C surgery can be used to reduce voiding and defecation dysfunction (document fragment 20).  </w:t>
            </w:r>
            <w:r w:rsidRPr="00CB2EC4">
              <w:rPr>
                <w:rFonts w:ascii="Times New Roman" w:hAnsi="Times New Roman" w:cs="Times New Roman"/>
              </w:rPr>
              <w:br/>
              <w:t xml:space="preserve">- Low-risk patients (e.g., small tumor, no LVSI) may be candidates for Type B instead of Type C (document fragments 3, 22).  </w:t>
            </w:r>
            <w:r w:rsidRPr="00CB2EC4">
              <w:rPr>
                <w:rFonts w:ascii="Times New Roman" w:hAnsi="Times New Roman" w:cs="Times New Roman"/>
              </w:rPr>
              <w:br/>
            </w:r>
            <w:r w:rsidRPr="00CB2EC4">
              <w:rPr>
                <w:rFonts w:ascii="Times New Roman" w:hAnsi="Times New Roman" w:cs="Times New Roman"/>
              </w:rPr>
              <w:br/>
              <w:t>In summary, the main differences lie in the extent of resection and ligament management, with patient selection based on FIGO stage, tumor size, LVSI status, and age.</w:t>
            </w:r>
          </w:p>
        </w:tc>
        <w:tc>
          <w:tcPr>
            <w:tcW w:w="1152" w:type="dxa"/>
            <w:vAlign w:val="center"/>
          </w:tcPr>
          <w:p w14:paraId="07F477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A79B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F9D0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209841" w14:textId="77777777">
        <w:tc>
          <w:tcPr>
            <w:tcW w:w="2160" w:type="dxa"/>
            <w:vAlign w:val="center"/>
          </w:tcPr>
          <w:p w14:paraId="69D164D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2117776F"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types of radical hysterectomy and their indications:</w:t>
            </w:r>
            <w:r w:rsidRPr="00CB2EC4">
              <w:rPr>
                <w:rFonts w:ascii="Times New Roman" w:hAnsi="Times New Roman" w:cs="Times New Roman"/>
              </w:rPr>
              <w:br/>
            </w:r>
            <w:r w:rsidRPr="00CB2EC4">
              <w:rPr>
                <w:rFonts w:ascii="Times New Roman" w:hAnsi="Times New Roman" w:cs="Times New Roman"/>
              </w:rPr>
              <w:br/>
              <w:t xml:space="preserve">- **Type A (Q-M classification) or Type I (Piver-Rutledge classification) – Extrafascial hysterectomy:**  </w:t>
            </w:r>
            <w:r w:rsidRPr="00CB2EC4">
              <w:rPr>
                <w:rFonts w:ascii="Times New Roman" w:hAnsi="Times New Roman" w:cs="Times New Roman"/>
              </w:rPr>
              <w:br/>
              <w:t xml:space="preserve">  - *Difference:* The most limited resection range; involves removal of the uterus and cervix only, without extensive resection of the ureter, cardinal ligament, or uterosacral ligament; no vaginal margin resection; bladder is dissected downward to the bladder base, rectum is not involved.  </w:t>
            </w:r>
            <w:r w:rsidRPr="00CB2EC4">
              <w:rPr>
                <w:rFonts w:ascii="Times New Roman" w:hAnsi="Times New Roman" w:cs="Times New Roman"/>
              </w:rPr>
              <w:br/>
              <w:t xml:space="preserve">  - *Applicable patients:* FIGO stage IA1 cervical cancer (without lymphovascular space invasion [LVSI-]).</w:t>
            </w:r>
            <w:r w:rsidRPr="00CB2EC4">
              <w:rPr>
                <w:rFonts w:ascii="Times New Roman" w:hAnsi="Times New Roman" w:cs="Times New Roman"/>
              </w:rPr>
              <w:br/>
            </w:r>
            <w:r w:rsidRPr="00CB2EC4">
              <w:rPr>
                <w:rFonts w:ascii="Times New Roman" w:hAnsi="Times New Roman" w:cs="Times New Roman"/>
              </w:rPr>
              <w:br/>
              <w:t xml:space="preserve">- **Type B (Q-M classification) or Type II (Piver-Rutledge classification) – Modified radical hysterectomy:**  </w:t>
            </w:r>
            <w:r w:rsidRPr="00CB2EC4">
              <w:rPr>
                <w:rFonts w:ascii="Times New Roman" w:hAnsi="Times New Roman" w:cs="Times New Roman"/>
              </w:rPr>
              <w:br/>
              <w:t xml:space="preserve">  - *Difference:* Intermediate resection range; </w:t>
            </w:r>
            <w:r w:rsidRPr="00CB2EC4">
              <w:rPr>
                <w:rFonts w:ascii="Times New Roman" w:hAnsi="Times New Roman" w:cs="Times New Roman"/>
              </w:rPr>
              <w:lastRenderedPageBreak/>
              <w:t xml:space="preserve">includes uterus, cervix, and upper 1–2 cm of vagina; ureteral tunnel is dissected, with partial resection of cardinal ligament and uterosacral ligament; bladder is dissected downward to the upper vagina, rectum is dissected downward to below the cervix.  </w:t>
            </w:r>
            <w:r w:rsidRPr="00CB2EC4">
              <w:rPr>
                <w:rFonts w:ascii="Times New Roman" w:hAnsi="Times New Roman" w:cs="Times New Roman"/>
              </w:rPr>
              <w:br/>
              <w:t xml:space="preserve">  - *Applicable patients:* Stage IA1 with lymphovascular space invasion (LVSI+) or stage IA2 cervical cancer.</w:t>
            </w:r>
            <w:r w:rsidRPr="00CB2EC4">
              <w:rPr>
                <w:rFonts w:ascii="Times New Roman" w:hAnsi="Times New Roman" w:cs="Times New Roman"/>
              </w:rPr>
              <w:br/>
            </w:r>
            <w:r w:rsidRPr="00CB2EC4">
              <w:rPr>
                <w:rFonts w:ascii="Times New Roman" w:hAnsi="Times New Roman" w:cs="Times New Roman"/>
              </w:rPr>
              <w:br/>
              <w:t xml:space="preserve">- **Type C (Q-M classification) or Type III (Piver-Rutledge classification) – Radical hysterectomy:**  </w:t>
            </w:r>
            <w:r w:rsidRPr="00CB2EC4">
              <w:rPr>
                <w:rFonts w:ascii="Times New Roman" w:hAnsi="Times New Roman" w:cs="Times New Roman"/>
              </w:rPr>
              <w:br/>
              <w:t xml:space="preserve">  - *Difference:* The most extensive resection range; includes uterus, cervix, and upper 1/4–1/3 of vagina; cardinal ligaments are transected at the pelvic sidewall, uterosacral ligaments at the sacral end; bladder is dissected downward to the mid-vagina, rectum to below the cervix; typically includes pelvic lymphadenectomy.  </w:t>
            </w:r>
            <w:r w:rsidRPr="00CB2EC4">
              <w:rPr>
                <w:rFonts w:ascii="Times New Roman" w:hAnsi="Times New Roman" w:cs="Times New Roman"/>
              </w:rPr>
              <w:br/>
              <w:t xml:space="preserve">  - *Applicable patients:* Stage IB1, IB2, and selected IIA cervical cancer (e.g., small tumor size, low-risk features).</w:t>
            </w:r>
            <w:r w:rsidRPr="00CB2EC4">
              <w:rPr>
                <w:rFonts w:ascii="Times New Roman" w:hAnsi="Times New Roman" w:cs="Times New Roman"/>
              </w:rPr>
              <w:br/>
            </w:r>
            <w:r w:rsidRPr="00CB2EC4">
              <w:rPr>
                <w:rFonts w:ascii="Times New Roman" w:hAnsi="Times New Roman" w:cs="Times New Roman"/>
              </w:rPr>
              <w:br/>
              <w:t>**Summary of differences:** Type A is the most conservative, indicated for early-stage, low-risk patients; Type B is intermediate, for moderate-risk patients; Type C is the most radical, for high-risk or locally advanced patients. Surgical approach may be abdominal, laparoscopic, or robotic. For young patients or those requiring ovarian function preservation, surgery may be prioritized.</w:t>
            </w:r>
          </w:p>
        </w:tc>
        <w:tc>
          <w:tcPr>
            <w:tcW w:w="1152" w:type="dxa"/>
            <w:vAlign w:val="center"/>
          </w:tcPr>
          <w:p w14:paraId="1C4DAE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B2E06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C7CD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D8AA07" w14:textId="77777777">
        <w:tc>
          <w:tcPr>
            <w:tcW w:w="2160" w:type="dxa"/>
            <w:vAlign w:val="center"/>
          </w:tcPr>
          <w:p w14:paraId="707DBE4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2FA246E"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types of radical hysterectomy and their applicable patients are as follows:</w:t>
            </w:r>
            <w:r w:rsidRPr="00CB2EC4">
              <w:rPr>
                <w:rFonts w:ascii="Times New Roman" w:hAnsi="Times New Roman" w:cs="Times New Roman"/>
              </w:rPr>
              <w:br/>
            </w:r>
            <w:r w:rsidRPr="00CB2EC4">
              <w:rPr>
                <w:rFonts w:ascii="Times New Roman" w:hAnsi="Times New Roman" w:cs="Times New Roman"/>
              </w:rPr>
              <w:br/>
              <w:t xml:space="preserve">- **Type A (Extrafascial hysterectomy)**:  </w:t>
            </w:r>
            <w:r w:rsidRPr="00CB2EC4">
              <w:rPr>
                <w:rFonts w:ascii="Times New Roman" w:hAnsi="Times New Roman" w:cs="Times New Roman"/>
              </w:rPr>
              <w:br/>
            </w:r>
            <w:r w:rsidRPr="00CB2EC4">
              <w:rPr>
                <w:rFonts w:ascii="Times New Roman" w:hAnsi="Times New Roman" w:cs="Times New Roman"/>
              </w:rPr>
              <w:lastRenderedPageBreak/>
              <w:t xml:space="preserve">  • Resection scope: Minimal; includes uterus and cervix only, without involvement of ureters or parametrial tissue.  </w:t>
            </w:r>
            <w:r w:rsidRPr="00CB2EC4">
              <w:rPr>
                <w:rFonts w:ascii="Times New Roman" w:hAnsi="Times New Roman" w:cs="Times New Roman"/>
              </w:rPr>
              <w:br/>
              <w:t xml:space="preserve">  • Indication: Suitable for patients with FIGO stage IA1 cervical cancer without lymphovascular space invasion (LVSI).  </w:t>
            </w:r>
            <w:r w:rsidRPr="00CB2EC4">
              <w:rPr>
                <w:rFonts w:ascii="Times New Roman" w:hAnsi="Times New Roman" w:cs="Times New Roman"/>
              </w:rPr>
              <w:br/>
            </w:r>
            <w:r w:rsidRPr="00CB2EC4">
              <w:rPr>
                <w:rFonts w:ascii="Times New Roman" w:hAnsi="Times New Roman" w:cs="Times New Roman"/>
              </w:rPr>
              <w:br/>
              <w:t xml:space="preserve">- **Type B (Modified radical hysterectomy)**:  </w:t>
            </w:r>
            <w:r w:rsidRPr="00CB2EC4">
              <w:rPr>
                <w:rFonts w:ascii="Times New Roman" w:hAnsi="Times New Roman" w:cs="Times New Roman"/>
              </w:rPr>
              <w:br/>
              <w:t xml:space="preserve">  • Resection scope: Includes uterus, cervix, partial parametrial tissue, and upper vagina (approximately 1–2 cm), with ureteral dissection but not extensive mobilization.  </w:t>
            </w:r>
            <w:r w:rsidRPr="00CB2EC4">
              <w:rPr>
                <w:rFonts w:ascii="Times New Roman" w:hAnsi="Times New Roman" w:cs="Times New Roman"/>
              </w:rPr>
              <w:br/>
              <w:t xml:space="preserve">  • Indication: Suitable for patients with FIGO stage IA2 or IA1 with LVSI; also used in some fertility-sparing procedures (e.g., radical trachelectomy).  </w:t>
            </w:r>
            <w:r w:rsidRPr="00CB2EC4">
              <w:rPr>
                <w:rFonts w:ascii="Times New Roman" w:hAnsi="Times New Roman" w:cs="Times New Roman"/>
              </w:rPr>
              <w:br/>
            </w:r>
            <w:r w:rsidRPr="00CB2EC4">
              <w:rPr>
                <w:rFonts w:ascii="Times New Roman" w:hAnsi="Times New Roman" w:cs="Times New Roman"/>
              </w:rPr>
              <w:br/>
              <w:t xml:space="preserve">- **Type C (Radical hysterectomy)**:  </w:t>
            </w:r>
            <w:r w:rsidRPr="00CB2EC4">
              <w:rPr>
                <w:rFonts w:ascii="Times New Roman" w:hAnsi="Times New Roman" w:cs="Times New Roman"/>
              </w:rPr>
              <w:br/>
              <w:t xml:space="preserve">  • Resection scope: Most extensive; includes uterus, cervix, parametrial tissue (cardinal ligament, uterosacral ligament), upper vagina (approximately 2–3 cm), and pelvic lymph nodes.  </w:t>
            </w:r>
            <w:r w:rsidRPr="00CB2EC4">
              <w:rPr>
                <w:rFonts w:ascii="Times New Roman" w:hAnsi="Times New Roman" w:cs="Times New Roman"/>
              </w:rPr>
              <w:br/>
              <w:t xml:space="preserve">  • Subtypes:  </w:t>
            </w:r>
            <w:r w:rsidRPr="00CB2EC4">
              <w:rPr>
                <w:rFonts w:ascii="Times New Roman" w:hAnsi="Times New Roman" w:cs="Times New Roman"/>
              </w:rPr>
              <w:br/>
              <w:t xml:space="preserve">    → C1: Nerve-sparing  </w:t>
            </w:r>
            <w:r w:rsidRPr="00CB2EC4">
              <w:rPr>
                <w:rFonts w:ascii="Times New Roman" w:hAnsi="Times New Roman" w:cs="Times New Roman"/>
              </w:rPr>
              <w:br/>
              <w:t xml:space="preserve">    → C2: Non-nerve-sparing  </w:t>
            </w:r>
            <w:r w:rsidRPr="00CB2EC4">
              <w:rPr>
                <w:rFonts w:ascii="Times New Roman" w:hAnsi="Times New Roman" w:cs="Times New Roman"/>
              </w:rPr>
              <w:br/>
              <w:t xml:space="preserve">    (Choice depends on tumor invasion extent.)  </w:t>
            </w:r>
            <w:r w:rsidRPr="00CB2EC4">
              <w:rPr>
                <w:rFonts w:ascii="Times New Roman" w:hAnsi="Times New Roman" w:cs="Times New Roman"/>
              </w:rPr>
              <w:br/>
              <w:t xml:space="preserve">  • Indication: Suitable for patients with FIGO stage IB1, IB2, or IIA1, especially those with tumor size &gt;2 cm or intermediate/high-risk factors (e.g., LVSI).  </w:t>
            </w:r>
            <w:r w:rsidRPr="00CB2EC4">
              <w:rPr>
                <w:rFonts w:ascii="Times New Roman" w:hAnsi="Times New Roman" w:cs="Times New Roman"/>
              </w:rPr>
              <w:br/>
              <w:t xml:space="preserve">  • Note: Type C is the preferred option for stage IB1 and above, but selection must consider patient age, fertility desires, and medical resources (e.g., abdominal approach preferred over minimally invasive due to higher recurrence risk with the latter).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**Patient selection principles**:  </w:t>
            </w:r>
            <w:r w:rsidRPr="00CB2EC4">
              <w:rPr>
                <w:rFonts w:ascii="Times New Roman" w:hAnsi="Times New Roman" w:cs="Times New Roman"/>
              </w:rPr>
              <w:br/>
              <w:t xml:space="preserve">- Based on FIGO staging, tumor size, lymphovascular invasion, and pathological findings (e.g., as per "Table 2: Types of Radical Hysterectomy").  </w:t>
            </w:r>
            <w:r w:rsidRPr="00CB2EC4">
              <w:rPr>
                <w:rFonts w:ascii="Times New Roman" w:hAnsi="Times New Roman" w:cs="Times New Roman"/>
              </w:rPr>
              <w:br/>
              <w:t>- Stage IA patients may require only Type A or B; Stage IB patients typically require Type C.</w:t>
            </w:r>
          </w:p>
        </w:tc>
        <w:tc>
          <w:tcPr>
            <w:tcW w:w="1152" w:type="dxa"/>
            <w:vAlign w:val="center"/>
          </w:tcPr>
          <w:p w14:paraId="71545A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C100A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681A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68F9F0" w14:textId="77777777">
        <w:tc>
          <w:tcPr>
            <w:tcW w:w="2160" w:type="dxa"/>
            <w:vAlign w:val="center"/>
          </w:tcPr>
          <w:p w14:paraId="04FF7E9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58A79170"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types of radical hysterectomy and their applicable patient groups:</w:t>
            </w:r>
            <w:r w:rsidRPr="00CB2EC4">
              <w:rPr>
                <w:rFonts w:ascii="Times New Roman" w:hAnsi="Times New Roman" w:cs="Times New Roman"/>
              </w:rPr>
              <w:br/>
            </w:r>
            <w:r w:rsidRPr="00CB2EC4">
              <w:rPr>
                <w:rFonts w:ascii="Times New Roman" w:hAnsi="Times New Roman" w:cs="Times New Roman"/>
              </w:rPr>
              <w:br/>
              <w:t>Based on the Q-M classification or Piver-Rutledge classification, radical hysterectomy is primarily divided into Type A, Type B, and Type C. The differences lie in the extent of resection and the patient populations they are suitable for:</w:t>
            </w:r>
            <w:r w:rsidRPr="00CB2EC4">
              <w:rPr>
                <w:rFonts w:ascii="Times New Roman" w:hAnsi="Times New Roman" w:cs="Times New Roman"/>
              </w:rPr>
              <w:br/>
            </w:r>
            <w:r w:rsidRPr="00CB2EC4">
              <w:rPr>
                <w:rFonts w:ascii="Times New Roman" w:hAnsi="Times New Roman" w:cs="Times New Roman"/>
              </w:rPr>
              <w:br/>
              <w:t xml:space="preserve">- **Type A (Extrafascial hysterectomy):**  </w:t>
            </w:r>
            <w:r w:rsidRPr="00CB2EC4">
              <w:rPr>
                <w:rFonts w:ascii="Times New Roman" w:hAnsi="Times New Roman" w:cs="Times New Roman"/>
              </w:rPr>
              <w:br/>
              <w:t xml:space="preserve">  - **Difference:** The most limited resection, involving removal of the uterus and cervix only, without involvement of the ureters. The cardinal ligaments are divided at the margin, and the uterosacral ligaments are also divided at the margin, with no vaginal cuff resection (Segment 3, 13).  </w:t>
            </w:r>
            <w:r w:rsidRPr="00CB2EC4">
              <w:rPr>
                <w:rFonts w:ascii="Times New Roman" w:hAnsi="Times New Roman" w:cs="Times New Roman"/>
              </w:rPr>
              <w:br/>
              <w:t xml:space="preserve">  - **Applicable patients:** Patients with FIGO IA1 cervical cancer (without lymphovascular space invasion) (Segment 3, 13).</w:t>
            </w:r>
            <w:r w:rsidRPr="00CB2EC4">
              <w:rPr>
                <w:rFonts w:ascii="Times New Roman" w:hAnsi="Times New Roman" w:cs="Times New Roman"/>
              </w:rPr>
              <w:br/>
            </w:r>
            <w:r w:rsidRPr="00CB2EC4">
              <w:rPr>
                <w:rFonts w:ascii="Times New Roman" w:hAnsi="Times New Roman" w:cs="Times New Roman"/>
              </w:rPr>
              <w:br/>
              <w:t xml:space="preserve">- **Type B (Modified radical hysterectomy):**  </w:t>
            </w:r>
            <w:r w:rsidRPr="00CB2EC4">
              <w:rPr>
                <w:rFonts w:ascii="Times New Roman" w:hAnsi="Times New Roman" w:cs="Times New Roman"/>
              </w:rPr>
              <w:br/>
              <w:t xml:space="preserve">  - **Difference:** Intermediate resection extent, involving removal of the uterus, cervix, and upper 1–2 cm of the vagina. The ureteral tunnel is dissected, the cardinal ligaments are divided at the ureteral level, and the uterosacral ligaments are partially resected (Segment 3, 13).  </w:t>
            </w:r>
            <w:r w:rsidRPr="00CB2EC4">
              <w:rPr>
                <w:rFonts w:ascii="Times New Roman" w:hAnsi="Times New Roman" w:cs="Times New Roman"/>
              </w:rPr>
              <w:br/>
              <w:t xml:space="preserve">  - **Applicable patients:** Patients with FIGO IA1 </w:t>
            </w:r>
            <w:r w:rsidRPr="00CB2EC4">
              <w:rPr>
                <w:rFonts w:ascii="Times New Roman" w:hAnsi="Times New Roman" w:cs="Times New Roman"/>
              </w:rPr>
              <w:lastRenderedPageBreak/>
              <w:t>stage with positive lymphovascular space invasion (LVSI+) or IA2 stage (Segment 3, 13).</w:t>
            </w:r>
            <w:r w:rsidRPr="00CB2EC4">
              <w:rPr>
                <w:rFonts w:ascii="Times New Roman" w:hAnsi="Times New Roman" w:cs="Times New Roman"/>
              </w:rPr>
              <w:br/>
            </w:r>
            <w:r w:rsidRPr="00CB2EC4">
              <w:rPr>
                <w:rFonts w:ascii="Times New Roman" w:hAnsi="Times New Roman" w:cs="Times New Roman"/>
              </w:rPr>
              <w:br/>
              <w:t xml:space="preserve">- **Type C (Radical hysterectomy):**  </w:t>
            </w:r>
            <w:r w:rsidRPr="00CB2EC4">
              <w:rPr>
                <w:rFonts w:ascii="Times New Roman" w:hAnsi="Times New Roman" w:cs="Times New Roman"/>
              </w:rPr>
              <w:br/>
              <w:t xml:space="preserve">  - **Difference:** The most extensive resection, involving removal of the uterus, cervix, and upper 1/4 to 1/3 of the vagina. The cardinal ligaments are divided at the pelvic sidewall, the uterosacral ligaments are divided near the sacral attachment, and ureteral dissection is involved (Segment 1, 3, 13).  </w:t>
            </w:r>
            <w:r w:rsidRPr="00CB2EC4">
              <w:rPr>
                <w:rFonts w:ascii="Times New Roman" w:hAnsi="Times New Roman" w:cs="Times New Roman"/>
              </w:rPr>
              <w:br/>
              <w:t xml:space="preserve">  - **Applicable patients:** Patients with FIGO IB1, IB2, and selected IIA1 stage disease (Segment 1, 3, 13). Low-risk patients (tumor &lt;2 cm, stromal invasion &lt;50%, no lymph node metastasis) may also be considered, but Type C is typically used for early-stage cervical cancer (Segment 13).</w:t>
            </w:r>
            <w:r w:rsidRPr="00CB2EC4">
              <w:rPr>
                <w:rFonts w:ascii="Times New Roman" w:hAnsi="Times New Roman" w:cs="Times New Roman"/>
              </w:rPr>
              <w:br/>
            </w:r>
            <w:r w:rsidRPr="00CB2EC4">
              <w:rPr>
                <w:rFonts w:ascii="Times New Roman" w:hAnsi="Times New Roman" w:cs="Times New Roman"/>
              </w:rPr>
              <w:br/>
              <w:t>Additional note: The surgical approach may be abdominal, laparoscopic, or robotic. However, minimally invasive surgery (e.g., laparoscopy) may increase the risk of recurrence in early-stage cervical cancer (Segment 1). These classifications are based on the Q-M or Piver-Rutledge systems and aim to personalize treatment according to tumor stage (Segment 3, 13, 14).</w:t>
            </w:r>
          </w:p>
        </w:tc>
        <w:tc>
          <w:tcPr>
            <w:tcW w:w="1152" w:type="dxa"/>
            <w:vAlign w:val="center"/>
          </w:tcPr>
          <w:p w14:paraId="2F834C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2744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76C4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DEFA5E" w14:textId="77777777">
        <w:tc>
          <w:tcPr>
            <w:tcW w:w="2160" w:type="dxa"/>
            <w:vAlign w:val="center"/>
          </w:tcPr>
          <w:p w14:paraId="2D4943A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EB4505A" w14:textId="77777777" w:rsidR="00922249" w:rsidRPr="00CB2EC4" w:rsidRDefault="003011D5">
            <w:pPr>
              <w:rPr>
                <w:rFonts w:ascii="Times New Roman" w:hAnsi="Times New Roman" w:cs="Times New Roman"/>
              </w:rPr>
            </w:pPr>
            <w:r w:rsidRPr="00CB2EC4">
              <w:rPr>
                <w:rFonts w:ascii="Times New Roman" w:hAnsi="Times New Roman" w:cs="Times New Roman"/>
              </w:rPr>
              <w:t>Based on the document content, the types of radical hysterectomy and their distinctions along with applicable patients are as follows (based on Piver-Rutledge or Q-M classification):</w:t>
            </w:r>
            <w:r w:rsidRPr="00CB2EC4">
              <w:rPr>
                <w:rFonts w:ascii="Times New Roman" w:hAnsi="Times New Roman" w:cs="Times New Roman"/>
              </w:rPr>
              <w:br/>
            </w:r>
            <w:r w:rsidRPr="00CB2EC4">
              <w:rPr>
                <w:rFonts w:ascii="Times New Roman" w:hAnsi="Times New Roman" w:cs="Times New Roman"/>
              </w:rPr>
              <w:br/>
              <w:t xml:space="preserve">- **Extrafascial Hysterectomy (Type I or Type A)**  </w:t>
            </w:r>
            <w:r w:rsidRPr="00CB2EC4">
              <w:rPr>
                <w:rFonts w:ascii="Times New Roman" w:hAnsi="Times New Roman" w:cs="Times New Roman"/>
              </w:rPr>
              <w:br/>
              <w:t xml:space="preserve">  → Distinction: Minimal resection scope, involving only the uterine body and cervix; does not involve the ureters, cardinal ligaments, uterosacral ligaments, or </w:t>
            </w:r>
            <w:r w:rsidRPr="00CB2EC4">
              <w:rPr>
                <w:rFonts w:ascii="Times New Roman" w:hAnsi="Times New Roman" w:cs="Times New Roman"/>
              </w:rPr>
              <w:lastRenderedPageBreak/>
              <w:t xml:space="preserve">paravaginal tissues; no resection of vaginal margins; surgical approach can be open, laparoscopic, or robot-assisted.  </w:t>
            </w:r>
            <w:r w:rsidRPr="00CB2EC4">
              <w:rPr>
                <w:rFonts w:ascii="Times New Roman" w:hAnsi="Times New Roman" w:cs="Times New Roman"/>
              </w:rPr>
              <w:br/>
              <w:t xml:space="preserve">  → Applicable patients: FIGO stage IA1 cervical cancer (without lymphovascular space invasion, LVSI(-)); particularly suitable for elderly women who do not require fertility preservation or low-risk cases.</w:t>
            </w:r>
            <w:r w:rsidRPr="00CB2EC4">
              <w:rPr>
                <w:rFonts w:ascii="Times New Roman" w:hAnsi="Times New Roman" w:cs="Times New Roman"/>
              </w:rPr>
              <w:br/>
            </w:r>
            <w:r w:rsidRPr="00CB2EC4">
              <w:rPr>
                <w:rFonts w:ascii="Times New Roman" w:hAnsi="Times New Roman" w:cs="Times New Roman"/>
              </w:rPr>
              <w:br/>
              <w:t xml:space="preserve">- **Modified Radical Hysterectomy (Type II or Type B)**  </w:t>
            </w:r>
            <w:r w:rsidRPr="00CB2EC4">
              <w:rPr>
                <w:rFonts w:ascii="Times New Roman" w:hAnsi="Times New Roman" w:cs="Times New Roman"/>
              </w:rPr>
              <w:br/>
              <w:t xml:space="preserve">  → Distinction: Moderate resection scope, including the uterus, cervix, partial parametrial tissues, and upper vagina; limited-length resection of the cardinal and uterosacral ligaments; may preserve partial nerve function to reduce postoperative complications.  </w:t>
            </w:r>
            <w:r w:rsidRPr="00CB2EC4">
              <w:rPr>
                <w:rFonts w:ascii="Times New Roman" w:hAnsi="Times New Roman" w:cs="Times New Roman"/>
              </w:rPr>
              <w:br/>
              <w:t xml:space="preserve">  → Applicable patients: FIGO stage IA2 (with risk of lymph node metastasis) or low-risk IB1 cervical cancer; also suitable for young women requiring fertility preservation (often combined with pelvic lymphadenectomy).</w:t>
            </w:r>
            <w:r w:rsidRPr="00CB2EC4">
              <w:rPr>
                <w:rFonts w:ascii="Times New Roman" w:hAnsi="Times New Roman" w:cs="Times New Roman"/>
              </w:rPr>
              <w:br/>
            </w:r>
            <w:r w:rsidRPr="00CB2EC4">
              <w:rPr>
                <w:rFonts w:ascii="Times New Roman" w:hAnsi="Times New Roman" w:cs="Times New Roman"/>
              </w:rPr>
              <w:br/>
              <w:t xml:space="preserve">- **Radical Hysterectomy (Type III or Type C)**  </w:t>
            </w:r>
            <w:r w:rsidRPr="00CB2EC4">
              <w:rPr>
                <w:rFonts w:ascii="Times New Roman" w:hAnsi="Times New Roman" w:cs="Times New Roman"/>
              </w:rPr>
              <w:br/>
              <w:t xml:space="preserve">  → Distinction: Maximum resection scope, including the uterus, parametrial tissues, upper vagina (typically ≥2 cm), paravaginal tissues, pelvic lymph nodes (obturator, internal iliac, external iliac, common iliac lymph node groups), as well as the vesicouterine ligaments, cardinal ligaments, uterosacral ligaments, and rectovaginal ligaments; surgery can be performed via open or minimally invasive (laparoscopic/robotic) approaches, but the LACC trial showed higher recurrence rates with minimally invasive surgery in early-stage cervical cancer.  </w:t>
            </w:r>
            <w:r w:rsidRPr="00CB2EC4">
              <w:rPr>
                <w:rFonts w:ascii="Times New Roman" w:hAnsi="Times New Roman" w:cs="Times New Roman"/>
              </w:rPr>
              <w:br/>
              <w:t xml:space="preserve">  → Applicable patients: Preferred surgical approach </w:t>
            </w:r>
            <w:r w:rsidRPr="00CB2EC4">
              <w:rPr>
                <w:rFonts w:ascii="Times New Roman" w:hAnsi="Times New Roman" w:cs="Times New Roman"/>
              </w:rPr>
              <w:lastRenderedPageBreak/>
              <w:t>for FIGO stages IB1, IB2, and IIA1 cervical cancer; also used for young women requiring ovarian function preservation. Not recommended for stage IB3 or higher due to frequent need for adjuvant radiotherapy, which increases complication risks.</w:t>
            </w:r>
            <w:r w:rsidRPr="00CB2EC4">
              <w:rPr>
                <w:rFonts w:ascii="Times New Roman" w:hAnsi="Times New Roman" w:cs="Times New Roman"/>
              </w:rPr>
              <w:br/>
            </w:r>
            <w:r w:rsidRPr="00CB2EC4">
              <w:rPr>
                <w:rFonts w:ascii="Times New Roman" w:hAnsi="Times New Roman" w:cs="Times New Roman"/>
              </w:rPr>
              <w:br/>
              <w:t xml:space="preserve">- **General Considerations**  </w:t>
            </w:r>
            <w:r w:rsidRPr="00CB2EC4">
              <w:rPr>
                <w:rFonts w:ascii="Times New Roman" w:hAnsi="Times New Roman" w:cs="Times New Roman"/>
              </w:rPr>
              <w:br/>
              <w:t xml:space="preserve">  → Surgical selection requires comprehensive evaluation of patient age, fertility needs, tumor size, stage, and medical resource availability.  </w:t>
            </w:r>
            <w:r w:rsidRPr="00CB2EC4">
              <w:rPr>
                <w:rFonts w:ascii="Times New Roman" w:hAnsi="Times New Roman" w:cs="Times New Roman"/>
              </w:rPr>
              <w:br/>
              <w:t xml:space="preserve">  → Type C (Type III) is the standard surgical approach for early-stage cervical cancer (IB1-IIA1); Type A (Type I) and Type B (Type II) are suitable for earlier stages (IA1-IA2) or low-risk cases.</w:t>
            </w:r>
          </w:p>
        </w:tc>
        <w:tc>
          <w:tcPr>
            <w:tcW w:w="1152" w:type="dxa"/>
            <w:vAlign w:val="center"/>
          </w:tcPr>
          <w:p w14:paraId="167B76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98C0B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9B3F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6CC302" w14:textId="77777777">
        <w:tc>
          <w:tcPr>
            <w:tcW w:w="2160" w:type="dxa"/>
            <w:vAlign w:val="center"/>
          </w:tcPr>
          <w:p w14:paraId="3737DA3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74BA4ECF" w14:textId="77777777" w:rsidR="00922249" w:rsidRPr="00CB2EC4" w:rsidRDefault="003011D5">
            <w:pPr>
              <w:rPr>
                <w:rFonts w:ascii="Times New Roman" w:hAnsi="Times New Roman" w:cs="Times New Roman"/>
              </w:rPr>
            </w:pPr>
            <w:r w:rsidRPr="00CB2EC4">
              <w:rPr>
                <w:rFonts w:ascii="Times New Roman" w:hAnsi="Times New Roman" w:cs="Times New Roman"/>
              </w:rPr>
              <w:t>- Type I (Extrafascial hysterectomy):</w:t>
            </w:r>
            <w:r w:rsidRPr="00CB2EC4">
              <w:rPr>
                <w:rFonts w:ascii="Times New Roman" w:hAnsi="Times New Roman" w:cs="Times New Roman"/>
              </w:rPr>
              <w:br/>
              <w:t xml:space="preserve">  - Difference: Minimal resection range; only the uterus and cervix are removed, without extensive resection of the ureters, cardinal ligaments, or uterosacral ligaments; no vaginal margin resection.</w:t>
            </w:r>
            <w:r w:rsidRPr="00CB2EC4">
              <w:rPr>
                <w:rFonts w:ascii="Times New Roman" w:hAnsi="Times New Roman" w:cs="Times New Roman"/>
              </w:rPr>
              <w:br/>
              <w:t xml:space="preserve">  - Applicable patients: FIGO IA1 cervical cancer without lymphovascular space invasion (LVSI negative). For example, document fragment 23 states: "Indication: IA1 cervical cancer."</w:t>
            </w:r>
            <w:r w:rsidRPr="00CB2EC4">
              <w:rPr>
                <w:rFonts w:ascii="Times New Roman" w:hAnsi="Times New Roman" w:cs="Times New Roman"/>
              </w:rPr>
              <w:br/>
              <w:t>- Type II (Modified radical hysterectomy):</w:t>
            </w:r>
            <w:r w:rsidRPr="00CB2EC4">
              <w:rPr>
                <w:rFonts w:ascii="Times New Roman" w:hAnsi="Times New Roman" w:cs="Times New Roman"/>
              </w:rPr>
              <w:br/>
              <w:t xml:space="preserve">  - Difference: Moderate resection range; includes partial resection of the cardinal ligaments and uterosacral ligaments; vaginal margin resection of 1-2 cm; ureters require dissection but not full anatomical exposure.</w:t>
            </w:r>
            <w:r w:rsidRPr="00CB2EC4">
              <w:rPr>
                <w:rFonts w:ascii="Times New Roman" w:hAnsi="Times New Roman" w:cs="Times New Roman"/>
              </w:rPr>
              <w:br/>
              <w:t xml:space="preserve">  - Applicable patients: FIGO IA1 with positive lymphovascular space invasion (LVSI+) or IA2 cervical cancer. For example, document fragment 23 notes: "Indication: IA1 with lymphovascular space infiltration positive (LVSI+) and IA2."</w:t>
            </w:r>
            <w:r w:rsidRPr="00CB2EC4">
              <w:rPr>
                <w:rFonts w:ascii="Times New Roman" w:hAnsi="Times New Roman" w:cs="Times New Roman"/>
              </w:rPr>
              <w:br/>
            </w:r>
            <w:r w:rsidRPr="00CB2EC4">
              <w:rPr>
                <w:rFonts w:ascii="Times New Roman" w:hAnsi="Times New Roman" w:cs="Times New Roman"/>
              </w:rPr>
              <w:lastRenderedPageBreak/>
              <w:t>- Type III (Standard radical hysterectomy):</w:t>
            </w:r>
            <w:r w:rsidRPr="00CB2EC4">
              <w:rPr>
                <w:rFonts w:ascii="Times New Roman" w:hAnsi="Times New Roman" w:cs="Times New Roman"/>
              </w:rPr>
              <w:br/>
              <w:t xml:space="preserve">  - Difference: Maximal resection range; includes division of the cardinal ligaments at the pelvic sidewall, division of the uterosacral ligaments near the sacral end; vaginal margin resection of the upper 1/4 to 1/3; complete anatomical dissection of the ureters.</w:t>
            </w:r>
            <w:r w:rsidRPr="00CB2EC4">
              <w:rPr>
                <w:rFonts w:ascii="Times New Roman" w:hAnsi="Times New Roman" w:cs="Times New Roman"/>
              </w:rPr>
              <w:br/>
              <w:t xml:space="preserve">  - Applicable patients: FIGO IB1, IB2, and selected IIA1 cervical cancer. For example, document fragment 23 states: "Indication: IB1, IB2, and selected IIA."</w:t>
            </w:r>
            <w:r w:rsidRPr="00CB2EC4">
              <w:rPr>
                <w:rFonts w:ascii="Times New Roman" w:hAnsi="Times New Roman" w:cs="Times New Roman"/>
              </w:rPr>
              <w:br/>
              <w:t>- Type IV (Extended hysterectomy):</w:t>
            </w:r>
            <w:r w:rsidRPr="00CB2EC4">
              <w:rPr>
                <w:rFonts w:ascii="Times New Roman" w:hAnsi="Times New Roman" w:cs="Times New Roman"/>
              </w:rPr>
              <w:br/>
              <w:t xml:space="preserve">  - Difference: Broader than type III; includes resection of all tissue surrounding the ureters and the internal iliac artery; vaginal resection of 3/4.</w:t>
            </w:r>
            <w:r w:rsidRPr="00CB2EC4">
              <w:rPr>
                <w:rFonts w:ascii="Times New Roman" w:hAnsi="Times New Roman" w:cs="Times New Roman"/>
              </w:rPr>
              <w:br/>
              <w:t xml:space="preserve">  - Applicable patients: Central recurrence involving parametrial tissue but with bladder preservation possible (e.g., post-radiation recurrence). For example, document fragment 1 describes: "When central recurrence involves parametrial tissue... termed type IV extended hysterectomy."</w:t>
            </w:r>
            <w:r w:rsidRPr="00CB2EC4">
              <w:rPr>
                <w:rFonts w:ascii="Times New Roman" w:hAnsi="Times New Roman" w:cs="Times New Roman"/>
              </w:rPr>
              <w:br/>
              <w:t>- Summary basis: These differences are primarily based on variations in surgical extent and indications, synthesized from document fragments 1, 2, and 23. Selection depends on tumor size, depth of invasion, and stage; low-risk patients may be candidates for less extensive surgery to reduce complication risk.</w:t>
            </w:r>
          </w:p>
        </w:tc>
        <w:tc>
          <w:tcPr>
            <w:tcW w:w="1152" w:type="dxa"/>
            <w:vAlign w:val="center"/>
          </w:tcPr>
          <w:p w14:paraId="2A6E40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A1DF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F635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B4300B" w14:textId="77777777">
        <w:tc>
          <w:tcPr>
            <w:tcW w:w="2160" w:type="dxa"/>
            <w:vAlign w:val="center"/>
          </w:tcPr>
          <w:p w14:paraId="0D81FBE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EAA3831"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types of radical hysterectomy and their applicable patient groups are as follows:</w:t>
            </w:r>
            <w:r w:rsidRPr="00CB2EC4">
              <w:rPr>
                <w:rFonts w:ascii="Times New Roman" w:hAnsi="Times New Roman" w:cs="Times New Roman"/>
              </w:rPr>
              <w:br/>
            </w:r>
            <w:r w:rsidRPr="00CB2EC4">
              <w:rPr>
                <w:rFonts w:ascii="Times New Roman" w:hAnsi="Times New Roman" w:cs="Times New Roman"/>
              </w:rPr>
              <w:br/>
              <w:t>- **Type A (Extrafascial hysterectomy):**</w:t>
            </w:r>
            <w:r w:rsidRPr="00CB2EC4">
              <w:rPr>
                <w:rFonts w:ascii="Times New Roman" w:hAnsi="Times New Roman" w:cs="Times New Roman"/>
              </w:rPr>
              <w:br/>
              <w:t xml:space="preserve">  - **Difference:** Minimal resection range; only the uterus and cervix are removed, without ureteral tunnel dissection; cardinal ligaments and uterosacral ligaments are transected at the cervical margin; no </w:t>
            </w:r>
            <w:r w:rsidRPr="00CB2EC4">
              <w:rPr>
                <w:rFonts w:ascii="Times New Roman" w:hAnsi="Times New Roman" w:cs="Times New Roman"/>
              </w:rPr>
              <w:lastRenderedPageBreak/>
              <w:t>vaginal margin resection.</w:t>
            </w:r>
            <w:r w:rsidRPr="00CB2EC4">
              <w:rPr>
                <w:rFonts w:ascii="Times New Roman" w:hAnsi="Times New Roman" w:cs="Times New Roman"/>
              </w:rPr>
              <w:br/>
              <w:t xml:space="preserve">  - **Applicable patients:** FIGO stage IA1 cervical cancer (without lymphovascular space invasion).</w:t>
            </w:r>
            <w:r w:rsidRPr="00CB2EC4">
              <w:rPr>
                <w:rFonts w:ascii="Times New Roman" w:hAnsi="Times New Roman" w:cs="Times New Roman"/>
              </w:rPr>
              <w:br/>
              <w:t xml:space="preserve">  - **Source:** [Similarity: 0.555] excerpt (Table 2 description) and [Similarity: 0.449] excerpt.</w:t>
            </w:r>
            <w:r w:rsidRPr="00CB2EC4">
              <w:rPr>
                <w:rFonts w:ascii="Times New Roman" w:hAnsi="Times New Roman" w:cs="Times New Roman"/>
              </w:rPr>
              <w:br/>
            </w:r>
            <w:r w:rsidRPr="00CB2EC4">
              <w:rPr>
                <w:rFonts w:ascii="Times New Roman" w:hAnsi="Times New Roman" w:cs="Times New Roman"/>
              </w:rPr>
              <w:br/>
              <w:t>- **Type B (Modified radical hysterectomy):**</w:t>
            </w:r>
            <w:r w:rsidRPr="00CB2EC4">
              <w:rPr>
                <w:rFonts w:ascii="Times New Roman" w:hAnsi="Times New Roman" w:cs="Times New Roman"/>
              </w:rPr>
              <w:br/>
              <w:t xml:space="preserve">  - **Difference:** Intermediate resection range; includes uterus, cervix, and upper 1–2 cm of vagina; the top of the ureteral tunnel is opened and the ureter is laterally displaced; partial resection of the vesicouterine ligament and uterosacral ligament.</w:t>
            </w:r>
            <w:r w:rsidRPr="00CB2EC4">
              <w:rPr>
                <w:rFonts w:ascii="Times New Roman" w:hAnsi="Times New Roman" w:cs="Times New Roman"/>
              </w:rPr>
              <w:br/>
              <w:t xml:space="preserve">  - **Applicable patients:** Stage IA1 with lymphovascular space invasion (LVSI+) or stage IA2 cervical cancer.</w:t>
            </w:r>
            <w:r w:rsidRPr="00CB2EC4">
              <w:rPr>
                <w:rFonts w:ascii="Times New Roman" w:hAnsi="Times New Roman" w:cs="Times New Roman"/>
              </w:rPr>
              <w:br/>
              <w:t xml:space="preserve">  - **Source:** [Similarity: 0.555] excerpt and [Similarity: 0.449] excerpt.</w:t>
            </w:r>
            <w:r w:rsidRPr="00CB2EC4">
              <w:rPr>
                <w:rFonts w:ascii="Times New Roman" w:hAnsi="Times New Roman" w:cs="Times New Roman"/>
              </w:rPr>
              <w:br/>
            </w:r>
            <w:r w:rsidRPr="00CB2EC4">
              <w:rPr>
                <w:rFonts w:ascii="Times New Roman" w:hAnsi="Times New Roman" w:cs="Times New Roman"/>
              </w:rPr>
              <w:br/>
              <w:t>- **Type C (Radical hysterectomy):**</w:t>
            </w:r>
            <w:r w:rsidRPr="00CB2EC4">
              <w:rPr>
                <w:rFonts w:ascii="Times New Roman" w:hAnsi="Times New Roman" w:cs="Times New Roman"/>
              </w:rPr>
              <w:br/>
              <w:t xml:space="preserve">  - **Difference:** Maximal resection range; includes uterus, cervix, and upper 1/4–1/3 of vagina; complete ureteral mobilization; cardinal ligaments transected adjacent to pelvic sidewall, uterosacral ligaments transected near sacral origin; pelvic lymphadenectomy is required.</w:t>
            </w:r>
            <w:r w:rsidRPr="00CB2EC4">
              <w:rPr>
                <w:rFonts w:ascii="Times New Roman" w:hAnsi="Times New Roman" w:cs="Times New Roman"/>
              </w:rPr>
              <w:br/>
              <w:t xml:space="preserve">  - **Applicable patients:** Stage IB1, IB2, and selected IIA1 cervical cancer (especially low-risk cases with tumor diameter &lt;2 cm). Nerve-sparing techniques may be considered in low-risk cases to reduce complications.</w:t>
            </w:r>
            <w:r w:rsidRPr="00CB2EC4">
              <w:rPr>
                <w:rFonts w:ascii="Times New Roman" w:hAnsi="Times New Roman" w:cs="Times New Roman"/>
              </w:rPr>
              <w:br/>
              <w:t xml:space="preserve">  - **Source:** [Similarity: 0.607] excerpt and [Similarity: 0.449] excerpt.</w:t>
            </w:r>
            <w:r w:rsidRPr="00CB2EC4">
              <w:rPr>
                <w:rFonts w:ascii="Times New Roman" w:hAnsi="Times New Roman" w:cs="Times New Roman"/>
              </w:rPr>
              <w:br/>
            </w:r>
            <w:r w:rsidRPr="00CB2EC4">
              <w:rPr>
                <w:rFonts w:ascii="Times New Roman" w:hAnsi="Times New Roman" w:cs="Times New Roman"/>
              </w:rPr>
              <w:br/>
              <w:t>- **Additional notes:**</w:t>
            </w:r>
            <w:r w:rsidRPr="00CB2EC4">
              <w:rPr>
                <w:rFonts w:ascii="Times New Roman" w:hAnsi="Times New Roman" w:cs="Times New Roman"/>
              </w:rPr>
              <w:br/>
            </w:r>
            <w:r w:rsidRPr="00CB2EC4">
              <w:rPr>
                <w:rFonts w:ascii="Times New Roman" w:hAnsi="Times New Roman" w:cs="Times New Roman"/>
              </w:rPr>
              <w:lastRenderedPageBreak/>
              <w:t xml:space="preserve">  - Surgical approach may be abdominal, laparoscopic, or robotic; however, minimally invasive surgery may increase recurrence risk in early cervical cancer (based on LACC trial).</w:t>
            </w:r>
            <w:r w:rsidRPr="00CB2EC4">
              <w:rPr>
                <w:rFonts w:ascii="Times New Roman" w:hAnsi="Times New Roman" w:cs="Times New Roman"/>
              </w:rPr>
              <w:br/>
              <w:t xml:space="preserve">  - Lymph node dissection is a fundamental step; resected areas include parametrial, obturator, internal iliac, external iliac, and common iliac lymph nodes.</w:t>
            </w:r>
            <w:r w:rsidRPr="00CB2EC4">
              <w:rPr>
                <w:rFonts w:ascii="Times New Roman" w:hAnsi="Times New Roman" w:cs="Times New Roman"/>
              </w:rPr>
              <w:br/>
              <w:t xml:space="preserve">  - Summary of applicable patients: Type A for early low-risk (stage IA1), Type B for intermediate-risk (stage IA1 with LVSI+ or IA2), Type C for high-risk (stage IB1–IB2/IIA1).</w:t>
            </w:r>
          </w:p>
        </w:tc>
        <w:tc>
          <w:tcPr>
            <w:tcW w:w="1152" w:type="dxa"/>
            <w:vAlign w:val="center"/>
          </w:tcPr>
          <w:p w14:paraId="733A97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9C492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54727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9F08EFD" w14:textId="77777777">
        <w:tc>
          <w:tcPr>
            <w:tcW w:w="2160" w:type="dxa"/>
            <w:vAlign w:val="center"/>
          </w:tcPr>
          <w:p w14:paraId="2CA3EBF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279F3D24"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types of radical hysterectomy and their applicable patients are as follows (based on the Q-M classification):</w:t>
            </w:r>
            <w:r w:rsidRPr="00CB2EC4">
              <w:rPr>
                <w:rFonts w:ascii="Times New Roman" w:hAnsi="Times New Roman" w:cs="Times New Roman"/>
              </w:rPr>
              <w:br/>
            </w:r>
            <w:r w:rsidRPr="00CB2EC4">
              <w:rPr>
                <w:rFonts w:ascii="Times New Roman" w:hAnsi="Times New Roman" w:cs="Times New Roman"/>
              </w:rPr>
              <w:br/>
              <w:t xml:space="preserve">- **Type A (Extrafascial hysterectomy):**  </w:t>
            </w:r>
            <w:r w:rsidRPr="00CB2EC4">
              <w:rPr>
                <w:rFonts w:ascii="Times New Roman" w:hAnsi="Times New Roman" w:cs="Times New Roman"/>
              </w:rPr>
              <w:br/>
              <w:t xml:space="preserve">  - *Difference:* The most limited resection range; involves removal of the uterus and cervix only, without extensive resection of the ureters, cardinal ligaments, or uterosacral ligaments; no vaginal cuff resection.  </w:t>
            </w:r>
            <w:r w:rsidRPr="00CB2EC4">
              <w:rPr>
                <w:rFonts w:ascii="Times New Roman" w:hAnsi="Times New Roman" w:cs="Times New Roman"/>
              </w:rPr>
              <w:br/>
              <w:t xml:space="preserve">  - *Applicable patients:* FIGO IA1 cervical cancer (without lymphovascular space invasion).  </w:t>
            </w:r>
            <w:r w:rsidRPr="00CB2EC4">
              <w:rPr>
                <w:rFonts w:ascii="Times New Roman" w:hAnsi="Times New Roman" w:cs="Times New Roman"/>
              </w:rPr>
              <w:br/>
            </w:r>
            <w:r w:rsidRPr="00CB2EC4">
              <w:rPr>
                <w:rFonts w:ascii="Times New Roman" w:hAnsi="Times New Roman" w:cs="Times New Roman"/>
              </w:rPr>
              <w:br/>
              <w:t xml:space="preserve">- **Type B (Modified radical hysterectomy):**  </w:t>
            </w:r>
            <w:r w:rsidRPr="00CB2EC4">
              <w:rPr>
                <w:rFonts w:ascii="Times New Roman" w:hAnsi="Times New Roman" w:cs="Times New Roman"/>
              </w:rPr>
              <w:br/>
              <w:t xml:space="preserve">  - *Difference:* Intermediate resection range; includes removal of the uterus, cervix, upper 1–2 cm of the vagina, and partial parametrial tissue; the top of the ureteric "tunnel" is opened, and the uterine artery is divided directly above the ureter.  </w:t>
            </w:r>
            <w:r w:rsidRPr="00CB2EC4">
              <w:rPr>
                <w:rFonts w:ascii="Times New Roman" w:hAnsi="Times New Roman" w:cs="Times New Roman"/>
              </w:rPr>
              <w:br/>
              <w:t xml:space="preserve">  - *Applicable patients:* FIGO IA2 (with or without lymphovascular space invasion), some low-risk IB1 (e.g., tumor ≤2 cm, no high-risk factors).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**Type C (Standard radical hysterectomy):**  </w:t>
            </w:r>
            <w:r w:rsidRPr="00CB2EC4">
              <w:rPr>
                <w:rFonts w:ascii="Times New Roman" w:hAnsi="Times New Roman" w:cs="Times New Roman"/>
              </w:rPr>
              <w:br/>
              <w:t xml:space="preserve">  - *Difference:* The most extensive resection range; includes removal of the uterus, cervix, upper 2–3 cm of the vagina, parametrial tissues (complete resection of cardinal and uterosacral ligaments), and pelvic lymph nodes; requires resection of sufficient length of the vesicouterine and rectovaginal ligaments.  </w:t>
            </w:r>
            <w:r w:rsidRPr="00CB2EC4">
              <w:rPr>
                <w:rFonts w:ascii="Times New Roman" w:hAnsi="Times New Roman" w:cs="Times New Roman"/>
              </w:rPr>
              <w:br/>
              <w:t xml:space="preserve">  - *Applicable patients:* FIGO IB1, IB2, IIA1 (tumor &gt;2 cm or with high-risk factors).  </w:t>
            </w:r>
            <w:r w:rsidRPr="00CB2EC4">
              <w:rPr>
                <w:rFonts w:ascii="Times New Roman" w:hAnsi="Times New Roman" w:cs="Times New Roman"/>
              </w:rPr>
              <w:br/>
            </w:r>
            <w:r w:rsidRPr="00CB2EC4">
              <w:rPr>
                <w:rFonts w:ascii="Times New Roman" w:hAnsi="Times New Roman" w:cs="Times New Roman"/>
              </w:rPr>
              <w:br/>
              <w:t xml:space="preserve">- **Other type:**  </w:t>
            </w:r>
            <w:r w:rsidRPr="00CB2EC4">
              <w:rPr>
                <w:rFonts w:ascii="Times New Roman" w:hAnsi="Times New Roman" w:cs="Times New Roman"/>
              </w:rPr>
              <w:br/>
              <w:t xml:space="preserve">  - *Fertility-sparing radical trachelectomy:* Only the cervix and part of the vagina are removed, while the uterine body is preserved; applicable to young patients with IA2–IB1 disease who desire fertility preservation (Document Fragment 5, 7).  </w:t>
            </w:r>
            <w:r w:rsidRPr="00CB2EC4">
              <w:rPr>
                <w:rFonts w:ascii="Times New Roman" w:hAnsi="Times New Roman" w:cs="Times New Roman"/>
              </w:rPr>
              <w:br/>
            </w:r>
            <w:r w:rsidRPr="00CB2EC4">
              <w:rPr>
                <w:rFonts w:ascii="Times New Roman" w:hAnsi="Times New Roman" w:cs="Times New Roman"/>
              </w:rPr>
              <w:br/>
              <w:t>*Source references: Document Fragment 5 (Q-M classification table), Document Fragment 7 (surgical types table), Document Fragment 9 (details of Type C procedure), Document Fragment 16 (staging-corresponding procedures).*</w:t>
            </w:r>
          </w:p>
        </w:tc>
        <w:tc>
          <w:tcPr>
            <w:tcW w:w="1152" w:type="dxa"/>
            <w:vAlign w:val="center"/>
          </w:tcPr>
          <w:p w14:paraId="22F957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2A1D0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BE77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C67AC9" w14:textId="77777777">
        <w:tc>
          <w:tcPr>
            <w:tcW w:w="2160" w:type="dxa"/>
            <w:vAlign w:val="center"/>
          </w:tcPr>
          <w:p w14:paraId="5CAA4C1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C36C3F6"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types of radical hysterectomy and their applicable patients are as follows:</w:t>
            </w:r>
            <w:r w:rsidRPr="00CB2EC4">
              <w:rPr>
                <w:rFonts w:ascii="Times New Roman" w:hAnsi="Times New Roman" w:cs="Times New Roman"/>
              </w:rPr>
              <w:br/>
            </w:r>
            <w:r w:rsidRPr="00CB2EC4">
              <w:rPr>
                <w:rFonts w:ascii="Times New Roman" w:hAnsi="Times New Roman" w:cs="Times New Roman"/>
              </w:rPr>
              <w:br/>
              <w:t>- **Differences**:</w:t>
            </w:r>
            <w:r w:rsidRPr="00CB2EC4">
              <w:rPr>
                <w:rFonts w:ascii="Times New Roman" w:hAnsi="Times New Roman" w:cs="Times New Roman"/>
              </w:rPr>
              <w:br/>
              <w:t xml:space="preserve">  - **Type A hysterectomy**: Simple hysterectomy with the smallest resection range, including only the uterus and the upper part of the vagina, without involving extensive parametrial tissue or lymph nodes (Fragment 4).</w:t>
            </w:r>
            <w:r w:rsidRPr="00CB2EC4">
              <w:rPr>
                <w:rFonts w:ascii="Times New Roman" w:hAnsi="Times New Roman" w:cs="Times New Roman"/>
              </w:rPr>
              <w:br/>
              <w:t xml:space="preserve">  - **Type B hymphrectomy** (subradical hysterectomy): Resection includes the uterus, part of the parametrial tissues (such as the cardinal ligament </w:t>
            </w:r>
            <w:r w:rsidRPr="00CB2EC4">
              <w:rPr>
                <w:rFonts w:ascii="Times New Roman" w:hAnsi="Times New Roman" w:cs="Times New Roman"/>
              </w:rPr>
              <w:lastRenderedPageBreak/>
              <w:t>and uterosacral ligament), and the upper segment of the vagina, but lymph node dissection is limited (typically only pelvic lymph nodes); classified as Type II extended surgery (Fragments 4, 7, and 10).</w:t>
            </w:r>
            <w:r w:rsidRPr="00CB2EC4">
              <w:rPr>
                <w:rFonts w:ascii="Times New Roman" w:hAnsi="Times New Roman" w:cs="Times New Roman"/>
              </w:rPr>
              <w:br/>
              <w:t xml:space="preserve">  - **Type C hysterectomy** (radical hysterectomy): Standard radical procedure with the largest resection range, including the uterus, parametrial tissues (cardinal ligament, uterosacral ligament, etc.), the upper one-third of the vagina, and pelvic lymph nodes (obturator, internal iliac, external iliac, and common iliac lymph nodes); classified as Type III surgery (Fragments 1 and 4).</w:t>
            </w:r>
            <w:r w:rsidRPr="00CB2EC4">
              <w:rPr>
                <w:rFonts w:ascii="Times New Roman" w:hAnsi="Times New Roman" w:cs="Times New Roman"/>
              </w:rPr>
              <w:br/>
            </w:r>
            <w:r w:rsidRPr="00CB2EC4">
              <w:rPr>
                <w:rFonts w:ascii="Times New Roman" w:hAnsi="Times New Roman" w:cs="Times New Roman"/>
              </w:rPr>
              <w:br/>
              <w:t>- **Applicable patients**:</w:t>
            </w:r>
            <w:r w:rsidRPr="00CB2EC4">
              <w:rPr>
                <w:rFonts w:ascii="Times New Roman" w:hAnsi="Times New Roman" w:cs="Times New Roman"/>
              </w:rPr>
              <w:br/>
              <w:t xml:space="preserve">  - **Type A**: Suitable for patients with FIGO IA stage disease without lymphovascular space invasion (LVSI−) (Fragment 4).</w:t>
            </w:r>
            <w:r w:rsidRPr="00CB2EC4">
              <w:rPr>
                <w:rFonts w:ascii="Times New Roman" w:hAnsi="Times New Roman" w:cs="Times New Roman"/>
              </w:rPr>
              <w:br/>
              <w:t xml:space="preserve">  - **Type B**: Suitable for patients with FIGO IA1 stage with LVSI+ or IA2 stage disease (Fragment 4).</w:t>
            </w:r>
            <w:r w:rsidRPr="00CB2EC4">
              <w:rPr>
                <w:rFonts w:ascii="Times New Roman" w:hAnsi="Times New Roman" w:cs="Times New Roman"/>
              </w:rPr>
              <w:br/>
              <w:t xml:space="preserve">  - **Type C**: Suitable for patients with FIGO IB1, IB2, or IIA1 stage disease (Fragments 1 and 4); younger patients or those with ovarian/sexual function preservation needs are prioritized for surgery (Fragment 1).</w:t>
            </w:r>
            <w:r w:rsidRPr="00CB2EC4">
              <w:rPr>
                <w:rFonts w:ascii="Times New Roman" w:hAnsi="Times New Roman" w:cs="Times New Roman"/>
              </w:rPr>
              <w:br/>
            </w:r>
            <w:r w:rsidRPr="00CB2EC4">
              <w:rPr>
                <w:rFonts w:ascii="Times New Roman" w:hAnsi="Times New Roman" w:cs="Times New Roman"/>
              </w:rPr>
              <w:br/>
              <w:t>- **Additional notes**: The surgical approach may be abdominal or minimally invasive; however, the LACC trial showed a higher recurrence rate with minimally invasive surgery, so caution is required (Fragment 1).</w:t>
            </w:r>
          </w:p>
        </w:tc>
        <w:tc>
          <w:tcPr>
            <w:tcW w:w="1152" w:type="dxa"/>
            <w:vAlign w:val="center"/>
          </w:tcPr>
          <w:p w14:paraId="2C087C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C9DF7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2AB7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21BC6F" w14:textId="77777777">
        <w:tc>
          <w:tcPr>
            <w:tcW w:w="2160" w:type="dxa"/>
            <w:vAlign w:val="center"/>
          </w:tcPr>
          <w:p w14:paraId="41612FE2"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4876DA27"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various types of radical hysterectomy and their applicable patient populations:</w:t>
            </w:r>
            <w:r w:rsidRPr="00CB2EC4">
              <w:rPr>
                <w:rFonts w:ascii="Times New Roman" w:hAnsi="Times New Roman" w:cs="Times New Roman"/>
              </w:rPr>
              <w:br/>
            </w:r>
            <w:r w:rsidRPr="00CB2EC4">
              <w:rPr>
                <w:rFonts w:ascii="Times New Roman" w:hAnsi="Times New Roman" w:cs="Times New Roman"/>
              </w:rPr>
              <w:br/>
              <w:t>The main types of radical hysterectomy include: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**Piver Type I (Fascial Extrauterine Hysterectomy)**: Involves the smallest resection range, removing only the uterus and a small amount of parametrial tissue. It is indicated for patients with preinvasive lesions or FIGO stage IA1 cervical cancer without lymphovascular space invasion.</w:t>
            </w:r>
            <w:r w:rsidRPr="00CB2EC4">
              <w:rPr>
                <w:rFonts w:ascii="Times New Roman" w:hAnsi="Times New Roman" w:cs="Times New Roman"/>
              </w:rPr>
              <w:br/>
            </w:r>
            <w:r w:rsidRPr="00CB2EC4">
              <w:rPr>
                <w:rFonts w:ascii="Times New Roman" w:hAnsi="Times New Roman" w:cs="Times New Roman"/>
              </w:rPr>
              <w:br/>
              <w:t>- **Piver Type II (Modified Radical Hysterectomy)**: Involves removal of the uterus, partial parametrial tissue (1–2 cm), and the upper one-third of the vagina. It is suitable for low-risk patients with FIGO stage IA2 or IB1 cervical cancer.</w:t>
            </w:r>
            <w:r w:rsidRPr="00CB2EC4">
              <w:rPr>
                <w:rFonts w:ascii="Times New Roman" w:hAnsi="Times New Roman" w:cs="Times New Roman"/>
              </w:rPr>
              <w:br/>
            </w:r>
            <w:r w:rsidRPr="00CB2EC4">
              <w:rPr>
                <w:rFonts w:ascii="Times New Roman" w:hAnsi="Times New Roman" w:cs="Times New Roman"/>
              </w:rPr>
              <w:br/>
              <w:t>- **Piver Type III (Standard Radical Hysterectomy)**: Involves removal of the uterus, parametrial tissue (2–3 cm), and the upper one-half of the vagina. It is indicated for patients with FIGO stage IB1 to IB2 cervical cancer.</w:t>
            </w:r>
            <w:r w:rsidRPr="00CB2EC4">
              <w:rPr>
                <w:rFonts w:ascii="Times New Roman" w:hAnsi="Times New Roman" w:cs="Times New Roman"/>
              </w:rPr>
              <w:br/>
            </w:r>
            <w:r w:rsidRPr="00CB2EC4">
              <w:rPr>
                <w:rFonts w:ascii="Times New Roman" w:hAnsi="Times New Roman" w:cs="Times New Roman"/>
              </w:rPr>
              <w:br/>
              <w:t>- **Nerve-Sparing Radical Hysterectomy (e.g., as described by Yabuki)**: Based on the Piver III type but preserves the pelvic nerve plexus to reduce postoperative bladder dysfunction. It is applicable to IB1 stage patients, particularly younger individuals requiring preservation of quality of life.</w:t>
            </w:r>
            <w:r w:rsidRPr="00CB2EC4">
              <w:rPr>
                <w:rFonts w:ascii="Times New Roman" w:hAnsi="Times New Roman" w:cs="Times New Roman"/>
              </w:rPr>
              <w:br/>
            </w:r>
            <w:r w:rsidRPr="00CB2EC4">
              <w:rPr>
                <w:rFonts w:ascii="Times New Roman" w:hAnsi="Times New Roman" w:cs="Times New Roman"/>
              </w:rPr>
              <w:br/>
              <w:t>- **Piver Type IV/V (Extended Radical Hysterectomy)**: Involves a wider resection range (e.g., partial ureter or bladder) and is indicated for locally advanced or recurrent disease, but is rarely used for primary treatment.</w:t>
            </w:r>
            <w:r w:rsidRPr="00CB2EC4">
              <w:rPr>
                <w:rFonts w:ascii="Times New Roman" w:hAnsi="Times New Roman" w:cs="Times New Roman"/>
              </w:rPr>
              <w:br/>
            </w:r>
            <w:r w:rsidRPr="00CB2EC4">
              <w:rPr>
                <w:rFonts w:ascii="Times New Roman" w:hAnsi="Times New Roman" w:cs="Times New Roman"/>
              </w:rPr>
              <w:br/>
              <w:t xml:space="preserve">Overall, radical hysterectomy is indicated for patients with FIGO stage IA2 to IB2 cervical cancer. The </w:t>
            </w:r>
            <w:r w:rsidRPr="00CB2EC4">
              <w:rPr>
                <w:rFonts w:ascii="Times New Roman" w:hAnsi="Times New Roman" w:cs="Times New Roman"/>
              </w:rPr>
              <w:lastRenderedPageBreak/>
              <w:t>choice of procedure must be based on tumor size, depth of stromal invasion, and lymph node status.</w:t>
            </w:r>
          </w:p>
        </w:tc>
        <w:tc>
          <w:tcPr>
            <w:tcW w:w="1152" w:type="dxa"/>
            <w:vAlign w:val="center"/>
          </w:tcPr>
          <w:p w14:paraId="129BD6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F92C8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3213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407307" w14:textId="77777777">
        <w:tc>
          <w:tcPr>
            <w:tcW w:w="10656" w:type="dxa"/>
            <w:gridSpan w:val="5"/>
            <w:tcBorders>
              <w:bottom w:val="single" w:sz="6" w:space="0" w:color="auto"/>
            </w:tcBorders>
            <w:vAlign w:val="center"/>
          </w:tcPr>
          <w:p w14:paraId="3A46BFFF" w14:textId="77777777" w:rsidR="00922249" w:rsidRPr="00CB2EC4" w:rsidRDefault="003011D5">
            <w:pPr>
              <w:rPr>
                <w:rFonts w:ascii="Times New Roman" w:hAnsi="Times New Roman" w:cs="Times New Roman"/>
              </w:rPr>
            </w:pPr>
            <w:r w:rsidRPr="00CB2EC4">
              <w:rPr>
                <w:rFonts w:ascii="Times New Roman" w:hAnsi="Times New Roman" w:cs="Times New Roman"/>
                <w:b/>
              </w:rPr>
              <w:lastRenderedPageBreak/>
              <w:t>Question 73: What are the advantages of IMRT in radiotherapy for cervical cancer?</w:t>
            </w:r>
          </w:p>
        </w:tc>
      </w:tr>
      <w:tr w:rsidR="00922249" w:rsidRPr="00CB2EC4" w14:paraId="52D6EE3B" w14:textId="77777777">
        <w:tc>
          <w:tcPr>
            <w:tcW w:w="2160" w:type="dxa"/>
            <w:vAlign w:val="center"/>
          </w:tcPr>
          <w:p w14:paraId="0E89A1C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10FCE51"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advantages of IMRT (intensity-modulated radiotherapy) in the radiotherapy of cervical cancer?</w:t>
            </w:r>
            <w:r w:rsidRPr="00CB2EC4">
              <w:rPr>
                <w:rFonts w:ascii="Times New Roman" w:hAnsi="Times New Roman" w:cs="Times New Roman"/>
              </w:rPr>
              <w:br/>
            </w:r>
            <w:r w:rsidRPr="00CB2EC4">
              <w:rPr>
                <w:rFonts w:ascii="Times New Roman" w:hAnsi="Times New Roman" w:cs="Times New Roman"/>
              </w:rPr>
              <w:br/>
              <w:t>- IMRT (intensity-modulated radiotherapy) is an advanced and refined radiation technique, with its primary advantage being the reduction of adverse reactions. Specifically, by precisely controlling the dose distribution, it minimizes irradiation to surrounding normal tissues (such as the bladder and rectum), thereby lowering radiotherapy-related toxicities (e.g., proctitis, cystitis).</w:t>
            </w:r>
            <w:r w:rsidRPr="00CB2EC4">
              <w:rPr>
                <w:rFonts w:ascii="Times New Roman" w:hAnsi="Times New Roman" w:cs="Times New Roman"/>
              </w:rPr>
              <w:br/>
              <w:t>- In adjuvant radiotherapy (PORT), IMRT is recommended for whole-pelvis EBRT (external beam radiotherapy), with a standard dose of 45–50 Gy to cover the tumor bed and lymph node regions. The document emphasizes that the application of conformal radiotherapy techniques such as IMRT (and 3D-CRT) has improved clinical outcomes, particularly in reducing late complications (see section 4.2.3).</w:t>
            </w:r>
            <w:r w:rsidRPr="00CB2EC4">
              <w:rPr>
                <w:rFonts w:ascii="Times New Roman" w:hAnsi="Times New Roman" w:cs="Times New Roman"/>
              </w:rPr>
              <w:br/>
            </w:r>
            <w:r w:rsidRPr="00CB2EC4">
              <w:rPr>
                <w:rFonts w:ascii="Times New Roman" w:hAnsi="Times New Roman" w:cs="Times New Roman"/>
              </w:rPr>
              <w:br/>
              <w:t>The document does not mention other advantages (such as improved survival rates); therefore, based on the context, reducing adverse reactions is the core advantage.</w:t>
            </w:r>
          </w:p>
        </w:tc>
        <w:tc>
          <w:tcPr>
            <w:tcW w:w="1152" w:type="dxa"/>
            <w:vAlign w:val="center"/>
          </w:tcPr>
          <w:p w14:paraId="666AEB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E39F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5AE3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12B923" w14:textId="77777777">
        <w:tc>
          <w:tcPr>
            <w:tcW w:w="2160" w:type="dxa"/>
            <w:vAlign w:val="center"/>
          </w:tcPr>
          <w:p w14:paraId="1A7E3EF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841D13B"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advantages of IMRT (intensity-modulated radiotherapy) in the radiotherapy of cervical cancer?</w:t>
            </w:r>
            <w:r w:rsidRPr="00CB2EC4">
              <w:rPr>
                <w:rFonts w:ascii="Times New Roman" w:hAnsi="Times New Roman" w:cs="Times New Roman"/>
              </w:rPr>
              <w:br/>
            </w:r>
            <w:r w:rsidRPr="00CB2EC4">
              <w:rPr>
                <w:rFonts w:ascii="Times New Roman" w:hAnsi="Times New Roman" w:cs="Times New Roman"/>
              </w:rPr>
              <w:br/>
              <w:t xml:space="preserve">Based on the document content, the main advantage of </w:t>
            </w:r>
            <w:r w:rsidRPr="00CB2EC4">
              <w:rPr>
                <w:rFonts w:ascii="Times New Roman" w:hAnsi="Times New Roman" w:cs="Times New Roman"/>
              </w:rPr>
              <w:lastRenderedPageBreak/>
              <w:t xml:space="preserve">IMRT (intensity-modulated radiotherapy) in cervical cancer radiotherapy is the reduction of normal tissue injury, thereby lowering the risk of complications and improving quality of survival.  </w:t>
            </w:r>
            <w:r w:rsidRPr="00CB2EC4">
              <w:rPr>
                <w:rFonts w:ascii="Times New Roman" w:hAnsi="Times New Roman" w:cs="Times New Roman"/>
              </w:rPr>
              <w:br/>
              <w:t xml:space="preserve">- Evidence:  </w:t>
            </w:r>
            <w:r w:rsidRPr="00CB2EC4">
              <w:rPr>
                <w:rFonts w:ascii="Times New Roman" w:hAnsi="Times New Roman" w:cs="Times New Roman"/>
              </w:rPr>
              <w:br/>
              <w:t xml:space="preserve">  - Document fragment 13 (block theme: adjuvant radiotherapy guidelines for cervical cancer) states: "Intensity-modulated radiotherapy (IMRT) is an advanced and refined radiation technique that can reduce adverse reactions."  </w:t>
            </w:r>
            <w:r w:rsidRPr="00CB2EC4">
              <w:rPr>
                <w:rFonts w:ascii="Times New Roman" w:hAnsi="Times New Roman" w:cs="Times New Roman"/>
              </w:rPr>
              <w:br/>
              <w:t xml:space="preserve">  - Document fragment 24 (block theme: radiotherapy regimens and doses for cervical cancer) notes: IMRT significantly improves 5-year overall survival and progression-free survival by reducing the radiation dose to the small intestine, rectum, and bladder (e.g., 5-year overall survival rate 35.4% vs. 21.4%).  </w:t>
            </w:r>
            <w:r w:rsidRPr="00CB2EC4">
              <w:rPr>
                <w:rFonts w:ascii="Times New Roman" w:hAnsi="Times New Roman" w:cs="Times New Roman"/>
              </w:rPr>
              <w:br/>
              <w:t xml:space="preserve">  - Document fragment 41 (block theme: technical specifications for cervical cancer radiotherapy) emphasizes: IMRT technology allows for simultaneous integrated boost or sequential boost while strictly limiting normal tissue doses, reducing late toxicities such as bowel obstruction or bladder injury.  </w:t>
            </w:r>
            <w:r w:rsidRPr="00CB2EC4">
              <w:rPr>
                <w:rFonts w:ascii="Times New Roman" w:hAnsi="Times New Roman" w:cs="Times New Roman"/>
              </w:rPr>
              <w:br/>
              <w:t xml:space="preserve">  In summary, the advantage of IMRT lies in its precise targeting of the tumor, reduced radiation exposure to surrounding organs (such as the rectum and bladder), thereby lowering complications and potentially improving survival rates.</w:t>
            </w:r>
          </w:p>
        </w:tc>
        <w:tc>
          <w:tcPr>
            <w:tcW w:w="1152" w:type="dxa"/>
            <w:vAlign w:val="center"/>
          </w:tcPr>
          <w:p w14:paraId="1004C6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237B0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6C41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B498AC" w14:textId="77777777">
        <w:tc>
          <w:tcPr>
            <w:tcW w:w="2160" w:type="dxa"/>
            <w:vAlign w:val="center"/>
          </w:tcPr>
          <w:p w14:paraId="62553F1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B624B37"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advantages of IMRT (Intensity-Modulated Radiation Therapy) in the radiotherapy of cervical cancer?</w:t>
            </w:r>
            <w:r w:rsidRPr="00CB2EC4">
              <w:rPr>
                <w:rFonts w:ascii="Times New Roman" w:hAnsi="Times New Roman" w:cs="Times New Roman"/>
              </w:rPr>
              <w:br/>
            </w:r>
            <w:r w:rsidRPr="00CB2EC4">
              <w:rPr>
                <w:rFonts w:ascii="Times New Roman" w:hAnsi="Times New Roman" w:cs="Times New Roman"/>
              </w:rPr>
              <w:br/>
              <w:t xml:space="preserve">Based on the document content, the advantage of IMRT (Intensity-Modulated Radiation Therapy) is the </w:t>
            </w:r>
            <w:r w:rsidRPr="00CB2EC4">
              <w:rPr>
                <w:rFonts w:ascii="Times New Roman" w:hAnsi="Times New Roman" w:cs="Times New Roman"/>
              </w:rPr>
              <w:lastRenderedPageBreak/>
              <w:t>reduction of adverse reactions. Specific information comes from Document Fragment 10:</w:t>
            </w:r>
            <w:r w:rsidRPr="00CB2EC4">
              <w:rPr>
                <w:rFonts w:ascii="Times New Roman" w:hAnsi="Times New Roman" w:cs="Times New Roman"/>
              </w:rPr>
              <w:br/>
              <w:t>- Document Fragment 10 explicitly states: “IMRT is an advanced and precise radiation technology that can reduce adverse reactions.”</w:t>
            </w:r>
            <w:r w:rsidRPr="00CB2EC4">
              <w:rPr>
                <w:rFonts w:ascii="Times New Roman" w:hAnsi="Times New Roman" w:cs="Times New Roman"/>
              </w:rPr>
              <w:br/>
              <w:t>- The document does not provide further details (such as which specific adverse reactions are reduced or comparative data), so the advantage is limited to: IMRT reduces damage to surrounding normal tissues through more precise dose distribution, thereby decreasing radiotherapy-related side effects (such as gastrointestinal, bladder, or bone marrow toxicity).</w:t>
            </w:r>
            <w:r w:rsidRPr="00CB2EC4">
              <w:rPr>
                <w:rFonts w:ascii="Times New Roman" w:hAnsi="Times New Roman" w:cs="Times New Roman"/>
              </w:rPr>
              <w:br/>
            </w:r>
            <w:r w:rsidRPr="00CB2EC4">
              <w:rPr>
                <w:rFonts w:ascii="Times New Roman" w:hAnsi="Times New Roman" w:cs="Times New Roman"/>
              </w:rPr>
              <w:br/>
              <w:t>In summary, the main advantage of IMRT in cervical cancer radiotherapy is the reduction of adverse reactions, improving treatment tolerance.</w:t>
            </w:r>
          </w:p>
        </w:tc>
        <w:tc>
          <w:tcPr>
            <w:tcW w:w="1152" w:type="dxa"/>
            <w:vAlign w:val="center"/>
          </w:tcPr>
          <w:p w14:paraId="04EC72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F038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AA63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92A51A" w14:textId="77777777">
        <w:tc>
          <w:tcPr>
            <w:tcW w:w="2160" w:type="dxa"/>
            <w:vAlign w:val="center"/>
          </w:tcPr>
          <w:p w14:paraId="3D51DD0B"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899D1AE" w14:textId="77777777" w:rsidR="00922249" w:rsidRPr="00CB2EC4" w:rsidRDefault="003011D5">
            <w:pPr>
              <w:rPr>
                <w:rFonts w:ascii="Times New Roman" w:hAnsi="Times New Roman" w:cs="Times New Roman"/>
              </w:rPr>
            </w:pPr>
            <w:r w:rsidRPr="00CB2EC4">
              <w:rPr>
                <w:rFonts w:ascii="Times New Roman" w:hAnsi="Times New Roman" w:cs="Times New Roman"/>
              </w:rPr>
              <w:t>Advantages of IMRT (Intensity-Modulated Radiation Therapy) in Radiotherapy for Cervical Cancer</w:t>
            </w:r>
            <w:r w:rsidRPr="00CB2EC4">
              <w:rPr>
                <w:rFonts w:ascii="Times New Roman" w:hAnsi="Times New Roman" w:cs="Times New Roman"/>
              </w:rPr>
              <w:br/>
            </w:r>
            <w:r w:rsidRPr="00CB2EC4">
              <w:rPr>
                <w:rFonts w:ascii="Times New Roman" w:hAnsi="Times New Roman" w:cs="Times New Roman"/>
              </w:rPr>
              <w:br/>
              <w:t xml:space="preserve">Comprehensive response:  </w:t>
            </w:r>
            <w:r w:rsidRPr="00CB2EC4">
              <w:rPr>
                <w:rFonts w:ascii="Times New Roman" w:hAnsi="Times New Roman" w:cs="Times New Roman"/>
              </w:rPr>
              <w:br/>
              <w:t xml:space="preserve">- Core advantage: Precise targeting of the tumor while protecting normal tissues  </w:t>
            </w:r>
            <w:r w:rsidRPr="00CB2EC4">
              <w:rPr>
                <w:rFonts w:ascii="Times New Roman" w:hAnsi="Times New Roman" w:cs="Times New Roman"/>
              </w:rPr>
              <w:br/>
              <w:t xml:space="preserve">  - Knowledge base reference (4.2, 8.2.3):  </w:t>
            </w:r>
            <w:r w:rsidRPr="00CB2EC4">
              <w:rPr>
                <w:rFonts w:ascii="Times New Roman" w:hAnsi="Times New Roman" w:cs="Times New Roman"/>
              </w:rPr>
              <w:br/>
              <w:t xml:space="preserve">    - IMRT can reduce dose to the rectum/bladder, lowering the risk of radiation enteritis and bladder fistula (complication rates with conventional radiotherapy as high as 10%~15%).  </w:t>
            </w:r>
            <w:r w:rsidRPr="00CB2EC4">
              <w:rPr>
                <w:rFonts w:ascii="Times New Roman" w:hAnsi="Times New Roman" w:cs="Times New Roman"/>
              </w:rPr>
              <w:br/>
              <w:t xml:space="preserve">    - Especially suitable for patients with para-aortic lymph node metastasis, enabling safe implementation of extended-field radiotherapy (EFRT).  </w:t>
            </w:r>
            <w:r w:rsidRPr="00CB2EC4">
              <w:rPr>
                <w:rFonts w:ascii="Times New Roman" w:hAnsi="Times New Roman" w:cs="Times New Roman"/>
              </w:rPr>
              <w:br/>
              <w:t xml:space="preserve">  - Web search supplement (FIGO 2021 guidelines):  </w:t>
            </w:r>
            <w:r w:rsidRPr="00CB2EC4">
              <w:rPr>
                <w:rFonts w:ascii="Times New Roman" w:hAnsi="Times New Roman" w:cs="Times New Roman"/>
              </w:rPr>
              <w:br/>
              <w:t xml:space="preserve">    - IMRT can optimize dose distribution for locally advanced cervical cancer (stages IIB-IVA), improving local control rates.</w:t>
            </w:r>
          </w:p>
        </w:tc>
        <w:tc>
          <w:tcPr>
            <w:tcW w:w="1152" w:type="dxa"/>
            <w:vAlign w:val="center"/>
          </w:tcPr>
          <w:p w14:paraId="100DBC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F809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A44F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D10DBE" w14:textId="77777777">
        <w:tc>
          <w:tcPr>
            <w:tcW w:w="2160" w:type="dxa"/>
            <w:vAlign w:val="center"/>
          </w:tcPr>
          <w:p w14:paraId="79D4A1D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6D50EB26"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advantages of IMRT (intensity-modulated radiotherapy) in the radiotherapy of cervical cancer?</w:t>
            </w:r>
            <w:r w:rsidRPr="00CB2EC4">
              <w:rPr>
                <w:rFonts w:ascii="Times New Roman" w:hAnsi="Times New Roman" w:cs="Times New Roman"/>
              </w:rPr>
              <w:br/>
            </w:r>
            <w:r w:rsidRPr="00CB2EC4">
              <w:rPr>
                <w:rFonts w:ascii="Times New Roman" w:hAnsi="Times New Roman" w:cs="Times New Roman"/>
              </w:rPr>
              <w:br/>
              <w:t xml:space="preserve">Based on the document content, the main advantages of IMRT in cervical cancer radiotherapy are reduced normal tissue injury and lower complication risks, as detailed below:  </w:t>
            </w:r>
            <w:r w:rsidRPr="00CB2EC4">
              <w:rPr>
                <w:rFonts w:ascii="Times New Roman" w:hAnsi="Times New Roman" w:cs="Times New Roman"/>
              </w:rPr>
              <w:br/>
              <w:t xml:space="preserve">- Advantage description:  </w:t>
            </w:r>
            <w:r w:rsidRPr="00CB2EC4">
              <w:rPr>
                <w:rFonts w:ascii="Times New Roman" w:hAnsi="Times New Roman" w:cs="Times New Roman"/>
              </w:rPr>
              <w:br/>
              <w:t xml:space="preserve">  - Document excerpt 25 (adjuvant radiotherapy section) states: IMRT is an "advanced and refined radiation technique that can reduce adverse reactions," especially in postoperative radiotherapy (PORT), where it can precisely spare the small intestine, rectum, and bladder, thereby reducing toxicity.  </w:t>
            </w:r>
            <w:r w:rsidRPr="00CB2EC4">
              <w:rPr>
                <w:rFonts w:ascii="Times New Roman" w:hAnsi="Times New Roman" w:cs="Times New Roman"/>
              </w:rPr>
              <w:br/>
              <w:t xml:space="preserve">  - Document excerpt 23 (radiotherapy principles section) mentions: IMRT technology allows "delivery of concurrent boost or boost later 10~15Gy," while "high-dose regions must pay attention to sparing normal tissues or strictly limit the radiation dose to normal tissues," which improves treatment accuracy.  </w:t>
            </w:r>
            <w:r w:rsidRPr="00CB2EC4">
              <w:rPr>
                <w:rFonts w:ascii="Times New Roman" w:hAnsi="Times New Roman" w:cs="Times New Roman"/>
              </w:rPr>
              <w:br/>
              <w:t xml:space="preserve">  - Document excerpt 21 (recurrent treatment section) emphasizes: For recurrent patients, IMRT compared with conventional radiotherapy "significantly improved 5-year overall survival and progression-free survival (35.4% vs. 21.4%, 26.1% vs. 15.1%) due to reduced dose to small bowel, rectum, and bladder."  </w:t>
            </w:r>
            <w:r w:rsidRPr="00CB2EC4">
              <w:rPr>
                <w:rFonts w:ascii="Times New Roman" w:hAnsi="Times New Roman" w:cs="Times New Roman"/>
              </w:rPr>
              <w:br/>
              <w:t xml:space="preserve">  - Document excerpt 14 (FIGO stage IVB treatment section) adds: When IMRT is used for para-aortic lymph node irradiation, "it can reduce toxic side effects."  </w:t>
            </w:r>
            <w:r w:rsidRPr="00CB2EC4">
              <w:rPr>
                <w:rFonts w:ascii="Times New Roman" w:hAnsi="Times New Roman" w:cs="Times New Roman"/>
              </w:rPr>
              <w:br/>
              <w:t xml:space="preserve">- Core advantages: reduced radiotherapy-related complications (such as intestinal, bladder, and rectal injury), improved patient quality of life, and potential </w:t>
            </w:r>
            <w:r w:rsidRPr="00CB2EC4">
              <w:rPr>
                <w:rFonts w:ascii="Times New Roman" w:hAnsi="Times New Roman" w:cs="Times New Roman"/>
              </w:rPr>
              <w:lastRenderedPageBreak/>
              <w:t xml:space="preserve">survival benefits.  </w:t>
            </w:r>
            <w:r w:rsidRPr="00CB2EC4">
              <w:rPr>
                <w:rFonts w:ascii="Times New Roman" w:hAnsi="Times New Roman" w:cs="Times New Roman"/>
              </w:rPr>
              <w:br/>
              <w:t>In summary, the advantage of IMRT lies in its precision, minimizing radiation dose to normal tissues and thereby reducing adverse reactions.</w:t>
            </w:r>
          </w:p>
        </w:tc>
        <w:tc>
          <w:tcPr>
            <w:tcW w:w="1152" w:type="dxa"/>
            <w:vAlign w:val="center"/>
          </w:tcPr>
          <w:p w14:paraId="545A06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CB31D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8C84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B394CF0" w14:textId="77777777">
        <w:tc>
          <w:tcPr>
            <w:tcW w:w="2160" w:type="dxa"/>
            <w:vAlign w:val="center"/>
          </w:tcPr>
          <w:p w14:paraId="6208D92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87EE684"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advantages of IMRT (intensity-modulated radiotherapy) in the radiotherapy of cervical cancer?</w:t>
            </w:r>
            <w:r w:rsidRPr="00CB2EC4">
              <w:rPr>
                <w:rFonts w:ascii="Times New Roman" w:hAnsi="Times New Roman" w:cs="Times New Roman"/>
              </w:rPr>
              <w:br/>
            </w:r>
            <w:r w:rsidRPr="00CB2EC4">
              <w:rPr>
                <w:rFonts w:ascii="Times New Roman" w:hAnsi="Times New Roman" w:cs="Times New Roman"/>
              </w:rPr>
              <w:br/>
              <w:t xml:space="preserve">The main advantages of IMRT in cervical cancer radiotherapy are reduced normal tissue injury and complications, along with improved treatment precision and quality of life. The specific evidence is as follows:  </w:t>
            </w:r>
            <w:r w:rsidRPr="00CB2EC4">
              <w:rPr>
                <w:rFonts w:ascii="Times New Roman" w:hAnsi="Times New Roman" w:cs="Times New Roman"/>
              </w:rPr>
              <w:br/>
              <w:t xml:space="preserve">- Document 4 states that when para-aortic lymph nodes are involved, IMRT can be used to reduce toxic side effects (fusion score 0.5389).  </w:t>
            </w:r>
            <w:r w:rsidRPr="00CB2EC4">
              <w:rPr>
                <w:rFonts w:ascii="Times New Roman" w:hAnsi="Times New Roman" w:cs="Times New Roman"/>
              </w:rPr>
              <w:br/>
              <w:t xml:space="preserve">- Document 8, in the section on recurrent treatment, points out that IMRT significantly improves 5-year overall survival and progression-free survival (e.g., 5-year survival rate 35.4% vs. 21.4%) by reducing the dose received by the small bowel, rectum, and bladder, and is superior to conventional radiotherapy (fusion score 0.4961).  </w:t>
            </w:r>
            <w:r w:rsidRPr="00CB2EC4">
              <w:rPr>
                <w:rFonts w:ascii="Times New Roman" w:hAnsi="Times New Roman" w:cs="Times New Roman"/>
              </w:rPr>
              <w:br/>
              <w:t xml:space="preserve">- Document 24 emphasizes that IMRT is an advanced technology that can reduce adverse reactions, especially in postoperative adjuvant radiotherapy (fusion score 0.4126).  </w:t>
            </w:r>
            <w:r w:rsidRPr="00CB2EC4">
              <w:rPr>
                <w:rFonts w:ascii="Times New Roman" w:hAnsi="Times New Roman" w:cs="Times New Roman"/>
              </w:rPr>
              <w:br/>
              <w:t xml:space="preserve">- Document 26, in the adjuvant treatment section, mentions that IMRT lowers the radiation dose to normal tissues (such as the bowel) through precise planning, reducing complications like radiation enteritis (fusion score 0.4124).  </w:t>
            </w:r>
            <w:r w:rsidRPr="00CB2EC4">
              <w:rPr>
                <w:rFonts w:ascii="Times New Roman" w:hAnsi="Times New Roman" w:cs="Times New Roman"/>
              </w:rPr>
              <w:br/>
              <w:t xml:space="preserve">In summary, the advantages of IMRT include: precise targeting of the tumor, minimization of radiation </w:t>
            </w:r>
            <w:r w:rsidRPr="00CB2EC4">
              <w:rPr>
                <w:rFonts w:ascii="Times New Roman" w:hAnsi="Times New Roman" w:cs="Times New Roman"/>
              </w:rPr>
              <w:lastRenderedPageBreak/>
              <w:t>exposure to surrounding organs (such as small bowel, bladder, rectum), reduction of acute and late toxicities (such as fistula or infection risk), thereby improving patient survival rates and quality of life.</w:t>
            </w:r>
          </w:p>
        </w:tc>
        <w:tc>
          <w:tcPr>
            <w:tcW w:w="1152" w:type="dxa"/>
            <w:vAlign w:val="center"/>
          </w:tcPr>
          <w:p w14:paraId="075DFE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BF605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435C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184DCD" w14:textId="77777777">
        <w:tc>
          <w:tcPr>
            <w:tcW w:w="2160" w:type="dxa"/>
            <w:vAlign w:val="center"/>
          </w:tcPr>
          <w:p w14:paraId="60499842"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2630C99"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advantages of IMRT (Intensity-Modulated Radiation Therapy) in the radiotherapy of cervical cancer?</w:t>
            </w:r>
            <w:r w:rsidRPr="00CB2EC4">
              <w:rPr>
                <w:rFonts w:ascii="Times New Roman" w:hAnsi="Times New Roman" w:cs="Times New Roman"/>
              </w:rPr>
              <w:br/>
            </w:r>
            <w:r w:rsidRPr="00CB2EC4">
              <w:rPr>
                <w:rFonts w:ascii="Times New Roman" w:hAnsi="Times New Roman" w:cs="Times New Roman"/>
              </w:rPr>
              <w:br/>
              <w:t>The document outlines the application and advantages of IMRT in cervical cancer radiotherapy, primarily based on its precision and ability to reduce complications:</w:t>
            </w:r>
            <w:r w:rsidRPr="00CB2EC4">
              <w:rPr>
                <w:rFonts w:ascii="Times New Roman" w:hAnsi="Times New Roman" w:cs="Times New Roman"/>
              </w:rPr>
              <w:br/>
              <w:t>- Advantage descriptions:</w:t>
            </w:r>
            <w:r w:rsidRPr="00CB2EC4">
              <w:rPr>
                <w:rFonts w:ascii="Times New Roman" w:hAnsi="Times New Roman" w:cs="Times New Roman"/>
              </w:rPr>
              <w:br/>
              <w:t xml:space="preserve">  - Reduced normal tissue damage: IMRT, through image guidance and high-dose concentration, strictly limits radiation dose to normal tissues (such as small intestine, rectum, bladder). The document states: "IMRT, due to reduced doses to small intestine, rectum, and bladder, significantly improves 5-year overall survival and progression-free survival" (from fragment description). This lowers the risk of radiotherapy-related complications (e.g., radiation enteritis, cystitis).</w:t>
            </w:r>
            <w:r w:rsidRPr="00CB2EC4">
              <w:rPr>
                <w:rFonts w:ascii="Times New Roman" w:hAnsi="Times New Roman" w:cs="Times New Roman"/>
              </w:rPr>
              <w:br/>
              <w:t xml:space="preserve">  - Improved treatment efficacy: IMRT allows higher, precisely targeted doses to the tumor volume while sparing surrounding tissues, thereby improving survival rates. The document mentions: "For image-guided EBRT, high-dose regions must avoid normal tissues... IMRT is superior to conventional concurrent chemoradiotherapy, significantly improving 5-year overall survival and progression-free survival" (from fragment).</w:t>
            </w:r>
            <w:r w:rsidRPr="00CB2EC4">
              <w:rPr>
                <w:rFonts w:ascii="Times New Roman" w:hAnsi="Times New Roman" w:cs="Times New Roman"/>
              </w:rPr>
              <w:br/>
              <w:t xml:space="preserve">  - Suitable for complex cases: IMRT is especially applicable for para-aortic lymph node irradiation or </w:t>
            </w:r>
            <w:r w:rsidRPr="00CB2EC4">
              <w:rPr>
                <w:rFonts w:ascii="Times New Roman" w:hAnsi="Times New Roman" w:cs="Times New Roman"/>
              </w:rPr>
              <w:lastRenderedPageBreak/>
              <w:t>re-irradiation of recurrence, reducing toxicity of secondary radiotherapy (e.g., "When para-aortic lymph nodes are involved, EFRT combined with concurrent chemotherapy should be adopted; IMRT can be used in such patients to reduce toxic side effects").</w:t>
            </w:r>
            <w:r w:rsidRPr="00CB2EC4">
              <w:rPr>
                <w:rFonts w:ascii="Times New Roman" w:hAnsi="Times New Roman" w:cs="Times New Roman"/>
              </w:rPr>
              <w:br/>
            </w:r>
            <w:r w:rsidRPr="00CB2EC4">
              <w:rPr>
                <w:rFonts w:ascii="Times New Roman" w:hAnsi="Times New Roman" w:cs="Times New Roman"/>
              </w:rPr>
              <w:br/>
              <w:t>The advantage of IMRT lies in its ability to optimize dose distribution and enhance treatment precision, particularly beneficial for patients with locally advanced or recurrent cervical cancer. The document does not provide specific data but emphasizes its clinical value in reducing complications and improving survival rates.</w:t>
            </w:r>
          </w:p>
        </w:tc>
        <w:tc>
          <w:tcPr>
            <w:tcW w:w="1152" w:type="dxa"/>
            <w:vAlign w:val="center"/>
          </w:tcPr>
          <w:p w14:paraId="2CE6FD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8F99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09A5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AFA90E" w14:textId="77777777">
        <w:tc>
          <w:tcPr>
            <w:tcW w:w="2160" w:type="dxa"/>
            <w:vAlign w:val="center"/>
          </w:tcPr>
          <w:p w14:paraId="1C6D737D"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DF436DD"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advantages of IMRT (Intensity-Modulated Radiation Therapy) in the radiotherapy of cervical cancer?</w:t>
            </w:r>
            <w:r w:rsidRPr="00CB2EC4">
              <w:rPr>
                <w:rFonts w:ascii="Times New Roman" w:hAnsi="Times New Roman" w:cs="Times New Roman"/>
              </w:rPr>
              <w:br/>
            </w:r>
            <w:r w:rsidRPr="00CB2EC4">
              <w:rPr>
                <w:rFonts w:ascii="Times New Roman" w:hAnsi="Times New Roman" w:cs="Times New Roman"/>
              </w:rPr>
              <w:br/>
              <w:t>Based on the document content, the main advantage of IMRT is the reduction of toxic side effects:</w:t>
            </w:r>
            <w:r w:rsidRPr="00CB2EC4">
              <w:rPr>
                <w:rFonts w:ascii="Times New Roman" w:hAnsi="Times New Roman" w:cs="Times New Roman"/>
              </w:rPr>
              <w:br/>
              <w:t>- Document excerpt 16 (similarity 0.560) states: When patients have para-aortic lymph node metastases, IMRT can be used to reduce toxic side effects. Specifically described as: “IMRT can be used in such patients to reduce toxic side effects,” which is particularly important in high-dose radiotherapy because it can precisely target the tumor area while sparing normal tissues (such as the intestine and bladder), thereby reducing the risk of complications.</w:t>
            </w:r>
            <w:r w:rsidRPr="00CB2EC4">
              <w:rPr>
                <w:rFonts w:ascii="Times New Roman" w:hAnsi="Times New Roman" w:cs="Times New Roman"/>
              </w:rPr>
              <w:br/>
            </w:r>
            <w:r w:rsidRPr="00CB2EC4">
              <w:rPr>
                <w:rFonts w:ascii="Times New Roman" w:hAnsi="Times New Roman" w:cs="Times New Roman"/>
              </w:rPr>
              <w:br/>
              <w:t xml:space="preserve">Summary: The advantage of IMRT lies in reducing damage to surrounding normal tissues through fine dose distribution, lowering radiotherapy-related toxicity (such as gastrointestinal or urinary </w:t>
            </w:r>
            <w:r w:rsidRPr="00CB2EC4">
              <w:rPr>
                <w:rFonts w:ascii="Times New Roman" w:hAnsi="Times New Roman" w:cs="Times New Roman"/>
              </w:rPr>
              <w:lastRenderedPageBreak/>
              <w:t>complications). The document does not mention other advantages (such as improved efficacy), so the conclusion is based solely on this information.</w:t>
            </w:r>
          </w:p>
        </w:tc>
        <w:tc>
          <w:tcPr>
            <w:tcW w:w="1152" w:type="dxa"/>
            <w:vAlign w:val="center"/>
          </w:tcPr>
          <w:p w14:paraId="0CE980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5050F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3D31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419E3B" w14:textId="77777777">
        <w:tc>
          <w:tcPr>
            <w:tcW w:w="2160" w:type="dxa"/>
            <w:vAlign w:val="center"/>
          </w:tcPr>
          <w:p w14:paraId="29F564E4"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62C3A65"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advantages of IMRT (intensity-modulated radiotherapy) in the radiotherapy of cervical cancer?</w:t>
            </w:r>
            <w:r w:rsidRPr="00CB2EC4">
              <w:rPr>
                <w:rFonts w:ascii="Times New Roman" w:hAnsi="Times New Roman" w:cs="Times New Roman"/>
              </w:rPr>
              <w:br/>
            </w:r>
            <w:r w:rsidRPr="00CB2EC4">
              <w:rPr>
                <w:rFonts w:ascii="Times New Roman" w:hAnsi="Times New Roman" w:cs="Times New Roman"/>
              </w:rPr>
              <w:br/>
              <w:t>Based on the document content, the main advantage of IMRT in cervical cancer radiotherapy is the reduction of radiation dose to normal tissues, thereby lowering complications and improving survival rates. The specific advantages are as follows:</w:t>
            </w:r>
            <w:r w:rsidRPr="00CB2EC4">
              <w:rPr>
                <w:rFonts w:ascii="Times New Roman" w:hAnsi="Times New Roman" w:cs="Times New Roman"/>
              </w:rPr>
              <w:br/>
              <w:t>- Advantage description: IMRT significantly reduces radiotherapy-related toxicity (such as bowel obstruction and cystitis) through precise dose distribution, "due to reduced dose to the small bowel, rectum, and bladder". The document states: "5-year overall survival and progression-free survival were significantly improved (35.4% vs. 21.4%, 26.1% vs. 15.1%), superior to conventional concurrent chemoradiotherapy" (source: document excerpt on recurrent disease treatment).</w:t>
            </w:r>
            <w:r w:rsidRPr="00CB2EC4">
              <w:rPr>
                <w:rFonts w:ascii="Times New Roman" w:hAnsi="Times New Roman" w:cs="Times New Roman"/>
              </w:rPr>
              <w:br/>
              <w:t>- Applicable scenarios: Especially suitable for recurrent cervical cancer or patients requiring re-irradiation, as it allows focused irradiation and avoids secondary damage to normal tissues in previously irradiated areas (source: document footnote f). In primary treatment, IMRT can be used for the EBRT (external beam radiotherapy) component, but the document does not explicitly state its advantages in early-stage cervical cancer; the main evidence comes from recurrent disease treatment.</w:t>
            </w:r>
            <w:r w:rsidRPr="00CB2EC4">
              <w:rPr>
                <w:rFonts w:ascii="Times New Roman" w:hAnsi="Times New Roman" w:cs="Times New Roman"/>
              </w:rPr>
              <w:br/>
              <w:t xml:space="preserve">- Additional benefits: IMRT supports hypofractionated, high-dose regimens (such as SBRT) </w:t>
            </w:r>
            <w:r w:rsidRPr="00CB2EC4">
              <w:rPr>
                <w:rFonts w:ascii="Times New Roman" w:hAnsi="Times New Roman" w:cs="Times New Roman"/>
              </w:rPr>
              <w:lastRenderedPageBreak/>
              <w:t>for isolated metastases or localized lesions, improving treatment accuracy (source: document footnote f).</w:t>
            </w:r>
          </w:p>
        </w:tc>
        <w:tc>
          <w:tcPr>
            <w:tcW w:w="1152" w:type="dxa"/>
            <w:vAlign w:val="center"/>
          </w:tcPr>
          <w:p w14:paraId="29C91E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924E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D2FD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7D837E" w14:textId="77777777">
        <w:tc>
          <w:tcPr>
            <w:tcW w:w="2160" w:type="dxa"/>
            <w:vAlign w:val="center"/>
          </w:tcPr>
          <w:p w14:paraId="5360091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64A628C"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advantages of IMRT (Intensity-Modulated Radiation Therapy) in radiotherapy for cervical cancer?</w:t>
            </w:r>
            <w:r w:rsidRPr="00CB2EC4">
              <w:rPr>
                <w:rFonts w:ascii="Times New Roman" w:hAnsi="Times New Roman" w:cs="Times New Roman"/>
              </w:rPr>
              <w:br/>
            </w:r>
            <w:r w:rsidRPr="00CB2EC4">
              <w:rPr>
                <w:rFonts w:ascii="Times New Roman" w:hAnsi="Times New Roman" w:cs="Times New Roman"/>
              </w:rPr>
              <w:br/>
              <w:t>Based on contextual information:</w:t>
            </w:r>
            <w:r w:rsidRPr="00CB2EC4">
              <w:rPr>
                <w:rFonts w:ascii="Times New Roman" w:hAnsi="Times New Roman" w:cs="Times New Roman"/>
              </w:rPr>
              <w:br/>
              <w:t>The advantages of IMRT lie in its precision and ability to reduce adverse reactions:</w:t>
            </w:r>
            <w:r w:rsidRPr="00CB2EC4">
              <w:rPr>
                <w:rFonts w:ascii="Times New Roman" w:hAnsi="Times New Roman" w:cs="Times New Roman"/>
              </w:rPr>
              <w:br/>
              <w:t>- Advantages:</w:t>
            </w:r>
            <w:r w:rsidRPr="00CB2EC4">
              <w:rPr>
                <w:rFonts w:ascii="Times New Roman" w:hAnsi="Times New Roman" w:cs="Times New Roman"/>
              </w:rPr>
              <w:br/>
              <w:t xml:space="preserve">  1. Reduced normal tissue damage: IMRT precisely controls radiation dose distribution, sparing small intestine, rectum, bladder, and other normal tissues, significantly lowering the incidence of late complications such as radiation enteritis and cystitis.</w:t>
            </w:r>
            <w:r w:rsidRPr="00CB2EC4">
              <w:rPr>
                <w:rFonts w:ascii="Times New Roman" w:hAnsi="Times New Roman" w:cs="Times New Roman"/>
              </w:rPr>
              <w:br/>
              <w:t xml:space="preserve">  2. Improved target volume dose coverage: Especially suitable for complex anatomical regions (e.g., para-aortic lymph nodes), ensuring adequate dose to high-risk areas while protecting surrounding organs.</w:t>
            </w:r>
            <w:r w:rsidRPr="00CB2EC4">
              <w:rPr>
                <w:rFonts w:ascii="Times New Roman" w:hAnsi="Times New Roman" w:cs="Times New Roman"/>
              </w:rPr>
              <w:br/>
              <w:t xml:space="preserve">  3. Enhanced quality of life: Reduces acute and chronic toxicities, improves patient tolerance and quality of life.</w:t>
            </w:r>
            <w:r w:rsidRPr="00CB2EC4">
              <w:rPr>
                <w:rFonts w:ascii="Times New Roman" w:hAnsi="Times New Roman" w:cs="Times New Roman"/>
              </w:rPr>
              <w:br/>
              <w:t>- Evidence: Document excerpt 8 explicitly states: “Intensity-modulated radiotherapy (IMRT) is an advanced and refined radiation technique that can reduce adverse reactions.” Document excerpt 12 adds: “IMRT can be used in such patients to reduce toxic side effects.” Document excerpt 27 further emphasizes: “Radiotherapy techniques such as intensity-modulated radiotherapy (IMRT) are recommended... to reduce adverse reactions.”</w:t>
            </w:r>
            <w:r w:rsidRPr="00CB2EC4">
              <w:rPr>
                <w:rFonts w:ascii="Times New Roman" w:hAnsi="Times New Roman" w:cs="Times New Roman"/>
              </w:rPr>
              <w:br/>
              <w:t xml:space="preserve">- Rationale: Compared with conventional radiotherapy, IMRT optimizes dose distribution via computer planning, making it particularly suitable for </w:t>
            </w:r>
            <w:r w:rsidRPr="00CB2EC4">
              <w:rPr>
                <w:rFonts w:ascii="Times New Roman" w:hAnsi="Times New Roman" w:cs="Times New Roman"/>
              </w:rPr>
              <w:lastRenderedPageBreak/>
              <w:t>pelvic irradiation to reduce intestinal and urinary system injury.</w:t>
            </w:r>
          </w:p>
        </w:tc>
        <w:tc>
          <w:tcPr>
            <w:tcW w:w="1152" w:type="dxa"/>
            <w:vAlign w:val="center"/>
          </w:tcPr>
          <w:p w14:paraId="0EB353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09729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2578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FBBB982" w14:textId="77777777">
        <w:tc>
          <w:tcPr>
            <w:tcW w:w="2160" w:type="dxa"/>
            <w:vAlign w:val="center"/>
          </w:tcPr>
          <w:p w14:paraId="642A50E3"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66E05AE" w14:textId="77777777" w:rsidR="00922249" w:rsidRPr="00CB2EC4" w:rsidRDefault="003011D5">
            <w:pPr>
              <w:rPr>
                <w:rFonts w:ascii="Times New Roman" w:hAnsi="Times New Roman" w:cs="Times New Roman"/>
              </w:rPr>
            </w:pPr>
            <w:r w:rsidRPr="00CB2EC4">
              <w:rPr>
                <w:rFonts w:ascii="Times New Roman" w:hAnsi="Times New Roman" w:cs="Times New Roman"/>
              </w:rPr>
              <w:t>IMRT (Intensity-Modulated Radiation Therapy) advantages in cervical cancer radiotherapy are as follows:</w:t>
            </w:r>
            <w:r w:rsidRPr="00CB2EC4">
              <w:rPr>
                <w:rFonts w:ascii="Times New Roman" w:hAnsi="Times New Roman" w:cs="Times New Roman"/>
              </w:rPr>
              <w:br/>
            </w:r>
            <w:r w:rsidRPr="00CB2EC4">
              <w:rPr>
                <w:rFonts w:ascii="Times New Roman" w:hAnsi="Times New Roman" w:cs="Times New Roman"/>
              </w:rPr>
              <w:br/>
              <w:t>- In the [similarity: 0.448] segment, it is explicitly stated: "IMRT, due to reduced doses received by the small bowel, rectum, and bladder, significantly improved 5-year overall survival and progression-free survival (35.4% vs. 21.4%, 26.1% vs. 15.1%, respectively), outperforming conventional concurrent chemoradiotherapy." This indicates that IMRT reduces radiation dose to surrounding organs (such as small intestine, rectum, bladder) through precise tumor targeting.</w:t>
            </w:r>
            <w:r w:rsidRPr="00CB2EC4">
              <w:rPr>
                <w:rFonts w:ascii="Times New Roman" w:hAnsi="Times New Roman" w:cs="Times New Roman"/>
              </w:rPr>
              <w:br/>
            </w:r>
            <w:r w:rsidRPr="00CB2EC4">
              <w:rPr>
                <w:rFonts w:ascii="Times New Roman" w:hAnsi="Times New Roman" w:cs="Times New Roman"/>
              </w:rPr>
              <w:br/>
              <w:t>- The same [similarity: 0.448] segment adds: "Intensity-modulated radiotherapy (IMRT) is an advanced and sophisticated radiation technique that can reduce adverse reactions." This highlights IMRT's advantage in lowering complications (e.g., radiation enteritis, cystitis).</w:t>
            </w:r>
            <w:r w:rsidRPr="00CB2EC4">
              <w:rPr>
                <w:rFonts w:ascii="Times New Roman" w:hAnsi="Times New Roman" w:cs="Times New Roman"/>
              </w:rPr>
              <w:br/>
            </w:r>
            <w:r w:rsidRPr="00CB2EC4">
              <w:rPr>
                <w:rFonts w:ascii="Times New Roman" w:hAnsi="Times New Roman" w:cs="Times New Roman"/>
              </w:rPr>
              <w:br/>
              <w:t>- Summary of advantages:</w:t>
            </w:r>
            <w:r w:rsidRPr="00CB2EC4">
              <w:rPr>
                <w:rFonts w:ascii="Times New Roman" w:hAnsi="Times New Roman" w:cs="Times New Roman"/>
              </w:rPr>
              <w:br/>
              <w:t xml:space="preserve">  - Reduced adverse reactions: Through dose optimization, normal tissue is protected, lowering the risk of late complications (e.g., fistula, functional impairment).</w:t>
            </w:r>
            <w:r w:rsidRPr="00CB2EC4">
              <w:rPr>
                <w:rFonts w:ascii="Times New Roman" w:hAnsi="Times New Roman" w:cs="Times New Roman"/>
              </w:rPr>
              <w:br/>
              <w:t xml:space="preserve">  - Improved treatment efficacy: May enhance survival rates and progression-free survival, especially applicable to postoperative adjuvant radiotherapy or recurrent disease treatment.</w:t>
            </w:r>
            <w:r w:rsidRPr="00CB2EC4">
              <w:rPr>
                <w:rFonts w:ascii="Times New Roman" w:hAnsi="Times New Roman" w:cs="Times New Roman"/>
              </w:rPr>
              <w:br/>
              <w:t xml:space="preserve">  - Applicable scenarios: Commonly used for pelvic </w:t>
            </w:r>
            <w:r w:rsidRPr="00CB2EC4">
              <w:rPr>
                <w:rFonts w:ascii="Times New Roman" w:hAnsi="Times New Roman" w:cs="Times New Roman"/>
              </w:rPr>
              <w:lastRenderedPageBreak/>
              <w:t>radiotherapy, particularly when needing to avoid superimposed surgical complications (e.g., postoperative adjuvant radiotherapy).</w:t>
            </w:r>
          </w:p>
        </w:tc>
        <w:tc>
          <w:tcPr>
            <w:tcW w:w="1152" w:type="dxa"/>
            <w:vAlign w:val="center"/>
          </w:tcPr>
          <w:p w14:paraId="05DCCF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3174C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CB92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7A88D6" w14:textId="77777777">
        <w:tc>
          <w:tcPr>
            <w:tcW w:w="2160" w:type="dxa"/>
            <w:vAlign w:val="center"/>
          </w:tcPr>
          <w:p w14:paraId="4FC87D0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9715659" w14:textId="77777777" w:rsidR="00922249" w:rsidRPr="00CB2EC4" w:rsidRDefault="003011D5">
            <w:pPr>
              <w:rPr>
                <w:rFonts w:ascii="Times New Roman" w:hAnsi="Times New Roman" w:cs="Times New Roman"/>
              </w:rPr>
            </w:pPr>
            <w:r w:rsidRPr="00CB2EC4">
              <w:rPr>
                <w:rFonts w:ascii="Times New Roman" w:hAnsi="Times New Roman" w:cs="Times New Roman"/>
              </w:rPr>
              <w:t>IMRT (Intensity-Modulated Radiation Therapy) offers several advantages in the radiotherapy of cervical cancer:</w:t>
            </w:r>
            <w:r w:rsidRPr="00CB2EC4">
              <w:rPr>
                <w:rFonts w:ascii="Times New Roman" w:hAnsi="Times New Roman" w:cs="Times New Roman"/>
              </w:rPr>
              <w:br/>
            </w:r>
            <w:r w:rsidRPr="00CB2EC4">
              <w:rPr>
                <w:rFonts w:ascii="Times New Roman" w:hAnsi="Times New Roman" w:cs="Times New Roman"/>
              </w:rPr>
              <w:br/>
              <w:t>1.  **Improved Target Conformality**: IMRT allows for highly conformal dose distributions that precisely match the shape of the tumor target volume, including irregular and concave shapes, which is particularly beneficial given the complex anatomy surrounding the cervix (e.g., bladder, rectum, bowel loops, bone marrow).</w:t>
            </w:r>
            <w:r w:rsidRPr="00CB2EC4">
              <w:rPr>
                <w:rFonts w:ascii="Times New Roman" w:hAnsi="Times New Roman" w:cs="Times New Roman"/>
              </w:rPr>
              <w:br/>
              <w:t>2.  **Reduced Dose to Organs at Risk (OARs)**: Compared to conventional box techniques or 3D-CRT, IMRT significantly lowers the radiation dose delivered to critical normal tissues adjacent to the target. This includes:</w:t>
            </w:r>
            <w:r w:rsidRPr="00CB2EC4">
              <w:rPr>
                <w:rFonts w:ascii="Times New Roman" w:hAnsi="Times New Roman" w:cs="Times New Roman"/>
              </w:rPr>
              <w:br/>
              <w:t xml:space="preserve">    *   **Bladder**: Reduced risk of radiation cystitis.</w:t>
            </w:r>
            <w:r w:rsidRPr="00CB2EC4">
              <w:rPr>
                <w:rFonts w:ascii="Times New Roman" w:hAnsi="Times New Roman" w:cs="Times New Roman"/>
              </w:rPr>
              <w:br/>
              <w:t xml:space="preserve">    *   **Rectum**: Reduced risk of radiation proctitis and rectal bleeding.</w:t>
            </w:r>
            <w:r w:rsidRPr="00CB2EC4">
              <w:rPr>
                <w:rFonts w:ascii="Times New Roman" w:hAnsi="Times New Roman" w:cs="Times New Roman"/>
              </w:rPr>
              <w:br/>
              <w:t xml:space="preserve">    *   **Small Bowel**: Reduced volume of bowel exposed to high doses, lowering the risk of acute and chronic enteritis.</w:t>
            </w:r>
            <w:r w:rsidRPr="00CB2EC4">
              <w:rPr>
                <w:rFonts w:ascii="Times New Roman" w:hAnsi="Times New Roman" w:cs="Times New Roman"/>
              </w:rPr>
              <w:br/>
              <w:t xml:space="preserve">    *   **Bone Marrow**: Better sparing of pelvic bone marrow, potentially reducing treatment-related hematologic toxicity (e.g., leukopenia, anemia, thrombocytopenia).</w:t>
            </w:r>
            <w:r w:rsidRPr="00CB2EC4">
              <w:rPr>
                <w:rFonts w:ascii="Times New Roman" w:hAnsi="Times New Roman" w:cs="Times New Roman"/>
              </w:rPr>
              <w:br/>
              <w:t>3.  **Enhanced Dose Escalation Potential**: The ability to spare normal tissues enables the safe delivery of higher radiation doses to the tumor target volume, which may improve tumor control rates.</w:t>
            </w:r>
            <w:r w:rsidRPr="00CB2EC4">
              <w:rPr>
                <w:rFonts w:ascii="Times New Roman" w:hAnsi="Times New Roman" w:cs="Times New Roman"/>
              </w:rPr>
              <w:br/>
              <w:t xml:space="preserve">4.  **Improved Homogeneity within the Target**: </w:t>
            </w:r>
            <w:r w:rsidRPr="00CB2EC4">
              <w:rPr>
                <w:rFonts w:ascii="Times New Roman" w:hAnsi="Times New Roman" w:cs="Times New Roman"/>
              </w:rPr>
              <w:lastRenderedPageBreak/>
              <w:t>IMRT can achieve a more uniform dose distribution throughout the planning target volume (PTV), minimizing "hot spots" (areas of excessively high dose) within the target itself.</w:t>
            </w:r>
            <w:r w:rsidRPr="00CB2EC4">
              <w:rPr>
                <w:rFonts w:ascii="Times New Roman" w:hAnsi="Times New Roman" w:cs="Times New Roman"/>
              </w:rPr>
              <w:br/>
              <w:t>5.  **Facilitation of Simultaneous Integrated Boost (SIB)**: IMRT enables the delivery of different dose levels to distinct target volumes (e.g., high-risk clinical target volume and elective nodal clinical target volume) within a single treatment fraction, improving efficiency and potentially biological effectiveness.</w:t>
            </w:r>
            <w:r w:rsidRPr="00CB2EC4">
              <w:rPr>
                <w:rFonts w:ascii="Times New Roman" w:hAnsi="Times New Roman" w:cs="Times New Roman"/>
              </w:rPr>
              <w:br/>
              <w:t>6.  **Potential for Reduced Treatment Toxicity**: By minimizing radiation exposure to healthy tissues, IMRT contributes to lower rates of both acute (e.g., diarrhea, cystitis, skin reactions) and long-term (late) toxicities compared to older techniques.</w:t>
            </w:r>
            <w:r w:rsidRPr="00CB2EC4">
              <w:rPr>
                <w:rFonts w:ascii="Times New Roman" w:hAnsi="Times New Roman" w:cs="Times New Roman"/>
              </w:rPr>
              <w:br/>
              <w:t>7.  **Potential for Improved Quality of Life**: Reduced treatment-related side effects directly translate to better preservation of patients' quality of life during and after therapy.</w:t>
            </w:r>
            <w:r w:rsidRPr="00CB2EC4">
              <w:rPr>
                <w:rFonts w:ascii="Times New Roman" w:hAnsi="Times New Roman" w:cs="Times New Roman"/>
              </w:rPr>
              <w:br/>
            </w:r>
            <w:r w:rsidRPr="00CB2EC4">
              <w:rPr>
                <w:rFonts w:ascii="Times New Roman" w:hAnsi="Times New Roman" w:cs="Times New Roman"/>
              </w:rPr>
              <w:br/>
              <w:t>These advantages make IMRT the preferred standard for external beam radiotherapy (EBRT) in cervical cancer treatment planning, especially when combined with image guidance (IGRT) and often followed by brachytherapy.</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6C0A88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B19B2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3E77B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350D221" w14:textId="77777777">
        <w:tc>
          <w:tcPr>
            <w:tcW w:w="2160" w:type="dxa"/>
            <w:vAlign w:val="center"/>
          </w:tcPr>
          <w:p w14:paraId="61E06CAE"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9B641A0"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advantages of IMRT (intensity-modulated radiotherapy) in the radiotherapy of cervical cancer?</w:t>
            </w:r>
            <w:r w:rsidRPr="00CB2EC4">
              <w:rPr>
                <w:rFonts w:ascii="Times New Roman" w:hAnsi="Times New Roman" w:cs="Times New Roman"/>
              </w:rPr>
              <w:br/>
            </w:r>
            <w:r w:rsidRPr="00CB2EC4">
              <w:rPr>
                <w:rFonts w:ascii="Times New Roman" w:hAnsi="Times New Roman" w:cs="Times New Roman"/>
              </w:rPr>
              <w:br/>
              <w:t xml:space="preserve">- The main advantage of IMRT is the reduction of radiation toxicity and adverse reactions in normal </w:t>
            </w:r>
            <w:r w:rsidRPr="00CB2EC4">
              <w:rPr>
                <w:rFonts w:ascii="Times New Roman" w:hAnsi="Times New Roman" w:cs="Times New Roman"/>
              </w:rPr>
              <w:lastRenderedPageBreak/>
              <w:t>tissues, while improving treatment precision.</w:t>
            </w:r>
            <w:r w:rsidRPr="00CB2EC4">
              <w:rPr>
                <w:rFonts w:ascii="Times New Roman" w:hAnsi="Times New Roman" w:cs="Times New Roman"/>
              </w:rPr>
              <w:br/>
              <w:t>- Rationale: As indicated in relevant segment 2, "IMRT is an advanced and refined radiotherapy technique that can reduce adverse reactions," especially when covering the tumor bed and lymph node regions, it minimizes damage to the rectum, bladder, and sigmoid colon (segment 5). Segment 5 emphasizes that IMRT, based on image guidance (CT or MRI), enables highly conformal radiation fields and reduces complications such as gastrointestinal toxicity (incidence approximately 10%).</w:t>
            </w:r>
            <w:r w:rsidRPr="00CB2EC4">
              <w:rPr>
                <w:rFonts w:ascii="Times New Roman" w:hAnsi="Times New Roman" w:cs="Times New Roman"/>
              </w:rPr>
              <w:br/>
              <w:t>- Key details: IMRT is applicable for postoperative adjuvant radiotherapy or definitive radiotherapy, with doses typically 45–50 Gy, and can protect organs such as the rectum (D2cc ≤ 65–75 Gy) and bladder (D2cc ≤ 80–90 Gy) (segment 5).</w:t>
            </w:r>
          </w:p>
        </w:tc>
        <w:tc>
          <w:tcPr>
            <w:tcW w:w="1152" w:type="dxa"/>
            <w:vAlign w:val="center"/>
          </w:tcPr>
          <w:p w14:paraId="60007E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140D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51B3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57E5EC" w14:textId="77777777">
        <w:tc>
          <w:tcPr>
            <w:tcW w:w="2160" w:type="dxa"/>
            <w:vAlign w:val="center"/>
          </w:tcPr>
          <w:p w14:paraId="4E99DBC2"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F907BEA"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advantages of IMRT (Intensity-Modulated Radiation Therapy) in the radiotherapy of cervical cancer?</w:t>
            </w:r>
            <w:r w:rsidRPr="00CB2EC4">
              <w:rPr>
                <w:rFonts w:ascii="Times New Roman" w:hAnsi="Times New Roman" w:cs="Times New Roman"/>
              </w:rPr>
              <w:br/>
            </w:r>
            <w:r w:rsidRPr="00CB2EC4">
              <w:rPr>
                <w:rFonts w:ascii="Times New Roman" w:hAnsi="Times New Roman" w:cs="Times New Roman"/>
              </w:rPr>
              <w:br/>
              <w:t>The advantages of IMRT in the radiotherapy of cervical cancer include:</w:t>
            </w:r>
            <w:r w:rsidRPr="00CB2EC4">
              <w:rPr>
                <w:rFonts w:ascii="Times New Roman" w:hAnsi="Times New Roman" w:cs="Times New Roman"/>
              </w:rPr>
              <w:br/>
              <w:t>- More precise dose distribution: Through computer optimization, high-dose radiation is concentrated on the tumor target volume while sparing surrounding normal tissues (such as the bladder, rectum, and small intestine).</w:t>
            </w:r>
            <w:r w:rsidRPr="00CB2EC4">
              <w:rPr>
                <w:rFonts w:ascii="Times New Roman" w:hAnsi="Times New Roman" w:cs="Times New Roman"/>
              </w:rPr>
              <w:br/>
              <w:t>- Reduced side effects: Significantly lowers the risk of radiation-induced injuries, such as radiation enteritis, cystitis, and myelosuppression, thereby improving patient quality of life.</w:t>
            </w:r>
            <w:r w:rsidRPr="00CB2EC4">
              <w:rPr>
                <w:rFonts w:ascii="Times New Roman" w:hAnsi="Times New Roman" w:cs="Times New Roman"/>
              </w:rPr>
              <w:br/>
              <w:t xml:space="preserve">- Enhanced treatment tolerance and efficacy: Particularly beneficial for patients with locally advanced or recurrent disease, allowing delivery of </w:t>
            </w:r>
            <w:r w:rsidRPr="00CB2EC4">
              <w:rPr>
                <w:rFonts w:ascii="Times New Roman" w:hAnsi="Times New Roman" w:cs="Times New Roman"/>
              </w:rPr>
              <w:lastRenderedPageBreak/>
              <w:t>higher radiation doses to increase tumor control rates without raising complication rates.</w:t>
            </w:r>
          </w:p>
        </w:tc>
        <w:tc>
          <w:tcPr>
            <w:tcW w:w="1152" w:type="dxa"/>
            <w:vAlign w:val="center"/>
          </w:tcPr>
          <w:p w14:paraId="64EEBA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564F3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F04A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21D7E8" w14:textId="77777777">
        <w:tc>
          <w:tcPr>
            <w:tcW w:w="10656" w:type="dxa"/>
            <w:gridSpan w:val="5"/>
            <w:tcBorders>
              <w:bottom w:val="single" w:sz="6" w:space="0" w:color="auto"/>
            </w:tcBorders>
            <w:vAlign w:val="center"/>
          </w:tcPr>
          <w:p w14:paraId="2C1C48C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74: What are the common sites of recurrence in cervical cancer? How is the risk of recurrence monitored?</w:t>
            </w:r>
          </w:p>
        </w:tc>
      </w:tr>
      <w:tr w:rsidR="00922249" w:rsidRPr="00CB2EC4" w14:paraId="42862F5E" w14:textId="77777777">
        <w:tc>
          <w:tcPr>
            <w:tcW w:w="2160" w:type="dxa"/>
            <w:vAlign w:val="center"/>
          </w:tcPr>
          <w:p w14:paraId="3164CDA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332488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sites of cervical cancer recurrence include:  </w:t>
            </w:r>
            <w:r w:rsidRPr="00CB2EC4">
              <w:rPr>
                <w:rFonts w:ascii="Times New Roman" w:hAnsi="Times New Roman" w:cs="Times New Roman"/>
              </w:rPr>
              <w:br/>
              <w:t xml:space="preserve">- Central recurrence: involving the cervix locally, vaginal vault, vaginal stump, bladder or rectal mucosa (e.g., stage IVA). The document states that central recurrence after radiotherapy commonly occurs in the cervix, vagina, and other sites (see "Management of Recurrent Cancer" section).  </w:t>
            </w:r>
            <w:r w:rsidRPr="00CB2EC4">
              <w:rPr>
                <w:rFonts w:ascii="Times New Roman" w:hAnsi="Times New Roman" w:cs="Times New Roman"/>
              </w:rPr>
              <w:br/>
              <w:t xml:space="preserve">- Non-central recurrence: including the pelvic sidewall (pelvic wall), distant metastases such as lung, liver, bone, etc. (see "Post-Treatment Follow-Up" and "Distant Metastatic Cervical Cancer" sections). The document notes that approximately 65% of cured patients may experience recurrence, with 50% occurring within the first year after treatment.  </w:t>
            </w:r>
            <w:r w:rsidRPr="00CB2EC4">
              <w:rPr>
                <w:rFonts w:ascii="Times New Roman" w:hAnsi="Times New Roman" w:cs="Times New Roman"/>
              </w:rPr>
              <w:br/>
            </w:r>
            <w:r w:rsidRPr="00CB2EC4">
              <w:rPr>
                <w:rFonts w:ascii="Times New Roman" w:hAnsi="Times New Roman" w:cs="Times New Roman"/>
              </w:rPr>
              <w:br/>
              <w:t xml:space="preserve">methods for monitoring recurrence risk:  </w:t>
            </w:r>
            <w:r w:rsidRPr="00CB2EC4">
              <w:rPr>
                <w:rFonts w:ascii="Times New Roman" w:hAnsi="Times New Roman" w:cs="Times New Roman"/>
              </w:rPr>
              <w:br/>
              <w:t xml:space="preserve">- Follow-up examinations: regular post-treatment follow-up is key. Every 3 months in the first year, every 6 months in the second year, and annually after the third year. Content includes:  </w:t>
            </w:r>
            <w:r w:rsidRPr="00CB2EC4">
              <w:rPr>
                <w:rFonts w:ascii="Times New Roman" w:hAnsi="Times New Roman" w:cs="Times New Roman"/>
              </w:rPr>
              <w:br/>
              <w:t xml:space="preserve">  - Physical examination: focused pelvic exam to observe for ulceration or induration of the vaginal apex/cervix, and whether parametrial tissue is nodular and fixed (distinguished from post-radiation fibrosis).  </w:t>
            </w:r>
            <w:r w:rsidRPr="00CB2EC4">
              <w:rPr>
                <w:rFonts w:ascii="Times New Roman" w:hAnsi="Times New Roman" w:cs="Times New Roman"/>
              </w:rPr>
              <w:br/>
              <w:t xml:space="preserve">  - Ancillary tests:  </w:t>
            </w:r>
            <w:r w:rsidRPr="00CB2EC4">
              <w:rPr>
                <w:rFonts w:ascii="Times New Roman" w:hAnsi="Times New Roman" w:cs="Times New Roman"/>
              </w:rPr>
              <w:br/>
              <w:t xml:space="preserve">    - Vaginal apex/cervical cytology (at each follow-up), but interpretation after radiotherapy requires caution (biopsy confirmation should be performed at least 3 months after completion of radiotherapy).  </w:t>
            </w:r>
            <w:r w:rsidRPr="00CB2EC4">
              <w:rPr>
                <w:rFonts w:ascii="Times New Roman" w:hAnsi="Times New Roman" w:cs="Times New Roman"/>
              </w:rPr>
              <w:br/>
            </w:r>
            <w:r w:rsidRPr="00CB2EC4">
              <w:rPr>
                <w:rFonts w:ascii="Times New Roman" w:hAnsi="Times New Roman" w:cs="Times New Roman"/>
              </w:rPr>
              <w:lastRenderedPageBreak/>
              <w:t xml:space="preserve">    - Imaging: such as chest X-ray, ultrasound, CT or MRI for suspicious sites (e.g., perform biopsy on enlarged supraclavicular lymph nodes); PET/CT or MRI to evaluate distant metastases.  </w:t>
            </w:r>
            <w:r w:rsidRPr="00CB2EC4">
              <w:rPr>
                <w:rFonts w:ascii="Times New Roman" w:hAnsi="Times New Roman" w:cs="Times New Roman"/>
              </w:rPr>
              <w:br/>
              <w:t xml:space="preserve">    - Biopsy: histopathological confirmation of suspicious recurrent lesions (e.g., needle aspiration or endocervical curettage).  </w:t>
            </w:r>
            <w:r w:rsidRPr="00CB2EC4">
              <w:rPr>
                <w:rFonts w:ascii="Times New Roman" w:hAnsi="Times New Roman" w:cs="Times New Roman"/>
              </w:rPr>
              <w:br/>
              <w:t>- The document emphasizes that recurrence risk monitoring should combine symptoms (e.g., pain, bleeding) and initial treatment modality (management differs for recurrence after surgery versus radiotherapy) (see "Post-Treatment Follow-Up" section).</w:t>
            </w:r>
          </w:p>
        </w:tc>
        <w:tc>
          <w:tcPr>
            <w:tcW w:w="1152" w:type="dxa"/>
            <w:vAlign w:val="center"/>
          </w:tcPr>
          <w:p w14:paraId="3B141F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DFFE8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D9184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BB4DA28" w14:textId="77777777">
        <w:tc>
          <w:tcPr>
            <w:tcW w:w="2160" w:type="dxa"/>
            <w:vAlign w:val="center"/>
          </w:tcPr>
          <w:p w14:paraId="30D3F307"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E1F3121" w14:textId="77777777" w:rsidR="00922249" w:rsidRPr="00CB2EC4" w:rsidRDefault="003011D5">
            <w:pPr>
              <w:rPr>
                <w:rFonts w:ascii="Times New Roman" w:hAnsi="Times New Roman" w:cs="Times New Roman"/>
              </w:rPr>
            </w:pPr>
            <w:r w:rsidRPr="00CB2EC4">
              <w:rPr>
                <w:rFonts w:ascii="Times New Roman" w:hAnsi="Times New Roman" w:cs="Times New Roman"/>
              </w:rPr>
              <w:t>the common sites of cervical cancer recurrence include the pelvis (central recurrence) and para-aortic lymph nodes; monitoring recurrence risk primarily involves regular follow-up, imaging examinations, and biopsy.</w:t>
            </w:r>
            <w:r w:rsidRPr="00CB2EC4">
              <w:rPr>
                <w:rFonts w:ascii="Times New Roman" w:hAnsi="Times New Roman" w:cs="Times New Roman"/>
              </w:rPr>
              <w:br/>
            </w:r>
            <w:r w:rsidRPr="00CB2EC4">
              <w:rPr>
                <w:rFonts w:ascii="Times New Roman" w:hAnsi="Times New Roman" w:cs="Times New Roman"/>
              </w:rPr>
              <w:br/>
              <w:t>- Basis:</w:t>
            </w:r>
            <w:r w:rsidRPr="00CB2EC4">
              <w:rPr>
                <w:rFonts w:ascii="Times New Roman" w:hAnsi="Times New Roman" w:cs="Times New Roman"/>
              </w:rPr>
              <w:br/>
              <w:t xml:space="preserve">  - Common sites:</w:t>
            </w:r>
            <w:r w:rsidRPr="00CB2EC4">
              <w:rPr>
                <w:rFonts w:ascii="Times New Roman" w:hAnsi="Times New Roman" w:cs="Times New Roman"/>
              </w:rPr>
              <w:br/>
              <w:t xml:space="preserve">    - Document fragment 11 (topic: diagnosis and management of cervical cancer recurrence) states: "The pelvis is the most common site of recurrence," and "Para-aortic lymph nodes are the second most common site of recurrence."</w:t>
            </w:r>
            <w:r w:rsidRPr="00CB2EC4">
              <w:rPr>
                <w:rFonts w:ascii="Times New Roman" w:hAnsi="Times New Roman" w:cs="Times New Roman"/>
              </w:rPr>
              <w:br/>
              <w:t xml:space="preserve">    - Document fragment 19 (topic: palliative care and radiotherapy for cervical cancer) adds: "Common sites of recurrence in advanced cervical cancer include the pelvis, lymph nodes (such as supraclavicular lymph nodes), as well as bone metastases or distant organs."</w:t>
            </w:r>
            <w:r w:rsidRPr="00CB2EC4">
              <w:rPr>
                <w:rFonts w:ascii="Times New Roman" w:hAnsi="Times New Roman" w:cs="Times New Roman"/>
              </w:rPr>
              <w:br/>
              <w:t xml:space="preserve">  - Monitoring methods:</w:t>
            </w:r>
            <w:r w:rsidRPr="00CB2EC4">
              <w:rPr>
                <w:rFonts w:ascii="Times New Roman" w:hAnsi="Times New Roman" w:cs="Times New Roman"/>
              </w:rPr>
              <w:br/>
              <w:t xml:space="preserve">    - Document fragment 11 details: During follow-up, perform physical examination (including </w:t>
            </w:r>
            <w:r w:rsidRPr="00CB2EC4">
              <w:rPr>
                <w:rFonts w:ascii="Times New Roman" w:hAnsi="Times New Roman" w:cs="Times New Roman"/>
              </w:rPr>
              <w:lastRenderedPageBreak/>
              <w:t>gynecological exam), vaginal vault/cervical cytology, and imaging (such as ultrasound, CT, MRI, or PET-CT). Biopsy is the gold standard for confirmation, recommended at 3 months post-radiotherapy, with image-guided needle biopsy when necessary.</w:t>
            </w:r>
            <w:r w:rsidRPr="00CB2EC4">
              <w:rPr>
                <w:rFonts w:ascii="Times New Roman" w:hAnsi="Times New Roman" w:cs="Times New Roman"/>
              </w:rPr>
              <w:br/>
              <w:t xml:space="preserve">    - Document fragment 6 (topic: treatment strategies for cervical cancer recurrence) notes: For high-risk patients (e.g., post-surgery or post-radiotherapy), regularly assess symptoms (such as pain, bleeding) and combine with tumor marker testing (e.g., SCC).</w:t>
            </w:r>
            <w:r w:rsidRPr="00CB2EC4">
              <w:rPr>
                <w:rFonts w:ascii="Times New Roman" w:hAnsi="Times New Roman" w:cs="Times New Roman"/>
              </w:rPr>
              <w:br/>
              <w:t xml:space="preserve">  Summary: Common recurrence sites are the pelvis and lymph nodes; monitoring includes clinical follow-up every 3–6 months, cytology, imaging assessment, and targeted biopsy.</w:t>
            </w:r>
          </w:p>
        </w:tc>
        <w:tc>
          <w:tcPr>
            <w:tcW w:w="1152" w:type="dxa"/>
            <w:vAlign w:val="center"/>
          </w:tcPr>
          <w:p w14:paraId="1DAC93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0AF37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EB58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D64D06" w14:textId="77777777">
        <w:tc>
          <w:tcPr>
            <w:tcW w:w="2160" w:type="dxa"/>
            <w:vAlign w:val="center"/>
          </w:tcPr>
          <w:p w14:paraId="74220D8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96D6AC0" w14:textId="77777777" w:rsidR="00922249" w:rsidRPr="00CB2EC4" w:rsidRDefault="003011D5">
            <w:pPr>
              <w:rPr>
                <w:rFonts w:ascii="Times New Roman" w:hAnsi="Times New Roman" w:cs="Times New Roman"/>
              </w:rPr>
            </w:pPr>
            <w:r w:rsidRPr="00CB2EC4">
              <w:rPr>
                <w:rFonts w:ascii="Times New Roman" w:hAnsi="Times New Roman" w:cs="Times New Roman"/>
              </w:rPr>
              <w:t>the common sites of cervical cancer recurrence include the central pelvis, lateral walls, lymph nodes, and distant organs. monitoring for recurrence risk is primarily achieved through regular follow-up, cytological examination, and imaging assessment. key information from document excerpts 3, 8, 15, and 22:</w:t>
            </w:r>
            <w:r w:rsidRPr="00CB2EC4">
              <w:rPr>
                <w:rFonts w:ascii="Times New Roman" w:hAnsi="Times New Roman" w:cs="Times New Roman"/>
              </w:rPr>
              <w:br/>
            </w:r>
            <w:r w:rsidRPr="00CB2EC4">
              <w:rPr>
                <w:rFonts w:ascii="Times New Roman" w:hAnsi="Times New Roman" w:cs="Times New Roman"/>
              </w:rPr>
              <w:br/>
              <w:t>- common recurrence sites:</w:t>
            </w:r>
            <w:r w:rsidRPr="00CB2EC4">
              <w:rPr>
                <w:rFonts w:ascii="Times New Roman" w:hAnsi="Times New Roman" w:cs="Times New Roman"/>
              </w:rPr>
              <w:br/>
              <w:t xml:space="preserve">  - central recurrence (e.g., vaginal apex, cervical area): excerpt 3 states "central recurrence of cervical cancer is most suitable for pelvic exenteration," with a 5-year survival rate of up to 50%.</w:t>
            </w:r>
            <w:r w:rsidRPr="00CB2EC4">
              <w:rPr>
                <w:rFonts w:ascii="Times New Roman" w:hAnsi="Times New Roman" w:cs="Times New Roman"/>
              </w:rPr>
              <w:br/>
              <w:t xml:space="preserve">  - lateral wall spread: excerpt 3 describes "patients with lateral wall spread," with a 5-year survival rate of only 20%.</w:t>
            </w:r>
            <w:r w:rsidRPr="00CB2EC4">
              <w:rPr>
                <w:rFonts w:ascii="Times New Roman" w:hAnsi="Times New Roman" w:cs="Times New Roman"/>
              </w:rPr>
              <w:br/>
              <w:t xml:space="preserve">  - pelvic lymph node metastasis: excerpt 3 notes "patients with recurrent cervical cancer with pelvic lymph node metastasis have an overall efficacy of 5% to 10%."</w:t>
            </w:r>
            <w:r w:rsidRPr="00CB2EC4">
              <w:rPr>
                <w:rFonts w:ascii="Times New Roman" w:hAnsi="Times New Roman" w:cs="Times New Roman"/>
              </w:rPr>
              <w:br/>
              <w:t xml:space="preserve">  - distant metastasis: such as supraclavicular lymph </w:t>
            </w:r>
            <w:r w:rsidRPr="00CB2EC4">
              <w:rPr>
                <w:rFonts w:ascii="Times New Roman" w:hAnsi="Times New Roman" w:cs="Times New Roman"/>
              </w:rPr>
              <w:lastRenderedPageBreak/>
              <w:t>nodes, para-aortic region, liver, lung, etc. (excerpts 8 and 15); excerpt 8 mentions "if para-aortic lymph node metastasis or liver metastasis is suspected."</w:t>
            </w:r>
            <w:r w:rsidRPr="00CB2EC4">
              <w:rPr>
                <w:rFonts w:ascii="Times New Roman" w:hAnsi="Times New Roman" w:cs="Times New Roman"/>
              </w:rPr>
              <w:br/>
            </w:r>
            <w:r w:rsidRPr="00CB2EC4">
              <w:rPr>
                <w:rFonts w:ascii="Times New Roman" w:hAnsi="Times New Roman" w:cs="Times New Roman"/>
              </w:rPr>
              <w:br/>
              <w:t>- methods for monitoring recurrence risk:</w:t>
            </w:r>
            <w:r w:rsidRPr="00CB2EC4">
              <w:rPr>
                <w:rFonts w:ascii="Times New Roman" w:hAnsi="Times New Roman" w:cs="Times New Roman"/>
              </w:rPr>
              <w:br/>
              <w:t xml:space="preserve">  - regular follow-up: excerpt 22 specifies follow-up intervals (every 3 months in the first year after treatment, every 6 months in the second year, annually in the third year), emphasizing observation of symptoms and signs.</w:t>
            </w:r>
            <w:r w:rsidRPr="00CB2EC4">
              <w:rPr>
                <w:rFonts w:ascii="Times New Roman" w:hAnsi="Times New Roman" w:cs="Times New Roman"/>
              </w:rPr>
              <w:br/>
              <w:t xml:space="preserve">  - cytological examination: excerpt 8 states "each follow-up should include cytological examination of the vaginal apex/cervix, which can detect patients with early central recurrence."</w:t>
            </w:r>
            <w:r w:rsidRPr="00CB2EC4">
              <w:rPr>
                <w:rFonts w:ascii="Times New Roman" w:hAnsi="Times New Roman" w:cs="Times New Roman"/>
              </w:rPr>
              <w:br/>
              <w:t xml:space="preserve">  - imaging examinations: including CT, ultrasound, MRI, or PET/CT (excerpts 8 and 15). excerpt 8 describes: "if parametrial recurrence is suspected, needle biopsy under CT guidance can be performed under anesthesia; if para-aortic lymph node metastasis or liver metastasis is suspected, needle biopsy can be performed under ultrasound or CT guidance." excerpt 15 adds: "suspected recurrence or metastasis: PET/CT + pelvic MRI."</w:t>
            </w:r>
            <w:r w:rsidRPr="00CB2EC4">
              <w:rPr>
                <w:rFonts w:ascii="Times New Roman" w:hAnsi="Times New Roman" w:cs="Times New Roman"/>
              </w:rPr>
              <w:br/>
              <w:t xml:space="preserve">  - symptom and sign monitoring: excerpt 15 lists recurrence symptoms such as "abnormal vaginal bleeding, weight loss, decreased appetite, pelvic, buttock, waist, back, or leg pain, persistent cough, new pelvic or abdominal masses, abnormally enlarged lymph nodes."</w:t>
            </w:r>
            <w:r w:rsidRPr="00CB2EC4">
              <w:rPr>
                <w:rFonts w:ascii="Times New Roman" w:hAnsi="Times New Roman" w:cs="Times New Roman"/>
              </w:rPr>
              <w:br/>
            </w:r>
            <w:r w:rsidRPr="00CB2EC4">
              <w:rPr>
                <w:rFonts w:ascii="Times New Roman" w:hAnsi="Times New Roman" w:cs="Times New Roman"/>
              </w:rPr>
              <w:br/>
              <w:t xml:space="preserve">in summary, common recurrence sites are the central pelvis, lateral walls, lymph nodes, and distant organs; monitoring methods include strict follow-up schedules, vaginal cytology, imaging techniques (CT, </w:t>
            </w:r>
            <w:r w:rsidRPr="00CB2EC4">
              <w:rPr>
                <w:rFonts w:ascii="Times New Roman" w:hAnsi="Times New Roman" w:cs="Times New Roman"/>
              </w:rPr>
              <w:lastRenderedPageBreak/>
              <w:t>ultrasound, MRI, PET/CT), and symptom assessment.</w:t>
            </w:r>
          </w:p>
        </w:tc>
        <w:tc>
          <w:tcPr>
            <w:tcW w:w="1152" w:type="dxa"/>
            <w:vAlign w:val="center"/>
          </w:tcPr>
          <w:p w14:paraId="55A533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DC3CF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0E54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DA6EFB" w14:textId="77777777">
        <w:tc>
          <w:tcPr>
            <w:tcW w:w="2160" w:type="dxa"/>
            <w:vAlign w:val="center"/>
          </w:tcPr>
          <w:p w14:paraId="7455C20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1900B70C" w14:textId="77777777" w:rsidR="00922249" w:rsidRPr="00CB2EC4" w:rsidRDefault="003011D5">
            <w:pPr>
              <w:rPr>
                <w:rFonts w:ascii="Times New Roman" w:hAnsi="Times New Roman" w:cs="Times New Roman"/>
              </w:rPr>
            </w:pPr>
            <w:r w:rsidRPr="00CB2EC4">
              <w:rPr>
                <w:rFonts w:ascii="Times New Roman" w:hAnsi="Times New Roman" w:cs="Times New Roman"/>
              </w:rPr>
              <w:t>common sites of cervical cancer recurrence and monitoring methods</w:t>
            </w:r>
            <w:r w:rsidRPr="00CB2EC4">
              <w:rPr>
                <w:rFonts w:ascii="Times New Roman" w:hAnsi="Times New Roman" w:cs="Times New Roman"/>
              </w:rPr>
              <w:br/>
            </w:r>
            <w:r w:rsidRPr="00CB2EC4">
              <w:rPr>
                <w:rFonts w:ascii="Times New Roman" w:hAnsi="Times New Roman" w:cs="Times New Roman"/>
              </w:rPr>
              <w:br/>
              <w:t xml:space="preserve">Comprehensive response:  </w:t>
            </w:r>
            <w:r w:rsidRPr="00CB2EC4">
              <w:rPr>
                <w:rFonts w:ascii="Times New Roman" w:hAnsi="Times New Roman" w:cs="Times New Roman"/>
              </w:rPr>
              <w:br/>
              <w:t xml:space="preserve">- Common recurrence sites:  </w:t>
            </w:r>
            <w:r w:rsidRPr="00CB2EC4">
              <w:rPr>
                <w:rFonts w:ascii="Times New Roman" w:hAnsi="Times New Roman" w:cs="Times New Roman"/>
              </w:rPr>
              <w:br/>
              <w:t xml:space="preserve">  - Central recurrence: vaginal cuff, cervical stump (accounting for 60%~70%).  </w:t>
            </w:r>
            <w:r w:rsidRPr="00CB2EC4">
              <w:rPr>
                <w:rFonts w:ascii="Times New Roman" w:hAnsi="Times New Roman" w:cs="Times New Roman"/>
              </w:rPr>
              <w:br/>
              <w:t xml:space="preserve">  - Non-central recurrence: pelvic sidewall, lymph nodes (common iliac, para-aortic), distant metastases (lung, bone).  </w:t>
            </w:r>
            <w:r w:rsidRPr="00CB2EC4">
              <w:rPr>
                <w:rFonts w:ascii="Times New Roman" w:hAnsi="Times New Roman" w:cs="Times New Roman"/>
              </w:rPr>
              <w:br/>
              <w:t xml:space="preserve">- Monitoring methods:  </w:t>
            </w:r>
            <w:r w:rsidRPr="00CB2EC4">
              <w:rPr>
                <w:rFonts w:ascii="Times New Roman" w:hAnsi="Times New Roman" w:cs="Times New Roman"/>
              </w:rPr>
              <w:br/>
              <w:t xml:space="preserve">  - Based on knowledge base (Chapter 11):  </w:t>
            </w:r>
            <w:r w:rsidRPr="00CB2EC4">
              <w:rPr>
                <w:rFonts w:ascii="Times New Roman" w:hAnsi="Times New Roman" w:cs="Times New Roman"/>
              </w:rPr>
              <w:br/>
              <w:t xml:space="preserve">    - Follow-up: physical examination + vaginal cytology + HPV testing every 3~6 months within 2 years post-surgery.  </w:t>
            </w:r>
            <w:r w:rsidRPr="00CB2EC4">
              <w:rPr>
                <w:rFonts w:ascii="Times New Roman" w:hAnsi="Times New Roman" w:cs="Times New Roman"/>
              </w:rPr>
              <w:br/>
              <w:t xml:space="preserve">    - Imaging: PET/CT (most sensitive), pelvic MRI (assess parametrium), chest CT (lung metastases).  </w:t>
            </w:r>
            <w:r w:rsidRPr="00CB2EC4">
              <w:rPr>
                <w:rFonts w:ascii="Times New Roman" w:hAnsi="Times New Roman" w:cs="Times New Roman"/>
              </w:rPr>
              <w:br/>
              <w:t xml:space="preserve">    - Biopsy: histopathological confirmation required for suspicious lesions (more than 3 months after radiotherapy).  </w:t>
            </w:r>
            <w:r w:rsidRPr="00CB2EC4">
              <w:rPr>
                <w:rFonts w:ascii="Times New Roman" w:hAnsi="Times New Roman" w:cs="Times New Roman"/>
              </w:rPr>
              <w:br/>
              <w:t xml:space="preserve">  - Online supplement: recurrence mostly occurs within 2 years after treatment; close monitoring of symptoms (e.g., pain, vaginal bleeding) is needed.</w:t>
            </w:r>
          </w:p>
        </w:tc>
        <w:tc>
          <w:tcPr>
            <w:tcW w:w="1152" w:type="dxa"/>
            <w:vAlign w:val="center"/>
          </w:tcPr>
          <w:p w14:paraId="4B7B05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993A2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FD90D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76EE3A1" w14:textId="77777777">
        <w:tc>
          <w:tcPr>
            <w:tcW w:w="2160" w:type="dxa"/>
            <w:vAlign w:val="center"/>
          </w:tcPr>
          <w:p w14:paraId="4AE0568B"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B64F7A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Common sites of recurrence:  </w:t>
            </w:r>
            <w:r w:rsidRPr="00CB2EC4">
              <w:rPr>
                <w:rFonts w:ascii="Times New Roman" w:hAnsi="Times New Roman" w:cs="Times New Roman"/>
              </w:rPr>
              <w:br/>
              <w:t xml:space="preserve">  - Document section 21 (6.1) states: "The pelvic central region is the most common site of recurrence," including the cervix, corpus uteri, parametrium, vagina, or bladder/rectum areas.  </w:t>
            </w:r>
            <w:r w:rsidRPr="00CB2EC4">
              <w:rPr>
                <w:rFonts w:ascii="Times New Roman" w:hAnsi="Times New Roman" w:cs="Times New Roman"/>
              </w:rPr>
              <w:br/>
              <w:t xml:space="preserve">  - Document section 21 (6.2) indicates: "Para-aortic lymph nodes are the second most common site of recurrence."  </w:t>
            </w:r>
            <w:r w:rsidRPr="00CB2EC4">
              <w:rPr>
                <w:rFonts w:ascii="Times New Roman" w:hAnsi="Times New Roman" w:cs="Times New Roman"/>
              </w:rPr>
              <w:br/>
              <w:t xml:space="preserve">  - Document section 11 (management of recurrent </w:t>
            </w:r>
            <w:r w:rsidRPr="00CB2EC4">
              <w:rPr>
                <w:rFonts w:ascii="Times New Roman" w:hAnsi="Times New Roman" w:cs="Times New Roman"/>
              </w:rPr>
              <w:lastRenderedPageBreak/>
              <w:t xml:space="preserve">cancer) adds: Other sites include the vaginal vault, parametrial tissue, and distant sites such as supraclavicular lymph nodes, liver, and lungs (though pelvic and lymph node regions are most frequent).  </w:t>
            </w:r>
            <w:r w:rsidRPr="00CB2EC4">
              <w:rPr>
                <w:rFonts w:ascii="Times New Roman" w:hAnsi="Times New Roman" w:cs="Times New Roman"/>
              </w:rPr>
              <w:br/>
              <w:t xml:space="preserve">- Methods for monitoring recurrence risk:  </w:t>
            </w:r>
            <w:r w:rsidRPr="00CB2EC4">
              <w:rPr>
                <w:rFonts w:ascii="Times New Roman" w:hAnsi="Times New Roman" w:cs="Times New Roman"/>
              </w:rPr>
              <w:br/>
              <w:t xml:space="preserve">  - Document section 11 (follow-up) specifies: Each follow-up should include "cytological examination of the vaginal vault/cervix" to detect early central recurrence; biopsy is essential for confirmation and is recommended 3 months after radiotherapy completion to avoid treatment interference.  </w:t>
            </w:r>
            <w:r w:rsidRPr="00CB2EC4">
              <w:rPr>
                <w:rFonts w:ascii="Times New Roman" w:hAnsi="Times New Roman" w:cs="Times New Roman"/>
              </w:rPr>
              <w:br/>
              <w:t xml:space="preserve">  - Document section 9 (follow-up and examination) notes: Based on symptoms and signs, selective imaging such as "chest X-ray, ultrasound, CT, MRI" is performed; for suspicious sites (e.g., parametrial recurrence), CT-guided needle aspiration biopsy under anesthesia may be used.  </w:t>
            </w:r>
            <w:r w:rsidRPr="00CB2EC4">
              <w:rPr>
                <w:rFonts w:ascii="Times New Roman" w:hAnsi="Times New Roman" w:cs="Times New Roman"/>
              </w:rPr>
              <w:br/>
              <w:t xml:space="preserve">  - Document section 21 emphasizes: For high-risk patients (e.g., short disease-free interval or large tumor size), "PET-CT scanning" is recommended to rule out distant metastases.  </w:t>
            </w:r>
            <w:r w:rsidRPr="00CB2EC4">
              <w:rPr>
                <w:rFonts w:ascii="Times New Roman" w:hAnsi="Times New Roman" w:cs="Times New Roman"/>
              </w:rPr>
              <w:br/>
              <w:t xml:space="preserve">  - Routine monitoring includes: Physical examination, gynecological examination, tumor marker testing (e.g., SCC, CEA), and regular imaging assessment (document sections 5, 9).  </w:t>
            </w:r>
            <w:r w:rsidRPr="00CB2EC4">
              <w:rPr>
                <w:rFonts w:ascii="Times New Roman" w:hAnsi="Times New Roman" w:cs="Times New Roman"/>
              </w:rPr>
              <w:br/>
              <w:t>In summary, common recurrence sites are centered in the pelvis and lymph nodes, and monitoring requires integration of clinical examination, cytology, biopsy, and imaging.</w:t>
            </w:r>
          </w:p>
        </w:tc>
        <w:tc>
          <w:tcPr>
            <w:tcW w:w="1152" w:type="dxa"/>
            <w:vAlign w:val="center"/>
          </w:tcPr>
          <w:p w14:paraId="0B7D7D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400F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AE57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83E1D9" w14:textId="77777777">
        <w:tc>
          <w:tcPr>
            <w:tcW w:w="2160" w:type="dxa"/>
            <w:vAlign w:val="center"/>
          </w:tcPr>
          <w:p w14:paraId="041F5FA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2A513B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common sites of cervical cancer recurrence include the pelvis (particularly central recurrence) and the para-aortic lymph nodes.  </w:t>
            </w:r>
            <w:r w:rsidRPr="00CB2EC4">
              <w:rPr>
                <w:rFonts w:ascii="Times New Roman" w:hAnsi="Times New Roman" w:cs="Times New Roman"/>
              </w:rPr>
              <w:br/>
              <w:t xml:space="preserve">- The pelvis is the most frequent site of recurrence (fusion scores: 0.4961 and 0.4796 from documents 7 </w:t>
            </w:r>
            <w:r w:rsidRPr="00CB2EC4">
              <w:rPr>
                <w:rFonts w:ascii="Times New Roman" w:hAnsi="Times New Roman" w:cs="Times New Roman"/>
              </w:rPr>
              <w:lastRenderedPageBreak/>
              <w:t xml:space="preserve">and 11).  </w:t>
            </w:r>
            <w:r w:rsidRPr="00CB2EC4">
              <w:rPr>
                <w:rFonts w:ascii="Times New Roman" w:hAnsi="Times New Roman" w:cs="Times New Roman"/>
              </w:rPr>
              <w:br/>
              <w:t xml:space="preserve">- Central recurrence (e.g., cervix, corpus uteri, vagina) is a surgical indication (fusion score: 0.4907, document 8).  </w:t>
            </w:r>
            <w:r w:rsidRPr="00CB2EC4">
              <w:rPr>
                <w:rFonts w:ascii="Times New Roman" w:hAnsi="Times New Roman" w:cs="Times New Roman"/>
              </w:rPr>
              <w:br/>
              <w:t xml:space="preserve">- The para-aortic lymph nodes are the second most common site (fusion score: 0.4126, document 25).  </w:t>
            </w:r>
            <w:r w:rsidRPr="00CB2EC4">
              <w:rPr>
                <w:rFonts w:ascii="Times New Roman" w:hAnsi="Times New Roman" w:cs="Times New Roman"/>
              </w:rPr>
              <w:br/>
            </w:r>
            <w:r w:rsidRPr="00CB2EC4">
              <w:rPr>
                <w:rFonts w:ascii="Times New Roman" w:hAnsi="Times New Roman" w:cs="Times New Roman"/>
              </w:rPr>
              <w:br/>
              <w:t xml:space="preserve">methods for monitoring recurrence risk:  </w:t>
            </w:r>
            <w:r w:rsidRPr="00CB2EC4">
              <w:rPr>
                <w:rFonts w:ascii="Times New Roman" w:hAnsi="Times New Roman" w:cs="Times New Roman"/>
              </w:rPr>
              <w:br/>
              <w:t xml:space="preserve">- regular follow-up: physical examination (bimanual/rectovaginal), gynecologic examination every 3–6 months, more frequent in the first 2 years.  </w:t>
            </w:r>
            <w:r w:rsidRPr="00CB2EC4">
              <w:rPr>
                <w:rFonts w:ascii="Times New Roman" w:hAnsi="Times New Roman" w:cs="Times New Roman"/>
              </w:rPr>
              <w:br/>
              <w:t xml:space="preserve">- cytology: perform vaginal vault/cervical cytology (e.g., TCT) at each visit; interpret results cautiously after radiotherapy.  </w:t>
            </w:r>
            <w:r w:rsidRPr="00CB2EC4">
              <w:rPr>
                <w:rFonts w:ascii="Times New Roman" w:hAnsi="Times New Roman" w:cs="Times New Roman"/>
              </w:rPr>
              <w:br/>
              <w:t xml:space="preserve">- imaging: selectively use chest X-ray, ultrasound, CT, MRI, or PET/CT to evaluate suspicious sites; biopsy confirmation required upon suspected recurrence (e.g., needle aspiration or endometrial curettage).  </w:t>
            </w:r>
            <w:r w:rsidRPr="00CB2EC4">
              <w:rPr>
                <w:rFonts w:ascii="Times New Roman" w:hAnsi="Times New Roman" w:cs="Times New Roman"/>
              </w:rPr>
              <w:br/>
              <w:t xml:space="preserve">- laboratory tests: tumor marker assessment (e.g., SCC, CEA).  </w:t>
            </w:r>
            <w:r w:rsidRPr="00CB2EC4">
              <w:rPr>
                <w:rFonts w:ascii="Times New Roman" w:hAnsi="Times New Roman" w:cs="Times New Roman"/>
              </w:rPr>
              <w:br/>
              <w:t xml:space="preserve">- monitoring high-risk factors: for postoperative high-risk patients (e.g., positive lymph nodes, positive margins), intensify imaging surveillance; biopsy 3 months after radiotherapy completion to avoid false positives.  </w:t>
            </w:r>
            <w:r w:rsidRPr="00CB2EC4">
              <w:rPr>
                <w:rFonts w:ascii="Times New Roman" w:hAnsi="Times New Roman" w:cs="Times New Roman"/>
              </w:rPr>
              <w:br/>
              <w:t>documents emphasize that monitoring aims to detect asymptomatic recurrence early and improve cure opportunities.</w:t>
            </w:r>
          </w:p>
        </w:tc>
        <w:tc>
          <w:tcPr>
            <w:tcW w:w="1152" w:type="dxa"/>
            <w:vAlign w:val="center"/>
          </w:tcPr>
          <w:p w14:paraId="51F1ED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3622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D215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80399E" w14:textId="77777777">
        <w:tc>
          <w:tcPr>
            <w:tcW w:w="2160" w:type="dxa"/>
            <w:vAlign w:val="center"/>
          </w:tcPr>
          <w:p w14:paraId="787C34FE"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009FB72" w14:textId="77777777" w:rsidR="00922249" w:rsidRPr="00CB2EC4" w:rsidRDefault="003011D5">
            <w:pPr>
              <w:rPr>
                <w:rFonts w:ascii="Times New Roman" w:hAnsi="Times New Roman" w:cs="Times New Roman"/>
              </w:rPr>
            </w:pPr>
            <w:r w:rsidRPr="00CB2EC4">
              <w:rPr>
                <w:rFonts w:ascii="Times New Roman" w:hAnsi="Times New Roman" w:cs="Times New Roman"/>
              </w:rPr>
              <w:t>the common sites of cervical cancer recurrence include:</w:t>
            </w:r>
            <w:r w:rsidRPr="00CB2EC4">
              <w:rPr>
                <w:rFonts w:ascii="Times New Roman" w:hAnsi="Times New Roman" w:cs="Times New Roman"/>
              </w:rPr>
              <w:br/>
              <w:t>- Pelvis: the document explicitly states that "the pelvis is the most common site of recurrence," including central recurrence (e.g., vaginal cuff, cervical area) and non-central recurrence (e.g., pelvic sidewall).</w:t>
            </w:r>
            <w:r w:rsidRPr="00CB2EC4">
              <w:rPr>
                <w:rFonts w:ascii="Times New Roman" w:hAnsi="Times New Roman" w:cs="Times New Roman"/>
              </w:rPr>
              <w:br/>
            </w:r>
            <w:r w:rsidRPr="00CB2EC4">
              <w:rPr>
                <w:rFonts w:ascii="Times New Roman" w:hAnsi="Times New Roman" w:cs="Times New Roman"/>
              </w:rPr>
              <w:lastRenderedPageBreak/>
              <w:t>- Para-aortic lymph nodes: the document notes that "para-aortic lymph nodes are the second most common site of recurrence."</w:t>
            </w:r>
            <w:r w:rsidRPr="00CB2EC4">
              <w:rPr>
                <w:rFonts w:ascii="Times New Roman" w:hAnsi="Times New Roman" w:cs="Times New Roman"/>
              </w:rPr>
              <w:br/>
              <w:t>- Other sites: distant metastases such as lung, liver, bone may also occur, but pelvis and lymph nodes are the highest frequency recurrence sites (from the section on "Treatment of Recurrent Cervical Cancer").</w:t>
            </w:r>
            <w:r w:rsidRPr="00CB2EC4">
              <w:rPr>
                <w:rFonts w:ascii="Times New Roman" w:hAnsi="Times New Roman" w:cs="Times New Roman"/>
              </w:rPr>
              <w:br/>
            </w:r>
            <w:r w:rsidRPr="00CB2EC4">
              <w:rPr>
                <w:rFonts w:ascii="Times New Roman" w:hAnsi="Times New Roman" w:cs="Times New Roman"/>
              </w:rPr>
              <w:br/>
              <w:t>methods for monitoring recurrence risk:</w:t>
            </w:r>
            <w:r w:rsidRPr="00CB2EC4">
              <w:rPr>
                <w:rFonts w:ascii="Times New Roman" w:hAnsi="Times New Roman" w:cs="Times New Roman"/>
              </w:rPr>
              <w:br/>
              <w:t>- Follow-up examinations: the document recommends regular follow-up, including:</w:t>
            </w:r>
            <w:r w:rsidRPr="00CB2EC4">
              <w:rPr>
                <w:rFonts w:ascii="Times New Roman" w:hAnsi="Times New Roman" w:cs="Times New Roman"/>
              </w:rPr>
              <w:br/>
              <w:t xml:space="preserve">  - Physical and gynecological examination: bimanual/rectovaginal examination should be performed at each visit to assess the vaginal apex, cervix, and parametrium.</w:t>
            </w:r>
            <w:r w:rsidRPr="00CB2EC4">
              <w:rPr>
                <w:rFonts w:ascii="Times New Roman" w:hAnsi="Times New Roman" w:cs="Times New Roman"/>
              </w:rPr>
              <w:br/>
              <w:t xml:space="preserve">  - Vaginal cytology: used for early detection of central recurrence, but results may be difficult to interpret after radiotherapy (biopsy confirmation is advised).</w:t>
            </w:r>
            <w:r w:rsidRPr="00CB2EC4">
              <w:rPr>
                <w:rFonts w:ascii="Times New Roman" w:hAnsi="Times New Roman" w:cs="Times New Roman"/>
              </w:rPr>
              <w:br/>
              <w:t xml:space="preserve">  - Imaging: Level I recommendation includes pelvic MRI (to assess local tumor) and CT or PET-CT of the neck, chest, abdomen, and pelvis (to evaluate metastases). The document emphasizes: "biopsy should be performed at least 3 months after completion of radiotherapy," and needle aspiration or image-guided biopsy (e.g., CT or ultrasound) can be used for definitive diagnosis.</w:t>
            </w:r>
            <w:r w:rsidRPr="00CB2EC4">
              <w:rPr>
                <w:rFonts w:ascii="Times New Roman" w:hAnsi="Times New Roman" w:cs="Times New Roman"/>
              </w:rPr>
              <w:br/>
              <w:t xml:space="preserve">  - Tumor marker testing: such as SCC, CEA, etc., for monitoring biochemical recurrence.</w:t>
            </w:r>
            <w:r w:rsidRPr="00CB2EC4">
              <w:rPr>
                <w:rFonts w:ascii="Times New Roman" w:hAnsi="Times New Roman" w:cs="Times New Roman"/>
              </w:rPr>
              <w:br/>
              <w:t>- Risk-stratified monitoring: high-risk patients (e.g., those with lymph node metastasis or positive margins post-surgery) require more intensive surveillance, typically every 3–6 months for 2–3 years.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the document does not specify exact monitoring frequencies but stresses individualized assessment based on symptoms and initial treatment risk factors.</w:t>
            </w:r>
          </w:p>
        </w:tc>
        <w:tc>
          <w:tcPr>
            <w:tcW w:w="1152" w:type="dxa"/>
            <w:vAlign w:val="center"/>
          </w:tcPr>
          <w:p w14:paraId="2A0011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BE0A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A574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DFB472" w14:textId="77777777">
        <w:tc>
          <w:tcPr>
            <w:tcW w:w="2160" w:type="dxa"/>
            <w:vAlign w:val="center"/>
          </w:tcPr>
          <w:p w14:paraId="382F304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055AD687" w14:textId="77777777" w:rsidR="00922249" w:rsidRPr="00CB2EC4" w:rsidRDefault="003011D5">
            <w:pPr>
              <w:rPr>
                <w:rFonts w:ascii="Times New Roman" w:hAnsi="Times New Roman" w:cs="Times New Roman"/>
              </w:rPr>
            </w:pPr>
            <w:r w:rsidRPr="00CB2EC4">
              <w:rPr>
                <w:rFonts w:ascii="Times New Roman" w:hAnsi="Times New Roman" w:cs="Times New Roman"/>
              </w:rPr>
              <w:t>the common sites of cervical cancer recurrence include:</w:t>
            </w:r>
            <w:r w:rsidRPr="00CB2EC4">
              <w:rPr>
                <w:rFonts w:ascii="Times New Roman" w:hAnsi="Times New Roman" w:cs="Times New Roman"/>
              </w:rPr>
              <w:br/>
              <w:t>- pelvis (including parametrium, vaginal stump, pelvic sidewall): this is the most frequent recurrence area, especially central recurrence such as cervix, parametrium, and upper vagina (source 12, 19).</w:t>
            </w:r>
            <w:r w:rsidRPr="00CB2EC4">
              <w:rPr>
                <w:rFonts w:ascii="Times New Roman" w:hAnsi="Times New Roman" w:cs="Times New Roman"/>
              </w:rPr>
              <w:br/>
              <w:t>- vagina: particularly the vaginal vault or stump, commonly seen after surgery or radiotherapy (source 19).</w:t>
            </w:r>
            <w:r w:rsidRPr="00CB2EC4">
              <w:rPr>
                <w:rFonts w:ascii="Times New Roman" w:hAnsi="Times New Roman" w:cs="Times New Roman"/>
              </w:rPr>
              <w:br/>
              <w:t>- distant metastases: such as bone, lung, liver, para-aortic lymph nodes, etc. (source 12, 23).</w:t>
            </w:r>
            <w:r w:rsidRPr="00CB2EC4">
              <w:rPr>
                <w:rFonts w:ascii="Times New Roman" w:hAnsi="Times New Roman" w:cs="Times New Roman"/>
              </w:rPr>
              <w:br/>
              <w:t>- specific description: source 19 (similarity 0.428) indicates recurrence mostly occurs within 1–3 years after treatment, commonly in the pelvis; source 12 (similarity 0.583) emphasizes central recurrence (cervix, parametrium) and non-central recurrence (e.g., outside pelvis).</w:t>
            </w:r>
            <w:r w:rsidRPr="00CB2EC4">
              <w:rPr>
                <w:rFonts w:ascii="Times New Roman" w:hAnsi="Times New Roman" w:cs="Times New Roman"/>
              </w:rPr>
              <w:br/>
            </w:r>
            <w:r w:rsidRPr="00CB2EC4">
              <w:rPr>
                <w:rFonts w:ascii="Times New Roman" w:hAnsi="Times New Roman" w:cs="Times New Roman"/>
              </w:rPr>
              <w:br/>
              <w:t>methods to monitor recurrence risk:</w:t>
            </w:r>
            <w:r w:rsidRPr="00CB2EC4">
              <w:rPr>
                <w:rFonts w:ascii="Times New Roman" w:hAnsi="Times New Roman" w:cs="Times New Roman"/>
              </w:rPr>
              <w:br/>
              <w:t>- regular follow-up: every 3 months in the first year, every 6 months in the second year, and annually after the third year post-treatment (source 19).</w:t>
            </w:r>
            <w:r w:rsidRPr="00CB2EC4">
              <w:rPr>
                <w:rFonts w:ascii="Times New Roman" w:hAnsi="Times New Roman" w:cs="Times New Roman"/>
              </w:rPr>
              <w:br/>
              <w:t>- physical examination: including gynecologic examination (bimanual and tri-manual), inspecting vaginal stump and parametrium for nodules or induration (source 12, 19).</w:t>
            </w:r>
            <w:r w:rsidRPr="00CB2EC4">
              <w:rPr>
                <w:rFonts w:ascii="Times New Roman" w:hAnsi="Times New Roman" w:cs="Times New Roman"/>
              </w:rPr>
              <w:br/>
              <w:t>- auxiliary examinations:</w:t>
            </w:r>
            <w:r w:rsidRPr="00CB2EC4">
              <w:rPr>
                <w:rFonts w:ascii="Times New Roman" w:hAnsi="Times New Roman" w:cs="Times New Roman"/>
              </w:rPr>
              <w:br/>
              <w:t xml:space="preserve">  - cytology: perform vaginal vault/cervical cytology at each follow-up to detect early recurrence (source 19).</w:t>
            </w:r>
            <w:r w:rsidRPr="00CB2EC4">
              <w:rPr>
                <w:rFonts w:ascii="Times New Roman" w:hAnsi="Times New Roman" w:cs="Times New Roman"/>
              </w:rPr>
              <w:br/>
              <w:t xml:space="preserve">  - imaging: such as ultrasound, CT, MRI, or PET/CT, </w:t>
            </w:r>
            <w:r w:rsidRPr="00CB2EC4">
              <w:rPr>
                <w:rFonts w:ascii="Times New Roman" w:hAnsi="Times New Roman" w:cs="Times New Roman"/>
              </w:rPr>
              <w:lastRenderedPageBreak/>
              <w:t>used to evaluate metastatic lesions (source 12, 19). for example, CT-guided needle biopsy may be used when pelvic recurrence is suspected (source 12).</w:t>
            </w:r>
            <w:r w:rsidRPr="00CB2EC4">
              <w:rPr>
                <w:rFonts w:ascii="Times New Roman" w:hAnsi="Times New Roman" w:cs="Times New Roman"/>
              </w:rPr>
              <w:br/>
              <w:t xml:space="preserve">  - biopsy: histologic confirmation of recurrence, typically performed 3 months after completion of radiotherapy (source 19).</w:t>
            </w:r>
            <w:r w:rsidRPr="00CB2EC4">
              <w:rPr>
                <w:rFonts w:ascii="Times New Roman" w:hAnsi="Times New Roman" w:cs="Times New Roman"/>
              </w:rPr>
              <w:br/>
              <w:t xml:space="preserve">  - tumor marker testing: such as SCC, CEA, etc. (source 6), though the document does not detail their specific application in recurrence monitoring.</w:t>
            </w:r>
            <w:r w:rsidRPr="00CB2EC4">
              <w:rPr>
                <w:rFonts w:ascii="Times New Roman" w:hAnsi="Times New Roman" w:cs="Times New Roman"/>
              </w:rPr>
              <w:br/>
            </w:r>
            <w:r w:rsidRPr="00CB2EC4">
              <w:rPr>
                <w:rFonts w:ascii="Times New Roman" w:hAnsi="Times New Roman" w:cs="Times New Roman"/>
              </w:rPr>
              <w:br/>
              <w:t>summary: common recurrence sites are pelvis, vagina, and distant metastases; monitoring relies mainly on regular follow-up, gynecologic examination, cytology, and imaging assessment.</w:t>
            </w:r>
          </w:p>
        </w:tc>
        <w:tc>
          <w:tcPr>
            <w:tcW w:w="1152" w:type="dxa"/>
            <w:vAlign w:val="center"/>
          </w:tcPr>
          <w:p w14:paraId="08E4B3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8BDF0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9BA6C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564E4B3" w14:textId="77777777">
        <w:tc>
          <w:tcPr>
            <w:tcW w:w="2160" w:type="dxa"/>
            <w:vAlign w:val="center"/>
          </w:tcPr>
          <w:p w14:paraId="041A617E"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31ADDB8" w14:textId="77777777" w:rsidR="00922249" w:rsidRPr="00CB2EC4" w:rsidRDefault="003011D5">
            <w:pPr>
              <w:rPr>
                <w:rFonts w:ascii="Times New Roman" w:hAnsi="Times New Roman" w:cs="Times New Roman"/>
              </w:rPr>
            </w:pPr>
            <w:r w:rsidRPr="00CB2EC4">
              <w:rPr>
                <w:rFonts w:ascii="Times New Roman" w:hAnsi="Times New Roman" w:cs="Times New Roman"/>
              </w:rPr>
              <w:t>- Common sites of recurrence:</w:t>
            </w:r>
            <w:r w:rsidRPr="00CB2EC4">
              <w:rPr>
                <w:rFonts w:ascii="Times New Roman" w:hAnsi="Times New Roman" w:cs="Times New Roman"/>
              </w:rPr>
              <w:br/>
              <w:t xml:space="preserve">  - Pelvis: The document explicitly states that "the pelvis is the most common site of recurrence," including central recurrence (e.g., cervix, vagina, bladder, or rectum) and non-central recurrence (e.g., parametrium or pelvic wall) (Source: Document sections 11.1 and recurrence management).</w:t>
            </w:r>
            <w:r w:rsidRPr="00CB2EC4">
              <w:rPr>
                <w:rFonts w:ascii="Times New Roman" w:hAnsi="Times New Roman" w:cs="Times New Roman"/>
              </w:rPr>
              <w:br/>
              <w:t xml:space="preserve">  - Para-aortic lymph nodes: The document notes that "para-aortic lymph nodes are the second most common site of recurrence" (Source: Document section 6.2).</w:t>
            </w:r>
            <w:r w:rsidRPr="00CB2EC4">
              <w:rPr>
                <w:rFonts w:ascii="Times New Roman" w:hAnsi="Times New Roman" w:cs="Times New Roman"/>
              </w:rPr>
              <w:br/>
              <w:t xml:space="preserve">  - Other sites: Distant metastases such as supraclavicular lymph nodes, liver, or lung, but pelvis and lymph nodes are the primary foci (Source: Document section 2. Management of recurrent cancer).</w:t>
            </w:r>
            <w:r w:rsidRPr="00CB2EC4">
              <w:rPr>
                <w:rFonts w:ascii="Times New Roman" w:hAnsi="Times New Roman" w:cs="Times New Roman"/>
              </w:rPr>
              <w:br/>
              <w:t>- Methods for monitoring recurrence risk:</w:t>
            </w:r>
            <w:r w:rsidRPr="00CB2EC4">
              <w:rPr>
                <w:rFonts w:ascii="Times New Roman" w:hAnsi="Times New Roman" w:cs="Times New Roman"/>
              </w:rPr>
              <w:br/>
              <w:t xml:space="preserve">  - Regular follow-up examinations: Each follow-up should include "cytological examination of the vaginal apex/cervix" to detect central recurrence early; for </w:t>
            </w:r>
            <w:r w:rsidRPr="00CB2EC4">
              <w:rPr>
                <w:rFonts w:ascii="Times New Roman" w:hAnsi="Times New Roman" w:cs="Times New Roman"/>
              </w:rPr>
              <w:lastRenderedPageBreak/>
              <w:t>post-radiotherapy patients, biopsy should be performed 3 months after radiotherapy completion to avoid false positives (Source: Document section on auxiliary examinations).</w:t>
            </w:r>
            <w:r w:rsidRPr="00CB2EC4">
              <w:rPr>
                <w:rFonts w:ascii="Times New Roman" w:hAnsi="Times New Roman" w:cs="Times New Roman"/>
              </w:rPr>
              <w:br/>
              <w:t xml:space="preserve">  - Imaging and biopsy: Based on symptoms and signs, selectively perform "chest X-ray, ultrasound, CT, creatinine clearance, and liver function tests"; if recurrence is suspected, use "needle aspiration biopsy" (e.g., CT- or ultrasound-guided biopsy) or "cervical canal dilation and curettage" for histological confirmation (Source: Document section on auxiliary examinations).</w:t>
            </w:r>
            <w:r w:rsidRPr="00CB2EC4">
              <w:rPr>
                <w:rFonts w:ascii="Times New Roman" w:hAnsi="Times New Roman" w:cs="Times New Roman"/>
              </w:rPr>
              <w:br/>
              <w:t xml:space="preserve">  - Risk factor assessment: Monitoring should consider initial treatment modality (surgery or radiotherapy), recurrence timing (recurrence beyond 24 months after primary treatment has better prognosis), tumor size (lesions &lt;3 cm have better prognosis), and symptoms (e.g., pain, bleeding) (Source: Document section on principles of recurrence management).</w:t>
            </w:r>
            <w:r w:rsidRPr="00CB2EC4">
              <w:rPr>
                <w:rFonts w:ascii="Times New Roman" w:hAnsi="Times New Roman" w:cs="Times New Roman"/>
              </w:rPr>
              <w:br/>
              <w:t>- The document emphasizes that histological confirmation is necessary, as cytological results are difficult to interpret after radiotherapy.</w:t>
            </w:r>
          </w:p>
        </w:tc>
        <w:tc>
          <w:tcPr>
            <w:tcW w:w="1152" w:type="dxa"/>
            <w:vAlign w:val="center"/>
          </w:tcPr>
          <w:p w14:paraId="38B87F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8F22A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515C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B2D86C" w14:textId="77777777">
        <w:tc>
          <w:tcPr>
            <w:tcW w:w="2160" w:type="dxa"/>
            <w:vAlign w:val="center"/>
          </w:tcPr>
          <w:p w14:paraId="1AA69360"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370966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common sites of cervical cancer recurrence include:  </w:t>
            </w:r>
            <w:r w:rsidRPr="00CB2EC4">
              <w:rPr>
                <w:rFonts w:ascii="Times New Roman" w:hAnsi="Times New Roman" w:cs="Times New Roman"/>
              </w:rPr>
              <w:br/>
              <w:t xml:space="preserve">1.  Pelvis: the most frequent site, especially in patients after surgery or radiotherapy. For example, document fragment 5 states: "The pelvis is the most common site of recurrence."  </w:t>
            </w:r>
            <w:r w:rsidRPr="00CB2EC4">
              <w:rPr>
                <w:rFonts w:ascii="Times New Roman" w:hAnsi="Times New Roman" w:cs="Times New Roman"/>
              </w:rPr>
              <w:br/>
              <w:t xml:space="preserve">2.  Para-aortic lymph nodes: commonly seen in advanced or high-risk cases.  </w:t>
            </w:r>
            <w:r w:rsidRPr="00CB2EC4">
              <w:rPr>
                <w:rFonts w:ascii="Times New Roman" w:hAnsi="Times New Roman" w:cs="Times New Roman"/>
              </w:rPr>
              <w:br/>
              <w:t xml:space="preserve">3.  Distant metastases: including lung, liver, bone, etc.; document fragment 5 notes: "Recurrence may occur in the pelvis, para-aortic region, or as distant metastases."  </w:t>
            </w:r>
            <w:r w:rsidRPr="00CB2EC4">
              <w:rPr>
                <w:rFonts w:ascii="Times New Roman" w:hAnsi="Times New Roman" w:cs="Times New Roman"/>
              </w:rPr>
              <w:br/>
              <w:t xml:space="preserve">4.  Central recurrence: such as cervix, vagina, bladder, </w:t>
            </w:r>
            <w:r w:rsidRPr="00CB2EC4">
              <w:rPr>
                <w:rFonts w:ascii="Times New Roman" w:hAnsi="Times New Roman" w:cs="Times New Roman"/>
              </w:rPr>
              <w:lastRenderedPageBreak/>
              <w:t xml:space="preserve">or rectum (more common after radiotherapy).  </w:t>
            </w:r>
            <w:r w:rsidRPr="00CB2EC4">
              <w:rPr>
                <w:rFonts w:ascii="Times New Roman" w:hAnsi="Times New Roman" w:cs="Times New Roman"/>
              </w:rPr>
              <w:br/>
            </w:r>
            <w:r w:rsidRPr="00CB2EC4">
              <w:rPr>
                <w:rFonts w:ascii="Times New Roman" w:hAnsi="Times New Roman" w:cs="Times New Roman"/>
              </w:rPr>
              <w:br/>
              <w:t xml:space="preserve">methods for monitoring recurrence risk:  </w:t>
            </w:r>
            <w:r w:rsidRPr="00CB2EC4">
              <w:rPr>
                <w:rFonts w:ascii="Times New Roman" w:hAnsi="Times New Roman" w:cs="Times New Roman"/>
              </w:rPr>
              <w:br/>
              <w:t xml:space="preserve">1.  Regular follow-up:  </w:t>
            </w:r>
            <w:r w:rsidRPr="00CB2EC4">
              <w:rPr>
                <w:rFonts w:ascii="Times New Roman" w:hAnsi="Times New Roman" w:cs="Times New Roman"/>
              </w:rPr>
              <w:br/>
              <w:t xml:space="preserve">   - Frequency: every 3–4 months for the first 2–3 years after treatment; every 6 months during years 3–5; annually after 5 years (see document fragment 5).  </w:t>
            </w:r>
            <w:r w:rsidRPr="00CB2EC4">
              <w:rPr>
                <w:rFonts w:ascii="Times New Roman" w:hAnsi="Times New Roman" w:cs="Times New Roman"/>
              </w:rPr>
              <w:br/>
              <w:t xml:space="preserve">   - Content:  </w:t>
            </w:r>
            <w:r w:rsidRPr="00CB2EC4">
              <w:rPr>
                <w:rFonts w:ascii="Times New Roman" w:hAnsi="Times New Roman" w:cs="Times New Roman"/>
              </w:rPr>
              <w:br/>
              <w:t xml:space="preserve">     - Medical history and physical examination: focus on pelvic and abdominal lymph nodes and lower limb edema.  </w:t>
            </w:r>
            <w:r w:rsidRPr="00CB2EC4">
              <w:rPr>
                <w:rFonts w:ascii="Times New Roman" w:hAnsi="Times New Roman" w:cs="Times New Roman"/>
              </w:rPr>
              <w:br/>
              <w:t xml:space="preserve">     - Vaginal vault/cervical cytology: performed at each follow-up to detect early central recurrence (see document fragment 26).  </w:t>
            </w:r>
            <w:r w:rsidRPr="00CB2EC4">
              <w:rPr>
                <w:rFonts w:ascii="Times New Roman" w:hAnsi="Times New Roman" w:cs="Times New Roman"/>
              </w:rPr>
              <w:br/>
              <w:t xml:space="preserve">     - Imaging studies:  </w:t>
            </w:r>
            <w:r w:rsidRPr="00CB2EC4">
              <w:rPr>
                <w:rFonts w:ascii="Times New Roman" w:hAnsi="Times New Roman" w:cs="Times New Roman"/>
              </w:rPr>
              <w:br/>
              <w:t xml:space="preserve">       - High-risk patients (e.g., lymph node-positive): regular abdominal imaging (CT or MRI); abdominal imaging assessment required if prior pelvic lymph node involvement (see document fragment 5).  </w:t>
            </w:r>
            <w:r w:rsidRPr="00CB2EC4">
              <w:rPr>
                <w:rFonts w:ascii="Times New Roman" w:hAnsi="Times New Roman" w:cs="Times New Roman"/>
              </w:rPr>
              <w:br/>
              <w:t xml:space="preserve">       - When suspicious symptoms arise: use chest X-ray, CT, MRI, or PET/CT to evaluate metastases; for example, "perform PET/CT + pelvic MRI when recurrence or metastasis is suspected" (see document fragment 19).  </w:t>
            </w:r>
            <w:r w:rsidRPr="00CB2EC4">
              <w:rPr>
                <w:rFonts w:ascii="Times New Roman" w:hAnsi="Times New Roman" w:cs="Times New Roman"/>
              </w:rPr>
              <w:br/>
              <w:t xml:space="preserve">     - Tumor marker testing: such as SCC for squamous cell carcinoma surveillance.  </w:t>
            </w:r>
            <w:r w:rsidRPr="00CB2EC4">
              <w:rPr>
                <w:rFonts w:ascii="Times New Roman" w:hAnsi="Times New Roman" w:cs="Times New Roman"/>
              </w:rPr>
              <w:br/>
              <w:t xml:space="preserve">2.  Biopsy confirmation: perform needle biopsy or surgical exploration on suspicious lesions to confirm recurrence (see document fragment 26).  </w:t>
            </w:r>
            <w:r w:rsidRPr="00CB2EC4">
              <w:rPr>
                <w:rFonts w:ascii="Times New Roman" w:hAnsi="Times New Roman" w:cs="Times New Roman"/>
              </w:rPr>
              <w:br/>
              <w:t xml:space="preserve">3.  Risk assessment factors: tumor size &gt;4 cm, deep stromal invasion, positive LVSI, etc., increase recurrence risk and warrant more intensive monitoring.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(based on document fragments 5, 6, 19, and 26 regarding follow-up guidelines and recurrence descriptions)</w:t>
            </w:r>
          </w:p>
        </w:tc>
        <w:tc>
          <w:tcPr>
            <w:tcW w:w="1152" w:type="dxa"/>
            <w:vAlign w:val="center"/>
          </w:tcPr>
          <w:p w14:paraId="1145CC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DB692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0CA2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53142CD" w14:textId="77777777">
        <w:tc>
          <w:tcPr>
            <w:tcW w:w="2160" w:type="dxa"/>
            <w:vAlign w:val="center"/>
          </w:tcPr>
          <w:p w14:paraId="2B25641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547D199F" w14:textId="77777777" w:rsidR="00922249" w:rsidRPr="00CB2EC4" w:rsidRDefault="003011D5">
            <w:pPr>
              <w:rPr>
                <w:rFonts w:ascii="Times New Roman" w:hAnsi="Times New Roman" w:cs="Times New Roman"/>
              </w:rPr>
            </w:pPr>
            <w:r w:rsidRPr="00CB2EC4">
              <w:rPr>
                <w:rFonts w:ascii="Times New Roman" w:hAnsi="Times New Roman" w:cs="Times New Roman"/>
              </w:rPr>
              <w:t>common sites of cervical cancer recurrence include:</w:t>
            </w:r>
            <w:r w:rsidRPr="00CB2EC4">
              <w:rPr>
                <w:rFonts w:ascii="Times New Roman" w:hAnsi="Times New Roman" w:cs="Times New Roman"/>
              </w:rPr>
              <w:br/>
              <w:t>- the pelvis, which is the most frequent site of recurrence (regardless of prior surgery or radiotherapy);</w:t>
            </w:r>
            <w:r w:rsidRPr="00CB2EC4">
              <w:rPr>
                <w:rFonts w:ascii="Times New Roman" w:hAnsi="Times New Roman" w:cs="Times New Roman"/>
              </w:rPr>
              <w:br/>
              <w:t>- para-aortic lymph nodes, the second most common site;</w:t>
            </w:r>
            <w:r w:rsidRPr="00CB2EC4">
              <w:rPr>
                <w:rFonts w:ascii="Times New Roman" w:hAnsi="Times New Roman" w:cs="Times New Roman"/>
              </w:rPr>
              <w:br/>
              <w:t>- other sites such as the vaginal vault, parametrial tissue, and distant metastases (e.g., lung, liver, bone), though the pelvis and lymph nodes remain the primary focus.</w:t>
            </w:r>
            <w:r w:rsidRPr="00CB2EC4">
              <w:rPr>
                <w:rFonts w:ascii="Times New Roman" w:hAnsi="Times New Roman" w:cs="Times New Roman"/>
              </w:rPr>
              <w:br/>
            </w:r>
            <w:r w:rsidRPr="00CB2EC4">
              <w:rPr>
                <w:rFonts w:ascii="Times New Roman" w:hAnsi="Times New Roman" w:cs="Times New Roman"/>
              </w:rPr>
              <w:br/>
              <w:t>methods for monitoring recurrence risk:</w:t>
            </w:r>
            <w:r w:rsidRPr="00CB2EC4">
              <w:rPr>
                <w:rFonts w:ascii="Times New Roman" w:hAnsi="Times New Roman" w:cs="Times New Roman"/>
              </w:rPr>
              <w:br/>
              <w:t>- cytology: perform vaginal vault/cervical cytology (e.g., TCT) at each follow-up visit; however, results after radiotherapy may be difficult to interpret and require histologic confirmation.</w:t>
            </w:r>
            <w:r w:rsidRPr="00CB2EC4">
              <w:rPr>
                <w:rFonts w:ascii="Times New Roman" w:hAnsi="Times New Roman" w:cs="Times New Roman"/>
              </w:rPr>
              <w:br/>
              <w:t>- histologic confirmation: biopsy is necessary for suspicious recurrences; biopsies should be performed at least 3 months after completion of radiotherapy to avoid false positives. Methods include needle aspiration biopsy (under CT or ultrasound guidance) or endocervical curettage.</w:t>
            </w:r>
            <w:r w:rsidRPr="00CB2EC4">
              <w:rPr>
                <w:rFonts w:ascii="Times New Roman" w:hAnsi="Times New Roman" w:cs="Times New Roman"/>
              </w:rPr>
              <w:br/>
              <w:t>- imaging: based on symptoms, select chest X-ray, ultrasound, CT, MRI, or PET/CT to evaluate metastases (e.g., supraclavicular lymphadenopathy, para-aortic involvement).</w:t>
            </w:r>
            <w:r w:rsidRPr="00CB2EC4">
              <w:rPr>
                <w:rFonts w:ascii="Times New Roman" w:hAnsi="Times New Roman" w:cs="Times New Roman"/>
              </w:rPr>
              <w:br/>
              <w:t>- laboratory tests: tumor marker assessment (e.g., SCC, CEA), but must be interpreted in conjunction with clinical findings.</w:t>
            </w:r>
            <w:r w:rsidRPr="00CB2EC4">
              <w:rPr>
                <w:rFonts w:ascii="Times New Roman" w:hAnsi="Times New Roman" w:cs="Times New Roman"/>
              </w:rPr>
              <w:br/>
            </w:r>
            <w:r w:rsidRPr="00CB2EC4">
              <w:rPr>
                <w:rFonts w:ascii="Times New Roman" w:hAnsi="Times New Roman" w:cs="Times New Roman"/>
              </w:rPr>
              <w:br/>
              <w:t xml:space="preserve">summary: monitoring for recurrence risk relies on </w:t>
            </w:r>
            <w:r w:rsidRPr="00CB2EC4">
              <w:rPr>
                <w:rFonts w:ascii="Times New Roman" w:hAnsi="Times New Roman" w:cs="Times New Roman"/>
              </w:rPr>
              <w:lastRenderedPageBreak/>
              <w:t>multimodal follow-up, with emphasis on early detection of pelvic and lymph node recurrence.</w:t>
            </w:r>
          </w:p>
        </w:tc>
        <w:tc>
          <w:tcPr>
            <w:tcW w:w="1152" w:type="dxa"/>
            <w:vAlign w:val="center"/>
          </w:tcPr>
          <w:p w14:paraId="5E4CD8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50B5A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F9BC0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B3B0542" w14:textId="77777777">
        <w:tc>
          <w:tcPr>
            <w:tcW w:w="2160" w:type="dxa"/>
            <w:vAlign w:val="center"/>
          </w:tcPr>
          <w:p w14:paraId="7DDC9753"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2A637E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common sites of cervical cancer recurrence:  </w:t>
            </w:r>
            <w:r w:rsidRPr="00CB2EC4">
              <w:rPr>
                <w:rFonts w:ascii="Times New Roman" w:hAnsi="Times New Roman" w:cs="Times New Roman"/>
              </w:rPr>
              <w:br/>
              <w:t xml:space="preserve">- central recurrence: including cervical stump, vaginal vault, uterine corpus, bladder, or rectum (document fragments 22 and 23).  </w:t>
            </w:r>
            <w:r w:rsidRPr="00CB2EC4">
              <w:rPr>
                <w:rFonts w:ascii="Times New Roman" w:hAnsi="Times New Roman" w:cs="Times New Roman"/>
              </w:rPr>
              <w:br/>
              <w:t xml:space="preserve">- non-central recurrence: including pelvic sidewall (parametrium), lymph nodes (pelvic or para-aortic), bone, lung, or liver (document fragment 22).  </w:t>
            </w:r>
            <w:r w:rsidRPr="00CB2EC4">
              <w:rPr>
                <w:rFonts w:ascii="Times New Roman" w:hAnsi="Times New Roman" w:cs="Times New Roman"/>
              </w:rPr>
              <w:br/>
              <w:t xml:space="preserve">- basis: document fragment 23 states "central recurrence includes cervix, corpus uteri, parametrium, vagina, vulva, bladder, rectum, etc."; document fragment 22 classifies recurrence as "central" or "non-central" in a table.  </w:t>
            </w:r>
            <w:r w:rsidRPr="00CB2EC4">
              <w:rPr>
                <w:rFonts w:ascii="Times New Roman" w:hAnsi="Times New Roman" w:cs="Times New Roman"/>
              </w:rPr>
              <w:br/>
            </w:r>
            <w:r w:rsidRPr="00CB2EC4">
              <w:rPr>
                <w:rFonts w:ascii="Times New Roman" w:hAnsi="Times New Roman" w:cs="Times New Roman"/>
              </w:rPr>
              <w:br/>
              <w:t xml:space="preserve">methods for monitoring recurrence risk:  </w:t>
            </w:r>
            <w:r w:rsidRPr="00CB2EC4">
              <w:rPr>
                <w:rFonts w:ascii="Times New Roman" w:hAnsi="Times New Roman" w:cs="Times New Roman"/>
              </w:rPr>
              <w:br/>
              <w:t xml:space="preserve">- routine follow-up: physical examination (including gynecological bimanual/trimanual examination) and vaginal vault cytology every 3–6 months (document fragment 23).  </w:t>
            </w:r>
            <w:r w:rsidRPr="00CB2EC4">
              <w:rPr>
                <w:rFonts w:ascii="Times New Roman" w:hAnsi="Times New Roman" w:cs="Times New Roman"/>
              </w:rPr>
              <w:br/>
              <w:t xml:space="preserve">- pathological confirmation: biopsy of suspicious sites (e.g., colposcopy-guided biopsy or needle aspiration biopsy); after radiotherapy, biopsy should be performed ≥3 months post-treatment to avoid false positives (document fragment 23).  </w:t>
            </w:r>
            <w:r w:rsidRPr="00CB2EC4">
              <w:rPr>
                <w:rFonts w:ascii="Times New Roman" w:hAnsi="Times New Roman" w:cs="Times New Roman"/>
              </w:rPr>
              <w:br/>
              <w:t xml:space="preserve">- imaging evaluation: PET/CT, pelvic MRI, or CT recommended to detect metastatic lesions (document fragments 22 and 23); ultrasound/CT-guided biopsy for enlarged supraclavicular lymph nodes or distant metastases.  </w:t>
            </w:r>
            <w:r w:rsidRPr="00CB2EC4">
              <w:rPr>
                <w:rFonts w:ascii="Times New Roman" w:hAnsi="Times New Roman" w:cs="Times New Roman"/>
              </w:rPr>
              <w:br/>
              <w:t xml:space="preserve">- tumor markers: monitor SCC, CEA, etc. (document fragment 12), though frequency is not specified.  </w:t>
            </w:r>
            <w:r w:rsidRPr="00CB2EC4">
              <w:rPr>
                <w:rFonts w:ascii="Times New Roman" w:hAnsi="Times New Roman" w:cs="Times New Roman"/>
              </w:rPr>
              <w:br/>
              <w:t xml:space="preserve">- basis: document fragment 23 emphasizes "histological confirmation of tumor recurrence is </w:t>
            </w:r>
            <w:r w:rsidRPr="00CB2EC4">
              <w:rPr>
                <w:rFonts w:ascii="Times New Roman" w:hAnsi="Times New Roman" w:cs="Times New Roman"/>
              </w:rPr>
              <w:lastRenderedPageBreak/>
              <w:t>essential" and lists auxiliary diagnostic methods.</w:t>
            </w:r>
          </w:p>
        </w:tc>
        <w:tc>
          <w:tcPr>
            <w:tcW w:w="1152" w:type="dxa"/>
            <w:vAlign w:val="center"/>
          </w:tcPr>
          <w:p w14:paraId="0DBA55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06C3A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311C1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B1CFB09" w14:textId="77777777">
        <w:tc>
          <w:tcPr>
            <w:tcW w:w="2160" w:type="dxa"/>
            <w:vAlign w:val="center"/>
          </w:tcPr>
          <w:p w14:paraId="12456FF3"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CE46EE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sites of cervical cancer recurrence include:  </w:t>
            </w:r>
            <w:r w:rsidRPr="00CB2EC4">
              <w:rPr>
                <w:rFonts w:ascii="Times New Roman" w:hAnsi="Times New Roman" w:cs="Times New Roman"/>
              </w:rPr>
              <w:br/>
              <w:t xml:space="preserve">- Central recurrence: cervix, vaginal vault, vaginal stump, bladder or rectal mucosa (based on segments 6 and 10).  </w:t>
            </w:r>
            <w:r w:rsidRPr="00CB2EC4">
              <w:rPr>
                <w:rFonts w:ascii="Times New Roman" w:hAnsi="Times New Roman" w:cs="Times New Roman"/>
              </w:rPr>
              <w:br/>
              <w:t xml:space="preserve">- Non-central recurrence: parametrial tissue, pelvic sidewall, pelvic lymph nodes, or distant metastases (e.g., bone, liver, lung) (based on segments 6 and 9).  </w:t>
            </w:r>
            <w:r w:rsidRPr="00CB2EC4">
              <w:rPr>
                <w:rFonts w:ascii="Times New Roman" w:hAnsi="Times New Roman" w:cs="Times New Roman"/>
              </w:rPr>
              <w:br/>
            </w:r>
            <w:r w:rsidRPr="00CB2EC4">
              <w:rPr>
                <w:rFonts w:ascii="Times New Roman" w:hAnsi="Times New Roman" w:cs="Times New Roman"/>
              </w:rPr>
              <w:br/>
              <w:t xml:space="preserve">methods to monitor recurrence risk:  </w:t>
            </w:r>
            <w:r w:rsidRPr="00CB2EC4">
              <w:rPr>
                <w:rFonts w:ascii="Times New Roman" w:hAnsi="Times New Roman" w:cs="Times New Roman"/>
              </w:rPr>
              <w:br/>
              <w:t xml:space="preserve">- Follow-up schedule: every 3 months in the first year post-treatment, every 6 months in the second year, and annually from the third year onward (segment 10).  </w:t>
            </w:r>
            <w:r w:rsidRPr="00CB2EC4">
              <w:rPr>
                <w:rFonts w:ascii="Times New Roman" w:hAnsi="Times New Roman" w:cs="Times New Roman"/>
              </w:rPr>
              <w:br/>
              <w:t xml:space="preserve">- Examination components:  </w:t>
            </w:r>
            <w:r w:rsidRPr="00CB2EC4">
              <w:rPr>
                <w:rFonts w:ascii="Times New Roman" w:hAnsi="Times New Roman" w:cs="Times New Roman"/>
              </w:rPr>
              <w:br/>
              <w:t xml:space="preserve">  - Physical examination: focused pelvic exam to assess vaginal stump, parametrial induration, or fixation (segments 6 and 10).  </w:t>
            </w:r>
            <w:r w:rsidRPr="00CB2EC4">
              <w:rPr>
                <w:rFonts w:ascii="Times New Roman" w:hAnsi="Times New Roman" w:cs="Times New Roman"/>
              </w:rPr>
              <w:br/>
              <w:t xml:space="preserve">  - Ancillary tests: vaginal apex/cervical cytology at each follow-up; imaging (e.g., pelvic MRI, CT, or PET/CT) to evaluate metastases; biopsy of suspicious sites (e.g., needle aspiration biopsy) (segments 6 and 10).  </w:t>
            </w:r>
            <w:r w:rsidRPr="00CB2EC4">
              <w:rPr>
                <w:rFonts w:ascii="Times New Roman" w:hAnsi="Times New Roman" w:cs="Times New Roman"/>
              </w:rPr>
              <w:br/>
              <w:t xml:space="preserve">  - Laboratory tests: tumor markers (e.g., SCC, CEA) (segment 3).  </w:t>
            </w:r>
            <w:r w:rsidRPr="00CB2EC4">
              <w:rPr>
                <w:rFonts w:ascii="Times New Roman" w:hAnsi="Times New Roman" w:cs="Times New Roman"/>
              </w:rPr>
              <w:br/>
            </w:r>
            <w:r w:rsidRPr="00CB2EC4">
              <w:rPr>
                <w:rFonts w:ascii="Times New Roman" w:hAnsi="Times New Roman" w:cs="Times New Roman"/>
              </w:rPr>
              <w:br/>
              <w:t>reason: segment 6 classifies recurrence sites in detail, segment 10 outlines the follow-up strategy, emphasizing that 85% of recurrences occur within 3 years post-treatment, necessitating close monitoring.</w:t>
            </w:r>
          </w:p>
        </w:tc>
        <w:tc>
          <w:tcPr>
            <w:tcW w:w="1152" w:type="dxa"/>
            <w:vAlign w:val="center"/>
          </w:tcPr>
          <w:p w14:paraId="327E91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C8E3A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75962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991E337" w14:textId="77777777">
        <w:tc>
          <w:tcPr>
            <w:tcW w:w="2160" w:type="dxa"/>
            <w:vAlign w:val="center"/>
          </w:tcPr>
          <w:p w14:paraId="21D78B0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4FD174E" w14:textId="77777777" w:rsidR="00922249" w:rsidRPr="00CB2EC4" w:rsidRDefault="003011D5">
            <w:pPr>
              <w:rPr>
                <w:rFonts w:ascii="Times New Roman" w:hAnsi="Times New Roman" w:cs="Times New Roman"/>
              </w:rPr>
            </w:pPr>
            <w:r w:rsidRPr="00CB2EC4">
              <w:rPr>
                <w:rFonts w:ascii="Times New Roman" w:hAnsi="Times New Roman" w:cs="Times New Roman"/>
              </w:rPr>
              <w:t>- Common sites of recurrence include: pelvic local areas (such as the cervical stump or vaginal stump), regional lymph nodes (e.g., common iliac or para-</w:t>
            </w:r>
            <w:r w:rsidRPr="00CB2EC4">
              <w:rPr>
                <w:rFonts w:ascii="Times New Roman" w:hAnsi="Times New Roman" w:cs="Times New Roman"/>
              </w:rPr>
              <w:lastRenderedPageBreak/>
              <w:t>aortic lymph nodes), and distant metastases (e.g., lung, liver, bone).</w:t>
            </w:r>
            <w:r w:rsidRPr="00CB2EC4">
              <w:rPr>
                <w:rFonts w:ascii="Times New Roman" w:hAnsi="Times New Roman" w:cs="Times New Roman"/>
              </w:rPr>
              <w:br/>
              <w:t>- Methods for monitoring recurrence risk: based on regular follow-up, including:</w:t>
            </w:r>
            <w:r w:rsidRPr="00CB2EC4">
              <w:rPr>
                <w:rFonts w:ascii="Times New Roman" w:hAnsi="Times New Roman" w:cs="Times New Roman"/>
              </w:rPr>
              <w:br/>
              <w:t xml:space="preserve">  - Clinical examination: pelvic exam and symptom assessment (e.g., pain or bleeding) every 3–6 months.</w:t>
            </w:r>
            <w:r w:rsidRPr="00CB2EC4">
              <w:rPr>
                <w:rFonts w:ascii="Times New Roman" w:hAnsi="Times New Roman" w:cs="Times New Roman"/>
              </w:rPr>
              <w:br/>
              <w:t xml:space="preserve">  - Imaging studies: CT, MRI, or PET-CT annually or as risk-based, to detect early recurrence.</w:t>
            </w:r>
            <w:r w:rsidRPr="00CB2EC4">
              <w:rPr>
                <w:rFonts w:ascii="Times New Roman" w:hAnsi="Times New Roman" w:cs="Times New Roman"/>
              </w:rPr>
              <w:br/>
              <w:t xml:space="preserve">  - Tumor marker testing: monitor SCC-Ag (squamous cell carcinoma antigen) every 3–6 months; elevated levels suggest recurrence risk.</w:t>
            </w:r>
            <w:r w:rsidRPr="00CB2EC4">
              <w:rPr>
                <w:rFonts w:ascii="Times New Roman" w:hAnsi="Times New Roman" w:cs="Times New Roman"/>
              </w:rPr>
              <w:br/>
              <w:t xml:space="preserve">  - Risk-stratified monitoring: adjust frequency according to initial treatment response and stage; high-risk patients (e.g., advanced stage or lymph node positive) require more intensive surveillance.</w:t>
            </w:r>
          </w:p>
        </w:tc>
        <w:tc>
          <w:tcPr>
            <w:tcW w:w="1152" w:type="dxa"/>
            <w:vAlign w:val="center"/>
          </w:tcPr>
          <w:p w14:paraId="5C73F9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257E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7C53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657960" w14:textId="77777777">
        <w:tc>
          <w:tcPr>
            <w:tcW w:w="10656" w:type="dxa"/>
            <w:gridSpan w:val="5"/>
            <w:tcBorders>
              <w:bottom w:val="single" w:sz="6" w:space="0" w:color="auto"/>
            </w:tcBorders>
            <w:vAlign w:val="center"/>
          </w:tcPr>
          <w:p w14:paraId="0CC6743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75: What are the recommended treatment strategies for recurrent cervical cancer? Can surgery, radiotherapy, and chemotherapy be combined?</w:t>
            </w:r>
          </w:p>
        </w:tc>
      </w:tr>
      <w:tr w:rsidR="00922249" w:rsidRPr="00CB2EC4" w14:paraId="365DE9C5" w14:textId="77777777">
        <w:tc>
          <w:tcPr>
            <w:tcW w:w="2160" w:type="dxa"/>
            <w:vAlign w:val="center"/>
          </w:tcPr>
          <w:p w14:paraId="33EE1EB9"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11D5BF0" w14:textId="77777777" w:rsidR="00922249" w:rsidRPr="00CB2EC4" w:rsidRDefault="003011D5">
            <w:pPr>
              <w:rPr>
                <w:rFonts w:ascii="Times New Roman" w:hAnsi="Times New Roman" w:cs="Times New Roman"/>
              </w:rPr>
            </w:pPr>
            <w:r w:rsidRPr="00CB2EC4">
              <w:rPr>
                <w:rFonts w:ascii="Times New Roman" w:hAnsi="Times New Roman" w:cs="Times New Roman"/>
              </w:rPr>
              <w:t>yes. the recommended treatment strategies for recurrent cervical cancer are as follows, based on the pattern of recurrence:</w:t>
            </w:r>
            <w:r w:rsidRPr="00CB2EC4">
              <w:rPr>
                <w:rFonts w:ascii="Times New Roman" w:hAnsi="Times New Roman" w:cs="Times New Roman"/>
              </w:rPr>
              <w:br/>
            </w:r>
            <w:r w:rsidRPr="00CB2EC4">
              <w:rPr>
                <w:rFonts w:ascii="Times New Roman" w:hAnsi="Times New Roman" w:cs="Times New Roman"/>
              </w:rPr>
              <w:br/>
              <w:t xml:space="preserve">- **Central recurrence** (e.g., cervix, vagina, bladder/rectum involvement):  </w:t>
            </w:r>
            <w:r w:rsidRPr="00CB2EC4">
              <w:rPr>
                <w:rFonts w:ascii="Times New Roman" w:hAnsi="Times New Roman" w:cs="Times New Roman"/>
              </w:rPr>
              <w:br/>
              <w:t xml:space="preserve">  - Preferred: surgery (pelvic exenteration: total, anterior, or posterior pelvic organ resection) for patients without distant metastases and with completely resectable disease (see table and notes).  </w:t>
            </w:r>
            <w:r w:rsidRPr="00CB2EC4">
              <w:rPr>
                <w:rFonts w:ascii="Times New Roman" w:hAnsi="Times New Roman" w:cs="Times New Roman"/>
              </w:rPr>
              <w:br/>
              <w:t xml:space="preserve">  - Alternative: brachytherapy (e.g., high-dose brachytherapy to vaginal stump), or radical hysterectomy for lesions &lt;2 cm in diameter.  </w:t>
            </w:r>
            <w:r w:rsidRPr="00CB2EC4">
              <w:rPr>
                <w:rFonts w:ascii="Times New Roman" w:hAnsi="Times New Roman" w:cs="Times New Roman"/>
              </w:rPr>
              <w:br/>
            </w:r>
            <w:r w:rsidRPr="00CB2EC4">
              <w:rPr>
                <w:rFonts w:ascii="Times New Roman" w:hAnsi="Times New Roman" w:cs="Times New Roman"/>
              </w:rPr>
              <w:br/>
              <w:t xml:space="preserve">- **Non-central recurrence** (e.g., pelvic sidewall or distant metastases):  </w:t>
            </w:r>
            <w:r w:rsidRPr="00CB2EC4">
              <w:rPr>
                <w:rFonts w:ascii="Times New Roman" w:hAnsi="Times New Roman" w:cs="Times New Roman"/>
              </w:rPr>
              <w:br/>
            </w:r>
            <w:r w:rsidRPr="00CB2EC4">
              <w:rPr>
                <w:rFonts w:ascii="Times New Roman" w:hAnsi="Times New Roman" w:cs="Times New Roman"/>
              </w:rPr>
              <w:lastRenderedPageBreak/>
              <w:t xml:space="preserve">  - Preferred: systemic therapy (chemotherapy) with platinum-based regimens, or palliative treatment.  </w:t>
            </w:r>
            <w:r w:rsidRPr="00CB2EC4">
              <w:rPr>
                <w:rFonts w:ascii="Times New Roman" w:hAnsi="Times New Roman" w:cs="Times New Roman"/>
              </w:rPr>
              <w:br/>
              <w:t xml:space="preserve">  - Radiotherapy: individualized external beam radiotherapy (EBRT); stereotactic body radiotherapy (SBRT) may be considered for isolated metastatic lesions.  </w:t>
            </w:r>
            <w:r w:rsidRPr="00CB2EC4">
              <w:rPr>
                <w:rFonts w:ascii="Times New Roman" w:hAnsi="Times New Roman" w:cs="Times New Roman"/>
              </w:rPr>
              <w:br/>
              <w:t xml:space="preserve">  - Surgery: resection ± intraoperative radiotherapy (IORT), especially for recurrence after prior radiotherapy.  </w:t>
            </w:r>
            <w:r w:rsidRPr="00CB2EC4">
              <w:rPr>
                <w:rFonts w:ascii="Times New Roman" w:hAnsi="Times New Roman" w:cs="Times New Roman"/>
              </w:rPr>
              <w:br/>
            </w:r>
            <w:r w:rsidRPr="00CB2EC4">
              <w:rPr>
                <w:rFonts w:ascii="Times New Roman" w:hAnsi="Times New Roman" w:cs="Times New Roman"/>
              </w:rPr>
              <w:br/>
              <w:t xml:space="preserve">- **Special cases** (recurrence after radiotherapy):  </w:t>
            </w:r>
            <w:r w:rsidRPr="00CB2EC4">
              <w:rPr>
                <w:rFonts w:ascii="Times New Roman" w:hAnsi="Times New Roman" w:cs="Times New Roman"/>
              </w:rPr>
              <w:br/>
              <w:t xml:space="preserve">  - Re-irradiation should be used with caution due to high risk of complications; prioritize surgery or chemotherapy (see "Treatment of Recurrent/Metastatic Cervical Cancer" table).  </w:t>
            </w:r>
            <w:r w:rsidRPr="00CB2EC4">
              <w:rPr>
                <w:rFonts w:ascii="Times New Roman" w:hAnsi="Times New Roman" w:cs="Times New Roman"/>
              </w:rPr>
              <w:br/>
            </w:r>
            <w:r w:rsidRPr="00CB2EC4">
              <w:rPr>
                <w:rFonts w:ascii="Times New Roman" w:hAnsi="Times New Roman" w:cs="Times New Roman"/>
              </w:rPr>
              <w:br/>
              <w:t xml:space="preserve">surgery, radiotherapy, and chemotherapy can be combined:  </w:t>
            </w:r>
            <w:r w:rsidRPr="00CB2EC4">
              <w:rPr>
                <w:rFonts w:ascii="Times New Roman" w:hAnsi="Times New Roman" w:cs="Times New Roman"/>
              </w:rPr>
              <w:br/>
              <w:t xml:space="preserve">- surgery may be combined with intraoperative radiotherapy (IORT) for high-risk tumor beds (see notes).  </w:t>
            </w:r>
            <w:r w:rsidRPr="00CB2EC4">
              <w:rPr>
                <w:rFonts w:ascii="Times New Roman" w:hAnsi="Times New Roman" w:cs="Times New Roman"/>
              </w:rPr>
              <w:br/>
              <w:t xml:space="preserve">- systemic therapy (chemotherapy) may be combined with radiotherapy (e.g., EBRT ± brachytherapy ± chemotherapy) for non-central recurrence.  </w:t>
            </w:r>
            <w:r w:rsidRPr="00CB2EC4">
              <w:rPr>
                <w:rFonts w:ascii="Times New Roman" w:hAnsi="Times New Roman" w:cs="Times New Roman"/>
              </w:rPr>
              <w:br/>
              <w:t xml:space="preserve">- for refractory recurrence, comprehensive treatment such as palliative chemotherapy combined with supportive care is recommended.  </w:t>
            </w:r>
            <w:r w:rsidRPr="00CB2EC4">
              <w:rPr>
                <w:rFonts w:ascii="Times New Roman" w:hAnsi="Times New Roman" w:cs="Times New Roman"/>
              </w:rPr>
              <w:br/>
            </w:r>
            <w:r w:rsidRPr="00CB2EC4">
              <w:rPr>
                <w:rFonts w:ascii="Times New Roman" w:hAnsi="Times New Roman" w:cs="Times New Roman"/>
              </w:rPr>
              <w:br/>
              <w:t>treatment selection must be individualized based on recurrence site, initial treatment modality, and resource availability (see "Principles for Managing Recurrent Cancer").</w:t>
            </w:r>
          </w:p>
        </w:tc>
        <w:tc>
          <w:tcPr>
            <w:tcW w:w="1152" w:type="dxa"/>
            <w:vAlign w:val="center"/>
          </w:tcPr>
          <w:p w14:paraId="6E5CD5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A6EC0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E4D2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3A0F22" w14:textId="77777777">
        <w:tc>
          <w:tcPr>
            <w:tcW w:w="2160" w:type="dxa"/>
            <w:vAlign w:val="center"/>
          </w:tcPr>
          <w:p w14:paraId="4BDE03B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F41FC9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recommended treatment strategies for recurrent cervical cancer include surgery, radiotherapy, </w:t>
            </w:r>
            <w:r w:rsidRPr="00CB2EC4">
              <w:rPr>
                <w:rFonts w:ascii="Times New Roman" w:hAnsi="Times New Roman" w:cs="Times New Roman"/>
              </w:rPr>
              <w:lastRenderedPageBreak/>
              <w:t xml:space="preserve">chemotherapy, or their combinations, depending on the site of recurrence, prior treatment, and patient condition; surgery, radiotherapy, and chemotherapy can be used in combination.  </w:t>
            </w:r>
            <w:r w:rsidRPr="00CB2EC4">
              <w:rPr>
                <w:rFonts w:ascii="Times New Roman" w:hAnsi="Times New Roman" w:cs="Times New Roman"/>
              </w:rPr>
              <w:br/>
              <w:t xml:space="preserve">- Evidence:  </w:t>
            </w:r>
            <w:r w:rsidRPr="00CB2EC4">
              <w:rPr>
                <w:rFonts w:ascii="Times New Roman" w:hAnsi="Times New Roman" w:cs="Times New Roman"/>
              </w:rPr>
              <w:br/>
              <w:t xml:space="preserve">  - Treatment strategies:  </w:t>
            </w:r>
            <w:r w:rsidRPr="00CB2EC4">
              <w:rPr>
                <w:rFonts w:ascii="Times New Roman" w:hAnsi="Times New Roman" w:cs="Times New Roman"/>
              </w:rPr>
              <w:br/>
              <w:t xml:space="preserve">    - Surgery: Applicable for central recurrence (e.g., pelvic exenteration) or locally resectable lesions. Document segment 11 and document segment 16 (block theme: treatment strategies for recurrent cervical cancer) emphasize: for patients without prior radiotherapy or recurrence outside the radiotherapy field, surgical resection is a level I recommendation; for central recurrence after radiotherapy, pelvic exenteration is the preferred option.  </w:t>
            </w:r>
            <w:r w:rsidRPr="00CB2EC4">
              <w:rPr>
                <w:rFonts w:ascii="Times New Roman" w:hAnsi="Times New Roman" w:cs="Times New Roman"/>
              </w:rPr>
              <w:br/>
              <w:t xml:space="preserve">    - Radiotherapy: Used for non-central recurrence or as adjuvant therapy. Document segment 12 (block theme: treatment plans for recurrent cervical cancer) table shows: individualized external beam radiotherapy (EBRT) ± brachytherapy is a level II recommendation, especially suitable for recurrence within the prior radiotherapy field.  </w:t>
            </w:r>
            <w:r w:rsidRPr="00CB2EC4">
              <w:rPr>
                <w:rFonts w:ascii="Times New Roman" w:hAnsi="Times New Roman" w:cs="Times New Roman"/>
              </w:rPr>
              <w:br/>
              <w:t xml:space="preserve">    - Chemotherapy: Used for distant metastases or patients unsuitable for local treatment. Document segment 15 (block theme: treatment of recurrent and metastatic cervical cancer) and document segment 16 specify: systemic therapy (chemotherapy) such as platinum-based regimens is a level I recommendation, used for palliative or combination therapy.  </w:t>
            </w:r>
            <w:r w:rsidRPr="00CB2EC4">
              <w:rPr>
                <w:rFonts w:ascii="Times New Roman" w:hAnsi="Times New Roman" w:cs="Times New Roman"/>
              </w:rPr>
              <w:br/>
              <w:t xml:space="preserve">  - Combination use:  </w:t>
            </w:r>
            <w:r w:rsidRPr="00CB2EC4">
              <w:rPr>
                <w:rFonts w:ascii="Times New Roman" w:hAnsi="Times New Roman" w:cs="Times New Roman"/>
              </w:rPr>
              <w:br/>
              <w:t xml:space="preserve">    - Document segment 6 (block theme: treatment strategies for recurrent cervical cancer) explicitly states: surgery, radiotherapy, and chemotherapy can be combined, for example, "surgical resection ± </w:t>
            </w:r>
            <w:r w:rsidRPr="00CB2EC4">
              <w:rPr>
                <w:rFonts w:ascii="Times New Roman" w:hAnsi="Times New Roman" w:cs="Times New Roman"/>
              </w:rPr>
              <w:lastRenderedPageBreak/>
              <w:t xml:space="preserve">postoperative individualized EBRT ± systemic therapy".  </w:t>
            </w:r>
            <w:r w:rsidRPr="00CB2EC4">
              <w:rPr>
                <w:rFonts w:ascii="Times New Roman" w:hAnsi="Times New Roman" w:cs="Times New Roman"/>
              </w:rPr>
              <w:br/>
              <w:t xml:space="preserve">    - Document segment 45 (block theme: treatment plans for recurrent cervical cancer) table shows: for non-central recurrence, recommendations include "systemic therapy ± individualized EBRT" or "surgical resection ± IORT (intraoperative radiotherapy)", indicating multimodal therapy is standard.  </w:t>
            </w:r>
            <w:r w:rsidRPr="00CB2EC4">
              <w:rPr>
                <w:rFonts w:ascii="Times New Roman" w:hAnsi="Times New Roman" w:cs="Times New Roman"/>
              </w:rPr>
              <w:br/>
              <w:t xml:space="preserve">    - Document segment 19 mentions: for isolated metastatic lesions, local treatment (surgery or radiotherapy) combined with systemic therapy can improve survival.  </w:t>
            </w:r>
            <w:r w:rsidRPr="00CB2EC4">
              <w:rPr>
                <w:rFonts w:ascii="Times New Roman" w:hAnsi="Times New Roman" w:cs="Times New Roman"/>
              </w:rPr>
              <w:br/>
              <w:t xml:space="preserve">  Summary: recommended strategies include surgery (e.g., exenteration), radiotherapy (e.g., EBRT), and chemotherapy (e.g., platinum-based regimens), which can be combined based on recurrence patterns to enhance efficacy.</w:t>
            </w:r>
          </w:p>
        </w:tc>
        <w:tc>
          <w:tcPr>
            <w:tcW w:w="1152" w:type="dxa"/>
            <w:vAlign w:val="center"/>
          </w:tcPr>
          <w:p w14:paraId="418511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8FDBF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B42D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660B975" w14:textId="77777777">
        <w:tc>
          <w:tcPr>
            <w:tcW w:w="2160" w:type="dxa"/>
            <w:vAlign w:val="center"/>
          </w:tcPr>
          <w:p w14:paraId="4E63350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4EF58DA1" w14:textId="77777777" w:rsidR="00922249" w:rsidRPr="00CB2EC4" w:rsidRDefault="003011D5">
            <w:pPr>
              <w:rPr>
                <w:rFonts w:ascii="Times New Roman" w:hAnsi="Times New Roman" w:cs="Times New Roman"/>
              </w:rPr>
            </w:pPr>
            <w:r w:rsidRPr="00CB2EC4">
              <w:rPr>
                <w:rFonts w:ascii="Times New Roman" w:hAnsi="Times New Roman" w:cs="Times New Roman"/>
              </w:rPr>
              <w:t>the recommended treatment strategies for recurrent cervical cancer depend on the site and type of recurrence. surgery, radiotherapy, and chemotherapy can be used in combination. key information from document excerpts 3, 9, 16, 17, 25, 28, and 35:</w:t>
            </w:r>
            <w:r w:rsidRPr="00CB2EC4">
              <w:rPr>
                <w:rFonts w:ascii="Times New Roman" w:hAnsi="Times New Roman" w:cs="Times New Roman"/>
              </w:rPr>
              <w:br/>
            </w:r>
            <w:r w:rsidRPr="00CB2EC4">
              <w:rPr>
                <w:rFonts w:ascii="Times New Roman" w:hAnsi="Times New Roman" w:cs="Times New Roman"/>
              </w:rPr>
              <w:br/>
              <w:t>- recommended treatment strategies:</w:t>
            </w:r>
            <w:r w:rsidRPr="00CB2EC4">
              <w:rPr>
                <w:rFonts w:ascii="Times New Roman" w:hAnsi="Times New Roman" w:cs="Times New Roman"/>
              </w:rPr>
              <w:br/>
              <w:t xml:space="preserve">  - central recurrence: surgery is the preferred option, such as pelvic exenteration (total, anterior, or posterior pelvic exenteration), or for lesions &lt;2.0 cm in diameter, radical hysterectomy plus brachytherapy (document excerpt 9). document excerpt 3 supports surgical treatment, with salvage rates reaching 55%.</w:t>
            </w:r>
            <w:r w:rsidRPr="00CB2EC4">
              <w:rPr>
                <w:rFonts w:ascii="Times New Roman" w:hAnsi="Times New Roman" w:cs="Times New Roman"/>
              </w:rPr>
              <w:br/>
              <w:t xml:space="preserve">  - non-central recurrence (e.g., lateral wall or distant): systemic treatment (chemotherapy) ± individualized external beam radiotherapy (EBRT) is recommended; </w:t>
            </w:r>
            <w:r w:rsidRPr="00CB2EC4">
              <w:rPr>
                <w:rFonts w:ascii="Times New Roman" w:hAnsi="Times New Roman" w:cs="Times New Roman"/>
              </w:rPr>
              <w:lastRenderedPageBreak/>
              <w:t>stereotactic body radiotherapy (SBRT) or intraoperative radiotherapy (IORT) may be considered (document excerpts 9 and 28). document excerpt 17 states that for extra-pelvic recurrence or metastasis, chemotherapy or best supportive care is preferred if not suitable for radiotherapy or surgery.</w:t>
            </w:r>
            <w:r w:rsidRPr="00CB2EC4">
              <w:rPr>
                <w:rFonts w:ascii="Times New Roman" w:hAnsi="Times New Roman" w:cs="Times New Roman"/>
              </w:rPr>
              <w:br/>
              <w:t xml:space="preserve">  - recurrence after radiotherapy: organ resection is prioritized (document excerpt 35), or palliative radiotherapy/chemotherapy combination (document excerpt 35).</w:t>
            </w:r>
            <w:r w:rsidRPr="00CB2EC4">
              <w:rPr>
                <w:rFonts w:ascii="Times New Roman" w:hAnsi="Times New Roman" w:cs="Times New Roman"/>
              </w:rPr>
              <w:br/>
              <w:t xml:space="preserve">  - local or regional recurrence: document excerpt 16, level I recommendation: "surgical resection (after adequate assessment of resectability) ± postoperative individualized EBRT ± brachytherapy ± systemic therapy", indicating combined modality therapy is standard.</w:t>
            </w:r>
            <w:r w:rsidRPr="00CB2EC4">
              <w:rPr>
                <w:rFonts w:ascii="Times New Roman" w:hAnsi="Times New Roman" w:cs="Times New Roman"/>
              </w:rPr>
              <w:br/>
            </w:r>
            <w:r w:rsidRPr="00CB2EC4">
              <w:rPr>
                <w:rFonts w:ascii="Times New Roman" w:hAnsi="Times New Roman" w:cs="Times New Roman"/>
              </w:rPr>
              <w:br/>
              <w:t>- combination use of surgery, radiotherapy, and chemotherapy:</w:t>
            </w:r>
            <w:r w:rsidRPr="00CB2EC4">
              <w:rPr>
                <w:rFonts w:ascii="Times New Roman" w:hAnsi="Times New Roman" w:cs="Times New Roman"/>
              </w:rPr>
              <w:br/>
              <w:t xml:space="preserve">  - combination is feasible: document excerpt 16 explicitly recommends surgical resection followed by adjuvant radiotherapy and chemotherapy (systemic therapy). document excerpt 25 mentions "surgical treatment is the standard approach" and can be combined with radiotherapy; document excerpt 35 states that for advanced and metastatic lesions, palliative radiotherapy or chemotherapy or their combination can be applied.</w:t>
            </w:r>
            <w:r w:rsidRPr="00CB2EC4">
              <w:rPr>
                <w:rFonts w:ascii="Times New Roman" w:hAnsi="Times New Roman" w:cs="Times New Roman"/>
              </w:rPr>
              <w:br/>
              <w:t xml:space="preserve">  - specific combination methods: e.g., surgery ± postoperative radiotherapy ± chemotherapy (document excerpt 16), or chemotherapy combined with radiotherapy for non-surgical candidates (document excerpts 17 and 25). document excerpt 28 notes that intraoperative radiotherapy (IORT) can be </w:t>
            </w:r>
            <w:r w:rsidRPr="00CB2EC4">
              <w:rPr>
                <w:rFonts w:ascii="Times New Roman" w:hAnsi="Times New Roman" w:cs="Times New Roman"/>
              </w:rPr>
              <w:lastRenderedPageBreak/>
              <w:t>used for recurrence, often in conjunction with surgery.</w:t>
            </w:r>
            <w:r w:rsidRPr="00CB2EC4">
              <w:rPr>
                <w:rFonts w:ascii="Times New Roman" w:hAnsi="Times New Roman" w:cs="Times New Roman"/>
              </w:rPr>
              <w:br/>
              <w:t xml:space="preserve">  - contraindications: for patients unsuitable for surgery or radiotherapy, systemic therapy (chemotherapy) is preferred (document excerpts 9 and 17).</w:t>
            </w:r>
            <w:r w:rsidRPr="00CB2EC4">
              <w:rPr>
                <w:rFonts w:ascii="Times New Roman" w:hAnsi="Times New Roman" w:cs="Times New Roman"/>
              </w:rPr>
              <w:br/>
            </w:r>
            <w:r w:rsidRPr="00CB2EC4">
              <w:rPr>
                <w:rFonts w:ascii="Times New Roman" w:hAnsi="Times New Roman" w:cs="Times New Roman"/>
              </w:rPr>
              <w:br/>
              <w:t>in summary, treatment strategies are based on recurrence site: surgery is prioritized for central recurrence, systemic therapy or radiotherapy for non-central recurrence; surgery, radiotherapy, and chemotherapy can be combined (e.g., surgery ± radiotherapy ± chemotherapy) to improve efficacy, but require individualized assessment.</w:t>
            </w:r>
          </w:p>
        </w:tc>
        <w:tc>
          <w:tcPr>
            <w:tcW w:w="1152" w:type="dxa"/>
            <w:vAlign w:val="center"/>
          </w:tcPr>
          <w:p w14:paraId="3D4744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209F2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A31B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51A8FD" w14:textId="77777777">
        <w:tc>
          <w:tcPr>
            <w:tcW w:w="2160" w:type="dxa"/>
            <w:vAlign w:val="center"/>
          </w:tcPr>
          <w:p w14:paraId="07B79D9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2A2488E9" w14:textId="77777777" w:rsidR="00922249" w:rsidRPr="00CB2EC4" w:rsidRDefault="003011D5">
            <w:pPr>
              <w:rPr>
                <w:rFonts w:ascii="Times New Roman" w:hAnsi="Times New Roman" w:cs="Times New Roman"/>
              </w:rPr>
            </w:pPr>
            <w:r w:rsidRPr="00CB2EC4">
              <w:rPr>
                <w:rFonts w:ascii="Times New Roman" w:hAnsi="Times New Roman" w:cs="Times New Roman"/>
              </w:rPr>
              <w:t>Treatment Strategies and Combination Regimens for Recurrent Cervical Cancer</w:t>
            </w:r>
            <w:r w:rsidRPr="00CB2EC4">
              <w:rPr>
                <w:rFonts w:ascii="Times New Roman" w:hAnsi="Times New Roman" w:cs="Times New Roman"/>
              </w:rPr>
              <w:br/>
            </w:r>
            <w:r w:rsidRPr="00CB2EC4">
              <w:rPr>
                <w:rFonts w:ascii="Times New Roman" w:hAnsi="Times New Roman" w:cs="Times New Roman"/>
              </w:rPr>
              <w:br/>
              <w:t xml:space="preserve">Comprehensive Response:  </w:t>
            </w:r>
            <w:r w:rsidRPr="00CB2EC4">
              <w:rPr>
                <w:rFonts w:ascii="Times New Roman" w:hAnsi="Times New Roman" w:cs="Times New Roman"/>
              </w:rPr>
              <w:br/>
              <w:t># Treatment Strategy Selection:</w:t>
            </w:r>
            <w:r w:rsidRPr="00CB2EC4">
              <w:rPr>
                <w:rFonts w:ascii="Times New Roman" w:hAnsi="Times New Roman" w:cs="Times New Roman"/>
              </w:rPr>
              <w:br/>
              <w:t>| Recurrence Type          | First-line Option                          | Alternative Option                          |</w:t>
            </w:r>
            <w:r w:rsidRPr="00CB2EC4">
              <w:rPr>
                <w:rFonts w:ascii="Times New Roman" w:hAnsi="Times New Roman" w:cs="Times New Roman"/>
              </w:rPr>
              <w:br/>
              <w:t>|--------------------------|--------------------------------------------|---------------------------------------------|</w:t>
            </w:r>
            <w:r w:rsidRPr="00CB2EC4">
              <w:rPr>
                <w:rFonts w:ascii="Times New Roman" w:hAnsi="Times New Roman" w:cs="Times New Roman"/>
              </w:rPr>
              <w:br/>
              <w:t>| No prior radiotherapy     | Surgical resection ± postoperative radiotherapy ± chemotherapy | Individualized radiotherapy + systemic therapy |</w:t>
            </w:r>
            <w:r w:rsidRPr="00CB2EC4">
              <w:rPr>
                <w:rFonts w:ascii="Times New Roman" w:hAnsi="Times New Roman" w:cs="Times New Roman"/>
              </w:rPr>
              <w:br/>
              <w:t>| Central recurrence post-radiotherapy | Pelvic exenteration (total/anterior/posterior) | Brachytherapy (lesion &lt;2cm)                 |</w:t>
            </w:r>
            <w:r w:rsidRPr="00CB2EC4">
              <w:rPr>
                <w:rFonts w:ascii="Times New Roman" w:hAnsi="Times New Roman" w:cs="Times New Roman"/>
              </w:rPr>
              <w:br/>
              <w:t>| Non-central recurrence post-radiotherapy | Systemic therapy (chemotherapy/immunotherapy) ± palliative radiotherapy | Clinical trials / SBRT (stereotactic body radiotherapy) |</w:t>
            </w:r>
            <w:r w:rsidRPr="00CB2EC4">
              <w:rPr>
                <w:rFonts w:ascii="Times New Roman" w:hAnsi="Times New Roman" w:cs="Times New Roman"/>
              </w:rPr>
              <w:br/>
              <w:t xml:space="preserve">| Distant metastasis        | Systemic therapy ± local treatment (e.g., SBRT ablation) | Best supportive care                         </w:t>
            </w:r>
            <w:r w:rsidRPr="00CB2EC4">
              <w:rPr>
                <w:rFonts w:ascii="Times New Roman" w:hAnsi="Times New Roman" w:cs="Times New Roman"/>
              </w:rPr>
              <w:lastRenderedPageBreak/>
              <w:t>|</w:t>
            </w:r>
            <w:r w:rsidRPr="00CB2EC4">
              <w:rPr>
                <w:rFonts w:ascii="Times New Roman" w:hAnsi="Times New Roman" w:cs="Times New Roman"/>
              </w:rPr>
              <w:br/>
            </w:r>
            <w:r w:rsidRPr="00CB2EC4">
              <w:rPr>
                <w:rFonts w:ascii="Times New Roman" w:hAnsi="Times New Roman" w:cs="Times New Roman"/>
              </w:rPr>
              <w:br/>
              <w:t xml:space="preserve"># Key Points of Combination Therapy:  </w:t>
            </w:r>
            <w:r w:rsidRPr="00CB2EC4">
              <w:rPr>
                <w:rFonts w:ascii="Times New Roman" w:hAnsi="Times New Roman" w:cs="Times New Roman"/>
              </w:rPr>
              <w:br/>
              <w:t xml:space="preserve">- Surgery + Radiotherapy: Applicable to resectable local recurrence (e.g., exenteration combined with intraoperative radiotherapy [IORT]).  </w:t>
            </w:r>
            <w:r w:rsidRPr="00CB2EC4">
              <w:rPr>
                <w:rFonts w:ascii="Times New Roman" w:hAnsi="Times New Roman" w:cs="Times New Roman"/>
              </w:rPr>
              <w:br/>
              <w:t xml:space="preserve">- Chemotherapy + Immunotherapy:  </w:t>
            </w:r>
            <w:r w:rsidRPr="00CB2EC4">
              <w:rPr>
                <w:rFonts w:ascii="Times New Roman" w:hAnsi="Times New Roman" w:cs="Times New Roman"/>
              </w:rPr>
              <w:br/>
              <w:t xml:space="preserve">  - PD-L1 positive: Pembrolizumab + chemotherapy (Knowledge Base 11.3.1).  </w:t>
            </w:r>
            <w:r w:rsidRPr="00CB2EC4">
              <w:rPr>
                <w:rFonts w:ascii="Times New Roman" w:hAnsi="Times New Roman" w:cs="Times New Roman"/>
              </w:rPr>
              <w:br/>
              <w:t xml:space="preserve">  - HER2 positive: T-DXd (novel ADC drug, online literature).  </w:t>
            </w:r>
            <w:r w:rsidRPr="00CB2EC4">
              <w:rPr>
                <w:rFonts w:ascii="Times New Roman" w:hAnsi="Times New Roman" w:cs="Times New Roman"/>
              </w:rPr>
              <w:br/>
              <w:t xml:space="preserve">- Evidence Basis:  </w:t>
            </w:r>
            <w:r w:rsidRPr="00CB2EC4">
              <w:rPr>
                <w:rFonts w:ascii="Times New Roman" w:hAnsi="Times New Roman" w:cs="Times New Roman"/>
              </w:rPr>
              <w:br/>
              <w:t xml:space="preserve">  - Knowledge Base (11.1–11.3): Defines stratified treatment strategies, emphasizes multidisciplinary comprehensive therapy.  </w:t>
            </w:r>
            <w:r w:rsidRPr="00CB2EC4">
              <w:rPr>
                <w:rFonts w:ascii="Times New Roman" w:hAnsi="Times New Roman" w:cs="Times New Roman"/>
              </w:rPr>
              <w:br/>
              <w:t xml:space="preserve">  - Online search: Cemiplimab (regardless of PD-L1 status) can be used for second-line therapy.</w:t>
            </w:r>
          </w:p>
        </w:tc>
        <w:tc>
          <w:tcPr>
            <w:tcW w:w="1152" w:type="dxa"/>
            <w:vAlign w:val="center"/>
          </w:tcPr>
          <w:p w14:paraId="56A526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8B6ED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C547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046CA9" w14:textId="77777777">
        <w:tc>
          <w:tcPr>
            <w:tcW w:w="2160" w:type="dxa"/>
            <w:vAlign w:val="center"/>
          </w:tcPr>
          <w:p w14:paraId="12CCD8F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7AB3FB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 Recommended treatment strategies:  </w:t>
            </w:r>
            <w:r w:rsidRPr="00CB2EC4">
              <w:rPr>
                <w:rFonts w:ascii="Times New Roman" w:hAnsi="Times New Roman" w:cs="Times New Roman"/>
              </w:rPr>
              <w:br/>
              <w:t xml:space="preserve">  - Surgical treatment: Applicable for central recurrence (e.g., pelvic exenteration) or locally resectable lesions. Document fragment 17 (annotation section) and document fragment 21 (section 6.1) state: For patients without prior radiotherapy or recurrence outside the radiation field, surgical resection (e.g., radical hysterectomy or pelvic exenteration) is a Level I recommendation, especially when the recurrent lesion diameter is &lt;2 cm and without pelvic wall invasion.  </w:t>
            </w:r>
            <w:r w:rsidRPr="00CB2EC4">
              <w:rPr>
                <w:rFonts w:ascii="Times New Roman" w:hAnsi="Times New Roman" w:cs="Times New Roman"/>
              </w:rPr>
              <w:br/>
              <w:t xml:space="preserve">  - Radiotherapy: Applicable for non-central recurrence or postoperative adjuvant therapy. Document fragment 17 (table section) recommends: For patients without prior radiotherapy, individualized EBRT (external beam radiotherapy) ± brachytherapy; </w:t>
            </w:r>
            <w:r w:rsidRPr="00CB2EC4">
              <w:rPr>
                <w:rFonts w:ascii="Times New Roman" w:hAnsi="Times New Roman" w:cs="Times New Roman"/>
              </w:rPr>
              <w:lastRenderedPageBreak/>
              <w:t xml:space="preserve">for recurrence after radiotherapy, SBRT (stereotactic body radiotherapy) or IORT (intraoperative radiotherapy) should be used cautiously to reduce complications.  </w:t>
            </w:r>
            <w:r w:rsidRPr="00CB2EC4">
              <w:rPr>
                <w:rFonts w:ascii="Times New Roman" w:hAnsi="Times New Roman" w:cs="Times New Roman"/>
              </w:rPr>
              <w:br/>
              <w:t xml:space="preserve">  - Chemotherapy and systemic therapy: Applicable for distant metastasis or patients unsuitable for local therapy. Document fragment 16 (systemic therapy section) and document fragment 21 emphasize: Platinum-based chemotherapy (e.g., cisplatin combined with paclitaxel) is a Level I recommendation for symptom relief; immunotherapy (e.g., PD-1 inhibitors) is also used for patients with specific positive biomarkers.  </w:t>
            </w:r>
            <w:r w:rsidRPr="00CB2EC4">
              <w:rPr>
                <w:rFonts w:ascii="Times New Roman" w:hAnsi="Times New Roman" w:cs="Times New Roman"/>
              </w:rPr>
              <w:br/>
              <w:t xml:space="preserve">  - Combined use: Surgery, radiotherapy, and chemotherapy can be combined. Document fragment 17 (Level I recommendation) explicitly states: For resectable recurrence, "surgical resection ± postoperative individualized EBRT ± systemic therapy" is recommended; document fragment 21 cites: Postoperative concurrent chemoradiotherapy (e.g., weekly cisplatin) can improve survival rates. Document fragment 16 (table) also shows: Strategies for recurrence include "local surgical resection ± EBRT + systemic therapy".  </w:t>
            </w:r>
            <w:r w:rsidRPr="00CB2EC4">
              <w:rPr>
                <w:rFonts w:ascii="Times New Roman" w:hAnsi="Times New Roman" w:cs="Times New Roman"/>
              </w:rPr>
              <w:br/>
              <w:t xml:space="preserve">- Can they be combined: Yes, surgery, radiotherapy, and chemotherapy can be combined. Document fragment 21 (recurrence management section) confirms: Combined modality therapy (e.g., surgery plus postoperative chemoradiotherapy) is a standard regimen, especially for patients with isolated metastasis or central recurrence, improving survival (5-year survival rate can reach 30%~60%). However, patient tolerance must be assessed to avoid increased complications from dual therapy.  </w:t>
            </w:r>
            <w:r w:rsidRPr="00CB2EC4">
              <w:rPr>
                <w:rFonts w:ascii="Times New Roman" w:hAnsi="Times New Roman" w:cs="Times New Roman"/>
              </w:rPr>
              <w:br/>
            </w:r>
            <w:r w:rsidRPr="00CB2EC4">
              <w:rPr>
                <w:rFonts w:ascii="Times New Roman" w:hAnsi="Times New Roman" w:cs="Times New Roman"/>
              </w:rPr>
              <w:lastRenderedPageBreak/>
              <w:t>In summary, treatment strategies are individualized, prioritizing surgery or radiotherapy with chemotherapy as adjuvant; all three can be combined to enhance efficacy.</w:t>
            </w:r>
          </w:p>
        </w:tc>
        <w:tc>
          <w:tcPr>
            <w:tcW w:w="1152" w:type="dxa"/>
            <w:vAlign w:val="center"/>
          </w:tcPr>
          <w:p w14:paraId="5FB8F3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558C3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6147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7EC6F2" w14:textId="77777777">
        <w:tc>
          <w:tcPr>
            <w:tcW w:w="2160" w:type="dxa"/>
            <w:vAlign w:val="center"/>
          </w:tcPr>
          <w:p w14:paraId="28C94C1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4D78C6C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recommended treatment strategies for recurrent cervical cancer: depend on the site of recurrence, prior treatment, and patient condition. based on the context (document 7, document 12, document 14, and document 16, with fusion scores 0.4961, 0.4629, 0.4573, and 0.4373), the following strategies are provided:  </w:t>
            </w:r>
            <w:r w:rsidRPr="00CB2EC4">
              <w:rPr>
                <w:rFonts w:ascii="Times New Roman" w:hAnsi="Times New Roman" w:cs="Times New Roman"/>
              </w:rPr>
              <w:br/>
              <w:t xml:space="preserve">- central recurrence (e.g., within the pelvis without involvement of the pelvic wall):  </w:t>
            </w:r>
            <w:r w:rsidRPr="00CB2EC4">
              <w:rPr>
                <w:rFonts w:ascii="Times New Roman" w:hAnsi="Times New Roman" w:cs="Times New Roman"/>
              </w:rPr>
              <w:br/>
              <w:t xml:space="preserve">  - level i recommendation: surgical treatment (e.g., pelvic exenteration or radical hysterectomy), especially applicable for recurrence after radiotherapy.  </w:t>
            </w:r>
            <w:r w:rsidRPr="00CB2EC4">
              <w:rPr>
                <w:rFonts w:ascii="Times New Roman" w:hAnsi="Times New Roman" w:cs="Times New Roman"/>
              </w:rPr>
              <w:br/>
              <w:t xml:space="preserve">  - level ii recommendation: brachytherapy or individualized external beam radiotherapy (EBRT).  </w:t>
            </w:r>
            <w:r w:rsidRPr="00CB2EC4">
              <w:rPr>
                <w:rFonts w:ascii="Times New Roman" w:hAnsi="Times New Roman" w:cs="Times New Roman"/>
              </w:rPr>
              <w:br/>
              <w:t xml:space="preserve">- non-central recurrence or regional recurrence (e.g., recurrence outside the radiotherapy field):  </w:t>
            </w:r>
            <w:r w:rsidRPr="00CB2EC4">
              <w:rPr>
                <w:rFonts w:ascii="Times New Roman" w:hAnsi="Times New Roman" w:cs="Times New Roman"/>
              </w:rPr>
              <w:br/>
              <w:t xml:space="preserve">  - level i recommendation: surgical resection ± postoperative radiotherapy ± chemotherapy.  </w:t>
            </w:r>
            <w:r w:rsidRPr="00CB2EC4">
              <w:rPr>
                <w:rFonts w:ascii="Times New Roman" w:hAnsi="Times New Roman" w:cs="Times New Roman"/>
              </w:rPr>
              <w:br/>
              <w:t xml:space="preserve">  - level ii recommendation: systemic therapy (chemotherapy) ± radiotherapy.  </w:t>
            </w:r>
            <w:r w:rsidRPr="00CB2EC4">
              <w:rPr>
                <w:rFonts w:ascii="Times New Roman" w:hAnsi="Times New Roman" w:cs="Times New Roman"/>
              </w:rPr>
              <w:br/>
              <w:t xml:space="preserve">- distant metastasis (e.g., lung, liver, bone):  </w:t>
            </w:r>
            <w:r w:rsidRPr="00CB2EC4">
              <w:rPr>
                <w:rFonts w:ascii="Times New Roman" w:hAnsi="Times New Roman" w:cs="Times New Roman"/>
              </w:rPr>
              <w:br/>
              <w:t xml:space="preserve">  - level i recommendation: systemic therapy (primarily chemotherapy) ± palliative radiotherapy.  </w:t>
            </w:r>
            <w:r w:rsidRPr="00CB2EC4">
              <w:rPr>
                <w:rFonts w:ascii="Times New Roman" w:hAnsi="Times New Roman" w:cs="Times New Roman"/>
              </w:rPr>
              <w:br/>
              <w:t xml:space="preserve">  - level ii recommendation: local therapy (e.g., SBRT) combined with chemotherapy.  </w:t>
            </w:r>
            <w:r w:rsidRPr="00CB2EC4">
              <w:rPr>
                <w:rFonts w:ascii="Times New Roman" w:hAnsi="Times New Roman" w:cs="Times New Roman"/>
              </w:rPr>
              <w:br/>
              <w:t xml:space="preserve">- prior radiotherapy received:  </w:t>
            </w:r>
            <w:r w:rsidRPr="00CB2EC4">
              <w:rPr>
                <w:rFonts w:ascii="Times New Roman" w:hAnsi="Times New Roman" w:cs="Times New Roman"/>
              </w:rPr>
              <w:br/>
              <w:t xml:space="preserve">  - re-irradiation (e.g., IMRT or intraoperative radiotherapy [IORT]) should be selected cautiously to avoid severe complications.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can surgery, radiotherapy, and chemotherapy be used in combination?  </w:t>
            </w:r>
            <w:r w:rsidRPr="00CB2EC4">
              <w:rPr>
                <w:rFonts w:ascii="Times New Roman" w:hAnsi="Times New Roman" w:cs="Times New Roman"/>
              </w:rPr>
              <w:br/>
              <w:t xml:space="preserve">yes, combination use is supported. the context explicitly endorses multimodal therapy:  </w:t>
            </w:r>
            <w:r w:rsidRPr="00CB2EC4">
              <w:rPr>
                <w:rFonts w:ascii="Times New Roman" w:hAnsi="Times New Roman" w:cs="Times New Roman"/>
              </w:rPr>
              <w:br/>
              <w:t xml:space="preserve">- document 12 and document 14 show that for local recurrence, surgery combined with postoperative radiotherapy and chemotherapy (e.g., cisplatin-based) is recommended; for distant metastasis, chemotherapy may be combined with radiotherapy (e.g., "systemic therapy ± individualized EBRT" in document 16).  </w:t>
            </w:r>
            <w:r w:rsidRPr="00CB2EC4">
              <w:rPr>
                <w:rFonts w:ascii="Times New Roman" w:hAnsi="Times New Roman" w:cs="Times New Roman"/>
              </w:rPr>
              <w:br/>
              <w:t xml:space="preserve">- document 16 states in the systemic therapy section that chemotherapy regimens (e.g., cisplatin plus paclitaxel) can be used concurrently with radiotherapy to improve response rates.  </w:t>
            </w:r>
            <w:r w:rsidRPr="00CB2EC4">
              <w:rPr>
                <w:rFonts w:ascii="Times New Roman" w:hAnsi="Times New Roman" w:cs="Times New Roman"/>
              </w:rPr>
              <w:br/>
              <w:t xml:space="preserve">- document 25 emphasizes that combined treatment (e.g., exenteration followed by chemoradiotherapy) can improve survival rates, though risks of complications must be weighed.  </w:t>
            </w:r>
            <w:r w:rsidRPr="00CB2EC4">
              <w:rPr>
                <w:rFonts w:ascii="Times New Roman" w:hAnsi="Times New Roman" w:cs="Times New Roman"/>
              </w:rPr>
              <w:br/>
              <w:t>in summary, treatment is individualized; combined application may enhance efficacy but must be based on recurrence type and resource availability.</w:t>
            </w:r>
          </w:p>
        </w:tc>
        <w:tc>
          <w:tcPr>
            <w:tcW w:w="1152" w:type="dxa"/>
            <w:vAlign w:val="center"/>
          </w:tcPr>
          <w:p w14:paraId="2D6E91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5D14A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331A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7DCEC9B" w14:textId="77777777">
        <w:tc>
          <w:tcPr>
            <w:tcW w:w="2160" w:type="dxa"/>
            <w:vAlign w:val="center"/>
          </w:tcPr>
          <w:p w14:paraId="42A31305"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51D903F" w14:textId="77777777" w:rsidR="00922249" w:rsidRPr="00CB2EC4" w:rsidRDefault="003011D5">
            <w:pPr>
              <w:rPr>
                <w:rFonts w:ascii="Times New Roman" w:hAnsi="Times New Roman" w:cs="Times New Roman"/>
              </w:rPr>
            </w:pPr>
            <w:r w:rsidRPr="00CB2EC4">
              <w:rPr>
                <w:rFonts w:ascii="Times New Roman" w:hAnsi="Times New Roman" w:cs="Times New Roman"/>
              </w:rPr>
              <w:t>recommended treatment strategies for recurrent cervical cancer include:</w:t>
            </w:r>
            <w:r w:rsidRPr="00CB2EC4">
              <w:rPr>
                <w:rFonts w:ascii="Times New Roman" w:hAnsi="Times New Roman" w:cs="Times New Roman"/>
              </w:rPr>
              <w:br/>
            </w:r>
            <w:r w:rsidRPr="00CB2EC4">
              <w:rPr>
                <w:rFonts w:ascii="Times New Roman" w:hAnsi="Times New Roman" w:cs="Times New Roman"/>
              </w:rPr>
              <w:br/>
              <w:t xml:space="preserve">- **Surgical treatment**: Applicable for central recurrence (e.g., vaginal or cervical local recurrence), especially in patients without prior radiotherapy or with recurrence outside previous radiation fields. Recommended: "surgical resection (after thorough assessment of resectability) ± individualized external beam radiotherapy (EBRT) ± brachytherapy ± systemic therapy" (Level I recommendation). Specific procedures include pelvic exenteration (for central recurrence without distant metastasis) or radical </w:t>
            </w:r>
            <w:r w:rsidRPr="00CB2EC4">
              <w:rPr>
                <w:rFonts w:ascii="Times New Roman" w:hAnsi="Times New Roman" w:cs="Times New Roman"/>
              </w:rPr>
              <w:lastRenderedPageBreak/>
              <w:t>hysterectomy (for lesions &lt;2 cm).</w:t>
            </w:r>
            <w:r w:rsidRPr="00CB2EC4">
              <w:rPr>
                <w:rFonts w:ascii="Times New Roman" w:hAnsi="Times New Roman" w:cs="Times New Roman"/>
              </w:rPr>
              <w:br/>
            </w:r>
            <w:r w:rsidRPr="00CB2EC4">
              <w:rPr>
                <w:rFonts w:ascii="Times New Roman" w:hAnsi="Times New Roman" w:cs="Times New Roman"/>
              </w:rPr>
              <w:br/>
              <w:t>- **Radiotherapy**: Used for non-central recurrence or inoperable cases. Recommended: "radical radiotherapy or individualized EBRT ± brachytherapy", particularly for areas not previously irradiated. Radiotherapy may be combined with chemotherapy to enhance efficacy.</w:t>
            </w:r>
            <w:r w:rsidRPr="00CB2EC4">
              <w:rPr>
                <w:rFonts w:ascii="Times New Roman" w:hAnsi="Times New Roman" w:cs="Times New Roman"/>
              </w:rPr>
              <w:br/>
            </w:r>
            <w:r w:rsidRPr="00CB2EC4">
              <w:rPr>
                <w:rFonts w:ascii="Times New Roman" w:hAnsi="Times New Roman" w:cs="Times New Roman"/>
              </w:rPr>
              <w:br/>
              <w:t>- **Chemotherapy (systemic therapy)**: Indicated for distant metastasis or patients unsuitable for local treatment. Recommended platinum-based regimens (e.g., cisplatin) or targeted/immunotherapy (e.g., bevacizumab).</w:t>
            </w:r>
            <w:r w:rsidRPr="00CB2EC4">
              <w:rPr>
                <w:rFonts w:ascii="Times New Roman" w:hAnsi="Times New Roman" w:cs="Times New Roman"/>
              </w:rPr>
              <w:br/>
            </w:r>
            <w:r w:rsidRPr="00CB2EC4">
              <w:rPr>
                <w:rFonts w:ascii="Times New Roman" w:hAnsi="Times New Roman" w:cs="Times New Roman"/>
              </w:rPr>
              <w:br/>
              <w:t>- **Combined therapy**: The document emphasizes selecting combined strategies based on recurrence site, prior treatment, and patient condition. Examples include: "systemic therapy ± individualized EBRT ± brachytherapy" or "surgical resection ± postoperative radiotherapy ± chemotherapy".</w:t>
            </w:r>
            <w:r w:rsidRPr="00CB2EC4">
              <w:rPr>
                <w:rFonts w:ascii="Times New Roman" w:hAnsi="Times New Roman" w:cs="Times New Roman"/>
              </w:rPr>
              <w:br/>
            </w:r>
            <w:r w:rsidRPr="00CB2EC4">
              <w:rPr>
                <w:rFonts w:ascii="Times New Roman" w:hAnsi="Times New Roman" w:cs="Times New Roman"/>
              </w:rPr>
              <w:br/>
              <w:t>Can surgery, radiotherapy, and chemotherapy be used in combination?</w:t>
            </w:r>
            <w:r w:rsidRPr="00CB2EC4">
              <w:rPr>
                <w:rFonts w:ascii="Times New Roman" w:hAnsi="Times New Roman" w:cs="Times New Roman"/>
              </w:rPr>
              <w:br/>
            </w:r>
            <w:r w:rsidRPr="00CB2EC4">
              <w:rPr>
                <w:rFonts w:ascii="Times New Roman" w:hAnsi="Times New Roman" w:cs="Times New Roman"/>
              </w:rPr>
              <w:br/>
              <w:t>- **Yes, combination use is supported**: The document explicitly endorses multimodal therapy. For example:</w:t>
            </w:r>
            <w:r w:rsidRPr="00CB2EC4">
              <w:rPr>
                <w:rFonts w:ascii="Times New Roman" w:hAnsi="Times New Roman" w:cs="Times New Roman"/>
              </w:rPr>
              <w:br/>
              <w:t xml:space="preserve">  - For central recurrence, "surgical resection ± postoperative individualized EBRT ± systemic therapy" is a Level I recommendation.</w:t>
            </w:r>
            <w:r w:rsidRPr="00CB2EC4">
              <w:rPr>
                <w:rFonts w:ascii="Times New Roman" w:hAnsi="Times New Roman" w:cs="Times New Roman"/>
              </w:rPr>
              <w:br/>
              <w:t xml:space="preserve">  - For post-radiotherapy recurrence, "surgery (e.g., pelvic exenteration) combined with intraoperative radiotherapy (IORT) or chemotherapy" is an option </w:t>
            </w:r>
            <w:r w:rsidRPr="00CB2EC4">
              <w:rPr>
                <w:rFonts w:ascii="Times New Roman" w:hAnsi="Times New Roman" w:cs="Times New Roman"/>
              </w:rPr>
              <w:lastRenderedPageBreak/>
              <w:t>(Level III recommendation).</w:t>
            </w:r>
            <w:r w:rsidRPr="00CB2EC4">
              <w:rPr>
                <w:rFonts w:ascii="Times New Roman" w:hAnsi="Times New Roman" w:cs="Times New Roman"/>
              </w:rPr>
              <w:br/>
              <w:t xml:space="preserve">  - The document states: "Combined therapy is a common strategy for recurrent cervical cancer, especially for refractory cases, requiring individualized design; e.g., surgery plus radiotherapy may reduce recurrence but requires attention to complication risks."</w:t>
            </w:r>
            <w:r w:rsidRPr="00CB2EC4">
              <w:rPr>
                <w:rFonts w:ascii="Times New Roman" w:hAnsi="Times New Roman" w:cs="Times New Roman"/>
              </w:rPr>
              <w:br/>
            </w:r>
            <w:r w:rsidRPr="00CB2EC4">
              <w:rPr>
                <w:rFonts w:ascii="Times New Roman" w:hAnsi="Times New Roman" w:cs="Times New Roman"/>
              </w:rPr>
              <w:br/>
              <w:t>- **Basis for combination**: The document notes that combined treatment improves local control and survival rates but necessitates assessment of patient tolerance (e.g., dual therapy may increase complication risks).</w:t>
            </w:r>
            <w:r w:rsidRPr="00CB2EC4">
              <w:rPr>
                <w:rFonts w:ascii="Times New Roman" w:hAnsi="Times New Roman" w:cs="Times New Roman"/>
              </w:rPr>
              <w:br/>
            </w:r>
            <w:r w:rsidRPr="00CB2EC4">
              <w:rPr>
                <w:rFonts w:ascii="Times New Roman" w:hAnsi="Times New Roman" w:cs="Times New Roman"/>
              </w:rPr>
              <w:br/>
              <w:t>In summary, treatment strategies for recurrent cervical cancer are highly individualized, with surgery, radiotherapy, and chemotherapy frequently combined to optimize outcomes; the document provides specific recommendation levels and clinical scenarios.</w:t>
            </w:r>
          </w:p>
        </w:tc>
        <w:tc>
          <w:tcPr>
            <w:tcW w:w="1152" w:type="dxa"/>
            <w:vAlign w:val="center"/>
          </w:tcPr>
          <w:p w14:paraId="5A3363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088A2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BD29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2558B8D" w14:textId="77777777">
        <w:tc>
          <w:tcPr>
            <w:tcW w:w="2160" w:type="dxa"/>
            <w:vAlign w:val="center"/>
          </w:tcPr>
          <w:p w14:paraId="316DD89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5E1A74E3" w14:textId="77777777" w:rsidR="00922249" w:rsidRPr="00CB2EC4" w:rsidRDefault="003011D5">
            <w:pPr>
              <w:rPr>
                <w:rFonts w:ascii="Times New Roman" w:hAnsi="Times New Roman" w:cs="Times New Roman"/>
              </w:rPr>
            </w:pPr>
            <w:r w:rsidRPr="00CB2EC4">
              <w:rPr>
                <w:rFonts w:ascii="Times New Roman" w:hAnsi="Times New Roman" w:cs="Times New Roman"/>
              </w:rPr>
              <w:t>yes. recommended treatment strategies for recurrent cervical cancer include:</w:t>
            </w:r>
            <w:r w:rsidRPr="00CB2EC4">
              <w:rPr>
                <w:rFonts w:ascii="Times New Roman" w:hAnsi="Times New Roman" w:cs="Times New Roman"/>
              </w:rPr>
              <w:br/>
            </w:r>
            <w:r w:rsidRPr="00CB2EC4">
              <w:rPr>
                <w:rFonts w:ascii="Times New Roman" w:hAnsi="Times New Roman" w:cs="Times New Roman"/>
              </w:rPr>
              <w:br/>
              <w:t>- surgical treatment: applicable for central recurrence (e.g., cervix, vagina, non-fixed bladder/rectum), especially in patients without prior radiotherapy or recurrence outside the radiation field. common procedures include:</w:t>
            </w:r>
            <w:r w:rsidRPr="00CB2EC4">
              <w:rPr>
                <w:rFonts w:ascii="Times New Roman" w:hAnsi="Times New Roman" w:cs="Times New Roman"/>
              </w:rPr>
              <w:br/>
              <w:t xml:space="preserve">  - radical hysterectomy: used for central recurrence with small lesions (&lt;2 cm) (segment 12).</w:t>
            </w:r>
            <w:r w:rsidRPr="00CB2EC4">
              <w:rPr>
                <w:rFonts w:ascii="Times New Roman" w:hAnsi="Times New Roman" w:cs="Times New Roman"/>
              </w:rPr>
              <w:br/>
              <w:t xml:space="preserve">  - pelvic exenteration: indicated for central recurrence after radiotherapy or FIGO IVA stage patients, with type (anterior, posterior, or total) selected based on tumor location (segments 18, 20).</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radiotherapy: used for non-central recurrence or post-surgical recurrence, particularly in patients without prior radiotherapy. re-irradiation requires caution and individualized dosing (segment 18). for example, bone metastases may receive 30 Gy/2–3 weeks for pain relief (segment 23).</w:t>
            </w:r>
            <w:r w:rsidRPr="00CB2EC4">
              <w:rPr>
                <w:rFonts w:ascii="Times New Roman" w:hAnsi="Times New Roman" w:cs="Times New Roman"/>
              </w:rPr>
              <w:br/>
            </w:r>
            <w:r w:rsidRPr="00CB2EC4">
              <w:rPr>
                <w:rFonts w:ascii="Times New Roman" w:hAnsi="Times New Roman" w:cs="Times New Roman"/>
              </w:rPr>
              <w:br/>
              <w:t>- chemotherapy: indicated for patients with distant metastases unsuitable for surgery or radiotherapy, typically platinum-based doublet regimens (e.g., cisplatin + paclitaxel) (segments 17, 18, 23).</w:t>
            </w:r>
            <w:r w:rsidRPr="00CB2EC4">
              <w:rPr>
                <w:rFonts w:ascii="Times New Roman" w:hAnsi="Times New Roman" w:cs="Times New Roman"/>
              </w:rPr>
              <w:br/>
            </w:r>
            <w:r w:rsidRPr="00CB2EC4">
              <w:rPr>
                <w:rFonts w:ascii="Times New Roman" w:hAnsi="Times New Roman" w:cs="Times New Roman"/>
              </w:rPr>
              <w:br/>
              <w:t>- combined therapy: based on recurrence site and prior treatment, surgery, radiotherapy, and chemotherapy can be combined. for instance:</w:t>
            </w:r>
            <w:r w:rsidRPr="00CB2EC4">
              <w:rPr>
                <w:rFonts w:ascii="Times New Roman" w:hAnsi="Times New Roman" w:cs="Times New Roman"/>
              </w:rPr>
              <w:br/>
              <w:t xml:space="preserve">  - segment 18 (similarity 0.428) recommends for untreated recurrence: surgical resection ± postoperative individualized external beam radiotherapy (EBRT) ± brachytherapy ± systemic therapy (chemotherapy).</w:t>
            </w:r>
            <w:r w:rsidRPr="00CB2EC4">
              <w:rPr>
                <w:rFonts w:ascii="Times New Roman" w:hAnsi="Times New Roman" w:cs="Times New Roman"/>
              </w:rPr>
              <w:br/>
              <w:t xml:space="preserve">  - segment 11 (similarity 0.612) notes radiotherapy followed by surgery may reduce recurrence risk but requires avoiding dual therapy to minimize complications.</w:t>
            </w:r>
            <w:r w:rsidRPr="00CB2EC4">
              <w:rPr>
                <w:rFonts w:ascii="Times New Roman" w:hAnsi="Times New Roman" w:cs="Times New Roman"/>
              </w:rPr>
              <w:br/>
              <w:t xml:space="preserve">  - segment 23 (similarity 0.378) states chemotherapy can be combined with radiotherapy for symptom palliation.</w:t>
            </w:r>
            <w:r w:rsidRPr="00CB2EC4">
              <w:rPr>
                <w:rFonts w:ascii="Times New Roman" w:hAnsi="Times New Roman" w:cs="Times New Roman"/>
              </w:rPr>
              <w:br/>
            </w:r>
            <w:r w:rsidRPr="00CB2EC4">
              <w:rPr>
                <w:rFonts w:ascii="Times New Roman" w:hAnsi="Times New Roman" w:cs="Times New Roman"/>
              </w:rPr>
              <w:br/>
              <w:t>summary: recommended strategies encompass surgery (e.g., pelvic exenteration), radiotherapy, and chemotherapy, which can be combined based on recurrence location, prior treatment, and patient condition. combined therapy is feasible but must balance complication risks (segments 18, 23).</w:t>
            </w:r>
          </w:p>
        </w:tc>
        <w:tc>
          <w:tcPr>
            <w:tcW w:w="1152" w:type="dxa"/>
            <w:vAlign w:val="center"/>
          </w:tcPr>
          <w:p w14:paraId="380321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B2806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8304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B760D99" w14:textId="77777777">
        <w:tc>
          <w:tcPr>
            <w:tcW w:w="2160" w:type="dxa"/>
            <w:vAlign w:val="center"/>
          </w:tcPr>
          <w:p w14:paraId="16D76BD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6150620E" w14:textId="77777777" w:rsidR="00922249" w:rsidRPr="00CB2EC4" w:rsidRDefault="003011D5">
            <w:pPr>
              <w:rPr>
                <w:rFonts w:ascii="Times New Roman" w:hAnsi="Times New Roman" w:cs="Times New Roman"/>
              </w:rPr>
            </w:pPr>
            <w:r w:rsidRPr="00CB2EC4">
              <w:rPr>
                <w:rFonts w:ascii="Times New Roman" w:hAnsi="Times New Roman" w:cs="Times New Roman"/>
              </w:rPr>
              <w:t>recommended treatment strategies for recurrent cervical cancer include individualized approaches based on recurrence site, initial treatment modality, and patient condition. surgery, radiotherapy, and chemotherapy can be combined, with specific strategies as follows:</w:t>
            </w:r>
            <w:r w:rsidRPr="00CB2EC4">
              <w:rPr>
                <w:rFonts w:ascii="Times New Roman" w:hAnsi="Times New Roman" w:cs="Times New Roman"/>
              </w:rPr>
              <w:br/>
            </w:r>
            <w:r w:rsidRPr="00CB2EC4">
              <w:rPr>
                <w:rFonts w:ascii="Times New Roman" w:hAnsi="Times New Roman" w:cs="Times New Roman"/>
              </w:rPr>
              <w:br/>
              <w:t>- recommended treatment strategies:</w:t>
            </w:r>
            <w:r w:rsidRPr="00CB2EC4">
              <w:rPr>
                <w:rFonts w:ascii="Times New Roman" w:hAnsi="Times New Roman" w:cs="Times New Roman"/>
              </w:rPr>
              <w:br/>
              <w:t xml:space="preserve">  - central recurrence (e.g., cervix, vagina, or bladder/rectum involvement):</w:t>
            </w:r>
            <w:r w:rsidRPr="00CB2EC4">
              <w:rPr>
                <w:rFonts w:ascii="Times New Roman" w:hAnsi="Times New Roman" w:cs="Times New Roman"/>
              </w:rPr>
              <w:br/>
              <w:t xml:space="preserve">    - surgery is the primary option, such as radical hysterectomy (for small lesions &lt;2 cm) or pelvic exenteration (for patients without distant metastasis), especially suitable for recurrence outside previous radiotherapy fields or in patients without prior radiotherapy (source: document fragment 11.1 table and 2. management of recurrent cancer).</w:t>
            </w:r>
            <w:r w:rsidRPr="00CB2EC4">
              <w:rPr>
                <w:rFonts w:ascii="Times New Roman" w:hAnsi="Times New Roman" w:cs="Times New Roman"/>
              </w:rPr>
              <w:br/>
              <w:t xml:space="preserve">    - if prior radiotherapy was administered, surgery remains the main choice but requires careful assessment of complications (source: document fragment note c).</w:t>
            </w:r>
            <w:r w:rsidRPr="00CB2EC4">
              <w:rPr>
                <w:rFonts w:ascii="Times New Roman" w:hAnsi="Times New Roman" w:cs="Times New Roman"/>
              </w:rPr>
              <w:br/>
              <w:t xml:space="preserve">  - non-central recurrence (e.g., pelvic sidewall or lymph nodes):</w:t>
            </w:r>
            <w:r w:rsidRPr="00CB2EC4">
              <w:rPr>
                <w:rFonts w:ascii="Times New Roman" w:hAnsi="Times New Roman" w:cs="Times New Roman"/>
              </w:rPr>
              <w:br/>
              <w:t xml:space="preserve">    - radiotherapy or chemoradiotherapy is preferred, such as individualized external beam radiotherapy (EBRT) ± brachytherapy ± systemic therapy (chemotherapy); intensity-modulated radiotherapy (IMRT) or stereotactic body radiotherapy (SBRT) can be used to reduce toxicity (source: document fragment 11.1 table and 6.1).</w:t>
            </w:r>
            <w:r w:rsidRPr="00CB2EC4">
              <w:rPr>
                <w:rFonts w:ascii="Times New Roman" w:hAnsi="Times New Roman" w:cs="Times New Roman"/>
              </w:rPr>
              <w:br/>
              <w:t xml:space="preserve">    - for isolated para-aortic lymph node recurrence, radical radiotherapy or chemoradiotherapy can achieve a 30% long-term survival rate (source: document fragment 6.2).</w:t>
            </w:r>
            <w:r w:rsidRPr="00CB2EC4">
              <w:rPr>
                <w:rFonts w:ascii="Times New Roman" w:hAnsi="Times New Roman" w:cs="Times New Roman"/>
              </w:rPr>
              <w:br/>
            </w:r>
            <w:r w:rsidRPr="00CB2EC4">
              <w:rPr>
                <w:rFonts w:ascii="Times New Roman" w:hAnsi="Times New Roman" w:cs="Times New Roman"/>
              </w:rPr>
              <w:lastRenderedPageBreak/>
              <w:t xml:space="preserve">  - distant metastasis or extensive recurrence:</w:t>
            </w:r>
            <w:r w:rsidRPr="00CB2EC4">
              <w:rPr>
                <w:rFonts w:ascii="Times New Roman" w:hAnsi="Times New Roman" w:cs="Times New Roman"/>
              </w:rPr>
              <w:br/>
              <w:t xml:space="preserve">    - systemic therapy (chemotherapy) is primary, combined with palliative radiotherapy or supportive care; chemotherapy regimens include platinum-based (e.g., cisplatin) or targeted therapies (source: document fragment 7 and note b).</w:t>
            </w:r>
            <w:r w:rsidRPr="00CB2EC4">
              <w:rPr>
                <w:rFonts w:ascii="Times New Roman" w:hAnsi="Times New Roman" w:cs="Times New Roman"/>
              </w:rPr>
              <w:br/>
            </w:r>
            <w:r w:rsidRPr="00CB2EC4">
              <w:rPr>
                <w:rFonts w:ascii="Times New Roman" w:hAnsi="Times New Roman" w:cs="Times New Roman"/>
              </w:rPr>
              <w:br/>
              <w:t>- combined use of surgery, radiotherapy, and chemotherapy:</w:t>
            </w:r>
            <w:r w:rsidRPr="00CB2EC4">
              <w:rPr>
                <w:rFonts w:ascii="Times New Roman" w:hAnsi="Times New Roman" w:cs="Times New Roman"/>
              </w:rPr>
              <w:br/>
              <w:t xml:space="preserve">  - combination is feasible: the document explicitly states strategies include comprehensive treatment, for example:</w:t>
            </w:r>
            <w:r w:rsidRPr="00CB2EC4">
              <w:rPr>
                <w:rFonts w:ascii="Times New Roman" w:hAnsi="Times New Roman" w:cs="Times New Roman"/>
              </w:rPr>
              <w:br/>
              <w:t xml:space="preserve">    - "surgery resection ± postoperative individualized EBRT ± brachytherapy ± systemic therapy" for recurrence without prior radiotherapy (source: document fragment 11.1 table).</w:t>
            </w:r>
            <w:r w:rsidRPr="00CB2EC4">
              <w:rPr>
                <w:rFonts w:ascii="Times New Roman" w:hAnsi="Times New Roman" w:cs="Times New Roman"/>
              </w:rPr>
              <w:br/>
              <w:t xml:space="preserve">    - for recurrence after radiotherapy, surgery (e.g., exenteration) can be combined with intraoperative radiotherapy (IORT) or postoperative chemotherapy (source: document fragment notes d and e).</w:t>
            </w:r>
            <w:r w:rsidRPr="00CB2EC4">
              <w:rPr>
                <w:rFonts w:ascii="Times New Roman" w:hAnsi="Times New Roman" w:cs="Times New Roman"/>
              </w:rPr>
              <w:br/>
              <w:t xml:space="preserve">    - in non-central recurrence, "systemic therapy ± individualized EBRT" is a common combination (source: document fragment 11.1).</w:t>
            </w:r>
            <w:r w:rsidRPr="00CB2EC4">
              <w:rPr>
                <w:rFonts w:ascii="Times New Roman" w:hAnsi="Times New Roman" w:cs="Times New Roman"/>
              </w:rPr>
              <w:br/>
              <w:t xml:space="preserve">  - benefits: combined treatment can improve local control and survival rates but requires balancing complications (e.g., dual therapy increases fistula risk); the document emphasizes "treatment modality selection should be based on recurrence site, tumor characteristics, and initial treatment method" (source: document fragment 2. management of recurrent cancer).</w:t>
            </w:r>
            <w:r w:rsidRPr="00CB2EC4">
              <w:rPr>
                <w:rFonts w:ascii="Times New Roman" w:hAnsi="Times New Roman" w:cs="Times New Roman"/>
              </w:rPr>
              <w:br/>
            </w:r>
            <w:r w:rsidRPr="00CB2EC4">
              <w:rPr>
                <w:rFonts w:ascii="Times New Roman" w:hAnsi="Times New Roman" w:cs="Times New Roman"/>
              </w:rPr>
              <w:br/>
              <w:t>- situations where combination is not recommended:</w:t>
            </w:r>
            <w:r w:rsidRPr="00CB2EC4">
              <w:rPr>
                <w:rFonts w:ascii="Times New Roman" w:hAnsi="Times New Roman" w:cs="Times New Roman"/>
              </w:rPr>
              <w:br/>
              <w:t xml:space="preserve">  - if the patient has severe comorbidities or </w:t>
            </w:r>
            <w:r w:rsidRPr="00CB2EC4">
              <w:rPr>
                <w:rFonts w:ascii="Times New Roman" w:hAnsi="Times New Roman" w:cs="Times New Roman"/>
              </w:rPr>
              <w:lastRenderedPageBreak/>
              <w:t>widespread metastasis, palliative care (e.g., pain management and supportive care) is recommended.</w:t>
            </w:r>
          </w:p>
        </w:tc>
        <w:tc>
          <w:tcPr>
            <w:tcW w:w="1152" w:type="dxa"/>
            <w:vAlign w:val="center"/>
          </w:tcPr>
          <w:p w14:paraId="63CE9C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84B97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FB8D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BBCD62" w14:textId="77777777">
        <w:tc>
          <w:tcPr>
            <w:tcW w:w="2160" w:type="dxa"/>
            <w:vAlign w:val="center"/>
          </w:tcPr>
          <w:p w14:paraId="4AF4567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1AA5C95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recommended treatment strategies for recurrent cervical cancer:  </w:t>
            </w:r>
            <w:r w:rsidRPr="00CB2EC4">
              <w:rPr>
                <w:rFonts w:ascii="Times New Roman" w:hAnsi="Times New Roman" w:cs="Times New Roman"/>
              </w:rPr>
              <w:br/>
              <w:t xml:space="preserve">1.  surgical treatment:  </w:t>
            </w:r>
            <w:r w:rsidRPr="00CB2EC4">
              <w:rPr>
                <w:rFonts w:ascii="Times New Roman" w:hAnsi="Times New Roman" w:cs="Times New Roman"/>
              </w:rPr>
              <w:br/>
              <w:t xml:space="preserve">    - central recurrence (e.g., cervix, vagina): pelvic exenteration (total or partial) or radical hysterectomy is preferred, especially for lesions &lt;2 cm. for example, document fragment 1 states: "patients with central recurrence after radiotherapy... are suitable for surgical treatment"; document fragment 3 table shows: "central recurrence → surgical treatment (pelvic exenteration)".  </w:t>
            </w:r>
            <w:r w:rsidRPr="00CB2EC4">
              <w:rPr>
                <w:rFonts w:ascii="Times New Roman" w:hAnsi="Times New Roman" w:cs="Times New Roman"/>
              </w:rPr>
              <w:br/>
              <w:t xml:space="preserve">    - non-central or pelvic recurrence: consider surgical resection ± intraoperative radiotherapy (iort).  </w:t>
            </w:r>
            <w:r w:rsidRPr="00CB2EC4">
              <w:rPr>
                <w:rFonts w:ascii="Times New Roman" w:hAnsi="Times New Roman" w:cs="Times New Roman"/>
              </w:rPr>
              <w:br/>
              <w:t xml:space="preserve">2.  radiotherapy:  </w:t>
            </w:r>
            <w:r w:rsidRPr="00CB2EC4">
              <w:rPr>
                <w:rFonts w:ascii="Times New Roman" w:hAnsi="Times New Roman" w:cs="Times New Roman"/>
              </w:rPr>
              <w:br/>
              <w:t xml:space="preserve">    - no prior radiotherapy: individualized external beam radiotherapy (ebrt) ± brachytherapy.  </w:t>
            </w:r>
            <w:r w:rsidRPr="00CB2EC4">
              <w:rPr>
                <w:rFonts w:ascii="Times New Roman" w:hAnsi="Times New Roman" w:cs="Times New Roman"/>
              </w:rPr>
              <w:br/>
              <w:t xml:space="preserve">    - prior radiotherapy: design ebrt dose cautiously to avoid complications; e.g., "cure rate with re-irradiation may be low... avoid blind high-dose radiotherapy" (document fragment 3 annotation).  </w:t>
            </w:r>
            <w:r w:rsidRPr="00CB2EC4">
              <w:rPr>
                <w:rFonts w:ascii="Times New Roman" w:hAnsi="Times New Roman" w:cs="Times New Roman"/>
              </w:rPr>
              <w:br/>
              <w:t xml:space="preserve">    - palliative treatment (e.g., bone metastases): used to relieve pain.  </w:t>
            </w:r>
            <w:r w:rsidRPr="00CB2EC4">
              <w:rPr>
                <w:rFonts w:ascii="Times New Roman" w:hAnsi="Times New Roman" w:cs="Times New Roman"/>
              </w:rPr>
              <w:br/>
              <w:t xml:space="preserve">3.  chemotherapy (systemic therapy):  </w:t>
            </w:r>
            <w:r w:rsidRPr="00CB2EC4">
              <w:rPr>
                <w:rFonts w:ascii="Times New Roman" w:hAnsi="Times New Roman" w:cs="Times New Roman"/>
              </w:rPr>
              <w:br/>
              <w:t xml:space="preserve">    - first-line regimen: platinum-based doublet chemotherapy (e.g., cisplatin + paclitaxel); for patients unsuitable for surgery/radiotherapy or with distant metastases.  </w:t>
            </w:r>
            <w:r w:rsidRPr="00CB2EC4">
              <w:rPr>
                <w:rFonts w:ascii="Times New Roman" w:hAnsi="Times New Roman" w:cs="Times New Roman"/>
              </w:rPr>
              <w:br/>
              <w:t xml:space="preserve">    - targeted/immunotherapy: e.g., bevacizumab for metastatic cases.  </w:t>
            </w:r>
            <w:r w:rsidRPr="00CB2EC4">
              <w:rPr>
                <w:rFonts w:ascii="Times New Roman" w:hAnsi="Times New Roman" w:cs="Times New Roman"/>
              </w:rPr>
              <w:br/>
              <w:t xml:space="preserve">    - palliative treatment: for widespread metastases to alleviate symptoms.  </w:t>
            </w:r>
            <w:r w:rsidRPr="00CB2EC4">
              <w:rPr>
                <w:rFonts w:ascii="Times New Roman" w:hAnsi="Times New Roman" w:cs="Times New Roman"/>
              </w:rPr>
              <w:br/>
            </w:r>
            <w:r w:rsidRPr="00CB2EC4">
              <w:rPr>
                <w:rFonts w:ascii="Times New Roman" w:hAnsi="Times New Roman" w:cs="Times New Roman"/>
              </w:rPr>
              <w:lastRenderedPageBreak/>
              <w:t xml:space="preserve">4.  combined therapy:  </w:t>
            </w:r>
            <w:r w:rsidRPr="00CB2EC4">
              <w:rPr>
                <w:rFonts w:ascii="Times New Roman" w:hAnsi="Times New Roman" w:cs="Times New Roman"/>
              </w:rPr>
              <w:br/>
              <w:t xml:space="preserve">    - combination strategies: select based on recurrence site and initial treatment; e.g., "surgical resection ± postoperative individualized ebrt ± brachytherapy ± systemic therapy" (document fragment 3 table).  </w:t>
            </w:r>
            <w:r w:rsidRPr="00CB2EC4">
              <w:rPr>
                <w:rFonts w:ascii="Times New Roman" w:hAnsi="Times New Roman" w:cs="Times New Roman"/>
              </w:rPr>
              <w:br/>
              <w:t xml:space="preserve">    - supportive care: nutrition and palliative care throughout the course.  </w:t>
            </w:r>
            <w:r w:rsidRPr="00CB2EC4">
              <w:rPr>
                <w:rFonts w:ascii="Times New Roman" w:hAnsi="Times New Roman" w:cs="Times New Roman"/>
              </w:rPr>
              <w:br/>
            </w:r>
            <w:r w:rsidRPr="00CB2EC4">
              <w:rPr>
                <w:rFonts w:ascii="Times New Roman" w:hAnsi="Times New Roman" w:cs="Times New Roman"/>
              </w:rPr>
              <w:br/>
              <w:t xml:space="preserve">can surgery, radiotherapy, and chemotherapy be used in combination?  </w:t>
            </w:r>
            <w:r w:rsidRPr="00CB2EC4">
              <w:rPr>
                <w:rFonts w:ascii="Times New Roman" w:hAnsi="Times New Roman" w:cs="Times New Roman"/>
              </w:rPr>
              <w:br/>
              <w:t xml:space="preserve">yes, the three can be combined to improve efficacy:  </w:t>
            </w:r>
            <w:r w:rsidRPr="00CB2EC4">
              <w:rPr>
                <w:rFonts w:ascii="Times New Roman" w:hAnsi="Times New Roman" w:cs="Times New Roman"/>
              </w:rPr>
              <w:br/>
              <w:t xml:space="preserve">1.  surgery combined with radiotherapy/chemotherapy:  </w:t>
            </w:r>
            <w:r w:rsidRPr="00CB2EC4">
              <w:rPr>
                <w:rFonts w:ascii="Times New Roman" w:hAnsi="Times New Roman" w:cs="Times New Roman"/>
              </w:rPr>
              <w:br/>
              <w:t xml:space="preserve">    - example: adjuvant chemoradiotherapy after surgery for high-risk cases; e.g., "postoperative patients with high-risk factors may receive postoperative radiotherapy with or without chemotherapy" (document fragment 8).  </w:t>
            </w:r>
            <w:r w:rsidRPr="00CB2EC4">
              <w:rPr>
                <w:rFonts w:ascii="Times New Roman" w:hAnsi="Times New Roman" w:cs="Times New Roman"/>
              </w:rPr>
              <w:br/>
              <w:t xml:space="preserve">    - basis: "recurrent cervical cancer... can be treated with surgery, radiotherapy, or a combination of both" (document fragment 4).  </w:t>
            </w:r>
            <w:r w:rsidRPr="00CB2EC4">
              <w:rPr>
                <w:rFonts w:ascii="Times New Roman" w:hAnsi="Times New Roman" w:cs="Times New Roman"/>
              </w:rPr>
              <w:br/>
              <w:t xml:space="preserve">2.  chemoradiotherapy as primary regimen:  </w:t>
            </w:r>
            <w:r w:rsidRPr="00CB2EC4">
              <w:rPr>
                <w:rFonts w:ascii="Times New Roman" w:hAnsi="Times New Roman" w:cs="Times New Roman"/>
              </w:rPr>
              <w:br/>
              <w:t xml:space="preserve">    - example: concurrent chemoradiotherapy for non-surgical candidates; e.g., "systemic therapy ± individualized ebrt" (document fragment 16 table).  </w:t>
            </w:r>
            <w:r w:rsidRPr="00CB2EC4">
              <w:rPr>
                <w:rFonts w:ascii="Times New Roman" w:hAnsi="Times New Roman" w:cs="Times New Roman"/>
              </w:rPr>
              <w:br/>
              <w:t xml:space="preserve">3.  triple combination:  </w:t>
            </w:r>
            <w:r w:rsidRPr="00CB2EC4">
              <w:rPr>
                <w:rFonts w:ascii="Times New Roman" w:hAnsi="Times New Roman" w:cs="Times New Roman"/>
              </w:rPr>
              <w:br/>
              <w:t xml:space="preserve">    - example: for resectable isolated metastases, "local surgical resection ± ebrt + systemic therapy" (document fragment 16 table).  </w:t>
            </w:r>
            <w:r w:rsidRPr="00CB2EC4">
              <w:rPr>
                <w:rFonts w:ascii="Times New Roman" w:hAnsi="Times New Roman" w:cs="Times New Roman"/>
              </w:rPr>
              <w:br/>
              <w:t xml:space="preserve">4.  considerations: combination use requires assessment of patient tolerance and complication risks; e.g., "dual therapy increases complications" (document fragment 8).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basis: primarily from document fragments 1, 3, 4, 11, and 16 recurrence management principles and treatment recommendation tables. strategy selection depends on recurrence site (central vs. non-central), initial treatment (prior radiotherapy or not), tumor extent, and patient general condition.</w:t>
            </w:r>
          </w:p>
        </w:tc>
        <w:tc>
          <w:tcPr>
            <w:tcW w:w="1152" w:type="dxa"/>
            <w:vAlign w:val="center"/>
          </w:tcPr>
          <w:p w14:paraId="65297A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35CAC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457C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BCC54A" w14:textId="77777777">
        <w:tc>
          <w:tcPr>
            <w:tcW w:w="2160" w:type="dxa"/>
            <w:vAlign w:val="center"/>
          </w:tcPr>
          <w:p w14:paraId="30C2FC4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4355C554" w14:textId="77777777" w:rsidR="00922249" w:rsidRPr="00CB2EC4" w:rsidRDefault="003011D5">
            <w:pPr>
              <w:rPr>
                <w:rFonts w:ascii="Times New Roman" w:hAnsi="Times New Roman" w:cs="Times New Roman"/>
              </w:rPr>
            </w:pPr>
            <w:r w:rsidRPr="00CB2EC4">
              <w:rPr>
                <w:rFonts w:ascii="Times New Roman" w:hAnsi="Times New Roman" w:cs="Times New Roman"/>
              </w:rPr>
              <w:t>yes</w:t>
            </w:r>
            <w:r w:rsidRPr="00CB2EC4">
              <w:rPr>
                <w:rFonts w:ascii="Times New Roman" w:hAnsi="Times New Roman" w:cs="Times New Roman"/>
              </w:rPr>
              <w:br/>
            </w:r>
            <w:r w:rsidRPr="00CB2EC4">
              <w:rPr>
                <w:rFonts w:ascii="Times New Roman" w:hAnsi="Times New Roman" w:cs="Times New Roman"/>
              </w:rPr>
              <w:br/>
              <w:t>- Recommended treatment strategies:</w:t>
            </w:r>
            <w:r w:rsidRPr="00CB2EC4">
              <w:rPr>
                <w:rFonts w:ascii="Times New Roman" w:hAnsi="Times New Roman" w:cs="Times New Roman"/>
              </w:rPr>
              <w:br/>
              <w:t xml:space="preserve">  - Central recurrence (e.g., cervix, vagina, bladder/rectum involvement):</w:t>
            </w:r>
            <w:r w:rsidRPr="00CB2EC4">
              <w:rPr>
                <w:rFonts w:ascii="Times New Roman" w:hAnsi="Times New Roman" w:cs="Times New Roman"/>
              </w:rPr>
              <w:br/>
              <w:t xml:space="preserve">    - Preferred: surgical treatment (e.g., pelvic exenteration), especially for post-radiotherapy recurrence without distant metastasis.</w:t>
            </w:r>
            <w:r w:rsidRPr="00CB2EC4">
              <w:rPr>
                <w:rFonts w:ascii="Times New Roman" w:hAnsi="Times New Roman" w:cs="Times New Roman"/>
              </w:rPr>
              <w:br/>
              <w:t xml:space="preserve">    - Alternative: brachytherapy or individualized external beam radiotherapy (EBRT).</w:t>
            </w:r>
            <w:r w:rsidRPr="00CB2EC4">
              <w:rPr>
                <w:rFonts w:ascii="Times New Roman" w:hAnsi="Times New Roman" w:cs="Times New Roman"/>
              </w:rPr>
              <w:br/>
              <w:t xml:space="preserve">    - Source: [Similarity: 0.491] fragment (table): "Central recurrence: surgical treatment (pelvic exenteration)" or "brachytherapy".</w:t>
            </w:r>
            <w:r w:rsidRPr="00CB2EC4">
              <w:rPr>
                <w:rFonts w:ascii="Times New Roman" w:hAnsi="Times New Roman" w:cs="Times New Roman"/>
              </w:rPr>
              <w:br/>
              <w:t xml:space="preserve">  - Non-central recurrence (e.g., pelvic sidewall or outside radiotherapy field):</w:t>
            </w:r>
            <w:r w:rsidRPr="00CB2EC4">
              <w:rPr>
                <w:rFonts w:ascii="Times New Roman" w:hAnsi="Times New Roman" w:cs="Times New Roman"/>
              </w:rPr>
              <w:br/>
              <w:t xml:space="preserve">    - No prior radiotherapy: surgical resection ± postoperative radiotherapy ± chemotherapy.</w:t>
            </w:r>
            <w:r w:rsidRPr="00CB2EC4">
              <w:rPr>
                <w:rFonts w:ascii="Times New Roman" w:hAnsi="Times New Roman" w:cs="Times New Roman"/>
              </w:rPr>
              <w:br/>
              <w:t xml:space="preserve">    - Prior radiotherapy: systemic therapy (chemotherapy) ± individualized radiotherapy (e.g., IMRT or SBRT).</w:t>
            </w:r>
            <w:r w:rsidRPr="00CB2EC4">
              <w:rPr>
                <w:rFonts w:ascii="Times New Roman" w:hAnsi="Times New Roman" w:cs="Times New Roman"/>
              </w:rPr>
              <w:br/>
              <w:t xml:space="preserve">    - Source: [Similarity: 0.491] fragment: "Non-central recurrence: systemic therapy ± individualized EBRT".</w:t>
            </w:r>
            <w:r w:rsidRPr="00CB2EC4">
              <w:rPr>
                <w:rFonts w:ascii="Times New Roman" w:hAnsi="Times New Roman" w:cs="Times New Roman"/>
              </w:rPr>
              <w:br/>
              <w:t xml:space="preserve">  - Distant metastasis (e.g., lung, liver, bone):</w:t>
            </w:r>
            <w:r w:rsidRPr="00CB2EC4">
              <w:rPr>
                <w:rFonts w:ascii="Times New Roman" w:hAnsi="Times New Roman" w:cs="Times New Roman"/>
              </w:rPr>
              <w:br/>
              <w:t xml:space="preserve">    - Preferred: systemic therapy (chemotherapy), combined with palliative radiotherapy for symptom relief.</w:t>
            </w:r>
            <w:r w:rsidRPr="00CB2EC4">
              <w:rPr>
                <w:rFonts w:ascii="Times New Roman" w:hAnsi="Times New Roman" w:cs="Times New Roman"/>
              </w:rPr>
              <w:br/>
              <w:t xml:space="preserve">    - For oligometastatic lesions: consider local therapy (e.g., surgery or radiotherapy).</w:t>
            </w:r>
            <w:r w:rsidRPr="00CB2EC4">
              <w:rPr>
                <w:rFonts w:ascii="Times New Roman" w:hAnsi="Times New Roman" w:cs="Times New Roman"/>
              </w:rPr>
              <w:br/>
            </w:r>
            <w:r w:rsidRPr="00CB2EC4">
              <w:rPr>
                <w:rFonts w:ascii="Times New Roman" w:hAnsi="Times New Roman" w:cs="Times New Roman"/>
              </w:rPr>
              <w:lastRenderedPageBreak/>
              <w:t xml:space="preserve">    - Source: [Similarity: 0.491] fragment: "Distant metastasis: systemic therapy ± nutritional and supportive care".</w:t>
            </w:r>
            <w:r w:rsidRPr="00CB2EC4">
              <w:rPr>
                <w:rFonts w:ascii="Times New Roman" w:hAnsi="Times New Roman" w:cs="Times New Roman"/>
              </w:rPr>
              <w:br/>
              <w:t xml:space="preserve">  - General principles: if initial treatment was surgery, recurrence favors radiotherapy; if initial was radiotherapy, recurrence favors surgery (if feasible). Chemotherapy is commonly used to control micrometastases or as concurrent therapy.</w:t>
            </w:r>
            <w:r w:rsidRPr="00CB2EC4">
              <w:rPr>
                <w:rFonts w:ascii="Times New Roman" w:hAnsi="Times New Roman" w:cs="Times New Roman"/>
              </w:rPr>
              <w:br/>
            </w:r>
            <w:r w:rsidRPr="00CB2EC4">
              <w:rPr>
                <w:rFonts w:ascii="Times New Roman" w:hAnsi="Times New Roman" w:cs="Times New Roman"/>
              </w:rPr>
              <w:br/>
              <w:t>- Can surgery, radiotherapy, and chemotherapy be combined?</w:t>
            </w:r>
            <w:r w:rsidRPr="00CB2EC4">
              <w:rPr>
                <w:rFonts w:ascii="Times New Roman" w:hAnsi="Times New Roman" w:cs="Times New Roman"/>
              </w:rPr>
              <w:br/>
              <w:t xml:space="preserve">  - Yes, the document explicitly supports combination use. Examples:</w:t>
            </w:r>
            <w:r w:rsidRPr="00CB2EC4">
              <w:rPr>
                <w:rFonts w:ascii="Times New Roman" w:hAnsi="Times New Roman" w:cs="Times New Roman"/>
              </w:rPr>
              <w:br/>
              <w:t xml:space="preserve">    - Surgery combined with postoperative radiotherapy and chemotherapy: for high-risk recurrence patients (e.g., lymph node-positive or positive margins).</w:t>
            </w:r>
            <w:r w:rsidRPr="00CB2EC4">
              <w:rPr>
                <w:rFonts w:ascii="Times New Roman" w:hAnsi="Times New Roman" w:cs="Times New Roman"/>
              </w:rPr>
              <w:br/>
              <w:t xml:space="preserve">    - Radiotherapy combined with chemotherapy: as concurrent chemoradiotherapy (CCRT) for local recurrence.</w:t>
            </w:r>
            <w:r w:rsidRPr="00CB2EC4">
              <w:rPr>
                <w:rFonts w:ascii="Times New Roman" w:hAnsi="Times New Roman" w:cs="Times New Roman"/>
              </w:rPr>
              <w:br/>
              <w:t xml:space="preserve">    - Specific examples: [Similarity: 0.491] fragment: "surgical resection ± postoperative individualized EBRT ± brachytherapy ± systemic therapy" and [Similarity: 0.519] fragment: "combined treatment with surgery, radiotherapy, and chemotherapy has been advocated by some".</w:t>
            </w:r>
            <w:r w:rsidRPr="00CB2EC4">
              <w:rPr>
                <w:rFonts w:ascii="Times New Roman" w:hAnsi="Times New Roman" w:cs="Times New Roman"/>
              </w:rPr>
              <w:br/>
              <w:t xml:space="preserve">  - Benefits of combination: improved local control and reduced recurrence risk, but requires balancing complications (e.g., dual therapy increases adverse effects).</w:t>
            </w:r>
            <w:r w:rsidRPr="00CB2EC4">
              <w:rPr>
                <w:rFonts w:ascii="Times New Roman" w:hAnsi="Times New Roman" w:cs="Times New Roman"/>
              </w:rPr>
              <w:br/>
            </w:r>
            <w:r w:rsidRPr="00CB2EC4">
              <w:rPr>
                <w:rFonts w:ascii="Times New Roman" w:hAnsi="Times New Roman" w:cs="Times New Roman"/>
              </w:rPr>
              <w:br/>
              <w:t xml:space="preserve">- Summary: strategies include surgery (for central recurrence), radiotherapy (for non-central or postoperative recurrence), and chemotherapy (for distant metastasis); all three can be combined, </w:t>
            </w:r>
            <w:r w:rsidRPr="00CB2EC4">
              <w:rPr>
                <w:rFonts w:ascii="Times New Roman" w:hAnsi="Times New Roman" w:cs="Times New Roman"/>
              </w:rPr>
              <w:lastRenderedPageBreak/>
              <w:t>especially in high-risk or complex cases. Treatment selection must be based on multidisciplinary assessment.</w:t>
            </w:r>
          </w:p>
        </w:tc>
        <w:tc>
          <w:tcPr>
            <w:tcW w:w="1152" w:type="dxa"/>
            <w:vAlign w:val="center"/>
          </w:tcPr>
          <w:p w14:paraId="4C7FF9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495DF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9FC7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4AF4AB" w14:textId="77777777">
        <w:tc>
          <w:tcPr>
            <w:tcW w:w="2160" w:type="dxa"/>
            <w:vAlign w:val="center"/>
          </w:tcPr>
          <w:p w14:paraId="44E9889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4E2ADBF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recommended treatment strategies for recurrent cervical cancer (based on recurrence site and prior treatment):  </w:t>
            </w:r>
            <w:r w:rsidRPr="00CB2EC4">
              <w:rPr>
                <w:rFonts w:ascii="Times New Roman" w:hAnsi="Times New Roman" w:cs="Times New Roman"/>
              </w:rPr>
              <w:br/>
              <w:t xml:space="preserve">- Central recurrence (e.g., vagina, bladder/rectum):  </w:t>
            </w:r>
            <w:r w:rsidRPr="00CB2EC4">
              <w:rPr>
                <w:rFonts w:ascii="Times New Roman" w:hAnsi="Times New Roman" w:cs="Times New Roman"/>
              </w:rPr>
              <w:br/>
              <w:t xml:space="preserve">  - First choice: Surgical resection (e.g., pelvic exenteration), applicable for patients without prior radiotherapy or recurrence outside the previous radiation field (document fragment 22, 23).  </w:t>
            </w:r>
            <w:r w:rsidRPr="00CB2EC4">
              <w:rPr>
                <w:rFonts w:ascii="Times New Roman" w:hAnsi="Times New Roman" w:cs="Times New Roman"/>
              </w:rPr>
              <w:br/>
              <w:t xml:space="preserve">  - Second choice: Individualized radiotherapy (e.g., brachytherapy) or systemic therapy (chemotherapy/targeted therapy).  </w:t>
            </w:r>
            <w:r w:rsidRPr="00CB2EC4">
              <w:rPr>
                <w:rFonts w:ascii="Times New Roman" w:hAnsi="Times New Roman" w:cs="Times New Roman"/>
              </w:rPr>
              <w:br/>
              <w:t xml:space="preserve">- Non-central recurrence (e.g., pelvic sidewall, distant metastasis):  </w:t>
            </w:r>
            <w:r w:rsidRPr="00CB2EC4">
              <w:rPr>
                <w:rFonts w:ascii="Times New Roman" w:hAnsi="Times New Roman" w:cs="Times New Roman"/>
              </w:rPr>
              <w:br/>
              <w:t xml:space="preserve">  - First choice: Systemic therapy (primarily chemotherapy, e.g., platinum + paclitaxel) ± individualized external beam radiotherapy (EBRT) (document fragment 22).  </w:t>
            </w:r>
            <w:r w:rsidRPr="00CB2EC4">
              <w:rPr>
                <w:rFonts w:ascii="Times New Roman" w:hAnsi="Times New Roman" w:cs="Times New Roman"/>
              </w:rPr>
              <w:br/>
              <w:t xml:space="preserve">  - Second choice: Surgical resection ± intraoperative radiotherapy (IORT).  </w:t>
            </w:r>
            <w:r w:rsidRPr="00CB2EC4">
              <w:rPr>
                <w:rFonts w:ascii="Times New Roman" w:hAnsi="Times New Roman" w:cs="Times New Roman"/>
              </w:rPr>
              <w:br/>
              <w:t xml:space="preserve">- Prior radiotherapy received:  </w:t>
            </w:r>
            <w:r w:rsidRPr="00CB2EC4">
              <w:rPr>
                <w:rFonts w:ascii="Times New Roman" w:hAnsi="Times New Roman" w:cs="Times New Roman"/>
              </w:rPr>
              <w:br/>
              <w:t xml:space="preserve">  - Central recurrence: Consider pelvic exenteration (document fragment 22).  </w:t>
            </w:r>
            <w:r w:rsidRPr="00CB2EC4">
              <w:rPr>
                <w:rFonts w:ascii="Times New Roman" w:hAnsi="Times New Roman" w:cs="Times New Roman"/>
              </w:rPr>
              <w:br/>
              <w:t xml:space="preserve">  - Non-central recurrence: Systemic therapy ± palliative radiotherapy.  </w:t>
            </w:r>
            <w:r w:rsidRPr="00CB2EC4">
              <w:rPr>
                <w:rFonts w:ascii="Times New Roman" w:hAnsi="Times New Roman" w:cs="Times New Roman"/>
              </w:rPr>
              <w:br/>
              <w:t xml:space="preserve">- Basis: Document fragment 22 table details graded recommendations (Level I: surgery ± radiotherapy; Level II: radiotherapy or systemic therapy); document fragment 23 states "decide regimen based on recurrence site and initial treatment modality."  </w:t>
            </w:r>
            <w:r w:rsidRPr="00CB2EC4">
              <w:rPr>
                <w:rFonts w:ascii="Times New Roman" w:hAnsi="Times New Roman" w:cs="Times New Roman"/>
              </w:rPr>
              <w:br/>
            </w:r>
            <w:r w:rsidRPr="00CB2EC4">
              <w:rPr>
                <w:rFonts w:ascii="Times New Roman" w:hAnsi="Times New Roman" w:cs="Times New Roman"/>
              </w:rPr>
              <w:br/>
              <w:t xml:space="preserve">can surgery, radiotherapy, and chemotherapy be </w:t>
            </w:r>
            <w:r w:rsidRPr="00CB2EC4">
              <w:rPr>
                <w:rFonts w:ascii="Times New Roman" w:hAnsi="Times New Roman" w:cs="Times New Roman"/>
              </w:rPr>
              <w:lastRenderedPageBreak/>
              <w:t xml:space="preserve">combined?  </w:t>
            </w:r>
            <w:r w:rsidRPr="00CB2EC4">
              <w:rPr>
                <w:rFonts w:ascii="Times New Roman" w:hAnsi="Times New Roman" w:cs="Times New Roman"/>
              </w:rPr>
              <w:br/>
              <w:t xml:space="preserve">- Yes, all three can be combined, depending on recurrence specifics:  </w:t>
            </w:r>
            <w:r w:rsidRPr="00CB2EC4">
              <w:rPr>
                <w:rFonts w:ascii="Times New Roman" w:hAnsi="Times New Roman" w:cs="Times New Roman"/>
              </w:rPr>
              <w:br/>
              <w:t xml:space="preserve">  - Surgery + radiotherapy: Postoperative adjuvant individualized EBRT ± brachytherapy for incomplete resection or high-risk patients (document fragment 22: "surgical resection ± postoperative individualized EBRT ± brachytherapy").  </w:t>
            </w:r>
            <w:r w:rsidRPr="00CB2EC4">
              <w:rPr>
                <w:rFonts w:ascii="Times New Roman" w:hAnsi="Times New Roman" w:cs="Times New Roman"/>
              </w:rPr>
              <w:br/>
              <w:t xml:space="preserve">  - Radiotherapy + chemotherapy: Concurrent chemoradiotherapy for non-surgical candidates (document fragment 22: "individualized EBRT ± brachytherapy ± systemic therapy").  </w:t>
            </w:r>
            <w:r w:rsidRPr="00CB2EC4">
              <w:rPr>
                <w:rFonts w:ascii="Times New Roman" w:hAnsi="Times New Roman" w:cs="Times New Roman"/>
              </w:rPr>
              <w:br/>
              <w:t xml:space="preserve">  - Triple therapy: Document fragment 22 mentions "systemic therapy ± individualized EBRT ± surgery," e.g., chemotherapy to shrink tumor followed by surgery, then postoperative radiotherapy.  </w:t>
            </w:r>
            <w:r w:rsidRPr="00CB2EC4">
              <w:rPr>
                <w:rFonts w:ascii="Times New Roman" w:hAnsi="Times New Roman" w:cs="Times New Roman"/>
              </w:rPr>
              <w:br/>
              <w:t>- Basis: Document fragment 22 explicitly supports combination strategies (e.g., Level I recommendations include combinations) and emphasizes "radiotherapy dose must be carefully designed to avoid complications."</w:t>
            </w:r>
          </w:p>
        </w:tc>
        <w:tc>
          <w:tcPr>
            <w:tcW w:w="1152" w:type="dxa"/>
            <w:vAlign w:val="center"/>
          </w:tcPr>
          <w:p w14:paraId="5D460A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FD1E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960B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A01F759" w14:textId="77777777">
        <w:tc>
          <w:tcPr>
            <w:tcW w:w="2160" w:type="dxa"/>
            <w:vAlign w:val="center"/>
          </w:tcPr>
          <w:p w14:paraId="2C991186"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7420D83" w14:textId="77777777" w:rsidR="00922249" w:rsidRPr="00CB2EC4" w:rsidRDefault="003011D5">
            <w:pPr>
              <w:rPr>
                <w:rFonts w:ascii="Times New Roman" w:hAnsi="Times New Roman" w:cs="Times New Roman"/>
              </w:rPr>
            </w:pPr>
            <w:r w:rsidRPr="00CB2EC4">
              <w:rPr>
                <w:rFonts w:ascii="Times New Roman" w:hAnsi="Times New Roman" w:cs="Times New Roman"/>
              </w:rPr>
              <w:t>yes.</w:t>
            </w:r>
            <w:r w:rsidRPr="00CB2EC4">
              <w:rPr>
                <w:rFonts w:ascii="Times New Roman" w:hAnsi="Times New Roman" w:cs="Times New Roman"/>
              </w:rPr>
              <w:br/>
            </w:r>
            <w:r w:rsidRPr="00CB2EC4">
              <w:rPr>
                <w:rFonts w:ascii="Times New Roman" w:hAnsi="Times New Roman" w:cs="Times New Roman"/>
              </w:rPr>
              <w:br/>
              <w:t>Recommended treatment strategies for recurrent cervical cancer:</w:t>
            </w:r>
            <w:r w:rsidRPr="00CB2EC4">
              <w:rPr>
                <w:rFonts w:ascii="Times New Roman" w:hAnsi="Times New Roman" w:cs="Times New Roman"/>
              </w:rPr>
              <w:br/>
            </w:r>
            <w:r w:rsidRPr="00CB2EC4">
              <w:rPr>
                <w:rFonts w:ascii="Times New Roman" w:hAnsi="Times New Roman" w:cs="Times New Roman"/>
              </w:rPr>
              <w:br/>
              <w:t xml:space="preserve">- For patients who have not previously received radiotherapy or have recurrence outside the radiotherapy field:  </w:t>
            </w:r>
            <w:r w:rsidRPr="00CB2EC4">
              <w:rPr>
                <w:rFonts w:ascii="Times New Roman" w:hAnsi="Times New Roman" w:cs="Times New Roman"/>
              </w:rPr>
              <w:br/>
              <w:t xml:space="preserve">  → Preferred: surgical resection (e.g., radical hysterectomy or pelvic exenteration) ± postoperative individualized radiotherapy ± systemic therapy (chemotherapy) (Fragment 6).</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For patients who have previously received radiotherapy or have recurrence within the radiotherapy field:  </w:t>
            </w:r>
            <w:r w:rsidRPr="00CB2EC4">
              <w:rPr>
                <w:rFonts w:ascii="Times New Roman" w:hAnsi="Times New Roman" w:cs="Times New Roman"/>
              </w:rPr>
              <w:br/>
              <w:t xml:space="preserve">  - Central recurrence:  </w:t>
            </w:r>
            <w:r w:rsidRPr="00CB2EC4">
              <w:rPr>
                <w:rFonts w:ascii="Times New Roman" w:hAnsi="Times New Roman" w:cs="Times New Roman"/>
              </w:rPr>
              <w:br/>
              <w:t xml:space="preserve">    → Pelvic exenteration (total/anterior/posterior) or brachytherapy may be performed; lesions &lt;2 cm may consider radical hysterectomy (Fragment 6).  </w:t>
            </w:r>
            <w:r w:rsidRPr="00CB2EC4">
              <w:rPr>
                <w:rFonts w:ascii="Times New Roman" w:hAnsi="Times New Roman" w:cs="Times New Roman"/>
              </w:rPr>
              <w:br/>
              <w:t xml:space="preserve">  - Non-central recurrence:  </w:t>
            </w:r>
            <w:r w:rsidRPr="00CB2EC4">
              <w:rPr>
                <w:rFonts w:ascii="Times New Roman" w:hAnsi="Times New Roman" w:cs="Times New Roman"/>
              </w:rPr>
              <w:br/>
              <w:t xml:space="preserve">    → Preferred: systemic therapy (chemotherapy) ± individualized radiotherapy (e.g., stereotactic body radiotherapy [SBRT]); palliative treatment for those unsuitable for surgery/radiotherapy (Fragment 6).</w:t>
            </w:r>
            <w:r w:rsidRPr="00CB2EC4">
              <w:rPr>
                <w:rFonts w:ascii="Times New Roman" w:hAnsi="Times New Roman" w:cs="Times New Roman"/>
              </w:rPr>
              <w:br/>
            </w:r>
            <w:r w:rsidRPr="00CB2EC4">
              <w:rPr>
                <w:rFonts w:ascii="Times New Roman" w:hAnsi="Times New Roman" w:cs="Times New Roman"/>
              </w:rPr>
              <w:br/>
              <w:t xml:space="preserve">- Distant metastasis (Stage IVB):  </w:t>
            </w:r>
            <w:r w:rsidRPr="00CB2EC4">
              <w:rPr>
                <w:rFonts w:ascii="Times New Roman" w:hAnsi="Times New Roman" w:cs="Times New Roman"/>
              </w:rPr>
              <w:br/>
              <w:t xml:space="preserve">  → Primarily systemic therapy (chemotherapy), ± local radiotherapy for symptomatic sites (Fragment 5 and 6).</w:t>
            </w:r>
            <w:r w:rsidRPr="00CB2EC4">
              <w:rPr>
                <w:rFonts w:ascii="Times New Roman" w:hAnsi="Times New Roman" w:cs="Times New Roman"/>
              </w:rPr>
              <w:br/>
            </w:r>
            <w:r w:rsidRPr="00CB2EC4">
              <w:rPr>
                <w:rFonts w:ascii="Times New Roman" w:hAnsi="Times New Roman" w:cs="Times New Roman"/>
              </w:rPr>
              <w:br/>
              <w:t xml:space="preserve">Can surgery, radiotherapy, and chemotherapy be used in combination?  </w:t>
            </w:r>
            <w:r w:rsidRPr="00CB2EC4">
              <w:rPr>
                <w:rFonts w:ascii="Times New Roman" w:hAnsi="Times New Roman" w:cs="Times New Roman"/>
              </w:rPr>
              <w:br/>
              <w:t xml:space="preserve">- Yes, the three modalities can be combined. For example:  </w:t>
            </w:r>
            <w:r w:rsidRPr="00CB2EC4">
              <w:rPr>
                <w:rFonts w:ascii="Times New Roman" w:hAnsi="Times New Roman" w:cs="Times New Roman"/>
              </w:rPr>
              <w:br/>
              <w:t xml:space="preserve">  → Surgery followed by adjuvant radiotherapy and chemotherapy (Fragment 9).  </w:t>
            </w:r>
            <w:r w:rsidRPr="00CB2EC4">
              <w:rPr>
                <w:rFonts w:ascii="Times New Roman" w:hAnsi="Times New Roman" w:cs="Times New Roman"/>
              </w:rPr>
              <w:br/>
              <w:t xml:space="preserve">  → Concurrent chemoradiotherapy (CCRT) for postoperative high-risk patients or recurrent disease treatment (Fragment 5 and 6).  </w:t>
            </w:r>
            <w:r w:rsidRPr="00CB2EC4">
              <w:rPr>
                <w:rFonts w:ascii="Times New Roman" w:hAnsi="Times New Roman" w:cs="Times New Roman"/>
              </w:rPr>
              <w:br/>
              <w:t xml:space="preserve">  → Specific regimens: e.g., weekly cisplatin combined with radiotherapy, or paclitaxel + carboplatin chemotherapy (Fragment 6 and 9).  </w:t>
            </w:r>
            <w:r w:rsidRPr="00CB2EC4">
              <w:rPr>
                <w:rFonts w:ascii="Times New Roman" w:hAnsi="Times New Roman" w:cs="Times New Roman"/>
              </w:rPr>
              <w:br/>
              <w:t xml:space="preserve">- Rationale: Fragment 6’s table shows Level I recommendations include combination therapies (e.g., surgery ± radiotherapy ± systemic therapy); Fragment 9 and 10 support that combined treatment improves </w:t>
            </w:r>
            <w:r w:rsidRPr="00CB2EC4">
              <w:rPr>
                <w:rFonts w:ascii="Times New Roman" w:hAnsi="Times New Roman" w:cs="Times New Roman"/>
              </w:rPr>
              <w:lastRenderedPageBreak/>
              <w:t>survival rates (e.g., postoperative chemoradiotherapy yields higher survival than radiotherapy alone).</w:t>
            </w:r>
          </w:p>
        </w:tc>
        <w:tc>
          <w:tcPr>
            <w:tcW w:w="1152" w:type="dxa"/>
            <w:vAlign w:val="center"/>
          </w:tcPr>
          <w:p w14:paraId="0C0D07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D8FF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1D817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6A8F64" w14:textId="77777777">
        <w:tc>
          <w:tcPr>
            <w:tcW w:w="2160" w:type="dxa"/>
            <w:vAlign w:val="center"/>
          </w:tcPr>
          <w:p w14:paraId="387B1B8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65DAD53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 Recommended treatment strategies:  </w:t>
            </w:r>
            <w:r w:rsidRPr="00CB2EC4">
              <w:rPr>
                <w:rFonts w:ascii="Times New Roman" w:hAnsi="Times New Roman" w:cs="Times New Roman"/>
              </w:rPr>
              <w:br/>
              <w:t xml:space="preserve">  - Local recurrence (e.g., pelvis): Surgery (e.g., pelvic exenteration) or radical radiotherapy is preferred; if no prior radiotherapy, consider concurrent chemoradiotherapy.  </w:t>
            </w:r>
            <w:r w:rsidRPr="00CB2EC4">
              <w:rPr>
                <w:rFonts w:ascii="Times New Roman" w:hAnsi="Times New Roman" w:cs="Times New Roman"/>
              </w:rPr>
              <w:br/>
              <w:t xml:space="preserve">  - Regional recurrence (e.g., lymph nodes): Recommend radiotherapy combined with chemotherapy (concurrent chemoradiotherapy), or surgical resection followed by adjuvant therapy.  </w:t>
            </w:r>
            <w:r w:rsidRPr="00CB2EC4">
              <w:rPr>
                <w:rFonts w:ascii="Times New Roman" w:hAnsi="Times New Roman" w:cs="Times New Roman"/>
              </w:rPr>
              <w:br/>
              <w:t xml:space="preserve">  - Distant metastasis (e.g., lung or bone): Systemic therapy is primary, including chemotherapy (e.g., cisplatin + paclitaxel) or targeted therapy (e.g., bevacizumab), supplemented by palliative radiotherapy.  </w:t>
            </w:r>
            <w:r w:rsidRPr="00CB2EC4">
              <w:rPr>
                <w:rFonts w:ascii="Times New Roman" w:hAnsi="Times New Roman" w:cs="Times New Roman"/>
              </w:rPr>
              <w:br/>
              <w:t xml:space="preserve">- Can surgery, radiotherapy, and chemotherapy be combined? Yes, they can be combined. For example:  </w:t>
            </w:r>
            <w:r w:rsidRPr="00CB2EC4">
              <w:rPr>
                <w:rFonts w:ascii="Times New Roman" w:hAnsi="Times New Roman" w:cs="Times New Roman"/>
              </w:rPr>
              <w:br/>
              <w:t xml:space="preserve">  - Concurrent chemoradiotherapy: Chemotherapy (e.g., cisplatin) administered during radiotherapy to improve local control.  </w:t>
            </w:r>
            <w:r w:rsidRPr="00CB2EC4">
              <w:rPr>
                <w:rFonts w:ascii="Times New Roman" w:hAnsi="Times New Roman" w:cs="Times New Roman"/>
              </w:rPr>
              <w:br/>
              <w:t xml:space="preserve">  - Perioperative combined therapy: Neoadjuvant chemotherapy to shrink tumor before surgery, or adjuvant chemoradiotherapy after surgery to reduce recurrence risk.  </w:t>
            </w:r>
            <w:r w:rsidRPr="00CB2EC4">
              <w:rPr>
                <w:rFonts w:ascii="Times New Roman" w:hAnsi="Times New Roman" w:cs="Times New Roman"/>
              </w:rPr>
              <w:br/>
              <w:t xml:space="preserve">  - Multimodal therapy: For complex recurrence, integrate surgery, radiotherapy, and chemotherapy (e.g., postoperative concurrent chemoradiotherapy) to optimize efficacy, but requires individualized assessment of patient tolerance.</w:t>
            </w:r>
          </w:p>
        </w:tc>
        <w:tc>
          <w:tcPr>
            <w:tcW w:w="1152" w:type="dxa"/>
            <w:vAlign w:val="center"/>
          </w:tcPr>
          <w:p w14:paraId="173379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D846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0BA2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16C90E" w14:textId="77777777">
        <w:tc>
          <w:tcPr>
            <w:tcW w:w="10656" w:type="dxa"/>
            <w:gridSpan w:val="5"/>
            <w:tcBorders>
              <w:bottom w:val="single" w:sz="6" w:space="0" w:color="auto"/>
            </w:tcBorders>
            <w:vAlign w:val="center"/>
          </w:tcPr>
          <w:p w14:paraId="680BE32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76: What are the treatment strategies for metastatic cervical cancer? Are there specific treatments at different metastatic sites?</w:t>
            </w:r>
          </w:p>
        </w:tc>
      </w:tr>
      <w:tr w:rsidR="00922249" w:rsidRPr="00CB2EC4" w14:paraId="3D7BF35D" w14:textId="77777777">
        <w:tc>
          <w:tcPr>
            <w:tcW w:w="2160" w:type="dxa"/>
            <w:vAlign w:val="center"/>
          </w:tcPr>
          <w:p w14:paraId="242BEF2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Enrichment</w:t>
            </w:r>
          </w:p>
        </w:tc>
        <w:tc>
          <w:tcPr>
            <w:tcW w:w="5040" w:type="dxa"/>
            <w:vAlign w:val="center"/>
          </w:tcPr>
          <w:p w14:paraId="4482BFE7" w14:textId="77777777" w:rsidR="00922249" w:rsidRPr="00CB2EC4" w:rsidRDefault="003011D5">
            <w:pPr>
              <w:rPr>
                <w:rFonts w:ascii="Times New Roman" w:hAnsi="Times New Roman" w:cs="Times New Roman"/>
              </w:rPr>
            </w:pPr>
            <w:r w:rsidRPr="00CB2EC4">
              <w:rPr>
                <w:rFonts w:ascii="Times New Roman" w:hAnsi="Times New Roman" w:cs="Times New Roman"/>
              </w:rPr>
              <w:t>treatment strategies for metastatic cervical cancer include systemic therapy combined with local treatment, but specific treatments for different metastatic sites are not detailed in the document.</w:t>
            </w:r>
            <w:r w:rsidRPr="00CB2EC4">
              <w:rPr>
                <w:rFonts w:ascii="Times New Roman" w:hAnsi="Times New Roman" w:cs="Times New Roman"/>
              </w:rPr>
              <w:br/>
            </w:r>
            <w:r w:rsidRPr="00CB2EC4">
              <w:rPr>
                <w:rFonts w:ascii="Times New Roman" w:hAnsi="Times New Roman" w:cs="Times New Roman"/>
              </w:rPr>
              <w:br/>
              <w:t>- treatment strategies:</w:t>
            </w:r>
            <w:r w:rsidRPr="00CB2EC4">
              <w:rPr>
                <w:rFonts w:ascii="Times New Roman" w:hAnsi="Times New Roman" w:cs="Times New Roman"/>
              </w:rPr>
              <w:br/>
              <w:t xml:space="preserve">  - level i recommendation: systemic therapy (including chemotherapy, immunotherapy, and targeted therapy) ± local radiotherapy or concurrent chemoradiotherapy targeting the tumor (see [similarity: 0.562] fragment: "recurrent metastatic cervical cancer is mainly treated with local therapy, systemic therapy, and immunotherapy"; [similarity: 0.548] fragment: "ivb stage treatment plan: systemic therapy ± local radiotherapy or concurrent chemoradiotherapy targeting the tumor").</w:t>
            </w:r>
            <w:r w:rsidRPr="00CB2EC4">
              <w:rPr>
                <w:rFonts w:ascii="Times New Roman" w:hAnsi="Times New Roman" w:cs="Times New Roman"/>
              </w:rPr>
              <w:br/>
              <w:t xml:space="preserve">  - specific regimens for systemic therapy are not detailed in the document, but immune checkpoint inhibitors (e.g., pd-1/pd-l1 inhibitors) are noted to have significant efficacy in recurrent metastatic cervical cancer.</w:t>
            </w:r>
            <w:r w:rsidRPr="00CB2EC4">
              <w:rPr>
                <w:rFonts w:ascii="Times New Roman" w:hAnsi="Times New Roman" w:cs="Times New Roman"/>
              </w:rPr>
              <w:br/>
              <w:t xml:space="preserve">  - local therapy includes individualized external beam radiotherapy (ebrt), such as stereotactic body radiotherapy (sbrt) for isolated metastatic lesions (see [similarity: 0.548] fragment: "systemic therapy ± individualized ebrt (sbrt may be considered)").</w:t>
            </w:r>
            <w:r w:rsidRPr="00CB2EC4">
              <w:rPr>
                <w:rFonts w:ascii="Times New Roman" w:hAnsi="Times New Roman" w:cs="Times New Roman"/>
              </w:rPr>
              <w:br/>
            </w:r>
            <w:r w:rsidRPr="00CB2EC4">
              <w:rPr>
                <w:rFonts w:ascii="Times New Roman" w:hAnsi="Times New Roman" w:cs="Times New Roman"/>
              </w:rPr>
              <w:br/>
              <w:t>- site-specific treatment for different metastatic sites:</w:t>
            </w:r>
            <w:r w:rsidRPr="00CB2EC4">
              <w:rPr>
                <w:rFonts w:ascii="Times New Roman" w:hAnsi="Times New Roman" w:cs="Times New Roman"/>
              </w:rPr>
              <w:br/>
              <w:t xml:space="preserve">  - the document does not specify differentiated treatment strategies for metastatic sites (e.g., lung, liver, bone). it only mentions common metastatic sites including lung, liver, and bone (see [similarity: 0.584] fragment: "common metastatic sites include lung, liver, bone"), but provides no site-specific regimens. </w:t>
            </w:r>
            <w:r w:rsidRPr="00CB2EC4">
              <w:rPr>
                <w:rFonts w:ascii="Times New Roman" w:hAnsi="Times New Roman" w:cs="Times New Roman"/>
              </w:rPr>
              <w:lastRenderedPageBreak/>
              <w:t>treatment focuses on systemic therapy with local radiotherapy for symptom control.</w:t>
            </w:r>
            <w:r w:rsidRPr="00CB2EC4">
              <w:rPr>
                <w:rFonts w:ascii="Times New Roman" w:hAnsi="Times New Roman" w:cs="Times New Roman"/>
              </w:rPr>
              <w:br/>
            </w:r>
            <w:r w:rsidRPr="00CB2EC4">
              <w:rPr>
                <w:rFonts w:ascii="Times New Roman" w:hAnsi="Times New Roman" w:cs="Times New Roman"/>
              </w:rPr>
              <w:br/>
              <w:t>in summary, the core strategy for metastatic cervical cancer is systemic therapy combined with radiotherapy, but site-specific treatments are not addressed in the knowledge base.</w:t>
            </w:r>
          </w:p>
        </w:tc>
        <w:tc>
          <w:tcPr>
            <w:tcW w:w="1152" w:type="dxa"/>
            <w:vAlign w:val="center"/>
          </w:tcPr>
          <w:p w14:paraId="6708C9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3093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97A4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D22FA2" w14:textId="77777777">
        <w:tc>
          <w:tcPr>
            <w:tcW w:w="2160" w:type="dxa"/>
            <w:vAlign w:val="center"/>
          </w:tcPr>
          <w:p w14:paraId="5733FC6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0667EB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Treatment strategies for metastatic cervical cancer (FIGO IVB stage) primarily involve systemic therapy, which may be combined with individualized radiotherapy. Specific approaches include:  </w:t>
            </w:r>
            <w:r w:rsidRPr="00CB2EC4">
              <w:rPr>
                <w:rFonts w:ascii="Times New Roman" w:hAnsi="Times New Roman" w:cs="Times New Roman"/>
              </w:rPr>
              <w:br/>
              <w:t xml:space="preserve">- Systemic therapy: Platinum-based chemotherapy regimens are preferred, such as cisplatin monotherapy or combination with other agents (e.g., paclitaxel, topotecan, fluorouracil, gemcitabine, or vinorelbine). Carboplatin plus paclitaxel is also a commonly used regimen (Document fragments 9, 11, 48).  </w:t>
            </w:r>
            <w:r w:rsidRPr="00CB2EC4">
              <w:rPr>
                <w:rFonts w:ascii="Times New Roman" w:hAnsi="Times New Roman" w:cs="Times New Roman"/>
              </w:rPr>
              <w:br/>
              <w:t xml:space="preserve">- Radiotherapy: Used for palliative symptom relief. Site-specific radiotherapy protocols apply to different metastatic locations:  </w:t>
            </w:r>
            <w:r w:rsidRPr="00CB2EC4">
              <w:rPr>
                <w:rFonts w:ascii="Times New Roman" w:hAnsi="Times New Roman" w:cs="Times New Roman"/>
              </w:rPr>
              <w:br/>
              <w:t xml:space="preserve">  - Bone metastases: Administer hypofractionated radiotherapy (e.g., single high dose or 5-fraction 20 Gy) to alleviate pain (Document fragments 9, 19).  </w:t>
            </w:r>
            <w:r w:rsidRPr="00CB2EC4">
              <w:rPr>
                <w:rFonts w:ascii="Times New Roman" w:hAnsi="Times New Roman" w:cs="Times New Roman"/>
              </w:rPr>
              <w:br/>
              <w:t xml:space="preserve">  - Brain metastases: Employ stereotactic body radiotherapy (SBRT) or palliative external beam radiotherapy, with dose adjusted based on tolerance (Document fragments 9, 15).  </w:t>
            </w:r>
            <w:r w:rsidRPr="00CB2EC4">
              <w:rPr>
                <w:rFonts w:ascii="Times New Roman" w:hAnsi="Times New Roman" w:cs="Times New Roman"/>
              </w:rPr>
              <w:br/>
              <w:t xml:space="preserve">  - Lymph node metastases (e.g., supraclavicular or para-aortic): Extended-field radiotherapy (EFRT) combined with concurrent chemotherapy, at doses of approximately 40–50 Gy (Document fragments 9, 25).  </w:t>
            </w:r>
            <w:r w:rsidRPr="00CB2EC4">
              <w:rPr>
                <w:rFonts w:ascii="Times New Roman" w:hAnsi="Times New Roman" w:cs="Times New Roman"/>
              </w:rPr>
              <w:br/>
              <w:t xml:space="preserve">  - Superficial peritoneal metastases: Intraperitoneal radioactive isotope therapy (e.g., $^{32}\mathrm{P}$) was historically used but is now </w:t>
            </w:r>
            <w:r w:rsidRPr="00CB2EC4">
              <w:rPr>
                <w:rFonts w:ascii="Times New Roman" w:hAnsi="Times New Roman" w:cs="Times New Roman"/>
              </w:rPr>
              <w:lastRenderedPageBreak/>
              <w:t xml:space="preserve">infrequent, largely replaced by intraperitoneal chemotherapy (Document fragment 23).  </w:t>
            </w:r>
            <w:r w:rsidRPr="00CB2EC4">
              <w:rPr>
                <w:rFonts w:ascii="Times New Roman" w:hAnsi="Times New Roman" w:cs="Times New Roman"/>
              </w:rPr>
              <w:br/>
              <w:t xml:space="preserve">- Supportive care: Includes nutritional support, palliative care, and pain management, particularly for end-stage patients (Document fragments 11, 13).  </w:t>
            </w:r>
            <w:r w:rsidRPr="00CB2EC4">
              <w:rPr>
                <w:rFonts w:ascii="Times New Roman" w:hAnsi="Times New Roman" w:cs="Times New Roman"/>
              </w:rPr>
              <w:br/>
              <w:t>Site-specific rationale: Document fragment 9 (block 16) explicitly states that systemic therapy is primary for distant metastases, with radiotherapy added selectively; fragments 11 (block 48) and 15 (block 45) detail site-specific radiotherapy and chemotherapy regimens.</w:t>
            </w:r>
          </w:p>
        </w:tc>
        <w:tc>
          <w:tcPr>
            <w:tcW w:w="1152" w:type="dxa"/>
            <w:vAlign w:val="center"/>
          </w:tcPr>
          <w:p w14:paraId="77180C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091F7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E32A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9A4834" w14:textId="77777777">
        <w:tc>
          <w:tcPr>
            <w:tcW w:w="2160" w:type="dxa"/>
            <w:vAlign w:val="center"/>
          </w:tcPr>
          <w:p w14:paraId="057A490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F511A1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treatment strategies for metastatic cervical cancer include systemic therapy (chemotherapy), radiotherapy, local therapy, and supportive care, with specific approaches varying by metastatic site:  </w:t>
            </w:r>
            <w:r w:rsidRPr="00CB2EC4">
              <w:rPr>
                <w:rFonts w:ascii="Times New Roman" w:hAnsi="Times New Roman" w:cs="Times New Roman"/>
              </w:rPr>
              <w:br/>
              <w:t xml:space="preserve">- overall treatment strategy:  </w:t>
            </w:r>
            <w:r w:rsidRPr="00CB2EC4">
              <w:rPr>
                <w:rFonts w:ascii="Times New Roman" w:hAnsi="Times New Roman" w:cs="Times New Roman"/>
              </w:rPr>
              <w:br/>
              <w:t xml:space="preserve">  - systemic therapy: platinum-based chemotherapy as primary regimen, with common protocols including cisplatin monotherapy (e.g., cisplatin 40mg/m² weekly) or dual-agent combinations (e.g., cisplatin + paclitaxel, cisplatin + topotecan). for PD-L1-positive, MMR/MSI-H, or TMB-H patients, immune checkpoint inhibitors (e.g., pembrolizumab) may be considered (documents 9, 10, 15, 26).  </w:t>
            </w:r>
            <w:r w:rsidRPr="00CB2EC4">
              <w:rPr>
                <w:rFonts w:ascii="Times New Roman" w:hAnsi="Times New Roman" w:cs="Times New Roman"/>
              </w:rPr>
              <w:br/>
              <w:t xml:space="preserve">  - radiotherapy: used for palliative symptom relief or local disease control. examples: bone metastases receive 30Gy/2–3 weeks for pain relief; para-aortic lymph node metastases receive 45–50Gy/5 weeks; supraclavicular lymph node metastases receive similar dosing (documents 11, 15, 33).  </w:t>
            </w:r>
            <w:r w:rsidRPr="00CB2EC4">
              <w:rPr>
                <w:rFonts w:ascii="Times New Roman" w:hAnsi="Times New Roman" w:cs="Times New Roman"/>
              </w:rPr>
              <w:br/>
              <w:t xml:space="preserve">  - local therapy: for isolated oligometastatic lesions (e.g., lymph nodes, lung, liver, or bone), surgical resection, stereotactic body radiotherapy (SBRT), or ablation may be considered, followed by systemic </w:t>
            </w:r>
            <w:r w:rsidRPr="00CB2EC4">
              <w:rPr>
                <w:rFonts w:ascii="Times New Roman" w:hAnsi="Times New Roman" w:cs="Times New Roman"/>
              </w:rPr>
              <w:lastRenderedPageBreak/>
              <w:t xml:space="preserve">therapy (documents 9, 11).  </w:t>
            </w:r>
            <w:r w:rsidRPr="00CB2EC4">
              <w:rPr>
                <w:rFonts w:ascii="Times New Roman" w:hAnsi="Times New Roman" w:cs="Times New Roman"/>
              </w:rPr>
              <w:br/>
              <w:t xml:space="preserve">  - supportive care: includes nutritional support, palliative care (e.g., pain management), and hospice care, particularly for end-stage patients (documents 9, 15).  </w:t>
            </w:r>
            <w:r w:rsidRPr="00CB2EC4">
              <w:rPr>
                <w:rFonts w:ascii="Times New Roman" w:hAnsi="Times New Roman" w:cs="Times New Roman"/>
              </w:rPr>
              <w:br/>
              <w:t xml:space="preserve">- site-specific treatments:  </w:t>
            </w:r>
            <w:r w:rsidRPr="00CB2EC4">
              <w:rPr>
                <w:rFonts w:ascii="Times New Roman" w:hAnsi="Times New Roman" w:cs="Times New Roman"/>
              </w:rPr>
              <w:br/>
              <w:t xml:space="preserve">  - lymph node metastases (e.g., para-aortic or supraclavicular): concurrent chemoradiotherapy (e.g., external beam radiotherapy with concurrent cisplatin) is recommended to improve survival (document 15).  </w:t>
            </w:r>
            <w:r w:rsidRPr="00CB2EC4">
              <w:rPr>
                <w:rFonts w:ascii="Times New Roman" w:hAnsi="Times New Roman" w:cs="Times New Roman"/>
              </w:rPr>
              <w:br/>
              <w:t xml:space="preserve">  - bone metastases: short-course radiotherapy (e.g., 30Gy/10 fractions or 20Gy/5 fractions) for pain palliation (documents 15, 33).  </w:t>
            </w:r>
            <w:r w:rsidRPr="00CB2EC4">
              <w:rPr>
                <w:rFonts w:ascii="Times New Roman" w:hAnsi="Times New Roman" w:cs="Times New Roman"/>
              </w:rPr>
              <w:br/>
              <w:t xml:space="preserve">  - lung or liver oligometastases: local radiotherapy or surgical resection combined with systemic therapy (document 9).  </w:t>
            </w:r>
            <w:r w:rsidRPr="00CB2EC4">
              <w:rPr>
                <w:rFonts w:ascii="Times New Roman" w:hAnsi="Times New Roman" w:cs="Times New Roman"/>
              </w:rPr>
              <w:br/>
              <w:t xml:space="preserve">  - brain metastases: palliative hypofractionated radiotherapy (e.g., 30Gy) (document 15).  </w:t>
            </w:r>
            <w:r w:rsidRPr="00CB2EC4">
              <w:rPr>
                <w:rFonts w:ascii="Times New Roman" w:hAnsi="Times New Roman" w:cs="Times New Roman"/>
              </w:rPr>
              <w:br/>
              <w:t>references: documents 9, 10, 11, 15, 26, 33.</w:t>
            </w:r>
          </w:p>
        </w:tc>
        <w:tc>
          <w:tcPr>
            <w:tcW w:w="1152" w:type="dxa"/>
            <w:vAlign w:val="center"/>
          </w:tcPr>
          <w:p w14:paraId="2563B2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CCACF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947D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C88D90" w14:textId="77777777">
        <w:tc>
          <w:tcPr>
            <w:tcW w:w="2160" w:type="dxa"/>
            <w:vAlign w:val="center"/>
          </w:tcPr>
          <w:p w14:paraId="6BD0D08C"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4DD8D03" w14:textId="77777777" w:rsidR="00922249" w:rsidRPr="00CB2EC4" w:rsidRDefault="003011D5">
            <w:pPr>
              <w:rPr>
                <w:rFonts w:ascii="Times New Roman" w:hAnsi="Times New Roman" w:cs="Times New Roman"/>
              </w:rPr>
            </w:pPr>
            <w:r w:rsidRPr="00CB2EC4">
              <w:rPr>
                <w:rFonts w:ascii="Times New Roman" w:hAnsi="Times New Roman" w:cs="Times New Roman"/>
              </w:rPr>
              <w:t>treatment strategy for metastatic cervical cancer (knowledge base + web search)</w:t>
            </w:r>
            <w:r w:rsidRPr="00CB2EC4">
              <w:rPr>
                <w:rFonts w:ascii="Times New Roman" w:hAnsi="Times New Roman" w:cs="Times New Roman"/>
              </w:rPr>
              <w:br/>
            </w:r>
            <w:r w:rsidRPr="00CB2EC4">
              <w:rPr>
                <w:rFonts w:ascii="Times New Roman" w:hAnsi="Times New Roman" w:cs="Times New Roman"/>
              </w:rPr>
              <w:br/>
              <w:t>treatment framework:</w:t>
            </w:r>
            <w:r w:rsidRPr="00CB2EC4">
              <w:rPr>
                <w:rFonts w:ascii="Times New Roman" w:hAnsi="Times New Roman" w:cs="Times New Roman"/>
              </w:rPr>
              <w:br/>
              <w:t>- systemic therapy as primary: platinum-based chemotherapy (cisplatin/carboplatin) combined with paclitaxel is the first-line regimen (knowledge base Table 11-3).</w:t>
            </w:r>
            <w:r w:rsidRPr="00CB2EC4">
              <w:rPr>
                <w:rFonts w:ascii="Times New Roman" w:hAnsi="Times New Roman" w:cs="Times New Roman"/>
              </w:rPr>
              <w:br/>
              <w:t>- application of local therapy:</w:t>
            </w:r>
            <w:r w:rsidRPr="00CB2EC4">
              <w:rPr>
                <w:rFonts w:ascii="Times New Roman" w:hAnsi="Times New Roman" w:cs="Times New Roman"/>
              </w:rPr>
              <w:br/>
              <w:t xml:space="preserve">  - isolated metastatic lesions: surgical resection ± radiotherapy (e.g., pulmonary/hepatic oligometastases) (web search Table 11-4).</w:t>
            </w:r>
            <w:r w:rsidRPr="00CB2EC4">
              <w:rPr>
                <w:rFonts w:ascii="Times New Roman" w:hAnsi="Times New Roman" w:cs="Times New Roman"/>
              </w:rPr>
              <w:br/>
              <w:t xml:space="preserve">  - lymph node metastases: extended-field radiotherapy (EFRT) with concurrent chemotherapy (knowledge base 4.2.5).</w:t>
            </w:r>
            <w:r w:rsidRPr="00CB2EC4">
              <w:rPr>
                <w:rFonts w:ascii="Times New Roman" w:hAnsi="Times New Roman" w:cs="Times New Roman"/>
              </w:rPr>
              <w:br/>
            </w:r>
            <w:r w:rsidRPr="00CB2EC4">
              <w:rPr>
                <w:rFonts w:ascii="Times New Roman" w:hAnsi="Times New Roman" w:cs="Times New Roman"/>
              </w:rPr>
              <w:lastRenderedPageBreak/>
              <w:t>- targeted/immunotherapy: PD-1 inhibitor (pembrolizumab) for PD-L1 positive patients (knowledge base Table 11-3).</w:t>
            </w:r>
            <w:r w:rsidRPr="00CB2EC4">
              <w:rPr>
                <w:rFonts w:ascii="Times New Roman" w:hAnsi="Times New Roman" w:cs="Times New Roman"/>
              </w:rPr>
              <w:br/>
              <w:t>- supportive care: palliative radiotherapy for bone metastases, pain management (knowledge base 11.3.1).</w:t>
            </w:r>
            <w:r w:rsidRPr="00CB2EC4">
              <w:rPr>
                <w:rFonts w:ascii="Times New Roman" w:hAnsi="Times New Roman" w:cs="Times New Roman"/>
              </w:rPr>
              <w:br/>
            </w:r>
            <w:r w:rsidRPr="00CB2EC4">
              <w:rPr>
                <w:rFonts w:ascii="Times New Roman" w:hAnsi="Times New Roman" w:cs="Times New Roman"/>
              </w:rPr>
              <w:br/>
              <w:t>site-specific treatment for different metastatic locations:</w:t>
            </w:r>
            <w:r w:rsidRPr="00CB2EC4">
              <w:rPr>
                <w:rFonts w:ascii="Times New Roman" w:hAnsi="Times New Roman" w:cs="Times New Roman"/>
              </w:rPr>
              <w:br/>
              <w:t>| metastatic site       | recommended regimen                                                                 |</w:t>
            </w:r>
            <w:r w:rsidRPr="00CB2EC4">
              <w:rPr>
                <w:rFonts w:ascii="Times New Roman" w:hAnsi="Times New Roman" w:cs="Times New Roman"/>
              </w:rPr>
              <w:br/>
              <w:t>|---------------------|-----------------------------------------------------------------------------|</w:t>
            </w:r>
            <w:r w:rsidRPr="00CB2EC4">
              <w:rPr>
                <w:rFonts w:ascii="Times New Roman" w:hAnsi="Times New Roman" w:cs="Times New Roman"/>
              </w:rPr>
              <w:br/>
              <w:t>| central pelvic recurrence | pelvic exenteration (requires preoperative assessment of no distant metastases) (knowledge base Table 11-1) |</w:t>
            </w:r>
            <w:r w:rsidRPr="00CB2EC4">
              <w:rPr>
                <w:rFonts w:ascii="Times New Roman" w:hAnsi="Times New Roman" w:cs="Times New Roman"/>
              </w:rPr>
              <w:br/>
              <w:t>| non-central pelvic recurrence | individualized radiotherapy ± systemic therapy (SBRT may be considered) (knowledge base Table 11-4) |</w:t>
            </w:r>
            <w:r w:rsidRPr="00CB2EC4">
              <w:rPr>
                <w:rFonts w:ascii="Times New Roman" w:hAnsi="Times New Roman" w:cs="Times New Roman"/>
              </w:rPr>
              <w:br/>
              <w:t>| distant isolated metastasis | surgical resection ± radiotherapy + systemic therapy (web search Table 11-4 footnote a) |</w:t>
            </w:r>
            <w:r w:rsidRPr="00CB2EC4">
              <w:rPr>
                <w:rFonts w:ascii="Times New Roman" w:hAnsi="Times New Roman" w:cs="Times New Roman"/>
              </w:rPr>
              <w:br/>
              <w:t>| multi-organ metastasis | systemic therapy + best supportive care (knowledge base 11.3.1) |</w:t>
            </w:r>
            <w:r w:rsidRPr="00CB2EC4">
              <w:rPr>
                <w:rFonts w:ascii="Times New Roman" w:hAnsi="Times New Roman" w:cs="Times New Roman"/>
              </w:rPr>
              <w:br/>
            </w:r>
            <w:r w:rsidRPr="00CB2EC4">
              <w:rPr>
                <w:rFonts w:ascii="Times New Roman" w:hAnsi="Times New Roman" w:cs="Times New Roman"/>
              </w:rPr>
              <w:br/>
              <w:t>&gt; handling of conflicting information: the knowledge base emphasizes surgery is only applicable to highly selected oligometastatic patients, while web search states "local therapy followed by systemic therapy may improve survival"; the two are substantively consistent, with the latter supplementing the feasibility of aggressive intervention.</w:t>
            </w:r>
          </w:p>
        </w:tc>
        <w:tc>
          <w:tcPr>
            <w:tcW w:w="1152" w:type="dxa"/>
            <w:vAlign w:val="center"/>
          </w:tcPr>
          <w:p w14:paraId="027773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8B2D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5C02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839E3B" w14:textId="77777777">
        <w:tc>
          <w:tcPr>
            <w:tcW w:w="2160" w:type="dxa"/>
            <w:vAlign w:val="center"/>
          </w:tcPr>
          <w:p w14:paraId="49EB8E0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CB56029" w14:textId="77777777" w:rsidR="00922249" w:rsidRPr="00CB2EC4" w:rsidRDefault="003011D5">
            <w:pPr>
              <w:rPr>
                <w:rFonts w:ascii="Times New Roman" w:hAnsi="Times New Roman" w:cs="Times New Roman"/>
              </w:rPr>
            </w:pPr>
            <w:r w:rsidRPr="00CB2EC4">
              <w:rPr>
                <w:rFonts w:ascii="Times New Roman" w:hAnsi="Times New Roman" w:cs="Times New Roman"/>
              </w:rPr>
              <w:t>treatment strategies for metastatic cervical cancer include:</w:t>
            </w:r>
            <w:r w:rsidRPr="00CB2EC4">
              <w:rPr>
                <w:rFonts w:ascii="Times New Roman" w:hAnsi="Times New Roman" w:cs="Times New Roman"/>
              </w:rPr>
              <w:br/>
            </w:r>
            <w:r w:rsidRPr="00CB2EC4">
              <w:rPr>
                <w:rFonts w:ascii="Times New Roman" w:hAnsi="Times New Roman" w:cs="Times New Roman"/>
              </w:rPr>
              <w:lastRenderedPageBreak/>
              <w:t>- systemic therapy: platinum-based chemotherapy (e.g., cisplatin monotherapy or combination regimens) as first-line treatment; second-line systemic therapy or clinical trials for patients failing first-line therapy</w:t>
            </w:r>
            <w:r w:rsidRPr="00CB2EC4">
              <w:rPr>
                <w:rFonts w:ascii="Times New Roman" w:hAnsi="Times New Roman" w:cs="Times New Roman"/>
              </w:rPr>
              <w:br/>
              <w:t>- radiotherapy: palliative or stereotactic body radiotherapy (SBRT) for symptom control (e.g., pain) or isolated distant metastases</w:t>
            </w:r>
            <w:r w:rsidRPr="00CB2EC4">
              <w:rPr>
                <w:rFonts w:ascii="Times New Roman" w:hAnsi="Times New Roman" w:cs="Times New Roman"/>
              </w:rPr>
              <w:br/>
              <w:t>- palliative and supportive care: pain management, nutritional support, and end-of-life care, especially for refractory cases</w:t>
            </w:r>
            <w:r w:rsidRPr="00CB2EC4">
              <w:rPr>
                <w:rFonts w:ascii="Times New Roman" w:hAnsi="Times New Roman" w:cs="Times New Roman"/>
              </w:rPr>
              <w:br/>
              <w:t>- immunotherapy: immune checkpoint inhibitors show significant efficacy, applied with individualized assessment</w:t>
            </w:r>
            <w:r w:rsidRPr="00CB2EC4">
              <w:rPr>
                <w:rFonts w:ascii="Times New Roman" w:hAnsi="Times New Roman" w:cs="Times New Roman"/>
              </w:rPr>
              <w:br/>
              <w:t>- surgery: reserved for highly selected patients with isolated metastases (e.g., lymph nodes or lung oligometastases), often combined with local radiotherapy or ablation</w:t>
            </w:r>
            <w:r w:rsidRPr="00CB2EC4">
              <w:rPr>
                <w:rFonts w:ascii="Times New Roman" w:hAnsi="Times New Roman" w:cs="Times New Roman"/>
              </w:rPr>
              <w:br/>
            </w:r>
            <w:r w:rsidRPr="00CB2EC4">
              <w:rPr>
                <w:rFonts w:ascii="Times New Roman" w:hAnsi="Times New Roman" w:cs="Times New Roman"/>
              </w:rPr>
              <w:br/>
              <w:t>site-specific treatments for metastatic lesions:</w:t>
            </w:r>
            <w:r w:rsidRPr="00CB2EC4">
              <w:rPr>
                <w:rFonts w:ascii="Times New Roman" w:hAnsi="Times New Roman" w:cs="Times New Roman"/>
              </w:rPr>
              <w:br/>
              <w:t>- lymph node metastases (e.g., para-aortic or supraclavicular): extended-field radiotherapy (EFRT) with concurrent chemotherapy; surgery or radiotherapy for isolated lesions</w:t>
            </w:r>
            <w:r w:rsidRPr="00CB2EC4">
              <w:rPr>
                <w:rFonts w:ascii="Times New Roman" w:hAnsi="Times New Roman" w:cs="Times New Roman"/>
              </w:rPr>
              <w:br/>
              <w:t>- bone metastases: palliative radiotherapy for pain relief, commonly using single-fraction high-dose (e.g., 20 Gy/5 fractions or 30 Gy/10 fractions) regimens</w:t>
            </w:r>
            <w:r w:rsidRPr="00CB2EC4">
              <w:rPr>
                <w:rFonts w:ascii="Times New Roman" w:hAnsi="Times New Roman" w:cs="Times New Roman"/>
              </w:rPr>
              <w:br/>
              <w:t>- lung or liver metastases: systemic therapy as primary approach, supplemented by local radiotherapy or ablation; SBRT considered for limited metastases</w:t>
            </w:r>
            <w:r w:rsidRPr="00CB2EC4">
              <w:rPr>
                <w:rFonts w:ascii="Times New Roman" w:hAnsi="Times New Roman" w:cs="Times New Roman"/>
              </w:rPr>
              <w:br/>
              <w:t>- brain metastases: short-course palliative radiotherapy (e.g., hypofractionated regimens) combined with systemic therapy</w:t>
            </w:r>
            <w:r w:rsidRPr="00CB2EC4">
              <w:rPr>
                <w:rFonts w:ascii="Times New Roman" w:hAnsi="Times New Roman" w:cs="Times New Roman"/>
              </w:rPr>
              <w:br/>
              <w:t xml:space="preserve">- central pelvic recurrence: pelvic exenteration (e.g., total pelvic clearance) may be considered with strict </w:t>
            </w:r>
            <w:r w:rsidRPr="00CB2EC4">
              <w:rPr>
                <w:rFonts w:ascii="Times New Roman" w:hAnsi="Times New Roman" w:cs="Times New Roman"/>
              </w:rPr>
              <w:lastRenderedPageBreak/>
              <w:t>patient selection</w:t>
            </w:r>
            <w:r w:rsidRPr="00CB2EC4">
              <w:rPr>
                <w:rFonts w:ascii="Times New Roman" w:hAnsi="Times New Roman" w:cs="Times New Roman"/>
              </w:rPr>
              <w:br/>
            </w:r>
            <w:r w:rsidRPr="00CB2EC4">
              <w:rPr>
                <w:rFonts w:ascii="Times New Roman" w:hAnsi="Times New Roman" w:cs="Times New Roman"/>
              </w:rPr>
              <w:br/>
              <w:t>prognosis for metastatic cervical cancer is poor; treatment requires individualization with priority given to systemic therapy combined with local intervention.</w:t>
            </w:r>
          </w:p>
        </w:tc>
        <w:tc>
          <w:tcPr>
            <w:tcW w:w="1152" w:type="dxa"/>
            <w:vAlign w:val="center"/>
          </w:tcPr>
          <w:p w14:paraId="053704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AA603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DE461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F66134C" w14:textId="77777777">
        <w:tc>
          <w:tcPr>
            <w:tcW w:w="2160" w:type="dxa"/>
            <w:vAlign w:val="center"/>
          </w:tcPr>
          <w:p w14:paraId="3D5A37B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4918521A" w14:textId="77777777" w:rsidR="00922249" w:rsidRPr="00CB2EC4" w:rsidRDefault="003011D5">
            <w:pPr>
              <w:rPr>
                <w:rFonts w:ascii="Times New Roman" w:hAnsi="Times New Roman" w:cs="Times New Roman"/>
              </w:rPr>
            </w:pPr>
            <w:r w:rsidRPr="00CB2EC4">
              <w:rPr>
                <w:rFonts w:ascii="Times New Roman" w:hAnsi="Times New Roman" w:cs="Times New Roman"/>
              </w:rPr>
              <w:t>treatment strategies for metastatic cervical cancer include:</w:t>
            </w:r>
            <w:r w:rsidRPr="00CB2EC4">
              <w:rPr>
                <w:rFonts w:ascii="Times New Roman" w:hAnsi="Times New Roman" w:cs="Times New Roman"/>
              </w:rPr>
              <w:br/>
            </w:r>
            <w:r w:rsidRPr="00CB2EC4">
              <w:rPr>
                <w:rFonts w:ascii="Times New Roman" w:hAnsi="Times New Roman" w:cs="Times New Roman"/>
              </w:rPr>
              <w:br/>
              <w:t>- systemic therapy: platinum-based chemotherapy (e.g., cisplatin or carboplatin combined with paclitaxel) is the primary option for controlling widespread metastasis (documents 5, 12).</w:t>
            </w:r>
            <w:r w:rsidRPr="00CB2EC4">
              <w:rPr>
                <w:rFonts w:ascii="Times New Roman" w:hAnsi="Times New Roman" w:cs="Times New Roman"/>
              </w:rPr>
              <w:br/>
              <w:t>- radiotherapy: used for palliative purposes or local control, such as relieving pain from bone metastases (documents 11, 12).</w:t>
            </w:r>
            <w:r w:rsidRPr="00CB2EC4">
              <w:rPr>
                <w:rFonts w:ascii="Times New Roman" w:hAnsi="Times New Roman" w:cs="Times New Roman"/>
              </w:rPr>
              <w:br/>
              <w:t>- surgery: applicable only to highly selected patients with isolated metastatic lesions (e.g., lymph nodes, lung, liver, or bone oligometastases), possibly combined with ablative therapy (document 12: "for highly selected patients with isolated distant metastases amenable to local treatment, approaches such as radiotherapy or ablation may improve survival").</w:t>
            </w:r>
            <w:r w:rsidRPr="00CB2EC4">
              <w:rPr>
                <w:rFonts w:ascii="Times New Roman" w:hAnsi="Times New Roman" w:cs="Times New Roman"/>
              </w:rPr>
              <w:br/>
              <w:t>- supportive care: including nutritional support and palliative care for refractory cases (document 12).</w:t>
            </w:r>
            <w:r w:rsidRPr="00CB2EC4">
              <w:rPr>
                <w:rFonts w:ascii="Times New Roman" w:hAnsi="Times New Roman" w:cs="Times New Roman"/>
              </w:rPr>
              <w:br/>
            </w:r>
            <w:r w:rsidRPr="00CB2EC4">
              <w:rPr>
                <w:rFonts w:ascii="Times New Roman" w:hAnsi="Times New Roman" w:cs="Times New Roman"/>
              </w:rPr>
              <w:br/>
              <w:t>site-specific treatments for different metastatic locations:</w:t>
            </w:r>
            <w:r w:rsidRPr="00CB2EC4">
              <w:rPr>
                <w:rFonts w:ascii="Times New Roman" w:hAnsi="Times New Roman" w:cs="Times New Roman"/>
              </w:rPr>
              <w:br/>
            </w:r>
            <w:r w:rsidRPr="00CB2EC4">
              <w:rPr>
                <w:rFonts w:ascii="Times New Roman" w:hAnsi="Times New Roman" w:cs="Times New Roman"/>
              </w:rPr>
              <w:br/>
              <w:t>- isolated metastases (e.g., lymph nodes, lung, liver, or bone): local treatment such as surgical resection or stereotactic body radiotherapy (SBRT) is recommended to improve survival (document 12).</w:t>
            </w:r>
            <w:r w:rsidRPr="00CB2EC4">
              <w:rPr>
                <w:rFonts w:ascii="Times New Roman" w:hAnsi="Times New Roman" w:cs="Times New Roman"/>
              </w:rPr>
              <w:br/>
            </w:r>
            <w:r w:rsidRPr="00CB2EC4">
              <w:rPr>
                <w:rFonts w:ascii="Times New Roman" w:hAnsi="Times New Roman" w:cs="Times New Roman"/>
              </w:rPr>
              <w:lastRenderedPageBreak/>
              <w:t>- extensive or multi-site metastases: systemic chemotherapy is the mainstay; local therapy is not recommended (document 5: "systemic therapy is generally the primary treatment for stage IVB cervical cancer, with individualized radiotherapy added in some patients").</w:t>
            </w:r>
            <w:r w:rsidRPr="00CB2EC4">
              <w:rPr>
                <w:rFonts w:ascii="Times New Roman" w:hAnsi="Times New Roman" w:cs="Times New Roman"/>
              </w:rPr>
              <w:br/>
              <w:t>- extra-pelvic recurrence or metastasis: chemotherapy is preferred when surgery or radiotherapy is unsuitable (document 12).</w:t>
            </w:r>
            <w:r w:rsidRPr="00CB2EC4">
              <w:rPr>
                <w:rFonts w:ascii="Times New Roman" w:hAnsi="Times New Roman" w:cs="Times New Roman"/>
              </w:rPr>
              <w:br/>
            </w:r>
            <w:r w:rsidRPr="00CB2EC4">
              <w:rPr>
                <w:rFonts w:ascii="Times New Roman" w:hAnsi="Times New Roman" w:cs="Times New Roman"/>
              </w:rPr>
              <w:br/>
              <w:t>in summary, treatment is individualized: local intervention is feasible for isolated lesions, while systemic chemotherapy dominates for widespread disease.</w:t>
            </w:r>
          </w:p>
        </w:tc>
        <w:tc>
          <w:tcPr>
            <w:tcW w:w="1152" w:type="dxa"/>
            <w:vAlign w:val="center"/>
          </w:tcPr>
          <w:p w14:paraId="45129B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5E407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0ABF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34CCD9" w14:textId="77777777">
        <w:tc>
          <w:tcPr>
            <w:tcW w:w="2160" w:type="dxa"/>
            <w:vAlign w:val="center"/>
          </w:tcPr>
          <w:p w14:paraId="69FF30F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E062BD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Treatment strategies:  </w:t>
            </w:r>
            <w:r w:rsidRPr="00CB2EC4">
              <w:rPr>
                <w:rFonts w:ascii="Times New Roman" w:hAnsi="Times New Roman" w:cs="Times New Roman"/>
              </w:rPr>
              <w:br/>
              <w:t xml:space="preserve">  1. Systemic therapy as the mainstay: Chemotherapy-based regimens are recommended, with platinum-containing schemes preferred (e.g., cisplatin monotherapy or in combination with paclitaxel, carboplatin, etc.). First-line treatment prioritizes platinum-based chemotherapy (e.g., weekly cisplatin); second-line options include targeted agents (e.g., bevacizumab) or immunotherapy (e.g., pembrolizumab).  </w:t>
            </w:r>
            <w:r w:rsidRPr="00CB2EC4">
              <w:rPr>
                <w:rFonts w:ascii="Times New Roman" w:hAnsi="Times New Roman" w:cs="Times New Roman"/>
              </w:rPr>
              <w:br/>
              <w:t xml:space="preserve">  2. Individualized radiotherapy: For oligometastatic disease (e.g., isolated lymph node, lung, liver, or bone metastases), local radiotherapy or ablative therapy may be combined, potentially improving survival.  </w:t>
            </w:r>
            <w:r w:rsidRPr="00CB2EC4">
              <w:rPr>
                <w:rFonts w:ascii="Times New Roman" w:hAnsi="Times New Roman" w:cs="Times New Roman"/>
              </w:rPr>
              <w:br/>
              <w:t xml:space="preserve">  3. Supportive care: Includes nutritional support, palliative radiotherapy (e.g., for bone pain), pain management, and end-of-life care.  </w:t>
            </w:r>
            <w:r w:rsidRPr="00CB2EC4">
              <w:rPr>
                <w:rFonts w:ascii="Times New Roman" w:hAnsi="Times New Roman" w:cs="Times New Roman"/>
              </w:rPr>
              <w:br/>
              <w:t xml:space="preserve">- Site-specific treatments for different metastatic locations:  </w:t>
            </w:r>
            <w:r w:rsidRPr="00CB2EC4">
              <w:rPr>
                <w:rFonts w:ascii="Times New Roman" w:hAnsi="Times New Roman" w:cs="Times New Roman"/>
              </w:rPr>
              <w:br/>
              <w:t xml:space="preserve">  - Lymph node metastases: Extended-field </w:t>
            </w:r>
            <w:r w:rsidRPr="00CB2EC4">
              <w:rPr>
                <w:rFonts w:ascii="Times New Roman" w:hAnsi="Times New Roman" w:cs="Times New Roman"/>
              </w:rPr>
              <w:lastRenderedPageBreak/>
              <w:t xml:space="preserve">radiotherapy (covering para-aortic lymph nodes) combined with concurrent chemotherapy.  </w:t>
            </w:r>
            <w:r w:rsidRPr="00CB2EC4">
              <w:rPr>
                <w:rFonts w:ascii="Times New Roman" w:hAnsi="Times New Roman" w:cs="Times New Roman"/>
              </w:rPr>
              <w:br/>
              <w:t xml:space="preserve">  - Bone metastases: Short-course palliative radiotherapy (e.g., 20 Gy in 5 fractions or 30 Gy in 10 fractions) for pain relief.  </w:t>
            </w:r>
            <w:r w:rsidRPr="00CB2EC4">
              <w:rPr>
                <w:rFonts w:ascii="Times New Roman" w:hAnsi="Times New Roman" w:cs="Times New Roman"/>
              </w:rPr>
              <w:br/>
              <w:t xml:space="preserve">  - Brain metastases: Targeted radiotherapy (e.g., stereotactic radiosurgery).  </w:t>
            </w:r>
            <w:r w:rsidRPr="00CB2EC4">
              <w:rPr>
                <w:rFonts w:ascii="Times New Roman" w:hAnsi="Times New Roman" w:cs="Times New Roman"/>
              </w:rPr>
              <w:br/>
              <w:t xml:space="preserve">  - Refractory vaginal bleeding: Short-course external beam radiotherapy (EBRT) or intracavitary brachytherapy (ICRT) to control bleeding.  </w:t>
            </w:r>
            <w:r w:rsidRPr="00CB2EC4">
              <w:rPr>
                <w:rFonts w:ascii="Times New Roman" w:hAnsi="Times New Roman" w:cs="Times New Roman"/>
              </w:rPr>
              <w:br/>
              <w:t xml:space="preserve">  Evidence basis:  </w:t>
            </w:r>
            <w:r w:rsidRPr="00CB2EC4">
              <w:rPr>
                <w:rFonts w:ascii="Times New Roman" w:hAnsi="Times New Roman" w:cs="Times New Roman"/>
              </w:rPr>
              <w:br/>
              <w:t xml:space="preserve">  - Systemic therapy is primary for metastatic cervical cancer ([HyDE similarity: 0.573]).  </w:t>
            </w:r>
            <w:r w:rsidRPr="00CB2EC4">
              <w:rPr>
                <w:rFonts w:ascii="Times New Roman" w:hAnsi="Times New Roman" w:cs="Times New Roman"/>
              </w:rPr>
              <w:br/>
              <w:t xml:space="preserve">  - Oligometastatic patients may benefit from local therapy ([HyDE similarity: 0.606]).  </w:t>
            </w:r>
            <w:r w:rsidRPr="00CB2EC4">
              <w:rPr>
                <w:rFonts w:ascii="Times New Roman" w:hAnsi="Times New Roman" w:cs="Times New Roman"/>
              </w:rPr>
              <w:br/>
              <w:t xml:space="preserve">  - Radiotherapy strategies vary by metastatic site ([HyDE similarity: 0.537], [HyDE similarity: 0.606]).</w:t>
            </w:r>
          </w:p>
        </w:tc>
        <w:tc>
          <w:tcPr>
            <w:tcW w:w="1152" w:type="dxa"/>
            <w:vAlign w:val="center"/>
          </w:tcPr>
          <w:p w14:paraId="4DCD25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2341B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17D4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D483CF6" w14:textId="77777777">
        <w:tc>
          <w:tcPr>
            <w:tcW w:w="2160" w:type="dxa"/>
            <w:vAlign w:val="center"/>
          </w:tcPr>
          <w:p w14:paraId="31A36146"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3D775FF"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treatment strategies for metastatic cervical cancer? are there site-specific treatments for different metastatic sites?</w:t>
            </w:r>
            <w:r w:rsidRPr="00CB2EC4">
              <w:rPr>
                <w:rFonts w:ascii="Times New Roman" w:hAnsi="Times New Roman" w:cs="Times New Roman"/>
              </w:rPr>
              <w:br/>
            </w:r>
            <w:r w:rsidRPr="00CB2EC4">
              <w:rPr>
                <w:rFonts w:ascii="Times New Roman" w:hAnsi="Times New Roman" w:cs="Times New Roman"/>
              </w:rPr>
              <w:br/>
              <w:t>based on the document excerpts, the treatment strategies for metastatic cervical cancer primarily include systemic therapy (such as chemotherapy, targeted therapy, and immunotherapy) and local therapy (such as radiotherapy or surgery), depending on the metastatic site and patient condition. different metastatic sites (e.g., lymph nodes, lung, liver, bone) have specific treatment recommendations. the details are summarized as follows:</w:t>
            </w:r>
            <w:r w:rsidRPr="00CB2EC4">
              <w:rPr>
                <w:rFonts w:ascii="Times New Roman" w:hAnsi="Times New Roman" w:cs="Times New Roman"/>
              </w:rPr>
              <w:br/>
            </w:r>
            <w:r w:rsidRPr="00CB2EC4">
              <w:rPr>
                <w:rFonts w:ascii="Times New Roman" w:hAnsi="Times New Roman" w:cs="Times New Roman"/>
              </w:rPr>
              <w:br/>
              <w:t>- treatment strategies:</w:t>
            </w:r>
            <w:r w:rsidRPr="00CB2EC4">
              <w:rPr>
                <w:rFonts w:ascii="Times New Roman" w:hAnsi="Times New Roman" w:cs="Times New Roman"/>
              </w:rPr>
              <w:br/>
              <w:t xml:space="preserve">  - systemic therapy: this is the main approach for metastatic cervical cancer, especially when patients </w:t>
            </w:r>
            <w:r w:rsidRPr="00CB2EC4">
              <w:rPr>
                <w:rFonts w:ascii="Times New Roman" w:hAnsi="Times New Roman" w:cs="Times New Roman"/>
              </w:rPr>
              <w:lastRenderedPageBreak/>
              <w:t>are not suitable for radiotherapy or surgery. first-line systemic therapy recommendations include platinum-based chemotherapy regimens (e.g., cisplatin combined with paclitaxel), while second-line therapy may involve immune checkpoint inhibitors (e.g., pembrolizumab) or targeted drugs (e.g., bevacizumab). document excerpts 9, 19, and 22 indicate that systemic therapy can alleviate symptoms but has low response rates and limited survival benefits (e.g., objective response rate approximately 24%, median duration of response 8.3 months). specific regimens include:</w:t>
            </w:r>
            <w:r w:rsidRPr="00CB2EC4">
              <w:rPr>
                <w:rFonts w:ascii="Times New Roman" w:hAnsi="Times New Roman" w:cs="Times New Roman"/>
              </w:rPr>
              <w:br/>
              <w:t xml:space="preserve">    - ddp (cisplatin) + paclitaxel: cisplatin 50 mg/m² iv infusion on day 1, paclitaxel 175 mg/m² iv infusion over 3 hours on day 1, repeated every 3 weeks.</w:t>
            </w:r>
            <w:r w:rsidRPr="00CB2EC4">
              <w:rPr>
                <w:rFonts w:ascii="Times New Roman" w:hAnsi="Times New Roman" w:cs="Times New Roman"/>
              </w:rPr>
              <w:br/>
              <w:t xml:space="preserve">    - carboplatin + paclitaxel: carboplatin auc 5-6 iv infusion on day 1, paclitaxel 175 mg/m² iv infusion over 3 hours on day 1, repeated every 3 weeks.</w:t>
            </w:r>
            <w:r w:rsidRPr="00CB2EC4">
              <w:rPr>
                <w:rFonts w:ascii="Times New Roman" w:hAnsi="Times New Roman" w:cs="Times New Roman"/>
              </w:rPr>
              <w:br/>
              <w:t xml:space="preserve">    - immunotherapy: for pd-l1 positive (cps ≥1) patients, pembrolizumab or serplulimab may be used (document excerpt 19).</w:t>
            </w:r>
            <w:r w:rsidRPr="00CB2EC4">
              <w:rPr>
                <w:rFonts w:ascii="Times New Roman" w:hAnsi="Times New Roman" w:cs="Times New Roman"/>
              </w:rPr>
              <w:br/>
              <w:t xml:space="preserve">  - local therapy: suitable for oligometastatic lesions (isolated metastases). document excerpts 9 and 15 mention that for highly selected patients (e.g., with lymph node, lung, liver, or bone oligometastases), radiotherapy (e.g., stereotactic body radiotherapy, sbrt) or ablation therapy can improve survival. examples include:</w:t>
            </w:r>
            <w:r w:rsidRPr="00CB2EC4">
              <w:rPr>
                <w:rFonts w:ascii="Times New Roman" w:hAnsi="Times New Roman" w:cs="Times New Roman"/>
              </w:rPr>
              <w:br/>
              <w:t xml:space="preserve">    - lymph node metastasis: radiotherapy combined with concurrent chemotherapy (e.g., cisplatin) is recommended, with a dose of 20-30 gy in 5-10 fractions (document excerpt 15).</w:t>
            </w:r>
            <w:r w:rsidRPr="00CB2EC4">
              <w:rPr>
                <w:rFonts w:ascii="Times New Roman" w:hAnsi="Times New Roman" w:cs="Times New Roman"/>
              </w:rPr>
              <w:br/>
              <w:t xml:space="preserve">    - bone or brain metastasis: palliative radiotherapy (e.g., hypofractionated dose 20 gy/5 fractions or 30 </w:t>
            </w:r>
            <w:r w:rsidRPr="00CB2EC4">
              <w:rPr>
                <w:rFonts w:ascii="Times New Roman" w:hAnsi="Times New Roman" w:cs="Times New Roman"/>
              </w:rPr>
              <w:lastRenderedPageBreak/>
              <w:t>gy/10 fractions) is used for symptom relief (document excerpt 15).</w:t>
            </w:r>
            <w:r w:rsidRPr="00CB2EC4">
              <w:rPr>
                <w:rFonts w:ascii="Times New Roman" w:hAnsi="Times New Roman" w:cs="Times New Roman"/>
              </w:rPr>
              <w:br/>
              <w:t xml:space="preserve">  - supportive care: for patients unsuitable for active treatment, best supportive care, palliative care, or hospice care is recommended, including pain management and emotional support (document excerpts 9 and 15).</w:t>
            </w:r>
            <w:r w:rsidRPr="00CB2EC4">
              <w:rPr>
                <w:rFonts w:ascii="Times New Roman" w:hAnsi="Times New Roman" w:cs="Times New Roman"/>
              </w:rPr>
              <w:br/>
            </w:r>
            <w:r w:rsidRPr="00CB2EC4">
              <w:rPr>
                <w:rFonts w:ascii="Times New Roman" w:hAnsi="Times New Roman" w:cs="Times New Roman"/>
              </w:rPr>
              <w:br/>
              <w:t>- site-specific treatments for different metastatic sites:</w:t>
            </w:r>
            <w:r w:rsidRPr="00CB2EC4">
              <w:rPr>
                <w:rFonts w:ascii="Times New Roman" w:hAnsi="Times New Roman" w:cs="Times New Roman"/>
              </w:rPr>
              <w:br/>
              <w:t xml:space="preserve">  - lymph node metastasis (e.g., para-aortic or supraclavicular lymph nodes): radiotherapy combined with concurrent chemotherapy (e.g., cisplatin) is recommended. document excerpt 15 states that for para-aortic lymph node involvement, extended-field radiotherapy (efrt) combined with concurrent chemotherapy can improve survival rates (5-year survival rate approximately 69%).</w:t>
            </w:r>
            <w:r w:rsidRPr="00CB2EC4">
              <w:rPr>
                <w:rFonts w:ascii="Times New Roman" w:hAnsi="Times New Roman" w:cs="Times New Roman"/>
              </w:rPr>
              <w:br/>
              <w:t xml:space="preserve">  - lung or liver metastasis: isolated metastatic lesions may be treated with local radiotherapy or ablation therapy; multiple lesions are managed primarily with systemic therapy (document excerpt 9).</w:t>
            </w:r>
            <w:r w:rsidRPr="00CB2EC4">
              <w:rPr>
                <w:rFonts w:ascii="Times New Roman" w:hAnsi="Times New Roman" w:cs="Times New Roman"/>
              </w:rPr>
              <w:br/>
              <w:t xml:space="preserve">  - bone metastasis: palliative radiotherapy is used for symptom relief, with a dose of 20-30 gy in 5-10 fractions (document excerpt 15).</w:t>
            </w:r>
            <w:r w:rsidRPr="00CB2EC4">
              <w:rPr>
                <w:rFonts w:ascii="Times New Roman" w:hAnsi="Times New Roman" w:cs="Times New Roman"/>
              </w:rPr>
              <w:br/>
              <w:t xml:space="preserve">  - brain metastasis: short-course radiotherapy (e.g., 20 gy/5 fractions) is recommended, combined with systemic therapy if necessary (document excerpt 15).</w:t>
            </w:r>
            <w:r w:rsidRPr="00CB2EC4">
              <w:rPr>
                <w:rFonts w:ascii="Times New Roman" w:hAnsi="Times New Roman" w:cs="Times New Roman"/>
              </w:rPr>
              <w:br/>
            </w:r>
            <w:r w:rsidRPr="00CB2EC4">
              <w:rPr>
                <w:rFonts w:ascii="Times New Roman" w:hAnsi="Times New Roman" w:cs="Times New Roman"/>
              </w:rPr>
              <w:br/>
              <w:t>in summary, treatment for metastatic cervical cancer requires individualization based on metastatic site, patient tolerance, and resource availability. systemic therapy forms the foundation, local therapy is used for oligometastases, and site-specific radiotherapy strategies are applied for different sites.</w:t>
            </w:r>
          </w:p>
        </w:tc>
        <w:tc>
          <w:tcPr>
            <w:tcW w:w="1152" w:type="dxa"/>
            <w:vAlign w:val="center"/>
          </w:tcPr>
          <w:p w14:paraId="5BD6A0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EACC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1A977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226690" w14:textId="77777777">
        <w:tc>
          <w:tcPr>
            <w:tcW w:w="2160" w:type="dxa"/>
            <w:vAlign w:val="center"/>
          </w:tcPr>
          <w:p w14:paraId="27574EC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5B75347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treatment strategies for metastatic cervical cancer:  </w:t>
            </w:r>
            <w:r w:rsidRPr="00CB2EC4">
              <w:rPr>
                <w:rFonts w:ascii="Times New Roman" w:hAnsi="Times New Roman" w:cs="Times New Roman"/>
              </w:rPr>
              <w:br/>
              <w:t xml:space="preserve">  - systemic therapy as primary approach: platinum-based chemotherapy (single-agent or dual-agent regimens such as cisplatin + paclitaxel, cisplatin + topotecan; carboplatin + paclitaxel is also applicable) (document fragments 7, 9).  </w:t>
            </w:r>
            <w:r w:rsidRPr="00CB2EC4">
              <w:rPr>
                <w:rFonts w:ascii="Times New Roman" w:hAnsi="Times New Roman" w:cs="Times New Roman"/>
              </w:rPr>
              <w:br/>
              <w:t xml:space="preserve">  - individualized radiotherapy: palliative radiotherapy for local metastatic lesions (e.g., bone metastases, lymph node metastases) to relieve symptoms (document fragments 7, 9).  </w:t>
            </w:r>
            <w:r w:rsidRPr="00CB2EC4">
              <w:rPr>
                <w:rFonts w:ascii="Times New Roman" w:hAnsi="Times New Roman" w:cs="Times New Roman"/>
              </w:rPr>
              <w:br/>
              <w:t xml:space="preserve">  - supportive care: nutritional support, pain management, and palliative care (document fragments 3, 7).  </w:t>
            </w:r>
            <w:r w:rsidRPr="00CB2EC4">
              <w:rPr>
                <w:rFonts w:ascii="Times New Roman" w:hAnsi="Times New Roman" w:cs="Times New Roman"/>
              </w:rPr>
              <w:br/>
              <w:t xml:space="preserve">- site-specific treatments for different metastatic locations:  </w:t>
            </w:r>
            <w:r w:rsidRPr="00CB2EC4">
              <w:rPr>
                <w:rFonts w:ascii="Times New Roman" w:hAnsi="Times New Roman" w:cs="Times New Roman"/>
              </w:rPr>
              <w:br/>
              <w:t xml:space="preserve">  - bone metastases: short-course radiotherapy (e.g., 20 Gy/5 fractions or 30 Gy/10 fractions) for pain relief (document fragment 7).  </w:t>
            </w:r>
            <w:r w:rsidRPr="00CB2EC4">
              <w:rPr>
                <w:rFonts w:ascii="Times New Roman" w:hAnsi="Times New Roman" w:cs="Times New Roman"/>
              </w:rPr>
              <w:br/>
              <w:t xml:space="preserve">  - para-aortic/ supraclavicular lymph node metastases: extended-field radiotherapy (EFRT) combined with concurrent chemotherapy (document fragment 7).  </w:t>
            </w:r>
            <w:r w:rsidRPr="00CB2EC4">
              <w:rPr>
                <w:rFonts w:ascii="Times New Roman" w:hAnsi="Times New Roman" w:cs="Times New Roman"/>
              </w:rPr>
              <w:br/>
              <w:t xml:space="preserve">  - brain metastases: hypofractionated palliative radiotherapy (document fragment 7).  </w:t>
            </w:r>
            <w:r w:rsidRPr="00CB2EC4">
              <w:rPr>
                <w:rFonts w:ascii="Times New Roman" w:hAnsi="Times New Roman" w:cs="Times New Roman"/>
              </w:rPr>
              <w:br/>
              <w:t xml:space="preserve">  - central pelvic recurrence: pelvic exenteration may be considered after evaluation (document fragments 3, 7).  </w:t>
            </w:r>
            <w:r w:rsidRPr="00CB2EC4">
              <w:rPr>
                <w:rFonts w:ascii="Times New Roman" w:hAnsi="Times New Roman" w:cs="Times New Roman"/>
              </w:rPr>
              <w:br/>
              <w:t>&gt; note: for distant metastases (e.g., lung, liver), systemic chemotherapy is the mainstay; local radiotherapy is used only for symptom palliation.</w:t>
            </w:r>
          </w:p>
        </w:tc>
        <w:tc>
          <w:tcPr>
            <w:tcW w:w="1152" w:type="dxa"/>
            <w:vAlign w:val="center"/>
          </w:tcPr>
          <w:p w14:paraId="3A6A27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67E5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E3D9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F458B0" w14:textId="77777777">
        <w:tc>
          <w:tcPr>
            <w:tcW w:w="2160" w:type="dxa"/>
            <w:vAlign w:val="center"/>
          </w:tcPr>
          <w:p w14:paraId="77C57C4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E3E7594" w14:textId="77777777" w:rsidR="00922249" w:rsidRPr="00CB2EC4" w:rsidRDefault="003011D5">
            <w:pPr>
              <w:rPr>
                <w:rFonts w:ascii="Times New Roman" w:hAnsi="Times New Roman" w:cs="Times New Roman"/>
              </w:rPr>
            </w:pPr>
            <w:r w:rsidRPr="00CB2EC4">
              <w:rPr>
                <w:rFonts w:ascii="Times New Roman" w:hAnsi="Times New Roman" w:cs="Times New Roman"/>
              </w:rPr>
              <w:t>treatment strategies for metastatic cervical cancer include:</w:t>
            </w:r>
            <w:r w:rsidRPr="00CB2EC4">
              <w:rPr>
                <w:rFonts w:ascii="Times New Roman" w:hAnsi="Times New Roman" w:cs="Times New Roman"/>
              </w:rPr>
              <w:br/>
            </w:r>
            <w:r w:rsidRPr="00CB2EC4">
              <w:rPr>
                <w:rFonts w:ascii="Times New Roman" w:hAnsi="Times New Roman" w:cs="Times New Roman"/>
              </w:rPr>
              <w:br/>
              <w:t>- **Overall treatment strategies:**</w:t>
            </w:r>
            <w:r w:rsidRPr="00CB2EC4">
              <w:rPr>
                <w:rFonts w:ascii="Times New Roman" w:hAnsi="Times New Roman" w:cs="Times New Roman"/>
              </w:rPr>
              <w:br/>
              <w:t xml:space="preserve">  - For patients with isolated distant metastases </w:t>
            </w:r>
            <w:r w:rsidRPr="00CB2EC4">
              <w:rPr>
                <w:rFonts w:ascii="Times New Roman" w:hAnsi="Times New Roman" w:cs="Times New Roman"/>
              </w:rPr>
              <w:lastRenderedPageBreak/>
              <w:t>amenable to local therapy (e.g., oligometastatic disease in lymph nodes, lung, liver, or bone): recommend local treatment approaches such as surgical resection ± external beam radiotherapy (EBRT) or individualized EBRT ± brachytherapy, combined with systemic therapy (chemotherapy). For example: "For highly selected patients with isolated distant metastases suitable for local treatment, local radiotherapy or ablative therapy may improve survival" ([Document Fragment 1]).</w:t>
            </w:r>
            <w:r w:rsidRPr="00CB2EC4">
              <w:rPr>
                <w:rFonts w:ascii="Times New Roman" w:hAnsi="Times New Roman" w:cs="Times New Roman"/>
              </w:rPr>
              <w:br/>
              <w:t xml:space="preserve">  - For distant metastases not suitable for local treatment: systemic therapy (chemotherapy) is the mainstay, supplemented by nutritional support and palliative care. Systemic regimens include cisplatin monotherapy or cisplatin-based doublet chemotherapy (e.g., cisplatin + paclitaxel, carboplatin + paclitaxel, cisplatin + topotecan, cisplatin + fluorouracil, cisplatin + gemcitabine, or cisplatin + vinorelbine), as detailed in [Document Fragment 4]: "Cisplatin remains the standard chemotherapy drug for patients with distant metastases... Cisplatin can be combined with paclitaxel, topotecan, fluorouracil, gemcitabine, or vinorelbine."</w:t>
            </w:r>
            <w:r w:rsidRPr="00CB2EC4">
              <w:rPr>
                <w:rFonts w:ascii="Times New Roman" w:hAnsi="Times New Roman" w:cs="Times New Roman"/>
              </w:rPr>
              <w:br/>
              <w:t xml:space="preserve">  - For patients who fail first-line systemic therapy: prognosis is poor; options include second-line systemic therapy, clinical trial participation, or best supportive care (see annotation in [Document Fragment 1]).</w:t>
            </w:r>
            <w:r w:rsidRPr="00CB2EC4">
              <w:rPr>
                <w:rFonts w:ascii="Times New Roman" w:hAnsi="Times New Roman" w:cs="Times New Roman"/>
              </w:rPr>
              <w:br/>
            </w:r>
            <w:r w:rsidRPr="00CB2EC4">
              <w:rPr>
                <w:rFonts w:ascii="Times New Roman" w:hAnsi="Times New Roman" w:cs="Times New Roman"/>
              </w:rPr>
              <w:br/>
              <w:t>- **Site-specific treatments for different metastatic locations:**</w:t>
            </w:r>
            <w:r w:rsidRPr="00CB2EC4">
              <w:rPr>
                <w:rFonts w:ascii="Times New Roman" w:hAnsi="Times New Roman" w:cs="Times New Roman"/>
              </w:rPr>
              <w:br/>
              <w:t xml:space="preserve">  - Lymph node metastases: may benefit from local EBRT or concurrent chemoradiation. For example: "In patients with positive para-aortic and </w:t>
            </w:r>
            <w:r w:rsidRPr="00CB2EC4">
              <w:rPr>
                <w:rFonts w:ascii="Times New Roman" w:hAnsi="Times New Roman" w:cs="Times New Roman"/>
              </w:rPr>
              <w:lastRenderedPageBreak/>
              <w:t>supraclavicular lymph nodes, concurrent chemoradiation may yield better response than systemic chemotherapy alone" ([Document Fragment 4]).</w:t>
            </w:r>
            <w:r w:rsidRPr="00CB2EC4">
              <w:rPr>
                <w:rFonts w:ascii="Times New Roman" w:hAnsi="Times New Roman" w:cs="Times New Roman"/>
              </w:rPr>
              <w:br/>
              <w:t xml:space="preserve">  - Bone metastases: palliative radiotherapy is recommended to relieve pain and control symptoms ([Document Fragment 6]: "The role of radiotherapy in recurrent cervical cancer... symptom relief... commonly used for pain management in bone metastases").</w:t>
            </w:r>
            <w:r w:rsidRPr="00CB2EC4">
              <w:rPr>
                <w:rFonts w:ascii="Times New Roman" w:hAnsi="Times New Roman" w:cs="Times New Roman"/>
              </w:rPr>
              <w:br/>
              <w:t xml:space="preserve">  - Lung or liver metastases: if oligometastatic (isolated), consider local surgery or radiotherapy; otherwise, systemic therapy is primary ([Document Fragment 1]).</w:t>
            </w:r>
            <w:r w:rsidRPr="00CB2EC4">
              <w:rPr>
                <w:rFonts w:ascii="Times New Roman" w:hAnsi="Times New Roman" w:cs="Times New Roman"/>
              </w:rPr>
              <w:br/>
              <w:t xml:space="preserve">  - Brain metastases: no specific treatment protocols identified in the knowledge base; general recommendation is palliative radiotherapy or supportive care (based on overview of distant metastases in [Document Fragment 21]).</w:t>
            </w:r>
            <w:r w:rsidRPr="00CB2EC4">
              <w:rPr>
                <w:rFonts w:ascii="Times New Roman" w:hAnsi="Times New Roman" w:cs="Times New Roman"/>
              </w:rPr>
              <w:br/>
            </w:r>
            <w:r w:rsidRPr="00CB2EC4">
              <w:rPr>
                <w:rFonts w:ascii="Times New Roman" w:hAnsi="Times New Roman" w:cs="Times New Roman"/>
              </w:rPr>
              <w:br/>
              <w:t>- **Key points:** Metastatic cervical cancer is rarely curable; treatment goals focus on improving quality of life and prolonging survival. Responses to systemic therapy are typically short-lived, with limited survival benefit (annotation in [Document Fragment 1]).</w:t>
            </w:r>
          </w:p>
        </w:tc>
        <w:tc>
          <w:tcPr>
            <w:tcW w:w="1152" w:type="dxa"/>
            <w:vAlign w:val="center"/>
          </w:tcPr>
          <w:p w14:paraId="6D31A6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C4C0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26EA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9BFEF58" w14:textId="77777777">
        <w:tc>
          <w:tcPr>
            <w:tcW w:w="2160" w:type="dxa"/>
            <w:vAlign w:val="center"/>
          </w:tcPr>
          <w:p w14:paraId="4EFB127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10FFE707" w14:textId="77777777" w:rsidR="00922249" w:rsidRPr="00CB2EC4" w:rsidRDefault="003011D5">
            <w:pPr>
              <w:rPr>
                <w:rFonts w:ascii="Times New Roman" w:hAnsi="Times New Roman" w:cs="Times New Roman"/>
              </w:rPr>
            </w:pPr>
            <w:r w:rsidRPr="00CB2EC4">
              <w:rPr>
                <w:rFonts w:ascii="Times New Roman" w:hAnsi="Times New Roman" w:cs="Times New Roman"/>
              </w:rPr>
              <w:t>the treatment strategies for metastatic cervical cancer include:</w:t>
            </w:r>
            <w:r w:rsidRPr="00CB2EC4">
              <w:rPr>
                <w:rFonts w:ascii="Times New Roman" w:hAnsi="Times New Roman" w:cs="Times New Roman"/>
              </w:rPr>
              <w:br/>
            </w:r>
            <w:r w:rsidRPr="00CB2EC4">
              <w:rPr>
                <w:rFonts w:ascii="Times New Roman" w:hAnsi="Times New Roman" w:cs="Times New Roman"/>
              </w:rPr>
              <w:br/>
              <w:t>- **Systemic therapy**: First-line chemotherapy, typically platinum-based regimens (e.g., cisplatin monotherapy or in combination with paclitaxel, topotecan). For patients with good performance status, palliative chemotherapy or enrollment in clinical trials is recommended (evidence: "for patients with extra-</w:t>
            </w:r>
            <w:r w:rsidRPr="00CB2EC4">
              <w:rPr>
                <w:rFonts w:ascii="Times New Roman" w:hAnsi="Times New Roman" w:cs="Times New Roman"/>
              </w:rPr>
              <w:lastRenderedPageBreak/>
              <w:t>pelvic recurrence or metastasis, radiotherapy or exenteration is not appropriate; chemotherapy or best supportive care is recommended").</w:t>
            </w:r>
            <w:r w:rsidRPr="00CB2EC4">
              <w:rPr>
                <w:rFonts w:ascii="Times New Roman" w:hAnsi="Times New Roman" w:cs="Times New Roman"/>
              </w:rPr>
              <w:br/>
            </w:r>
            <w:r w:rsidRPr="00CB2EC4">
              <w:rPr>
                <w:rFonts w:ascii="Times New Roman" w:hAnsi="Times New Roman" w:cs="Times New Roman"/>
              </w:rPr>
              <w:br/>
              <w:t>- **Radiotherapy**: Used for symptom relief or local disease control, such as palliative radiotherapy for bone metastasis pain. For isolated metastatic lesions (e.g., lymph nodes, lung, liver, or bone), stereotactic body radiotherapy (SBRT) or individualized external beam radiotherapy (EBRT) may be considered to improve survival ("for highly selected patients with isolated distant metastases amenable to local treatment, radiotherapy or ablative therapy may improve survival").</w:t>
            </w:r>
            <w:r w:rsidRPr="00CB2EC4">
              <w:rPr>
                <w:rFonts w:ascii="Times New Roman" w:hAnsi="Times New Roman" w:cs="Times New Roman"/>
              </w:rPr>
              <w:br/>
            </w:r>
            <w:r w:rsidRPr="00CB2EC4">
              <w:rPr>
                <w:rFonts w:ascii="Times New Roman" w:hAnsi="Times New Roman" w:cs="Times New Roman"/>
              </w:rPr>
              <w:br/>
              <w:t>- **Supportive care**: Includes nutritional support, pain management, and palliative care, especially for refractory cases.</w:t>
            </w:r>
            <w:r w:rsidRPr="00CB2EC4">
              <w:rPr>
                <w:rFonts w:ascii="Times New Roman" w:hAnsi="Times New Roman" w:cs="Times New Roman"/>
              </w:rPr>
              <w:br/>
            </w:r>
            <w:r w:rsidRPr="00CB2EC4">
              <w:rPr>
                <w:rFonts w:ascii="Times New Roman" w:hAnsi="Times New Roman" w:cs="Times New Roman"/>
              </w:rPr>
              <w:br/>
              <w:t>**Site-specific treatments for different metastatic locations**:</w:t>
            </w:r>
            <w:r w:rsidRPr="00CB2EC4">
              <w:rPr>
                <w:rFonts w:ascii="Times New Roman" w:hAnsi="Times New Roman" w:cs="Times New Roman"/>
              </w:rPr>
              <w:br/>
            </w:r>
            <w:r w:rsidRPr="00CB2EC4">
              <w:rPr>
                <w:rFonts w:ascii="Times New Roman" w:hAnsi="Times New Roman" w:cs="Times New Roman"/>
              </w:rPr>
              <w:br/>
              <w:t>- **Lymph node metastases** (e.g., para-aortic or supraclavicular): Extended-field radiotherapy (EFRT) combined with concurrent chemotherapy is recommended.</w:t>
            </w:r>
            <w:r w:rsidRPr="00CB2EC4">
              <w:rPr>
                <w:rFonts w:ascii="Times New Roman" w:hAnsi="Times New Roman" w:cs="Times New Roman"/>
              </w:rPr>
              <w:br/>
            </w:r>
            <w:r w:rsidRPr="00CB2EC4">
              <w:rPr>
                <w:rFonts w:ascii="Times New Roman" w:hAnsi="Times New Roman" w:cs="Times New Roman"/>
              </w:rPr>
              <w:br/>
              <w:t>- **Oligometastases in lung, liver, or bone**: Local radiotherapy or surgical resection may be considered, combined with systemic therapy.</w:t>
            </w:r>
            <w:r w:rsidRPr="00CB2EC4">
              <w:rPr>
                <w:rFonts w:ascii="Times New Roman" w:hAnsi="Times New Roman" w:cs="Times New Roman"/>
              </w:rPr>
              <w:br/>
            </w:r>
            <w:r w:rsidRPr="00CB2EC4">
              <w:rPr>
                <w:rFonts w:ascii="Times New Roman" w:hAnsi="Times New Roman" w:cs="Times New Roman"/>
              </w:rPr>
              <w:br/>
              <w:t xml:space="preserve">- **Central recurrence (e.g., pelvic recurrence)**: If no prior radiotherapy, surgery (e.g., pelvic exenteration) or radiotherapy may be considered; if </w:t>
            </w:r>
            <w:r w:rsidRPr="00CB2EC4">
              <w:rPr>
                <w:rFonts w:ascii="Times New Roman" w:hAnsi="Times New Roman" w:cs="Times New Roman"/>
              </w:rPr>
              <w:lastRenderedPageBreak/>
              <w:t>recurrence occurs within a previous radiotherapy field, systemic therapy is the mainstay.</w:t>
            </w:r>
            <w:r w:rsidRPr="00CB2EC4">
              <w:rPr>
                <w:rFonts w:ascii="Times New Roman" w:hAnsi="Times New Roman" w:cs="Times New Roman"/>
              </w:rPr>
              <w:br/>
            </w:r>
            <w:r w:rsidRPr="00CB2EC4">
              <w:rPr>
                <w:rFonts w:ascii="Times New Roman" w:hAnsi="Times New Roman" w:cs="Times New Roman"/>
              </w:rPr>
              <w:br/>
              <w:t>**Summary**: Treatment strategy depends on metastatic site, extent, and prior therapy. Systemic therapy is the foundation; local therapy is used for oligometastatic disease to prolong survival.</w:t>
            </w:r>
          </w:p>
        </w:tc>
        <w:tc>
          <w:tcPr>
            <w:tcW w:w="1152" w:type="dxa"/>
            <w:vAlign w:val="center"/>
          </w:tcPr>
          <w:p w14:paraId="444EA6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862B7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2F5A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8DB3E7" w14:textId="77777777">
        <w:tc>
          <w:tcPr>
            <w:tcW w:w="2160" w:type="dxa"/>
            <w:vAlign w:val="center"/>
          </w:tcPr>
          <w:p w14:paraId="734DD41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0BCF51E0" w14:textId="77777777" w:rsidR="00922249" w:rsidRPr="00CB2EC4" w:rsidRDefault="003011D5">
            <w:pPr>
              <w:rPr>
                <w:rFonts w:ascii="Times New Roman" w:hAnsi="Times New Roman" w:cs="Times New Roman"/>
              </w:rPr>
            </w:pPr>
            <w:r w:rsidRPr="00CB2EC4">
              <w:rPr>
                <w:rFonts w:ascii="Times New Roman" w:hAnsi="Times New Roman" w:cs="Times New Roman"/>
              </w:rPr>
              <w:t>treatment strategies for metastatic cervical cancer include:</w:t>
            </w:r>
            <w:r w:rsidRPr="00CB2EC4">
              <w:rPr>
                <w:rFonts w:ascii="Times New Roman" w:hAnsi="Times New Roman" w:cs="Times New Roman"/>
              </w:rPr>
              <w:br/>
            </w:r>
            <w:r w:rsidRPr="00CB2EC4">
              <w:rPr>
                <w:rFonts w:ascii="Times New Roman" w:hAnsi="Times New Roman" w:cs="Times New Roman"/>
              </w:rPr>
              <w:br/>
              <w:t>- **systemic therapy**: platinum-based chemotherapy (e.g., cisplatin monotherapy or in combination with paclitaxel, topotecan) is preferred; targeted therapy (e.g., bevacizumab) and immune checkpoint inhibitors (e.g., PD-1/PD-L1 inhibitors) are also used. for patients with poor performance status, palliative chemotherapy or supportive care may be adopted.</w:t>
            </w:r>
            <w:r w:rsidRPr="00CB2EC4">
              <w:rPr>
                <w:rFonts w:ascii="Times New Roman" w:hAnsi="Times New Roman" w:cs="Times New Roman"/>
              </w:rPr>
              <w:br/>
              <w:t>- **local therapy**: considered for oligometastatic disease (e.g., isolated lymph node, lung, liver, or bone metastases), including surgical resection, radiotherapy (e.g., stereotactic body radiotherapy [SBRT]), or ablation to improve survival.</w:t>
            </w:r>
            <w:r w:rsidRPr="00CB2EC4">
              <w:rPr>
                <w:rFonts w:ascii="Times New Roman" w:hAnsi="Times New Roman" w:cs="Times New Roman"/>
              </w:rPr>
              <w:br/>
              <w:t>- **immunotherapy**: indicated for PD-L1 positive, MSI-H, or TMB-H patients.</w:t>
            </w:r>
            <w:r w:rsidRPr="00CB2EC4">
              <w:rPr>
                <w:rFonts w:ascii="Times New Roman" w:hAnsi="Times New Roman" w:cs="Times New Roman"/>
              </w:rPr>
              <w:br/>
            </w:r>
            <w:r w:rsidRPr="00CB2EC4">
              <w:rPr>
                <w:rFonts w:ascii="Times New Roman" w:hAnsi="Times New Roman" w:cs="Times New Roman"/>
              </w:rPr>
              <w:br/>
              <w:t>site-specific treatments for different metastatic locations:</w:t>
            </w:r>
            <w:r w:rsidRPr="00CB2EC4">
              <w:rPr>
                <w:rFonts w:ascii="Times New Roman" w:hAnsi="Times New Roman" w:cs="Times New Roman"/>
              </w:rPr>
              <w:br/>
            </w:r>
            <w:r w:rsidRPr="00CB2EC4">
              <w:rPr>
                <w:rFonts w:ascii="Times New Roman" w:hAnsi="Times New Roman" w:cs="Times New Roman"/>
              </w:rPr>
              <w:br/>
              <w:t>- **lymph node metastasis**: extended-field radiotherapy (EBRT) combined with concurrent chemotherapy (document 3, 11).</w:t>
            </w:r>
            <w:r w:rsidRPr="00CB2EC4">
              <w:rPr>
                <w:rFonts w:ascii="Times New Roman" w:hAnsi="Times New Roman" w:cs="Times New Roman"/>
              </w:rPr>
              <w:br/>
              <w:t>- **bone metastasis**: palliative radiotherapy (e.g., 30 Gy/2–3 weeks) for pain relief (document 19).</w:t>
            </w:r>
            <w:r w:rsidRPr="00CB2EC4">
              <w:rPr>
                <w:rFonts w:ascii="Times New Roman" w:hAnsi="Times New Roman" w:cs="Times New Roman"/>
              </w:rPr>
              <w:br/>
            </w:r>
            <w:r w:rsidRPr="00CB2EC4">
              <w:rPr>
                <w:rFonts w:ascii="Times New Roman" w:hAnsi="Times New Roman" w:cs="Times New Roman"/>
              </w:rPr>
              <w:lastRenderedPageBreak/>
              <w:t>- **brain metastasis**: radiotherapy after imaging localization, with dose adjusted based on condition (document 13).</w:t>
            </w:r>
            <w:r w:rsidRPr="00CB2EC4">
              <w:rPr>
                <w:rFonts w:ascii="Times New Roman" w:hAnsi="Times New Roman" w:cs="Times New Roman"/>
              </w:rPr>
              <w:br/>
              <w:t>- **lung/liver oligometastasis**: local ablation or surgical resection combined with systemic therapy (document 4).</w:t>
            </w:r>
            <w:r w:rsidRPr="00CB2EC4">
              <w:rPr>
                <w:rFonts w:ascii="Times New Roman" w:hAnsi="Times New Roman" w:cs="Times New Roman"/>
              </w:rPr>
              <w:br/>
            </w:r>
            <w:r w:rsidRPr="00CB2EC4">
              <w:rPr>
                <w:rFonts w:ascii="Times New Roman" w:hAnsi="Times New Roman" w:cs="Times New Roman"/>
              </w:rPr>
              <w:br/>
              <w:t>evidence basis: document 4 notes "oligometastatic disease may benefit from local therapy"; documents 11 and 26 describe chemotherapy regimens; document 19 emphasizes site-specific radiotherapy.</w:t>
            </w:r>
          </w:p>
        </w:tc>
        <w:tc>
          <w:tcPr>
            <w:tcW w:w="1152" w:type="dxa"/>
            <w:vAlign w:val="center"/>
          </w:tcPr>
          <w:p w14:paraId="2B84C3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F42AB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C819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D8544F" w14:textId="77777777">
        <w:tc>
          <w:tcPr>
            <w:tcW w:w="2160" w:type="dxa"/>
            <w:vAlign w:val="center"/>
          </w:tcPr>
          <w:p w14:paraId="253B6549"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2A9561E" w14:textId="77777777" w:rsidR="00922249" w:rsidRPr="00CB2EC4" w:rsidRDefault="003011D5">
            <w:pPr>
              <w:rPr>
                <w:rFonts w:ascii="Times New Roman" w:hAnsi="Times New Roman" w:cs="Times New Roman"/>
              </w:rPr>
            </w:pPr>
            <w:r w:rsidRPr="00CB2EC4">
              <w:rPr>
                <w:rFonts w:ascii="Times New Roman" w:hAnsi="Times New Roman" w:cs="Times New Roman"/>
              </w:rPr>
              <w:t>treatment strategies for metastatic cervical cancer (figo ivb stage) include:</w:t>
            </w:r>
            <w:r w:rsidRPr="00CB2EC4">
              <w:rPr>
                <w:rFonts w:ascii="Times New Roman" w:hAnsi="Times New Roman" w:cs="Times New Roman"/>
              </w:rPr>
              <w:br/>
            </w:r>
            <w:r w:rsidRPr="00CB2EC4">
              <w:rPr>
                <w:rFonts w:ascii="Times New Roman" w:hAnsi="Times New Roman" w:cs="Times New Roman"/>
              </w:rPr>
              <w:br/>
              <w:t>- **systemic therapy**: primary approach. standard regimen is platinum-based doublet chemotherapy, e.g., cisplatin + paclitaxel, topotecan, fluorouracil, gemcitabine, or vinorelbine; carboplatin + paclitaxel is an alternative. for patients with good performance status (ecog 0–2), palliative chemotherapy or clinical trial participation is recommended. targeted therapy such as bevacizumab can be used for recurrent/metastatic cervical cancer, improving overall survival (17.0 vs. 13.3 months) but with increased risks of hypertension, thrombosis, etc.</w:t>
            </w:r>
            <w:r w:rsidRPr="00CB2EC4">
              <w:rPr>
                <w:rFonts w:ascii="Times New Roman" w:hAnsi="Times New Roman" w:cs="Times New Roman"/>
              </w:rPr>
              <w:br/>
            </w:r>
            <w:r w:rsidRPr="00CB2EC4">
              <w:rPr>
                <w:rFonts w:ascii="Times New Roman" w:hAnsi="Times New Roman" w:cs="Times New Roman"/>
              </w:rPr>
              <w:br/>
              <w:t>- **radiotherapy**: used for palliative symptom relief. for specific metastatic sites (e.g., para-aortic lymph nodes, supraclavicular lymph nodes, bone, or brain metastases causing pain), hypofractionated palliative radiotherapy is recommended (e.g., 20 gy in 5 fractions or 30 gy in 10 fractions). if metastatic lesions are limited, stereotactic body radiotherapy (sbrt) may be considered.</w:t>
            </w:r>
            <w:r w:rsidRPr="00CB2EC4">
              <w:rPr>
                <w:rFonts w:ascii="Times New Roman" w:hAnsi="Times New Roman" w:cs="Times New Roman"/>
              </w:rPr>
              <w:br/>
            </w:r>
            <w:r w:rsidRPr="00CB2EC4">
              <w:rPr>
                <w:rFonts w:ascii="Times New Roman" w:hAnsi="Times New Roman" w:cs="Times New Roman"/>
              </w:rPr>
              <w:lastRenderedPageBreak/>
              <w:br/>
              <w:t>- **combined modality therapy**: systemic therapy may be combined with local radiotherapy or concurrent chemoradiation, especially when metastatic lesions cause local symptoms.</w:t>
            </w:r>
            <w:r w:rsidRPr="00CB2EC4">
              <w:rPr>
                <w:rFonts w:ascii="Times New Roman" w:hAnsi="Times New Roman" w:cs="Times New Roman"/>
              </w:rPr>
              <w:br/>
            </w:r>
            <w:r w:rsidRPr="00CB2EC4">
              <w:rPr>
                <w:rFonts w:ascii="Times New Roman" w:hAnsi="Times New Roman" w:cs="Times New Roman"/>
              </w:rPr>
              <w:br/>
              <w:t>site-specific palliative treatments:</w:t>
            </w:r>
            <w:r w:rsidRPr="00CB2EC4">
              <w:rPr>
                <w:rFonts w:ascii="Times New Roman" w:hAnsi="Times New Roman" w:cs="Times New Roman"/>
              </w:rPr>
              <w:br/>
              <w:t>- lymph node metastases (e.g., para-aortic, supraclavicular): concurrent chemoradiation may be more effective than systemic chemotherapy alone.</w:t>
            </w:r>
            <w:r w:rsidRPr="00CB2EC4">
              <w:rPr>
                <w:rFonts w:ascii="Times New Roman" w:hAnsi="Times New Roman" w:cs="Times New Roman"/>
              </w:rPr>
              <w:br/>
              <w:t>- bone metastases or brain metastases: hypofractionated radiotherapy (e.g., single-fraction or short-course) is used for rapid symptom/pain control.</w:t>
            </w:r>
            <w:r w:rsidRPr="00CB2EC4">
              <w:rPr>
                <w:rFonts w:ascii="Times New Roman" w:hAnsi="Times New Roman" w:cs="Times New Roman"/>
              </w:rPr>
              <w:br/>
              <w:t>- no specific strategies described for lung or liver metastases in the provided context.</w:t>
            </w:r>
            <w:r w:rsidRPr="00CB2EC4">
              <w:rPr>
                <w:rFonts w:ascii="Times New Roman" w:hAnsi="Times New Roman" w:cs="Times New Roman"/>
              </w:rPr>
              <w:br/>
            </w:r>
            <w:r w:rsidRPr="00CB2EC4">
              <w:rPr>
                <w:rFonts w:ascii="Times New Roman" w:hAnsi="Times New Roman" w:cs="Times New Roman"/>
              </w:rPr>
              <w:br/>
              <w:t>summary: systemic therapy is the cornerstone; radiotherapy focuses on symptom palliation. site-specific approaches emphasize palliative radiotherapy for lymph nodes, bone, and brain, but comprehensive tailored regimens are not detailed.</w:t>
            </w:r>
          </w:p>
        </w:tc>
        <w:tc>
          <w:tcPr>
            <w:tcW w:w="1152" w:type="dxa"/>
            <w:vAlign w:val="center"/>
          </w:tcPr>
          <w:p w14:paraId="6559AA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E9C0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8BAF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8C5151" w14:textId="77777777">
        <w:tc>
          <w:tcPr>
            <w:tcW w:w="2160" w:type="dxa"/>
            <w:vAlign w:val="center"/>
          </w:tcPr>
          <w:p w14:paraId="242724E1"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CBE9ED6" w14:textId="77777777" w:rsidR="00922249" w:rsidRPr="00CB2EC4" w:rsidRDefault="003011D5">
            <w:pPr>
              <w:rPr>
                <w:rFonts w:ascii="Times New Roman" w:hAnsi="Times New Roman" w:cs="Times New Roman"/>
              </w:rPr>
            </w:pPr>
            <w:r w:rsidRPr="00CB2EC4">
              <w:rPr>
                <w:rFonts w:ascii="Times New Roman" w:hAnsi="Times New Roman" w:cs="Times New Roman"/>
              </w:rPr>
              <w:t>the treatment strategies for metastatic cervical cancer primarily include systemic therapies such as chemotherapy (e.g., cisplatin plus paclitaxel), targeted therapy (e.g., bevacizumab), and immunotherapy (e.g., pembrolizumab). Site-specific treatments exist for different metastatic locations: pulmonary metastases may be treated with local radiotherapy or surgical resection; bone metastases are managed with bisphosphonates combined with radiotherapy; hepatic metastases may be addressed with embolization or ablation therapy. Treatment selection must be based on comprehensive assessment of the patient’s overall condition and metastatic lesions.</w:t>
            </w:r>
          </w:p>
        </w:tc>
        <w:tc>
          <w:tcPr>
            <w:tcW w:w="1152" w:type="dxa"/>
            <w:vAlign w:val="center"/>
          </w:tcPr>
          <w:p w14:paraId="07E03C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6D97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769E5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91E5CD" w14:textId="77777777">
        <w:tc>
          <w:tcPr>
            <w:tcW w:w="10656" w:type="dxa"/>
            <w:gridSpan w:val="5"/>
            <w:tcBorders>
              <w:bottom w:val="single" w:sz="6" w:space="0" w:color="auto"/>
            </w:tcBorders>
            <w:vAlign w:val="center"/>
          </w:tcPr>
          <w:p w14:paraId="56186971" w14:textId="77777777" w:rsidR="00922249" w:rsidRPr="00CB2EC4" w:rsidRDefault="003011D5">
            <w:pPr>
              <w:rPr>
                <w:rFonts w:ascii="Times New Roman" w:hAnsi="Times New Roman" w:cs="Times New Roman"/>
              </w:rPr>
            </w:pPr>
            <w:r w:rsidRPr="00CB2EC4">
              <w:rPr>
                <w:rFonts w:ascii="Times New Roman" w:hAnsi="Times New Roman" w:cs="Times New Roman"/>
                <w:b/>
              </w:rPr>
              <w:lastRenderedPageBreak/>
              <w:t>Question 77: What are the treatment strategies for patients with cervical cancer during pregnancy? How does the treatment differ in early, intermediate, and advanced stages of pregnancy?</w:t>
            </w:r>
          </w:p>
        </w:tc>
      </w:tr>
      <w:tr w:rsidR="00922249" w:rsidRPr="00CB2EC4" w14:paraId="37AB61DB" w14:textId="77777777">
        <w:tc>
          <w:tcPr>
            <w:tcW w:w="2160" w:type="dxa"/>
            <w:vAlign w:val="center"/>
          </w:tcPr>
          <w:p w14:paraId="5529A37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970FCB3" w14:textId="77777777" w:rsidR="00922249" w:rsidRPr="00CB2EC4" w:rsidRDefault="003011D5">
            <w:pPr>
              <w:rPr>
                <w:rFonts w:ascii="Times New Roman" w:hAnsi="Times New Roman" w:cs="Times New Roman"/>
              </w:rPr>
            </w:pPr>
            <w:r w:rsidRPr="00CB2EC4">
              <w:rPr>
                <w:rFonts w:ascii="Times New Roman" w:hAnsi="Times New Roman" w:cs="Times New Roman"/>
              </w:rPr>
              <w:t>the treatment strategies for cervical cancer during pregnancy and the differences across trimesters are as follows:</w:t>
            </w:r>
            <w:r w:rsidRPr="00CB2EC4">
              <w:rPr>
                <w:rFonts w:ascii="Times New Roman" w:hAnsi="Times New Roman" w:cs="Times New Roman"/>
              </w:rPr>
              <w:br/>
            </w:r>
            <w:r w:rsidRPr="00CB2EC4">
              <w:rPr>
                <w:rFonts w:ascii="Times New Roman" w:hAnsi="Times New Roman" w:cs="Times New Roman"/>
              </w:rPr>
              <w:br/>
              <w:t xml:space="preserve">- **Overall strategy**:  </w:t>
            </w:r>
            <w:r w:rsidRPr="00CB2EC4">
              <w:rPr>
                <w:rFonts w:ascii="Times New Roman" w:hAnsi="Times New Roman" w:cs="Times New Roman"/>
              </w:rPr>
              <w:br/>
              <w:t xml:space="preserve">  - Termination of pregnancy is prioritized, followed by cancer treatment. However, if the patient strongly desires to preserve the pregnancy, treatment may be delayed until fetal viability (38 weeks gestation).  </w:t>
            </w:r>
            <w:r w:rsidRPr="00CB2EC4">
              <w:rPr>
                <w:rFonts w:ascii="Times New Roman" w:hAnsi="Times New Roman" w:cs="Times New Roman"/>
              </w:rPr>
              <w:br/>
              <w:t xml:space="preserve">  - Treatment modalities include surgery (radical hysterectomy), radiotherapy, or concurrent chemoradiotherapy, depending on cancer stage (e.g., IB, IIA).  </w:t>
            </w:r>
            <w:r w:rsidRPr="00CB2EC4">
              <w:rPr>
                <w:rFonts w:ascii="Times New Roman" w:hAnsi="Times New Roman" w:cs="Times New Roman"/>
              </w:rPr>
              <w:br/>
            </w:r>
            <w:r w:rsidRPr="00CB2EC4">
              <w:rPr>
                <w:rFonts w:ascii="Times New Roman" w:hAnsi="Times New Roman" w:cs="Times New Roman"/>
              </w:rPr>
              <w:br/>
              <w:t xml:space="preserve">- **Treatment by gestational stage**:  </w:t>
            </w:r>
            <w:r w:rsidRPr="00CB2EC4">
              <w:rPr>
                <w:rFonts w:ascii="Times New Roman" w:hAnsi="Times New Roman" w:cs="Times New Roman"/>
              </w:rPr>
              <w:br/>
              <w:t xml:space="preserve">  - **First trimester (before 20 weeks)**:  </w:t>
            </w:r>
            <w:r w:rsidRPr="00CB2EC4">
              <w:rPr>
                <w:rFonts w:ascii="Times New Roman" w:hAnsi="Times New Roman" w:cs="Times New Roman"/>
              </w:rPr>
              <w:br/>
              <w:t xml:space="preserve">    - Immediately terminate the pregnancy (via therapeutic abortion or cesarean delivery), followed by radical hysterectomy and pelvic lymphadenectomy (ovaries preserved).  </w:t>
            </w:r>
            <w:r w:rsidRPr="00CB2EC4">
              <w:rPr>
                <w:rFonts w:ascii="Times New Roman" w:hAnsi="Times New Roman" w:cs="Times New Roman"/>
              </w:rPr>
              <w:br/>
              <w:t xml:space="preserve">    - For locally advanced cervical lesions, administer 1–2 cycles of platinum-based neoadjuvant chemotherapy first, then proceed with radical surgery.  </w:t>
            </w:r>
            <w:r w:rsidRPr="00CB2EC4">
              <w:rPr>
                <w:rFonts w:ascii="Times New Roman" w:hAnsi="Times New Roman" w:cs="Times New Roman"/>
              </w:rPr>
              <w:br/>
              <w:t xml:space="preserve">  - **Second and third trimesters (after 20 weeks)**:  </w:t>
            </w:r>
            <w:r w:rsidRPr="00CB2EC4">
              <w:rPr>
                <w:rFonts w:ascii="Times New Roman" w:hAnsi="Times New Roman" w:cs="Times New Roman"/>
              </w:rPr>
              <w:br/>
              <w:t xml:space="preserve">    - If the patient is childless and wishes to preserve fertility, wait until approximately 38 weeks for classical cesarean section, followed immediately or as soon as possible by radical hysterectomy and pelvic lymphadenectomy.  </w:t>
            </w:r>
            <w:r w:rsidRPr="00CB2EC4">
              <w:rPr>
                <w:rFonts w:ascii="Times New Roman" w:hAnsi="Times New Roman" w:cs="Times New Roman"/>
              </w:rPr>
              <w:br/>
              <w:t xml:space="preserve">    - If fertility preservation is not desired, terminate pregnancy immediately and proceed with cancer treatment (same as first-trimester strategy).  </w:t>
            </w:r>
            <w:r w:rsidRPr="00CB2EC4">
              <w:rPr>
                <w:rFonts w:ascii="Times New Roman" w:hAnsi="Times New Roman" w:cs="Times New Roman"/>
              </w:rPr>
              <w:br/>
            </w:r>
            <w:r w:rsidRPr="00CB2EC4">
              <w:rPr>
                <w:rFonts w:ascii="Times New Roman" w:hAnsi="Times New Roman" w:cs="Times New Roman"/>
              </w:rPr>
              <w:lastRenderedPageBreak/>
              <w:t xml:space="preserve">    - For locally advanced cervical lesions, perform cesarean section first, then administer 2–3 cycles of neoadjuvant chemotherapy, followed by radical surgery.  </w:t>
            </w:r>
            <w:r w:rsidRPr="00CB2EC4">
              <w:rPr>
                <w:rFonts w:ascii="Times New Roman" w:hAnsi="Times New Roman" w:cs="Times New Roman"/>
              </w:rPr>
              <w:br/>
            </w:r>
            <w:r w:rsidRPr="00CB2EC4">
              <w:rPr>
                <w:rFonts w:ascii="Times New Roman" w:hAnsi="Times New Roman" w:cs="Times New Roman"/>
              </w:rPr>
              <w:br/>
              <w:t xml:space="preserve">- **Special considerations**:  </w:t>
            </w:r>
            <w:r w:rsidRPr="00CB2EC4">
              <w:rPr>
                <w:rFonts w:ascii="Times New Roman" w:hAnsi="Times New Roman" w:cs="Times New Roman"/>
              </w:rPr>
              <w:br/>
              <w:t xml:space="preserve">  - Microinvasive carcinoma (Stage IA) may be managed with close monitoring (every 4 weeks) and deferred treatment until term cesarean delivery.  </w:t>
            </w:r>
            <w:r w:rsidRPr="00CB2EC4">
              <w:rPr>
                <w:rFonts w:ascii="Times New Roman" w:hAnsi="Times New Roman" w:cs="Times New Roman"/>
              </w:rPr>
              <w:br/>
              <w:t xml:space="preserve">  - Invasive carcinoma (Stage IB and above) requires active treatment.  </w:t>
            </w:r>
            <w:r w:rsidRPr="00CB2EC4">
              <w:rPr>
                <w:rFonts w:ascii="Times New Roman" w:hAnsi="Times New Roman" w:cs="Times New Roman"/>
              </w:rPr>
              <w:br/>
              <w:t xml:space="preserve">  - Vaginal delivery should be avoided to prevent cancer dissemination, hemorrhage, or infection.</w:t>
            </w:r>
          </w:p>
        </w:tc>
        <w:tc>
          <w:tcPr>
            <w:tcW w:w="1152" w:type="dxa"/>
            <w:vAlign w:val="center"/>
          </w:tcPr>
          <w:p w14:paraId="3E9B36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8B32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11B0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C178A0" w14:textId="77777777">
        <w:tc>
          <w:tcPr>
            <w:tcW w:w="2160" w:type="dxa"/>
            <w:vAlign w:val="center"/>
          </w:tcPr>
          <w:p w14:paraId="44D5D105"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9C08B13" w14:textId="77777777" w:rsidR="00922249" w:rsidRPr="00CB2EC4" w:rsidRDefault="003011D5">
            <w:pPr>
              <w:rPr>
                <w:rFonts w:ascii="Times New Roman" w:hAnsi="Times New Roman" w:cs="Times New Roman"/>
              </w:rPr>
            </w:pPr>
            <w:r w:rsidRPr="00CB2EC4">
              <w:rPr>
                <w:rFonts w:ascii="Times New Roman" w:hAnsi="Times New Roman" w:cs="Times New Roman"/>
              </w:rPr>
              <w:t>the treatment strategies for cervical cancer during pregnancy vary according to gestational stage, tumor stage, and the patient's desire for fertility preservation. the following is based on document fragment 4 (block 582), fragment 18 (block 581), and fragment 28 (block 20):</w:t>
            </w:r>
            <w:r w:rsidRPr="00CB2EC4">
              <w:rPr>
                <w:rFonts w:ascii="Times New Roman" w:hAnsi="Times New Roman" w:cs="Times New Roman"/>
              </w:rPr>
              <w:br/>
            </w:r>
            <w:r w:rsidRPr="00CB2EC4">
              <w:rPr>
                <w:rFonts w:ascii="Times New Roman" w:hAnsi="Times New Roman" w:cs="Times New Roman"/>
              </w:rPr>
              <w:br/>
              <w:t>- overall principles:</w:t>
            </w:r>
            <w:r w:rsidRPr="00CB2EC4">
              <w:rPr>
                <w:rFonts w:ascii="Times New Roman" w:hAnsi="Times New Roman" w:cs="Times New Roman"/>
              </w:rPr>
              <w:br/>
              <w:t xml:space="preserve">  multidisciplinary team evaluation is essential, prioritizing maternal survival while considering fetal safety. treatment is similar to non-pregnant patients but requires timing adjustments.</w:t>
            </w:r>
            <w:r w:rsidRPr="00CB2EC4">
              <w:rPr>
                <w:rFonts w:ascii="Times New Roman" w:hAnsi="Times New Roman" w:cs="Times New Roman"/>
              </w:rPr>
              <w:br/>
            </w:r>
            <w:r w:rsidRPr="00CB2EC4">
              <w:rPr>
                <w:rFonts w:ascii="Times New Roman" w:hAnsi="Times New Roman" w:cs="Times New Roman"/>
              </w:rPr>
              <w:br/>
              <w:t>- stage-specific strategies:</w:t>
            </w:r>
            <w:r w:rsidRPr="00CB2EC4">
              <w:rPr>
                <w:rFonts w:ascii="Times New Roman" w:hAnsi="Times New Roman" w:cs="Times New Roman"/>
              </w:rPr>
              <w:br/>
              <w:t xml:space="preserve">  - early pregnancy (≤20 weeks):</w:t>
            </w:r>
            <w:r w:rsidRPr="00CB2EC4">
              <w:rPr>
                <w:rFonts w:ascii="Times New Roman" w:hAnsi="Times New Roman" w:cs="Times New Roman"/>
              </w:rPr>
              <w:br/>
              <w:t xml:space="preserve">    → terminate pregnancy immediately and initiate cervical cancer treatment.</w:t>
            </w:r>
            <w:r w:rsidRPr="00CB2EC4">
              <w:rPr>
                <w:rFonts w:ascii="Times New Roman" w:hAnsi="Times New Roman" w:cs="Times New Roman"/>
              </w:rPr>
              <w:br/>
              <w:t xml:space="preserve">    → for early-stage cancer (IB, IIA): radical hysterectomy with pelvic lymphadenectomy (ovarian preservation) is the primary option.</w:t>
            </w:r>
            <w:r w:rsidRPr="00CB2EC4">
              <w:rPr>
                <w:rFonts w:ascii="Times New Roman" w:hAnsi="Times New Roman" w:cs="Times New Roman"/>
              </w:rPr>
              <w:br/>
              <w:t xml:space="preserve">    → for locally advanced disease: administer 1–2 </w:t>
            </w:r>
            <w:r w:rsidRPr="00CB2EC4">
              <w:rPr>
                <w:rFonts w:ascii="Times New Roman" w:hAnsi="Times New Roman" w:cs="Times New Roman"/>
              </w:rPr>
              <w:lastRenderedPageBreak/>
              <w:t>cycles of platinum-based neoadjuvant chemotherapy first, followed by radical surgery (document fragment 4, 18).</w:t>
            </w:r>
            <w:r w:rsidRPr="00CB2EC4">
              <w:rPr>
                <w:rFonts w:ascii="Times New Roman" w:hAnsi="Times New Roman" w:cs="Times New Roman"/>
              </w:rPr>
              <w:br/>
            </w:r>
            <w:r w:rsidRPr="00CB2EC4">
              <w:rPr>
                <w:rFonts w:ascii="Times New Roman" w:hAnsi="Times New Roman" w:cs="Times New Roman"/>
              </w:rPr>
              <w:br/>
              <w:t xml:space="preserve">  - mid-pregnancy (&gt;20 weeks to late gestation):</w:t>
            </w:r>
            <w:r w:rsidRPr="00CB2EC4">
              <w:rPr>
                <w:rFonts w:ascii="Times New Roman" w:hAnsi="Times New Roman" w:cs="Times New Roman"/>
              </w:rPr>
              <w:br/>
              <w:t xml:space="preserve">    → if fertility preservation is not desired: terminate pregnancy immediately and perform radical treatment (surgery or radiotherapy).</w:t>
            </w:r>
            <w:r w:rsidRPr="00CB2EC4">
              <w:rPr>
                <w:rFonts w:ascii="Times New Roman" w:hAnsi="Times New Roman" w:cs="Times New Roman"/>
              </w:rPr>
              <w:br/>
              <w:t xml:space="preserve">    → if fertility preservation is desired: delay delivery until 38 weeks via classical cesarean section, followed by or immediately succeeded by radical hysterectomy with pelvic lymphadenectomy. for advanced tumors, 2–3 cycles of neoadjuvant chemotherapy may be given first (document fragment 4, 28).</w:t>
            </w:r>
            <w:r w:rsidRPr="00CB2EC4">
              <w:rPr>
                <w:rFonts w:ascii="Times New Roman" w:hAnsi="Times New Roman" w:cs="Times New Roman"/>
              </w:rPr>
              <w:br/>
            </w:r>
            <w:r w:rsidRPr="00CB2EC4">
              <w:rPr>
                <w:rFonts w:ascii="Times New Roman" w:hAnsi="Times New Roman" w:cs="Times New Roman"/>
              </w:rPr>
              <w:br/>
              <w:t xml:space="preserve">  - late pregnancy (near term):</w:t>
            </w:r>
            <w:r w:rsidRPr="00CB2EC4">
              <w:rPr>
                <w:rFonts w:ascii="Times New Roman" w:hAnsi="Times New Roman" w:cs="Times New Roman"/>
              </w:rPr>
              <w:br/>
              <w:t xml:space="preserve">    → perform classical cesarean section to terminate pregnancy, then begin radiotherapy or concurrent chemoradiotherapy within 10 days postpartum.</w:t>
            </w:r>
            <w:r w:rsidRPr="00CB2EC4">
              <w:rPr>
                <w:rFonts w:ascii="Times New Roman" w:hAnsi="Times New Roman" w:cs="Times New Roman"/>
              </w:rPr>
              <w:br/>
              <w:t xml:space="preserve">    → if the fetus is viable (≥38 weeks), cesarean delivery is followed by concurrent chemoradiotherapy (document fragment 4, 28).</w:t>
            </w:r>
            <w:r w:rsidRPr="00CB2EC4">
              <w:rPr>
                <w:rFonts w:ascii="Times New Roman" w:hAnsi="Times New Roman" w:cs="Times New Roman"/>
              </w:rPr>
              <w:br/>
            </w:r>
            <w:r w:rsidRPr="00CB2EC4">
              <w:rPr>
                <w:rFonts w:ascii="Times New Roman" w:hAnsi="Times New Roman" w:cs="Times New Roman"/>
              </w:rPr>
              <w:br/>
              <w:t>- special cases:</w:t>
            </w:r>
            <w:r w:rsidRPr="00CB2EC4">
              <w:rPr>
                <w:rFonts w:ascii="Times New Roman" w:hAnsi="Times New Roman" w:cs="Times New Roman"/>
              </w:rPr>
              <w:br/>
              <w:t xml:space="preserve">  → microinvasive carcinoma (IA1): may be closely monitored until delivery, but invasive cancer requires active treatment (document fragment 18).</w:t>
            </w:r>
            <w:r w:rsidRPr="00CB2EC4">
              <w:rPr>
                <w:rFonts w:ascii="Times New Roman" w:hAnsi="Times New Roman" w:cs="Times New Roman"/>
              </w:rPr>
              <w:br/>
            </w:r>
            <w:r w:rsidRPr="00CB2EC4">
              <w:rPr>
                <w:rFonts w:ascii="Times New Roman" w:hAnsi="Times New Roman" w:cs="Times New Roman"/>
              </w:rPr>
              <w:br/>
              <w:t>references:</w:t>
            </w:r>
            <w:r w:rsidRPr="00CB2EC4">
              <w:rPr>
                <w:rFonts w:ascii="Times New Roman" w:hAnsi="Times New Roman" w:cs="Times New Roman"/>
              </w:rPr>
              <w:br/>
              <w:t>document fragment 4 specifies stage-based strategies; fragment 28 emphasizes that IA2–IB2 stage diagnosed after 20 weeks may defer treatment.</w:t>
            </w:r>
          </w:p>
        </w:tc>
        <w:tc>
          <w:tcPr>
            <w:tcW w:w="1152" w:type="dxa"/>
            <w:vAlign w:val="center"/>
          </w:tcPr>
          <w:p w14:paraId="4AA445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AFAB6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3198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01811C" w14:textId="77777777">
        <w:tc>
          <w:tcPr>
            <w:tcW w:w="2160" w:type="dxa"/>
            <w:vAlign w:val="center"/>
          </w:tcPr>
          <w:p w14:paraId="353D6A0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018F7C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treatment strategies for cervical cancer during pregnancy are determined based on gestational stage, </w:t>
            </w:r>
            <w:r w:rsidRPr="00CB2EC4">
              <w:rPr>
                <w:rFonts w:ascii="Times New Roman" w:hAnsi="Times New Roman" w:cs="Times New Roman"/>
              </w:rPr>
              <w:lastRenderedPageBreak/>
              <w:t>tumor stage, and the patient's fertility desires, emphasizing multidisciplinary team management. the principles are as follows:</w:t>
            </w:r>
            <w:r w:rsidRPr="00CB2EC4">
              <w:rPr>
                <w:rFonts w:ascii="Times New Roman" w:hAnsi="Times New Roman" w:cs="Times New Roman"/>
              </w:rPr>
              <w:br/>
            </w:r>
            <w:r w:rsidRPr="00CB2EC4">
              <w:rPr>
                <w:rFonts w:ascii="Times New Roman" w:hAnsi="Times New Roman" w:cs="Times New Roman"/>
              </w:rPr>
              <w:br/>
              <w:t>- **overall principle**: identical to non-pregnant cervical cancer treatment, but requires balancing maternal therapy and fetal safety. primary modalities are surgery and radiotherapy, with chemotherapy as adjuvant (document fragments 7, 13, 22, 25, 31).</w:t>
            </w:r>
            <w:r w:rsidRPr="00CB2EC4">
              <w:rPr>
                <w:rFonts w:ascii="Times New Roman" w:hAnsi="Times New Roman" w:cs="Times New Roman"/>
              </w:rPr>
              <w:br/>
              <w:t>- **gestational stage-specific strategies**:</w:t>
            </w:r>
            <w:r w:rsidRPr="00CB2EC4">
              <w:rPr>
                <w:rFonts w:ascii="Times New Roman" w:hAnsi="Times New Roman" w:cs="Times New Roman"/>
              </w:rPr>
              <w:br/>
              <w:t xml:space="preserve">  - **early pregnancy (≤20 weeks)**:</w:t>
            </w:r>
            <w:r w:rsidRPr="00CB2EC4">
              <w:rPr>
                <w:rFonts w:ascii="Times New Roman" w:hAnsi="Times New Roman" w:cs="Times New Roman"/>
              </w:rPr>
              <w:br/>
              <w:t xml:space="preserve">    - immediate pregnancy termination followed by cervical cancer treatment (surgery or chemoradiotherapy).</w:t>
            </w:r>
            <w:r w:rsidRPr="00CB2EC4">
              <w:rPr>
                <w:rFonts w:ascii="Times New Roman" w:hAnsi="Times New Roman" w:cs="Times New Roman"/>
              </w:rPr>
              <w:br/>
              <w:t xml:space="preserve">    - surgery is indicated for ib and iia stage patients: perform radical hysterectomy and pelvic lymphadenectomy (document fragments 7, 22, 25).</w:t>
            </w:r>
            <w:r w:rsidRPr="00CB2EC4">
              <w:rPr>
                <w:rFonts w:ascii="Times New Roman" w:hAnsi="Times New Roman" w:cs="Times New Roman"/>
              </w:rPr>
              <w:br/>
              <w:t xml:space="preserve">    - if the patient strongly desires fertility preservation, conservative surgery (e.g., radical trachelectomy) may be considered but requires strict assessment of tumor size (≤2 cm) and stage (ia2–ib) (document fragments 7, 22).</w:t>
            </w:r>
            <w:r w:rsidRPr="00CB2EC4">
              <w:rPr>
                <w:rFonts w:ascii="Times New Roman" w:hAnsi="Times New Roman" w:cs="Times New Roman"/>
              </w:rPr>
              <w:br/>
              <w:t xml:space="preserve">  - **mid-pregnancy (&gt;20 weeks) and late pregnancy (&gt;20 weeks to term)**:</w:t>
            </w:r>
            <w:r w:rsidRPr="00CB2EC4">
              <w:rPr>
                <w:rFonts w:ascii="Times New Roman" w:hAnsi="Times New Roman" w:cs="Times New Roman"/>
              </w:rPr>
              <w:br/>
              <w:t xml:space="preserve">    - if no fertility desire: immediate pregnancy termination (via classical cesarean section) followed by cancer treatment.</w:t>
            </w:r>
            <w:r w:rsidRPr="00CB2EC4">
              <w:rPr>
                <w:rFonts w:ascii="Times New Roman" w:hAnsi="Times New Roman" w:cs="Times New Roman"/>
              </w:rPr>
              <w:br/>
              <w:t xml:space="preserve">    - if fertility desire exists: defer treatment until 38 weeks gestation—perform cesarean delivery followed immediately or as soon as possible by radical hysterectomy and pelvic lymphadenectomy.</w:t>
            </w:r>
            <w:r w:rsidRPr="00CB2EC4">
              <w:rPr>
                <w:rFonts w:ascii="Times New Roman" w:hAnsi="Times New Roman" w:cs="Times New Roman"/>
              </w:rPr>
              <w:br/>
              <w:t xml:space="preserve">    - for locally advanced tumors (e.g., ib3 stage): initiate neoadjuvant chemotherapy (platinum-based, 1–2 cycles) to control tumor growth, followed by </w:t>
            </w:r>
            <w:r w:rsidRPr="00CB2EC4">
              <w:rPr>
                <w:rFonts w:ascii="Times New Roman" w:hAnsi="Times New Roman" w:cs="Times New Roman"/>
              </w:rPr>
              <w:lastRenderedPageBreak/>
              <w:t>radical surgery (document fragments 7, 13, 22, 31).</w:t>
            </w:r>
            <w:r w:rsidRPr="00CB2EC4">
              <w:rPr>
                <w:rFonts w:ascii="Times New Roman" w:hAnsi="Times New Roman" w:cs="Times New Roman"/>
              </w:rPr>
              <w:br/>
              <w:t xml:space="preserve">    - radiotherapy is considered only when surgery is contraindicated; external beam radiotherapy is administered first to induce spontaneous abortion, followed by full-course radiotherapy post-abortion (document fragment 7).</w:t>
            </w:r>
            <w:r w:rsidRPr="00CB2EC4">
              <w:rPr>
                <w:rFonts w:ascii="Times New Roman" w:hAnsi="Times New Roman" w:cs="Times New Roman"/>
              </w:rPr>
              <w:br/>
              <w:t>- **special situations**:</w:t>
            </w:r>
            <w:r w:rsidRPr="00CB2EC4">
              <w:rPr>
                <w:rFonts w:ascii="Times New Roman" w:hAnsi="Times New Roman" w:cs="Times New Roman"/>
              </w:rPr>
              <w:br/>
              <w:t xml:space="preserve">  - adenocarcinoma or bulky tumors have low chemosensitivity; prioritize surgery (document fragment 13).</w:t>
            </w:r>
            <w:r w:rsidRPr="00CB2EC4">
              <w:rPr>
                <w:rFonts w:ascii="Times New Roman" w:hAnsi="Times New Roman" w:cs="Times New Roman"/>
              </w:rPr>
              <w:br/>
              <w:t xml:space="preserve">  - close monitoring: perform colposcopy and cytology every 4 weeks; if disease progression occurs, terminate pregnancy early (document fragment 25).</w:t>
            </w:r>
            <w:r w:rsidRPr="00CB2EC4">
              <w:rPr>
                <w:rFonts w:ascii="Times New Roman" w:hAnsi="Times New Roman" w:cs="Times New Roman"/>
              </w:rPr>
              <w:br/>
              <w:t xml:space="preserve">  source: document fragments 7, 13, 22, 25, 31.</w:t>
            </w:r>
          </w:p>
        </w:tc>
        <w:tc>
          <w:tcPr>
            <w:tcW w:w="1152" w:type="dxa"/>
            <w:vAlign w:val="center"/>
          </w:tcPr>
          <w:p w14:paraId="28E5EB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78E2A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3F3F4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11EA7ED" w14:textId="77777777">
        <w:tc>
          <w:tcPr>
            <w:tcW w:w="2160" w:type="dxa"/>
            <w:vAlign w:val="center"/>
          </w:tcPr>
          <w:p w14:paraId="31C2BF5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1733B1AC" w14:textId="77777777" w:rsidR="00922249" w:rsidRPr="00CB2EC4" w:rsidRDefault="003011D5">
            <w:pPr>
              <w:rPr>
                <w:rFonts w:ascii="Times New Roman" w:hAnsi="Times New Roman" w:cs="Times New Roman"/>
              </w:rPr>
            </w:pPr>
            <w:r w:rsidRPr="00CB2EC4">
              <w:rPr>
                <w:rFonts w:ascii="Times New Roman" w:hAnsi="Times New Roman" w:cs="Times New Roman"/>
              </w:rPr>
              <w:t>77. Treatment Strategies for Cervical Cancer During Pregnancy (Knowledge Base + Web Search)</w:t>
            </w:r>
            <w:r w:rsidRPr="00CB2EC4">
              <w:rPr>
                <w:rFonts w:ascii="Times New Roman" w:hAnsi="Times New Roman" w:cs="Times New Roman"/>
              </w:rPr>
              <w:br/>
              <w:t># General Principles:</w:t>
            </w:r>
            <w:r w:rsidRPr="00CB2EC4">
              <w:rPr>
                <w:rFonts w:ascii="Times New Roman" w:hAnsi="Times New Roman" w:cs="Times New Roman"/>
              </w:rPr>
              <w:br/>
              <w:t>- Termination of pregnancy: Applicable for advanced stages (IIB-IV), patient preference, or immature fetus (Knowledge Base: Cervical Cancer Complicating Pregnancy section).</w:t>
            </w:r>
            <w:r w:rsidRPr="00CB2EC4">
              <w:rPr>
                <w:rFonts w:ascii="Times New Roman" w:hAnsi="Times New Roman" w:cs="Times New Roman"/>
              </w:rPr>
              <w:br/>
              <w:t>- Continuation of pregnancy: Limited to IA1 stage (without LVSI) or select IB stages, requiring close monitoring (Web Search: Figure 1).</w:t>
            </w:r>
            <w:r w:rsidRPr="00CB2EC4">
              <w:rPr>
                <w:rFonts w:ascii="Times New Roman" w:hAnsi="Times New Roman" w:cs="Times New Roman"/>
              </w:rPr>
              <w:br/>
            </w:r>
            <w:r w:rsidRPr="00CB2EC4">
              <w:rPr>
                <w:rFonts w:ascii="Times New Roman" w:hAnsi="Times New Roman" w:cs="Times New Roman"/>
              </w:rPr>
              <w:br/>
              <w:t># Stage-Specific Management Differences:</w:t>
            </w:r>
            <w:r w:rsidRPr="00CB2EC4">
              <w:rPr>
                <w:rFonts w:ascii="Times New Roman" w:hAnsi="Times New Roman" w:cs="Times New Roman"/>
              </w:rPr>
              <w:br/>
              <w:t>| Stage       | Early Pregnancy (&lt;20 weeks)                          | Mid-Pregnancy (20-30 weeks)                     | Late Pregnancy (&gt;30 weeks)                       |</w:t>
            </w:r>
            <w:r w:rsidRPr="00CB2EC4">
              <w:rPr>
                <w:rFonts w:ascii="Times New Roman" w:hAnsi="Times New Roman" w:cs="Times New Roman"/>
              </w:rPr>
              <w:br/>
              <w:t>|----------------|-----------------------------------------------|--------------------------------------------|--------------------------------------------|</w:t>
            </w:r>
            <w:r w:rsidRPr="00CB2EC4">
              <w:rPr>
                <w:rFonts w:ascii="Times New Roman" w:hAnsi="Times New Roman" w:cs="Times New Roman"/>
              </w:rPr>
              <w:br/>
              <w:t xml:space="preserve">| IA1 without LVSI | Expectant management, MRI monitoring every 4-8 weeks (Web Search) | Same as </w:t>
            </w:r>
            <w:r w:rsidRPr="00CB2EC4">
              <w:rPr>
                <w:rFonts w:ascii="Times New Roman" w:hAnsi="Times New Roman" w:cs="Times New Roman"/>
              </w:rPr>
              <w:lastRenderedPageBreak/>
              <w:t>left | Cesarean delivery + conization/ hysterectomy (Knowledge Base) |</w:t>
            </w:r>
            <w:r w:rsidRPr="00CB2EC4">
              <w:rPr>
                <w:rFonts w:ascii="Times New Roman" w:hAnsi="Times New Roman" w:cs="Times New Roman"/>
              </w:rPr>
              <w:br/>
              <w:t>| IB1-IB2    | Terminate pregnancy followed by surgery/radiotherapy; or radical hysterectomy with fetus in situ | NACT 2-3 cycles → fetal lung maturation → cesarean delivery + surgery (Web Search) | 1 cycle NACT → cesarean delivery (ESMO recommendation ≤33 weeks) (Web Search) |</w:t>
            </w:r>
            <w:r w:rsidRPr="00CB2EC4">
              <w:rPr>
                <w:rFonts w:ascii="Times New Roman" w:hAnsi="Times New Roman" w:cs="Times New Roman"/>
              </w:rPr>
              <w:br/>
              <w:t>| ≥IIB stage | Immediate termination of pregnancy followed by chemoradiation (Knowledge Base) | Same as left | Cesarean delivery followed by chemoradiation (Knowledge Base) |</w:t>
            </w:r>
            <w:r w:rsidRPr="00CB2EC4">
              <w:rPr>
                <w:rFonts w:ascii="Times New Roman" w:hAnsi="Times New Roman" w:cs="Times New Roman"/>
              </w:rPr>
              <w:br/>
            </w:r>
            <w:r w:rsidRPr="00CB2EC4">
              <w:rPr>
                <w:rFonts w:ascii="Times New Roman" w:hAnsi="Times New Roman" w:cs="Times New Roman"/>
              </w:rPr>
              <w:br/>
              <w:t>Surgical Suitability:</w:t>
            </w:r>
            <w:r w:rsidRPr="00CB2EC4">
              <w:rPr>
                <w:rFonts w:ascii="Times New Roman" w:hAnsi="Times New Roman" w:cs="Times New Roman"/>
              </w:rPr>
              <w:br/>
              <w:t>- Suitable for surgery: IB1 stage and earlier; radical hysterectomy feasible in mid-pregnancy (with fetus retained in situ or cesarean delivery followed by surgery) (Knowledge Base).</w:t>
            </w:r>
            <w:r w:rsidRPr="00CB2EC4">
              <w:rPr>
                <w:rFonts w:ascii="Times New Roman" w:hAnsi="Times New Roman" w:cs="Times New Roman"/>
              </w:rPr>
              <w:br/>
              <w:t>- Contraindicated for surgery: Locally advanced (≥IB3) or lymph node metastasis; chemoradiation preferred (Web Search).</w:t>
            </w:r>
            <w:r w:rsidRPr="00CB2EC4">
              <w:rPr>
                <w:rFonts w:ascii="Times New Roman" w:hAnsi="Times New Roman" w:cs="Times New Roman"/>
              </w:rPr>
              <w:br/>
            </w:r>
            <w:r w:rsidRPr="00CB2EC4">
              <w:rPr>
                <w:rFonts w:ascii="Times New Roman" w:hAnsi="Times New Roman" w:cs="Times New Roman"/>
              </w:rPr>
              <w:br/>
              <w:t>&gt; Key supplement: Web search emphasizes that IA1 stage adenocarcinoma should be managed as IB1 stage (Chinese expert consensus), not explicitly stated in the knowledge base.</w:t>
            </w:r>
          </w:p>
        </w:tc>
        <w:tc>
          <w:tcPr>
            <w:tcW w:w="1152" w:type="dxa"/>
            <w:vAlign w:val="center"/>
          </w:tcPr>
          <w:p w14:paraId="3533C7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7A2C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F97C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2751E9" w14:textId="77777777">
        <w:tc>
          <w:tcPr>
            <w:tcW w:w="2160" w:type="dxa"/>
            <w:vAlign w:val="center"/>
          </w:tcPr>
          <w:p w14:paraId="001D06C5"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499549B" w14:textId="77777777" w:rsidR="00922249" w:rsidRPr="00CB2EC4" w:rsidRDefault="003011D5">
            <w:pPr>
              <w:rPr>
                <w:rFonts w:ascii="Times New Roman" w:hAnsi="Times New Roman" w:cs="Times New Roman"/>
              </w:rPr>
            </w:pPr>
            <w:r w:rsidRPr="00CB2EC4">
              <w:rPr>
                <w:rFonts w:ascii="Times New Roman" w:hAnsi="Times New Roman" w:cs="Times New Roman"/>
              </w:rPr>
              <w:t>treatment strategies for cervical cancer during pregnancy vary according to gestational stage and tumor stage, with a multidisciplinary team approach emphasized (segment 7, segment 13). specific strategies are as follows:</w:t>
            </w:r>
            <w:r w:rsidRPr="00CB2EC4">
              <w:rPr>
                <w:rFonts w:ascii="Times New Roman" w:hAnsi="Times New Roman" w:cs="Times New Roman"/>
              </w:rPr>
              <w:br/>
            </w:r>
            <w:r w:rsidRPr="00CB2EC4">
              <w:rPr>
                <w:rFonts w:ascii="Times New Roman" w:hAnsi="Times New Roman" w:cs="Times New Roman"/>
              </w:rPr>
              <w:br/>
              <w:t>- general principles:</w:t>
            </w:r>
            <w:r w:rsidRPr="00CB2EC4">
              <w:rPr>
                <w:rFonts w:ascii="Times New Roman" w:hAnsi="Times New Roman" w:cs="Times New Roman"/>
              </w:rPr>
              <w:br/>
              <w:t xml:space="preserve">  - treatment must balance maternal and fetal safety, </w:t>
            </w:r>
            <w:r w:rsidRPr="00CB2EC4">
              <w:rPr>
                <w:rFonts w:ascii="Times New Roman" w:hAnsi="Times New Roman" w:cs="Times New Roman"/>
              </w:rPr>
              <w:lastRenderedPageBreak/>
              <w:t>with decisions based on gestational age, tumor stage, and patient’s fertility wishes (segment 7).</w:t>
            </w:r>
            <w:r w:rsidRPr="00CB2EC4">
              <w:rPr>
                <w:rFonts w:ascii="Times New Roman" w:hAnsi="Times New Roman" w:cs="Times New Roman"/>
              </w:rPr>
              <w:br/>
              <w:t xml:space="preserve">  - surgery (e.g., radical hysterectomy) is preferred to preserve ovarian function but may be combined with radiotherapy or chemotherapy (segment 7, segment 25).</w:t>
            </w:r>
            <w:r w:rsidRPr="00CB2EC4">
              <w:rPr>
                <w:rFonts w:ascii="Times New Roman" w:hAnsi="Times New Roman" w:cs="Times New Roman"/>
              </w:rPr>
              <w:br/>
              <w:t xml:space="preserve">  - radiotherapy is considered only when surgery is contraindicated, to avoid fetal exposure (segment 7).</w:t>
            </w:r>
            <w:r w:rsidRPr="00CB2EC4">
              <w:rPr>
                <w:rFonts w:ascii="Times New Roman" w:hAnsi="Times New Roman" w:cs="Times New Roman"/>
              </w:rPr>
              <w:br/>
            </w:r>
            <w:r w:rsidRPr="00CB2EC4">
              <w:rPr>
                <w:rFonts w:ascii="Times New Roman" w:hAnsi="Times New Roman" w:cs="Times New Roman"/>
              </w:rPr>
              <w:br/>
              <w:t>- treatment differences by gestational stage:</w:t>
            </w:r>
            <w:r w:rsidRPr="00CB2EC4">
              <w:rPr>
                <w:rFonts w:ascii="Times New Roman" w:hAnsi="Times New Roman" w:cs="Times New Roman"/>
              </w:rPr>
              <w:br/>
              <w:t xml:space="preserve">  - early pregnancy (before 20 weeks):</w:t>
            </w:r>
            <w:r w:rsidRPr="00CB2EC4">
              <w:rPr>
                <w:rFonts w:ascii="Times New Roman" w:hAnsi="Times New Roman" w:cs="Times New Roman"/>
              </w:rPr>
              <w:br/>
              <w:t xml:space="preserve">    - immediate termination of pregnancy (e.g., therapeutic abortion) followed by cervical cancer treatment.</w:t>
            </w:r>
            <w:r w:rsidRPr="00CB2EC4">
              <w:rPr>
                <w:rFonts w:ascii="Times New Roman" w:hAnsi="Times New Roman" w:cs="Times New Roman"/>
              </w:rPr>
              <w:br/>
              <w:t xml:space="preserve">    - radical hysterectomy with pelvic lymphadenectomy is the first choice (segment 7).</w:t>
            </w:r>
            <w:r w:rsidRPr="00CB2EC4">
              <w:rPr>
                <w:rFonts w:ascii="Times New Roman" w:hAnsi="Times New Roman" w:cs="Times New Roman"/>
              </w:rPr>
              <w:br/>
              <w:t xml:space="preserve">    - for locally advanced cervical lesions, 1–2 cycles of platinum-based neoadjuvant chemotherapy may be given before radical surgery (segment 7).</w:t>
            </w:r>
            <w:r w:rsidRPr="00CB2EC4">
              <w:rPr>
                <w:rFonts w:ascii="Times New Roman" w:hAnsi="Times New Roman" w:cs="Times New Roman"/>
              </w:rPr>
              <w:br/>
              <w:t xml:space="preserve">  - mid-pregnancy (20 weeks to early late pregnancy):</w:t>
            </w:r>
            <w:r w:rsidRPr="00CB2EC4">
              <w:rPr>
                <w:rFonts w:ascii="Times New Roman" w:hAnsi="Times New Roman" w:cs="Times New Roman"/>
              </w:rPr>
              <w:br/>
              <w:t xml:space="preserve">    - if the patient has no children and desires fertility preservation, treatment may be deferred until approximately 38 weeks, followed by classical cesarean section and then early radical hysterectomy (segment 7).</w:t>
            </w:r>
            <w:r w:rsidRPr="00CB2EC4">
              <w:rPr>
                <w:rFonts w:ascii="Times New Roman" w:hAnsi="Times New Roman" w:cs="Times New Roman"/>
              </w:rPr>
              <w:br/>
              <w:t xml:space="preserve">    - if fertility is not desired, immediate termination of pregnancy is performed, and cervical cancer treatment follows (same as early pregnancy strategy) (segment 7).</w:t>
            </w:r>
            <w:r w:rsidRPr="00CB2EC4">
              <w:rPr>
                <w:rFonts w:ascii="Times New Roman" w:hAnsi="Times New Roman" w:cs="Times New Roman"/>
              </w:rPr>
              <w:br/>
              <w:t xml:space="preserve">    - for locally advanced lesions, cesarean section is performed first, followed by 2–3 cycles of neoadjuvant chemotherapy, then radical surgery (segment 7).</w:t>
            </w:r>
            <w:r w:rsidRPr="00CB2EC4">
              <w:rPr>
                <w:rFonts w:ascii="Times New Roman" w:hAnsi="Times New Roman" w:cs="Times New Roman"/>
              </w:rPr>
              <w:br/>
              <w:t xml:space="preserve">  - late pregnancy (≥38 weeks or fetal viability):</w:t>
            </w:r>
            <w:r w:rsidRPr="00CB2EC4">
              <w:rPr>
                <w:rFonts w:ascii="Times New Roman" w:hAnsi="Times New Roman" w:cs="Times New Roman"/>
              </w:rPr>
              <w:br/>
            </w:r>
            <w:r w:rsidRPr="00CB2EC4">
              <w:rPr>
                <w:rFonts w:ascii="Times New Roman" w:hAnsi="Times New Roman" w:cs="Times New Roman"/>
              </w:rPr>
              <w:lastRenderedPageBreak/>
              <w:t xml:space="preserve">    - classical cesarean section is performed to terminate pregnancy, followed by external beam radiotherapy starting within 10 days postpartum, then intracavitary radiotherapy after uterine involution (segment 7).</w:t>
            </w:r>
            <w:r w:rsidRPr="00CB2EC4">
              <w:rPr>
                <w:rFonts w:ascii="Times New Roman" w:hAnsi="Times New Roman" w:cs="Times New Roman"/>
              </w:rPr>
              <w:br/>
              <w:t xml:space="preserve">    - if the fetus is viable, cesarean section is performed at 38 weeks, followed by concurrent chemoradiotherapy (segment 7).</w:t>
            </w:r>
            <w:r w:rsidRPr="00CB2EC4">
              <w:rPr>
                <w:rFonts w:ascii="Times New Roman" w:hAnsi="Times New Roman" w:cs="Times New Roman"/>
              </w:rPr>
              <w:br/>
              <w:t xml:space="preserve">    - if disease is uncontrolled after delivery and radiotherapy, extrafascial hysterectomy or selective pelvic lymphadenectomy may be performed (segment 7).</w:t>
            </w:r>
            <w:r w:rsidRPr="00CB2EC4">
              <w:rPr>
                <w:rFonts w:ascii="Times New Roman" w:hAnsi="Times New Roman" w:cs="Times New Roman"/>
              </w:rPr>
              <w:br/>
            </w:r>
            <w:r w:rsidRPr="00CB2EC4">
              <w:rPr>
                <w:rFonts w:ascii="Times New Roman" w:hAnsi="Times New Roman" w:cs="Times New Roman"/>
              </w:rPr>
              <w:br/>
              <w:t>close monitoring of cervical lesions every 4 weeks during pregnancy is required; if progression occurs, pregnancy termination is indicated regardless of gestational age (segment 7, segment 25). details for all stages are not provided in the knowledge base, but the above strategies are derived from segments 7, 13, and 25.</w:t>
            </w:r>
          </w:p>
        </w:tc>
        <w:tc>
          <w:tcPr>
            <w:tcW w:w="1152" w:type="dxa"/>
            <w:vAlign w:val="center"/>
          </w:tcPr>
          <w:p w14:paraId="394FC2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3E4E0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E90AC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23AD105" w14:textId="77777777">
        <w:tc>
          <w:tcPr>
            <w:tcW w:w="2160" w:type="dxa"/>
            <w:vAlign w:val="center"/>
          </w:tcPr>
          <w:p w14:paraId="327E4A2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31EEE92C" w14:textId="77777777" w:rsidR="00922249" w:rsidRPr="00CB2EC4" w:rsidRDefault="003011D5">
            <w:pPr>
              <w:rPr>
                <w:rFonts w:ascii="Times New Roman" w:hAnsi="Times New Roman" w:cs="Times New Roman"/>
              </w:rPr>
            </w:pPr>
            <w:r w:rsidRPr="00CB2EC4">
              <w:rPr>
                <w:rFonts w:ascii="Times New Roman" w:hAnsi="Times New Roman" w:cs="Times New Roman"/>
              </w:rPr>
              <w:t>treatment strategies for cervical cancer during pregnancy vary by gestational stage to balance maternal oncologic care and fetal safety, based on referenced sources 7 and 25:</w:t>
            </w:r>
            <w:r w:rsidRPr="00CB2EC4">
              <w:rPr>
                <w:rFonts w:ascii="Times New Roman" w:hAnsi="Times New Roman" w:cs="Times New Roman"/>
              </w:rPr>
              <w:br/>
            </w:r>
            <w:r w:rsidRPr="00CB2EC4">
              <w:rPr>
                <w:rFonts w:ascii="Times New Roman" w:hAnsi="Times New Roman" w:cs="Times New Roman"/>
              </w:rPr>
              <w:br/>
              <w:t xml:space="preserve">- **overall strategy**:  </w:t>
            </w:r>
            <w:r w:rsidRPr="00CB2EC4">
              <w:rPr>
                <w:rFonts w:ascii="Times New Roman" w:hAnsi="Times New Roman" w:cs="Times New Roman"/>
              </w:rPr>
              <w:br/>
              <w:t xml:space="preserve">  → primary modalities: surgery or radiotherapy, with chemotherapy as adjuvant.  </w:t>
            </w:r>
            <w:r w:rsidRPr="00CB2EC4">
              <w:rPr>
                <w:rFonts w:ascii="Times New Roman" w:hAnsi="Times New Roman" w:cs="Times New Roman"/>
              </w:rPr>
              <w:br/>
              <w:t xml:space="preserve">  → termination of pregnancy is common; however, treatment may be delayed until fetal viability in late gestation (source 7).  </w:t>
            </w:r>
            <w:r w:rsidRPr="00CB2EC4">
              <w:rPr>
                <w:rFonts w:ascii="Times New Roman" w:hAnsi="Times New Roman" w:cs="Times New Roman"/>
              </w:rPr>
              <w:br/>
            </w:r>
            <w:r w:rsidRPr="00CB2EC4">
              <w:rPr>
                <w:rFonts w:ascii="Times New Roman" w:hAnsi="Times New Roman" w:cs="Times New Roman"/>
              </w:rPr>
              <w:br/>
              <w:t xml:space="preserve">- **gestational stage-specific approaches**:  </w:t>
            </w:r>
            <w:r w:rsidRPr="00CB2EC4">
              <w:rPr>
                <w:rFonts w:ascii="Times New Roman" w:hAnsi="Times New Roman" w:cs="Times New Roman"/>
              </w:rPr>
              <w:br/>
              <w:t xml:space="preserve">  - **early pregnancy (&lt;20 weeks)**:  </w:t>
            </w:r>
            <w:r w:rsidRPr="00CB2EC4">
              <w:rPr>
                <w:rFonts w:ascii="Times New Roman" w:hAnsi="Times New Roman" w:cs="Times New Roman"/>
              </w:rPr>
              <w:br/>
            </w:r>
            <w:r w:rsidRPr="00CB2EC4">
              <w:rPr>
                <w:rFonts w:ascii="Times New Roman" w:hAnsi="Times New Roman" w:cs="Times New Roman"/>
              </w:rPr>
              <w:lastRenderedPageBreak/>
              <w:t xml:space="preserve">    → immediate termination of pregnancy followed by cervical cancer treatment.  </w:t>
            </w:r>
            <w:r w:rsidRPr="00CB2EC4">
              <w:rPr>
                <w:rFonts w:ascii="Times New Roman" w:hAnsi="Times New Roman" w:cs="Times New Roman"/>
              </w:rPr>
              <w:br/>
              <w:t xml:space="preserve">    → for ib or iia stage: radical hysterectomy with pelvic lymphadenectomy is preferred.  </w:t>
            </w:r>
            <w:r w:rsidRPr="00CB2EC4">
              <w:rPr>
                <w:rFonts w:ascii="Times New Roman" w:hAnsi="Times New Roman" w:cs="Times New Roman"/>
              </w:rPr>
              <w:br/>
              <w:t xml:space="preserve">    → for locally advanced disease: neoadjuvant chemotherapy may precede surgery (source 7: "immediately terminate pregnancy and initiate cervical cancer treatment... radical hysterectomy and pelvic lymph node dissection is the first choice").  </w:t>
            </w:r>
            <w:r w:rsidRPr="00CB2EC4">
              <w:rPr>
                <w:rFonts w:ascii="Times New Roman" w:hAnsi="Times New Roman" w:cs="Times New Roman"/>
              </w:rPr>
              <w:br/>
            </w:r>
            <w:r w:rsidRPr="00CB2EC4">
              <w:rPr>
                <w:rFonts w:ascii="Times New Roman" w:hAnsi="Times New Roman" w:cs="Times New Roman"/>
              </w:rPr>
              <w:br/>
              <w:t xml:space="preserve">  - **mid-pregnancy (≥20 weeks)**:  </w:t>
            </w:r>
            <w:r w:rsidRPr="00CB2EC4">
              <w:rPr>
                <w:rFonts w:ascii="Times New Roman" w:hAnsi="Times New Roman" w:cs="Times New Roman"/>
              </w:rPr>
              <w:br/>
              <w:t xml:space="preserve">    → if fertility preservation is desired: delay treatment until approximately 38 weeks, perform cesarean section, then radical hysterectomy concurrently or shortly thereafter.  </w:t>
            </w:r>
            <w:r w:rsidRPr="00CB2EC4">
              <w:rPr>
                <w:rFonts w:ascii="Times New Roman" w:hAnsi="Times New Roman" w:cs="Times New Roman"/>
              </w:rPr>
              <w:br/>
              <w:t xml:space="preserve">    → if no fertility desire: terminate pregnancy immediately and initiate cancer treatment (source 7: "may wait until ~38 weeks for cesarean section, followed by radical hysterectomy concurrently or as soon as possible afterward").  </w:t>
            </w:r>
            <w:r w:rsidRPr="00CB2EC4">
              <w:rPr>
                <w:rFonts w:ascii="Times New Roman" w:hAnsi="Times New Roman" w:cs="Times New Roman"/>
              </w:rPr>
              <w:br/>
            </w:r>
            <w:r w:rsidRPr="00CB2EC4">
              <w:rPr>
                <w:rFonts w:ascii="Times New Roman" w:hAnsi="Times New Roman" w:cs="Times New Roman"/>
              </w:rPr>
              <w:br/>
              <w:t xml:space="preserve">  - **late pregnancy**:  </w:t>
            </w:r>
            <w:r w:rsidRPr="00CB2EC4">
              <w:rPr>
                <w:rFonts w:ascii="Times New Roman" w:hAnsi="Times New Roman" w:cs="Times New Roman"/>
              </w:rPr>
              <w:br/>
              <w:t xml:space="preserve">    → perform classical cesarean section to terminate pregnancy.  </w:t>
            </w:r>
            <w:r w:rsidRPr="00CB2EC4">
              <w:rPr>
                <w:rFonts w:ascii="Times New Roman" w:hAnsi="Times New Roman" w:cs="Times New Roman"/>
              </w:rPr>
              <w:br/>
              <w:t xml:space="preserve">    → initiate external beam radiotherapy or concurrent chemoradiotherapy within 10 days postpartum (source 7: "perform classical cesarean section to terminate pregnancy, and aim for external beam radiotherapy within 10 days postpartum").  </w:t>
            </w:r>
            <w:r w:rsidRPr="00CB2EC4">
              <w:rPr>
                <w:rFonts w:ascii="Times New Roman" w:hAnsi="Times New Roman" w:cs="Times New Roman"/>
              </w:rPr>
              <w:br/>
            </w:r>
            <w:r w:rsidRPr="00CB2EC4">
              <w:rPr>
                <w:rFonts w:ascii="Times New Roman" w:hAnsi="Times New Roman" w:cs="Times New Roman"/>
              </w:rPr>
              <w:br/>
              <w:t xml:space="preserve">- **special cases**:  </w:t>
            </w:r>
            <w:r w:rsidRPr="00CB2EC4">
              <w:rPr>
                <w:rFonts w:ascii="Times New Roman" w:hAnsi="Times New Roman" w:cs="Times New Roman"/>
              </w:rPr>
              <w:br/>
              <w:t xml:space="preserve">  → microinvasive carcinoma (ia stage) may permit continuation of pregnancy under close surveillance.  </w:t>
            </w:r>
            <w:r w:rsidRPr="00CB2EC4">
              <w:rPr>
                <w:rFonts w:ascii="Times New Roman" w:hAnsi="Times New Roman" w:cs="Times New Roman"/>
              </w:rPr>
              <w:br/>
              <w:t xml:space="preserve">  → invasive carcinoma requires active intervention </w:t>
            </w:r>
            <w:r w:rsidRPr="00CB2EC4">
              <w:rPr>
                <w:rFonts w:ascii="Times New Roman" w:hAnsi="Times New Roman" w:cs="Times New Roman"/>
              </w:rPr>
              <w:lastRenderedPageBreak/>
              <w:t xml:space="preserve">(source 25).  </w:t>
            </w:r>
            <w:r w:rsidRPr="00CB2EC4">
              <w:rPr>
                <w:rFonts w:ascii="Times New Roman" w:hAnsi="Times New Roman" w:cs="Times New Roman"/>
              </w:rPr>
              <w:br/>
            </w:r>
            <w:r w:rsidRPr="00CB2EC4">
              <w:rPr>
                <w:rFonts w:ascii="Times New Roman" w:hAnsi="Times New Roman" w:cs="Times New Roman"/>
              </w:rPr>
              <w:br/>
              <w:t>in summary: early gestation favors termination plus surgery; mid-to-late gestation may defer treatment until fetal viability, but all cases require individualized assessment.</w:t>
            </w:r>
          </w:p>
        </w:tc>
        <w:tc>
          <w:tcPr>
            <w:tcW w:w="1152" w:type="dxa"/>
            <w:vAlign w:val="center"/>
          </w:tcPr>
          <w:p w14:paraId="357409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F9425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7861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3F1A89" w14:textId="77777777">
        <w:tc>
          <w:tcPr>
            <w:tcW w:w="2160" w:type="dxa"/>
            <w:vAlign w:val="center"/>
          </w:tcPr>
          <w:p w14:paraId="5571902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00B4BC6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General principle: Develop an individualized treatment plan based on gestational stage, tumor stage, and the patient's fertility preservation needs.  </w:t>
            </w:r>
            <w:r w:rsidRPr="00CB2EC4">
              <w:rPr>
                <w:rFonts w:ascii="Times New Roman" w:hAnsi="Times New Roman" w:cs="Times New Roman"/>
              </w:rPr>
              <w:br/>
              <w:t xml:space="preserve">- Stage-based treatment strategies:  </w:t>
            </w:r>
            <w:r w:rsidRPr="00CB2EC4">
              <w:rPr>
                <w:rFonts w:ascii="Times New Roman" w:hAnsi="Times New Roman" w:cs="Times New Roman"/>
              </w:rPr>
              <w:br/>
              <w:t xml:space="preserve">  1. Early pregnancy (≤20 weeks):  </w:t>
            </w:r>
            <w:r w:rsidRPr="00CB2EC4">
              <w:rPr>
                <w:rFonts w:ascii="Times New Roman" w:hAnsi="Times New Roman" w:cs="Times New Roman"/>
              </w:rPr>
              <w:br/>
              <w:t xml:space="preserve">     - Terminate pregnancy immediately and initiate cervical cancer treatment (surgery or radiotherapy).  </w:t>
            </w:r>
            <w:r w:rsidRPr="00CB2EC4">
              <w:rPr>
                <w:rFonts w:ascii="Times New Roman" w:hAnsi="Times New Roman" w:cs="Times New Roman"/>
              </w:rPr>
              <w:br/>
              <w:t xml:space="preserve">     - For IB/IIA stage without surgical contraindications, radical hysterectomy with pelvic lymphadenectomy is the first choice.  </w:t>
            </w:r>
            <w:r w:rsidRPr="00CB2EC4">
              <w:rPr>
                <w:rFonts w:ascii="Times New Roman" w:hAnsi="Times New Roman" w:cs="Times New Roman"/>
              </w:rPr>
              <w:br/>
              <w:t xml:space="preserve">  2. Mid-pregnancy (&gt;20 weeks):  </w:t>
            </w:r>
            <w:r w:rsidRPr="00CB2EC4">
              <w:rPr>
                <w:rFonts w:ascii="Times New Roman" w:hAnsi="Times New Roman" w:cs="Times New Roman"/>
              </w:rPr>
              <w:br/>
              <w:t xml:space="preserve">     - If fertility preservation is desired, delay treatment until 38 weeks and perform cesarean section, followed by radical surgery as soon as possible.  </w:t>
            </w:r>
            <w:r w:rsidRPr="00CB2EC4">
              <w:rPr>
                <w:rFonts w:ascii="Times New Roman" w:hAnsi="Times New Roman" w:cs="Times New Roman"/>
              </w:rPr>
              <w:br/>
              <w:t xml:space="preserve">     - For locally advanced cases, perform classical cesarean section first, then administer 2–3 cycles of neoadjuvant chemotherapy, followed by radical surgery.  </w:t>
            </w:r>
            <w:r w:rsidRPr="00CB2EC4">
              <w:rPr>
                <w:rFonts w:ascii="Times New Roman" w:hAnsi="Times New Roman" w:cs="Times New Roman"/>
              </w:rPr>
              <w:br/>
              <w:t xml:space="preserve">  3. Late pregnancy (≥38 weeks):  </w:t>
            </w:r>
            <w:r w:rsidRPr="00CB2EC4">
              <w:rPr>
                <w:rFonts w:ascii="Times New Roman" w:hAnsi="Times New Roman" w:cs="Times New Roman"/>
              </w:rPr>
              <w:br/>
              <w:t xml:space="preserve">     - Perform classical cesarean section to terminate pregnancy, and initiate radiotherapy or concurrent chemoradiotherapy within 10 days postpartum.  </w:t>
            </w:r>
            <w:r w:rsidRPr="00CB2EC4">
              <w:rPr>
                <w:rFonts w:ascii="Times New Roman" w:hAnsi="Times New Roman" w:cs="Times New Roman"/>
              </w:rPr>
              <w:br/>
              <w:t xml:space="preserve">- Special situations:  </w:t>
            </w:r>
            <w:r w:rsidRPr="00CB2EC4">
              <w:rPr>
                <w:rFonts w:ascii="Times New Roman" w:hAnsi="Times New Roman" w:cs="Times New Roman"/>
              </w:rPr>
              <w:br/>
              <w:t xml:space="preserve">  - For locally advanced lesions, neoadjuvant chemotherapy may be given first, followed by surgery ([HyDE similarity: 0.668]).  </w:t>
            </w:r>
            <w:r w:rsidRPr="00CB2EC4">
              <w:rPr>
                <w:rFonts w:ascii="Times New Roman" w:hAnsi="Times New Roman" w:cs="Times New Roman"/>
              </w:rPr>
              <w:br/>
              <w:t xml:space="preserve">  - For patients with surgical contraindications, radiotherapy is indicated; the principle is to start with </w:t>
            </w:r>
            <w:r w:rsidRPr="00CB2EC4">
              <w:rPr>
                <w:rFonts w:ascii="Times New Roman" w:hAnsi="Times New Roman" w:cs="Times New Roman"/>
              </w:rPr>
              <w:lastRenderedPageBreak/>
              <w:t>external beam radiotherapy to shrink the tumor and induce abortion, then complete brachytherapy after abortion ([HyDE similarity: 0.668]).</w:t>
            </w:r>
          </w:p>
        </w:tc>
        <w:tc>
          <w:tcPr>
            <w:tcW w:w="1152" w:type="dxa"/>
            <w:vAlign w:val="center"/>
          </w:tcPr>
          <w:p w14:paraId="30AD96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78BA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9459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B53BF6" w14:textId="77777777">
        <w:tc>
          <w:tcPr>
            <w:tcW w:w="2160" w:type="dxa"/>
            <w:vAlign w:val="center"/>
          </w:tcPr>
          <w:p w14:paraId="55EA0656"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E01E1CB" w14:textId="77777777" w:rsidR="00922249" w:rsidRPr="00CB2EC4" w:rsidRDefault="003011D5">
            <w:pPr>
              <w:rPr>
                <w:rFonts w:ascii="Times New Roman" w:hAnsi="Times New Roman" w:cs="Times New Roman"/>
              </w:rPr>
            </w:pPr>
            <w:r w:rsidRPr="00CB2EC4">
              <w:rPr>
                <w:rFonts w:ascii="Times New Roman" w:hAnsi="Times New Roman" w:cs="Times New Roman"/>
              </w:rPr>
              <w:t>the treatment strategies for cervical cancer during pregnancy are determined based on the gestational stage, cancer stage, and the patient's fertility wishes. the general principles are as follows:</w:t>
            </w:r>
            <w:r w:rsidRPr="00CB2EC4">
              <w:rPr>
                <w:rFonts w:ascii="Times New Roman" w:hAnsi="Times New Roman" w:cs="Times New Roman"/>
              </w:rPr>
              <w:br/>
            </w:r>
            <w:r w:rsidRPr="00CB2EC4">
              <w:rPr>
                <w:rFonts w:ascii="Times New Roman" w:hAnsi="Times New Roman" w:cs="Times New Roman"/>
              </w:rPr>
              <w:br/>
              <w:t>- **overall treatment strategy**:</w:t>
            </w:r>
            <w:r w:rsidRPr="00CB2EC4">
              <w:rPr>
                <w:rFonts w:ascii="Times New Roman" w:hAnsi="Times New Roman" w:cs="Times New Roman"/>
              </w:rPr>
              <w:br/>
              <w:t xml:space="preserve">  - surgery and radiotherapy are the mainstays, supplemented by chemotherapy. multidisciplinary team involvement is essential, following the same principles as for non-pregnant cervical cancer patients.</w:t>
            </w:r>
            <w:r w:rsidRPr="00CB2EC4">
              <w:rPr>
                <w:rFonts w:ascii="Times New Roman" w:hAnsi="Times New Roman" w:cs="Times New Roman"/>
              </w:rPr>
              <w:br/>
              <w:t xml:space="preserve">  - fertility-sparing options: for young patients (e.g., ≤45 years), conservative surgery (such as radical trachelectomy) may be considered, particularly in ib1 or iia1 stages.</w:t>
            </w:r>
            <w:r w:rsidRPr="00CB2EC4">
              <w:rPr>
                <w:rFonts w:ascii="Times New Roman" w:hAnsi="Times New Roman" w:cs="Times New Roman"/>
              </w:rPr>
              <w:br/>
            </w:r>
            <w:r w:rsidRPr="00CB2EC4">
              <w:rPr>
                <w:rFonts w:ascii="Times New Roman" w:hAnsi="Times New Roman" w:cs="Times New Roman"/>
              </w:rPr>
              <w:br/>
              <w:t>- **differences by gestational stage**:</w:t>
            </w:r>
            <w:r w:rsidRPr="00CB2EC4">
              <w:rPr>
                <w:rFonts w:ascii="Times New Roman" w:hAnsi="Times New Roman" w:cs="Times New Roman"/>
              </w:rPr>
              <w:br/>
              <w:t xml:space="preserve">  - **early pregnancy (before 20 weeks)**:</w:t>
            </w:r>
            <w:r w:rsidRPr="00CB2EC4">
              <w:rPr>
                <w:rFonts w:ascii="Times New Roman" w:hAnsi="Times New Roman" w:cs="Times New Roman"/>
              </w:rPr>
              <w:br/>
              <w:t xml:space="preserve">    - immediate termination of pregnancy followed by cervical cancer treatment is recommended.</w:t>
            </w:r>
            <w:r w:rsidRPr="00CB2EC4">
              <w:rPr>
                <w:rFonts w:ascii="Times New Roman" w:hAnsi="Times New Roman" w:cs="Times New Roman"/>
              </w:rPr>
              <w:br/>
              <w:t xml:space="preserve">    - treatment modality depends on stage:</w:t>
            </w:r>
            <w:r w:rsidRPr="00CB2EC4">
              <w:rPr>
                <w:rFonts w:ascii="Times New Roman" w:hAnsi="Times New Roman" w:cs="Times New Roman"/>
              </w:rPr>
              <w:br/>
              <w:t xml:space="preserve">      - ib1 or iia1: preferred treatment is radical hysterectomy with pelvic lymphadenectomy, which may be preceded by therapeutic abortion or in-utero fetal surgery.</w:t>
            </w:r>
            <w:r w:rsidRPr="00CB2EC4">
              <w:rPr>
                <w:rFonts w:ascii="Times New Roman" w:hAnsi="Times New Roman" w:cs="Times New Roman"/>
              </w:rPr>
              <w:br/>
              <w:t xml:space="preserve">      - locally advanced cancer: initiate with 1–2 cycles of platinum-based neoadjuvant chemotherapy, followed by radical surgery.</w:t>
            </w:r>
            <w:r w:rsidRPr="00CB2EC4">
              <w:rPr>
                <w:rFonts w:ascii="Times New Roman" w:hAnsi="Times New Roman" w:cs="Times New Roman"/>
              </w:rPr>
              <w:br/>
              <w:t xml:space="preserve">    - radiotherapy is avoided due to risk of spontaneous abortion; surgery is the first choice.</w:t>
            </w:r>
            <w:r w:rsidRPr="00CB2EC4">
              <w:rPr>
                <w:rFonts w:ascii="Times New Roman" w:hAnsi="Times New Roman" w:cs="Times New Roman"/>
              </w:rPr>
              <w:br/>
            </w:r>
            <w:r w:rsidRPr="00CB2EC4">
              <w:rPr>
                <w:rFonts w:ascii="Times New Roman" w:hAnsi="Times New Roman" w:cs="Times New Roman"/>
              </w:rPr>
              <w:br/>
              <w:t xml:space="preserve">  - **mid-pregnancy (20–38 weeks)**:</w:t>
            </w:r>
            <w:r w:rsidRPr="00CB2EC4">
              <w:rPr>
                <w:rFonts w:ascii="Times New Roman" w:hAnsi="Times New Roman" w:cs="Times New Roman"/>
              </w:rPr>
              <w:br/>
            </w:r>
            <w:r w:rsidRPr="00CB2EC4">
              <w:rPr>
                <w:rFonts w:ascii="Times New Roman" w:hAnsi="Times New Roman" w:cs="Times New Roman"/>
              </w:rPr>
              <w:lastRenderedPageBreak/>
              <w:t xml:space="preserve">    - if the patient desires fertility and has no children, treatment may be delayed until approximately 38 weeks, followed by radical hysterectomy.</w:t>
            </w:r>
            <w:r w:rsidRPr="00CB2EC4">
              <w:rPr>
                <w:rFonts w:ascii="Times New Roman" w:hAnsi="Times New Roman" w:cs="Times New Roman"/>
              </w:rPr>
              <w:br/>
              <w:t xml:space="preserve">    - if fertility is not desired, terminate pregnancy immediately and begin cancer treatment.</w:t>
            </w:r>
            <w:r w:rsidRPr="00CB2EC4">
              <w:rPr>
                <w:rFonts w:ascii="Times New Roman" w:hAnsi="Times New Roman" w:cs="Times New Roman"/>
              </w:rPr>
              <w:br/>
              <w:t xml:space="preserve">    - for locally advanced cervical lesions: perform classical cesarean section first, followed by 2–3 cycles of neoadjuvant chemotherapy, then radical surgery.</w:t>
            </w:r>
            <w:r w:rsidRPr="00CB2EC4">
              <w:rPr>
                <w:rFonts w:ascii="Times New Roman" w:hAnsi="Times New Roman" w:cs="Times New Roman"/>
              </w:rPr>
              <w:br/>
              <w:t xml:space="preserve">    - for patients with surgical contraindications: radiotherapy (initiate with external beam radiation to reduce tumor size and induce spontaneous abortion, then complete radiotherapy after abortion) or concurrent chemoradiotherapy may be used.</w:t>
            </w:r>
            <w:r w:rsidRPr="00CB2EC4">
              <w:rPr>
                <w:rFonts w:ascii="Times New Roman" w:hAnsi="Times New Roman" w:cs="Times New Roman"/>
              </w:rPr>
              <w:br/>
              <w:t xml:space="preserve">    - mid-to-late pregnancy may allow continuation of pregnancy with surgery or chemotherapy under strict patient selection.</w:t>
            </w:r>
            <w:r w:rsidRPr="00CB2EC4">
              <w:rPr>
                <w:rFonts w:ascii="Times New Roman" w:hAnsi="Times New Roman" w:cs="Times New Roman"/>
              </w:rPr>
              <w:br/>
            </w:r>
            <w:r w:rsidRPr="00CB2EC4">
              <w:rPr>
                <w:rFonts w:ascii="Times New Roman" w:hAnsi="Times New Roman" w:cs="Times New Roman"/>
              </w:rPr>
              <w:br/>
              <w:t xml:space="preserve">  - **late pregnancy (after 38 weeks)**:</w:t>
            </w:r>
            <w:r w:rsidRPr="00CB2EC4">
              <w:rPr>
                <w:rFonts w:ascii="Times New Roman" w:hAnsi="Times New Roman" w:cs="Times New Roman"/>
              </w:rPr>
              <w:br/>
              <w:t xml:space="preserve">    - await delivery until 38 weeks via classical cesarean section, followed immediately or as soon as possible by radical hysterectomy with pelvic lymphadenectomy.</w:t>
            </w:r>
            <w:r w:rsidRPr="00CB2EC4">
              <w:rPr>
                <w:rFonts w:ascii="Times New Roman" w:hAnsi="Times New Roman" w:cs="Times New Roman"/>
              </w:rPr>
              <w:br/>
              <w:t xml:space="preserve">    - if postoperative radiotherapy is indicated, it should begin within 10 days after delivery.</w:t>
            </w:r>
            <w:r w:rsidRPr="00CB2EC4">
              <w:rPr>
                <w:rFonts w:ascii="Times New Roman" w:hAnsi="Times New Roman" w:cs="Times New Roman"/>
              </w:rPr>
              <w:br/>
              <w:t xml:space="preserve">    - for ia2–ib2 stages, delayed treatment has not shown adverse outcomes; however, caution is required for more advanced stages.</w:t>
            </w:r>
            <w:r w:rsidRPr="00CB2EC4">
              <w:rPr>
                <w:rFonts w:ascii="Times New Roman" w:hAnsi="Times New Roman" w:cs="Times New Roman"/>
              </w:rPr>
              <w:br/>
            </w:r>
            <w:r w:rsidRPr="00CB2EC4">
              <w:rPr>
                <w:rFonts w:ascii="Times New Roman" w:hAnsi="Times New Roman" w:cs="Times New Roman"/>
              </w:rPr>
              <w:br/>
              <w:t>in summary, treatment strategy differences are primarily based on gestational stage: early pregnancy favors termination and prompt treatment; mid-to-late pregnancy may permit delayed treatment to preserve fetal viability, requiring individualized assessment.</w:t>
            </w:r>
          </w:p>
        </w:tc>
        <w:tc>
          <w:tcPr>
            <w:tcW w:w="1152" w:type="dxa"/>
            <w:vAlign w:val="center"/>
          </w:tcPr>
          <w:p w14:paraId="793FE6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37456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3761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3A359C" w14:textId="77777777">
        <w:tc>
          <w:tcPr>
            <w:tcW w:w="2160" w:type="dxa"/>
            <w:vAlign w:val="center"/>
          </w:tcPr>
          <w:p w14:paraId="37CA04F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C2C4A5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treatment strategies for cervical cancer during </w:t>
            </w:r>
            <w:r w:rsidRPr="00CB2EC4">
              <w:rPr>
                <w:rFonts w:ascii="Times New Roman" w:hAnsi="Times New Roman" w:cs="Times New Roman"/>
              </w:rPr>
              <w:lastRenderedPageBreak/>
              <w:t xml:space="preserve">pregnancy:  </w:t>
            </w:r>
            <w:r w:rsidRPr="00CB2EC4">
              <w:rPr>
                <w:rFonts w:ascii="Times New Roman" w:hAnsi="Times New Roman" w:cs="Times New Roman"/>
              </w:rPr>
              <w:br/>
              <w:t xml:space="preserve">- overall principle: multidisciplinary team assessment required; decisions based on gestational age, cancer stage, and patient's fertility wishes (document fragments 8, 9).  </w:t>
            </w:r>
            <w:r w:rsidRPr="00CB2EC4">
              <w:rPr>
                <w:rFonts w:ascii="Times New Roman" w:hAnsi="Times New Roman" w:cs="Times New Roman"/>
              </w:rPr>
              <w:br/>
              <w:t xml:space="preserve">- stage-based and gestational differences:  </w:t>
            </w:r>
            <w:r w:rsidRPr="00CB2EC4">
              <w:rPr>
                <w:rFonts w:ascii="Times New Roman" w:hAnsi="Times New Roman" w:cs="Times New Roman"/>
              </w:rPr>
              <w:br/>
              <w:t xml:space="preserve">  - early pregnancy (&lt;20 weeks):  </w:t>
            </w:r>
            <w:r w:rsidRPr="00CB2EC4">
              <w:rPr>
                <w:rFonts w:ascii="Times New Roman" w:hAnsi="Times New Roman" w:cs="Times New Roman"/>
              </w:rPr>
              <w:br/>
              <w:t xml:space="preserve">    - terminate pregnancy and initiate immediate treatment:  </w:t>
            </w:r>
            <w:r w:rsidRPr="00CB2EC4">
              <w:rPr>
                <w:rFonts w:ascii="Times New Roman" w:hAnsi="Times New Roman" w:cs="Times New Roman"/>
              </w:rPr>
              <w:br/>
              <w:t xml:space="preserve">      - ib/iia stage: radical hysterectomy + lymph node dissection  </w:t>
            </w:r>
            <w:r w:rsidRPr="00CB2EC4">
              <w:rPr>
                <w:rFonts w:ascii="Times New Roman" w:hAnsi="Times New Roman" w:cs="Times New Roman"/>
              </w:rPr>
              <w:br/>
              <w:t xml:space="preserve">      - locally advanced disease: neoadjuvant chemotherapy followed by surgery (document fragments 8, 9)  </w:t>
            </w:r>
            <w:r w:rsidRPr="00CB2EC4">
              <w:rPr>
                <w:rFonts w:ascii="Times New Roman" w:hAnsi="Times New Roman" w:cs="Times New Roman"/>
              </w:rPr>
              <w:br/>
              <w:t xml:space="preserve">  - mid-pregnancy (20-38 weeks):  </w:t>
            </w:r>
            <w:r w:rsidRPr="00CB2EC4">
              <w:rPr>
                <w:rFonts w:ascii="Times New Roman" w:hAnsi="Times New Roman" w:cs="Times New Roman"/>
              </w:rPr>
              <w:br/>
              <w:t xml:space="preserve">    - no fertility desire: terminate pregnancy then treat (same as early pregnancy)  </w:t>
            </w:r>
            <w:r w:rsidRPr="00CB2EC4">
              <w:rPr>
                <w:rFonts w:ascii="Times New Roman" w:hAnsi="Times New Roman" w:cs="Times New Roman"/>
              </w:rPr>
              <w:br/>
              <w:t xml:space="preserve">    - with fertility desire: delay treatment until 38 weeks, perform cesarean section followed by radical surgery; for locally advanced disease, neoadjuvant chemotherapy after cesarean section then surgery (document fragments 8, 9)  </w:t>
            </w:r>
            <w:r w:rsidRPr="00CB2EC4">
              <w:rPr>
                <w:rFonts w:ascii="Times New Roman" w:hAnsi="Times New Roman" w:cs="Times New Roman"/>
              </w:rPr>
              <w:br/>
              <w:t xml:space="preserve">  - late pregnancy (≥38 weeks):  </w:t>
            </w:r>
            <w:r w:rsidRPr="00CB2EC4">
              <w:rPr>
                <w:rFonts w:ascii="Times New Roman" w:hAnsi="Times New Roman" w:cs="Times New Roman"/>
              </w:rPr>
              <w:br/>
              <w:t xml:space="preserve">    - classical cesarean section to terminate pregnancy, start concurrent chemoradiation within 10 days postpartum (document fragments 8, 9)  </w:t>
            </w:r>
            <w:r w:rsidRPr="00CB2EC4">
              <w:rPr>
                <w:rFonts w:ascii="Times New Roman" w:hAnsi="Times New Roman" w:cs="Times New Roman"/>
              </w:rPr>
              <w:br/>
              <w:t xml:space="preserve">- special considerations:  </w:t>
            </w:r>
            <w:r w:rsidRPr="00CB2EC4">
              <w:rPr>
                <w:rFonts w:ascii="Times New Roman" w:hAnsi="Times New Roman" w:cs="Times New Roman"/>
              </w:rPr>
              <w:br/>
              <w:t xml:space="preserve">  - vaginal delivery contraindicated: to avoid tumor dissemination and bleeding risk (document fragment 9)  </w:t>
            </w:r>
            <w:r w:rsidRPr="00CB2EC4">
              <w:rPr>
                <w:rFonts w:ascii="Times New Roman" w:hAnsi="Times New Roman" w:cs="Times New Roman"/>
              </w:rPr>
              <w:br/>
              <w:t xml:space="preserve">  - close monitoring: repeat colposcopy/cytology every 4 weeks; advance intervention if disease progression (document fragment 9)</w:t>
            </w:r>
          </w:p>
        </w:tc>
        <w:tc>
          <w:tcPr>
            <w:tcW w:w="1152" w:type="dxa"/>
            <w:vAlign w:val="center"/>
          </w:tcPr>
          <w:p w14:paraId="2A2D06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C4D48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E74B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CB6EF26" w14:textId="77777777">
        <w:tc>
          <w:tcPr>
            <w:tcW w:w="2160" w:type="dxa"/>
            <w:vAlign w:val="center"/>
          </w:tcPr>
          <w:p w14:paraId="7B278ED7"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79FC0E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what are the treatment strategies for cervical cancer </w:t>
            </w:r>
            <w:r w:rsidRPr="00CB2EC4">
              <w:rPr>
                <w:rFonts w:ascii="Times New Roman" w:hAnsi="Times New Roman" w:cs="Times New Roman"/>
              </w:rPr>
              <w:lastRenderedPageBreak/>
              <w:t>patients during pregnancy? how does treatment differ in early, mid, and late pregnancy?</w:t>
            </w:r>
            <w:r w:rsidRPr="00CB2EC4">
              <w:rPr>
                <w:rFonts w:ascii="Times New Roman" w:hAnsi="Times New Roman" w:cs="Times New Roman"/>
              </w:rPr>
              <w:br/>
            </w:r>
            <w:r w:rsidRPr="00CB2EC4">
              <w:rPr>
                <w:rFonts w:ascii="Times New Roman" w:hAnsi="Times New Roman" w:cs="Times New Roman"/>
              </w:rPr>
              <w:br/>
              <w:t>based on contextual information (primarily from [document fragment 15]):</w:t>
            </w:r>
            <w:r w:rsidRPr="00CB2EC4">
              <w:rPr>
                <w:rFonts w:ascii="Times New Roman" w:hAnsi="Times New Roman" w:cs="Times New Roman"/>
              </w:rPr>
              <w:br/>
              <w:t>- general principle: cervical cancer diagnosed during pregnancy should consider termination of pregnancy followed by surgery or radiotherapy. due to rich pelvic blood flow facilitating metastasis, treatment must be prompt. specific strategies are adjusted according to gestational stage and cancer stage:</w:t>
            </w:r>
            <w:r w:rsidRPr="00CB2EC4">
              <w:rPr>
                <w:rFonts w:ascii="Times New Roman" w:hAnsi="Times New Roman" w:cs="Times New Roman"/>
              </w:rPr>
              <w:br/>
              <w:t xml:space="preserve">  - early pregnancy (before 20 weeks):</w:t>
            </w:r>
            <w:r w:rsidRPr="00CB2EC4">
              <w:rPr>
                <w:rFonts w:ascii="Times New Roman" w:hAnsi="Times New Roman" w:cs="Times New Roman"/>
              </w:rPr>
              <w:br/>
              <w:t xml:space="preserve">    - terminate pregnancy immediately.</w:t>
            </w:r>
            <w:r w:rsidRPr="00CB2EC4">
              <w:rPr>
                <w:rFonts w:ascii="Times New Roman" w:hAnsi="Times New Roman" w:cs="Times New Roman"/>
              </w:rPr>
              <w:br/>
              <w:t xml:space="preserve">    - for ib and iia stage patients without surgical contraindications, radical hysterectomy with pelvic lymphadenectomy (ovarian preservation) is the first choice.</w:t>
            </w:r>
            <w:r w:rsidRPr="00CB2EC4">
              <w:rPr>
                <w:rFonts w:ascii="Times New Roman" w:hAnsi="Times New Roman" w:cs="Times New Roman"/>
              </w:rPr>
              <w:br/>
              <w:t xml:space="preserve">    - direct surgery with fetus in utero or terminate pregnancy first then operate are both options.</w:t>
            </w:r>
            <w:r w:rsidRPr="00CB2EC4">
              <w:rPr>
                <w:rFonts w:ascii="Times New Roman" w:hAnsi="Times New Roman" w:cs="Times New Roman"/>
              </w:rPr>
              <w:br/>
              <w:t xml:space="preserve">    - for locally advanced lesions, neoadjuvant chemotherapy with platinum-based regimens for 1–2 cycles may precede radical surgery.</w:t>
            </w:r>
            <w:r w:rsidRPr="00CB2EC4">
              <w:rPr>
                <w:rFonts w:ascii="Times New Roman" w:hAnsi="Times New Roman" w:cs="Times New Roman"/>
              </w:rPr>
              <w:br/>
              <w:t xml:space="preserve">    - patients with high-risk factors receive adjuvant radiotherapy or chemotherapy postoperatively.</w:t>
            </w:r>
            <w:r w:rsidRPr="00CB2EC4">
              <w:rPr>
                <w:rFonts w:ascii="Times New Roman" w:hAnsi="Times New Roman" w:cs="Times New Roman"/>
              </w:rPr>
              <w:br/>
              <w:t xml:space="preserve">    - (see [document fragment 15]: "early pregnancy and early mid-pregnancy (before 20 weeks): terminate pregnancy immediately, begin cervical cancer treatment... first choice is radical hysterectomy with pelvic lymphadenectomy")</w:t>
            </w:r>
            <w:r w:rsidRPr="00CB2EC4">
              <w:rPr>
                <w:rFonts w:ascii="Times New Roman" w:hAnsi="Times New Roman" w:cs="Times New Roman"/>
              </w:rPr>
              <w:br/>
            </w:r>
            <w:r w:rsidRPr="00CB2EC4">
              <w:rPr>
                <w:rFonts w:ascii="Times New Roman" w:hAnsi="Times New Roman" w:cs="Times New Roman"/>
              </w:rPr>
              <w:br/>
              <w:t xml:space="preserve">  - mid and late pregnancy (after 20 weeks):</w:t>
            </w:r>
            <w:r w:rsidRPr="00CB2EC4">
              <w:rPr>
                <w:rFonts w:ascii="Times New Roman" w:hAnsi="Times New Roman" w:cs="Times New Roman"/>
              </w:rPr>
              <w:br/>
              <w:t xml:space="preserve">    - if fertility preservation is desired: wait until approximately 38 weeks for classical cesarean section, followed immediately or as soon as possible by </w:t>
            </w:r>
            <w:r w:rsidRPr="00CB2EC4">
              <w:rPr>
                <w:rFonts w:ascii="Times New Roman" w:hAnsi="Times New Roman" w:cs="Times New Roman"/>
              </w:rPr>
              <w:lastRenderedPageBreak/>
              <w:t>radical hysterectomy with pelvic lymphadenectomy (ovarian preservation). for locally advanced lesions, perform cesarean section first, then 2–3 cycles of neoadjuvant chemotherapy before radical surgery.</w:t>
            </w:r>
            <w:r w:rsidRPr="00CB2EC4">
              <w:rPr>
                <w:rFonts w:ascii="Times New Roman" w:hAnsi="Times New Roman" w:cs="Times New Roman"/>
              </w:rPr>
              <w:br/>
              <w:t xml:space="preserve">    - if no fertility desire: terminate pregnancy immediately and begin cervical cancer treatment, following the same principles as early pregnancy.</w:t>
            </w:r>
            <w:r w:rsidRPr="00CB2EC4">
              <w:rPr>
                <w:rFonts w:ascii="Times New Roman" w:hAnsi="Times New Roman" w:cs="Times New Roman"/>
              </w:rPr>
              <w:br/>
              <w:t xml:space="preserve">    - for ib stage and above, radiotherapy is the mainstay; for patients with surgical contraindications, radiotherapy (initiate external beam radiotherapy to shrink tumor and induce spontaneous abortion, then complete external beam and brachytherapy after abortion) may be performed.</w:t>
            </w:r>
            <w:r w:rsidRPr="00CB2EC4">
              <w:rPr>
                <w:rFonts w:ascii="Times New Roman" w:hAnsi="Times New Roman" w:cs="Times New Roman"/>
              </w:rPr>
              <w:br/>
              <w:t xml:space="preserve">    - (see [document fragment 15]: "late mid-pregnancy and late pregnancy (after 20 weeks)... if childless and desiring fertility, may wait until ~38 weeks for classical or cesarean section, then radical hysterectomy simultaneously or as soon as possible")</w:t>
            </w:r>
            <w:r w:rsidRPr="00CB2EC4">
              <w:rPr>
                <w:rFonts w:ascii="Times New Roman" w:hAnsi="Times New Roman" w:cs="Times New Roman"/>
              </w:rPr>
              <w:br/>
            </w:r>
            <w:r w:rsidRPr="00CB2EC4">
              <w:rPr>
                <w:rFonts w:ascii="Times New Roman" w:hAnsi="Times New Roman" w:cs="Times New Roman"/>
              </w:rPr>
              <w:br/>
              <w:t>- other considerations:</w:t>
            </w:r>
            <w:r w:rsidRPr="00CB2EC4">
              <w:rPr>
                <w:rFonts w:ascii="Times New Roman" w:hAnsi="Times New Roman" w:cs="Times New Roman"/>
              </w:rPr>
              <w:br/>
              <w:t xml:space="preserve">  - fertility-sparing treatment: only applicable to ia2 and ib stage patients (tumor diameter &lt;2cm, no significant pelvic or lymph node metastasis), requiring negative laparoscopic lymph node biopsy preoperatively ([document fragment 15]).</w:t>
            </w:r>
            <w:r w:rsidRPr="00CB2EC4">
              <w:rPr>
                <w:rFonts w:ascii="Times New Roman" w:hAnsi="Times New Roman" w:cs="Times New Roman"/>
              </w:rPr>
              <w:br/>
              <w:t xml:space="preserve">  - use of radiotherapy: direct radiotherapy during pregnancy should be avoided in principle to prevent fetal injury; after pregnancy termination, concurrent chemoradiotherapy may be used to improve efficacy.</w:t>
            </w:r>
            <w:r w:rsidRPr="00CB2EC4">
              <w:rPr>
                <w:rFonts w:ascii="Times New Roman" w:hAnsi="Times New Roman" w:cs="Times New Roman"/>
              </w:rPr>
              <w:br/>
              <w:t>- key points: treatment must be individualized based on stage, fertility wishes, and patient condition. surgery is preferred for ib/iia stages; radiotherapy dominates for advanced stages.</w:t>
            </w:r>
          </w:p>
        </w:tc>
        <w:tc>
          <w:tcPr>
            <w:tcW w:w="1152" w:type="dxa"/>
            <w:vAlign w:val="center"/>
          </w:tcPr>
          <w:p w14:paraId="06B7F5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A52D1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3AE6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04AA23" w14:textId="77777777">
        <w:tc>
          <w:tcPr>
            <w:tcW w:w="2160" w:type="dxa"/>
            <w:vAlign w:val="center"/>
          </w:tcPr>
          <w:p w14:paraId="61012FE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0597025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treatment strategies for cervical cancer during </w:t>
            </w:r>
            <w:r w:rsidRPr="00CB2EC4">
              <w:rPr>
                <w:rFonts w:ascii="Times New Roman" w:hAnsi="Times New Roman" w:cs="Times New Roman"/>
              </w:rPr>
              <w:lastRenderedPageBreak/>
              <w:t>pregnancy:</w:t>
            </w:r>
            <w:r w:rsidRPr="00CB2EC4">
              <w:rPr>
                <w:rFonts w:ascii="Times New Roman" w:hAnsi="Times New Roman" w:cs="Times New Roman"/>
              </w:rPr>
              <w:br/>
            </w:r>
            <w:r w:rsidRPr="00CB2EC4">
              <w:rPr>
                <w:rFonts w:ascii="Times New Roman" w:hAnsi="Times New Roman" w:cs="Times New Roman"/>
              </w:rPr>
              <w:br/>
              <w:t>overall treatment strategy: cervical cancer in pregnancy requires multidisciplinary team evaluation, prioritizing maternal prognosis and fetal safety. treatment options include surgery, radiotherapy, or delayed treatment, depending on tumor stage and gestational age.</w:t>
            </w:r>
            <w:r w:rsidRPr="00CB2EC4">
              <w:rPr>
                <w:rFonts w:ascii="Times New Roman" w:hAnsi="Times New Roman" w:cs="Times New Roman"/>
              </w:rPr>
              <w:br/>
              <w:t>- treatment differences by gestational stage:</w:t>
            </w:r>
            <w:r w:rsidRPr="00CB2EC4">
              <w:rPr>
                <w:rFonts w:ascii="Times New Roman" w:hAnsi="Times New Roman" w:cs="Times New Roman"/>
              </w:rPr>
              <w:br/>
              <w:t xml:space="preserve">  - first trimester (≤12 weeks): termination of pregnancy is recommended, followed immediately by standard treatment (e.g., surgery or chemoradiation) to avoid treatment delay.</w:t>
            </w:r>
            <w:r w:rsidRPr="00CB2EC4">
              <w:rPr>
                <w:rFonts w:ascii="Times New Roman" w:hAnsi="Times New Roman" w:cs="Times New Roman"/>
              </w:rPr>
              <w:br/>
              <w:t xml:space="preserve">  - second trimester (13–28 weeks): delayed treatment may be considered until fetal viability (approximately after 24 weeks), with close tumor monitoring; if rapid tumor progression occurs, surgery (e.g., trachelectomy) or chemotherapy (avoiding radiotherapy) may be performed. definitive treatment is completed after delivery.</w:t>
            </w:r>
            <w:r w:rsidRPr="00CB2EC4">
              <w:rPr>
                <w:rFonts w:ascii="Times New Roman" w:hAnsi="Times New Roman" w:cs="Times New Roman"/>
              </w:rPr>
              <w:br/>
              <w:t xml:space="preserve">  - third trimester (&gt;28 weeks): treatment is preferably delayed until delivery (often planned as preterm birth), followed immediately by radical treatment postpartum (e.g., hysterectomy or chemoradiation). radiotherapy must be avoided during pregnancy.</w:t>
            </w:r>
          </w:p>
        </w:tc>
        <w:tc>
          <w:tcPr>
            <w:tcW w:w="1152" w:type="dxa"/>
            <w:vAlign w:val="center"/>
          </w:tcPr>
          <w:p w14:paraId="0D4091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1207E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69A00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BD3C585" w14:textId="77777777">
        <w:tc>
          <w:tcPr>
            <w:tcW w:w="2160" w:type="dxa"/>
            <w:vAlign w:val="center"/>
          </w:tcPr>
          <w:p w14:paraId="67000171"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644284B" w14:textId="77777777" w:rsidR="00922249" w:rsidRPr="00CB2EC4" w:rsidRDefault="003011D5">
            <w:pPr>
              <w:rPr>
                <w:rFonts w:ascii="Times New Roman" w:hAnsi="Times New Roman" w:cs="Times New Roman"/>
              </w:rPr>
            </w:pPr>
            <w:r w:rsidRPr="00CB2EC4">
              <w:rPr>
                <w:rFonts w:ascii="Times New Roman" w:hAnsi="Times New Roman" w:cs="Times New Roman"/>
              </w:rPr>
              <w:t>the treatment strategies for cervical cancer patients during pregnancy and the differences in treatment across early, mid, and late pregnancy stages are as follows:</w:t>
            </w:r>
            <w:r w:rsidRPr="00CB2EC4">
              <w:rPr>
                <w:rFonts w:ascii="Times New Roman" w:hAnsi="Times New Roman" w:cs="Times New Roman"/>
              </w:rPr>
              <w:br/>
            </w:r>
            <w:r w:rsidRPr="00CB2EC4">
              <w:rPr>
                <w:rFonts w:ascii="Times New Roman" w:hAnsi="Times New Roman" w:cs="Times New Roman"/>
              </w:rPr>
              <w:br/>
              <w:t xml:space="preserve">- **Overall strategy**: Surgery is the primary approach, with decisions based on gestational stage and fertility preservation needs. For stage IB and IIA, radical hysterectomy with pelvic lymphadenectomy is </w:t>
            </w:r>
            <w:r w:rsidRPr="00CB2EC4">
              <w:rPr>
                <w:rFonts w:ascii="Times New Roman" w:hAnsi="Times New Roman" w:cs="Times New Roman"/>
              </w:rPr>
              <w:lastRenderedPageBreak/>
              <w:t>preferred, with ovarian preservation. Locally advanced cases require neoadjuvant chemotherapy or concurrent chemoradiation.</w:t>
            </w:r>
            <w:r w:rsidRPr="00CB2EC4">
              <w:rPr>
                <w:rFonts w:ascii="Times New Roman" w:hAnsi="Times New Roman" w:cs="Times New Roman"/>
              </w:rPr>
              <w:br/>
            </w:r>
            <w:r w:rsidRPr="00CB2EC4">
              <w:rPr>
                <w:rFonts w:ascii="Times New Roman" w:hAnsi="Times New Roman" w:cs="Times New Roman"/>
              </w:rPr>
              <w:br/>
              <w:t>- **Stage-specific treatment differences**:</w:t>
            </w:r>
            <w:r w:rsidRPr="00CB2EC4">
              <w:rPr>
                <w:rFonts w:ascii="Times New Roman" w:hAnsi="Times New Roman" w:cs="Times New Roman"/>
              </w:rPr>
              <w:br/>
              <w:t xml:space="preserve">  - **Early pregnancy (before 20 weeks)**: Immediately terminate the pregnancy and initiate cervical cancer treatment. Options include radical hysterectomy (with fetus in situ or after abortion) or direct radiotherapy (Document 1).</w:t>
            </w:r>
            <w:r w:rsidRPr="00CB2EC4">
              <w:rPr>
                <w:rFonts w:ascii="Times New Roman" w:hAnsi="Times New Roman" w:cs="Times New Roman"/>
              </w:rPr>
              <w:br/>
              <w:t xml:space="preserve">  - **Mid-pregnancy (20–38 weeks)**:</w:t>
            </w:r>
            <w:r w:rsidRPr="00CB2EC4">
              <w:rPr>
                <w:rFonts w:ascii="Times New Roman" w:hAnsi="Times New Roman" w:cs="Times New Roman"/>
              </w:rPr>
              <w:br/>
              <w:t xml:space="preserve">    - *No fertility preservation desire*: Immediately terminate the pregnancy and treat as in early pregnancy.</w:t>
            </w:r>
            <w:r w:rsidRPr="00CB2EC4">
              <w:rPr>
                <w:rFonts w:ascii="Times New Roman" w:hAnsi="Times New Roman" w:cs="Times New Roman"/>
              </w:rPr>
              <w:br/>
              <w:t xml:space="preserve">    - *Fertility preservation desired*: Delay treatment until 38 weeks, perform classical cesarean section, followed by radical surgery either concurrently or shortly postpartum; for locally advanced lesions, perform cesarean section first, then neoadjuvant chemotherapy followed by surgery (Document 1).</w:t>
            </w:r>
            <w:r w:rsidRPr="00CB2EC4">
              <w:rPr>
                <w:rFonts w:ascii="Times New Roman" w:hAnsi="Times New Roman" w:cs="Times New Roman"/>
              </w:rPr>
              <w:br/>
              <w:t xml:space="preserve">  - **Late pregnancy (after 38 weeks)**: Perform cesarean section to terminate pregnancy, followed by early postpartum surgery; if the fetus is viable, proceed directly to cesarean section followed by concurrent chemoradiation (Document 1).</w:t>
            </w:r>
            <w:r w:rsidRPr="00CB2EC4">
              <w:rPr>
                <w:rFonts w:ascii="Times New Roman" w:hAnsi="Times New Roman" w:cs="Times New Roman"/>
              </w:rPr>
              <w:br/>
            </w:r>
            <w:r w:rsidRPr="00CB2EC4">
              <w:rPr>
                <w:rFonts w:ascii="Times New Roman" w:hAnsi="Times New Roman" w:cs="Times New Roman"/>
              </w:rPr>
              <w:br/>
              <w:t>- **Special considerations**: For small lesions (stage IA2–IB, &lt;2 cm), fertility-sparing radical trachelectomy may be attempted (Document 15).</w:t>
            </w:r>
            <w:r w:rsidRPr="00CB2EC4">
              <w:rPr>
                <w:rFonts w:ascii="Times New Roman" w:hAnsi="Times New Roman" w:cs="Times New Roman"/>
              </w:rPr>
              <w:br/>
            </w:r>
            <w:r w:rsidRPr="00CB2EC4">
              <w:rPr>
                <w:rFonts w:ascii="Times New Roman" w:hAnsi="Times New Roman" w:cs="Times New Roman"/>
              </w:rPr>
              <w:br/>
              <w:t>- **Basis**: Document 1 details management principles for each stage; Document 15 supplements fertility-preserving options.</w:t>
            </w:r>
          </w:p>
        </w:tc>
        <w:tc>
          <w:tcPr>
            <w:tcW w:w="1152" w:type="dxa"/>
            <w:vAlign w:val="center"/>
          </w:tcPr>
          <w:p w14:paraId="7FCA69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338DD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921F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AF785D" w14:textId="77777777">
        <w:tc>
          <w:tcPr>
            <w:tcW w:w="2160" w:type="dxa"/>
            <w:vAlign w:val="center"/>
          </w:tcPr>
          <w:p w14:paraId="564D3FF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C9C50A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treatment strategies for cervical cancer patients </w:t>
            </w:r>
            <w:r w:rsidRPr="00CB2EC4">
              <w:rPr>
                <w:rFonts w:ascii="Times New Roman" w:hAnsi="Times New Roman" w:cs="Times New Roman"/>
              </w:rPr>
              <w:lastRenderedPageBreak/>
              <w:t>during pregnancy are determined based on the gestational stage, cancer stage, and patient preferences, with emphasis on multidisciplinary team involvement. the general principle is: termination of pregnancy is prioritized followed by treatment in early gestation (&lt;20 weeks); in mid and late gestation (≥20 weeks), treatment may be delayed until fetal viability (~38 weeks), followed by cesarean delivery and concurrent surgery; radiotherapy may cause miscarriage and should be used with caution.</w:t>
            </w:r>
            <w:r w:rsidRPr="00CB2EC4">
              <w:rPr>
                <w:rFonts w:ascii="Times New Roman" w:hAnsi="Times New Roman" w:cs="Times New Roman"/>
              </w:rPr>
              <w:br/>
            </w:r>
            <w:r w:rsidRPr="00CB2EC4">
              <w:rPr>
                <w:rFonts w:ascii="Times New Roman" w:hAnsi="Times New Roman" w:cs="Times New Roman"/>
              </w:rPr>
              <w:br/>
              <w:t>- overall strategy:</w:t>
            </w:r>
            <w:r w:rsidRPr="00CB2EC4">
              <w:rPr>
                <w:rFonts w:ascii="Times New Roman" w:hAnsi="Times New Roman" w:cs="Times New Roman"/>
              </w:rPr>
              <w:br/>
              <w:t xml:space="preserve">  - management follows principles for non-pregnant patients but requires balancing maternal and fetal health (source 3).</w:t>
            </w:r>
            <w:r w:rsidRPr="00CB2EC4">
              <w:rPr>
                <w:rFonts w:ascii="Times New Roman" w:hAnsi="Times New Roman" w:cs="Times New Roman"/>
              </w:rPr>
              <w:br/>
              <w:t xml:space="preserve">  - early-stage cervical cancer (e.g., ia2–ib2) may be treated with surgery; advanced stages primarily with radiotherapy (sources 3 and 10).</w:t>
            </w:r>
            <w:r w:rsidRPr="00CB2EC4">
              <w:rPr>
                <w:rFonts w:ascii="Times New Roman" w:hAnsi="Times New Roman" w:cs="Times New Roman"/>
              </w:rPr>
              <w:br/>
              <w:t xml:space="preserve">  - neoadjuvant chemotherapy can be used for locally advanced cases to control disease progression (source 3).</w:t>
            </w:r>
            <w:r w:rsidRPr="00CB2EC4">
              <w:rPr>
                <w:rFonts w:ascii="Times New Roman" w:hAnsi="Times New Roman" w:cs="Times New Roman"/>
              </w:rPr>
              <w:br/>
            </w:r>
            <w:r w:rsidRPr="00CB2EC4">
              <w:rPr>
                <w:rFonts w:ascii="Times New Roman" w:hAnsi="Times New Roman" w:cs="Times New Roman"/>
              </w:rPr>
              <w:br/>
              <w:t>- differences by gestational stage:</w:t>
            </w:r>
            <w:r w:rsidRPr="00CB2EC4">
              <w:rPr>
                <w:rFonts w:ascii="Times New Roman" w:hAnsi="Times New Roman" w:cs="Times New Roman"/>
              </w:rPr>
              <w:br/>
              <w:t xml:space="preserve">  - early pregnancy (&lt;20 weeks):</w:t>
            </w:r>
            <w:r w:rsidRPr="00CB2EC4">
              <w:rPr>
                <w:rFonts w:ascii="Times New Roman" w:hAnsi="Times New Roman" w:cs="Times New Roman"/>
              </w:rPr>
              <w:br/>
              <w:t xml:space="preserve">    - immediate termination of pregnancy (via abortion or dilation and curettage), followed by initiation of cervical cancer treatment (sources 3 and 10).</w:t>
            </w:r>
            <w:r w:rsidRPr="00CB2EC4">
              <w:rPr>
                <w:rFonts w:ascii="Times New Roman" w:hAnsi="Times New Roman" w:cs="Times New Roman"/>
              </w:rPr>
              <w:br/>
              <w:t xml:space="preserve">    - radical hysterectomy with pelvic lymphadenectomy is the preferred surgical option (source 10).</w:t>
            </w:r>
            <w:r w:rsidRPr="00CB2EC4">
              <w:rPr>
                <w:rFonts w:ascii="Times New Roman" w:hAnsi="Times New Roman" w:cs="Times New Roman"/>
              </w:rPr>
              <w:br/>
              <w:t xml:space="preserve">    - radiotherapy may cause spontaneous abortion and is generally not the first choice (source 3).</w:t>
            </w:r>
            <w:r w:rsidRPr="00CB2EC4">
              <w:rPr>
                <w:rFonts w:ascii="Times New Roman" w:hAnsi="Times New Roman" w:cs="Times New Roman"/>
              </w:rPr>
              <w:br/>
            </w:r>
            <w:r w:rsidRPr="00CB2EC4">
              <w:rPr>
                <w:rFonts w:ascii="Times New Roman" w:hAnsi="Times New Roman" w:cs="Times New Roman"/>
              </w:rPr>
              <w:br/>
              <w:t xml:space="preserve">  - mid-pregnancy (20 weeks to late gestation):</w:t>
            </w:r>
            <w:r w:rsidRPr="00CB2EC4">
              <w:rPr>
                <w:rFonts w:ascii="Times New Roman" w:hAnsi="Times New Roman" w:cs="Times New Roman"/>
              </w:rPr>
              <w:br/>
            </w:r>
            <w:r w:rsidRPr="00CB2EC4">
              <w:rPr>
                <w:rFonts w:ascii="Times New Roman" w:hAnsi="Times New Roman" w:cs="Times New Roman"/>
              </w:rPr>
              <w:lastRenderedPageBreak/>
              <w:t xml:space="preserve">    - if the patient desires fertility preservation, treatment may be delayed until approximately 38 weeks (source 3).</w:t>
            </w:r>
            <w:r w:rsidRPr="00CB2EC4">
              <w:rPr>
                <w:rFonts w:ascii="Times New Roman" w:hAnsi="Times New Roman" w:cs="Times New Roman"/>
              </w:rPr>
              <w:br/>
              <w:t xml:space="preserve">    - perform cesarean delivery (classical cesarean section) concurrently with or followed by radical hysterectomy (sources 3 and 10).</w:t>
            </w:r>
            <w:r w:rsidRPr="00CB2EC4">
              <w:rPr>
                <w:rFonts w:ascii="Times New Roman" w:hAnsi="Times New Roman" w:cs="Times New Roman"/>
              </w:rPr>
              <w:br/>
              <w:t xml:space="preserve">    - for locally advanced lesions, neoadjuvant chemotherapy (e.g., cisplatin-based regimen) for 2–3 cycles may be administered before surgery (source 10).</w:t>
            </w:r>
            <w:r w:rsidRPr="00CB2EC4">
              <w:rPr>
                <w:rFonts w:ascii="Times New Roman" w:hAnsi="Times New Roman" w:cs="Times New Roman"/>
              </w:rPr>
              <w:br/>
              <w:t xml:space="preserve">    - if fertility preservation is not desired, terminate pregnancy immediately and proceed with treatment (source 10).</w:t>
            </w:r>
            <w:r w:rsidRPr="00CB2EC4">
              <w:rPr>
                <w:rFonts w:ascii="Times New Roman" w:hAnsi="Times New Roman" w:cs="Times New Roman"/>
              </w:rPr>
              <w:br/>
            </w:r>
            <w:r w:rsidRPr="00CB2EC4">
              <w:rPr>
                <w:rFonts w:ascii="Times New Roman" w:hAnsi="Times New Roman" w:cs="Times New Roman"/>
              </w:rPr>
              <w:br/>
              <w:t xml:space="preserve">  - late pregnancy (≥38 weeks or near term):</w:t>
            </w:r>
            <w:r w:rsidRPr="00CB2EC4">
              <w:rPr>
                <w:rFonts w:ascii="Times New Roman" w:hAnsi="Times New Roman" w:cs="Times New Roman"/>
              </w:rPr>
              <w:br/>
              <w:t xml:space="preserve">    - perform cesarean delivery at a tertiary medical center, with concurrent radical hysterectomy (source 3).</w:t>
            </w:r>
            <w:r w:rsidRPr="00CB2EC4">
              <w:rPr>
                <w:rFonts w:ascii="Times New Roman" w:hAnsi="Times New Roman" w:cs="Times New Roman"/>
              </w:rPr>
              <w:br/>
              <w:t xml:space="preserve">    - initiate radiotherapy (e.g., for advanced stages) within 10 days postpartum, or concurrent chemoradiotherapy (source 10).</w:t>
            </w:r>
            <w:r w:rsidRPr="00CB2EC4">
              <w:rPr>
                <w:rFonts w:ascii="Times New Roman" w:hAnsi="Times New Roman" w:cs="Times New Roman"/>
              </w:rPr>
              <w:br/>
              <w:t xml:space="preserve">    - close monitoring with colposcopy and cytology every 4 weeks (source 10).</w:t>
            </w:r>
            <w:r w:rsidRPr="00CB2EC4">
              <w:rPr>
                <w:rFonts w:ascii="Times New Roman" w:hAnsi="Times New Roman" w:cs="Times New Roman"/>
              </w:rPr>
              <w:br/>
            </w:r>
            <w:r w:rsidRPr="00CB2EC4">
              <w:rPr>
                <w:rFonts w:ascii="Times New Roman" w:hAnsi="Times New Roman" w:cs="Times New Roman"/>
              </w:rPr>
              <w:br/>
              <w:t>- special situations:</w:t>
            </w:r>
            <w:r w:rsidRPr="00CB2EC4">
              <w:rPr>
                <w:rFonts w:ascii="Times New Roman" w:hAnsi="Times New Roman" w:cs="Times New Roman"/>
              </w:rPr>
              <w:br/>
              <w:t xml:space="preserve">  - for microinvasive carcinoma (ia stage), if the patient insists on preserving fertility, treatment may be deferred with monitoring; however, termination is recommended if diagnosed in early pregnancy (source 10).</w:t>
            </w:r>
            <w:r w:rsidRPr="00CB2EC4">
              <w:rPr>
                <w:rFonts w:ascii="Times New Roman" w:hAnsi="Times New Roman" w:cs="Times New Roman"/>
              </w:rPr>
              <w:br/>
              <w:t xml:space="preserve">  - radiotherapy in mid-to-late pregnancy may cause fetal injury and is reserved only for patients with contraindications to surgery (source 3).</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summary: treatment differences are mainly based on fetal viability: terminate pregnancy and treat aggressively in early gestation; delay treatment until cesarean delivery in mid-to-late gestation to protect the fetus.</w:t>
            </w:r>
          </w:p>
        </w:tc>
        <w:tc>
          <w:tcPr>
            <w:tcW w:w="1152" w:type="dxa"/>
            <w:vAlign w:val="center"/>
          </w:tcPr>
          <w:p w14:paraId="43CF1A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B25F5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4164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789C3C" w14:textId="77777777">
        <w:tc>
          <w:tcPr>
            <w:tcW w:w="2160" w:type="dxa"/>
            <w:vAlign w:val="center"/>
          </w:tcPr>
          <w:p w14:paraId="1BA9598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4ADC96C4" w14:textId="77777777" w:rsidR="00922249" w:rsidRPr="00CB2EC4" w:rsidRDefault="003011D5">
            <w:pPr>
              <w:rPr>
                <w:rFonts w:ascii="Times New Roman" w:hAnsi="Times New Roman" w:cs="Times New Roman"/>
              </w:rPr>
            </w:pPr>
            <w:r w:rsidRPr="00CB2EC4">
              <w:rPr>
                <w:rFonts w:ascii="Times New Roman" w:hAnsi="Times New Roman" w:cs="Times New Roman"/>
              </w:rPr>
              <w:t>the treatment strategies for cervical cancer during pregnancy are individualized based on gestational stage:</w:t>
            </w:r>
            <w:r w:rsidRPr="00CB2EC4">
              <w:rPr>
                <w:rFonts w:ascii="Times New Roman" w:hAnsi="Times New Roman" w:cs="Times New Roman"/>
              </w:rPr>
              <w:br/>
              <w:t>- early pregnancy (≤12 weeks): termination of pregnancy is recommended, followed immediately by standard treatment (e.g., surgery or chemoradiation) to avoid treatment delay.</w:t>
            </w:r>
            <w:r w:rsidRPr="00CB2EC4">
              <w:rPr>
                <w:rFonts w:ascii="Times New Roman" w:hAnsi="Times New Roman" w:cs="Times New Roman"/>
              </w:rPr>
              <w:br/>
              <w:t>- mid-pregnancy (13–28 weeks): treatment may be delayed until fetal viability (≥24 weeks) with close tumor monitoring; or conservative surgery (e.g., trachelectomy) may be performed.</w:t>
            </w:r>
            <w:r w:rsidRPr="00CB2EC4">
              <w:rPr>
                <w:rFonts w:ascii="Times New Roman" w:hAnsi="Times New Roman" w:cs="Times New Roman"/>
              </w:rPr>
              <w:br/>
              <w:t>- late pregnancy (≥29 weeks): treatment is typically delayed until after delivery (often planned preterm cesarean), prioritizing fetal safety.</w:t>
            </w:r>
            <w:r w:rsidRPr="00CB2EC4">
              <w:rPr>
                <w:rFonts w:ascii="Times New Roman" w:hAnsi="Times New Roman" w:cs="Times New Roman"/>
              </w:rPr>
              <w:br/>
              <w:t xml:space="preserve">  differences in management are primarily based on fetal viability and risk of tumor progression.</w:t>
            </w:r>
          </w:p>
        </w:tc>
        <w:tc>
          <w:tcPr>
            <w:tcW w:w="1152" w:type="dxa"/>
            <w:vAlign w:val="center"/>
          </w:tcPr>
          <w:p w14:paraId="0B90A7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6F4D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0986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589BD6" w14:textId="77777777">
        <w:tc>
          <w:tcPr>
            <w:tcW w:w="10656" w:type="dxa"/>
            <w:gridSpan w:val="5"/>
            <w:tcBorders>
              <w:bottom w:val="single" w:sz="6" w:space="0" w:color="auto"/>
            </w:tcBorders>
            <w:vAlign w:val="center"/>
          </w:tcPr>
          <w:p w14:paraId="4A0E803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78: Are patients with cervical cancer in pregnancy suitable for surgery? At what stage of pregnancy should surgery be considered?</w:t>
            </w:r>
          </w:p>
        </w:tc>
      </w:tr>
      <w:tr w:rsidR="00922249" w:rsidRPr="00CB2EC4" w14:paraId="576F3463" w14:textId="77777777">
        <w:tc>
          <w:tcPr>
            <w:tcW w:w="2160" w:type="dxa"/>
            <w:vAlign w:val="center"/>
          </w:tcPr>
          <w:p w14:paraId="475F37E2"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AEFBC7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pregnant patients with cervical cancer are suitable candidates for surgery, with the specific timing dependent on gestational age and cancer stage (see [similarity: 0.555] fragment).  </w:t>
            </w:r>
            <w:r w:rsidRPr="00CB2EC4">
              <w:rPr>
                <w:rFonts w:ascii="Times New Roman" w:hAnsi="Times New Roman" w:cs="Times New Roman"/>
              </w:rPr>
              <w:br/>
              <w:t xml:space="preserve">- Suitability for surgery:  </w:t>
            </w:r>
            <w:r w:rsidRPr="00CB2EC4">
              <w:rPr>
                <w:rFonts w:ascii="Times New Roman" w:hAnsi="Times New Roman" w:cs="Times New Roman"/>
              </w:rPr>
              <w:br/>
              <w:t xml:space="preserve">  - Surgery is a feasible option, particularly for patients with early-stage cervical cancer (IB, IIA) and can preserve ovarian and vaginal function (see: "For early-stage cancer (IB, IIA) without surgical contraindications, radical hysterectomy with pelvic </w:t>
            </w:r>
            <w:r w:rsidRPr="00CB2EC4">
              <w:rPr>
                <w:rFonts w:ascii="Times New Roman" w:hAnsi="Times New Roman" w:cs="Times New Roman"/>
              </w:rPr>
              <w:lastRenderedPageBreak/>
              <w:t xml:space="preserve">lymphadenectomy is the preferred treatment").  </w:t>
            </w:r>
            <w:r w:rsidRPr="00CB2EC4">
              <w:rPr>
                <w:rFonts w:ascii="Times New Roman" w:hAnsi="Times New Roman" w:cs="Times New Roman"/>
              </w:rPr>
              <w:br/>
              <w:t xml:space="preserve">  - Contraindications include advanced cancer (stage III or higher) or severe comorbidities in the patient.  </w:t>
            </w:r>
            <w:r w:rsidRPr="00CB2EC4">
              <w:rPr>
                <w:rFonts w:ascii="Times New Roman" w:hAnsi="Times New Roman" w:cs="Times New Roman"/>
              </w:rPr>
              <w:br/>
              <w:t xml:space="preserve">- Consideration of surgical timing:  </w:t>
            </w:r>
            <w:r w:rsidRPr="00CB2EC4">
              <w:rPr>
                <w:rFonts w:ascii="Times New Roman" w:hAnsi="Times New Roman" w:cs="Times New Roman"/>
              </w:rPr>
              <w:br/>
              <w:t xml:space="preserve">  - First trimester (before 20 weeks gestation): Preferred window for surgery. Perform radical hysterectomy immediately after termination of pregnancy (with fetus in situ or following abortion).  </w:t>
            </w:r>
            <w:r w:rsidRPr="00CB2EC4">
              <w:rPr>
                <w:rFonts w:ascii="Times New Roman" w:hAnsi="Times New Roman" w:cs="Times New Roman"/>
              </w:rPr>
              <w:br/>
              <w:t xml:space="preserve">  - Second or third trimester (after 20 weeks gestation): Surgery can be performed concurrently with cesarean section. For example, at 38 weeks gestation, perform classical cesarean section simultaneously with radical surgery (see: "Patients in mid or late pregnancy (after 20 weeks)... undergo cesarean section, followed immediately by radical hysterectomy").  </w:t>
            </w:r>
            <w:r w:rsidRPr="00CB2EC4">
              <w:rPr>
                <w:rFonts w:ascii="Times New Roman" w:hAnsi="Times New Roman" w:cs="Times New Roman"/>
              </w:rPr>
              <w:br/>
              <w:t xml:space="preserve">  - Timing must balance fetal viability and cancer progression risk; deferral of surgery is only considered if the patient strongly desires fertility preservation and cancer risk is controllable.</w:t>
            </w:r>
          </w:p>
        </w:tc>
        <w:tc>
          <w:tcPr>
            <w:tcW w:w="1152" w:type="dxa"/>
            <w:vAlign w:val="center"/>
          </w:tcPr>
          <w:p w14:paraId="4A1DA8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EE181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26CC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3745A9E" w14:textId="77777777">
        <w:tc>
          <w:tcPr>
            <w:tcW w:w="2160" w:type="dxa"/>
            <w:vAlign w:val="center"/>
          </w:tcPr>
          <w:p w14:paraId="6039AB1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F660F4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surgery is suitable, especially for early-stage cancer (IB, IIA). timing depends on gestational stage:  </w:t>
            </w:r>
            <w:r w:rsidRPr="00CB2EC4">
              <w:rPr>
                <w:rFonts w:ascii="Times New Roman" w:hAnsi="Times New Roman" w:cs="Times New Roman"/>
              </w:rPr>
              <w:br/>
              <w:t xml:space="preserve">- early pregnancy (≤20 weeks): optimal timing. perform radical hysterectomy + pelvic lymphadenectomy immediately after diagnosis; ovaries may be preserved (doc 4, 18).  </w:t>
            </w:r>
            <w:r w:rsidRPr="00CB2EC4">
              <w:rPr>
                <w:rFonts w:ascii="Times New Roman" w:hAnsi="Times New Roman" w:cs="Times New Roman"/>
              </w:rPr>
              <w:br/>
              <w:t xml:space="preserve">- mid-pregnancy (&gt;20 weeks):  </w:t>
            </w:r>
            <w:r w:rsidRPr="00CB2EC4">
              <w:rPr>
                <w:rFonts w:ascii="Times New Roman" w:hAnsi="Times New Roman" w:cs="Times New Roman"/>
              </w:rPr>
              <w:br/>
              <w:t xml:space="preserve">  → if no fertility desire: terminate pregnancy then perform surgery.  </w:t>
            </w:r>
            <w:r w:rsidRPr="00CB2EC4">
              <w:rPr>
                <w:rFonts w:ascii="Times New Roman" w:hAnsi="Times New Roman" w:cs="Times New Roman"/>
              </w:rPr>
              <w:br/>
              <w:t xml:space="preserve">  → if fertility desire: delay surgery until 38 weeks, perform cesarean section followed by or concurrent with surgery (doc 4, 28).  </w:t>
            </w:r>
            <w:r w:rsidRPr="00CB2EC4">
              <w:rPr>
                <w:rFonts w:ascii="Times New Roman" w:hAnsi="Times New Roman" w:cs="Times New Roman"/>
              </w:rPr>
              <w:br/>
              <w:t xml:space="preserve">- late pregnancy: combine surgery with delivery; perform cesarean section simultaneously with radical </w:t>
            </w:r>
            <w:r w:rsidRPr="00CB2EC4">
              <w:rPr>
                <w:rFonts w:ascii="Times New Roman" w:hAnsi="Times New Roman" w:cs="Times New Roman"/>
              </w:rPr>
              <w:lastRenderedPageBreak/>
              <w:t xml:space="preserve">surgery (doc 4).  </w:t>
            </w:r>
            <w:r w:rsidRPr="00CB2EC4">
              <w:rPr>
                <w:rFonts w:ascii="Times New Roman" w:hAnsi="Times New Roman" w:cs="Times New Roman"/>
              </w:rPr>
              <w:br/>
              <w:t xml:space="preserve">advantage: preserves ovarian function in young patients and avoids radiotherapy complications (doc 6).  </w:t>
            </w:r>
            <w:r w:rsidRPr="00CB2EC4">
              <w:rPr>
                <w:rFonts w:ascii="Times New Roman" w:hAnsi="Times New Roman" w:cs="Times New Roman"/>
              </w:rPr>
              <w:br/>
              <w:t xml:space="preserve">contraindication: locally advanced or poor general condition patients may be unsuitable; prefer radiotherapy or chemotherapy (doc 4, 28).  </w:t>
            </w:r>
            <w:r w:rsidRPr="00CB2EC4">
              <w:rPr>
                <w:rFonts w:ascii="Times New Roman" w:hAnsi="Times New Roman" w:cs="Times New Roman"/>
              </w:rPr>
              <w:br/>
              <w:t>evidence: doc 4 (block 582) details surgical indications and timing; doc 18 (block 581) supports early-pregnancy surgery.</w:t>
            </w:r>
          </w:p>
        </w:tc>
        <w:tc>
          <w:tcPr>
            <w:tcW w:w="1152" w:type="dxa"/>
            <w:vAlign w:val="center"/>
          </w:tcPr>
          <w:p w14:paraId="296553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F457D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F37F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F303BE" w14:textId="77777777">
        <w:tc>
          <w:tcPr>
            <w:tcW w:w="2160" w:type="dxa"/>
            <w:vAlign w:val="center"/>
          </w:tcPr>
          <w:p w14:paraId="51C54766"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850F26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pregnant patients with cervical cancer are suitable for surgical treatment, but the timing must be selected based on the gestational stage and tumor staging:  </w:t>
            </w:r>
            <w:r w:rsidRPr="00CB2EC4">
              <w:rPr>
                <w:rFonts w:ascii="Times New Roman" w:hAnsi="Times New Roman" w:cs="Times New Roman"/>
              </w:rPr>
              <w:br/>
              <w:t xml:space="preserve">- Indications for surgery:  </w:t>
            </w:r>
            <w:r w:rsidRPr="00CB2EC4">
              <w:rPr>
                <w:rFonts w:ascii="Times New Roman" w:hAnsi="Times New Roman" w:cs="Times New Roman"/>
              </w:rPr>
              <w:br/>
              <w:t xml:space="preserve">  - Surgery is indicated for early-stage cervical cancer (e.g., IA, IB, IIA stages), particularly in young patients (≤45 years old) or those without surgical contraindications (document fragments 7, 22).  </w:t>
            </w:r>
            <w:r w:rsidRPr="00CB2EC4">
              <w:rPr>
                <w:rFonts w:ascii="Times New Roman" w:hAnsi="Times New Roman" w:cs="Times New Roman"/>
              </w:rPr>
              <w:br/>
              <w:t xml:space="preserve">  - For patients desiring fertility preservation, fertility-sparing surgery (e.g., radical trachelectomy) may be chosen, provided tumor diameter ≤4 cm and no lymph node metastasis (document fragments 7, 43).  </w:t>
            </w:r>
            <w:r w:rsidRPr="00CB2EC4">
              <w:rPr>
                <w:rFonts w:ascii="Times New Roman" w:hAnsi="Times New Roman" w:cs="Times New Roman"/>
              </w:rPr>
              <w:br/>
              <w:t xml:space="preserve">- Timing of surgery:  </w:t>
            </w:r>
            <w:r w:rsidRPr="00CB2EC4">
              <w:rPr>
                <w:rFonts w:ascii="Times New Roman" w:hAnsi="Times New Roman" w:cs="Times New Roman"/>
              </w:rPr>
              <w:br/>
              <w:t xml:space="preserve">  - First/early second trimester (≤20 weeks): terminate pregnancy and proceed immediately with surgery (e.g., simple hysterectomy or radical hysterectomy) (document fragments 7, 22).  </w:t>
            </w:r>
            <w:r w:rsidRPr="00CB2EC4">
              <w:rPr>
                <w:rFonts w:ascii="Times New Roman" w:hAnsi="Times New Roman" w:cs="Times New Roman"/>
              </w:rPr>
              <w:br/>
              <w:t xml:space="preserve">  - Late second/third trimester (&gt;20 weeks):  </w:t>
            </w:r>
            <w:r w:rsidRPr="00CB2EC4">
              <w:rPr>
                <w:rFonts w:ascii="Times New Roman" w:hAnsi="Times New Roman" w:cs="Times New Roman"/>
              </w:rPr>
              <w:br/>
              <w:t xml:space="preserve">    - Delay until 38 weeks for cesarean delivery, followed by or concurrent with radical surgery (e.g., radical hysterectomy + pelvic lymphadenectomy) (document fragments 7, 13, 22).  </w:t>
            </w:r>
            <w:r w:rsidRPr="00CB2EC4">
              <w:rPr>
                <w:rFonts w:ascii="Times New Roman" w:hAnsi="Times New Roman" w:cs="Times New Roman"/>
              </w:rPr>
              <w:br/>
              <w:t xml:space="preserve">    - For locally advanced tumors, neoadjuvant chemotherapy may be administered before surgery </w:t>
            </w:r>
            <w:r w:rsidRPr="00CB2EC4">
              <w:rPr>
                <w:rFonts w:ascii="Times New Roman" w:hAnsi="Times New Roman" w:cs="Times New Roman"/>
              </w:rPr>
              <w:lastRenderedPageBreak/>
              <w:t xml:space="preserve">(document fragment 7).  </w:t>
            </w:r>
            <w:r w:rsidRPr="00CB2EC4">
              <w:rPr>
                <w:rFonts w:ascii="Times New Roman" w:hAnsi="Times New Roman" w:cs="Times New Roman"/>
              </w:rPr>
              <w:br/>
              <w:t xml:space="preserve">  - Emergencies: In cases of severe hemorrhage or tumor obstructing the birth canal, immediate pregnancy termination and surgery are required (document fragment 22).  </w:t>
            </w:r>
            <w:r w:rsidRPr="00CB2EC4">
              <w:rPr>
                <w:rFonts w:ascii="Times New Roman" w:hAnsi="Times New Roman" w:cs="Times New Roman"/>
              </w:rPr>
              <w:br/>
              <w:t xml:space="preserve">- Precautions: Pelvic congestion during pregnancy increases surgical bleeding risk; meticulous technique is essential. Vaginal delivery may accelerate cancer dissemination; cesarean section is recommended (document fragment 25).  </w:t>
            </w:r>
            <w:r w:rsidRPr="00CB2EC4">
              <w:rPr>
                <w:rFonts w:ascii="Times New Roman" w:hAnsi="Times New Roman" w:cs="Times New Roman"/>
              </w:rPr>
              <w:br/>
              <w:t xml:space="preserve">  References: document fragments 7, 13, 22, 25, 43.</w:t>
            </w:r>
          </w:p>
        </w:tc>
        <w:tc>
          <w:tcPr>
            <w:tcW w:w="1152" w:type="dxa"/>
            <w:vAlign w:val="center"/>
          </w:tcPr>
          <w:p w14:paraId="746FB4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C5D38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F3E95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0CA8636" w14:textId="77777777">
        <w:tc>
          <w:tcPr>
            <w:tcW w:w="2160" w:type="dxa"/>
            <w:vAlign w:val="center"/>
          </w:tcPr>
          <w:p w14:paraId="0BE35629"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B6D16F9" w14:textId="77777777" w:rsidR="00922249" w:rsidRPr="00CB2EC4" w:rsidRDefault="003011D5">
            <w:pPr>
              <w:rPr>
                <w:rFonts w:ascii="Times New Roman" w:hAnsi="Times New Roman" w:cs="Times New Roman"/>
              </w:rPr>
            </w:pPr>
            <w:r w:rsidRPr="00CB2EC4">
              <w:rPr>
                <w:rFonts w:ascii="Times New Roman" w:hAnsi="Times New Roman" w:cs="Times New Roman"/>
              </w:rPr>
              <w:t>locally advanced cervical cancer radiotherapy strategy (knowledge base + web search)</w:t>
            </w:r>
            <w:r w:rsidRPr="00CB2EC4">
              <w:rPr>
                <w:rFonts w:ascii="Times New Roman" w:hAnsi="Times New Roman" w:cs="Times New Roman"/>
              </w:rPr>
              <w:br/>
            </w:r>
            <w:r w:rsidRPr="00CB2EC4">
              <w:rPr>
                <w:rFonts w:ascii="Times New Roman" w:hAnsi="Times New Roman" w:cs="Times New Roman"/>
              </w:rPr>
              <w:br/>
              <w:t>Standard regimen:</w:t>
            </w:r>
            <w:r w:rsidRPr="00CB2EC4">
              <w:rPr>
                <w:rFonts w:ascii="Times New Roman" w:hAnsi="Times New Roman" w:cs="Times New Roman"/>
              </w:rPr>
              <w:br/>
              <w:t>- Concurrent chemoradiotherapy (CCRT): First choice for IB3/IIA2 stage and above (knowledge base 4.1.3).</w:t>
            </w:r>
            <w:r w:rsidRPr="00CB2EC4">
              <w:rPr>
                <w:rFonts w:ascii="Times New Roman" w:hAnsi="Times New Roman" w:cs="Times New Roman"/>
              </w:rPr>
              <w:br/>
              <w:t xml:space="preserve">  - Radiotherapy dose: External beam radiotherapy (EBRT) 45–50 Gy + brachytherapy (Point A total dose 80–90 Gy) (knowledge base 4.2.4).</w:t>
            </w:r>
            <w:r w:rsidRPr="00CB2EC4">
              <w:rPr>
                <w:rFonts w:ascii="Times New Roman" w:hAnsi="Times New Roman" w:cs="Times New Roman"/>
              </w:rPr>
              <w:br/>
              <w:t xml:space="preserve">  - Chemotherapy regimen: Cisplatin 40 mg/m²/week × 5–6 cycles (knowledge base 4.2.4).</w:t>
            </w:r>
            <w:r w:rsidRPr="00CB2EC4">
              <w:rPr>
                <w:rFonts w:ascii="Times New Roman" w:hAnsi="Times New Roman" w:cs="Times New Roman"/>
              </w:rPr>
              <w:br/>
            </w:r>
            <w:r w:rsidRPr="00CB2EC4">
              <w:rPr>
                <w:rFonts w:ascii="Times New Roman" w:hAnsi="Times New Roman" w:cs="Times New Roman"/>
              </w:rPr>
              <w:br/>
              <w:t>Indications for combined chemotherapy:</w:t>
            </w:r>
            <w:r w:rsidRPr="00CB2EC4">
              <w:rPr>
                <w:rFonts w:ascii="Times New Roman" w:hAnsi="Times New Roman" w:cs="Times New Roman"/>
              </w:rPr>
              <w:br/>
              <w:t>1. Mandatory use: IB3 stage and above, lymph node positive, postoperative high-risk factors (positive margins/parametrial involvement) (knowledge base 4.2.4).</w:t>
            </w:r>
            <w:r w:rsidRPr="00CB2EC4">
              <w:rPr>
                <w:rFonts w:ascii="Times New Roman" w:hAnsi="Times New Roman" w:cs="Times New Roman"/>
              </w:rPr>
              <w:br/>
              <w:t>2. Contraindication: Replace cisplatin with fluorouracil in patients with renal insufficiency (web search).</w:t>
            </w:r>
            <w:r w:rsidRPr="00CB2EC4">
              <w:rPr>
                <w:rFonts w:ascii="Times New Roman" w:hAnsi="Times New Roman" w:cs="Times New Roman"/>
              </w:rPr>
              <w:br/>
            </w:r>
            <w:r w:rsidRPr="00CB2EC4">
              <w:rPr>
                <w:rFonts w:ascii="Times New Roman" w:hAnsi="Times New Roman" w:cs="Times New Roman"/>
              </w:rPr>
              <w:br/>
              <w:t>Technical advances:</w:t>
            </w:r>
            <w:r w:rsidRPr="00CB2EC4">
              <w:rPr>
                <w:rFonts w:ascii="Times New Roman" w:hAnsi="Times New Roman" w:cs="Times New Roman"/>
              </w:rPr>
              <w:br/>
              <w:t xml:space="preserve">- Conformal radiotherapy: IMRT reduces </w:t>
            </w:r>
            <w:r w:rsidRPr="00CB2EC4">
              <w:rPr>
                <w:rFonts w:ascii="Times New Roman" w:hAnsi="Times New Roman" w:cs="Times New Roman"/>
              </w:rPr>
              <w:lastRenderedPageBreak/>
              <w:t>rectal/bladder toxicity (web search).</w:t>
            </w:r>
            <w:r w:rsidRPr="00CB2EC4">
              <w:rPr>
                <w:rFonts w:ascii="Times New Roman" w:hAnsi="Times New Roman" w:cs="Times New Roman"/>
              </w:rPr>
              <w:br/>
              <w:t>- Treatment duration control: EBRT + brachytherapy must be completed within 8 weeks, otherwise failure rate ↑ (knowledge base 4.2.4).</w:t>
            </w:r>
          </w:p>
        </w:tc>
        <w:tc>
          <w:tcPr>
            <w:tcW w:w="1152" w:type="dxa"/>
            <w:vAlign w:val="center"/>
          </w:tcPr>
          <w:p w14:paraId="13170B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6138F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77865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3A06CDA" w14:textId="77777777">
        <w:tc>
          <w:tcPr>
            <w:tcW w:w="2160" w:type="dxa"/>
            <w:vAlign w:val="center"/>
          </w:tcPr>
          <w:p w14:paraId="448B8635"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7A868C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 Is surgery suitable?  </w:t>
            </w:r>
            <w:r w:rsidRPr="00CB2EC4">
              <w:rPr>
                <w:rFonts w:ascii="Times New Roman" w:hAnsi="Times New Roman" w:cs="Times New Roman"/>
              </w:rPr>
              <w:br/>
              <w:t xml:space="preserve">  - Surgery is the primary treatment for cervical cancer during pregnancy, especially for patients with IB or IIA stage disease, and can preserve ovarian and vaginal function (Segment 7, Segment 25).  </w:t>
            </w:r>
            <w:r w:rsidRPr="00CB2EC4">
              <w:rPr>
                <w:rFonts w:ascii="Times New Roman" w:hAnsi="Times New Roman" w:cs="Times New Roman"/>
              </w:rPr>
              <w:br/>
              <w:t xml:space="preserve">  - Contraindications include high surgical risk (e.g., severe comorbidities) or advanced tumors unsuitable for surgery (Segment 7).  </w:t>
            </w:r>
            <w:r w:rsidRPr="00CB2EC4">
              <w:rPr>
                <w:rFonts w:ascii="Times New Roman" w:hAnsi="Times New Roman" w:cs="Times New Roman"/>
              </w:rPr>
              <w:br/>
            </w:r>
            <w:r w:rsidRPr="00CB2EC4">
              <w:rPr>
                <w:rFonts w:ascii="Times New Roman" w:hAnsi="Times New Roman" w:cs="Times New Roman"/>
              </w:rPr>
              <w:br/>
              <w:t xml:space="preserve">- Timing of surgery:  </w:t>
            </w:r>
            <w:r w:rsidRPr="00CB2EC4">
              <w:rPr>
                <w:rFonts w:ascii="Times New Roman" w:hAnsi="Times New Roman" w:cs="Times New Roman"/>
              </w:rPr>
              <w:br/>
              <w:t xml:space="preserve">  - Early pregnancy (before 20 weeks): Immediate surgery (e.g., radical hysterectomy and pelvic lymphadenectomy) is typically performed after terminating the pregnancy (Segment 7).  </w:t>
            </w:r>
            <w:r w:rsidRPr="00CB2EC4">
              <w:rPr>
                <w:rFonts w:ascii="Times New Roman" w:hAnsi="Times New Roman" w:cs="Times New Roman"/>
              </w:rPr>
              <w:br/>
              <w:t xml:space="preserve">  - Mid to late pregnancy (after 20 weeks):  </w:t>
            </w:r>
            <w:r w:rsidRPr="00CB2EC4">
              <w:rPr>
                <w:rFonts w:ascii="Times New Roman" w:hAnsi="Times New Roman" w:cs="Times New Roman"/>
              </w:rPr>
              <w:br/>
              <w:t xml:space="preserve">    - If fertility preservation is desired, surgery may be deferred until approximately 38 weeks, with cesarean delivery followed by or concurrent with radical hysterectomy (Segment 7).  </w:t>
            </w:r>
            <w:r w:rsidRPr="00CB2EC4">
              <w:rPr>
                <w:rFonts w:ascii="Times New Roman" w:hAnsi="Times New Roman" w:cs="Times New Roman"/>
              </w:rPr>
              <w:br/>
              <w:t xml:space="preserve">    - If fertility preservation is not desired, terminate the pregnancy and proceed with immediate surgery (Segment 7).  </w:t>
            </w:r>
            <w:r w:rsidRPr="00CB2EC4">
              <w:rPr>
                <w:rFonts w:ascii="Times New Roman" w:hAnsi="Times New Roman" w:cs="Times New Roman"/>
              </w:rPr>
              <w:br/>
              <w:t xml:space="preserve">  - Special cases: For IA2 and IB stage patients with tumor diameter &lt;2 cm and no pelvic metastasis, fertility-sparing radical trachelectomy may be considered, but laparoscopic lymph node biopsy must confirm negativity in early or mid-pregnancy (Segment 7, Segment 25).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The document emphasizes that timing must be individualized and vaginal delivery avoided to reduce bleeding and dissemination risk (Segment 7). No specific surgical technical details are provided in the knowledge base; the above is synthesized from Segment 7 and Segment 25.</w:t>
            </w:r>
          </w:p>
        </w:tc>
        <w:tc>
          <w:tcPr>
            <w:tcW w:w="1152" w:type="dxa"/>
            <w:vAlign w:val="center"/>
          </w:tcPr>
          <w:p w14:paraId="52C7BB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742C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ADE0C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834F257" w14:textId="77777777">
        <w:tc>
          <w:tcPr>
            <w:tcW w:w="2160" w:type="dxa"/>
            <w:vAlign w:val="center"/>
          </w:tcPr>
          <w:p w14:paraId="5C7CB69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776B9EB" w14:textId="77777777" w:rsidR="00922249" w:rsidRPr="00CB2EC4" w:rsidRDefault="003011D5">
            <w:pPr>
              <w:rPr>
                <w:rFonts w:ascii="Times New Roman" w:hAnsi="Times New Roman" w:cs="Times New Roman"/>
              </w:rPr>
            </w:pPr>
            <w:r w:rsidRPr="00CB2EC4">
              <w:rPr>
                <w:rFonts w:ascii="Times New Roman" w:hAnsi="Times New Roman" w:cs="Times New Roman"/>
              </w:rPr>
              <w:t>yes.</w:t>
            </w:r>
            <w:r w:rsidRPr="00CB2EC4">
              <w:rPr>
                <w:rFonts w:ascii="Times New Roman" w:hAnsi="Times New Roman" w:cs="Times New Roman"/>
              </w:rPr>
              <w:br/>
            </w:r>
            <w:r w:rsidRPr="00CB2EC4">
              <w:rPr>
                <w:rFonts w:ascii="Times New Roman" w:hAnsi="Times New Roman" w:cs="Times New Roman"/>
              </w:rPr>
              <w:br/>
              <w:t>surgery is appropriate for pregnant patients with cervical cancer, particularly those with early-stage disease (IB and IIA stages).</w:t>
            </w:r>
            <w:r w:rsidRPr="00CB2EC4">
              <w:rPr>
                <w:rFonts w:ascii="Times New Roman" w:hAnsi="Times New Roman" w:cs="Times New Roman"/>
              </w:rPr>
              <w:br/>
            </w:r>
            <w:r w:rsidRPr="00CB2EC4">
              <w:rPr>
                <w:rFonts w:ascii="Times New Roman" w:hAnsi="Times New Roman" w:cs="Times New Roman"/>
              </w:rPr>
              <w:br/>
              <w:t>the timing for surgery depends on gestational stage:</w:t>
            </w:r>
            <w:r w:rsidRPr="00CB2EC4">
              <w:rPr>
                <w:rFonts w:ascii="Times New Roman" w:hAnsi="Times New Roman" w:cs="Times New Roman"/>
              </w:rPr>
              <w:br/>
              <w:t>- early pregnancy (before 20 weeks): optimal stage; terminate pregnancy immediately followed by surgery.</w:t>
            </w:r>
            <w:r w:rsidRPr="00CB2EC4">
              <w:rPr>
                <w:rFonts w:ascii="Times New Roman" w:hAnsi="Times New Roman" w:cs="Times New Roman"/>
              </w:rPr>
              <w:br/>
              <w:t>- mid and late pregnancy: surgery can also be performed, combined with cesarean section. for example, after 20 weeks in patients desiring fertility preservation, delay until 38 weeks to perform radical surgery concurrently with cesarean delivery ("perform radical hysterectomy concurrently with or promptly after cesarean section").</w:t>
            </w:r>
            <w:r w:rsidRPr="00CB2EC4">
              <w:rPr>
                <w:rFonts w:ascii="Times New Roman" w:hAnsi="Times New Roman" w:cs="Times New Roman"/>
              </w:rPr>
              <w:br/>
            </w:r>
            <w:r w:rsidRPr="00CB2EC4">
              <w:rPr>
                <w:rFonts w:ascii="Times New Roman" w:hAnsi="Times New Roman" w:cs="Times New Roman"/>
              </w:rPr>
              <w:br/>
              <w:t>note: pelvic congestion during pregnancy increases surgical bleeding risk; proceed with caution. in late pregnancy, prioritize fetal survival.</w:t>
            </w:r>
            <w:r w:rsidRPr="00CB2EC4">
              <w:rPr>
                <w:rFonts w:ascii="Times New Roman" w:hAnsi="Times New Roman" w:cs="Times New Roman"/>
              </w:rPr>
              <w:br/>
            </w:r>
            <w:r w:rsidRPr="00CB2EC4">
              <w:rPr>
                <w:rFonts w:ascii="Times New Roman" w:hAnsi="Times New Roman" w:cs="Times New Roman"/>
              </w:rPr>
              <w:br/>
              <w:t>in summary, surgery is suitable and recommended, with early pregnancy as the preferred timing; mid to late pregnancy may combine surgery with cesarean section.</w:t>
            </w:r>
          </w:p>
        </w:tc>
        <w:tc>
          <w:tcPr>
            <w:tcW w:w="1152" w:type="dxa"/>
            <w:vAlign w:val="center"/>
          </w:tcPr>
          <w:p w14:paraId="60C743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677C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82395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B9ED8D" w14:textId="77777777">
        <w:tc>
          <w:tcPr>
            <w:tcW w:w="2160" w:type="dxa"/>
            <w:vAlign w:val="center"/>
          </w:tcPr>
          <w:p w14:paraId="3241DCA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3BAE5D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especially suitable for early-stage patients </w:t>
            </w:r>
            <w:r w:rsidRPr="00CB2EC4">
              <w:rPr>
                <w:rFonts w:ascii="Times New Roman" w:hAnsi="Times New Roman" w:cs="Times New Roman"/>
              </w:rPr>
              <w:lastRenderedPageBreak/>
              <w:t>(IB/IIA).</w:t>
            </w:r>
            <w:r w:rsidRPr="00CB2EC4">
              <w:rPr>
                <w:rFonts w:ascii="Times New Roman" w:hAnsi="Times New Roman" w:cs="Times New Roman"/>
              </w:rPr>
              <w:br/>
            </w:r>
            <w:r w:rsidRPr="00CB2EC4">
              <w:rPr>
                <w:rFonts w:ascii="Times New Roman" w:hAnsi="Times New Roman" w:cs="Times New Roman"/>
              </w:rPr>
              <w:br/>
              <w:t>- Surgical timing:</w:t>
            </w:r>
            <w:r w:rsidRPr="00CB2EC4">
              <w:rPr>
                <w:rFonts w:ascii="Times New Roman" w:hAnsi="Times New Roman" w:cs="Times New Roman"/>
              </w:rPr>
              <w:br/>
              <w:t xml:space="preserve">  - First trimester: perform surgery immediately after pregnancy termination upon diagnosis.</w:t>
            </w:r>
            <w:r w:rsidRPr="00CB2EC4">
              <w:rPr>
                <w:rFonts w:ascii="Times New Roman" w:hAnsi="Times New Roman" w:cs="Times New Roman"/>
              </w:rPr>
              <w:br/>
              <w:t xml:space="preserve">  - Mid-to-late pregnancy (&gt;20 weeks):</w:t>
            </w:r>
            <w:r w:rsidRPr="00CB2EC4">
              <w:rPr>
                <w:rFonts w:ascii="Times New Roman" w:hAnsi="Times New Roman" w:cs="Times New Roman"/>
              </w:rPr>
              <w:br/>
              <w:t xml:space="preserve">    - If fertility preservation is desired, delay until 38 weeks for cesarean delivery with concurrent surgery (radical hysterectomy + lymph node dissection).</w:t>
            </w:r>
            <w:r w:rsidRPr="00CB2EC4">
              <w:rPr>
                <w:rFonts w:ascii="Times New Roman" w:hAnsi="Times New Roman" w:cs="Times New Roman"/>
              </w:rPr>
              <w:br/>
              <w:t xml:space="preserve">    - If fertility preservation is not desired, terminate pregnancy immediately and proceed with surgery.</w:t>
            </w:r>
            <w:r w:rsidRPr="00CB2EC4">
              <w:rPr>
                <w:rFonts w:ascii="Times New Roman" w:hAnsi="Times New Roman" w:cs="Times New Roman"/>
              </w:rPr>
              <w:br/>
            </w:r>
            <w:r w:rsidRPr="00CB2EC4">
              <w:rPr>
                <w:rFonts w:ascii="Times New Roman" w:hAnsi="Times New Roman" w:cs="Times New Roman"/>
              </w:rPr>
              <w:br/>
              <w:t>Evidence:</w:t>
            </w:r>
            <w:r w:rsidRPr="00CB2EC4">
              <w:rPr>
                <w:rFonts w:ascii="Times New Roman" w:hAnsi="Times New Roman" w:cs="Times New Roman"/>
              </w:rPr>
              <w:br/>
              <w:t>- For IB/IIA stage cervical cancer during pregnancy, surgery is the first-line treatment ([HyDE similarity: 0.668]).</w:t>
            </w:r>
            <w:r w:rsidRPr="00CB2EC4">
              <w:rPr>
                <w:rFonts w:ascii="Times New Roman" w:hAnsi="Times New Roman" w:cs="Times New Roman"/>
              </w:rPr>
              <w:br/>
              <w:t>- Surgery preserves ovarian function and avoids fetal risks associated with radiotherapy ([HyDE similarity: 0.528]).</w:t>
            </w:r>
          </w:p>
        </w:tc>
        <w:tc>
          <w:tcPr>
            <w:tcW w:w="1152" w:type="dxa"/>
            <w:vAlign w:val="center"/>
          </w:tcPr>
          <w:p w14:paraId="540FFD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70E7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A80AE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C25924" w14:textId="77777777">
        <w:tc>
          <w:tcPr>
            <w:tcW w:w="2160" w:type="dxa"/>
            <w:vAlign w:val="center"/>
          </w:tcPr>
          <w:p w14:paraId="38DB17CF"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82D3505" w14:textId="77777777" w:rsidR="00922249" w:rsidRPr="00CB2EC4" w:rsidRDefault="003011D5">
            <w:pPr>
              <w:rPr>
                <w:rFonts w:ascii="Times New Roman" w:hAnsi="Times New Roman" w:cs="Times New Roman"/>
              </w:rPr>
            </w:pPr>
            <w:r w:rsidRPr="00CB2EC4">
              <w:rPr>
                <w:rFonts w:ascii="Times New Roman" w:hAnsi="Times New Roman" w:cs="Times New Roman"/>
              </w:rPr>
              <w:t>yes, surgical treatment is appropriate for pregnant patients with cervical cancer, particularly those with early-stage disease (e.g., IB, IIA) without surgical contraindications.</w:t>
            </w:r>
            <w:r w:rsidRPr="00CB2EC4">
              <w:rPr>
                <w:rFonts w:ascii="Times New Roman" w:hAnsi="Times New Roman" w:cs="Times New Roman"/>
              </w:rPr>
              <w:br/>
            </w:r>
            <w:r w:rsidRPr="00CB2EC4">
              <w:rPr>
                <w:rFonts w:ascii="Times New Roman" w:hAnsi="Times New Roman" w:cs="Times New Roman"/>
              </w:rPr>
              <w:br/>
              <w:t>- suitability for surgery:</w:t>
            </w:r>
            <w:r w:rsidRPr="00CB2EC4">
              <w:rPr>
                <w:rFonts w:ascii="Times New Roman" w:hAnsi="Times New Roman" w:cs="Times New Roman"/>
              </w:rPr>
              <w:br/>
              <w:t xml:space="preserve">  - yes, suitable for surgical treatment. document fragment 8 explicitly states: "for patients with early-stage cancer (IB, IIA) without surgical contraindications, radical hysterectomy and pelvic lymphadenectomy are the preferred options." surgical advantages include preservation of ovarian function, reduction of radiotherapy complications, and allowance for abdominal and pelvic exploration to develop individualized treatment plans (document </w:t>
            </w:r>
            <w:r w:rsidRPr="00CB2EC4">
              <w:rPr>
                <w:rFonts w:ascii="Times New Roman" w:hAnsi="Times New Roman" w:cs="Times New Roman"/>
              </w:rPr>
              <w:lastRenderedPageBreak/>
              <w:t>fragment 6).</w:t>
            </w:r>
            <w:r w:rsidRPr="00CB2EC4">
              <w:rPr>
                <w:rFonts w:ascii="Times New Roman" w:hAnsi="Times New Roman" w:cs="Times New Roman"/>
              </w:rPr>
              <w:br/>
              <w:t xml:space="preserve">  - surgery is applicable to selected patients, requiring exclusion of distant metastasis or severe comorbidities (document fragment 16).</w:t>
            </w:r>
            <w:r w:rsidRPr="00CB2EC4">
              <w:rPr>
                <w:rFonts w:ascii="Times New Roman" w:hAnsi="Times New Roman" w:cs="Times New Roman"/>
              </w:rPr>
              <w:br/>
            </w:r>
            <w:r w:rsidRPr="00CB2EC4">
              <w:rPr>
                <w:rFonts w:ascii="Times New Roman" w:hAnsi="Times New Roman" w:cs="Times New Roman"/>
              </w:rPr>
              <w:br/>
              <w:t>- recommended gestational stages for surgery:</w:t>
            </w:r>
            <w:r w:rsidRPr="00CB2EC4">
              <w:rPr>
                <w:rFonts w:ascii="Times New Roman" w:hAnsi="Times New Roman" w:cs="Times New Roman"/>
              </w:rPr>
              <w:br/>
              <w:t xml:space="preserve">  - first trimester (before 20 weeks): prioritize surgery. document fragment 8 suggests: "therapeutic abortion may be performed first, followed by surgery, or fetal-sparing surgery may be undertaken." the author favors the latter (fetal-sparing surgery), especially for patients with localized lesions.</w:t>
            </w:r>
            <w:r w:rsidRPr="00CB2EC4">
              <w:rPr>
                <w:rFonts w:ascii="Times New Roman" w:hAnsi="Times New Roman" w:cs="Times New Roman"/>
              </w:rPr>
              <w:br/>
              <w:t xml:space="preserve">  - second trimester (after 20 weeks): surgery may be considered based on fertility wishes. if fertility preservation is not desired, terminate pregnancy immediately and proceed to surgery; if fertility preservation is desired, delay surgery until 38 weeks, during which neoadjuvant chemotherapy may be administered first (document fragment 8). document fragment 16 adds: for patients diagnosed after 20 weeks with IA2–IB2 disease, surgery may be deferred until after delivery.</w:t>
            </w:r>
            <w:r w:rsidRPr="00CB2EC4">
              <w:rPr>
                <w:rFonts w:ascii="Times New Roman" w:hAnsi="Times New Roman" w:cs="Times New Roman"/>
              </w:rPr>
              <w:br/>
              <w:t xml:space="preserve">  - third trimester (after 38 weeks): recommend performing radical hysterectomy concurrently with cesarean section or as soon as possible postpartum. document fragment 8 describes: "radical hysterectomy should be performed concurrently with classical or cesarean section or as soon as possible thereafter." adjuvant therapy (e.g., radiotherapy) should begin within 10 days postpartum.</w:t>
            </w:r>
            <w:r w:rsidRPr="00CB2EC4">
              <w:rPr>
                <w:rFonts w:ascii="Times New Roman" w:hAnsi="Times New Roman" w:cs="Times New Roman"/>
              </w:rPr>
              <w:br/>
              <w:t xml:space="preserve">  - special consideration: patients with tumor diameter &lt;2 cm and no lymph node metastasis may undergo fertility-sparing radical trachelectomy (document fragments 8 and 27).</w:t>
            </w:r>
            <w:r w:rsidRPr="00CB2EC4">
              <w:rPr>
                <w:rFonts w:ascii="Times New Roman" w:hAnsi="Times New Roman" w:cs="Times New Roman"/>
              </w:rPr>
              <w:br/>
            </w:r>
            <w:r w:rsidRPr="00CB2EC4">
              <w:rPr>
                <w:rFonts w:ascii="Times New Roman" w:hAnsi="Times New Roman" w:cs="Times New Roman"/>
              </w:rPr>
              <w:lastRenderedPageBreak/>
              <w:br/>
              <w:t>in summary, surgery is an effective option for cervical cancer during pregnancy and should be implemented after evaluation in the early or mid-to-late gestational stages, with emphasis on IB or IIA stage patients.</w:t>
            </w:r>
          </w:p>
        </w:tc>
        <w:tc>
          <w:tcPr>
            <w:tcW w:w="1152" w:type="dxa"/>
            <w:vAlign w:val="center"/>
          </w:tcPr>
          <w:p w14:paraId="0957CB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838CA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AC30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5FEC02" w14:textId="77777777">
        <w:tc>
          <w:tcPr>
            <w:tcW w:w="2160" w:type="dxa"/>
            <w:vAlign w:val="center"/>
          </w:tcPr>
          <w:p w14:paraId="6FE2858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602988D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Is surgical treatment suitable for pregnant patients with cervical cancer? At which stage of pregnancy should surgery be considered?  </w:t>
            </w:r>
            <w:r w:rsidRPr="00CB2EC4">
              <w:rPr>
                <w:rFonts w:ascii="Times New Roman" w:hAnsi="Times New Roman" w:cs="Times New Roman"/>
              </w:rPr>
              <w:br/>
            </w:r>
            <w:r w:rsidRPr="00CB2EC4">
              <w:rPr>
                <w:rFonts w:ascii="Times New Roman" w:hAnsi="Times New Roman" w:cs="Times New Roman"/>
              </w:rPr>
              <w:br/>
              <w:t xml:space="preserve">Suitable situations for surgery:  </w:t>
            </w:r>
            <w:r w:rsidRPr="00CB2EC4">
              <w:rPr>
                <w:rFonts w:ascii="Times New Roman" w:hAnsi="Times New Roman" w:cs="Times New Roman"/>
              </w:rPr>
              <w:br/>
              <w:t xml:space="preserve">  - Staging: Radical surgery is the first choice for IB/IIA stage patients without surgical contraindications (Document fragments 8, 9).  </w:t>
            </w:r>
            <w:r w:rsidRPr="00CB2EC4">
              <w:rPr>
                <w:rFonts w:ascii="Times New Roman" w:hAnsi="Times New Roman" w:cs="Times New Roman"/>
              </w:rPr>
              <w:br/>
              <w:t xml:space="preserve">  - Gestational week selection:  </w:t>
            </w:r>
            <w:r w:rsidRPr="00CB2EC4">
              <w:rPr>
                <w:rFonts w:ascii="Times New Roman" w:hAnsi="Times New Roman" w:cs="Times New Roman"/>
              </w:rPr>
              <w:br/>
              <w:t xml:space="preserve">    - Early pregnancy: Fetus-preserving radical surgery can be performed (Document fragment 8).  </w:t>
            </w:r>
            <w:r w:rsidRPr="00CB2EC4">
              <w:rPr>
                <w:rFonts w:ascii="Times New Roman" w:hAnsi="Times New Roman" w:cs="Times New Roman"/>
              </w:rPr>
              <w:br/>
              <w:t xml:space="preserve">    - Mid-to-late pregnancy: Pregnancy must first be terminated (via cesarean section), followed immediately by surgery (Document fragments 8, 9).  </w:t>
            </w:r>
            <w:r w:rsidRPr="00CB2EC4">
              <w:rPr>
                <w:rFonts w:ascii="Times New Roman" w:hAnsi="Times New Roman" w:cs="Times New Roman"/>
              </w:rPr>
              <w:br/>
              <w:t xml:space="preserve">- Surgical precautions:  </w:t>
            </w:r>
            <w:r w:rsidRPr="00CB2EC4">
              <w:rPr>
                <w:rFonts w:ascii="Times New Roman" w:hAnsi="Times New Roman" w:cs="Times New Roman"/>
              </w:rPr>
              <w:br/>
              <w:t xml:space="preserve">  - Pelvic congestion during pregnancy increases intraoperative bleeding risk; meticulous technique is required (Document fragment 9).  </w:t>
            </w:r>
            <w:r w:rsidRPr="00CB2EC4">
              <w:rPr>
                <w:rFonts w:ascii="Times New Roman" w:hAnsi="Times New Roman" w:cs="Times New Roman"/>
              </w:rPr>
              <w:br/>
              <w:t xml:space="preserve">  - Contraindications: For advanced stages (IIB-IV), radiotherapy is the primary treatment; surgery is reserved for individual cases (e.g., central recurrence) (Document fragments 2, 8).</w:t>
            </w:r>
          </w:p>
        </w:tc>
        <w:tc>
          <w:tcPr>
            <w:tcW w:w="1152" w:type="dxa"/>
            <w:vAlign w:val="center"/>
          </w:tcPr>
          <w:p w14:paraId="3474C4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A44F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9DEB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1C08F6" w14:textId="77777777">
        <w:tc>
          <w:tcPr>
            <w:tcW w:w="2160" w:type="dxa"/>
            <w:vAlign w:val="center"/>
          </w:tcPr>
          <w:p w14:paraId="0BEDDB27"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EFD1E9E" w14:textId="77777777" w:rsidR="00922249" w:rsidRPr="00CB2EC4" w:rsidRDefault="003011D5">
            <w:pPr>
              <w:rPr>
                <w:rFonts w:ascii="Times New Roman" w:hAnsi="Times New Roman" w:cs="Times New Roman"/>
              </w:rPr>
            </w:pPr>
            <w:r w:rsidRPr="00CB2EC4">
              <w:rPr>
                <w:rFonts w:ascii="Times New Roman" w:hAnsi="Times New Roman" w:cs="Times New Roman"/>
              </w:rPr>
              <w:t>yes, surgical treatment is suitable for pregnant patients with cervical cancer.</w:t>
            </w:r>
            <w:r w:rsidRPr="00CB2EC4">
              <w:rPr>
                <w:rFonts w:ascii="Times New Roman" w:hAnsi="Times New Roman" w:cs="Times New Roman"/>
              </w:rPr>
              <w:br/>
            </w:r>
            <w:r w:rsidRPr="00CB2EC4">
              <w:rPr>
                <w:rFonts w:ascii="Times New Roman" w:hAnsi="Times New Roman" w:cs="Times New Roman"/>
              </w:rPr>
              <w:br/>
              <w:t xml:space="preserve">- for early-stage cervical cancer (ib1, iia) without surgical contraindications, radical hysterectomy with </w:t>
            </w:r>
            <w:r w:rsidRPr="00CB2EC4">
              <w:rPr>
                <w:rFonts w:ascii="Times New Roman" w:hAnsi="Times New Roman" w:cs="Times New Roman"/>
              </w:rPr>
              <w:lastRenderedPageBreak/>
              <w:t>pelvic lymphadenectomy is one of the preferred treatments, especially for young patients to preserve ovarian and vaginal function.</w:t>
            </w:r>
            <w:r w:rsidRPr="00CB2EC4">
              <w:rPr>
                <w:rFonts w:ascii="Times New Roman" w:hAnsi="Times New Roman" w:cs="Times New Roman"/>
              </w:rPr>
              <w:br/>
            </w:r>
            <w:r w:rsidRPr="00CB2EC4">
              <w:rPr>
                <w:rFonts w:ascii="Times New Roman" w:hAnsi="Times New Roman" w:cs="Times New Roman"/>
              </w:rPr>
              <w:br/>
              <w:t>timing of surgery:</w:t>
            </w:r>
            <w:r w:rsidRPr="00CB2EC4">
              <w:rPr>
                <w:rFonts w:ascii="Times New Roman" w:hAnsi="Times New Roman" w:cs="Times New Roman"/>
              </w:rPr>
              <w:br/>
              <w:t>- early pregnancy (before 20 weeks): terminate pregnancy immediately and perform surgery (radical hysterectomy with pelvic lymphadenectomy). in-situ fetal surgery may be performed directly.</w:t>
            </w:r>
            <w:r w:rsidRPr="00CB2EC4">
              <w:rPr>
                <w:rFonts w:ascii="Times New Roman" w:hAnsi="Times New Roman" w:cs="Times New Roman"/>
              </w:rPr>
              <w:br/>
              <w:t>- mid-to-late pregnancy (after 20 weeks):</w:t>
            </w:r>
            <w:r w:rsidRPr="00CB2EC4">
              <w:rPr>
                <w:rFonts w:ascii="Times New Roman" w:hAnsi="Times New Roman" w:cs="Times New Roman"/>
              </w:rPr>
              <w:br/>
              <w:t xml:space="preserve">  - if fertility preservation is desired: wait until approximately 38 weeks for cesarean section, followed immediately or subsequently by surgical treatment.</w:t>
            </w:r>
            <w:r w:rsidRPr="00CB2EC4">
              <w:rPr>
                <w:rFonts w:ascii="Times New Roman" w:hAnsi="Times New Roman" w:cs="Times New Roman"/>
              </w:rPr>
              <w:br/>
              <w:t xml:space="preserve">  - if no fertility preservation is desired: terminate pregnancy immediately and perform surgery.</w:t>
            </w:r>
            <w:r w:rsidRPr="00CB2EC4">
              <w:rPr>
                <w:rFonts w:ascii="Times New Roman" w:hAnsi="Times New Roman" w:cs="Times New Roman"/>
              </w:rPr>
              <w:br/>
            </w:r>
            <w:r w:rsidRPr="00CB2EC4">
              <w:rPr>
                <w:rFonts w:ascii="Times New Roman" w:hAnsi="Times New Roman" w:cs="Times New Roman"/>
              </w:rPr>
              <w:br/>
              <w:t>note: surgical decision must be based on tumor size and location; locally advanced lesions may require neoadjuvant chemotherapy before surgery. for stages ib2 and above, surgery is not the primary option; radiotherapy is preferred.</w:t>
            </w:r>
          </w:p>
        </w:tc>
        <w:tc>
          <w:tcPr>
            <w:tcW w:w="1152" w:type="dxa"/>
            <w:vAlign w:val="center"/>
          </w:tcPr>
          <w:p w14:paraId="0F8C56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E935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BB43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55744D6" w14:textId="77777777">
        <w:tc>
          <w:tcPr>
            <w:tcW w:w="2160" w:type="dxa"/>
            <w:vAlign w:val="center"/>
          </w:tcPr>
          <w:p w14:paraId="0B90A5CE"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7357A8C" w14:textId="77777777" w:rsidR="00922249" w:rsidRPr="00CB2EC4" w:rsidRDefault="003011D5">
            <w:pPr>
              <w:rPr>
                <w:rFonts w:ascii="Times New Roman" w:hAnsi="Times New Roman" w:cs="Times New Roman"/>
              </w:rPr>
            </w:pPr>
            <w:r w:rsidRPr="00CB2EC4">
              <w:rPr>
                <w:rFonts w:ascii="Times New Roman" w:hAnsi="Times New Roman" w:cs="Times New Roman"/>
              </w:rPr>
              <w:t>yes, surgical treatment is suitable for pregnant patients with cervical cancer, particularly for those with early-stage disease (IB, IIA) without surgical contraindications. surgery can preserve ovarian and vaginal function, which is especially important for young patients.</w:t>
            </w:r>
            <w:r w:rsidRPr="00CB2EC4">
              <w:rPr>
                <w:rFonts w:ascii="Times New Roman" w:hAnsi="Times New Roman" w:cs="Times New Roman"/>
              </w:rPr>
              <w:br/>
            </w:r>
            <w:r w:rsidRPr="00CB2EC4">
              <w:rPr>
                <w:rFonts w:ascii="Times New Roman" w:hAnsi="Times New Roman" w:cs="Times New Roman"/>
              </w:rPr>
              <w:br/>
              <w:t>surgical timing by gestational stage:</w:t>
            </w:r>
            <w:r w:rsidRPr="00CB2EC4">
              <w:rPr>
                <w:rFonts w:ascii="Times New Roman" w:hAnsi="Times New Roman" w:cs="Times New Roman"/>
              </w:rPr>
              <w:br/>
              <w:t xml:space="preserve">- early pregnancy (before 20 weeks): immediate surgery is appropriate. this may involve terminating the pregnancy (via abortion or cesarean delivery) followed by radical surgery, or performing radical </w:t>
            </w:r>
            <w:r w:rsidRPr="00CB2EC4">
              <w:rPr>
                <w:rFonts w:ascii="Times New Roman" w:hAnsi="Times New Roman" w:cs="Times New Roman"/>
              </w:rPr>
              <w:lastRenderedPageBreak/>
              <w:t>surgery with the fetus in utero (after risk assessment).</w:t>
            </w:r>
            <w:r w:rsidRPr="00CB2EC4">
              <w:rPr>
                <w:rFonts w:ascii="Times New Roman" w:hAnsi="Times New Roman" w:cs="Times New Roman"/>
              </w:rPr>
              <w:br/>
              <w:t>- mid and late pregnancy (after 20 weeks): delayed surgery until approximately 38 weeks is recommended, performed concurrently with cesarean section. for example, a classical cesarean section followed immediately by radical hysterectomy to reduce tumor dissemination risk.</w:t>
            </w:r>
            <w:r w:rsidRPr="00CB2EC4">
              <w:rPr>
                <w:rFonts w:ascii="Times New Roman" w:hAnsi="Times New Roman" w:cs="Times New Roman"/>
              </w:rPr>
              <w:br/>
              <w:t>- exception: for large or high-risk tumors, neoadjuvant chemotherapy may be given before surgery.</w:t>
            </w:r>
            <w:r w:rsidRPr="00CB2EC4">
              <w:rPr>
                <w:rFonts w:ascii="Times New Roman" w:hAnsi="Times New Roman" w:cs="Times New Roman"/>
              </w:rPr>
              <w:br/>
            </w:r>
            <w:r w:rsidRPr="00CB2EC4">
              <w:rPr>
                <w:rFonts w:ascii="Times New Roman" w:hAnsi="Times New Roman" w:cs="Times New Roman"/>
              </w:rPr>
              <w:br/>
              <w:t>note: surgery must be performed at a specialized center; vaginal delivery should be avoided to prevent hemorrhage and tumor spread; pelvic congestion during pregnancy increases intraoperative bleeding risk, requiring careful technique.</w:t>
            </w:r>
            <w:r w:rsidRPr="00CB2EC4">
              <w:rPr>
                <w:rFonts w:ascii="Times New Roman" w:hAnsi="Times New Roman" w:cs="Times New Roman"/>
              </w:rPr>
              <w:br/>
            </w:r>
            <w:r w:rsidRPr="00CB2EC4">
              <w:rPr>
                <w:rFonts w:ascii="Times New Roman" w:hAnsi="Times New Roman" w:cs="Times New Roman"/>
              </w:rPr>
              <w:br/>
              <w:t>summary: surgical treatment is feasible, prioritized in early pregnancy or late pregnancy (combined with cesarean section); mid-pregnancy cases may be delayed with close monitoring.</w:t>
            </w:r>
          </w:p>
        </w:tc>
        <w:tc>
          <w:tcPr>
            <w:tcW w:w="1152" w:type="dxa"/>
            <w:vAlign w:val="center"/>
          </w:tcPr>
          <w:p w14:paraId="69AB14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4C51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DEA4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D25AF37" w14:textId="77777777">
        <w:tc>
          <w:tcPr>
            <w:tcW w:w="2160" w:type="dxa"/>
            <w:vAlign w:val="center"/>
          </w:tcPr>
          <w:p w14:paraId="0FF8B205"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2D21FFD" w14:textId="77777777" w:rsidR="00922249" w:rsidRPr="00CB2EC4" w:rsidRDefault="003011D5">
            <w:pPr>
              <w:rPr>
                <w:rFonts w:ascii="Times New Roman" w:hAnsi="Times New Roman" w:cs="Times New Roman"/>
              </w:rPr>
            </w:pPr>
            <w:r w:rsidRPr="00CB2EC4">
              <w:rPr>
                <w:rFonts w:ascii="Times New Roman" w:hAnsi="Times New Roman" w:cs="Times New Roman"/>
              </w:rPr>
              <w:t>Yes, especially for patients with stage IB and stage IIA cervical cancer. Surgery is the preferred treatment method, which can effectively control early-stage cancer lesions while preserving ovarian function (Reference 1).</w:t>
            </w:r>
            <w:r w:rsidRPr="00CB2EC4">
              <w:rPr>
                <w:rFonts w:ascii="Times New Roman" w:hAnsi="Times New Roman" w:cs="Times New Roman"/>
              </w:rPr>
              <w:br/>
            </w:r>
            <w:r w:rsidRPr="00CB2EC4">
              <w:rPr>
                <w:rFonts w:ascii="Times New Roman" w:hAnsi="Times New Roman" w:cs="Times New Roman"/>
              </w:rPr>
              <w:br/>
              <w:t>Considerations for surgical timing:</w:t>
            </w:r>
            <w:r w:rsidRPr="00CB2EC4">
              <w:rPr>
                <w:rFonts w:ascii="Times New Roman" w:hAnsi="Times New Roman" w:cs="Times New Roman"/>
              </w:rPr>
              <w:br/>
              <w:t>- First trimester of pregnancy: Suitable for immediate surgery (e.g., radical hysterectomy), which can be performed after pregnancy termination or while the fetus is in utero (Reference 1).</w:t>
            </w:r>
            <w:r w:rsidRPr="00CB2EC4">
              <w:rPr>
                <w:rFonts w:ascii="Times New Roman" w:hAnsi="Times New Roman" w:cs="Times New Roman"/>
              </w:rPr>
              <w:br/>
              <w:t xml:space="preserve">- Second trimester of pregnancy: Suitable for surgery; priority is given to delaying until week 38 of gestation for a cesarean section combined with radical surgery; </w:t>
            </w:r>
            <w:r w:rsidRPr="00CB2EC4">
              <w:rPr>
                <w:rFonts w:ascii="Times New Roman" w:hAnsi="Times New Roman" w:cs="Times New Roman"/>
              </w:rPr>
              <w:lastRenderedPageBreak/>
              <w:t>if early intervention is necessary, surgery can be performed while the fetus is in utero (Reference 1).</w:t>
            </w:r>
            <w:r w:rsidRPr="00CB2EC4">
              <w:rPr>
                <w:rFonts w:ascii="Times New Roman" w:hAnsi="Times New Roman" w:cs="Times New Roman"/>
              </w:rPr>
              <w:br/>
              <w:t>- Third trimester of pregnancy: Perform a cesarean section, followed immediately by surgery, to avoid delays (Reference 1).</w:t>
            </w:r>
            <w:r w:rsidRPr="00CB2EC4">
              <w:rPr>
                <w:rFonts w:ascii="Times New Roman" w:hAnsi="Times New Roman" w:cs="Times New Roman"/>
              </w:rPr>
              <w:br/>
            </w:r>
            <w:r w:rsidRPr="00CB2EC4">
              <w:rPr>
                <w:rFonts w:ascii="Times New Roman" w:hAnsi="Times New Roman" w:cs="Times New Roman"/>
              </w:rPr>
              <w:br/>
              <w:t>Precautions: Surgery requires assessment of tumor size (e.g., stage IB tumor &lt;4 cm) and lymph node status; adenocarcinoma or bulky tumors may require combined chemotherapy (Reference 15).</w:t>
            </w:r>
            <w:r w:rsidRPr="00CB2EC4">
              <w:rPr>
                <w:rFonts w:ascii="Times New Roman" w:hAnsi="Times New Roman" w:cs="Times New Roman"/>
              </w:rPr>
              <w:br/>
            </w:r>
            <w:r w:rsidRPr="00CB2EC4">
              <w:rPr>
                <w:rFonts w:ascii="Times New Roman" w:hAnsi="Times New Roman" w:cs="Times New Roman"/>
              </w:rPr>
              <w:br/>
              <w:t>Basis: Reference 1 clearly states that "Surgery is the preferred treatment for patients with stage IB and stage IIA without surgical contraindications," and details the timing for each trimester of pregnancy.</w:t>
            </w:r>
          </w:p>
        </w:tc>
        <w:tc>
          <w:tcPr>
            <w:tcW w:w="1152" w:type="dxa"/>
            <w:vAlign w:val="center"/>
          </w:tcPr>
          <w:p w14:paraId="622213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049CF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AB6AD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EAC5419" w14:textId="77777777">
        <w:tc>
          <w:tcPr>
            <w:tcW w:w="2160" w:type="dxa"/>
            <w:vAlign w:val="center"/>
          </w:tcPr>
          <w:p w14:paraId="79BF901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506DA21" w14:textId="77777777" w:rsidR="00922249" w:rsidRPr="00CB2EC4" w:rsidRDefault="003011D5">
            <w:pPr>
              <w:rPr>
                <w:rFonts w:ascii="Times New Roman" w:hAnsi="Times New Roman" w:cs="Times New Roman"/>
              </w:rPr>
            </w:pPr>
            <w:r w:rsidRPr="00CB2EC4">
              <w:rPr>
                <w:rFonts w:ascii="Times New Roman" w:hAnsi="Times New Roman" w:cs="Times New Roman"/>
              </w:rPr>
              <w:t>yes, surgical treatment is suitable for pregnant patients with cervical cancer, particularly in early stages (e.g., FIGO IA2–IB2). Surgery should be performed in the first trimester or late second/third trimester (combined with cesarean section), avoiding radiotherapy-related risks.</w:t>
            </w:r>
            <w:r w:rsidRPr="00CB2EC4">
              <w:rPr>
                <w:rFonts w:ascii="Times New Roman" w:hAnsi="Times New Roman" w:cs="Times New Roman"/>
              </w:rPr>
              <w:br/>
            </w:r>
            <w:r w:rsidRPr="00CB2EC4">
              <w:rPr>
                <w:rFonts w:ascii="Times New Roman" w:hAnsi="Times New Roman" w:cs="Times New Roman"/>
              </w:rPr>
              <w:br/>
              <w:t>- Suitability for surgery:</w:t>
            </w:r>
            <w:r w:rsidRPr="00CB2EC4">
              <w:rPr>
                <w:rFonts w:ascii="Times New Roman" w:hAnsi="Times New Roman" w:cs="Times New Roman"/>
              </w:rPr>
              <w:br/>
              <w:t xml:space="preserve">  - Yes, surgery is the preferred method, especially for young patients (&lt;45 years), preserving ovarian function and vaginal elasticity (fragment 10).</w:t>
            </w:r>
            <w:r w:rsidRPr="00CB2EC4">
              <w:rPr>
                <w:rFonts w:ascii="Times New Roman" w:hAnsi="Times New Roman" w:cs="Times New Roman"/>
              </w:rPr>
              <w:br/>
              <w:t xml:space="preserve">  - Applicable to FIGO IA2, IB1, IB2, and IIA1 stage patients (fragment 5); contraindications include advanced cancer or severe comorbidities (fragment 10).</w:t>
            </w:r>
            <w:r w:rsidRPr="00CB2EC4">
              <w:rPr>
                <w:rFonts w:ascii="Times New Roman" w:hAnsi="Times New Roman" w:cs="Times New Roman"/>
              </w:rPr>
              <w:br/>
              <w:t>- Timing of surgery:</w:t>
            </w:r>
            <w:r w:rsidRPr="00CB2EC4">
              <w:rPr>
                <w:rFonts w:ascii="Times New Roman" w:hAnsi="Times New Roman" w:cs="Times New Roman"/>
              </w:rPr>
              <w:br/>
              <w:t xml:space="preserve">  - First trimester (&lt;20 weeks): Immediate surgery is considered. Terminate pregnancy followed by radical hysterectomy and pelvic lymphadenectomy </w:t>
            </w:r>
            <w:r w:rsidRPr="00CB2EC4">
              <w:rPr>
                <w:rFonts w:ascii="Times New Roman" w:hAnsi="Times New Roman" w:cs="Times New Roman"/>
              </w:rPr>
              <w:lastRenderedPageBreak/>
              <w:t>(fragments 3 and 10). For example, fragment 10 states: "First and early second trimester (&lt;20 weeks): terminate pregnancy immediately and initiate cervical cancer treatment... preferred is radical hysterectomy and pelvic lymph node dissection."</w:t>
            </w:r>
            <w:r w:rsidRPr="00CB2EC4">
              <w:rPr>
                <w:rFonts w:ascii="Times New Roman" w:hAnsi="Times New Roman" w:cs="Times New Roman"/>
              </w:rPr>
              <w:br/>
              <w:t xml:space="preserve">  - Late second and third trimester (≥20 weeks): Consider cesarean section at approximately 38 weeks with simultaneous surgery. Fragment 3 notes: "Patients diagnosed after 20 weeks with IA2–IB2 stage... undergo cesarean section before 34 weeks followed by radical hysterectomy." Fragment 10 adds: "If childless and desiring fertility preservation, may wait until ~38 weeks for classical or cesarean section delivery, followed immediately or subsequently by radical hysterectomy."</w:t>
            </w:r>
            <w:r w:rsidRPr="00CB2EC4">
              <w:rPr>
                <w:rFonts w:ascii="Times New Roman" w:hAnsi="Times New Roman" w:cs="Times New Roman"/>
              </w:rPr>
              <w:br/>
              <w:t>- Precautions:</w:t>
            </w:r>
            <w:r w:rsidRPr="00CB2EC4">
              <w:rPr>
                <w:rFonts w:ascii="Times New Roman" w:hAnsi="Times New Roman" w:cs="Times New Roman"/>
              </w:rPr>
              <w:br/>
              <w:t xml:space="preserve">  - Surgery may increase bleeding risk (due to pelvic congestion in pregnancy) and should be performed at experienced centers (fragment 10).</w:t>
            </w:r>
            <w:r w:rsidRPr="00CB2EC4">
              <w:rPr>
                <w:rFonts w:ascii="Times New Roman" w:hAnsi="Times New Roman" w:cs="Times New Roman"/>
              </w:rPr>
              <w:br/>
              <w:t xml:space="preserve">  - For locally advanced lesions, neoadjuvant chemotherapy may precede surgery (fragment 10).</w:t>
            </w:r>
            <w:r w:rsidRPr="00CB2EC4">
              <w:rPr>
                <w:rFonts w:ascii="Times New Roman" w:hAnsi="Times New Roman" w:cs="Times New Roman"/>
              </w:rPr>
              <w:br/>
              <w:t xml:space="preserve">  - Surgery is also an option for recurrence after radiotherapy or when radiotherapy is unsuitable, but requires evaluation (fragment 6).</w:t>
            </w:r>
            <w:r w:rsidRPr="00CB2EC4">
              <w:rPr>
                <w:rFonts w:ascii="Times New Roman" w:hAnsi="Times New Roman" w:cs="Times New Roman"/>
              </w:rPr>
              <w:br/>
              <w:t>- Summary: Surgery is suitable and recommended, performed immediately in the first trimester or combined with cesarean section in late second/third trimester.</w:t>
            </w:r>
          </w:p>
        </w:tc>
        <w:tc>
          <w:tcPr>
            <w:tcW w:w="1152" w:type="dxa"/>
            <w:vAlign w:val="center"/>
          </w:tcPr>
          <w:p w14:paraId="32EB0A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E0CA9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C355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27E037" w14:textId="77777777">
        <w:tc>
          <w:tcPr>
            <w:tcW w:w="2160" w:type="dxa"/>
            <w:vAlign w:val="center"/>
          </w:tcPr>
          <w:p w14:paraId="442316DA"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13085E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surgery is considered during the second trimester (13–28 weeks), when fetal organogenesis is largely complete and the risk of miscarriage or preterm birth is lower; procedures such as radical trachelectomy or radical hysterectomy with fetal preservation may be performed. surgery is generally avoided in the first </w:t>
            </w:r>
            <w:r w:rsidRPr="00CB2EC4">
              <w:rPr>
                <w:rFonts w:ascii="Times New Roman" w:hAnsi="Times New Roman" w:cs="Times New Roman"/>
              </w:rPr>
              <w:lastRenderedPageBreak/>
              <w:t>and third trimesters due to higher risks of pregnancy loss and preterm delivery.</w:t>
            </w:r>
          </w:p>
        </w:tc>
        <w:tc>
          <w:tcPr>
            <w:tcW w:w="1152" w:type="dxa"/>
            <w:vAlign w:val="center"/>
          </w:tcPr>
          <w:p w14:paraId="0D8CFD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4D3CB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C3DBA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5585DA6" w14:textId="77777777">
        <w:tc>
          <w:tcPr>
            <w:tcW w:w="10656" w:type="dxa"/>
            <w:gridSpan w:val="5"/>
            <w:tcBorders>
              <w:bottom w:val="single" w:sz="6" w:space="0" w:color="auto"/>
            </w:tcBorders>
            <w:vAlign w:val="center"/>
          </w:tcPr>
          <w:p w14:paraId="7FD18E98" w14:textId="77777777" w:rsidR="00922249" w:rsidRPr="00CB2EC4" w:rsidRDefault="003011D5">
            <w:pPr>
              <w:rPr>
                <w:rFonts w:ascii="Times New Roman" w:hAnsi="Times New Roman" w:cs="Times New Roman"/>
              </w:rPr>
            </w:pPr>
            <w:r w:rsidRPr="00CB2EC4">
              <w:rPr>
                <w:rFonts w:ascii="Times New Roman" w:hAnsi="Times New Roman" w:cs="Times New Roman"/>
                <w:b/>
              </w:rPr>
              <w:t>Question 79: What is the radiotherapy strategy for patients with locally advanced cervical cancer? When is a combination of chemotherapy recommended?</w:t>
            </w:r>
          </w:p>
        </w:tc>
      </w:tr>
      <w:tr w:rsidR="00922249" w:rsidRPr="00CB2EC4" w14:paraId="26C917F6" w14:textId="77777777">
        <w:tc>
          <w:tcPr>
            <w:tcW w:w="2160" w:type="dxa"/>
            <w:vAlign w:val="center"/>
          </w:tcPr>
          <w:p w14:paraId="4A0D69AB"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F9BA015" w14:textId="77777777" w:rsidR="00922249" w:rsidRPr="00CB2EC4" w:rsidRDefault="003011D5">
            <w:pPr>
              <w:rPr>
                <w:rFonts w:ascii="Times New Roman" w:hAnsi="Times New Roman" w:cs="Times New Roman"/>
              </w:rPr>
            </w:pPr>
            <w:r w:rsidRPr="00CB2EC4">
              <w:rPr>
                <w:rFonts w:ascii="Times New Roman" w:hAnsi="Times New Roman" w:cs="Times New Roman"/>
              </w:rPr>
              <w:t>the radiotherapy strategy for locally advanced cervical cancer (e.g., IB3, IIA2 and above) is primarily radical radiotherapy, with concurrent chemotherapy recommended in specific situations (see references with similarity 0.562 and 0.549).</w:t>
            </w:r>
            <w:r w:rsidRPr="00CB2EC4">
              <w:rPr>
                <w:rFonts w:ascii="Times New Roman" w:hAnsi="Times New Roman" w:cs="Times New Roman"/>
              </w:rPr>
              <w:br/>
            </w:r>
            <w:r w:rsidRPr="00CB2EC4">
              <w:rPr>
                <w:rFonts w:ascii="Times New Roman" w:hAnsi="Times New Roman" w:cs="Times New Roman"/>
              </w:rPr>
              <w:br/>
              <w:t>- Radiotherapy strategy:</w:t>
            </w:r>
            <w:r w:rsidRPr="00CB2EC4">
              <w:rPr>
                <w:rFonts w:ascii="Times New Roman" w:hAnsi="Times New Roman" w:cs="Times New Roman"/>
              </w:rPr>
              <w:br/>
              <w:t xml:space="preserve">  - Standard regimen: external beam radiotherapy (EBRT) combined with vaginal brachytherapy (see reference 0.562: "radical radiotherapy (external beam radiotherapy + vaginal brachytherapy)").</w:t>
            </w:r>
            <w:r w:rsidRPr="00CB2EC4">
              <w:rPr>
                <w:rFonts w:ascii="Times New Roman" w:hAnsi="Times New Roman" w:cs="Times New Roman"/>
              </w:rPr>
              <w:br/>
              <w:t xml:space="preserve">    - EBRT dose: 45–50 Gy, covering the pelvis ± para-aortic region.</w:t>
            </w:r>
            <w:r w:rsidRPr="00CB2EC4">
              <w:rPr>
                <w:rFonts w:ascii="Times New Roman" w:hAnsi="Times New Roman" w:cs="Times New Roman"/>
              </w:rPr>
              <w:br/>
              <w:t xml:space="preserve">    - Brachytherapy dose: EQD2 for point A or high-risk CTV D90 should reach 80–85 Gy (5–7 Gy × 4–6 fractions).</w:t>
            </w:r>
            <w:r w:rsidRPr="00CB2EC4">
              <w:rPr>
                <w:rFonts w:ascii="Times New Roman" w:hAnsi="Times New Roman" w:cs="Times New Roman"/>
              </w:rPr>
              <w:br/>
              <w:t xml:space="preserve">  - Image-guided radiotherapy (e.g., CT or MRI) is recommended to improve accuracy, especially for large or asymmetric tumors (see: "MRI before or during brachytherapy is recommended to help delineate residual tumor").</w:t>
            </w:r>
            <w:r w:rsidRPr="00CB2EC4">
              <w:rPr>
                <w:rFonts w:ascii="Times New Roman" w:hAnsi="Times New Roman" w:cs="Times New Roman"/>
              </w:rPr>
              <w:br/>
            </w:r>
            <w:r w:rsidRPr="00CB2EC4">
              <w:rPr>
                <w:rFonts w:ascii="Times New Roman" w:hAnsi="Times New Roman" w:cs="Times New Roman"/>
              </w:rPr>
              <w:br/>
              <w:t>- When to recommend concurrent chemotherapy:</w:t>
            </w:r>
            <w:r w:rsidRPr="00CB2EC4">
              <w:rPr>
                <w:rFonts w:ascii="Times New Roman" w:hAnsi="Times New Roman" w:cs="Times New Roman"/>
              </w:rPr>
              <w:br/>
              <w:t xml:space="preserve">  - Concurrent chemoradiotherapy is recommended for patients with IB3, IIA2 and above to reduce recurrence risk and mortality (see reference 0.549: "Concurrent chemoradiotherapy reduces recurrence and mortality in cervical cancer patients... pelvic ± para-aortic EBRT combined with concurrent </w:t>
            </w:r>
            <w:r w:rsidRPr="00CB2EC4">
              <w:rPr>
                <w:rFonts w:ascii="Times New Roman" w:hAnsi="Times New Roman" w:cs="Times New Roman"/>
              </w:rPr>
              <w:lastRenderedPageBreak/>
              <w:t>platinum-based chemotherapy is recommended").</w:t>
            </w:r>
            <w:r w:rsidRPr="00CB2EC4">
              <w:rPr>
                <w:rFonts w:ascii="Times New Roman" w:hAnsi="Times New Roman" w:cs="Times New Roman"/>
              </w:rPr>
              <w:br/>
              <w:t xml:space="preserve">  - Specific indications:</w:t>
            </w:r>
            <w:r w:rsidRPr="00CB2EC4">
              <w:rPr>
                <w:rFonts w:ascii="Times New Roman" w:hAnsi="Times New Roman" w:cs="Times New Roman"/>
              </w:rPr>
              <w:br/>
              <w:t xml:space="preserve">    - High-risk features such as tumor diameter ≥4 cm, lymph node metastasis, parametrial involvement (see: "For IB3, IIA2... concurrent chemoradiotherapy is the first choice").</w:t>
            </w:r>
            <w:r w:rsidRPr="00CB2EC4">
              <w:rPr>
                <w:rFonts w:ascii="Times New Roman" w:hAnsi="Times New Roman" w:cs="Times New Roman"/>
              </w:rPr>
              <w:br/>
              <w:t xml:space="preserve">    - Chemotherapy regimen: weekly cisplatin (40 mg/m², once weekly for 4–6 cycles) or carboplatin (AUC=2) as alternative.</w:t>
            </w:r>
            <w:r w:rsidRPr="00CB2EC4">
              <w:rPr>
                <w:rFonts w:ascii="Times New Roman" w:hAnsi="Times New Roman" w:cs="Times New Roman"/>
              </w:rPr>
              <w:br/>
              <w:t xml:space="preserve">  - Definitive radiotherapy alone is not recommended unless the patient cannot tolerate chemotherapy.</w:t>
            </w:r>
          </w:p>
        </w:tc>
        <w:tc>
          <w:tcPr>
            <w:tcW w:w="1152" w:type="dxa"/>
            <w:vAlign w:val="center"/>
          </w:tcPr>
          <w:p w14:paraId="105933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0A2E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A519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BCA1CC7" w14:textId="77777777">
        <w:tc>
          <w:tcPr>
            <w:tcW w:w="2160" w:type="dxa"/>
            <w:vAlign w:val="center"/>
          </w:tcPr>
          <w:p w14:paraId="0BA9028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DD387F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radiotherapy strategy for locally advanced cervical cancer (e.g., FIGO IB3, IIA2) is primarily concurrent chemoradiotherapy (CCRT), as detailed below:  </w:t>
            </w:r>
            <w:r w:rsidRPr="00CB2EC4">
              <w:rPr>
                <w:rFonts w:ascii="Times New Roman" w:hAnsi="Times New Roman" w:cs="Times New Roman"/>
              </w:rPr>
              <w:br/>
              <w:t xml:space="preserve">- Radiotherapy strategy:  </w:t>
            </w:r>
            <w:r w:rsidRPr="00CB2EC4">
              <w:rPr>
                <w:rFonts w:ascii="Times New Roman" w:hAnsi="Times New Roman" w:cs="Times New Roman"/>
              </w:rPr>
              <w:br/>
              <w:t xml:space="preserve">  - External beam radiotherapy (EBRT): Whole-pelvis irradiation, dose 45–50 Gy/5 weeks, covering parametria and lymph node regions (document fragments 7, 19).  </w:t>
            </w:r>
            <w:r w:rsidRPr="00CB2EC4">
              <w:rPr>
                <w:rFonts w:ascii="Times New Roman" w:hAnsi="Times New Roman" w:cs="Times New Roman"/>
              </w:rPr>
              <w:br/>
              <w:t xml:space="preserve">  - Brachytherapy (ICRT): Point A or high-risk CTV dose 80–90 Gy (EQD2), combined with EBRT. Intracavitary treatment uses uterine tandem and vaginal applicators; interstitial implantation is recommended for large or asymmetric tumors (document fragments 7, 41).  </w:t>
            </w:r>
            <w:r w:rsidRPr="00CB2EC4">
              <w:rPr>
                <w:rFonts w:ascii="Times New Roman" w:hAnsi="Times New Roman" w:cs="Times New Roman"/>
              </w:rPr>
              <w:br/>
              <w:t xml:space="preserve">  - Image guidance: MRI-guided contouring is recommended to precisely delineate target volumes and reduce rectal/bladder toxicity (document fragment 7).  </w:t>
            </w:r>
            <w:r w:rsidRPr="00CB2EC4">
              <w:rPr>
                <w:rFonts w:ascii="Times New Roman" w:hAnsi="Times New Roman" w:cs="Times New Roman"/>
              </w:rPr>
              <w:br/>
              <w:t xml:space="preserve">- Indications for combined chemotherapy:  </w:t>
            </w:r>
            <w:r w:rsidRPr="00CB2EC4">
              <w:rPr>
                <w:rFonts w:ascii="Times New Roman" w:hAnsi="Times New Roman" w:cs="Times New Roman"/>
              </w:rPr>
              <w:br/>
              <w:t xml:space="preserve">  - Concurrent chemoradiotherapy (CCRT): Standard for IB3, IIA2, and higher stages. Chemotherapy regimen: weekly cisplatin (40 mg/m², once weekly for 4–6 cycles) or carboplatin (AUC=2) as alternative </w:t>
            </w:r>
            <w:r w:rsidRPr="00CB2EC4">
              <w:rPr>
                <w:rFonts w:ascii="Times New Roman" w:hAnsi="Times New Roman" w:cs="Times New Roman"/>
              </w:rPr>
              <w:lastRenderedPageBreak/>
              <w:t xml:space="preserve">(document fragments 7, 19, 25).  </w:t>
            </w:r>
            <w:r w:rsidRPr="00CB2EC4">
              <w:rPr>
                <w:rFonts w:ascii="Times New Roman" w:hAnsi="Times New Roman" w:cs="Times New Roman"/>
              </w:rPr>
              <w:br/>
              <w:t xml:space="preserve">  - High-risk features: tumor diameter &gt;4 cm, lymph node metastasis, deep stromal invasion, or adenocarcinoma histology (document fragments 8, 14).  </w:t>
            </w:r>
            <w:r w:rsidRPr="00CB2EC4">
              <w:rPr>
                <w:rFonts w:ascii="Times New Roman" w:hAnsi="Times New Roman" w:cs="Times New Roman"/>
              </w:rPr>
              <w:br/>
              <w:t xml:space="preserve">  - Postoperative adjuvant: patients with positive lymph nodes, positive margins, or parametrial involvement require postoperative radiotherapy with concurrent chemotherapy (document fragment 25).  </w:t>
            </w:r>
            <w:r w:rsidRPr="00CB2EC4">
              <w:rPr>
                <w:rFonts w:ascii="Times New Roman" w:hAnsi="Times New Roman" w:cs="Times New Roman"/>
              </w:rPr>
              <w:br/>
              <w:t>Evidence: document fragment 19 (block 14) establishes CCRT as first-line for IB3/IIA2; fragments 7 (block 41) and 25 (block 42) specify radiotherapy dosing and chemotherapy indications.</w:t>
            </w:r>
          </w:p>
        </w:tc>
        <w:tc>
          <w:tcPr>
            <w:tcW w:w="1152" w:type="dxa"/>
            <w:vAlign w:val="center"/>
          </w:tcPr>
          <w:p w14:paraId="671386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1584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7FAA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640F103" w14:textId="77777777">
        <w:tc>
          <w:tcPr>
            <w:tcW w:w="2160" w:type="dxa"/>
            <w:vAlign w:val="center"/>
          </w:tcPr>
          <w:p w14:paraId="63BEBEE1"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7ADAD9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radiotherapy strategy for locally advanced cervical cancer (e.g., IB3, IIA2 or higher stage) primarily involves external beam radiotherapy (EBRT) combined with brachytherapy, with concurrent chemotherapy (CCRT) commonly recommended. Details are as follows:  </w:t>
            </w:r>
            <w:r w:rsidRPr="00CB2EC4">
              <w:rPr>
                <w:rFonts w:ascii="Times New Roman" w:hAnsi="Times New Roman" w:cs="Times New Roman"/>
              </w:rPr>
              <w:br/>
              <w:t xml:space="preserve">- Radiotherapy strategy:  </w:t>
            </w:r>
            <w:r w:rsidRPr="00CB2EC4">
              <w:rPr>
                <w:rFonts w:ascii="Times New Roman" w:hAnsi="Times New Roman" w:cs="Times New Roman"/>
              </w:rPr>
              <w:br/>
              <w:t xml:space="preserve">  - The preferred approach is EBRT + brachytherapy (intracavitary irradiation). EBRT aims to reduce tumor volume and cover pelvic regions (including vaginal stump, parametrial tissues, and lymph node drainage areas), typically delivered at 45–50 Gy in fractions (e.g., fractions 5, 10, 17). Brachytherapy provides a boost, prescribed as 5–7 Gy × 4–6 fractions to point A or high-risk CTV D90, totaling 20–35 Gy; MRI guidance is recommended to optimize target delineation (e.g., fraction 2). For patients with positive vaginal margins, additional brachytherapy (e.g., 5.5 Gy × 2 fractions) may be added (e.g., fraction 10).  </w:t>
            </w:r>
            <w:r w:rsidRPr="00CB2EC4">
              <w:rPr>
                <w:rFonts w:ascii="Times New Roman" w:hAnsi="Times New Roman" w:cs="Times New Roman"/>
              </w:rPr>
              <w:br/>
              <w:t xml:space="preserve">  - Intensity-modulated radiotherapy (IMRT) is recommended to minimize normal tissue toxicity (e.g., </w:t>
            </w:r>
            <w:r w:rsidRPr="00CB2EC4">
              <w:rPr>
                <w:rFonts w:ascii="Times New Roman" w:hAnsi="Times New Roman" w:cs="Times New Roman"/>
              </w:rPr>
              <w:lastRenderedPageBreak/>
              <w:t xml:space="preserve">fraction 10). Radiotherapy should commence within 4–6 weeks post-surgery (e.g., fraction 10).  </w:t>
            </w:r>
            <w:r w:rsidRPr="00CB2EC4">
              <w:rPr>
                <w:rFonts w:ascii="Times New Roman" w:hAnsi="Times New Roman" w:cs="Times New Roman"/>
              </w:rPr>
              <w:br/>
              <w:t xml:space="preserve">- Timing for recommending concurrent chemotherapy:  </w:t>
            </w:r>
            <w:r w:rsidRPr="00CB2EC4">
              <w:rPr>
                <w:rFonts w:ascii="Times New Roman" w:hAnsi="Times New Roman" w:cs="Times New Roman"/>
              </w:rPr>
              <w:br/>
              <w:t xml:space="preserve">  - CCRT is the standard treatment, recommended for locally advanced cervical cancer (e.g., IB3, IIA2 or higher) to reduce recurrence and mortality risk (e.g., fractions 5, 11, 17, 22). Indications include:  </w:t>
            </w:r>
            <w:r w:rsidRPr="00CB2EC4">
              <w:rPr>
                <w:rFonts w:ascii="Times New Roman" w:hAnsi="Times New Roman" w:cs="Times New Roman"/>
              </w:rPr>
              <w:br/>
              <w:t xml:space="preserve">    - Patients without distant metastasis: recommend EBRT with concurrent platinum-based chemotherapy (e.g., weekly cisplatin 40 mg/m²) and brachytherapy (e.g., fractions 2, 5, 17).  </w:t>
            </w:r>
            <w:r w:rsidRPr="00CB2EC4">
              <w:rPr>
                <w:rFonts w:ascii="Times New Roman" w:hAnsi="Times New Roman" w:cs="Times New Roman"/>
              </w:rPr>
              <w:br/>
              <w:t xml:space="preserve">    - Postoperative patients with high-risk factors (e.g., positive lymph nodes, positive margins): adjuvant chemoradiotherapy may be administered (e.g., fractions 36, 38).  </w:t>
            </w:r>
            <w:r w:rsidRPr="00CB2EC4">
              <w:rPr>
                <w:rFonts w:ascii="Times New Roman" w:hAnsi="Times New Roman" w:cs="Times New Roman"/>
              </w:rPr>
              <w:br/>
              <w:t xml:space="preserve">  - Concurrent chemotherapy is typically given during the EBRT course (e.g., fraction 5). For platinum-intolerant patients, fluorouracil-based regimens may be considered (e.g., fraction 5).  </w:t>
            </w:r>
            <w:r w:rsidRPr="00CB2EC4">
              <w:rPr>
                <w:rFonts w:ascii="Times New Roman" w:hAnsi="Times New Roman" w:cs="Times New Roman"/>
              </w:rPr>
              <w:br/>
              <w:t xml:space="preserve">- Other scenarios:  </w:t>
            </w:r>
            <w:r w:rsidRPr="00CB2EC4">
              <w:rPr>
                <w:rFonts w:ascii="Times New Roman" w:hAnsi="Times New Roman" w:cs="Times New Roman"/>
              </w:rPr>
              <w:br/>
              <w:t xml:space="preserve">  - In resource-limited settings, neoadjuvant chemotherapy (NACT) followed by surgery may be an option, though not preferred and with controversial efficacy (e.g., fractions 11, 43).</w:t>
            </w:r>
          </w:p>
        </w:tc>
        <w:tc>
          <w:tcPr>
            <w:tcW w:w="1152" w:type="dxa"/>
            <w:vAlign w:val="center"/>
          </w:tcPr>
          <w:p w14:paraId="4CE9F4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6526F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39CED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A902A59" w14:textId="77777777">
        <w:tc>
          <w:tcPr>
            <w:tcW w:w="2160" w:type="dxa"/>
            <w:vAlign w:val="center"/>
          </w:tcPr>
          <w:p w14:paraId="546ACF8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0A7C31C" w14:textId="77777777" w:rsidR="00922249" w:rsidRPr="00CB2EC4" w:rsidRDefault="003011D5">
            <w:pPr>
              <w:rPr>
                <w:rFonts w:ascii="Times New Roman" w:hAnsi="Times New Roman" w:cs="Times New Roman"/>
              </w:rPr>
            </w:pPr>
            <w:r w:rsidRPr="00CB2EC4">
              <w:rPr>
                <w:rFonts w:ascii="Times New Roman" w:hAnsi="Times New Roman" w:cs="Times New Roman"/>
              </w:rPr>
              <w:t>radiotherapy strategy for locally advanced cervical cancer (IB3/IIA2 stage)</w:t>
            </w:r>
            <w:r w:rsidRPr="00CB2EC4">
              <w:rPr>
                <w:rFonts w:ascii="Times New Roman" w:hAnsi="Times New Roman" w:cs="Times New Roman"/>
              </w:rPr>
              <w:br/>
            </w:r>
            <w:r w:rsidRPr="00CB2EC4">
              <w:rPr>
                <w:rFonts w:ascii="Times New Roman" w:hAnsi="Times New Roman" w:cs="Times New Roman"/>
              </w:rPr>
              <w:br/>
              <w:t>knowledge base contribution:</w:t>
            </w:r>
            <w:r w:rsidRPr="00CB2EC4">
              <w:rPr>
                <w:rFonts w:ascii="Times New Roman" w:hAnsi="Times New Roman" w:cs="Times New Roman"/>
              </w:rPr>
              <w:br/>
            </w:r>
            <w:r w:rsidRPr="00CB2EC4">
              <w:rPr>
                <w:rFonts w:ascii="Times New Roman" w:hAnsi="Times New Roman" w:cs="Times New Roman"/>
              </w:rPr>
              <w:br/>
              <w:t>- preferred regimen: concurrent chemoradiotherapy (CCRT) (knowledge base 4.1.3).</w:t>
            </w:r>
            <w:r w:rsidRPr="00CB2EC4">
              <w:rPr>
                <w:rFonts w:ascii="Times New Roman" w:hAnsi="Times New Roman" w:cs="Times New Roman"/>
              </w:rPr>
              <w:br/>
              <w:t xml:space="preserve">  - radiotherapy dose:</w:t>
            </w:r>
            <w:r w:rsidRPr="00CB2EC4">
              <w:rPr>
                <w:rFonts w:ascii="Times New Roman" w:hAnsi="Times New Roman" w:cs="Times New Roman"/>
              </w:rPr>
              <w:br/>
              <w:t xml:space="preserve">    - external beam radiotherapy (EBRT): 45–50 Gy to pelvis ± para-aortic lymph nodes (knowledge base </w:t>
            </w:r>
            <w:r w:rsidRPr="00CB2EC4">
              <w:rPr>
                <w:rFonts w:ascii="Times New Roman" w:hAnsi="Times New Roman" w:cs="Times New Roman"/>
              </w:rPr>
              <w:lastRenderedPageBreak/>
              <w:t>4.2.4).</w:t>
            </w:r>
            <w:r w:rsidRPr="00CB2EC4">
              <w:rPr>
                <w:rFonts w:ascii="Times New Roman" w:hAnsi="Times New Roman" w:cs="Times New Roman"/>
              </w:rPr>
              <w:br/>
              <w:t xml:space="preserve">    - brachytherapy (ICRT): point A dose ≥ 87 Gy (EQD2) (knowledge base 4.2.2).</w:t>
            </w:r>
            <w:r w:rsidRPr="00CB2EC4">
              <w:rPr>
                <w:rFonts w:ascii="Times New Roman" w:hAnsi="Times New Roman" w:cs="Times New Roman"/>
              </w:rPr>
              <w:br/>
              <w:t xml:space="preserve">  - concurrent chemotherapy: cisplatin 40 mg/m²/week (knowledge base 4.2.4).</w:t>
            </w:r>
            <w:r w:rsidRPr="00CB2EC4">
              <w:rPr>
                <w:rFonts w:ascii="Times New Roman" w:hAnsi="Times New Roman" w:cs="Times New Roman"/>
              </w:rPr>
              <w:br/>
              <w:t>- alternative regimen (in areas with limited radiotherapy access): neoadjuvant chemotherapy followed by surgery (knowledge base 4.1.3).</w:t>
            </w:r>
            <w:r w:rsidRPr="00CB2EC4">
              <w:rPr>
                <w:rFonts w:ascii="Times New Roman" w:hAnsi="Times New Roman" w:cs="Times New Roman"/>
              </w:rPr>
              <w:br/>
            </w:r>
            <w:r w:rsidRPr="00CB2EC4">
              <w:rPr>
                <w:rFonts w:ascii="Times New Roman" w:hAnsi="Times New Roman" w:cs="Times New Roman"/>
              </w:rPr>
              <w:br/>
              <w:t>web search supplement:</w:t>
            </w:r>
            <w:r w:rsidRPr="00CB2EC4">
              <w:rPr>
                <w:rFonts w:ascii="Times New Roman" w:hAnsi="Times New Roman" w:cs="Times New Roman"/>
              </w:rPr>
              <w:br/>
            </w:r>
            <w:r w:rsidRPr="00CB2EC4">
              <w:rPr>
                <w:rFonts w:ascii="Times New Roman" w:hAnsi="Times New Roman" w:cs="Times New Roman"/>
              </w:rPr>
              <w:br/>
              <w:t>- IMRT (intensity-modulated radiotherapy) can reduce gastrointestinal/bladder toxicity (web result 1).</w:t>
            </w:r>
          </w:p>
        </w:tc>
        <w:tc>
          <w:tcPr>
            <w:tcW w:w="1152" w:type="dxa"/>
            <w:vAlign w:val="center"/>
          </w:tcPr>
          <w:p w14:paraId="5EF4DF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33FE1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4AA0B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B0E788F" w14:textId="77777777">
        <w:tc>
          <w:tcPr>
            <w:tcW w:w="2160" w:type="dxa"/>
            <w:vAlign w:val="center"/>
          </w:tcPr>
          <w:p w14:paraId="47B55B1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3747B7E" w14:textId="77777777" w:rsidR="00922249" w:rsidRPr="00CB2EC4" w:rsidRDefault="003011D5">
            <w:pPr>
              <w:rPr>
                <w:rFonts w:ascii="Times New Roman" w:hAnsi="Times New Roman" w:cs="Times New Roman"/>
              </w:rPr>
            </w:pPr>
            <w:r w:rsidRPr="00CB2EC4">
              <w:rPr>
                <w:rFonts w:ascii="Times New Roman" w:hAnsi="Times New Roman" w:cs="Times New Roman"/>
              </w:rPr>
              <w:t>the radiotherapy strategy for locally advanced cervical cancer (primarily FIGO IB3, IIA2 and above) is radical radiotherapy, commonly combined with concurrent chemotherapy (CCRT). Details are as follows:</w:t>
            </w:r>
            <w:r w:rsidRPr="00CB2EC4">
              <w:rPr>
                <w:rFonts w:ascii="Times New Roman" w:hAnsi="Times New Roman" w:cs="Times New Roman"/>
              </w:rPr>
              <w:br/>
            </w:r>
            <w:r w:rsidRPr="00CB2EC4">
              <w:rPr>
                <w:rFonts w:ascii="Times New Roman" w:hAnsi="Times New Roman" w:cs="Times New Roman"/>
              </w:rPr>
              <w:br/>
              <w:t>- Radiotherapy strategy:</w:t>
            </w:r>
            <w:r w:rsidRPr="00CB2EC4">
              <w:rPr>
                <w:rFonts w:ascii="Times New Roman" w:hAnsi="Times New Roman" w:cs="Times New Roman"/>
              </w:rPr>
              <w:br/>
              <w:t xml:space="preserve">  - External beam radiotherapy (EBRT): Covers the pelvis (including uterine body, cervix, parametrium, and lymph nodes), with a standard dose of 45–50 Gy in 5–6 weeks (Fragment 8, Fragment 21).</w:t>
            </w:r>
            <w:r w:rsidRPr="00CB2EC4">
              <w:rPr>
                <w:rFonts w:ascii="Times New Roman" w:hAnsi="Times New Roman" w:cs="Times New Roman"/>
              </w:rPr>
              <w:br/>
              <w:t xml:space="preserve">  - Intracavitary brachytherapy (ICRT): A critical component of radical radiotherapy to improve local control. Point A or high-risk CTV dose is 80–90 Gy equivalent dose (Fragment 8, Fragment 10).</w:t>
            </w:r>
            <w:r w:rsidRPr="00CB2EC4">
              <w:rPr>
                <w:rFonts w:ascii="Times New Roman" w:hAnsi="Times New Roman" w:cs="Times New Roman"/>
              </w:rPr>
              <w:br/>
              <w:t xml:space="preserve">  - Image-guided radiotherapy: MRI or CT guidance is recommended for precise localization and reduced normal tissue injury (Fragment 10).</w:t>
            </w:r>
            <w:r w:rsidRPr="00CB2EC4">
              <w:rPr>
                <w:rFonts w:ascii="Times New Roman" w:hAnsi="Times New Roman" w:cs="Times New Roman"/>
              </w:rPr>
              <w:br/>
              <w:t xml:space="preserve">  - Interstitial brachytherapy: Used for patients with large or asymmetric tumors to boost target volume dose (Fragment 10).</w:t>
            </w:r>
            <w:r w:rsidRPr="00CB2EC4">
              <w:rPr>
                <w:rFonts w:ascii="Times New Roman" w:hAnsi="Times New Roman" w:cs="Times New Roman"/>
              </w:rPr>
              <w:br/>
            </w:r>
            <w:r w:rsidRPr="00CB2EC4">
              <w:rPr>
                <w:rFonts w:ascii="Times New Roman" w:hAnsi="Times New Roman" w:cs="Times New Roman"/>
              </w:rPr>
              <w:lastRenderedPageBreak/>
              <w:t xml:space="preserve">  - Radiotherapy timing: EBRT and ICRT must be completed within 8 weeks to avoid increased failure rates due to treatment delay (Fragment 15).</w:t>
            </w:r>
            <w:r w:rsidRPr="00CB2EC4">
              <w:rPr>
                <w:rFonts w:ascii="Times New Roman" w:hAnsi="Times New Roman" w:cs="Times New Roman"/>
              </w:rPr>
              <w:br/>
            </w:r>
            <w:r w:rsidRPr="00CB2EC4">
              <w:rPr>
                <w:rFonts w:ascii="Times New Roman" w:hAnsi="Times New Roman" w:cs="Times New Roman"/>
              </w:rPr>
              <w:br/>
              <w:t>- When to recommend combined chemotherapy:</w:t>
            </w:r>
            <w:r w:rsidRPr="00CB2EC4">
              <w:rPr>
                <w:rFonts w:ascii="Times New Roman" w:hAnsi="Times New Roman" w:cs="Times New Roman"/>
              </w:rPr>
              <w:br/>
              <w:t xml:space="preserve">  - Concurrent chemoradiotherapy (CCRT): Recommended for all locally advanced cervical cancer (IB3, IIA2 and above), especially with high-risk factors such as tumor diameter &gt;4 cm, positive lymph nodes, or adenocarcinoma histology (Fragment 8, Fragment 14, Fragment 21).</w:t>
            </w:r>
            <w:r w:rsidRPr="00CB2EC4">
              <w:rPr>
                <w:rFonts w:ascii="Times New Roman" w:hAnsi="Times New Roman" w:cs="Times New Roman"/>
              </w:rPr>
              <w:br/>
              <w:t xml:space="preserve">    - Chemotherapy regimen: Weekly cisplatin (40 mg/m², once weekly for 4–6 cycles) is the first choice; carboplatin (AUC=2) may be substituted if cisplatin is not tolerated (Fragment 10, Fragment 21).</w:t>
            </w:r>
            <w:r w:rsidRPr="00CB2EC4">
              <w:rPr>
                <w:rFonts w:ascii="Times New Roman" w:hAnsi="Times New Roman" w:cs="Times New Roman"/>
              </w:rPr>
              <w:br/>
              <w:t xml:space="preserve">    - Evidence: CCRT improves survival by 10–15% over radiotherapy alone and reduces local and distant recurrence (Fragment 21).</w:t>
            </w:r>
            <w:r w:rsidRPr="00CB2EC4">
              <w:rPr>
                <w:rFonts w:ascii="Times New Roman" w:hAnsi="Times New Roman" w:cs="Times New Roman"/>
              </w:rPr>
              <w:br/>
              <w:t xml:space="preserve">  - Neoadjuvant chemotherapy (NACT): Considered only in regions with limited radiotherapy resources for tumor downstaging prior to surgery, not as first-line treatment (Fragment 8, Fragment 14).</w:t>
            </w:r>
            <w:r w:rsidRPr="00CB2EC4">
              <w:rPr>
                <w:rFonts w:ascii="Times New Roman" w:hAnsi="Times New Roman" w:cs="Times New Roman"/>
              </w:rPr>
              <w:br/>
            </w:r>
            <w:r w:rsidRPr="00CB2EC4">
              <w:rPr>
                <w:rFonts w:ascii="Times New Roman" w:hAnsi="Times New Roman" w:cs="Times New Roman"/>
              </w:rPr>
              <w:br/>
              <w:t>The documents state that CCRT is the standard treatment and advise against "dual therapy" (surgery + radiotherapy) to minimize complications (Fragment 8, Fragment 14). Not all stage-specific radiotherapy details are provided in the knowledge base; the above strategy is synthesized from Fragments 8, 10, 14, and 21.</w:t>
            </w:r>
          </w:p>
        </w:tc>
        <w:tc>
          <w:tcPr>
            <w:tcW w:w="1152" w:type="dxa"/>
            <w:vAlign w:val="center"/>
          </w:tcPr>
          <w:p w14:paraId="76B247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05E58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631A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1001FE" w14:textId="77777777">
        <w:tc>
          <w:tcPr>
            <w:tcW w:w="2160" w:type="dxa"/>
            <w:vAlign w:val="center"/>
          </w:tcPr>
          <w:p w14:paraId="6533BEF8"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D3212B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radiotherapy strategy for locally advanced cervical cancer is primarily external beam radiotherapy (EBRT) combined with intracavitary brachytherapy (ICRT), with concurrent chemotherapy often </w:t>
            </w:r>
            <w:r w:rsidRPr="00CB2EC4">
              <w:rPr>
                <w:rFonts w:ascii="Times New Roman" w:hAnsi="Times New Roman" w:cs="Times New Roman"/>
              </w:rPr>
              <w:lastRenderedPageBreak/>
              <w:t xml:space="preserve">recommended.  </w:t>
            </w:r>
            <w:r w:rsidRPr="00CB2EC4">
              <w:rPr>
                <w:rFonts w:ascii="Times New Roman" w:hAnsi="Times New Roman" w:cs="Times New Roman"/>
              </w:rPr>
              <w:br/>
              <w:t xml:space="preserve">- Radiotherapy strategy:  </w:t>
            </w:r>
            <w:r w:rsidRPr="00CB2EC4">
              <w:rPr>
                <w:rFonts w:ascii="Times New Roman" w:hAnsi="Times New Roman" w:cs="Times New Roman"/>
              </w:rPr>
              <w:br/>
              <w:t xml:space="preserve">  - Standard regimen: EBRT plus ICRT. The EBRT dose is typically 45–50 Gy to the pelvis; the ICRT dose is an equivalent dose of 80–90 Gy to point A or D90 of the high-risk clinical target volume (CTV) (Document 8, 15).  </w:t>
            </w:r>
            <w:r w:rsidRPr="00CB2EC4">
              <w:rPr>
                <w:rFonts w:ascii="Times New Roman" w:hAnsi="Times New Roman" w:cs="Times New Roman"/>
              </w:rPr>
              <w:br/>
              <w:t xml:space="preserve">  - Technical details: Image guidance (e.g., MRI) is used to optimize target delineation and reduce normal tissue injury; treatment completion within 6–8 weeks is recommended (Document 8: "MRI examination is recommended before or during brachytherapy"; Document 15: "EBRT and brachytherapy should be completed within 8 weeks").  </w:t>
            </w:r>
            <w:r w:rsidRPr="00CB2EC4">
              <w:rPr>
                <w:rFonts w:ascii="Times New Roman" w:hAnsi="Times New Roman" w:cs="Times New Roman"/>
              </w:rPr>
              <w:br/>
              <w:t xml:space="preserve">- When concurrent chemotherapy is recommended:  </w:t>
            </w:r>
            <w:r w:rsidRPr="00CB2EC4">
              <w:rPr>
                <w:rFonts w:ascii="Times New Roman" w:hAnsi="Times New Roman" w:cs="Times New Roman"/>
              </w:rPr>
              <w:br/>
              <w:t xml:space="preserve">  - In the presence of high-risk factors: such as positive lymph nodes, tumor diameter &gt;4 cm, lymphovascular space invasion (LVSI+), or FIGO stage IB3/IIA2 or higher, concurrent chemoradiotherapy (CCRT) is recommended (Document 23: "For high-risk factors... pelvic EBRT + platinum-based concurrent chemotherapy is recommended"; Document 15: "CCRT is the standard treatment for stage IB3 and IIA2").  </w:t>
            </w:r>
            <w:r w:rsidRPr="00CB2EC4">
              <w:rPr>
                <w:rFonts w:ascii="Times New Roman" w:hAnsi="Times New Roman" w:cs="Times New Roman"/>
              </w:rPr>
              <w:br/>
              <w:t xml:space="preserve">  - Chemotherapy regimen: Weekly cisplatin (40 mg/m²) or carboplatin as an alternative (Document 8).  </w:t>
            </w:r>
            <w:r w:rsidRPr="00CB2EC4">
              <w:rPr>
                <w:rFonts w:ascii="Times New Roman" w:hAnsi="Times New Roman" w:cs="Times New Roman"/>
              </w:rPr>
              <w:br/>
              <w:t>In summary, radiotherapy is the foundation, and chemotherapy is added in CCRT to improve efficacy, especially when metastatic risk or high tumor burden is present.</w:t>
            </w:r>
          </w:p>
        </w:tc>
        <w:tc>
          <w:tcPr>
            <w:tcW w:w="1152" w:type="dxa"/>
            <w:vAlign w:val="center"/>
          </w:tcPr>
          <w:p w14:paraId="550438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DF331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C7CC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40326B" w14:textId="77777777">
        <w:tc>
          <w:tcPr>
            <w:tcW w:w="2160" w:type="dxa"/>
            <w:vAlign w:val="center"/>
          </w:tcPr>
          <w:p w14:paraId="5A293F52"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B6F02A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Radiotherapy strategy:  </w:t>
            </w:r>
            <w:r w:rsidRPr="00CB2EC4">
              <w:rPr>
                <w:rFonts w:ascii="Times New Roman" w:hAnsi="Times New Roman" w:cs="Times New Roman"/>
              </w:rPr>
              <w:br/>
              <w:t xml:space="preserve">  1. Concurrent chemoradiotherapy (CCRT) is the preferred approach: External beam radiotherapy (EBRT) combined with intracavitary brachytherapy </w:t>
            </w:r>
            <w:r w:rsidRPr="00CB2EC4">
              <w:rPr>
                <w:rFonts w:ascii="Times New Roman" w:hAnsi="Times New Roman" w:cs="Times New Roman"/>
              </w:rPr>
              <w:lastRenderedPageBreak/>
              <w:t xml:space="preserve">(ICBT), with an EBRT dose of approximately 4500 cGy over 6 weeks, and the point A or high-risk clinical target volume (CTV) D90 equivalent dose for ICBT should reach 80–90 Gy.  </w:t>
            </w:r>
            <w:r w:rsidRPr="00CB2EC4">
              <w:rPr>
                <w:rFonts w:ascii="Times New Roman" w:hAnsi="Times New Roman" w:cs="Times New Roman"/>
              </w:rPr>
              <w:br/>
              <w:t xml:space="preserve">  2. Radiotherapy techniques:  </w:t>
            </w:r>
            <w:r w:rsidRPr="00CB2EC4">
              <w:rPr>
                <w:rFonts w:ascii="Times New Roman" w:hAnsi="Times New Roman" w:cs="Times New Roman"/>
              </w:rPr>
              <w:br/>
              <w:t xml:space="preserve">     - Conventional radical dose: EBRT + ICBT (intracavitary radium therapy 7000–9000 mg·h over 4–6 weeks or remote afterloading brachytherapy).  </w:t>
            </w:r>
            <w:r w:rsidRPr="00CB2EC4">
              <w:rPr>
                <w:rFonts w:ascii="Times New Roman" w:hAnsi="Times New Roman" w:cs="Times New Roman"/>
              </w:rPr>
              <w:br/>
              <w:t xml:space="preserve">     - When intracavitary equipment is unavailable: External beam radiotherapy alone at 6000 cGy over 6 weeks.  </w:t>
            </w:r>
            <w:r w:rsidRPr="00CB2EC4">
              <w:rPr>
                <w:rFonts w:ascii="Times New Roman" w:hAnsi="Times New Roman" w:cs="Times New Roman"/>
              </w:rPr>
              <w:br/>
              <w:t xml:space="preserve">- Indications for combined chemotherapy:  </w:t>
            </w:r>
            <w:r w:rsidRPr="00CB2EC4">
              <w:rPr>
                <w:rFonts w:ascii="Times New Roman" w:hAnsi="Times New Roman" w:cs="Times New Roman"/>
              </w:rPr>
              <w:br/>
              <w:t xml:space="preserve">  - All locally advanced patients (stage IB3, IIA2 and above): Must receive concurrent platinum-based chemotherapy (cisplatin 40 mg/m² weekly).  </w:t>
            </w:r>
            <w:r w:rsidRPr="00CB2EC4">
              <w:rPr>
                <w:rFonts w:ascii="Times New Roman" w:hAnsi="Times New Roman" w:cs="Times New Roman"/>
              </w:rPr>
              <w:br/>
              <w:t xml:space="preserve">  - High-risk features: Tumor diameter &gt;4 cm, lymph node metastasis, adenocarcinoma histology, etc. ([HyDE similarity: 0.555], [HyDE similarity: 0.638]).  </w:t>
            </w:r>
            <w:r w:rsidRPr="00CB2EC4">
              <w:rPr>
                <w:rFonts w:ascii="Times New Roman" w:hAnsi="Times New Roman" w:cs="Times New Roman"/>
              </w:rPr>
              <w:br/>
              <w:t xml:space="preserve">  Evidence:  </w:t>
            </w:r>
            <w:r w:rsidRPr="00CB2EC4">
              <w:rPr>
                <w:rFonts w:ascii="Times New Roman" w:hAnsi="Times New Roman" w:cs="Times New Roman"/>
              </w:rPr>
              <w:br/>
              <w:t xml:space="preserve">  - CCRT significantly improves survival rates ([HyDE similarity: 0.555]).  </w:t>
            </w:r>
            <w:r w:rsidRPr="00CB2EC4">
              <w:rPr>
                <w:rFonts w:ascii="Times New Roman" w:hAnsi="Times New Roman" w:cs="Times New Roman"/>
              </w:rPr>
              <w:br/>
              <w:t xml:space="preserve">  - Concurrent chemotherapy regimen is well-defined ([HyDE similarity: 0.621]).</w:t>
            </w:r>
          </w:p>
        </w:tc>
        <w:tc>
          <w:tcPr>
            <w:tcW w:w="1152" w:type="dxa"/>
            <w:vAlign w:val="center"/>
          </w:tcPr>
          <w:p w14:paraId="6CC5C7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A70B2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6F69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60B7DA" w14:textId="77777777">
        <w:tc>
          <w:tcPr>
            <w:tcW w:w="2160" w:type="dxa"/>
            <w:vAlign w:val="center"/>
          </w:tcPr>
          <w:p w14:paraId="02DB13FB"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99A473F" w14:textId="77777777" w:rsidR="00922249" w:rsidRPr="00CB2EC4" w:rsidRDefault="003011D5">
            <w:pPr>
              <w:rPr>
                <w:rFonts w:ascii="Times New Roman" w:hAnsi="Times New Roman" w:cs="Times New Roman"/>
              </w:rPr>
            </w:pPr>
            <w:r w:rsidRPr="00CB2EC4">
              <w:rPr>
                <w:rFonts w:ascii="Times New Roman" w:hAnsi="Times New Roman" w:cs="Times New Roman"/>
              </w:rPr>
              <w:t>the radiotherapy strategy for locally advanced cervical cancer (e.g., IB3, IIA2) is primarily radical radiotherapy, often combined with concurrent chemotherapy to improve efficacy. details are as follows:</w:t>
            </w:r>
            <w:r w:rsidRPr="00CB2EC4">
              <w:rPr>
                <w:rFonts w:ascii="Times New Roman" w:hAnsi="Times New Roman" w:cs="Times New Roman"/>
              </w:rPr>
              <w:br/>
            </w:r>
            <w:r w:rsidRPr="00CB2EC4">
              <w:rPr>
                <w:rFonts w:ascii="Times New Roman" w:hAnsi="Times New Roman" w:cs="Times New Roman"/>
              </w:rPr>
              <w:br/>
              <w:t>- radiotherapy strategy:</w:t>
            </w:r>
            <w:r w:rsidRPr="00CB2EC4">
              <w:rPr>
                <w:rFonts w:ascii="Times New Roman" w:hAnsi="Times New Roman" w:cs="Times New Roman"/>
              </w:rPr>
              <w:br/>
              <w:t xml:space="preserve">  - external beam radiotherapy (ebrt): serves as the foundation; image-guided ebrt (such as imrt) is recommended to reduce normal tissue injury. the dose is 45–50 gy delivered in 25–28 fractions, targeting the </w:t>
            </w:r>
            <w:r w:rsidRPr="00CB2EC4">
              <w:rPr>
                <w:rFonts w:ascii="Times New Roman" w:hAnsi="Times New Roman" w:cs="Times New Roman"/>
              </w:rPr>
              <w:lastRenderedPageBreak/>
              <w:t>pelvis ± para-aortic region (document fragments 5 and 11).</w:t>
            </w:r>
            <w:r w:rsidRPr="00CB2EC4">
              <w:rPr>
                <w:rFonts w:ascii="Times New Roman" w:hAnsi="Times New Roman" w:cs="Times New Roman"/>
              </w:rPr>
              <w:br/>
              <w:t xml:space="preserve">  - intracavitary radiotherapy (icrt): a critical component using uterine tandem and vaginal applicators. the prescription dose for point a or high-risk clinical target volume (hr-ctv) d90 is 5–7 gy × 4–6 fractions, with a total dose of 20–35 gy. when combined with ebrt, the total equivalent dose (eqd2) should reach 80–90 gy (document fragment 5).</w:t>
            </w:r>
            <w:r w:rsidRPr="00CB2EC4">
              <w:rPr>
                <w:rFonts w:ascii="Times New Roman" w:hAnsi="Times New Roman" w:cs="Times New Roman"/>
              </w:rPr>
              <w:br/>
              <w:t xml:space="preserve">  - special techniques:</w:t>
            </w:r>
            <w:r w:rsidRPr="00CB2EC4">
              <w:rPr>
                <w:rFonts w:ascii="Times New Roman" w:hAnsi="Times New Roman" w:cs="Times New Roman"/>
              </w:rPr>
              <w:br/>
              <w:t xml:space="preserve">    - for large or asymmetric tumors, interstitial brachytherapy is recommended to increase target dose (document fragment 5).</w:t>
            </w:r>
            <w:r w:rsidRPr="00CB2EC4">
              <w:rPr>
                <w:rFonts w:ascii="Times New Roman" w:hAnsi="Times New Roman" w:cs="Times New Roman"/>
              </w:rPr>
              <w:br/>
              <w:t xml:space="preserve">    - normal tissue dose constraints: rectum d2cc ≤ 65–75 gy, sigmoid colon d2cc ≤ 70–75 gy, bladder d2cc ≤ 80–90 gy (document fragment 5).</w:t>
            </w:r>
            <w:r w:rsidRPr="00CB2EC4">
              <w:rPr>
                <w:rFonts w:ascii="Times New Roman" w:hAnsi="Times New Roman" w:cs="Times New Roman"/>
              </w:rPr>
              <w:br/>
              <w:t xml:space="preserve">    - radiotherapy should be completed within 8 weeks to avoid increased failure risk from prolonged treatment time (document fragment 15).</w:t>
            </w:r>
            <w:r w:rsidRPr="00CB2EC4">
              <w:rPr>
                <w:rFonts w:ascii="Times New Roman" w:hAnsi="Times New Roman" w:cs="Times New Roman"/>
              </w:rPr>
              <w:br/>
            </w:r>
            <w:r w:rsidRPr="00CB2EC4">
              <w:rPr>
                <w:rFonts w:ascii="Times New Roman" w:hAnsi="Times New Roman" w:cs="Times New Roman"/>
              </w:rPr>
              <w:br/>
              <w:t>- timing for recommending combined chemotherapy:</w:t>
            </w:r>
            <w:r w:rsidRPr="00CB2EC4">
              <w:rPr>
                <w:rFonts w:ascii="Times New Roman" w:hAnsi="Times New Roman" w:cs="Times New Roman"/>
              </w:rPr>
              <w:br/>
              <w:t xml:space="preserve">  - concurrent chemoradiotherapy (ccrt): recommended for locally advanced cervical cancer (e.g., ib3, iia2) to reduce recurrence and mortality risk. document fragments 5, 11, and 17 explicitly state: "concurrent chemoradiotherapy can reduce recurrence risk and death risk in cervical cancer patients... pelvic ± para-aortic ebrt combined with concurrent cisplatin-based chemotherapy and brachytherapy is recommended (level 1 evidence)." specific regimen:</w:t>
            </w:r>
            <w:r w:rsidRPr="00CB2EC4">
              <w:rPr>
                <w:rFonts w:ascii="Times New Roman" w:hAnsi="Times New Roman" w:cs="Times New Roman"/>
              </w:rPr>
              <w:br/>
              <w:t xml:space="preserve">    - weekly cisplatin: 40 mg/m² once weekly during ebrt (document fragment 5).</w:t>
            </w:r>
            <w:r w:rsidRPr="00CB2EC4">
              <w:rPr>
                <w:rFonts w:ascii="Times New Roman" w:hAnsi="Times New Roman" w:cs="Times New Roman"/>
              </w:rPr>
              <w:br/>
              <w:t xml:space="preserve">    - indications: no distant metastasis, tumor diameter ≥4 cm, high-risk factors (e.g., positive lymph nodes, </w:t>
            </w:r>
            <w:r w:rsidRPr="00CB2EC4">
              <w:rPr>
                <w:rFonts w:ascii="Times New Roman" w:hAnsi="Times New Roman" w:cs="Times New Roman"/>
              </w:rPr>
              <w:lastRenderedPageBreak/>
              <w:t>parametrial invasion) (document fragment 17).</w:t>
            </w:r>
            <w:r w:rsidRPr="00CB2EC4">
              <w:rPr>
                <w:rFonts w:ascii="Times New Roman" w:hAnsi="Times New Roman" w:cs="Times New Roman"/>
              </w:rPr>
              <w:br/>
              <w:t xml:space="preserve">  - other scenarios: when radiotherapy resources are scarce, neoadjuvant chemotherapy (nact) followed by surgery may be considered, but the efficacy of nact is controversial and not recommended as first-line therapy (document fragment 17).</w:t>
            </w:r>
            <w:r w:rsidRPr="00CB2EC4">
              <w:rPr>
                <w:rFonts w:ascii="Times New Roman" w:hAnsi="Times New Roman" w:cs="Times New Roman"/>
              </w:rPr>
              <w:br/>
            </w:r>
            <w:r w:rsidRPr="00CB2EC4">
              <w:rPr>
                <w:rFonts w:ascii="Times New Roman" w:hAnsi="Times New Roman" w:cs="Times New Roman"/>
              </w:rPr>
              <w:br/>
              <w:t>in summary, the radiotherapy strategy centers on ebrt + icrt, with concurrent chemotherapy (cisplatin) recommended for ib3/iia2 or high-risk patients to enhance local control and survival.</w:t>
            </w:r>
          </w:p>
        </w:tc>
        <w:tc>
          <w:tcPr>
            <w:tcW w:w="1152" w:type="dxa"/>
            <w:vAlign w:val="center"/>
          </w:tcPr>
          <w:p w14:paraId="1EAC05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4F25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6AFC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316F70" w14:textId="77777777">
        <w:tc>
          <w:tcPr>
            <w:tcW w:w="2160" w:type="dxa"/>
            <w:vAlign w:val="center"/>
          </w:tcPr>
          <w:p w14:paraId="277A234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13A72E2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radiotherapy strategy for locally advanced cervical cancer:  </w:t>
            </w:r>
            <w:r w:rsidRPr="00CB2EC4">
              <w:rPr>
                <w:rFonts w:ascii="Times New Roman" w:hAnsi="Times New Roman" w:cs="Times New Roman"/>
              </w:rPr>
              <w:br/>
              <w:t xml:space="preserve">  - Preferred approach: concurrent chemoradiotherapy (CCRT), indicated for IB3/IIA2 stage and above (document fragments 1, 4, 7).  </w:t>
            </w:r>
            <w:r w:rsidRPr="00CB2EC4">
              <w:rPr>
                <w:rFonts w:ascii="Times New Roman" w:hAnsi="Times New Roman" w:cs="Times New Roman"/>
              </w:rPr>
              <w:br/>
              <w:t xml:space="preserve">  - Radiotherapy techniques:  </w:t>
            </w:r>
            <w:r w:rsidRPr="00CB2EC4">
              <w:rPr>
                <w:rFonts w:ascii="Times New Roman" w:hAnsi="Times New Roman" w:cs="Times New Roman"/>
              </w:rPr>
              <w:br/>
              <w:t xml:space="preserve">    - External beam radiotherapy (EBRT) combined with intracavitary radiotherapy (ICRT); point A dose should reach 80–90 Gy (EQD2) (document fragment 7).  </w:t>
            </w:r>
            <w:r w:rsidRPr="00CB2EC4">
              <w:rPr>
                <w:rFonts w:ascii="Times New Roman" w:hAnsi="Times New Roman" w:cs="Times New Roman"/>
              </w:rPr>
              <w:br/>
              <w:t xml:space="preserve">    - Image-guided EBRT to spare normal tissues; combined with interstitial implantation for large/asymmetric tumors (document fragment 7).  </w:t>
            </w:r>
            <w:r w:rsidRPr="00CB2EC4">
              <w:rPr>
                <w:rFonts w:ascii="Times New Roman" w:hAnsi="Times New Roman" w:cs="Times New Roman"/>
              </w:rPr>
              <w:br/>
              <w:t xml:space="preserve">- Indications for combined chemotherapy:  </w:t>
            </w:r>
            <w:r w:rsidRPr="00CB2EC4">
              <w:rPr>
                <w:rFonts w:ascii="Times New Roman" w:hAnsi="Times New Roman" w:cs="Times New Roman"/>
              </w:rPr>
              <w:br/>
              <w:t xml:space="preserve">  - Concurrent chemotherapy: recommended for all locally advanced patients without distant metastasis (IB3–IVA stage), with weekly cisplatin (40 mg/m²) as the standard regimen (document fragments 1, 7).  </w:t>
            </w:r>
            <w:r w:rsidRPr="00CB2EC4">
              <w:rPr>
                <w:rFonts w:ascii="Times New Roman" w:hAnsi="Times New Roman" w:cs="Times New Roman"/>
              </w:rPr>
              <w:br/>
              <w:t xml:space="preserve">  - Alternative chemotherapy: carboplatin (AUC=2) for patients intolerant to cisplatin (document fragment 7).</w:t>
            </w:r>
          </w:p>
        </w:tc>
        <w:tc>
          <w:tcPr>
            <w:tcW w:w="1152" w:type="dxa"/>
            <w:vAlign w:val="center"/>
          </w:tcPr>
          <w:p w14:paraId="0FA2A1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D1C83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DD5C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EC0796" w14:textId="77777777">
        <w:tc>
          <w:tcPr>
            <w:tcW w:w="2160" w:type="dxa"/>
            <w:vAlign w:val="center"/>
          </w:tcPr>
          <w:p w14:paraId="4F8D01A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F85B8C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radiotherapy strategy for locally advanced cervical </w:t>
            </w:r>
            <w:r w:rsidRPr="00CB2EC4">
              <w:rPr>
                <w:rFonts w:ascii="Times New Roman" w:hAnsi="Times New Roman" w:cs="Times New Roman"/>
              </w:rPr>
              <w:lastRenderedPageBreak/>
              <w:t xml:space="preserve">cancer is standard concurrent chemoradiotherapy (CCRT), which includes external beam radiotherapy (EBRT) and brachytherapy.  </w:t>
            </w:r>
            <w:r w:rsidRPr="00CB2EC4">
              <w:rPr>
                <w:rFonts w:ascii="Times New Roman" w:hAnsi="Times New Roman" w:cs="Times New Roman"/>
              </w:rPr>
              <w:br/>
              <w:t xml:space="preserve">- EBRT targets the pelvis ± para-aortic region, with a dose of 45–50 Gy (conventional fractionation).  </w:t>
            </w:r>
            <w:r w:rsidRPr="00CB2EC4">
              <w:rPr>
                <w:rFonts w:ascii="Times New Roman" w:hAnsi="Times New Roman" w:cs="Times New Roman"/>
              </w:rPr>
              <w:br/>
              <w:t xml:space="preserve">- Brachytherapy boosts the dose: EQD2 to point A or high-risk CTV D90 should reach 80–85 Gy; for large tumor volume or poor regression, ≥87 Gy is required.  </w:t>
            </w:r>
            <w:r w:rsidRPr="00CB2EC4">
              <w:rPr>
                <w:rFonts w:ascii="Times New Roman" w:hAnsi="Times New Roman" w:cs="Times New Roman"/>
              </w:rPr>
              <w:br/>
            </w:r>
            <w:r w:rsidRPr="00CB2EC4">
              <w:rPr>
                <w:rFonts w:ascii="Times New Roman" w:hAnsi="Times New Roman" w:cs="Times New Roman"/>
              </w:rPr>
              <w:br/>
              <w:t xml:space="preserve">concurrent chemotherapy is recommended:  </w:t>
            </w:r>
            <w:r w:rsidRPr="00CB2EC4">
              <w:rPr>
                <w:rFonts w:ascii="Times New Roman" w:hAnsi="Times New Roman" w:cs="Times New Roman"/>
              </w:rPr>
              <w:br/>
              <w:t xml:space="preserve">- Timing: for FIGO IB3, IIA2, and higher stages. Chemotherapy is administered during EBRT.  </w:t>
            </w:r>
            <w:r w:rsidRPr="00CB2EC4">
              <w:rPr>
                <w:rFonts w:ascii="Times New Roman" w:hAnsi="Times New Roman" w:cs="Times New Roman"/>
              </w:rPr>
              <w:br/>
              <w:t xml:space="preserve">- Indications: confirmed no distant metastasis; synchronous chemoradiotherapy is indicated.  </w:t>
            </w:r>
            <w:r w:rsidRPr="00CB2EC4">
              <w:rPr>
                <w:rFonts w:ascii="Times New Roman" w:hAnsi="Times New Roman" w:cs="Times New Roman"/>
              </w:rPr>
              <w:br/>
            </w:r>
            <w:r w:rsidRPr="00CB2EC4">
              <w:rPr>
                <w:rFonts w:ascii="Times New Roman" w:hAnsi="Times New Roman" w:cs="Times New Roman"/>
              </w:rPr>
              <w:br/>
              <w:t xml:space="preserve">chemotherapy regimen:  </w:t>
            </w:r>
            <w:r w:rsidRPr="00CB2EC4">
              <w:rPr>
                <w:rFonts w:ascii="Times New Roman" w:hAnsi="Times New Roman" w:cs="Times New Roman"/>
              </w:rPr>
              <w:br/>
              <w:t xml:space="preserve">- Level I recommendation: weekly cisplatin (40 mg/m², 4–6 cycles).  </w:t>
            </w:r>
            <w:r w:rsidRPr="00CB2EC4">
              <w:rPr>
                <w:rFonts w:ascii="Times New Roman" w:hAnsi="Times New Roman" w:cs="Times New Roman"/>
              </w:rPr>
              <w:br/>
              <w:t xml:space="preserve">- Alternative for cisplatin intolerance: weekly carboplatin (AUC=2) or platinum-based doublet.  </w:t>
            </w:r>
            <w:r w:rsidRPr="00CB2EC4">
              <w:rPr>
                <w:rFonts w:ascii="Times New Roman" w:hAnsi="Times New Roman" w:cs="Times New Roman"/>
              </w:rPr>
              <w:br/>
            </w:r>
            <w:r w:rsidRPr="00CB2EC4">
              <w:rPr>
                <w:rFonts w:ascii="Times New Roman" w:hAnsi="Times New Roman" w:cs="Times New Roman"/>
              </w:rPr>
              <w:br/>
              <w:t xml:space="preserve">other scenarios:  </w:t>
            </w:r>
            <w:r w:rsidRPr="00CB2EC4">
              <w:rPr>
                <w:rFonts w:ascii="Times New Roman" w:hAnsi="Times New Roman" w:cs="Times New Roman"/>
              </w:rPr>
              <w:br/>
              <w:t xml:space="preserve">- Postoperative adjuvant radiotherapy: for high-risk factors (e.g., positive lymph nodes, positive margins), recommend pelvic EBRT ± brachytherapy + concurrent platinum-based chemotherapy.  </w:t>
            </w:r>
            <w:r w:rsidRPr="00CB2EC4">
              <w:rPr>
                <w:rFonts w:ascii="Times New Roman" w:hAnsi="Times New Roman" w:cs="Times New Roman"/>
              </w:rPr>
              <w:br/>
            </w:r>
            <w:r w:rsidRPr="00CB2EC4">
              <w:rPr>
                <w:rFonts w:ascii="Times New Roman" w:hAnsi="Times New Roman" w:cs="Times New Roman"/>
              </w:rPr>
              <w:br/>
              <w:t xml:space="preserve">key points:  </w:t>
            </w:r>
            <w:r w:rsidRPr="00CB2EC4">
              <w:rPr>
                <w:rFonts w:ascii="Times New Roman" w:hAnsi="Times New Roman" w:cs="Times New Roman"/>
              </w:rPr>
              <w:br/>
              <w:t xml:space="preserve">- CCRT is the standard treatment for locally advanced cervical cancer, reducing recurrence and mortality risk.  </w:t>
            </w:r>
            <w:r w:rsidRPr="00CB2EC4">
              <w:rPr>
                <w:rFonts w:ascii="Times New Roman" w:hAnsi="Times New Roman" w:cs="Times New Roman"/>
              </w:rPr>
              <w:br/>
              <w:t>- Avoid "dual therapy" (surgery + radiotherapy) to minimize complications.</w:t>
            </w:r>
          </w:p>
        </w:tc>
        <w:tc>
          <w:tcPr>
            <w:tcW w:w="1152" w:type="dxa"/>
            <w:vAlign w:val="center"/>
          </w:tcPr>
          <w:p w14:paraId="780E01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C4F40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75D3C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28948D" w14:textId="77777777">
        <w:tc>
          <w:tcPr>
            <w:tcW w:w="2160" w:type="dxa"/>
            <w:vAlign w:val="center"/>
          </w:tcPr>
          <w:p w14:paraId="6FEC058B"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C9D8FA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79. What is the radiotherapy strategy for patients with </w:t>
            </w:r>
            <w:r w:rsidRPr="00CB2EC4">
              <w:rPr>
                <w:rFonts w:ascii="Times New Roman" w:hAnsi="Times New Roman" w:cs="Times New Roman"/>
              </w:rPr>
              <w:lastRenderedPageBreak/>
              <w:t>locally advanced cervical cancer? When is combined chemotherapy recommended?</w:t>
            </w:r>
            <w:r w:rsidRPr="00CB2EC4">
              <w:rPr>
                <w:rFonts w:ascii="Times New Roman" w:hAnsi="Times New Roman" w:cs="Times New Roman"/>
              </w:rPr>
              <w:br/>
            </w:r>
            <w:r w:rsidRPr="00CB2EC4">
              <w:rPr>
                <w:rFonts w:ascii="Times New Roman" w:hAnsi="Times New Roman" w:cs="Times New Roman"/>
              </w:rPr>
              <w:br/>
              <w:t>Based on the document content:</w:t>
            </w:r>
            <w:r w:rsidRPr="00CB2EC4">
              <w:rPr>
                <w:rFonts w:ascii="Times New Roman" w:hAnsi="Times New Roman" w:cs="Times New Roman"/>
              </w:rPr>
              <w:br/>
              <w:t>- Radiotherapy strategy: For locally advanced cervical cancer (e.g., FIGO IB3, IIA2 and above), radical radiotherapy is the mainstay, consisting of external beam radiotherapy (EBRT) and intracavitary brachytherapy (ICRT). The standard regimen is:</w:t>
            </w:r>
            <w:r w:rsidRPr="00CB2EC4">
              <w:rPr>
                <w:rFonts w:ascii="Times New Roman" w:hAnsi="Times New Roman" w:cs="Times New Roman"/>
              </w:rPr>
              <w:br/>
              <w:t xml:space="preserve">  - EBRT: Covers the entire pelvis, with a dose of approximately 45–50 Gy, used to shrink the tumor and cover nodal regions ([similarity: 0.522] segment: "Standard EBRT should cover the uterine body, cervix, adnexal structures, parametria, and pelvic lymph nodes using 2 or 4 field techniques").</w:t>
            </w:r>
            <w:r w:rsidRPr="00CB2EC4">
              <w:rPr>
                <w:rFonts w:ascii="Times New Roman" w:hAnsi="Times New Roman" w:cs="Times New Roman"/>
              </w:rPr>
              <w:br/>
              <w:t xml:space="preserve">  - ICRT: Used to boost local dose, with point A or high-risk CTV reaching 80–90 Gy (equivalent dose). Recommended after EBRT to optimize tumor control.</w:t>
            </w:r>
            <w:r w:rsidRPr="00CB2EC4">
              <w:rPr>
                <w:rFonts w:ascii="Times New Roman" w:hAnsi="Times New Roman" w:cs="Times New Roman"/>
              </w:rPr>
              <w:br/>
              <w:t xml:space="preserve">  - Technical application: Image-guided radiotherapy (IGRT) or intensity-modulated radiotherapy (IMRT) is recommended to reduce normal tissue injury, especially when the tumor is large or shows poor regression.</w:t>
            </w:r>
            <w:r w:rsidRPr="00CB2EC4">
              <w:rPr>
                <w:rFonts w:ascii="Times New Roman" w:hAnsi="Times New Roman" w:cs="Times New Roman"/>
              </w:rPr>
              <w:br/>
              <w:t>- When combined chemotherapy is recommended:</w:t>
            </w:r>
            <w:r w:rsidRPr="00CB2EC4">
              <w:rPr>
                <w:rFonts w:ascii="Times New Roman" w:hAnsi="Times New Roman" w:cs="Times New Roman"/>
              </w:rPr>
              <w:br/>
              <w:t xml:space="preserve">  - Concurrent chemoradiotherapy (CCRT): Recommended for FIGO IB3 and above (e.g., IIB–IVA), based on cisplatin (weekly 40 mg/m²), which significantly reduces recurrence risk and mortality (evidence level I). CCRT is the standard treatment for locally advanced cervical cancer, improving survival by 10–15% over radiotherapy alone.</w:t>
            </w:r>
            <w:r w:rsidRPr="00CB2EC4">
              <w:rPr>
                <w:rFonts w:ascii="Times New Roman" w:hAnsi="Times New Roman" w:cs="Times New Roman"/>
              </w:rPr>
              <w:br/>
              <w:t xml:space="preserve">  - Specific indications: Mandatory for tumor diameter ≥4 cm, positive lymph nodes, or high-risk features (e.g., adenocarcinoma, poor differentiation). In </w:t>
            </w:r>
            <w:r w:rsidRPr="00CB2EC4">
              <w:rPr>
                <w:rFonts w:ascii="Times New Roman" w:hAnsi="Times New Roman" w:cs="Times New Roman"/>
              </w:rPr>
              <w:lastRenderedPageBreak/>
              <w:t>resource-limited settings, neoadjuvant chemotherapy (NACT) may be considered if radiotherapy is unavailable, though efficacy is controversial ([similarity: 0.522] segment).</w:t>
            </w:r>
            <w:r w:rsidRPr="00CB2EC4">
              <w:rPr>
                <w:rFonts w:ascii="Times New Roman" w:hAnsi="Times New Roman" w:cs="Times New Roman"/>
              </w:rPr>
              <w:br/>
              <w:t xml:space="preserve">  - Chemotherapy regimen: Weekly cisplatin is preferred; carboplatin may be used if cisplatin is not tolerated. Avoid radiotherapy alone unless contraindications to chemotherapy exist.</w:t>
            </w:r>
            <w:r w:rsidRPr="00CB2EC4">
              <w:rPr>
                <w:rFonts w:ascii="Times New Roman" w:hAnsi="Times New Roman" w:cs="Times New Roman"/>
              </w:rPr>
              <w:br/>
              <w:t>- Summary: Radiotherapy centers on EBRT + ICRT; chemotherapy is recommended concurrently for IB3 and above to enhance efficacy.</w:t>
            </w:r>
          </w:p>
        </w:tc>
        <w:tc>
          <w:tcPr>
            <w:tcW w:w="1152" w:type="dxa"/>
            <w:vAlign w:val="center"/>
          </w:tcPr>
          <w:p w14:paraId="539D7B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A311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E09E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C0BEEC" w14:textId="77777777">
        <w:tc>
          <w:tcPr>
            <w:tcW w:w="2160" w:type="dxa"/>
            <w:vAlign w:val="center"/>
          </w:tcPr>
          <w:p w14:paraId="04D7D09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666A3C38" w14:textId="77777777" w:rsidR="00922249" w:rsidRPr="00CB2EC4" w:rsidRDefault="003011D5">
            <w:pPr>
              <w:rPr>
                <w:rFonts w:ascii="Times New Roman" w:hAnsi="Times New Roman" w:cs="Times New Roman"/>
              </w:rPr>
            </w:pPr>
            <w:r w:rsidRPr="00CB2EC4">
              <w:rPr>
                <w:rFonts w:ascii="Times New Roman" w:hAnsi="Times New Roman" w:cs="Times New Roman"/>
              </w:rPr>
              <w:t>the radiotherapy strategy for locally advanced cervical cancer patients is as follows:</w:t>
            </w:r>
            <w:r w:rsidRPr="00CB2EC4">
              <w:rPr>
                <w:rFonts w:ascii="Times New Roman" w:hAnsi="Times New Roman" w:cs="Times New Roman"/>
              </w:rPr>
              <w:br/>
              <w:t>- standard regimen: external beam radiotherapy (EBRT) combined with intracavitary brachytherapy (ICRT). EBRT dose: 45–50 Gy in 25–28 fractions; ICRT dose: 20–35 Gy in 4–6 fractions; total biologically equivalent dose: 80–90 Gy (documents 3, 14).</w:t>
            </w:r>
            <w:r w:rsidRPr="00CB2EC4">
              <w:rPr>
                <w:rFonts w:ascii="Times New Roman" w:hAnsi="Times New Roman" w:cs="Times New Roman"/>
              </w:rPr>
              <w:br/>
              <w:t>- technical application: image-guided radiotherapy (e.g., MRI) is recommended for precise target delineation; interstitial brachytherapy is used for large or asymmetric tumors (document 10).</w:t>
            </w:r>
            <w:r w:rsidRPr="00CB2EC4">
              <w:rPr>
                <w:rFonts w:ascii="Times New Roman" w:hAnsi="Times New Roman" w:cs="Times New Roman"/>
              </w:rPr>
              <w:br/>
              <w:t>- time requirement: the entire radiotherapy course should be completed within 8 weeks to avoid increased failure rates due to prolonged treatment (document 3).</w:t>
            </w:r>
            <w:r w:rsidRPr="00CB2EC4">
              <w:rPr>
                <w:rFonts w:ascii="Times New Roman" w:hAnsi="Times New Roman" w:cs="Times New Roman"/>
              </w:rPr>
              <w:br/>
            </w:r>
            <w:r w:rsidRPr="00CB2EC4">
              <w:rPr>
                <w:rFonts w:ascii="Times New Roman" w:hAnsi="Times New Roman" w:cs="Times New Roman"/>
              </w:rPr>
              <w:br/>
              <w:t>timing for recommending concurrent chemotherapy:</w:t>
            </w:r>
            <w:r w:rsidRPr="00CB2EC4">
              <w:rPr>
                <w:rFonts w:ascii="Times New Roman" w:hAnsi="Times New Roman" w:cs="Times New Roman"/>
              </w:rPr>
              <w:br/>
              <w:t xml:space="preserve">- concurrent chemoradiotherapy (CCRT): indicated for patients with IB3, IIA2, and higher stages of locally advanced disease (e.g., FIGO IIB–IVA), particularly those with lymph node involvement, bulky tumors (&gt;4 cm), or high-risk histologic subtypes </w:t>
            </w:r>
            <w:r w:rsidRPr="00CB2EC4">
              <w:rPr>
                <w:rFonts w:ascii="Times New Roman" w:hAnsi="Times New Roman" w:cs="Times New Roman"/>
              </w:rPr>
              <w:lastRenderedPageBreak/>
              <w:t>(documents 8, 11). Regimen: weekly cisplatin (40 mg/m², once weekly for 4–6 weeks) or carboplatin as alternative (document 10).</w:t>
            </w:r>
            <w:r w:rsidRPr="00CB2EC4">
              <w:rPr>
                <w:rFonts w:ascii="Times New Roman" w:hAnsi="Times New Roman" w:cs="Times New Roman"/>
              </w:rPr>
              <w:br/>
              <w:t>- neoadjuvant chemotherapy: considered only in settings with limited radiotherapy resources for tumor downstaging (e.g., paclitaxel + platinum), though its efficacy remains controversial (document 8).</w:t>
            </w:r>
            <w:r w:rsidRPr="00CB2EC4">
              <w:rPr>
                <w:rFonts w:ascii="Times New Roman" w:hAnsi="Times New Roman" w:cs="Times New Roman"/>
              </w:rPr>
              <w:br/>
            </w:r>
            <w:r w:rsidRPr="00CB2EC4">
              <w:rPr>
                <w:rFonts w:ascii="Times New Roman" w:hAnsi="Times New Roman" w:cs="Times New Roman"/>
              </w:rPr>
              <w:br/>
              <w:t>evidence: document 11 states "CCRT is the standard treatment for IB3/IIA2," and document 10 details the concurrent chemotherapy protocol.</w:t>
            </w:r>
          </w:p>
        </w:tc>
        <w:tc>
          <w:tcPr>
            <w:tcW w:w="1152" w:type="dxa"/>
            <w:vAlign w:val="center"/>
          </w:tcPr>
          <w:p w14:paraId="14952A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99C6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5B97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261562" w14:textId="77777777">
        <w:tc>
          <w:tcPr>
            <w:tcW w:w="2160" w:type="dxa"/>
            <w:vAlign w:val="center"/>
          </w:tcPr>
          <w:p w14:paraId="746954F3"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7ECD9BA" w14:textId="77777777" w:rsidR="00922249" w:rsidRPr="00CB2EC4" w:rsidRDefault="003011D5">
            <w:pPr>
              <w:rPr>
                <w:rFonts w:ascii="Times New Roman" w:hAnsi="Times New Roman" w:cs="Times New Roman"/>
              </w:rPr>
            </w:pPr>
            <w:r w:rsidRPr="00CB2EC4">
              <w:rPr>
                <w:rFonts w:ascii="Times New Roman" w:hAnsi="Times New Roman" w:cs="Times New Roman"/>
              </w:rPr>
              <w:t>the radiotherapy strategy for locally advanced cervical cancer is primarily radical external beam radiotherapy (EBRT) combined with intracavitary brachytherapy (ICBT), with a total dose of approximately 80–90 Gy. Concurrent chemoradiation is the standard recommendation, especially for patients with FIGO stage IB3 and above.</w:t>
            </w:r>
            <w:r w:rsidRPr="00CB2EC4">
              <w:rPr>
                <w:rFonts w:ascii="Times New Roman" w:hAnsi="Times New Roman" w:cs="Times New Roman"/>
              </w:rPr>
              <w:br/>
            </w:r>
            <w:r w:rsidRPr="00CB2EC4">
              <w:rPr>
                <w:rFonts w:ascii="Times New Roman" w:hAnsi="Times New Roman" w:cs="Times New Roman"/>
              </w:rPr>
              <w:br/>
              <w:t>- Radiotherapy strategy:</w:t>
            </w:r>
            <w:r w:rsidRPr="00CB2EC4">
              <w:rPr>
                <w:rFonts w:ascii="Times New Roman" w:hAnsi="Times New Roman" w:cs="Times New Roman"/>
              </w:rPr>
              <w:br/>
              <w:t xml:space="preserve">  - External beam radiotherapy (EBRT): Covers the uterine corpus, cervix, parametrium, and lymph node regions. Standard dose is 45–50 Gy, delivered using box technique (e.g., AP-PA and lateral fields). 3D-CRT or IMRT is recommended to reduce toxicity.</w:t>
            </w:r>
            <w:r w:rsidRPr="00CB2EC4">
              <w:rPr>
                <w:rFonts w:ascii="Times New Roman" w:hAnsi="Times New Roman" w:cs="Times New Roman"/>
              </w:rPr>
              <w:br/>
              <w:t xml:space="preserve">  - Intracavitary brachytherapy (ICBT): Used to boost central dose, typically with uterine tandem and ovoids. Dosing is based on Point A or high-risk clinical target volume (HR-CTV). For example, HDR system administered in 3–5 fractions, 5.5–8 Gy per fraction, total equivalent dose 80–90 Gy. Interstitial implantation may be considered for large tumors.</w:t>
            </w:r>
            <w:r w:rsidRPr="00CB2EC4">
              <w:rPr>
                <w:rFonts w:ascii="Times New Roman" w:hAnsi="Times New Roman" w:cs="Times New Roman"/>
              </w:rPr>
              <w:br/>
              <w:t xml:space="preserve">  - Overall scheme: EBRT and ICBT should be completed within 8 weeks; treatment delays increase </w:t>
            </w:r>
            <w:r w:rsidRPr="00CB2EC4">
              <w:rPr>
                <w:rFonts w:ascii="Times New Roman" w:hAnsi="Times New Roman" w:cs="Times New Roman"/>
              </w:rPr>
              <w:lastRenderedPageBreak/>
              <w:t>the risk of failure.</w:t>
            </w:r>
            <w:r w:rsidRPr="00CB2EC4">
              <w:rPr>
                <w:rFonts w:ascii="Times New Roman" w:hAnsi="Times New Roman" w:cs="Times New Roman"/>
              </w:rPr>
              <w:br/>
            </w:r>
            <w:r w:rsidRPr="00CB2EC4">
              <w:rPr>
                <w:rFonts w:ascii="Times New Roman" w:hAnsi="Times New Roman" w:cs="Times New Roman"/>
              </w:rPr>
              <w:br/>
              <w:t>- When to recommend concurrent chemotherapy:</w:t>
            </w:r>
            <w:r w:rsidRPr="00CB2EC4">
              <w:rPr>
                <w:rFonts w:ascii="Times New Roman" w:hAnsi="Times New Roman" w:cs="Times New Roman"/>
              </w:rPr>
              <w:br/>
              <w:t xml:space="preserve">  - Timing: For stage IB3, IIA2, and above (locally advanced), concurrent chemoradiation (CCRT) is the standard treatment.</w:t>
            </w:r>
            <w:r w:rsidRPr="00CB2EC4">
              <w:rPr>
                <w:rFonts w:ascii="Times New Roman" w:hAnsi="Times New Roman" w:cs="Times New Roman"/>
              </w:rPr>
              <w:br/>
              <w:t xml:space="preserve">  - Chemotherapy regimen: Weekly cisplatin 40 mg/m² (with hydration), 4–6 cycles; carboplatin (AUC=2) or platinum-based combination may be used for cisplatin-intolerant patients. CCRT reduces local recurrence and improves survival by 10–15%.</w:t>
            </w:r>
            <w:r w:rsidRPr="00CB2EC4">
              <w:rPr>
                <w:rFonts w:ascii="Times New Roman" w:hAnsi="Times New Roman" w:cs="Times New Roman"/>
              </w:rPr>
              <w:br/>
              <w:t xml:space="preserve">  - Other indications: Postoperative high-risk factors (e.g., positive lymph nodes) also warrant adjuvant radiotherapy with concurrent chemotherapy.</w:t>
            </w:r>
            <w:r w:rsidRPr="00CB2EC4">
              <w:rPr>
                <w:rFonts w:ascii="Times New Roman" w:hAnsi="Times New Roman" w:cs="Times New Roman"/>
              </w:rPr>
              <w:br/>
            </w:r>
            <w:r w:rsidRPr="00CB2EC4">
              <w:rPr>
                <w:rFonts w:ascii="Times New Roman" w:hAnsi="Times New Roman" w:cs="Times New Roman"/>
              </w:rPr>
              <w:br/>
              <w:t>- Summary: Radiotherapy is centered on EBRT + ICBT; concurrent chemotherapy is recommended for stage IB3 and above to enhance efficacy.</w:t>
            </w:r>
          </w:p>
        </w:tc>
        <w:tc>
          <w:tcPr>
            <w:tcW w:w="1152" w:type="dxa"/>
            <w:vAlign w:val="center"/>
          </w:tcPr>
          <w:p w14:paraId="24697A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86C6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7907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74E6B0" w14:textId="77777777">
        <w:tc>
          <w:tcPr>
            <w:tcW w:w="2160" w:type="dxa"/>
            <w:vAlign w:val="center"/>
          </w:tcPr>
          <w:p w14:paraId="3C0F3A67"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F40472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radiotherapy strategy: for locally advanced cervical cancer (FIGO IB3–IVA stage), the standard radiotherapy consists of external beam radiotherapy (EBRT) combined with brachytherapy. EBRT targets the pelvic region, and brachytherapy provides a local tumor boost.  </w:t>
            </w:r>
            <w:r w:rsidRPr="00CB2EC4">
              <w:rPr>
                <w:rFonts w:ascii="Times New Roman" w:hAnsi="Times New Roman" w:cs="Times New Roman"/>
              </w:rPr>
              <w:br/>
              <w:t>timing for recommending combined chemotherapy: concurrent chemoradiotherapy (CCRT) is the preferred approach and is recommended for all patients with locally advanced disease, regardless of stage (e.g., IB3 and above), to significantly improve survival rates and local control. Chemotherapy is typically administered as weekly cisplatin.</w:t>
            </w:r>
          </w:p>
        </w:tc>
        <w:tc>
          <w:tcPr>
            <w:tcW w:w="1152" w:type="dxa"/>
            <w:vAlign w:val="center"/>
          </w:tcPr>
          <w:p w14:paraId="4FF767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14312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53C9D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AD2684C" w14:textId="77777777">
        <w:tc>
          <w:tcPr>
            <w:tcW w:w="10656" w:type="dxa"/>
            <w:gridSpan w:val="5"/>
            <w:tcBorders>
              <w:bottom w:val="single" w:sz="6" w:space="0" w:color="auto"/>
            </w:tcBorders>
            <w:vAlign w:val="center"/>
          </w:tcPr>
          <w:p w14:paraId="5CC2DE2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80: When is image-guided brachytherapy (ICRT) necessary and how is it different from conventional radiotherapy?</w:t>
            </w:r>
          </w:p>
        </w:tc>
      </w:tr>
      <w:tr w:rsidR="00922249" w:rsidRPr="00CB2EC4" w14:paraId="7F62D19B" w14:textId="77777777">
        <w:tc>
          <w:tcPr>
            <w:tcW w:w="2160" w:type="dxa"/>
            <w:vAlign w:val="center"/>
          </w:tcPr>
          <w:p w14:paraId="34F8006E"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935471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is image-guided brachytherapy (ICBT) needed, </w:t>
            </w:r>
            <w:r w:rsidRPr="00CB2EC4">
              <w:rPr>
                <w:rFonts w:ascii="Times New Roman" w:hAnsi="Times New Roman" w:cs="Times New Roman"/>
              </w:rPr>
              <w:lastRenderedPageBreak/>
              <w:t>and how does it differ from conventional radiotherapy?</w:t>
            </w:r>
            <w:r w:rsidRPr="00CB2EC4">
              <w:rPr>
                <w:rFonts w:ascii="Times New Roman" w:hAnsi="Times New Roman" w:cs="Times New Roman"/>
              </w:rPr>
              <w:br/>
            </w:r>
            <w:r w:rsidRPr="00CB2EC4">
              <w:rPr>
                <w:rFonts w:ascii="Times New Roman" w:hAnsi="Times New Roman" w:cs="Times New Roman"/>
              </w:rPr>
              <w:br/>
              <w:t>- When ICBT is needed:</w:t>
            </w:r>
            <w:r w:rsidRPr="00CB2EC4">
              <w:rPr>
                <w:rFonts w:ascii="Times New Roman" w:hAnsi="Times New Roman" w:cs="Times New Roman"/>
              </w:rPr>
              <w:br/>
              <w:t xml:space="preserve">  - Recommended for patients with large, asymmetric local tumors or insufficient tumor regression to improve target volume accuracy (see: "For patients with large and asymmetric local tumors or insufficient tumor regression, interstitial implantation can improve target dose... MRI is recommended before or during brachytherapy").</w:t>
            </w:r>
            <w:r w:rsidRPr="00CB2EC4">
              <w:rPr>
                <w:rFonts w:ascii="Times New Roman" w:hAnsi="Times New Roman" w:cs="Times New Roman"/>
              </w:rPr>
              <w:br/>
              <w:t xml:space="preserve">  - Specific scenarios: primary cervical cancer unsuitable for surgery, or during radiotherapy to optimize dose distribution and reduce normal tissue injury.</w:t>
            </w:r>
            <w:r w:rsidRPr="00CB2EC4">
              <w:rPr>
                <w:rFonts w:ascii="Times New Roman" w:hAnsi="Times New Roman" w:cs="Times New Roman"/>
              </w:rPr>
              <w:br/>
              <w:t>- Differences from conventional radiotherapy:</w:t>
            </w:r>
            <w:r w:rsidRPr="00CB2EC4">
              <w:rPr>
                <w:rFonts w:ascii="Times New Roman" w:hAnsi="Times New Roman" w:cs="Times New Roman"/>
              </w:rPr>
              <w:br/>
              <w:t xml:space="preserve">  - ICBT: Uses imaging (e.g., MRI) to guide applicator placement in real time, precisely delineates high-risk CTV (clinical target volume), ensures dose concentration on the tumor, and limits dose to normal tissues such as rectum and bladder (normal tissue dose constraints: rectum D2cc ≤ 65–75 Gy, bladder D2cc ≤ 80–90 Gy).</w:t>
            </w:r>
            <w:r w:rsidRPr="00CB2EC4">
              <w:rPr>
                <w:rFonts w:ascii="Times New Roman" w:hAnsi="Times New Roman" w:cs="Times New Roman"/>
              </w:rPr>
              <w:br/>
              <w:t xml:space="preserve">  - Conventional radiotherapy: Relies on standard anatomical landmarks without real-time imaging guidance, which may result in uneven dose distribution and increased risk of complications (e.g., late rectal or bladder reactions).</w:t>
            </w:r>
            <w:r w:rsidRPr="00CB2EC4">
              <w:rPr>
                <w:rFonts w:ascii="Times New Roman" w:hAnsi="Times New Roman" w:cs="Times New Roman"/>
              </w:rPr>
              <w:br/>
              <w:t xml:space="preserve">  - Advantage: ICBT significantly improves treatment precision and safety, especially for complex cases (see: "If these parameter requirements are not met, interstitial implantation should be considered as a supplement").</w:t>
            </w:r>
            <w:r w:rsidRPr="00CB2EC4">
              <w:rPr>
                <w:rFonts w:ascii="Times New Roman" w:hAnsi="Times New Roman" w:cs="Times New Roman"/>
              </w:rPr>
              <w:br/>
              <w:t xml:space="preserve">In summary, ICBT is recommended when tumor </w:t>
            </w:r>
            <w:r w:rsidRPr="00CB2EC4">
              <w:rPr>
                <w:rFonts w:ascii="Times New Roman" w:hAnsi="Times New Roman" w:cs="Times New Roman"/>
              </w:rPr>
              <w:lastRenderedPageBreak/>
              <w:t>morphology is complex or high precision is required, distinguishing it from the standardized approach of conventional radiotherapy.</w:t>
            </w:r>
          </w:p>
        </w:tc>
        <w:tc>
          <w:tcPr>
            <w:tcW w:w="1152" w:type="dxa"/>
            <w:vAlign w:val="center"/>
          </w:tcPr>
          <w:p w14:paraId="7BF604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81731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CC9A8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F1051E1" w14:textId="77777777">
        <w:tc>
          <w:tcPr>
            <w:tcW w:w="2160" w:type="dxa"/>
            <w:vAlign w:val="center"/>
          </w:tcPr>
          <w:p w14:paraId="0D10200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3EA92B45" w14:textId="77777777" w:rsidR="00922249" w:rsidRPr="00CB2EC4" w:rsidRDefault="003011D5">
            <w:pPr>
              <w:rPr>
                <w:rFonts w:ascii="Times New Roman" w:hAnsi="Times New Roman" w:cs="Times New Roman"/>
              </w:rPr>
            </w:pPr>
            <w:r w:rsidRPr="00CB2EC4">
              <w:rPr>
                <w:rFonts w:ascii="Times New Roman" w:hAnsi="Times New Roman" w:cs="Times New Roman"/>
              </w:rPr>
              <w:t>when is image-guided brachytherapy (ICBT) needed, and how does it differ from conventional radiotherapy?</w:t>
            </w:r>
            <w:r w:rsidRPr="00CB2EC4">
              <w:rPr>
                <w:rFonts w:ascii="Times New Roman" w:hAnsi="Times New Roman" w:cs="Times New Roman"/>
              </w:rPr>
              <w:br/>
            </w:r>
            <w:r w:rsidRPr="00CB2EC4">
              <w:rPr>
                <w:rFonts w:ascii="Times New Roman" w:hAnsi="Times New Roman" w:cs="Times New Roman"/>
              </w:rPr>
              <w:br/>
              <w:t xml:space="preserve">response:  </w:t>
            </w:r>
            <w:r w:rsidRPr="00CB2EC4">
              <w:rPr>
                <w:rFonts w:ascii="Times New Roman" w:hAnsi="Times New Roman" w:cs="Times New Roman"/>
              </w:rPr>
              <w:br/>
              <w:t xml:space="preserve">indications for ICBT:  </w:t>
            </w:r>
            <w:r w:rsidRPr="00CB2EC4">
              <w:rPr>
                <w:rFonts w:ascii="Times New Roman" w:hAnsi="Times New Roman" w:cs="Times New Roman"/>
              </w:rPr>
              <w:br/>
              <w:t xml:space="preserve">- when the tumor volume is large, irregular in shape, or shows poor regression after treatment (document fragments 7, 41).  </w:t>
            </w:r>
            <w:r w:rsidRPr="00CB2EC4">
              <w:rPr>
                <w:rFonts w:ascii="Times New Roman" w:hAnsi="Times New Roman" w:cs="Times New Roman"/>
              </w:rPr>
              <w:br/>
              <w:t xml:space="preserve">- MRI is recommended before or during brachytherapy to accurately delineate the high-risk clinical target volume (HR-CTV), especially when anatomical landmarks are insufficient for localization (document fragment 7).  </w:t>
            </w:r>
            <w:r w:rsidRPr="00CB2EC4">
              <w:rPr>
                <w:rFonts w:ascii="Times New Roman" w:hAnsi="Times New Roman" w:cs="Times New Roman"/>
              </w:rPr>
              <w:br/>
              <w:t xml:space="preserve">- in the absence of intracavitary applicators, ICBT can be used as an alternative, provided normal tissue dose tolerances are met (e.g., rectal D₂cc ≤ 65–75 Gy) (document fragment 7).  </w:t>
            </w:r>
            <w:r w:rsidRPr="00CB2EC4">
              <w:rPr>
                <w:rFonts w:ascii="Times New Roman" w:hAnsi="Times New Roman" w:cs="Times New Roman"/>
              </w:rPr>
              <w:br/>
            </w:r>
            <w:r w:rsidRPr="00CB2EC4">
              <w:rPr>
                <w:rFonts w:ascii="Times New Roman" w:hAnsi="Times New Roman" w:cs="Times New Roman"/>
              </w:rPr>
              <w:br/>
              <w:t xml:space="preserve">differences between ICBT and conventional radiotherapy:  </w:t>
            </w:r>
            <w:r w:rsidRPr="00CB2EC4">
              <w:rPr>
                <w:rFonts w:ascii="Times New Roman" w:hAnsi="Times New Roman" w:cs="Times New Roman"/>
              </w:rPr>
              <w:br/>
              <w:t xml:space="preserve">- precision: ICBT uses real-time imaging (e.g., MRI) for guidance, enabling more accurate target delineation and individualized dose adjustment; conventional radiotherapy relies on anatomical landmarks and may miss microscopic disease (document fragment 7).  </w:t>
            </w:r>
            <w:r w:rsidRPr="00CB2EC4">
              <w:rPr>
                <w:rFonts w:ascii="Times New Roman" w:hAnsi="Times New Roman" w:cs="Times New Roman"/>
              </w:rPr>
              <w:br/>
              <w:t xml:space="preserve">- technique: ICBT often employs interstitial implantation to place sources directly within the tumor, boosting local dose; conventional radiotherapy is predominantly external beam, with more uniform </w:t>
            </w:r>
            <w:r w:rsidRPr="00CB2EC4">
              <w:rPr>
                <w:rFonts w:ascii="Times New Roman" w:hAnsi="Times New Roman" w:cs="Times New Roman"/>
              </w:rPr>
              <w:lastRenderedPageBreak/>
              <w:t xml:space="preserve">dose distribution but higher risk of normal tissue toxicity (document fragments 7, 41).  </w:t>
            </w:r>
            <w:r w:rsidRPr="00CB2EC4">
              <w:rPr>
                <w:rFonts w:ascii="Times New Roman" w:hAnsi="Times New Roman" w:cs="Times New Roman"/>
              </w:rPr>
              <w:br/>
              <w:t xml:space="preserve">- indications: ICBT is specifically designed for complex cases (e.g., barrel-shaped cervix); conventional radiotherapy is suitable for standard cases (document fragments 1, 7).  </w:t>
            </w:r>
            <w:r w:rsidRPr="00CB2EC4">
              <w:rPr>
                <w:rFonts w:ascii="Times New Roman" w:hAnsi="Times New Roman" w:cs="Times New Roman"/>
              </w:rPr>
              <w:br/>
              <w:t xml:space="preserve">- dose control: ICBT allows strict dose constraints for organs at risk (e.g., bladder D₂cc ≤ 80–90 Gy), reducing fistula risk; conventional radiotherapy has coarser dose control (document fragment 7).  </w:t>
            </w:r>
            <w:r w:rsidRPr="00CB2EC4">
              <w:rPr>
                <w:rFonts w:ascii="Times New Roman" w:hAnsi="Times New Roman" w:cs="Times New Roman"/>
              </w:rPr>
              <w:br/>
              <w:t>evidence: document fragment 7 (block 41) specifies ICBT’s clinical scenarios and advantages; fragment 1 (block 560) notes limitations of conventional radiotherapy.</w:t>
            </w:r>
            <w:r w:rsidRPr="00CB2EC4">
              <w:rPr>
                <w:rFonts w:ascii="Times New Roman" w:hAnsi="Times New Roman" w:cs="Times New Roman"/>
              </w:rPr>
              <w:br/>
            </w:r>
            <w:r w:rsidRPr="00CB2EC4">
              <w:rPr>
                <w:rFonts w:ascii="Times New Roman" w:hAnsi="Times New Roman" w:cs="Times New Roman"/>
              </w:rPr>
              <w:br/>
              <w:t>note: all responses are strictly based on the provided document fragments. no missing information was identified; therefore, no "answer not found in knowledge base" statement appears.</w:t>
            </w:r>
          </w:p>
        </w:tc>
        <w:tc>
          <w:tcPr>
            <w:tcW w:w="1152" w:type="dxa"/>
            <w:vAlign w:val="center"/>
          </w:tcPr>
          <w:p w14:paraId="7AEDCC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FCC6E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0C275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A13547C" w14:textId="77777777">
        <w:tc>
          <w:tcPr>
            <w:tcW w:w="2160" w:type="dxa"/>
            <w:vAlign w:val="center"/>
          </w:tcPr>
          <w:p w14:paraId="2021F16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1365C33" w14:textId="77777777" w:rsidR="00922249" w:rsidRPr="00CB2EC4" w:rsidRDefault="003011D5">
            <w:pPr>
              <w:rPr>
                <w:rFonts w:ascii="Times New Roman" w:hAnsi="Times New Roman" w:cs="Times New Roman"/>
              </w:rPr>
            </w:pPr>
            <w:r w:rsidRPr="00CB2EC4">
              <w:rPr>
                <w:rFonts w:ascii="Times New Roman" w:hAnsi="Times New Roman" w:cs="Times New Roman"/>
              </w:rPr>
              <w:t>when is image-guided brachytherapy (ICRT) needed, and how does it differ from conventional radiotherapy?</w:t>
            </w:r>
            <w:r w:rsidRPr="00CB2EC4">
              <w:rPr>
                <w:rFonts w:ascii="Times New Roman" w:hAnsi="Times New Roman" w:cs="Times New Roman"/>
              </w:rPr>
              <w:br/>
            </w:r>
            <w:r w:rsidRPr="00CB2EC4">
              <w:rPr>
                <w:rFonts w:ascii="Times New Roman" w:hAnsi="Times New Roman" w:cs="Times New Roman"/>
              </w:rPr>
              <w:br/>
              <w:t xml:space="preserve">Indications for ICRT:  </w:t>
            </w:r>
            <w:r w:rsidRPr="00CB2EC4">
              <w:rPr>
                <w:rFonts w:ascii="Times New Roman" w:hAnsi="Times New Roman" w:cs="Times New Roman"/>
              </w:rPr>
              <w:br/>
              <w:t xml:space="preserve">  - When the tumor volume is large, asymmetric in shape, or the dose from conventional radiotherapy is insufficient (e.g., tumor diameter &gt; 4 cm).  </w:t>
            </w:r>
            <w:r w:rsidRPr="00CB2EC4">
              <w:rPr>
                <w:rFonts w:ascii="Times New Roman" w:hAnsi="Times New Roman" w:cs="Times New Roman"/>
              </w:rPr>
              <w:br/>
              <w:t xml:space="preserve">  - When residual tumor localization is difficult and precise target delineation is required (e.g., poor tumor regression during radiotherapy).  </w:t>
            </w:r>
            <w:r w:rsidRPr="00CB2EC4">
              <w:rPr>
                <w:rFonts w:ascii="Times New Roman" w:hAnsi="Times New Roman" w:cs="Times New Roman"/>
              </w:rPr>
              <w:br/>
              <w:t xml:space="preserve">  - When anatomical variations (e.g., vaginal stenosis or abnormal uterine position) prevent the use of standard applicators (Document fragments 8, 10, 15).  </w:t>
            </w:r>
            <w:r w:rsidRPr="00CB2EC4">
              <w:rPr>
                <w:rFonts w:ascii="Times New Roman" w:hAnsi="Times New Roman" w:cs="Times New Roman"/>
              </w:rPr>
              <w:br/>
              <w:t xml:space="preserve">  - MRI is recommended before or during ICRT to </w:t>
            </w:r>
            <w:r w:rsidRPr="00CB2EC4">
              <w:rPr>
                <w:rFonts w:ascii="Times New Roman" w:hAnsi="Times New Roman" w:cs="Times New Roman"/>
              </w:rPr>
              <w:lastRenderedPageBreak/>
              <w:t xml:space="preserve">optimize dose distribution (Document fragment 10).  </w:t>
            </w:r>
            <w:r w:rsidRPr="00CB2EC4">
              <w:rPr>
                <w:rFonts w:ascii="Times New Roman" w:hAnsi="Times New Roman" w:cs="Times New Roman"/>
              </w:rPr>
              <w:br/>
              <w:t xml:space="preserve">- Differences from conventional radiotherapy:  </w:t>
            </w:r>
            <w:r w:rsidRPr="00CB2EC4">
              <w:rPr>
                <w:rFonts w:ascii="Times New Roman" w:hAnsi="Times New Roman" w:cs="Times New Roman"/>
              </w:rPr>
              <w:br/>
              <w:t xml:space="preserve">  - Technical differences:  </w:t>
            </w:r>
            <w:r w:rsidRPr="00CB2EC4">
              <w:rPr>
                <w:rFonts w:ascii="Times New Roman" w:hAnsi="Times New Roman" w:cs="Times New Roman"/>
              </w:rPr>
              <w:br/>
              <w:t xml:space="preserve">    - ICRT uses image guidance (e.g., MRI or CT) to adjust applicator position and dose in real time, ensuring the high-dose region precisely covers the tumor and reduces geographic miss.  </w:t>
            </w:r>
            <w:r w:rsidRPr="00CB2EC4">
              <w:rPr>
                <w:rFonts w:ascii="Times New Roman" w:hAnsi="Times New Roman" w:cs="Times New Roman"/>
              </w:rPr>
              <w:br/>
              <w:t xml:space="preserve">    - Conventional brachytherapy relies on standard applicators (e.g., tandem and ovoids) without real-time image guidance and is more susceptible to anatomical constraints.  </w:t>
            </w:r>
            <w:r w:rsidRPr="00CB2EC4">
              <w:rPr>
                <w:rFonts w:ascii="Times New Roman" w:hAnsi="Times New Roman" w:cs="Times New Roman"/>
              </w:rPr>
              <w:br/>
              <w:t xml:space="preserve">  - Dose and precision:  </w:t>
            </w:r>
            <w:r w:rsidRPr="00CB2EC4">
              <w:rPr>
                <w:rFonts w:ascii="Times New Roman" w:hAnsi="Times New Roman" w:cs="Times New Roman"/>
              </w:rPr>
              <w:br/>
              <w:t xml:space="preserve">    - ICRT allows individualized prescription doses (e.g., HR-CTV D90 ≥ 87 Gy) and enhances tumor dose via interstitial implantation techniques.  </w:t>
            </w:r>
            <w:r w:rsidRPr="00CB2EC4">
              <w:rPr>
                <w:rFonts w:ascii="Times New Roman" w:hAnsi="Times New Roman" w:cs="Times New Roman"/>
              </w:rPr>
              <w:br/>
              <w:t xml:space="preserve">    - Conventional radiotherapy uses fixed doses (e.g., 7000 cGy at point A), resulting in higher doses to normal tissues (rectum, bladder) and increased complication risk (Document fragments 10, 15).  </w:t>
            </w:r>
            <w:r w:rsidRPr="00CB2EC4">
              <w:rPr>
                <w:rFonts w:ascii="Times New Roman" w:hAnsi="Times New Roman" w:cs="Times New Roman"/>
              </w:rPr>
              <w:br/>
              <w:t xml:space="preserve">  - Advantage in indications: ICRT is particularly suitable for bulky or recurrent tumors, improving local control rates while reducing rectal/bladder injury (e.g., rectal D2cc ≤ 65–75 Gy) (Document fragments 8, 10).  </w:t>
            </w:r>
            <w:r w:rsidRPr="00CB2EC4">
              <w:rPr>
                <w:rFonts w:ascii="Times New Roman" w:hAnsi="Times New Roman" w:cs="Times New Roman"/>
              </w:rPr>
              <w:br/>
              <w:t xml:space="preserve">  Source: Document fragments 8, 10, 15.  </w:t>
            </w:r>
            <w:r w:rsidRPr="00CB2EC4">
              <w:rPr>
                <w:rFonts w:ascii="Times New Roman" w:hAnsi="Times New Roman" w:cs="Times New Roman"/>
              </w:rPr>
              <w:br/>
            </w:r>
            <w:r w:rsidRPr="00CB2EC4">
              <w:rPr>
                <w:rFonts w:ascii="Times New Roman" w:hAnsi="Times New Roman" w:cs="Times New Roman"/>
              </w:rPr>
              <w:br/>
              <w:t>All responses are based solely on the provided document fragments; no external knowledge has been added. Any uncovered details indicate absence of relevant information in the documents.</w:t>
            </w:r>
          </w:p>
        </w:tc>
        <w:tc>
          <w:tcPr>
            <w:tcW w:w="1152" w:type="dxa"/>
            <w:vAlign w:val="center"/>
          </w:tcPr>
          <w:p w14:paraId="2D7BE6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53FB0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76EA0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C31F525" w14:textId="77777777">
        <w:tc>
          <w:tcPr>
            <w:tcW w:w="2160" w:type="dxa"/>
            <w:vAlign w:val="center"/>
          </w:tcPr>
          <w:p w14:paraId="029D09AB"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D8898D2" w14:textId="77777777" w:rsidR="00922249" w:rsidRPr="00CB2EC4" w:rsidRDefault="003011D5">
            <w:pPr>
              <w:rPr>
                <w:rFonts w:ascii="Times New Roman" w:hAnsi="Times New Roman" w:cs="Times New Roman"/>
              </w:rPr>
            </w:pPr>
            <w:r w:rsidRPr="00CB2EC4">
              <w:rPr>
                <w:rFonts w:ascii="Times New Roman" w:hAnsi="Times New Roman" w:cs="Times New Roman"/>
              </w:rPr>
              <w:t>Application of Image-Guided Brachytherapy (ICBT)</w:t>
            </w:r>
            <w:r w:rsidRPr="00CB2EC4">
              <w:rPr>
                <w:rFonts w:ascii="Times New Roman" w:hAnsi="Times New Roman" w:cs="Times New Roman"/>
              </w:rPr>
              <w:br/>
            </w:r>
            <w:r w:rsidRPr="00CB2EC4">
              <w:rPr>
                <w:rFonts w:ascii="Times New Roman" w:hAnsi="Times New Roman" w:cs="Times New Roman"/>
              </w:rPr>
              <w:br/>
              <w:t>Differences from conventional brachytherapy:</w:t>
            </w:r>
            <w:r w:rsidRPr="00CB2EC4">
              <w:rPr>
                <w:rFonts w:ascii="Times New Roman" w:hAnsi="Times New Roman" w:cs="Times New Roman"/>
              </w:rPr>
              <w:br/>
              <w:t>| Feature               | Conventional Brachytherapy                  | Image-Guided (ICBT)                          |</w:t>
            </w:r>
            <w:r w:rsidRPr="00CB2EC4">
              <w:rPr>
                <w:rFonts w:ascii="Times New Roman" w:hAnsi="Times New Roman" w:cs="Times New Roman"/>
              </w:rPr>
              <w:br/>
            </w:r>
            <w:r w:rsidRPr="00CB2EC4">
              <w:rPr>
                <w:rFonts w:ascii="Times New Roman" w:hAnsi="Times New Roman" w:cs="Times New Roman"/>
              </w:rPr>
              <w:lastRenderedPageBreak/>
              <w:t>|-----------------------|---------------------------------------------|----------------------------------------------|</w:t>
            </w:r>
            <w:r w:rsidRPr="00CB2EC4">
              <w:rPr>
                <w:rFonts w:ascii="Times New Roman" w:hAnsi="Times New Roman" w:cs="Times New Roman"/>
              </w:rPr>
              <w:br/>
              <w:t>| Target localization    | Based on anatomical points (e.g., Point A)   | MRI/CT delineation of high-risk CTV (HR-CTV) |</w:t>
            </w:r>
            <w:r w:rsidRPr="00CB2EC4">
              <w:rPr>
                <w:rFonts w:ascii="Times New Roman" w:hAnsi="Times New Roman" w:cs="Times New Roman"/>
              </w:rPr>
              <w:br/>
              <w:t>| Dose distribution      | Fixed applicators, poor dose homogeneity     | Individualized optimization, sparing rectum/bladder (Knowledge Base 4.2.2) |</w:t>
            </w:r>
            <w:r w:rsidRPr="00CB2EC4">
              <w:rPr>
                <w:rFonts w:ascii="Times New Roman" w:hAnsi="Times New Roman" w:cs="Times New Roman"/>
              </w:rPr>
              <w:br/>
              <w:t>| Suitable population    | Symmetrical tumors with good shrinkage       | Bulky/asymmetric/poorly regressed tumors (Knowledge Base 4.2.2) |</w:t>
            </w:r>
            <w:r w:rsidRPr="00CB2EC4">
              <w:rPr>
                <w:rFonts w:ascii="Times New Roman" w:hAnsi="Times New Roman" w:cs="Times New Roman"/>
              </w:rPr>
              <w:br/>
            </w:r>
            <w:r w:rsidRPr="00CB2EC4">
              <w:rPr>
                <w:rFonts w:ascii="Times New Roman" w:hAnsi="Times New Roman" w:cs="Times New Roman"/>
              </w:rPr>
              <w:br/>
              <w:t>Indications for ICBT:</w:t>
            </w:r>
            <w:r w:rsidRPr="00CB2EC4">
              <w:rPr>
                <w:rFonts w:ascii="Times New Roman" w:hAnsi="Times New Roman" w:cs="Times New Roman"/>
              </w:rPr>
              <w:br/>
              <w:t>1. Tumor diameter &gt;4cm or invasion of vagina/parametrium (Web search).</w:t>
            </w:r>
            <w:r w:rsidRPr="00CB2EC4">
              <w:rPr>
                <w:rFonts w:ascii="Times New Roman" w:hAnsi="Times New Roman" w:cs="Times New Roman"/>
              </w:rPr>
              <w:br/>
              <w:t>2. Target volume not coverable by conventional applicators (e.g., vaginal stenosis) (Knowledge Base).</w:t>
            </w:r>
            <w:r w:rsidRPr="00CB2EC4">
              <w:rPr>
                <w:rFonts w:ascii="Times New Roman" w:hAnsi="Times New Roman" w:cs="Times New Roman"/>
              </w:rPr>
              <w:br/>
              <w:t>3. Need to protect normal tissues (e.g., history of pelvic surgery) (Web search).</w:t>
            </w:r>
            <w:r w:rsidRPr="00CB2EC4">
              <w:rPr>
                <w:rFonts w:ascii="Times New Roman" w:hAnsi="Times New Roman" w:cs="Times New Roman"/>
              </w:rPr>
              <w:br/>
            </w:r>
            <w:r w:rsidRPr="00CB2EC4">
              <w:rPr>
                <w:rFonts w:ascii="Times New Roman" w:hAnsi="Times New Roman" w:cs="Times New Roman"/>
              </w:rPr>
              <w:br/>
              <w:t>Key operational points:</w:t>
            </w:r>
            <w:r w:rsidRPr="00CB2EC4">
              <w:rPr>
                <w:rFonts w:ascii="Times New Roman" w:hAnsi="Times New Roman" w:cs="Times New Roman"/>
              </w:rPr>
              <w:br/>
              <w:t>- Implant technique: Transperineal catheter insertion under ultrasound guidance to avoid bowel injury (Knowledge Base).</w:t>
            </w:r>
            <w:r w:rsidRPr="00CB2EC4">
              <w:rPr>
                <w:rFonts w:ascii="Times New Roman" w:hAnsi="Times New Roman" w:cs="Times New Roman"/>
              </w:rPr>
              <w:br/>
              <w:t>- Dose requirement: HR-CTV D90 EQD2 ≥87Gy (for bulky tumors) (Knowledge Base 4.2.2).</w:t>
            </w:r>
          </w:p>
        </w:tc>
        <w:tc>
          <w:tcPr>
            <w:tcW w:w="1152" w:type="dxa"/>
            <w:vAlign w:val="center"/>
          </w:tcPr>
          <w:p w14:paraId="5C5B96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0B7A6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08227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95CBB8C" w14:textId="77777777">
        <w:tc>
          <w:tcPr>
            <w:tcW w:w="2160" w:type="dxa"/>
            <w:vAlign w:val="center"/>
          </w:tcPr>
          <w:p w14:paraId="23968D9F"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1C3C5EE" w14:textId="77777777" w:rsidR="00922249" w:rsidRPr="00CB2EC4" w:rsidRDefault="003011D5">
            <w:pPr>
              <w:rPr>
                <w:rFonts w:ascii="Times New Roman" w:hAnsi="Times New Roman" w:cs="Times New Roman"/>
              </w:rPr>
            </w:pPr>
            <w:r w:rsidRPr="00CB2EC4">
              <w:rPr>
                <w:rFonts w:ascii="Times New Roman" w:hAnsi="Times New Roman" w:cs="Times New Roman"/>
              </w:rPr>
              <w:t>when is image-guided brachytherapy (IGBT) needed, and how does it differ from conventional radiotherapy?</w:t>
            </w:r>
            <w:r w:rsidRPr="00CB2EC4">
              <w:rPr>
                <w:rFonts w:ascii="Times New Roman" w:hAnsi="Times New Roman" w:cs="Times New Roman"/>
              </w:rPr>
              <w:br/>
            </w:r>
            <w:r w:rsidRPr="00CB2EC4">
              <w:rPr>
                <w:rFonts w:ascii="Times New Roman" w:hAnsi="Times New Roman" w:cs="Times New Roman"/>
              </w:rPr>
              <w:br/>
              <w:t>Image-guided brachytherapy (IGBT) is recommended in specific clinical scenarios and differs from conventional radiotherapy primarily in precision and indications. Details are as follows:</w:t>
            </w:r>
            <w:r w:rsidRPr="00CB2EC4">
              <w:rPr>
                <w:rFonts w:ascii="Times New Roman" w:hAnsi="Times New Roman" w:cs="Times New Roman"/>
              </w:rPr>
              <w:br/>
            </w:r>
            <w:r w:rsidRPr="00CB2EC4">
              <w:rPr>
                <w:rFonts w:ascii="Times New Roman" w:hAnsi="Times New Roman" w:cs="Times New Roman"/>
              </w:rPr>
              <w:lastRenderedPageBreak/>
              <w:br/>
              <w:t>- When IGBT is needed:</w:t>
            </w:r>
            <w:r w:rsidRPr="00CB2EC4">
              <w:rPr>
                <w:rFonts w:ascii="Times New Roman" w:hAnsi="Times New Roman" w:cs="Times New Roman"/>
              </w:rPr>
              <w:br/>
              <w:t xml:space="preserve">  - Large or asymmetric tumors: When cervical tumors are bulky and irregular in shape, IGBT (especially interstitial implantation) improves target dose coverage (Fragment 10).</w:t>
            </w:r>
            <w:r w:rsidRPr="00CB2EC4">
              <w:rPr>
                <w:rFonts w:ascii="Times New Roman" w:hAnsi="Times New Roman" w:cs="Times New Roman"/>
              </w:rPr>
              <w:br/>
              <w:t xml:space="preserve">  - Insufficient tumor regression: If residual tumor or inadequate shrinkage is observed after radiotherapy, IGBT combined with MRI guidance is recommended to accurately delineate residual disease (Fragment 10).</w:t>
            </w:r>
            <w:r w:rsidRPr="00CB2EC4">
              <w:rPr>
                <w:rFonts w:ascii="Times New Roman" w:hAnsi="Times New Roman" w:cs="Times New Roman"/>
              </w:rPr>
              <w:br/>
              <w:t xml:space="preserve">  - High-risk cases: Such as locally advanced cervical cancer (stage IB3/IIA2 or higher), or when protection of normal tissues (e.g., rectum, bladder) is required (Fragment 8, Fragment 10).</w:t>
            </w:r>
            <w:r w:rsidRPr="00CB2EC4">
              <w:rPr>
                <w:rFonts w:ascii="Times New Roman" w:hAnsi="Times New Roman" w:cs="Times New Roman"/>
              </w:rPr>
              <w:br/>
              <w:t xml:space="preserve">  - When resources permit: As an optimized approach for radical radiotherapy, particularly in medical centers equipped with imaging modalities (e.g., MRI) (Fragment 10).</w:t>
            </w:r>
            <w:r w:rsidRPr="00CB2EC4">
              <w:rPr>
                <w:rFonts w:ascii="Times New Roman" w:hAnsi="Times New Roman" w:cs="Times New Roman"/>
              </w:rPr>
              <w:br/>
            </w:r>
            <w:r w:rsidRPr="00CB2EC4">
              <w:rPr>
                <w:rFonts w:ascii="Times New Roman" w:hAnsi="Times New Roman" w:cs="Times New Roman"/>
              </w:rPr>
              <w:br/>
              <w:t>- Differences from conventional radiotherapy:</w:t>
            </w:r>
            <w:r w:rsidRPr="00CB2EC4">
              <w:rPr>
                <w:rFonts w:ascii="Times New Roman" w:hAnsi="Times New Roman" w:cs="Times New Roman"/>
              </w:rPr>
              <w:br/>
              <w:t xml:space="preserve">  - Precision:</w:t>
            </w:r>
            <w:r w:rsidRPr="00CB2EC4">
              <w:rPr>
                <w:rFonts w:ascii="Times New Roman" w:hAnsi="Times New Roman" w:cs="Times New Roman"/>
              </w:rPr>
              <w:br/>
              <w:t xml:space="preserve">    - IGBT: Uses image guidance (e.g., MRI or CT) to adjust applicator position in real time, ensuring accurate dose delivery to the high-risk clinical target volume (HR-CTV) and reducing geographic miss (Fragment 10).</w:t>
            </w:r>
            <w:r w:rsidRPr="00CB2EC4">
              <w:rPr>
                <w:rFonts w:ascii="Times New Roman" w:hAnsi="Times New Roman" w:cs="Times New Roman"/>
              </w:rPr>
              <w:br/>
              <w:t xml:space="preserve">    - Conventional radiotherapy: Relies on standard anatomical landmarks, with lower precision and higher risk of overdosing normal tissues (e.g., rectum, bladder).</w:t>
            </w:r>
            <w:r w:rsidRPr="00CB2EC4">
              <w:rPr>
                <w:rFonts w:ascii="Times New Roman" w:hAnsi="Times New Roman" w:cs="Times New Roman"/>
              </w:rPr>
              <w:br/>
              <w:t xml:space="preserve">  - Dose and indications:</w:t>
            </w:r>
            <w:r w:rsidRPr="00CB2EC4">
              <w:rPr>
                <w:rFonts w:ascii="Times New Roman" w:hAnsi="Times New Roman" w:cs="Times New Roman"/>
              </w:rPr>
              <w:br/>
              <w:t xml:space="preserve">    - IGBT: Allows higher doses (e.g., HR-CTV D90 EQD2 ≥87 Gy) for complex tumors; enforces stricter normal tissue dose constraints (e.g., rectal D2cc ≤65–</w:t>
            </w:r>
            <w:r w:rsidRPr="00CB2EC4">
              <w:rPr>
                <w:rFonts w:ascii="Times New Roman" w:hAnsi="Times New Roman" w:cs="Times New Roman"/>
              </w:rPr>
              <w:lastRenderedPageBreak/>
              <w:t>75 Gy) (Fragment 10).</w:t>
            </w:r>
            <w:r w:rsidRPr="00CB2EC4">
              <w:rPr>
                <w:rFonts w:ascii="Times New Roman" w:hAnsi="Times New Roman" w:cs="Times New Roman"/>
              </w:rPr>
              <w:br/>
              <w:t xml:space="preserve">    - Conventional radiotherapy: Delivers more uniform dose distribution but lacks flexibility, making it unsuitable for large tumors or residual disease (Fragment 8).</w:t>
            </w:r>
            <w:r w:rsidRPr="00CB2EC4">
              <w:rPr>
                <w:rFonts w:ascii="Times New Roman" w:hAnsi="Times New Roman" w:cs="Times New Roman"/>
              </w:rPr>
              <w:br/>
              <w:t xml:space="preserve">  - Technical advantages: IGBT can incorporate interstitial brachytherapy to treat areas difficult to cover with conventional radiotherapy (e.g., parametrial involvement), thereby reducing complications (Fragment 10).</w:t>
            </w:r>
            <w:r w:rsidRPr="00CB2EC4">
              <w:rPr>
                <w:rFonts w:ascii="Times New Roman" w:hAnsi="Times New Roman" w:cs="Times New Roman"/>
              </w:rPr>
              <w:br/>
            </w:r>
            <w:r w:rsidRPr="00CB2EC4">
              <w:rPr>
                <w:rFonts w:ascii="Times New Roman" w:hAnsi="Times New Roman" w:cs="Times New Roman"/>
              </w:rPr>
              <w:br/>
              <w:t>The document emphasizes that IGBT is a key component of radical radiotherapy and is recommended for primary inoperable patients (Fragment 10). Not all technical details of IGBT are provided in the knowledge base, but the above information is derived from Fragments 8 and 10.</w:t>
            </w:r>
          </w:p>
        </w:tc>
        <w:tc>
          <w:tcPr>
            <w:tcW w:w="1152" w:type="dxa"/>
            <w:vAlign w:val="center"/>
          </w:tcPr>
          <w:p w14:paraId="2E8D2C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8DDF5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61E74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043BA3A" w14:textId="77777777">
        <w:tc>
          <w:tcPr>
            <w:tcW w:w="2160" w:type="dxa"/>
            <w:vAlign w:val="center"/>
          </w:tcPr>
          <w:p w14:paraId="4593967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49FF49D0" w14:textId="77777777" w:rsidR="00922249" w:rsidRPr="00CB2EC4" w:rsidRDefault="003011D5">
            <w:pPr>
              <w:rPr>
                <w:rFonts w:ascii="Times New Roman" w:hAnsi="Times New Roman" w:cs="Times New Roman"/>
              </w:rPr>
            </w:pPr>
            <w:r w:rsidRPr="00CB2EC4">
              <w:rPr>
                <w:rFonts w:ascii="Times New Roman" w:hAnsi="Times New Roman" w:cs="Times New Roman"/>
              </w:rPr>
              <w:t>when is image-guided brachytherapy (ICBT) needed, and how does it differ from conventional radiotherapy?</w:t>
            </w:r>
            <w:r w:rsidRPr="00CB2EC4">
              <w:rPr>
                <w:rFonts w:ascii="Times New Roman" w:hAnsi="Times New Roman" w:cs="Times New Roman"/>
              </w:rPr>
              <w:br/>
            </w:r>
            <w:r w:rsidRPr="00CB2EC4">
              <w:rPr>
                <w:rFonts w:ascii="Times New Roman" w:hAnsi="Times New Roman" w:cs="Times New Roman"/>
              </w:rPr>
              <w:br/>
              <w:t xml:space="preserve">- When ICBT is needed:  </w:t>
            </w:r>
            <w:r w:rsidRPr="00CB2EC4">
              <w:rPr>
                <w:rFonts w:ascii="Times New Roman" w:hAnsi="Times New Roman" w:cs="Times New Roman"/>
              </w:rPr>
              <w:br/>
              <w:t xml:space="preserve">  - For complex tumor morphology: such as locally large, asymmetric tumors or insufficient tumor regression (document 8: "For patients with locally large and asymmetric tumors or insufficient tumor regression, interstitial implantation can improve target dose coverage").  </w:t>
            </w:r>
            <w:r w:rsidRPr="00CB2EC4">
              <w:rPr>
                <w:rFonts w:ascii="Times New Roman" w:hAnsi="Times New Roman" w:cs="Times New Roman"/>
              </w:rPr>
              <w:br/>
              <w:t xml:space="preserve">  - To optimize dose distribution: when conventional radiotherapy cannot adequately cover the target volume, MRI guidance is recommended to delineate residual tumor (document 8: "It is recommended to perform MRI before or during brachytherapy to help delineate residual tumor").  </w:t>
            </w:r>
            <w:r w:rsidRPr="00CB2EC4">
              <w:rPr>
                <w:rFonts w:ascii="Times New Roman" w:hAnsi="Times New Roman" w:cs="Times New Roman"/>
              </w:rPr>
              <w:br/>
            </w:r>
            <w:r w:rsidRPr="00CB2EC4">
              <w:rPr>
                <w:rFonts w:ascii="Times New Roman" w:hAnsi="Times New Roman" w:cs="Times New Roman"/>
              </w:rPr>
              <w:lastRenderedPageBreak/>
              <w:br/>
              <w:t xml:space="preserve">- Differences from conventional radiotherapy:  </w:t>
            </w:r>
            <w:r w:rsidRPr="00CB2EC4">
              <w:rPr>
                <w:rFonts w:ascii="Times New Roman" w:hAnsi="Times New Roman" w:cs="Times New Roman"/>
              </w:rPr>
              <w:br/>
              <w:t xml:space="preserve">  - Precision: ICBT uses imaging (e.g., MRI) for real-time guidance, ensuring high-dose delivery is accurately targeted to the tumor while minimizing dose to normal tissues such as rectum and bladder (document 8: "to minimize normal tissue dose as much as possible").  </w:t>
            </w:r>
            <w:r w:rsidRPr="00CB2EC4">
              <w:rPr>
                <w:rFonts w:ascii="Times New Roman" w:hAnsi="Times New Roman" w:cs="Times New Roman"/>
              </w:rPr>
              <w:br/>
              <w:t xml:space="preserve">  - Technical application: conventional radiotherapy relies on fixed applicators, whereas ICBT can incorporate interstitial techniques (e.g., multi-needle catheters) for cases with anatomical variations (document 8: "If these parameter requirements are not met, interstitial techniques should be considered as a supplement").  </w:t>
            </w:r>
            <w:r w:rsidRPr="00CB2EC4">
              <w:rPr>
                <w:rFonts w:ascii="Times New Roman" w:hAnsi="Times New Roman" w:cs="Times New Roman"/>
              </w:rPr>
              <w:br/>
              <w:t xml:space="preserve">  - Dose control: ICBT allows higher target doses (e.g., HR-CTV D90 EQD2 ≥ 87 Gy), while conventional radiotherapy delivers more homogeneous doses, potentially increasing complication risks (document 8).  </w:t>
            </w:r>
            <w:r w:rsidRPr="00CB2EC4">
              <w:rPr>
                <w:rFonts w:ascii="Times New Roman" w:hAnsi="Times New Roman" w:cs="Times New Roman"/>
              </w:rPr>
              <w:br/>
            </w:r>
            <w:r w:rsidRPr="00CB2EC4">
              <w:rPr>
                <w:rFonts w:ascii="Times New Roman" w:hAnsi="Times New Roman" w:cs="Times New Roman"/>
              </w:rPr>
              <w:br/>
              <w:t>In summary, ICBT is recommended for complex tumors or when high precision is required, offering greater safety and efficacy compared to conventional radiotherapy.</w:t>
            </w:r>
          </w:p>
        </w:tc>
        <w:tc>
          <w:tcPr>
            <w:tcW w:w="1152" w:type="dxa"/>
            <w:vAlign w:val="center"/>
          </w:tcPr>
          <w:p w14:paraId="61BF85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B6FAB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617F5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CC1812A" w14:textId="77777777">
        <w:tc>
          <w:tcPr>
            <w:tcW w:w="2160" w:type="dxa"/>
            <w:vAlign w:val="center"/>
          </w:tcPr>
          <w:p w14:paraId="714C376E"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3F77A9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Indications for Image-Guided Brachytherapy (IGBT):  </w:t>
            </w:r>
            <w:r w:rsidRPr="00CB2EC4">
              <w:rPr>
                <w:rFonts w:ascii="Times New Roman" w:hAnsi="Times New Roman" w:cs="Times New Roman"/>
              </w:rPr>
              <w:br/>
              <w:t xml:space="preserve">  1. Large or asymmetric tumors: When tumor morphology is irregular, IGBT enables precise target coverage.  </w:t>
            </w:r>
            <w:r w:rsidRPr="00CB2EC4">
              <w:rPr>
                <w:rFonts w:ascii="Times New Roman" w:hAnsi="Times New Roman" w:cs="Times New Roman"/>
              </w:rPr>
              <w:br/>
              <w:t xml:space="preserve">  2. Poor tumor regression during radiotherapy: If inadequate response is observed, IGBT is used to boost local dose.  </w:t>
            </w:r>
            <w:r w:rsidRPr="00CB2EC4">
              <w:rPr>
                <w:rFonts w:ascii="Times New Roman" w:hAnsi="Times New Roman" w:cs="Times New Roman"/>
              </w:rPr>
              <w:br/>
              <w:t xml:space="preserve">  3. Protection of normal tissues: When strict dose </w:t>
            </w:r>
            <w:r w:rsidRPr="00CB2EC4">
              <w:rPr>
                <w:rFonts w:ascii="Times New Roman" w:hAnsi="Times New Roman" w:cs="Times New Roman"/>
              </w:rPr>
              <w:lastRenderedPageBreak/>
              <w:t xml:space="preserve">constraints for rectum/bladder are required (rectum D₂cc ≤ 75 Gy, bladder D₂cc ≤ 90 Gy).  </w:t>
            </w:r>
            <w:r w:rsidRPr="00CB2EC4">
              <w:rPr>
                <w:rFonts w:ascii="Times New Roman" w:hAnsi="Times New Roman" w:cs="Times New Roman"/>
              </w:rPr>
              <w:br/>
              <w:t xml:space="preserve">- Differences from conventional radiotherapy:  </w:t>
            </w:r>
            <w:r w:rsidRPr="00CB2EC4">
              <w:rPr>
                <w:rFonts w:ascii="Times New Roman" w:hAnsi="Times New Roman" w:cs="Times New Roman"/>
              </w:rPr>
              <w:br/>
              <w:t xml:space="preserve">  - Technical distinction: IGBT requires MRI guidance for target delineation, uses tandem + vaginal applicators or interstitial implantation, and achieves more optimized dose distribution.  </w:t>
            </w:r>
            <w:r w:rsidRPr="00CB2EC4">
              <w:rPr>
                <w:rFonts w:ascii="Times New Roman" w:hAnsi="Times New Roman" w:cs="Times New Roman"/>
              </w:rPr>
              <w:br/>
              <w:t xml:space="preserve">  - Dose precision: IGBT allows delivery of higher dose to high-risk CTV D90 (EQD₂ ≥ 87 Gy), which is difficult with conventional radiotherapy.  </w:t>
            </w:r>
            <w:r w:rsidRPr="00CB2EC4">
              <w:rPr>
                <w:rFonts w:ascii="Times New Roman" w:hAnsi="Times New Roman" w:cs="Times New Roman"/>
              </w:rPr>
              <w:br/>
              <w:t xml:space="preserve">  Evidence:  </w:t>
            </w:r>
            <w:r w:rsidRPr="00CB2EC4">
              <w:rPr>
                <w:rFonts w:ascii="Times New Roman" w:hAnsi="Times New Roman" w:cs="Times New Roman"/>
              </w:rPr>
              <w:br/>
              <w:t xml:space="preserve">  - IGBT is indicated for patients with large or asymmetric tumors ([HyDE similarity: 0.621]).  </w:t>
            </w:r>
            <w:r w:rsidRPr="00CB2EC4">
              <w:rPr>
                <w:rFonts w:ascii="Times New Roman" w:hAnsi="Times New Roman" w:cs="Times New Roman"/>
              </w:rPr>
              <w:br/>
              <w:t xml:space="preserve">  - Dose requirements and normal tissue protection criteria ([HyDE similarity: 0.621]).  </w:t>
            </w:r>
            <w:r w:rsidRPr="00CB2EC4">
              <w:rPr>
                <w:rFonts w:ascii="Times New Roman" w:hAnsi="Times New Roman" w:cs="Times New Roman"/>
              </w:rPr>
              <w:br/>
            </w:r>
            <w:r w:rsidRPr="00CB2EC4">
              <w:rPr>
                <w:rFonts w:ascii="Times New Roman" w:hAnsi="Times New Roman" w:cs="Times New Roman"/>
              </w:rPr>
              <w:br/>
              <w:t>Statement: All responses are strictly based on the provided document content; no external knowledge has been added. Where specific details (e.g., exact drug dose limits) are not explicitly stated in the document, the closest available information has been extracted.</w:t>
            </w:r>
          </w:p>
        </w:tc>
        <w:tc>
          <w:tcPr>
            <w:tcW w:w="1152" w:type="dxa"/>
            <w:vAlign w:val="center"/>
          </w:tcPr>
          <w:p w14:paraId="182792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11B05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4B632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78C3DDC" w14:textId="77777777">
        <w:tc>
          <w:tcPr>
            <w:tcW w:w="2160" w:type="dxa"/>
            <w:vAlign w:val="center"/>
          </w:tcPr>
          <w:p w14:paraId="4684FBF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6C2955B" w14:textId="77777777" w:rsidR="00922249" w:rsidRPr="00CB2EC4" w:rsidRDefault="003011D5">
            <w:pPr>
              <w:rPr>
                <w:rFonts w:ascii="Times New Roman" w:hAnsi="Times New Roman" w:cs="Times New Roman"/>
              </w:rPr>
            </w:pPr>
            <w:r w:rsidRPr="00CB2EC4">
              <w:rPr>
                <w:rFonts w:ascii="Times New Roman" w:hAnsi="Times New Roman" w:cs="Times New Roman"/>
              </w:rPr>
              <w:t>when is image-guided brachytherapy (ICBT) needed, and how does it differ from conventional radiotherapy?</w:t>
            </w:r>
            <w:r w:rsidRPr="00CB2EC4">
              <w:rPr>
                <w:rFonts w:ascii="Times New Roman" w:hAnsi="Times New Roman" w:cs="Times New Roman"/>
              </w:rPr>
              <w:br/>
            </w:r>
            <w:r w:rsidRPr="00CB2EC4">
              <w:rPr>
                <w:rFonts w:ascii="Times New Roman" w:hAnsi="Times New Roman" w:cs="Times New Roman"/>
              </w:rPr>
              <w:br/>
              <w:t>Based on document excerpts 5, 11, and 15, image-guided brachytherapy (ICBT) is primarily used in specific situations to improve precision, differing from conventional radiotherapy in technology, indications, and advantages:</w:t>
            </w:r>
            <w:r w:rsidRPr="00CB2EC4">
              <w:rPr>
                <w:rFonts w:ascii="Times New Roman" w:hAnsi="Times New Roman" w:cs="Times New Roman"/>
              </w:rPr>
              <w:br/>
            </w:r>
            <w:r w:rsidRPr="00CB2EC4">
              <w:rPr>
                <w:rFonts w:ascii="Times New Roman" w:hAnsi="Times New Roman" w:cs="Times New Roman"/>
              </w:rPr>
              <w:br/>
              <w:t>- When ICBT is needed:</w:t>
            </w:r>
            <w:r w:rsidRPr="00CB2EC4">
              <w:rPr>
                <w:rFonts w:ascii="Times New Roman" w:hAnsi="Times New Roman" w:cs="Times New Roman"/>
              </w:rPr>
              <w:br/>
              <w:t xml:space="preserve">  - Large or asymmetric tumors: Document excerpt 5 </w:t>
            </w:r>
            <w:r w:rsidRPr="00CB2EC4">
              <w:rPr>
                <w:rFonts w:ascii="Times New Roman" w:hAnsi="Times New Roman" w:cs="Times New Roman"/>
              </w:rPr>
              <w:lastRenderedPageBreak/>
              <w:t>states: "For patients with locally large and asymmetric tumors or insufficient tumor regression, interstitial implantation can increase target dose while minimizing normal tissue dose." ICBT is recommended in such cases.</w:t>
            </w:r>
            <w:r w:rsidRPr="00CB2EC4">
              <w:rPr>
                <w:rFonts w:ascii="Times New Roman" w:hAnsi="Times New Roman" w:cs="Times New Roman"/>
              </w:rPr>
              <w:br/>
              <w:t xml:space="preserve">  - Anatomical variations or inadequate dosing: When conventional radiotherapy cannot cover the target volume (e.g., due to tumor location or poor regression), ICBT ensures dose distribution (document excerpt 15).</w:t>
            </w:r>
            <w:r w:rsidRPr="00CB2EC4">
              <w:rPr>
                <w:rFonts w:ascii="Times New Roman" w:hAnsi="Times New Roman" w:cs="Times New Roman"/>
              </w:rPr>
              <w:br/>
              <w:t xml:space="preserve">  - Precise target delineation: MRI is recommended before or during ICBT to delineate residual tumor and optimize planning (document excerpts 5 and 11). For example, the D90 of the high-risk clinical target volume (HR-CTV) must reach a specific dose.</w:t>
            </w:r>
            <w:r w:rsidRPr="00CB2EC4">
              <w:rPr>
                <w:rFonts w:ascii="Times New Roman" w:hAnsi="Times New Roman" w:cs="Times New Roman"/>
              </w:rPr>
              <w:br/>
              <w:t xml:space="preserve">  - When resources permit: ICBT is a key component of radical radiotherapy, especially for treatment-naïve patients unsuitable for surgery (document excerpt 5).</w:t>
            </w:r>
            <w:r w:rsidRPr="00CB2EC4">
              <w:rPr>
                <w:rFonts w:ascii="Times New Roman" w:hAnsi="Times New Roman" w:cs="Times New Roman"/>
              </w:rPr>
              <w:br/>
            </w:r>
            <w:r w:rsidRPr="00CB2EC4">
              <w:rPr>
                <w:rFonts w:ascii="Times New Roman" w:hAnsi="Times New Roman" w:cs="Times New Roman"/>
              </w:rPr>
              <w:br/>
              <w:t>- Differences from conventional radiotherapy:</w:t>
            </w:r>
            <w:r w:rsidRPr="00CB2EC4">
              <w:rPr>
                <w:rFonts w:ascii="Times New Roman" w:hAnsi="Times New Roman" w:cs="Times New Roman"/>
              </w:rPr>
              <w:br/>
              <w:t xml:space="preserve">  - Technical differences:</w:t>
            </w:r>
            <w:r w:rsidRPr="00CB2EC4">
              <w:rPr>
                <w:rFonts w:ascii="Times New Roman" w:hAnsi="Times New Roman" w:cs="Times New Roman"/>
              </w:rPr>
              <w:br/>
              <w:t xml:space="preserve">    - ICBT: Uses real-time imaging guidance (e.g., MRI) for precise applicator placement (tandem or interstitial), with dose calculation based on 3D imaging, allowing individual adjustments. Document excerpt 5 emphasizes: "MRI before or during brachytherapy is recommended to help delineate residual tumor."</w:t>
            </w:r>
            <w:r w:rsidRPr="00CB2EC4">
              <w:rPr>
                <w:rFonts w:ascii="Times New Roman" w:hAnsi="Times New Roman" w:cs="Times New Roman"/>
              </w:rPr>
              <w:br/>
              <w:t xml:space="preserve">    - Conventional radiotherapy: Relies on standard applicators without real-time imaging guidance, leading to potentially uneven dose distribution and increased risk of normal tissue damage (e.g., rectum, bladder).</w:t>
            </w:r>
            <w:r w:rsidRPr="00CB2EC4">
              <w:rPr>
                <w:rFonts w:ascii="Times New Roman" w:hAnsi="Times New Roman" w:cs="Times New Roman"/>
              </w:rPr>
              <w:br/>
              <w:t xml:space="preserve">  - Indications: ICBT is indicated for complex cases </w:t>
            </w:r>
            <w:r w:rsidRPr="00CB2EC4">
              <w:rPr>
                <w:rFonts w:ascii="Times New Roman" w:hAnsi="Times New Roman" w:cs="Times New Roman"/>
              </w:rPr>
              <w:lastRenderedPageBreak/>
              <w:t>(e.g., asymmetric tumors or poor regression), while conventional radiotherapy is used for standard cases (document excerpt 5).</w:t>
            </w:r>
            <w:r w:rsidRPr="00CB2EC4">
              <w:rPr>
                <w:rFonts w:ascii="Times New Roman" w:hAnsi="Times New Roman" w:cs="Times New Roman"/>
              </w:rPr>
              <w:br/>
              <w:t xml:space="preserve">  - Advantages:</w:t>
            </w:r>
            <w:r w:rsidRPr="00CB2EC4">
              <w:rPr>
                <w:rFonts w:ascii="Times New Roman" w:hAnsi="Times New Roman" w:cs="Times New Roman"/>
              </w:rPr>
              <w:br/>
              <w:t xml:space="preserve">    - ICBT minimizes normal tissue dose (e.g., rectal D2cc ≤ 75 Gy), reducing complications such as fistula formation (document excerpt 5).</w:t>
            </w:r>
            <w:r w:rsidRPr="00CB2EC4">
              <w:rPr>
                <w:rFonts w:ascii="Times New Roman" w:hAnsi="Times New Roman" w:cs="Times New Roman"/>
              </w:rPr>
              <w:br/>
              <w:t xml:space="preserve">    - Conventional radiotherapy is simpler to operate but has lower precision, potentially causing late toxicity.</w:t>
            </w:r>
            <w:r w:rsidRPr="00CB2EC4">
              <w:rPr>
                <w:rFonts w:ascii="Times New Roman" w:hAnsi="Times New Roman" w:cs="Times New Roman"/>
              </w:rPr>
              <w:br/>
              <w:t xml:space="preserve">  - Dose and efficacy: ICBT allows higher target doses (EQD2 ≥ 87 Gy), improving local control; conventional radiotherapy has fixed doses, which may limit efficacy (document excerpts 5 and 15).</w:t>
            </w:r>
            <w:r w:rsidRPr="00CB2EC4">
              <w:rPr>
                <w:rFonts w:ascii="Times New Roman" w:hAnsi="Times New Roman" w:cs="Times New Roman"/>
              </w:rPr>
              <w:br/>
            </w:r>
            <w:r w:rsidRPr="00CB2EC4">
              <w:rPr>
                <w:rFonts w:ascii="Times New Roman" w:hAnsi="Times New Roman" w:cs="Times New Roman"/>
              </w:rPr>
              <w:br/>
              <w:t>In summary, ICBT is recommended when tumors are complex or high precision is required; its image guidance and individualized dosing surpass conventional radiotherapy but require specialized equipment and resources.</w:t>
            </w:r>
          </w:p>
        </w:tc>
        <w:tc>
          <w:tcPr>
            <w:tcW w:w="1152" w:type="dxa"/>
            <w:vAlign w:val="center"/>
          </w:tcPr>
          <w:p w14:paraId="21E8BC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8931D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EE0F7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AAA460D" w14:textId="77777777">
        <w:tc>
          <w:tcPr>
            <w:tcW w:w="2160" w:type="dxa"/>
            <w:vAlign w:val="center"/>
          </w:tcPr>
          <w:p w14:paraId="3A2E0FF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142757EA" w14:textId="77777777" w:rsidR="00922249" w:rsidRPr="00CB2EC4" w:rsidRDefault="003011D5">
            <w:pPr>
              <w:rPr>
                <w:rFonts w:ascii="Times New Roman" w:hAnsi="Times New Roman" w:cs="Times New Roman"/>
              </w:rPr>
            </w:pPr>
            <w:r w:rsidRPr="00CB2EC4">
              <w:rPr>
                <w:rFonts w:ascii="Times New Roman" w:hAnsi="Times New Roman" w:cs="Times New Roman"/>
              </w:rPr>
              <w:t>when is image-guided brachytherapy (IGBT) needed, and how does it differ from conventional brachytherapy?</w:t>
            </w:r>
            <w:r w:rsidRPr="00CB2EC4">
              <w:rPr>
                <w:rFonts w:ascii="Times New Roman" w:hAnsi="Times New Roman" w:cs="Times New Roman"/>
              </w:rPr>
              <w:br/>
            </w:r>
            <w:r w:rsidRPr="00CB2EC4">
              <w:rPr>
                <w:rFonts w:ascii="Times New Roman" w:hAnsi="Times New Roman" w:cs="Times New Roman"/>
              </w:rPr>
              <w:br/>
              <w:t xml:space="preserve">IGBT applicable scenarios:  </w:t>
            </w:r>
            <w:r w:rsidRPr="00CB2EC4">
              <w:rPr>
                <w:rFonts w:ascii="Times New Roman" w:hAnsi="Times New Roman" w:cs="Times New Roman"/>
              </w:rPr>
              <w:br/>
              <w:t xml:space="preserve">  - When the tumor is large, irregularly shaped, or cannot be covered by standard applicators (e.g., barrel-shaped cervix) (Document Fragment 7).  </w:t>
            </w:r>
            <w:r w:rsidRPr="00CB2EC4">
              <w:rPr>
                <w:rFonts w:ascii="Times New Roman" w:hAnsi="Times New Roman" w:cs="Times New Roman"/>
              </w:rPr>
              <w:br/>
              <w:t xml:space="preserve">  - When precise assessment of residual tumor extent is required (MRI-guided target delineation recommended) (Document Fragment 7).  </w:t>
            </w:r>
            <w:r w:rsidRPr="00CB2EC4">
              <w:rPr>
                <w:rFonts w:ascii="Times New Roman" w:hAnsi="Times New Roman" w:cs="Times New Roman"/>
              </w:rPr>
              <w:br/>
              <w:t xml:space="preserve">  - To protect normal tissues (e.g., rectum, bladder), especially in patients with prior radiotherapy history (Document Fragments 3, 7).  </w:t>
            </w:r>
            <w:r w:rsidRPr="00CB2EC4">
              <w:rPr>
                <w:rFonts w:ascii="Times New Roman" w:hAnsi="Times New Roman" w:cs="Times New Roman"/>
              </w:rPr>
              <w:br/>
            </w:r>
            <w:r w:rsidRPr="00CB2EC4">
              <w:rPr>
                <w:rFonts w:ascii="Times New Roman" w:hAnsi="Times New Roman" w:cs="Times New Roman"/>
              </w:rPr>
              <w:lastRenderedPageBreak/>
              <w:t xml:space="preserve">- Differences from conventional brachytherapy:  </w:t>
            </w:r>
            <w:r w:rsidRPr="00CB2EC4">
              <w:rPr>
                <w:rFonts w:ascii="Times New Roman" w:hAnsi="Times New Roman" w:cs="Times New Roman"/>
              </w:rPr>
              <w:br/>
              <w:t xml:space="preserve">  | Feature                  | Image-Guided Brachytherapy (IGBT) | Conventional Brachytherapy |</w:t>
            </w:r>
            <w:r w:rsidRPr="00CB2EC4">
              <w:rPr>
                <w:rFonts w:ascii="Times New Roman" w:hAnsi="Times New Roman" w:cs="Times New Roman"/>
              </w:rPr>
              <w:br/>
              <w:t xml:space="preserve">  |--------------------------|-----------------------------------|-----------------------------|</w:t>
            </w:r>
            <w:r w:rsidRPr="00CB2EC4">
              <w:rPr>
                <w:rFonts w:ascii="Times New Roman" w:hAnsi="Times New Roman" w:cs="Times New Roman"/>
              </w:rPr>
              <w:br/>
              <w:t xml:space="preserve">  | Target precision          | MRI/CT-guided, individualized HR-CTV contouring | Based on anatomical landmarks (e.g., Point A) |</w:t>
            </w:r>
            <w:r w:rsidRPr="00CB2EC4">
              <w:rPr>
                <w:rFonts w:ascii="Times New Roman" w:hAnsi="Times New Roman" w:cs="Times New Roman"/>
              </w:rPr>
              <w:br/>
              <w:t xml:space="preserve">  | Dose optimization         | Dynamic adjustment of applicator positions to optimize dose distribution | Fixed applicators, uniform dose |</w:t>
            </w:r>
            <w:r w:rsidRPr="00CB2EC4">
              <w:rPr>
                <w:rFonts w:ascii="Times New Roman" w:hAnsi="Times New Roman" w:cs="Times New Roman"/>
              </w:rPr>
              <w:br/>
              <w:t xml:space="preserve">  | Indications               | Complex tumors (large, asymmetric) | Early-stage/small tumors |</w:t>
            </w:r>
            <w:r w:rsidRPr="00CB2EC4">
              <w:rPr>
                <w:rFonts w:ascii="Times New Roman" w:hAnsi="Times New Roman" w:cs="Times New Roman"/>
              </w:rPr>
              <w:br/>
              <w:t xml:space="preserve">  | Normal tissue protection  | Strict dose limits for rectum/bladder (e.g., D₂cc ≤ 65–75 Gy) | Relies on standard dose constraints |</w:t>
            </w:r>
            <w:r w:rsidRPr="00CB2EC4">
              <w:rPr>
                <w:rFonts w:ascii="Times New Roman" w:hAnsi="Times New Roman" w:cs="Times New Roman"/>
              </w:rPr>
              <w:br/>
            </w:r>
            <w:r w:rsidRPr="00CB2EC4">
              <w:rPr>
                <w:rFonts w:ascii="Times New Roman" w:hAnsi="Times New Roman" w:cs="Times New Roman"/>
              </w:rPr>
              <w:br/>
              <w:t>&gt; Note: IGBT can improve local control rates and reduce complications (Document Fragment 7).</w:t>
            </w:r>
          </w:p>
        </w:tc>
        <w:tc>
          <w:tcPr>
            <w:tcW w:w="1152" w:type="dxa"/>
            <w:vAlign w:val="center"/>
          </w:tcPr>
          <w:p w14:paraId="446476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D1122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57092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AE969CC" w14:textId="77777777">
        <w:tc>
          <w:tcPr>
            <w:tcW w:w="2160" w:type="dxa"/>
            <w:vAlign w:val="center"/>
          </w:tcPr>
          <w:p w14:paraId="714E6112"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6EEF595" w14:textId="77777777" w:rsidR="00922249" w:rsidRPr="00CB2EC4" w:rsidRDefault="003011D5">
            <w:pPr>
              <w:rPr>
                <w:rFonts w:ascii="Times New Roman" w:hAnsi="Times New Roman" w:cs="Times New Roman"/>
              </w:rPr>
            </w:pPr>
            <w:r w:rsidRPr="00CB2EC4">
              <w:rPr>
                <w:rFonts w:ascii="Times New Roman" w:hAnsi="Times New Roman" w:cs="Times New Roman"/>
              </w:rPr>
              <w:t>when is image-guided brachytherapy (ICBT) needed, and how does it differ from conventional brachytherapy?</w:t>
            </w:r>
            <w:r w:rsidRPr="00CB2EC4">
              <w:rPr>
                <w:rFonts w:ascii="Times New Roman" w:hAnsi="Times New Roman" w:cs="Times New Roman"/>
              </w:rPr>
              <w:br/>
            </w:r>
            <w:r w:rsidRPr="00CB2EC4">
              <w:rPr>
                <w:rFonts w:ascii="Times New Roman" w:hAnsi="Times New Roman" w:cs="Times New Roman"/>
              </w:rPr>
              <w:br/>
              <w:t>- when is ICBT needed:</w:t>
            </w:r>
            <w:r w:rsidRPr="00CB2EC4">
              <w:rPr>
                <w:rFonts w:ascii="Times New Roman" w:hAnsi="Times New Roman" w:cs="Times New Roman"/>
              </w:rPr>
              <w:br/>
              <w:t xml:space="preserve">  - when anatomical variations or insufficient dose occur: ICBT is recommended when conventional brachytherapy is not feasible (e.g., due to large, asymmetric, or unusually located tumors resulting in uneven dose distribution), especially in combination with interstitial brachytherapy techniques.</w:t>
            </w:r>
            <w:r w:rsidRPr="00CB2EC4">
              <w:rPr>
                <w:rFonts w:ascii="Times New Roman" w:hAnsi="Times New Roman" w:cs="Times New Roman"/>
              </w:rPr>
              <w:br/>
              <w:t xml:space="preserve">    - (see [document fragment 4]: "When ICBT is not feasible due to anatomical variations or insufficient dose, interstitial brachytherapy should be considered")</w:t>
            </w:r>
            <w:r w:rsidRPr="00CB2EC4">
              <w:rPr>
                <w:rFonts w:ascii="Times New Roman" w:hAnsi="Times New Roman" w:cs="Times New Roman"/>
              </w:rPr>
              <w:br/>
              <w:t xml:space="preserve">  </w:t>
            </w:r>
            <w:r w:rsidRPr="00CB2EC4">
              <w:rPr>
                <w:rFonts w:ascii="Times New Roman" w:hAnsi="Times New Roman" w:cs="Times New Roman"/>
              </w:rPr>
              <w:br/>
            </w:r>
            <w:r w:rsidRPr="00CB2EC4">
              <w:rPr>
                <w:rFonts w:ascii="Times New Roman" w:hAnsi="Times New Roman" w:cs="Times New Roman"/>
              </w:rPr>
              <w:lastRenderedPageBreak/>
              <w:t xml:space="preserve">  - for precise target delineation: MRI is recommended before or during brachytherapy to delineate residual tumor areas and ensure coverage of high-risk clinical target volumes (CTV).</w:t>
            </w:r>
            <w:r w:rsidRPr="00CB2EC4">
              <w:rPr>
                <w:rFonts w:ascii="Times New Roman" w:hAnsi="Times New Roman" w:cs="Times New Roman"/>
              </w:rPr>
              <w:br/>
              <w:t xml:space="preserve">    - (see [document fragment 3]: "MRI before or during brachytherapy is recommended to help delineate residual tumor")</w:t>
            </w:r>
            <w:r w:rsidRPr="00CB2EC4">
              <w:rPr>
                <w:rFonts w:ascii="Times New Roman" w:hAnsi="Times New Roman" w:cs="Times New Roman"/>
              </w:rPr>
              <w:br/>
            </w:r>
            <w:r w:rsidRPr="00CB2EC4">
              <w:rPr>
                <w:rFonts w:ascii="Times New Roman" w:hAnsi="Times New Roman" w:cs="Times New Roman"/>
              </w:rPr>
              <w:br/>
              <w:t>- differences from conventional brachytherapy:</w:t>
            </w:r>
            <w:r w:rsidRPr="00CB2EC4">
              <w:rPr>
                <w:rFonts w:ascii="Times New Roman" w:hAnsi="Times New Roman" w:cs="Times New Roman"/>
              </w:rPr>
              <w:br/>
              <w:t xml:space="preserve">  - technical differences:</w:t>
            </w:r>
            <w:r w:rsidRPr="00CB2EC4">
              <w:rPr>
                <w:rFonts w:ascii="Times New Roman" w:hAnsi="Times New Roman" w:cs="Times New Roman"/>
              </w:rPr>
              <w:br/>
              <w:t xml:space="preserve">    - ICBT uses image guidance (e.g., CT, MRI) to optimize dose distribution in real time, ensuring precise target coverage while minimizing dose to normal tissues (e.g., rectum, bladder).</w:t>
            </w:r>
            <w:r w:rsidRPr="00CB2EC4">
              <w:rPr>
                <w:rFonts w:ascii="Times New Roman" w:hAnsi="Times New Roman" w:cs="Times New Roman"/>
              </w:rPr>
              <w:br/>
              <w:t xml:space="preserve">    - conventional brachytherapy may rely on fixed applicators (e.g., tandem and ovoids) without dynamic image-based adjustment.</w:t>
            </w:r>
            <w:r w:rsidRPr="00CB2EC4">
              <w:rPr>
                <w:rFonts w:ascii="Times New Roman" w:hAnsi="Times New Roman" w:cs="Times New Roman"/>
              </w:rPr>
              <w:br/>
              <w:t xml:space="preserve">    - (see [document fragment 3]: "For image-guided EBRT, high-dose regions must avoid normal tissues... if these parameters cannot be met, interstitial techniques should be considered")</w:t>
            </w:r>
            <w:r w:rsidRPr="00CB2EC4">
              <w:rPr>
                <w:rFonts w:ascii="Times New Roman" w:hAnsi="Times New Roman" w:cs="Times New Roman"/>
              </w:rPr>
              <w:br/>
              <w:t xml:space="preserve">  </w:t>
            </w:r>
            <w:r w:rsidRPr="00CB2EC4">
              <w:rPr>
                <w:rFonts w:ascii="Times New Roman" w:hAnsi="Times New Roman" w:cs="Times New Roman"/>
              </w:rPr>
              <w:br/>
              <w:t xml:space="preserve">  - advantages:</w:t>
            </w:r>
            <w:r w:rsidRPr="00CB2EC4">
              <w:rPr>
                <w:rFonts w:ascii="Times New Roman" w:hAnsi="Times New Roman" w:cs="Times New Roman"/>
              </w:rPr>
              <w:br/>
              <w:t xml:space="preserve">    - ICBT improves dose conformity, especially in patients with insufficient tumor regression; conventional methods may result in overdosing of normal tissues.</w:t>
            </w:r>
            <w:r w:rsidRPr="00CB2EC4">
              <w:rPr>
                <w:rFonts w:ascii="Times New Roman" w:hAnsi="Times New Roman" w:cs="Times New Roman"/>
              </w:rPr>
              <w:br/>
              <w:t xml:space="preserve">    - ICBT can be combined with interstitial techniques using multiple needles or catheters inserted under guidance to precisely irradiate the primary tumor and parametrial tissues.</w:t>
            </w:r>
            <w:r w:rsidRPr="00CB2EC4">
              <w:rPr>
                <w:rFonts w:ascii="Times New Roman" w:hAnsi="Times New Roman" w:cs="Times New Roman"/>
              </w:rPr>
              <w:br/>
              <w:t xml:space="preserve">    - (see [document fragment 4]: "Interstitial brachytherapy involves inserting multiple needles or catheters into the primary tumor and parametrial </w:t>
            </w:r>
            <w:r w:rsidRPr="00CB2EC4">
              <w:rPr>
                <w:rFonts w:ascii="Times New Roman" w:hAnsi="Times New Roman" w:cs="Times New Roman"/>
              </w:rPr>
              <w:lastRenderedPageBreak/>
              <w:t>tissues through the perineum under template guidance... ultrasound imaging is recommended during insertion to avoid injury to the bladder and rectum")</w:t>
            </w:r>
            <w:r w:rsidRPr="00CB2EC4">
              <w:rPr>
                <w:rFonts w:ascii="Times New Roman" w:hAnsi="Times New Roman" w:cs="Times New Roman"/>
              </w:rPr>
              <w:br/>
            </w:r>
            <w:r w:rsidRPr="00CB2EC4">
              <w:rPr>
                <w:rFonts w:ascii="Times New Roman" w:hAnsi="Times New Roman" w:cs="Times New Roman"/>
              </w:rPr>
              <w:br/>
              <w:t>- key point: ICBT is suitable for complex cases to improve efficacy and safety; conventional methods are more appropriate for patients with standard anatomy. The entire radiotherapy course should be completed within 8 weeks to avoid increased failure rates.</w:t>
            </w:r>
          </w:p>
        </w:tc>
        <w:tc>
          <w:tcPr>
            <w:tcW w:w="1152" w:type="dxa"/>
            <w:vAlign w:val="center"/>
          </w:tcPr>
          <w:p w14:paraId="785053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CA732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54534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9F341E7" w14:textId="77777777">
        <w:tc>
          <w:tcPr>
            <w:tcW w:w="2160" w:type="dxa"/>
            <w:vAlign w:val="center"/>
          </w:tcPr>
          <w:p w14:paraId="678CAA1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1A676093" w14:textId="77777777" w:rsidR="00922249" w:rsidRPr="00CB2EC4" w:rsidRDefault="003011D5">
            <w:pPr>
              <w:rPr>
                <w:rFonts w:ascii="Times New Roman" w:hAnsi="Times New Roman" w:cs="Times New Roman"/>
              </w:rPr>
            </w:pPr>
            <w:r w:rsidRPr="00CB2EC4">
              <w:rPr>
                <w:rFonts w:ascii="Times New Roman" w:hAnsi="Times New Roman" w:cs="Times New Roman"/>
              </w:rPr>
              <w:t>- When ICRT is needed:</w:t>
            </w:r>
            <w:r w:rsidRPr="00CB2EC4">
              <w:rPr>
                <w:rFonts w:ascii="Times New Roman" w:hAnsi="Times New Roman" w:cs="Times New Roman"/>
              </w:rPr>
              <w:br/>
              <w:t xml:space="preserve">  - Large or asymmetric tumors: When the local tumor volume is large and asymmetric, ICRT (especially with MRI guidance) enables more precise delineation of residual tumor and allows higher target dose.</w:t>
            </w:r>
            <w:r w:rsidRPr="00CB2EC4">
              <w:rPr>
                <w:rFonts w:ascii="Times New Roman" w:hAnsi="Times New Roman" w:cs="Times New Roman"/>
              </w:rPr>
              <w:br/>
              <w:t xml:space="preserve">  - Residual or recurrent tumor: MRI is recommended before or during brachytherapy to optimize dose distribution.</w:t>
            </w:r>
            <w:r w:rsidRPr="00CB2EC4">
              <w:rPr>
                <w:rFonts w:ascii="Times New Roman" w:hAnsi="Times New Roman" w:cs="Times New Roman"/>
              </w:rPr>
              <w:br/>
              <w:t xml:space="preserve">  - Need for normal tissue protection: When strict dose limits for rectum, bladder, or sigmoid colon are required (e.g., rectal D2cc ≤65–75 Gy), ICRT reduces complications.</w:t>
            </w:r>
            <w:r w:rsidRPr="00CB2EC4">
              <w:rPr>
                <w:rFonts w:ascii="Times New Roman" w:hAnsi="Times New Roman" w:cs="Times New Roman"/>
              </w:rPr>
              <w:br/>
              <w:t xml:space="preserve">  - Primary inoperable patients: For all cervical cancer patients unsuitable for surgery, ICRT is a key component of radical radiotherapy.</w:t>
            </w:r>
            <w:r w:rsidRPr="00CB2EC4">
              <w:rPr>
                <w:rFonts w:ascii="Times New Roman" w:hAnsi="Times New Roman" w:cs="Times New Roman"/>
              </w:rPr>
              <w:br/>
              <w:t>- Differences from conventional radiotherapy:</w:t>
            </w:r>
            <w:r w:rsidRPr="00CB2EC4">
              <w:rPr>
                <w:rFonts w:ascii="Times New Roman" w:hAnsi="Times New Roman" w:cs="Times New Roman"/>
              </w:rPr>
              <w:br/>
              <w:t xml:space="preserve">  - Precision and guidance: ICRT uses imaging (e.g., MRI) for real-time guidance to ensure dose accurately covers high-risk CTV; conventional radiotherapy (e.g., EBRT) relies on external beam irradiation with lower precision and higher risk of normal tissue damage.</w:t>
            </w:r>
            <w:r w:rsidRPr="00CB2EC4">
              <w:rPr>
                <w:rFonts w:ascii="Times New Roman" w:hAnsi="Times New Roman" w:cs="Times New Roman"/>
              </w:rPr>
              <w:br/>
              <w:t xml:space="preserve">  - Dose and fractionation: ICRT prescribes a dose of </w:t>
            </w:r>
            <w:r w:rsidRPr="00CB2EC4">
              <w:rPr>
                <w:rFonts w:ascii="Times New Roman" w:hAnsi="Times New Roman" w:cs="Times New Roman"/>
              </w:rPr>
              <w:lastRenderedPageBreak/>
              <w:t>80–85 Gy (equivalent dose) to point A or HR-CTV D90, delivered in 4–6 fractions; conventional EBRT uses lower doses (~45–50 Gy) given in multiple sessions.</w:t>
            </w:r>
            <w:r w:rsidRPr="00CB2EC4">
              <w:rPr>
                <w:rFonts w:ascii="Times New Roman" w:hAnsi="Times New Roman" w:cs="Times New Roman"/>
              </w:rPr>
              <w:br/>
              <w:t xml:space="preserve">  - Technique and application: ICRT can employ interstitial implantation techniques (e.g., tandem and ovoids or vaginal applicators) for irregular tumors; conventional radiotherapy is typically external beam with broad coverage but weaker local control.</w:t>
            </w:r>
            <w:r w:rsidRPr="00CB2EC4">
              <w:rPr>
                <w:rFonts w:ascii="Times New Roman" w:hAnsi="Times New Roman" w:cs="Times New Roman"/>
              </w:rPr>
              <w:br/>
              <w:t xml:space="preserve">  - Indications: ICRT is specific for intracavitary or brachytherapy applications, suitable for central tumors; conventional radiotherapy is used for whole-pelvis irradiation.</w:t>
            </w:r>
            <w:r w:rsidRPr="00CB2EC4">
              <w:rPr>
                <w:rFonts w:ascii="Times New Roman" w:hAnsi="Times New Roman" w:cs="Times New Roman"/>
              </w:rPr>
              <w:br/>
              <w:t>- Summary: ICRT is required for complex tumors or when high precision is needed; it is more accurate and individualized than conventional radiotherapy, with reduced complications.</w:t>
            </w:r>
          </w:p>
        </w:tc>
        <w:tc>
          <w:tcPr>
            <w:tcW w:w="1152" w:type="dxa"/>
            <w:vAlign w:val="center"/>
          </w:tcPr>
          <w:p w14:paraId="0AF09D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BE296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EAF66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176B315" w14:textId="77777777">
        <w:tc>
          <w:tcPr>
            <w:tcW w:w="2160" w:type="dxa"/>
            <w:vAlign w:val="center"/>
          </w:tcPr>
          <w:p w14:paraId="443416C8"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D5AC4A9" w14:textId="77777777" w:rsidR="00922249" w:rsidRPr="00CB2EC4" w:rsidRDefault="003011D5">
            <w:pPr>
              <w:rPr>
                <w:rFonts w:ascii="Times New Roman" w:hAnsi="Times New Roman" w:cs="Times New Roman"/>
              </w:rPr>
            </w:pPr>
            <w:r w:rsidRPr="00CB2EC4">
              <w:rPr>
                <w:rFonts w:ascii="Times New Roman" w:hAnsi="Times New Roman" w:cs="Times New Roman"/>
              </w:rPr>
              <w:t>when is image-guided brachytherapy (ICBT) needed, and how does it differ from conventional radiotherapy?</w:t>
            </w:r>
            <w:r w:rsidRPr="00CB2EC4">
              <w:rPr>
                <w:rFonts w:ascii="Times New Roman" w:hAnsi="Times New Roman" w:cs="Times New Roman"/>
              </w:rPr>
              <w:br/>
            </w:r>
            <w:r w:rsidRPr="00CB2EC4">
              <w:rPr>
                <w:rFonts w:ascii="Times New Roman" w:hAnsi="Times New Roman" w:cs="Times New Roman"/>
              </w:rPr>
              <w:br/>
              <w:t>- When ICBT is needed:</w:t>
            </w:r>
            <w:r w:rsidRPr="00CB2EC4">
              <w:rPr>
                <w:rFonts w:ascii="Times New Roman" w:hAnsi="Times New Roman" w:cs="Times New Roman"/>
              </w:rPr>
              <w:br/>
              <w:t xml:space="preserve">  - When the tumor volume is large, irregularly shaped, or when dose distribution is uneven with conventional intracavitary radiotherapy (e.g., cauliflower-type tumors).</w:t>
            </w:r>
            <w:r w:rsidRPr="00CB2EC4">
              <w:rPr>
                <w:rFonts w:ascii="Times New Roman" w:hAnsi="Times New Roman" w:cs="Times New Roman"/>
              </w:rPr>
              <w:br/>
              <w:t xml:space="preserve">  - When precise delineation of the high-risk clinical target volume (HR-CTV) is required, especially if residual tumor shrinkage is inadequate.</w:t>
            </w:r>
            <w:r w:rsidRPr="00CB2EC4">
              <w:rPr>
                <w:rFonts w:ascii="Times New Roman" w:hAnsi="Times New Roman" w:cs="Times New Roman"/>
              </w:rPr>
              <w:br/>
              <w:t xml:space="preserve">  - To protect normal tissues (e.g., bladder, rectum) and avoid overdosing (Document 10).</w:t>
            </w:r>
            <w:r w:rsidRPr="00CB2EC4">
              <w:rPr>
                <w:rFonts w:ascii="Times New Roman" w:hAnsi="Times New Roman" w:cs="Times New Roman"/>
              </w:rPr>
              <w:br/>
              <w:t>- Differences from conventional radiotherapy:</w:t>
            </w:r>
            <w:r w:rsidRPr="00CB2EC4">
              <w:rPr>
                <w:rFonts w:ascii="Times New Roman" w:hAnsi="Times New Roman" w:cs="Times New Roman"/>
              </w:rPr>
              <w:br/>
              <w:t xml:space="preserve">  - Technical difference: ICBT uses real-time imaging (e.g., MRI) to guide applicator placement and dose </w:t>
            </w:r>
            <w:r w:rsidRPr="00CB2EC4">
              <w:rPr>
                <w:rFonts w:ascii="Times New Roman" w:hAnsi="Times New Roman" w:cs="Times New Roman"/>
              </w:rPr>
              <w:lastRenderedPageBreak/>
              <w:t>calculation; conventional radiotherapy relies on anatomical landmarks (e.g., point A dose).</w:t>
            </w:r>
            <w:r w:rsidRPr="00CB2EC4">
              <w:rPr>
                <w:rFonts w:ascii="Times New Roman" w:hAnsi="Times New Roman" w:cs="Times New Roman"/>
              </w:rPr>
              <w:br/>
              <w:t xml:space="preserve">  - Accuracy and safety: ICBT allows individualized dose adjustment, improves tumor coverage (HR-CTV D90 EQD2 ≥ 87 Gy), while limiting normal tissue dose (e.g., rectum D2cc ≤ 65–75 Gy); conventional radiotherapy often results in dose inhomogeneity and higher complication risk (Document 10).</w:t>
            </w:r>
            <w:r w:rsidRPr="00CB2EC4">
              <w:rPr>
                <w:rFonts w:ascii="Times New Roman" w:hAnsi="Times New Roman" w:cs="Times New Roman"/>
              </w:rPr>
              <w:br/>
              <w:t xml:space="preserve">  - Applicable scenarios: ICBT is suitable for complex anatomy or recurrent tumors; conventional radiotherapy is used for standard cases (Document 10).</w:t>
            </w:r>
            <w:r w:rsidRPr="00CB2EC4">
              <w:rPr>
                <w:rFonts w:ascii="Times New Roman" w:hAnsi="Times New Roman" w:cs="Times New Roman"/>
              </w:rPr>
              <w:br/>
              <w:t>- Basis: Document 10 explicitly recommends performing MRI before or during brachytherapy and compares dose parameters.</w:t>
            </w:r>
          </w:p>
        </w:tc>
        <w:tc>
          <w:tcPr>
            <w:tcW w:w="1152" w:type="dxa"/>
            <w:vAlign w:val="center"/>
          </w:tcPr>
          <w:p w14:paraId="3E373E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85BA8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F6A06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BF36964" w14:textId="77777777">
        <w:tc>
          <w:tcPr>
            <w:tcW w:w="2160" w:type="dxa"/>
            <w:vAlign w:val="center"/>
          </w:tcPr>
          <w:p w14:paraId="01C0F35E"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244FC3E" w14:textId="77777777" w:rsidR="00922249" w:rsidRPr="00CB2EC4" w:rsidRDefault="003011D5">
            <w:pPr>
              <w:rPr>
                <w:rFonts w:ascii="Times New Roman" w:hAnsi="Times New Roman" w:cs="Times New Roman"/>
              </w:rPr>
            </w:pPr>
            <w:r w:rsidRPr="00CB2EC4">
              <w:rPr>
                <w:rFonts w:ascii="Times New Roman" w:hAnsi="Times New Roman" w:cs="Times New Roman"/>
              </w:rPr>
              <w:t>when is image-guided brachytherapy (IGBT) needed, and how does it differ from conventional brachytherapy?</w:t>
            </w:r>
            <w:r w:rsidRPr="00CB2EC4">
              <w:rPr>
                <w:rFonts w:ascii="Times New Roman" w:hAnsi="Times New Roman" w:cs="Times New Roman"/>
              </w:rPr>
              <w:br/>
            </w:r>
            <w:r w:rsidRPr="00CB2EC4">
              <w:rPr>
                <w:rFonts w:ascii="Times New Roman" w:hAnsi="Times New Roman" w:cs="Times New Roman"/>
              </w:rPr>
              <w:br/>
              <w:t>Based on the context, image-guided brachytherapy (IGBT) is used to improve precision, especially when the tumor is large, asymmetric, or residual. The main difference from conventional brachytherapy lies in the use of imaging (e.g., MRI) to define the target volume, thereby reducing damage to normal tissues.</w:t>
            </w:r>
            <w:r w:rsidRPr="00CB2EC4">
              <w:rPr>
                <w:rFonts w:ascii="Times New Roman" w:hAnsi="Times New Roman" w:cs="Times New Roman"/>
              </w:rPr>
              <w:br/>
              <w:t>- When IGBT is needed:</w:t>
            </w:r>
            <w:r w:rsidRPr="00CB2EC4">
              <w:rPr>
                <w:rFonts w:ascii="Times New Roman" w:hAnsi="Times New Roman" w:cs="Times New Roman"/>
              </w:rPr>
              <w:br/>
              <w:t xml:space="preserve">  - When the tumor volume is large, asymmetric, or cannot be adequately covered by standard applicators ("When IGBT is not feasible due to anatomical variation or insufficient dose, interstitial brachytherapy should be considered").</w:t>
            </w:r>
            <w:r w:rsidRPr="00CB2EC4">
              <w:rPr>
                <w:rFonts w:ascii="Times New Roman" w:hAnsi="Times New Roman" w:cs="Times New Roman"/>
              </w:rPr>
              <w:br/>
              <w:t xml:space="preserve">  - For precise delineation of high-risk clinical target volume (HR-CTV), especially when tumor shrinkage is insufficient or the location is complex ("MRI before </w:t>
            </w:r>
            <w:r w:rsidRPr="00CB2EC4">
              <w:rPr>
                <w:rFonts w:ascii="Times New Roman" w:hAnsi="Times New Roman" w:cs="Times New Roman"/>
              </w:rPr>
              <w:lastRenderedPageBreak/>
              <w:t>or during brachytherapy is recommended to help delineate residual tumor").</w:t>
            </w:r>
            <w:r w:rsidRPr="00CB2EC4">
              <w:rPr>
                <w:rFonts w:ascii="Times New Roman" w:hAnsi="Times New Roman" w:cs="Times New Roman"/>
              </w:rPr>
              <w:br/>
              <w:t xml:space="preserve">  - When resources permit, image guidance is routinely recommended to ensure dose accuracy ("If image guidance is used, the dose is typically prescribed based on point A or the HR-CTV").</w:t>
            </w:r>
            <w:r w:rsidRPr="00CB2EC4">
              <w:rPr>
                <w:rFonts w:ascii="Times New Roman" w:hAnsi="Times New Roman" w:cs="Times New Roman"/>
              </w:rPr>
              <w:br/>
              <w:t>- Differences from conventional brachytherapy:</w:t>
            </w:r>
            <w:r w:rsidRPr="00CB2EC4">
              <w:rPr>
                <w:rFonts w:ascii="Times New Roman" w:hAnsi="Times New Roman" w:cs="Times New Roman"/>
              </w:rPr>
              <w:br/>
              <w:t xml:space="preserve">  - Target volume definition: IGBT uses MRI or CT to precisely delineate the HR-CTV, whereas conventional brachytherapy may rely on anatomical landmarks (e.g., point A) to deliver a fixed dose.</w:t>
            </w:r>
            <w:r w:rsidRPr="00CB2EC4">
              <w:rPr>
                <w:rFonts w:ascii="Times New Roman" w:hAnsi="Times New Roman" w:cs="Times New Roman"/>
              </w:rPr>
              <w:br/>
              <w:t xml:space="preserve">  - Dose accuracy: IGBT allows individualized prescription (e.g., D90) to ensure sufficient dose (80–85 Gy EQD2) to the tumor while limiting dose to normal tissues (e.g., rectum D2cc ≤ 65–75 Gy). Conventional brachytherapy may lack this precision, increasing the risk of complications.</w:t>
            </w:r>
            <w:r w:rsidRPr="00CB2EC4">
              <w:rPr>
                <w:rFonts w:ascii="Times New Roman" w:hAnsi="Times New Roman" w:cs="Times New Roman"/>
              </w:rPr>
              <w:br/>
              <w:t xml:space="preserve">  - Technique and application: IGBT supports interstitial implantation for irregular tumors, while conventional ICBT uses standard applicators (tandem and ovoids). IGBT is also used for conformal radiotherapy (e.g., IMRT) to reduce scatter.</w:t>
            </w:r>
            <w:r w:rsidRPr="00CB2EC4">
              <w:rPr>
                <w:rFonts w:ascii="Times New Roman" w:hAnsi="Times New Roman" w:cs="Times New Roman"/>
              </w:rPr>
              <w:br/>
              <w:t xml:space="preserve">  - Efficacy and safety: IGBT can improve local control and reduce pelvic recurrence rates; conventional brachytherapy may increase failure risk if treatment duration exceeds 9–10 weeks.</w:t>
            </w:r>
            <w:r w:rsidRPr="00CB2EC4">
              <w:rPr>
                <w:rFonts w:ascii="Times New Roman" w:hAnsi="Times New Roman" w:cs="Times New Roman"/>
              </w:rPr>
              <w:br/>
              <w:t>- Summary: IGBT is recommended for complex tumors to enhance precision; unlike conventional brachytherapy, it emphasizes image-guided individualized treatment to reduce toxicity.</w:t>
            </w:r>
          </w:p>
        </w:tc>
        <w:tc>
          <w:tcPr>
            <w:tcW w:w="1152" w:type="dxa"/>
            <w:vAlign w:val="center"/>
          </w:tcPr>
          <w:p w14:paraId="0B8DBE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7E44F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CC0CF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A64848A" w14:textId="77777777">
        <w:tc>
          <w:tcPr>
            <w:tcW w:w="2160" w:type="dxa"/>
            <w:vAlign w:val="center"/>
          </w:tcPr>
          <w:p w14:paraId="041EF0F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20F83E2" w14:textId="77777777" w:rsidR="00922249" w:rsidRPr="00CB2EC4" w:rsidRDefault="003011D5">
            <w:pPr>
              <w:rPr>
                <w:rFonts w:ascii="Times New Roman" w:hAnsi="Times New Roman" w:cs="Times New Roman"/>
              </w:rPr>
            </w:pPr>
            <w:r w:rsidRPr="00CB2EC4">
              <w:rPr>
                <w:rFonts w:ascii="Times New Roman" w:hAnsi="Times New Roman" w:cs="Times New Roman"/>
              </w:rPr>
              <w:t>when is image-guided brachytherapy (IGBT) needed, and how does it differ from conventional brachytherapy?</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Image-guided brachytherapy (IGBT) is recommended for tumors with irregular shapes, those adjacent to critical organs (such as the bladder or rectum), or cases requiring high-precision dose optimization (e.g., locally advanced or recurrent cervical cancer). Compared with conventional brachytherapy, IGBT uses real-time imaging (such as CT or MRI) to guide applicator placement and dose calculation, achieving more precise target coverage and reducing normal tissue injury; whereas conventional brachytherapy relies on manual operation and two-dimensional imaging, resulting in lower accuracy.</w:t>
            </w:r>
          </w:p>
        </w:tc>
        <w:tc>
          <w:tcPr>
            <w:tcW w:w="1152" w:type="dxa"/>
            <w:vAlign w:val="center"/>
          </w:tcPr>
          <w:p w14:paraId="18433F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6E81F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21B3F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82EEF22" w14:textId="77777777">
        <w:tc>
          <w:tcPr>
            <w:tcW w:w="10656" w:type="dxa"/>
            <w:gridSpan w:val="5"/>
            <w:tcBorders>
              <w:bottom w:val="single" w:sz="6" w:space="0" w:color="auto"/>
            </w:tcBorders>
            <w:vAlign w:val="center"/>
          </w:tcPr>
          <w:p w14:paraId="1D3D6A9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81: What are the methods for monitoring recurrence after treatment of cervical cancer? Is routine imaging recommended.</w:t>
            </w:r>
          </w:p>
        </w:tc>
      </w:tr>
      <w:tr w:rsidR="00922249" w:rsidRPr="00CB2EC4" w14:paraId="108879C0" w14:textId="77777777">
        <w:tc>
          <w:tcPr>
            <w:tcW w:w="2160" w:type="dxa"/>
            <w:vAlign w:val="center"/>
          </w:tcPr>
          <w:p w14:paraId="1B98C1B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E4D806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Methods for monitoring recurrence after cervical cancer treatment:  </w:t>
            </w:r>
            <w:r w:rsidRPr="00CB2EC4">
              <w:rPr>
                <w:rFonts w:ascii="Times New Roman" w:hAnsi="Times New Roman" w:cs="Times New Roman"/>
              </w:rPr>
              <w:br/>
              <w:t xml:space="preserve">- Regular follow-up: Monthly visits for the first 3 months after treatment in year 1, then every 3 months; every 6 months in year 2; annually in year 3. Prompt investigation is required if any symptoms appear during follow-up.  </w:t>
            </w:r>
            <w:r w:rsidRPr="00CB2EC4">
              <w:rPr>
                <w:rFonts w:ascii="Times New Roman" w:hAnsi="Times New Roman" w:cs="Times New Roman"/>
              </w:rPr>
              <w:br/>
              <w:t xml:space="preserve">- Physical examination: Includes assessment of general condition, mental status, superficial lymph nodes (whole body), abdominal palpation (to detect para-aortic masses, hepatosplenomegaly), and lower limb edema examination.  </w:t>
            </w:r>
            <w:r w:rsidRPr="00CB2EC4">
              <w:rPr>
                <w:rFonts w:ascii="Times New Roman" w:hAnsi="Times New Roman" w:cs="Times New Roman"/>
              </w:rPr>
              <w:br/>
              <w:t xml:space="preserve">- Gynecological examination: Focuses on inspection of vulva, vagina, vaginal vault, and local cervical tumor disappearance; attention to recurrence (often presenting as nodular, firm masses, distinguished from post-radiation fibrosis).  </w:t>
            </w:r>
            <w:r w:rsidRPr="00CB2EC4">
              <w:rPr>
                <w:rFonts w:ascii="Times New Roman" w:hAnsi="Times New Roman" w:cs="Times New Roman"/>
              </w:rPr>
              <w:br/>
              <w:t xml:space="preserve">- Auxiliary examinations:  </w:t>
            </w:r>
            <w:r w:rsidRPr="00CB2EC4">
              <w:rPr>
                <w:rFonts w:ascii="Times New Roman" w:hAnsi="Times New Roman" w:cs="Times New Roman"/>
              </w:rPr>
              <w:br/>
            </w:r>
            <w:r w:rsidRPr="00CB2EC4">
              <w:rPr>
                <w:rFonts w:ascii="Times New Roman" w:hAnsi="Times New Roman" w:cs="Times New Roman"/>
              </w:rPr>
              <w:lastRenderedPageBreak/>
              <w:t xml:space="preserve">  - Cytological examination: Vaginal apex/cervical cytology should be performed at every follow-up to detect early central recurrence. Interpretation of cytology results is challenging in post-radiation patients; histological confirmation is required.  </w:t>
            </w:r>
            <w:r w:rsidRPr="00CB2EC4">
              <w:rPr>
                <w:rFonts w:ascii="Times New Roman" w:hAnsi="Times New Roman" w:cs="Times New Roman"/>
              </w:rPr>
              <w:br/>
              <w:t xml:space="preserve">  - Biopsy: Histological confirmation of recurrence is necessary; biopsy should be performed 3 months after completion of radiotherapy. Needle aspiration biopsy may be used for suspicious sites (e.g., supraclavicular lymph nodes, parametrium, para-aortic region, liver metastases) under image guidance.  </w:t>
            </w:r>
            <w:r w:rsidRPr="00CB2EC4">
              <w:rPr>
                <w:rFonts w:ascii="Times New Roman" w:hAnsi="Times New Roman" w:cs="Times New Roman"/>
              </w:rPr>
              <w:br/>
              <w:t xml:space="preserve">  - Selective imaging: Based on symptoms, signs, or suspicious recurrence sites, selective imaging such as chest X-ray, ultrasound, CT, creatinine clearance, and liver function tests are performed. For example, bone scan is recommended for suspected bone metastasis; cystoscopy or colonoscopy for suspected bladder or rectal involvement.  </w:t>
            </w:r>
            <w:r w:rsidRPr="00CB2EC4">
              <w:rPr>
                <w:rFonts w:ascii="Times New Roman" w:hAnsi="Times New Roman" w:cs="Times New Roman"/>
              </w:rPr>
              <w:br/>
            </w:r>
            <w:r w:rsidRPr="00CB2EC4">
              <w:rPr>
                <w:rFonts w:ascii="Times New Roman" w:hAnsi="Times New Roman" w:cs="Times New Roman"/>
              </w:rPr>
              <w:br/>
              <w:t>Is routine imaging recommended? No. Routine imaging (e.g., CT or PET/CT) is not recommended as part of standard follow-up. Imaging is performed selectively only when symptoms, signs, or suspicious recurrence sites are present, to avoid unnecessary radiation exposure and costs. No evidence supports routine imaging for asymptomatic patients.</w:t>
            </w:r>
          </w:p>
        </w:tc>
        <w:tc>
          <w:tcPr>
            <w:tcW w:w="1152" w:type="dxa"/>
            <w:vAlign w:val="center"/>
          </w:tcPr>
          <w:p w14:paraId="0E4486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5E3F4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1D4F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3589FE" w14:textId="77777777">
        <w:tc>
          <w:tcPr>
            <w:tcW w:w="2160" w:type="dxa"/>
            <w:vAlign w:val="center"/>
          </w:tcPr>
          <w:p w14:paraId="5EB372C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547D0D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Follow-up methods:  </w:t>
            </w:r>
            <w:r w:rsidRPr="00CB2EC4">
              <w:rPr>
                <w:rFonts w:ascii="Times New Roman" w:hAnsi="Times New Roman" w:cs="Times New Roman"/>
              </w:rPr>
              <w:br/>
              <w:t xml:space="preserve">   - Physical examination: Gynecological examination (bimanual/trimanual) must be performed at each follow-up visit to inspect the vulva, vagina, cervix/vaginal cuff, and assess for nodular induration in the parametrial tissues.  </w:t>
            </w:r>
            <w:r w:rsidRPr="00CB2EC4">
              <w:rPr>
                <w:rFonts w:ascii="Times New Roman" w:hAnsi="Times New Roman" w:cs="Times New Roman"/>
              </w:rPr>
              <w:br/>
              <w:t xml:space="preserve">   - Ancillary examinations:  </w:t>
            </w:r>
            <w:r w:rsidRPr="00CB2EC4">
              <w:rPr>
                <w:rFonts w:ascii="Times New Roman" w:hAnsi="Times New Roman" w:cs="Times New Roman"/>
              </w:rPr>
              <w:br/>
              <w:t xml:space="preserve">     - Vaginal cytology: Vaginal apex/cervical cytology </w:t>
            </w:r>
            <w:r w:rsidRPr="00CB2EC4">
              <w:rPr>
                <w:rFonts w:ascii="Times New Roman" w:hAnsi="Times New Roman" w:cs="Times New Roman"/>
              </w:rPr>
              <w:lastRenderedPageBreak/>
              <w:t xml:space="preserve">(e.g., TCT) should be performed at each follow-up visit; however, caution is required in interpretation for post-radiotherapy patients due to potential interference from radiation effects.  </w:t>
            </w:r>
            <w:r w:rsidRPr="00CB2EC4">
              <w:rPr>
                <w:rFonts w:ascii="Times New Roman" w:hAnsi="Times New Roman" w:cs="Times New Roman"/>
              </w:rPr>
              <w:br/>
              <w:t xml:space="preserve">     - Histological biopsy: Biopsy is required when recurrence is suspected (at least 3 months after radiotherapy completion), including needle aspiration biopsy (e.g., of supraclavicular lymph nodes, parametrium, para-aortic region, or liver metastases under imaging guidance).  </w:t>
            </w:r>
            <w:r w:rsidRPr="00CB2EC4">
              <w:rPr>
                <w:rFonts w:ascii="Times New Roman" w:hAnsi="Times New Roman" w:cs="Times New Roman"/>
              </w:rPr>
              <w:br/>
              <w:t xml:space="preserve">     - Imaging examinations: Performed selectively based on symptoms/signs, including chest X-ray, ultrasound, CT, MRI, or PET-CT (to evaluate metastatic lesions).  </w:t>
            </w:r>
            <w:r w:rsidRPr="00CB2EC4">
              <w:rPr>
                <w:rFonts w:ascii="Times New Roman" w:hAnsi="Times New Roman" w:cs="Times New Roman"/>
              </w:rPr>
              <w:br/>
              <w:t xml:space="preserve">2. Recommendation for routine imaging:  </w:t>
            </w:r>
            <w:r w:rsidRPr="00CB2EC4">
              <w:rPr>
                <w:rFonts w:ascii="Times New Roman" w:hAnsi="Times New Roman" w:cs="Times New Roman"/>
              </w:rPr>
              <w:br/>
              <w:t xml:space="preserve">   - Routine imaging is not recommended unconditionally. Imaging should be used only when recurrence is suspected (e.g., based on symptoms, physical findings, or abnormal cytology), such as:  </w:t>
            </w:r>
            <w:r w:rsidRPr="00CB2EC4">
              <w:rPr>
                <w:rFonts w:ascii="Times New Roman" w:hAnsi="Times New Roman" w:cs="Times New Roman"/>
              </w:rPr>
              <w:br/>
              <w:t xml:space="preserve">     - Pelvic MRI or CT may be considered for patients at high risk of pelvic recurrence (e.g., initial tumor &gt;4 cm, deep stromal invasion) (block 35).  </w:t>
            </w:r>
            <w:r w:rsidRPr="00CB2EC4">
              <w:rPr>
                <w:rFonts w:ascii="Times New Roman" w:hAnsi="Times New Roman" w:cs="Times New Roman"/>
              </w:rPr>
              <w:br/>
              <w:t xml:space="preserve">     - Assessment of distant metastasis requires chest-abdomen-pelvis CT or PET-CT (block 5).  </w:t>
            </w:r>
            <w:r w:rsidRPr="00CB2EC4">
              <w:rPr>
                <w:rFonts w:ascii="Times New Roman" w:hAnsi="Times New Roman" w:cs="Times New Roman"/>
              </w:rPr>
              <w:br/>
            </w:r>
            <w:r w:rsidRPr="00CB2EC4">
              <w:rPr>
                <w:rFonts w:ascii="Times New Roman" w:hAnsi="Times New Roman" w:cs="Times New Roman"/>
              </w:rPr>
              <w:br/>
              <w:t>&gt; Source: Block 567 (post-treatment follow-up protocol), Block 568 (recurrence diagnosis and management), Block 5 (diagnostic examination principles).</w:t>
            </w:r>
          </w:p>
        </w:tc>
        <w:tc>
          <w:tcPr>
            <w:tcW w:w="1152" w:type="dxa"/>
            <w:vAlign w:val="center"/>
          </w:tcPr>
          <w:p w14:paraId="4F2425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8C8CF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ABDF3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AD41017" w14:textId="77777777">
        <w:tc>
          <w:tcPr>
            <w:tcW w:w="2160" w:type="dxa"/>
            <w:vAlign w:val="center"/>
          </w:tcPr>
          <w:p w14:paraId="04FBB556"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768527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 Monitoring methods:  </w:t>
            </w:r>
            <w:r w:rsidRPr="00CB2EC4">
              <w:rPr>
                <w:rFonts w:ascii="Times New Roman" w:hAnsi="Times New Roman" w:cs="Times New Roman"/>
              </w:rPr>
              <w:br/>
              <w:t xml:space="preserve">  - Physical examination: Conducted at each follow-up visit, including systemic and pelvic examination. This involves inquiring about symptoms, observing mental </w:t>
            </w:r>
            <w:r w:rsidRPr="00CB2EC4">
              <w:rPr>
                <w:rFonts w:ascii="Times New Roman" w:hAnsi="Times New Roman" w:cs="Times New Roman"/>
              </w:rPr>
              <w:lastRenderedPageBreak/>
              <w:t xml:space="preserve">status, examining superficial lymph nodes, abdominal palpation (e.g., for masses or hepatosplenomegaly), and pelvic examination (observing vulva, vagina, cervix, and other local findings). This is a primary method for detecting recurrence (document fragments 5, 15).  </w:t>
            </w:r>
            <w:r w:rsidRPr="00CB2EC4">
              <w:rPr>
                <w:rFonts w:ascii="Times New Roman" w:hAnsi="Times New Roman" w:cs="Times New Roman"/>
              </w:rPr>
              <w:br/>
              <w:t xml:space="preserve">  - Cytological examination: Vaginal vault/cervical cytology (e.g., Pap smear) should be performed at every follow-up visit to detect early central recurrence (document fragments 1, 5).  </w:t>
            </w:r>
            <w:r w:rsidRPr="00CB2EC4">
              <w:rPr>
                <w:rFonts w:ascii="Times New Roman" w:hAnsi="Times New Roman" w:cs="Times New Roman"/>
              </w:rPr>
              <w:br/>
              <w:t xml:space="preserve">  - Imaging examinations: Optional methods include chest X-ray, ultrasound, CT, MRI, or PET/CT, but these are used selectively only when symptoms, signs, or suspicious recurrence sites are present (document fragments 1, 5, 14, 17). For example, chest radiography may be used to monitor potential pulmonary lesions; ultrasound- or CT-guided needle aspiration biopsy can be used for parametrial recurrence, para-aortic lymph node metastasis, or liver metastasis (document fragment 1).  </w:t>
            </w:r>
            <w:r w:rsidRPr="00CB2EC4">
              <w:rPr>
                <w:rFonts w:ascii="Times New Roman" w:hAnsi="Times New Roman" w:cs="Times New Roman"/>
              </w:rPr>
              <w:br/>
              <w:t xml:space="preserve">  - Other examinations: Based on symptoms and risk factors, selective tests such as chest X-ray, ultrasound, CT, creatinine clearance, liver function, etc., may be performed (document fragment 1). Hematological tests (e.g., complete blood count, liver and kidney function) are also used for assessment (document fragment 14).  </w:t>
            </w:r>
            <w:r w:rsidRPr="00CB2EC4">
              <w:rPr>
                <w:rFonts w:ascii="Times New Roman" w:hAnsi="Times New Roman" w:cs="Times New Roman"/>
              </w:rPr>
              <w:br/>
              <w:t xml:space="preserve">- Is routine imaging recommended? No. Routine imaging examinations (e.g., chest X-ray, CT) are not recommended as standard follow-up for asymptomatic patients. The documents explicitly state that routine imaging is unnecessary (document fragment 15), and frequent imaging (e.g., chest X-ray) does not significantly improve early recurrence detection rates </w:t>
            </w:r>
            <w:r w:rsidRPr="00CB2EC4">
              <w:rPr>
                <w:rFonts w:ascii="Times New Roman" w:hAnsi="Times New Roman" w:cs="Times New Roman"/>
              </w:rPr>
              <w:lastRenderedPageBreak/>
              <w:t xml:space="preserve">and is not recommended in routine follow-up (document fragments 15, 29). Imaging should be used selectively based on recurrence risk factors (e.g., positive lymph nodes, positive margins) or symptoms (e.g., abnormal bleeding, pain) (document fragments 14, 15).  </w:t>
            </w:r>
            <w:r w:rsidRPr="00CB2EC4">
              <w:rPr>
                <w:rFonts w:ascii="Times New Roman" w:hAnsi="Times New Roman" w:cs="Times New Roman"/>
              </w:rPr>
              <w:br/>
            </w:r>
            <w:r w:rsidRPr="00CB2EC4">
              <w:rPr>
                <w:rFonts w:ascii="Times New Roman" w:hAnsi="Times New Roman" w:cs="Times New Roman"/>
              </w:rPr>
              <w:br/>
              <w:t>In summary, monitoring relies primarily on physical and cytological examinations; imaging is reserved for symptomatic or high-risk patients to avoid unnecessary resource utilization.</w:t>
            </w:r>
          </w:p>
        </w:tc>
        <w:tc>
          <w:tcPr>
            <w:tcW w:w="1152" w:type="dxa"/>
            <w:vAlign w:val="center"/>
          </w:tcPr>
          <w:p w14:paraId="0830C8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28B4F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88C4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3756ACE" w14:textId="77777777">
        <w:tc>
          <w:tcPr>
            <w:tcW w:w="2160" w:type="dxa"/>
            <w:vAlign w:val="center"/>
          </w:tcPr>
          <w:p w14:paraId="2479FEE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77348E66"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methods for monitoring recurrence after cervical cancer treatment? is routine imaging recommended?</w:t>
            </w:r>
            <w:r w:rsidRPr="00CB2EC4">
              <w:rPr>
                <w:rFonts w:ascii="Times New Roman" w:hAnsi="Times New Roman" w:cs="Times New Roman"/>
              </w:rPr>
              <w:br/>
            </w:r>
            <w:r w:rsidRPr="00CB2EC4">
              <w:rPr>
                <w:rFonts w:ascii="Times New Roman" w:hAnsi="Times New Roman" w:cs="Times New Roman"/>
              </w:rPr>
              <w:br/>
              <w:t xml:space="preserve">knowledge base contributions:  </w:t>
            </w:r>
            <w:r w:rsidRPr="00CB2EC4">
              <w:rPr>
                <w:rFonts w:ascii="Times New Roman" w:hAnsi="Times New Roman" w:cs="Times New Roman"/>
              </w:rPr>
              <w:br/>
              <w:t xml:space="preserve">- follow-up requires physical examination (including gynecological bimanual/trimanual examination) and cytological examination of the vaginal vault/cervix; however, cytological assessment is difficult after radiotherapy, and biopsy confirmation is needed (biopsy should be performed at least 3 months after completion of radiotherapy).  </w:t>
            </w:r>
            <w:r w:rsidRPr="00CB2EC4">
              <w:rPr>
                <w:rFonts w:ascii="Times New Roman" w:hAnsi="Times New Roman" w:cs="Times New Roman"/>
              </w:rPr>
              <w:br/>
              <w:t xml:space="preserve">- selective imaging such as chest X-ray, ultrasound, CT, or MRI is performed for suspicious recurrence sites; metastasis to supraclavicular lymph nodes, parametrium, or para-aortic regions can be diagnosed by needle biopsy.  </w:t>
            </w:r>
            <w:r w:rsidRPr="00CB2EC4">
              <w:rPr>
                <w:rFonts w:ascii="Times New Roman" w:hAnsi="Times New Roman" w:cs="Times New Roman"/>
              </w:rPr>
              <w:br/>
            </w:r>
            <w:r w:rsidRPr="00CB2EC4">
              <w:rPr>
                <w:rFonts w:ascii="Times New Roman" w:hAnsi="Times New Roman" w:cs="Times New Roman"/>
              </w:rPr>
              <w:br/>
              <w:t xml:space="preserve">web search results contributions:  </w:t>
            </w:r>
            <w:r w:rsidRPr="00CB2EC4">
              <w:rPr>
                <w:rFonts w:ascii="Times New Roman" w:hAnsi="Times New Roman" w:cs="Times New Roman"/>
              </w:rPr>
              <w:br/>
              <w:t xml:space="preserve">- routine follow-up frequency: every 3–4 months for the first 2–3 years after treatment, then every 6 months up to 5 years, and annually thereafter.  </w:t>
            </w:r>
            <w:r w:rsidRPr="00CB2EC4">
              <w:rPr>
                <w:rFonts w:ascii="Times New Roman" w:hAnsi="Times New Roman" w:cs="Times New Roman"/>
              </w:rPr>
              <w:br/>
              <w:t xml:space="preserve">- indications for imaging:  </w:t>
            </w:r>
            <w:r w:rsidRPr="00CB2EC4">
              <w:rPr>
                <w:rFonts w:ascii="Times New Roman" w:hAnsi="Times New Roman" w:cs="Times New Roman"/>
              </w:rPr>
              <w:br/>
            </w:r>
            <w:r w:rsidRPr="00CB2EC4">
              <w:rPr>
                <w:rFonts w:ascii="Times New Roman" w:hAnsi="Times New Roman" w:cs="Times New Roman"/>
              </w:rPr>
              <w:lastRenderedPageBreak/>
              <w:t xml:space="preserve">  - stage i postoperative high-risk/intermediate-risk patients: PET-CT (preferred) or CT/MRI may be performed 3–6 months after treatment completion.  </w:t>
            </w:r>
            <w:r w:rsidRPr="00CB2EC4">
              <w:rPr>
                <w:rFonts w:ascii="Times New Roman" w:hAnsi="Times New Roman" w:cs="Times New Roman"/>
              </w:rPr>
              <w:br/>
              <w:t xml:space="preserve">  - stage ii–iv: PET-CT (preferred) or chest/abdomen/pelvis CT is required within 3–6 months after treatment completion.  </w:t>
            </w:r>
            <w:r w:rsidRPr="00CB2EC4">
              <w:rPr>
                <w:rFonts w:ascii="Times New Roman" w:hAnsi="Times New Roman" w:cs="Times New Roman"/>
              </w:rPr>
              <w:br/>
              <w:t xml:space="preserve">  - routine imaging is not recommended for asymptomatic patients; it is targeted to those with suspected recurrence or high-risk features (e.g., original lymph node involvement).  </w:t>
            </w:r>
            <w:r w:rsidRPr="00CB2EC4">
              <w:rPr>
                <w:rFonts w:ascii="Times New Roman" w:hAnsi="Times New Roman" w:cs="Times New Roman"/>
              </w:rPr>
              <w:br/>
            </w:r>
            <w:r w:rsidRPr="00CB2EC4">
              <w:rPr>
                <w:rFonts w:ascii="Times New Roman" w:hAnsi="Times New Roman" w:cs="Times New Roman"/>
              </w:rPr>
              <w:br/>
              <w:t xml:space="preserve">conclusion:  </w:t>
            </w:r>
            <w:r w:rsidRPr="00CB2EC4">
              <w:rPr>
                <w:rFonts w:ascii="Times New Roman" w:hAnsi="Times New Roman" w:cs="Times New Roman"/>
              </w:rPr>
              <w:br/>
              <w:t>&gt; monitoring is primarily based on clinical examination; imaging is not routinely recommended and is used only for high-risk patients or when symptoms/signs appear (e.g., pelvic mass, bone pain). confirmation of recurrence relies on histopathological examination.</w:t>
            </w:r>
          </w:p>
        </w:tc>
        <w:tc>
          <w:tcPr>
            <w:tcW w:w="1152" w:type="dxa"/>
            <w:vAlign w:val="center"/>
          </w:tcPr>
          <w:p w14:paraId="3647DE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E3E59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FA3F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41D460" w14:textId="77777777">
        <w:tc>
          <w:tcPr>
            <w:tcW w:w="2160" w:type="dxa"/>
            <w:vAlign w:val="center"/>
          </w:tcPr>
          <w:p w14:paraId="7A8F4CE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685513E"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Methods for monitoring recurrence after cervical cancer treatment include:</w:t>
            </w:r>
            <w:r w:rsidRPr="00CB2EC4">
              <w:rPr>
                <w:rFonts w:ascii="Times New Roman" w:hAnsi="Times New Roman" w:cs="Times New Roman"/>
              </w:rPr>
              <w:br/>
              <w:t>- Cytological examination: Vaginal apex/cervical cytology should be performed at each follow-up visit to detect early central recurrence.</w:t>
            </w:r>
            <w:r w:rsidRPr="00CB2EC4">
              <w:rPr>
                <w:rFonts w:ascii="Times New Roman" w:hAnsi="Times New Roman" w:cs="Times New Roman"/>
              </w:rPr>
              <w:br/>
              <w:t xml:space="preserve">- Histological biopsy: Histological confirmation of tumor recurrence is necessary. Biopsy should be performed at least 3 months after completion of radiotherapy. Fine needle aspiration is an effective method and can be used for different sites (e.g., direct needle aspiration biopsy for enlarged supraclavicular lymph nodes; CT-guided fine needle aspiration biopsy for suspected parametrial recurrence; ultrasound- or CT-guided fine needle aspiration biopsy for suspected </w:t>
            </w:r>
            <w:r w:rsidRPr="00CB2EC4">
              <w:rPr>
                <w:rFonts w:ascii="Times New Roman" w:hAnsi="Times New Roman" w:cs="Times New Roman"/>
              </w:rPr>
              <w:lastRenderedPageBreak/>
              <w:t>para-aortic lymph node metastasis or liver metastasis; cervical canal curettage for suspected cervical canal recurrence).</w:t>
            </w:r>
            <w:r w:rsidRPr="00CB2EC4">
              <w:rPr>
                <w:rFonts w:ascii="Times New Roman" w:hAnsi="Times New Roman" w:cs="Times New Roman"/>
              </w:rPr>
              <w:br/>
              <w:t>- Imaging examinations: Based on symptoms, signs, and suspected recurrence sites, selective imaging such as chest X-ray, ultrasound, CT, MRI, or PET/CT should be performed. For example, chest radiography is used to monitor pulmonary lesions; ultrasound, CT, or MRI are used to assess metastases.</w:t>
            </w:r>
            <w:r w:rsidRPr="00CB2EC4">
              <w:rPr>
                <w:rFonts w:ascii="Times New Roman" w:hAnsi="Times New Roman" w:cs="Times New Roman"/>
              </w:rPr>
              <w:br/>
              <w:t>- Other tests: Including tumor marker detection (e.g., SCC, CEA), HPV testing, creatinine clearance, and liver function tests.</w:t>
            </w:r>
            <w:r w:rsidRPr="00CB2EC4">
              <w:rPr>
                <w:rFonts w:ascii="Times New Roman" w:hAnsi="Times New Roman" w:cs="Times New Roman"/>
              </w:rPr>
              <w:br/>
            </w:r>
            <w:r w:rsidRPr="00CB2EC4">
              <w:rPr>
                <w:rFonts w:ascii="Times New Roman" w:hAnsi="Times New Roman" w:cs="Times New Roman"/>
              </w:rPr>
              <w:br/>
              <w:t>Is routine imaging recommended?</w:t>
            </w:r>
            <w:r w:rsidRPr="00CB2EC4">
              <w:rPr>
                <w:rFonts w:ascii="Times New Roman" w:hAnsi="Times New Roman" w:cs="Times New Roman"/>
              </w:rPr>
              <w:br/>
              <w:t>Routine imaging is not recommended as a standardized follow-up method for all patients. Imaging examinations are performed selectively based on symptoms, signs, and suspected recurrence sites. This is because the application of imaging modalities (e.g., CT, MRI) is limited by medical equipment availability and patient financial circumstances, and routine use may be unnecessary. Therefore, guidelines emphasize targeted examinations rather than routine imaging.</w:t>
            </w:r>
          </w:p>
        </w:tc>
        <w:tc>
          <w:tcPr>
            <w:tcW w:w="1152" w:type="dxa"/>
            <w:vAlign w:val="center"/>
          </w:tcPr>
          <w:p w14:paraId="238A9A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675D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8A49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BBC3F0" w14:textId="77777777">
        <w:tc>
          <w:tcPr>
            <w:tcW w:w="2160" w:type="dxa"/>
            <w:vAlign w:val="center"/>
          </w:tcPr>
          <w:p w14:paraId="477D15DB"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4BC4821" w14:textId="77777777" w:rsidR="00922249" w:rsidRPr="00CB2EC4" w:rsidRDefault="003011D5">
            <w:pPr>
              <w:rPr>
                <w:rFonts w:ascii="Times New Roman" w:hAnsi="Times New Roman" w:cs="Times New Roman"/>
              </w:rPr>
            </w:pPr>
            <w:r w:rsidRPr="00CB2EC4">
              <w:rPr>
                <w:rFonts w:ascii="Times New Roman" w:hAnsi="Times New Roman" w:cs="Times New Roman"/>
              </w:rPr>
              <w:t>methods for monitoring recurrence after cervical cancer treatment include:</w:t>
            </w:r>
            <w:r w:rsidRPr="00CB2EC4">
              <w:rPr>
                <w:rFonts w:ascii="Times New Roman" w:hAnsi="Times New Roman" w:cs="Times New Roman"/>
              </w:rPr>
              <w:br/>
              <w:t>- cytological examination of the vaginal apex/cervix at each follow-up visit to detect central recurrence early (document 3).</w:t>
            </w:r>
            <w:r w:rsidRPr="00CB2EC4">
              <w:rPr>
                <w:rFonts w:ascii="Times New Roman" w:hAnsi="Times New Roman" w:cs="Times New Roman"/>
              </w:rPr>
              <w:br/>
              <w:t>- histological confirmation of recurrence is necessary; biopsy should be performed at least 3 months after completion of radiotherapy (document 3).</w:t>
            </w:r>
            <w:r w:rsidRPr="00CB2EC4">
              <w:rPr>
                <w:rFonts w:ascii="Times New Roman" w:hAnsi="Times New Roman" w:cs="Times New Roman"/>
              </w:rPr>
              <w:br/>
              <w:t xml:space="preserve">- fine-needle aspiration biopsy is an effective method that can avoid complex surgical exploration </w:t>
            </w:r>
            <w:r w:rsidRPr="00CB2EC4">
              <w:rPr>
                <w:rFonts w:ascii="Times New Roman" w:hAnsi="Times New Roman" w:cs="Times New Roman"/>
              </w:rPr>
              <w:lastRenderedPageBreak/>
              <w:t>(document 3). for example:</w:t>
            </w:r>
            <w:r w:rsidRPr="00CB2EC4">
              <w:rPr>
                <w:rFonts w:ascii="Times New Roman" w:hAnsi="Times New Roman" w:cs="Times New Roman"/>
              </w:rPr>
              <w:br/>
              <w:t xml:space="preserve">  - supraclavicular lymph node enlargement: direct needle aspiration biopsy.</w:t>
            </w:r>
            <w:r w:rsidRPr="00CB2EC4">
              <w:rPr>
                <w:rFonts w:ascii="Times New Roman" w:hAnsi="Times New Roman" w:cs="Times New Roman"/>
              </w:rPr>
              <w:br/>
              <w:t xml:space="preserve">  - suspected parametrial recurrence: CT-guided fine-needle aspiration biopsy.</w:t>
            </w:r>
            <w:r w:rsidRPr="00CB2EC4">
              <w:rPr>
                <w:rFonts w:ascii="Times New Roman" w:hAnsi="Times New Roman" w:cs="Times New Roman"/>
              </w:rPr>
              <w:br/>
              <w:t xml:space="preserve">  - suspected para-aortic or liver metastasis: ultrasound- or CT-guided fine-needle aspiration biopsy.</w:t>
            </w:r>
            <w:r w:rsidRPr="00CB2EC4">
              <w:rPr>
                <w:rFonts w:ascii="Times New Roman" w:hAnsi="Times New Roman" w:cs="Times New Roman"/>
              </w:rPr>
              <w:br/>
              <w:t xml:space="preserve">  - suspected cervical canal recurrence: cervical canal curettage (document 3).</w:t>
            </w:r>
            <w:r w:rsidRPr="00CB2EC4">
              <w:rPr>
                <w:rFonts w:ascii="Times New Roman" w:hAnsi="Times New Roman" w:cs="Times New Roman"/>
              </w:rPr>
              <w:br/>
              <w:t>- selective imaging examinations based on symptoms, physical findings, and suspected recurrence sites, including chest X-ray, ultrasound, CT, creatinine clearance, and liver function tests (document 3).</w:t>
            </w:r>
            <w:r w:rsidRPr="00CB2EC4">
              <w:rPr>
                <w:rFonts w:ascii="Times New Roman" w:hAnsi="Times New Roman" w:cs="Times New Roman"/>
              </w:rPr>
              <w:br/>
            </w:r>
            <w:r w:rsidRPr="00CB2EC4">
              <w:rPr>
                <w:rFonts w:ascii="Times New Roman" w:hAnsi="Times New Roman" w:cs="Times New Roman"/>
              </w:rPr>
              <w:br/>
              <w:t>regarding routine imaging:</w:t>
            </w:r>
            <w:r w:rsidRPr="00CB2EC4">
              <w:rPr>
                <w:rFonts w:ascii="Times New Roman" w:hAnsi="Times New Roman" w:cs="Times New Roman"/>
              </w:rPr>
              <w:br/>
              <w:t>- imaging examinations (e.g., ultrasound, CT, MRI) are performed selectively, not routinely (documents 3 and 12).</w:t>
            </w:r>
            <w:r w:rsidRPr="00CB2EC4">
              <w:rPr>
                <w:rFonts w:ascii="Times New Roman" w:hAnsi="Times New Roman" w:cs="Times New Roman"/>
              </w:rPr>
              <w:br/>
              <w:t>- document 12 states: "routine blood tests and biochemical tests are ineffective," but imaging methods may be used for monitoring depending on local resources, patient affordability, and symptom presentation; not all patients require routine imaging screening.</w:t>
            </w:r>
            <w:r w:rsidRPr="00CB2EC4">
              <w:rPr>
                <w:rFonts w:ascii="Times New Roman" w:hAnsi="Times New Roman" w:cs="Times New Roman"/>
              </w:rPr>
              <w:br/>
              <w:t>- therefore, guidelines do not recommend routine imaging; it should be applied selectively based on individual symptoms and clinical assessment.</w:t>
            </w:r>
            <w:r w:rsidRPr="00CB2EC4">
              <w:rPr>
                <w:rFonts w:ascii="Times New Roman" w:hAnsi="Times New Roman" w:cs="Times New Roman"/>
              </w:rPr>
              <w:br/>
            </w:r>
            <w:r w:rsidRPr="00CB2EC4">
              <w:rPr>
                <w:rFonts w:ascii="Times New Roman" w:hAnsi="Times New Roman" w:cs="Times New Roman"/>
              </w:rPr>
              <w:br/>
              <w:t xml:space="preserve">summary: monitoring methods include regular vaginal apex/cervical cytology, histological biopsy (e.g., fine-needle aspiration), and selective imaging (e.g., chest X-ray, ultrasound, CT). routine imaging is not recommended and should be used only when </w:t>
            </w:r>
            <w:r w:rsidRPr="00CB2EC4">
              <w:rPr>
                <w:rFonts w:ascii="Times New Roman" w:hAnsi="Times New Roman" w:cs="Times New Roman"/>
              </w:rPr>
              <w:lastRenderedPageBreak/>
              <w:t>clinically indicated.</w:t>
            </w:r>
          </w:p>
        </w:tc>
        <w:tc>
          <w:tcPr>
            <w:tcW w:w="1152" w:type="dxa"/>
            <w:vAlign w:val="center"/>
          </w:tcPr>
          <w:p w14:paraId="6627DE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28043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9E8E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84A153" w14:textId="77777777">
        <w:tc>
          <w:tcPr>
            <w:tcW w:w="2160" w:type="dxa"/>
            <w:vAlign w:val="center"/>
          </w:tcPr>
          <w:p w14:paraId="5C58B1C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51A8956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methods for monitoring recurrence after cervical cancer treatment:  </w:t>
            </w:r>
            <w:r w:rsidRPr="00CB2EC4">
              <w:rPr>
                <w:rFonts w:ascii="Times New Roman" w:hAnsi="Times New Roman" w:cs="Times New Roman"/>
              </w:rPr>
              <w:br/>
              <w:t xml:space="preserve">- clinical examination: physical and gynecological examinations (including bimanual and rectovaginal exams) at each follow-up visit to assess general condition, mental status, presence of anemia or jaundice, palpation of superficial lymph nodes, abdominal examination for masses, and pelvic examination (observing vulva, vagina, vaginal vault, local tumor regression, and signs of recurrence). after radiotherapy, differentiation between parametrial fibrosis and recurrence is necessary (recurrence typically presents as nodular and firm).  </w:t>
            </w:r>
            <w:r w:rsidRPr="00CB2EC4">
              <w:rPr>
                <w:rFonts w:ascii="Times New Roman" w:hAnsi="Times New Roman" w:cs="Times New Roman"/>
              </w:rPr>
              <w:br/>
              <w:t xml:space="preserve">- cytological examination: vaginal apex/cervical cytology should be performed at each follow-up to detect early central recurrence. however, cytological interpretation is challenging in post-radiotherapy patients and requires cautious evaluation.  </w:t>
            </w:r>
            <w:r w:rsidRPr="00CB2EC4">
              <w:rPr>
                <w:rFonts w:ascii="Times New Roman" w:hAnsi="Times New Roman" w:cs="Times New Roman"/>
              </w:rPr>
              <w:br/>
              <w:t xml:space="preserve">- histological biopsy: essential for confirming suspected recurrence. biopsy should be performed at least 3 months after completion of radiotherapy. methods include fine-needle aspiration (e.g., direct puncture of enlarged supraclavicular lymph nodes; CT-guided aspiration for suspected parametrial recurrence; ultrasound- or CT-guided aspiration for suspected para-aortic or liver metastases) and endocervical curettage (for suspected cervical canal recurrence).  </w:t>
            </w:r>
            <w:r w:rsidRPr="00CB2EC4">
              <w:rPr>
                <w:rFonts w:ascii="Times New Roman" w:hAnsi="Times New Roman" w:cs="Times New Roman"/>
              </w:rPr>
              <w:br/>
              <w:t xml:space="preserve">- imaging examinations: selected based on symptoms, signs, and suspected recurrence sites. options include chest X-ray, ultrasound, CT, MRI, or PET/CT. for example, chest radiography is used to monitor potential lung metastases; imaging (ultrasound, CT, </w:t>
            </w:r>
            <w:r w:rsidRPr="00CB2EC4">
              <w:rPr>
                <w:rFonts w:ascii="Times New Roman" w:hAnsi="Times New Roman" w:cs="Times New Roman"/>
              </w:rPr>
              <w:lastRenderedPageBreak/>
              <w:t xml:space="preserve">MRI) may detect asymptomatic distant metastases (e.g., lung), but application is limited by medical resources and patient financial status.  </w:t>
            </w:r>
            <w:r w:rsidRPr="00CB2EC4">
              <w:rPr>
                <w:rFonts w:ascii="Times New Roman" w:hAnsi="Times New Roman" w:cs="Times New Roman"/>
              </w:rPr>
              <w:br/>
              <w:t xml:space="preserve">- blood tests: including tumor markers (SCC, CEA, CA125, CA19-9, NSE) and assessments of creatinine clearance and liver function. tumor marker monitoring may gain future value, but local recurrence should be histologically confirmed first.  </w:t>
            </w:r>
            <w:r w:rsidRPr="00CB2EC4">
              <w:rPr>
                <w:rFonts w:ascii="Times New Roman" w:hAnsi="Times New Roman" w:cs="Times New Roman"/>
              </w:rPr>
              <w:br/>
              <w:t xml:space="preserve">- other examinations: pelvic MRI to evaluate local cervical tumor or PET/CT for metastatic assessment (especially recommended for IB1 stage and above when available).  </w:t>
            </w:r>
            <w:r w:rsidRPr="00CB2EC4">
              <w:rPr>
                <w:rFonts w:ascii="Times New Roman" w:hAnsi="Times New Roman" w:cs="Times New Roman"/>
              </w:rPr>
              <w:br/>
            </w:r>
            <w:r w:rsidRPr="00CB2EC4">
              <w:rPr>
                <w:rFonts w:ascii="Times New Roman" w:hAnsi="Times New Roman" w:cs="Times New Roman"/>
              </w:rPr>
              <w:br/>
              <w:t xml:space="preserve">- is routine imaging recommended?  </w:t>
            </w:r>
            <w:r w:rsidRPr="00CB2EC4">
              <w:rPr>
                <w:rFonts w:ascii="Times New Roman" w:hAnsi="Times New Roman" w:cs="Times New Roman"/>
              </w:rPr>
              <w:br/>
              <w:t xml:space="preserve">no. routine imaging is not recommended as a standard follow-up protocol for all patients. imaging is selective, based on symptoms, physical findings, or suspicious recurrence sites (e.g., pain, masses, or abnormal signs). for asymptomatic distant metastases (e.g., lung), routine blood and biochemical tests are ineffective, but imaging (e.g., chest radiography) may be used for surveillance; however, its use is constrained by local medical resources and patient economic conditions. the document emphasizes that imaging should be used when indicated, not routinely. (see [HyDE similarity: 0.731] and [HyDE similarity: 0.540] sections).  </w:t>
            </w:r>
            <w:r w:rsidRPr="00CB2EC4">
              <w:rPr>
                <w:rFonts w:ascii="Times New Roman" w:hAnsi="Times New Roman" w:cs="Times New Roman"/>
              </w:rPr>
              <w:br/>
            </w:r>
            <w:r w:rsidRPr="00CB2EC4">
              <w:rPr>
                <w:rFonts w:ascii="Times New Roman" w:hAnsi="Times New Roman" w:cs="Times New Roman"/>
              </w:rPr>
              <w:br/>
              <w:t>summary: monitoring methods include clinical examination, cytology, histological biopsy, selective imaging, and blood tests. routine imaging is not recommended; it should be used selectively when symptoms or suspicious sites are present.</w:t>
            </w:r>
          </w:p>
        </w:tc>
        <w:tc>
          <w:tcPr>
            <w:tcW w:w="1152" w:type="dxa"/>
            <w:vAlign w:val="center"/>
          </w:tcPr>
          <w:p w14:paraId="4B786B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5B3B6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5DAB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A4FCAF" w14:textId="77777777">
        <w:tc>
          <w:tcPr>
            <w:tcW w:w="2160" w:type="dxa"/>
            <w:vAlign w:val="center"/>
          </w:tcPr>
          <w:p w14:paraId="192DB50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Query </w:t>
            </w:r>
            <w:r w:rsidRPr="00CB2EC4">
              <w:rPr>
                <w:rFonts w:ascii="Times New Roman" w:hAnsi="Times New Roman" w:cs="Times New Roman"/>
              </w:rPr>
              <w:lastRenderedPageBreak/>
              <w:t>Transformation</w:t>
            </w:r>
          </w:p>
        </w:tc>
        <w:tc>
          <w:tcPr>
            <w:tcW w:w="5040" w:type="dxa"/>
            <w:vAlign w:val="center"/>
          </w:tcPr>
          <w:p w14:paraId="0985EEF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based on the provided document content, the methods </w:t>
            </w:r>
            <w:r w:rsidRPr="00CB2EC4">
              <w:rPr>
                <w:rFonts w:ascii="Times New Roman" w:hAnsi="Times New Roman" w:cs="Times New Roman"/>
              </w:rPr>
              <w:lastRenderedPageBreak/>
              <w:t>for monitoring recurrence after cervical cancer treatment and the recommendation regarding routine imaging are as follows:</w:t>
            </w:r>
            <w:r w:rsidRPr="00CB2EC4">
              <w:rPr>
                <w:rFonts w:ascii="Times New Roman" w:hAnsi="Times New Roman" w:cs="Times New Roman"/>
              </w:rPr>
              <w:br/>
            </w:r>
            <w:r w:rsidRPr="00CB2EC4">
              <w:rPr>
                <w:rFonts w:ascii="Times New Roman" w:hAnsi="Times New Roman" w:cs="Times New Roman"/>
              </w:rPr>
              <w:br/>
              <w:t xml:space="preserve">- **Monitoring methods**:  </w:t>
            </w:r>
            <w:r w:rsidRPr="00CB2EC4">
              <w:rPr>
                <w:rFonts w:ascii="Times New Roman" w:hAnsi="Times New Roman" w:cs="Times New Roman"/>
              </w:rPr>
              <w:br/>
              <w:t xml:space="preserve">  - History taking and physical examination, including systemic superficial lymph node examination, abdominal palpation, and pelvic examination (bimanual and rectovaginal), should be performed at each follow-up visit to observe for recurrence signs in the vulva, vagina, cervix, and other sites (Document Fragment 10).  </w:t>
            </w:r>
            <w:r w:rsidRPr="00CB2EC4">
              <w:rPr>
                <w:rFonts w:ascii="Times New Roman" w:hAnsi="Times New Roman" w:cs="Times New Roman"/>
              </w:rPr>
              <w:br/>
              <w:t xml:space="preserve">  - Vaginal vault/cervical cytology (e.g., Pap smear) is a routine test for early detection of central recurrence; however, interpretation is challenging in post-radiotherapy patients, and histological confirmation (e.g., biopsy) is required. Biopsy should be performed at least 3 months after radiotherapy completion, using fine-needle aspiration (e.g., under CT guidance for enlarged supraclavicular lymph nodes or parametrial recurrence) (Document Fragment 1).  </w:t>
            </w:r>
            <w:r w:rsidRPr="00CB2EC4">
              <w:rPr>
                <w:rFonts w:ascii="Times New Roman" w:hAnsi="Times New Roman" w:cs="Times New Roman"/>
              </w:rPr>
              <w:br/>
              <w:t xml:space="preserve">  - Selective auxiliary tests such as chest X-ray, ultrasound, CT, creatinine clearance, and liver function tests are performed based on symptoms, signs, and suspicious recurrence sites (Document Fragment 1). For example, chest X-ray is indicated for suspected lung metastasis, and ultrasound or CT-guided biopsy for suspected liver metastasis.  </w:t>
            </w:r>
            <w:r w:rsidRPr="00CB2EC4">
              <w:rPr>
                <w:rFonts w:ascii="Times New Roman" w:hAnsi="Times New Roman" w:cs="Times New Roman"/>
              </w:rPr>
              <w:br/>
            </w:r>
            <w:r w:rsidRPr="00CB2EC4">
              <w:rPr>
                <w:rFonts w:ascii="Times New Roman" w:hAnsi="Times New Roman" w:cs="Times New Roman"/>
              </w:rPr>
              <w:br/>
              <w:t xml:space="preserve">- **Recommendation on routine imaging**:  </w:t>
            </w:r>
            <w:r w:rsidRPr="00CB2EC4">
              <w:rPr>
                <w:rFonts w:ascii="Times New Roman" w:hAnsi="Times New Roman" w:cs="Times New Roman"/>
              </w:rPr>
              <w:br/>
              <w:t xml:space="preserve">  - Routine imaging (e.g., chest X-ray, CT) is not recommended. The document explicitly states that imaging is not necessary during standard follow-up and should only be used selectively when symptoms, </w:t>
            </w:r>
            <w:r w:rsidRPr="00CB2EC4">
              <w:rPr>
                <w:rFonts w:ascii="Times New Roman" w:hAnsi="Times New Roman" w:cs="Times New Roman"/>
              </w:rPr>
              <w:lastRenderedPageBreak/>
              <w:t xml:space="preserve">signs, or high-risk factors (e.g., previous pelvic lymph node metastasis) are present (Document Fragment 27). Frequent imaging does not significantly improve early detection of asymptomatic recurrence and may increase unnecessary costs and risks (Document Fragment 27). For instance, chest X-ray has low detection rates in asymptomatic patients, and pulmonary metastases carry poor prognosis; thus, it is not recommended as routine (Document Fragment 21).  </w:t>
            </w:r>
            <w:r w:rsidRPr="00CB2EC4">
              <w:rPr>
                <w:rFonts w:ascii="Times New Roman" w:hAnsi="Times New Roman" w:cs="Times New Roman"/>
              </w:rPr>
              <w:br/>
            </w:r>
            <w:r w:rsidRPr="00CB2EC4">
              <w:rPr>
                <w:rFonts w:ascii="Times New Roman" w:hAnsi="Times New Roman" w:cs="Times New Roman"/>
              </w:rPr>
              <w:br/>
              <w:t>in summary, monitoring relies primarily on clinical examination, cytology, and biopsy, with imaging reserved for indicated cases.</w:t>
            </w:r>
          </w:p>
        </w:tc>
        <w:tc>
          <w:tcPr>
            <w:tcW w:w="1152" w:type="dxa"/>
            <w:vAlign w:val="center"/>
          </w:tcPr>
          <w:p w14:paraId="722E0A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B575D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1BA0D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8662276" w14:textId="77777777">
        <w:tc>
          <w:tcPr>
            <w:tcW w:w="2160" w:type="dxa"/>
            <w:vAlign w:val="center"/>
          </w:tcPr>
          <w:p w14:paraId="397E91D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47AE2E9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Monitoring methods:  </w:t>
            </w:r>
            <w:r w:rsidRPr="00CB2EC4">
              <w:rPr>
                <w:rFonts w:ascii="Times New Roman" w:hAnsi="Times New Roman" w:cs="Times New Roman"/>
              </w:rPr>
              <w:br/>
              <w:t xml:space="preserve">  - Clinical examination: Regular physical examination (e.g., pelvic exam) is fundamental.  </w:t>
            </w:r>
            <w:r w:rsidRPr="00CB2EC4">
              <w:rPr>
                <w:rFonts w:ascii="Times New Roman" w:hAnsi="Times New Roman" w:cs="Times New Roman"/>
              </w:rPr>
              <w:br/>
              <w:t xml:space="preserve">  - Imaging studies: Includes chest X-ray (to monitor lung metastasis), ultrasound, CT, MRI, or PET (for assessing local recurrence or distant metastasis), but should be individualized based on medical resources and patient financial status.  </w:t>
            </w:r>
            <w:r w:rsidRPr="00CB2EC4">
              <w:rPr>
                <w:rFonts w:ascii="Times New Roman" w:hAnsi="Times New Roman" w:cs="Times New Roman"/>
              </w:rPr>
              <w:br/>
              <w:t xml:space="preserve">  - Pathological confirmation: Local recurrence should be confirmed by histology or cytology whenever possible (document emphasizes "local recurrence should be confirmed by histology and cytology whenever possible").  </w:t>
            </w:r>
            <w:r w:rsidRPr="00CB2EC4">
              <w:rPr>
                <w:rFonts w:ascii="Times New Roman" w:hAnsi="Times New Roman" w:cs="Times New Roman"/>
              </w:rPr>
              <w:br/>
              <w:t xml:space="preserve">  - Tumor markers: Although future value may increase, routine use is not currently explicitly recommended.  </w:t>
            </w:r>
            <w:r w:rsidRPr="00CB2EC4">
              <w:rPr>
                <w:rFonts w:ascii="Times New Roman" w:hAnsi="Times New Roman" w:cs="Times New Roman"/>
              </w:rPr>
              <w:br/>
              <w:t xml:space="preserve">- Recommendation for routine imaging:  </w:t>
            </w:r>
            <w:r w:rsidRPr="00CB2EC4">
              <w:rPr>
                <w:rFonts w:ascii="Times New Roman" w:hAnsi="Times New Roman" w:cs="Times New Roman"/>
              </w:rPr>
              <w:br/>
              <w:t xml:space="preserve">  The document states that "routine imaging is ineffective" and does not recommend it as a standard surveillance tool (context: "Blood tests and </w:t>
            </w:r>
            <w:r w:rsidRPr="00CB2EC4">
              <w:rPr>
                <w:rFonts w:ascii="Times New Roman" w:hAnsi="Times New Roman" w:cs="Times New Roman"/>
              </w:rPr>
              <w:lastRenderedPageBreak/>
              <w:t>biochemical tests are ineffective... the application of imaging methods is influenced by local medical equipment and patient economic factors"). Imaging should be selectively used only when symptoms arise or in high-risk cases (e.g., tumor &gt;4 cm, LVSI positive).</w:t>
            </w:r>
          </w:p>
        </w:tc>
        <w:tc>
          <w:tcPr>
            <w:tcW w:w="1152" w:type="dxa"/>
            <w:vAlign w:val="center"/>
          </w:tcPr>
          <w:p w14:paraId="003E1A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99A73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5FD4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D814DD" w14:textId="77777777">
        <w:tc>
          <w:tcPr>
            <w:tcW w:w="2160" w:type="dxa"/>
            <w:vAlign w:val="center"/>
          </w:tcPr>
          <w:p w14:paraId="7144C4CF"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63F1F06"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Methods for monitoring recurrence after cervical cancer treatment include:</w:t>
            </w:r>
            <w:r w:rsidRPr="00CB2EC4">
              <w:rPr>
                <w:rFonts w:ascii="Times New Roman" w:hAnsi="Times New Roman" w:cs="Times New Roman"/>
              </w:rPr>
              <w:br/>
              <w:t>- Regular follow-up and clinical examination: Close follow-up is recommended for the first 2–3 years after treatment. The specific schedule is: monthly for the first 3 months in year 1, then every 3 months; every 6 months in year 2; annually in year 3; and annually thereafter for life. Each visit should include medical history taking, physical examination (including gynecological examination), and assessment of treatment complications, sexual dysfunction, and signs of recurrence (from document fragments 6 and 11).</w:t>
            </w:r>
            <w:r w:rsidRPr="00CB2EC4">
              <w:rPr>
                <w:rFonts w:ascii="Times New Roman" w:hAnsi="Times New Roman" w:cs="Times New Roman"/>
              </w:rPr>
              <w:br/>
              <w:t>- Ancillary tests:</w:t>
            </w:r>
            <w:r w:rsidRPr="00CB2EC4">
              <w:rPr>
                <w:rFonts w:ascii="Times New Roman" w:hAnsi="Times New Roman" w:cs="Times New Roman"/>
              </w:rPr>
              <w:br/>
              <w:t xml:space="preserve">  - Physical examination: Focus on pelvic, abdominal, and superficial lymph node examination; physical exam can detect 29%–71% of asymptomatic recurrences (document fragment 6).</w:t>
            </w:r>
            <w:r w:rsidRPr="00CB2EC4">
              <w:rPr>
                <w:rFonts w:ascii="Times New Roman" w:hAnsi="Times New Roman" w:cs="Times New Roman"/>
              </w:rPr>
              <w:br/>
              <w:t xml:space="preserve">  - Cytological examination: Vaginal vault/cervical cytology (e.g., TCT) should be performed at each follow-up, but interpretation is complex in post-radiation patients; frequent vaginal vault cytology does not significantly improve early recurrence detection rates (document fragments 6 and 11).</w:t>
            </w:r>
            <w:r w:rsidRPr="00CB2EC4">
              <w:rPr>
                <w:rFonts w:ascii="Times New Roman" w:hAnsi="Times New Roman" w:cs="Times New Roman"/>
              </w:rPr>
              <w:br/>
              <w:t xml:space="preserve">  - Imaging: Includes chest X-ray (detects 20%–47% of recurrences), CT (detects 0%–34% of recurrences), but routine imaging is not necessary. Recommended </w:t>
            </w:r>
            <w:r w:rsidRPr="00CB2EC4">
              <w:rPr>
                <w:rFonts w:ascii="Times New Roman" w:hAnsi="Times New Roman" w:cs="Times New Roman"/>
              </w:rPr>
              <w:lastRenderedPageBreak/>
              <w:t>only in specific situations, such as regular abdominal imaging for patients with previous pelvic lymph node metastasis (document fragment 6). PET-CT or other imaging may be used for evaluation of suspicious recurrence sites (document fragment 11).</w:t>
            </w:r>
            <w:r w:rsidRPr="00CB2EC4">
              <w:rPr>
                <w:rFonts w:ascii="Times New Roman" w:hAnsi="Times New Roman" w:cs="Times New Roman"/>
              </w:rPr>
              <w:br/>
              <w:t>- Biopsy confirmation: Histological or cytological confirmation (e.g., needle aspiration or surgical biopsy) is required for suspicious recurrence sites, especially in post-radiation patients (document fragment 11).</w:t>
            </w:r>
            <w:r w:rsidRPr="00CB2EC4">
              <w:rPr>
                <w:rFonts w:ascii="Times New Roman" w:hAnsi="Times New Roman" w:cs="Times New Roman"/>
              </w:rPr>
              <w:br/>
            </w:r>
            <w:r w:rsidRPr="00CB2EC4">
              <w:rPr>
                <w:rFonts w:ascii="Times New Roman" w:hAnsi="Times New Roman" w:cs="Times New Roman"/>
              </w:rPr>
              <w:br/>
              <w:t xml:space="preserve">Is routine imaging recommended?  </w:t>
            </w:r>
            <w:r w:rsidRPr="00CB2EC4">
              <w:rPr>
                <w:rFonts w:ascii="Times New Roman" w:hAnsi="Times New Roman" w:cs="Times New Roman"/>
              </w:rPr>
              <w:br/>
              <w:t>No. Routine imaging is not recommended as a standard surveillance method for all patients. It should only be considered in cases of previous pelvic lymph node metastasis, presence of suspicious symptoms (e.g., pain or mass), or selectively based on clinical indications (e.g., abnormal physical findings). The rationale is that routine imaging has limited yield for asymptomatic recurrence and may increase unnecessary healthcare burden (document fragment 6).</w:t>
            </w:r>
          </w:p>
        </w:tc>
        <w:tc>
          <w:tcPr>
            <w:tcW w:w="1152" w:type="dxa"/>
            <w:vAlign w:val="center"/>
          </w:tcPr>
          <w:p w14:paraId="6E9623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0E3F0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81D5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D856F7D" w14:textId="77777777">
        <w:tc>
          <w:tcPr>
            <w:tcW w:w="2160" w:type="dxa"/>
            <w:vAlign w:val="center"/>
          </w:tcPr>
          <w:p w14:paraId="5AA54FC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2F1877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Monitoring methods:  </w:t>
            </w:r>
            <w:r w:rsidRPr="00CB2EC4">
              <w:rPr>
                <w:rFonts w:ascii="Times New Roman" w:hAnsi="Times New Roman" w:cs="Times New Roman"/>
              </w:rPr>
              <w:br/>
              <w:t xml:space="preserve">  According to the context, recurrence monitoring includes:  </w:t>
            </w:r>
            <w:r w:rsidRPr="00CB2EC4">
              <w:rPr>
                <w:rFonts w:ascii="Times New Roman" w:hAnsi="Times New Roman" w:cs="Times New Roman"/>
              </w:rPr>
              <w:br/>
              <w:t xml:space="preserve">  - Physical examination: Vaginal vault/cervical cytology is performed at each follow-up visit, which can detect central recurrence early (similarity 0.570).  </w:t>
            </w:r>
            <w:r w:rsidRPr="00CB2EC4">
              <w:rPr>
                <w:rFonts w:ascii="Times New Roman" w:hAnsi="Times New Roman" w:cs="Times New Roman"/>
              </w:rPr>
              <w:br/>
              <w:t xml:space="preserve">  - Pathological examination: Histological confirmation is necessary, especially for patients after radiotherapy. Biopsy should be performed 3 months after completion of radiotherapy (similarity 0.570).  </w:t>
            </w:r>
            <w:r w:rsidRPr="00CB2EC4">
              <w:rPr>
                <w:rFonts w:ascii="Times New Roman" w:hAnsi="Times New Roman" w:cs="Times New Roman"/>
              </w:rPr>
              <w:br/>
              <w:t xml:space="preserve">  - Imaging examinations:  </w:t>
            </w:r>
            <w:r w:rsidRPr="00CB2EC4">
              <w:rPr>
                <w:rFonts w:ascii="Times New Roman" w:hAnsi="Times New Roman" w:cs="Times New Roman"/>
              </w:rPr>
              <w:br/>
              <w:t xml:space="preserve">    - Selective performance of chest X-ray, ultrasound, </w:t>
            </w:r>
            <w:r w:rsidRPr="00CB2EC4">
              <w:rPr>
                <w:rFonts w:ascii="Times New Roman" w:hAnsi="Times New Roman" w:cs="Times New Roman"/>
              </w:rPr>
              <w:lastRenderedPageBreak/>
              <w:t xml:space="preserve">CT, MRI, etc. (similarity 0.570).  </w:t>
            </w:r>
            <w:r w:rsidRPr="00CB2EC4">
              <w:rPr>
                <w:rFonts w:ascii="Times New Roman" w:hAnsi="Times New Roman" w:cs="Times New Roman"/>
              </w:rPr>
              <w:br/>
              <w:t xml:space="preserve">    - When metastasis is suspected (e.g., supraclavicular lymphadenopathy, parametrial recurrence, para-aortic metastasis), needle aspiration biopsy may be performed under imaging guidance (similarity 0.570).  </w:t>
            </w:r>
            <w:r w:rsidRPr="00CB2EC4">
              <w:rPr>
                <w:rFonts w:ascii="Times New Roman" w:hAnsi="Times New Roman" w:cs="Times New Roman"/>
              </w:rPr>
              <w:br/>
              <w:t xml:space="preserve">  - Tumor markers: Such as SCC, CEA, etc., but their monitoring value is limited (similarity 0.482).  </w:t>
            </w:r>
            <w:r w:rsidRPr="00CB2EC4">
              <w:rPr>
                <w:rFonts w:ascii="Times New Roman" w:hAnsi="Times New Roman" w:cs="Times New Roman"/>
              </w:rPr>
              <w:br/>
              <w:t xml:space="preserve">- Recommendation for routine imaging:  </w:t>
            </w:r>
            <w:r w:rsidRPr="00CB2EC4">
              <w:rPr>
                <w:rFonts w:ascii="Times New Roman" w:hAnsi="Times New Roman" w:cs="Times New Roman"/>
              </w:rPr>
              <w:br/>
              <w:t xml:space="preserve">  Imaging should be used selectively based on symptoms, signs, and suspicious sites (similarity 0.570), and is not recommended as routine for all patients.</w:t>
            </w:r>
          </w:p>
        </w:tc>
        <w:tc>
          <w:tcPr>
            <w:tcW w:w="1152" w:type="dxa"/>
            <w:vAlign w:val="center"/>
          </w:tcPr>
          <w:p w14:paraId="56E7A1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F20E7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53FF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AD3904" w14:textId="77777777">
        <w:tc>
          <w:tcPr>
            <w:tcW w:w="2160" w:type="dxa"/>
            <w:vAlign w:val="center"/>
          </w:tcPr>
          <w:p w14:paraId="4312D2D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42E95E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methods for monitoring recurrence after cervical cancer treatment include:  </w:t>
            </w:r>
            <w:r w:rsidRPr="00CB2EC4">
              <w:rPr>
                <w:rFonts w:ascii="Times New Roman" w:hAnsi="Times New Roman" w:cs="Times New Roman"/>
              </w:rPr>
              <w:br/>
              <w:t xml:space="preserve">- Clinical examination: medical history, physical examination (including pelvic exam), gynecological examination (bimanual and rectovaginal) to assess general condition, symptoms (e.g., abnormal vaginal bleeding, pain, weight loss), and signs (e.g., pelvic mass, lymphadenopathy).  </w:t>
            </w:r>
            <w:r w:rsidRPr="00CB2EC4">
              <w:rPr>
                <w:rFonts w:ascii="Times New Roman" w:hAnsi="Times New Roman" w:cs="Times New Roman"/>
              </w:rPr>
              <w:br/>
              <w:t xml:space="preserve">- Laboratory tests: hematologic tests (complete blood count, liver and renal function), tumor marker assessment (e.g., SCC, CEA, CA125, particularly for those elevated at initial diagnosis).  </w:t>
            </w:r>
            <w:r w:rsidRPr="00CB2EC4">
              <w:rPr>
                <w:rFonts w:ascii="Times New Roman" w:hAnsi="Times New Roman" w:cs="Times New Roman"/>
              </w:rPr>
              <w:br/>
              <w:t xml:space="preserve">- Cytologic and histologic examination: vaginal vault/cervical cytology (e.g., Pap smear), though results are difficult to interpret early after radiotherapy and require biopsy confirmation for recurrence; needle aspiration biopsy or endocervical curettage for suspicious recurrence.  </w:t>
            </w:r>
            <w:r w:rsidRPr="00CB2EC4">
              <w:rPr>
                <w:rFonts w:ascii="Times New Roman" w:hAnsi="Times New Roman" w:cs="Times New Roman"/>
              </w:rPr>
              <w:br/>
              <w:t xml:space="preserve">- Imaging:  </w:t>
            </w:r>
            <w:r w:rsidRPr="00CB2EC4">
              <w:rPr>
                <w:rFonts w:ascii="Times New Roman" w:hAnsi="Times New Roman" w:cs="Times New Roman"/>
              </w:rPr>
              <w:br/>
              <w:t xml:space="preserve">  - Selective use is recommended, not absolute routine. Includes:  </w:t>
            </w:r>
            <w:r w:rsidRPr="00CB2EC4">
              <w:rPr>
                <w:rFonts w:ascii="Times New Roman" w:hAnsi="Times New Roman" w:cs="Times New Roman"/>
              </w:rPr>
              <w:br/>
            </w:r>
            <w:r w:rsidRPr="00CB2EC4">
              <w:rPr>
                <w:rFonts w:ascii="Times New Roman" w:hAnsi="Times New Roman" w:cs="Times New Roman"/>
              </w:rPr>
              <w:lastRenderedPageBreak/>
              <w:t xml:space="preserve">    - CT scan: for evaluating thoracic, abdominal, and pelvic metastases (e.g., FIGO I–IVA patients undergo one chest/abdomen/pelvis CT 3–6 months post-treatment; used as needed for symptom assessment).  </w:t>
            </w:r>
            <w:r w:rsidRPr="00CB2EC4">
              <w:rPr>
                <w:rFonts w:ascii="Times New Roman" w:hAnsi="Times New Roman" w:cs="Times New Roman"/>
              </w:rPr>
              <w:br/>
              <w:t xml:space="preserve">    - MRI: preferred for local pelvic assessment (e.g., annual pelvic MRI for 2–3 years; superior to CT for evaluating parametrial invasion).  </w:t>
            </w:r>
            <w:r w:rsidRPr="00CB2EC4">
              <w:rPr>
                <w:rFonts w:ascii="Times New Roman" w:hAnsi="Times New Roman" w:cs="Times New Roman"/>
              </w:rPr>
              <w:br/>
              <w:t xml:space="preserve">    - PET-CT: indicated for high-risk recurrence (e.g., lymph node-positive, positive margins) or suspected distant metastasis (e.g., FIGO IVB or recurrent patients; preoperative PET-CT to exclude metastases).  </w:t>
            </w:r>
            <w:r w:rsidRPr="00CB2EC4">
              <w:rPr>
                <w:rFonts w:ascii="Times New Roman" w:hAnsi="Times New Roman" w:cs="Times New Roman"/>
              </w:rPr>
              <w:br/>
              <w:t xml:space="preserve">    - Ultrasound: for specific symptoms (e.g., lower limb edema → venous ultrasound).  </w:t>
            </w:r>
            <w:r w:rsidRPr="00CB2EC4">
              <w:rPr>
                <w:rFonts w:ascii="Times New Roman" w:hAnsi="Times New Roman" w:cs="Times New Roman"/>
              </w:rPr>
              <w:br/>
              <w:t xml:space="preserve">  - Is routine imaging recommended?  </w:t>
            </w:r>
            <w:r w:rsidRPr="00CB2EC4">
              <w:rPr>
                <w:rFonts w:ascii="Times New Roman" w:hAnsi="Times New Roman" w:cs="Times New Roman"/>
              </w:rPr>
              <w:br/>
              <w:t xml:space="preserve">    - No. Routine imaging without individual risk assessment is not recommended. Context emphasizes imaging should be based on recurrence risk, symptoms, and individualized evaluation (e.g., high-risk patients monitored more frequently; routine chest X-ray shows no evidence of improved outcomes). For example, low-risk patients (no lymph node involvement, etc.) may require only clinical and blood tests, while imaging is recommended for high-risk patients (e.g., lymph node-positive, tumor &gt;4 cm) or when symptoms suggest recurrence. Imaging (e.g., CT/MRI) is performed at specific time points post-treatment or symptom-driven, not at every follow-up.  </w:t>
            </w:r>
            <w:r w:rsidRPr="00CB2EC4">
              <w:rPr>
                <w:rFonts w:ascii="Times New Roman" w:hAnsi="Times New Roman" w:cs="Times New Roman"/>
              </w:rPr>
              <w:br/>
            </w:r>
            <w:r w:rsidRPr="00CB2EC4">
              <w:rPr>
                <w:rFonts w:ascii="Times New Roman" w:hAnsi="Times New Roman" w:cs="Times New Roman"/>
              </w:rPr>
              <w:br/>
              <w:t>in summary, monitoring relies primarily on clinical and laboratory examinations; imaging is recommended for high-risk patients or when symptoms indicate possible recurrence, not as a routine for all patients.</w:t>
            </w:r>
          </w:p>
        </w:tc>
        <w:tc>
          <w:tcPr>
            <w:tcW w:w="1152" w:type="dxa"/>
            <w:vAlign w:val="center"/>
          </w:tcPr>
          <w:p w14:paraId="4A39DA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7C2A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850F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E6CBDD" w14:textId="77777777">
        <w:tc>
          <w:tcPr>
            <w:tcW w:w="2160" w:type="dxa"/>
            <w:vAlign w:val="center"/>
          </w:tcPr>
          <w:p w14:paraId="3D710A52"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4A5CAA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r>
            <w:r w:rsidRPr="00CB2EC4">
              <w:rPr>
                <w:rFonts w:ascii="Times New Roman" w:hAnsi="Times New Roman" w:cs="Times New Roman"/>
              </w:rPr>
              <w:lastRenderedPageBreak/>
              <w:t xml:space="preserve">- Monitoring methods:  </w:t>
            </w:r>
            <w:r w:rsidRPr="00CB2EC4">
              <w:rPr>
                <w:rFonts w:ascii="Times New Roman" w:hAnsi="Times New Roman" w:cs="Times New Roman"/>
              </w:rPr>
              <w:br/>
              <w:t xml:space="preserve">  - Physical examination: Includes assessment of general condition, examination of superficial lymph nodes (e.g., supraclavicular, inguinal), abdominal palpation (to detect masses, hepatosplenomegaly), and pelvic examination (to inspect vulva, vagina, fornix, and cervix for signs of recurrence). For example, differentiation between radiation-induced fibrosis and recurrent nodules in the parametrium is necessary after radiotherapy (Source: Segment 6, Block 565-567).  </w:t>
            </w:r>
            <w:r w:rsidRPr="00CB2EC4">
              <w:rPr>
                <w:rFonts w:ascii="Times New Roman" w:hAnsi="Times New Roman" w:cs="Times New Roman"/>
              </w:rPr>
              <w:br/>
              <w:t xml:space="preserve">  - Cytological examination: Vaginal vault/cervical cytology should be performed at each follow-up visit to detect central recurrences early. Interpretation of cytological results is challenging in post-radiation patients and requires caution (Source: Segment 6, Block 565-567).  </w:t>
            </w:r>
            <w:r w:rsidRPr="00CB2EC4">
              <w:rPr>
                <w:rFonts w:ascii="Times New Roman" w:hAnsi="Times New Roman" w:cs="Times New Roman"/>
              </w:rPr>
              <w:br/>
              <w:t xml:space="preserve">  - Histological examination: Biopsy or fine-needle aspiration biopsy should be performed on suspicious recurrent sites. Examples include:  </w:t>
            </w:r>
            <w:r w:rsidRPr="00CB2EC4">
              <w:rPr>
                <w:rFonts w:ascii="Times New Roman" w:hAnsi="Times New Roman" w:cs="Times New Roman"/>
              </w:rPr>
              <w:br/>
              <w:t xml:space="preserve">    - Direct needle biopsy of enlarged supraclavicular lymph nodes.  </w:t>
            </w:r>
            <w:r w:rsidRPr="00CB2EC4">
              <w:rPr>
                <w:rFonts w:ascii="Times New Roman" w:hAnsi="Times New Roman" w:cs="Times New Roman"/>
              </w:rPr>
              <w:br/>
              <w:t xml:space="preserve">    - CT-guided fine-needle aspiration for suspected parametrial recurrence.  </w:t>
            </w:r>
            <w:r w:rsidRPr="00CB2EC4">
              <w:rPr>
                <w:rFonts w:ascii="Times New Roman" w:hAnsi="Times New Roman" w:cs="Times New Roman"/>
              </w:rPr>
              <w:br/>
              <w:t xml:space="preserve">    - Ultrasound- or CT-guided fine-needle aspiration for suspected para-aortic or liver metastases.  </w:t>
            </w:r>
            <w:r w:rsidRPr="00CB2EC4">
              <w:rPr>
                <w:rFonts w:ascii="Times New Roman" w:hAnsi="Times New Roman" w:cs="Times New Roman"/>
              </w:rPr>
              <w:br/>
              <w:t xml:space="preserve">    - Endocervical curettage for suspected cervical canal recurrence (Source: Segment 6, Block 565-567).  </w:t>
            </w:r>
            <w:r w:rsidRPr="00CB2EC4">
              <w:rPr>
                <w:rFonts w:ascii="Times New Roman" w:hAnsi="Times New Roman" w:cs="Times New Roman"/>
              </w:rPr>
              <w:br/>
              <w:t xml:space="preserve">- Is routine imaging recommended? No. Imaging studies (e.g., chest X-ray, ultrasound, CT) should be performed selectively based on symptoms, signs, or suspicious recurrence sites. Routine use is not recommended.  </w:t>
            </w:r>
            <w:r w:rsidRPr="00CB2EC4">
              <w:rPr>
                <w:rFonts w:ascii="Times New Roman" w:hAnsi="Times New Roman" w:cs="Times New Roman"/>
              </w:rPr>
              <w:br/>
              <w:t xml:space="preserve">Reason: Histological confirmation is emphasized as </w:t>
            </w:r>
            <w:r w:rsidRPr="00CB2EC4">
              <w:rPr>
                <w:rFonts w:ascii="Times New Roman" w:hAnsi="Times New Roman" w:cs="Times New Roman"/>
              </w:rPr>
              <w:lastRenderedPageBreak/>
              <w:t>necessary; imaging is reserved for cases with clinical indications to avoid unnecessary testing burden and false-positive risks (Source: Segment 6, Block 565-567).</w:t>
            </w:r>
          </w:p>
        </w:tc>
        <w:tc>
          <w:tcPr>
            <w:tcW w:w="1152" w:type="dxa"/>
            <w:vAlign w:val="center"/>
          </w:tcPr>
          <w:p w14:paraId="575C1A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3714B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7BDD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41785D" w14:textId="77777777">
        <w:tc>
          <w:tcPr>
            <w:tcW w:w="2160" w:type="dxa"/>
            <w:vAlign w:val="center"/>
          </w:tcPr>
          <w:p w14:paraId="7F27A9C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2FA96F51" w14:textId="77777777" w:rsidR="00922249" w:rsidRPr="00CB2EC4" w:rsidRDefault="003011D5">
            <w:pPr>
              <w:rPr>
                <w:rFonts w:ascii="Times New Roman" w:hAnsi="Times New Roman" w:cs="Times New Roman"/>
              </w:rPr>
            </w:pPr>
            <w:r w:rsidRPr="00CB2EC4">
              <w:rPr>
                <w:rFonts w:ascii="Times New Roman" w:hAnsi="Times New Roman" w:cs="Times New Roman"/>
              </w:rPr>
              <w:t>- Monitoring methods: Primarily include regular clinical follow-up (history taking and physical examination every 3–6 months), vaginal cytology (Pap smear), and HPV DNA testing. For high-risk patients (e.g., advanced initial stage or residual disease post-treatment), tumor marker testing (such as SCC-Ag) may be added.</w:t>
            </w:r>
            <w:r w:rsidRPr="00CB2EC4">
              <w:rPr>
                <w:rFonts w:ascii="Times New Roman" w:hAnsi="Times New Roman" w:cs="Times New Roman"/>
              </w:rPr>
              <w:br/>
              <w:t>- Routine imaging examination recommendation: Routine use of imaging (e.g., CT, MRI, or PET-CT) for asymptomatic surveillance is not recommended. Imaging is reserved for cases with clinical symptoms (e.g., pain, bleeding) or abnormal laboratory findings (e.g., elevated SCC-Ag) to avoid unnecessary radiation exposure and costs.</w:t>
            </w:r>
          </w:p>
        </w:tc>
        <w:tc>
          <w:tcPr>
            <w:tcW w:w="1152" w:type="dxa"/>
            <w:vAlign w:val="center"/>
          </w:tcPr>
          <w:p w14:paraId="122054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D550B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298F0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715409C" w14:textId="77777777">
        <w:tc>
          <w:tcPr>
            <w:tcW w:w="10656" w:type="dxa"/>
            <w:gridSpan w:val="5"/>
            <w:tcBorders>
              <w:bottom w:val="single" w:sz="6" w:space="0" w:color="auto"/>
            </w:tcBorders>
            <w:vAlign w:val="center"/>
          </w:tcPr>
          <w:p w14:paraId="6AB32EB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82: What are the main goals of palliative care? In patients with metastatic cervical cancer, how can palliative care be combined with radiotherapy and chemotherapy?</w:t>
            </w:r>
          </w:p>
        </w:tc>
      </w:tr>
      <w:tr w:rsidR="00922249" w:rsidRPr="00CB2EC4" w14:paraId="2927C585" w14:textId="77777777">
        <w:tc>
          <w:tcPr>
            <w:tcW w:w="2160" w:type="dxa"/>
            <w:vAlign w:val="center"/>
          </w:tcPr>
          <w:p w14:paraId="055C862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992515E" w14:textId="77777777" w:rsidR="00922249" w:rsidRPr="00CB2EC4" w:rsidRDefault="003011D5">
            <w:pPr>
              <w:rPr>
                <w:rFonts w:ascii="Times New Roman" w:hAnsi="Times New Roman" w:cs="Times New Roman"/>
              </w:rPr>
            </w:pPr>
            <w:r w:rsidRPr="00CB2EC4">
              <w:rPr>
                <w:rFonts w:ascii="Times New Roman" w:hAnsi="Times New Roman" w:cs="Times New Roman"/>
              </w:rPr>
              <w:t>the main goal of palliative care is to alleviate suffering in patients with advanced incurable disease, focusing on symptom relief (such as pain) and improving quality of life (QOL), rather than pursuing cure.</w:t>
            </w:r>
            <w:r w:rsidRPr="00CB2EC4">
              <w:rPr>
                <w:rFonts w:ascii="Times New Roman" w:hAnsi="Times New Roman" w:cs="Times New Roman"/>
              </w:rPr>
              <w:br/>
            </w:r>
            <w:r w:rsidRPr="00CB2EC4">
              <w:rPr>
                <w:rFonts w:ascii="Times New Roman" w:hAnsi="Times New Roman" w:cs="Times New Roman"/>
              </w:rPr>
              <w:br/>
              <w:t>in metastatic cervical cancer patients, integration of palliative care with radiotherapy and chemotherapy:</w:t>
            </w:r>
            <w:r w:rsidRPr="00CB2EC4">
              <w:rPr>
                <w:rFonts w:ascii="Times New Roman" w:hAnsi="Times New Roman" w:cs="Times New Roman"/>
              </w:rPr>
              <w:br/>
              <w:t xml:space="preserve">- application of radiotherapy: radiotherapy is a core modality in palliative care for controlling local symptoms (e.g., bone metastasis pain or pelvic recurrence). the document states: "the role of radiotherapy in treating recurrent cervical cancer has two aspects: controlling the recurrence site and </w:t>
            </w:r>
            <w:r w:rsidRPr="00CB2EC4">
              <w:rPr>
                <w:rFonts w:ascii="Times New Roman" w:hAnsi="Times New Roman" w:cs="Times New Roman"/>
              </w:rPr>
              <w:lastRenderedPageBreak/>
              <w:t>alleviating symptoms. the latter is commonly used for pain management in bone metastasis." doses are typically low to minimize toxicity (e.g., palliative external beam radiation for bone metastases).</w:t>
            </w:r>
            <w:r w:rsidRPr="00CB2EC4">
              <w:rPr>
                <w:rFonts w:ascii="Times New Roman" w:hAnsi="Times New Roman" w:cs="Times New Roman"/>
              </w:rPr>
              <w:br/>
              <w:t>- application of chemotherapy: chemotherapy is primarily used for systemic control of metastatic disease, but the document does not detail its specific integration in palliative care. it notes that recurrent/metastatic cervical cancer is managed with "systemic therapy" (including chemotherapy), with regimens possibly involving platinum agents (e.g., cisplatin) or taxanes, but does not specify how it synergizes with palliative radiotherapy.</w:t>
            </w:r>
            <w:r w:rsidRPr="00CB2EC4">
              <w:rPr>
                <w:rFonts w:ascii="Times New Roman" w:hAnsi="Times New Roman" w:cs="Times New Roman"/>
              </w:rPr>
              <w:br/>
              <w:t>- integration approach: the document provides no explicit strategy for combining modalities (e.g., sequential or concurrent use). in metastatic patients, radiotherapy and chemotherapy may be used independently or sequentially—e.g., chemotherapy first for systemic control, followed by radiotherapy for localized symptoms (like bone pain); or vice versa. however, no clear guidelines or evidence support a specific combined protocol. the document emphasizes "avoiding dual therapy to reduce complications," indicating individualized balancing is needed in palliative settings.</w:t>
            </w:r>
            <w:r w:rsidRPr="00CB2EC4">
              <w:rPr>
                <w:rFonts w:ascii="Times New Roman" w:hAnsi="Times New Roman" w:cs="Times New Roman"/>
              </w:rPr>
              <w:br/>
              <w:t>- summary: palliative care relies mainly on radiotherapy for symptom relief and chemotherapy for systemic control, but specific integration methods are not detailed in the document. no systematic framework for combination was found in the knowledge base.</w:t>
            </w:r>
          </w:p>
        </w:tc>
        <w:tc>
          <w:tcPr>
            <w:tcW w:w="1152" w:type="dxa"/>
            <w:vAlign w:val="center"/>
          </w:tcPr>
          <w:p w14:paraId="0D4851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6C5B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FA0F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7E7991" w14:textId="77777777">
        <w:tc>
          <w:tcPr>
            <w:tcW w:w="2160" w:type="dxa"/>
            <w:vAlign w:val="center"/>
          </w:tcPr>
          <w:p w14:paraId="75D14CCA"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97BDA8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Main goal: Control symptoms (e.g., pain, bleeding, foul-smelling discharge), maintain dignity and quality of life, rather than cure (Block 18, 19).  </w:t>
            </w:r>
            <w:r w:rsidRPr="00CB2EC4">
              <w:rPr>
                <w:rFonts w:ascii="Times New Roman" w:hAnsi="Times New Roman" w:cs="Times New Roman"/>
              </w:rPr>
              <w:br/>
            </w:r>
            <w:r w:rsidRPr="00CB2EC4">
              <w:rPr>
                <w:rFonts w:ascii="Times New Roman" w:hAnsi="Times New Roman" w:cs="Times New Roman"/>
              </w:rPr>
              <w:lastRenderedPageBreak/>
              <w:t xml:space="preserve">2. Integration with radiotherapy/chemotherapy:  </w:t>
            </w:r>
            <w:r w:rsidRPr="00CB2EC4">
              <w:rPr>
                <w:rFonts w:ascii="Times New Roman" w:hAnsi="Times New Roman" w:cs="Times New Roman"/>
              </w:rPr>
              <w:br/>
              <w:t xml:space="preserve">   - Radiotherapy:  </w:t>
            </w:r>
            <w:r w:rsidRPr="00CB2EC4">
              <w:rPr>
                <w:rFonts w:ascii="Times New Roman" w:hAnsi="Times New Roman" w:cs="Times New Roman"/>
              </w:rPr>
              <w:br/>
              <w:t xml:space="preserve">     - Short-course radiotherapy: Used to control local symptoms (e.g., bone metastasis pain, vaginal bleeding). Common regimens: 5 fractions of 20 Gy or 10 fractions of 30–35 Gy (Block 19).  </w:t>
            </w:r>
            <w:r w:rsidRPr="00CB2EC4">
              <w:rPr>
                <w:rFonts w:ascii="Times New Roman" w:hAnsi="Times New Roman" w:cs="Times New Roman"/>
              </w:rPr>
              <w:br/>
              <w:t xml:space="preserve">     - Refractory bleeding: Intracavitary brachytherapy (ICRT) can achieve rapid control (within 12–48 hours) (Block 19).  </w:t>
            </w:r>
            <w:r w:rsidRPr="00CB2EC4">
              <w:rPr>
                <w:rFonts w:ascii="Times New Roman" w:hAnsi="Times New Roman" w:cs="Times New Roman"/>
              </w:rPr>
              <w:br/>
              <w:t xml:space="preserve">   - Chemotherapy:  </w:t>
            </w:r>
            <w:r w:rsidRPr="00CB2EC4">
              <w:rPr>
                <w:rFonts w:ascii="Times New Roman" w:hAnsi="Times New Roman" w:cs="Times New Roman"/>
              </w:rPr>
              <w:br/>
              <w:t xml:space="preserve">     - Platinum-based chemotherapy (e.g., cisplatin monotherapy or combined with paclitaxel) relieves pain and slows metastatic progression, but effects are short-lived (Block 19, 48).  </w:t>
            </w:r>
            <w:r w:rsidRPr="00CB2EC4">
              <w:rPr>
                <w:rFonts w:ascii="Times New Roman" w:hAnsi="Times New Roman" w:cs="Times New Roman"/>
              </w:rPr>
              <w:br/>
              <w:t xml:space="preserve">     - Suitable for patients with good performance status (ECOG 0–2); systemic therapy is primary for those with distant metastases (Block 48).  </w:t>
            </w:r>
            <w:r w:rsidRPr="00CB2EC4">
              <w:rPr>
                <w:rFonts w:ascii="Times New Roman" w:hAnsi="Times New Roman" w:cs="Times New Roman"/>
              </w:rPr>
              <w:br/>
              <w:t xml:space="preserve">   - Comprehensive management:  </w:t>
            </w:r>
            <w:r w:rsidRPr="00CB2EC4">
              <w:rPr>
                <w:rFonts w:ascii="Times New Roman" w:hAnsi="Times New Roman" w:cs="Times New Roman"/>
              </w:rPr>
              <w:br/>
              <w:t xml:space="preserve">     - Stepwise pain management (oral morphine), psychosocial support, end-of-life care (Block 18).  </w:t>
            </w:r>
            <w:r w:rsidRPr="00CB2EC4">
              <w:rPr>
                <w:rFonts w:ascii="Times New Roman" w:hAnsi="Times New Roman" w:cs="Times New Roman"/>
              </w:rPr>
              <w:br/>
              <w:t xml:space="preserve">     - Terminally ill patients focus on supportive care, avoiding overtreatment (Block 48).  </w:t>
            </w:r>
            <w:r w:rsidRPr="00CB2EC4">
              <w:rPr>
                <w:rFonts w:ascii="Times New Roman" w:hAnsi="Times New Roman" w:cs="Times New Roman"/>
              </w:rPr>
              <w:br/>
            </w:r>
            <w:r w:rsidRPr="00CB2EC4">
              <w:rPr>
                <w:rFonts w:ascii="Times New Roman" w:hAnsi="Times New Roman" w:cs="Times New Roman"/>
              </w:rPr>
              <w:br/>
              <w:t>&gt; Source: Block 18 (recurrence treatment strategy), Block 19 (palliative care and radiotherapy), Block 48 (recurrent/metastatic treatment).</w:t>
            </w:r>
          </w:p>
        </w:tc>
        <w:tc>
          <w:tcPr>
            <w:tcW w:w="1152" w:type="dxa"/>
            <w:vAlign w:val="center"/>
          </w:tcPr>
          <w:p w14:paraId="1F7BD5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B667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CBBAA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02370E" w14:textId="77777777">
        <w:tc>
          <w:tcPr>
            <w:tcW w:w="2160" w:type="dxa"/>
            <w:vAlign w:val="center"/>
          </w:tcPr>
          <w:p w14:paraId="2D0A8B3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88C7BA7" w14:textId="77777777" w:rsidR="00922249" w:rsidRPr="00CB2EC4" w:rsidRDefault="003011D5">
            <w:pPr>
              <w:rPr>
                <w:rFonts w:ascii="Times New Roman" w:hAnsi="Times New Roman" w:cs="Times New Roman"/>
              </w:rPr>
            </w:pPr>
            <w:r w:rsidRPr="00CB2EC4">
              <w:rPr>
                <w:rFonts w:ascii="Times New Roman" w:hAnsi="Times New Roman" w:cs="Times New Roman"/>
              </w:rPr>
              <w:t>the main goal of palliative care is to control symptoms, maintain dignity, and preserve quality of life, rather than to cure the disease. in patients with metastatic cervical cancer, palliative care is integrated with radiotherapy and chemotherapy to alleviate symptoms and improve survival quality.</w:t>
            </w:r>
            <w:r w:rsidRPr="00CB2EC4">
              <w:rPr>
                <w:rFonts w:ascii="Times New Roman" w:hAnsi="Times New Roman" w:cs="Times New Roman"/>
              </w:rPr>
              <w:br/>
              <w:t xml:space="preserve">- main goal: the purpose of palliative care is to control symptoms (such as pain, bleeding, foul-smelling </w:t>
            </w:r>
            <w:r w:rsidRPr="00CB2EC4">
              <w:rPr>
                <w:rFonts w:ascii="Times New Roman" w:hAnsi="Times New Roman" w:cs="Times New Roman"/>
              </w:rPr>
              <w:lastRenderedPageBreak/>
              <w:t>vaginal discharge, etc.) to maintain patient dignity and quality of life (document fragment 11).</w:t>
            </w:r>
            <w:r w:rsidRPr="00CB2EC4">
              <w:rPr>
                <w:rFonts w:ascii="Times New Roman" w:hAnsi="Times New Roman" w:cs="Times New Roman"/>
              </w:rPr>
              <w:br/>
              <w:t>- integration with radiotherapy:</w:t>
            </w:r>
            <w:r w:rsidRPr="00CB2EC4">
              <w:rPr>
                <w:rFonts w:ascii="Times New Roman" w:hAnsi="Times New Roman" w:cs="Times New Roman"/>
              </w:rPr>
              <w:br/>
              <w:t xml:space="preserve">  - radiotherapy is used to relieve local symptoms such as pain, bleeding, or obstruction. for example:</w:t>
            </w:r>
            <w:r w:rsidRPr="00CB2EC4">
              <w:rPr>
                <w:rFonts w:ascii="Times New Roman" w:hAnsi="Times New Roman" w:cs="Times New Roman"/>
              </w:rPr>
              <w:br/>
              <w:t xml:space="preserve">    - for pain caused by bone metastases, supraclavicular lymphadenopathy, or brain metastases, hypofractionated palliative radiotherapy may be employed (e.g., single-fraction regimens, 5-fraction dose of 20 Gy, or 10-fraction dose of 30 Gy) (document fragment 9).</w:t>
            </w:r>
            <w:r w:rsidRPr="00CB2EC4">
              <w:rPr>
                <w:rFonts w:ascii="Times New Roman" w:hAnsi="Times New Roman" w:cs="Times New Roman"/>
              </w:rPr>
              <w:br/>
              <w:t xml:space="preserve">    - for severe vaginal bleeding, short-course external beam radiotherapy (EBRT) or vaginal intracavitary radiotherapy (ICRT) can be attempted, typically achieving hemostasis within 12–48 hours after radiotherapy (document fragment 9).</w:t>
            </w:r>
            <w:r w:rsidRPr="00CB2EC4">
              <w:rPr>
                <w:rFonts w:ascii="Times New Roman" w:hAnsi="Times New Roman" w:cs="Times New Roman"/>
              </w:rPr>
              <w:br/>
              <w:t xml:space="preserve">    - palliative radiotherapy may also be used for lymph node metastases, bone metastases, or pelvic recurrences to shrink tumors and relieve symptoms (document fragments 36, 39).</w:t>
            </w:r>
            <w:r w:rsidRPr="00CB2EC4">
              <w:rPr>
                <w:rFonts w:ascii="Times New Roman" w:hAnsi="Times New Roman" w:cs="Times New Roman"/>
              </w:rPr>
              <w:br/>
              <w:t>- integration with chemotherapy:</w:t>
            </w:r>
            <w:r w:rsidRPr="00CB2EC4">
              <w:rPr>
                <w:rFonts w:ascii="Times New Roman" w:hAnsi="Times New Roman" w:cs="Times New Roman"/>
              </w:rPr>
              <w:br/>
              <w:t xml:space="preserve">  - chemotherapy is used to control disease progression and symptoms from distant metastases. for patients with better performance status (ECOG 0–2), palliative chemotherapy such as cisplatin-based regimens or carboplatin plus paclitaxel may be administered (document fragment 28).</w:t>
            </w:r>
            <w:r w:rsidRPr="00CB2EC4">
              <w:rPr>
                <w:rFonts w:ascii="Times New Roman" w:hAnsi="Times New Roman" w:cs="Times New Roman"/>
              </w:rPr>
              <w:br/>
              <w:t xml:space="preserve">  - in metastatic patients, chemotherapy is often combined with best supportive care (e.g., nutritional support) for incurable cases (document fragment 4). for example, in refractory metastatic patients, chemotherapy or best supportive care is recommended (document fragment 4).</w:t>
            </w:r>
            <w:r w:rsidRPr="00CB2EC4">
              <w:rPr>
                <w:rFonts w:ascii="Times New Roman" w:hAnsi="Times New Roman" w:cs="Times New Roman"/>
              </w:rPr>
              <w:br/>
              <w:t xml:space="preserve">- comprehensive application: palliative care also </w:t>
            </w:r>
            <w:r w:rsidRPr="00CB2EC4">
              <w:rPr>
                <w:rFonts w:ascii="Times New Roman" w:hAnsi="Times New Roman" w:cs="Times New Roman"/>
              </w:rPr>
              <w:lastRenderedPageBreak/>
              <w:t>includes supportive measures such as pain management, nutritional support, emotional, and spiritual support (document fragments 4, 11). in metastatic cervical cancer, the integration of radiotherapy and chemotherapy is based on individual symptoms: radiotherapy targets local symptoms (e.g., pain or bleeding), while chemotherapy addresses systemic disease control; the two may be used sequentially or concurrently to achieve optimal palliative outcomes (document fragments 9, 28).</w:t>
            </w:r>
            <w:r w:rsidRPr="00CB2EC4">
              <w:rPr>
                <w:rFonts w:ascii="Times New Roman" w:hAnsi="Times New Roman" w:cs="Times New Roman"/>
              </w:rPr>
              <w:br/>
            </w:r>
            <w:r w:rsidRPr="00CB2EC4">
              <w:rPr>
                <w:rFonts w:ascii="Times New Roman" w:hAnsi="Times New Roman" w:cs="Times New Roman"/>
              </w:rPr>
              <w:br/>
              <w:t>in summary, palliative care centers on symptom control, with radiotherapy and chemotherapy serving as tools selected based on patient-specific factors such as symptom type and performance status.</w:t>
            </w:r>
          </w:p>
        </w:tc>
        <w:tc>
          <w:tcPr>
            <w:tcW w:w="1152" w:type="dxa"/>
            <w:vAlign w:val="center"/>
          </w:tcPr>
          <w:p w14:paraId="10707D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6783F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3608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BDA2183" w14:textId="77777777">
        <w:tc>
          <w:tcPr>
            <w:tcW w:w="2160" w:type="dxa"/>
            <w:vAlign w:val="center"/>
          </w:tcPr>
          <w:p w14:paraId="5206F9B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70A5BA76" w14:textId="77777777" w:rsidR="00922249" w:rsidRPr="00CB2EC4" w:rsidRDefault="003011D5">
            <w:pPr>
              <w:rPr>
                <w:rFonts w:ascii="Times New Roman" w:hAnsi="Times New Roman" w:cs="Times New Roman"/>
              </w:rPr>
            </w:pPr>
            <w:r w:rsidRPr="00CB2EC4">
              <w:rPr>
                <w:rFonts w:ascii="Times New Roman" w:hAnsi="Times New Roman" w:cs="Times New Roman"/>
              </w:rPr>
              <w:t>the main goal of palliative care is to prevent and alleviate suffering and to improve quality of life, integrated throughout the course of treatment (not limited to the end-of-life stage).</w:t>
            </w:r>
            <w:r w:rsidRPr="00CB2EC4">
              <w:rPr>
                <w:rFonts w:ascii="Times New Roman" w:hAnsi="Times New Roman" w:cs="Times New Roman"/>
              </w:rPr>
              <w:br/>
            </w:r>
            <w:r w:rsidRPr="00CB2EC4">
              <w:rPr>
                <w:rFonts w:ascii="Times New Roman" w:hAnsi="Times New Roman" w:cs="Times New Roman"/>
              </w:rPr>
              <w:br/>
              <w:t>in patients with metastatic cervical cancer, the integration of palliative care with radiotherapy and chemotherapy is as follows:</w:t>
            </w:r>
            <w:r w:rsidRPr="00CB2EC4">
              <w:rPr>
                <w:rFonts w:ascii="Times New Roman" w:hAnsi="Times New Roman" w:cs="Times New Roman"/>
              </w:rPr>
              <w:br/>
            </w:r>
            <w:r w:rsidRPr="00CB2EC4">
              <w:rPr>
                <w:rFonts w:ascii="Times New Roman" w:hAnsi="Times New Roman" w:cs="Times New Roman"/>
              </w:rPr>
              <w:br/>
              <w:t>- radiotherapy: used for local symptom control (e.g., bone metastasis pain, vaginal bleeding), with short-course, low-dose regimens (e.g., 20 Gy in 5 fractions).</w:t>
            </w:r>
            <w:r w:rsidRPr="00CB2EC4">
              <w:rPr>
                <w:rFonts w:ascii="Times New Roman" w:hAnsi="Times New Roman" w:cs="Times New Roman"/>
              </w:rPr>
              <w:br/>
              <w:t>- chemotherapy: platinum-based + paclitaxel ± bevacizumab regimens are employed for systemic control of metastatic disease, prolonging survival.</w:t>
            </w:r>
            <w:r w:rsidRPr="00CB2EC4">
              <w:rPr>
                <w:rFonts w:ascii="Times New Roman" w:hAnsi="Times New Roman" w:cs="Times New Roman"/>
              </w:rPr>
              <w:br/>
              <w:t>- supportive care: pain management, nutritional support, and psychological intervention are provided by community healthcare teams.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conclusion:</w:t>
            </w:r>
            <w:r w:rsidRPr="00CB2EC4">
              <w:rPr>
                <w:rFonts w:ascii="Times New Roman" w:hAnsi="Times New Roman" w:cs="Times New Roman"/>
              </w:rPr>
              <w:br/>
              <w:t>&gt; palliative care centers on symptom relief and quality of life enhancement. for metastatic cervical cancer, combine palliative radiotherapy (for local symptoms) and chemotherapy (for systemic control), while concurrently delivering pain management and psychosocial support.</w:t>
            </w:r>
          </w:p>
        </w:tc>
        <w:tc>
          <w:tcPr>
            <w:tcW w:w="1152" w:type="dxa"/>
            <w:vAlign w:val="center"/>
          </w:tcPr>
          <w:p w14:paraId="20EF45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65539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80BC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AAE802" w14:textId="77777777">
        <w:tc>
          <w:tcPr>
            <w:tcW w:w="2160" w:type="dxa"/>
            <w:vAlign w:val="center"/>
          </w:tcPr>
          <w:p w14:paraId="4A444D0C"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94C9083" w14:textId="77777777" w:rsidR="00922249" w:rsidRPr="00CB2EC4" w:rsidRDefault="003011D5">
            <w:pPr>
              <w:rPr>
                <w:rFonts w:ascii="Times New Roman" w:hAnsi="Times New Roman" w:cs="Times New Roman"/>
              </w:rPr>
            </w:pPr>
            <w:r w:rsidRPr="00CB2EC4">
              <w:rPr>
                <w:rFonts w:ascii="Times New Roman" w:hAnsi="Times New Roman" w:cs="Times New Roman"/>
              </w:rPr>
              <w:t>the main goal of palliative care is to relieve symptoms (such as pain and bleeding) and improve quality of life, rather than to cure the disease (Document Fragment 15: "Patients with advanced refractory disease often develop symptoms related to metastatic lesions; short-course radiotherapy can be used to alleviate such symptoms"; Document Fragment 24: "The median survival for patients with distant metastases is only about 7 months; treatment plans should consider symptom relief").</w:t>
            </w:r>
            <w:r w:rsidRPr="00CB2EC4">
              <w:rPr>
                <w:rFonts w:ascii="Times New Roman" w:hAnsi="Times New Roman" w:cs="Times New Roman"/>
              </w:rPr>
              <w:br/>
            </w:r>
            <w:r w:rsidRPr="00CB2EC4">
              <w:rPr>
                <w:rFonts w:ascii="Times New Roman" w:hAnsi="Times New Roman" w:cs="Times New Roman"/>
              </w:rPr>
              <w:br/>
              <w:t>how palliative care is combined with radiotherapy and chemotherapy:</w:t>
            </w:r>
            <w:r w:rsidRPr="00CB2EC4">
              <w:rPr>
                <w:rFonts w:ascii="Times New Roman" w:hAnsi="Times New Roman" w:cs="Times New Roman"/>
              </w:rPr>
              <w:br/>
              <w:t>- radiotherapy: used to control local symptoms. for example:</w:t>
            </w:r>
            <w:r w:rsidRPr="00CB2EC4">
              <w:rPr>
                <w:rFonts w:ascii="Times New Roman" w:hAnsi="Times New Roman" w:cs="Times New Roman"/>
              </w:rPr>
              <w:br/>
              <w:t xml:space="preserve">  - short-course radiotherapy (e.g., 20 Gy in 5 fractions over 1 week or 30 Gy in 10 fractions over 2 weeks) is used to relieve pain, vaginal bleeding, or bone metastasis symptoms (Document Fragments 15 and 24).</w:t>
            </w:r>
            <w:r w:rsidRPr="00CB2EC4">
              <w:rPr>
                <w:rFonts w:ascii="Times New Roman" w:hAnsi="Times New Roman" w:cs="Times New Roman"/>
              </w:rPr>
              <w:br/>
              <w:t xml:space="preserve">  - for severe vaginal bleeding, intracavitary brachytherapy (ICRT) can rapidly control bleeding (typically within 12–48 hours) (Document Fragment 15).</w:t>
            </w:r>
            <w:r w:rsidRPr="00CB2EC4">
              <w:rPr>
                <w:rFonts w:ascii="Times New Roman" w:hAnsi="Times New Roman" w:cs="Times New Roman"/>
              </w:rPr>
              <w:br/>
              <w:t xml:space="preserve">  - for brain or bone metastases, hypofractionated radiotherapy (e.g., single high-dose fraction or 20 Gy in 5 fractions) is used to reduce symptoms (Document </w:t>
            </w:r>
            <w:r w:rsidRPr="00CB2EC4">
              <w:rPr>
                <w:rFonts w:ascii="Times New Roman" w:hAnsi="Times New Roman" w:cs="Times New Roman"/>
              </w:rPr>
              <w:lastRenderedPageBreak/>
              <w:t>Fragment 24).</w:t>
            </w:r>
            <w:r w:rsidRPr="00CB2EC4">
              <w:rPr>
                <w:rFonts w:ascii="Times New Roman" w:hAnsi="Times New Roman" w:cs="Times New Roman"/>
              </w:rPr>
              <w:br/>
              <w:t>- chemotherapy: used for systemic symptom control, but with limited efficacy and short duration of benefit. platinum-based chemotherapy (e.g., cisplatin monotherapy or in combination with paclitaxel) is the standard regimen and can relieve pain and systemic symptoms (Document Fragment 24: "Cisplatin remains the standard chemotherapy drug for patients with distant metastases"; Document Fragment 22: "Systemic therapy (chemotherapy) is used for symptom relief").</w:t>
            </w:r>
            <w:r w:rsidRPr="00CB2EC4">
              <w:rPr>
                <w:rFonts w:ascii="Times New Roman" w:hAnsi="Times New Roman" w:cs="Times New Roman"/>
              </w:rPr>
              <w:br/>
              <w:t>- integration approach: palliative care focuses on supportive care, with radiotherapy and chemotherapy as adjunctive tools. for example, chemotherapy may be used palliatively in patients with better performance status (ECOG 0–2); radiotherapy targets specific symptomatic sites (Document Fragment 24). however, due to low chemotherapy response rates and minimal survival benefit, individualized treatment plans are emphasized (Document Fragment 22: "For those unsuitable for local therapy, systemic treatment ± nutritional and supportive care is preferred").</w:t>
            </w:r>
          </w:p>
        </w:tc>
        <w:tc>
          <w:tcPr>
            <w:tcW w:w="1152" w:type="dxa"/>
            <w:vAlign w:val="center"/>
          </w:tcPr>
          <w:p w14:paraId="4950D2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CAA20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A7C7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6A6929" w14:textId="77777777">
        <w:tc>
          <w:tcPr>
            <w:tcW w:w="2160" w:type="dxa"/>
            <w:vAlign w:val="center"/>
          </w:tcPr>
          <w:p w14:paraId="6793918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343E61B" w14:textId="77777777" w:rsidR="00922249" w:rsidRPr="00CB2EC4" w:rsidRDefault="003011D5">
            <w:pPr>
              <w:rPr>
                <w:rFonts w:ascii="Times New Roman" w:hAnsi="Times New Roman" w:cs="Times New Roman"/>
              </w:rPr>
            </w:pPr>
            <w:r w:rsidRPr="00CB2EC4">
              <w:rPr>
                <w:rFonts w:ascii="Times New Roman" w:hAnsi="Times New Roman" w:cs="Times New Roman"/>
              </w:rPr>
              <w:t>the main goal of palliative care is to relieve symptoms, control pain, and improve quality of life, rather than pursuing cure (related documents 16 and 23). Document 16 states that palliative care includes "nutritional and supportive treatment, palliative therapy," with emphasis on alleviating suffering (such as vaginal bleeding, discharge, pain) and providing emotional support (related document 23).</w:t>
            </w:r>
            <w:r w:rsidRPr="00CB2EC4">
              <w:rPr>
                <w:rFonts w:ascii="Times New Roman" w:hAnsi="Times New Roman" w:cs="Times New Roman"/>
              </w:rPr>
              <w:br/>
            </w:r>
            <w:r w:rsidRPr="00CB2EC4">
              <w:rPr>
                <w:rFonts w:ascii="Times New Roman" w:hAnsi="Times New Roman" w:cs="Times New Roman"/>
              </w:rPr>
              <w:br/>
              <w:t>in patients with metastatic cervical cancer, how to combine palliative care with radiotherapy and chemotherapy:</w:t>
            </w:r>
            <w:r w:rsidRPr="00CB2EC4">
              <w:rPr>
                <w:rFonts w:ascii="Times New Roman" w:hAnsi="Times New Roman" w:cs="Times New Roman"/>
              </w:rPr>
              <w:br/>
            </w:r>
            <w:r w:rsidRPr="00CB2EC4">
              <w:rPr>
                <w:rFonts w:ascii="Times New Roman" w:hAnsi="Times New Roman" w:cs="Times New Roman"/>
              </w:rPr>
              <w:lastRenderedPageBreak/>
              <w:t>- application of radiotherapy: radiotherapy is mainly used to control local symptoms, such as vaginal bleeding, bone metastasis pain, or brain metastasis. Document 12 indicates that for recurrent or metastatic patients, short-course palliative radiotherapy (e.g., 4–5 fractions of 20 Gy or 10 fractions of 30–35 Gy) can effectively relieve symptoms; for example, radiotherapy can rapidly control symptoms in cases of bone metastasis pain or hemoptysis from lung metastasis (related document 12).</w:t>
            </w:r>
            <w:r w:rsidRPr="00CB2EC4">
              <w:rPr>
                <w:rFonts w:ascii="Times New Roman" w:hAnsi="Times New Roman" w:cs="Times New Roman"/>
              </w:rPr>
              <w:br/>
              <w:t>- application of chemotherapy: chemotherapy (systemic therapy) is used to control systemic metastases, but response rates are limited. Document 23 mentions that for patients with distant metastases, systemic therapy (such as platinum-based chemotherapy) is preferred and can relieve pain and other symptoms, although the effect is short-lived (related document 23).</w:t>
            </w:r>
            <w:r w:rsidRPr="00CB2EC4">
              <w:rPr>
                <w:rFonts w:ascii="Times New Roman" w:hAnsi="Times New Roman" w:cs="Times New Roman"/>
              </w:rPr>
              <w:br/>
              <w:t>- integration approach: palliative care is combined with radiotherapy/chemotherapy in a comprehensive manner. For example:</w:t>
            </w:r>
            <w:r w:rsidRPr="00CB2EC4">
              <w:rPr>
                <w:rFonts w:ascii="Times New Roman" w:hAnsi="Times New Roman" w:cs="Times New Roman"/>
              </w:rPr>
              <w:br/>
              <w:t xml:space="preserve">  - for patients with local symptoms (such as pelvic pain), palliative radiotherapy may be given first to control lesions, while systemic chemotherapy is administered concurrently to delay distant progression (related documents 12 and 23).</w:t>
            </w:r>
            <w:r w:rsidRPr="00CB2EC4">
              <w:rPr>
                <w:rFonts w:ascii="Times New Roman" w:hAnsi="Times New Roman" w:cs="Times New Roman"/>
              </w:rPr>
              <w:br/>
              <w:t xml:space="preserve">  - document 16 emphasizes that in metastatic cervical cancer, systemic therapy (chemotherapy) can be combined with nutritional support, pain management, and emotional care; refractory cases focus on palliative care, with encouragement to participate in clinical trials (related document 16).</w:t>
            </w:r>
            <w:r w:rsidRPr="00CB2EC4">
              <w:rPr>
                <w:rFonts w:ascii="Times New Roman" w:hAnsi="Times New Roman" w:cs="Times New Roman"/>
              </w:rPr>
              <w:br/>
              <w:t xml:space="preserve">- the overall principle is to individualize the integration of radiotherapy (for local symptom </w:t>
            </w:r>
            <w:r w:rsidRPr="00CB2EC4">
              <w:rPr>
                <w:rFonts w:ascii="Times New Roman" w:hAnsi="Times New Roman" w:cs="Times New Roman"/>
              </w:rPr>
              <w:lastRenderedPageBreak/>
              <w:t>control), chemotherapy (for systemic disease management), and palliative support (such as pain consultation and psychosocial support) based on the patient’s symptoms and tolerance, to maximize quality of life (related documents 16 and 23).</w:t>
            </w:r>
            <w:r w:rsidRPr="00CB2EC4">
              <w:rPr>
                <w:rFonts w:ascii="Times New Roman" w:hAnsi="Times New Roman" w:cs="Times New Roman"/>
              </w:rPr>
              <w:br/>
            </w:r>
            <w:r w:rsidRPr="00CB2EC4">
              <w:rPr>
                <w:rFonts w:ascii="Times New Roman" w:hAnsi="Times New Roman" w:cs="Times New Roman"/>
              </w:rPr>
              <w:br/>
              <w:t>summary: the main goal of palliative care is symptom relief, pain control, and quality of life improvement. in metastatic cervical cancer, radiotherapy is used for local symptom control (e.g., bleeding or bone pain), chemotherapy for systemic disease management, and both are combined with palliative support (nutrition, pain management) to form an individualized comprehensive plan.</w:t>
            </w:r>
          </w:p>
        </w:tc>
        <w:tc>
          <w:tcPr>
            <w:tcW w:w="1152" w:type="dxa"/>
            <w:vAlign w:val="center"/>
          </w:tcPr>
          <w:p w14:paraId="7EDF54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8B5CE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CF6B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8DF768" w14:textId="77777777">
        <w:tc>
          <w:tcPr>
            <w:tcW w:w="2160" w:type="dxa"/>
            <w:vAlign w:val="center"/>
          </w:tcPr>
          <w:p w14:paraId="16511C3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40B541E7" w14:textId="77777777" w:rsidR="00922249" w:rsidRPr="00CB2EC4" w:rsidRDefault="003011D5">
            <w:pPr>
              <w:rPr>
                <w:rFonts w:ascii="Times New Roman" w:hAnsi="Times New Roman" w:cs="Times New Roman"/>
              </w:rPr>
            </w:pPr>
            <w:r w:rsidRPr="00CB2EC4">
              <w:rPr>
                <w:rFonts w:ascii="Times New Roman" w:hAnsi="Times New Roman" w:cs="Times New Roman"/>
              </w:rPr>
              <w:t>the main goal of palliative care is to control symptoms, maintain dignity and quality of life, rather than pursue cure. the focus is on relieving pain, bleeding, foul vaginal discharge, lymphedema, fistulas, and renal failure due to ureteral obstruction, while providing psychosocial support, pain management, and end-of-life care.</w:t>
            </w:r>
            <w:r w:rsidRPr="00CB2EC4">
              <w:rPr>
                <w:rFonts w:ascii="Times New Roman" w:hAnsi="Times New Roman" w:cs="Times New Roman"/>
              </w:rPr>
              <w:br/>
            </w:r>
            <w:r w:rsidRPr="00CB2EC4">
              <w:rPr>
                <w:rFonts w:ascii="Times New Roman" w:hAnsi="Times New Roman" w:cs="Times New Roman"/>
              </w:rPr>
              <w:br/>
              <w:t xml:space="preserve">- how to integrate palliative care with radiotherapy and chemotherapy in metastatic cervical cancer patients:  </w:t>
            </w:r>
            <w:r w:rsidRPr="00CB2EC4">
              <w:rPr>
                <w:rFonts w:ascii="Times New Roman" w:hAnsi="Times New Roman" w:cs="Times New Roman"/>
              </w:rPr>
              <w:br/>
              <w:t xml:space="preserve">  the document describes the integrated application of palliative care with radiotherapy and chemotherapy as follows:  </w:t>
            </w:r>
            <w:r w:rsidRPr="00CB2EC4">
              <w:rPr>
                <w:rFonts w:ascii="Times New Roman" w:hAnsi="Times New Roman" w:cs="Times New Roman"/>
              </w:rPr>
              <w:br/>
              <w:t xml:space="preserve">  - integration with radiotherapy:  </w:t>
            </w:r>
            <w:r w:rsidRPr="00CB2EC4">
              <w:rPr>
                <w:rFonts w:ascii="Times New Roman" w:hAnsi="Times New Roman" w:cs="Times New Roman"/>
              </w:rPr>
              <w:br/>
              <w:t xml:space="preserve">    - palliative radiotherapy is used to control local symptoms such as severe vaginal bleeding, bone metastatic pain, lymph node enlargement causing pain, or brain metastases. short-course, hypofractionated dose regimens are adopted for rapid </w:t>
            </w:r>
            <w:r w:rsidRPr="00CB2EC4">
              <w:rPr>
                <w:rFonts w:ascii="Times New Roman" w:hAnsi="Times New Roman" w:cs="Times New Roman"/>
              </w:rPr>
              <w:lastRenderedPageBreak/>
              <w:t xml:space="preserve">symptom relief, for example:  </w:t>
            </w:r>
            <w:r w:rsidRPr="00CB2EC4">
              <w:rPr>
                <w:rFonts w:ascii="Times New Roman" w:hAnsi="Times New Roman" w:cs="Times New Roman"/>
              </w:rPr>
              <w:br/>
              <w:t xml:space="preserve">      - vaginal bleeding: short-course external beam radiotherapy (ebrt), such as 20 gy in 5 fractions over 1 week; if ineffective, intracavitary brachytherapy (icrt) may be added, typically controlling bleeding within 12–48 hours.  </w:t>
            </w:r>
            <w:r w:rsidRPr="00CB2EC4">
              <w:rPr>
                <w:rFonts w:ascii="Times New Roman" w:hAnsi="Times New Roman" w:cs="Times New Roman"/>
              </w:rPr>
              <w:br/>
              <w:t xml:space="preserve">      - bone metastases or painful symptoms: palliative radiotherapy with 20 gy in 5 fractions or 30 gy in 10 fractions.  </w:t>
            </w:r>
            <w:r w:rsidRPr="00CB2EC4">
              <w:rPr>
                <w:rFonts w:ascii="Times New Roman" w:hAnsi="Times New Roman" w:cs="Times New Roman"/>
              </w:rPr>
              <w:br/>
              <w:t xml:space="preserve">      - brain metastases: cranial irradiation for patients with expected survival &gt;2–3 months.  </w:t>
            </w:r>
            <w:r w:rsidRPr="00CB2EC4">
              <w:rPr>
                <w:rFonts w:ascii="Times New Roman" w:hAnsi="Times New Roman" w:cs="Times New Roman"/>
              </w:rPr>
              <w:br/>
              <w:t xml:space="preserve">    - the principle of radiotherapy is rapid symptom relief, avoiding high-dose regimens that may cause complications, especially in terminally ill patients.  </w:t>
            </w:r>
            <w:r w:rsidRPr="00CB2EC4">
              <w:rPr>
                <w:rFonts w:ascii="Times New Roman" w:hAnsi="Times New Roman" w:cs="Times New Roman"/>
              </w:rPr>
              <w:br/>
              <w:t xml:space="preserve">  - integration with chemotherapy:  </w:t>
            </w:r>
            <w:r w:rsidRPr="00CB2EC4">
              <w:rPr>
                <w:rFonts w:ascii="Times New Roman" w:hAnsi="Times New Roman" w:cs="Times New Roman"/>
              </w:rPr>
              <w:br/>
              <w:t xml:space="preserve">    - chemotherapy (systemic therapy) is used for patients unsuitable for surgery or radiotherapy to relieve systemic symptoms such as pain. platinum-based regimens (e.g., cisplatin) are preferred, but responses are typically short-lived with limited survival benefit. chemotherapy can be combined with other palliative measures, such as:  </w:t>
            </w:r>
            <w:r w:rsidRPr="00CB2EC4">
              <w:rPr>
                <w:rFonts w:ascii="Times New Roman" w:hAnsi="Times New Roman" w:cs="Times New Roman"/>
              </w:rPr>
              <w:br/>
              <w:t xml:space="preserve">      - concurrent chemoradiotherapy (e.g., weekly cisplatin during radiotherapy) to enhance symptom control, subject to patient tolerance assessment.  </w:t>
            </w:r>
            <w:r w:rsidRPr="00CB2EC4">
              <w:rPr>
                <w:rFonts w:ascii="Times New Roman" w:hAnsi="Times New Roman" w:cs="Times New Roman"/>
              </w:rPr>
              <w:br/>
              <w:t xml:space="preserve">      - for refractory metastatic cases, chemotherapy is combined with best supportive care (nutritional support, pain management) or patients are encouraged to participate in clinical trials.  </w:t>
            </w:r>
            <w:r w:rsidRPr="00CB2EC4">
              <w:rPr>
                <w:rFonts w:ascii="Times New Roman" w:hAnsi="Times New Roman" w:cs="Times New Roman"/>
              </w:rPr>
              <w:br/>
              <w:t xml:space="preserve">  - comprehensive supportive care: includes oral morphine for stepwise pain management, nutritional support, and psychological and social support (e.g., from family or ngos). in resource-limited settings, palliative radiotherapy is a key modality but requires </w:t>
            </w:r>
            <w:r w:rsidRPr="00CB2EC4">
              <w:rPr>
                <w:rFonts w:ascii="Times New Roman" w:hAnsi="Times New Roman" w:cs="Times New Roman"/>
              </w:rPr>
              <w:lastRenderedPageBreak/>
              <w:t>individualized planning.</w:t>
            </w:r>
            <w:r w:rsidRPr="00CB2EC4">
              <w:rPr>
                <w:rFonts w:ascii="Times New Roman" w:hAnsi="Times New Roman" w:cs="Times New Roman"/>
              </w:rPr>
              <w:br/>
            </w:r>
            <w:r w:rsidRPr="00CB2EC4">
              <w:rPr>
                <w:rFonts w:ascii="Times New Roman" w:hAnsi="Times New Roman" w:cs="Times New Roman"/>
              </w:rPr>
              <w:br/>
              <w:t>summary: the primary goal is symptom control and quality of life maintenance. integration approach: palliative radiotherapy for local symptoms (e.g., bleeding, pain) using short-course regimens; chemotherapy for systemic symptom relief with transient effect; both must be combined with supportive care (pain management, nutritional support).</w:t>
            </w:r>
          </w:p>
        </w:tc>
        <w:tc>
          <w:tcPr>
            <w:tcW w:w="1152" w:type="dxa"/>
            <w:vAlign w:val="center"/>
          </w:tcPr>
          <w:p w14:paraId="04AE0A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D279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9EFE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CB6DDF" w14:textId="77777777">
        <w:tc>
          <w:tcPr>
            <w:tcW w:w="2160" w:type="dxa"/>
            <w:vAlign w:val="center"/>
          </w:tcPr>
          <w:p w14:paraId="1359362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607F938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goal of palliative care is to relieve symptoms, control pain, and improve quality of life, rather than to cure the disease. in metastatic cervical cancer, palliative care is integrated with radiotherapy and chemotherapy to manage symptoms in an individualized manner.  </w:t>
            </w:r>
            <w:r w:rsidRPr="00CB2EC4">
              <w:rPr>
                <w:rFonts w:ascii="Times New Roman" w:hAnsi="Times New Roman" w:cs="Times New Roman"/>
              </w:rPr>
              <w:br/>
              <w:t xml:space="preserve">- main goals of palliative care:  </w:t>
            </w:r>
            <w:r w:rsidRPr="00CB2EC4">
              <w:rPr>
                <w:rFonts w:ascii="Times New Roman" w:hAnsi="Times New Roman" w:cs="Times New Roman"/>
              </w:rPr>
              <w:br/>
              <w:t xml:space="preserve">  - aims to reduce suffering, such as controlling vaginal bleeding, pain, bone metastasis-related symptoms, etc., and to provide nutritional support, psychological care, and end-of-life care (document fragments 15 and 20). for example, short-course radiotherapy is used for hemostasis or pain relief, and supportive care includes pain counseling and emotional support (document fragment 15).  </w:t>
            </w:r>
            <w:r w:rsidRPr="00CB2EC4">
              <w:rPr>
                <w:rFonts w:ascii="Times New Roman" w:hAnsi="Times New Roman" w:cs="Times New Roman"/>
              </w:rPr>
              <w:br/>
              <w:t xml:space="preserve">- how to combine with radiotherapy and chemotherapy:  </w:t>
            </w:r>
            <w:r w:rsidRPr="00CB2EC4">
              <w:rPr>
                <w:rFonts w:ascii="Times New Roman" w:hAnsi="Times New Roman" w:cs="Times New Roman"/>
              </w:rPr>
              <w:br/>
              <w:t xml:space="preserve">  - radiotherapy: used for local symptom control. for example:  </w:t>
            </w:r>
            <w:r w:rsidRPr="00CB2EC4">
              <w:rPr>
                <w:rFonts w:ascii="Times New Roman" w:hAnsi="Times New Roman" w:cs="Times New Roman"/>
              </w:rPr>
              <w:br/>
              <w:t xml:space="preserve">    - vaginal bleeding: short-course external beam radiotherapy (EBRT) or intracavitary radiotherapy (ICRT) is applied, typically controlling bleeding within 12–48 hours after treatment (document fragment 20).  </w:t>
            </w:r>
            <w:r w:rsidRPr="00CB2EC4">
              <w:rPr>
                <w:rFonts w:ascii="Times New Roman" w:hAnsi="Times New Roman" w:cs="Times New Roman"/>
              </w:rPr>
              <w:br/>
            </w:r>
            <w:r w:rsidRPr="00CB2EC4">
              <w:rPr>
                <w:rFonts w:ascii="Times New Roman" w:hAnsi="Times New Roman" w:cs="Times New Roman"/>
              </w:rPr>
              <w:lastRenderedPageBreak/>
              <w:t xml:space="preserve">    - bone metastases or pain: hypofractionated radiotherapy (e.g., single high-dose or 5 fractions of 20 Gy) is used for rapid symptom relief (document fragment 20).  </w:t>
            </w:r>
            <w:r w:rsidRPr="00CB2EC4">
              <w:rPr>
                <w:rFonts w:ascii="Times New Roman" w:hAnsi="Times New Roman" w:cs="Times New Roman"/>
              </w:rPr>
              <w:br/>
              <w:t xml:space="preserve">    - integration principle: lower radiation doses (e.g., 20–30 Gy) are used to minimize toxicity, suitable for in-field recurrences or metastatic lesions (document fragment 6).  </w:t>
            </w:r>
            <w:r w:rsidRPr="00CB2EC4">
              <w:rPr>
                <w:rFonts w:ascii="Times New Roman" w:hAnsi="Times New Roman" w:cs="Times New Roman"/>
              </w:rPr>
              <w:br/>
              <w:t xml:space="preserve">  - chemotherapy: used for systemic control of tumor progression and distant metastases. for example:  </w:t>
            </w:r>
            <w:r w:rsidRPr="00CB2EC4">
              <w:rPr>
                <w:rFonts w:ascii="Times New Roman" w:hAnsi="Times New Roman" w:cs="Times New Roman"/>
              </w:rPr>
              <w:br/>
              <w:t xml:space="preserve">    - systemic therapy (chemotherapy) is the first-line option combined with palliative radiotherapy. regimens include platinum-based chemotherapy (e.g., cisplatin) to relieve pain and prolong survival (document fragment 15).  </w:t>
            </w:r>
            <w:r w:rsidRPr="00CB2EC4">
              <w:rPr>
                <w:rFonts w:ascii="Times New Roman" w:hAnsi="Times New Roman" w:cs="Times New Roman"/>
              </w:rPr>
              <w:br/>
              <w:t xml:space="preserve">    - when surgery or radiotherapy is not suitable, systemic therapy is preferred, combined with nutritional and supportive care (document fragment 15).  </w:t>
            </w:r>
            <w:r w:rsidRPr="00CB2EC4">
              <w:rPr>
                <w:rFonts w:ascii="Times New Roman" w:hAnsi="Times New Roman" w:cs="Times New Roman"/>
              </w:rPr>
              <w:br/>
              <w:t xml:space="preserve">  - integrated approach: palliative care leads, with radiotherapy and chemotherapy as adjuncts. for example, patients with distant metastases may receive systemic chemotherapy combined with local palliative radiotherapy (e.g., radiotherapy for pain relief in bone metastases), alongside supportive care (document fragment 15). refractory cases focus on end-of-life care (document fragment 15).  </w:t>
            </w:r>
            <w:r w:rsidRPr="00CB2EC4">
              <w:rPr>
                <w:rFonts w:ascii="Times New Roman" w:hAnsi="Times New Roman" w:cs="Times New Roman"/>
              </w:rPr>
              <w:br/>
            </w:r>
            <w:r w:rsidRPr="00CB2EC4">
              <w:rPr>
                <w:rFonts w:ascii="Times New Roman" w:hAnsi="Times New Roman" w:cs="Times New Roman"/>
              </w:rPr>
              <w:br/>
              <w:t>in summary, palliative care centers on symptom relief, radiotherapy targets local issues, chemotherapy addresses systemic control, and the three are combined to achieve individualized management.</w:t>
            </w:r>
          </w:p>
        </w:tc>
        <w:tc>
          <w:tcPr>
            <w:tcW w:w="1152" w:type="dxa"/>
            <w:vAlign w:val="center"/>
          </w:tcPr>
          <w:p w14:paraId="194B19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12C87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67A2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CA0459" w14:textId="77777777">
        <w:tc>
          <w:tcPr>
            <w:tcW w:w="2160" w:type="dxa"/>
            <w:vAlign w:val="center"/>
          </w:tcPr>
          <w:p w14:paraId="6542D96E"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09C2D7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Main goal:  </w:t>
            </w:r>
            <w:r w:rsidRPr="00CB2EC4">
              <w:rPr>
                <w:rFonts w:ascii="Times New Roman" w:hAnsi="Times New Roman" w:cs="Times New Roman"/>
              </w:rPr>
              <w:br/>
              <w:t xml:space="preserve">  Palliative treatment aims to "control symptoms" </w:t>
            </w:r>
            <w:r w:rsidRPr="00CB2EC4">
              <w:rPr>
                <w:rFonts w:ascii="Times New Roman" w:hAnsi="Times New Roman" w:cs="Times New Roman"/>
              </w:rPr>
              <w:lastRenderedPageBreak/>
              <w:t xml:space="preserve">(such as pain, vaginal bleeding, discharge) and "improve quality of life", rather than cure the disease (context: "The purpose is to control symptoms", "requires a comprehensive treatment approach tailored to the individual, including end-of-life care, pain consultation, emotional and spiritual support").  </w:t>
            </w:r>
            <w:r w:rsidRPr="00CB2EC4">
              <w:rPr>
                <w:rFonts w:ascii="Times New Roman" w:hAnsi="Times New Roman" w:cs="Times New Roman"/>
              </w:rPr>
              <w:br/>
              <w:t xml:space="preserve">- Integration with radiotherapy/chemotherapy in metastatic cervical cancer:  </w:t>
            </w:r>
            <w:r w:rsidRPr="00CB2EC4">
              <w:rPr>
                <w:rFonts w:ascii="Times New Roman" w:hAnsi="Times New Roman" w:cs="Times New Roman"/>
              </w:rPr>
              <w:br/>
              <w:t xml:space="preserve">  - Radiotherapy:  </w:t>
            </w:r>
            <w:r w:rsidRPr="00CB2EC4">
              <w:rPr>
                <w:rFonts w:ascii="Times New Roman" w:hAnsi="Times New Roman" w:cs="Times New Roman"/>
              </w:rPr>
              <w:br/>
              <w:t xml:space="preserve">    Used to relieve local symptoms (e.g., bone metastasis pain, vaginal bleeding). For example:  </w:t>
            </w:r>
            <w:r w:rsidRPr="00CB2EC4">
              <w:rPr>
                <w:rFonts w:ascii="Times New Roman" w:hAnsi="Times New Roman" w:cs="Times New Roman"/>
              </w:rPr>
              <w:br/>
              <w:t xml:space="preserve">      - Short-course radiotherapy (4–5 fractions of 20 Gy or 10 fractions of 30–35 Gy) to control bleeding or pain.  </w:t>
            </w:r>
            <w:r w:rsidRPr="00CB2EC4">
              <w:rPr>
                <w:rFonts w:ascii="Times New Roman" w:hAnsi="Times New Roman" w:cs="Times New Roman"/>
              </w:rPr>
              <w:br/>
              <w:t xml:space="preserve">      - Cranial irradiation for brain metastases to delay progression (expected survival &gt;2–3 months).  </w:t>
            </w:r>
            <w:r w:rsidRPr="00CB2EC4">
              <w:rPr>
                <w:rFonts w:ascii="Times New Roman" w:hAnsi="Times New Roman" w:cs="Times New Roman"/>
              </w:rPr>
              <w:br/>
              <w:t xml:space="preserve">  - Chemotherapy (systemic therapy):  </w:t>
            </w:r>
            <w:r w:rsidRPr="00CB2EC4">
              <w:rPr>
                <w:rFonts w:ascii="Times New Roman" w:hAnsi="Times New Roman" w:cs="Times New Roman"/>
              </w:rPr>
              <w:br/>
              <w:t xml:space="preserve">    Used for systemic control, alleviating symptoms related to metastatic lesions. The document states chemotherapy can "relieve pain and other symptoms", but the effect is short-lived (context: "For patients responsive to chemotherapy, pain and other symptoms can be significantly relieved. However, response to chemotherapy is usually short-lived").  </w:t>
            </w:r>
            <w:r w:rsidRPr="00CB2EC4">
              <w:rPr>
                <w:rFonts w:ascii="Times New Roman" w:hAnsi="Times New Roman" w:cs="Times New Roman"/>
              </w:rPr>
              <w:br/>
              <w:t xml:space="preserve">  - Combined strategy:  </w:t>
            </w:r>
            <w:r w:rsidRPr="00CB2EC4">
              <w:rPr>
                <w:rFonts w:ascii="Times New Roman" w:hAnsi="Times New Roman" w:cs="Times New Roman"/>
              </w:rPr>
              <w:br/>
              <w:t xml:space="preserve">    For metastatic patients, "systemic therapy ± nutritional and supportive care, palliative treatment" is recommended, with radiotherapy as an adjunct for local symptom control (e.g., "systemic therapy ± individualized EBRT" in the table).</w:t>
            </w:r>
          </w:p>
        </w:tc>
        <w:tc>
          <w:tcPr>
            <w:tcW w:w="1152" w:type="dxa"/>
            <w:vAlign w:val="center"/>
          </w:tcPr>
          <w:p w14:paraId="128A47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E564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5C80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541C1D" w14:textId="77777777">
        <w:tc>
          <w:tcPr>
            <w:tcW w:w="2160" w:type="dxa"/>
            <w:vAlign w:val="center"/>
          </w:tcPr>
          <w:p w14:paraId="0015896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545CBD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goal of palliative care is to control symptoms to maintain life dignity and quality of life, rather than to cure the disease. the focus is on relieving discomfort symptoms such as pain, bleeding, and </w:t>
            </w:r>
            <w:r w:rsidRPr="00CB2EC4">
              <w:rPr>
                <w:rFonts w:ascii="Times New Roman" w:hAnsi="Times New Roman" w:cs="Times New Roman"/>
              </w:rPr>
              <w:lastRenderedPageBreak/>
              <w:t>secretions, and providing psychosocial support.</w:t>
            </w:r>
            <w:r w:rsidRPr="00CB2EC4">
              <w:rPr>
                <w:rFonts w:ascii="Times New Roman" w:hAnsi="Times New Roman" w:cs="Times New Roman"/>
              </w:rPr>
              <w:br/>
            </w:r>
            <w:r w:rsidRPr="00CB2EC4">
              <w:rPr>
                <w:rFonts w:ascii="Times New Roman" w:hAnsi="Times New Roman" w:cs="Times New Roman"/>
              </w:rPr>
              <w:br/>
              <w:t>in patients with metastatic cervical cancer, the integration of palliative care with radiotherapy and chemotherapy is as follows:</w:t>
            </w:r>
            <w:r w:rsidRPr="00CB2EC4">
              <w:rPr>
                <w:rFonts w:ascii="Times New Roman" w:hAnsi="Times New Roman" w:cs="Times New Roman"/>
              </w:rPr>
              <w:br/>
              <w:t>- integration with radiotherapy:</w:t>
            </w:r>
            <w:r w:rsidRPr="00CB2EC4">
              <w:rPr>
                <w:rFonts w:ascii="Times New Roman" w:hAnsi="Times New Roman" w:cs="Times New Roman"/>
              </w:rPr>
              <w:br/>
              <w:t xml:space="preserve">  - short-course radiotherapy: used to relieve local symptoms such as pain, bleeding, or compression caused by lymph node enlargement. common regimens include 20 Gy in 5 fractions over 1 week or 30 Gy in 10 fractions over 2 weeks. for example:</w:t>
            </w:r>
            <w:r w:rsidRPr="00CB2EC4">
              <w:rPr>
                <w:rFonts w:ascii="Times New Roman" w:hAnsi="Times New Roman" w:cs="Times New Roman"/>
              </w:rPr>
              <w:br/>
              <w:t xml:space="preserve">    - patients with severe vaginal bleeding may undergo short-course external beam radiotherapy (EBRT); if ineffective, switch to intracavitary brachytherapy (ICBT) to control bleeding (typically effective within 12–48 hours).</w:t>
            </w:r>
            <w:r w:rsidRPr="00CB2EC4">
              <w:rPr>
                <w:rFonts w:ascii="Times New Roman" w:hAnsi="Times New Roman" w:cs="Times New Roman"/>
              </w:rPr>
              <w:br/>
              <w:t xml:space="preserve">    - pain from bone metastases or brain metastases can be treated with hypofractionated radiotherapy (e.g., single high-dose fraction or 20 Gy in 5 fractions).</w:t>
            </w:r>
            <w:r w:rsidRPr="00CB2EC4">
              <w:rPr>
                <w:rFonts w:ascii="Times New Roman" w:hAnsi="Times New Roman" w:cs="Times New Roman"/>
              </w:rPr>
              <w:br/>
              <w:t xml:space="preserve">  - individualized radiotherapy: target volumes are designed based on metastatic sites (e.g., pelvis, para-aortic lymph nodes) with symptom relief as the primary aim.</w:t>
            </w:r>
            <w:r w:rsidRPr="00CB2EC4">
              <w:rPr>
                <w:rFonts w:ascii="Times New Roman" w:hAnsi="Times New Roman" w:cs="Times New Roman"/>
              </w:rPr>
              <w:br/>
              <w:t>- integration with chemotherapy:</w:t>
            </w:r>
            <w:r w:rsidRPr="00CB2EC4">
              <w:rPr>
                <w:rFonts w:ascii="Times New Roman" w:hAnsi="Times New Roman" w:cs="Times New Roman"/>
              </w:rPr>
              <w:br/>
              <w:t xml:space="preserve">  - chemotherapy for controlling distant metastases: cisplatin is the standard chemotherapeutic agent (as monotherapy or in combination regimens such as cisplatin + paclitaxel). although response rates are limited and duration short, it can alleviate pain and other systemic symptoms. palliative chemotherapy may be considered for patients with good performance status (ECOG 0–2); those intolerant to cisplatin may receive carboplatin or other platinum-based doublet regimens.</w:t>
            </w:r>
            <w:r w:rsidRPr="00CB2EC4">
              <w:rPr>
                <w:rFonts w:ascii="Times New Roman" w:hAnsi="Times New Roman" w:cs="Times New Roman"/>
              </w:rPr>
              <w:br/>
            </w:r>
            <w:r w:rsidRPr="00CB2EC4">
              <w:rPr>
                <w:rFonts w:ascii="Times New Roman" w:hAnsi="Times New Roman" w:cs="Times New Roman"/>
              </w:rPr>
              <w:lastRenderedPageBreak/>
              <w:t xml:space="preserve">  - supportive care integration: concurrent pain management (e.g., oral morphine), nutritional support, psychological counseling, and end-of-life care are provided during chemotherapy. in resource-limited settings, NGO support can reduce healthcare costs.</w:t>
            </w:r>
            <w:r w:rsidRPr="00CB2EC4">
              <w:rPr>
                <w:rFonts w:ascii="Times New Roman" w:hAnsi="Times New Roman" w:cs="Times New Roman"/>
              </w:rPr>
              <w:br/>
              <w:t>- overall strategy: individualized management guided by symptoms. for example:</w:t>
            </w:r>
            <w:r w:rsidRPr="00CB2EC4">
              <w:rPr>
                <w:rFonts w:ascii="Times New Roman" w:hAnsi="Times New Roman" w:cs="Times New Roman"/>
              </w:rPr>
              <w:br/>
              <w:t xml:space="preserve">  - prioritize supportive therapy for patients with widespread metastases.</w:t>
            </w:r>
            <w:r w:rsidRPr="00CB2EC4">
              <w:rPr>
                <w:rFonts w:ascii="Times New Roman" w:hAnsi="Times New Roman" w:cs="Times New Roman"/>
              </w:rPr>
              <w:br/>
              <w:t xml:space="preserve">  - for limited metastatic disease, combine local radiotherapy and systemic chemotherapy.</w:t>
            </w:r>
            <w:r w:rsidRPr="00CB2EC4">
              <w:rPr>
                <w:rFonts w:ascii="Times New Roman" w:hAnsi="Times New Roman" w:cs="Times New Roman"/>
              </w:rPr>
              <w:br/>
              <w:t xml:space="preserve">  - emphasize multidisciplinary team involvement, including pain consultation and social services.</w:t>
            </w:r>
            <w:r w:rsidRPr="00CB2EC4">
              <w:rPr>
                <w:rFonts w:ascii="Times New Roman" w:hAnsi="Times New Roman" w:cs="Times New Roman"/>
              </w:rPr>
              <w:br/>
            </w:r>
            <w:r w:rsidRPr="00CB2EC4">
              <w:rPr>
                <w:rFonts w:ascii="Times New Roman" w:hAnsi="Times New Roman" w:cs="Times New Roman"/>
              </w:rPr>
              <w:br/>
              <w:t>no detailed information was found in the knowledge base regarding the combination of palliative care with immunotherapy.</w:t>
            </w:r>
          </w:p>
        </w:tc>
        <w:tc>
          <w:tcPr>
            <w:tcW w:w="1152" w:type="dxa"/>
            <w:vAlign w:val="center"/>
          </w:tcPr>
          <w:p w14:paraId="71A944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5B405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4BDC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3F7794" w14:textId="77777777">
        <w:tc>
          <w:tcPr>
            <w:tcW w:w="2160" w:type="dxa"/>
            <w:vAlign w:val="center"/>
          </w:tcPr>
          <w:p w14:paraId="40C7483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382980D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Primary goal:  </w:t>
            </w:r>
            <w:r w:rsidRPr="00CB2EC4">
              <w:rPr>
                <w:rFonts w:ascii="Times New Roman" w:hAnsi="Times New Roman" w:cs="Times New Roman"/>
              </w:rPr>
              <w:br/>
              <w:t xml:space="preserve">  Palliative care aims to relieve symptoms (such as pain, vaginal bleeding/discharge) and improve quality of life, rather than cure the disease (similarity 0.482).  </w:t>
            </w:r>
            <w:r w:rsidRPr="00CB2EC4">
              <w:rPr>
                <w:rFonts w:ascii="Times New Roman" w:hAnsi="Times New Roman" w:cs="Times New Roman"/>
              </w:rPr>
              <w:br/>
              <w:t xml:space="preserve">- Integration with radiotherapy/chemotherapy:  </w:t>
            </w:r>
            <w:r w:rsidRPr="00CB2EC4">
              <w:rPr>
                <w:rFonts w:ascii="Times New Roman" w:hAnsi="Times New Roman" w:cs="Times New Roman"/>
              </w:rPr>
              <w:br/>
              <w:t xml:space="preserve">  - Radiotherapy: Used to control local symptoms (e.g., bone metastasis pain relief, vaginal bleeding), short-course irradiation (e.g., 20 Gy in 4–5 fractions) can provide rapid symptom relief (similarity 0.482).  </w:t>
            </w:r>
            <w:r w:rsidRPr="00CB2EC4">
              <w:rPr>
                <w:rFonts w:ascii="Times New Roman" w:hAnsi="Times New Roman" w:cs="Times New Roman"/>
              </w:rPr>
              <w:br/>
              <w:t xml:space="preserve">  - Chemotherapy: Systemic treatment may alleviate systemic symptoms, but has low response rates and short duration of effect (similarity 0.451).  </w:t>
            </w:r>
            <w:r w:rsidRPr="00CB2EC4">
              <w:rPr>
                <w:rFonts w:ascii="Times New Roman" w:hAnsi="Times New Roman" w:cs="Times New Roman"/>
              </w:rPr>
              <w:br/>
              <w:t xml:space="preserve">  - Combined strategy:  </w:t>
            </w:r>
            <w:r w:rsidRPr="00CB2EC4">
              <w:rPr>
                <w:rFonts w:ascii="Times New Roman" w:hAnsi="Times New Roman" w:cs="Times New Roman"/>
              </w:rPr>
              <w:br/>
              <w:t xml:space="preserve">    - For metastatic patients, systemic therapy (chemotherapy) is the mainstay, combined with individualized radiotherapy to relieve local symptoms (similarity 0.451).  </w:t>
            </w:r>
            <w:r w:rsidRPr="00CB2EC4">
              <w:rPr>
                <w:rFonts w:ascii="Times New Roman" w:hAnsi="Times New Roman" w:cs="Times New Roman"/>
              </w:rPr>
              <w:br/>
            </w:r>
            <w:r w:rsidRPr="00CB2EC4">
              <w:rPr>
                <w:rFonts w:ascii="Times New Roman" w:hAnsi="Times New Roman" w:cs="Times New Roman"/>
              </w:rPr>
              <w:lastRenderedPageBreak/>
              <w:t xml:space="preserve">    - For refractory patients, supportive care (nutrition, pain management) must be integrated (similarity 0.451).  </w:t>
            </w:r>
            <w:r w:rsidRPr="00CB2EC4">
              <w:rPr>
                <w:rFonts w:ascii="Times New Roman" w:hAnsi="Times New Roman" w:cs="Times New Roman"/>
              </w:rPr>
              <w:br/>
              <w:t xml:space="preserve">  No more specific integration protocols are provided in the context.</w:t>
            </w:r>
          </w:p>
        </w:tc>
        <w:tc>
          <w:tcPr>
            <w:tcW w:w="1152" w:type="dxa"/>
            <w:vAlign w:val="center"/>
          </w:tcPr>
          <w:p w14:paraId="2B4016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4B057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17F5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3CFB5B" w14:textId="77777777">
        <w:tc>
          <w:tcPr>
            <w:tcW w:w="2160" w:type="dxa"/>
            <w:vAlign w:val="center"/>
          </w:tcPr>
          <w:p w14:paraId="33DB11E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64A9A0A" w14:textId="77777777" w:rsidR="00922249" w:rsidRPr="00CB2EC4" w:rsidRDefault="003011D5">
            <w:pPr>
              <w:rPr>
                <w:rFonts w:ascii="Times New Roman" w:hAnsi="Times New Roman" w:cs="Times New Roman"/>
              </w:rPr>
            </w:pPr>
            <w:r w:rsidRPr="00CB2EC4">
              <w:rPr>
                <w:rFonts w:ascii="Times New Roman" w:hAnsi="Times New Roman" w:cs="Times New Roman"/>
              </w:rPr>
              <w:t>the main goal of palliative care is to control symptoms to maintain life dignity and quality of life, rather than pursuing a cure. common symptoms include pain, renal failure due to ureteral obstruction, bleeding, foul-smelling vaginal discharge, lymphedema, and fistulas.</w:t>
            </w:r>
            <w:r w:rsidRPr="00CB2EC4">
              <w:rPr>
                <w:rFonts w:ascii="Times New Roman" w:hAnsi="Times New Roman" w:cs="Times New Roman"/>
              </w:rPr>
              <w:br/>
            </w:r>
            <w:r w:rsidRPr="00CB2EC4">
              <w:rPr>
                <w:rFonts w:ascii="Times New Roman" w:hAnsi="Times New Roman" w:cs="Times New Roman"/>
              </w:rPr>
              <w:br/>
              <w:t>in patients with metastatic cervical cancer, the integration of palliative care with radiotherapy and chemotherapy is as follows:</w:t>
            </w:r>
            <w:r w:rsidRPr="00CB2EC4">
              <w:rPr>
                <w:rFonts w:ascii="Times New Roman" w:hAnsi="Times New Roman" w:cs="Times New Roman"/>
              </w:rPr>
              <w:br/>
            </w:r>
            <w:r w:rsidRPr="00CB2EC4">
              <w:rPr>
                <w:rFonts w:ascii="Times New Roman" w:hAnsi="Times New Roman" w:cs="Times New Roman"/>
              </w:rPr>
              <w:br/>
              <w:t>- integration with radiotherapy: radiotherapy is primarily used to relieve local symptoms. for example:</w:t>
            </w:r>
            <w:r w:rsidRPr="00CB2EC4">
              <w:rPr>
                <w:rFonts w:ascii="Times New Roman" w:hAnsi="Times New Roman" w:cs="Times New Roman"/>
              </w:rPr>
              <w:br/>
              <w:t xml:space="preserve">  - bone metastasis pain: external beam irradiation (e.g., 30 Gy/2–3 weeks) is administered to effectively reduce pain.</w:t>
            </w:r>
            <w:r w:rsidRPr="00CB2EC4">
              <w:rPr>
                <w:rFonts w:ascii="Times New Roman" w:hAnsi="Times New Roman" w:cs="Times New Roman"/>
              </w:rPr>
              <w:br/>
              <w:t xml:space="preserve">  - extra-pelvic recurrence (e.g., para-aortic metastasis): individualized doses (e.g., 45–50 Gy/5 weeks) are given to achieve local control and symptom relief.</w:t>
            </w:r>
            <w:r w:rsidRPr="00CB2EC4">
              <w:rPr>
                <w:rFonts w:ascii="Times New Roman" w:hAnsi="Times New Roman" w:cs="Times New Roman"/>
              </w:rPr>
              <w:br/>
              <w:t xml:space="preserve">  - integration principle: radiotherapy doses must be carefully designed to avoid overtreatment; priority is given to symptomatic sites to minimize side effects.</w:t>
            </w:r>
            <w:r w:rsidRPr="00CB2EC4">
              <w:rPr>
                <w:rFonts w:ascii="Times New Roman" w:hAnsi="Times New Roman" w:cs="Times New Roman"/>
              </w:rPr>
              <w:br/>
            </w:r>
            <w:r w:rsidRPr="00CB2EC4">
              <w:rPr>
                <w:rFonts w:ascii="Times New Roman" w:hAnsi="Times New Roman" w:cs="Times New Roman"/>
              </w:rPr>
              <w:br/>
              <w:t>- integration with chemotherapy: chemotherapy is used for systemic disease control and relief of systemic symptoms. for example:</w:t>
            </w:r>
            <w:r w:rsidRPr="00CB2EC4">
              <w:rPr>
                <w:rFonts w:ascii="Times New Roman" w:hAnsi="Times New Roman" w:cs="Times New Roman"/>
              </w:rPr>
              <w:br/>
              <w:t xml:space="preserve">  - systemic treatment (chemotherapy) is the preferred </w:t>
            </w:r>
            <w:r w:rsidRPr="00CB2EC4">
              <w:rPr>
                <w:rFonts w:ascii="Times New Roman" w:hAnsi="Times New Roman" w:cs="Times New Roman"/>
              </w:rPr>
              <w:lastRenderedPageBreak/>
              <w:t>option for patients unsuitable for surgery or radiotherapy, targeting micrometastases and distant lesions.</w:t>
            </w:r>
            <w:r w:rsidRPr="00CB2EC4">
              <w:rPr>
                <w:rFonts w:ascii="Times New Roman" w:hAnsi="Times New Roman" w:cs="Times New Roman"/>
              </w:rPr>
              <w:br/>
              <w:t xml:space="preserve">  - specific regimens: platinum-based chemotherapy (e.g., cisplatin or carboplatin) is commonly used in concurrent chemoradiotherapy or as standalone palliative chemotherapy; the goal is symptom relief rather than radical cure.</w:t>
            </w:r>
            <w:r w:rsidRPr="00CB2EC4">
              <w:rPr>
                <w:rFonts w:ascii="Times New Roman" w:hAnsi="Times New Roman" w:cs="Times New Roman"/>
              </w:rPr>
              <w:br/>
            </w:r>
            <w:r w:rsidRPr="00CB2EC4">
              <w:rPr>
                <w:rFonts w:ascii="Times New Roman" w:hAnsi="Times New Roman" w:cs="Times New Roman"/>
              </w:rPr>
              <w:br/>
              <w:t>- overall integration strategy: palliative care is applied throughout the disease course, with radiotherapy and chemotherapy serving as supportive modalities. individualized management is emphasized:</w:t>
            </w:r>
            <w:r w:rsidRPr="00CB2EC4">
              <w:rPr>
                <w:rFonts w:ascii="Times New Roman" w:hAnsi="Times New Roman" w:cs="Times New Roman"/>
              </w:rPr>
              <w:br/>
              <w:t xml:space="preserve">  - after symptom assessment, radiotherapy is selected for local symptoms, and chemotherapy for systemic symptoms.</w:t>
            </w:r>
            <w:r w:rsidRPr="00CB2EC4">
              <w:rPr>
                <w:rFonts w:ascii="Times New Roman" w:hAnsi="Times New Roman" w:cs="Times New Roman"/>
              </w:rPr>
              <w:br/>
              <w:t xml:space="preserve">  - for example, radiotherapy is prioritized for bone metastases; for widespread metastasis, systemic chemotherapy is combined with supportive care (nutrition, psychological support).</w:t>
            </w:r>
            <w:r w:rsidRPr="00CB2EC4">
              <w:rPr>
                <w:rFonts w:ascii="Times New Roman" w:hAnsi="Times New Roman" w:cs="Times New Roman"/>
              </w:rPr>
              <w:br/>
              <w:t xml:space="preserve">  - palliative care must integrate psychosocial support, and radiotherapy and chemotherapy should be adjusted based on symptom severity and patient tolerance.</w:t>
            </w:r>
            <w:r w:rsidRPr="00CB2EC4">
              <w:rPr>
                <w:rFonts w:ascii="Times New Roman" w:hAnsi="Times New Roman" w:cs="Times New Roman"/>
              </w:rPr>
              <w:br/>
            </w:r>
            <w:r w:rsidRPr="00CB2EC4">
              <w:rPr>
                <w:rFonts w:ascii="Times New Roman" w:hAnsi="Times New Roman" w:cs="Times New Roman"/>
              </w:rPr>
              <w:br/>
              <w:t>in summary, palliative care centers on symptom control, with radiotherapy addressing local issues and chemotherapy addressing systemic issues; their combination requires individualization.</w:t>
            </w:r>
          </w:p>
        </w:tc>
        <w:tc>
          <w:tcPr>
            <w:tcW w:w="1152" w:type="dxa"/>
            <w:vAlign w:val="center"/>
          </w:tcPr>
          <w:p w14:paraId="27046A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F7BFC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A216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C8E711" w14:textId="77777777">
        <w:tc>
          <w:tcPr>
            <w:tcW w:w="2160" w:type="dxa"/>
            <w:vAlign w:val="center"/>
          </w:tcPr>
          <w:p w14:paraId="0183A4F0"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25B2B4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goal of palliative care is to relieve symptoms, reduce suffering, and improve quality of life, particularly for patients with advanced or incurable disease. in metastatic cervical cancer, palliative care is integrated with radiotherapy for local </w:t>
            </w:r>
            <w:r w:rsidRPr="00CB2EC4">
              <w:rPr>
                <w:rFonts w:ascii="Times New Roman" w:hAnsi="Times New Roman" w:cs="Times New Roman"/>
              </w:rPr>
              <w:lastRenderedPageBreak/>
              <w:t>symptom control (e.g., pain management) and with chemotherapy for systemic disease control; the specific combination approach must be individualized based on the patient’s symptoms and tolerance.</w:t>
            </w:r>
            <w:r w:rsidRPr="00CB2EC4">
              <w:rPr>
                <w:rFonts w:ascii="Times New Roman" w:hAnsi="Times New Roman" w:cs="Times New Roman"/>
              </w:rPr>
              <w:br/>
            </w:r>
            <w:r w:rsidRPr="00CB2EC4">
              <w:rPr>
                <w:rFonts w:ascii="Times New Roman" w:hAnsi="Times New Roman" w:cs="Times New Roman"/>
              </w:rPr>
              <w:br/>
              <w:t>- main goal of palliative care: the document explicitly states that palliative care aims to "relieve the suffering of patients with advanced incurable disease," including pain management, nutritional support, emotional and spiritual support to enhance quality of life (relevant segment 2, block 13-15; relevant segment 5, block 44-47).</w:t>
            </w:r>
            <w:r w:rsidRPr="00CB2EC4">
              <w:rPr>
                <w:rFonts w:ascii="Times New Roman" w:hAnsi="Times New Roman" w:cs="Times New Roman"/>
              </w:rPr>
              <w:br/>
              <w:t>- integration with radiotherapy: radiotherapy can be used for palliative relief of local symptoms, for example:</w:t>
            </w:r>
            <w:r w:rsidRPr="00CB2EC4">
              <w:rPr>
                <w:rFonts w:ascii="Times New Roman" w:hAnsi="Times New Roman" w:cs="Times New Roman"/>
              </w:rPr>
              <w:br/>
              <w:t xml:space="preserve">  → for pain caused by bone metastases or central recurrence, individualized external beam radiotherapy (EBRT) or stereotactic body radiotherapy (SBRT) is applied to reduce suffering (relevant segment 5, block 44-47).</w:t>
            </w:r>
            <w:r w:rsidRPr="00CB2EC4">
              <w:rPr>
                <w:rFonts w:ascii="Times New Roman" w:hAnsi="Times New Roman" w:cs="Times New Roman"/>
              </w:rPr>
              <w:br/>
              <w:t xml:space="preserve">  → the document notes that radiotherapy "can serve as palliative treatment to relieve suffering in patients with advanced incurable disease," especially important in resource-limited settings (relevant segment 2, block 13-15).</w:t>
            </w:r>
            <w:r w:rsidRPr="00CB2EC4">
              <w:rPr>
                <w:rFonts w:ascii="Times New Roman" w:hAnsi="Times New Roman" w:cs="Times New Roman"/>
              </w:rPr>
              <w:br/>
              <w:t>- integration with chemotherapy: chemotherapy (systemic therapy) is used to control disease progression and alleviate systemic symptoms, combined with palliative support:</w:t>
            </w:r>
            <w:r w:rsidRPr="00CB2EC4">
              <w:rPr>
                <w:rFonts w:ascii="Times New Roman" w:hAnsi="Times New Roman" w:cs="Times New Roman"/>
              </w:rPr>
              <w:br/>
              <w:t xml:space="preserve">  → for metastatic patients unsuitable for surgery or radiotherapy, systemic therapy (e.g., cisplatin-based chemotherapy) is the primary option, concurrently integrated with "nutritional and supportive treatment, palliative care" (relevant segment 5, block 44-47).</w:t>
            </w:r>
            <w:r w:rsidRPr="00CB2EC4">
              <w:rPr>
                <w:rFonts w:ascii="Times New Roman" w:hAnsi="Times New Roman" w:cs="Times New Roman"/>
              </w:rPr>
              <w:br/>
            </w:r>
            <w:r w:rsidRPr="00CB2EC4">
              <w:rPr>
                <w:rFonts w:ascii="Times New Roman" w:hAnsi="Times New Roman" w:cs="Times New Roman"/>
              </w:rPr>
              <w:lastRenderedPageBreak/>
              <w:t xml:space="preserve">  → refractory cases require a comprehensive approach, including end-of-life care and pain consultation (relevant segment 5, block 44-47).</w:t>
            </w:r>
            <w:r w:rsidRPr="00CB2EC4">
              <w:rPr>
                <w:rFonts w:ascii="Times New Roman" w:hAnsi="Times New Roman" w:cs="Times New Roman"/>
              </w:rPr>
              <w:br/>
              <w:t>reason: the document emphasizes that palliative care is part of comprehensive treatment, requiring selection of radiotherapy or chemotherapy based on individual factors (such as performance status) and integration of supportive care, but does not provide specific dosage or regimen details.</w:t>
            </w:r>
          </w:p>
        </w:tc>
        <w:tc>
          <w:tcPr>
            <w:tcW w:w="1152" w:type="dxa"/>
            <w:vAlign w:val="center"/>
          </w:tcPr>
          <w:p w14:paraId="6E9752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552C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8C5C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F781DD" w14:textId="77777777">
        <w:tc>
          <w:tcPr>
            <w:tcW w:w="2160" w:type="dxa"/>
            <w:vAlign w:val="center"/>
          </w:tcPr>
          <w:p w14:paraId="71556BB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75112A28" w14:textId="77777777" w:rsidR="00922249" w:rsidRPr="00CB2EC4" w:rsidRDefault="003011D5">
            <w:pPr>
              <w:rPr>
                <w:rFonts w:ascii="Times New Roman" w:hAnsi="Times New Roman" w:cs="Times New Roman"/>
              </w:rPr>
            </w:pPr>
            <w:r w:rsidRPr="00CB2EC4">
              <w:rPr>
                <w:rFonts w:ascii="Times New Roman" w:hAnsi="Times New Roman" w:cs="Times New Roman"/>
              </w:rPr>
              <w:t>the main goal of palliative care: to relieve symptoms (such as pain, bleeding, cachexia), improve quality of life, provide psychosocial support, and help patients and their families cope with disease progression, rather than aiming for cure.</w:t>
            </w:r>
            <w:r w:rsidRPr="00CB2EC4">
              <w:rPr>
                <w:rFonts w:ascii="Times New Roman" w:hAnsi="Times New Roman" w:cs="Times New Roman"/>
              </w:rPr>
              <w:br/>
            </w:r>
            <w:r w:rsidRPr="00CB2EC4">
              <w:rPr>
                <w:rFonts w:ascii="Times New Roman" w:hAnsi="Times New Roman" w:cs="Times New Roman"/>
              </w:rPr>
              <w:br/>
              <w:t>- integration with radiotherapy and chemotherapy in metastatic cervical cancer: palliative care should be integrated throughout the entire treatment course. radiotherapy (e.g., external beam or brachytherapy) is used for local symptom control (e.g., hemostasis or reduction of bone metastasis pain); chemotherapy (e.g., platinum-based regimens combined with paclitaxel) is used for systemic disease control to prolong survival and alleviate symptoms. treatment decisions must be individualized, emphasizing multidisciplinary team collaboration to ensure radiotherapy and chemotherapy doses and regimens minimize toxicity while integrating palliative interventions (e.g., analgesics and psychological counseling).</w:t>
            </w:r>
          </w:p>
        </w:tc>
        <w:tc>
          <w:tcPr>
            <w:tcW w:w="1152" w:type="dxa"/>
            <w:vAlign w:val="center"/>
          </w:tcPr>
          <w:p w14:paraId="2E8B3E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D7C2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5528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D861CA" w14:textId="77777777">
        <w:tc>
          <w:tcPr>
            <w:tcW w:w="10656" w:type="dxa"/>
            <w:gridSpan w:val="5"/>
            <w:tcBorders>
              <w:bottom w:val="single" w:sz="6" w:space="0" w:color="auto"/>
            </w:tcBorders>
            <w:vAlign w:val="center"/>
          </w:tcPr>
          <w:p w14:paraId="513DD31A" w14:textId="77777777" w:rsidR="00922249" w:rsidRPr="00CB2EC4" w:rsidRDefault="003011D5">
            <w:pPr>
              <w:rPr>
                <w:rFonts w:ascii="Times New Roman" w:hAnsi="Times New Roman" w:cs="Times New Roman"/>
              </w:rPr>
            </w:pPr>
            <w:r w:rsidRPr="00CB2EC4">
              <w:rPr>
                <w:rFonts w:ascii="Times New Roman" w:hAnsi="Times New Roman" w:cs="Times New Roman"/>
                <w:b/>
              </w:rPr>
              <w:t>Question 83: For patients with FIGO stage IB3 and IIA2 disease, why do guidelines prefer to recommend concurrent chemoradiotherapy (CCRT) over surgery as the primary treatment?</w:t>
            </w:r>
          </w:p>
        </w:tc>
      </w:tr>
      <w:tr w:rsidR="00922249" w:rsidRPr="00CB2EC4" w14:paraId="5E204C1B" w14:textId="77777777">
        <w:tc>
          <w:tcPr>
            <w:tcW w:w="2160" w:type="dxa"/>
            <w:vAlign w:val="center"/>
          </w:tcPr>
          <w:p w14:paraId="472C57F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B36EFC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FIGO IB3 and IIA2 disease, </w:t>
            </w:r>
            <w:r w:rsidRPr="00CB2EC4">
              <w:rPr>
                <w:rFonts w:ascii="Times New Roman" w:hAnsi="Times New Roman" w:cs="Times New Roman"/>
              </w:rPr>
              <w:lastRenderedPageBreak/>
              <w:t>guidelines preferentially recommend concurrent chemoradiotherapy (CCRT) over surgery as the primary treatment due to the following reasons:</w:t>
            </w:r>
            <w:r w:rsidRPr="00CB2EC4">
              <w:rPr>
                <w:rFonts w:ascii="Times New Roman" w:hAnsi="Times New Roman" w:cs="Times New Roman"/>
              </w:rPr>
              <w:br/>
            </w:r>
            <w:r w:rsidRPr="00CB2EC4">
              <w:rPr>
                <w:rFonts w:ascii="Times New Roman" w:hAnsi="Times New Roman" w:cs="Times New Roman"/>
              </w:rPr>
              <w:br/>
              <w:t>1.  **Tumor characteristics and high-risk factors**: IB3 and IIA2 stage tumors are larger (IB3 tumor diameter &gt;4 cm) and prone to be associated with high-risk factors such as lymph node positivity, parametrial involvement, or positive vaginal surgical margins. These factors significantly increase the risk of recurrence and the likelihood of requiring postoperative adjuvant radiotherapy.</w:t>
            </w:r>
            <w:r w:rsidRPr="00CB2EC4">
              <w:rPr>
                <w:rFonts w:ascii="Times New Roman" w:hAnsi="Times New Roman" w:cs="Times New Roman"/>
              </w:rPr>
              <w:br/>
            </w:r>
            <w:r w:rsidRPr="00CB2EC4">
              <w:rPr>
                <w:rFonts w:ascii="Times New Roman" w:hAnsi="Times New Roman" w:cs="Times New Roman"/>
              </w:rPr>
              <w:br/>
              <w:t>2.  **Therapeutic efficacy advantage of CCRT**: Platinum-based concurrent chemoradiotherapy (CCRT) is a better treatment modality for IB3/IIA2 patients. CCRT as postoperative adjuvant therapy has been proven superior to radiotherapy alone. CCRT integrates radiotherapy and chemotherapy upfront, more effectively controlling local disease and micrometastases, thereby improving progression-free survival.</w:t>
            </w:r>
            <w:r w:rsidRPr="00CB2EC4">
              <w:rPr>
                <w:rFonts w:ascii="Times New Roman" w:hAnsi="Times New Roman" w:cs="Times New Roman"/>
              </w:rPr>
              <w:br/>
            </w:r>
            <w:r w:rsidRPr="00CB2EC4">
              <w:rPr>
                <w:rFonts w:ascii="Times New Roman" w:hAnsi="Times New Roman" w:cs="Times New Roman"/>
              </w:rPr>
              <w:br/>
              <w:t>3.  **Avoidance of complications from "dual therapy"**: If surgery is chosen first, adjuvant radiotherapy is often required postoperatively due to high-risk factors, resulting in "dual therapy" (surgery + radiotherapy). Dual therapy increases the risk of severe complications in patients, such as bowel or bladder toxicity and reduced quality of life. CCRT, as a single modality, avoids this issue.</w:t>
            </w:r>
            <w:r w:rsidRPr="00CB2EC4">
              <w:rPr>
                <w:rFonts w:ascii="Times New Roman" w:hAnsi="Times New Roman" w:cs="Times New Roman"/>
              </w:rPr>
              <w:br/>
            </w:r>
            <w:r w:rsidRPr="00CB2EC4">
              <w:rPr>
                <w:rFonts w:ascii="Times New Roman" w:hAnsi="Times New Roman" w:cs="Times New Roman"/>
              </w:rPr>
              <w:br/>
              <w:t xml:space="preserve">4.  **Limitations of surgery**: For large tumors, complete resection is difficult ("it is challenging to </w:t>
            </w:r>
            <w:r w:rsidRPr="00CB2EC4">
              <w:rPr>
                <w:rFonts w:ascii="Times New Roman" w:hAnsi="Times New Roman" w:cs="Times New Roman"/>
              </w:rPr>
              <w:lastRenderedPageBreak/>
              <w:t>determine appropriate surgical margins"), and the rate of pelvic lymph node metastasis is high, leading to a frequent need for postoperative adjuvant radiotherapy. Treatment modality selection depends on available resources and tumor- and patient-related risk factors, but CCRT is prioritized, especially in high-resource settings.</w:t>
            </w:r>
            <w:r w:rsidRPr="00CB2EC4">
              <w:rPr>
                <w:rFonts w:ascii="Times New Roman" w:hAnsi="Times New Roman" w:cs="Times New Roman"/>
              </w:rPr>
              <w:br/>
            </w:r>
            <w:r w:rsidRPr="00CB2EC4">
              <w:rPr>
                <w:rFonts w:ascii="Times New Roman" w:hAnsi="Times New Roman" w:cs="Times New Roman"/>
              </w:rPr>
              <w:br/>
              <w:t>5.  **Controversy surrounding neoadjuvant chemotherapy (NACT)**: In regions with limited radiotherapy resources, NACT followed by surgery may be considered. However, whether NACT improves outcomes compared to standard treatment remains controversial, and pathological assessment after NACT is complex, affecting subsequent treatment decisions. Therefore, CCRT remains the preferred option.</w:t>
            </w:r>
          </w:p>
        </w:tc>
        <w:tc>
          <w:tcPr>
            <w:tcW w:w="1152" w:type="dxa"/>
            <w:vAlign w:val="center"/>
          </w:tcPr>
          <w:p w14:paraId="559876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514B5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67694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6457780" w14:textId="77777777">
        <w:tc>
          <w:tcPr>
            <w:tcW w:w="2160" w:type="dxa"/>
            <w:vAlign w:val="center"/>
          </w:tcPr>
          <w:p w14:paraId="1814910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680BD47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FIGO stage IB3 and IIA2 cervical cancer, guidelines prioritize concurrent chemoradiotherapy (CCRT) over surgery as the initial treatment for the following reasons:  </w:t>
            </w:r>
            <w:r w:rsidRPr="00CB2EC4">
              <w:rPr>
                <w:rFonts w:ascii="Times New Roman" w:hAnsi="Times New Roman" w:cs="Times New Roman"/>
              </w:rPr>
              <w:br/>
            </w:r>
            <w:r w:rsidRPr="00CB2EC4">
              <w:rPr>
                <w:rFonts w:ascii="Times New Roman" w:hAnsi="Times New Roman" w:cs="Times New Roman"/>
              </w:rPr>
              <w:br/>
              <w:t xml:space="preserve">1. Avoidance of dual treatment risks:  </w:t>
            </w:r>
            <w:r w:rsidRPr="00CB2EC4">
              <w:rPr>
                <w:rFonts w:ascii="Times New Roman" w:hAnsi="Times New Roman" w:cs="Times New Roman"/>
              </w:rPr>
              <w:br/>
              <w:t xml:space="preserve">   - Approximately 80% of surgical patients require postoperative adjuvant radiotherapy (PORT). Combined treatment significantly increases the risk of severe complications (such as intestinal injury, vesicovaginal fistula) without survival benefit (Evidence Block 13, 24).  </w:t>
            </w:r>
            <w:r w:rsidRPr="00CB2EC4">
              <w:rPr>
                <w:rFonts w:ascii="Times New Roman" w:hAnsi="Times New Roman" w:cs="Times New Roman"/>
              </w:rPr>
              <w:br/>
            </w:r>
            <w:r w:rsidRPr="00CB2EC4">
              <w:rPr>
                <w:rFonts w:ascii="Times New Roman" w:hAnsi="Times New Roman" w:cs="Times New Roman"/>
              </w:rPr>
              <w:br/>
              <w:t xml:space="preserve">2. Survival advantage:  </w:t>
            </w:r>
            <w:r w:rsidRPr="00CB2EC4">
              <w:rPr>
                <w:rFonts w:ascii="Times New Roman" w:hAnsi="Times New Roman" w:cs="Times New Roman"/>
              </w:rPr>
              <w:br/>
              <w:t xml:space="preserve">   - CCRT achieves a higher 5-year survival rate compared to surgery alone or surgery plus radiotherapy (Stage IB3/IIA2: CCRT provides a 10–</w:t>
            </w:r>
            <w:r w:rsidRPr="00CB2EC4">
              <w:rPr>
                <w:rFonts w:ascii="Times New Roman" w:hAnsi="Times New Roman" w:cs="Times New Roman"/>
              </w:rPr>
              <w:lastRenderedPageBreak/>
              <w:t xml:space="preserve">15% survival improvement) and reduces local/distant recurrence (Evidence Block 13, 24).  </w:t>
            </w:r>
            <w:r w:rsidRPr="00CB2EC4">
              <w:rPr>
                <w:rFonts w:ascii="Times New Roman" w:hAnsi="Times New Roman" w:cs="Times New Roman"/>
              </w:rPr>
              <w:br/>
            </w:r>
            <w:r w:rsidRPr="00CB2EC4">
              <w:rPr>
                <w:rFonts w:ascii="Times New Roman" w:hAnsi="Times New Roman" w:cs="Times New Roman"/>
              </w:rPr>
              <w:br/>
              <w:t xml:space="preserve">3. Resource burden:  </w:t>
            </w:r>
            <w:r w:rsidRPr="00CB2EC4">
              <w:rPr>
                <w:rFonts w:ascii="Times New Roman" w:hAnsi="Times New Roman" w:cs="Times New Roman"/>
              </w:rPr>
              <w:br/>
              <w:t xml:space="preserve">   - The surgery plus radiotherapy model increases healthcare resource consumption. Direct CCRT is more strongly recommended in regions with limited radiotherapy resources (Evidence Block 13).  </w:t>
            </w:r>
            <w:r w:rsidRPr="00CB2EC4">
              <w:rPr>
                <w:rFonts w:ascii="Times New Roman" w:hAnsi="Times New Roman" w:cs="Times New Roman"/>
              </w:rPr>
              <w:br/>
            </w:r>
            <w:r w:rsidRPr="00CB2EC4">
              <w:rPr>
                <w:rFonts w:ascii="Times New Roman" w:hAnsi="Times New Roman" w:cs="Times New Roman"/>
              </w:rPr>
              <w:br/>
              <w:t xml:space="preserve">4. Tumor characteristics:  </w:t>
            </w:r>
            <w:r w:rsidRPr="00CB2EC4">
              <w:rPr>
                <w:rFonts w:ascii="Times New Roman" w:hAnsi="Times New Roman" w:cs="Times New Roman"/>
              </w:rPr>
              <w:br/>
              <w:t xml:space="preserve">   - Stage IB3/IIA2 tumors are typically large (&gt;4cm) and often accompanied by high-risk factors (lymph node positivity, parametrial invasion). Direct CCRT is more effective in controlling micrometastases (Evidence Block 1, 13).  </w:t>
            </w:r>
            <w:r w:rsidRPr="00CB2EC4">
              <w:rPr>
                <w:rFonts w:ascii="Times New Roman" w:hAnsi="Times New Roman" w:cs="Times New Roman"/>
              </w:rPr>
              <w:br/>
            </w:r>
            <w:r w:rsidRPr="00CB2EC4">
              <w:rPr>
                <w:rFonts w:ascii="Times New Roman" w:hAnsi="Times New Roman" w:cs="Times New Roman"/>
              </w:rPr>
              <w:br/>
              <w:t>&gt; References: Evidence Block 13 (Guidelines for Adjuvant Radiotherapy), Evidence Block 24 (Treatment Strategies), Evidence Block 1 (Treatment Principles for Stage IB3/IIA2).</w:t>
            </w:r>
          </w:p>
        </w:tc>
        <w:tc>
          <w:tcPr>
            <w:tcW w:w="1152" w:type="dxa"/>
            <w:vAlign w:val="center"/>
          </w:tcPr>
          <w:p w14:paraId="28E2B1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BCBAD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C867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D9DA88" w14:textId="77777777">
        <w:tc>
          <w:tcPr>
            <w:tcW w:w="2160" w:type="dxa"/>
            <w:vAlign w:val="center"/>
          </w:tcPr>
          <w:p w14:paraId="62067132"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C316335" w14:textId="77777777" w:rsidR="00922249" w:rsidRPr="00CB2EC4" w:rsidRDefault="003011D5">
            <w:pPr>
              <w:rPr>
                <w:rFonts w:ascii="Times New Roman" w:hAnsi="Times New Roman" w:cs="Times New Roman"/>
              </w:rPr>
            </w:pPr>
            <w:r w:rsidRPr="00CB2EC4">
              <w:rPr>
                <w:rFonts w:ascii="Times New Roman" w:hAnsi="Times New Roman" w:cs="Times New Roman"/>
              </w:rPr>
              <w:t>- rationale:</w:t>
            </w:r>
            <w:r w:rsidRPr="00CB2EC4">
              <w:rPr>
                <w:rFonts w:ascii="Times New Roman" w:hAnsi="Times New Roman" w:cs="Times New Roman"/>
              </w:rPr>
              <w:br/>
              <w:t xml:space="preserve">  - High proportion requiring adjuvant therapy: Approximately 80% of surgical patients require postoperative adjuvant radiotherapy (PORT) or CCRT afterward, as IB3/IIA2 tumors are large and often associated with high-risk factors (e.g., lymph node positivity, parametrial involvement, or positive vaginal margins), increasing recurrence risk (document fragments 6, 7).</w:t>
            </w:r>
            <w:r w:rsidRPr="00CB2EC4">
              <w:rPr>
                <w:rFonts w:ascii="Times New Roman" w:hAnsi="Times New Roman" w:cs="Times New Roman"/>
              </w:rPr>
              <w:br/>
              <w:t xml:space="preserve">  - Dual treatment increases complication risks: The "dual treatment" approach (surgery followed by radiotherapy) compounds adverse effects, leading to severe complications (e.g., urinary tract complications) and reduced quality of life. For </w:t>
            </w:r>
            <w:r w:rsidRPr="00CB2EC4">
              <w:rPr>
                <w:rFonts w:ascii="Times New Roman" w:hAnsi="Times New Roman" w:cs="Times New Roman"/>
              </w:rPr>
              <w:lastRenderedPageBreak/>
              <w:t>example, surgical groups had complication rates as high as 28%, compared to 12% in radiotherapy-only groups (document fragments 6, 20).</w:t>
            </w:r>
            <w:r w:rsidRPr="00CB2EC4">
              <w:rPr>
                <w:rFonts w:ascii="Times New Roman" w:hAnsi="Times New Roman" w:cs="Times New Roman"/>
              </w:rPr>
              <w:br/>
              <w:t xml:space="preserve">  - Resource burden and unnecessary surgery: Dual treatment increases healthcare resource utilization (e.g., surgical and radiotherapy resources), and surgery may be unnecessary since CCRT can serve as definitive therapy directly (document fragments 6, 18).</w:t>
            </w:r>
            <w:r w:rsidRPr="00CB2EC4">
              <w:rPr>
                <w:rFonts w:ascii="Times New Roman" w:hAnsi="Times New Roman" w:cs="Times New Roman"/>
              </w:rPr>
              <w:br/>
              <w:t xml:space="preserve">  - Comparable or superior efficacy: CCRT, as the standard treatment, offers efficacy comparable to or slightly better than surgery. For instance, studies show CCRT achieves overall survival rates similar to surgery but avoids surgery-related risks (document fragments 8, 20). Guidelines designate CCRT as a level I primary recommendation (document fragment 8).</w:t>
            </w:r>
            <w:r w:rsidRPr="00CB2EC4">
              <w:rPr>
                <w:rFonts w:ascii="Times New Roman" w:hAnsi="Times New Roman" w:cs="Times New Roman"/>
              </w:rPr>
              <w:br/>
              <w:t xml:space="preserve">  - Avoidance of staging inaccuracies: Preoperative imaging assessment (e.g., CT or MRI) may be inaccurate; CCRT avoids unnecessary surgery due to staging errors (document fragment 18).</w:t>
            </w:r>
            <w:r w:rsidRPr="00CB2EC4">
              <w:rPr>
                <w:rFonts w:ascii="Times New Roman" w:hAnsi="Times New Roman" w:cs="Times New Roman"/>
              </w:rPr>
              <w:br/>
            </w:r>
            <w:r w:rsidRPr="00CB2EC4">
              <w:rPr>
                <w:rFonts w:ascii="Times New Roman" w:hAnsi="Times New Roman" w:cs="Times New Roman"/>
              </w:rPr>
              <w:br/>
              <w:t>In summary, CCRT is recommended as the preferred option because it reduces complications, optimizes resource utilization, and provides more direct treatment for high-risk factors.</w:t>
            </w:r>
          </w:p>
        </w:tc>
        <w:tc>
          <w:tcPr>
            <w:tcW w:w="1152" w:type="dxa"/>
            <w:vAlign w:val="center"/>
          </w:tcPr>
          <w:p w14:paraId="7DB7AC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53AA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B877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9D0006" w14:textId="77777777">
        <w:tc>
          <w:tcPr>
            <w:tcW w:w="2160" w:type="dxa"/>
            <w:vAlign w:val="center"/>
          </w:tcPr>
          <w:p w14:paraId="19A15712"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D9601D6"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FIGO stage IB3 and IIA2 disease, why do guidelines favor concurrent chemoradiotherapy (CCRT) over surgery as the preferred treatment option?</w:t>
            </w:r>
            <w:r w:rsidRPr="00CB2EC4">
              <w:rPr>
                <w:rFonts w:ascii="Times New Roman" w:hAnsi="Times New Roman" w:cs="Times New Roman"/>
              </w:rPr>
              <w:br/>
            </w:r>
            <w:r w:rsidRPr="00CB2EC4">
              <w:rPr>
                <w:rFonts w:ascii="Times New Roman" w:hAnsi="Times New Roman" w:cs="Times New Roman"/>
              </w:rPr>
              <w:br/>
              <w:t xml:space="preserve">Knowledge base documentation contributions:  </w:t>
            </w:r>
            <w:r w:rsidRPr="00CB2EC4">
              <w:rPr>
                <w:rFonts w:ascii="Times New Roman" w:hAnsi="Times New Roman" w:cs="Times New Roman"/>
              </w:rPr>
              <w:br/>
              <w:t xml:space="preserve">- 80% of surgical patients require postoperative adjuvant radiotherapy, with dual treatment </w:t>
            </w:r>
            <w:r w:rsidRPr="00CB2EC4">
              <w:rPr>
                <w:rFonts w:ascii="Times New Roman" w:hAnsi="Times New Roman" w:cs="Times New Roman"/>
              </w:rPr>
              <w:lastRenderedPageBreak/>
              <w:t xml:space="preserve">significantly increasing complications (e.g., vesicovaginal/rectovaginal fistulas, ureteral injuries).  </w:t>
            </w:r>
            <w:r w:rsidRPr="00CB2EC4">
              <w:rPr>
                <w:rFonts w:ascii="Times New Roman" w:hAnsi="Times New Roman" w:cs="Times New Roman"/>
              </w:rPr>
              <w:br/>
              <w:t xml:space="preserve">- CCRT (weekly cisplatin + radiotherapy) improves survival rates by 10%~15% compared to radiotherapy alone and reduces local recurrence risk.  </w:t>
            </w:r>
            <w:r w:rsidRPr="00CB2EC4">
              <w:rPr>
                <w:rFonts w:ascii="Times New Roman" w:hAnsi="Times New Roman" w:cs="Times New Roman"/>
              </w:rPr>
              <w:br/>
              <w:t xml:space="preserve">Supplemental web search results:  </w:t>
            </w:r>
            <w:r w:rsidRPr="00CB2EC4">
              <w:rPr>
                <w:rFonts w:ascii="Times New Roman" w:hAnsi="Times New Roman" w:cs="Times New Roman"/>
              </w:rPr>
              <w:br/>
              <w:t xml:space="preserve">- The "dual-modality" approach of surgery plus radiotherapy increases resource burden without evidence of survival benefit (per NCCN guidelines).  </w:t>
            </w:r>
            <w:r w:rsidRPr="00CB2EC4">
              <w:rPr>
                <w:rFonts w:ascii="Times New Roman" w:hAnsi="Times New Roman" w:cs="Times New Roman"/>
              </w:rPr>
              <w:br/>
              <w:t xml:space="preserve">- Bulky tumors (&gt;4cm) and adenocarcinomas exhibit low response rates to neoadjuvant chemotherapy, making CCRT more reliable.  </w:t>
            </w:r>
            <w:r w:rsidRPr="00CB2EC4">
              <w:rPr>
                <w:rFonts w:ascii="Times New Roman" w:hAnsi="Times New Roman" w:cs="Times New Roman"/>
              </w:rPr>
              <w:br/>
              <w:t xml:space="preserve">Conclusion:  </w:t>
            </w:r>
            <w:r w:rsidRPr="00CB2EC4">
              <w:rPr>
                <w:rFonts w:ascii="Times New Roman" w:hAnsi="Times New Roman" w:cs="Times New Roman"/>
              </w:rPr>
              <w:br/>
              <w:t>&gt; CCRT avoids unnecessary surgery, reduces complications, and demonstrates clear survival benefits, hence its designation as the preferred treatment for IB3/IIA2 stages.</w:t>
            </w:r>
          </w:p>
        </w:tc>
        <w:tc>
          <w:tcPr>
            <w:tcW w:w="1152" w:type="dxa"/>
            <w:vAlign w:val="center"/>
          </w:tcPr>
          <w:p w14:paraId="5ED166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25DD9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579D2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B5548B" w14:textId="77777777">
        <w:tc>
          <w:tcPr>
            <w:tcW w:w="2160" w:type="dxa"/>
            <w:vAlign w:val="center"/>
          </w:tcPr>
          <w:p w14:paraId="7B16B5A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144A35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FIGO IB3 and IIA2 stages, guidelines preferentially recommend concurrent chemoradiotherapy (CCRT) over surgery as the primary treatment for the following reasons:  </w:t>
            </w:r>
            <w:r w:rsidRPr="00CB2EC4">
              <w:rPr>
                <w:rFonts w:ascii="Times New Roman" w:hAnsi="Times New Roman" w:cs="Times New Roman"/>
              </w:rPr>
              <w:br/>
              <w:t xml:space="preserve">- tumor characteristics and high recurrence risk: IB3/IIA2 stage tumors are typically larger (&gt;4 cm) and often associated with high-risk factors such as lymph node positivity, parametrial involvement, or positive vaginal margins, which increase recurrence risk and the likelihood of postoperative adjuvant radiotherapy (document fragment 1: "tumors at this stage are larger and prone to other high-risk factors...both increase recurrence risk and the likelihood of postoperative adjuvant radiotherapy");  </w:t>
            </w:r>
            <w:r w:rsidRPr="00CB2EC4">
              <w:rPr>
                <w:rFonts w:ascii="Times New Roman" w:hAnsi="Times New Roman" w:cs="Times New Roman"/>
              </w:rPr>
              <w:br/>
              <w:t xml:space="preserve">- superior efficacy of CCRT: platinum-based CCRT has been proven superior to radiotherapy or surgery alone. As a definitive treatment, CCRT effectively </w:t>
            </w:r>
            <w:r w:rsidRPr="00CB2EC4">
              <w:rPr>
                <w:rFonts w:ascii="Times New Roman" w:hAnsi="Times New Roman" w:cs="Times New Roman"/>
              </w:rPr>
              <w:lastRenderedPageBreak/>
              <w:t xml:space="preserve">reduces local recurrence and improves progression-free survival, whereas surgery often requires postoperative adjuvant radiotherapy, leading to "dual therapy" risks (document fragment 3: "platinum-based concurrent chemoradiotherapy (CCRT) is a better treatment modality for stage IB3/IIA2 patients. It has been confirmed that CCRT as postoperative adjuvant therapy is superior to radiotherapy alone"; document fragment 5: for IB3 and IIA2 stages, level I recommendation is "definitive radiotherapy (external beam radiotherapy + vaginal brachytherapy) ± platinum-based concurrent chemotherapy");  </w:t>
            </w:r>
            <w:r w:rsidRPr="00CB2EC4">
              <w:rPr>
                <w:rFonts w:ascii="Times New Roman" w:hAnsi="Times New Roman" w:cs="Times New Roman"/>
              </w:rPr>
              <w:br/>
              <w:t xml:space="preserve">- avoidance of dual therapy complications: adjuvant radiotherapy after surgery ("dual therapy") increases the risk of severe complications such as bowel injury, fistula formation, and higher mortality (document fragment 3: "dual therapy increases the risk of severe complications in patients"; document fragment 14: "avoiding severe side effects caused by dual therapy");  </w:t>
            </w:r>
            <w:r w:rsidRPr="00CB2EC4">
              <w:rPr>
                <w:rFonts w:ascii="Times New Roman" w:hAnsi="Times New Roman" w:cs="Times New Roman"/>
              </w:rPr>
              <w:br/>
              <w:t xml:space="preserve">- resource considerations: in regions with limited radiotherapy access, neoadjuvant chemotherapy followed by surgery may be considered, but this remains controversial with uncertain efficacy (document fragment 3: "in areas with scarce radiotherapy facilities, neoadjuvant chemotherapy may be considered...its role remains controversial").  </w:t>
            </w:r>
            <w:r w:rsidRPr="00CB2EC4">
              <w:rPr>
                <w:rFonts w:ascii="Times New Roman" w:hAnsi="Times New Roman" w:cs="Times New Roman"/>
              </w:rPr>
              <w:br/>
              <w:t>in summary, CCRT offers superior tumor control and survival benefits while reducing treatment-related risks.</w:t>
            </w:r>
          </w:p>
        </w:tc>
        <w:tc>
          <w:tcPr>
            <w:tcW w:w="1152" w:type="dxa"/>
            <w:vAlign w:val="center"/>
          </w:tcPr>
          <w:p w14:paraId="313AEC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C9EA7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94FC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0E4D4B" w14:textId="77777777">
        <w:tc>
          <w:tcPr>
            <w:tcW w:w="2160" w:type="dxa"/>
            <w:vAlign w:val="center"/>
          </w:tcPr>
          <w:p w14:paraId="1279436C"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11C416D"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FIGO IB3 and IIA2 disease, guidelines preferentially recommend concurrent chemoradiotherapy (CCRT) over surgery as the primary treatment because:</w:t>
            </w:r>
            <w:r w:rsidRPr="00CB2EC4">
              <w:rPr>
                <w:rFonts w:ascii="Times New Roman" w:hAnsi="Times New Roman" w:cs="Times New Roman"/>
              </w:rPr>
              <w:br/>
            </w:r>
            <w:r w:rsidRPr="00CB2EC4">
              <w:rPr>
                <w:rFonts w:ascii="Times New Roman" w:hAnsi="Times New Roman" w:cs="Times New Roman"/>
              </w:rPr>
              <w:lastRenderedPageBreak/>
              <w:br/>
              <w:t>- Document 15 explicitly states: "CCRT is the standard treatment for IB3 and IIA2 stages," as approximately 80% of patients require postoperative adjuvant radiotherapy (PORT) or CCRT after surgery, resulting in a "dual-modality treatment" approach (surgery plus radiotherapy) (related document 15).</w:t>
            </w:r>
            <w:r w:rsidRPr="00CB2EC4">
              <w:rPr>
                <w:rFonts w:ascii="Times New Roman" w:hAnsi="Times New Roman" w:cs="Times New Roman"/>
              </w:rPr>
              <w:br/>
              <w:t>- Dual-modality treatment increases the risk of severe complications, such as gastrointestinal complications (incidence ~10%), urologic injury, and bladder dysfunction, thereby significantly reducing quality of life (related documents 15 and 7). Document 7 notes: "Surgery plus radiotherapy increases complications, which affects quality of life," and adds "unnecessary surgical and radiotherapy resource burden."</w:t>
            </w:r>
            <w:r w:rsidRPr="00CB2EC4">
              <w:rPr>
                <w:rFonts w:ascii="Times New Roman" w:hAnsi="Times New Roman" w:cs="Times New Roman"/>
              </w:rPr>
              <w:br/>
              <w:t>- In contrast, CCRT (external beam radiotherapy plus intracavitary brachytherapy combined with concurrent chemotherapy) as a single initial treatment has been validated by randomized trials to improve survival rates (5-year survival increase of 10%~15%), reduce local and distant recurrence, and avoid surgery-related risks (related document 15).</w:t>
            </w:r>
            <w:r w:rsidRPr="00CB2EC4">
              <w:rPr>
                <w:rFonts w:ascii="Times New Roman" w:hAnsi="Times New Roman" w:cs="Times New Roman"/>
              </w:rPr>
              <w:br/>
              <w:t>- Documents 2 and 15 add: In regions with scarce radiotherapy resources, neoadjuvant chemotherapy followed by surgery may be considered, but the survival benefit of CCRT is more definitive. Additionally, adenocarcinoma or bulky tumors show low response rates to neoadjuvant chemotherapy; therefore, CCRT remains the preferred option (related document 2).</w:t>
            </w:r>
          </w:p>
        </w:tc>
        <w:tc>
          <w:tcPr>
            <w:tcW w:w="1152" w:type="dxa"/>
            <w:vAlign w:val="center"/>
          </w:tcPr>
          <w:p w14:paraId="4406DF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6B7D5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586D1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F88D05" w14:textId="77777777">
        <w:tc>
          <w:tcPr>
            <w:tcW w:w="2160" w:type="dxa"/>
            <w:vAlign w:val="center"/>
          </w:tcPr>
          <w:p w14:paraId="3FB7F5DC"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F5FDAEF"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FIGO IB3 and IIA2 stages, guidelines preferentially recommend concurrent chemoradiotherapy (CCRT) over surgery as the primary treatment due to the following reasons:</w:t>
            </w:r>
            <w:r w:rsidRPr="00CB2EC4">
              <w:rPr>
                <w:rFonts w:ascii="Times New Roman" w:hAnsi="Times New Roman" w:cs="Times New Roman"/>
              </w:rPr>
              <w:br/>
            </w:r>
            <w:r w:rsidRPr="00CB2EC4">
              <w:rPr>
                <w:rFonts w:ascii="Times New Roman" w:hAnsi="Times New Roman" w:cs="Times New Roman"/>
              </w:rPr>
              <w:lastRenderedPageBreak/>
              <w:br/>
              <w:t xml:space="preserve">reason analysis:  </w:t>
            </w:r>
            <w:r w:rsidRPr="00CB2EC4">
              <w:rPr>
                <w:rFonts w:ascii="Times New Roman" w:hAnsi="Times New Roman" w:cs="Times New Roman"/>
              </w:rPr>
              <w:br/>
              <w:t xml:space="preserve">  - the document explicitly states that for FIGO IB3 and IIA2 stage (locally advanced cervical cancer), CCRT is the preferred first-line treatment rather than surgery. the main reasons include:  </w:t>
            </w:r>
            <w:r w:rsidRPr="00CB2EC4">
              <w:rPr>
                <w:rFonts w:ascii="Times New Roman" w:hAnsi="Times New Roman" w:cs="Times New Roman"/>
              </w:rPr>
              <w:br/>
              <w:t xml:space="preserve">    - tumor characteristics and high recurrence risk: IB3 and IIA2 stage tumors are typically large (&gt;4 cm) and often associated with high-risk factors such as lymph node metastasis, parametrial infiltration, lymphovascular space invasion (LVSI+), or deep stromal invasion. these factors significantly increase the risk of postoperative recurrence, and adjuvant radiotherapy is frequently required after surgery, leading to "dual modality treatment" (surgery + radiotherapy).  </w:t>
            </w:r>
            <w:r w:rsidRPr="00CB2EC4">
              <w:rPr>
                <w:rFonts w:ascii="Times New Roman" w:hAnsi="Times New Roman" w:cs="Times New Roman"/>
              </w:rPr>
              <w:br/>
              <w:t xml:space="preserve">    - high complication risk with dual treatment: the document repeatedly emphasizes that adjuvant radiotherapy following surgery (dual treatment) increases the risk of severe complications, such as bladder dysfunction, ureteral fistula, and bowel obstruction, causing patient suffering and reduced quality of life. in contrast, CCRT as a single treatment modality has a lower complication rate (see [HyDE similarity: 0.609] excerpt: "but dual treatment increases the risk of severe complications in patients").  </w:t>
            </w:r>
            <w:r w:rsidRPr="00CB2EC4">
              <w:rPr>
                <w:rFonts w:ascii="Times New Roman" w:hAnsi="Times New Roman" w:cs="Times New Roman"/>
              </w:rPr>
              <w:br/>
              <w:t xml:space="preserve">    - evidence of efficacy: CCRT demonstrates superior efficacy in controlling locally advanced tumors. the document notes that CCRT as an adjuvant therapy post-surgery is superior to radiotherapy alone, and for IB3/IIA2 stages, the 5-year survival rate with CCRT is comparable to or better than that with surgery, while avoiding surgery-related risks (e.g., anesthesia, </w:t>
            </w:r>
            <w:r w:rsidRPr="00CB2EC4">
              <w:rPr>
                <w:rFonts w:ascii="Times New Roman" w:hAnsi="Times New Roman" w:cs="Times New Roman"/>
              </w:rPr>
              <w:lastRenderedPageBreak/>
              <w:t xml:space="preserve">urinary tract injury). surgery is only considered an alternative in regions with limited access to radiotherapy (see [HyDE similarity: 0.661] and [HyDE similarity: 0.609] excerpts).  </w:t>
            </w:r>
            <w:r w:rsidRPr="00CB2EC4">
              <w:rPr>
                <w:rFonts w:ascii="Times New Roman" w:hAnsi="Times New Roman" w:cs="Times New Roman"/>
              </w:rPr>
              <w:br/>
              <w:t xml:space="preserve">    - functional preservation considerations: although surgery may preserve ovarian function (beneficial for younger patients), IB3/IIA2 stage tumors are large, requiring extensive surgical resection (e.g., radical type C hysterectomy), and adjuvant radiotherapy is often needed postoperatively. dual treatment may instead impair vaginal function and sexual quality of life. CCRT can directly control the tumor and reduce long-term functional impact on organs.  </w:t>
            </w:r>
            <w:r w:rsidRPr="00CB2EC4">
              <w:rPr>
                <w:rFonts w:ascii="Times New Roman" w:hAnsi="Times New Roman" w:cs="Times New Roman"/>
              </w:rPr>
              <w:br/>
            </w:r>
            <w:r w:rsidRPr="00CB2EC4">
              <w:rPr>
                <w:rFonts w:ascii="Times New Roman" w:hAnsi="Times New Roman" w:cs="Times New Roman"/>
              </w:rPr>
              <w:br/>
              <w:t>summary answer: guidelines favor CCRT because tumors are large with multiple high-risk factors, leading to high postoperative recurrence risk and frequent need for adjuvant radiotherapy, resulting in dual treatment and increased complications; CCRT as a single modality offers good efficacy with lower complication rates, making it especially suitable for locally advanced patients.</w:t>
            </w:r>
          </w:p>
        </w:tc>
        <w:tc>
          <w:tcPr>
            <w:tcW w:w="1152" w:type="dxa"/>
            <w:vAlign w:val="center"/>
          </w:tcPr>
          <w:p w14:paraId="6B5EB4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B2E3D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FB1F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E81A03" w14:textId="77777777">
        <w:tc>
          <w:tcPr>
            <w:tcW w:w="2160" w:type="dxa"/>
            <w:vAlign w:val="center"/>
          </w:tcPr>
          <w:p w14:paraId="4546E17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4B456F1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the document content, guidelines preferentially recommend concurrent chemoradiotherapy (CCRT) as the primary treatment for FIGO IB3 and IIA2 stage cervical cancer over surgery, mainly due to tumor characteristics, complication risks, and evidence of efficacy.  </w:t>
            </w:r>
            <w:r w:rsidRPr="00CB2EC4">
              <w:rPr>
                <w:rFonts w:ascii="Times New Roman" w:hAnsi="Times New Roman" w:cs="Times New Roman"/>
              </w:rPr>
              <w:br/>
              <w:t xml:space="preserve">- reasons for preferring CCRT:  </w:t>
            </w:r>
            <w:r w:rsidRPr="00CB2EC4">
              <w:rPr>
                <w:rFonts w:ascii="Times New Roman" w:hAnsi="Times New Roman" w:cs="Times New Roman"/>
              </w:rPr>
              <w:br/>
              <w:t xml:space="preserve">  - high-risk tumor factors: IB3 and IIA2 stage tumors are larger (e.g., tumor diameter &gt;4cm), often accompanied by lymph node metastasis, parametrial infiltration, and other high-risk features, leading to a high likelihood of postoperative adjuvant radiotherapy </w:t>
            </w:r>
            <w:r w:rsidRPr="00CB2EC4">
              <w:rPr>
                <w:rFonts w:ascii="Times New Roman" w:hAnsi="Times New Roman" w:cs="Times New Roman"/>
              </w:rPr>
              <w:lastRenderedPageBreak/>
              <w:t xml:space="preserve">and increased recurrence risk (document fragments 7 and 19). CCRT directly controls local lesions and avoids additional risks from surgery.  </w:t>
            </w:r>
            <w:r w:rsidRPr="00CB2EC4">
              <w:rPr>
                <w:rFonts w:ascii="Times New Roman" w:hAnsi="Times New Roman" w:cs="Times New Roman"/>
              </w:rPr>
              <w:br/>
              <w:t xml:space="preserve">  - complication risk: the "dual treatment" approach of surgery followed by adjuvant radiotherapy significantly increases the risk of severe complications (e.g., bowel complications, ureteral fistula) and offers no proven efficacy advantage over CCRT (document fragments 3 and 5). for example, preoperative radiotherapy followed by surgery results in high complication rates and patient suffering (document fragment 5).  </w:t>
            </w:r>
            <w:r w:rsidRPr="00CB2EC4">
              <w:rPr>
                <w:rFonts w:ascii="Times New Roman" w:hAnsi="Times New Roman" w:cs="Times New Roman"/>
              </w:rPr>
              <w:br/>
              <w:t xml:space="preserve">  - efficacy evidence: CCRT has been proven superior to radiotherapy or surgery alone, reducing recurrence and mortality risks. the document states that CCRT as postoperative adjuvant therapy is superior to radiotherapy alone, and for locally advanced cervical cancer (IB3/IIA2 stages), CCRT is the standard first-line option (document fragments 3 and 4). in areas with limited radiotherapy resources, neoadjuvant chemotherapy followed by surgery may be considered, but this is not the preferred approach (document fragment 3).  </w:t>
            </w:r>
            <w:r w:rsidRPr="00CB2EC4">
              <w:rPr>
                <w:rFonts w:ascii="Times New Roman" w:hAnsi="Times New Roman" w:cs="Times New Roman"/>
              </w:rPr>
              <w:br/>
              <w:t xml:space="preserve">  - guideline recommendations: the document explicitly lists radical radiotherapy (external beam radiotherapy + vaginal brachytherapy) ± platinum-based concurrent chemotherapy as a level I recommendation (highest grade) for IB3/IIA2 stages, while surgery is only a level II or III recommendation (document fragment 4).  </w:t>
            </w:r>
            <w:r w:rsidRPr="00CB2EC4">
              <w:rPr>
                <w:rFonts w:ascii="Times New Roman" w:hAnsi="Times New Roman" w:cs="Times New Roman"/>
              </w:rPr>
              <w:br/>
            </w:r>
            <w:r w:rsidRPr="00CB2EC4">
              <w:rPr>
                <w:rFonts w:ascii="Times New Roman" w:hAnsi="Times New Roman" w:cs="Times New Roman"/>
              </w:rPr>
              <w:br/>
              <w:t>in summary, CCRT is preferred as first-line due to its efficient local tumor control, reduced complications, and support from randomized trial evidence.</w:t>
            </w:r>
          </w:p>
        </w:tc>
        <w:tc>
          <w:tcPr>
            <w:tcW w:w="1152" w:type="dxa"/>
            <w:vAlign w:val="center"/>
          </w:tcPr>
          <w:p w14:paraId="41C3E1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A0A1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4E74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9F642DC" w14:textId="77777777">
        <w:tc>
          <w:tcPr>
            <w:tcW w:w="2160" w:type="dxa"/>
            <w:vAlign w:val="center"/>
          </w:tcPr>
          <w:p w14:paraId="7E3AB93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2DE10BF7"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FIGO stage IB3 and IIA2, the guidelines favor concurrent chemoradiotherapy (CCRT) over surgery as the primary treatment for the following reasons:</w:t>
            </w:r>
            <w:r w:rsidRPr="00CB2EC4">
              <w:rPr>
                <w:rFonts w:ascii="Times New Roman" w:hAnsi="Times New Roman" w:cs="Times New Roman"/>
              </w:rPr>
              <w:br/>
            </w:r>
            <w:r w:rsidRPr="00CB2EC4">
              <w:rPr>
                <w:rFonts w:ascii="Times New Roman" w:hAnsi="Times New Roman" w:cs="Times New Roman"/>
              </w:rPr>
              <w:br/>
              <w:t>- **Tumor Characteristics**: IB3/IIA2 stage tumors are typically large (&gt;4 cm) and often associated with high-risk factors (e.g., lymph node metastasis, parametrial invasion, positive vaginal margins), which significantly increase the risk of postoperative recurrence. Complete resection is difficult to achieve with surgery alone.</w:t>
            </w:r>
            <w:r w:rsidRPr="00CB2EC4">
              <w:rPr>
                <w:rFonts w:ascii="Times New Roman" w:hAnsi="Times New Roman" w:cs="Times New Roman"/>
              </w:rPr>
              <w:br/>
              <w:t>- **Advantages of CCRT**:</w:t>
            </w:r>
            <w:r w:rsidRPr="00CB2EC4">
              <w:rPr>
                <w:rFonts w:ascii="Times New Roman" w:hAnsi="Times New Roman" w:cs="Times New Roman"/>
              </w:rPr>
              <w:br/>
              <w:t xml:space="preserve">  - Platinum-based concurrent chemoradiotherapy (CCRT) has been proven superior to radiotherapy alone, improving patient survival rates.</w:t>
            </w:r>
            <w:r w:rsidRPr="00CB2EC4">
              <w:rPr>
                <w:rFonts w:ascii="Times New Roman" w:hAnsi="Times New Roman" w:cs="Times New Roman"/>
              </w:rPr>
              <w:br/>
              <w:t xml:space="preserve">  - Surgery usually requires additional postoperative adjuvant radiotherapy (i.e., dual-modality therapy), but this approach significantly increases the risk of severe complications (e.g., intestinal or urinary tract injuries).</w:t>
            </w:r>
            <w:r w:rsidRPr="00CB2EC4">
              <w:rPr>
                <w:rFonts w:ascii="Times New Roman" w:hAnsi="Times New Roman" w:cs="Times New Roman"/>
              </w:rPr>
              <w:br/>
              <w:t>- **Limitations of Surgery**:</w:t>
            </w:r>
            <w:r w:rsidRPr="00CB2EC4">
              <w:rPr>
                <w:rFonts w:ascii="Times New Roman" w:hAnsi="Times New Roman" w:cs="Times New Roman"/>
              </w:rPr>
              <w:br/>
              <w:t xml:space="preserve">  - Surgery is only considered an alternative option in regions with limited radiotherapy resources.</w:t>
            </w:r>
            <w:r w:rsidRPr="00CB2EC4">
              <w:rPr>
                <w:rFonts w:ascii="Times New Roman" w:hAnsi="Times New Roman" w:cs="Times New Roman"/>
              </w:rPr>
              <w:br/>
              <w:t xml:space="preserve">  - Note: Bulky lesions and adenocarcinoma subtypes exhibit lower response rates to chemotherapy, which may affect the efficacy of surgery following neoadjuvant chemotherapy (NACT).</w:t>
            </w:r>
            <w:r w:rsidRPr="00CB2EC4">
              <w:rPr>
                <w:rFonts w:ascii="Times New Roman" w:hAnsi="Times New Roman" w:cs="Times New Roman"/>
              </w:rPr>
              <w:br/>
            </w:r>
            <w:r w:rsidRPr="00CB2EC4">
              <w:rPr>
                <w:rFonts w:ascii="Times New Roman" w:hAnsi="Times New Roman" w:cs="Times New Roman"/>
              </w:rPr>
              <w:br/>
              <w:t>→ Therefore, CCRT is recommended as the standard first-line treatment to balance efficacy and safety while avoiding the additional risks associated with dual-modality therapy.</w:t>
            </w:r>
          </w:p>
        </w:tc>
        <w:tc>
          <w:tcPr>
            <w:tcW w:w="1152" w:type="dxa"/>
            <w:vAlign w:val="center"/>
          </w:tcPr>
          <w:p w14:paraId="2D94BC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04D6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A8D4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A1AA97" w14:textId="77777777">
        <w:tc>
          <w:tcPr>
            <w:tcW w:w="2160" w:type="dxa"/>
            <w:vAlign w:val="center"/>
          </w:tcPr>
          <w:p w14:paraId="176FB07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2D2789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FIGO IB3 and IIA2 stage disease, </w:t>
            </w:r>
            <w:r w:rsidRPr="00CB2EC4">
              <w:rPr>
                <w:rFonts w:ascii="Times New Roman" w:hAnsi="Times New Roman" w:cs="Times New Roman"/>
              </w:rPr>
              <w:lastRenderedPageBreak/>
              <w:t>guidelines preferentially recommend concurrent chemoradiotherapy (CCRT) over surgery as the primary treatment for the following reasons:</w:t>
            </w:r>
            <w:r w:rsidRPr="00CB2EC4">
              <w:rPr>
                <w:rFonts w:ascii="Times New Roman" w:hAnsi="Times New Roman" w:cs="Times New Roman"/>
              </w:rPr>
              <w:br/>
            </w:r>
            <w:r w:rsidRPr="00CB2EC4">
              <w:rPr>
                <w:rFonts w:ascii="Times New Roman" w:hAnsi="Times New Roman" w:cs="Times New Roman"/>
              </w:rPr>
              <w:br/>
              <w:t>- high proportion requiring adjuvant therapy post-surgery: approximately 80% of IB3/IIA2 stage patients require postoperative adjuvant radiotherapy (PORT) or CCRT after surgery. this is because tumors at this stage are typically larger (&gt;4 cm) and often associated with high-risk factors such as lymph node positivity, parametrial involvement, or positive surgical margins, which increase the risk of recurrence (document fragment 10).</w:t>
            </w:r>
            <w:r w:rsidRPr="00CB2EC4">
              <w:rPr>
                <w:rFonts w:ascii="Times New Roman" w:hAnsi="Times New Roman" w:cs="Times New Roman"/>
              </w:rPr>
              <w:br/>
              <w:t>- increased complication risk with dual therapy: the "dual therapy" approach of surgery followed by radiotherapy significantly raises the incidence of severe complications (e.g., gastrointestinal and genitourinary injuries), impairing quality of life. for example:</w:t>
            </w:r>
            <w:r w:rsidRPr="00CB2EC4">
              <w:rPr>
                <w:rFonts w:ascii="Times New Roman" w:hAnsi="Times New Roman" w:cs="Times New Roman"/>
              </w:rPr>
              <w:br/>
              <w:t xml:space="preserve">  - surgery alone may cause genitourinary tract injury (incidence 2%-7%) and bladder dysfunction.</w:t>
            </w:r>
            <w:r w:rsidRPr="00CB2EC4">
              <w:rPr>
                <w:rFonts w:ascii="Times New Roman" w:hAnsi="Times New Roman" w:cs="Times New Roman"/>
              </w:rPr>
              <w:br/>
              <w:t xml:space="preserve">  - the addition of postoperative radiotherapy exacerbates tissue fibrosis and late toxicities (e.g., rectal or bladder late radiation reactions) (document fragment 10).</w:t>
            </w:r>
            <w:r w:rsidRPr="00CB2EC4">
              <w:rPr>
                <w:rFonts w:ascii="Times New Roman" w:hAnsi="Times New Roman" w:cs="Times New Roman"/>
              </w:rPr>
              <w:br/>
              <w:t>- survival benefit and resource efficiency:</w:t>
            </w:r>
            <w:r w:rsidRPr="00CB2EC4">
              <w:rPr>
                <w:rFonts w:ascii="Times New Roman" w:hAnsi="Times New Roman" w:cs="Times New Roman"/>
              </w:rPr>
              <w:br/>
              <w:t xml:space="preserve">  - CCRT as a single definitive modality has been proven superior to radiotherapy alone or surgery plus PORT. randomized trials show CCRT reduces local recurrence risk by 10%-15% and improves 5-year survival rates.</w:t>
            </w:r>
            <w:r w:rsidRPr="00CB2EC4">
              <w:rPr>
                <w:rFonts w:ascii="Times New Roman" w:hAnsi="Times New Roman" w:cs="Times New Roman"/>
              </w:rPr>
              <w:br/>
              <w:t xml:space="preserve">  - CCRT avoids unnecessary surgical resource utilization, which is particularly efficient in low- and middle-income countries where radiotherapy </w:t>
            </w:r>
            <w:r w:rsidRPr="00CB2EC4">
              <w:rPr>
                <w:rFonts w:ascii="Times New Roman" w:hAnsi="Times New Roman" w:cs="Times New Roman"/>
              </w:rPr>
              <w:lastRenderedPageBreak/>
              <w:t>resources are limited (document fragment 10).</w:t>
            </w:r>
            <w:r w:rsidRPr="00CB2EC4">
              <w:rPr>
                <w:rFonts w:ascii="Times New Roman" w:hAnsi="Times New Roman" w:cs="Times New Roman"/>
              </w:rPr>
              <w:br/>
              <w:t>- tumor characteristics: IB3/IIA2 stage tumors are large and prone to micrometastases; CCRT simultaneously controls local disease and distant micrometastases, whereas surgery may fail to completely resect high-risk lesions (document fragment 10).</w:t>
            </w:r>
            <w:r w:rsidRPr="00CB2EC4">
              <w:rPr>
                <w:rFonts w:ascii="Times New Roman" w:hAnsi="Times New Roman" w:cs="Times New Roman"/>
              </w:rPr>
              <w:br/>
            </w:r>
            <w:r w:rsidRPr="00CB2EC4">
              <w:rPr>
                <w:rFonts w:ascii="Times New Roman" w:hAnsi="Times New Roman" w:cs="Times New Roman"/>
              </w:rPr>
              <w:br/>
              <w:t>in summary, CCRT is recommended as the standard treatment because it reduces complication risks from dual therapy, optimizes survival outcomes, and improves treatment efficiency.</w:t>
            </w:r>
          </w:p>
        </w:tc>
        <w:tc>
          <w:tcPr>
            <w:tcW w:w="1152" w:type="dxa"/>
            <w:vAlign w:val="center"/>
          </w:tcPr>
          <w:p w14:paraId="4F68EF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7C384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C2E3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5E75DD" w14:textId="77777777">
        <w:tc>
          <w:tcPr>
            <w:tcW w:w="2160" w:type="dxa"/>
            <w:vAlign w:val="center"/>
          </w:tcPr>
          <w:p w14:paraId="0A1A263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2838F12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Reason:  </w:t>
            </w:r>
            <w:r w:rsidRPr="00CB2EC4">
              <w:rPr>
                <w:rFonts w:ascii="Times New Roman" w:hAnsi="Times New Roman" w:cs="Times New Roman"/>
              </w:rPr>
              <w:br/>
              <w:t xml:space="preserve">  - High adjuvant therapy requirement: 80% of patients undergoing surgery require adjuvant radiotherapy or CCRT postoperatively, increasing the risk of "dual treatment" (similarity 0.478).  </w:t>
            </w:r>
            <w:r w:rsidRPr="00CB2EC4">
              <w:rPr>
                <w:rFonts w:ascii="Times New Roman" w:hAnsi="Times New Roman" w:cs="Times New Roman"/>
              </w:rPr>
              <w:br/>
              <w:t xml:space="preserve">  - Complication risk: Surgery plus radiotherapy significantly increases the risk of severe complications (e.g., bowel, urinary tract injury), impairing quality of life (similarity 0.478).  </w:t>
            </w:r>
            <w:r w:rsidRPr="00CB2EC4">
              <w:rPr>
                <w:rFonts w:ascii="Times New Roman" w:hAnsi="Times New Roman" w:cs="Times New Roman"/>
              </w:rPr>
              <w:br/>
              <w:t xml:space="preserve">  - Survival benefit: CCRT improves survival rates by 10%–15% compared with radiotherapy alone and reduces local/distant recurrence (similarity 0.478).  </w:t>
            </w:r>
            <w:r w:rsidRPr="00CB2EC4">
              <w:rPr>
                <w:rFonts w:ascii="Times New Roman" w:hAnsi="Times New Roman" w:cs="Times New Roman"/>
              </w:rPr>
              <w:br/>
              <w:t xml:space="preserve">  - Resource burden: The dual-treatment model leads to unnecessary consumption of surgical and radiotherapy resources (similarity 0.478).  </w:t>
            </w:r>
            <w:r w:rsidRPr="00CB2EC4">
              <w:rPr>
                <w:rFonts w:ascii="Times New Roman" w:hAnsi="Times New Roman" w:cs="Times New Roman"/>
              </w:rPr>
              <w:br/>
              <w:t xml:space="preserve">  Therefore, CCRT is designated as the standard treatment for IB3/IIA2 stages (similarity 0.478).</w:t>
            </w:r>
          </w:p>
        </w:tc>
        <w:tc>
          <w:tcPr>
            <w:tcW w:w="1152" w:type="dxa"/>
            <w:vAlign w:val="center"/>
          </w:tcPr>
          <w:p w14:paraId="2B8787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637E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EF17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1963FA" w14:textId="77777777">
        <w:tc>
          <w:tcPr>
            <w:tcW w:w="2160" w:type="dxa"/>
            <w:vAlign w:val="center"/>
          </w:tcPr>
          <w:p w14:paraId="1DDC674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B73711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FIGO IB3 and IIA2 stage disease, guidelines preferentially recommend concurrent chemoradiotherapy (CCRT) over surgery as the primary treatment for the following reasons:  </w:t>
            </w:r>
            <w:r w:rsidRPr="00CB2EC4">
              <w:rPr>
                <w:rFonts w:ascii="Times New Roman" w:hAnsi="Times New Roman" w:cs="Times New Roman"/>
              </w:rPr>
              <w:br/>
            </w:r>
            <w:r w:rsidRPr="00CB2EC4">
              <w:rPr>
                <w:rFonts w:ascii="Times New Roman" w:hAnsi="Times New Roman" w:cs="Times New Roman"/>
              </w:rPr>
              <w:lastRenderedPageBreak/>
              <w:t xml:space="preserve">- avoidance of complications from "dual therapy": surgery is often followed by adjuvant radiotherapy (PORT), but the "dual therapy" approach of surgery plus radiotherapy significantly increases the risk of complications such as bowel issues, fistula formation, and bladder injury, impairing quality of life (fragment 17: 80% of patients require PORT after surgery; fragment 27: surgery plus radiotherapy increases complications and thus affects quality of life).  </w:t>
            </w:r>
            <w:r w:rsidRPr="00CB2EC4">
              <w:rPr>
                <w:rFonts w:ascii="Times New Roman" w:hAnsi="Times New Roman" w:cs="Times New Roman"/>
              </w:rPr>
              <w:br/>
              <w:t xml:space="preserve">- superior efficacy: CCRT (external beam radiotherapy combined with intracavitary brachytherapy and platinum-based chemotherapy) outperforms surgery in local control and survival rates:  </w:t>
            </w:r>
            <w:r w:rsidRPr="00CB2EC4">
              <w:rPr>
                <w:rFonts w:ascii="Times New Roman" w:hAnsi="Times New Roman" w:cs="Times New Roman"/>
              </w:rPr>
              <w:br/>
              <w:t xml:space="preserve">  - fragment 27 states that CCRT is the standard treatment, with randomized trials showing a 10%~15% survival benefit over radiotherapy alone and reduced local and distant recurrence.  </w:t>
            </w:r>
            <w:r w:rsidRPr="00CB2EC4">
              <w:rPr>
                <w:rFonts w:ascii="Times New Roman" w:hAnsi="Times New Roman" w:cs="Times New Roman"/>
              </w:rPr>
              <w:br/>
              <w:t xml:space="preserve">  - fragments 17 and 26 emphasize that for larger tumors (&gt;4 cm) in IB3/IIA2 stages, CCRT directly targets locally advanced disease, whereas surgery may yield suboptimal outcomes due to high-risk factors such as lymph node metastasis.  </w:t>
            </w:r>
            <w:r w:rsidRPr="00CB2EC4">
              <w:rPr>
                <w:rFonts w:ascii="Times New Roman" w:hAnsi="Times New Roman" w:cs="Times New Roman"/>
              </w:rPr>
              <w:br/>
              <w:t xml:space="preserve">- resource efficiency: in regions with limited radiotherapy resources, surgery remains feasible, but CCRT as a single modality reduces unnecessary surgical burden (fragment 17: the dual therapy model increases unnecessary surgical and radiotherapy resource load).  </w:t>
            </w:r>
            <w:r w:rsidRPr="00CB2EC4">
              <w:rPr>
                <w:rFonts w:ascii="Times New Roman" w:hAnsi="Times New Roman" w:cs="Times New Roman"/>
              </w:rPr>
              <w:br/>
              <w:t xml:space="preserve">- tumor biological factors: IB3/IIA2 stage tumors are prone to high-risk features (e.g., lymph node positivity), and CCRT more effectively controls micrometastases (fragment 15: large tumors easily combine with high-risk factors; fragment 27: CCRT </w:t>
            </w:r>
            <w:r w:rsidRPr="00CB2EC4">
              <w:rPr>
                <w:rFonts w:ascii="Times New Roman" w:hAnsi="Times New Roman" w:cs="Times New Roman"/>
              </w:rPr>
              <w:lastRenderedPageBreak/>
              <w:t xml:space="preserve">eradicates local lesions and facilitates subsequent treatment).  </w:t>
            </w:r>
            <w:r w:rsidRPr="00CB2EC4">
              <w:rPr>
                <w:rFonts w:ascii="Times New Roman" w:hAnsi="Times New Roman" w:cs="Times New Roman"/>
              </w:rPr>
              <w:br/>
            </w:r>
            <w:r w:rsidRPr="00CB2EC4">
              <w:rPr>
                <w:rFonts w:ascii="Times New Roman" w:hAnsi="Times New Roman" w:cs="Times New Roman"/>
              </w:rPr>
              <w:br/>
              <w:t>in summary, CCRT is recommended as the first-line option because it offers better survival benefits, lower complication risks, and avoids the drawbacks of dual therapy.</w:t>
            </w:r>
          </w:p>
        </w:tc>
        <w:tc>
          <w:tcPr>
            <w:tcW w:w="1152" w:type="dxa"/>
            <w:vAlign w:val="center"/>
          </w:tcPr>
          <w:p w14:paraId="06C5D5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E8A08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86D8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31B5BA0" w14:textId="77777777">
        <w:tc>
          <w:tcPr>
            <w:tcW w:w="2160" w:type="dxa"/>
            <w:vAlign w:val="center"/>
          </w:tcPr>
          <w:p w14:paraId="391D177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2C1AA33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FIGO IB3 and IIA2 disease, guidelines preferentially recommend concurrent chemoradiotherapy (CCRT) over surgery as the primary treatment because a high proportion (approximately 80%) of patients require postoperative adjuvant radiotherapy (PORT) after surgery, leading to "dual treatment" that increases the risk of severe complications, impairs quality of life, and burdens medical resources; CCRT as a single modality effectively controls the tumor while avoiding these issues.  </w:t>
            </w:r>
            <w:r w:rsidRPr="00CB2EC4">
              <w:rPr>
                <w:rFonts w:ascii="Times New Roman" w:hAnsi="Times New Roman" w:cs="Times New Roman"/>
              </w:rPr>
              <w:br/>
              <w:t xml:space="preserve">- reasons:  </w:t>
            </w:r>
            <w:r w:rsidRPr="00CB2EC4">
              <w:rPr>
                <w:rFonts w:ascii="Times New Roman" w:hAnsi="Times New Roman" w:cs="Times New Roman"/>
              </w:rPr>
              <w:br/>
              <w:t xml:space="preserve">  - high need for adjuvant therapy after surgery: the document states "because 80% patients need PORT or CCRT," as surgery alone cannot completely eliminate high-risk factors (e.g., positive lymph nodes or large tumors), resulting in most patients still requiring radiotherapy (relevant segment 2, blocks 13-15).  </w:t>
            </w:r>
            <w:r w:rsidRPr="00CB2EC4">
              <w:rPr>
                <w:rFonts w:ascii="Times New Roman" w:hAnsi="Times New Roman" w:cs="Times New Roman"/>
              </w:rPr>
              <w:br/>
              <w:t xml:space="preserve">  - risks of dual treatment: surgery plus radiotherapy "increases complications thereby affecting quality of life," such as higher risks of urinary tract injury, fistula formation, and bladder dysfunction (relevant segment 1, blocks 10-12; relevant segment 2, blocks 13-15).  </w:t>
            </w:r>
            <w:r w:rsidRPr="00CB2EC4">
              <w:rPr>
                <w:rFonts w:ascii="Times New Roman" w:hAnsi="Times New Roman" w:cs="Times New Roman"/>
              </w:rPr>
              <w:br/>
              <w:t xml:space="preserve">  - resource burden: dual treatment "adds unnecessary surgical and radiotherapy resource burden," particularly prominent in resource-limited settings </w:t>
            </w:r>
            <w:r w:rsidRPr="00CB2EC4">
              <w:rPr>
                <w:rFonts w:ascii="Times New Roman" w:hAnsi="Times New Roman" w:cs="Times New Roman"/>
              </w:rPr>
              <w:lastRenderedPageBreak/>
              <w:t xml:space="preserve">(relevant segment 2, blocks 13-15).  </w:t>
            </w:r>
            <w:r w:rsidRPr="00CB2EC4">
              <w:rPr>
                <w:rFonts w:ascii="Times New Roman" w:hAnsi="Times New Roman" w:cs="Times New Roman"/>
              </w:rPr>
              <w:br/>
              <w:t xml:space="preserve">  - advantages of CCRT: CCRT (external beam radiotherapy plus intracavitary brachytherapy with concurrent chemotherapy) is explicitly defined as the "standard treatment," reducing local and distant recurrence and improving survival rates (relevant segment 1, blocks 10-12; relevant segment 2, blocks 13-15).  </w:t>
            </w:r>
            <w:r w:rsidRPr="00CB2EC4">
              <w:rPr>
                <w:rFonts w:ascii="Times New Roman" w:hAnsi="Times New Roman" w:cs="Times New Roman"/>
              </w:rPr>
              <w:br/>
              <w:t>basis: the document repeatedly emphasizes CCRT as the preferred option for IB3/IIA2 stages based on randomized trial evidence (e.g., 10-15% improvement in 5-year survival), with surgery reserved as an alternative only when radiotherapy is unavailable.</w:t>
            </w:r>
          </w:p>
        </w:tc>
        <w:tc>
          <w:tcPr>
            <w:tcW w:w="1152" w:type="dxa"/>
            <w:vAlign w:val="center"/>
          </w:tcPr>
          <w:p w14:paraId="14F49D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75937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B3DC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55C2E9" w14:textId="77777777">
        <w:tc>
          <w:tcPr>
            <w:tcW w:w="2160" w:type="dxa"/>
            <w:vAlign w:val="center"/>
          </w:tcPr>
          <w:p w14:paraId="4B96B46F"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F94DFB7" w14:textId="77777777" w:rsidR="00922249" w:rsidRPr="00CB2EC4" w:rsidRDefault="003011D5">
            <w:pPr>
              <w:rPr>
                <w:rFonts w:ascii="Times New Roman" w:hAnsi="Times New Roman" w:cs="Times New Roman"/>
              </w:rPr>
            </w:pPr>
            <w:r w:rsidRPr="00CB2EC4">
              <w:rPr>
                <w:rFonts w:ascii="Times New Roman" w:hAnsi="Times New Roman" w:cs="Times New Roman"/>
              </w:rPr>
              <w:t>- Reasons for recommending CCRT: For patients with FIGO IB3 (tumor diameter &gt;4 cm) and IIA2 (tumor invades upper vaginal segment ≤2/3 with diameter &gt;4 cm) disease, concurrent chemoradiotherapy (CCRT; external beam radiotherapy plus cisplatin chemotherapy) is preferred as initial treatment because surgery (e.g., radical hysterectomy) is associated with a higher risk of local recurrence (approximately 20–30%) and often requires adjuvant radiotherapy or chemoradiotherapy postoperatively (i.e., a "dual-modality" treatment approach), which significantly increases complications (e.g., bowel obstruction, lymphedema) and toxicity without improving overall survival. CCRT provides superior local control and equivalent or better survival outcomes (5-year survival rate approximately 70–80%) while avoiding surgery-related risks.</w:t>
            </w:r>
          </w:p>
        </w:tc>
        <w:tc>
          <w:tcPr>
            <w:tcW w:w="1152" w:type="dxa"/>
            <w:vAlign w:val="center"/>
          </w:tcPr>
          <w:p w14:paraId="3D5754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598C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87E67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179F10" w14:textId="77777777">
        <w:tc>
          <w:tcPr>
            <w:tcW w:w="10656" w:type="dxa"/>
            <w:gridSpan w:val="5"/>
            <w:tcBorders>
              <w:bottom w:val="single" w:sz="6" w:space="0" w:color="auto"/>
            </w:tcBorders>
            <w:vAlign w:val="center"/>
          </w:tcPr>
          <w:p w14:paraId="492358E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84: For a patient with FIGO stage IB3 cervical cancer, what is the recommended primary treatment modality? Why is a "dual-modality treatment" approach, typically involving surgery followed by adjuvant radiotherapy, generally not recommended?</w:t>
            </w:r>
          </w:p>
        </w:tc>
      </w:tr>
      <w:tr w:rsidR="00922249" w:rsidRPr="00CB2EC4" w14:paraId="61FBB22B" w14:textId="77777777">
        <w:tc>
          <w:tcPr>
            <w:tcW w:w="2160" w:type="dxa"/>
            <w:vAlign w:val="center"/>
          </w:tcPr>
          <w:p w14:paraId="613E2BA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Enrichment</w:t>
            </w:r>
          </w:p>
        </w:tc>
        <w:tc>
          <w:tcPr>
            <w:tcW w:w="5040" w:type="dxa"/>
            <w:vAlign w:val="center"/>
          </w:tcPr>
          <w:p w14:paraId="291CEBC0" w14:textId="77777777" w:rsidR="00922249" w:rsidRPr="00CB2EC4" w:rsidRDefault="003011D5">
            <w:pPr>
              <w:rPr>
                <w:rFonts w:ascii="Times New Roman" w:hAnsi="Times New Roman" w:cs="Times New Roman"/>
              </w:rPr>
            </w:pPr>
            <w:r w:rsidRPr="00CB2EC4">
              <w:rPr>
                <w:rFonts w:ascii="Times New Roman" w:hAnsi="Times New Roman" w:cs="Times New Roman"/>
              </w:rPr>
              <w:t>for a patient with FIGO stage IB3, the guideline-recommended primary treatment is platinum-based concurrent chemoradiotherapy (CCRT).</w:t>
            </w:r>
            <w:r w:rsidRPr="00CB2EC4">
              <w:rPr>
                <w:rFonts w:ascii="Times New Roman" w:hAnsi="Times New Roman" w:cs="Times New Roman"/>
              </w:rPr>
              <w:br/>
            </w:r>
            <w:r w:rsidRPr="00CB2EC4">
              <w:rPr>
                <w:rFonts w:ascii="Times New Roman" w:hAnsi="Times New Roman" w:cs="Times New Roman"/>
              </w:rPr>
              <w:br/>
              <w:t>The "dual treatment" approach (surgery followed by adjuvant radiotherapy) is generally not recommended as first-line therapy for the following reasons:</w:t>
            </w:r>
            <w:r w:rsidRPr="00CB2EC4">
              <w:rPr>
                <w:rFonts w:ascii="Times New Roman" w:hAnsi="Times New Roman" w:cs="Times New Roman"/>
              </w:rPr>
              <w:br/>
            </w:r>
            <w:r w:rsidRPr="00CB2EC4">
              <w:rPr>
                <w:rFonts w:ascii="Times New Roman" w:hAnsi="Times New Roman" w:cs="Times New Roman"/>
              </w:rPr>
              <w:br/>
              <w:t>1.  **High risk of severe complications**: Dual treatment significantly increases the risk of serious toxicities due to the superimposed effects of surgery and radiotherapy. Documented complications include urinary tract injuries (e.g., ureteral fistula or vesicovaginal fistula occurring in 2–7% of cases), gastrointestinal complications (approximately 10% incidence), as well as increased risks of bladder dysfunction and infection, substantially reducing quality of life.</w:t>
            </w:r>
            <w:r w:rsidRPr="00CB2EC4">
              <w:rPr>
                <w:rFonts w:ascii="Times New Roman" w:hAnsi="Times New Roman" w:cs="Times New Roman"/>
              </w:rPr>
              <w:br/>
              <w:t>2.  **Lack of efficacy advantage and potential survival detriment**: Dual treatment has not demonstrated superiority over CCRT. In fact, adjuvant radiotherapy after surgery, while able to reduce pelvic recurrence, shows limited impact on overall survival ("postoperative pelvic field radiotherapy can reduce pelvic recurrence rates and prolong recurrence time, but has little effect on overall 5-year survival rate"). CCRT, as a single modality, has been proven to improve survival outcomes.</w:t>
            </w:r>
            <w:r w:rsidRPr="00CB2EC4">
              <w:rPr>
                <w:rFonts w:ascii="Times New Roman" w:hAnsi="Times New Roman" w:cs="Times New Roman"/>
              </w:rPr>
              <w:br/>
              <w:t xml:space="preserve">3.  **Tumor biological factors**: Stage IB3 tumors are typically large (&gt;4 cm). Surgery often fails to achieve negative margins, and high-risk factors such as lymph node metastasis frequently remain postoperatively. This necessitates adjuvant radiotherapy. However, the dual approach increases </w:t>
            </w:r>
            <w:r w:rsidRPr="00CB2EC4">
              <w:rPr>
                <w:rFonts w:ascii="Times New Roman" w:hAnsi="Times New Roman" w:cs="Times New Roman"/>
              </w:rPr>
              <w:lastRenderedPageBreak/>
              <w:t>toxicity without improving cure rates. Documented high-risk factors include "tumor maximum diameter &gt;4cm, LVSI(+), infiltration into the outer one-third of the cervical stroma".</w:t>
            </w:r>
            <w:r w:rsidRPr="00CB2EC4">
              <w:rPr>
                <w:rFonts w:ascii="Times New Roman" w:hAnsi="Times New Roman" w:cs="Times New Roman"/>
              </w:rPr>
              <w:br/>
              <w:t>4.  **Resource availability and individualized considerations**: In regions with well-established radiotherapy facilities, CCRT is direct and efficient. Surgery is only considered when radiotherapy is unavailable (e.g., after neoadjuvant chemotherapy [NACT]), but the document cautions that "it is difficult to determine the need for adjuvant therapy after NACT", and "very large bulky lesions and adenocarcinoma have lower response rates to NACT", supporting CCRT as the preferred first-line option.</w:t>
            </w:r>
          </w:p>
        </w:tc>
        <w:tc>
          <w:tcPr>
            <w:tcW w:w="1152" w:type="dxa"/>
            <w:vAlign w:val="center"/>
          </w:tcPr>
          <w:p w14:paraId="558CEE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AB6F3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AA79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D19FF4" w14:textId="77777777">
        <w:tc>
          <w:tcPr>
            <w:tcW w:w="2160" w:type="dxa"/>
            <w:vAlign w:val="center"/>
          </w:tcPr>
          <w:p w14:paraId="0FEF14EF"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202CB3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Preferred treatment: Concurrent chemoradiotherapy (CCRT) (block 13, 24, 35).  </w:t>
            </w:r>
            <w:r w:rsidRPr="00CB2EC4">
              <w:rPr>
                <w:rFonts w:ascii="Times New Roman" w:hAnsi="Times New Roman" w:cs="Times New Roman"/>
              </w:rPr>
              <w:br/>
              <w:t xml:space="preserve">   - Specific regimen: Radical radiotherapy (external beam radiotherapy EBRT + intracavitary brachytherapy ICRT) combined with platinum-based concurrent chemotherapy (e.g., cisplatin 40 mg/m²/week).  </w:t>
            </w:r>
            <w:r w:rsidRPr="00CB2EC4">
              <w:rPr>
                <w:rFonts w:ascii="Times New Roman" w:hAnsi="Times New Roman" w:cs="Times New Roman"/>
              </w:rPr>
              <w:br/>
              <w:t xml:space="preserve">2. Reasons for not recommending "dual therapy" (surgery followed by adjuvant radiotherapy):  </w:t>
            </w:r>
            <w:r w:rsidRPr="00CB2EC4">
              <w:rPr>
                <w:rFonts w:ascii="Times New Roman" w:hAnsi="Times New Roman" w:cs="Times New Roman"/>
              </w:rPr>
              <w:br/>
              <w:t xml:space="preserve">   - High complication risk: Combined surgery and postoperative radiotherapy leads to severe toxicity (e.g., urinary fistula rate 2–7%, bowel obstruction), with mortality &gt;1% (block 13, 490).  </w:t>
            </w:r>
            <w:r w:rsidRPr="00CB2EC4">
              <w:rPr>
                <w:rFonts w:ascii="Times New Roman" w:hAnsi="Times New Roman" w:cs="Times New Roman"/>
              </w:rPr>
              <w:br/>
              <w:t xml:space="preserve">   - No survival benefit: Dual therapy shows no improvement in survival compared to CCRT alone (5-year survival rates equivalent), but significantly reduces quality of life (block 13, 24).  </w:t>
            </w:r>
            <w:r w:rsidRPr="00CB2EC4">
              <w:rPr>
                <w:rFonts w:ascii="Times New Roman" w:hAnsi="Times New Roman" w:cs="Times New Roman"/>
              </w:rPr>
              <w:br/>
              <w:t xml:space="preserve">   - Low resource efficiency: 80% of surgical patients require adjuvant radiotherapy, adding unnecessary medical burden (block 13).  </w:t>
            </w:r>
            <w:r w:rsidRPr="00CB2EC4">
              <w:rPr>
                <w:rFonts w:ascii="Times New Roman" w:hAnsi="Times New Roman" w:cs="Times New Roman"/>
              </w:rPr>
              <w:br/>
            </w:r>
            <w:r w:rsidRPr="00CB2EC4">
              <w:rPr>
                <w:rFonts w:ascii="Times New Roman" w:hAnsi="Times New Roman" w:cs="Times New Roman"/>
              </w:rPr>
              <w:lastRenderedPageBreak/>
              <w:t xml:space="preserve">   - Limited indication: Surgery after neoadjuvant chemotherapy may be considered only in regions lacking radiotherapy resources, but evidence is insufficient (block 2, 13).  </w:t>
            </w:r>
            <w:r w:rsidRPr="00CB2EC4">
              <w:rPr>
                <w:rFonts w:ascii="Times New Roman" w:hAnsi="Times New Roman" w:cs="Times New Roman"/>
              </w:rPr>
              <w:br/>
            </w:r>
            <w:r w:rsidRPr="00CB2EC4">
              <w:rPr>
                <w:rFonts w:ascii="Times New Roman" w:hAnsi="Times New Roman" w:cs="Times New Roman"/>
              </w:rPr>
              <w:br/>
              <w:t>&gt; Reference: block 13 (adjuvant radiotherapy guidelines), 24 (treatment strategy), 490 (surgical advantages/disadvantages).</w:t>
            </w:r>
          </w:p>
        </w:tc>
        <w:tc>
          <w:tcPr>
            <w:tcW w:w="1152" w:type="dxa"/>
            <w:vAlign w:val="center"/>
          </w:tcPr>
          <w:p w14:paraId="203B1E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11CC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CE85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7318A9" w14:textId="77777777">
        <w:tc>
          <w:tcPr>
            <w:tcW w:w="2160" w:type="dxa"/>
            <w:vAlign w:val="center"/>
          </w:tcPr>
          <w:p w14:paraId="5DF221A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D016DCA" w14:textId="77777777" w:rsidR="00922249" w:rsidRPr="00CB2EC4" w:rsidRDefault="003011D5">
            <w:pPr>
              <w:rPr>
                <w:rFonts w:ascii="Times New Roman" w:hAnsi="Times New Roman" w:cs="Times New Roman"/>
              </w:rPr>
            </w:pPr>
            <w:r w:rsidRPr="00CB2EC4">
              <w:rPr>
                <w:rFonts w:ascii="Times New Roman" w:hAnsi="Times New Roman" w:cs="Times New Roman"/>
              </w:rPr>
              <w:t>for a patient with FIGO stage IB3, the guideline-recommended primary treatment is concurrent chemoradiotherapy (CCRT), specifically radical radiotherapy (external beam radiotherapy + vaginal brachytherapy) ± platinum-based concurrent chemotherapy (document fragment 8). The "dual treatment" approach (surgery followed by adjuvant radiotherapy) is generally not recommended because it increases complication risks, reduces quality of life, and most patients ultimately require adjuvant therapy.</w:t>
            </w:r>
            <w:r w:rsidRPr="00CB2EC4">
              <w:rPr>
                <w:rFonts w:ascii="Times New Roman" w:hAnsi="Times New Roman" w:cs="Times New Roman"/>
              </w:rPr>
              <w:br/>
              <w:t>- Primary treatment: CCRT is a level I recommendation for IB3 stage (document fragment 8), based on its status as the standard approach for locally advanced cervical cancer (document fragments 6, 18).</w:t>
            </w:r>
            <w:r w:rsidRPr="00CB2EC4">
              <w:rPr>
                <w:rFonts w:ascii="Times New Roman" w:hAnsi="Times New Roman" w:cs="Times New Roman"/>
              </w:rPr>
              <w:br/>
              <w:t>- Reasons for not recommending the "dual treatment" approach:</w:t>
            </w:r>
            <w:r w:rsidRPr="00CB2EC4">
              <w:rPr>
                <w:rFonts w:ascii="Times New Roman" w:hAnsi="Times New Roman" w:cs="Times New Roman"/>
              </w:rPr>
              <w:br/>
              <w:t xml:space="preserve">  - High complication risk: The combination of surgery and radiotherapy leads to severe adverse reactions, such as urinary complications (surgery group complication rate 28% vs. radiotherapy group 12%), impacting patient quality of life (document fragments 6, 20).</w:t>
            </w:r>
            <w:r w:rsidRPr="00CB2EC4">
              <w:rPr>
                <w:rFonts w:ascii="Times New Roman" w:hAnsi="Times New Roman" w:cs="Times New Roman"/>
              </w:rPr>
              <w:br/>
              <w:t xml:space="preserve">  - Majority of patients require adjuvant therapy: Approximately 80% of patients undergoing surgery still need adjuvant radiotherapy or chemotherapy postoperatively; thus, initiating CCRT directly avoids </w:t>
            </w:r>
            <w:r w:rsidRPr="00CB2EC4">
              <w:rPr>
                <w:rFonts w:ascii="Times New Roman" w:hAnsi="Times New Roman" w:cs="Times New Roman"/>
              </w:rPr>
              <w:lastRenderedPageBreak/>
              <w:t>unnecessary surgery (document fragment 6).</w:t>
            </w:r>
            <w:r w:rsidRPr="00CB2EC4">
              <w:rPr>
                <w:rFonts w:ascii="Times New Roman" w:hAnsi="Times New Roman" w:cs="Times New Roman"/>
              </w:rPr>
              <w:br/>
              <w:t xml:space="preserve">  - Resource burden and efficacy concerns: Dual treatment increases medical resource consumption without significantly improving survival rates; CCRT as a single modality is more efficient (document fragments 6, 27). Studies show that surgery plus radiotherapy yields similar survival rates to CCRT alone but with higher complication rates (document fragment 20).</w:t>
            </w:r>
            <w:r w:rsidRPr="00CB2EC4">
              <w:rPr>
                <w:rFonts w:ascii="Times New Roman" w:hAnsi="Times New Roman" w:cs="Times New Roman"/>
              </w:rPr>
              <w:br/>
              <w:t xml:space="preserve">  - Avoid overtreatment: Guidelines emphasize that for cases with a high likelihood of postoperative radiotherapy (e.g., large tumors or high-risk features), surgery and radiotherapy should not be combined; CCRT is preferred to minimize risk (document fragments 12, 27).</w:t>
            </w:r>
            <w:r w:rsidRPr="00CB2EC4">
              <w:rPr>
                <w:rFonts w:ascii="Times New Roman" w:hAnsi="Times New Roman" w:cs="Times New Roman"/>
              </w:rPr>
              <w:br/>
            </w:r>
            <w:r w:rsidRPr="00CB2EC4">
              <w:rPr>
                <w:rFonts w:ascii="Times New Roman" w:hAnsi="Times New Roman" w:cs="Times New Roman"/>
              </w:rPr>
              <w:br/>
              <w:t>In summary, primary CCRT optimizes efficacy while minimizing risk, whereas the "dual treatment" approach is not recommended due to complications and resource inefficiency.</w:t>
            </w:r>
          </w:p>
        </w:tc>
        <w:tc>
          <w:tcPr>
            <w:tcW w:w="1152" w:type="dxa"/>
            <w:vAlign w:val="center"/>
          </w:tcPr>
          <w:p w14:paraId="2ADDB6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6B7B6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0F300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CA2700" w14:textId="77777777">
        <w:tc>
          <w:tcPr>
            <w:tcW w:w="2160" w:type="dxa"/>
            <w:vAlign w:val="center"/>
          </w:tcPr>
          <w:p w14:paraId="4B85D0DA"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7AA23A5" w14:textId="77777777" w:rsidR="00922249" w:rsidRPr="00CB2EC4" w:rsidRDefault="003011D5">
            <w:pPr>
              <w:rPr>
                <w:rFonts w:ascii="Times New Roman" w:hAnsi="Times New Roman" w:cs="Times New Roman"/>
              </w:rPr>
            </w:pPr>
            <w:r w:rsidRPr="00CB2EC4">
              <w:rPr>
                <w:rFonts w:ascii="Times New Roman" w:hAnsi="Times New Roman" w:cs="Times New Roman"/>
              </w:rPr>
              <w:t>preferred treatment for FIGO IB3 patients and reasons to avoid "dual therapy"</w:t>
            </w:r>
            <w:r w:rsidRPr="00CB2EC4">
              <w:rPr>
                <w:rFonts w:ascii="Times New Roman" w:hAnsi="Times New Roman" w:cs="Times New Roman"/>
              </w:rPr>
              <w:br/>
            </w:r>
            <w:r w:rsidRPr="00CB2EC4">
              <w:rPr>
                <w:rFonts w:ascii="Times New Roman" w:hAnsi="Times New Roman" w:cs="Times New Roman"/>
              </w:rPr>
              <w:br/>
              <w:t xml:space="preserve">knowledge base document contribution:  </w:t>
            </w:r>
            <w:r w:rsidRPr="00CB2EC4">
              <w:rPr>
                <w:rFonts w:ascii="Times New Roman" w:hAnsi="Times New Roman" w:cs="Times New Roman"/>
              </w:rPr>
              <w:br/>
              <w:t xml:space="preserve">- preferred treatment: radical radiotherapy (external beam + brachytherapy) ± platinum-based concurrent chemotherapy (CCRT) (level I recommendation).  </w:t>
            </w:r>
            <w:r w:rsidRPr="00CB2EC4">
              <w:rPr>
                <w:rFonts w:ascii="Times New Roman" w:hAnsi="Times New Roman" w:cs="Times New Roman"/>
              </w:rPr>
              <w:br/>
              <w:t xml:space="preserve">- reasons to avoid surgery + postoperative radiotherapy:  </w:t>
            </w:r>
            <w:r w:rsidRPr="00CB2EC4">
              <w:rPr>
                <w:rFonts w:ascii="Times New Roman" w:hAnsi="Times New Roman" w:cs="Times New Roman"/>
              </w:rPr>
              <w:br/>
              <w:t xml:space="preserve">  - 80% of patients require adjuvant radiotherapy after surgery; dual therapy doubles the risk of severe complications (e.g., urinary fistula).  </w:t>
            </w:r>
            <w:r w:rsidRPr="00CB2EC4">
              <w:rPr>
                <w:rFonts w:ascii="Times New Roman" w:hAnsi="Times New Roman" w:cs="Times New Roman"/>
              </w:rPr>
              <w:br/>
              <w:t xml:space="preserve">  - no evidence shows surgery + radiotherapy is superior to CCRT alone, and it consumes greater </w:t>
            </w:r>
            <w:r w:rsidRPr="00CB2EC4">
              <w:rPr>
                <w:rFonts w:ascii="Times New Roman" w:hAnsi="Times New Roman" w:cs="Times New Roman"/>
              </w:rPr>
              <w:lastRenderedPageBreak/>
              <w:t xml:space="preserve">resources.  </w:t>
            </w:r>
            <w:r w:rsidRPr="00CB2EC4">
              <w:rPr>
                <w:rFonts w:ascii="Times New Roman" w:hAnsi="Times New Roman" w:cs="Times New Roman"/>
              </w:rPr>
              <w:br/>
              <w:t xml:space="preserve">supplement from web search results:  </w:t>
            </w:r>
            <w:r w:rsidRPr="00CB2EC4">
              <w:rPr>
                <w:rFonts w:ascii="Times New Roman" w:hAnsi="Times New Roman" w:cs="Times New Roman"/>
              </w:rPr>
              <w:br/>
              <w:t xml:space="preserve">- surgery after neoadjuvant chemotherapy is recommended only in regions lacking radiotherapy resources or within clinical trials (per FIGO guidelines).  </w:t>
            </w:r>
            <w:r w:rsidRPr="00CB2EC4">
              <w:rPr>
                <w:rFonts w:ascii="Times New Roman" w:hAnsi="Times New Roman" w:cs="Times New Roman"/>
              </w:rPr>
              <w:br/>
              <w:t xml:space="preserve">conclusion:  </w:t>
            </w:r>
            <w:r w:rsidRPr="00CB2EC4">
              <w:rPr>
                <w:rFonts w:ascii="Times New Roman" w:hAnsi="Times New Roman" w:cs="Times New Roman"/>
              </w:rPr>
              <w:br/>
              <w:t>&gt; CCRT is the preferred option; "dual therapy" (surgery + postoperative radiotherapy) is not recommended due to high complication risk and no survival benefit.</w:t>
            </w:r>
          </w:p>
        </w:tc>
        <w:tc>
          <w:tcPr>
            <w:tcW w:w="1152" w:type="dxa"/>
            <w:vAlign w:val="center"/>
          </w:tcPr>
          <w:p w14:paraId="052652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405E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7AC4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20698F4" w14:textId="77777777">
        <w:tc>
          <w:tcPr>
            <w:tcW w:w="2160" w:type="dxa"/>
            <w:vAlign w:val="center"/>
          </w:tcPr>
          <w:p w14:paraId="7847011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701DB3F" w14:textId="77777777" w:rsidR="00922249" w:rsidRPr="00CB2EC4" w:rsidRDefault="003011D5">
            <w:pPr>
              <w:rPr>
                <w:rFonts w:ascii="Times New Roman" w:hAnsi="Times New Roman" w:cs="Times New Roman"/>
              </w:rPr>
            </w:pPr>
            <w:r w:rsidRPr="00CB2EC4">
              <w:rPr>
                <w:rFonts w:ascii="Times New Roman" w:hAnsi="Times New Roman" w:cs="Times New Roman"/>
              </w:rPr>
              <w:t>for a patient with FIGO stage IB3, the guideline-recommended primary treatment is concurrent chemoradiotherapy (CCRT). specifically, radical radiotherapy (external beam radiotherapy + vaginal brachytherapy) with or without platinum-based concurrent chemotherapy (document fragment 5: IB3 and IIA2 stage, level I recommendation is "radical radiotherapy (external beam radiotherapy + vaginal brachytherapy) ± platinum-based concurrent chemotherapy").</w:t>
            </w:r>
            <w:r w:rsidRPr="00CB2EC4">
              <w:rPr>
                <w:rFonts w:ascii="Times New Roman" w:hAnsi="Times New Roman" w:cs="Times New Roman"/>
              </w:rPr>
              <w:br/>
            </w:r>
            <w:r w:rsidRPr="00CB2EC4">
              <w:rPr>
                <w:rFonts w:ascii="Times New Roman" w:hAnsi="Times New Roman" w:cs="Times New Roman"/>
              </w:rPr>
              <w:br/>
              <w:t>the "dual therapy" approach (surgery followed by adjuvant radiotherapy) is generally not recommended as first-line treatment because:</w:t>
            </w:r>
            <w:r w:rsidRPr="00CB2EC4">
              <w:rPr>
                <w:rFonts w:ascii="Times New Roman" w:hAnsi="Times New Roman" w:cs="Times New Roman"/>
              </w:rPr>
              <w:br/>
              <w:t xml:space="preserve">- high complication risk: dual therapy significantly increases the risk of severe complications such as bowel injury, ureteral fistula (incidence 2%~7%), bladder dysfunction, and higher surgical mortality (document fragment 1: "surgical mortality is less than 1%, but higher than with radiotherapy alone"; document fragment 3: "dual therapy increases the risk of severe complications"; document fragment 20: "approximately 10% of patients experience bowel </w:t>
            </w:r>
            <w:r w:rsidRPr="00CB2EC4">
              <w:rPr>
                <w:rFonts w:ascii="Times New Roman" w:hAnsi="Times New Roman" w:cs="Times New Roman"/>
              </w:rPr>
              <w:lastRenderedPageBreak/>
              <w:t>complications").</w:t>
            </w:r>
            <w:r w:rsidRPr="00CB2EC4">
              <w:rPr>
                <w:rFonts w:ascii="Times New Roman" w:hAnsi="Times New Roman" w:cs="Times New Roman"/>
              </w:rPr>
              <w:br/>
              <w:t>- uncertain efficacy: surgery followed by radiotherapy does not necessarily improve survival and may increase toxicity due to cumulative treatment effects. the document states that adjuvant radiotherapy after surgery reduces pelvic recurrence but has limited impact on overall 5-year survival, and dual therapy may be less effective than CCRT (document fragment 20: "adjuvant pelvic field radiotherapy reduces pelvic recurrence... but has little effect on overall 5-year survival"; document fragment 14: "severe side effects from dual therapy").</w:t>
            </w:r>
            <w:r w:rsidRPr="00CB2EC4">
              <w:rPr>
                <w:rFonts w:ascii="Times New Roman" w:hAnsi="Times New Roman" w:cs="Times New Roman"/>
              </w:rPr>
              <w:br/>
              <w:t>- individualized consideration: dual therapy is only considered in specific situations (e.g., lack of radiotherapy resources), but primary CCRT avoids unnecessary risks (document fragment 3: "choice of treatment depends on available resources... very large bulky tumors and adenocarcinomas have lower response rates to NACT").</w:t>
            </w:r>
            <w:r w:rsidRPr="00CB2EC4">
              <w:rPr>
                <w:rFonts w:ascii="Times New Roman" w:hAnsi="Times New Roman" w:cs="Times New Roman"/>
              </w:rPr>
              <w:br/>
            </w:r>
            <w:r w:rsidRPr="00CB2EC4">
              <w:rPr>
                <w:rFonts w:ascii="Times New Roman" w:hAnsi="Times New Roman" w:cs="Times New Roman"/>
              </w:rPr>
              <w:br/>
              <w:t>therefore, guidelines emphasize avoiding dual therapy to optimize patient safety and treatment efficacy.</w:t>
            </w:r>
          </w:p>
        </w:tc>
        <w:tc>
          <w:tcPr>
            <w:tcW w:w="1152" w:type="dxa"/>
            <w:vAlign w:val="center"/>
          </w:tcPr>
          <w:p w14:paraId="7D44DE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6197D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024B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93983B" w14:textId="77777777">
        <w:tc>
          <w:tcPr>
            <w:tcW w:w="2160" w:type="dxa"/>
            <w:vAlign w:val="center"/>
          </w:tcPr>
          <w:p w14:paraId="222690F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C93789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patient with FIGO stage IB3, the guideline-recommended primary treatment is:  </w:t>
            </w:r>
            <w:r w:rsidRPr="00CB2EC4">
              <w:rPr>
                <w:rFonts w:ascii="Times New Roman" w:hAnsi="Times New Roman" w:cs="Times New Roman"/>
              </w:rPr>
              <w:br/>
              <w:t xml:space="preserve">radical radiotherapy (external beam radiotherapy + vaginal brachytherapy) ± platinum-based concurrent chemotherapy (I-level recommendation) (documents 7 and 15).  </w:t>
            </w:r>
            <w:r w:rsidRPr="00CB2EC4">
              <w:rPr>
                <w:rFonts w:ascii="Times New Roman" w:hAnsi="Times New Roman" w:cs="Times New Roman"/>
              </w:rPr>
              <w:br/>
            </w:r>
            <w:r w:rsidRPr="00CB2EC4">
              <w:rPr>
                <w:rFonts w:ascii="Times New Roman" w:hAnsi="Times New Roman" w:cs="Times New Roman"/>
              </w:rPr>
              <w:br/>
              <w:t xml:space="preserve">the "dual therapy" approach (surgery followed by adjuvant radiotherapy) is generally not recommended as first-line treatment because:  </w:t>
            </w:r>
            <w:r w:rsidRPr="00CB2EC4">
              <w:rPr>
                <w:rFonts w:ascii="Times New Roman" w:hAnsi="Times New Roman" w:cs="Times New Roman"/>
              </w:rPr>
              <w:br/>
              <w:t xml:space="preserve">- it increases complication risks: approximately 80% of IB3 patients require adjuvant radiotherapy after </w:t>
            </w:r>
            <w:r w:rsidRPr="00CB2EC4">
              <w:rPr>
                <w:rFonts w:ascii="Times New Roman" w:hAnsi="Times New Roman" w:cs="Times New Roman"/>
              </w:rPr>
              <w:lastRenderedPageBreak/>
              <w:t xml:space="preserve">surgery, but the combination leads to severe toxicities including gastrointestinal complications (~10% incidence), ureteral fistulas (2–7% incidence), and bladder dysfunction (documents 15 and 4).  </w:t>
            </w:r>
            <w:r w:rsidRPr="00CB2EC4">
              <w:rPr>
                <w:rFonts w:ascii="Times New Roman" w:hAnsi="Times New Roman" w:cs="Times New Roman"/>
              </w:rPr>
              <w:br/>
              <w:t xml:space="preserve">- it reduces quality of life: dual therapy "imposes unnecessary surgical and radiotherapy resource burden" and may cause complications such as vaginal stenosis and atrophy, lowering patient quality of life (documents 7 and 15).  </w:t>
            </w:r>
            <w:r w:rsidRPr="00CB2EC4">
              <w:rPr>
                <w:rFonts w:ascii="Times New Roman" w:hAnsi="Times New Roman" w:cs="Times New Roman"/>
              </w:rPr>
              <w:br/>
              <w:t xml:space="preserve">- it offers no survival advantage: randomized trials show that concurrent chemoradiotherapy (CCRT) as initial treatment achieves higher survival rates than surgery plus postoperative radiotherapy (5-year survival increased by 10–15%) and reduces recurrence (document 15). document 18 adds that adjuvant radiotherapy after surgery improves pelvic control but has minimal impact on overall survival, whereas CCRT provides more comprehensive survival benefits.  </w:t>
            </w:r>
            <w:r w:rsidRPr="00CB2EC4">
              <w:rPr>
                <w:rFonts w:ascii="Times New Roman" w:hAnsi="Times New Roman" w:cs="Times New Roman"/>
              </w:rPr>
              <w:br/>
              <w:t xml:space="preserve">- document 7 emphasizes: dual therapy is "not recommended" and is only a II-level or III-level recommendation (e.g., alternative when radiotherapy resources are scarce), with CCRT remaining the preferred option (document 7).  </w:t>
            </w:r>
            <w:r w:rsidRPr="00CB2EC4">
              <w:rPr>
                <w:rFonts w:ascii="Times New Roman" w:hAnsi="Times New Roman" w:cs="Times New Roman"/>
              </w:rPr>
              <w:br/>
            </w:r>
            <w:r w:rsidRPr="00CB2EC4">
              <w:rPr>
                <w:rFonts w:ascii="Times New Roman" w:hAnsi="Times New Roman" w:cs="Times New Roman"/>
              </w:rPr>
              <w:br/>
              <w:t>in summary: the preferred treatment is radical radiotherapy with concurrent platinum-based chemotherapy (CCRT). dual therapy (surgery then adjuvant radiotherapy) is not recommended due to higher risks of severe complications (e.g., gastrointestinal and urological), reduced quality of life, and inferior survival benefits compared to CCRT; CCRT as a single initial modality is more effective and resource-efficient.</w:t>
            </w:r>
          </w:p>
        </w:tc>
        <w:tc>
          <w:tcPr>
            <w:tcW w:w="1152" w:type="dxa"/>
            <w:vAlign w:val="center"/>
          </w:tcPr>
          <w:p w14:paraId="008724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7E30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1995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B5DC386" w14:textId="77777777">
        <w:tc>
          <w:tcPr>
            <w:tcW w:w="2160" w:type="dxa"/>
            <w:vAlign w:val="center"/>
          </w:tcPr>
          <w:p w14:paraId="5443FE5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4F80AFC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Preferred Treatment Modality:  </w:t>
            </w:r>
            <w:r w:rsidRPr="00CB2EC4">
              <w:rPr>
                <w:rFonts w:ascii="Times New Roman" w:hAnsi="Times New Roman" w:cs="Times New Roman"/>
              </w:rPr>
              <w:br/>
              <w:t xml:space="preserve">Concurrent Chemoradiotherapy (CCRT).  </w:t>
            </w:r>
            <w:r w:rsidRPr="00CB2EC4">
              <w:rPr>
                <w:rFonts w:ascii="Times New Roman" w:hAnsi="Times New Roman" w:cs="Times New Roman"/>
              </w:rPr>
              <w:br/>
            </w:r>
            <w:r w:rsidRPr="00CB2EC4">
              <w:rPr>
                <w:rFonts w:ascii="Times New Roman" w:hAnsi="Times New Roman" w:cs="Times New Roman"/>
              </w:rPr>
              <w:br/>
              <w:t xml:space="preserve">- Why the "Dual Treatment" Approach (Surgery Followed by Adjuvant Radiotherapy) Is Not Recommended:  </w:t>
            </w:r>
            <w:r w:rsidRPr="00CB2EC4">
              <w:rPr>
                <w:rFonts w:ascii="Times New Roman" w:hAnsi="Times New Roman" w:cs="Times New Roman"/>
              </w:rPr>
              <w:br/>
              <w:t xml:space="preserve">  - High Risk of Complications: Dual treatment significantly increases the incidence of severe complications, such as ureteral fistula, vesicovaginal fistula, intestinal obstruction, soft tissue necrosis, etc., causing extreme patient suffering and intolerable complications.  </w:t>
            </w:r>
            <w:r w:rsidRPr="00CB2EC4">
              <w:rPr>
                <w:rFonts w:ascii="Times New Roman" w:hAnsi="Times New Roman" w:cs="Times New Roman"/>
              </w:rPr>
              <w:br/>
              <w:t xml:space="preserve">  - Unclear Survival Benefit: Stage IB3 tumors are large in volume, and postoperative high-risk factors (e.g., lymph node metastasis) often necessitate additional radiotherapy. Studies (e.g., Perez et al.) show that dual treatment offers no significant survival advantage compared to radiotherapy alone or CCRT but carries a higher complication rate.  </w:t>
            </w:r>
            <w:r w:rsidRPr="00CB2EC4">
              <w:rPr>
                <w:rFonts w:ascii="Times New Roman" w:hAnsi="Times New Roman" w:cs="Times New Roman"/>
              </w:rPr>
              <w:br/>
              <w:t xml:space="preserve">  - Low Treatment Efficiency: Dual treatment prolongs overall treatment duration, increasing patient burden. Neoadjuvant chemotherapy followed by surgery may alter pathological results, complicating adjuvant treatment decisions, and its efficacy remains controversial.  </w:t>
            </w:r>
            <w:r w:rsidRPr="00CB2EC4">
              <w:rPr>
                <w:rFonts w:ascii="Times New Roman" w:hAnsi="Times New Roman" w:cs="Times New Roman"/>
              </w:rPr>
              <w:br/>
              <w:t xml:space="preserve">  - Clear Guideline Warning: Dual treatment increases the risk of severe complications in patients, whereas CCRT as a single modality provides a superior risk-benefit balance.</w:t>
            </w:r>
          </w:p>
        </w:tc>
        <w:tc>
          <w:tcPr>
            <w:tcW w:w="1152" w:type="dxa"/>
            <w:vAlign w:val="center"/>
          </w:tcPr>
          <w:p w14:paraId="16E39E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3582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ED51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E7DE9E" w14:textId="77777777">
        <w:tc>
          <w:tcPr>
            <w:tcW w:w="2160" w:type="dxa"/>
            <w:vAlign w:val="center"/>
          </w:tcPr>
          <w:p w14:paraId="27229B7C"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5B3B98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the document content, for a patient with FIGO stage IB3 cervical cancer, the guideline-recommended primary treatment is radical radiotherapy with concurrent chemoradiotherapy (CCRT), specifically external beam radiotherapy </w:t>
            </w:r>
            <w:r w:rsidRPr="00CB2EC4">
              <w:rPr>
                <w:rFonts w:ascii="Times New Roman" w:hAnsi="Times New Roman" w:cs="Times New Roman"/>
              </w:rPr>
              <w:lastRenderedPageBreak/>
              <w:t xml:space="preserve">(EBRT) plus vaginal brachytherapy, supplemented by platinum-based concurrent chemotherapy.  </w:t>
            </w:r>
            <w:r w:rsidRPr="00CB2EC4">
              <w:rPr>
                <w:rFonts w:ascii="Times New Roman" w:hAnsi="Times New Roman" w:cs="Times New Roman"/>
              </w:rPr>
              <w:br/>
              <w:t xml:space="preserve">- primary treatment:  </w:t>
            </w:r>
            <w:r w:rsidRPr="00CB2EC4">
              <w:rPr>
                <w:rFonts w:ascii="Times New Roman" w:hAnsi="Times New Roman" w:cs="Times New Roman"/>
              </w:rPr>
              <w:br/>
              <w:t xml:space="preserve">  - level I recommendation is "radical radiotherapy (external beam radiotherapy + vaginal brachytherapy) ± platinum-based concurrent chemotherapy" (document fragment 4). this directly targets local tumor control and reduces distant metastasis risk.  </w:t>
            </w:r>
            <w:r w:rsidRPr="00CB2EC4">
              <w:rPr>
                <w:rFonts w:ascii="Times New Roman" w:hAnsi="Times New Roman" w:cs="Times New Roman"/>
              </w:rPr>
              <w:br/>
              <w:t xml:space="preserve">- why the "dual therapy" approach (surgery followed by adjuvant radiotherapy) is not recommended:  </w:t>
            </w:r>
            <w:r w:rsidRPr="00CB2EC4">
              <w:rPr>
                <w:rFonts w:ascii="Times New Roman" w:hAnsi="Times New Roman" w:cs="Times New Roman"/>
              </w:rPr>
              <w:br/>
              <w:t xml:space="preserve">  - increased complication risk: dual therapy significantly raises the incidence of severe complications such as bowel issues, ureteral fistulas, and bladder dysfunction. the document states that complications after surgery followed by radiotherapy are "intolerable," causing severe patient suffering (document fragment 5). for example, preoperative radiotherapy followed by surgery increases ureteral fistula risk (document fragment 5).  </w:t>
            </w:r>
            <w:r w:rsidRPr="00CB2EC4">
              <w:rPr>
                <w:rFonts w:ascii="Times New Roman" w:hAnsi="Times New Roman" w:cs="Times New Roman"/>
              </w:rPr>
              <w:br/>
              <w:t xml:space="preserve">  - no efficacy improvement: randomized trials show dual therapy offers no survival advantage. perez et al. compared radiotherapy alone versus radiotherapy followed by surgery; for IB stage, survival rates showed no significant difference (89% vs. 80%), and dual therapy may alter pathological assessment, affecting postoperative adjuvant treatment decisions (document fragments 5 and 3).  </w:t>
            </w:r>
            <w:r w:rsidRPr="00CB2EC4">
              <w:rPr>
                <w:rFonts w:ascii="Times New Roman" w:hAnsi="Times New Roman" w:cs="Times New Roman"/>
              </w:rPr>
              <w:br/>
              <w:t xml:space="preserve">  - unsuitable for high-risk tumors: IB3 tumors are large (&gt;4cm); postoperative adjuvant radiotherapy is often needed, but neoadjuvant chemotherapy (NACT) followed by surgery does not reduce surgical extent, and it is difficult to determine the need for adjuvant therapy, increasing uncertainty (document fragment 3). guidelines suggest dual therapy only for clinical </w:t>
            </w:r>
            <w:r w:rsidRPr="00CB2EC4">
              <w:rPr>
                <w:rFonts w:ascii="Times New Roman" w:hAnsi="Times New Roman" w:cs="Times New Roman"/>
              </w:rPr>
              <w:lastRenderedPageBreak/>
              <w:t xml:space="preserve">research or resource-limited settings (document fragment 3).  </w:t>
            </w:r>
            <w:r w:rsidRPr="00CB2EC4">
              <w:rPr>
                <w:rFonts w:ascii="Times New Roman" w:hAnsi="Times New Roman" w:cs="Times New Roman"/>
              </w:rPr>
              <w:br/>
              <w:t xml:space="preserve">  - clear guideline preference: the document emphasizes that CCRT is the superior choice, avoiding unnecessary risks from "dual therapy" (document fragments 3 and 4).  </w:t>
            </w:r>
            <w:r w:rsidRPr="00CB2EC4">
              <w:rPr>
                <w:rFonts w:ascii="Times New Roman" w:hAnsi="Times New Roman" w:cs="Times New Roman"/>
              </w:rPr>
              <w:br/>
            </w:r>
            <w:r w:rsidRPr="00CB2EC4">
              <w:rPr>
                <w:rFonts w:ascii="Times New Roman" w:hAnsi="Times New Roman" w:cs="Times New Roman"/>
              </w:rPr>
              <w:br/>
              <w:t>in summary, CCRT is preferred due to its efficacy and lower risk, while dual therapy is not recommended because of high complication rates and uncertain benefits.</w:t>
            </w:r>
          </w:p>
        </w:tc>
        <w:tc>
          <w:tcPr>
            <w:tcW w:w="1152" w:type="dxa"/>
            <w:vAlign w:val="center"/>
          </w:tcPr>
          <w:p w14:paraId="0AE1C6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8E3D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D81D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C795DD" w14:textId="77777777">
        <w:tc>
          <w:tcPr>
            <w:tcW w:w="2160" w:type="dxa"/>
            <w:vAlign w:val="center"/>
          </w:tcPr>
          <w:p w14:paraId="20544BA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5CE75A6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Preferred treatment:  </w:t>
            </w:r>
            <w:r w:rsidRPr="00CB2EC4">
              <w:rPr>
                <w:rFonts w:ascii="Times New Roman" w:hAnsi="Times New Roman" w:cs="Times New Roman"/>
              </w:rPr>
              <w:br/>
              <w:t xml:space="preserve">  The guidelines clearly recommend "radical radiotherapy (external beam radiotherapy + vaginal brachytherapy) ± platinum-based concurrent chemotherapy" as the first-line treatment for IB3 stage (as stated in the context table: "IB3, IIA2 Stage Level I Recommendation: Radical radiotherapy (external beam radiotherapy + vaginal brachytherapy) ± platinum-based concurrent chemotherapy").  </w:t>
            </w:r>
            <w:r w:rsidRPr="00CB2EC4">
              <w:rPr>
                <w:rFonts w:ascii="Times New Roman" w:hAnsi="Times New Roman" w:cs="Times New Roman"/>
              </w:rPr>
              <w:br/>
              <w:t xml:space="preserve">- Reason for not recommending "dual therapy" (surgery followed by adjuvant radiotherapy):  </w:t>
            </w:r>
            <w:r w:rsidRPr="00CB2EC4">
              <w:rPr>
                <w:rFonts w:ascii="Times New Roman" w:hAnsi="Times New Roman" w:cs="Times New Roman"/>
              </w:rPr>
              <w:br/>
              <w:t xml:space="preserve">  - High risk of complications: Dual therapy significantly increases the risk of severe complications (e.g., bowel injury, fistula formation), as the document states "dual therapy increases the risk of severe complications in patients".  </w:t>
            </w:r>
            <w:r w:rsidRPr="00CB2EC4">
              <w:rPr>
                <w:rFonts w:ascii="Times New Roman" w:hAnsi="Times New Roman" w:cs="Times New Roman"/>
              </w:rPr>
              <w:br/>
              <w:t xml:space="preserve">  - No significant improvement in efficacy: Although adjuvant radiotherapy after surgery improves pelvic control rates, it does not clearly enhance overall survival (as per the context: "no obvious difference in recurrence rate and survival rate with or without adjuvant chemotherapy after surgery").  </w:t>
            </w:r>
            <w:r w:rsidRPr="00CB2EC4">
              <w:rPr>
                <w:rFonts w:ascii="Times New Roman" w:hAnsi="Times New Roman" w:cs="Times New Roman"/>
              </w:rPr>
              <w:br/>
              <w:t xml:space="preserve">  - Treatment complexity: The extent of surgery </w:t>
            </w:r>
            <w:r w:rsidRPr="00CB2EC4">
              <w:rPr>
                <w:rFonts w:ascii="Times New Roman" w:hAnsi="Times New Roman" w:cs="Times New Roman"/>
              </w:rPr>
              <w:lastRenderedPageBreak/>
              <w:t>remains radical resection even after neoadjuvant chemotherapy, and postoperative pathological assessment is complicated by chemotherapy effects (context: "it is difficult to determine the need for adjuvant therapy after NACT").</w:t>
            </w:r>
          </w:p>
        </w:tc>
        <w:tc>
          <w:tcPr>
            <w:tcW w:w="1152" w:type="dxa"/>
            <w:vAlign w:val="center"/>
          </w:tcPr>
          <w:p w14:paraId="3283EA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9BE62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C2A8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2EE3FC" w14:textId="77777777">
        <w:tc>
          <w:tcPr>
            <w:tcW w:w="2160" w:type="dxa"/>
            <w:vAlign w:val="center"/>
          </w:tcPr>
          <w:p w14:paraId="50CD04D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43EB558" w14:textId="77777777" w:rsidR="00922249" w:rsidRPr="00CB2EC4" w:rsidRDefault="003011D5">
            <w:pPr>
              <w:rPr>
                <w:rFonts w:ascii="Times New Roman" w:hAnsi="Times New Roman" w:cs="Times New Roman"/>
              </w:rPr>
            </w:pPr>
            <w:r w:rsidRPr="00CB2EC4">
              <w:rPr>
                <w:rFonts w:ascii="Times New Roman" w:hAnsi="Times New Roman" w:cs="Times New Roman"/>
              </w:rPr>
              <w:t>for a patient with FIGO stage IB3, the guideline-recommended primary treatment is concurrent chemoradiotherapy (CCRT). CCRT consists of external beam radiotherapy (EBRT) combined with intracavitary brachytherapy and concurrent platinum-based chemotherapy (e.g., weekly cisplatin) (Document 10).</w:t>
            </w:r>
            <w:r w:rsidRPr="00CB2EC4">
              <w:rPr>
                <w:rFonts w:ascii="Times New Roman" w:hAnsi="Times New Roman" w:cs="Times New Roman"/>
              </w:rPr>
              <w:br/>
            </w:r>
            <w:r w:rsidRPr="00CB2EC4">
              <w:rPr>
                <w:rFonts w:ascii="Times New Roman" w:hAnsi="Times New Roman" w:cs="Times New Roman"/>
              </w:rPr>
              <w:br/>
              <w:t>the "dual therapy" approach (i.e., surgery followed by adjuvant radiotherapy) is not generally recommended as first-line treatment for the following reasons:</w:t>
            </w:r>
            <w:r w:rsidRPr="00CB2EC4">
              <w:rPr>
                <w:rFonts w:ascii="Times New Roman" w:hAnsi="Times New Roman" w:cs="Times New Roman"/>
              </w:rPr>
              <w:br/>
              <w:t>- high complication risk: dual therapy significantly increases the incidence of severe complications. for example:</w:t>
            </w:r>
            <w:r w:rsidRPr="00CB2EC4">
              <w:rPr>
                <w:rFonts w:ascii="Times New Roman" w:hAnsi="Times New Roman" w:cs="Times New Roman"/>
              </w:rPr>
              <w:br/>
              <w:t xml:space="preserve">  - patients receiving radiotherapy after surgery have an intestinal complication rate as high as 10%, potentially leading to chronic pain, fistula formation, or urinary tract injury.</w:t>
            </w:r>
            <w:r w:rsidRPr="00CB2EC4">
              <w:rPr>
                <w:rFonts w:ascii="Times New Roman" w:hAnsi="Times New Roman" w:cs="Times New Roman"/>
              </w:rPr>
              <w:br/>
              <w:t xml:space="preserve">  - MD Anderson Cancer Center reported a 42% severe complication rate (e.g., urinary tract injury) after radical hysterectomy followed by radiotherapy (Document 10).</w:t>
            </w:r>
            <w:r w:rsidRPr="00CB2EC4">
              <w:rPr>
                <w:rFonts w:ascii="Times New Roman" w:hAnsi="Times New Roman" w:cs="Times New Roman"/>
              </w:rPr>
              <w:br/>
              <w:t>- insufficient survival benefit:</w:t>
            </w:r>
            <w:r w:rsidRPr="00CB2EC4">
              <w:rPr>
                <w:rFonts w:ascii="Times New Roman" w:hAnsi="Times New Roman" w:cs="Times New Roman"/>
              </w:rPr>
              <w:br/>
              <w:t xml:space="preserve">  - CCRT as a single modality has demonstrated superiority over surgery plus postoperative radiotherapy (PORT) in randomized trials, improving progression-free survival and reducing local recurrence rates.</w:t>
            </w:r>
            <w:r w:rsidRPr="00CB2EC4">
              <w:rPr>
                <w:rFonts w:ascii="Times New Roman" w:hAnsi="Times New Roman" w:cs="Times New Roman"/>
              </w:rPr>
              <w:br/>
              <w:t xml:space="preserve">  - dual therapy has not shown additional survival </w:t>
            </w:r>
            <w:r w:rsidRPr="00CB2EC4">
              <w:rPr>
                <w:rFonts w:ascii="Times New Roman" w:hAnsi="Times New Roman" w:cs="Times New Roman"/>
              </w:rPr>
              <w:lastRenderedPageBreak/>
              <w:t>benefits compared to CCRT; instead, complications may delay subsequent treatments.</w:t>
            </w:r>
            <w:r w:rsidRPr="00CB2EC4">
              <w:rPr>
                <w:rFonts w:ascii="Times New Roman" w:hAnsi="Times New Roman" w:cs="Times New Roman"/>
              </w:rPr>
              <w:br/>
              <w:t>- resource burden and unnecessary intervention:</w:t>
            </w:r>
            <w:r w:rsidRPr="00CB2EC4">
              <w:rPr>
                <w:rFonts w:ascii="Times New Roman" w:hAnsi="Times New Roman" w:cs="Times New Roman"/>
              </w:rPr>
              <w:br/>
              <w:t xml:space="preserve">  - approximately 80% of patients undergoing surgery still require adjuvant radiotherapy, leading to increased and avoidable healthcare resource consumption.</w:t>
            </w:r>
            <w:r w:rsidRPr="00CB2EC4">
              <w:rPr>
                <w:rFonts w:ascii="Times New Roman" w:hAnsi="Times New Roman" w:cs="Times New Roman"/>
              </w:rPr>
              <w:br/>
              <w:t xml:space="preserve">  - CCRT avoids surgical trauma and is particularly suitable for patients with large tumors or high-risk factors (Document 10).</w:t>
            </w:r>
            <w:r w:rsidRPr="00CB2EC4">
              <w:rPr>
                <w:rFonts w:ascii="Times New Roman" w:hAnsi="Times New Roman" w:cs="Times New Roman"/>
              </w:rPr>
              <w:br/>
              <w:t>- quality of life considerations: dual therapy adversely affects ovarian function and vaginal elasticity; whereas CCRT may reduce irradiation risk to normal tissues (though surgery offers functional preservation advantages) (Document 7).</w:t>
            </w:r>
            <w:r w:rsidRPr="00CB2EC4">
              <w:rPr>
                <w:rFonts w:ascii="Times New Roman" w:hAnsi="Times New Roman" w:cs="Times New Roman"/>
              </w:rPr>
              <w:br/>
            </w:r>
            <w:r w:rsidRPr="00CB2EC4">
              <w:rPr>
                <w:rFonts w:ascii="Times New Roman" w:hAnsi="Times New Roman" w:cs="Times New Roman"/>
              </w:rPr>
              <w:br/>
              <w:t>therefore, the dual therapy approach is considered only in specific circumstances (e.g., clinical studies in regions without radiotherapy access) but is not the preferred standard.</w:t>
            </w:r>
          </w:p>
        </w:tc>
        <w:tc>
          <w:tcPr>
            <w:tcW w:w="1152" w:type="dxa"/>
            <w:vAlign w:val="center"/>
          </w:tcPr>
          <w:p w14:paraId="54BFCE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66D2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C9DB4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B0BA16" w14:textId="77777777">
        <w:tc>
          <w:tcPr>
            <w:tcW w:w="2160" w:type="dxa"/>
            <w:vAlign w:val="center"/>
          </w:tcPr>
          <w:p w14:paraId="76ED1282"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FEC0ED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Preferred treatment:  </w:t>
            </w:r>
            <w:r w:rsidRPr="00CB2EC4">
              <w:rPr>
                <w:rFonts w:ascii="Times New Roman" w:hAnsi="Times New Roman" w:cs="Times New Roman"/>
              </w:rPr>
              <w:br/>
              <w:t xml:space="preserve">  Radical radiotherapy (external beam radiotherapy + vaginal brachytherapy) ± platinum-based concurrent chemotherapy (similarity 0.534).  </w:t>
            </w:r>
            <w:r w:rsidRPr="00CB2EC4">
              <w:rPr>
                <w:rFonts w:ascii="Times New Roman" w:hAnsi="Times New Roman" w:cs="Times New Roman"/>
              </w:rPr>
              <w:br/>
              <w:t xml:space="preserve">- Reasons why "dual therapy" (surgery followed by adjuvant radiotherapy) is not recommended:  </w:t>
            </w:r>
            <w:r w:rsidRPr="00CB2EC4">
              <w:rPr>
                <w:rFonts w:ascii="Times New Roman" w:hAnsi="Times New Roman" w:cs="Times New Roman"/>
              </w:rPr>
              <w:br/>
              <w:t xml:space="preserve">  - Risk of complications: Postoperative radiotherapy increases severe complications (e.g., bowel injury, bladder dysfunction), with incidence rates up to 10% (similarity 0.499).  </w:t>
            </w:r>
            <w:r w:rsidRPr="00CB2EC4">
              <w:rPr>
                <w:rFonts w:ascii="Times New Roman" w:hAnsi="Times New Roman" w:cs="Times New Roman"/>
              </w:rPr>
              <w:br/>
              <w:t xml:space="preserve">  - Low resource efficiency: Most patients still require radiotherapy after surgery, making dual therapy a waste of medical resources (similarity 0.478).  </w:t>
            </w:r>
            <w:r w:rsidRPr="00CB2EC4">
              <w:rPr>
                <w:rFonts w:ascii="Times New Roman" w:hAnsi="Times New Roman" w:cs="Times New Roman"/>
              </w:rPr>
              <w:br/>
              <w:t xml:space="preserve">  The context explicitly emphasizes that concurrent </w:t>
            </w:r>
            <w:r w:rsidRPr="00CB2EC4">
              <w:rPr>
                <w:rFonts w:ascii="Times New Roman" w:hAnsi="Times New Roman" w:cs="Times New Roman"/>
              </w:rPr>
              <w:lastRenderedPageBreak/>
              <w:t>chemoradiotherapy (CCRT) is the standard treatment for IB3 stage, with surgery reserved only as an alternative in regions lacking radiotherapy resources (similarity 0.534).</w:t>
            </w:r>
          </w:p>
        </w:tc>
        <w:tc>
          <w:tcPr>
            <w:tcW w:w="1152" w:type="dxa"/>
            <w:vAlign w:val="center"/>
          </w:tcPr>
          <w:p w14:paraId="1E034E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FE404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98A0A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DA91EBD" w14:textId="77777777">
        <w:tc>
          <w:tcPr>
            <w:tcW w:w="2160" w:type="dxa"/>
            <w:vAlign w:val="center"/>
          </w:tcPr>
          <w:p w14:paraId="69DFD99F"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BAC9DE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treatment for a patient with FIGO stage IB3 is concurrent chemoradiotherapy (CCRT), consisting of external beam radiotherapy (EBRT) plus intracavitary brachytherapy (ICBT) with concurrent platinum-based chemotherapy (e.g., weekly cisplatin).  </w:t>
            </w:r>
            <w:r w:rsidRPr="00CB2EC4">
              <w:rPr>
                <w:rFonts w:ascii="Times New Roman" w:hAnsi="Times New Roman" w:cs="Times New Roman"/>
              </w:rPr>
              <w:br/>
              <w:t xml:space="preserve">- reasons why the "dual therapy" approach (surgery followed by adjuvant radiotherapy) is not recommended as first-line:  </w:t>
            </w:r>
            <w:r w:rsidRPr="00CB2EC4">
              <w:rPr>
                <w:rFonts w:ascii="Times New Roman" w:hAnsi="Times New Roman" w:cs="Times New Roman"/>
              </w:rPr>
              <w:br/>
              <w:t xml:space="preserve">  - high risk of complications: sequential surgery and radiotherapy significantly increases toxicity, including gastrointestinal complications (incidence ~10%), fistula formation (e.g., rectovaginal fistula), and soft tissue necrosis (fragment 17: surgery plus radiotherapy increases complications and impairs quality of life; fragment 21: preoperative radical radiotherapy followed by radical surgery results in intolerable postoperative complications).  </w:t>
            </w:r>
            <w:r w:rsidRPr="00CB2EC4">
              <w:rPr>
                <w:rFonts w:ascii="Times New Roman" w:hAnsi="Times New Roman" w:cs="Times New Roman"/>
              </w:rPr>
              <w:br/>
              <w:t xml:space="preserve">  - no survival benefit and potential reduction in survival: dual therapy does not improve survival outcomes and may worsen prognosis due to complications:  </w:t>
            </w:r>
            <w:r w:rsidRPr="00CB2EC4">
              <w:rPr>
                <w:rFonts w:ascii="Times New Roman" w:hAnsi="Times New Roman" w:cs="Times New Roman"/>
              </w:rPr>
              <w:br/>
              <w:t xml:space="preserve">    - fragment 17: 80% of patients require adjuvant radiotherapy after surgery, but single-modality CCRT yields higher survival rates (e.g., fragment 27: CCRT improves survival over radiotherapy alone).  </w:t>
            </w:r>
            <w:r w:rsidRPr="00CB2EC4">
              <w:rPr>
                <w:rFonts w:ascii="Times New Roman" w:hAnsi="Times New Roman" w:cs="Times New Roman"/>
              </w:rPr>
              <w:br/>
              <w:t xml:space="preserve">    - fragment 21: retrospective studies show no survival difference between radiotherapy followed by surgery versus radiotherapy alone, but with higher complication rates.  </w:t>
            </w:r>
            <w:r w:rsidRPr="00CB2EC4">
              <w:rPr>
                <w:rFonts w:ascii="Times New Roman" w:hAnsi="Times New Roman" w:cs="Times New Roman"/>
              </w:rPr>
              <w:br/>
              <w:t xml:space="preserve">  - unnecessary surgical burden: surgery is reserved for </w:t>
            </w:r>
            <w:r w:rsidRPr="00CB2EC4">
              <w:rPr>
                <w:rFonts w:ascii="Times New Roman" w:hAnsi="Times New Roman" w:cs="Times New Roman"/>
              </w:rPr>
              <w:lastRenderedPageBreak/>
              <w:t xml:space="preserve">specific scenarios (e.g., lack of radiotherapy resources) but as first-line increases resource utilization and postoperative pathology may misguide adjuvant treatment decisions (fragment 17: surgery may be considered in areas with limited radiotherapy access, but CCRT is preferred; fragment 26: does not recommend superposition of surgery and radiotherapy).  </w:t>
            </w:r>
            <w:r w:rsidRPr="00CB2EC4">
              <w:rPr>
                <w:rFonts w:ascii="Times New Roman" w:hAnsi="Times New Roman" w:cs="Times New Roman"/>
              </w:rPr>
              <w:br/>
            </w:r>
            <w:r w:rsidRPr="00CB2EC4">
              <w:rPr>
                <w:rFonts w:ascii="Times New Roman" w:hAnsi="Times New Roman" w:cs="Times New Roman"/>
              </w:rPr>
              <w:br/>
              <w:t>therefore, CCRT is preferred to avoid the complications and uncertain efficacy of dual therapy, ensuring better survival and quality of life.</w:t>
            </w:r>
          </w:p>
        </w:tc>
        <w:tc>
          <w:tcPr>
            <w:tcW w:w="1152" w:type="dxa"/>
            <w:vAlign w:val="center"/>
          </w:tcPr>
          <w:p w14:paraId="383170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B759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0422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1BE871" w14:textId="77777777">
        <w:tc>
          <w:tcPr>
            <w:tcW w:w="2160" w:type="dxa"/>
            <w:vAlign w:val="center"/>
          </w:tcPr>
          <w:p w14:paraId="6C0D1784"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D4C2182"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FIGO stage IB3, the guideline-recommended primary treatment is concurrent chemoradiotherapy (CCRT). "Dual therapy" (i.e., initial surgery followed by adjuvant radiotherapy) is generally not recommended because it significantly increases the risk of severe complications (such as urinary tract injury and decreased quality of life), and approximately 80% of surgical patients still require postoperative radiotherapy, leading to unnecessary resource consumption, whereas CCRT as a single treatment modality can achieve better efficacy.</w:t>
            </w:r>
            <w:r w:rsidRPr="00CB2EC4">
              <w:rPr>
                <w:rFonts w:ascii="Times New Roman" w:hAnsi="Times New Roman" w:cs="Times New Roman"/>
              </w:rPr>
              <w:br/>
              <w:t>- Primary treatment: CCRT is the "standard treatment for stages IB3 and IIA2," including external beam radiotherapy combined with intracavitary brachytherapy and concurrent chemotherapy (e.g., weekly cisplatin) (Related paragraph 2, blocks 13-15; Related paragraph 1, blocks 10-12).</w:t>
            </w:r>
            <w:r w:rsidRPr="00CB2EC4">
              <w:rPr>
                <w:rFonts w:ascii="Times New Roman" w:hAnsi="Times New Roman" w:cs="Times New Roman"/>
              </w:rPr>
              <w:br/>
              <w:t>- Reasons for not recommending dual therapy:</w:t>
            </w:r>
            <w:r w:rsidRPr="00CB2EC4">
              <w:rPr>
                <w:rFonts w:ascii="Times New Roman" w:hAnsi="Times New Roman" w:cs="Times New Roman"/>
              </w:rPr>
              <w:br/>
              <w:t xml:space="preserve">  - High risk of complications: The document clearly states that "dual therapy will increase the risk of severe complications for patients," such as ureteral fistula, bladder dysfunction, and intestinal </w:t>
            </w:r>
            <w:r w:rsidRPr="00CB2EC4">
              <w:rPr>
                <w:rFonts w:ascii="Times New Roman" w:hAnsi="Times New Roman" w:cs="Times New Roman"/>
              </w:rPr>
              <w:lastRenderedPageBreak/>
              <w:t>complications caused by the superimposition of surgery and radiotherapy (Related paragraph 1, blocks 10-12; Related paragraph 7, blocks 557-559).</w:t>
            </w:r>
            <w:r w:rsidRPr="00CB2EC4">
              <w:rPr>
                <w:rFonts w:ascii="Times New Roman" w:hAnsi="Times New Roman" w:cs="Times New Roman"/>
              </w:rPr>
              <w:br/>
              <w:t xml:space="preserve">  - High need for adjuvant therapy: Approximately 80% of patients who undergo surgery require postoperative radiotherapy (PORT), but "surgery plus radiotherapy will increase complications and thus impair quality of life" (Related paragraph 2, blocks 13-15).</w:t>
            </w:r>
            <w:r w:rsidRPr="00CB2EC4">
              <w:rPr>
                <w:rFonts w:ascii="Times New Roman" w:hAnsi="Times New Roman" w:cs="Times New Roman"/>
              </w:rPr>
              <w:br/>
              <w:t xml:space="preserve">  - Low resource efficiency: Dual therapy "will place an unnecessary burden on surgical and radiotherapy resources," making it unfeasible in environments with limited medical resources (Related paragraph 2, blocks 13-15).</w:t>
            </w:r>
            <w:r w:rsidRPr="00CB2EC4">
              <w:rPr>
                <w:rFonts w:ascii="Times New Roman" w:hAnsi="Times New Roman" w:cs="Times New Roman"/>
              </w:rPr>
              <w:br/>
              <w:t xml:space="preserve">  - No survival advantage: The document indicates that CCRT improves survival compared to surgery (e.g., a 10–15% improvement in 5-year survival rate), whereas dual therapy has not shown additional benefit (Related paragraph 1, blocks 10-12; Related paragraph 2, blocks 13-15).</w:t>
            </w:r>
            <w:r w:rsidRPr="00CB2EC4">
              <w:rPr>
                <w:rFonts w:ascii="Times New Roman" w:hAnsi="Times New Roman" w:cs="Times New Roman"/>
              </w:rPr>
              <w:br/>
              <w:t>Basis: Based on randomized trials and guideline recommendations (such as FIGO and NCCN), CCRT is the preferred option; dual therapy is only applicable in special circumstances (e.g., lack of radiotherapy equipment).</w:t>
            </w:r>
          </w:p>
        </w:tc>
        <w:tc>
          <w:tcPr>
            <w:tcW w:w="1152" w:type="dxa"/>
            <w:vAlign w:val="center"/>
          </w:tcPr>
          <w:p w14:paraId="7CAE4A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55E75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D0B0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B53E7A" w14:textId="77777777">
        <w:tc>
          <w:tcPr>
            <w:tcW w:w="2160" w:type="dxa"/>
            <w:vAlign w:val="center"/>
          </w:tcPr>
          <w:p w14:paraId="31B0F877"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D38B6A8" w14:textId="77777777" w:rsidR="00922249" w:rsidRPr="00CB2EC4" w:rsidRDefault="003011D5">
            <w:pPr>
              <w:rPr>
                <w:rFonts w:ascii="Times New Roman" w:hAnsi="Times New Roman" w:cs="Times New Roman"/>
              </w:rPr>
            </w:pPr>
            <w:r w:rsidRPr="00CB2EC4">
              <w:rPr>
                <w:rFonts w:ascii="Times New Roman" w:hAnsi="Times New Roman" w:cs="Times New Roman"/>
              </w:rPr>
              <w:t>- Preferred treatment: Concurrent chemoradiotherapy (CCRT) is recommended as the primary treatment.</w:t>
            </w:r>
            <w:r w:rsidRPr="00CB2EC4">
              <w:rPr>
                <w:rFonts w:ascii="Times New Roman" w:hAnsi="Times New Roman" w:cs="Times New Roman"/>
              </w:rPr>
              <w:br/>
              <w:t xml:space="preserve">- Reason for not recommending "dual therapy": The sequential approach of surgery (e.g., radical hysterectomy) followed by adjuvant radiotherapy is not recommended for IB3 stage tumors (diameter &gt;4 cm) because postoperative pathology frequently reveals high-risk factors (such as lymph node metastasis or parametrial involvement), resulting in </w:t>
            </w:r>
            <w:r w:rsidRPr="00CB2EC4">
              <w:rPr>
                <w:rFonts w:ascii="Times New Roman" w:hAnsi="Times New Roman" w:cs="Times New Roman"/>
              </w:rPr>
              <w:lastRenderedPageBreak/>
              <w:t>50–70% of patients requiring adjuvant radiotherapy. This "dual therapy" significantly increases treatment-related toxicities (e.g., radiation enteritis, urinary dysfunction) and complication risks, while survival outcomes are not superior to those of CCRT (5-year survival rate ~75% for CCRT; potentially lower or comparable for surgery plus radiotherapy). Guidelines emphasize avoiding unnecessary multi-modal therapy to optimize patient quality of life.</w:t>
            </w:r>
          </w:p>
        </w:tc>
        <w:tc>
          <w:tcPr>
            <w:tcW w:w="1152" w:type="dxa"/>
            <w:vAlign w:val="center"/>
          </w:tcPr>
          <w:p w14:paraId="33C44B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C928E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D5F72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85A6E6B" w14:textId="77777777">
        <w:tc>
          <w:tcPr>
            <w:tcW w:w="10656" w:type="dxa"/>
            <w:gridSpan w:val="5"/>
            <w:tcBorders>
              <w:bottom w:val="single" w:sz="6" w:space="0" w:color="auto"/>
            </w:tcBorders>
            <w:vAlign w:val="center"/>
          </w:tcPr>
          <w:p w14:paraId="212A8C7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85: What are the core conclusions of the LACC trial, which significantly influenced the choice of surgical approach for early-stage cervical cancer? For young patients who wish to preserve ovarian and sexual function, what are the unique advantages of surgical treatment compared to radiotherapy?</w:t>
            </w:r>
          </w:p>
        </w:tc>
      </w:tr>
      <w:tr w:rsidR="00922249" w:rsidRPr="00CB2EC4" w14:paraId="45137D1B" w14:textId="77777777">
        <w:tc>
          <w:tcPr>
            <w:tcW w:w="2160" w:type="dxa"/>
            <w:vAlign w:val="center"/>
          </w:tcPr>
          <w:p w14:paraId="404AE58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45419D4" w14:textId="77777777" w:rsidR="00922249" w:rsidRPr="00CB2EC4" w:rsidRDefault="003011D5">
            <w:pPr>
              <w:rPr>
                <w:rFonts w:ascii="Times New Roman" w:hAnsi="Times New Roman" w:cs="Times New Roman"/>
              </w:rPr>
            </w:pPr>
            <w:r w:rsidRPr="00CB2EC4">
              <w:rPr>
                <w:rFonts w:ascii="Times New Roman" w:hAnsi="Times New Roman" w:cs="Times New Roman"/>
              </w:rPr>
              <w:t>the results of the LACC trial have had a significant impact on the choice of surgical approach for early-stage cervical cancer. the core conclusion of the LACC trial is as follows: the LACC trial (Laparoscopic Approach to Cervical Cancer) compared open surgery with minimally invasive surgery (laparoscopic or robotic surgery) for the treatment of early-stage cervical cancer. the documented conclusion clearly states: "the results showed a decrease in survival rate with minimally invasive surgery, no difference in intraoperative complications, and the conclusion indicates that for early-stage cervical cancer, minimally invasive surgery has a higher recurrence rate than open surgery." the core finding is that minimally invasive surgery is associated with a higher recurrence rate and decreased survival, while intraoperative complication rates are similar. the trial advises caution in the use of minimally invasive surgery and calls for further research to confirm these findings.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the unique advantages of surgical treatment over radiotherapy for young patients requiring ovarian and sexual function preservation are:</w:t>
            </w:r>
            <w:r w:rsidRPr="00CB2EC4">
              <w:rPr>
                <w:rFonts w:ascii="Times New Roman" w:hAnsi="Times New Roman" w:cs="Times New Roman"/>
              </w:rPr>
              <w:br/>
              <w:t>1. preservation of ovarian function: the document states that surgery "can preserve ovarian function without the need for hormone replacement therapy." this is crucial for young patients (especially those under 45 years of age), as it avoids radiotherapy-induced premature ovarian failure and related hormonal issues.</w:t>
            </w:r>
            <w:r w:rsidRPr="00CB2EC4">
              <w:rPr>
                <w:rFonts w:ascii="Times New Roman" w:hAnsi="Times New Roman" w:cs="Times New Roman"/>
              </w:rPr>
              <w:br/>
              <w:t>2. preservation of vaginal function: surgery "can preserve a more functional vagina, with elasticity and lubricating secretions often maintained, avoiding vaginal shrinkage and atrophy." radiotherapy commonly causes vaginal stenosis, dryness, and atrophy, which negatively impact sexual function and quality of life.</w:t>
            </w:r>
            <w:r w:rsidRPr="00CB2EC4">
              <w:rPr>
                <w:rFonts w:ascii="Times New Roman" w:hAnsi="Times New Roman" w:cs="Times New Roman"/>
              </w:rPr>
              <w:br/>
              <w:t>3. advantages of individualized treatment and exploration: surgery provides "the opportunity for complete pelvic and abdominal exploration to distinguish between clinical and pathological staging," facilitating the development of postoperative adjuvant plans (e.g., whether chemotherapy is needed). the document emphasizes: "a potential benefit of surgery is the opportunity to perform a complete pelvic and abdominal exploration... to propose an individualized treatment plan based on the patient's condition."</w:t>
            </w:r>
            <w:r w:rsidRPr="00CB2EC4">
              <w:rPr>
                <w:rFonts w:ascii="Times New Roman" w:hAnsi="Times New Roman" w:cs="Times New Roman"/>
              </w:rPr>
              <w:br/>
              <w:t>4. avoidance of radiotherapy-related toxicity: surgery "avoids irradiation of normal tissues, particularly preventing painful late rectal and bladder radiation reactions," such as radiation proctitis or cystitis.</w:t>
            </w:r>
            <w:r w:rsidRPr="00CB2EC4">
              <w:rPr>
                <w:rFonts w:ascii="Times New Roman" w:hAnsi="Times New Roman" w:cs="Times New Roman"/>
              </w:rPr>
              <w:br/>
              <w:t xml:space="preserve">5. applicability in specific scenarios: surgery is more advantageous for patients with pelvic inflammatory disease, a narrow vagina, or radioresistant tumors </w:t>
            </w:r>
            <w:r w:rsidRPr="00CB2EC4">
              <w:rPr>
                <w:rFonts w:ascii="Times New Roman" w:hAnsi="Times New Roman" w:cs="Times New Roman"/>
              </w:rPr>
              <w:lastRenderedPageBreak/>
              <w:t>(document: "surgery is often superior in patients with chronic pelvic inflammatory disease or benign pelvic lesions...").</w:t>
            </w:r>
            <w:r w:rsidRPr="00CB2EC4">
              <w:rPr>
                <w:rFonts w:ascii="Times New Roman" w:hAnsi="Times New Roman" w:cs="Times New Roman"/>
              </w:rPr>
              <w:br/>
              <w:t>- note: although surgery offers these advantages, the LACC trial warns of the risks associated with minimally invasive surgery; therefore, open surgery remains the preferred option. radiotherapy is used when surgery is contraindicated, but surgery is irreplaceable for function preservation.</w:t>
            </w:r>
          </w:p>
        </w:tc>
        <w:tc>
          <w:tcPr>
            <w:tcW w:w="1152" w:type="dxa"/>
            <w:vAlign w:val="center"/>
          </w:tcPr>
          <w:p w14:paraId="796F8C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77A0D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68F1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D8B7D7" w14:textId="77777777">
        <w:tc>
          <w:tcPr>
            <w:tcW w:w="2160" w:type="dxa"/>
            <w:vAlign w:val="center"/>
          </w:tcPr>
          <w:p w14:paraId="17B35C2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56E270B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Core conclusion of the LACC trial:  </w:t>
            </w:r>
            <w:r w:rsidRPr="00CB2EC4">
              <w:rPr>
                <w:rFonts w:ascii="Times New Roman" w:hAnsi="Times New Roman" w:cs="Times New Roman"/>
              </w:rPr>
              <w:br/>
              <w:t xml:space="preserve">   - Minimally invasive surgery (laparoscopic/robotic) is associated with higher recurrence rates and reduced survival compared to open surgery, with no difference in intraoperative complications (Block 11).  </w:t>
            </w:r>
            <w:r w:rsidRPr="00CB2EC4">
              <w:rPr>
                <w:rFonts w:ascii="Times New Roman" w:hAnsi="Times New Roman" w:cs="Times New Roman"/>
              </w:rPr>
              <w:br/>
              <w:t xml:space="preserve">   - The trial enrolled patients with early-stage cervical cancer (FIGO IA–IB2) and led to restrictions on the use of minimally invasive approaches.  </w:t>
            </w:r>
            <w:r w:rsidRPr="00CB2EC4">
              <w:rPr>
                <w:rFonts w:ascii="Times New Roman" w:hAnsi="Times New Roman" w:cs="Times New Roman"/>
              </w:rPr>
              <w:br/>
              <w:t xml:space="preserve">2. Unique advantages of surgical treatment (for young patients requiring ovarian and sexual function preservation):  </w:t>
            </w:r>
            <w:r w:rsidRPr="00CB2EC4">
              <w:rPr>
                <w:rFonts w:ascii="Times New Roman" w:hAnsi="Times New Roman" w:cs="Times New Roman"/>
              </w:rPr>
              <w:br/>
              <w:t xml:space="preserve">   - Preservation of ovarian function: Ovarian transposition to the paracolic gutter can be performed during surgery to avoid radiation-induced damage (radiotherapy causes permanent ovarian failure) (Block 1, 490).  </w:t>
            </w:r>
            <w:r w:rsidRPr="00CB2EC4">
              <w:rPr>
                <w:rFonts w:ascii="Times New Roman" w:hAnsi="Times New Roman" w:cs="Times New Roman"/>
              </w:rPr>
              <w:br/>
              <w:t xml:space="preserve">   - Preservation of vaginal function: Surgery avoids vaginal atrophy and stenosis, maintaining elasticity and lubrication (radiotherapy commonly causes vaginal fibrosis) (Block 490).  </w:t>
            </w:r>
            <w:r w:rsidRPr="00CB2EC4">
              <w:rPr>
                <w:rFonts w:ascii="Times New Roman" w:hAnsi="Times New Roman" w:cs="Times New Roman"/>
              </w:rPr>
              <w:br/>
              <w:t xml:space="preserve">   - Individualized adjuvant therapy: Surgery provides accurate pathological staging, guiding postoperative adjuvant treatment and avoiding unnecessary radiotherapy (Block 1, 7).  </w:t>
            </w:r>
            <w:r w:rsidRPr="00CB2EC4">
              <w:rPr>
                <w:rFonts w:ascii="Times New Roman" w:hAnsi="Times New Roman" w:cs="Times New Roman"/>
              </w:rPr>
              <w:br/>
              <w:t xml:space="preserve">   - Avoidance of radiotherapy complications: Such as </w:t>
            </w:r>
            <w:r w:rsidRPr="00CB2EC4">
              <w:rPr>
                <w:rFonts w:ascii="Times New Roman" w:hAnsi="Times New Roman" w:cs="Times New Roman"/>
              </w:rPr>
              <w:lastRenderedPageBreak/>
              <w:t xml:space="preserve">late rectal/bladder radiation injury (Block 490).  </w:t>
            </w:r>
            <w:r w:rsidRPr="00CB2EC4">
              <w:rPr>
                <w:rFonts w:ascii="Times New Roman" w:hAnsi="Times New Roman" w:cs="Times New Roman"/>
              </w:rPr>
              <w:br/>
            </w:r>
            <w:r w:rsidRPr="00CB2EC4">
              <w:rPr>
                <w:rFonts w:ascii="Times New Roman" w:hAnsi="Times New Roman" w:cs="Times New Roman"/>
              </w:rPr>
              <w:br/>
              <w:t>&gt; Source: Block 11 (LACC trial), Block 490 (surgical advantages/disadvantages), Block 1 (surgical treatment benefits).</w:t>
            </w:r>
          </w:p>
        </w:tc>
        <w:tc>
          <w:tcPr>
            <w:tcW w:w="1152" w:type="dxa"/>
            <w:vAlign w:val="center"/>
          </w:tcPr>
          <w:p w14:paraId="480A4F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99D9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33BC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F4ADA2" w14:textId="77777777">
        <w:tc>
          <w:tcPr>
            <w:tcW w:w="2160" w:type="dxa"/>
            <w:vAlign w:val="center"/>
          </w:tcPr>
          <w:p w14:paraId="5B11B268"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0F630FF" w14:textId="77777777" w:rsidR="00922249" w:rsidRPr="00CB2EC4" w:rsidRDefault="003011D5">
            <w:pPr>
              <w:rPr>
                <w:rFonts w:ascii="Times New Roman" w:hAnsi="Times New Roman" w:cs="Times New Roman"/>
              </w:rPr>
            </w:pPr>
            <w:r w:rsidRPr="00CB2EC4">
              <w:rPr>
                <w:rFonts w:ascii="Times New Roman" w:hAnsi="Times New Roman" w:cs="Times New Roman"/>
              </w:rPr>
              <w:t>the results of the LACC trial have had a significant impact on the choice of surgical approach for early-stage cervical cancer. the core conclusion of the LACC trial is that minimally invasive surgery (laparoscopic or robotic) is associated with a higher recurrence rate and decreased survival compared to open abdominal surgery. for young patients requiring ovarian and sexual function preservation, surgical treatment offers unique advantages over radiotherapy, including preservation of fertility, avoidance of radiation damage, and reduction of late complications.</w:t>
            </w:r>
            <w:r w:rsidRPr="00CB2EC4">
              <w:rPr>
                <w:rFonts w:ascii="Times New Roman" w:hAnsi="Times New Roman" w:cs="Times New Roman"/>
              </w:rPr>
              <w:br/>
            </w:r>
            <w:r w:rsidRPr="00CB2EC4">
              <w:rPr>
                <w:rFonts w:ascii="Times New Roman" w:hAnsi="Times New Roman" w:cs="Times New Roman"/>
              </w:rPr>
              <w:br/>
              <w:t>- LACC trial core conclusion: the LACC trial compared open abdominal surgery with minimally invasive surgery (laparoscopic or robotic) for early-stage cervical cancer. results showed that minimally invasive surgery led to decreased survival and higher recurrence rates, while intraoperative complications showed no significant difference (document fragment 7). the conclusion explicitly states that minimally invasive surgery has a higher recurrence rate than open surgery (document fragment 7).</w:t>
            </w:r>
            <w:r w:rsidRPr="00CB2EC4">
              <w:rPr>
                <w:rFonts w:ascii="Times New Roman" w:hAnsi="Times New Roman" w:cs="Times New Roman"/>
              </w:rPr>
              <w:br/>
            </w:r>
            <w:r w:rsidRPr="00CB2EC4">
              <w:rPr>
                <w:rFonts w:ascii="Times New Roman" w:hAnsi="Times New Roman" w:cs="Times New Roman"/>
              </w:rPr>
              <w:br/>
              <w:t>- unique advantages of surgical treatment (for young patients requiring ovarian and sexual function preservation):</w:t>
            </w:r>
            <w:r w:rsidRPr="00CB2EC4">
              <w:rPr>
                <w:rFonts w:ascii="Times New Roman" w:hAnsi="Times New Roman" w:cs="Times New Roman"/>
              </w:rPr>
              <w:br/>
              <w:t xml:space="preserve">  - preservation of fertility: surgery (e.g., radical trachelectomy) can preserve the uterus and ovaries, allowing young patients the potential for future </w:t>
            </w:r>
            <w:r w:rsidRPr="00CB2EC4">
              <w:rPr>
                <w:rFonts w:ascii="Times New Roman" w:hAnsi="Times New Roman" w:cs="Times New Roman"/>
              </w:rPr>
              <w:lastRenderedPageBreak/>
              <w:t>childbearing. the document states that radical trachelectomy is feasible, with efficacy similar to radical hysterectomy, and reduces psychological trauma (document fragment 25).</w:t>
            </w:r>
            <w:r w:rsidRPr="00CB2EC4">
              <w:rPr>
                <w:rFonts w:ascii="Times New Roman" w:hAnsi="Times New Roman" w:cs="Times New Roman"/>
              </w:rPr>
              <w:br/>
              <w:t xml:space="preserve">  - avoidance of radiation damage: radiotherapy may cause ovarian failure, vaginal stenosis, or late rectal/bladder complications. surgery avoids irradiation of normal tissues, reducing painful late radiation reactions (document fragment 16).</w:t>
            </w:r>
            <w:r w:rsidRPr="00CB2EC4">
              <w:rPr>
                <w:rFonts w:ascii="Times New Roman" w:hAnsi="Times New Roman" w:cs="Times New Roman"/>
              </w:rPr>
              <w:br/>
              <w:t xml:space="preserve">  - reduced impact on sexual function: surgery (particularly open surgery) better preserves vaginal anatomical structure and reduces the risk of sexual dysfunction compared to radiotherapy (document fragments 7, 16).</w:t>
            </w:r>
            <w:r w:rsidRPr="00CB2EC4">
              <w:rPr>
                <w:rFonts w:ascii="Times New Roman" w:hAnsi="Times New Roman" w:cs="Times New Roman"/>
              </w:rPr>
              <w:br/>
              <w:t xml:space="preserve">  - other advantages: surgery provides the opportunity for pelvic and abdominal exploration, accurate staging, and elimination of radioresistant factors (document fragment 16).</w:t>
            </w:r>
            <w:r w:rsidRPr="00CB2EC4">
              <w:rPr>
                <w:rFonts w:ascii="Times New Roman" w:hAnsi="Times New Roman" w:cs="Times New Roman"/>
              </w:rPr>
              <w:br/>
            </w:r>
            <w:r w:rsidRPr="00CB2EC4">
              <w:rPr>
                <w:rFonts w:ascii="Times New Roman" w:hAnsi="Times New Roman" w:cs="Times New Roman"/>
              </w:rPr>
              <w:br/>
              <w:t>in summary, the LACC trial warns of the risks associated with minimally invasive surgery; however, for young patients, open surgery remains the preferred option to preserve function, whereas radiotherapy may compromise ovarian and sexual function.</w:t>
            </w:r>
          </w:p>
        </w:tc>
        <w:tc>
          <w:tcPr>
            <w:tcW w:w="1152" w:type="dxa"/>
            <w:vAlign w:val="center"/>
          </w:tcPr>
          <w:p w14:paraId="0FC292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6B1B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0EB2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E233F8" w14:textId="77777777">
        <w:tc>
          <w:tcPr>
            <w:tcW w:w="2160" w:type="dxa"/>
            <w:vAlign w:val="center"/>
          </w:tcPr>
          <w:p w14:paraId="11B5FC0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D91E8F8" w14:textId="77777777" w:rsidR="00922249" w:rsidRPr="00CB2EC4" w:rsidRDefault="003011D5">
            <w:pPr>
              <w:rPr>
                <w:rFonts w:ascii="Times New Roman" w:hAnsi="Times New Roman" w:cs="Times New Roman"/>
              </w:rPr>
            </w:pPr>
            <w:r w:rsidRPr="00CB2EC4">
              <w:rPr>
                <w:rFonts w:ascii="Times New Roman" w:hAnsi="Times New Roman" w:cs="Times New Roman"/>
              </w:rPr>
              <w:t>core conclusions of the LACC trial and surgical advantages for young patients</w:t>
            </w:r>
            <w:r w:rsidRPr="00CB2EC4">
              <w:rPr>
                <w:rFonts w:ascii="Times New Roman" w:hAnsi="Times New Roman" w:cs="Times New Roman"/>
              </w:rPr>
              <w:br/>
            </w:r>
            <w:r w:rsidRPr="00CB2EC4">
              <w:rPr>
                <w:rFonts w:ascii="Times New Roman" w:hAnsi="Times New Roman" w:cs="Times New Roman"/>
              </w:rPr>
              <w:br/>
              <w:t xml:space="preserve">knowledge base document contribution:  </w:t>
            </w:r>
            <w:r w:rsidRPr="00CB2EC4">
              <w:rPr>
                <w:rFonts w:ascii="Times New Roman" w:hAnsi="Times New Roman" w:cs="Times New Roman"/>
              </w:rPr>
              <w:br/>
              <w:t xml:space="preserve">- LACC trial conclusion: minimally invasive surgery (laparoscopic/robotic) results in lower survival rates and higher recurrence rates compared to open surgery, with no difference in intraoperative complications.  </w:t>
            </w:r>
            <w:r w:rsidRPr="00CB2EC4">
              <w:rPr>
                <w:rFonts w:ascii="Times New Roman" w:hAnsi="Times New Roman" w:cs="Times New Roman"/>
              </w:rPr>
              <w:br/>
              <w:t xml:space="preserve">- unique surgical advantages (for young patients):  </w:t>
            </w:r>
            <w:r w:rsidRPr="00CB2EC4">
              <w:rPr>
                <w:rFonts w:ascii="Times New Roman" w:hAnsi="Times New Roman" w:cs="Times New Roman"/>
              </w:rPr>
              <w:br/>
              <w:t xml:space="preserve">  1. preservation of ovarian function: intraoperative </w:t>
            </w:r>
            <w:r w:rsidRPr="00CB2EC4">
              <w:rPr>
                <w:rFonts w:ascii="Times New Roman" w:hAnsi="Times New Roman" w:cs="Times New Roman"/>
              </w:rPr>
              <w:lastRenderedPageBreak/>
              <w:t xml:space="preserve">transposition of ovaries to outside the radiation field (e.g., colonic gutter) prevents premature ovarian failure after radiotherapy.  </w:t>
            </w:r>
            <w:r w:rsidRPr="00CB2EC4">
              <w:rPr>
                <w:rFonts w:ascii="Times New Roman" w:hAnsi="Times New Roman" w:cs="Times New Roman"/>
              </w:rPr>
              <w:br/>
              <w:t xml:space="preserve">  2. preservation of sexual function: postoperative vaginal elasticity and lubrication are superior to post-radiotherapy atrophy.  </w:t>
            </w:r>
            <w:r w:rsidRPr="00CB2EC4">
              <w:rPr>
                <w:rFonts w:ascii="Times New Roman" w:hAnsi="Times New Roman" w:cs="Times New Roman"/>
              </w:rPr>
              <w:br/>
              <w:t xml:space="preserve">  3. accurate staging: surgery provides pathological information to guide individualized adjuvant therapy.  </w:t>
            </w:r>
            <w:r w:rsidRPr="00CB2EC4">
              <w:rPr>
                <w:rFonts w:ascii="Times New Roman" w:hAnsi="Times New Roman" w:cs="Times New Roman"/>
              </w:rPr>
              <w:br/>
              <w:t xml:space="preserve">supplement from web search results: LACC trial not mentioned, but applicability of surgery for patients ≤45 years emphasized (NCCN guidelines).  </w:t>
            </w:r>
            <w:r w:rsidRPr="00CB2EC4">
              <w:rPr>
                <w:rFonts w:ascii="Times New Roman" w:hAnsi="Times New Roman" w:cs="Times New Roman"/>
              </w:rPr>
              <w:br/>
              <w:t xml:space="preserve">conclusion:  </w:t>
            </w:r>
            <w:r w:rsidRPr="00CB2EC4">
              <w:rPr>
                <w:rFonts w:ascii="Times New Roman" w:hAnsi="Times New Roman" w:cs="Times New Roman"/>
              </w:rPr>
              <w:br/>
              <w:t>&gt; the LACC trial confirmed that minimally invasive surgery yields inferior survival outcomes compared to open surgery. the advantages of surgery for young patients lie in preserving ovarian/sexual function and enabling accurate staging.</w:t>
            </w:r>
          </w:p>
        </w:tc>
        <w:tc>
          <w:tcPr>
            <w:tcW w:w="1152" w:type="dxa"/>
            <w:vAlign w:val="center"/>
          </w:tcPr>
          <w:p w14:paraId="31A318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8EE1A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7573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E7E5F9" w14:textId="77777777">
        <w:tc>
          <w:tcPr>
            <w:tcW w:w="2160" w:type="dxa"/>
            <w:vAlign w:val="center"/>
          </w:tcPr>
          <w:p w14:paraId="6DF07F5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E51388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results of the LACC trial have had a significant impact on the choice of surgical approach for early-stage cervical cancer. the core conclusion of the LACC trial is as follows: the LACC trial (Laparoscopic Approach to Cervical Cancer) compared open surgery with minimally invasive surgery (laparoscopic or robotic) for the treatment of early-stage cervical cancer (FIGO stage I). the results showed that the survival rate decreased with minimally invasive surgery, there was no significant difference in intraoperative complications, but the recurrence rate was higher with minimally invasive surgery than with open surgery (document excerpt 1: "LACC trial... results show decreased survival with minimally invasive surgery, no difference in intraoperative complications, conclusion shows higher recurrence rate with minimally invasive vs open </w:t>
            </w:r>
            <w:r w:rsidRPr="00CB2EC4">
              <w:rPr>
                <w:rFonts w:ascii="Times New Roman" w:hAnsi="Times New Roman" w:cs="Times New Roman"/>
              </w:rPr>
              <w:lastRenderedPageBreak/>
              <w:t>surgery for early cervical cancer").</w:t>
            </w:r>
            <w:r w:rsidRPr="00CB2EC4">
              <w:rPr>
                <w:rFonts w:ascii="Times New Roman" w:hAnsi="Times New Roman" w:cs="Times New Roman"/>
              </w:rPr>
              <w:br/>
            </w:r>
            <w:r w:rsidRPr="00CB2EC4">
              <w:rPr>
                <w:rFonts w:ascii="Times New Roman" w:hAnsi="Times New Roman" w:cs="Times New Roman"/>
              </w:rPr>
              <w:br/>
              <w:t>for young patients requiring ovarian and sexual function preservation, surgical treatment offers unique advantages over radiotherapy:</w:t>
            </w:r>
            <w:r w:rsidRPr="00CB2EC4">
              <w:rPr>
                <w:rFonts w:ascii="Times New Roman" w:hAnsi="Times New Roman" w:cs="Times New Roman"/>
              </w:rPr>
              <w:br/>
              <w:t>- preservation of ovarian function: surgery allows for oophoropexy (repositioning the ovaries away from the radiation field, such as to the paracolic gutter) during the procedure, thereby avoiding radiation-induced ovarian damage, preserving hormonal function and fertility potential (document excerpt 1: "possible to preserve ovarian function... surgery is the preferred treatment for young women needing ovarian and sexual function preservation"; document excerpt 7: "can preserve ovarian function without need for hormone replacement therapy").</w:t>
            </w:r>
            <w:r w:rsidRPr="00CB2EC4">
              <w:rPr>
                <w:rFonts w:ascii="Times New Roman" w:hAnsi="Times New Roman" w:cs="Times New Roman"/>
              </w:rPr>
              <w:br/>
              <w:t>- preservation of vaginal function: surgery maintains vaginal elasticity and secretory lubrication, avoiding radiation-induced vaginal atrophy, stenosis, or dryness, thus protecting sexual function (document excerpt 7: "can preserve a more functional vagina, whose elasticity and secretory lubrication are often maintained, avoiding vaginal shrinkage and atrophy").</w:t>
            </w:r>
            <w:r w:rsidRPr="00CB2EC4">
              <w:rPr>
                <w:rFonts w:ascii="Times New Roman" w:hAnsi="Times New Roman" w:cs="Times New Roman"/>
              </w:rPr>
              <w:br/>
              <w:t>- other advantages: surgery provides accurate pathological staging to guide individualized adjuvant therapy; removes tumors resistant to radiotherapy; avoids late radiation damage to normal tissues such as the bladder and rectum (document excerpt 1: "allows accurate postoperative staging based on histopathology... removes radioresistant tumors"; document excerpt 7: "avoids painful late rectal and bladder radiation reactions").</w:t>
            </w:r>
            <w:r w:rsidRPr="00CB2EC4">
              <w:rPr>
                <w:rFonts w:ascii="Times New Roman" w:hAnsi="Times New Roman" w:cs="Times New Roman"/>
              </w:rPr>
              <w:br/>
            </w:r>
            <w:r w:rsidRPr="00CB2EC4">
              <w:rPr>
                <w:rFonts w:ascii="Times New Roman" w:hAnsi="Times New Roman" w:cs="Times New Roman"/>
              </w:rPr>
              <w:br/>
              <w:t xml:space="preserve">in summary, the LACC trial warns of the risks </w:t>
            </w:r>
            <w:r w:rsidRPr="00CB2EC4">
              <w:rPr>
                <w:rFonts w:ascii="Times New Roman" w:hAnsi="Times New Roman" w:cs="Times New Roman"/>
              </w:rPr>
              <w:lastRenderedPageBreak/>
              <w:t>associated with minimally invasive surgery, but for young patients, open surgery offers superior functional preservation compared to radiotherapy.</w:t>
            </w:r>
          </w:p>
        </w:tc>
        <w:tc>
          <w:tcPr>
            <w:tcW w:w="1152" w:type="dxa"/>
            <w:vAlign w:val="center"/>
          </w:tcPr>
          <w:p w14:paraId="4CF2F8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035FA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1DFE8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95B3119" w14:textId="77777777">
        <w:tc>
          <w:tcPr>
            <w:tcW w:w="2160" w:type="dxa"/>
            <w:vAlign w:val="center"/>
          </w:tcPr>
          <w:p w14:paraId="7C6E490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2DF3E3D7" w14:textId="77777777" w:rsidR="00922249" w:rsidRPr="00CB2EC4" w:rsidRDefault="003011D5">
            <w:pPr>
              <w:rPr>
                <w:rFonts w:ascii="Times New Roman" w:hAnsi="Times New Roman" w:cs="Times New Roman"/>
              </w:rPr>
            </w:pPr>
            <w:r w:rsidRPr="00CB2EC4">
              <w:rPr>
                <w:rFonts w:ascii="Times New Roman" w:hAnsi="Times New Roman" w:cs="Times New Roman"/>
              </w:rPr>
              <w:t>the results of the LACC trial have had a significant impact on the choice of surgical approach for early-stage cervical cancer. the core conclusion of the LACC trial is that minimally invasive surgery (laparoscopic or robotic) has a higher recurrence rate and lower survival rate compared to open surgery for early-stage cervical cancer, while intraoperative complications are similar; therefore, minimally invasive surgery is not recommended as the first choice.</w:t>
            </w:r>
            <w:r w:rsidRPr="00CB2EC4">
              <w:rPr>
                <w:rFonts w:ascii="Times New Roman" w:hAnsi="Times New Roman" w:cs="Times New Roman"/>
              </w:rPr>
              <w:br/>
            </w:r>
            <w:r w:rsidRPr="00CB2EC4">
              <w:rPr>
                <w:rFonts w:ascii="Times New Roman" w:hAnsi="Times New Roman" w:cs="Times New Roman"/>
              </w:rPr>
              <w:br/>
              <w:t>for young patients requiring preservation of ovarian and sexual function, surgical treatment offers unique advantages over radiotherapy:</w:t>
            </w:r>
            <w:r w:rsidRPr="00CB2EC4">
              <w:rPr>
                <w:rFonts w:ascii="Times New Roman" w:hAnsi="Times New Roman" w:cs="Times New Roman"/>
              </w:rPr>
              <w:br/>
              <w:t>- preservation of ovarian function: surgery (such as radical hysterectomy) allows intraoperative ovarian transposition to a location away from the radiation field (e.g., paracolic gutter), avoiding ovarian function loss caused by radiotherapy and thus preserving hormone secretion and fertility potential (document 1 and 4). document 4 emphasizes: "surgery can preserve ovarian function without the need for hormone replacement therapy," which is particularly important for young women.</w:t>
            </w:r>
            <w:r w:rsidRPr="00CB2EC4">
              <w:rPr>
                <w:rFonts w:ascii="Times New Roman" w:hAnsi="Times New Roman" w:cs="Times New Roman"/>
              </w:rPr>
              <w:br/>
              <w:t>- preservation of sexual function: surgery can "preserve a more functional vagina," avoiding vaginal shortening, atrophy, and decreased lubrication caused by radiotherapy, thereby maintaining sexual quality of life (document 4).</w:t>
            </w:r>
            <w:r w:rsidRPr="00CB2EC4">
              <w:rPr>
                <w:rFonts w:ascii="Times New Roman" w:hAnsi="Times New Roman" w:cs="Times New Roman"/>
              </w:rPr>
              <w:br/>
              <w:t xml:space="preserve">- other advantages: surgery provides accurate postoperative staging, facilitating individualized </w:t>
            </w:r>
            <w:r w:rsidRPr="00CB2EC4">
              <w:rPr>
                <w:rFonts w:ascii="Times New Roman" w:hAnsi="Times New Roman" w:cs="Times New Roman"/>
              </w:rPr>
              <w:lastRenderedPageBreak/>
              <w:t>adjuvant therapy; removes tumors resistant to radiotherapy; and allows exploration of the pelvic and abdominal cavity to identify discrepancies in pathological staging (document 1 and 4).</w:t>
            </w:r>
            <w:r w:rsidRPr="00CB2EC4">
              <w:rPr>
                <w:rFonts w:ascii="Times New Roman" w:hAnsi="Times New Roman" w:cs="Times New Roman"/>
              </w:rPr>
              <w:br/>
              <w:t>- document 1 adds: for young women, surgery is the "preferred treatment for preserving ovarian and sexual function," and although the LACC trial warns of risks with minimally invasive surgery, open surgery remains recommended (document 1).</w:t>
            </w:r>
            <w:r w:rsidRPr="00CB2EC4">
              <w:rPr>
                <w:rFonts w:ascii="Times New Roman" w:hAnsi="Times New Roman" w:cs="Times New Roman"/>
              </w:rPr>
              <w:br/>
            </w:r>
            <w:r w:rsidRPr="00CB2EC4">
              <w:rPr>
                <w:rFonts w:ascii="Times New Roman" w:hAnsi="Times New Roman" w:cs="Times New Roman"/>
              </w:rPr>
              <w:br/>
              <w:t>in summary: the core conclusion of the LACC trial is that minimally invasive surgery (laparoscopic/robotic) has a higher recurrence rate and lower survival rate than open surgery. for young patients needing ovarian and sexual function preservation, the advantages of surgery include: intraoperative ovarian transposition to avoid radiation damage, preservation of vaginal function (preventing atrophy), provision of accurate staging, and removal of radiotherapy-resistant tumors; open surgery is the preferred approach.</w:t>
            </w:r>
          </w:p>
        </w:tc>
        <w:tc>
          <w:tcPr>
            <w:tcW w:w="1152" w:type="dxa"/>
            <w:vAlign w:val="center"/>
          </w:tcPr>
          <w:p w14:paraId="00786A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695B2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E7F9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3E3A5BE" w14:textId="77777777">
        <w:tc>
          <w:tcPr>
            <w:tcW w:w="2160" w:type="dxa"/>
            <w:vAlign w:val="center"/>
          </w:tcPr>
          <w:p w14:paraId="3A7777D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43CE1A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results of the LACC trial have had a significant impact on the choice of surgical approach for early-stage cervical cancer. the core conclusion of the LACC trial is that minimally invasive surgery (laparoscopic or robotic) is associated with lower survival rates and higher recurrence rates compared to open surgery for early-stage cervical cancer, while intraoperative complication rates show no significant difference. specifically, the minimally invasive surgery group demonstrated inferior progression-free survival and overall survival, requiring further research for confirmation (as per the fragment: "LACC trial compares open surgery with laparoscopic or robotic surgery for early cervical cancer, results </w:t>
            </w:r>
            <w:r w:rsidRPr="00CB2EC4">
              <w:rPr>
                <w:rFonts w:ascii="Times New Roman" w:hAnsi="Times New Roman" w:cs="Times New Roman"/>
              </w:rPr>
              <w:lastRenderedPageBreak/>
              <w:t>show decreased survival with minimally invasive surgery, no difference in intraoperative complications, conclusion indicates higher recurrence rate with minimally invasive surgery compared to open surgery for early cervical cancer").</w:t>
            </w:r>
            <w:r w:rsidRPr="00CB2EC4">
              <w:rPr>
                <w:rFonts w:ascii="Times New Roman" w:hAnsi="Times New Roman" w:cs="Times New Roman"/>
              </w:rPr>
              <w:br/>
            </w:r>
            <w:r w:rsidRPr="00CB2EC4">
              <w:rPr>
                <w:rFonts w:ascii="Times New Roman" w:hAnsi="Times New Roman" w:cs="Times New Roman"/>
              </w:rPr>
              <w:br/>
              <w:t xml:space="preserve">- unique advantages of surgery over radiotherapy for young patients requiring ovarian and sexual function preservation:  </w:t>
            </w:r>
            <w:r w:rsidRPr="00CB2EC4">
              <w:rPr>
                <w:rFonts w:ascii="Times New Roman" w:hAnsi="Times New Roman" w:cs="Times New Roman"/>
              </w:rPr>
              <w:br/>
              <w:t xml:space="preserve">  despite the LACC trial's caution regarding minimally invasive surgery, the document indicates that surgery remains the preferred option for young patients (especially those needing ovarian and sexual function preservation), offering the following advantages over radiotherapy:  </w:t>
            </w:r>
            <w:r w:rsidRPr="00CB2EC4">
              <w:rPr>
                <w:rFonts w:ascii="Times New Roman" w:hAnsi="Times New Roman" w:cs="Times New Roman"/>
              </w:rPr>
              <w:br/>
              <w:t xml:space="preserve">  - preservation of ovarian function: surgery avoids radiation-induced ovarian damage, preventing premature menopause and reducing the need for hormone replacement therapy. this is particularly important for patients under 45 years who have not yet undergone menopause (as per the fragment: "able to preserve ovarian function without the need for hormone replacement therapy").  </w:t>
            </w:r>
            <w:r w:rsidRPr="00CB2EC4">
              <w:rPr>
                <w:rFonts w:ascii="Times New Roman" w:hAnsi="Times New Roman" w:cs="Times New Roman"/>
              </w:rPr>
              <w:br/>
              <w:t xml:space="preserve">  - preservation of vaginal function: surgery (especially radical hysterectomy) maintains vaginal elasticity and lubrication, preventing radiotherapy-induced vaginal atrophy, narrowing, or fibrosis, thereby preserving sexual function and quality of life (as per the fragment: "able to preserve a more functional vagina, with elasticity and secretory lubrication often maintained, avoiding vaginal shrinkage and atrophy").  </w:t>
            </w:r>
            <w:r w:rsidRPr="00CB2EC4">
              <w:rPr>
                <w:rFonts w:ascii="Times New Roman" w:hAnsi="Times New Roman" w:cs="Times New Roman"/>
              </w:rPr>
              <w:br/>
              <w:t xml:space="preserve">  - opportunity for individualized treatment: surgery allows intraoperative exploration and pathological </w:t>
            </w:r>
            <w:r w:rsidRPr="00CB2EC4">
              <w:rPr>
                <w:rFonts w:ascii="Times New Roman" w:hAnsi="Times New Roman" w:cs="Times New Roman"/>
              </w:rPr>
              <w:lastRenderedPageBreak/>
              <w:t xml:space="preserve">staging, guiding postoperative individualized treatment decisions (e.g., need for adjuvant therapy), whereas radiotherapy may obscure high-risk factors (as per the fragment: "a potential benefit of surgery is the opportunity to perform a complete pelvic and abdominal exploration, identifying differences between clinical and pathological staging in patients").  </w:t>
            </w:r>
            <w:r w:rsidRPr="00CB2EC4">
              <w:rPr>
                <w:rFonts w:ascii="Times New Roman" w:hAnsi="Times New Roman" w:cs="Times New Roman"/>
              </w:rPr>
              <w:br/>
              <w:t xml:space="preserve">  - avoidance of radiotherapy complications: surgery reduces the risk of late radiotherapy side effects, such as proctitis, cystitis, or fistula formation (as per the fragment: "avoid painful late rectal and bladder radiation reactions").  </w:t>
            </w:r>
            <w:r w:rsidRPr="00CB2EC4">
              <w:rPr>
                <w:rFonts w:ascii="Times New Roman" w:hAnsi="Times New Roman" w:cs="Times New Roman"/>
              </w:rPr>
              <w:br/>
            </w:r>
            <w:r w:rsidRPr="00CB2EC4">
              <w:rPr>
                <w:rFonts w:ascii="Times New Roman" w:hAnsi="Times New Roman" w:cs="Times New Roman"/>
              </w:rPr>
              <w:br/>
              <w:t>in summary: the core conclusion of the LACC trial is that minimally invasive surgery has a higher recurrence rate than open surgery. the advantages of surgery include preservation of ovarian function (preventing premature menopause), preservation of vaginal function (maintaining sexual quality of life), provision of individualized exploration opportunities, and avoidance of long-term radiotherapy complications; however, caution is warranted in selecting minimally invasive approaches following the LACC trial findings.</w:t>
            </w:r>
          </w:p>
        </w:tc>
        <w:tc>
          <w:tcPr>
            <w:tcW w:w="1152" w:type="dxa"/>
            <w:vAlign w:val="center"/>
          </w:tcPr>
          <w:p w14:paraId="7EA96A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4724D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122A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B575C4D" w14:textId="77777777">
        <w:tc>
          <w:tcPr>
            <w:tcW w:w="2160" w:type="dxa"/>
            <w:vAlign w:val="center"/>
          </w:tcPr>
          <w:p w14:paraId="4F5A10E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4D479EE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results of the LACC trial have had a significant impact on the choice of surgical approach for early cervical cancer. the core conclusion of the LACC trial is that minimally invasive surgery (laparoscopic or robotic) is associated with a higher recurrence rate than open surgery for early-stage cervical cancer. for young patients requiring preservation of ovarian and sexual function, surgical treatment offers unique advantages over radiotherapy, including preservation </w:t>
            </w:r>
            <w:r w:rsidRPr="00CB2EC4">
              <w:rPr>
                <w:rFonts w:ascii="Times New Roman" w:hAnsi="Times New Roman" w:cs="Times New Roman"/>
              </w:rPr>
              <w:lastRenderedPageBreak/>
              <w:t>of fertility and reduction of radiotherapy-related side effects.</w:t>
            </w:r>
            <w:r w:rsidRPr="00CB2EC4">
              <w:rPr>
                <w:rFonts w:ascii="Times New Roman" w:hAnsi="Times New Roman" w:cs="Times New Roman"/>
              </w:rPr>
              <w:br/>
            </w:r>
            <w:r w:rsidRPr="00CB2EC4">
              <w:rPr>
                <w:rFonts w:ascii="Times New Roman" w:hAnsi="Times New Roman" w:cs="Times New Roman"/>
              </w:rPr>
              <w:br/>
              <w:t>- core conclusion of the LACC trial:</w:t>
            </w:r>
            <w:r w:rsidRPr="00CB2EC4">
              <w:rPr>
                <w:rFonts w:ascii="Times New Roman" w:hAnsi="Times New Roman" w:cs="Times New Roman"/>
              </w:rPr>
              <w:br/>
              <w:t xml:space="preserve">  - the LACC trial compared open surgery with minimally invasive surgery (laparoscopic or robotic) for the treatment of early cervical cancer (e.g., stages IA to IB2). the results showed that minimally invasive surgery led to decreased survival rates and higher recurrence rates, while intraoperative complications showed no significant difference (document fragment 7). the conclusion is that "minimally invasive surgery has a higher recurrence rate than open surgery," and further research is needed for confirmation (document fragment 7).</w:t>
            </w:r>
            <w:r w:rsidRPr="00CB2EC4">
              <w:rPr>
                <w:rFonts w:ascii="Times New Roman" w:hAnsi="Times New Roman" w:cs="Times New Roman"/>
              </w:rPr>
              <w:br/>
              <w:t>- unique advantages of surgical treatment (for young patients requiring preservation of ovarian and sexual function):</w:t>
            </w:r>
            <w:r w:rsidRPr="00CB2EC4">
              <w:rPr>
                <w:rFonts w:ascii="Times New Roman" w:hAnsi="Times New Roman" w:cs="Times New Roman"/>
              </w:rPr>
              <w:br/>
              <w:t xml:space="preserve">  - preservation of ovarian function: surgery allows for ovarian preservation, avoiding radiotherapy-induced ovarian failure and thus eliminating the need for hormone replacement therapy. this is particularly important for premenopausal patients, especially those under 45 years of age (document fragment 16).</w:t>
            </w:r>
            <w:r w:rsidRPr="00CB2EC4">
              <w:rPr>
                <w:rFonts w:ascii="Times New Roman" w:hAnsi="Times New Roman" w:cs="Times New Roman"/>
              </w:rPr>
              <w:br/>
              <w:t xml:space="preserve">  - preservation of vaginal function: surgery preserves vaginal elasticity and secretory lubrication, preventing radiotherapy-induced vaginal atrophy, narrowing, or dryness, which helps maintain sexual function and quality of life (document fragment 16).</w:t>
            </w:r>
            <w:r w:rsidRPr="00CB2EC4">
              <w:rPr>
                <w:rFonts w:ascii="Times New Roman" w:hAnsi="Times New Roman" w:cs="Times New Roman"/>
              </w:rPr>
              <w:br/>
              <w:t xml:space="preserve">  - other advantages: surgery enables complete exploration of the pelvis and abdomen for accurate staging and removal of radioresistant tumor tissue; it also avoids late radiation damage to normal tissues such as the bladder and rectum (e.g., radiation cystitis </w:t>
            </w:r>
            <w:r w:rsidRPr="00CB2EC4">
              <w:rPr>
                <w:rFonts w:ascii="Times New Roman" w:hAnsi="Times New Roman" w:cs="Times New Roman"/>
              </w:rPr>
              <w:lastRenderedPageBreak/>
              <w:t>or proctitis) (document fragment 16).</w:t>
            </w:r>
            <w:r w:rsidRPr="00CB2EC4">
              <w:rPr>
                <w:rFonts w:ascii="Times New Roman" w:hAnsi="Times New Roman" w:cs="Times New Roman"/>
              </w:rPr>
              <w:br/>
              <w:t xml:space="preserve">  - applicability: for young patients requiring preservation of fertility or sexual function, surgery is the preferred option, especially when no surgical contraindications exist (document fragments 4 and 16). however, it should be noted that after the LACC trial, the use of minimally invasive surgery has been restricted, and open surgery is more strongly recommended (document fragment 7).</w:t>
            </w:r>
            <w:r w:rsidRPr="00CB2EC4">
              <w:rPr>
                <w:rFonts w:ascii="Times New Roman" w:hAnsi="Times New Roman" w:cs="Times New Roman"/>
              </w:rPr>
              <w:br/>
            </w:r>
            <w:r w:rsidRPr="00CB2EC4">
              <w:rPr>
                <w:rFonts w:ascii="Times New Roman" w:hAnsi="Times New Roman" w:cs="Times New Roman"/>
              </w:rPr>
              <w:br/>
              <w:t>in summary, the LACC trial demonstrated a higher recurrence rate with minimally invasive surgery; the advantage of surgical treatment lies in functional preservation, but it should be based on the open approach.</w:t>
            </w:r>
          </w:p>
        </w:tc>
        <w:tc>
          <w:tcPr>
            <w:tcW w:w="1152" w:type="dxa"/>
            <w:vAlign w:val="center"/>
          </w:tcPr>
          <w:p w14:paraId="4FA7B8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0672D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378E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286F9B5" w14:textId="77777777">
        <w:tc>
          <w:tcPr>
            <w:tcW w:w="2160" w:type="dxa"/>
            <w:vAlign w:val="center"/>
          </w:tcPr>
          <w:p w14:paraId="317CAFA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176C07B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LACC trial core conclusion:  </w:t>
            </w:r>
            <w:r w:rsidRPr="00CB2EC4">
              <w:rPr>
                <w:rFonts w:ascii="Times New Roman" w:hAnsi="Times New Roman" w:cs="Times New Roman"/>
              </w:rPr>
              <w:br/>
              <w:t xml:space="preserve">  The document explicitly states: "The LACC trial compared open surgery with laparoscopic or robotic surgery for early-stage cervical cancer, showing that minimally invasive surgery resulted in decreased survival rates... and a higher recurrence rate than open surgery."  </w:t>
            </w:r>
            <w:r w:rsidRPr="00CB2EC4">
              <w:rPr>
                <w:rFonts w:ascii="Times New Roman" w:hAnsi="Times New Roman" w:cs="Times New Roman"/>
              </w:rPr>
              <w:br/>
              <w:t xml:space="preserve">- Unique advantages of surgery for young patients requiring ovarian and sexual function preservation:  </w:t>
            </w:r>
            <w:r w:rsidRPr="00CB2EC4">
              <w:rPr>
                <w:rFonts w:ascii="Times New Roman" w:hAnsi="Times New Roman" w:cs="Times New Roman"/>
              </w:rPr>
              <w:br/>
              <w:t xml:space="preserve">  - Preservation of ovarian function: Surgery allows for "preservation of ovarian function," avoiding radiation-induced premature ovarian failure; intraoperatively, "ovarian transposition can be performed to move the ovaries away from the radiation field."  </w:t>
            </w:r>
            <w:r w:rsidRPr="00CB2EC4">
              <w:rPr>
                <w:rFonts w:ascii="Times New Roman" w:hAnsi="Times New Roman" w:cs="Times New Roman"/>
              </w:rPr>
              <w:br/>
              <w:t xml:space="preserve">  - Preservation of vaginal function: Surgery enables "preservation of a more functional vagina, with elasticity and lubricating secretions often maintained," reducing radiation-induced vaginal atrophy.  </w:t>
            </w:r>
            <w:r w:rsidRPr="00CB2EC4">
              <w:rPr>
                <w:rFonts w:ascii="Times New Roman" w:hAnsi="Times New Roman" w:cs="Times New Roman"/>
              </w:rPr>
              <w:br/>
            </w:r>
            <w:r w:rsidRPr="00CB2EC4">
              <w:rPr>
                <w:rFonts w:ascii="Times New Roman" w:hAnsi="Times New Roman" w:cs="Times New Roman"/>
              </w:rPr>
              <w:lastRenderedPageBreak/>
              <w:t xml:space="preserve">  - Avoidance of radiotherapy complications: Surgery can "avoid painful late rectal and bladder radiation reactions" (e.g., fistulas, chronic inflammation).</w:t>
            </w:r>
          </w:p>
        </w:tc>
        <w:tc>
          <w:tcPr>
            <w:tcW w:w="1152" w:type="dxa"/>
            <w:vAlign w:val="center"/>
          </w:tcPr>
          <w:p w14:paraId="2670D4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18563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4DBE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4AA740" w14:textId="77777777">
        <w:tc>
          <w:tcPr>
            <w:tcW w:w="2160" w:type="dxa"/>
            <w:vAlign w:val="center"/>
          </w:tcPr>
          <w:p w14:paraId="5F26514B"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C09A175" w14:textId="77777777" w:rsidR="00922249" w:rsidRPr="00CB2EC4" w:rsidRDefault="003011D5">
            <w:pPr>
              <w:rPr>
                <w:rFonts w:ascii="Times New Roman" w:hAnsi="Times New Roman" w:cs="Times New Roman"/>
              </w:rPr>
            </w:pPr>
            <w:r w:rsidRPr="00CB2EC4">
              <w:rPr>
                <w:rFonts w:ascii="Times New Roman" w:hAnsi="Times New Roman" w:cs="Times New Roman"/>
              </w:rPr>
              <w:t>the results of the LACC trial have had a significant impact on the choice of surgical approach for early-stage cervical cancer. the core conclusion of the LACC trial is as follows:</w:t>
            </w:r>
            <w:r w:rsidRPr="00CB2EC4">
              <w:rPr>
                <w:rFonts w:ascii="Times New Roman" w:hAnsi="Times New Roman" w:cs="Times New Roman"/>
              </w:rPr>
              <w:br/>
              <w:t>- the LACC trial compared open surgery with minimally invasive surgery (laparoscopic or robotic) in early-stage cervical cancer (FIGO IA-IB stages).</w:t>
            </w:r>
            <w:r w:rsidRPr="00CB2EC4">
              <w:rPr>
                <w:rFonts w:ascii="Times New Roman" w:hAnsi="Times New Roman" w:cs="Times New Roman"/>
              </w:rPr>
              <w:br/>
              <w:t>- core conclusion: the survival rate in the minimally invasive surgery group was significantly lower than in the open surgery group, with a higher recurrence rate; there was no significant difference in intraoperative complications. specifically:</w:t>
            </w:r>
            <w:r w:rsidRPr="00CB2EC4">
              <w:rPr>
                <w:rFonts w:ascii="Times New Roman" w:hAnsi="Times New Roman" w:cs="Times New Roman"/>
              </w:rPr>
              <w:br/>
              <w:t xml:space="preserve">  - minimally invasive surgery was associated with an increased risk of recurrence and a decrease in 5-year survival rate.</w:t>
            </w:r>
            <w:r w:rsidRPr="00CB2EC4">
              <w:rPr>
                <w:rFonts w:ascii="Times New Roman" w:hAnsi="Times New Roman" w:cs="Times New Roman"/>
              </w:rPr>
              <w:br/>
              <w:t xml:space="preserve">  - the trial recommends avoiding minimally invasive surgery as the standard choice for early-stage cervical cancer (document fragment 2).</w:t>
            </w:r>
            <w:r w:rsidRPr="00CB2EC4">
              <w:rPr>
                <w:rFonts w:ascii="Times New Roman" w:hAnsi="Times New Roman" w:cs="Times New Roman"/>
              </w:rPr>
              <w:br/>
            </w:r>
            <w:r w:rsidRPr="00CB2EC4">
              <w:rPr>
                <w:rFonts w:ascii="Times New Roman" w:hAnsi="Times New Roman" w:cs="Times New Roman"/>
              </w:rPr>
              <w:br/>
              <w:t>the unique advantages of surgical treatment over radiotherapy for young patients requiring ovarian and sexual function preservation are:</w:t>
            </w:r>
            <w:r w:rsidRPr="00CB2EC4">
              <w:rPr>
                <w:rFonts w:ascii="Times New Roman" w:hAnsi="Times New Roman" w:cs="Times New Roman"/>
              </w:rPr>
              <w:br/>
              <w:t>based on document fragment 7:</w:t>
            </w:r>
            <w:r w:rsidRPr="00CB2EC4">
              <w:rPr>
                <w:rFonts w:ascii="Times New Roman" w:hAnsi="Times New Roman" w:cs="Times New Roman"/>
              </w:rPr>
              <w:br/>
              <w:t>- preservation of ovarian function: surgical treatment allows direct preservation of the ovaries, avoiding radiation-induced premature ovarian failure; patients do not require hormone replacement therapy.</w:t>
            </w:r>
            <w:r w:rsidRPr="00CB2EC4">
              <w:rPr>
                <w:rFonts w:ascii="Times New Roman" w:hAnsi="Times New Roman" w:cs="Times New Roman"/>
              </w:rPr>
              <w:br/>
              <w:t>- preservation of vaginal function:</w:t>
            </w:r>
            <w:r w:rsidRPr="00CB2EC4">
              <w:rPr>
                <w:rFonts w:ascii="Times New Roman" w:hAnsi="Times New Roman" w:cs="Times New Roman"/>
              </w:rPr>
              <w:br/>
              <w:t xml:space="preserve">  - surgery maintains vaginal elasticity and lubrication.</w:t>
            </w:r>
            <w:r w:rsidRPr="00CB2EC4">
              <w:rPr>
                <w:rFonts w:ascii="Times New Roman" w:hAnsi="Times New Roman" w:cs="Times New Roman"/>
              </w:rPr>
              <w:br/>
              <w:t xml:space="preserve">  - avoids radiation-induced vaginal atrophy, stenosis, or dryness.</w:t>
            </w:r>
            <w:r w:rsidRPr="00CB2EC4">
              <w:rPr>
                <w:rFonts w:ascii="Times New Roman" w:hAnsi="Times New Roman" w:cs="Times New Roman"/>
              </w:rPr>
              <w:br/>
            </w:r>
            <w:r w:rsidRPr="00CB2EC4">
              <w:rPr>
                <w:rFonts w:ascii="Times New Roman" w:hAnsi="Times New Roman" w:cs="Times New Roman"/>
              </w:rPr>
              <w:lastRenderedPageBreak/>
              <w:t>- reduction of radiotherapy-related side effects:</w:t>
            </w:r>
            <w:r w:rsidRPr="00CB2EC4">
              <w:rPr>
                <w:rFonts w:ascii="Times New Roman" w:hAnsi="Times New Roman" w:cs="Times New Roman"/>
              </w:rPr>
              <w:br/>
              <w:t xml:space="preserve">  - avoids late radiation reactions in the bladder and rectum (such as radiation cystitis or proctitis).</w:t>
            </w:r>
            <w:r w:rsidRPr="00CB2EC4">
              <w:rPr>
                <w:rFonts w:ascii="Times New Roman" w:hAnsi="Times New Roman" w:cs="Times New Roman"/>
              </w:rPr>
              <w:br/>
              <w:t xml:space="preserve">  - lowers the risk of chronic pain and infertility.</w:t>
            </w:r>
            <w:r w:rsidRPr="00CB2EC4">
              <w:rPr>
                <w:rFonts w:ascii="Times New Roman" w:hAnsi="Times New Roman" w:cs="Times New Roman"/>
              </w:rPr>
              <w:br/>
              <w:t>- other advantages:</w:t>
            </w:r>
            <w:r w:rsidRPr="00CB2EC4">
              <w:rPr>
                <w:rFonts w:ascii="Times New Roman" w:hAnsi="Times New Roman" w:cs="Times New Roman"/>
              </w:rPr>
              <w:br/>
              <w:t xml:space="preserve">  - allows intraoperative exploration of the pelvic and abdominal cavity for accurate staging.</w:t>
            </w:r>
            <w:r w:rsidRPr="00CB2EC4">
              <w:rPr>
                <w:rFonts w:ascii="Times New Roman" w:hAnsi="Times New Roman" w:cs="Times New Roman"/>
              </w:rPr>
              <w:br/>
              <w:t xml:space="preserve">  - suitable for patients with concurrent benign pelvic diseases.</w:t>
            </w:r>
            <w:r w:rsidRPr="00CB2EC4">
              <w:rPr>
                <w:rFonts w:ascii="Times New Roman" w:hAnsi="Times New Roman" w:cs="Times New Roman"/>
              </w:rPr>
              <w:br/>
              <w:t>these advantages make surgery the preferred option for patients under 45 years of age.</w:t>
            </w:r>
            <w:r w:rsidRPr="00CB2EC4">
              <w:rPr>
                <w:rFonts w:ascii="Times New Roman" w:hAnsi="Times New Roman" w:cs="Times New Roman"/>
              </w:rPr>
              <w:br/>
            </w:r>
            <w:r w:rsidRPr="00CB2EC4">
              <w:rPr>
                <w:rFonts w:ascii="Times New Roman" w:hAnsi="Times New Roman" w:cs="Times New Roman"/>
              </w:rPr>
              <w:br/>
              <w:t>in summary, the LACC trial emphasized that open surgery has superior safety compared to minimally invasive surgery; meanwhile, surgical treatment offers irreplaceable advantages in functional preservation.</w:t>
            </w:r>
          </w:p>
        </w:tc>
        <w:tc>
          <w:tcPr>
            <w:tcW w:w="1152" w:type="dxa"/>
            <w:vAlign w:val="center"/>
          </w:tcPr>
          <w:p w14:paraId="7883DE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60DA5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8ACF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54CE520" w14:textId="77777777">
        <w:tc>
          <w:tcPr>
            <w:tcW w:w="2160" w:type="dxa"/>
            <w:vAlign w:val="center"/>
          </w:tcPr>
          <w:p w14:paraId="36FF2275"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4D9C50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results of the LACC trial have had a significant impact on the choice of surgical approach for early-stage cervical cancer. the core conclusion of the LACC trial is as follows:  </w:t>
            </w:r>
            <w:r w:rsidRPr="00CB2EC4">
              <w:rPr>
                <w:rFonts w:ascii="Times New Roman" w:hAnsi="Times New Roman" w:cs="Times New Roman"/>
              </w:rPr>
              <w:br/>
              <w:t xml:space="preserve">comparing open surgery with laparoscopic/robotic surgery for early cervical cancer (stage IB1), the results showed:  </w:t>
            </w:r>
            <w:r w:rsidRPr="00CB2EC4">
              <w:rPr>
                <w:rFonts w:ascii="Times New Roman" w:hAnsi="Times New Roman" w:cs="Times New Roman"/>
              </w:rPr>
              <w:br/>
              <w:t xml:space="preserve">- lower survival rates and higher recurrence rates in the minimally invasive surgery group compared to open surgery (similarity 0.591).  </w:t>
            </w:r>
            <w:r w:rsidRPr="00CB2EC4">
              <w:rPr>
                <w:rFonts w:ascii="Times New Roman" w:hAnsi="Times New Roman" w:cs="Times New Roman"/>
              </w:rPr>
              <w:br/>
              <w:t xml:space="preserve">- no difference in intraoperative complications, but worse long-term outcomes with minimally invasive surgery (similarity 0.591).  </w:t>
            </w:r>
            <w:r w:rsidRPr="00CB2EC4">
              <w:rPr>
                <w:rFonts w:ascii="Times New Roman" w:hAnsi="Times New Roman" w:cs="Times New Roman"/>
              </w:rPr>
              <w:br/>
            </w:r>
            <w:r w:rsidRPr="00CB2EC4">
              <w:rPr>
                <w:rFonts w:ascii="Times New Roman" w:hAnsi="Times New Roman" w:cs="Times New Roman"/>
              </w:rPr>
              <w:br/>
              <w:t xml:space="preserve">unique advantages of surgical treatment (for young patients requiring ovarian and sexual function preservation):  </w:t>
            </w:r>
            <w:r w:rsidRPr="00CB2EC4">
              <w:rPr>
                <w:rFonts w:ascii="Times New Roman" w:hAnsi="Times New Roman" w:cs="Times New Roman"/>
              </w:rPr>
              <w:br/>
              <w:t xml:space="preserve">- preservation of ovarian function: surgery allows for </w:t>
            </w:r>
            <w:r w:rsidRPr="00CB2EC4">
              <w:rPr>
                <w:rFonts w:ascii="Times New Roman" w:hAnsi="Times New Roman" w:cs="Times New Roman"/>
              </w:rPr>
              <w:lastRenderedPageBreak/>
              <w:t xml:space="preserve">ovarian transposition outside the radiation field, avoiding radiation-induced ovarian failure (similarity 0.591).  </w:t>
            </w:r>
            <w:r w:rsidRPr="00CB2EC4">
              <w:rPr>
                <w:rFonts w:ascii="Times New Roman" w:hAnsi="Times New Roman" w:cs="Times New Roman"/>
              </w:rPr>
              <w:br/>
              <w:t xml:space="preserve">- preservation of sexual function: surgery maintains vaginal elasticity and lubrication, reducing radiation-induced vaginal atrophy (similarity 0.545).  </w:t>
            </w:r>
            <w:r w:rsidRPr="00CB2EC4">
              <w:rPr>
                <w:rFonts w:ascii="Times New Roman" w:hAnsi="Times New Roman" w:cs="Times New Roman"/>
              </w:rPr>
              <w:br/>
              <w:t xml:space="preserve">- accurate pathological staging: provides histological evidence to guide individualized adjuvant therapy (similarity 0.591).  </w:t>
            </w:r>
            <w:r w:rsidRPr="00CB2EC4">
              <w:rPr>
                <w:rFonts w:ascii="Times New Roman" w:hAnsi="Times New Roman" w:cs="Times New Roman"/>
              </w:rPr>
              <w:br/>
              <w:t>therefore, surgery remains the preferred option for young patients requiring functional preservation (similarity 0.591).</w:t>
            </w:r>
          </w:p>
        </w:tc>
        <w:tc>
          <w:tcPr>
            <w:tcW w:w="1152" w:type="dxa"/>
            <w:vAlign w:val="center"/>
          </w:tcPr>
          <w:p w14:paraId="6168BE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6661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B4C0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FA131C" w14:textId="77777777">
        <w:tc>
          <w:tcPr>
            <w:tcW w:w="2160" w:type="dxa"/>
            <w:vAlign w:val="center"/>
          </w:tcPr>
          <w:p w14:paraId="21FEE40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A7EAD7E" w14:textId="77777777" w:rsidR="00922249" w:rsidRPr="00CB2EC4" w:rsidRDefault="003011D5">
            <w:pPr>
              <w:rPr>
                <w:rFonts w:ascii="Times New Roman" w:hAnsi="Times New Roman" w:cs="Times New Roman"/>
              </w:rPr>
            </w:pPr>
            <w:r w:rsidRPr="00CB2EC4">
              <w:rPr>
                <w:rFonts w:ascii="Times New Roman" w:hAnsi="Times New Roman" w:cs="Times New Roman"/>
              </w:rPr>
              <w:t>the results of the LACC trial have had a significant impact on the choice of surgical approach for early-stage cervical cancer. the core conclusion of the LACC trial is that minimally invasive surgery (laparoscopic or robotic) is associated with significantly lower survival rates and higher recurrence rates compared to open surgery (fragment 15: the LACC trial compared open surgery with minimally invasive surgery, showing that minimally invasive surgery resulted in decreased survival, no difference in intraoperative complications, and a higher recurrence rate than open surgery). this has led to guidelines more strongly recommending open surgery for early-stage cervical cancer (such as stages IA to IB2).</w:t>
            </w:r>
            <w:r w:rsidRPr="00CB2EC4">
              <w:rPr>
                <w:rFonts w:ascii="Times New Roman" w:hAnsi="Times New Roman" w:cs="Times New Roman"/>
              </w:rPr>
              <w:br/>
            </w:r>
            <w:r w:rsidRPr="00CB2EC4">
              <w:rPr>
                <w:rFonts w:ascii="Times New Roman" w:hAnsi="Times New Roman" w:cs="Times New Roman"/>
              </w:rPr>
              <w:br/>
              <w:t>- unique advantages of surgery over radiotherapy for young patients requiring ovarian and sexual function preservation:</w:t>
            </w:r>
            <w:r w:rsidRPr="00CB2EC4">
              <w:rPr>
                <w:rFonts w:ascii="Times New Roman" w:hAnsi="Times New Roman" w:cs="Times New Roman"/>
              </w:rPr>
              <w:br/>
              <w:t xml:space="preserve">  - preservation of ovarian function: surgery (e.g., radical hysterectomy) allows for ovarian conservation, avoiding radiotherapy-induced premature ovarian </w:t>
            </w:r>
            <w:r w:rsidRPr="00CB2EC4">
              <w:rPr>
                <w:rFonts w:ascii="Times New Roman" w:hAnsi="Times New Roman" w:cs="Times New Roman"/>
              </w:rPr>
              <w:lastRenderedPageBreak/>
              <w:t>failure and thus eliminating the need for hormone replacement therapy (fragment 3: surgery can preserve ovarian function without requiring hormone replacement therapy; fragment 26: surgical advantage lies in the potential to preserve ovarian function).</w:t>
            </w:r>
            <w:r w:rsidRPr="00CB2EC4">
              <w:rPr>
                <w:rFonts w:ascii="Times New Roman" w:hAnsi="Times New Roman" w:cs="Times New Roman"/>
              </w:rPr>
              <w:br/>
              <w:t xml:space="preserve">  - preservation of sexual function: surgery reduces radiotherapy-related vaginal side effects (such as stenosis and dryness), maintains vaginal function, and improves sexual quality of life (fragment 15: surgery is the preferred treatment for young women who need to preserve ovarian and sexual function; fragment 26: preservation of sexual function).</w:t>
            </w:r>
            <w:r w:rsidRPr="00CB2EC4">
              <w:rPr>
                <w:rFonts w:ascii="Times New Roman" w:hAnsi="Times New Roman" w:cs="Times New Roman"/>
              </w:rPr>
              <w:br/>
              <w:t xml:space="preserve">  - individualized postoperative management: surgery enables adjuvant treatment planning based on pathological findings (e.g., lymph node status), avoiding unnecessary radiotherapy (fragment 26: accurate postoperative staging based on histopathological results allows for individualized treatment plans).</w:t>
            </w:r>
            <w:r w:rsidRPr="00CB2EC4">
              <w:rPr>
                <w:rFonts w:ascii="Times New Roman" w:hAnsi="Times New Roman" w:cs="Times New Roman"/>
              </w:rPr>
              <w:br/>
              <w:t xml:space="preserve">  - applicability of advantages: these benefits primarily apply to early-stage patients (e.g., IB1) who are young and without high-risk factors (fragment 3: patients under 45 years old are primarily treated with surgery).</w:t>
            </w:r>
            <w:r w:rsidRPr="00CB2EC4">
              <w:rPr>
                <w:rFonts w:ascii="Times New Roman" w:hAnsi="Times New Roman" w:cs="Times New Roman"/>
              </w:rPr>
              <w:br/>
            </w:r>
            <w:r w:rsidRPr="00CB2EC4">
              <w:rPr>
                <w:rFonts w:ascii="Times New Roman" w:hAnsi="Times New Roman" w:cs="Times New Roman"/>
              </w:rPr>
              <w:br/>
              <w:t>in summary, the core conclusion of the LACC trial is that minimally invasive surgery has a higher recurrence rate; the advantage of surgery lies in preserving fertility-related functions, but recurrence risk must be weighed, prioritizing its use in young patients via open approach.</w:t>
            </w:r>
          </w:p>
        </w:tc>
        <w:tc>
          <w:tcPr>
            <w:tcW w:w="1152" w:type="dxa"/>
            <w:vAlign w:val="center"/>
          </w:tcPr>
          <w:p w14:paraId="78D2A9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4BE18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BC38C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48A2E6" w14:textId="77777777">
        <w:tc>
          <w:tcPr>
            <w:tcW w:w="2160" w:type="dxa"/>
            <w:vAlign w:val="center"/>
          </w:tcPr>
          <w:p w14:paraId="3FBBEFB7"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7E8117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results of the LACC trial have had a significant impact on the choice of surgical approach for early-stage cervical cancer. The core conclusion of the LACC trial is that minimally invasive surgery </w:t>
            </w:r>
            <w:r w:rsidRPr="00CB2EC4">
              <w:rPr>
                <w:rFonts w:ascii="Times New Roman" w:hAnsi="Times New Roman" w:cs="Times New Roman"/>
              </w:rPr>
              <w:lastRenderedPageBreak/>
              <w:t>(laparoscopic or robotic) is associated with a higher recurrence rate and decreased survival compared to open abdominal surgery for early cervical cancer, although there is no significant difference in intraoperative complications. For young patients requiring preservation of ovarian and sexual function, surgical treatment offers unique advantages over radiotherapy, including: preservation of ovarian function (through intraoperative ovarian transposition), preservation of vaginal function (avoiding atrophy caused by radiotherapy), and individualized treatment based on pathology.</w:t>
            </w:r>
            <w:r w:rsidRPr="00CB2EC4">
              <w:rPr>
                <w:rFonts w:ascii="Times New Roman" w:hAnsi="Times New Roman" w:cs="Times New Roman"/>
              </w:rPr>
              <w:br/>
            </w:r>
            <w:r w:rsidRPr="00CB2EC4">
              <w:rPr>
                <w:rFonts w:ascii="Times New Roman" w:hAnsi="Times New Roman" w:cs="Times New Roman"/>
              </w:rPr>
              <w:br/>
              <w:t>- Core conclusion of the LACC trial: The document explicitly states that "minimally invasive surgery has a higher recurrence rate than open surgery," with decreased survival and a need for further research to confirm these findings (relevant segment 1, block 10-12).</w:t>
            </w:r>
            <w:r w:rsidRPr="00CB2EC4">
              <w:rPr>
                <w:rFonts w:ascii="Times New Roman" w:hAnsi="Times New Roman" w:cs="Times New Roman"/>
              </w:rPr>
              <w:br/>
              <w:t>- Advantages of surgical treatment (for young patients):</w:t>
            </w:r>
            <w:r w:rsidRPr="00CB2EC4">
              <w:rPr>
                <w:rFonts w:ascii="Times New Roman" w:hAnsi="Times New Roman" w:cs="Times New Roman"/>
              </w:rPr>
              <w:br/>
              <w:t xml:space="preserve">  - Preservation of ovarian function: Surgery "offers the potential to preserve ovarian function"; for patients requiring postoperative radiotherapy, ovarian transposition can be performed during surgery (moving the ovaries to a location distant from the radiation field, such as the paracolic gutter) to avoid radiation damage (relevant segment 1, block 10-12).</w:t>
            </w:r>
            <w:r w:rsidRPr="00CB2EC4">
              <w:rPr>
                <w:rFonts w:ascii="Times New Roman" w:hAnsi="Times New Roman" w:cs="Times New Roman"/>
              </w:rPr>
              <w:br/>
              <w:t xml:space="preserve">  - Preservation of sexual function: Surgery can "preserve a more functional vagina, whose elasticity and lubricating secretions are often maintained, avoiding vaginal shrinkage and atrophy," whereas radiotherapy may lead to vaginal dryness and narrowing (relevant segment 6, block 489-491).</w:t>
            </w:r>
            <w:r w:rsidRPr="00CB2EC4">
              <w:rPr>
                <w:rFonts w:ascii="Times New Roman" w:hAnsi="Times New Roman" w:cs="Times New Roman"/>
              </w:rPr>
              <w:br/>
            </w:r>
            <w:r w:rsidRPr="00CB2EC4">
              <w:rPr>
                <w:rFonts w:ascii="Times New Roman" w:hAnsi="Times New Roman" w:cs="Times New Roman"/>
              </w:rPr>
              <w:lastRenderedPageBreak/>
              <w:t xml:space="preserve">  - Individualized treatment: Surgery "allows for accurate postoperative staging based on histopathological results, enabling the formulation of individualized subsequent treatment plans for patients," and directly "removes tumors resistant to radiotherapy" (relevant segment 1, block 10-12).</w:t>
            </w:r>
            <w:r w:rsidRPr="00CB2EC4">
              <w:rPr>
                <w:rFonts w:ascii="Times New Roman" w:hAnsi="Times New Roman" w:cs="Times New Roman"/>
              </w:rPr>
              <w:br/>
              <w:t>Rationale: The document emphasizes that surgery is the "preferred treatment option for young women who need to preserve ovarian and sexual function," especially for patients under 45 years of age, but notes the risk of minimally invasive surgery highlighted by the LACC trial (relevant segment 1, block 10-12; relevant segment 6, block 489-491).</w:t>
            </w:r>
          </w:p>
        </w:tc>
        <w:tc>
          <w:tcPr>
            <w:tcW w:w="1152" w:type="dxa"/>
            <w:vAlign w:val="center"/>
          </w:tcPr>
          <w:p w14:paraId="0CF25E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0E89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C6E4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7F01D4" w14:textId="77777777">
        <w:tc>
          <w:tcPr>
            <w:tcW w:w="2160" w:type="dxa"/>
            <w:vAlign w:val="center"/>
          </w:tcPr>
          <w:p w14:paraId="179E2CB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2A275109" w14:textId="77777777" w:rsidR="00922249" w:rsidRPr="00CB2EC4" w:rsidRDefault="003011D5">
            <w:pPr>
              <w:rPr>
                <w:rFonts w:ascii="Times New Roman" w:hAnsi="Times New Roman" w:cs="Times New Roman"/>
              </w:rPr>
            </w:pPr>
            <w:r w:rsidRPr="00CB2EC4">
              <w:rPr>
                <w:rFonts w:ascii="Times New Roman" w:hAnsi="Times New Roman" w:cs="Times New Roman"/>
              </w:rPr>
              <w:t>the results of the LACC trial have significantly influenced the choice of surgical approach for early-stage cervical cancer. the core conclusion of the LACC trial is as follows: for early-stage cervical cancer (such as FIGO IA1-IB1), minimally invasive surgery (laparoscopic or robotic-assisted) compared with open surgery significantly increased recurrence rates (4.5-year disease-free survival: 96.5% in open group vs. 86.0% in minimally invasive group) and mortality rates (3-year overall survival: 99.0% in open group vs. 93.8% in minimally invasive group). the conclusion is that open surgery should be the standard, with minimally invasive surgery limited to clinical trials or specific situations.</w:t>
            </w:r>
            <w:r w:rsidRPr="00CB2EC4">
              <w:rPr>
                <w:rFonts w:ascii="Times New Roman" w:hAnsi="Times New Roman" w:cs="Times New Roman"/>
              </w:rPr>
              <w:br/>
            </w:r>
            <w:r w:rsidRPr="00CB2EC4">
              <w:rPr>
                <w:rFonts w:ascii="Times New Roman" w:hAnsi="Times New Roman" w:cs="Times New Roman"/>
              </w:rPr>
              <w:br/>
              <w:t>the unique advantages of surgical treatment for young patients requiring ovarian and sexual function preservation compared with radiotherapy are:</w:t>
            </w:r>
            <w:r w:rsidRPr="00CB2EC4">
              <w:rPr>
                <w:rFonts w:ascii="Times New Roman" w:hAnsi="Times New Roman" w:cs="Times New Roman"/>
              </w:rPr>
              <w:br/>
              <w:t xml:space="preserve">- preservation of ovarian function: surgery allows selective ovarian preservation (e.g., ovarian transposition) to avoid radiotherapy-induced </w:t>
            </w:r>
            <w:r w:rsidRPr="00CB2EC4">
              <w:rPr>
                <w:rFonts w:ascii="Times New Roman" w:hAnsi="Times New Roman" w:cs="Times New Roman"/>
              </w:rPr>
              <w:lastRenderedPageBreak/>
              <w:t>premature ovarian failure and infertility; radiotherapy often causes permanent ovarian function loss.</w:t>
            </w:r>
            <w:r w:rsidRPr="00CB2EC4">
              <w:rPr>
                <w:rFonts w:ascii="Times New Roman" w:hAnsi="Times New Roman" w:cs="Times New Roman"/>
              </w:rPr>
              <w:br/>
              <w:t>- preservation of sexual function: surgery more easily maintains vaginal anatomical structure (such as length and elasticity), reducing risks of dyspareunia or vaginal stenosis; radiotherapy commonly causes vaginal fibrosis and atrophy.</w:t>
            </w:r>
            <w:r w:rsidRPr="00CB2EC4">
              <w:rPr>
                <w:rFonts w:ascii="Times New Roman" w:hAnsi="Times New Roman" w:cs="Times New Roman"/>
              </w:rPr>
              <w:br/>
              <w:t>these advantages are based on anatomical considerations (e.g., nerve-sparing techniques) and are emphasized in the literature, but surgery is only applicable to low-risk early-stage patients (FIGO IA-IB1) and must weigh the recurrence risks highlighted by the LACC trial.</w:t>
            </w:r>
          </w:p>
        </w:tc>
        <w:tc>
          <w:tcPr>
            <w:tcW w:w="1152" w:type="dxa"/>
            <w:vAlign w:val="center"/>
          </w:tcPr>
          <w:p w14:paraId="415CA2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9C7A0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5A83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E8104F" w14:textId="77777777">
        <w:tc>
          <w:tcPr>
            <w:tcW w:w="10656" w:type="dxa"/>
            <w:gridSpan w:val="5"/>
            <w:tcBorders>
              <w:bottom w:val="single" w:sz="6" w:space="0" w:color="auto"/>
            </w:tcBorders>
            <w:vAlign w:val="center"/>
          </w:tcPr>
          <w:p w14:paraId="2C75D7E4" w14:textId="77777777" w:rsidR="00922249" w:rsidRPr="00CB2EC4" w:rsidRDefault="003011D5">
            <w:pPr>
              <w:rPr>
                <w:rFonts w:ascii="Times New Roman" w:hAnsi="Times New Roman" w:cs="Times New Roman"/>
              </w:rPr>
            </w:pPr>
            <w:r w:rsidRPr="00CB2EC4">
              <w:rPr>
                <w:rFonts w:ascii="Times New Roman" w:hAnsi="Times New Roman" w:cs="Times New Roman"/>
                <w:b/>
              </w:rPr>
              <w:t>Question 86: When performing definitive radiotherapy for locally advanced cervical cancer, within what timeframe should the entire course of treatment be completed to achieve optimal efficacy? What are the consequences if the treatment duration is excessively prolonged?</w:t>
            </w:r>
          </w:p>
        </w:tc>
      </w:tr>
      <w:tr w:rsidR="00922249" w:rsidRPr="00CB2EC4" w14:paraId="2B723048" w14:textId="77777777">
        <w:tc>
          <w:tcPr>
            <w:tcW w:w="2160" w:type="dxa"/>
            <w:vAlign w:val="center"/>
          </w:tcPr>
          <w:p w14:paraId="44C66F4E"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BA8DD8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the document content, radical radiotherapy (including external beam radiotherapy (EBRT) and intracavitary brachytherapy (ICBT)) for locally advanced cervical cancer should be completed within 8 weeks to achieve optimal efficacy. if the treatment duration is too long (exceeding 9–10 weeks), it will lead to a higher pelvic treatment failure rate, i.e., an increased risk of tumor recurrence or progression.  </w:t>
            </w:r>
            <w:r w:rsidRPr="00CB2EC4">
              <w:rPr>
                <w:rFonts w:ascii="Times New Roman" w:hAnsi="Times New Roman" w:cs="Times New Roman"/>
              </w:rPr>
              <w:br/>
              <w:t xml:space="preserve">  - evidence: the document states (similarity: 0.543): "retrospective analysis shows that patients with radiotherapy duration exceeding 9~10 weeks had a higher pelvic treatment failure rate compared to those who completed radiotherapy in 6~7 weeks. therefore, it is particularly important to complete the radiotherapy regimen within the specified time, and it is recommended to finish EBRT and brachytherapy within 8 weeks." this emphasizes the importance of </w:t>
            </w:r>
            <w:r w:rsidRPr="00CB2EC4">
              <w:rPr>
                <w:rFonts w:ascii="Times New Roman" w:hAnsi="Times New Roman" w:cs="Times New Roman"/>
              </w:rPr>
              <w:lastRenderedPageBreak/>
              <w:t>timely treatment completion to avoid reduced efficacy.</w:t>
            </w:r>
          </w:p>
        </w:tc>
        <w:tc>
          <w:tcPr>
            <w:tcW w:w="1152" w:type="dxa"/>
            <w:vAlign w:val="center"/>
          </w:tcPr>
          <w:p w14:paraId="684838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5A77F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D946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907653" w14:textId="77777777">
        <w:tc>
          <w:tcPr>
            <w:tcW w:w="2160" w:type="dxa"/>
            <w:vAlign w:val="center"/>
          </w:tcPr>
          <w:p w14:paraId="56B31232"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ECDF26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Document Fragment 5 (Document Title: Cervical Cancer Radiotherapy Techniques; Block Number: 15; Block Topic: Cervical Cancer Radiotherapy Techniques), radical radiotherapy (including external beam radiation therapy (EBRT) and intracavitary radiation therapy (ICRT)) should be completed within the specified timeframe to achieve optimal efficacy. The document explicitly states: "Retrospective analyses indicate that patients whose radiotherapy duration exceeds 9–10 weeks have a higher pelvic treatment failure rate compared to those who complete radiotherapy within 6–7 weeks. Therefore, it is particularly important to complete the radiotherapy regimen within the specified timeframe, and it is recommended to finish both EBRT and intracavitary radiation therapy within 8 weeks."  </w:t>
            </w:r>
            <w:r w:rsidRPr="00CB2EC4">
              <w:rPr>
                <w:rFonts w:ascii="Times New Roman" w:hAnsi="Times New Roman" w:cs="Times New Roman"/>
              </w:rPr>
              <w:br/>
              <w:t xml:space="preserve">- Optimal completion time: The entire treatment course (including EBRT and ICRT) should be completed within 8 weeks.  </w:t>
            </w:r>
            <w:r w:rsidRPr="00CB2EC4">
              <w:rPr>
                <w:rFonts w:ascii="Times New Roman" w:hAnsi="Times New Roman" w:cs="Times New Roman"/>
              </w:rPr>
              <w:br/>
              <w:t xml:space="preserve">- Consequences of prolonged treatment: If the treatment duration exceeds 9–10 weeks, it will lead to a higher pelvic treatment failure rate (i.e., increased risk of local tumor recurrence), thereby reducing treatment efficacy and survival rates.  </w:t>
            </w:r>
            <w:r w:rsidRPr="00CB2EC4">
              <w:rPr>
                <w:rFonts w:ascii="Times New Roman" w:hAnsi="Times New Roman" w:cs="Times New Roman"/>
              </w:rPr>
              <w:br/>
              <w:t>This information is based on the standards for cervical cancer radiotherapy techniques and emphasizes the importance of timely treatment completion to avoid diminished efficacy.</w:t>
            </w:r>
          </w:p>
        </w:tc>
        <w:tc>
          <w:tcPr>
            <w:tcW w:w="1152" w:type="dxa"/>
            <w:vAlign w:val="center"/>
          </w:tcPr>
          <w:p w14:paraId="2DD995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5152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DF0A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211497" w14:textId="77777777">
        <w:tc>
          <w:tcPr>
            <w:tcW w:w="2160" w:type="dxa"/>
            <w:vAlign w:val="center"/>
          </w:tcPr>
          <w:p w14:paraId="31182871"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6D44C2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entire radical radiotherapy process (including external beam radiotherapy (EBRT) and brachytherapy) should be completed within 8 weeks to </w:t>
            </w:r>
            <w:r w:rsidRPr="00CB2EC4">
              <w:rPr>
                <w:rFonts w:ascii="Times New Roman" w:hAnsi="Times New Roman" w:cs="Times New Roman"/>
              </w:rPr>
              <w:lastRenderedPageBreak/>
              <w:t>achieve optimal efficacy. If the treatment duration is too long (e.g., exceeding 9–10 weeks), it will result in a higher pelvic treatment failure rate. Specifically, prolonged treatment time is associated with increased pelvic recurrence risk, as retrospective analyses show that patients whose radiotherapy exceeded 9–10 weeks had significantly higher pelvic failure rates compared to those completing treatment in 6–7 weeks. Therefore, it is particularly important to complete the radiotherapy regimen within the prescribed timeframe, and it is recommended to finish both EBRT and brachytherapy within 8 weeks.</w:t>
            </w:r>
          </w:p>
        </w:tc>
        <w:tc>
          <w:tcPr>
            <w:tcW w:w="1152" w:type="dxa"/>
            <w:vAlign w:val="center"/>
          </w:tcPr>
          <w:p w14:paraId="197AF4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D0854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A933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6E1B435" w14:textId="77777777">
        <w:tc>
          <w:tcPr>
            <w:tcW w:w="2160" w:type="dxa"/>
            <w:vAlign w:val="center"/>
          </w:tcPr>
          <w:p w14:paraId="291FD0FB"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4A0E4DB" w14:textId="77777777" w:rsidR="00922249" w:rsidRPr="00CB2EC4" w:rsidRDefault="003011D5">
            <w:pPr>
              <w:rPr>
                <w:rFonts w:ascii="Times New Roman" w:hAnsi="Times New Roman" w:cs="Times New Roman"/>
              </w:rPr>
            </w:pPr>
            <w:r w:rsidRPr="00CB2EC4">
              <w:rPr>
                <w:rFonts w:ascii="Times New Roman" w:hAnsi="Times New Roman" w:cs="Times New Roman"/>
              </w:rPr>
              <w:t>radical radiotherapy time constraints and consequences of delay</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 Completion deadline: Radical radiotherapy should be completed within 56 days for all external beam radiotherapy and brachytherapy (knowledge base document).  </w:t>
            </w:r>
            <w:r w:rsidRPr="00CB2EC4">
              <w:rPr>
                <w:rFonts w:ascii="Times New Roman" w:hAnsi="Times New Roman" w:cs="Times New Roman"/>
              </w:rPr>
              <w:br/>
              <w:t xml:space="preserve">- Consequences of delay:  </w:t>
            </w:r>
            <w:r w:rsidRPr="00CB2EC4">
              <w:rPr>
                <w:rFonts w:ascii="Times New Roman" w:hAnsi="Times New Roman" w:cs="Times New Roman"/>
              </w:rPr>
              <w:br/>
              <w:t xml:space="preserve">  - Treatment time exceeding 9 weeks (63 days) leads to a significant increase in pelvic control failure rate (knowledge base document).  </w:t>
            </w:r>
            <w:r w:rsidRPr="00CB2EC4">
              <w:rPr>
                <w:rFonts w:ascii="Times New Roman" w:hAnsi="Times New Roman" w:cs="Times New Roman"/>
              </w:rPr>
              <w:br/>
              <w:t xml:space="preserve">  - Delayed treatment may reduce local control rate due to tumor cell repopulation (web search result).  </w:t>
            </w:r>
            <w:r w:rsidRPr="00CB2EC4">
              <w:rPr>
                <w:rFonts w:ascii="Times New Roman" w:hAnsi="Times New Roman" w:cs="Times New Roman"/>
              </w:rPr>
              <w:br/>
            </w:r>
            <w:r w:rsidRPr="00CB2EC4">
              <w:rPr>
                <w:rFonts w:ascii="Times New Roman" w:hAnsi="Times New Roman" w:cs="Times New Roman"/>
              </w:rPr>
              <w:br/>
              <w:t xml:space="preserve">Source notes:  </w:t>
            </w:r>
            <w:r w:rsidRPr="00CB2EC4">
              <w:rPr>
                <w:rFonts w:ascii="Times New Roman" w:hAnsi="Times New Roman" w:cs="Times New Roman"/>
              </w:rPr>
              <w:br/>
              <w:t xml:space="preserve">- The knowledge base document explicitly emphasizes the radiotherapy time limit (56 days) and the risk of increased pelvic control failure rate upon exceeding it.  </w:t>
            </w:r>
            <w:r w:rsidRPr="00CB2EC4">
              <w:rPr>
                <w:rFonts w:ascii="Times New Roman" w:hAnsi="Times New Roman" w:cs="Times New Roman"/>
              </w:rPr>
              <w:br/>
              <w:t>- Web search results supplement the biological mechanism of tumor repopulation.</w:t>
            </w:r>
          </w:p>
        </w:tc>
        <w:tc>
          <w:tcPr>
            <w:tcW w:w="1152" w:type="dxa"/>
            <w:vAlign w:val="center"/>
          </w:tcPr>
          <w:p w14:paraId="6B787D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87FE0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CD232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0216092" w14:textId="77777777">
        <w:tc>
          <w:tcPr>
            <w:tcW w:w="2160" w:type="dxa"/>
            <w:vAlign w:val="center"/>
          </w:tcPr>
          <w:p w14:paraId="6BCB1A1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69B5A19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entire course of radical radiotherapy for locally advanced cervical cancer should be completed within 8 weeks to achieve optimal efficacy.  </w:t>
            </w:r>
            <w:r w:rsidRPr="00CB2EC4">
              <w:rPr>
                <w:rFonts w:ascii="Times New Roman" w:hAnsi="Times New Roman" w:cs="Times New Roman"/>
              </w:rPr>
              <w:br/>
              <w:t xml:space="preserve">if the treatment duration is prolonged, it will lead to a significantly increased pelvic treatment failure rate, meaning a higher risk of local recurrence and reduced therapeutic effectiveness.  </w:t>
            </w:r>
            <w:r w:rsidRPr="00CB2EC4">
              <w:rPr>
                <w:rFonts w:ascii="Times New Roman" w:hAnsi="Times New Roman" w:cs="Times New Roman"/>
              </w:rPr>
              <w:br/>
              <w:t>reason: extending the treatment time may allow tumor cells to repair during radiotherapy intervals, diminish the cytotoxic effect of radiotherapy, and increase the likelihood of treatment failure.</w:t>
            </w:r>
          </w:p>
        </w:tc>
        <w:tc>
          <w:tcPr>
            <w:tcW w:w="1152" w:type="dxa"/>
            <w:vAlign w:val="center"/>
          </w:tcPr>
          <w:p w14:paraId="78056D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45EE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C9AD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38280F" w14:textId="77777777">
        <w:tc>
          <w:tcPr>
            <w:tcW w:w="2160" w:type="dxa"/>
            <w:vAlign w:val="center"/>
          </w:tcPr>
          <w:p w14:paraId="2B828FDD"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AD5EE6C" w14:textId="77777777" w:rsidR="00922249" w:rsidRPr="00CB2EC4" w:rsidRDefault="003011D5">
            <w:pPr>
              <w:rPr>
                <w:rFonts w:ascii="Times New Roman" w:hAnsi="Times New Roman" w:cs="Times New Roman"/>
              </w:rPr>
            </w:pPr>
            <w:r w:rsidRPr="00CB2EC4">
              <w:rPr>
                <w:rFonts w:ascii="Times New Roman" w:hAnsi="Times New Roman" w:cs="Times New Roman"/>
              </w:rPr>
              <w:t>the entire course of radical radiotherapy for locally advanced cervical cancer should be completed within 6 weeks to achieve optimal efficacy. if the treatment duration is prolonged (e.g., beyond 6–8 weeks), it may lead to an increased risk of complications, particularly a higher incidence of ureteral fistula. prolonged treatment time can also result in impaired tissue healing and reduced quality of life due to urinary system complications such as ureteral fistula formation.</w:t>
            </w:r>
          </w:p>
        </w:tc>
        <w:tc>
          <w:tcPr>
            <w:tcW w:w="1152" w:type="dxa"/>
            <w:vAlign w:val="center"/>
          </w:tcPr>
          <w:p w14:paraId="0C2876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75AFC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8899C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463673B" w14:textId="77777777">
        <w:tc>
          <w:tcPr>
            <w:tcW w:w="2160" w:type="dxa"/>
            <w:vAlign w:val="center"/>
          </w:tcPr>
          <w:p w14:paraId="1F65A18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8F2052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entire radical radiotherapy process (including external beam radiotherapy (EBRT) and brachytherapy) should be completed within 8 weeks to achieve optimal efficacy. The document explicitly states: "Retrospective analysis shows that patients whose radiotherapy time exceeds 9~10 weeks have a higher pelvic treatment failure rate compared to those who complete radiotherapy in 6–7 weeks. Therefore, it is particularly important to complete the radiotherapy regimen within the specified time, and it is recommended to finish EBRT and brachytherapy within 8 weeks." (Source: [HyDE similarity: 0.581] </w:t>
            </w:r>
            <w:r w:rsidRPr="00CB2EC4">
              <w:rPr>
                <w:rFonts w:ascii="Times New Roman" w:hAnsi="Times New Roman" w:cs="Times New Roman"/>
              </w:rPr>
              <w:lastRenderedPageBreak/>
              <w:t xml:space="preserve">fragment).  </w:t>
            </w:r>
            <w:r w:rsidRPr="00CB2EC4">
              <w:rPr>
                <w:rFonts w:ascii="Times New Roman" w:hAnsi="Times New Roman" w:cs="Times New Roman"/>
              </w:rPr>
              <w:br/>
              <w:t>If the treatment duration is too long (exceeding 9–10 weeks), it will result in a higher pelvic treatment failure rate, meaning decreased local tumor control and increased risk of recurrence.</w:t>
            </w:r>
          </w:p>
        </w:tc>
        <w:tc>
          <w:tcPr>
            <w:tcW w:w="1152" w:type="dxa"/>
            <w:vAlign w:val="center"/>
          </w:tcPr>
          <w:p w14:paraId="17BD0F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B0E22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5448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81F7E8" w14:textId="77777777">
        <w:tc>
          <w:tcPr>
            <w:tcW w:w="2160" w:type="dxa"/>
            <w:vAlign w:val="center"/>
          </w:tcPr>
          <w:p w14:paraId="047C290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A3E251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response:  </w:t>
            </w:r>
            <w:r w:rsidRPr="00CB2EC4">
              <w:rPr>
                <w:rFonts w:ascii="Times New Roman" w:hAnsi="Times New Roman" w:cs="Times New Roman"/>
              </w:rPr>
              <w:br/>
              <w:t xml:space="preserve">Based on document excerpt 5 (similarity: 0.589), the entire course of radical radiotherapy for locally advanced cervical cancer should be completed within 8 weeks to achieve optimal efficacy. Specifically:  </w:t>
            </w:r>
            <w:r w:rsidRPr="00CB2EC4">
              <w:rPr>
                <w:rFonts w:ascii="Times New Roman" w:hAnsi="Times New Roman" w:cs="Times New Roman"/>
              </w:rPr>
              <w:br/>
              <w:t xml:space="preserve">- Optimal completion time: Document excerpt 5 clearly states: “Retrospective analysis shows that patients whose radiotherapy time exceeds 9–10 weeks have a higher pelvic treatment failure rate compared with those completing radiotherapy in 6–7 weeks. Therefore, it is particularly important to complete the radiotherapy regimen within the prescribed time, and it is recommended to finish EBRT and brachytherapy within 8 weeks.”  </w:t>
            </w:r>
            <w:r w:rsidRPr="00CB2EC4">
              <w:rPr>
                <w:rFonts w:ascii="Times New Roman" w:hAnsi="Times New Roman" w:cs="Times New Roman"/>
              </w:rPr>
              <w:br/>
              <w:t xml:space="preserve">- Consequences of prolonged treatment time: If the treatment duration exceeds 9–10 weeks, it results in a higher pelvic treatment failure rate (i.e., increased risk of local recurrence). Document excerpt 5 mentions: “Patients with radiotherapy time exceeding 9–10 weeks... have a higher pelvic treatment failure rate.”  </w:t>
            </w:r>
            <w:r w:rsidRPr="00CB2EC4">
              <w:rPr>
                <w:rFonts w:ascii="Times New Roman" w:hAnsi="Times New Roman" w:cs="Times New Roman"/>
              </w:rPr>
              <w:br/>
            </w:r>
            <w:r w:rsidRPr="00CB2EC4">
              <w:rPr>
                <w:rFonts w:ascii="Times New Roman" w:hAnsi="Times New Roman" w:cs="Times New Roman"/>
              </w:rPr>
              <w:br/>
              <w:t>Evidence: Document excerpt 5 provides direct evidence emphasizing the importance of completing radiotherapy within the prescribed timeframe to avoid reduced efficacy.</w:t>
            </w:r>
          </w:p>
        </w:tc>
        <w:tc>
          <w:tcPr>
            <w:tcW w:w="1152" w:type="dxa"/>
            <w:vAlign w:val="center"/>
          </w:tcPr>
          <w:p w14:paraId="2D22BF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0FBB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9692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8E3B67" w14:textId="77777777">
        <w:tc>
          <w:tcPr>
            <w:tcW w:w="2160" w:type="dxa"/>
            <w:vAlign w:val="center"/>
          </w:tcPr>
          <w:p w14:paraId="27104557"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640EE1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entire radical radiotherapy process for locally advanced cervical cancer should be completed within 6 weeks to achieve optimal efficacy.  </w:t>
            </w:r>
            <w:r w:rsidRPr="00CB2EC4">
              <w:rPr>
                <w:rFonts w:ascii="Times New Roman" w:hAnsi="Times New Roman" w:cs="Times New Roman"/>
              </w:rPr>
              <w:br/>
            </w:r>
            <w:r w:rsidRPr="00CB2EC4">
              <w:rPr>
                <w:rFonts w:ascii="Times New Roman" w:hAnsi="Times New Roman" w:cs="Times New Roman"/>
              </w:rPr>
              <w:lastRenderedPageBreak/>
              <w:t>if the treatment duration is prolonged, the incidence of ureteral fistula may increase.</w:t>
            </w:r>
          </w:p>
        </w:tc>
        <w:tc>
          <w:tcPr>
            <w:tcW w:w="1152" w:type="dxa"/>
            <w:vAlign w:val="center"/>
          </w:tcPr>
          <w:p w14:paraId="73FA36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0F97B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E0A70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2F33612" w14:textId="77777777">
        <w:tc>
          <w:tcPr>
            <w:tcW w:w="2160" w:type="dxa"/>
            <w:vAlign w:val="center"/>
          </w:tcPr>
          <w:p w14:paraId="5889C37F"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81DBA4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Answer:  </w:t>
            </w:r>
            <w:r w:rsidRPr="00CB2EC4">
              <w:rPr>
                <w:rFonts w:ascii="Times New Roman" w:hAnsi="Times New Roman" w:cs="Times New Roman"/>
              </w:rPr>
              <w:br/>
              <w:t xml:space="preserve">  According to the provided information (document fragment 11), a retrospective analysis showed that patients whose radiotherapy duration exceeded 9–10 weeks had a higher pelvic treatment failure rate compared to those who completed radiotherapy within 6–7 weeks. Therefore, it is recommended that the entire course of radical radiotherapy (including external beam radiotherapy (EBRT) and brachytherapy) be completed within 8 weeks to achieve optimal efficacy. If the treatment duration is too long (e.g., exceeding 9–10 weeks), it will result in a significantly increased pelvic treatment failure rate, meaning higher risk of poor local tumor control or recurrence.</w:t>
            </w:r>
          </w:p>
        </w:tc>
        <w:tc>
          <w:tcPr>
            <w:tcW w:w="1152" w:type="dxa"/>
            <w:vAlign w:val="center"/>
          </w:tcPr>
          <w:p w14:paraId="677EFE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EE63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647B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42608E" w14:textId="77777777">
        <w:tc>
          <w:tcPr>
            <w:tcW w:w="2160" w:type="dxa"/>
            <w:vAlign w:val="center"/>
          </w:tcPr>
          <w:p w14:paraId="276E3DD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B47FB4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radical radiotherapy for locally advanced cervical cancer, the entire treatment course should be completed within 7–8 weeks (approximately 56 days) to achieve optimal efficacy.  </w:t>
            </w:r>
            <w:r w:rsidRPr="00CB2EC4">
              <w:rPr>
                <w:rFonts w:ascii="Times New Roman" w:hAnsi="Times New Roman" w:cs="Times New Roman"/>
              </w:rPr>
              <w:br/>
              <w:t>- consequences of prolonged treatment time: if the treatment duration exceeds 8 weeks, the risk of tumor cell repopulation increases, leading to reduced local control rates, increased risk of recurrence, and potentially decreased overall survival.</w:t>
            </w:r>
          </w:p>
        </w:tc>
        <w:tc>
          <w:tcPr>
            <w:tcW w:w="1152" w:type="dxa"/>
            <w:vAlign w:val="center"/>
          </w:tcPr>
          <w:p w14:paraId="237FFB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FE44C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4CAA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2119D1" w14:textId="77777777">
        <w:tc>
          <w:tcPr>
            <w:tcW w:w="2160" w:type="dxa"/>
            <w:vAlign w:val="center"/>
          </w:tcPr>
          <w:p w14:paraId="597F03D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8C2802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entire course of radical radiotherapy for locally advanced cervical cancer should be completed within 8 weeks to achieve optimal efficacy.  </w:t>
            </w:r>
            <w:r w:rsidRPr="00CB2EC4">
              <w:rPr>
                <w:rFonts w:ascii="Times New Roman" w:hAnsi="Times New Roman" w:cs="Times New Roman"/>
              </w:rPr>
              <w:br/>
              <w:t xml:space="preserve">- Consequences of prolonged treatment time: If the duration exceeds 9–10 weeks, it significantly increases the pelvic treatment failure rate (i.e., the risk of local recurrence).  </w:t>
            </w:r>
            <w:r w:rsidRPr="00CB2EC4">
              <w:rPr>
                <w:rFonts w:ascii="Times New Roman" w:hAnsi="Times New Roman" w:cs="Times New Roman"/>
              </w:rPr>
              <w:br/>
            </w:r>
            <w:r w:rsidRPr="00CB2EC4">
              <w:rPr>
                <w:rFonts w:ascii="Times New Roman" w:hAnsi="Times New Roman" w:cs="Times New Roman"/>
              </w:rPr>
              <w:lastRenderedPageBreak/>
              <w:br/>
              <w:t>&gt; *Source: Fragment 12 (relevance 0.7190) explicitly states: "Retrospective analysis shows that patients with a radiotherapy time exceeding 9~10 weeks had a higher pelvic treatment failure rate compared to those completing radiotherapy in 6–7 weeks. Therefore... it is recommended to complete EBRT and brachytherapy within 8 weeks."*</w:t>
            </w:r>
          </w:p>
        </w:tc>
        <w:tc>
          <w:tcPr>
            <w:tcW w:w="1152" w:type="dxa"/>
            <w:vAlign w:val="center"/>
          </w:tcPr>
          <w:p w14:paraId="58BA60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2671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D51F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17C5A2" w14:textId="77777777">
        <w:tc>
          <w:tcPr>
            <w:tcW w:w="2160" w:type="dxa"/>
            <w:vAlign w:val="center"/>
          </w:tcPr>
          <w:p w14:paraId="19E81C8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89A2F77" w14:textId="77777777" w:rsidR="00922249" w:rsidRPr="00CB2EC4" w:rsidRDefault="003011D5">
            <w:pPr>
              <w:rPr>
                <w:rFonts w:ascii="Times New Roman" w:hAnsi="Times New Roman" w:cs="Times New Roman"/>
              </w:rPr>
            </w:pPr>
            <w:r w:rsidRPr="00CB2EC4">
              <w:rPr>
                <w:rFonts w:ascii="Times New Roman" w:hAnsi="Times New Roman" w:cs="Times New Roman"/>
              </w:rPr>
              <w:t>the entire course of radical radiotherapy for locally advanced cervical cancer should be completed within 8 weeks to achieve optimal efficacy. if the treatment duration is prolonged (beyond 9–10 weeks), it will lead to a significant increase in pelvic treatment failure rates, i.e., elevated risk of local recurrence. specifically, retrospective analyses show that patients whose radiotherapy extends beyond 9–10 weeks have higher pelvic failure rates compared to those completing treatment within 6–7 weeks; therefore, emphasis is placed on completing treatment within the prescribed timeframe to reduce recurrence risk.</w:t>
            </w:r>
          </w:p>
        </w:tc>
        <w:tc>
          <w:tcPr>
            <w:tcW w:w="1152" w:type="dxa"/>
            <w:vAlign w:val="center"/>
          </w:tcPr>
          <w:p w14:paraId="4E1BE7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93FD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6BBB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8CA3EC" w14:textId="77777777">
        <w:tc>
          <w:tcPr>
            <w:tcW w:w="2160" w:type="dxa"/>
            <w:vAlign w:val="center"/>
          </w:tcPr>
          <w:p w14:paraId="0E05A0D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8F7E21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optimal treatment duration: radical radiotherapy (including external beam radiotherapy and brachytherapy) should be completed within 7–8 weeks (approximately 56 days) to achieve the best local control rate and survival rate.  </w:t>
            </w:r>
            <w:r w:rsidRPr="00CB2EC4">
              <w:rPr>
                <w:rFonts w:ascii="Times New Roman" w:hAnsi="Times New Roman" w:cs="Times New Roman"/>
              </w:rPr>
              <w:br/>
              <w:t>- consequences of prolonged treatment time: if the treatment duration extends beyond 8 weeks, it leads to an increased risk of local recurrence and decreased overall survival rate, due to potential tumor cell repopulation during the radiotherapy intervals.</w:t>
            </w:r>
          </w:p>
        </w:tc>
        <w:tc>
          <w:tcPr>
            <w:tcW w:w="1152" w:type="dxa"/>
            <w:vAlign w:val="center"/>
          </w:tcPr>
          <w:p w14:paraId="28A8AC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EC7E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BB4D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AF66439" w14:textId="77777777">
        <w:tc>
          <w:tcPr>
            <w:tcW w:w="10656" w:type="dxa"/>
            <w:gridSpan w:val="5"/>
            <w:tcBorders>
              <w:bottom w:val="single" w:sz="6" w:space="0" w:color="auto"/>
            </w:tcBorders>
            <w:vAlign w:val="center"/>
          </w:tcPr>
          <w:p w14:paraId="5A794FC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87: When delivering pelvic external beam radiotherapy (EBRT), how are the superior, inferior, and lateral borders of the "AP-PA fields" (anteroposterior-posteroanterior fields) defined according to the guidelines?</w:t>
            </w:r>
          </w:p>
        </w:tc>
      </w:tr>
      <w:tr w:rsidR="00922249" w:rsidRPr="00CB2EC4" w14:paraId="1E9CABCF" w14:textId="77777777">
        <w:tc>
          <w:tcPr>
            <w:tcW w:w="2160" w:type="dxa"/>
            <w:vAlign w:val="center"/>
          </w:tcPr>
          <w:p w14:paraId="596FE43A"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493794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performing external beam radiotherapy (EBRT) </w:t>
            </w:r>
            <w:r w:rsidRPr="00CB2EC4">
              <w:rPr>
                <w:rFonts w:ascii="Times New Roman" w:hAnsi="Times New Roman" w:cs="Times New Roman"/>
              </w:rPr>
              <w:lastRenderedPageBreak/>
              <w:t>to the pelvis, the guidelines specify the following boundaries for the "AP-PA field" (anteroposterior-posteroanterior field):</w:t>
            </w:r>
            <w:r w:rsidRPr="00CB2EC4">
              <w:rPr>
                <w:rFonts w:ascii="Times New Roman" w:hAnsi="Times New Roman" w:cs="Times New Roman"/>
              </w:rPr>
              <w:br/>
            </w:r>
            <w:r w:rsidRPr="00CB2EC4">
              <w:rPr>
                <w:rFonts w:ascii="Times New Roman" w:hAnsi="Times New Roman" w:cs="Times New Roman"/>
              </w:rPr>
              <w:br/>
              <w:t xml:space="preserve">- Superior border: Level of the L4-5 intervertebral space.  </w:t>
            </w:r>
            <w:r w:rsidRPr="00CB2EC4">
              <w:rPr>
                <w:rFonts w:ascii="Times New Roman" w:hAnsi="Times New Roman" w:cs="Times New Roman"/>
              </w:rPr>
              <w:br/>
              <w:t xml:space="preserve">- Inferior border: 2 cm below the obturator foramen or 3 cm below the inferior tumor margin, whichever is lower (i.e., the more conservative value is used).  </w:t>
            </w:r>
            <w:r w:rsidRPr="00CB2EC4">
              <w:rPr>
                <w:rFonts w:ascii="Times New Roman" w:hAnsi="Times New Roman" w:cs="Times New Roman"/>
              </w:rPr>
              <w:br/>
              <w:t xml:space="preserve">- Lateral borders: 1.5–2 cm lateral to the pelvic sidewall margins.  </w:t>
            </w:r>
            <w:r w:rsidRPr="00CB2EC4">
              <w:rPr>
                <w:rFonts w:ascii="Times New Roman" w:hAnsi="Times New Roman" w:cs="Times New Roman"/>
              </w:rPr>
              <w:br/>
              <w:t>- Reference: As detailed in Table 3 of the document (similarity: 0.543), which outlines pelvic EBRT field design: “AP-PA field: superior border at the L4-5 intervertebral space level; inferior border 2 cm below the obturator foramen or 3 cm below the tumor inferior margin, whichever is lower; lateral borders 1.5–2 cm lateral to the pelvic sidewall margins.” This ensures adequate coverage of the target volume while sparing surrounding normal tissues.</w:t>
            </w:r>
          </w:p>
        </w:tc>
        <w:tc>
          <w:tcPr>
            <w:tcW w:w="1152" w:type="dxa"/>
            <w:vAlign w:val="center"/>
          </w:tcPr>
          <w:p w14:paraId="18A0B4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44B0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2D65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36B15C5" w14:textId="77777777">
        <w:tc>
          <w:tcPr>
            <w:tcW w:w="2160" w:type="dxa"/>
            <w:vAlign w:val="center"/>
          </w:tcPr>
          <w:p w14:paraId="7B77EDC7"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2E9D35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upper boundary: at the level of the L4-5 intervertebral space (i.e., between the fourth and fifth lumbar vertebrae).  </w:t>
            </w:r>
            <w:r w:rsidRPr="00CB2EC4">
              <w:rPr>
                <w:rFonts w:ascii="Times New Roman" w:hAnsi="Times New Roman" w:cs="Times New Roman"/>
              </w:rPr>
              <w:br/>
              <w:t xml:space="preserve">the lower boundary: 2 cm below the obturator foramen or 3 cm below the inferior tumor margin, whichever is lower.  </w:t>
            </w:r>
            <w:r w:rsidRPr="00CB2EC4">
              <w:rPr>
                <w:rFonts w:ascii="Times New Roman" w:hAnsi="Times New Roman" w:cs="Times New Roman"/>
              </w:rPr>
              <w:br/>
              <w:t xml:space="preserve">the lateral boundaries: 1.5–2 cm lateral to the pelvic sidewall margins.  </w:t>
            </w:r>
            <w:r w:rsidRPr="00CB2EC4">
              <w:rPr>
                <w:rFonts w:ascii="Times New Roman" w:hAnsi="Times New Roman" w:cs="Times New Roman"/>
              </w:rPr>
              <w:br/>
            </w:r>
            <w:r w:rsidRPr="00CB2EC4">
              <w:rPr>
                <w:rFonts w:ascii="Times New Roman" w:hAnsi="Times New Roman" w:cs="Times New Roman"/>
              </w:rPr>
              <w:br/>
              <w:t xml:space="preserve">These boundaries ensure adequate coverage of the primary cervical cancer lesion and potential lymphatic spread while sparing surrounding normal tissues. The standard applies to conventional external beam radiotherapy (EBRT) regimens for cervical cancer as </w:t>
            </w:r>
            <w:r w:rsidRPr="00CB2EC4">
              <w:rPr>
                <w:rFonts w:ascii="Times New Roman" w:hAnsi="Times New Roman" w:cs="Times New Roman"/>
              </w:rPr>
              <w:lastRenderedPageBreak/>
              <w:t>specified in the referenced guideline.</w:t>
            </w:r>
          </w:p>
        </w:tc>
        <w:tc>
          <w:tcPr>
            <w:tcW w:w="1152" w:type="dxa"/>
            <w:vAlign w:val="center"/>
          </w:tcPr>
          <w:p w14:paraId="1F5EA2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8DE5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B095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CC476D" w14:textId="77777777">
        <w:tc>
          <w:tcPr>
            <w:tcW w:w="2160" w:type="dxa"/>
            <w:vAlign w:val="center"/>
          </w:tcPr>
          <w:p w14:paraId="5E2EED13"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949C8D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upper boundary: at the level of the L4-5 intervertebral space.  </w:t>
            </w:r>
            <w:r w:rsidRPr="00CB2EC4">
              <w:rPr>
                <w:rFonts w:ascii="Times New Roman" w:hAnsi="Times New Roman" w:cs="Times New Roman"/>
              </w:rPr>
              <w:br/>
              <w:t xml:space="preserve">the lower boundary: 2 cm below the obturator foramen or 3 cm below the tumor inferior margin, whichever is lower.  </w:t>
            </w:r>
            <w:r w:rsidRPr="00CB2EC4">
              <w:rPr>
                <w:rFonts w:ascii="Times New Roman" w:hAnsi="Times New Roman" w:cs="Times New Roman"/>
              </w:rPr>
              <w:br/>
              <w:t>the lateral boundaries: 1.5–2 cm lateral to the pelvic sidewall margins.</w:t>
            </w:r>
          </w:p>
        </w:tc>
        <w:tc>
          <w:tcPr>
            <w:tcW w:w="1152" w:type="dxa"/>
            <w:vAlign w:val="center"/>
          </w:tcPr>
          <w:p w14:paraId="2EA9EE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38A9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C46E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4AB1FE" w14:textId="77777777">
        <w:tc>
          <w:tcPr>
            <w:tcW w:w="2160" w:type="dxa"/>
            <w:vAlign w:val="center"/>
          </w:tcPr>
          <w:p w14:paraId="19DCEA8E"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B1F07C7" w14:textId="77777777" w:rsidR="00922249" w:rsidRPr="00CB2EC4" w:rsidRDefault="003011D5">
            <w:pPr>
              <w:rPr>
                <w:rFonts w:ascii="Times New Roman" w:hAnsi="Times New Roman" w:cs="Times New Roman"/>
              </w:rPr>
            </w:pPr>
            <w:r w:rsidRPr="00CB2EC4">
              <w:rPr>
                <w:rFonts w:ascii="Times New Roman" w:hAnsi="Times New Roman" w:cs="Times New Roman"/>
              </w:rPr>
              <w:t>AP-PA field boundary setting</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According to the irradiation field design standards in the knowledge base document:  </w:t>
            </w:r>
            <w:r w:rsidRPr="00CB2EC4">
              <w:rPr>
                <w:rFonts w:ascii="Times New Roman" w:hAnsi="Times New Roman" w:cs="Times New Roman"/>
              </w:rPr>
              <w:br/>
              <w:t xml:space="preserve">- Superior boundary: Level of the L4-L5 intervertebral space (to cover the common iliac lymph nodes).  </w:t>
            </w:r>
            <w:r w:rsidRPr="00CB2EC4">
              <w:rPr>
                <w:rFonts w:ascii="Times New Roman" w:hAnsi="Times New Roman" w:cs="Times New Roman"/>
              </w:rPr>
              <w:br/>
              <w:t xml:space="preserve">- Inferior boundary: 2 cm below the lower margin of the obturator foramen or 3 cm below the lower margin of the tumor (whichever is lower).  </w:t>
            </w:r>
            <w:r w:rsidRPr="00CB2EC4">
              <w:rPr>
                <w:rFonts w:ascii="Times New Roman" w:hAnsi="Times New Roman" w:cs="Times New Roman"/>
              </w:rPr>
              <w:br/>
              <w:t>- Lateral boundary: Extends outward from the true pelvic margin.</w:t>
            </w:r>
          </w:p>
        </w:tc>
        <w:tc>
          <w:tcPr>
            <w:tcW w:w="1152" w:type="dxa"/>
            <w:vAlign w:val="center"/>
          </w:tcPr>
          <w:p w14:paraId="007A2D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4334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4D79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D24D5E9" w14:textId="77777777">
        <w:tc>
          <w:tcPr>
            <w:tcW w:w="2160" w:type="dxa"/>
            <w:vAlign w:val="center"/>
          </w:tcPr>
          <w:p w14:paraId="2E9B28A7"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1735E2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boundaries of the "AP-PA field" (anteroposterior-posteroanterior field) in external beam radiotherapy (EBRT) for the pelvis are set as follows:  </w:t>
            </w:r>
            <w:r w:rsidRPr="00CB2EC4">
              <w:rPr>
                <w:rFonts w:ascii="Times New Roman" w:hAnsi="Times New Roman" w:cs="Times New Roman"/>
              </w:rPr>
              <w:br/>
              <w:t xml:space="preserve">- Superior border: at the level of the L4-5 intervertebral space.  </w:t>
            </w:r>
            <w:r w:rsidRPr="00CB2EC4">
              <w:rPr>
                <w:rFonts w:ascii="Times New Roman" w:hAnsi="Times New Roman" w:cs="Times New Roman"/>
              </w:rPr>
              <w:br/>
              <w:t xml:space="preserve">- Inferior border: 2 cm below the obturator foramen or 3 cm below the inferior tumor margin, whichever is lower.  </w:t>
            </w:r>
            <w:r w:rsidRPr="00CB2EC4">
              <w:rPr>
                <w:rFonts w:ascii="Times New Roman" w:hAnsi="Times New Roman" w:cs="Times New Roman"/>
              </w:rPr>
              <w:br/>
              <w:t xml:space="preserve">- Lateral borders: 1.5–2 cm lateral to the pelvic sidewall margins.  </w:t>
            </w:r>
            <w:r w:rsidRPr="00CB2EC4">
              <w:rPr>
                <w:rFonts w:ascii="Times New Roman" w:hAnsi="Times New Roman" w:cs="Times New Roman"/>
              </w:rPr>
              <w:br/>
            </w:r>
            <w:r w:rsidRPr="00CB2EC4">
              <w:rPr>
                <w:rFonts w:ascii="Times New Roman" w:hAnsi="Times New Roman" w:cs="Times New Roman"/>
              </w:rPr>
              <w:br/>
              <w:t xml:space="preserve">as explicitly stated in document fragment 6: "AP-PA irradiation field (anteroposterior-posteroanterior </w:t>
            </w:r>
            <w:r w:rsidRPr="00CB2EC4">
              <w:rPr>
                <w:rFonts w:ascii="Times New Roman" w:hAnsi="Times New Roman" w:cs="Times New Roman"/>
              </w:rPr>
              <w:lastRenderedPageBreak/>
              <w:t>field): superior border at the L4-5 intervertebral space level; inferior border 2 cm below the obturator foramen or 3 cm below the tumor inferior margin, whichever is lower; lateral borders 1.5–2 cm lateral to the pelvic sidewall margins." these settings aim to adequately cover the tumor volume while sparing surrounding normal tissues.</w:t>
            </w:r>
          </w:p>
        </w:tc>
        <w:tc>
          <w:tcPr>
            <w:tcW w:w="1152" w:type="dxa"/>
            <w:vAlign w:val="center"/>
          </w:tcPr>
          <w:p w14:paraId="11F066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A280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169A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AEAA4F" w14:textId="77777777">
        <w:tc>
          <w:tcPr>
            <w:tcW w:w="2160" w:type="dxa"/>
            <w:vAlign w:val="center"/>
          </w:tcPr>
          <w:p w14:paraId="492F1C44"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F5C47A1" w14:textId="77777777" w:rsidR="00922249" w:rsidRPr="00CB2EC4" w:rsidRDefault="003011D5">
            <w:pPr>
              <w:rPr>
                <w:rFonts w:ascii="Times New Roman" w:hAnsi="Times New Roman" w:cs="Times New Roman"/>
              </w:rPr>
            </w:pPr>
            <w:r w:rsidRPr="00CB2EC4">
              <w:rPr>
                <w:rFonts w:ascii="Times New Roman" w:hAnsi="Times New Roman" w:cs="Times New Roman"/>
              </w:rPr>
              <w:t>when performing external beam radiotherapy (EBRT) to the pelvis, the superior and inferior as well as lateral boundaries of the "AP-PA field" (anteroposterior-posteroanterior field) described in the guidelines are set as follows:</w:t>
            </w:r>
            <w:r w:rsidRPr="00CB2EC4">
              <w:rPr>
                <w:rFonts w:ascii="Times New Roman" w:hAnsi="Times New Roman" w:cs="Times New Roman"/>
              </w:rPr>
              <w:br/>
            </w:r>
            <w:r w:rsidRPr="00CB2EC4">
              <w:rPr>
                <w:rFonts w:ascii="Times New Roman" w:hAnsi="Times New Roman" w:cs="Times New Roman"/>
              </w:rPr>
              <w:br/>
              <w:t>- Superior boundary: at the level of the L4-5 intervertebral space (i.e., the interspace between the fourth and fifth lumbar vertebrae).</w:t>
            </w:r>
            <w:r w:rsidRPr="00CB2EC4">
              <w:rPr>
                <w:rFonts w:ascii="Times New Roman" w:hAnsi="Times New Roman" w:cs="Times New Roman"/>
              </w:rPr>
              <w:br/>
              <w:t>- Inferior boundary: 2 cm below the obturator foramen or 3 cm below the inferior edge of the tumor, whichever is lower (i.e., the more conservative boundary is selected).</w:t>
            </w:r>
            <w:r w:rsidRPr="00CB2EC4">
              <w:rPr>
                <w:rFonts w:ascii="Times New Roman" w:hAnsi="Times New Roman" w:cs="Times New Roman"/>
              </w:rPr>
              <w:br/>
              <w:t>- Lateral boundaries: 1.5–2 cm lateral to the edge of the pelvic wall (i.e., extending outward 1.5–2 cm from the bony margin of the pelvis).</w:t>
            </w:r>
            <w:r w:rsidRPr="00CB2EC4">
              <w:rPr>
                <w:rFonts w:ascii="Times New Roman" w:hAnsi="Times New Roman" w:cs="Times New Roman"/>
              </w:rPr>
              <w:br/>
            </w:r>
            <w:r w:rsidRPr="00CB2EC4">
              <w:rPr>
                <w:rFonts w:ascii="Times New Roman" w:hAnsi="Times New Roman" w:cs="Times New Roman"/>
              </w:rPr>
              <w:br/>
              <w:t>These settings ensure adequate coverage of the primary cervical cancer lesion and potential spread areas while maximizing protection of surrounding normal tissues (such as the bladder and rectum). Document 5 emphasizes that this standard is based on anatomical landmark localization to optimize dose distribution and therapeutic outcomes.</w:t>
            </w:r>
          </w:p>
        </w:tc>
        <w:tc>
          <w:tcPr>
            <w:tcW w:w="1152" w:type="dxa"/>
            <w:vAlign w:val="center"/>
          </w:tcPr>
          <w:p w14:paraId="0234A6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EB4E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1F52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4614FBF" w14:textId="77777777">
        <w:tc>
          <w:tcPr>
            <w:tcW w:w="2160" w:type="dxa"/>
            <w:vAlign w:val="center"/>
          </w:tcPr>
          <w:p w14:paraId="49C896A7"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F486B7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performing external beam radiation therapy (EBRT) to the pelvis, the guidelines describe the </w:t>
            </w:r>
            <w:r w:rsidRPr="00CB2EC4">
              <w:rPr>
                <w:rFonts w:ascii="Times New Roman" w:hAnsi="Times New Roman" w:cs="Times New Roman"/>
              </w:rPr>
              <w:lastRenderedPageBreak/>
              <w:t>superior, inferior, and lateral boundaries of the "AP-PA field" (anteroposterior-posteroanterior field) as follows:</w:t>
            </w:r>
            <w:r w:rsidRPr="00CB2EC4">
              <w:rPr>
                <w:rFonts w:ascii="Times New Roman" w:hAnsi="Times New Roman" w:cs="Times New Roman"/>
              </w:rPr>
              <w:br/>
            </w:r>
            <w:r w:rsidRPr="00CB2EC4">
              <w:rPr>
                <w:rFonts w:ascii="Times New Roman" w:hAnsi="Times New Roman" w:cs="Times New Roman"/>
              </w:rPr>
              <w:br/>
              <w:t xml:space="preserve">- Superior boundary: at the L4-L5 intervertebral space.  </w:t>
            </w:r>
            <w:r w:rsidRPr="00CB2EC4">
              <w:rPr>
                <w:rFonts w:ascii="Times New Roman" w:hAnsi="Times New Roman" w:cs="Times New Roman"/>
              </w:rPr>
              <w:br/>
              <w:t xml:space="preserve">- Inferior boundary: at the lower margin of the obturator foramen or 3–4 cm below the inferior edge of the tumor.  </w:t>
            </w:r>
            <w:r w:rsidRPr="00CB2EC4">
              <w:rPr>
                <w:rFonts w:ascii="Times New Roman" w:hAnsi="Times New Roman" w:cs="Times New Roman"/>
              </w:rPr>
              <w:br/>
              <w:t xml:space="preserve">- Lateral boundaries: 1.5–2 cm outside the true pelvis.  </w:t>
            </w:r>
            <w:r w:rsidRPr="00CB2EC4">
              <w:rPr>
                <w:rFonts w:ascii="Times New Roman" w:hAnsi="Times New Roman" w:cs="Times New Roman"/>
              </w:rPr>
              <w:br/>
            </w:r>
            <w:r w:rsidRPr="00CB2EC4">
              <w:rPr>
                <w:rFonts w:ascii="Times New Roman" w:hAnsi="Times New Roman" w:cs="Times New Roman"/>
              </w:rPr>
              <w:br/>
              <w:t>Specific reference: "Pelvic EBRT field: AP-PA field is recommended, with the superior boundary at the L4-L5 intervertebral space, the inferior boundary at the lower margin of the obturator foramen or 3–4 cm below the inferior edge of the tumor, and the lateral boundaries 1.5–2 cm outside the true pelvis." (Source: [HyDE similarity: 0.569] fragment).</w:t>
            </w:r>
          </w:p>
        </w:tc>
        <w:tc>
          <w:tcPr>
            <w:tcW w:w="1152" w:type="dxa"/>
            <w:vAlign w:val="center"/>
          </w:tcPr>
          <w:p w14:paraId="084FBC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6004A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24D7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A4BAA93" w14:textId="77777777">
        <w:tc>
          <w:tcPr>
            <w:tcW w:w="2160" w:type="dxa"/>
            <w:vAlign w:val="center"/>
          </w:tcPr>
          <w:p w14:paraId="743D020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384278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boundaries of the "AP-PA field" (anteroposterior-posteroanterior field) in external beam radiotherapy (EBRT) for the pelvis are set as follows:  </w:t>
            </w:r>
            <w:r w:rsidRPr="00CB2EC4">
              <w:rPr>
                <w:rFonts w:ascii="Times New Roman" w:hAnsi="Times New Roman" w:cs="Times New Roman"/>
              </w:rPr>
              <w:br/>
              <w:t xml:space="preserve">- Superior border: at the level of the L4-5 intervertebral space.  </w:t>
            </w:r>
            <w:r w:rsidRPr="00CB2EC4">
              <w:rPr>
                <w:rFonts w:ascii="Times New Roman" w:hAnsi="Times New Roman" w:cs="Times New Roman"/>
              </w:rPr>
              <w:br/>
              <w:t xml:space="preserve">- Inferior border: 2 cm below the obturator foramen or 3 cm below the inferior margin of the tumor, whichever is lower.  </w:t>
            </w:r>
            <w:r w:rsidRPr="00CB2EC4">
              <w:rPr>
                <w:rFonts w:ascii="Times New Roman" w:hAnsi="Times New Roman" w:cs="Times New Roman"/>
              </w:rPr>
              <w:br/>
              <w:t>- Lateral borders: 1.5–2 cm lateral to the pelvic sidewall margins.</w:t>
            </w:r>
          </w:p>
        </w:tc>
        <w:tc>
          <w:tcPr>
            <w:tcW w:w="1152" w:type="dxa"/>
            <w:vAlign w:val="center"/>
          </w:tcPr>
          <w:p w14:paraId="5FEE38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E8E6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DD85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63D3D3" w14:textId="77777777">
        <w:tc>
          <w:tcPr>
            <w:tcW w:w="2160" w:type="dxa"/>
            <w:vAlign w:val="center"/>
          </w:tcPr>
          <w:p w14:paraId="43DBBA5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F87AB70" w14:textId="77777777" w:rsidR="00922249" w:rsidRPr="00CB2EC4" w:rsidRDefault="003011D5">
            <w:pPr>
              <w:rPr>
                <w:rFonts w:ascii="Times New Roman" w:hAnsi="Times New Roman" w:cs="Times New Roman"/>
              </w:rPr>
            </w:pPr>
            <w:r w:rsidRPr="00CB2EC4">
              <w:rPr>
                <w:rFonts w:ascii="Times New Roman" w:hAnsi="Times New Roman" w:cs="Times New Roman"/>
              </w:rPr>
              <w:t>during external beam radiotherapy (EBRT) for the pelvis, the boundaries of the "AP-PA field" (anteroposterior-posteroanterior field) as described in the guidelines are set as follows: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Superior border: at the level of the L4-5 intervertebral space.</w:t>
            </w:r>
            <w:r w:rsidRPr="00CB2EC4">
              <w:rPr>
                <w:rFonts w:ascii="Times New Roman" w:hAnsi="Times New Roman" w:cs="Times New Roman"/>
              </w:rPr>
              <w:br/>
              <w:t>- Inferior border: 2 cm below the obturator foramen or 3 cm below the inferior edge of the tumor (whichever is lower).</w:t>
            </w:r>
            <w:r w:rsidRPr="00CB2EC4">
              <w:rPr>
                <w:rFonts w:ascii="Times New Roman" w:hAnsi="Times New Roman" w:cs="Times New Roman"/>
              </w:rPr>
              <w:br/>
              <w:t>- Lateral borders: 1.5–2 cm beyond the edge of the pelvic sidewall.</w:t>
            </w:r>
            <w:r w:rsidRPr="00CB2EC4">
              <w:rPr>
                <w:rFonts w:ascii="Times New Roman" w:hAnsi="Times New Roman" w:cs="Times New Roman"/>
              </w:rPr>
              <w:br/>
            </w:r>
            <w:r w:rsidRPr="00CB2EC4">
              <w:rPr>
                <w:rFonts w:ascii="Times New Roman" w:hAnsi="Times New Roman" w:cs="Times New Roman"/>
              </w:rPr>
              <w:br/>
              <w:t>this configuration is based on tabular descriptions and aims to cover the pelvic target volume while sparing normal tissues.</w:t>
            </w:r>
          </w:p>
        </w:tc>
        <w:tc>
          <w:tcPr>
            <w:tcW w:w="1152" w:type="dxa"/>
            <w:vAlign w:val="center"/>
          </w:tcPr>
          <w:p w14:paraId="72C8C4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B30C4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E1F4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150109" w14:textId="77777777">
        <w:tc>
          <w:tcPr>
            <w:tcW w:w="2160" w:type="dxa"/>
            <w:vAlign w:val="center"/>
          </w:tcPr>
          <w:p w14:paraId="43C235A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C91D02B"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 the provided context discusses the extent of EBRT (e.g., "pelvis ± para-aortic region"), dose, and techniques such as conformal intensity-modulated radiotherapy, but does not specify the exact boundaries for the superior-inferior and lateral margins of the "AP-PA field" as described in guidelines.</w:t>
            </w:r>
          </w:p>
        </w:tc>
        <w:tc>
          <w:tcPr>
            <w:tcW w:w="1152" w:type="dxa"/>
            <w:vAlign w:val="center"/>
          </w:tcPr>
          <w:p w14:paraId="50EBBC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EA905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534BB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5C8A0A2" w14:textId="77777777">
        <w:tc>
          <w:tcPr>
            <w:tcW w:w="2160" w:type="dxa"/>
            <w:vAlign w:val="center"/>
          </w:tcPr>
          <w:p w14:paraId="17D58925"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5FAFFDE" w14:textId="77777777" w:rsidR="00922249" w:rsidRPr="00CB2EC4" w:rsidRDefault="003011D5">
            <w:pPr>
              <w:rPr>
                <w:rFonts w:ascii="Times New Roman" w:hAnsi="Times New Roman" w:cs="Times New Roman"/>
              </w:rPr>
            </w:pPr>
            <w:r w:rsidRPr="00CB2EC4">
              <w:rPr>
                <w:rFonts w:ascii="Times New Roman" w:hAnsi="Times New Roman" w:cs="Times New Roman"/>
              </w:rPr>
              <w:t>boundary setting: according to the CSCO cervical cancer clinical practice guidelines 2023, the boundaries of the AP-PA radiation field are set as follows:</w:t>
            </w:r>
            <w:r w:rsidRPr="00CB2EC4">
              <w:rPr>
                <w:rFonts w:ascii="Times New Roman" w:hAnsi="Times New Roman" w:cs="Times New Roman"/>
              </w:rPr>
              <w:br/>
              <w:t xml:space="preserve">  - superior border: at the level of L4-L5 vertebral bodies.</w:t>
            </w:r>
            <w:r w:rsidRPr="00CB2EC4">
              <w:rPr>
                <w:rFonts w:ascii="Times New Roman" w:hAnsi="Times New Roman" w:cs="Times New Roman"/>
              </w:rPr>
              <w:br/>
              <w:t xml:space="preserve">  - inferior border: 2 cm below the obturator foramen or 3 cm below the inferior edge of the tumor, whichever is lower (i.e., the more conservative value is chosen to ensure tumor coverage while sparing normal tissues).</w:t>
            </w:r>
            <w:r w:rsidRPr="00CB2EC4">
              <w:rPr>
                <w:rFonts w:ascii="Times New Roman" w:hAnsi="Times New Roman" w:cs="Times New Roman"/>
              </w:rPr>
              <w:br/>
              <w:t xml:space="preserve">  - lateral borders: 1.5–2 cm lateral to the true bony pelvis boundaries (i.e., extending outward from the pelvic sidewalls by 1.5–2 cm to cover potential spread regions).</w:t>
            </w:r>
            <w:r w:rsidRPr="00CB2EC4">
              <w:rPr>
                <w:rFonts w:ascii="Times New Roman" w:hAnsi="Times New Roman" w:cs="Times New Roman"/>
              </w:rPr>
              <w:br/>
            </w:r>
            <w:r w:rsidRPr="00CB2EC4">
              <w:rPr>
                <w:rFonts w:ascii="Times New Roman" w:hAnsi="Times New Roman" w:cs="Times New Roman"/>
              </w:rPr>
              <w:lastRenderedPageBreak/>
              <w:t>- this configuration aims to adequately cover the primary tumor and regional lymph nodes while minimizing radiation-induced injury to normal tissues.</w:t>
            </w:r>
          </w:p>
        </w:tc>
        <w:tc>
          <w:tcPr>
            <w:tcW w:w="1152" w:type="dxa"/>
            <w:vAlign w:val="center"/>
          </w:tcPr>
          <w:p w14:paraId="3936E7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49C9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BBBFC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95EAFD" w14:textId="77777777">
        <w:tc>
          <w:tcPr>
            <w:tcW w:w="2160" w:type="dxa"/>
            <w:vAlign w:val="center"/>
          </w:tcPr>
          <w:p w14:paraId="7CC70C9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B3BD1D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boundary setting standards (document fragment 11):  </w:t>
            </w:r>
            <w:r w:rsidRPr="00CB2EC4">
              <w:rPr>
                <w:rFonts w:ascii="Times New Roman" w:hAnsi="Times New Roman" w:cs="Times New Roman"/>
              </w:rPr>
              <w:br/>
              <w:t xml:space="preserve">  - Superior border: level of the L4-L5 intervertebral space.  </w:t>
            </w:r>
            <w:r w:rsidRPr="00CB2EC4">
              <w:rPr>
                <w:rFonts w:ascii="Times New Roman" w:hAnsi="Times New Roman" w:cs="Times New Roman"/>
              </w:rPr>
              <w:br/>
              <w:t xml:space="preserve">  - Inferior border: 2 cm below the obturator foramen or 3 cm below the inferior tumor margin, whichever is lower.  </w:t>
            </w:r>
            <w:r w:rsidRPr="00CB2EC4">
              <w:rPr>
                <w:rFonts w:ascii="Times New Roman" w:hAnsi="Times New Roman" w:cs="Times New Roman"/>
              </w:rPr>
              <w:br/>
              <w:t xml:space="preserve">  - Lateral borders: 1.5–2 cm lateral to the pelvic sidewall margins.  </w:t>
            </w:r>
            <w:r w:rsidRPr="00CB2EC4">
              <w:rPr>
                <w:rFonts w:ascii="Times New Roman" w:hAnsi="Times New Roman" w:cs="Times New Roman"/>
              </w:rPr>
              <w:br/>
              <w:t>&gt; *Source: Fragment 11 (relevance 0.7516) table description: "AP-PA field... superior: L4-5 interspace; inferior: 2 cm below obturator foramen or 3 cm below tumor, whichever is lower; lateral: 1.5–2 cm outside pelvic sidewall."*</w:t>
            </w:r>
          </w:p>
        </w:tc>
        <w:tc>
          <w:tcPr>
            <w:tcW w:w="1152" w:type="dxa"/>
            <w:vAlign w:val="center"/>
          </w:tcPr>
          <w:p w14:paraId="40EE8A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A53EA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47EE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529CF3" w14:textId="77777777">
        <w:tc>
          <w:tcPr>
            <w:tcW w:w="2160" w:type="dxa"/>
            <w:vAlign w:val="center"/>
          </w:tcPr>
          <w:p w14:paraId="4C64A5C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C37BFA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performing external beam radiotherapy (EBRT) to the pelvis, the superior and inferior boundaries, as well as the lateral boundaries, of the "AP-PA field" (anteroposterior-posteroanterior field) described in guidelines are set as follows:  </w:t>
            </w:r>
            <w:r w:rsidRPr="00CB2EC4">
              <w:rPr>
                <w:rFonts w:ascii="Times New Roman" w:hAnsi="Times New Roman" w:cs="Times New Roman"/>
              </w:rPr>
              <w:br/>
              <w:t xml:space="preserve">- Superior boundary: at the level of the L4-5 intervertebral space.  </w:t>
            </w:r>
            <w:r w:rsidRPr="00CB2EC4">
              <w:rPr>
                <w:rFonts w:ascii="Times New Roman" w:hAnsi="Times New Roman" w:cs="Times New Roman"/>
              </w:rPr>
              <w:br/>
              <w:t xml:space="preserve">- Inferior boundary: 2 cm below the obturator foramen or 3 cm below the inferior edge of the tumor, whichever is lower.  </w:t>
            </w:r>
            <w:r w:rsidRPr="00CB2EC4">
              <w:rPr>
                <w:rFonts w:ascii="Times New Roman" w:hAnsi="Times New Roman" w:cs="Times New Roman"/>
              </w:rPr>
              <w:br/>
              <w:t xml:space="preserve">- Lateral boundaries: 1.5–2 cm lateral to the edge of the pelvic sidewall.  </w:t>
            </w:r>
            <w:r w:rsidRPr="00CB2EC4">
              <w:rPr>
                <w:rFonts w:ascii="Times New Roman" w:hAnsi="Times New Roman" w:cs="Times New Roman"/>
              </w:rPr>
              <w:br/>
              <w:t>This configuration ensures adequate coverage of the primary cervical cancer lesion and potential spread areas, while protecting surrounding normal tissues through precise anatomical landmarking.</w:t>
            </w:r>
          </w:p>
        </w:tc>
        <w:tc>
          <w:tcPr>
            <w:tcW w:w="1152" w:type="dxa"/>
            <w:vAlign w:val="center"/>
          </w:tcPr>
          <w:p w14:paraId="11C008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0BCA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53C2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8532D2" w14:textId="77777777">
        <w:tc>
          <w:tcPr>
            <w:tcW w:w="2160" w:type="dxa"/>
            <w:vAlign w:val="center"/>
          </w:tcPr>
          <w:p w14:paraId="665C1C52"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6B77457" w14:textId="77777777" w:rsidR="00922249" w:rsidRPr="00CB2EC4" w:rsidRDefault="003011D5">
            <w:pPr>
              <w:rPr>
                <w:rFonts w:ascii="Times New Roman" w:hAnsi="Times New Roman" w:cs="Times New Roman"/>
              </w:rPr>
            </w:pPr>
            <w:r w:rsidRPr="00CB2EC4">
              <w:rPr>
                <w:rFonts w:ascii="Times New Roman" w:hAnsi="Times New Roman" w:cs="Times New Roman"/>
              </w:rPr>
              <w:t>the boundaries of the "AP-PA field" (anterior-</w:t>
            </w:r>
            <w:r w:rsidRPr="00CB2EC4">
              <w:rPr>
                <w:rFonts w:ascii="Times New Roman" w:hAnsi="Times New Roman" w:cs="Times New Roman"/>
              </w:rPr>
              <w:lastRenderedPageBreak/>
              <w:t>posterior opposed field) in external beam radiotherapy (EBRT) for the pelvis are set as follows:</w:t>
            </w:r>
            <w:r w:rsidRPr="00CB2EC4">
              <w:rPr>
                <w:rFonts w:ascii="Times New Roman" w:hAnsi="Times New Roman" w:cs="Times New Roman"/>
              </w:rPr>
              <w:br/>
            </w:r>
            <w:r w:rsidRPr="00CB2EC4">
              <w:rPr>
                <w:rFonts w:ascii="Times New Roman" w:hAnsi="Times New Roman" w:cs="Times New Roman"/>
              </w:rPr>
              <w:br/>
              <w:t xml:space="preserve">- Superior border: at the L5-L6 vertebral body level (to cover the common iliac lymph nodes).  </w:t>
            </w:r>
            <w:r w:rsidRPr="00CB2EC4">
              <w:rPr>
                <w:rFonts w:ascii="Times New Roman" w:hAnsi="Times New Roman" w:cs="Times New Roman"/>
              </w:rPr>
              <w:br/>
              <w:t xml:space="preserve">- Inferior border: at the lower margin of the obturator foramen or the lower margin of the ischial tuberosity (adjusted according to the inferior extent of the tumor, typically extending to the upper one-third or entire vagina).  </w:t>
            </w:r>
            <w:r w:rsidRPr="00CB2EC4">
              <w:rPr>
                <w:rFonts w:ascii="Times New Roman" w:hAnsi="Times New Roman" w:cs="Times New Roman"/>
              </w:rPr>
              <w:br/>
              <w:t>- Lateral borders: 2.5–3 cm outside the true pelvis (to ensure coverage of the external iliac and partial internal iliac lymph nodes).</w:t>
            </w:r>
          </w:p>
        </w:tc>
        <w:tc>
          <w:tcPr>
            <w:tcW w:w="1152" w:type="dxa"/>
            <w:vAlign w:val="center"/>
          </w:tcPr>
          <w:p w14:paraId="76F725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2719D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BBC15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B883326" w14:textId="77777777">
        <w:tc>
          <w:tcPr>
            <w:tcW w:w="10656" w:type="dxa"/>
            <w:gridSpan w:val="5"/>
            <w:tcBorders>
              <w:bottom w:val="single" w:sz="6" w:space="0" w:color="auto"/>
            </w:tcBorders>
            <w:vAlign w:val="center"/>
          </w:tcPr>
          <w:p w14:paraId="65FB7A1A" w14:textId="77777777" w:rsidR="00922249" w:rsidRPr="00CB2EC4" w:rsidRDefault="003011D5">
            <w:pPr>
              <w:rPr>
                <w:rFonts w:ascii="Times New Roman" w:hAnsi="Times New Roman" w:cs="Times New Roman"/>
              </w:rPr>
            </w:pPr>
            <w:r w:rsidRPr="00CB2EC4">
              <w:rPr>
                <w:rFonts w:ascii="Times New Roman" w:hAnsi="Times New Roman" w:cs="Times New Roman"/>
                <w:b/>
              </w:rPr>
              <w:t>Question 88: According to the guidelines, what postoperative pathological factors are considered "high-risk factors" following a radical hysterectomy? For patients with these high-risk factors, what type of adjuvant therapy should be administered?</w:t>
            </w:r>
          </w:p>
        </w:tc>
      </w:tr>
      <w:tr w:rsidR="00922249" w:rsidRPr="00CB2EC4" w14:paraId="4EF9FCED" w14:textId="77777777">
        <w:tc>
          <w:tcPr>
            <w:tcW w:w="2160" w:type="dxa"/>
            <w:vAlign w:val="center"/>
          </w:tcPr>
          <w:p w14:paraId="331F34B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F36FAEB" w14:textId="77777777" w:rsidR="00922249" w:rsidRPr="00CB2EC4" w:rsidRDefault="003011D5">
            <w:pPr>
              <w:rPr>
                <w:rFonts w:ascii="Times New Roman" w:hAnsi="Times New Roman" w:cs="Times New Roman"/>
              </w:rPr>
            </w:pPr>
            <w:r w:rsidRPr="00CB2EC4">
              <w:rPr>
                <w:rFonts w:ascii="Times New Roman" w:hAnsi="Times New Roman" w:cs="Times New Roman"/>
              </w:rPr>
              <w:t>The guidelines indicate that the following pathological factors are considered "high-risk factors" after radical hysterectomy:</w:t>
            </w:r>
            <w:r w:rsidRPr="00CB2EC4">
              <w:rPr>
                <w:rFonts w:ascii="Times New Roman" w:hAnsi="Times New Roman" w:cs="Times New Roman"/>
              </w:rPr>
              <w:br/>
              <w:t>- Lymph node metastasis (positive pelvic or para-aortic lymph nodes).</w:t>
            </w:r>
            <w:r w:rsidRPr="00CB2EC4">
              <w:rPr>
                <w:rFonts w:ascii="Times New Roman" w:hAnsi="Times New Roman" w:cs="Times New Roman"/>
              </w:rPr>
              <w:br/>
              <w:t>- Tumor diameter &gt;4 cm.</w:t>
            </w:r>
            <w:r w:rsidRPr="00CB2EC4">
              <w:rPr>
                <w:rFonts w:ascii="Times New Roman" w:hAnsi="Times New Roman" w:cs="Times New Roman"/>
              </w:rPr>
              <w:br/>
              <w:t>- Occult parametrial infiltration.</w:t>
            </w:r>
            <w:r w:rsidRPr="00CB2EC4">
              <w:rPr>
                <w:rFonts w:ascii="Times New Roman" w:hAnsi="Times New Roman" w:cs="Times New Roman"/>
              </w:rPr>
              <w:br/>
              <w:t>- Cervical stromal invasion extending to the outer one-third of the myometrium.</w:t>
            </w:r>
            <w:r w:rsidRPr="00CB2EC4">
              <w:rPr>
                <w:rFonts w:ascii="Times New Roman" w:hAnsi="Times New Roman" w:cs="Times New Roman"/>
              </w:rPr>
              <w:br/>
              <w:t>- Lymphovascular space involvement.</w:t>
            </w:r>
            <w:r w:rsidRPr="00CB2EC4">
              <w:rPr>
                <w:rFonts w:ascii="Times New Roman" w:hAnsi="Times New Roman" w:cs="Times New Roman"/>
              </w:rPr>
              <w:br/>
              <w:t>- Poorly differentiated cancer cells.</w:t>
            </w:r>
            <w:r w:rsidRPr="00CB2EC4">
              <w:rPr>
                <w:rFonts w:ascii="Times New Roman" w:hAnsi="Times New Roman" w:cs="Times New Roman"/>
              </w:rPr>
              <w:br/>
            </w:r>
            <w:r w:rsidRPr="00CB2EC4">
              <w:rPr>
                <w:rFonts w:ascii="Times New Roman" w:hAnsi="Times New Roman" w:cs="Times New Roman"/>
              </w:rPr>
              <w:br/>
              <w:t>For patients with these high-risk factors, adjuvant radiotherapy (primarily external beam irradiation) should be administered, combined with chemotherapy (e.g., cisplatin/5-FU regimen) when necessary, to improve pelvic control rates and survival.</w:t>
            </w:r>
            <w:r w:rsidRPr="00CB2EC4">
              <w:rPr>
                <w:rFonts w:ascii="Times New Roman" w:hAnsi="Times New Roman" w:cs="Times New Roman"/>
              </w:rPr>
              <w:br/>
              <w:t xml:space="preserve">- Basis: The document (similarity: 0.561) explicitly </w:t>
            </w:r>
            <w:r w:rsidRPr="00CB2EC4">
              <w:rPr>
                <w:rFonts w:ascii="Times New Roman" w:hAnsi="Times New Roman" w:cs="Times New Roman"/>
              </w:rPr>
              <w:lastRenderedPageBreak/>
              <w:t>states in the "Postoperative Radiotherapy" section: "Indications: ... early-stage cervical cancer (IB, IIA) postoperatively with the following adverse prognostic factors: lymph node metastasis, tumor diameter &gt;4 cm, occult parametrial infiltration, cervical stromal invasion to the outer 1/3 of the myometrium, lymphovascular space involvement, and poorly differentiated cancer cells." It also notes that adjuvant therapy includes external beam irradiation (dose 40–50 Gy) and cites evidence that adjuvant cisplatin/5-FU chemotherapy improves survival (e.g., SWOG and GOG studies).</w:t>
            </w:r>
          </w:p>
        </w:tc>
        <w:tc>
          <w:tcPr>
            <w:tcW w:w="1152" w:type="dxa"/>
            <w:vAlign w:val="center"/>
          </w:tcPr>
          <w:p w14:paraId="0B44F5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F87E0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ACA53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1E6D91" w14:textId="77777777">
        <w:tc>
          <w:tcPr>
            <w:tcW w:w="2160" w:type="dxa"/>
            <w:vAlign w:val="center"/>
          </w:tcPr>
          <w:p w14:paraId="6768F673"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0C3784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document fragment 18 (document title: postoperative adjuvant therapy for cervical cancer; block number 42; block topic: postoperative adjuvant therapy for cervical cancer), the definition of "high-risk factors" after radical hysterectomy and the corresponding adjuvant treatment regimen are clearly specified.  </w:t>
            </w:r>
            <w:r w:rsidRPr="00CB2EC4">
              <w:rPr>
                <w:rFonts w:ascii="Times New Roman" w:hAnsi="Times New Roman" w:cs="Times New Roman"/>
              </w:rPr>
              <w:br/>
              <w:t xml:space="preserve">- high-risk factors: include the following pathological factors:  </w:t>
            </w:r>
            <w:r w:rsidRPr="00CB2EC4">
              <w:rPr>
                <w:rFonts w:ascii="Times New Roman" w:hAnsi="Times New Roman" w:cs="Times New Roman"/>
              </w:rPr>
              <w:br/>
              <w:t xml:space="preserve">  - lymph node positivity (i.e., metastasis in pelvic or para-aortic lymph nodes).  </w:t>
            </w:r>
            <w:r w:rsidRPr="00CB2EC4">
              <w:rPr>
                <w:rFonts w:ascii="Times New Roman" w:hAnsi="Times New Roman" w:cs="Times New Roman"/>
              </w:rPr>
              <w:br/>
              <w:t xml:space="preserve">  - positive surgical margins (presence of cancerous tissue at the surgical margin).  </w:t>
            </w:r>
            <w:r w:rsidRPr="00CB2EC4">
              <w:rPr>
                <w:rFonts w:ascii="Times New Roman" w:hAnsi="Times New Roman" w:cs="Times New Roman"/>
              </w:rPr>
              <w:br/>
              <w:t xml:space="preserve">  - parametrial infiltration (tumor invasion into parametrial tissue).  </w:t>
            </w:r>
            <w:r w:rsidRPr="00CB2EC4">
              <w:rPr>
                <w:rFonts w:ascii="Times New Roman" w:hAnsi="Times New Roman" w:cs="Times New Roman"/>
              </w:rPr>
              <w:br/>
              <w:t xml:space="preserve">  the document states: "high-risk factors" include lymph node positivity, positive surgical margins, and parametrial infiltration. the presence of any one of these high-risk factors warrants further evaluation.  </w:t>
            </w:r>
            <w:r w:rsidRPr="00CB2EC4">
              <w:rPr>
                <w:rFonts w:ascii="Times New Roman" w:hAnsi="Times New Roman" w:cs="Times New Roman"/>
              </w:rPr>
              <w:br/>
              <w:t xml:space="preserve">- adjuvant treatment: for patients with these high-risk factors, the following regimen is recommended:  </w:t>
            </w:r>
            <w:r w:rsidRPr="00CB2EC4">
              <w:rPr>
                <w:rFonts w:ascii="Times New Roman" w:hAnsi="Times New Roman" w:cs="Times New Roman"/>
              </w:rPr>
              <w:br/>
              <w:t xml:space="preserve">  - supplemental external beam radiotherapy (EBRT) </w:t>
            </w:r>
            <w:r w:rsidRPr="00CB2EC4">
              <w:rPr>
                <w:rFonts w:ascii="Times New Roman" w:hAnsi="Times New Roman" w:cs="Times New Roman"/>
              </w:rPr>
              <w:lastRenderedPageBreak/>
              <w:t xml:space="preserve">to the pelvis plus concurrent platinum-based chemotherapy (evidence level I).  </w:t>
            </w:r>
            <w:r w:rsidRPr="00CB2EC4">
              <w:rPr>
                <w:rFonts w:ascii="Times New Roman" w:hAnsi="Times New Roman" w:cs="Times New Roman"/>
              </w:rPr>
              <w:br/>
              <w:t xml:space="preserve">  - vaginal brachytherapy may be added (especially when surgical margins are positive or the tumor is close to the margin).  </w:t>
            </w:r>
            <w:r w:rsidRPr="00CB2EC4">
              <w:rPr>
                <w:rFonts w:ascii="Times New Roman" w:hAnsi="Times New Roman" w:cs="Times New Roman"/>
              </w:rPr>
              <w:br/>
              <w:t xml:space="preserve">  typical dosing: EBRT generally 45–50 Gy; chemotherapy usually cisplatin monotherapy (e.g., 40 mg/m² weekly for 4–6 cycles). if no distant metastasis is present, imaging should be performed first to exclude para-aortic lymph node involvement.  </w:t>
            </w:r>
            <w:r w:rsidRPr="00CB2EC4">
              <w:rPr>
                <w:rFonts w:ascii="Times New Roman" w:hAnsi="Times New Roman" w:cs="Times New Roman"/>
              </w:rPr>
              <w:br/>
              <w:t xml:space="preserve">  this information is based on guidelines for postoperative adjuvant therapy, emphasizing combined treatment to reduce recurrence risk.</w:t>
            </w:r>
          </w:p>
        </w:tc>
        <w:tc>
          <w:tcPr>
            <w:tcW w:w="1152" w:type="dxa"/>
            <w:vAlign w:val="center"/>
          </w:tcPr>
          <w:p w14:paraId="25E97E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9959F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C075A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9CC3F07" w14:textId="77777777">
        <w:tc>
          <w:tcPr>
            <w:tcW w:w="2160" w:type="dxa"/>
            <w:vAlign w:val="center"/>
          </w:tcPr>
          <w:p w14:paraId="175E3A7B"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4F63C4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Document Fragment 2 and Fragment 5 (both with a relevance score of 0.900), the high-risk factors following radical hysterectomy include:  </w:t>
            </w:r>
            <w:r w:rsidRPr="00CB2EC4">
              <w:rPr>
                <w:rFonts w:ascii="Times New Roman" w:hAnsi="Times New Roman" w:cs="Times New Roman"/>
              </w:rPr>
              <w:br/>
              <w:t xml:space="preserve">  - Lymph node positivity (lymph node metastasis)  </w:t>
            </w:r>
            <w:r w:rsidRPr="00CB2EC4">
              <w:rPr>
                <w:rFonts w:ascii="Times New Roman" w:hAnsi="Times New Roman" w:cs="Times New Roman"/>
              </w:rPr>
              <w:br/>
              <w:t xml:space="preserve">  - Positive margins (positive surgical margins)  </w:t>
            </w:r>
            <w:r w:rsidRPr="00CB2EC4">
              <w:rPr>
                <w:rFonts w:ascii="Times New Roman" w:hAnsi="Times New Roman" w:cs="Times New Roman"/>
              </w:rPr>
              <w:br/>
              <w:t xml:space="preserve">  - Parametrial invasion (parametrial spread)  </w:t>
            </w:r>
            <w:r w:rsidRPr="00CB2EC4">
              <w:rPr>
                <w:rFonts w:ascii="Times New Roman" w:hAnsi="Times New Roman" w:cs="Times New Roman"/>
              </w:rPr>
              <w:br/>
            </w:r>
            <w:r w:rsidRPr="00CB2EC4">
              <w:rPr>
                <w:rFonts w:ascii="Times New Roman" w:hAnsi="Times New Roman" w:cs="Times New Roman"/>
              </w:rPr>
              <w:br/>
              <w:t xml:space="preserve">For patients with these high-risk factors, the recommended adjuvant treatments are:  </w:t>
            </w:r>
            <w:r w:rsidRPr="00CB2EC4">
              <w:rPr>
                <w:rFonts w:ascii="Times New Roman" w:hAnsi="Times New Roman" w:cs="Times New Roman"/>
              </w:rPr>
              <w:br/>
              <w:t xml:space="preserve">  - Postoperative radiotherapy (PORT) with platinum-based concurrent chemotherapy  </w:t>
            </w:r>
            <w:r w:rsidRPr="00CB2EC4">
              <w:rPr>
                <w:rFonts w:ascii="Times New Roman" w:hAnsi="Times New Roman" w:cs="Times New Roman"/>
              </w:rPr>
              <w:br/>
              <w:t xml:space="preserve">  - Potentially including vaginal brachytherapy  </w:t>
            </w:r>
            <w:r w:rsidRPr="00CB2EC4">
              <w:rPr>
                <w:rFonts w:ascii="Times New Roman" w:hAnsi="Times New Roman" w:cs="Times New Roman"/>
              </w:rPr>
              <w:br/>
            </w:r>
            <w:r w:rsidRPr="00CB2EC4">
              <w:rPr>
                <w:rFonts w:ascii="Times New Roman" w:hAnsi="Times New Roman" w:cs="Times New Roman"/>
              </w:rPr>
              <w:br/>
              <w:t xml:space="preserve">Specific evidence:  </w:t>
            </w:r>
            <w:r w:rsidRPr="00CB2EC4">
              <w:rPr>
                <w:rFonts w:ascii="Times New Roman" w:hAnsi="Times New Roman" w:cs="Times New Roman"/>
              </w:rPr>
              <w:br/>
              <w:t xml:space="preserve">  - Fragment 2 states: High-risk factors include lymph node positivity, positive margins, and parametrial invasion. The presence of any "high-risk factor" warrants further imaging studies... Supplemental pelvic external beam radiotherapy + platinum-based concurrent chemotherapy (Evidence Level I) ± vaginal brachytherapy is required.  </w:t>
            </w:r>
            <w:r w:rsidRPr="00CB2EC4">
              <w:rPr>
                <w:rFonts w:ascii="Times New Roman" w:hAnsi="Times New Roman" w:cs="Times New Roman"/>
              </w:rPr>
              <w:br/>
            </w:r>
            <w:r w:rsidRPr="00CB2EC4">
              <w:rPr>
                <w:rFonts w:ascii="Times New Roman" w:hAnsi="Times New Roman" w:cs="Times New Roman"/>
              </w:rPr>
              <w:lastRenderedPageBreak/>
              <w:t xml:space="preserve">  - Fragment 5 adds: High-risk factors include positive surgical margins, lymph node metastasis, or parametrial spread, and PORT (PORT refers to postoperative radiotherapy) should be administered.</w:t>
            </w:r>
          </w:p>
        </w:tc>
        <w:tc>
          <w:tcPr>
            <w:tcW w:w="1152" w:type="dxa"/>
            <w:vAlign w:val="center"/>
          </w:tcPr>
          <w:p w14:paraId="45724C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CF172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B91E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B5E168" w14:textId="77777777">
        <w:tc>
          <w:tcPr>
            <w:tcW w:w="2160" w:type="dxa"/>
            <w:vAlign w:val="center"/>
          </w:tcPr>
          <w:p w14:paraId="7B9A94DB"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44D80E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High-risk factors (any one of the following three):  </w:t>
            </w:r>
            <w:r w:rsidRPr="00CB2EC4">
              <w:rPr>
                <w:rFonts w:ascii="Times New Roman" w:hAnsi="Times New Roman" w:cs="Times New Roman"/>
              </w:rPr>
              <w:br/>
              <w:t xml:space="preserve">  1. Positive lymph nodes (pelvic/para-aortic).  </w:t>
            </w:r>
            <w:r w:rsidRPr="00CB2EC4">
              <w:rPr>
                <w:rFonts w:ascii="Times New Roman" w:hAnsi="Times New Roman" w:cs="Times New Roman"/>
              </w:rPr>
              <w:br/>
              <w:t xml:space="preserve">  2. Positive surgical margins (residual tumor).  </w:t>
            </w:r>
            <w:r w:rsidRPr="00CB2EC4">
              <w:rPr>
                <w:rFonts w:ascii="Times New Roman" w:hAnsi="Times New Roman" w:cs="Times New Roman"/>
              </w:rPr>
              <w:br/>
              <w:t xml:space="preserve">  3. Parametrial invasion (knowledge base documents, web search results).  </w:t>
            </w:r>
            <w:r w:rsidRPr="00CB2EC4">
              <w:rPr>
                <w:rFonts w:ascii="Times New Roman" w:hAnsi="Times New Roman" w:cs="Times New Roman"/>
              </w:rPr>
              <w:br/>
              <w:t xml:space="preserve">- Adjuvant therapy:  </w:t>
            </w:r>
            <w:r w:rsidRPr="00CB2EC4">
              <w:rPr>
                <w:rFonts w:ascii="Times New Roman" w:hAnsi="Times New Roman" w:cs="Times New Roman"/>
              </w:rPr>
              <w:br/>
              <w:t xml:space="preserve">  - Level I recommendation: Pelvic external beam radiotherapy + platinum-based concurrent chemotherapy (weekly cisplatin) ± vaginal brachytherapy (knowledge base documents, web search results).  </w:t>
            </w:r>
            <w:r w:rsidRPr="00CB2EC4">
              <w:rPr>
                <w:rFonts w:ascii="Times New Roman" w:hAnsi="Times New Roman" w:cs="Times New Roman"/>
              </w:rPr>
              <w:br/>
            </w:r>
            <w:r w:rsidRPr="00CB2EC4">
              <w:rPr>
                <w:rFonts w:ascii="Times New Roman" w:hAnsi="Times New Roman" w:cs="Times New Roman"/>
              </w:rPr>
              <w:br/>
              <w:t xml:space="preserve">Source note:  </w:t>
            </w:r>
            <w:r w:rsidRPr="00CB2EC4">
              <w:rPr>
                <w:rFonts w:ascii="Times New Roman" w:hAnsi="Times New Roman" w:cs="Times New Roman"/>
              </w:rPr>
              <w:br/>
              <w:t>- Definition of high-risk factors and adjuvant regimen consistently stated in knowledge base document "Indications for Postoperative Radiotherapy" and web search "Postoperative Radiotherapy Indications".</w:t>
            </w:r>
          </w:p>
        </w:tc>
        <w:tc>
          <w:tcPr>
            <w:tcW w:w="1152" w:type="dxa"/>
            <w:vAlign w:val="center"/>
          </w:tcPr>
          <w:p w14:paraId="5C580F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58FC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D4B1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1D8A1F" w14:textId="77777777">
        <w:tc>
          <w:tcPr>
            <w:tcW w:w="2160" w:type="dxa"/>
            <w:vAlign w:val="center"/>
          </w:tcPr>
          <w:p w14:paraId="3B954E1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9E287C6"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document fragments 17 and 9, the pathological factors classified as "high-risk factors" after radical hysterectomy include:</w:t>
            </w:r>
            <w:r w:rsidRPr="00CB2EC4">
              <w:rPr>
                <w:rFonts w:ascii="Times New Roman" w:hAnsi="Times New Roman" w:cs="Times New Roman"/>
              </w:rPr>
              <w:br/>
              <w:t>- Lymph node positivity (i.e., metastasis to pelvic or para-aortic lymph nodes)</w:t>
            </w:r>
            <w:r w:rsidRPr="00CB2EC4">
              <w:rPr>
                <w:rFonts w:ascii="Times New Roman" w:hAnsi="Times New Roman" w:cs="Times New Roman"/>
              </w:rPr>
              <w:br/>
              <w:t>- Positive surgical margins (i.e., residual cancer cells at the resection margins)</w:t>
            </w:r>
            <w:r w:rsidRPr="00CB2EC4">
              <w:rPr>
                <w:rFonts w:ascii="Times New Roman" w:hAnsi="Times New Roman" w:cs="Times New Roman"/>
              </w:rPr>
              <w:br/>
              <w:t>- Parametrial invasion (i.e., tumor infiltration into the parametrial tissues)</w:t>
            </w:r>
            <w:r w:rsidRPr="00CB2EC4">
              <w:rPr>
                <w:rFonts w:ascii="Times New Roman" w:hAnsi="Times New Roman" w:cs="Times New Roman"/>
              </w:rPr>
              <w:br/>
            </w:r>
            <w:r w:rsidRPr="00CB2EC4">
              <w:rPr>
                <w:rFonts w:ascii="Times New Roman" w:hAnsi="Times New Roman" w:cs="Times New Roman"/>
              </w:rPr>
              <w:br/>
              <w:t>For patients with these high-risk factors, the following adjuvant treatments should be implemented:</w:t>
            </w:r>
            <w:r w:rsidRPr="00CB2EC4">
              <w:rPr>
                <w:rFonts w:ascii="Times New Roman" w:hAnsi="Times New Roman" w:cs="Times New Roman"/>
              </w:rPr>
              <w:br/>
            </w:r>
            <w:r w:rsidRPr="00CB2EC4">
              <w:rPr>
                <w:rFonts w:ascii="Times New Roman" w:hAnsi="Times New Roman" w:cs="Times New Roman"/>
              </w:rPr>
              <w:lastRenderedPageBreak/>
              <w:t>- Imaging examinations (such as CT or PET/CT) are recommended to rule out distant metastasis</w:t>
            </w:r>
            <w:r w:rsidRPr="00CB2EC4">
              <w:rPr>
                <w:rFonts w:ascii="Times New Roman" w:hAnsi="Times New Roman" w:cs="Times New Roman"/>
              </w:rPr>
              <w:br/>
              <w:t>- If there is no para-aortic lymph node involvement or other distant metastasis, supplemental pelvic external beam radiotherapy (EBRT) with platinum-based concurrent chemotherapy (e.g., weekly cisplatin) should be administered, potentially combined with vaginal intracavitary brachytherapy (ICRT)</w:t>
            </w:r>
            <w:r w:rsidRPr="00CB2EC4">
              <w:rPr>
                <w:rFonts w:ascii="Times New Roman" w:hAnsi="Times New Roman" w:cs="Times New Roman"/>
              </w:rPr>
              <w:br/>
              <w:t>- Concurrent chemotherapy typically uses cisplatin (40mg/m² once weekly for 4-6 cycles)</w:t>
            </w:r>
          </w:p>
        </w:tc>
        <w:tc>
          <w:tcPr>
            <w:tcW w:w="1152" w:type="dxa"/>
            <w:vAlign w:val="center"/>
          </w:tcPr>
          <w:p w14:paraId="327F9D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4CD31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E263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659250" w14:textId="77777777">
        <w:tc>
          <w:tcPr>
            <w:tcW w:w="2160" w:type="dxa"/>
            <w:vAlign w:val="center"/>
          </w:tcPr>
          <w:p w14:paraId="0E489EA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2FA586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guidelines, the following pathological factors are defined as "high-risk factors" after radical hysterectomy:  </w:t>
            </w:r>
            <w:r w:rsidRPr="00CB2EC4">
              <w:rPr>
                <w:rFonts w:ascii="Times New Roman" w:hAnsi="Times New Roman" w:cs="Times New Roman"/>
              </w:rPr>
              <w:br/>
              <w:t xml:space="preserve">- lymph node positivity (pelvic or para-aortic lymph node metastasis)  </w:t>
            </w:r>
            <w:r w:rsidRPr="00CB2EC4">
              <w:rPr>
                <w:rFonts w:ascii="Times New Roman" w:hAnsi="Times New Roman" w:cs="Times New Roman"/>
              </w:rPr>
              <w:br/>
              <w:t xml:space="preserve">- positive surgical margins (presence of cancerous tissue at the resection edge)  </w:t>
            </w:r>
            <w:r w:rsidRPr="00CB2EC4">
              <w:rPr>
                <w:rFonts w:ascii="Times New Roman" w:hAnsi="Times New Roman" w:cs="Times New Roman"/>
              </w:rPr>
              <w:br/>
              <w:t xml:space="preserve">- parametrial infiltration (tumor invasion into parametrial tissues)  </w:t>
            </w:r>
            <w:r w:rsidRPr="00CB2EC4">
              <w:rPr>
                <w:rFonts w:ascii="Times New Roman" w:hAnsi="Times New Roman" w:cs="Times New Roman"/>
              </w:rPr>
              <w:br/>
              <w:t xml:space="preserve">document 13 explicitly states: "high-risk factors include lymph node positivity, positive margins, and parametrial infiltration."  </w:t>
            </w:r>
            <w:r w:rsidRPr="00CB2EC4">
              <w:rPr>
                <w:rFonts w:ascii="Times New Roman" w:hAnsi="Times New Roman" w:cs="Times New Roman"/>
              </w:rPr>
              <w:br/>
            </w:r>
            <w:r w:rsidRPr="00CB2EC4">
              <w:rPr>
                <w:rFonts w:ascii="Times New Roman" w:hAnsi="Times New Roman" w:cs="Times New Roman"/>
              </w:rPr>
              <w:br/>
              <w:t xml:space="preserve">for patients with any of these high-risk factors, the recommended adjuvant treatment is:  </w:t>
            </w:r>
            <w:r w:rsidRPr="00CB2EC4">
              <w:rPr>
                <w:rFonts w:ascii="Times New Roman" w:hAnsi="Times New Roman" w:cs="Times New Roman"/>
              </w:rPr>
              <w:br/>
              <w:t xml:space="preserve">- external beam radiotherapy (EBRT) to the pelvis + concurrent platinum-based chemotherapy (e.g., cisplatin), with evidence level I (highest recommendation)  </w:t>
            </w:r>
            <w:r w:rsidRPr="00CB2EC4">
              <w:rPr>
                <w:rFonts w:ascii="Times New Roman" w:hAnsi="Times New Roman" w:cs="Times New Roman"/>
              </w:rPr>
              <w:br/>
              <w:t xml:space="preserve">- optional vaginal brachytherapy (based on individual circumstances)  </w:t>
            </w:r>
            <w:r w:rsidRPr="00CB2EC4">
              <w:rPr>
                <w:rFonts w:ascii="Times New Roman" w:hAnsi="Times New Roman" w:cs="Times New Roman"/>
              </w:rPr>
              <w:br/>
              <w:t xml:space="preserve">document 13 specifies: "the presence of any high-risk factor warrants further imaging... if no para-aortic or distant metastases are present, adjuvant pelvic EBRT </w:t>
            </w:r>
            <w:r w:rsidRPr="00CB2EC4">
              <w:rPr>
                <w:rFonts w:ascii="Times New Roman" w:hAnsi="Times New Roman" w:cs="Times New Roman"/>
              </w:rPr>
              <w:lastRenderedPageBreak/>
              <w:t>plus concurrent platinum-based chemotherapy ± vaginal brachytherapy is indicated." document 10 also supports this regimen, emphasizing that concurrent chemoradiotherapy improves survival rates.</w:t>
            </w:r>
          </w:p>
        </w:tc>
        <w:tc>
          <w:tcPr>
            <w:tcW w:w="1152" w:type="dxa"/>
            <w:vAlign w:val="center"/>
          </w:tcPr>
          <w:p w14:paraId="291D95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F0C5A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F587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8B2EF3" w14:textId="77777777">
        <w:tc>
          <w:tcPr>
            <w:tcW w:w="2160" w:type="dxa"/>
            <w:vAlign w:val="center"/>
          </w:tcPr>
          <w:p w14:paraId="20AADE6E"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623F3DB" w14:textId="77777777" w:rsidR="00922249" w:rsidRPr="00CB2EC4" w:rsidRDefault="003011D5">
            <w:pPr>
              <w:rPr>
                <w:rFonts w:ascii="Times New Roman" w:hAnsi="Times New Roman" w:cs="Times New Roman"/>
              </w:rPr>
            </w:pPr>
            <w:r w:rsidRPr="00CB2EC4">
              <w:rPr>
                <w:rFonts w:ascii="Times New Roman" w:hAnsi="Times New Roman" w:cs="Times New Roman"/>
              </w:rPr>
              <w:t>the guidelines define the following "high-risk factors" after radical hysterectomy:</w:t>
            </w:r>
            <w:r w:rsidRPr="00CB2EC4">
              <w:rPr>
                <w:rFonts w:ascii="Times New Roman" w:hAnsi="Times New Roman" w:cs="Times New Roman"/>
              </w:rPr>
              <w:br/>
              <w:t xml:space="preserve">  - Lymph node positivity (metastasis in pelvic or para-aortic lymph nodes)</w:t>
            </w:r>
            <w:r w:rsidRPr="00CB2EC4">
              <w:rPr>
                <w:rFonts w:ascii="Times New Roman" w:hAnsi="Times New Roman" w:cs="Times New Roman"/>
              </w:rPr>
              <w:br/>
              <w:t xml:space="preserve">  - Positive surgical margins (presence of cancer at the resection edge)</w:t>
            </w:r>
            <w:r w:rsidRPr="00CB2EC4">
              <w:rPr>
                <w:rFonts w:ascii="Times New Roman" w:hAnsi="Times New Roman" w:cs="Times New Roman"/>
              </w:rPr>
              <w:br/>
              <w:t xml:space="preserve">  - Parametrial infiltration (tumor invasion into parametrial tissue)</w:t>
            </w:r>
            <w:r w:rsidRPr="00CB2EC4">
              <w:rPr>
                <w:rFonts w:ascii="Times New Roman" w:hAnsi="Times New Roman" w:cs="Times New Roman"/>
              </w:rPr>
              <w:br/>
            </w:r>
            <w:r w:rsidRPr="00CB2EC4">
              <w:rPr>
                <w:rFonts w:ascii="Times New Roman" w:hAnsi="Times New Roman" w:cs="Times New Roman"/>
              </w:rPr>
              <w:br/>
              <w:t>For patients with these high-risk factors, the recommended adjuvant treatment is:</w:t>
            </w:r>
            <w:r w:rsidRPr="00CB2EC4">
              <w:rPr>
                <w:rFonts w:ascii="Times New Roman" w:hAnsi="Times New Roman" w:cs="Times New Roman"/>
              </w:rPr>
              <w:br/>
              <w:t xml:space="preserve">  - Additional external beam pelvic radiotherapy + concurrent platinum-based chemotherapy (e.g., cisplatin)</w:t>
            </w:r>
            <w:r w:rsidRPr="00CB2EC4">
              <w:rPr>
                <w:rFonts w:ascii="Times New Roman" w:hAnsi="Times New Roman" w:cs="Times New Roman"/>
              </w:rPr>
              <w:br/>
              <w:t xml:space="preserve">  - Optional vaginal brachytherapy</w:t>
            </w:r>
            <w:r w:rsidRPr="00CB2EC4">
              <w:rPr>
                <w:rFonts w:ascii="Times New Roman" w:hAnsi="Times New Roman" w:cs="Times New Roman"/>
              </w:rPr>
              <w:br/>
            </w:r>
            <w:r w:rsidRPr="00CB2EC4">
              <w:rPr>
                <w:rFonts w:ascii="Times New Roman" w:hAnsi="Times New Roman" w:cs="Times New Roman"/>
              </w:rPr>
              <w:br/>
              <w:t>Specific basis: "High-risk factors include lymph node positivity, positive margins, and parametrial infiltration. The presence of any one high-risk factor warrants further imaging to assess for metastatic disease at other sites. If there is no para-aortic lymph node involvement or distant metastasis, additional external beam pelvic radiotherapy plus concurrent platinum-based chemotherapy (Level I evidence) ± vaginal brachytherapy is recommended." (Source: [HyDE similarity: 0.571] fragment)</w:t>
            </w:r>
          </w:p>
        </w:tc>
        <w:tc>
          <w:tcPr>
            <w:tcW w:w="1152" w:type="dxa"/>
            <w:vAlign w:val="center"/>
          </w:tcPr>
          <w:p w14:paraId="3C4F06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C6C1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F719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DE4E45" w14:textId="77777777">
        <w:tc>
          <w:tcPr>
            <w:tcW w:w="2160" w:type="dxa"/>
            <w:vAlign w:val="center"/>
          </w:tcPr>
          <w:p w14:paraId="4194E9B5"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8D69EE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document excerpts 2 (similarity: 0.648), 4 (similarity: 0.589) and 12 (similarity: 0.564), the high-risk pathological factors after radical hysterectomy </w:t>
            </w:r>
            <w:r w:rsidRPr="00CB2EC4">
              <w:rPr>
                <w:rFonts w:ascii="Times New Roman" w:hAnsi="Times New Roman" w:cs="Times New Roman"/>
              </w:rPr>
              <w:lastRenderedPageBreak/>
              <w:t>include:</w:t>
            </w:r>
            <w:r w:rsidRPr="00CB2EC4">
              <w:rPr>
                <w:rFonts w:ascii="Times New Roman" w:hAnsi="Times New Roman" w:cs="Times New Roman"/>
              </w:rPr>
              <w:br/>
              <w:t>- high-risk factors:</w:t>
            </w:r>
            <w:r w:rsidRPr="00CB2EC4">
              <w:rPr>
                <w:rFonts w:ascii="Times New Roman" w:hAnsi="Times New Roman" w:cs="Times New Roman"/>
              </w:rPr>
              <w:br/>
              <w:t xml:space="preserve">  - lymph node metastasis.</w:t>
            </w:r>
            <w:r w:rsidRPr="00CB2EC4">
              <w:rPr>
                <w:rFonts w:ascii="Times New Roman" w:hAnsi="Times New Roman" w:cs="Times New Roman"/>
              </w:rPr>
              <w:br/>
              <w:t xml:space="preserve">  - tumor diameter &gt;4cm (or maximum tumor diameter &gt;4cm).</w:t>
            </w:r>
            <w:r w:rsidRPr="00CB2EC4">
              <w:rPr>
                <w:rFonts w:ascii="Times New Roman" w:hAnsi="Times New Roman" w:cs="Times New Roman"/>
              </w:rPr>
              <w:br/>
              <w:t xml:space="preserve">  - occult parametrial infiltration.</w:t>
            </w:r>
            <w:r w:rsidRPr="00CB2EC4">
              <w:rPr>
                <w:rFonts w:ascii="Times New Roman" w:hAnsi="Times New Roman" w:cs="Times New Roman"/>
              </w:rPr>
              <w:br/>
              <w:t xml:space="preserve">  - cervical stromal invasion reaching the outer one-third of the muscle layer.</w:t>
            </w:r>
            <w:r w:rsidRPr="00CB2EC4">
              <w:rPr>
                <w:rFonts w:ascii="Times New Roman" w:hAnsi="Times New Roman" w:cs="Times New Roman"/>
              </w:rPr>
              <w:br/>
              <w:t xml:space="preserve">  - lymphovascular space involvement (LVSI+).</w:t>
            </w:r>
            <w:r w:rsidRPr="00CB2EC4">
              <w:rPr>
                <w:rFonts w:ascii="Times New Roman" w:hAnsi="Times New Roman" w:cs="Times New Roman"/>
              </w:rPr>
              <w:br/>
              <w:t xml:space="preserve">  - poor cancer cell differentiation (histological grade poor).</w:t>
            </w:r>
            <w:r w:rsidRPr="00CB2EC4">
              <w:rPr>
                <w:rFonts w:ascii="Times New Roman" w:hAnsi="Times New Roman" w:cs="Times New Roman"/>
              </w:rPr>
              <w:br/>
              <w:t xml:space="preserve">  document excerpt 2 states: "early-stage cervical cancer (IB, IIA stage) postoperative with the following adverse prognostic factors: lymph node metastasis, tumor diameter &gt;4cm, occult parametrial infiltration, cervical stromal invasion reaching the outer one-third of the muscle layer, lymphovascular space involvement, and poor cancer cell differentiation." excerpts 4 and 12 further confirm these factors.</w:t>
            </w:r>
            <w:r w:rsidRPr="00CB2EC4">
              <w:rPr>
                <w:rFonts w:ascii="Times New Roman" w:hAnsi="Times New Roman" w:cs="Times New Roman"/>
              </w:rPr>
              <w:br/>
            </w:r>
            <w:r w:rsidRPr="00CB2EC4">
              <w:rPr>
                <w:rFonts w:ascii="Times New Roman" w:hAnsi="Times New Roman" w:cs="Times New Roman"/>
              </w:rPr>
              <w:br/>
              <w:t>- adjuvant therapy:</w:t>
            </w:r>
            <w:r w:rsidRPr="00CB2EC4">
              <w:rPr>
                <w:rFonts w:ascii="Times New Roman" w:hAnsi="Times New Roman" w:cs="Times New Roman"/>
              </w:rPr>
              <w:br/>
              <w:t xml:space="preserve">  for patients with these high-risk factors, adjuvant radiotherapy should be administered, possibly combined with chemotherapy (e.g., cisplatin-based regimens). specifically:</w:t>
            </w:r>
            <w:r w:rsidRPr="00CB2EC4">
              <w:rPr>
                <w:rFonts w:ascii="Times New Roman" w:hAnsi="Times New Roman" w:cs="Times New Roman"/>
              </w:rPr>
              <w:br/>
              <w:t xml:space="preserve">  - radiotherapy: primarily external beam radiotherapy (EBRT), with a typical dose of 40–50 Gy. document excerpt 2 notes: "mainly external beam irradiation... external beam irradiation is generally started two weeks after surgery, with a tumor dose of 40</w:t>
            </w:r>
            <w:r w:rsidRPr="00CB2EC4">
              <w:rPr>
                <w:rFonts w:ascii="Times New Roman" w:hAnsi="Times New Roman" w:cs="Times New Roman"/>
              </w:rPr>
              <w:t>～</w:t>
            </w:r>
            <w:r w:rsidRPr="00CB2EC4">
              <w:rPr>
                <w:rFonts w:ascii="Times New Roman" w:hAnsi="Times New Roman" w:cs="Times New Roman"/>
              </w:rPr>
              <w:t>50 Gy."</w:t>
            </w:r>
            <w:r w:rsidRPr="00CB2EC4">
              <w:rPr>
                <w:rFonts w:ascii="Times New Roman" w:hAnsi="Times New Roman" w:cs="Times New Roman"/>
              </w:rPr>
              <w:br/>
              <w:t xml:space="preserve">  - chemotherapy: concurrent chemotherapy may be </w:t>
            </w:r>
            <w:r w:rsidRPr="00CB2EC4">
              <w:rPr>
                <w:rFonts w:ascii="Times New Roman" w:hAnsi="Times New Roman" w:cs="Times New Roman"/>
              </w:rPr>
              <w:lastRenderedPageBreak/>
              <w:t>added to radiotherapy to improve efficacy. document excerpt 4 states: "the 3-year survival rate in the adjuvant cisplatin/5-FU group was 87%, compared with 77% in the pelvic radiotherapy alone group," indicating that chemotherapy (e.g., cisplatin) improves survival rates.</w:t>
            </w:r>
            <w:r w:rsidRPr="00CB2EC4">
              <w:rPr>
                <w:rFonts w:ascii="Times New Roman" w:hAnsi="Times New Roman" w:cs="Times New Roman"/>
              </w:rPr>
              <w:br/>
            </w:r>
            <w:r w:rsidRPr="00CB2EC4">
              <w:rPr>
                <w:rFonts w:ascii="Times New Roman" w:hAnsi="Times New Roman" w:cs="Times New Roman"/>
              </w:rPr>
              <w:br/>
              <w:t>basis: document excerpts 2, 4 and 12 detail the high-risk factors and corresponding adjuvant treatment plans, emphasizing radiotherapy as primary and chemotherapy as supplementary in combined modality therapy.</w:t>
            </w:r>
          </w:p>
        </w:tc>
        <w:tc>
          <w:tcPr>
            <w:tcW w:w="1152" w:type="dxa"/>
            <w:vAlign w:val="center"/>
          </w:tcPr>
          <w:p w14:paraId="2C9A7E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DEEF1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BE55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442035B" w14:textId="77777777">
        <w:tc>
          <w:tcPr>
            <w:tcW w:w="2160" w:type="dxa"/>
            <w:vAlign w:val="center"/>
          </w:tcPr>
          <w:p w14:paraId="2D6D735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5AEF05B5" w14:textId="77777777" w:rsidR="00922249" w:rsidRPr="00CB2EC4" w:rsidRDefault="003011D5">
            <w:pPr>
              <w:rPr>
                <w:rFonts w:ascii="Times New Roman" w:hAnsi="Times New Roman" w:cs="Times New Roman"/>
              </w:rPr>
            </w:pPr>
            <w:r w:rsidRPr="00CB2EC4">
              <w:rPr>
                <w:rFonts w:ascii="Times New Roman" w:hAnsi="Times New Roman" w:cs="Times New Roman"/>
              </w:rPr>
              <w:t>high-risk factors (as noted in the ninth segment):</w:t>
            </w:r>
            <w:r w:rsidRPr="00CB2EC4">
              <w:rPr>
                <w:rFonts w:ascii="Times New Roman" w:hAnsi="Times New Roman" w:cs="Times New Roman"/>
              </w:rPr>
              <w:br/>
              <w:t xml:space="preserve">  - Lymph node positive (pelvic lymph node metastasis).</w:t>
            </w:r>
            <w:r w:rsidRPr="00CB2EC4">
              <w:rPr>
                <w:rFonts w:ascii="Times New Roman" w:hAnsi="Times New Roman" w:cs="Times New Roman"/>
              </w:rPr>
              <w:br/>
              <w:t xml:space="preserve">  - Positive surgical margins.</w:t>
            </w:r>
            <w:r w:rsidRPr="00CB2EC4">
              <w:rPr>
                <w:rFonts w:ascii="Times New Roman" w:hAnsi="Times New Roman" w:cs="Times New Roman"/>
              </w:rPr>
              <w:br/>
              <w:t xml:space="preserve">  - Parametrial invasion.</w:t>
            </w:r>
            <w:r w:rsidRPr="00CB2EC4">
              <w:rPr>
                <w:rFonts w:ascii="Times New Roman" w:hAnsi="Times New Roman" w:cs="Times New Roman"/>
              </w:rPr>
              <w:br/>
              <w:t>- Adjuvant therapy:</w:t>
            </w:r>
            <w:r w:rsidRPr="00CB2EC4">
              <w:rPr>
                <w:rFonts w:ascii="Times New Roman" w:hAnsi="Times New Roman" w:cs="Times New Roman"/>
              </w:rPr>
              <w:br/>
              <w:t xml:space="preserve">  - Pelvic external beam radiotherapy + platinum-based concurrent chemotherapy ± vaginal brachytherapy is recommended (Level I evidence).</w:t>
            </w:r>
            <w:r w:rsidRPr="00CB2EC4">
              <w:rPr>
                <w:rFonts w:ascii="Times New Roman" w:hAnsi="Times New Roman" w:cs="Times New Roman"/>
              </w:rPr>
              <w:br/>
              <w:t xml:space="preserve">  - For example: "The presence of any one 'high-risk factor' warrants adjuvant pelvic external beam radiotherapy plus platinum-based concurrent chemotherapy" (ninth segment).</w:t>
            </w:r>
          </w:p>
        </w:tc>
        <w:tc>
          <w:tcPr>
            <w:tcW w:w="1152" w:type="dxa"/>
            <w:vAlign w:val="center"/>
          </w:tcPr>
          <w:p w14:paraId="1EBACB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F2059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70B36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E786362" w14:textId="77777777">
        <w:tc>
          <w:tcPr>
            <w:tcW w:w="2160" w:type="dxa"/>
            <w:vAlign w:val="center"/>
          </w:tcPr>
          <w:p w14:paraId="13878C55"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21F5D4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According to the guidelines, the pathological "high-risk factors" following radical hysterectomy include:  </w:t>
            </w:r>
            <w:r w:rsidRPr="00CB2EC4">
              <w:rPr>
                <w:rFonts w:ascii="Times New Roman" w:hAnsi="Times New Roman" w:cs="Times New Roman"/>
              </w:rPr>
              <w:br/>
              <w:t xml:space="preserve">  - Lymph node positivity (i.e., metastasis to pelvic or para-aortic lymph nodes)  </w:t>
            </w:r>
            <w:r w:rsidRPr="00CB2EC4">
              <w:rPr>
                <w:rFonts w:ascii="Times New Roman" w:hAnsi="Times New Roman" w:cs="Times New Roman"/>
              </w:rPr>
              <w:br/>
              <w:t xml:space="preserve">  - Positive surgical margins (i.e., presence of cancer cells at the resection edge)  </w:t>
            </w:r>
            <w:r w:rsidRPr="00CB2EC4">
              <w:rPr>
                <w:rFonts w:ascii="Times New Roman" w:hAnsi="Times New Roman" w:cs="Times New Roman"/>
              </w:rPr>
              <w:br/>
              <w:t xml:space="preserve">  - Parametrial invasion (i.e., tumor infiltration into parametrial tissues)  </w:t>
            </w:r>
            <w:r w:rsidRPr="00CB2EC4">
              <w:rPr>
                <w:rFonts w:ascii="Times New Roman" w:hAnsi="Times New Roman" w:cs="Times New Roman"/>
              </w:rPr>
              <w:br/>
            </w:r>
            <w:r w:rsidRPr="00CB2EC4">
              <w:rPr>
                <w:rFonts w:ascii="Times New Roman" w:hAnsi="Times New Roman" w:cs="Times New Roman"/>
              </w:rPr>
              <w:lastRenderedPageBreak/>
              <w:br/>
              <w:t xml:space="preserve">- For patients with these high-risk factors, the recommended adjuvant treatment is:  </w:t>
            </w:r>
            <w:r w:rsidRPr="00CB2EC4">
              <w:rPr>
                <w:rFonts w:ascii="Times New Roman" w:hAnsi="Times New Roman" w:cs="Times New Roman"/>
              </w:rPr>
              <w:br/>
              <w:t xml:space="preserve">  - Preferred regimen: Adjuvant external beam pelvic radiotherapy (EBRT) combined with concurrent platinum-based chemotherapy (e.g., cisplatin monotherapy), with evidence level I (highest recommendation).  </w:t>
            </w:r>
            <w:r w:rsidRPr="00CB2EC4">
              <w:rPr>
                <w:rFonts w:ascii="Times New Roman" w:hAnsi="Times New Roman" w:cs="Times New Roman"/>
              </w:rPr>
              <w:br/>
              <w:t xml:space="preserve">  - Optional addition: ± Vaginal brachytherapy (particularly when surgical margins are positive or the tumor is close to the margin)  </w:t>
            </w:r>
            <w:r w:rsidRPr="00CB2EC4">
              <w:rPr>
                <w:rFonts w:ascii="Times New Roman" w:hAnsi="Times New Roman" w:cs="Times New Roman"/>
              </w:rPr>
              <w:br/>
            </w:r>
            <w:r w:rsidRPr="00CB2EC4">
              <w:rPr>
                <w:rFonts w:ascii="Times New Roman" w:hAnsi="Times New Roman" w:cs="Times New Roman"/>
              </w:rPr>
              <w:br/>
              <w:t>- Additionally, imaging should be performed first to rule out distant metastasis; if para-aortic lymph nodes are positive, the radiation field should be extended to include the para-aortic region.</w:t>
            </w:r>
          </w:p>
        </w:tc>
        <w:tc>
          <w:tcPr>
            <w:tcW w:w="1152" w:type="dxa"/>
            <w:vAlign w:val="center"/>
          </w:tcPr>
          <w:p w14:paraId="184AB3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D52A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D09F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3B7B20C" w14:textId="77777777">
        <w:tc>
          <w:tcPr>
            <w:tcW w:w="2160" w:type="dxa"/>
            <w:vAlign w:val="center"/>
          </w:tcPr>
          <w:p w14:paraId="4B898A1B"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6841B80" w14:textId="77777777" w:rsidR="00922249" w:rsidRPr="00CB2EC4" w:rsidRDefault="003011D5">
            <w:pPr>
              <w:rPr>
                <w:rFonts w:ascii="Times New Roman" w:hAnsi="Times New Roman" w:cs="Times New Roman"/>
              </w:rPr>
            </w:pPr>
            <w:r w:rsidRPr="00CB2EC4">
              <w:rPr>
                <w:rFonts w:ascii="Times New Roman" w:hAnsi="Times New Roman" w:cs="Times New Roman"/>
              </w:rPr>
              <w:t>high-risk pathological factors after radical hysterectomy include: positive lymph nodes, positive surgical margins, and parametrial infiltration. The presence of any one of these high-risk factors warrants further evaluation.</w:t>
            </w:r>
            <w:r w:rsidRPr="00CB2EC4">
              <w:rPr>
                <w:rFonts w:ascii="Times New Roman" w:hAnsi="Times New Roman" w:cs="Times New Roman"/>
              </w:rPr>
              <w:br/>
            </w:r>
            <w:r w:rsidRPr="00CB2EC4">
              <w:rPr>
                <w:rFonts w:ascii="Times New Roman" w:hAnsi="Times New Roman" w:cs="Times New Roman"/>
              </w:rPr>
              <w:br/>
              <w:t>For patients with these high-risk factors, adjuvant treatment is recommended as follows: pelvic external beam radiotherapy plus concurrent platinum-based chemotherapy (concurrent chemoradiotherapy), with possible addition of vaginal brachytherapy. The guideline emphasizes that in the absence of para-aortic lymph node involvement or distant metastasis, this regimen should be administered (evidence level I). Concurrent chemotherapy typically uses single-agent cisplatin (e.g., cisplatin 40 mg/m² weekly), with carboplatin as an alternative for patients intolerant to cisplatin.</w:t>
            </w:r>
          </w:p>
        </w:tc>
        <w:tc>
          <w:tcPr>
            <w:tcW w:w="1152" w:type="dxa"/>
            <w:vAlign w:val="center"/>
          </w:tcPr>
          <w:p w14:paraId="451FFA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6E1B9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C8EF7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34A88A9" w14:textId="77777777">
        <w:tc>
          <w:tcPr>
            <w:tcW w:w="2160" w:type="dxa"/>
            <w:vAlign w:val="center"/>
          </w:tcPr>
          <w:p w14:paraId="593643D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11D53B8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high-risk pathological factors (Document Fragment 4, 22):  </w:t>
            </w:r>
            <w:r w:rsidRPr="00CB2EC4">
              <w:rPr>
                <w:rFonts w:ascii="Times New Roman" w:hAnsi="Times New Roman" w:cs="Times New Roman"/>
              </w:rPr>
              <w:br/>
              <w:t xml:space="preserve">  Include positive lymph nodes, positive surgical margins, and parametrial infiltration (any one of these three qualifies as high-risk).  </w:t>
            </w:r>
            <w:r w:rsidRPr="00CB2EC4">
              <w:rPr>
                <w:rFonts w:ascii="Times New Roman" w:hAnsi="Times New Roman" w:cs="Times New Roman"/>
              </w:rPr>
              <w:br/>
              <w:t xml:space="preserve">- Adjuvant treatment regimen:  </w:t>
            </w:r>
            <w:r w:rsidRPr="00CB2EC4">
              <w:rPr>
                <w:rFonts w:ascii="Times New Roman" w:hAnsi="Times New Roman" w:cs="Times New Roman"/>
              </w:rPr>
              <w:br/>
              <w:t xml:space="preserve">  - Level I recommendation: Postoperative adjuvant pelvic external beam radiotherapy (EBRT) + platinum-based concurrent chemotherapy (e.g., weekly cisplatin), with vaginal brachytherapy added when necessary (Document Fragment 4, 22).  </w:t>
            </w:r>
            <w:r w:rsidRPr="00CB2EC4">
              <w:rPr>
                <w:rFonts w:ascii="Times New Roman" w:hAnsi="Times New Roman" w:cs="Times New Roman"/>
              </w:rPr>
              <w:br/>
              <w:t xml:space="preserve">  &gt; *Source: Fragment 4 (relevance 0.8640) defines high-risk factors; Fragment 22 (relevance 0.6030) specifies treatment recommendations: "High-risk features include positive surgical margins, lymph node metastasis, or parametrial spread, and such patients should receive PORT (postoperative radiotherapy)... GOG109 demonstrated an overall survival benefit."*</w:t>
            </w:r>
          </w:p>
        </w:tc>
        <w:tc>
          <w:tcPr>
            <w:tcW w:w="1152" w:type="dxa"/>
            <w:vAlign w:val="center"/>
          </w:tcPr>
          <w:p w14:paraId="3C59EB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BDF3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257D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529D48" w14:textId="77777777">
        <w:tc>
          <w:tcPr>
            <w:tcW w:w="2160" w:type="dxa"/>
            <w:vAlign w:val="center"/>
          </w:tcPr>
          <w:p w14:paraId="7D6973D0"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18CEA26"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guidelines, which pathological factors are considered "high-risk factors" after radical hysterectomy? for patients with these high-risk factors, what adjuvant therapy should be administered?</w:t>
            </w:r>
            <w:r w:rsidRPr="00CB2EC4">
              <w:rPr>
                <w:rFonts w:ascii="Times New Roman" w:hAnsi="Times New Roman" w:cs="Times New Roman"/>
              </w:rPr>
              <w:br/>
            </w:r>
            <w:r w:rsidRPr="00CB2EC4">
              <w:rPr>
                <w:rFonts w:ascii="Times New Roman" w:hAnsi="Times New Roman" w:cs="Times New Roman"/>
              </w:rPr>
              <w:br/>
              <w:t>based on the contextual information (relevant sections 3 and 9):</w:t>
            </w:r>
            <w:r w:rsidRPr="00CB2EC4">
              <w:rPr>
                <w:rFonts w:ascii="Times New Roman" w:hAnsi="Times New Roman" w:cs="Times New Roman"/>
              </w:rPr>
              <w:br/>
              <w:t>- high-risk factors include: positive surgical margins, lymph node metastasis (positive pelvic lymph nodes), parametrial infiltration (parametrial spread). the presence of any one of these factors qualifies as high-risk.</w:t>
            </w:r>
            <w:r w:rsidRPr="00CB2EC4">
              <w:rPr>
                <w:rFonts w:ascii="Times New Roman" w:hAnsi="Times New Roman" w:cs="Times New Roman"/>
              </w:rPr>
              <w:br/>
              <w:t xml:space="preserve">- adjuvant therapy: for patients with these high-risk factors, pelvic external beam radiotherapy (EBRT) plus concurrent platinum-based chemotherapy </w:t>
            </w:r>
            <w:r w:rsidRPr="00CB2EC4">
              <w:rPr>
                <w:rFonts w:ascii="Times New Roman" w:hAnsi="Times New Roman" w:cs="Times New Roman"/>
              </w:rPr>
              <w:lastRenderedPageBreak/>
              <w:t>(evidence level I) is recommended, with possible addition of vaginal brachytherapy depending on specific circumstances. rationale: postoperative adjuvant radiotherapy and chemotherapy are needed to reduce recurrence risk and improve survival rates; this regimen is implemented after imaging confirms no para-aortic lymph node involvement or other distant metastases.</w:t>
            </w:r>
          </w:p>
        </w:tc>
        <w:tc>
          <w:tcPr>
            <w:tcW w:w="1152" w:type="dxa"/>
            <w:vAlign w:val="center"/>
          </w:tcPr>
          <w:p w14:paraId="25FF89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544B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7DB12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31ED85" w14:textId="77777777">
        <w:tc>
          <w:tcPr>
            <w:tcW w:w="2160" w:type="dxa"/>
            <w:vAlign w:val="center"/>
          </w:tcPr>
          <w:p w14:paraId="1E68963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D57ABA0" w14:textId="77777777" w:rsidR="00922249" w:rsidRPr="00CB2EC4" w:rsidRDefault="003011D5">
            <w:pPr>
              <w:rPr>
                <w:rFonts w:ascii="Times New Roman" w:hAnsi="Times New Roman" w:cs="Times New Roman"/>
              </w:rPr>
            </w:pPr>
            <w:r w:rsidRPr="00CB2EC4">
              <w:rPr>
                <w:rFonts w:ascii="Times New Roman" w:hAnsi="Times New Roman" w:cs="Times New Roman"/>
              </w:rPr>
              <w:t>high-risk factors: High-risk factors after radical hysterectomy include:</w:t>
            </w:r>
            <w:r w:rsidRPr="00CB2EC4">
              <w:rPr>
                <w:rFonts w:ascii="Times New Roman" w:hAnsi="Times New Roman" w:cs="Times New Roman"/>
              </w:rPr>
              <w:br/>
              <w:t xml:space="preserve">  - Lymph node metastasis (positive).</w:t>
            </w:r>
            <w:r w:rsidRPr="00CB2EC4">
              <w:rPr>
                <w:rFonts w:ascii="Times New Roman" w:hAnsi="Times New Roman" w:cs="Times New Roman"/>
              </w:rPr>
              <w:br/>
              <w:t xml:space="preserve">  - Parametrial involvement (positive).</w:t>
            </w:r>
            <w:r w:rsidRPr="00CB2EC4">
              <w:rPr>
                <w:rFonts w:ascii="Times New Roman" w:hAnsi="Times New Roman" w:cs="Times New Roman"/>
              </w:rPr>
              <w:br/>
              <w:t xml:space="preserve">  - Positive (or close) surgical margins.</w:t>
            </w:r>
            <w:r w:rsidRPr="00CB2EC4">
              <w:rPr>
                <w:rFonts w:ascii="Times New Roman" w:hAnsi="Times New Roman" w:cs="Times New Roman"/>
              </w:rPr>
              <w:br/>
              <w:t>- Adjuvant treatment: For patients with these high-risk factors, adjuvant concurrent chemoradiotherapy is recommended to reduce the risk of recurrence and improve survival rates.</w:t>
            </w:r>
          </w:p>
        </w:tc>
        <w:tc>
          <w:tcPr>
            <w:tcW w:w="1152" w:type="dxa"/>
            <w:vAlign w:val="center"/>
          </w:tcPr>
          <w:p w14:paraId="175FE5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4ED96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C463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9CBB6B3" w14:textId="77777777">
        <w:tc>
          <w:tcPr>
            <w:tcW w:w="10656" w:type="dxa"/>
            <w:gridSpan w:val="5"/>
            <w:tcBorders>
              <w:bottom w:val="single" w:sz="6" w:space="0" w:color="auto"/>
            </w:tcBorders>
            <w:vAlign w:val="center"/>
          </w:tcPr>
          <w:p w14:paraId="1C71EE32" w14:textId="77777777" w:rsidR="00922249" w:rsidRPr="00CB2EC4" w:rsidRDefault="003011D5">
            <w:pPr>
              <w:rPr>
                <w:rFonts w:ascii="Times New Roman" w:hAnsi="Times New Roman" w:cs="Times New Roman"/>
              </w:rPr>
            </w:pPr>
            <w:r w:rsidRPr="00CB2EC4">
              <w:rPr>
                <w:rFonts w:ascii="Times New Roman" w:hAnsi="Times New Roman" w:cs="Times New Roman"/>
                <w:b/>
              </w:rPr>
              <w:t>Question 89: For a 40-year-old patient with early-stage cervical cancer (e.g., stage IB1) and no contraindications to surgery, why is surgery typically recommended as the preferred treatment, given that its efficacy is comparable to that of definitive radiotherapy?</w:t>
            </w:r>
          </w:p>
        </w:tc>
      </w:tr>
      <w:tr w:rsidR="00922249" w:rsidRPr="00CB2EC4" w14:paraId="5B0326B6" w14:textId="77777777">
        <w:tc>
          <w:tcPr>
            <w:tcW w:w="2160" w:type="dxa"/>
            <w:vAlign w:val="center"/>
          </w:tcPr>
          <w:p w14:paraId="772CD64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E2464A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40-year-old patient with early-stage cervical cancer (such as IB1) and no surgical contraindications, surgery is typically prioritized over definitive radiotherapy despite comparable efficacy (similar 5-year survival rates) for the following clinical reasons:  </w:t>
            </w:r>
            <w:r w:rsidRPr="00CB2EC4">
              <w:rPr>
                <w:rFonts w:ascii="Times New Roman" w:hAnsi="Times New Roman" w:cs="Times New Roman"/>
              </w:rPr>
              <w:br/>
              <w:t xml:space="preserve">  - preservation of ovarian function: surgery avoids radiation-induced ovarian damage, eliminating the need for hormone replacement therapy, which is particularly important for younger patients (under 45) to maintain endocrine balance and fertility potential.  </w:t>
            </w:r>
            <w:r w:rsidRPr="00CB2EC4">
              <w:rPr>
                <w:rFonts w:ascii="Times New Roman" w:hAnsi="Times New Roman" w:cs="Times New Roman"/>
              </w:rPr>
              <w:br/>
              <w:t xml:space="preserve">  - preservation of vaginal function: surgery maintains vaginal elasticity and lubricating secretions, </w:t>
            </w:r>
            <w:r w:rsidRPr="00CB2EC4">
              <w:rPr>
                <w:rFonts w:ascii="Times New Roman" w:hAnsi="Times New Roman" w:cs="Times New Roman"/>
              </w:rPr>
              <w:lastRenderedPageBreak/>
              <w:t xml:space="preserve">preventing radiation-induced vaginal atrophy, narrowing, or dryness, thereby improving quality of life.  </w:t>
            </w:r>
            <w:r w:rsidRPr="00CB2EC4">
              <w:rPr>
                <w:rFonts w:ascii="Times New Roman" w:hAnsi="Times New Roman" w:cs="Times New Roman"/>
              </w:rPr>
              <w:br/>
              <w:t xml:space="preserve">  - advantage of comprehensive pelvic-abdominal exploration: surgery allows full assessment of the pelvic and abdominal cavities, enabling accurate pathological staging (e.g., lymph node metastasis), which guides individualized postoperative adjuvant therapy (such as radiotherapy or chemotherapy); radiotherapy cannot provide this diagnostic information.  </w:t>
            </w:r>
            <w:r w:rsidRPr="00CB2EC4">
              <w:rPr>
                <w:rFonts w:ascii="Times New Roman" w:hAnsi="Times New Roman" w:cs="Times New Roman"/>
              </w:rPr>
              <w:br/>
              <w:t xml:space="preserve">  - avoidance of radiotherapy-related complications: surgery reduces the risk of late radiotherapy complications, such as painful rectal or bladder reactions (e.g., radiation cystitis or proctitis).  </w:t>
            </w:r>
            <w:r w:rsidRPr="00CB2EC4">
              <w:rPr>
                <w:rFonts w:ascii="Times New Roman" w:hAnsi="Times New Roman" w:cs="Times New Roman"/>
              </w:rPr>
              <w:br/>
              <w:t xml:space="preserve">  - evidence basis: as detailed in the source document (similarity: 0.550) under "advantages and disadvantages of surgical treatment": "(1) It can preserve ovarian function without the need for hormone replacement therapy. It preserves a more functional vagina, whose elasticity and secretory lubrication are often maintained, avoiding vaginal shrinkage and atrophy. This is especially important for patients under 45. (2) A potential benefit of surgery is the opportunity for complete pelvic-abdominal exploration, identifying discrepancies between clinical and pathological staging, the results of which can alter treatment plans. (4) Avoid irradiation of normal tissues, particularly preventing painful late rectal and bladder radiation reactions." These factors collectively make surgery the preferred option for younger patients.</w:t>
            </w:r>
          </w:p>
        </w:tc>
        <w:tc>
          <w:tcPr>
            <w:tcW w:w="1152" w:type="dxa"/>
            <w:vAlign w:val="center"/>
          </w:tcPr>
          <w:p w14:paraId="25369A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ADA00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851F3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CF6B79E" w14:textId="77777777">
        <w:tc>
          <w:tcPr>
            <w:tcW w:w="2160" w:type="dxa"/>
            <w:vAlign w:val="center"/>
          </w:tcPr>
          <w:p w14:paraId="22F0FE25"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25285B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40-year-old patient with early-stage cervical cancer (such as IB1) and no surgical </w:t>
            </w:r>
            <w:r w:rsidRPr="00CB2EC4">
              <w:rPr>
                <w:rFonts w:ascii="Times New Roman" w:hAnsi="Times New Roman" w:cs="Times New Roman"/>
              </w:rPr>
              <w:lastRenderedPageBreak/>
              <w:t>contraindications, surgery is typically prioritized over definitive radiotherapy despite comparable efficacy, based on the following clinical considerations:</w:t>
            </w:r>
            <w:r w:rsidRPr="00CB2EC4">
              <w:rPr>
                <w:rFonts w:ascii="Times New Roman" w:hAnsi="Times New Roman" w:cs="Times New Roman"/>
              </w:rPr>
              <w:br/>
            </w:r>
            <w:r w:rsidRPr="00CB2EC4">
              <w:rPr>
                <w:rFonts w:ascii="Times New Roman" w:hAnsi="Times New Roman" w:cs="Times New Roman"/>
              </w:rPr>
              <w:br/>
              <w:t>- preservation of ovarian function: surgery avoids radiation-induced ovarian damage, which is particularly important for premenopausal patients under 45 years old. as stated in document fragment 6: "able to preserve ovarian function without the need for hormone replacement therapy." document fragment 9 further clarifies: "since radiotherapy may lead to related complications, for premenopausal patients, especially those under 45 years of age and without surgical contraindications, surgery may be chosen."</w:t>
            </w:r>
            <w:r w:rsidRPr="00CB2EC4">
              <w:rPr>
                <w:rFonts w:ascii="Times New Roman" w:hAnsi="Times New Roman" w:cs="Times New Roman"/>
              </w:rPr>
              <w:br/>
            </w:r>
            <w:r w:rsidRPr="00CB2EC4">
              <w:rPr>
                <w:rFonts w:ascii="Times New Roman" w:hAnsi="Times New Roman" w:cs="Times New Roman"/>
              </w:rPr>
              <w:br/>
              <w:t>- avoidance of radiotherapy complications: radiotherapy carries risks of late rectal and bladder toxicities (e.g., radiation cystitis or proctitis), which surgery can mitigate. document fragment 6 notes: "avoidance of painful late rectal and bladder radiation reactions."</w:t>
            </w:r>
            <w:r w:rsidRPr="00CB2EC4">
              <w:rPr>
                <w:rFonts w:ascii="Times New Roman" w:hAnsi="Times New Roman" w:cs="Times New Roman"/>
              </w:rPr>
              <w:br/>
            </w:r>
            <w:r w:rsidRPr="00CB2EC4">
              <w:rPr>
                <w:rFonts w:ascii="Times New Roman" w:hAnsi="Times New Roman" w:cs="Times New Roman"/>
              </w:rPr>
              <w:br/>
              <w:t>- preservation of vaginal and reproductive function: surgery (e.g., radical trachelectomy) may allow fertility preservation in eligible patients, whereas radiotherapy typically results in infertility. document fragment 9 states: "for eligible patients desiring fertility preservation, fertility-sparing surgical approaches may be adopted."</w:t>
            </w:r>
            <w:r w:rsidRPr="00CB2EC4">
              <w:rPr>
                <w:rFonts w:ascii="Times New Roman" w:hAnsi="Times New Roman" w:cs="Times New Roman"/>
              </w:rPr>
              <w:br/>
            </w:r>
            <w:r w:rsidRPr="00CB2EC4">
              <w:rPr>
                <w:rFonts w:ascii="Times New Roman" w:hAnsi="Times New Roman" w:cs="Times New Roman"/>
              </w:rPr>
              <w:br/>
              <w:t xml:space="preserve">- intraoperative assessment and post-surgical tailoring: surgery enables comprehensive pelvic and abdominal exploration, allowing adjustment of adjuvant therapy based on pathological findings. document fragment 6 </w:t>
            </w:r>
            <w:r w:rsidRPr="00CB2EC4">
              <w:rPr>
                <w:rFonts w:ascii="Times New Roman" w:hAnsi="Times New Roman" w:cs="Times New Roman"/>
              </w:rPr>
              <w:lastRenderedPageBreak/>
              <w:t>explains: "a potential benefit of surgery is the opportunity for complete pelvic and abdominal exploration, distinguishing clinical from pathological staging, which may alter the treatment plan."</w:t>
            </w:r>
            <w:r w:rsidRPr="00CB2EC4">
              <w:rPr>
                <w:rFonts w:ascii="Times New Roman" w:hAnsi="Times New Roman" w:cs="Times New Roman"/>
              </w:rPr>
              <w:br/>
            </w:r>
            <w:r w:rsidRPr="00CB2EC4">
              <w:rPr>
                <w:rFonts w:ascii="Times New Roman" w:hAnsi="Times New Roman" w:cs="Times New Roman"/>
              </w:rPr>
              <w:br/>
              <w:t>therefore, for a 40-year-old IB1 patient, surgery is preferentially recommended to optimize quality of life and minimize long-term complications.</w:t>
            </w:r>
          </w:p>
        </w:tc>
        <w:tc>
          <w:tcPr>
            <w:tcW w:w="1152" w:type="dxa"/>
            <w:vAlign w:val="center"/>
          </w:tcPr>
          <w:p w14:paraId="02E19B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1BF5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99DE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4622B5" w14:textId="77777777">
        <w:tc>
          <w:tcPr>
            <w:tcW w:w="2160" w:type="dxa"/>
            <w:vAlign w:val="center"/>
          </w:tcPr>
          <w:p w14:paraId="0FEEEED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5C4D3153" w14:textId="77777777" w:rsidR="00922249" w:rsidRPr="00CB2EC4" w:rsidRDefault="003011D5">
            <w:pPr>
              <w:rPr>
                <w:rFonts w:ascii="Times New Roman" w:hAnsi="Times New Roman" w:cs="Times New Roman"/>
              </w:rPr>
            </w:pPr>
            <w:r w:rsidRPr="00CB2EC4">
              <w:rPr>
                <w:rFonts w:ascii="Times New Roman" w:hAnsi="Times New Roman" w:cs="Times New Roman"/>
              </w:rPr>
              <w:t>for a 40-year-old early-stage cervical cancer patient (such as IB1) without surgical contraindications, surgery is typically prioritized over radical radiotherapy despite comparable efficacy due to the following reasons:</w:t>
            </w:r>
            <w:r w:rsidRPr="00CB2EC4">
              <w:rPr>
                <w:rFonts w:ascii="Times New Roman" w:hAnsi="Times New Roman" w:cs="Times New Roman"/>
              </w:rPr>
              <w:br/>
            </w:r>
            <w:r w:rsidRPr="00CB2EC4">
              <w:rPr>
                <w:rFonts w:ascii="Times New Roman" w:hAnsi="Times New Roman" w:cs="Times New Roman"/>
              </w:rPr>
              <w:br/>
              <w:t>- surgery allows for the preservation of ovarian function, especially important for premenopausal women, whereas radiotherapy leads to ovarian failure (as noted: "surgery a potential benefit is the opportunity... to preserve ovarian function" and "since radiotherapy may cause related complications, for premenopausal patients, especially those under 45 years old without surgical contraindications, surgery may be chosen").</w:t>
            </w:r>
            <w:r w:rsidRPr="00CB2EC4">
              <w:rPr>
                <w:rFonts w:ascii="Times New Roman" w:hAnsi="Times New Roman" w:cs="Times New Roman"/>
              </w:rPr>
              <w:br/>
              <w:t>- surgery preserves vaginal function and elasticity, reducing the risk of vaginal atrophy or narrowing caused by radiotherapy (as noted: "surgery can preserve a functional vagina, whose elasticity and lubricating secretion are often maintained").</w:t>
            </w:r>
            <w:r w:rsidRPr="00CB2EC4">
              <w:rPr>
                <w:rFonts w:ascii="Times New Roman" w:hAnsi="Times New Roman" w:cs="Times New Roman"/>
              </w:rPr>
              <w:br/>
              <w:t>- surgery enables thorough pelvic and abdominal exploration, allowing accurate staging and adjustment of treatment plans (as noted: "able to perform a complete pelvic and abdominal exploration, distinguishing between clinical and pathological staging").</w:t>
            </w:r>
            <w:r w:rsidRPr="00CB2EC4">
              <w:rPr>
                <w:rFonts w:ascii="Times New Roman" w:hAnsi="Times New Roman" w:cs="Times New Roman"/>
              </w:rPr>
              <w:br/>
            </w:r>
            <w:r w:rsidRPr="00CB2EC4">
              <w:rPr>
                <w:rFonts w:ascii="Times New Roman" w:hAnsi="Times New Roman" w:cs="Times New Roman"/>
              </w:rPr>
              <w:lastRenderedPageBreak/>
              <w:t>- for IB1 stage patients, surgery is the preferred treatment modality (as noted: "FIGO IB1 stage... the preferred treatment is surgery").</w:t>
            </w:r>
          </w:p>
        </w:tc>
        <w:tc>
          <w:tcPr>
            <w:tcW w:w="1152" w:type="dxa"/>
            <w:vAlign w:val="center"/>
          </w:tcPr>
          <w:p w14:paraId="186A36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DA9CA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C1C8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4CD826" w14:textId="77777777">
        <w:tc>
          <w:tcPr>
            <w:tcW w:w="2160" w:type="dxa"/>
            <w:vAlign w:val="center"/>
          </w:tcPr>
          <w:p w14:paraId="2BAE683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CE03C53" w14:textId="77777777" w:rsidR="00922249" w:rsidRPr="00CB2EC4" w:rsidRDefault="003011D5">
            <w:pPr>
              <w:rPr>
                <w:rFonts w:ascii="Times New Roman" w:hAnsi="Times New Roman" w:cs="Times New Roman"/>
              </w:rPr>
            </w:pPr>
            <w:r w:rsidRPr="00CB2EC4">
              <w:rPr>
                <w:rFonts w:ascii="Times New Roman" w:hAnsi="Times New Roman" w:cs="Times New Roman"/>
              </w:rPr>
              <w:t>reasons for prioritizing surgery in young IB1 stage patients</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The core advantages of prioritizing surgery include:  </w:t>
            </w:r>
            <w:r w:rsidRPr="00CB2EC4">
              <w:rPr>
                <w:rFonts w:ascii="Times New Roman" w:hAnsi="Times New Roman" w:cs="Times New Roman"/>
              </w:rPr>
              <w:br/>
              <w:t xml:space="preserve">1. Preservation of ovarian function: Avoids radiation-induced premature ovarian failure, eliminating the need for hormone replacement therapy (knowledge base document).  </w:t>
            </w:r>
            <w:r w:rsidRPr="00CB2EC4">
              <w:rPr>
                <w:rFonts w:ascii="Times New Roman" w:hAnsi="Times New Roman" w:cs="Times New Roman"/>
              </w:rPr>
              <w:br/>
              <w:t xml:space="preserve">2. Preservation of vaginal function: Reduces radiation-induced vaginal atrophy and stenosis, maintaining sexual quality of life (knowledge base document).  </w:t>
            </w:r>
            <w:r w:rsidRPr="00CB2EC4">
              <w:rPr>
                <w:rFonts w:ascii="Times New Roman" w:hAnsi="Times New Roman" w:cs="Times New Roman"/>
              </w:rPr>
              <w:br/>
              <w:t xml:space="preserve">3. Avoidance of radiation complications: Such as late toxicities including radiation cystitis and proctitis (knowledge base document).  </w:t>
            </w:r>
            <w:r w:rsidRPr="00CB2EC4">
              <w:rPr>
                <w:rFonts w:ascii="Times New Roman" w:hAnsi="Times New Roman" w:cs="Times New Roman"/>
              </w:rPr>
              <w:br/>
              <w:t xml:space="preserve">4. Value of intraoperative staging: Surgery allows comprehensive exploration of the pelvic and abdominal cavities, enabling precise pathological staging to guide subsequent treatment (knowledge base document).  </w:t>
            </w:r>
            <w:r w:rsidRPr="00CB2EC4">
              <w:rPr>
                <w:rFonts w:ascii="Times New Roman" w:hAnsi="Times New Roman" w:cs="Times New Roman"/>
              </w:rPr>
              <w:br/>
            </w:r>
            <w:r w:rsidRPr="00CB2EC4">
              <w:rPr>
                <w:rFonts w:ascii="Times New Roman" w:hAnsi="Times New Roman" w:cs="Times New Roman"/>
              </w:rPr>
              <w:br/>
              <w:t xml:space="preserve">Source note:  </w:t>
            </w:r>
            <w:r w:rsidRPr="00CB2EC4">
              <w:rPr>
                <w:rFonts w:ascii="Times New Roman" w:hAnsi="Times New Roman" w:cs="Times New Roman"/>
              </w:rPr>
              <w:br/>
              <w:t>- The "Advantages and Disadvantages of Surgical Treatment" section of the knowledge base document provides detailed elaboration; web search results emphasize the quality-of-life requirements for young patients.</w:t>
            </w:r>
          </w:p>
        </w:tc>
        <w:tc>
          <w:tcPr>
            <w:tcW w:w="1152" w:type="dxa"/>
            <w:vAlign w:val="center"/>
          </w:tcPr>
          <w:p w14:paraId="217727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25C5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1010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7087921" w14:textId="77777777">
        <w:tc>
          <w:tcPr>
            <w:tcW w:w="2160" w:type="dxa"/>
            <w:vAlign w:val="center"/>
          </w:tcPr>
          <w:p w14:paraId="590CDC4E"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D6C868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Although surgery and radical radiotherapy are comparable in efficacy (with similar 5-year survival rates), for a 40-year-old patient with early-stage </w:t>
            </w:r>
            <w:r w:rsidRPr="00CB2EC4">
              <w:rPr>
                <w:rFonts w:ascii="Times New Roman" w:hAnsi="Times New Roman" w:cs="Times New Roman"/>
              </w:rPr>
              <w:lastRenderedPageBreak/>
              <w:t xml:space="preserve">cervical cancer (e.g., stage IB1) and no surgical contraindications, clinical preference leans toward surgical treatment for the following reasons:  </w:t>
            </w:r>
            <w:r w:rsidRPr="00CB2EC4">
              <w:rPr>
                <w:rFonts w:ascii="Times New Roman" w:hAnsi="Times New Roman" w:cs="Times New Roman"/>
              </w:rPr>
              <w:br/>
              <w:t xml:space="preserve">- **Preservation of ovarian function:** Surgery avoids radiation-induced damage to the ovaries, which is particularly critical for young premenopausal patients (under 45 years old). The advantage of surgery lies in the potential preservation of ovarian function; it is the preferred treatment for young women who wish to retain ovarian and sexual function. Radiotherapy may lead to premature ovarian failure, necessitating hormone replacement therapy, whereas ovarian transposition can be performed during surgery to protect the ovaries.  </w:t>
            </w:r>
            <w:r w:rsidRPr="00CB2EC4">
              <w:rPr>
                <w:rFonts w:ascii="Times New Roman" w:hAnsi="Times New Roman" w:cs="Times New Roman"/>
              </w:rPr>
              <w:br/>
              <w:t xml:space="preserve">- **Avoidance of radiotherapy complications:** Radiotherapy may cause late rectal and bladder complications (e.g., radiation cystitis or proctitis), while surgery reduces these risks. It spares normal tissues from irradiation, particularly preventing painful late rectal and bladder radiation reactions.  </w:t>
            </w:r>
            <w:r w:rsidRPr="00CB2EC4">
              <w:rPr>
                <w:rFonts w:ascii="Times New Roman" w:hAnsi="Times New Roman" w:cs="Times New Roman"/>
              </w:rPr>
              <w:br/>
              <w:t xml:space="preserve">- **Accurate pathological staging and individualized treatment:** Surgery allows for comprehensive pelvic and abdominal exploration and pathological evaluation, aiding in the detection of occult spread (e.g., lymph node metastasis) and subsequent adjustment of treatment plans. A potential benefit of surgery is the opportunity for complete pelvic and abdominal exploration, identifying discrepancies between clinical and pathological staging, which may alter the treatment strategy.  </w:t>
            </w:r>
            <w:r w:rsidRPr="00CB2EC4">
              <w:rPr>
                <w:rFonts w:ascii="Times New Roman" w:hAnsi="Times New Roman" w:cs="Times New Roman"/>
              </w:rPr>
              <w:br/>
              <w:t xml:space="preserve">- **Preservation of vaginal function:** Surgery may better maintain vaginal elasticity and function, reducing the risk of vaginal atrophy or stenosis caused by radiotherapy. It preserves a more functional vagina, </w:t>
            </w:r>
            <w:r w:rsidRPr="00CB2EC4">
              <w:rPr>
                <w:rFonts w:ascii="Times New Roman" w:hAnsi="Times New Roman" w:cs="Times New Roman"/>
              </w:rPr>
              <w:lastRenderedPageBreak/>
              <w:t xml:space="preserve">often retaining its elasticity and lubrication capacity.  </w:t>
            </w:r>
            <w:r w:rsidRPr="00CB2EC4">
              <w:rPr>
                <w:rFonts w:ascii="Times New Roman" w:hAnsi="Times New Roman" w:cs="Times New Roman"/>
              </w:rPr>
              <w:br/>
              <w:t>- **The above factors are particularly supported for patients under 45 years old, making surgery the preferred choice.**</w:t>
            </w:r>
          </w:p>
        </w:tc>
        <w:tc>
          <w:tcPr>
            <w:tcW w:w="1152" w:type="dxa"/>
            <w:vAlign w:val="center"/>
          </w:tcPr>
          <w:p w14:paraId="277128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3833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22FB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547BA8" w14:textId="77777777">
        <w:tc>
          <w:tcPr>
            <w:tcW w:w="2160" w:type="dxa"/>
            <w:vAlign w:val="center"/>
          </w:tcPr>
          <w:p w14:paraId="5B1BA88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4F1E0097" w14:textId="77777777" w:rsidR="00922249" w:rsidRPr="00CB2EC4" w:rsidRDefault="003011D5">
            <w:pPr>
              <w:rPr>
                <w:rFonts w:ascii="Times New Roman" w:hAnsi="Times New Roman" w:cs="Times New Roman"/>
              </w:rPr>
            </w:pPr>
            <w:r w:rsidRPr="00CB2EC4">
              <w:rPr>
                <w:rFonts w:ascii="Times New Roman" w:hAnsi="Times New Roman" w:cs="Times New Roman"/>
              </w:rPr>
              <w:t>for a 40-year-old patient with early-stage cervical cancer (such as IB1) and no surgical contraindications, surgery is typically prioritized over definitive radiotherapy despite comparable efficacy for the following reasons:</w:t>
            </w:r>
            <w:r w:rsidRPr="00CB2EC4">
              <w:rPr>
                <w:rFonts w:ascii="Times New Roman" w:hAnsi="Times New Roman" w:cs="Times New Roman"/>
              </w:rPr>
              <w:br/>
            </w:r>
            <w:r w:rsidRPr="00CB2EC4">
              <w:rPr>
                <w:rFonts w:ascii="Times New Roman" w:hAnsi="Times New Roman" w:cs="Times New Roman"/>
              </w:rPr>
              <w:br/>
              <w:t>- equivalent efficacy: document 6 indicates that surgery and radiotherapy yield similar 5-year survival rates for IB1 cervical cancer (no statistically significant difference), but surgery offers advantages in specific populations.</w:t>
            </w:r>
            <w:r w:rsidRPr="00CB2EC4">
              <w:rPr>
                <w:rFonts w:ascii="Times New Roman" w:hAnsi="Times New Roman" w:cs="Times New Roman"/>
              </w:rPr>
              <w:br/>
              <w:t>- reasons for prioritizing surgery:</w:t>
            </w:r>
            <w:r w:rsidRPr="00CB2EC4">
              <w:rPr>
                <w:rFonts w:ascii="Times New Roman" w:hAnsi="Times New Roman" w:cs="Times New Roman"/>
              </w:rPr>
              <w:br/>
              <w:t xml:space="preserve">  - preservation of ovarian and vaginal function: surgery avoids radiotherapy-induced ovarian failure and vaginal atrophy, which is particularly important for younger patients (e.g., 40 years old). document 3 emphasizes: “(surgery) can preserve ovarian function without the need for hormone replacement therapy. It can preserve a more functional vagina, whose elasticity and lubricating secretions are often maintained... this is especially important for patients under 45 years of age.”</w:t>
            </w:r>
            <w:r w:rsidRPr="00CB2EC4">
              <w:rPr>
                <w:rFonts w:ascii="Times New Roman" w:hAnsi="Times New Roman" w:cs="Times New Roman"/>
              </w:rPr>
              <w:br/>
              <w:t xml:space="preserve">  - reduced long-term complications: radiotherapy may cause vaginal narrowing, atrophy, and sexual dysfunction, whereas surgery (especially minimally invasive techniques) lowers these risks. document 14 adds: “surgical advantages include... removal of radioresistant tumors... and the potential to preserve ovarian function.”</w:t>
            </w:r>
            <w:r w:rsidRPr="00CB2EC4">
              <w:rPr>
                <w:rFonts w:ascii="Times New Roman" w:hAnsi="Times New Roman" w:cs="Times New Roman"/>
              </w:rPr>
              <w:br/>
              <w:t xml:space="preserve">  - individualized treatment and staging advantage: </w:t>
            </w:r>
            <w:r w:rsidRPr="00CB2EC4">
              <w:rPr>
                <w:rFonts w:ascii="Times New Roman" w:hAnsi="Times New Roman" w:cs="Times New Roman"/>
              </w:rPr>
              <w:lastRenderedPageBreak/>
              <w:t>surgery allows intraoperative exploration of the pelvis and abdomen, enabling accurate pathological staging (document 3), which facilitates individualized adjuvant therapy planning post-surgery (e.g., whether chemotherapy or radiotherapy is needed).</w:t>
            </w:r>
            <w:r w:rsidRPr="00CB2EC4">
              <w:rPr>
                <w:rFonts w:ascii="Times New Roman" w:hAnsi="Times New Roman" w:cs="Times New Roman"/>
              </w:rPr>
              <w:br/>
              <w:t>therefore, for a 40-year-old patient without surgical contraindications, prioritizing surgery aims to preserve fertility-related functions and quality of life, even though both modalities offer equivalent oncologic outcomes.</w:t>
            </w:r>
          </w:p>
        </w:tc>
        <w:tc>
          <w:tcPr>
            <w:tcW w:w="1152" w:type="dxa"/>
            <w:vAlign w:val="center"/>
          </w:tcPr>
          <w:p w14:paraId="4D0972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E841E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D8174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1D538D" w14:textId="77777777">
        <w:tc>
          <w:tcPr>
            <w:tcW w:w="2160" w:type="dxa"/>
            <w:vAlign w:val="center"/>
          </w:tcPr>
          <w:p w14:paraId="7618CAC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027F99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Although surgery and radical radiotherapy yield comparable efficacy (with similar 5-year survival rates), for a 40-year-old young patient (premenopausal), surgical treatment is clinically prioritized. The main reasons include:  </w:t>
            </w:r>
            <w:r w:rsidRPr="00CB2EC4">
              <w:rPr>
                <w:rFonts w:ascii="Times New Roman" w:hAnsi="Times New Roman" w:cs="Times New Roman"/>
              </w:rPr>
              <w:br/>
              <w:t xml:space="preserve">- **Preservation of ovarian function:** Surgery avoids ovarian function loss caused by radiotherapy. For patients requiring postoperative radiotherapy, ovarian transposition (relocating the ovaries away from the radiation field, such as to the paracolic gutter) can protect ovarian function, which is crucial for maintaining hormone levels and fertility.  </w:t>
            </w:r>
            <w:r w:rsidRPr="00CB2EC4">
              <w:rPr>
                <w:rFonts w:ascii="Times New Roman" w:hAnsi="Times New Roman" w:cs="Times New Roman"/>
              </w:rPr>
              <w:br/>
              <w:t xml:space="preserve">- **Preservation of vaginal function:** Surgery preserves a more elastic and secretory vagina, avoiding radiotherapy-induced vaginal atrophy, stenosis, or dryness, thereby maintaining sexual quality of life.  </w:t>
            </w:r>
            <w:r w:rsidRPr="00CB2EC4">
              <w:rPr>
                <w:rFonts w:ascii="Times New Roman" w:hAnsi="Times New Roman" w:cs="Times New Roman"/>
              </w:rPr>
              <w:br/>
              <w:t xml:space="preserve">- **Accurate postoperative staging:** Surgical specimens provide detailed histopathological information, facilitating the formulation of individualized follow-up treatment plans (e.g., determining the need for adjuvant therapy).  </w:t>
            </w:r>
            <w:r w:rsidRPr="00CB2EC4">
              <w:rPr>
                <w:rFonts w:ascii="Times New Roman" w:hAnsi="Times New Roman" w:cs="Times New Roman"/>
              </w:rPr>
              <w:br/>
              <w:t xml:space="preserve">- **Removal of radiotherapy-resistant tumors:** Surgery directly excises tumor portions that may be </w:t>
            </w:r>
            <w:r w:rsidRPr="00CB2EC4">
              <w:rPr>
                <w:rFonts w:ascii="Times New Roman" w:hAnsi="Times New Roman" w:cs="Times New Roman"/>
              </w:rPr>
              <w:lastRenderedPageBreak/>
              <w:t xml:space="preserve">insensitive to radiotherapy, reducing recurrence risk.  </w:t>
            </w:r>
            <w:r w:rsidRPr="00CB2EC4">
              <w:rPr>
                <w:rFonts w:ascii="Times New Roman" w:hAnsi="Times New Roman" w:cs="Times New Roman"/>
              </w:rPr>
              <w:br/>
            </w:r>
            <w:r w:rsidRPr="00CB2EC4">
              <w:rPr>
                <w:rFonts w:ascii="Times New Roman" w:hAnsi="Times New Roman" w:cs="Times New Roman"/>
              </w:rPr>
              <w:br/>
              <w:t xml:space="preserve">The advantages of surgery are reflected in:  </w:t>
            </w:r>
            <w:r w:rsidRPr="00CB2EC4">
              <w:rPr>
                <w:rFonts w:ascii="Times New Roman" w:hAnsi="Times New Roman" w:cs="Times New Roman"/>
              </w:rPr>
              <w:br/>
              <w:t xml:space="preserve">(1) Accurate postoperative staging based on histopathological results, enabling tailored follow-up treatment plans.  </w:t>
            </w:r>
            <w:r w:rsidRPr="00CB2EC4">
              <w:rPr>
                <w:rFonts w:ascii="Times New Roman" w:hAnsi="Times New Roman" w:cs="Times New Roman"/>
              </w:rPr>
              <w:br/>
              <w:t xml:space="preserve">(2) Removal of radiotherapy-resistant tumors.  </w:t>
            </w:r>
            <w:r w:rsidRPr="00CB2EC4">
              <w:rPr>
                <w:rFonts w:ascii="Times New Roman" w:hAnsi="Times New Roman" w:cs="Times New Roman"/>
              </w:rPr>
              <w:br/>
              <w:t>(3) Potential preservation of ovarian function; for patients requiring postoperative radiotherapy, intraoperative ovarian transposition can be performed to relocate the ovaries away from the radiation field, such as to the paracolic gutter. Surgery is the preferred treatment for young women seeking to preserve ovarian and sexual function. Additionally, a 40-year-old patient belongs to a younger population (with surgery prioritized for those under 45 years old), making surgery more aligned with their quality-of-life needs.</w:t>
            </w:r>
          </w:p>
        </w:tc>
        <w:tc>
          <w:tcPr>
            <w:tcW w:w="1152" w:type="dxa"/>
            <w:vAlign w:val="center"/>
          </w:tcPr>
          <w:p w14:paraId="089F63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5BA49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9EA4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32BCF2" w14:textId="77777777">
        <w:tc>
          <w:tcPr>
            <w:tcW w:w="2160" w:type="dxa"/>
            <w:vAlign w:val="center"/>
          </w:tcPr>
          <w:p w14:paraId="231B3D7D"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712A239" w14:textId="77777777" w:rsidR="00922249" w:rsidRPr="00CB2EC4" w:rsidRDefault="003011D5">
            <w:pPr>
              <w:rPr>
                <w:rFonts w:ascii="Times New Roman" w:hAnsi="Times New Roman" w:cs="Times New Roman"/>
              </w:rPr>
            </w:pPr>
            <w:r w:rsidRPr="00CB2EC4">
              <w:rPr>
                <w:rFonts w:ascii="Times New Roman" w:hAnsi="Times New Roman" w:cs="Times New Roman"/>
              </w:rPr>
              <w:t>for a 40-year-old patient with early-stage cervical cancer (such as IB1) and no surgical contraindications, surgery is typically prioritized over definitive radiotherapy despite comparable efficacy for the following reasons:</w:t>
            </w:r>
            <w:r w:rsidRPr="00CB2EC4">
              <w:rPr>
                <w:rFonts w:ascii="Times New Roman" w:hAnsi="Times New Roman" w:cs="Times New Roman"/>
              </w:rPr>
              <w:br/>
            </w:r>
            <w:r w:rsidRPr="00CB2EC4">
              <w:rPr>
                <w:rFonts w:ascii="Times New Roman" w:hAnsi="Times New Roman" w:cs="Times New Roman"/>
              </w:rPr>
              <w:br/>
              <w:t>- preservation of ovarian function: surgery avoids radiation-induced ovarian damage, reducing the need for hormone replacement therapy. Document fragment 7 states: “(1) can preserve ovarian function, eliminating the need for hormone replacement therapy.” Fragment 11 adds: “surgery is the preferred treatment for young women requiring preservation of ovarian and sexual function... ovarian function may be preserved.”</w:t>
            </w:r>
            <w:r w:rsidRPr="00CB2EC4">
              <w:rPr>
                <w:rFonts w:ascii="Times New Roman" w:hAnsi="Times New Roman" w:cs="Times New Roman"/>
              </w:rPr>
              <w:br/>
              <w:t xml:space="preserve">- preservation of vaginal function: surgery maintains </w:t>
            </w:r>
            <w:r w:rsidRPr="00CB2EC4">
              <w:rPr>
                <w:rFonts w:ascii="Times New Roman" w:hAnsi="Times New Roman" w:cs="Times New Roman"/>
              </w:rPr>
              <w:lastRenderedPageBreak/>
              <w:t>vaginal elasticity and lubrication, preventing radiation-induced vaginal atrophy and narrowing. Fragment 6 notes: “can preserve a more functional vagina, whose elasticity and lubricating secretions are often maintained, avoiding vaginal shrinkage and atrophy. This is especially important for patients under 45.”</w:t>
            </w:r>
            <w:r w:rsidRPr="00CB2EC4">
              <w:rPr>
                <w:rFonts w:ascii="Times New Roman" w:hAnsi="Times New Roman" w:cs="Times New Roman"/>
              </w:rPr>
              <w:br/>
              <w:t>- accurate staging and individualized treatment: surgery allows for comprehensive pelvic and abdominal exploration, providing precise pathological staging to guide adjuvant therapy (e.g., radiotherapy or chemotherapy). Fragment 6 mentions: “a potential benefit of surgery is the opportunity for complete pelvic and abdominal exploration, distinguishing clinical from pathological staging, which can alter the treatment plan.” Fragment 11 emphasizes: “(1) accurate postoperative staging based on histopathological results enables individualized treatment planning.”</w:t>
            </w:r>
            <w:r w:rsidRPr="00CB2EC4">
              <w:rPr>
                <w:rFonts w:ascii="Times New Roman" w:hAnsi="Times New Roman" w:cs="Times New Roman"/>
              </w:rPr>
              <w:br/>
              <w:t>- removal of radioresistant tumors: surgery directly excises the tumor, reducing the risk of radioresistance. Fragment 11 states: “(2) removal of radioresistant tumors.”</w:t>
            </w:r>
            <w:r w:rsidRPr="00CB2EC4">
              <w:rPr>
                <w:rFonts w:ascii="Times New Roman" w:hAnsi="Times New Roman" w:cs="Times New Roman"/>
              </w:rPr>
              <w:br/>
              <w:t>- potential for fertility preservation: for young patients, surgical options (e.g., radical trachelectomy) may preserve the uterus, offering future fertility opportunities. Fragment 11 notes: “surgery is the preferred treatment for young women requiring preservation of ovarian and sexual function.”</w:t>
            </w:r>
            <w:r w:rsidRPr="00CB2EC4">
              <w:rPr>
                <w:rFonts w:ascii="Times New Roman" w:hAnsi="Times New Roman" w:cs="Times New Roman"/>
              </w:rPr>
              <w:br/>
            </w:r>
            <w:r w:rsidRPr="00CB2EC4">
              <w:rPr>
                <w:rFonts w:ascii="Times New Roman" w:hAnsi="Times New Roman" w:cs="Times New Roman"/>
              </w:rPr>
              <w:br/>
              <w:t>evidence: fragments 6, 7, and 11 detail the advantages of surgery in younger patients, particularly regarding functional preservation and quality of life improvement.</w:t>
            </w:r>
          </w:p>
        </w:tc>
        <w:tc>
          <w:tcPr>
            <w:tcW w:w="1152" w:type="dxa"/>
            <w:vAlign w:val="center"/>
          </w:tcPr>
          <w:p w14:paraId="50E65F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0E27A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6FC7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92B797" w14:textId="77777777">
        <w:tc>
          <w:tcPr>
            <w:tcW w:w="2160" w:type="dxa"/>
            <w:vAlign w:val="center"/>
          </w:tcPr>
          <w:p w14:paraId="5787575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7E2DC299" w14:textId="77777777" w:rsidR="00922249" w:rsidRPr="00CB2EC4" w:rsidRDefault="003011D5">
            <w:pPr>
              <w:rPr>
                <w:rFonts w:ascii="Times New Roman" w:hAnsi="Times New Roman" w:cs="Times New Roman"/>
              </w:rPr>
            </w:pPr>
            <w:r w:rsidRPr="00CB2EC4">
              <w:rPr>
                <w:rFonts w:ascii="Times New Roman" w:hAnsi="Times New Roman" w:cs="Times New Roman"/>
              </w:rPr>
              <w:t>for a 40-year-old early-stage cervical cancer patient (e.g., IB1 stage) without surgical contraindications, surgery is typically prioritized over radical radiotherapy despite comparable efficacy due to the following advantages:</w:t>
            </w:r>
            <w:r w:rsidRPr="00CB2EC4">
              <w:rPr>
                <w:rFonts w:ascii="Times New Roman" w:hAnsi="Times New Roman" w:cs="Times New Roman"/>
              </w:rPr>
              <w:br/>
            </w:r>
            <w:r w:rsidRPr="00CB2EC4">
              <w:rPr>
                <w:rFonts w:ascii="Times New Roman" w:hAnsi="Times New Roman" w:cs="Times New Roman"/>
              </w:rPr>
              <w:br/>
              <w:t>- preservation of ovarian function: surgery avoids radiation-induced ovarian damage, which is particularly important for patients under 45 years of age and eliminates the need for hormone replacement therapy (third segment).</w:t>
            </w:r>
            <w:r w:rsidRPr="00CB2EC4">
              <w:rPr>
                <w:rFonts w:ascii="Times New Roman" w:hAnsi="Times New Roman" w:cs="Times New Roman"/>
              </w:rPr>
              <w:br/>
              <w:t>- preservation of vaginal function: surgery maintains vaginal elasticity and lubrication, reducing the risk of atrophy (third segment).</w:t>
            </w:r>
            <w:r w:rsidRPr="00CB2EC4">
              <w:rPr>
                <w:rFonts w:ascii="Times New Roman" w:hAnsi="Times New Roman" w:cs="Times New Roman"/>
              </w:rPr>
              <w:br/>
              <w:t>- reduction of radiotherapy complications: avoids late radiation injuries to the bladder, rectum, and other pelvic organs (third segment).</w:t>
            </w:r>
            <w:r w:rsidRPr="00CB2EC4">
              <w:rPr>
                <w:rFonts w:ascii="Times New Roman" w:hAnsi="Times New Roman" w:cs="Times New Roman"/>
              </w:rPr>
              <w:br/>
              <w:t>- accurate staging and individualized treatment: surgery allows comprehensive exploration of the pelvis and abdomen, clarifying pathological staging and guiding subsequent adjuvant therapy (third segment).</w:t>
            </w:r>
            <w:r w:rsidRPr="00CB2EC4">
              <w:rPr>
                <w:rFonts w:ascii="Times New Roman" w:hAnsi="Times New Roman" w:cs="Times New Roman"/>
              </w:rPr>
              <w:br/>
              <w:t>- documented recommendation: "patients under 45 years of age should be treated primarily with surgery" (tenth segment).</w:t>
            </w:r>
          </w:p>
        </w:tc>
        <w:tc>
          <w:tcPr>
            <w:tcW w:w="1152" w:type="dxa"/>
            <w:vAlign w:val="center"/>
          </w:tcPr>
          <w:p w14:paraId="3C8F51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2F02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38237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A76D36" w14:textId="77777777">
        <w:tc>
          <w:tcPr>
            <w:tcW w:w="2160" w:type="dxa"/>
            <w:vAlign w:val="center"/>
          </w:tcPr>
          <w:p w14:paraId="3899D64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0BF158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40-year-old early-stage cervical cancer patient (e.g., IB1) with no surgical contraindications, the clinical preference for surgery over definitive radiotherapy—despite comparable efficacy (e.g., similar 5-year survival rates)—is based on the following reasons:  </w:t>
            </w:r>
            <w:r w:rsidRPr="00CB2EC4">
              <w:rPr>
                <w:rFonts w:ascii="Times New Roman" w:hAnsi="Times New Roman" w:cs="Times New Roman"/>
              </w:rPr>
              <w:br/>
              <w:t xml:space="preserve">- 1. Preservation of ovarian function: Surgery avoids radiation-induced ovarian damage, maintaining natural hormone secretion and eliminating the need </w:t>
            </w:r>
            <w:r w:rsidRPr="00CB2EC4">
              <w:rPr>
                <w:rFonts w:ascii="Times New Roman" w:hAnsi="Times New Roman" w:cs="Times New Roman"/>
              </w:rPr>
              <w:lastRenderedPageBreak/>
              <w:t xml:space="preserve">for hormone replacement therapy.  </w:t>
            </w:r>
            <w:r w:rsidRPr="00CB2EC4">
              <w:rPr>
                <w:rFonts w:ascii="Times New Roman" w:hAnsi="Times New Roman" w:cs="Times New Roman"/>
              </w:rPr>
              <w:br/>
              <w:t xml:space="preserve">- 2. Preservation of vaginal function: Surgery preserves vaginal elasticity and lubrication, preventing radiation-induced vaginal atrophy, narrowing, or dryness.  </w:t>
            </w:r>
            <w:r w:rsidRPr="00CB2EC4">
              <w:rPr>
                <w:rFonts w:ascii="Times New Roman" w:hAnsi="Times New Roman" w:cs="Times New Roman"/>
              </w:rPr>
              <w:br/>
              <w:t xml:space="preserve">- 3. Advantage of comprehensive staging: Surgery allows intraoperative pelvic and abdominal exploration for accurate pathological staging (e.g., lymph node status), facilitating individualized adjuvant therapy planning.  </w:t>
            </w:r>
            <w:r w:rsidRPr="00CB2EC4">
              <w:rPr>
                <w:rFonts w:ascii="Times New Roman" w:hAnsi="Times New Roman" w:cs="Times New Roman"/>
              </w:rPr>
              <w:br/>
              <w:t xml:space="preserve">- 4. Avoidance of radiotherapy complications: Surgery reduces the risk of late radiotherapy side effects, such as bladder dysfunction, proctitis, or genitourinary injuries.  </w:t>
            </w:r>
            <w:r w:rsidRPr="00CB2EC4">
              <w:rPr>
                <w:rFonts w:ascii="Times New Roman" w:hAnsi="Times New Roman" w:cs="Times New Roman"/>
              </w:rPr>
              <w:br/>
              <w:t>These factors are critical for quality of life, particularly in younger patients.</w:t>
            </w:r>
          </w:p>
        </w:tc>
        <w:tc>
          <w:tcPr>
            <w:tcW w:w="1152" w:type="dxa"/>
            <w:vAlign w:val="center"/>
          </w:tcPr>
          <w:p w14:paraId="3DA98F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CF0D3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E00E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9633724" w14:textId="77777777">
        <w:tc>
          <w:tcPr>
            <w:tcW w:w="2160" w:type="dxa"/>
            <w:vAlign w:val="center"/>
          </w:tcPr>
          <w:p w14:paraId="3D156F2F"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A572B3F" w14:textId="77777777" w:rsidR="00922249" w:rsidRPr="00CB2EC4" w:rsidRDefault="003011D5">
            <w:pPr>
              <w:rPr>
                <w:rFonts w:ascii="Times New Roman" w:hAnsi="Times New Roman" w:cs="Times New Roman"/>
              </w:rPr>
            </w:pPr>
            <w:r w:rsidRPr="00CB2EC4">
              <w:rPr>
                <w:rFonts w:ascii="Times New Roman" w:hAnsi="Times New Roman" w:cs="Times New Roman"/>
              </w:rPr>
              <w:t>for a 40-year-old patient with early-stage cervical cancer (e.g., IB1) and no surgical contraindications, why is surgery typically prioritized over definitive radiotherapy when both treatments offer comparable efficacy?</w:t>
            </w:r>
            <w:r w:rsidRPr="00CB2EC4">
              <w:rPr>
                <w:rFonts w:ascii="Times New Roman" w:hAnsi="Times New Roman" w:cs="Times New Roman"/>
              </w:rPr>
              <w:br/>
            </w:r>
            <w:r w:rsidRPr="00CB2EC4">
              <w:rPr>
                <w:rFonts w:ascii="Times New Roman" w:hAnsi="Times New Roman" w:cs="Times New Roman"/>
              </w:rPr>
              <w:br/>
              <w:t>reasons for prioritizing surgery:</w:t>
            </w:r>
            <w:r w:rsidRPr="00CB2EC4">
              <w:rPr>
                <w:rFonts w:ascii="Times New Roman" w:hAnsi="Times New Roman" w:cs="Times New Roman"/>
              </w:rPr>
              <w:br/>
              <w:t xml:space="preserve">  - preservation of ovarian function: surgery avoids radiotherapy-induced premature ovarian failure, thereby maintaining endocrine function and fertility potential.</w:t>
            </w:r>
            <w:r w:rsidRPr="00CB2EC4">
              <w:rPr>
                <w:rFonts w:ascii="Times New Roman" w:hAnsi="Times New Roman" w:cs="Times New Roman"/>
              </w:rPr>
              <w:br/>
              <w:t xml:space="preserve">  - reduced long-term complications: compared to radiotherapy, surgery lowers the risk of long-term side effects such as vaginal stenosis, bladder or rectal injury, and improves quality of life.</w:t>
            </w:r>
            <w:r w:rsidRPr="00CB2EC4">
              <w:rPr>
                <w:rFonts w:ascii="Times New Roman" w:hAnsi="Times New Roman" w:cs="Times New Roman"/>
              </w:rPr>
              <w:br/>
              <w:t xml:space="preserve">  - individualized treatment: surgery enables more accurate pathological staging, facilitating subsequent individualized adjuvant therapy decisions (e.g., lymph </w:t>
            </w:r>
            <w:r w:rsidRPr="00CB2EC4">
              <w:rPr>
                <w:rFonts w:ascii="Times New Roman" w:hAnsi="Times New Roman" w:cs="Times New Roman"/>
              </w:rPr>
              <w:lastRenderedPageBreak/>
              <w:t>node status assessment).</w:t>
            </w:r>
            <w:r w:rsidRPr="00CB2EC4">
              <w:rPr>
                <w:rFonts w:ascii="Times New Roman" w:hAnsi="Times New Roman" w:cs="Times New Roman"/>
              </w:rPr>
              <w:br/>
              <w:t>- although survival rates are similar between surgery and radiotherapy, surgery provides better functional preservation and quality of life in younger patients.</w:t>
            </w:r>
          </w:p>
        </w:tc>
        <w:tc>
          <w:tcPr>
            <w:tcW w:w="1152" w:type="dxa"/>
            <w:vAlign w:val="center"/>
          </w:tcPr>
          <w:p w14:paraId="7D2313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5B14E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E1010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FF3287F" w14:textId="77777777">
        <w:tc>
          <w:tcPr>
            <w:tcW w:w="2160" w:type="dxa"/>
            <w:vAlign w:val="center"/>
          </w:tcPr>
          <w:p w14:paraId="3E471F8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991EB91" w14:textId="77777777" w:rsidR="00922249" w:rsidRPr="00CB2EC4" w:rsidRDefault="003011D5">
            <w:pPr>
              <w:rPr>
                <w:rFonts w:ascii="Times New Roman" w:hAnsi="Times New Roman" w:cs="Times New Roman"/>
              </w:rPr>
            </w:pPr>
            <w:r w:rsidRPr="00CB2EC4">
              <w:rPr>
                <w:rFonts w:ascii="Times New Roman" w:hAnsi="Times New Roman" w:cs="Times New Roman"/>
              </w:rPr>
              <w:t>for a 40-year-old early-stage cervical cancer patient (e.g., IB1) without surgical contraindications, surgery is typically prioritized over definitive radiotherapy despite comparable efficacy, for the following reasons:</w:t>
            </w:r>
            <w:r w:rsidRPr="00CB2EC4">
              <w:rPr>
                <w:rFonts w:ascii="Times New Roman" w:hAnsi="Times New Roman" w:cs="Times New Roman"/>
              </w:rPr>
              <w:br/>
            </w:r>
            <w:r w:rsidRPr="00CB2EC4">
              <w:rPr>
                <w:rFonts w:ascii="Times New Roman" w:hAnsi="Times New Roman" w:cs="Times New Roman"/>
              </w:rPr>
              <w:br/>
              <w:t>1. Preservation of ovarian function: surgery avoids radiation-induced ovarian damage, especially important for premenopausal patients (&lt;45 years), eliminating the need for postoperative hormone replacement therapy (source: fragment 15, 22).</w:t>
            </w:r>
            <w:r w:rsidRPr="00CB2EC4">
              <w:rPr>
                <w:rFonts w:ascii="Times New Roman" w:hAnsi="Times New Roman" w:cs="Times New Roman"/>
              </w:rPr>
              <w:br/>
              <w:t>2. Avoidance of compounded complications: if adjuvant radiotherapy is required post-surgery, the combination of surgery and radiotherapy leads to significantly higher complication rates (e.g., urinary tract injury) compared to radiotherapy alone (fragment 22: "the surgery group may experience higher rates of severe complications due to superimposed adverse effects").</w:t>
            </w:r>
            <w:r w:rsidRPr="00CB2EC4">
              <w:rPr>
                <w:rFonts w:ascii="Times New Roman" w:hAnsi="Times New Roman" w:cs="Times New Roman"/>
              </w:rPr>
              <w:br/>
              <w:t>3. Accurate pathological staging: surgery provides tissue specimens to clarify prognostic factors such as lymph node metastasis and lymphovascular space invasion, guiding individualized subsequent treatment (fragment 15: "surgical advantage lies in the ability to tailor further therapy based on pathological findings").</w:t>
            </w:r>
            <w:r w:rsidRPr="00CB2EC4">
              <w:rPr>
                <w:rFonts w:ascii="Times New Roman" w:hAnsi="Times New Roman" w:cs="Times New Roman"/>
              </w:rPr>
              <w:br/>
            </w:r>
            <w:r w:rsidRPr="00CB2EC4">
              <w:rPr>
                <w:rFonts w:ascii="Times New Roman" w:hAnsi="Times New Roman" w:cs="Times New Roman"/>
              </w:rPr>
              <w:br/>
              <w:t>&gt; *Source: fragment 15 (relevance 0.6925), fragment 22 (relevance 0.6030) comparing surgery and radiotherapy.*</w:t>
            </w:r>
          </w:p>
        </w:tc>
        <w:tc>
          <w:tcPr>
            <w:tcW w:w="1152" w:type="dxa"/>
            <w:vAlign w:val="center"/>
          </w:tcPr>
          <w:p w14:paraId="7E06EB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A93AD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E8002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C3223A4" w14:textId="77777777">
        <w:tc>
          <w:tcPr>
            <w:tcW w:w="2160" w:type="dxa"/>
            <w:vAlign w:val="center"/>
          </w:tcPr>
          <w:p w14:paraId="3E6569D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5399ADC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40-year-old early-stage cervical cancer patient (e.g., IB1 stage) without surgical contraindications, surgery is typically prioritized over definitive radiotherapy when both treatments offer comparable efficacy due to the following reasons:  </w:t>
            </w:r>
            <w:r w:rsidRPr="00CB2EC4">
              <w:rPr>
                <w:rFonts w:ascii="Times New Roman" w:hAnsi="Times New Roman" w:cs="Times New Roman"/>
              </w:rPr>
              <w:br/>
              <w:t xml:space="preserve">- preservation of ovarian function: during surgery, ovarian transposition can be performed (moving the ovaries to a radiation-free site such as the paracolic gutter), thereby avoiding radiotherapy-induced ovarian failure, which is particularly important for a 40-year-old woman to maintain hormonal levels and fertility potential.  </w:t>
            </w:r>
            <w:r w:rsidRPr="00CB2EC4">
              <w:rPr>
                <w:rFonts w:ascii="Times New Roman" w:hAnsi="Times New Roman" w:cs="Times New Roman"/>
              </w:rPr>
              <w:br/>
              <w:t xml:space="preserve">- preservation of sexual function: surgery better preserves vaginal elasticity and secretory function, reducing radiotherapy-associated complications such as vaginal atrophy, stenosis, or dryness, thus improving quality of life.  </w:t>
            </w:r>
            <w:r w:rsidRPr="00CB2EC4">
              <w:rPr>
                <w:rFonts w:ascii="Times New Roman" w:hAnsi="Times New Roman" w:cs="Times New Roman"/>
              </w:rPr>
              <w:br/>
              <w:t xml:space="preserve">- accurate staging and individualized treatment: surgery provides histopathological specimens, enabling more precise staging and facilitating tailored postoperative adjuvant therapy (e.g., whether radiotherapy or chemotherapy is needed).  </w:t>
            </w:r>
            <w:r w:rsidRPr="00CB2EC4">
              <w:rPr>
                <w:rFonts w:ascii="Times New Roman" w:hAnsi="Times New Roman" w:cs="Times New Roman"/>
              </w:rPr>
              <w:br/>
              <w:t xml:space="preserve">- avoidance of compounded treatment morbidity: if adjuvant radiotherapy is required post-surgery, prioritizing surgery reduces the risk of severe complications from overlapping treatments (e.g., gastrointestinal or genitourinary toxicity).  </w:t>
            </w:r>
            <w:r w:rsidRPr="00CB2EC4">
              <w:rPr>
                <w:rFonts w:ascii="Times New Roman" w:hAnsi="Times New Roman" w:cs="Times New Roman"/>
              </w:rPr>
              <w:br/>
              <w:t>in summary, for a 40-year-old patient in the younger age group, surgery offers advantages in functional preservation and reduction of long-term complications.</w:t>
            </w:r>
          </w:p>
        </w:tc>
        <w:tc>
          <w:tcPr>
            <w:tcW w:w="1152" w:type="dxa"/>
            <w:vAlign w:val="center"/>
          </w:tcPr>
          <w:p w14:paraId="49AB80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68FD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C1BB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129041" w14:textId="77777777">
        <w:tc>
          <w:tcPr>
            <w:tcW w:w="2160" w:type="dxa"/>
            <w:vAlign w:val="center"/>
          </w:tcPr>
          <w:p w14:paraId="7A8E0159"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4D6AB1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40-year-old early-stage cervical cancer patient (such as IB1) without surgical contraindications, why is surgery typically prioritized over definitive </w:t>
            </w:r>
            <w:r w:rsidRPr="00CB2EC4">
              <w:rPr>
                <w:rFonts w:ascii="Times New Roman" w:hAnsi="Times New Roman" w:cs="Times New Roman"/>
              </w:rPr>
              <w:lastRenderedPageBreak/>
              <w:t>radiotherapy when both treatments offer comparable efficacy?</w:t>
            </w:r>
            <w:r w:rsidRPr="00CB2EC4">
              <w:rPr>
                <w:rFonts w:ascii="Times New Roman" w:hAnsi="Times New Roman" w:cs="Times New Roman"/>
              </w:rPr>
              <w:br/>
            </w:r>
            <w:r w:rsidRPr="00CB2EC4">
              <w:rPr>
                <w:rFonts w:ascii="Times New Roman" w:hAnsi="Times New Roman" w:cs="Times New Roman"/>
              </w:rPr>
              <w:br/>
              <w:t>reasons for prioritizing surgery:</w:t>
            </w:r>
            <w:r w:rsidRPr="00CB2EC4">
              <w:rPr>
                <w:rFonts w:ascii="Times New Roman" w:hAnsi="Times New Roman" w:cs="Times New Roman"/>
              </w:rPr>
              <w:br/>
              <w:t>- preservation of ovarian function: surgery avoids radiation-induced ovarian damage, reducing the risk of premature menopause and endocrine disorders, thereby improving quality of life.</w:t>
            </w:r>
            <w:r w:rsidRPr="00CB2EC4">
              <w:rPr>
                <w:rFonts w:ascii="Times New Roman" w:hAnsi="Times New Roman" w:cs="Times New Roman"/>
              </w:rPr>
              <w:br/>
              <w:t>- reduction of long-term side effects: radiotherapy may cause vaginal stenosis, sexual dysfunction, and bowel or bladder toxicity, which can be avoided with surgery.</w:t>
            </w:r>
            <w:r w:rsidRPr="00CB2EC4">
              <w:rPr>
                <w:rFonts w:ascii="Times New Roman" w:hAnsi="Times New Roman" w:cs="Times New Roman"/>
              </w:rPr>
              <w:br/>
              <w:t>- fertility considerations: for patients desiring future fertility, surgery (e.g., fertility-sparing procedures) offers more options, whereas radiotherapy typically results in infertility.</w:t>
            </w:r>
            <w:r w:rsidRPr="00CB2EC4">
              <w:rPr>
                <w:rFonts w:ascii="Times New Roman" w:hAnsi="Times New Roman" w:cs="Times New Roman"/>
              </w:rPr>
              <w:br/>
              <w:t>- although surgery and radiotherapy are equivalent in survival outcomes, surgery better supports individualized management and quality of life preservation in younger patients.</w:t>
            </w:r>
          </w:p>
        </w:tc>
        <w:tc>
          <w:tcPr>
            <w:tcW w:w="1152" w:type="dxa"/>
            <w:vAlign w:val="center"/>
          </w:tcPr>
          <w:p w14:paraId="2A6D8F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1BAA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6A32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57A94FB" w14:textId="77777777">
        <w:tc>
          <w:tcPr>
            <w:tcW w:w="10656" w:type="dxa"/>
            <w:gridSpan w:val="5"/>
            <w:tcBorders>
              <w:bottom w:val="single" w:sz="6" w:space="0" w:color="auto"/>
            </w:tcBorders>
            <w:vAlign w:val="center"/>
          </w:tcPr>
          <w:p w14:paraId="5C34ED2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90: During surgery for cervical cancer, what specific lymph node regions are included in the standard scope of a pelvic lymphadenectomy?</w:t>
            </w:r>
          </w:p>
        </w:tc>
      </w:tr>
      <w:tr w:rsidR="00922249" w:rsidRPr="00CB2EC4" w14:paraId="5E4873A6" w14:textId="77777777">
        <w:tc>
          <w:tcPr>
            <w:tcW w:w="2160" w:type="dxa"/>
            <w:vAlign w:val="center"/>
          </w:tcPr>
          <w:p w14:paraId="7AB25AA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74C305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information found in the provided document regarding the specific lymph node regions included in the standard pelvic lymphadenectomy for cervical cancer surgery. the document mentions "pelvic lymphadenectomy" or "pelvic lymph node dissection" (e.g., at similarity: 0.550) but does not detail the anatomical boundaries or specific nodal groups (such as common iliac, external iliac, internal iliac, obturator, presacral, etc.). therefore, based solely on the given document, the standard resection range cannot be specified.  </w:t>
            </w:r>
            <w:r w:rsidRPr="00CB2EC4">
              <w:rPr>
                <w:rFonts w:ascii="Times New Roman" w:hAnsi="Times New Roman" w:cs="Times New Roman"/>
              </w:rPr>
              <w:br/>
            </w:r>
            <w:r w:rsidRPr="00CB2EC4">
              <w:rPr>
                <w:rFonts w:ascii="Times New Roman" w:hAnsi="Times New Roman" w:cs="Times New Roman"/>
              </w:rPr>
              <w:lastRenderedPageBreak/>
              <w:t>- note: external clinical guidelines (e.g., from FIGO, NCCN, or surgical oncology references) should be consulted for the standard definition of pelvic lymph node dissection extent in cervical cancer.</w:t>
            </w:r>
          </w:p>
        </w:tc>
        <w:tc>
          <w:tcPr>
            <w:tcW w:w="1152" w:type="dxa"/>
            <w:vAlign w:val="center"/>
          </w:tcPr>
          <w:p w14:paraId="30E7C0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5CC92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40BA8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0671E97" w14:textId="77777777">
        <w:tc>
          <w:tcPr>
            <w:tcW w:w="2160" w:type="dxa"/>
            <w:vAlign w:val="center"/>
          </w:tcPr>
          <w:p w14:paraId="1C89874A"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317EF82"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Document Fragment 16 (Title: Early Surgical Treatment for Cervical Cancer; Block Number: 11; Block Topic: Early Surgical Treatment for Cervical Cancer), the standard resection range for pelvic lymphadenectomy specifically includes lymph nodes from the following regions:</w:t>
            </w:r>
            <w:r w:rsidRPr="00CB2EC4">
              <w:rPr>
                <w:rFonts w:ascii="Times New Roman" w:hAnsi="Times New Roman" w:cs="Times New Roman"/>
              </w:rPr>
              <w:br/>
            </w:r>
            <w:r w:rsidRPr="00CB2EC4">
              <w:rPr>
                <w:rFonts w:ascii="Times New Roman" w:hAnsi="Times New Roman" w:cs="Times New Roman"/>
              </w:rPr>
              <w:br/>
              <w:t xml:space="preserve">- Parametrial lymph nodes (lymph nodes directly surrounding the uterus and cervix)  </w:t>
            </w:r>
            <w:r w:rsidRPr="00CB2EC4">
              <w:rPr>
                <w:rFonts w:ascii="Times New Roman" w:hAnsi="Times New Roman" w:cs="Times New Roman"/>
              </w:rPr>
              <w:br/>
              <w:t xml:space="preserve">- Obturator lymph nodes (located in the obturator fossa region)  </w:t>
            </w:r>
            <w:r w:rsidRPr="00CB2EC4">
              <w:rPr>
                <w:rFonts w:ascii="Times New Roman" w:hAnsi="Times New Roman" w:cs="Times New Roman"/>
              </w:rPr>
              <w:br/>
              <w:t xml:space="preserve">- Internal iliac lymph nodes (distributed along the internal iliac vessels)  </w:t>
            </w:r>
            <w:r w:rsidRPr="00CB2EC4">
              <w:rPr>
                <w:rFonts w:ascii="Times New Roman" w:hAnsi="Times New Roman" w:cs="Times New Roman"/>
              </w:rPr>
              <w:br/>
              <w:t xml:space="preserve">- External iliac lymph nodes (distributed along the external iliac vessels)  </w:t>
            </w:r>
            <w:r w:rsidRPr="00CB2EC4">
              <w:rPr>
                <w:rFonts w:ascii="Times New Roman" w:hAnsi="Times New Roman" w:cs="Times New Roman"/>
              </w:rPr>
              <w:br/>
              <w:t xml:space="preserve">- Common iliac lymph nodes (located around the common iliac vessels)  </w:t>
            </w:r>
            <w:r w:rsidRPr="00CB2EC4">
              <w:rPr>
                <w:rFonts w:ascii="Times New Roman" w:hAnsi="Times New Roman" w:cs="Times New Roman"/>
              </w:rPr>
              <w:br/>
            </w:r>
            <w:r w:rsidRPr="00CB2EC4">
              <w:rPr>
                <w:rFonts w:ascii="Times New Roman" w:hAnsi="Times New Roman" w:cs="Times New Roman"/>
              </w:rPr>
              <w:br/>
              <w:t>This range applies to radical hysterectomy (such as Type C surgery) and aims to thoroughly remove potentially metastatic lymph node regions. The document emphasizes that this is a standard component of early-stage cervical cancer surgery, intended for accurate staging and reducing the risk of recurrence.</w:t>
            </w:r>
            <w:r w:rsidRPr="00CB2EC4">
              <w:rPr>
                <w:rFonts w:ascii="Times New Roman" w:hAnsi="Times New Roman" w:cs="Times New Roman"/>
              </w:rPr>
              <w:br/>
            </w:r>
            <w:r w:rsidRPr="00CB2EC4">
              <w:rPr>
                <w:rFonts w:ascii="Times New Roman" w:hAnsi="Times New Roman" w:cs="Times New Roman"/>
              </w:rPr>
              <w:br/>
              <w:t xml:space="preserve">Additionally, Document Fragment 28 (Title: Guidelines for Surgical Treatment of Cervical Cancer; Block Number: 9; Block Topic: Guidelines for Surgical Treatment of Cervical Cancer) indirectly </w:t>
            </w:r>
            <w:r w:rsidRPr="00CB2EC4">
              <w:rPr>
                <w:rFonts w:ascii="Times New Roman" w:hAnsi="Times New Roman" w:cs="Times New Roman"/>
              </w:rPr>
              <w:lastRenderedPageBreak/>
              <w:t>supports this range in the description of radical hysterectomy in Table 2, but Fragment 16 provides the most direct details.</w:t>
            </w:r>
          </w:p>
        </w:tc>
        <w:tc>
          <w:tcPr>
            <w:tcW w:w="1152" w:type="dxa"/>
            <w:vAlign w:val="center"/>
          </w:tcPr>
          <w:p w14:paraId="284C2E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DB259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E319D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49078B8" w14:textId="77777777">
        <w:tc>
          <w:tcPr>
            <w:tcW w:w="2160" w:type="dxa"/>
            <w:vAlign w:val="center"/>
          </w:tcPr>
          <w:p w14:paraId="2F0D418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A979423"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resection range for pelvic lymphadenectomy in cervical cancer surgery includes the following lymph node regions:</w:t>
            </w:r>
            <w:r w:rsidRPr="00CB2EC4">
              <w:rPr>
                <w:rFonts w:ascii="Times New Roman" w:hAnsi="Times New Roman" w:cs="Times New Roman"/>
              </w:rPr>
              <w:br/>
              <w:t xml:space="preserve">  - Common iliac lymph nodes.</w:t>
            </w:r>
            <w:r w:rsidRPr="00CB2EC4">
              <w:rPr>
                <w:rFonts w:ascii="Times New Roman" w:hAnsi="Times New Roman" w:cs="Times New Roman"/>
              </w:rPr>
              <w:br/>
              <w:t xml:space="preserve">  - External iliac lymph nodes.</w:t>
            </w:r>
            <w:r w:rsidRPr="00CB2EC4">
              <w:rPr>
                <w:rFonts w:ascii="Times New Roman" w:hAnsi="Times New Roman" w:cs="Times New Roman"/>
              </w:rPr>
              <w:br/>
              <w:t xml:space="preserve">  - Internal iliac lymph nodes.</w:t>
            </w:r>
            <w:r w:rsidRPr="00CB2EC4">
              <w:rPr>
                <w:rFonts w:ascii="Times New Roman" w:hAnsi="Times New Roman" w:cs="Times New Roman"/>
              </w:rPr>
              <w:br/>
              <w:t xml:space="preserve">  - Obturator lymph nodes.</w:t>
            </w:r>
            <w:r w:rsidRPr="00CB2EC4">
              <w:rPr>
                <w:rFonts w:ascii="Times New Roman" w:hAnsi="Times New Roman" w:cs="Times New Roman"/>
              </w:rPr>
              <w:br/>
              <w:t xml:space="preserve">  - Parametrial lymph nodes.</w:t>
            </w:r>
            <w:r w:rsidRPr="00CB2EC4">
              <w:rPr>
                <w:rFonts w:ascii="Times New Roman" w:hAnsi="Times New Roman" w:cs="Times New Roman"/>
              </w:rPr>
              <w:br/>
              <w:t xml:space="preserve">  - Deep inguinal lymph nodes (mentioned in some sources).</w:t>
            </w:r>
            <w:r w:rsidRPr="00CB2EC4">
              <w:rPr>
                <w:rFonts w:ascii="Times New Roman" w:hAnsi="Times New Roman" w:cs="Times New Roman"/>
              </w:rPr>
              <w:br/>
              <w:t xml:space="preserve">  - Specific details: Source fragment 3 (relevance: 0.800) states "resection range includes parametrial, obturator, internal iliac, external iliac, and common iliac lymph nodes"; source fragment 6 (relevance: 0.800) notes "pelvic lymphadenectomy includes common iliac, external iliac, internal iliac, and obturator lymph nodes"; source fragment 19 (relevance: 0.400) adds "when resecting pelvic lymph nodes, starting from the common iliac segment... sequentially resect the lower common iliac, external iliac, deep inguinal, internal iliac, and obturator lymph fatty tissue"; source fragment 21 (relevance: 0.400) confirms inclusion of "common iliac, external iliac, inguinal, obturator, internal iliac, and parametrial lymph nodes".</w:t>
            </w:r>
            <w:r w:rsidRPr="00CB2EC4">
              <w:rPr>
                <w:rFonts w:ascii="Times New Roman" w:hAnsi="Times New Roman" w:cs="Times New Roman"/>
              </w:rPr>
              <w:br/>
              <w:t>- Basis: Fragments 3, 6, 19, and 21 provide specific anatomical regions covering the standard range. Fragments 10 and 22 mention pelvic lymphadenectomy without detailed boundaries, so higher-relevance fragments are prioritized.</w:t>
            </w:r>
          </w:p>
        </w:tc>
        <w:tc>
          <w:tcPr>
            <w:tcW w:w="1152" w:type="dxa"/>
            <w:vAlign w:val="center"/>
          </w:tcPr>
          <w:p w14:paraId="141AD0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3AEDA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609E4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443BF18" w14:textId="77777777">
        <w:tc>
          <w:tcPr>
            <w:tcW w:w="2160" w:type="dxa"/>
            <w:vAlign w:val="center"/>
          </w:tcPr>
          <w:p w14:paraId="3573D96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386709FF" w14:textId="77777777" w:rsidR="00922249" w:rsidRPr="00CB2EC4" w:rsidRDefault="003011D5">
            <w:pPr>
              <w:rPr>
                <w:rFonts w:ascii="Times New Roman" w:hAnsi="Times New Roman" w:cs="Times New Roman"/>
              </w:rPr>
            </w:pPr>
            <w:r w:rsidRPr="00CB2EC4">
              <w:rPr>
                <w:rFonts w:ascii="Times New Roman" w:hAnsi="Times New Roman" w:cs="Times New Roman"/>
              </w:rPr>
              <w:t>standard range for pelvic lymphadenectomy</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The resection must include the following lymph node groups:  </w:t>
            </w:r>
            <w:r w:rsidRPr="00CB2EC4">
              <w:rPr>
                <w:rFonts w:ascii="Times New Roman" w:hAnsi="Times New Roman" w:cs="Times New Roman"/>
              </w:rPr>
              <w:br/>
              <w:t xml:space="preserve">1. Parametrial lymph nodes (paracervical).  </w:t>
            </w:r>
            <w:r w:rsidRPr="00CB2EC4">
              <w:rPr>
                <w:rFonts w:ascii="Times New Roman" w:hAnsi="Times New Roman" w:cs="Times New Roman"/>
              </w:rPr>
              <w:br/>
              <w:t xml:space="preserve">2. Obturator lymph nodes (around the obturator nerve).  </w:t>
            </w:r>
            <w:r w:rsidRPr="00CB2EC4">
              <w:rPr>
                <w:rFonts w:ascii="Times New Roman" w:hAnsi="Times New Roman" w:cs="Times New Roman"/>
              </w:rPr>
              <w:br/>
              <w:t xml:space="preserve">3. Internal iliac lymph nodes (along the internal iliac vessels).  </w:t>
            </w:r>
            <w:r w:rsidRPr="00CB2EC4">
              <w:rPr>
                <w:rFonts w:ascii="Times New Roman" w:hAnsi="Times New Roman" w:cs="Times New Roman"/>
              </w:rPr>
              <w:br/>
              <w:t xml:space="preserve">4. External iliac lymph nodes (along the external iliac vessels).  </w:t>
            </w:r>
            <w:r w:rsidRPr="00CB2EC4">
              <w:rPr>
                <w:rFonts w:ascii="Times New Roman" w:hAnsi="Times New Roman" w:cs="Times New Roman"/>
              </w:rPr>
              <w:br/>
              <w:t xml:space="preserve">5. Common iliac lymph nodes (along the common iliac vessels) (knowledge base document).  </w:t>
            </w:r>
            <w:r w:rsidRPr="00CB2EC4">
              <w:rPr>
                <w:rFonts w:ascii="Times New Roman" w:hAnsi="Times New Roman" w:cs="Times New Roman"/>
              </w:rPr>
              <w:br/>
            </w:r>
            <w:r w:rsidRPr="00CB2EC4">
              <w:rPr>
                <w:rFonts w:ascii="Times New Roman" w:hAnsi="Times New Roman" w:cs="Times New Roman"/>
              </w:rPr>
              <w:br/>
              <w:t xml:space="preserve">Source explanation:  </w:t>
            </w:r>
            <w:r w:rsidRPr="00CB2EC4">
              <w:rPr>
                <w:rFonts w:ascii="Times New Roman" w:hAnsi="Times New Roman" w:cs="Times New Roman"/>
              </w:rPr>
              <w:br/>
              <w:t xml:space="preserve">- The knowledge base document explicitly lists the above regions in the sections "Surgical Approach" and "Scope of Pelvic Lymph Node Dissection".  </w:t>
            </w:r>
            <w:r w:rsidRPr="00CB2EC4">
              <w:rPr>
                <w:rFonts w:ascii="Times New Roman" w:hAnsi="Times New Roman" w:cs="Times New Roman"/>
              </w:rPr>
              <w:br/>
              <w:t>- Online search results (QM classification surgical scope) further confirm this standard.</w:t>
            </w:r>
          </w:p>
        </w:tc>
        <w:tc>
          <w:tcPr>
            <w:tcW w:w="1152" w:type="dxa"/>
            <w:vAlign w:val="center"/>
          </w:tcPr>
          <w:p w14:paraId="63F758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309F5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02847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2FFDE27" w14:textId="77777777">
        <w:tc>
          <w:tcPr>
            <w:tcW w:w="2160" w:type="dxa"/>
            <w:vAlign w:val="center"/>
          </w:tcPr>
          <w:p w14:paraId="2606D410"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F022334"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resection range for pelvic lymphadenectomy includes the following lymph node regions:</w:t>
            </w:r>
            <w:r w:rsidRPr="00CB2EC4">
              <w:rPr>
                <w:rFonts w:ascii="Times New Roman" w:hAnsi="Times New Roman" w:cs="Times New Roman"/>
              </w:rPr>
              <w:br/>
              <w:t>- Parametrial lymph nodes: located within the parametrial tissue adjacent to the uterus.</w:t>
            </w:r>
            <w:r w:rsidRPr="00CB2EC4">
              <w:rPr>
                <w:rFonts w:ascii="Times New Roman" w:hAnsi="Times New Roman" w:cs="Times New Roman"/>
              </w:rPr>
              <w:br/>
              <w:t>- Obturator lymph nodes: situated in the obturator fossa area.</w:t>
            </w:r>
            <w:r w:rsidRPr="00CB2EC4">
              <w:rPr>
                <w:rFonts w:ascii="Times New Roman" w:hAnsi="Times New Roman" w:cs="Times New Roman"/>
              </w:rPr>
              <w:br/>
              <w:t>- Internal iliac lymph nodes: distributed along the internal iliac vessels.</w:t>
            </w:r>
            <w:r w:rsidRPr="00CB2EC4">
              <w:rPr>
                <w:rFonts w:ascii="Times New Roman" w:hAnsi="Times New Roman" w:cs="Times New Roman"/>
              </w:rPr>
              <w:br/>
              <w:t>- External iliac lymph nodes: distributed along the external iliac vessels.</w:t>
            </w:r>
            <w:r w:rsidRPr="00CB2EC4">
              <w:rPr>
                <w:rFonts w:ascii="Times New Roman" w:hAnsi="Times New Roman" w:cs="Times New Roman"/>
              </w:rPr>
              <w:br/>
              <w:t>- Common iliac lymph nodes: located around the common iliac vessels.</w:t>
            </w:r>
            <w:r w:rsidRPr="00CB2EC4">
              <w:rPr>
                <w:rFonts w:ascii="Times New Roman" w:hAnsi="Times New Roman" w:cs="Times New Roman"/>
              </w:rPr>
              <w:br/>
            </w:r>
            <w:r w:rsidRPr="00CB2EC4">
              <w:rPr>
                <w:rFonts w:ascii="Times New Roman" w:hAnsi="Times New Roman" w:cs="Times New Roman"/>
              </w:rPr>
              <w:lastRenderedPageBreak/>
              <w:br/>
              <w:t>These areas represent common sites of lymphatic metastasis in cervical cancer, and their resection aims to reduce the risk of recurrence.</w:t>
            </w:r>
          </w:p>
        </w:tc>
        <w:tc>
          <w:tcPr>
            <w:tcW w:w="1152" w:type="dxa"/>
            <w:vAlign w:val="center"/>
          </w:tcPr>
          <w:p w14:paraId="400D87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0DDB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A73D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73E978" w14:textId="77777777">
        <w:tc>
          <w:tcPr>
            <w:tcW w:w="2160" w:type="dxa"/>
            <w:vAlign w:val="center"/>
          </w:tcPr>
          <w:p w14:paraId="3CFA605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C4E280A" w14:textId="77777777" w:rsidR="00922249" w:rsidRPr="00CB2EC4" w:rsidRDefault="003011D5">
            <w:pPr>
              <w:rPr>
                <w:rFonts w:ascii="Times New Roman" w:hAnsi="Times New Roman" w:cs="Times New Roman"/>
              </w:rPr>
            </w:pPr>
            <w:r w:rsidRPr="00CB2EC4">
              <w:rPr>
                <w:rFonts w:ascii="Times New Roman" w:hAnsi="Times New Roman" w:cs="Times New Roman"/>
              </w:rPr>
              <w:t>during cervical cancer surgery, the standard dissection range for pelvic lymphadenectomy specifically includes the following nodal regions:</w:t>
            </w:r>
            <w:r w:rsidRPr="00CB2EC4">
              <w:rPr>
                <w:rFonts w:ascii="Times New Roman" w:hAnsi="Times New Roman" w:cs="Times New Roman"/>
              </w:rPr>
              <w:br/>
            </w:r>
            <w:r w:rsidRPr="00CB2EC4">
              <w:rPr>
                <w:rFonts w:ascii="Times New Roman" w:hAnsi="Times New Roman" w:cs="Times New Roman"/>
              </w:rPr>
              <w:br/>
              <w:t>- Parametrial lymph nodes (paracervical tissue)</w:t>
            </w:r>
            <w:r w:rsidRPr="00CB2EC4">
              <w:rPr>
                <w:rFonts w:ascii="Times New Roman" w:hAnsi="Times New Roman" w:cs="Times New Roman"/>
              </w:rPr>
              <w:br/>
              <w:t>- Obturator lymph nodes (obturator region)</w:t>
            </w:r>
            <w:r w:rsidRPr="00CB2EC4">
              <w:rPr>
                <w:rFonts w:ascii="Times New Roman" w:hAnsi="Times New Roman" w:cs="Times New Roman"/>
              </w:rPr>
              <w:br/>
              <w:t>- Internal iliac lymph nodes (around the internal iliac artery)</w:t>
            </w:r>
            <w:r w:rsidRPr="00CB2EC4">
              <w:rPr>
                <w:rFonts w:ascii="Times New Roman" w:hAnsi="Times New Roman" w:cs="Times New Roman"/>
              </w:rPr>
              <w:br/>
              <w:t>- External iliac lymph nodes (around the external iliac artery)</w:t>
            </w:r>
            <w:r w:rsidRPr="00CB2EC4">
              <w:rPr>
                <w:rFonts w:ascii="Times New Roman" w:hAnsi="Times New Roman" w:cs="Times New Roman"/>
              </w:rPr>
              <w:br/>
              <w:t>- Common iliac lymph nodes (around the common iliac artery)</w:t>
            </w:r>
            <w:r w:rsidRPr="00CB2EC4">
              <w:rPr>
                <w:rFonts w:ascii="Times New Roman" w:hAnsi="Times New Roman" w:cs="Times New Roman"/>
              </w:rPr>
              <w:br/>
            </w:r>
            <w:r w:rsidRPr="00CB2EC4">
              <w:rPr>
                <w:rFonts w:ascii="Times New Roman" w:hAnsi="Times New Roman" w:cs="Times New Roman"/>
              </w:rPr>
              <w:br/>
              <w:t>Document 14 explicitly states: "Lymphadenectomy... the dissection range includes parametrial, obturator, internal iliac, external iliac, and common iliac lymph nodes." Document 21 reiterates this range, emphasizing it as a fundamental step of radical hysterectomy for assessing lymph node metastasis risk.</w:t>
            </w:r>
            <w:r w:rsidRPr="00CB2EC4">
              <w:rPr>
                <w:rFonts w:ascii="Times New Roman" w:hAnsi="Times New Roman" w:cs="Times New Roman"/>
              </w:rPr>
              <w:br/>
              <w:t>This range ensures comprehensive clearance of pelvic lymphatic drainage areas for accurate staging and reduced recurrence risk.</w:t>
            </w:r>
          </w:p>
        </w:tc>
        <w:tc>
          <w:tcPr>
            <w:tcW w:w="1152" w:type="dxa"/>
            <w:vAlign w:val="center"/>
          </w:tcPr>
          <w:p w14:paraId="0D630A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8F4A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31C58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B467A3" w14:textId="77777777">
        <w:tc>
          <w:tcPr>
            <w:tcW w:w="2160" w:type="dxa"/>
            <w:vAlign w:val="center"/>
          </w:tcPr>
          <w:p w14:paraId="36D0919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A6DFE08"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resection range for pelvic lymphadenectomy in cervical cancer surgery includes the following lymph node regions:</w:t>
            </w:r>
            <w:r w:rsidRPr="00CB2EC4">
              <w:rPr>
                <w:rFonts w:ascii="Times New Roman" w:hAnsi="Times New Roman" w:cs="Times New Roman"/>
              </w:rPr>
              <w:br/>
              <w:t xml:space="preserve">  - Parametrial lymph nodes (paracervical lymph nodes)</w:t>
            </w:r>
            <w:r w:rsidRPr="00CB2EC4">
              <w:rPr>
                <w:rFonts w:ascii="Times New Roman" w:hAnsi="Times New Roman" w:cs="Times New Roman"/>
              </w:rPr>
              <w:br/>
              <w:t xml:space="preserve">  - Obturator lymph nodes</w:t>
            </w:r>
            <w:r w:rsidRPr="00CB2EC4">
              <w:rPr>
                <w:rFonts w:ascii="Times New Roman" w:hAnsi="Times New Roman" w:cs="Times New Roman"/>
              </w:rPr>
              <w:br/>
            </w:r>
            <w:r w:rsidRPr="00CB2EC4">
              <w:rPr>
                <w:rFonts w:ascii="Times New Roman" w:hAnsi="Times New Roman" w:cs="Times New Roman"/>
              </w:rPr>
              <w:lastRenderedPageBreak/>
              <w:t xml:space="preserve">  - Internal iliac lymph nodes</w:t>
            </w:r>
            <w:r w:rsidRPr="00CB2EC4">
              <w:rPr>
                <w:rFonts w:ascii="Times New Roman" w:hAnsi="Times New Roman" w:cs="Times New Roman"/>
              </w:rPr>
              <w:br/>
              <w:t xml:space="preserve">  - External iliac lymph nodes</w:t>
            </w:r>
            <w:r w:rsidRPr="00CB2EC4">
              <w:rPr>
                <w:rFonts w:ascii="Times New Roman" w:hAnsi="Times New Roman" w:cs="Times New Roman"/>
              </w:rPr>
              <w:br/>
              <w:t xml:space="preserve">  - Common iliac lymph nodes</w:t>
            </w:r>
            <w:r w:rsidRPr="00CB2EC4">
              <w:rPr>
                <w:rFonts w:ascii="Times New Roman" w:hAnsi="Times New Roman" w:cs="Times New Roman"/>
              </w:rPr>
              <w:br/>
            </w:r>
            <w:r w:rsidRPr="00CB2EC4">
              <w:rPr>
                <w:rFonts w:ascii="Times New Roman" w:hAnsi="Times New Roman" w:cs="Times New Roman"/>
              </w:rPr>
              <w:br/>
              <w:t>This range applies to radical hysterectomy (e.g., Type C surgery) to comprehensively assess lymph node metastasis.</w:t>
            </w:r>
          </w:p>
        </w:tc>
        <w:tc>
          <w:tcPr>
            <w:tcW w:w="1152" w:type="dxa"/>
            <w:vAlign w:val="center"/>
          </w:tcPr>
          <w:p w14:paraId="68B771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8026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F54A1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640508" w14:textId="77777777">
        <w:tc>
          <w:tcPr>
            <w:tcW w:w="2160" w:type="dxa"/>
            <w:vAlign w:val="center"/>
          </w:tcPr>
          <w:p w14:paraId="0FF8BD39"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47FE17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standard removal range of pelvic lymphadenectomy includes the following lymph node regions:  </w:t>
            </w:r>
            <w:r w:rsidRPr="00CB2EC4">
              <w:rPr>
                <w:rFonts w:ascii="Times New Roman" w:hAnsi="Times New Roman" w:cs="Times New Roman"/>
              </w:rPr>
              <w:br/>
              <w:t xml:space="preserve">- Parametrial lymph nodes  </w:t>
            </w:r>
            <w:r w:rsidRPr="00CB2EC4">
              <w:rPr>
                <w:rFonts w:ascii="Times New Roman" w:hAnsi="Times New Roman" w:cs="Times New Roman"/>
              </w:rPr>
              <w:br/>
              <w:t xml:space="preserve">- Obturator lymph nodes  </w:t>
            </w:r>
            <w:r w:rsidRPr="00CB2EC4">
              <w:rPr>
                <w:rFonts w:ascii="Times New Roman" w:hAnsi="Times New Roman" w:cs="Times New Roman"/>
              </w:rPr>
              <w:br/>
              <w:t xml:space="preserve">- Internal iliac lymph nodes  </w:t>
            </w:r>
            <w:r w:rsidRPr="00CB2EC4">
              <w:rPr>
                <w:rFonts w:ascii="Times New Roman" w:hAnsi="Times New Roman" w:cs="Times New Roman"/>
              </w:rPr>
              <w:br/>
              <w:t xml:space="preserve">- External iliac lymph nodes  </w:t>
            </w:r>
            <w:r w:rsidRPr="00CB2EC4">
              <w:rPr>
                <w:rFonts w:ascii="Times New Roman" w:hAnsi="Times New Roman" w:cs="Times New Roman"/>
              </w:rPr>
              <w:br/>
              <w:t>- Common iliac lymph nodes</w:t>
            </w:r>
          </w:p>
        </w:tc>
        <w:tc>
          <w:tcPr>
            <w:tcW w:w="1152" w:type="dxa"/>
            <w:vAlign w:val="center"/>
          </w:tcPr>
          <w:p w14:paraId="48FA51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61854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5EA8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2EFB01" w14:textId="77777777">
        <w:tc>
          <w:tcPr>
            <w:tcW w:w="2160" w:type="dxa"/>
            <w:vAlign w:val="center"/>
          </w:tcPr>
          <w:p w14:paraId="1821A2A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D68C019"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dissection range includes the following lymph node regions (tenth segment):</w:t>
            </w:r>
            <w:r w:rsidRPr="00CB2EC4">
              <w:rPr>
                <w:rFonts w:ascii="Times New Roman" w:hAnsi="Times New Roman" w:cs="Times New Roman"/>
              </w:rPr>
              <w:br/>
              <w:t xml:space="preserve">  - Parametrial lymph nodes.</w:t>
            </w:r>
            <w:r w:rsidRPr="00CB2EC4">
              <w:rPr>
                <w:rFonts w:ascii="Times New Roman" w:hAnsi="Times New Roman" w:cs="Times New Roman"/>
              </w:rPr>
              <w:br/>
              <w:t xml:space="preserve">  - Obturator lymph nodes.</w:t>
            </w:r>
            <w:r w:rsidRPr="00CB2EC4">
              <w:rPr>
                <w:rFonts w:ascii="Times New Roman" w:hAnsi="Times New Roman" w:cs="Times New Roman"/>
              </w:rPr>
              <w:br/>
              <w:t xml:space="preserve">  - Internal iliac lymph nodes.</w:t>
            </w:r>
            <w:r w:rsidRPr="00CB2EC4">
              <w:rPr>
                <w:rFonts w:ascii="Times New Roman" w:hAnsi="Times New Roman" w:cs="Times New Roman"/>
              </w:rPr>
              <w:br/>
              <w:t xml:space="preserve">  - External iliac lymph nodes.</w:t>
            </w:r>
            <w:r w:rsidRPr="00CB2EC4">
              <w:rPr>
                <w:rFonts w:ascii="Times New Roman" w:hAnsi="Times New Roman" w:cs="Times New Roman"/>
              </w:rPr>
              <w:br/>
              <w:t xml:space="preserve">  - Common iliac lymph nodes.</w:t>
            </w:r>
            <w:r w:rsidRPr="00CB2EC4">
              <w:rPr>
                <w:rFonts w:ascii="Times New Roman" w:hAnsi="Times New Roman" w:cs="Times New Roman"/>
              </w:rPr>
              <w:br/>
              <w:t>- This description is based on the requirements for Type C radical hysterectomy: "The dissection range includes parametrial, obturator, internal iliac, external iliac, and common iliac lymph nodes."</w:t>
            </w:r>
          </w:p>
        </w:tc>
        <w:tc>
          <w:tcPr>
            <w:tcW w:w="1152" w:type="dxa"/>
            <w:vAlign w:val="center"/>
          </w:tcPr>
          <w:p w14:paraId="169E5D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74C7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18F3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DFDF3E" w14:textId="77777777">
        <w:tc>
          <w:tcPr>
            <w:tcW w:w="2160" w:type="dxa"/>
            <w:vAlign w:val="center"/>
          </w:tcPr>
          <w:p w14:paraId="74600B16"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3962DE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Answer:  </w:t>
            </w:r>
            <w:r w:rsidRPr="00CB2EC4">
              <w:rPr>
                <w:rFonts w:ascii="Times New Roman" w:hAnsi="Times New Roman" w:cs="Times New Roman"/>
              </w:rPr>
              <w:br/>
              <w:t xml:space="preserve">  According to the contextual information (document fragment 14), the standard dissection range for pelvic lymphadenectomy includes the following lymph node regions:  </w:t>
            </w:r>
            <w:r w:rsidRPr="00CB2EC4">
              <w:rPr>
                <w:rFonts w:ascii="Times New Roman" w:hAnsi="Times New Roman" w:cs="Times New Roman"/>
              </w:rPr>
              <w:br/>
              <w:t xml:space="preserve">  - Common iliac lymph nodes (located around the common iliac artery)  </w:t>
            </w:r>
            <w:r w:rsidRPr="00CB2EC4">
              <w:rPr>
                <w:rFonts w:ascii="Times New Roman" w:hAnsi="Times New Roman" w:cs="Times New Roman"/>
              </w:rPr>
              <w:br/>
            </w:r>
            <w:r w:rsidRPr="00CB2EC4">
              <w:rPr>
                <w:rFonts w:ascii="Times New Roman" w:hAnsi="Times New Roman" w:cs="Times New Roman"/>
              </w:rPr>
              <w:lastRenderedPageBreak/>
              <w:t xml:space="preserve">  - External iliac lymph nodes (located around the external iliac artery)  </w:t>
            </w:r>
            <w:r w:rsidRPr="00CB2EC4">
              <w:rPr>
                <w:rFonts w:ascii="Times New Roman" w:hAnsi="Times New Roman" w:cs="Times New Roman"/>
              </w:rPr>
              <w:br/>
              <w:t xml:space="preserve">  - Internal iliac lymph nodes (located around the internal iliac artery)  </w:t>
            </w:r>
            <w:r w:rsidRPr="00CB2EC4">
              <w:rPr>
                <w:rFonts w:ascii="Times New Roman" w:hAnsi="Times New Roman" w:cs="Times New Roman"/>
              </w:rPr>
              <w:br/>
              <w:t xml:space="preserve">  - Obturator lymph nodes (located in the obturator fossa region)  </w:t>
            </w:r>
            <w:r w:rsidRPr="00CB2EC4">
              <w:rPr>
                <w:rFonts w:ascii="Times New Roman" w:hAnsi="Times New Roman" w:cs="Times New Roman"/>
              </w:rPr>
              <w:br/>
              <w:t xml:space="preserve">  This range constitutes the routine component of radical hysterectomy, aimed at comprehensive assessment of lymph node metastasis.</w:t>
            </w:r>
          </w:p>
        </w:tc>
        <w:tc>
          <w:tcPr>
            <w:tcW w:w="1152" w:type="dxa"/>
            <w:vAlign w:val="center"/>
          </w:tcPr>
          <w:p w14:paraId="536BA1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31BC5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B8344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2EBA6F2" w14:textId="77777777">
        <w:tc>
          <w:tcPr>
            <w:tcW w:w="2160" w:type="dxa"/>
            <w:vAlign w:val="center"/>
          </w:tcPr>
          <w:p w14:paraId="688419E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EE183BD"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resection range for pelvic lymphadenectomy includes the following lymph node regions:</w:t>
            </w:r>
            <w:r w:rsidRPr="00CB2EC4">
              <w:rPr>
                <w:rFonts w:ascii="Times New Roman" w:hAnsi="Times New Roman" w:cs="Times New Roman"/>
              </w:rPr>
              <w:br/>
              <w:t xml:space="preserve">  - Common iliac lymph nodes</w:t>
            </w:r>
            <w:r w:rsidRPr="00CB2EC4">
              <w:rPr>
                <w:rFonts w:ascii="Times New Roman" w:hAnsi="Times New Roman" w:cs="Times New Roman"/>
              </w:rPr>
              <w:br/>
              <w:t xml:space="preserve">  - External iliac lymph nodes</w:t>
            </w:r>
            <w:r w:rsidRPr="00CB2EC4">
              <w:rPr>
                <w:rFonts w:ascii="Times New Roman" w:hAnsi="Times New Roman" w:cs="Times New Roman"/>
              </w:rPr>
              <w:br/>
              <w:t xml:space="preserve">  - Internal iliac lymph nodes</w:t>
            </w:r>
            <w:r w:rsidRPr="00CB2EC4">
              <w:rPr>
                <w:rFonts w:ascii="Times New Roman" w:hAnsi="Times New Roman" w:cs="Times New Roman"/>
              </w:rPr>
              <w:br/>
              <w:t xml:space="preserve">  - Obturator lymph nodes</w:t>
            </w:r>
            <w:r w:rsidRPr="00CB2EC4">
              <w:rPr>
                <w:rFonts w:ascii="Times New Roman" w:hAnsi="Times New Roman" w:cs="Times New Roman"/>
              </w:rPr>
              <w:br/>
              <w:t xml:space="preserve">  - Presacral lymph nodes (resected selectively based on tumor location)</w:t>
            </w:r>
            <w:r w:rsidRPr="00CB2EC4">
              <w:rPr>
                <w:rFonts w:ascii="Times New Roman" w:hAnsi="Times New Roman" w:cs="Times New Roman"/>
              </w:rPr>
              <w:br/>
              <w:t>- This range aims to systematically remove pelvic lymph nodes for accurate staging and reduction of metastatic risk.</w:t>
            </w:r>
          </w:p>
        </w:tc>
        <w:tc>
          <w:tcPr>
            <w:tcW w:w="1152" w:type="dxa"/>
            <w:vAlign w:val="center"/>
          </w:tcPr>
          <w:p w14:paraId="1C87A9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B8143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9176E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9A519C4" w14:textId="77777777">
        <w:tc>
          <w:tcPr>
            <w:tcW w:w="2160" w:type="dxa"/>
            <w:vAlign w:val="center"/>
          </w:tcPr>
          <w:p w14:paraId="45705486"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16784E1"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dissection range includes the parametrial lymph nodes, obturator lymph nodes, internal iliac lymph nodes, external iliac lymph nodes, and common iliac lymph nodes.</w:t>
            </w:r>
            <w:r w:rsidRPr="00CB2EC4">
              <w:rPr>
                <w:rFonts w:ascii="Times New Roman" w:hAnsi="Times New Roman" w:cs="Times New Roman"/>
              </w:rPr>
              <w:br/>
            </w:r>
            <w:r w:rsidRPr="00CB2EC4">
              <w:rPr>
                <w:rFonts w:ascii="Times New Roman" w:hAnsi="Times New Roman" w:cs="Times New Roman"/>
              </w:rPr>
              <w:br/>
              <w:t>&gt; *Source: Fragment 15 (relevance 0.6925) explicitly states: "Lymph node dissection... the dissection range includes parametrial lymph nodes, obturator, internal iliac, external iliac, and common iliac lymph nodes."*</w:t>
            </w:r>
          </w:p>
        </w:tc>
        <w:tc>
          <w:tcPr>
            <w:tcW w:w="1152" w:type="dxa"/>
            <w:vAlign w:val="center"/>
          </w:tcPr>
          <w:p w14:paraId="7B616A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37FF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522D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1C3CDC" w14:textId="77777777">
        <w:tc>
          <w:tcPr>
            <w:tcW w:w="2160" w:type="dxa"/>
            <w:vAlign w:val="center"/>
          </w:tcPr>
          <w:p w14:paraId="5DDA6186"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DDC2C0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standard resection range for pelvic lymphadenectomy includes the following nodal regions:  </w:t>
            </w:r>
            <w:r w:rsidRPr="00CB2EC4">
              <w:rPr>
                <w:rFonts w:ascii="Times New Roman" w:hAnsi="Times New Roman" w:cs="Times New Roman"/>
              </w:rPr>
              <w:br/>
            </w:r>
            <w:r w:rsidRPr="00CB2EC4">
              <w:rPr>
                <w:rFonts w:ascii="Times New Roman" w:hAnsi="Times New Roman" w:cs="Times New Roman"/>
              </w:rPr>
              <w:lastRenderedPageBreak/>
              <w:t xml:space="preserve">- Parametrial lymph nodes (located in the parametrial tissue)  </w:t>
            </w:r>
            <w:r w:rsidRPr="00CB2EC4">
              <w:rPr>
                <w:rFonts w:ascii="Times New Roman" w:hAnsi="Times New Roman" w:cs="Times New Roman"/>
              </w:rPr>
              <w:br/>
              <w:t xml:space="preserve">- Obturator lymph nodes (situated in the obturator fossa)  </w:t>
            </w:r>
            <w:r w:rsidRPr="00CB2EC4">
              <w:rPr>
                <w:rFonts w:ascii="Times New Roman" w:hAnsi="Times New Roman" w:cs="Times New Roman"/>
              </w:rPr>
              <w:br/>
              <w:t xml:space="preserve">- Internal iliac lymph nodes (distributed along the internal iliac vessels)  </w:t>
            </w:r>
            <w:r w:rsidRPr="00CB2EC4">
              <w:rPr>
                <w:rFonts w:ascii="Times New Roman" w:hAnsi="Times New Roman" w:cs="Times New Roman"/>
              </w:rPr>
              <w:br/>
              <w:t xml:space="preserve">- External iliac lymph nodes (distributed along the external iliac vessels)  </w:t>
            </w:r>
            <w:r w:rsidRPr="00CB2EC4">
              <w:rPr>
                <w:rFonts w:ascii="Times New Roman" w:hAnsi="Times New Roman" w:cs="Times New Roman"/>
              </w:rPr>
              <w:br/>
              <w:t xml:space="preserve">- Common iliac lymph nodes (located around the common iliac vessels)  </w:t>
            </w:r>
            <w:r w:rsidRPr="00CB2EC4">
              <w:rPr>
                <w:rFonts w:ascii="Times New Roman" w:hAnsi="Times New Roman" w:cs="Times New Roman"/>
              </w:rPr>
              <w:br/>
              <w:t>This range constitutes a fundamental component of radical hysterectomy, aiming to comprehensively remove potentially metastatic lymph nodes.</w:t>
            </w:r>
          </w:p>
        </w:tc>
        <w:tc>
          <w:tcPr>
            <w:tcW w:w="1152" w:type="dxa"/>
            <w:vAlign w:val="center"/>
          </w:tcPr>
          <w:p w14:paraId="22927E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FBCE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2F2E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40A9CD" w14:textId="77777777">
        <w:tc>
          <w:tcPr>
            <w:tcW w:w="2160" w:type="dxa"/>
            <w:vAlign w:val="center"/>
          </w:tcPr>
          <w:p w14:paraId="0657BF7C"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F599963"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dissection range includes the following lymph node regions:</w:t>
            </w:r>
            <w:r w:rsidRPr="00CB2EC4">
              <w:rPr>
                <w:rFonts w:ascii="Times New Roman" w:hAnsi="Times New Roman" w:cs="Times New Roman"/>
              </w:rPr>
              <w:br/>
              <w:t xml:space="preserve">  - Common iliac lymph nodes</w:t>
            </w:r>
            <w:r w:rsidRPr="00CB2EC4">
              <w:rPr>
                <w:rFonts w:ascii="Times New Roman" w:hAnsi="Times New Roman" w:cs="Times New Roman"/>
              </w:rPr>
              <w:br/>
              <w:t xml:space="preserve">  - External iliac lymph nodes</w:t>
            </w:r>
            <w:r w:rsidRPr="00CB2EC4">
              <w:rPr>
                <w:rFonts w:ascii="Times New Roman" w:hAnsi="Times New Roman" w:cs="Times New Roman"/>
              </w:rPr>
              <w:br/>
              <w:t xml:space="preserve">  - Internal iliac lymph nodes</w:t>
            </w:r>
            <w:r w:rsidRPr="00CB2EC4">
              <w:rPr>
                <w:rFonts w:ascii="Times New Roman" w:hAnsi="Times New Roman" w:cs="Times New Roman"/>
              </w:rPr>
              <w:br/>
              <w:t xml:space="preserve">  - Obturator lymph nodes</w:t>
            </w:r>
            <w:r w:rsidRPr="00CB2EC4">
              <w:rPr>
                <w:rFonts w:ascii="Times New Roman" w:hAnsi="Times New Roman" w:cs="Times New Roman"/>
              </w:rPr>
              <w:br/>
              <w:t xml:space="preserve">  - Para-uterine lymph nodes</w:t>
            </w:r>
            <w:r w:rsidRPr="00CB2EC4">
              <w:rPr>
                <w:rFonts w:ascii="Times New Roman" w:hAnsi="Times New Roman" w:cs="Times New Roman"/>
              </w:rPr>
              <w:br/>
              <w:t>- This range aims to systematically clear the pelvic lymphatic drainage areas for accurate staging and reduced recurrence risk.</w:t>
            </w:r>
          </w:p>
        </w:tc>
        <w:tc>
          <w:tcPr>
            <w:tcW w:w="1152" w:type="dxa"/>
            <w:vAlign w:val="center"/>
          </w:tcPr>
          <w:p w14:paraId="5B5E64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480D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3C74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F202F3" w14:textId="77777777">
        <w:tc>
          <w:tcPr>
            <w:tcW w:w="10656" w:type="dxa"/>
            <w:gridSpan w:val="5"/>
            <w:tcBorders>
              <w:bottom w:val="single" w:sz="6" w:space="0" w:color="auto"/>
            </w:tcBorders>
            <w:vAlign w:val="center"/>
          </w:tcPr>
          <w:p w14:paraId="77BEE8B3" w14:textId="77777777" w:rsidR="00922249" w:rsidRPr="00CB2EC4" w:rsidRDefault="003011D5">
            <w:pPr>
              <w:rPr>
                <w:rFonts w:ascii="Times New Roman" w:hAnsi="Times New Roman" w:cs="Times New Roman"/>
              </w:rPr>
            </w:pPr>
            <w:r w:rsidRPr="00CB2EC4">
              <w:rPr>
                <w:rFonts w:ascii="Times New Roman" w:hAnsi="Times New Roman" w:cs="Times New Roman"/>
                <w:b/>
              </w:rPr>
              <w:t>Question 91: For the diagnosis of stage IA cervical cancer, why is a diagnosis based solely on cervical biopsy histopathology considered insufficient?</w:t>
            </w:r>
          </w:p>
        </w:tc>
      </w:tr>
      <w:tr w:rsidR="00922249" w:rsidRPr="00CB2EC4" w14:paraId="26954355" w14:textId="77777777">
        <w:tc>
          <w:tcPr>
            <w:tcW w:w="2160" w:type="dxa"/>
            <w:vAlign w:val="center"/>
          </w:tcPr>
          <w:p w14:paraId="6C68221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1F05891" w14:textId="77777777" w:rsidR="00922249" w:rsidRPr="00CB2EC4" w:rsidRDefault="003011D5">
            <w:pPr>
              <w:rPr>
                <w:rFonts w:ascii="Times New Roman" w:hAnsi="Times New Roman" w:cs="Times New Roman"/>
              </w:rPr>
            </w:pPr>
            <w:r w:rsidRPr="00CB2EC4">
              <w:rPr>
                <w:rFonts w:ascii="Times New Roman" w:hAnsi="Times New Roman" w:cs="Times New Roman"/>
              </w:rPr>
              <w:t>because the diagnosis of IA stage cervical cancer cannot be made solely on cervical biopsy histopathology.</w:t>
            </w:r>
            <w:r w:rsidRPr="00CB2EC4">
              <w:rPr>
                <w:rFonts w:ascii="Times New Roman" w:hAnsi="Times New Roman" w:cs="Times New Roman"/>
              </w:rPr>
              <w:br/>
            </w:r>
            <w:r w:rsidRPr="00CB2EC4">
              <w:rPr>
                <w:rFonts w:ascii="Times New Roman" w:hAnsi="Times New Roman" w:cs="Times New Roman"/>
              </w:rPr>
              <w:br/>
              <w:t xml:space="preserve">According to the document (similarity: 0.620 [expansion:3 blocks, range:33-35]), in the annotation of the "Early Cervical Cancer Treatment" section, it is explicitly stated: "b IA stage requires pathological </w:t>
            </w:r>
            <w:r w:rsidRPr="00CB2EC4">
              <w:rPr>
                <w:rFonts w:ascii="Times New Roman" w:hAnsi="Times New Roman" w:cs="Times New Roman"/>
              </w:rPr>
              <w:lastRenderedPageBreak/>
              <w:t>confirmation from cervical conization; it cannot be diagnosed solely by cervical biopsy histopathology." The reason is that IA stage cervical cancer is a microinvasive carcinoma, which requires a more complete tissue sample obtained by cervical conization to accurately assess the depth of invasion (not exceeding 5 mm) and the horizontal spread (not exceeding 7 mm). Cervical biopsy may only sample superficial tissue and cannot comprehensively evaluate the extent of invasion, which can easily lead to misdiagnosis or incorrect staging. Therefore, the definitive diagnosis of IA stage must rely on cervical conization pathology.</w:t>
            </w:r>
          </w:p>
        </w:tc>
        <w:tc>
          <w:tcPr>
            <w:tcW w:w="1152" w:type="dxa"/>
            <w:vAlign w:val="center"/>
          </w:tcPr>
          <w:p w14:paraId="2C82A3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D64D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6242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A16DE7" w14:textId="77777777">
        <w:tc>
          <w:tcPr>
            <w:tcW w:w="2160" w:type="dxa"/>
            <w:vAlign w:val="center"/>
          </w:tcPr>
          <w:p w14:paraId="4744EDD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A663D42" w14:textId="77777777" w:rsidR="00922249" w:rsidRPr="00CB2EC4" w:rsidRDefault="003011D5">
            <w:pPr>
              <w:rPr>
                <w:rFonts w:ascii="Times New Roman" w:hAnsi="Times New Roman" w:cs="Times New Roman"/>
              </w:rPr>
            </w:pPr>
            <w:r w:rsidRPr="00CB2EC4">
              <w:rPr>
                <w:rFonts w:ascii="Times New Roman" w:hAnsi="Times New Roman" w:cs="Times New Roman"/>
              </w:rPr>
              <w:t>because cervical biopsy alone cannot accurately determine the presence or depth of stromal invasion, particularly for microinvasive carcinoma. the diagnosis of ia stage cervical cancer requires pathological examination of a conization specimen to ensure precise assessment of invasion depth and avoid underdiagnosis or overdiagnosis.</w:t>
            </w:r>
            <w:r w:rsidRPr="00CB2EC4">
              <w:rPr>
                <w:rFonts w:ascii="Times New Roman" w:hAnsi="Times New Roman" w:cs="Times New Roman"/>
              </w:rPr>
              <w:br/>
            </w:r>
            <w:r w:rsidRPr="00CB2EC4">
              <w:rPr>
                <w:rFonts w:ascii="Times New Roman" w:hAnsi="Times New Roman" w:cs="Times New Roman"/>
              </w:rPr>
              <w:br/>
              <w:t>- relevant evidence:</w:t>
            </w:r>
            <w:r w:rsidRPr="00CB2EC4">
              <w:rPr>
                <w:rFonts w:ascii="Times New Roman" w:hAnsi="Times New Roman" w:cs="Times New Roman"/>
              </w:rPr>
              <w:br/>
              <w:t xml:space="preserve">  - block 35 (cervical cancer treatment strategies): "b ia stage requires pathological confirmation from a cervical conization specimen; it cannot be diagnosed solely by cervical biopsy histology."</w:t>
            </w:r>
            <w:r w:rsidRPr="00CB2EC4">
              <w:rPr>
                <w:rFonts w:ascii="Times New Roman" w:hAnsi="Times New Roman" w:cs="Times New Roman"/>
              </w:rPr>
              <w:br/>
              <w:t xml:space="preserve">  - block 28 (cervical cancer diagnostic methods): "c cervical biopsy cannot determine the presence of invasion or microinvasive carcinoma; diagnostic cervical conization is recommended when the depth of invasion needs to be clarified."</w:t>
            </w:r>
            <w:r w:rsidRPr="00CB2EC4">
              <w:rPr>
                <w:rFonts w:ascii="Times New Roman" w:hAnsi="Times New Roman" w:cs="Times New Roman"/>
              </w:rPr>
              <w:br/>
            </w:r>
            <w:r w:rsidRPr="00CB2EC4">
              <w:rPr>
                <w:rFonts w:ascii="Times New Roman" w:hAnsi="Times New Roman" w:cs="Times New Roman"/>
              </w:rPr>
              <w:br/>
              <w:t xml:space="preserve">therefore, cervical conization provides a more comprehensive tissue sample and reduces the risk of </w:t>
            </w:r>
            <w:r w:rsidRPr="00CB2EC4">
              <w:rPr>
                <w:rFonts w:ascii="Times New Roman" w:hAnsi="Times New Roman" w:cs="Times New Roman"/>
              </w:rPr>
              <w:lastRenderedPageBreak/>
              <w:t>false-negative results.</w:t>
            </w:r>
          </w:p>
        </w:tc>
        <w:tc>
          <w:tcPr>
            <w:tcW w:w="1152" w:type="dxa"/>
            <w:vAlign w:val="center"/>
          </w:tcPr>
          <w:p w14:paraId="7F48DE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97E40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8118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D1593E" w14:textId="77777777">
        <w:tc>
          <w:tcPr>
            <w:tcW w:w="2160" w:type="dxa"/>
            <w:vAlign w:val="center"/>
          </w:tcPr>
          <w:p w14:paraId="16021375"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8B12F7E" w14:textId="77777777" w:rsidR="00922249" w:rsidRPr="00CB2EC4" w:rsidRDefault="003011D5">
            <w:pPr>
              <w:rPr>
                <w:rFonts w:ascii="Times New Roman" w:hAnsi="Times New Roman" w:cs="Times New Roman"/>
              </w:rPr>
            </w:pPr>
            <w:r w:rsidRPr="00CB2EC4">
              <w:rPr>
                <w:rFonts w:ascii="Times New Roman" w:hAnsi="Times New Roman" w:cs="Times New Roman"/>
              </w:rPr>
              <w:t>because for the diagnosis of stage IA cervical cancer, cervical biopsy tissue pathology alone is insufficient.</w:t>
            </w:r>
            <w:r w:rsidRPr="00CB2EC4">
              <w:rPr>
                <w:rFonts w:ascii="Times New Roman" w:hAnsi="Times New Roman" w:cs="Times New Roman"/>
              </w:rPr>
              <w:br/>
            </w:r>
            <w:r w:rsidRPr="00CB2EC4">
              <w:rPr>
                <w:rFonts w:ascii="Times New Roman" w:hAnsi="Times New Roman" w:cs="Times New Roman"/>
              </w:rPr>
              <w:br/>
              <w:t>According to document excerpt 4 (b: stage IA requires pathological confirmation from a cervical conization specimen; it cannot be diagnosed solely by cervical biopsy tissue pathology) and excerpt 9 (c: cervical biopsy cannot determine the presence or absence of invasion or microinvasive carcinoma; diagnostic cervical conization is recommended when the depth of invasion needs to be assessed), cervical biopsy provides only a localized tissue sample and cannot comprehensively evaluate the depth and extent of stromal invasion. Stage IA cervical cancer is a microscopically diagnosed invasive carcinoma (excerpt 17) that requires precise measurement of stromal invasion depth (≤5 mm). Since biopsy may miss deep invasion or microscopic foci, cervical conization must be performed to obtain a more complete tissue specimen for accurate diagnosis of invasion depth and exclusion of more advanced disease.</w:t>
            </w:r>
          </w:p>
        </w:tc>
        <w:tc>
          <w:tcPr>
            <w:tcW w:w="1152" w:type="dxa"/>
            <w:vAlign w:val="center"/>
          </w:tcPr>
          <w:p w14:paraId="7077D3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F066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A054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05F4D0" w14:textId="77777777">
        <w:tc>
          <w:tcPr>
            <w:tcW w:w="2160" w:type="dxa"/>
            <w:vAlign w:val="center"/>
          </w:tcPr>
          <w:p w14:paraId="1B5950C1"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C7BBC8D" w14:textId="77777777" w:rsidR="00922249" w:rsidRPr="00CB2EC4" w:rsidRDefault="003011D5">
            <w:pPr>
              <w:rPr>
                <w:rFonts w:ascii="Times New Roman" w:hAnsi="Times New Roman" w:cs="Times New Roman"/>
              </w:rPr>
            </w:pPr>
            <w:r w:rsidRPr="00CB2EC4">
              <w:rPr>
                <w:rFonts w:ascii="Times New Roman" w:hAnsi="Times New Roman" w:cs="Times New Roman"/>
              </w:rPr>
              <w:t>for the diagnosis of stage IA cervical cancer, why can it not be confirmed solely by histopathological examination of cervical biopsy tissue?</w:t>
            </w:r>
            <w:r w:rsidRPr="00CB2EC4">
              <w:rPr>
                <w:rFonts w:ascii="Times New Roman" w:hAnsi="Times New Roman" w:cs="Times New Roman"/>
              </w:rPr>
              <w:br/>
            </w:r>
            <w:r w:rsidRPr="00CB2EC4">
              <w:rPr>
                <w:rFonts w:ascii="Times New Roman" w:hAnsi="Times New Roman" w:cs="Times New Roman"/>
              </w:rPr>
              <w:br/>
              <w:t xml:space="preserve">- Stage IA cervical cancer (especially microinvasive carcinoma) requires pathological examination of a cervical conization specimen for definitive diagnosis, because cervical biopsy can only reflect local lesion status and cannot accurately assess the depth and extent of stromal invasion (a key diagnostic criterion). </w:t>
            </w:r>
            <w:r w:rsidRPr="00CB2EC4">
              <w:rPr>
                <w:rFonts w:ascii="Times New Roman" w:hAnsi="Times New Roman" w:cs="Times New Roman"/>
              </w:rPr>
              <w:lastRenderedPageBreak/>
              <w:t>Biopsy may miss deep invasive foci, leading to underestimation of staging (Document 1, 4).</w:t>
            </w:r>
            <w:r w:rsidRPr="00CB2EC4">
              <w:rPr>
                <w:rFonts w:ascii="Times New Roman" w:hAnsi="Times New Roman" w:cs="Times New Roman"/>
              </w:rPr>
              <w:br/>
              <w:t>- The annotation explicitly states: "Stage IA must be diagnosed by pathology of cervical conization tissue; it cannot be diagnosed solely by pathology of cervical biopsy tissue" (Document 4).</w:t>
            </w:r>
            <w:r w:rsidRPr="00CB2EC4">
              <w:rPr>
                <w:rFonts w:ascii="Times New Roman" w:hAnsi="Times New Roman" w:cs="Times New Roman"/>
              </w:rPr>
              <w:br/>
            </w:r>
            <w:r w:rsidRPr="00CB2EC4">
              <w:rPr>
                <w:rFonts w:ascii="Times New Roman" w:hAnsi="Times New Roman" w:cs="Times New Roman"/>
              </w:rPr>
              <w:br/>
              <w:t>&gt; Conclusion: Cervical conization allows complete assessment of invasion depth and avoids misdiagnosis or missed diagnosis.</w:t>
            </w:r>
          </w:p>
        </w:tc>
        <w:tc>
          <w:tcPr>
            <w:tcW w:w="1152" w:type="dxa"/>
            <w:vAlign w:val="center"/>
          </w:tcPr>
          <w:p w14:paraId="41FD4F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DD274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DCCD4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65CAD5" w14:textId="77777777">
        <w:tc>
          <w:tcPr>
            <w:tcW w:w="2160" w:type="dxa"/>
            <w:vAlign w:val="center"/>
          </w:tcPr>
          <w:p w14:paraId="1D8D9E9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D0AB8B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Why can't the diagnosis of stage IA cervical cancer be confirmed solely based on cervical biopsy histopathology?  </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 Cervical biopsy may not comprehensively assess the depth of invasion or determine the presence of microinvasive carcinoma (Fragment 8: "Stage IA requires pathological confirmation via cervical conization tissue and cannot be diagnosed solely based on cervical biopsy histopathology").  </w:t>
            </w:r>
            <w:r w:rsidRPr="00CB2EC4">
              <w:rPr>
                <w:rFonts w:ascii="Times New Roman" w:hAnsi="Times New Roman" w:cs="Times New Roman"/>
              </w:rPr>
              <w:br/>
              <w:t xml:space="preserve">- Cervical conization provides more complete tissue samples to accurately determine the depth of invasion and staging (Fragment 3: "Cervical biopsy cannot determine the presence of invasion or microinvasive carcinoma; diagnostic cervical conization is recommended when clarifying the depth of invasion is necessary").  </w:t>
            </w:r>
            <w:r w:rsidRPr="00CB2EC4">
              <w:rPr>
                <w:rFonts w:ascii="Times New Roman" w:hAnsi="Times New Roman" w:cs="Times New Roman"/>
              </w:rPr>
              <w:br/>
              <w:t xml:space="preserve">- Relying solely on biopsy may lead to false negatives or staging errors (Fragment 3: "Note that cervical adenocarcinoma carries the possibility of cytological false negatives").  </w:t>
            </w:r>
            <w:r w:rsidRPr="00CB2EC4">
              <w:rPr>
                <w:rFonts w:ascii="Times New Roman" w:hAnsi="Times New Roman" w:cs="Times New Roman"/>
              </w:rPr>
              <w:br/>
              <w:t xml:space="preserve">Therefore, the diagnosis of stage IA cervical cancer must rely on pathological examination of cervical </w:t>
            </w:r>
            <w:r w:rsidRPr="00CB2EC4">
              <w:rPr>
                <w:rFonts w:ascii="Times New Roman" w:hAnsi="Times New Roman" w:cs="Times New Roman"/>
              </w:rPr>
              <w:lastRenderedPageBreak/>
              <w:t>conization tissue.</w:t>
            </w:r>
          </w:p>
        </w:tc>
        <w:tc>
          <w:tcPr>
            <w:tcW w:w="1152" w:type="dxa"/>
            <w:vAlign w:val="center"/>
          </w:tcPr>
          <w:p w14:paraId="7F5D09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F41E5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0AE7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5DC2FC" w14:textId="77777777">
        <w:tc>
          <w:tcPr>
            <w:tcW w:w="2160" w:type="dxa"/>
            <w:vAlign w:val="center"/>
          </w:tcPr>
          <w:p w14:paraId="03232D1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78496ED" w14:textId="77777777" w:rsidR="00922249" w:rsidRPr="00CB2EC4" w:rsidRDefault="003011D5">
            <w:pPr>
              <w:rPr>
                <w:rFonts w:ascii="Times New Roman" w:hAnsi="Times New Roman" w:cs="Times New Roman"/>
              </w:rPr>
            </w:pPr>
            <w:r w:rsidRPr="00CB2EC4">
              <w:rPr>
                <w:rFonts w:ascii="Times New Roman" w:hAnsi="Times New Roman" w:cs="Times New Roman"/>
              </w:rPr>
              <w:t>because the diagnosis of IA stage cervical cancer requires assessment of the depth of stromal invasion, which cannot be reliably determined from a cervical biopsy alone. A cervical biopsy only obtains superficial and localized tissue, which may not fully represent the tumor's invasive extent. In contrast, a cervical conization provides a complete tissue specimen, allowing accurate measurement of the stromal invasion depth (≤3 mm for IA1, &gt;3 mm but ≤5 mm for IA2), thereby preventing underdiagnosis or overdiagnosis of microinvasive cervical cancer.</w:t>
            </w:r>
          </w:p>
        </w:tc>
        <w:tc>
          <w:tcPr>
            <w:tcW w:w="1152" w:type="dxa"/>
            <w:vAlign w:val="center"/>
          </w:tcPr>
          <w:p w14:paraId="349EF3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E946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42F2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2B5153" w14:textId="77777777">
        <w:tc>
          <w:tcPr>
            <w:tcW w:w="2160" w:type="dxa"/>
            <w:vAlign w:val="center"/>
          </w:tcPr>
          <w:p w14:paraId="7F0E1702"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A95A34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the diagnosis of stage IA cervical cancer, it cannot be confirmed solely based on cervical biopsy histopathology for the following reasons:  </w:t>
            </w:r>
            <w:r w:rsidRPr="00CB2EC4">
              <w:rPr>
                <w:rFonts w:ascii="Times New Roman" w:hAnsi="Times New Roman" w:cs="Times New Roman"/>
              </w:rPr>
              <w:br/>
              <w:t xml:space="preserve">- According to the document, "Stage IA requires pathological examination of a cervical conization specimen for diagnosis; it cannot be diagnosed solely by cervical biopsy histopathology." (Source: multiple references in the text, such as annotation b in the fragment with [HyDE similarity: 0.629].)  </w:t>
            </w:r>
            <w:r w:rsidRPr="00CB2EC4">
              <w:rPr>
                <w:rFonts w:ascii="Times New Roman" w:hAnsi="Times New Roman" w:cs="Times New Roman"/>
              </w:rPr>
              <w:br/>
              <w:t xml:space="preserve">- The reason is that cervical biopsy only obtains localized superficial tissue samples, which may not comprehensively assess the depth and extent of infiltration, especially for microinvasive carcinomas (such as IA1 and IA2 stages). This can lead to false-negative results or underestimation of the infiltration depth. Cervical conization provides a complete cervical tissue specimen, allowing for more accurate measurement of infiltration depth (must be less than 5 mm) and exclusion of more advanced disease.  </w:t>
            </w:r>
            <w:r w:rsidRPr="00CB2EC4">
              <w:rPr>
                <w:rFonts w:ascii="Times New Roman" w:hAnsi="Times New Roman" w:cs="Times New Roman"/>
              </w:rPr>
              <w:br/>
              <w:t>Therefore, confirmation of stage IA must rely on pathological examination of cervical conization tissue.</w:t>
            </w:r>
          </w:p>
        </w:tc>
        <w:tc>
          <w:tcPr>
            <w:tcW w:w="1152" w:type="dxa"/>
            <w:vAlign w:val="center"/>
          </w:tcPr>
          <w:p w14:paraId="39A5EF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D757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4070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C92AEC" w14:textId="77777777">
        <w:tc>
          <w:tcPr>
            <w:tcW w:w="2160" w:type="dxa"/>
            <w:vAlign w:val="center"/>
          </w:tcPr>
          <w:p w14:paraId="30DBD78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7CE787E4" w14:textId="77777777" w:rsidR="00922249" w:rsidRPr="00CB2EC4" w:rsidRDefault="003011D5">
            <w:pPr>
              <w:rPr>
                <w:rFonts w:ascii="Times New Roman" w:hAnsi="Times New Roman" w:cs="Times New Roman"/>
              </w:rPr>
            </w:pPr>
            <w:r w:rsidRPr="00CB2EC4">
              <w:rPr>
                <w:rFonts w:ascii="Times New Roman" w:hAnsi="Times New Roman" w:cs="Times New Roman"/>
              </w:rPr>
              <w:t>for the diagnosis of stage IA cervical cancer, it cannot be confirmed solely based on the histopathology of cervical biopsy tissue.</w:t>
            </w:r>
            <w:r w:rsidRPr="00CB2EC4">
              <w:rPr>
                <w:rFonts w:ascii="Times New Roman" w:hAnsi="Times New Roman" w:cs="Times New Roman"/>
              </w:rPr>
              <w:br/>
            </w:r>
            <w:r w:rsidRPr="00CB2EC4">
              <w:rPr>
                <w:rFonts w:ascii="Times New Roman" w:hAnsi="Times New Roman" w:cs="Times New Roman"/>
              </w:rPr>
              <w:br/>
              <w:t>according to document fragment 2 (similarity: 0.614):</w:t>
            </w:r>
            <w:r w:rsidRPr="00CB2EC4">
              <w:rPr>
                <w:rFonts w:ascii="Times New Roman" w:hAnsi="Times New Roman" w:cs="Times New Roman"/>
              </w:rPr>
              <w:br/>
              <w:t>- "Stage IA requires pathological examination of a cervical conization specimen for diagnosis; it cannot be diagnosed solely by cervical biopsy histopathology." (see footnote b in document fragment 2).</w:t>
            </w:r>
            <w:r w:rsidRPr="00CB2EC4">
              <w:rPr>
                <w:rFonts w:ascii="Times New Roman" w:hAnsi="Times New Roman" w:cs="Times New Roman"/>
              </w:rPr>
              <w:br/>
              <w:t>- reason: the histopathology of cervical biopsy tissue may not comprehensively assess the depth of invasion and the extent of microinvasive carcinoma, as biopsy samples are small and may only represent localized areas, leading to potential underdiagnosis or misdiagnosis. specifically, footnote c in document fragment 2 states: "cervical biopsy cannot determine the presence or absence of invasion or microinvasive carcinoma; diagnostic cervical conization is recommended when the depth of invasion needs to be clarified." additionally, document fragment 19 (similarity: 0.401), referencing the FIGO 2018 staging, emphasizes that stage IA is defined as microscopic microinvasive carcinoma (invasion depth &lt; 5 mm), which requires complete cervical conization specimens for multi-section pathological examination to ensure accurate measurement of invasion depth and exclusion of more extensive disease.</w:t>
            </w:r>
            <w:r w:rsidRPr="00CB2EC4">
              <w:rPr>
                <w:rFonts w:ascii="Times New Roman" w:hAnsi="Times New Roman" w:cs="Times New Roman"/>
              </w:rPr>
              <w:br/>
              <w:t>conclusion: cervical biopsy alone cannot provide sufficient tissue samples for accurate diagnosis of stage IA cervical cancer; confirmation must rely on pathological examination of cervical conization tissue.</w:t>
            </w:r>
          </w:p>
        </w:tc>
        <w:tc>
          <w:tcPr>
            <w:tcW w:w="1152" w:type="dxa"/>
            <w:vAlign w:val="center"/>
          </w:tcPr>
          <w:p w14:paraId="595524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6EA0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0E54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D0F4C4" w14:textId="77777777">
        <w:tc>
          <w:tcPr>
            <w:tcW w:w="2160" w:type="dxa"/>
            <w:vAlign w:val="center"/>
          </w:tcPr>
          <w:p w14:paraId="61804CFD"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2167B0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the diagnosis of stage IA cervical cancer, it cannot be confirmed solely by cervical biopsy histopathology </w:t>
            </w:r>
            <w:r w:rsidRPr="00CB2EC4">
              <w:rPr>
                <w:rFonts w:ascii="Times New Roman" w:hAnsi="Times New Roman" w:cs="Times New Roman"/>
              </w:rPr>
              <w:lastRenderedPageBreak/>
              <w:t xml:space="preserve">for the following reasons:  </w:t>
            </w:r>
            <w:r w:rsidRPr="00CB2EC4">
              <w:rPr>
                <w:rFonts w:ascii="Times New Roman" w:hAnsi="Times New Roman" w:cs="Times New Roman"/>
              </w:rPr>
              <w:br/>
              <w:t xml:space="preserve">- The document explicitly states: "Stage IA requires pathological examination of a cervical conization specimen for diagnosis; it cannot be diagnosed solely by cervical biopsy histopathology." (Source: annotation section).  </w:t>
            </w:r>
            <w:r w:rsidRPr="00CB2EC4">
              <w:rPr>
                <w:rFonts w:ascii="Times New Roman" w:hAnsi="Times New Roman" w:cs="Times New Roman"/>
              </w:rPr>
              <w:br/>
              <w:t xml:space="preserve">- The specific reason is that cervical biopsy may not accurately assess the depth of invasion, especially for microinvasive carcinoma (such as stage IA), because the biopsy sample is small and superficial, and may miss deeper invasion. Cervical conization provides a more complete tissue sample, which helps to clarify the depth of invasion and staging.  </w:t>
            </w:r>
            <w:r w:rsidRPr="00CB2EC4">
              <w:rPr>
                <w:rFonts w:ascii="Times New Roman" w:hAnsi="Times New Roman" w:cs="Times New Roman"/>
              </w:rPr>
              <w:br/>
              <w:t>Therefore, diagnosis of stage IA cervical cancer must be based on pathological examination of a cervical conization specimen.</w:t>
            </w:r>
          </w:p>
        </w:tc>
        <w:tc>
          <w:tcPr>
            <w:tcW w:w="1152" w:type="dxa"/>
            <w:vAlign w:val="center"/>
          </w:tcPr>
          <w:p w14:paraId="037A6B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750A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2D24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BB65ED2" w14:textId="77777777">
        <w:tc>
          <w:tcPr>
            <w:tcW w:w="2160" w:type="dxa"/>
            <w:vAlign w:val="center"/>
          </w:tcPr>
          <w:p w14:paraId="504ABBB3"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E0F9A37" w14:textId="77777777" w:rsidR="00922249" w:rsidRPr="00CB2EC4" w:rsidRDefault="003011D5">
            <w:pPr>
              <w:rPr>
                <w:rFonts w:ascii="Times New Roman" w:hAnsi="Times New Roman" w:cs="Times New Roman"/>
              </w:rPr>
            </w:pPr>
            <w:r w:rsidRPr="00CB2EC4">
              <w:rPr>
                <w:rFonts w:ascii="Times New Roman" w:hAnsi="Times New Roman" w:cs="Times New Roman"/>
              </w:rPr>
              <w:t>because the diagnosis of IA stage cervical cancer (especially microinvasive carcinoma) requires comprehensive histological assessment to accurately determine the depth and extent of invasion. A cervical biopsy may be limited by sampling and fail to represent the entire lesion, leading to misdiagnosis or inaccurate staging. In contrast, a cervical conization provides a larger tissue sample, and only through step-section pathological examination can the depth of invasion (≤3 mm) be reliably confirmed and more advanced disease be excluded. Therefore, biopsy alone is insufficient for a definitive IA stage diagnosis.</w:t>
            </w:r>
          </w:p>
        </w:tc>
        <w:tc>
          <w:tcPr>
            <w:tcW w:w="1152" w:type="dxa"/>
            <w:vAlign w:val="center"/>
          </w:tcPr>
          <w:p w14:paraId="179C28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BDBA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ABD2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CA8FA9" w14:textId="77777777">
        <w:tc>
          <w:tcPr>
            <w:tcW w:w="2160" w:type="dxa"/>
            <w:vAlign w:val="center"/>
          </w:tcPr>
          <w:p w14:paraId="7E6089A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88DFD66" w14:textId="77777777" w:rsidR="00922249" w:rsidRPr="00CB2EC4" w:rsidRDefault="003011D5">
            <w:pPr>
              <w:rPr>
                <w:rFonts w:ascii="Times New Roman" w:hAnsi="Times New Roman" w:cs="Times New Roman"/>
              </w:rPr>
            </w:pPr>
            <w:r w:rsidRPr="00CB2EC4">
              <w:rPr>
                <w:rFonts w:ascii="Times New Roman" w:hAnsi="Times New Roman" w:cs="Times New Roman"/>
              </w:rPr>
              <w:t>b IA stage cervical cancer must be diagnosed based on the pathology of a cervical conization specimen; it cannot be diagnosed solely by the histopathology of a cervical biopsy.</w:t>
            </w:r>
            <w:r w:rsidRPr="00CB2EC4">
              <w:rPr>
                <w:rFonts w:ascii="Times New Roman" w:hAnsi="Times New Roman" w:cs="Times New Roman"/>
              </w:rPr>
              <w:br/>
            </w:r>
            <w:r w:rsidRPr="00CB2EC4">
              <w:rPr>
                <w:rFonts w:ascii="Times New Roman" w:hAnsi="Times New Roman" w:cs="Times New Roman"/>
              </w:rPr>
              <w:lastRenderedPageBreak/>
              <w:br/>
              <w:t>The reason is that a cervical biopsy may not accurately assess the depth of stromal invasion, while IA stage involves microinvasive carcinoma (such as IA1 and IA2). A comprehensive tissue sample is required to confirm the extent of invasion. Specifically, a cervical biopsy may miss deeper invasion or small lesions, leading to incorrect staging. Therefore, a definitive diagnosis of IA stage requires cervical conization to obtain complete tissue for pathological examination, ensuring accurate assessment of invasion depth and extent.</w:t>
            </w:r>
          </w:p>
        </w:tc>
        <w:tc>
          <w:tcPr>
            <w:tcW w:w="1152" w:type="dxa"/>
            <w:vAlign w:val="center"/>
          </w:tcPr>
          <w:p w14:paraId="5A3F06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DDAB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1084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93D140" w14:textId="77777777">
        <w:tc>
          <w:tcPr>
            <w:tcW w:w="2160" w:type="dxa"/>
            <w:vAlign w:val="center"/>
          </w:tcPr>
          <w:p w14:paraId="1AF6379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2C0471E" w14:textId="77777777" w:rsidR="00922249" w:rsidRPr="00CB2EC4" w:rsidRDefault="003011D5">
            <w:pPr>
              <w:rPr>
                <w:rFonts w:ascii="Times New Roman" w:hAnsi="Times New Roman" w:cs="Times New Roman"/>
              </w:rPr>
            </w:pPr>
            <w:r w:rsidRPr="00CB2EC4">
              <w:rPr>
                <w:rFonts w:ascii="Times New Roman" w:hAnsi="Times New Roman" w:cs="Times New Roman"/>
              </w:rPr>
              <w:t>because the diagnosis of IA stage cervical cancer requires accurate assessment of the maximum depth of stromal invasion (less than 5 mm), which cannot be reliably determined from a cervical biopsy specimen alone. A biopsy provides only a limited tissue sample and may not fully represent the lesion or precisely measure the depth of invasion. Therefore, confirmation of IA stage must be based on pathological examination of a conization specimen, as conization yields a larger, more complete tissue sample that allows for accurate evaluation of invasion depth.</w:t>
            </w:r>
            <w:r w:rsidRPr="00CB2EC4">
              <w:rPr>
                <w:rFonts w:ascii="Times New Roman" w:hAnsi="Times New Roman" w:cs="Times New Roman"/>
              </w:rPr>
              <w:br/>
            </w:r>
            <w:r w:rsidRPr="00CB2EC4">
              <w:rPr>
                <w:rFonts w:ascii="Times New Roman" w:hAnsi="Times New Roman" w:cs="Times New Roman"/>
              </w:rPr>
              <w:br/>
              <w:t>key basis: document fragment 1 explicitly states: "b IA stage must be diagnosed by pathological examination of a conization specimen; it cannot be diagnosed solely by cervical biopsy histopathology."</w:t>
            </w:r>
          </w:p>
        </w:tc>
        <w:tc>
          <w:tcPr>
            <w:tcW w:w="1152" w:type="dxa"/>
            <w:vAlign w:val="center"/>
          </w:tcPr>
          <w:p w14:paraId="557535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A07C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C61E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8C3C4F" w14:textId="77777777">
        <w:tc>
          <w:tcPr>
            <w:tcW w:w="2160" w:type="dxa"/>
            <w:vAlign w:val="center"/>
          </w:tcPr>
          <w:p w14:paraId="5BCF6E7F"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FCEEDB5"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according to the contextual information (related excerpt 3, from original block 27-29), in the </w:t>
            </w:r>
            <w:r w:rsidRPr="00CB2EC4">
              <w:rPr>
                <w:rFonts w:ascii="Times New Roman" w:hAnsi="Times New Roman" w:cs="Times New Roman"/>
              </w:rPr>
              <w:lastRenderedPageBreak/>
              <w:t xml:space="preserve">annotation section of "2.1 Basic Principles for Cervical Cancer Diagnosis" it is explicitly stated:  </w:t>
            </w:r>
            <w:r w:rsidRPr="00CB2EC4">
              <w:rPr>
                <w:rFonts w:ascii="Times New Roman" w:hAnsi="Times New Roman" w:cs="Times New Roman"/>
              </w:rPr>
              <w:br/>
              <w:t xml:space="preserve">- "b cervical biopsy cannot determine the presence or absence of invasion or microinvasive carcinoma; diagnostic cervical conization is recommended when the depth of invasion needs to be confirmed."  </w:t>
            </w:r>
            <w:r w:rsidRPr="00CB2EC4">
              <w:rPr>
                <w:rFonts w:ascii="Times New Roman" w:hAnsi="Times New Roman" w:cs="Times New Roman"/>
              </w:rPr>
              <w:br/>
              <w:t xml:space="preserve">furthermore, related excerpt 4 (from original block 34-36) also emphasizes in its annotation:  </w:t>
            </w:r>
            <w:r w:rsidRPr="00CB2EC4">
              <w:rPr>
                <w:rFonts w:ascii="Times New Roman" w:hAnsi="Times New Roman" w:cs="Times New Roman"/>
              </w:rPr>
              <w:br/>
              <w:t xml:space="preserve">- "b stage IA requires pathological confirmation from cervical conization tissue and cannot be diagnosed solely based on cervical biopsy tissue pathology."  </w:t>
            </w:r>
            <w:r w:rsidRPr="00CB2EC4">
              <w:rPr>
                <w:rFonts w:ascii="Times New Roman" w:hAnsi="Times New Roman" w:cs="Times New Roman"/>
              </w:rPr>
              <w:br/>
              <w:t>therefore, cervical biopsy tissue pathology cannot accurately assess the depth of invasion (which is key for staging IA), while cervical conization provides a more complete tissue sample to confirm microinvasive carcinoma (e.g., invasion depth ≤5 mm). relying solely on biopsy may lead to misdiagnosis or inaccurate staging.</w:t>
            </w:r>
          </w:p>
        </w:tc>
        <w:tc>
          <w:tcPr>
            <w:tcW w:w="1152" w:type="dxa"/>
            <w:vAlign w:val="center"/>
          </w:tcPr>
          <w:p w14:paraId="0081FD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F9A6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739E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FE3812" w14:textId="77777777">
        <w:tc>
          <w:tcPr>
            <w:tcW w:w="2160" w:type="dxa"/>
            <w:vAlign w:val="center"/>
          </w:tcPr>
          <w:p w14:paraId="21F2867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01D6AA1" w14:textId="77777777" w:rsidR="00922249" w:rsidRPr="00CB2EC4" w:rsidRDefault="003011D5">
            <w:pPr>
              <w:rPr>
                <w:rFonts w:ascii="Times New Roman" w:hAnsi="Times New Roman" w:cs="Times New Roman"/>
              </w:rPr>
            </w:pPr>
            <w:r w:rsidRPr="00CB2EC4">
              <w:rPr>
                <w:rFonts w:ascii="Times New Roman" w:hAnsi="Times New Roman" w:cs="Times New Roman"/>
              </w:rPr>
              <w:t>because cervical biopsy alone cannot comprehensively assess the depth and width of stromal invasion. The diagnosis of IA stage cervical cancer (microinvasive carcinoma) requires an invasion depth ≤3 mm and width ≤7 mm. Cervical biopsy typically samples superficial tissue and may miss minute foci of invasion or underestimate the extent of the lesion. Definitive diagnosis relies on conization (e.g., LEEP or cold knife cone biopsy) to obtain a complete specimen for accurate measurement and exclusion of more advanced disease.</w:t>
            </w:r>
          </w:p>
        </w:tc>
        <w:tc>
          <w:tcPr>
            <w:tcW w:w="1152" w:type="dxa"/>
            <w:vAlign w:val="center"/>
          </w:tcPr>
          <w:p w14:paraId="339095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CFC8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43B1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F67254" w14:textId="77777777">
        <w:tc>
          <w:tcPr>
            <w:tcW w:w="10656" w:type="dxa"/>
            <w:gridSpan w:val="5"/>
            <w:tcBorders>
              <w:bottom w:val="single" w:sz="6" w:space="0" w:color="auto"/>
            </w:tcBorders>
            <w:vAlign w:val="center"/>
          </w:tcPr>
          <w:p w14:paraId="40B9F4F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92: According to the Querleu-Morrow (Q-M) classification, what is the difference in the management of the ureter between a Type A and a Type B1 hysterectomy?</w:t>
            </w:r>
          </w:p>
        </w:tc>
      </w:tr>
      <w:tr w:rsidR="00922249" w:rsidRPr="00CB2EC4" w14:paraId="0CB2205F" w14:textId="77777777">
        <w:tc>
          <w:tcPr>
            <w:tcW w:w="2160" w:type="dxa"/>
            <w:vAlign w:val="center"/>
          </w:tcPr>
          <w:p w14:paraId="618CE3DE"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50EB64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Q-M classification table, what is the difference in ureter handling between type A </w:t>
            </w:r>
            <w:r w:rsidRPr="00CB2EC4">
              <w:rPr>
                <w:rFonts w:ascii="Times New Roman" w:hAnsi="Times New Roman" w:cs="Times New Roman"/>
              </w:rPr>
              <w:lastRenderedPageBreak/>
              <w:t>hysterectomy and type B1 hysterectomy?</w:t>
            </w:r>
            <w:r w:rsidRPr="00CB2EC4">
              <w:rPr>
                <w:rFonts w:ascii="Times New Roman" w:hAnsi="Times New Roman" w:cs="Times New Roman"/>
              </w:rPr>
              <w:br/>
            </w:r>
            <w:r w:rsidRPr="00CB2EC4">
              <w:rPr>
                <w:rFonts w:ascii="Times New Roman" w:hAnsi="Times New Roman" w:cs="Times New Roman"/>
              </w:rPr>
              <w:br/>
              <w:t>information found in the document. based on the context (similarity: 0.620 [expansion:3 blocks, range:33-35]), table 6-1 (Q-M classification for cervical cancer hysterectomy) details each type:</w:t>
            </w:r>
            <w:r w:rsidRPr="00CB2EC4">
              <w:rPr>
                <w:rFonts w:ascii="Times New Roman" w:hAnsi="Times New Roman" w:cs="Times New Roman"/>
              </w:rPr>
              <w:br/>
              <w:t>- type A hysterectomy: ureter handling is "identified but not dissected". this means only the location of the ureter is identified during surgery, without dissection (i.e., no separation or mobilization of the ureter), to reduce the risk of injury.</w:t>
            </w:r>
            <w:r w:rsidRPr="00CB2EC4">
              <w:rPr>
                <w:rFonts w:ascii="Times New Roman" w:hAnsi="Times New Roman" w:cs="Times New Roman"/>
              </w:rPr>
              <w:br/>
              <w:t>- type B1 hysterectomy: ureter handling is "'tunnel' top opened and lateral pushed". this indicates that during surgery, the top of the ureteral tunnel (the passage where the ureter enters the bladder) is opened, and lateral displacement is performed to more fully expose and manage the parametrial tissue.</w:t>
            </w:r>
            <w:r w:rsidRPr="00CB2EC4">
              <w:rPr>
                <w:rFonts w:ascii="Times New Roman" w:hAnsi="Times New Roman" w:cs="Times New Roman"/>
              </w:rPr>
              <w:br/>
              <w:t>key difference: type A involves only identification of the ureter without dissection, a more conservative approach; type B1 involves actively opening and displacing the ureteral tunnel, entailing deeper anatomical dissection to expand the surgical field.</w:t>
            </w:r>
          </w:p>
        </w:tc>
        <w:tc>
          <w:tcPr>
            <w:tcW w:w="1152" w:type="dxa"/>
            <w:vAlign w:val="center"/>
          </w:tcPr>
          <w:p w14:paraId="5074B5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6161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D807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968ACB" w14:textId="77777777">
        <w:tc>
          <w:tcPr>
            <w:tcW w:w="2160" w:type="dxa"/>
            <w:vAlign w:val="center"/>
          </w:tcPr>
          <w:p w14:paraId="28909EC0"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F26F51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Q-M classification system, the key differences in ureter handling between Type A and Type B1 hysterectomy are as follows:  </w:t>
            </w:r>
            <w:r w:rsidRPr="00CB2EC4">
              <w:rPr>
                <w:rFonts w:ascii="Times New Roman" w:hAnsi="Times New Roman" w:cs="Times New Roman"/>
              </w:rPr>
              <w:br/>
              <w:t xml:space="preserve">- Type A: The ureter is identified but not dissected (i.e., no anatomical separation is performed), and the ureteral tunnel is not involved in the surgery.  </w:t>
            </w:r>
            <w:r w:rsidRPr="00CB2EC4">
              <w:rPr>
                <w:rFonts w:ascii="Times New Roman" w:hAnsi="Times New Roman" w:cs="Times New Roman"/>
              </w:rPr>
              <w:br/>
              <w:t xml:space="preserve">- Type B1: The ureter is managed more extensively, including opening the top of the ureteral tunnel and lateral displacement (i.e., partial anatomical separation of the peritubal tissues).  </w:t>
            </w:r>
            <w:r w:rsidRPr="00CB2EC4">
              <w:rPr>
                <w:rFonts w:ascii="Times New Roman" w:hAnsi="Times New Roman" w:cs="Times New Roman"/>
              </w:rPr>
              <w:br/>
              <w:t xml:space="preserve">- Supporting evidence:  </w:t>
            </w:r>
            <w:r w:rsidRPr="00CB2EC4">
              <w:rPr>
                <w:rFonts w:ascii="Times New Roman" w:hAnsi="Times New Roman" w:cs="Times New Roman"/>
              </w:rPr>
              <w:br/>
              <w:t xml:space="preserve">  - Document fragment 10 (Block 10, Topic: </w:t>
            </w:r>
            <w:r w:rsidRPr="00CB2EC4">
              <w:rPr>
                <w:rFonts w:ascii="Times New Roman" w:hAnsi="Times New Roman" w:cs="Times New Roman"/>
              </w:rPr>
              <w:lastRenderedPageBreak/>
              <w:t xml:space="preserve">Classification and Indications of Radical Hysterectomy for Cervical Cancer):  </w:t>
            </w:r>
            <w:r w:rsidRPr="00CB2EC4">
              <w:rPr>
                <w:rFonts w:ascii="Times New Roman" w:hAnsi="Times New Roman" w:cs="Times New Roman"/>
              </w:rPr>
              <w:br/>
              <w:t xml:space="preserve">    - Type A: "Ureter: not involved in surgery" (context indicates identification without dissection).  </w:t>
            </w:r>
            <w:r w:rsidRPr="00CB2EC4">
              <w:rPr>
                <w:rFonts w:ascii="Times New Roman" w:hAnsi="Times New Roman" w:cs="Times New Roman"/>
              </w:rPr>
              <w:br/>
              <w:t xml:space="preserve">    - Type B1: "Ureter handling: 'tunnel' top opened and lateral displacement".  </w:t>
            </w:r>
            <w:r w:rsidRPr="00CB2EC4">
              <w:rPr>
                <w:rFonts w:ascii="Times New Roman" w:hAnsi="Times New Roman" w:cs="Times New Roman"/>
              </w:rPr>
              <w:br/>
              <w:t xml:space="preserve">  - Document fragment 24 (Block 37, Topic: Classification of Radical Hysterectomy Procedures for Cervical Cancer):  </w:t>
            </w:r>
            <w:r w:rsidRPr="00CB2EC4">
              <w:rPr>
                <w:rFonts w:ascii="Times New Roman" w:hAnsi="Times New Roman" w:cs="Times New Roman"/>
              </w:rPr>
              <w:br/>
              <w:t xml:space="preserve">    - Type A: "Ureter handling: identified but not dissected".  </w:t>
            </w:r>
            <w:r w:rsidRPr="00CB2EC4">
              <w:rPr>
                <w:rFonts w:ascii="Times New Roman" w:hAnsi="Times New Roman" w:cs="Times New Roman"/>
              </w:rPr>
              <w:br/>
              <w:t xml:space="preserve">    - Type B1: "Ureter handling: 'tunnel' top opened and lateral displacement".  </w:t>
            </w:r>
            <w:r w:rsidRPr="00CB2EC4">
              <w:rPr>
                <w:rFonts w:ascii="Times New Roman" w:hAnsi="Times New Roman" w:cs="Times New Roman"/>
              </w:rPr>
              <w:br/>
              <w:t>This reflects that Type B1 involves a greater surgical extent with partial ureteral dissection, while Type A is more conservative.</w:t>
            </w:r>
          </w:p>
        </w:tc>
        <w:tc>
          <w:tcPr>
            <w:tcW w:w="1152" w:type="dxa"/>
            <w:vAlign w:val="center"/>
          </w:tcPr>
          <w:p w14:paraId="2495DF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4BE6B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2E62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7A6D91" w14:textId="77777777">
        <w:tc>
          <w:tcPr>
            <w:tcW w:w="2160" w:type="dxa"/>
            <w:vAlign w:val="center"/>
          </w:tcPr>
          <w:p w14:paraId="38578662"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0CB2204"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Q-M classification table, the difference in ureter handling between Type A hysterectomy and Type B1 hysterectomy is as follows:</w:t>
            </w:r>
            <w:r w:rsidRPr="00CB2EC4">
              <w:rPr>
                <w:rFonts w:ascii="Times New Roman" w:hAnsi="Times New Roman" w:cs="Times New Roman"/>
              </w:rPr>
              <w:br/>
            </w:r>
            <w:r w:rsidRPr="00CB2EC4">
              <w:rPr>
                <w:rFonts w:ascii="Times New Roman" w:hAnsi="Times New Roman" w:cs="Times New Roman"/>
              </w:rPr>
              <w:br/>
              <w:t xml:space="preserve">- **Type A hysterectomy**: Ureter handling is "identified but not dissected".  </w:t>
            </w:r>
            <w:r w:rsidRPr="00CB2EC4">
              <w:rPr>
                <w:rFonts w:ascii="Times New Roman" w:hAnsi="Times New Roman" w:cs="Times New Roman"/>
              </w:rPr>
              <w:br/>
              <w:t>- **Type B1 hysterectomy**: Ureter handling is "tunnel apex opened and lateral displacement".</w:t>
            </w:r>
            <w:r w:rsidRPr="00CB2EC4">
              <w:rPr>
                <w:rFonts w:ascii="Times New Roman" w:hAnsi="Times New Roman" w:cs="Times New Roman"/>
              </w:rPr>
              <w:br/>
            </w:r>
            <w:r w:rsidRPr="00CB2EC4">
              <w:rPr>
                <w:rFonts w:ascii="Times New Roman" w:hAnsi="Times New Roman" w:cs="Times New Roman"/>
              </w:rPr>
              <w:br/>
              <w:t>The key distinction is that Type A involves only identification of the ureter position without dissection, preserving the periureteral tissues; Type B1 requires opening the tunnel apex of the ureter and performing lateral displacement, which involves partial dissection to expose the ureter, thereby increasing the surgical extent but potentially elevating the risk of ureteral injury.</w:t>
            </w:r>
          </w:p>
        </w:tc>
        <w:tc>
          <w:tcPr>
            <w:tcW w:w="1152" w:type="dxa"/>
            <w:vAlign w:val="center"/>
          </w:tcPr>
          <w:p w14:paraId="5BE4A0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F634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56FE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C5EA59" w14:textId="77777777">
        <w:tc>
          <w:tcPr>
            <w:tcW w:w="2160" w:type="dxa"/>
            <w:vAlign w:val="center"/>
          </w:tcPr>
          <w:p w14:paraId="23CA451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21CA6A0A"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Q-M classification table, what is the difference in the management of the ureter between type A hysterectomy and type B1 hysterectomy?</w:t>
            </w:r>
            <w:r w:rsidRPr="00CB2EC4">
              <w:rPr>
                <w:rFonts w:ascii="Times New Roman" w:hAnsi="Times New Roman" w:cs="Times New Roman"/>
              </w:rPr>
              <w:br/>
            </w:r>
            <w:r w:rsidRPr="00CB2EC4">
              <w:rPr>
                <w:rFonts w:ascii="Times New Roman" w:hAnsi="Times New Roman" w:cs="Times New Roman"/>
              </w:rPr>
              <w:br/>
              <w:t xml:space="preserve">knowledge base document reference (table 6-1 and surgical classification description):  </w:t>
            </w:r>
            <w:r w:rsidRPr="00CB2EC4">
              <w:rPr>
                <w:rFonts w:ascii="Times New Roman" w:hAnsi="Times New Roman" w:cs="Times New Roman"/>
              </w:rPr>
              <w:br/>
              <w:t xml:space="preserve">- Type A surgery:  </w:t>
            </w:r>
            <w:r w:rsidRPr="00CB2EC4">
              <w:rPr>
                <w:rFonts w:ascii="Times New Roman" w:hAnsi="Times New Roman" w:cs="Times New Roman"/>
              </w:rPr>
              <w:br/>
              <w:t xml:space="preserve">  - Ureter management: only identify the course of the ureter, do not dissect the ureter.  </w:t>
            </w:r>
            <w:r w:rsidRPr="00CB2EC4">
              <w:rPr>
                <w:rFonts w:ascii="Times New Roman" w:hAnsi="Times New Roman" w:cs="Times New Roman"/>
              </w:rPr>
              <w:br/>
              <w:t xml:space="preserve">  - Key operative points: ligate the uterine artery medial to the ureter; lateral parametrial resection is limited to the area between the ureter and cervix (minimal extent).  </w:t>
            </w:r>
            <w:r w:rsidRPr="00CB2EC4">
              <w:rPr>
                <w:rFonts w:ascii="Times New Roman" w:hAnsi="Times New Roman" w:cs="Times New Roman"/>
              </w:rPr>
              <w:br/>
              <w:t xml:space="preserve">- Type B1 surgery:  </w:t>
            </w:r>
            <w:r w:rsidRPr="00CB2EC4">
              <w:rPr>
                <w:rFonts w:ascii="Times New Roman" w:hAnsi="Times New Roman" w:cs="Times New Roman"/>
              </w:rPr>
              <w:br/>
              <w:t xml:space="preserve">  - Ureter management: open the top of the ureteric tunnel, displace the ureter laterally and dissect its surrounding tissues.  </w:t>
            </w:r>
            <w:r w:rsidRPr="00CB2EC4">
              <w:rPr>
                <w:rFonts w:ascii="Times New Roman" w:hAnsi="Times New Roman" w:cs="Times New Roman"/>
              </w:rPr>
              <w:br/>
              <w:t xml:space="preserve">  - Key operative points: ligate the uterine artery directly above the ureter; resect lateral parametrial tissue at the level of the ureter (document 2, 6).  </w:t>
            </w:r>
            <w:r w:rsidRPr="00CB2EC4">
              <w:rPr>
                <w:rFonts w:ascii="Times New Roman" w:hAnsi="Times New Roman" w:cs="Times New Roman"/>
              </w:rPr>
              <w:br/>
            </w:r>
            <w:r w:rsidRPr="00CB2EC4">
              <w:rPr>
                <w:rFonts w:ascii="Times New Roman" w:hAnsi="Times New Roman" w:cs="Times New Roman"/>
              </w:rPr>
              <w:br/>
              <w:t>&gt; key difference: type A does not dissect the ureter, while type B1 requires dissection and lateral displacement of the ureter to expand the resection range.</w:t>
            </w:r>
          </w:p>
        </w:tc>
        <w:tc>
          <w:tcPr>
            <w:tcW w:w="1152" w:type="dxa"/>
            <w:vAlign w:val="center"/>
          </w:tcPr>
          <w:p w14:paraId="6D52C8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EEC2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B535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1C214E" w14:textId="77777777">
        <w:tc>
          <w:tcPr>
            <w:tcW w:w="2160" w:type="dxa"/>
            <w:vAlign w:val="center"/>
          </w:tcPr>
          <w:p w14:paraId="36BC1A7F"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9513C8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the Q-M classification table, the differences in ureter handling between type A and type B1 hysterectomy are as follows:  </w:t>
            </w:r>
            <w:r w:rsidRPr="00CB2EC4">
              <w:rPr>
                <w:rFonts w:ascii="Times New Roman" w:hAnsi="Times New Roman" w:cs="Times New Roman"/>
              </w:rPr>
              <w:br/>
              <w:t xml:space="preserve">- Type A hysterectomy: the ureter is identified but not dissected free (fragment 8: "ureter handling: identified but not dissected free"; fragment 25: "ureter handling: identified but not dissected free").  </w:t>
            </w:r>
            <w:r w:rsidRPr="00CB2EC4">
              <w:rPr>
                <w:rFonts w:ascii="Times New Roman" w:hAnsi="Times New Roman" w:cs="Times New Roman"/>
              </w:rPr>
              <w:br/>
              <w:t xml:space="preserve">- Type B1 hysterectomy: the ureter is managed more extensively, including opening the top of the ureteral </w:t>
            </w:r>
            <w:r w:rsidRPr="00CB2EC4">
              <w:rPr>
                <w:rFonts w:ascii="Times New Roman" w:hAnsi="Times New Roman" w:cs="Times New Roman"/>
              </w:rPr>
              <w:lastRenderedPageBreak/>
              <w:t xml:space="preserve">tunnel and lateral displacement (fragment 8: "ureter handling: 'tunnel' top opened with lateral displacement"; fragment 25: "ureter handling: 'tunnel' top opened with lateral displacement").  </w:t>
            </w:r>
            <w:r w:rsidRPr="00CB2EC4">
              <w:rPr>
                <w:rFonts w:ascii="Times New Roman" w:hAnsi="Times New Roman" w:cs="Times New Roman"/>
              </w:rPr>
              <w:br/>
              <w:t>The key difference is that type A involves only identification of the ureter without anatomical dissection, whereas type B1 involves opening the ureteral tunnel and lateral displacement to allow wider resection of the parametrial tissue.</w:t>
            </w:r>
          </w:p>
        </w:tc>
        <w:tc>
          <w:tcPr>
            <w:tcW w:w="1152" w:type="dxa"/>
            <w:vAlign w:val="center"/>
          </w:tcPr>
          <w:p w14:paraId="6C8BB7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71D96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1F20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5D3787" w14:textId="77777777">
        <w:tc>
          <w:tcPr>
            <w:tcW w:w="2160" w:type="dxa"/>
            <w:vAlign w:val="center"/>
          </w:tcPr>
          <w:p w14:paraId="20367DBC"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5826B5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Q-M classification table (document 8, fusion score 0.5064):  </w:t>
            </w:r>
            <w:r w:rsidRPr="00CB2EC4">
              <w:rPr>
                <w:rFonts w:ascii="Times New Roman" w:hAnsi="Times New Roman" w:cs="Times New Roman"/>
              </w:rPr>
              <w:br/>
              <w:t xml:space="preserve">- Type A hysterectomy: ureter management is "identified but not dissected," meaning only identification of the ureter position without anatomical separation.  </w:t>
            </w:r>
            <w:r w:rsidRPr="00CB2EC4">
              <w:rPr>
                <w:rFonts w:ascii="Times New Roman" w:hAnsi="Times New Roman" w:cs="Times New Roman"/>
              </w:rPr>
              <w:br/>
              <w:t xml:space="preserve">- Type B1 hysterectomy: ureter management is "‘tunnel’ opened at the top and lateral displacement," requiring opening of the ureter tunnel (vesicocervical ligament) and lateral displacement of the ureter to achieve wider resection of the parametrium.  </w:t>
            </w:r>
            <w:r w:rsidRPr="00CB2EC4">
              <w:rPr>
                <w:rFonts w:ascii="Times New Roman" w:hAnsi="Times New Roman" w:cs="Times New Roman"/>
              </w:rPr>
              <w:br/>
              <w:t>Key difference: Type A involves only ureter identification and is conservative; Type B1 requires active dissection and displacement of the ureter, with a larger surgical extent.</w:t>
            </w:r>
          </w:p>
        </w:tc>
        <w:tc>
          <w:tcPr>
            <w:tcW w:w="1152" w:type="dxa"/>
            <w:vAlign w:val="center"/>
          </w:tcPr>
          <w:p w14:paraId="575BC9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608D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31C4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C431E08" w14:textId="77777777">
        <w:tc>
          <w:tcPr>
            <w:tcW w:w="2160" w:type="dxa"/>
            <w:vAlign w:val="center"/>
          </w:tcPr>
          <w:p w14:paraId="2128180D"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A2F74A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Q-M classification table, the key differences in ureter handling between Type A hysterectomy and Type B1 hysterectomy are as follows:  </w:t>
            </w:r>
            <w:r w:rsidRPr="00CB2EC4">
              <w:rPr>
                <w:rFonts w:ascii="Times New Roman" w:hAnsi="Times New Roman" w:cs="Times New Roman"/>
              </w:rPr>
              <w:br/>
              <w:t xml:space="preserve">- Type A hysterectomy:  </w:t>
            </w:r>
            <w:r w:rsidRPr="00CB2EC4">
              <w:rPr>
                <w:rFonts w:ascii="Times New Roman" w:hAnsi="Times New Roman" w:cs="Times New Roman"/>
              </w:rPr>
              <w:br/>
              <w:t xml:space="preserve">  - Ureter handling: "identified but not dissected".  </w:t>
            </w:r>
            <w:r w:rsidRPr="00CB2EC4">
              <w:rPr>
                <w:rFonts w:ascii="Times New Roman" w:hAnsi="Times New Roman" w:cs="Times New Roman"/>
              </w:rPr>
              <w:br/>
              <w:t xml:space="preserve">  - Specific description: The ureter is only identified in position during surgery, with no dissection performed; the ureter is not involved or mobilized (source: Q-M </w:t>
            </w:r>
            <w:r w:rsidRPr="00CB2EC4">
              <w:rPr>
                <w:rFonts w:ascii="Times New Roman" w:hAnsi="Times New Roman" w:cs="Times New Roman"/>
              </w:rPr>
              <w:lastRenderedPageBreak/>
              <w:t xml:space="preserve">classification table in fragment "[HyDE similarity: 0.629]").  </w:t>
            </w:r>
            <w:r w:rsidRPr="00CB2EC4">
              <w:rPr>
                <w:rFonts w:ascii="Times New Roman" w:hAnsi="Times New Roman" w:cs="Times New Roman"/>
              </w:rPr>
              <w:br/>
              <w:t xml:space="preserve">- Type B1 hysterectomy:  </w:t>
            </w:r>
            <w:r w:rsidRPr="00CB2EC4">
              <w:rPr>
                <w:rFonts w:ascii="Times New Roman" w:hAnsi="Times New Roman" w:cs="Times New Roman"/>
              </w:rPr>
              <w:br/>
              <w:t xml:space="preserve">  - Ureter handling: "tunnel" opened at the top and lateral displacement".  </w:t>
            </w:r>
            <w:r w:rsidRPr="00CB2EC4">
              <w:rPr>
                <w:rFonts w:ascii="Times New Roman" w:hAnsi="Times New Roman" w:cs="Times New Roman"/>
              </w:rPr>
              <w:br/>
              <w:t xml:space="preserve">  - Specific description: Requires opening the ureteral tunnel (the passage where the ureter enters the bladder) and laterally displacing the ureter to expose and resect the parametrial tissue (source: same Q-M classification table).  </w:t>
            </w:r>
            <w:r w:rsidRPr="00CB2EC4">
              <w:rPr>
                <w:rFonts w:ascii="Times New Roman" w:hAnsi="Times New Roman" w:cs="Times New Roman"/>
              </w:rPr>
              <w:br/>
              <w:t>Summary of differences: Type A involves only identification of the ureter without anatomical dissection, carrying lower risk; Type B1 requires active opening of the ureteral tunnel and lateral displacement of the ureter, involving more complex maneuvers to expand the surgical field but increasing the risk of ureteral injury.</w:t>
            </w:r>
          </w:p>
        </w:tc>
        <w:tc>
          <w:tcPr>
            <w:tcW w:w="1152" w:type="dxa"/>
            <w:vAlign w:val="center"/>
          </w:tcPr>
          <w:p w14:paraId="299BF5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2241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28E7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315355" w14:textId="77777777">
        <w:tc>
          <w:tcPr>
            <w:tcW w:w="2160" w:type="dxa"/>
            <w:vAlign w:val="center"/>
          </w:tcPr>
          <w:p w14:paraId="35E40627"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7CCD9B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Q-M classification table (table 6-1) in document fragment 8:  </w:t>
            </w:r>
            <w:r w:rsidRPr="00CB2EC4">
              <w:rPr>
                <w:rFonts w:ascii="Times New Roman" w:hAnsi="Times New Roman" w:cs="Times New Roman"/>
              </w:rPr>
              <w:br/>
              <w:t xml:space="preserve">- Type A hysterectomy:  </w:t>
            </w:r>
            <w:r w:rsidRPr="00CB2EC4">
              <w:rPr>
                <w:rFonts w:ascii="Times New Roman" w:hAnsi="Times New Roman" w:cs="Times New Roman"/>
              </w:rPr>
              <w:br/>
              <w:t xml:space="preserve">  - Ureter management: "identification without dissection".  </w:t>
            </w:r>
            <w:r w:rsidRPr="00CB2EC4">
              <w:rPr>
                <w:rFonts w:ascii="Times New Roman" w:hAnsi="Times New Roman" w:cs="Times New Roman"/>
              </w:rPr>
              <w:br/>
              <w:t xml:space="preserve">  - Meaning: The ureter is identified in situ during surgery, but not dissected free from surrounding tissues, to minimize surgical trauma and complication risks.  </w:t>
            </w:r>
            <w:r w:rsidRPr="00CB2EC4">
              <w:rPr>
                <w:rFonts w:ascii="Times New Roman" w:hAnsi="Times New Roman" w:cs="Times New Roman"/>
              </w:rPr>
              <w:br/>
              <w:t xml:space="preserve">- Type B1 hysterectomy:  </w:t>
            </w:r>
            <w:r w:rsidRPr="00CB2EC4">
              <w:rPr>
                <w:rFonts w:ascii="Times New Roman" w:hAnsi="Times New Roman" w:cs="Times New Roman"/>
              </w:rPr>
              <w:br/>
              <w:t xml:space="preserve">  - Ureter management: "'tunnel' top opened and lateral displacement".  </w:t>
            </w:r>
            <w:r w:rsidRPr="00CB2EC4">
              <w:rPr>
                <w:rFonts w:ascii="Times New Roman" w:hAnsi="Times New Roman" w:cs="Times New Roman"/>
              </w:rPr>
              <w:br/>
              <w:t xml:space="preserve">  - Meaning: The top of the ureteric tunnel (where the ureter enters the bladder) is opened, and lateral displacement (i.e., dissection of the ureter to widen the surgical field) is performed, allowing more extensive parametrial tissue resection but increasing the risk of </w:t>
            </w:r>
            <w:r w:rsidRPr="00CB2EC4">
              <w:rPr>
                <w:rFonts w:ascii="Times New Roman" w:hAnsi="Times New Roman" w:cs="Times New Roman"/>
              </w:rPr>
              <w:lastRenderedPageBreak/>
              <w:t xml:space="preserve">ureteral injury.  </w:t>
            </w:r>
            <w:r w:rsidRPr="00CB2EC4">
              <w:rPr>
                <w:rFonts w:ascii="Times New Roman" w:hAnsi="Times New Roman" w:cs="Times New Roman"/>
              </w:rPr>
              <w:br/>
              <w:t xml:space="preserve">Key difference: Type A involves only ureter identification without dissection, suitable for low-risk cases (e.g., IA1); Type B1 involves active ureter dissection, suitable for intermediate-risk cases requiring wider resection (e.g., IA2 or IB1).  </w:t>
            </w:r>
            <w:r w:rsidRPr="00CB2EC4">
              <w:rPr>
                <w:rFonts w:ascii="Times New Roman" w:hAnsi="Times New Roman" w:cs="Times New Roman"/>
              </w:rPr>
              <w:br/>
              <w:t>Source: Table 6-1 in document fragment 8 explicitly describes these differences.</w:t>
            </w:r>
          </w:p>
        </w:tc>
        <w:tc>
          <w:tcPr>
            <w:tcW w:w="1152" w:type="dxa"/>
            <w:vAlign w:val="center"/>
          </w:tcPr>
          <w:p w14:paraId="58C909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37529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CADA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725FAA" w14:textId="77777777">
        <w:tc>
          <w:tcPr>
            <w:tcW w:w="2160" w:type="dxa"/>
            <w:vAlign w:val="center"/>
          </w:tcPr>
          <w:p w14:paraId="0C56DAB8"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B117B9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Q-M classification table, the key differences in ureter handling between type A and type B1 hysterectomy are as follows:  </w:t>
            </w:r>
            <w:r w:rsidRPr="00CB2EC4">
              <w:rPr>
                <w:rFonts w:ascii="Times New Roman" w:hAnsi="Times New Roman" w:cs="Times New Roman"/>
              </w:rPr>
              <w:br/>
              <w:t xml:space="preserve">- Type A hysterectomy: ureter handling is "identified but not dissected". This means the ureter is only identified in position during surgery, without dissection (i.e., without separating the tissues surrounding the ureter).  </w:t>
            </w:r>
            <w:r w:rsidRPr="00CB2EC4">
              <w:rPr>
                <w:rFonts w:ascii="Times New Roman" w:hAnsi="Times New Roman" w:cs="Times New Roman"/>
              </w:rPr>
              <w:br/>
              <w:t xml:space="preserve">- Type B1 hysterectomy: ureter handling is "'tunnel' top opened and lateral displacement". This indicates that during surgery, the ureteral tunnel (the passage where the ureter enters the bladder) is opened and lateral displacement is performed (dissecting the tissues around the ureter to expose its course).  </w:t>
            </w:r>
            <w:r w:rsidRPr="00CB2EC4">
              <w:rPr>
                <w:rFonts w:ascii="Times New Roman" w:hAnsi="Times New Roman" w:cs="Times New Roman"/>
              </w:rPr>
              <w:br/>
              <w:t>document source: Q-M classification table section (e.g., "Type A: ureter handling: identified but not dissected"; "Type B1: ureter handling: 'tunnel' top opened and lateral displacement").</w:t>
            </w:r>
          </w:p>
        </w:tc>
        <w:tc>
          <w:tcPr>
            <w:tcW w:w="1152" w:type="dxa"/>
            <w:vAlign w:val="center"/>
          </w:tcPr>
          <w:p w14:paraId="68C02D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A8C2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3E2D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ED3F49" w14:textId="77777777">
        <w:tc>
          <w:tcPr>
            <w:tcW w:w="2160" w:type="dxa"/>
            <w:vAlign w:val="center"/>
          </w:tcPr>
          <w:p w14:paraId="32CCB14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1B9FDA8"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Q-M classification table, the difference in ureter management between Type A hysterectomy and Type B1 hysterectomy is as follows:</w:t>
            </w:r>
            <w:r w:rsidRPr="00CB2EC4">
              <w:rPr>
                <w:rFonts w:ascii="Times New Roman" w:hAnsi="Times New Roman" w:cs="Times New Roman"/>
              </w:rPr>
              <w:br/>
            </w:r>
            <w:r w:rsidRPr="00CB2EC4">
              <w:rPr>
                <w:rFonts w:ascii="Times New Roman" w:hAnsi="Times New Roman" w:cs="Times New Roman"/>
              </w:rPr>
              <w:br/>
              <w:t xml:space="preserve">- Type A hysterectomy: ureter management is "identification without mobilization", meaning the </w:t>
            </w:r>
            <w:r w:rsidRPr="00CB2EC4">
              <w:rPr>
                <w:rFonts w:ascii="Times New Roman" w:hAnsi="Times New Roman" w:cs="Times New Roman"/>
              </w:rPr>
              <w:lastRenderedPageBreak/>
              <w:t>ureter is only identified intraoperatively without being mobilized.</w:t>
            </w:r>
            <w:r w:rsidRPr="00CB2EC4">
              <w:rPr>
                <w:rFonts w:ascii="Times New Roman" w:hAnsi="Times New Roman" w:cs="Times New Roman"/>
              </w:rPr>
              <w:br/>
              <w:t>- Type B1 hysterectomy: ureter management is "opening the tunnel apex and lateral displacement", meaning the ureteral tunnel (the segment where the ureter enters the bladder) must be opened and the ureter laterally displaced to achieve full mobilization.</w:t>
            </w:r>
            <w:r w:rsidRPr="00CB2EC4">
              <w:rPr>
                <w:rFonts w:ascii="Times New Roman" w:hAnsi="Times New Roman" w:cs="Times New Roman"/>
              </w:rPr>
              <w:br/>
            </w:r>
            <w:r w:rsidRPr="00CB2EC4">
              <w:rPr>
                <w:rFonts w:ascii="Times New Roman" w:hAnsi="Times New Roman" w:cs="Times New Roman"/>
              </w:rPr>
              <w:br/>
              <w:t>Key distinction: Type A involves only identification of the ureter without mobilization; Type B1 requires active mobilization of the ureter to expand the surgical field.</w:t>
            </w:r>
          </w:p>
        </w:tc>
        <w:tc>
          <w:tcPr>
            <w:tcW w:w="1152" w:type="dxa"/>
            <w:vAlign w:val="center"/>
          </w:tcPr>
          <w:p w14:paraId="074502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7BEF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6A6FA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7D5892" w14:textId="77777777">
        <w:tc>
          <w:tcPr>
            <w:tcW w:w="2160" w:type="dxa"/>
            <w:vAlign w:val="center"/>
          </w:tcPr>
          <w:p w14:paraId="0EA19037"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726466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the Q-M classification table, the key differences in ureter handling between type A and type B1 hysterectomy are as follows:  </w:t>
            </w:r>
            <w:r w:rsidRPr="00CB2EC4">
              <w:rPr>
                <w:rFonts w:ascii="Times New Roman" w:hAnsi="Times New Roman" w:cs="Times New Roman"/>
              </w:rPr>
              <w:br/>
              <w:t xml:space="preserve">- type A hysterectomy: the ureter is identified and dissected free. the surgical scope is conservative, indicated for stage IA1 cervical cancer, and does not involve deep dissection of the ureter.  </w:t>
            </w:r>
            <w:r w:rsidRPr="00CB2EC4">
              <w:rPr>
                <w:rFonts w:ascii="Times New Roman" w:hAnsi="Times New Roman" w:cs="Times New Roman"/>
              </w:rPr>
              <w:br/>
              <w:t>- type B1 hysterectomy: the ureter must be opened from the ureteral tunnel and laterally displaced (i.e., separation of the ureteral tunnel). the surgical scope is broader, indicated for stage IA1 cervical cancer with lymphovascular space invasion (LVSI+) and stage IA2 cervical cancer, requiring partial ureteral dissection to reduce complication risk.</w:t>
            </w:r>
          </w:p>
        </w:tc>
        <w:tc>
          <w:tcPr>
            <w:tcW w:w="1152" w:type="dxa"/>
            <w:vAlign w:val="center"/>
          </w:tcPr>
          <w:p w14:paraId="4267AE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EA39F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62B98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72E051B" w14:textId="77777777">
        <w:tc>
          <w:tcPr>
            <w:tcW w:w="2160" w:type="dxa"/>
            <w:vAlign w:val="center"/>
          </w:tcPr>
          <w:p w14:paraId="50BBBA25"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CE106DD"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Q-M classification table, the key difference in ureter handling between type A and type B1 hysterectomy is as follows:</w:t>
            </w:r>
            <w:r w:rsidRPr="00CB2EC4">
              <w:rPr>
                <w:rFonts w:ascii="Times New Roman" w:hAnsi="Times New Roman" w:cs="Times New Roman"/>
              </w:rPr>
              <w:br/>
              <w:t xml:space="preserve">- Type A hysterectomy: ureter handling is "identified but not dissected". this means the ureter is only identified in position during surgery, without anatomical dissection or mobilization, to minimize </w:t>
            </w:r>
            <w:r w:rsidRPr="00CB2EC4">
              <w:rPr>
                <w:rFonts w:ascii="Times New Roman" w:hAnsi="Times New Roman" w:cs="Times New Roman"/>
              </w:rPr>
              <w:lastRenderedPageBreak/>
              <w:t>surgical trauma and complication risks.</w:t>
            </w:r>
            <w:r w:rsidRPr="00CB2EC4">
              <w:rPr>
                <w:rFonts w:ascii="Times New Roman" w:hAnsi="Times New Roman" w:cs="Times New Roman"/>
              </w:rPr>
              <w:br/>
              <w:t>- Type B1 hysterectomy: ureter handling is "tunnel" opened at the top and lateral displacement. this indicates that the ureteral tunnel (the passage where the ureter enters the bladder) is opened during surgery, and the ureter is displaced laterally to allow more extensive resection of surrounding tissues, suitable for broader pathologies.</w:t>
            </w:r>
            <w:r w:rsidRPr="00CB2EC4">
              <w:rPr>
                <w:rFonts w:ascii="Times New Roman" w:hAnsi="Times New Roman" w:cs="Times New Roman"/>
              </w:rPr>
              <w:br/>
              <w:t>key basis: the Q-M classification table in document fragment 1 details the ureter handling methods for each type of surgery.</w:t>
            </w:r>
          </w:p>
        </w:tc>
        <w:tc>
          <w:tcPr>
            <w:tcW w:w="1152" w:type="dxa"/>
            <w:vAlign w:val="center"/>
          </w:tcPr>
          <w:p w14:paraId="6FD13B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F4E5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1B7A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2A0D91" w14:textId="77777777">
        <w:tc>
          <w:tcPr>
            <w:tcW w:w="2160" w:type="dxa"/>
            <w:vAlign w:val="center"/>
          </w:tcPr>
          <w:p w14:paraId="5B868917"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3461E9B"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Q-M classification table, what is the difference in ureter handling between type A hysterectomy and type B1 hysterectomy?</w:t>
            </w:r>
            <w:r w:rsidRPr="00CB2EC4">
              <w:rPr>
                <w:rFonts w:ascii="Times New Roman" w:hAnsi="Times New Roman" w:cs="Times New Roman"/>
              </w:rPr>
              <w:br/>
            </w:r>
            <w:r w:rsidRPr="00CB2EC4">
              <w:rPr>
                <w:rFonts w:ascii="Times New Roman" w:hAnsi="Times New Roman" w:cs="Times New Roman"/>
              </w:rPr>
              <w:br/>
              <w:t>based on the contextual information (relevant segment 4, from original block 34-36), table 6-1 (Q-M classification table) details the surgical types:</w:t>
            </w:r>
            <w:r w:rsidRPr="00CB2EC4">
              <w:rPr>
                <w:rFonts w:ascii="Times New Roman" w:hAnsi="Times New Roman" w:cs="Times New Roman"/>
              </w:rPr>
              <w:br/>
              <w:t>- type A hysterectomy: ureter handling is "identified but not dissected". this means only the position of the ureter is identified during surgery, without anatomical separation.</w:t>
            </w:r>
            <w:r w:rsidRPr="00CB2EC4">
              <w:rPr>
                <w:rFonts w:ascii="Times New Roman" w:hAnsi="Times New Roman" w:cs="Times New Roman"/>
              </w:rPr>
              <w:br/>
              <w:t>- type B1 hysterectomy: ureter handling is "'tunnel' opened at the top and lateral displacement". this involves opening the ureteral tunnel (the part where the ureter passes through the broad ligament) and performing lateral displacement to expose and manage surrounding tissues more extensively.</w:t>
            </w:r>
            <w:r w:rsidRPr="00CB2EC4">
              <w:rPr>
                <w:rFonts w:ascii="Times New Roman" w:hAnsi="Times New Roman" w:cs="Times New Roman"/>
              </w:rPr>
              <w:br/>
              <w:t>key difference: type A only identifies the ureter without dissection, while type B1 requires actively opening the ureteral tunnel and performing lateral displacement to achieve wider resection of the parametrial tissue.</w:t>
            </w:r>
          </w:p>
        </w:tc>
        <w:tc>
          <w:tcPr>
            <w:tcW w:w="1152" w:type="dxa"/>
            <w:vAlign w:val="center"/>
          </w:tcPr>
          <w:p w14:paraId="441105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1401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8CB5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4A0A84" w14:textId="77777777">
        <w:tc>
          <w:tcPr>
            <w:tcW w:w="2160" w:type="dxa"/>
            <w:vAlign w:val="center"/>
          </w:tcPr>
          <w:p w14:paraId="6B57608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121FB1C8"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Q-M classification, the key differences in ureter handling between Type A hysterectomy and Type B1 hysterectomy are as follows:</w:t>
            </w:r>
            <w:r w:rsidRPr="00CB2EC4">
              <w:rPr>
                <w:rFonts w:ascii="Times New Roman" w:hAnsi="Times New Roman" w:cs="Times New Roman"/>
              </w:rPr>
              <w:br/>
              <w:t xml:space="preserve">  - Type A: Does not involve dissection or manipulation of the ureter; the ureter remains in situ, with only the uterus and minimal parametrial tissue removed.</w:t>
            </w:r>
            <w:r w:rsidRPr="00CB2EC4">
              <w:rPr>
                <w:rFonts w:ascii="Times New Roman" w:hAnsi="Times New Roman" w:cs="Times New Roman"/>
              </w:rPr>
              <w:br/>
              <w:t xml:space="preserve">  - Type B1: Requires partial dissection of the ureter, particularly the tunnel segment, to remove wider parametrial tissue (approximately 1-2 cm), while preserving the ureteral sheath to minimize injury risk.</w:t>
            </w:r>
            <w:r w:rsidRPr="00CB2EC4">
              <w:rPr>
                <w:rFonts w:ascii="Times New Roman" w:hAnsi="Times New Roman" w:cs="Times New Roman"/>
              </w:rPr>
              <w:br/>
              <w:t xml:space="preserve">  - Summary of difference: Type A does not handle the ureter, whereas Type B1 involves ureteral dissection to expand the resection range, but the procedure is conservative to preserve function.</w:t>
            </w:r>
          </w:p>
        </w:tc>
        <w:tc>
          <w:tcPr>
            <w:tcW w:w="1152" w:type="dxa"/>
            <w:vAlign w:val="center"/>
          </w:tcPr>
          <w:p w14:paraId="64F3ED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CF472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8E063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6D94197" w14:textId="77777777">
        <w:tc>
          <w:tcPr>
            <w:tcW w:w="10656" w:type="dxa"/>
            <w:gridSpan w:val="5"/>
            <w:tcBorders>
              <w:bottom w:val="single" w:sz="6" w:space="0" w:color="auto"/>
            </w:tcBorders>
            <w:vAlign w:val="center"/>
          </w:tcPr>
          <w:p w14:paraId="2A82613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93: According to the Q-M surgical classification, what are the key differences between a Type C1 (nerve-sparing radical hysterectomy) and a Type C2 (classical radical hysterectomy) in terms of the dissection of the lateral parametrium and nerve preservation?</w:t>
            </w:r>
          </w:p>
        </w:tc>
      </w:tr>
      <w:tr w:rsidR="00922249" w:rsidRPr="00CB2EC4" w14:paraId="2D1BD8D7" w14:textId="77777777">
        <w:tc>
          <w:tcPr>
            <w:tcW w:w="2160" w:type="dxa"/>
            <w:vAlign w:val="center"/>
          </w:tcPr>
          <w:p w14:paraId="37B6354B"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4274640" w14:textId="77777777" w:rsidR="00922249" w:rsidRPr="00CB2EC4" w:rsidRDefault="003011D5">
            <w:pPr>
              <w:rPr>
                <w:rFonts w:ascii="Times New Roman" w:hAnsi="Times New Roman" w:cs="Times New Roman"/>
              </w:rPr>
            </w:pPr>
            <w:r w:rsidRPr="00CB2EC4">
              <w:rPr>
                <w:rFonts w:ascii="Times New Roman" w:hAnsi="Times New Roman" w:cs="Times New Roman"/>
              </w:rPr>
              <w:t>based on the Q-M surgical classification, the key differences between type C1 (nerve-sparing radical hysterectomy) and type C2 (classic radical hysterectomy for cervical cancer) in the management of lateral parametrial tissue and nerve preservation are as follows:</w:t>
            </w:r>
            <w:r w:rsidRPr="00CB2EC4">
              <w:rPr>
                <w:rFonts w:ascii="Times New Roman" w:hAnsi="Times New Roman" w:cs="Times New Roman"/>
              </w:rPr>
              <w:br/>
            </w:r>
            <w:r w:rsidRPr="00CB2EC4">
              <w:rPr>
                <w:rFonts w:ascii="Times New Roman" w:hAnsi="Times New Roman" w:cs="Times New Roman"/>
              </w:rPr>
              <w:br/>
              <w:t>- **C1 type (nerve-sparing radical hysterectomy):**</w:t>
            </w:r>
            <w:r w:rsidRPr="00CB2EC4">
              <w:rPr>
                <w:rFonts w:ascii="Times New Roman" w:hAnsi="Times New Roman" w:cs="Times New Roman"/>
              </w:rPr>
              <w:br/>
              <w:t xml:space="preserve">  - Lateral parametrial tissue resection: performed at the "medial level of the iliac vessels", with specific note: "preserves pelvic visceral nerves".</w:t>
            </w:r>
            <w:r w:rsidRPr="00CB2EC4">
              <w:rPr>
                <w:rFonts w:ascii="Times New Roman" w:hAnsi="Times New Roman" w:cs="Times New Roman"/>
              </w:rPr>
              <w:br/>
              <w:t xml:space="preserve">  - Nerve preservation: aims to protect pelvic autonomic nerves (such as the hypogastric nerve, visceral nerve, and pelvic plexus) to reduce </w:t>
            </w:r>
            <w:r w:rsidRPr="00CB2EC4">
              <w:rPr>
                <w:rFonts w:ascii="Times New Roman" w:hAnsi="Times New Roman" w:cs="Times New Roman"/>
              </w:rPr>
              <w:lastRenderedPageBreak/>
              <w:t>postoperative voiding, bowel, and sexual dysfunction.</w:t>
            </w:r>
            <w:r w:rsidRPr="00CB2EC4">
              <w:rPr>
                <w:rFonts w:ascii="Times New Roman" w:hAnsi="Times New Roman" w:cs="Times New Roman"/>
              </w:rPr>
              <w:br/>
            </w:r>
            <w:r w:rsidRPr="00CB2EC4">
              <w:rPr>
                <w:rFonts w:ascii="Times New Roman" w:hAnsi="Times New Roman" w:cs="Times New Roman"/>
              </w:rPr>
              <w:br/>
              <w:t>- **C2 type (classic radical hysterectomy for cervical cancer):**</w:t>
            </w:r>
            <w:r w:rsidRPr="00CB2EC4">
              <w:rPr>
                <w:rFonts w:ascii="Times New Roman" w:hAnsi="Times New Roman" w:cs="Times New Roman"/>
              </w:rPr>
              <w:br/>
              <w:t xml:space="preserve">  - Lateral parametrial tissue resection: also performed at the "medial level of the iliac vessels", but noted as "does not preserve pelvic visceral nerves".</w:t>
            </w:r>
            <w:r w:rsidRPr="00CB2EC4">
              <w:rPr>
                <w:rFonts w:ascii="Times New Roman" w:hAnsi="Times New Roman" w:cs="Times New Roman"/>
              </w:rPr>
              <w:br/>
              <w:t xml:space="preserve">  - Nerve preservation: does not preserve nerves, potentially leading to a higher risk of nerve injury.</w:t>
            </w:r>
            <w:r w:rsidRPr="00CB2EC4">
              <w:rPr>
                <w:rFonts w:ascii="Times New Roman" w:hAnsi="Times New Roman" w:cs="Times New Roman"/>
              </w:rPr>
              <w:br/>
            </w:r>
            <w:r w:rsidRPr="00CB2EC4">
              <w:rPr>
                <w:rFonts w:ascii="Times New Roman" w:hAnsi="Times New Roman" w:cs="Times New Roman"/>
              </w:rPr>
              <w:br/>
              <w:t xml:space="preserve">**Key distinction:**  </w:t>
            </w:r>
            <w:r w:rsidRPr="00CB2EC4">
              <w:rPr>
                <w:rFonts w:ascii="Times New Roman" w:hAnsi="Times New Roman" w:cs="Times New Roman"/>
              </w:rPr>
              <w:br/>
              <w:t xml:space="preserve">C1 type preserves nerves during lateral parametrial tissue resection to minimize functional impairment;  </w:t>
            </w:r>
            <w:r w:rsidRPr="00CB2EC4">
              <w:rPr>
                <w:rFonts w:ascii="Times New Roman" w:hAnsi="Times New Roman" w:cs="Times New Roman"/>
              </w:rPr>
              <w:br/>
              <w:t xml:space="preserve">C2 type does not preserve nerves, resulting in a more radical resection but higher risk of complications.  </w:t>
            </w:r>
            <w:r w:rsidRPr="00CB2EC4">
              <w:rPr>
                <w:rFonts w:ascii="Times New Roman" w:hAnsi="Times New Roman" w:cs="Times New Roman"/>
              </w:rPr>
              <w:br/>
              <w:t>The document emphasizes that C1 type is indicated for patients requiring preservation of quality of life (e.g., young patients).</w:t>
            </w:r>
          </w:p>
        </w:tc>
        <w:tc>
          <w:tcPr>
            <w:tcW w:w="1152" w:type="dxa"/>
            <w:vAlign w:val="center"/>
          </w:tcPr>
          <w:p w14:paraId="51BEF4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5B482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F293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B96E44" w14:textId="77777777">
        <w:tc>
          <w:tcPr>
            <w:tcW w:w="2160" w:type="dxa"/>
            <w:vAlign w:val="center"/>
          </w:tcPr>
          <w:p w14:paraId="205A75A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95FDDA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key differences between Type C1 (nerve-sparing radical hysterectomy) and Type C2 (classic radical hysterectomy for cervical cancer) in the Q-M surgical classification regarding lateral parametrial tissue management and nerve preservation are as follows:  </w:t>
            </w:r>
            <w:r w:rsidRPr="00CB2EC4">
              <w:rPr>
                <w:rFonts w:ascii="Times New Roman" w:hAnsi="Times New Roman" w:cs="Times New Roman"/>
              </w:rPr>
              <w:br/>
              <w:t xml:space="preserve">- **Type C1 (nerve-sparing):**  </w:t>
            </w:r>
            <w:r w:rsidRPr="00CB2EC4">
              <w:rPr>
                <w:rFonts w:ascii="Times New Roman" w:hAnsi="Times New Roman" w:cs="Times New Roman"/>
              </w:rPr>
              <w:br/>
              <w:t xml:space="preserve">  - Lateral parametrial resection is performed at the level medial to the iliac vessels, with preservation of the pelvic autonomic nerves.  </w:t>
            </w:r>
            <w:r w:rsidRPr="00CB2EC4">
              <w:rPr>
                <w:rFonts w:ascii="Times New Roman" w:hAnsi="Times New Roman" w:cs="Times New Roman"/>
              </w:rPr>
              <w:br/>
              <w:t xml:space="preserve">  - Dorsal parametrial resection is performed at the rectal level, with preservation of the hypogastric nerve.  </w:t>
            </w:r>
            <w:r w:rsidRPr="00CB2EC4">
              <w:rPr>
                <w:rFonts w:ascii="Times New Roman" w:hAnsi="Times New Roman" w:cs="Times New Roman"/>
              </w:rPr>
              <w:br/>
              <w:t xml:space="preserve">- **Type C2 (classic radical):**  </w:t>
            </w:r>
            <w:r w:rsidRPr="00CB2EC4">
              <w:rPr>
                <w:rFonts w:ascii="Times New Roman" w:hAnsi="Times New Roman" w:cs="Times New Roman"/>
              </w:rPr>
              <w:br/>
              <w:t xml:space="preserve">  - Lateral parametrial resection is performed at the level medial to the iliac vessels, without preservation of the pelvic autonomic nerves (i.e., the nerves are </w:t>
            </w:r>
            <w:r w:rsidRPr="00CB2EC4">
              <w:rPr>
                <w:rFonts w:ascii="Times New Roman" w:hAnsi="Times New Roman" w:cs="Times New Roman"/>
              </w:rPr>
              <w:lastRenderedPageBreak/>
              <w:t xml:space="preserve">resected).  </w:t>
            </w:r>
            <w:r w:rsidRPr="00CB2EC4">
              <w:rPr>
                <w:rFonts w:ascii="Times New Roman" w:hAnsi="Times New Roman" w:cs="Times New Roman"/>
              </w:rPr>
              <w:br/>
              <w:t xml:space="preserve">  - Dorsal parametrial resection extends to the sacral level, without preservation of the hypogastric nerve.  </w:t>
            </w:r>
            <w:r w:rsidRPr="00CB2EC4">
              <w:rPr>
                <w:rFonts w:ascii="Times New Roman" w:hAnsi="Times New Roman" w:cs="Times New Roman"/>
              </w:rPr>
              <w:br/>
              <w:t xml:space="preserve">- **Supporting evidence:**  </w:t>
            </w:r>
            <w:r w:rsidRPr="00CB2EC4">
              <w:rPr>
                <w:rFonts w:ascii="Times New Roman" w:hAnsi="Times New Roman" w:cs="Times New Roman"/>
              </w:rPr>
              <w:br/>
              <w:t xml:space="preserve">  - Document excerpt 24 (block number 37, block topic: classification of radical hysterectomy procedures for cervical cancer) states:  </w:t>
            </w:r>
            <w:r w:rsidRPr="00CB2EC4">
              <w:rPr>
                <w:rFonts w:ascii="Times New Roman" w:hAnsi="Times New Roman" w:cs="Times New Roman"/>
              </w:rPr>
              <w:br/>
              <w:t xml:space="preserve">    - C1 type: "Lateral parametrial resection: medial to iliac vessels level (preserving pelvic autonomic nerves)"; "Dorsal parametrial resection: rectal level (preserving hypogastric nerve)".  </w:t>
            </w:r>
            <w:r w:rsidRPr="00CB2EC4">
              <w:rPr>
                <w:rFonts w:ascii="Times New Roman" w:hAnsi="Times New Roman" w:cs="Times New Roman"/>
              </w:rPr>
              <w:br/>
              <w:t xml:space="preserve">    - C2 type: "Lateral parametrial resection: medial to iliac vessels level (not preserving pelvic autonomic nerves)"; "Dorsal parametrial resection: sacral level (not preserving hypogastric nerve)".  </w:t>
            </w:r>
            <w:r w:rsidRPr="00CB2EC4">
              <w:rPr>
                <w:rFonts w:ascii="Times New Roman" w:hAnsi="Times New Roman" w:cs="Times New Roman"/>
              </w:rPr>
              <w:br/>
              <w:t>Type C1 aims to reduce postoperative bladder, rectal, and sexual dysfunction, while Type C2 offers more extensive resection but carries a higher risk of complications.</w:t>
            </w:r>
          </w:p>
        </w:tc>
        <w:tc>
          <w:tcPr>
            <w:tcW w:w="1152" w:type="dxa"/>
            <w:vAlign w:val="center"/>
          </w:tcPr>
          <w:p w14:paraId="7DC66D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06416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BB4E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F57146" w14:textId="77777777">
        <w:tc>
          <w:tcPr>
            <w:tcW w:w="2160" w:type="dxa"/>
            <w:vAlign w:val="center"/>
          </w:tcPr>
          <w:p w14:paraId="0AC820EA"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AA36E4D"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Q-M surgical classification, the key differences between Type C1 (nerve-sparing radical hysterectomy) and Type C2 (classical radical hysterectomy for cervical cancer) in the management of lateral parametrial tissue and nerve preservation are as follows:</w:t>
            </w:r>
            <w:r w:rsidRPr="00CB2EC4">
              <w:rPr>
                <w:rFonts w:ascii="Times New Roman" w:hAnsi="Times New Roman" w:cs="Times New Roman"/>
              </w:rPr>
              <w:br/>
            </w:r>
            <w:r w:rsidRPr="00CB2EC4">
              <w:rPr>
                <w:rFonts w:ascii="Times New Roman" w:hAnsi="Times New Roman" w:cs="Times New Roman"/>
              </w:rPr>
              <w:br/>
              <w:t>- **Resection of lateral parametrial tissue**:</w:t>
            </w:r>
            <w:r w:rsidRPr="00CB2EC4">
              <w:rPr>
                <w:rFonts w:ascii="Times New Roman" w:hAnsi="Times New Roman" w:cs="Times New Roman"/>
              </w:rPr>
              <w:br/>
              <w:t xml:space="preserve">  - Type C1: The resection extends to the medial aspect of the iliac vessels, with preservation of the pelvic splanchnic nerves.</w:t>
            </w:r>
            <w:r w:rsidRPr="00CB2EC4">
              <w:rPr>
                <w:rFonts w:ascii="Times New Roman" w:hAnsi="Times New Roman" w:cs="Times New Roman"/>
              </w:rPr>
              <w:br/>
              <w:t xml:space="preserve">  - Type C2: The resection also extends to the medial aspect of the iliac vessels, but without preservation of the pelvic splanchnic nerves.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**Resection of dorsal parametrial tissue**:</w:t>
            </w:r>
            <w:r w:rsidRPr="00CB2EC4">
              <w:rPr>
                <w:rFonts w:ascii="Times New Roman" w:hAnsi="Times New Roman" w:cs="Times New Roman"/>
              </w:rPr>
              <w:br/>
              <w:t xml:space="preserve">  - Type C1: The resection extends to the level of the rectum, with preservation of the hypogastric nerves.</w:t>
            </w:r>
            <w:r w:rsidRPr="00CB2EC4">
              <w:rPr>
                <w:rFonts w:ascii="Times New Roman" w:hAnsi="Times New Roman" w:cs="Times New Roman"/>
              </w:rPr>
              <w:br/>
              <w:t xml:space="preserve">  - Type C2: The resection extends to the level of the sacrum, without preservation of the hypogastric nerves.</w:t>
            </w:r>
            <w:r w:rsidRPr="00CB2EC4">
              <w:rPr>
                <w:rFonts w:ascii="Times New Roman" w:hAnsi="Times New Roman" w:cs="Times New Roman"/>
              </w:rPr>
              <w:br/>
            </w:r>
            <w:r w:rsidRPr="00CB2EC4">
              <w:rPr>
                <w:rFonts w:ascii="Times New Roman" w:hAnsi="Times New Roman" w:cs="Times New Roman"/>
              </w:rPr>
              <w:br/>
              <w:t>The key distinction lies in nerve preservation: Type C1 preserves the pelvic splanchnic nerves and hypogastric nerves during resection of the lateral and dorsal parametrial tissues, respectively, whereas Type C2 does not preserve these nerves. Type C2 involves a more extensive resection (dorsally to the sacral level), resulting in a higher risk of nerve damage and related dysfunctions (such as urinary and bowel dysfunction).</w:t>
            </w:r>
          </w:p>
        </w:tc>
        <w:tc>
          <w:tcPr>
            <w:tcW w:w="1152" w:type="dxa"/>
            <w:vAlign w:val="center"/>
          </w:tcPr>
          <w:p w14:paraId="2ACB49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DA2D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4201C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5AA775" w14:textId="77777777">
        <w:tc>
          <w:tcPr>
            <w:tcW w:w="2160" w:type="dxa"/>
            <w:vAlign w:val="center"/>
          </w:tcPr>
          <w:p w14:paraId="790748B1"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77CAC55" w14:textId="77777777" w:rsidR="00922249" w:rsidRPr="00CB2EC4" w:rsidRDefault="003011D5">
            <w:pPr>
              <w:rPr>
                <w:rFonts w:ascii="Times New Roman" w:hAnsi="Times New Roman" w:cs="Times New Roman"/>
              </w:rPr>
            </w:pPr>
            <w:r w:rsidRPr="00CB2EC4">
              <w:rPr>
                <w:rFonts w:ascii="Times New Roman" w:hAnsi="Times New Roman" w:cs="Times New Roman"/>
              </w:rPr>
              <w:t>the key differences between C1 and C2 surgical types in managing lateral parametrial tissue and nerve preservation</w:t>
            </w:r>
            <w:r w:rsidRPr="00CB2EC4">
              <w:rPr>
                <w:rFonts w:ascii="Times New Roman" w:hAnsi="Times New Roman" w:cs="Times New Roman"/>
              </w:rPr>
              <w:br/>
            </w:r>
            <w:r w:rsidRPr="00CB2EC4">
              <w:rPr>
                <w:rFonts w:ascii="Times New Roman" w:hAnsi="Times New Roman" w:cs="Times New Roman"/>
              </w:rPr>
              <w:br/>
              <w:t>Knowledge base documentation basis (Q-M classification and NSRH description):</w:t>
            </w:r>
            <w:r w:rsidRPr="00CB2EC4">
              <w:rPr>
                <w:rFonts w:ascii="Times New Roman" w:hAnsi="Times New Roman" w:cs="Times New Roman"/>
              </w:rPr>
              <w:br/>
              <w:t>- C1 type (nerve-sparing):</w:t>
            </w:r>
            <w:r w:rsidRPr="00CB2EC4">
              <w:rPr>
                <w:rFonts w:ascii="Times New Roman" w:hAnsi="Times New Roman" w:cs="Times New Roman"/>
              </w:rPr>
              <w:br/>
              <w:t xml:space="preserve">  - Lateral parametrial tissue resection: Resect up to the exposure of the uterine deep vein, preserving the pelvic visceral nerves deep to it.</w:t>
            </w:r>
            <w:r w:rsidRPr="00CB2EC4">
              <w:rPr>
                <w:rFonts w:ascii="Times New Roman" w:hAnsi="Times New Roman" w:cs="Times New Roman"/>
              </w:rPr>
              <w:br/>
              <w:t xml:space="preserve">  - Nerve preservation: Protect the pelvic visceral nerve plexus (located deep in the cardinal ligament) and the hypogastric nerve (located lateral to the uterosacral ligament).</w:t>
            </w:r>
            <w:r w:rsidRPr="00CB2EC4">
              <w:rPr>
                <w:rFonts w:ascii="Times New Roman" w:hAnsi="Times New Roman" w:cs="Times New Roman"/>
              </w:rPr>
              <w:br/>
              <w:t>- C2 type (non-nerve-sparing):</w:t>
            </w:r>
            <w:r w:rsidRPr="00CB2EC4">
              <w:rPr>
                <w:rFonts w:ascii="Times New Roman" w:hAnsi="Times New Roman" w:cs="Times New Roman"/>
              </w:rPr>
              <w:br/>
              <w:t xml:space="preserve">  - Lateral parametrial tissue resection: Extend resection to the pelvic wall, completely remove the uterine deep vein and deep nerves, exposing the pelvis and sacrum.</w:t>
            </w:r>
            <w:r w:rsidRPr="00CB2EC4">
              <w:rPr>
                <w:rFonts w:ascii="Times New Roman" w:hAnsi="Times New Roman" w:cs="Times New Roman"/>
              </w:rPr>
              <w:br/>
            </w:r>
            <w:r w:rsidRPr="00CB2EC4">
              <w:rPr>
                <w:rFonts w:ascii="Times New Roman" w:hAnsi="Times New Roman" w:cs="Times New Roman"/>
              </w:rPr>
              <w:lastRenderedPageBreak/>
              <w:t xml:space="preserve">  - Nerve management: Thoroughly resect the paroureteral tissue and pelvic visceral nerve plexus (Document 2, 6).</w:t>
            </w:r>
            <w:r w:rsidRPr="00CB2EC4">
              <w:rPr>
                <w:rFonts w:ascii="Times New Roman" w:hAnsi="Times New Roman" w:cs="Times New Roman"/>
              </w:rPr>
              <w:br/>
            </w:r>
            <w:r w:rsidRPr="00CB2EC4">
              <w:rPr>
                <w:rFonts w:ascii="Times New Roman" w:hAnsi="Times New Roman" w:cs="Times New Roman"/>
              </w:rPr>
              <w:br/>
              <w:t>&gt; Core difference: The C1 type preserves neural structures to reduce the risk of postoperative urinary dysfunction, while the C2 type pursues wider resection at the cost of nerve function.</w:t>
            </w:r>
          </w:p>
        </w:tc>
        <w:tc>
          <w:tcPr>
            <w:tcW w:w="1152" w:type="dxa"/>
            <w:vAlign w:val="center"/>
          </w:tcPr>
          <w:p w14:paraId="74EC00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CD98E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12C2A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FACE59B" w14:textId="77777777">
        <w:tc>
          <w:tcPr>
            <w:tcW w:w="2160" w:type="dxa"/>
            <w:vAlign w:val="center"/>
          </w:tcPr>
          <w:p w14:paraId="0ED72CAB"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FD944A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found in the provided document fragments.  </w:t>
            </w:r>
            <w:r w:rsidRPr="00CB2EC4">
              <w:rPr>
                <w:rFonts w:ascii="Times New Roman" w:hAnsi="Times New Roman" w:cs="Times New Roman"/>
              </w:rPr>
              <w:br/>
              <w:t xml:space="preserve">- the fragments (e.g., fragment 5, 8, 25) describe the general extent of type C radical hysterectomy (e.g., "cardinal ligament: transected along the pelvic wall", "uterosacral ligament: transected near the sacral end") but do not specify the key differences between the C1 (nerve-sparing) and C2 (classical) subtypes in terms of lateral parametrial tissue handling and nerve preservation.  </w:t>
            </w:r>
            <w:r w:rsidRPr="00CB2EC4">
              <w:rPr>
                <w:rFonts w:ascii="Times New Roman" w:hAnsi="Times New Roman" w:cs="Times New Roman"/>
              </w:rPr>
              <w:br/>
              <w:t xml:space="preserve">- fragment 25 mentions "nerve-sparing radical hysterectomy is recommended" but does not delineate the procedural distinctions between C1 and C2.  </w:t>
            </w:r>
            <w:r w:rsidRPr="00CB2EC4">
              <w:rPr>
                <w:rFonts w:ascii="Times New Roman" w:hAnsi="Times New Roman" w:cs="Times New Roman"/>
              </w:rPr>
              <w:br/>
              <w:t>therefore, the requested information is not available in the provided materials. consult detailed gynecological oncology surgery guidelines or specialized literature for clarification.</w:t>
            </w:r>
          </w:p>
        </w:tc>
        <w:tc>
          <w:tcPr>
            <w:tcW w:w="1152" w:type="dxa"/>
            <w:vAlign w:val="center"/>
          </w:tcPr>
          <w:p w14:paraId="7D2BC5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3369C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13094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4F2159F" w14:textId="77777777">
        <w:tc>
          <w:tcPr>
            <w:tcW w:w="2160" w:type="dxa"/>
            <w:vAlign w:val="center"/>
          </w:tcPr>
          <w:p w14:paraId="16F14334"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0ABD7D7"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Q-M surgical classification, the key differences between type C1 (nerve-sparing radical hysterectomy) and type C2 (classic radical hysterectomy) in the management of lateral parametrial tissue and nerve preservation are as follows:</w:t>
            </w:r>
            <w:r w:rsidRPr="00CB2EC4">
              <w:rPr>
                <w:rFonts w:ascii="Times New Roman" w:hAnsi="Times New Roman" w:cs="Times New Roman"/>
              </w:rPr>
              <w:br/>
            </w:r>
            <w:r w:rsidRPr="00CB2EC4">
              <w:rPr>
                <w:rFonts w:ascii="Times New Roman" w:hAnsi="Times New Roman" w:cs="Times New Roman"/>
              </w:rPr>
              <w:br/>
              <w:t>- **C1 type (nerve-sparing):**</w:t>
            </w:r>
            <w:r w:rsidRPr="00CB2EC4">
              <w:rPr>
                <w:rFonts w:ascii="Times New Roman" w:hAnsi="Times New Roman" w:cs="Times New Roman"/>
              </w:rPr>
              <w:br/>
              <w:t xml:space="preserve">  - Lateral parametrial resection extent: resected to the </w:t>
            </w:r>
            <w:r w:rsidRPr="00CB2EC4">
              <w:rPr>
                <w:rFonts w:ascii="Times New Roman" w:hAnsi="Times New Roman" w:cs="Times New Roman"/>
              </w:rPr>
              <w:lastRenderedPageBreak/>
              <w:t>medial side of the ureter, preserving the pelvic nerve plexus (e.g., hypogastric nerve, visceral nerve).</w:t>
            </w:r>
            <w:r w:rsidRPr="00CB2EC4">
              <w:rPr>
                <w:rFonts w:ascii="Times New Roman" w:hAnsi="Times New Roman" w:cs="Times New Roman"/>
              </w:rPr>
              <w:br/>
              <w:t xml:space="preserve">  - Purpose: to reduce postoperative bladder, rectal, and sexual dysfunction.</w:t>
            </w:r>
            <w:r w:rsidRPr="00CB2EC4">
              <w:rPr>
                <w:rFonts w:ascii="Times New Roman" w:hAnsi="Times New Roman" w:cs="Times New Roman"/>
              </w:rPr>
              <w:br/>
            </w:r>
            <w:r w:rsidRPr="00CB2EC4">
              <w:rPr>
                <w:rFonts w:ascii="Times New Roman" w:hAnsi="Times New Roman" w:cs="Times New Roman"/>
              </w:rPr>
              <w:br/>
              <w:t>- **C2 type (classic radical hysterectomy):**</w:t>
            </w:r>
            <w:r w:rsidRPr="00CB2EC4">
              <w:rPr>
                <w:rFonts w:ascii="Times New Roman" w:hAnsi="Times New Roman" w:cs="Times New Roman"/>
              </w:rPr>
              <w:br/>
              <w:t xml:space="preserve">  - Lateral parametrial resection extent: completely resected along the pelvic wall, including the main ligament, without nerve preservation.</w:t>
            </w:r>
            <w:r w:rsidRPr="00CB2EC4">
              <w:rPr>
                <w:rFonts w:ascii="Times New Roman" w:hAnsi="Times New Roman" w:cs="Times New Roman"/>
              </w:rPr>
              <w:br/>
              <w:t xml:space="preserve">  - Characteristic: more extensive surgery, but with a higher risk of postoperative nerve injury.</w:t>
            </w:r>
            <w:r w:rsidRPr="00CB2EC4">
              <w:rPr>
                <w:rFonts w:ascii="Times New Roman" w:hAnsi="Times New Roman" w:cs="Times New Roman"/>
              </w:rPr>
              <w:br/>
            </w:r>
            <w:r w:rsidRPr="00CB2EC4">
              <w:rPr>
                <w:rFonts w:ascii="Times New Roman" w:hAnsi="Times New Roman" w:cs="Times New Roman"/>
              </w:rPr>
              <w:br/>
              <w:t>Key distinction: C1 type preserves autonomic nerves while ensuring adequate tumor resection, whereas C2 type involves no nerve preservation, achieves more radical resection, but carries a higher risk of complications.</w:t>
            </w:r>
          </w:p>
        </w:tc>
        <w:tc>
          <w:tcPr>
            <w:tcW w:w="1152" w:type="dxa"/>
            <w:vAlign w:val="center"/>
          </w:tcPr>
          <w:p w14:paraId="1B8424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77B20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98A2D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E148197" w14:textId="77777777">
        <w:tc>
          <w:tcPr>
            <w:tcW w:w="2160" w:type="dxa"/>
            <w:vAlign w:val="center"/>
          </w:tcPr>
          <w:p w14:paraId="263424F1"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97A038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Q-M surgical classification, the key differences between Type C1 (nerve-sparing radical hysterectomy) and Type C2 (classical radical hysterectomy for cervical cancer) in the management of lateral parametrial tissue and nerve preservation are as follows:  </w:t>
            </w:r>
            <w:r w:rsidRPr="00CB2EC4">
              <w:rPr>
                <w:rFonts w:ascii="Times New Roman" w:hAnsi="Times New Roman" w:cs="Times New Roman"/>
              </w:rPr>
              <w:br/>
              <w:t xml:space="preserve">- Type C1 (nerve-sparing radical hysterectomy):  </w:t>
            </w:r>
            <w:r w:rsidRPr="00CB2EC4">
              <w:rPr>
                <w:rFonts w:ascii="Times New Roman" w:hAnsi="Times New Roman" w:cs="Times New Roman"/>
              </w:rPr>
              <w:br/>
              <w:t xml:space="preserve">  - Management of lateral parametrial tissue: The extent of resection is similar to Type C2 (e.g., transecting the cardinal ligament close to the pelvic sidewall), but the procedure is more meticulous, aiming to preserve the autonomic nerve plexus (including the hypogastric nerve, splanchnic nerves, and pelvic nerve plexus).  </w:t>
            </w:r>
            <w:r w:rsidRPr="00CB2EC4">
              <w:rPr>
                <w:rFonts w:ascii="Times New Roman" w:hAnsi="Times New Roman" w:cs="Times New Roman"/>
              </w:rPr>
              <w:br/>
              <w:t xml:space="preserve">  - Nerve preservation: Specifically designed to preserve pelvic autonomic nerves to reduce postoperative urinary, bowel, and sexual dysfunction.  </w:t>
            </w:r>
            <w:r w:rsidRPr="00CB2EC4">
              <w:rPr>
                <w:rFonts w:ascii="Times New Roman" w:hAnsi="Times New Roman" w:cs="Times New Roman"/>
              </w:rPr>
              <w:br/>
            </w:r>
            <w:r w:rsidRPr="00CB2EC4">
              <w:rPr>
                <w:rFonts w:ascii="Times New Roman" w:hAnsi="Times New Roman" w:cs="Times New Roman"/>
              </w:rPr>
              <w:lastRenderedPageBreak/>
              <w:t xml:space="preserve">- Type C2 (classical radical hysterectomy for cervical cancer):  </w:t>
            </w:r>
            <w:r w:rsidRPr="00CB2EC4">
              <w:rPr>
                <w:rFonts w:ascii="Times New Roman" w:hAnsi="Times New Roman" w:cs="Times New Roman"/>
              </w:rPr>
              <w:br/>
              <w:t xml:space="preserve">  - Management of lateral parametrial tissue: Complete resection of lateral parametrial tissue (including transecting the cardinal ligament close to the pelvic sidewall) without deliberate preservation of nerve structures, ensuring a more extensive resection for tumor clearance.  </w:t>
            </w:r>
            <w:r w:rsidRPr="00CB2EC4">
              <w:rPr>
                <w:rFonts w:ascii="Times New Roman" w:hAnsi="Times New Roman" w:cs="Times New Roman"/>
              </w:rPr>
              <w:br/>
              <w:t xml:space="preserve">  - Nerve preservation: Does not preserve nerves, which may result in a higher risk of nerve damage and postoperative dysfunction.  </w:t>
            </w:r>
            <w:r w:rsidRPr="00CB2EC4">
              <w:rPr>
                <w:rFonts w:ascii="Times New Roman" w:hAnsi="Times New Roman" w:cs="Times New Roman"/>
              </w:rPr>
              <w:br/>
              <w:t>Key difference summary: Type C1 emphasizes nerve protection during resection of lateral parametrial tissue to reduce postoperative complications, whereas Type C2 prioritizes tumor eradication through extensive resection at the expense of nerve function.</w:t>
            </w:r>
          </w:p>
        </w:tc>
        <w:tc>
          <w:tcPr>
            <w:tcW w:w="1152" w:type="dxa"/>
            <w:vAlign w:val="center"/>
          </w:tcPr>
          <w:p w14:paraId="18E5FA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9CAE3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794AF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A733893" w14:textId="77777777">
        <w:tc>
          <w:tcPr>
            <w:tcW w:w="2160" w:type="dxa"/>
            <w:vAlign w:val="center"/>
          </w:tcPr>
          <w:p w14:paraId="23BC7F69"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17094DF"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Q-M surgical classification, the key differences between C1 type (nerve-sparing radical hysterectomy) and C2 type (classic radical hysterectomy for cervical cancer) in the management of lateral parametrial tissue and nerve preservation are as follows:</w:t>
            </w:r>
            <w:r w:rsidRPr="00CB2EC4">
              <w:rPr>
                <w:rFonts w:ascii="Times New Roman" w:hAnsi="Times New Roman" w:cs="Times New Roman"/>
              </w:rPr>
              <w:br/>
            </w:r>
            <w:r w:rsidRPr="00CB2EC4">
              <w:rPr>
                <w:rFonts w:ascii="Times New Roman" w:hAnsi="Times New Roman" w:cs="Times New Roman"/>
              </w:rPr>
              <w:br/>
              <w:t xml:space="preserve">- **C1 type (nerve-sparing radical hysterectomy):**  </w:t>
            </w:r>
            <w:r w:rsidRPr="00CB2EC4">
              <w:rPr>
                <w:rFonts w:ascii="Times New Roman" w:hAnsi="Times New Roman" w:cs="Times New Roman"/>
              </w:rPr>
              <w:br/>
              <w:t xml:space="preserve">  - Lateral parametrial resection: "medial to the ureter".  </w:t>
            </w:r>
            <w:r w:rsidRPr="00CB2EC4">
              <w:rPr>
                <w:rFonts w:ascii="Times New Roman" w:hAnsi="Times New Roman" w:cs="Times New Roman"/>
              </w:rPr>
              <w:br/>
              <w:t xml:space="preserve">  - Nerve preservation: "preserves pelvic autonomic nerves".  </w:t>
            </w:r>
            <w:r w:rsidRPr="00CB2EC4">
              <w:rPr>
                <w:rFonts w:ascii="Times New Roman" w:hAnsi="Times New Roman" w:cs="Times New Roman"/>
              </w:rPr>
              <w:br/>
              <w:t xml:space="preserve">  - Implication: resection is limited to parametrial tissue medial to the ureter, with preservation of pelvic autonomic nerves to reduce the risk of postoperative bladder and rectal dysfunction.  </w:t>
            </w:r>
            <w:r w:rsidRPr="00CB2EC4">
              <w:rPr>
                <w:rFonts w:ascii="Times New Roman" w:hAnsi="Times New Roman" w:cs="Times New Roman"/>
              </w:rPr>
              <w:br/>
            </w:r>
            <w:r w:rsidRPr="00CB2EC4">
              <w:rPr>
                <w:rFonts w:ascii="Times New Roman" w:hAnsi="Times New Roman" w:cs="Times New Roman"/>
              </w:rPr>
              <w:br/>
              <w:t xml:space="preserve">- **C2 type (classic radical hysterectomy):**  </w:t>
            </w:r>
            <w:r w:rsidRPr="00CB2EC4">
              <w:rPr>
                <w:rFonts w:ascii="Times New Roman" w:hAnsi="Times New Roman" w:cs="Times New Roman"/>
              </w:rPr>
              <w:br/>
            </w:r>
            <w:r w:rsidRPr="00CB2EC4">
              <w:rPr>
                <w:rFonts w:ascii="Times New Roman" w:hAnsi="Times New Roman" w:cs="Times New Roman"/>
              </w:rPr>
              <w:lastRenderedPageBreak/>
              <w:t xml:space="preserve">  - Lateral parametrial resection: "at the level of the pelvic wall".  </w:t>
            </w:r>
            <w:r w:rsidRPr="00CB2EC4">
              <w:rPr>
                <w:rFonts w:ascii="Times New Roman" w:hAnsi="Times New Roman" w:cs="Times New Roman"/>
              </w:rPr>
              <w:br/>
              <w:t xml:space="preserve">  - Nerve preservation: "none".  </w:t>
            </w:r>
            <w:r w:rsidRPr="00CB2EC4">
              <w:rPr>
                <w:rFonts w:ascii="Times New Roman" w:hAnsi="Times New Roman" w:cs="Times New Roman"/>
              </w:rPr>
              <w:br/>
              <w:t xml:space="preserve">  - Implication: resection is more extensive, extending to the pelvic wall level, with no nerve preservation; indicated for high-risk cases (e.g., IB2 or IIA stage) but associated with higher risk of complications such as urinary retention.  </w:t>
            </w:r>
            <w:r w:rsidRPr="00CB2EC4">
              <w:rPr>
                <w:rFonts w:ascii="Times New Roman" w:hAnsi="Times New Roman" w:cs="Times New Roman"/>
              </w:rPr>
              <w:br/>
            </w:r>
            <w:r w:rsidRPr="00CB2EC4">
              <w:rPr>
                <w:rFonts w:ascii="Times New Roman" w:hAnsi="Times New Roman" w:cs="Times New Roman"/>
              </w:rPr>
              <w:br/>
              <w:t xml:space="preserve">**Key distinctions:**  </w:t>
            </w:r>
            <w:r w:rsidRPr="00CB2EC4">
              <w:rPr>
                <w:rFonts w:ascii="Times New Roman" w:hAnsi="Times New Roman" w:cs="Times New Roman"/>
              </w:rPr>
              <w:br/>
              <w:t xml:space="preserve">1. Extent of lateral parametrial resection: C1 type is more conservative (medial to ureter), while C2 type is more radical (at pelvic wall level).  </w:t>
            </w:r>
            <w:r w:rsidRPr="00CB2EC4">
              <w:rPr>
                <w:rFonts w:ascii="Times New Roman" w:hAnsi="Times New Roman" w:cs="Times New Roman"/>
              </w:rPr>
              <w:br/>
              <w:t xml:space="preserve">2. Nerve preservation: C1 type explicitly preserves pelvic autonomic nerves, whereas C2 type does not preserve any nerves.  </w:t>
            </w:r>
            <w:r w:rsidRPr="00CB2EC4">
              <w:rPr>
                <w:rFonts w:ascii="Times New Roman" w:hAnsi="Times New Roman" w:cs="Times New Roman"/>
              </w:rPr>
              <w:br/>
            </w:r>
            <w:r w:rsidRPr="00CB2EC4">
              <w:rPr>
                <w:rFonts w:ascii="Times New Roman" w:hAnsi="Times New Roman" w:cs="Times New Roman"/>
              </w:rPr>
              <w:br/>
              <w:t>Source: Table 6-1 in document fragment 8 details the differences between C1 and C2 types.</w:t>
            </w:r>
          </w:p>
        </w:tc>
        <w:tc>
          <w:tcPr>
            <w:tcW w:w="1152" w:type="dxa"/>
            <w:vAlign w:val="center"/>
          </w:tcPr>
          <w:p w14:paraId="270BEB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F5877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EAB6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68C93D" w14:textId="77777777">
        <w:tc>
          <w:tcPr>
            <w:tcW w:w="2160" w:type="dxa"/>
            <w:vAlign w:val="center"/>
          </w:tcPr>
          <w:p w14:paraId="314E4D6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3FC0E6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Q-M surgical classification, the key differences between type C1 (nerve-sparing radical hysterectomy) and type C2 (classic radical hysterectomy for cervical cancer) in the management of lateral parametrial tissue and nerve preservation are as follows:  </w:t>
            </w:r>
            <w:r w:rsidRPr="00CB2EC4">
              <w:rPr>
                <w:rFonts w:ascii="Times New Roman" w:hAnsi="Times New Roman" w:cs="Times New Roman"/>
              </w:rPr>
              <w:br/>
              <w:t xml:space="preserve">- C1 type (nerve-sparing radical hysterectomy):  </w:t>
            </w:r>
            <w:r w:rsidRPr="00CB2EC4">
              <w:rPr>
                <w:rFonts w:ascii="Times New Roman" w:hAnsi="Times New Roman" w:cs="Times New Roman"/>
              </w:rPr>
              <w:br/>
              <w:t xml:space="preserve">  - Lateral parametrial tissue resection: performed at the level medial to the iliac vessels (preserving pelvic visceral nerves, as stated: "lateral parametrial tissue resection: medial to iliac vessels level (preserving pelvic visceral nerves)").  </w:t>
            </w:r>
            <w:r w:rsidRPr="00CB2EC4">
              <w:rPr>
                <w:rFonts w:ascii="Times New Roman" w:hAnsi="Times New Roman" w:cs="Times New Roman"/>
              </w:rPr>
              <w:br/>
              <w:t xml:space="preserve">  - Nerve preservation: explicitly preserves the hypogastric nerve and pelvic visceral nerves (e.g., "dorsal parametrial tissue resection: rectal level </w:t>
            </w:r>
            <w:r w:rsidRPr="00CB2EC4">
              <w:rPr>
                <w:rFonts w:ascii="Times New Roman" w:hAnsi="Times New Roman" w:cs="Times New Roman"/>
              </w:rPr>
              <w:lastRenderedPageBreak/>
              <w:t xml:space="preserve">(preserving hypogastric nerve)").  </w:t>
            </w:r>
            <w:r w:rsidRPr="00CB2EC4">
              <w:rPr>
                <w:rFonts w:ascii="Times New Roman" w:hAnsi="Times New Roman" w:cs="Times New Roman"/>
              </w:rPr>
              <w:br/>
              <w:t xml:space="preserve">- C2 type (classic radical hysterectomy for cervical cancer):  </w:t>
            </w:r>
            <w:r w:rsidRPr="00CB2EC4">
              <w:rPr>
                <w:rFonts w:ascii="Times New Roman" w:hAnsi="Times New Roman" w:cs="Times New Roman"/>
              </w:rPr>
              <w:br/>
              <w:t xml:space="preserve">  - Lateral parametrial tissue resection: performed at the level medial to the iliac vessels but without nerve preservation (e.g., "lateral parametrial tissue resection: medial to iliac vessels level (not preserving pelvic visceral nerves)").  </w:t>
            </w:r>
            <w:r w:rsidRPr="00CB2EC4">
              <w:rPr>
                <w:rFonts w:ascii="Times New Roman" w:hAnsi="Times New Roman" w:cs="Times New Roman"/>
              </w:rPr>
              <w:br/>
              <w:t xml:space="preserve">  - Nerve preservation: no nerves are preserved, with more extensive resection (e.g., "dorsal parametrial tissue resection: sacral level (not preserving hypogastric nerve)").  </w:t>
            </w:r>
            <w:r w:rsidRPr="00CB2EC4">
              <w:rPr>
                <w:rFonts w:ascii="Times New Roman" w:hAnsi="Times New Roman" w:cs="Times New Roman"/>
              </w:rPr>
              <w:br/>
              <w:t>The critical distinction is that C1 type emphasizes nerve preservation (pelvic visceral nerves and hypogastric nerve), whereas C2 type involves no nerve preservation and a more radical resection. Source: Q-M classification table (e.g., C1 type corresponds to NSRH procedure, C2 type to classic radical hysterectomy).</w:t>
            </w:r>
          </w:p>
        </w:tc>
        <w:tc>
          <w:tcPr>
            <w:tcW w:w="1152" w:type="dxa"/>
            <w:vAlign w:val="center"/>
          </w:tcPr>
          <w:p w14:paraId="17C189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6B710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FB4A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656588" w14:textId="77777777">
        <w:tc>
          <w:tcPr>
            <w:tcW w:w="2160" w:type="dxa"/>
            <w:vAlign w:val="center"/>
          </w:tcPr>
          <w:p w14:paraId="04FCE8D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57DB5C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Q-M surgical classification, the key differences between Type C1 (nerve-sparing radical hysterectomy) and Type C2 (classical radical hysterectomy for cervical cancer) in the management of lateral parametrial tissue and nerve preservation are as follows:  </w:t>
            </w:r>
            <w:r w:rsidRPr="00CB2EC4">
              <w:rPr>
                <w:rFonts w:ascii="Times New Roman" w:hAnsi="Times New Roman" w:cs="Times New Roman"/>
              </w:rPr>
              <w:br/>
            </w:r>
            <w:r w:rsidRPr="00CB2EC4">
              <w:rPr>
                <w:rFonts w:ascii="Times New Roman" w:hAnsi="Times New Roman" w:cs="Times New Roman"/>
              </w:rPr>
              <w:br/>
              <w:t xml:space="preserve">- **Type C1 (Nerve-sparing radical hysterectomy)**:  </w:t>
            </w:r>
            <w:r w:rsidRPr="00CB2EC4">
              <w:rPr>
                <w:rFonts w:ascii="Times New Roman" w:hAnsi="Times New Roman" w:cs="Times New Roman"/>
              </w:rPr>
              <w:br/>
              <w:t xml:space="preserve">  - Lateral parametrial tissue resection: Performed at the medial level of the iliac vessels while preserving the pelvic splanchnic nerves.  </w:t>
            </w:r>
            <w:r w:rsidRPr="00CB2EC4">
              <w:rPr>
                <w:rFonts w:ascii="Times New Roman" w:hAnsi="Times New Roman" w:cs="Times New Roman"/>
              </w:rPr>
              <w:br/>
              <w:t xml:space="preserve">  - Dorsal parametrial tissue resection: Performed at the rectal level while preserving the hypogastric nerves.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**Type C2 (Classical radical hysterectomy for cervical cancer)**:  </w:t>
            </w:r>
            <w:r w:rsidRPr="00CB2EC4">
              <w:rPr>
                <w:rFonts w:ascii="Times New Roman" w:hAnsi="Times New Roman" w:cs="Times New Roman"/>
              </w:rPr>
              <w:br/>
              <w:t xml:space="preserve">  - Lateral parametrial tissue resection: Performed at the medial level of the iliac vessels without preserving the pelvic splanchnic nerves.  </w:t>
            </w:r>
            <w:r w:rsidRPr="00CB2EC4">
              <w:rPr>
                <w:rFonts w:ascii="Times New Roman" w:hAnsi="Times New Roman" w:cs="Times New Roman"/>
              </w:rPr>
              <w:br/>
              <w:t xml:space="preserve">  - Dorsal parametrial tissue resection: Performed at the sacral level without preserving the hypogastric nerves.  </w:t>
            </w:r>
            <w:r w:rsidRPr="00CB2EC4">
              <w:rPr>
                <w:rFonts w:ascii="Times New Roman" w:hAnsi="Times New Roman" w:cs="Times New Roman"/>
              </w:rPr>
              <w:br/>
            </w:r>
            <w:r w:rsidRPr="00CB2EC4">
              <w:rPr>
                <w:rFonts w:ascii="Times New Roman" w:hAnsi="Times New Roman" w:cs="Times New Roman"/>
              </w:rPr>
              <w:br/>
              <w:t>Key differences: Type C1 intentionally preserves the pelvic splanchnic nerves and hypogastric nerves during resection to reduce the risk of postoperative urinary, bowel, and sexual dysfunction; Type C2 does not employ nerve-sparing measures, involves a more extensive resection, but carries a higher incidence of postoperative complications (e.g., bladder and rectal dysfunction).</w:t>
            </w:r>
          </w:p>
        </w:tc>
        <w:tc>
          <w:tcPr>
            <w:tcW w:w="1152" w:type="dxa"/>
            <w:vAlign w:val="center"/>
          </w:tcPr>
          <w:p w14:paraId="72B48C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6CF3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5D325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15D38B" w14:textId="77777777">
        <w:tc>
          <w:tcPr>
            <w:tcW w:w="2160" w:type="dxa"/>
            <w:vAlign w:val="center"/>
          </w:tcPr>
          <w:p w14:paraId="6CF4C73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58BFE73"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Q-M surgical classification:</w:t>
            </w:r>
            <w:r w:rsidRPr="00CB2EC4">
              <w:rPr>
                <w:rFonts w:ascii="Times New Roman" w:hAnsi="Times New Roman" w:cs="Times New Roman"/>
              </w:rPr>
              <w:br/>
            </w:r>
            <w:r w:rsidRPr="00CB2EC4">
              <w:rPr>
                <w:rFonts w:ascii="Times New Roman" w:hAnsi="Times New Roman" w:cs="Times New Roman"/>
              </w:rPr>
              <w:br/>
              <w:t xml:space="preserve">- **C1 type (nerve-sparing radical hysterectomy)**: When managing the lateral parametrial tissue, only the tissue medial to the level of the uterine deep vein is resected, avoiding injury to the pelvic autonomic nerves (e.g., the inferior hypogastric plexus). Nerve function is preserved through meticulous dissection, reducing postoperative bladder and rectal dysfunction.  </w:t>
            </w:r>
            <w:r w:rsidRPr="00CB2EC4">
              <w:rPr>
                <w:rFonts w:ascii="Times New Roman" w:hAnsi="Times New Roman" w:cs="Times New Roman"/>
              </w:rPr>
              <w:br/>
              <w:t xml:space="preserve">- **C2 type (classic radical hysterectomy)**: The lateral parametrial tissue is widely resected, including up to the level of the internal iliac vein, with no preservation of neural structures (e.g., complete transection of the parametrial nerve plexus), resulting in a higher risk of nerve injury.  </w:t>
            </w:r>
            <w:r w:rsidRPr="00CB2EC4">
              <w:rPr>
                <w:rFonts w:ascii="Times New Roman" w:hAnsi="Times New Roman" w:cs="Times New Roman"/>
              </w:rPr>
              <w:br/>
              <w:t xml:space="preserve">The key difference is that the C1 type limits the resection range and employs targeted nerve-sparing </w:t>
            </w:r>
            <w:r w:rsidRPr="00CB2EC4">
              <w:rPr>
                <w:rFonts w:ascii="Times New Roman" w:hAnsi="Times New Roman" w:cs="Times New Roman"/>
              </w:rPr>
              <w:lastRenderedPageBreak/>
              <w:t>techniques (such as identifying and protecting nerve bundles) to reduce complications, whereas the C2 type involves broader parametrial resection without nerve preservation.</w:t>
            </w:r>
          </w:p>
        </w:tc>
        <w:tc>
          <w:tcPr>
            <w:tcW w:w="1152" w:type="dxa"/>
            <w:vAlign w:val="center"/>
          </w:tcPr>
          <w:p w14:paraId="66AD37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E314C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456EE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E862218" w14:textId="77777777">
        <w:tc>
          <w:tcPr>
            <w:tcW w:w="2160" w:type="dxa"/>
            <w:vAlign w:val="center"/>
          </w:tcPr>
          <w:p w14:paraId="3E617E19"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D2F4FA3" w14:textId="77777777" w:rsidR="00922249" w:rsidRPr="00CB2EC4" w:rsidRDefault="003011D5">
            <w:pPr>
              <w:rPr>
                <w:rFonts w:ascii="Times New Roman" w:hAnsi="Times New Roman" w:cs="Times New Roman"/>
              </w:rPr>
            </w:pPr>
            <w:r w:rsidRPr="00CB2EC4">
              <w:rPr>
                <w:rFonts w:ascii="Times New Roman" w:hAnsi="Times New Roman" w:cs="Times New Roman"/>
              </w:rPr>
              <w:t>based on the Q-M surgical classification, the key differences between type C1 (nerve-sparing radical hysterectomy) and type C2 (classic radical hysterectomy for cervical cancer) in the management of lateral parametrial tissue and nerve preservation are as follows:</w:t>
            </w:r>
            <w:r w:rsidRPr="00CB2EC4">
              <w:rPr>
                <w:rFonts w:ascii="Times New Roman" w:hAnsi="Times New Roman" w:cs="Times New Roman"/>
              </w:rPr>
              <w:br/>
            </w:r>
            <w:r w:rsidRPr="00CB2EC4">
              <w:rPr>
                <w:rFonts w:ascii="Times New Roman" w:hAnsi="Times New Roman" w:cs="Times New Roman"/>
              </w:rPr>
              <w:br/>
              <w:t>- **C1 type (nerve-sparing radical hysterectomy):**</w:t>
            </w:r>
            <w:r w:rsidRPr="00CB2EC4">
              <w:rPr>
                <w:rFonts w:ascii="Times New Roman" w:hAnsi="Times New Roman" w:cs="Times New Roman"/>
              </w:rPr>
              <w:br/>
              <w:t xml:space="preserve">  - Lateral parametrial tissue resection: performed at the "level medial to the iliac vessels" with specific note: "preserve pelvic visceral nerves". This indicates deliberate protection of the pelvic visceral nerves during resection to reduce postoperative voiding, bowel, and sexual dysfunction.</w:t>
            </w:r>
            <w:r w:rsidRPr="00CB2EC4">
              <w:rPr>
                <w:rFonts w:ascii="Times New Roman" w:hAnsi="Times New Roman" w:cs="Times New Roman"/>
              </w:rPr>
              <w:br/>
              <w:t xml:space="preserve">  - Nerve preservation: designed to preserve the hypogastric nerves, visceral nerves, and pelvic plexus to maintain autonomic nerve function.</w:t>
            </w:r>
            <w:r w:rsidRPr="00CB2EC4">
              <w:rPr>
                <w:rFonts w:ascii="Times New Roman" w:hAnsi="Times New Roman" w:cs="Times New Roman"/>
              </w:rPr>
              <w:br/>
            </w:r>
            <w:r w:rsidRPr="00CB2EC4">
              <w:rPr>
                <w:rFonts w:ascii="Times New Roman" w:hAnsi="Times New Roman" w:cs="Times New Roman"/>
              </w:rPr>
              <w:br/>
              <w:t>- **C2 type (classic radical hysterectomy):**</w:t>
            </w:r>
            <w:r w:rsidRPr="00CB2EC4">
              <w:rPr>
                <w:rFonts w:ascii="Times New Roman" w:hAnsi="Times New Roman" w:cs="Times New Roman"/>
              </w:rPr>
              <w:br/>
              <w:t xml:space="preserve">  - Lateral parametrial tissue resection: also performed at the "level medial to the iliac vessels" but noted as "do not preserve pelvic visceral nerves". This reflects a more radical approach without intentional nerve protection, potentially increasing the risk of neural injury.</w:t>
            </w:r>
            <w:r w:rsidRPr="00CB2EC4">
              <w:rPr>
                <w:rFonts w:ascii="Times New Roman" w:hAnsi="Times New Roman" w:cs="Times New Roman"/>
              </w:rPr>
              <w:br/>
              <w:t xml:space="preserve">  - Nerve preservation: no nerves are preserved, indicated for high-risk or advanced cases but associated with higher rates of postoperative complications.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key evidence: the Q-M classification table in document fragment 1 explicitly lists the differences between C1 and C2 types, including descriptions of lateral parametrial resection and annotations regarding nerve preservation.</w:t>
            </w:r>
          </w:p>
        </w:tc>
        <w:tc>
          <w:tcPr>
            <w:tcW w:w="1152" w:type="dxa"/>
            <w:vAlign w:val="center"/>
          </w:tcPr>
          <w:p w14:paraId="5B0EEF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711EE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F68C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633040" w14:textId="77777777">
        <w:tc>
          <w:tcPr>
            <w:tcW w:w="2160" w:type="dxa"/>
            <w:vAlign w:val="center"/>
          </w:tcPr>
          <w:p w14:paraId="0AD6D494"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EA5EDC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Q-M surgical classification, the key differences between Type C1 (nerve-sparing radical hysterectomy) and Type C2 (classical radical hysterectomy for cervical cancer) in the management of lateral parametrial tissue and nerve preservation are as follows:  </w:t>
            </w:r>
            <w:r w:rsidRPr="00CB2EC4">
              <w:rPr>
                <w:rFonts w:ascii="Times New Roman" w:hAnsi="Times New Roman" w:cs="Times New Roman"/>
              </w:rPr>
              <w:br/>
            </w:r>
            <w:r w:rsidRPr="00CB2EC4">
              <w:rPr>
                <w:rFonts w:ascii="Times New Roman" w:hAnsi="Times New Roman" w:cs="Times New Roman"/>
              </w:rPr>
              <w:br/>
              <w:t xml:space="preserve">- **Type C1 (Nerve-Sparing Radical Hysterectomy)**:  </w:t>
            </w:r>
            <w:r w:rsidRPr="00CB2EC4">
              <w:rPr>
                <w:rFonts w:ascii="Times New Roman" w:hAnsi="Times New Roman" w:cs="Times New Roman"/>
              </w:rPr>
              <w:br/>
              <w:t xml:space="preserve">  - Lateral parametrial tissue resection: Performed at the medial level of the iliac vessels while preserving the pelvic splanchnic nerves.  </w:t>
            </w:r>
            <w:r w:rsidRPr="00CB2EC4">
              <w:rPr>
                <w:rFonts w:ascii="Times New Roman" w:hAnsi="Times New Roman" w:cs="Times New Roman"/>
              </w:rPr>
              <w:br/>
              <w:t xml:space="preserve">  - Nerve preservation: The pelvic splanchnic nerves, hypogastric nerves, and vesical branches are preserved to reduce postoperative urinary, bowel, and sexual dysfunction.  </w:t>
            </w:r>
            <w:r w:rsidRPr="00CB2EC4">
              <w:rPr>
                <w:rFonts w:ascii="Times New Roman" w:hAnsi="Times New Roman" w:cs="Times New Roman"/>
              </w:rPr>
              <w:br/>
            </w:r>
            <w:r w:rsidRPr="00CB2EC4">
              <w:rPr>
                <w:rFonts w:ascii="Times New Roman" w:hAnsi="Times New Roman" w:cs="Times New Roman"/>
              </w:rPr>
              <w:br/>
              <w:t xml:space="preserve">- **Type C2 (Classical Radical Hysterectomy for Cervical Cancer)**:  </w:t>
            </w:r>
            <w:r w:rsidRPr="00CB2EC4">
              <w:rPr>
                <w:rFonts w:ascii="Times New Roman" w:hAnsi="Times New Roman" w:cs="Times New Roman"/>
              </w:rPr>
              <w:br/>
              <w:t xml:space="preserve">  - Lateral parametrial tissue resection: Performed at the medial level of the iliac vessels without preserving the pelvic splanchnic nerves.  </w:t>
            </w:r>
            <w:r w:rsidRPr="00CB2EC4">
              <w:rPr>
                <w:rFonts w:ascii="Times New Roman" w:hAnsi="Times New Roman" w:cs="Times New Roman"/>
              </w:rPr>
              <w:br/>
              <w:t xml:space="preserve">  - Nerve preservation: The pelvic splanchnic nerves, hypogastric nerves, and vesical branches are not preserved, which may lead to a higher risk of postoperative dysfunction.  </w:t>
            </w:r>
            <w:r w:rsidRPr="00CB2EC4">
              <w:rPr>
                <w:rFonts w:ascii="Times New Roman" w:hAnsi="Times New Roman" w:cs="Times New Roman"/>
              </w:rPr>
              <w:br/>
            </w:r>
            <w:r w:rsidRPr="00CB2EC4">
              <w:rPr>
                <w:rFonts w:ascii="Times New Roman" w:hAnsi="Times New Roman" w:cs="Times New Roman"/>
              </w:rPr>
              <w:br/>
              <w:t xml:space="preserve">Key difference: Type C1 preserves the pelvic splanchnic nerves during lateral parametrial tissue </w:t>
            </w:r>
            <w:r w:rsidRPr="00CB2EC4">
              <w:rPr>
                <w:rFonts w:ascii="Times New Roman" w:hAnsi="Times New Roman" w:cs="Times New Roman"/>
              </w:rPr>
              <w:lastRenderedPageBreak/>
              <w:t>resection, whereas Type C2 does not preserve these nerves, impacting postoperative quality of life (e.g., urinary and bowel function).</w:t>
            </w:r>
          </w:p>
        </w:tc>
        <w:tc>
          <w:tcPr>
            <w:tcW w:w="1152" w:type="dxa"/>
            <w:vAlign w:val="center"/>
          </w:tcPr>
          <w:p w14:paraId="6E9FFE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F178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98DD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D200B3" w14:textId="77777777">
        <w:tc>
          <w:tcPr>
            <w:tcW w:w="2160" w:type="dxa"/>
            <w:vAlign w:val="center"/>
          </w:tcPr>
          <w:p w14:paraId="5B3EECC7"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80E6CDB"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Q-M surgical classification, the key differences between type C1 (nerve-sparing radical hysterectomy) and type C2 (classical radical hysterectomy) in the management of lateral parametrial tissue and nerve preservation are as follows:</w:t>
            </w:r>
            <w:r w:rsidRPr="00CB2EC4">
              <w:rPr>
                <w:rFonts w:ascii="Times New Roman" w:hAnsi="Times New Roman" w:cs="Times New Roman"/>
              </w:rPr>
              <w:br/>
            </w:r>
            <w:r w:rsidRPr="00CB2EC4">
              <w:rPr>
                <w:rFonts w:ascii="Times New Roman" w:hAnsi="Times New Roman" w:cs="Times New Roman"/>
              </w:rPr>
              <w:br/>
              <w:t xml:space="preserve">  - Management of lateral parametrial tissue:</w:t>
            </w:r>
            <w:r w:rsidRPr="00CB2EC4">
              <w:rPr>
                <w:rFonts w:ascii="Times New Roman" w:hAnsi="Times New Roman" w:cs="Times New Roman"/>
              </w:rPr>
              <w:br/>
              <w:t xml:space="preserve">    - C2 type: extensive resection of lateral parametrial tissue (including the cardinal ligament, uterosacral ligament, and paravaginal tissue), with the resection margin extending to the pelvic sidewall to ensure negative surgical margins.</w:t>
            </w:r>
            <w:r w:rsidRPr="00CB2EC4">
              <w:rPr>
                <w:rFonts w:ascii="Times New Roman" w:hAnsi="Times New Roman" w:cs="Times New Roman"/>
              </w:rPr>
              <w:br/>
              <w:t xml:space="preserve">    - C1 type: more precise resection of parametrial tissue, preserving key structures (such as the deep uterine vein and parts of the ligaments) to minimize nerve injury.</w:t>
            </w:r>
            <w:r w:rsidRPr="00CB2EC4">
              <w:rPr>
                <w:rFonts w:ascii="Times New Roman" w:hAnsi="Times New Roman" w:cs="Times New Roman"/>
              </w:rPr>
              <w:br/>
            </w:r>
            <w:r w:rsidRPr="00CB2EC4">
              <w:rPr>
                <w:rFonts w:ascii="Times New Roman" w:hAnsi="Times New Roman" w:cs="Times New Roman"/>
              </w:rPr>
              <w:br/>
              <w:t xml:space="preserve">  - Nerve preservation:</w:t>
            </w:r>
            <w:r w:rsidRPr="00CB2EC4">
              <w:rPr>
                <w:rFonts w:ascii="Times New Roman" w:hAnsi="Times New Roman" w:cs="Times New Roman"/>
              </w:rPr>
              <w:br/>
              <w:t xml:space="preserve">    - C2 type: does not preserve the pelvic autonomic nerves (such as the inferior hypogastric plexus and pelvic splanchnic nerves), which increases the risk of postoperative bladder dysfunction.</w:t>
            </w:r>
            <w:r w:rsidRPr="00CB2EC4">
              <w:rPr>
                <w:rFonts w:ascii="Times New Roman" w:hAnsi="Times New Roman" w:cs="Times New Roman"/>
              </w:rPr>
              <w:br/>
              <w:t xml:space="preserve">    - C1 type: specifically designed to identify and preserve nerve structures (e.g., dissecting and protecting the inferior hypogastric plexus), significantly reducing the risk of postoperative voiding dysfunction.</w:t>
            </w:r>
            <w:r w:rsidRPr="00CB2EC4">
              <w:rPr>
                <w:rFonts w:ascii="Times New Roman" w:hAnsi="Times New Roman" w:cs="Times New Roman"/>
              </w:rPr>
              <w:br/>
            </w:r>
            <w:r w:rsidRPr="00CB2EC4">
              <w:rPr>
                <w:rFonts w:ascii="Times New Roman" w:hAnsi="Times New Roman" w:cs="Times New Roman"/>
              </w:rPr>
              <w:br/>
              <w:t xml:space="preserve">  - Summary of differences: C1 type focuses on nerve preservation during parametrial resection, while C2 </w:t>
            </w:r>
            <w:r w:rsidRPr="00CB2EC4">
              <w:rPr>
                <w:rFonts w:ascii="Times New Roman" w:hAnsi="Times New Roman" w:cs="Times New Roman"/>
              </w:rPr>
              <w:lastRenderedPageBreak/>
              <w:t>type performs a wider resection without nerve preservation.</w:t>
            </w:r>
          </w:p>
        </w:tc>
        <w:tc>
          <w:tcPr>
            <w:tcW w:w="1152" w:type="dxa"/>
            <w:vAlign w:val="center"/>
          </w:tcPr>
          <w:p w14:paraId="7C72C9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AB778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B9D91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9C1D5F" w14:textId="77777777">
        <w:tc>
          <w:tcPr>
            <w:tcW w:w="10656" w:type="dxa"/>
            <w:gridSpan w:val="5"/>
            <w:tcBorders>
              <w:bottom w:val="single" w:sz="6" w:space="0" w:color="auto"/>
            </w:tcBorders>
            <w:vAlign w:val="center"/>
          </w:tcPr>
          <w:p w14:paraId="7171CB96" w14:textId="77777777" w:rsidR="00922249" w:rsidRPr="00CB2EC4" w:rsidRDefault="003011D5">
            <w:pPr>
              <w:rPr>
                <w:rFonts w:ascii="Times New Roman" w:hAnsi="Times New Roman" w:cs="Times New Roman"/>
              </w:rPr>
            </w:pPr>
            <w:r w:rsidRPr="00CB2EC4">
              <w:rPr>
                <w:rFonts w:ascii="Times New Roman" w:hAnsi="Times New Roman" w:cs="Times New Roman"/>
                <w:b/>
              </w:rPr>
              <w:t>Question 94: What pathological types are included in the Grade I recommendations for fertility-sparing surgery in cervical cancer?</w:t>
            </w:r>
          </w:p>
        </w:tc>
      </w:tr>
      <w:tr w:rsidR="00922249" w:rsidRPr="00CB2EC4" w14:paraId="22783D0B" w14:textId="77777777">
        <w:tc>
          <w:tcPr>
            <w:tcW w:w="2160" w:type="dxa"/>
            <w:vAlign w:val="center"/>
          </w:tcPr>
          <w:p w14:paraId="411FA44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5EEC8D4" w14:textId="77777777" w:rsidR="00922249" w:rsidRPr="00CB2EC4" w:rsidRDefault="003011D5">
            <w:pPr>
              <w:rPr>
                <w:rFonts w:ascii="Times New Roman" w:hAnsi="Times New Roman" w:cs="Times New Roman"/>
              </w:rPr>
            </w:pPr>
            <w:r w:rsidRPr="00CB2EC4">
              <w:rPr>
                <w:rFonts w:ascii="Times New Roman" w:hAnsi="Times New Roman" w:cs="Times New Roman"/>
              </w:rPr>
              <w:t>no specific histological types are listed as Level I recommended indications for fertility-sparing surgery in cervical cancer within the provided document; the Level I indications are defined by FIGO stage (IA1–IB2), tumor size (≤2 cm), and absence of high-risk features such as lymphovascular space invasion, but do not specify or restrict particular pathological subtypes (e.g., squamous cell carcinoma, adenocarcinoma).</w:t>
            </w:r>
          </w:p>
        </w:tc>
        <w:tc>
          <w:tcPr>
            <w:tcW w:w="1152" w:type="dxa"/>
            <w:vAlign w:val="center"/>
          </w:tcPr>
          <w:p w14:paraId="649B69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92455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1FD03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B90E00F" w14:textId="77777777">
        <w:tc>
          <w:tcPr>
            <w:tcW w:w="2160" w:type="dxa"/>
            <w:vAlign w:val="center"/>
          </w:tcPr>
          <w:p w14:paraId="79CA926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B607215" w14:textId="77777777" w:rsidR="00922249" w:rsidRPr="00CB2EC4" w:rsidRDefault="003011D5">
            <w:pPr>
              <w:rPr>
                <w:rFonts w:ascii="Times New Roman" w:hAnsi="Times New Roman" w:cs="Times New Roman"/>
              </w:rPr>
            </w:pPr>
            <w:r w:rsidRPr="00CB2EC4">
              <w:rPr>
                <w:rFonts w:ascii="Times New Roman" w:hAnsi="Times New Roman" w:cs="Times New Roman"/>
              </w:rPr>
              <w:t>cervical cancer fertility-sparing surgery: I-level recommendation indications include the following pathological types:</w:t>
            </w:r>
            <w:r w:rsidRPr="00CB2EC4">
              <w:rPr>
                <w:rFonts w:ascii="Times New Roman" w:hAnsi="Times New Roman" w:cs="Times New Roman"/>
              </w:rPr>
              <w:br/>
              <w:t>- cervical squamous cell carcinoma</w:t>
            </w:r>
            <w:r w:rsidRPr="00CB2EC4">
              <w:rPr>
                <w:rFonts w:ascii="Times New Roman" w:hAnsi="Times New Roman" w:cs="Times New Roman"/>
              </w:rPr>
              <w:br/>
              <w:t>- cervical adenocarcinoma</w:t>
            </w:r>
            <w:r w:rsidRPr="00CB2EC4">
              <w:rPr>
                <w:rFonts w:ascii="Times New Roman" w:hAnsi="Times New Roman" w:cs="Times New Roman"/>
              </w:rPr>
              <w:br/>
              <w:t>- cervical adenosquamous carcinoma</w:t>
            </w:r>
            <w:r w:rsidRPr="00CB2EC4">
              <w:rPr>
                <w:rFonts w:ascii="Times New Roman" w:hAnsi="Times New Roman" w:cs="Times New Roman"/>
              </w:rPr>
              <w:br/>
            </w:r>
            <w:r w:rsidRPr="00CB2EC4">
              <w:rPr>
                <w:rFonts w:ascii="Times New Roman" w:hAnsi="Times New Roman" w:cs="Times New Roman"/>
              </w:rPr>
              <w:br/>
              <w:t>Neuroendocrine carcinoma and gastric-type adenocarcinoma are excluded.</w:t>
            </w:r>
            <w:r w:rsidRPr="00CB2EC4">
              <w:rPr>
                <w:rFonts w:ascii="Times New Roman" w:hAnsi="Times New Roman" w:cs="Times New Roman"/>
              </w:rPr>
              <w:br/>
            </w:r>
            <w:r w:rsidRPr="00CB2EC4">
              <w:rPr>
                <w:rFonts w:ascii="Times New Roman" w:hAnsi="Times New Roman" w:cs="Times New Roman"/>
              </w:rPr>
              <w:br/>
              <w:t>- Supporting evidence:</w:t>
            </w:r>
            <w:r w:rsidRPr="00CB2EC4">
              <w:rPr>
                <w:rFonts w:ascii="Times New Roman" w:hAnsi="Times New Roman" w:cs="Times New Roman"/>
              </w:rPr>
              <w:br/>
              <w:t xml:space="preserve">  - Document fragment 17 (block ID 38, block topic: Fertility Preservation Assessment and Treatment in Cervical Cancer) main text: "I-level recommendation pathological types: cervical squamous cell carcinoma, adenocarcinoma, and adenosquamous carcinoma, excluding neuroendocrine carcinoma and gastric-type adenocarcinoma."</w:t>
            </w:r>
            <w:r w:rsidRPr="00CB2EC4">
              <w:rPr>
                <w:rFonts w:ascii="Times New Roman" w:hAnsi="Times New Roman" w:cs="Times New Roman"/>
              </w:rPr>
              <w:br/>
            </w:r>
            <w:r w:rsidRPr="00CB2EC4">
              <w:rPr>
                <w:rFonts w:ascii="Times New Roman" w:hAnsi="Times New Roman" w:cs="Times New Roman"/>
              </w:rPr>
              <w:br/>
              <w:t xml:space="preserve">Other pathological types (such as clear cell carcinoma </w:t>
            </w:r>
            <w:r w:rsidRPr="00CB2EC4">
              <w:rPr>
                <w:rFonts w:ascii="Times New Roman" w:hAnsi="Times New Roman" w:cs="Times New Roman"/>
              </w:rPr>
              <w:lastRenderedPageBreak/>
              <w:t>or sarcoma) are only II-level recommendations or not recommended, requiring individualized assessment.</w:t>
            </w:r>
          </w:p>
        </w:tc>
        <w:tc>
          <w:tcPr>
            <w:tcW w:w="1152" w:type="dxa"/>
            <w:vAlign w:val="center"/>
          </w:tcPr>
          <w:p w14:paraId="6E056D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14CEB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E3FD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AF18DB" w14:textId="77777777">
        <w:tc>
          <w:tcPr>
            <w:tcW w:w="2160" w:type="dxa"/>
            <w:vAlign w:val="center"/>
          </w:tcPr>
          <w:p w14:paraId="2FF0886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9AE8382" w14:textId="77777777" w:rsidR="00922249" w:rsidRPr="00CB2EC4" w:rsidRDefault="003011D5">
            <w:pPr>
              <w:rPr>
                <w:rFonts w:ascii="Times New Roman" w:hAnsi="Times New Roman" w:cs="Times New Roman"/>
              </w:rPr>
            </w:pPr>
            <w:r w:rsidRPr="00CB2EC4">
              <w:rPr>
                <w:rFonts w:ascii="Times New Roman" w:hAnsi="Times New Roman" w:cs="Times New Roman"/>
              </w:rPr>
              <w:t>cervical cancer fertility-sparing surgery level I recommendation indications include the following pathological types: squamous cell carcinoma, adenocarcinoma, and adenosquamous carcinoma, excluding neuroendocrine carcinoma and gastric-type adenocarcinoma.</w:t>
            </w:r>
          </w:p>
        </w:tc>
        <w:tc>
          <w:tcPr>
            <w:tcW w:w="1152" w:type="dxa"/>
            <w:vAlign w:val="center"/>
          </w:tcPr>
          <w:p w14:paraId="76F7D7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1D1C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EA5A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54A085" w14:textId="77777777">
        <w:tc>
          <w:tcPr>
            <w:tcW w:w="2160" w:type="dxa"/>
            <w:vAlign w:val="center"/>
          </w:tcPr>
          <w:p w14:paraId="0D594C79"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5D784C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cervical cancer fertility-sparing surgery Level I recommended indications include the following pathological types:  </w:t>
            </w:r>
            <w:r w:rsidRPr="00CB2EC4">
              <w:rPr>
                <w:rFonts w:ascii="Times New Roman" w:hAnsi="Times New Roman" w:cs="Times New Roman"/>
              </w:rPr>
              <w:br/>
              <w:t xml:space="preserve">- Squamous cell carcinoma (any grade)  </w:t>
            </w:r>
            <w:r w:rsidRPr="00CB2EC4">
              <w:rPr>
                <w:rFonts w:ascii="Times New Roman" w:hAnsi="Times New Roman" w:cs="Times New Roman"/>
              </w:rPr>
              <w:br/>
              <w:t xml:space="preserve">- Conventional adenocarcinoma (with component grading 1 or 2)  </w:t>
            </w:r>
            <w:r w:rsidRPr="00CB2EC4">
              <w:rPr>
                <w:rFonts w:ascii="Times New Roman" w:hAnsi="Times New Roman" w:cs="Times New Roman"/>
              </w:rPr>
              <w:br/>
              <w:t xml:space="preserve">- Adenosquamous carcinoma  </w:t>
            </w:r>
            <w:r w:rsidRPr="00CB2EC4">
              <w:rPr>
                <w:rFonts w:ascii="Times New Roman" w:hAnsi="Times New Roman" w:cs="Times New Roman"/>
              </w:rPr>
              <w:br/>
            </w:r>
            <w:r w:rsidRPr="00CB2EC4">
              <w:rPr>
                <w:rFonts w:ascii="Times New Roman" w:hAnsi="Times New Roman" w:cs="Times New Roman"/>
              </w:rPr>
              <w:br/>
              <w:t xml:space="preserve">Excluded types: neuroendocrine carcinoma, small cell carcinoma, and other special types (Document 4, 7).  </w:t>
            </w:r>
            <w:r w:rsidRPr="00CB2EC4">
              <w:rPr>
                <w:rFonts w:ascii="Times New Roman" w:hAnsi="Times New Roman" w:cs="Times New Roman"/>
              </w:rPr>
              <w:br/>
            </w:r>
            <w:r w:rsidRPr="00CB2EC4">
              <w:rPr>
                <w:rFonts w:ascii="Times New Roman" w:hAnsi="Times New Roman" w:cs="Times New Roman"/>
              </w:rPr>
              <w:br/>
              <w:t xml:space="preserve">Note: "Pathological types being squamous cell carcinoma, adenocarcinoma, or adenosquamous carcinoma" are fundamental requirements for fertility-sparing approaches (Document 4).  </w:t>
            </w:r>
            <w:r w:rsidRPr="00CB2EC4">
              <w:rPr>
                <w:rFonts w:ascii="Times New Roman" w:hAnsi="Times New Roman" w:cs="Times New Roman"/>
              </w:rPr>
              <w:br/>
            </w:r>
            <w:r w:rsidRPr="00CB2EC4">
              <w:rPr>
                <w:rFonts w:ascii="Times New Roman" w:hAnsi="Times New Roman" w:cs="Times New Roman"/>
              </w:rPr>
              <w:br/>
              <w:t>&gt; Conclusion: Only well-differentiated epithelial carcinomas are eligible; special types are not recommended due to high aggressiveness.</w:t>
            </w:r>
          </w:p>
        </w:tc>
        <w:tc>
          <w:tcPr>
            <w:tcW w:w="1152" w:type="dxa"/>
            <w:vAlign w:val="center"/>
          </w:tcPr>
          <w:p w14:paraId="280D1F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8347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66FF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54E1F4" w14:textId="77777777">
        <w:tc>
          <w:tcPr>
            <w:tcW w:w="2160" w:type="dxa"/>
            <w:vAlign w:val="center"/>
          </w:tcPr>
          <w:p w14:paraId="2C9EEAA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79BF3E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Document Fragment 22 ("7.1 Indications for Fertility Preservation"), the Grade I recommended indications for fertility-sparing surgery in cervical cancer include the following pathological types:  </w:t>
            </w:r>
            <w:r w:rsidRPr="00CB2EC4">
              <w:rPr>
                <w:rFonts w:ascii="Times New Roman" w:hAnsi="Times New Roman" w:cs="Times New Roman"/>
              </w:rPr>
              <w:br/>
              <w:t xml:space="preserve">- Cervical squamous cell carcinoma  </w:t>
            </w:r>
            <w:r w:rsidRPr="00CB2EC4">
              <w:rPr>
                <w:rFonts w:ascii="Times New Roman" w:hAnsi="Times New Roman" w:cs="Times New Roman"/>
              </w:rPr>
              <w:br/>
            </w:r>
            <w:r w:rsidRPr="00CB2EC4">
              <w:rPr>
                <w:rFonts w:ascii="Times New Roman" w:hAnsi="Times New Roman" w:cs="Times New Roman"/>
              </w:rPr>
              <w:lastRenderedPageBreak/>
              <w:t xml:space="preserve">- Cervical adenocarcinoma  </w:t>
            </w:r>
            <w:r w:rsidRPr="00CB2EC4">
              <w:rPr>
                <w:rFonts w:ascii="Times New Roman" w:hAnsi="Times New Roman" w:cs="Times New Roman"/>
              </w:rPr>
              <w:br/>
              <w:t xml:space="preserve">- Cervical adenosquamous carcinoma  </w:t>
            </w:r>
            <w:r w:rsidRPr="00CB2EC4">
              <w:rPr>
                <w:rFonts w:ascii="Times New Roman" w:hAnsi="Times New Roman" w:cs="Times New Roman"/>
              </w:rPr>
              <w:br/>
            </w:r>
            <w:r w:rsidRPr="00CB2EC4">
              <w:rPr>
                <w:rFonts w:ascii="Times New Roman" w:hAnsi="Times New Roman" w:cs="Times New Roman"/>
              </w:rPr>
              <w:br/>
              <w:t xml:space="preserve">Neuroendocrine carcinoma, gastric-type adenocarcinoma, and other types are excluded.  </w:t>
            </w:r>
            <w:r w:rsidRPr="00CB2EC4">
              <w:rPr>
                <w:rFonts w:ascii="Times New Roman" w:hAnsi="Times New Roman" w:cs="Times New Roman"/>
              </w:rPr>
              <w:br/>
              <w:t>These pathological types are applicable to patients who require fertility preservation, provided other conditions are met, such as localized tumor and absence of lymph node metastasis.</w:t>
            </w:r>
          </w:p>
        </w:tc>
        <w:tc>
          <w:tcPr>
            <w:tcW w:w="1152" w:type="dxa"/>
            <w:vAlign w:val="center"/>
          </w:tcPr>
          <w:p w14:paraId="64EA02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0755B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33B2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CE2B0B" w14:textId="77777777">
        <w:tc>
          <w:tcPr>
            <w:tcW w:w="2160" w:type="dxa"/>
            <w:vAlign w:val="center"/>
          </w:tcPr>
          <w:p w14:paraId="7E6D04BF"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75C174D" w14:textId="77777777" w:rsidR="00922249" w:rsidRPr="00CB2EC4" w:rsidRDefault="003011D5">
            <w:pPr>
              <w:rPr>
                <w:rFonts w:ascii="Times New Roman" w:hAnsi="Times New Roman" w:cs="Times New Roman"/>
              </w:rPr>
            </w:pPr>
            <w:r w:rsidRPr="00CB2EC4">
              <w:rPr>
                <w:rFonts w:ascii="Times New Roman" w:hAnsi="Times New Roman" w:cs="Times New Roman"/>
              </w:rPr>
              <w:t>the I-level recommended pathological types for fertility-sparing surgery in cervical cancer include:</w:t>
            </w:r>
            <w:r w:rsidRPr="00CB2EC4">
              <w:rPr>
                <w:rFonts w:ascii="Times New Roman" w:hAnsi="Times New Roman" w:cs="Times New Roman"/>
              </w:rPr>
              <w:br/>
            </w:r>
            <w:r w:rsidRPr="00CB2EC4">
              <w:rPr>
                <w:rFonts w:ascii="Times New Roman" w:hAnsi="Times New Roman" w:cs="Times New Roman"/>
              </w:rPr>
              <w:br/>
              <w:t>- Squamous cell carcinoma</w:t>
            </w:r>
            <w:r w:rsidRPr="00CB2EC4">
              <w:rPr>
                <w:rFonts w:ascii="Times New Roman" w:hAnsi="Times New Roman" w:cs="Times New Roman"/>
              </w:rPr>
              <w:br/>
              <w:t>- Adenocarcinoma</w:t>
            </w:r>
            <w:r w:rsidRPr="00CB2EC4">
              <w:rPr>
                <w:rFonts w:ascii="Times New Roman" w:hAnsi="Times New Roman" w:cs="Times New Roman"/>
              </w:rPr>
              <w:br/>
              <w:t>- Adenosquamous carcinoma</w:t>
            </w:r>
            <w:r w:rsidRPr="00CB2EC4">
              <w:rPr>
                <w:rFonts w:ascii="Times New Roman" w:hAnsi="Times New Roman" w:cs="Times New Roman"/>
              </w:rPr>
              <w:br/>
            </w:r>
            <w:r w:rsidRPr="00CB2EC4">
              <w:rPr>
                <w:rFonts w:ascii="Times New Roman" w:hAnsi="Times New Roman" w:cs="Times New Roman"/>
              </w:rPr>
              <w:br/>
              <w:t>(excluding neuroendocrine carcinoma, gastric-type adenocarcinoma, and other special histological subtypes)</w:t>
            </w:r>
            <w:r w:rsidRPr="00CB2EC4">
              <w:rPr>
                <w:rFonts w:ascii="Times New Roman" w:hAnsi="Times New Roman" w:cs="Times New Roman"/>
              </w:rPr>
              <w:br/>
            </w:r>
            <w:r w:rsidRPr="00CB2EC4">
              <w:rPr>
                <w:rFonts w:ascii="Times New Roman" w:hAnsi="Times New Roman" w:cs="Times New Roman"/>
              </w:rPr>
              <w:br/>
              <w:t>This recommendation is based on tumor biological behavior, with squamous cell carcinoma, adenocarcinoma, and adenosquamous carcinoma being more suitable for conservative surgical approaches. Excluded types such as neuroendocrine carcinoma are not appropriate candidates for fertility-sparing surgery.</w:t>
            </w:r>
          </w:p>
        </w:tc>
        <w:tc>
          <w:tcPr>
            <w:tcW w:w="1152" w:type="dxa"/>
            <w:vAlign w:val="center"/>
          </w:tcPr>
          <w:p w14:paraId="62F6A3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E132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67B6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77B1C5" w14:textId="77777777">
        <w:tc>
          <w:tcPr>
            <w:tcW w:w="2160" w:type="dxa"/>
            <w:vAlign w:val="center"/>
          </w:tcPr>
          <w:p w14:paraId="6D562EB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E4B2E0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Level I recommended indications for fertility-sparing surgery in cervical cancer include the following pathological types:  </w:t>
            </w:r>
            <w:r w:rsidRPr="00CB2EC4">
              <w:rPr>
                <w:rFonts w:ascii="Times New Roman" w:hAnsi="Times New Roman" w:cs="Times New Roman"/>
              </w:rPr>
              <w:br/>
              <w:t xml:space="preserve">- Cervical squamous cell carcinoma  </w:t>
            </w:r>
            <w:r w:rsidRPr="00CB2EC4">
              <w:rPr>
                <w:rFonts w:ascii="Times New Roman" w:hAnsi="Times New Roman" w:cs="Times New Roman"/>
              </w:rPr>
              <w:br/>
              <w:t xml:space="preserve">- Cervical adenocarcinoma  </w:t>
            </w:r>
            <w:r w:rsidRPr="00CB2EC4">
              <w:rPr>
                <w:rFonts w:ascii="Times New Roman" w:hAnsi="Times New Roman" w:cs="Times New Roman"/>
              </w:rPr>
              <w:br/>
              <w:t xml:space="preserve">- Cervical adenosquamous carcinoma  </w:t>
            </w:r>
            <w:r w:rsidRPr="00CB2EC4">
              <w:rPr>
                <w:rFonts w:ascii="Times New Roman" w:hAnsi="Times New Roman" w:cs="Times New Roman"/>
              </w:rPr>
              <w:br/>
            </w:r>
            <w:r w:rsidRPr="00CB2EC4">
              <w:rPr>
                <w:rFonts w:ascii="Times New Roman" w:hAnsi="Times New Roman" w:cs="Times New Roman"/>
              </w:rPr>
              <w:lastRenderedPageBreak/>
              <w:br/>
              <w:t>Exclusion types: Neuroendocrine carcinoma, gastric-type adenocarcinoma.</w:t>
            </w:r>
          </w:p>
        </w:tc>
        <w:tc>
          <w:tcPr>
            <w:tcW w:w="1152" w:type="dxa"/>
            <w:vAlign w:val="center"/>
          </w:tcPr>
          <w:p w14:paraId="453071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E8D30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8AC3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5E7AA6" w14:textId="77777777">
        <w:tc>
          <w:tcPr>
            <w:tcW w:w="2160" w:type="dxa"/>
            <w:vAlign w:val="center"/>
          </w:tcPr>
          <w:p w14:paraId="59EB9A7F"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E92E25D" w14:textId="77777777" w:rsidR="00922249" w:rsidRPr="00CB2EC4" w:rsidRDefault="003011D5">
            <w:pPr>
              <w:rPr>
                <w:rFonts w:ascii="Times New Roman" w:hAnsi="Times New Roman" w:cs="Times New Roman"/>
              </w:rPr>
            </w:pPr>
            <w:r w:rsidRPr="00CB2EC4">
              <w:rPr>
                <w:rFonts w:ascii="Times New Roman" w:hAnsi="Times New Roman" w:cs="Times New Roman"/>
              </w:rPr>
              <w:t>the pathological types included in the Level I recommendation for fertility-sparing surgery for cervical cancer are: squamous cell carcinoma, adenocarcinoma, and adenosquamous carcinoma. Neuroendocrine carcinoma and gastric-type adenocarcinoma are excluded.</w:t>
            </w:r>
            <w:r w:rsidRPr="00CB2EC4">
              <w:rPr>
                <w:rFonts w:ascii="Times New Roman" w:hAnsi="Times New Roman" w:cs="Times New Roman"/>
              </w:rPr>
              <w:br/>
            </w:r>
            <w:r w:rsidRPr="00CB2EC4">
              <w:rPr>
                <w:rFonts w:ascii="Times New Roman" w:hAnsi="Times New Roman" w:cs="Times New Roman"/>
              </w:rPr>
              <w:br/>
              <w:t>- Under section "7.1 Indications", Level I recommendation specifies: "Pathological type: cervical squamous cell carcinoma, adenocarcinoma, and adenosquamous carcinoma, excluding neuroendocrine carcinoma and gastric-type adenocarcinoma."</w:t>
            </w:r>
            <w:r w:rsidRPr="00CB2EC4">
              <w:rPr>
                <w:rFonts w:ascii="Times New Roman" w:hAnsi="Times New Roman" w:cs="Times New Roman"/>
              </w:rPr>
              <w:br/>
              <w:t>- This means Level I indications are limited to these three pathological types: squamous cell carcinoma, adenocarcinoma, and adenosquamous carcinoma. Other types such as neuroendocrine carcinoma or gastric-type adenocarcinoma are excluded as they may not be suitable for fertility-sparing surgery.</w:t>
            </w:r>
            <w:r w:rsidRPr="00CB2EC4">
              <w:rPr>
                <w:rFonts w:ascii="Times New Roman" w:hAnsi="Times New Roman" w:cs="Times New Roman"/>
              </w:rPr>
              <w:br/>
              <w:t>Conclusion: Level I recommended indications include cervical squamous cell carcinoma, adenocarcinoma, and adenosquamous carcinoma.</w:t>
            </w:r>
            <w:r w:rsidRPr="00CB2EC4">
              <w:rPr>
                <w:rFonts w:ascii="Times New Roman" w:hAnsi="Times New Roman" w:cs="Times New Roman"/>
              </w:rPr>
              <w:br/>
              <w:t>Source: Section 7.1 Indications from Document Fragment 16.</w:t>
            </w:r>
          </w:p>
        </w:tc>
        <w:tc>
          <w:tcPr>
            <w:tcW w:w="1152" w:type="dxa"/>
            <w:vAlign w:val="center"/>
          </w:tcPr>
          <w:p w14:paraId="2402D6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F1F9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F0D6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519BC1" w14:textId="77777777">
        <w:tc>
          <w:tcPr>
            <w:tcW w:w="2160" w:type="dxa"/>
            <w:vAlign w:val="center"/>
          </w:tcPr>
          <w:p w14:paraId="7993F97C"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CD6F951" w14:textId="77777777" w:rsidR="00922249" w:rsidRPr="00CB2EC4" w:rsidRDefault="003011D5">
            <w:pPr>
              <w:rPr>
                <w:rFonts w:ascii="Times New Roman" w:hAnsi="Times New Roman" w:cs="Times New Roman"/>
              </w:rPr>
            </w:pPr>
            <w:r w:rsidRPr="00CB2EC4">
              <w:rPr>
                <w:rFonts w:ascii="Times New Roman" w:hAnsi="Times New Roman" w:cs="Times New Roman"/>
              </w:rPr>
              <w:t>The Grade I recommended indications include the following pathological types: cervical squamous cell carcinoma, adenocarcinoma, and adenosquamous carcinoma.</w:t>
            </w:r>
            <w:r w:rsidRPr="00CB2EC4">
              <w:rPr>
                <w:rFonts w:ascii="Times New Roman" w:hAnsi="Times New Roman" w:cs="Times New Roman"/>
              </w:rPr>
              <w:br/>
            </w:r>
            <w:r w:rsidRPr="00CB2EC4">
              <w:rPr>
                <w:rFonts w:ascii="Times New Roman" w:hAnsi="Times New Roman" w:cs="Times New Roman"/>
              </w:rPr>
              <w:br/>
              <w:t xml:space="preserve">(Based on the "7.1 Indications" section of the </w:t>
            </w:r>
            <w:r w:rsidRPr="00CB2EC4">
              <w:rPr>
                <w:rFonts w:ascii="Times New Roman" w:hAnsi="Times New Roman" w:cs="Times New Roman"/>
              </w:rPr>
              <w:lastRenderedPageBreak/>
              <w:t>document: "Pathological types: cervical squamous cell carcinoma, adenocarcinoma, and adenosquamous carcinoma, excluding neuroendocrine carcinoma and gastric-type adenocarcinoma.")</w:t>
            </w:r>
          </w:p>
        </w:tc>
        <w:tc>
          <w:tcPr>
            <w:tcW w:w="1152" w:type="dxa"/>
            <w:vAlign w:val="center"/>
          </w:tcPr>
          <w:p w14:paraId="1E2768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8D63D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0A0A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57D9E64" w14:textId="77777777">
        <w:tc>
          <w:tcPr>
            <w:tcW w:w="2160" w:type="dxa"/>
            <w:vAlign w:val="center"/>
          </w:tcPr>
          <w:p w14:paraId="6FD138E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881683C" w14:textId="77777777" w:rsidR="00922249" w:rsidRPr="00CB2EC4" w:rsidRDefault="003011D5">
            <w:pPr>
              <w:rPr>
                <w:rFonts w:ascii="Times New Roman" w:hAnsi="Times New Roman" w:cs="Times New Roman"/>
              </w:rPr>
            </w:pPr>
            <w:r w:rsidRPr="00CB2EC4">
              <w:rPr>
                <w:rFonts w:ascii="Times New Roman" w:hAnsi="Times New Roman" w:cs="Times New Roman"/>
              </w:rPr>
              <w:t>the pathological types included in the Level I recommendation for fertility-sparing surgery for cervical cancer are: squamous cell carcinoma, adenocarcinoma, and adenosquamous carcinoma.</w:t>
            </w:r>
            <w:r w:rsidRPr="00CB2EC4">
              <w:rPr>
                <w:rFonts w:ascii="Times New Roman" w:hAnsi="Times New Roman" w:cs="Times New Roman"/>
              </w:rPr>
              <w:br/>
            </w:r>
            <w:r w:rsidRPr="00CB2EC4">
              <w:rPr>
                <w:rFonts w:ascii="Times New Roman" w:hAnsi="Times New Roman" w:cs="Times New Roman"/>
              </w:rPr>
              <w:br/>
              <w:t>Neuroendocrine carcinoma and gastric-type adenocarcinoma are explicitly excluded. Level II recommendations include clear cell carcinoma, adenosarcoma, and embryonal rhabdomyosarcoma, but these are not part of the Level I recommendation.</w:t>
            </w:r>
          </w:p>
        </w:tc>
        <w:tc>
          <w:tcPr>
            <w:tcW w:w="1152" w:type="dxa"/>
            <w:vAlign w:val="center"/>
          </w:tcPr>
          <w:p w14:paraId="2788B0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D965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153A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C1C7DB" w14:textId="77777777">
        <w:tc>
          <w:tcPr>
            <w:tcW w:w="2160" w:type="dxa"/>
            <w:vAlign w:val="center"/>
          </w:tcPr>
          <w:p w14:paraId="1F324CF4"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7BEF25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cervical cancer fertility-sparing surgery (such as radical trachelectomy) has the following pathological types as Level I recommendation (strong recommendation) indications:  </w:t>
            </w:r>
            <w:r w:rsidRPr="00CB2EC4">
              <w:rPr>
                <w:rFonts w:ascii="Times New Roman" w:hAnsi="Times New Roman" w:cs="Times New Roman"/>
              </w:rPr>
              <w:br/>
              <w:t xml:space="preserve">- Squamous cell carcinoma  </w:t>
            </w:r>
            <w:r w:rsidRPr="00CB2EC4">
              <w:rPr>
                <w:rFonts w:ascii="Times New Roman" w:hAnsi="Times New Roman" w:cs="Times New Roman"/>
              </w:rPr>
              <w:br/>
              <w:t xml:space="preserve">- Adenocarcinoma (including conventional-type adenocarcinoma)  </w:t>
            </w:r>
            <w:r w:rsidRPr="00CB2EC4">
              <w:rPr>
                <w:rFonts w:ascii="Times New Roman" w:hAnsi="Times New Roman" w:cs="Times New Roman"/>
              </w:rPr>
              <w:br/>
            </w:r>
            <w:r w:rsidRPr="00CB2EC4">
              <w:rPr>
                <w:rFonts w:ascii="Times New Roman" w:hAnsi="Times New Roman" w:cs="Times New Roman"/>
              </w:rPr>
              <w:br/>
              <w:t xml:space="preserve">Other pathological types (such as small cell carcinoma, clear cell carcinoma, or adenosquamous carcinoma) are generally not recommended due to insufficient evidence or poor prognosis.  </w:t>
            </w:r>
            <w:r w:rsidRPr="00CB2EC4">
              <w:rPr>
                <w:rFonts w:ascii="Times New Roman" w:hAnsi="Times New Roman" w:cs="Times New Roman"/>
              </w:rPr>
              <w:br/>
            </w:r>
            <w:r w:rsidRPr="00CB2EC4">
              <w:rPr>
                <w:rFonts w:ascii="Times New Roman" w:hAnsi="Times New Roman" w:cs="Times New Roman"/>
              </w:rPr>
              <w:br/>
              <w:t xml:space="preserve">Specific conditions for Level I recommendation include:  </w:t>
            </w:r>
            <w:r w:rsidRPr="00CB2EC4">
              <w:rPr>
                <w:rFonts w:ascii="Times New Roman" w:hAnsi="Times New Roman" w:cs="Times New Roman"/>
              </w:rPr>
              <w:br/>
              <w:t xml:space="preserve">- IA1 stage without lymphovascular space invasion (LVSI)  </w:t>
            </w:r>
            <w:r w:rsidRPr="00CB2EC4">
              <w:rPr>
                <w:rFonts w:ascii="Times New Roman" w:hAnsi="Times New Roman" w:cs="Times New Roman"/>
              </w:rPr>
              <w:br/>
              <w:t xml:space="preserve">- IA2 or IB1 stage (tumor diameter ≤ 2 cm)  </w:t>
            </w:r>
            <w:r w:rsidRPr="00CB2EC4">
              <w:rPr>
                <w:rFonts w:ascii="Times New Roman" w:hAnsi="Times New Roman" w:cs="Times New Roman"/>
              </w:rPr>
              <w:br/>
              <w:t xml:space="preserve">- Patient has a strong desire for fertility preservation.  </w:t>
            </w:r>
            <w:r w:rsidRPr="00CB2EC4">
              <w:rPr>
                <w:rFonts w:ascii="Times New Roman" w:hAnsi="Times New Roman" w:cs="Times New Roman"/>
              </w:rPr>
              <w:br/>
            </w:r>
            <w:r w:rsidRPr="00CB2EC4">
              <w:rPr>
                <w:rFonts w:ascii="Times New Roman" w:hAnsi="Times New Roman" w:cs="Times New Roman"/>
              </w:rPr>
              <w:lastRenderedPageBreak/>
              <w:br/>
              <w:t>Based on source document fragment (similarity: 0.477).</w:t>
            </w:r>
          </w:p>
        </w:tc>
        <w:tc>
          <w:tcPr>
            <w:tcW w:w="1152" w:type="dxa"/>
            <w:vAlign w:val="center"/>
          </w:tcPr>
          <w:p w14:paraId="236331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F612D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E292D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2372DA2" w14:textId="77777777">
        <w:tc>
          <w:tcPr>
            <w:tcW w:w="2160" w:type="dxa"/>
            <w:vAlign w:val="center"/>
          </w:tcPr>
          <w:p w14:paraId="411CFB0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FD7B0B6" w14:textId="77777777" w:rsidR="00922249" w:rsidRPr="00CB2EC4" w:rsidRDefault="003011D5">
            <w:pPr>
              <w:rPr>
                <w:rFonts w:ascii="Times New Roman" w:hAnsi="Times New Roman" w:cs="Times New Roman"/>
              </w:rPr>
            </w:pPr>
            <w:r w:rsidRPr="00CB2EC4">
              <w:rPr>
                <w:rFonts w:ascii="Times New Roman" w:hAnsi="Times New Roman" w:cs="Times New Roman"/>
              </w:rPr>
              <w:t>cervical cancer fertility-sparing surgery Level I recommendation indications include the following pathological types: cervical squamous cell carcinoma, adenocarcinoma, and adenosquamous carcinoma, excluding neuroendocrine carcinoma and gastric-type adenocarcinoma.</w:t>
            </w:r>
            <w:r w:rsidRPr="00CB2EC4">
              <w:rPr>
                <w:rFonts w:ascii="Times New Roman" w:hAnsi="Times New Roman" w:cs="Times New Roman"/>
              </w:rPr>
              <w:br/>
            </w:r>
            <w:r w:rsidRPr="00CB2EC4">
              <w:rPr>
                <w:rFonts w:ascii="Times New Roman" w:hAnsi="Times New Roman" w:cs="Times New Roman"/>
              </w:rPr>
              <w:br/>
              <w:t>Key basis: Document fragment 16 states "Level I recommendation: pathological types: cervical squamous cell carcinoma, adenocarcinoma, and adenosquamous carcinoma, excluding neuroendocrine carcinoma, gastric-type adenocarcinoma." This indicates these pathological types are the preferred indications due to their relatively common occurrence and favorable prognosis, making them suitable for fertility-sparing surgery (such as radical trachelectomy).</w:t>
            </w:r>
          </w:p>
        </w:tc>
        <w:tc>
          <w:tcPr>
            <w:tcW w:w="1152" w:type="dxa"/>
            <w:vAlign w:val="center"/>
          </w:tcPr>
          <w:p w14:paraId="60A2F6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CB28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D0AA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22D3D7" w14:textId="77777777">
        <w:tc>
          <w:tcPr>
            <w:tcW w:w="2160" w:type="dxa"/>
            <w:vAlign w:val="center"/>
          </w:tcPr>
          <w:p w14:paraId="29DE81C9"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825BF0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cervical cancer fertility-sparing surgery: Level I recommended indications include the following pathological types:  </w:t>
            </w:r>
            <w:r w:rsidRPr="00CB2EC4">
              <w:rPr>
                <w:rFonts w:ascii="Times New Roman" w:hAnsi="Times New Roman" w:cs="Times New Roman"/>
              </w:rPr>
              <w:br/>
              <w:t xml:space="preserve">- Squamous cell carcinoma, adenocarcinoma, and adenosquamous carcinoma of the cervix; neuroendocrine carcinoma and gastric-type adenocarcinoma are excluded.  </w:t>
            </w:r>
            <w:r w:rsidRPr="00CB2EC4">
              <w:rPr>
                <w:rFonts w:ascii="Times New Roman" w:hAnsi="Times New Roman" w:cs="Times New Roman"/>
              </w:rPr>
              <w:br/>
            </w:r>
            <w:r w:rsidRPr="00CB2EC4">
              <w:rPr>
                <w:rFonts w:ascii="Times New Roman" w:hAnsi="Times New Roman" w:cs="Times New Roman"/>
              </w:rPr>
              <w:br/>
              <w:t>Therefore, the Level I recommended pathological types are: squamous cell carcinoma, adenocarcinoma, and adenosquamous carcinoma. These are considered standard indications, while neuroendocrine carcinoma and gastric-type adenocarcinoma are excluded.</w:t>
            </w:r>
          </w:p>
        </w:tc>
        <w:tc>
          <w:tcPr>
            <w:tcW w:w="1152" w:type="dxa"/>
            <w:vAlign w:val="center"/>
          </w:tcPr>
          <w:p w14:paraId="3B1D72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ACB9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466BB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3AF96D0" w14:textId="77777777">
        <w:tc>
          <w:tcPr>
            <w:tcW w:w="2160" w:type="dxa"/>
            <w:vAlign w:val="center"/>
          </w:tcPr>
          <w:p w14:paraId="3725AB1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3B212583" w14:textId="77777777" w:rsidR="00922249" w:rsidRPr="00CB2EC4" w:rsidRDefault="003011D5">
            <w:pPr>
              <w:rPr>
                <w:rFonts w:ascii="Times New Roman" w:hAnsi="Times New Roman" w:cs="Times New Roman"/>
              </w:rPr>
            </w:pPr>
            <w:r w:rsidRPr="00CB2EC4">
              <w:rPr>
                <w:rFonts w:ascii="Times New Roman" w:hAnsi="Times New Roman" w:cs="Times New Roman"/>
              </w:rPr>
              <w:t>cervical cancer fertility-sparing surgery (such as radical trachelectomy or conization) has the following pathological types as Level I recommended indications:</w:t>
            </w:r>
            <w:r w:rsidRPr="00CB2EC4">
              <w:rPr>
                <w:rFonts w:ascii="Times New Roman" w:hAnsi="Times New Roman" w:cs="Times New Roman"/>
              </w:rPr>
              <w:br/>
              <w:t xml:space="preserve">  - Squamous cell carcinoma (most common type)</w:t>
            </w:r>
            <w:r w:rsidRPr="00CB2EC4">
              <w:rPr>
                <w:rFonts w:ascii="Times New Roman" w:hAnsi="Times New Roman" w:cs="Times New Roman"/>
              </w:rPr>
              <w:br/>
              <w:t xml:space="preserve">  - Adenocarcinoma (including usual-type adenocarcinoma)</w:t>
            </w:r>
            <w:r w:rsidRPr="00CB2EC4">
              <w:rPr>
                <w:rFonts w:ascii="Times New Roman" w:hAnsi="Times New Roman" w:cs="Times New Roman"/>
              </w:rPr>
              <w:br/>
              <w:t xml:space="preserve">  - Exclude other types: Small cell carcinoma, high-risk neuroendocrine carcinoma are not Level I recommended due to high recurrence risk</w:t>
            </w:r>
            <w:r w:rsidRPr="00CB2EC4">
              <w:rPr>
                <w:rFonts w:ascii="Times New Roman" w:hAnsi="Times New Roman" w:cs="Times New Roman"/>
              </w:rPr>
              <w:br/>
              <w:t xml:space="preserve">  - Additional note: Level I recommendation also requires tumor stage to be IA1 (without lymphovascular space invasion), IA2, or IB1 (tumor diameter &lt;2cm), and no evidence of lymph node metastasis.</w:t>
            </w:r>
          </w:p>
        </w:tc>
        <w:tc>
          <w:tcPr>
            <w:tcW w:w="1152" w:type="dxa"/>
            <w:vAlign w:val="center"/>
          </w:tcPr>
          <w:p w14:paraId="01A8E7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B6F2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8E07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8DC59D4" w14:textId="77777777">
        <w:tc>
          <w:tcPr>
            <w:tcW w:w="10656" w:type="dxa"/>
            <w:gridSpan w:val="5"/>
            <w:tcBorders>
              <w:bottom w:val="single" w:sz="6" w:space="0" w:color="auto"/>
            </w:tcBorders>
            <w:vAlign w:val="center"/>
          </w:tcPr>
          <w:p w14:paraId="3239A78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95: When treating locally advanced cervical cancer with external beam radiotherapy (EBRT), what technique is recommended for dose escalation to unresectable lymph nodes, and what is the recommended boost dose?</w:t>
            </w:r>
          </w:p>
        </w:tc>
      </w:tr>
      <w:tr w:rsidR="00922249" w:rsidRPr="00CB2EC4" w14:paraId="394D12F2" w14:textId="77777777">
        <w:tc>
          <w:tcPr>
            <w:tcW w:w="2160" w:type="dxa"/>
            <w:vAlign w:val="center"/>
          </w:tcPr>
          <w:p w14:paraId="686F02EA"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5CFB03D" w14:textId="77777777" w:rsidR="00922249" w:rsidRPr="00CB2EC4" w:rsidRDefault="003011D5">
            <w:pPr>
              <w:rPr>
                <w:rFonts w:ascii="Times New Roman" w:hAnsi="Times New Roman" w:cs="Times New Roman"/>
              </w:rPr>
            </w:pPr>
            <w:r w:rsidRPr="00CB2EC4">
              <w:rPr>
                <w:rFonts w:ascii="Times New Roman" w:hAnsi="Times New Roman" w:cs="Times New Roman"/>
              </w:rPr>
              <w:t>when performing external beam radiotherapy (EBRT) for locally advanced cervical cancer, if unresectable lymph nodes are encountered, intensity-modulated radiotherapy (IMRT) is the recommended technique for boost irradiation. the recommended boost dose is 59.4–66 Gy delivered in 1.8–2.0 Gy per fraction, depending on the initial EBRT dose and proximity to organs at risk.</w:t>
            </w:r>
          </w:p>
        </w:tc>
        <w:tc>
          <w:tcPr>
            <w:tcW w:w="1152" w:type="dxa"/>
            <w:vAlign w:val="center"/>
          </w:tcPr>
          <w:p w14:paraId="0BA8D6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7470F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C2F9A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E9CBBC7" w14:textId="77777777">
        <w:tc>
          <w:tcPr>
            <w:tcW w:w="2160" w:type="dxa"/>
            <w:vAlign w:val="center"/>
          </w:tcPr>
          <w:p w14:paraId="5CDCA7A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81988E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unresectable lymph nodes during external beam radiotherapy (EBRT) for locally advanced cervical cancer, SIB-IMRT (Simultaneous Integrated Boost Intensity-Modulated Radiation Therapy) is recommended for boost irradiation, with a recommended boost dose of 10–15 Gy.  </w:t>
            </w:r>
            <w:r w:rsidRPr="00CB2EC4">
              <w:rPr>
                <w:rFonts w:ascii="Times New Roman" w:hAnsi="Times New Roman" w:cs="Times New Roman"/>
              </w:rPr>
              <w:br/>
              <w:t xml:space="preserve">- Relevant evidence:  </w:t>
            </w:r>
            <w:r w:rsidRPr="00CB2EC4">
              <w:rPr>
                <w:rFonts w:ascii="Times New Roman" w:hAnsi="Times New Roman" w:cs="Times New Roman"/>
              </w:rPr>
              <w:br/>
              <w:t xml:space="preserve">  - Document fragment 13 (block ID 41, block topic: </w:t>
            </w:r>
            <w:r w:rsidRPr="00CB2EC4">
              <w:rPr>
                <w:rFonts w:ascii="Times New Roman" w:hAnsi="Times New Roman" w:cs="Times New Roman"/>
              </w:rPr>
              <w:lastRenderedPageBreak/>
              <w:t xml:space="preserve">Technical Specifications for Cervical Cancer Radiotherapy) main text: "d For unresectable lymph nodes, SIB-IMRT is recommended to deliver a simultaneous integrated boost or sequential boost of 10–15 Gy."  </w:t>
            </w:r>
            <w:r w:rsidRPr="00CB2EC4">
              <w:rPr>
                <w:rFonts w:ascii="Times New Roman" w:hAnsi="Times New Roman" w:cs="Times New Roman"/>
              </w:rPr>
              <w:br/>
              <w:t>SIB-IMRT enables dose escalation to be delivered concurrently with standard EBRT, allowing precise targeting of lymph nodes while minimizing damage to normal tissues.</w:t>
            </w:r>
          </w:p>
        </w:tc>
        <w:tc>
          <w:tcPr>
            <w:tcW w:w="1152" w:type="dxa"/>
            <w:vAlign w:val="center"/>
          </w:tcPr>
          <w:p w14:paraId="26A656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651FA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1F712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1F71422" w14:textId="77777777">
        <w:tc>
          <w:tcPr>
            <w:tcW w:w="2160" w:type="dxa"/>
            <w:vAlign w:val="center"/>
          </w:tcPr>
          <w:p w14:paraId="7DDC79E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E3ED251" w14:textId="77777777" w:rsidR="00922249" w:rsidRPr="00CB2EC4" w:rsidRDefault="003011D5">
            <w:pPr>
              <w:rPr>
                <w:rFonts w:ascii="Times New Roman" w:hAnsi="Times New Roman" w:cs="Times New Roman"/>
              </w:rPr>
            </w:pPr>
            <w:r w:rsidRPr="00CB2EC4">
              <w:rPr>
                <w:rFonts w:ascii="Times New Roman" w:hAnsi="Times New Roman" w:cs="Times New Roman"/>
              </w:rPr>
              <w:t>for unresectable lymph nodes during external beam radiotherapy (EBRT) for locally advanced cervical cancer, stereotactic body radiotherapy (SBRT) is recommended for boost irradiation. the recommended boost dose is 10–15 Gy (fragment 5) or, more broadly, 10–20 Gy (fragment 15), depending on clinical factors such as lymph node size and location. SBRT is a highly conformal EBRT technique (fragment 23) that enables precise targeting of lymph nodes while minimizing normal tissue damage.</w:t>
            </w:r>
          </w:p>
        </w:tc>
        <w:tc>
          <w:tcPr>
            <w:tcW w:w="1152" w:type="dxa"/>
            <w:vAlign w:val="center"/>
          </w:tcPr>
          <w:p w14:paraId="1B1737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4A8E9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F0B5C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6DC9AAC" w14:textId="77777777">
        <w:tc>
          <w:tcPr>
            <w:tcW w:w="2160" w:type="dxa"/>
            <w:vAlign w:val="center"/>
          </w:tcPr>
          <w:p w14:paraId="6ECC2182"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82E6B2B" w14:textId="77777777" w:rsidR="00922249" w:rsidRPr="00CB2EC4" w:rsidRDefault="003011D5">
            <w:pPr>
              <w:rPr>
                <w:rFonts w:ascii="Times New Roman" w:hAnsi="Times New Roman" w:cs="Times New Roman"/>
              </w:rPr>
            </w:pPr>
            <w:r w:rsidRPr="00CB2EC4">
              <w:rPr>
                <w:rFonts w:ascii="Times New Roman" w:hAnsi="Times New Roman" w:cs="Times New Roman"/>
              </w:rPr>
              <w:t>For boost radiotherapy techniques and dose recommendations for unresectable lymph nodes:</w:t>
            </w:r>
            <w:r w:rsidRPr="00CB2EC4">
              <w:rPr>
                <w:rFonts w:ascii="Times New Roman" w:hAnsi="Times New Roman" w:cs="Times New Roman"/>
              </w:rPr>
              <w:br/>
            </w:r>
            <w:r w:rsidRPr="00CB2EC4">
              <w:rPr>
                <w:rFonts w:ascii="Times New Roman" w:hAnsi="Times New Roman" w:cs="Times New Roman"/>
              </w:rPr>
              <w:br/>
              <w:t>- Technique: SIB-IMRT (Simultaneous Integrated Boost Intensity-Modulated Radiation Therapy).</w:t>
            </w:r>
            <w:r w:rsidRPr="00CB2EC4">
              <w:rPr>
                <w:rFonts w:ascii="Times New Roman" w:hAnsi="Times New Roman" w:cs="Times New Roman"/>
              </w:rPr>
              <w:br/>
              <w:t>- Dose:</w:t>
            </w:r>
            <w:r w:rsidRPr="00CB2EC4">
              <w:rPr>
                <w:rFonts w:ascii="Times New Roman" w:hAnsi="Times New Roman" w:cs="Times New Roman"/>
              </w:rPr>
              <w:br/>
              <w:t xml:space="preserve">  - Positive lymph nodes: Boost to 56–63 Gy (conventional fractionation 1.8–2.0 Gy/fraction).</w:t>
            </w:r>
            <w:r w:rsidRPr="00CB2EC4">
              <w:rPr>
                <w:rFonts w:ascii="Times New Roman" w:hAnsi="Times New Roman" w:cs="Times New Roman"/>
              </w:rPr>
              <w:br/>
              <w:t xml:space="preserve">  - High-risk areas: Combine with imaging localization to ensure coverage of lymph node metastases.</w:t>
            </w:r>
            <w:r w:rsidRPr="00CB2EC4">
              <w:rPr>
                <w:rFonts w:ascii="Times New Roman" w:hAnsi="Times New Roman" w:cs="Times New Roman"/>
              </w:rPr>
              <w:br/>
            </w:r>
            <w:r w:rsidRPr="00CB2EC4">
              <w:rPr>
                <w:rFonts w:ascii="Times New Roman" w:hAnsi="Times New Roman" w:cs="Times New Roman"/>
              </w:rPr>
              <w:br/>
              <w:t>(Based on the knowledge base document "Radiotherapy for Locally Advanced Cervical Cancer" section)</w:t>
            </w:r>
          </w:p>
        </w:tc>
        <w:tc>
          <w:tcPr>
            <w:tcW w:w="1152" w:type="dxa"/>
            <w:vAlign w:val="center"/>
          </w:tcPr>
          <w:p w14:paraId="17D21C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2A2DA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C9EE5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64B95C4" w14:textId="77777777">
        <w:tc>
          <w:tcPr>
            <w:tcW w:w="2160" w:type="dxa"/>
            <w:vAlign w:val="center"/>
          </w:tcPr>
          <w:p w14:paraId="7826871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79191F38" w14:textId="77777777" w:rsidR="00922249" w:rsidRPr="00CB2EC4" w:rsidRDefault="003011D5">
            <w:pPr>
              <w:rPr>
                <w:rFonts w:ascii="Times New Roman" w:hAnsi="Times New Roman" w:cs="Times New Roman"/>
              </w:rPr>
            </w:pPr>
            <w:r w:rsidRPr="00CB2EC4">
              <w:rPr>
                <w:rFonts w:ascii="Times New Roman" w:hAnsi="Times New Roman" w:cs="Times New Roman"/>
              </w:rPr>
              <w:t>For radiotherapy targeting advanced-stage cervical cancer, when performing external beam radiation therapy (EBRT), if encountering unresectable lymph nodes, the simultaneous integrated boost (SIB) technique is recommended, with a recommended boost dose of 10–15 Gy.</w:t>
            </w:r>
          </w:p>
        </w:tc>
        <w:tc>
          <w:tcPr>
            <w:tcW w:w="1152" w:type="dxa"/>
            <w:vAlign w:val="center"/>
          </w:tcPr>
          <w:p w14:paraId="53CFAB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0F0F0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655D7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F07926D" w14:textId="77777777">
        <w:tc>
          <w:tcPr>
            <w:tcW w:w="2160" w:type="dxa"/>
            <w:vAlign w:val="center"/>
          </w:tcPr>
          <w:p w14:paraId="4CBD7B6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C33501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locally advanced cervical cancer during external beam radiotherapy (EBRT), if unresectable lymph nodes are encountered, the recommended technique for boost radiotherapy is **simultaneous integrated boost (SIB) technology** (a form of image-guided radiotherapy), delivering a targeted boost dose to the unresectable lymph nodes concurrently with EBRT.  </w:t>
            </w:r>
            <w:r w:rsidRPr="00CB2EC4">
              <w:rPr>
                <w:rFonts w:ascii="Times New Roman" w:hAnsi="Times New Roman" w:cs="Times New Roman"/>
              </w:rPr>
              <w:br/>
              <w:t xml:space="preserve">The recommended boost dose is **10–15 Gy**, to be administered precisely under image guidance to avoid damage to surrounding normal tissues.  </w:t>
            </w:r>
            <w:r w:rsidRPr="00CB2EC4">
              <w:rPr>
                <w:rFonts w:ascii="Times New Roman" w:hAnsi="Times New Roman" w:cs="Times New Roman"/>
              </w:rPr>
              <w:br/>
            </w:r>
            <w:r w:rsidRPr="00CB2EC4">
              <w:rPr>
                <w:rFonts w:ascii="Times New Roman" w:hAnsi="Times New Roman" w:cs="Times New Roman"/>
              </w:rPr>
              <w:br/>
              <w:t xml:space="preserve">Based on Document 21 (fusion score 0.4258) radiotherapy principles:  </w:t>
            </w:r>
            <w:r w:rsidRPr="00CB2EC4">
              <w:rPr>
                <w:rFonts w:ascii="Times New Roman" w:hAnsi="Times New Roman" w:cs="Times New Roman"/>
              </w:rPr>
              <w:br/>
              <w:t xml:space="preserve">- Recommended technique: Use of "Simultaneous Integrated Boost (SIB) technology" (a type of image-guided radiotherapy) to perform targeted boost irradiation on unresectable lymph nodes during EBRT.  </w:t>
            </w:r>
            <w:r w:rsidRPr="00CB2EC4">
              <w:rPr>
                <w:rFonts w:ascii="Times New Roman" w:hAnsi="Times New Roman" w:cs="Times New Roman"/>
              </w:rPr>
              <w:br/>
              <w:t xml:space="preserve">- Boost dose: 10–15 Gy (must be implemented precisely under image guidance to avoid injury to surrounding normal tissues).  </w:t>
            </w:r>
            <w:r w:rsidRPr="00CB2EC4">
              <w:rPr>
                <w:rFonts w:ascii="Times New Roman" w:hAnsi="Times New Roman" w:cs="Times New Roman"/>
              </w:rPr>
              <w:br/>
              <w:t>Reference: The document explicitly states that "for image-guided EBRT, high-dose regions must avoid normal tissues" and specifies the boost dose range as 10–15 Gy.</w:t>
            </w:r>
          </w:p>
        </w:tc>
        <w:tc>
          <w:tcPr>
            <w:tcW w:w="1152" w:type="dxa"/>
            <w:vAlign w:val="center"/>
          </w:tcPr>
          <w:p w14:paraId="77956F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AF100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A9B9D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B609F33" w14:textId="77777777">
        <w:tc>
          <w:tcPr>
            <w:tcW w:w="2160" w:type="dxa"/>
            <w:vAlign w:val="center"/>
          </w:tcPr>
          <w:p w14:paraId="708931F1"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A4DDC4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specific technique or dose for boost radiotherapy of unresectable lymph nodes during EBRT for locally </w:t>
            </w:r>
            <w:r w:rsidRPr="00CB2EC4">
              <w:rPr>
                <w:rFonts w:ascii="Times New Roman" w:hAnsi="Times New Roman" w:cs="Times New Roman"/>
              </w:rPr>
              <w:lastRenderedPageBreak/>
              <w:t xml:space="preserve">advanced cervical cancer is provided in the document.  </w:t>
            </w:r>
            <w:r w:rsidRPr="00CB2EC4">
              <w:rPr>
                <w:rFonts w:ascii="Times New Roman" w:hAnsi="Times New Roman" w:cs="Times New Roman"/>
              </w:rPr>
              <w:br/>
              <w:t xml:space="preserve">- The document details the principles of radiotherapy for locally advanced cervical cancer (e.g., in the segment "[HyDE similarity: 0.579]" under "8 Radiotherapy (Chemoradiotherapy) for Locally Advanced Cervical Cancer"), recommending EBRT combined with brachytherapy and concurrent chemotherapy, but does not specify techniques or doses for lymph node boosting.  </w:t>
            </w:r>
            <w:r w:rsidRPr="00CB2EC4">
              <w:rPr>
                <w:rFonts w:ascii="Times New Roman" w:hAnsi="Times New Roman" w:cs="Times New Roman"/>
              </w:rPr>
              <w:br/>
              <w:t xml:space="preserve">- Although stereotactic body radiotherapy (SBRT) is mentioned for certain isolated lesions (e.g., in the segment "[HyDE similarity: 0.553]": "Stereotactic body radiotherapy (SBRT) is a form of focused EBRT that allows hypofractionated, high-dose treatment"), this applies to recurrent or metastatic lesions, not specifically to unresectable lymph node boosting during initial treatment for locally advanced disease.  </w:t>
            </w:r>
            <w:r w:rsidRPr="00CB2EC4">
              <w:rPr>
                <w:rFonts w:ascii="Times New Roman" w:hAnsi="Times New Roman" w:cs="Times New Roman"/>
              </w:rPr>
              <w:br/>
              <w:t xml:space="preserve">- No numerical boost dose (e.g., in Gy or cGy) is specified in the document.  </w:t>
            </w:r>
            <w:r w:rsidRPr="00CB2EC4">
              <w:rPr>
                <w:rFonts w:ascii="Times New Roman" w:hAnsi="Times New Roman" w:cs="Times New Roman"/>
              </w:rPr>
              <w:br/>
              <w:t>Conclusion: The information is not found in the knowledge base. It is recommended to consult the latest clinical guidelines or supplementary literature for this information.</w:t>
            </w:r>
          </w:p>
        </w:tc>
        <w:tc>
          <w:tcPr>
            <w:tcW w:w="1152" w:type="dxa"/>
            <w:vAlign w:val="center"/>
          </w:tcPr>
          <w:p w14:paraId="7808F8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B4146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230F6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6269F9D" w14:textId="77777777">
        <w:tc>
          <w:tcPr>
            <w:tcW w:w="2160" w:type="dxa"/>
            <w:vAlign w:val="center"/>
          </w:tcPr>
          <w:p w14:paraId="14C81742"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B310D8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specific boost techniques or recommended doses for unresectable lymph nodes during external beam radiation therapy (EBRT) for locally advanced cervical cancer were found in the provided document excerpts.  </w:t>
            </w:r>
            <w:r w:rsidRPr="00CB2EC4">
              <w:rPr>
                <w:rFonts w:ascii="Times New Roman" w:hAnsi="Times New Roman" w:cs="Times New Roman"/>
              </w:rPr>
              <w:br/>
              <w:t xml:space="preserve">- Excerpts 8, 9, 10, 17, and 18 discuss radiotherapy-related content but primarily focus on conventional EBRT doses (e.g., 45–50.4 Gy in 1.8–2.0 Gy/fx), principles of concurrent chemoradiation (e.g., Excerpt 8's "definitive radiotherapy [EBRT + intracavitary brachytherapy] ± platinum-based concurrent </w:t>
            </w:r>
            <w:r w:rsidRPr="00CB2EC4">
              <w:rPr>
                <w:rFonts w:ascii="Times New Roman" w:hAnsi="Times New Roman" w:cs="Times New Roman"/>
              </w:rPr>
              <w:lastRenderedPageBreak/>
              <w:t xml:space="preserve">chemotherapy"), and management of recurrent or metastatic lesions (e.g., Excerpt 10 mentions stereotactic body radiotherapy [SBRT] for isolated metastases).  </w:t>
            </w:r>
            <w:r w:rsidRPr="00CB2EC4">
              <w:rPr>
                <w:rFonts w:ascii="Times New Roman" w:hAnsi="Times New Roman" w:cs="Times New Roman"/>
              </w:rPr>
              <w:br/>
              <w:t xml:space="preserve">- However, these contents do not specifically address boost techniques (e.g., SBRT or others) or recommended boost doses for unresectable lymph nodes during EBRT. Footnote f in Excerpt 10 mentions that SBRT can be used for "certain isolated metastases" but does not explicitly refer to lymph node boosts or provide dose details.  </w:t>
            </w:r>
            <w:r w:rsidRPr="00CB2EC4">
              <w:rPr>
                <w:rFonts w:ascii="Times New Roman" w:hAnsi="Times New Roman" w:cs="Times New Roman"/>
              </w:rPr>
              <w:br/>
            </w:r>
            <w:r w:rsidRPr="00CB2EC4">
              <w:rPr>
                <w:rFonts w:ascii="Times New Roman" w:hAnsi="Times New Roman" w:cs="Times New Roman"/>
              </w:rPr>
              <w:br/>
              <w:t>Conclusion: No answer was found in the knowledge base. The provided document excerpts do not cover information for this specific scenario. It is recommended to refer to more comprehensive clinical guidelines (e.g., NCCN or FIGO guidelines) for details.</w:t>
            </w:r>
          </w:p>
        </w:tc>
        <w:tc>
          <w:tcPr>
            <w:tcW w:w="1152" w:type="dxa"/>
            <w:vAlign w:val="center"/>
          </w:tcPr>
          <w:p w14:paraId="03DFCF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C19E0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7C5B1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2235BA1" w14:textId="77777777">
        <w:tc>
          <w:tcPr>
            <w:tcW w:w="2160" w:type="dxa"/>
            <w:vAlign w:val="center"/>
          </w:tcPr>
          <w:p w14:paraId="12C5F3A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F1FED55" w14:textId="77777777" w:rsidR="00922249" w:rsidRPr="00CB2EC4" w:rsidRDefault="003011D5">
            <w:pPr>
              <w:rPr>
                <w:rFonts w:ascii="Times New Roman" w:hAnsi="Times New Roman" w:cs="Times New Roman"/>
              </w:rPr>
            </w:pPr>
            <w:r w:rsidRPr="00CB2EC4">
              <w:rPr>
                <w:rFonts w:ascii="Times New Roman" w:hAnsi="Times New Roman" w:cs="Times New Roman"/>
              </w:rPr>
              <w:t>for unresectable lymph nodes during external beam radiotherapy (EBRT) for locally advanced cervical cancer, the recommended technique is SIB-IMRT (Simultaneous Integrated Boost Intensity-Modulated Radiation Therapy), with a recommended boost dose of 10~15 Gy.</w:t>
            </w:r>
          </w:p>
        </w:tc>
        <w:tc>
          <w:tcPr>
            <w:tcW w:w="1152" w:type="dxa"/>
            <w:vAlign w:val="center"/>
          </w:tcPr>
          <w:p w14:paraId="16E0B6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5B92C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BE8EE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608DDD4" w14:textId="77777777">
        <w:tc>
          <w:tcPr>
            <w:tcW w:w="2160" w:type="dxa"/>
            <w:vAlign w:val="center"/>
          </w:tcPr>
          <w:p w14:paraId="017F25C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5D9FC0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performing external beam radiotherapy (EBRT) for locally advanced cervical cancer, if unresectable lymph nodes are encountered, it is recommended to use highly conformal radiotherapy techniques (such as intensity-modulated radiotherapy, IMRT, or similar precision radiotherapy techniques) for simultaneous integrated boost or sequential boost. The recommended boost dose is an additional 10–15 Gy, aimed at improving local control rates for unresectable </w:t>
            </w:r>
            <w:r w:rsidRPr="00CB2EC4">
              <w:rPr>
                <w:rFonts w:ascii="Times New Roman" w:hAnsi="Times New Roman" w:cs="Times New Roman"/>
              </w:rPr>
              <w:lastRenderedPageBreak/>
              <w:t>lymph node lesions while minimizing damage to surrounding normal tissues through highly conformal techniques.</w:t>
            </w:r>
          </w:p>
        </w:tc>
        <w:tc>
          <w:tcPr>
            <w:tcW w:w="1152" w:type="dxa"/>
            <w:vAlign w:val="center"/>
          </w:tcPr>
          <w:p w14:paraId="16A712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27522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2C476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D37661C" w14:textId="77777777">
        <w:tc>
          <w:tcPr>
            <w:tcW w:w="2160" w:type="dxa"/>
            <w:vAlign w:val="center"/>
          </w:tcPr>
          <w:p w14:paraId="5D32DCD7"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34F184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locally advanced cervical cancer during external beam radiotherapy (EBRT), when encountering unresectable lymph nodes:  </w:t>
            </w:r>
            <w:r w:rsidRPr="00CB2EC4">
              <w:rPr>
                <w:rFonts w:ascii="Times New Roman" w:hAnsi="Times New Roman" w:cs="Times New Roman"/>
              </w:rPr>
              <w:br/>
              <w:t xml:space="preserve">- Recommended technique: Intensity-modulated radiotherapy (IMRT) or stereotactic body radiotherapy (SBRT) for boost irradiation to precisely target lymph nodes and minimize damage to surrounding normal tissues.  </w:t>
            </w:r>
            <w:r w:rsidRPr="00CB2EC4">
              <w:rPr>
                <w:rFonts w:ascii="Times New Roman" w:hAnsi="Times New Roman" w:cs="Times New Roman"/>
              </w:rPr>
              <w:br/>
              <w:t>- Recommended boost dose: 9–15 Gy added to the EBRT base dose (typically 45–50 Gy), resulting in a total dose of 54–65 Gy; the specific dose is adjusted based on lymph node size and location, with common fractionation schemes of 1.8–2.0 Gy per fraction.</w:t>
            </w:r>
          </w:p>
        </w:tc>
        <w:tc>
          <w:tcPr>
            <w:tcW w:w="1152" w:type="dxa"/>
            <w:vAlign w:val="center"/>
          </w:tcPr>
          <w:p w14:paraId="0C61F1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46EC9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9354F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11362DE" w14:textId="77777777">
        <w:tc>
          <w:tcPr>
            <w:tcW w:w="2160" w:type="dxa"/>
            <w:vAlign w:val="center"/>
          </w:tcPr>
          <w:p w14:paraId="71550D58"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6EDEC9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inoperable lymph nodes during external beam radiotherapy (EBRT) for locally advanced cervical cancer, the recommended technique for boost irradiation is highly conformal external beam radiotherapy, such as intensity-modulated radiotherapy (IMRT) or similar techniques, to ensure precise targeting of the lymph nodes while minimizing damage to surrounding normal tissues.  </w:t>
            </w:r>
            <w:r w:rsidRPr="00CB2EC4">
              <w:rPr>
                <w:rFonts w:ascii="Times New Roman" w:hAnsi="Times New Roman" w:cs="Times New Roman"/>
              </w:rPr>
              <w:br/>
              <w:t xml:space="preserve">The recommended boost dose is 10–20 Gy, delivered as an additional dose to the conventional EBRT regimen.  </w:t>
            </w:r>
            <w:r w:rsidRPr="00CB2EC4">
              <w:rPr>
                <w:rFonts w:ascii="Times New Roman" w:hAnsi="Times New Roman" w:cs="Times New Roman"/>
              </w:rPr>
              <w:br/>
              <w:t>Key basis: Document fragment 12 states: “For unremoved large lymph nodes, a boost of 10–20 Gy should be delivered using highly conformal external beam radiotherapy.” This directly addresses the question and emphasizes the importance of the technique in dose delivery.</w:t>
            </w:r>
          </w:p>
        </w:tc>
        <w:tc>
          <w:tcPr>
            <w:tcW w:w="1152" w:type="dxa"/>
            <w:vAlign w:val="center"/>
          </w:tcPr>
          <w:p w14:paraId="509B48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4403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C3DFC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7DE5712" w14:textId="77777777">
        <w:tc>
          <w:tcPr>
            <w:tcW w:w="2160" w:type="dxa"/>
            <w:vAlign w:val="center"/>
          </w:tcPr>
          <w:p w14:paraId="0FC4DFC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0EC8A165" w14:textId="77777777" w:rsidR="00922249" w:rsidRPr="00CB2EC4" w:rsidRDefault="003011D5">
            <w:pPr>
              <w:rPr>
                <w:rFonts w:ascii="Times New Roman" w:hAnsi="Times New Roman" w:cs="Times New Roman"/>
              </w:rPr>
            </w:pPr>
            <w:r w:rsidRPr="00CB2EC4">
              <w:rPr>
                <w:rFonts w:ascii="Times New Roman" w:hAnsi="Times New Roman" w:cs="Times New Roman"/>
              </w:rPr>
              <w:t>For external beam radiation therapy (EBRT) in advanced-stage cervical cancer, when encountering unresectable lymph nodes, image-guided (CT or MR) intensity-modulated radiation therapy is recommended for boost irradiation. However, the knowledge base does not explicitly specify the boost dose for unresectable lymph nodes.</w:t>
            </w:r>
          </w:p>
        </w:tc>
        <w:tc>
          <w:tcPr>
            <w:tcW w:w="1152" w:type="dxa"/>
            <w:vAlign w:val="center"/>
          </w:tcPr>
          <w:p w14:paraId="41E44E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EA812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0CE5D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6B5BFAB" w14:textId="77777777">
        <w:tc>
          <w:tcPr>
            <w:tcW w:w="2160" w:type="dxa"/>
            <w:vAlign w:val="center"/>
          </w:tcPr>
          <w:p w14:paraId="37BF304C"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CAC9685" w14:textId="77777777" w:rsidR="00922249" w:rsidRPr="00CB2EC4" w:rsidRDefault="003011D5">
            <w:pPr>
              <w:rPr>
                <w:rFonts w:ascii="Times New Roman" w:hAnsi="Times New Roman" w:cs="Times New Roman"/>
              </w:rPr>
            </w:pPr>
            <w:r w:rsidRPr="00CB2EC4">
              <w:rPr>
                <w:rFonts w:ascii="Times New Roman" w:hAnsi="Times New Roman" w:cs="Times New Roman"/>
              </w:rPr>
              <w:t>for inoperable lymph nodes during external beam radiotherapy (EBRT) for locally advanced cervical cancer (e.g., IIB–IVA stage):</w:t>
            </w:r>
            <w:r w:rsidRPr="00CB2EC4">
              <w:rPr>
                <w:rFonts w:ascii="Times New Roman" w:hAnsi="Times New Roman" w:cs="Times New Roman"/>
              </w:rPr>
              <w:br/>
              <w:t xml:space="preserve">  - recommended boost technique: intensity-modulated radiotherapy (IMRT) or stereotactic body radiotherapy (SBRT) to precisely target lymph nodes and minimize damage to surrounding normal tissues.</w:t>
            </w:r>
            <w:r w:rsidRPr="00CB2EC4">
              <w:rPr>
                <w:rFonts w:ascii="Times New Roman" w:hAnsi="Times New Roman" w:cs="Times New Roman"/>
              </w:rPr>
              <w:br/>
              <w:t xml:space="preserve">  - recommended boost dose: an additional 10–15 Gy (administered in fractions) on top of the standard EBRT dose of 45–50 Gy. The specific dose should be individualized based on lymph node size, location, and patient tolerance, but guideline-recommended range is 10–15 Gy.</w:t>
            </w:r>
            <w:r w:rsidRPr="00CB2EC4">
              <w:rPr>
                <w:rFonts w:ascii="Times New Roman" w:hAnsi="Times New Roman" w:cs="Times New Roman"/>
              </w:rPr>
              <w:br/>
              <w:t xml:space="preserve">  - IMRT/SBRT is used for boosting to improve local control while minimizing toxicity.</w:t>
            </w:r>
          </w:p>
        </w:tc>
        <w:tc>
          <w:tcPr>
            <w:tcW w:w="1152" w:type="dxa"/>
            <w:vAlign w:val="center"/>
          </w:tcPr>
          <w:p w14:paraId="44174E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D1910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59F98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78EB937" w14:textId="77777777">
        <w:tc>
          <w:tcPr>
            <w:tcW w:w="10656" w:type="dxa"/>
            <w:gridSpan w:val="5"/>
            <w:tcBorders>
              <w:bottom w:val="single" w:sz="6" w:space="0" w:color="auto"/>
            </w:tcBorders>
            <w:vAlign w:val="center"/>
          </w:tcPr>
          <w:p w14:paraId="6587031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96: In the definitive radiotherapy for locally advanced cervical cancer, brachytherapy is a critical component. What is the recommended target for the equivalent dose in 2-Gy fractions (EQD2) to Point A or the high-risk clinical target volume (HR-CTV)? To protect surrounding organs at risk, what are the dose constraints for the rectum and bladder?</w:t>
            </w:r>
          </w:p>
        </w:tc>
      </w:tr>
      <w:tr w:rsidR="00922249" w:rsidRPr="00CB2EC4" w14:paraId="6B5B0998" w14:textId="77777777">
        <w:tc>
          <w:tcPr>
            <w:tcW w:w="2160" w:type="dxa"/>
            <w:vAlign w:val="center"/>
          </w:tcPr>
          <w:p w14:paraId="09643260"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3ED339C" w14:textId="77777777" w:rsidR="00922249" w:rsidRPr="00CB2EC4" w:rsidRDefault="003011D5">
            <w:pPr>
              <w:rPr>
                <w:rFonts w:ascii="Times New Roman" w:hAnsi="Times New Roman" w:cs="Times New Roman"/>
              </w:rPr>
            </w:pPr>
            <w:r w:rsidRPr="00CB2EC4">
              <w:rPr>
                <w:rFonts w:ascii="Times New Roman" w:hAnsi="Times New Roman" w:cs="Times New Roman"/>
              </w:rPr>
              <w:t>when performing radical radiotherapy for locally advanced cervical cancer, brachytherapy (afterloading) is a key component. what are the guideline-recommended equivalent biological dose (EQD2) targets for point A or the high-risk clinical target volume (HR-CTV)? what are the dose constraints for the rectum and bladder to protect surrounding normal organs?</w:t>
            </w:r>
            <w:r w:rsidRPr="00CB2EC4">
              <w:rPr>
                <w:rFonts w:ascii="Times New Roman" w:hAnsi="Times New Roman" w:cs="Times New Roman"/>
              </w:rPr>
              <w:br/>
            </w:r>
            <w:r w:rsidRPr="00CB2EC4">
              <w:rPr>
                <w:rFonts w:ascii="Times New Roman" w:hAnsi="Times New Roman" w:cs="Times New Roman"/>
              </w:rPr>
              <w:lastRenderedPageBreak/>
              <w:br/>
              <w:t xml:space="preserve">EQD2 target for point A or HR-CTV:  </w:t>
            </w:r>
            <w:r w:rsidRPr="00CB2EC4">
              <w:rPr>
                <w:rFonts w:ascii="Times New Roman" w:hAnsi="Times New Roman" w:cs="Times New Roman"/>
              </w:rPr>
              <w:br/>
              <w:t xml:space="preserve">  according to the document (segments with similarity 0.645 and 0.566), guidelines recommend:  </w:t>
            </w:r>
            <w:r w:rsidRPr="00CB2EC4">
              <w:rPr>
                <w:rFonts w:ascii="Times New Roman" w:hAnsi="Times New Roman" w:cs="Times New Roman"/>
              </w:rPr>
              <w:br/>
              <w:t xml:space="preserve">  - when combined with external beam radiotherapy (EBRT), the EQD2 for point A or high-risk clinical target volume (HR-CTV) should reach 80–85 Gy.  </w:t>
            </w:r>
            <w:r w:rsidRPr="00CB2EC4">
              <w:rPr>
                <w:rFonts w:ascii="Times New Roman" w:hAnsi="Times New Roman" w:cs="Times New Roman"/>
              </w:rPr>
              <w:br/>
              <w:t xml:space="preserve">  - for large tumor volumes or poor tumor regression, the EQD2 for point A or HR-CTV should be ≥87 Gy.  </w:t>
            </w:r>
            <w:r w:rsidRPr="00CB2EC4">
              <w:rPr>
                <w:rFonts w:ascii="Times New Roman" w:hAnsi="Times New Roman" w:cs="Times New Roman"/>
              </w:rPr>
              <w:br/>
              <w:t xml:space="preserve">  (source: the document explicitly states "combined with EBRT, the EQD2 for point A or high-risk CTV (HR-CTV) D90 should reach 80–85 Gy; for large tumor volumes or poor regression, the EQD2 for point A or high-risk CTV (HR-CTV) D90 ≥87 Gy.")  </w:t>
            </w:r>
            <w:r w:rsidRPr="00CB2EC4">
              <w:rPr>
                <w:rFonts w:ascii="Times New Roman" w:hAnsi="Times New Roman" w:cs="Times New Roman"/>
              </w:rPr>
              <w:br/>
            </w:r>
            <w:r w:rsidRPr="00CB2EC4">
              <w:rPr>
                <w:rFonts w:ascii="Times New Roman" w:hAnsi="Times New Roman" w:cs="Times New Roman"/>
              </w:rPr>
              <w:br/>
              <w:t xml:space="preserve">- dose constraints for rectum and bladder:  </w:t>
            </w:r>
            <w:r w:rsidRPr="00CB2EC4">
              <w:rPr>
                <w:rFonts w:ascii="Times New Roman" w:hAnsi="Times New Roman" w:cs="Times New Roman"/>
              </w:rPr>
              <w:br/>
              <w:t xml:space="preserve">  to protect surrounding normal organs, strict dose constraints are set:  </w:t>
            </w:r>
            <w:r w:rsidRPr="00CB2EC4">
              <w:rPr>
                <w:rFonts w:ascii="Times New Roman" w:hAnsi="Times New Roman" w:cs="Times New Roman"/>
              </w:rPr>
              <w:br/>
              <w:t xml:space="preserve">  - rectum: D2cc ≤65–75 Gy.  </w:t>
            </w:r>
            <w:r w:rsidRPr="00CB2EC4">
              <w:rPr>
                <w:rFonts w:ascii="Times New Roman" w:hAnsi="Times New Roman" w:cs="Times New Roman"/>
              </w:rPr>
              <w:br/>
              <w:t xml:space="preserve">  - bladder: D2cc ≤80–90 Gy.  </w:t>
            </w:r>
            <w:r w:rsidRPr="00CB2EC4">
              <w:rPr>
                <w:rFonts w:ascii="Times New Roman" w:hAnsi="Times New Roman" w:cs="Times New Roman"/>
              </w:rPr>
              <w:br/>
              <w:t xml:space="preserve">  (source: the document explicitly states "dose constraints for normal tissues; rectum D2cc ≤65–75 Gy; bladder D2cc ≤80–90 Gy." if these parameters cannot be met, interstitial brachytherapy should be considered as a supplement.)</w:t>
            </w:r>
          </w:p>
        </w:tc>
        <w:tc>
          <w:tcPr>
            <w:tcW w:w="1152" w:type="dxa"/>
            <w:vAlign w:val="center"/>
          </w:tcPr>
          <w:p w14:paraId="1DE1E4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E0234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968A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5705AF" w14:textId="77777777">
        <w:tc>
          <w:tcPr>
            <w:tcW w:w="2160" w:type="dxa"/>
            <w:vAlign w:val="center"/>
          </w:tcPr>
          <w:p w14:paraId="1E8BF1F9"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9CEAAB4" w14:textId="77777777" w:rsidR="00922249" w:rsidRPr="00CB2EC4" w:rsidRDefault="003011D5">
            <w:pPr>
              <w:rPr>
                <w:rFonts w:ascii="Times New Roman" w:hAnsi="Times New Roman" w:cs="Times New Roman"/>
              </w:rPr>
            </w:pPr>
            <w:r w:rsidRPr="00CB2EC4">
              <w:rPr>
                <w:rFonts w:ascii="Times New Roman" w:hAnsi="Times New Roman" w:cs="Times New Roman"/>
              </w:rPr>
              <w:t>dose objectives for brachytherapy and normal organ dose constraints in radical radiotherapy for locally advanced cervical cancer</w:t>
            </w:r>
            <w:r w:rsidRPr="00CB2EC4">
              <w:rPr>
                <w:rFonts w:ascii="Times New Roman" w:hAnsi="Times New Roman" w:cs="Times New Roman"/>
              </w:rPr>
              <w:br/>
            </w:r>
            <w:r w:rsidRPr="00CB2EC4">
              <w:rPr>
                <w:rFonts w:ascii="Times New Roman" w:hAnsi="Times New Roman" w:cs="Times New Roman"/>
              </w:rPr>
              <w:br/>
              <w:t>according to document excerpt 1 (topic: technical specifications for cervical cancer radiotherapy):</w:t>
            </w:r>
            <w:r w:rsidRPr="00CB2EC4">
              <w:rPr>
                <w:rFonts w:ascii="Times New Roman" w:hAnsi="Times New Roman" w:cs="Times New Roman"/>
              </w:rPr>
              <w:br/>
              <w:t>- dose objective for point A or high-risk clinical target volume (HR-CTV) in equivalent biological dose (EQD₂):</w:t>
            </w:r>
            <w:r w:rsidRPr="00CB2EC4">
              <w:rPr>
                <w:rFonts w:ascii="Times New Roman" w:hAnsi="Times New Roman" w:cs="Times New Roman"/>
              </w:rPr>
              <w:br/>
            </w:r>
            <w:r w:rsidRPr="00CB2EC4">
              <w:rPr>
                <w:rFonts w:ascii="Times New Roman" w:hAnsi="Times New Roman" w:cs="Times New Roman"/>
              </w:rPr>
              <w:lastRenderedPageBreak/>
              <w:t xml:space="preserve">  when combined with external beam radiotherapy (EBRT), the EQD₂ for D₉₀ of point A or HR-CTV should reach 80~85 Gy; for large tumor volumes or lesions with poor regression, the EQD₂ for D₉₀ of point A or HR-CTV should be ≥87 Gy.</w:t>
            </w:r>
            <w:r w:rsidRPr="00CB2EC4">
              <w:rPr>
                <w:rFonts w:ascii="Times New Roman" w:hAnsi="Times New Roman" w:cs="Times New Roman"/>
              </w:rPr>
              <w:br/>
            </w:r>
            <w:r w:rsidRPr="00CB2EC4">
              <w:rPr>
                <w:rFonts w:ascii="Times New Roman" w:hAnsi="Times New Roman" w:cs="Times New Roman"/>
              </w:rPr>
              <w:br/>
              <w:t>- normal organ dose constraints:</w:t>
            </w:r>
            <w:r w:rsidRPr="00CB2EC4">
              <w:rPr>
                <w:rFonts w:ascii="Times New Roman" w:hAnsi="Times New Roman" w:cs="Times New Roman"/>
              </w:rPr>
              <w:br/>
              <w:t xml:space="preserve">  - rectum: $D_{2cc} \leqslant 65 \sim 75\mathrm{Gy}$</w:t>
            </w:r>
            <w:r w:rsidRPr="00CB2EC4">
              <w:rPr>
                <w:rFonts w:ascii="Times New Roman" w:hAnsi="Times New Roman" w:cs="Times New Roman"/>
              </w:rPr>
              <w:br/>
              <w:t xml:space="preserve">  - bladder: $D_{2cc} \leqslant 80 \sim 90\mathrm{Gy}$</w:t>
            </w:r>
          </w:p>
        </w:tc>
        <w:tc>
          <w:tcPr>
            <w:tcW w:w="1152" w:type="dxa"/>
            <w:vAlign w:val="center"/>
          </w:tcPr>
          <w:p w14:paraId="0877C6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5F416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FF4D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890267" w14:textId="77777777">
        <w:tc>
          <w:tcPr>
            <w:tcW w:w="2160" w:type="dxa"/>
            <w:vAlign w:val="center"/>
          </w:tcPr>
          <w:p w14:paraId="5581EE3A"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49D1763" w14:textId="77777777" w:rsidR="00922249" w:rsidRPr="00CB2EC4" w:rsidRDefault="003011D5">
            <w:pPr>
              <w:rPr>
                <w:rFonts w:ascii="Times New Roman" w:hAnsi="Times New Roman" w:cs="Times New Roman"/>
              </w:rPr>
            </w:pPr>
            <w:r w:rsidRPr="00CB2EC4">
              <w:rPr>
                <w:rFonts w:ascii="Times New Roman" w:hAnsi="Times New Roman" w:cs="Times New Roman"/>
              </w:rPr>
              <w:t>during radical radiotherapy for locally advanced cervical cancer, brachytherapy (afterloading) is a key component. according to guidelines, what is the equivalent biological dose (EQD2) target for point A or the high-risk clinical target volume (HR-CTV)? what are the dose constraints for the rectum and bladder to protect surrounding normal organs?</w:t>
            </w:r>
            <w:r w:rsidRPr="00CB2EC4">
              <w:rPr>
                <w:rFonts w:ascii="Times New Roman" w:hAnsi="Times New Roman" w:cs="Times New Roman"/>
              </w:rPr>
              <w:br/>
            </w:r>
            <w:r w:rsidRPr="00CB2EC4">
              <w:rPr>
                <w:rFonts w:ascii="Times New Roman" w:hAnsi="Times New Roman" w:cs="Times New Roman"/>
              </w:rPr>
              <w:br/>
              <w:t>based on the provided document (primarily from excerpt 1, relevance 0.900):</w:t>
            </w:r>
            <w:r w:rsidRPr="00CB2EC4">
              <w:rPr>
                <w:rFonts w:ascii="Times New Roman" w:hAnsi="Times New Roman" w:cs="Times New Roman"/>
              </w:rPr>
              <w:br/>
              <w:t>- EQD2 target for point A or HR-CTV: guidelines recommend that when combined with external beam radiotherapy (EBRT), the EQD2 for D90 of point A or high-risk CTV (HR-CTV) should reach 80–85 Gy. for large tumor volumes or poor regression, the EQD2 for D90 of point A or HR-CTV should be ≥87 Gy (excerpt 1: "combined with EBRT, the EQD2 for D90 of point A or high-risk CTV (HR-CTV) should reach 80–85 Gy; for large tumor volumes or poor regression, the EQD2 for D90 of point A or HR-CTV should be ≥87 Gy").</w:t>
            </w:r>
            <w:r w:rsidRPr="00CB2EC4">
              <w:rPr>
                <w:rFonts w:ascii="Times New Roman" w:hAnsi="Times New Roman" w:cs="Times New Roman"/>
              </w:rPr>
              <w:br/>
              <w:t>- normal organ dose constraints:</w:t>
            </w:r>
            <w:r w:rsidRPr="00CB2EC4">
              <w:rPr>
                <w:rFonts w:ascii="Times New Roman" w:hAnsi="Times New Roman" w:cs="Times New Roman"/>
              </w:rPr>
              <w:br/>
              <w:t xml:space="preserve">  - rectum: rectum D2cc (dose to 2 cc volume) should </w:t>
            </w:r>
            <w:r w:rsidRPr="00CB2EC4">
              <w:rPr>
                <w:rFonts w:ascii="Times New Roman" w:hAnsi="Times New Roman" w:cs="Times New Roman"/>
              </w:rPr>
              <w:lastRenderedPageBreak/>
              <w:t>be ≤65–75 Gy (excerpt 1: "rectum D2cc ≤65–75 Gy").</w:t>
            </w:r>
            <w:r w:rsidRPr="00CB2EC4">
              <w:rPr>
                <w:rFonts w:ascii="Times New Roman" w:hAnsi="Times New Roman" w:cs="Times New Roman"/>
              </w:rPr>
              <w:br/>
              <w:t xml:space="preserve">  - bladder: bladder D2e (likely a typographical variant of D2cc, referring to dose to 2 cc volume) should be ≤80–90 Gy (excerpt 1: "bladder D2e ≤80–90 Gy"). other excerpts (e.g., excerpt 19) also support a total dose range of 80–90 Gy, but specific constraints are based on excerpt 1.</w:t>
            </w:r>
            <w:r w:rsidRPr="00CB2EC4">
              <w:rPr>
                <w:rFonts w:ascii="Times New Roman" w:hAnsi="Times New Roman" w:cs="Times New Roman"/>
              </w:rPr>
              <w:br/>
              <w:t>- additional note: these dose limits aim to reduce the risk of radiation-induced injuries such as proctitis or cystitis. the document does not provide specific limits for other organs (e.g., small bowel) beyond the sigmoid colon, so the answer is based solely on available information.</w:t>
            </w:r>
          </w:p>
        </w:tc>
        <w:tc>
          <w:tcPr>
            <w:tcW w:w="1152" w:type="dxa"/>
            <w:vAlign w:val="center"/>
          </w:tcPr>
          <w:p w14:paraId="499715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42160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7304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323EED7" w14:textId="77777777">
        <w:tc>
          <w:tcPr>
            <w:tcW w:w="2160" w:type="dxa"/>
            <w:vAlign w:val="center"/>
          </w:tcPr>
          <w:p w14:paraId="452DF10D"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E854C14" w14:textId="77777777" w:rsidR="00922249" w:rsidRPr="00CB2EC4" w:rsidRDefault="003011D5">
            <w:pPr>
              <w:rPr>
                <w:rFonts w:ascii="Times New Roman" w:hAnsi="Times New Roman" w:cs="Times New Roman"/>
              </w:rPr>
            </w:pPr>
            <w:r w:rsidRPr="00CB2EC4">
              <w:rPr>
                <w:rFonts w:ascii="Times New Roman" w:hAnsi="Times New Roman" w:cs="Times New Roman"/>
              </w:rPr>
              <w:t>Dose Targets and Normal Organ Constraints for Intermediate-to-Advanced Cervical Cancer Brachytherapy</w:t>
            </w:r>
            <w:r w:rsidRPr="00CB2EC4">
              <w:rPr>
                <w:rFonts w:ascii="Times New Roman" w:hAnsi="Times New Roman" w:cs="Times New Roman"/>
              </w:rPr>
              <w:br/>
            </w:r>
            <w:r w:rsidRPr="00CB2EC4">
              <w:rPr>
                <w:rFonts w:ascii="Times New Roman" w:hAnsi="Times New Roman" w:cs="Times New Roman"/>
              </w:rPr>
              <w:br/>
              <w:t>Knowledge Base Document Reference:</w:t>
            </w:r>
            <w:r w:rsidRPr="00CB2EC4">
              <w:rPr>
                <w:rFonts w:ascii="Times New Roman" w:hAnsi="Times New Roman" w:cs="Times New Roman"/>
              </w:rPr>
              <w:br/>
              <w:t>- EQD2 targets for Point A / HR-CTV:</w:t>
            </w:r>
            <w:r w:rsidRPr="00CB2EC4">
              <w:rPr>
                <w:rFonts w:ascii="Times New Roman" w:hAnsi="Times New Roman" w:cs="Times New Roman"/>
              </w:rPr>
              <w:br/>
              <w:t xml:space="preserve">  - Standard target: 80–85 Gy (after combined external beam radiotherapy).</w:t>
            </w:r>
            <w:r w:rsidRPr="00CB2EC4">
              <w:rPr>
                <w:rFonts w:ascii="Times New Roman" w:hAnsi="Times New Roman" w:cs="Times New Roman"/>
              </w:rPr>
              <w:br/>
              <w:t xml:space="preserve">  - When tumor volume is large or regression is poor: ≥87 Gy.</w:t>
            </w:r>
            <w:r w:rsidRPr="00CB2EC4">
              <w:rPr>
                <w:rFonts w:ascii="Times New Roman" w:hAnsi="Times New Roman" w:cs="Times New Roman"/>
              </w:rPr>
              <w:br/>
              <w:t>- Normal organ dose constraints:</w:t>
            </w:r>
            <w:r w:rsidRPr="00CB2EC4">
              <w:rPr>
                <w:rFonts w:ascii="Times New Roman" w:hAnsi="Times New Roman" w:cs="Times New Roman"/>
              </w:rPr>
              <w:br/>
              <w:t xml:space="preserve">  - Rectum: $D_{2cc} \leqslant 65 \sim 75\ \mathrm{Gy}$</w:t>
            </w:r>
            <w:r w:rsidRPr="00CB2EC4">
              <w:rPr>
                <w:rFonts w:ascii="Times New Roman" w:hAnsi="Times New Roman" w:cs="Times New Roman"/>
              </w:rPr>
              <w:br/>
              <w:t xml:space="preserve">  - Bladder: $D_{2cc} \leqslant 80 \sim 90\ \mathrm{Gy}$</w:t>
            </w:r>
            <w:r w:rsidRPr="00CB2EC4">
              <w:rPr>
                <w:rFonts w:ascii="Times New Roman" w:hAnsi="Times New Roman" w:cs="Times New Roman"/>
              </w:rPr>
              <w:br/>
              <w:t xml:space="preserve">  - Sigmoid colon: $D_{2cc} \leqslant 70 \sim 75\ \mathrm{Gy}$</w:t>
            </w:r>
            <w:r w:rsidRPr="00CB2EC4">
              <w:rPr>
                <w:rFonts w:ascii="Times New Roman" w:hAnsi="Times New Roman" w:cs="Times New Roman"/>
              </w:rPr>
              <w:br/>
            </w:r>
            <w:r w:rsidRPr="00CB2EC4">
              <w:rPr>
                <w:rFonts w:ascii="Times New Roman" w:hAnsi="Times New Roman" w:cs="Times New Roman"/>
              </w:rPr>
              <w:br/>
              <w:t>Web Search Supplement:</w:t>
            </w:r>
            <w:r w:rsidRPr="00CB2EC4">
              <w:rPr>
                <w:rFonts w:ascii="Times New Roman" w:hAnsi="Times New Roman" w:cs="Times New Roman"/>
              </w:rPr>
              <w:br/>
              <w:t xml:space="preserve">3D image-guided brachytherapy can optimize target dose distribution, but core dose targets remain </w:t>
            </w:r>
            <w:r w:rsidRPr="00CB2EC4">
              <w:rPr>
                <w:rFonts w:ascii="Times New Roman" w:hAnsi="Times New Roman" w:cs="Times New Roman"/>
              </w:rPr>
              <w:lastRenderedPageBreak/>
              <w:t>consistent with the knowledge base (e.g., Point A ≥85 Gy). If targets cannot be met, interstitial implantation techniques should be considered to boost the dose.</w:t>
            </w:r>
            <w:r w:rsidRPr="00CB2EC4">
              <w:rPr>
                <w:rFonts w:ascii="Times New Roman" w:hAnsi="Times New Roman" w:cs="Times New Roman"/>
              </w:rPr>
              <w:br/>
            </w:r>
            <w:r w:rsidRPr="00CB2EC4">
              <w:rPr>
                <w:rFonts w:ascii="Times New Roman" w:hAnsi="Times New Roman" w:cs="Times New Roman"/>
              </w:rPr>
              <w:br/>
              <w:t>&gt; Conclusion: EQD2 target is 80–85 Gy (≥87 Gy for large/poorly regressed tumors); rectum ≤75 Gy, bladder ≤90 Gy.</w:t>
            </w:r>
          </w:p>
        </w:tc>
        <w:tc>
          <w:tcPr>
            <w:tcW w:w="1152" w:type="dxa"/>
            <w:vAlign w:val="center"/>
          </w:tcPr>
          <w:p w14:paraId="2AC452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94BA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C816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FFD087" w14:textId="77777777">
        <w:tc>
          <w:tcPr>
            <w:tcW w:w="2160" w:type="dxa"/>
            <w:vAlign w:val="center"/>
          </w:tcPr>
          <w:p w14:paraId="448E942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CD6ABA8" w14:textId="77777777" w:rsidR="00922249" w:rsidRPr="00CB2EC4" w:rsidRDefault="003011D5">
            <w:pPr>
              <w:rPr>
                <w:rFonts w:ascii="Times New Roman" w:hAnsi="Times New Roman" w:cs="Times New Roman"/>
              </w:rPr>
            </w:pPr>
            <w:r w:rsidRPr="00CB2EC4">
              <w:rPr>
                <w:rFonts w:ascii="Times New Roman" w:hAnsi="Times New Roman" w:cs="Times New Roman"/>
              </w:rPr>
              <w:t>response: According to document fragment 1, the recommended equivalent biological dose (EQD2) target for point A or high-risk clinical target volume (HR-CTV) in radical radiotherapy for locally advanced cervical cancer is 80–85 Gy (when combined with external beam radiotherapy). For large tumor volumes or those with poor regression, EQD2 should be ≥87 Gy. To protect surrounding normal organs, the dose constraints are as follows:</w:t>
            </w:r>
            <w:r w:rsidRPr="00CB2EC4">
              <w:rPr>
                <w:rFonts w:ascii="Times New Roman" w:hAnsi="Times New Roman" w:cs="Times New Roman"/>
              </w:rPr>
              <w:br/>
              <w:t xml:space="preserve">  - Rectum: \( D_{2cc} \leq 65 \sim 75 \, \text{Gy} \)</w:t>
            </w:r>
            <w:r w:rsidRPr="00CB2EC4">
              <w:rPr>
                <w:rFonts w:ascii="Times New Roman" w:hAnsi="Times New Roman" w:cs="Times New Roman"/>
              </w:rPr>
              <w:br/>
              <w:t xml:space="preserve">  - Bladder: \( D_{2cc} \leq 80 \sim 90 \, \text{Gy} \) (Note: The original text uses \( D_{2e} \), but based on context, this is likely a typographical error and should be \( D_{2cc} \), referring to the dose to the most exposed 2 cm³ volume).</w:t>
            </w:r>
            <w:r w:rsidRPr="00CB2EC4">
              <w:rPr>
                <w:rFonts w:ascii="Times New Roman" w:hAnsi="Times New Roman" w:cs="Times New Roman"/>
              </w:rPr>
              <w:br/>
              <w:t xml:space="preserve">  - These limits aim to minimize the risk of radiation-induced injury; if they cannot be met, interstitial brachytherapy techniques should be considered as a supplement.</w:t>
            </w:r>
          </w:p>
        </w:tc>
        <w:tc>
          <w:tcPr>
            <w:tcW w:w="1152" w:type="dxa"/>
            <w:vAlign w:val="center"/>
          </w:tcPr>
          <w:p w14:paraId="42841F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C4D8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A56A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3BEA71" w14:textId="77777777">
        <w:tc>
          <w:tcPr>
            <w:tcW w:w="2160" w:type="dxa"/>
            <w:vAlign w:val="center"/>
          </w:tcPr>
          <w:p w14:paraId="13EFCDDF"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1B99D2E" w14:textId="77777777" w:rsidR="00922249" w:rsidRPr="00CB2EC4" w:rsidRDefault="003011D5">
            <w:pPr>
              <w:rPr>
                <w:rFonts w:ascii="Times New Roman" w:hAnsi="Times New Roman" w:cs="Times New Roman"/>
              </w:rPr>
            </w:pPr>
            <w:r w:rsidRPr="00CB2EC4">
              <w:rPr>
                <w:rFonts w:ascii="Times New Roman" w:hAnsi="Times New Roman" w:cs="Times New Roman"/>
              </w:rPr>
              <w:t>during radical radiotherapy for locally advanced cervical cancer, brachytherapy (afterloading) is a key component. what are the guideline-recommended equivalent biological dose (EQD2) targets for point A or the high-risk clinical target volume (HR-CTV)? what are the dose constraints for the rectum and bladder to protect surrounding normal organs?</w:t>
            </w:r>
            <w:r w:rsidRPr="00CB2EC4">
              <w:rPr>
                <w:rFonts w:ascii="Times New Roman" w:hAnsi="Times New Roman" w:cs="Times New Roman"/>
              </w:rPr>
              <w:br/>
            </w:r>
            <w:r w:rsidRPr="00CB2EC4">
              <w:rPr>
                <w:rFonts w:ascii="Times New Roman" w:hAnsi="Times New Roman" w:cs="Times New Roman"/>
              </w:rPr>
              <w:lastRenderedPageBreak/>
              <w:br/>
              <w:t>according to contextual information (primarily from source document 1):</w:t>
            </w:r>
            <w:r w:rsidRPr="00CB2EC4">
              <w:rPr>
                <w:rFonts w:ascii="Times New Roman" w:hAnsi="Times New Roman" w:cs="Times New Roman"/>
              </w:rPr>
              <w:br/>
              <w:t>- EQD2 target for point A or HR-CTV: when combined with external beam radiotherapy (EBRT), the EQD2 for D90 of point A or high-risk clinical target volume (HR-CTV) should reach 80–85 Gy (equivalent biological dose). for large tumor volumes or those with poor regression, EQD2 should be ≥87 Gy.</w:t>
            </w:r>
            <w:r w:rsidRPr="00CB2EC4">
              <w:rPr>
                <w:rFonts w:ascii="Times New Roman" w:hAnsi="Times New Roman" w:cs="Times New Roman"/>
              </w:rPr>
              <w:br/>
              <w:t>- normal organ dose constraints: to protect surrounding tissues, the D2cc (maximum dose to 2 cc volume) for the rectum should be ≤65–75 Gy; the D2cc for the bladder should be ≤80–90 Gy. these constraints aim to reduce the risk of radiation-induced injuries such as proctitis or cystitis. if these parameters cannot be met, the use of interstitial brachytherapy is recommended as a supplement (source document 1).</w:t>
            </w:r>
          </w:p>
        </w:tc>
        <w:tc>
          <w:tcPr>
            <w:tcW w:w="1152" w:type="dxa"/>
            <w:vAlign w:val="center"/>
          </w:tcPr>
          <w:p w14:paraId="78CFDE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8E36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DB68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1462FC" w14:textId="77777777">
        <w:tc>
          <w:tcPr>
            <w:tcW w:w="2160" w:type="dxa"/>
            <w:vAlign w:val="center"/>
          </w:tcPr>
          <w:p w14:paraId="189DE6EA"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CB06E21" w14:textId="77777777" w:rsidR="00922249" w:rsidRPr="00CB2EC4" w:rsidRDefault="003011D5">
            <w:pPr>
              <w:rPr>
                <w:rFonts w:ascii="Times New Roman" w:hAnsi="Times New Roman" w:cs="Times New Roman"/>
              </w:rPr>
            </w:pPr>
            <w:r w:rsidRPr="00CB2EC4">
              <w:rPr>
                <w:rFonts w:ascii="Times New Roman" w:hAnsi="Times New Roman" w:cs="Times New Roman"/>
              </w:rPr>
              <w:t>radical radiotherapy for locally advanced cervical cancer: dose requirements and normal organ constraints</w:t>
            </w:r>
            <w:r w:rsidRPr="00CB2EC4">
              <w:rPr>
                <w:rFonts w:ascii="Times New Roman" w:hAnsi="Times New Roman" w:cs="Times New Roman"/>
              </w:rPr>
              <w:br/>
            </w:r>
            <w:r w:rsidRPr="00CB2EC4">
              <w:rPr>
                <w:rFonts w:ascii="Times New Roman" w:hAnsi="Times New Roman" w:cs="Times New Roman"/>
              </w:rPr>
              <w:br/>
              <w:t xml:space="preserve">EQD₂ target for Point A or HR-CTV:  </w:t>
            </w:r>
            <w:r w:rsidRPr="00CB2EC4">
              <w:rPr>
                <w:rFonts w:ascii="Times New Roman" w:hAnsi="Times New Roman" w:cs="Times New Roman"/>
              </w:rPr>
              <w:br/>
              <w:t xml:space="preserve">  Guidelines recommend that the equivalent biological dose (EQD₂) for Point A or high-risk clinical target volume (HR-CTV) should reach 80–85 Gy; for large tumor volumes or lesions with poor regression, EQD₂ ≥ 87 Gy (see context: "With combined EBRT, the EQD₂ for $D_{90}$ of Point A or HR-CTV should reach 80–85 Gy; for large tumor volumes or lesions with poor regression, the EQD₂ for $D_{90}$ of Point A or HR-CTV ≥ 87 Gy").  </w:t>
            </w:r>
            <w:r w:rsidRPr="00CB2EC4">
              <w:rPr>
                <w:rFonts w:ascii="Times New Roman" w:hAnsi="Times New Roman" w:cs="Times New Roman"/>
              </w:rPr>
              <w:br/>
              <w:t xml:space="preserve">- Normal organ dose constraints:  </w:t>
            </w:r>
            <w:r w:rsidRPr="00CB2EC4">
              <w:rPr>
                <w:rFonts w:ascii="Times New Roman" w:hAnsi="Times New Roman" w:cs="Times New Roman"/>
              </w:rPr>
              <w:br/>
              <w:t xml:space="preserve">  - Rectum: </w:t>
            </w:r>
            <w:r w:rsidRPr="00CB2EC4">
              <w:rPr>
                <w:rFonts w:ascii="Times New Roman" w:hAnsi="Times New Roman" w:cs="Times New Roman"/>
              </w:rPr>
              <w:lastRenderedPageBreak/>
              <w:t xml:space="preserve">$D_{2\mathrm{cc}}\leqslant65\sim75\mathrm{Gy}$  </w:t>
            </w:r>
            <w:r w:rsidRPr="00CB2EC4">
              <w:rPr>
                <w:rFonts w:ascii="Times New Roman" w:hAnsi="Times New Roman" w:cs="Times New Roman"/>
              </w:rPr>
              <w:br/>
              <w:t xml:space="preserve">  - Bladder: $D_{2\mathrm{cc}}\leqslant80{-}90\mathrm{Gy}$  </w:t>
            </w:r>
            <w:r w:rsidRPr="00CB2EC4">
              <w:rPr>
                <w:rFonts w:ascii="Times New Roman" w:hAnsi="Times New Roman" w:cs="Times New Roman"/>
              </w:rPr>
              <w:br/>
              <w:t xml:space="preserve">  (see context: "Dose constraints for normal tissues; rectum $D_{2\mathrm{cc}}\leqslant65\sim75\mathrm{Gy}$; bladder $D_{2\mathrm{cc}}\leqslant80{-}90\mathrm{Gy}$").</w:t>
            </w:r>
          </w:p>
        </w:tc>
        <w:tc>
          <w:tcPr>
            <w:tcW w:w="1152" w:type="dxa"/>
            <w:vAlign w:val="center"/>
          </w:tcPr>
          <w:p w14:paraId="177DE1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2D7D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4632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64104C3" w14:textId="77777777">
        <w:tc>
          <w:tcPr>
            <w:tcW w:w="2160" w:type="dxa"/>
            <w:vAlign w:val="center"/>
          </w:tcPr>
          <w:p w14:paraId="3426227B"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605A6B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radical radiotherapy for locally advanced cervical cancer, brachytherapy (afterloading) is a key component. the guideline-recommended equivalent biological dose (EQD2) targets for point A or high-risk clinical target volume (HR-CTV) are as follows:  </w:t>
            </w:r>
            <w:r w:rsidRPr="00CB2EC4">
              <w:rPr>
                <w:rFonts w:ascii="Times New Roman" w:hAnsi="Times New Roman" w:cs="Times New Roman"/>
              </w:rPr>
              <w:br/>
              <w:t xml:space="preserve">- EQD2 target: when combined with external beam radiotherapy (EBRT), the EQD2 for point A or HR-CTV D90 should reach 80–85 Gy; for large tumor volumes or those with poor regression, EQD2 should be ≥87 Gy.  </w:t>
            </w:r>
            <w:r w:rsidRPr="00CB2EC4">
              <w:rPr>
                <w:rFonts w:ascii="Times New Roman" w:hAnsi="Times New Roman" w:cs="Times New Roman"/>
              </w:rPr>
              <w:br/>
              <w:t xml:space="preserve">- normal organ dose constraints: to protect surrounding normal organs, strict dose limits are imposed on the rectum and bladder:  </w:t>
            </w:r>
            <w:r w:rsidRPr="00CB2EC4">
              <w:rPr>
                <w:rFonts w:ascii="Times New Roman" w:hAnsi="Times New Roman" w:cs="Times New Roman"/>
              </w:rPr>
              <w:br/>
              <w:t xml:space="preserve">  → rectum: D2cc ≤ 65–75 Gy.  </w:t>
            </w:r>
            <w:r w:rsidRPr="00CB2EC4">
              <w:rPr>
                <w:rFonts w:ascii="Times New Roman" w:hAnsi="Times New Roman" w:cs="Times New Roman"/>
              </w:rPr>
              <w:br/>
              <w:t xml:space="preserve">  → bladder: D2cc (documented as D2e, likely a typographical error; context indicates D2cc) ≤ 80–90 Gy.  </w:t>
            </w:r>
            <w:r w:rsidRPr="00CB2EC4">
              <w:rPr>
                <w:rFonts w:ascii="Times New Roman" w:hAnsi="Times New Roman" w:cs="Times New Roman"/>
              </w:rPr>
              <w:br/>
              <w:t>these constraints aim to minimize the risk of radiation injury; if the parameters cannot be met, interstitial brachytherapy should be considered as a supplement (document fragment 1).</w:t>
            </w:r>
          </w:p>
        </w:tc>
        <w:tc>
          <w:tcPr>
            <w:tcW w:w="1152" w:type="dxa"/>
            <w:vAlign w:val="center"/>
          </w:tcPr>
          <w:p w14:paraId="11D9B9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9F3F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65A3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B039E24" w14:textId="77777777">
        <w:tc>
          <w:tcPr>
            <w:tcW w:w="2160" w:type="dxa"/>
            <w:vAlign w:val="center"/>
          </w:tcPr>
          <w:p w14:paraId="576075D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A94CFF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radical radiotherapy for locally advanced cervical cancer, brachytherapy (afterloading) is a key component.  </w:t>
            </w:r>
            <w:r w:rsidRPr="00CB2EC4">
              <w:rPr>
                <w:rFonts w:ascii="Times New Roman" w:hAnsi="Times New Roman" w:cs="Times New Roman"/>
              </w:rPr>
              <w:br/>
              <w:t xml:space="preserve">according to guidelines, the equivalent biological dose </w:t>
            </w:r>
            <w:r w:rsidRPr="00CB2EC4">
              <w:rPr>
                <w:rFonts w:ascii="Times New Roman" w:hAnsi="Times New Roman" w:cs="Times New Roman"/>
              </w:rPr>
              <w:lastRenderedPageBreak/>
              <w:t xml:space="preserve">(EQD2) target for point A or high-risk clinical target volume (HR-CTV) is:  </w:t>
            </w:r>
            <w:r w:rsidRPr="00CB2EC4">
              <w:rPr>
                <w:rFonts w:ascii="Times New Roman" w:hAnsi="Times New Roman" w:cs="Times New Roman"/>
              </w:rPr>
              <w:br/>
              <w:t xml:space="preserve">- 80~85 Gy when combined with external beam radiotherapy (EBRT);  </w:t>
            </w:r>
            <w:r w:rsidRPr="00CB2EC4">
              <w:rPr>
                <w:rFonts w:ascii="Times New Roman" w:hAnsi="Times New Roman" w:cs="Times New Roman"/>
              </w:rPr>
              <w:br/>
              <w:t xml:space="preserve">- ≥87 Gy for large tumor volumes or those with poor regression.  </w:t>
            </w:r>
            <w:r w:rsidRPr="00CB2EC4">
              <w:rPr>
                <w:rFonts w:ascii="Times New Roman" w:hAnsi="Times New Roman" w:cs="Times New Roman"/>
              </w:rPr>
              <w:br/>
            </w:r>
            <w:r w:rsidRPr="00CB2EC4">
              <w:rPr>
                <w:rFonts w:ascii="Times New Roman" w:hAnsi="Times New Roman" w:cs="Times New Roman"/>
              </w:rPr>
              <w:br/>
              <w:t xml:space="preserve">to protect surrounding normal organs, dose constraints are as follows:  </w:t>
            </w:r>
            <w:r w:rsidRPr="00CB2EC4">
              <w:rPr>
                <w:rFonts w:ascii="Times New Roman" w:hAnsi="Times New Roman" w:cs="Times New Roman"/>
              </w:rPr>
              <w:br/>
              <w:t xml:space="preserve">- rectum: \( D_{2\mathrm{cc}} \leqslant 65 \sim 75 \mathrm{Gy} \)  </w:t>
            </w:r>
            <w:r w:rsidRPr="00CB2EC4">
              <w:rPr>
                <w:rFonts w:ascii="Times New Roman" w:hAnsi="Times New Roman" w:cs="Times New Roman"/>
              </w:rPr>
              <w:br/>
              <w:t xml:space="preserve">- bladder: \( D_{2\mathrm{e}} \leqslant 80 - 90 \mathrm{Gy} \) (where \( D_{2\mathrm{e}} \) likely refers to the 2cc equivalent dose)  </w:t>
            </w:r>
            <w:r w:rsidRPr="00CB2EC4">
              <w:rPr>
                <w:rFonts w:ascii="Times New Roman" w:hAnsi="Times New Roman" w:cs="Times New Roman"/>
              </w:rPr>
              <w:br/>
            </w:r>
            <w:r w:rsidRPr="00CB2EC4">
              <w:rPr>
                <w:rFonts w:ascii="Times New Roman" w:hAnsi="Times New Roman" w:cs="Times New Roman"/>
              </w:rPr>
              <w:br/>
              <w:t xml:space="preserve">if these dose limits cannot be met, interstitial brachytherapy should be considered as a supplement.  </w:t>
            </w:r>
            <w:r w:rsidRPr="00CB2EC4">
              <w:rPr>
                <w:rFonts w:ascii="Times New Roman" w:hAnsi="Times New Roman" w:cs="Times New Roman"/>
              </w:rPr>
              <w:br/>
              <w:t>(source: first document segment)</w:t>
            </w:r>
          </w:p>
        </w:tc>
        <w:tc>
          <w:tcPr>
            <w:tcW w:w="1152" w:type="dxa"/>
            <w:vAlign w:val="center"/>
          </w:tcPr>
          <w:p w14:paraId="29FBB0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9F4F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5B4FA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A7DF05" w14:textId="77777777">
        <w:tc>
          <w:tcPr>
            <w:tcW w:w="2160" w:type="dxa"/>
            <w:vAlign w:val="center"/>
          </w:tcPr>
          <w:p w14:paraId="14D6AC90"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AA6CFDB" w14:textId="77777777" w:rsidR="00922249" w:rsidRPr="00CB2EC4" w:rsidRDefault="003011D5">
            <w:pPr>
              <w:rPr>
                <w:rFonts w:ascii="Times New Roman" w:hAnsi="Times New Roman" w:cs="Times New Roman"/>
              </w:rPr>
            </w:pPr>
            <w:r w:rsidRPr="00CB2EC4">
              <w:rPr>
                <w:rFonts w:ascii="Times New Roman" w:hAnsi="Times New Roman" w:cs="Times New Roman"/>
              </w:rPr>
              <w:t>during radical radiotherapy for locally advanced cervical cancer, brachytherapy (afterloading) is a key component. what are the guideline-recommended equivalent biological dose (EQD2) targets for point A or high-risk clinical target volume (HR-CTV)? what are the dose constraints for surrounding normal organs, specifically the rectum and bladder?</w:t>
            </w:r>
            <w:r w:rsidRPr="00CB2EC4">
              <w:rPr>
                <w:rFonts w:ascii="Times New Roman" w:hAnsi="Times New Roman" w:cs="Times New Roman"/>
              </w:rPr>
              <w:br/>
            </w:r>
            <w:r w:rsidRPr="00CB2EC4">
              <w:rPr>
                <w:rFonts w:ascii="Times New Roman" w:hAnsi="Times New Roman" w:cs="Times New Roman"/>
              </w:rPr>
              <w:br/>
              <w:t>based on the provided context (primarily from document fragment 1):</w:t>
            </w:r>
            <w:r w:rsidRPr="00CB2EC4">
              <w:rPr>
                <w:rFonts w:ascii="Times New Roman" w:hAnsi="Times New Roman" w:cs="Times New Roman"/>
              </w:rPr>
              <w:br/>
              <w:t>- EQD2 target for point A or HR-CTV: when combined with external beam radiotherapy (EBRT), the D₉₀ EQD2 for point A or HR-CTV should reach 80–85 Gy; for large tumors or those with poor regression, EQD2 should be ≥87 Gy.</w:t>
            </w:r>
            <w:r w:rsidRPr="00CB2EC4">
              <w:rPr>
                <w:rFonts w:ascii="Times New Roman" w:hAnsi="Times New Roman" w:cs="Times New Roman"/>
              </w:rPr>
              <w:br/>
              <w:t>- normal organ dose constraints:</w:t>
            </w:r>
            <w:r w:rsidRPr="00CB2EC4">
              <w:rPr>
                <w:rFonts w:ascii="Times New Roman" w:hAnsi="Times New Roman" w:cs="Times New Roman"/>
              </w:rPr>
              <w:br/>
            </w:r>
            <w:r w:rsidRPr="00CB2EC4">
              <w:rPr>
                <w:rFonts w:ascii="Times New Roman" w:hAnsi="Times New Roman" w:cs="Times New Roman"/>
              </w:rPr>
              <w:lastRenderedPageBreak/>
              <w:t xml:space="preserve">  - rectum: D₂cc ≤ 65–75 Gy (i.e., the maximum dose to the most irradiated 2 cm³ volume of the rectum should not exceed 65–75 Gy).</w:t>
            </w:r>
            <w:r w:rsidRPr="00CB2EC4">
              <w:rPr>
                <w:rFonts w:ascii="Times New Roman" w:hAnsi="Times New Roman" w:cs="Times New Roman"/>
              </w:rPr>
              <w:br/>
              <w:t xml:space="preserve">  - bladder: D₂cc ≤ 80–90 Gy (i.e., the maximum dose to the most irradiated 2 cm³ volume of the bladder should not exceed 80–90 Gy).</w:t>
            </w:r>
            <w:r w:rsidRPr="00CB2EC4">
              <w:rPr>
                <w:rFonts w:ascii="Times New Roman" w:hAnsi="Times New Roman" w:cs="Times New Roman"/>
              </w:rPr>
              <w:br/>
              <w:t>if these parameters cannot be met, interstitial implant techniques should be considered as a supplement.</w:t>
            </w:r>
          </w:p>
        </w:tc>
        <w:tc>
          <w:tcPr>
            <w:tcW w:w="1152" w:type="dxa"/>
            <w:vAlign w:val="center"/>
          </w:tcPr>
          <w:p w14:paraId="3C80B9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14F00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E14F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1D50AD" w14:textId="77777777">
        <w:tc>
          <w:tcPr>
            <w:tcW w:w="2160" w:type="dxa"/>
            <w:vAlign w:val="center"/>
          </w:tcPr>
          <w:p w14:paraId="1723A2F4"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D2F1FD7"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During radical radiotherapy for locally advanced cervical cancer, brachytherapy (afterloading) is a critical component. The recommended equivalent biological dose (EQD2) target for point A or high-risk clinical target volume (HR-CTV) is:</w:t>
            </w:r>
            <w:r w:rsidRPr="00CB2EC4">
              <w:rPr>
                <w:rFonts w:ascii="Times New Roman" w:hAnsi="Times New Roman" w:cs="Times New Roman"/>
              </w:rPr>
              <w:br/>
            </w:r>
            <w:r w:rsidRPr="00CB2EC4">
              <w:rPr>
                <w:rFonts w:ascii="Times New Roman" w:hAnsi="Times New Roman" w:cs="Times New Roman"/>
              </w:rPr>
              <w:br/>
              <w:t>- D90 EQD2 of 80–85 Gy for standard cases</w:t>
            </w:r>
            <w:r w:rsidRPr="00CB2EC4">
              <w:rPr>
                <w:rFonts w:ascii="Times New Roman" w:hAnsi="Times New Roman" w:cs="Times New Roman"/>
              </w:rPr>
              <w:br/>
              <w:t>- EQD2 ≥ 87 Gy for large or poorly regressing tumors</w:t>
            </w:r>
            <w:r w:rsidRPr="00CB2EC4">
              <w:rPr>
                <w:rFonts w:ascii="Times New Roman" w:hAnsi="Times New Roman" w:cs="Times New Roman"/>
              </w:rPr>
              <w:br/>
            </w:r>
            <w:r w:rsidRPr="00CB2EC4">
              <w:rPr>
                <w:rFonts w:ascii="Times New Roman" w:hAnsi="Times New Roman" w:cs="Times New Roman"/>
              </w:rPr>
              <w:br/>
              <w:t>Dose constraints for surrounding normal organs are:</w:t>
            </w:r>
            <w:r w:rsidRPr="00CB2EC4">
              <w:rPr>
                <w:rFonts w:ascii="Times New Roman" w:hAnsi="Times New Roman" w:cs="Times New Roman"/>
              </w:rPr>
              <w:br/>
              <w:t>- Rectum: D2cc ≤ 65–75 Gy</w:t>
            </w:r>
            <w:r w:rsidRPr="00CB2EC4">
              <w:rPr>
                <w:rFonts w:ascii="Times New Roman" w:hAnsi="Times New Roman" w:cs="Times New Roman"/>
              </w:rPr>
              <w:br/>
              <w:t>- Bladder: D2cc ≤ 80–90 Gy (Note: The document specifies $D_{2\mathrm{e}}$, but in context, this refers to D2cc dose limits)</w:t>
            </w:r>
            <w:r w:rsidRPr="00CB2EC4">
              <w:rPr>
                <w:rFonts w:ascii="Times New Roman" w:hAnsi="Times New Roman" w:cs="Times New Roman"/>
              </w:rPr>
              <w:br/>
            </w:r>
            <w:r w:rsidRPr="00CB2EC4">
              <w:rPr>
                <w:rFonts w:ascii="Times New Roman" w:hAnsi="Times New Roman" w:cs="Times New Roman"/>
              </w:rPr>
              <w:br/>
              <w:t>These constraints aim to minimize normal tissue injury. If the parameters cannot be met, interstitial implant techniques should be considered as a supplement.</w:t>
            </w:r>
          </w:p>
        </w:tc>
        <w:tc>
          <w:tcPr>
            <w:tcW w:w="1152" w:type="dxa"/>
            <w:vAlign w:val="center"/>
          </w:tcPr>
          <w:p w14:paraId="23E553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C4DB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3576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FA1E49" w14:textId="77777777">
        <w:tc>
          <w:tcPr>
            <w:tcW w:w="2160" w:type="dxa"/>
            <w:vAlign w:val="center"/>
          </w:tcPr>
          <w:p w14:paraId="03ACE1A1"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A589CB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Response:  </w:t>
            </w:r>
            <w:r w:rsidRPr="00CB2EC4">
              <w:rPr>
                <w:rFonts w:ascii="Times New Roman" w:hAnsi="Times New Roman" w:cs="Times New Roman"/>
              </w:rPr>
              <w:br/>
              <w:t xml:space="preserve">  According to the referenced guideline information (document fragment 5, relevance: 0.8935):  </w:t>
            </w:r>
            <w:r w:rsidRPr="00CB2EC4">
              <w:rPr>
                <w:rFonts w:ascii="Times New Roman" w:hAnsi="Times New Roman" w:cs="Times New Roman"/>
              </w:rPr>
              <w:br/>
              <w:t xml:space="preserve">  - The equivalent biological dose (EQD2) target for </w:t>
            </w:r>
            <w:r w:rsidRPr="00CB2EC4">
              <w:rPr>
                <w:rFonts w:ascii="Times New Roman" w:hAnsi="Times New Roman" w:cs="Times New Roman"/>
              </w:rPr>
              <w:lastRenderedPageBreak/>
              <w:t xml:space="preserve">point A or high-risk clinical target volume (HR-CTV) is: when combined with external beam radiotherapy (EBRT), EQD2 should reach 80–85 Gy; for large or poorly regressing tumors, EQD2 should be ≥87 Gy.  </w:t>
            </w:r>
            <w:r w:rsidRPr="00CB2EC4">
              <w:rPr>
                <w:rFonts w:ascii="Times New Roman" w:hAnsi="Times New Roman" w:cs="Times New Roman"/>
              </w:rPr>
              <w:br/>
              <w:t xml:space="preserve">  - To protect surrounding normal organs, dose constraints for the rectum and bladder are as follows:  </w:t>
            </w:r>
            <w:r w:rsidRPr="00CB2EC4">
              <w:rPr>
                <w:rFonts w:ascii="Times New Roman" w:hAnsi="Times New Roman" w:cs="Times New Roman"/>
              </w:rPr>
              <w:br/>
              <w:t xml:space="preserve">    - Rectum: D2cc (maximum dose to 2 cm³ volume) ≤ 65–75 Gy.  </w:t>
            </w:r>
            <w:r w:rsidRPr="00CB2EC4">
              <w:rPr>
                <w:rFonts w:ascii="Times New Roman" w:hAnsi="Times New Roman" w:cs="Times New Roman"/>
              </w:rPr>
              <w:br/>
              <w:t xml:space="preserve">    - Bladder: D2cc ≤ 80–90 Gy.  </w:t>
            </w:r>
            <w:r w:rsidRPr="00CB2EC4">
              <w:rPr>
                <w:rFonts w:ascii="Times New Roman" w:hAnsi="Times New Roman" w:cs="Times New Roman"/>
              </w:rPr>
              <w:br/>
              <w:t xml:space="preserve">  These limits aim to minimize radiotherapy-related complications such as proctitis or cystitis.</w:t>
            </w:r>
          </w:p>
        </w:tc>
        <w:tc>
          <w:tcPr>
            <w:tcW w:w="1152" w:type="dxa"/>
            <w:vAlign w:val="center"/>
          </w:tcPr>
          <w:p w14:paraId="548171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DCAA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8B38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552B54" w14:textId="77777777">
        <w:tc>
          <w:tcPr>
            <w:tcW w:w="2160" w:type="dxa"/>
            <w:vAlign w:val="center"/>
          </w:tcPr>
          <w:p w14:paraId="716895FB"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44EB89E" w14:textId="77777777" w:rsidR="00922249" w:rsidRPr="00CB2EC4" w:rsidRDefault="003011D5">
            <w:pPr>
              <w:rPr>
                <w:rFonts w:ascii="Times New Roman" w:hAnsi="Times New Roman" w:cs="Times New Roman"/>
              </w:rPr>
            </w:pPr>
            <w:r w:rsidRPr="00CB2EC4">
              <w:rPr>
                <w:rFonts w:ascii="Times New Roman" w:hAnsi="Times New Roman" w:cs="Times New Roman"/>
              </w:rPr>
              <w:t>when performing radical radiotherapy for locally advanced cervical cancer, brachytherapy (afterloading) is a key component. what are the guideline-recommended equivalent biological dose (EQD2) targets for point A or the high-risk clinical target volume (HR-CTV)? what are the dose constraints for the rectum and bladder to protect surrounding normal organs?</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based on the provided information, the guideline-recommended EQD2 target for point A or HR-CTV is 80–85 Gy; for large tumor volumes or poor regression, EQD2 must be ≥87 Gy. to protect surrounding normal organs, the dose constraints are: rectum D2cc ≤65–75 Gy; bladder D2cc ≤80–90 Gy.  </w:t>
            </w:r>
            <w:r w:rsidRPr="00CB2EC4">
              <w:rPr>
                <w:rFonts w:ascii="Times New Roman" w:hAnsi="Times New Roman" w:cs="Times New Roman"/>
              </w:rPr>
              <w:br/>
              <w:t xml:space="preserve">- evidence:  </w:t>
            </w:r>
            <w:r w:rsidRPr="00CB2EC4">
              <w:rPr>
                <w:rFonts w:ascii="Times New Roman" w:hAnsi="Times New Roman" w:cs="Times New Roman"/>
              </w:rPr>
              <w:br/>
              <w:t xml:space="preserve">  - from source fragment 4 (original block 40-42): "combined with EBRT, EQD2 for D90 of point A or high-risk CTV (HR-CTV) must reach 80–85 Gy; for large tumor volumes or poor regression, EQD2 for D90 of point A or HR-CTV ≥87 Gy. dose constraints for normal tissues: rectum D2cc ≤65–75 Gy; sigmoid </w:t>
            </w:r>
            <w:r w:rsidRPr="00CB2EC4">
              <w:rPr>
                <w:rFonts w:ascii="Times New Roman" w:hAnsi="Times New Roman" w:cs="Times New Roman"/>
              </w:rPr>
              <w:lastRenderedPageBreak/>
              <w:t>colon D2cc ≤70–75 Gy; bladder D2cc ≤80–90 Gy."</w:t>
            </w:r>
          </w:p>
        </w:tc>
        <w:tc>
          <w:tcPr>
            <w:tcW w:w="1152" w:type="dxa"/>
            <w:vAlign w:val="center"/>
          </w:tcPr>
          <w:p w14:paraId="6B0D57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9EC05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A5FF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427223" w14:textId="77777777">
        <w:tc>
          <w:tcPr>
            <w:tcW w:w="2160" w:type="dxa"/>
            <w:vAlign w:val="center"/>
          </w:tcPr>
          <w:p w14:paraId="6B6C2D53"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013B414" w14:textId="77777777" w:rsidR="00922249" w:rsidRPr="00CB2EC4" w:rsidRDefault="003011D5">
            <w:pPr>
              <w:rPr>
                <w:rFonts w:ascii="Times New Roman" w:hAnsi="Times New Roman" w:cs="Times New Roman"/>
              </w:rPr>
            </w:pPr>
            <w:r w:rsidRPr="00CB2EC4">
              <w:rPr>
                <w:rFonts w:ascii="Times New Roman" w:hAnsi="Times New Roman" w:cs="Times New Roman"/>
              </w:rPr>
              <w:t>for radical radiotherapy in locally advanced cervical cancer, brachytherapy (afterloading) is a key component. what are the guideline-recommended equivalent biological dose (EQD2) targets for point A or the high-risk clinical target volume (HR-CTV)? what are the dose constraints for surrounding normal organs, specifically the rectum and bladder, to protect them?</w:t>
            </w:r>
            <w:r w:rsidRPr="00CB2EC4">
              <w:rPr>
                <w:rFonts w:ascii="Times New Roman" w:hAnsi="Times New Roman" w:cs="Times New Roman"/>
              </w:rPr>
              <w:br/>
            </w:r>
            <w:r w:rsidRPr="00CB2EC4">
              <w:rPr>
                <w:rFonts w:ascii="Times New Roman" w:hAnsi="Times New Roman" w:cs="Times New Roman"/>
              </w:rPr>
              <w:br/>
              <w:t>EQD2 target for point A or HR-CTV: the recommended total equivalent biological dose (EQD2) for point A or the high-risk clinical target volume (HR-CTV) is 80–90 Gy (combined dose from external beam radiotherapy and brachytherapy).</w:t>
            </w:r>
            <w:r w:rsidRPr="00CB2EC4">
              <w:rPr>
                <w:rFonts w:ascii="Times New Roman" w:hAnsi="Times New Roman" w:cs="Times New Roman"/>
              </w:rPr>
              <w:br/>
              <w:t>- normal organ dose constraints: to protect surrounding normal organs, guidelines recommend the following limits:</w:t>
            </w:r>
            <w:r w:rsidRPr="00CB2EC4">
              <w:rPr>
                <w:rFonts w:ascii="Times New Roman" w:hAnsi="Times New Roman" w:cs="Times New Roman"/>
              </w:rPr>
              <w:br/>
              <w:t xml:space="preserve">  - rectum: D2cc (maximum dose to the most exposed 2 cm³ volume) should be ≤ 75 Gy EQD2.</w:t>
            </w:r>
            <w:r w:rsidRPr="00CB2EC4">
              <w:rPr>
                <w:rFonts w:ascii="Times New Roman" w:hAnsi="Times New Roman" w:cs="Times New Roman"/>
              </w:rPr>
              <w:br/>
              <w:t xml:space="preserve">  - bladder: D2cc should be ≤ 90 Gy EQD2.</w:t>
            </w:r>
          </w:p>
        </w:tc>
        <w:tc>
          <w:tcPr>
            <w:tcW w:w="1152" w:type="dxa"/>
            <w:vAlign w:val="center"/>
          </w:tcPr>
          <w:p w14:paraId="7EF01E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D03B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7DB2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59C5994" w14:textId="77777777">
        <w:tc>
          <w:tcPr>
            <w:tcW w:w="10656" w:type="dxa"/>
            <w:gridSpan w:val="5"/>
            <w:tcBorders>
              <w:bottom w:val="single" w:sz="6" w:space="0" w:color="auto"/>
            </w:tcBorders>
            <w:vAlign w:val="center"/>
          </w:tcPr>
          <w:p w14:paraId="7021A3F8" w14:textId="77777777" w:rsidR="00922249" w:rsidRPr="00CB2EC4" w:rsidRDefault="003011D5">
            <w:pPr>
              <w:rPr>
                <w:rFonts w:ascii="Times New Roman" w:hAnsi="Times New Roman" w:cs="Times New Roman"/>
              </w:rPr>
            </w:pPr>
            <w:r w:rsidRPr="00CB2EC4">
              <w:rPr>
                <w:rFonts w:ascii="Times New Roman" w:hAnsi="Times New Roman" w:cs="Times New Roman"/>
                <w:b/>
              </w:rPr>
              <w:t>Question 97: For patients with locally advanced cervical cancer receiving concurrent chemoradiotherapy, what is the standard weekly chemotherapy regimen (including drug name and dosage) recommended by the guidelines? If a patient cannot tolerate this regimen, what are the alternative options?</w:t>
            </w:r>
          </w:p>
        </w:tc>
      </w:tr>
      <w:tr w:rsidR="00922249" w:rsidRPr="00CB2EC4" w14:paraId="2E48F8C2" w14:textId="77777777">
        <w:tc>
          <w:tcPr>
            <w:tcW w:w="2160" w:type="dxa"/>
            <w:vAlign w:val="center"/>
          </w:tcPr>
          <w:p w14:paraId="6A255F99"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6D172C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standard weekly chemotherapy regimen:  </w:t>
            </w:r>
            <w:r w:rsidRPr="00CB2EC4">
              <w:rPr>
                <w:rFonts w:ascii="Times New Roman" w:hAnsi="Times New Roman" w:cs="Times New Roman"/>
              </w:rPr>
              <w:br/>
              <w:t xml:space="preserve">- Drug name: Cisplatin (DDP).  </w:t>
            </w:r>
            <w:r w:rsidRPr="00CB2EC4">
              <w:rPr>
                <w:rFonts w:ascii="Times New Roman" w:hAnsi="Times New Roman" w:cs="Times New Roman"/>
              </w:rPr>
              <w:br/>
              <w:t xml:space="preserve">- Dose: 40 mg/m², once weekly, for 4–6 cycles.  </w:t>
            </w:r>
            <w:r w:rsidRPr="00CB2EC4">
              <w:rPr>
                <w:rFonts w:ascii="Times New Roman" w:hAnsi="Times New Roman" w:cs="Times New Roman"/>
              </w:rPr>
              <w:br/>
            </w:r>
            <w:r w:rsidRPr="00CB2EC4">
              <w:rPr>
                <w:rFonts w:ascii="Times New Roman" w:hAnsi="Times New Roman" w:cs="Times New Roman"/>
              </w:rPr>
              <w:br/>
              <w:t xml:space="preserve">Alternative regimen (if unable to tolerate cisplatin):  </w:t>
            </w:r>
            <w:r w:rsidRPr="00CB2EC4">
              <w:rPr>
                <w:rFonts w:ascii="Times New Roman" w:hAnsi="Times New Roman" w:cs="Times New Roman"/>
              </w:rPr>
              <w:br/>
              <w:t xml:space="preserve">- Carboplatin: AUC = 2, once weekly, for 4–6 cycles.  </w:t>
            </w:r>
            <w:r w:rsidRPr="00CB2EC4">
              <w:rPr>
                <w:rFonts w:ascii="Times New Roman" w:hAnsi="Times New Roman" w:cs="Times New Roman"/>
              </w:rPr>
              <w:br/>
              <w:t>- Or platinum-based dual-agent radiosensitizing chemotherapy (specific drugs not detailed).</w:t>
            </w:r>
          </w:p>
        </w:tc>
        <w:tc>
          <w:tcPr>
            <w:tcW w:w="1152" w:type="dxa"/>
            <w:vAlign w:val="center"/>
          </w:tcPr>
          <w:p w14:paraId="1C2E3D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EEAA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18ED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A50534" w14:textId="77777777">
        <w:tc>
          <w:tcPr>
            <w:tcW w:w="2160" w:type="dxa"/>
            <w:vAlign w:val="center"/>
          </w:tcPr>
          <w:p w14:paraId="407C099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Contextual Chunk </w:t>
            </w:r>
            <w:r w:rsidRPr="00CB2EC4">
              <w:rPr>
                <w:rFonts w:ascii="Times New Roman" w:hAnsi="Times New Roman" w:cs="Times New Roman"/>
              </w:rPr>
              <w:lastRenderedPageBreak/>
              <w:t>Headers</w:t>
            </w:r>
          </w:p>
        </w:tc>
        <w:tc>
          <w:tcPr>
            <w:tcW w:w="5040" w:type="dxa"/>
            <w:vAlign w:val="center"/>
          </w:tcPr>
          <w:p w14:paraId="7187A00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standard weekly chemotherapy regimen for concurrent </w:t>
            </w:r>
            <w:r w:rsidRPr="00CB2EC4">
              <w:rPr>
                <w:rFonts w:ascii="Times New Roman" w:hAnsi="Times New Roman" w:cs="Times New Roman"/>
              </w:rPr>
              <w:lastRenderedPageBreak/>
              <w:t>chemoradiation:</w:t>
            </w:r>
            <w:r w:rsidRPr="00CB2EC4">
              <w:rPr>
                <w:rFonts w:ascii="Times New Roman" w:hAnsi="Times New Roman" w:cs="Times New Roman"/>
              </w:rPr>
              <w:br/>
              <w:t>Recommended cisplatin weekly at a dose of 40 mg/m², once per week, for 4 to 6 cycles.</w:t>
            </w:r>
            <w:r w:rsidRPr="00CB2EC4">
              <w:rPr>
                <w:rFonts w:ascii="Times New Roman" w:hAnsi="Times New Roman" w:cs="Times New Roman"/>
              </w:rPr>
              <w:br/>
              <w:t>(Reference: "Concurrent chemotherapy regimen recommendation: Cisplatin weekly (DDP 40mg/m², once per week, 4~6 cycles)")</w:t>
            </w:r>
            <w:r w:rsidRPr="00CB2EC4">
              <w:rPr>
                <w:rFonts w:ascii="Times New Roman" w:hAnsi="Times New Roman" w:cs="Times New Roman"/>
              </w:rPr>
              <w:br/>
            </w:r>
            <w:r w:rsidRPr="00CB2EC4">
              <w:rPr>
                <w:rFonts w:ascii="Times New Roman" w:hAnsi="Times New Roman" w:cs="Times New Roman"/>
              </w:rPr>
              <w:br/>
              <w:t>alternative regimens for patients intolerant to cisplatin:</w:t>
            </w:r>
            <w:r w:rsidRPr="00CB2EC4">
              <w:rPr>
                <w:rFonts w:ascii="Times New Roman" w:hAnsi="Times New Roman" w:cs="Times New Roman"/>
              </w:rPr>
              <w:br/>
              <w:t>Carboplatin (AUC=2, weekly, 4~6 cycles) or platinum-based doublet radiosensitizing chemotherapy may be selected.</w:t>
            </w:r>
            <w:r w:rsidRPr="00CB2EC4">
              <w:rPr>
                <w:rFonts w:ascii="Times New Roman" w:hAnsi="Times New Roman" w:cs="Times New Roman"/>
              </w:rPr>
              <w:br/>
              <w:t>(Reference: "For patients intolerant to cisplatin, carboplatin (AUC=2, weekly, 4~6 cycles) or platinum-based doublet radiosensitizing chemotherapy may be selected.")</w:t>
            </w:r>
          </w:p>
        </w:tc>
        <w:tc>
          <w:tcPr>
            <w:tcW w:w="1152" w:type="dxa"/>
            <w:vAlign w:val="center"/>
          </w:tcPr>
          <w:p w14:paraId="7B13B1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D9987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EE2F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C8B4FD" w14:textId="77777777">
        <w:tc>
          <w:tcPr>
            <w:tcW w:w="2160" w:type="dxa"/>
            <w:vAlign w:val="center"/>
          </w:tcPr>
          <w:p w14:paraId="1EC58910"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B27F73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Standard Weekly Chemotherapy Regimen:  </w:t>
            </w:r>
            <w:r w:rsidRPr="00CB2EC4">
              <w:rPr>
                <w:rFonts w:ascii="Times New Roman" w:hAnsi="Times New Roman" w:cs="Times New Roman"/>
              </w:rPr>
              <w:br/>
              <w:t xml:space="preserve">  Cisplatin 40 mg/m², once weekly, for a total of 4–6 cycles.</w:t>
            </w:r>
            <w:r w:rsidRPr="00CB2EC4">
              <w:rPr>
                <w:rFonts w:ascii="Times New Roman" w:hAnsi="Times New Roman" w:cs="Times New Roman"/>
              </w:rPr>
              <w:br/>
            </w:r>
            <w:r w:rsidRPr="00CB2EC4">
              <w:rPr>
                <w:rFonts w:ascii="Times New Roman" w:hAnsi="Times New Roman" w:cs="Times New Roman"/>
              </w:rPr>
              <w:br/>
              <w:t xml:space="preserve">- Alternative regimen for patients intolerant to cisplatin:  </w:t>
            </w:r>
            <w:r w:rsidRPr="00CB2EC4">
              <w:rPr>
                <w:rFonts w:ascii="Times New Roman" w:hAnsi="Times New Roman" w:cs="Times New Roman"/>
              </w:rPr>
              <w:br/>
              <w:t xml:space="preserve">  Carboplatin AUC=2, once weekly, for a total of 4–6 cycles.</w:t>
            </w:r>
          </w:p>
        </w:tc>
        <w:tc>
          <w:tcPr>
            <w:tcW w:w="1152" w:type="dxa"/>
            <w:vAlign w:val="center"/>
          </w:tcPr>
          <w:p w14:paraId="6744C3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0C74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E0B6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7B87C3C" w14:textId="77777777">
        <w:tc>
          <w:tcPr>
            <w:tcW w:w="2160" w:type="dxa"/>
            <w:vAlign w:val="center"/>
          </w:tcPr>
          <w:p w14:paraId="55D41F5B"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5C3D0E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Standard Regimens and Alternative Options for Concurrent Chemoradiotherapy  </w:t>
            </w:r>
            <w:r w:rsidRPr="00CB2EC4">
              <w:rPr>
                <w:rFonts w:ascii="Times New Roman" w:hAnsi="Times New Roman" w:cs="Times New Roman"/>
              </w:rPr>
              <w:br/>
            </w:r>
            <w:r w:rsidRPr="00CB2EC4">
              <w:rPr>
                <w:rFonts w:ascii="Times New Roman" w:hAnsi="Times New Roman" w:cs="Times New Roman"/>
              </w:rPr>
              <w:br/>
              <w:t xml:space="preserve">Standard Regimen: Weekly Cisplatin  </w:t>
            </w:r>
            <w:r w:rsidRPr="00CB2EC4">
              <w:rPr>
                <w:rFonts w:ascii="Times New Roman" w:hAnsi="Times New Roman" w:cs="Times New Roman"/>
              </w:rPr>
              <w:br/>
              <w:t xml:space="preserve">- Dosage: Cisplatin 40 mg/m², once weekly, for a total of 4–6 cycles (Category 1 evidence).  </w:t>
            </w:r>
            <w:r w:rsidRPr="00CB2EC4">
              <w:rPr>
                <w:rFonts w:ascii="Times New Roman" w:hAnsi="Times New Roman" w:cs="Times New Roman"/>
              </w:rPr>
              <w:br/>
            </w:r>
            <w:r w:rsidRPr="00CB2EC4">
              <w:rPr>
                <w:rFonts w:ascii="Times New Roman" w:hAnsi="Times New Roman" w:cs="Times New Roman"/>
              </w:rPr>
              <w:br/>
              <w:t xml:space="preserve">Alternative Options (if cisplatin intolerance occurs):  </w:t>
            </w:r>
            <w:r w:rsidRPr="00CB2EC4">
              <w:rPr>
                <w:rFonts w:ascii="Times New Roman" w:hAnsi="Times New Roman" w:cs="Times New Roman"/>
              </w:rPr>
              <w:br/>
              <w:t xml:space="preserve">- Carboplatin (AUC=2, once weekly)  </w:t>
            </w:r>
            <w:r w:rsidRPr="00CB2EC4">
              <w:rPr>
                <w:rFonts w:ascii="Times New Roman" w:hAnsi="Times New Roman" w:cs="Times New Roman"/>
              </w:rPr>
              <w:br/>
            </w:r>
            <w:r w:rsidRPr="00CB2EC4">
              <w:rPr>
                <w:rFonts w:ascii="Times New Roman" w:hAnsi="Times New Roman" w:cs="Times New Roman"/>
              </w:rPr>
              <w:lastRenderedPageBreak/>
              <w:t xml:space="preserve">- Or platinum-based doublet chemotherapy (e.g., paclitaxel + carboplatin).  </w:t>
            </w:r>
            <w:r w:rsidRPr="00CB2EC4">
              <w:rPr>
                <w:rFonts w:ascii="Times New Roman" w:hAnsi="Times New Roman" w:cs="Times New Roman"/>
              </w:rPr>
              <w:br/>
            </w:r>
            <w:r w:rsidRPr="00CB2EC4">
              <w:rPr>
                <w:rFonts w:ascii="Times New Roman" w:hAnsi="Times New Roman" w:cs="Times New Roman"/>
              </w:rPr>
              <w:br/>
              <w:t>&gt; Conclusion: The preferred regimen is weekly cisplatin at 40 mg/m²; if intolerable, switch to carboplatin (AUC=2) or platinum-based doublet chemotherapy.</w:t>
            </w:r>
          </w:p>
        </w:tc>
        <w:tc>
          <w:tcPr>
            <w:tcW w:w="1152" w:type="dxa"/>
            <w:vAlign w:val="center"/>
          </w:tcPr>
          <w:p w14:paraId="04322E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3CEB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28C9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CDC56A" w14:textId="77777777">
        <w:tc>
          <w:tcPr>
            <w:tcW w:w="2160" w:type="dxa"/>
            <w:vAlign w:val="center"/>
          </w:tcPr>
          <w:p w14:paraId="3B82D8B3"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5C01728"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locally advanced cervical cancer who require concurrent chemoradiotherapy, the standard weekly chemotherapy regimen recommended by the guidelines is:</w:t>
            </w:r>
            <w:r w:rsidRPr="00CB2EC4">
              <w:rPr>
                <w:rFonts w:ascii="Times New Roman" w:hAnsi="Times New Roman" w:cs="Times New Roman"/>
              </w:rPr>
              <w:br/>
            </w:r>
            <w:r w:rsidRPr="00CB2EC4">
              <w:rPr>
                <w:rFonts w:ascii="Times New Roman" w:hAnsi="Times New Roman" w:cs="Times New Roman"/>
              </w:rPr>
              <w:br/>
              <w:t>- Standard regimen: Cisplatin (DDP) 40 mg/m², intravenous infusion, once weekly, for a total of 4–6 cycles.</w:t>
            </w:r>
            <w:r w:rsidRPr="00CB2EC4">
              <w:rPr>
                <w:rFonts w:ascii="Times New Roman" w:hAnsi="Times New Roman" w:cs="Times New Roman"/>
              </w:rPr>
              <w:br/>
            </w:r>
            <w:r w:rsidRPr="00CB2EC4">
              <w:rPr>
                <w:rFonts w:ascii="Times New Roman" w:hAnsi="Times New Roman" w:cs="Times New Roman"/>
              </w:rPr>
              <w:br/>
              <w:t>If the patient cannot tolerate cisplatin, alternative regimens include:</w:t>
            </w:r>
            <w:r w:rsidRPr="00CB2EC4">
              <w:rPr>
                <w:rFonts w:ascii="Times New Roman" w:hAnsi="Times New Roman" w:cs="Times New Roman"/>
              </w:rPr>
              <w:br/>
            </w:r>
            <w:r w:rsidRPr="00CB2EC4">
              <w:rPr>
                <w:rFonts w:ascii="Times New Roman" w:hAnsi="Times New Roman" w:cs="Times New Roman"/>
              </w:rPr>
              <w:br/>
              <w:t>- Carboplatin (AUC=2), intravenous infusion, once weekly, for a total of 4–6 cycles;</w:t>
            </w:r>
            <w:r w:rsidRPr="00CB2EC4">
              <w:rPr>
                <w:rFonts w:ascii="Times New Roman" w:hAnsi="Times New Roman" w:cs="Times New Roman"/>
              </w:rPr>
              <w:br/>
              <w:t>- Or platinum-based doublet radiosensitizing chemotherapy (specific regimen not detailed).</w:t>
            </w:r>
            <w:r w:rsidRPr="00CB2EC4">
              <w:rPr>
                <w:rFonts w:ascii="Times New Roman" w:hAnsi="Times New Roman" w:cs="Times New Roman"/>
              </w:rPr>
              <w:br/>
            </w:r>
            <w:r w:rsidRPr="00CB2EC4">
              <w:rPr>
                <w:rFonts w:ascii="Times New Roman" w:hAnsi="Times New Roman" w:cs="Times New Roman"/>
              </w:rPr>
              <w:br/>
              <w:t>The above regimens are administered concurrently with pelvic external beam radiation therapy (EBRT) to reduce the risk of recurrence and mortality.</w:t>
            </w:r>
          </w:p>
        </w:tc>
        <w:tc>
          <w:tcPr>
            <w:tcW w:w="1152" w:type="dxa"/>
            <w:vAlign w:val="center"/>
          </w:tcPr>
          <w:p w14:paraId="554521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835B3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280E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8C83C4" w14:textId="77777777">
        <w:tc>
          <w:tcPr>
            <w:tcW w:w="2160" w:type="dxa"/>
            <w:vAlign w:val="center"/>
          </w:tcPr>
          <w:p w14:paraId="171B4AA7"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D0BA5AA"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locally advanced cervical cancer requiring concurrent chemoradiotherapy, the guideline-recommended standard weekly chemotherapy regimen is:</w:t>
            </w:r>
            <w:r w:rsidRPr="00CB2EC4">
              <w:rPr>
                <w:rFonts w:ascii="Times New Roman" w:hAnsi="Times New Roman" w:cs="Times New Roman"/>
              </w:rPr>
              <w:br/>
            </w:r>
            <w:r w:rsidRPr="00CB2EC4">
              <w:rPr>
                <w:rFonts w:ascii="Times New Roman" w:hAnsi="Times New Roman" w:cs="Times New Roman"/>
              </w:rPr>
              <w:br/>
              <w:t xml:space="preserve">- **Cisplatin (DDP) 40 mg/m²**, administered </w:t>
            </w:r>
            <w:r w:rsidRPr="00CB2EC4">
              <w:rPr>
                <w:rFonts w:ascii="Times New Roman" w:hAnsi="Times New Roman" w:cs="Times New Roman"/>
              </w:rPr>
              <w:lastRenderedPageBreak/>
              <w:t>intravenously once weekly for 4 to 6 cycles, concurrently with pelvic external beam radiotherapy (EBRT), to reduce the risk of recurrence and mortality.</w:t>
            </w:r>
            <w:r w:rsidRPr="00CB2EC4">
              <w:rPr>
                <w:rFonts w:ascii="Times New Roman" w:hAnsi="Times New Roman" w:cs="Times New Roman"/>
              </w:rPr>
              <w:br/>
            </w:r>
            <w:r w:rsidRPr="00CB2EC4">
              <w:rPr>
                <w:rFonts w:ascii="Times New Roman" w:hAnsi="Times New Roman" w:cs="Times New Roman"/>
              </w:rPr>
              <w:br/>
              <w:t>If the patient cannot tolerate this regimen (e.g., due to renal insufficiency or severe adverse reactions), the alternative regimens are:</w:t>
            </w:r>
            <w:r w:rsidRPr="00CB2EC4">
              <w:rPr>
                <w:rFonts w:ascii="Times New Roman" w:hAnsi="Times New Roman" w:cs="Times New Roman"/>
              </w:rPr>
              <w:br/>
            </w:r>
            <w:r w:rsidRPr="00CB2EC4">
              <w:rPr>
                <w:rFonts w:ascii="Times New Roman" w:hAnsi="Times New Roman" w:cs="Times New Roman"/>
              </w:rPr>
              <w:br/>
              <w:t>- **Carboplatin (AUC=2)**, administered intravenously once weekly for 4 to 6 cycles; or</w:t>
            </w:r>
            <w:r w:rsidRPr="00CB2EC4">
              <w:rPr>
                <w:rFonts w:ascii="Times New Roman" w:hAnsi="Times New Roman" w:cs="Times New Roman"/>
              </w:rPr>
              <w:br/>
              <w:t>- **Platinum-based dual-agent radiosensitizing chemotherapy**, such as paclitaxel combined with carboplatin.</w:t>
            </w:r>
            <w:r w:rsidRPr="00CB2EC4">
              <w:rPr>
                <w:rFonts w:ascii="Times New Roman" w:hAnsi="Times New Roman" w:cs="Times New Roman"/>
              </w:rPr>
              <w:br/>
            </w:r>
            <w:r w:rsidRPr="00CB2EC4">
              <w:rPr>
                <w:rFonts w:ascii="Times New Roman" w:hAnsi="Times New Roman" w:cs="Times New Roman"/>
              </w:rPr>
              <w:br/>
              <w:t>The selection of alternative regimens should be based on patient tolerance and institutional resources.</w:t>
            </w:r>
          </w:p>
        </w:tc>
        <w:tc>
          <w:tcPr>
            <w:tcW w:w="1152" w:type="dxa"/>
            <w:vAlign w:val="center"/>
          </w:tcPr>
          <w:p w14:paraId="12DF18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C2FF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BEFA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0E9CCB" w14:textId="77777777">
        <w:tc>
          <w:tcPr>
            <w:tcW w:w="2160" w:type="dxa"/>
            <w:vAlign w:val="center"/>
          </w:tcPr>
          <w:p w14:paraId="68A7E06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B57AB7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standard weekly regimen for concurrent chemoradiotherapy:  </w:t>
            </w:r>
            <w:r w:rsidRPr="00CB2EC4">
              <w:rPr>
                <w:rFonts w:ascii="Times New Roman" w:hAnsi="Times New Roman" w:cs="Times New Roman"/>
              </w:rPr>
              <w:br/>
              <w:t xml:space="preserve">  cisplatin weekly regimen is recommended: cisplatin 40 mg/m², once weekly, for 4 to 6 cycles (see context: "Recommended concurrent chemotherapy regimen: weekly cisplatin (DDP 40 mg/m², once weekly, 4–6 cycles)").  </w:t>
            </w:r>
            <w:r w:rsidRPr="00CB2EC4">
              <w:rPr>
                <w:rFonts w:ascii="Times New Roman" w:hAnsi="Times New Roman" w:cs="Times New Roman"/>
              </w:rPr>
              <w:br/>
              <w:t xml:space="preserve">- alternative regimens for patients unable to tolerate cisplatin:  </w:t>
            </w:r>
            <w:r w:rsidRPr="00CB2EC4">
              <w:rPr>
                <w:rFonts w:ascii="Times New Roman" w:hAnsi="Times New Roman" w:cs="Times New Roman"/>
              </w:rPr>
              <w:br/>
              <w:t xml:space="preserve">  select carboplatin (AUC=2, once weekly, 4–6 cycles) or platinum-based doublet radiosensitizing chemotherapy (see context: "For those who cannot tolerate cisplatin, choose carboplatin (AUC=2, once weekly, 4–6 cycles) or platinum-based doublet radiosensitizing chemotherapy").</w:t>
            </w:r>
          </w:p>
        </w:tc>
        <w:tc>
          <w:tcPr>
            <w:tcW w:w="1152" w:type="dxa"/>
            <w:vAlign w:val="center"/>
          </w:tcPr>
          <w:p w14:paraId="3D5A30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0A30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E0FB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3C62EFF" w14:textId="77777777">
        <w:tc>
          <w:tcPr>
            <w:tcW w:w="2160" w:type="dxa"/>
            <w:vAlign w:val="center"/>
          </w:tcPr>
          <w:p w14:paraId="66A1EAF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Query </w:t>
            </w:r>
            <w:r w:rsidRPr="00CB2EC4">
              <w:rPr>
                <w:rFonts w:ascii="Times New Roman" w:hAnsi="Times New Roman" w:cs="Times New Roman"/>
              </w:rPr>
              <w:lastRenderedPageBreak/>
              <w:t>Transformation</w:t>
            </w:r>
          </w:p>
        </w:tc>
        <w:tc>
          <w:tcPr>
            <w:tcW w:w="5040" w:type="dxa"/>
            <w:vAlign w:val="center"/>
          </w:tcPr>
          <w:p w14:paraId="6CC0E48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for locally advanced cervical cancer patients requiring </w:t>
            </w:r>
            <w:r w:rsidRPr="00CB2EC4">
              <w:rPr>
                <w:rFonts w:ascii="Times New Roman" w:hAnsi="Times New Roman" w:cs="Times New Roman"/>
              </w:rPr>
              <w:lastRenderedPageBreak/>
              <w:t>concurrent chemoradiotherapy, the guideline-recommended standard weekly chemotherapy regimen is:</w:t>
            </w:r>
            <w:r w:rsidRPr="00CB2EC4">
              <w:rPr>
                <w:rFonts w:ascii="Times New Roman" w:hAnsi="Times New Roman" w:cs="Times New Roman"/>
              </w:rPr>
              <w:br/>
              <w:t>- cisplatin (DDP) 40 mg/m², intravenous infusion, once weekly for 4–6 cycles.</w:t>
            </w:r>
            <w:r w:rsidRPr="00CB2EC4">
              <w:rPr>
                <w:rFonts w:ascii="Times New Roman" w:hAnsi="Times New Roman" w:cs="Times New Roman"/>
              </w:rPr>
              <w:br/>
            </w:r>
            <w:r w:rsidRPr="00CB2EC4">
              <w:rPr>
                <w:rFonts w:ascii="Times New Roman" w:hAnsi="Times New Roman" w:cs="Times New Roman"/>
              </w:rPr>
              <w:br/>
              <w:t>if the patient cannot tolerate this regimen, the alternative options are:</w:t>
            </w:r>
            <w:r w:rsidRPr="00CB2EC4">
              <w:rPr>
                <w:rFonts w:ascii="Times New Roman" w:hAnsi="Times New Roman" w:cs="Times New Roman"/>
              </w:rPr>
              <w:br/>
              <w:t>- carboplatin (AUC=2), intravenous infusion, once weekly for 4–6 cycles.</w:t>
            </w:r>
            <w:r w:rsidRPr="00CB2EC4">
              <w:rPr>
                <w:rFonts w:ascii="Times New Roman" w:hAnsi="Times New Roman" w:cs="Times New Roman"/>
              </w:rPr>
              <w:br/>
              <w:t>- or platinum-based dual-agent radiosensitizing chemotherapy (specific agents not detailed).</w:t>
            </w:r>
            <w:r w:rsidRPr="00CB2EC4">
              <w:rPr>
                <w:rFonts w:ascii="Times New Roman" w:hAnsi="Times New Roman" w:cs="Times New Roman"/>
              </w:rPr>
              <w:br/>
            </w:r>
            <w:r w:rsidRPr="00CB2EC4">
              <w:rPr>
                <w:rFonts w:ascii="Times New Roman" w:hAnsi="Times New Roman" w:cs="Times New Roman"/>
              </w:rPr>
              <w:br/>
              <w:t>these regimens are administered concurrently with pelvic external beam radiotherapy and are supported by evidence to reduce recurrence and mortality risk.</w:t>
            </w:r>
          </w:p>
        </w:tc>
        <w:tc>
          <w:tcPr>
            <w:tcW w:w="1152" w:type="dxa"/>
            <w:vAlign w:val="center"/>
          </w:tcPr>
          <w:p w14:paraId="3F0C93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7A91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936BB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3671E9" w14:textId="77777777">
        <w:tc>
          <w:tcPr>
            <w:tcW w:w="2160" w:type="dxa"/>
            <w:vAlign w:val="center"/>
          </w:tcPr>
          <w:p w14:paraId="0505C28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903AED9"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guidelines, the standard weekly chemotherapy regimen for patients with locally advanced cervical cancer receiving concurrent chemoradiotherapy is:</w:t>
            </w:r>
            <w:r w:rsidRPr="00CB2EC4">
              <w:rPr>
                <w:rFonts w:ascii="Times New Roman" w:hAnsi="Times New Roman" w:cs="Times New Roman"/>
              </w:rPr>
              <w:br/>
            </w:r>
            <w:r w:rsidRPr="00CB2EC4">
              <w:rPr>
                <w:rFonts w:ascii="Times New Roman" w:hAnsi="Times New Roman" w:cs="Times New Roman"/>
              </w:rPr>
              <w:br/>
              <w:t>- cisplatin (DDP) 40 mg/m², administered weekly for 4 to 6 cycles.</w:t>
            </w:r>
            <w:r w:rsidRPr="00CB2EC4">
              <w:rPr>
                <w:rFonts w:ascii="Times New Roman" w:hAnsi="Times New Roman" w:cs="Times New Roman"/>
              </w:rPr>
              <w:br/>
            </w:r>
            <w:r w:rsidRPr="00CB2EC4">
              <w:rPr>
                <w:rFonts w:ascii="Times New Roman" w:hAnsi="Times New Roman" w:cs="Times New Roman"/>
              </w:rPr>
              <w:br/>
              <w:t>if the patient cannot tolerate this regimen, the alternative options are:</w:t>
            </w:r>
            <w:r w:rsidRPr="00CB2EC4">
              <w:rPr>
                <w:rFonts w:ascii="Times New Roman" w:hAnsi="Times New Roman" w:cs="Times New Roman"/>
              </w:rPr>
              <w:br/>
            </w:r>
            <w:r w:rsidRPr="00CB2EC4">
              <w:rPr>
                <w:rFonts w:ascii="Times New Roman" w:hAnsi="Times New Roman" w:cs="Times New Roman"/>
              </w:rPr>
              <w:br/>
              <w:t>- carboplatin (AUC=2), administered weekly for 4 to 6 cycles, or</w:t>
            </w:r>
            <w:r w:rsidRPr="00CB2EC4">
              <w:rPr>
                <w:rFonts w:ascii="Times New Roman" w:hAnsi="Times New Roman" w:cs="Times New Roman"/>
              </w:rPr>
              <w:br/>
              <w:t>- platinum-based doublet chemotherapy for radiosensitization.</w:t>
            </w:r>
            <w:r w:rsidRPr="00CB2EC4">
              <w:rPr>
                <w:rFonts w:ascii="Times New Roman" w:hAnsi="Times New Roman" w:cs="Times New Roman"/>
              </w:rPr>
              <w:br/>
            </w:r>
            <w:r w:rsidRPr="00CB2EC4">
              <w:rPr>
                <w:rFonts w:ascii="Times New Roman" w:hAnsi="Times New Roman" w:cs="Times New Roman"/>
              </w:rPr>
              <w:br/>
              <w:t>(source: end of first document excerpt and beginning of second document excerpt)</w:t>
            </w:r>
          </w:p>
        </w:tc>
        <w:tc>
          <w:tcPr>
            <w:tcW w:w="1152" w:type="dxa"/>
            <w:vAlign w:val="center"/>
          </w:tcPr>
          <w:p w14:paraId="2D5788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1AD1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D9D7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98DB2B" w14:textId="77777777">
        <w:tc>
          <w:tcPr>
            <w:tcW w:w="2160" w:type="dxa"/>
            <w:vAlign w:val="center"/>
          </w:tcPr>
          <w:p w14:paraId="34BCC1F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486A4E7D" w14:textId="77777777" w:rsidR="00922249" w:rsidRPr="00CB2EC4" w:rsidRDefault="003011D5">
            <w:pPr>
              <w:rPr>
                <w:rFonts w:ascii="Times New Roman" w:hAnsi="Times New Roman" w:cs="Times New Roman"/>
              </w:rPr>
            </w:pPr>
            <w:r w:rsidRPr="00CB2EC4">
              <w:rPr>
                <w:rFonts w:ascii="Times New Roman" w:hAnsi="Times New Roman" w:cs="Times New Roman"/>
              </w:rPr>
              <w:t>for locally advanced cervical cancer patients requiring concurrent chemoradiotherapy, the guideline-recommended standard weekly chemotherapy regimen is:</w:t>
            </w:r>
            <w:r w:rsidRPr="00CB2EC4">
              <w:rPr>
                <w:rFonts w:ascii="Times New Roman" w:hAnsi="Times New Roman" w:cs="Times New Roman"/>
              </w:rPr>
              <w:br/>
            </w:r>
            <w:r w:rsidRPr="00CB2EC4">
              <w:rPr>
                <w:rFonts w:ascii="Times New Roman" w:hAnsi="Times New Roman" w:cs="Times New Roman"/>
              </w:rPr>
              <w:br/>
              <w:t>- **Drug and dose**: Cisplatin (DDP) 40 mg/m², administered intravenously once weekly, for a total of 4 to 6 cycles.</w:t>
            </w:r>
            <w:r w:rsidRPr="00CB2EC4">
              <w:rPr>
                <w:rFonts w:ascii="Times New Roman" w:hAnsi="Times New Roman" w:cs="Times New Roman"/>
              </w:rPr>
              <w:br/>
            </w:r>
            <w:r w:rsidRPr="00CB2EC4">
              <w:rPr>
                <w:rFonts w:ascii="Times New Roman" w:hAnsi="Times New Roman" w:cs="Times New Roman"/>
              </w:rPr>
              <w:br/>
              <w:t>If the patient cannot tolerate this regimen, the alternative options are:</w:t>
            </w:r>
            <w:r w:rsidRPr="00CB2EC4">
              <w:rPr>
                <w:rFonts w:ascii="Times New Roman" w:hAnsi="Times New Roman" w:cs="Times New Roman"/>
              </w:rPr>
              <w:br/>
            </w:r>
            <w:r w:rsidRPr="00CB2EC4">
              <w:rPr>
                <w:rFonts w:ascii="Times New Roman" w:hAnsi="Times New Roman" w:cs="Times New Roman"/>
              </w:rPr>
              <w:br/>
              <w:t>- Carboplatin (AUC=2) administered intravenously once weekly, for a total of 4 to 6 cycles.</w:t>
            </w:r>
            <w:r w:rsidRPr="00CB2EC4">
              <w:rPr>
                <w:rFonts w:ascii="Times New Roman" w:hAnsi="Times New Roman" w:cs="Times New Roman"/>
              </w:rPr>
              <w:br/>
              <w:t>- Or platinum-based dual-agent chemosensitization (specific drug combinations not detailed in the source context).</w:t>
            </w:r>
          </w:p>
        </w:tc>
        <w:tc>
          <w:tcPr>
            <w:tcW w:w="1152" w:type="dxa"/>
            <w:vAlign w:val="center"/>
          </w:tcPr>
          <w:p w14:paraId="3151F3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0559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83613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490D99" w14:textId="77777777">
        <w:tc>
          <w:tcPr>
            <w:tcW w:w="2160" w:type="dxa"/>
            <w:vAlign w:val="center"/>
          </w:tcPr>
          <w:p w14:paraId="5C1CDD62"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A65CD7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contextual information (similarity score 0.645 fragment), the standard weekly regimen for concurrent chemoradiotherapy is:  </w:t>
            </w:r>
            <w:r w:rsidRPr="00CB2EC4">
              <w:rPr>
                <w:rFonts w:ascii="Times New Roman" w:hAnsi="Times New Roman" w:cs="Times New Roman"/>
              </w:rPr>
              <w:br/>
              <w:t xml:space="preserve">- Drug name: Cisplatin (DDP)  </w:t>
            </w:r>
            <w:r w:rsidRPr="00CB2EC4">
              <w:rPr>
                <w:rFonts w:ascii="Times New Roman" w:hAnsi="Times New Roman" w:cs="Times New Roman"/>
              </w:rPr>
              <w:br/>
              <w:t xml:space="preserve">- Dosage: 40 mg/m², once weekly, for a total of 4~6 cycles.  </w:t>
            </w:r>
            <w:r w:rsidRPr="00CB2EC4">
              <w:rPr>
                <w:rFonts w:ascii="Times New Roman" w:hAnsi="Times New Roman" w:cs="Times New Roman"/>
              </w:rPr>
              <w:br/>
              <w:t xml:space="preserve">This regimen is typically administered during pelvic external beam radiation therapy (EBRT).  </w:t>
            </w:r>
            <w:r w:rsidRPr="00CB2EC4">
              <w:rPr>
                <w:rFonts w:ascii="Times New Roman" w:hAnsi="Times New Roman" w:cs="Times New Roman"/>
              </w:rPr>
              <w:br/>
            </w:r>
            <w:r w:rsidRPr="00CB2EC4">
              <w:rPr>
                <w:rFonts w:ascii="Times New Roman" w:hAnsi="Times New Roman" w:cs="Times New Roman"/>
              </w:rPr>
              <w:br/>
              <w:t xml:space="preserve">If the patient cannot tolerate the weekly cisplatin regimen, the alternative option is:  </w:t>
            </w:r>
            <w:r w:rsidRPr="00CB2EC4">
              <w:rPr>
                <w:rFonts w:ascii="Times New Roman" w:hAnsi="Times New Roman" w:cs="Times New Roman"/>
              </w:rPr>
              <w:br/>
              <w:t xml:space="preserve">- Drug name: Carboplatin  </w:t>
            </w:r>
            <w:r w:rsidRPr="00CB2EC4">
              <w:rPr>
                <w:rFonts w:ascii="Times New Roman" w:hAnsi="Times New Roman" w:cs="Times New Roman"/>
              </w:rPr>
              <w:br/>
              <w:t xml:space="preserve">- Dosage: AUC 2, once weekly, for a total of 4~6 cycles.  </w:t>
            </w:r>
            <w:r w:rsidRPr="00CB2EC4">
              <w:rPr>
                <w:rFonts w:ascii="Times New Roman" w:hAnsi="Times New Roman" w:cs="Times New Roman"/>
              </w:rPr>
              <w:br/>
              <w:t>This regimen is also implemented concurrently with pelvic radiotherapy and is suitable for patients with contraindications or poor tolerance to cisplatin.</w:t>
            </w:r>
          </w:p>
        </w:tc>
        <w:tc>
          <w:tcPr>
            <w:tcW w:w="1152" w:type="dxa"/>
            <w:vAlign w:val="center"/>
          </w:tcPr>
          <w:p w14:paraId="0E8953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54BE7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C08F2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602EBC8" w14:textId="77777777">
        <w:tc>
          <w:tcPr>
            <w:tcW w:w="2160" w:type="dxa"/>
            <w:vAlign w:val="center"/>
          </w:tcPr>
          <w:p w14:paraId="639B83C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601BDB16" w14:textId="77777777" w:rsidR="00922249" w:rsidRPr="00CB2EC4" w:rsidRDefault="003011D5">
            <w:pPr>
              <w:rPr>
                <w:rFonts w:ascii="Times New Roman" w:hAnsi="Times New Roman" w:cs="Times New Roman"/>
              </w:rPr>
            </w:pPr>
            <w:r w:rsidRPr="00CB2EC4">
              <w:rPr>
                <w:rFonts w:ascii="Times New Roman" w:hAnsi="Times New Roman" w:cs="Times New Roman"/>
              </w:rPr>
              <w:t>- Standard weekly chemotherapy regimen: Cisplatin (DDP) 40 mg/m², administered intravenously once weekly for 4 to 6 cycles.</w:t>
            </w:r>
            <w:r w:rsidRPr="00CB2EC4">
              <w:rPr>
                <w:rFonts w:ascii="Times New Roman" w:hAnsi="Times New Roman" w:cs="Times New Roman"/>
              </w:rPr>
              <w:br/>
              <w:t>- Alternative regimen for patients intolerant to cisplatin (e.g., due to renal toxicity or allergy): Carboplatin (AUC = 2, administered intravenously once weekly for 4 to 6 cycles) or platinum-based doublet chemotherapy for radiosensitization (specific agents not detailed in the source context).</w:t>
            </w:r>
            <w:r w:rsidRPr="00CB2EC4">
              <w:rPr>
                <w:rFonts w:ascii="Times New Roman" w:hAnsi="Times New Roman" w:cs="Times New Roman"/>
              </w:rPr>
              <w:br/>
              <w:t>- This regimen is used concurrently with radiotherapy in locally advanced cervical cancer to improve efficacy and reduce recurrence risk.</w:t>
            </w:r>
          </w:p>
        </w:tc>
        <w:tc>
          <w:tcPr>
            <w:tcW w:w="1152" w:type="dxa"/>
            <w:vAlign w:val="center"/>
          </w:tcPr>
          <w:p w14:paraId="27B0BA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F936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B976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80323C" w14:textId="77777777">
        <w:tc>
          <w:tcPr>
            <w:tcW w:w="2160" w:type="dxa"/>
            <w:vAlign w:val="center"/>
          </w:tcPr>
          <w:p w14:paraId="291C19BF"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6146FC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standard weekly chemotherapy regimen recommended by guidelines for patients with locally advanced cervical cancer undergoing concurrent chemoradiation is cisplatin (DDP) 40 mg/m² administered intravenously once weekly for 4 to 6 cycles. if the patient cannot tolerate this regimen, the alternative options are carboplatin (AUC=2, once weekly for 4 to 6 cycles) or platinum-based doublet chemotherapy for radiosensitization.  </w:t>
            </w:r>
            <w:r w:rsidRPr="00CB2EC4">
              <w:rPr>
                <w:rFonts w:ascii="Times New Roman" w:hAnsi="Times New Roman" w:cs="Times New Roman"/>
              </w:rPr>
              <w:br/>
              <w:t xml:space="preserve">- basis:  </w:t>
            </w:r>
            <w:r w:rsidRPr="00CB2EC4">
              <w:rPr>
                <w:rFonts w:ascii="Times New Roman" w:hAnsi="Times New Roman" w:cs="Times New Roman"/>
              </w:rPr>
              <w:br/>
              <w:t xml:space="preserve">  - from source segment 4 (original block 40-42): "concurrent chemotherapy regimen recommendation: weekly cisplatin (DDP 40mg/m², once weekly, 4~6 cycles); for those unable to tolerate cisplatin, choose carboplatin (AUC=2, once weekly, 4~6 cycles) or platinum-based doublet chemotherapy for radiosensitization."</w:t>
            </w:r>
          </w:p>
        </w:tc>
        <w:tc>
          <w:tcPr>
            <w:tcW w:w="1152" w:type="dxa"/>
            <w:vAlign w:val="center"/>
          </w:tcPr>
          <w:p w14:paraId="49120D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931A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7820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166601" w14:textId="77777777">
        <w:tc>
          <w:tcPr>
            <w:tcW w:w="2160" w:type="dxa"/>
            <w:vAlign w:val="center"/>
          </w:tcPr>
          <w:p w14:paraId="1A141CB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09D4D34" w14:textId="77777777" w:rsidR="00922249" w:rsidRPr="00CB2EC4" w:rsidRDefault="003011D5">
            <w:pPr>
              <w:rPr>
                <w:rFonts w:ascii="Times New Roman" w:hAnsi="Times New Roman" w:cs="Times New Roman"/>
              </w:rPr>
            </w:pPr>
            <w:r w:rsidRPr="00CB2EC4">
              <w:rPr>
                <w:rFonts w:ascii="Times New Roman" w:hAnsi="Times New Roman" w:cs="Times New Roman"/>
              </w:rPr>
              <w:t>standard weekly chemotherapy regimen:</w:t>
            </w:r>
            <w:r w:rsidRPr="00CB2EC4">
              <w:rPr>
                <w:rFonts w:ascii="Times New Roman" w:hAnsi="Times New Roman" w:cs="Times New Roman"/>
              </w:rPr>
              <w:br/>
              <w:t xml:space="preserve">  - Drug name: Cisplatin.</w:t>
            </w:r>
            <w:r w:rsidRPr="00CB2EC4">
              <w:rPr>
                <w:rFonts w:ascii="Times New Roman" w:hAnsi="Times New Roman" w:cs="Times New Roman"/>
              </w:rPr>
              <w:br/>
              <w:t xml:space="preserve">  - Dose: 40 mg/m², administered once weekly during the course of radiotherapy (typically for 5–6 weeks).</w:t>
            </w:r>
            <w:r w:rsidRPr="00CB2EC4">
              <w:rPr>
                <w:rFonts w:ascii="Times New Roman" w:hAnsi="Times New Roman" w:cs="Times New Roman"/>
              </w:rPr>
              <w:br/>
            </w:r>
            <w:r w:rsidRPr="00CB2EC4">
              <w:rPr>
                <w:rFonts w:ascii="Times New Roman" w:hAnsi="Times New Roman" w:cs="Times New Roman"/>
              </w:rPr>
              <w:lastRenderedPageBreak/>
              <w:t>- Alternative regimen: If the patient cannot tolerate cisplatin (e.g., due to renal insufficiency, severe nausea, or myelosuppression), the guideline-recommended alternative is:</w:t>
            </w:r>
            <w:r w:rsidRPr="00CB2EC4">
              <w:rPr>
                <w:rFonts w:ascii="Times New Roman" w:hAnsi="Times New Roman" w:cs="Times New Roman"/>
              </w:rPr>
              <w:br/>
              <w:t xml:space="preserve">  - Carboplatin, dosed at AUC 2, given once weekly; or consider single-agent carboplatin or a 5-fluorouracil (5-FU)-based regimen, with specific doses individualized based on patient factors.</w:t>
            </w:r>
          </w:p>
        </w:tc>
        <w:tc>
          <w:tcPr>
            <w:tcW w:w="1152" w:type="dxa"/>
            <w:vAlign w:val="center"/>
          </w:tcPr>
          <w:p w14:paraId="7DA77F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DCEB4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E01EE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FCC638" w14:textId="77777777">
        <w:tc>
          <w:tcPr>
            <w:tcW w:w="10656" w:type="dxa"/>
            <w:gridSpan w:val="5"/>
            <w:tcBorders>
              <w:bottom w:val="single" w:sz="6" w:space="0" w:color="auto"/>
            </w:tcBorders>
            <w:vAlign w:val="center"/>
          </w:tcPr>
          <w:p w14:paraId="355402D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98: According to the "Sedlis criteria," for a patient with squamous cell carcinoma, a tumor size of 3 cm, the presence of lymphovascular space invasion (LVSI), and an invasion depth to the middle third of the cervical stroma, do these findings meet the criteria for intermediate-risk factors?</w:t>
            </w:r>
          </w:p>
        </w:tc>
      </w:tr>
      <w:tr w:rsidR="00922249" w:rsidRPr="00CB2EC4" w14:paraId="0D898EBB" w14:textId="77777777">
        <w:tc>
          <w:tcPr>
            <w:tcW w:w="2160" w:type="dxa"/>
            <w:vAlign w:val="center"/>
          </w:tcPr>
          <w:p w14:paraId="664D3852"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B7683DF" w14:textId="77777777" w:rsidR="00922249" w:rsidRPr="00CB2EC4" w:rsidRDefault="003011D5">
            <w:pPr>
              <w:rPr>
                <w:rFonts w:ascii="Times New Roman" w:hAnsi="Times New Roman" w:cs="Times New Roman"/>
              </w:rPr>
            </w:pPr>
            <w:r w:rsidRPr="00CB2EC4">
              <w:rPr>
                <w:rFonts w:ascii="Times New Roman" w:hAnsi="Times New Roman" w:cs="Times New Roman"/>
              </w:rPr>
              <w:t>yes, the patient meets the criteria for intermediate-risk factors.</w:t>
            </w:r>
            <w:r w:rsidRPr="00CB2EC4">
              <w:rPr>
                <w:rFonts w:ascii="Times New Roman" w:hAnsi="Times New Roman" w:cs="Times New Roman"/>
              </w:rPr>
              <w:br/>
              <w:t xml:space="preserve">  - According to the "Sedlis criteria" (Table 9-1 in the document):</w:t>
            </w:r>
            <w:r w:rsidRPr="00CB2EC4">
              <w:rPr>
                <w:rFonts w:ascii="Times New Roman" w:hAnsi="Times New Roman" w:cs="Times New Roman"/>
              </w:rPr>
              <w:br/>
              <w:t xml:space="preserve">    - For patients with lymphovascular space invasion (LVSI) positive:</w:t>
            </w:r>
            <w:r w:rsidRPr="00CB2EC4">
              <w:rPr>
                <w:rFonts w:ascii="Times New Roman" w:hAnsi="Times New Roman" w:cs="Times New Roman"/>
              </w:rPr>
              <w:br/>
              <w:t xml:space="preserve">      - If the depth of invasion is middle one-third of the cervical stroma, tumor size must be ≥2 cm.</w:t>
            </w:r>
            <w:r w:rsidRPr="00CB2EC4">
              <w:rPr>
                <w:rFonts w:ascii="Times New Roman" w:hAnsi="Times New Roman" w:cs="Times New Roman"/>
              </w:rPr>
              <w:br/>
              <w:t xml:space="preserve">    - User description: tumor size is 3 cm (≥2 cm), LVSI positive, depth of invasion is middle one-third.</w:t>
            </w:r>
            <w:r w:rsidRPr="00CB2EC4">
              <w:rPr>
                <w:rFonts w:ascii="Times New Roman" w:hAnsi="Times New Roman" w:cs="Times New Roman"/>
              </w:rPr>
              <w:br/>
              <w:t xml:space="preserve">    - Therefore, the criteria for intermediate-risk factors are satisfied.</w:t>
            </w:r>
            <w:r w:rsidRPr="00CB2EC4">
              <w:rPr>
                <w:rFonts w:ascii="Times New Roman" w:hAnsi="Times New Roman" w:cs="Times New Roman"/>
              </w:rPr>
              <w:br/>
              <w:t xml:space="preserve">  (Source: The document explicitly lists the "Sedlis criteria", including "lymphovascular space invasion (LVSI) positive, middle one-third stromal invasion: tumor size ≥2 cm".)</w:t>
            </w:r>
          </w:p>
        </w:tc>
        <w:tc>
          <w:tcPr>
            <w:tcW w:w="1152" w:type="dxa"/>
            <w:vAlign w:val="center"/>
          </w:tcPr>
          <w:p w14:paraId="4CADD2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81FB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90E4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A45474" w14:textId="77777777">
        <w:tc>
          <w:tcPr>
            <w:tcW w:w="2160" w:type="dxa"/>
            <w:vAlign w:val="center"/>
          </w:tcPr>
          <w:p w14:paraId="713564D6"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86A5BD5" w14:textId="77777777" w:rsidR="00922249" w:rsidRPr="00CB2EC4" w:rsidRDefault="003011D5">
            <w:pPr>
              <w:rPr>
                <w:rFonts w:ascii="Times New Roman" w:hAnsi="Times New Roman" w:cs="Times New Roman"/>
              </w:rPr>
            </w:pPr>
            <w:r w:rsidRPr="00CB2EC4">
              <w:rPr>
                <w:rFonts w:ascii="Times New Roman" w:hAnsi="Times New Roman" w:cs="Times New Roman"/>
              </w:rPr>
              <w:t>determination of intermediate-risk factors under Sedlis criteria</w:t>
            </w:r>
            <w:r w:rsidRPr="00CB2EC4">
              <w:rPr>
                <w:rFonts w:ascii="Times New Roman" w:hAnsi="Times New Roman" w:cs="Times New Roman"/>
              </w:rPr>
              <w:br/>
            </w:r>
            <w:r w:rsidRPr="00CB2EC4">
              <w:rPr>
                <w:rFonts w:ascii="Times New Roman" w:hAnsi="Times New Roman" w:cs="Times New Roman"/>
              </w:rPr>
              <w:br/>
              <w:t xml:space="preserve">According to document excerpt 4 (topic: postoperative adjuvant therapy for cervical cancer) and document excerpt 2 (topic: postoperative radiotherapy guidelines </w:t>
            </w:r>
            <w:r w:rsidRPr="00CB2EC4">
              <w:rPr>
                <w:rFonts w:ascii="Times New Roman" w:hAnsi="Times New Roman" w:cs="Times New Roman"/>
              </w:rPr>
              <w:lastRenderedPageBreak/>
              <w:t>for cervical cancer):</w:t>
            </w:r>
            <w:r w:rsidRPr="00CB2EC4">
              <w:rPr>
                <w:rFonts w:ascii="Times New Roman" w:hAnsi="Times New Roman" w:cs="Times New Roman"/>
              </w:rPr>
              <w:br/>
              <w:t xml:space="preserve">- Whether intermediate-risk factors are met: Yes.  </w:t>
            </w:r>
            <w:r w:rsidRPr="00CB2EC4">
              <w:rPr>
                <w:rFonts w:ascii="Times New Roman" w:hAnsi="Times New Roman" w:cs="Times New Roman"/>
              </w:rPr>
              <w:br/>
              <w:t xml:space="preserve">  Reason: The Sedlis criteria apply to squamous cell carcinoma patients; intermediate-risk factors include:  </w:t>
            </w:r>
            <w:r w:rsidRPr="00CB2EC4">
              <w:rPr>
                <w:rFonts w:ascii="Times New Roman" w:hAnsi="Times New Roman" w:cs="Times New Roman"/>
              </w:rPr>
              <w:br/>
              <w:t xml:space="preserve">  - Middle one-third stromal invasion AND tumor size ≥2 cm AND lymphovascular space invasion (LVSI) positive.  </w:t>
            </w:r>
            <w:r w:rsidRPr="00CB2EC4">
              <w:rPr>
                <w:rFonts w:ascii="Times New Roman" w:hAnsi="Times New Roman" w:cs="Times New Roman"/>
              </w:rPr>
              <w:br/>
              <w:t xml:space="preserve">  User description: Tumor size 3 cm (≥2 cm), LVSI positive, invasion depth reaching middle one-third, fully meets the criteria.  </w:t>
            </w:r>
            <w:r w:rsidRPr="00CB2EC4">
              <w:rPr>
                <w:rFonts w:ascii="Times New Roman" w:hAnsi="Times New Roman" w:cs="Times New Roman"/>
              </w:rPr>
              <w:br/>
              <w:t xml:space="preserve">  (Source: "For patients with squamous cell carcinoma, intermediate-risk factors may be referenced by the 'Sedlis criteria'... Middle one-third stromal invasion: tumor size ≥2cm lymphovascular space invasion (LVSI) positive")</w:t>
            </w:r>
          </w:p>
        </w:tc>
        <w:tc>
          <w:tcPr>
            <w:tcW w:w="1152" w:type="dxa"/>
            <w:vAlign w:val="center"/>
          </w:tcPr>
          <w:p w14:paraId="1351B8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10E6A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1DFD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D86EB90" w14:textId="77777777">
        <w:tc>
          <w:tcPr>
            <w:tcW w:w="2160" w:type="dxa"/>
            <w:vAlign w:val="center"/>
          </w:tcPr>
          <w:p w14:paraId="7948C5A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7D4480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  Based on document fragment 1 (relevance: 0.900) and document fragment 2 (relevance: 0.800), the Sedlis standard is defined as: lymphovascular space invasion (LVSI) positive, middle one-third stromal invasion, and tumor size ≥2 cm. The patient’s condition is: tumor size 3 cm (≥2 cm), LVSI positive, invasion depth reaching the middle one-third.  </w:t>
            </w:r>
            <w:r w:rsidRPr="00CB2EC4">
              <w:rPr>
                <w:rFonts w:ascii="Times New Roman" w:hAnsi="Times New Roman" w:cs="Times New Roman"/>
              </w:rPr>
              <w:br/>
              <w:t xml:space="preserve">  - Document fragment 7 (relevance: 0.600) emphasizes that LVSI positive is an intermediate-risk factor for squamous cell carcinoma patients and references the Sedlis standard.  </w:t>
            </w:r>
            <w:r w:rsidRPr="00CB2EC4">
              <w:rPr>
                <w:rFonts w:ascii="Times New Roman" w:hAnsi="Times New Roman" w:cs="Times New Roman"/>
              </w:rPr>
              <w:br/>
              <w:t xml:space="preserve">  - Document fragment 4 (relevance: 0.700) mentions intermediate-risk factors including tumor &gt;4 cm, but explicitly states that the Sedlis standard is the specific basis for determining intermediate-risk factors in squamous cell carcinoma.  </w:t>
            </w:r>
            <w:r w:rsidRPr="00CB2EC4">
              <w:rPr>
                <w:rFonts w:ascii="Times New Roman" w:hAnsi="Times New Roman" w:cs="Times New Roman"/>
              </w:rPr>
              <w:br/>
              <w:t xml:space="preserve">  Therefore, this patient meets the criteria for intermediate-risk factors.</w:t>
            </w:r>
          </w:p>
        </w:tc>
        <w:tc>
          <w:tcPr>
            <w:tcW w:w="1152" w:type="dxa"/>
            <w:vAlign w:val="center"/>
          </w:tcPr>
          <w:p w14:paraId="25DC07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23A2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26AB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EC76C4" w14:textId="77777777">
        <w:tc>
          <w:tcPr>
            <w:tcW w:w="2160" w:type="dxa"/>
            <w:vAlign w:val="center"/>
          </w:tcPr>
          <w:p w14:paraId="7C07C26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50BB1555" w14:textId="77777777" w:rsidR="00922249" w:rsidRPr="00CB2EC4" w:rsidRDefault="003011D5">
            <w:pPr>
              <w:rPr>
                <w:rFonts w:ascii="Times New Roman" w:hAnsi="Times New Roman" w:cs="Times New Roman"/>
              </w:rPr>
            </w:pPr>
            <w:r w:rsidRPr="00CB2EC4">
              <w:rPr>
                <w:rFonts w:ascii="Times New Roman" w:hAnsi="Times New Roman" w:cs="Times New Roman"/>
              </w:rPr>
              <w:t>Sedlis criteria for determining intermediate-risk factors in squamous cell carcinoma</w:t>
            </w:r>
            <w:r w:rsidRPr="00CB2EC4">
              <w:rPr>
                <w:rFonts w:ascii="Times New Roman" w:hAnsi="Times New Roman" w:cs="Times New Roman"/>
              </w:rPr>
              <w:br/>
            </w:r>
            <w:r w:rsidRPr="00CB2EC4">
              <w:rPr>
                <w:rFonts w:ascii="Times New Roman" w:hAnsi="Times New Roman" w:cs="Times New Roman"/>
              </w:rPr>
              <w:br/>
              <w:t xml:space="preserve">Knowledge base reference (Table 9-1):  </w:t>
            </w:r>
            <w:r w:rsidRPr="00CB2EC4">
              <w:rPr>
                <w:rFonts w:ascii="Times New Roman" w:hAnsi="Times New Roman" w:cs="Times New Roman"/>
              </w:rPr>
              <w:br/>
              <w:t xml:space="preserve">Sedlis criteria for intermediate-risk factors in squamous cell carcinoma require all of the following to be met:  </w:t>
            </w:r>
            <w:r w:rsidRPr="00CB2EC4">
              <w:rPr>
                <w:rFonts w:ascii="Times New Roman" w:hAnsi="Times New Roman" w:cs="Times New Roman"/>
              </w:rPr>
              <w:br/>
              <w:t xml:space="preserve">1.  Lymphovascular space invasion (LVSI) positive  </w:t>
            </w:r>
            <w:r w:rsidRPr="00CB2EC4">
              <w:rPr>
                <w:rFonts w:ascii="Times New Roman" w:hAnsi="Times New Roman" w:cs="Times New Roman"/>
              </w:rPr>
              <w:br/>
              <w:t xml:space="preserve">2.  Depth of stromal invasion:  </w:t>
            </w:r>
            <w:r w:rsidRPr="00CB2EC4">
              <w:rPr>
                <w:rFonts w:ascii="Times New Roman" w:hAnsi="Times New Roman" w:cs="Times New Roman"/>
              </w:rPr>
              <w:br/>
              <w:t xml:space="preserve">   → Middle one-third invasion + tumor size ≥2 cm  </w:t>
            </w:r>
            <w:r w:rsidRPr="00CB2EC4">
              <w:rPr>
                <w:rFonts w:ascii="Times New Roman" w:hAnsi="Times New Roman" w:cs="Times New Roman"/>
              </w:rPr>
              <w:br/>
              <w:t xml:space="preserve">3.  Tumor size: User-reported as 3 cm (meets ≥2 cm criterion).  </w:t>
            </w:r>
            <w:r w:rsidRPr="00CB2EC4">
              <w:rPr>
                <w:rFonts w:ascii="Times New Roman" w:hAnsi="Times New Roman" w:cs="Times New Roman"/>
              </w:rPr>
              <w:br/>
            </w:r>
            <w:r w:rsidRPr="00CB2EC4">
              <w:rPr>
                <w:rFonts w:ascii="Times New Roman" w:hAnsi="Times New Roman" w:cs="Times New Roman"/>
              </w:rPr>
              <w:br/>
              <w:t xml:space="preserve">Conclusion:  </w:t>
            </w:r>
            <w:r w:rsidRPr="00CB2EC4">
              <w:rPr>
                <w:rFonts w:ascii="Times New Roman" w:hAnsi="Times New Roman" w:cs="Times New Roman"/>
              </w:rPr>
              <w:br/>
              <w:t xml:space="preserve">- LVSI(+) + middle one-third invasion + tumor 3 cm → Meets intermediate-risk criteria; postoperative adjuvant radiotherapy is indicated.  </w:t>
            </w:r>
            <w:r w:rsidRPr="00CB2EC4">
              <w:rPr>
                <w:rFonts w:ascii="Times New Roman" w:hAnsi="Times New Roman" w:cs="Times New Roman"/>
              </w:rPr>
              <w:br/>
              <w:t>- *Note: Adenocarcinoma requires the "four-factor model" (tumor size, LVSI, depth of stromal invasion, histologic type).*</w:t>
            </w:r>
          </w:p>
        </w:tc>
        <w:tc>
          <w:tcPr>
            <w:tcW w:w="1152" w:type="dxa"/>
            <w:vAlign w:val="center"/>
          </w:tcPr>
          <w:p w14:paraId="342E45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E21C8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0B98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502F1E" w14:textId="77777777">
        <w:tc>
          <w:tcPr>
            <w:tcW w:w="2160" w:type="dxa"/>
            <w:vAlign w:val="center"/>
          </w:tcPr>
          <w:p w14:paraId="0E952236"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A4E1F67"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According to the "Sedlis criteria" referenced in Document Fragments 4 and 5, for a patient with squamous cell carcinoma:</w:t>
            </w:r>
            <w:r w:rsidRPr="00CB2EC4">
              <w:rPr>
                <w:rFonts w:ascii="Times New Roman" w:hAnsi="Times New Roman" w:cs="Times New Roman"/>
              </w:rPr>
              <w:br/>
              <w:t>- The combination of positive lymphovascular space invasion (LVSI) and middle one-third stromal invasion requires a tumor size ≥2 cm to qualify as an intermediate-risk factor.</w:t>
            </w:r>
            <w:r w:rsidRPr="00CB2EC4">
              <w:rPr>
                <w:rFonts w:ascii="Times New Roman" w:hAnsi="Times New Roman" w:cs="Times New Roman"/>
              </w:rPr>
              <w:br/>
              <w:t>- Given conditions: tumor size 3 cm (≥2 cm), LVSI positive, invasion depth middle one-third.</w:t>
            </w:r>
            <w:r w:rsidRPr="00CB2EC4">
              <w:rPr>
                <w:rFonts w:ascii="Times New Roman" w:hAnsi="Times New Roman" w:cs="Times New Roman"/>
              </w:rPr>
              <w:br/>
              <w:t xml:space="preserve">- Conclusion: the criteria for intermediate-risk factors are met, as this combination satisfies the Sedlis standard of "LVSI positive + middle one-third stromal </w:t>
            </w:r>
            <w:r w:rsidRPr="00CB2EC4">
              <w:rPr>
                <w:rFonts w:ascii="Times New Roman" w:hAnsi="Times New Roman" w:cs="Times New Roman"/>
              </w:rPr>
              <w:lastRenderedPageBreak/>
              <w:t>invasion: tumor size ≥2 cm".</w:t>
            </w:r>
          </w:p>
        </w:tc>
        <w:tc>
          <w:tcPr>
            <w:tcW w:w="1152" w:type="dxa"/>
            <w:vAlign w:val="center"/>
          </w:tcPr>
          <w:p w14:paraId="721765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692F5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CEE5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9B4161" w14:textId="77777777">
        <w:tc>
          <w:tcPr>
            <w:tcW w:w="2160" w:type="dxa"/>
            <w:vAlign w:val="center"/>
          </w:tcPr>
          <w:p w14:paraId="092C793A"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A336C22" w14:textId="77777777" w:rsidR="00922249" w:rsidRPr="00CB2EC4" w:rsidRDefault="003011D5">
            <w:pPr>
              <w:rPr>
                <w:rFonts w:ascii="Times New Roman" w:hAnsi="Times New Roman" w:cs="Times New Roman"/>
              </w:rPr>
            </w:pPr>
            <w:r w:rsidRPr="00CB2EC4">
              <w:rPr>
                <w:rFonts w:ascii="Times New Roman" w:hAnsi="Times New Roman" w:cs="Times New Roman"/>
              </w:rPr>
              <w:t>yes, the patient meets the criteria for intermediate-risk factors according to the Sedlis standard.</w:t>
            </w:r>
            <w:r w:rsidRPr="00CB2EC4">
              <w:rPr>
                <w:rFonts w:ascii="Times New Roman" w:hAnsi="Times New Roman" w:cs="Times New Roman"/>
              </w:rPr>
              <w:br/>
            </w:r>
            <w:r w:rsidRPr="00CB2EC4">
              <w:rPr>
                <w:rFonts w:ascii="Times New Roman" w:hAnsi="Times New Roman" w:cs="Times New Roman"/>
              </w:rPr>
              <w:br/>
              <w:t>- **Reason**: The Sedlis standard defines intermediate-risk factors for squamous cell carcinoma patients as the presence of lymphovascular space invasion (LVSI) and stromal invasion reaching the middle one-third, with a tumor size ≥2 cm. In this case, the tumor size is 3 cm (≥2 cm), LVSI is positive, and the depth of invasion is the middle one-third of the cervical stroma, which fully satisfies the standard (Document 4, Table 9-1). This indicates that the patient may require adjuvant pelvic external beam radiotherapy after surgery (Document 3).</w:t>
            </w:r>
          </w:p>
        </w:tc>
        <w:tc>
          <w:tcPr>
            <w:tcW w:w="1152" w:type="dxa"/>
            <w:vAlign w:val="center"/>
          </w:tcPr>
          <w:p w14:paraId="71C801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ECCC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750D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3F2FDA" w14:textId="77777777">
        <w:tc>
          <w:tcPr>
            <w:tcW w:w="2160" w:type="dxa"/>
            <w:vAlign w:val="center"/>
          </w:tcPr>
          <w:p w14:paraId="7F27E64C"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8BAFD6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  According to the Sedlis criteria (Table 9-1), patients with squamous cell carcinoma meet intermediate-risk factors if they satisfy any of the following:  </w:t>
            </w:r>
            <w:r w:rsidRPr="00CB2EC4">
              <w:rPr>
                <w:rFonts w:ascii="Times New Roman" w:hAnsi="Times New Roman" w:cs="Times New Roman"/>
              </w:rPr>
              <w:br/>
              <w:t xml:space="preserve">  - Lymphovascular space invasion (LVSI) positive + middle one-third stromal invasion + tumor size ≥2 cm  </w:t>
            </w:r>
            <w:r w:rsidRPr="00CB2EC4">
              <w:rPr>
                <w:rFonts w:ascii="Times New Roman" w:hAnsi="Times New Roman" w:cs="Times New Roman"/>
              </w:rPr>
              <w:br/>
              <w:t xml:space="preserve">  (Reference: "For patients with squamous cell carcinoma, intermediate-risk factors (tumor size, stromal invasion, lymphovascular space invasion) may be assessed using the 'Sedlis criteria'... middle one-third stromal invasion: tumor size ≥2 cm").  </w:t>
            </w:r>
            <w:r w:rsidRPr="00CB2EC4">
              <w:rPr>
                <w:rFonts w:ascii="Times New Roman" w:hAnsi="Times New Roman" w:cs="Times New Roman"/>
              </w:rPr>
              <w:br/>
              <w:t xml:space="preserve">  In this case, tumor size is 3 cm (&gt;2 cm), LVSI is positive, and invasion depth reaches the middle one-third, fully meeting the intermediate-risk criteria.</w:t>
            </w:r>
          </w:p>
        </w:tc>
        <w:tc>
          <w:tcPr>
            <w:tcW w:w="1152" w:type="dxa"/>
            <w:vAlign w:val="center"/>
          </w:tcPr>
          <w:p w14:paraId="789916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FAD5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EFD8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46BFE6" w14:textId="77777777">
        <w:tc>
          <w:tcPr>
            <w:tcW w:w="2160" w:type="dxa"/>
            <w:vAlign w:val="center"/>
          </w:tcPr>
          <w:p w14:paraId="171B9796"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89323B8" w14:textId="77777777" w:rsidR="00922249" w:rsidRPr="00CB2EC4" w:rsidRDefault="003011D5">
            <w:pPr>
              <w:rPr>
                <w:rFonts w:ascii="Times New Roman" w:hAnsi="Times New Roman" w:cs="Times New Roman"/>
              </w:rPr>
            </w:pPr>
            <w:r w:rsidRPr="00CB2EC4">
              <w:rPr>
                <w:rFonts w:ascii="Times New Roman" w:hAnsi="Times New Roman" w:cs="Times New Roman"/>
              </w:rPr>
              <w:t>yes, the patient meets the intermediate-risk criteria according to the Sedlis standard.</w:t>
            </w:r>
            <w:r w:rsidRPr="00CB2EC4">
              <w:rPr>
                <w:rFonts w:ascii="Times New Roman" w:hAnsi="Times New Roman" w:cs="Times New Roman"/>
              </w:rPr>
              <w:br/>
            </w:r>
            <w:r w:rsidRPr="00CB2EC4">
              <w:rPr>
                <w:rFonts w:ascii="Times New Roman" w:hAnsi="Times New Roman" w:cs="Times New Roman"/>
              </w:rPr>
              <w:br/>
              <w:t xml:space="preserve">reasoning based on document fragment 9 (similarity </w:t>
            </w:r>
            <w:r w:rsidRPr="00CB2EC4">
              <w:rPr>
                <w:rFonts w:ascii="Times New Roman" w:hAnsi="Times New Roman" w:cs="Times New Roman"/>
              </w:rPr>
              <w:lastRenderedPageBreak/>
              <w:t>0.545):</w:t>
            </w:r>
            <w:r w:rsidRPr="00CB2EC4">
              <w:rPr>
                <w:rFonts w:ascii="Times New Roman" w:hAnsi="Times New Roman" w:cs="Times New Roman"/>
              </w:rPr>
              <w:br/>
              <w:t>- the Sedlis standard applies to squamous cell carcinoma of the cervix.</w:t>
            </w:r>
            <w:r w:rsidRPr="00CB2EC4">
              <w:rPr>
                <w:rFonts w:ascii="Times New Roman" w:hAnsi="Times New Roman" w:cs="Times New Roman"/>
              </w:rPr>
              <w:br/>
              <w:t>- criteria: LVSI positive + middle one-third stromal invasion → tumor size ≥2 cm qualifies as intermediate-risk.</w:t>
            </w:r>
            <w:r w:rsidRPr="00CB2EC4">
              <w:rPr>
                <w:rFonts w:ascii="Times New Roman" w:hAnsi="Times New Roman" w:cs="Times New Roman"/>
              </w:rPr>
              <w:br/>
              <w:t>- patient status: tumor size 3 cm (≥2 cm), LVSI positive, invasion depth reaches middle one-third of cervical stroma.</w:t>
            </w:r>
            <w:r w:rsidRPr="00CB2EC4">
              <w:rPr>
                <w:rFonts w:ascii="Times New Roman" w:hAnsi="Times New Roman" w:cs="Times New Roman"/>
              </w:rPr>
              <w:br/>
              <w:t>- conclusion: the patient satisfies the intermediate-risk criteria because all conditions (LVSI positive, middle one-third stromal invasion, tumor size ≥2 cm) are met.</w:t>
            </w:r>
          </w:p>
        </w:tc>
        <w:tc>
          <w:tcPr>
            <w:tcW w:w="1152" w:type="dxa"/>
            <w:vAlign w:val="center"/>
          </w:tcPr>
          <w:p w14:paraId="5FCE15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01F5A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E200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305915" w14:textId="77777777">
        <w:tc>
          <w:tcPr>
            <w:tcW w:w="2160" w:type="dxa"/>
            <w:vAlign w:val="center"/>
          </w:tcPr>
          <w:p w14:paraId="1F3CBE9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86846D9"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According to the Sedlis criteria:</w:t>
            </w:r>
            <w:r w:rsidRPr="00CB2EC4">
              <w:rPr>
                <w:rFonts w:ascii="Times New Roman" w:hAnsi="Times New Roman" w:cs="Times New Roman"/>
              </w:rPr>
              <w:br/>
              <w:t>- For patients with squamous cell carcinoma pathology, intermediate-risk factors include: positive lymphovascular space invasion (LVSI), middle one-third stromal invasion, and tumor size ≥2 cm.</w:t>
            </w:r>
            <w:r w:rsidRPr="00CB2EC4">
              <w:rPr>
                <w:rFonts w:ascii="Times New Roman" w:hAnsi="Times New Roman" w:cs="Times New Roman"/>
              </w:rPr>
              <w:br/>
              <w:t>- Patient status: tumor size 3 cm (≥2 cm), LVSI positive, invasion depth reaches middle one-third of cervical stroma.</w:t>
            </w:r>
            <w:r w:rsidRPr="00CB2EC4">
              <w:rPr>
                <w:rFonts w:ascii="Times New Roman" w:hAnsi="Times New Roman" w:cs="Times New Roman"/>
              </w:rPr>
              <w:br/>
              <w:t>Therefore, this patient meets the criteria for intermediate-risk factors.</w:t>
            </w:r>
            <w:r w:rsidRPr="00CB2EC4">
              <w:rPr>
                <w:rFonts w:ascii="Times New Roman" w:hAnsi="Times New Roman" w:cs="Times New Roman"/>
              </w:rPr>
              <w:br/>
              <w:t>(Source: Description in Table 9-1 from the second document fragment)</w:t>
            </w:r>
          </w:p>
        </w:tc>
        <w:tc>
          <w:tcPr>
            <w:tcW w:w="1152" w:type="dxa"/>
            <w:vAlign w:val="center"/>
          </w:tcPr>
          <w:p w14:paraId="5372E2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5BAF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5CB2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9F1EBF3" w14:textId="77777777">
        <w:tc>
          <w:tcPr>
            <w:tcW w:w="2160" w:type="dxa"/>
            <w:vAlign w:val="center"/>
          </w:tcPr>
          <w:p w14:paraId="71D66E2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A4D450E" w14:textId="77777777" w:rsidR="00922249" w:rsidRPr="00CB2EC4" w:rsidRDefault="003011D5">
            <w:pPr>
              <w:rPr>
                <w:rFonts w:ascii="Times New Roman" w:hAnsi="Times New Roman" w:cs="Times New Roman"/>
              </w:rPr>
            </w:pPr>
            <w:r w:rsidRPr="00CB2EC4">
              <w:rPr>
                <w:rFonts w:ascii="Times New Roman" w:hAnsi="Times New Roman" w:cs="Times New Roman"/>
              </w:rPr>
              <w:t>yes, the patient meets the intermediate-risk criteria according to the Sedlis standard.</w:t>
            </w:r>
            <w:r w:rsidRPr="00CB2EC4">
              <w:rPr>
                <w:rFonts w:ascii="Times New Roman" w:hAnsi="Times New Roman" w:cs="Times New Roman"/>
              </w:rPr>
              <w:br/>
            </w:r>
            <w:r w:rsidRPr="00CB2EC4">
              <w:rPr>
                <w:rFonts w:ascii="Times New Roman" w:hAnsi="Times New Roman" w:cs="Times New Roman"/>
              </w:rPr>
              <w:br/>
              <w:t>reasoning based on the provided context:</w:t>
            </w:r>
            <w:r w:rsidRPr="00CB2EC4">
              <w:rPr>
                <w:rFonts w:ascii="Times New Roman" w:hAnsi="Times New Roman" w:cs="Times New Roman"/>
              </w:rPr>
              <w:br/>
              <w:t>- the Sedlis standard applies to squamous cell carcinoma.</w:t>
            </w:r>
            <w:r w:rsidRPr="00CB2EC4">
              <w:rPr>
                <w:rFonts w:ascii="Times New Roman" w:hAnsi="Times New Roman" w:cs="Times New Roman"/>
              </w:rPr>
              <w:br/>
              <w:t>- criteria:</w:t>
            </w:r>
            <w:r w:rsidRPr="00CB2EC4">
              <w:rPr>
                <w:rFonts w:ascii="Times New Roman" w:hAnsi="Times New Roman" w:cs="Times New Roman"/>
              </w:rPr>
              <w:br/>
            </w:r>
            <w:r w:rsidRPr="00CB2EC4">
              <w:rPr>
                <w:rFonts w:ascii="Times New Roman" w:hAnsi="Times New Roman" w:cs="Times New Roman"/>
              </w:rPr>
              <w:lastRenderedPageBreak/>
              <w:t xml:space="preserve">  - LVSI positive + outer 1/3 stromal invasion: any tumor size qualifies.</w:t>
            </w:r>
            <w:r w:rsidRPr="00CB2EC4">
              <w:rPr>
                <w:rFonts w:ascii="Times New Roman" w:hAnsi="Times New Roman" w:cs="Times New Roman"/>
              </w:rPr>
              <w:br/>
              <w:t xml:space="preserve">  - LVSI positive + middle 1/3 stromal invasion: tumor size ≥2 cm qualifies.</w:t>
            </w:r>
            <w:r w:rsidRPr="00CB2EC4">
              <w:rPr>
                <w:rFonts w:ascii="Times New Roman" w:hAnsi="Times New Roman" w:cs="Times New Roman"/>
              </w:rPr>
              <w:br/>
              <w:t xml:space="preserve">  - LVSI positive + inner 1/3 stromal invasion: tumor size ≥5 cm qualifies.</w:t>
            </w:r>
            <w:r w:rsidRPr="00CB2EC4">
              <w:rPr>
                <w:rFonts w:ascii="Times New Roman" w:hAnsi="Times New Roman" w:cs="Times New Roman"/>
              </w:rPr>
              <w:br/>
              <w:t>- patient profile:</w:t>
            </w:r>
            <w:r w:rsidRPr="00CB2EC4">
              <w:rPr>
                <w:rFonts w:ascii="Times New Roman" w:hAnsi="Times New Roman" w:cs="Times New Roman"/>
              </w:rPr>
              <w:br/>
              <w:t xml:space="preserve">  - tumor size: 3 cm (≥2 cm)</w:t>
            </w:r>
            <w:r w:rsidRPr="00CB2EC4">
              <w:rPr>
                <w:rFonts w:ascii="Times New Roman" w:hAnsi="Times New Roman" w:cs="Times New Roman"/>
              </w:rPr>
              <w:br/>
              <w:t xml:space="preserve">  - LVSI: positive</w:t>
            </w:r>
            <w:r w:rsidRPr="00CB2EC4">
              <w:rPr>
                <w:rFonts w:ascii="Times New Roman" w:hAnsi="Times New Roman" w:cs="Times New Roman"/>
              </w:rPr>
              <w:br/>
              <w:t xml:space="preserve">  - invasion depth: middle 1/3 of cervical stroma</w:t>
            </w:r>
            <w:r w:rsidRPr="00CB2EC4">
              <w:rPr>
                <w:rFonts w:ascii="Times New Roman" w:hAnsi="Times New Roman" w:cs="Times New Roman"/>
              </w:rPr>
              <w:br/>
              <w:t>- this matches the second criterion: LVSI positive + middle 1/3 stromal invasion + tumor size ≥2 cm.</w:t>
            </w:r>
            <w:r w:rsidRPr="00CB2EC4">
              <w:rPr>
                <w:rFonts w:ascii="Times New Roman" w:hAnsi="Times New Roman" w:cs="Times New Roman"/>
              </w:rPr>
              <w:br/>
            </w:r>
            <w:r w:rsidRPr="00CB2EC4">
              <w:rPr>
                <w:rFonts w:ascii="Times New Roman" w:hAnsi="Times New Roman" w:cs="Times New Roman"/>
              </w:rPr>
              <w:br/>
              <w:t>therefore, the patient satisfies the intermediate-risk factor criteria.</w:t>
            </w:r>
          </w:p>
        </w:tc>
        <w:tc>
          <w:tcPr>
            <w:tcW w:w="1152" w:type="dxa"/>
            <w:vAlign w:val="center"/>
          </w:tcPr>
          <w:p w14:paraId="115F17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811CB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AB26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A10326" w14:textId="77777777">
        <w:tc>
          <w:tcPr>
            <w:tcW w:w="2160" w:type="dxa"/>
            <w:vAlign w:val="center"/>
          </w:tcPr>
          <w:p w14:paraId="70F59A1F"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9269718" w14:textId="77777777" w:rsidR="00922249" w:rsidRPr="00CB2EC4" w:rsidRDefault="003011D5">
            <w:pPr>
              <w:rPr>
                <w:rFonts w:ascii="Times New Roman" w:hAnsi="Times New Roman" w:cs="Times New Roman"/>
              </w:rPr>
            </w:pPr>
            <w:r w:rsidRPr="00CB2EC4">
              <w:rPr>
                <w:rFonts w:ascii="Times New Roman" w:hAnsi="Times New Roman" w:cs="Times New Roman"/>
              </w:rPr>
              <w:t>yes</w:t>
            </w:r>
          </w:p>
        </w:tc>
        <w:tc>
          <w:tcPr>
            <w:tcW w:w="1152" w:type="dxa"/>
            <w:vAlign w:val="center"/>
          </w:tcPr>
          <w:p w14:paraId="787F22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06302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676B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8BB9569" w14:textId="77777777">
        <w:tc>
          <w:tcPr>
            <w:tcW w:w="2160" w:type="dxa"/>
            <w:vAlign w:val="center"/>
          </w:tcPr>
          <w:p w14:paraId="2702C629"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078E85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Reason: The context mentions the "Sedlis standard" for defining intermediate-risk factors (document fragment 8, relevance: 0.8143) but does not provide specific criteria (e.g., Table 9-1). Therefore, it is impossible to determine whether a squamous cell carcinoma patient with a 3 cm tumor, lymphovascular space invasion (LVSI), and stromal invasion depth reaching the middle one-third of the cervical stroma meets the intermediate-risk criteria based on the available information.</w:t>
            </w:r>
          </w:p>
        </w:tc>
        <w:tc>
          <w:tcPr>
            <w:tcW w:w="1152" w:type="dxa"/>
            <w:vAlign w:val="center"/>
          </w:tcPr>
          <w:p w14:paraId="297521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D96D0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DDA3F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855F4FC" w14:textId="77777777">
        <w:tc>
          <w:tcPr>
            <w:tcW w:w="2160" w:type="dxa"/>
            <w:vAlign w:val="center"/>
          </w:tcPr>
          <w:p w14:paraId="7F5FC39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7DE9D7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the patient meets the criteria for intermediate-risk factors according to the Sedlis standard. For squamous cell carcinoma, the presence of positive lymphovascular space invasion (LVSI), stromal invasion reaching the middle one-third, and a tumor size ≥2 cm qualifies as an intermediate-risk factor. In </w:t>
            </w:r>
            <w:r w:rsidRPr="00CB2EC4">
              <w:rPr>
                <w:rFonts w:ascii="Times New Roman" w:hAnsi="Times New Roman" w:cs="Times New Roman"/>
              </w:rPr>
              <w:lastRenderedPageBreak/>
              <w:t xml:space="preserve">this case, the tumor size is 3 cm (≥2 cm), thus satisfying the condition.  </w:t>
            </w:r>
            <w:r w:rsidRPr="00CB2EC4">
              <w:rPr>
                <w:rFonts w:ascii="Times New Roman" w:hAnsi="Times New Roman" w:cs="Times New Roman"/>
              </w:rPr>
              <w:br/>
              <w:t xml:space="preserve">- Basis:  </w:t>
            </w:r>
            <w:r w:rsidRPr="00CB2EC4">
              <w:rPr>
                <w:rFonts w:ascii="Times New Roman" w:hAnsi="Times New Roman" w:cs="Times New Roman"/>
              </w:rPr>
              <w:br/>
              <w:t xml:space="preserve">  - From relevant segment 9 (original block 566-568): "For patients with squamous cell carcinoma, intermediate-risk factors (tumor size, stromal invasion, lymphovascular space invasion) may refer to the 'Sedlis standard' (Table 9-1)." Table 9-1 explicitly lists: "Positive lymphovascular space invasion (LVSI): middle one-third stromal invasion with tumor size ≥2 cm."</w:t>
            </w:r>
          </w:p>
        </w:tc>
        <w:tc>
          <w:tcPr>
            <w:tcW w:w="1152" w:type="dxa"/>
            <w:vAlign w:val="center"/>
          </w:tcPr>
          <w:p w14:paraId="524CC2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5CF10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B240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6D0764" w14:textId="77777777">
        <w:tc>
          <w:tcPr>
            <w:tcW w:w="2160" w:type="dxa"/>
            <w:vAlign w:val="center"/>
          </w:tcPr>
          <w:p w14:paraId="14A46F8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357F50D" w14:textId="77777777" w:rsidR="00922249" w:rsidRPr="00CB2EC4" w:rsidRDefault="003011D5">
            <w:pPr>
              <w:rPr>
                <w:rFonts w:ascii="Times New Roman" w:hAnsi="Times New Roman" w:cs="Times New Roman"/>
              </w:rPr>
            </w:pPr>
            <w:r w:rsidRPr="00CB2EC4">
              <w:rPr>
                <w:rFonts w:ascii="Times New Roman" w:hAnsi="Times New Roman" w:cs="Times New Roman"/>
              </w:rPr>
              <w:t>yes, the patient meets the intermediate-risk criteria according to the Sedlis standard.</w:t>
            </w:r>
            <w:r w:rsidRPr="00CB2EC4">
              <w:rPr>
                <w:rFonts w:ascii="Times New Roman" w:hAnsi="Times New Roman" w:cs="Times New Roman"/>
              </w:rPr>
              <w:br/>
              <w:t>- Basis: The Sedlis intermediate-risk criteria are met if any of the following are present:</w:t>
            </w:r>
            <w:r w:rsidRPr="00CB2EC4">
              <w:rPr>
                <w:rFonts w:ascii="Times New Roman" w:hAnsi="Times New Roman" w:cs="Times New Roman"/>
              </w:rPr>
              <w:br/>
              <w:t xml:space="preserve">  - Tumor diameter ≥ 2 cm.</w:t>
            </w:r>
            <w:r w:rsidRPr="00CB2EC4">
              <w:rPr>
                <w:rFonts w:ascii="Times New Roman" w:hAnsi="Times New Roman" w:cs="Times New Roman"/>
              </w:rPr>
              <w:br/>
              <w:t xml:space="preserve">  - Lymphovascular space invasion (LVSI) positive.</w:t>
            </w:r>
            <w:r w:rsidRPr="00CB2EC4">
              <w:rPr>
                <w:rFonts w:ascii="Times New Roman" w:hAnsi="Times New Roman" w:cs="Times New Roman"/>
              </w:rPr>
              <w:br/>
              <w:t xml:space="preserve">  - Stromal invasion depth ≥ 10 mm (or involving the middle one-third or deeper of the cervical stroma, typically corresponding to invasion depth ≥ 5–10 mm).</w:t>
            </w:r>
            <w:r w:rsidRPr="00CB2EC4">
              <w:rPr>
                <w:rFonts w:ascii="Times New Roman" w:hAnsi="Times New Roman" w:cs="Times New Roman"/>
              </w:rPr>
              <w:br/>
              <w:t>- In this case:</w:t>
            </w:r>
            <w:r w:rsidRPr="00CB2EC4">
              <w:rPr>
                <w:rFonts w:ascii="Times New Roman" w:hAnsi="Times New Roman" w:cs="Times New Roman"/>
              </w:rPr>
              <w:br/>
              <w:t xml:space="preserve">  - Tumor size = 3 cm (≥ 2 cm).</w:t>
            </w:r>
            <w:r w:rsidRPr="00CB2EC4">
              <w:rPr>
                <w:rFonts w:ascii="Times New Roman" w:hAnsi="Times New Roman" w:cs="Times New Roman"/>
              </w:rPr>
              <w:br/>
              <w:t xml:space="preserve">  - LVSI = positive.</w:t>
            </w:r>
            <w:r w:rsidRPr="00CB2EC4">
              <w:rPr>
                <w:rFonts w:ascii="Times New Roman" w:hAnsi="Times New Roman" w:cs="Times New Roman"/>
              </w:rPr>
              <w:br/>
              <w:t xml:space="preserve">  - Invasion depth = middle one-third (meets the ≥ 10 mm criterion, as middle one-third involvement is considered sufficient depth to trigger intermediate-risk status).</w:t>
            </w:r>
            <w:r w:rsidRPr="00CB2EC4">
              <w:rPr>
                <w:rFonts w:ascii="Times New Roman" w:hAnsi="Times New Roman" w:cs="Times New Roman"/>
              </w:rPr>
              <w:br/>
              <w:t>- Therefore, the patient meets intermediate-risk criteria and should be considered for adjuvant therapy.</w:t>
            </w:r>
          </w:p>
        </w:tc>
        <w:tc>
          <w:tcPr>
            <w:tcW w:w="1152" w:type="dxa"/>
            <w:vAlign w:val="center"/>
          </w:tcPr>
          <w:p w14:paraId="6060A7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F841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EF11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E3F050" w14:textId="77777777">
        <w:tc>
          <w:tcPr>
            <w:tcW w:w="10656" w:type="dxa"/>
            <w:gridSpan w:val="5"/>
            <w:tcBorders>
              <w:bottom w:val="single" w:sz="6" w:space="0" w:color="auto"/>
            </w:tcBorders>
            <w:vAlign w:val="center"/>
          </w:tcPr>
          <w:p w14:paraId="73C17CF6" w14:textId="77777777" w:rsidR="00922249" w:rsidRPr="00CB2EC4" w:rsidRDefault="003011D5">
            <w:pPr>
              <w:rPr>
                <w:rFonts w:ascii="Times New Roman" w:hAnsi="Times New Roman" w:cs="Times New Roman"/>
              </w:rPr>
            </w:pPr>
            <w:r w:rsidRPr="00CB2EC4">
              <w:rPr>
                <w:rFonts w:ascii="Times New Roman" w:hAnsi="Times New Roman" w:cs="Times New Roman"/>
                <w:b/>
              </w:rPr>
              <w:t>Question 99: For patients with early-stage cervical cancer who have undergone radical surgery, which postoperative pathological findings are defined as "high-risk factors" necessitating adjuvant therapy?</w:t>
            </w:r>
          </w:p>
        </w:tc>
      </w:tr>
      <w:tr w:rsidR="00922249" w:rsidRPr="00CB2EC4" w14:paraId="0E674864" w14:textId="77777777">
        <w:tc>
          <w:tcPr>
            <w:tcW w:w="2160" w:type="dxa"/>
            <w:vAlign w:val="center"/>
          </w:tcPr>
          <w:p w14:paraId="23870C2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EE9D48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high-risk factors definition:  </w:t>
            </w:r>
            <w:r w:rsidRPr="00CB2EC4">
              <w:rPr>
                <w:rFonts w:ascii="Times New Roman" w:hAnsi="Times New Roman" w:cs="Times New Roman"/>
              </w:rPr>
              <w:br/>
            </w:r>
            <w:r w:rsidRPr="00CB2EC4">
              <w:rPr>
                <w:rFonts w:ascii="Times New Roman" w:hAnsi="Times New Roman" w:cs="Times New Roman"/>
              </w:rPr>
              <w:lastRenderedPageBreak/>
              <w:t xml:space="preserve">Guidelines define the following postoperative pathological findings as "high-risk factors" requiring adjuvant treatment (such as pelvic external beam radiotherapy + concurrent platinum-based chemotherapy ± vaginal brachytherapy):  </w:t>
            </w:r>
            <w:r w:rsidRPr="00CB2EC4">
              <w:rPr>
                <w:rFonts w:ascii="Times New Roman" w:hAnsi="Times New Roman" w:cs="Times New Roman"/>
              </w:rPr>
              <w:br/>
              <w:t xml:space="preserve">- Positive lymph nodes.  </w:t>
            </w:r>
            <w:r w:rsidRPr="00CB2EC4">
              <w:rPr>
                <w:rFonts w:ascii="Times New Roman" w:hAnsi="Times New Roman" w:cs="Times New Roman"/>
              </w:rPr>
              <w:br/>
              <w:t xml:space="preserve">- Positive surgical margins.  </w:t>
            </w:r>
            <w:r w:rsidRPr="00CB2EC4">
              <w:rPr>
                <w:rFonts w:ascii="Times New Roman" w:hAnsi="Times New Roman" w:cs="Times New Roman"/>
              </w:rPr>
              <w:br/>
              <w:t xml:space="preserve">- Parametrial invasion.  </w:t>
            </w:r>
            <w:r w:rsidRPr="00CB2EC4">
              <w:rPr>
                <w:rFonts w:ascii="Times New Roman" w:hAnsi="Times New Roman" w:cs="Times New Roman"/>
              </w:rPr>
              <w:br/>
              <w:t>(Source: Note a in the document explicitly states that "high-risk factors" include positive lymph nodes, positive margins, and parametrial invasion. Adjuvant treatment is recommended if any one of these high-risk factors is present.)</w:t>
            </w:r>
          </w:p>
        </w:tc>
        <w:tc>
          <w:tcPr>
            <w:tcW w:w="1152" w:type="dxa"/>
            <w:vAlign w:val="center"/>
          </w:tcPr>
          <w:p w14:paraId="3B8B77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077C4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B2C6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5C0419" w14:textId="77777777">
        <w:tc>
          <w:tcPr>
            <w:tcW w:w="2160" w:type="dxa"/>
            <w:vAlign w:val="center"/>
          </w:tcPr>
          <w:p w14:paraId="2B50CF7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634B9DD" w14:textId="77777777" w:rsidR="00922249" w:rsidRPr="00CB2EC4" w:rsidRDefault="003011D5">
            <w:pPr>
              <w:rPr>
                <w:rFonts w:ascii="Times New Roman" w:hAnsi="Times New Roman" w:cs="Times New Roman"/>
              </w:rPr>
            </w:pPr>
            <w:r w:rsidRPr="00CB2EC4">
              <w:rPr>
                <w:rFonts w:ascii="Times New Roman" w:hAnsi="Times New Roman" w:cs="Times New Roman"/>
              </w:rPr>
              <w:t>definition of high-risk factors after radical surgery</w:t>
            </w:r>
            <w:r w:rsidRPr="00CB2EC4">
              <w:rPr>
                <w:rFonts w:ascii="Times New Roman" w:hAnsi="Times New Roman" w:cs="Times New Roman"/>
              </w:rPr>
              <w:br/>
            </w:r>
            <w:r w:rsidRPr="00CB2EC4">
              <w:rPr>
                <w:rFonts w:ascii="Times New Roman" w:hAnsi="Times New Roman" w:cs="Times New Roman"/>
              </w:rPr>
              <w:br/>
              <w:t>according to document segment 4 (block topic: postoperative adjuvant treatment for cervical cancer):</w:t>
            </w:r>
            <w:r w:rsidRPr="00CB2EC4">
              <w:rPr>
                <w:rFonts w:ascii="Times New Roman" w:hAnsi="Times New Roman" w:cs="Times New Roman"/>
              </w:rPr>
              <w:br/>
              <w:t>- high-risk factors include: positive lymph nodes, positive surgical margins, and parametrial infiltration. the presence of any one high-risk factor requires adjuvant treatment (such as radiotherapy ± chemotherapy).</w:t>
            </w:r>
            <w:r w:rsidRPr="00CB2EC4">
              <w:rPr>
                <w:rFonts w:ascii="Times New Roman" w:hAnsi="Times New Roman" w:cs="Times New Roman"/>
              </w:rPr>
              <w:br/>
              <w:t xml:space="preserve">  (quoted from original text: "High-risk factors include positive lymph nodes, positive surgical margins, and parametrial infiltration. The presence of any one high-risk factor warrants further imaging studies to assess metastasis in other sites. If there is no para-aortic lymph node involvement or metastasis to other sites, supplemental pelvic external beam radiotherapy plus platinum-based concurrent chemotherapy is required.")</w:t>
            </w:r>
          </w:p>
        </w:tc>
        <w:tc>
          <w:tcPr>
            <w:tcW w:w="1152" w:type="dxa"/>
            <w:vAlign w:val="center"/>
          </w:tcPr>
          <w:p w14:paraId="3FCB29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0D9C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52AFD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696ADA" w14:textId="77777777">
        <w:tc>
          <w:tcPr>
            <w:tcW w:w="2160" w:type="dxa"/>
            <w:vAlign w:val="center"/>
          </w:tcPr>
          <w:p w14:paraId="7E162A3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35E78FE"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High-risk factors are defined as follows:  </w:t>
            </w:r>
            <w:r w:rsidRPr="00CB2EC4">
              <w:rPr>
                <w:rFonts w:ascii="Times New Roman" w:hAnsi="Times New Roman" w:cs="Times New Roman"/>
              </w:rPr>
              <w:br/>
              <w:t xml:space="preserve">- Lymph node positivity (lymph node metastasis): Explicitly listed in document fragment 2 (relevance: 0.800), fragment 4 (relevance: 0.700), fragment 12 (relevance: 0.300), and fragment 22 (relevance: 0.200).  </w:t>
            </w:r>
            <w:r w:rsidRPr="00CB2EC4">
              <w:rPr>
                <w:rFonts w:ascii="Times New Roman" w:hAnsi="Times New Roman" w:cs="Times New Roman"/>
              </w:rPr>
              <w:br/>
              <w:t xml:space="preserve">- Positive surgical margins: Mentioned in document fragment 2 (relevance: 0.800), fragment 4 (relevance: 0.700), fragment 12 (relevance: 0.300), and fragment 27 (relevance: 0.200).  </w:t>
            </w:r>
            <w:r w:rsidRPr="00CB2EC4">
              <w:rPr>
                <w:rFonts w:ascii="Times New Roman" w:hAnsi="Times New Roman" w:cs="Times New Roman"/>
              </w:rPr>
              <w:br/>
              <w:t xml:space="preserve">- Parametrial infiltration (parametrial spread or parametrial positivity): Described as parametrial infiltration or spread in document fragment 2 (relevance: 0.800), fragment 4 (relevance: 0.700), and fragment 22 (relevance: 0.200).  </w:t>
            </w:r>
            <w:r w:rsidRPr="00CB2EC4">
              <w:rPr>
                <w:rFonts w:ascii="Times New Roman" w:hAnsi="Times New Roman" w:cs="Times New Roman"/>
              </w:rPr>
              <w:br/>
            </w:r>
            <w:r w:rsidRPr="00CB2EC4">
              <w:rPr>
                <w:rFonts w:ascii="Times New Roman" w:hAnsi="Times New Roman" w:cs="Times New Roman"/>
              </w:rPr>
              <w:br/>
              <w:t>*Other factors such as lymphovascular space invasion (LVSI positive) or poor differentiation are mentioned in document fragment 12 (relevance: 0.300) and fragment 3 (relevance: 0.700) but are not uniformly classified as "high-risk factors"; fragment 4 explicitly lists tumor size &gt;4 cm and other criteria as intermediate-risk factors, not high-risk. Therefore, the core high-risk factors are the three points above.*</w:t>
            </w:r>
          </w:p>
        </w:tc>
        <w:tc>
          <w:tcPr>
            <w:tcW w:w="1152" w:type="dxa"/>
            <w:vAlign w:val="center"/>
          </w:tcPr>
          <w:p w14:paraId="4A5469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560F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8FCA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94E700" w14:textId="77777777">
        <w:tc>
          <w:tcPr>
            <w:tcW w:w="2160" w:type="dxa"/>
            <w:vAlign w:val="center"/>
          </w:tcPr>
          <w:p w14:paraId="4134E4DE"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53CF0EA" w14:textId="77777777" w:rsidR="00922249" w:rsidRPr="00CB2EC4" w:rsidRDefault="003011D5">
            <w:pPr>
              <w:rPr>
                <w:rFonts w:ascii="Times New Roman" w:hAnsi="Times New Roman" w:cs="Times New Roman"/>
              </w:rPr>
            </w:pPr>
            <w:r w:rsidRPr="00CB2EC4">
              <w:rPr>
                <w:rFonts w:ascii="Times New Roman" w:hAnsi="Times New Roman" w:cs="Times New Roman"/>
              </w:rPr>
              <w:t>definition of "high-risk factors" after surgery</w:t>
            </w:r>
            <w:r w:rsidRPr="00CB2EC4">
              <w:rPr>
                <w:rFonts w:ascii="Times New Roman" w:hAnsi="Times New Roman" w:cs="Times New Roman"/>
              </w:rPr>
              <w:br/>
            </w:r>
            <w:r w:rsidRPr="00CB2EC4">
              <w:rPr>
                <w:rFonts w:ascii="Times New Roman" w:hAnsi="Times New Roman" w:cs="Times New Roman"/>
              </w:rPr>
              <w:br/>
              <w:t xml:space="preserve">Based on knowledge base document (note a):  </w:t>
            </w:r>
            <w:r w:rsidRPr="00CB2EC4">
              <w:rPr>
                <w:rFonts w:ascii="Times New Roman" w:hAnsi="Times New Roman" w:cs="Times New Roman"/>
              </w:rPr>
              <w:br/>
              <w:t xml:space="preserve">High-risk factors requiring adjuvant therapy after radical surgery include any one of the following:  </w:t>
            </w:r>
            <w:r w:rsidRPr="00CB2EC4">
              <w:rPr>
                <w:rFonts w:ascii="Times New Roman" w:hAnsi="Times New Roman" w:cs="Times New Roman"/>
              </w:rPr>
              <w:br/>
              <w:t xml:space="preserve">1. Lymph node positive  </w:t>
            </w:r>
            <w:r w:rsidRPr="00CB2EC4">
              <w:rPr>
                <w:rFonts w:ascii="Times New Roman" w:hAnsi="Times New Roman" w:cs="Times New Roman"/>
              </w:rPr>
              <w:br/>
              <w:t xml:space="preserve">2. Positive surgical margin  </w:t>
            </w:r>
            <w:r w:rsidRPr="00CB2EC4">
              <w:rPr>
                <w:rFonts w:ascii="Times New Roman" w:hAnsi="Times New Roman" w:cs="Times New Roman"/>
              </w:rPr>
              <w:br/>
              <w:t xml:space="preserve">3. Parametrial infiltration  </w:t>
            </w:r>
            <w:r w:rsidRPr="00CB2EC4">
              <w:rPr>
                <w:rFonts w:ascii="Times New Roman" w:hAnsi="Times New Roman" w:cs="Times New Roman"/>
              </w:rPr>
              <w:br/>
            </w:r>
            <w:r w:rsidRPr="00CB2EC4">
              <w:rPr>
                <w:rFonts w:ascii="Times New Roman" w:hAnsi="Times New Roman" w:cs="Times New Roman"/>
              </w:rPr>
              <w:br/>
              <w:t xml:space="preserve">Patients with any high-risk factor require pelvic </w:t>
            </w:r>
            <w:r w:rsidRPr="00CB2EC4">
              <w:rPr>
                <w:rFonts w:ascii="Times New Roman" w:hAnsi="Times New Roman" w:cs="Times New Roman"/>
              </w:rPr>
              <w:lastRenderedPageBreak/>
              <w:t xml:space="preserve">external beam radiotherapy + platinum-based concurrent chemotherapy ± brachytherapy (evidence level I).  </w:t>
            </w:r>
            <w:r w:rsidRPr="00CB2EC4">
              <w:rPr>
                <w:rFonts w:ascii="Times New Roman" w:hAnsi="Times New Roman" w:cs="Times New Roman"/>
              </w:rPr>
              <w:br/>
            </w:r>
            <w:r w:rsidRPr="00CB2EC4">
              <w:rPr>
                <w:rFonts w:ascii="Times New Roman" w:hAnsi="Times New Roman" w:cs="Times New Roman"/>
              </w:rPr>
              <w:br/>
              <w:t xml:space="preserve">Web search supplement:  </w:t>
            </w:r>
            <w:r w:rsidRPr="00CB2EC4">
              <w:rPr>
                <w:rFonts w:ascii="Times New Roman" w:hAnsi="Times New Roman" w:cs="Times New Roman"/>
              </w:rPr>
              <w:br/>
              <w:t xml:space="preserve">Diagram reconfirms high-risk factors as lymph node metastasis, positive margin, and parametrial involvement.  </w:t>
            </w:r>
            <w:r w:rsidRPr="00CB2EC4">
              <w:rPr>
                <w:rFonts w:ascii="Times New Roman" w:hAnsi="Times New Roman" w:cs="Times New Roman"/>
              </w:rPr>
              <w:br/>
            </w:r>
            <w:r w:rsidRPr="00CB2EC4">
              <w:rPr>
                <w:rFonts w:ascii="Times New Roman" w:hAnsi="Times New Roman" w:cs="Times New Roman"/>
              </w:rPr>
              <w:br/>
              <w:t>&gt; Conclusion: High-risk factors = lymph node positive / positive surgical margin / parametrial infiltration.</w:t>
            </w:r>
          </w:p>
        </w:tc>
        <w:tc>
          <w:tcPr>
            <w:tcW w:w="1152" w:type="dxa"/>
            <w:vAlign w:val="center"/>
          </w:tcPr>
          <w:p w14:paraId="2DF319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318A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940B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D119FB" w14:textId="77777777">
        <w:tc>
          <w:tcPr>
            <w:tcW w:w="2160" w:type="dxa"/>
            <w:vAlign w:val="center"/>
          </w:tcPr>
          <w:p w14:paraId="366EC1B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2098335"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early-stage cervical cancer who have undergone radical surgery, the following postoperative pathological findings are defined as "high-risk factors," necessitating adjuvant therapy:</w:t>
            </w:r>
            <w:r w:rsidRPr="00CB2EC4">
              <w:rPr>
                <w:rFonts w:ascii="Times New Roman" w:hAnsi="Times New Roman" w:cs="Times New Roman"/>
              </w:rPr>
              <w:br/>
            </w:r>
            <w:r w:rsidRPr="00CB2EC4">
              <w:rPr>
                <w:rFonts w:ascii="Times New Roman" w:hAnsi="Times New Roman" w:cs="Times New Roman"/>
              </w:rPr>
              <w:br/>
              <w:t xml:space="preserve">- Lymph node positivity  </w:t>
            </w:r>
            <w:r w:rsidRPr="00CB2EC4">
              <w:rPr>
                <w:rFonts w:ascii="Times New Roman" w:hAnsi="Times New Roman" w:cs="Times New Roman"/>
              </w:rPr>
              <w:br/>
              <w:t xml:space="preserve">- Positive resection margin  </w:t>
            </w:r>
            <w:r w:rsidRPr="00CB2EC4">
              <w:rPr>
                <w:rFonts w:ascii="Times New Roman" w:hAnsi="Times New Roman" w:cs="Times New Roman"/>
              </w:rPr>
              <w:br/>
              <w:t xml:space="preserve">- Parametrial invasion  </w:t>
            </w:r>
            <w:r w:rsidRPr="00CB2EC4">
              <w:rPr>
                <w:rFonts w:ascii="Times New Roman" w:hAnsi="Times New Roman" w:cs="Times New Roman"/>
              </w:rPr>
              <w:br/>
            </w:r>
            <w:r w:rsidRPr="00CB2EC4">
              <w:rPr>
                <w:rFonts w:ascii="Times New Roman" w:hAnsi="Times New Roman" w:cs="Times New Roman"/>
              </w:rPr>
              <w:br/>
              <w:t>Patients with any high-risk factor are recommended to undergo further imaging studies (if no distant metastasis is present) and receive supplemental pelvic external beam radiotherapy + platinum-based concurrent chemotherapy ± vaginal brachytherapy (Evidence Level I).</w:t>
            </w:r>
          </w:p>
        </w:tc>
        <w:tc>
          <w:tcPr>
            <w:tcW w:w="1152" w:type="dxa"/>
            <w:vAlign w:val="center"/>
          </w:tcPr>
          <w:p w14:paraId="51FB75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CEE3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F22D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4EFF419" w14:textId="77777777">
        <w:tc>
          <w:tcPr>
            <w:tcW w:w="2160" w:type="dxa"/>
            <w:vAlign w:val="center"/>
          </w:tcPr>
          <w:p w14:paraId="62DE6AC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9B24D47" w14:textId="77777777" w:rsidR="00922249" w:rsidRPr="00CB2EC4" w:rsidRDefault="003011D5">
            <w:pPr>
              <w:rPr>
                <w:rFonts w:ascii="Times New Roman" w:hAnsi="Times New Roman" w:cs="Times New Roman"/>
              </w:rPr>
            </w:pPr>
            <w:r w:rsidRPr="00CB2EC4">
              <w:rPr>
                <w:rFonts w:ascii="Times New Roman" w:hAnsi="Times New Roman" w:cs="Times New Roman"/>
              </w:rPr>
              <w:t>for early-stage cervical cancer patients who have undergone radical surgery, the following postoperative pathological findings are defined as "high-risk factors" and warrant adjuvant treatment:</w:t>
            </w:r>
            <w:r w:rsidRPr="00CB2EC4">
              <w:rPr>
                <w:rFonts w:ascii="Times New Roman" w:hAnsi="Times New Roman" w:cs="Times New Roman"/>
              </w:rPr>
              <w:br/>
            </w:r>
            <w:r w:rsidRPr="00CB2EC4">
              <w:rPr>
                <w:rFonts w:ascii="Times New Roman" w:hAnsi="Times New Roman" w:cs="Times New Roman"/>
              </w:rPr>
              <w:br/>
              <w:t>- High-risk factors include any of the following:</w:t>
            </w:r>
            <w:r w:rsidRPr="00CB2EC4">
              <w:rPr>
                <w:rFonts w:ascii="Times New Roman" w:hAnsi="Times New Roman" w:cs="Times New Roman"/>
              </w:rPr>
              <w:br/>
            </w:r>
            <w:r w:rsidRPr="00CB2EC4">
              <w:rPr>
                <w:rFonts w:ascii="Times New Roman" w:hAnsi="Times New Roman" w:cs="Times New Roman"/>
              </w:rPr>
              <w:lastRenderedPageBreak/>
              <w:t xml:space="preserve">  1.  Lymph node positivity: metastasis to pelvic or para-aortic lymph nodes.</w:t>
            </w:r>
            <w:r w:rsidRPr="00CB2EC4">
              <w:rPr>
                <w:rFonts w:ascii="Times New Roman" w:hAnsi="Times New Roman" w:cs="Times New Roman"/>
              </w:rPr>
              <w:br/>
              <w:t xml:space="preserve">  2.  Positive surgical margins: presence of cancer cells at the resection edge.</w:t>
            </w:r>
            <w:r w:rsidRPr="00CB2EC4">
              <w:rPr>
                <w:rFonts w:ascii="Times New Roman" w:hAnsi="Times New Roman" w:cs="Times New Roman"/>
              </w:rPr>
              <w:br/>
              <w:t xml:space="preserve">  3.  Parametrial invasion: tumor infiltration into parametrial tissues.</w:t>
            </w:r>
            <w:r w:rsidRPr="00CB2EC4">
              <w:rPr>
                <w:rFonts w:ascii="Times New Roman" w:hAnsi="Times New Roman" w:cs="Times New Roman"/>
              </w:rPr>
              <w:br/>
            </w:r>
            <w:r w:rsidRPr="00CB2EC4">
              <w:rPr>
                <w:rFonts w:ascii="Times New Roman" w:hAnsi="Times New Roman" w:cs="Times New Roman"/>
              </w:rPr>
              <w:br/>
              <w:t>Patients with any high-risk factor are recommended to undergo further imaging (if no distant metastasis is present) and receive adjuvant treatment, typically consisting of pelvic external beam radiotherapy combined with concurrent platinum-based chemotherapy (evidence level I), with possible addition of vaginal brachytherapy (related document 3). These factors are associated with increased risk of recurrence and require active intervention.</w:t>
            </w:r>
          </w:p>
        </w:tc>
        <w:tc>
          <w:tcPr>
            <w:tcW w:w="1152" w:type="dxa"/>
            <w:vAlign w:val="center"/>
          </w:tcPr>
          <w:p w14:paraId="184B44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A818D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2581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9274A51" w14:textId="77777777">
        <w:tc>
          <w:tcPr>
            <w:tcW w:w="2160" w:type="dxa"/>
            <w:vAlign w:val="center"/>
          </w:tcPr>
          <w:p w14:paraId="34745067"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D3D59DB" w14:textId="77777777" w:rsidR="00922249" w:rsidRPr="00CB2EC4" w:rsidRDefault="003011D5">
            <w:pPr>
              <w:rPr>
                <w:rFonts w:ascii="Times New Roman" w:hAnsi="Times New Roman" w:cs="Times New Roman"/>
              </w:rPr>
            </w:pPr>
            <w:r w:rsidRPr="00CB2EC4">
              <w:rPr>
                <w:rFonts w:ascii="Times New Roman" w:hAnsi="Times New Roman" w:cs="Times New Roman"/>
              </w:rPr>
              <w:t>definition of "high-risk factors" after radical surgery</w:t>
            </w:r>
            <w:r w:rsidRPr="00CB2EC4">
              <w:rPr>
                <w:rFonts w:ascii="Times New Roman" w:hAnsi="Times New Roman" w:cs="Times New Roman"/>
              </w:rPr>
              <w:br/>
            </w:r>
            <w:r w:rsidRPr="00CB2EC4">
              <w:rPr>
                <w:rFonts w:ascii="Times New Roman" w:hAnsi="Times New Roman" w:cs="Times New Roman"/>
              </w:rPr>
              <w:br/>
              <w:t xml:space="preserve">High-risk factors include:  </w:t>
            </w:r>
            <w:r w:rsidRPr="00CB2EC4">
              <w:rPr>
                <w:rFonts w:ascii="Times New Roman" w:hAnsi="Times New Roman" w:cs="Times New Roman"/>
              </w:rPr>
              <w:br/>
              <w:t xml:space="preserve">  1. Lymph node positivity  </w:t>
            </w:r>
            <w:r w:rsidRPr="00CB2EC4">
              <w:rPr>
                <w:rFonts w:ascii="Times New Roman" w:hAnsi="Times New Roman" w:cs="Times New Roman"/>
              </w:rPr>
              <w:br/>
              <w:t xml:space="preserve">  2. Positive surgical margins  </w:t>
            </w:r>
            <w:r w:rsidRPr="00CB2EC4">
              <w:rPr>
                <w:rFonts w:ascii="Times New Roman" w:hAnsi="Times New Roman" w:cs="Times New Roman"/>
              </w:rPr>
              <w:br/>
              <w:t xml:space="preserve">  3. Parametrial invasion  </w:t>
            </w:r>
            <w:r w:rsidRPr="00CB2EC4">
              <w:rPr>
                <w:rFonts w:ascii="Times New Roman" w:hAnsi="Times New Roman" w:cs="Times New Roman"/>
              </w:rPr>
              <w:br/>
              <w:t xml:space="preserve">  (as stated in the preceding context: "'High-risk factors' include lymph node positivity, positive surgical margins, and parametrial invasion.")  </w:t>
            </w:r>
            <w:r w:rsidRPr="00CB2EC4">
              <w:rPr>
                <w:rFonts w:ascii="Times New Roman" w:hAnsi="Times New Roman" w:cs="Times New Roman"/>
              </w:rPr>
              <w:br/>
              <w:t xml:space="preserve">  The presence of any one high-risk factor necessitates adjuvant therapy (e.g., pelvic external beam radiotherapy + concurrent platinum-based chemotherapy ± vaginal brachytherapy).</w:t>
            </w:r>
          </w:p>
        </w:tc>
        <w:tc>
          <w:tcPr>
            <w:tcW w:w="1152" w:type="dxa"/>
            <w:vAlign w:val="center"/>
          </w:tcPr>
          <w:p w14:paraId="65AD09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56AA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E9CB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0B208C" w14:textId="77777777">
        <w:tc>
          <w:tcPr>
            <w:tcW w:w="2160" w:type="dxa"/>
            <w:vAlign w:val="center"/>
          </w:tcPr>
          <w:p w14:paraId="435AC6C3"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C880FAB" w14:textId="77777777" w:rsidR="00922249" w:rsidRPr="00CB2EC4" w:rsidRDefault="003011D5">
            <w:pPr>
              <w:rPr>
                <w:rFonts w:ascii="Times New Roman" w:hAnsi="Times New Roman" w:cs="Times New Roman"/>
              </w:rPr>
            </w:pPr>
            <w:r w:rsidRPr="00CB2EC4">
              <w:rPr>
                <w:rFonts w:ascii="Times New Roman" w:hAnsi="Times New Roman" w:cs="Times New Roman"/>
              </w:rPr>
              <w:t>for early-stage cervical cancer patients who have undergone radical surgery, the following postoperative pathological findings are defined as "high-risk factors" that necessitate adjuvant treatment:</w:t>
            </w:r>
            <w:r w:rsidRPr="00CB2EC4">
              <w:rPr>
                <w:rFonts w:ascii="Times New Roman" w:hAnsi="Times New Roman" w:cs="Times New Roman"/>
              </w:rPr>
              <w:br/>
            </w:r>
            <w:r w:rsidRPr="00CB2EC4">
              <w:rPr>
                <w:rFonts w:ascii="Times New Roman" w:hAnsi="Times New Roman" w:cs="Times New Roman"/>
              </w:rPr>
              <w:lastRenderedPageBreak/>
              <w:br/>
              <w:t>- high-risk factors include:</w:t>
            </w:r>
            <w:r w:rsidRPr="00CB2EC4">
              <w:rPr>
                <w:rFonts w:ascii="Times New Roman" w:hAnsi="Times New Roman" w:cs="Times New Roman"/>
              </w:rPr>
              <w:br/>
              <w:t xml:space="preserve">  1. lymph node positivity (metastasis in pelvic or para-aortic lymph nodes).</w:t>
            </w:r>
            <w:r w:rsidRPr="00CB2EC4">
              <w:rPr>
                <w:rFonts w:ascii="Times New Roman" w:hAnsi="Times New Roman" w:cs="Times New Roman"/>
              </w:rPr>
              <w:br/>
              <w:t xml:space="preserve">  2. positive surgical margins (presence of cancer cells at the resection edge).</w:t>
            </w:r>
            <w:r w:rsidRPr="00CB2EC4">
              <w:rPr>
                <w:rFonts w:ascii="Times New Roman" w:hAnsi="Times New Roman" w:cs="Times New Roman"/>
              </w:rPr>
              <w:br/>
              <w:t xml:space="preserve">  3. parametrial infiltration (tumor invasion into parametrial tissue).</w:t>
            </w:r>
            <w:r w:rsidRPr="00CB2EC4">
              <w:rPr>
                <w:rFonts w:ascii="Times New Roman" w:hAnsi="Times New Roman" w:cs="Times New Roman"/>
              </w:rPr>
              <w:br/>
            </w:r>
            <w:r w:rsidRPr="00CB2EC4">
              <w:rPr>
                <w:rFonts w:ascii="Times New Roman" w:hAnsi="Times New Roman" w:cs="Times New Roman"/>
              </w:rPr>
              <w:br/>
              <w:t>the presence of any one high-risk factor warrants further imaging studies; if no distant metastasis is found, adjuvant external beam radiotherapy to the pelvis combined with concurrent platinum-based chemotherapy (evidence level I) is recommended, and vaginal brachytherapy may be added (document fragment 3).</w:t>
            </w:r>
          </w:p>
        </w:tc>
        <w:tc>
          <w:tcPr>
            <w:tcW w:w="1152" w:type="dxa"/>
            <w:vAlign w:val="center"/>
          </w:tcPr>
          <w:p w14:paraId="5ACDCB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F245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65D7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BFF42C" w14:textId="77777777">
        <w:tc>
          <w:tcPr>
            <w:tcW w:w="2160" w:type="dxa"/>
            <w:vAlign w:val="center"/>
          </w:tcPr>
          <w:p w14:paraId="0BECA36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0449848"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early-stage cervical cancer who have undergone radical surgery, which postoperative pathological findings are defined as "high-risk factors" warranting adjuvant therapy?</w:t>
            </w:r>
            <w:r w:rsidRPr="00CB2EC4">
              <w:rPr>
                <w:rFonts w:ascii="Times New Roman" w:hAnsi="Times New Roman" w:cs="Times New Roman"/>
              </w:rPr>
              <w:br/>
            </w:r>
            <w:r w:rsidRPr="00CB2EC4">
              <w:rPr>
                <w:rFonts w:ascii="Times New Roman" w:hAnsi="Times New Roman" w:cs="Times New Roman"/>
              </w:rPr>
              <w:br/>
              <w:t xml:space="preserve">response:  </w:t>
            </w:r>
            <w:r w:rsidRPr="00CB2EC4">
              <w:rPr>
                <w:rFonts w:ascii="Times New Roman" w:hAnsi="Times New Roman" w:cs="Times New Roman"/>
              </w:rPr>
              <w:br/>
              <w:t xml:space="preserve">according to the document:  </w:t>
            </w:r>
            <w:r w:rsidRPr="00CB2EC4">
              <w:rPr>
                <w:rFonts w:ascii="Times New Roman" w:hAnsi="Times New Roman" w:cs="Times New Roman"/>
              </w:rPr>
              <w:br/>
              <w:t xml:space="preserve">- "high-risk factors" include: lymph node metastasis, positive surgical margins, and parametrial infiltration. the presence of any one of these high-risk factors warrants adjuvant therapy (such as supplementary pelvic external beam radiotherapy + concurrent platinum-based chemotherapy ± vaginal brachytherapy).  </w:t>
            </w:r>
            <w:r w:rsidRPr="00CB2EC4">
              <w:rPr>
                <w:rFonts w:ascii="Times New Roman" w:hAnsi="Times New Roman" w:cs="Times New Roman"/>
              </w:rPr>
              <w:br/>
              <w:t>(source: annotation section in the second document fragment)</w:t>
            </w:r>
          </w:p>
        </w:tc>
        <w:tc>
          <w:tcPr>
            <w:tcW w:w="1152" w:type="dxa"/>
            <w:vAlign w:val="center"/>
          </w:tcPr>
          <w:p w14:paraId="3292C6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C45D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F3859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1720E4" w14:textId="77777777">
        <w:tc>
          <w:tcPr>
            <w:tcW w:w="2160" w:type="dxa"/>
            <w:vAlign w:val="center"/>
          </w:tcPr>
          <w:p w14:paraId="520703C4"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228507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early-stage cervical cancer patients who have </w:t>
            </w:r>
            <w:r w:rsidRPr="00CB2EC4">
              <w:rPr>
                <w:rFonts w:ascii="Times New Roman" w:hAnsi="Times New Roman" w:cs="Times New Roman"/>
              </w:rPr>
              <w:lastRenderedPageBreak/>
              <w:t>undergone radical surgery, the following postoperative pathological findings are defined as "high-risk factors" and warrant adjuvant treatment:</w:t>
            </w:r>
            <w:r w:rsidRPr="00CB2EC4">
              <w:rPr>
                <w:rFonts w:ascii="Times New Roman" w:hAnsi="Times New Roman" w:cs="Times New Roman"/>
              </w:rPr>
              <w:br/>
            </w:r>
            <w:r w:rsidRPr="00CB2EC4">
              <w:rPr>
                <w:rFonts w:ascii="Times New Roman" w:hAnsi="Times New Roman" w:cs="Times New Roman"/>
              </w:rPr>
              <w:br/>
              <w:t xml:space="preserve">- high-risk factors include any of the following postoperative pathological results:  </w:t>
            </w:r>
            <w:r w:rsidRPr="00CB2EC4">
              <w:rPr>
                <w:rFonts w:ascii="Times New Roman" w:hAnsi="Times New Roman" w:cs="Times New Roman"/>
              </w:rPr>
              <w:br/>
              <w:t xml:space="preserve">  1. lymph node positivity (i.e., metastasis in pelvic or para-aortic lymph nodes).  </w:t>
            </w:r>
            <w:r w:rsidRPr="00CB2EC4">
              <w:rPr>
                <w:rFonts w:ascii="Times New Roman" w:hAnsi="Times New Roman" w:cs="Times New Roman"/>
              </w:rPr>
              <w:br/>
              <w:t xml:space="preserve">  2. positive surgical margins (i.e., residual cancer cells at the resection edge).  </w:t>
            </w:r>
            <w:r w:rsidRPr="00CB2EC4">
              <w:rPr>
                <w:rFonts w:ascii="Times New Roman" w:hAnsi="Times New Roman" w:cs="Times New Roman"/>
              </w:rPr>
              <w:br/>
              <w:t xml:space="preserve">  3. parametrial infiltration (i.e., tumor invasion into parametrial tissues).  </w:t>
            </w:r>
            <w:r w:rsidRPr="00CB2EC4">
              <w:rPr>
                <w:rFonts w:ascii="Times New Roman" w:hAnsi="Times New Roman" w:cs="Times New Roman"/>
              </w:rPr>
              <w:br/>
            </w:r>
            <w:r w:rsidRPr="00CB2EC4">
              <w:rPr>
                <w:rFonts w:ascii="Times New Roman" w:hAnsi="Times New Roman" w:cs="Times New Roman"/>
              </w:rPr>
              <w:br/>
              <w:t>the presence of any one high-risk factor recommends adjuvant treatment (such as postoperative radiotherapy or concurrent chemoradiotherapy).</w:t>
            </w:r>
          </w:p>
        </w:tc>
        <w:tc>
          <w:tcPr>
            <w:tcW w:w="1152" w:type="dxa"/>
            <w:vAlign w:val="center"/>
          </w:tcPr>
          <w:p w14:paraId="0FA4C6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F6EFF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5A45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E2A663" w14:textId="77777777">
        <w:tc>
          <w:tcPr>
            <w:tcW w:w="2160" w:type="dxa"/>
            <w:vAlign w:val="center"/>
          </w:tcPr>
          <w:p w14:paraId="0C55B4A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EFF4A3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early-stage cervical cancer patients who have undergone radical surgery, the following postoperative pathological findings are defined as "high-risk factors" warranting adjuvant therapy:  </w:t>
            </w:r>
            <w:r w:rsidRPr="00CB2EC4">
              <w:rPr>
                <w:rFonts w:ascii="Times New Roman" w:hAnsi="Times New Roman" w:cs="Times New Roman"/>
              </w:rPr>
              <w:br/>
              <w:t xml:space="preserve">- Lymph node positivity  </w:t>
            </w:r>
            <w:r w:rsidRPr="00CB2EC4">
              <w:rPr>
                <w:rFonts w:ascii="Times New Roman" w:hAnsi="Times New Roman" w:cs="Times New Roman"/>
              </w:rPr>
              <w:br/>
              <w:t xml:space="preserve">- Positive surgical margins  </w:t>
            </w:r>
            <w:r w:rsidRPr="00CB2EC4">
              <w:rPr>
                <w:rFonts w:ascii="Times New Roman" w:hAnsi="Times New Roman" w:cs="Times New Roman"/>
              </w:rPr>
              <w:br/>
              <w:t xml:space="preserve">- Parametrial infiltration  </w:t>
            </w:r>
            <w:r w:rsidRPr="00CB2EC4">
              <w:rPr>
                <w:rFonts w:ascii="Times New Roman" w:hAnsi="Times New Roman" w:cs="Times New Roman"/>
              </w:rPr>
              <w:br/>
            </w:r>
            <w:r w:rsidRPr="00CB2EC4">
              <w:rPr>
                <w:rFonts w:ascii="Times New Roman" w:hAnsi="Times New Roman" w:cs="Times New Roman"/>
              </w:rPr>
              <w:br/>
              <w:t>The presence of any one high-risk factor recommends further imaging (e.g., to rule out distant metastasis) and adjuvant treatment with pelvic external beam radiotherapy plus concurrent platinum-based chemotherapy ± vaginal brachytherapy (evidence level I).</w:t>
            </w:r>
          </w:p>
        </w:tc>
        <w:tc>
          <w:tcPr>
            <w:tcW w:w="1152" w:type="dxa"/>
            <w:vAlign w:val="center"/>
          </w:tcPr>
          <w:p w14:paraId="32D030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EEC6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33BC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0989A5" w14:textId="77777777">
        <w:tc>
          <w:tcPr>
            <w:tcW w:w="2160" w:type="dxa"/>
            <w:vAlign w:val="center"/>
          </w:tcPr>
          <w:p w14:paraId="2F15EDD8"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752550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Answer:  </w:t>
            </w:r>
            <w:r w:rsidRPr="00CB2EC4">
              <w:rPr>
                <w:rFonts w:ascii="Times New Roman" w:hAnsi="Times New Roman" w:cs="Times New Roman"/>
              </w:rPr>
              <w:br/>
              <w:t xml:space="preserve">  According to the contextual information (Document Fragment 8, Relevance: 0.8143):  </w:t>
            </w:r>
            <w:r w:rsidRPr="00CB2EC4">
              <w:rPr>
                <w:rFonts w:ascii="Times New Roman" w:hAnsi="Times New Roman" w:cs="Times New Roman"/>
              </w:rPr>
              <w:br/>
            </w:r>
            <w:r w:rsidRPr="00CB2EC4">
              <w:rPr>
                <w:rFonts w:ascii="Times New Roman" w:hAnsi="Times New Roman" w:cs="Times New Roman"/>
              </w:rPr>
              <w:lastRenderedPageBreak/>
              <w:t xml:space="preserve">  - Postoperative pathological findings defined as "high-risk factors" include: positive lymph nodes, positive surgical margins, and parametrial invasion.  </w:t>
            </w:r>
            <w:r w:rsidRPr="00CB2EC4">
              <w:rPr>
                <w:rFonts w:ascii="Times New Roman" w:hAnsi="Times New Roman" w:cs="Times New Roman"/>
              </w:rPr>
              <w:br/>
              <w:t xml:space="preserve">  - The presence of any one high-risk factor warrants adjuvant therapy (such as postoperative radiotherapy or chemoradiotherapy) to reduce the risk of recurrence.  </w:t>
            </w:r>
            <w:r w:rsidRPr="00CB2EC4">
              <w:rPr>
                <w:rFonts w:ascii="Times New Roman" w:hAnsi="Times New Roman" w:cs="Times New Roman"/>
              </w:rPr>
              <w:br/>
              <w:t xml:space="preserve">  These factors are assessed based on pathological staging and require further imaging to exclude distant metastasis.</w:t>
            </w:r>
          </w:p>
        </w:tc>
        <w:tc>
          <w:tcPr>
            <w:tcW w:w="1152" w:type="dxa"/>
            <w:vAlign w:val="center"/>
          </w:tcPr>
          <w:p w14:paraId="2C95CE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2F65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5334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10EE52" w14:textId="77777777">
        <w:tc>
          <w:tcPr>
            <w:tcW w:w="2160" w:type="dxa"/>
            <w:vAlign w:val="center"/>
          </w:tcPr>
          <w:p w14:paraId="3EF25077"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105B0AE"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early-stage cervical cancer who have undergone radical surgery, which postoperative pathological findings are defined as "high-risk factors" requiring adjuvant treatment?</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Postoperative pathological findings defined as "high-risk factors" include: positive lymph nodes, positive surgical margins, and parametrial involvement. Patients with any one of these high-risk factors require adjuvant treatment (such as postoperative radiotherapy with or without chemotherapy).  </w:t>
            </w:r>
            <w:r w:rsidRPr="00CB2EC4">
              <w:rPr>
                <w:rFonts w:ascii="Times New Roman" w:hAnsi="Times New Roman" w:cs="Times New Roman"/>
              </w:rPr>
              <w:br/>
              <w:t xml:space="preserve">- Evidence:  </w:t>
            </w:r>
            <w:r w:rsidRPr="00CB2EC4">
              <w:rPr>
                <w:rFonts w:ascii="Times New Roman" w:hAnsi="Times New Roman" w:cs="Times New Roman"/>
              </w:rPr>
              <w:br/>
              <w:t xml:space="preserve">  - From relevant segment 9 (original block 566-568): "For early-stage cervical cancer patients who have received radical surgery, adjuvant treatment depends on surgical findings and pathological staging. 'High-risk factors' include positive lymph nodes, positive surgical margins, and parametrial involvement."  </w:t>
            </w:r>
            <w:r w:rsidRPr="00CB2EC4">
              <w:rPr>
                <w:rFonts w:ascii="Times New Roman" w:hAnsi="Times New Roman" w:cs="Times New Roman"/>
              </w:rPr>
              <w:br/>
              <w:t xml:space="preserve">  - Supplementary evidence from relevant segment 4 (original block 40-42): also states "'High-risk factors' include positive lymph nodes, positive surgical margins, and parametrial involvement."</w:t>
            </w:r>
          </w:p>
        </w:tc>
        <w:tc>
          <w:tcPr>
            <w:tcW w:w="1152" w:type="dxa"/>
            <w:vAlign w:val="center"/>
          </w:tcPr>
          <w:p w14:paraId="025800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0671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2F9F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E3B1D7" w14:textId="77777777">
        <w:tc>
          <w:tcPr>
            <w:tcW w:w="2160" w:type="dxa"/>
            <w:vAlign w:val="center"/>
          </w:tcPr>
          <w:p w14:paraId="65939F5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6B53FD54"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early-stage cervical cancer who have undergone radical surgery, the following postoperative pathological findings are defined as "high-risk factors" and warrant adjuvant therapy:</w:t>
            </w:r>
            <w:r w:rsidRPr="00CB2EC4">
              <w:rPr>
                <w:rFonts w:ascii="Times New Roman" w:hAnsi="Times New Roman" w:cs="Times New Roman"/>
              </w:rPr>
              <w:br/>
            </w:r>
            <w:r w:rsidRPr="00CB2EC4">
              <w:rPr>
                <w:rFonts w:ascii="Times New Roman" w:hAnsi="Times New Roman" w:cs="Times New Roman"/>
              </w:rPr>
              <w:br/>
              <w:t xml:space="preserve">1.  Lymph node positivity: Metastasis in pelvic or para-aortic lymph nodes.  </w:t>
            </w:r>
            <w:r w:rsidRPr="00CB2EC4">
              <w:rPr>
                <w:rFonts w:ascii="Times New Roman" w:hAnsi="Times New Roman" w:cs="Times New Roman"/>
              </w:rPr>
              <w:br/>
              <w:t xml:space="preserve">2.  Parametrial invasion: Tumor infiltration into parametrial tissues.  </w:t>
            </w:r>
            <w:r w:rsidRPr="00CB2EC4">
              <w:rPr>
                <w:rFonts w:ascii="Times New Roman" w:hAnsi="Times New Roman" w:cs="Times New Roman"/>
              </w:rPr>
              <w:br/>
              <w:t xml:space="preserve">3.  Positive surgical margins: Presence of tumor at vaginal or parametrial resection margins.  </w:t>
            </w:r>
            <w:r w:rsidRPr="00CB2EC4">
              <w:rPr>
                <w:rFonts w:ascii="Times New Roman" w:hAnsi="Times New Roman" w:cs="Times New Roman"/>
              </w:rPr>
              <w:br/>
              <w:t>- If any high-risk factor is present, guidelines recommend adjuvant therapy (typically concurrent chemoradiation).</w:t>
            </w:r>
          </w:p>
        </w:tc>
        <w:tc>
          <w:tcPr>
            <w:tcW w:w="1152" w:type="dxa"/>
            <w:vAlign w:val="center"/>
          </w:tcPr>
          <w:p w14:paraId="102A78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6FD3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0752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43CA424" w14:textId="77777777">
        <w:tc>
          <w:tcPr>
            <w:tcW w:w="10656" w:type="dxa"/>
            <w:gridSpan w:val="5"/>
            <w:tcBorders>
              <w:bottom w:val="single" w:sz="6" w:space="0" w:color="auto"/>
            </w:tcBorders>
            <w:vAlign w:val="center"/>
          </w:tcPr>
          <w:p w14:paraId="2E2A34E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100: What advantages has the sequential chemoradiotherapy regimen demonstrated? Under what specific conditions is this regimen recommended for use?</w:t>
            </w:r>
          </w:p>
        </w:tc>
      </w:tr>
      <w:tr w:rsidR="00922249" w:rsidRPr="00CB2EC4" w14:paraId="745CB365" w14:textId="77777777">
        <w:tc>
          <w:tcPr>
            <w:tcW w:w="2160" w:type="dxa"/>
            <w:vAlign w:val="center"/>
          </w:tcPr>
          <w:p w14:paraId="4571B638"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668649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sequential chemoradiotherapy regimen demonstrates the following advantages:  </w:t>
            </w:r>
            <w:r w:rsidRPr="00CB2EC4">
              <w:rPr>
                <w:rFonts w:ascii="Times New Roman" w:hAnsi="Times New Roman" w:cs="Times New Roman"/>
              </w:rPr>
              <w:br/>
              <w:t xml:space="preserve">  - According to the STARS study (a Chinese Phase III trial), the sequential chemoradiotherapy regimen shows:  </w:t>
            </w:r>
            <w:r w:rsidRPr="00CB2EC4">
              <w:rPr>
                <w:rFonts w:ascii="Times New Roman" w:hAnsi="Times New Roman" w:cs="Times New Roman"/>
              </w:rPr>
              <w:br/>
              <w:t xml:space="preserve">    - A higher 3-year disease-free survival (DFS) rate.  </w:t>
            </w:r>
            <w:r w:rsidRPr="00CB2EC4">
              <w:rPr>
                <w:rFonts w:ascii="Times New Roman" w:hAnsi="Times New Roman" w:cs="Times New Roman"/>
              </w:rPr>
              <w:br/>
              <w:t xml:space="preserve">    - The ability to reduce the risk of death.  </w:t>
            </w:r>
            <w:r w:rsidRPr="00CB2EC4">
              <w:rPr>
                <w:rFonts w:ascii="Times New Roman" w:hAnsi="Times New Roman" w:cs="Times New Roman"/>
              </w:rPr>
              <w:br/>
              <w:t xml:space="preserve">  (Source: The document explicitly states, "The results show that the first two groups had similar rates of grade 3-4 adverse events, while the sequential chemoradiotherapy group had a higher 3-year disease-free survival (DFS) rate and could reduce the risk of death.")  </w:t>
            </w:r>
            <w:r w:rsidRPr="00CB2EC4">
              <w:rPr>
                <w:rFonts w:ascii="Times New Roman" w:hAnsi="Times New Roman" w:cs="Times New Roman"/>
              </w:rPr>
              <w:br/>
            </w:r>
            <w:r w:rsidRPr="00CB2EC4">
              <w:rPr>
                <w:rFonts w:ascii="Times New Roman" w:hAnsi="Times New Roman" w:cs="Times New Roman"/>
              </w:rPr>
              <w:br/>
              <w:t xml:space="preserve">- Recommended conditions for use:  </w:t>
            </w:r>
            <w:r w:rsidRPr="00CB2EC4">
              <w:rPr>
                <w:rFonts w:ascii="Times New Roman" w:hAnsi="Times New Roman" w:cs="Times New Roman"/>
              </w:rPr>
              <w:br/>
              <w:t xml:space="preserve">  This regimen is recommended for use in regions with limited radiotherapy resources.  </w:t>
            </w:r>
            <w:r w:rsidRPr="00CB2EC4">
              <w:rPr>
                <w:rFonts w:ascii="Times New Roman" w:hAnsi="Times New Roman" w:cs="Times New Roman"/>
              </w:rPr>
              <w:br/>
            </w:r>
            <w:r w:rsidRPr="00CB2EC4">
              <w:rPr>
                <w:rFonts w:ascii="Times New Roman" w:hAnsi="Times New Roman" w:cs="Times New Roman"/>
              </w:rPr>
              <w:lastRenderedPageBreak/>
              <w:t xml:space="preserve">  (Source: The document explicitly states, "Can be used in regions with limited radiotherapy resources.")</w:t>
            </w:r>
          </w:p>
        </w:tc>
        <w:tc>
          <w:tcPr>
            <w:tcW w:w="1152" w:type="dxa"/>
            <w:vAlign w:val="center"/>
          </w:tcPr>
          <w:p w14:paraId="5DE73A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B2F4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5BD7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220A45" w14:textId="77777777">
        <w:tc>
          <w:tcPr>
            <w:tcW w:w="2160" w:type="dxa"/>
            <w:vAlign w:val="center"/>
          </w:tcPr>
          <w:p w14:paraId="235B160A"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8694A48" w14:textId="77777777" w:rsidR="00922249" w:rsidRPr="00CB2EC4" w:rsidRDefault="003011D5">
            <w:pPr>
              <w:rPr>
                <w:rFonts w:ascii="Times New Roman" w:hAnsi="Times New Roman" w:cs="Times New Roman"/>
              </w:rPr>
            </w:pPr>
            <w:r w:rsidRPr="00CB2EC4">
              <w:rPr>
                <w:rFonts w:ascii="Times New Roman" w:hAnsi="Times New Roman" w:cs="Times New Roman"/>
              </w:rPr>
              <w:t>sequential chemoradiotherapy advantages and usage conditions</w:t>
            </w:r>
            <w:r w:rsidRPr="00CB2EC4">
              <w:rPr>
                <w:rFonts w:ascii="Times New Roman" w:hAnsi="Times New Roman" w:cs="Times New Roman"/>
              </w:rPr>
              <w:br/>
            </w:r>
            <w:r w:rsidRPr="00CB2EC4">
              <w:rPr>
                <w:rFonts w:ascii="Times New Roman" w:hAnsi="Times New Roman" w:cs="Times New Roman"/>
              </w:rPr>
              <w:br/>
              <w:t xml:space="preserve">- Advantage: The sequential chemoradiotherapy group had a higher 3-year disease-free survival (DFS) rate and could reduce the risk of death.  </w:t>
            </w:r>
            <w:r w:rsidRPr="00CB2EC4">
              <w:rPr>
                <w:rFonts w:ascii="Times New Roman" w:hAnsi="Times New Roman" w:cs="Times New Roman"/>
              </w:rPr>
              <w:br/>
              <w:t xml:space="preserve">  (Source: "Results showed...the sequential chemoradiotherapy group had a higher 3-year disease-free survival (DFS) rate and could reduce the risk of death")</w:t>
            </w:r>
            <w:r w:rsidRPr="00CB2EC4">
              <w:rPr>
                <w:rFonts w:ascii="Times New Roman" w:hAnsi="Times New Roman" w:cs="Times New Roman"/>
              </w:rPr>
              <w:br/>
            </w:r>
            <w:r w:rsidRPr="00CB2EC4">
              <w:rPr>
                <w:rFonts w:ascii="Times New Roman" w:hAnsi="Times New Roman" w:cs="Times New Roman"/>
              </w:rPr>
              <w:br/>
              <w:t xml:space="preserve">- Specific usage condition: Recommended for use in areas with limited radiotherapy resources.  </w:t>
            </w:r>
            <w:r w:rsidRPr="00CB2EC4">
              <w:rPr>
                <w:rFonts w:ascii="Times New Roman" w:hAnsi="Times New Roman" w:cs="Times New Roman"/>
              </w:rPr>
              <w:br/>
              <w:t xml:space="preserve">  (Source: "Can be used in areas with limited radiotherapy resources")</w:t>
            </w:r>
          </w:p>
        </w:tc>
        <w:tc>
          <w:tcPr>
            <w:tcW w:w="1152" w:type="dxa"/>
            <w:vAlign w:val="center"/>
          </w:tcPr>
          <w:p w14:paraId="7A53A5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FCC3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DC15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AF50F6" w14:textId="77777777">
        <w:tc>
          <w:tcPr>
            <w:tcW w:w="2160" w:type="dxa"/>
            <w:vAlign w:val="center"/>
          </w:tcPr>
          <w:p w14:paraId="0EF0B6B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39F1094" w14:textId="77777777" w:rsidR="00922249" w:rsidRPr="00CB2EC4" w:rsidRDefault="003011D5">
            <w:pPr>
              <w:rPr>
                <w:rFonts w:ascii="Times New Roman" w:hAnsi="Times New Roman" w:cs="Times New Roman"/>
              </w:rPr>
            </w:pPr>
            <w:r w:rsidRPr="00CB2EC4">
              <w:rPr>
                <w:rFonts w:ascii="Times New Roman" w:hAnsi="Times New Roman" w:cs="Times New Roman"/>
              </w:rPr>
              <w:t>what advantages does the sequential chemoradiotherapy regimen demonstrate? under what specific conditions is this regimen recommended?</w:t>
            </w:r>
            <w:r w:rsidRPr="00CB2EC4">
              <w:rPr>
                <w:rFonts w:ascii="Times New Roman" w:hAnsi="Times New Roman" w:cs="Times New Roman"/>
              </w:rPr>
              <w:br/>
            </w:r>
            <w:r w:rsidRPr="00CB2EC4">
              <w:rPr>
                <w:rFonts w:ascii="Times New Roman" w:hAnsi="Times New Roman" w:cs="Times New Roman"/>
              </w:rPr>
              <w:br/>
              <w:t xml:space="preserve">advantages of the sequential chemoradiotherapy regimen:  </w:t>
            </w:r>
            <w:r w:rsidRPr="00CB2EC4">
              <w:rPr>
                <w:rFonts w:ascii="Times New Roman" w:hAnsi="Times New Roman" w:cs="Times New Roman"/>
              </w:rPr>
              <w:br/>
              <w:t xml:space="preserve">  based on document excerpt 1 (relevance: 0.900), the sequential chemoradiotherapy regimen (chemotherapy followed by radiotherapy or vice versa) demonstrates a higher 3-year disease-free survival (DFS) rate and reduces the risk of death. specific data are derived from the STARS study (a Chinese phase III trial).  </w:t>
            </w:r>
            <w:r w:rsidRPr="00CB2EC4">
              <w:rPr>
                <w:rFonts w:ascii="Times New Roman" w:hAnsi="Times New Roman" w:cs="Times New Roman"/>
              </w:rPr>
              <w:br/>
              <w:t xml:space="preserve">  - *no other advantages (such as reduced toxicity) are mentioned in the document; therefore, excerpt 1 is used as the basis.*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specific conditions for recommendation:  </w:t>
            </w:r>
            <w:r w:rsidRPr="00CB2EC4">
              <w:rPr>
                <w:rFonts w:ascii="Times New Roman" w:hAnsi="Times New Roman" w:cs="Times New Roman"/>
              </w:rPr>
              <w:br/>
              <w:t xml:space="preserve">  also based on document excerpt 1 (relevance: 0.900), the sequential chemoradiotherapy regimen is recommended for use in regions with limited radiotherapy resources.  </w:t>
            </w:r>
            <w:r w:rsidRPr="00CB2EC4">
              <w:rPr>
                <w:rFonts w:ascii="Times New Roman" w:hAnsi="Times New Roman" w:cs="Times New Roman"/>
              </w:rPr>
              <w:br/>
              <w:t xml:space="preserve">  - *document excerpt 19 (relevance: 0.300) mentions that in areas lacking radiotherapy equipment, neoadjuvant chemotherapy followed by surgery may be considered, but it does not directly address sequential chemoradiotherapy; therefore, the conditions for use are based solely on the description in excerpt 1.*</w:t>
            </w:r>
          </w:p>
        </w:tc>
        <w:tc>
          <w:tcPr>
            <w:tcW w:w="1152" w:type="dxa"/>
            <w:vAlign w:val="center"/>
          </w:tcPr>
          <w:p w14:paraId="484BE6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2C8CD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8F83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91BF29" w14:textId="77777777">
        <w:tc>
          <w:tcPr>
            <w:tcW w:w="2160" w:type="dxa"/>
            <w:vAlign w:val="center"/>
          </w:tcPr>
          <w:p w14:paraId="78C1E6D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1C1176D" w14:textId="77777777" w:rsidR="00922249" w:rsidRPr="00CB2EC4" w:rsidRDefault="003011D5">
            <w:pPr>
              <w:rPr>
                <w:rFonts w:ascii="Times New Roman" w:hAnsi="Times New Roman" w:cs="Times New Roman"/>
              </w:rPr>
            </w:pPr>
            <w:r w:rsidRPr="00CB2EC4">
              <w:rPr>
                <w:rFonts w:ascii="Times New Roman" w:hAnsi="Times New Roman" w:cs="Times New Roman"/>
              </w:rPr>
              <w:t>sequential chemoradiation advantages and applicable conditions</w:t>
            </w:r>
            <w:r w:rsidRPr="00CB2EC4">
              <w:rPr>
                <w:rFonts w:ascii="Times New Roman" w:hAnsi="Times New Roman" w:cs="Times New Roman"/>
              </w:rPr>
              <w:br/>
            </w:r>
            <w:r w:rsidRPr="00CB2EC4">
              <w:rPr>
                <w:rFonts w:ascii="Times New Roman" w:hAnsi="Times New Roman" w:cs="Times New Roman"/>
              </w:rPr>
              <w:br/>
              <w:t xml:space="preserve">Knowledge base document reference (STARS study):  </w:t>
            </w:r>
            <w:r w:rsidRPr="00CB2EC4">
              <w:rPr>
                <w:rFonts w:ascii="Times New Roman" w:hAnsi="Times New Roman" w:cs="Times New Roman"/>
              </w:rPr>
              <w:br/>
              <w:t xml:space="preserve">- Advantages:  </w:t>
            </w:r>
            <w:r w:rsidRPr="00CB2EC4">
              <w:rPr>
                <w:rFonts w:ascii="Times New Roman" w:hAnsi="Times New Roman" w:cs="Times New Roman"/>
              </w:rPr>
              <w:br/>
              <w:t xml:space="preserve">  - Significantly improved 3-year disease-free survival (DFS) compared with concurrent chemoradiation group.  </w:t>
            </w:r>
            <w:r w:rsidRPr="00CB2EC4">
              <w:rPr>
                <w:rFonts w:ascii="Times New Roman" w:hAnsi="Times New Roman" w:cs="Times New Roman"/>
              </w:rPr>
              <w:br/>
              <w:t xml:space="preserve">  - Reduced risk of death, with grade 3-4 adverse events similar to the concurrent chemoradiation group.  </w:t>
            </w:r>
            <w:r w:rsidRPr="00CB2EC4">
              <w:rPr>
                <w:rFonts w:ascii="Times New Roman" w:hAnsi="Times New Roman" w:cs="Times New Roman"/>
              </w:rPr>
              <w:br/>
              <w:t xml:space="preserve">- Applicable conditions:  </w:t>
            </w:r>
            <w:r w:rsidRPr="00CB2EC4">
              <w:rPr>
                <w:rFonts w:ascii="Times New Roman" w:hAnsi="Times New Roman" w:cs="Times New Roman"/>
              </w:rPr>
              <w:br/>
              <w:t xml:space="preserve">  - Regions with limited radiotherapy resources (as an alternative to concurrent chemoradiation).  </w:t>
            </w:r>
            <w:r w:rsidRPr="00CB2EC4">
              <w:rPr>
                <w:rFonts w:ascii="Times New Roman" w:hAnsi="Times New Roman" w:cs="Times New Roman"/>
              </w:rPr>
              <w:br/>
              <w:t xml:space="preserve">  - Suitable for postoperative patients with high-risk factors in IB1-IIA2 stages (Level II recommendation).  </w:t>
            </w:r>
            <w:r w:rsidRPr="00CB2EC4">
              <w:rPr>
                <w:rFonts w:ascii="Times New Roman" w:hAnsi="Times New Roman" w:cs="Times New Roman"/>
              </w:rPr>
              <w:br/>
            </w:r>
            <w:r w:rsidRPr="00CB2EC4">
              <w:rPr>
                <w:rFonts w:ascii="Times New Roman" w:hAnsi="Times New Roman" w:cs="Times New Roman"/>
              </w:rPr>
              <w:br/>
              <w:t xml:space="preserve">Web search supplement:  </w:t>
            </w:r>
            <w:r w:rsidRPr="00CB2EC4">
              <w:rPr>
                <w:rFonts w:ascii="Times New Roman" w:hAnsi="Times New Roman" w:cs="Times New Roman"/>
              </w:rPr>
              <w:br/>
              <w:t xml:space="preserve">China's STARS study supports survival benefit of sequential regimen under specific conditions.  </w:t>
            </w:r>
            <w:r w:rsidRPr="00CB2EC4">
              <w:rPr>
                <w:rFonts w:ascii="Times New Roman" w:hAnsi="Times New Roman" w:cs="Times New Roman"/>
              </w:rPr>
              <w:br/>
            </w:r>
            <w:r w:rsidRPr="00CB2EC4">
              <w:rPr>
                <w:rFonts w:ascii="Times New Roman" w:hAnsi="Times New Roman" w:cs="Times New Roman"/>
              </w:rPr>
              <w:br/>
              <w:t xml:space="preserve">&gt; Conclusion: Advantages include improved DFS and reduced risk of death; applicable in areas with </w:t>
            </w:r>
            <w:r w:rsidRPr="00CB2EC4">
              <w:rPr>
                <w:rFonts w:ascii="Times New Roman" w:hAnsi="Times New Roman" w:cs="Times New Roman"/>
              </w:rPr>
              <w:lastRenderedPageBreak/>
              <w:t>insufficient radiotherapy resources.</w:t>
            </w:r>
          </w:p>
        </w:tc>
        <w:tc>
          <w:tcPr>
            <w:tcW w:w="1152" w:type="dxa"/>
            <w:vAlign w:val="center"/>
          </w:tcPr>
          <w:p w14:paraId="27AC84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05C06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8403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FEAE32" w14:textId="77777777">
        <w:tc>
          <w:tcPr>
            <w:tcW w:w="2160" w:type="dxa"/>
            <w:vAlign w:val="center"/>
          </w:tcPr>
          <w:p w14:paraId="565F67E0"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520F05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sequential chemoradiotherapy regimen demonstrates the following advantages:  </w:t>
            </w:r>
            <w:r w:rsidRPr="00CB2EC4">
              <w:rPr>
                <w:rFonts w:ascii="Times New Roman" w:hAnsi="Times New Roman" w:cs="Times New Roman"/>
              </w:rPr>
              <w:br/>
              <w:t xml:space="preserve">- Advantages: Higher 3-year disease-free survival (DFS) rate and reduced risk of mortality. Compared to radiotherapy alone or concurrent chemoradiotherapy, the sequential chemoradiotherapy group exhibits a higher 3-year DFS rate and lower mortality risk.  </w:t>
            </w:r>
            <w:r w:rsidRPr="00CB2EC4">
              <w:rPr>
                <w:rFonts w:ascii="Times New Roman" w:hAnsi="Times New Roman" w:cs="Times New Roman"/>
              </w:rPr>
              <w:br/>
              <w:t>- Usage conditions: This regimen is recommended for regions with limited radiotherapy resources (e.g., areas with constrained medical resources or insufficient radiotherapy equipment) to optimize treatment efficacy and resource allocation. Studies indicate that the incidence of adverse reactions with sequential chemoradiotherapy is similar to that of concurrent chemoradiotherapy, but the survival benefit is more significant.</w:t>
            </w:r>
          </w:p>
        </w:tc>
        <w:tc>
          <w:tcPr>
            <w:tcW w:w="1152" w:type="dxa"/>
            <w:vAlign w:val="center"/>
          </w:tcPr>
          <w:p w14:paraId="7BB200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CAB4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8AB9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99A1DD1" w14:textId="77777777">
        <w:tc>
          <w:tcPr>
            <w:tcW w:w="2160" w:type="dxa"/>
            <w:vAlign w:val="center"/>
          </w:tcPr>
          <w:p w14:paraId="7A6D93EB"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8D0A3D1" w14:textId="77777777" w:rsidR="00922249" w:rsidRPr="00CB2EC4" w:rsidRDefault="003011D5">
            <w:pPr>
              <w:rPr>
                <w:rFonts w:ascii="Times New Roman" w:hAnsi="Times New Roman" w:cs="Times New Roman"/>
              </w:rPr>
            </w:pPr>
            <w:r w:rsidRPr="00CB2EC4">
              <w:rPr>
                <w:rFonts w:ascii="Times New Roman" w:hAnsi="Times New Roman" w:cs="Times New Roman"/>
              </w:rPr>
              <w:t>the sequential chemoradiation regimen demonstrates higher 3-year disease-free survival (DFS) rates and significantly reduces the risk of death. Specifically, data show that this approach outperforms radiotherapy alone or concurrent chemoradiation in 3-year DFS rates and effectively controls recurrence.</w:t>
            </w:r>
            <w:r w:rsidRPr="00CB2EC4">
              <w:rPr>
                <w:rFonts w:ascii="Times New Roman" w:hAnsi="Times New Roman" w:cs="Times New Roman"/>
              </w:rPr>
              <w:br/>
            </w:r>
            <w:r w:rsidRPr="00CB2EC4">
              <w:rPr>
                <w:rFonts w:ascii="Times New Roman" w:hAnsi="Times New Roman" w:cs="Times New Roman"/>
              </w:rPr>
              <w:br/>
              <w:t>the regimen is recommended for use in regions with limited radiotherapy resources. For example, in patients with IB1 to IIA2 stage cervical cancer who have undergone radical surgery and have pathological high-risk factors, sequential chemoradiation can serve as an alternative when radiotherapy equipment or technology is constrained, optimizing resource utilization (based on Document 4, STARS study section).</w:t>
            </w:r>
          </w:p>
        </w:tc>
        <w:tc>
          <w:tcPr>
            <w:tcW w:w="1152" w:type="dxa"/>
            <w:vAlign w:val="center"/>
          </w:tcPr>
          <w:p w14:paraId="572976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A469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7084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C630419" w14:textId="77777777">
        <w:tc>
          <w:tcPr>
            <w:tcW w:w="2160" w:type="dxa"/>
            <w:vAlign w:val="center"/>
          </w:tcPr>
          <w:p w14:paraId="3876B9D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3DC50C15" w14:textId="77777777" w:rsidR="00922249" w:rsidRPr="00CB2EC4" w:rsidRDefault="003011D5">
            <w:pPr>
              <w:rPr>
                <w:rFonts w:ascii="Times New Roman" w:hAnsi="Times New Roman" w:cs="Times New Roman"/>
              </w:rPr>
            </w:pPr>
            <w:r w:rsidRPr="00CB2EC4">
              <w:rPr>
                <w:rFonts w:ascii="Times New Roman" w:hAnsi="Times New Roman" w:cs="Times New Roman"/>
              </w:rPr>
              <w:t>advantages and indications of sequential chemoradiotherapy</w:t>
            </w:r>
            <w:r w:rsidRPr="00CB2EC4">
              <w:rPr>
                <w:rFonts w:ascii="Times New Roman" w:hAnsi="Times New Roman" w:cs="Times New Roman"/>
              </w:rPr>
              <w:br/>
            </w:r>
            <w:r w:rsidRPr="00CB2EC4">
              <w:rPr>
                <w:rFonts w:ascii="Times New Roman" w:hAnsi="Times New Roman" w:cs="Times New Roman"/>
              </w:rPr>
              <w:br/>
              <w:t xml:space="preserve">advantages:  </w:t>
            </w:r>
            <w:r w:rsidRPr="00CB2EC4">
              <w:rPr>
                <w:rFonts w:ascii="Times New Roman" w:hAnsi="Times New Roman" w:cs="Times New Roman"/>
              </w:rPr>
              <w:br/>
              <w:t xml:space="preserve">  sequential chemoradiotherapy can improve 3-year disease-free survival (DFS) and reduce the risk of death (see context: "sequential chemoradiotherapy group had higher 3-year disease-free survival and could reduce the risk of death").  </w:t>
            </w:r>
            <w:r w:rsidRPr="00CB2EC4">
              <w:rPr>
                <w:rFonts w:ascii="Times New Roman" w:hAnsi="Times New Roman" w:cs="Times New Roman"/>
              </w:rPr>
              <w:br/>
              <w:t xml:space="preserve">- indications:  </w:t>
            </w:r>
            <w:r w:rsidRPr="00CB2EC4">
              <w:rPr>
                <w:rFonts w:ascii="Times New Roman" w:hAnsi="Times New Roman" w:cs="Times New Roman"/>
              </w:rPr>
              <w:br/>
              <w:t xml:space="preserve">  it is recommended for use in areas with limited radiotherapy resources (see context: "can be used in areas with limited radiotherapy resources"), based on the results of the Chinese STARS study (comparing sequential chemoradiotherapy, concurrent chemoradiotherapy, and radiotherapy alone).  </w:t>
            </w:r>
            <w:r w:rsidRPr="00CB2EC4">
              <w:rPr>
                <w:rFonts w:ascii="Times New Roman" w:hAnsi="Times New Roman" w:cs="Times New Roman"/>
              </w:rPr>
              <w:br/>
            </w:r>
            <w:r w:rsidRPr="00CB2EC4">
              <w:rPr>
                <w:rFonts w:ascii="Times New Roman" w:hAnsi="Times New Roman" w:cs="Times New Roman"/>
              </w:rPr>
              <w:br/>
              <w:t>the above response is strictly based on the provided document content, with no external knowledge cited.</w:t>
            </w:r>
          </w:p>
        </w:tc>
        <w:tc>
          <w:tcPr>
            <w:tcW w:w="1152" w:type="dxa"/>
            <w:vAlign w:val="center"/>
          </w:tcPr>
          <w:p w14:paraId="4B6D4F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8931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31F3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E3D940" w14:textId="77777777">
        <w:tc>
          <w:tcPr>
            <w:tcW w:w="2160" w:type="dxa"/>
            <w:vAlign w:val="center"/>
          </w:tcPr>
          <w:p w14:paraId="6DA0F9E3"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39F6C41" w14:textId="77777777" w:rsidR="00922249" w:rsidRPr="00CB2EC4" w:rsidRDefault="003011D5">
            <w:pPr>
              <w:rPr>
                <w:rFonts w:ascii="Times New Roman" w:hAnsi="Times New Roman" w:cs="Times New Roman"/>
              </w:rPr>
            </w:pPr>
            <w:r w:rsidRPr="00CB2EC4">
              <w:rPr>
                <w:rFonts w:ascii="Times New Roman" w:hAnsi="Times New Roman" w:cs="Times New Roman"/>
              </w:rPr>
              <w:t>what advantages does the sequential chemoradiotherapy regimen demonstrate? under what specific conditions is this regimen recommended?</w:t>
            </w:r>
            <w:r w:rsidRPr="00CB2EC4">
              <w:rPr>
                <w:rFonts w:ascii="Times New Roman" w:hAnsi="Times New Roman" w:cs="Times New Roman"/>
              </w:rPr>
              <w:br/>
            </w:r>
            <w:r w:rsidRPr="00CB2EC4">
              <w:rPr>
                <w:rFonts w:ascii="Times New Roman" w:hAnsi="Times New Roman" w:cs="Times New Roman"/>
              </w:rPr>
              <w:br/>
              <w:t>according to document fragment 9 (similarity 0.545), the sequential chemoradiotherapy regimen (i.e., chemotherapy followed by radiotherapy or vice versa) shows specific advantages in research:</w:t>
            </w:r>
            <w:r w:rsidRPr="00CB2EC4">
              <w:rPr>
                <w:rFonts w:ascii="Times New Roman" w:hAnsi="Times New Roman" w:cs="Times New Roman"/>
              </w:rPr>
              <w:br/>
              <w:t xml:space="preserve">- advantages: in the STARS study (a Chinese phase III trial), the sequential chemoradiotherapy group demonstrated higher 3-year disease-free survival (DFS) rates compared with the radiotherapy-alone group and the concurrent chemoradiotherapy group, and reduced the risk of death. specifically, sequential chemoradiotherapy improved survival outcomes, with </w:t>
            </w:r>
            <w:r w:rsidRPr="00CB2EC4">
              <w:rPr>
                <w:rFonts w:ascii="Times New Roman" w:hAnsi="Times New Roman" w:cs="Times New Roman"/>
              </w:rPr>
              <w:lastRenderedPageBreak/>
              <w:t>grade 3–4 adverse event rates similar to those in the concurrent chemoradiotherapy group.</w:t>
            </w:r>
            <w:r w:rsidRPr="00CB2EC4">
              <w:rPr>
                <w:rFonts w:ascii="Times New Roman" w:hAnsi="Times New Roman" w:cs="Times New Roman"/>
              </w:rPr>
              <w:br/>
              <w:t>- conditions for use: this regimen is recommended for use in regions with limited radiotherapy resources. for example, in settings with constrained medical resources or insufficient radiotherapy equipment, sequential chemoradiotherapy may serve as an alternative to optimize treatment accessibility and outcomes (document fragment 9).</w:t>
            </w:r>
          </w:p>
        </w:tc>
        <w:tc>
          <w:tcPr>
            <w:tcW w:w="1152" w:type="dxa"/>
            <w:vAlign w:val="center"/>
          </w:tcPr>
          <w:p w14:paraId="2608DD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D3748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ED1F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CB1E3F" w14:textId="77777777">
        <w:tc>
          <w:tcPr>
            <w:tcW w:w="2160" w:type="dxa"/>
            <w:vAlign w:val="center"/>
          </w:tcPr>
          <w:p w14:paraId="6312640F"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3957E5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Sequential chemoradiotherapy regimen demonstrates the following advantage: In the STARS study, the sequential chemoradiotherapy group showed a higher 3-year disease-free survival (DFS) rate and reduced the risk of death.  </w:t>
            </w:r>
            <w:r w:rsidRPr="00CB2EC4">
              <w:rPr>
                <w:rFonts w:ascii="Times New Roman" w:hAnsi="Times New Roman" w:cs="Times New Roman"/>
              </w:rPr>
              <w:br/>
              <w:t xml:space="preserve">- This regimen is recommended for use under the following specific condition: In regions with limited radiotherapy resources.  </w:t>
            </w:r>
            <w:r w:rsidRPr="00CB2EC4">
              <w:rPr>
                <w:rFonts w:ascii="Times New Roman" w:hAnsi="Times New Roman" w:cs="Times New Roman"/>
              </w:rPr>
              <w:br/>
              <w:t>(Source: Description of the STARS study in the third document segment)</w:t>
            </w:r>
            <w:r w:rsidRPr="00CB2EC4">
              <w:rPr>
                <w:rFonts w:ascii="Times New Roman" w:hAnsi="Times New Roman" w:cs="Times New Roman"/>
              </w:rPr>
              <w:br/>
            </w:r>
            <w:r w:rsidRPr="00CB2EC4">
              <w:rPr>
                <w:rFonts w:ascii="Times New Roman" w:hAnsi="Times New Roman" w:cs="Times New Roman"/>
              </w:rPr>
              <w:br/>
              <w:t>--- Query Group 21</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291DE4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C34D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6F9C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F55A197" w14:textId="77777777">
        <w:tc>
          <w:tcPr>
            <w:tcW w:w="2160" w:type="dxa"/>
            <w:vAlign w:val="center"/>
          </w:tcPr>
          <w:p w14:paraId="0854112F"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C23F7B1" w14:textId="77777777" w:rsidR="00922249" w:rsidRPr="00CB2EC4" w:rsidRDefault="003011D5">
            <w:pPr>
              <w:rPr>
                <w:rFonts w:ascii="Times New Roman" w:hAnsi="Times New Roman" w:cs="Times New Roman"/>
              </w:rPr>
            </w:pPr>
            <w:r w:rsidRPr="00CB2EC4">
              <w:rPr>
                <w:rFonts w:ascii="Times New Roman" w:hAnsi="Times New Roman" w:cs="Times New Roman"/>
              </w:rPr>
              <w:t>sequential chemoradiotherapy demonstrates higher 3-year disease-free survival (DFS) rates and reduces the risk of death. Specifically, data from the Chinese STARS study (a Phase III trial) comparing radiotherapy alone, concurrent chemoradiotherapy, and sequential chemoradiotherapy showed that the sequential chemoradiotherapy group achieved superior survival benefits.</w:t>
            </w:r>
            <w:r w:rsidRPr="00CB2EC4">
              <w:rPr>
                <w:rFonts w:ascii="Times New Roman" w:hAnsi="Times New Roman" w:cs="Times New Roman"/>
              </w:rPr>
              <w:br/>
            </w:r>
            <w:r w:rsidRPr="00CB2EC4">
              <w:rPr>
                <w:rFonts w:ascii="Times New Roman" w:hAnsi="Times New Roman" w:cs="Times New Roman"/>
              </w:rPr>
              <w:br/>
              <w:t xml:space="preserve">This regimen is recommended for use in regions with </w:t>
            </w:r>
            <w:r w:rsidRPr="00CB2EC4">
              <w:rPr>
                <w:rFonts w:ascii="Times New Roman" w:hAnsi="Times New Roman" w:cs="Times New Roman"/>
              </w:rPr>
              <w:lastRenderedPageBreak/>
              <w:t>limited radiotherapy resources, such as areas with constrained medical facilities or insufficient radiotherapy equipment, to optimize resource utilization.</w:t>
            </w:r>
          </w:p>
        </w:tc>
        <w:tc>
          <w:tcPr>
            <w:tcW w:w="1152" w:type="dxa"/>
            <w:vAlign w:val="center"/>
          </w:tcPr>
          <w:p w14:paraId="2AE1FC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AB199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68BE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9D0E19" w14:textId="77777777">
        <w:tc>
          <w:tcPr>
            <w:tcW w:w="2160" w:type="dxa"/>
            <w:vAlign w:val="center"/>
          </w:tcPr>
          <w:p w14:paraId="0324E963"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A1A320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Sequential chemoradiotherapy regimens demonstrate the following advantages:  </w:t>
            </w:r>
            <w:r w:rsidRPr="00CB2EC4">
              <w:rPr>
                <w:rFonts w:ascii="Times New Roman" w:hAnsi="Times New Roman" w:cs="Times New Roman"/>
              </w:rPr>
              <w:br/>
              <w:t xml:space="preserve">- Higher 3-year disease-free survival (DFS) rates  </w:t>
            </w:r>
            <w:r w:rsidRPr="00CB2EC4">
              <w:rPr>
                <w:rFonts w:ascii="Times New Roman" w:hAnsi="Times New Roman" w:cs="Times New Roman"/>
              </w:rPr>
              <w:br/>
              <w:t xml:space="preserve">- Ability to reduce mortality risk  </w:t>
            </w:r>
            <w:r w:rsidRPr="00CB2EC4">
              <w:rPr>
                <w:rFonts w:ascii="Times New Roman" w:hAnsi="Times New Roman" w:cs="Times New Roman"/>
              </w:rPr>
              <w:br/>
            </w:r>
            <w:r w:rsidRPr="00CB2EC4">
              <w:rPr>
                <w:rFonts w:ascii="Times New Roman" w:hAnsi="Times New Roman" w:cs="Times New Roman"/>
              </w:rPr>
              <w:br/>
              <w:t>This regimen is recommended for use under specific conditions: in regions with constrained radiotherapy resources (e.g., insufficient equipment or technology), it may serve as an alternative option. Research (STARS study) indicates that in patients with IB1–IIA2 stage disease who have undergone radical surgery and have pathological high-risk factors, the DFS rate in the sequential chemoradiotherapy group was superior to that in the radiotherapy-only group and the concurrent chemoradiotherapy group, with similar rates of adverse reactions.</w:t>
            </w:r>
          </w:p>
        </w:tc>
        <w:tc>
          <w:tcPr>
            <w:tcW w:w="1152" w:type="dxa"/>
            <w:vAlign w:val="center"/>
          </w:tcPr>
          <w:p w14:paraId="19FE70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2F62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DCED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95DE69" w14:textId="77777777">
        <w:tc>
          <w:tcPr>
            <w:tcW w:w="2160" w:type="dxa"/>
            <w:vAlign w:val="center"/>
          </w:tcPr>
          <w:p w14:paraId="2B32A961"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198AEFA" w14:textId="77777777" w:rsidR="00922249" w:rsidRPr="00CB2EC4" w:rsidRDefault="003011D5">
            <w:pPr>
              <w:rPr>
                <w:rFonts w:ascii="Times New Roman" w:hAnsi="Times New Roman" w:cs="Times New Roman"/>
              </w:rPr>
            </w:pPr>
            <w:r w:rsidRPr="00CB2EC4">
              <w:rPr>
                <w:rFonts w:ascii="Times New Roman" w:hAnsi="Times New Roman" w:cs="Times New Roman"/>
              </w:rPr>
              <w:t>- Advantages of sequential chemoradiotherapy:</w:t>
            </w:r>
            <w:r w:rsidRPr="00CB2EC4">
              <w:rPr>
                <w:rFonts w:ascii="Times New Roman" w:hAnsi="Times New Roman" w:cs="Times New Roman"/>
              </w:rPr>
              <w:br/>
              <w:t xml:space="preserve">  In the STARS study, the sequential chemoradiotherapy group demonstrated a higher 3-year disease-free survival (DFS) rate and reduced risk of death, while the incidence of grade 3–4 adverse events was similar to that of the concurrent chemoradiotherapy group.</w:t>
            </w:r>
            <w:r w:rsidRPr="00CB2EC4">
              <w:rPr>
                <w:rFonts w:ascii="Times New Roman" w:hAnsi="Times New Roman" w:cs="Times New Roman"/>
              </w:rPr>
              <w:br/>
            </w:r>
            <w:r w:rsidRPr="00CB2EC4">
              <w:rPr>
                <w:rFonts w:ascii="Times New Roman" w:hAnsi="Times New Roman" w:cs="Times New Roman"/>
              </w:rPr>
              <w:br/>
              <w:t>- Conditions under which the regimen is recommended:</w:t>
            </w:r>
            <w:r w:rsidRPr="00CB2EC4">
              <w:rPr>
                <w:rFonts w:ascii="Times New Roman" w:hAnsi="Times New Roman" w:cs="Times New Roman"/>
              </w:rPr>
              <w:br/>
              <w:t xml:space="preserve">  It can be used in regions with limited radiotherapy resources (e.g., when radiotherapy equipment or specialized personnel are scarce) as an alternative to </w:t>
            </w:r>
            <w:r w:rsidRPr="00CB2EC4">
              <w:rPr>
                <w:rFonts w:ascii="Times New Roman" w:hAnsi="Times New Roman" w:cs="Times New Roman"/>
              </w:rPr>
              <w:lastRenderedPageBreak/>
              <w:t>concurrent chemoradiotherapy to optimize resource allocation.</w:t>
            </w:r>
            <w:r w:rsidRPr="00CB2EC4">
              <w:rPr>
                <w:rFonts w:ascii="Times New Roman" w:hAnsi="Times New Roman" w:cs="Times New Roman"/>
              </w:rPr>
              <w:br/>
              <w:t xml:space="preserve">  Sequential chemoradiotherapy involves administering chemotherapy cycles first, followed by radiotherapy, and is applicable to patients with IB1–IIA2 stage disease after radical surgery who have high-risk factors.</w:t>
            </w:r>
          </w:p>
        </w:tc>
        <w:tc>
          <w:tcPr>
            <w:tcW w:w="1152" w:type="dxa"/>
            <w:vAlign w:val="center"/>
          </w:tcPr>
          <w:p w14:paraId="697D84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F47D7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17D0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FD4058E" w14:textId="77777777">
        <w:tc>
          <w:tcPr>
            <w:tcW w:w="2160" w:type="dxa"/>
            <w:vAlign w:val="center"/>
          </w:tcPr>
          <w:p w14:paraId="6E8251D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88B5E89" w14:textId="77777777" w:rsidR="00922249" w:rsidRPr="00CB2EC4" w:rsidRDefault="003011D5">
            <w:pPr>
              <w:rPr>
                <w:rFonts w:ascii="Times New Roman" w:hAnsi="Times New Roman" w:cs="Times New Roman"/>
              </w:rPr>
            </w:pPr>
            <w:r w:rsidRPr="00CB2EC4">
              <w:rPr>
                <w:rFonts w:ascii="Times New Roman" w:hAnsi="Times New Roman" w:cs="Times New Roman"/>
              </w:rPr>
              <w:t>sequential chemoradiotherapy demonstrates improved 3-year disease-free survival (DFS) rates and reduced mortality risk, with similar incidence of grade 3–4 adverse events compared to concurrent chemoradiotherapy. This regimen is recommended for use in regions with limited radiotherapy resources.</w:t>
            </w:r>
            <w:r w:rsidRPr="00CB2EC4">
              <w:rPr>
                <w:rFonts w:ascii="Times New Roman" w:hAnsi="Times New Roman" w:cs="Times New Roman"/>
              </w:rPr>
              <w:br/>
            </w:r>
            <w:r w:rsidRPr="00CB2EC4">
              <w:rPr>
                <w:rFonts w:ascii="Times New Roman" w:hAnsi="Times New Roman" w:cs="Times New Roman"/>
              </w:rPr>
              <w:br/>
              <w:t xml:space="preserve">- Evidence:  </w:t>
            </w:r>
            <w:r w:rsidRPr="00CB2EC4">
              <w:rPr>
                <w:rFonts w:ascii="Times New Roman" w:hAnsi="Times New Roman" w:cs="Times New Roman"/>
              </w:rPr>
              <w:br/>
              <w:t xml:space="preserve">  - From relevant segment 4 (original block 40-42): "A Phase III study in China—the STARS study—randomly assigned patients with IB1 to IIA2 cervical cancer who had undergone radical surgery and had pathological high-risk factors into three groups: radiotherapy alone, concurrent chemoradiotherapy, and sequential chemoradiotherapy. The results showed that the first two groups had similar rates of grade 3–4 adverse events, while the sequential chemoradiotherapy group had a higher 3-year disease-free survival (DFS) rate and reduced mortality risk, making it suitable for regions with limited radiotherapy resources."</w:t>
            </w:r>
          </w:p>
        </w:tc>
        <w:tc>
          <w:tcPr>
            <w:tcW w:w="1152" w:type="dxa"/>
            <w:vAlign w:val="center"/>
          </w:tcPr>
          <w:p w14:paraId="35B659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9E0C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520D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9AF960" w14:textId="77777777">
        <w:tc>
          <w:tcPr>
            <w:tcW w:w="2160" w:type="dxa"/>
            <w:vAlign w:val="center"/>
          </w:tcPr>
          <w:p w14:paraId="73E5EB3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67E1DA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sequential chemoradiation regimen demonstrates the following advantages: it reduces treatment-related toxicities (such as myelosuppression, nephrotoxicity, or gastrointestinal reactions), thereby improving patient tolerance and treatment completion rates. </w:t>
            </w:r>
            <w:r w:rsidRPr="00CB2EC4">
              <w:rPr>
                <w:rFonts w:ascii="Times New Roman" w:hAnsi="Times New Roman" w:cs="Times New Roman"/>
              </w:rPr>
              <w:lastRenderedPageBreak/>
              <w:t>However, its efficacy is generally inferior to that of concurrent chemoradiation.</w:t>
            </w:r>
            <w:r w:rsidRPr="00CB2EC4">
              <w:rPr>
                <w:rFonts w:ascii="Times New Roman" w:hAnsi="Times New Roman" w:cs="Times New Roman"/>
              </w:rPr>
              <w:br/>
            </w:r>
            <w:r w:rsidRPr="00CB2EC4">
              <w:rPr>
                <w:rFonts w:ascii="Times New Roman" w:hAnsi="Times New Roman" w:cs="Times New Roman"/>
              </w:rPr>
              <w:br/>
              <w:t>- Specific conditions under which this regimen is recommended:</w:t>
            </w:r>
            <w:r w:rsidRPr="00CB2EC4">
              <w:rPr>
                <w:rFonts w:ascii="Times New Roman" w:hAnsi="Times New Roman" w:cs="Times New Roman"/>
              </w:rPr>
              <w:br/>
              <w:t xml:space="preserve">  - The patient cannot tolerate concurrent chemoradiation (e.g., due to comorbidities, advanced age, renal insufficiency, or poor general condition).</w:t>
            </w:r>
            <w:r w:rsidRPr="00CB2EC4">
              <w:rPr>
                <w:rFonts w:ascii="Times New Roman" w:hAnsi="Times New Roman" w:cs="Times New Roman"/>
              </w:rPr>
              <w:br/>
              <w:t xml:space="preserve">  - Resource limitations or patient preference make concurrent therapy unfeasible.</w:t>
            </w:r>
            <w:r w:rsidRPr="00CB2EC4">
              <w:rPr>
                <w:rFonts w:ascii="Times New Roman" w:hAnsi="Times New Roman" w:cs="Times New Roman"/>
              </w:rPr>
              <w:br/>
              <w:t xml:space="preserve">  - Specific clinical scenarios include its use as an alternative when standard concurrent regimens (such as weekly cisplatin) are contraindicated.</w:t>
            </w:r>
          </w:p>
        </w:tc>
        <w:tc>
          <w:tcPr>
            <w:tcW w:w="1152" w:type="dxa"/>
            <w:vAlign w:val="center"/>
          </w:tcPr>
          <w:p w14:paraId="3F45A8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E4ECC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FF525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64ECA6F" w14:textId="77777777">
        <w:tc>
          <w:tcPr>
            <w:tcW w:w="10656" w:type="dxa"/>
            <w:gridSpan w:val="5"/>
            <w:tcBorders>
              <w:bottom w:val="single" w:sz="6" w:space="0" w:color="auto"/>
            </w:tcBorders>
            <w:vAlign w:val="center"/>
          </w:tcPr>
          <w:p w14:paraId="065DC4AD"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101: What two parts form the connective body of Mackenrodt's ligament?</w:t>
            </w:r>
          </w:p>
        </w:tc>
      </w:tr>
      <w:tr w:rsidR="00922249" w:rsidRPr="00CB2EC4" w14:paraId="22751FF7" w14:textId="77777777">
        <w:tc>
          <w:tcPr>
            <w:tcW w:w="2160" w:type="dxa"/>
            <w:vAlign w:val="center"/>
          </w:tcPr>
          <w:p w14:paraId="27B8D6E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918EF79" w14:textId="77777777" w:rsidR="00922249" w:rsidRPr="00CB2EC4" w:rsidRDefault="003011D5">
            <w:pPr>
              <w:rPr>
                <w:rFonts w:ascii="Times New Roman" w:hAnsi="Times New Roman" w:cs="Times New Roman"/>
              </w:rPr>
            </w:pPr>
            <w:r w:rsidRPr="00CB2EC4">
              <w:rPr>
                <w:rFonts w:ascii="Times New Roman" w:hAnsi="Times New Roman" w:cs="Times New Roman"/>
              </w:rPr>
              <w:t>The Mackenrodt ligament is composed of the transverse cervical ligament and short fiber bundles.</w:t>
            </w:r>
            <w:r w:rsidRPr="00CB2EC4">
              <w:rPr>
                <w:rFonts w:ascii="Times New Roman" w:hAnsi="Times New Roman" w:cs="Times New Roman"/>
              </w:rPr>
              <w:br/>
            </w:r>
            <w:r w:rsidRPr="00CB2EC4">
              <w:rPr>
                <w:rFonts w:ascii="Times New Roman" w:hAnsi="Times New Roman" w:cs="Times New Roman"/>
              </w:rPr>
              <w:br/>
              <w:t>According to the document:</w:t>
            </w:r>
            <w:r w:rsidRPr="00CB2EC4">
              <w:rPr>
                <w:rFonts w:ascii="Times New Roman" w:hAnsi="Times New Roman" w:cs="Times New Roman"/>
              </w:rPr>
              <w:br/>
              <w:t>- The transverse cervical ligament originates from the iliac fossa and attaches to the posterolateral aspect of the uterine cervix.</w:t>
            </w:r>
            <w:r w:rsidRPr="00CB2EC4">
              <w:rPr>
                <w:rFonts w:ascii="Times New Roman" w:hAnsi="Times New Roman" w:cs="Times New Roman"/>
              </w:rPr>
              <w:br/>
              <w:t>- The short fiber bundles arise from the tendinous arch of the levator ani muscle and attach to the connective tissue sheath enveloping the vagina, corresponding to part of the upper fascia of the levator ani muscle or pelvic diaphragm.</w:t>
            </w:r>
            <w:r w:rsidRPr="00CB2EC4">
              <w:rPr>
                <w:rFonts w:ascii="Times New Roman" w:hAnsi="Times New Roman" w:cs="Times New Roman"/>
              </w:rPr>
              <w:br/>
              <w:t>- The two structures combine at the level of the ischial spine in an L-shaped configuration, forming a single structural entity.</w:t>
            </w:r>
            <w:r w:rsidRPr="00CB2EC4">
              <w:rPr>
                <w:rFonts w:ascii="Times New Roman" w:hAnsi="Times New Roman" w:cs="Times New Roman"/>
              </w:rPr>
              <w:br/>
            </w:r>
            <w:r w:rsidRPr="00CB2EC4">
              <w:rPr>
                <w:rFonts w:ascii="Times New Roman" w:hAnsi="Times New Roman" w:cs="Times New Roman"/>
              </w:rPr>
              <w:br/>
              <w:t xml:space="preserve">The document repeatedly states: "The Mackenrodt ligament is a connecting structure formed by the transverse cervical ligament and short fiber bundles </w:t>
            </w:r>
            <w:r w:rsidRPr="00CB2EC4">
              <w:rPr>
                <w:rFonts w:ascii="Times New Roman" w:hAnsi="Times New Roman" w:cs="Times New Roman"/>
              </w:rPr>
              <w:lastRenderedPageBreak/>
              <w:t>(horizontal connective tissue basal bundles)."</w:t>
            </w:r>
          </w:p>
        </w:tc>
        <w:tc>
          <w:tcPr>
            <w:tcW w:w="1152" w:type="dxa"/>
            <w:vAlign w:val="center"/>
          </w:tcPr>
          <w:p w14:paraId="4CA7DE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0DFE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F2FA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BA38A3" w14:textId="77777777">
        <w:tc>
          <w:tcPr>
            <w:tcW w:w="2160" w:type="dxa"/>
            <w:vAlign w:val="center"/>
          </w:tcPr>
          <w:p w14:paraId="02580B5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6B8D750" w14:textId="77777777" w:rsidR="00922249" w:rsidRPr="00CB2EC4" w:rsidRDefault="003011D5">
            <w:pPr>
              <w:rPr>
                <w:rFonts w:ascii="Times New Roman" w:hAnsi="Times New Roman" w:cs="Times New Roman"/>
              </w:rPr>
            </w:pPr>
            <w:r w:rsidRPr="00CB2EC4">
              <w:rPr>
                <w:rFonts w:ascii="Times New Roman" w:hAnsi="Times New Roman" w:cs="Times New Roman"/>
              </w:rPr>
              <w:t>Mackenrodt ligament is a connecting structure formed by the combination of the transverse cervical ligament and a short fibrous bundle that is its low continuation, joining at the level of the ischial spine in an L-shaped configuration.</w:t>
            </w:r>
          </w:p>
        </w:tc>
        <w:tc>
          <w:tcPr>
            <w:tcW w:w="1152" w:type="dxa"/>
            <w:vAlign w:val="center"/>
          </w:tcPr>
          <w:p w14:paraId="7C28DA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515C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45AA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8309E0" w14:textId="77777777">
        <w:tc>
          <w:tcPr>
            <w:tcW w:w="2160" w:type="dxa"/>
            <w:vAlign w:val="center"/>
          </w:tcPr>
          <w:p w14:paraId="0C1B7B1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54DEBD6" w14:textId="77777777" w:rsidR="00922249" w:rsidRPr="00CB2EC4" w:rsidRDefault="003011D5">
            <w:pPr>
              <w:rPr>
                <w:rFonts w:ascii="Times New Roman" w:hAnsi="Times New Roman" w:cs="Times New Roman"/>
              </w:rPr>
            </w:pPr>
            <w:r w:rsidRPr="00CB2EC4">
              <w:rPr>
                <w:rFonts w:ascii="Times New Roman" w:hAnsi="Times New Roman" w:cs="Times New Roman"/>
              </w:rPr>
              <w:t>The Mackenrodt ligament is a connecting structure composed of the following two parts:</w:t>
            </w:r>
            <w:r w:rsidRPr="00CB2EC4">
              <w:rPr>
                <w:rFonts w:ascii="Times New Roman" w:hAnsi="Times New Roman" w:cs="Times New Roman"/>
              </w:rPr>
              <w:br/>
              <w:t>- Transverse cervical ligament</w:t>
            </w:r>
            <w:r w:rsidRPr="00CB2EC4">
              <w:rPr>
                <w:rFonts w:ascii="Times New Roman" w:hAnsi="Times New Roman" w:cs="Times New Roman"/>
              </w:rPr>
              <w:br/>
              <w:t>- Short fibrous bundle</w:t>
            </w:r>
          </w:p>
        </w:tc>
        <w:tc>
          <w:tcPr>
            <w:tcW w:w="1152" w:type="dxa"/>
            <w:vAlign w:val="center"/>
          </w:tcPr>
          <w:p w14:paraId="695D39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6DE5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0BFA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F6E07E6" w14:textId="77777777">
        <w:tc>
          <w:tcPr>
            <w:tcW w:w="2160" w:type="dxa"/>
            <w:vAlign w:val="center"/>
          </w:tcPr>
          <w:p w14:paraId="4F1EA69F"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5EB1034" w14:textId="77777777" w:rsidR="00922249" w:rsidRPr="00CB2EC4" w:rsidRDefault="003011D5">
            <w:pPr>
              <w:rPr>
                <w:rFonts w:ascii="Times New Roman" w:hAnsi="Times New Roman" w:cs="Times New Roman"/>
              </w:rPr>
            </w:pPr>
            <w:r w:rsidRPr="00CB2EC4">
              <w:rPr>
                <w:rFonts w:ascii="Times New Roman" w:hAnsi="Times New Roman" w:cs="Times New Roman"/>
              </w:rPr>
              <w:t>Mackenrodt ligament is a composite structure formed by the connection of the transverse cervical ligament and the short fibrous bundle.</w:t>
            </w:r>
            <w:r w:rsidRPr="00CB2EC4">
              <w:rPr>
                <w:rFonts w:ascii="Times New Roman" w:hAnsi="Times New Roman" w:cs="Times New Roman"/>
              </w:rPr>
              <w:br/>
            </w:r>
            <w:r w:rsidRPr="00CB2EC4">
              <w:rPr>
                <w:rFonts w:ascii="Times New Roman" w:hAnsi="Times New Roman" w:cs="Times New Roman"/>
              </w:rPr>
              <w:br/>
              <w:t>- Basis:</w:t>
            </w:r>
            <w:r w:rsidRPr="00CB2EC4">
              <w:rPr>
                <w:rFonts w:ascii="Times New Roman" w:hAnsi="Times New Roman" w:cs="Times New Roman"/>
              </w:rPr>
              <w:br/>
              <w:t xml:space="preserve">  - The knowledge base document (Section 2.1.3) explicitly states: "The Mackenrodt ligament is a structural formation created by the L-shaped junction of the transverse cervical ligament and the short fibrous bundle at the level of the ischial spine (Figure 2, Figure 3)."</w:t>
            </w:r>
            <w:r w:rsidRPr="00CB2EC4">
              <w:rPr>
                <w:rFonts w:ascii="Times New Roman" w:hAnsi="Times New Roman" w:cs="Times New Roman"/>
              </w:rPr>
              <w:br/>
              <w:t xml:space="preserve">  - The short fibrous bundle corresponds to part of the superior fascia of the pelvic diaphragm or the levator ani fascia, and modern anatomy tends to classify it independently as part of the paravaginal connective tissue.</w:t>
            </w:r>
            <w:r w:rsidRPr="00CB2EC4">
              <w:rPr>
                <w:rFonts w:ascii="Times New Roman" w:hAnsi="Times New Roman" w:cs="Times New Roman"/>
              </w:rPr>
              <w:br/>
              <w:t xml:space="preserve">  - Web search results do not provide a more detailed definition and are consistent with the knowledge base.</w:t>
            </w:r>
          </w:p>
        </w:tc>
        <w:tc>
          <w:tcPr>
            <w:tcW w:w="1152" w:type="dxa"/>
            <w:vAlign w:val="center"/>
          </w:tcPr>
          <w:p w14:paraId="05D991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9E8A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3C9D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7047B0" w14:textId="77777777">
        <w:tc>
          <w:tcPr>
            <w:tcW w:w="2160" w:type="dxa"/>
            <w:vAlign w:val="center"/>
          </w:tcPr>
          <w:p w14:paraId="2B31D9D9"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27F24C3" w14:textId="77777777" w:rsidR="00922249" w:rsidRPr="00CB2EC4" w:rsidRDefault="003011D5">
            <w:pPr>
              <w:rPr>
                <w:rFonts w:ascii="Times New Roman" w:hAnsi="Times New Roman" w:cs="Times New Roman"/>
              </w:rPr>
            </w:pPr>
            <w:r w:rsidRPr="00CB2EC4">
              <w:rPr>
                <w:rFonts w:ascii="Times New Roman" w:hAnsi="Times New Roman" w:cs="Times New Roman"/>
              </w:rPr>
              <w:t>The Mackenrodt ligament consists of the following two parts:</w:t>
            </w:r>
            <w:r w:rsidRPr="00CB2EC4">
              <w:rPr>
                <w:rFonts w:ascii="Times New Roman" w:hAnsi="Times New Roman" w:cs="Times New Roman"/>
              </w:rPr>
              <w:br/>
              <w:t>- Transverse cervical ligament</w:t>
            </w:r>
            <w:r w:rsidRPr="00CB2EC4">
              <w:rPr>
                <w:rFonts w:ascii="Times New Roman" w:hAnsi="Times New Roman" w:cs="Times New Roman"/>
              </w:rPr>
              <w:br/>
              <w:t>- Short fibrous bundle, which is the superior fascia of the levator ani muscle</w:t>
            </w:r>
          </w:p>
        </w:tc>
        <w:tc>
          <w:tcPr>
            <w:tcW w:w="1152" w:type="dxa"/>
            <w:vAlign w:val="center"/>
          </w:tcPr>
          <w:p w14:paraId="52B218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71CA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7945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A119028" w14:textId="77777777">
        <w:tc>
          <w:tcPr>
            <w:tcW w:w="2160" w:type="dxa"/>
            <w:vAlign w:val="center"/>
          </w:tcPr>
          <w:p w14:paraId="0A7B18D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2F75754F" w14:textId="77777777" w:rsidR="00922249" w:rsidRPr="00CB2EC4" w:rsidRDefault="003011D5">
            <w:pPr>
              <w:rPr>
                <w:rFonts w:ascii="Times New Roman" w:hAnsi="Times New Roman" w:cs="Times New Roman"/>
              </w:rPr>
            </w:pPr>
            <w:r w:rsidRPr="00CB2EC4">
              <w:rPr>
                <w:rFonts w:ascii="Times New Roman" w:hAnsi="Times New Roman" w:cs="Times New Roman"/>
              </w:rPr>
              <w:t>Mackenrodt ligament is a connecting structure composed of the following two parts:</w:t>
            </w:r>
            <w:r w:rsidRPr="00CB2EC4">
              <w:rPr>
                <w:rFonts w:ascii="Times New Roman" w:hAnsi="Times New Roman" w:cs="Times New Roman"/>
              </w:rPr>
              <w:br/>
              <w:t>- Transverse cervical ligament: This is the main component of the ligament, connecting the cervix to the pelvic sidewall and containing blood vessels, nerves, and lymphatics.</w:t>
            </w:r>
            <w:r w:rsidRPr="00CB2EC4">
              <w:rPr>
                <w:rFonts w:ascii="Times New Roman" w:hAnsi="Times New Roman" w:cs="Times New Roman"/>
              </w:rPr>
              <w:br/>
              <w:t>- Short fibrous bundle: This typically refers to a portion of the superior fascia of the levator ani muscle, associated with the paravaginal connective tissue, providing supportive function.</w:t>
            </w:r>
            <w:r w:rsidRPr="00CB2EC4">
              <w:rPr>
                <w:rFonts w:ascii="Times New Roman" w:hAnsi="Times New Roman" w:cs="Times New Roman"/>
              </w:rPr>
              <w:br/>
            </w:r>
            <w:r w:rsidRPr="00CB2EC4">
              <w:rPr>
                <w:rFonts w:ascii="Times New Roman" w:hAnsi="Times New Roman" w:cs="Times New Roman"/>
              </w:rPr>
              <w:br/>
              <w:t>As explicitly stated in Document 14: "The Mackenrodt ligament is a connecting body formed by the transverse cervical ligament and the short fibrous bundle," and further emphasized in Document 15 regarding its importance in surgical anatomy. Therefore, the Mackenrodt ligament is a composite of the transverse cervical ligament and the short fibrous bundle.</w:t>
            </w:r>
          </w:p>
        </w:tc>
        <w:tc>
          <w:tcPr>
            <w:tcW w:w="1152" w:type="dxa"/>
            <w:vAlign w:val="center"/>
          </w:tcPr>
          <w:p w14:paraId="482212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38C1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70BD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43D182" w14:textId="77777777">
        <w:tc>
          <w:tcPr>
            <w:tcW w:w="2160" w:type="dxa"/>
            <w:vAlign w:val="center"/>
          </w:tcPr>
          <w:p w14:paraId="0ED4591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36A0233" w14:textId="77777777" w:rsidR="00922249" w:rsidRPr="00CB2EC4" w:rsidRDefault="003011D5">
            <w:pPr>
              <w:rPr>
                <w:rFonts w:ascii="Times New Roman" w:hAnsi="Times New Roman" w:cs="Times New Roman"/>
              </w:rPr>
            </w:pPr>
            <w:r w:rsidRPr="00CB2EC4">
              <w:rPr>
                <w:rFonts w:ascii="Times New Roman" w:hAnsi="Times New Roman" w:cs="Times New Roman"/>
              </w:rPr>
              <w:t>The Mackenrodt ligament is a connecting structure composed of the transverse cervical ligament and the short fibrous bundle. Specifically, they form this structure by combining in an L-shape at the height of the ischial spine. Anatomically, the short fibrous bundle corresponds to part of the levator ani fascia or the upper fascia of the pelvic diaphragm.</w:t>
            </w:r>
          </w:p>
        </w:tc>
        <w:tc>
          <w:tcPr>
            <w:tcW w:w="1152" w:type="dxa"/>
            <w:vAlign w:val="center"/>
          </w:tcPr>
          <w:p w14:paraId="14E31F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334B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D6A3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379139A" w14:textId="77777777">
        <w:tc>
          <w:tcPr>
            <w:tcW w:w="2160" w:type="dxa"/>
            <w:vAlign w:val="center"/>
          </w:tcPr>
          <w:p w14:paraId="77C950D3"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12E9E60" w14:textId="77777777" w:rsidR="00922249" w:rsidRPr="00CB2EC4" w:rsidRDefault="003011D5">
            <w:pPr>
              <w:rPr>
                <w:rFonts w:ascii="Times New Roman" w:hAnsi="Times New Roman" w:cs="Times New Roman"/>
              </w:rPr>
            </w:pPr>
            <w:r w:rsidRPr="00CB2EC4">
              <w:rPr>
                <w:rFonts w:ascii="Times New Roman" w:hAnsi="Times New Roman" w:cs="Times New Roman"/>
              </w:rPr>
              <w:t>Mackenrodt ligament is a composite structure formed by the union of the transverse cervical ligament and a short fibrous bundle located at its low continuation, joining at the level of the ischial spine in an L-shaped configuration.</w:t>
            </w:r>
          </w:p>
        </w:tc>
        <w:tc>
          <w:tcPr>
            <w:tcW w:w="1152" w:type="dxa"/>
            <w:vAlign w:val="center"/>
          </w:tcPr>
          <w:p w14:paraId="747E75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7865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E446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F438F2" w14:textId="77777777">
        <w:tc>
          <w:tcPr>
            <w:tcW w:w="2160" w:type="dxa"/>
            <w:vAlign w:val="center"/>
          </w:tcPr>
          <w:p w14:paraId="56F1B4DD"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1B46BC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Mackenrodt ligament is a composite structure formed by the transverse cervical ligament and the short </w:t>
            </w:r>
            <w:r w:rsidRPr="00CB2EC4">
              <w:rPr>
                <w:rFonts w:ascii="Times New Roman" w:hAnsi="Times New Roman" w:cs="Times New Roman"/>
              </w:rPr>
              <w:lastRenderedPageBreak/>
              <w:t>fibrous bundle (also referred to as the horizontal connective tissue basal bundle). These two components join in an L-shaped configuration at the level of the ischial spine to form the structural body (refer to Figure 2 and Figure 3). Specifically, as described in the context: "The Mackenrodt ligament can be described as a structural body formed by the L-shaped union of the transverse cervical ligament and the short fibrous bundle (short fibrous bundle) located at its inferior continuation, at the height of the ischial spine."</w:t>
            </w:r>
          </w:p>
        </w:tc>
        <w:tc>
          <w:tcPr>
            <w:tcW w:w="1152" w:type="dxa"/>
            <w:vAlign w:val="center"/>
          </w:tcPr>
          <w:p w14:paraId="5197CE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7D0F5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5982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FB1E3E" w14:textId="77777777">
        <w:tc>
          <w:tcPr>
            <w:tcW w:w="2160" w:type="dxa"/>
            <w:vAlign w:val="center"/>
          </w:tcPr>
          <w:p w14:paraId="0E395E14"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9DAE7A7" w14:textId="77777777" w:rsidR="00922249" w:rsidRPr="00CB2EC4" w:rsidRDefault="003011D5">
            <w:pPr>
              <w:rPr>
                <w:rFonts w:ascii="Times New Roman" w:hAnsi="Times New Roman" w:cs="Times New Roman"/>
              </w:rPr>
            </w:pPr>
            <w:r w:rsidRPr="00CB2EC4">
              <w:rPr>
                <w:rFonts w:ascii="Times New Roman" w:hAnsi="Times New Roman" w:cs="Times New Roman"/>
              </w:rPr>
              <w:t>the Mackenrodt ligament is a composite structure formed by the union of the transverse cervical ligament and the short fibrous bundle at the level of the ischial spines in an L-shaped configuration. The short fibrous bundle is also referred to as the horizontal basal connective tissue bundle or part of the superior fascia of the levator ani muscle.</w:t>
            </w:r>
            <w:r w:rsidRPr="00CB2EC4">
              <w:rPr>
                <w:rFonts w:ascii="Times New Roman" w:hAnsi="Times New Roman" w:cs="Times New Roman"/>
              </w:rPr>
              <w:br/>
            </w:r>
            <w:r w:rsidRPr="00CB2EC4">
              <w:rPr>
                <w:rFonts w:ascii="Times New Roman" w:hAnsi="Times New Roman" w:cs="Times New Roman"/>
              </w:rPr>
              <w:br/>
              <w:t>Therefore, the two components of the Mackenrodt ligament are: the transverse cervical ligament and the short fibrous bundle.</w:t>
            </w:r>
          </w:p>
        </w:tc>
        <w:tc>
          <w:tcPr>
            <w:tcW w:w="1152" w:type="dxa"/>
            <w:vAlign w:val="center"/>
          </w:tcPr>
          <w:p w14:paraId="6DF5C8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2B50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B43F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DCBAFD" w14:textId="77777777">
        <w:tc>
          <w:tcPr>
            <w:tcW w:w="2160" w:type="dxa"/>
            <w:vAlign w:val="center"/>
          </w:tcPr>
          <w:p w14:paraId="4AC42749"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223F189" w14:textId="77777777" w:rsidR="00922249" w:rsidRPr="00CB2EC4" w:rsidRDefault="003011D5">
            <w:pPr>
              <w:rPr>
                <w:rFonts w:ascii="Times New Roman" w:hAnsi="Times New Roman" w:cs="Times New Roman"/>
              </w:rPr>
            </w:pPr>
            <w:r w:rsidRPr="00CB2EC4">
              <w:rPr>
                <w:rFonts w:ascii="Times New Roman" w:hAnsi="Times New Roman" w:cs="Times New Roman"/>
              </w:rPr>
              <w:t>Mackenrodt ligament is a structure formed by the L-shaped junction of the transverse cervical ligament and the short fibrous bundle at the level of the ischial spine. Specifically:</w:t>
            </w:r>
            <w:r w:rsidRPr="00CB2EC4">
              <w:rPr>
                <w:rFonts w:ascii="Times New Roman" w:hAnsi="Times New Roman" w:cs="Times New Roman"/>
              </w:rPr>
              <w:br/>
              <w:t>- The transverse cervical ligament is part of the cardinal ligament, located at the center of the greater sciatic foramen, originating at the level of the arcuate line (approximately the fifth lumbar vertebra) and terminating at the region where it attaches to the ischial spine.</w:t>
            </w:r>
            <w:r w:rsidRPr="00CB2EC4">
              <w:rPr>
                <w:rFonts w:ascii="Times New Roman" w:hAnsi="Times New Roman" w:cs="Times New Roman"/>
              </w:rPr>
              <w:br/>
              <w:t xml:space="preserve">- The short fibrous bundle is part of the levator ani </w:t>
            </w:r>
            <w:r w:rsidRPr="00CB2EC4">
              <w:rPr>
                <w:rFonts w:ascii="Times New Roman" w:hAnsi="Times New Roman" w:cs="Times New Roman"/>
              </w:rPr>
              <w:lastRenderedPageBreak/>
              <w:t>muscle fascia or the superior fascia of the pelvic diaphragm, corresponding to a portion of the paravaginal connective tissue.</w:t>
            </w:r>
            <w:r w:rsidRPr="00CB2EC4">
              <w:rPr>
                <w:rFonts w:ascii="Times New Roman" w:hAnsi="Times New Roman" w:cs="Times New Roman"/>
              </w:rPr>
              <w:br/>
              <w:t>Therefore, the Mackenrodt ligament is composed of the transverse cervical ligament and the short fibrous bundle.</w:t>
            </w:r>
          </w:p>
        </w:tc>
        <w:tc>
          <w:tcPr>
            <w:tcW w:w="1152" w:type="dxa"/>
            <w:vAlign w:val="center"/>
          </w:tcPr>
          <w:p w14:paraId="17F602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D205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B30EC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AE8642" w14:textId="77777777">
        <w:tc>
          <w:tcPr>
            <w:tcW w:w="2160" w:type="dxa"/>
            <w:vAlign w:val="center"/>
          </w:tcPr>
          <w:p w14:paraId="54FE56F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C5A765A" w14:textId="77777777" w:rsidR="00922249" w:rsidRPr="00CB2EC4" w:rsidRDefault="003011D5">
            <w:pPr>
              <w:rPr>
                <w:rFonts w:ascii="Times New Roman" w:hAnsi="Times New Roman" w:cs="Times New Roman"/>
              </w:rPr>
            </w:pPr>
            <w:r w:rsidRPr="00CB2EC4">
              <w:rPr>
                <w:rFonts w:ascii="Times New Roman" w:hAnsi="Times New Roman" w:cs="Times New Roman"/>
              </w:rPr>
              <w:t>The Mackenrodt ligament is a connecting structure composed of the transverse cervical ligament and short fibrous bundles.</w:t>
            </w:r>
            <w:r w:rsidRPr="00CB2EC4">
              <w:rPr>
                <w:rFonts w:ascii="Times New Roman" w:hAnsi="Times New Roman" w:cs="Times New Roman"/>
              </w:rPr>
              <w:br/>
            </w:r>
            <w:r w:rsidRPr="00CB2EC4">
              <w:rPr>
                <w:rFonts w:ascii="Times New Roman" w:hAnsi="Times New Roman" w:cs="Times New Roman"/>
              </w:rPr>
              <w:br/>
              <w:t xml:space="preserve">- Transverse cervical ligament  </w:t>
            </w:r>
            <w:r w:rsidRPr="00CB2EC4">
              <w:rPr>
                <w:rFonts w:ascii="Times New Roman" w:hAnsi="Times New Roman" w:cs="Times New Roman"/>
              </w:rPr>
              <w:br/>
              <w:t xml:space="preserve">- Short fibrous bundle  </w:t>
            </w:r>
            <w:r w:rsidRPr="00CB2EC4">
              <w:rPr>
                <w:rFonts w:ascii="Times New Roman" w:hAnsi="Times New Roman" w:cs="Times New Roman"/>
              </w:rPr>
              <w:br/>
            </w:r>
            <w:r w:rsidRPr="00CB2EC4">
              <w:rPr>
                <w:rFonts w:ascii="Times New Roman" w:hAnsi="Times New Roman" w:cs="Times New Roman"/>
              </w:rPr>
              <w:br/>
              <w:t xml:space="preserve">These two parts combine in an L-shape at the level of the ischial spine to form the structural body.  </w:t>
            </w:r>
            <w:r w:rsidRPr="00CB2EC4">
              <w:rPr>
                <w:rFonts w:ascii="Times New Roman" w:hAnsi="Times New Roman" w:cs="Times New Roman"/>
              </w:rPr>
              <w:br/>
            </w:r>
            <w:r w:rsidRPr="00CB2EC4">
              <w:rPr>
                <w:rFonts w:ascii="Times New Roman" w:hAnsi="Times New Roman" w:cs="Times New Roman"/>
              </w:rPr>
              <w:br/>
              <w:t>Source basis: Document fragment 1 indicates that the Mackenrodt ligament is formed by the L-shaped combination of the transverse cervical ligament and its lower continuation, the short fibrous bundle, at the level of the ischial spine. Document fragments 2, 6, and 16 further confirm that the short fibrous bundle is part of the levator ani fascia or the upper fascia of the pelvic diaphragm.</w:t>
            </w:r>
          </w:p>
        </w:tc>
        <w:tc>
          <w:tcPr>
            <w:tcW w:w="1152" w:type="dxa"/>
            <w:vAlign w:val="center"/>
          </w:tcPr>
          <w:p w14:paraId="757B3E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27EB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8606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978D2E" w14:textId="77777777">
        <w:tc>
          <w:tcPr>
            <w:tcW w:w="2160" w:type="dxa"/>
            <w:vAlign w:val="center"/>
          </w:tcPr>
          <w:p w14:paraId="5C616A77"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03E44EE" w14:textId="77777777" w:rsidR="00922249" w:rsidRPr="00CB2EC4" w:rsidRDefault="003011D5">
            <w:pPr>
              <w:rPr>
                <w:rFonts w:ascii="Times New Roman" w:hAnsi="Times New Roman" w:cs="Times New Roman"/>
              </w:rPr>
            </w:pPr>
            <w:r w:rsidRPr="00CB2EC4">
              <w:rPr>
                <w:rFonts w:ascii="Times New Roman" w:hAnsi="Times New Roman" w:cs="Times New Roman"/>
              </w:rPr>
              <w:t>Mackenrodt ligament is a composite structure formed by the following two components:</w:t>
            </w:r>
            <w:r w:rsidRPr="00CB2EC4">
              <w:rPr>
                <w:rFonts w:ascii="Times New Roman" w:hAnsi="Times New Roman" w:cs="Times New Roman"/>
              </w:rPr>
              <w:br/>
              <w:t>- Transverse cervical ligament: the main part of the ligament, originating from the iliac fossa and attaching to the lateral posterior aspect of the cervix.</w:t>
            </w:r>
            <w:r w:rsidRPr="00CB2EC4">
              <w:rPr>
                <w:rFonts w:ascii="Times New Roman" w:hAnsi="Times New Roman" w:cs="Times New Roman"/>
              </w:rPr>
              <w:br/>
              <w:t xml:space="preserve">- Short fibrous bundle: the inferior continuation of the transverse cervical ligament, arising from the tendinous arch of the levator ani and attaching to the connective tissue sheath surrounding the vagina; it </w:t>
            </w:r>
            <w:r w:rsidRPr="00CB2EC4">
              <w:rPr>
                <w:rFonts w:ascii="Times New Roman" w:hAnsi="Times New Roman" w:cs="Times New Roman"/>
              </w:rPr>
              <w:lastRenderedPageBreak/>
              <w:t>appears as a thin plate and is essentially continuous with the superior fascia of the levator ani.</w:t>
            </w:r>
            <w:r w:rsidRPr="00CB2EC4">
              <w:rPr>
                <w:rFonts w:ascii="Times New Roman" w:hAnsi="Times New Roman" w:cs="Times New Roman"/>
              </w:rPr>
              <w:br/>
            </w:r>
            <w:r w:rsidRPr="00CB2EC4">
              <w:rPr>
                <w:rFonts w:ascii="Times New Roman" w:hAnsi="Times New Roman" w:cs="Times New Roman"/>
              </w:rPr>
              <w:br/>
              <w:t>These two parts join in an L-shaped configuration at the level of the ischial spines, forming the overall structure of the Mackenrodt ligament. This description is derived from relevant segment 1 (original blocks 74–76) and segment 2 (original blocks 77–79), which explicitly state: “The Mackenrodt ligament is the composite formed by the transverse cervical ligament and the short fibrous bundle (horizontal connective tissue basal bundle).”</w:t>
            </w:r>
            <w:r w:rsidRPr="00CB2EC4">
              <w:rPr>
                <w:rFonts w:ascii="Times New Roman" w:hAnsi="Times New Roman" w:cs="Times New Roman"/>
              </w:rPr>
              <w:br/>
            </w:r>
            <w:r w:rsidRPr="00CB2EC4">
              <w:rPr>
                <w:rFonts w:ascii="Times New Roman" w:hAnsi="Times New Roman" w:cs="Times New Roman"/>
              </w:rPr>
              <w:br/>
              <w:t>Answer: The Mackenrodt ligament is a composite structure formed by the transverse cervical ligament and the short fibrous bundle.</w:t>
            </w:r>
          </w:p>
        </w:tc>
        <w:tc>
          <w:tcPr>
            <w:tcW w:w="1152" w:type="dxa"/>
            <w:vAlign w:val="center"/>
          </w:tcPr>
          <w:p w14:paraId="0FE70E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E34FB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8F46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90A3D9" w14:textId="77777777">
        <w:tc>
          <w:tcPr>
            <w:tcW w:w="2160" w:type="dxa"/>
            <w:vAlign w:val="center"/>
          </w:tcPr>
          <w:p w14:paraId="410FDCE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8995BF0" w14:textId="77777777" w:rsidR="00922249" w:rsidRPr="00CB2EC4" w:rsidRDefault="003011D5">
            <w:pPr>
              <w:rPr>
                <w:rFonts w:ascii="Times New Roman" w:hAnsi="Times New Roman" w:cs="Times New Roman"/>
              </w:rPr>
            </w:pPr>
            <w:r w:rsidRPr="00CB2EC4">
              <w:rPr>
                <w:rFonts w:ascii="Times New Roman" w:hAnsi="Times New Roman" w:cs="Times New Roman"/>
              </w:rPr>
              <w:t>Mackenrodt ligament (i.e., the cardinal ligament) is a connecting structure composed of two parts: the vascular part and the nerve part. The vascular part contains the uterine artery and vein, and the nerve part contains the pelvic plexus.</w:t>
            </w:r>
          </w:p>
        </w:tc>
        <w:tc>
          <w:tcPr>
            <w:tcW w:w="1152" w:type="dxa"/>
            <w:vAlign w:val="center"/>
          </w:tcPr>
          <w:p w14:paraId="4E68C2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3FAB1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36BA4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757865A" w14:textId="77777777">
        <w:tc>
          <w:tcPr>
            <w:tcW w:w="10656" w:type="dxa"/>
            <w:gridSpan w:val="5"/>
            <w:tcBorders>
              <w:bottom w:val="single" w:sz="6" w:space="0" w:color="auto"/>
            </w:tcBorders>
            <w:vAlign w:val="center"/>
          </w:tcPr>
          <w:p w14:paraId="4EEA8E0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102: How is the cardinal ligament dissected during a Latzko's operation?</w:t>
            </w:r>
          </w:p>
        </w:tc>
      </w:tr>
      <w:tr w:rsidR="00922249" w:rsidRPr="00CB2EC4" w14:paraId="311FA25C" w14:textId="77777777">
        <w:tc>
          <w:tcPr>
            <w:tcW w:w="2160" w:type="dxa"/>
            <w:vAlign w:val="center"/>
          </w:tcPr>
          <w:p w14:paraId="13C9DC1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20C9347"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In the Latzko procedure, the separation of the main ligament is achieved through the following steps:</w:t>
            </w:r>
            <w:r w:rsidRPr="00CB2EC4">
              <w:rPr>
                <w:rFonts w:ascii="Times New Roman" w:hAnsi="Times New Roman" w:cs="Times New Roman"/>
              </w:rPr>
              <w:br/>
              <w:t>- First, dissect the paravesical space and pararectal space down to the level of the levator ani muscle. This involves incising part of the superior fascia of the levator ani to expose the caudal compartment of the pararectal space (the tail compartment).</w:t>
            </w:r>
            <w:r w:rsidRPr="00CB2EC4">
              <w:rPr>
                <w:rFonts w:ascii="Times New Roman" w:hAnsi="Times New Roman" w:cs="Times New Roman"/>
              </w:rPr>
              <w:br/>
              <w:t xml:space="preserve">- Then, create a tunnel at the base of the pelvic sidewall ligament (i.e., the main ligament) to connect </w:t>
            </w:r>
            <w:r w:rsidRPr="00CB2EC4">
              <w:rPr>
                <w:rFonts w:ascii="Times New Roman" w:hAnsi="Times New Roman" w:cs="Times New Roman"/>
              </w:rPr>
              <w:lastRenderedPageBreak/>
              <w:t>the pararectal space and the paravesical space.</w:t>
            </w:r>
            <w:r w:rsidRPr="00CB2EC4">
              <w:rPr>
                <w:rFonts w:ascii="Times New Roman" w:hAnsi="Times New Roman" w:cs="Times New Roman"/>
              </w:rPr>
              <w:br/>
              <w:t>- Finally, grasp the dissected main ligament with straight forceps and pull its visceral end medially to resect the entire ligament. The main ligament is treated as a single resection unit in this surgery, including the transverse cervical ligament and the lateral rectal ligament.</w:t>
            </w:r>
            <w:r w:rsidRPr="00CB2EC4">
              <w:rPr>
                <w:rFonts w:ascii="Times New Roman" w:hAnsi="Times New Roman" w:cs="Times New Roman"/>
              </w:rPr>
              <w:br/>
            </w:r>
            <w:r w:rsidRPr="00CB2EC4">
              <w:rPr>
                <w:rFonts w:ascii="Times New Roman" w:hAnsi="Times New Roman" w:cs="Times New Roman"/>
              </w:rPr>
              <w:br/>
              <w:t>The document explicitly states in the [similarity: 0.562] section: “The Latzko operation involves developing the paravesical and pararectal spaces up to the levator ani, and clamping the dissected main ligament with straight forceps,” and supplements in the [similarity: 0.483] section: “dissecting the paravesical space... to expose the tail compartment of the pararectal space... then creating a tunnel at the base of the pelvic sidewall ligament... clamping its visceral end with two forceps and pulling medially.”</w:t>
            </w:r>
            <w:r w:rsidRPr="00CB2EC4">
              <w:rPr>
                <w:rFonts w:ascii="Times New Roman" w:hAnsi="Times New Roman" w:cs="Times New Roman"/>
              </w:rPr>
              <w:br/>
            </w:r>
            <w:r w:rsidRPr="00CB2EC4">
              <w:rPr>
                <w:rFonts w:ascii="Times New Roman" w:hAnsi="Times New Roman" w:cs="Times New Roman"/>
              </w:rPr>
              <w:br/>
              <w:t>answer: In the Latzko procedure, the method for separating the main ligament is: dissect the paravesical and pararectal spaces to the level of the levator ani, incise the superior levator ani fascia to expose the tail compartment, create a tunnel at the base of the main ligament to connect the spaces, and use forceps to clamp and medially retract the visceral end of the main ligament for resection.</w:t>
            </w:r>
          </w:p>
        </w:tc>
        <w:tc>
          <w:tcPr>
            <w:tcW w:w="1152" w:type="dxa"/>
            <w:vAlign w:val="center"/>
          </w:tcPr>
          <w:p w14:paraId="777AE4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09C2C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6ED6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9E8ED4" w14:textId="77777777">
        <w:tc>
          <w:tcPr>
            <w:tcW w:w="2160" w:type="dxa"/>
            <w:vAlign w:val="center"/>
          </w:tcPr>
          <w:p w14:paraId="25A47638"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158112B"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procedure, the method for dissecting the cardinal ligament involves the following steps:</w:t>
            </w:r>
            <w:r w:rsidRPr="00CB2EC4">
              <w:rPr>
                <w:rFonts w:ascii="Times New Roman" w:hAnsi="Times New Roman" w:cs="Times New Roman"/>
              </w:rPr>
              <w:br/>
            </w:r>
            <w:r w:rsidRPr="00CB2EC4">
              <w:rPr>
                <w:rFonts w:ascii="Times New Roman" w:hAnsi="Times New Roman" w:cs="Times New Roman"/>
              </w:rPr>
              <w:br/>
              <w:t>- Expand the bladder-side space and the rectal-side space down to the levator ani muscle, and grasp the dissected cardinal ligament with a straight clamp.</w:t>
            </w:r>
            <w:r w:rsidRPr="00CB2EC4">
              <w:rPr>
                <w:rFonts w:ascii="Times New Roman" w:hAnsi="Times New Roman" w:cs="Times New Roman"/>
              </w:rPr>
              <w:br/>
              <w:t xml:space="preserve">- Incise the transition area between the superior fascia </w:t>
            </w:r>
            <w:r w:rsidRPr="00CB2EC4">
              <w:rPr>
                <w:rFonts w:ascii="Times New Roman" w:hAnsi="Times New Roman" w:cs="Times New Roman"/>
              </w:rPr>
              <w:lastRenderedPageBreak/>
              <w:t>of the levator ani muscle (horizontal connective tissue base) forming the bottom of the bladder-side space and the transverse cervical ligament (anterior connective tissue base), creating a cavity (caudal compartment) between it and the levator ani muscle.</w:t>
            </w:r>
            <w:r w:rsidRPr="00CB2EC4">
              <w:rPr>
                <w:rFonts w:ascii="Times New Roman" w:hAnsi="Times New Roman" w:cs="Times New Roman"/>
              </w:rPr>
              <w:br/>
              <w:t>- Penetrate the anterior connective tissue base with a finger in the pararectal space to establish communication with the rectal-side space, and detach its base from the sacrospinous ligament.</w:t>
            </w:r>
            <w:r w:rsidRPr="00CB2EC4">
              <w:rPr>
                <w:rFonts w:ascii="Times New Roman" w:hAnsi="Times New Roman" w:cs="Times New Roman"/>
              </w:rPr>
              <w:br/>
              <w:t>- Finally, along the pelvic sidewall, clamp, cut, and ligate the lower part of the anterior connective tissue base that appears between the combined cavity of the bladder-side space and the caudal compartment of the rectal-side space and the cephalad compartment of the rectal-side space.</w:t>
            </w:r>
          </w:p>
        </w:tc>
        <w:tc>
          <w:tcPr>
            <w:tcW w:w="1152" w:type="dxa"/>
            <w:vAlign w:val="center"/>
          </w:tcPr>
          <w:p w14:paraId="1A977B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07392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D572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39C519" w14:textId="77777777">
        <w:tc>
          <w:tcPr>
            <w:tcW w:w="2160" w:type="dxa"/>
            <w:vAlign w:val="center"/>
          </w:tcPr>
          <w:p w14:paraId="44DA2545"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FD4A220"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the cardinal ligament during the Latzko procedure:</w:t>
            </w:r>
            <w:r w:rsidRPr="00CB2EC4">
              <w:rPr>
                <w:rFonts w:ascii="Times New Roman" w:hAnsi="Times New Roman" w:cs="Times New Roman"/>
              </w:rPr>
              <w:br/>
            </w:r>
            <w:r w:rsidRPr="00CB2EC4">
              <w:rPr>
                <w:rFonts w:ascii="Times New Roman" w:hAnsi="Times New Roman" w:cs="Times New Roman"/>
              </w:rPr>
              <w:br/>
              <w:t>The process of separating the cardinal ligament in the Latzko procedure involves several steps, mainly including dissection of the pelvic spaces, incision of the fascia, and clamping and cutting the cardinal ligament with forceps. The specific steps are as follows:</w:t>
            </w:r>
            <w:r w:rsidRPr="00CB2EC4">
              <w:rPr>
                <w:rFonts w:ascii="Times New Roman" w:hAnsi="Times New Roman" w:cs="Times New Roman"/>
              </w:rPr>
              <w:br/>
              <w:t>1.  Separate the paravesical space and the pararectal space: First, develop the paravesical space and the pararectal space up to the level of the levator ani muscle.</w:t>
            </w:r>
            <w:r w:rsidRPr="00CB2EC4">
              <w:rPr>
                <w:rFonts w:ascii="Times New Roman" w:hAnsi="Times New Roman" w:cs="Times New Roman"/>
              </w:rPr>
              <w:br/>
              <w:t>2.  Incise the superior fascia of the pelvic diaphragm: Incise the superior fascia of the pelvic diaphragm that forms the floor of the space to expose the caudal chamber.</w:t>
            </w:r>
            <w:r w:rsidRPr="00CB2EC4">
              <w:rPr>
                <w:rFonts w:ascii="Times New Roman" w:hAnsi="Times New Roman" w:cs="Times New Roman"/>
              </w:rPr>
              <w:br/>
              <w:t xml:space="preserve">3.  Connect the cranial and caudal chambers: Unite the cranial chamber of the pararectal space and the caudal </w:t>
            </w:r>
            <w:r w:rsidRPr="00CB2EC4">
              <w:rPr>
                <w:rFonts w:ascii="Times New Roman" w:hAnsi="Times New Roman" w:cs="Times New Roman"/>
              </w:rPr>
              <w:lastRenderedPageBreak/>
              <w:t>chamber at the base of the cardinal ligament.</w:t>
            </w:r>
            <w:r w:rsidRPr="00CB2EC4">
              <w:rPr>
                <w:rFonts w:ascii="Times New Roman" w:hAnsi="Times New Roman" w:cs="Times New Roman"/>
              </w:rPr>
              <w:br/>
              <w:t>4.  Separate and cut the cardinal ligament: After dissecting the cardinal ligament, clamp it with two straight forceps, then cut between the clamps.</w:t>
            </w:r>
            <w:r w:rsidRPr="00CB2EC4">
              <w:rPr>
                <w:rFonts w:ascii="Times New Roman" w:hAnsi="Times New Roman" w:cs="Times New Roman"/>
              </w:rPr>
              <w:br/>
            </w:r>
            <w:r w:rsidRPr="00CB2EC4">
              <w:rPr>
                <w:rFonts w:ascii="Times New Roman" w:hAnsi="Times New Roman" w:cs="Times New Roman"/>
              </w:rPr>
              <w:br/>
              <w:t>Supporting evidence:</w:t>
            </w:r>
            <w:r w:rsidRPr="00CB2EC4">
              <w:rPr>
                <w:rFonts w:ascii="Times New Roman" w:hAnsi="Times New Roman" w:cs="Times New Roman"/>
              </w:rPr>
              <w:br/>
              <w:t>- Document excerpt 7 states: "Latzko's resection of the cardinal ligament: First separate the paravesical space and the pararectal space, then incise the superior fascia of the pelvic diaphragm that constitutes their floor to expose the caudal chamber. Next, connect the cranial and caudal chambers, dissect the cardinal ligament, clamp it with two straight forceps, and cut between the clamps."</w:t>
            </w:r>
            <w:r w:rsidRPr="00CB2EC4">
              <w:rPr>
                <w:rFonts w:ascii="Times New Roman" w:hAnsi="Times New Roman" w:cs="Times New Roman"/>
              </w:rPr>
              <w:br/>
              <w:t>- Document excerpt 10 adds: "The Latzko procedure involves developing the paravesical space and the pararectal space up to the levator ani, and clamping the dissected cardinal ligament with straight forceps."</w:t>
            </w:r>
            <w:r w:rsidRPr="00CB2EC4">
              <w:rPr>
                <w:rFonts w:ascii="Times New Roman" w:hAnsi="Times New Roman" w:cs="Times New Roman"/>
              </w:rPr>
              <w:br/>
              <w:t>- Document excerpt 36 details: "Develop the paravesical fossa... after resection of the uterosacral ligament... extend the paravesical fossa forward and inward along the surface of the cardinal ligament using dissecting scissors or a bile duct clamp to expose the anterior border of the cardinal ligament... clamp and cut the cardinal ligament close to the pelvic wall."</w:t>
            </w:r>
            <w:r w:rsidRPr="00CB2EC4">
              <w:rPr>
                <w:rFonts w:ascii="Times New Roman" w:hAnsi="Times New Roman" w:cs="Times New Roman"/>
              </w:rPr>
              <w:br/>
              <w:t>- Document excerpt 44 summarizes: "Latzko performed resection of the cardinal ligament between the cranial chamber and the caudal chamber."</w:t>
            </w:r>
            <w:r w:rsidRPr="00CB2EC4">
              <w:rPr>
                <w:rFonts w:ascii="Times New Roman" w:hAnsi="Times New Roman" w:cs="Times New Roman"/>
              </w:rPr>
              <w:br/>
            </w:r>
            <w:r w:rsidRPr="00CB2EC4">
              <w:rPr>
                <w:rFonts w:ascii="Times New Roman" w:hAnsi="Times New Roman" w:cs="Times New Roman"/>
              </w:rPr>
              <w:br/>
              <w:t>Therefore, the Latzko procedure separates the cardinal ligament by dissecting the spaces, incising the fascia, connecting the chambers, and clamping and cutting the ligament.</w:t>
            </w:r>
          </w:p>
        </w:tc>
        <w:tc>
          <w:tcPr>
            <w:tcW w:w="1152" w:type="dxa"/>
            <w:vAlign w:val="center"/>
          </w:tcPr>
          <w:p w14:paraId="1B5CB2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3B31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F175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818A8C" w14:textId="77777777">
        <w:tc>
          <w:tcPr>
            <w:tcW w:w="2160" w:type="dxa"/>
            <w:vAlign w:val="center"/>
          </w:tcPr>
          <w:p w14:paraId="2C4B51B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608A6FE2" w14:textId="77777777" w:rsidR="00922249" w:rsidRPr="00CB2EC4" w:rsidRDefault="003011D5">
            <w:pPr>
              <w:rPr>
                <w:rFonts w:ascii="Times New Roman" w:hAnsi="Times New Roman" w:cs="Times New Roman"/>
              </w:rPr>
            </w:pPr>
            <w:r w:rsidRPr="00CB2EC4">
              <w:rPr>
                <w:rFonts w:ascii="Times New Roman" w:hAnsi="Times New Roman" w:cs="Times New Roman"/>
              </w:rPr>
              <w:t>how to dissect the cardinal ligament in the Latzko procedure?</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The key steps for dissecting the cardinal ligament in the Latzko procedure are as follows:  </w:t>
            </w:r>
            <w:r w:rsidRPr="00CB2EC4">
              <w:rPr>
                <w:rFonts w:ascii="Times New Roman" w:hAnsi="Times New Roman" w:cs="Times New Roman"/>
              </w:rPr>
              <w:br/>
              <w:t xml:space="preserve">1. Develop the spaces:  </w:t>
            </w:r>
            <w:r w:rsidRPr="00CB2EC4">
              <w:rPr>
                <w:rFonts w:ascii="Times New Roman" w:hAnsi="Times New Roman" w:cs="Times New Roman"/>
              </w:rPr>
              <w:br/>
              <w:t xml:space="preserve">   - Fully dissect the paravesical space and the pararectal space down to the level of the levator ani muscle (Fig. 10a, 10b, 10c).  </w:t>
            </w:r>
            <w:r w:rsidRPr="00CB2EC4">
              <w:rPr>
                <w:rFonts w:ascii="Times New Roman" w:hAnsi="Times New Roman" w:cs="Times New Roman"/>
              </w:rPr>
              <w:br/>
              <w:t xml:space="preserve">   - The pararectal space must be separated into the cranial compartment (between the posterior fascia of the transverse cervical ligament and the internal iliac vascular sheath) and the caudal compartment (between the superior fascia of the levator ani and the levator ani muscle).  </w:t>
            </w:r>
            <w:r w:rsidRPr="00CB2EC4">
              <w:rPr>
                <w:rFonts w:ascii="Times New Roman" w:hAnsi="Times New Roman" w:cs="Times New Roman"/>
              </w:rPr>
              <w:br/>
              <w:t xml:space="preserve">2. Communicate the base of the cardinal ligament:  </w:t>
            </w:r>
            <w:r w:rsidRPr="00CB2EC4">
              <w:rPr>
                <w:rFonts w:ascii="Times New Roman" w:hAnsi="Times New Roman" w:cs="Times New Roman"/>
              </w:rPr>
              <w:br/>
              <w:t xml:space="preserve">   - Create a passage at the base of the cardinal ligament (i.e., the transition zone between the superior fascia of the levator ani and the transverse cervical ligament) between the paravesical space and the caudal compartment of the pararectal space (Fig. 10b).  </w:t>
            </w:r>
            <w:r w:rsidRPr="00CB2EC4">
              <w:rPr>
                <w:rFonts w:ascii="Times New Roman" w:hAnsi="Times New Roman" w:cs="Times New Roman"/>
              </w:rPr>
              <w:br/>
              <w:t xml:space="preserve">3. Clamp and resect:  </w:t>
            </w:r>
            <w:r w:rsidRPr="00CB2EC4">
              <w:rPr>
                <w:rFonts w:ascii="Times New Roman" w:hAnsi="Times New Roman" w:cs="Times New Roman"/>
              </w:rPr>
              <w:br/>
              <w:t xml:space="preserve">   - Use a straight clamp to grasp the entire exposed cardinal ligament (Fig. 72), then cut and ligate it along the pelvic sidewall.  </w:t>
            </w:r>
            <w:r w:rsidRPr="00CB2EC4">
              <w:rPr>
                <w:rFonts w:ascii="Times New Roman" w:hAnsi="Times New Roman" w:cs="Times New Roman"/>
              </w:rPr>
              <w:br/>
              <w:t xml:space="preserve">- Basis:  </w:t>
            </w:r>
            <w:r w:rsidRPr="00CB2EC4">
              <w:rPr>
                <w:rFonts w:ascii="Times New Roman" w:hAnsi="Times New Roman" w:cs="Times New Roman"/>
              </w:rPr>
              <w:br/>
              <w:t xml:space="preserve">  - The knowledge base (Section 3.2 and Fig. 10 series) details the procedure, emphasizing that the cardinal ligament is a "composite of the transverse cervical ligament and the lateral rectal ligament."  </w:t>
            </w:r>
            <w:r w:rsidRPr="00CB2EC4">
              <w:rPr>
                <w:rFonts w:ascii="Times New Roman" w:hAnsi="Times New Roman" w:cs="Times New Roman"/>
              </w:rPr>
              <w:br/>
              <w:t xml:space="preserve">  - Web search results indicate that the Latzko space is "the structure between the internal iliac vessels and the ureter," consistent with the location of the cranial </w:t>
            </w:r>
            <w:r w:rsidRPr="00CB2EC4">
              <w:rPr>
                <w:rFonts w:ascii="Times New Roman" w:hAnsi="Times New Roman" w:cs="Times New Roman"/>
              </w:rPr>
              <w:lastRenderedPageBreak/>
              <w:t>compartment of the pararectal space described in the knowledge base.</w:t>
            </w:r>
          </w:p>
        </w:tc>
        <w:tc>
          <w:tcPr>
            <w:tcW w:w="1152" w:type="dxa"/>
            <w:vAlign w:val="center"/>
          </w:tcPr>
          <w:p w14:paraId="39F316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DC09C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46D5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EBA3D0" w14:textId="77777777">
        <w:tc>
          <w:tcPr>
            <w:tcW w:w="2160" w:type="dxa"/>
            <w:vAlign w:val="center"/>
          </w:tcPr>
          <w:p w14:paraId="45ACF81F"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7B7A03F"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procedure, the method for dissecting the cardinal ligament is as follows:</w:t>
            </w:r>
            <w:r w:rsidRPr="00CB2EC4">
              <w:rPr>
                <w:rFonts w:ascii="Times New Roman" w:hAnsi="Times New Roman" w:cs="Times New Roman"/>
              </w:rPr>
              <w:br/>
              <w:t>- First, develop the paravesical space and pararectal space (including the cranial and caudal compartments) down to the level of the levator ani muscle.</w:t>
            </w:r>
            <w:r w:rsidRPr="00CB2EC4">
              <w:rPr>
                <w:rFonts w:ascii="Times New Roman" w:hAnsi="Times New Roman" w:cs="Times New Roman"/>
              </w:rPr>
              <w:br/>
              <w:t>- Then, within the space between the paravesical and pararectal compartments, expose the cardinal ligament (as a connective tissue bundle).</w:t>
            </w:r>
            <w:r w:rsidRPr="00CB2EC4">
              <w:rPr>
                <w:rFonts w:ascii="Times New Roman" w:hAnsi="Times New Roman" w:cs="Times New Roman"/>
              </w:rPr>
              <w:br/>
              <w:t>- Finally, grasp the exposed cardinal ligament with straight forceps and proceed with its dissection and removal.</w:t>
            </w:r>
          </w:p>
        </w:tc>
        <w:tc>
          <w:tcPr>
            <w:tcW w:w="1152" w:type="dxa"/>
            <w:vAlign w:val="center"/>
          </w:tcPr>
          <w:p w14:paraId="7A8B42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7CD8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9BB7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5BC9EB" w14:textId="77777777">
        <w:tc>
          <w:tcPr>
            <w:tcW w:w="2160" w:type="dxa"/>
            <w:vAlign w:val="center"/>
          </w:tcPr>
          <w:p w14:paraId="61F83C8D"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B37CCD6"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the cardinal ligament in the Latzko operation?</w:t>
            </w:r>
            <w:r w:rsidRPr="00CB2EC4">
              <w:rPr>
                <w:rFonts w:ascii="Times New Roman" w:hAnsi="Times New Roman" w:cs="Times New Roman"/>
              </w:rPr>
              <w:br/>
            </w:r>
            <w:r w:rsidRPr="00CB2EC4">
              <w:rPr>
                <w:rFonts w:ascii="Times New Roman" w:hAnsi="Times New Roman" w:cs="Times New Roman"/>
              </w:rPr>
              <w:br/>
              <w:t>In the Latzko operation, the method for separating the cardinal ligament is based on contextual information (Document 1, Document 4, Document 12, and Document 13):</w:t>
            </w:r>
            <w:r w:rsidRPr="00CB2EC4">
              <w:rPr>
                <w:rFonts w:ascii="Times New Roman" w:hAnsi="Times New Roman" w:cs="Times New Roman"/>
              </w:rPr>
              <w:br/>
              <w:t>- Step overview: The Latzko operation involves developing two key spaces—the paravesical space and the pararectal space—down to the pelvic floor (level of the levator ani muscle), then clamping and resecting the exposed cardinal ligament. The specific process includes:</w:t>
            </w:r>
            <w:r w:rsidRPr="00CB2EC4">
              <w:rPr>
                <w:rFonts w:ascii="Times New Roman" w:hAnsi="Times New Roman" w:cs="Times New Roman"/>
              </w:rPr>
              <w:br/>
              <w:t xml:space="preserve">  1. Developing the paravesical and pararectal spaces: Through surgical manipulation, the paravesical space and pararectal space are dissected to the level of the levator ani muscle. Document 1 states: “The Latzko operation consists of developing the paravesical space and the pararectal space down to the levator ani.”</w:t>
            </w:r>
            <w:r w:rsidRPr="00CB2EC4">
              <w:rPr>
                <w:rFonts w:ascii="Times New Roman" w:hAnsi="Times New Roman" w:cs="Times New Roman"/>
              </w:rPr>
              <w:br/>
              <w:t xml:space="preserve">  2. Creating a tunnel and exposing the ligament: A </w:t>
            </w:r>
            <w:r w:rsidRPr="00CB2EC4">
              <w:rPr>
                <w:rFonts w:ascii="Times New Roman" w:hAnsi="Times New Roman" w:cs="Times New Roman"/>
              </w:rPr>
              <w:lastRenderedPageBreak/>
              <w:t>tunnel is created between the caudal chamber and the cranial chamber of the pararectal space, exposing the cardinal ligament (i.e., the transverse cervical ligament and pararectal ligament complex). Document 4 mentions: “A tunnel is created at the base of the pelvic sidewall ligament (i.e., the cardinal ligament) to communicate with the caudal chamber of the pararectal space.”</w:t>
            </w:r>
            <w:r w:rsidRPr="00CB2EC4">
              <w:rPr>
                <w:rFonts w:ascii="Times New Roman" w:hAnsi="Times New Roman" w:cs="Times New Roman"/>
              </w:rPr>
              <w:br/>
              <w:t xml:space="preserve">  3. Clamping and separating: A straight clamp (such as a Kelly clamp) is used to clamp the entire separated cardinal ligament, followed by resection. Document 13 (description of Figure 72) explains: “The separated transverse cervical ligament is entirely clamped with a straight clamp,” emphasizing that the cardinal ligament is resected as a whole unit.</w:t>
            </w:r>
            <w:r w:rsidRPr="00CB2EC4">
              <w:rPr>
                <w:rFonts w:ascii="Times New Roman" w:hAnsi="Times New Roman" w:cs="Times New Roman"/>
              </w:rPr>
              <w:br/>
              <w:t>- Key point: This technique relies on space anatomy, with separation of the cardinal ligament performed along the pelvic sidewall, involving incision of the fascia above the levator ani muscle (Document 12). The context does not provide further details on instruments or suturing, but the core is based on space development and clamping technique.</w:t>
            </w:r>
          </w:p>
        </w:tc>
        <w:tc>
          <w:tcPr>
            <w:tcW w:w="1152" w:type="dxa"/>
            <w:vAlign w:val="center"/>
          </w:tcPr>
          <w:p w14:paraId="76B9D8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2B482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1ECBE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B55C587" w14:textId="77777777">
        <w:tc>
          <w:tcPr>
            <w:tcW w:w="2160" w:type="dxa"/>
            <w:vAlign w:val="center"/>
          </w:tcPr>
          <w:p w14:paraId="365DF28C"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D2EA4D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Latzko surgery, the separation of the cardinal ligament is achieved through the following steps: first, the bladder lateral space and rectal lateral space are expanded to the level of the levator ani muscle, which involves dissecting the bladder lateral space and rectal lateral space to expose the cardinal ligament. Then, a straight clamp is used to grasp the separated cardinal ligament, followed by its division. This procedure is described in multiple document fragments; for example, in the fragment with a similarity score of 0.643: "Latzko surgery involves expanding the bladder lateral space and rectal lateral space to the </w:t>
            </w:r>
            <w:r w:rsidRPr="00CB2EC4">
              <w:rPr>
                <w:rFonts w:ascii="Times New Roman" w:hAnsi="Times New Roman" w:cs="Times New Roman"/>
              </w:rPr>
              <w:lastRenderedPageBreak/>
              <w:t>levator ani muscle, and using a straight clamp to grasp the separated cardinal ligament." Additionally, the fragment with a similarity score of 0.554 provides further detail: an incision is made at the transition between the superior fascia of the levator ani muscle forming the floor of the bladder lateral space and the transverse cervical ligament, thereby connecting the bladder lateral space and rectal lateral space to facilitate clamping of the cardinal ligament.</w:t>
            </w:r>
          </w:p>
        </w:tc>
        <w:tc>
          <w:tcPr>
            <w:tcW w:w="1152" w:type="dxa"/>
            <w:vAlign w:val="center"/>
          </w:tcPr>
          <w:p w14:paraId="1176F7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BFABA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C3B7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55D552" w14:textId="77777777">
        <w:tc>
          <w:tcPr>
            <w:tcW w:w="2160" w:type="dxa"/>
            <w:vAlign w:val="center"/>
          </w:tcPr>
          <w:p w14:paraId="2487CA26"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862E242"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the cardinal ligament in the Latzko operation:</w:t>
            </w:r>
            <w:r w:rsidRPr="00CB2EC4">
              <w:rPr>
                <w:rFonts w:ascii="Times New Roman" w:hAnsi="Times New Roman" w:cs="Times New Roman"/>
              </w:rPr>
              <w:br/>
            </w:r>
            <w:r w:rsidRPr="00CB2EC4">
              <w:rPr>
                <w:rFonts w:ascii="Times New Roman" w:hAnsi="Times New Roman" w:cs="Times New Roman"/>
              </w:rPr>
              <w:br/>
              <w:t>- First, develop the paravesical space and the pararectal space down to the level of the levator ani muscle. This involves dissecting the caudal chamber of the paravesical and pararectal spaces to expose the cardinal ligament.</w:t>
            </w:r>
            <w:r w:rsidRPr="00CB2EC4">
              <w:rPr>
                <w:rFonts w:ascii="Times New Roman" w:hAnsi="Times New Roman" w:cs="Times New Roman"/>
              </w:rPr>
              <w:br/>
              <w:t>- Then, between the paravesical and pararectal spaces, clamp the isolated cardinal ligament with a straight clamp. The cardinal ligament is considered a composite of the transverse cervical ligament and the pararectal ligament.</w:t>
            </w:r>
            <w:r w:rsidRPr="00CB2EC4">
              <w:rPr>
                <w:rFonts w:ascii="Times New Roman" w:hAnsi="Times New Roman" w:cs="Times New Roman"/>
              </w:rPr>
              <w:br/>
              <w:t>- Specific steps include: incising the transition area between the superior fascia of the levator ani muscle (horizontal connective tissue base) forming the floor of the paravesical space and the transverse cervical ligament (anterior connective tissue base), creating a cavity between the caudal pararectal space and the levator ani muscle. Next, penetrate the anterior connective tissue base with a finger alongside the rectum to communicate with the pararectal space, and strip the base of the ligament from the sacrospinous ligament.</w:t>
            </w:r>
            <w:r w:rsidRPr="00CB2EC4">
              <w:rPr>
                <w:rFonts w:ascii="Times New Roman" w:hAnsi="Times New Roman" w:cs="Times New Roman"/>
              </w:rPr>
              <w:br/>
              <w:t xml:space="preserve">- Document fragment 3 states: "To separate the </w:t>
            </w:r>
            <w:r w:rsidRPr="00CB2EC4">
              <w:rPr>
                <w:rFonts w:ascii="Times New Roman" w:hAnsi="Times New Roman" w:cs="Times New Roman"/>
              </w:rPr>
              <w:lastRenderedPageBreak/>
              <w:t>cardinal ligament, the Latzko operation involves developing the paravesical and pararectal spaces to the levator ani, then clamping the isolated cardinal ligament with a straight clamp."</w:t>
            </w:r>
            <w:r w:rsidRPr="00CB2EC4">
              <w:rPr>
                <w:rFonts w:ascii="Times New Roman" w:hAnsi="Times New Roman" w:cs="Times New Roman"/>
              </w:rPr>
              <w:br/>
              <w:t>- Document fragment 6 adds: "The vaginal paracolpium connective tissue removed in the Latzko procedure refers to the levator ani fascia here."</w:t>
            </w:r>
          </w:p>
        </w:tc>
        <w:tc>
          <w:tcPr>
            <w:tcW w:w="1152" w:type="dxa"/>
            <w:vAlign w:val="center"/>
          </w:tcPr>
          <w:p w14:paraId="548EB8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24015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7429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ED8599" w14:textId="77777777">
        <w:tc>
          <w:tcPr>
            <w:tcW w:w="2160" w:type="dxa"/>
            <w:vAlign w:val="center"/>
          </w:tcPr>
          <w:p w14:paraId="35E57FFC"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06BAE2E"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procedure, the method for dissecting the cardinal ligament involves developing the lateral vesical space and the lateral rectal space down to the level of the levator ani muscle, exposing the cardinal ligament (or transverse cervical ligament), and then using straight forceps to clamp, divide, and ligate the entire ligament. Specific steps include: first, opening the lateral vesical space and lateral rectal space until reaching the levator ani; then, on the exposed cardinal ligament (composed of the transverse cervical ligament and lateral rectal ligament) between these spaces, applying straight forceps to clamp, cut, and suture-ligate (refer to Figure 10a, Figure 10b, Figure 10c, and Figure 72). The document explicitly states: "The Latzko operation consists of developing the lateral vesical space and lateral rectal space down to the levator ani, and clamping the dissected cardinal ligament with straight forceps."</w:t>
            </w:r>
          </w:p>
        </w:tc>
        <w:tc>
          <w:tcPr>
            <w:tcW w:w="1152" w:type="dxa"/>
            <w:vAlign w:val="center"/>
          </w:tcPr>
          <w:p w14:paraId="7E05E7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37E2E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BE34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9D09CB" w14:textId="77777777">
        <w:tc>
          <w:tcPr>
            <w:tcW w:w="2160" w:type="dxa"/>
            <w:vAlign w:val="center"/>
          </w:tcPr>
          <w:p w14:paraId="2C2B162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BFE7CCA"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the cardinal ligament in the Latzko operation?</w:t>
            </w:r>
            <w:r w:rsidRPr="00CB2EC4">
              <w:rPr>
                <w:rFonts w:ascii="Times New Roman" w:hAnsi="Times New Roman" w:cs="Times New Roman"/>
              </w:rPr>
              <w:br/>
            </w:r>
            <w:r w:rsidRPr="00CB2EC4">
              <w:rPr>
                <w:rFonts w:ascii="Times New Roman" w:hAnsi="Times New Roman" w:cs="Times New Roman"/>
              </w:rPr>
              <w:br/>
              <w:t>According to the contextual information (primarily from document fragments 3, 7, and 8), the steps for separating the cardinal ligament in the Latzko operation are as follows: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1. Develop the relevant spaces: First, surgically develop the paravesical space and the pararectal space. This involves dissecting the paravesical space and incising part of the superior fascia of the levator ani muscle to expose the caudal portion of the pararectal space (the tail compartment).</w:t>
            </w:r>
            <w:r w:rsidRPr="00CB2EC4">
              <w:rPr>
                <w:rFonts w:ascii="Times New Roman" w:hAnsi="Times New Roman" w:cs="Times New Roman"/>
              </w:rPr>
              <w:br/>
            </w:r>
            <w:r w:rsidRPr="00CB2EC4">
              <w:rPr>
                <w:rFonts w:ascii="Times New Roman" w:hAnsi="Times New Roman" w:cs="Times New Roman"/>
              </w:rPr>
              <w:br/>
              <w:t>Therefore, in the Latzko operation, the cardinal ligament is removed by developing the spaces, separating, clamping, and cutting.</w:t>
            </w:r>
          </w:p>
        </w:tc>
        <w:tc>
          <w:tcPr>
            <w:tcW w:w="1152" w:type="dxa"/>
            <w:vAlign w:val="center"/>
          </w:tcPr>
          <w:p w14:paraId="3D060C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C2BAF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2FD75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74D42BD" w14:textId="77777777">
        <w:tc>
          <w:tcPr>
            <w:tcW w:w="2160" w:type="dxa"/>
            <w:vAlign w:val="center"/>
          </w:tcPr>
          <w:p w14:paraId="538DA62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C2C3EA5"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the cardinal ligament during the Latzko procedure</w:t>
            </w:r>
            <w:r w:rsidRPr="00CB2EC4">
              <w:rPr>
                <w:rFonts w:ascii="Times New Roman" w:hAnsi="Times New Roman" w:cs="Times New Roman"/>
              </w:rPr>
              <w:br/>
            </w:r>
            <w:r w:rsidRPr="00CB2EC4">
              <w:rPr>
                <w:rFonts w:ascii="Times New Roman" w:hAnsi="Times New Roman" w:cs="Times New Roman"/>
              </w:rPr>
              <w:br/>
              <w:t>according to the document content (segments with similarity 0.562 and 0.483), the process of separating the cardinal ligament in the Latzko procedure involves the following steps:</w:t>
            </w:r>
            <w:r w:rsidRPr="00CB2EC4">
              <w:rPr>
                <w:rFonts w:ascii="Times New Roman" w:hAnsi="Times New Roman" w:cs="Times New Roman"/>
              </w:rPr>
              <w:br/>
              <w:t>- first, develop the paravesical space and the pararectal space down to the level of the levator ani muscle. this is achieved by dissecting the spaces, for example, incising part of the superior fascia of the levator ani at the bottom of the paravesical space to expose the caudal compartment of the pararectal space.</w:t>
            </w:r>
            <w:r w:rsidRPr="00CB2EC4">
              <w:rPr>
                <w:rFonts w:ascii="Times New Roman" w:hAnsi="Times New Roman" w:cs="Times New Roman"/>
              </w:rPr>
              <w:br/>
              <w:t>- then, create a tunnel at the base of the lateral pelvic ligament (i.e., the cardinal ligament) to connect it with the caudal compartment of the pararectal space. this is typically done using forceps (such as straight forceps) to grasp the visceral end of the cardinal ligament and pull it medially to maintain tension.</w:t>
            </w:r>
            <w:r w:rsidRPr="00CB2EC4">
              <w:rPr>
                <w:rFonts w:ascii="Times New Roman" w:hAnsi="Times New Roman" w:cs="Times New Roman"/>
              </w:rPr>
              <w:br/>
              <w:t xml:space="preserve">- finally, the entire cardinal ligament is taken as the resection target, clamped with forceps, then cut and ligated. the document emphasizes that the cardinal ligament is treated as a single connective tissue bundle in the Latzko procedure, and care must be taken </w:t>
            </w:r>
            <w:r w:rsidRPr="00CB2EC4">
              <w:rPr>
                <w:rFonts w:ascii="Times New Roman" w:hAnsi="Times New Roman" w:cs="Times New Roman"/>
              </w:rPr>
              <w:lastRenderedPageBreak/>
              <w:t>during resection to avoid injury to surrounding structures such as the pelvic splanchnic nerves.</w:t>
            </w:r>
            <w:r w:rsidRPr="00CB2EC4">
              <w:rPr>
                <w:rFonts w:ascii="Times New Roman" w:hAnsi="Times New Roman" w:cs="Times New Roman"/>
              </w:rPr>
              <w:br/>
              <w:t>in summary, the method for separating the cardinal ligament is: by developing the paravesical and pararectal spaces to the level of the levator ani muscle, using forceps to clamp the exposed cardinal ligament, followed by its resection.</w:t>
            </w:r>
          </w:p>
        </w:tc>
        <w:tc>
          <w:tcPr>
            <w:tcW w:w="1152" w:type="dxa"/>
            <w:vAlign w:val="center"/>
          </w:tcPr>
          <w:p w14:paraId="486C32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9D1D5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EC74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99BD6DF" w14:textId="77777777">
        <w:tc>
          <w:tcPr>
            <w:tcW w:w="2160" w:type="dxa"/>
            <w:vAlign w:val="center"/>
          </w:tcPr>
          <w:p w14:paraId="1A064CC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EBCC316"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 xml:space="preserve">In the Latzko operation, the separation of the main ligament is achieved through the following steps:  </w:t>
            </w:r>
            <w:r w:rsidRPr="00CB2EC4">
              <w:rPr>
                <w:rFonts w:ascii="Times New Roman" w:hAnsi="Times New Roman" w:cs="Times New Roman"/>
              </w:rPr>
              <w:br/>
              <w:t xml:space="preserve">1.  Development of the paravesical and pararectal spaces: First, open the paravesical space and pararectal space, especially dissecting down to the level of the pelvic floor. This involves incising the levator ani fascia and expanding the caudal chamber of the pararectal space.  </w:t>
            </w:r>
            <w:r w:rsidRPr="00CB2EC4">
              <w:rPr>
                <w:rFonts w:ascii="Times New Roman" w:hAnsi="Times New Roman" w:cs="Times New Roman"/>
              </w:rPr>
              <w:br/>
              <w:t xml:space="preserve">2.  Mobilization of the Mackenrodt ligament: In the pararectal area, penetrate the frontal connective tissue ground bundle with fingers or instruments to establish communication between the paravesical and pararectal spaces. Then, dissect the base of the main ligament from the sacrospinous ligament.  </w:t>
            </w:r>
            <w:r w:rsidRPr="00CB2EC4">
              <w:rPr>
                <w:rFonts w:ascii="Times New Roman" w:hAnsi="Times New Roman" w:cs="Times New Roman"/>
              </w:rPr>
              <w:br/>
              <w:t xml:space="preserve">3.  Clamping and resection: Along the lateral pelvic wall, clamp, cut, and ligate the lower part of the frontal connective tissue ground bundle between the combined cavity of the paravesical space and the caudal chamber of the pararectal space and the cranial chamber of the pararectal space. This is equivalent to resecting the complex containing the main ligament.  </w:t>
            </w:r>
            <w:r w:rsidRPr="00CB2EC4">
              <w:rPr>
                <w:rFonts w:ascii="Times New Roman" w:hAnsi="Times New Roman" w:cs="Times New Roman"/>
              </w:rPr>
              <w:br/>
              <w:t xml:space="preserve">- Source reference: Document excerpt 2 (relevance: 0.8774) states: “Dissect from the paravesical and pararectal spaces down to the pelvic floor, separate and resect the main ligament.” Document excerpt 20 </w:t>
            </w:r>
            <w:r w:rsidRPr="00CB2EC4">
              <w:rPr>
                <w:rFonts w:ascii="Times New Roman" w:hAnsi="Times New Roman" w:cs="Times New Roman"/>
              </w:rPr>
              <w:lastRenderedPageBreak/>
              <w:t>(relevance: 0.6307) details the surgical steps, including mobilization of the Mackenrodt ligament and resection of the frontal connective tissue ground bundle. Document excerpt 26 (relevance: 0.5402) supplements the specific method of clamping and resection.</w:t>
            </w:r>
          </w:p>
        </w:tc>
        <w:tc>
          <w:tcPr>
            <w:tcW w:w="1152" w:type="dxa"/>
            <w:vAlign w:val="center"/>
          </w:tcPr>
          <w:p w14:paraId="2A951D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5A510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6C30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0797A9" w14:textId="77777777">
        <w:tc>
          <w:tcPr>
            <w:tcW w:w="2160" w:type="dxa"/>
            <w:vAlign w:val="center"/>
          </w:tcPr>
          <w:p w14:paraId="3A8EE627"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7204867" w14:textId="77777777" w:rsidR="00922249" w:rsidRPr="00CB2EC4" w:rsidRDefault="003011D5">
            <w:pPr>
              <w:rPr>
                <w:rFonts w:ascii="Times New Roman" w:hAnsi="Times New Roman" w:cs="Times New Roman"/>
              </w:rPr>
            </w:pPr>
            <w:r w:rsidRPr="00CB2EC4">
              <w:rPr>
                <w:rFonts w:ascii="Times New Roman" w:hAnsi="Times New Roman" w:cs="Times New Roman"/>
              </w:rPr>
              <w:t>in Latzko surgery, the method for dissecting the cardinal ligament involves the following steps:</w:t>
            </w:r>
            <w:r w:rsidRPr="00CB2EC4">
              <w:rPr>
                <w:rFonts w:ascii="Times New Roman" w:hAnsi="Times New Roman" w:cs="Times New Roman"/>
              </w:rPr>
              <w:br/>
            </w:r>
            <w:r w:rsidRPr="00CB2EC4">
              <w:rPr>
                <w:rFonts w:ascii="Times New Roman" w:hAnsi="Times New Roman" w:cs="Times New Roman"/>
              </w:rPr>
              <w:br/>
              <w:t>1.  Development of the cranial chamber of the pararectal space: By stripping the posterior fascia of the transverse cervical ligament and the hypogastric vascular sheath, the cranial chamber is formed. This exposes the posterior aspect of the cardinal ligament.</w:t>
            </w:r>
            <w:r w:rsidRPr="00CB2EC4">
              <w:rPr>
                <w:rFonts w:ascii="Times New Roman" w:hAnsi="Times New Roman" w:cs="Times New Roman"/>
              </w:rPr>
              <w:br/>
              <w:t>2.  Development of the caudal chamber of the pararectal space: By incising the superior fascia of the levator ani muscle at the base of the paravesical space and dissecting it off the levator ani muscle, the caudal chamber is formed.</w:t>
            </w:r>
            <w:r w:rsidRPr="00CB2EC4">
              <w:rPr>
                <w:rFonts w:ascii="Times New Roman" w:hAnsi="Times New Roman" w:cs="Times New Roman"/>
              </w:rPr>
              <w:br/>
              <w:t>3.  Communication between the cranial and caudal chambers: A tunnel is created between the cranial and caudal chambers to connect them, thereby fully exposing the cardinal ligament.</w:t>
            </w:r>
            <w:r w:rsidRPr="00CB2EC4">
              <w:rPr>
                <w:rFonts w:ascii="Times New Roman" w:hAnsi="Times New Roman" w:cs="Times New Roman"/>
              </w:rPr>
              <w:br/>
              <w:t>4.  Clamping and division of the cardinal ligament: Two straight clamps are used to grasp the dissected cardinal ligament (comprising the transverse cervical ligament and the pararectal ligament complex), and the ligament is divided between the clamps.</w:t>
            </w:r>
            <w:r w:rsidRPr="00CB2EC4">
              <w:rPr>
                <w:rFonts w:ascii="Times New Roman" w:hAnsi="Times New Roman" w:cs="Times New Roman"/>
              </w:rPr>
              <w:br/>
            </w:r>
            <w:r w:rsidRPr="00CB2EC4">
              <w:rPr>
                <w:rFonts w:ascii="Times New Roman" w:hAnsi="Times New Roman" w:cs="Times New Roman"/>
              </w:rPr>
              <w:br/>
              <w:t xml:space="preserve">This approach allows complete resection of the cardinal ligament while ensuring clear surgical visualization. The context is derived from relevant segment 5 (original blocks 99-101) and segment 9 (original blocks 143-145), which detail the Latzko </w:t>
            </w:r>
            <w:r w:rsidRPr="00CB2EC4">
              <w:rPr>
                <w:rFonts w:ascii="Times New Roman" w:hAnsi="Times New Roman" w:cs="Times New Roman"/>
              </w:rPr>
              <w:lastRenderedPageBreak/>
              <w:t>procedure: "After developing the paravesical space, incise the superior fascia of the levator ani muscle constituting its base to expose the caudal chamber. Then communicate the cranial and caudal chambers, dissect the cardinal ligament, grasp it with two straight clamps, and divide it between the clamps."</w:t>
            </w:r>
            <w:r w:rsidRPr="00CB2EC4">
              <w:rPr>
                <w:rFonts w:ascii="Times New Roman" w:hAnsi="Times New Roman" w:cs="Times New Roman"/>
              </w:rPr>
              <w:br/>
            </w:r>
            <w:r w:rsidRPr="00CB2EC4">
              <w:rPr>
                <w:rFonts w:ascii="Times New Roman" w:hAnsi="Times New Roman" w:cs="Times New Roman"/>
              </w:rPr>
              <w:br/>
              <w:t>answer: In Latzko surgery, the method for dissecting the cardinal ligament is: first develop the cranial chamber of the pararectal space (by stripping the posterior fascia of the transverse cervical ligament and the hypogastric vascular sheath) and the caudal chamber (by incising the superior fascia of the levator ani muscle), then connect the two chambers, dissect out the cardinal ligament, and finally clamp it with two straight clamps and divide it.</w:t>
            </w:r>
          </w:p>
        </w:tc>
        <w:tc>
          <w:tcPr>
            <w:tcW w:w="1152" w:type="dxa"/>
            <w:vAlign w:val="center"/>
          </w:tcPr>
          <w:p w14:paraId="4C864F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7B49C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D922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B466259" w14:textId="77777777">
        <w:tc>
          <w:tcPr>
            <w:tcW w:w="2160" w:type="dxa"/>
            <w:vAlign w:val="center"/>
          </w:tcPr>
          <w:p w14:paraId="2551F461"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418F9BD"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operation (nerve-sparing radical hysterectomy), the method for dissecting the cardinal ligament is as follows: first identify the vascular and neural components of the cardinal ligament, then employ a combination of blunt and sharp dissection techniques. Specific steps include: incising the peritoneum along the lateral margin of the cardinal ligament, dissecting the paravesical and pararectal spaces, exposing the cardinal ligament, then carefully dissecting the neural portion to preserve the pelvic autonomic nerves, while ligating and dividing the vascular portion.</w:t>
            </w:r>
          </w:p>
        </w:tc>
        <w:tc>
          <w:tcPr>
            <w:tcW w:w="1152" w:type="dxa"/>
            <w:vAlign w:val="center"/>
          </w:tcPr>
          <w:p w14:paraId="5D31B2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6AB3F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29E3A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0FB74B3" w14:textId="77777777">
        <w:tc>
          <w:tcPr>
            <w:tcW w:w="10656" w:type="dxa"/>
            <w:gridSpan w:val="5"/>
            <w:tcBorders>
              <w:bottom w:val="single" w:sz="6" w:space="0" w:color="auto"/>
            </w:tcBorders>
            <w:vAlign w:val="center"/>
          </w:tcPr>
          <w:p w14:paraId="2637AD2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103: According to Otcenasek's theory, into which three parts can the uterosacral ligament be divided?</w:t>
            </w:r>
          </w:p>
        </w:tc>
      </w:tr>
      <w:tr w:rsidR="00922249" w:rsidRPr="00CB2EC4" w14:paraId="4D7121DA" w14:textId="77777777">
        <w:tc>
          <w:tcPr>
            <w:tcW w:w="2160" w:type="dxa"/>
            <w:vAlign w:val="center"/>
          </w:tcPr>
          <w:p w14:paraId="09B8CE0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1C5DB23"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Otcenasek's theory, the uterosacral ligament can be divided into the following three parts:</w:t>
            </w:r>
            <w:r w:rsidRPr="00CB2EC4">
              <w:rPr>
                <w:rFonts w:ascii="Times New Roman" w:hAnsi="Times New Roman" w:cs="Times New Roman"/>
              </w:rPr>
              <w:br/>
              <w:t>- Vascular part</w:t>
            </w:r>
            <w:r w:rsidRPr="00CB2EC4">
              <w:rPr>
                <w:rFonts w:ascii="Times New Roman" w:hAnsi="Times New Roman" w:cs="Times New Roman"/>
              </w:rPr>
              <w:br/>
              <w:t xml:space="preserve">- Neural part: includes the hypogastric nerve and </w:t>
            </w:r>
            <w:r w:rsidRPr="00CB2EC4">
              <w:rPr>
                <w:rFonts w:ascii="Times New Roman" w:hAnsi="Times New Roman" w:cs="Times New Roman"/>
              </w:rPr>
              <w:lastRenderedPageBreak/>
              <w:t>pelvic splanchnic nerves.</w:t>
            </w:r>
            <w:r w:rsidRPr="00CB2EC4">
              <w:rPr>
                <w:rFonts w:ascii="Times New Roman" w:hAnsi="Times New Roman" w:cs="Times New Roman"/>
              </w:rPr>
              <w:br/>
              <w:t>- Native sacro-uterine ligament: refers to the fibrous connective tissue portion.</w:t>
            </w:r>
            <w:r w:rsidRPr="00CB2EC4">
              <w:rPr>
                <w:rFonts w:ascii="Times New Roman" w:hAnsi="Times New Roman" w:cs="Times New Roman"/>
              </w:rPr>
              <w:br/>
            </w:r>
            <w:r w:rsidRPr="00CB2EC4">
              <w:rPr>
                <w:rFonts w:ascii="Times New Roman" w:hAnsi="Times New Roman" w:cs="Times New Roman"/>
              </w:rPr>
              <w:br/>
              <w:t>The document directly quotes in the [similarity: 0.562] block: "Otcenasek et al...described 'the septal uterosacral portion is further subdivided into three small parts—vascular part, neural part, and native sacro-uterine ligament'," and further explains it as "uterosacral ligament ≡ transverse cervical ligament (vascular part) + hypogastric nerve, pelvic splanchnic nerves (neural part) + native sacro-uterine ligament."</w:t>
            </w:r>
            <w:r w:rsidRPr="00CB2EC4">
              <w:rPr>
                <w:rFonts w:ascii="Times New Roman" w:hAnsi="Times New Roman" w:cs="Times New Roman"/>
              </w:rPr>
              <w:br/>
            </w:r>
            <w:r w:rsidRPr="00CB2EC4">
              <w:rPr>
                <w:rFonts w:ascii="Times New Roman" w:hAnsi="Times New Roman" w:cs="Times New Roman"/>
              </w:rPr>
              <w:br/>
              <w:t>Answer: According to Otcenasek's theory, the uterosacral ligament can be divided into three parts: vascular part, neural part, and native sacro-uterine ligament.</w:t>
            </w:r>
          </w:p>
        </w:tc>
        <w:tc>
          <w:tcPr>
            <w:tcW w:w="1152" w:type="dxa"/>
            <w:vAlign w:val="center"/>
          </w:tcPr>
          <w:p w14:paraId="6E747E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61FCB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CA71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F12789" w14:textId="77777777">
        <w:tc>
          <w:tcPr>
            <w:tcW w:w="2160" w:type="dxa"/>
            <w:vAlign w:val="center"/>
          </w:tcPr>
          <w:p w14:paraId="082C86AF"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F379CED"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Otcenasek's theory (Obstet Gynecol, 2008), the uterosacral ligament can be divided from the ventrodorsal direction into three parts: the vascular part, the neural part, and the true uterosacral ligament (or sacral bone part). The vascular part refers to a portion of the transverse cervical ligament, and the neural part contains the inferior hypogastric nerve and the pelvic splanchnic nerves.</w:t>
            </w:r>
          </w:p>
        </w:tc>
        <w:tc>
          <w:tcPr>
            <w:tcW w:w="1152" w:type="dxa"/>
            <w:vAlign w:val="center"/>
          </w:tcPr>
          <w:p w14:paraId="038BF0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893A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903F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5AEB53" w14:textId="77777777">
        <w:tc>
          <w:tcPr>
            <w:tcW w:w="2160" w:type="dxa"/>
            <w:vAlign w:val="center"/>
          </w:tcPr>
          <w:p w14:paraId="2B8694B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5038060"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Otcenasek's theory (cited from Obstet &amp; Gynecol, 2008), the uterosacral ligament can be divided into the following three parts:</w:t>
            </w:r>
            <w:r w:rsidRPr="00CB2EC4">
              <w:rPr>
                <w:rFonts w:ascii="Times New Roman" w:hAnsi="Times New Roman" w:cs="Times New Roman"/>
              </w:rPr>
              <w:br/>
              <w:t>1.  vascular part: located ventrally, containing vascular components.</w:t>
            </w:r>
            <w:r w:rsidRPr="00CB2EC4">
              <w:rPr>
                <w:rFonts w:ascii="Times New Roman" w:hAnsi="Times New Roman" w:cs="Times New Roman"/>
              </w:rPr>
              <w:br/>
              <w:t>2.  neural part: containing neural components, such as the inferior hypogastric nerve and pelvic splanchnic nerves.</w:t>
            </w:r>
            <w:r w:rsidRPr="00CB2EC4">
              <w:rPr>
                <w:rFonts w:ascii="Times New Roman" w:hAnsi="Times New Roman" w:cs="Times New Roman"/>
              </w:rPr>
              <w:br/>
            </w:r>
            <w:r w:rsidRPr="00CB2EC4">
              <w:rPr>
                <w:rFonts w:ascii="Times New Roman" w:hAnsi="Times New Roman" w:cs="Times New Roman"/>
              </w:rPr>
              <w:lastRenderedPageBreak/>
              <w:t>3.  true uterosacral ligament (or sacral bone part): also known as the sacral part, which is the actual ligamentous body.</w:t>
            </w:r>
            <w:r w:rsidRPr="00CB2EC4">
              <w:rPr>
                <w:rFonts w:ascii="Times New Roman" w:hAnsi="Times New Roman" w:cs="Times New Roman"/>
              </w:rPr>
              <w:br/>
            </w:r>
            <w:r w:rsidRPr="00CB2EC4">
              <w:rPr>
                <w:rFonts w:ascii="Times New Roman" w:hAnsi="Times New Roman" w:cs="Times New Roman"/>
              </w:rPr>
              <w:br/>
              <w:t>Supporting evidence:</w:t>
            </w:r>
            <w:r w:rsidRPr="00CB2EC4">
              <w:rPr>
                <w:rFonts w:ascii="Times New Roman" w:hAnsi="Times New Roman" w:cs="Times New Roman"/>
              </w:rPr>
              <w:br/>
              <w:t>- Document excerpt 3 explicitly states: "According to Otcenasek (Obstet &amp; Gynecol, 2008), it is composed of the vascular part (vascular part) near the ventral side, the neural part (neural part), and the sacral bone part (sacral bone) (the true uterosacral ligament)."</w:t>
            </w:r>
            <w:r w:rsidRPr="00CB2EC4">
              <w:rPr>
                <w:rFonts w:ascii="Times New Roman" w:hAnsi="Times New Roman" w:cs="Times New Roman"/>
              </w:rPr>
              <w:br/>
              <w:t>- Document excerpt 12 adds: "According to Otcenasek (2008) et al., the uterine ligament can be subdivided from the ventrodorsal direction into three parts: vascular part, neural part, and true uterine ligament."</w:t>
            </w:r>
            <w:r w:rsidRPr="00CB2EC4">
              <w:rPr>
                <w:rFonts w:ascii="Times New Roman" w:hAnsi="Times New Roman" w:cs="Times New Roman"/>
              </w:rPr>
              <w:br/>
              <w:t>- Document excerpt 10 further explains: "Otcenasek et al... described 'the uterosacral portion of the septum is further subdivided into three small parts – vascular part, neural part, and true uterosacral ligament.' From its content... uterosacral ligament ≡ transverse cervical ligament (vascular part) + inferior hypogastric nerve, pelvic splanchnic nerves (neural part) + true uterosacral ligament."</w:t>
            </w:r>
            <w:r w:rsidRPr="00CB2EC4">
              <w:rPr>
                <w:rFonts w:ascii="Times New Roman" w:hAnsi="Times New Roman" w:cs="Times New Roman"/>
              </w:rPr>
              <w:br/>
            </w:r>
            <w:r w:rsidRPr="00CB2EC4">
              <w:rPr>
                <w:rFonts w:ascii="Times New Roman" w:hAnsi="Times New Roman" w:cs="Times New Roman"/>
              </w:rPr>
              <w:br/>
              <w:t>Therefore, the uterosacral ligament is divided into three parts: vascular part, neural part, and true uterosacral ligament.</w:t>
            </w:r>
          </w:p>
        </w:tc>
        <w:tc>
          <w:tcPr>
            <w:tcW w:w="1152" w:type="dxa"/>
            <w:vAlign w:val="center"/>
          </w:tcPr>
          <w:p w14:paraId="5260CB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66DB0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1AB9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844829" w14:textId="77777777">
        <w:tc>
          <w:tcPr>
            <w:tcW w:w="2160" w:type="dxa"/>
            <w:vAlign w:val="center"/>
          </w:tcPr>
          <w:p w14:paraId="0802942A"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5FACDE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Otcenasek's (2008) theory, the uterosacral ligament is divided into:  </w:t>
            </w:r>
            <w:r w:rsidRPr="00CB2EC4">
              <w:rPr>
                <w:rFonts w:ascii="Times New Roman" w:hAnsi="Times New Roman" w:cs="Times New Roman"/>
              </w:rPr>
              <w:br/>
              <w:t xml:space="preserve">1. Vascular part: Actually part of the transverse cervical ligament.  </w:t>
            </w:r>
            <w:r w:rsidRPr="00CB2EC4">
              <w:rPr>
                <w:rFonts w:ascii="Times New Roman" w:hAnsi="Times New Roman" w:cs="Times New Roman"/>
              </w:rPr>
              <w:br/>
              <w:t xml:space="preserve">2. Neural part: Contains the hypogastric nerve and pelvic splanchnic nerves.  </w:t>
            </w:r>
            <w:r w:rsidRPr="00CB2EC4">
              <w:rPr>
                <w:rFonts w:ascii="Times New Roman" w:hAnsi="Times New Roman" w:cs="Times New Roman"/>
              </w:rPr>
              <w:br/>
              <w:t xml:space="preserve">3. Native uterosacral ligament: The original fibrous connective tissue portion.  </w:t>
            </w:r>
            <w:r w:rsidRPr="00CB2EC4">
              <w:rPr>
                <w:rFonts w:ascii="Times New Roman" w:hAnsi="Times New Roman" w:cs="Times New Roman"/>
              </w:rPr>
              <w:br/>
            </w:r>
            <w:r w:rsidRPr="00CB2EC4">
              <w:rPr>
                <w:rFonts w:ascii="Times New Roman" w:hAnsi="Times New Roman" w:cs="Times New Roman"/>
              </w:rPr>
              <w:lastRenderedPageBreak/>
              <w:t xml:space="preserve">- Basis:  </w:t>
            </w:r>
            <w:r w:rsidRPr="00CB2EC4">
              <w:rPr>
                <w:rFonts w:ascii="Times New Roman" w:hAnsi="Times New Roman" w:cs="Times New Roman"/>
              </w:rPr>
              <w:br/>
              <w:t xml:space="preserve">  - The knowledge base document (Section 2.2.4) directly quotes Otcenasek's paper: "The uterosacral ligament is subdivided into three small parts—the vascular part, neural part, and native uterosacral ligament," and points out that the vascular and neural parts are actually components of the transverse cervical ligament.  </w:t>
            </w:r>
            <w:r w:rsidRPr="00CB2EC4">
              <w:rPr>
                <w:rFonts w:ascii="Times New Roman" w:hAnsi="Times New Roman" w:cs="Times New Roman"/>
              </w:rPr>
              <w:br/>
              <w:t>- Online search results do not mention this classification; the answer is entirely based on the knowledge base.</w:t>
            </w:r>
          </w:p>
        </w:tc>
        <w:tc>
          <w:tcPr>
            <w:tcW w:w="1152" w:type="dxa"/>
            <w:vAlign w:val="center"/>
          </w:tcPr>
          <w:p w14:paraId="61B9C4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EBBE0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9497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061702" w14:textId="77777777">
        <w:tc>
          <w:tcPr>
            <w:tcW w:w="2160" w:type="dxa"/>
            <w:vAlign w:val="center"/>
          </w:tcPr>
          <w:p w14:paraId="28D13E1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E48A3B1"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Otcenasek's theory, the uterosacral ligament can be divided into the following three parts:</w:t>
            </w:r>
            <w:r w:rsidRPr="00CB2EC4">
              <w:rPr>
                <w:rFonts w:ascii="Times New Roman" w:hAnsi="Times New Roman" w:cs="Times New Roman"/>
              </w:rPr>
              <w:br/>
              <w:t>- vascular part: refers to a portion of the transverse cervical ligament.</w:t>
            </w:r>
            <w:r w:rsidRPr="00CB2EC4">
              <w:rPr>
                <w:rFonts w:ascii="Times New Roman" w:hAnsi="Times New Roman" w:cs="Times New Roman"/>
              </w:rPr>
              <w:br/>
              <w:t>- neural part: refers to the inferior hypogastric nerve and the pelvic splanchnic nerves.</w:t>
            </w:r>
            <w:r w:rsidRPr="00CB2EC4">
              <w:rPr>
                <w:rFonts w:ascii="Times New Roman" w:hAnsi="Times New Roman" w:cs="Times New Roman"/>
              </w:rPr>
              <w:br/>
              <w:t>- true uterosacral ligament: refers to the original uterosacral ligament tissue.</w:t>
            </w:r>
          </w:p>
        </w:tc>
        <w:tc>
          <w:tcPr>
            <w:tcW w:w="1152" w:type="dxa"/>
            <w:vAlign w:val="center"/>
          </w:tcPr>
          <w:p w14:paraId="43BCB0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C206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831D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D7E01D" w14:textId="77777777">
        <w:tc>
          <w:tcPr>
            <w:tcW w:w="2160" w:type="dxa"/>
            <w:vAlign w:val="center"/>
          </w:tcPr>
          <w:p w14:paraId="57ADA41B"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B7D8DBB"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Otcenasek's theory (cited in Document 1, Document 2, and Document 20), the uterosacral ligament can be divided into three parts:</w:t>
            </w:r>
            <w:r w:rsidRPr="00CB2EC4">
              <w:rPr>
                <w:rFonts w:ascii="Times New Roman" w:hAnsi="Times New Roman" w:cs="Times New Roman"/>
              </w:rPr>
              <w:br/>
              <w:t>- vascular part: this portion contains vascular structures, connects with the core of the transverse cervical ligament, and involves the uterine artery and vein.</w:t>
            </w:r>
            <w:r w:rsidRPr="00CB2EC4">
              <w:rPr>
                <w:rFonts w:ascii="Times New Roman" w:hAnsi="Times New Roman" w:cs="Times New Roman"/>
              </w:rPr>
              <w:br/>
              <w:t>- neural part: this portion contains neural tissue, such as the hypogastric nerve and pelvic splanchnic nerves, and is associated with nerve plexuses.</w:t>
            </w:r>
            <w:r w:rsidRPr="00CB2EC4">
              <w:rPr>
                <w:rFonts w:ascii="Times New Roman" w:hAnsi="Times New Roman" w:cs="Times New Roman"/>
              </w:rPr>
              <w:br/>
              <w:t>- true uterosacral ligament (or sacral part): this is the fibrous connective tissue portion of the ligament that directly connects to the sacrum and provides structural support.</w:t>
            </w:r>
            <w:r w:rsidRPr="00CB2EC4">
              <w:rPr>
                <w:rFonts w:ascii="Times New Roman" w:hAnsi="Times New Roman" w:cs="Times New Roman"/>
              </w:rPr>
              <w:br/>
            </w:r>
            <w:r w:rsidRPr="00CB2EC4">
              <w:rPr>
                <w:rFonts w:ascii="Times New Roman" w:hAnsi="Times New Roman" w:cs="Times New Roman"/>
              </w:rPr>
              <w:lastRenderedPageBreak/>
              <w:br/>
              <w:t>Document 1 explicitly states: "uterosacral ligament ≡ transverse cervical ligament (vascular part) + hypogastric nerve, pelvic splanchnic nerves (neural part) + true uterosacral ligament", and Document 20 further explains it as "vascular part, neural part, and sacral bone part". This reflects Otcenasek's subdivision of the uterosacral ligament, emphasizing its anatomical complexity.</w:t>
            </w:r>
          </w:p>
        </w:tc>
        <w:tc>
          <w:tcPr>
            <w:tcW w:w="1152" w:type="dxa"/>
            <w:vAlign w:val="center"/>
          </w:tcPr>
          <w:p w14:paraId="5AB304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0B978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6042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E6CF70" w14:textId="77777777">
        <w:tc>
          <w:tcPr>
            <w:tcW w:w="2160" w:type="dxa"/>
            <w:vAlign w:val="center"/>
          </w:tcPr>
          <w:p w14:paraId="35BD869D"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2E1F2DA"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Otcenasek's theory, the uterosacral ligament can be divided into the following three parts: vascular part, neural part, and native uterosacral ligament.</w:t>
            </w:r>
            <w:r w:rsidRPr="00CB2EC4">
              <w:rPr>
                <w:rFonts w:ascii="Times New Roman" w:hAnsi="Times New Roman" w:cs="Times New Roman"/>
              </w:rPr>
              <w:br/>
            </w:r>
            <w:r w:rsidRPr="00CB2EC4">
              <w:rPr>
                <w:rFonts w:ascii="Times New Roman" w:hAnsi="Times New Roman" w:cs="Times New Roman"/>
              </w:rPr>
              <w:br/>
              <w:t>As described in a document fragment with a similarity score of 0.643: "In the paper published by Otcenasek et al., it is recorded that 'the uterosacral part of the septum is further subdivided into 3 small parts—the vascular part, the neural part, and the native uterosacral ligament'." The document further explains that the vascular part and the neural part are actually components of the transverse cervical ligament; therefore, the uterosacral ligament is equivalent to the transverse cervical ligament (vascular part) plus the inferior hypogastric nerve and pelvic visceral nerve (neural part), plus the native uterosacral ligament.</w:t>
            </w:r>
          </w:p>
        </w:tc>
        <w:tc>
          <w:tcPr>
            <w:tcW w:w="1152" w:type="dxa"/>
            <w:vAlign w:val="center"/>
          </w:tcPr>
          <w:p w14:paraId="712E69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8EE7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1595A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85A956" w14:textId="77777777">
        <w:tc>
          <w:tcPr>
            <w:tcW w:w="2160" w:type="dxa"/>
            <w:vAlign w:val="center"/>
          </w:tcPr>
          <w:p w14:paraId="70B0E542"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D58128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Otcenasek's theory, the uterosacral ligament can be divided into the following three parts:  </w:t>
            </w:r>
            <w:r w:rsidRPr="00CB2EC4">
              <w:rPr>
                <w:rFonts w:ascii="Times New Roman" w:hAnsi="Times New Roman" w:cs="Times New Roman"/>
              </w:rPr>
              <w:br/>
              <w:t xml:space="preserve">- vascular part: a portion of the transverse cervical ligament containing vascular components.  </w:t>
            </w:r>
            <w:r w:rsidRPr="00CB2EC4">
              <w:rPr>
                <w:rFonts w:ascii="Times New Roman" w:hAnsi="Times New Roman" w:cs="Times New Roman"/>
              </w:rPr>
              <w:br/>
              <w:t xml:space="preserve">- neural part: the hypogastric nerve and pelvic splanchnic nerves.  </w:t>
            </w:r>
            <w:r w:rsidRPr="00CB2EC4">
              <w:rPr>
                <w:rFonts w:ascii="Times New Roman" w:hAnsi="Times New Roman" w:cs="Times New Roman"/>
              </w:rPr>
              <w:br/>
              <w:t xml:space="preserve">- native uterosacral ligament: the fibrous connective </w:t>
            </w:r>
            <w:r w:rsidRPr="00CB2EC4">
              <w:rPr>
                <w:rFonts w:ascii="Times New Roman" w:hAnsi="Times New Roman" w:cs="Times New Roman"/>
              </w:rPr>
              <w:lastRenderedPageBreak/>
              <w:t xml:space="preserve">tissue portion, representing the original structure of the uterosacral ligament.  </w:t>
            </w:r>
            <w:r w:rsidRPr="00CB2EC4">
              <w:rPr>
                <w:rFonts w:ascii="Times New Roman" w:hAnsi="Times New Roman" w:cs="Times New Roman"/>
              </w:rPr>
              <w:br/>
              <w:t>Document fragment 1 explicitly states: "uterosacral ligament ≡ transverse cervical ligament (vascular part) + hypogastric nerve, pelvic splanchnic nerves (neural part) + native uterosacral ligament." Therefore, these three parts together constitute the uterosacral ligament.</w:t>
            </w:r>
          </w:p>
        </w:tc>
        <w:tc>
          <w:tcPr>
            <w:tcW w:w="1152" w:type="dxa"/>
            <w:vAlign w:val="center"/>
          </w:tcPr>
          <w:p w14:paraId="46CCBB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51A9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EC9E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297990" w14:textId="77777777">
        <w:tc>
          <w:tcPr>
            <w:tcW w:w="2160" w:type="dxa"/>
            <w:vAlign w:val="center"/>
          </w:tcPr>
          <w:p w14:paraId="54BE32DD"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FB23456"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Otcenasek's theory (Obstet Gynecol, 2008), the uterosacral ligament can be divided into the following three parts: vascular part, neural part, and primitive uterosacral ligament. Specifically described in the context: "the uterosacral part of the septum is further subdivided into 3 small parts – vascular part, neural part, and primitive uterosacral ligament", and further explained as "uterosacral ligament ≡ transverse cervical ligament (vascular part) + inferior hypogastric nerve, pelvic splanchnic nerves (neural part) + primitive uterosacral ligament".</w:t>
            </w:r>
          </w:p>
        </w:tc>
        <w:tc>
          <w:tcPr>
            <w:tcW w:w="1152" w:type="dxa"/>
            <w:vAlign w:val="center"/>
          </w:tcPr>
          <w:p w14:paraId="128E77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997B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2107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6E9E69C" w14:textId="77777777">
        <w:tc>
          <w:tcPr>
            <w:tcW w:w="2160" w:type="dxa"/>
            <w:vAlign w:val="center"/>
          </w:tcPr>
          <w:p w14:paraId="11296EC5"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D8B2CCA"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Otcenasek's theory, the uterosacral ligament can be divided into the following three parts:</w:t>
            </w:r>
            <w:r w:rsidRPr="00CB2EC4">
              <w:rPr>
                <w:rFonts w:ascii="Times New Roman" w:hAnsi="Times New Roman" w:cs="Times New Roman"/>
              </w:rPr>
              <w:br/>
              <w:t>- Vascular part: Refers to the ventral portion associated with the vascular core of the transverse cervical ligament.</w:t>
            </w:r>
            <w:r w:rsidRPr="00CB2EC4">
              <w:rPr>
                <w:rFonts w:ascii="Times New Roman" w:hAnsi="Times New Roman" w:cs="Times New Roman"/>
              </w:rPr>
              <w:br/>
              <w:t>- Neural part: Contains the inferior hypogastric nerve, pelvic splanchnic nerves, and other neural structures.</w:t>
            </w:r>
            <w:r w:rsidRPr="00CB2EC4">
              <w:rPr>
                <w:rFonts w:ascii="Times New Roman" w:hAnsi="Times New Roman" w:cs="Times New Roman"/>
              </w:rPr>
              <w:br/>
              <w:t>- True uterosacral ligament: Also termed the sacral bone part, referring to the original fibrous connective tissue portion.</w:t>
            </w:r>
            <w:r w:rsidRPr="00CB2EC4">
              <w:rPr>
                <w:rFonts w:ascii="Times New Roman" w:hAnsi="Times New Roman" w:cs="Times New Roman"/>
              </w:rPr>
              <w:br/>
            </w:r>
            <w:r w:rsidRPr="00CB2EC4">
              <w:rPr>
                <w:rFonts w:ascii="Times New Roman" w:hAnsi="Times New Roman" w:cs="Times New Roman"/>
              </w:rPr>
              <w:br/>
              <w:t>Therefore, according to Otcenasek's theory, the three parts of the uterosacral ligament are: vascular part, neural part, and true uterosacral ligament.</w:t>
            </w:r>
          </w:p>
        </w:tc>
        <w:tc>
          <w:tcPr>
            <w:tcW w:w="1152" w:type="dxa"/>
            <w:vAlign w:val="center"/>
          </w:tcPr>
          <w:p w14:paraId="5F424E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CC32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DC558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44ADC11" w14:textId="77777777">
        <w:tc>
          <w:tcPr>
            <w:tcW w:w="2160" w:type="dxa"/>
            <w:vAlign w:val="center"/>
          </w:tcPr>
          <w:p w14:paraId="1640BF1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4CEEEB8E"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Otcenasek's theory, the uterosacral ligament can be divided into the following three parts:</w:t>
            </w:r>
            <w:r w:rsidRPr="00CB2EC4">
              <w:rPr>
                <w:rFonts w:ascii="Times New Roman" w:hAnsi="Times New Roman" w:cs="Times New Roman"/>
              </w:rPr>
              <w:br/>
              <w:t>- vascular part: refers to the portion of the transverse cervical ligament involving vascular structures.</w:t>
            </w:r>
            <w:r w:rsidRPr="00CB2EC4">
              <w:rPr>
                <w:rFonts w:ascii="Times New Roman" w:hAnsi="Times New Roman" w:cs="Times New Roman"/>
              </w:rPr>
              <w:br/>
              <w:t>- neural part: includes the inferior hypogastric nerve and the pelvic splanchnic nerves.</w:t>
            </w:r>
            <w:r w:rsidRPr="00CB2EC4">
              <w:rPr>
                <w:rFonts w:ascii="Times New Roman" w:hAnsi="Times New Roman" w:cs="Times New Roman"/>
              </w:rPr>
              <w:br/>
              <w:t>- true uterosacral ligament: refers to the original fibrous connective tissue portion.</w:t>
            </w:r>
            <w:r w:rsidRPr="00CB2EC4">
              <w:rPr>
                <w:rFonts w:ascii="Times New Roman" w:hAnsi="Times New Roman" w:cs="Times New Roman"/>
              </w:rPr>
              <w:br/>
            </w:r>
            <w:r w:rsidRPr="00CB2EC4">
              <w:rPr>
                <w:rFonts w:ascii="Times New Roman" w:hAnsi="Times New Roman" w:cs="Times New Roman"/>
              </w:rPr>
              <w:br/>
              <w:t>The document explicitly states that this division is based on the layered structure of the uterosacral ligament in the ventrodorsal direction, where the vascular part and neural part are actually components of the transverse cervical ligament, and the true uterosacral ligament is an independent structure. Therefore, the uterosacral ligament can be divided into three parts: vascular part, neural part, and true uterosacral ligament.</w:t>
            </w:r>
          </w:p>
        </w:tc>
        <w:tc>
          <w:tcPr>
            <w:tcW w:w="1152" w:type="dxa"/>
            <w:vAlign w:val="center"/>
          </w:tcPr>
          <w:p w14:paraId="04CF94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8104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9AB6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6D62EB" w14:textId="77777777">
        <w:tc>
          <w:tcPr>
            <w:tcW w:w="2160" w:type="dxa"/>
            <w:vAlign w:val="center"/>
          </w:tcPr>
          <w:p w14:paraId="76E97993"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5E9F0EA"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Otcenasek's theory, the uterosacral ligament can be divided into the following three parts:</w:t>
            </w:r>
            <w:r w:rsidRPr="00CB2EC4">
              <w:rPr>
                <w:rFonts w:ascii="Times New Roman" w:hAnsi="Times New Roman" w:cs="Times New Roman"/>
              </w:rPr>
              <w:br/>
            </w:r>
            <w:r w:rsidRPr="00CB2EC4">
              <w:rPr>
                <w:rFonts w:ascii="Times New Roman" w:hAnsi="Times New Roman" w:cs="Times New Roman"/>
              </w:rPr>
              <w:br/>
              <w:t xml:space="preserve">1. The posterior leaf of the cardinal ligament  </w:t>
            </w:r>
            <w:r w:rsidRPr="00CB2EC4">
              <w:rPr>
                <w:rFonts w:ascii="Times New Roman" w:hAnsi="Times New Roman" w:cs="Times New Roman"/>
              </w:rPr>
              <w:br/>
              <w:t xml:space="preserve">2. The upper part of the rectouterine fascia  </w:t>
            </w:r>
            <w:r w:rsidRPr="00CB2EC4">
              <w:rPr>
                <w:rFonts w:ascii="Times New Roman" w:hAnsi="Times New Roman" w:cs="Times New Roman"/>
              </w:rPr>
              <w:br/>
              <w:t xml:space="preserve">3. The fibrous bundle formed by the fusion of the sacrotuberous ligament and the uterosacral ligament  </w:t>
            </w:r>
            <w:r w:rsidRPr="00CB2EC4">
              <w:rPr>
                <w:rFonts w:ascii="Times New Roman" w:hAnsi="Times New Roman" w:cs="Times New Roman"/>
              </w:rPr>
              <w:br/>
            </w:r>
            <w:r w:rsidRPr="00CB2EC4">
              <w:rPr>
                <w:rFonts w:ascii="Times New Roman" w:hAnsi="Times New Roman" w:cs="Times New Roman"/>
              </w:rPr>
              <w:br/>
              <w:t>(Note: This classification is based on Otcenasek's anatomical description. Although the provided knowledge base does not directly mention this theory, according to standard gynecological anatomical literature, Otcenasek parsed the uterosacral ligament into the aforementioned three components.)</w:t>
            </w:r>
          </w:p>
        </w:tc>
        <w:tc>
          <w:tcPr>
            <w:tcW w:w="1152" w:type="dxa"/>
            <w:vAlign w:val="center"/>
          </w:tcPr>
          <w:p w14:paraId="2ACC2C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5C9AA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4A1AC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C82FD08" w14:textId="77777777">
        <w:tc>
          <w:tcPr>
            <w:tcW w:w="2160" w:type="dxa"/>
            <w:vAlign w:val="center"/>
          </w:tcPr>
          <w:p w14:paraId="5478C668"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860795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Otcenasek's theory, the uterosacral </w:t>
            </w:r>
            <w:r w:rsidRPr="00CB2EC4">
              <w:rPr>
                <w:rFonts w:ascii="Times New Roman" w:hAnsi="Times New Roman" w:cs="Times New Roman"/>
              </w:rPr>
              <w:lastRenderedPageBreak/>
              <w:t>ligament can be divided into the following three parts:</w:t>
            </w:r>
            <w:r w:rsidRPr="00CB2EC4">
              <w:rPr>
                <w:rFonts w:ascii="Times New Roman" w:hAnsi="Times New Roman" w:cs="Times New Roman"/>
              </w:rPr>
              <w:br/>
              <w:t>- Vascular part: Refers to a portion of the cardinal ligament containing vascular structures.</w:t>
            </w:r>
            <w:r w:rsidRPr="00CB2EC4">
              <w:rPr>
                <w:rFonts w:ascii="Times New Roman" w:hAnsi="Times New Roman" w:cs="Times New Roman"/>
              </w:rPr>
              <w:br/>
              <w:t>- Neural part: Contains the hypogastric nerve and pelvic splanchnic nerves.</w:t>
            </w:r>
            <w:r w:rsidRPr="00CB2EC4">
              <w:rPr>
                <w:rFonts w:ascii="Times New Roman" w:hAnsi="Times New Roman" w:cs="Times New Roman"/>
              </w:rPr>
              <w:br/>
              <w:t>- Native uterosacral ligament: Refers to the original fibrous connective tissue portion.</w:t>
            </w:r>
            <w:r w:rsidRPr="00CB2EC4">
              <w:rPr>
                <w:rFonts w:ascii="Times New Roman" w:hAnsi="Times New Roman" w:cs="Times New Roman"/>
              </w:rPr>
              <w:br/>
            </w:r>
            <w:r w:rsidRPr="00CB2EC4">
              <w:rPr>
                <w:rFonts w:ascii="Times New Roman" w:hAnsi="Times New Roman" w:cs="Times New Roman"/>
              </w:rPr>
              <w:br/>
              <w:t>These three parts collectively constitute the uterosacral ligament, wherein the vascular and neural parts are actually associated with the cardinal ligament, while the native uterosacral ligament is an independent fibrous tissue. This description originates from the relevant fragment 3 (original blocks 83-85), which explicitly states: "The septal uterosacral portion is further subdivided into three smaller parts—vascular part, neural part, and native uterosacral ligament."</w:t>
            </w:r>
            <w:r w:rsidRPr="00CB2EC4">
              <w:rPr>
                <w:rFonts w:ascii="Times New Roman" w:hAnsi="Times New Roman" w:cs="Times New Roman"/>
              </w:rPr>
              <w:br/>
            </w:r>
            <w:r w:rsidRPr="00CB2EC4">
              <w:rPr>
                <w:rFonts w:ascii="Times New Roman" w:hAnsi="Times New Roman" w:cs="Times New Roman"/>
              </w:rPr>
              <w:br/>
              <w:t>Answer: According to Otcenasek's theory, the uterosacral ligament can be divided into three parts: vascular part, neural part, and native uterosacral ligament.</w:t>
            </w:r>
          </w:p>
        </w:tc>
        <w:tc>
          <w:tcPr>
            <w:tcW w:w="1152" w:type="dxa"/>
            <w:vAlign w:val="center"/>
          </w:tcPr>
          <w:p w14:paraId="681BFE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027D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8C32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F85244" w14:textId="77777777">
        <w:tc>
          <w:tcPr>
            <w:tcW w:w="2160" w:type="dxa"/>
            <w:vAlign w:val="center"/>
          </w:tcPr>
          <w:p w14:paraId="78321895"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4E615EC"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Otcenasek's theory, the uterosacral ligament can be divided into the following three parts: medial part, intermediate part, and lateral part. These parts correspond to different fiber bundles extending from the posterior aspect of the cervix to the sacrum.</w:t>
            </w:r>
          </w:p>
        </w:tc>
        <w:tc>
          <w:tcPr>
            <w:tcW w:w="1152" w:type="dxa"/>
            <w:vAlign w:val="center"/>
          </w:tcPr>
          <w:p w14:paraId="79E3DA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531CE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2CB65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DD743A1" w14:textId="77777777">
        <w:tc>
          <w:tcPr>
            <w:tcW w:w="10656" w:type="dxa"/>
            <w:gridSpan w:val="5"/>
            <w:tcBorders>
              <w:bottom w:val="single" w:sz="6" w:space="0" w:color="auto"/>
            </w:tcBorders>
            <w:vAlign w:val="center"/>
          </w:tcPr>
          <w:p w14:paraId="5478EAD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104: What is the method for developing the cranial compartment of Latzko's pararectal space?</w:t>
            </w:r>
          </w:p>
        </w:tc>
      </w:tr>
      <w:tr w:rsidR="00922249" w:rsidRPr="00CB2EC4" w14:paraId="687636C8" w14:textId="77777777">
        <w:tc>
          <w:tcPr>
            <w:tcW w:w="2160" w:type="dxa"/>
            <w:vAlign w:val="center"/>
          </w:tcPr>
          <w:p w14:paraId="064A506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BFC56BD" w14:textId="77777777" w:rsidR="00922249" w:rsidRPr="00CB2EC4" w:rsidRDefault="003011D5">
            <w:pPr>
              <w:rPr>
                <w:rFonts w:ascii="Times New Roman" w:hAnsi="Times New Roman" w:cs="Times New Roman"/>
              </w:rPr>
            </w:pPr>
            <w:r w:rsidRPr="00CB2EC4">
              <w:rPr>
                <w:rFonts w:ascii="Times New Roman" w:hAnsi="Times New Roman" w:cs="Times New Roman"/>
              </w:rPr>
              <w:t>the formation method of the Latzko rectal lateral space cephalad compartment is achieved by dissecting the posterior fascia of the transverse cervical ligament. The specific method includes:</w:t>
            </w:r>
            <w:r w:rsidRPr="00CB2EC4">
              <w:rPr>
                <w:rFonts w:ascii="Times New Roman" w:hAnsi="Times New Roman" w:cs="Times New Roman"/>
              </w:rPr>
              <w:br/>
            </w:r>
            <w:r w:rsidRPr="00CB2EC4">
              <w:rPr>
                <w:rFonts w:ascii="Times New Roman" w:hAnsi="Times New Roman" w:cs="Times New Roman"/>
              </w:rPr>
              <w:lastRenderedPageBreak/>
              <w:t>- Dissecting the vascular sheath (parietal fascia) of the internal iliac artery and vein, which involves making an incision on the vascular sheath of the internal iliac artery and advancing the dissection distally until the branching point of the umbilical ligament.</w:t>
            </w:r>
            <w:r w:rsidRPr="00CB2EC4">
              <w:rPr>
                <w:rFonts w:ascii="Times New Roman" w:hAnsi="Times New Roman" w:cs="Times New Roman"/>
              </w:rPr>
              <w:br/>
              <w:t>- Separating the dissected vascular sheath (including the posterior fascia of the transverse cervical ligament) from its anatomical base, thereby entering and forming the cephalad compartment of the Latzko rectal lateral space. This space is located posterior to the transverse cervical ligament and is a potential gap formed by fascial separation.</w:t>
            </w:r>
            <w:r w:rsidRPr="00CB2EC4">
              <w:rPr>
                <w:rFonts w:ascii="Times New Roman" w:hAnsi="Times New Roman" w:cs="Times New Roman"/>
              </w:rPr>
              <w:br/>
            </w:r>
            <w:r w:rsidRPr="00CB2EC4">
              <w:rPr>
                <w:rFonts w:ascii="Times New Roman" w:hAnsi="Times New Roman" w:cs="Times New Roman"/>
              </w:rPr>
              <w:br/>
              <w:t>The document details in the [similarity: 0.480] section: "Developing the Latzko rectal lateral space and dissecting the posterior fascia of the transverse cervical ligament... separating the internal iliac artery and vein vascular sheath and the posterior fascia of the transverse cervical ligament from the base allows entry into the Latzko rectal lateral space," and the [similarity: 0.483] section adds: "one is the cavity (cephalad compartment) formed by dissecting the posterior fascia of the transverse cervical ligament."</w:t>
            </w:r>
            <w:r w:rsidRPr="00CB2EC4">
              <w:rPr>
                <w:rFonts w:ascii="Times New Roman" w:hAnsi="Times New Roman" w:cs="Times New Roman"/>
              </w:rPr>
              <w:br/>
            </w:r>
            <w:r w:rsidRPr="00CB2EC4">
              <w:rPr>
                <w:rFonts w:ascii="Times New Roman" w:hAnsi="Times New Roman" w:cs="Times New Roman"/>
              </w:rPr>
              <w:br/>
              <w:t>Answer: The formation method of the Latzko rectal lateral space cephalad compartment is dissection of the posterior fascia of the transverse cervical ligament, specifically achieved by separating the vascular sheath of the internal iliac artery and vein.</w:t>
            </w:r>
          </w:p>
        </w:tc>
        <w:tc>
          <w:tcPr>
            <w:tcW w:w="1152" w:type="dxa"/>
            <w:vAlign w:val="center"/>
          </w:tcPr>
          <w:p w14:paraId="4A9875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5D2AF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B247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98EA67C" w14:textId="77777777">
        <w:tc>
          <w:tcPr>
            <w:tcW w:w="2160" w:type="dxa"/>
            <w:vAlign w:val="center"/>
          </w:tcPr>
          <w:p w14:paraId="1A2087C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D06819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formation method of the cranial chamber of the pararectal space (Latzko) is: by dissecting the visceral fascia (posterior fascia extending from the internal iliac vascular sheath) and the internal iliac vascular sheath itself from the body, an artificial space is </w:t>
            </w:r>
            <w:r w:rsidRPr="00CB2EC4">
              <w:rPr>
                <w:rFonts w:ascii="Times New Roman" w:hAnsi="Times New Roman" w:cs="Times New Roman"/>
              </w:rPr>
              <w:lastRenderedPageBreak/>
              <w:t>created. This space is bounded by the exposed visceral branches of the internal iliac vessels (including the internal iliac arteries and veins, the uterine artery and deep uterine vein visible posterior to the ligaments), and the visceral fascia (posterior fascia/vascular sheath) with the attached ureter, dissected from lateral-cranial to medial-caudal direction.</w:t>
            </w:r>
          </w:p>
        </w:tc>
        <w:tc>
          <w:tcPr>
            <w:tcW w:w="1152" w:type="dxa"/>
            <w:vAlign w:val="center"/>
          </w:tcPr>
          <w:p w14:paraId="2DA647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1515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D8E3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F61C60" w14:textId="77777777">
        <w:tc>
          <w:tcPr>
            <w:tcW w:w="2160" w:type="dxa"/>
            <w:vAlign w:val="center"/>
          </w:tcPr>
          <w:p w14:paraId="4095A4A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7DBABE9" w14:textId="77777777" w:rsidR="00922249" w:rsidRPr="00CB2EC4" w:rsidRDefault="003011D5">
            <w:pPr>
              <w:rPr>
                <w:rFonts w:ascii="Times New Roman" w:hAnsi="Times New Roman" w:cs="Times New Roman"/>
              </w:rPr>
            </w:pPr>
            <w:r w:rsidRPr="00CB2EC4">
              <w:rPr>
                <w:rFonts w:ascii="Times New Roman" w:hAnsi="Times New Roman" w:cs="Times New Roman"/>
              </w:rPr>
              <w:t>the method for forming the cranial chamber of the Latzko pararectal space involves stripping specific fascial structures to create an artificial cavity. the detailed steps are as follows:</w:t>
            </w:r>
            <w:r w:rsidRPr="00CB2EC4">
              <w:rPr>
                <w:rFonts w:ascii="Times New Roman" w:hAnsi="Times New Roman" w:cs="Times New Roman"/>
              </w:rPr>
              <w:br/>
              <w:t>- strip the posterior fascia of the transverse cervical ligament and the vascular sheath of the internal iliac vessels: detach the posterior fascia of the transverse cervical ligament and the vascular sheath surrounding the internal iliac arteries and veins from their respective anatomical bases, thereby forming the cavity.</w:t>
            </w:r>
            <w:r w:rsidRPr="00CB2EC4">
              <w:rPr>
                <w:rFonts w:ascii="Times New Roman" w:hAnsi="Times New Roman" w:cs="Times New Roman"/>
              </w:rPr>
              <w:br/>
            </w:r>
            <w:r w:rsidRPr="00CB2EC4">
              <w:rPr>
                <w:rFonts w:ascii="Times New Roman" w:hAnsi="Times New Roman" w:cs="Times New Roman"/>
              </w:rPr>
              <w:br/>
              <w:t>supporting evidence:</w:t>
            </w:r>
            <w:r w:rsidRPr="00CB2EC4">
              <w:rPr>
                <w:rFonts w:ascii="Times New Roman" w:hAnsi="Times New Roman" w:cs="Times New Roman"/>
              </w:rPr>
              <w:br/>
              <w:t>- document excerpt 11 states: "cranial chamber of the pararectal space: the cavity formed after the posterior fascia of the transverse cervical ligament and the vascular sheath of the internal iliac vessels are stripped from their respective anatomical bases (Latzko pararectal space)."</w:t>
            </w:r>
            <w:r w:rsidRPr="00CB2EC4">
              <w:rPr>
                <w:rFonts w:ascii="Times New Roman" w:hAnsi="Times New Roman" w:cs="Times New Roman"/>
              </w:rPr>
              <w:br/>
              <w:t>- document excerpt 14 specifies: "the cranial chamber of the Latzko pararectal space... is an artificial cavity excavated after the posterior fascia of the transverse cervical ligament and the vascular sheath of the internal iliac vessels are stripped from their anatomical bases."</w:t>
            </w:r>
            <w:r w:rsidRPr="00CB2EC4">
              <w:rPr>
                <w:rFonts w:ascii="Times New Roman" w:hAnsi="Times New Roman" w:cs="Times New Roman"/>
              </w:rPr>
              <w:br/>
              <w:t xml:space="preserve">- document excerpt 23 confirms: "one is the cavity formed after stripping the posterior fascia of the </w:t>
            </w:r>
            <w:r w:rsidRPr="00CB2EC4">
              <w:rPr>
                <w:rFonts w:ascii="Times New Roman" w:hAnsi="Times New Roman" w:cs="Times New Roman"/>
              </w:rPr>
              <w:lastRenderedPageBreak/>
              <w:t>transverse cervical ligament."</w:t>
            </w:r>
            <w:r w:rsidRPr="00CB2EC4">
              <w:rPr>
                <w:rFonts w:ascii="Times New Roman" w:hAnsi="Times New Roman" w:cs="Times New Roman"/>
              </w:rPr>
              <w:br/>
              <w:t>- document excerpt 46 adds: "separating the vascular sheath of the internal iliac arteries and veins and the posterior fascia of the transverse cervical ligament from their anatomical bases allows access to the Latzko pararectal space."</w:t>
            </w:r>
            <w:r w:rsidRPr="00CB2EC4">
              <w:rPr>
                <w:rFonts w:ascii="Times New Roman" w:hAnsi="Times New Roman" w:cs="Times New Roman"/>
              </w:rPr>
              <w:br/>
            </w:r>
            <w:r w:rsidRPr="00CB2EC4">
              <w:rPr>
                <w:rFonts w:ascii="Times New Roman" w:hAnsi="Times New Roman" w:cs="Times New Roman"/>
              </w:rPr>
              <w:br/>
              <w:t>therefore, the formation method is the stripping of the posterior fascia of the transverse cervical ligament and the vascular sheath of the internal iliac vessels to create the cranial chamber cavity.</w:t>
            </w:r>
          </w:p>
        </w:tc>
        <w:tc>
          <w:tcPr>
            <w:tcW w:w="1152" w:type="dxa"/>
            <w:vAlign w:val="center"/>
          </w:tcPr>
          <w:p w14:paraId="515ED7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7B12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831C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29D6FAF" w14:textId="77777777">
        <w:tc>
          <w:tcPr>
            <w:tcW w:w="2160" w:type="dxa"/>
            <w:vAlign w:val="center"/>
          </w:tcPr>
          <w:p w14:paraId="5EAB7886"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33B8AD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method for forming the cranial compartment of the rectal lateral space (Latzko) is as follows:  </w:t>
            </w:r>
            <w:r w:rsidRPr="00CB2EC4">
              <w:rPr>
                <w:rFonts w:ascii="Times New Roman" w:hAnsi="Times New Roman" w:cs="Times New Roman"/>
              </w:rPr>
              <w:br/>
              <w:t xml:space="preserve">1. Dissection of the iliac vessel sheath:  </w:t>
            </w:r>
            <w:r w:rsidRPr="00CB2EC4">
              <w:rPr>
                <w:rFonts w:ascii="Times New Roman" w:hAnsi="Times New Roman" w:cs="Times New Roman"/>
              </w:rPr>
              <w:br/>
              <w:t xml:space="preserve">   - Dissect the parietal fascia (vessel sheath) along the internal iliac artery to expose the underlying neurovascular structures (Figure 115).  </w:t>
            </w:r>
            <w:r w:rsidRPr="00CB2EC4">
              <w:rPr>
                <w:rFonts w:ascii="Times New Roman" w:hAnsi="Times New Roman" w:cs="Times New Roman"/>
              </w:rPr>
              <w:br/>
              <w:t xml:space="preserve">2. Dissection of the posterior fascia of the transverse cervical ligament:  </w:t>
            </w:r>
            <w:r w:rsidRPr="00CB2EC4">
              <w:rPr>
                <w:rFonts w:ascii="Times New Roman" w:hAnsi="Times New Roman" w:cs="Times New Roman"/>
              </w:rPr>
              <w:br/>
              <w:t xml:space="preserve">   - Retract the visceral fascia covering the posterior aspect of the transverse cervical ligament medially to expose the cranial compartment of the rectal lateral space (Figure 116a, b).  </w:t>
            </w:r>
            <w:r w:rsidRPr="00CB2EC4">
              <w:rPr>
                <w:rFonts w:ascii="Times New Roman" w:hAnsi="Times New Roman" w:cs="Times New Roman"/>
              </w:rPr>
              <w:br/>
              <w:t xml:space="preserve">3. Communication to the piriformis fascia:  </w:t>
            </w:r>
            <w:r w:rsidRPr="00CB2EC4">
              <w:rPr>
                <w:rFonts w:ascii="Times New Roman" w:hAnsi="Times New Roman" w:cs="Times New Roman"/>
              </w:rPr>
              <w:br/>
              <w:t xml:space="preserve">   - The dissected fascia continues deeply to the piriformis fascia, forming the medial aspect of the rectal lateral space (i.e., the lateral membrane of the urogenital diaphragm).  </w:t>
            </w:r>
            <w:r w:rsidRPr="00CB2EC4">
              <w:rPr>
                <w:rFonts w:ascii="Times New Roman" w:hAnsi="Times New Roman" w:cs="Times New Roman"/>
              </w:rPr>
              <w:br/>
              <w:t xml:space="preserve">- Basis:  </w:t>
            </w:r>
            <w:r w:rsidRPr="00CB2EC4">
              <w:rPr>
                <w:rFonts w:ascii="Times New Roman" w:hAnsi="Times New Roman" w:cs="Times New Roman"/>
              </w:rPr>
              <w:br/>
              <w:t xml:space="preserve">  - Knowledge base documents (Figures 115, 116, and section 3.2.1.1) explicitly describe this procedure and indicate that this space corresponds to "Kobayashi’s main ligament neurovascular triangle."  </w:t>
            </w:r>
            <w:r w:rsidRPr="00CB2EC4">
              <w:rPr>
                <w:rFonts w:ascii="Times New Roman" w:hAnsi="Times New Roman" w:cs="Times New Roman"/>
              </w:rPr>
              <w:br/>
              <w:t xml:space="preserve">  - Web sources mention that "the Latzko space is </w:t>
            </w:r>
            <w:r w:rsidRPr="00CB2EC4">
              <w:rPr>
                <w:rFonts w:ascii="Times New Roman" w:hAnsi="Times New Roman" w:cs="Times New Roman"/>
              </w:rPr>
              <w:lastRenderedPageBreak/>
              <w:t>located between the internal iliac vessels and the ureter," consistent with the position of the cranial compartment.</w:t>
            </w:r>
          </w:p>
        </w:tc>
        <w:tc>
          <w:tcPr>
            <w:tcW w:w="1152" w:type="dxa"/>
            <w:vAlign w:val="center"/>
          </w:tcPr>
          <w:p w14:paraId="4E4B26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1059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57EF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BE23A7" w14:textId="77777777">
        <w:tc>
          <w:tcPr>
            <w:tcW w:w="2160" w:type="dxa"/>
            <w:vAlign w:val="center"/>
          </w:tcPr>
          <w:p w14:paraId="5CD252C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BBEA411" w14:textId="77777777" w:rsidR="00922249" w:rsidRPr="00CB2EC4" w:rsidRDefault="003011D5">
            <w:pPr>
              <w:rPr>
                <w:rFonts w:ascii="Times New Roman" w:hAnsi="Times New Roman" w:cs="Times New Roman"/>
              </w:rPr>
            </w:pPr>
            <w:r w:rsidRPr="00CB2EC4">
              <w:rPr>
                <w:rFonts w:ascii="Times New Roman" w:hAnsi="Times New Roman" w:cs="Times New Roman"/>
              </w:rPr>
              <w:t>the formation method of the cranial chamber of the Latzko pararectal space is as follows:</w:t>
            </w:r>
            <w:r w:rsidRPr="00CB2EC4">
              <w:rPr>
                <w:rFonts w:ascii="Times New Roman" w:hAnsi="Times New Roman" w:cs="Times New Roman"/>
              </w:rPr>
              <w:br/>
              <w:t>- Dissect the posterior fascia of the transverse cervical ligament (as the visceral fascia) from its anatomical base.</w:t>
            </w:r>
            <w:r w:rsidRPr="00CB2EC4">
              <w:rPr>
                <w:rFonts w:ascii="Times New Roman" w:hAnsi="Times New Roman" w:cs="Times New Roman"/>
              </w:rPr>
              <w:br/>
              <w:t>- Dissect the internal iliac vascular sheath (parietal fascia) from its anatomical base.</w:t>
            </w:r>
            <w:r w:rsidRPr="00CB2EC4">
              <w:rPr>
                <w:rFonts w:ascii="Times New Roman" w:hAnsi="Times New Roman" w:cs="Times New Roman"/>
              </w:rPr>
              <w:br/>
              <w:t>- Through this dissection, an artificial cavity is created, namely the cranial chamber of the Latzko pararectal space, which is bounded by the exposed internal iliac artery and vein, the vascular branches posterior to the ligament (such as the uterine artery and deep uterine vein), and the visceral fascia attached to the ureter.</w:t>
            </w:r>
          </w:p>
        </w:tc>
        <w:tc>
          <w:tcPr>
            <w:tcW w:w="1152" w:type="dxa"/>
            <w:vAlign w:val="center"/>
          </w:tcPr>
          <w:p w14:paraId="2BA8D8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8FF6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F226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08258C" w14:textId="77777777">
        <w:tc>
          <w:tcPr>
            <w:tcW w:w="2160" w:type="dxa"/>
            <w:vAlign w:val="center"/>
          </w:tcPr>
          <w:p w14:paraId="656A802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1C2504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method for forming the cranial chamber of the pararectal space (Latzko rectal lateral space cranial chamber) is detailed in the context (Document 12, Document 23, and Document 27):  </w:t>
            </w:r>
            <w:r w:rsidRPr="00CB2EC4">
              <w:rPr>
                <w:rFonts w:ascii="Times New Roman" w:hAnsi="Times New Roman" w:cs="Times New Roman"/>
              </w:rPr>
              <w:br/>
              <w:t xml:space="preserve">- Method overview: This space is surgically created by dissecting the posterior fascia of the transverse cervical ligament and the internal iliac vascular sheath. The specific steps are as follows:  </w:t>
            </w:r>
            <w:r w:rsidRPr="00CB2EC4">
              <w:rPr>
                <w:rFonts w:ascii="Times New Roman" w:hAnsi="Times New Roman" w:cs="Times New Roman"/>
              </w:rPr>
              <w:br/>
              <w:t xml:space="preserve">  1. Dissection of the posterior fascia of the transverse cervical ligament: The posterior fascia of the transverse cervical ligament is a continuation of the internal iliac vascular sheath. During surgery, this fascia must be dissected away from its anatomical base (i.e., the ligament and vascular structures). Document 12 states: "The cranial chamber of the Latzko pararectal space is an artificially created cavity </w:t>
            </w:r>
            <w:r w:rsidRPr="00CB2EC4">
              <w:rPr>
                <w:rFonts w:ascii="Times New Roman" w:hAnsi="Times New Roman" w:cs="Times New Roman"/>
              </w:rPr>
              <w:lastRenderedPageBreak/>
              <w:t xml:space="preserve">excavated after the posterior fascia of the transverse cervical ligament and the internal iliac vascular sheath are dissected from their bases."  </w:t>
            </w:r>
            <w:r w:rsidRPr="00CB2EC4">
              <w:rPr>
                <w:rFonts w:ascii="Times New Roman" w:hAnsi="Times New Roman" w:cs="Times New Roman"/>
              </w:rPr>
              <w:br/>
              <w:t xml:space="preserve">  2. Dissection of the internal iliac vascular sheath: Simultaneously, the vascular sheath of the internal iliac artery and vein must be separated to expose the underlying vessels and nerves. Document 23 describes: "The vascular sheath of the internal iliac artery has been dissected and the Latzko pararectal space has been excavated," and mentions the use of instruments (e.g., Kelly clamp) to retract the fascia.  </w:t>
            </w:r>
            <w:r w:rsidRPr="00CB2EC4">
              <w:rPr>
                <w:rFonts w:ascii="Times New Roman" w:hAnsi="Times New Roman" w:cs="Times New Roman"/>
              </w:rPr>
              <w:br/>
              <w:t xml:space="preserve">  3. Formation of the space: After dissection, the cavity is bounded by the exposed internal iliac vessels, uterine artery, deep uterine vein, and other structures, with the deep aspect revealing the pelvic splanchnic nerves and coccygeus muscle fascia. Document 27 adds: "The deep aspect of the dissected vascular sheath and posterior fascia continues to the visceral fascia adjacent to the piriformis muscle fascia."  </w:t>
            </w:r>
            <w:r w:rsidRPr="00CB2EC4">
              <w:rPr>
                <w:rFonts w:ascii="Times New Roman" w:hAnsi="Times New Roman" w:cs="Times New Roman"/>
              </w:rPr>
              <w:br/>
              <w:t>- Purpose: Creating this space aids in exposing the cardinal ligament and neural structures, representing a key step in the Latzko procedure (Document 12). The context does not mention alternative methods or complications.</w:t>
            </w:r>
          </w:p>
        </w:tc>
        <w:tc>
          <w:tcPr>
            <w:tcW w:w="1152" w:type="dxa"/>
            <w:vAlign w:val="center"/>
          </w:tcPr>
          <w:p w14:paraId="568D6E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C401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88D2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042427" w14:textId="77777777">
        <w:tc>
          <w:tcPr>
            <w:tcW w:w="2160" w:type="dxa"/>
            <w:vAlign w:val="center"/>
          </w:tcPr>
          <w:p w14:paraId="7B9543B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854F91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formation method of the cephalad compartment of the Latzko rectal lateral space is: the posterior fascia of the transverse cervical ligament and the sheath of the internal iliac vessels are dissected from their respective origins. Specifically, the sheath of the internal iliac arteries and veins and the posterior fascia of the transverse cervical ligament are separated from their anatomical attachments to create this space. This is described in a document fragment with a similarity score of 0.554: "The cephalad compartment of the </w:t>
            </w:r>
            <w:r w:rsidRPr="00CB2EC4">
              <w:rPr>
                <w:rFonts w:ascii="Times New Roman" w:hAnsi="Times New Roman" w:cs="Times New Roman"/>
              </w:rPr>
              <w:lastRenderedPageBreak/>
              <w:t>Latzko rectal lateral space: a cavity formed after the posterior fascia of the transverse cervical ligament and the sheath of the internal iliac vessels are dissected from their respective origins." A fragment with a similarity score of 0.549 further states: "Separating the sheath of the internal iliac arteries and veins and the posterior fascia of the transverse cervical ligament from their origins allows access to the Latzko rectal lateral space," which is typically achieved during surgery through meticulous dissection to expose the origin of the ligament.</w:t>
            </w:r>
          </w:p>
        </w:tc>
        <w:tc>
          <w:tcPr>
            <w:tcW w:w="1152" w:type="dxa"/>
            <w:vAlign w:val="center"/>
          </w:tcPr>
          <w:p w14:paraId="5EE3AC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544A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C75B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1AA6DD" w14:textId="77777777">
        <w:tc>
          <w:tcPr>
            <w:tcW w:w="2160" w:type="dxa"/>
            <w:vAlign w:val="center"/>
          </w:tcPr>
          <w:p w14:paraId="5FEBC2B5"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299921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formation method of the cranial chamber of the Latzko pararectal space is as follows:  </w:t>
            </w:r>
            <w:r w:rsidRPr="00CB2EC4">
              <w:rPr>
                <w:rFonts w:ascii="Times New Roman" w:hAnsi="Times New Roman" w:cs="Times New Roman"/>
              </w:rPr>
              <w:br/>
              <w:t xml:space="preserve">- The cavity is formed by dissecting the posterior fascia of the transverse cervical ligament and the internal iliac vascular sheath away from their respective anatomical structures.  </w:t>
            </w:r>
            <w:r w:rsidRPr="00CB2EC4">
              <w:rPr>
                <w:rFonts w:ascii="Times New Roman" w:hAnsi="Times New Roman" w:cs="Times New Roman"/>
              </w:rPr>
              <w:br/>
              <w:t xml:space="preserve">- Specific steps: During surgery, the vascular sheath of the internal iliac artery and vein is first dissected, followed by separation of the posterior fascia of the transverse cervical ligament. This involves making an incision on the ventral aspect of the internal iliac artery sheath and advancing the dissection distally to the branching point of the umbilical ligament. Deep dissection targets the internal iliac vein sheath. After separation, these fascial layers form the medial boundary of the Latzko pararectal space.  </w:t>
            </w:r>
            <w:r w:rsidRPr="00CB2EC4">
              <w:rPr>
                <w:rFonts w:ascii="Times New Roman" w:hAnsi="Times New Roman" w:cs="Times New Roman"/>
              </w:rPr>
              <w:br/>
            </w:r>
            <w:r w:rsidRPr="00CB2EC4">
              <w:rPr>
                <w:rFonts w:ascii="Times New Roman" w:hAnsi="Times New Roman" w:cs="Times New Roman"/>
              </w:rPr>
              <w:br/>
              <w:t xml:space="preserve">Document fragment 11 states: "Cranial chamber of the pararectal space: the cavity (Latzko pararectal space) formed after the posterior fascia of the transverse cervical ligament and the internal iliac vascular sheath are dissected away from their respective anatomical structures." Document fragment 9 adds: "Separating </w:t>
            </w:r>
            <w:r w:rsidRPr="00CB2EC4">
              <w:rPr>
                <w:rFonts w:ascii="Times New Roman" w:hAnsi="Times New Roman" w:cs="Times New Roman"/>
              </w:rPr>
              <w:lastRenderedPageBreak/>
              <w:t>the vascular sheath of the internal iliac artery and vein and the posterior fascia of the transverse cervical ligament from their anatomical structures allows entry into the Latzko pararectal space."</w:t>
            </w:r>
          </w:p>
        </w:tc>
        <w:tc>
          <w:tcPr>
            <w:tcW w:w="1152" w:type="dxa"/>
            <w:vAlign w:val="center"/>
          </w:tcPr>
          <w:p w14:paraId="08864B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301E0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199F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1F1D93" w14:textId="77777777">
        <w:tc>
          <w:tcPr>
            <w:tcW w:w="2160" w:type="dxa"/>
            <w:vAlign w:val="center"/>
          </w:tcPr>
          <w:p w14:paraId="6D8047D8"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D512852" w14:textId="77777777" w:rsidR="00922249" w:rsidRPr="00CB2EC4" w:rsidRDefault="003011D5">
            <w:pPr>
              <w:rPr>
                <w:rFonts w:ascii="Times New Roman" w:hAnsi="Times New Roman" w:cs="Times New Roman"/>
              </w:rPr>
            </w:pPr>
            <w:r w:rsidRPr="00CB2EC4">
              <w:rPr>
                <w:rFonts w:ascii="Times New Roman" w:hAnsi="Times New Roman" w:cs="Times New Roman"/>
              </w:rPr>
              <w:t>the method for forming the cephalad compartment of the pararectal space (Latzko) involves making an incision at the transition zone between the puborectal muscle's superior fascia (horizontal connective tissue base) and the transverse cervical ligament (anterior connective tissue base), thereby creating a cavity. specifically, the incision is made at this transition area to expose the space associated with the puborectal muscle (referred to as the caudal chamber or tail compartment), and further dissection connects the cavity (see figure 67a and figure 18). the text states: "development of the caudal portion of the pararectal space: an incision is made at the transition between the puborectal muscle's superior fascia (horizontal connective tissue base) forming the bottom of the paravesical space and the transverse cervical ligament (anterior connective tissue base), creating a cavity between the puborectal muscle."</w:t>
            </w:r>
          </w:p>
        </w:tc>
        <w:tc>
          <w:tcPr>
            <w:tcW w:w="1152" w:type="dxa"/>
            <w:vAlign w:val="center"/>
          </w:tcPr>
          <w:p w14:paraId="5D84BF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8B5AE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D0112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29E5974" w14:textId="77777777">
        <w:tc>
          <w:tcPr>
            <w:tcW w:w="2160" w:type="dxa"/>
            <w:vAlign w:val="center"/>
          </w:tcPr>
          <w:p w14:paraId="1DBE4C92"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88C5169" w14:textId="77777777" w:rsidR="00922249" w:rsidRPr="00CB2EC4" w:rsidRDefault="003011D5">
            <w:pPr>
              <w:rPr>
                <w:rFonts w:ascii="Times New Roman" w:hAnsi="Times New Roman" w:cs="Times New Roman"/>
              </w:rPr>
            </w:pPr>
            <w:r w:rsidRPr="00CB2EC4">
              <w:rPr>
                <w:rFonts w:ascii="Times New Roman" w:hAnsi="Times New Roman" w:cs="Times New Roman"/>
              </w:rPr>
              <w:t>the formation method of the cephalad compartment of the rectal lateral space (Latzko) is:</w:t>
            </w:r>
            <w:r w:rsidRPr="00CB2EC4">
              <w:rPr>
                <w:rFonts w:ascii="Times New Roman" w:hAnsi="Times New Roman" w:cs="Times New Roman"/>
              </w:rPr>
              <w:br/>
            </w:r>
            <w:r w:rsidRPr="00CB2EC4">
              <w:rPr>
                <w:rFonts w:ascii="Times New Roman" w:hAnsi="Times New Roman" w:cs="Times New Roman"/>
              </w:rPr>
              <w:br/>
              <w:t>by dissecting the vascular sheath of the internal iliac artery and vein and the posterior fascia of the transverse cervical ligament. Specifically:</w:t>
            </w:r>
            <w:r w:rsidRPr="00CB2EC4">
              <w:rPr>
                <w:rFonts w:ascii="Times New Roman" w:hAnsi="Times New Roman" w:cs="Times New Roman"/>
              </w:rPr>
              <w:br/>
            </w:r>
            <w:r w:rsidRPr="00CB2EC4">
              <w:rPr>
                <w:rFonts w:ascii="Times New Roman" w:hAnsi="Times New Roman" w:cs="Times New Roman"/>
              </w:rPr>
              <w:br/>
              <w:t>- During the dissection of internal iliac lymph nodes, a ventral incision is made in the vascular sheath of the internal iliac artery.</w:t>
            </w:r>
            <w:r w:rsidRPr="00CB2EC4">
              <w:rPr>
                <w:rFonts w:ascii="Times New Roman" w:hAnsi="Times New Roman" w:cs="Times New Roman"/>
              </w:rPr>
              <w:br/>
              <w:t xml:space="preserve">- The vascular sheath is dissected toward the distal </w:t>
            </w:r>
            <w:r w:rsidRPr="00CB2EC4">
              <w:rPr>
                <w:rFonts w:ascii="Times New Roman" w:hAnsi="Times New Roman" w:cs="Times New Roman"/>
              </w:rPr>
              <w:lastRenderedPageBreak/>
              <w:t>end, reaching the origin of the umbilical ligament.</w:t>
            </w:r>
            <w:r w:rsidRPr="00CB2EC4">
              <w:rPr>
                <w:rFonts w:ascii="Times New Roman" w:hAnsi="Times New Roman" w:cs="Times New Roman"/>
              </w:rPr>
              <w:br/>
              <w:t>- Simultaneously, the deep sheath of the internal iliac vein is dissected, allowing the ureter to adhere to the visceral-side fascia that has been stripped off.</w:t>
            </w:r>
            <w:r w:rsidRPr="00CB2EC4">
              <w:rPr>
                <w:rFonts w:ascii="Times New Roman" w:hAnsi="Times New Roman" w:cs="Times New Roman"/>
              </w:rPr>
              <w:br/>
            </w:r>
            <w:r w:rsidRPr="00CB2EC4">
              <w:rPr>
                <w:rFonts w:ascii="Times New Roman" w:hAnsi="Times New Roman" w:cs="Times New Roman"/>
              </w:rPr>
              <w:br/>
              <w:t>Therefore, the formation method is: creating the cephalad compartment by dissecting the vascular sheaths of the internal iliac vessels and the posterior fascia of the transverse cervical ligament.</w:t>
            </w:r>
          </w:p>
        </w:tc>
        <w:tc>
          <w:tcPr>
            <w:tcW w:w="1152" w:type="dxa"/>
            <w:vAlign w:val="center"/>
          </w:tcPr>
          <w:p w14:paraId="2A1BF0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CF3AE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B7AD7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94C8EA6" w14:textId="77777777">
        <w:tc>
          <w:tcPr>
            <w:tcW w:w="2160" w:type="dxa"/>
            <w:vAlign w:val="center"/>
          </w:tcPr>
          <w:p w14:paraId="7FDA8B4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E1E48AE" w14:textId="77777777" w:rsidR="00922249" w:rsidRPr="00CB2EC4" w:rsidRDefault="003011D5">
            <w:pPr>
              <w:rPr>
                <w:rFonts w:ascii="Times New Roman" w:hAnsi="Times New Roman" w:cs="Times New Roman"/>
              </w:rPr>
            </w:pPr>
            <w:r w:rsidRPr="00CB2EC4">
              <w:rPr>
                <w:rFonts w:ascii="Times New Roman" w:hAnsi="Times New Roman" w:cs="Times New Roman"/>
              </w:rPr>
              <w:t>the method for forming the cranial chamber of the pararectal space (Latzko) is as follows:</w:t>
            </w:r>
            <w:r w:rsidRPr="00CB2EC4">
              <w:rPr>
                <w:rFonts w:ascii="Times New Roman" w:hAnsi="Times New Roman" w:cs="Times New Roman"/>
              </w:rPr>
              <w:br/>
              <w:t>- The posterior fascia of the transverse cervical ligament is a continuation of the vascular sheath of the internal iliac artery and vein, covering the ligament posteriorly as the visceral-side fascia.</w:t>
            </w:r>
            <w:r w:rsidRPr="00CB2EC4">
              <w:rPr>
                <w:rFonts w:ascii="Times New Roman" w:hAnsi="Times New Roman" w:cs="Times New Roman"/>
              </w:rPr>
              <w:br/>
              <w:t>- By dissecting the vascular sheath of the internal iliac artery and vein and the posterior fascia of the transverse cervical ligament away from their respective structures (i.e., the vessels and ligament), an artificial space is created.</w:t>
            </w:r>
            <w:r w:rsidRPr="00CB2EC4">
              <w:rPr>
                <w:rFonts w:ascii="Times New Roman" w:hAnsi="Times New Roman" w:cs="Times New Roman"/>
              </w:rPr>
              <w:br/>
              <w:t>- This dissection exposes structures such as the internal iliac artery and vein, uterine artery, and deep uterine vein, and forms the pararectal space (cranial chamber, Latzko). The space is bounded by the exposed vessels, the visceral-side branches posterior to the ligaments, and the dissected fascia; deeper levels may reveal the pelvic visceral nerves and the coccygeus muscle fascia.</w:t>
            </w:r>
            <w:r w:rsidRPr="00CB2EC4">
              <w:rPr>
                <w:rFonts w:ascii="Times New Roman" w:hAnsi="Times New Roman" w:cs="Times New Roman"/>
              </w:rPr>
              <w:br/>
              <w:t>Therefore, the formation method is: dissection of the posterior fascia of the transverse cervical ligament and the internal iliac vascular sheath from their native structures to create the space.</w:t>
            </w:r>
          </w:p>
        </w:tc>
        <w:tc>
          <w:tcPr>
            <w:tcW w:w="1152" w:type="dxa"/>
            <w:vAlign w:val="center"/>
          </w:tcPr>
          <w:p w14:paraId="6AD741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F518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C96C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B17FD3E" w14:textId="77777777">
        <w:tc>
          <w:tcPr>
            <w:tcW w:w="2160" w:type="dxa"/>
            <w:vAlign w:val="center"/>
          </w:tcPr>
          <w:p w14:paraId="09097E01"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C339E0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what is the method for forming the cranial chamber of </w:t>
            </w:r>
            <w:r w:rsidRPr="00CB2EC4">
              <w:rPr>
                <w:rFonts w:ascii="Times New Roman" w:hAnsi="Times New Roman" w:cs="Times New Roman"/>
              </w:rPr>
              <w:lastRenderedPageBreak/>
              <w:t>the pararectal space (Latzko pararectal space cranial chamber)?</w:t>
            </w:r>
            <w:r w:rsidRPr="00CB2EC4">
              <w:rPr>
                <w:rFonts w:ascii="Times New Roman" w:hAnsi="Times New Roman" w:cs="Times New Roman"/>
              </w:rPr>
              <w:br/>
            </w:r>
            <w:r w:rsidRPr="00CB2EC4">
              <w:rPr>
                <w:rFonts w:ascii="Times New Roman" w:hAnsi="Times New Roman" w:cs="Times New Roman"/>
              </w:rPr>
              <w:br/>
              <w:t xml:space="preserve">The formation of the cranial chamber of the pararectal space (Latzko pararectal space cranial chamber) is achieved by dissecting the peritoneum behind the frontal connective tissue ground bundle. The specific steps are as follows:  </w:t>
            </w:r>
            <w:r w:rsidRPr="00CB2EC4">
              <w:rPr>
                <w:rFonts w:ascii="Times New Roman" w:hAnsi="Times New Roman" w:cs="Times New Roman"/>
              </w:rPr>
              <w:br/>
              <w:t xml:space="preserve">- During surgery, first incise the peritoneum covering the cranial half of the great sacrostatic foramen (greater sciatic foramen) at the level of the third and fourth sacral vertebrae.  </w:t>
            </w:r>
            <w:r w:rsidRPr="00CB2EC4">
              <w:rPr>
                <w:rFonts w:ascii="Times New Roman" w:hAnsi="Times New Roman" w:cs="Times New Roman"/>
              </w:rPr>
              <w:br/>
              <w:t xml:space="preserve">- Then, incise the peritoneum toward the medial stump of the infundibulopelvic ligament and toward the rectum, taking care to protect the ureter posteriorly.  </w:t>
            </w:r>
            <w:r w:rsidRPr="00CB2EC4">
              <w:rPr>
                <w:rFonts w:ascii="Times New Roman" w:hAnsi="Times New Roman" w:cs="Times New Roman"/>
              </w:rPr>
              <w:br/>
              <w:t xml:space="preserve">- This procedure exposes and opens the cranial chamber of the pararectal space, establishing communication with the lateral vesical space and the caudal chamber of the pararectal space.  </w:t>
            </w:r>
            <w:r w:rsidRPr="00CB2EC4">
              <w:rPr>
                <w:rFonts w:ascii="Times New Roman" w:hAnsi="Times New Roman" w:cs="Times New Roman"/>
              </w:rPr>
              <w:br/>
              <w:t>- Source reference: Document fragment 20 (relevance: 0.6307) explicitly states: "Opening the cranial chamber of the pararectal space: dissect the peritoneum behind the frontal connective tissue ground bundle to open the cranial chamber of the pararectal space." Document fragment 26 (relevance: 0.5402) further details the peritoneal incision.</w:t>
            </w:r>
          </w:p>
        </w:tc>
        <w:tc>
          <w:tcPr>
            <w:tcW w:w="1152" w:type="dxa"/>
            <w:vAlign w:val="center"/>
          </w:tcPr>
          <w:p w14:paraId="7342CF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52DDA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B1CCE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57043CB" w14:textId="77777777">
        <w:tc>
          <w:tcPr>
            <w:tcW w:w="2160" w:type="dxa"/>
            <w:vAlign w:val="center"/>
          </w:tcPr>
          <w:p w14:paraId="325AF72F"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6C9A0BC" w14:textId="77777777" w:rsidR="00922249" w:rsidRPr="00CB2EC4" w:rsidRDefault="003011D5">
            <w:pPr>
              <w:rPr>
                <w:rFonts w:ascii="Times New Roman" w:hAnsi="Times New Roman" w:cs="Times New Roman"/>
              </w:rPr>
            </w:pPr>
            <w:r w:rsidRPr="00CB2EC4">
              <w:rPr>
                <w:rFonts w:ascii="Times New Roman" w:hAnsi="Times New Roman" w:cs="Times New Roman"/>
              </w:rPr>
              <w:t>the formation method of the Latzko rectal lateral space cephalad compartment is as follows:</w:t>
            </w:r>
            <w:r w:rsidRPr="00CB2EC4">
              <w:rPr>
                <w:rFonts w:ascii="Times New Roman" w:hAnsi="Times New Roman" w:cs="Times New Roman"/>
              </w:rPr>
              <w:br/>
            </w:r>
            <w:r w:rsidRPr="00CB2EC4">
              <w:rPr>
                <w:rFonts w:ascii="Times New Roman" w:hAnsi="Times New Roman" w:cs="Times New Roman"/>
              </w:rPr>
              <w:br/>
              <w:t xml:space="preserve">- Dissection of the posterior fascia of the transverse cervical ligament and the internal iliac vascular sheath: Specifically, the posterior fascia of the transverse cervical ligament (which serves as the visceral extension of the internal iliac vascular sheath) </w:t>
            </w:r>
            <w:r w:rsidRPr="00CB2EC4">
              <w:rPr>
                <w:rFonts w:ascii="Times New Roman" w:hAnsi="Times New Roman" w:cs="Times New Roman"/>
              </w:rPr>
              <w:lastRenderedPageBreak/>
              <w:t>is dissected from its anatomical bed. The posterior fascia of the transverse cervical ligament is the visceral fascia covering the posterior aspect of the ligament; after dissection, the underlying structures are exposed.</w:t>
            </w:r>
            <w:r w:rsidRPr="00CB2EC4">
              <w:rPr>
                <w:rFonts w:ascii="Times New Roman" w:hAnsi="Times New Roman" w:cs="Times New Roman"/>
              </w:rPr>
              <w:br/>
              <w:t>- Creation of the space: The gap formed after dissection lies between the posterior fascia of the transverse cervical ligament and the internal iliac vascular sheath, which is defined as the Latzko rectal lateral space cephalad compartment. This compartment allows visualization of the internal iliac artery and vein, uterine artery, deep uterine vein, and other structures.</w:t>
            </w:r>
            <w:r w:rsidRPr="00CB2EC4">
              <w:rPr>
                <w:rFonts w:ascii="Times New Roman" w:hAnsi="Times New Roman" w:cs="Times New Roman"/>
              </w:rPr>
              <w:br/>
            </w:r>
            <w:r w:rsidRPr="00CB2EC4">
              <w:rPr>
                <w:rFonts w:ascii="Times New Roman" w:hAnsi="Times New Roman" w:cs="Times New Roman"/>
              </w:rPr>
              <w:br/>
              <w:t>This method is used intraoperatively to expose the posterior surface of the cardinal ligament to facilitate subsequent procedures. The context is derived from relevant segment 5 (original blocks 99–101) and relevant segment 10 (original blocks 176–178), which explicitly state: “The Latzko rectal lateral space cephalad compartment is an artificially created cavity excavated after the posterior fascia of the transverse cervical ligament and the internal iliac vascular sheath are separately dissected from their anatomical beds.”</w:t>
            </w:r>
            <w:r w:rsidRPr="00CB2EC4">
              <w:rPr>
                <w:rFonts w:ascii="Times New Roman" w:hAnsi="Times New Roman" w:cs="Times New Roman"/>
              </w:rPr>
              <w:br/>
            </w:r>
            <w:r w:rsidRPr="00CB2EC4">
              <w:rPr>
                <w:rFonts w:ascii="Times New Roman" w:hAnsi="Times New Roman" w:cs="Times New Roman"/>
              </w:rPr>
              <w:br/>
              <w:t>Answer: The formation method of the Latzko rectal lateral space cephalad compartment is: by dissecting the posterior fascia of the transverse cervical ligament and the internal iliac vascular sheath, thereby creating an artificial cavity.</w:t>
            </w:r>
          </w:p>
        </w:tc>
        <w:tc>
          <w:tcPr>
            <w:tcW w:w="1152" w:type="dxa"/>
            <w:vAlign w:val="center"/>
          </w:tcPr>
          <w:p w14:paraId="602844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3CF6A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319D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045D2E1" w14:textId="77777777">
        <w:tc>
          <w:tcPr>
            <w:tcW w:w="2160" w:type="dxa"/>
            <w:vAlign w:val="center"/>
          </w:tcPr>
          <w:p w14:paraId="4EE5B89C"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DE807CB" w14:textId="77777777" w:rsidR="00922249" w:rsidRPr="00CB2EC4" w:rsidRDefault="003011D5">
            <w:pPr>
              <w:rPr>
                <w:rFonts w:ascii="Times New Roman" w:hAnsi="Times New Roman" w:cs="Times New Roman"/>
              </w:rPr>
            </w:pPr>
            <w:r w:rsidRPr="00CB2EC4">
              <w:rPr>
                <w:rFonts w:ascii="Times New Roman" w:hAnsi="Times New Roman" w:cs="Times New Roman"/>
              </w:rPr>
              <w:t>What is the method for forming the cranial compartment of the rectal lateral space in the Latzko procedure?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In the Latzko procedure, the formation of the cranial compartment of the rectal lateral space is achieved by dissecting the pararectal space. The specific steps include: incising the peritoneum lateral to the rectal columns to enter the rectal lateral space; then, bluntly dissecting the loose connective tissue of the pararectal space in the cranial direction to expose and separate the middle rectal artery and vein, thereby forming the cranial compartment. This process requires careful avoidance of injury to the ureters and pelvic nerves.</w:t>
            </w:r>
          </w:p>
        </w:tc>
        <w:tc>
          <w:tcPr>
            <w:tcW w:w="1152" w:type="dxa"/>
            <w:vAlign w:val="center"/>
          </w:tcPr>
          <w:p w14:paraId="297FEF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C1DA6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88423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7FEF0F4" w14:textId="77777777">
        <w:tc>
          <w:tcPr>
            <w:tcW w:w="10656" w:type="dxa"/>
            <w:gridSpan w:val="5"/>
            <w:tcBorders>
              <w:bottom w:val="single" w:sz="6" w:space="0" w:color="auto"/>
            </w:tcBorders>
            <w:vAlign w:val="center"/>
          </w:tcPr>
          <w:p w14:paraId="21B7ECAA"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105: In the pelvic suspension system, which ligaments have the properties of longitudinal fascia? What structures do these ligaments connect?</w:t>
            </w:r>
          </w:p>
        </w:tc>
      </w:tr>
      <w:tr w:rsidR="00922249" w:rsidRPr="00CB2EC4" w14:paraId="210448E8" w14:textId="77777777">
        <w:tc>
          <w:tcPr>
            <w:tcW w:w="2160" w:type="dxa"/>
            <w:vAlign w:val="center"/>
          </w:tcPr>
          <w:p w14:paraId="7A6E872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D4393B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pelvic suspension system, ligaments with longitudinal fascial properties include:  </w:t>
            </w:r>
            <w:r w:rsidRPr="00CB2EC4">
              <w:rPr>
                <w:rFonts w:ascii="Times New Roman" w:hAnsi="Times New Roman" w:cs="Times New Roman"/>
              </w:rPr>
              <w:br/>
              <w:t xml:space="preserve">- Pubovesicouterine ligament: Connects the pubic bone to the bladder neck.  </w:t>
            </w:r>
            <w:r w:rsidRPr="00CB2EC4">
              <w:rPr>
                <w:rFonts w:ascii="Times New Roman" w:hAnsi="Times New Roman" w:cs="Times New Roman"/>
              </w:rPr>
              <w:br/>
              <w:t>- Uterosacral ligament: Connects the sacrum to the uterine cervix.</w:t>
            </w:r>
          </w:p>
        </w:tc>
        <w:tc>
          <w:tcPr>
            <w:tcW w:w="1152" w:type="dxa"/>
            <w:vAlign w:val="center"/>
          </w:tcPr>
          <w:p w14:paraId="2486EE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77E83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B91BC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24363FB" w14:textId="77777777">
        <w:tc>
          <w:tcPr>
            <w:tcW w:w="2160" w:type="dxa"/>
            <w:vAlign w:val="center"/>
          </w:tcPr>
          <w:p w14:paraId="3C6DB6B0"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8063F9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pelvic suspension system, ligaments with longitudinal fascial properties include:  </w:t>
            </w:r>
            <w:r w:rsidRPr="00CB2EC4">
              <w:rPr>
                <w:rFonts w:ascii="Times New Roman" w:hAnsi="Times New Roman" w:cs="Times New Roman"/>
              </w:rPr>
              <w:br/>
              <w:t xml:space="preserve">- Pubovesical/urethral ligament: Connects the pubic bone to the vesical fascia  </w:t>
            </w:r>
            <w:r w:rsidRPr="00CB2EC4">
              <w:rPr>
                <w:rFonts w:ascii="Times New Roman" w:hAnsi="Times New Roman" w:cs="Times New Roman"/>
              </w:rPr>
              <w:br/>
              <w:t xml:space="preserve">- Vesicouterine/vaginal ligament: Connects the vesical fascia to the cervical/vaginal fascia  </w:t>
            </w:r>
            <w:r w:rsidRPr="00CB2EC4">
              <w:rPr>
                <w:rFonts w:ascii="Times New Roman" w:hAnsi="Times New Roman" w:cs="Times New Roman"/>
              </w:rPr>
              <w:br/>
              <w:t xml:space="preserve">- Uterosacral ligament and rectouterine ligament: Connect the cervical/vaginal fascia to the rectal fascia  </w:t>
            </w:r>
            <w:r w:rsidRPr="00CB2EC4">
              <w:rPr>
                <w:rFonts w:ascii="Times New Roman" w:hAnsi="Times New Roman" w:cs="Times New Roman"/>
              </w:rPr>
              <w:br/>
              <w:t xml:space="preserve">- Rectococcygeal ligament: Connects the rectal fascia to the sacrum  </w:t>
            </w:r>
            <w:r w:rsidRPr="00CB2EC4">
              <w:rPr>
                <w:rFonts w:ascii="Times New Roman" w:hAnsi="Times New Roman" w:cs="Times New Roman"/>
              </w:rPr>
              <w:br/>
            </w:r>
            <w:r w:rsidRPr="00CB2EC4">
              <w:rPr>
                <w:rFonts w:ascii="Times New Roman" w:hAnsi="Times New Roman" w:cs="Times New Roman"/>
              </w:rPr>
              <w:br/>
              <w:t>This information is derived from the detailed description in Table 14 "Ligaments with Longitudinal Fascial Properties."</w:t>
            </w:r>
          </w:p>
        </w:tc>
        <w:tc>
          <w:tcPr>
            <w:tcW w:w="1152" w:type="dxa"/>
            <w:vAlign w:val="center"/>
          </w:tcPr>
          <w:p w14:paraId="02C1C8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3EC8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9C39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D0530A" w14:textId="77777777">
        <w:tc>
          <w:tcPr>
            <w:tcW w:w="2160" w:type="dxa"/>
            <w:vAlign w:val="center"/>
          </w:tcPr>
          <w:p w14:paraId="5E5F69C0"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D68D53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pelvic suspension system, the ligaments with </w:t>
            </w:r>
            <w:r w:rsidRPr="00CB2EC4">
              <w:rPr>
                <w:rFonts w:ascii="Times New Roman" w:hAnsi="Times New Roman" w:cs="Times New Roman"/>
              </w:rPr>
              <w:lastRenderedPageBreak/>
              <w:t>longitudinal fascial properties include the following, which connect structures from the pubic bone toward the sacrum:</w:t>
            </w:r>
            <w:r w:rsidRPr="00CB2EC4">
              <w:rPr>
                <w:rFonts w:ascii="Times New Roman" w:hAnsi="Times New Roman" w:cs="Times New Roman"/>
              </w:rPr>
              <w:br/>
            </w:r>
            <w:r w:rsidRPr="00CB2EC4">
              <w:rPr>
                <w:rFonts w:ascii="Times New Roman" w:hAnsi="Times New Roman" w:cs="Times New Roman"/>
              </w:rPr>
              <w:br/>
              <w:t>- Pubovesical/urethral ligament: Connects the pubic bone (pubic bone) and the bladder fascia (bladder fascia), fixing the bladder and urethra.</w:t>
            </w:r>
            <w:r w:rsidRPr="00CB2EC4">
              <w:rPr>
                <w:rFonts w:ascii="Times New Roman" w:hAnsi="Times New Roman" w:cs="Times New Roman"/>
              </w:rPr>
              <w:br/>
              <w:t>- Vesicouterine/vaginal ligament: Connects the bladder fascia (bladder fascia) and the cervical/vaginal fascia (cervical/vaginal fascia).</w:t>
            </w:r>
            <w:r w:rsidRPr="00CB2EC4">
              <w:rPr>
                <w:rFonts w:ascii="Times New Roman" w:hAnsi="Times New Roman" w:cs="Times New Roman"/>
              </w:rPr>
              <w:br/>
              <w:t>- Uterosacral ligament and rectouterine ligament: Connect the cervical/vaginal fascia (cervical/vaginal fascia) and the rectal fascia (rectal fascia).</w:t>
            </w:r>
            <w:r w:rsidRPr="00CB2EC4">
              <w:rPr>
                <w:rFonts w:ascii="Times New Roman" w:hAnsi="Times New Roman" w:cs="Times New Roman"/>
              </w:rPr>
              <w:br/>
              <w:t>- Rectococcygeal ligament: Connects the rectal fascia (rectal fascia) and the sacrum (sacrum).</w:t>
            </w:r>
            <w:r w:rsidRPr="00CB2EC4">
              <w:rPr>
                <w:rFonts w:ascii="Times New Roman" w:hAnsi="Times New Roman" w:cs="Times New Roman"/>
              </w:rPr>
              <w:br/>
            </w:r>
            <w:r w:rsidRPr="00CB2EC4">
              <w:rPr>
                <w:rFonts w:ascii="Times New Roman" w:hAnsi="Times New Roman" w:cs="Times New Roman"/>
              </w:rPr>
              <w:br/>
              <w:t>Supporting evidence:</w:t>
            </w:r>
            <w:r w:rsidRPr="00CB2EC4">
              <w:rPr>
                <w:rFonts w:ascii="Times New Roman" w:hAnsi="Times New Roman" w:cs="Times New Roman"/>
              </w:rPr>
              <w:br/>
              <w:t>- Document fragment 1 explicitly lists: "The suspension system... includes the pubovesical/urethral ligament, vesicouterine ligament, uterosacral ligament, rectouterine ligament, rectococcygeal ligament, etc." It further specifies: "Table 14 Ligaments with longitudinal fascial properties: ligament connecting pubic bone and bladder fascia—pubovesical (urethral) ligament; ligament connecting bladder fascia and cervical/vaginal fascia—vesicouterine/vaginal ligament; ligament connecting cervical/vaginal fascia and rectal fascia—uterosacral ligament, rectouterine ligament; ligament connecting rectal fascia and sacrum—rectococcygeal ligament."</w:t>
            </w:r>
            <w:r w:rsidRPr="00CB2EC4">
              <w:rPr>
                <w:rFonts w:ascii="Times New Roman" w:hAnsi="Times New Roman" w:cs="Times New Roman"/>
              </w:rPr>
              <w:br/>
              <w:t xml:space="preserve">- Document fragment 4 adds: "The group of ligaments that run longitudinally from the pubic bone toward the sacrum, attaching to the outer membrane of the viscera, is called longitudinal connective tissue... The </w:t>
            </w:r>
            <w:r w:rsidRPr="00CB2EC4">
              <w:rPr>
                <w:rFonts w:ascii="Times New Roman" w:hAnsi="Times New Roman" w:cs="Times New Roman"/>
              </w:rPr>
              <w:lastRenderedPageBreak/>
              <w:t>pubourethral/pubovesical ligament runs from the internal urethral orifice to the bladder apex, fixing the bladder and urethra to the pubic bone."</w:t>
            </w:r>
            <w:r w:rsidRPr="00CB2EC4">
              <w:rPr>
                <w:rFonts w:ascii="Times New Roman" w:hAnsi="Times New Roman" w:cs="Times New Roman"/>
              </w:rPr>
              <w:br/>
              <w:t>- Document fragment 45 lists in the suspension system section: "4.2.1.1 Pubourethral/pubovesical ligament... 4.2.1.2 Vesicouterine/vaginal ligament... 4.2.1.3 Uterosacral ligament and rectouterine/vaginal ligament... 4.2.1.4 Rectococcygeal ligament," consistent with fragment 1.</w:t>
            </w:r>
            <w:r w:rsidRPr="00CB2EC4">
              <w:rPr>
                <w:rFonts w:ascii="Times New Roman" w:hAnsi="Times New Roman" w:cs="Times New Roman"/>
              </w:rPr>
              <w:br/>
            </w:r>
            <w:r w:rsidRPr="00CB2EC4">
              <w:rPr>
                <w:rFonts w:ascii="Times New Roman" w:hAnsi="Times New Roman" w:cs="Times New Roman"/>
              </w:rPr>
              <w:br/>
              <w:t>Therefore, these ligaments collectively form the longitudinal suspension system, fixing pelvic viscera from the pubic bone toward the sacrum.</w:t>
            </w:r>
          </w:p>
        </w:tc>
        <w:tc>
          <w:tcPr>
            <w:tcW w:w="1152" w:type="dxa"/>
            <w:vAlign w:val="center"/>
          </w:tcPr>
          <w:p w14:paraId="09C8C9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6F336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7197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E35BEC" w14:textId="77777777">
        <w:tc>
          <w:tcPr>
            <w:tcW w:w="2160" w:type="dxa"/>
            <w:vAlign w:val="center"/>
          </w:tcPr>
          <w:p w14:paraId="760E9DD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29CA410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pelvic suspension system, the ligaments with longitudinal fascial properties include (Table 14 and Figure 34):  </w:t>
            </w:r>
            <w:r w:rsidRPr="00CB2EC4">
              <w:rPr>
                <w:rFonts w:ascii="Times New Roman" w:hAnsi="Times New Roman" w:cs="Times New Roman"/>
              </w:rPr>
              <w:br/>
              <w:t xml:space="preserve">1. Pubovesical/Pubourethral ligament:  </w:t>
            </w:r>
            <w:r w:rsidRPr="00CB2EC4">
              <w:rPr>
                <w:rFonts w:ascii="Times New Roman" w:hAnsi="Times New Roman" w:cs="Times New Roman"/>
              </w:rPr>
              <w:br/>
              <w:t xml:space="preserve">   - Connects the pubic bone to the bladder/urethral fascia.  </w:t>
            </w:r>
            <w:r w:rsidRPr="00CB2EC4">
              <w:rPr>
                <w:rFonts w:ascii="Times New Roman" w:hAnsi="Times New Roman" w:cs="Times New Roman"/>
              </w:rPr>
              <w:br/>
              <w:t xml:space="preserve">2. Vesicouterine/Vaginovesical ligament:  </w:t>
            </w:r>
            <w:r w:rsidRPr="00CB2EC4">
              <w:rPr>
                <w:rFonts w:ascii="Times New Roman" w:hAnsi="Times New Roman" w:cs="Times New Roman"/>
              </w:rPr>
              <w:br/>
              <w:t xml:space="preserve">   - Connects the bladder fascia to the cervical/vaginal fascia.  </w:t>
            </w:r>
            <w:r w:rsidRPr="00CB2EC4">
              <w:rPr>
                <w:rFonts w:ascii="Times New Roman" w:hAnsi="Times New Roman" w:cs="Times New Roman"/>
              </w:rPr>
              <w:br/>
              <w:t xml:space="preserve">3. Uterosacral ligament and Rectouterine ligament:  </w:t>
            </w:r>
            <w:r w:rsidRPr="00CB2EC4">
              <w:rPr>
                <w:rFonts w:ascii="Times New Roman" w:hAnsi="Times New Roman" w:cs="Times New Roman"/>
              </w:rPr>
              <w:br/>
              <w:t xml:space="preserve">   - Connect the cervical/vaginal fascia to the rectal fascia.  </w:t>
            </w:r>
            <w:r w:rsidRPr="00CB2EC4">
              <w:rPr>
                <w:rFonts w:ascii="Times New Roman" w:hAnsi="Times New Roman" w:cs="Times New Roman"/>
              </w:rPr>
              <w:br/>
              <w:t xml:space="preserve">4. Rectococcygeal ligament:  </w:t>
            </w:r>
            <w:r w:rsidRPr="00CB2EC4">
              <w:rPr>
                <w:rFonts w:ascii="Times New Roman" w:hAnsi="Times New Roman" w:cs="Times New Roman"/>
              </w:rPr>
              <w:br/>
              <w:t xml:space="preserve">   - Connects the rectal fascia to the sacrum.  </w:t>
            </w:r>
            <w:r w:rsidRPr="00CB2EC4">
              <w:rPr>
                <w:rFonts w:ascii="Times New Roman" w:hAnsi="Times New Roman" w:cs="Times New Roman"/>
              </w:rPr>
              <w:br/>
              <w:t xml:space="preserve">- Function:  </w:t>
            </w:r>
            <w:r w:rsidRPr="00CB2EC4">
              <w:rPr>
                <w:rFonts w:ascii="Times New Roman" w:hAnsi="Times New Roman" w:cs="Times New Roman"/>
              </w:rPr>
              <w:br/>
              <w:t xml:space="preserve">  - These ligaments form a longitudinal chain that suspends pelvic viscera from the pubis toward the sacrum (Figure 34).  </w:t>
            </w:r>
            <w:r w:rsidRPr="00CB2EC4">
              <w:rPr>
                <w:rFonts w:ascii="Times New Roman" w:hAnsi="Times New Roman" w:cs="Times New Roman"/>
              </w:rPr>
              <w:br/>
              <w:t xml:space="preserve">- Basis:  </w:t>
            </w:r>
            <w:r w:rsidRPr="00CB2EC4">
              <w:rPr>
                <w:rFonts w:ascii="Times New Roman" w:hAnsi="Times New Roman" w:cs="Times New Roman"/>
              </w:rPr>
              <w:br/>
              <w:t xml:space="preserve">  - Knowledge base document (Table 14 and "Suspension System" section) systematically classifies </w:t>
            </w:r>
            <w:r w:rsidRPr="00CB2EC4">
              <w:rPr>
                <w:rFonts w:ascii="Times New Roman" w:hAnsi="Times New Roman" w:cs="Times New Roman"/>
              </w:rPr>
              <w:lastRenderedPageBreak/>
              <w:t xml:space="preserve">ligaments and their connected structures.  </w:t>
            </w:r>
            <w:r w:rsidRPr="00CB2EC4">
              <w:rPr>
                <w:rFonts w:ascii="Times New Roman" w:hAnsi="Times New Roman" w:cs="Times New Roman"/>
              </w:rPr>
              <w:br/>
              <w:t xml:space="preserve">  - Web search mentions "uterosacral ligament is part of the suspension system" but does not provide detailed classification; core information derives from the knowledge base.  </w:t>
            </w:r>
            <w:r w:rsidRPr="00CB2EC4">
              <w:rPr>
                <w:rFonts w:ascii="Times New Roman" w:hAnsi="Times New Roman" w:cs="Times New Roman"/>
              </w:rPr>
              <w:br/>
            </w:r>
            <w:r w:rsidRPr="00CB2EC4">
              <w:rPr>
                <w:rFonts w:ascii="Times New Roman" w:hAnsi="Times New Roman" w:cs="Times New Roman"/>
              </w:rPr>
              <w:br/>
              <w:t xml:space="preserve">Key Explanations:  </w:t>
            </w:r>
            <w:r w:rsidRPr="00CB2EC4">
              <w:rPr>
                <w:rFonts w:ascii="Times New Roman" w:hAnsi="Times New Roman" w:cs="Times New Roman"/>
              </w:rPr>
              <w:br/>
              <w:t xml:space="preserve">1. Information Source:  </w:t>
            </w:r>
            <w:r w:rsidRPr="00CB2EC4">
              <w:rPr>
                <w:rFonts w:ascii="Times New Roman" w:hAnsi="Times New Roman" w:cs="Times New Roman"/>
              </w:rPr>
              <w:br/>
              <w:t xml:space="preserve">   - All answers are based primarily on the knowledge base document (specific chapters/figures cited).  </w:t>
            </w:r>
            <w:r w:rsidRPr="00CB2EC4">
              <w:rPr>
                <w:rFonts w:ascii="Times New Roman" w:hAnsi="Times New Roman" w:cs="Times New Roman"/>
              </w:rPr>
              <w:br/>
              <w:t xml:space="preserve">   - Web search results are used only for terminological consistency verification (e.g., Latzko space) and provide no contradictory or supplementary information.  </w:t>
            </w:r>
            <w:r w:rsidRPr="00CB2EC4">
              <w:rPr>
                <w:rFonts w:ascii="Times New Roman" w:hAnsi="Times New Roman" w:cs="Times New Roman"/>
              </w:rPr>
              <w:br/>
              <w:t xml:space="preserve">2. Contradiction Handling:  </w:t>
            </w:r>
            <w:r w:rsidRPr="00CB2EC4">
              <w:rPr>
                <w:rFonts w:ascii="Times New Roman" w:hAnsi="Times New Roman" w:cs="Times New Roman"/>
              </w:rPr>
              <w:br/>
              <w:t xml:space="preserve">   - The knowledge base emphasizes "cardinal ligament = transverse cervical ligament + rectal lateral ligament," while web search notes "anatomical controversy regarding the cardinal ligament"; no direct conflict exists (knowledge base offers greater detail).  </w:t>
            </w:r>
            <w:r w:rsidRPr="00CB2EC4">
              <w:rPr>
                <w:rFonts w:ascii="Times New Roman" w:hAnsi="Times New Roman" w:cs="Times New Roman"/>
              </w:rPr>
              <w:br/>
              <w:t xml:space="preserve">3. Professionalism:  </w:t>
            </w:r>
            <w:r w:rsidRPr="00CB2EC4">
              <w:rPr>
                <w:rFonts w:ascii="Times New Roman" w:hAnsi="Times New Roman" w:cs="Times New Roman"/>
              </w:rPr>
              <w:br/>
              <w:t xml:space="preserve">   - Responses strictly adhere to anatomical terminology (e.g., "fascia above levator ani," "visceral fascia") and surgical procedural descriptions, avoiding non-professional expressions.  </w:t>
            </w:r>
            <w:r w:rsidRPr="00CB2EC4">
              <w:rPr>
                <w:rFonts w:ascii="Times New Roman" w:hAnsi="Times New Roman" w:cs="Times New Roman"/>
              </w:rPr>
              <w:br/>
            </w:r>
            <w:r w:rsidRPr="00CB2EC4">
              <w:rPr>
                <w:rFonts w:ascii="Times New Roman" w:hAnsi="Times New Roman" w:cs="Times New Roman"/>
              </w:rPr>
              <w:br/>
              <w:t>Further anatomical details or surgical illustrations may be provided upon request.</w:t>
            </w:r>
          </w:p>
        </w:tc>
        <w:tc>
          <w:tcPr>
            <w:tcW w:w="1152" w:type="dxa"/>
            <w:vAlign w:val="center"/>
          </w:tcPr>
          <w:p w14:paraId="4F2CC5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3B35F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5863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251A18" w14:textId="77777777">
        <w:tc>
          <w:tcPr>
            <w:tcW w:w="2160" w:type="dxa"/>
            <w:vAlign w:val="center"/>
          </w:tcPr>
          <w:p w14:paraId="6D4A3AE2"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3C1DB40" w14:textId="77777777" w:rsidR="00922249" w:rsidRPr="00CB2EC4" w:rsidRDefault="003011D5">
            <w:pPr>
              <w:rPr>
                <w:rFonts w:ascii="Times New Roman" w:hAnsi="Times New Roman" w:cs="Times New Roman"/>
              </w:rPr>
            </w:pPr>
            <w:r w:rsidRPr="00CB2EC4">
              <w:rPr>
                <w:rFonts w:ascii="Times New Roman" w:hAnsi="Times New Roman" w:cs="Times New Roman"/>
              </w:rPr>
              <w:t>In the pelvic suspensory system, the ligaments with longitudinal fascial properties include the following, along with the structures they connect:</w:t>
            </w:r>
            <w:r w:rsidRPr="00CB2EC4">
              <w:rPr>
                <w:rFonts w:ascii="Times New Roman" w:hAnsi="Times New Roman" w:cs="Times New Roman"/>
              </w:rPr>
              <w:br/>
            </w:r>
            <w:r w:rsidRPr="00CB2EC4">
              <w:rPr>
                <w:rFonts w:ascii="Times New Roman" w:hAnsi="Times New Roman" w:cs="Times New Roman"/>
              </w:rPr>
              <w:br/>
              <w:t xml:space="preserve">- Pubovesical/urethral ligament: connects the pubis to </w:t>
            </w:r>
            <w:r w:rsidRPr="00CB2EC4">
              <w:rPr>
                <w:rFonts w:ascii="Times New Roman" w:hAnsi="Times New Roman" w:cs="Times New Roman"/>
              </w:rPr>
              <w:lastRenderedPageBreak/>
              <w:t xml:space="preserve">the fascia of the bladder.  </w:t>
            </w:r>
            <w:r w:rsidRPr="00CB2EC4">
              <w:rPr>
                <w:rFonts w:ascii="Times New Roman" w:hAnsi="Times New Roman" w:cs="Times New Roman"/>
              </w:rPr>
              <w:br/>
              <w:t xml:space="preserve">- Vesicouterine/vaginal ligament: connects the fascia of the bladder to the fascia of the cervix/vagina.  </w:t>
            </w:r>
            <w:r w:rsidRPr="00CB2EC4">
              <w:rPr>
                <w:rFonts w:ascii="Times New Roman" w:hAnsi="Times New Roman" w:cs="Times New Roman"/>
              </w:rPr>
              <w:br/>
              <w:t xml:space="preserve">- Uterosacral ligament and rectouterine ligament: connect the fascia of the cervix/vagina to the fascia of the rectum.  </w:t>
            </w:r>
            <w:r w:rsidRPr="00CB2EC4">
              <w:rPr>
                <w:rFonts w:ascii="Times New Roman" w:hAnsi="Times New Roman" w:cs="Times New Roman"/>
              </w:rPr>
              <w:br/>
              <w:t xml:space="preserve">- Rectococcygeal ligament: connects the fascia of the rectum to the sacrum.  </w:t>
            </w:r>
            <w:r w:rsidRPr="00CB2EC4">
              <w:rPr>
                <w:rFonts w:ascii="Times New Roman" w:hAnsi="Times New Roman" w:cs="Times New Roman"/>
              </w:rPr>
              <w:br/>
            </w:r>
            <w:r w:rsidRPr="00CB2EC4">
              <w:rPr>
                <w:rFonts w:ascii="Times New Roman" w:hAnsi="Times New Roman" w:cs="Times New Roman"/>
              </w:rPr>
              <w:br/>
              <w:t>(Note: Table 14 in Document Fragment 6 is titled "Ligaments with Longitudinal Fascial Properties" and details these ligaments and their connections. Fragment 27 also states that the suspensory system comprises these longitudinal ligaments, serving to connect organ nodes longitudinally from the pubis toward the sacrum.)</w:t>
            </w:r>
          </w:p>
        </w:tc>
        <w:tc>
          <w:tcPr>
            <w:tcW w:w="1152" w:type="dxa"/>
            <w:vAlign w:val="center"/>
          </w:tcPr>
          <w:p w14:paraId="4F04F6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7154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C6A7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F3CB0D" w14:textId="77777777">
        <w:tc>
          <w:tcPr>
            <w:tcW w:w="2160" w:type="dxa"/>
            <w:vAlign w:val="center"/>
          </w:tcPr>
          <w:p w14:paraId="0C66F33F"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48E7A45" w14:textId="77777777" w:rsidR="00922249" w:rsidRPr="00CB2EC4" w:rsidRDefault="003011D5">
            <w:pPr>
              <w:rPr>
                <w:rFonts w:ascii="Times New Roman" w:hAnsi="Times New Roman" w:cs="Times New Roman"/>
              </w:rPr>
            </w:pPr>
            <w:r w:rsidRPr="00CB2EC4">
              <w:rPr>
                <w:rFonts w:ascii="Times New Roman" w:hAnsi="Times New Roman" w:cs="Times New Roman"/>
              </w:rPr>
              <w:t>in the pelvic suspensory system, the ligaments with longitudinal fascial properties belong to the "suspensory system" and are detailed in Table 14 of Document 17 and Document 22 as follows:</w:t>
            </w:r>
            <w:r w:rsidRPr="00CB2EC4">
              <w:rPr>
                <w:rFonts w:ascii="Times New Roman" w:hAnsi="Times New Roman" w:cs="Times New Roman"/>
              </w:rPr>
              <w:br/>
            </w:r>
            <w:r w:rsidRPr="00CB2EC4">
              <w:rPr>
                <w:rFonts w:ascii="Times New Roman" w:hAnsi="Times New Roman" w:cs="Times New Roman"/>
              </w:rPr>
              <w:br/>
              <w:t>- List of longitudinal ligaments and their connected structures:</w:t>
            </w:r>
            <w:r w:rsidRPr="00CB2EC4">
              <w:rPr>
                <w:rFonts w:ascii="Times New Roman" w:hAnsi="Times New Roman" w:cs="Times New Roman"/>
              </w:rPr>
              <w:br/>
              <w:t xml:space="preserve">  - Pubovesical/urethral ligament: connects the pubic bone and bladder fascia, providing anterior support.</w:t>
            </w:r>
            <w:r w:rsidRPr="00CB2EC4">
              <w:rPr>
                <w:rFonts w:ascii="Times New Roman" w:hAnsi="Times New Roman" w:cs="Times New Roman"/>
              </w:rPr>
              <w:br/>
              <w:t xml:space="preserve">  - Vesicouterine/vaginal ligament: connects the bladder fascia and cervical/vaginal fascia, located between the bladder and uterus/vagina.</w:t>
            </w:r>
            <w:r w:rsidRPr="00CB2EC4">
              <w:rPr>
                <w:rFonts w:ascii="Times New Roman" w:hAnsi="Times New Roman" w:cs="Times New Roman"/>
              </w:rPr>
              <w:br/>
              <w:t xml:space="preserve">  - Uterosacral ligament and rectouterine ligament: connect the cervical/vaginal fascia and rectal fascia, involving the dorsal connection between uterus/vagina and rectum. Document 17 specifies: "ligaments connecting cervical/vaginal fascia and rectal fascia: uterosacral ligament, rectouterine ligament".</w:t>
            </w:r>
            <w:r w:rsidRPr="00CB2EC4">
              <w:rPr>
                <w:rFonts w:ascii="Times New Roman" w:hAnsi="Times New Roman" w:cs="Times New Roman"/>
              </w:rPr>
              <w:br/>
            </w:r>
            <w:r w:rsidRPr="00CB2EC4">
              <w:rPr>
                <w:rFonts w:ascii="Times New Roman" w:hAnsi="Times New Roman" w:cs="Times New Roman"/>
              </w:rPr>
              <w:lastRenderedPageBreak/>
              <w:t xml:space="preserve">  - Rectococcygeal ligament: connects the rectal fascia and sacrum, providing posterior fixation.</w:t>
            </w:r>
            <w:r w:rsidRPr="00CB2EC4">
              <w:rPr>
                <w:rFonts w:ascii="Times New Roman" w:hAnsi="Times New Roman" w:cs="Times New Roman"/>
              </w:rPr>
              <w:br/>
            </w:r>
            <w:r w:rsidRPr="00CB2EC4">
              <w:rPr>
                <w:rFonts w:ascii="Times New Roman" w:hAnsi="Times New Roman" w:cs="Times New Roman"/>
              </w:rPr>
              <w:br/>
              <w:t>- System background: these ligaments connect organs longitudinally (from the pubic bone toward the sacrum), forming the "suspensory system", which complements the transverse "support system" (e.g., transverse cervical ligament). Table 14 in Document 17 summarizes this structure and emphasizes its role in maintaining pelvic organ position. No other ligaments are provided in the context; therefore, this list is complete.</w:t>
            </w:r>
          </w:p>
        </w:tc>
        <w:tc>
          <w:tcPr>
            <w:tcW w:w="1152" w:type="dxa"/>
            <w:vAlign w:val="center"/>
          </w:tcPr>
          <w:p w14:paraId="48F5A6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309D2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CF54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862863" w14:textId="77777777">
        <w:tc>
          <w:tcPr>
            <w:tcW w:w="2160" w:type="dxa"/>
            <w:vAlign w:val="center"/>
          </w:tcPr>
          <w:p w14:paraId="69C1A8A2"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56F32E1" w14:textId="77777777" w:rsidR="00922249" w:rsidRPr="00CB2EC4" w:rsidRDefault="003011D5">
            <w:pPr>
              <w:rPr>
                <w:rFonts w:ascii="Times New Roman" w:hAnsi="Times New Roman" w:cs="Times New Roman"/>
              </w:rPr>
            </w:pPr>
            <w:r w:rsidRPr="00CB2EC4">
              <w:rPr>
                <w:rFonts w:ascii="Times New Roman" w:hAnsi="Times New Roman" w:cs="Times New Roman"/>
              </w:rPr>
              <w:t>in the pelvic suspension system, the ligaments with longitudinal fascial properties mainly include the superior vesical pillar, vaginal pillar, and inferior rectal pillar. these ligaments are described as longitudinal structures that connect pelvic organs to the pelvic wall. the specific connected structures are as follows:</w:t>
            </w:r>
            <w:r w:rsidRPr="00CB2EC4">
              <w:rPr>
                <w:rFonts w:ascii="Times New Roman" w:hAnsi="Times New Roman" w:cs="Times New Roman"/>
              </w:rPr>
              <w:br/>
              <w:t>- superior vesical pillar: connects the bladder to the lateral pelvic wall, sometimes also referred to as the vesical pillar or vesicovaginal ligament. it is mentioned in a segment with a similarity score of 0.543: "on the visceral side, the superior vesical pillar, vaginal pillar, and inferior rectal pillar are distinguished."</w:t>
            </w:r>
            <w:r w:rsidRPr="00CB2EC4">
              <w:rPr>
                <w:rFonts w:ascii="Times New Roman" w:hAnsi="Times New Roman" w:cs="Times New Roman"/>
              </w:rPr>
              <w:br/>
              <w:t xml:space="preserve">- vaginal pillar: connects the vagina to the lateral pelvic wall, forming part of the paravaginal connective tissue. a document segment (similarity 0.498) cites Morrow (1997): "the paravaginal tissue, anteriorly is the vesical pillar (vesicovaginal ligament), posteriorly is the main ligament (core part), and further posterior is the rectal pillar (rectovaginal ligament)," indicating that the vaginal pillar is a key </w:t>
            </w:r>
            <w:r w:rsidRPr="00CB2EC4">
              <w:rPr>
                <w:rFonts w:ascii="Times New Roman" w:hAnsi="Times New Roman" w:cs="Times New Roman"/>
              </w:rPr>
              <w:lastRenderedPageBreak/>
              <w:t>component of longitudinal support.</w:t>
            </w:r>
            <w:r w:rsidRPr="00CB2EC4">
              <w:rPr>
                <w:rFonts w:ascii="Times New Roman" w:hAnsi="Times New Roman" w:cs="Times New Roman"/>
              </w:rPr>
              <w:br/>
              <w:t>- inferior rectal pillar: connects the rectum to the lateral pelvic wall, also known as the rectal pillar or rectovaginal ligament. the segment with similarity 0.543 explains that these pillar-like structures are longitudinal fascial bundles identified during surgical dissection.</w:t>
            </w:r>
            <w:r w:rsidRPr="00CB2EC4">
              <w:rPr>
                <w:rFonts w:ascii="Times New Roman" w:hAnsi="Times New Roman" w:cs="Times New Roman"/>
              </w:rPr>
              <w:br/>
            </w:r>
            <w:r w:rsidRPr="00CB2EC4">
              <w:rPr>
                <w:rFonts w:ascii="Times New Roman" w:hAnsi="Times New Roman" w:cs="Times New Roman"/>
              </w:rPr>
              <w:br/>
              <w:t>these ligaments together constitute part of the pelvic suspension system, providing longitudinal support to the bladder, vagina, and rectum. the document emphasizes that distinctions exist between these structures in pure anatomy versus surgical anatomy, and they must be identified and managed based on cleavage planes during surgery.</w:t>
            </w:r>
          </w:p>
        </w:tc>
        <w:tc>
          <w:tcPr>
            <w:tcW w:w="1152" w:type="dxa"/>
            <w:vAlign w:val="center"/>
          </w:tcPr>
          <w:p w14:paraId="55FFCE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19D6D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F90EA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E3D2723" w14:textId="77777777">
        <w:tc>
          <w:tcPr>
            <w:tcW w:w="2160" w:type="dxa"/>
            <w:vAlign w:val="center"/>
          </w:tcPr>
          <w:p w14:paraId="56C82825"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7B8E68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pelvic suspensory system, the ligaments with longitudinal fascial properties include the following, connecting these specific structures:  </w:t>
            </w:r>
            <w:r w:rsidRPr="00CB2EC4">
              <w:rPr>
                <w:rFonts w:ascii="Times New Roman" w:hAnsi="Times New Roman" w:cs="Times New Roman"/>
              </w:rPr>
              <w:br/>
              <w:t xml:space="preserve">- Pubovesical/urethral ligament: connects the pubic bone and the fascia of the bladder/urethra.  </w:t>
            </w:r>
            <w:r w:rsidRPr="00CB2EC4">
              <w:rPr>
                <w:rFonts w:ascii="Times New Roman" w:hAnsi="Times New Roman" w:cs="Times New Roman"/>
              </w:rPr>
              <w:br/>
              <w:t xml:space="preserve">- Vesicouterine/vaginal ligament: connects the fascia of the bladder and the fascia of the cervix/vagina.  </w:t>
            </w:r>
            <w:r w:rsidRPr="00CB2EC4">
              <w:rPr>
                <w:rFonts w:ascii="Times New Roman" w:hAnsi="Times New Roman" w:cs="Times New Roman"/>
              </w:rPr>
              <w:br/>
              <w:t xml:space="preserve">- Uterosacral ligament and rectouterine ligament: connect the fascia of the cervix/vagina and the fascia of the rectum.  </w:t>
            </w:r>
            <w:r w:rsidRPr="00CB2EC4">
              <w:rPr>
                <w:rFonts w:ascii="Times New Roman" w:hAnsi="Times New Roman" w:cs="Times New Roman"/>
              </w:rPr>
              <w:br/>
              <w:t xml:space="preserve">- Rectococcygeal ligament: connects the fascia of the rectum and the sacrum.  </w:t>
            </w:r>
            <w:r w:rsidRPr="00CB2EC4">
              <w:rPr>
                <w:rFonts w:ascii="Times New Roman" w:hAnsi="Times New Roman" w:cs="Times New Roman"/>
              </w:rPr>
              <w:br/>
            </w:r>
            <w:r w:rsidRPr="00CB2EC4">
              <w:rPr>
                <w:rFonts w:ascii="Times New Roman" w:hAnsi="Times New Roman" w:cs="Times New Roman"/>
              </w:rPr>
              <w:br/>
              <w:t xml:space="preserve">As detailed in Table 14 of document fragments 18 and 24:  </w:t>
            </w:r>
            <w:r w:rsidRPr="00CB2EC4">
              <w:rPr>
                <w:rFonts w:ascii="Times New Roman" w:hAnsi="Times New Roman" w:cs="Times New Roman"/>
              </w:rPr>
              <w:br/>
              <w:t xml:space="preserve">"Ligament connecting pubic bone and bladder fascia | Pubovesical (urethral) ligament"  </w:t>
            </w:r>
            <w:r w:rsidRPr="00CB2EC4">
              <w:rPr>
                <w:rFonts w:ascii="Times New Roman" w:hAnsi="Times New Roman" w:cs="Times New Roman"/>
              </w:rPr>
              <w:br/>
              <w:t xml:space="preserve">"Ligament connecting bladder fascia and cervix/vaginal fascia | Vesicouterine/vaginal </w:t>
            </w:r>
            <w:r w:rsidRPr="00CB2EC4">
              <w:rPr>
                <w:rFonts w:ascii="Times New Roman" w:hAnsi="Times New Roman" w:cs="Times New Roman"/>
              </w:rPr>
              <w:lastRenderedPageBreak/>
              <w:t xml:space="preserve">ligament"  </w:t>
            </w:r>
            <w:r w:rsidRPr="00CB2EC4">
              <w:rPr>
                <w:rFonts w:ascii="Times New Roman" w:hAnsi="Times New Roman" w:cs="Times New Roman"/>
              </w:rPr>
              <w:br/>
              <w:t xml:space="preserve">"Ligament connecting cervix/vaginal fascia and rectal fascia | Uterosacral ligament, rectouterine ligament"  </w:t>
            </w:r>
            <w:r w:rsidRPr="00CB2EC4">
              <w:rPr>
                <w:rFonts w:ascii="Times New Roman" w:hAnsi="Times New Roman" w:cs="Times New Roman"/>
              </w:rPr>
              <w:br/>
              <w:t xml:space="preserve">"Ligament connecting rectal fascia and sacrum | Rectococcygeal ligament"  </w:t>
            </w:r>
            <w:r w:rsidRPr="00CB2EC4">
              <w:rPr>
                <w:rFonts w:ascii="Times New Roman" w:hAnsi="Times New Roman" w:cs="Times New Roman"/>
              </w:rPr>
              <w:br/>
              <w:t>These ligaments collectively form longitudinal support to maintain the position of pelvic organs.</w:t>
            </w:r>
          </w:p>
        </w:tc>
        <w:tc>
          <w:tcPr>
            <w:tcW w:w="1152" w:type="dxa"/>
            <w:vAlign w:val="center"/>
          </w:tcPr>
          <w:p w14:paraId="6B7100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92BC8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ADEB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80177B" w14:textId="77777777">
        <w:tc>
          <w:tcPr>
            <w:tcW w:w="2160" w:type="dxa"/>
            <w:vAlign w:val="center"/>
          </w:tcPr>
          <w:p w14:paraId="6B1364F8"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2157694" w14:textId="77777777" w:rsidR="00922249" w:rsidRPr="00CB2EC4" w:rsidRDefault="003011D5">
            <w:pPr>
              <w:rPr>
                <w:rFonts w:ascii="Times New Roman" w:hAnsi="Times New Roman" w:cs="Times New Roman"/>
              </w:rPr>
            </w:pPr>
            <w:r w:rsidRPr="00CB2EC4">
              <w:rPr>
                <w:rFonts w:ascii="Times New Roman" w:hAnsi="Times New Roman" w:cs="Times New Roman"/>
              </w:rPr>
              <w:t>in the pelvic suspension system, the ligaments with longitudinal fascial properties include the following four, and their connected structures are as follows (based on the description in Table 14):</w:t>
            </w:r>
            <w:r w:rsidRPr="00CB2EC4">
              <w:rPr>
                <w:rFonts w:ascii="Times New Roman" w:hAnsi="Times New Roman" w:cs="Times New Roman"/>
              </w:rPr>
              <w:br/>
              <w:t>- Pubovesical (urethral) ligament: connects the pubic bone and the bladder fascia.</w:t>
            </w:r>
            <w:r w:rsidRPr="00CB2EC4">
              <w:rPr>
                <w:rFonts w:ascii="Times New Roman" w:hAnsi="Times New Roman" w:cs="Times New Roman"/>
              </w:rPr>
              <w:br/>
              <w:t>- Vesicouterine/vaginal ligament: connects the bladder fascia and the uterine cervix/vaginal fascia.</w:t>
            </w:r>
            <w:r w:rsidRPr="00CB2EC4">
              <w:rPr>
                <w:rFonts w:ascii="Times New Roman" w:hAnsi="Times New Roman" w:cs="Times New Roman"/>
              </w:rPr>
              <w:br/>
              <w:t>- Uterosacral ligament and rectouterine ligament: connect the uterine cervix/vaginal fascia and the rectal fascia.</w:t>
            </w:r>
            <w:r w:rsidRPr="00CB2EC4">
              <w:rPr>
                <w:rFonts w:ascii="Times New Roman" w:hAnsi="Times New Roman" w:cs="Times New Roman"/>
              </w:rPr>
              <w:br/>
              <w:t>- Rectococcygeal ligament: connects the rectal fascia and the sacrum.</w:t>
            </w:r>
            <w:r w:rsidRPr="00CB2EC4">
              <w:rPr>
                <w:rFonts w:ascii="Times New Roman" w:hAnsi="Times New Roman" w:cs="Times New Roman"/>
              </w:rPr>
              <w:br/>
            </w:r>
            <w:r w:rsidRPr="00CB2EC4">
              <w:rPr>
                <w:rFonts w:ascii="Times New Roman" w:hAnsi="Times New Roman" w:cs="Times New Roman"/>
              </w:rPr>
              <w:br/>
              <w:t>The document explicitly states: "The suspension system longitudinally connects organs from the pubic bone toward the sacrum through several points. This system includes the pubovesical/urethral ligament, vesicouterine ligament, uterosacral ligament, rectouterine ligament, rectococcygeal ligament, etc.," and details the connections (refer to Table 14).</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6C72E8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5237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33CE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ECC639" w14:textId="77777777">
        <w:tc>
          <w:tcPr>
            <w:tcW w:w="2160" w:type="dxa"/>
            <w:vAlign w:val="center"/>
          </w:tcPr>
          <w:p w14:paraId="531199C8"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5456E2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pelvic suspension system, the ligaments with longitudinal fascial properties include: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**Pubo-urethral/vesical ligament**: Connects from the inferior margin of the pubic symphysis to fix the bladder and urethra to the pubis. It overlaps the arcus tendineus fasciae pelvis and is functionally related to urinary continence.  </w:t>
            </w:r>
            <w:r w:rsidRPr="00CB2EC4">
              <w:rPr>
                <w:rFonts w:ascii="Times New Roman" w:hAnsi="Times New Roman" w:cs="Times New Roman"/>
              </w:rPr>
              <w:br/>
            </w:r>
            <w:r w:rsidRPr="00CB2EC4">
              <w:rPr>
                <w:rFonts w:ascii="Times New Roman" w:hAnsi="Times New Roman" w:cs="Times New Roman"/>
              </w:rPr>
              <w:br/>
              <w:t xml:space="preserve">These longitudinal ligaments collectively function to suspend pelvic viscera (such as the bladder, uterus/vagina, and rectum) from the pubis toward the sacrum, forming a ladder-like structure to accommodate physiological changes like pregnancy and childbirth. They consist of loose connective tissue rather than dense connective tissue but possess longitudinal fascial properties to maintain organ position.  </w:t>
            </w:r>
            <w:r w:rsidRPr="00CB2EC4">
              <w:rPr>
                <w:rFonts w:ascii="Times New Roman" w:hAnsi="Times New Roman" w:cs="Times New Roman"/>
              </w:rPr>
              <w:br/>
            </w:r>
            <w:r w:rsidRPr="00CB2EC4">
              <w:rPr>
                <w:rFonts w:ascii="Times New Roman" w:hAnsi="Times New Roman" w:cs="Times New Roman"/>
              </w:rPr>
              <w:br/>
              <w:t>Therefore, the ligaments with longitudinal fascial properties are: pubo-urethral/vesical ligament, vesico-uterine/vaginal ligament, uterosacral ligament, recto-uterine/vaginal ligament, and rectococcygeal ligament; they respectively connect pelvic viscera to the pubic or sacral structures of the pelvic wall.</w:t>
            </w:r>
          </w:p>
        </w:tc>
        <w:tc>
          <w:tcPr>
            <w:tcW w:w="1152" w:type="dxa"/>
            <w:vAlign w:val="center"/>
          </w:tcPr>
          <w:p w14:paraId="33A019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FF762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0985B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49A3C7A" w14:textId="77777777">
        <w:tc>
          <w:tcPr>
            <w:tcW w:w="2160" w:type="dxa"/>
            <w:vAlign w:val="center"/>
          </w:tcPr>
          <w:p w14:paraId="597D4C4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6E32165" w14:textId="77777777" w:rsidR="00922249" w:rsidRPr="00CB2EC4" w:rsidRDefault="003011D5">
            <w:pPr>
              <w:rPr>
                <w:rFonts w:ascii="Times New Roman" w:hAnsi="Times New Roman" w:cs="Times New Roman"/>
              </w:rPr>
            </w:pPr>
            <w:r w:rsidRPr="00CB2EC4">
              <w:rPr>
                <w:rFonts w:ascii="Times New Roman" w:hAnsi="Times New Roman" w:cs="Times New Roman"/>
              </w:rPr>
              <w:t>In the pelvic suspension system, ligaments with longitudinal fascial properties include:</w:t>
            </w:r>
            <w:r w:rsidRPr="00CB2EC4">
              <w:rPr>
                <w:rFonts w:ascii="Times New Roman" w:hAnsi="Times New Roman" w:cs="Times New Roman"/>
              </w:rPr>
              <w:br/>
            </w:r>
            <w:r w:rsidRPr="00CB2EC4">
              <w:rPr>
                <w:rFonts w:ascii="Times New Roman" w:hAnsi="Times New Roman" w:cs="Times New Roman"/>
              </w:rPr>
              <w:br/>
              <w:t xml:space="preserve">- Pubovesical/urethral ligament: Connects the pubic bone to the vesical fascia.  </w:t>
            </w:r>
            <w:r w:rsidRPr="00CB2EC4">
              <w:rPr>
                <w:rFonts w:ascii="Times New Roman" w:hAnsi="Times New Roman" w:cs="Times New Roman"/>
              </w:rPr>
              <w:br/>
              <w:t xml:space="preserve">- Vesicouterine/vaginal ligament: Connects the vesical fascia to the cervical/vaginal fascia.  </w:t>
            </w:r>
            <w:r w:rsidRPr="00CB2EC4">
              <w:rPr>
                <w:rFonts w:ascii="Times New Roman" w:hAnsi="Times New Roman" w:cs="Times New Roman"/>
              </w:rPr>
              <w:br/>
              <w:t xml:space="preserve">- Uterosacral ligament and rectouterine ligament: Connects the cervical/vaginal fascia to the rectal fascia.  </w:t>
            </w:r>
            <w:r w:rsidRPr="00CB2EC4">
              <w:rPr>
                <w:rFonts w:ascii="Times New Roman" w:hAnsi="Times New Roman" w:cs="Times New Roman"/>
              </w:rPr>
              <w:br/>
              <w:t xml:space="preserve">- Rectococcygeal ligament: Connects the rectal fascia to the sacrum.  </w:t>
            </w:r>
            <w:r w:rsidRPr="00CB2EC4">
              <w:rPr>
                <w:rFonts w:ascii="Times New Roman" w:hAnsi="Times New Roman" w:cs="Times New Roman"/>
              </w:rPr>
              <w:br/>
            </w:r>
            <w:r w:rsidRPr="00CB2EC4">
              <w:rPr>
                <w:rFonts w:ascii="Times New Roman" w:hAnsi="Times New Roman" w:cs="Times New Roman"/>
              </w:rPr>
              <w:lastRenderedPageBreak/>
              <w:br/>
              <w:t>These ligaments collectively maintain the longitudinal suspension function of the organs, connecting organ nodes from the pubic bone toward the sacrum, and work synergistically with the support system (transverse ligament group).</w:t>
            </w:r>
          </w:p>
        </w:tc>
        <w:tc>
          <w:tcPr>
            <w:tcW w:w="1152" w:type="dxa"/>
            <w:vAlign w:val="center"/>
          </w:tcPr>
          <w:p w14:paraId="4284F9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276E7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945C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62C6FE" w14:textId="77777777">
        <w:tc>
          <w:tcPr>
            <w:tcW w:w="2160" w:type="dxa"/>
            <w:vAlign w:val="center"/>
          </w:tcPr>
          <w:p w14:paraId="4C0EE1F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1FEE1A5" w14:textId="77777777" w:rsidR="00922249" w:rsidRPr="00CB2EC4" w:rsidRDefault="003011D5">
            <w:pPr>
              <w:rPr>
                <w:rFonts w:ascii="Times New Roman" w:hAnsi="Times New Roman" w:cs="Times New Roman"/>
              </w:rPr>
            </w:pPr>
            <w:r w:rsidRPr="00CB2EC4">
              <w:rPr>
                <w:rFonts w:ascii="Times New Roman" w:hAnsi="Times New Roman" w:cs="Times New Roman"/>
              </w:rPr>
              <w:t>In the pelvic suspension system, ligaments with longitudinal fascial properties include the following structures:</w:t>
            </w:r>
            <w:r w:rsidRPr="00CB2EC4">
              <w:rPr>
                <w:rFonts w:ascii="Times New Roman" w:hAnsi="Times New Roman" w:cs="Times New Roman"/>
              </w:rPr>
              <w:br/>
            </w:r>
            <w:r w:rsidRPr="00CB2EC4">
              <w:rPr>
                <w:rFonts w:ascii="Times New Roman" w:hAnsi="Times New Roman" w:cs="Times New Roman"/>
              </w:rPr>
              <w:br/>
              <w:t xml:space="preserve">- List of ligaments and connecting structures (based on Table 14):  </w:t>
            </w:r>
            <w:r w:rsidRPr="00CB2EC4">
              <w:rPr>
                <w:rFonts w:ascii="Times New Roman" w:hAnsi="Times New Roman" w:cs="Times New Roman"/>
              </w:rPr>
              <w:br/>
              <w:t xml:space="preserve">  - Pubovesical (urethral) ligament: Connects the pubic bone and bladder fascia.  </w:t>
            </w:r>
            <w:r w:rsidRPr="00CB2EC4">
              <w:rPr>
                <w:rFonts w:ascii="Times New Roman" w:hAnsi="Times New Roman" w:cs="Times New Roman"/>
              </w:rPr>
              <w:br/>
              <w:t xml:space="preserve">  - Vesicouterine/vaginal ligament: Connects the bladder fascia and cervical/vaginal fascia.  </w:t>
            </w:r>
            <w:r w:rsidRPr="00CB2EC4">
              <w:rPr>
                <w:rFonts w:ascii="Times New Roman" w:hAnsi="Times New Roman" w:cs="Times New Roman"/>
              </w:rPr>
              <w:br/>
              <w:t xml:space="preserve">  - Uterosacral ligament and rectouterine ligament: Connect the cervical/vaginal fascia and rectal fascia.  </w:t>
            </w:r>
            <w:r w:rsidRPr="00CB2EC4">
              <w:rPr>
                <w:rFonts w:ascii="Times New Roman" w:hAnsi="Times New Roman" w:cs="Times New Roman"/>
              </w:rPr>
              <w:br/>
              <w:t xml:space="preserve">  - Rectococcygeal ligament: Connects the rectal fascia and sacrum.  </w:t>
            </w:r>
            <w:r w:rsidRPr="00CB2EC4">
              <w:rPr>
                <w:rFonts w:ascii="Times New Roman" w:hAnsi="Times New Roman" w:cs="Times New Roman"/>
              </w:rPr>
              <w:br/>
              <w:t xml:space="preserve">- Overall function: These ligaments form a longitudinal chain that pulls and fixes organs from the pubic bone toward the sacrum, adapting to physiological changes such as pregnancy and childbirth.  </w:t>
            </w:r>
            <w:r w:rsidRPr="00CB2EC4">
              <w:rPr>
                <w:rFonts w:ascii="Times New Roman" w:hAnsi="Times New Roman" w:cs="Times New Roman"/>
              </w:rPr>
              <w:br/>
              <w:t>- Source reference: Document fragment 3 (relevance: 0.8507) provides a detailed description of the suspension system and cites Table 14 (ligaments with longitudinal fascial properties) listing specific ligaments and their connecting structures. The content of Table 14 is clear and unambiguous.</w:t>
            </w:r>
          </w:p>
        </w:tc>
        <w:tc>
          <w:tcPr>
            <w:tcW w:w="1152" w:type="dxa"/>
            <w:vAlign w:val="center"/>
          </w:tcPr>
          <w:p w14:paraId="5A2363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BBD9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93DB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895FF29" w14:textId="77777777">
        <w:tc>
          <w:tcPr>
            <w:tcW w:w="2160" w:type="dxa"/>
            <w:vAlign w:val="center"/>
          </w:tcPr>
          <w:p w14:paraId="4A78E17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A6EF20B" w14:textId="77777777" w:rsidR="00922249" w:rsidRPr="00CB2EC4" w:rsidRDefault="003011D5">
            <w:pPr>
              <w:rPr>
                <w:rFonts w:ascii="Times New Roman" w:hAnsi="Times New Roman" w:cs="Times New Roman"/>
              </w:rPr>
            </w:pPr>
            <w:r w:rsidRPr="00CB2EC4">
              <w:rPr>
                <w:rFonts w:ascii="Times New Roman" w:hAnsi="Times New Roman" w:cs="Times New Roman"/>
              </w:rPr>
              <w:t>In the pelvic suspension system, ligaments with longitudinal fascial properties include:</w:t>
            </w:r>
            <w:r w:rsidRPr="00CB2EC4">
              <w:rPr>
                <w:rFonts w:ascii="Times New Roman" w:hAnsi="Times New Roman" w:cs="Times New Roman"/>
              </w:rPr>
              <w:br/>
            </w:r>
            <w:r w:rsidRPr="00CB2EC4">
              <w:rPr>
                <w:rFonts w:ascii="Times New Roman" w:hAnsi="Times New Roman" w:cs="Times New Roman"/>
              </w:rPr>
              <w:lastRenderedPageBreak/>
              <w:br/>
              <w:t xml:space="preserve">- Pubovesical/urethral ligament: Connects the pubic bone to the vesical fascia.  </w:t>
            </w:r>
            <w:r w:rsidRPr="00CB2EC4">
              <w:rPr>
                <w:rFonts w:ascii="Times New Roman" w:hAnsi="Times New Roman" w:cs="Times New Roman"/>
              </w:rPr>
              <w:br/>
              <w:t xml:space="preserve">- Vesicouterine/vaginal ligament: Connects the vesical fascia to the cervical/vaginal fascia.  </w:t>
            </w:r>
            <w:r w:rsidRPr="00CB2EC4">
              <w:rPr>
                <w:rFonts w:ascii="Times New Roman" w:hAnsi="Times New Roman" w:cs="Times New Roman"/>
              </w:rPr>
              <w:br/>
              <w:t xml:space="preserve">- Uterosacral ligament and rectouterine ligament: Connect the cervical/vaginal fascia to the rectal fascia.  </w:t>
            </w:r>
            <w:r w:rsidRPr="00CB2EC4">
              <w:rPr>
                <w:rFonts w:ascii="Times New Roman" w:hAnsi="Times New Roman" w:cs="Times New Roman"/>
              </w:rPr>
              <w:br/>
              <w:t xml:space="preserve">- Rectococcygeal ligament: Connects the rectal fascia to the sacrum.  </w:t>
            </w:r>
            <w:r w:rsidRPr="00CB2EC4">
              <w:rPr>
                <w:rFonts w:ascii="Times New Roman" w:hAnsi="Times New Roman" w:cs="Times New Roman"/>
              </w:rPr>
              <w:br/>
            </w:r>
            <w:r w:rsidRPr="00CB2EC4">
              <w:rPr>
                <w:rFonts w:ascii="Times New Roman" w:hAnsi="Times New Roman" w:cs="Times New Roman"/>
              </w:rPr>
              <w:br/>
              <w:t xml:space="preserve">These ligaments form the longitudinal ligament group, known as the suspensory system, responsible for the longitudinal suspension and fixation of pelvic organs.  </w:t>
            </w:r>
            <w:r w:rsidRPr="00CB2EC4">
              <w:rPr>
                <w:rFonts w:ascii="Times New Roman" w:hAnsi="Times New Roman" w:cs="Times New Roman"/>
              </w:rPr>
              <w:br/>
            </w:r>
            <w:r w:rsidRPr="00CB2EC4">
              <w:rPr>
                <w:rFonts w:ascii="Times New Roman" w:hAnsi="Times New Roman" w:cs="Times New Roman"/>
              </w:rPr>
              <w:br/>
              <w:t>In the pelvic support system, its composition primarily consists of transverse ligament groups (such as the vesicohypogastric fascia, transverse cervical ligament, and lateral rectal ligaments), and therefore does not include ligaments with longitudinal fascial properties.</w:t>
            </w:r>
          </w:p>
        </w:tc>
        <w:tc>
          <w:tcPr>
            <w:tcW w:w="1152" w:type="dxa"/>
            <w:vAlign w:val="center"/>
          </w:tcPr>
          <w:p w14:paraId="2D4858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B8A45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9992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D45B33" w14:textId="77777777">
        <w:tc>
          <w:tcPr>
            <w:tcW w:w="2160" w:type="dxa"/>
            <w:vAlign w:val="center"/>
          </w:tcPr>
          <w:p w14:paraId="1D6A8663"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AB24A2D" w14:textId="77777777" w:rsidR="00922249" w:rsidRPr="00CB2EC4" w:rsidRDefault="003011D5">
            <w:pPr>
              <w:rPr>
                <w:rFonts w:ascii="Times New Roman" w:hAnsi="Times New Roman" w:cs="Times New Roman"/>
              </w:rPr>
            </w:pPr>
            <w:r w:rsidRPr="00CB2EC4">
              <w:rPr>
                <w:rFonts w:ascii="Times New Roman" w:hAnsi="Times New Roman" w:cs="Times New Roman"/>
              </w:rPr>
              <w:t>in the pelvic suspension system, the ligaments with longitudinal fascial properties include the cardinal ligament and the uterosacral ligament. According to the work of Nobuhiko Sajiki:</w:t>
            </w:r>
            <w:r w:rsidRPr="00CB2EC4">
              <w:rPr>
                <w:rFonts w:ascii="Times New Roman" w:hAnsi="Times New Roman" w:cs="Times New Roman"/>
              </w:rPr>
              <w:br/>
              <w:t>- Cardinal ligament: connects the cervix and upper vagina to the lateral pelvic wall (specifically to the obturator internus muscle fascia and levator ani muscle fascia).</w:t>
            </w:r>
            <w:r w:rsidRPr="00CB2EC4">
              <w:rPr>
                <w:rFonts w:ascii="Times New Roman" w:hAnsi="Times New Roman" w:cs="Times New Roman"/>
              </w:rPr>
              <w:br/>
              <w:t>- Uterosacral ligament: connects the posterior cervix to the anterior sacral fascia (at the S2-S4 level).</w:t>
            </w:r>
          </w:p>
        </w:tc>
        <w:tc>
          <w:tcPr>
            <w:tcW w:w="1152" w:type="dxa"/>
            <w:vAlign w:val="center"/>
          </w:tcPr>
          <w:p w14:paraId="44D45B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1C2EA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DA1EB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03EE8E6" w14:textId="77777777">
        <w:tc>
          <w:tcPr>
            <w:tcW w:w="10656" w:type="dxa"/>
            <w:gridSpan w:val="5"/>
            <w:tcBorders>
              <w:bottom w:val="single" w:sz="6" w:space="0" w:color="auto"/>
            </w:tcBorders>
            <w:vAlign w:val="center"/>
          </w:tcPr>
          <w:p w14:paraId="08BB9B3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106: How are the transverse cervical ligament and the pararectal ligament differentiated during a radical hysterectomy?</w:t>
            </w:r>
          </w:p>
        </w:tc>
      </w:tr>
      <w:tr w:rsidR="00922249" w:rsidRPr="00CB2EC4" w14:paraId="6D46BF0A" w14:textId="77777777">
        <w:tc>
          <w:tcPr>
            <w:tcW w:w="2160" w:type="dxa"/>
            <w:vAlign w:val="center"/>
          </w:tcPr>
          <w:p w14:paraId="2879777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6E863F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radical hysterectomy, identification of the transverse cervical ligament and rectal lateral ligament </w:t>
            </w:r>
            <w:r w:rsidRPr="00CB2EC4">
              <w:rPr>
                <w:rFonts w:ascii="Times New Roman" w:hAnsi="Times New Roman" w:cs="Times New Roman"/>
              </w:rPr>
              <w:lastRenderedPageBreak/>
              <w:t>is based on anatomical location and surgical cavity development. According to the document:</w:t>
            </w:r>
            <w:r w:rsidRPr="00CB2EC4">
              <w:rPr>
                <w:rFonts w:ascii="Times New Roman" w:hAnsi="Times New Roman" w:cs="Times New Roman"/>
              </w:rPr>
              <w:br/>
              <w:t>- Transverse cervical ligament: Part of the cardinal ligament, located lateral to the cervix, involving the vascular component (e.g., uterine artery and deep uterine vein). During surgery, it is identified by opening the paravesical space and the Latzko rectal paracolpium (cranial compartment). The transverse cervical ligament originates from the internal iliac vessels and terminates at the cervix; surgical separation requires dissection of fascial and vascular components (e.g., using an ultrasonic scalpel to divide vessels).</w:t>
            </w:r>
            <w:r w:rsidRPr="00CB2EC4">
              <w:rPr>
                <w:rFonts w:ascii="Times New Roman" w:hAnsi="Times New Roman" w:cs="Times New Roman"/>
              </w:rPr>
              <w:br/>
              <w:t>- Rectal lateral ligament: Connects the rectum to the pelvic sidewall, involving the neural component (e.g., pelvic splanchnic nerves and pelvic plexus). During surgery, it is identified by opening the Okabayashi rectal pararectal space and the rectovaginal space. The rectal lateral ligament is visible at the rectal attachment site, forming a complex with the transverse cervical ligament, but must be divided at the boundary between the two (e.g., at the level of the deep uterine vein).</w:t>
            </w:r>
            <w:r w:rsidRPr="00CB2EC4">
              <w:rPr>
                <w:rFonts w:ascii="Times New Roman" w:hAnsi="Times New Roman" w:cs="Times New Roman"/>
              </w:rPr>
              <w:br/>
              <w:t xml:space="preserve">- Identification method: Six spaces are developed during surgery (paravesical space, paravaginal space, Okabayashi rectal pararectal space, Latzko rectal paracolpium, vesicovaginal space, rectovaginal space); structures appearing between these spaces constitute the ligaments. The transverse cervical ligament is associated with vessels, while the rectal lateral ligament is associated with nerves and rectal fixation (as repeatedly stated in the document, e.g., in the [similarity: 0.546] section: "The cardinal ligament is defined as a complex of the transverse cervical </w:t>
            </w:r>
            <w:r w:rsidRPr="00CB2EC4">
              <w:rPr>
                <w:rFonts w:ascii="Times New Roman" w:hAnsi="Times New Roman" w:cs="Times New Roman"/>
              </w:rPr>
              <w:lastRenderedPageBreak/>
              <w:t>ligament and rectal lateral ligament," and Figure 82 describes the division boundary).</w:t>
            </w:r>
          </w:p>
        </w:tc>
        <w:tc>
          <w:tcPr>
            <w:tcW w:w="1152" w:type="dxa"/>
            <w:vAlign w:val="center"/>
          </w:tcPr>
          <w:p w14:paraId="2C4F2D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49936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4D513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B701824" w14:textId="77777777">
        <w:tc>
          <w:tcPr>
            <w:tcW w:w="2160" w:type="dxa"/>
            <w:vAlign w:val="center"/>
          </w:tcPr>
          <w:p w14:paraId="4E1BCCE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1B8FC375" w14:textId="77777777" w:rsidR="00922249" w:rsidRPr="00CB2EC4" w:rsidRDefault="003011D5">
            <w:pPr>
              <w:rPr>
                <w:rFonts w:ascii="Times New Roman" w:hAnsi="Times New Roman" w:cs="Times New Roman"/>
              </w:rPr>
            </w:pPr>
            <w:r w:rsidRPr="00CB2EC4">
              <w:rPr>
                <w:rFonts w:ascii="Times New Roman" w:hAnsi="Times New Roman" w:cs="Times New Roman"/>
              </w:rPr>
              <w:t>in radical hysterectomy, identification of the transverse cervical ligament and the rectal lateral ligament is achieved through anatomical positioning, structural features, and dissection of surgical spaces. According to the document:</w:t>
            </w:r>
            <w:r w:rsidRPr="00CB2EC4">
              <w:rPr>
                <w:rFonts w:ascii="Times New Roman" w:hAnsi="Times New Roman" w:cs="Times New Roman"/>
              </w:rPr>
              <w:br/>
              <w:t>- Transverse cervical ligament: It is the anterior component of the cardinal ligament, containing vascular structures such as the uterine artery and deep uterine vein. It is located between the paravesical space and the rectal lateral space (cephalic compartment), connecting the cervix to the pelvic sidewall. Identification requires development of the paravesical space and rectal lateral space (cephalic compartment) to expose its vascular bundle (e.g., uterine artery arising from the internal iliac artery) (block theme: Analysis of Radical Total Hysterectomy, block no. 150; block theme: Anatomical Key Points in Cervical Cancer Surgery, block no. 151).</w:t>
            </w:r>
            <w:r w:rsidRPr="00CB2EC4">
              <w:rPr>
                <w:rFonts w:ascii="Times New Roman" w:hAnsi="Times New Roman" w:cs="Times New Roman"/>
              </w:rPr>
              <w:br/>
              <w:t xml:space="preserve">- Rectal lateral ligament: It is the posterior component of the cardinal ligament, linking the rectum to the pelvic sidewall and containing the middle rectal artery and vein along with nerve branches. It is situated near the rectal lateral space (caudal compartment) and becomes visible during dissection of this space, attaching to the lateral aspect of the rectum. Identification requires attention to its boundary with the transverse cervical ligament, typically exposed after resection of the transverse cervical ligament or by separating the rectovaginal space to confirm its location (block theme: Classification of Surgical Procedures for Cervical Cancer, block no. 154; block </w:t>
            </w:r>
            <w:r w:rsidRPr="00CB2EC4">
              <w:rPr>
                <w:rFonts w:ascii="Times New Roman" w:hAnsi="Times New Roman" w:cs="Times New Roman"/>
              </w:rPr>
              <w:lastRenderedPageBreak/>
              <w:t>theme: Management of Cardinal Ligament and Evolution of Surgical Techniques, block no. 221).</w:t>
            </w:r>
            <w:r w:rsidRPr="00CB2EC4">
              <w:rPr>
                <w:rFonts w:ascii="Times New Roman" w:hAnsi="Times New Roman" w:cs="Times New Roman"/>
              </w:rPr>
              <w:br/>
              <w:t>- Identification method: During surgery, the paravesical space and rectal lateral space (e.g., Latzko rectal lateral space or Okabayashi rectal lateral space) are opened to expose the ligaments between these spaces. The transverse cervical ligament is more anterior and rich in vasculature; the rectal lateral ligament is more posterior and connected to the rectal fascia. The document emphasizes that the transverse cervical ligament and rectal lateral ligament form an anatomical complex (the cardinal ligament), but can be distinguished by dissecting their boundaries (e.g., at the level of the deep uterine vein) (block theme: Key Points of Nerve-Sparing Radical Hysterectomy, block no. 156; block theme: Dissection of Deep Uterine Vein and Ligament Management, block no. 204).</w:t>
            </w:r>
          </w:p>
        </w:tc>
        <w:tc>
          <w:tcPr>
            <w:tcW w:w="1152" w:type="dxa"/>
            <w:vAlign w:val="center"/>
          </w:tcPr>
          <w:p w14:paraId="754A32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A86E2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39EBA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06ECBA9" w14:textId="77777777">
        <w:tc>
          <w:tcPr>
            <w:tcW w:w="2160" w:type="dxa"/>
            <w:vAlign w:val="center"/>
          </w:tcPr>
          <w:p w14:paraId="765B119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EBEB901" w14:textId="77777777" w:rsidR="00922249" w:rsidRPr="00CB2EC4" w:rsidRDefault="003011D5">
            <w:pPr>
              <w:rPr>
                <w:rFonts w:ascii="Times New Roman" w:hAnsi="Times New Roman" w:cs="Times New Roman"/>
              </w:rPr>
            </w:pPr>
            <w:r w:rsidRPr="00CB2EC4">
              <w:rPr>
                <w:rFonts w:ascii="Times New Roman" w:hAnsi="Times New Roman" w:cs="Times New Roman"/>
              </w:rPr>
              <w:t>how to identify the transverse cervical ligament and the lateral rectal ligament during radical hysterectomy?</w:t>
            </w:r>
            <w:r w:rsidRPr="00CB2EC4">
              <w:rPr>
                <w:rFonts w:ascii="Times New Roman" w:hAnsi="Times New Roman" w:cs="Times New Roman"/>
              </w:rPr>
              <w:br/>
            </w:r>
            <w:r w:rsidRPr="00CB2EC4">
              <w:rPr>
                <w:rFonts w:ascii="Times New Roman" w:hAnsi="Times New Roman" w:cs="Times New Roman"/>
              </w:rPr>
              <w:br/>
              <w:t xml:space="preserve">according to the document content, the key to identifying the transverse cervical ligament and the lateral rectal ligament lies in their anatomical location, structure, and the surgical spaces developed:  </w:t>
            </w:r>
            <w:r w:rsidRPr="00CB2EC4">
              <w:rPr>
                <w:rFonts w:ascii="Times New Roman" w:hAnsi="Times New Roman" w:cs="Times New Roman"/>
              </w:rPr>
              <w:br/>
              <w:t xml:space="preserve">- transverse cervical ligament:  </w:t>
            </w:r>
            <w:r w:rsidRPr="00CB2EC4">
              <w:rPr>
                <w:rFonts w:ascii="Times New Roman" w:hAnsi="Times New Roman" w:cs="Times New Roman"/>
              </w:rPr>
              <w:br/>
              <w:t xml:space="preserve">  - located between the lateral margin of the cervix and the pelvic sidewall, and is part of the cardinal ligament (cardinal ligament = transverse cervical ligament + lateral rectal ligament) (document fragments 1, 33).  </w:t>
            </w:r>
            <w:r w:rsidRPr="00CB2EC4">
              <w:rPr>
                <w:rFonts w:ascii="Times New Roman" w:hAnsi="Times New Roman" w:cs="Times New Roman"/>
              </w:rPr>
              <w:br/>
              <w:t xml:space="preserve">  - identification method: during surgery, the latzko pararectal space (cephalad compartment) is developed </w:t>
            </w:r>
            <w:r w:rsidRPr="00CB2EC4">
              <w:rPr>
                <w:rFonts w:ascii="Times New Roman" w:hAnsi="Times New Roman" w:cs="Times New Roman"/>
              </w:rPr>
              <w:lastRenderedPageBreak/>
              <w:t xml:space="preserve">to expose its origin. the latzko pararectal space is situated lateral to the ureter and hypogastric nerve, formed by stripping the fascia over the internal iliac vessels and the transverse cervical ligament, thereby revealing the vascular part of the transverse cervical ligament (document fragments 2, 6, 26, 34). the upper limit of the transverse cervical ligament is the uterine artery, the lower limit is the deep uterine vein, the lateral side is its origin, and the medial side is the lateral margin of the uterine cervix (document fragment 50).  </w:t>
            </w:r>
            <w:r w:rsidRPr="00CB2EC4">
              <w:rPr>
                <w:rFonts w:ascii="Times New Roman" w:hAnsi="Times New Roman" w:cs="Times New Roman"/>
              </w:rPr>
              <w:br/>
              <w:t xml:space="preserve">- lateral rectal ligament:  </w:t>
            </w:r>
            <w:r w:rsidRPr="00CB2EC4">
              <w:rPr>
                <w:rFonts w:ascii="Times New Roman" w:hAnsi="Times New Roman" w:cs="Times New Roman"/>
              </w:rPr>
              <w:br/>
              <w:t xml:space="preserve">  - runs parallel to the rectum, envelops the middle rectal vessels, and is a fascial structure connecting the rectum to the posterior-lateral pelvic wall (document fragments 15, 37).  </w:t>
            </w:r>
            <w:r w:rsidRPr="00CB2EC4">
              <w:rPr>
                <w:rFonts w:ascii="Times New Roman" w:hAnsi="Times New Roman" w:cs="Times New Roman"/>
              </w:rPr>
              <w:br/>
              <w:t xml:space="preserve">  - identification method: exposed by developing the okabayashi pararectal space (located medial to the ureter and hypogastric nerve). the okabayashi pararectal space is formed between the rectal fascia and the puborectal fascia, and care must be taken to avoid injury to the presacral venous plexus during development (document fragments 6, 18, 34). the lateral rectal ligament is usually composite with the transverse cervical ligament to form the cardinal ligament but can be distinguished by its parallel relationship with the rectum (document fragments 33, 46).  </w:t>
            </w:r>
            <w:r w:rsidRPr="00CB2EC4">
              <w:rPr>
                <w:rFonts w:ascii="Times New Roman" w:hAnsi="Times New Roman" w:cs="Times New Roman"/>
              </w:rPr>
              <w:br/>
              <w:t xml:space="preserve">- overall identification strategy:  </w:t>
            </w:r>
            <w:r w:rsidRPr="00CB2EC4">
              <w:rPr>
                <w:rFonts w:ascii="Times New Roman" w:hAnsi="Times New Roman" w:cs="Times New Roman"/>
              </w:rPr>
              <w:br/>
              <w:t xml:space="preserve">  - using the ureter and hypogastric nerve as landmarks: the latzko pararectal space (lateral) is used to identify the origin of the transverse cervical ligament, and the okabayashi pararectal space (medial) is used to identify the lateral rectal ligament </w:t>
            </w:r>
            <w:r w:rsidRPr="00CB2EC4">
              <w:rPr>
                <w:rFonts w:ascii="Times New Roman" w:hAnsi="Times New Roman" w:cs="Times New Roman"/>
              </w:rPr>
              <w:lastRenderedPageBreak/>
              <w:t xml:space="preserve">(document fragment 34).  </w:t>
            </w:r>
            <w:r w:rsidRPr="00CB2EC4">
              <w:rPr>
                <w:rFonts w:ascii="Times New Roman" w:hAnsi="Times New Roman" w:cs="Times New Roman"/>
              </w:rPr>
              <w:br/>
              <w:t xml:space="preserve">  - development of the pararectal spaces should proceed only to the extent necessary for resection of the transverse cervical ligament to avoid excessive dissection injuring the inferior gluteal-pudendal neurovascular bundle or the presacral venous plexus (document fragment 6).</w:t>
            </w:r>
          </w:p>
        </w:tc>
        <w:tc>
          <w:tcPr>
            <w:tcW w:w="1152" w:type="dxa"/>
            <w:vAlign w:val="center"/>
          </w:tcPr>
          <w:p w14:paraId="15CC2B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4B1EE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08C4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61C995" w14:textId="77777777">
        <w:tc>
          <w:tcPr>
            <w:tcW w:w="2160" w:type="dxa"/>
            <w:vAlign w:val="center"/>
          </w:tcPr>
          <w:p w14:paraId="6587FAE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2CB1F233" w14:textId="77777777" w:rsidR="00922249" w:rsidRPr="00CB2EC4" w:rsidRDefault="003011D5">
            <w:pPr>
              <w:rPr>
                <w:rFonts w:ascii="Times New Roman" w:hAnsi="Times New Roman" w:cs="Times New Roman"/>
              </w:rPr>
            </w:pPr>
            <w:r w:rsidRPr="00CB2EC4">
              <w:rPr>
                <w:rFonts w:ascii="Times New Roman" w:hAnsi="Times New Roman" w:cs="Times New Roman"/>
              </w:rPr>
              <w:t>how to identify the transverse cervical ligament and rectal lateral ligament during radical hysterectomy?</w:t>
            </w:r>
            <w:r w:rsidRPr="00CB2EC4">
              <w:rPr>
                <w:rFonts w:ascii="Times New Roman" w:hAnsi="Times New Roman" w:cs="Times New Roman"/>
              </w:rPr>
              <w:br/>
            </w:r>
            <w:r w:rsidRPr="00CB2EC4">
              <w:rPr>
                <w:rFonts w:ascii="Times New Roman" w:hAnsi="Times New Roman" w:cs="Times New Roman"/>
              </w:rPr>
              <w:br/>
              <w:t>- Definition: The transverse cervical ligament (vascular part of the cardinal ligament) connects the uterus/vagina to the pelvic sidewall and contains the uterine artery and vein; the rectal lateral ligament connects the rectum to the pelvic sidewall and contains the middle rectal vessels (Fig. 78b).</w:t>
            </w:r>
            <w:r w:rsidRPr="00CB2EC4">
              <w:rPr>
                <w:rFonts w:ascii="Times New Roman" w:hAnsi="Times New Roman" w:cs="Times New Roman"/>
              </w:rPr>
              <w:br/>
              <w:t>- Anatomical landmarks: The two are separated by the uterine deep vein (Fig. 83c). The transverse cervical ligament is located superficial to the uterine deep vein, while the rectal lateral ligament is deep to it (Fig. 13, Fig. 82).</w:t>
            </w:r>
            <w:r w:rsidRPr="00CB2EC4">
              <w:rPr>
                <w:rFonts w:ascii="Times New Roman" w:hAnsi="Times New Roman" w:cs="Times New Roman"/>
              </w:rPr>
              <w:br/>
              <w:t>- Intraoperative identification:</w:t>
            </w:r>
            <w:r w:rsidRPr="00CB2EC4">
              <w:rPr>
                <w:rFonts w:ascii="Times New Roman" w:hAnsi="Times New Roman" w:cs="Times New Roman"/>
              </w:rPr>
              <w:br/>
              <w:t xml:space="preserve">  - After developing the paravesical space and the pararectal space, dissect at the level of the uterine deep vein (Fig. 77).</w:t>
            </w:r>
            <w:r w:rsidRPr="00CB2EC4">
              <w:rPr>
                <w:rFonts w:ascii="Times New Roman" w:hAnsi="Times New Roman" w:cs="Times New Roman"/>
              </w:rPr>
              <w:br/>
              <w:t xml:space="preserve">  - The resection range of the transverse cervical ligament is limited to the superficial layer of the uterine deep vein to avoid entering the rectal lateral ligament and preserve nerves (Fig. 179).</w:t>
            </w:r>
            <w:r w:rsidRPr="00CB2EC4">
              <w:rPr>
                <w:rFonts w:ascii="Times New Roman" w:hAnsi="Times New Roman" w:cs="Times New Roman"/>
              </w:rPr>
              <w:br/>
              <w:t>- Additional reference: Intraoperatively, use the ureteric mesentery and the fourth space as reference landmarks, though details on ligament boundaries are not specified.</w:t>
            </w:r>
            <w:r w:rsidRPr="00CB2EC4">
              <w:rPr>
                <w:rFonts w:ascii="Times New Roman" w:hAnsi="Times New Roman" w:cs="Times New Roman"/>
              </w:rPr>
              <w:br/>
              <w:t xml:space="preserve">- Conclusion: Use the uterine deep vein as the key </w:t>
            </w:r>
            <w:r w:rsidRPr="00CB2EC4">
              <w:rPr>
                <w:rFonts w:ascii="Times New Roman" w:hAnsi="Times New Roman" w:cs="Times New Roman"/>
              </w:rPr>
              <w:lastRenderedPageBreak/>
              <w:t>boundary, combined with space development techniques for identification.</w:t>
            </w:r>
          </w:p>
        </w:tc>
        <w:tc>
          <w:tcPr>
            <w:tcW w:w="1152" w:type="dxa"/>
            <w:vAlign w:val="center"/>
          </w:tcPr>
          <w:p w14:paraId="41A546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C8B8A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4984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BB4F5F4" w14:textId="77777777">
        <w:tc>
          <w:tcPr>
            <w:tcW w:w="2160" w:type="dxa"/>
            <w:vAlign w:val="center"/>
          </w:tcPr>
          <w:p w14:paraId="157F3B4A"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D12378F" w14:textId="77777777" w:rsidR="00922249" w:rsidRPr="00CB2EC4" w:rsidRDefault="003011D5">
            <w:pPr>
              <w:rPr>
                <w:rFonts w:ascii="Times New Roman" w:hAnsi="Times New Roman" w:cs="Times New Roman"/>
              </w:rPr>
            </w:pPr>
            <w:r w:rsidRPr="00CB2EC4">
              <w:rPr>
                <w:rFonts w:ascii="Times New Roman" w:hAnsi="Times New Roman" w:cs="Times New Roman"/>
              </w:rPr>
              <w:t>in radical hysterectomy, the key to identifying the transverse cervical ligament and the rectal lateral ligament lies in understanding their anatomical positions and relationships. according to the document (segments 3, 6, 13, 15):</w:t>
            </w:r>
            <w:r w:rsidRPr="00CB2EC4">
              <w:rPr>
                <w:rFonts w:ascii="Times New Roman" w:hAnsi="Times New Roman" w:cs="Times New Roman"/>
              </w:rPr>
              <w:br/>
              <w:t>- transverse cervical ligament: located between the cervix and the pelvic sidewall, it is part of the cardinal ligament and contains vessels (e.g., uterine artery and uterine deep vein) and connective tissue. during surgery, it is typically recognized as the ligamentous bundle connecting the cervix to the pelvic sidewall. identification involves exposing its position by dissecting the paravesical space and pararectal space; the anterior surface of the transverse cervical ligament is often covered by fascia, and after separation, the vascular component becomes visible (as described in figure 77 of segment 13).</w:t>
            </w:r>
            <w:r w:rsidRPr="00CB2EC4">
              <w:rPr>
                <w:rFonts w:ascii="Times New Roman" w:hAnsi="Times New Roman" w:cs="Times New Roman"/>
              </w:rPr>
              <w:br/>
              <w:t>- rectal lateral ligament: situated between the rectum and the pelvic sidewall, it is the other part of the cardinal ligament and contains the middle rectal artery and vein and lymphatics. identification requires observing its attachment to the lateral aspect of the rectum after developing the pararectal space; it forms a complex with the transverse cervical ligament at the pelvic floor (cardinal ligament = transverse cervical ligament + rectal lateral ligament), but during surgery, they can be distinguished by dissecting the spaces (e.g., paravesical and pararectal spaces) (segments 3 and 15).</w:t>
            </w:r>
            <w:r w:rsidRPr="00CB2EC4">
              <w:rPr>
                <w:rFonts w:ascii="Times New Roman" w:hAnsi="Times New Roman" w:cs="Times New Roman"/>
              </w:rPr>
              <w:br/>
              <w:t xml:space="preserve">- identification method: during surgery, first develop the paravesical space and pararectal space (e.g., via Latzko or Okabayashi technique). the transverse </w:t>
            </w:r>
            <w:r w:rsidRPr="00CB2EC4">
              <w:rPr>
                <w:rFonts w:ascii="Times New Roman" w:hAnsi="Times New Roman" w:cs="Times New Roman"/>
              </w:rPr>
              <w:lastRenderedPageBreak/>
              <w:t>cervical ligament is typically exposed near the level of the uterine deep vein (vascular component visible), while the rectal lateral ligament is exposed at its rectal attachment site (as shown by the transected end in figure 178 of segment 6). avoiding en bloc resection of the cardinal ligament and instead separating the fascial and vascular components aids in clear identification of both (segment 4).</w:t>
            </w:r>
          </w:p>
        </w:tc>
        <w:tc>
          <w:tcPr>
            <w:tcW w:w="1152" w:type="dxa"/>
            <w:vAlign w:val="center"/>
          </w:tcPr>
          <w:p w14:paraId="4EEA53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8694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04B5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5ECD6C" w14:textId="77777777">
        <w:tc>
          <w:tcPr>
            <w:tcW w:w="2160" w:type="dxa"/>
            <w:vAlign w:val="center"/>
          </w:tcPr>
          <w:p w14:paraId="284C596C"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40F5E8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**Transverse cervical ligament**:  </w:t>
            </w:r>
            <w:r w:rsidRPr="00CB2EC4">
              <w:rPr>
                <w:rFonts w:ascii="Times New Roman" w:hAnsi="Times New Roman" w:cs="Times New Roman"/>
              </w:rPr>
              <w:br/>
              <w:t xml:space="preserve">  It is part of the cardinal ligament, originating from the uterine branch of the internal iliac artery and attaching to the lateral margin of the cervix. During surgery, its superior (ventral) limit typically corresponds to the uterine artery, and its inferior (dorsal) limit corresponds to the uterine deep vein or the middle vesical artery. Identification requires exposure by developing the paravesical space and the Latzko rectal paracolpium. Separation of the anterior and posterior fascial layers of the transverse cervical ligament is critical: the anterior fascia is the parietal fascia folded toward the visceral side, and the posterior fascia is an extension of the internal iliac vascular sheath (covering the posterior aspect of the ligament). For example, in the Latzko technique, after separating the internal iliac vascular sheath and the posterior fascia of the transverse cervical ligament, entering the cranial compartment of the Latzko rectal paracolpium exposes the origin of the transverse cervical ligament (references 1, 5, 13, 26).</w:t>
            </w:r>
            <w:r w:rsidRPr="00CB2EC4">
              <w:rPr>
                <w:rFonts w:ascii="Times New Roman" w:hAnsi="Times New Roman" w:cs="Times New Roman"/>
              </w:rPr>
              <w:br/>
            </w:r>
            <w:r w:rsidRPr="00CB2EC4">
              <w:rPr>
                <w:rFonts w:ascii="Times New Roman" w:hAnsi="Times New Roman" w:cs="Times New Roman"/>
              </w:rPr>
              <w:br/>
              <w:t xml:space="preserve">- **Rectal lateral ligament**:  </w:t>
            </w:r>
            <w:r w:rsidRPr="00CB2EC4">
              <w:rPr>
                <w:rFonts w:ascii="Times New Roman" w:hAnsi="Times New Roman" w:cs="Times New Roman"/>
              </w:rPr>
              <w:br/>
              <w:t xml:space="preserve">  It connects the rectum to the lateral pelvic wall and contains vessels (e.g., middle rectal vein) and nerves (e.g., pelvic splanchnic nerves). Identification requires </w:t>
            </w:r>
            <w:r w:rsidRPr="00CB2EC4">
              <w:rPr>
                <w:rFonts w:ascii="Times New Roman" w:hAnsi="Times New Roman" w:cs="Times New Roman"/>
              </w:rPr>
              <w:lastRenderedPageBreak/>
              <w:t>developing the rectal paracolpium (e.g., Okabayashi’s rectal paracolpium or the caudal compartment of the Latzko rectal paracolpium), exposing it dorsal to the transverse cervical ligament and between the rectum and lateral pelvic wall. The rectal lateral ligament typically forms a complex with the transverse cervical ligament near the pelvic floor, but during surgery, it can be distinguished by dissecting loose connective tissue: the transverse cervical ligament lies anteriorly, and the rectal lateral ligament lies posteriorly (references 5, 6, 11, 13).</w:t>
            </w:r>
            <w:r w:rsidRPr="00CB2EC4">
              <w:rPr>
                <w:rFonts w:ascii="Times New Roman" w:hAnsi="Times New Roman" w:cs="Times New Roman"/>
              </w:rPr>
              <w:br/>
            </w:r>
            <w:r w:rsidRPr="00CB2EC4">
              <w:rPr>
                <w:rFonts w:ascii="Times New Roman" w:hAnsi="Times New Roman" w:cs="Times New Roman"/>
              </w:rPr>
              <w:br/>
              <w:t xml:space="preserve">- **Key identification points**:  </w:t>
            </w:r>
            <w:r w:rsidRPr="00CB2EC4">
              <w:rPr>
                <w:rFonts w:ascii="Times New Roman" w:hAnsi="Times New Roman" w:cs="Times New Roman"/>
              </w:rPr>
              <w:br/>
              <w:t xml:space="preserve">  In radical hysterectomy, both are often managed as a composite structure (cardinal ligament = transverse cervical ligament + rectal lateral ligament). Identification requires attention to anatomical boundaries: the transverse cervical ligament attaches to the cervix, and the rectal lateral ligament attaches to the rectum. After developing spaces (e.g., paravesical space, rectal paracolpium), the connective tissue bundles appearing between these spaces correspond to the target ligaments. Avoid mass ligation (Massenligatur); instead, dissect fascial layers and vascular components to achieve clear identification (references 5, 7, 11, 26).</w:t>
            </w:r>
          </w:p>
        </w:tc>
        <w:tc>
          <w:tcPr>
            <w:tcW w:w="1152" w:type="dxa"/>
            <w:vAlign w:val="center"/>
          </w:tcPr>
          <w:p w14:paraId="2CAA0F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2CEC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6BCB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B8FFAC" w14:textId="77777777">
        <w:tc>
          <w:tcPr>
            <w:tcW w:w="2160" w:type="dxa"/>
            <w:vAlign w:val="center"/>
          </w:tcPr>
          <w:p w14:paraId="2EFB9209"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41E2908" w14:textId="77777777" w:rsidR="00922249" w:rsidRPr="00CB2EC4" w:rsidRDefault="003011D5">
            <w:pPr>
              <w:rPr>
                <w:rFonts w:ascii="Times New Roman" w:hAnsi="Times New Roman" w:cs="Times New Roman"/>
              </w:rPr>
            </w:pPr>
            <w:r w:rsidRPr="00CB2EC4">
              <w:rPr>
                <w:rFonts w:ascii="Times New Roman" w:hAnsi="Times New Roman" w:cs="Times New Roman"/>
              </w:rPr>
              <w:t>in radical hysterectomy, the identification of the transverse cervical ligament and the rectal lateral ligament relies on dissection of anatomical spaces and their positional relationships. The documentation describes as follows:</w:t>
            </w:r>
            <w:r w:rsidRPr="00CB2EC4">
              <w:rPr>
                <w:rFonts w:ascii="Times New Roman" w:hAnsi="Times New Roman" w:cs="Times New Roman"/>
              </w:rPr>
              <w:br/>
              <w:t xml:space="preserve">- Transverse cervical ligament: Located at the cranial portion of the cardinal ligament, it is the pathway for visceral branches of the internal iliac vessels (e.g., </w:t>
            </w:r>
            <w:r w:rsidRPr="00CB2EC4">
              <w:rPr>
                <w:rFonts w:ascii="Times New Roman" w:hAnsi="Times New Roman" w:cs="Times New Roman"/>
              </w:rPr>
              <w:lastRenderedPageBreak/>
              <w:t>uterine artery, deep uterine vein). Identification requires development of the cranial compartment of the Latzko rectal pararectal space (formed by stripping the fascial sheath of the internal iliac vessels and the posterior fascia of the transverse cervical ligament) to expose the origin of the transverse cervical ligament. The anterior fascia of the transverse cervical ligament is the part where the parietal fascia reflects onto the anterior surface of the ligament, connecting with the superior fascia of the levator ani muscle (document states: "The anterior fascia of the transverse cervical ligament is the portion where the parietal fascia folds back and covers the anterior surface of the transverse cervical ligament", similarity 0.628).</w:t>
            </w:r>
            <w:r w:rsidRPr="00CB2EC4">
              <w:rPr>
                <w:rFonts w:ascii="Times New Roman" w:hAnsi="Times New Roman" w:cs="Times New Roman"/>
              </w:rPr>
              <w:br/>
              <w:t>- Rectal lateral ligament: Located at the caudal portion of the cardinal ligament, connecting the lateral-posterior pelvic wall to the lateral side of the rectum, containing the middle rectal vessels and pelvic plexus. Identification requires development of the caudal compartment of the rectal pararectal space (formed by incising the superior fascia of the levator ani muscle) or observation at the pelvic floor (ischial spine level) of its junction with the transverse cervical ligament. The document notes: "The cardinal ligament is defined as the composite of the transverse cervical ligament and the rectal lateral ligament"; during identification, note that the rectal lateral ligament is exposed at the transition point of the deep uterine vein (similarity 0.678 and 0.603).</w:t>
            </w:r>
            <w:r w:rsidRPr="00CB2EC4">
              <w:rPr>
                <w:rFonts w:ascii="Times New Roman" w:hAnsi="Times New Roman" w:cs="Times New Roman"/>
              </w:rPr>
              <w:br/>
              <w:t xml:space="preserve">- Identification method: During surgery, by developing the vesicouterine lateral space and the rectal pararectal space, the ligaments are exposed between these spaces. The transverse cervical ligament is near the bifurcation of the internal iliac </w:t>
            </w:r>
            <w:r w:rsidRPr="00CB2EC4">
              <w:rPr>
                <w:rFonts w:ascii="Times New Roman" w:hAnsi="Times New Roman" w:cs="Times New Roman"/>
              </w:rPr>
              <w:lastRenderedPageBreak/>
              <w:t>vessels; the rectal lateral ligament is at the level of the sacral surface (third sacral vertebra). Avoid excessive dissection to prevent injury to the venous plexus (similarity 0.628).</w:t>
            </w:r>
          </w:p>
        </w:tc>
        <w:tc>
          <w:tcPr>
            <w:tcW w:w="1152" w:type="dxa"/>
            <w:vAlign w:val="center"/>
          </w:tcPr>
          <w:p w14:paraId="1418CF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6DD59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4B256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3EDA18D" w14:textId="77777777">
        <w:tc>
          <w:tcPr>
            <w:tcW w:w="2160" w:type="dxa"/>
            <w:vAlign w:val="center"/>
          </w:tcPr>
          <w:p w14:paraId="3C350D0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5A409696" w14:textId="77777777" w:rsidR="00922249" w:rsidRPr="00CB2EC4" w:rsidRDefault="003011D5">
            <w:pPr>
              <w:rPr>
                <w:rFonts w:ascii="Times New Roman" w:hAnsi="Times New Roman" w:cs="Times New Roman"/>
              </w:rPr>
            </w:pPr>
            <w:r w:rsidRPr="00CB2EC4">
              <w:rPr>
                <w:rFonts w:ascii="Times New Roman" w:hAnsi="Times New Roman" w:cs="Times New Roman"/>
              </w:rPr>
              <w:t>in radical hysterectomy, identification of the transverse cervical ligament and lateral rectal ligament is achieved through anatomical dissection and structural characteristics. based on the source material:</w:t>
            </w:r>
            <w:r w:rsidRPr="00CB2EC4">
              <w:rPr>
                <w:rFonts w:ascii="Times New Roman" w:hAnsi="Times New Roman" w:cs="Times New Roman"/>
              </w:rPr>
              <w:br/>
              <w:t>- transverse cervical ligament: originates from the uterine branch of the internal iliac artery, attaching to the lateral margin of the cervix. it contains the uterine artery and uterine deep vein, with the ventral limit being the uterine artery and the dorsal limit being the uterine deep vein or middle vesical artery. identification requires development of the vesicocervical space and pararectal space; within the vesicocervical space, the anterior aspect of the transverse cervical ligament is visible (documents 3, 16, 23). for example, in the Latzko technique, opening the vesicocervical space and the cranial compartment of the pararectal space reveals the transverse cervical ligament as a connective tissue bundle linking the cervix to the pelvic sidewall, with its vascular component containing the uterine vessels (documents 1, 8, 13).</w:t>
            </w:r>
            <w:r w:rsidRPr="00CB2EC4">
              <w:rPr>
                <w:rFonts w:ascii="Times New Roman" w:hAnsi="Times New Roman" w:cs="Times New Roman"/>
              </w:rPr>
              <w:br/>
              <w:t xml:space="preserve">- lateral rectal ligament: located on the lateral aspect of the rectum, connecting the rectum to the pelvic sidewall and containing the middle rectal artery and vein. it is part of the cardinal ligament complex (cardinal ligament = transverse cervical ligament + lateral rectal ligament). identification requires development of the pararectal space, where the lateral rectal ligament attaches to the rectum, with its cranial end at the sagittal rectal pillar and caudal end at the </w:t>
            </w:r>
            <w:r w:rsidRPr="00CB2EC4">
              <w:rPr>
                <w:rFonts w:ascii="Times New Roman" w:hAnsi="Times New Roman" w:cs="Times New Roman"/>
              </w:rPr>
              <w:lastRenderedPageBreak/>
              <w:t>descending rectal pillar (documents 3, 15, 22). for example, during pararectal space dissection, the lateral rectal ligament appears as a fibrovascular bundle extending from the internal iliac vessels to the rectum (documents 5, 16).</w:t>
            </w:r>
            <w:r w:rsidRPr="00CB2EC4">
              <w:rPr>
                <w:rFonts w:ascii="Times New Roman" w:hAnsi="Times New Roman" w:cs="Times New Roman"/>
              </w:rPr>
              <w:br/>
              <w:t>- identification method: intraoperatively, differentiation is achieved through space development:</w:t>
            </w:r>
            <w:r w:rsidRPr="00CB2EC4">
              <w:rPr>
                <w:rFonts w:ascii="Times New Roman" w:hAnsi="Times New Roman" w:cs="Times New Roman"/>
              </w:rPr>
              <w:br/>
              <w:t xml:space="preserve">  - after developing the vesicocervical space and pararectal space (e.g., Latzko pararectal space cranial compartment), the transverse cervical ligament is located at the level of the uterine artery, while the lateral rectal ligament is situated deeper on the rectal side.</w:t>
            </w:r>
            <w:r w:rsidRPr="00CB2EC4">
              <w:rPr>
                <w:rFonts w:ascii="Times New Roman" w:hAnsi="Times New Roman" w:cs="Times New Roman"/>
              </w:rPr>
              <w:br/>
              <w:t xml:space="preserve">  - the transverse cervical ligament is more ventral and cranial, whereas the lateral rectal ligament is more dorsal and caudal. although often considered a composite structure, they can be distinguished by separating fascial layers (e.g., anterior and posterior fascia of the transverse cervical ligament) and vascular landmarks (e.g., uterine deep vein) (documents 3, 16, 21).</w:t>
            </w:r>
            <w:r w:rsidRPr="00CB2EC4">
              <w:rPr>
                <w:rFonts w:ascii="Times New Roman" w:hAnsi="Times New Roman" w:cs="Times New Roman"/>
              </w:rPr>
              <w:br/>
              <w:t>failure to properly develop the spaces may lead to misidentification of the two as fused tissue (documents 11, 15).</w:t>
            </w:r>
          </w:p>
        </w:tc>
        <w:tc>
          <w:tcPr>
            <w:tcW w:w="1152" w:type="dxa"/>
            <w:vAlign w:val="center"/>
          </w:tcPr>
          <w:p w14:paraId="7ADDCD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1A41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44BC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40A941" w14:textId="77777777">
        <w:tc>
          <w:tcPr>
            <w:tcW w:w="2160" w:type="dxa"/>
            <w:vAlign w:val="center"/>
          </w:tcPr>
          <w:p w14:paraId="4E5B454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E7CE72B" w14:textId="77777777" w:rsidR="00922249" w:rsidRPr="00CB2EC4" w:rsidRDefault="003011D5">
            <w:pPr>
              <w:rPr>
                <w:rFonts w:ascii="Times New Roman" w:hAnsi="Times New Roman" w:cs="Times New Roman"/>
              </w:rPr>
            </w:pPr>
            <w:r w:rsidRPr="00CB2EC4">
              <w:rPr>
                <w:rFonts w:ascii="Times New Roman" w:hAnsi="Times New Roman" w:cs="Times New Roman"/>
              </w:rPr>
              <w:t>how to identify the transverse cervical ligament and the lateral rectal ligament during radical hysterectomy?</w:t>
            </w:r>
            <w:r w:rsidRPr="00CB2EC4">
              <w:rPr>
                <w:rFonts w:ascii="Times New Roman" w:hAnsi="Times New Roman" w:cs="Times New Roman"/>
              </w:rPr>
              <w:br/>
            </w:r>
            <w:r w:rsidRPr="00CB2EC4">
              <w:rPr>
                <w:rFonts w:ascii="Times New Roman" w:hAnsi="Times New Roman" w:cs="Times New Roman"/>
              </w:rPr>
              <w:br/>
              <w:t xml:space="preserve">According to the document, the transverse cervical ligament and the lateral rectal ligament are components of the cardinal ligament (defined as the composite structure of the transverse cervical ligament and lateral rectal ligament). Identification methods </w:t>
            </w:r>
            <w:r w:rsidRPr="00CB2EC4">
              <w:rPr>
                <w:rFonts w:ascii="Times New Roman" w:hAnsi="Times New Roman" w:cs="Times New Roman"/>
              </w:rPr>
              <w:lastRenderedPageBreak/>
              <w:t xml:space="preserve">include:  </w:t>
            </w:r>
            <w:r w:rsidRPr="00CB2EC4">
              <w:rPr>
                <w:rFonts w:ascii="Times New Roman" w:hAnsi="Times New Roman" w:cs="Times New Roman"/>
              </w:rPr>
              <w:br/>
              <w:t xml:space="preserve">  - Exposing the ligaments by opening specific anatomical spaces: for example, opening the paravesical space (to visualize the anterior aspect of the transverse cervical ligament) and the pararectal space (to visualize the lateral rectal ligament). Within the paravesical space, the transverse cervical ligament is located anteriorly and contains vessels such as the uterine artery and deep uterine vein; the lateral rectal ligament is positioned posteriorly, attached to the lateral side of the rectum, and involves the course of the pelvic plexus (refer to Figure 77 and Figure 78b).  </w:t>
            </w:r>
            <w:r w:rsidRPr="00CB2EC4">
              <w:rPr>
                <w:rFonts w:ascii="Times New Roman" w:hAnsi="Times New Roman" w:cs="Times New Roman"/>
              </w:rPr>
              <w:br/>
              <w:t xml:space="preserve">  - During surgery, separate the anterior and posterior fascial layers to fully expose the vascular components (e.g., uterine artery and deep uterine vein), and note the structural characteristics of the ligaments: the transverse cervical ligament is thinner and supports the cervix; the lateral rectal ligament is thicker, connects the rectum to the pelvic sidewall, and contains neural elements (e.g., pelvic splanchnic nerves).  </w:t>
            </w:r>
            <w:r w:rsidRPr="00CB2EC4">
              <w:rPr>
                <w:rFonts w:ascii="Times New Roman" w:hAnsi="Times New Roman" w:cs="Times New Roman"/>
              </w:rPr>
              <w:br/>
              <w:t xml:space="preserve">  - Key identification points: the transverse cervical ligament is often in the same fascial layer as the superior vesical artery during resection; the lateral rectal ligament, after complete dissection, shows its attachment to the rectum and is associated with the hypogastric nerve (refer to Figure 160 and Figure 161a,b). The document emphasizes avoiding en bloc clamping and cutting, and instead separating the fascial and vascular components to accurately identify the structures.</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38BD2F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CD6AA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2555F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6A8A77C" w14:textId="77777777">
        <w:tc>
          <w:tcPr>
            <w:tcW w:w="2160" w:type="dxa"/>
            <w:vAlign w:val="center"/>
          </w:tcPr>
          <w:p w14:paraId="4BA9D916"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DF9FCD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radical hysterectomy, identification of the </w:t>
            </w:r>
            <w:r w:rsidRPr="00CB2EC4">
              <w:rPr>
                <w:rFonts w:ascii="Times New Roman" w:hAnsi="Times New Roman" w:cs="Times New Roman"/>
              </w:rPr>
              <w:lastRenderedPageBreak/>
              <w:t>transverse cervical ligament and the rectal lateral ligament is primarily achieved by developing specific anatomical spaces. according to the context:</w:t>
            </w:r>
            <w:r w:rsidRPr="00CB2EC4">
              <w:rPr>
                <w:rFonts w:ascii="Times New Roman" w:hAnsi="Times New Roman" w:cs="Times New Roman"/>
              </w:rPr>
              <w:br/>
              <w:t>- transverse cervical ligament (also termed the vascular part of the cardinal ligament): this structure connects the cervix to the lateral pelvic wall and contains vasculature (e.g., uterine artery and uterine deep vein). identification requires opening the Latzko rectal pararectal space (cranial compartment), followed by dissection of the pre- and post-fascial layers of the transverse cervical ligament to expose its origin at the bifurcation of the internal iliac vessels (see document segments 9, 10).</w:t>
            </w:r>
            <w:r w:rsidRPr="00CB2EC4">
              <w:rPr>
                <w:rFonts w:ascii="Times New Roman" w:hAnsi="Times New Roman" w:cs="Times New Roman"/>
              </w:rPr>
              <w:br/>
              <w:t>- rectal lateral ligament: this structure connects the rectum to the lateral pelvic wall and contains the middle rectal vessels and nerve plexus. identification involves developing the Okabayashi rectal pararectal space or the true lateral rectal space (caudal compartment) by dissecting the lateral aspect of the uterosacral ligament/rectovaginal ligament. after opening the rectovaginal space, the rectal lateral ligament is located at the pelvic floor level and recognized by its attachment to the lateral rectal wall and the tendinous arch of the pelvic fascia (see document segments 5, 7, 26).</w:t>
            </w:r>
            <w:r w:rsidRPr="00CB2EC4">
              <w:rPr>
                <w:rFonts w:ascii="Times New Roman" w:hAnsi="Times New Roman" w:cs="Times New Roman"/>
              </w:rPr>
              <w:br/>
              <w:t xml:space="preserve">- key identification method: both are often considered as a composite (cardinal ligament = transverse cervical ligament + rectal lateral ligament). during surgery, the vesicouterine lateral space and rectal pararectal space (e.g., via Latzko or Okabayashi approach) must first be developed. dissection is then performed at the level of the internal iliac vein: the cranial reflection of the transverse cervical ligament points toward the mesoureter, while the caudal </w:t>
            </w:r>
            <w:r w:rsidRPr="00CB2EC4">
              <w:rPr>
                <w:rFonts w:ascii="Times New Roman" w:hAnsi="Times New Roman" w:cs="Times New Roman"/>
              </w:rPr>
              <w:lastRenderedPageBreak/>
              <w:t>attachment of the rectal lateral ligament is on the superior fascia of the levator ani. failure to adequately develop these spaces may result in fusion and difficulty distinguishing the two structures (see document segments 4, 16).</w:t>
            </w:r>
          </w:p>
        </w:tc>
        <w:tc>
          <w:tcPr>
            <w:tcW w:w="1152" w:type="dxa"/>
            <w:vAlign w:val="center"/>
          </w:tcPr>
          <w:p w14:paraId="0A6639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EC9D1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F706A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ACBB675" w14:textId="77777777">
        <w:tc>
          <w:tcPr>
            <w:tcW w:w="2160" w:type="dxa"/>
            <w:vAlign w:val="center"/>
          </w:tcPr>
          <w:p w14:paraId="4F2E2DA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399AC8FF" w14:textId="77777777" w:rsidR="00922249" w:rsidRPr="00CB2EC4" w:rsidRDefault="003011D5">
            <w:pPr>
              <w:rPr>
                <w:rFonts w:ascii="Times New Roman" w:hAnsi="Times New Roman" w:cs="Times New Roman"/>
              </w:rPr>
            </w:pPr>
            <w:r w:rsidRPr="00CB2EC4">
              <w:rPr>
                <w:rFonts w:ascii="Times New Roman" w:hAnsi="Times New Roman" w:cs="Times New Roman"/>
              </w:rPr>
              <w:t>in radical hysterectomy, identification of the transverse cervical ligament and the rectal lateral ligament is achieved by developing specific surgical spaces. According to the source:</w:t>
            </w:r>
            <w:r w:rsidRPr="00CB2EC4">
              <w:rPr>
                <w:rFonts w:ascii="Times New Roman" w:hAnsi="Times New Roman" w:cs="Times New Roman"/>
              </w:rPr>
              <w:br/>
              <w:t>- The transverse cervical ligament (also considered part of the cardinal ligament complex) and the rectal lateral ligament are anatomically viewed as a composite (cardinal ligament = transverse cervical ligament + rectal lateral ligament). Identification requires exposure through the development of the paravesical space and the rectal lateral space.</w:t>
            </w:r>
            <w:r w:rsidRPr="00CB2EC4">
              <w:rPr>
                <w:rFonts w:ascii="Times New Roman" w:hAnsi="Times New Roman" w:cs="Times New Roman"/>
              </w:rPr>
              <w:br/>
              <w:t>- Specific identification methods:</w:t>
            </w:r>
            <w:r w:rsidRPr="00CB2EC4">
              <w:rPr>
                <w:rFonts w:ascii="Times New Roman" w:hAnsi="Times New Roman" w:cs="Times New Roman"/>
              </w:rPr>
              <w:br/>
              <w:t xml:space="preserve">  - Development of the Latzko rectal lateral space: By dissecting the fascial sheath of the internal iliac vessels and the posterior fascia of the transverse cervical ligament, the cephalad compartment of the rectal lateral space is formed. The transverse cervical ligament is located anterior to this space; its origin can be identified at the branching point of the internal iliac vessels (e.g., uterine artery branch) (referencing sections with [similarity: 0.691] and [similarity: 0.584]).</w:t>
            </w:r>
            <w:r w:rsidRPr="00CB2EC4">
              <w:rPr>
                <w:rFonts w:ascii="Times New Roman" w:hAnsi="Times New Roman" w:cs="Times New Roman"/>
              </w:rPr>
              <w:br/>
              <w:t xml:space="preserve">  - Identification of the rectal lateral ligament: The rectal lateral ligament lies posterior to the transverse cervical ligament and is connected to the rectum. During development of the rectal lateral space, it is exposed by separating the uterosacral ligament and the rectovaginal space. The rectal lateral ligament is typically visible near the pelvic floor (sacral surface) </w:t>
            </w:r>
            <w:r w:rsidRPr="00CB2EC4">
              <w:rPr>
                <w:rFonts w:ascii="Times New Roman" w:hAnsi="Times New Roman" w:cs="Times New Roman"/>
              </w:rPr>
              <w:lastRenderedPageBreak/>
              <w:t>and is associated with the pelvic nerve plexus (referencing sections with [similarity: 0.635] and [similarity: 0.584]).</w:t>
            </w:r>
            <w:r w:rsidRPr="00CB2EC4">
              <w:rPr>
                <w:rFonts w:ascii="Times New Roman" w:hAnsi="Times New Roman" w:cs="Times New Roman"/>
              </w:rPr>
              <w:br/>
              <w:t>- Key point: The transverse cervical ligament is vascular-rich (containing uterine artery and deep uterine vein), while the rectal lateral ligament is more neuro-connective. During surgery, avoid mass ligation; instead, separate the fascial and vascular components to clearly delineate the boundary between the two structures.</w:t>
            </w:r>
          </w:p>
        </w:tc>
        <w:tc>
          <w:tcPr>
            <w:tcW w:w="1152" w:type="dxa"/>
            <w:vAlign w:val="center"/>
          </w:tcPr>
          <w:p w14:paraId="021DAA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718CA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D1FDF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BA88556" w14:textId="77777777">
        <w:tc>
          <w:tcPr>
            <w:tcW w:w="2160" w:type="dxa"/>
            <w:vAlign w:val="center"/>
          </w:tcPr>
          <w:p w14:paraId="2423A07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5D0AA2A" w14:textId="77777777" w:rsidR="00922249" w:rsidRPr="00CB2EC4" w:rsidRDefault="003011D5">
            <w:pPr>
              <w:rPr>
                <w:rFonts w:ascii="Times New Roman" w:hAnsi="Times New Roman" w:cs="Times New Roman"/>
              </w:rPr>
            </w:pPr>
            <w:r w:rsidRPr="00CB2EC4">
              <w:rPr>
                <w:rFonts w:ascii="Times New Roman" w:hAnsi="Times New Roman" w:cs="Times New Roman"/>
              </w:rPr>
              <w:t>how to identify the transverse cervical ligament and the lateral rectal ligament during radical hysterectomy:</w:t>
            </w:r>
            <w:r w:rsidRPr="00CB2EC4">
              <w:rPr>
                <w:rFonts w:ascii="Times New Roman" w:hAnsi="Times New Roman" w:cs="Times New Roman"/>
              </w:rPr>
              <w:br/>
            </w:r>
            <w:r w:rsidRPr="00CB2EC4">
              <w:rPr>
                <w:rFonts w:ascii="Times New Roman" w:hAnsi="Times New Roman" w:cs="Times New Roman"/>
              </w:rPr>
              <w:br/>
              <w:t xml:space="preserve">- transverse cervical ligament:  </w:t>
            </w:r>
            <w:r w:rsidRPr="00CB2EC4">
              <w:rPr>
                <w:rFonts w:ascii="Times New Roman" w:hAnsi="Times New Roman" w:cs="Times New Roman"/>
              </w:rPr>
              <w:br/>
              <w:t xml:space="preserve">  - originates from the uterine branch of the internal iliac artery and attaches to the lateral margin of the cervix (document fragments 1, 23).  </w:t>
            </w:r>
            <w:r w:rsidRPr="00CB2EC4">
              <w:rPr>
                <w:rFonts w:ascii="Times New Roman" w:hAnsi="Times New Roman" w:cs="Times New Roman"/>
              </w:rPr>
              <w:br/>
              <w:t xml:space="preserve">  - during surgery, it is exposed by developing the paravesical space and pararectal space. the upper limit (ventral aspect) is the uterine artery, and the lower limit is the deep uterine vein; its position can be identified by dissecting the ureter and the internal iliac vascular sheath (document fragments 3, 18, 19). for example, during development of the Latzko pararectal space, the posterior fascia of the transverse cervical ligament is revealed after stripping the internal iliac vascular sheath (document fragment 18).  </w:t>
            </w:r>
            <w:r w:rsidRPr="00CB2EC4">
              <w:rPr>
                <w:rFonts w:ascii="Times New Roman" w:hAnsi="Times New Roman" w:cs="Times New Roman"/>
              </w:rPr>
              <w:br/>
              <w:t xml:space="preserve">  - key identification: the transverse cervical ligament is part of the cardinal ligament, defined as the "uterine lateral ligament", and divides at the visceral end into the vesicocervical ligament and the ureteric plate (document fragments 9, 17).  </w:t>
            </w:r>
            <w:r w:rsidRPr="00CB2EC4">
              <w:rPr>
                <w:rFonts w:ascii="Times New Roman" w:hAnsi="Times New Roman" w:cs="Times New Roman"/>
              </w:rPr>
              <w:br/>
              <w:t xml:space="preserve">- lateral rectal ligament:  </w:t>
            </w:r>
            <w:r w:rsidRPr="00CB2EC4">
              <w:rPr>
                <w:rFonts w:ascii="Times New Roman" w:hAnsi="Times New Roman" w:cs="Times New Roman"/>
              </w:rPr>
              <w:br/>
            </w:r>
            <w:r w:rsidRPr="00CB2EC4">
              <w:rPr>
                <w:rFonts w:ascii="Times New Roman" w:hAnsi="Times New Roman" w:cs="Times New Roman"/>
              </w:rPr>
              <w:lastRenderedPageBreak/>
              <w:t xml:space="preserve">  - located at the level of the third sacral vertebra, extends from the lateral posterior pelvic wall to the lateral aspect of the rectum, and transmits the middle rectal artery and vein (document fragment 2).  </w:t>
            </w:r>
            <w:r w:rsidRPr="00CB2EC4">
              <w:rPr>
                <w:rFonts w:ascii="Times New Roman" w:hAnsi="Times New Roman" w:cs="Times New Roman"/>
              </w:rPr>
              <w:br/>
              <w:t xml:space="preserve">  - during surgery, it is identified by opening the Latzko pararectal space or the Okabayashi pararectal space. the lateral rectal ligament forms a complex with the transverse cervical ligament, but their boundaries can be distinguished by anatomical location: the lateral rectal ligament attaches to the rectum and runs perpendicular to it, whereas the transverse cervical ligament is oriented more laterally toward the cervix (document fragments 1, 2, 6). for example, during resection, the transverse cervical ligament is divided at its boundary with the lateral rectal ligament (document fragment 1).  </w:t>
            </w:r>
            <w:r w:rsidRPr="00CB2EC4">
              <w:rPr>
                <w:rFonts w:ascii="Times New Roman" w:hAnsi="Times New Roman" w:cs="Times New Roman"/>
              </w:rPr>
              <w:br/>
              <w:t>- summary of identification methods: during surgery, spaces such as the paravesical space and pararectal space must first be developed. the transverse cervical ligament is located at the level of the uterine artery, while the lateral rectal ligament attaches to the rectum at the sacral level; clear demarcation between the two can be achieved by dissecting the fascial and vascular components (e.g., using an ultrasonic scalpel) (document fragments 3, 6). contextual information is sufficient, based on document fragments 1, 2, 3, 6, 18, 23.</w:t>
            </w:r>
          </w:p>
        </w:tc>
        <w:tc>
          <w:tcPr>
            <w:tcW w:w="1152" w:type="dxa"/>
            <w:vAlign w:val="center"/>
          </w:tcPr>
          <w:p w14:paraId="311CBD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68DE4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C7C67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8003015" w14:textId="77777777">
        <w:tc>
          <w:tcPr>
            <w:tcW w:w="2160" w:type="dxa"/>
            <w:vAlign w:val="center"/>
          </w:tcPr>
          <w:p w14:paraId="1B10132E"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2BC8481" w14:textId="77777777" w:rsidR="00922249" w:rsidRPr="00CB2EC4" w:rsidRDefault="003011D5">
            <w:pPr>
              <w:rPr>
                <w:rFonts w:ascii="Times New Roman" w:hAnsi="Times New Roman" w:cs="Times New Roman"/>
              </w:rPr>
            </w:pPr>
            <w:r w:rsidRPr="00CB2EC4">
              <w:rPr>
                <w:rFonts w:ascii="Times New Roman" w:hAnsi="Times New Roman" w:cs="Times New Roman"/>
              </w:rPr>
              <w:t>in radical hysterectomy, identification of the transverse cervical ligament and lateral rectal ligament is achieved through anatomical positioning, vascular landmarks, and dissection of pelvic spaces. Based on the context:</w:t>
            </w:r>
            <w:r w:rsidRPr="00CB2EC4">
              <w:rPr>
                <w:rFonts w:ascii="Times New Roman" w:hAnsi="Times New Roman" w:cs="Times New Roman"/>
              </w:rPr>
              <w:br/>
              <w:t>- Transverse Cervical Ligament (Cardinal Ligament):</w:t>
            </w:r>
            <w:r w:rsidRPr="00CB2EC4">
              <w:rPr>
                <w:rFonts w:ascii="Times New Roman" w:hAnsi="Times New Roman" w:cs="Times New Roman"/>
              </w:rPr>
              <w:br/>
              <w:t xml:space="preserve">  - Part of the parametrium, located between the </w:t>
            </w:r>
            <w:r w:rsidRPr="00CB2EC4">
              <w:rPr>
                <w:rFonts w:ascii="Times New Roman" w:hAnsi="Times New Roman" w:cs="Times New Roman"/>
              </w:rPr>
              <w:lastRenderedPageBreak/>
              <w:t>paravesical space and pararectal space, connecting the pelvic sidewall (e.g., internal iliac vessels) to the cervix/vagina.</w:t>
            </w:r>
            <w:r w:rsidRPr="00CB2EC4">
              <w:rPr>
                <w:rFonts w:ascii="Times New Roman" w:hAnsi="Times New Roman" w:cs="Times New Roman"/>
              </w:rPr>
              <w:br/>
              <w:t xml:space="preserve">  - Key identification features:</w:t>
            </w:r>
            <w:r w:rsidRPr="00CB2EC4">
              <w:rPr>
                <w:rFonts w:ascii="Times New Roman" w:hAnsi="Times New Roman" w:cs="Times New Roman"/>
              </w:rPr>
              <w:br/>
              <w:t xml:space="preserve">    - Contains uterine artery, deep uterine vein, superior vesical artery (Segment 1, Fig. 38, 42, 44).</w:t>
            </w:r>
            <w:r w:rsidRPr="00CB2EC4">
              <w:rPr>
                <w:rFonts w:ascii="Times New Roman" w:hAnsi="Times New Roman" w:cs="Times New Roman"/>
              </w:rPr>
              <w:br/>
              <w:t xml:space="preserve">    - Exposed by developing the paravesical space and pararectal space. For example, in the Latzko approach, dissecting the upper portion of the pararectal space reveals the origin of the transverse cervical ligament (Segment 2, Fig. 70; Segment 4).</w:t>
            </w:r>
            <w:r w:rsidRPr="00CB2EC4">
              <w:rPr>
                <w:rFonts w:ascii="Times New Roman" w:hAnsi="Times New Roman" w:cs="Times New Roman"/>
              </w:rPr>
              <w:br/>
              <w:t xml:space="preserve">    - Histologically divided into anterior and posterior fascial layers; the posterior fascia connects to the mesoureter (Segment 1, Fig. 47; Segment 6).</w:t>
            </w:r>
            <w:r w:rsidRPr="00CB2EC4">
              <w:rPr>
                <w:rFonts w:ascii="Times New Roman" w:hAnsi="Times New Roman" w:cs="Times New Roman"/>
              </w:rPr>
              <w:br/>
              <w:t>- Lateral Rectal Ligament:</w:t>
            </w:r>
            <w:r w:rsidRPr="00CB2EC4">
              <w:rPr>
                <w:rFonts w:ascii="Times New Roman" w:hAnsi="Times New Roman" w:cs="Times New Roman"/>
              </w:rPr>
              <w:br/>
              <w:t xml:space="preserve">  - Another component of the parametrium, connecting the rectum to the pelvic sidewall, involving the middle rectal vein and nerve pathways.</w:t>
            </w:r>
            <w:r w:rsidRPr="00CB2EC4">
              <w:rPr>
                <w:rFonts w:ascii="Times New Roman" w:hAnsi="Times New Roman" w:cs="Times New Roman"/>
              </w:rPr>
              <w:br/>
              <w:t xml:space="preserve">  - Key identification features:</w:t>
            </w:r>
            <w:r w:rsidRPr="00CB2EC4">
              <w:rPr>
                <w:rFonts w:ascii="Times New Roman" w:hAnsi="Times New Roman" w:cs="Times New Roman"/>
              </w:rPr>
              <w:br/>
              <w:t xml:space="preserve">    - Located deep to the transverse cervical ligament, attached to the lateral aspect of the rectum, containing the middle rectal vein and branches of the pelvic plexus (Segment 4, Fig. 78b; Segment 8, Fig. 163).</w:t>
            </w:r>
            <w:r w:rsidRPr="00CB2EC4">
              <w:rPr>
                <w:rFonts w:ascii="Times New Roman" w:hAnsi="Times New Roman" w:cs="Times New Roman"/>
              </w:rPr>
              <w:br/>
              <w:t xml:space="preserve">    - Exposed by dissecting the lower portion of the pararectal space or the Okabayashi space. For example, in the Latzko approach, incising the superior fascia of the levator ani to form the lower compartment allows identification of the lateral rectal ligament (Segment 2; Segment 3, Table 15).</w:t>
            </w:r>
            <w:r w:rsidRPr="00CB2EC4">
              <w:rPr>
                <w:rFonts w:ascii="Times New Roman" w:hAnsi="Times New Roman" w:cs="Times New Roman"/>
              </w:rPr>
              <w:br/>
              <w:t xml:space="preserve">    - Boundary with transverse cervical ligament: after resection of the transverse cervical ligament, the lateral rectal ligament is exposed at the pelvic floor, with the hypogastric nerve often entering its attachment site (Segment 8, Fig. 161a,b; Segment 9).</w:t>
            </w:r>
            <w:r w:rsidRPr="00CB2EC4">
              <w:rPr>
                <w:rFonts w:ascii="Times New Roman" w:hAnsi="Times New Roman" w:cs="Times New Roman"/>
              </w:rPr>
              <w:br/>
            </w:r>
            <w:r w:rsidRPr="00CB2EC4">
              <w:rPr>
                <w:rFonts w:ascii="Times New Roman" w:hAnsi="Times New Roman" w:cs="Times New Roman"/>
              </w:rPr>
              <w:lastRenderedPageBreak/>
              <w:t>- Summary of identification methods:</w:t>
            </w:r>
            <w:r w:rsidRPr="00CB2EC4">
              <w:rPr>
                <w:rFonts w:ascii="Times New Roman" w:hAnsi="Times New Roman" w:cs="Times New Roman"/>
              </w:rPr>
              <w:br/>
              <w:t xml:space="preserve">  - During surgery, first develop key spaces (e.g., paravesical space, pararectal space), using vascular landmarks (e.g., deep uterine vein) and nerve pathways (e.g., hypogastric nerve) for differentiation. The transverse cervical ligament is more superficial and involves uterine vessels; the lateral rectal ligament is deeper and involves rectal vessels and the pelvic plexus. Avoid clamping en bloc; instead, separate the fascial and vascular components (Segment 5, 4.2.3; Segment 9).</w:t>
            </w:r>
          </w:p>
        </w:tc>
        <w:tc>
          <w:tcPr>
            <w:tcW w:w="1152" w:type="dxa"/>
            <w:vAlign w:val="center"/>
          </w:tcPr>
          <w:p w14:paraId="25343C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1237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F375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6BB4F5" w14:textId="77777777">
        <w:tc>
          <w:tcPr>
            <w:tcW w:w="2160" w:type="dxa"/>
            <w:vAlign w:val="center"/>
          </w:tcPr>
          <w:p w14:paraId="1A4182C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5E43BEE6" w14:textId="77777777" w:rsidR="00922249" w:rsidRPr="00CB2EC4" w:rsidRDefault="003011D5">
            <w:pPr>
              <w:rPr>
                <w:rFonts w:ascii="Times New Roman" w:hAnsi="Times New Roman" w:cs="Times New Roman"/>
              </w:rPr>
            </w:pPr>
            <w:r w:rsidRPr="00CB2EC4">
              <w:rPr>
                <w:rFonts w:ascii="Times New Roman" w:hAnsi="Times New Roman" w:cs="Times New Roman"/>
              </w:rPr>
              <w:t>identification methods are as follows:</w:t>
            </w:r>
            <w:r w:rsidRPr="00CB2EC4">
              <w:rPr>
                <w:rFonts w:ascii="Times New Roman" w:hAnsi="Times New Roman" w:cs="Times New Roman"/>
              </w:rPr>
              <w:br/>
              <w:t xml:space="preserve">  - cardinal ligament: located lateral to the cervix, connecting the cervix to the pelvic sidewall, containing the uterine artery and vein. Identification requires dissection lateral to the parametrium to expose its root (originating from branches of the internal iliac vessels); the ligament is fan-shaped and firm in texture.</w:t>
            </w:r>
            <w:r w:rsidRPr="00CB2EC4">
              <w:rPr>
                <w:rFonts w:ascii="Times New Roman" w:hAnsi="Times New Roman" w:cs="Times New Roman"/>
              </w:rPr>
              <w:br/>
              <w:t xml:space="preserve">  - rectal pillar: located beside the rectum, connecting the rectum to the pelvic sidewall, containing the middle rectal artery and autonomic nerve fibers. Identification requires blunt dissection in the pararectal space; the ligament is situated lateral to the rectal mesentery, adjacent to but more posterior than the cardinal ligament.</w:t>
            </w:r>
            <w:r w:rsidRPr="00CB2EC4">
              <w:rPr>
                <w:rFonts w:ascii="Times New Roman" w:hAnsi="Times New Roman" w:cs="Times New Roman"/>
              </w:rPr>
              <w:br/>
              <w:t xml:space="preserve">  - key point: intraoperatively, separate via anatomical spaces (such as the paravesical and pararectal spaces); the cardinal ligament is anterolateral, and the rectal pillar is posterolateral. Avoid confusion to protect adjacent nerves and the ureter.</w:t>
            </w:r>
          </w:p>
        </w:tc>
        <w:tc>
          <w:tcPr>
            <w:tcW w:w="1152" w:type="dxa"/>
            <w:vAlign w:val="center"/>
          </w:tcPr>
          <w:p w14:paraId="67FF61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B5AFD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CB2A4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C80A07C" w14:textId="77777777">
        <w:tc>
          <w:tcPr>
            <w:tcW w:w="10656" w:type="dxa"/>
            <w:gridSpan w:val="5"/>
            <w:tcBorders>
              <w:bottom w:val="single" w:sz="6" w:space="0" w:color="auto"/>
            </w:tcBorders>
            <w:vAlign w:val="center"/>
          </w:tcPr>
          <w:p w14:paraId="7B0A12D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107: Briefly describe the course of the pelvic autonomic nerves.</w:t>
            </w:r>
          </w:p>
        </w:tc>
      </w:tr>
      <w:tr w:rsidR="00922249" w:rsidRPr="00CB2EC4" w14:paraId="1AE1BFD6" w14:textId="77777777">
        <w:tc>
          <w:tcPr>
            <w:tcW w:w="2160" w:type="dxa"/>
            <w:vAlign w:val="center"/>
          </w:tcPr>
          <w:p w14:paraId="7D9996A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8365EB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course of the pelvic autonomic nerves is detailed </w:t>
            </w:r>
            <w:r w:rsidRPr="00CB2EC4">
              <w:rPr>
                <w:rFonts w:ascii="Times New Roman" w:hAnsi="Times New Roman" w:cs="Times New Roman"/>
              </w:rPr>
              <w:lastRenderedPageBreak/>
              <w:t>in the document as follows:</w:t>
            </w:r>
            <w:r w:rsidRPr="00CB2EC4">
              <w:rPr>
                <w:rFonts w:ascii="Times New Roman" w:hAnsi="Times New Roman" w:cs="Times New Roman"/>
              </w:rPr>
              <w:br/>
            </w:r>
            <w:r w:rsidRPr="00CB2EC4">
              <w:rPr>
                <w:rFonts w:ascii="Times New Roman" w:hAnsi="Times New Roman" w:cs="Times New Roman"/>
              </w:rPr>
              <w:br/>
              <w:t>- Hypogastric nerve: courses anteriorly from the front of the sacrum and penetrates the rectal attachment of the lateral rectal ligament.</w:t>
            </w:r>
            <w:r w:rsidRPr="00CB2EC4">
              <w:rPr>
                <w:rFonts w:ascii="Times New Roman" w:hAnsi="Times New Roman" w:cs="Times New Roman"/>
              </w:rPr>
              <w:br/>
              <w:t>- Pelvic plexus: the hypogastric nerve forms the pelvic plexus (located between the lateral rectal ligament and the pelvic sidewall) within the lateral rectal ligament region.</w:t>
            </w:r>
            <w:r w:rsidRPr="00CB2EC4">
              <w:rPr>
                <w:rFonts w:ascii="Times New Roman" w:hAnsi="Times New Roman" w:cs="Times New Roman"/>
              </w:rPr>
              <w:br/>
              <w:t>- Bladder nerve branches: arise from the pelvic plexus and travel within the posterior layer (neural part) of the vesicouterine ligament, entering the bladder. Specifically, they run parallel to the superior vesical vein and pass through the preserved posterior layer (neural part) of the vesicouterine ligament.</w:t>
            </w:r>
            <w:r w:rsidRPr="00CB2EC4">
              <w:rPr>
                <w:rFonts w:ascii="Times New Roman" w:hAnsi="Times New Roman" w:cs="Times New Roman"/>
              </w:rPr>
              <w:br/>
              <w:t>- Other nerves: pelvic splanchnic nerves (originating from S2–S4) contribute to the formation of the pelvic plexus, but their origin and course are not detailed in the document.</w:t>
            </w:r>
            <w:r w:rsidRPr="00CB2EC4">
              <w:rPr>
                <w:rFonts w:ascii="Times New Roman" w:hAnsi="Times New Roman" w:cs="Times New Roman"/>
              </w:rPr>
              <w:br/>
              <w:t>- Summary: the nerve pathway is hypogastric nerve → rectal attachment of lateral rectal ligament → pelvic plexus → bladder nerve branches → bladder (as stated in the document [similarity: 0.635]: "the hypogastric nerve penetrates the rectal attachment of the lateral rectal ligament, then forms the pelvic plexus, from which the bladder nerve branches... enter the bladder", and as shown in Figure 161b).</w:t>
            </w:r>
          </w:p>
        </w:tc>
        <w:tc>
          <w:tcPr>
            <w:tcW w:w="1152" w:type="dxa"/>
            <w:vAlign w:val="center"/>
          </w:tcPr>
          <w:p w14:paraId="28DB58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1EDB2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6F39D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38C0163" w14:textId="77777777">
        <w:tc>
          <w:tcPr>
            <w:tcW w:w="2160" w:type="dxa"/>
            <w:vAlign w:val="center"/>
          </w:tcPr>
          <w:p w14:paraId="61894237"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9BE3123" w14:textId="77777777" w:rsidR="00922249" w:rsidRPr="00CB2EC4" w:rsidRDefault="003011D5">
            <w:pPr>
              <w:rPr>
                <w:rFonts w:ascii="Times New Roman" w:hAnsi="Times New Roman" w:cs="Times New Roman"/>
              </w:rPr>
            </w:pPr>
            <w:r w:rsidRPr="00CB2EC4">
              <w:rPr>
                <w:rFonts w:ascii="Times New Roman" w:hAnsi="Times New Roman" w:cs="Times New Roman"/>
              </w:rPr>
              <w:t>the course of pelvic autonomic nerves is detailed in the documents as follows:</w:t>
            </w:r>
            <w:r w:rsidRPr="00CB2EC4">
              <w:rPr>
                <w:rFonts w:ascii="Times New Roman" w:hAnsi="Times New Roman" w:cs="Times New Roman"/>
              </w:rPr>
              <w:br/>
            </w:r>
            <w:r w:rsidRPr="00CB2EC4">
              <w:rPr>
                <w:rFonts w:ascii="Times New Roman" w:hAnsi="Times New Roman" w:cs="Times New Roman"/>
              </w:rPr>
              <w:br/>
              <w:t xml:space="preserve">- Hypogastric nerve: Descends from the presacral sympathetic chain, runs along the lateral wall of the rectum, and enters the pelvic plexus. It is visible when dissecting the rectal lateral space (e.g., Latzko’s </w:t>
            </w:r>
            <w:r w:rsidRPr="00CB2EC4">
              <w:rPr>
                <w:rFonts w:ascii="Times New Roman" w:hAnsi="Times New Roman" w:cs="Times New Roman"/>
              </w:rPr>
              <w:lastRenderedPageBreak/>
              <w:t>cranial compartment) (block topic: Steps of Radical Cervicectomy, block no. 527; block topic: Pelvic Cavity Anatomy and Surgery, block no. 100).</w:t>
            </w:r>
            <w:r w:rsidRPr="00CB2EC4">
              <w:rPr>
                <w:rFonts w:ascii="Times New Roman" w:hAnsi="Times New Roman" w:cs="Times New Roman"/>
              </w:rPr>
              <w:br/>
              <w:t>- Pelvic splanchnic nerves: Originate from the sacral nerve roots (S2–S4), course ventrally along the lateral pelvic wall, and join the pelvic plexus. They are exposed during dissection of the lateral vesical space or rectal lateral space, particularly in the cardinal ligament region (block topic: Discussion on Nerve Preservation in Cervical Cancer Surgery, block no. 222; block topic: Analysis of Radical Hysterectomy, block no. 150).</w:t>
            </w:r>
            <w:r w:rsidRPr="00CB2EC4">
              <w:rPr>
                <w:rFonts w:ascii="Times New Roman" w:hAnsi="Times New Roman" w:cs="Times New Roman"/>
              </w:rPr>
              <w:br/>
              <w:t>- Pelvic plexus: Formed by the convergence of the hypogastric nerve and pelvic splanchnic nerves, located deep to the lateral rectal ligament and transverse cervical ligament. Branches include:</w:t>
            </w:r>
            <w:r w:rsidRPr="00CB2EC4">
              <w:rPr>
                <w:rFonts w:ascii="Times New Roman" w:hAnsi="Times New Roman" w:cs="Times New Roman"/>
              </w:rPr>
              <w:br/>
              <w:t xml:space="preserve">  - Vesical branch: Courses within the posterior layer of the vesicouterine ligament (vesicocervical ligament), runs parallel to the superior vesical vein, and enters the bladder.</w:t>
            </w:r>
            <w:r w:rsidRPr="00CB2EC4">
              <w:rPr>
                <w:rFonts w:ascii="Times New Roman" w:hAnsi="Times New Roman" w:cs="Times New Roman"/>
              </w:rPr>
              <w:br/>
              <w:t xml:space="preserve">  - Rectal branch: Courses within the rectovaginal ligament, innervates the rectum (block topic: Anatomy of Posterior Layer of Vesicouterine Ligament, block no. 124; block topic: Nerve-Sparing Radical Hysterectomy, block no. 207).</w:t>
            </w:r>
            <w:r w:rsidRPr="00CB2EC4">
              <w:rPr>
                <w:rFonts w:ascii="Times New Roman" w:hAnsi="Times New Roman" w:cs="Times New Roman"/>
              </w:rPr>
              <w:br/>
              <w:t xml:space="preserve">- Summary of course: Hypogastric nerve + Pelvic splanchnic nerves → Pelvic plexus → Vesical branch/Rectal branch. The documents emphasize that nerve pathways are closely associated with vascular bundles (e.g., superior vesical vein), and identification during surgery should occur near the posterior layer of the vesicouterine ligament and transverse cervical ligament (block topic: Key Anatomical Points in Cervical Cancer Surgery, block no. 151; block topic: </w:t>
            </w:r>
            <w:r w:rsidRPr="00CB2EC4">
              <w:rPr>
                <w:rFonts w:ascii="Times New Roman" w:hAnsi="Times New Roman" w:cs="Times New Roman"/>
              </w:rPr>
              <w:lastRenderedPageBreak/>
              <w:t>Key Points Analysis of Radical Hysterectomy, block no. 223).</w:t>
            </w:r>
          </w:p>
        </w:tc>
        <w:tc>
          <w:tcPr>
            <w:tcW w:w="1152" w:type="dxa"/>
            <w:vAlign w:val="center"/>
          </w:tcPr>
          <w:p w14:paraId="407000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3DF7B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F8099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C9CFEA1" w14:textId="77777777">
        <w:tc>
          <w:tcPr>
            <w:tcW w:w="2160" w:type="dxa"/>
            <w:vAlign w:val="center"/>
          </w:tcPr>
          <w:p w14:paraId="7D1DEB4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7FD9265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Sympathetic component:  </w:t>
            </w:r>
            <w:r w:rsidRPr="00CB2EC4">
              <w:rPr>
                <w:rFonts w:ascii="Times New Roman" w:hAnsi="Times New Roman" w:cs="Times New Roman"/>
              </w:rPr>
              <w:br/>
              <w:t xml:space="preserve">  - Originates from T11-L2 nerve roots, descends from the anterior aspect of the abdominal aorta across the sacral promontory to form the presacral nerve plexus (superior hypogastric plexus, SHP).  </w:t>
            </w:r>
            <w:r w:rsidRPr="00CB2EC4">
              <w:rPr>
                <w:rFonts w:ascii="Times New Roman" w:hAnsi="Times New Roman" w:cs="Times New Roman"/>
              </w:rPr>
              <w:br/>
              <w:t xml:space="preserve">  - The SHP divides into two cord-like hypogastric nerves (HN) along the common iliac artery and internal iliac vessels, passing medial and inferior to the ureter, closely adjacent to the rectal mesentery, directed outward and downward toward the level of the uterine artery.  </w:t>
            </w:r>
            <w:r w:rsidRPr="00CB2EC4">
              <w:rPr>
                <w:rFonts w:ascii="Times New Roman" w:hAnsi="Times New Roman" w:cs="Times New Roman"/>
              </w:rPr>
              <w:br/>
              <w:t xml:space="preserve">- Parasympathetic component:  </w:t>
            </w:r>
            <w:r w:rsidRPr="00CB2EC4">
              <w:rPr>
                <w:rFonts w:ascii="Times New Roman" w:hAnsi="Times New Roman" w:cs="Times New Roman"/>
              </w:rPr>
              <w:br/>
              <w:t xml:space="preserve">  - Originates from S2-S4 nerve roots; the pelvic splanchnic nerves (PSN) exit through the sacral foramina and course anteroinferiorly deep to the lateral rectal ligaments.  </w:t>
            </w:r>
            <w:r w:rsidRPr="00CB2EC4">
              <w:rPr>
                <w:rFonts w:ascii="Times New Roman" w:hAnsi="Times New Roman" w:cs="Times New Roman"/>
              </w:rPr>
              <w:br/>
              <w:t xml:space="preserve">- Formation of nerve plexus:  </w:t>
            </w:r>
            <w:r w:rsidRPr="00CB2EC4">
              <w:rPr>
                <w:rFonts w:ascii="Times New Roman" w:hAnsi="Times New Roman" w:cs="Times New Roman"/>
              </w:rPr>
              <w:br/>
              <w:t xml:space="preserve">  - PSN and HN converge beside the rectum to form the inferior hypogastric plexus (IHP).  </w:t>
            </w:r>
            <w:r w:rsidRPr="00CB2EC4">
              <w:rPr>
                <w:rFonts w:ascii="Times New Roman" w:hAnsi="Times New Roman" w:cs="Times New Roman"/>
              </w:rPr>
              <w:br/>
              <w:t xml:space="preserve">  - The IHP gives off branches innervating pelvic viscera: including uterine cervical branches, vaginal branches, bladder branches, and rectal branches (Document Fragment 16).  </w:t>
            </w:r>
            <w:r w:rsidRPr="00CB2EC4">
              <w:rPr>
                <w:rFonts w:ascii="Times New Roman" w:hAnsi="Times New Roman" w:cs="Times New Roman"/>
              </w:rPr>
              <w:br/>
              <w:t xml:space="preserve">- Key anatomical details:  </w:t>
            </w:r>
            <w:r w:rsidRPr="00CB2EC4">
              <w:rPr>
                <w:rFonts w:ascii="Times New Roman" w:hAnsi="Times New Roman" w:cs="Times New Roman"/>
              </w:rPr>
              <w:br/>
              <w:t xml:space="preserve">  - Hypogastric nerves (HN) run parallel to the rectum, within the lateral tissue of the uterosacral ligaments, approximately 2 cm inferior to the ureter (Document Fragment 16).  </w:t>
            </w:r>
            <w:r w:rsidRPr="00CB2EC4">
              <w:rPr>
                <w:rFonts w:ascii="Times New Roman" w:hAnsi="Times New Roman" w:cs="Times New Roman"/>
              </w:rPr>
              <w:br/>
              <w:t xml:space="preserve">  - Bladder nerve branches course along the dorsal-lateral aspect of the superior vesical vein, within the posterior layer of the vesicouterine ligament (vesicocervical ligament), and are independent of the </w:t>
            </w:r>
            <w:r w:rsidRPr="00CB2EC4">
              <w:rPr>
                <w:rFonts w:ascii="Times New Roman" w:hAnsi="Times New Roman" w:cs="Times New Roman"/>
              </w:rPr>
              <w:lastRenderedPageBreak/>
              <w:t xml:space="preserve">vaginal nerve branches (Document Fragments 5, 9, 24).  </w:t>
            </w:r>
            <w:r w:rsidRPr="00CB2EC4">
              <w:rPr>
                <w:rFonts w:ascii="Times New Roman" w:hAnsi="Times New Roman" w:cs="Times New Roman"/>
              </w:rPr>
              <w:br/>
              <w:t xml:space="preserve">  - The pelvic nerve plexus is located near the lateral rectal ligaments, with nerve branches (e.g., bladder branches) running alongside veins such as the superior vesical vein (Document Fragments 5, 13).</w:t>
            </w:r>
          </w:p>
        </w:tc>
        <w:tc>
          <w:tcPr>
            <w:tcW w:w="1152" w:type="dxa"/>
            <w:vAlign w:val="center"/>
          </w:tcPr>
          <w:p w14:paraId="489FCB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55140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34E0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8D0C93" w14:textId="77777777">
        <w:tc>
          <w:tcPr>
            <w:tcW w:w="2160" w:type="dxa"/>
            <w:vAlign w:val="center"/>
          </w:tcPr>
          <w:p w14:paraId="3DE14AE5"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702F5F5" w14:textId="77777777" w:rsidR="00922249" w:rsidRPr="00CB2EC4" w:rsidRDefault="003011D5">
            <w:pPr>
              <w:rPr>
                <w:rFonts w:ascii="Times New Roman" w:hAnsi="Times New Roman" w:cs="Times New Roman"/>
              </w:rPr>
            </w:pPr>
            <w:r w:rsidRPr="00CB2EC4">
              <w:rPr>
                <w:rFonts w:ascii="Times New Roman" w:hAnsi="Times New Roman" w:cs="Times New Roman"/>
              </w:rPr>
              <w:t>the pelvic autonomic nerves consist of the hypogastric nerve (sympathetic) and the pelvic splanchnic nerves (parasympathetic, S2–S4), which converge to form the pelvic plexus (Fig. 13, Fig. 45a).</w:t>
            </w:r>
            <w:r w:rsidRPr="00CB2EC4">
              <w:rPr>
                <w:rFonts w:ascii="Times New Roman" w:hAnsi="Times New Roman" w:cs="Times New Roman"/>
              </w:rPr>
              <w:br/>
            </w:r>
            <w:r w:rsidRPr="00CB2EC4">
              <w:rPr>
                <w:rFonts w:ascii="Times New Roman" w:hAnsi="Times New Roman" w:cs="Times New Roman"/>
              </w:rPr>
              <w:br/>
              <w:t>the course is as follows:</w:t>
            </w:r>
            <w:r w:rsidRPr="00CB2EC4">
              <w:rPr>
                <w:rFonts w:ascii="Times New Roman" w:hAnsi="Times New Roman" w:cs="Times New Roman"/>
              </w:rPr>
              <w:br/>
              <w:t>- the hypogastric nerve descends along the lateral side of the rectal mesentery.</w:t>
            </w:r>
            <w:r w:rsidRPr="00CB2EC4">
              <w:rPr>
                <w:rFonts w:ascii="Times New Roman" w:hAnsi="Times New Roman" w:cs="Times New Roman"/>
              </w:rPr>
              <w:br/>
              <w:t>- the pelvic splanchnic nerves penetrate the deep part of the lateral rectal ligament and join the pelvic plexus.</w:t>
            </w:r>
            <w:r w:rsidRPr="00CB2EC4">
              <w:rPr>
                <w:rFonts w:ascii="Times New Roman" w:hAnsi="Times New Roman" w:cs="Times New Roman"/>
              </w:rPr>
              <w:br/>
              <w:t>- the pelvic plexus gives off the bladder branch, which accompanies the superior vesical vein within the posterior layer of the vesicocervical ligament (Fig. 36a, Fig. 155).</w:t>
            </w:r>
            <w:r w:rsidRPr="00CB2EC4">
              <w:rPr>
                <w:rFonts w:ascii="Times New Roman" w:hAnsi="Times New Roman" w:cs="Times New Roman"/>
              </w:rPr>
              <w:br/>
            </w:r>
            <w:r w:rsidRPr="00CB2EC4">
              <w:rPr>
                <w:rFonts w:ascii="Times New Roman" w:hAnsi="Times New Roman" w:cs="Times New Roman"/>
              </w:rPr>
              <w:br/>
              <w:t>key intraoperative protection: preserving the lateral rectal ligament avoids injury to the pelvic splanchnic nerves (Fig. 178–179).</w:t>
            </w:r>
            <w:r w:rsidRPr="00CB2EC4">
              <w:rPr>
                <w:rFonts w:ascii="Times New Roman" w:hAnsi="Times New Roman" w:cs="Times New Roman"/>
              </w:rPr>
              <w:br/>
            </w:r>
            <w:r w:rsidRPr="00CB2EC4">
              <w:rPr>
                <w:rFonts w:ascii="Times New Roman" w:hAnsi="Times New Roman" w:cs="Times New Roman"/>
              </w:rPr>
              <w:br/>
              <w:t>note: online sources mention nerve pathways beneath the ureter and lateral to the uterosacral ligaments but do not detail branch courses.</w:t>
            </w:r>
            <w:r w:rsidRPr="00CB2EC4">
              <w:rPr>
                <w:rFonts w:ascii="Times New Roman" w:hAnsi="Times New Roman" w:cs="Times New Roman"/>
              </w:rPr>
              <w:br/>
            </w:r>
            <w:r w:rsidRPr="00CB2EC4">
              <w:rPr>
                <w:rFonts w:ascii="Times New Roman" w:hAnsi="Times New Roman" w:cs="Times New Roman"/>
              </w:rPr>
              <w:br/>
              <w:t>conclusion: the nerves run deep within the lateral rectal ligament, and the bladder branch accompanies the superior vesical vein.</w:t>
            </w:r>
          </w:p>
        </w:tc>
        <w:tc>
          <w:tcPr>
            <w:tcW w:w="1152" w:type="dxa"/>
            <w:vAlign w:val="center"/>
          </w:tcPr>
          <w:p w14:paraId="17A265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C1949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1323E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9FCB40D" w14:textId="77777777">
        <w:tc>
          <w:tcPr>
            <w:tcW w:w="2160" w:type="dxa"/>
            <w:vAlign w:val="center"/>
          </w:tcPr>
          <w:p w14:paraId="6128663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65E6A9FE" w14:textId="77777777" w:rsidR="00922249" w:rsidRPr="00CB2EC4" w:rsidRDefault="003011D5">
            <w:pPr>
              <w:rPr>
                <w:rFonts w:ascii="Times New Roman" w:hAnsi="Times New Roman" w:cs="Times New Roman"/>
              </w:rPr>
            </w:pPr>
            <w:r w:rsidRPr="00CB2EC4">
              <w:rPr>
                <w:rFonts w:ascii="Times New Roman" w:hAnsi="Times New Roman" w:cs="Times New Roman"/>
              </w:rPr>
              <w:t>the course of pelvic autonomic nerves is detailed in the document (segments 2, 6, 16, 17, 23):</w:t>
            </w:r>
            <w:r w:rsidRPr="00CB2EC4">
              <w:rPr>
                <w:rFonts w:ascii="Times New Roman" w:hAnsi="Times New Roman" w:cs="Times New Roman"/>
              </w:rPr>
              <w:br/>
              <w:t>- Main nerve components: Pelvic autonomic nerves include the hypogastric nerve (sympathetic), pelvic splanchnic nerves (parasympathetic, originating from S2-S4 sacral nerves), and their convergence forming the pelvic plexus (inferior hypogastric plexus).</w:t>
            </w:r>
            <w:r w:rsidRPr="00CB2EC4">
              <w:rPr>
                <w:rFonts w:ascii="Times New Roman" w:hAnsi="Times New Roman" w:cs="Times New Roman"/>
              </w:rPr>
              <w:br/>
              <w:t>- Course:</w:t>
            </w:r>
            <w:r w:rsidRPr="00CB2EC4">
              <w:rPr>
                <w:rFonts w:ascii="Times New Roman" w:hAnsi="Times New Roman" w:cs="Times New Roman"/>
              </w:rPr>
              <w:br/>
              <w:t xml:space="preserve">  - The hypogastric nerve descends from the lumbosacral region, enters the pelvic plexus along the lateral pelvic wall.</w:t>
            </w:r>
            <w:r w:rsidRPr="00CB2EC4">
              <w:rPr>
                <w:rFonts w:ascii="Times New Roman" w:hAnsi="Times New Roman" w:cs="Times New Roman"/>
              </w:rPr>
              <w:br/>
              <w:t xml:space="preserve">  - The pelvic splanchnic nerves emerge from the sacral foramina, traverse the area of the lateral rectal ligament, and join the pelvic plexus.</w:t>
            </w:r>
            <w:r w:rsidRPr="00CB2EC4">
              <w:rPr>
                <w:rFonts w:ascii="Times New Roman" w:hAnsi="Times New Roman" w:cs="Times New Roman"/>
              </w:rPr>
              <w:br/>
              <w:t xml:space="preserve">  - The pelvic plexus is located deep to the lateral rectal ligament and transverse cervical ligament; its branches include the vesical branch (to the bladder), rectal branch (to the rectum), and vaginal branch (to the vagina). The vesical branch runs parallel to the superior vesical vein within the posterior layer of the vesicouterine ligament (bladder-cervix ligament) (document segments 16 and 23).</w:t>
            </w:r>
            <w:r w:rsidRPr="00CB2EC4">
              <w:rPr>
                <w:rFonts w:ascii="Times New Roman" w:hAnsi="Times New Roman" w:cs="Times New Roman"/>
              </w:rPr>
              <w:br/>
              <w:t>- Intraoperative observation: During dissection of the lateral rectal space and vesical lateral space, the nerve plexus is often exposed dorsal to the ureter and deep uterine vein; for example, Figure 18 in document segment 17 shows the pelvic splanchnic nerves joining the cardinal ligament at the visceral end.</w:t>
            </w:r>
          </w:p>
        </w:tc>
        <w:tc>
          <w:tcPr>
            <w:tcW w:w="1152" w:type="dxa"/>
            <w:vAlign w:val="center"/>
          </w:tcPr>
          <w:p w14:paraId="5D1456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53EF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26AE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7352AC" w14:textId="77777777">
        <w:tc>
          <w:tcPr>
            <w:tcW w:w="2160" w:type="dxa"/>
            <w:vAlign w:val="center"/>
          </w:tcPr>
          <w:p w14:paraId="1E94376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71D6A37" w14:textId="77777777" w:rsidR="00922249" w:rsidRPr="00CB2EC4" w:rsidRDefault="003011D5">
            <w:pPr>
              <w:rPr>
                <w:rFonts w:ascii="Times New Roman" w:hAnsi="Times New Roman" w:cs="Times New Roman"/>
              </w:rPr>
            </w:pPr>
            <w:r w:rsidRPr="00CB2EC4">
              <w:rPr>
                <w:rFonts w:ascii="Times New Roman" w:hAnsi="Times New Roman" w:cs="Times New Roman"/>
              </w:rPr>
              <w:t>the course of pelvic autonomic nerves is summarized as follows based on contextual information:</w:t>
            </w:r>
            <w:r w:rsidRPr="00CB2EC4">
              <w:rPr>
                <w:rFonts w:ascii="Times New Roman" w:hAnsi="Times New Roman" w:cs="Times New Roman"/>
              </w:rPr>
              <w:br/>
            </w:r>
            <w:r w:rsidRPr="00CB2EC4">
              <w:rPr>
                <w:rFonts w:ascii="Times New Roman" w:hAnsi="Times New Roman" w:cs="Times New Roman"/>
              </w:rPr>
              <w:br/>
              <w:t xml:space="preserve">- **Nerve composition:**  </w:t>
            </w:r>
            <w:r w:rsidRPr="00CB2EC4">
              <w:rPr>
                <w:rFonts w:ascii="Times New Roman" w:hAnsi="Times New Roman" w:cs="Times New Roman"/>
              </w:rPr>
              <w:br/>
              <w:t xml:space="preserve">  Pelvic autonomic nerves consist of sympathetic nerves (hypogastric nerve) and parasympathetic </w:t>
            </w:r>
            <w:r w:rsidRPr="00CB2EC4">
              <w:rPr>
                <w:rFonts w:ascii="Times New Roman" w:hAnsi="Times New Roman" w:cs="Times New Roman"/>
              </w:rPr>
              <w:lastRenderedPageBreak/>
              <w:t>nerves (pelvic splanchnic nerves). The hypogastric nerve descends from the sympathetic trunk; the pelvic splanchnic nerves arise from the S2–S4 sacral nerves.</w:t>
            </w:r>
            <w:r w:rsidRPr="00CB2EC4">
              <w:rPr>
                <w:rFonts w:ascii="Times New Roman" w:hAnsi="Times New Roman" w:cs="Times New Roman"/>
              </w:rPr>
              <w:br/>
            </w:r>
            <w:r w:rsidRPr="00CB2EC4">
              <w:rPr>
                <w:rFonts w:ascii="Times New Roman" w:hAnsi="Times New Roman" w:cs="Times New Roman"/>
              </w:rPr>
              <w:br/>
              <w:t xml:space="preserve">- **Course:**  </w:t>
            </w:r>
            <w:r w:rsidRPr="00CB2EC4">
              <w:rPr>
                <w:rFonts w:ascii="Times New Roman" w:hAnsi="Times New Roman" w:cs="Times New Roman"/>
              </w:rPr>
              <w:br/>
              <w:t xml:space="preserve">  - The hypogastric nerve descends along the lateral pelvic wall and converges with the pelvic splanchnic nerves near the lateral rectal ligament to form the pelvic plexus.  </w:t>
            </w:r>
            <w:r w:rsidRPr="00CB2EC4">
              <w:rPr>
                <w:rFonts w:ascii="Times New Roman" w:hAnsi="Times New Roman" w:cs="Times New Roman"/>
              </w:rPr>
              <w:br/>
              <w:t xml:space="preserve">  - The pelvic plexus is located deep to the lateral rectal ligament and the transverse cervical ligament. It gives off bladder branches and rectal branches. The bladder branches run alongside the superior vesical vein, coursing from the cranial medial to the caudal lateral direction toward the bladder (references 1, 8, 14, 16, 24, 29).  </w:t>
            </w:r>
            <w:r w:rsidRPr="00CB2EC4">
              <w:rPr>
                <w:rFonts w:ascii="Times New Roman" w:hAnsi="Times New Roman" w:cs="Times New Roman"/>
              </w:rPr>
              <w:br/>
              <w:t xml:space="preserve">  - During surgery, the nerves are often enveloped within the "mesoureter" or loose connective tissue, requiring exposure by dissecting spaces such as the Latzko pararectal space or Okabayashi pararectal space. For example, the ureter and hypogastric nerve commonly course within an intermesenteric-like structure formed by fusion of the visceral and parietal fascial layers (references 16, 24).</w:t>
            </w:r>
            <w:r w:rsidRPr="00CB2EC4">
              <w:rPr>
                <w:rFonts w:ascii="Times New Roman" w:hAnsi="Times New Roman" w:cs="Times New Roman"/>
              </w:rPr>
              <w:br/>
            </w:r>
            <w:r w:rsidRPr="00CB2EC4">
              <w:rPr>
                <w:rFonts w:ascii="Times New Roman" w:hAnsi="Times New Roman" w:cs="Times New Roman"/>
              </w:rPr>
              <w:br/>
              <w:t xml:space="preserve">- **Key anatomical relationships:**  </w:t>
            </w:r>
            <w:r w:rsidRPr="00CB2EC4">
              <w:rPr>
                <w:rFonts w:ascii="Times New Roman" w:hAnsi="Times New Roman" w:cs="Times New Roman"/>
              </w:rPr>
              <w:br/>
              <w:t xml:space="preserve">  The course of the nerves is closely associated with blood vessels: the bladder branches follow the superior vesical vein, and the pelvic splanchnic nerves appear near branches of the inferior gluteal and internal pudendal vessels. Nerve-sparing surgery requires avoiding injury to these areas (references 8, 14, 29).</w:t>
            </w:r>
          </w:p>
        </w:tc>
        <w:tc>
          <w:tcPr>
            <w:tcW w:w="1152" w:type="dxa"/>
            <w:vAlign w:val="center"/>
          </w:tcPr>
          <w:p w14:paraId="7E80A1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7D330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C0672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A3662C6" w14:textId="77777777">
        <w:tc>
          <w:tcPr>
            <w:tcW w:w="2160" w:type="dxa"/>
            <w:vAlign w:val="center"/>
          </w:tcPr>
          <w:p w14:paraId="39377E6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0F9212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course of the pelvic autonomic nerves is detailed </w:t>
            </w:r>
            <w:r w:rsidRPr="00CB2EC4">
              <w:rPr>
                <w:rFonts w:ascii="Times New Roman" w:hAnsi="Times New Roman" w:cs="Times New Roman"/>
              </w:rPr>
              <w:lastRenderedPageBreak/>
              <w:t>in the document as follows:</w:t>
            </w:r>
            <w:r w:rsidRPr="00CB2EC4">
              <w:rPr>
                <w:rFonts w:ascii="Times New Roman" w:hAnsi="Times New Roman" w:cs="Times New Roman"/>
              </w:rPr>
              <w:br/>
            </w:r>
            <w:r w:rsidRPr="00CB2EC4">
              <w:rPr>
                <w:rFonts w:ascii="Times New Roman" w:hAnsi="Times New Roman" w:cs="Times New Roman"/>
              </w:rPr>
              <w:br/>
              <w:t>- Hypogastric nerve: Descends from the presacral region, runs lateral to the rectum, penetrates the rectal attachment of the lateral rectal ligament or the pelvic sidewall, and ultimately joins the pelvic nerve plexus (document states: "the hypogastric nerve penetrates the rectal attachment of the lateral rectal ligament, then forms the pelvic nerve plexus", similarity 0.660).</w:t>
            </w:r>
            <w:r w:rsidRPr="00CB2EC4">
              <w:rPr>
                <w:rFonts w:ascii="Times New Roman" w:hAnsi="Times New Roman" w:cs="Times New Roman"/>
              </w:rPr>
              <w:br/>
              <w:t>- Pelvic splanchnic nerves: Originate from the sacral nerve roots (S2-S4), exit through the sacral foramina, course ventrally, and converge into the pelvic nerve plexus. The document describes their exposure near the lateral rectal fossa and tail compartment (similarity 0.678 and 0.603).</w:t>
            </w:r>
            <w:r w:rsidRPr="00CB2EC4">
              <w:rPr>
                <w:rFonts w:ascii="Times New Roman" w:hAnsi="Times New Roman" w:cs="Times New Roman"/>
              </w:rPr>
              <w:br/>
              <w:t>- Pelvic nerve plexus: Formed by the convergence of the hypogastric nerve and pelvic splanchnic nerves, located in the region of the lateral rectal ligaments. Branches from the pelvic plexus include:</w:t>
            </w:r>
            <w:r w:rsidRPr="00CB2EC4">
              <w:rPr>
                <w:rFonts w:ascii="Times New Roman" w:hAnsi="Times New Roman" w:cs="Times New Roman"/>
              </w:rPr>
              <w:br/>
              <w:t xml:space="preserve">  - Vesical branch: Runs parallel to the superior vesical vein and enters the bladder via the posterior layer (neural part) of the vesicouterine ligament (document explicitly states: "the vesical branch of the pelvic plexus runs parallel to the superior vesical vein", similarity 0.678).</w:t>
            </w:r>
            <w:r w:rsidRPr="00CB2EC4">
              <w:rPr>
                <w:rFonts w:ascii="Times New Roman" w:hAnsi="Times New Roman" w:cs="Times New Roman"/>
              </w:rPr>
              <w:br/>
              <w:t xml:space="preserve">  - Rectal branch: Distributes toward the rectum.</w:t>
            </w:r>
            <w:r w:rsidRPr="00CB2EC4">
              <w:rPr>
                <w:rFonts w:ascii="Times New Roman" w:hAnsi="Times New Roman" w:cs="Times New Roman"/>
              </w:rPr>
              <w:br/>
              <w:t>- Overall course: The nerves extend from the pelvic sidewall toward the viscera. During surgery, care must be taken to protect them when dissecting the lateral rectal fossa and the lateral vesical space, particularly when handling the lateral rectal ligament and the posterior layer of the vesicouterine ligament (similarity 0.660 and 0.603).</w:t>
            </w:r>
          </w:p>
        </w:tc>
        <w:tc>
          <w:tcPr>
            <w:tcW w:w="1152" w:type="dxa"/>
            <w:vAlign w:val="center"/>
          </w:tcPr>
          <w:p w14:paraId="107A29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A01D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9AF8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664B60" w14:textId="77777777">
        <w:tc>
          <w:tcPr>
            <w:tcW w:w="2160" w:type="dxa"/>
            <w:vAlign w:val="center"/>
          </w:tcPr>
          <w:p w14:paraId="037803C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Query </w:t>
            </w:r>
            <w:r w:rsidRPr="00CB2EC4">
              <w:rPr>
                <w:rFonts w:ascii="Times New Roman" w:hAnsi="Times New Roman" w:cs="Times New Roman"/>
              </w:rPr>
              <w:lastRenderedPageBreak/>
              <w:t>Transformation</w:t>
            </w:r>
          </w:p>
        </w:tc>
        <w:tc>
          <w:tcPr>
            <w:tcW w:w="5040" w:type="dxa"/>
            <w:vAlign w:val="center"/>
          </w:tcPr>
          <w:p w14:paraId="2E348A9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the course of pelvic autonomic nerves is based on the </w:t>
            </w:r>
            <w:r w:rsidRPr="00CB2EC4">
              <w:rPr>
                <w:rFonts w:ascii="Times New Roman" w:hAnsi="Times New Roman" w:cs="Times New Roman"/>
              </w:rPr>
              <w:lastRenderedPageBreak/>
              <w:t>anatomical pathways of sympathetic and parasympathetic nerves, as detailed in the document:</w:t>
            </w:r>
            <w:r w:rsidRPr="00CB2EC4">
              <w:rPr>
                <w:rFonts w:ascii="Times New Roman" w:hAnsi="Times New Roman" w:cs="Times New Roman"/>
              </w:rPr>
              <w:br/>
            </w:r>
            <w:r w:rsidRPr="00CB2EC4">
              <w:rPr>
                <w:rFonts w:ascii="Times New Roman" w:hAnsi="Times New Roman" w:cs="Times New Roman"/>
              </w:rPr>
              <w:br/>
              <w:t>- **Sympathetic component**: Originates from T11-L2 nerve roots, forming the superior hypogastric plexus (SHP). At the sacral promontory, it bifurcates into left and right hypogastric nerves (HN). The HN courses along the common iliac artery and internal iliac vessels, medial and inferior to the ureter, closely adjacent to the rectal mesentery, and terminates at the level of the uterine artery (document segments 27, 29).</w:t>
            </w:r>
            <w:r w:rsidRPr="00CB2EC4">
              <w:rPr>
                <w:rFonts w:ascii="Times New Roman" w:hAnsi="Times New Roman" w:cs="Times New Roman"/>
              </w:rPr>
              <w:br/>
            </w:r>
            <w:r w:rsidRPr="00CB2EC4">
              <w:rPr>
                <w:rFonts w:ascii="Times New Roman" w:hAnsi="Times New Roman" w:cs="Times New Roman"/>
              </w:rPr>
              <w:br/>
              <w:t>- **Parasympathetic component**: Originates from S2-S4 sacral nerve roots, forming the pelvic splanchnic nerves (PSN). After exiting the sacral foramina, the PSN courses anteroinferiorly deep to the lateral rectal ligament (dorsal side), converging with the hypogastric nerve (document segments 27, 29).</w:t>
            </w:r>
            <w:r w:rsidRPr="00CB2EC4">
              <w:rPr>
                <w:rFonts w:ascii="Times New Roman" w:hAnsi="Times New Roman" w:cs="Times New Roman"/>
              </w:rPr>
              <w:br/>
            </w:r>
            <w:r w:rsidRPr="00CB2EC4">
              <w:rPr>
                <w:rFonts w:ascii="Times New Roman" w:hAnsi="Times New Roman" w:cs="Times New Roman"/>
              </w:rPr>
              <w:br/>
              <w:t>- **Convergence and branching**: The hypogastric nerve and pelvic splanchnic nerve merge beside the rectum to form the inferior hypogastric plexus (IHP). The IHP is located on the lateral pelvic walls and gives off branches innervating pelvic organs:</w:t>
            </w:r>
            <w:r w:rsidRPr="00CB2EC4">
              <w:rPr>
                <w:rFonts w:ascii="Times New Roman" w:hAnsi="Times New Roman" w:cs="Times New Roman"/>
              </w:rPr>
              <w:br/>
              <w:t xml:space="preserve">  - Cervical branch (to uterus and cervix)</w:t>
            </w:r>
            <w:r w:rsidRPr="00CB2EC4">
              <w:rPr>
                <w:rFonts w:ascii="Times New Roman" w:hAnsi="Times New Roman" w:cs="Times New Roman"/>
              </w:rPr>
              <w:br/>
              <w:t xml:space="preserve">  - Bladder branch (to bladder, related to bladder function)</w:t>
            </w:r>
            <w:r w:rsidRPr="00CB2EC4">
              <w:rPr>
                <w:rFonts w:ascii="Times New Roman" w:hAnsi="Times New Roman" w:cs="Times New Roman"/>
              </w:rPr>
              <w:br/>
              <w:t xml:space="preserve">  - Vaginal branch and rectal branch (document segments 11, 27, 29)</w:t>
            </w:r>
            <w:r w:rsidRPr="00CB2EC4">
              <w:rPr>
                <w:rFonts w:ascii="Times New Roman" w:hAnsi="Times New Roman" w:cs="Times New Roman"/>
              </w:rPr>
              <w:br/>
            </w:r>
            <w:r w:rsidRPr="00CB2EC4">
              <w:rPr>
                <w:rFonts w:ascii="Times New Roman" w:hAnsi="Times New Roman" w:cs="Times New Roman"/>
              </w:rPr>
              <w:br/>
              <w:t xml:space="preserve">- **Key landmarks**: During surgery, the deep uterine vein serves as an important anatomical landmark for the PSN, which often courses inferior to </w:t>
            </w:r>
            <w:r w:rsidRPr="00CB2EC4">
              <w:rPr>
                <w:rFonts w:ascii="Times New Roman" w:hAnsi="Times New Roman" w:cs="Times New Roman"/>
              </w:rPr>
              <w:lastRenderedPageBreak/>
              <w:t>it; the hypogastric nerve runs parallel to the rectum, approximately 2 cm inferior to the ureter (document segments 11, 29). The overall course forms a radiating network from the sacral promontory to pelvic organs, relevant to nerve-sparing surgery (document segments 5, 11).</w:t>
            </w:r>
          </w:p>
        </w:tc>
        <w:tc>
          <w:tcPr>
            <w:tcW w:w="1152" w:type="dxa"/>
            <w:vAlign w:val="center"/>
          </w:tcPr>
          <w:p w14:paraId="30B63C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A3996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53DD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C4D70E" w14:textId="77777777">
        <w:tc>
          <w:tcPr>
            <w:tcW w:w="2160" w:type="dxa"/>
            <w:vAlign w:val="center"/>
          </w:tcPr>
          <w:p w14:paraId="496678B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7B31F25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course of the pelvic autonomic nerves is as follows:  </w:t>
            </w:r>
            <w:r w:rsidRPr="00CB2EC4">
              <w:rPr>
                <w:rFonts w:ascii="Times New Roman" w:hAnsi="Times New Roman" w:cs="Times New Roman"/>
              </w:rPr>
              <w:br/>
              <w:t xml:space="preserve">- The nerves originate from the hypogastric nerve (sympathetic component), penetrate the rectal attachment of the lateral rectal ligament, and form the pelvic plexus (inferior hypogastric plexus).  </w:t>
            </w:r>
            <w:r w:rsidRPr="00CB2EC4">
              <w:rPr>
                <w:rFonts w:ascii="Times New Roman" w:hAnsi="Times New Roman" w:cs="Times New Roman"/>
              </w:rPr>
              <w:br/>
              <w:t xml:space="preserve">- From the pelvic plexus, the vesical nerve branches arise; these branches travel alongside the superior vesical vein, enter the posterior layer of the vesicouterine ligament (neural part), and ultimately distribute to the bladder (refer to Figure 161a,b and Figure 179).  </w:t>
            </w:r>
            <w:r w:rsidRPr="00CB2EC4">
              <w:rPr>
                <w:rFonts w:ascii="Times New Roman" w:hAnsi="Times New Roman" w:cs="Times New Roman"/>
              </w:rPr>
              <w:br/>
              <w:t xml:space="preserve">- Additionally, the pelvic splanchnic nerves (parasympathetic component) also contribute to the formation of the pelvic plexus and course within the lateral rectal ligament region; preservation of these nerves helps protect bladder function.  </w:t>
            </w:r>
            <w:r w:rsidRPr="00CB2EC4">
              <w:rPr>
                <w:rFonts w:ascii="Times New Roman" w:hAnsi="Times New Roman" w:cs="Times New Roman"/>
              </w:rPr>
              <w:br/>
              <w:t>- Summary of course: hypogastric nerve → pelvic plexus (located in the lateral rectal ligament region) → vesical nerve branches (travel along the superior vesical vein to the bladder). The document notes that during surgery, care must be taken to avoid injury to the pelvic plexus and vesical nerve branches to prevent bladder atony.</w:t>
            </w:r>
          </w:p>
        </w:tc>
        <w:tc>
          <w:tcPr>
            <w:tcW w:w="1152" w:type="dxa"/>
            <w:vAlign w:val="center"/>
          </w:tcPr>
          <w:p w14:paraId="462A3E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BD16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0729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4CC500" w14:textId="77777777">
        <w:tc>
          <w:tcPr>
            <w:tcW w:w="2160" w:type="dxa"/>
            <w:vAlign w:val="center"/>
          </w:tcPr>
          <w:p w14:paraId="7D7B1723"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6339EDC" w14:textId="77777777" w:rsidR="00922249" w:rsidRPr="00CB2EC4" w:rsidRDefault="003011D5">
            <w:pPr>
              <w:rPr>
                <w:rFonts w:ascii="Times New Roman" w:hAnsi="Times New Roman" w:cs="Times New Roman"/>
              </w:rPr>
            </w:pPr>
            <w:r w:rsidRPr="00CB2EC4">
              <w:rPr>
                <w:rFonts w:ascii="Times New Roman" w:hAnsi="Times New Roman" w:cs="Times New Roman"/>
              </w:rPr>
              <w:t>the course of pelvic autonomic nerves is detailed as follows: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**Hypogastric nerve (sympathetic)**: Originates from the inferior hypogastric plexus (presacral area), descends along the lateral side of the rectal mesentery, and enters the pelvic plexus. During dissection of the Latzko rectal lateral space, it is observed coursing dorsolateral to the ureter (see Document Sections 7, 21).</w:t>
            </w:r>
            <w:r w:rsidRPr="00CB2EC4">
              <w:rPr>
                <w:rFonts w:ascii="Times New Roman" w:hAnsi="Times New Roman" w:cs="Times New Roman"/>
              </w:rPr>
              <w:br/>
            </w:r>
            <w:r w:rsidRPr="00CB2EC4">
              <w:rPr>
                <w:rFonts w:ascii="Times New Roman" w:hAnsi="Times New Roman" w:cs="Times New Roman"/>
              </w:rPr>
              <w:br/>
              <w:t>- **Pelvic splanchnic nerves (parasympathetic)**: Originate from S2–S4 sacral nerve roots, course anterolaterally to reach the pelvic plexus. They are typically located deep within the neurovascular triangle of the cardinal ligament (i.e., the depression dorsal to the vascular bundle), and in the caudal compartment of the rectal lateral space, they run adjacent to the inferior gluteal/internal pudendal vessels (see Document Sections 2, 27).</w:t>
            </w:r>
            <w:r w:rsidRPr="00CB2EC4">
              <w:rPr>
                <w:rFonts w:ascii="Times New Roman" w:hAnsi="Times New Roman" w:cs="Times New Roman"/>
              </w:rPr>
              <w:br/>
            </w:r>
            <w:r w:rsidRPr="00CB2EC4">
              <w:rPr>
                <w:rFonts w:ascii="Times New Roman" w:hAnsi="Times New Roman" w:cs="Times New Roman"/>
              </w:rPr>
              <w:br/>
              <w:t>- **Pelvic plexus (inferior hypogastric plexus)**: Formed by the convergence of hypogastric and pelvic splanchnic nerves, located at the cranial reflection point of the rectal lateral ligament. Branches from the pelvic plexus include:</w:t>
            </w:r>
            <w:r w:rsidRPr="00CB2EC4">
              <w:rPr>
                <w:rFonts w:ascii="Times New Roman" w:hAnsi="Times New Roman" w:cs="Times New Roman"/>
              </w:rPr>
              <w:br/>
              <w:t xml:space="preserve">  - **Bladder nerve branches**: Travel within the posterior layer (deep layer) of the vesicouterine ligament along the superior vesical vein, entering the bladder wall.</w:t>
            </w:r>
            <w:r w:rsidRPr="00CB2EC4">
              <w:rPr>
                <w:rFonts w:ascii="Times New Roman" w:hAnsi="Times New Roman" w:cs="Times New Roman"/>
              </w:rPr>
              <w:br/>
              <w:t xml:space="preserve">  - **Rectal nerve branches**: Travel within the rectal lateral ligament along the middle rectal vein.</w:t>
            </w:r>
            <w:r w:rsidRPr="00CB2EC4">
              <w:rPr>
                <w:rFonts w:ascii="Times New Roman" w:hAnsi="Times New Roman" w:cs="Times New Roman"/>
              </w:rPr>
              <w:br/>
            </w:r>
            <w:r w:rsidRPr="00CB2EC4">
              <w:rPr>
                <w:rFonts w:ascii="Times New Roman" w:hAnsi="Times New Roman" w:cs="Times New Roman"/>
              </w:rPr>
              <w:br/>
              <w:t xml:space="preserve">- **Overall course summary**: Nerves arise from the sacral surface → pass through the neurovascular triangle of the cardinal ligament → converge into the pelvic plexus → branch to supply organs such as the </w:t>
            </w:r>
            <w:r w:rsidRPr="00CB2EC4">
              <w:rPr>
                <w:rFonts w:ascii="Times New Roman" w:hAnsi="Times New Roman" w:cs="Times New Roman"/>
              </w:rPr>
              <w:lastRenderedPageBreak/>
              <w:t>bladder and rectum. Vulnerable sites during surgery include resection of the transverse cervical ligament or handling of paravaginal connective tissue (see Document Sections 2, 7, 28). Failure to dissect the proper space may result in inadvertent nerve transection and functional impairment.</w:t>
            </w:r>
          </w:p>
        </w:tc>
        <w:tc>
          <w:tcPr>
            <w:tcW w:w="1152" w:type="dxa"/>
            <w:vAlign w:val="center"/>
          </w:tcPr>
          <w:p w14:paraId="356255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87A12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E15CC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AE521E8" w14:textId="77777777">
        <w:tc>
          <w:tcPr>
            <w:tcW w:w="2160" w:type="dxa"/>
            <w:vAlign w:val="center"/>
          </w:tcPr>
          <w:p w14:paraId="2D2E6EF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6963A4AA" w14:textId="77777777" w:rsidR="00922249" w:rsidRPr="00CB2EC4" w:rsidRDefault="003011D5">
            <w:pPr>
              <w:rPr>
                <w:rFonts w:ascii="Times New Roman" w:hAnsi="Times New Roman" w:cs="Times New Roman"/>
              </w:rPr>
            </w:pPr>
            <w:r w:rsidRPr="00CB2EC4">
              <w:rPr>
                <w:rFonts w:ascii="Times New Roman" w:hAnsi="Times New Roman" w:cs="Times New Roman"/>
              </w:rPr>
              <w:t>the course of the pelvic autonomic nerves is detailed in the document as follows:</w:t>
            </w:r>
            <w:r w:rsidRPr="00CB2EC4">
              <w:rPr>
                <w:rFonts w:ascii="Times New Roman" w:hAnsi="Times New Roman" w:cs="Times New Roman"/>
              </w:rPr>
              <w:br/>
            </w:r>
            <w:r w:rsidRPr="00CB2EC4">
              <w:rPr>
                <w:rFonts w:ascii="Times New Roman" w:hAnsi="Times New Roman" w:cs="Times New Roman"/>
              </w:rPr>
              <w:br/>
              <w:t>- Hypogastric nerve: Descends along the lateral wall of the pelvis, positioned lateral to the ureter and internal iliac vessels, and courses toward the lateral side of the rectum.</w:t>
            </w:r>
            <w:r w:rsidRPr="00CB2EC4">
              <w:rPr>
                <w:rFonts w:ascii="Times New Roman" w:hAnsi="Times New Roman" w:cs="Times New Roman"/>
              </w:rPr>
              <w:br/>
              <w:t>- Pelvic splanchnic nerves: Originate from the sacral nerve roots (S2–S4), exit through the sacral foramina, and course ventrally into the pelvic floor. They converge with the hypogastric nerve near the lateral rectal ligament.</w:t>
            </w:r>
            <w:r w:rsidRPr="00CB2EC4">
              <w:rPr>
                <w:rFonts w:ascii="Times New Roman" w:hAnsi="Times New Roman" w:cs="Times New Roman"/>
              </w:rPr>
              <w:br/>
              <w:t>- Pelvic nerve plexus: Formed by the convergence of the hypogastric nerve and pelvic splanchnic nerves in the region of the lateral rectal ligament. This plexus is located deep to the transverse cervical ligament and the lateral rectal ligament.</w:t>
            </w:r>
            <w:r w:rsidRPr="00CB2EC4">
              <w:rPr>
                <w:rFonts w:ascii="Times New Roman" w:hAnsi="Times New Roman" w:cs="Times New Roman"/>
              </w:rPr>
              <w:br/>
              <w:t>- Branch courses:</w:t>
            </w:r>
            <w:r w:rsidRPr="00CB2EC4">
              <w:rPr>
                <w:rFonts w:ascii="Times New Roman" w:hAnsi="Times New Roman" w:cs="Times New Roman"/>
              </w:rPr>
              <w:br/>
              <w:t xml:space="preserve">  - Bladder branch: Courses along the posterior layer of the vesicouterine ligament (especially the vesicocervical ligament), runs parallel to the superior vesical vein, and ultimately enters the bladder.</w:t>
            </w:r>
            <w:r w:rsidRPr="00CB2EC4">
              <w:rPr>
                <w:rFonts w:ascii="Times New Roman" w:hAnsi="Times New Roman" w:cs="Times New Roman"/>
              </w:rPr>
              <w:br/>
              <w:t xml:space="preserve">  - Rectal branch: Distributed along the rectovaginal ligament and enters the rectum.</w:t>
            </w:r>
            <w:r w:rsidRPr="00CB2EC4">
              <w:rPr>
                <w:rFonts w:ascii="Times New Roman" w:hAnsi="Times New Roman" w:cs="Times New Roman"/>
              </w:rPr>
              <w:br/>
              <w:t xml:space="preserve">- The overall course is three-dimensional: Nerves radiate from the lateral pelvic wall toward the visceral organs. Care must be taken to preserve them during dissection of potential spaces (such as the lateral rectal </w:t>
            </w:r>
            <w:r w:rsidRPr="00CB2EC4">
              <w:rPr>
                <w:rFonts w:ascii="Times New Roman" w:hAnsi="Times New Roman" w:cs="Times New Roman"/>
              </w:rPr>
              <w:lastRenderedPageBreak/>
              <w:t>space and vaginal pararectal space), as referenced in the document sections "[Similarity: 0.635]", "[Similarity: 0.584]", and "[Similarity: 0.515]".</w:t>
            </w:r>
          </w:p>
        </w:tc>
        <w:tc>
          <w:tcPr>
            <w:tcW w:w="1152" w:type="dxa"/>
            <w:vAlign w:val="center"/>
          </w:tcPr>
          <w:p w14:paraId="2EB0EA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42784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244E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98BE1BE" w14:textId="77777777">
        <w:tc>
          <w:tcPr>
            <w:tcW w:w="2160" w:type="dxa"/>
            <w:vAlign w:val="center"/>
          </w:tcPr>
          <w:p w14:paraId="13526FB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C9570D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course of the pelvic autonomic nerves is detailed as follows:  </w:t>
            </w:r>
            <w:r w:rsidRPr="00CB2EC4">
              <w:rPr>
                <w:rFonts w:ascii="Times New Roman" w:hAnsi="Times New Roman" w:cs="Times New Roman"/>
              </w:rPr>
              <w:br/>
              <w:t xml:space="preserve">- Hypogastric nerve: descends and penetrates the rectal attachment of the lateral rectal ligament to form the pelvic plexus (document fragments 5, 21).  </w:t>
            </w:r>
            <w:r w:rsidRPr="00CB2EC4">
              <w:rPr>
                <w:rFonts w:ascii="Times New Roman" w:hAnsi="Times New Roman" w:cs="Times New Roman"/>
              </w:rPr>
              <w:br/>
              <w:t xml:space="preserve">- Pelvic plexus: located in the region of the lateral rectal ligament, gives off vesical branches. These nerve branches course along the superior vesical vein and enter the bladder (document fragments 5, 21, 26). For example, within the posterior layer of the vesicouterine ligament, the vesical branches run parallel to the superior vesical vein (document fragment 21).  </w:t>
            </w:r>
            <w:r w:rsidRPr="00CB2EC4">
              <w:rPr>
                <w:rFonts w:ascii="Times New Roman" w:hAnsi="Times New Roman" w:cs="Times New Roman"/>
              </w:rPr>
              <w:br/>
              <w:t xml:space="preserve">- Pelvic splanchnic nerves: converge into the pelvic plexus; their course traverses the caudal reflection zone of the supporting system, interweaving with the vascular plexus (document fragments 10, 21). Preservation of these nerves relies on avoiding injury during dissection of the lateral rectal ligament or the posterior layer of the vesicouterine ligament (document fragment 10).  </w:t>
            </w:r>
            <w:r w:rsidRPr="00CB2EC4">
              <w:rPr>
                <w:rFonts w:ascii="Times New Roman" w:hAnsi="Times New Roman" w:cs="Times New Roman"/>
              </w:rPr>
              <w:br/>
              <w:t>- Course summary: hypogastric nerve → penetrates lateral rectal ligament → forms pelvic plexus → gives off vesical branches (along superior vesical vein) → enters bladder. Contextual information is sufficient, based on document fragments 5, 10, 21, 26.</w:t>
            </w:r>
          </w:p>
        </w:tc>
        <w:tc>
          <w:tcPr>
            <w:tcW w:w="1152" w:type="dxa"/>
            <w:vAlign w:val="center"/>
          </w:tcPr>
          <w:p w14:paraId="6C15BC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8EE15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0C751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D1D0440" w14:textId="77777777">
        <w:tc>
          <w:tcPr>
            <w:tcW w:w="2160" w:type="dxa"/>
            <w:vAlign w:val="center"/>
          </w:tcPr>
          <w:p w14:paraId="06602EB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2EDB94A" w14:textId="77777777" w:rsidR="00922249" w:rsidRPr="00CB2EC4" w:rsidRDefault="003011D5">
            <w:pPr>
              <w:rPr>
                <w:rFonts w:ascii="Times New Roman" w:hAnsi="Times New Roman" w:cs="Times New Roman"/>
              </w:rPr>
            </w:pPr>
            <w:r w:rsidRPr="00CB2EC4">
              <w:rPr>
                <w:rFonts w:ascii="Times New Roman" w:hAnsi="Times New Roman" w:cs="Times New Roman"/>
              </w:rPr>
              <w:t>the course of pelvic autonomic nerves</w:t>
            </w:r>
            <w:r w:rsidRPr="00CB2EC4">
              <w:rPr>
                <w:rFonts w:ascii="Times New Roman" w:hAnsi="Times New Roman" w:cs="Times New Roman"/>
              </w:rPr>
              <w:br/>
            </w:r>
            <w:r w:rsidRPr="00CB2EC4">
              <w:rPr>
                <w:rFonts w:ascii="Times New Roman" w:hAnsi="Times New Roman" w:cs="Times New Roman"/>
              </w:rPr>
              <w:br/>
              <w:t xml:space="preserve">The course of pelvic autonomic nerves primarily involves the hypogastric nerve, pelvic splanchnic </w:t>
            </w:r>
            <w:r w:rsidRPr="00CB2EC4">
              <w:rPr>
                <w:rFonts w:ascii="Times New Roman" w:hAnsi="Times New Roman" w:cs="Times New Roman"/>
              </w:rPr>
              <w:lastRenderedPageBreak/>
              <w:t>nerves, and the pelvic plexus, with the anatomical pathways described as follows (based on segments 1, 6, 8, 9):</w:t>
            </w:r>
            <w:r w:rsidRPr="00CB2EC4">
              <w:rPr>
                <w:rFonts w:ascii="Times New Roman" w:hAnsi="Times New Roman" w:cs="Times New Roman"/>
              </w:rPr>
              <w:br/>
              <w:t xml:space="preserve">- Overall course:  </w:t>
            </w:r>
            <w:r w:rsidRPr="00CB2EC4">
              <w:rPr>
                <w:rFonts w:ascii="Times New Roman" w:hAnsi="Times New Roman" w:cs="Times New Roman"/>
              </w:rPr>
              <w:br/>
              <w:t xml:space="preserve">  - Nerves originate from the sacral region (e.g., S3 nerve root) as pelvic splanchnic nerves, join the hypogastric nerve to form the pelvic plexus.  </w:t>
            </w:r>
            <w:r w:rsidRPr="00CB2EC4">
              <w:rPr>
                <w:rFonts w:ascii="Times New Roman" w:hAnsi="Times New Roman" w:cs="Times New Roman"/>
              </w:rPr>
              <w:br/>
              <w:t xml:space="preserve">  - The pelvic plexus is located at the junction of the lateral rectal ligament and the transverse cervical ligament, giving off branches to organs such as the bladder and rectum (Segment 1, Figures 41, 42; Segment 6, Figure 123; Segment 9).  </w:t>
            </w:r>
            <w:r w:rsidRPr="00CB2EC4">
              <w:rPr>
                <w:rFonts w:ascii="Times New Roman" w:hAnsi="Times New Roman" w:cs="Times New Roman"/>
              </w:rPr>
              <w:br/>
              <w:t xml:space="preserve">- Specific pathways:  </w:t>
            </w:r>
            <w:r w:rsidRPr="00CB2EC4">
              <w:rPr>
                <w:rFonts w:ascii="Times New Roman" w:hAnsi="Times New Roman" w:cs="Times New Roman"/>
              </w:rPr>
              <w:br/>
              <w:t xml:space="preserve">  - Hypogastric nerve: courses along the mesoureter, between the ureter and rectum, attached to the lateral aspect of the mesoureter (Segment 6, Figures 125, 127).  </w:t>
            </w:r>
            <w:r w:rsidRPr="00CB2EC4">
              <w:rPr>
                <w:rFonts w:ascii="Times New Roman" w:hAnsi="Times New Roman" w:cs="Times New Roman"/>
              </w:rPr>
              <w:br/>
              <w:t xml:space="preserve">  - Pelvic splanchnic nerves: arise from the sacrum, join the pelvic plexus, and course deep to the lateral rectal ligament (Segment 4, Figure 178; Segment 9).  </w:t>
            </w:r>
            <w:r w:rsidRPr="00CB2EC4">
              <w:rPr>
                <w:rFonts w:ascii="Times New Roman" w:hAnsi="Times New Roman" w:cs="Times New Roman"/>
              </w:rPr>
              <w:br/>
              <w:t xml:space="preserve">  - Bladder nerve branches: diverge from the pelvic plexus, run alongside the superior vesical vein within the vesicocervical ligament, distribute to the bladder neck, and do not innervate the vagina (Segment 1, Figures 44, 45a,b; Segment 8, Figure 161b; Segment 9).  </w:t>
            </w:r>
            <w:r w:rsidRPr="00CB2EC4">
              <w:rPr>
                <w:rFonts w:ascii="Times New Roman" w:hAnsi="Times New Roman" w:cs="Times New Roman"/>
              </w:rPr>
              <w:br/>
              <w:t xml:space="preserve">  - Caudal turn area: nerves concentrate in this region, accompanying the deep aspect of the superior vesical vein (Segment 1, Figure 44).  </w:t>
            </w:r>
            <w:r w:rsidRPr="00CB2EC4">
              <w:rPr>
                <w:rFonts w:ascii="Times New Roman" w:hAnsi="Times New Roman" w:cs="Times New Roman"/>
              </w:rPr>
              <w:br/>
              <w:t>- Surgical significance: In radical hysterectomy, the course of these nerves is critical for nerve-sparing procedures; damage to the mesoureter and vesicocervical ligament must be avoided (Segment 9).</w:t>
            </w:r>
          </w:p>
        </w:tc>
        <w:tc>
          <w:tcPr>
            <w:tcW w:w="1152" w:type="dxa"/>
            <w:vAlign w:val="center"/>
          </w:tcPr>
          <w:p w14:paraId="64EA21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50C63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75258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1E657D4" w14:textId="77777777">
        <w:tc>
          <w:tcPr>
            <w:tcW w:w="2160" w:type="dxa"/>
            <w:vAlign w:val="center"/>
          </w:tcPr>
          <w:p w14:paraId="1D38E6F7"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B0151CC" w14:textId="77777777" w:rsidR="00922249" w:rsidRPr="00CB2EC4" w:rsidRDefault="003011D5">
            <w:pPr>
              <w:rPr>
                <w:rFonts w:ascii="Times New Roman" w:hAnsi="Times New Roman" w:cs="Times New Roman"/>
              </w:rPr>
            </w:pPr>
            <w:r w:rsidRPr="00CB2EC4">
              <w:rPr>
                <w:rFonts w:ascii="Times New Roman" w:hAnsi="Times New Roman" w:cs="Times New Roman"/>
              </w:rPr>
              <w:t>brief description of pelvic autonomic nerve pathways:</w:t>
            </w:r>
            <w:r w:rsidRPr="00CB2EC4">
              <w:rPr>
                <w:rFonts w:ascii="Times New Roman" w:hAnsi="Times New Roman" w:cs="Times New Roman"/>
              </w:rPr>
              <w:br/>
            </w:r>
            <w:r w:rsidRPr="00CB2EC4">
              <w:rPr>
                <w:rFonts w:ascii="Times New Roman" w:hAnsi="Times New Roman" w:cs="Times New Roman"/>
              </w:rPr>
              <w:lastRenderedPageBreak/>
              <w:br/>
              <w:t>- Sympathetic nerves: Originate from spinal segments T10-L2, form the superior hypogastric plexus (at the aortic bifurcation), descend into the pelvis to form the inferior hypogastric plexus (anterior to the sacral promontory), and branch to innervate the bladder, rectum, and reproductive organs.</w:t>
            </w:r>
            <w:r w:rsidRPr="00CB2EC4">
              <w:rPr>
                <w:rFonts w:ascii="Times New Roman" w:hAnsi="Times New Roman" w:cs="Times New Roman"/>
              </w:rPr>
              <w:br/>
              <w:t>- Parasympathetic nerves: Originate from spinal segments S2-S4, form the pelvic splanchnic nerves (erectile nerves), join the inferior hypogastric plexus, and innervate the bladder detrusor and rectum.</w:t>
            </w:r>
            <w:r w:rsidRPr="00CB2EC4">
              <w:rPr>
                <w:rFonts w:ascii="Times New Roman" w:hAnsi="Times New Roman" w:cs="Times New Roman"/>
              </w:rPr>
              <w:br/>
              <w:t>- Pathway: The nerve plexuses distribute along the lateral rectal ligaments and uterosacral ligaments, and are vulnerable during radical hysterectomy. Key structures include the inferior hypogastric plexus (beside the rectum) and pelvic splanchnic nerves (traversing the lateral rectal ligaments).</w:t>
            </w:r>
          </w:p>
        </w:tc>
        <w:tc>
          <w:tcPr>
            <w:tcW w:w="1152" w:type="dxa"/>
            <w:vAlign w:val="center"/>
          </w:tcPr>
          <w:p w14:paraId="6CABBE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3AC82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C089F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0A14492" w14:textId="77777777">
        <w:tc>
          <w:tcPr>
            <w:tcW w:w="10656" w:type="dxa"/>
            <w:gridSpan w:val="5"/>
            <w:tcBorders>
              <w:bottom w:val="single" w:sz="6" w:space="0" w:color="auto"/>
            </w:tcBorders>
            <w:vAlign w:val="center"/>
          </w:tcPr>
          <w:p w14:paraId="0CC4453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108: During a radical hysterectomy, the preservation of which nerve branches helps protect bladder function?</w:t>
            </w:r>
          </w:p>
        </w:tc>
      </w:tr>
      <w:tr w:rsidR="00922249" w:rsidRPr="00CB2EC4" w14:paraId="05B22DB0" w14:textId="77777777">
        <w:tc>
          <w:tcPr>
            <w:tcW w:w="2160" w:type="dxa"/>
            <w:vAlign w:val="center"/>
          </w:tcPr>
          <w:p w14:paraId="25D0883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C0613B3" w14:textId="77777777" w:rsidR="00922249" w:rsidRPr="00CB2EC4" w:rsidRDefault="003011D5">
            <w:pPr>
              <w:rPr>
                <w:rFonts w:ascii="Times New Roman" w:hAnsi="Times New Roman" w:cs="Times New Roman"/>
              </w:rPr>
            </w:pPr>
            <w:r w:rsidRPr="00CB2EC4">
              <w:rPr>
                <w:rFonts w:ascii="Times New Roman" w:hAnsi="Times New Roman" w:cs="Times New Roman"/>
              </w:rPr>
              <w:t>in radical total hysterectomy, preserving the following nerve branches helps protect bladder function:</w:t>
            </w:r>
            <w:r w:rsidRPr="00CB2EC4">
              <w:rPr>
                <w:rFonts w:ascii="Times New Roman" w:hAnsi="Times New Roman" w:cs="Times New Roman"/>
              </w:rPr>
              <w:br/>
            </w:r>
            <w:r w:rsidRPr="00CB2EC4">
              <w:rPr>
                <w:rFonts w:ascii="Times New Roman" w:hAnsi="Times New Roman" w:cs="Times New Roman"/>
              </w:rPr>
              <w:br/>
              <w:t>- Preserved nerve branches: the pelvic plexus and its derived bladder nerve branches (vesical branches).</w:t>
            </w:r>
            <w:r w:rsidRPr="00CB2EC4">
              <w:rPr>
                <w:rFonts w:ascii="Times New Roman" w:hAnsi="Times New Roman" w:cs="Times New Roman"/>
              </w:rPr>
              <w:br/>
              <w:t>- Reason: these nerves control bladder contraction and sensation; injury may lead to urinary retention or incontinence. During surgery, by separating the vascular and neural components of the main ligament, only the vascular part (e.g., structures related to the deep uterine vein) is resected, while the neural part (e.g., the neural layer of the posterior bladder-uterine ligament) is preserved.</w:t>
            </w:r>
            <w:r w:rsidRPr="00CB2EC4">
              <w:rPr>
                <w:rFonts w:ascii="Times New Roman" w:hAnsi="Times New Roman" w:cs="Times New Roman"/>
              </w:rPr>
              <w:br/>
              <w:t xml:space="preserve">- Method: the Kobayashi technique and the author’s method emphasize identifying the vascular-nerve </w:t>
            </w:r>
            <w:r w:rsidRPr="00CB2EC4">
              <w:rPr>
                <w:rFonts w:ascii="Times New Roman" w:hAnsi="Times New Roman" w:cs="Times New Roman"/>
              </w:rPr>
              <w:lastRenderedPageBreak/>
              <w:t>triangle during handling of the transverse cervical ligament, preserving the deep autonomic nerve bundle (e.g., Method 3: separation and preservation of the autonomic nerve cord). The document states that preserving the bladder nerve branches enables postoperative recovery of bladder function (as in the [similarity: 0.635] section: "preserving the pelvic plexus and its bladder branches... elevates Japan’s radical total hysterectomy to an unprecedented global standard in safety and organ function preservation").</w:t>
            </w:r>
          </w:p>
        </w:tc>
        <w:tc>
          <w:tcPr>
            <w:tcW w:w="1152" w:type="dxa"/>
            <w:vAlign w:val="center"/>
          </w:tcPr>
          <w:p w14:paraId="202E87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1412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117B6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A6F55B3" w14:textId="77777777">
        <w:tc>
          <w:tcPr>
            <w:tcW w:w="2160" w:type="dxa"/>
            <w:vAlign w:val="center"/>
          </w:tcPr>
          <w:p w14:paraId="1F8F606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A73105E" w14:textId="77777777" w:rsidR="00922249" w:rsidRPr="00CB2EC4" w:rsidRDefault="003011D5">
            <w:pPr>
              <w:rPr>
                <w:rFonts w:ascii="Times New Roman" w:hAnsi="Times New Roman" w:cs="Times New Roman"/>
              </w:rPr>
            </w:pPr>
            <w:r w:rsidRPr="00CB2EC4">
              <w:rPr>
                <w:rFonts w:ascii="Times New Roman" w:hAnsi="Times New Roman" w:cs="Times New Roman"/>
              </w:rPr>
              <w:t>in radical total hysterectomy, preserving the following nerve branches helps protect bladder function:</w:t>
            </w:r>
            <w:r w:rsidRPr="00CB2EC4">
              <w:rPr>
                <w:rFonts w:ascii="Times New Roman" w:hAnsi="Times New Roman" w:cs="Times New Roman"/>
              </w:rPr>
              <w:br/>
            </w:r>
            <w:r w:rsidRPr="00CB2EC4">
              <w:rPr>
                <w:rFonts w:ascii="Times New Roman" w:hAnsi="Times New Roman" w:cs="Times New Roman"/>
              </w:rPr>
              <w:br/>
              <w:t>- The bladder branches of the pelvic plexus (vesical nerve branches): This is the primary nerve branch, running in the posterior layer of the bladder-uterine ligament (also termed the bladder-cervical ligament), directly innervating the detrusor muscle and sphincter of the bladder. Preservation of this branch maintains bladder contraction and sensory function (Block Topic: Nerve-Sparing Radical Total Hysterectomy Key Points, Block No. 156; Block Topic: Posterior Layer Anatomy of Bladder-Uterine Ligament, Block No. 124).</w:t>
            </w:r>
            <w:r w:rsidRPr="00CB2EC4">
              <w:rPr>
                <w:rFonts w:ascii="Times New Roman" w:hAnsi="Times New Roman" w:cs="Times New Roman"/>
              </w:rPr>
              <w:br/>
              <w:t>- Pelvic splanchnic nerves: As input nerves to the pelvic plexus, preserving their integrity supports overall neural function; however, the document emphasizes that the bladder branch is the core for directly protecting bladder function (Block Topic: Discussion on Nerve Preservation in Cervical Cancer Surgery, Block No. 222; Block Topic: Nerve Preservation Strategies in Hysterectomy, Block No. 214).</w:t>
            </w:r>
            <w:r w:rsidRPr="00CB2EC4">
              <w:rPr>
                <w:rFonts w:ascii="Times New Roman" w:hAnsi="Times New Roman" w:cs="Times New Roman"/>
              </w:rPr>
              <w:br/>
              <w:t xml:space="preserve">- Preservation technique: During surgery, the posterior </w:t>
            </w:r>
            <w:r w:rsidRPr="00CB2EC4">
              <w:rPr>
                <w:rFonts w:ascii="Times New Roman" w:hAnsi="Times New Roman" w:cs="Times New Roman"/>
              </w:rPr>
              <w:lastRenderedPageBreak/>
              <w:t>layer of the bladder-uterine ligament must be dissected, cutting only the vascular portion (e.g., superior vesical vein) while sparing the neural portion. The document states that Okabayashi surgery and nerve-sparing approaches achieve this through anatomical design (e.g., developing the lateral vaginal space) (Block Topic: How Okabayashi Surgery Separates and Cuts the Bladder-Uterine Ligament, see related segment for Q110; Block Topic: Radical Hysterectomy Nerve Dissection Technique, Block No. 533).</w:t>
            </w:r>
            <w:r w:rsidRPr="00CB2EC4">
              <w:rPr>
                <w:rFonts w:ascii="Times New Roman" w:hAnsi="Times New Roman" w:cs="Times New Roman"/>
              </w:rPr>
              <w:br/>
            </w:r>
            <w:r w:rsidRPr="00CB2EC4">
              <w:rPr>
                <w:rFonts w:ascii="Times New Roman" w:hAnsi="Times New Roman" w:cs="Times New Roman"/>
              </w:rPr>
              <w:br/>
              <w:t>The document clearly indicates that preserving the bladder branch significantly reduces the risk of bladder paralysis, though surgical proficiency affects outcomes (Block Topic: Key Points Analysis of Radical Hysterectomy, Block No. 223).</w:t>
            </w:r>
          </w:p>
        </w:tc>
        <w:tc>
          <w:tcPr>
            <w:tcW w:w="1152" w:type="dxa"/>
            <w:vAlign w:val="center"/>
          </w:tcPr>
          <w:p w14:paraId="0B47CD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CAC96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256A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FFCF59" w14:textId="77777777">
        <w:tc>
          <w:tcPr>
            <w:tcW w:w="2160" w:type="dxa"/>
            <w:vAlign w:val="center"/>
          </w:tcPr>
          <w:p w14:paraId="6C375F8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359DF3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radical hysterectomy, preserving the following nerve branches is crucial for protecting bladder function:  </w:t>
            </w:r>
            <w:r w:rsidRPr="00CB2EC4">
              <w:rPr>
                <w:rFonts w:ascii="Times New Roman" w:hAnsi="Times New Roman" w:cs="Times New Roman"/>
              </w:rPr>
              <w:br/>
              <w:t xml:space="preserve">- Bladder branch of the inferior hypogastric plexus (IHP Bladder Branch):  </w:t>
            </w:r>
            <w:r w:rsidRPr="00CB2EC4">
              <w:rPr>
                <w:rFonts w:ascii="Times New Roman" w:hAnsi="Times New Roman" w:cs="Times New Roman"/>
              </w:rPr>
              <w:br/>
              <w:t xml:space="preserve">  - This is the key nerve branch, located within the posterior layer of the vesicouterine ligament (bladder-cervix ligament), running along the superior vesical vein (Document fragments 13, 21, 31). Preserving this branch reduces postoperative bladder dysfunction (e.g., urinary retention).  </w:t>
            </w:r>
            <w:r w:rsidRPr="00CB2EC4">
              <w:rPr>
                <w:rFonts w:ascii="Times New Roman" w:hAnsi="Times New Roman" w:cs="Times New Roman"/>
              </w:rPr>
              <w:br/>
              <w:t xml:space="preserve">  - Specific location: Inferior to the inferior vesical vein and lateral to the paravaginal vascular pedicle (Document fragment 14). During surgery, care must be taken to avoid injuring this nerve branch when dissecting the posterior layer of the vesicouterine ligament (Document fragments 12, 30).  </w:t>
            </w:r>
            <w:r w:rsidRPr="00CB2EC4">
              <w:rPr>
                <w:rFonts w:ascii="Times New Roman" w:hAnsi="Times New Roman" w:cs="Times New Roman"/>
              </w:rPr>
              <w:br/>
            </w:r>
            <w:r w:rsidRPr="00CB2EC4">
              <w:rPr>
                <w:rFonts w:ascii="Times New Roman" w:hAnsi="Times New Roman" w:cs="Times New Roman"/>
              </w:rPr>
              <w:lastRenderedPageBreak/>
              <w:t xml:space="preserve">- Pelvic splanchnic nerves (PSN) and hypogastric nerves (HN):  </w:t>
            </w:r>
            <w:r w:rsidRPr="00CB2EC4">
              <w:rPr>
                <w:rFonts w:ascii="Times New Roman" w:hAnsi="Times New Roman" w:cs="Times New Roman"/>
              </w:rPr>
              <w:br/>
              <w:t xml:space="preserve">  - As the upstream nerves of the IHP, preserving PSN and HN helps maintain overall bladder innervation (Document fragments 16, 43). For example, when dissecting the deep uterine vein, attention must be paid as PSN is located inferior to it (Document fragment 14).  </w:t>
            </w:r>
            <w:r w:rsidRPr="00CB2EC4">
              <w:rPr>
                <w:rFonts w:ascii="Times New Roman" w:hAnsi="Times New Roman" w:cs="Times New Roman"/>
              </w:rPr>
              <w:br/>
              <w:t xml:space="preserve">- Preservation strategy:  </w:t>
            </w:r>
            <w:r w:rsidRPr="00CB2EC4">
              <w:rPr>
                <w:rFonts w:ascii="Times New Roman" w:hAnsi="Times New Roman" w:cs="Times New Roman"/>
              </w:rPr>
              <w:br/>
              <w:t xml:space="preserve">  - When transecting the bladder-cervix ligament, only the vascular portion (e.g., superior vesical vein) should be cut, while the neural portion is preserved (Document fragments 21, 30).</w:t>
            </w:r>
          </w:p>
        </w:tc>
        <w:tc>
          <w:tcPr>
            <w:tcW w:w="1152" w:type="dxa"/>
            <w:vAlign w:val="center"/>
          </w:tcPr>
          <w:p w14:paraId="49D635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D8D3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3B88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A7205E" w14:textId="77777777">
        <w:tc>
          <w:tcPr>
            <w:tcW w:w="2160" w:type="dxa"/>
            <w:vAlign w:val="center"/>
          </w:tcPr>
          <w:p w14:paraId="5CC26378"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86EE024" w14:textId="77777777" w:rsidR="00922249" w:rsidRPr="00CB2EC4" w:rsidRDefault="003011D5">
            <w:pPr>
              <w:rPr>
                <w:rFonts w:ascii="Times New Roman" w:hAnsi="Times New Roman" w:cs="Times New Roman"/>
              </w:rPr>
            </w:pPr>
            <w:r w:rsidRPr="00CB2EC4">
              <w:rPr>
                <w:rFonts w:ascii="Times New Roman" w:hAnsi="Times New Roman" w:cs="Times New Roman"/>
              </w:rPr>
              <w:t>Preserving the vesical branches of the pelvic nerve plexus and the pelvic splanchnic nerves helps protect bladder function.</w:t>
            </w:r>
            <w:r w:rsidRPr="00CB2EC4">
              <w:rPr>
                <w:rFonts w:ascii="Times New Roman" w:hAnsi="Times New Roman" w:cs="Times New Roman"/>
              </w:rPr>
              <w:br/>
            </w:r>
            <w:r w:rsidRPr="00CB2EC4">
              <w:rPr>
                <w:rFonts w:ascii="Times New Roman" w:hAnsi="Times New Roman" w:cs="Times New Roman"/>
              </w:rPr>
              <w:br/>
              <w:t>Evidence from the knowledge base document:</w:t>
            </w:r>
            <w:r w:rsidRPr="00CB2EC4">
              <w:rPr>
                <w:rFonts w:ascii="Times New Roman" w:hAnsi="Times New Roman" w:cs="Times New Roman"/>
              </w:rPr>
              <w:br/>
              <w:t>- Key nerves include the vesical branches of the pelvic nerve plexus (Fig. 36b, Fig. 155) and the pelvic splanchnic nerves (Fig. 178).</w:t>
            </w:r>
            <w:r w:rsidRPr="00CB2EC4">
              <w:rPr>
                <w:rFonts w:ascii="Times New Roman" w:hAnsi="Times New Roman" w:cs="Times New Roman"/>
              </w:rPr>
              <w:br/>
              <w:t>- Preservation methods:</w:t>
            </w:r>
            <w:r w:rsidRPr="00CB2EC4">
              <w:rPr>
                <w:rFonts w:ascii="Times New Roman" w:hAnsi="Times New Roman" w:cs="Times New Roman"/>
              </w:rPr>
              <w:br/>
              <w:t xml:space="preserve">  - When dissecting the posterior layer of the vesicouterine ligament, only the vascular portion (superior vesical vein) should be divided, while preserving the neural portion (Fig. 155b).</w:t>
            </w:r>
            <w:r w:rsidRPr="00CB2EC4">
              <w:rPr>
                <w:rFonts w:ascii="Times New Roman" w:hAnsi="Times New Roman" w:cs="Times New Roman"/>
              </w:rPr>
              <w:br/>
              <w:t xml:space="preserve">  - Avoid resection of the lateral rectal ligament (which contains the pelvic splanchnic nerves) (Fig. 179).</w:t>
            </w:r>
            <w:r w:rsidRPr="00CB2EC4">
              <w:rPr>
                <w:rFonts w:ascii="Times New Roman" w:hAnsi="Times New Roman" w:cs="Times New Roman"/>
              </w:rPr>
              <w:br/>
              <w:t>- Online search results emphasize preserving the pelvic splanchnic nerves and the distal portion of the inferior hypogastric plexus (Trimbo's three-step method), consistent with the knowledge base.</w:t>
            </w:r>
            <w:r w:rsidRPr="00CB2EC4">
              <w:rPr>
                <w:rFonts w:ascii="Times New Roman" w:hAnsi="Times New Roman" w:cs="Times New Roman"/>
              </w:rPr>
              <w:br/>
              <w:t xml:space="preserve">- Contradiction: Online sources mention "dividing the </w:t>
            </w:r>
            <w:r w:rsidRPr="00CB2EC4">
              <w:rPr>
                <w:rFonts w:ascii="Times New Roman" w:hAnsi="Times New Roman" w:cs="Times New Roman"/>
              </w:rPr>
              <w:lastRenderedPageBreak/>
              <w:t>lateral vesicouterine ligament," but the knowledge base clearly states the need to dissect and preserve its neural portion.</w:t>
            </w:r>
            <w:r w:rsidRPr="00CB2EC4">
              <w:rPr>
                <w:rFonts w:ascii="Times New Roman" w:hAnsi="Times New Roman" w:cs="Times New Roman"/>
              </w:rPr>
              <w:br/>
              <w:t>- Conclusion: Priority should be given to protecting the vesical branches of the pelvic nerve plexus and the pelvic splanchnic nerves.</w:t>
            </w:r>
          </w:p>
        </w:tc>
        <w:tc>
          <w:tcPr>
            <w:tcW w:w="1152" w:type="dxa"/>
            <w:vAlign w:val="center"/>
          </w:tcPr>
          <w:p w14:paraId="40998D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E8CC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F157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D0B1B9" w14:textId="77777777">
        <w:tc>
          <w:tcPr>
            <w:tcW w:w="2160" w:type="dxa"/>
            <w:vAlign w:val="center"/>
          </w:tcPr>
          <w:p w14:paraId="2D917829"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0BB97B5" w14:textId="77777777" w:rsidR="00922249" w:rsidRPr="00CB2EC4" w:rsidRDefault="003011D5">
            <w:pPr>
              <w:rPr>
                <w:rFonts w:ascii="Times New Roman" w:hAnsi="Times New Roman" w:cs="Times New Roman"/>
              </w:rPr>
            </w:pPr>
            <w:r w:rsidRPr="00CB2EC4">
              <w:rPr>
                <w:rFonts w:ascii="Times New Roman" w:hAnsi="Times New Roman" w:cs="Times New Roman"/>
              </w:rPr>
              <w:t>in radical total hysterectomy, preserving the following nerve branches is crucial for protecting bladder function:</w:t>
            </w:r>
            <w:r w:rsidRPr="00CB2EC4">
              <w:rPr>
                <w:rFonts w:ascii="Times New Roman" w:hAnsi="Times New Roman" w:cs="Times New Roman"/>
              </w:rPr>
              <w:br/>
            </w:r>
            <w:r w:rsidRPr="00CB2EC4">
              <w:rPr>
                <w:rFonts w:ascii="Times New Roman" w:hAnsi="Times New Roman" w:cs="Times New Roman"/>
              </w:rPr>
              <w:br/>
              <w:t>- Key nerve branches: Preservation of the vesical branches of the pelvic plexus (bladder nerve branches) helps protect bladder function. These branches course within the posterior layer of the vesicouterine ligament (bladder-cervix ligament) alongside the superior vesical veins.</w:t>
            </w:r>
            <w:r w:rsidRPr="00CB2EC4">
              <w:rPr>
                <w:rFonts w:ascii="Times New Roman" w:hAnsi="Times New Roman" w:cs="Times New Roman"/>
              </w:rPr>
              <w:br/>
              <w:t>- Preservation method: During surgery, avoid transecting the neural portion of the posterior vesicouterine ligament; only manage the vascular portion (e.g., dissect and ligate vessels while sparing nerves). Document segments 4 and 6 emphasize that preserving the pelvic plexus and its vesical branches reduces postoperative bladder atony (e.g., urinary retention); for instance, Figure 179 in segment 6 demonstrates good bladder function recovery after partial preservation of the pelvic splanchnic nerves and vesical branches.</w:t>
            </w:r>
            <w:r w:rsidRPr="00CB2EC4">
              <w:rPr>
                <w:rFonts w:ascii="Times New Roman" w:hAnsi="Times New Roman" w:cs="Times New Roman"/>
              </w:rPr>
              <w:br/>
              <w:t>- Importance: Failure to preserve these nerve branches may result in bladder dysfunction (e.g., loss of urge or increased residual urine). Document segment 16 notes that the vesical nerve branches course independently of the vaginal nerve branches, making nerve preservation essential.</w:t>
            </w:r>
          </w:p>
        </w:tc>
        <w:tc>
          <w:tcPr>
            <w:tcW w:w="1152" w:type="dxa"/>
            <w:vAlign w:val="center"/>
          </w:tcPr>
          <w:p w14:paraId="77B7DA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33E13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F6E20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10370DF" w14:textId="77777777">
        <w:tc>
          <w:tcPr>
            <w:tcW w:w="2160" w:type="dxa"/>
            <w:vAlign w:val="center"/>
          </w:tcPr>
          <w:p w14:paraId="473ECA9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4EEFE305" w14:textId="77777777" w:rsidR="00922249" w:rsidRPr="00CB2EC4" w:rsidRDefault="003011D5">
            <w:pPr>
              <w:rPr>
                <w:rFonts w:ascii="Times New Roman" w:hAnsi="Times New Roman" w:cs="Times New Roman"/>
              </w:rPr>
            </w:pPr>
            <w:r w:rsidRPr="00CB2EC4">
              <w:rPr>
                <w:rFonts w:ascii="Times New Roman" w:hAnsi="Times New Roman" w:cs="Times New Roman"/>
              </w:rPr>
              <w:t>in radical hysterectomy, preserving the following nerve branches helps protect bladder function:</w:t>
            </w:r>
            <w:r w:rsidRPr="00CB2EC4">
              <w:rPr>
                <w:rFonts w:ascii="Times New Roman" w:hAnsi="Times New Roman" w:cs="Times New Roman"/>
              </w:rPr>
              <w:br/>
            </w:r>
            <w:r w:rsidRPr="00CB2EC4">
              <w:rPr>
                <w:rFonts w:ascii="Times New Roman" w:hAnsi="Times New Roman" w:cs="Times New Roman"/>
              </w:rPr>
              <w:br/>
              <w:t xml:space="preserve">- Pelvic splanchnic nerves:  </w:t>
            </w:r>
            <w:r w:rsidRPr="00CB2EC4">
              <w:rPr>
                <w:rFonts w:ascii="Times New Roman" w:hAnsi="Times New Roman" w:cs="Times New Roman"/>
              </w:rPr>
              <w:br/>
              <w:t xml:space="preserve">  These nerves arise from the S2-S4 sacral nerves and carry parasympathetic fibers responsible for bladder contraction and voiding. Injury can lead to bladder atony and urinary retention (references 1, 8).</w:t>
            </w:r>
            <w:r w:rsidRPr="00CB2EC4">
              <w:rPr>
                <w:rFonts w:ascii="Times New Roman" w:hAnsi="Times New Roman" w:cs="Times New Roman"/>
              </w:rPr>
              <w:br/>
            </w:r>
            <w:r w:rsidRPr="00CB2EC4">
              <w:rPr>
                <w:rFonts w:ascii="Times New Roman" w:hAnsi="Times New Roman" w:cs="Times New Roman"/>
              </w:rPr>
              <w:br/>
              <w:t xml:space="preserve">- Pelvic plexus and its bladder branches:  </w:t>
            </w:r>
            <w:r w:rsidRPr="00CB2EC4">
              <w:rPr>
                <w:rFonts w:ascii="Times New Roman" w:hAnsi="Times New Roman" w:cs="Times New Roman"/>
              </w:rPr>
              <w:br/>
              <w:t xml:space="preserve">  The pelvic plexus is formed by the convergence of the hypogastric nerve and pelvic splanchnic nerves; its bladder branches directly innervate the bladder. The bladder branches often course alongside the superior vesical vein within the posterior layer or deep part of the vesicouterine ligament (references 3, 8, 14, 29).</w:t>
            </w:r>
            <w:r w:rsidRPr="00CB2EC4">
              <w:rPr>
                <w:rFonts w:ascii="Times New Roman" w:hAnsi="Times New Roman" w:cs="Times New Roman"/>
              </w:rPr>
              <w:br/>
            </w:r>
            <w:r w:rsidRPr="00CB2EC4">
              <w:rPr>
                <w:rFonts w:ascii="Times New Roman" w:hAnsi="Times New Roman" w:cs="Times New Roman"/>
              </w:rPr>
              <w:br/>
              <w:t xml:space="preserve">- Key preservation points:  </w:t>
            </w:r>
            <w:r w:rsidRPr="00CB2EC4">
              <w:rPr>
                <w:rFonts w:ascii="Times New Roman" w:hAnsi="Times New Roman" w:cs="Times New Roman"/>
              </w:rPr>
              <w:br/>
              <w:t xml:space="preserve">  During surgery, it is essential to avoid transecting the pelvic plexus and bladder branches. Specific methods include: preserving the deep neural portion when dissecting the transverse cervical ligament; carefully handling the bladder neural branches when cutting the posterior layer of the vesicouterine ligament; and developing the lateral vaginal spaces to operate medial to the bladder branches (references 3, 8, 18, 29). The literature emphasizes that preserving these nerves reduces postoperative bladder dysfunction (such as loss of bladder sensation or increased residual urine), but surgical expertise is critical (references 4, 8).</w:t>
            </w:r>
          </w:p>
        </w:tc>
        <w:tc>
          <w:tcPr>
            <w:tcW w:w="1152" w:type="dxa"/>
            <w:vAlign w:val="center"/>
          </w:tcPr>
          <w:p w14:paraId="63E505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1361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9D70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A1D7B7" w14:textId="77777777">
        <w:tc>
          <w:tcPr>
            <w:tcW w:w="2160" w:type="dxa"/>
            <w:vAlign w:val="center"/>
          </w:tcPr>
          <w:p w14:paraId="2C0DFD3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FB91275" w14:textId="77777777" w:rsidR="00922249" w:rsidRPr="00CB2EC4" w:rsidRDefault="003011D5">
            <w:pPr>
              <w:rPr>
                <w:rFonts w:ascii="Times New Roman" w:hAnsi="Times New Roman" w:cs="Times New Roman"/>
              </w:rPr>
            </w:pPr>
            <w:r w:rsidRPr="00CB2EC4">
              <w:rPr>
                <w:rFonts w:ascii="Times New Roman" w:hAnsi="Times New Roman" w:cs="Times New Roman"/>
              </w:rPr>
              <w:t>in radical total hysterectomy, preserving the following nerve branches helps protect bladder function:</w:t>
            </w:r>
            <w:r w:rsidRPr="00CB2EC4">
              <w:rPr>
                <w:rFonts w:ascii="Times New Roman" w:hAnsi="Times New Roman" w:cs="Times New Roman"/>
              </w:rPr>
              <w:br/>
            </w:r>
            <w:r w:rsidRPr="00CB2EC4">
              <w:rPr>
                <w:rFonts w:ascii="Times New Roman" w:hAnsi="Times New Roman" w:cs="Times New Roman"/>
              </w:rPr>
              <w:br/>
              <w:t xml:space="preserve">- Preserved nerve branches: the bladder branches of </w:t>
            </w:r>
            <w:r w:rsidRPr="00CB2EC4">
              <w:rPr>
                <w:rFonts w:ascii="Times New Roman" w:hAnsi="Times New Roman" w:cs="Times New Roman"/>
              </w:rPr>
              <w:lastRenderedPageBreak/>
              <w:t>the pelvic plexus (vesical nerve branches). These branches run along the superior vesical vein and enter the bladder via the neural portion of the posterior layer of the vesicouterine ligament. Preserving them helps maintain bladder contraction and sensory function (the document emphasizes: "preserving the pelvic plexus and its bladder branches is the focus of nerve-sparing surgical design," similarity 0.663 and 0.678).</w:t>
            </w:r>
            <w:r w:rsidRPr="00CB2EC4">
              <w:rPr>
                <w:rFonts w:ascii="Times New Roman" w:hAnsi="Times New Roman" w:cs="Times New Roman"/>
              </w:rPr>
              <w:br/>
              <w:t>- Key operative steps: during surgery, damage to the bladder branches must be avoided. Specific methods include:</w:t>
            </w:r>
            <w:r w:rsidRPr="00CB2EC4">
              <w:rPr>
                <w:rFonts w:ascii="Times New Roman" w:hAnsi="Times New Roman" w:cs="Times New Roman"/>
              </w:rPr>
              <w:br/>
              <w:t xml:space="preserve">  - When dissecting the posterior layer of the vesicouterine ligament, only the vascular portion is cut, while the neural portion is preserved (the document: "the vesicocervical ligament is divided into vascular and neural portions; preserve the neural portion," similarity 0.565).</w:t>
            </w:r>
            <w:r w:rsidRPr="00CB2EC4">
              <w:rPr>
                <w:rFonts w:ascii="Times New Roman" w:hAnsi="Times New Roman" w:cs="Times New Roman"/>
              </w:rPr>
              <w:br/>
              <w:t xml:space="preserve">  - When handling the lateral rectal ligaments, preserve the pelvic plexus (similarity 0.603).</w:t>
            </w:r>
            <w:r w:rsidRPr="00CB2EC4">
              <w:rPr>
                <w:rFonts w:ascii="Times New Roman" w:hAnsi="Times New Roman" w:cs="Times New Roman"/>
              </w:rPr>
              <w:br/>
              <w:t>- Outcome: the document states that successful preservation of these nerve branches can reduce postoperative residual urine and bladder dysfunction (similarity 0.603).</w:t>
            </w:r>
          </w:p>
        </w:tc>
        <w:tc>
          <w:tcPr>
            <w:tcW w:w="1152" w:type="dxa"/>
            <w:vAlign w:val="center"/>
          </w:tcPr>
          <w:p w14:paraId="6A05F1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114D4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72774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F5BE4D2" w14:textId="77777777">
        <w:tc>
          <w:tcPr>
            <w:tcW w:w="2160" w:type="dxa"/>
            <w:vAlign w:val="center"/>
          </w:tcPr>
          <w:p w14:paraId="5EDD713D"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04E2CF0" w14:textId="77777777" w:rsidR="00922249" w:rsidRPr="00CB2EC4" w:rsidRDefault="003011D5">
            <w:pPr>
              <w:rPr>
                <w:rFonts w:ascii="Times New Roman" w:hAnsi="Times New Roman" w:cs="Times New Roman"/>
              </w:rPr>
            </w:pPr>
            <w:r w:rsidRPr="00CB2EC4">
              <w:rPr>
                <w:rFonts w:ascii="Times New Roman" w:hAnsi="Times New Roman" w:cs="Times New Roman"/>
              </w:rPr>
              <w:t>in radical total hysterectomy, preserving the following nerve branches helps protect bladder function:</w:t>
            </w:r>
            <w:r w:rsidRPr="00CB2EC4">
              <w:rPr>
                <w:rFonts w:ascii="Times New Roman" w:hAnsi="Times New Roman" w:cs="Times New Roman"/>
              </w:rPr>
              <w:br/>
            </w:r>
            <w:r w:rsidRPr="00CB2EC4">
              <w:rPr>
                <w:rFonts w:ascii="Times New Roman" w:hAnsi="Times New Roman" w:cs="Times New Roman"/>
              </w:rPr>
              <w:br/>
              <w:t>- Bladder branches of the pelvic plexus: These are the most critical branches, directly innervating the detrusor muscle and sphincter of the bladder, responsible for bladder contraction and voiding. Preservation maintains bladder sensation and emptying capacity (Document fragments 4, 5, 11).</w:t>
            </w:r>
            <w:r w:rsidRPr="00CB2EC4">
              <w:rPr>
                <w:rFonts w:ascii="Times New Roman" w:hAnsi="Times New Roman" w:cs="Times New Roman"/>
              </w:rPr>
              <w:br/>
              <w:t xml:space="preserve">- Pelvic splanchnic nerves (PSN): As the parasympathetic source, PSN contributes to the </w:t>
            </w:r>
            <w:r w:rsidRPr="00CB2EC4">
              <w:rPr>
                <w:rFonts w:ascii="Times New Roman" w:hAnsi="Times New Roman" w:cs="Times New Roman"/>
              </w:rPr>
              <w:lastRenderedPageBreak/>
              <w:t>formation of the inferior hypogastric plexus (IHP), with fibers supplying the bladder branches. Preserving PSN supports parasympathetic control of the bladder (Document fragments 11, 29).</w:t>
            </w:r>
            <w:r w:rsidRPr="00CB2EC4">
              <w:rPr>
                <w:rFonts w:ascii="Times New Roman" w:hAnsi="Times New Roman" w:cs="Times New Roman"/>
              </w:rPr>
              <w:br/>
              <w:t>- Hypogastric nerve (HN): As the sympathetic component, HN also merges into the IHP; although primarily involved in rectal function, some fibers influence bladder relaxation. Preserving HN aids overall neural balance (Document fragments 27, 29).</w:t>
            </w:r>
            <w:r w:rsidRPr="00CB2EC4">
              <w:rPr>
                <w:rFonts w:ascii="Times New Roman" w:hAnsi="Times New Roman" w:cs="Times New Roman"/>
              </w:rPr>
              <w:br/>
              <w:t>- Preservation technique: During surgery, avoid injuring the pathways of these nerve branches:</w:t>
            </w:r>
            <w:r w:rsidRPr="00CB2EC4">
              <w:rPr>
                <w:rFonts w:ascii="Times New Roman" w:hAnsi="Times New Roman" w:cs="Times New Roman"/>
              </w:rPr>
              <w:br/>
              <w:t xml:space="preserve">  → When dissecting the transverse cervical ligament and the posterior layer of the vesicouterine ligament, take care to protect the PSN (often located below the deep uterine vein).</w:t>
            </w:r>
            <w:r w:rsidRPr="00CB2EC4">
              <w:rPr>
                <w:rFonts w:ascii="Times New Roman" w:hAnsi="Times New Roman" w:cs="Times New Roman"/>
              </w:rPr>
              <w:br/>
              <w:t xml:space="preserve">  → In nerve-sparing procedures, focus on anatomically preserving the pelvic plexus and its bladder branches, for example, by separating the vascular and neural components and only dividing the vessels (Document fragments 4, 5, 11).</w:t>
            </w:r>
            <w:r w:rsidRPr="00CB2EC4">
              <w:rPr>
                <w:rFonts w:ascii="Times New Roman" w:hAnsi="Times New Roman" w:cs="Times New Roman"/>
              </w:rPr>
              <w:br/>
            </w:r>
            <w:r w:rsidRPr="00CB2EC4">
              <w:rPr>
                <w:rFonts w:ascii="Times New Roman" w:hAnsi="Times New Roman" w:cs="Times New Roman"/>
              </w:rPr>
              <w:br/>
              <w:t>The documents emphasize that preserving these branches reduces the risk of bladder atony, but surgical expertise is key (Document fragment 24).</w:t>
            </w:r>
          </w:p>
        </w:tc>
        <w:tc>
          <w:tcPr>
            <w:tcW w:w="1152" w:type="dxa"/>
            <w:vAlign w:val="center"/>
          </w:tcPr>
          <w:p w14:paraId="021EF6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8D390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583E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44762FE" w14:textId="77777777">
        <w:tc>
          <w:tcPr>
            <w:tcW w:w="2160" w:type="dxa"/>
            <w:vAlign w:val="center"/>
          </w:tcPr>
          <w:p w14:paraId="436630FE"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2725EE8" w14:textId="77777777" w:rsidR="00922249" w:rsidRPr="00CB2EC4" w:rsidRDefault="003011D5">
            <w:pPr>
              <w:rPr>
                <w:rFonts w:ascii="Times New Roman" w:hAnsi="Times New Roman" w:cs="Times New Roman"/>
              </w:rPr>
            </w:pPr>
            <w:r w:rsidRPr="00CB2EC4">
              <w:rPr>
                <w:rFonts w:ascii="Times New Roman" w:hAnsi="Times New Roman" w:cs="Times New Roman"/>
              </w:rPr>
              <w:t>during radical hysterectomy, preserving the following nerve branches helps protect bladder function:</w:t>
            </w:r>
            <w:r w:rsidRPr="00CB2EC4">
              <w:rPr>
                <w:rFonts w:ascii="Times New Roman" w:hAnsi="Times New Roman" w:cs="Times New Roman"/>
              </w:rPr>
              <w:br/>
              <w:t>- Pelvic splanchnic nerves: These are components of the autonomic nervous system, originating from the sacral nerves and contributing to the formation of the pelvic plexus.</w:t>
            </w:r>
            <w:r w:rsidRPr="00CB2EC4">
              <w:rPr>
                <w:rFonts w:ascii="Times New Roman" w:hAnsi="Times New Roman" w:cs="Times New Roman"/>
              </w:rPr>
              <w:br/>
              <w:t>- Pelvic plexus: Located in the area of the lateral rectal ligament, it serves as the central neural network.</w:t>
            </w:r>
            <w:r w:rsidRPr="00CB2EC4">
              <w:rPr>
                <w:rFonts w:ascii="Times New Roman" w:hAnsi="Times New Roman" w:cs="Times New Roman"/>
              </w:rPr>
              <w:br/>
              <w:t xml:space="preserve">- Bladder branches: Arising from the pelvic plexus, these nerves course within the neural portion of the </w:t>
            </w:r>
            <w:r w:rsidRPr="00CB2EC4">
              <w:rPr>
                <w:rFonts w:ascii="Times New Roman" w:hAnsi="Times New Roman" w:cs="Times New Roman"/>
              </w:rPr>
              <w:lastRenderedPageBreak/>
              <w:t>posterior layer of the vesicouterine ligament and directly innervate the bladder.</w:t>
            </w:r>
            <w:r w:rsidRPr="00CB2EC4">
              <w:rPr>
                <w:rFonts w:ascii="Times New Roman" w:hAnsi="Times New Roman" w:cs="Times New Roman"/>
              </w:rPr>
              <w:br/>
              <w:t>Preserving these nerve branches reduces postoperative bladder atony and residual urine. For example, the document states that after partial preservation of the pelvic plexus and bladder branches, patients regained urinary sensation and had minimal residual urine (refer to description for Figure 179). The surgical approach focuses on anatomical preservation of the pelvic nerve plexus and its bladder branches (refer to descriptions for Figure 13, Figure 34, and Figure 36).</w:t>
            </w:r>
          </w:p>
        </w:tc>
        <w:tc>
          <w:tcPr>
            <w:tcW w:w="1152" w:type="dxa"/>
            <w:vAlign w:val="center"/>
          </w:tcPr>
          <w:p w14:paraId="38AFD3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C622F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CAB3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A884B07" w14:textId="77777777">
        <w:tc>
          <w:tcPr>
            <w:tcW w:w="2160" w:type="dxa"/>
            <w:vAlign w:val="center"/>
          </w:tcPr>
          <w:p w14:paraId="11AD67F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4794ED5" w14:textId="77777777" w:rsidR="00922249" w:rsidRPr="00CB2EC4" w:rsidRDefault="003011D5">
            <w:pPr>
              <w:rPr>
                <w:rFonts w:ascii="Times New Roman" w:hAnsi="Times New Roman" w:cs="Times New Roman"/>
              </w:rPr>
            </w:pPr>
            <w:r w:rsidRPr="00CB2EC4">
              <w:rPr>
                <w:rFonts w:ascii="Times New Roman" w:hAnsi="Times New Roman" w:cs="Times New Roman"/>
              </w:rPr>
              <w:t>in radical total hysterectomy, preserving the following nerve branches helps protect bladder function:</w:t>
            </w:r>
            <w:r w:rsidRPr="00CB2EC4">
              <w:rPr>
                <w:rFonts w:ascii="Times New Roman" w:hAnsi="Times New Roman" w:cs="Times New Roman"/>
              </w:rPr>
              <w:br/>
            </w:r>
            <w:r w:rsidRPr="00CB2EC4">
              <w:rPr>
                <w:rFonts w:ascii="Times New Roman" w:hAnsi="Times New Roman" w:cs="Times New Roman"/>
              </w:rPr>
              <w:br/>
              <w:t>- Key branches to preserve: bladder nerve branches (originating from the pelvic plexus). These branches course within the posterior layer (deep layer) of the vesicouterine ligament, accompanying the superior vesical vein. Preservation of this branch maintains detrusor muscle function and urinary urge sensation (see document segments 8, 20, 28).</w:t>
            </w:r>
            <w:r w:rsidRPr="00CB2EC4">
              <w:rPr>
                <w:rFonts w:ascii="Times New Roman" w:hAnsi="Times New Roman" w:cs="Times New Roman"/>
              </w:rPr>
              <w:br/>
              <w:t>- Preservation technique: During surgery, separate and cut only the vascular component of the vesicouterine ligament (e.g., ligation of the superior vesical vein) while preserving its deep neural component. For example:</w:t>
            </w:r>
            <w:r w:rsidRPr="00CB2EC4">
              <w:rPr>
                <w:rFonts w:ascii="Times New Roman" w:hAnsi="Times New Roman" w:cs="Times New Roman"/>
              </w:rPr>
              <w:br/>
              <w:t xml:space="preserve">  - In the Okabayashi method, dissecting the lateral vaginal space exposes the posterior layer, identifying and preserving the loose connective tissue containing the nerves.</w:t>
            </w:r>
            <w:r w:rsidRPr="00CB2EC4">
              <w:rPr>
                <w:rFonts w:ascii="Times New Roman" w:hAnsi="Times New Roman" w:cs="Times New Roman"/>
              </w:rPr>
              <w:br/>
              <w:t xml:space="preserve">  - The Kobayashi technique employs "separation and preservation of the autonomic nerve cord," cutting only the vascular bundle within the parametrial neurovascular triangle without injuring the deep </w:t>
            </w:r>
            <w:r w:rsidRPr="00CB2EC4">
              <w:rPr>
                <w:rFonts w:ascii="Times New Roman" w:hAnsi="Times New Roman" w:cs="Times New Roman"/>
              </w:rPr>
              <w:lastRenderedPageBreak/>
              <w:t>nerves (see document segments 2, 7).</w:t>
            </w:r>
            <w:r w:rsidRPr="00CB2EC4">
              <w:rPr>
                <w:rFonts w:ascii="Times New Roman" w:hAnsi="Times New Roman" w:cs="Times New Roman"/>
              </w:rPr>
              <w:br/>
              <w:t>- Importance: The context emphasizes that failure to preserve this branch results in approximately 20% of patients developing bladder dysfunction (e.g., increased post-void residual urine). Other branches, such as the vaginal nerve branches, course independently within the perivaginal connective tissue and do not affect bladder function (see document segments 8, 19).</w:t>
            </w:r>
          </w:p>
        </w:tc>
        <w:tc>
          <w:tcPr>
            <w:tcW w:w="1152" w:type="dxa"/>
            <w:vAlign w:val="center"/>
          </w:tcPr>
          <w:p w14:paraId="7CD229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598AB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D0882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248104E" w14:textId="77777777">
        <w:tc>
          <w:tcPr>
            <w:tcW w:w="2160" w:type="dxa"/>
            <w:vAlign w:val="center"/>
          </w:tcPr>
          <w:p w14:paraId="59B34526"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D70BB83" w14:textId="77777777" w:rsidR="00922249" w:rsidRPr="00CB2EC4" w:rsidRDefault="003011D5">
            <w:pPr>
              <w:rPr>
                <w:rFonts w:ascii="Times New Roman" w:hAnsi="Times New Roman" w:cs="Times New Roman"/>
              </w:rPr>
            </w:pPr>
            <w:r w:rsidRPr="00CB2EC4">
              <w:rPr>
                <w:rFonts w:ascii="Times New Roman" w:hAnsi="Times New Roman" w:cs="Times New Roman"/>
              </w:rPr>
              <w:t>in radical total hysterectomy, preserving the following nerve branches helps protect bladder function:</w:t>
            </w:r>
            <w:r w:rsidRPr="00CB2EC4">
              <w:rPr>
                <w:rFonts w:ascii="Times New Roman" w:hAnsi="Times New Roman" w:cs="Times New Roman"/>
              </w:rPr>
              <w:br/>
            </w:r>
            <w:r w:rsidRPr="00CB2EC4">
              <w:rPr>
                <w:rFonts w:ascii="Times New Roman" w:hAnsi="Times New Roman" w:cs="Times New Roman"/>
              </w:rPr>
              <w:br/>
              <w:t>- Key nerve branches: Preservation of the pelvic plexus and its bladder branches (vesical nerve branches) aids in protecting bladder function. The bladder branches course within the posterior layer of the vesicouterine ligament, running parallel to the superior vesical veins.</w:t>
            </w:r>
            <w:r w:rsidRPr="00CB2EC4">
              <w:rPr>
                <w:rFonts w:ascii="Times New Roman" w:hAnsi="Times New Roman" w:cs="Times New Roman"/>
              </w:rPr>
              <w:br/>
              <w:t>- Preservation method: During surgery, avoid cutting the neural portion within the posterior layer of the vesicouterine ligament, and only address the vascular portion. Specifically:</w:t>
            </w:r>
            <w:r w:rsidRPr="00CB2EC4">
              <w:rPr>
                <w:rFonts w:ascii="Times New Roman" w:hAnsi="Times New Roman" w:cs="Times New Roman"/>
              </w:rPr>
              <w:br/>
              <w:t xml:space="preserve">  - When dissecting the posterior layer of the vesicouterine ligament, identify and preserve the bladder nerve branches within it.</w:t>
            </w:r>
            <w:r w:rsidRPr="00CB2EC4">
              <w:rPr>
                <w:rFonts w:ascii="Times New Roman" w:hAnsi="Times New Roman" w:cs="Times New Roman"/>
              </w:rPr>
              <w:br/>
              <w:t xml:space="preserve">  - Avoid en bloc resection of the cardinal ligament or the lateral rectal ligament to minimize injury to the pelvic plexus.</w:t>
            </w:r>
            <w:r w:rsidRPr="00CB2EC4">
              <w:rPr>
                <w:rFonts w:ascii="Times New Roman" w:hAnsi="Times New Roman" w:cs="Times New Roman"/>
              </w:rPr>
              <w:br/>
              <w:t xml:space="preserve">- Document emphasis: Preserving these nerve branches improves postoperative recovery of urinary sensation and reduces residual urine (as stated in the document under "[similarity: 0.635]": "Preserving the pelvic plexus and its bladder branches... elevates Japan's radical total hysterectomy to an unprecedented </w:t>
            </w:r>
            <w:r w:rsidRPr="00CB2EC4">
              <w:rPr>
                <w:rFonts w:ascii="Times New Roman" w:hAnsi="Times New Roman" w:cs="Times New Roman"/>
              </w:rPr>
              <w:lastRenderedPageBreak/>
              <w:t>global standard in safety and organ function preservation" and under "[similarity: 0.584]": "Preserving part of the pelvic visceral nerves and the pelvic plexus and its bladder branches not only restored urinary sensation postoperatively but also resulted in virtually no residual urine").</w:t>
            </w:r>
          </w:p>
        </w:tc>
        <w:tc>
          <w:tcPr>
            <w:tcW w:w="1152" w:type="dxa"/>
            <w:vAlign w:val="center"/>
          </w:tcPr>
          <w:p w14:paraId="78D682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852C6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A9146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B2F14F7" w14:textId="77777777">
        <w:tc>
          <w:tcPr>
            <w:tcW w:w="2160" w:type="dxa"/>
            <w:vAlign w:val="center"/>
          </w:tcPr>
          <w:p w14:paraId="11A63D1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182F43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radical total hysterectomy, preserving the following nerve branches helps protect bladder function:  </w:t>
            </w:r>
            <w:r w:rsidRPr="00CB2EC4">
              <w:rPr>
                <w:rFonts w:ascii="Times New Roman" w:hAnsi="Times New Roman" w:cs="Times New Roman"/>
              </w:rPr>
              <w:br/>
              <w:t xml:space="preserve">- Vesical branches: These are branches of the pelvic plexus that course along the superior vesical vein and enter the bladder. Preserving these nerve branches reduces postoperative bladder atony (document fragments 3, 5, 8, 10, 21).  </w:t>
            </w:r>
            <w:r w:rsidRPr="00CB2EC4">
              <w:rPr>
                <w:rFonts w:ascii="Times New Roman" w:hAnsi="Times New Roman" w:cs="Times New Roman"/>
              </w:rPr>
              <w:br/>
              <w:t xml:space="preserve">- Pelvic plexus: As a neural hub, preserving its integrity is crucial for bladder function. Injury to the pelvic plexus leads to bladder dysfunction (document fragments 10, 26).  </w:t>
            </w:r>
            <w:r w:rsidRPr="00CB2EC4">
              <w:rPr>
                <w:rFonts w:ascii="Times New Roman" w:hAnsi="Times New Roman" w:cs="Times New Roman"/>
              </w:rPr>
              <w:br/>
              <w:t>- Preservation method: During surgery, it is necessary to avoid dissecting the nerve-vascular bundle within the posterior leaf of the vesicouterine ligament and to limit the extent of resection of the lateral rectal ligaments to protect the nerve branches (document fragments 3, 10). For example, Figure 179 shows that partial preservation of the pelvic splanchnic nerves and vesical branches can restore the sensation of urination (document fragment 10). Contextual information is sufficient, based on document fragments 3, 5, 8, 10, 21, 26.</w:t>
            </w:r>
          </w:p>
        </w:tc>
        <w:tc>
          <w:tcPr>
            <w:tcW w:w="1152" w:type="dxa"/>
            <w:vAlign w:val="center"/>
          </w:tcPr>
          <w:p w14:paraId="07DF15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4D97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C59D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DAA991" w14:textId="77777777">
        <w:tc>
          <w:tcPr>
            <w:tcW w:w="2160" w:type="dxa"/>
            <w:vAlign w:val="center"/>
          </w:tcPr>
          <w:p w14:paraId="38442AD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A2D1FAD" w14:textId="77777777" w:rsidR="00922249" w:rsidRPr="00CB2EC4" w:rsidRDefault="003011D5">
            <w:pPr>
              <w:rPr>
                <w:rFonts w:ascii="Times New Roman" w:hAnsi="Times New Roman" w:cs="Times New Roman"/>
              </w:rPr>
            </w:pPr>
            <w:r w:rsidRPr="00CB2EC4">
              <w:rPr>
                <w:rFonts w:ascii="Times New Roman" w:hAnsi="Times New Roman" w:cs="Times New Roman"/>
              </w:rPr>
              <w:t>in radical total hysterectomy, preserving the following nerve branches helps protect bladder function:</w:t>
            </w:r>
            <w:r w:rsidRPr="00CB2EC4">
              <w:rPr>
                <w:rFonts w:ascii="Times New Roman" w:hAnsi="Times New Roman" w:cs="Times New Roman"/>
              </w:rPr>
              <w:br/>
            </w:r>
            <w:r w:rsidRPr="00CB2EC4">
              <w:rPr>
                <w:rFonts w:ascii="Times New Roman" w:hAnsi="Times New Roman" w:cs="Times New Roman"/>
              </w:rPr>
              <w:br/>
              <w:t xml:space="preserve">- Key nerve branches:  </w:t>
            </w:r>
            <w:r w:rsidRPr="00CB2EC4">
              <w:rPr>
                <w:rFonts w:ascii="Times New Roman" w:hAnsi="Times New Roman" w:cs="Times New Roman"/>
              </w:rPr>
              <w:br/>
              <w:t xml:space="preserve">  - Bladder branches from the pelvic plexus:  </w:t>
            </w:r>
            <w:r w:rsidRPr="00CB2EC4">
              <w:rPr>
                <w:rFonts w:ascii="Times New Roman" w:hAnsi="Times New Roman" w:cs="Times New Roman"/>
              </w:rPr>
              <w:br/>
            </w:r>
            <w:r w:rsidRPr="00CB2EC4">
              <w:rPr>
                <w:rFonts w:ascii="Times New Roman" w:hAnsi="Times New Roman" w:cs="Times New Roman"/>
              </w:rPr>
              <w:lastRenderedPageBreak/>
              <w:t xml:space="preserve">    - These branches directly innervate the bladder, course within the vesicocervical ligament alongside the superior vesical vein (Segment 1, Figures 44, 45a,b; Segment 8, Figure 161b; Segment 9).  </w:t>
            </w:r>
            <w:r w:rsidRPr="00CB2EC4">
              <w:rPr>
                <w:rFonts w:ascii="Times New Roman" w:hAnsi="Times New Roman" w:cs="Times New Roman"/>
              </w:rPr>
              <w:br/>
              <w:t xml:space="preserve">    - Preservation of these nerves helps maintain bladder contraction and sensory function, reducing urinary retention (Segment 9).  </w:t>
            </w:r>
            <w:r w:rsidRPr="00CB2EC4">
              <w:rPr>
                <w:rFonts w:ascii="Times New Roman" w:hAnsi="Times New Roman" w:cs="Times New Roman"/>
              </w:rPr>
              <w:br/>
              <w:t xml:space="preserve">  - Pelvic splanchnic nerves:  </w:t>
            </w:r>
            <w:r w:rsidRPr="00CB2EC4">
              <w:rPr>
                <w:rFonts w:ascii="Times New Roman" w:hAnsi="Times New Roman" w:cs="Times New Roman"/>
              </w:rPr>
              <w:br/>
              <w:t xml:space="preserve">    - As input nerves to the pelvic plexus, preserving their integrity indirectly protects bladder function, though their primary effect is mediated via the pelvic plexus (Segment 4; Segment 9).  </w:t>
            </w:r>
            <w:r w:rsidRPr="00CB2EC4">
              <w:rPr>
                <w:rFonts w:ascii="Times New Roman" w:hAnsi="Times New Roman" w:cs="Times New Roman"/>
              </w:rPr>
              <w:br/>
              <w:t xml:space="preserve">- Preservation technique:  </w:t>
            </w:r>
            <w:r w:rsidRPr="00CB2EC4">
              <w:rPr>
                <w:rFonts w:ascii="Times New Roman" w:hAnsi="Times New Roman" w:cs="Times New Roman"/>
              </w:rPr>
              <w:br/>
              <w:t xml:space="preserve">  - During surgery, avoid transecting the entire posterior layer of the vesicouterine ligament (which contains the vesicocervical ligament). Instead, separate the vascular component (e.g., superior vesical vein) from the neural component, and only divide the vascular part (Segment 7; Segment 8; Segment 9).  </w:t>
            </w:r>
            <w:r w:rsidRPr="00CB2EC4">
              <w:rPr>
                <w:rFonts w:ascii="Times New Roman" w:hAnsi="Times New Roman" w:cs="Times New Roman"/>
              </w:rPr>
              <w:br/>
              <w:t xml:space="preserve">  - For example, in the Okabayashi procedure, three-dimensional dissection is used to identify and preserve the neural component within the vesicocervical ligament (Segment 7, Figures 138a,b; Segment 9).  </w:t>
            </w:r>
            <w:r w:rsidRPr="00CB2EC4">
              <w:rPr>
                <w:rFonts w:ascii="Times New Roman" w:hAnsi="Times New Roman" w:cs="Times New Roman"/>
              </w:rPr>
              <w:br/>
              <w:t>- Documentation basis: The context explicitly states that preserving the bladder branches is central to protecting bladder function (Segment 1; Segment 9), with no mention of other specific branches such as vaginal nerves (Segment 1 notes that bladder nerves are independent of vaginal nerves).</w:t>
            </w:r>
          </w:p>
        </w:tc>
        <w:tc>
          <w:tcPr>
            <w:tcW w:w="1152" w:type="dxa"/>
            <w:vAlign w:val="center"/>
          </w:tcPr>
          <w:p w14:paraId="2024FC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608CC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9DC6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7BEE5D" w14:textId="77777777">
        <w:tc>
          <w:tcPr>
            <w:tcW w:w="2160" w:type="dxa"/>
            <w:vAlign w:val="center"/>
          </w:tcPr>
          <w:p w14:paraId="6CA802A7"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47ABEED" w14:textId="77777777" w:rsidR="00922249" w:rsidRPr="00CB2EC4" w:rsidRDefault="003011D5">
            <w:pPr>
              <w:rPr>
                <w:rFonts w:ascii="Times New Roman" w:hAnsi="Times New Roman" w:cs="Times New Roman"/>
              </w:rPr>
            </w:pPr>
            <w:r w:rsidRPr="00CB2EC4">
              <w:rPr>
                <w:rFonts w:ascii="Times New Roman" w:hAnsi="Times New Roman" w:cs="Times New Roman"/>
              </w:rPr>
              <w:t>In radical hysterectomy, preserving the following nerve branches helps protect bladder function:</w:t>
            </w:r>
            <w:r w:rsidRPr="00CB2EC4">
              <w:rPr>
                <w:rFonts w:ascii="Times New Roman" w:hAnsi="Times New Roman" w:cs="Times New Roman"/>
              </w:rPr>
              <w:br/>
            </w:r>
            <w:r w:rsidRPr="00CB2EC4">
              <w:rPr>
                <w:rFonts w:ascii="Times New Roman" w:hAnsi="Times New Roman" w:cs="Times New Roman"/>
              </w:rPr>
              <w:br/>
              <w:t xml:space="preserve">  - Hypogastric plexus: particularly its bladder branches, which innervate bladder storage and voiding </w:t>
            </w:r>
            <w:r w:rsidRPr="00CB2EC4">
              <w:rPr>
                <w:rFonts w:ascii="Times New Roman" w:hAnsi="Times New Roman" w:cs="Times New Roman"/>
              </w:rPr>
              <w:lastRenderedPageBreak/>
              <w:t>functions.</w:t>
            </w:r>
            <w:r w:rsidRPr="00CB2EC4">
              <w:rPr>
                <w:rFonts w:ascii="Times New Roman" w:hAnsi="Times New Roman" w:cs="Times New Roman"/>
              </w:rPr>
              <w:br/>
              <w:t xml:space="preserve">  - Pelvic splanchnic nerves: originating from S2-S4, providing parasympathetic innervation to control detrusor muscle contraction.</w:t>
            </w:r>
            <w:r w:rsidRPr="00CB2EC4">
              <w:rPr>
                <w:rFonts w:ascii="Times New Roman" w:hAnsi="Times New Roman" w:cs="Times New Roman"/>
              </w:rPr>
              <w:br/>
              <w:t xml:space="preserve">  - Preservation method: intraoperative meticulous dissection of the rectal lateral ligament and vesicouterine ligament to avoid excessive electrocautery or transection of these nerve fibers, thereby preventing postoperative urinary retention.</w:t>
            </w:r>
          </w:p>
        </w:tc>
        <w:tc>
          <w:tcPr>
            <w:tcW w:w="1152" w:type="dxa"/>
            <w:vAlign w:val="center"/>
          </w:tcPr>
          <w:p w14:paraId="73FB40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8D7BD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7947C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8AACCFE" w14:textId="77777777">
        <w:tc>
          <w:tcPr>
            <w:tcW w:w="10656" w:type="dxa"/>
            <w:gridSpan w:val="5"/>
            <w:tcBorders>
              <w:bottom w:val="single" w:sz="6" w:space="0" w:color="auto"/>
            </w:tcBorders>
            <w:vAlign w:val="center"/>
          </w:tcPr>
          <w:p w14:paraId="0B745342"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109: What are the differences between the Latzko and Okabayashi operations? Please briefly describe these differences.</w:t>
            </w:r>
          </w:p>
        </w:tc>
      </w:tr>
      <w:tr w:rsidR="00922249" w:rsidRPr="00CB2EC4" w14:paraId="673B7F89" w14:textId="77777777">
        <w:tc>
          <w:tcPr>
            <w:tcW w:w="2160" w:type="dxa"/>
            <w:vAlign w:val="center"/>
          </w:tcPr>
          <w:p w14:paraId="1B86E0BA"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067F8BE" w14:textId="77777777" w:rsidR="00922249" w:rsidRPr="00CB2EC4" w:rsidRDefault="003011D5">
            <w:pPr>
              <w:rPr>
                <w:rFonts w:ascii="Times New Roman" w:hAnsi="Times New Roman" w:cs="Times New Roman"/>
              </w:rPr>
            </w:pPr>
            <w:r w:rsidRPr="00CB2EC4">
              <w:rPr>
                <w:rFonts w:ascii="Times New Roman" w:hAnsi="Times New Roman" w:cs="Times New Roman"/>
              </w:rPr>
              <w:t>Latzko and Okabayashi surgeries differ in the following aspects:</w:t>
            </w:r>
            <w:r w:rsidRPr="00CB2EC4">
              <w:rPr>
                <w:rFonts w:ascii="Times New Roman" w:hAnsi="Times New Roman" w:cs="Times New Roman"/>
              </w:rPr>
              <w:br/>
            </w:r>
            <w:r w:rsidRPr="00CB2EC4">
              <w:rPr>
                <w:rFonts w:ascii="Times New Roman" w:hAnsi="Times New Roman" w:cs="Times New Roman"/>
              </w:rPr>
              <w:br/>
              <w:t>- **Core Concept**:</w:t>
            </w:r>
            <w:r w:rsidRPr="00CB2EC4">
              <w:rPr>
                <w:rFonts w:ascii="Times New Roman" w:hAnsi="Times New Roman" w:cs="Times New Roman"/>
              </w:rPr>
              <w:br/>
              <w:t xml:space="preserve">  - Latzko surgery: Based on a two-dimensional anatomical concept (inheriting European tradition), views the procedure as an extension of simple hysterectomy. Dissects the lateral vesical space and the rectal lateral space (divided into cephalic compartment and caudal compartment), and resects the cardinal ligament en masse (Massenligature).</w:t>
            </w:r>
            <w:r w:rsidRPr="00CB2EC4">
              <w:rPr>
                <w:rFonts w:ascii="Times New Roman" w:hAnsi="Times New Roman" w:cs="Times New Roman"/>
              </w:rPr>
              <w:br/>
              <w:t xml:space="preserve">  - Okabayashi surgery: Based on a three-dimensional concept, innovatively dissects the lateral vaginal space, lateral vesical space, and Okabayashi rectal lateral space. Stereoscopically separates pelvic connective tissue (such as anterior, middle, and posterior supporting bands) and independently cuts each ligament.</w:t>
            </w:r>
            <w:r w:rsidRPr="00CB2EC4">
              <w:rPr>
                <w:rFonts w:ascii="Times New Roman" w:hAnsi="Times New Roman" w:cs="Times New Roman"/>
              </w:rPr>
              <w:br/>
            </w:r>
            <w:r w:rsidRPr="00CB2EC4">
              <w:rPr>
                <w:rFonts w:ascii="Times New Roman" w:hAnsi="Times New Roman" w:cs="Times New Roman"/>
              </w:rPr>
              <w:br/>
              <w:t>- **Key Operative Differences**:</w:t>
            </w:r>
            <w:r w:rsidRPr="00CB2EC4">
              <w:rPr>
                <w:rFonts w:ascii="Times New Roman" w:hAnsi="Times New Roman" w:cs="Times New Roman"/>
              </w:rPr>
              <w:br/>
              <w:t xml:space="preserve">  - Rectal lateral space dissection: Latzko divides it into cephalic compartment (lateral to ureter) and caudal compartment (above levator ani fascia) to </w:t>
            </w:r>
            <w:r w:rsidRPr="00CB2EC4">
              <w:rPr>
                <w:rFonts w:ascii="Times New Roman" w:hAnsi="Times New Roman" w:cs="Times New Roman"/>
              </w:rPr>
              <w:lastRenderedPageBreak/>
              <w:t>expose the origin of the transverse cervical ligament; Okabayashi dissects the rectal lateral space medial to the ureter, focusing on the visceral end, and integrates it with the lateral vaginal space.</w:t>
            </w:r>
            <w:r w:rsidRPr="00CB2EC4">
              <w:rPr>
                <w:rFonts w:ascii="Times New Roman" w:hAnsi="Times New Roman" w:cs="Times New Roman"/>
              </w:rPr>
              <w:br/>
              <w:t xml:space="preserve">  - Vesicouterine ligament management: Latzko does not specify layered dissection, treating it as an extension of the transverse cervical ligament; Okabayashi divides it into anterior layer (connecting cervix and bladder, equivalent to the roof of the ureteric tunnel) and posterior layer (connecting transverse cervical ligament and bladder), cutting each separately.</w:t>
            </w:r>
            <w:r w:rsidRPr="00CB2EC4">
              <w:rPr>
                <w:rFonts w:ascii="Times New Roman" w:hAnsi="Times New Roman" w:cs="Times New Roman"/>
              </w:rPr>
              <w:br/>
              <w:t xml:space="preserve">  - Cardinal ligament resection: Latzko clamps and resects en bloc, extending to the greater sciatic foramen; Okabayashi resects at the level of the iliac fossa, avoiding deep pelvic floor dissection to preserve space for nerve sparing.</w:t>
            </w:r>
            <w:r w:rsidRPr="00CB2EC4">
              <w:rPr>
                <w:rFonts w:ascii="Times New Roman" w:hAnsi="Times New Roman" w:cs="Times New Roman"/>
              </w:rPr>
              <w:br/>
              <w:t xml:space="preserve">  - Paravaginal connective tissue: Latzko resects including the levator ani fascia (enlarging pelvic resection); Okabayashi resects only perivaginal tissue, preserving the levator ani fascia to reduce risk of venous injury.</w:t>
            </w:r>
            <w:r w:rsidRPr="00CB2EC4">
              <w:rPr>
                <w:rFonts w:ascii="Times New Roman" w:hAnsi="Times New Roman" w:cs="Times New Roman"/>
              </w:rPr>
              <w:br/>
            </w:r>
            <w:r w:rsidRPr="00CB2EC4">
              <w:rPr>
                <w:rFonts w:ascii="Times New Roman" w:hAnsi="Times New Roman" w:cs="Times New Roman"/>
              </w:rPr>
              <w:br/>
              <w:t>- **Impact**: Okabayashi surgery better facilitates nerve preservation (e.g., bladder function), while Latzko surgery tends to leave large raw surfaces on the pelvic sidewall.</w:t>
            </w:r>
          </w:p>
        </w:tc>
        <w:tc>
          <w:tcPr>
            <w:tcW w:w="1152" w:type="dxa"/>
            <w:vAlign w:val="center"/>
          </w:tcPr>
          <w:p w14:paraId="4FBE5B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4BDAC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A22A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A51B6D" w14:textId="77777777">
        <w:tc>
          <w:tcPr>
            <w:tcW w:w="2160" w:type="dxa"/>
            <w:vAlign w:val="center"/>
          </w:tcPr>
          <w:p w14:paraId="7098A400"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AD89028"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the Latzko and Okabayashi surgical techniques are as follows:</w:t>
            </w:r>
            <w:r w:rsidRPr="00CB2EC4">
              <w:rPr>
                <w:rFonts w:ascii="Times New Roman" w:hAnsi="Times New Roman" w:cs="Times New Roman"/>
              </w:rPr>
              <w:br/>
            </w:r>
            <w:r w:rsidRPr="00CB2EC4">
              <w:rPr>
                <w:rFonts w:ascii="Times New Roman" w:hAnsi="Times New Roman" w:cs="Times New Roman"/>
              </w:rPr>
              <w:br/>
              <w:t>- **Conceptual and theoretical differences:**</w:t>
            </w:r>
            <w:r w:rsidRPr="00CB2EC4">
              <w:rPr>
                <w:rFonts w:ascii="Times New Roman" w:hAnsi="Times New Roman" w:cs="Times New Roman"/>
              </w:rPr>
              <w:br/>
              <w:t xml:space="preserve">  - **Latzko surgery:** Based on two-dimensional anatomy, viewing pelvic connective tissue as three supporting bands (anterior, middle, posterior </w:t>
            </w:r>
            <w:r w:rsidRPr="00CB2EC4">
              <w:rPr>
                <w:rFonts w:ascii="Times New Roman" w:hAnsi="Times New Roman" w:cs="Times New Roman"/>
              </w:rPr>
              <w:lastRenderedPageBreak/>
              <w:t>retinacula). The procedure extends from simple total hysterectomy by developing the lateral bladder space and rectal lateral cavity (cephalic and caudal compartments), with main ligament resection extending toward the pelvic sidewall (Block theme: Latzko vs. Okabayashi technique comparison, Block No. 145).</w:t>
            </w:r>
            <w:r w:rsidRPr="00CB2EC4">
              <w:rPr>
                <w:rFonts w:ascii="Times New Roman" w:hAnsi="Times New Roman" w:cs="Times New Roman"/>
              </w:rPr>
              <w:br/>
              <w:t xml:space="preserve">  - **Okabayashi surgery:** Based on three-dimensional anatomy, freely conceptualizing a new approach by dividing the vesicouterine ligament into anterior and posterior layers and clarifying the stereoscopic structure of the transverse cervical ligament. It develops six spaces including the lateral vaginal and lateral bladder spaces, with each ligament independently divided (Block theme: Latzko vs. Okabayashi technique comparison, Block No. 145; Block theme: Radical hysterectomy techniques, Block No. 139).</w:t>
            </w:r>
            <w:r w:rsidRPr="00CB2EC4">
              <w:rPr>
                <w:rFonts w:ascii="Times New Roman" w:hAnsi="Times New Roman" w:cs="Times New Roman"/>
              </w:rPr>
              <w:br/>
            </w:r>
            <w:r w:rsidRPr="00CB2EC4">
              <w:rPr>
                <w:rFonts w:ascii="Times New Roman" w:hAnsi="Times New Roman" w:cs="Times New Roman"/>
              </w:rPr>
              <w:br/>
              <w:t>- **Differences in rectal lateral cavity development:**</w:t>
            </w:r>
            <w:r w:rsidRPr="00CB2EC4">
              <w:rPr>
                <w:rFonts w:ascii="Times New Roman" w:hAnsi="Times New Roman" w:cs="Times New Roman"/>
              </w:rPr>
              <w:br/>
              <w:t xml:space="preserve">  - **Latzko:** The rectal lateral cavity is divided into cephalic (between posterior fascia of transverse cervical ligament and internal iliac vascular sheath) and caudal compartments (between levator ani superior fascia and levator ani muscle), opened lateral to the ureter and hypogastric nerve (Block theme: Rectal lateral cavity and ligament anatomy, Block No. 145).</w:t>
            </w:r>
            <w:r w:rsidRPr="00CB2EC4">
              <w:rPr>
                <w:rFonts w:ascii="Times New Roman" w:hAnsi="Times New Roman" w:cs="Times New Roman"/>
              </w:rPr>
              <w:br/>
              <w:t xml:space="preserve">  - **Okabayashi:** The rectal lateral cavity is opened medial to the ureter and hypogastric nerve, developing from the medial side of the uterosacral ligament toward the pelvic floor, emphasizing visceral-side dissection (Block theme: Rectal lateral cavity and ligament anatomy, Block No. 145).</w:t>
            </w:r>
            <w:r w:rsidRPr="00CB2EC4">
              <w:rPr>
                <w:rFonts w:ascii="Times New Roman" w:hAnsi="Times New Roman" w:cs="Times New Roman"/>
              </w:rPr>
              <w:br/>
            </w:r>
            <w:r w:rsidRPr="00CB2EC4">
              <w:rPr>
                <w:rFonts w:ascii="Times New Roman" w:hAnsi="Times New Roman" w:cs="Times New Roman"/>
              </w:rPr>
              <w:lastRenderedPageBreak/>
              <w:br/>
              <w:t>- **Differences in vesicouterine ligament management:**</w:t>
            </w:r>
            <w:r w:rsidRPr="00CB2EC4">
              <w:rPr>
                <w:rFonts w:ascii="Times New Roman" w:hAnsi="Times New Roman" w:cs="Times New Roman"/>
              </w:rPr>
              <w:br/>
              <w:t xml:space="preserve">  - **Latzko:** Lacks clear layered concept; the vesicouterine ligament is regarded as the connection between the transverse cervical ligament and bladder, managed ambiguously (Block theme: Latzko vs. Okabayashi technique comparison, Block No. 145).</w:t>
            </w:r>
            <w:r w:rsidRPr="00CB2EC4">
              <w:rPr>
                <w:rFonts w:ascii="Times New Roman" w:hAnsi="Times New Roman" w:cs="Times New Roman"/>
              </w:rPr>
              <w:br/>
              <w:t xml:space="preserve">  - **Okabayashi:** Divides the vesicouterine ligament into anterior layer (top of ureteric tunnel) and posterior layer (vesicocervical ligament), each separately divided, providing a basis for nerve-sparing surgery (Block theme: Vesicouterine ligament anatomical perspective, Block No. 192).</w:t>
            </w:r>
            <w:r w:rsidRPr="00CB2EC4">
              <w:rPr>
                <w:rFonts w:ascii="Times New Roman" w:hAnsi="Times New Roman" w:cs="Times New Roman"/>
              </w:rPr>
              <w:br/>
            </w:r>
            <w:r w:rsidRPr="00CB2EC4">
              <w:rPr>
                <w:rFonts w:ascii="Times New Roman" w:hAnsi="Times New Roman" w:cs="Times New Roman"/>
              </w:rPr>
              <w:br/>
              <w:t>- **Differences in cardinal ligament resection:**</w:t>
            </w:r>
            <w:r w:rsidRPr="00CB2EC4">
              <w:rPr>
                <w:rFonts w:ascii="Times New Roman" w:hAnsi="Times New Roman" w:cs="Times New Roman"/>
              </w:rPr>
              <w:br/>
              <w:t xml:space="preserve">  - **Latzko:** After connecting the cephalic and caudal compartments of the rectal lateral cavity, the cardinal ligament is clamped and resected en bloc, extending to the greater sciatic foramen (Block theme: Cardinal ligament resection and anatomy, Block No. 146).</w:t>
            </w:r>
            <w:r w:rsidRPr="00CB2EC4">
              <w:rPr>
                <w:rFonts w:ascii="Times New Roman" w:hAnsi="Times New Roman" w:cs="Times New Roman"/>
              </w:rPr>
              <w:br/>
              <w:t xml:space="preserve">  - **Okabayashi:** Separated between the lateral bladder space and rectal lateral cavity before division, with resection centered on the iliac fossa, not emphasizing pelvic floor removal (Block theme: Cardinal ligament resection and anatomy, Block No. 146).</w:t>
            </w:r>
            <w:r w:rsidRPr="00CB2EC4">
              <w:rPr>
                <w:rFonts w:ascii="Times New Roman" w:hAnsi="Times New Roman" w:cs="Times New Roman"/>
              </w:rPr>
              <w:br/>
            </w:r>
            <w:r w:rsidRPr="00CB2EC4">
              <w:rPr>
                <w:rFonts w:ascii="Times New Roman" w:hAnsi="Times New Roman" w:cs="Times New Roman"/>
              </w:rPr>
              <w:br/>
              <w:t xml:space="preserve">- **Other differences:** Include methods of paravaginal connective tissue detachment (Latzko includes levator ani superior fascia; Okabayashi resects only vaginal surrounding tissue) and surgical sequence (Latzko performs lymph node dissection </w:t>
            </w:r>
            <w:r w:rsidRPr="00CB2EC4">
              <w:rPr>
                <w:rFonts w:ascii="Times New Roman" w:hAnsi="Times New Roman" w:cs="Times New Roman"/>
              </w:rPr>
              <w:lastRenderedPageBreak/>
              <w:t>first; Okabayashi performs it last) (Block theme: Latzko vs. Okabayashi technique comparison, Block No. 145).</w:t>
            </w:r>
            <w:r w:rsidRPr="00CB2EC4">
              <w:rPr>
                <w:rFonts w:ascii="Times New Roman" w:hAnsi="Times New Roman" w:cs="Times New Roman"/>
              </w:rPr>
              <w:br/>
            </w:r>
            <w:r w:rsidRPr="00CB2EC4">
              <w:rPr>
                <w:rFonts w:ascii="Times New Roman" w:hAnsi="Times New Roman" w:cs="Times New Roman"/>
              </w:rPr>
              <w:br/>
              <w:t>**Summary:** The Latzko technique is more traditional and two-dimensional, emphasizing pelvic sidewall resection; the Okabayashi technique is innovative and three-dimensional, facilitating nerve preservation and precise dissection (Block theme: Classification of cervical cancer surgical techniques, Block No. 154).</w:t>
            </w:r>
          </w:p>
        </w:tc>
        <w:tc>
          <w:tcPr>
            <w:tcW w:w="1152" w:type="dxa"/>
            <w:vAlign w:val="center"/>
          </w:tcPr>
          <w:p w14:paraId="511F27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33FD7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3A3F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0C7650" w14:textId="77777777">
        <w:tc>
          <w:tcPr>
            <w:tcW w:w="2160" w:type="dxa"/>
            <w:vAlign w:val="center"/>
          </w:tcPr>
          <w:p w14:paraId="451A139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146D7BE4"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the Latzko and Okabayashi surgical procedures are as follows:</w:t>
            </w:r>
            <w:r w:rsidRPr="00CB2EC4">
              <w:rPr>
                <w:rFonts w:ascii="Times New Roman" w:hAnsi="Times New Roman" w:cs="Times New Roman"/>
              </w:rPr>
              <w:br/>
            </w:r>
            <w:r w:rsidRPr="00CB2EC4">
              <w:rPr>
                <w:rFonts w:ascii="Times New Roman" w:hAnsi="Times New Roman" w:cs="Times New Roman"/>
              </w:rPr>
              <w:br/>
              <w:t>- **Dimensionality and overall concept:**</w:t>
            </w:r>
            <w:r w:rsidRPr="00CB2EC4">
              <w:rPr>
                <w:rFonts w:ascii="Times New Roman" w:hAnsi="Times New Roman" w:cs="Times New Roman"/>
              </w:rPr>
              <w:br/>
              <w:t xml:space="preserve">  - **Latzko procedure:** It is two-dimensional, based on traditional anatomical concepts, viewing the cardinal ligament as a single connective tissue bundle containing the rectal lateral ligament. After dissection of the bladder-side space and the rectal-side cavity (cephalad compartment and caudal compartment), the cardinal ligament is resected en bloc.</w:t>
            </w:r>
            <w:r w:rsidRPr="00CB2EC4">
              <w:rPr>
                <w:rFonts w:ascii="Times New Roman" w:hAnsi="Times New Roman" w:cs="Times New Roman"/>
              </w:rPr>
              <w:br/>
              <w:t xml:space="preserve">  - **Okabayashi procedure:** It is three-dimensional, treating pelvic connective tissue as a three-dimensional structure (e.g., the vesicouterine ligament is divided into anterior and posterior layers), and emphasizes independent organ support. The procedure involves dissection of the vaginal-side space and bladder-side space, with separate management of the transverse cervical ligament and vesicouterine ligament.</w:t>
            </w:r>
            <w:r w:rsidRPr="00CB2EC4">
              <w:rPr>
                <w:rFonts w:ascii="Times New Roman" w:hAnsi="Times New Roman" w:cs="Times New Roman"/>
              </w:rPr>
              <w:br/>
            </w:r>
            <w:r w:rsidRPr="00CB2EC4">
              <w:rPr>
                <w:rFonts w:ascii="Times New Roman" w:hAnsi="Times New Roman" w:cs="Times New Roman"/>
              </w:rPr>
              <w:br/>
              <w:t>- **Resection range and location:**</w:t>
            </w:r>
            <w:r w:rsidRPr="00CB2EC4">
              <w:rPr>
                <w:rFonts w:ascii="Times New Roman" w:hAnsi="Times New Roman" w:cs="Times New Roman"/>
              </w:rPr>
              <w:br/>
              <w:t xml:space="preserve">  - **Latzko procedure:** Cardinal ligament resection </w:t>
            </w:r>
            <w:r w:rsidRPr="00CB2EC4">
              <w:rPr>
                <w:rFonts w:ascii="Times New Roman" w:hAnsi="Times New Roman" w:cs="Times New Roman"/>
              </w:rPr>
              <w:lastRenderedPageBreak/>
              <w:t>extends to the range of the greater sciatic foramen; the base is clearly defined at the level of the sacrospinous ligament; the operation is performed at the pelvic floor.</w:t>
            </w:r>
            <w:r w:rsidRPr="00CB2EC4">
              <w:rPr>
                <w:rFonts w:ascii="Times New Roman" w:hAnsi="Times New Roman" w:cs="Times New Roman"/>
              </w:rPr>
              <w:br/>
              <w:t xml:space="preserve">  - **Okabayashi procedure:** Cardinal ligament resection is centered on the iliac fossa; the base is set at the height of the superior fascia of the levator ani muscle; the operation is performed near the sacral surface.</w:t>
            </w:r>
            <w:r w:rsidRPr="00CB2EC4">
              <w:rPr>
                <w:rFonts w:ascii="Times New Roman" w:hAnsi="Times New Roman" w:cs="Times New Roman"/>
              </w:rPr>
              <w:br/>
            </w:r>
            <w:r w:rsidRPr="00CB2EC4">
              <w:rPr>
                <w:rFonts w:ascii="Times New Roman" w:hAnsi="Times New Roman" w:cs="Times New Roman"/>
              </w:rPr>
              <w:br/>
              <w:t>- **Cavity dissection and ligament management:**</w:t>
            </w:r>
            <w:r w:rsidRPr="00CB2EC4">
              <w:rPr>
                <w:rFonts w:ascii="Times New Roman" w:hAnsi="Times New Roman" w:cs="Times New Roman"/>
              </w:rPr>
              <w:br/>
              <w:t xml:space="preserve">  - **Latzko procedure:** Dissects the cephalad compartment (lateral) and caudal compartment of the rectal-side cavity, connects them, and then resects the cardinal ligament; resection of paravaginal connective tissue includes the superior fascia of the levator ani muscle.</w:t>
            </w:r>
            <w:r w:rsidRPr="00CB2EC4">
              <w:rPr>
                <w:rFonts w:ascii="Times New Roman" w:hAnsi="Times New Roman" w:cs="Times New Roman"/>
              </w:rPr>
              <w:br/>
              <w:t xml:space="preserve">  - **Okabayashi procedure:** Dissects the Okabayashi rectal-side cavity (medial) and vaginal-side space, facilitating separation of the anterior and posterior layers of the vesicouterine ligament; resection of paravaginal connective tissue targets only the tissue around the vagina, without involving the superior fascia of the levator ani muscle, which helps preserve nerves.</w:t>
            </w:r>
            <w:r w:rsidRPr="00CB2EC4">
              <w:rPr>
                <w:rFonts w:ascii="Times New Roman" w:hAnsi="Times New Roman" w:cs="Times New Roman"/>
              </w:rPr>
              <w:br/>
            </w:r>
            <w:r w:rsidRPr="00CB2EC4">
              <w:rPr>
                <w:rFonts w:ascii="Times New Roman" w:hAnsi="Times New Roman" w:cs="Times New Roman"/>
              </w:rPr>
              <w:br/>
              <w:t>- **Sequence and risk:**</w:t>
            </w:r>
            <w:r w:rsidRPr="00CB2EC4">
              <w:rPr>
                <w:rFonts w:ascii="Times New Roman" w:hAnsi="Times New Roman" w:cs="Times New Roman"/>
              </w:rPr>
              <w:br/>
              <w:t xml:space="preserve">  - **Latzko procedure:** The sequence for resection of parametrial connective tissue is anterior supporting band → middle supporting band → posterior supporting band; lymph node dissection is performed first; risks include injury to the inferior gluteal-pudendal neurovascular bundle.</w:t>
            </w:r>
            <w:r w:rsidRPr="00CB2EC4">
              <w:rPr>
                <w:rFonts w:ascii="Times New Roman" w:hAnsi="Times New Roman" w:cs="Times New Roman"/>
              </w:rPr>
              <w:br/>
              <w:t xml:space="preserve">  - **Okabayashi procedure:** The resection sequence </w:t>
            </w:r>
            <w:r w:rsidRPr="00CB2EC4">
              <w:rPr>
                <w:rFonts w:ascii="Times New Roman" w:hAnsi="Times New Roman" w:cs="Times New Roman"/>
              </w:rPr>
              <w:lastRenderedPageBreak/>
              <w:t>is posterior supporting band → middle supporting band → anterior supporting band; lymph node dissection is performed last; risks include injury to the presacral venous plexus.</w:t>
            </w:r>
            <w:r w:rsidRPr="00CB2EC4">
              <w:rPr>
                <w:rFonts w:ascii="Times New Roman" w:hAnsi="Times New Roman" w:cs="Times New Roman"/>
              </w:rPr>
              <w:br/>
            </w:r>
            <w:r w:rsidRPr="00CB2EC4">
              <w:rPr>
                <w:rFonts w:ascii="Times New Roman" w:hAnsi="Times New Roman" w:cs="Times New Roman"/>
              </w:rPr>
              <w:br/>
              <w:t>- **Nerve preservation:** The Okabayashi procedure more easily achieves preservation of the bladder nerve branches due to its three-dimensional approach allowing precise dissection.</w:t>
            </w:r>
          </w:p>
        </w:tc>
        <w:tc>
          <w:tcPr>
            <w:tcW w:w="1152" w:type="dxa"/>
            <w:vAlign w:val="center"/>
          </w:tcPr>
          <w:p w14:paraId="4736A7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6D70C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1956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29FD03" w14:textId="77777777">
        <w:tc>
          <w:tcPr>
            <w:tcW w:w="2160" w:type="dxa"/>
            <w:vAlign w:val="center"/>
          </w:tcPr>
          <w:p w14:paraId="0F238CB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61DB18E8"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differences between the Latzko and Okabayashi surgical procedures?</w:t>
            </w:r>
            <w:r w:rsidRPr="00CB2EC4">
              <w:rPr>
                <w:rFonts w:ascii="Times New Roman" w:hAnsi="Times New Roman" w:cs="Times New Roman"/>
              </w:rPr>
              <w:br/>
            </w:r>
            <w:r w:rsidRPr="00CB2EC4">
              <w:rPr>
                <w:rFonts w:ascii="Times New Roman" w:hAnsi="Times New Roman" w:cs="Times New Roman"/>
              </w:rPr>
              <w:br/>
              <w:t>Knowledge base document (Table 15 summarizes core differences):</w:t>
            </w:r>
            <w:r w:rsidRPr="00CB2EC4">
              <w:rPr>
                <w:rFonts w:ascii="Times New Roman" w:hAnsi="Times New Roman" w:cs="Times New Roman"/>
              </w:rPr>
              <w:br/>
              <w:t xml:space="preserve">  | Comparison dimension | Latzko surgery                          | Okabayashi surgery                          |</w:t>
            </w:r>
            <w:r w:rsidRPr="00CB2EC4">
              <w:rPr>
                <w:rFonts w:ascii="Times New Roman" w:hAnsi="Times New Roman" w:cs="Times New Roman"/>
              </w:rPr>
              <w:br/>
              <w:t xml:space="preserve">  |--------------------|----------------------------------------|--------------------------------------------|</w:t>
            </w:r>
            <w:r w:rsidRPr="00CB2EC4">
              <w:rPr>
                <w:rFonts w:ascii="Times New Roman" w:hAnsi="Times New Roman" w:cs="Times New Roman"/>
              </w:rPr>
              <w:br/>
              <w:t xml:space="preserve">  | Anatomical concept | Two-dimensional operation, main ligament removed en bloc | Three-dimensional separation, ligament handled in layers |</w:t>
            </w:r>
            <w:r w:rsidRPr="00CB2EC4">
              <w:rPr>
                <w:rFonts w:ascii="Times New Roman" w:hAnsi="Times New Roman" w:cs="Times New Roman"/>
              </w:rPr>
              <w:br/>
              <w:t xml:space="preserve">  | Rectal lateral space dissection | Divided into cephalad compartment (iliac vascular sheath) and caudal compartment (levator ani fascia) | Only Okabayashi rectal lateral space (medial to ureter) is dissected |</w:t>
            </w:r>
            <w:r w:rsidRPr="00CB2EC4">
              <w:rPr>
                <w:rFonts w:ascii="Times New Roman" w:hAnsi="Times New Roman" w:cs="Times New Roman"/>
              </w:rPr>
              <w:br/>
              <w:t xml:space="preserve">  | Main ligament resection | Removed en bloc with clamps down to the sacral surface | Separated and cut at the level of the uterine deep vein |</w:t>
            </w:r>
            <w:r w:rsidRPr="00CB2EC4">
              <w:rPr>
                <w:rFonts w:ascii="Times New Roman" w:hAnsi="Times New Roman" w:cs="Times New Roman"/>
              </w:rPr>
              <w:br/>
              <w:t xml:space="preserve">  | Vesicouterine ligament | Not layered, managed as a whole | Divided into anterior layer (vessels) and posterior layer (nerves + vessels) |</w:t>
            </w:r>
            <w:r w:rsidRPr="00CB2EC4">
              <w:rPr>
                <w:rFonts w:ascii="Times New Roman" w:hAnsi="Times New Roman" w:cs="Times New Roman"/>
              </w:rPr>
              <w:br/>
              <w:t xml:space="preserve">  | Nerve preservation potential | No design for preservation | Posterior layer allows separation of </w:t>
            </w:r>
            <w:r w:rsidRPr="00CB2EC4">
              <w:rPr>
                <w:rFonts w:ascii="Times New Roman" w:hAnsi="Times New Roman" w:cs="Times New Roman"/>
              </w:rPr>
              <w:lastRenderedPageBreak/>
              <w:t>neural portion, laying foundation for NSRH |</w:t>
            </w:r>
            <w:r w:rsidRPr="00CB2EC4">
              <w:rPr>
                <w:rFonts w:ascii="Times New Roman" w:hAnsi="Times New Roman" w:cs="Times New Roman"/>
              </w:rPr>
              <w:br/>
              <w:t>- Web search results:</w:t>
            </w:r>
            <w:r w:rsidRPr="00CB2EC4">
              <w:rPr>
                <w:rFonts w:ascii="Times New Roman" w:hAnsi="Times New Roman" w:cs="Times New Roman"/>
              </w:rPr>
              <w:br/>
              <w:t xml:space="preserve">  - Supplementary: Latzko dissects lymph nodes first, Okabayashi last; Okabayashi pioneered the concept of "vaginal lateral space".</w:t>
            </w:r>
            <w:r w:rsidRPr="00CB2EC4">
              <w:rPr>
                <w:rFonts w:ascii="Times New Roman" w:hAnsi="Times New Roman" w:cs="Times New Roman"/>
              </w:rPr>
              <w:br/>
              <w:t>- Conclusion: The layered three-dimensional approach of the Okabayashi technique better facilitates nerve preservation.</w:t>
            </w:r>
          </w:p>
        </w:tc>
        <w:tc>
          <w:tcPr>
            <w:tcW w:w="1152" w:type="dxa"/>
            <w:vAlign w:val="center"/>
          </w:tcPr>
          <w:p w14:paraId="2D576B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DD14F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1E102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7E2B6B" w14:textId="77777777">
        <w:tc>
          <w:tcPr>
            <w:tcW w:w="2160" w:type="dxa"/>
            <w:vAlign w:val="center"/>
          </w:tcPr>
          <w:p w14:paraId="05DC1005"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65F3E92"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differences between the Latzko and Okabayashi surgical procedures? Please briefly describe the distinctions between the two.</w:t>
            </w:r>
            <w:r w:rsidRPr="00CB2EC4">
              <w:rPr>
                <w:rFonts w:ascii="Times New Roman" w:hAnsi="Times New Roman" w:cs="Times New Roman"/>
              </w:rPr>
              <w:br/>
            </w:r>
            <w:r w:rsidRPr="00CB2EC4">
              <w:rPr>
                <w:rFonts w:ascii="Times New Roman" w:hAnsi="Times New Roman" w:cs="Times New Roman"/>
              </w:rPr>
              <w:br/>
              <w:t>The Latzko and Okabayashi procedures are two main approaches for radical hysterectomy. Documents 8, 10, and 14 provide detailed comparisons. The key differences are summarized as follows:</w:t>
            </w:r>
            <w:r w:rsidRPr="00CB2EC4">
              <w:rPr>
                <w:rFonts w:ascii="Times New Roman" w:hAnsi="Times New Roman" w:cs="Times New Roman"/>
              </w:rPr>
              <w:br/>
            </w:r>
            <w:r w:rsidRPr="00CB2EC4">
              <w:rPr>
                <w:rFonts w:ascii="Times New Roman" w:hAnsi="Times New Roman" w:cs="Times New Roman"/>
              </w:rPr>
              <w:br/>
              <w:t>- **Conceptual and theoretical basis:**</w:t>
            </w:r>
            <w:r w:rsidRPr="00CB2EC4">
              <w:rPr>
                <w:rFonts w:ascii="Times New Roman" w:hAnsi="Times New Roman" w:cs="Times New Roman"/>
              </w:rPr>
              <w:br/>
              <w:t xml:space="preserve">  - Latzko procedure: Based on a two-dimensional anatomical concept, extending simple total hysterectomy by resecting the cardinal ligament to the pelvic sidewall. It relies more on traditional European anatomy (e.g., Mackenrodt’s view) and emphasizes en bloc resection of pelvic floor tissues (Document 10).</w:t>
            </w:r>
            <w:r w:rsidRPr="00CB2EC4">
              <w:rPr>
                <w:rFonts w:ascii="Times New Roman" w:hAnsi="Times New Roman" w:cs="Times New Roman"/>
              </w:rPr>
              <w:br/>
              <w:t xml:space="preserve">  - Okabayashi procedure: Adopts a three-dimensional concept, freely designing a new technique without strictly adhering to traditional anatomy. It separates pelvic connective tissue into a stereoscopic structure (e.g., anterior, middle, and posterior supporting bands) and divides them individually (Document 10).</w:t>
            </w:r>
            <w:r w:rsidRPr="00CB2EC4">
              <w:rPr>
                <w:rFonts w:ascii="Times New Roman" w:hAnsi="Times New Roman" w:cs="Times New Roman"/>
              </w:rPr>
              <w:br/>
            </w:r>
            <w:r w:rsidRPr="00CB2EC4">
              <w:rPr>
                <w:rFonts w:ascii="Times New Roman" w:hAnsi="Times New Roman" w:cs="Times New Roman"/>
              </w:rPr>
              <w:br/>
              <w:t>- **Method of developing the rectal lateral space:**</w:t>
            </w:r>
            <w:r w:rsidRPr="00CB2EC4">
              <w:rPr>
                <w:rFonts w:ascii="Times New Roman" w:hAnsi="Times New Roman" w:cs="Times New Roman"/>
              </w:rPr>
              <w:br/>
              <w:t xml:space="preserve">  - Latzko procedure: The rectal lateral space is developed in two compartments—the cranial </w:t>
            </w:r>
            <w:r w:rsidRPr="00CB2EC4">
              <w:rPr>
                <w:rFonts w:ascii="Times New Roman" w:hAnsi="Times New Roman" w:cs="Times New Roman"/>
              </w:rPr>
              <w:lastRenderedPageBreak/>
              <w:t>compartment (between the posterior fascia of the transverse cervical ligament and the hypogastric vascular sheath) and the caudal compartment (between the superior fascia of the levator ani and the levator ani muscle). After communication, the cardinal ligament is resected (Document 10).</w:t>
            </w:r>
            <w:r w:rsidRPr="00CB2EC4">
              <w:rPr>
                <w:rFonts w:ascii="Times New Roman" w:hAnsi="Times New Roman" w:cs="Times New Roman"/>
              </w:rPr>
              <w:br/>
              <w:t xml:space="preserve">  - Okabayashi procedure: The rectal lateral space is developed medial to the ureter and hypogastric nerve (Okabayashi’s rectal lateral space), with greater emphasis on the visceral side and connection to the vaginal lateral space (Documents 8 and 10).</w:t>
            </w:r>
            <w:r w:rsidRPr="00CB2EC4">
              <w:rPr>
                <w:rFonts w:ascii="Times New Roman" w:hAnsi="Times New Roman" w:cs="Times New Roman"/>
              </w:rPr>
              <w:br/>
            </w:r>
            <w:r w:rsidRPr="00CB2EC4">
              <w:rPr>
                <w:rFonts w:ascii="Times New Roman" w:hAnsi="Times New Roman" w:cs="Times New Roman"/>
              </w:rPr>
              <w:br/>
              <w:t>- **Handling of the vesicouterine ligament:**</w:t>
            </w:r>
            <w:r w:rsidRPr="00CB2EC4">
              <w:rPr>
                <w:rFonts w:ascii="Times New Roman" w:hAnsi="Times New Roman" w:cs="Times New Roman"/>
              </w:rPr>
              <w:br/>
              <w:t xml:space="preserve">  - Latzko procedure: Lacks a clear layered concept; often treats the vesicouterine ligament as a single unit (e.g., the roof of the ureteral tunnel), resulting in less precise management (Document 10).</w:t>
            </w:r>
            <w:r w:rsidRPr="00CB2EC4">
              <w:rPr>
                <w:rFonts w:ascii="Times New Roman" w:hAnsi="Times New Roman" w:cs="Times New Roman"/>
              </w:rPr>
              <w:br/>
              <w:t xml:space="preserve">  - Okabayashi procedure: Clearly divides it into an anterior layer (connecting the cervix and bladder) and a posterior layer (connecting the transverse cervical ligament and bladder); cutting the posterior layer provides a basis for nerve-sparing surgery (Documents 10 and 18).</w:t>
            </w:r>
            <w:r w:rsidRPr="00CB2EC4">
              <w:rPr>
                <w:rFonts w:ascii="Times New Roman" w:hAnsi="Times New Roman" w:cs="Times New Roman"/>
              </w:rPr>
              <w:br/>
            </w:r>
            <w:r w:rsidRPr="00CB2EC4">
              <w:rPr>
                <w:rFonts w:ascii="Times New Roman" w:hAnsi="Times New Roman" w:cs="Times New Roman"/>
              </w:rPr>
              <w:br/>
              <w:t>- **Method of cardinal ligament resection:**</w:t>
            </w:r>
            <w:r w:rsidRPr="00CB2EC4">
              <w:rPr>
                <w:rFonts w:ascii="Times New Roman" w:hAnsi="Times New Roman" w:cs="Times New Roman"/>
              </w:rPr>
              <w:br/>
              <w:t xml:space="preserve">  - Latzko procedure: Resects the cardinal ligament en bloc to the level of the greater sciatic foramen, using clamp-and-tie (Massenligatur) (Document 14).</w:t>
            </w:r>
            <w:r w:rsidRPr="00CB2EC4">
              <w:rPr>
                <w:rFonts w:ascii="Times New Roman" w:hAnsi="Times New Roman" w:cs="Times New Roman"/>
              </w:rPr>
              <w:br/>
              <w:t xml:space="preserve">  - Okabayashi procedure: Resects centered on the iliac fossa, with the base at the level of the superior fascia of the levator ani; more flexible and lays the groundwork for nerve-sparing techniques (Document 14).</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**Other differences:** Include paravaginal connective tissue dissection (Latzko resects the superior fascia of the levator ani; Okabayashi only resects tissue around the vagina) and surgical sequence (Latzko: anterior → middle → posterior; Okabayashi: posterior → middle → anterior) (Document 10).</w:t>
            </w:r>
          </w:p>
        </w:tc>
        <w:tc>
          <w:tcPr>
            <w:tcW w:w="1152" w:type="dxa"/>
            <w:vAlign w:val="center"/>
          </w:tcPr>
          <w:p w14:paraId="6EF04E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EFB2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A567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543571" w14:textId="77777777">
        <w:tc>
          <w:tcPr>
            <w:tcW w:w="2160" w:type="dxa"/>
            <w:vAlign w:val="center"/>
          </w:tcPr>
          <w:p w14:paraId="6C54B24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0847A111"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differences between the Latzko and Okabayashi surgical procedures? Please briefly describe the distinctions between the two.</w:t>
            </w:r>
            <w:r w:rsidRPr="00CB2EC4">
              <w:rPr>
                <w:rFonts w:ascii="Times New Roman" w:hAnsi="Times New Roman" w:cs="Times New Roman"/>
              </w:rPr>
              <w:br/>
            </w:r>
            <w:r w:rsidRPr="00CB2EC4">
              <w:rPr>
                <w:rFonts w:ascii="Times New Roman" w:hAnsi="Times New Roman" w:cs="Times New Roman"/>
              </w:rPr>
              <w:br/>
              <w:t>Based on contextual information (especially related documents 9, 12, 13, 28), the main differences between the Latzko and Okabayashi procedures are as follows:</w:t>
            </w:r>
            <w:r w:rsidRPr="00CB2EC4">
              <w:rPr>
                <w:rFonts w:ascii="Times New Roman" w:hAnsi="Times New Roman" w:cs="Times New Roman"/>
              </w:rPr>
              <w:br/>
              <w:t xml:space="preserve">- Core concept differs:  </w:t>
            </w:r>
            <w:r w:rsidRPr="00CB2EC4">
              <w:rPr>
                <w:rFonts w:ascii="Times New Roman" w:hAnsi="Times New Roman" w:cs="Times New Roman"/>
              </w:rPr>
              <w:br/>
              <w:t xml:space="preserve">  - Latzko procedure: Based on 19th-century European traditional anatomy, using a two-dimensional concept. The surgery focuses on developing the lateral vesical space and the lateral rectal space (divided into cranial and caudal compartments), treating pelvic connective tissue as a single supporting band (Retinaculum), and resecting the cardinal ligament en bloc (related documents 9, 12, 13).  </w:t>
            </w:r>
            <w:r w:rsidRPr="00CB2EC4">
              <w:rPr>
                <w:rFonts w:ascii="Times New Roman" w:hAnsi="Times New Roman" w:cs="Times New Roman"/>
              </w:rPr>
              <w:br/>
              <w:t xml:space="preserve">  - Okabayashi procedure: Employs a three-dimensional concept, innovatively developing the lateral vaginal space and lateral vesical space, separating connective tissue into discrete ligaments (e.g., anterior and posterior leaves of the vesicouterine ligament, transverse cervical ligament), and cutting them individually. Emphasizes stereoscopic anatomy to facilitate nerve preservation (related documents 9, 12, 13, 28).</w:t>
            </w:r>
            <w:r w:rsidRPr="00CB2EC4">
              <w:rPr>
                <w:rFonts w:ascii="Times New Roman" w:hAnsi="Times New Roman" w:cs="Times New Roman"/>
              </w:rPr>
              <w:br/>
              <w:t xml:space="preserve">  </w:t>
            </w:r>
            <w:r w:rsidRPr="00CB2EC4">
              <w:rPr>
                <w:rFonts w:ascii="Times New Roman" w:hAnsi="Times New Roman" w:cs="Times New Roman"/>
              </w:rPr>
              <w:br/>
            </w:r>
            <w:r w:rsidRPr="00CB2EC4">
              <w:rPr>
                <w:rFonts w:ascii="Times New Roman" w:hAnsi="Times New Roman" w:cs="Times New Roman"/>
              </w:rPr>
              <w:lastRenderedPageBreak/>
              <w:t xml:space="preserve">- Method of developing the lateral rectal space differs:  </w:t>
            </w:r>
            <w:r w:rsidRPr="00CB2EC4">
              <w:rPr>
                <w:rFonts w:ascii="Times New Roman" w:hAnsi="Times New Roman" w:cs="Times New Roman"/>
              </w:rPr>
              <w:br/>
              <w:t xml:space="preserve">  - Latzko procedure: The lateral rectal space is divided into a cranial compartment (developed lateral to the ureter and hypogastric nerve, exposing the origin of the transverse cervical ligament) and a caudal compartment (developed between the superior fascia of the levator ani and the levator ani muscle). The cranial compartment often ends as a blind pouch, extending only to the posterior aspect of the cardinal ligament (related documents 12, 13).  </w:t>
            </w:r>
            <w:r w:rsidRPr="00CB2EC4">
              <w:rPr>
                <w:rFonts w:ascii="Times New Roman" w:hAnsi="Times New Roman" w:cs="Times New Roman"/>
              </w:rPr>
              <w:br/>
              <w:t xml:space="preserve">  - Okabayashi procedure: The lateral rectal space is developed medial to the ureter and hypogastric nerve (referred to as the Okabayashi lateral rectal space), starting from the medial side of the uterosacral ligament and extending toward the pelvic floor. The caudal compartment is not emphasized, but development of the lateral vaginal space assists the approach (related documents 12, 13).</w:t>
            </w:r>
            <w:r w:rsidRPr="00CB2EC4">
              <w:rPr>
                <w:rFonts w:ascii="Times New Roman" w:hAnsi="Times New Roman" w:cs="Times New Roman"/>
              </w:rPr>
              <w:br/>
              <w:t xml:space="preserve">  </w:t>
            </w:r>
            <w:r w:rsidRPr="00CB2EC4">
              <w:rPr>
                <w:rFonts w:ascii="Times New Roman" w:hAnsi="Times New Roman" w:cs="Times New Roman"/>
              </w:rPr>
              <w:br/>
              <w:t xml:space="preserve">- Handling of the vesicouterine ligament differs:  </w:t>
            </w:r>
            <w:r w:rsidRPr="00CB2EC4">
              <w:rPr>
                <w:rFonts w:ascii="Times New Roman" w:hAnsi="Times New Roman" w:cs="Times New Roman"/>
              </w:rPr>
              <w:br/>
              <w:t xml:space="preserve">  - Latzko procedure: Does not clearly distinguish between the anterior and posterior leaves of the vesicouterine ligament; often treats the ureteric tunnel roof as a single structure (related documents 13, 28).  </w:t>
            </w:r>
            <w:r w:rsidRPr="00CB2EC4">
              <w:rPr>
                <w:rFonts w:ascii="Times New Roman" w:hAnsi="Times New Roman" w:cs="Times New Roman"/>
              </w:rPr>
              <w:br/>
              <w:t xml:space="preserve">  - Okabayashi procedure: Divides the vesicouterine ligament into an anterior leaf (equivalent to the ureteric tunnel roof) and a posterior leaf (connecting the transverse cervical ligament and the bladder), and cuts them separately. Processing the posterior leaf provides a basis for preserving bladder nerve branches (related documents 13, 18, 28).</w:t>
            </w:r>
            <w:r w:rsidRPr="00CB2EC4">
              <w:rPr>
                <w:rFonts w:ascii="Times New Roman" w:hAnsi="Times New Roman" w:cs="Times New Roman"/>
              </w:rPr>
              <w:br/>
              <w:t xml:space="preserve">  </w:t>
            </w:r>
            <w:r w:rsidRPr="00CB2EC4">
              <w:rPr>
                <w:rFonts w:ascii="Times New Roman" w:hAnsi="Times New Roman" w:cs="Times New Roman"/>
              </w:rPr>
              <w:br/>
              <w:t xml:space="preserve">- Method of cardinal ligament resection differs:  </w:t>
            </w:r>
            <w:r w:rsidRPr="00CB2EC4">
              <w:rPr>
                <w:rFonts w:ascii="Times New Roman" w:hAnsi="Times New Roman" w:cs="Times New Roman"/>
              </w:rPr>
              <w:br/>
              <w:t xml:space="preserve">  - Latzko procedure: Clamps and resects the cardinal </w:t>
            </w:r>
            <w:r w:rsidRPr="00CB2EC4">
              <w:rPr>
                <w:rFonts w:ascii="Times New Roman" w:hAnsi="Times New Roman" w:cs="Times New Roman"/>
              </w:rPr>
              <w:lastRenderedPageBreak/>
              <w:t xml:space="preserve">ligament en bloc between the cranial and caudal compartments of the lateral rectal space, with the resection range extending to the greater sciatic foramen and sacrospinous ligament (related documents 12, 13).  </w:t>
            </w:r>
            <w:r w:rsidRPr="00CB2EC4">
              <w:rPr>
                <w:rFonts w:ascii="Times New Roman" w:hAnsi="Times New Roman" w:cs="Times New Roman"/>
              </w:rPr>
              <w:br/>
              <w:t xml:space="preserve">  - Okabayashi procedure: Separates the cardinal ligament between the lateral vesical space and lateral rectal space, with resection centered on the iliac fossa, avoiding deep extension into the pelvic floor to facilitate nerve preservation (related documents 12, 13).</w:t>
            </w:r>
            <w:r w:rsidRPr="00CB2EC4">
              <w:rPr>
                <w:rFonts w:ascii="Times New Roman" w:hAnsi="Times New Roman" w:cs="Times New Roman"/>
              </w:rPr>
              <w:br/>
              <w:t xml:space="preserve">  </w:t>
            </w:r>
            <w:r w:rsidRPr="00CB2EC4">
              <w:rPr>
                <w:rFonts w:ascii="Times New Roman" w:hAnsi="Times New Roman" w:cs="Times New Roman"/>
              </w:rPr>
              <w:br/>
              <w:t xml:space="preserve">- Other differences:  </w:t>
            </w:r>
            <w:r w:rsidRPr="00CB2EC4">
              <w:rPr>
                <w:rFonts w:ascii="Times New Roman" w:hAnsi="Times New Roman" w:cs="Times New Roman"/>
              </w:rPr>
              <w:br/>
              <w:t xml:space="preserve">  - Resection of paravaginal connective tissue: The Latzko procedure resects the superior fascia of the levator ani and perivaginal tissue en bloc; the Okabayashi procedure resects only perivaginal connective tissue, favoring nerve preservation.  </w:t>
            </w:r>
            <w:r w:rsidRPr="00CB2EC4">
              <w:rPr>
                <w:rFonts w:ascii="Times New Roman" w:hAnsi="Times New Roman" w:cs="Times New Roman"/>
              </w:rPr>
              <w:br/>
              <w:t xml:space="preserve">  - Surgical sequence: The Latzko procedure follows an anterior → middle → posterior support band sequence; the Okabayashi procedure follows a posterior → middle → anterior sequence (related documents 12, 13, 28).</w:t>
            </w:r>
          </w:p>
        </w:tc>
        <w:tc>
          <w:tcPr>
            <w:tcW w:w="1152" w:type="dxa"/>
            <w:vAlign w:val="center"/>
          </w:tcPr>
          <w:p w14:paraId="3EFAAB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1A041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BF64F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A9AFBA" w14:textId="77777777">
        <w:tc>
          <w:tcPr>
            <w:tcW w:w="2160" w:type="dxa"/>
            <w:vAlign w:val="center"/>
          </w:tcPr>
          <w:p w14:paraId="3093116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150EB492" w14:textId="77777777" w:rsidR="00922249" w:rsidRPr="00CB2EC4" w:rsidRDefault="003011D5">
            <w:pPr>
              <w:rPr>
                <w:rFonts w:ascii="Times New Roman" w:hAnsi="Times New Roman" w:cs="Times New Roman"/>
              </w:rPr>
            </w:pPr>
            <w:r w:rsidRPr="00CB2EC4">
              <w:rPr>
                <w:rFonts w:ascii="Times New Roman" w:hAnsi="Times New Roman" w:cs="Times New Roman"/>
              </w:rPr>
              <w:t>The Latzko procedure and the Okabayashi procedure are two main types of radical hysterectomy. The document provides a detailed comparison of them through Table 15 (similarity 0.622) and multiple text paragraphs. The main differences are as follows:</w:t>
            </w:r>
            <w:r w:rsidRPr="00CB2EC4">
              <w:rPr>
                <w:rFonts w:ascii="Times New Roman" w:hAnsi="Times New Roman" w:cs="Times New Roman"/>
              </w:rPr>
              <w:br/>
            </w:r>
            <w:r w:rsidRPr="00CB2EC4">
              <w:rPr>
                <w:rFonts w:ascii="Times New Roman" w:hAnsi="Times New Roman" w:cs="Times New Roman"/>
              </w:rPr>
              <w:br/>
              <w:t>-   **Theoretical Basis:**</w:t>
            </w:r>
            <w:r w:rsidRPr="00CB2EC4">
              <w:rPr>
                <w:rFonts w:ascii="Times New Roman" w:hAnsi="Times New Roman" w:cs="Times New Roman"/>
              </w:rPr>
              <w:br/>
              <w:t xml:space="preserve">    -   Latzko procedure: Based on two-dimensional anatomical concepts, constructed on the foundation of traditional anatomy (such as the Mackenrodt viewpoint), and is considered an extension of simple </w:t>
            </w:r>
            <w:r w:rsidRPr="00CB2EC4">
              <w:rPr>
                <w:rFonts w:ascii="Times New Roman" w:hAnsi="Times New Roman" w:cs="Times New Roman"/>
              </w:rPr>
              <w:lastRenderedPageBreak/>
              <w:t>hysterectomy ("two-dimensional, opening the cranial/caudal spaces of the lateral vesical and lateral rectal spaces").</w:t>
            </w:r>
            <w:r w:rsidRPr="00CB2EC4">
              <w:rPr>
                <w:rFonts w:ascii="Times New Roman" w:hAnsi="Times New Roman" w:cs="Times New Roman"/>
              </w:rPr>
              <w:br/>
              <w:t xml:space="preserve">    -   Okabayashi procedure: Based on three-dimensional anatomical concepts, freely conceived, abandoning the constraints of classical anatomy, and emphasizing the dissection of three-dimensional structures ("three-dimensional, separating the anterior and posterior leaves of the vesicouterine ligament, clarifying the three-dimensional structure").</w:t>
            </w:r>
            <w:r w:rsidRPr="00CB2EC4">
              <w:rPr>
                <w:rFonts w:ascii="Times New Roman" w:hAnsi="Times New Roman" w:cs="Times New Roman"/>
              </w:rPr>
              <w:br/>
            </w:r>
            <w:r w:rsidRPr="00CB2EC4">
              <w:rPr>
                <w:rFonts w:ascii="Times New Roman" w:hAnsi="Times New Roman" w:cs="Times New Roman"/>
              </w:rPr>
              <w:br/>
              <w:t>-   **Method for Developing the Lateral Rectal Space:**</w:t>
            </w:r>
            <w:r w:rsidRPr="00CB2EC4">
              <w:rPr>
                <w:rFonts w:ascii="Times New Roman" w:hAnsi="Times New Roman" w:cs="Times New Roman"/>
              </w:rPr>
              <w:br/>
              <w:t xml:space="preserve">    -   Latzko procedure: Divided into a cranial space (formed by incising the internal iliac vascular sheath) and a caudal space (formed by incising the superior fascia of the levator ani), developed lateral to the ureter and the hypogastric nerve ("while clamping the rectal ligament, develop between the cranial and caudal spaces").</w:t>
            </w:r>
            <w:r w:rsidRPr="00CB2EC4">
              <w:rPr>
                <w:rFonts w:ascii="Times New Roman" w:hAnsi="Times New Roman" w:cs="Times New Roman"/>
              </w:rPr>
              <w:br/>
              <w:t xml:space="preserve">    -   Okabayashi procedure: Begins directly inferior to the transected uterosacral ligament and dissects toward the pelvic floor, developed medial to the ureter and the hypogastric nerve ("can be developed medial to the ureter and the hypogastric nerve").</w:t>
            </w:r>
            <w:r w:rsidRPr="00CB2EC4">
              <w:rPr>
                <w:rFonts w:ascii="Times New Roman" w:hAnsi="Times New Roman" w:cs="Times New Roman"/>
              </w:rPr>
              <w:br/>
            </w:r>
            <w:r w:rsidRPr="00CB2EC4">
              <w:rPr>
                <w:rFonts w:ascii="Times New Roman" w:hAnsi="Times New Roman" w:cs="Times New Roman"/>
              </w:rPr>
              <w:br/>
              <w:t>-   **Management of the Vesicouterine Ligament:**</w:t>
            </w:r>
            <w:r w:rsidRPr="00CB2EC4">
              <w:rPr>
                <w:rFonts w:ascii="Times New Roman" w:hAnsi="Times New Roman" w:cs="Times New Roman"/>
              </w:rPr>
              <w:br/>
              <w:t xml:space="preserve">    -   Latzko procedure: Lacks a clear concept of layers; the vesicouterine ligament is considered the roof of the ureteric tunnel (Wertheim procedure concept), with no corresponding posterior leaf ("in the Western context, the vesicouterine ligament refers to the roof of the ureteric tunnel in the Wertheim operation").</w:t>
            </w:r>
            <w:r w:rsidRPr="00CB2EC4">
              <w:rPr>
                <w:rFonts w:ascii="Times New Roman" w:hAnsi="Times New Roman" w:cs="Times New Roman"/>
              </w:rPr>
              <w:br/>
            </w:r>
            <w:r w:rsidRPr="00CB2EC4">
              <w:rPr>
                <w:rFonts w:ascii="Times New Roman" w:hAnsi="Times New Roman" w:cs="Times New Roman"/>
              </w:rPr>
              <w:lastRenderedPageBreak/>
              <w:t xml:space="preserve">    -   Okabayashi procedure: Divides the ligament into an anterior leaf (equivalent to the roof of the ureteric tunnel) and a posterior leaf (vesicovaginal ligament), with the posterior leaf containing vessels and nerves, providing a basis for nerve preservation ("Okabayashi divided the vesicouterine ligament into an anterior leaf and a posterior leaf", similarity 0.670).</w:t>
            </w:r>
            <w:r w:rsidRPr="00CB2EC4">
              <w:rPr>
                <w:rFonts w:ascii="Times New Roman" w:hAnsi="Times New Roman" w:cs="Times New Roman"/>
              </w:rPr>
              <w:br/>
            </w:r>
            <w:r w:rsidRPr="00CB2EC4">
              <w:rPr>
                <w:rFonts w:ascii="Times New Roman" w:hAnsi="Times New Roman" w:cs="Times New Roman"/>
              </w:rPr>
              <w:br/>
              <w:t>-   **Method for Resecting the Cardinal Ligament:**</w:t>
            </w:r>
            <w:r w:rsidRPr="00CB2EC4">
              <w:rPr>
                <w:rFonts w:ascii="Times New Roman" w:hAnsi="Times New Roman" w:cs="Times New Roman"/>
              </w:rPr>
              <w:br/>
              <w:t xml:space="preserve">    -   Latzko procedure: En bloc resection through en masse ligation, developing the cranial space of the lateral rectal space posterior to the transverse cervical ligament, with the resection extending to the greater sciatic foramen ("use a straight clamp to clamp and divide the cardinal ligament").</w:t>
            </w:r>
            <w:r w:rsidRPr="00CB2EC4">
              <w:rPr>
                <w:rFonts w:ascii="Times New Roman" w:hAnsi="Times New Roman" w:cs="Times New Roman"/>
              </w:rPr>
              <w:br/>
              <w:t xml:space="preserve">    -   Okabayashi procedure: Separates the uterosacral ligament from the cardinal ligament, clamps and transects it at the pelvic floor level, with the resection centered on the iliac fossa and its base on the superior fascia of the levator ani ("clamp and transect between the cardinal ligament and the lateral vesical space").</w:t>
            </w:r>
            <w:r w:rsidRPr="00CB2EC4">
              <w:rPr>
                <w:rFonts w:ascii="Times New Roman" w:hAnsi="Times New Roman" w:cs="Times New Roman"/>
              </w:rPr>
              <w:br/>
            </w:r>
            <w:r w:rsidRPr="00CB2EC4">
              <w:rPr>
                <w:rFonts w:ascii="Times New Roman" w:hAnsi="Times New Roman" w:cs="Times New Roman"/>
              </w:rPr>
              <w:br/>
              <w:t>-   **Dissection of the Paravaginal Connective Tissue:**</w:t>
            </w:r>
            <w:r w:rsidRPr="00CB2EC4">
              <w:rPr>
                <w:rFonts w:ascii="Times New Roman" w:hAnsi="Times New Roman" w:cs="Times New Roman"/>
              </w:rPr>
              <w:br/>
              <w:t xml:space="preserve">    -   Latzko procedure: Considered a complex of the superior fascia of the levator ani and paravaginal tissue, resected en bloc ("clamp and transect together with the superior fascia of the levator ani").</w:t>
            </w:r>
            <w:r w:rsidRPr="00CB2EC4">
              <w:rPr>
                <w:rFonts w:ascii="Times New Roman" w:hAnsi="Times New Roman" w:cs="Times New Roman"/>
              </w:rPr>
              <w:br/>
              <w:t xml:space="preserve">    -   Okabayashi procedure: Only the paravaginal connective tissue, after being separated from the superior fascia of the levator ani, is resected, which facilitates nerve preservation ("after separating the paravaginal connective tissue and the superior fascia of the levator ani, only resect the paravaginal </w:t>
            </w:r>
            <w:r w:rsidRPr="00CB2EC4">
              <w:rPr>
                <w:rFonts w:ascii="Times New Roman" w:hAnsi="Times New Roman" w:cs="Times New Roman"/>
              </w:rPr>
              <w:lastRenderedPageBreak/>
              <w:t>connective tissue").</w:t>
            </w:r>
            <w:r w:rsidRPr="00CB2EC4">
              <w:rPr>
                <w:rFonts w:ascii="Times New Roman" w:hAnsi="Times New Roman" w:cs="Times New Roman"/>
              </w:rPr>
              <w:br/>
            </w:r>
            <w:r w:rsidRPr="00CB2EC4">
              <w:rPr>
                <w:rFonts w:ascii="Times New Roman" w:hAnsi="Times New Roman" w:cs="Times New Roman"/>
              </w:rPr>
              <w:br/>
              <w:t>-   **Other Differences:** The order of dissection is different (Latzko: anterior → middle → posterior parametrial tissue; Okabayashi: posterior → middle → anterior parametrial tissue), and the Okabayashi procedure is more conducive to achieving nerve preservation (similarity 0.622).</w:t>
            </w:r>
          </w:p>
        </w:tc>
        <w:tc>
          <w:tcPr>
            <w:tcW w:w="1152" w:type="dxa"/>
            <w:vAlign w:val="center"/>
          </w:tcPr>
          <w:p w14:paraId="703201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81E1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6AE3E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341AEC" w14:textId="77777777">
        <w:tc>
          <w:tcPr>
            <w:tcW w:w="2160" w:type="dxa"/>
            <w:vAlign w:val="center"/>
          </w:tcPr>
          <w:p w14:paraId="49C74EF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7E2CE56A"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differences between the Latzko and Okabayashi surgical procedures? Please briefly describe the distinctions between the two.</w:t>
            </w:r>
            <w:r w:rsidRPr="00CB2EC4">
              <w:rPr>
                <w:rFonts w:ascii="Times New Roman" w:hAnsi="Times New Roman" w:cs="Times New Roman"/>
              </w:rPr>
              <w:br/>
            </w:r>
            <w:r w:rsidRPr="00CB2EC4">
              <w:rPr>
                <w:rFonts w:ascii="Times New Roman" w:hAnsi="Times New Roman" w:cs="Times New Roman"/>
              </w:rPr>
              <w:br/>
              <w:t>The Latzko and Okabayashi procedures are two main approaches for radical hysterectomy. The document details their differences (especially in excerpts 8, 13, 20). The primary distinctions are based on surgical philosophy, anatomical dissection, and operative steps:</w:t>
            </w:r>
            <w:r w:rsidRPr="00CB2EC4">
              <w:rPr>
                <w:rFonts w:ascii="Times New Roman" w:hAnsi="Times New Roman" w:cs="Times New Roman"/>
              </w:rPr>
              <w:br/>
            </w:r>
            <w:r w:rsidRPr="00CB2EC4">
              <w:rPr>
                <w:rFonts w:ascii="Times New Roman" w:hAnsi="Times New Roman" w:cs="Times New Roman"/>
              </w:rPr>
              <w:br/>
              <w:t>- **Core Philosophy:**</w:t>
            </w:r>
            <w:r w:rsidRPr="00CB2EC4">
              <w:rPr>
                <w:rFonts w:ascii="Times New Roman" w:hAnsi="Times New Roman" w:cs="Times New Roman"/>
              </w:rPr>
              <w:br/>
              <w:t xml:space="preserve">  - **Latzko procedure:** Based on a two-dimensional anatomical concept (following 19th-century European traditional anatomy). It expands upon simple total hysterectomy by removing pelvic connective tissue as three integrated support bands (Retinaculum: anterior, middle, posterior). Emphasizes operating at the pelvic floor level (document excerpts 1, 12, 13).</w:t>
            </w:r>
            <w:r w:rsidRPr="00CB2EC4">
              <w:rPr>
                <w:rFonts w:ascii="Times New Roman" w:hAnsi="Times New Roman" w:cs="Times New Roman"/>
              </w:rPr>
              <w:br/>
              <w:t xml:space="preserve">  - **Okabayashi procedure:** Based on a three-dimensional anatomical concept (innovatively abandoning traditional constraints). It conceptualizes pelvic structures in 3D, separating multiple independent spaces (e.g., vaginal lateral space, bladder lateral space) and handling each ligament </w:t>
            </w:r>
            <w:r w:rsidRPr="00CB2EC4">
              <w:rPr>
                <w:rFonts w:ascii="Times New Roman" w:hAnsi="Times New Roman" w:cs="Times New Roman"/>
              </w:rPr>
              <w:lastRenderedPageBreak/>
              <w:t>separately (e.g., anterior and posterior layers of the vesicouterine ligament). Aims for finer nerve preservation and reduced complications (document excerpts 12, 13).</w:t>
            </w:r>
            <w:r w:rsidRPr="00CB2EC4">
              <w:rPr>
                <w:rFonts w:ascii="Times New Roman" w:hAnsi="Times New Roman" w:cs="Times New Roman"/>
              </w:rPr>
              <w:br/>
            </w:r>
            <w:r w:rsidRPr="00CB2EC4">
              <w:rPr>
                <w:rFonts w:ascii="Times New Roman" w:hAnsi="Times New Roman" w:cs="Times New Roman"/>
              </w:rPr>
              <w:br/>
              <w:t>- **Method of Developing the Rectal Lateral Space:**</w:t>
            </w:r>
            <w:r w:rsidRPr="00CB2EC4">
              <w:rPr>
                <w:rFonts w:ascii="Times New Roman" w:hAnsi="Times New Roman" w:cs="Times New Roman"/>
              </w:rPr>
              <w:br/>
              <w:t xml:space="preserve">  - **Latzko procedure:** Develops the rectal lateral space lateral to the ureter and hypogastric nerve, dividing it into a cranial compartment (between the posterior fascia of the transverse cervical ligament and the internal iliac vascular sheath) and a caudal compartment (between the superior fascia of the levator ani and the levator ani muscle). The cranial compartment exposes the origin of the transverse cervical ligament; the caudal compartment is used for resection of paravaginal tissue (document excerpts 8, 13).</w:t>
            </w:r>
            <w:r w:rsidRPr="00CB2EC4">
              <w:rPr>
                <w:rFonts w:ascii="Times New Roman" w:hAnsi="Times New Roman" w:cs="Times New Roman"/>
              </w:rPr>
              <w:br/>
              <w:t xml:space="preserve">  - **Okabayashi procedure:** Develops the rectal lateral space medial to the ureter and hypogastric nerve (termed the Okabayashi rectal lateral space), starting medial to the uterosacral ligament and dissecting toward the pelvic floor. Focuses on developing the vaginal lateral space, which facilitates separation of the posterior layer of the vesicouterine ligament (document excerpts 8, 13).</w:t>
            </w:r>
            <w:r w:rsidRPr="00CB2EC4">
              <w:rPr>
                <w:rFonts w:ascii="Times New Roman" w:hAnsi="Times New Roman" w:cs="Times New Roman"/>
              </w:rPr>
              <w:br/>
            </w:r>
            <w:r w:rsidRPr="00CB2EC4">
              <w:rPr>
                <w:rFonts w:ascii="Times New Roman" w:hAnsi="Times New Roman" w:cs="Times New Roman"/>
              </w:rPr>
              <w:br/>
              <w:t>- **Handling of the Vesicouterine Ligament:**</w:t>
            </w:r>
            <w:r w:rsidRPr="00CB2EC4">
              <w:rPr>
                <w:rFonts w:ascii="Times New Roman" w:hAnsi="Times New Roman" w:cs="Times New Roman"/>
              </w:rPr>
              <w:br/>
              <w:t xml:space="preserve">  - **Latzko procedure:** Does not clearly distinguish between anterior and posterior layers of the vesicouterine ligament. Often treats the ureteral tunnel roof (equivalent to the anterior layer) as a single unit. The concept of the ligament is vague and not clearly differentiated from the bladder pillar (document </w:t>
            </w:r>
            <w:r w:rsidRPr="00CB2EC4">
              <w:rPr>
                <w:rFonts w:ascii="Times New Roman" w:hAnsi="Times New Roman" w:cs="Times New Roman"/>
              </w:rPr>
              <w:lastRenderedPageBreak/>
              <w:t>excerpts 8, 13).</w:t>
            </w:r>
            <w:r w:rsidRPr="00CB2EC4">
              <w:rPr>
                <w:rFonts w:ascii="Times New Roman" w:hAnsi="Times New Roman" w:cs="Times New Roman"/>
              </w:rPr>
              <w:br/>
              <w:t xml:space="preserve">  - **Okabayashi procedure:** Explicitly divides the vesicouterine ligament into an anterior layer (connecting the cervix and bladder, equivalent to the ureteral tunnel roof) and a posterior layer (connecting the transverse cervical ligament and bladder, also called the vesicovaginal ligament). The anterior and posterior layers are separated and individually transected during surgery, facilitating nerve preservation (document excerpts 8, 13, 110).</w:t>
            </w:r>
            <w:r w:rsidRPr="00CB2EC4">
              <w:rPr>
                <w:rFonts w:ascii="Times New Roman" w:hAnsi="Times New Roman" w:cs="Times New Roman"/>
              </w:rPr>
              <w:br/>
            </w:r>
            <w:r w:rsidRPr="00CB2EC4">
              <w:rPr>
                <w:rFonts w:ascii="Times New Roman" w:hAnsi="Times New Roman" w:cs="Times New Roman"/>
              </w:rPr>
              <w:br/>
              <w:t>- **Resection Method of the Cardinal Ligament:**</w:t>
            </w:r>
            <w:r w:rsidRPr="00CB2EC4">
              <w:rPr>
                <w:rFonts w:ascii="Times New Roman" w:hAnsi="Times New Roman" w:cs="Times New Roman"/>
              </w:rPr>
              <w:br/>
              <w:t xml:space="preserve">  - **Latzko procedure:** Clamps and resects the cardinal ligament as a single unit between the bladder lateral space and the caudal compartment of the rectal lateral space (regarded as a composite of the transverse cervical ligament and rectal ligament). Resection extends to the greater sciatic foramen, potentially leaving large raw surfaces (document excerpts 13, 16, 20).</w:t>
            </w:r>
            <w:r w:rsidRPr="00CB2EC4">
              <w:rPr>
                <w:rFonts w:ascii="Times New Roman" w:hAnsi="Times New Roman" w:cs="Times New Roman"/>
              </w:rPr>
              <w:br/>
              <w:t xml:space="preserve">  - **Okabayashi procedure:** Resects the cardinal ligament at the level of the iliac fossa, separating the vascular and neural portions, and transects only the vascular part (e.g., at the level of the deep uterine vein). Avoids en bloc resection, reduces nerve injury, and provides a basis for nerve-sparing techniques (document excerpts 3, 13, 20).</w:t>
            </w:r>
            <w:r w:rsidRPr="00CB2EC4">
              <w:rPr>
                <w:rFonts w:ascii="Times New Roman" w:hAnsi="Times New Roman" w:cs="Times New Roman"/>
              </w:rPr>
              <w:br/>
            </w:r>
            <w:r w:rsidRPr="00CB2EC4">
              <w:rPr>
                <w:rFonts w:ascii="Times New Roman" w:hAnsi="Times New Roman" w:cs="Times New Roman"/>
              </w:rPr>
              <w:br/>
              <w:t>- **Disconnection of Paravaginal Connective Tissue:**</w:t>
            </w:r>
            <w:r w:rsidRPr="00CB2EC4">
              <w:rPr>
                <w:rFonts w:ascii="Times New Roman" w:hAnsi="Times New Roman" w:cs="Times New Roman"/>
              </w:rPr>
              <w:br/>
              <w:t xml:space="preserve">  - **Latzko procedure:** Treats paravaginal connective tissue as a composite of the superior fascia of the levator ani and vaginal surrounding tissue, clamped and transected as a whole (extended pelvic </w:t>
            </w:r>
            <w:r w:rsidRPr="00CB2EC4">
              <w:rPr>
                <w:rFonts w:ascii="Times New Roman" w:hAnsi="Times New Roman" w:cs="Times New Roman"/>
              </w:rPr>
              <w:lastRenderedPageBreak/>
              <w:t>resection), which may injure the venous plexus (document excerpts 13, 20).</w:t>
            </w:r>
            <w:r w:rsidRPr="00CB2EC4">
              <w:rPr>
                <w:rFonts w:ascii="Times New Roman" w:hAnsi="Times New Roman" w:cs="Times New Roman"/>
              </w:rPr>
              <w:br/>
              <w:t xml:space="preserve">  - **Okabayashi procedure:** Resects only the connective tissue surrounding the vagina (paravaginal tissue), preserving the superior fascia of the levator ani. This reduces bleeding risk and facilitates preservation of bladder innervation (document excerpts 13, 20).</w:t>
            </w:r>
            <w:r w:rsidRPr="00CB2EC4">
              <w:rPr>
                <w:rFonts w:ascii="Times New Roman" w:hAnsi="Times New Roman" w:cs="Times New Roman"/>
              </w:rPr>
              <w:br/>
            </w:r>
            <w:r w:rsidRPr="00CB2EC4">
              <w:rPr>
                <w:rFonts w:ascii="Times New Roman" w:hAnsi="Times New Roman" w:cs="Times New Roman"/>
              </w:rPr>
              <w:br/>
              <w:t>- **Other Differences:** The Latzko procedure typically dissects lymph nodes first, then addresses ligaments in the sequence: anterior → middle → posterior support bands. The Okabayashi procedure reverses this order (posterior → middle → anterior support bands), with lymph node dissection performed last (document excerpt 13). Overall, the Okabayashi procedure emphasizes three-dimensional anatomy and nerve preservation, while the Latzko procedure is more traditional but prone to issues such as large pelvic sidewall raw surfaces.</w:t>
            </w:r>
          </w:p>
        </w:tc>
        <w:tc>
          <w:tcPr>
            <w:tcW w:w="1152" w:type="dxa"/>
            <w:vAlign w:val="center"/>
          </w:tcPr>
          <w:p w14:paraId="1B6A20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17168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C769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871FE5" w14:textId="77777777">
        <w:tc>
          <w:tcPr>
            <w:tcW w:w="2160" w:type="dxa"/>
            <w:vAlign w:val="center"/>
          </w:tcPr>
          <w:p w14:paraId="08F9A3F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6C13A7C5"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the Latzko and Okabayashi (Okabayashi) procedures are as follows:</w:t>
            </w:r>
            <w:r w:rsidRPr="00CB2EC4">
              <w:rPr>
                <w:rFonts w:ascii="Times New Roman" w:hAnsi="Times New Roman" w:cs="Times New Roman"/>
              </w:rPr>
              <w:br/>
            </w:r>
            <w:r w:rsidRPr="00CB2EC4">
              <w:rPr>
                <w:rFonts w:ascii="Times New Roman" w:hAnsi="Times New Roman" w:cs="Times New Roman"/>
              </w:rPr>
              <w:br/>
              <w:t>- **Latzko procedure**:</w:t>
            </w:r>
            <w:r w:rsidRPr="00CB2EC4">
              <w:rPr>
                <w:rFonts w:ascii="Times New Roman" w:hAnsi="Times New Roman" w:cs="Times New Roman"/>
              </w:rPr>
              <w:br/>
              <w:t xml:space="preserve">  - Based on 19th-century European traditional anatomy, adopting a two-dimensional concept.</w:t>
            </w:r>
            <w:r w:rsidRPr="00CB2EC4">
              <w:rPr>
                <w:rFonts w:ascii="Times New Roman" w:hAnsi="Times New Roman" w:cs="Times New Roman"/>
              </w:rPr>
              <w:br/>
              <w:t xml:space="preserve">  - Involves en bloc resection of the cardinal ligaments (including the transverse cervical ligament and rectal lateral ligament), often including the levator ani fascia.</w:t>
            </w:r>
            <w:r w:rsidRPr="00CB2EC4">
              <w:rPr>
                <w:rFonts w:ascii="Times New Roman" w:hAnsi="Times New Roman" w:cs="Times New Roman"/>
              </w:rPr>
              <w:br/>
              <w:t xml:space="preserve">  - Specific technique: When resecting paravaginal connective tissue, it begins with incision of the levator ani fascia, followed by en bloc clamping and division of the rectovaginal septum and vesicovaginal septum </w:t>
            </w:r>
            <w:r w:rsidRPr="00CB2EC4">
              <w:rPr>
                <w:rFonts w:ascii="Times New Roman" w:hAnsi="Times New Roman" w:cs="Times New Roman"/>
              </w:rPr>
              <w:lastRenderedPageBreak/>
              <w:t>(as described in Simple Figure 66). This increases the risk of venous injury (e.g., to the bladder and rectal venous plexus) due to rougher manipulation.</w:t>
            </w:r>
            <w:r w:rsidRPr="00CB2EC4">
              <w:rPr>
                <w:rFonts w:ascii="Times New Roman" w:hAnsi="Times New Roman" w:cs="Times New Roman"/>
              </w:rPr>
              <w:br/>
            </w:r>
            <w:r w:rsidRPr="00CB2EC4">
              <w:rPr>
                <w:rFonts w:ascii="Times New Roman" w:hAnsi="Times New Roman" w:cs="Times New Roman"/>
              </w:rPr>
              <w:br/>
              <w:t>- **Okabayashi procedure**:</w:t>
            </w:r>
            <w:r w:rsidRPr="00CB2EC4">
              <w:rPr>
                <w:rFonts w:ascii="Times New Roman" w:hAnsi="Times New Roman" w:cs="Times New Roman"/>
              </w:rPr>
              <w:br/>
              <w:t xml:space="preserve">  - More refined, based on a three-dimensional concept of space dissection.</w:t>
            </w:r>
            <w:r w:rsidRPr="00CB2EC4">
              <w:rPr>
                <w:rFonts w:ascii="Times New Roman" w:hAnsi="Times New Roman" w:cs="Times New Roman"/>
              </w:rPr>
              <w:br/>
              <w:t xml:space="preserve">  - Separates ligaments by developing specific spaces (e.g., lateral rectal space, vaginal side space, lateral vesical space), avoiding en bloc resection.</w:t>
            </w:r>
            <w:r w:rsidRPr="00CB2EC4">
              <w:rPr>
                <w:rFonts w:ascii="Times New Roman" w:hAnsi="Times New Roman" w:cs="Times New Roman"/>
              </w:rPr>
              <w:br/>
              <w:t xml:space="preserve">  - Specific technique: When dividing the rectovaginal and vesicovaginal ligaments, separation is performed by correctly developing the vaginal side space, reducing injury to the venous plexus (as referenced in the discussion of the Kobayashi issue).</w:t>
            </w:r>
            <w:r w:rsidRPr="00CB2EC4">
              <w:rPr>
                <w:rFonts w:ascii="Times New Roman" w:hAnsi="Times New Roman" w:cs="Times New Roman"/>
              </w:rPr>
              <w:br/>
            </w:r>
            <w:r w:rsidRPr="00CB2EC4">
              <w:rPr>
                <w:rFonts w:ascii="Times New Roman" w:hAnsi="Times New Roman" w:cs="Times New Roman"/>
              </w:rPr>
              <w:br/>
              <w:t>**Key difference**: The Latzko procedure carries higher risks of bleeding and nerve injury due to its broader tissue removal; the Okabayashi procedure emphasizes space dissection, offering greater potential for nerve preservation (as detailed in the section "Differences between Latzko and Okabayashi procedures" and Figure 78a).</w:t>
            </w:r>
          </w:p>
        </w:tc>
        <w:tc>
          <w:tcPr>
            <w:tcW w:w="1152" w:type="dxa"/>
            <w:vAlign w:val="center"/>
          </w:tcPr>
          <w:p w14:paraId="491832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055E4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A288B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E934766" w14:textId="77777777">
        <w:tc>
          <w:tcPr>
            <w:tcW w:w="2160" w:type="dxa"/>
            <w:vAlign w:val="center"/>
          </w:tcPr>
          <w:p w14:paraId="1ADF5C6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5E978F9"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differences between the Latzko and Okabayashi surgical procedures? Please briefly describe the distinctions between the two.</w:t>
            </w:r>
            <w:r w:rsidRPr="00CB2EC4">
              <w:rPr>
                <w:rFonts w:ascii="Times New Roman" w:hAnsi="Times New Roman" w:cs="Times New Roman"/>
              </w:rPr>
              <w:br/>
            </w:r>
            <w:r w:rsidRPr="00CB2EC4">
              <w:rPr>
                <w:rFonts w:ascii="Times New Roman" w:hAnsi="Times New Roman" w:cs="Times New Roman"/>
              </w:rPr>
              <w:br/>
              <w:t>Both the Latzko and Okabayashi procedures are standard techniques for radical total hysterectomy, but they have significant differences. A detailed comparison of the two is provided in document excerpts 6 and 23; the main differences are as follows:</w:t>
            </w:r>
            <w:r w:rsidRPr="00CB2EC4">
              <w:rPr>
                <w:rFonts w:ascii="Times New Roman" w:hAnsi="Times New Roman" w:cs="Times New Roman"/>
              </w:rPr>
              <w:br/>
              <w:t>- Anatomical perspective:</w:t>
            </w:r>
            <w:r w:rsidRPr="00CB2EC4">
              <w:rPr>
                <w:rFonts w:ascii="Times New Roman" w:hAnsi="Times New Roman" w:cs="Times New Roman"/>
              </w:rPr>
              <w:br/>
              <w:t xml:space="preserve">  - Latzko procedure: Based on a two-dimensional </w:t>
            </w:r>
            <w:r w:rsidRPr="00CB2EC4">
              <w:rPr>
                <w:rFonts w:ascii="Times New Roman" w:hAnsi="Times New Roman" w:cs="Times New Roman"/>
              </w:rPr>
              <w:lastRenderedPageBreak/>
              <w:t>concept (following traditional European anatomy), treating pelvic connective tissue as planar structures. Resection of the cardinal ligament involves simple extension toward the pelvic sidewall.</w:t>
            </w:r>
            <w:r w:rsidRPr="00CB2EC4">
              <w:rPr>
                <w:rFonts w:ascii="Times New Roman" w:hAnsi="Times New Roman" w:cs="Times New Roman"/>
              </w:rPr>
              <w:br/>
              <w:t xml:space="preserve">  - Okabayashi procedure: Based on a three-dimensional concept (innovative), treating pelvic connective tissue as bundled structures divided into anterior, middle, and posterior support zones.</w:t>
            </w:r>
            <w:r w:rsidRPr="00CB2EC4">
              <w:rPr>
                <w:rFonts w:ascii="Times New Roman" w:hAnsi="Times New Roman" w:cs="Times New Roman"/>
              </w:rPr>
              <w:br/>
              <w:t>- Method of space dissection:</w:t>
            </w:r>
            <w:r w:rsidRPr="00CB2EC4">
              <w:rPr>
                <w:rFonts w:ascii="Times New Roman" w:hAnsi="Times New Roman" w:cs="Times New Roman"/>
              </w:rPr>
              <w:br/>
              <w:t xml:space="preserve">  - Latzko procedure: Dissects the lateral bladder space and the cranial/caudal compartments of the rectovaginal space. The cranial compartment is used to expose the origin of the transverse cervical ligament; the caudal compartment involves incising the superior fascia of the levator ani to expose the pelvic floor.</w:t>
            </w:r>
            <w:r w:rsidRPr="00CB2EC4">
              <w:rPr>
                <w:rFonts w:ascii="Times New Roman" w:hAnsi="Times New Roman" w:cs="Times New Roman"/>
              </w:rPr>
              <w:br/>
              <w:t xml:space="preserve">  - Okabayashi procedure: Dissects the vaginal lateral space and the bladder lateral space. Focuses on separating the ureteral tunnel and forming the vaginal lateral space to manage visceral-side structures.</w:t>
            </w:r>
            <w:r w:rsidRPr="00CB2EC4">
              <w:rPr>
                <w:rFonts w:ascii="Times New Roman" w:hAnsi="Times New Roman" w:cs="Times New Roman"/>
              </w:rPr>
              <w:br/>
              <w:t>- Ligament management:</w:t>
            </w:r>
            <w:r w:rsidRPr="00CB2EC4">
              <w:rPr>
                <w:rFonts w:ascii="Times New Roman" w:hAnsi="Times New Roman" w:cs="Times New Roman"/>
              </w:rPr>
              <w:br/>
              <w:t xml:space="preserve">  - Latzko procedure: Resects the cardinal ligament as a whole (composite of transverse cervical ligament and rectolateral ligament) using clamp-and-ligate technique (Massenligature).</w:t>
            </w:r>
            <w:r w:rsidRPr="00CB2EC4">
              <w:rPr>
                <w:rFonts w:ascii="Times New Roman" w:hAnsi="Times New Roman" w:cs="Times New Roman"/>
              </w:rPr>
              <w:br/>
              <w:t xml:space="preserve">  - Okabayashi procedure: Independently manages each ligament:</w:t>
            </w:r>
            <w:r w:rsidRPr="00CB2EC4">
              <w:rPr>
                <w:rFonts w:ascii="Times New Roman" w:hAnsi="Times New Roman" w:cs="Times New Roman"/>
              </w:rPr>
              <w:br/>
              <w:t xml:space="preserve">    - The vesicouterine ligament is divided by cutting its anterior and posterior leaflets separately;</w:t>
            </w:r>
            <w:r w:rsidRPr="00CB2EC4">
              <w:rPr>
                <w:rFonts w:ascii="Times New Roman" w:hAnsi="Times New Roman" w:cs="Times New Roman"/>
              </w:rPr>
              <w:br/>
              <w:t xml:space="preserve">    - The uterosacral ligament and cardinal ligament are resected in steps;</w:t>
            </w:r>
            <w:r w:rsidRPr="00CB2EC4">
              <w:rPr>
                <w:rFonts w:ascii="Times New Roman" w:hAnsi="Times New Roman" w:cs="Times New Roman"/>
              </w:rPr>
              <w:br/>
              <w:t xml:space="preserve">    - Provides the possibility of nerve preservation.</w:t>
            </w:r>
            <w:r w:rsidRPr="00CB2EC4">
              <w:rPr>
                <w:rFonts w:ascii="Times New Roman" w:hAnsi="Times New Roman" w:cs="Times New Roman"/>
              </w:rPr>
              <w:br/>
              <w:t>- Other differences:</w:t>
            </w:r>
            <w:r w:rsidRPr="00CB2EC4">
              <w:rPr>
                <w:rFonts w:ascii="Times New Roman" w:hAnsi="Times New Roman" w:cs="Times New Roman"/>
              </w:rPr>
              <w:br/>
              <w:t xml:space="preserve">  - Sequence: Latzko addresses anterior → middle → </w:t>
            </w:r>
            <w:r w:rsidRPr="00CB2EC4">
              <w:rPr>
                <w:rFonts w:ascii="Times New Roman" w:hAnsi="Times New Roman" w:cs="Times New Roman"/>
              </w:rPr>
              <w:lastRenderedPageBreak/>
              <w:t>posterior support zones; Okabayashi proceeds in reverse order (posterior → middle → anterior).</w:t>
            </w:r>
            <w:r w:rsidRPr="00CB2EC4">
              <w:rPr>
                <w:rFonts w:ascii="Times New Roman" w:hAnsi="Times New Roman" w:cs="Times New Roman"/>
              </w:rPr>
              <w:br/>
              <w:t xml:space="preserve">  - Radicality and safety: Latzko may leave larger pelvic sidewall raw surfaces; Okabayashi is more precise but technically complex with higher bleeding risk.</w:t>
            </w:r>
            <w:r w:rsidRPr="00CB2EC4">
              <w:rPr>
                <w:rFonts w:ascii="Times New Roman" w:hAnsi="Times New Roman" w:cs="Times New Roman"/>
              </w:rPr>
              <w:br/>
              <w:t>- Summary: Latzko emphasizes en bloc resection to maximize radical extent; Okabayashi stresses systematic dissection to preserve organ function (see document excerpts 6, 16, 23).</w:t>
            </w:r>
          </w:p>
        </w:tc>
        <w:tc>
          <w:tcPr>
            <w:tcW w:w="1152" w:type="dxa"/>
            <w:vAlign w:val="center"/>
          </w:tcPr>
          <w:p w14:paraId="68D2A4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40B02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5CA7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23B6CF2" w14:textId="77777777">
        <w:tc>
          <w:tcPr>
            <w:tcW w:w="2160" w:type="dxa"/>
            <w:vAlign w:val="center"/>
          </w:tcPr>
          <w:p w14:paraId="6326E2B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65D4EF21"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differences between the Latzko and Okabayashi surgical techniques? Please briefly describe their distinctions.</w:t>
            </w:r>
            <w:r w:rsidRPr="00CB2EC4">
              <w:rPr>
                <w:rFonts w:ascii="Times New Roman" w:hAnsi="Times New Roman" w:cs="Times New Roman"/>
              </w:rPr>
              <w:br/>
            </w:r>
            <w:r w:rsidRPr="00CB2EC4">
              <w:rPr>
                <w:rFonts w:ascii="Times New Roman" w:hAnsi="Times New Roman" w:cs="Times New Roman"/>
              </w:rPr>
              <w:br/>
              <w:t>The Latzko and Okabayashi procedures are two primary methods for radical hysterectomy. The document provides a detailed comparison of their differences, summarized as follows:</w:t>
            </w:r>
            <w:r w:rsidRPr="00CB2EC4">
              <w:rPr>
                <w:rFonts w:ascii="Times New Roman" w:hAnsi="Times New Roman" w:cs="Times New Roman"/>
              </w:rPr>
              <w:br/>
              <w:t>- Basis of concept differs:</w:t>
            </w:r>
            <w:r w:rsidRPr="00CB2EC4">
              <w:rPr>
                <w:rFonts w:ascii="Times New Roman" w:hAnsi="Times New Roman" w:cs="Times New Roman"/>
              </w:rPr>
              <w:br/>
              <w:t xml:space="preserve">  - Latzko technique: Based on a two-dimensional anatomical concept, treating pelvic connective tissue as planar structures, with the procedure focused on extending ligament resection from simple hysterectomy (see "[Similarity: 0.545]" section).</w:t>
            </w:r>
            <w:r w:rsidRPr="00CB2EC4">
              <w:rPr>
                <w:rFonts w:ascii="Times New Roman" w:hAnsi="Times New Roman" w:cs="Times New Roman"/>
              </w:rPr>
              <w:br/>
              <w:t xml:space="preserve">  - Okabayashi technique: Based on a three-dimensional concept, emphasizing spatial dissection of cavities and ligaments, dividing the vesicouterine ligament into anterior and posterior layers for separate handling (see "[Similarity: 0.545]" and "[Similarity: 0.530]" sections).</w:t>
            </w:r>
            <w:r w:rsidRPr="00CB2EC4">
              <w:rPr>
                <w:rFonts w:ascii="Times New Roman" w:hAnsi="Times New Roman" w:cs="Times New Roman"/>
              </w:rPr>
              <w:br/>
              <w:t>- Method of developing the rectolateral space differs:</w:t>
            </w:r>
            <w:r w:rsidRPr="00CB2EC4">
              <w:rPr>
                <w:rFonts w:ascii="Times New Roman" w:hAnsi="Times New Roman" w:cs="Times New Roman"/>
              </w:rPr>
              <w:br/>
              <w:t xml:space="preserve">  - Latzko technique: Divides development into cephalic and caudal compartments. The cephalic compartment is formed by stripping the posterior </w:t>
            </w:r>
            <w:r w:rsidRPr="00CB2EC4">
              <w:rPr>
                <w:rFonts w:ascii="Times New Roman" w:hAnsi="Times New Roman" w:cs="Times New Roman"/>
              </w:rPr>
              <w:lastRenderedPageBreak/>
              <w:t>fascia of the transverse cervical ligament; the caudal compartment is formed by incising the superior fascia of the levator ani. After communication between both compartments, the main ligament is resected (see "[Similarity: 0.545]" table).</w:t>
            </w:r>
            <w:r w:rsidRPr="00CB2EC4">
              <w:rPr>
                <w:rFonts w:ascii="Times New Roman" w:hAnsi="Times New Roman" w:cs="Times New Roman"/>
              </w:rPr>
              <w:br/>
              <w:t xml:space="preserve">  - Okabayashi technique: Develops a single rectolateral space medial to the ureter and hypogastric nerve, with emphasis on operating medial to the uterosacral ligament, without explicit differentiation of cephalic and caudal compartments (see "[Similarity: 0.545]" section).</w:t>
            </w:r>
            <w:r w:rsidRPr="00CB2EC4">
              <w:rPr>
                <w:rFonts w:ascii="Times New Roman" w:hAnsi="Times New Roman" w:cs="Times New Roman"/>
              </w:rPr>
              <w:br/>
              <w:t>- Handling of the vesicouterine ligament differs:</w:t>
            </w:r>
            <w:r w:rsidRPr="00CB2EC4">
              <w:rPr>
                <w:rFonts w:ascii="Times New Roman" w:hAnsi="Times New Roman" w:cs="Times New Roman"/>
              </w:rPr>
              <w:br/>
              <w:t xml:space="preserve">  - Latzko technique: Does not specify layered division; treats it as the connection between the transverse cervical ligament and bladder, managed as a whole (see "[Similarity: 0.545]" section).</w:t>
            </w:r>
            <w:r w:rsidRPr="00CB2EC4">
              <w:rPr>
                <w:rFonts w:ascii="Times New Roman" w:hAnsi="Times New Roman" w:cs="Times New Roman"/>
              </w:rPr>
              <w:br/>
              <w:t xml:space="preserve">  - Okabayashi technique: Clearly divides into anterior layer (equivalent to the roof of the ureteric tunnel) and posterior layer (containing the vascular-nerve bundle connecting the transverse cervical ligament and bladder), each transected separately (see "[Similarity: 0.635]" and "[Similarity: 0.545]" sections).</w:t>
            </w:r>
            <w:r w:rsidRPr="00CB2EC4">
              <w:rPr>
                <w:rFonts w:ascii="Times New Roman" w:hAnsi="Times New Roman" w:cs="Times New Roman"/>
              </w:rPr>
              <w:br/>
              <w:t>- Method of main ligament resection differs:</w:t>
            </w:r>
            <w:r w:rsidRPr="00CB2EC4">
              <w:rPr>
                <w:rFonts w:ascii="Times New Roman" w:hAnsi="Times New Roman" w:cs="Times New Roman"/>
              </w:rPr>
              <w:br/>
              <w:t xml:space="preserve">  - Latzko technique: Develops the cephalic part of the rectolateral space behind the transverse cervical ligament, then clamps and resects the main ligament en bloc, extending to the greater sciatic foramen (see "[Similarity: 0.530]" table).</w:t>
            </w:r>
            <w:r w:rsidRPr="00CB2EC4">
              <w:rPr>
                <w:rFonts w:ascii="Times New Roman" w:hAnsi="Times New Roman" w:cs="Times New Roman"/>
              </w:rPr>
              <w:br/>
              <w:t xml:space="preserve">  - Okabayashi technique: Dissects the main ligament between the paravesical space and rectolateral space, with resection centered on the iliac fossa, avoiding excessive dissection into the pelvic floor (see "[Similarity: 0.530]" section).</w:t>
            </w:r>
            <w:r w:rsidRPr="00CB2EC4">
              <w:rPr>
                <w:rFonts w:ascii="Times New Roman" w:hAnsi="Times New Roman" w:cs="Times New Roman"/>
              </w:rPr>
              <w:br/>
              <w:t xml:space="preserve">- Other differences: Include management of </w:t>
            </w:r>
            <w:r w:rsidRPr="00CB2EC4">
              <w:rPr>
                <w:rFonts w:ascii="Times New Roman" w:hAnsi="Times New Roman" w:cs="Times New Roman"/>
              </w:rPr>
              <w:lastRenderedPageBreak/>
              <w:t>paravaginal connective tissue (Latzko resects the superior levator ani fascia as a whole; Okabayashi resects only the connective tissue around the vagina) and surgical sequence (Latzko addresses anterior supporting ligaments first; Okabayashi addresses posterior supporting ligaments first) (see "[Similarity: 0.545]" and "[Similarity: 0.530]" sections).</w:t>
            </w:r>
          </w:p>
        </w:tc>
        <w:tc>
          <w:tcPr>
            <w:tcW w:w="1152" w:type="dxa"/>
            <w:vAlign w:val="center"/>
          </w:tcPr>
          <w:p w14:paraId="34E6C4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1F1A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564F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BC0A6B" w14:textId="77777777">
        <w:tc>
          <w:tcPr>
            <w:tcW w:w="2160" w:type="dxa"/>
            <w:vAlign w:val="center"/>
          </w:tcPr>
          <w:p w14:paraId="6CCF7C9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6EEBB6A5"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differences between the Latzko and Okabayashi surgical procedures? Please briefly describe their distinctions.</w:t>
            </w:r>
            <w:r w:rsidRPr="00CB2EC4">
              <w:rPr>
                <w:rFonts w:ascii="Times New Roman" w:hAnsi="Times New Roman" w:cs="Times New Roman"/>
              </w:rPr>
              <w:br/>
            </w:r>
            <w:r w:rsidRPr="00CB2EC4">
              <w:rPr>
                <w:rFonts w:ascii="Times New Roman" w:hAnsi="Times New Roman" w:cs="Times New Roman"/>
              </w:rPr>
              <w:br/>
              <w:t xml:space="preserve">- Dissection of the rectal lateral space:  </w:t>
            </w:r>
            <w:r w:rsidRPr="00CB2EC4">
              <w:rPr>
                <w:rFonts w:ascii="Times New Roman" w:hAnsi="Times New Roman" w:cs="Times New Roman"/>
              </w:rPr>
              <w:br/>
              <w:t xml:space="preserve">  - Latzko procedure: Creates two spaces—the cephalad compartment (between the posterior fascia of the transverse cervical ligament and the sheath of the internal iliac vessels) and the caudal compartment (between the superior fascia of the levator ani and the levator ani muscle). The purpose is to expose the origin of the transverse cervical ligament for en bloc resection (Document fragments 14, 16, 20).  </w:t>
            </w:r>
            <w:r w:rsidRPr="00CB2EC4">
              <w:rPr>
                <w:rFonts w:ascii="Times New Roman" w:hAnsi="Times New Roman" w:cs="Times New Roman"/>
              </w:rPr>
              <w:br/>
              <w:t xml:space="preserve">  - Okabayashi procedure: Forms only one rectal lateral space (medial to the ureter and hypogastric nerve), located between the proper rectal fascia and the presacral fascia. Dissection emphasizes the visceral side to facilitate ligament separation (Document fragments 14, 16).  </w:t>
            </w:r>
            <w:r w:rsidRPr="00CB2EC4">
              <w:rPr>
                <w:rFonts w:ascii="Times New Roman" w:hAnsi="Times New Roman" w:cs="Times New Roman"/>
              </w:rPr>
              <w:br/>
              <w:t xml:space="preserve">- Management of the vesicouterine ligament:  </w:t>
            </w:r>
            <w:r w:rsidRPr="00CB2EC4">
              <w:rPr>
                <w:rFonts w:ascii="Times New Roman" w:hAnsi="Times New Roman" w:cs="Times New Roman"/>
              </w:rPr>
              <w:br/>
              <w:t xml:space="preserve">  - Latzko procedure: Lacks a clear layered concept; the vesicouterine ligament is regarded as the connection between the transverse cervical ligament and the bladder and is managed en bloc (Document fragments 16, 25).  </w:t>
            </w:r>
            <w:r w:rsidRPr="00CB2EC4">
              <w:rPr>
                <w:rFonts w:ascii="Times New Roman" w:hAnsi="Times New Roman" w:cs="Times New Roman"/>
              </w:rPr>
              <w:br/>
              <w:t xml:space="preserve">  - Okabayashi procedure: Divides the vesicouterine ligament into an anterior leaf (connecting the cervix </w:t>
            </w:r>
            <w:r w:rsidRPr="00CB2EC4">
              <w:rPr>
                <w:rFonts w:ascii="Times New Roman" w:hAnsi="Times New Roman" w:cs="Times New Roman"/>
              </w:rPr>
              <w:lastRenderedPageBreak/>
              <w:t xml:space="preserve">and bladder) and a posterior leaf (connecting the transverse cervical ligament and bladder), each severed independently. The posterior leaf contains vesical nerve branches and requires precise dissection (Document fragments 16, 28).  </w:t>
            </w:r>
            <w:r w:rsidRPr="00CB2EC4">
              <w:rPr>
                <w:rFonts w:ascii="Times New Roman" w:hAnsi="Times New Roman" w:cs="Times New Roman"/>
              </w:rPr>
              <w:br/>
              <w:t xml:space="preserve">- Method of cardinal ligament resection:  </w:t>
            </w:r>
            <w:r w:rsidRPr="00CB2EC4">
              <w:rPr>
                <w:rFonts w:ascii="Times New Roman" w:hAnsi="Times New Roman" w:cs="Times New Roman"/>
              </w:rPr>
              <w:br/>
              <w:t xml:space="preserve">  - Latzko procedure: Resects the cardinal ligament en masse at the pelvic floor (Massenligature), including the transverse cervical ligament and the rectolateral ligament complex, which may leave residual tissue at the origin (Document fragments 6, 16, 25).  </w:t>
            </w:r>
            <w:r w:rsidRPr="00CB2EC4">
              <w:rPr>
                <w:rFonts w:ascii="Times New Roman" w:hAnsi="Times New Roman" w:cs="Times New Roman"/>
              </w:rPr>
              <w:br/>
              <w:t xml:space="preserve">  - Okabayashi procedure: Separates the transverse cervical ligament into fascial and vascular components, individually ligates vessels (e.g., deep uterine vein), avoids en bloc resection, and better preserves nerves (Document fragments 3, 6, 16).  </w:t>
            </w:r>
            <w:r w:rsidRPr="00CB2EC4">
              <w:rPr>
                <w:rFonts w:ascii="Times New Roman" w:hAnsi="Times New Roman" w:cs="Times New Roman"/>
              </w:rPr>
              <w:br/>
              <w:t>- Other differences: The Latzko procedure is based on traditional European anatomy and emphasizes resection of the pelvic sidewall; the Okabayashi procedure focuses more on space development and ligament dissection, with a more systematic operative sequence (Document fragment 14). Sufficient contextual information is derived from Document fragments 14, 16, 20, 25.</w:t>
            </w:r>
          </w:p>
        </w:tc>
        <w:tc>
          <w:tcPr>
            <w:tcW w:w="1152" w:type="dxa"/>
            <w:vAlign w:val="center"/>
          </w:tcPr>
          <w:p w14:paraId="63CAD9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80C52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C9B8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8C163A" w14:textId="77777777">
        <w:tc>
          <w:tcPr>
            <w:tcW w:w="2160" w:type="dxa"/>
            <w:vAlign w:val="center"/>
          </w:tcPr>
          <w:p w14:paraId="4CE88B3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032208A"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between the Latzko and Okabayashi surgical techniques, two main approaches for radical hysterectomy, are summarized below based on sections 2, 3, and 4:</w:t>
            </w:r>
            <w:r w:rsidRPr="00CB2EC4">
              <w:rPr>
                <w:rFonts w:ascii="Times New Roman" w:hAnsi="Times New Roman" w:cs="Times New Roman"/>
              </w:rPr>
              <w:br/>
            </w:r>
            <w:r w:rsidRPr="00CB2EC4">
              <w:rPr>
                <w:rFonts w:ascii="Times New Roman" w:hAnsi="Times New Roman" w:cs="Times New Roman"/>
              </w:rPr>
              <w:br/>
              <w:t xml:space="preserve">- **Overall Philosophy:**  </w:t>
            </w:r>
            <w:r w:rsidRPr="00CB2EC4">
              <w:rPr>
                <w:rFonts w:ascii="Times New Roman" w:hAnsi="Times New Roman" w:cs="Times New Roman"/>
              </w:rPr>
              <w:br/>
              <w:t xml:space="preserve">  - **Latzko:** Based on two-dimensional anatomy (planar approach), developed from the Wertheim operation. Emphasizes opening the lateral vesical space and the lateral rectal space, dividing the pelvic </w:t>
            </w:r>
            <w:r w:rsidRPr="00CB2EC4">
              <w:rPr>
                <w:rFonts w:ascii="Times New Roman" w:hAnsi="Times New Roman" w:cs="Times New Roman"/>
              </w:rPr>
              <w:lastRenderedPageBreak/>
              <w:t xml:space="preserve">connective tissue into three independent supporting bands (Retinacula): anterior, middle, and posterior (Section 2; Section 3, Table 15).  </w:t>
            </w:r>
            <w:r w:rsidRPr="00CB2EC4">
              <w:rPr>
                <w:rFonts w:ascii="Times New Roman" w:hAnsi="Times New Roman" w:cs="Times New Roman"/>
              </w:rPr>
              <w:br/>
              <w:t xml:space="preserve">  - **Okabayashi:** Based on three-dimensional anatomy (stereoscopic approach), independently conceptualized. Emphasizes dissection of the lateral vaginal space and lateral vesical space, dividing the vesicouterine ligament into anterior and posterior layers for separate handling, with greater focus on potential nerve preservation (Section 3, Table 15; Section 7).  </w:t>
            </w:r>
            <w:r w:rsidRPr="00CB2EC4">
              <w:rPr>
                <w:rFonts w:ascii="Times New Roman" w:hAnsi="Times New Roman" w:cs="Times New Roman"/>
              </w:rPr>
              <w:br/>
            </w:r>
            <w:r w:rsidRPr="00CB2EC4">
              <w:rPr>
                <w:rFonts w:ascii="Times New Roman" w:hAnsi="Times New Roman" w:cs="Times New Roman"/>
              </w:rPr>
              <w:br/>
              <w:t xml:space="preserve">- **Key Differences:**  </w:t>
            </w:r>
            <w:r w:rsidRPr="00CB2EC4">
              <w:rPr>
                <w:rFonts w:ascii="Times New Roman" w:hAnsi="Times New Roman" w:cs="Times New Roman"/>
              </w:rPr>
              <w:br/>
              <w:t xml:space="preserve">  1. **Method of Dissecting the Lateral Rectal Space:**  </w:t>
            </w:r>
            <w:r w:rsidRPr="00CB2EC4">
              <w:rPr>
                <w:rFonts w:ascii="Times New Roman" w:hAnsi="Times New Roman" w:cs="Times New Roman"/>
              </w:rPr>
              <w:br/>
              <w:t xml:space="preserve">     - **Latzko:** Divides into the Upper Chamber (cranial to the ureter) and Lower Chamber (at the level of the levator ani fascia). The Upper Chamber is opened lateral to the ureter to expose the origin of the transverse cervical ligament; the Lower Chamber is opened at the levator ani fascia (Section 2; Section 3, Table 15).  </w:t>
            </w:r>
            <w:r w:rsidRPr="00CB2EC4">
              <w:rPr>
                <w:rFonts w:ascii="Times New Roman" w:hAnsi="Times New Roman" w:cs="Times New Roman"/>
              </w:rPr>
              <w:br/>
              <w:t xml:space="preserve">     - **Okabayashi:** Dissects a single lateral rectal space medial to the ureter (Okabayashi lateral rectal space), emphasizing visceral-side dissection; the Lower Chamber component is not explicitly documented (Section 3, Table 15; Section 6).  </w:t>
            </w:r>
            <w:r w:rsidRPr="00CB2EC4">
              <w:rPr>
                <w:rFonts w:ascii="Times New Roman" w:hAnsi="Times New Roman" w:cs="Times New Roman"/>
              </w:rPr>
              <w:br/>
            </w:r>
            <w:r w:rsidRPr="00CB2EC4">
              <w:rPr>
                <w:rFonts w:ascii="Times New Roman" w:hAnsi="Times New Roman" w:cs="Times New Roman"/>
              </w:rPr>
              <w:br/>
              <w:t xml:space="preserve">  2. **Handling of the Vesicouterine Ligament:**  </w:t>
            </w:r>
            <w:r w:rsidRPr="00CB2EC4">
              <w:rPr>
                <w:rFonts w:ascii="Times New Roman" w:hAnsi="Times New Roman" w:cs="Times New Roman"/>
              </w:rPr>
              <w:br/>
              <w:t xml:space="preserve">     - **Latzko:** Lacks a clear layered concept; the vesicouterine ligament is treated as the roof of the ureteral tunnel, similar to the Wertheim approach, with no corresponding posterior layer design (Section 3, Table 15).  </w:t>
            </w:r>
            <w:r w:rsidRPr="00CB2EC4">
              <w:rPr>
                <w:rFonts w:ascii="Times New Roman" w:hAnsi="Times New Roman" w:cs="Times New Roman"/>
              </w:rPr>
              <w:br/>
            </w:r>
            <w:r w:rsidRPr="00CB2EC4">
              <w:rPr>
                <w:rFonts w:ascii="Times New Roman" w:hAnsi="Times New Roman" w:cs="Times New Roman"/>
              </w:rPr>
              <w:lastRenderedPageBreak/>
              <w:t xml:space="preserve">     - **Okabayashi:** Divided into anterior leaf (equivalent to the ureteral tunnel roof) and posterior leaf (containing the vesicocervical ligament); posterior layer division may allow nerve preservation (Section 3, Table 15; Section 7).  </w:t>
            </w:r>
            <w:r w:rsidRPr="00CB2EC4">
              <w:rPr>
                <w:rFonts w:ascii="Times New Roman" w:hAnsi="Times New Roman" w:cs="Times New Roman"/>
              </w:rPr>
              <w:br/>
            </w:r>
            <w:r w:rsidRPr="00CB2EC4">
              <w:rPr>
                <w:rFonts w:ascii="Times New Roman" w:hAnsi="Times New Roman" w:cs="Times New Roman"/>
              </w:rPr>
              <w:br/>
              <w:t xml:space="preserve">  3. **Resection of the Cardinal Ligament:**  </w:t>
            </w:r>
            <w:r w:rsidRPr="00CB2EC4">
              <w:rPr>
                <w:rFonts w:ascii="Times New Roman" w:hAnsi="Times New Roman" w:cs="Times New Roman"/>
              </w:rPr>
              <w:br/>
              <w:t xml:space="preserve">     - **Latzko:** Resected en bloc, extending to the greater sciatic foramen, involving the levator ani fascia (Section 2; Section 3, Table 15).  </w:t>
            </w:r>
            <w:r w:rsidRPr="00CB2EC4">
              <w:rPr>
                <w:rFonts w:ascii="Times New Roman" w:hAnsi="Times New Roman" w:cs="Times New Roman"/>
              </w:rPr>
              <w:br/>
              <w:t xml:space="preserve">     - **Okabayashi:** Resected at the level of the iliac fossa, only up to the height of the levator ani fascia, providing a basis for nerve preservation (Section 3, Table 15; Section 4).  </w:t>
            </w:r>
            <w:r w:rsidRPr="00CB2EC4">
              <w:rPr>
                <w:rFonts w:ascii="Times New Roman" w:hAnsi="Times New Roman" w:cs="Times New Roman"/>
              </w:rPr>
              <w:br/>
            </w:r>
            <w:r w:rsidRPr="00CB2EC4">
              <w:rPr>
                <w:rFonts w:ascii="Times New Roman" w:hAnsi="Times New Roman" w:cs="Times New Roman"/>
              </w:rPr>
              <w:br/>
              <w:t xml:space="preserve">  4. **Dissection of Parametrial Connective Tissue:**  </w:t>
            </w:r>
            <w:r w:rsidRPr="00CB2EC4">
              <w:rPr>
                <w:rFonts w:ascii="Times New Roman" w:hAnsi="Times New Roman" w:cs="Times New Roman"/>
              </w:rPr>
              <w:br/>
              <w:t xml:space="preserve">     - **Latzko:** Excises the levator ani fascia and vaginal surrounding tissue, expanding the resection range (Section 3, Table 15).  </w:t>
            </w:r>
            <w:r w:rsidRPr="00CB2EC4">
              <w:rPr>
                <w:rFonts w:ascii="Times New Roman" w:hAnsi="Times New Roman" w:cs="Times New Roman"/>
              </w:rPr>
              <w:br/>
              <w:t xml:space="preserve">     - **Okabayashi:** Excises only the vaginal surrounding connective tissue via the lateral vaginal space, reducing nerve injury (Section 3, Table 15).  </w:t>
            </w:r>
            <w:r w:rsidRPr="00CB2EC4">
              <w:rPr>
                <w:rFonts w:ascii="Times New Roman" w:hAnsi="Times New Roman" w:cs="Times New Roman"/>
              </w:rPr>
              <w:br/>
            </w:r>
            <w:r w:rsidRPr="00CB2EC4">
              <w:rPr>
                <w:rFonts w:ascii="Times New Roman" w:hAnsi="Times New Roman" w:cs="Times New Roman"/>
              </w:rPr>
              <w:br/>
              <w:t xml:space="preserve">  5. **Surgical Sequence:**  </w:t>
            </w:r>
            <w:r w:rsidRPr="00CB2EC4">
              <w:rPr>
                <w:rFonts w:ascii="Times New Roman" w:hAnsi="Times New Roman" w:cs="Times New Roman"/>
              </w:rPr>
              <w:br/>
              <w:t xml:space="preserve">     - **Latzko:** Anterior retinaculum → middle retinaculum → posterior retinaculum; lymphadenectomy performed first (Section 2).  </w:t>
            </w:r>
            <w:r w:rsidRPr="00CB2EC4">
              <w:rPr>
                <w:rFonts w:ascii="Times New Roman" w:hAnsi="Times New Roman" w:cs="Times New Roman"/>
              </w:rPr>
              <w:br/>
              <w:t xml:space="preserve">     - **Okabayashi:** Posterior retinaculum → middle retinaculum → anterior retinaculum; lymphadenectomy performed last (Section 3, Table 15).  </w:t>
            </w:r>
            <w:r w:rsidRPr="00CB2EC4">
              <w:rPr>
                <w:rFonts w:ascii="Times New Roman" w:hAnsi="Times New Roman" w:cs="Times New Roman"/>
              </w:rPr>
              <w:br/>
            </w:r>
            <w:r w:rsidRPr="00CB2EC4">
              <w:rPr>
                <w:rFonts w:ascii="Times New Roman" w:hAnsi="Times New Roman" w:cs="Times New Roman"/>
              </w:rPr>
              <w:br/>
              <w:t xml:space="preserve">- **Other:** Latzko is influenced by traditional European anatomy; Okabayashi is more freely </w:t>
            </w:r>
            <w:r w:rsidRPr="00CB2EC4">
              <w:rPr>
                <w:rFonts w:ascii="Times New Roman" w:hAnsi="Times New Roman" w:cs="Times New Roman"/>
              </w:rPr>
              <w:lastRenderedPageBreak/>
              <w:t>innovative. The differences stem from distinct anatomical foundations (Section 3).</w:t>
            </w:r>
          </w:p>
        </w:tc>
        <w:tc>
          <w:tcPr>
            <w:tcW w:w="1152" w:type="dxa"/>
            <w:vAlign w:val="center"/>
          </w:tcPr>
          <w:p w14:paraId="6E171A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75744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F712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D57CF1" w14:textId="77777777">
        <w:tc>
          <w:tcPr>
            <w:tcW w:w="2160" w:type="dxa"/>
            <w:vAlign w:val="center"/>
          </w:tcPr>
          <w:p w14:paraId="573D955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70974ED8"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differences between the Latzko and Okabayashi procedures? Please briefly describe the distinctions between the two.</w:t>
            </w:r>
            <w:r w:rsidRPr="00CB2EC4">
              <w:rPr>
                <w:rFonts w:ascii="Times New Roman" w:hAnsi="Times New Roman" w:cs="Times New Roman"/>
              </w:rPr>
              <w:br/>
            </w:r>
            <w:r w:rsidRPr="00CB2EC4">
              <w:rPr>
                <w:rFonts w:ascii="Times New Roman" w:hAnsi="Times New Roman" w:cs="Times New Roman"/>
              </w:rPr>
              <w:br/>
              <w:t>- **Latzko procedure**: Originating in Europe, it emphasizes radical resection of parametrial tissues, including the transverse cervical and uterosacral ligaments, with less focus on nerve preservation. The surgical approach is more direct, prioritizing control of parametrial vessels early, which increases the risk of injury to pelvic autonomic nerves and postoperative bladder dysfunction.</w:t>
            </w:r>
            <w:r w:rsidRPr="00CB2EC4">
              <w:rPr>
                <w:rFonts w:ascii="Times New Roman" w:hAnsi="Times New Roman" w:cs="Times New Roman"/>
              </w:rPr>
              <w:br/>
            </w:r>
            <w:r w:rsidRPr="00CB2EC4">
              <w:rPr>
                <w:rFonts w:ascii="Times New Roman" w:hAnsi="Times New Roman" w:cs="Times New Roman"/>
              </w:rPr>
              <w:br/>
              <w:t>- **Okabayashi procedure**: Developed in Japan, it prioritizes nerve preservation and meticulous anatomical dissection. The key difference lies in first identifying and preserving the pelvic autonomic nerves (such as the inferior hypogastric plexus) before ligating ligaments. The steps are more systematic, involving blunt dissection of the bladder and rectum to minimize nerve damage. The Okabayashi procedure offers better protection of bladder function.</w:t>
            </w:r>
            <w:r w:rsidRPr="00CB2EC4">
              <w:rPr>
                <w:rFonts w:ascii="Times New Roman" w:hAnsi="Times New Roman" w:cs="Times New Roman"/>
              </w:rPr>
              <w:br/>
            </w:r>
            <w:r w:rsidRPr="00CB2EC4">
              <w:rPr>
                <w:rFonts w:ascii="Times New Roman" w:hAnsi="Times New Roman" w:cs="Times New Roman"/>
              </w:rPr>
              <w:br/>
              <w:t>- **Core difference**: The Latzko procedure focuses on radical resection, while the Okabayashi procedure prioritizes nerve preservation; the latter is more suitable for early-stage cervical cancer patients to reduce complications.</w:t>
            </w:r>
          </w:p>
        </w:tc>
        <w:tc>
          <w:tcPr>
            <w:tcW w:w="1152" w:type="dxa"/>
            <w:vAlign w:val="center"/>
          </w:tcPr>
          <w:p w14:paraId="77B8BA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4DDF1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1955B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AD39853" w14:textId="77777777">
        <w:tc>
          <w:tcPr>
            <w:tcW w:w="10656" w:type="dxa"/>
            <w:gridSpan w:val="5"/>
            <w:tcBorders>
              <w:bottom w:val="single" w:sz="6" w:space="0" w:color="auto"/>
            </w:tcBorders>
            <w:vAlign w:val="center"/>
          </w:tcPr>
          <w:p w14:paraId="3E270ABC"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110: How is the vesicouterine ligament dissected and transected in the Okabayashi operation?</w:t>
            </w:r>
          </w:p>
        </w:tc>
      </w:tr>
      <w:tr w:rsidR="00922249" w:rsidRPr="00CB2EC4" w14:paraId="75D05A70" w14:textId="77777777">
        <w:tc>
          <w:tcPr>
            <w:tcW w:w="2160" w:type="dxa"/>
            <w:vAlign w:val="center"/>
          </w:tcPr>
          <w:p w14:paraId="228793A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6392080"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and cut the vesicouterine ligament in the Okabayashi method</w:t>
            </w:r>
            <w:r w:rsidRPr="00CB2EC4">
              <w:rPr>
                <w:rFonts w:ascii="Times New Roman" w:hAnsi="Times New Roman" w:cs="Times New Roman"/>
              </w:rPr>
              <w:br/>
            </w:r>
            <w:r w:rsidRPr="00CB2EC4">
              <w:rPr>
                <w:rFonts w:ascii="Times New Roman" w:hAnsi="Times New Roman" w:cs="Times New Roman"/>
              </w:rPr>
              <w:lastRenderedPageBreak/>
              <w:br/>
              <w:t>- Separation method:</w:t>
            </w:r>
            <w:r w:rsidRPr="00CB2EC4">
              <w:rPr>
                <w:rFonts w:ascii="Times New Roman" w:hAnsi="Times New Roman" w:cs="Times New Roman"/>
              </w:rPr>
              <w:br/>
              <w:t xml:space="preserve">  - First, divide the vesicouterine ligament into an anterior layer and a posterior layer. The anterior layer connects the cervix and the bladder (equivalent to the roof of the ureteric tunnel), and the posterior layer connects the transverse cervical ligament and the bladder (also known as the vesicovaginal ligament).</w:t>
            </w:r>
            <w:r w:rsidRPr="00CB2EC4">
              <w:rPr>
                <w:rFonts w:ascii="Times New Roman" w:hAnsi="Times New Roman" w:cs="Times New Roman"/>
              </w:rPr>
              <w:br/>
              <w:t xml:space="preserve">  - Separate the ligament by developing the lateral vaginal space: during surgery, expand the lateral vaginal space (located between the vesicovaginal space and the paravaginal tissue), retract with a retractor toward the ventral side to expose the taut ligament.</w:t>
            </w:r>
            <w:r w:rsidRPr="00CB2EC4">
              <w:rPr>
                <w:rFonts w:ascii="Times New Roman" w:hAnsi="Times New Roman" w:cs="Times New Roman"/>
              </w:rPr>
              <w:br/>
              <w:t xml:space="preserve">  - Specific procedure: after developing the entrance of the ureteric tunnel, separate the ureteric plate, identify the layers of the ligament. The anterior layer is above the ureter, and the posterior layer is deep and related to the neural part.</w:t>
            </w:r>
            <w:r w:rsidRPr="00CB2EC4">
              <w:rPr>
                <w:rFonts w:ascii="Times New Roman" w:hAnsi="Times New Roman" w:cs="Times New Roman"/>
              </w:rPr>
              <w:br/>
              <w:t>- Cutting method:</w:t>
            </w:r>
            <w:r w:rsidRPr="00CB2EC4">
              <w:rPr>
                <w:rFonts w:ascii="Times New Roman" w:hAnsi="Times New Roman" w:cs="Times New Roman"/>
              </w:rPr>
              <w:br/>
              <w:t xml:space="preserve">  - Anterior layer: after separation, cut directly with an instrument (such as LigaSure or scissors), equivalent to handling the roof of the ureteric tunnel.</w:t>
            </w:r>
            <w:r w:rsidRPr="00CB2EC4">
              <w:rPr>
                <w:rFonts w:ascii="Times New Roman" w:hAnsi="Times New Roman" w:cs="Times New Roman"/>
              </w:rPr>
              <w:br/>
              <w:t xml:space="preserve">  - Posterior layer: cut carefully to avoid injury to the bladder nerve branches (which course through the neural part of the posterior layer). During the procedure, confirm the position of the superior vesical vein; the nerve branches often accompany it, so preserve the neural part and cut only the vascular part.</w:t>
            </w:r>
            <w:r w:rsidRPr="00CB2EC4">
              <w:rPr>
                <w:rFonts w:ascii="Times New Roman" w:hAnsi="Times New Roman" w:cs="Times New Roman"/>
              </w:rPr>
              <w:br/>
              <w:t xml:space="preserve">- Purpose: this separation allows preservation of the bladder nerve branches, reducing postoperative bladder atony (the text emphasizes that the Okabayashi method lays the foundation for nerve-sparing surgery, e.g., "the development of the lateral </w:t>
            </w:r>
            <w:r w:rsidRPr="00CB2EC4">
              <w:rPr>
                <w:rFonts w:ascii="Times New Roman" w:hAnsi="Times New Roman" w:cs="Times New Roman"/>
              </w:rPr>
              <w:lastRenderedPageBreak/>
              <w:t>vaginal space cannot omit separation of the posterior layer of the vesicouterine ligament").</w:t>
            </w:r>
          </w:p>
        </w:tc>
        <w:tc>
          <w:tcPr>
            <w:tcW w:w="1152" w:type="dxa"/>
            <w:vAlign w:val="center"/>
          </w:tcPr>
          <w:p w14:paraId="18A0A1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55B8F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4957C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AE995AE" w14:textId="77777777">
        <w:tc>
          <w:tcPr>
            <w:tcW w:w="2160" w:type="dxa"/>
            <w:vAlign w:val="center"/>
          </w:tcPr>
          <w:p w14:paraId="552A816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5AB36366"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and Transect the Vesicouterine Ligament in the Okabayashi Surgery</w:t>
            </w:r>
            <w:r w:rsidRPr="00CB2EC4">
              <w:rPr>
                <w:rFonts w:ascii="Times New Roman" w:hAnsi="Times New Roman" w:cs="Times New Roman"/>
              </w:rPr>
              <w:br/>
            </w:r>
            <w:r w:rsidRPr="00CB2EC4">
              <w:rPr>
                <w:rFonts w:ascii="Times New Roman" w:hAnsi="Times New Roman" w:cs="Times New Roman"/>
              </w:rPr>
              <w:br/>
              <w:t>The separation and transection of the vesicouterine ligament in the Okabayashi surgery is a core step, requiring layered dissection to preserve nerves. The specific procedure is as follows:</w:t>
            </w:r>
            <w:r w:rsidRPr="00CB2EC4">
              <w:rPr>
                <w:rFonts w:ascii="Times New Roman" w:hAnsi="Times New Roman" w:cs="Times New Roman"/>
              </w:rPr>
              <w:br/>
            </w:r>
            <w:r w:rsidRPr="00CB2EC4">
              <w:rPr>
                <w:rFonts w:ascii="Times New Roman" w:hAnsi="Times New Roman" w:cs="Times New Roman"/>
              </w:rPr>
              <w:br/>
              <w:t>-   Separation Steps:</w:t>
            </w:r>
            <w:r w:rsidRPr="00CB2EC4">
              <w:rPr>
                <w:rFonts w:ascii="Times New Roman" w:hAnsi="Times New Roman" w:cs="Times New Roman"/>
              </w:rPr>
              <w:br/>
              <w:t xml:space="preserve">    1.  Develop the paravaginal space: First, open the paravaginal space located between the bladder, vagina, and cervix to create space for ligament separation (Block Topic: Vesicouterine Ligament Handling Techniques, Block Number: 190; Block Topic: Key Points of Nerve-Sparing Radical Hysterectomy, Block Number: 156).</w:t>
            </w:r>
            <w:r w:rsidRPr="00CB2EC4">
              <w:rPr>
                <w:rFonts w:ascii="Times New Roman" w:hAnsi="Times New Roman" w:cs="Times New Roman"/>
              </w:rPr>
              <w:br/>
              <w:t xml:space="preserve">    2.  Separate the anterior leaf of the vesicouterine ligament: The anterior leaf corresponds to the roof of the ureteral tunnel. Use Kelly clamps or LigaSure to separate it along the direction of the ureteral entrance, dividing it into 2-3 segments for transection and ligation. This step requires avoiding injury to the deep uterine veins (Block Topic: Vesicouterine Ligament Separation Techniques, Block Number: 197; Block Topic: How to Separate and Transect the Vesicouterine Ligament in the Okabayashi Surgery, Block Number: 190).</w:t>
            </w:r>
            <w:r w:rsidRPr="00CB2EC4">
              <w:rPr>
                <w:rFonts w:ascii="Times New Roman" w:hAnsi="Times New Roman" w:cs="Times New Roman"/>
              </w:rPr>
              <w:br/>
              <w:t xml:space="preserve">    3.  Mobilize the ureter: After transecting the anterior leaf, the ureter and the loose connective tissue beneath it (deep layer of the vesicouterine ligament) are exposed. Gently mobilize the ureter to reveal the posterior leaf (Block Topic: Vesicouterine Ligament </w:t>
            </w:r>
            <w:r w:rsidRPr="00CB2EC4">
              <w:rPr>
                <w:rFonts w:ascii="Times New Roman" w:hAnsi="Times New Roman" w:cs="Times New Roman"/>
              </w:rPr>
              <w:lastRenderedPageBreak/>
              <w:t>Separation Techniques, Block Number: 197).</w:t>
            </w:r>
            <w:r w:rsidRPr="00CB2EC4">
              <w:rPr>
                <w:rFonts w:ascii="Times New Roman" w:hAnsi="Times New Roman" w:cs="Times New Roman"/>
              </w:rPr>
              <w:br/>
              <w:t xml:space="preserve">    4.  Handle the posterior leaf of the vesicouterine ligament: The posterior leaf consists of the deep layer and the caudal reflex portion of the cardinal ligament. Insert a Kelly clamp from the paravaginal space, pass it through the deep layer, and bring it out from below the inferior vesical vein. During separation, identify and preserve the nervous part (vesical branches), transecting only the vascular part (such as the inferior vesical vein) (Block Topic: Anatomical Perspective of the Vesicouterine Ligament, Block Number: 192; Block Topic: Vesicouterine Ligament Separation Techniques, Block Number: 197).</w:t>
            </w:r>
            <w:r w:rsidRPr="00CB2EC4">
              <w:rPr>
                <w:rFonts w:ascii="Times New Roman" w:hAnsi="Times New Roman" w:cs="Times New Roman"/>
              </w:rPr>
              <w:br/>
            </w:r>
            <w:r w:rsidRPr="00CB2EC4">
              <w:rPr>
                <w:rFonts w:ascii="Times New Roman" w:hAnsi="Times New Roman" w:cs="Times New Roman"/>
              </w:rPr>
              <w:br/>
              <w:t>-   Transection Methods:</w:t>
            </w:r>
            <w:r w:rsidRPr="00CB2EC4">
              <w:rPr>
                <w:rFonts w:ascii="Times New Roman" w:hAnsi="Times New Roman" w:cs="Times New Roman"/>
              </w:rPr>
              <w:br/>
              <w:t xml:space="preserve">    -   Anterior leaf: After clamping with straight clamps, transect it segmentally using electrocautery or LigaSure to reduce bleeding (Block Topic: Vesicouterine Ligament Handling Techniques, Block Number: 190).</w:t>
            </w:r>
            <w:r w:rsidRPr="00CB2EC4">
              <w:rPr>
                <w:rFonts w:ascii="Times New Roman" w:hAnsi="Times New Roman" w:cs="Times New Roman"/>
              </w:rPr>
              <w:br/>
              <w:t xml:space="preserve">    -   Posterior leaf: After confirming the course of the nerves, separate and transect the vascular part using LigaSure or an ultrasonic scalpel, while preserving the nervous part. This step is emphasized as key to nerve preservation (Block Topic: Key Points of Nerve-Sparing Radical Hysterectomy, Block Number: 156; Block Topic: Nerve-Preserving Dissection in Radical Hysterectomy, Block Number: 533).</w:t>
            </w:r>
            <w:r w:rsidRPr="00CB2EC4">
              <w:rPr>
                <w:rFonts w:ascii="Times New Roman" w:hAnsi="Times New Roman" w:cs="Times New Roman"/>
              </w:rPr>
              <w:br/>
            </w:r>
            <w:r w:rsidRPr="00CB2EC4">
              <w:rPr>
                <w:rFonts w:ascii="Times New Roman" w:hAnsi="Times New Roman" w:cs="Times New Roman"/>
              </w:rPr>
              <w:br/>
              <w:t>-   Purpose: This method allows for independent handling of each layer, reducing bleeding and protecting bladder function (Block Topic: How to Separate and Transect the Vesicouterine Ligament in the Okabayashi Surgery, Block Number: 190).</w:t>
            </w:r>
            <w:r w:rsidRPr="00CB2EC4">
              <w:rPr>
                <w:rFonts w:ascii="Times New Roman" w:hAnsi="Times New Roman" w:cs="Times New Roman"/>
              </w:rPr>
              <w:br/>
            </w:r>
            <w:r w:rsidRPr="00CB2EC4">
              <w:rPr>
                <w:rFonts w:ascii="Times New Roman" w:hAnsi="Times New Roman" w:cs="Times New Roman"/>
              </w:rPr>
              <w:lastRenderedPageBreak/>
              <w:br/>
              <w:t>Literature indicates that this technique within the Okabayashi surgery is unique and can enhance surgical safety and organ function preservation (Block Topic: Analysis of Radical Hysterectomy, Block Number: 150).</w:t>
            </w:r>
          </w:p>
        </w:tc>
        <w:tc>
          <w:tcPr>
            <w:tcW w:w="1152" w:type="dxa"/>
            <w:vAlign w:val="center"/>
          </w:tcPr>
          <w:p w14:paraId="2EF91A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56BD7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53630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6D855F0" w14:textId="77777777">
        <w:tc>
          <w:tcPr>
            <w:tcW w:w="2160" w:type="dxa"/>
            <w:vAlign w:val="center"/>
          </w:tcPr>
          <w:p w14:paraId="6E201BC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60D5E2E0"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and cut the pubovesical ligament in the Okabayashi method?</w:t>
            </w:r>
            <w:r w:rsidRPr="00CB2EC4">
              <w:rPr>
                <w:rFonts w:ascii="Times New Roman" w:hAnsi="Times New Roman" w:cs="Times New Roman"/>
              </w:rPr>
              <w:br/>
            </w:r>
            <w:r w:rsidRPr="00CB2EC4">
              <w:rPr>
                <w:rFonts w:ascii="Times New Roman" w:hAnsi="Times New Roman" w:cs="Times New Roman"/>
              </w:rPr>
              <w:br/>
              <w:t xml:space="preserve">The Okabayashi method divides the pubovesical ligament into anterior and posterior layers for processing. The specific steps are based on document fragments 7, 11, 28, and 59:  </w:t>
            </w:r>
            <w:r w:rsidRPr="00CB2EC4">
              <w:rPr>
                <w:rFonts w:ascii="Times New Roman" w:hAnsi="Times New Roman" w:cs="Times New Roman"/>
              </w:rPr>
              <w:br/>
              <w:t xml:space="preserve">- Separation and cutting of the anterior layer (superficial layer) of the pubovesical ligament:  </w:t>
            </w:r>
            <w:r w:rsidRPr="00CB2EC4">
              <w:rPr>
                <w:rFonts w:ascii="Times New Roman" w:hAnsi="Times New Roman" w:cs="Times New Roman"/>
              </w:rPr>
              <w:br/>
              <w:t xml:space="preserve">  - First, dissect the ureteral tunnel (the space between the ureter and cervix) to expose the roof of the ureteral tunnel (equivalent to the anterior layer) (document fragments 18, 59).  </w:t>
            </w:r>
            <w:r w:rsidRPr="00CB2EC4">
              <w:rPr>
                <w:rFonts w:ascii="Times New Roman" w:hAnsi="Times New Roman" w:cs="Times New Roman"/>
              </w:rPr>
              <w:br/>
              <w:t xml:space="preserve">  - Insert an instrument (e.g., Kelly clamp or LigaSure) to clamp, cut, and ligate the anterior layer in 2–3 segments. The anterior layer contains branches of the uterine artery and vascular connections to the bladder (such as the descending uterine venous plexus), which require coagulation or ligation of bleeding points (document fragment 28).  </w:t>
            </w:r>
            <w:r w:rsidRPr="00CB2EC4">
              <w:rPr>
                <w:rFonts w:ascii="Times New Roman" w:hAnsi="Times New Roman" w:cs="Times New Roman"/>
              </w:rPr>
              <w:br/>
              <w:t xml:space="preserve">  - During the procedure, displace the ureter upward (ventrally) and dissect it from the deep aspect of the pubovesical ligament (document fragment 12).  </w:t>
            </w:r>
            <w:r w:rsidRPr="00CB2EC4">
              <w:rPr>
                <w:rFonts w:ascii="Times New Roman" w:hAnsi="Times New Roman" w:cs="Times New Roman"/>
              </w:rPr>
              <w:br/>
              <w:t xml:space="preserve">- Separation and cutting of the posterior layer (deep layer) of the pubovesical ligament:  </w:t>
            </w:r>
            <w:r w:rsidRPr="00CB2EC4">
              <w:rPr>
                <w:rFonts w:ascii="Times New Roman" w:hAnsi="Times New Roman" w:cs="Times New Roman"/>
              </w:rPr>
              <w:br/>
              <w:t xml:space="preserve">  - Dissect the paravaginal space (the space between the uterine cervix and ureter) to facilitate exposure of the posterior layer (document fragments 11, 39).  </w:t>
            </w:r>
            <w:r w:rsidRPr="00CB2EC4">
              <w:rPr>
                <w:rFonts w:ascii="Times New Roman" w:hAnsi="Times New Roman" w:cs="Times New Roman"/>
              </w:rPr>
              <w:br/>
            </w:r>
            <w:r w:rsidRPr="00CB2EC4">
              <w:rPr>
                <w:rFonts w:ascii="Times New Roman" w:hAnsi="Times New Roman" w:cs="Times New Roman"/>
              </w:rPr>
              <w:lastRenderedPageBreak/>
              <w:t xml:space="preserve">  - Insert a Kelly clamp from the paravaginal space, avoiding the bladder nerve branches (located dorsolateral to the superior vesical vein), then pass it out below the superior vesical vein, clamp, cut, and ligate the posterior tissue bundle (document fragments 11, 30).  </w:t>
            </w:r>
            <w:r w:rsidRPr="00CB2EC4">
              <w:rPr>
                <w:rFonts w:ascii="Times New Roman" w:hAnsi="Times New Roman" w:cs="Times New Roman"/>
              </w:rPr>
              <w:br/>
              <w:t xml:space="preserve">  - Alternative method: Perforate and dissect from the bladder pararectal space toward the paravaginal space using a finger or clamp (document fragment 11). The posterior layer contains the vesicocervical ligament (vascular and neural parts); the procedure is designed to cut only the vascular part (e.g., superior vesical vein) while preserving the neural part to protect bladder function (document fragments 21, 30).  </w:t>
            </w:r>
            <w:r w:rsidRPr="00CB2EC4">
              <w:rPr>
                <w:rFonts w:ascii="Times New Roman" w:hAnsi="Times New Roman" w:cs="Times New Roman"/>
              </w:rPr>
              <w:br/>
              <w:t xml:space="preserve">- Key considerations:  </w:t>
            </w:r>
            <w:r w:rsidRPr="00CB2EC4">
              <w:rPr>
                <w:rFonts w:ascii="Times New Roman" w:hAnsi="Times New Roman" w:cs="Times New Roman"/>
              </w:rPr>
              <w:br/>
              <w:t xml:space="preserve">  - Ensure dissection of the posterior layer is performed from the paravaginal space to avoid injury to the bladder nerve branches (document fragment 11).  </w:t>
            </w:r>
            <w:r w:rsidRPr="00CB2EC4">
              <w:rPr>
                <w:rFonts w:ascii="Times New Roman" w:hAnsi="Times New Roman" w:cs="Times New Roman"/>
              </w:rPr>
              <w:br/>
              <w:t xml:space="preserve">  - The Okabayashi method is referred to as "opening the book" or "double-door," facilitating exposure of the paracolpium (document fragment 11).  </w:t>
            </w:r>
            <w:r w:rsidRPr="00CB2EC4">
              <w:rPr>
                <w:rFonts w:ascii="Times New Roman" w:hAnsi="Times New Roman" w:cs="Times New Roman"/>
              </w:rPr>
              <w:br/>
              <w:t xml:space="preserve">  - Overall sequence: Process the anterior layer first, then address the posterior layer via the paravaginal space (document fragment 59).</w:t>
            </w:r>
          </w:p>
        </w:tc>
        <w:tc>
          <w:tcPr>
            <w:tcW w:w="1152" w:type="dxa"/>
            <w:vAlign w:val="center"/>
          </w:tcPr>
          <w:p w14:paraId="086D9F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09BB2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2001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D0B21EF" w14:textId="77777777">
        <w:tc>
          <w:tcPr>
            <w:tcW w:w="2160" w:type="dxa"/>
            <w:vAlign w:val="center"/>
          </w:tcPr>
          <w:p w14:paraId="346590D6"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7722182"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and cut the vesicouterine ligament in the Okabayashi procedure?</w:t>
            </w:r>
            <w:r w:rsidRPr="00CB2EC4">
              <w:rPr>
                <w:rFonts w:ascii="Times New Roman" w:hAnsi="Times New Roman" w:cs="Times New Roman"/>
              </w:rPr>
              <w:br/>
            </w:r>
            <w:r w:rsidRPr="00CB2EC4">
              <w:rPr>
                <w:rFonts w:ascii="Times New Roman" w:hAnsi="Times New Roman" w:cs="Times New Roman"/>
              </w:rPr>
              <w:br/>
              <w:t>Knowledge base document (core basis):</w:t>
            </w:r>
            <w:r w:rsidRPr="00CB2EC4">
              <w:rPr>
                <w:rFonts w:ascii="Times New Roman" w:hAnsi="Times New Roman" w:cs="Times New Roman"/>
              </w:rPr>
              <w:br/>
              <w:t>- Layered management:</w:t>
            </w:r>
            <w:r w:rsidRPr="00CB2EC4">
              <w:rPr>
                <w:rFonts w:ascii="Times New Roman" w:hAnsi="Times New Roman" w:cs="Times New Roman"/>
              </w:rPr>
              <w:br/>
              <w:t xml:space="preserve">  1. Anterior layer (vascular part): Contains branches of the uterine artery, cut directly (Fig. 36a).</w:t>
            </w:r>
            <w:r w:rsidRPr="00CB2EC4">
              <w:rPr>
                <w:rFonts w:ascii="Times New Roman" w:hAnsi="Times New Roman" w:cs="Times New Roman"/>
              </w:rPr>
              <w:br/>
              <w:t xml:space="preserve">  2. Posterior layer (neurovascular complex):</w:t>
            </w:r>
            <w:r w:rsidRPr="00CB2EC4">
              <w:rPr>
                <w:rFonts w:ascii="Times New Roman" w:hAnsi="Times New Roman" w:cs="Times New Roman"/>
              </w:rPr>
              <w:br/>
              <w:t xml:space="preserve">     - Separate the superior vesical vein (Fig. 155), </w:t>
            </w:r>
            <w:r w:rsidRPr="00CB2EC4">
              <w:rPr>
                <w:rFonts w:ascii="Times New Roman" w:hAnsi="Times New Roman" w:cs="Times New Roman"/>
              </w:rPr>
              <w:lastRenderedPageBreak/>
              <w:t>which runs alongside the vesical nerve branch.</w:t>
            </w:r>
            <w:r w:rsidRPr="00CB2EC4">
              <w:rPr>
                <w:rFonts w:ascii="Times New Roman" w:hAnsi="Times New Roman" w:cs="Times New Roman"/>
              </w:rPr>
              <w:br/>
              <w:t xml:space="preserve">     - Cut only the vascular part, preserve the neural part (Fig. 155b).</w:t>
            </w:r>
            <w:r w:rsidRPr="00CB2EC4">
              <w:rPr>
                <w:rFonts w:ascii="Times New Roman" w:hAnsi="Times New Roman" w:cs="Times New Roman"/>
              </w:rPr>
              <w:br/>
              <w:t>- Key step: Develop the lateral vaginal space to expose the posterior layer structure (Fig. 161b).</w:t>
            </w:r>
            <w:r w:rsidRPr="00CB2EC4">
              <w:rPr>
                <w:rFonts w:ascii="Times New Roman" w:hAnsi="Times New Roman" w:cs="Times New Roman"/>
              </w:rPr>
              <w:br/>
              <w:t>- Network search results:</w:t>
            </w:r>
            <w:r w:rsidRPr="00CB2EC4">
              <w:rPr>
                <w:rFonts w:ascii="Times New Roman" w:hAnsi="Times New Roman" w:cs="Times New Roman"/>
              </w:rPr>
              <w:br/>
              <w:t xml:space="preserve">  - Mention "cutting the cervical vesical lateral ligament" but do not describe layered dissection, inconsistent with knowledge base details.</w:t>
            </w:r>
            <w:r w:rsidRPr="00CB2EC4">
              <w:rPr>
                <w:rFonts w:ascii="Times New Roman" w:hAnsi="Times New Roman" w:cs="Times New Roman"/>
              </w:rPr>
              <w:br/>
              <w:t>- Conclusion: The Okabayashi technique achieves nerve preservation through layered separation of the posterior layer.</w:t>
            </w:r>
            <w:r w:rsidRPr="00CB2EC4">
              <w:rPr>
                <w:rFonts w:ascii="Times New Roman" w:hAnsi="Times New Roman" w:cs="Times New Roman"/>
              </w:rPr>
              <w:br/>
            </w:r>
            <w:r w:rsidRPr="00CB2EC4">
              <w:rPr>
                <w:rFonts w:ascii="Times New Roman" w:hAnsi="Times New Roman" w:cs="Times New Roman"/>
              </w:rPr>
              <w:br/>
              <w:t>Source of information:</w:t>
            </w:r>
            <w:r w:rsidRPr="00CB2EC4">
              <w:rPr>
                <w:rFonts w:ascii="Times New Roman" w:hAnsi="Times New Roman" w:cs="Times New Roman"/>
              </w:rPr>
              <w:br/>
              <w:t>- Knowledge base document: Provides anatomical details, surgical technique comparisons, and nerve course (e.g., Figs. 13/36a/78b/155).</w:t>
            </w:r>
            <w:r w:rsidRPr="00CB2EC4">
              <w:rPr>
                <w:rFonts w:ascii="Times New Roman" w:hAnsi="Times New Roman" w:cs="Times New Roman"/>
              </w:rPr>
              <w:br/>
              <w:t>- Network search results: Supplement NSRH technical principles (e.g., Trimbos three-step method) but do not cover ligament layering details.</w:t>
            </w:r>
            <w:r w:rsidRPr="00CB2EC4">
              <w:rPr>
                <w:rFonts w:ascii="Times New Roman" w:hAnsi="Times New Roman" w:cs="Times New Roman"/>
              </w:rPr>
              <w:br/>
              <w:t>- Conflict resolution: The network data's "cutting the cervical vesical lateral ligament" conflicts with the knowledge base's "preserving the posterior layer neural part"; the knowledge base is prioritized (based on precise anatomical illustrations).</w:t>
            </w:r>
            <w:r w:rsidRPr="00CB2EC4">
              <w:rPr>
                <w:rFonts w:ascii="Times New Roman" w:hAnsi="Times New Roman" w:cs="Times New Roman"/>
              </w:rPr>
              <w:br/>
            </w:r>
            <w:r w:rsidRPr="00CB2EC4">
              <w:rPr>
                <w:rFonts w:ascii="Times New Roman" w:hAnsi="Times New Roman" w:cs="Times New Roman"/>
              </w:rPr>
              <w:br/>
              <w:t>If you need further discussion on a specific step, you may specify the question number for in-depth analysis.</w:t>
            </w:r>
          </w:p>
        </w:tc>
        <w:tc>
          <w:tcPr>
            <w:tcW w:w="1152" w:type="dxa"/>
            <w:vAlign w:val="center"/>
          </w:tcPr>
          <w:p w14:paraId="307C41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9F563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606C6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6037C04" w14:textId="77777777">
        <w:tc>
          <w:tcPr>
            <w:tcW w:w="2160" w:type="dxa"/>
            <w:vAlign w:val="center"/>
          </w:tcPr>
          <w:p w14:paraId="7F219680"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697B40C"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and cut the vesicouterine ligament in the Okabayashi operation</w:t>
            </w:r>
            <w:r w:rsidRPr="00CB2EC4">
              <w:rPr>
                <w:rFonts w:ascii="Times New Roman" w:hAnsi="Times New Roman" w:cs="Times New Roman"/>
              </w:rPr>
              <w:br/>
            </w:r>
            <w:r w:rsidRPr="00CB2EC4">
              <w:rPr>
                <w:rFonts w:ascii="Times New Roman" w:hAnsi="Times New Roman" w:cs="Times New Roman"/>
              </w:rPr>
              <w:br/>
              <w:t>- Separation method:</w:t>
            </w:r>
            <w:r w:rsidRPr="00CB2EC4">
              <w:rPr>
                <w:rFonts w:ascii="Times New Roman" w:hAnsi="Times New Roman" w:cs="Times New Roman"/>
              </w:rPr>
              <w:br/>
              <w:t xml:space="preserve">  - First, develop the lateral vesical space and the </w:t>
            </w:r>
            <w:r w:rsidRPr="00CB2EC4">
              <w:rPr>
                <w:rFonts w:ascii="Times New Roman" w:hAnsi="Times New Roman" w:cs="Times New Roman"/>
              </w:rPr>
              <w:lastRenderedPageBreak/>
              <w:t>vaginal space to expose the vesicouterine ligament. Okabayashi divides the ligament into an anterior layer and a posterior layer.</w:t>
            </w:r>
            <w:r w:rsidRPr="00CB2EC4">
              <w:rPr>
                <w:rFonts w:ascii="Times New Roman" w:hAnsi="Times New Roman" w:cs="Times New Roman"/>
              </w:rPr>
              <w:br/>
              <w:t xml:space="preserve">  - Anterior layer separation: The anterior layer is the ligament connecting the cervix and bladder (equivalent to the roof of the ureteral tunnel in Western terminology). Use sharp or blunt dissection (e.g., with an electrocautery or scissors) anterior to the ureter to avoid ureteral injury (document fragment 18).</w:t>
            </w:r>
            <w:r w:rsidRPr="00CB2EC4">
              <w:rPr>
                <w:rFonts w:ascii="Times New Roman" w:hAnsi="Times New Roman" w:cs="Times New Roman"/>
              </w:rPr>
              <w:br/>
              <w:t xml:space="preserve">  - Posterior layer separation: The posterior layer is a connective tissue bundle linking the transverse cervical ligament and the bladder (vesicocervical ligament), containing vessels (e.g., superior vesical vein) and nerves (vesical branch). During separation, perform dissection at the caudal reflection point of the transverse cervical ligament, targeting loose connective tissue to separate the vascular and neural components (document fragments 16 and 18).</w:t>
            </w:r>
            <w:r w:rsidRPr="00CB2EC4">
              <w:rPr>
                <w:rFonts w:ascii="Times New Roman" w:hAnsi="Times New Roman" w:cs="Times New Roman"/>
              </w:rPr>
              <w:br/>
              <w:t>- Cutting method:</w:t>
            </w:r>
            <w:r w:rsidRPr="00CB2EC4">
              <w:rPr>
                <w:rFonts w:ascii="Times New Roman" w:hAnsi="Times New Roman" w:cs="Times New Roman"/>
              </w:rPr>
              <w:br/>
              <w:t xml:space="preserve">  - Anterior layer: After exposure, clamp, cut, and ligate directly.</w:t>
            </w:r>
            <w:r w:rsidRPr="00CB2EC4">
              <w:rPr>
                <w:rFonts w:ascii="Times New Roman" w:hAnsi="Times New Roman" w:cs="Times New Roman"/>
              </w:rPr>
              <w:br/>
              <w:t xml:space="preserve">  - Posterior layer: Cut only the vascular portion, preserving the neural portion (e.g., vesical nerve branches). This is achieved by dissecting the loose connective tissue of the vasculonervous triangular area using instruments such as an ultrasonic scalpel or hemostatic forceps (document fragments 4 and 18).</w:t>
            </w:r>
            <w:r w:rsidRPr="00CB2EC4">
              <w:rPr>
                <w:rFonts w:ascii="Times New Roman" w:hAnsi="Times New Roman" w:cs="Times New Roman"/>
              </w:rPr>
              <w:br/>
              <w:t xml:space="preserve">- Purpose: This procedure enables preservation of the pelvic autonomic nerves (especially the vesical branch), reducing postoperative bladder dysfunction while ensuring radicality (document fragment 16). In the step description of document fragment 24, this step is performed after cutting the uterosacral ligament </w:t>
            </w:r>
            <w:r w:rsidRPr="00CB2EC4">
              <w:rPr>
                <w:rFonts w:ascii="Times New Roman" w:hAnsi="Times New Roman" w:cs="Times New Roman"/>
              </w:rPr>
              <w:lastRenderedPageBreak/>
              <w:t>in the Okabayashi operation, emphasizing meticulous technique to avoid venous bleeding.</w:t>
            </w:r>
          </w:p>
        </w:tc>
        <w:tc>
          <w:tcPr>
            <w:tcW w:w="1152" w:type="dxa"/>
            <w:vAlign w:val="center"/>
          </w:tcPr>
          <w:p w14:paraId="44E2FA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2AF73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FE958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62BDBBE" w14:textId="77777777">
        <w:tc>
          <w:tcPr>
            <w:tcW w:w="2160" w:type="dxa"/>
            <w:vAlign w:val="center"/>
          </w:tcPr>
          <w:p w14:paraId="6EB97BD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5CD0F7DE"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and cut the vesicouterine ligament in the Okabayashi operation</w:t>
            </w:r>
            <w:r w:rsidRPr="00CB2EC4">
              <w:rPr>
                <w:rFonts w:ascii="Times New Roman" w:hAnsi="Times New Roman" w:cs="Times New Roman"/>
              </w:rPr>
              <w:br/>
            </w:r>
            <w:r w:rsidRPr="00CB2EC4">
              <w:rPr>
                <w:rFonts w:ascii="Times New Roman" w:hAnsi="Times New Roman" w:cs="Times New Roman"/>
              </w:rPr>
              <w:br/>
              <w:t>Based on contextual information (particularly documents 18, 28, 36a,b), the method for separating and cutting the vesicouterine ligament in the Okabayashi operation is as follows:</w:t>
            </w:r>
            <w:r w:rsidRPr="00CB2EC4">
              <w:rPr>
                <w:rFonts w:ascii="Times New Roman" w:hAnsi="Times New Roman" w:cs="Times New Roman"/>
              </w:rPr>
              <w:br/>
              <w:t xml:space="preserve">- Separation method:  </w:t>
            </w:r>
            <w:r w:rsidRPr="00CB2EC4">
              <w:rPr>
                <w:rFonts w:ascii="Times New Roman" w:hAnsi="Times New Roman" w:cs="Times New Roman"/>
              </w:rPr>
              <w:br/>
              <w:t xml:space="preserve">  - First, develop key spaces: including the paravesical space, paravaginal space, and vesicovaginal space. Development of the paravaginal space is the core step; it lies between the bladder and vagina. By applying traction to the tissue in the ventrodorsal direction, the vesicouterine ligament is exposed (documents 18, 28).  </w:t>
            </w:r>
            <w:r w:rsidRPr="00CB2EC4">
              <w:rPr>
                <w:rFonts w:ascii="Times New Roman" w:hAnsi="Times New Roman" w:cs="Times New Roman"/>
              </w:rPr>
              <w:br/>
              <w:t xml:space="preserve">  - Separate the ligament layers: The vesicouterine ligament is divided into an anterior leaf and a posterior leaf. The anterior leaf corresponds to the roof of the ureteric tunnel and covers the ureter; the posterior leaf connects to the transverse cervical ligament and the bladder, containing vessels (e.g., superior vesical vein) and nerves (vesical branch). During separation, use retractors to pull the vesicovaginal space and paravaginal space ventrally, tensioning the ligament to facilitate identification (documents 18, 28, 36a,b).  </w:t>
            </w:r>
            <w:r w:rsidRPr="00CB2EC4">
              <w:rPr>
                <w:rFonts w:ascii="Times New Roman" w:hAnsi="Times New Roman" w:cs="Times New Roman"/>
              </w:rPr>
              <w:br/>
              <w:t xml:space="preserve">  </w:t>
            </w:r>
            <w:r w:rsidRPr="00CB2EC4">
              <w:rPr>
                <w:rFonts w:ascii="Times New Roman" w:hAnsi="Times New Roman" w:cs="Times New Roman"/>
              </w:rPr>
              <w:br/>
              <w:t xml:space="preserve">- Cutting method:  </w:t>
            </w:r>
            <w:r w:rsidRPr="00CB2EC4">
              <w:rPr>
                <w:rFonts w:ascii="Times New Roman" w:hAnsi="Times New Roman" w:cs="Times New Roman"/>
              </w:rPr>
              <w:br/>
              <w:t xml:space="preserve">  - Anterior leaf cutting: Identify the anterior leaf above the ureter. Carefully cut it using an instrument (e.g., scissors or LigaSure) to avoid ureteral injury. This step is equivalent to opening the ureteric tunnel (documents 18, 28).  </w:t>
            </w:r>
            <w:r w:rsidRPr="00CB2EC4">
              <w:rPr>
                <w:rFonts w:ascii="Times New Roman" w:hAnsi="Times New Roman" w:cs="Times New Roman"/>
              </w:rPr>
              <w:br/>
            </w:r>
            <w:r w:rsidRPr="00CB2EC4">
              <w:rPr>
                <w:rFonts w:ascii="Times New Roman" w:hAnsi="Times New Roman" w:cs="Times New Roman"/>
              </w:rPr>
              <w:lastRenderedPageBreak/>
              <w:t xml:space="preserve">  - Posterior leaf cutting: The posterior leaf is a critical area for nerve preservation. Confirm the course of the superior vesical vein and the vesical branch (the vesical branch often runs parallel to the vein). When cutting, avoid clamping the whole structure; instead, dissect out the neurovascular bundle and cut only the vascular portion (e.g., using an ultrasonic scalpel or LigaSure), preserving the neural portion. For example, cut the posterior leaf under tension to ensure no injury to deep nerves (documents 18, 28, 36b).  </w:t>
            </w:r>
            <w:r w:rsidRPr="00CB2EC4">
              <w:rPr>
                <w:rFonts w:ascii="Times New Roman" w:hAnsi="Times New Roman" w:cs="Times New Roman"/>
              </w:rPr>
              <w:br/>
              <w:t xml:space="preserve">  </w:t>
            </w:r>
            <w:r w:rsidRPr="00CB2EC4">
              <w:rPr>
                <w:rFonts w:ascii="Times New Roman" w:hAnsi="Times New Roman" w:cs="Times New Roman"/>
              </w:rPr>
              <w:br/>
              <w:t xml:space="preserve">- Key precautions:  </w:t>
            </w:r>
            <w:r w:rsidRPr="00CB2EC4">
              <w:rPr>
                <w:rFonts w:ascii="Times New Roman" w:hAnsi="Times New Roman" w:cs="Times New Roman"/>
              </w:rPr>
              <w:br/>
              <w:t xml:space="preserve">  The procedure requires precision and may cause bleeding (e.g., rupture of venous plexus). Avoid excessive traction and pay attention to nerve preservation: the vesical branch runs from the cranial medial to the caudal lateral direction; when cutting the posterior leaf, operate medial to the vesical branch (documents 18, 28). The documents note that Okabayashi’s original method did not specify anatomical details, but this method laid the foundation for subsequent nerve-sparing operations (documents 18, 29).</w:t>
            </w:r>
          </w:p>
        </w:tc>
        <w:tc>
          <w:tcPr>
            <w:tcW w:w="1152" w:type="dxa"/>
            <w:vAlign w:val="center"/>
          </w:tcPr>
          <w:p w14:paraId="57C1D6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259E6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F5B4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7B69E00" w14:textId="77777777">
        <w:tc>
          <w:tcPr>
            <w:tcW w:w="2160" w:type="dxa"/>
            <w:vAlign w:val="center"/>
          </w:tcPr>
          <w:p w14:paraId="7B99DF7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91EB118" w14:textId="77777777" w:rsidR="00922249" w:rsidRPr="00CB2EC4" w:rsidRDefault="003011D5">
            <w:pPr>
              <w:rPr>
                <w:rFonts w:ascii="Times New Roman" w:hAnsi="Times New Roman" w:cs="Times New Roman"/>
              </w:rPr>
            </w:pPr>
            <w:r w:rsidRPr="00CB2EC4">
              <w:rPr>
                <w:rFonts w:ascii="Times New Roman" w:hAnsi="Times New Roman" w:cs="Times New Roman"/>
              </w:rPr>
              <w:t>in the Okabayashi operation, the separation and division of the vesicouterine ligament is a core step. The procedure is detailed as follows:</w:t>
            </w:r>
            <w:r w:rsidRPr="00CB2EC4">
              <w:rPr>
                <w:rFonts w:ascii="Times New Roman" w:hAnsi="Times New Roman" w:cs="Times New Roman"/>
              </w:rPr>
              <w:br/>
            </w:r>
            <w:r w:rsidRPr="00CB2EC4">
              <w:rPr>
                <w:rFonts w:ascii="Times New Roman" w:hAnsi="Times New Roman" w:cs="Times New Roman"/>
              </w:rPr>
              <w:br/>
              <w:t>- **Separation method:**</w:t>
            </w:r>
            <w:r w:rsidRPr="00CB2EC4">
              <w:rPr>
                <w:rFonts w:ascii="Times New Roman" w:hAnsi="Times New Roman" w:cs="Times New Roman"/>
              </w:rPr>
              <w:br/>
              <w:t xml:space="preserve">  - First, divide the vesicouterine ligament into an anterior layer and a posterior layer. The anterior layer connects the cervix and bladder, corresponding to the roof of the ureteric tunnel; the posterior layer (also called the vesicovaginal ligament) connects the transverse cervical ligament and the bladder, </w:t>
            </w:r>
            <w:r w:rsidRPr="00CB2EC4">
              <w:rPr>
                <w:rFonts w:ascii="Times New Roman" w:hAnsi="Times New Roman" w:cs="Times New Roman"/>
              </w:rPr>
              <w:lastRenderedPageBreak/>
              <w:t>containing the superior vesical vein and vesical nerve branches (source: "Okabayashi divided the vesicouterine ligament into anterior and posterior layers", similarity 0.670).</w:t>
            </w:r>
            <w:r w:rsidRPr="00CB2EC4">
              <w:rPr>
                <w:rFonts w:ascii="Times New Roman" w:hAnsi="Times New Roman" w:cs="Times New Roman"/>
              </w:rPr>
              <w:br/>
              <w:t xml:space="preserve">  - During separation, develop the lateral vaginal space (the depression formed between the bladder, ureter, and lateral vaginal margin). Through this space, expose the ligament. Use retractors to pull the bladder and vagina ventrally, tensioning the ligament (source: "Development of the lateral vaginal space is key", similarity 0.565).</w:t>
            </w:r>
            <w:r w:rsidRPr="00CB2EC4">
              <w:rPr>
                <w:rFonts w:ascii="Times New Roman" w:hAnsi="Times New Roman" w:cs="Times New Roman"/>
              </w:rPr>
              <w:br/>
              <w:t xml:space="preserve">  - Specific technique: Incise the posterior leaf of the broad ligament, dissect the ureter, and enter below or behind the ureter to avoid injuring the main uterine artery trunk. Separate loose connective tissue to expose the anterior and posterior layers of the ligament (similarity 0.591).</w:t>
            </w:r>
            <w:r w:rsidRPr="00CB2EC4">
              <w:rPr>
                <w:rFonts w:ascii="Times New Roman" w:hAnsi="Times New Roman" w:cs="Times New Roman"/>
              </w:rPr>
              <w:br/>
            </w:r>
            <w:r w:rsidRPr="00CB2EC4">
              <w:rPr>
                <w:rFonts w:ascii="Times New Roman" w:hAnsi="Times New Roman" w:cs="Times New Roman"/>
              </w:rPr>
              <w:br/>
              <w:t>- **Division method:**</w:t>
            </w:r>
            <w:r w:rsidRPr="00CB2EC4">
              <w:rPr>
                <w:rFonts w:ascii="Times New Roman" w:hAnsi="Times New Roman" w:cs="Times New Roman"/>
              </w:rPr>
              <w:br/>
              <w:t xml:space="preserve">  - Anterior layer division: Operate at the ureteric tunnel portion. Use forceps or electrocautery to transect the anterior layer (equivalent to the roof of the ureteric tunnel), taking care to protect the ureter (source: "The anterior layer is the ligament connecting the cervix and bladder", similarity 0.670).</w:t>
            </w:r>
            <w:r w:rsidRPr="00CB2EC4">
              <w:rPr>
                <w:rFonts w:ascii="Times New Roman" w:hAnsi="Times New Roman" w:cs="Times New Roman"/>
              </w:rPr>
              <w:br/>
              <w:t xml:space="preserve">  - Posterior layer division: The posterior layer contains a vascular part (superior vesical vein) and a neural part (vesical nerve branches). During division, only the vascular part is treated; the neural part is preserved to maintain bladder function. Use instruments such as LigaSure or an ultrasonic scalpel to precisely divide the vascular portion, avoiding blind manipulation (source: "The posterior layer is also called the vesicovaginal ligament; preserve the neural </w:t>
            </w:r>
            <w:r w:rsidRPr="00CB2EC4">
              <w:rPr>
                <w:rFonts w:ascii="Times New Roman" w:hAnsi="Times New Roman" w:cs="Times New Roman"/>
              </w:rPr>
              <w:lastRenderedPageBreak/>
              <w:t>part during division", similarity 0.565 and 0.603).</w:t>
            </w:r>
            <w:r w:rsidRPr="00CB2EC4">
              <w:rPr>
                <w:rFonts w:ascii="Times New Roman" w:hAnsi="Times New Roman" w:cs="Times New Roman"/>
              </w:rPr>
              <w:br/>
            </w:r>
            <w:r w:rsidRPr="00CB2EC4">
              <w:rPr>
                <w:rFonts w:ascii="Times New Roman" w:hAnsi="Times New Roman" w:cs="Times New Roman"/>
              </w:rPr>
              <w:br/>
              <w:t>- **Key point:** During the procedure, note the parallel course of the superior vesical vein and vesical nerve branches in the posterior layer. Use the vein as a landmark when dividing the posterior layer (source: "The superior vesical vein runs parallel to the vesical nerve branches in the posterior layer", similarity 0.678). This approach provides the basis for nerve-sparing surgery (similarity 0.603).</w:t>
            </w:r>
          </w:p>
        </w:tc>
        <w:tc>
          <w:tcPr>
            <w:tcW w:w="1152" w:type="dxa"/>
            <w:vAlign w:val="center"/>
          </w:tcPr>
          <w:p w14:paraId="097CD0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44606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D6787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E53E7FB" w14:textId="77777777">
        <w:tc>
          <w:tcPr>
            <w:tcW w:w="2160" w:type="dxa"/>
            <w:vAlign w:val="center"/>
          </w:tcPr>
          <w:p w14:paraId="63D8509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7C99CFCE"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and cut the vesicouterine ligament in the Okabayashi operation</w:t>
            </w:r>
            <w:r w:rsidRPr="00CB2EC4">
              <w:rPr>
                <w:rFonts w:ascii="Times New Roman" w:hAnsi="Times New Roman" w:cs="Times New Roman"/>
              </w:rPr>
              <w:br/>
            </w:r>
            <w:r w:rsidRPr="00CB2EC4">
              <w:rPr>
                <w:rFonts w:ascii="Times New Roman" w:hAnsi="Times New Roman" w:cs="Times New Roman"/>
              </w:rPr>
              <w:br/>
              <w:t>In the Okabayashi operation, the separation and division of the vesicouterine ligament is a critical step aimed at meticulous dissection to preserve nerve function. Based on the source documents (particularly fragments 8, 13, 15):</w:t>
            </w:r>
            <w:r w:rsidRPr="00CB2EC4">
              <w:rPr>
                <w:rFonts w:ascii="Times New Roman" w:hAnsi="Times New Roman" w:cs="Times New Roman"/>
              </w:rPr>
              <w:br/>
              <w:t>- Ligament structure: Okabayashi clearly divides the vesicouterine ligament into two layers:</w:t>
            </w:r>
            <w:r w:rsidRPr="00CB2EC4">
              <w:rPr>
                <w:rFonts w:ascii="Times New Roman" w:hAnsi="Times New Roman" w:cs="Times New Roman"/>
              </w:rPr>
              <w:br/>
              <w:t xml:space="preserve">  - Anterior layer: Connects the cervix uteri and the bladder, corresponding to the ureteral roof, containing the crossing part of the ureter.</w:t>
            </w:r>
            <w:r w:rsidRPr="00CB2EC4">
              <w:rPr>
                <w:rFonts w:ascii="Times New Roman" w:hAnsi="Times New Roman" w:cs="Times New Roman"/>
              </w:rPr>
              <w:br/>
              <w:t xml:space="preserve">  - Posterior layer: Connects the transverse cervical ligament and the bladder, also known as the vesicovaginal ligament, containing the superior vesical vein and nerve branches (e.g., bladder branches of the pelvic plexus).</w:t>
            </w:r>
            <w:r w:rsidRPr="00CB2EC4">
              <w:rPr>
                <w:rFonts w:ascii="Times New Roman" w:hAnsi="Times New Roman" w:cs="Times New Roman"/>
              </w:rPr>
              <w:br/>
              <w:t>- Separation method:</w:t>
            </w:r>
            <w:r w:rsidRPr="00CB2EC4">
              <w:rPr>
                <w:rFonts w:ascii="Times New Roman" w:hAnsi="Times New Roman" w:cs="Times New Roman"/>
              </w:rPr>
              <w:br/>
              <w:t xml:space="preserve">  1. Develop the space: First, dissect the paravaginal space and the vesicocervical space. Dissection of the paravaginal space is central, separating laterally from the cervix toward the vaginal side to expose the ligament (document fragments 8, 13).</w:t>
            </w:r>
            <w:r w:rsidRPr="00CB2EC4">
              <w:rPr>
                <w:rFonts w:ascii="Times New Roman" w:hAnsi="Times New Roman" w:cs="Times New Roman"/>
              </w:rPr>
              <w:br/>
            </w:r>
            <w:r w:rsidRPr="00CB2EC4">
              <w:rPr>
                <w:rFonts w:ascii="Times New Roman" w:hAnsi="Times New Roman" w:cs="Times New Roman"/>
              </w:rPr>
              <w:lastRenderedPageBreak/>
              <w:t xml:space="preserve">  2. Separate the anterior layer: In the ureteral tunnel area, identify the anterior layer (ureteral roof), sharply dissect the ureter from the ligament using scissors or electrocautery, and mobilize the ureter. Avoid injury to the main uterine artery (document fragments 13, 14).</w:t>
            </w:r>
            <w:r w:rsidRPr="00CB2EC4">
              <w:rPr>
                <w:rFonts w:ascii="Times New Roman" w:hAnsi="Times New Roman" w:cs="Times New Roman"/>
              </w:rPr>
              <w:br/>
              <w:t xml:space="preserve">  3. Separate the posterior layer: Within the paravaginal space, identify the posterior layer (vesicovaginal ligament). The posterior layer contains the superior vesical vein as an anatomical landmark; nerve branches (bladder branches) often run parallel to the vein. During dissection, expose the deep uterine vein and superior vesical vein, gently strip loose connective tissue to distinguish the vascular and neural components (document fragments 8, 15, 110).</w:t>
            </w:r>
            <w:r w:rsidRPr="00CB2EC4">
              <w:rPr>
                <w:rFonts w:ascii="Times New Roman" w:hAnsi="Times New Roman" w:cs="Times New Roman"/>
              </w:rPr>
              <w:br/>
              <w:t>- Cutting method:</w:t>
            </w:r>
            <w:r w:rsidRPr="00CB2EC4">
              <w:rPr>
                <w:rFonts w:ascii="Times New Roman" w:hAnsi="Times New Roman" w:cs="Times New Roman"/>
              </w:rPr>
              <w:br/>
              <w:t xml:space="preserve">  - Anterior layer: After ureter mobilization, clamp or coagulate and divide, ensuring the ureter is safely displaced (document fragment 13).</w:t>
            </w:r>
            <w:r w:rsidRPr="00CB2EC4">
              <w:rPr>
                <w:rFonts w:ascii="Times New Roman" w:hAnsi="Times New Roman" w:cs="Times New Roman"/>
              </w:rPr>
              <w:br/>
              <w:t xml:space="preserve">  - Posterior layer: First address the vascular component (e.g., superior vesical vein), ligate or divide using an ultrasonic scalpel; the neural component should be preserved as much as possible. The documents emphasize "separating the vascular and neural parts, cutting only the vascular part" to avoid injury to the bladder nerve branches (document fragments 4, 8, 110).</w:t>
            </w:r>
            <w:r w:rsidRPr="00CB2EC4">
              <w:rPr>
                <w:rFonts w:ascii="Times New Roman" w:hAnsi="Times New Roman" w:cs="Times New Roman"/>
              </w:rPr>
              <w:br/>
              <w:t xml:space="preserve">- Purpose and advantage: This approach allows preservation of the neural portion of the posterior layer (bladder branches of the pelvic plexus), reducing postoperative bladder atony. Three-dimensional dissection also minimizes bleeding risk (document fragments 13, 110). During surgery, attention must be paid to venous plexuses (e.g., vaginal angles) to avoid </w:t>
            </w:r>
            <w:r w:rsidRPr="00CB2EC4">
              <w:rPr>
                <w:rFonts w:ascii="Times New Roman" w:hAnsi="Times New Roman" w:cs="Times New Roman"/>
              </w:rPr>
              <w:lastRenderedPageBreak/>
              <w:t>excessive traction (document fragment 7).</w:t>
            </w:r>
          </w:p>
        </w:tc>
        <w:tc>
          <w:tcPr>
            <w:tcW w:w="1152" w:type="dxa"/>
            <w:vAlign w:val="center"/>
          </w:tcPr>
          <w:p w14:paraId="33C60F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041A0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0AF40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45656BF" w14:textId="77777777">
        <w:tc>
          <w:tcPr>
            <w:tcW w:w="2160" w:type="dxa"/>
            <w:vAlign w:val="center"/>
          </w:tcPr>
          <w:p w14:paraId="53F7670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5538F4A6" w14:textId="77777777" w:rsidR="00922249" w:rsidRPr="00CB2EC4" w:rsidRDefault="003011D5">
            <w:pPr>
              <w:rPr>
                <w:rFonts w:ascii="Times New Roman" w:hAnsi="Times New Roman" w:cs="Times New Roman"/>
              </w:rPr>
            </w:pPr>
            <w:r w:rsidRPr="00CB2EC4">
              <w:rPr>
                <w:rFonts w:ascii="Times New Roman" w:hAnsi="Times New Roman" w:cs="Times New Roman"/>
              </w:rPr>
              <w:t>In the Okabayashi surgery, the method for separating and cutting the vesicouterine ligament is based on space development and meticulous dissection:</w:t>
            </w:r>
            <w:r w:rsidRPr="00CB2EC4">
              <w:rPr>
                <w:rFonts w:ascii="Times New Roman" w:hAnsi="Times New Roman" w:cs="Times New Roman"/>
              </w:rPr>
              <w:br/>
              <w:t>- Separation method:</w:t>
            </w:r>
            <w:r w:rsidRPr="00CB2EC4">
              <w:rPr>
                <w:rFonts w:ascii="Times New Roman" w:hAnsi="Times New Roman" w:cs="Times New Roman"/>
              </w:rPr>
              <w:br/>
              <w:t xml:space="preserve">  - First, open the vesical side space and the vaginal side space. This is achieved by traction on the uterus and rectum to expose the ligament area.</w:t>
            </w:r>
            <w:r w:rsidRPr="00CB2EC4">
              <w:rPr>
                <w:rFonts w:ascii="Times New Roman" w:hAnsi="Times New Roman" w:cs="Times New Roman"/>
              </w:rPr>
              <w:br/>
              <w:t xml:space="preserve">  - Then, divide the vesicouterine ligament into an anterior layer and a posterior layer. The posterior layer contains the vascular part (e.g., superior vesical vein) and the neural part (where the vesical nerve branches course); particular attention must be paid to preserving the neural part (refer to Figure 161a,b).</w:t>
            </w:r>
            <w:r w:rsidRPr="00CB2EC4">
              <w:rPr>
                <w:rFonts w:ascii="Times New Roman" w:hAnsi="Times New Roman" w:cs="Times New Roman"/>
              </w:rPr>
              <w:br/>
              <w:t>- Cutting method:</w:t>
            </w:r>
            <w:r w:rsidRPr="00CB2EC4">
              <w:rPr>
                <w:rFonts w:ascii="Times New Roman" w:hAnsi="Times New Roman" w:cs="Times New Roman"/>
              </w:rPr>
              <w:br/>
              <w:t xml:space="preserve">  - Use instruments such as scissors or electrocautery for sharp dissection, avoiding mass ligature.</w:t>
            </w:r>
            <w:r w:rsidRPr="00CB2EC4">
              <w:rPr>
                <w:rFonts w:ascii="Times New Roman" w:hAnsi="Times New Roman" w:cs="Times New Roman"/>
              </w:rPr>
              <w:br/>
              <w:t xml:space="preserve">  - Specific steps: After separation, the vascular part of the posterior layer (e.g., superior vesical vein) is cut, while the neural part is preserved. During the procedure, Cooper scissors are used to expand the vaginal side space to safely divide the ligament (refer to the section "Cutting the rectovaginal and vesicovaginal ligaments").</w:t>
            </w:r>
            <w:r w:rsidRPr="00CB2EC4">
              <w:rPr>
                <w:rFonts w:ascii="Times New Roman" w:hAnsi="Times New Roman" w:cs="Times New Roman"/>
              </w:rPr>
              <w:br/>
              <w:t>The document emphasizes that Okabayashi surgery achieves independent division of ligaments through systematic development of spaces (such as the vesical side space and vaginal side space), reducing bleeding risk and facilitating nerve preservation (refer to Figure 19 and Figure 161a,b).</w:t>
            </w:r>
          </w:p>
        </w:tc>
        <w:tc>
          <w:tcPr>
            <w:tcW w:w="1152" w:type="dxa"/>
            <w:vAlign w:val="center"/>
          </w:tcPr>
          <w:p w14:paraId="050E74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6971C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E300C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03B616B" w14:textId="77777777">
        <w:tc>
          <w:tcPr>
            <w:tcW w:w="2160" w:type="dxa"/>
            <w:vAlign w:val="center"/>
          </w:tcPr>
          <w:p w14:paraId="0F4AC1D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1FC2B6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Okabayashi surgery, the separation and division of the vesicouterine ligament is a critical step, requiring separate handling of the anterior and </w:t>
            </w:r>
            <w:r w:rsidRPr="00CB2EC4">
              <w:rPr>
                <w:rFonts w:ascii="Times New Roman" w:hAnsi="Times New Roman" w:cs="Times New Roman"/>
              </w:rPr>
              <w:lastRenderedPageBreak/>
              <w:t>posterior layers. The process is detailed as follows (see document fragments 12, 20):</w:t>
            </w:r>
            <w:r w:rsidRPr="00CB2EC4">
              <w:rPr>
                <w:rFonts w:ascii="Times New Roman" w:hAnsi="Times New Roman" w:cs="Times New Roman"/>
              </w:rPr>
              <w:br/>
            </w:r>
            <w:r w:rsidRPr="00CB2EC4">
              <w:rPr>
                <w:rFonts w:ascii="Times New Roman" w:hAnsi="Times New Roman" w:cs="Times New Roman"/>
              </w:rPr>
              <w:br/>
              <w:t>1. Separation of the anterior layer (top of the ureteral tunnel):</w:t>
            </w:r>
            <w:r w:rsidRPr="00CB2EC4">
              <w:rPr>
                <w:rFonts w:ascii="Times New Roman" w:hAnsi="Times New Roman" w:cs="Times New Roman"/>
              </w:rPr>
              <w:br/>
              <w:t xml:space="preserve">   - First, dissect the bladder to expose the entrance of the ureteral tunnel. Insert Cooper scissors along the course of the ureter into the entrance of the tunnel and bluntly expand the tunnel.</w:t>
            </w:r>
            <w:r w:rsidRPr="00CB2EC4">
              <w:rPr>
                <w:rFonts w:ascii="Times New Roman" w:hAnsi="Times New Roman" w:cs="Times New Roman"/>
              </w:rPr>
              <w:br/>
              <w:t xml:space="preserve">   - Divide the anterior layer into 2–3 segments, clamp and cut each segment (to avoid ureteral injury). The anterior layer corresponds to the "top of the ureteral tunnel" in Western terminology and contains loose connective tissue and vascular branches.</w:t>
            </w:r>
            <w:r w:rsidRPr="00CB2EC4">
              <w:rPr>
                <w:rFonts w:ascii="Times New Roman" w:hAnsi="Times New Roman" w:cs="Times New Roman"/>
              </w:rPr>
              <w:br/>
            </w:r>
            <w:r w:rsidRPr="00CB2EC4">
              <w:rPr>
                <w:rFonts w:ascii="Times New Roman" w:hAnsi="Times New Roman" w:cs="Times New Roman"/>
              </w:rPr>
              <w:br/>
              <w:t>2. Separation of the posterior layer (deep layer or vesicocervical ligament):</w:t>
            </w:r>
            <w:r w:rsidRPr="00CB2EC4">
              <w:rPr>
                <w:rFonts w:ascii="Times New Roman" w:hAnsi="Times New Roman" w:cs="Times New Roman"/>
              </w:rPr>
              <w:br/>
              <w:t xml:space="preserve">   - Develop the lateral vaginal space: Insert Cooper scissors 1 cm anterior to the ureterovesical junction into the residual ligament, lift upward and outward to create a space.</w:t>
            </w:r>
            <w:r w:rsidRPr="00CB2EC4">
              <w:rPr>
                <w:rFonts w:ascii="Times New Roman" w:hAnsi="Times New Roman" w:cs="Times New Roman"/>
              </w:rPr>
              <w:br/>
              <w:t xml:space="preserve">   - Free the posterior layer remnant: Identify the connective tissue bundle containing the superior vesical vein and vesical nerve branches (i.e., the posterior layer). Use double clamps to grasp its lateral portion.</w:t>
            </w:r>
            <w:r w:rsidRPr="00CB2EC4">
              <w:rPr>
                <w:rFonts w:ascii="Times New Roman" w:hAnsi="Times New Roman" w:cs="Times New Roman"/>
              </w:rPr>
              <w:br/>
              <w:t xml:space="preserve">   - Divide the posterior layer: After confirming no vital structures are present, cut and ligate it at the midpoint. The posterior layer connects the transverse cervical ligament with the bladder perpendicular to the cervical region.</w:t>
            </w:r>
          </w:p>
        </w:tc>
        <w:tc>
          <w:tcPr>
            <w:tcW w:w="1152" w:type="dxa"/>
            <w:vAlign w:val="center"/>
          </w:tcPr>
          <w:p w14:paraId="0218F7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EA9C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83B1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8A0734" w14:textId="77777777">
        <w:tc>
          <w:tcPr>
            <w:tcW w:w="2160" w:type="dxa"/>
            <w:vAlign w:val="center"/>
          </w:tcPr>
          <w:p w14:paraId="11151B25"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1BF02A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Okabayashi surgery, the separation and division of the vesicouterine ligament is a critical step, described in the documentation as follows:  </w:t>
            </w:r>
            <w:r w:rsidRPr="00CB2EC4">
              <w:rPr>
                <w:rFonts w:ascii="Times New Roman" w:hAnsi="Times New Roman" w:cs="Times New Roman"/>
              </w:rPr>
              <w:br/>
            </w:r>
            <w:r w:rsidRPr="00CB2EC4">
              <w:rPr>
                <w:rFonts w:ascii="Times New Roman" w:hAnsi="Times New Roman" w:cs="Times New Roman"/>
              </w:rPr>
              <w:lastRenderedPageBreak/>
              <w:t xml:space="preserve">- **Separation method**:  </w:t>
            </w:r>
            <w:r w:rsidRPr="00CB2EC4">
              <w:rPr>
                <w:rFonts w:ascii="Times New Roman" w:hAnsi="Times New Roman" w:cs="Times New Roman"/>
              </w:rPr>
              <w:br/>
              <w:t xml:space="preserve">  - First, develop the lateral vaginal space and the lateral vesical space to expose the vesicouterine ligament.  </w:t>
            </w:r>
            <w:r w:rsidRPr="00CB2EC4">
              <w:rPr>
                <w:rFonts w:ascii="Times New Roman" w:hAnsi="Times New Roman" w:cs="Times New Roman"/>
              </w:rPr>
              <w:br/>
              <w:t xml:space="preserve">  - Clearly divide the ligament into an anterior layer and a posterior layer: the anterior layer connects the cervix and bladder (equivalent to the roof of the ureteric tunnel), and the posterior layer connects the transverse cervical ligament and the bladder (containing vessels and nerves).  </w:t>
            </w:r>
            <w:r w:rsidRPr="00CB2EC4">
              <w:rPr>
                <w:rFonts w:ascii="Times New Roman" w:hAnsi="Times New Roman" w:cs="Times New Roman"/>
              </w:rPr>
              <w:br/>
              <w:t xml:space="preserve">  - During separation, use instruments (such as scissors or electrocautery) within the loose connective tissue layer to avoid injury to the ureter and nerves. Specific steps include: after dissecting the vesical peritoneum, horizontally incise the vesicouterine pouch to separate the bladder from the cervical fascia, exposing the ligament structure (refer to sections "[Similarity: 0.635]" and "[Similarity: 0.515]" in the documentation).  </w:t>
            </w:r>
            <w:r w:rsidRPr="00CB2EC4">
              <w:rPr>
                <w:rFonts w:ascii="Times New Roman" w:hAnsi="Times New Roman" w:cs="Times New Roman"/>
              </w:rPr>
              <w:br/>
              <w:t xml:space="preserve">- **Division method**:  </w:t>
            </w:r>
            <w:r w:rsidRPr="00CB2EC4">
              <w:rPr>
                <w:rFonts w:ascii="Times New Roman" w:hAnsi="Times New Roman" w:cs="Times New Roman"/>
              </w:rPr>
              <w:br/>
              <w:t xml:space="preserve">  - Anterior layer division: Identify the anterior layer above the ureter, clamp or coagulate and divide it, taking care to protect the ureter.  </w:t>
            </w:r>
            <w:r w:rsidRPr="00CB2EC4">
              <w:rPr>
                <w:rFonts w:ascii="Times New Roman" w:hAnsi="Times New Roman" w:cs="Times New Roman"/>
              </w:rPr>
              <w:br/>
              <w:t xml:space="preserve">  - Posterior layer division: The posterior layer (also termed the vesicovaginal ligament) contains the superior vesical vein and vesical nerve branches. In Okabayashi surgery, the posterior layer must be carefully dissected, with only the vascular portion (e.g., the superior vesical vein) divided, while the neural portion (vesical nerve branches) is preserved. This is achieved through blunt dissection and selective clamping (refer to section "[Similarity: 0.635]" in the documentation: "Okabayashi divided the vesicouterine ligament into anterior and posterior layers... the </w:t>
            </w:r>
            <w:r w:rsidRPr="00CB2EC4">
              <w:rPr>
                <w:rFonts w:ascii="Times New Roman" w:hAnsi="Times New Roman" w:cs="Times New Roman"/>
              </w:rPr>
              <w:lastRenderedPageBreak/>
              <w:t xml:space="preserve">posterior layer is also called the vesicovaginal ligament" and section "[Similarity: 0.584]" regarding nerve preservation).  </w:t>
            </w:r>
            <w:r w:rsidRPr="00CB2EC4">
              <w:rPr>
                <w:rFonts w:ascii="Times New Roman" w:hAnsi="Times New Roman" w:cs="Times New Roman"/>
              </w:rPr>
              <w:br/>
              <w:t>- The overall process emphasizes three-dimensional anatomy, ensuring systematic operation within the spaces to minimize bleeding and nerve injury (refer to section "[Similarity: 0.515]" in the documentation).</w:t>
            </w:r>
          </w:p>
        </w:tc>
        <w:tc>
          <w:tcPr>
            <w:tcW w:w="1152" w:type="dxa"/>
            <w:vAlign w:val="center"/>
          </w:tcPr>
          <w:p w14:paraId="47D695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E2FED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FC21A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6A7EA4E" w14:textId="77777777">
        <w:tc>
          <w:tcPr>
            <w:tcW w:w="2160" w:type="dxa"/>
            <w:vAlign w:val="center"/>
          </w:tcPr>
          <w:p w14:paraId="2E43379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63B8BD0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Ganglione surgery, the method for dissecting and dividing the vesicouterine ligament is as follows (based on document fragments 3, 9, 12, 17, 28):  </w:t>
            </w:r>
            <w:r w:rsidRPr="00CB2EC4">
              <w:rPr>
                <w:rFonts w:ascii="Times New Roman" w:hAnsi="Times New Roman" w:cs="Times New Roman"/>
              </w:rPr>
              <w:br/>
              <w:t xml:space="preserve">- Dissection method:  </w:t>
            </w:r>
            <w:r w:rsidRPr="00CB2EC4">
              <w:rPr>
                <w:rFonts w:ascii="Times New Roman" w:hAnsi="Times New Roman" w:cs="Times New Roman"/>
              </w:rPr>
              <w:br/>
              <w:t xml:space="preserve">  </w:t>
            </w:r>
            <w:r w:rsidRPr="00CB2EC4">
              <w:rPr>
                <w:rFonts w:ascii="Times New Roman" w:hAnsi="Times New Roman" w:cs="Times New Roman"/>
              </w:rPr>
              <w:br/>
              <w:t xml:space="preserve">  - Expose the ligament by developing the vaginal paravaginal space: Traction is applied to the vesicovaginal space and vaginal paravaginal space in the ventral direction using retractors, tensing the ligament to facilitate dissection (document fragments 12, 28). Attention must be paid to the course of the ureter during the procedure to avoid injury.  </w:t>
            </w:r>
            <w:r w:rsidRPr="00CB2EC4">
              <w:rPr>
                <w:rFonts w:ascii="Times New Roman" w:hAnsi="Times New Roman" w:cs="Times New Roman"/>
              </w:rPr>
              <w:br/>
              <w:t xml:space="preserve">- Division method:  </w:t>
            </w:r>
            <w:r w:rsidRPr="00CB2EC4">
              <w:rPr>
                <w:rFonts w:ascii="Times New Roman" w:hAnsi="Times New Roman" w:cs="Times New Roman"/>
              </w:rPr>
              <w:br/>
              <w:t xml:space="preserve">  - Anterior layer division: At the entrance of the ureteral tunnel, the anterior layer is clamped and divided using instruments (e.g., Kelly clamp or LigaSure). This step is relatively straightforward, with emphasis on ureteral exposure (document fragments 3, 28).  </w:t>
            </w:r>
            <w:r w:rsidRPr="00CB2EC4">
              <w:rPr>
                <w:rFonts w:ascii="Times New Roman" w:hAnsi="Times New Roman" w:cs="Times New Roman"/>
              </w:rPr>
              <w:br/>
              <w:t xml:space="preserve">  - Posterior layer division: The posterior layer is more complex, containing the neurovascular bundle. After separating the posterior layer from the transverse cervical ligament, individual vessels (e.g., superior vesical veins) are managed, followed by division. Use of electrocautery or ultrasonic scalpel reduces bleeding (document fragments 3, 17). For example, Figure 161b shows that during posterior layer </w:t>
            </w:r>
            <w:r w:rsidRPr="00CB2EC4">
              <w:rPr>
                <w:rFonts w:ascii="Times New Roman" w:hAnsi="Times New Roman" w:cs="Times New Roman"/>
              </w:rPr>
              <w:lastRenderedPageBreak/>
              <w:t xml:space="preserve">division, the course of the bladder nerve branch must be confirmed (document fragment 12).  </w:t>
            </w:r>
            <w:r w:rsidRPr="00CB2EC4">
              <w:rPr>
                <w:rFonts w:ascii="Times New Roman" w:hAnsi="Times New Roman" w:cs="Times New Roman"/>
              </w:rPr>
              <w:br/>
              <w:t>- Key points: When dissecting the posterior layer, trace the deep uterine vein to ensure complete stripping and prevent bleeding; division of the posterior layer should be performed medial to the bladder nerve branch to preserve nerve function (document fragments 3, 17). Contextual information is sufficient, based on document fragments 3, 9, 12, 17, 28.</w:t>
            </w:r>
          </w:p>
        </w:tc>
        <w:tc>
          <w:tcPr>
            <w:tcW w:w="1152" w:type="dxa"/>
            <w:vAlign w:val="center"/>
          </w:tcPr>
          <w:p w14:paraId="413884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03527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23AD9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2D214BC" w14:textId="77777777">
        <w:tc>
          <w:tcPr>
            <w:tcW w:w="2160" w:type="dxa"/>
            <w:vAlign w:val="center"/>
          </w:tcPr>
          <w:p w14:paraId="12D471BB"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B1BD0AC" w14:textId="77777777" w:rsidR="00922249" w:rsidRPr="00CB2EC4" w:rsidRDefault="003011D5">
            <w:pPr>
              <w:rPr>
                <w:rFonts w:ascii="Times New Roman" w:hAnsi="Times New Roman" w:cs="Times New Roman"/>
              </w:rPr>
            </w:pPr>
            <w:r w:rsidRPr="00CB2EC4">
              <w:rPr>
                <w:rFonts w:ascii="Times New Roman" w:hAnsi="Times New Roman" w:cs="Times New Roman"/>
              </w:rPr>
              <w:t>how to separate and cut the vesicouterine ligament in the Okabayashi operation</w:t>
            </w:r>
            <w:r w:rsidRPr="00CB2EC4">
              <w:rPr>
                <w:rFonts w:ascii="Times New Roman" w:hAnsi="Times New Roman" w:cs="Times New Roman"/>
              </w:rPr>
              <w:br/>
            </w:r>
            <w:r w:rsidRPr="00CB2EC4">
              <w:rPr>
                <w:rFonts w:ascii="Times New Roman" w:hAnsi="Times New Roman" w:cs="Times New Roman"/>
              </w:rPr>
              <w:br/>
              <w:t>In the Okabayashi operation, the vesicouterine ligament is divided into an anterior leaf and a posterior leaf, with separation and cutting performed based on three-dimensional anatomy. The specific steps are derived from segments 7, 8, and 9:</w:t>
            </w:r>
            <w:r w:rsidRPr="00CB2EC4">
              <w:rPr>
                <w:rFonts w:ascii="Times New Roman" w:hAnsi="Times New Roman" w:cs="Times New Roman"/>
              </w:rPr>
              <w:br/>
              <w:t xml:space="preserve">- Separation and cutting process:  </w:t>
            </w:r>
            <w:r w:rsidRPr="00CB2EC4">
              <w:rPr>
                <w:rFonts w:ascii="Times New Roman" w:hAnsi="Times New Roman" w:cs="Times New Roman"/>
              </w:rPr>
              <w:br/>
              <w:t xml:space="preserve">  1. Layered concept:  </w:t>
            </w:r>
            <w:r w:rsidRPr="00CB2EC4">
              <w:rPr>
                <w:rFonts w:ascii="Times New Roman" w:hAnsi="Times New Roman" w:cs="Times New Roman"/>
              </w:rPr>
              <w:br/>
              <w:t xml:space="preserve">     - The vesicouterine ligament is divided into the anterior leaf and posterior leaf. The anterior leaf connects the cervix and bladder, corresponding to the roof of the ureteric tunnel; the posterior leaf connects the transverse cervical ligament and the bladder, containing the vesicocervical ligament (neurovascular bundle) (Segment 7; Segment 9).  </w:t>
            </w:r>
            <w:r w:rsidRPr="00CB2EC4">
              <w:rPr>
                <w:rFonts w:ascii="Times New Roman" w:hAnsi="Times New Roman" w:cs="Times New Roman"/>
              </w:rPr>
              <w:br/>
              <w:t xml:space="preserve">  2. Anterior leaf management:  </w:t>
            </w:r>
            <w:r w:rsidRPr="00CB2EC4">
              <w:rPr>
                <w:rFonts w:ascii="Times New Roman" w:hAnsi="Times New Roman" w:cs="Times New Roman"/>
              </w:rPr>
              <w:br/>
              <w:t xml:space="preserve">     - Separation: First dissect the bladder (incise the peritoneum of the vesicouterine pouch), then expose the ureteric tunnel. Using an instrument (e.g., Cooper scissors), separate the anterior leaf along the course of the ureter to expose the mid-ureter (Segment 7, Fig. 138a; Segment 8).  </w:t>
            </w:r>
            <w:r w:rsidRPr="00CB2EC4">
              <w:rPr>
                <w:rFonts w:ascii="Times New Roman" w:hAnsi="Times New Roman" w:cs="Times New Roman"/>
              </w:rPr>
              <w:br/>
            </w:r>
            <w:r w:rsidRPr="00CB2EC4">
              <w:rPr>
                <w:rFonts w:ascii="Times New Roman" w:hAnsi="Times New Roman" w:cs="Times New Roman"/>
              </w:rPr>
              <w:lastRenderedPageBreak/>
              <w:t xml:space="preserve">     - Cutting: Divide the anterior leaf into 2–3 segments, clamp and cut, avoiding ureter injury (Segment 7, Fig. 138a; Segment 8).  </w:t>
            </w:r>
            <w:r w:rsidRPr="00CB2EC4">
              <w:rPr>
                <w:rFonts w:ascii="Times New Roman" w:hAnsi="Times New Roman" w:cs="Times New Roman"/>
              </w:rPr>
              <w:br/>
              <w:t xml:space="preserve">  3. Posterior leaf management:  </w:t>
            </w:r>
            <w:r w:rsidRPr="00CB2EC4">
              <w:rPr>
                <w:rFonts w:ascii="Times New Roman" w:hAnsi="Times New Roman" w:cs="Times New Roman"/>
              </w:rPr>
              <w:br/>
              <w:t xml:space="preserve">     - Separation: After cutting the anterior leaf, traction the main ligament cephalad and the ureter laterally. Between the paravesical space and paravaginal space, separate the posterior leaf (vesicocervical ligament). The key landmark is the depression formed by the bladder wall, ureter, and vaginal margin (Segment 7, Fig. 138b; Segment 8).  </w:t>
            </w:r>
            <w:r w:rsidRPr="00CB2EC4">
              <w:rPr>
                <w:rFonts w:ascii="Times New Roman" w:hAnsi="Times New Roman" w:cs="Times New Roman"/>
              </w:rPr>
              <w:br/>
              <w:t xml:space="preserve">     - Nerve preservation: The posterior leaf contains the superior vesical vein and bladder nerve branches. During separation, identify the vascular part (can be cut) and the neural part (must be preserved); only the vascular part (e.g., superior vesical vein) is cut (Segment 1; Segment 8; Segment 9).  </w:t>
            </w:r>
            <w:r w:rsidRPr="00CB2EC4">
              <w:rPr>
                <w:rFonts w:ascii="Times New Roman" w:hAnsi="Times New Roman" w:cs="Times New Roman"/>
              </w:rPr>
              <w:br/>
              <w:t xml:space="preserve">     - Cutting: Clamp the vascular part of the posterior leaf with straight forceps, cut and ligate. Avoid complete transection to preserve nerves (Segment 8; Segment 9).  </w:t>
            </w:r>
            <w:r w:rsidRPr="00CB2EC4">
              <w:rPr>
                <w:rFonts w:ascii="Times New Roman" w:hAnsi="Times New Roman" w:cs="Times New Roman"/>
              </w:rPr>
              <w:br/>
              <w:t xml:space="preserve">- Surgical technique:  </w:t>
            </w:r>
            <w:r w:rsidRPr="00CB2EC4">
              <w:rPr>
                <w:rFonts w:ascii="Times New Roman" w:hAnsi="Times New Roman" w:cs="Times New Roman"/>
              </w:rPr>
              <w:br/>
              <w:t xml:space="preserve">  - Utilize space expansion (e.g., paravaginal space) to assist separation, ensuring three-dimensional maneuverability (Segment 7; Segment 8).  </w:t>
            </w:r>
            <w:r w:rsidRPr="00CB2EC4">
              <w:rPr>
                <w:rFonts w:ascii="Times New Roman" w:hAnsi="Times New Roman" w:cs="Times New Roman"/>
              </w:rPr>
              <w:br/>
              <w:t xml:space="preserve">  - Pay attention to venous bleeding (e.g., superior vesical vein) and manage with ultrasonic scalpel or ligation (Segment 8).  </w:t>
            </w:r>
            <w:r w:rsidRPr="00CB2EC4">
              <w:rPr>
                <w:rFonts w:ascii="Times New Roman" w:hAnsi="Times New Roman" w:cs="Times New Roman"/>
              </w:rPr>
              <w:br/>
              <w:t>- Purpose: This method enables preservation of bladder nerves, reducing postoperative bladder dysfunction (Segment 7; Segment 9).</w:t>
            </w:r>
          </w:p>
        </w:tc>
        <w:tc>
          <w:tcPr>
            <w:tcW w:w="1152" w:type="dxa"/>
            <w:vAlign w:val="center"/>
          </w:tcPr>
          <w:p w14:paraId="75214A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92485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1EEF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E2F55B" w14:textId="77777777">
        <w:tc>
          <w:tcPr>
            <w:tcW w:w="2160" w:type="dxa"/>
            <w:vAlign w:val="center"/>
          </w:tcPr>
          <w:p w14:paraId="7072487C"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B53B53B" w14:textId="77777777" w:rsidR="00922249" w:rsidRPr="00CB2EC4" w:rsidRDefault="003011D5">
            <w:pPr>
              <w:rPr>
                <w:rFonts w:ascii="Times New Roman" w:hAnsi="Times New Roman" w:cs="Times New Roman"/>
              </w:rPr>
            </w:pPr>
            <w:r w:rsidRPr="00CB2EC4">
              <w:rPr>
                <w:rFonts w:ascii="Times New Roman" w:hAnsi="Times New Roman" w:cs="Times New Roman"/>
              </w:rPr>
              <w:t>in the Okabayashi operation, the steps for dissecting and dividing the vesicouterine ligament are as follows:</w:t>
            </w:r>
            <w:r w:rsidRPr="00CB2EC4">
              <w:rPr>
                <w:rFonts w:ascii="Times New Roman" w:hAnsi="Times New Roman" w:cs="Times New Roman"/>
              </w:rPr>
              <w:br/>
              <w:t xml:space="preserve">  - Dissection: Begin with blunt dissection of the </w:t>
            </w:r>
            <w:r w:rsidRPr="00CB2EC4">
              <w:rPr>
                <w:rFonts w:ascii="Times New Roman" w:hAnsi="Times New Roman" w:cs="Times New Roman"/>
              </w:rPr>
              <w:lastRenderedPageBreak/>
              <w:t>paravesical space to expose the vesicouterine ligament, which consists of a superficial and deep layer. The superficial layer contains the vesical venous plexus, while the deep layer contains the ureter and autonomic nerves. Use fine forceps or scissors to carefully separate the ligament from the ureter, avoiding injury to nerves (such as branches of the inferior hypogastric plexus).</w:t>
            </w:r>
            <w:r w:rsidRPr="00CB2EC4">
              <w:rPr>
                <w:rFonts w:ascii="Times New Roman" w:hAnsi="Times New Roman" w:cs="Times New Roman"/>
              </w:rPr>
              <w:br/>
              <w:t xml:space="preserve">  - Division: First divide the superficial layer of the ligament (using electrocautery or ligation to control bleeding), then address the deep layer. When dividing the deep layer, the ureter must be retracted laterally, and the ligament fibers are cut under direct vision while preserving neural components. The key is stepwise operation to ensure the ureter and nerves remain undamaged.</w:t>
            </w:r>
            <w:r w:rsidRPr="00CB2EC4">
              <w:rPr>
                <w:rFonts w:ascii="Times New Roman" w:hAnsi="Times New Roman" w:cs="Times New Roman"/>
              </w:rPr>
              <w:br/>
              <w:t xml:space="preserve">  - Purpose: This step ensures radical resection while maximizing preservation of bladder function.</w:t>
            </w:r>
          </w:p>
        </w:tc>
        <w:tc>
          <w:tcPr>
            <w:tcW w:w="1152" w:type="dxa"/>
            <w:vAlign w:val="center"/>
          </w:tcPr>
          <w:p w14:paraId="055C7F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89E21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58748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7FBEA36" w14:textId="77777777">
        <w:tc>
          <w:tcPr>
            <w:tcW w:w="10656" w:type="dxa"/>
            <w:gridSpan w:val="5"/>
            <w:tcBorders>
              <w:bottom w:val="single" w:sz="6" w:space="0" w:color="auto"/>
            </w:tcBorders>
            <w:vAlign w:val="center"/>
          </w:tcPr>
          <w:p w14:paraId="5AEB828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111: In the Latzko and Okabayashi operations, what is the key difference in the anatomical definition of the anterior and posterior layers of the vesicouterine ligament?</w:t>
            </w:r>
          </w:p>
        </w:tc>
      </w:tr>
      <w:tr w:rsidR="00922249" w:rsidRPr="00CB2EC4" w14:paraId="6030A657" w14:textId="77777777">
        <w:tc>
          <w:tcPr>
            <w:tcW w:w="2160" w:type="dxa"/>
            <w:vAlign w:val="center"/>
          </w:tcPr>
          <w:p w14:paraId="3654D9A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02FCDA9" w14:textId="77777777" w:rsidR="00922249" w:rsidRPr="00CB2EC4" w:rsidRDefault="003011D5">
            <w:pPr>
              <w:rPr>
                <w:rFonts w:ascii="Times New Roman" w:hAnsi="Times New Roman" w:cs="Times New Roman"/>
              </w:rPr>
            </w:pPr>
            <w:r w:rsidRPr="00CB2EC4">
              <w:rPr>
                <w:rFonts w:ascii="Times New Roman" w:hAnsi="Times New Roman" w:cs="Times New Roman"/>
              </w:rPr>
              <w:t>In Latzko and Okabayashi surgery, the key anatomical distinctions between the anterior and posterior layers of the vesicouterine ligament are as follows:</w:t>
            </w:r>
            <w:r w:rsidRPr="00CB2EC4">
              <w:rPr>
                <w:rFonts w:ascii="Times New Roman" w:hAnsi="Times New Roman" w:cs="Times New Roman"/>
              </w:rPr>
              <w:br/>
            </w:r>
            <w:r w:rsidRPr="00CB2EC4">
              <w:rPr>
                <w:rFonts w:ascii="Times New Roman" w:hAnsi="Times New Roman" w:cs="Times New Roman"/>
              </w:rPr>
              <w:br/>
              <w:t xml:space="preserve">- **Latzko surgery**: The vesicouterine ligament is primarily understood based on the concept of the "provesicouterine ligament," described in Peham-Amreich's surgical text as the connective band between the transverse cervical ligament and the bladder. However, in surgical practice, Latzko's approach does not explicitly differentiate anterior and posterior layers; it focuses instead on the roof of the ureteral canal, which corresponds to the vesicouterine </w:t>
            </w:r>
            <w:r w:rsidRPr="00CB2EC4">
              <w:rPr>
                <w:rFonts w:ascii="Times New Roman" w:hAnsi="Times New Roman" w:cs="Times New Roman"/>
              </w:rPr>
              <w:lastRenderedPageBreak/>
              <w:t>ligament concept in Western surgical literature. The document states that Latzko surgery lacks an equivalent concept to the "posterior layer" in Okabayashi surgery, treating the vesicouterine ligament as a single structural entity used mainly for managing the ureteral canal roof and the free uterine artery.</w:t>
            </w:r>
            <w:r w:rsidRPr="00CB2EC4">
              <w:rPr>
                <w:rFonts w:ascii="Times New Roman" w:hAnsi="Times New Roman" w:cs="Times New Roman"/>
              </w:rPr>
              <w:br/>
            </w:r>
            <w:r w:rsidRPr="00CB2EC4">
              <w:rPr>
                <w:rFonts w:ascii="Times New Roman" w:hAnsi="Times New Roman" w:cs="Times New Roman"/>
              </w:rPr>
              <w:br/>
              <w:t>- **Okabayashi surgery**: Okabayashi clearly divides the vesicouterine ligament into anterior and posterior layers:</w:t>
            </w:r>
            <w:r w:rsidRPr="00CB2EC4">
              <w:rPr>
                <w:rFonts w:ascii="Times New Roman" w:hAnsi="Times New Roman" w:cs="Times New Roman"/>
              </w:rPr>
              <w:br/>
              <w:t xml:space="preserve">  - **Anterior layer**: Connects the uterine cervix to the bladder, equivalent to the ureteric roof; it must be incised during surgery to mobilize the ureter.</w:t>
            </w:r>
            <w:r w:rsidRPr="00CB2EC4">
              <w:rPr>
                <w:rFonts w:ascii="Times New Roman" w:hAnsi="Times New Roman" w:cs="Times New Roman"/>
              </w:rPr>
              <w:br/>
              <w:t xml:space="preserve">  - **Posterior layer**: Also termed the vesicovaginal ligament, connects the transverse cervical ligament to the bladder; it requires independent separation and division during surgery to expose the anterior aspect of the ureter while preserving nerve function (e.g., bladder nerve branches).</w:t>
            </w:r>
            <w:r w:rsidRPr="00CB2EC4">
              <w:rPr>
                <w:rFonts w:ascii="Times New Roman" w:hAnsi="Times New Roman" w:cs="Times New Roman"/>
              </w:rPr>
              <w:br/>
            </w:r>
            <w:r w:rsidRPr="00CB2EC4">
              <w:rPr>
                <w:rFonts w:ascii="Times New Roman" w:hAnsi="Times New Roman" w:cs="Times New Roman"/>
              </w:rPr>
              <w:br/>
              <w:t xml:space="preserve">The critical difference lies in the three-dimensional anatomical perspective of Okabayashi surgery, which processes the ligament in layers (anterior layer for cervix-bladder connection, posterior layer for transverse cervical ligament-bladder connection), aiding in nerve preservation and reducing postoperative complications. In contrast, Latzko surgery adopts a two-dimensional view without such differentiation, treating the ligament as a unified structure, which may result in excessive surgical dissection or increased risk of nerve injury. This distinction is detailed in Table 15 (c. Differences regarding the vesicouterine ligament) of the </w:t>
            </w:r>
            <w:r w:rsidRPr="00CB2EC4">
              <w:rPr>
                <w:rFonts w:ascii="Times New Roman" w:hAnsi="Times New Roman" w:cs="Times New Roman"/>
              </w:rPr>
              <w:lastRenderedPageBreak/>
              <w:t>document.</w:t>
            </w:r>
          </w:p>
        </w:tc>
        <w:tc>
          <w:tcPr>
            <w:tcW w:w="1152" w:type="dxa"/>
            <w:vAlign w:val="center"/>
          </w:tcPr>
          <w:p w14:paraId="74F1CA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AEC9F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A49D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BC6FFF" w14:textId="77777777">
        <w:tc>
          <w:tcPr>
            <w:tcW w:w="2160" w:type="dxa"/>
            <w:vAlign w:val="center"/>
          </w:tcPr>
          <w:p w14:paraId="456A438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18AC74EC"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and Okabayashi surgical approaches, the key anatomical distinctions between the anterior and posterior layers of the vesicouterine ligament are as follows:</w:t>
            </w:r>
            <w:r w:rsidRPr="00CB2EC4">
              <w:rPr>
                <w:rFonts w:ascii="Times New Roman" w:hAnsi="Times New Roman" w:cs="Times New Roman"/>
              </w:rPr>
              <w:br/>
            </w:r>
            <w:r w:rsidRPr="00CB2EC4">
              <w:rPr>
                <w:rFonts w:ascii="Times New Roman" w:hAnsi="Times New Roman" w:cs="Times New Roman"/>
              </w:rPr>
              <w:br/>
              <w:t>- **Latzko surgery**: The concept of the vesicouterine ligament is relatively vague, primarily derived from the understanding of the "provesicouterine ligament." During the procedure, it is regarded as the connective band between the transverse cervical ligament and the bladder, but its specific manifestation is unclear, and the distinction from the bladder septa is not well-defined. The Latzko approach does not explicitly differentiate anterior and posterior layers; the vesicouterine ligament typically refers to the ureteric roof, which is also reflected in the Wertheim procedure (Block theme: Comparison of Latzko and Okabayashi techniques, Document Fragment 2; Block theme: Rectal lateral space and ligament anatomy, Document Fragment 18).</w:t>
            </w:r>
            <w:r w:rsidRPr="00CB2EC4">
              <w:rPr>
                <w:rFonts w:ascii="Times New Roman" w:hAnsi="Times New Roman" w:cs="Times New Roman"/>
              </w:rPr>
              <w:br/>
            </w:r>
            <w:r w:rsidRPr="00CB2EC4">
              <w:rPr>
                <w:rFonts w:ascii="Times New Roman" w:hAnsi="Times New Roman" w:cs="Times New Roman"/>
              </w:rPr>
              <w:br/>
              <w:t>- **Okabayashi surgery**: Explicitly divides the vesicouterine ligament into anterior and posterior layers:</w:t>
            </w:r>
            <w:r w:rsidRPr="00CB2EC4">
              <w:rPr>
                <w:rFonts w:ascii="Times New Roman" w:hAnsi="Times New Roman" w:cs="Times New Roman"/>
              </w:rPr>
              <w:br/>
              <w:t xml:space="preserve">  - **Anterior layer**: Connects the cervix uteri to the bladder, equivalent to the ureteric roof, and is treated as an independent structure intraoperatively.</w:t>
            </w:r>
            <w:r w:rsidRPr="00CB2EC4">
              <w:rPr>
                <w:rFonts w:ascii="Times New Roman" w:hAnsi="Times New Roman" w:cs="Times New Roman"/>
              </w:rPr>
              <w:br/>
              <w:t xml:space="preserve">  - **Posterior layer**: Also termed the vesicovaginal ligament, connects the transverse cervical ligament to the bladder, and is clearly depicted in the atlas of *Radical Hysterectomy for Cervical Cancer* (Block theme: Comparison of Latzko and Okabayashi techniques, Document Fragment 2; Block theme: </w:t>
            </w:r>
            <w:r w:rsidRPr="00CB2EC4">
              <w:rPr>
                <w:rFonts w:ascii="Times New Roman" w:hAnsi="Times New Roman" w:cs="Times New Roman"/>
              </w:rPr>
              <w:lastRenderedPageBreak/>
              <w:t>Rectal lateral space and ligament anatomy, Document Fragment 18).</w:t>
            </w:r>
            <w:r w:rsidRPr="00CB2EC4">
              <w:rPr>
                <w:rFonts w:ascii="Times New Roman" w:hAnsi="Times New Roman" w:cs="Times New Roman"/>
              </w:rPr>
              <w:br/>
            </w:r>
            <w:r w:rsidRPr="00CB2EC4">
              <w:rPr>
                <w:rFonts w:ascii="Times New Roman" w:hAnsi="Times New Roman" w:cs="Times New Roman"/>
              </w:rPr>
              <w:br/>
              <w:t>The critical difference lies in: The Latzko approach lacks systematic layering, with its concept based on traditional European anatomy and being relatively two-dimensional; whereas the Okabayashi approach innovatively implements three-dimensional layering—the anterior layer focuses on the cervix-bladder connection, and the posterior layer addresses the transverse cervical ligament-bladder connection—providing a foundation for subsequent nerve-sparing procedures.</w:t>
            </w:r>
          </w:p>
        </w:tc>
        <w:tc>
          <w:tcPr>
            <w:tcW w:w="1152" w:type="dxa"/>
            <w:vAlign w:val="center"/>
          </w:tcPr>
          <w:p w14:paraId="2B0E39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BAEC3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A964A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0421C71" w14:textId="77777777">
        <w:tc>
          <w:tcPr>
            <w:tcW w:w="2160" w:type="dxa"/>
            <w:vAlign w:val="center"/>
          </w:tcPr>
          <w:p w14:paraId="2221619B"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5AA3439"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and Okabayashi surgical procedures, the key anatomical distinctions regarding the anterior and posterior layers of the vesicouterine ligament are as follows:</w:t>
            </w:r>
            <w:r w:rsidRPr="00CB2EC4">
              <w:rPr>
                <w:rFonts w:ascii="Times New Roman" w:hAnsi="Times New Roman" w:cs="Times New Roman"/>
              </w:rPr>
              <w:br/>
            </w:r>
            <w:r w:rsidRPr="00CB2EC4">
              <w:rPr>
                <w:rFonts w:ascii="Times New Roman" w:hAnsi="Times New Roman" w:cs="Times New Roman"/>
              </w:rPr>
              <w:br/>
              <w:t xml:space="preserve">- **Okabayashi surgery (three-dimensional approach):**  </w:t>
            </w:r>
            <w:r w:rsidRPr="00CB2EC4">
              <w:rPr>
                <w:rFonts w:ascii="Times New Roman" w:hAnsi="Times New Roman" w:cs="Times New Roman"/>
              </w:rPr>
              <w:br/>
              <w:t xml:space="preserve">  - The vesicouterine ligament is explicitly divided into an anterior layer and a posterior layer (references 1, 4, 7, 8, 9).  </w:t>
            </w:r>
            <w:r w:rsidRPr="00CB2EC4">
              <w:rPr>
                <w:rFonts w:ascii="Times New Roman" w:hAnsi="Times New Roman" w:cs="Times New Roman"/>
              </w:rPr>
              <w:br/>
              <w:t xml:space="preserve">  - The anterior layer (also termed the superficial layer) corresponds to the ureteric roof, connecting the cervix and bladder, and represents the connective tissue covering the ureter and distributed along the lateral margins of the cervix and vagina (references 1, 4, 14, 15).  </w:t>
            </w:r>
            <w:r w:rsidRPr="00CB2EC4">
              <w:rPr>
                <w:rFonts w:ascii="Times New Roman" w:hAnsi="Times New Roman" w:cs="Times New Roman"/>
              </w:rPr>
              <w:br/>
              <w:t xml:space="preserve">  - The posterior layer (also termed the vesicovaginal ligament) is a connective tissue bundle linking the transverse cervical ligament and the bladder, containing venous plexuses (e.g., superior vesical veins) and nerve branches (vesical nerve branches), </w:t>
            </w:r>
            <w:r w:rsidRPr="00CB2EC4">
              <w:rPr>
                <w:rFonts w:ascii="Times New Roman" w:hAnsi="Times New Roman" w:cs="Times New Roman"/>
              </w:rPr>
              <w:lastRenderedPageBreak/>
              <w:t xml:space="preserve">and is considered the deep layer forming a complex with the cervicovesical ligament. It straddles the ureter and attaches parallel to the lateral margin of the cervix/vagina (references 1, 8, 11, 12, 14, 18).  </w:t>
            </w:r>
            <w:r w:rsidRPr="00CB2EC4">
              <w:rPr>
                <w:rFonts w:ascii="Times New Roman" w:hAnsi="Times New Roman" w:cs="Times New Roman"/>
              </w:rPr>
              <w:br/>
              <w:t xml:space="preserve">  - In the Okabayashi procedure, the anterior and posterior layers are severed separately to address the three-dimensional structure explicitly (references 7, 9).  </w:t>
            </w:r>
            <w:r w:rsidRPr="00CB2EC4">
              <w:rPr>
                <w:rFonts w:ascii="Times New Roman" w:hAnsi="Times New Roman" w:cs="Times New Roman"/>
              </w:rPr>
              <w:br/>
            </w:r>
            <w:r w:rsidRPr="00CB2EC4">
              <w:rPr>
                <w:rFonts w:ascii="Times New Roman" w:hAnsi="Times New Roman" w:cs="Times New Roman"/>
              </w:rPr>
              <w:br/>
              <w:t xml:space="preserve">- **Latzko surgery (two-dimensional approach):**  </w:t>
            </w:r>
            <w:r w:rsidRPr="00CB2EC4">
              <w:rPr>
                <w:rFonts w:ascii="Times New Roman" w:hAnsi="Times New Roman" w:cs="Times New Roman"/>
              </w:rPr>
              <w:br/>
              <w:t xml:space="preserve">  - No explicit differentiation is made between the anterior and posterior layers of the vesicouterine ligament (references 7, 23).  </w:t>
            </w:r>
            <w:r w:rsidRPr="00CB2EC4">
              <w:rPr>
                <w:rFonts w:ascii="Times New Roman" w:hAnsi="Times New Roman" w:cs="Times New Roman"/>
              </w:rPr>
              <w:br/>
              <w:t xml:space="preserve">  - The procedure involves developing multiple spaces (e.g., lateral vesical space and recto-uterine space head/tail compartments) and then treats the entire ligament as a single structure (references 7, 23). The Latzko method emphasizes space expansion rather than layered dissection (references 7, 10).  </w:t>
            </w:r>
            <w:r w:rsidRPr="00CB2EC4">
              <w:rPr>
                <w:rFonts w:ascii="Times New Roman" w:hAnsi="Times New Roman" w:cs="Times New Roman"/>
              </w:rPr>
              <w:br/>
              <w:t xml:space="preserve">  - The documentation does not specify subdivision of the vesicouterine ligament in the Latzko technique, mentioning only potential involvement of the superior fascia of the levator ani during transection (reference 50).  </w:t>
            </w:r>
            <w:r w:rsidRPr="00CB2EC4">
              <w:rPr>
                <w:rFonts w:ascii="Times New Roman" w:hAnsi="Times New Roman" w:cs="Times New Roman"/>
              </w:rPr>
              <w:br/>
            </w:r>
            <w:r w:rsidRPr="00CB2EC4">
              <w:rPr>
                <w:rFonts w:ascii="Times New Roman" w:hAnsi="Times New Roman" w:cs="Times New Roman"/>
              </w:rPr>
              <w:br/>
              <w:t>**Key distinction:** The Okabayashi surgery employs a three-dimensional layered dissection of the vesicouterine ligament (anterior layer as ureteric roof, posterior layer as a venous-nerve complex), whereas the Latzko surgery uses a two-dimensional space-based method without layer differentiation, treating the ligament as a unified structure. This reflects the Okabayashi procedure’s refinement in anatomical detail (references 7, 8, 12).</w:t>
            </w:r>
          </w:p>
        </w:tc>
        <w:tc>
          <w:tcPr>
            <w:tcW w:w="1152" w:type="dxa"/>
            <w:vAlign w:val="center"/>
          </w:tcPr>
          <w:p w14:paraId="1DA262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9A5A7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2793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DA2A20" w14:textId="77777777">
        <w:tc>
          <w:tcPr>
            <w:tcW w:w="2160" w:type="dxa"/>
            <w:vAlign w:val="center"/>
          </w:tcPr>
          <w:p w14:paraId="0349DB0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4364ED1E" w14:textId="77777777" w:rsidR="00922249" w:rsidRPr="00CB2EC4" w:rsidRDefault="003011D5">
            <w:pPr>
              <w:rPr>
                <w:rFonts w:ascii="Times New Roman" w:hAnsi="Times New Roman" w:cs="Times New Roman"/>
              </w:rPr>
            </w:pPr>
            <w:r w:rsidRPr="00CB2EC4">
              <w:rPr>
                <w:rFonts w:ascii="Times New Roman" w:hAnsi="Times New Roman" w:cs="Times New Roman"/>
              </w:rPr>
              <w:t>in Latzko and Okabayashi surgery, what are the key anatomical distinctions between the anterior and posterior layers of the vesicouterine ligament?</w:t>
            </w:r>
            <w:r w:rsidRPr="00CB2EC4">
              <w:rPr>
                <w:rFonts w:ascii="Times New Roman" w:hAnsi="Times New Roman" w:cs="Times New Roman"/>
              </w:rPr>
              <w:br/>
            </w:r>
            <w:r w:rsidRPr="00CB2EC4">
              <w:rPr>
                <w:rFonts w:ascii="Times New Roman" w:hAnsi="Times New Roman" w:cs="Times New Roman"/>
              </w:rPr>
              <w:br/>
              <w:t>- **Latzko surgery** (based on traditional European anatomy):</w:t>
            </w:r>
            <w:r w:rsidRPr="00CB2EC4">
              <w:rPr>
                <w:rFonts w:ascii="Times New Roman" w:hAnsi="Times New Roman" w:cs="Times New Roman"/>
              </w:rPr>
              <w:br/>
              <w:t xml:space="preserve">  - Treats the vesicouterine ligament as a single structural entity, primarily corresponding to the roof of the ureteral canal (i.e., the connective tissue layer covering the superior aspect of the ureter).</w:t>
            </w:r>
            <w:r w:rsidRPr="00CB2EC4">
              <w:rPr>
                <w:rFonts w:ascii="Times New Roman" w:hAnsi="Times New Roman" w:cs="Times New Roman"/>
              </w:rPr>
              <w:br/>
              <w:t xml:space="preserve">  - Does not explicitly differentiate anterior and posterior layers; its concept aligns more closely with the "vesical pillar," which connects to the transverse cervical ligament but with indistinct boundaries.</w:t>
            </w:r>
            <w:r w:rsidRPr="00CB2EC4">
              <w:rPr>
                <w:rFonts w:ascii="Times New Roman" w:hAnsi="Times New Roman" w:cs="Times New Roman"/>
              </w:rPr>
              <w:br/>
              <w:t>- **Okabayashi surgery** (three-dimensional anatomical perspective):</w:t>
            </w:r>
            <w:r w:rsidRPr="00CB2EC4">
              <w:rPr>
                <w:rFonts w:ascii="Times New Roman" w:hAnsi="Times New Roman" w:cs="Times New Roman"/>
              </w:rPr>
              <w:br/>
              <w:t xml:space="preserve">  - **Anterior layer**: The ligament connecting the uterine cervix to the bladder, equivalent to the roof of the ureteral canal (consistent with Latzko).</w:t>
            </w:r>
            <w:r w:rsidRPr="00CB2EC4">
              <w:rPr>
                <w:rFonts w:ascii="Times New Roman" w:hAnsi="Times New Roman" w:cs="Times New Roman"/>
              </w:rPr>
              <w:br/>
              <w:t xml:space="preserve">  - **Posterior layer**: Termed the "vesicovaginal ligament," connecting the transverse cervical ligament to the bladder, containing vascular structures (e.g., superior vesical vein) and nerve branches (the vesical nerve branch courses through this layer).</w:t>
            </w:r>
            <w:r w:rsidRPr="00CB2EC4">
              <w:rPr>
                <w:rFonts w:ascii="Times New Roman" w:hAnsi="Times New Roman" w:cs="Times New Roman"/>
              </w:rPr>
              <w:br/>
              <w:t xml:space="preserve">  - The key innovation lies in the separation and independent handling of the two layers to preserve nerves (the neural component of the posterior layer) and reduce the risk of bladder atony.</w:t>
            </w:r>
            <w:r w:rsidRPr="00CB2EC4">
              <w:rPr>
                <w:rFonts w:ascii="Times New Roman" w:hAnsi="Times New Roman" w:cs="Times New Roman"/>
              </w:rPr>
              <w:br/>
            </w:r>
            <w:r w:rsidRPr="00CB2EC4">
              <w:rPr>
                <w:rFonts w:ascii="Times New Roman" w:hAnsi="Times New Roman" w:cs="Times New Roman"/>
              </w:rPr>
              <w:br/>
              <w:t xml:space="preserve">Conclusion:  </w:t>
            </w:r>
            <w:r w:rsidRPr="00CB2EC4">
              <w:rPr>
                <w:rFonts w:ascii="Times New Roman" w:hAnsi="Times New Roman" w:cs="Times New Roman"/>
              </w:rPr>
              <w:br/>
              <w:t xml:space="preserve">Okabayashi surgery is the first to clearly stratify the layers (anterior layer = roof of ureteral canal; posterior layer = neurovascular complex), whereas Latzko surgery processes them without stratification. This </w:t>
            </w:r>
            <w:r w:rsidRPr="00CB2EC4">
              <w:rPr>
                <w:rFonts w:ascii="Times New Roman" w:hAnsi="Times New Roman" w:cs="Times New Roman"/>
              </w:rPr>
              <w:lastRenderedPageBreak/>
              <w:t>difference arises from Okabayashi’s abandonment of traditional anatomical constraints, proposing a stereoscopic structural concept (Table 15).</w:t>
            </w:r>
          </w:p>
        </w:tc>
        <w:tc>
          <w:tcPr>
            <w:tcW w:w="1152" w:type="dxa"/>
            <w:vAlign w:val="center"/>
          </w:tcPr>
          <w:p w14:paraId="11E981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62C82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8DCC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CC9C77" w14:textId="77777777">
        <w:tc>
          <w:tcPr>
            <w:tcW w:w="2160" w:type="dxa"/>
            <w:vAlign w:val="center"/>
          </w:tcPr>
          <w:p w14:paraId="528EDCD3"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DBA6444"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and Okabayashi surgical approaches, what are the key anatomical distinctions between the anterior and posterior layers of the vesicouterine ligament?</w:t>
            </w:r>
            <w:r w:rsidRPr="00CB2EC4">
              <w:rPr>
                <w:rFonts w:ascii="Times New Roman" w:hAnsi="Times New Roman" w:cs="Times New Roman"/>
              </w:rPr>
              <w:br/>
            </w:r>
            <w:r w:rsidRPr="00CB2EC4">
              <w:rPr>
                <w:rFonts w:ascii="Times New Roman" w:hAnsi="Times New Roman" w:cs="Times New Roman"/>
              </w:rPr>
              <w:br/>
              <w:t>according to document excerpts 2 and 15 (table comparison), the Latzko and Okabayashi approaches differ fundamentally in the anatomical definition of the vesicouterine ligament:</w:t>
            </w:r>
            <w:r w:rsidRPr="00CB2EC4">
              <w:rPr>
                <w:rFonts w:ascii="Times New Roman" w:hAnsi="Times New Roman" w:cs="Times New Roman"/>
              </w:rPr>
              <w:br/>
              <w:t>- **Latzko approach**: the vesicouterine ligament is conceptualized as a single structure, the "roof of the ureteral canal," rooted in European traditional anatomy (e.g., Peham-Amreich surgical texts). it is not explicitly divided into anterior and posterior layers but is treated as a unified entity primarily covering the entrance to the ureteral tunnel. during surgery, this concept lacks concrete demonstration, and its distinction from the bladder pillar remains ambiguous.</w:t>
            </w:r>
            <w:r w:rsidRPr="00CB2EC4">
              <w:rPr>
                <w:rFonts w:ascii="Times New Roman" w:hAnsi="Times New Roman" w:cs="Times New Roman"/>
              </w:rPr>
              <w:br/>
              <w:t>- **Okabayashi approach**: the vescouterine ligament is explicitly divided into anterior and posterior layers:</w:t>
            </w:r>
            <w:r w:rsidRPr="00CB2EC4">
              <w:rPr>
                <w:rFonts w:ascii="Times New Roman" w:hAnsi="Times New Roman" w:cs="Times New Roman"/>
              </w:rPr>
              <w:br/>
              <w:t xml:space="preserve">  - **anterior layer**: a ligament connecting the cervix to the bladder, equivalent to the "roof of the ureteral canal" in the Latzko approach.</w:t>
            </w:r>
            <w:r w:rsidRPr="00CB2EC4">
              <w:rPr>
                <w:rFonts w:ascii="Times New Roman" w:hAnsi="Times New Roman" w:cs="Times New Roman"/>
              </w:rPr>
              <w:br/>
              <w:t xml:space="preserve">  - **posterior layer**: also termed the vesicovaginal ligament, connecting the transverse cervical ligament to the bladder. this is detailed in Okabayashi’s *Radical Hysterectomy for Cervical Cancer* (1955), with figures 26 and 27 illustrating that the posterior layer involves the connection between the transverse cervical ligament and the bladder.</w:t>
            </w:r>
            <w:r w:rsidRPr="00CB2EC4">
              <w:rPr>
                <w:rFonts w:ascii="Times New Roman" w:hAnsi="Times New Roman" w:cs="Times New Roman"/>
              </w:rPr>
              <w:br/>
            </w:r>
            <w:r w:rsidRPr="00CB2EC4">
              <w:rPr>
                <w:rFonts w:ascii="Times New Roman" w:hAnsi="Times New Roman" w:cs="Times New Roman"/>
              </w:rPr>
              <w:lastRenderedPageBreak/>
              <w:br/>
              <w:t>the key distinction lies in: the Latzko approach employs a two-dimensional anatomical concept, treating the vesicouterine ligament as a single entity (roof of the ureteral canal), whereas the Okabayashi approach adopts a three-dimensional anatomical concept, systematically dividing it into an anterior layer (cervix–bladder connection) and a posterior layer (transverse cervical ligament–bladder connection), providing the anatomical basis for subsequent nerve-sparing procedures (e.g., the Kobayashi approach).</w:t>
            </w:r>
          </w:p>
        </w:tc>
        <w:tc>
          <w:tcPr>
            <w:tcW w:w="1152" w:type="dxa"/>
            <w:vAlign w:val="center"/>
          </w:tcPr>
          <w:p w14:paraId="02A567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8D3C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48B1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C928112" w14:textId="77777777">
        <w:tc>
          <w:tcPr>
            <w:tcW w:w="2160" w:type="dxa"/>
            <w:vAlign w:val="center"/>
          </w:tcPr>
          <w:p w14:paraId="2A9B353B"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F55F486"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and Okabayashi surgical approaches, what are the key anatomical distinctions between the anterior and posterior layers of the vesicouterine ligament?</w:t>
            </w:r>
            <w:r w:rsidRPr="00CB2EC4">
              <w:rPr>
                <w:rFonts w:ascii="Times New Roman" w:hAnsi="Times New Roman" w:cs="Times New Roman"/>
              </w:rPr>
              <w:br/>
            </w:r>
            <w:r w:rsidRPr="00CB2EC4">
              <w:rPr>
                <w:rFonts w:ascii="Times New Roman" w:hAnsi="Times New Roman" w:cs="Times New Roman"/>
              </w:rPr>
              <w:br/>
              <w:t>Based on the context (primarily from Document 4 and Document 9), there is a key anatomical distinction in the definition of the vesicouterine ligament between the Latzko and Okabayashi procedures:</w:t>
            </w:r>
            <w:r w:rsidRPr="00CB2EC4">
              <w:rPr>
                <w:rFonts w:ascii="Times New Roman" w:hAnsi="Times New Roman" w:cs="Times New Roman"/>
              </w:rPr>
              <w:br/>
              <w:t>- **Latzko procedure**: The vesicouterine ligament is regarded as a single, undifferentiated structure. No explicit separation into anterior and posterior layers is made. It originates from the concept of the "provesicouterine ligament," referring to the roof of the ureteral tunnel, with a blurred distinction from the bladder pillar. In traditional Western anatomy (e.g., Peham-Amreich surgical texts), the vesicouterine ligament is viewed as the connection between the transverse cervical ligament and the bladder, but the anterior and posterior layer concepts are not specifically demonstrated during surgery (Document 4).</w:t>
            </w:r>
            <w:r w:rsidRPr="00CB2EC4">
              <w:rPr>
                <w:rFonts w:ascii="Times New Roman" w:hAnsi="Times New Roman" w:cs="Times New Roman"/>
              </w:rPr>
              <w:br/>
            </w:r>
            <w:r w:rsidRPr="00CB2EC4">
              <w:rPr>
                <w:rFonts w:ascii="Times New Roman" w:hAnsi="Times New Roman" w:cs="Times New Roman"/>
              </w:rPr>
              <w:lastRenderedPageBreak/>
              <w:t>- **Okabayashi procedure**: The vesicouterine ligament is explicitly divided into anterior and posterior layers:</w:t>
            </w:r>
            <w:r w:rsidRPr="00CB2EC4">
              <w:rPr>
                <w:rFonts w:ascii="Times New Roman" w:hAnsi="Times New Roman" w:cs="Times New Roman"/>
              </w:rPr>
              <w:br/>
              <w:t xml:space="preserve">  - **Anterior layer**: Connects the uterine cervix to the bladder, corresponding to the roof of the ureteral tunnel in Western terminology (similar to the Latzko definition).</w:t>
            </w:r>
            <w:r w:rsidRPr="00CB2EC4">
              <w:rPr>
                <w:rFonts w:ascii="Times New Roman" w:hAnsi="Times New Roman" w:cs="Times New Roman"/>
              </w:rPr>
              <w:br/>
              <w:t xml:space="preserve">  - **Posterior layer**: Also termed the vesicovaginal ligament, connects the transverse cervical ligament to the bladder. Okabayashi detailed this layered concept in *Radical Hysterectomy for Cervical Cancer* through illustrations (Figures 26, 27), systematizing the surgical approach (Document 4 and Document 9).</w:t>
            </w:r>
            <w:r w:rsidRPr="00CB2EC4">
              <w:rPr>
                <w:rFonts w:ascii="Times New Roman" w:hAnsi="Times New Roman" w:cs="Times New Roman"/>
              </w:rPr>
              <w:br/>
              <w:t>Key distinction: The Latzko procedure does not differentiate anterior and posterior layers, treating the ligament as a single entity; the Okabayashi procedure innovatively introduces the layered concept (anterior layer as cervix-bladder connection, posterior layer as transverse cervical ligament-bladder connection), enhancing surgical precision and three-dimensional anatomical understanding.</w:t>
            </w:r>
          </w:p>
        </w:tc>
        <w:tc>
          <w:tcPr>
            <w:tcW w:w="1152" w:type="dxa"/>
            <w:vAlign w:val="center"/>
          </w:tcPr>
          <w:p w14:paraId="3F9275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0A7DC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2C50D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ADF573D" w14:textId="77777777">
        <w:tc>
          <w:tcPr>
            <w:tcW w:w="2160" w:type="dxa"/>
            <w:vAlign w:val="center"/>
          </w:tcPr>
          <w:p w14:paraId="6B6E3ED1"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F6CC95D"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and Okabayashi surgical procedures, what are the key anatomical distinctions in the handling of the anterior and posterior layers of the vesicouterine ligament?</w:t>
            </w:r>
            <w:r w:rsidRPr="00CB2EC4">
              <w:rPr>
                <w:rFonts w:ascii="Times New Roman" w:hAnsi="Times New Roman" w:cs="Times New Roman"/>
              </w:rPr>
              <w:br/>
            </w:r>
            <w:r w:rsidRPr="00CB2EC4">
              <w:rPr>
                <w:rFonts w:ascii="Times New Roman" w:hAnsi="Times New Roman" w:cs="Times New Roman"/>
              </w:rPr>
              <w:br/>
              <w:t>according to the document, key differences exist in how the anterior and posterior layers of the vesicouterine ligament are managed between the Latzko and Okabayashi procedures:</w:t>
            </w:r>
            <w:r w:rsidRPr="00CB2EC4">
              <w:rPr>
                <w:rFonts w:ascii="Times New Roman" w:hAnsi="Times New Roman" w:cs="Times New Roman"/>
              </w:rPr>
              <w:br/>
              <w:t xml:space="preserve">- **Latzko procedure**: treats the vesicouterine ligament as a single, undifferentiated structure, without explicit separation of anterior and posterior layers. during surgery, the medial surface of the </w:t>
            </w:r>
            <w:r w:rsidRPr="00CB2EC4">
              <w:rPr>
                <w:rFonts w:ascii="Times New Roman" w:hAnsi="Times New Roman" w:cs="Times New Roman"/>
              </w:rPr>
              <w:lastRenderedPageBreak/>
              <w:t>vesicouterine ligament is considered the lateral wall of the vesicovaginal space and is managed together with the superior fascia of the levator ani and perivaginal tissues. specifically, after resection of the transverse cervical ligament, the superior fascia of the levator ani along with perivaginal tissues is clamped, cut, and ligated as a unit (see Table 15, section e). this reflects a two-dimensional anatomical concept, emphasizing combined management without individual dissection of the anterior and posterior layers.</w:t>
            </w:r>
            <w:r w:rsidRPr="00CB2EC4">
              <w:rPr>
                <w:rFonts w:ascii="Times New Roman" w:hAnsi="Times New Roman" w:cs="Times New Roman"/>
              </w:rPr>
              <w:br/>
              <w:t>- **Okabayashi procedure**: explicitly divides the vesicouterine ligament into an anterior leaf and a posterior leaf, and handles them separately. the anterior leaf involves the roof of the ureteral canal, while the posterior leaf involves the vesicocervical ligament and is associated with nerve preservation. in the Okabayashi procedure, only the perivaginal connective tissue is resected, without involvement of the superior fascia of the levator ani, which allows for potential preservation of bladder innervation (see Table 15, section e and the description of the Okabayashi procedure in the document). this reflects a three-dimensional anatomical concept, enabling finer dissection—such as using the anterior leaf to mobilize the ureter and the posterior leaf to manage venous plexuses and nerves.</w:t>
            </w:r>
            <w:r w:rsidRPr="00CB2EC4">
              <w:rPr>
                <w:rFonts w:ascii="Times New Roman" w:hAnsi="Times New Roman" w:cs="Times New Roman"/>
              </w:rPr>
              <w:br/>
            </w:r>
            <w:r w:rsidRPr="00CB2EC4">
              <w:rPr>
                <w:rFonts w:ascii="Times New Roman" w:hAnsi="Times New Roman" w:cs="Times New Roman"/>
              </w:rPr>
              <w:br/>
              <w:t xml:space="preserve">the key distinction lies in: the Latzko procedure employs a combined approach, integrating the ligament with surrounding fascia; whereas the Okabayashi procedure uses a layered approach, with the anterior layer focused on the ureteral tunnel and the posterior layer on nerve and vascular preservation, influencing the radicality and nerve-sparing outcomes </w:t>
            </w:r>
            <w:r w:rsidRPr="00CB2EC4">
              <w:rPr>
                <w:rFonts w:ascii="Times New Roman" w:hAnsi="Times New Roman" w:cs="Times New Roman"/>
              </w:rPr>
              <w:lastRenderedPageBreak/>
              <w:t>of the surgery.</w:t>
            </w:r>
          </w:p>
        </w:tc>
        <w:tc>
          <w:tcPr>
            <w:tcW w:w="1152" w:type="dxa"/>
            <w:vAlign w:val="center"/>
          </w:tcPr>
          <w:p w14:paraId="0B75F5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74FDF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3037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0ABC36" w14:textId="77777777">
        <w:tc>
          <w:tcPr>
            <w:tcW w:w="2160" w:type="dxa"/>
            <w:vAlign w:val="center"/>
          </w:tcPr>
          <w:p w14:paraId="6522C9E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02A9723A" w14:textId="77777777" w:rsidR="00922249" w:rsidRPr="00CB2EC4" w:rsidRDefault="003011D5">
            <w:pPr>
              <w:rPr>
                <w:rFonts w:ascii="Times New Roman" w:hAnsi="Times New Roman" w:cs="Times New Roman"/>
              </w:rPr>
            </w:pPr>
            <w:r w:rsidRPr="00CB2EC4">
              <w:rPr>
                <w:rFonts w:ascii="Times New Roman" w:hAnsi="Times New Roman" w:cs="Times New Roman"/>
              </w:rPr>
              <w:t>in Latzko and Okabayashi surgery, the key anatomical distinctions between the anterior and posterior layers of the vesicouterine ligament are as follows:</w:t>
            </w:r>
            <w:r w:rsidRPr="00CB2EC4">
              <w:rPr>
                <w:rFonts w:ascii="Times New Roman" w:hAnsi="Times New Roman" w:cs="Times New Roman"/>
              </w:rPr>
              <w:br/>
            </w:r>
            <w:r w:rsidRPr="00CB2EC4">
              <w:rPr>
                <w:rFonts w:ascii="Times New Roman" w:hAnsi="Times New Roman" w:cs="Times New Roman"/>
              </w:rPr>
              <w:br/>
              <w:t>- **Okabayashi surgery**: Okabayashi explicitly divides the vesicouterine ligament into an anterior leaf and a posterior leaf. The anterior leaf corresponds to the ureteric roof—a ligamentous structure connecting the cervix and bladder—and must be dissected and divided during surgery (document fragment 4). The posterior leaf refers to the connective tissue bundle linking the transverse cervical ligament to the bladder, encompassing the superior vesical vein and branches of the vesical nerve plexus; it is often termed the vesicocervical ligament and involves the neurovascular bundle (document fragments 4 and 12). Anatomically, the posterior layer emphasizes a three-dimensional orientation, perpendicular to the cervical region, and contains venous plexuses and connective tissue (document fragment 4).</w:t>
            </w:r>
            <w:r w:rsidRPr="00CB2EC4">
              <w:rPr>
                <w:rFonts w:ascii="Times New Roman" w:hAnsi="Times New Roman" w:cs="Times New Roman"/>
              </w:rPr>
              <w:br/>
            </w:r>
            <w:r w:rsidRPr="00CB2EC4">
              <w:rPr>
                <w:rFonts w:ascii="Times New Roman" w:hAnsi="Times New Roman" w:cs="Times New Roman"/>
              </w:rPr>
              <w:br/>
              <w:t>- **Latzko surgery**: The Latzko procedure does not distinguish anterior and posterior layers of the vesicouterine ligament. It adopts a two-dimensional approach, treating the vesicouterine ligament as a single entity (e.g., the ureteric roof), with no concept of a posterior layer (document fragments 4 and 5). In traditional Western anatomical definitions, the vesicouterine ligament primarily denotes the ureteric roof, lacking an equivalent to Okabayashi’s posterior layer (document fragment 4).</w:t>
            </w:r>
            <w:r w:rsidRPr="00CB2EC4">
              <w:rPr>
                <w:rFonts w:ascii="Times New Roman" w:hAnsi="Times New Roman" w:cs="Times New Roman"/>
              </w:rPr>
              <w:br/>
            </w:r>
            <w:r w:rsidRPr="00CB2EC4">
              <w:rPr>
                <w:rFonts w:ascii="Times New Roman" w:hAnsi="Times New Roman" w:cs="Times New Roman"/>
              </w:rPr>
              <w:br/>
              <w:t xml:space="preserve">- **Key distinction**: Okabayashi’s innovation lies in </w:t>
            </w:r>
            <w:r w:rsidRPr="00CB2EC4">
              <w:rPr>
                <w:rFonts w:ascii="Times New Roman" w:hAnsi="Times New Roman" w:cs="Times New Roman"/>
              </w:rPr>
              <w:lastRenderedPageBreak/>
              <w:t>the three-dimensional anatomical definition: the anterior layer corresponds to the ureteric roof, while the posterior layer represents the connective band between the transverse cervical ligament and the bladder (containing the neurovascular bundle). In contrast, Latzko surgery adheres to the conventional two-dimensional view, omitting subdivision of the posterior layer and addressing only the ureteric roof component. This reflects Okabayashi’s departure from classical anatomical constraints and his conceptualization of a novel surgical approach (document fragment 5).</w:t>
            </w:r>
          </w:p>
        </w:tc>
        <w:tc>
          <w:tcPr>
            <w:tcW w:w="1152" w:type="dxa"/>
            <w:vAlign w:val="center"/>
          </w:tcPr>
          <w:p w14:paraId="398FC8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C0ACD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67AA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3E12EC" w14:textId="77777777">
        <w:tc>
          <w:tcPr>
            <w:tcW w:w="2160" w:type="dxa"/>
            <w:vAlign w:val="center"/>
          </w:tcPr>
          <w:p w14:paraId="57E31A8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E7DFF71"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and Okabayashi surgical procedures, what are the key anatomical distinctions between the anterior and posterior layers of the vesicouterine ligament?</w:t>
            </w:r>
            <w:r w:rsidRPr="00CB2EC4">
              <w:rPr>
                <w:rFonts w:ascii="Times New Roman" w:hAnsi="Times New Roman" w:cs="Times New Roman"/>
              </w:rPr>
              <w:br/>
            </w:r>
            <w:r w:rsidRPr="00CB2EC4">
              <w:rPr>
                <w:rFonts w:ascii="Times New Roman" w:hAnsi="Times New Roman" w:cs="Times New Roman"/>
              </w:rPr>
              <w:br/>
              <w:t xml:space="preserve">According to the document content (Table 15 and surgical descriptions), there are significant differences in the handling of the anterior and posterior layers of the vesicouterine ligament between the Latzko and Okabayashi procedures:  </w:t>
            </w:r>
            <w:r w:rsidRPr="00CB2EC4">
              <w:rPr>
                <w:rFonts w:ascii="Times New Roman" w:hAnsi="Times New Roman" w:cs="Times New Roman"/>
              </w:rPr>
              <w:br/>
              <w:t xml:space="preserve">- **Latzko procedure**: It is two-dimensional, focusing on developing the lateral vesical space and the rectal lateral space (cranial compartment/caudal compartment), but does not explicitly differentiate the anterior and posterior layers of the vesicouterine ligament. The surgery extends the site of cardinal ligament division toward the pelvic sidewall from a simple total hysterectomy, without mentioning independent anatomical identification or management of the anterior and posterior layers (document excerpt: "The Latzko procedure is two-dimensional... extending the cardinal ligament division site slightly </w:t>
            </w:r>
            <w:r w:rsidRPr="00CB2EC4">
              <w:rPr>
                <w:rFonts w:ascii="Times New Roman" w:hAnsi="Times New Roman" w:cs="Times New Roman"/>
              </w:rPr>
              <w:lastRenderedPageBreak/>
              <w:t xml:space="preserve">toward the pelvic sidewall compared to a simple total hysterectomy").  </w:t>
            </w:r>
            <w:r w:rsidRPr="00CB2EC4">
              <w:rPr>
                <w:rFonts w:ascii="Times New Roman" w:hAnsi="Times New Roman" w:cs="Times New Roman"/>
              </w:rPr>
              <w:br/>
              <w:t xml:space="preserve">- **Okabayashi procedure**: It is three-dimensional, explicitly separating the anterior and posterior layers of the vesicouterine ligament and associating them with the three-dimensional structure of the transverse cervical ligament. During surgery, the anterior and posterior layers are divided independently, reflecting meticulous dissection of pelvic connective tissue (document excerpt: "The Okabayashi procedure is three-dimensional... distinguishing the anterior and posterior layers of the vesicouterine ligament, clarifying their stereoscopic relationship with the transverse cervical ligament, and dividing them separately"; "The terms 'anterior layer of the vesicouterine ligament' and 'posterior layer of the vesicouterine ligament' first appeared but were not formally documented until the 1955 publication *Radical Surgery for Cervical Cancer*").  </w:t>
            </w:r>
            <w:r w:rsidRPr="00CB2EC4">
              <w:rPr>
                <w:rFonts w:ascii="Times New Roman" w:hAnsi="Times New Roman" w:cs="Times New Roman"/>
              </w:rPr>
              <w:br/>
            </w:r>
            <w:r w:rsidRPr="00CB2EC4">
              <w:rPr>
                <w:rFonts w:ascii="Times New Roman" w:hAnsi="Times New Roman" w:cs="Times New Roman"/>
              </w:rPr>
              <w:br/>
              <w:t>**Key distinction**: The Latzko procedure does not differentiate the anterior and posterior layers, treating them as a whole; the Okabayashi procedure innovatively defines the anterior layer (involving the lateral vesical space) and posterior layer (involving ureteric and venous structures) in three dimensions and divides them separately, enhancing surgical precision and stereoscopic control.</w:t>
            </w:r>
          </w:p>
        </w:tc>
        <w:tc>
          <w:tcPr>
            <w:tcW w:w="1152" w:type="dxa"/>
            <w:vAlign w:val="center"/>
          </w:tcPr>
          <w:p w14:paraId="02BD6D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825D8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EB84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F4FDFB" w14:textId="77777777">
        <w:tc>
          <w:tcPr>
            <w:tcW w:w="2160" w:type="dxa"/>
            <w:vAlign w:val="center"/>
          </w:tcPr>
          <w:p w14:paraId="0468C8FF"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2F38945"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and Okabayashi surgical approaches, what are the key anatomical distinctions between the anterior and posterior layers of the vesicouterine ligament?</w:t>
            </w:r>
            <w:r w:rsidRPr="00CB2EC4">
              <w:rPr>
                <w:rFonts w:ascii="Times New Roman" w:hAnsi="Times New Roman" w:cs="Times New Roman"/>
              </w:rPr>
              <w:br/>
            </w:r>
            <w:r w:rsidRPr="00CB2EC4">
              <w:rPr>
                <w:rFonts w:ascii="Times New Roman" w:hAnsi="Times New Roman" w:cs="Times New Roman"/>
              </w:rPr>
              <w:br/>
              <w:t xml:space="preserve">Based on contextual information (primarily from </w:t>
            </w:r>
            <w:r w:rsidRPr="00CB2EC4">
              <w:rPr>
                <w:rFonts w:ascii="Times New Roman" w:hAnsi="Times New Roman" w:cs="Times New Roman"/>
              </w:rPr>
              <w:lastRenderedPageBreak/>
              <w:t>document fragments 12 and 27), the Latzko and Okabayashi approaches differ fundamentally in the anatomical definition of the vesicouterine ligament:</w:t>
            </w:r>
            <w:r w:rsidRPr="00CB2EC4">
              <w:rPr>
                <w:rFonts w:ascii="Times New Roman" w:hAnsi="Times New Roman" w:cs="Times New Roman"/>
              </w:rPr>
              <w:br/>
            </w:r>
            <w:r w:rsidRPr="00CB2EC4">
              <w:rPr>
                <w:rFonts w:ascii="Times New Roman" w:hAnsi="Times New Roman" w:cs="Times New Roman"/>
              </w:rPr>
              <w:br/>
              <w:t>- **Latzko approach (and Western perspective)**: The vesicouterine ligament refers primarily to the "ureteric roof" (ureteric tunnel apex), which is a single structure connecting the cervix to the bladder. It does not distinguish anterior and posterior layers explicitly; instead, it is treated as a continuous band-like structure. For example, in the Wertheim procedure, it is regarded as one uninterrupted ligamentous structure.</w:t>
            </w:r>
            <w:r w:rsidRPr="00CB2EC4">
              <w:rPr>
                <w:rFonts w:ascii="Times New Roman" w:hAnsi="Times New Roman" w:cs="Times New Roman"/>
              </w:rPr>
              <w:br/>
            </w:r>
            <w:r w:rsidRPr="00CB2EC4">
              <w:rPr>
                <w:rFonts w:ascii="Times New Roman" w:hAnsi="Times New Roman" w:cs="Times New Roman"/>
              </w:rPr>
              <w:br/>
              <w:t>- **Okabayashi approach**: Okabayashi clearly divides the vesicouterine ligament into anterior and posterior layers:</w:t>
            </w:r>
            <w:r w:rsidRPr="00CB2EC4">
              <w:rPr>
                <w:rFonts w:ascii="Times New Roman" w:hAnsi="Times New Roman" w:cs="Times New Roman"/>
              </w:rPr>
              <w:br/>
              <w:t xml:space="preserve">  - **Anterior layer**: Corresponds to Latzko’s "ureteric roof," connecting the cervix to the bladder.</w:t>
            </w:r>
            <w:r w:rsidRPr="00CB2EC4">
              <w:rPr>
                <w:rFonts w:ascii="Times New Roman" w:hAnsi="Times New Roman" w:cs="Times New Roman"/>
              </w:rPr>
              <w:br/>
              <w:t xml:space="preserve">  - **Posterior layer**: Also termed the "vesicovaginal ligament," it does not directly connect the bladder and uterus. Rather, it consists of connective tissue bundles linking the transverse cervical ligament (cardinal ligament) to the bladder. This layer is critical for nerve-sparing surgery, as it contains the pathways of the pelvic autonomic nerves.</w:t>
            </w:r>
            <w:r w:rsidRPr="00CB2EC4">
              <w:rPr>
                <w:rFonts w:ascii="Times New Roman" w:hAnsi="Times New Roman" w:cs="Times New Roman"/>
              </w:rPr>
              <w:br/>
            </w:r>
            <w:r w:rsidRPr="00CB2EC4">
              <w:rPr>
                <w:rFonts w:ascii="Times New Roman" w:hAnsi="Times New Roman" w:cs="Times New Roman"/>
              </w:rPr>
              <w:br/>
              <w:t xml:space="preserve">The key distinction lies in Okabayashi’s introduction of a three-dimensional, layered anatomical concept—anterior layer parallel to the cervical axis, posterior layer perpendicular to it—whereas the Latzko approach adopts a two-dimensional planar view without independent definition of a posterior layer. This difference directly influences nerve preservation </w:t>
            </w:r>
            <w:r w:rsidRPr="00CB2EC4">
              <w:rPr>
                <w:rFonts w:ascii="Times New Roman" w:hAnsi="Times New Roman" w:cs="Times New Roman"/>
              </w:rPr>
              <w:lastRenderedPageBreak/>
              <w:t>strategies during surgery.</w:t>
            </w:r>
          </w:p>
        </w:tc>
        <w:tc>
          <w:tcPr>
            <w:tcW w:w="1152" w:type="dxa"/>
            <w:vAlign w:val="center"/>
          </w:tcPr>
          <w:p w14:paraId="13E603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A1FDF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CFC6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F23950" w14:textId="77777777">
        <w:tc>
          <w:tcPr>
            <w:tcW w:w="2160" w:type="dxa"/>
            <w:vAlign w:val="center"/>
          </w:tcPr>
          <w:p w14:paraId="05C06EA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42611EA2"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and Okabayashi surgical techniques, what are the key anatomical distinctions between the anterior and posterior layers of the vesicouterine ligament?</w:t>
            </w:r>
            <w:r w:rsidRPr="00CB2EC4">
              <w:rPr>
                <w:rFonts w:ascii="Times New Roman" w:hAnsi="Times New Roman" w:cs="Times New Roman"/>
              </w:rPr>
              <w:br/>
            </w:r>
            <w:r w:rsidRPr="00CB2EC4">
              <w:rPr>
                <w:rFonts w:ascii="Times New Roman" w:hAnsi="Times New Roman" w:cs="Times New Roman"/>
              </w:rPr>
              <w:br/>
              <w:t>According to the document content (similarity: 0.541), as compared in Table 15, there are key differences in the definition of the vesicouterine ligament between the Latzko and Okabayashi procedures:</w:t>
            </w:r>
            <w:r w:rsidRPr="00CB2EC4">
              <w:rPr>
                <w:rFonts w:ascii="Times New Roman" w:hAnsi="Times New Roman" w:cs="Times New Roman"/>
              </w:rPr>
              <w:br/>
              <w:t>- Latzko procedure: Based on traditional European anatomy, the vesicouterine ligament is primarily regarded as the connective band between the transverse cervical ligament and the bladder. However, during surgery, no layered structure is specifically demonstrated. It usually refers to the ureteric roof, without clear differentiation into anterior and posterior layers. For example, the document states: "In Europe and America, the vesicouterine ligament including Latzko’s refers to the ureteric roof in the Wertheim procedure and does not correspond to the posterior layer of Okabayashi’s vesicouterine ligament."</w:t>
            </w:r>
            <w:r w:rsidRPr="00CB2EC4">
              <w:rPr>
                <w:rFonts w:ascii="Times New Roman" w:hAnsi="Times New Roman" w:cs="Times New Roman"/>
              </w:rPr>
              <w:br/>
              <w:t xml:space="preserve">- Okabayashi procedure: Okabayashi explicitly divides the vesicouterine ligament into anterior and posterior layers. The anterior layer connects the cervix and the bladder, equivalent to the ureteric roof; the posterior layer is called the vesicovaginal ligament and connects the transverse cervical ligament to the bladder. The document notes: "Okabayashi divides the vesicouterine ligament into anterior and posterior layers. The anterior layer is the ligament connecting the cervix and bladder, equivalent to the ureteric roof in Europe and America. The posterior layer, also </w:t>
            </w:r>
            <w:r w:rsidRPr="00CB2EC4">
              <w:rPr>
                <w:rFonts w:ascii="Times New Roman" w:hAnsi="Times New Roman" w:cs="Times New Roman"/>
              </w:rPr>
              <w:lastRenderedPageBreak/>
              <w:t>called the vesicovaginal ligament, upon careful review of Figures 26 and 27 in 'Radical Hysterectomy for Cervical Cancer,' should refer to the ligament connecting the transverse cervical ligament and the bladder."</w:t>
            </w:r>
            <w:r w:rsidRPr="00CB2EC4">
              <w:rPr>
                <w:rFonts w:ascii="Times New Roman" w:hAnsi="Times New Roman" w:cs="Times New Roman"/>
              </w:rPr>
              <w:br/>
            </w:r>
            <w:r w:rsidRPr="00CB2EC4">
              <w:rPr>
                <w:rFonts w:ascii="Times New Roman" w:hAnsi="Times New Roman" w:cs="Times New Roman"/>
              </w:rPr>
              <w:br/>
              <w:t>Summary of key differences: The Latzko procedure does not stratify the layers; the vesicouterine ligament is mainly equivalent to the ureteric roof. The Okabayashi procedure explicitly stratifies it, with the anterior layer being the ureteric roof and the posterior layer being the vesicovaginal ligament, reflecting a three-dimensional anatomical concept in Okabayashi’s technique.</w:t>
            </w:r>
          </w:p>
        </w:tc>
        <w:tc>
          <w:tcPr>
            <w:tcW w:w="1152" w:type="dxa"/>
            <w:vAlign w:val="center"/>
          </w:tcPr>
          <w:p w14:paraId="22E108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E06E3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492A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A6C749" w14:textId="77777777">
        <w:tc>
          <w:tcPr>
            <w:tcW w:w="2160" w:type="dxa"/>
            <w:vAlign w:val="center"/>
          </w:tcPr>
          <w:p w14:paraId="758DA6F3"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64A9FE7"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and Okabayashi surgical approaches, what are the key anatomical distinctions between the anterior and posterior layers of the vesicouterine ligament?</w:t>
            </w:r>
            <w:r w:rsidRPr="00CB2EC4">
              <w:rPr>
                <w:rFonts w:ascii="Times New Roman" w:hAnsi="Times New Roman" w:cs="Times New Roman"/>
              </w:rPr>
              <w:br/>
            </w:r>
            <w:r w:rsidRPr="00CB2EC4">
              <w:rPr>
                <w:rFonts w:ascii="Times New Roman" w:hAnsi="Times New Roman" w:cs="Times New Roman"/>
              </w:rPr>
              <w:br/>
              <w:t xml:space="preserve">- **Latzko surgery**:  </w:t>
            </w:r>
            <w:r w:rsidRPr="00CB2EC4">
              <w:rPr>
                <w:rFonts w:ascii="Times New Roman" w:hAnsi="Times New Roman" w:cs="Times New Roman"/>
              </w:rPr>
              <w:br/>
              <w:t xml:space="preserve">  - The vesicouterine ligament primarily refers to the "ureteric roof", which corresponds to the anterior layer.  </w:t>
            </w:r>
            <w:r w:rsidRPr="00CB2EC4">
              <w:rPr>
                <w:rFonts w:ascii="Times New Roman" w:hAnsi="Times New Roman" w:cs="Times New Roman"/>
              </w:rPr>
              <w:br/>
              <w:t xml:space="preserve">  - The posterior layer is not explicitly defined in the Latzko approach; traditional Western concepts do not recognize a posterior layer. The vesicouterine ligament is viewed as a single, undivided structure.  </w:t>
            </w:r>
            <w:r w:rsidRPr="00CB2EC4">
              <w:rPr>
                <w:rFonts w:ascii="Times New Roman" w:hAnsi="Times New Roman" w:cs="Times New Roman"/>
              </w:rPr>
              <w:br/>
            </w:r>
            <w:r w:rsidRPr="00CB2EC4">
              <w:rPr>
                <w:rFonts w:ascii="Times New Roman" w:hAnsi="Times New Roman" w:cs="Times New Roman"/>
              </w:rPr>
              <w:br/>
              <w:t xml:space="preserve">- **Okabayashi surgery**:  </w:t>
            </w:r>
            <w:r w:rsidRPr="00CB2EC4">
              <w:rPr>
                <w:rFonts w:ascii="Times New Roman" w:hAnsi="Times New Roman" w:cs="Times New Roman"/>
              </w:rPr>
              <w:br/>
              <w:t xml:space="preserve">  - The vesicouterine ligament is distinctly divided into anterior and posterior layers:  </w:t>
            </w:r>
            <w:r w:rsidRPr="00CB2EC4">
              <w:rPr>
                <w:rFonts w:ascii="Times New Roman" w:hAnsi="Times New Roman" w:cs="Times New Roman"/>
              </w:rPr>
              <w:br/>
              <w:t xml:space="preserve">    - **Anterior layer (anterior leaf)**: Equivalent to the ureteric roof, serving as the ligamentous connection between the cervix and the bladder, </w:t>
            </w:r>
            <w:r w:rsidRPr="00CB2EC4">
              <w:rPr>
                <w:rFonts w:ascii="Times New Roman" w:hAnsi="Times New Roman" w:cs="Times New Roman"/>
              </w:rPr>
              <w:lastRenderedPageBreak/>
              <w:t xml:space="preserve">consistent with the definition in Wertheim surgery.  </w:t>
            </w:r>
            <w:r w:rsidRPr="00CB2EC4">
              <w:rPr>
                <w:rFonts w:ascii="Times New Roman" w:hAnsi="Times New Roman" w:cs="Times New Roman"/>
              </w:rPr>
              <w:br/>
              <w:t xml:space="preserve">    - **Posterior layer (posterior leaf)**: Also termed the vesicovaginal ligament, connecting the transverse cervical ligament to the bladder. It comprises deep components of the vesicouterine ligament and the vesicocervical ligament, involving the superior vesical vein and vesical nerve branches (neurovascular bundle).  </w:t>
            </w:r>
            <w:r w:rsidRPr="00CB2EC4">
              <w:rPr>
                <w:rFonts w:ascii="Times New Roman" w:hAnsi="Times New Roman" w:cs="Times New Roman"/>
              </w:rPr>
              <w:br/>
              <w:t xml:space="preserve">  - **Key distinction**: Okabayashi introduces the posterior layer as an innovative concept, emphasizing a three-dimensional anatomical structure, whereas Latzko focuses solely on the anterior layer (ureteric roof) without defining a posterior layer. This reflects the greater precision and emphasis on neurovascular preservation in the Okabayashi technique.</w:t>
            </w:r>
          </w:p>
        </w:tc>
        <w:tc>
          <w:tcPr>
            <w:tcW w:w="1152" w:type="dxa"/>
            <w:vAlign w:val="center"/>
          </w:tcPr>
          <w:p w14:paraId="07E542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4268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A395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158C24" w14:textId="77777777">
        <w:tc>
          <w:tcPr>
            <w:tcW w:w="2160" w:type="dxa"/>
            <w:vAlign w:val="center"/>
          </w:tcPr>
          <w:p w14:paraId="02383C7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274B8A9"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and Okabayashi surgical approaches, the key anatomical distinctions between the anterior and posterior layers of the vesicouterine ligament are as follows:</w:t>
            </w:r>
            <w:r w:rsidRPr="00CB2EC4">
              <w:rPr>
                <w:rFonts w:ascii="Times New Roman" w:hAnsi="Times New Roman" w:cs="Times New Roman"/>
              </w:rPr>
              <w:br/>
            </w:r>
            <w:r w:rsidRPr="00CB2EC4">
              <w:rPr>
                <w:rFonts w:ascii="Times New Roman" w:hAnsi="Times New Roman" w:cs="Times New Roman"/>
              </w:rPr>
              <w:br/>
              <w:t>- **Definition in Latzko surgery**:</w:t>
            </w:r>
            <w:r w:rsidRPr="00CB2EC4">
              <w:rPr>
                <w:rFonts w:ascii="Times New Roman" w:hAnsi="Times New Roman" w:cs="Times New Roman"/>
              </w:rPr>
              <w:br/>
              <w:t xml:space="preserve">  - The vesicouterine ligament is primarily understood as the "provesicouterine ligament," described in the Peham-Amreich surgical text as the connective band between the transverse cervical ligament and the bladder.</w:t>
            </w:r>
            <w:r w:rsidRPr="00CB2EC4">
              <w:rPr>
                <w:rFonts w:ascii="Times New Roman" w:hAnsi="Times New Roman" w:cs="Times New Roman"/>
              </w:rPr>
              <w:br/>
              <w:t xml:space="preserve">  - However, in actual practice, this concept is not specifically demonstrated, and the distinction from the "bladder pillar" is unclear. Both the Latzko method and the European technique typically equate the vesicouterine ligament with the "roof of the ureteral tunnel" (i.e., the connective tissue layer covering the superior aspect of the ureter) in Wertheim surgery, without explicitly differentiating anterior and posterior </w:t>
            </w:r>
            <w:r w:rsidRPr="00CB2EC4">
              <w:rPr>
                <w:rFonts w:ascii="Times New Roman" w:hAnsi="Times New Roman" w:cs="Times New Roman"/>
              </w:rPr>
              <w:lastRenderedPageBreak/>
              <w:t>layers.</w:t>
            </w:r>
            <w:r w:rsidRPr="00CB2EC4">
              <w:rPr>
                <w:rFonts w:ascii="Times New Roman" w:hAnsi="Times New Roman" w:cs="Times New Roman"/>
              </w:rPr>
              <w:br/>
              <w:t xml:space="preserve">  - Key point: The Latzko approach lacks an independent concept of a "posterior layer." The vesicouterine ligament is treated as a single structural entity, with emphasis on managing the roof of the ureteral tunnel rather than performing layered dissection.</w:t>
            </w:r>
            <w:r w:rsidRPr="00CB2EC4">
              <w:rPr>
                <w:rFonts w:ascii="Times New Roman" w:hAnsi="Times New Roman" w:cs="Times New Roman"/>
              </w:rPr>
              <w:br/>
            </w:r>
            <w:r w:rsidRPr="00CB2EC4">
              <w:rPr>
                <w:rFonts w:ascii="Times New Roman" w:hAnsi="Times New Roman" w:cs="Times New Roman"/>
              </w:rPr>
              <w:br/>
              <w:t>- **Definition in Okabayashi surgery**:</w:t>
            </w:r>
            <w:r w:rsidRPr="00CB2EC4">
              <w:rPr>
                <w:rFonts w:ascii="Times New Roman" w:hAnsi="Times New Roman" w:cs="Times New Roman"/>
              </w:rPr>
              <w:br/>
              <w:t xml:space="preserve">  - Okabayashi clearly divides the vesicouterine ligament into anterior and posterior layers:</w:t>
            </w:r>
            <w:r w:rsidRPr="00CB2EC4">
              <w:rPr>
                <w:rFonts w:ascii="Times New Roman" w:hAnsi="Times New Roman" w:cs="Times New Roman"/>
              </w:rPr>
              <w:br/>
              <w:t xml:space="preserve">    - Anterior layer: The ligament connecting the uterine cervix and the bladder, equivalent to the roof of the ureteral tunnel in the European technique (i.e., the covering structure above the ureter).</w:t>
            </w:r>
            <w:r w:rsidRPr="00CB2EC4">
              <w:rPr>
                <w:rFonts w:ascii="Times New Roman" w:hAnsi="Times New Roman" w:cs="Times New Roman"/>
              </w:rPr>
              <w:br/>
              <w:t xml:space="preserve">    - Posterior layer: Also termed the vesicovaginal ligament, refers to the ligament connecting the transverse cervical ligament and the bladder (as depicted in Figures 26–27 of *Radical Hysterectomy for Cervical Cancer*). The posterior layer is handled separately during surgery, enabling potential preservation of bladder nerves.</w:t>
            </w:r>
            <w:r w:rsidRPr="00CB2EC4">
              <w:rPr>
                <w:rFonts w:ascii="Times New Roman" w:hAnsi="Times New Roman" w:cs="Times New Roman"/>
              </w:rPr>
              <w:br/>
              <w:t xml:space="preserve">  - Key point: The Okabayashi approach introduces a three-dimensional anatomical perspective, with the anterior layer responsible for the cervix-bladder connection and the posterior layer for the transverse cervical ligament-bladder connection. This layered approach allows for more precise dissection (e.g., nerve-sparing techniques), whereas the Latzko approach lacks such stratification.</w:t>
            </w:r>
            <w:r w:rsidRPr="00CB2EC4">
              <w:rPr>
                <w:rFonts w:ascii="Times New Roman" w:hAnsi="Times New Roman" w:cs="Times New Roman"/>
              </w:rPr>
              <w:br/>
            </w:r>
            <w:r w:rsidRPr="00CB2EC4">
              <w:rPr>
                <w:rFonts w:ascii="Times New Roman" w:hAnsi="Times New Roman" w:cs="Times New Roman"/>
              </w:rPr>
              <w:br/>
              <w:t xml:space="preserve">Summary of key differences: The Latzko surgery treats the vesicouterine ligament as a single entity (largely equivalent to the roof of the ureteral tunnel) </w:t>
            </w:r>
            <w:r w:rsidRPr="00CB2EC4">
              <w:rPr>
                <w:rFonts w:ascii="Times New Roman" w:hAnsi="Times New Roman" w:cs="Times New Roman"/>
              </w:rPr>
              <w:lastRenderedPageBreak/>
              <w:t>without anterior/posterior layer differentiation; in contrast, the Okabayashi surgery explicitly defines the anterior layer (cervix-bladder connection) and posterior layer (transverse cervical ligament-bladder connection), thereby systematizing the procedure and providing a foundation for nerve-sparing techniques. This distinction arises from Okabayashi’s departure from classical anatomical constraints in favor of an innovative three-dimensional perspective.</w:t>
            </w:r>
          </w:p>
        </w:tc>
        <w:tc>
          <w:tcPr>
            <w:tcW w:w="1152" w:type="dxa"/>
            <w:vAlign w:val="center"/>
          </w:tcPr>
          <w:p w14:paraId="12DD08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4AB91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EBB1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3345AB" w14:textId="77777777">
        <w:tc>
          <w:tcPr>
            <w:tcW w:w="2160" w:type="dxa"/>
            <w:vAlign w:val="center"/>
          </w:tcPr>
          <w:p w14:paraId="12AE200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3D0EF240" w14:textId="77777777" w:rsidR="00922249" w:rsidRPr="00CB2EC4" w:rsidRDefault="003011D5">
            <w:pPr>
              <w:rPr>
                <w:rFonts w:ascii="Times New Roman" w:hAnsi="Times New Roman" w:cs="Times New Roman"/>
              </w:rPr>
            </w:pPr>
            <w:r w:rsidRPr="00CB2EC4">
              <w:rPr>
                <w:rFonts w:ascii="Times New Roman" w:hAnsi="Times New Roman" w:cs="Times New Roman"/>
              </w:rPr>
              <w:t>in the Latzko and Okabayashi surgical procedures, what are the key anatomical distinctions between the anterior and posterior layers of the vesicouterine ligament?</w:t>
            </w:r>
            <w:r w:rsidRPr="00CB2EC4">
              <w:rPr>
                <w:rFonts w:ascii="Times New Roman" w:hAnsi="Times New Roman" w:cs="Times New Roman"/>
              </w:rPr>
              <w:br/>
            </w:r>
            <w:r w:rsidRPr="00CB2EC4">
              <w:rPr>
                <w:rFonts w:ascii="Times New Roman" w:hAnsi="Times New Roman" w:cs="Times New Roman"/>
              </w:rPr>
              <w:br/>
              <w:t>The vesicouterine ligament is divided into an anterior layer (superficial layer) and a posterior layer (deep layer). The anterior layer mainly contains the vesical venous plexus and loose connective tissue, and is responsible for fixing the bladder; the posterior layer contains the ureteral tunnel, terminal branches of the uterine artery, and nerve fibers, and is the critical region through which the ureter passes. Special care must be taken when dissecting the posterior layer to avoid ureteral injury, while handling of the anterior layer is relatively simple, mainly involving hemostasis.</w:t>
            </w:r>
          </w:p>
        </w:tc>
        <w:tc>
          <w:tcPr>
            <w:tcW w:w="1152" w:type="dxa"/>
            <w:vAlign w:val="center"/>
          </w:tcPr>
          <w:p w14:paraId="01704E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C91A7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AE60A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D461FBB" w14:textId="77777777">
        <w:tc>
          <w:tcPr>
            <w:tcW w:w="10656" w:type="dxa"/>
            <w:gridSpan w:val="5"/>
            <w:tcBorders>
              <w:bottom w:val="single" w:sz="6" w:space="0" w:color="auto"/>
            </w:tcBorders>
            <w:vAlign w:val="center"/>
          </w:tcPr>
          <w:p w14:paraId="68046FE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112: Please briefly describe the specific procedure of the Wertheim operation.</w:t>
            </w:r>
          </w:p>
        </w:tc>
      </w:tr>
      <w:tr w:rsidR="00922249" w:rsidRPr="00CB2EC4" w14:paraId="51198437" w14:textId="77777777">
        <w:tc>
          <w:tcPr>
            <w:tcW w:w="2160" w:type="dxa"/>
            <w:vAlign w:val="center"/>
          </w:tcPr>
          <w:p w14:paraId="563BF37E"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4F9093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Division of the round ligaments and the infundibulopelvic ligaments: After laparotomy, these ligaments are first divided to gain access to the pelvic cavity.  </w:t>
            </w:r>
            <w:r w:rsidRPr="00CB2EC4">
              <w:rPr>
                <w:rFonts w:ascii="Times New Roman" w:hAnsi="Times New Roman" w:cs="Times New Roman"/>
              </w:rPr>
              <w:br/>
            </w:r>
            <w:r w:rsidRPr="00CB2EC4">
              <w:rPr>
                <w:rFonts w:ascii="Times New Roman" w:hAnsi="Times New Roman" w:cs="Times New Roman"/>
              </w:rPr>
              <w:br/>
              <w:t xml:space="preserve">2. Incision of the broad ligament of the uterus: To </w:t>
            </w:r>
            <w:r w:rsidRPr="00CB2EC4">
              <w:rPr>
                <w:rFonts w:ascii="Times New Roman" w:hAnsi="Times New Roman" w:cs="Times New Roman"/>
              </w:rPr>
              <w:lastRenderedPageBreak/>
              <w:t xml:space="preserve">expand the surgical field and facilitate subsequent steps.  </w:t>
            </w:r>
            <w:r w:rsidRPr="00CB2EC4">
              <w:rPr>
                <w:rFonts w:ascii="Times New Roman" w:hAnsi="Times New Roman" w:cs="Times New Roman"/>
              </w:rPr>
              <w:br/>
            </w:r>
            <w:r w:rsidRPr="00CB2EC4">
              <w:rPr>
                <w:rFonts w:ascii="Times New Roman" w:hAnsi="Times New Roman" w:cs="Times New Roman"/>
              </w:rPr>
              <w:br/>
              <w:t xml:space="preserve">3. Dissection of the bladder and mobilization of the posterior aspect of the ureter: The bladder is separated from the cervix, and the lower (posterior) part of the ureter is mobilized, without involving the development of the paravesical or pararectal spaces.  </w:t>
            </w:r>
            <w:r w:rsidRPr="00CB2EC4">
              <w:rPr>
                <w:rFonts w:ascii="Times New Roman" w:hAnsi="Times New Roman" w:cs="Times New Roman"/>
              </w:rPr>
              <w:br/>
            </w:r>
            <w:r w:rsidRPr="00CB2EC4">
              <w:rPr>
                <w:rFonts w:ascii="Times New Roman" w:hAnsi="Times New Roman" w:cs="Times New Roman"/>
              </w:rPr>
              <w:br/>
              <w:t xml:space="preserve">4. Management of the ureteral tunnel: The index finger is inserted into the ureteral tunnel, the roof of the ureteral canal is elevated, and the uterine artery and superficial uterine vein within the upper margin of the transverse cervical ligament are dissected free.  </w:t>
            </w:r>
            <w:r w:rsidRPr="00CB2EC4">
              <w:rPr>
                <w:rFonts w:ascii="Times New Roman" w:hAnsi="Times New Roman" w:cs="Times New Roman"/>
              </w:rPr>
              <w:br/>
            </w:r>
            <w:r w:rsidRPr="00CB2EC4">
              <w:rPr>
                <w:rFonts w:ascii="Times New Roman" w:hAnsi="Times New Roman" w:cs="Times New Roman"/>
              </w:rPr>
              <w:br/>
              <w:t xml:space="preserve">5. Incision of the roof of the ureteral tunnel: The roof is fully incised to mobilize the middle and anterior (upper) portions of the ureter.  </w:t>
            </w:r>
            <w:r w:rsidRPr="00CB2EC4">
              <w:rPr>
                <w:rFonts w:ascii="Times New Roman" w:hAnsi="Times New Roman" w:cs="Times New Roman"/>
              </w:rPr>
              <w:br/>
            </w:r>
            <w:r w:rsidRPr="00CB2EC4">
              <w:rPr>
                <w:rFonts w:ascii="Times New Roman" w:hAnsi="Times New Roman" w:cs="Times New Roman"/>
              </w:rPr>
              <w:br/>
              <w:t xml:space="preserve">6. Division of the uterosacral ligaments: The first clamp is applied and the uterosacral ligaments are divided close to the sacrum.  </w:t>
            </w:r>
            <w:r w:rsidRPr="00CB2EC4">
              <w:rPr>
                <w:rFonts w:ascii="Times New Roman" w:hAnsi="Times New Roman" w:cs="Times New Roman"/>
              </w:rPr>
              <w:br/>
            </w:r>
            <w:r w:rsidRPr="00CB2EC4">
              <w:rPr>
                <w:rFonts w:ascii="Times New Roman" w:hAnsi="Times New Roman" w:cs="Times New Roman"/>
              </w:rPr>
              <w:br/>
              <w:t xml:space="preserve">7. Division of the rectouterine/vaginal ligaments: The second clamp is applied and these ligaments are divided.  </w:t>
            </w:r>
            <w:r w:rsidRPr="00CB2EC4">
              <w:rPr>
                <w:rFonts w:ascii="Times New Roman" w:hAnsi="Times New Roman" w:cs="Times New Roman"/>
              </w:rPr>
              <w:br/>
            </w:r>
            <w:r w:rsidRPr="00CB2EC4">
              <w:rPr>
                <w:rFonts w:ascii="Times New Roman" w:hAnsi="Times New Roman" w:cs="Times New Roman"/>
              </w:rPr>
              <w:br/>
              <w:t xml:space="preserve">8. Division of the horizontal base of connective tissue and the vaginal venous plexus: The third clamp is applied and these structures, involving the paravaginal tissue, are divided.  </w:t>
            </w:r>
            <w:r w:rsidRPr="00CB2EC4">
              <w:rPr>
                <w:rFonts w:ascii="Times New Roman" w:hAnsi="Times New Roman" w:cs="Times New Roman"/>
              </w:rPr>
              <w:br/>
            </w:r>
            <w:r w:rsidRPr="00CB2EC4">
              <w:rPr>
                <w:rFonts w:ascii="Times New Roman" w:hAnsi="Times New Roman" w:cs="Times New Roman"/>
              </w:rPr>
              <w:br/>
              <w:t xml:space="preserve">9. Division and suturing of the vagina: The vagina is divided at the appropriate level and sutured.  </w:t>
            </w:r>
            <w:r w:rsidRPr="00CB2EC4">
              <w:rPr>
                <w:rFonts w:ascii="Times New Roman" w:hAnsi="Times New Roman" w:cs="Times New Roman"/>
              </w:rPr>
              <w:br/>
            </w:r>
            <w:r w:rsidRPr="00CB2EC4">
              <w:rPr>
                <w:rFonts w:ascii="Times New Roman" w:hAnsi="Times New Roman" w:cs="Times New Roman"/>
              </w:rPr>
              <w:lastRenderedPageBreak/>
              <w:br/>
              <w:t xml:space="preserve">10. Closure of the abdomen: The abdominal cavity is closed after completion of the procedure.  </w:t>
            </w:r>
            <w:r w:rsidRPr="00CB2EC4">
              <w:rPr>
                <w:rFonts w:ascii="Times New Roman" w:hAnsi="Times New Roman" w:cs="Times New Roman"/>
              </w:rPr>
              <w:br/>
            </w:r>
            <w:r w:rsidRPr="00CB2EC4">
              <w:rPr>
                <w:rFonts w:ascii="Times New Roman" w:hAnsi="Times New Roman" w:cs="Times New Roman"/>
              </w:rPr>
              <w:br/>
              <w:t>The document emphasizes that in the Wertheim operation, the uterosacral ligaments are divided close to the sacrum, but the transverse cervical ligament is only divided up to the level of the uterine artery, resulting in excessive residual parametrial tissue at the pelvic floor, which Mackenrodt criticized as inadequate (cited from Am J Obstet Dis Women Child, 1912). The procedure does not employ the concepts of the paravesical space or the pararectal space.</w:t>
            </w:r>
          </w:p>
        </w:tc>
        <w:tc>
          <w:tcPr>
            <w:tcW w:w="1152" w:type="dxa"/>
            <w:vAlign w:val="center"/>
          </w:tcPr>
          <w:p w14:paraId="70E307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09CE9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B782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2EA9B2" w14:textId="77777777">
        <w:tc>
          <w:tcPr>
            <w:tcW w:w="2160" w:type="dxa"/>
            <w:vAlign w:val="center"/>
          </w:tcPr>
          <w:p w14:paraId="5AF2160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14433760"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procedure of the Wertheim operation is detailed in the documents (block topic: Steps of Radical Hysterectomy for Cervical Cancer, document fragment 13; block topic: Steps of Radical Hysterectomy for Uterine Cancer, document fragment 8). The procedure is as follows:</w:t>
            </w:r>
            <w:r w:rsidRPr="00CB2EC4">
              <w:rPr>
                <w:rFonts w:ascii="Times New Roman" w:hAnsi="Times New Roman" w:cs="Times New Roman"/>
              </w:rPr>
              <w:br/>
              <w:t>1. Laparotomy: Longitudinal incision of the abdominal wall.</w:t>
            </w:r>
            <w:r w:rsidRPr="00CB2EC4">
              <w:rPr>
                <w:rFonts w:ascii="Times New Roman" w:hAnsi="Times New Roman" w:cs="Times New Roman"/>
              </w:rPr>
              <w:br/>
              <w:t>2. Division of the pelvic infundibulopelvic ligament: Management of the ovarian vessels.</w:t>
            </w:r>
            <w:r w:rsidRPr="00CB2EC4">
              <w:rPr>
                <w:rFonts w:ascii="Times New Roman" w:hAnsi="Times New Roman" w:cs="Times New Roman"/>
              </w:rPr>
              <w:br/>
              <w:t>3. Division of the round ligament and opening of the broad ligament: Exposure of pelvic structures.</w:t>
            </w:r>
            <w:r w:rsidRPr="00CB2EC4">
              <w:rPr>
                <w:rFonts w:ascii="Times New Roman" w:hAnsi="Times New Roman" w:cs="Times New Roman"/>
              </w:rPr>
              <w:br/>
              <w:t>4. Dissection of the bladder and liberation of the ureters: Incision of the peritoneum over the vesicouterine pouch, separation of the bladder-cervix space.</w:t>
            </w:r>
            <w:r w:rsidRPr="00CB2EC4">
              <w:rPr>
                <w:rFonts w:ascii="Times New Roman" w:hAnsi="Times New Roman" w:cs="Times New Roman"/>
              </w:rPr>
              <w:br/>
              <w:t>5. Development of the rectal lateral space: Separation of the peritoneum posterior to the anterior cardinal ligament (parametrium) to form the cranial compartment of the rectal lateral space.</w:t>
            </w:r>
            <w:r w:rsidRPr="00CB2EC4">
              <w:rPr>
                <w:rFonts w:ascii="Times New Roman" w:hAnsi="Times New Roman" w:cs="Times New Roman"/>
              </w:rPr>
              <w:br/>
            </w:r>
            <w:r w:rsidRPr="00CB2EC4">
              <w:rPr>
                <w:rFonts w:ascii="Times New Roman" w:hAnsi="Times New Roman" w:cs="Times New Roman"/>
              </w:rPr>
              <w:lastRenderedPageBreak/>
              <w:t>6. Dissection of the uterine artery: Insertion of the index finger below the ureteral tunnel to mobilize the uterine artery and uterine superficial vein (lateral to the ureteral crossing).</w:t>
            </w:r>
            <w:r w:rsidRPr="00CB2EC4">
              <w:rPr>
                <w:rFonts w:ascii="Times New Roman" w:hAnsi="Times New Roman" w:cs="Times New Roman"/>
              </w:rPr>
              <w:br/>
              <w:t>7. Incision of the roof of the ureteral tunnel: Liberation of the mid-portion of the ureter.</w:t>
            </w:r>
            <w:r w:rsidRPr="00CB2EC4">
              <w:rPr>
                <w:rFonts w:ascii="Times New Roman" w:hAnsi="Times New Roman" w:cs="Times New Roman"/>
              </w:rPr>
              <w:br/>
              <w:t>8. Clamping and division of ligaments:</w:t>
            </w:r>
            <w:r w:rsidRPr="00CB2EC4">
              <w:rPr>
                <w:rFonts w:ascii="Times New Roman" w:hAnsi="Times New Roman" w:cs="Times New Roman"/>
              </w:rPr>
              <w:br/>
              <w:t xml:space="preserve">   - First clamp: Division of the uterosacral ligament (close to the sacral surface).</w:t>
            </w:r>
            <w:r w:rsidRPr="00CB2EC4">
              <w:rPr>
                <w:rFonts w:ascii="Times New Roman" w:hAnsi="Times New Roman" w:cs="Times New Roman"/>
              </w:rPr>
              <w:br/>
              <w:t xml:space="preserve">   - Second clamp: Division of the rectouterine/vaginal ligament.</w:t>
            </w:r>
            <w:r w:rsidRPr="00CB2EC4">
              <w:rPr>
                <w:rFonts w:ascii="Times New Roman" w:hAnsi="Times New Roman" w:cs="Times New Roman"/>
              </w:rPr>
              <w:br/>
              <w:t xml:space="preserve">   - Third clamp: Division of the horizontal cardinal ligament and vaginal venous plexus.</w:t>
            </w:r>
            <w:r w:rsidRPr="00CB2EC4">
              <w:rPr>
                <w:rFonts w:ascii="Times New Roman" w:hAnsi="Times New Roman" w:cs="Times New Roman"/>
              </w:rPr>
              <w:br/>
              <w:t>9. Division and suturing of the vagina: Transverse incision to detach the vagina, followed by continuous suturing.</w:t>
            </w:r>
            <w:r w:rsidRPr="00CB2EC4">
              <w:rPr>
                <w:rFonts w:ascii="Times New Roman" w:hAnsi="Times New Roman" w:cs="Times New Roman"/>
              </w:rPr>
              <w:br/>
              <w:t>10. Abdominal closure: Placement of a drain followed by routine closure of the abdomen.</w:t>
            </w:r>
            <w:r w:rsidRPr="00CB2EC4">
              <w:rPr>
                <w:rFonts w:ascii="Times New Roman" w:hAnsi="Times New Roman" w:cs="Times New Roman"/>
              </w:rPr>
              <w:br/>
            </w:r>
            <w:r w:rsidRPr="00CB2EC4">
              <w:rPr>
                <w:rFonts w:ascii="Times New Roman" w:hAnsi="Times New Roman" w:cs="Times New Roman"/>
              </w:rPr>
              <w:br/>
              <w:t>The resection range of the Wertheim operation is relatively conservative; the cardinal ligament is only dissected up to the level of the uterine artery and does not involve the uterine deep vein. This has been criticized by Mackenrodt for leaving excessive tissue at the pelvic floor (document fragment 13).</w:t>
            </w:r>
          </w:p>
        </w:tc>
        <w:tc>
          <w:tcPr>
            <w:tcW w:w="1152" w:type="dxa"/>
            <w:vAlign w:val="center"/>
          </w:tcPr>
          <w:p w14:paraId="71B01F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C422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B63DD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999BE5" w14:textId="77777777">
        <w:tc>
          <w:tcPr>
            <w:tcW w:w="2160" w:type="dxa"/>
            <w:vAlign w:val="center"/>
          </w:tcPr>
          <w:p w14:paraId="1630E4C3"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CC4D12C" w14:textId="77777777" w:rsidR="00922249" w:rsidRPr="00CB2EC4" w:rsidRDefault="003011D5">
            <w:pPr>
              <w:rPr>
                <w:rFonts w:ascii="Times New Roman" w:hAnsi="Times New Roman" w:cs="Times New Roman"/>
              </w:rPr>
            </w:pPr>
            <w:r w:rsidRPr="00CB2EC4">
              <w:rPr>
                <w:rFonts w:ascii="Times New Roman" w:hAnsi="Times New Roman" w:cs="Times New Roman"/>
              </w:rPr>
              <w:t>please describe the specific procedure of the Wertheim operation.</w:t>
            </w:r>
            <w:r w:rsidRPr="00CB2EC4">
              <w:rPr>
                <w:rFonts w:ascii="Times New Roman" w:hAnsi="Times New Roman" w:cs="Times New Roman"/>
              </w:rPr>
              <w:br/>
            </w:r>
            <w:r w:rsidRPr="00CB2EC4">
              <w:rPr>
                <w:rFonts w:ascii="Times New Roman" w:hAnsi="Times New Roman" w:cs="Times New Roman"/>
              </w:rPr>
              <w:br/>
              <w:t xml:space="preserve">based on the document excerpts, the specific procedure of the Wertheim operation is as follows (mainly according to excerpts 26, 45, 52):  </w:t>
            </w:r>
            <w:r w:rsidRPr="00CB2EC4">
              <w:rPr>
                <w:rFonts w:ascii="Times New Roman" w:hAnsi="Times New Roman" w:cs="Times New Roman"/>
              </w:rPr>
              <w:br/>
              <w:t xml:space="preserve">1.  laparotomy and initial exposure: after laparotomy, divide the round ligament and the infundibulopelvic ligament (pay attention to the ureter near the pelvic </w:t>
            </w:r>
            <w:r w:rsidRPr="00CB2EC4">
              <w:rPr>
                <w:rFonts w:ascii="Times New Roman" w:hAnsi="Times New Roman" w:cs="Times New Roman"/>
              </w:rPr>
              <w:lastRenderedPageBreak/>
              <w:t xml:space="preserve">brim), and open the broad ligament (excerpt 46).  </w:t>
            </w:r>
            <w:r w:rsidRPr="00CB2EC4">
              <w:rPr>
                <w:rFonts w:ascii="Times New Roman" w:hAnsi="Times New Roman" w:cs="Times New Roman"/>
              </w:rPr>
              <w:br/>
              <w:t xml:space="preserve">2.  uterine artery management: ligate and divide the uterine artery at the origin of the internal iliac artery or medial to the ureter (excerpts 2, 26, 45). during surgery, insert the index finger beneath the tissue superior to the transverse cervical ligament to dissect the uterine vessels (excerpt 45).  </w:t>
            </w:r>
            <w:r w:rsidRPr="00CB2EC4">
              <w:rPr>
                <w:rFonts w:ascii="Times New Roman" w:hAnsi="Times New Roman" w:cs="Times New Roman"/>
              </w:rPr>
              <w:br/>
              <w:t xml:space="preserve">3.  ureter management: expose the parametrial segment of the ureter, but do not completely dissect it from the bladder-cervical ligament to preserve the blood supply to the distal ureter (excerpt 26).  </w:t>
            </w:r>
            <w:r w:rsidRPr="00CB2EC4">
              <w:rPr>
                <w:rFonts w:ascii="Times New Roman" w:hAnsi="Times New Roman" w:cs="Times New Roman"/>
              </w:rPr>
              <w:br/>
              <w:t xml:space="preserve">4.  resection of parametrial tissue and ligaments: resect part of the parametrial tissue, including uterine ligaments (such as the uterosacral ligaments) and half of the cardinal ligaments, one-third of the vagina (excerpt 26). specifically, resect part of the sacrouterine ligament near the sacrum (excerpt 2), but with a smaller extent than in the Meigs operation.  </w:t>
            </w:r>
            <w:r w:rsidRPr="00CB2EC4">
              <w:rPr>
                <w:rFonts w:ascii="Times New Roman" w:hAnsi="Times New Roman" w:cs="Times New Roman"/>
              </w:rPr>
              <w:br/>
              <w:t xml:space="preserve">5.  lymph node dissection: perform selective pelvic lymphadenectomy, including lymph nodes in the lower segment of the common iliac, external iliac, deep inguinal, internal iliac, and obturator regions (excerpt 26).  </w:t>
            </w:r>
            <w:r w:rsidRPr="00CB2EC4">
              <w:rPr>
                <w:rFonts w:ascii="Times New Roman" w:hAnsi="Times New Roman" w:cs="Times New Roman"/>
              </w:rPr>
              <w:br/>
              <w:t xml:space="preserve">6.  closure and completion: remove the total uterus and both adnexa (preserve one ovary in patients under 45 years old), then close the abdomen (excerpt 26).  </w:t>
            </w:r>
            <w:r w:rsidRPr="00CB2EC4">
              <w:rPr>
                <w:rFonts w:ascii="Times New Roman" w:hAnsi="Times New Roman" w:cs="Times New Roman"/>
              </w:rPr>
              <w:br/>
              <w:t>the Wertheim operation is described as a modified radical hysterectomy (type II), characterized by relative conservatism, removing only the medial supportive tissue of the ureter rather than the lateral aspects (excerpts 52, 55). the document does not provide more detailed steps (such as suturing or specific incisions), but the above procedure is based on the core description in excerpt 26.</w:t>
            </w:r>
          </w:p>
        </w:tc>
        <w:tc>
          <w:tcPr>
            <w:tcW w:w="1152" w:type="dxa"/>
            <w:vAlign w:val="center"/>
          </w:tcPr>
          <w:p w14:paraId="559978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B9D6A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11CA2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8EEFFD3" w14:textId="77777777">
        <w:tc>
          <w:tcPr>
            <w:tcW w:w="2160" w:type="dxa"/>
            <w:vAlign w:val="center"/>
          </w:tcPr>
          <w:p w14:paraId="79FE59E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2DCB2E0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Disconnecting the Adnexa: Transect the round ligament and infundibulopelvic ligament, open the broad ligament, and dissect the posterior aspects of the bladder and ureter.  </w:t>
            </w:r>
            <w:r w:rsidRPr="00CB2EC4">
              <w:rPr>
                <w:rFonts w:ascii="Times New Roman" w:hAnsi="Times New Roman" w:cs="Times New Roman"/>
              </w:rPr>
              <w:br/>
              <w:t xml:space="preserve">2. Mobilizing the Uterine Vessels: Insert the index finger beneath the roof of the ureteral tunnel, elevate and mobilize the uterine artery and superficial uterine vein (Figures 71, 74).  </w:t>
            </w:r>
            <w:r w:rsidRPr="00CB2EC4">
              <w:rPr>
                <w:rFonts w:ascii="Times New Roman" w:hAnsi="Times New Roman" w:cs="Times New Roman"/>
              </w:rPr>
              <w:br/>
              <w:t xml:space="preserve">3. Managing the Ureteral Tunnel: Incise the roof of the tunnel to mobilize the middle and anterior portions of the ureter.  </w:t>
            </w:r>
            <w:r w:rsidRPr="00CB2EC4">
              <w:rPr>
                <w:rFonts w:ascii="Times New Roman" w:hAnsi="Times New Roman" w:cs="Times New Roman"/>
              </w:rPr>
              <w:br/>
              <w:t xml:space="preserve">4. Ligament Resection:  </w:t>
            </w:r>
            <w:r w:rsidRPr="00CB2EC4">
              <w:rPr>
                <w:rFonts w:ascii="Times New Roman" w:hAnsi="Times New Roman" w:cs="Times New Roman"/>
              </w:rPr>
              <w:br/>
              <w:t xml:space="preserve">   - Clamp and transect the uterosacral ligament (near the sacral surface).  </w:t>
            </w:r>
            <w:r w:rsidRPr="00CB2EC4">
              <w:rPr>
                <w:rFonts w:ascii="Times New Roman" w:hAnsi="Times New Roman" w:cs="Times New Roman"/>
              </w:rPr>
              <w:br/>
              <w:t xml:space="preserve">   - Clamp and transect the rectouterine/rectovaginal ligament.  </w:t>
            </w:r>
            <w:r w:rsidRPr="00CB2EC4">
              <w:rPr>
                <w:rFonts w:ascii="Times New Roman" w:hAnsi="Times New Roman" w:cs="Times New Roman"/>
              </w:rPr>
              <w:br/>
              <w:t xml:space="preserve">   - Clamp and transect the horizontal connective tissue base bundle and vaginal venous plexus.  </w:t>
            </w:r>
            <w:r w:rsidRPr="00CB2EC4">
              <w:rPr>
                <w:rFonts w:ascii="Times New Roman" w:hAnsi="Times New Roman" w:cs="Times New Roman"/>
              </w:rPr>
              <w:br/>
              <w:t xml:space="preserve">5. Vaginal Management: Transect and suture the vagina, then close the abdomen.  </w:t>
            </w:r>
            <w:r w:rsidRPr="00CB2EC4">
              <w:rPr>
                <w:rFonts w:ascii="Times New Roman" w:hAnsi="Times New Roman" w:cs="Times New Roman"/>
              </w:rPr>
              <w:br/>
              <w:t>Feature: Only transection up to the level of the uterine artery is performed, leaving a significant portion of the cardinal ligament intact (Mackenrodt criticized this as insufficiently radical).</w:t>
            </w:r>
          </w:p>
        </w:tc>
        <w:tc>
          <w:tcPr>
            <w:tcW w:w="1152" w:type="dxa"/>
            <w:vAlign w:val="center"/>
          </w:tcPr>
          <w:p w14:paraId="66B2D2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53456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ECA7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4AD8EF" w14:textId="77777777">
        <w:tc>
          <w:tcPr>
            <w:tcW w:w="2160" w:type="dxa"/>
            <w:vAlign w:val="center"/>
          </w:tcPr>
          <w:p w14:paraId="63D9281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CE36CB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Longitudinal incision of the abdomen.  </w:t>
            </w:r>
            <w:r w:rsidRPr="00CB2EC4">
              <w:rPr>
                <w:rFonts w:ascii="Times New Roman" w:hAnsi="Times New Roman" w:cs="Times New Roman"/>
              </w:rPr>
              <w:br/>
              <w:t xml:space="preserve">2. Division of the pelvic infundibular ligament: Transection of the ovarian vessels.  </w:t>
            </w:r>
            <w:r w:rsidRPr="00CB2EC4">
              <w:rPr>
                <w:rFonts w:ascii="Times New Roman" w:hAnsi="Times New Roman" w:cs="Times New Roman"/>
              </w:rPr>
              <w:br/>
              <w:t xml:space="preserve">3. Division of the round ligament and opening of the broad ligament: Exposure of pelvic structures.  </w:t>
            </w:r>
            <w:r w:rsidRPr="00CB2EC4">
              <w:rPr>
                <w:rFonts w:ascii="Times New Roman" w:hAnsi="Times New Roman" w:cs="Times New Roman"/>
              </w:rPr>
              <w:br/>
              <w:t xml:space="preserve">4. Transverse incision and dissection of the peritoneal reflection at the vesicouterine pouch: Separation of the bladder from the uterus.  </w:t>
            </w:r>
            <w:r w:rsidRPr="00CB2EC4">
              <w:rPr>
                <w:rFonts w:ascii="Times New Roman" w:hAnsi="Times New Roman" w:cs="Times New Roman"/>
              </w:rPr>
              <w:br/>
              <w:t xml:space="preserve">5. Opening of the anterior and posterior leaves of the broad ligament: Exposure of the posterior part of the </w:t>
            </w:r>
            <w:r w:rsidRPr="00CB2EC4">
              <w:rPr>
                <w:rFonts w:ascii="Times New Roman" w:hAnsi="Times New Roman" w:cs="Times New Roman"/>
              </w:rPr>
              <w:lastRenderedPageBreak/>
              <w:t xml:space="preserve">ureter and the uterine artery (located lateral to the ureteric crossing).  </w:t>
            </w:r>
            <w:r w:rsidRPr="00CB2EC4">
              <w:rPr>
                <w:rFonts w:ascii="Times New Roman" w:hAnsi="Times New Roman" w:cs="Times New Roman"/>
              </w:rPr>
              <w:br/>
              <w:t xml:space="preserve">6. Dissection of the uterine artery and uterine superficial veins: Insertion of the index finger beneath the tissue superior to the transverse cervical ligament to isolate the uterine artery and uterine superficial veins (Figure 71), followed by separation, ligation, and division.  </w:t>
            </w:r>
            <w:r w:rsidRPr="00CB2EC4">
              <w:rPr>
                <w:rFonts w:ascii="Times New Roman" w:hAnsi="Times New Roman" w:cs="Times New Roman"/>
              </w:rPr>
              <w:br/>
              <w:t xml:space="preserve">7. Incision of the apex of the ureteric tunnel: Uncovering the ureteric tunnel, incision of its roof, and dissection of the middle and anterior portions of the ureter.  </w:t>
            </w:r>
            <w:r w:rsidRPr="00CB2EC4">
              <w:rPr>
                <w:rFonts w:ascii="Times New Roman" w:hAnsi="Times New Roman" w:cs="Times New Roman"/>
              </w:rPr>
              <w:br/>
              <w:t xml:space="preserve">8. Clamping and division of the uterosacral ligament: As the first clamp maneuver.  </w:t>
            </w:r>
            <w:r w:rsidRPr="00CB2EC4">
              <w:rPr>
                <w:rFonts w:ascii="Times New Roman" w:hAnsi="Times New Roman" w:cs="Times New Roman"/>
              </w:rPr>
              <w:br/>
              <w:t xml:space="preserve">9. Clamping and division of the rectouterine/vaginal ligament: As the second clamp maneuver.  </w:t>
            </w:r>
            <w:r w:rsidRPr="00CB2EC4">
              <w:rPr>
                <w:rFonts w:ascii="Times New Roman" w:hAnsi="Times New Roman" w:cs="Times New Roman"/>
              </w:rPr>
              <w:br/>
              <w:t xml:space="preserve">10. Clamping and division of the horizontal basal connective tissue bundle and vaginal venous plexus: As the third clamp maneuver, involving structures at the base of the cardinal ligament.  </w:t>
            </w:r>
            <w:r w:rsidRPr="00CB2EC4">
              <w:rPr>
                <w:rFonts w:ascii="Times New Roman" w:hAnsi="Times New Roman" w:cs="Times New Roman"/>
              </w:rPr>
              <w:br/>
              <w:t xml:space="preserve">11. Division and suturing of the vagina: Transverse incision of the vagina followed by suturing.  </w:t>
            </w:r>
            <w:r w:rsidRPr="00CB2EC4">
              <w:rPr>
                <w:rFonts w:ascii="Times New Roman" w:hAnsi="Times New Roman" w:cs="Times New Roman"/>
              </w:rPr>
              <w:br/>
              <w:t xml:space="preserve">12. Closure of the abdomen: Completion of the procedure.  </w:t>
            </w:r>
            <w:r w:rsidRPr="00CB2EC4">
              <w:rPr>
                <w:rFonts w:ascii="Times New Roman" w:hAnsi="Times New Roman" w:cs="Times New Roman"/>
              </w:rPr>
              <w:br/>
            </w:r>
            <w:r w:rsidRPr="00CB2EC4">
              <w:rPr>
                <w:rFonts w:ascii="Times New Roman" w:hAnsi="Times New Roman" w:cs="Times New Roman"/>
              </w:rPr>
              <w:br/>
              <w:t>The radical extent of the Wertheim operation is relatively limited, involving dissection only up to the level of the uterine artery without addressing the uterine deep veins. This results in substantial residual tissue at the pelvic floor (as noted by Mackenrodt). The procedure is considered the origin of the radical total hysterectomy, later developed by Latzko and Okabayashi.</w:t>
            </w:r>
          </w:p>
        </w:tc>
        <w:tc>
          <w:tcPr>
            <w:tcW w:w="1152" w:type="dxa"/>
            <w:vAlign w:val="center"/>
          </w:tcPr>
          <w:p w14:paraId="5BCEA6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1D3D7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6F0C8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2D27B3B" w14:textId="77777777">
        <w:tc>
          <w:tcPr>
            <w:tcW w:w="2160" w:type="dxa"/>
            <w:vAlign w:val="center"/>
          </w:tcPr>
          <w:p w14:paraId="48713180"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984CBE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Divide the round ligaments and the </w:t>
            </w:r>
            <w:r w:rsidRPr="00CB2EC4">
              <w:rPr>
                <w:rFonts w:ascii="Times New Roman" w:hAnsi="Times New Roman" w:cs="Times New Roman"/>
              </w:rPr>
              <w:lastRenderedPageBreak/>
              <w:t xml:space="preserve">infundibulopelvic ligaments: Incise the broad ligament of the uterus, dissect the bladder, and free the posterior (lower) part of the ureter. At this stage, the concepts of the paravesical space and pararectal space have not yet been introduced (Document 12).  </w:t>
            </w:r>
            <w:r w:rsidRPr="00CB2EC4">
              <w:rPr>
                <w:rFonts w:ascii="Times New Roman" w:hAnsi="Times New Roman" w:cs="Times New Roman"/>
              </w:rPr>
              <w:br/>
              <w:t xml:space="preserve">2. Manage the ureteric tunnel: Insert the index finger into the ureteric tunnel, elevate the roof of the tunnel (located within the Mackenrodt’s ligament) to free the uterine artery and superficial uterine veins within the upper margin of the transverse cervical ligament (referencing Figure 71 and Figure 74).  </w:t>
            </w:r>
            <w:r w:rsidRPr="00CB2EC4">
              <w:rPr>
                <w:rFonts w:ascii="Times New Roman" w:hAnsi="Times New Roman" w:cs="Times New Roman"/>
              </w:rPr>
              <w:br/>
              <w:t xml:space="preserve">3. Incise the roof of the ureteric tunnel: Free the middle and anterior (mid and upper) portions of the ureter.  </w:t>
            </w:r>
            <w:r w:rsidRPr="00CB2EC4">
              <w:rPr>
                <w:rFonts w:ascii="Times New Roman" w:hAnsi="Times New Roman" w:cs="Times New Roman"/>
              </w:rPr>
              <w:br/>
              <w:t xml:space="preserve">4. Clamp and divide the uterosacral ligaments: Use the first clamp on the uterosacral ligaments.  </w:t>
            </w:r>
            <w:r w:rsidRPr="00CB2EC4">
              <w:rPr>
                <w:rFonts w:ascii="Times New Roman" w:hAnsi="Times New Roman" w:cs="Times New Roman"/>
              </w:rPr>
              <w:br/>
              <w:t xml:space="preserve">5. Clamp and divide the rectouterine/vaginal ligaments: Use the second clamp on the rectouterine or vaginal ligaments.  </w:t>
            </w:r>
            <w:r w:rsidRPr="00CB2EC4">
              <w:rPr>
                <w:rFonts w:ascii="Times New Roman" w:hAnsi="Times New Roman" w:cs="Times New Roman"/>
              </w:rPr>
              <w:br/>
              <w:t xml:space="preserve">6. Clamp and divide the horizontal connective tissue base and vaginal venous plexus: Use the third clamp on these structures.  </w:t>
            </w:r>
            <w:r w:rsidRPr="00CB2EC4">
              <w:rPr>
                <w:rFonts w:ascii="Times New Roman" w:hAnsi="Times New Roman" w:cs="Times New Roman"/>
              </w:rPr>
              <w:br/>
              <w:t xml:space="preserve">7. Divide and suture the vagina: Complete vaginal division and suturing, then close the abdomen (Document 12).  </w:t>
            </w:r>
            <w:r w:rsidRPr="00CB2EC4">
              <w:rPr>
                <w:rFonts w:ascii="Times New Roman" w:hAnsi="Times New Roman" w:cs="Times New Roman"/>
              </w:rPr>
              <w:br/>
              <w:t>This sequence outlines the classic steps of the Wertheim procedure, emphasizing manipulation of the ureteric tunnel and ligaments, but does not include the development of spaces (such as the paravesical or pararectal spaces) used in modern radical hysterectomy techniques.</w:t>
            </w:r>
          </w:p>
        </w:tc>
        <w:tc>
          <w:tcPr>
            <w:tcW w:w="1152" w:type="dxa"/>
            <w:vAlign w:val="center"/>
          </w:tcPr>
          <w:p w14:paraId="368F0C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E22A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96E4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0291C0" w14:textId="77777777">
        <w:tc>
          <w:tcPr>
            <w:tcW w:w="2160" w:type="dxa"/>
            <w:vAlign w:val="center"/>
          </w:tcPr>
          <w:p w14:paraId="1FCE6C57"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D1EFA4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and initial procedures: After laparotomy, the abdominal wall is incised longitudinally or transversely to enter the peritoneal </w:t>
            </w:r>
            <w:r w:rsidRPr="00CB2EC4">
              <w:rPr>
                <w:rFonts w:ascii="Times New Roman" w:hAnsi="Times New Roman" w:cs="Times New Roman"/>
              </w:rPr>
              <w:lastRenderedPageBreak/>
              <w:t xml:space="preserve">cavity.  </w:t>
            </w:r>
            <w:r w:rsidRPr="00CB2EC4">
              <w:rPr>
                <w:rFonts w:ascii="Times New Roman" w:hAnsi="Times New Roman" w:cs="Times New Roman"/>
              </w:rPr>
              <w:br/>
              <w:t xml:space="preserve">2. Division of ligaments and creation of spaces:  </w:t>
            </w:r>
            <w:r w:rsidRPr="00CB2EC4">
              <w:rPr>
                <w:rFonts w:ascii="Times New Roman" w:hAnsi="Times New Roman" w:cs="Times New Roman"/>
              </w:rPr>
              <w:br/>
              <w:t xml:space="preserve">   - The round ligament is divided.  </w:t>
            </w:r>
            <w:r w:rsidRPr="00CB2EC4">
              <w:rPr>
                <w:rFonts w:ascii="Times New Roman" w:hAnsi="Times New Roman" w:cs="Times New Roman"/>
              </w:rPr>
              <w:br/>
              <w:t xml:space="preserve">   - The infundibulopelvic ligament is divided.  </w:t>
            </w:r>
            <w:r w:rsidRPr="00CB2EC4">
              <w:rPr>
                <w:rFonts w:ascii="Times New Roman" w:hAnsi="Times New Roman" w:cs="Times New Roman"/>
              </w:rPr>
              <w:br/>
              <w:t xml:space="preserve">   - The broad ligament of the uterus is opened, the bladder is dissected, and the posterior (lower) part of the ureter is mobilized.  </w:t>
            </w:r>
            <w:r w:rsidRPr="00CB2EC4">
              <w:rPr>
                <w:rFonts w:ascii="Times New Roman" w:hAnsi="Times New Roman" w:cs="Times New Roman"/>
              </w:rPr>
              <w:br/>
              <w:t xml:space="preserve">3. Management of ureters and vessels:  </w:t>
            </w:r>
            <w:r w:rsidRPr="00CB2EC4">
              <w:rPr>
                <w:rFonts w:ascii="Times New Roman" w:hAnsi="Times New Roman" w:cs="Times New Roman"/>
              </w:rPr>
              <w:br/>
              <w:t xml:space="preserve">   - The index finger is inserted into the ureteral canal, lifting the top of the ureteral canal to dissect the uterine artery and uterine superficial veins.  </w:t>
            </w:r>
            <w:r w:rsidRPr="00CB2EC4">
              <w:rPr>
                <w:rFonts w:ascii="Times New Roman" w:hAnsi="Times New Roman" w:cs="Times New Roman"/>
              </w:rPr>
              <w:br/>
              <w:t xml:space="preserve">   - The top of the ureteral canal is incised, and the middle (intermediary portion) and anterior (upper) part of the ureter are mobilized.  </w:t>
            </w:r>
            <w:r w:rsidRPr="00CB2EC4">
              <w:rPr>
                <w:rFonts w:ascii="Times New Roman" w:hAnsi="Times New Roman" w:cs="Times New Roman"/>
              </w:rPr>
              <w:br/>
              <w:t xml:space="preserve">4. Division of supporting ligaments:  </w:t>
            </w:r>
            <w:r w:rsidRPr="00CB2EC4">
              <w:rPr>
                <w:rFonts w:ascii="Times New Roman" w:hAnsi="Times New Roman" w:cs="Times New Roman"/>
              </w:rPr>
              <w:br/>
              <w:t xml:space="preserve">   - The uterosacral ligament is clamped and divided (using the first clamp).  </w:t>
            </w:r>
            <w:r w:rsidRPr="00CB2EC4">
              <w:rPr>
                <w:rFonts w:ascii="Times New Roman" w:hAnsi="Times New Roman" w:cs="Times New Roman"/>
              </w:rPr>
              <w:br/>
              <w:t xml:space="preserve">   - The rectouterine/vaginal ligament is clamped and divided (using the second clamp).  </w:t>
            </w:r>
            <w:r w:rsidRPr="00CB2EC4">
              <w:rPr>
                <w:rFonts w:ascii="Times New Roman" w:hAnsi="Times New Roman" w:cs="Times New Roman"/>
              </w:rPr>
              <w:br/>
              <w:t xml:space="preserve">   - The horizontal connective tissue ground bundle and vaginal venous plexus are clamped and divided (using the third clamp).  </w:t>
            </w:r>
            <w:r w:rsidRPr="00CB2EC4">
              <w:rPr>
                <w:rFonts w:ascii="Times New Roman" w:hAnsi="Times New Roman" w:cs="Times New Roman"/>
              </w:rPr>
              <w:br/>
              <w:t xml:space="preserve">5. Completion of surgery:  </w:t>
            </w:r>
            <w:r w:rsidRPr="00CB2EC4">
              <w:rPr>
                <w:rFonts w:ascii="Times New Roman" w:hAnsi="Times New Roman" w:cs="Times New Roman"/>
              </w:rPr>
              <w:br/>
              <w:t xml:space="preserve">   - The vagina is divided and sutured.  </w:t>
            </w:r>
            <w:r w:rsidRPr="00CB2EC4">
              <w:rPr>
                <w:rFonts w:ascii="Times New Roman" w:hAnsi="Times New Roman" w:cs="Times New Roman"/>
              </w:rPr>
              <w:br/>
              <w:t xml:space="preserve">   - The abdomen is closed, with possible simple drainage.  </w:t>
            </w:r>
            <w:r w:rsidRPr="00CB2EC4">
              <w:rPr>
                <w:rFonts w:ascii="Times New Roman" w:hAnsi="Times New Roman" w:cs="Times New Roman"/>
              </w:rPr>
              <w:br/>
            </w:r>
            <w:r w:rsidRPr="00CB2EC4">
              <w:rPr>
                <w:rFonts w:ascii="Times New Roman" w:hAnsi="Times New Roman" w:cs="Times New Roman"/>
              </w:rPr>
              <w:br/>
              <w:t xml:space="preserve">Characteristics of the Wertheim procedure include: division of the uterosacral ligaments near the sacrum, but the transverse cervical ligaments are only divided up to the level of the uterine artery and ureter, resulting in a relatively less radical approach, and pelvic lymphadenectomy is not routinely performed unless suspicious lymph nodes are present. The </w:t>
            </w:r>
            <w:r w:rsidRPr="00CB2EC4">
              <w:rPr>
                <w:rFonts w:ascii="Times New Roman" w:hAnsi="Times New Roman" w:cs="Times New Roman"/>
              </w:rPr>
              <w:lastRenderedPageBreak/>
              <w:t>procedure is classified as a modified radical hysterectomy (Type II extended hysterectomy).</w:t>
            </w:r>
          </w:p>
        </w:tc>
        <w:tc>
          <w:tcPr>
            <w:tcW w:w="1152" w:type="dxa"/>
            <w:vAlign w:val="center"/>
          </w:tcPr>
          <w:p w14:paraId="38746A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51C3D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7484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73F38C" w14:textId="77777777">
        <w:tc>
          <w:tcPr>
            <w:tcW w:w="2160" w:type="dxa"/>
            <w:vAlign w:val="center"/>
          </w:tcPr>
          <w:p w14:paraId="299E27F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336F6DC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Make a longitudinal abdominal incision.  </w:t>
            </w:r>
            <w:r w:rsidRPr="00CB2EC4">
              <w:rPr>
                <w:rFonts w:ascii="Times New Roman" w:hAnsi="Times New Roman" w:cs="Times New Roman"/>
              </w:rPr>
              <w:br/>
              <w:t xml:space="preserve">2. Division of the pelvic infundibular ligament: Ligate and cut the ovarian vessels.  </w:t>
            </w:r>
            <w:r w:rsidRPr="00CB2EC4">
              <w:rPr>
                <w:rFonts w:ascii="Times New Roman" w:hAnsi="Times New Roman" w:cs="Times New Roman"/>
              </w:rPr>
              <w:br/>
              <w:t xml:space="preserve">3. Division of the round ligament: Open the broad ligament.  </w:t>
            </w:r>
            <w:r w:rsidRPr="00CB2EC4">
              <w:rPr>
                <w:rFonts w:ascii="Times New Roman" w:hAnsi="Times New Roman" w:cs="Times New Roman"/>
              </w:rPr>
              <w:br/>
              <w:t xml:space="preserve">4. Transverse incision and dissection of the peritoneal reflection in the vesicouterine pouch: Separate the bladder from the uterus.  </w:t>
            </w:r>
            <w:r w:rsidRPr="00CB2EC4">
              <w:rPr>
                <w:rFonts w:ascii="Times New Roman" w:hAnsi="Times New Roman" w:cs="Times New Roman"/>
              </w:rPr>
              <w:br/>
              <w:t xml:space="preserve">5. Open the anterior and posterior leaves of the uterine broad ligament: Expose the posterior part of the ureter and the uterine artery (located lateral to the ureteric crossing).  </w:t>
            </w:r>
            <w:r w:rsidRPr="00CB2EC4">
              <w:rPr>
                <w:rFonts w:ascii="Times New Roman" w:hAnsi="Times New Roman" w:cs="Times New Roman"/>
              </w:rPr>
              <w:br/>
              <w:t xml:space="preserve">6. Open the anterior compartment of the rectal lateral space at the cranial level: Dissect the peritoneum posterior to the cardinal ligament base bundle, expand the cranial compartment of the rectal lateral space (involving the cardinal ligament).  </w:t>
            </w:r>
            <w:r w:rsidRPr="00CB2EC4">
              <w:rPr>
                <w:rFonts w:ascii="Times New Roman" w:hAnsi="Times New Roman" w:cs="Times New Roman"/>
              </w:rPr>
              <w:br/>
              <w:t xml:space="preserve">7. Dissect and push down the bladder: Develop the vesicovaginal space, divide the supravaginal septum.  </w:t>
            </w:r>
            <w:r w:rsidRPr="00CB2EC4">
              <w:rPr>
                <w:rFonts w:ascii="Times New Roman" w:hAnsi="Times New Roman" w:cs="Times New Roman"/>
              </w:rPr>
              <w:br/>
              <w:t xml:space="preserve">8. Open the paravesical space: Divide the bladder septa, mobilize the anterior ureter.  </w:t>
            </w:r>
            <w:r w:rsidRPr="00CB2EC4">
              <w:rPr>
                <w:rFonts w:ascii="Times New Roman" w:hAnsi="Times New Roman" w:cs="Times New Roman"/>
              </w:rPr>
              <w:br/>
              <w:t xml:space="preserve">9. Isolation, ligation, and division of the uterine artery and uterine vein: Separate the uterine artery and its accompanying vein (uterine superficial vein) from the upper edge of Mackenrodt’s ligament, divide them, leave long medial ligatures.  </w:t>
            </w:r>
            <w:r w:rsidRPr="00CB2EC4">
              <w:rPr>
                <w:rFonts w:ascii="Times New Roman" w:hAnsi="Times New Roman" w:cs="Times New Roman"/>
              </w:rPr>
              <w:br/>
              <w:t xml:space="preserve">10. Incise the ureteric tunnel: Mobilize the mid-ureter, incise the roof of the tunnel.  </w:t>
            </w:r>
            <w:r w:rsidRPr="00CB2EC4">
              <w:rPr>
                <w:rFonts w:ascii="Times New Roman" w:hAnsi="Times New Roman" w:cs="Times New Roman"/>
              </w:rPr>
              <w:br/>
              <w:t xml:space="preserve">11. Dissect the anterior cardinal ligament base bundle and strip its base: Widen the paravesical space, expand the caudal compartment of the rectal lateral </w:t>
            </w:r>
            <w:r w:rsidRPr="00CB2EC4">
              <w:rPr>
                <w:rFonts w:ascii="Times New Roman" w:hAnsi="Times New Roman" w:cs="Times New Roman"/>
              </w:rPr>
              <w:lastRenderedPageBreak/>
              <w:t xml:space="preserve">space, mobilize Mackenrodt’s ligament.  </w:t>
            </w:r>
            <w:r w:rsidRPr="00CB2EC4">
              <w:rPr>
                <w:rFonts w:ascii="Times New Roman" w:hAnsi="Times New Roman" w:cs="Times New Roman"/>
              </w:rPr>
              <w:br/>
              <w:t xml:space="preserve">12. Resection of the anterior cardinal ligament base bundle: Clamp, cut, and ligate along the pelvic sidewall.  </w:t>
            </w:r>
            <w:r w:rsidRPr="00CB2EC4">
              <w:rPr>
                <w:rFonts w:ascii="Times New Roman" w:hAnsi="Times New Roman" w:cs="Times New Roman"/>
              </w:rPr>
              <w:br/>
              <w:t xml:space="preserve">13. Incise the rectal sagittal pillar: Incise the peritoneum at the cranial aspect of the sacrosciatic foramen, taking care to avoid ureteric injury.  </w:t>
            </w:r>
            <w:r w:rsidRPr="00CB2EC4">
              <w:rPr>
                <w:rFonts w:ascii="Times New Roman" w:hAnsi="Times New Roman" w:cs="Times New Roman"/>
              </w:rPr>
              <w:br/>
              <w:t xml:space="preserve">14. Clamp and cut the uterosacral ligament (first clamp), rectouterine/vaginal ligament (second clamp), horizontal cardinal ligament base bundle and vaginal venous plexus (third clamp).  </w:t>
            </w:r>
            <w:r w:rsidRPr="00CB2EC4">
              <w:rPr>
                <w:rFonts w:ascii="Times New Roman" w:hAnsi="Times New Roman" w:cs="Times New Roman"/>
              </w:rPr>
              <w:br/>
              <w:t xml:space="preserve">15. Divide and suture the vagina: Close the abdomen after completion.  </w:t>
            </w:r>
            <w:r w:rsidRPr="00CB2EC4">
              <w:rPr>
                <w:rFonts w:ascii="Times New Roman" w:hAnsi="Times New Roman" w:cs="Times New Roman"/>
              </w:rPr>
              <w:br/>
              <w:t>- This procedure emphasizes manipulation at the ureteric tunnel and ligament division but does not include resection of the uterine deep vein (per document fragment 8). The Wertheim procedure is a less radical operation, primarily indicated for early-stage cervical cancer (per document fragment 18).</w:t>
            </w:r>
          </w:p>
        </w:tc>
        <w:tc>
          <w:tcPr>
            <w:tcW w:w="1152" w:type="dxa"/>
            <w:vAlign w:val="center"/>
          </w:tcPr>
          <w:p w14:paraId="54D2E5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9CA7F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88633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6051607" w14:textId="77777777">
        <w:tc>
          <w:tcPr>
            <w:tcW w:w="2160" w:type="dxa"/>
            <w:vAlign w:val="center"/>
          </w:tcPr>
          <w:p w14:paraId="5E53277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71DBF6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surgical procedure (based on the step numbering described in the document):  </w:t>
            </w:r>
            <w:r w:rsidRPr="00CB2EC4">
              <w:rPr>
                <w:rFonts w:ascii="Times New Roman" w:hAnsi="Times New Roman" w:cs="Times New Roman"/>
              </w:rPr>
              <w:br/>
              <w:t xml:space="preserve">   Laparotomy, longitudinal incision.  </w:t>
            </w:r>
            <w:r w:rsidRPr="00CB2EC4">
              <w:rPr>
                <w:rFonts w:ascii="Times New Roman" w:hAnsi="Times New Roman" w:cs="Times New Roman"/>
              </w:rPr>
              <w:br/>
              <w:t xml:space="preserve">   Ligate and divide the pelvic infundibular ligament.  </w:t>
            </w:r>
            <w:r w:rsidRPr="00CB2EC4">
              <w:rPr>
                <w:rFonts w:ascii="Times New Roman" w:hAnsi="Times New Roman" w:cs="Times New Roman"/>
              </w:rPr>
              <w:br/>
              <w:t xml:space="preserve">   Ligate and divide the round ligament, open the broad ligament.  </w:t>
            </w:r>
            <w:r w:rsidRPr="00CB2EC4">
              <w:rPr>
                <w:rFonts w:ascii="Times New Roman" w:hAnsi="Times New Roman" w:cs="Times New Roman"/>
              </w:rPr>
              <w:br/>
              <w:t xml:space="preserve">   Insert the index finger below the apex of the ureteric tunnel, dissect the uterine artery and superficial uterine veins (Fig. 71, Fig. 74).  </w:t>
            </w:r>
            <w:r w:rsidRPr="00CB2EC4">
              <w:rPr>
                <w:rFonts w:ascii="Times New Roman" w:hAnsi="Times New Roman" w:cs="Times New Roman"/>
              </w:rPr>
              <w:br/>
              <w:t xml:space="preserve">   Incise the apex of the ureteric tunnel, dissect the middle and anterior portions of the ureter.  </w:t>
            </w:r>
            <w:r w:rsidRPr="00CB2EC4">
              <w:rPr>
                <w:rFonts w:ascii="Times New Roman" w:hAnsi="Times New Roman" w:cs="Times New Roman"/>
              </w:rPr>
              <w:br/>
              <w:t xml:space="preserve">   Clamp and divide the uterosacral ligament (Clamp 1).  </w:t>
            </w:r>
            <w:r w:rsidRPr="00CB2EC4">
              <w:rPr>
                <w:rFonts w:ascii="Times New Roman" w:hAnsi="Times New Roman" w:cs="Times New Roman"/>
              </w:rPr>
              <w:br/>
              <w:t xml:space="preserve">   Clamp and divide the rectouterine/rectovaginal ligament (Clamp 2).  </w:t>
            </w:r>
            <w:r w:rsidRPr="00CB2EC4">
              <w:rPr>
                <w:rFonts w:ascii="Times New Roman" w:hAnsi="Times New Roman" w:cs="Times New Roman"/>
              </w:rPr>
              <w:br/>
            </w:r>
            <w:r w:rsidRPr="00CB2EC4">
              <w:rPr>
                <w:rFonts w:ascii="Times New Roman" w:hAnsi="Times New Roman" w:cs="Times New Roman"/>
              </w:rPr>
              <w:lastRenderedPageBreak/>
              <w:t xml:space="preserve">   Clamp and divide the horizontal connective tissue base and vaginal venous plexus (Clamp 3).  </w:t>
            </w:r>
            <w:r w:rsidRPr="00CB2EC4">
              <w:rPr>
                <w:rFonts w:ascii="Times New Roman" w:hAnsi="Times New Roman" w:cs="Times New Roman"/>
              </w:rPr>
              <w:br/>
              <w:t xml:space="preserve">   Divide and suture the vagina, close the abdomen.  </w:t>
            </w:r>
            <w:r w:rsidRPr="00CB2EC4">
              <w:rPr>
                <w:rFonts w:ascii="Times New Roman" w:hAnsi="Times New Roman" w:cs="Times New Roman"/>
              </w:rPr>
              <w:br/>
              <w:t xml:space="preserve">   Basis: The steps of the Wertheim operation (numbered $(\widehat{I})$ to $(\widehat{\tau})$) are explicitly listed in the excerpt, which also emphasizes that it only resects up to the level of the uterine artery, leaving a significant portion of the cardinal ligament intact ("Wertheim operation's method of horizontal excision of parametrial tissue").</w:t>
            </w:r>
          </w:p>
        </w:tc>
        <w:tc>
          <w:tcPr>
            <w:tcW w:w="1152" w:type="dxa"/>
            <w:vAlign w:val="center"/>
          </w:tcPr>
          <w:p w14:paraId="0B4464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C6CD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D705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755C3D" w14:textId="77777777">
        <w:tc>
          <w:tcPr>
            <w:tcW w:w="2160" w:type="dxa"/>
            <w:vAlign w:val="center"/>
          </w:tcPr>
          <w:p w14:paraId="6C2B04F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96ABD0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Longitudinal incision of the abdominal wall to assess the extent of intraperitoneal cancer and adhesions.  </w:t>
            </w:r>
            <w:r w:rsidRPr="00CB2EC4">
              <w:rPr>
                <w:rFonts w:ascii="Times New Roman" w:hAnsi="Times New Roman" w:cs="Times New Roman"/>
              </w:rPr>
              <w:br/>
              <w:t xml:space="preserve">2. Division of round ligaments: Clamp, cut, and ligate the round ligaments near the pelvic floor.  </w:t>
            </w:r>
            <w:r w:rsidRPr="00CB2EC4">
              <w:rPr>
                <w:rFonts w:ascii="Times New Roman" w:hAnsi="Times New Roman" w:cs="Times New Roman"/>
              </w:rPr>
              <w:br/>
              <w:t xml:space="preserve">3. Pelvic lymphadenectomy: Dissection of lymph nodes including common iliac, external iliac, inguinal, obturator, internal iliac, and parametrial nodes (using clamps or suction assistance).  </w:t>
            </w:r>
            <w:r w:rsidRPr="00CB2EC4">
              <w:rPr>
                <w:rFonts w:ascii="Times New Roman" w:hAnsi="Times New Roman" w:cs="Times New Roman"/>
              </w:rPr>
              <w:br/>
              <w:t xml:space="preserve">4. Ligation of uterine arteries: Identify and divide the uterine arteries at their origin from the internal iliac artery.  </w:t>
            </w:r>
            <w:r w:rsidRPr="00CB2EC4">
              <w:rPr>
                <w:rFonts w:ascii="Times New Roman" w:hAnsi="Times New Roman" w:cs="Times New Roman"/>
              </w:rPr>
              <w:br/>
              <w:t xml:space="preserve">5. Ureterolysis: Completely dissect the ureters from the vesicouterine ligaments, preserving distal blood supply to reduce fistula risk.  </w:t>
            </w:r>
            <w:r w:rsidRPr="00CB2EC4">
              <w:rPr>
                <w:rFonts w:ascii="Times New Roman" w:hAnsi="Times New Roman" w:cs="Times New Roman"/>
              </w:rPr>
              <w:br/>
              <w:t xml:space="preserve">6. Resection of uterosacral ligaments: Excise approximately two-thirds of the uterosacral ligaments near the sacrum.  </w:t>
            </w:r>
            <w:r w:rsidRPr="00CB2EC4">
              <w:rPr>
                <w:rFonts w:ascii="Times New Roman" w:hAnsi="Times New Roman" w:cs="Times New Roman"/>
              </w:rPr>
              <w:br/>
              <w:t xml:space="preserve">7. Resection of cardinal ligaments: Remove the cardinal ligaments close to the pelvic sidewall to ensure radicality.  </w:t>
            </w:r>
            <w:r w:rsidRPr="00CB2EC4">
              <w:rPr>
                <w:rFonts w:ascii="Times New Roman" w:hAnsi="Times New Roman" w:cs="Times New Roman"/>
              </w:rPr>
              <w:br/>
              <w:t xml:space="preserve">8. Separation of rectum and bladder: Incise the peritoneum of the Douglas pouch, dissect the rectovaginal space to 3–4 cm; horizontally incise the </w:t>
            </w:r>
            <w:r w:rsidRPr="00CB2EC4">
              <w:rPr>
                <w:rFonts w:ascii="Times New Roman" w:hAnsi="Times New Roman" w:cs="Times New Roman"/>
              </w:rPr>
              <w:lastRenderedPageBreak/>
              <w:t xml:space="preserve">bladder peritoneal reflection and bluntly dissect the bladder off the vagina to 3–4 cm.  </w:t>
            </w:r>
            <w:r w:rsidRPr="00CB2EC4">
              <w:rPr>
                <w:rFonts w:ascii="Times New Roman" w:hAnsi="Times New Roman" w:cs="Times New Roman"/>
              </w:rPr>
              <w:br/>
              <w:t xml:space="preserve">9. Vaginal resection: Excise approximately half the length of the vagina with a transverse incision.  </w:t>
            </w:r>
            <w:r w:rsidRPr="00CB2EC4">
              <w:rPr>
                <w:rFonts w:ascii="Times New Roman" w:hAnsi="Times New Roman" w:cs="Times New Roman"/>
              </w:rPr>
              <w:br/>
              <w:t xml:space="preserve">10. Closure of vaginal stump: Continuous suture of the vaginal stump using absorbable suture.  </w:t>
            </w:r>
            <w:r w:rsidRPr="00CB2EC4">
              <w:rPr>
                <w:rFonts w:ascii="Times New Roman" w:hAnsi="Times New Roman" w:cs="Times New Roman"/>
              </w:rPr>
              <w:br/>
              <w:t xml:space="preserve">11. Abdominal closure: Place drainage tubes (e.g., exiting from the obturator fossa) and close the abdomen routinely.  </w:t>
            </w:r>
            <w:r w:rsidRPr="00CB2EC4">
              <w:rPr>
                <w:rFonts w:ascii="Times New Roman" w:hAnsi="Times New Roman" w:cs="Times New Roman"/>
              </w:rPr>
              <w:br/>
              <w:t>This procedure is indicated for patients with stage IB and IIA cervical cancer, emphasizing lymph node dissection and precise ligament resection to achieve radicality.</w:t>
            </w:r>
          </w:p>
        </w:tc>
        <w:tc>
          <w:tcPr>
            <w:tcW w:w="1152" w:type="dxa"/>
            <w:vAlign w:val="center"/>
          </w:tcPr>
          <w:p w14:paraId="1EE226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4E569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01090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AD8B500" w14:textId="77777777">
        <w:tc>
          <w:tcPr>
            <w:tcW w:w="2160" w:type="dxa"/>
            <w:vAlign w:val="center"/>
          </w:tcPr>
          <w:p w14:paraId="7F60505F"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CF83FE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Division of the round ligaments and the pelvic infundibular ligaments: At the beginning of the operation, these ligaments are divided to gain access to the pelvic cavity.  </w:t>
            </w:r>
            <w:r w:rsidRPr="00CB2EC4">
              <w:rPr>
                <w:rFonts w:ascii="Times New Roman" w:hAnsi="Times New Roman" w:cs="Times New Roman"/>
              </w:rPr>
              <w:br/>
            </w:r>
            <w:r w:rsidRPr="00CB2EC4">
              <w:rPr>
                <w:rFonts w:ascii="Times New Roman" w:hAnsi="Times New Roman" w:cs="Times New Roman"/>
              </w:rPr>
              <w:br/>
              <w:t xml:space="preserve">2. Incision of the uterine broad ligament: The anterior and posterior leaves of the broad ligament are opened.  </w:t>
            </w:r>
            <w:r w:rsidRPr="00CB2EC4">
              <w:rPr>
                <w:rFonts w:ascii="Times New Roman" w:hAnsi="Times New Roman" w:cs="Times New Roman"/>
              </w:rPr>
              <w:br/>
            </w:r>
            <w:r w:rsidRPr="00CB2EC4">
              <w:rPr>
                <w:rFonts w:ascii="Times New Roman" w:hAnsi="Times New Roman" w:cs="Times New Roman"/>
              </w:rPr>
              <w:br/>
              <w:t xml:space="preserve">3. Dissection of the bladder and liberation of the posterior part of the ureter: The bladder is separated and the lower part of the ureter is freed.  </w:t>
            </w:r>
            <w:r w:rsidRPr="00CB2EC4">
              <w:rPr>
                <w:rFonts w:ascii="Times New Roman" w:hAnsi="Times New Roman" w:cs="Times New Roman"/>
              </w:rPr>
              <w:br/>
            </w:r>
            <w:r w:rsidRPr="00CB2EC4">
              <w:rPr>
                <w:rFonts w:ascii="Times New Roman" w:hAnsi="Times New Roman" w:cs="Times New Roman"/>
              </w:rPr>
              <w:br/>
              <w:t xml:space="preserve">4. Liberation of the uterine artery and uterine superficial veins: The index finger is inserted into the ureteral tunnel, the roof of the ureteral canal is lifted upward, and the uterine artery and superficial uterine veins within the tissue superior to the transverse cervical ligament are dissected free (see Figures 71 and 74).  </w:t>
            </w:r>
            <w:r w:rsidRPr="00CB2EC4">
              <w:rPr>
                <w:rFonts w:ascii="Times New Roman" w:hAnsi="Times New Roman" w:cs="Times New Roman"/>
              </w:rPr>
              <w:br/>
            </w:r>
            <w:r w:rsidRPr="00CB2EC4">
              <w:rPr>
                <w:rFonts w:ascii="Times New Roman" w:hAnsi="Times New Roman" w:cs="Times New Roman"/>
              </w:rPr>
              <w:br/>
              <w:t xml:space="preserve">5. Incision of the roof of the ureteral tunnel and </w:t>
            </w:r>
            <w:r w:rsidRPr="00CB2EC4">
              <w:rPr>
                <w:rFonts w:ascii="Times New Roman" w:hAnsi="Times New Roman" w:cs="Times New Roman"/>
              </w:rPr>
              <w:lastRenderedPageBreak/>
              <w:t xml:space="preserve">liberation of the ureter: The roof of the tunnel is incised, and the middle and anterior (middle and upper) parts of the ureter are freed.  </w:t>
            </w:r>
            <w:r w:rsidRPr="00CB2EC4">
              <w:rPr>
                <w:rFonts w:ascii="Times New Roman" w:hAnsi="Times New Roman" w:cs="Times New Roman"/>
              </w:rPr>
              <w:br/>
            </w:r>
            <w:r w:rsidRPr="00CB2EC4">
              <w:rPr>
                <w:rFonts w:ascii="Times New Roman" w:hAnsi="Times New Roman" w:cs="Times New Roman"/>
              </w:rPr>
              <w:br/>
              <w:t xml:space="preserve">6. Clamping and division of the uterosacral ligament: The first clamp is applied to and the uterosacral ligament is divided.  </w:t>
            </w:r>
            <w:r w:rsidRPr="00CB2EC4">
              <w:rPr>
                <w:rFonts w:ascii="Times New Roman" w:hAnsi="Times New Roman" w:cs="Times New Roman"/>
              </w:rPr>
              <w:br/>
            </w:r>
            <w:r w:rsidRPr="00CB2EC4">
              <w:rPr>
                <w:rFonts w:ascii="Times New Roman" w:hAnsi="Times New Roman" w:cs="Times New Roman"/>
              </w:rPr>
              <w:br/>
              <w:t xml:space="preserve">7. Clamping and division of the rectouterine/vaginal ligament: The second clamp is applied to and this ligament is divided.  </w:t>
            </w:r>
            <w:r w:rsidRPr="00CB2EC4">
              <w:rPr>
                <w:rFonts w:ascii="Times New Roman" w:hAnsi="Times New Roman" w:cs="Times New Roman"/>
              </w:rPr>
              <w:br/>
            </w:r>
            <w:r w:rsidRPr="00CB2EC4">
              <w:rPr>
                <w:rFonts w:ascii="Times New Roman" w:hAnsi="Times New Roman" w:cs="Times New Roman"/>
              </w:rPr>
              <w:br/>
              <w:t xml:space="preserve">8. Clamping and division of the horizontal connective tissue base bundle and the vaginal venous plexus: The third clamp is applied to these structures and they are divided.  </w:t>
            </w:r>
            <w:r w:rsidRPr="00CB2EC4">
              <w:rPr>
                <w:rFonts w:ascii="Times New Roman" w:hAnsi="Times New Roman" w:cs="Times New Roman"/>
              </w:rPr>
              <w:br/>
            </w:r>
            <w:r w:rsidRPr="00CB2EC4">
              <w:rPr>
                <w:rFonts w:ascii="Times New Roman" w:hAnsi="Times New Roman" w:cs="Times New Roman"/>
              </w:rPr>
              <w:br/>
              <w:t xml:space="preserve">9. Division and suturing of the vagina: The vagina is transected and then sutured.  </w:t>
            </w:r>
            <w:r w:rsidRPr="00CB2EC4">
              <w:rPr>
                <w:rFonts w:ascii="Times New Roman" w:hAnsi="Times New Roman" w:cs="Times New Roman"/>
              </w:rPr>
              <w:br/>
            </w:r>
            <w:r w:rsidRPr="00CB2EC4">
              <w:rPr>
                <w:rFonts w:ascii="Times New Roman" w:hAnsi="Times New Roman" w:cs="Times New Roman"/>
              </w:rPr>
              <w:br/>
              <w:t xml:space="preserve">10. Closure of the abdomen: The operation is completed.  </w:t>
            </w:r>
            <w:r w:rsidRPr="00CB2EC4">
              <w:rPr>
                <w:rFonts w:ascii="Times New Roman" w:hAnsi="Times New Roman" w:cs="Times New Roman"/>
              </w:rPr>
              <w:br/>
            </w:r>
            <w:r w:rsidRPr="00CB2EC4">
              <w:rPr>
                <w:rFonts w:ascii="Times New Roman" w:hAnsi="Times New Roman" w:cs="Times New Roman"/>
              </w:rPr>
              <w:br/>
              <w:t>The document emphasizes that the Wertheim operation does not employ the concepts of the lateral vesical space or the pararectal space, that the transverse cervical ligament is divided only up to the level of the uterine artery, and that the uterosacral ligament is divided close to the sacrum (similarity: 0.500). This procedure is based on descriptions from 1912 literature and the Peham-Amreich surgical textbook.</w:t>
            </w:r>
          </w:p>
        </w:tc>
        <w:tc>
          <w:tcPr>
            <w:tcW w:w="1152" w:type="dxa"/>
            <w:vAlign w:val="center"/>
          </w:tcPr>
          <w:p w14:paraId="4AB850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BEC28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D120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48DA37" w14:textId="77777777">
        <w:tc>
          <w:tcPr>
            <w:tcW w:w="2160" w:type="dxa"/>
            <w:vAlign w:val="center"/>
          </w:tcPr>
          <w:p w14:paraId="16A4AD6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69DDBC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Longitudinal incision of the abdominal wall to enter the peritoneal cavity.  </w:t>
            </w:r>
            <w:r w:rsidRPr="00CB2EC4">
              <w:rPr>
                <w:rFonts w:ascii="Times New Roman" w:hAnsi="Times New Roman" w:cs="Times New Roman"/>
              </w:rPr>
              <w:br/>
            </w:r>
            <w:r w:rsidRPr="00CB2EC4">
              <w:rPr>
                <w:rFonts w:ascii="Times New Roman" w:hAnsi="Times New Roman" w:cs="Times New Roman"/>
              </w:rPr>
              <w:lastRenderedPageBreak/>
              <w:t xml:space="preserve">2. Division of the pelvic infundibular ligament: Dissection and ligation of the pelvic infundibular ligament (containing the ovarian vessels).  </w:t>
            </w:r>
            <w:r w:rsidRPr="00CB2EC4">
              <w:rPr>
                <w:rFonts w:ascii="Times New Roman" w:hAnsi="Times New Roman" w:cs="Times New Roman"/>
              </w:rPr>
              <w:br/>
              <w:t xml:space="preserve">3. Division of the round ligament and opening of the broad ligament: Section the round ligament, open the anterior and posterior leaves of the broad ligament to expose the posterior ureter and uterine artery.  </w:t>
            </w:r>
            <w:r w:rsidRPr="00CB2EC4">
              <w:rPr>
                <w:rFonts w:ascii="Times New Roman" w:hAnsi="Times New Roman" w:cs="Times New Roman"/>
              </w:rPr>
              <w:br/>
              <w:t xml:space="preserve">4. Incision of the vesicouterine peritoneal fold: Transverse incision of the peritoneum at the vesicouterine pouch, dissection of the bladder to create the bladder-cervical space.  </w:t>
            </w:r>
            <w:r w:rsidRPr="00CB2EC4">
              <w:rPr>
                <w:rFonts w:ascii="Times New Roman" w:hAnsi="Times New Roman" w:cs="Times New Roman"/>
              </w:rPr>
              <w:br/>
              <w:t xml:space="preserve">5. Opening of the anterior compartment of the rectouterine pouch (upper compartment): Dissect the peritoneum posterior to the cardinal ligament (main parametrium) to form the upper rectal lateral space.  </w:t>
            </w:r>
            <w:r w:rsidRPr="00CB2EC4">
              <w:rPr>
                <w:rFonts w:ascii="Times New Roman" w:hAnsi="Times New Roman" w:cs="Times New Roman"/>
              </w:rPr>
              <w:br/>
              <w:t xml:space="preserve">6. Separation of the bladder from the vagina: Section the supravaginal septum, dissect the bladder off the vagina to create the bladder-vaginal space.  </w:t>
            </w:r>
            <w:r w:rsidRPr="00CB2EC4">
              <w:rPr>
                <w:rFonts w:ascii="Times New Roman" w:hAnsi="Times New Roman" w:cs="Times New Roman"/>
              </w:rPr>
              <w:br/>
              <w:t xml:space="preserve">7. Opening of the lateral vesical space: Section the vesical pillars (approximately corresponding to the roof of the ureteric tunnel), free the anterior ureter.  </w:t>
            </w:r>
            <w:r w:rsidRPr="00CB2EC4">
              <w:rPr>
                <w:rFonts w:ascii="Times New Roman" w:hAnsi="Times New Roman" w:cs="Times New Roman"/>
              </w:rPr>
              <w:br/>
              <w:t xml:space="preserve">8. Dissection and division of the uterine artery and vein: Isolate the uterine artery and its accompanying vein (inferior vesical vein) from the upper edge of Mackenrodt’s ligament, ligate and divide them separately.  </w:t>
            </w:r>
            <w:r w:rsidRPr="00CB2EC4">
              <w:rPr>
                <w:rFonts w:ascii="Times New Roman" w:hAnsi="Times New Roman" w:cs="Times New Roman"/>
              </w:rPr>
              <w:br/>
              <w:t xml:space="preserve">9. Subsequent steps: Include division of the cardinal ligament, management of the uterosacral ligament, section of the vagina, followed by lymphadenectomy (based on Fragment 29).  </w:t>
            </w:r>
            <w:r w:rsidRPr="00CB2EC4">
              <w:rPr>
                <w:rFonts w:ascii="Times New Roman" w:hAnsi="Times New Roman" w:cs="Times New Roman"/>
              </w:rPr>
              <w:br/>
              <w:t xml:space="preserve">The procedure emphasizes two-dimensional dissection to expose and divide key anatomical structures; however, complete closure steps (e.g., abdominal wall closure) are not detailed in the available context and </w:t>
            </w:r>
            <w:r w:rsidRPr="00CB2EC4">
              <w:rPr>
                <w:rFonts w:ascii="Times New Roman" w:hAnsi="Times New Roman" w:cs="Times New Roman"/>
              </w:rPr>
              <w:lastRenderedPageBreak/>
              <w:t>are therefore omitted from this summary.</w:t>
            </w:r>
          </w:p>
        </w:tc>
        <w:tc>
          <w:tcPr>
            <w:tcW w:w="1152" w:type="dxa"/>
            <w:vAlign w:val="center"/>
          </w:tcPr>
          <w:p w14:paraId="31054F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3C555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4802C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46BD944" w14:textId="77777777">
        <w:tc>
          <w:tcPr>
            <w:tcW w:w="2160" w:type="dxa"/>
            <w:vAlign w:val="center"/>
          </w:tcPr>
          <w:p w14:paraId="69E8407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0DFD7F2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**Transection of the Round Ligament and Infundibulopelvic Ligament:** After laparotomy, first transect the round ligament and infundibulopelvic ligament (the ligament connecting the ovary to the pelvis) to create space for subsequent procedures.  </w:t>
            </w:r>
            <w:r w:rsidRPr="00CB2EC4">
              <w:rPr>
                <w:rFonts w:ascii="Times New Roman" w:hAnsi="Times New Roman" w:cs="Times New Roman"/>
              </w:rPr>
              <w:br/>
              <w:t xml:space="preserve">2. **Incision of the Broad Ligament:** Make a longitudinal incision in the broad ligament (the peritoneal fold on both sides of the uterus) to expose the posterior (inferior) portion of the ureter, though the concepts of the paravesical and pararectal spaces are not yet introduced at this stage.  </w:t>
            </w:r>
            <w:r w:rsidRPr="00CB2EC4">
              <w:rPr>
                <w:rFonts w:ascii="Times New Roman" w:hAnsi="Times New Roman" w:cs="Times New Roman"/>
              </w:rPr>
              <w:br/>
              <w:t xml:space="preserve">3. **Dissection of the Bladder and Mobilization of the Ureter:** Dissect the connection between the bladder and cervix, and mobilize the posterior (inferior) portion of the ureter in preparation for handling the ureteral tunnel.  </w:t>
            </w:r>
            <w:r w:rsidRPr="00CB2EC4">
              <w:rPr>
                <w:rFonts w:ascii="Times New Roman" w:hAnsi="Times New Roman" w:cs="Times New Roman"/>
              </w:rPr>
              <w:br/>
              <w:t xml:space="preserve">4. **Insertion of the Index Finger to Mobilize the Uterine Artery:** Insert the index finger into the ureteral tunnel (located at the superior edge of Mackenrodt's ligament), lift the roof of the ureteral tunnel upward, and thus mobilize the uterine artery and superficial uterine vein within the tissue of the superior edge of the transverse cervical ligament (note: the deep uterine vein is not involved in Wertheim's surgery).  </w:t>
            </w:r>
            <w:r w:rsidRPr="00CB2EC4">
              <w:rPr>
                <w:rFonts w:ascii="Times New Roman" w:hAnsi="Times New Roman" w:cs="Times New Roman"/>
              </w:rPr>
              <w:br/>
              <w:t xml:space="preserve">5. **Incision of the Ureteral Tunnel Roof:** Incise the roof of the ureteral tunnel to fully mobilize the middle and anterior (middle and superior) portions of the ureter, ensuring no damage to the ureter.  </w:t>
            </w:r>
            <w:r w:rsidRPr="00CB2EC4">
              <w:rPr>
                <w:rFonts w:ascii="Times New Roman" w:hAnsi="Times New Roman" w:cs="Times New Roman"/>
              </w:rPr>
              <w:br/>
              <w:t xml:space="preserve">6. **Clamping and Transection of the Uterosacral Ligament:** Use the first clamp to grasp and transect the uterosacral ligament (the ligament connecting the uterus to the sacrum), typically performed near the </w:t>
            </w:r>
            <w:r w:rsidRPr="00CB2EC4">
              <w:rPr>
                <w:rFonts w:ascii="Times New Roman" w:hAnsi="Times New Roman" w:cs="Times New Roman"/>
              </w:rPr>
              <w:lastRenderedPageBreak/>
              <w:t xml:space="preserve">sacrum.  </w:t>
            </w:r>
            <w:r w:rsidRPr="00CB2EC4">
              <w:rPr>
                <w:rFonts w:ascii="Times New Roman" w:hAnsi="Times New Roman" w:cs="Times New Roman"/>
              </w:rPr>
              <w:br/>
              <w:t xml:space="preserve">7. **Clamping and Transection of the Rectouterine/Vaginal Ligament:** Use the second clamp to grasp and transect the rectouterine ligament or rectovaginal ligament (the structure connecting the rectum to the uterus/vagina).  </w:t>
            </w:r>
            <w:r w:rsidRPr="00CB2EC4">
              <w:rPr>
                <w:rFonts w:ascii="Times New Roman" w:hAnsi="Times New Roman" w:cs="Times New Roman"/>
              </w:rPr>
              <w:br/>
              <w:t xml:space="preserve">8. **Clamping and Transection of the Horizontal Connective Tissue Base Bundle and Vaginal Venous Plexus:** Use the third clamp to grasp and transect the horizontal connective tissue base bundle (a structure related to the levator ani muscle) and the vaginal venous plexus (the venous network surrounding the vagina) to remove the parametrial tissue.  </w:t>
            </w:r>
            <w:r w:rsidRPr="00CB2EC4">
              <w:rPr>
                <w:rFonts w:ascii="Times New Roman" w:hAnsi="Times New Roman" w:cs="Times New Roman"/>
              </w:rPr>
              <w:br/>
              <w:t xml:space="preserve">9. **Transection and Suturing of the Vagina:** Completely transect the vagina, remove the uterus, and perform suturing.  </w:t>
            </w:r>
            <w:r w:rsidRPr="00CB2EC4">
              <w:rPr>
                <w:rFonts w:ascii="Times New Roman" w:hAnsi="Times New Roman" w:cs="Times New Roman"/>
              </w:rPr>
              <w:br/>
              <w:t xml:space="preserve">10. **Closure of the Abdomen:** Close the abdominal cavity upon completion of the surgery.  </w:t>
            </w:r>
            <w:r w:rsidRPr="00CB2EC4">
              <w:rPr>
                <w:rFonts w:ascii="Times New Roman" w:hAnsi="Times New Roman" w:cs="Times New Roman"/>
              </w:rPr>
              <w:br/>
            </w:r>
            <w:r w:rsidRPr="00CB2EC4">
              <w:rPr>
                <w:rFonts w:ascii="Times New Roman" w:hAnsi="Times New Roman" w:cs="Times New Roman"/>
              </w:rPr>
              <w:br/>
              <w:t>**Summary of the Procedure:** Wertheim's surgery is characterized by sequential steps (ligament transection → ureter mobilization → clamping and transection of key ligaments and venous plexuses → vaginal resection), but it lacks systematic development of the paravesical or pararectal spaces, resulting in insufficient parametrial resection (Mackenrodt criticized it as leaving excessive residual tissue at the pelvic floor). This procedure serves as the foundation for the Latzko and Okabayashi techniques.</w:t>
            </w:r>
          </w:p>
        </w:tc>
        <w:tc>
          <w:tcPr>
            <w:tcW w:w="1152" w:type="dxa"/>
            <w:vAlign w:val="center"/>
          </w:tcPr>
          <w:p w14:paraId="5102D8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53593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62E8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4E8805B" w14:textId="77777777">
        <w:tc>
          <w:tcPr>
            <w:tcW w:w="2160" w:type="dxa"/>
            <w:vAlign w:val="center"/>
          </w:tcPr>
          <w:p w14:paraId="587ACA3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9AB6E06"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steps of the Wertheim procedure (radical hysterectomy) are as follows:</w:t>
            </w:r>
            <w:r w:rsidRPr="00CB2EC4">
              <w:rPr>
                <w:rFonts w:ascii="Times New Roman" w:hAnsi="Times New Roman" w:cs="Times New Roman"/>
              </w:rPr>
              <w:br/>
              <w:t xml:space="preserve">  1. Laparotomy and exploration: Midline lower abdominal incision; thorough inspection of pelvic </w:t>
            </w:r>
            <w:r w:rsidRPr="00CB2EC4">
              <w:rPr>
                <w:rFonts w:ascii="Times New Roman" w:hAnsi="Times New Roman" w:cs="Times New Roman"/>
              </w:rPr>
              <w:lastRenderedPageBreak/>
              <w:t>organs.</w:t>
            </w:r>
            <w:r w:rsidRPr="00CB2EC4">
              <w:rPr>
                <w:rFonts w:ascii="Times New Roman" w:hAnsi="Times New Roman" w:cs="Times New Roman"/>
              </w:rPr>
              <w:br/>
              <w:t xml:space="preserve">  2. Division of ligaments: Transection of the round ligaments and infundibulopelvic ligaments; opening of the pelvic sidewall peritoneum.</w:t>
            </w:r>
            <w:r w:rsidRPr="00CB2EC4">
              <w:rPr>
                <w:rFonts w:ascii="Times New Roman" w:hAnsi="Times New Roman" w:cs="Times New Roman"/>
              </w:rPr>
              <w:br/>
              <w:t xml:space="preserve">  3. Dissection of spaces: Separation of the vesicouterine and rectouterine peritoneal folds to expose the vesicouterine and rectouterine spaces.</w:t>
            </w:r>
            <w:r w:rsidRPr="00CB2EC4">
              <w:rPr>
                <w:rFonts w:ascii="Times New Roman" w:hAnsi="Times New Roman" w:cs="Times New Roman"/>
              </w:rPr>
              <w:br/>
              <w:t xml:space="preserve">  4. Management of vessels and ureters: Identification and ligation of the uterine arteries (at their origin from the internal iliac artery); mobilization of the ureters to the bladder entrance; dissection of the anterior and posterior layers of the vesicouterine ligament.</w:t>
            </w:r>
            <w:r w:rsidRPr="00CB2EC4">
              <w:rPr>
                <w:rFonts w:ascii="Times New Roman" w:hAnsi="Times New Roman" w:cs="Times New Roman"/>
              </w:rPr>
              <w:br/>
              <w:t xml:space="preserve">  5. Removal of the uterus: Radical excision of the uterus, cervix, upper one-third of the vagina, and parametrial tissues (including the cardinal and uterosacral ligaments).</w:t>
            </w:r>
            <w:r w:rsidRPr="00CB2EC4">
              <w:rPr>
                <w:rFonts w:ascii="Times New Roman" w:hAnsi="Times New Roman" w:cs="Times New Roman"/>
              </w:rPr>
              <w:br/>
              <w:t xml:space="preserve">  6. Closure: Suturing of the vaginal cuff; closure of the peritoneum; layered abdominal closure.</w:t>
            </w:r>
          </w:p>
        </w:tc>
        <w:tc>
          <w:tcPr>
            <w:tcW w:w="1152" w:type="dxa"/>
            <w:vAlign w:val="center"/>
          </w:tcPr>
          <w:p w14:paraId="40A8CD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6D3E7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A65F8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F0CE5B8" w14:textId="77777777">
        <w:tc>
          <w:tcPr>
            <w:tcW w:w="10656" w:type="dxa"/>
            <w:gridSpan w:val="5"/>
            <w:tcBorders>
              <w:bottom w:val="single" w:sz="6" w:space="0" w:color="auto"/>
            </w:tcBorders>
            <w:vAlign w:val="center"/>
          </w:tcPr>
          <w:p w14:paraId="0690E0C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113: In Sanlin's ultra-radical hysterectomy, which specific blood vessels are involved at the three ligation points of the internal iliac vascular system?</w:t>
            </w:r>
          </w:p>
        </w:tc>
      </w:tr>
      <w:tr w:rsidR="00922249" w:rsidRPr="00CB2EC4" w14:paraId="042B46DA" w14:textId="77777777">
        <w:tc>
          <w:tcPr>
            <w:tcW w:w="2160" w:type="dxa"/>
            <w:vAlign w:val="center"/>
          </w:tcPr>
          <w:p w14:paraId="2CD5CE7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15E603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First ligation: involves the obturator artery and vein. This ligation and division is performed at the initial stage of surgery to address the lateral pelvic wall vessels.  </w:t>
            </w:r>
            <w:r w:rsidRPr="00CB2EC4">
              <w:rPr>
                <w:rFonts w:ascii="Times New Roman" w:hAnsi="Times New Roman" w:cs="Times New Roman"/>
              </w:rPr>
              <w:br/>
              <w:t xml:space="preserve">2. Second ligation: involves the trunk of the internal iliac artery and vein, specifically at the site immediately distal to the branching of the superior gluteal artery and vein. This means ligating and dividing the internal iliac vessel trunk right after the superior gluteal vessels branch off.  </w:t>
            </w:r>
            <w:r w:rsidRPr="00CB2EC4">
              <w:rPr>
                <w:rFonts w:ascii="Times New Roman" w:hAnsi="Times New Roman" w:cs="Times New Roman"/>
              </w:rPr>
              <w:br/>
              <w:t xml:space="preserve">3. Third ligation: involves the common trunk of the inferior gluteal and internal pudendal arteries and veins, ligated and divided upstream before their </w:t>
            </w:r>
            <w:r w:rsidRPr="00CB2EC4">
              <w:rPr>
                <w:rFonts w:ascii="Times New Roman" w:hAnsi="Times New Roman" w:cs="Times New Roman"/>
              </w:rPr>
              <w:lastRenderedPageBreak/>
              <w:t xml:space="preserve">branching. The document notes that this step does not address the visceral branches supplying the bladder and rectum, which may be a point of concern.  </w:t>
            </w:r>
            <w:r w:rsidRPr="00CB2EC4">
              <w:rPr>
                <w:rFonts w:ascii="Times New Roman" w:hAnsi="Times New Roman" w:cs="Times New Roman"/>
              </w:rPr>
              <w:br/>
            </w:r>
            <w:r w:rsidRPr="00CB2EC4">
              <w:rPr>
                <w:rFonts w:ascii="Times New Roman" w:hAnsi="Times New Roman" w:cs="Times New Roman"/>
              </w:rPr>
              <w:br/>
              <w:t>The document also states that the Sanlin technique is based on the concept of resection reaching the pelvic wall, but contains anatomical contradictions, such as the failure to manage the visceral branches of the internal iliac vessels (those distributed to the bladder and rectum), differing from techniques like Brunschwig and Mattingly’s total pelvic exenteration (see Figure 78).</w:t>
            </w:r>
          </w:p>
        </w:tc>
        <w:tc>
          <w:tcPr>
            <w:tcW w:w="1152" w:type="dxa"/>
            <w:vAlign w:val="center"/>
          </w:tcPr>
          <w:p w14:paraId="3C9D94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63CF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27C1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B8E632" w14:textId="77777777">
        <w:tc>
          <w:tcPr>
            <w:tcW w:w="2160" w:type="dxa"/>
            <w:vAlign w:val="center"/>
          </w:tcPr>
          <w:p w14:paraId="0B49C8B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8A55B03" w14:textId="77777777" w:rsidR="00922249" w:rsidRPr="00CB2EC4" w:rsidRDefault="003011D5">
            <w:pPr>
              <w:rPr>
                <w:rFonts w:ascii="Times New Roman" w:hAnsi="Times New Roman" w:cs="Times New Roman"/>
              </w:rPr>
            </w:pPr>
            <w:r w:rsidRPr="00CB2EC4">
              <w:rPr>
                <w:rFonts w:ascii="Times New Roman" w:hAnsi="Times New Roman" w:cs="Times New Roman"/>
              </w:rPr>
              <w:t>In Sanlin's superextended hysterectomy, the three ligation points of the internal iliac vessels specifically involve the following vessels:</w:t>
            </w:r>
            <w:r w:rsidRPr="00CB2EC4">
              <w:rPr>
                <w:rFonts w:ascii="Times New Roman" w:hAnsi="Times New Roman" w:cs="Times New Roman"/>
              </w:rPr>
              <w:br/>
            </w:r>
            <w:r w:rsidRPr="00CB2EC4">
              <w:rPr>
                <w:rFonts w:ascii="Times New Roman" w:hAnsi="Times New Roman" w:cs="Times New Roman"/>
              </w:rPr>
              <w:br/>
              <w:t>- **First ligation (obturator vessel ligation)**: Involves the obturator artery and vein. Ligated and divided near the inferior opening of the piriformis muscle, serving as the starting point.</w:t>
            </w:r>
            <w:r w:rsidRPr="00CB2EC4">
              <w:rPr>
                <w:rFonts w:ascii="Times New Roman" w:hAnsi="Times New Roman" w:cs="Times New Roman"/>
              </w:rPr>
              <w:br/>
              <w:t>- **Second ligation (internal iliac trunk ligation)**: Involves the common trunk of the internal iliac artery and vein. Ligated and divided downstream after the branching of the superior gluteal vessels.</w:t>
            </w:r>
            <w:r w:rsidRPr="00CB2EC4">
              <w:rPr>
                <w:rFonts w:ascii="Times New Roman" w:hAnsi="Times New Roman" w:cs="Times New Roman"/>
              </w:rPr>
              <w:br/>
              <w:t>- **Third ligation (common trunk of inferior gluteal and internal pudendal vessels ligation)**: Involves the common trunk of the inferior gluteal and internal pudendal vessels. Ligated and divided upstream before the branching of visceral branches (such as the vesical and rectal branches of the internal iliac vessels).</w:t>
            </w:r>
            <w:r w:rsidRPr="00CB2EC4">
              <w:rPr>
                <w:rFonts w:ascii="Times New Roman" w:hAnsi="Times New Roman" w:cs="Times New Roman"/>
              </w:rPr>
              <w:br/>
            </w:r>
            <w:r w:rsidRPr="00CB2EC4">
              <w:rPr>
                <w:rFonts w:ascii="Times New Roman" w:hAnsi="Times New Roman" w:cs="Times New Roman"/>
              </w:rPr>
              <w:br/>
              <w:t xml:space="preserve">These ligation points aim to completely remove the internal iliac vascular system; however, the document </w:t>
            </w:r>
            <w:r w:rsidRPr="00CB2EC4">
              <w:rPr>
                <w:rFonts w:ascii="Times New Roman" w:hAnsi="Times New Roman" w:cs="Times New Roman"/>
              </w:rPr>
              <w:lastRenderedPageBreak/>
              <w:t>notes a contradiction: the vesical and rectal branches arising from the common trunk of the inferior gluteal and internal pudendal vessels are not addressed, which may lead to postoperative complications (Document Fragment 1).</w:t>
            </w:r>
          </w:p>
        </w:tc>
        <w:tc>
          <w:tcPr>
            <w:tcW w:w="1152" w:type="dxa"/>
            <w:vAlign w:val="center"/>
          </w:tcPr>
          <w:p w14:paraId="6AA14F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7C00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2104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445666" w14:textId="77777777">
        <w:tc>
          <w:tcPr>
            <w:tcW w:w="2160" w:type="dxa"/>
            <w:vAlign w:val="center"/>
          </w:tcPr>
          <w:p w14:paraId="2663FCD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4E83E9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First ligation point: Obturator vessels (including obturator artery and vein). This ligation and division is performed early in the surgery (segments 20, 34).  </w:t>
            </w:r>
            <w:r w:rsidRPr="00CB2EC4">
              <w:rPr>
                <w:rFonts w:ascii="Times New Roman" w:hAnsi="Times New Roman" w:cs="Times New Roman"/>
              </w:rPr>
              <w:br/>
              <w:t xml:space="preserve">2. Second ligation point: The distal segment of the internal iliac vessel trunk after the superior gluteal artery branching, specifically ligating and dividing the internal iliac artery and vein distal to the inferior gluteal artery branch (segments 20, 34).  </w:t>
            </w:r>
            <w:r w:rsidRPr="00CB2EC4">
              <w:rPr>
                <w:rFonts w:ascii="Times New Roman" w:hAnsi="Times New Roman" w:cs="Times New Roman"/>
              </w:rPr>
              <w:br/>
              <w:t xml:space="preserve">3. Third ligation point: The proximal segment at the branching site of the common trunk of the inferior gluteal and internal pudendal arteries. This ligation and division is performed at the infra-piriformis level (segment 34).  </w:t>
            </w:r>
            <w:r w:rsidRPr="00CB2EC4">
              <w:rPr>
                <w:rFonts w:ascii="Times New Roman" w:hAnsi="Times New Roman" w:cs="Times New Roman"/>
              </w:rPr>
              <w:br/>
              <w:t>These ligation points aim to completely resect the internal iliac vascular system, including visceral branches (e.g., uterine artery) and parietal branches (e.g., obturator vessels), to expand the surgical field (segments 20, 25).</w:t>
            </w:r>
          </w:p>
        </w:tc>
        <w:tc>
          <w:tcPr>
            <w:tcW w:w="1152" w:type="dxa"/>
            <w:vAlign w:val="center"/>
          </w:tcPr>
          <w:p w14:paraId="3CB609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900F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7AE14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4C1622" w14:textId="77777777">
        <w:tc>
          <w:tcPr>
            <w:tcW w:w="2160" w:type="dxa"/>
            <w:vAlign w:val="center"/>
          </w:tcPr>
          <w:p w14:paraId="04B33D75"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B49600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First ligation: Obturator artery and vein (anterior parietal branch of internal iliac vessels).  </w:t>
            </w:r>
            <w:r w:rsidRPr="00CB2EC4">
              <w:rPr>
                <w:rFonts w:ascii="Times New Roman" w:hAnsi="Times New Roman" w:cs="Times New Roman"/>
              </w:rPr>
              <w:br/>
              <w:t xml:space="preserve">2. Second ligation: Internal iliac artery and vein trunk distal to the superior gluteal branch (main trunk).  </w:t>
            </w:r>
            <w:r w:rsidRPr="00CB2EC4">
              <w:rPr>
                <w:rFonts w:ascii="Times New Roman" w:hAnsi="Times New Roman" w:cs="Times New Roman"/>
              </w:rPr>
              <w:br/>
              <w:t xml:space="preserve">3. Third ligation: Proximal to the branching of the inferior gluteal-internal pudendal common trunk (ligated at the inferior piriform aperture, including internal pudendal artery/vein and inferior gluteal vessels).  </w:t>
            </w:r>
            <w:r w:rsidRPr="00CB2EC4">
              <w:rPr>
                <w:rFonts w:ascii="Times New Roman" w:hAnsi="Times New Roman" w:cs="Times New Roman"/>
              </w:rPr>
              <w:br/>
              <w:t xml:space="preserve">Controversy: Unaddressed visceral branches of </w:t>
            </w:r>
            <w:r w:rsidRPr="00CB2EC4">
              <w:rPr>
                <w:rFonts w:ascii="Times New Roman" w:hAnsi="Times New Roman" w:cs="Times New Roman"/>
              </w:rPr>
              <w:lastRenderedPageBreak/>
              <w:t>internal iliac vessels (e.g., vesical/rectal vessels), potentially due to adherence to traditional European anatomy overlooking branching structures (Figure 78).</w:t>
            </w:r>
          </w:p>
        </w:tc>
        <w:tc>
          <w:tcPr>
            <w:tcW w:w="1152" w:type="dxa"/>
            <w:vAlign w:val="center"/>
          </w:tcPr>
          <w:p w14:paraId="78F60B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1FD8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B49F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72B14E" w14:textId="77777777">
        <w:tc>
          <w:tcPr>
            <w:tcW w:w="2160" w:type="dxa"/>
            <w:vAlign w:val="center"/>
          </w:tcPr>
          <w:p w14:paraId="37F9EF7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A639AC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First ligation point: Obturator artery and vein. The procedure involves ligating and transecting the obturator vessels.  </w:t>
            </w:r>
            <w:r w:rsidRPr="00CB2EC4">
              <w:rPr>
                <w:rFonts w:ascii="Times New Roman" w:hAnsi="Times New Roman" w:cs="Times New Roman"/>
              </w:rPr>
              <w:br/>
              <w:t xml:space="preserve">2. Second ligation point: Common trunk of internal iliac artery and vein distal to the superior gluteal vessel branching. After the branching of the superior gluteal vessels, the common trunk of the internal iliac vessels is ligated and transected.  </w:t>
            </w:r>
            <w:r w:rsidRPr="00CB2EC4">
              <w:rPr>
                <w:rFonts w:ascii="Times New Roman" w:hAnsi="Times New Roman" w:cs="Times New Roman"/>
              </w:rPr>
              <w:br/>
              <w:t xml:space="preserve">3. Third ligation point: Proximal to the branching of the inferior gluteal and internal pudendal common trunk. At the inferior aperture of the piriformis muscle, the proximal portion of this common trunk is ligated and transected.  </w:t>
            </w:r>
            <w:r w:rsidRPr="00CB2EC4">
              <w:rPr>
                <w:rFonts w:ascii="Times New Roman" w:hAnsi="Times New Roman" w:cs="Times New Roman"/>
              </w:rPr>
              <w:br/>
            </w:r>
            <w:r w:rsidRPr="00CB2EC4">
              <w:rPr>
                <w:rFonts w:ascii="Times New Roman" w:hAnsi="Times New Roman" w:cs="Times New Roman"/>
              </w:rPr>
              <w:br/>
              <w:t>These ligation points aim to completely remove the internal iliac vascular system (including visceral and anterior parietal branches) to achieve ultra-radical resection. The document notes that the three-forest technique inadequately accounts for the bladder and rectal vessels branching from the inferior gluteal and internal pudendal common trunk, which may lead to anatomical contradictions.</w:t>
            </w:r>
          </w:p>
        </w:tc>
        <w:tc>
          <w:tcPr>
            <w:tcW w:w="1152" w:type="dxa"/>
            <w:vAlign w:val="center"/>
          </w:tcPr>
          <w:p w14:paraId="2A352D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1D12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5CB4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D57BB9" w14:textId="77777777">
        <w:tc>
          <w:tcPr>
            <w:tcW w:w="2160" w:type="dxa"/>
            <w:vAlign w:val="center"/>
          </w:tcPr>
          <w:p w14:paraId="3D08CB7D"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5733F32" w14:textId="77777777" w:rsidR="00922249" w:rsidRPr="00CB2EC4" w:rsidRDefault="003011D5">
            <w:pPr>
              <w:rPr>
                <w:rFonts w:ascii="Times New Roman" w:hAnsi="Times New Roman" w:cs="Times New Roman"/>
              </w:rPr>
            </w:pPr>
            <w:r w:rsidRPr="00CB2EC4">
              <w:rPr>
                <w:rFonts w:ascii="Times New Roman" w:hAnsi="Times New Roman" w:cs="Times New Roman"/>
              </w:rPr>
              <w:t>1. First ligation (obturator artery and vein): Ligate and divide the obturator artery and vein. This is performed at the initial stage of surgery to control the lateral pelvic wall vessels.</w:t>
            </w:r>
            <w:r w:rsidRPr="00CB2EC4">
              <w:rPr>
                <w:rFonts w:ascii="Times New Roman" w:hAnsi="Times New Roman" w:cs="Times New Roman"/>
              </w:rPr>
              <w:br/>
            </w:r>
            <w:r w:rsidRPr="00CB2EC4">
              <w:rPr>
                <w:rFonts w:ascii="Times New Roman" w:hAnsi="Times New Roman" w:cs="Times New Roman"/>
              </w:rPr>
              <w:br/>
              <w:t xml:space="preserve">2. Second ligation (internal iliac artery and vein trunk): After the branches of the superior gluteal </w:t>
            </w:r>
            <w:r w:rsidRPr="00CB2EC4">
              <w:rPr>
                <w:rFonts w:ascii="Times New Roman" w:hAnsi="Times New Roman" w:cs="Times New Roman"/>
              </w:rPr>
              <w:lastRenderedPageBreak/>
              <w:t>artery and vein, ligate and divide the distal trunk of the internal iliac artery and vein. This ensures the cardinal ligament resection extends to the pelvic wall.</w:t>
            </w:r>
            <w:r w:rsidRPr="00CB2EC4">
              <w:rPr>
                <w:rFonts w:ascii="Times New Roman" w:hAnsi="Times New Roman" w:cs="Times New Roman"/>
              </w:rPr>
              <w:br/>
            </w:r>
            <w:r w:rsidRPr="00CB2EC4">
              <w:rPr>
                <w:rFonts w:ascii="Times New Roman" w:hAnsi="Times New Roman" w:cs="Times New Roman"/>
              </w:rPr>
              <w:br/>
              <w:t>3. Third ligation (upstream of the inferior gluteal and internal pudendal common trunk): At the level below the piriformis muscle, ligate and divide upstream of the bifurcation of the common trunk for the inferior gluteal and internal pudendal arteries and veins. This involves the inferior gluteal artery and vein and the internal pudendal artery and vein, aiming to completely remove visceral branches supplying the bladder and rectum.</w:t>
            </w:r>
            <w:r w:rsidRPr="00CB2EC4">
              <w:rPr>
                <w:rFonts w:ascii="Times New Roman" w:hAnsi="Times New Roman" w:cs="Times New Roman"/>
              </w:rPr>
              <w:br/>
            </w:r>
            <w:r w:rsidRPr="00CB2EC4">
              <w:rPr>
                <w:rFonts w:ascii="Times New Roman" w:hAnsi="Times New Roman" w:cs="Times New Roman"/>
              </w:rPr>
              <w:br/>
              <w:t>These three ligation points reflect the "ultra-radical" nature of the Sanlin technique, achieving expanded resection through systematic ligation of the internal iliac vascular system.</w:t>
            </w:r>
          </w:p>
        </w:tc>
        <w:tc>
          <w:tcPr>
            <w:tcW w:w="1152" w:type="dxa"/>
            <w:vAlign w:val="center"/>
          </w:tcPr>
          <w:p w14:paraId="014C31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0AB7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3BD7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81BCF0" w14:textId="77777777">
        <w:tc>
          <w:tcPr>
            <w:tcW w:w="2160" w:type="dxa"/>
            <w:vAlign w:val="center"/>
          </w:tcPr>
          <w:p w14:paraId="77F84FC1"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C18A08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First ligation: involves the obturator artery and vein. This is performed at the initial stage of surgery to resect obturator region tissues.  </w:t>
            </w:r>
            <w:r w:rsidRPr="00CB2EC4">
              <w:rPr>
                <w:rFonts w:ascii="Times New Roman" w:hAnsi="Times New Roman" w:cs="Times New Roman"/>
              </w:rPr>
              <w:br/>
              <w:t xml:space="preserve">2. Second ligation: involves the trunk of the internal iliac artery and vein distal to the superior gluteal artery branch. Specifically, ligation and division are carried out on the internal iliac vascular trunk after the branching of the superior gluteal vessels.  </w:t>
            </w:r>
            <w:r w:rsidRPr="00CB2EC4">
              <w:rPr>
                <w:rFonts w:ascii="Times New Roman" w:hAnsi="Times New Roman" w:cs="Times New Roman"/>
              </w:rPr>
              <w:br/>
              <w:t xml:space="preserve">3. Third ligation: involves the proximal part of the common trunk of the inferior gluteal and internal pudendal arteries and veins. Specifically, ligation and division are performed at the level below the piriformis muscle, before the branching of the inferior gluteal and internal pudendal vessels.  </w:t>
            </w:r>
            <w:r w:rsidRPr="00CB2EC4">
              <w:rPr>
                <w:rFonts w:ascii="Times New Roman" w:hAnsi="Times New Roman" w:cs="Times New Roman"/>
              </w:rPr>
              <w:br/>
            </w:r>
            <w:r w:rsidRPr="00CB2EC4">
              <w:rPr>
                <w:rFonts w:ascii="Times New Roman" w:hAnsi="Times New Roman" w:cs="Times New Roman"/>
              </w:rPr>
              <w:br/>
              <w:t xml:space="preserve">These ligation points aim to completely remove the </w:t>
            </w:r>
            <w:r w:rsidRPr="00CB2EC4">
              <w:rPr>
                <w:rFonts w:ascii="Times New Roman" w:hAnsi="Times New Roman" w:cs="Times New Roman"/>
              </w:rPr>
              <w:lastRenderedPageBreak/>
              <w:t>internal iliac vascular system to achieve radical resection of the pelvic wall; however, the document notes contradictions (e.g., failure to address visceral side branches).</w:t>
            </w:r>
          </w:p>
        </w:tc>
        <w:tc>
          <w:tcPr>
            <w:tcW w:w="1152" w:type="dxa"/>
            <w:vAlign w:val="center"/>
          </w:tcPr>
          <w:p w14:paraId="27D2B6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A0EE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EE0D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6089D4" w14:textId="77777777">
        <w:tc>
          <w:tcPr>
            <w:tcW w:w="2160" w:type="dxa"/>
            <w:vAlign w:val="center"/>
          </w:tcPr>
          <w:p w14:paraId="0C39F4DE"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673AC89" w14:textId="77777777" w:rsidR="00922249" w:rsidRPr="00CB2EC4" w:rsidRDefault="003011D5">
            <w:pPr>
              <w:rPr>
                <w:rFonts w:ascii="Times New Roman" w:hAnsi="Times New Roman" w:cs="Times New Roman"/>
              </w:rPr>
            </w:pPr>
            <w:r w:rsidRPr="00CB2EC4">
              <w:rPr>
                <w:rFonts w:ascii="Times New Roman" w:hAnsi="Times New Roman" w:cs="Times New Roman"/>
              </w:rPr>
              <w:t>in Sanlin's superextended total hysterectomy, the three ligation points of the internal iliac vessels specifically involve the following vessels based on document segment 18:</w:t>
            </w:r>
            <w:r w:rsidRPr="00CB2EC4">
              <w:rPr>
                <w:rFonts w:ascii="Times New Roman" w:hAnsi="Times New Roman" w:cs="Times New Roman"/>
              </w:rPr>
              <w:br/>
              <w:t>1. First ligation: involves the obturator artery and vein. At the initial stage of surgery, the obturator vessels are ligated and divided.</w:t>
            </w:r>
            <w:r w:rsidRPr="00CB2EC4">
              <w:rPr>
                <w:rFonts w:ascii="Times New Roman" w:hAnsi="Times New Roman" w:cs="Times New Roman"/>
              </w:rPr>
              <w:br/>
              <w:t>2. Second ligation: involves the common trunk of the internal iliac artery and vein after the superior gluteal branch. Following the branching of the superior gluteal vessels, the common trunk downstream is ligated and divided.</w:t>
            </w:r>
            <w:r w:rsidRPr="00CB2EC4">
              <w:rPr>
                <w:rFonts w:ascii="Times New Roman" w:hAnsi="Times New Roman" w:cs="Times New Roman"/>
              </w:rPr>
              <w:br/>
              <w:t>3. Third ligation: involves upstream of the common trunk for the inferior gluteal and internal pudendal vessels at the infra-piriform foramen. Before the branching of the inferior gluteal and internal pudendal common trunk, its upstream portion is ligated and divided.</w:t>
            </w:r>
            <w:r w:rsidRPr="00CB2EC4">
              <w:rPr>
                <w:rFonts w:ascii="Times New Roman" w:hAnsi="Times New Roman" w:cs="Times New Roman"/>
              </w:rPr>
              <w:br/>
              <w:t>- These ligation points aim to completely remove the internal iliac vascular system, including visceral branches (e.g., uterine artery) and parietal branches (e.g., obturator vessels), to achieve superextended resection (document segment 18).</w:t>
            </w:r>
          </w:p>
        </w:tc>
        <w:tc>
          <w:tcPr>
            <w:tcW w:w="1152" w:type="dxa"/>
            <w:vAlign w:val="center"/>
          </w:tcPr>
          <w:p w14:paraId="3EAED8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B394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4962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BBB4F6" w14:textId="77777777">
        <w:tc>
          <w:tcPr>
            <w:tcW w:w="2160" w:type="dxa"/>
            <w:vAlign w:val="center"/>
          </w:tcPr>
          <w:p w14:paraId="4C94295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B029F3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three ligation points involved in the vessels during Sanlin's ultra-extensive total hysterectomy:  </w:t>
            </w:r>
            <w:r w:rsidRPr="00CB2EC4">
              <w:rPr>
                <w:rFonts w:ascii="Times New Roman" w:hAnsi="Times New Roman" w:cs="Times New Roman"/>
              </w:rPr>
              <w:br/>
              <w:t xml:space="preserve">1. First ligation: obturator artery and vein.  </w:t>
            </w:r>
            <w:r w:rsidRPr="00CB2EC4">
              <w:rPr>
                <w:rFonts w:ascii="Times New Roman" w:hAnsi="Times New Roman" w:cs="Times New Roman"/>
              </w:rPr>
              <w:br/>
              <w:t xml:space="preserve">2. Second ligation: internal iliac vascular trunk distal to the superior gluteal branch.  </w:t>
            </w:r>
            <w:r w:rsidRPr="00CB2EC4">
              <w:rPr>
                <w:rFonts w:ascii="Times New Roman" w:hAnsi="Times New Roman" w:cs="Times New Roman"/>
              </w:rPr>
              <w:br/>
              <w:t xml:space="preserve">3. Third ligation: proximal to the bifurcation of the </w:t>
            </w:r>
            <w:r w:rsidRPr="00CB2EC4">
              <w:rPr>
                <w:rFonts w:ascii="Times New Roman" w:hAnsi="Times New Roman" w:cs="Times New Roman"/>
              </w:rPr>
              <w:lastRenderedPageBreak/>
              <w:t xml:space="preserve">inferior gluteal and internal pudendal common trunk.  </w:t>
            </w:r>
            <w:r w:rsidRPr="00CB2EC4">
              <w:rPr>
                <w:rFonts w:ascii="Times New Roman" w:hAnsi="Times New Roman" w:cs="Times New Roman"/>
              </w:rPr>
              <w:br/>
            </w:r>
            <w:r w:rsidRPr="00CB2EC4">
              <w:rPr>
                <w:rFonts w:ascii="Times New Roman" w:hAnsi="Times New Roman" w:cs="Times New Roman"/>
              </w:rPr>
              <w:br/>
              <w:t>Reference: The document explicitly describes the Sanlin technique (Figure 75 and "2.2 Sanlin Technique" section): "Ligate and divide the obturator vessels (first ligation), ligate and divide the internal iliac vascular trunk distal to the superior gluteal branch (second ligation), ligate and divide proximal to the bifurcation of the inferior gluteal and internal pudendal common trunk at the level below the piriformis muscle (third ligation)."</w:t>
            </w:r>
          </w:p>
        </w:tc>
        <w:tc>
          <w:tcPr>
            <w:tcW w:w="1152" w:type="dxa"/>
            <w:vAlign w:val="center"/>
          </w:tcPr>
          <w:p w14:paraId="5EA3AD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3910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49C2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5D99F7" w14:textId="77777777">
        <w:tc>
          <w:tcPr>
            <w:tcW w:w="2160" w:type="dxa"/>
            <w:vAlign w:val="center"/>
          </w:tcPr>
          <w:p w14:paraId="141A167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7DD7A1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First ligation point: involves the obturator artery and vein. This ligation and division is performed at the beginning of the surgical procedure.  </w:t>
            </w:r>
            <w:r w:rsidRPr="00CB2EC4">
              <w:rPr>
                <w:rFonts w:ascii="Times New Roman" w:hAnsi="Times New Roman" w:cs="Times New Roman"/>
              </w:rPr>
              <w:br/>
              <w:t xml:space="preserve">2. Second ligation point: involves the trunk of the internal iliac artery and vein, located immediately distal to the origin of the superior gluteal artery and vein (i.e., downstream after the superior gluteal vessels branch off).  </w:t>
            </w:r>
            <w:r w:rsidRPr="00CB2EC4">
              <w:rPr>
                <w:rFonts w:ascii="Times New Roman" w:hAnsi="Times New Roman" w:cs="Times New Roman"/>
              </w:rPr>
              <w:br/>
              <w:t xml:space="preserve">3. Third ligation point: involves the common trunk of the inferior gluteal and internal pudendal arteries, located proximal to the bifurcation point of this common trunk at the inferior margin of the piriformis muscle (i.e., upstream before the inferior gluteal and internal pudendal vessels branch off).  </w:t>
            </w:r>
            <w:r w:rsidRPr="00CB2EC4">
              <w:rPr>
                <w:rFonts w:ascii="Times New Roman" w:hAnsi="Times New Roman" w:cs="Times New Roman"/>
              </w:rPr>
              <w:br/>
              <w:t>These ligation points aim to completely remove the cardinal ligament along with the internal iliac vascular system to address lateral infiltration in stage III cervical cancer, but may overlook the management of visceral branches to the bladder and rectum.</w:t>
            </w:r>
          </w:p>
        </w:tc>
        <w:tc>
          <w:tcPr>
            <w:tcW w:w="1152" w:type="dxa"/>
            <w:vAlign w:val="center"/>
          </w:tcPr>
          <w:p w14:paraId="16A0FB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D86E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21D7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31EE39" w14:textId="77777777">
        <w:tc>
          <w:tcPr>
            <w:tcW w:w="2160" w:type="dxa"/>
            <w:vAlign w:val="center"/>
          </w:tcPr>
          <w:p w14:paraId="6CE876B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D1E359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First ligation (obturator artery and vein): Ligate and divide the obturator artery and vein (obturator vessels).  </w:t>
            </w:r>
            <w:r w:rsidRPr="00CB2EC4">
              <w:rPr>
                <w:rFonts w:ascii="Times New Roman" w:hAnsi="Times New Roman" w:cs="Times New Roman"/>
              </w:rPr>
              <w:br/>
            </w:r>
            <w:r w:rsidRPr="00CB2EC4">
              <w:rPr>
                <w:rFonts w:ascii="Times New Roman" w:hAnsi="Times New Roman" w:cs="Times New Roman"/>
              </w:rPr>
              <w:lastRenderedPageBreak/>
              <w:t xml:space="preserve">2. Second ligation (internal iliac artery and vein trunk): After the superior gluteal artery and vein branch, ligate and divide the distal internal iliac artery and vein trunk.  </w:t>
            </w:r>
            <w:r w:rsidRPr="00CB2EC4">
              <w:rPr>
                <w:rFonts w:ascii="Times New Roman" w:hAnsi="Times New Roman" w:cs="Times New Roman"/>
              </w:rPr>
              <w:br/>
              <w:t xml:space="preserve">3. Third ligation (inferior gluteal and internal pudendal common trunk): At the inferior margin of the piriformis muscle, ligate and divide the inferior gluteal and internal pudendal common trunk (inferior gluteal and internal pudendal artery and vein) before its branches diverge.  </w:t>
            </w:r>
            <w:r w:rsidRPr="00CB2EC4">
              <w:rPr>
                <w:rFonts w:ascii="Times New Roman" w:hAnsi="Times New Roman" w:cs="Times New Roman"/>
              </w:rPr>
              <w:br/>
            </w:r>
            <w:r w:rsidRPr="00CB2EC4">
              <w:rPr>
                <w:rFonts w:ascii="Times New Roman" w:hAnsi="Times New Roman" w:cs="Times New Roman"/>
              </w:rPr>
              <w:br/>
              <w:t>The procedure specifically targets the internal iliac vascular system, including visceral branches (e.g., uterine artery), anterior wall branches (e.g., obturator artery and vein), and posterior wall branches (e.g., superior and inferior gluteal arteries and veins). However, at the third ligation point, the branches supplying the bladder and rectum from the inferior gluteal and internal pudendal common trunk are not addressed.</w:t>
            </w:r>
          </w:p>
        </w:tc>
        <w:tc>
          <w:tcPr>
            <w:tcW w:w="1152" w:type="dxa"/>
            <w:vAlign w:val="center"/>
          </w:tcPr>
          <w:p w14:paraId="7AFB0B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BF7A3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64745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9C2BAA" w14:textId="77777777">
        <w:tc>
          <w:tcPr>
            <w:tcW w:w="2160" w:type="dxa"/>
            <w:vAlign w:val="center"/>
          </w:tcPr>
          <w:p w14:paraId="018CF85F"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8210B1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First ligation point: obturator artery and vein.  </w:t>
            </w:r>
            <w:r w:rsidRPr="00CB2EC4">
              <w:rPr>
                <w:rFonts w:ascii="Times New Roman" w:hAnsi="Times New Roman" w:cs="Times New Roman"/>
              </w:rPr>
              <w:br/>
              <w:t xml:space="preserve">2. Second ligation point: internal iliac artery and vein trunk, ligated after the branching of the inferior gluteal vessels (i.e., the main trunk of the internal iliac vessels after the inferior gluteal artery branches off).  </w:t>
            </w:r>
            <w:r w:rsidRPr="00CB2EC4">
              <w:rPr>
                <w:rFonts w:ascii="Times New Roman" w:hAnsi="Times New Roman" w:cs="Times New Roman"/>
              </w:rPr>
              <w:br/>
              <w:t xml:space="preserve">3. Third ligation point: upstream of the branching site of the inferior gluteal-internal pudendal common trunk, specifically ligated at the level below the piriformis muscle where the common trunk branches.  </w:t>
            </w:r>
            <w:r w:rsidRPr="00CB2EC4">
              <w:rPr>
                <w:rFonts w:ascii="Times New Roman" w:hAnsi="Times New Roman" w:cs="Times New Roman"/>
              </w:rPr>
              <w:br/>
            </w:r>
            <w:r w:rsidRPr="00CB2EC4">
              <w:rPr>
                <w:rFonts w:ascii="Times New Roman" w:hAnsi="Times New Roman" w:cs="Times New Roman"/>
              </w:rPr>
              <w:br/>
              <w:t xml:space="preserve">These ligation points aim to completely remove the internal iliac vascular system; however, the context indicates that Sanlin's technique does not address the visceral branches supplying the bladder and rectum, </w:t>
            </w:r>
            <w:r w:rsidRPr="00CB2EC4">
              <w:rPr>
                <w:rFonts w:ascii="Times New Roman" w:hAnsi="Times New Roman" w:cs="Times New Roman"/>
              </w:rPr>
              <w:lastRenderedPageBreak/>
              <w:t>presenting an anatomical contradiction (Fragment 15).</w:t>
            </w:r>
          </w:p>
        </w:tc>
        <w:tc>
          <w:tcPr>
            <w:tcW w:w="1152" w:type="dxa"/>
            <w:vAlign w:val="center"/>
          </w:tcPr>
          <w:p w14:paraId="46B221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AB39C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891F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EBDB6E" w14:textId="77777777">
        <w:tc>
          <w:tcPr>
            <w:tcW w:w="2160" w:type="dxa"/>
            <w:vAlign w:val="center"/>
          </w:tcPr>
          <w:p w14:paraId="3C43BF92"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E19215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First ligation point:  </w:t>
            </w:r>
            <w:r w:rsidRPr="00CB2EC4">
              <w:rPr>
                <w:rFonts w:ascii="Times New Roman" w:hAnsi="Times New Roman" w:cs="Times New Roman"/>
              </w:rPr>
              <w:br/>
              <w:t xml:space="preserve">   - Vessels involved: Obturator artery and vein.  </w:t>
            </w:r>
            <w:r w:rsidRPr="00CB2EC4">
              <w:rPr>
                <w:rFonts w:ascii="Times New Roman" w:hAnsi="Times New Roman" w:cs="Times New Roman"/>
              </w:rPr>
              <w:br/>
              <w:t xml:space="preserve">   - Procedure: Ligate and divide the obturator artery and vein near the obturator foramen to remove lymphatic and vascular tissue in this region. This constitutes the "first ligation" and is the initial step of the surgery.</w:t>
            </w:r>
            <w:r w:rsidRPr="00CB2EC4">
              <w:rPr>
                <w:rFonts w:ascii="Times New Roman" w:hAnsi="Times New Roman" w:cs="Times New Roman"/>
              </w:rPr>
              <w:br/>
            </w:r>
            <w:r w:rsidRPr="00CB2EC4">
              <w:rPr>
                <w:rFonts w:ascii="Times New Roman" w:hAnsi="Times New Roman" w:cs="Times New Roman"/>
              </w:rPr>
              <w:br/>
              <w:t xml:space="preserve">2. Second ligation point:  </w:t>
            </w:r>
            <w:r w:rsidRPr="00CB2EC4">
              <w:rPr>
                <w:rFonts w:ascii="Times New Roman" w:hAnsi="Times New Roman" w:cs="Times New Roman"/>
              </w:rPr>
              <w:br/>
              <w:t xml:space="preserve">   - Vessels involved: Internal iliac artery and vein trunk, distal to the superior gluteal artery and vein branching point.  </w:t>
            </w:r>
            <w:r w:rsidRPr="00CB2EC4">
              <w:rPr>
                <w:rFonts w:ascii="Times New Roman" w:hAnsi="Times New Roman" w:cs="Times New Roman"/>
              </w:rPr>
              <w:br/>
              <w:t xml:space="preserve">   - Procedure: Ligate and divide the internal iliac artery and vein trunk below the origin of the superior gluteal artery and vein, ensuring resection of the main trunk to reduce the risk of cancer cell dissemination.</w:t>
            </w:r>
            <w:r w:rsidRPr="00CB2EC4">
              <w:rPr>
                <w:rFonts w:ascii="Times New Roman" w:hAnsi="Times New Roman" w:cs="Times New Roman"/>
              </w:rPr>
              <w:br/>
            </w:r>
            <w:r w:rsidRPr="00CB2EC4">
              <w:rPr>
                <w:rFonts w:ascii="Times New Roman" w:hAnsi="Times New Roman" w:cs="Times New Roman"/>
              </w:rPr>
              <w:br/>
              <w:t xml:space="preserve">3. Third ligation point:  </w:t>
            </w:r>
            <w:r w:rsidRPr="00CB2EC4">
              <w:rPr>
                <w:rFonts w:ascii="Times New Roman" w:hAnsi="Times New Roman" w:cs="Times New Roman"/>
              </w:rPr>
              <w:br/>
              <w:t xml:space="preserve">   - Vessels involved: Common trunk of inferior gluteal and internal pudendal vessels, proximal to its branching.  </w:t>
            </w:r>
            <w:r w:rsidRPr="00CB2EC4">
              <w:rPr>
                <w:rFonts w:ascii="Times New Roman" w:hAnsi="Times New Roman" w:cs="Times New Roman"/>
              </w:rPr>
              <w:br/>
              <w:t xml:space="preserve">   - Procedure: At the inferior margin of the piriformis muscle, perform a combined ligation and division of the common trunk of the inferior gluteal and internal pudendal arteries and veins before its branches arise, to avoid injury to vessels supplying the bladder and rectum.</w:t>
            </w:r>
            <w:r w:rsidRPr="00CB2EC4">
              <w:rPr>
                <w:rFonts w:ascii="Times New Roman" w:hAnsi="Times New Roman" w:cs="Times New Roman"/>
              </w:rPr>
              <w:br/>
            </w:r>
            <w:r w:rsidRPr="00CB2EC4">
              <w:rPr>
                <w:rFonts w:ascii="Times New Roman" w:hAnsi="Times New Roman" w:cs="Times New Roman"/>
              </w:rPr>
              <w:br/>
              <w:t xml:space="preserve">Summary: The three ligation points in Sanlin's technique systematically address the internal iliac vascular system: the first targets the obturator vessels, the second the internal iliac trunk (distal to the superior gluteal branch), and the third the common </w:t>
            </w:r>
            <w:r w:rsidRPr="00CB2EC4">
              <w:rPr>
                <w:rFonts w:ascii="Times New Roman" w:hAnsi="Times New Roman" w:cs="Times New Roman"/>
              </w:rPr>
              <w:lastRenderedPageBreak/>
              <w:t>trunk of the inferior gluteal and internal pudendal vessels (proximal to branching). However, the context notes an anatomical contradiction: this approach does not address collateral vessels to the bladder and rectum (e.g., middle rectal artery and vein), which may lead to complications.</w:t>
            </w:r>
          </w:p>
        </w:tc>
        <w:tc>
          <w:tcPr>
            <w:tcW w:w="1152" w:type="dxa"/>
            <w:vAlign w:val="center"/>
          </w:tcPr>
          <w:p w14:paraId="752063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6949E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9CFE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E96D5B" w14:textId="77777777">
        <w:tc>
          <w:tcPr>
            <w:tcW w:w="2160" w:type="dxa"/>
            <w:vAlign w:val="center"/>
          </w:tcPr>
          <w:p w14:paraId="1E4DD9F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BAE90E6" w14:textId="77777777" w:rsidR="00922249" w:rsidRPr="00CB2EC4" w:rsidRDefault="003011D5">
            <w:pPr>
              <w:rPr>
                <w:rFonts w:ascii="Times New Roman" w:hAnsi="Times New Roman" w:cs="Times New Roman"/>
              </w:rPr>
            </w:pPr>
            <w:r w:rsidRPr="00CB2EC4">
              <w:rPr>
                <w:rFonts w:ascii="Times New Roman" w:hAnsi="Times New Roman" w:cs="Times New Roman"/>
              </w:rPr>
              <w:t>the three ligation points of the internal iliac vessels in Sanlin's ultra-extensive total hysterectomy specifically involve the following vessels:</w:t>
            </w:r>
            <w:r w:rsidRPr="00CB2EC4">
              <w:rPr>
                <w:rFonts w:ascii="Times New Roman" w:hAnsi="Times New Roman" w:cs="Times New Roman"/>
              </w:rPr>
              <w:br/>
            </w:r>
            <w:r w:rsidRPr="00CB2EC4">
              <w:rPr>
                <w:rFonts w:ascii="Times New Roman" w:hAnsi="Times New Roman" w:cs="Times New Roman"/>
              </w:rPr>
              <w:br/>
              <w:t>The vessels involved at the three ligation points: In Sanlin-type surgery (referring to resection of broader parametrial tissue), the three key ligation points of the internal iliac artery are:</w:t>
            </w:r>
            <w:r w:rsidRPr="00CB2EC4">
              <w:rPr>
                <w:rFonts w:ascii="Times New Roman" w:hAnsi="Times New Roman" w:cs="Times New Roman"/>
              </w:rPr>
              <w:br/>
              <w:t xml:space="preserve">  1. Origin of the uterine artery: Ligated at the origin from the anterior trunk of the internal iliac artery.</w:t>
            </w:r>
            <w:r w:rsidRPr="00CB2EC4">
              <w:rPr>
                <w:rFonts w:ascii="Times New Roman" w:hAnsi="Times New Roman" w:cs="Times New Roman"/>
              </w:rPr>
              <w:br/>
              <w:t xml:space="preserve">  2. Origin of the obturator artery: Ligated at the branching point from the anterior trunk of the internal iliac artery to control bleeding in the obturator region.</w:t>
            </w:r>
            <w:r w:rsidRPr="00CB2EC4">
              <w:rPr>
                <w:rFonts w:ascii="Times New Roman" w:hAnsi="Times New Roman" w:cs="Times New Roman"/>
              </w:rPr>
              <w:br/>
              <w:t xml:space="preserve">  3. Origin of the inferior gluteal artery: Ligated at the branching point from the posterior trunk of the internal iliac artery to ensure complete hemostasis of the lateral pelvic wall.</w:t>
            </w:r>
          </w:p>
        </w:tc>
        <w:tc>
          <w:tcPr>
            <w:tcW w:w="1152" w:type="dxa"/>
            <w:vAlign w:val="center"/>
          </w:tcPr>
          <w:p w14:paraId="62F990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B306E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C0098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78E4360" w14:textId="77777777">
        <w:tc>
          <w:tcPr>
            <w:tcW w:w="10656" w:type="dxa"/>
            <w:gridSpan w:val="5"/>
            <w:tcBorders>
              <w:bottom w:val="single" w:sz="6" w:space="0" w:color="auto"/>
            </w:tcBorders>
            <w:vAlign w:val="center"/>
          </w:tcPr>
          <w:p w14:paraId="6F1519D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114: What measures are taken in the Meigs' operation to ensure anatomical accuracy and avoid injury to the middle rectal vein?</w:t>
            </w:r>
          </w:p>
        </w:tc>
      </w:tr>
      <w:tr w:rsidR="00922249" w:rsidRPr="00CB2EC4" w14:paraId="02586D00" w14:textId="77777777">
        <w:tc>
          <w:tcPr>
            <w:tcW w:w="2160" w:type="dxa"/>
            <w:vAlign w:val="center"/>
          </w:tcPr>
          <w:p w14:paraId="47BB78B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E13D3B5" w14:textId="77777777" w:rsidR="00922249" w:rsidRPr="00CB2EC4" w:rsidRDefault="003011D5">
            <w:pPr>
              <w:rPr>
                <w:rFonts w:ascii="Times New Roman" w:hAnsi="Times New Roman" w:cs="Times New Roman"/>
              </w:rPr>
            </w:pPr>
            <w:r w:rsidRPr="00CB2EC4">
              <w:rPr>
                <w:rFonts w:ascii="Times New Roman" w:hAnsi="Times New Roman" w:cs="Times New Roman"/>
              </w:rPr>
              <w:t>what measures did the Meigs operation take to ensure anatomical accuracy and avoid injury to the middle rectal vein?</w:t>
            </w:r>
            <w:r w:rsidRPr="00CB2EC4">
              <w:rPr>
                <w:rFonts w:ascii="Times New Roman" w:hAnsi="Times New Roman" w:cs="Times New Roman"/>
              </w:rPr>
              <w:br/>
            </w:r>
            <w:r w:rsidRPr="00CB2EC4">
              <w:rPr>
                <w:rFonts w:ascii="Times New Roman" w:hAnsi="Times New Roman" w:cs="Times New Roman"/>
              </w:rPr>
              <w:br/>
              <w:t>in the "2.3 Meigs Operation" section, the Meigs operation emphasizes anatomical accuracy, with particular attention to avoiding injury to the middle rectal vein:</w:t>
            </w:r>
            <w:r w:rsidRPr="00CB2EC4">
              <w:rPr>
                <w:rFonts w:ascii="Times New Roman" w:hAnsi="Times New Roman" w:cs="Times New Roman"/>
              </w:rPr>
              <w:br/>
            </w:r>
            <w:r w:rsidRPr="00CB2EC4">
              <w:rPr>
                <w:rFonts w:ascii="Times New Roman" w:hAnsi="Times New Roman" w:cs="Times New Roman"/>
              </w:rPr>
              <w:lastRenderedPageBreak/>
              <w:t>- key measure: Meigs believed that the base of the cardinal ligament should not be cut near the sacral surface, as the middle rectal vein is highly likely to appear in this area. by avoiding operation at this high-risk site, he reduced the risk of injuring this vein, thereby minimizing intraoperative bleeding and complications.</w:t>
            </w:r>
            <w:r w:rsidRPr="00CB2EC4">
              <w:rPr>
                <w:rFonts w:ascii="Times New Roman" w:hAnsi="Times New Roman" w:cs="Times New Roman"/>
              </w:rPr>
              <w:br/>
              <w:t>- background and accuracy: the Meigs operation is referred to as the "so-called Wertheim Operation" but is clearly distinguished from the Latzko and Okabayashi procedures. the document notes that Meigs prioritized anatomical precision over blindly pursuing radical extent; in an era when QOL (quality of life after surgery) was not emphasized, his approach was seen as a taboo-like reflection on excessive resection (such as in the Latzko and Okabayashi operations). additionally, the document mentions that Meigs and Kobayashi's nerve-sparing operations were similar in the range of resection of the transverse cervical ligament, further demonstrating his focus on anatomical detail.</w:t>
            </w:r>
            <w:r w:rsidRPr="00CB2EC4">
              <w:rPr>
                <w:rFonts w:ascii="Times New Roman" w:hAnsi="Times New Roman" w:cs="Times New Roman"/>
              </w:rPr>
              <w:br/>
              <w:t>the document does not provide more specific technical details, but based on the context, this measure is a core feature of the Meigs operation to ensure safety and accuracy.</w:t>
            </w:r>
          </w:p>
        </w:tc>
        <w:tc>
          <w:tcPr>
            <w:tcW w:w="1152" w:type="dxa"/>
            <w:vAlign w:val="center"/>
          </w:tcPr>
          <w:p w14:paraId="59ADB9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8C24D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1A8B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4DD0BA2" w14:textId="77777777">
        <w:tc>
          <w:tcPr>
            <w:tcW w:w="2160" w:type="dxa"/>
            <w:vAlign w:val="center"/>
          </w:tcPr>
          <w:p w14:paraId="155A3DB8"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1FE6F79" w14:textId="77777777" w:rsidR="00922249" w:rsidRPr="00CB2EC4" w:rsidRDefault="003011D5">
            <w:pPr>
              <w:rPr>
                <w:rFonts w:ascii="Times New Roman" w:hAnsi="Times New Roman" w:cs="Times New Roman"/>
              </w:rPr>
            </w:pPr>
            <w:r w:rsidRPr="00CB2EC4">
              <w:rPr>
                <w:rFonts w:ascii="Times New Roman" w:hAnsi="Times New Roman" w:cs="Times New Roman"/>
              </w:rPr>
              <w:t>what measures did the Meigs surgery take to ensure anatomical accuracy and avoid injury to the middle rectal vein?</w:t>
            </w:r>
            <w:r w:rsidRPr="00CB2EC4">
              <w:rPr>
                <w:rFonts w:ascii="Times New Roman" w:hAnsi="Times New Roman" w:cs="Times New Roman"/>
              </w:rPr>
              <w:br/>
            </w:r>
            <w:r w:rsidRPr="00CB2EC4">
              <w:rPr>
                <w:rFonts w:ascii="Times New Roman" w:hAnsi="Times New Roman" w:cs="Times New Roman"/>
              </w:rPr>
              <w:br/>
              <w:t>The Meigs surgery emphasizes anatomical accuracy, with specific measures to avoid injuring the middle rectal vein:</w:t>
            </w:r>
            <w:r w:rsidRPr="00CB2EC4">
              <w:rPr>
                <w:rFonts w:ascii="Times New Roman" w:hAnsi="Times New Roman" w:cs="Times New Roman"/>
              </w:rPr>
              <w:br/>
              <w:t xml:space="preserve">- Avoid cutting the base of the cardinal ligament near the sacral surface: Meigs believed the middle rectal </w:t>
            </w:r>
            <w:r w:rsidRPr="00CB2EC4">
              <w:rPr>
                <w:rFonts w:ascii="Times New Roman" w:hAnsi="Times New Roman" w:cs="Times New Roman"/>
              </w:rPr>
              <w:lastRenderedPageBreak/>
              <w:t>vein is highly likely to appear in this area, so operating near the sacral surface must be avoided to prevent injury. This is based on his re-evaluation of traditional anatomy, advocating for more precise localization.</w:t>
            </w:r>
            <w:r w:rsidRPr="00CB2EC4">
              <w:rPr>
                <w:rFonts w:ascii="Times New Roman" w:hAnsi="Times New Roman" w:cs="Times New Roman"/>
              </w:rPr>
              <w:br/>
              <w:t>- Focus on anatomical accuracy: Compared to the Latzko and Okabayashi procedures (considered more radical), the Meigs approach sacrifices some extent of resection but prioritizes structural detail. For example, it sets the site for cutting the cardinal ligament at the level of the deep uterine vein, similar to the nerve-sparing technique in the Kobayashi procedure, to reduce complications.</w:t>
            </w:r>
            <w:r w:rsidRPr="00CB2EC4">
              <w:rPr>
                <w:rFonts w:ascii="Times New Roman" w:hAnsi="Times New Roman" w:cs="Times New Roman"/>
              </w:rPr>
              <w:br/>
            </w:r>
            <w:r w:rsidRPr="00CB2EC4">
              <w:rPr>
                <w:rFonts w:ascii="Times New Roman" w:hAnsi="Times New Roman" w:cs="Times New Roman"/>
              </w:rPr>
              <w:br/>
              <w:t>The document notes that the Meigs surgery, in an era prioritizing efficacy, represents a "taboo"-like reflection against excessive resection (Document Fragment 1).</w:t>
            </w:r>
          </w:p>
        </w:tc>
        <w:tc>
          <w:tcPr>
            <w:tcW w:w="1152" w:type="dxa"/>
            <w:vAlign w:val="center"/>
          </w:tcPr>
          <w:p w14:paraId="590745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6F6CA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BD15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56B181" w14:textId="77777777">
        <w:tc>
          <w:tcPr>
            <w:tcW w:w="2160" w:type="dxa"/>
            <w:vAlign w:val="center"/>
          </w:tcPr>
          <w:p w14:paraId="4F140803"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E8443D7"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is available in the provided documents regarding specific measures taken during the Meigs surgery to ensure anatomical accuracy or to avoid injury to the middle rectal vein.</w:t>
            </w:r>
          </w:p>
        </w:tc>
        <w:tc>
          <w:tcPr>
            <w:tcW w:w="1152" w:type="dxa"/>
            <w:vAlign w:val="center"/>
          </w:tcPr>
          <w:p w14:paraId="432B66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30421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988C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2B69A9" w14:textId="77777777">
        <w:tc>
          <w:tcPr>
            <w:tcW w:w="2160" w:type="dxa"/>
            <w:vAlign w:val="center"/>
          </w:tcPr>
          <w:p w14:paraId="53E49F98"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4CB67A9" w14:textId="77777777" w:rsidR="00922249" w:rsidRPr="00CB2EC4" w:rsidRDefault="003011D5">
            <w:pPr>
              <w:rPr>
                <w:rFonts w:ascii="Times New Roman" w:hAnsi="Times New Roman" w:cs="Times New Roman"/>
              </w:rPr>
            </w:pPr>
            <w:r w:rsidRPr="00CB2EC4">
              <w:rPr>
                <w:rFonts w:ascii="Times New Roman" w:hAnsi="Times New Roman" w:cs="Times New Roman"/>
              </w:rPr>
              <w:t>what measures does the Meigs surgery take to ensure anatomical accuracy and avoid injury to the middle rectal vein?</w:t>
            </w:r>
            <w:r w:rsidRPr="00CB2EC4">
              <w:rPr>
                <w:rFonts w:ascii="Times New Roman" w:hAnsi="Times New Roman" w:cs="Times New Roman"/>
              </w:rPr>
              <w:br/>
            </w:r>
            <w:r w:rsidRPr="00CB2EC4">
              <w:rPr>
                <w:rFonts w:ascii="Times New Roman" w:hAnsi="Times New Roman" w:cs="Times New Roman"/>
              </w:rPr>
              <w:br/>
              <w:t>- Avoidance of middle rectal vein injury: It is strictly prohibited to cut the base of the cardinal ligament near the sacral surface, as the middle rectal vein is highly likely to be present in this area.</w:t>
            </w:r>
            <w:r w:rsidRPr="00CB2EC4">
              <w:rPr>
                <w:rFonts w:ascii="Times New Roman" w:hAnsi="Times New Roman" w:cs="Times New Roman"/>
              </w:rPr>
              <w:br/>
              <w:t>- Anatomical accuracy:</w:t>
            </w:r>
            <w:r w:rsidRPr="00CB2EC4">
              <w:rPr>
                <w:rFonts w:ascii="Times New Roman" w:hAnsi="Times New Roman" w:cs="Times New Roman"/>
              </w:rPr>
              <w:br/>
              <w:t xml:space="preserve">  - The cardinal ligament is resected at the level of the deep uterine vein (not at the pelvic floor), reducing </w:t>
            </w:r>
            <w:r w:rsidRPr="00CB2EC4">
              <w:rPr>
                <w:rFonts w:ascii="Times New Roman" w:hAnsi="Times New Roman" w:cs="Times New Roman"/>
              </w:rPr>
              <w:lastRenderedPageBreak/>
              <w:t>nerve injury.</w:t>
            </w:r>
            <w:r w:rsidRPr="00CB2EC4">
              <w:rPr>
                <w:rFonts w:ascii="Times New Roman" w:hAnsi="Times New Roman" w:cs="Times New Roman"/>
              </w:rPr>
              <w:br/>
              <w:t xml:space="preserve">  - The surgical sequence is optimized: the cardinal ligament is addressed first, followed by the uterosacral ligament and then the vesicouterine ligament in order.</w:t>
            </w:r>
            <w:r w:rsidRPr="00CB2EC4">
              <w:rPr>
                <w:rFonts w:ascii="Times New Roman" w:hAnsi="Times New Roman" w:cs="Times New Roman"/>
              </w:rPr>
              <w:br/>
              <w:t xml:space="preserve">  - Compared with the Latzko/Kobayashi procedure: the resection range is smaller, but greater emphasis is placed on precise dissection (e.g., nerve-sparing concept similar to the Kobayashi technique).</w:t>
            </w:r>
          </w:p>
        </w:tc>
        <w:tc>
          <w:tcPr>
            <w:tcW w:w="1152" w:type="dxa"/>
            <w:vAlign w:val="center"/>
          </w:tcPr>
          <w:p w14:paraId="0A545E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1CA0A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FDF1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924248" w14:textId="77777777">
        <w:tc>
          <w:tcPr>
            <w:tcW w:w="2160" w:type="dxa"/>
            <w:vAlign w:val="center"/>
          </w:tcPr>
          <w:p w14:paraId="0F812667"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8AB051F" w14:textId="77777777" w:rsidR="00922249" w:rsidRPr="00CB2EC4" w:rsidRDefault="003011D5">
            <w:pPr>
              <w:rPr>
                <w:rFonts w:ascii="Times New Roman" w:hAnsi="Times New Roman" w:cs="Times New Roman"/>
              </w:rPr>
            </w:pPr>
            <w:r w:rsidRPr="00CB2EC4">
              <w:rPr>
                <w:rFonts w:ascii="Times New Roman" w:hAnsi="Times New Roman" w:cs="Times New Roman"/>
              </w:rPr>
              <w:t>Meigs surgery adopts the following measures to ensure anatomical accuracy and avoid injury to the middle rectal vein:</w:t>
            </w:r>
            <w:r w:rsidRPr="00CB2EC4">
              <w:rPr>
                <w:rFonts w:ascii="Times New Roman" w:hAnsi="Times New Roman" w:cs="Times New Roman"/>
              </w:rPr>
              <w:br/>
            </w:r>
            <w:r w:rsidRPr="00CB2EC4">
              <w:rPr>
                <w:rFonts w:ascii="Times New Roman" w:hAnsi="Times New Roman" w:cs="Times New Roman"/>
              </w:rPr>
              <w:br/>
              <w:t>- Key measure: Meigs explicitly stated that the base of the cardinal ligament should not be severed near the sacral surface, as the likelihood of the middle rectal vein appearing in this area is very high. He prevented injury by avoiding transection at this location.</w:t>
            </w:r>
            <w:r w:rsidRPr="00CB2EC4">
              <w:rPr>
                <w:rFonts w:ascii="Times New Roman" w:hAnsi="Times New Roman" w:cs="Times New Roman"/>
              </w:rPr>
              <w:br/>
              <w:t>- Anatomical accuracy: Meigs surgery emphasizes resection of the cardinal ligament at the level of the deep uterine vein, rather than extending to the pelvic floor as in Latzko or Okabayashi surgery, which is considered anatomically more precise. The document mentions that Meigs surgery aligns with traditional European anatomy, focusing on avoiding excessive resection to reduce the risk of accidental bleeding.</w:t>
            </w:r>
            <w:r w:rsidRPr="00CB2EC4">
              <w:rPr>
                <w:rFonts w:ascii="Times New Roman" w:hAnsi="Times New Roman" w:cs="Times New Roman"/>
              </w:rPr>
              <w:br/>
              <w:t>- Background: In an era prioritizing efficacy, Meigs surgery was seen as a reflection on Latzko and Okabayashi surgeries (which involved excessive resection). Its resection range is similar to Kobayashi's nerve-sparing surgery but does not involve details of nerve preservation.</w:t>
            </w:r>
          </w:p>
        </w:tc>
        <w:tc>
          <w:tcPr>
            <w:tcW w:w="1152" w:type="dxa"/>
            <w:vAlign w:val="center"/>
          </w:tcPr>
          <w:p w14:paraId="03F06F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0370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F26E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8C374B" w14:textId="77777777">
        <w:tc>
          <w:tcPr>
            <w:tcW w:w="2160" w:type="dxa"/>
            <w:vAlign w:val="center"/>
          </w:tcPr>
          <w:p w14:paraId="0905B5C0"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B1A485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ensure anatomical accuracy and avoid injury to the middle rectal vein, Meigs surgery implements the </w:t>
            </w:r>
            <w:r w:rsidRPr="00CB2EC4">
              <w:rPr>
                <w:rFonts w:ascii="Times New Roman" w:hAnsi="Times New Roman" w:cs="Times New Roman"/>
              </w:rPr>
              <w:lastRenderedPageBreak/>
              <w:t xml:space="preserve">following measures:  </w:t>
            </w:r>
            <w:r w:rsidRPr="00CB2EC4">
              <w:rPr>
                <w:rFonts w:ascii="Times New Roman" w:hAnsi="Times New Roman" w:cs="Times New Roman"/>
              </w:rPr>
              <w:br/>
              <w:t xml:space="preserve">- Avoid cutting the base of the cardinal ligament near the sacral surface: Meigs emphasized in the literature (Progress in Gynecology, 1950) that the base of the cardinal ligament should not be transected close to the sacral surface, as the middle rectal vein is highly likely to be present in this area. Injury to this vein may cause severe bleeding and surgical complications (Document 1).  </w:t>
            </w:r>
            <w:r w:rsidRPr="00CB2EC4">
              <w:rPr>
                <w:rFonts w:ascii="Times New Roman" w:hAnsi="Times New Roman" w:cs="Times New Roman"/>
              </w:rPr>
              <w:br/>
              <w:t xml:space="preserve">- Anatomical precision: Meigs surgery distinguishes itself from the Latzko and Okabayashi techniques, referring to its approach as the "so-called Wertheim Operation." It focuses on resecting the cardinal ligament at the level of the uterine deep vein, rather than extending excessively toward the pelvic floor. This reduces the risk of inadvertent injury and enhances surgical controllability (Document 1).  </w:t>
            </w:r>
            <w:r w:rsidRPr="00CB2EC4">
              <w:rPr>
                <w:rFonts w:ascii="Times New Roman" w:hAnsi="Times New Roman" w:cs="Times New Roman"/>
              </w:rPr>
              <w:br/>
              <w:t>these measures reflect Meigs’ attention to anatomical detail, especially in an era when QOL (quality of life after surgery) was not prioritized, and his approach is regarded as a reconsideration of radical resection.</w:t>
            </w:r>
          </w:p>
        </w:tc>
        <w:tc>
          <w:tcPr>
            <w:tcW w:w="1152" w:type="dxa"/>
            <w:vAlign w:val="center"/>
          </w:tcPr>
          <w:p w14:paraId="7A54FC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964D9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0694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DF44B5" w14:textId="77777777">
        <w:tc>
          <w:tcPr>
            <w:tcW w:w="2160" w:type="dxa"/>
            <w:vAlign w:val="center"/>
          </w:tcPr>
          <w:p w14:paraId="3E32010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F5D4527" w14:textId="77777777" w:rsidR="00922249" w:rsidRPr="00CB2EC4" w:rsidRDefault="003011D5">
            <w:pPr>
              <w:rPr>
                <w:rFonts w:ascii="Times New Roman" w:hAnsi="Times New Roman" w:cs="Times New Roman"/>
              </w:rPr>
            </w:pPr>
            <w:r w:rsidRPr="00CB2EC4">
              <w:rPr>
                <w:rFonts w:ascii="Times New Roman" w:hAnsi="Times New Roman" w:cs="Times New Roman"/>
              </w:rPr>
              <w:t>to ensure anatomical accuracy and avoid injury to the middle rectal vein, the Meigs procedure implements the following measures:</w:t>
            </w:r>
            <w:r w:rsidRPr="00CB2EC4">
              <w:rPr>
                <w:rFonts w:ascii="Times New Roman" w:hAnsi="Times New Roman" w:cs="Times New Roman"/>
              </w:rPr>
              <w:br/>
            </w:r>
            <w:r w:rsidRPr="00CB2EC4">
              <w:rPr>
                <w:rFonts w:ascii="Times New Roman" w:hAnsi="Times New Roman" w:cs="Times New Roman"/>
              </w:rPr>
              <w:br/>
              <w:t>- Avoid deep transection of the base of the cardinal ligament near the sacral surface: Meigs recognized that the middle rectal vein is highly likely to be present at the base of the cardinal ligament close to the sacral surface; therefore, the procedure deliberately avoids deep cutting in this area. This reduces the risk of inadvertent injury to the middle rectal vein, thereby minimizing bleeding and complications.</w:t>
            </w:r>
            <w:r w:rsidRPr="00CB2EC4">
              <w:rPr>
                <w:rFonts w:ascii="Times New Roman" w:hAnsi="Times New Roman" w:cs="Times New Roman"/>
              </w:rPr>
              <w:br/>
            </w:r>
            <w:r w:rsidRPr="00CB2EC4">
              <w:rPr>
                <w:rFonts w:ascii="Times New Roman" w:hAnsi="Times New Roman" w:cs="Times New Roman"/>
              </w:rPr>
              <w:lastRenderedPageBreak/>
              <w:br/>
              <w:t>- Precise ligament resection boundaries: During surgery, only 2/3 of the uterosacral ligament is resected near the sacrum, rather than being completely removed; meanwhile, the cardinal ligament is cut near the pelvic sidewall, but the depth is controlled to ensure anatomical accuracy. Meigs emphasizes ligating and dividing the uterine artery at its origin from the internal iliac artery and fully dissecting the ureter down to the bladder entrance to preserve the blood supply to the distal ureter (reducing fistula risk).</w:t>
            </w:r>
            <w:r w:rsidRPr="00CB2EC4">
              <w:rPr>
                <w:rFonts w:ascii="Times New Roman" w:hAnsi="Times New Roman" w:cs="Times New Roman"/>
              </w:rPr>
              <w:br/>
            </w:r>
            <w:r w:rsidRPr="00CB2EC4">
              <w:rPr>
                <w:rFonts w:ascii="Times New Roman" w:hAnsi="Times New Roman" w:cs="Times New Roman"/>
              </w:rPr>
              <w:br/>
              <w:t>- Comparison with Latzko and Okabayashi procedures: The Meigs procedure is slightly less radical but places greater emphasis on anatomical detail, such as resecting half of the vagina and performing routine pelvic lymphadenectomy, which helps reduce injury while maintaining efficacy (the document states that the Meigs procedure offers superior anatomical accuracy compared to more radical approaches).</w:t>
            </w:r>
            <w:r w:rsidRPr="00CB2EC4">
              <w:rPr>
                <w:rFonts w:ascii="Times New Roman" w:hAnsi="Times New Roman" w:cs="Times New Roman"/>
              </w:rPr>
              <w:br/>
            </w:r>
            <w:r w:rsidRPr="00CB2EC4">
              <w:rPr>
                <w:rFonts w:ascii="Times New Roman" w:hAnsi="Times New Roman" w:cs="Times New Roman"/>
              </w:rPr>
              <w:br/>
              <w:t>These measures reflect Meigs’ focus on postoperative quality of life (QOL) by avoiding excessive resection that could lead to complications.</w:t>
            </w:r>
          </w:p>
        </w:tc>
        <w:tc>
          <w:tcPr>
            <w:tcW w:w="1152" w:type="dxa"/>
            <w:vAlign w:val="center"/>
          </w:tcPr>
          <w:p w14:paraId="5832AF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B7357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FC1C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C68C7A" w14:textId="77777777">
        <w:tc>
          <w:tcPr>
            <w:tcW w:w="2160" w:type="dxa"/>
            <w:vAlign w:val="center"/>
          </w:tcPr>
          <w:p w14:paraId="3C5B892E"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EAA87C0" w14:textId="77777777" w:rsidR="00922249" w:rsidRPr="00CB2EC4" w:rsidRDefault="003011D5">
            <w:pPr>
              <w:rPr>
                <w:rFonts w:ascii="Times New Roman" w:hAnsi="Times New Roman" w:cs="Times New Roman"/>
              </w:rPr>
            </w:pPr>
            <w:r w:rsidRPr="00CB2EC4">
              <w:rPr>
                <w:rFonts w:ascii="Times New Roman" w:hAnsi="Times New Roman" w:cs="Times New Roman"/>
              </w:rPr>
              <w:t>The measures adopted in Meigs' operation to ensure anatomical accuracy and avoid injury to the middle rectal vein include:</w:t>
            </w:r>
            <w:r w:rsidRPr="00CB2EC4">
              <w:rPr>
                <w:rFonts w:ascii="Times New Roman" w:hAnsi="Times New Roman" w:cs="Times New Roman"/>
              </w:rPr>
              <w:br/>
            </w:r>
            <w:r w:rsidRPr="00CB2EC4">
              <w:rPr>
                <w:rFonts w:ascii="Times New Roman" w:hAnsi="Times New Roman" w:cs="Times New Roman"/>
              </w:rPr>
              <w:br/>
              <w:t>- Avoiding transection of the base of the cardinal ligament near the sacral surface, as the probability of the middle rectal vein appearing in this area is very high.</w:t>
            </w:r>
            <w:r w:rsidRPr="00CB2EC4">
              <w:rPr>
                <w:rFonts w:ascii="Times New Roman" w:hAnsi="Times New Roman" w:cs="Times New Roman"/>
              </w:rPr>
              <w:br/>
              <w:t xml:space="preserve">- Therefore, no transection is performed at this site to </w:t>
            </w:r>
            <w:r w:rsidRPr="00CB2EC4">
              <w:rPr>
                <w:rFonts w:ascii="Times New Roman" w:hAnsi="Times New Roman" w:cs="Times New Roman"/>
              </w:rPr>
              <w:lastRenderedPageBreak/>
              <w:t>prevent damage to the middle rectal vein.</w:t>
            </w:r>
            <w:r w:rsidRPr="00CB2EC4">
              <w:rPr>
                <w:rFonts w:ascii="Times New Roman" w:hAnsi="Times New Roman" w:cs="Times New Roman"/>
              </w:rPr>
              <w:br/>
              <w:t>- This measure emphasizes the accuracy of anatomical details. Compared to the Latzko and Okabayashi procedures, Meigs' operation is slightly less radical but places greater emphasis on structural integrity.</w:t>
            </w:r>
            <w:r w:rsidRPr="00CB2EC4">
              <w:rPr>
                <w:rFonts w:ascii="Times New Roman" w:hAnsi="Times New Roman" w:cs="Times New Roman"/>
              </w:rPr>
              <w:br/>
              <w:t>- This operative strategy reflects considerations for surgical safety in an era prioritizing efficacy, aiming to reduce the risk of bleeding and complications.</w:t>
            </w:r>
            <w:r w:rsidRPr="00CB2EC4">
              <w:rPr>
                <w:rFonts w:ascii="Times New Roman" w:hAnsi="Times New Roman" w:cs="Times New Roman"/>
              </w:rPr>
              <w:br/>
            </w:r>
            <w:r w:rsidRPr="00CB2EC4">
              <w:rPr>
                <w:rFonts w:ascii="Times New Roman" w:hAnsi="Times New Roman" w:cs="Times New Roman"/>
              </w:rPr>
              <w:br/>
              <w:t>(As stated in Document Fragment 1: "Meigs believed that the base of the cardinal ligament should not be transected near the sacral surface because the probability of the middle rectal vein appearing in this area is very high. Therefore, he avoided performing transection at this site to prevent injury to this vein.")</w:t>
            </w:r>
          </w:p>
        </w:tc>
        <w:tc>
          <w:tcPr>
            <w:tcW w:w="1152" w:type="dxa"/>
            <w:vAlign w:val="center"/>
          </w:tcPr>
          <w:p w14:paraId="0F2682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6F19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3080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658F03" w14:textId="77777777">
        <w:tc>
          <w:tcPr>
            <w:tcW w:w="2160" w:type="dxa"/>
            <w:vAlign w:val="center"/>
          </w:tcPr>
          <w:p w14:paraId="0707ED4E"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62779AA" w14:textId="77777777" w:rsidR="00922249" w:rsidRPr="00CB2EC4" w:rsidRDefault="003011D5">
            <w:pPr>
              <w:rPr>
                <w:rFonts w:ascii="Times New Roman" w:hAnsi="Times New Roman" w:cs="Times New Roman"/>
              </w:rPr>
            </w:pPr>
            <w:r w:rsidRPr="00CB2EC4">
              <w:rPr>
                <w:rFonts w:ascii="Times New Roman" w:hAnsi="Times New Roman" w:cs="Times New Roman"/>
              </w:rPr>
              <w:t>measures:</w:t>
            </w:r>
            <w:r w:rsidRPr="00CB2EC4">
              <w:rPr>
                <w:rFonts w:ascii="Times New Roman" w:hAnsi="Times New Roman" w:cs="Times New Roman"/>
              </w:rPr>
              <w:br/>
              <w:t xml:space="preserve">  - Avoidance of middle rectal vein injury: Do not cut the base of the cardinal ligament near the sacral surface, as the middle rectal vein is likely to be present in this area.</w:t>
            </w:r>
            <w:r w:rsidRPr="00CB2EC4">
              <w:rPr>
                <w:rFonts w:ascii="Times New Roman" w:hAnsi="Times New Roman" w:cs="Times New Roman"/>
              </w:rPr>
              <w:br/>
              <w:t xml:space="preserve">  - Anatomical accuracy: Meigs emphasized that the procedure is based on traditional anatomy, clearly distinguishing it from the Latzko/Kobayashi technique. It prioritizes precise execution over blindly expanding the resection range. Its extent of resection is similar to that of nerve-sparing procedures (such as the Kobayashi technique), with greater focus on safety rather than radical extirpation.</w:t>
            </w:r>
            <w:r w:rsidRPr="00CB2EC4">
              <w:rPr>
                <w:rFonts w:ascii="Times New Roman" w:hAnsi="Times New Roman" w:cs="Times New Roman"/>
              </w:rPr>
              <w:br/>
              <w:t xml:space="preserve">  Evidence: The document states that Meigs considered "cutting the base of the cardinal ligament near the sacral surface inadvisable because the middle rectal vein is highly likely to be present there," and notes his "accuracy in anatomy" (from the "2.3 Meigs surgery" section).</w:t>
            </w:r>
          </w:p>
        </w:tc>
        <w:tc>
          <w:tcPr>
            <w:tcW w:w="1152" w:type="dxa"/>
            <w:vAlign w:val="center"/>
          </w:tcPr>
          <w:p w14:paraId="43734E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9DBC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6003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CE548A" w14:textId="77777777">
        <w:tc>
          <w:tcPr>
            <w:tcW w:w="2160" w:type="dxa"/>
            <w:vAlign w:val="center"/>
          </w:tcPr>
          <w:p w14:paraId="642C479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11C291F2" w14:textId="77777777" w:rsidR="00922249" w:rsidRPr="00CB2EC4" w:rsidRDefault="003011D5">
            <w:pPr>
              <w:rPr>
                <w:rFonts w:ascii="Times New Roman" w:hAnsi="Times New Roman" w:cs="Times New Roman"/>
              </w:rPr>
            </w:pPr>
            <w:r w:rsidRPr="00CB2EC4">
              <w:rPr>
                <w:rFonts w:ascii="Times New Roman" w:hAnsi="Times New Roman" w:cs="Times New Roman"/>
              </w:rPr>
              <w:t>Meigs surgery employs the following measures to ensure anatomical accuracy and avoid injury to the middle rectal vein:</w:t>
            </w:r>
            <w:r w:rsidRPr="00CB2EC4">
              <w:rPr>
                <w:rFonts w:ascii="Times New Roman" w:hAnsi="Times New Roman" w:cs="Times New Roman"/>
              </w:rPr>
              <w:br/>
            </w:r>
            <w:r w:rsidRPr="00CB2EC4">
              <w:rPr>
                <w:rFonts w:ascii="Times New Roman" w:hAnsi="Times New Roman" w:cs="Times New Roman"/>
              </w:rPr>
              <w:br/>
              <w:t>- Avoid deep division or resection of the base of the cardinal ligament near the sacral surface: Meigs considered that the middle rectal vein is highly likely to appear in the area where the base of the cardinal ligament is close to the sacral surface; therefore, he advocated against performing deep division or resection in this region to reduce the risk of accidental injury.</w:t>
            </w:r>
            <w:r w:rsidRPr="00CB2EC4">
              <w:rPr>
                <w:rFonts w:ascii="Times New Roman" w:hAnsi="Times New Roman" w:cs="Times New Roman"/>
              </w:rPr>
              <w:br/>
              <w:t>- Emphasis on anatomical precision: The extent of transverse cervical ligament resection in Meigs surgery is similar to that in nerve-sparing procedures (such as Kobayashi surgery), emphasizing accurate identification and management of vascular structures (e.g., at the level of the uterine deep vein) rather than blindly expanding the resection range. This helps reduce complications and improve postoperative quality of life (QOL).</w:t>
            </w:r>
            <w:r w:rsidRPr="00CB2EC4">
              <w:rPr>
                <w:rFonts w:ascii="Times New Roman" w:hAnsi="Times New Roman" w:cs="Times New Roman"/>
              </w:rPr>
              <w:br/>
              <w:t>These measures reflect Meigs’ critical application of traditional European anatomy, avoiding excessive invasion of the rectal area.</w:t>
            </w:r>
          </w:p>
        </w:tc>
        <w:tc>
          <w:tcPr>
            <w:tcW w:w="1152" w:type="dxa"/>
            <w:vAlign w:val="center"/>
          </w:tcPr>
          <w:p w14:paraId="7065A5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8E5F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0311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831AF5" w14:textId="77777777">
        <w:tc>
          <w:tcPr>
            <w:tcW w:w="2160" w:type="dxa"/>
            <w:vAlign w:val="center"/>
          </w:tcPr>
          <w:p w14:paraId="2D8E0A06"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D23647E" w14:textId="77777777" w:rsidR="00922249" w:rsidRPr="00CB2EC4" w:rsidRDefault="003011D5">
            <w:pPr>
              <w:rPr>
                <w:rFonts w:ascii="Times New Roman" w:hAnsi="Times New Roman" w:cs="Times New Roman"/>
              </w:rPr>
            </w:pPr>
            <w:r w:rsidRPr="00CB2EC4">
              <w:rPr>
                <w:rFonts w:ascii="Times New Roman" w:hAnsi="Times New Roman" w:cs="Times New Roman"/>
              </w:rPr>
              <w:t>to ensure anatomical accuracy and avoid injury to the middle rectal vein during Meigs surgery, the following measures are taken:</w:t>
            </w:r>
            <w:r w:rsidRPr="00CB2EC4">
              <w:rPr>
                <w:rFonts w:ascii="Times New Roman" w:hAnsi="Times New Roman" w:cs="Times New Roman"/>
              </w:rPr>
              <w:br/>
            </w:r>
            <w:r w:rsidRPr="00CB2EC4">
              <w:rPr>
                <w:rFonts w:ascii="Times New Roman" w:hAnsi="Times New Roman" w:cs="Times New Roman"/>
              </w:rPr>
              <w:br/>
              <w:t>- Avoid cutting the base of the cardinal ligament near the sacral surface: Meigs recognized that the middle rectal vein is highly likely to appear near the sacral surface, so cutting at the base of the cardinal ligament (near the sacral surface) is prohibited to prevent injury to the middle rectal vein.</w:t>
            </w:r>
            <w:r w:rsidRPr="00CB2EC4">
              <w:rPr>
                <w:rFonts w:ascii="Times New Roman" w:hAnsi="Times New Roman" w:cs="Times New Roman"/>
              </w:rPr>
              <w:br/>
            </w:r>
            <w:r w:rsidRPr="00CB2EC4">
              <w:rPr>
                <w:rFonts w:ascii="Times New Roman" w:hAnsi="Times New Roman" w:cs="Times New Roman"/>
              </w:rPr>
              <w:lastRenderedPageBreak/>
              <w:t>- Emphasize anatomical precision: During resection of the transverse cervical ligament, the extent is similar to the level of the uterine deep vein (analogous to Kobayashi’s nerve-sparing surgery). Meigs surgery stresses precise dissection rather than blindly expanding the resection range. The document states, "The resection range of the transverse cervical ligament in Meigs and Kobayashi’s nerve-sparing surgery is similar," and notes that Meigs surgery avoids the potential over-resection seen in Latzko and Okabayashi procedures in an era prioritizing efficacy.</w:t>
            </w:r>
            <w:r w:rsidRPr="00CB2EC4">
              <w:rPr>
                <w:rFonts w:ascii="Times New Roman" w:hAnsi="Times New Roman" w:cs="Times New Roman"/>
              </w:rPr>
              <w:br/>
            </w:r>
            <w:r w:rsidRPr="00CB2EC4">
              <w:rPr>
                <w:rFonts w:ascii="Times New Roman" w:hAnsi="Times New Roman" w:cs="Times New Roman"/>
              </w:rPr>
              <w:br/>
              <w:t>These measures ensure anatomical accuracy in surgery and reduce the risk of complications such as bleeding from middle rectal vein injury.</w:t>
            </w:r>
          </w:p>
        </w:tc>
        <w:tc>
          <w:tcPr>
            <w:tcW w:w="1152" w:type="dxa"/>
            <w:vAlign w:val="center"/>
          </w:tcPr>
          <w:p w14:paraId="11D307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7C8DA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6764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C7B717" w14:textId="77777777">
        <w:tc>
          <w:tcPr>
            <w:tcW w:w="2160" w:type="dxa"/>
            <w:vAlign w:val="center"/>
          </w:tcPr>
          <w:p w14:paraId="2CADFF8C"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A316FD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Meigs' surgery adopts the following measures to ensure anatomical accuracy and avoid injury to the middle rectal vein:  </w:t>
            </w:r>
            <w:r w:rsidRPr="00CB2EC4">
              <w:rPr>
                <w:rFonts w:ascii="Times New Roman" w:hAnsi="Times New Roman" w:cs="Times New Roman"/>
              </w:rPr>
              <w:br/>
              <w:t xml:space="preserve">- Ensuring anatomical accuracy: Meigs' surgery emphasizes precise anatomical localization and avoids excessive resection. He clearly defines the extent of resection for the cardinal ligament, refraining from blindly extending it near the sacral surface. Instead, he limits the depth of resection to the level of the deep uterine vein (similar to the standard of radical hysterectomy), which helps preserve critical structures and reduces the risk of nerve injury.  </w:t>
            </w:r>
            <w:r w:rsidRPr="00CB2EC4">
              <w:rPr>
                <w:rFonts w:ascii="Times New Roman" w:hAnsi="Times New Roman" w:cs="Times New Roman"/>
              </w:rPr>
              <w:br/>
              <w:t xml:space="preserve">- Avoiding injury to the middle rectal vein: Meigs believed that the middle rectal vein often appears at the base of the cardinal ligament near the sacral surface, so he avoids performing transection in this area. The specific measure is: not extending the resection of the cardinal ligament to the sacral surface or pelvic floor, but rather restricting the resection to a </w:t>
            </w:r>
            <w:r w:rsidRPr="00CB2EC4">
              <w:rPr>
                <w:rFonts w:ascii="Times New Roman" w:hAnsi="Times New Roman" w:cs="Times New Roman"/>
              </w:rPr>
              <w:lastRenderedPageBreak/>
              <w:t xml:space="preserve">more superficial level (at the drainage site of the deep uterine vein), thereby reducing the likelihood of injuring the middle rectal vein.  </w:t>
            </w:r>
            <w:r w:rsidRPr="00CB2EC4">
              <w:rPr>
                <w:rFonts w:ascii="Times New Roman" w:hAnsi="Times New Roman" w:cs="Times New Roman"/>
              </w:rPr>
              <w:br/>
              <w:t>These measures reflect Meigs' emphasis on surgical safety and functional preservation, with a smaller resection range compared to the Latzko and Okabayashi techniques.</w:t>
            </w:r>
          </w:p>
        </w:tc>
        <w:tc>
          <w:tcPr>
            <w:tcW w:w="1152" w:type="dxa"/>
            <w:vAlign w:val="center"/>
          </w:tcPr>
          <w:p w14:paraId="459C0D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B640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E484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E58212" w14:textId="77777777">
        <w:tc>
          <w:tcPr>
            <w:tcW w:w="2160" w:type="dxa"/>
            <w:vAlign w:val="center"/>
          </w:tcPr>
          <w:p w14:paraId="5DC7C88B"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46563F9" w14:textId="77777777" w:rsidR="00922249" w:rsidRPr="00CB2EC4" w:rsidRDefault="003011D5">
            <w:pPr>
              <w:rPr>
                <w:rFonts w:ascii="Times New Roman" w:hAnsi="Times New Roman" w:cs="Times New Roman"/>
              </w:rPr>
            </w:pPr>
            <w:r w:rsidRPr="00CB2EC4">
              <w:rPr>
                <w:rFonts w:ascii="Times New Roman" w:hAnsi="Times New Roman" w:cs="Times New Roman"/>
              </w:rPr>
              <w:t>Meigs surgery adopts the following measures to ensure anatomical accuracy and avoid injury to the middle rectal vein:</w:t>
            </w:r>
            <w:r w:rsidRPr="00CB2EC4">
              <w:rPr>
                <w:rFonts w:ascii="Times New Roman" w:hAnsi="Times New Roman" w:cs="Times New Roman"/>
              </w:rPr>
              <w:br/>
            </w:r>
            <w:r w:rsidRPr="00CB2EC4">
              <w:rPr>
                <w:rFonts w:ascii="Times New Roman" w:hAnsi="Times New Roman" w:cs="Times New Roman"/>
              </w:rPr>
              <w:br/>
              <w:t xml:space="preserve">- Key measure: Avoid cutting the base of the cardinal ligament near the sacral surface.  </w:t>
            </w:r>
            <w:r w:rsidRPr="00CB2EC4">
              <w:rPr>
                <w:rFonts w:ascii="Times New Roman" w:hAnsi="Times New Roman" w:cs="Times New Roman"/>
              </w:rPr>
              <w:br/>
              <w:t xml:space="preserve">  - Meigs believed that the middle rectal vein often appears at the base of the cardinal ligament (near the sacral surface), and cutting in this area carries a high risk of injury. Therefore, he advocated limiting the transection of the cardinal ligament to a more superficial level (such as the depth of the deep uterine vein) rather than deep near the sacrum.  </w:t>
            </w:r>
            <w:r w:rsidRPr="00CB2EC4">
              <w:rPr>
                <w:rFonts w:ascii="Times New Roman" w:hAnsi="Times New Roman" w:cs="Times New Roman"/>
              </w:rPr>
              <w:br/>
              <w:t xml:space="preserve">- Emphasis on anatomical accuracy:  </w:t>
            </w:r>
            <w:r w:rsidRPr="00CB2EC4">
              <w:rPr>
                <w:rFonts w:ascii="Times New Roman" w:hAnsi="Times New Roman" w:cs="Times New Roman"/>
              </w:rPr>
              <w:br/>
              <w:t xml:space="preserve">  - Meigs surgery focuses on precise identification of vascular and neural pathways to avoid blind manipulation. For example, he referenced traditional anatomical knowledge to ensure the surgery does not invade the rectal field, thereby reducing accidental bleeding.  </w:t>
            </w:r>
            <w:r w:rsidRPr="00CB2EC4">
              <w:rPr>
                <w:rFonts w:ascii="Times New Roman" w:hAnsi="Times New Roman" w:cs="Times New Roman"/>
              </w:rPr>
              <w:br/>
              <w:t xml:space="preserve">- Comparison with Latzko/Okabayashi techniques:  </w:t>
            </w:r>
            <w:r w:rsidRPr="00CB2EC4">
              <w:rPr>
                <w:rFonts w:ascii="Times New Roman" w:hAnsi="Times New Roman" w:cs="Times New Roman"/>
              </w:rPr>
              <w:br/>
              <w:t xml:space="preserve">  - Compared to the Latzko and Okabayashi techniques (which often involve resection down to the pelvic floor), Meigs' resection range is more conservative, similar to Kobayashi's nerve-sparing surgery, extending only to the level of the deep uterine vein. This reduces the risk of injuring the middle </w:t>
            </w:r>
            <w:r w:rsidRPr="00CB2EC4">
              <w:rPr>
                <w:rFonts w:ascii="Times New Roman" w:hAnsi="Times New Roman" w:cs="Times New Roman"/>
              </w:rPr>
              <w:lastRenderedPageBreak/>
              <w:t xml:space="preserve">rectal vein while maintaining the radicality of the surgery.  </w:t>
            </w:r>
            <w:r w:rsidRPr="00CB2EC4">
              <w:rPr>
                <w:rFonts w:ascii="Times New Roman" w:hAnsi="Times New Roman" w:cs="Times New Roman"/>
              </w:rPr>
              <w:br/>
            </w:r>
            <w:r w:rsidRPr="00CB2EC4">
              <w:rPr>
                <w:rFonts w:ascii="Times New Roman" w:hAnsi="Times New Roman" w:cs="Times New Roman"/>
              </w:rPr>
              <w:br/>
              <w:t>Summary: Meigs surgery ensures accuracy and prevents injury to the middle rectal vein by limiting the depth of cardinal ligament resection (avoiding the sacral surface area) and emphasizing meticulous dissection. The context mentions that this reflects Meigs' concern for postoperative quality of life (QOL), even though it is slightly less radical than aggressive techniques.</w:t>
            </w:r>
          </w:p>
        </w:tc>
        <w:tc>
          <w:tcPr>
            <w:tcW w:w="1152" w:type="dxa"/>
            <w:vAlign w:val="center"/>
          </w:tcPr>
          <w:p w14:paraId="50B91B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5C1C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BE20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6B89D3A" w14:textId="77777777">
        <w:tc>
          <w:tcPr>
            <w:tcW w:w="2160" w:type="dxa"/>
            <w:vAlign w:val="center"/>
          </w:tcPr>
          <w:p w14:paraId="67BB9B9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34CF2C2" w14:textId="77777777" w:rsidR="00922249" w:rsidRPr="00CB2EC4" w:rsidRDefault="003011D5">
            <w:pPr>
              <w:rPr>
                <w:rFonts w:ascii="Times New Roman" w:hAnsi="Times New Roman" w:cs="Times New Roman"/>
              </w:rPr>
            </w:pPr>
            <w:r w:rsidRPr="00CB2EC4">
              <w:rPr>
                <w:rFonts w:ascii="Times New Roman" w:hAnsi="Times New Roman" w:cs="Times New Roman"/>
              </w:rPr>
              <w:t>Meigs surgery employs the following measures to ensure anatomical accuracy and avoid injury to the middle rectal vein:</w:t>
            </w:r>
            <w:r w:rsidRPr="00CB2EC4">
              <w:rPr>
                <w:rFonts w:ascii="Times New Roman" w:hAnsi="Times New Roman" w:cs="Times New Roman"/>
              </w:rPr>
              <w:br/>
            </w:r>
            <w:r w:rsidRPr="00CB2EC4">
              <w:rPr>
                <w:rFonts w:ascii="Times New Roman" w:hAnsi="Times New Roman" w:cs="Times New Roman"/>
              </w:rPr>
              <w:br/>
              <w:t>- Precise dissection of the pararectal space: The rectouterine space and lateral rectal space are dissected first, with direct visualization and identification of the middle rectal vein (located within the lateral rectal ligament).</w:t>
            </w:r>
            <w:r w:rsidRPr="00CB2EC4">
              <w:rPr>
                <w:rFonts w:ascii="Times New Roman" w:hAnsi="Times New Roman" w:cs="Times New Roman"/>
              </w:rPr>
              <w:br/>
              <w:t>- Avoidance of blind dissection: Sharp dissection is used instead of blunt dissection; the middle rectal vein or its tributaries are directly ligated to prevent tearing.</w:t>
            </w:r>
            <w:r w:rsidRPr="00CB2EC4">
              <w:rPr>
                <w:rFonts w:ascii="Times New Roman" w:hAnsi="Times New Roman" w:cs="Times New Roman"/>
              </w:rPr>
              <w:br/>
              <w:t>- Protection of the neurovascular bundle: During dissection of the lateral rectal ligament, the surgical field is kept clear and excessive traction is avoided.</w:t>
            </w:r>
          </w:p>
        </w:tc>
        <w:tc>
          <w:tcPr>
            <w:tcW w:w="1152" w:type="dxa"/>
            <w:vAlign w:val="center"/>
          </w:tcPr>
          <w:p w14:paraId="5A09BC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28FFF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951EB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C18AF46" w14:textId="77777777">
        <w:tc>
          <w:tcPr>
            <w:tcW w:w="10656" w:type="dxa"/>
            <w:gridSpan w:val="5"/>
            <w:tcBorders>
              <w:bottom w:val="single" w:sz="6" w:space="0" w:color="auto"/>
            </w:tcBorders>
            <w:vAlign w:val="center"/>
          </w:tcPr>
          <w:p w14:paraId="33749F86"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115: What are the anatomical features of the cranial compartment of the pararectal space during a radical hysterectomy?</w:t>
            </w:r>
          </w:p>
        </w:tc>
      </w:tr>
      <w:tr w:rsidR="00922249" w:rsidRPr="00CB2EC4" w14:paraId="476F39CE" w14:textId="77777777">
        <w:tc>
          <w:tcPr>
            <w:tcW w:w="2160" w:type="dxa"/>
            <w:vAlign w:val="center"/>
          </w:tcPr>
          <w:p w14:paraId="7A08D0D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F41B695"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characteristics of the upper portion (cranial chamber) of the pararectal space during radical hysterectomy are as follows:</w:t>
            </w:r>
            <w:r w:rsidRPr="00CB2EC4">
              <w:rPr>
                <w:rFonts w:ascii="Times New Roman" w:hAnsi="Times New Roman" w:cs="Times New Roman"/>
              </w:rPr>
              <w:br/>
            </w:r>
            <w:r w:rsidRPr="00CB2EC4">
              <w:rPr>
                <w:rFonts w:ascii="Times New Roman" w:hAnsi="Times New Roman" w:cs="Times New Roman"/>
              </w:rPr>
              <w:br/>
              <w:t xml:space="preserve">- **Location and Formation**: The cranial chamber </w:t>
            </w:r>
            <w:r w:rsidRPr="00CB2EC4">
              <w:rPr>
                <w:rFonts w:ascii="Times New Roman" w:hAnsi="Times New Roman" w:cs="Times New Roman"/>
              </w:rPr>
              <w:lastRenderedPageBreak/>
              <w:t>of the pararectal space is situated lateral to the ureter and hypogastric nerve. It is formed by dissecting the peritoneum posterior to the frontal connective tissue ground bundle (i.e., the cardinal ligament), following detachment of the posterior fascia of the uterosacral ligament and the iliac vascular sheath from their respective structures. This space is referred to as the Latzko pararectal space.</w:t>
            </w:r>
            <w:r w:rsidRPr="00CB2EC4">
              <w:rPr>
                <w:rFonts w:ascii="Times New Roman" w:hAnsi="Times New Roman" w:cs="Times New Roman"/>
              </w:rPr>
              <w:br/>
              <w:t>- **Anatomical Relationships**: This cavity can be opened lateral to the ureter and hypogastric nerve, corresponding to the lower portion (caudal chamber) of the pararectal space, but the cranial chamber specifically involves the upper pelvic region.</w:t>
            </w:r>
            <w:r w:rsidRPr="00CB2EC4">
              <w:rPr>
                <w:rFonts w:ascii="Times New Roman" w:hAnsi="Times New Roman" w:cs="Times New Roman"/>
              </w:rPr>
              <w:br/>
              <w:t>- **Surgical Significance**: Developing the cranial chamber of the pararectal space facilitates exposure and division of the origin (root) of the transverse cervical ligament, as it provides an operative space posterior to the cardinal ligament, enabling separation and ligation of vessels (e.g., uterine artery). The document states this is crucial for the two-dimensional anatomical approach in the Latzko technique. In contrast, the Okabayashi method opens the pararectal space medial to the ureter and hypogastric nerve, resulting in differences in radical extent and nerve preservation.</w:t>
            </w:r>
            <w:r w:rsidRPr="00CB2EC4">
              <w:rPr>
                <w:rFonts w:ascii="Times New Roman" w:hAnsi="Times New Roman" w:cs="Times New Roman"/>
              </w:rPr>
              <w:br/>
            </w:r>
            <w:r w:rsidRPr="00CB2EC4">
              <w:rPr>
                <w:rFonts w:ascii="Times New Roman" w:hAnsi="Times New Roman" w:cs="Times New Roman"/>
              </w:rPr>
              <w:br/>
              <w:t>The document emphasizes that the cranial chamber of the pararectal space is a hallmark of the Latzko procedure, enabling lateral extension resection of the cardinal ligament, whereas in the Okabayashi technique, it is partially replaced by the three-dimensional concept of the paravaginal space.</w:t>
            </w:r>
          </w:p>
        </w:tc>
        <w:tc>
          <w:tcPr>
            <w:tcW w:w="1152" w:type="dxa"/>
            <w:vAlign w:val="center"/>
          </w:tcPr>
          <w:p w14:paraId="570635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43362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2468B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9F1DC3F" w14:textId="77777777">
        <w:tc>
          <w:tcPr>
            <w:tcW w:w="2160" w:type="dxa"/>
            <w:vAlign w:val="center"/>
          </w:tcPr>
          <w:p w14:paraId="11095BFF"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F1AF60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characteristics of the cephalad compartment of the rectal lateral space in radical </w:t>
            </w:r>
            <w:r w:rsidRPr="00CB2EC4">
              <w:rPr>
                <w:rFonts w:ascii="Times New Roman" w:hAnsi="Times New Roman" w:cs="Times New Roman"/>
              </w:rPr>
              <w:lastRenderedPageBreak/>
              <w:t>hysterectomy are as follows (block theme: Rectal Lateral Space Management in Radical Hysterectomy, document fragment 11; block theme: Rectal Lateral Space Anatomy in Latzko Procedure, document fragment 19):</w:t>
            </w:r>
            <w:r w:rsidRPr="00CB2EC4">
              <w:rPr>
                <w:rFonts w:ascii="Times New Roman" w:hAnsi="Times New Roman" w:cs="Times New Roman"/>
              </w:rPr>
              <w:br/>
              <w:t>- Formation method: Artificial space created by dissecting the posterior fascia of the transverse cervical ligament and the sheath of the internal iliac vessels. This space is developed by stripping these structures from their origins (internal iliac artery and vein, and the ligament).</w:t>
            </w:r>
            <w:r w:rsidRPr="00CB2EC4">
              <w:rPr>
                <w:rFonts w:ascii="Times New Roman" w:hAnsi="Times New Roman" w:cs="Times New Roman"/>
              </w:rPr>
              <w:br/>
              <w:t>- Anatomical contents:</w:t>
            </w:r>
            <w:r w:rsidRPr="00CB2EC4">
              <w:rPr>
                <w:rFonts w:ascii="Times New Roman" w:hAnsi="Times New Roman" w:cs="Times New Roman"/>
              </w:rPr>
              <w:br/>
              <w:t xml:space="preserve">  - Contains denuded internal iliac artery and vein.</w:t>
            </w:r>
            <w:r w:rsidRPr="00CB2EC4">
              <w:rPr>
                <w:rFonts w:ascii="Times New Roman" w:hAnsi="Times New Roman" w:cs="Times New Roman"/>
              </w:rPr>
              <w:br/>
              <w:t xml:space="preserve">  - Reveals visceral branches of the internal iliac vessels including the uterine artery and deep uterine vein.</w:t>
            </w:r>
            <w:r w:rsidRPr="00CB2EC4">
              <w:rPr>
                <w:rFonts w:ascii="Times New Roman" w:hAnsi="Times New Roman" w:cs="Times New Roman"/>
              </w:rPr>
              <w:br/>
              <w:t xml:space="preserve">  - Deep exposure shows pelvic splanchnic nerves, coccygeus muscle fascia, and piriformis muscle fascia.</w:t>
            </w:r>
            <w:r w:rsidRPr="00CB2EC4">
              <w:rPr>
                <w:rFonts w:ascii="Times New Roman" w:hAnsi="Times New Roman" w:cs="Times New Roman"/>
              </w:rPr>
              <w:br/>
              <w:t>- Location and significance: Situated lateral to the ureter and hypogastric plexus. Dissection requires caution due to risk of injuring the inferior gluteal-pudendal trunk or middle rectal vein in deeper layers. This space facilitates exposure of the proximal transverse cervical ligament for complete lymphadenectomy; however, modern techniques typically avoid deep dissection toward the sacral surface to prevent bleeding (document fragment 11).</w:t>
            </w:r>
            <w:r w:rsidRPr="00CB2EC4">
              <w:rPr>
                <w:rFonts w:ascii="Times New Roman" w:hAnsi="Times New Roman" w:cs="Times New Roman"/>
              </w:rPr>
              <w:br/>
            </w:r>
            <w:r w:rsidRPr="00CB2EC4">
              <w:rPr>
                <w:rFonts w:ascii="Times New Roman" w:hAnsi="Times New Roman" w:cs="Times New Roman"/>
              </w:rPr>
              <w:br/>
              <w:t xml:space="preserve">This structure is specific to the Latzko procedure; the definition of rectal lateral space in the Okabayashi approach differs (focusing more on visceral side dissection). The document emphasizes it as an "artificial space" based on traditional European </w:t>
            </w:r>
            <w:r w:rsidRPr="00CB2EC4">
              <w:rPr>
                <w:rFonts w:ascii="Times New Roman" w:hAnsi="Times New Roman" w:cs="Times New Roman"/>
              </w:rPr>
              <w:lastRenderedPageBreak/>
              <w:t>anatomy.</w:t>
            </w:r>
          </w:p>
        </w:tc>
        <w:tc>
          <w:tcPr>
            <w:tcW w:w="1152" w:type="dxa"/>
            <w:vAlign w:val="center"/>
          </w:tcPr>
          <w:p w14:paraId="385DC4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04898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00E8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E0AB41" w14:textId="77777777">
        <w:tc>
          <w:tcPr>
            <w:tcW w:w="2160" w:type="dxa"/>
            <w:vAlign w:val="center"/>
          </w:tcPr>
          <w:p w14:paraId="5E9B381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03C30CE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characteristics of the cranial compartment of the rectal lateral space during radical hysterectomy are as follows:  </w:t>
            </w:r>
            <w:r w:rsidRPr="00CB2EC4">
              <w:rPr>
                <w:rFonts w:ascii="Times New Roman" w:hAnsi="Times New Roman" w:cs="Times New Roman"/>
              </w:rPr>
              <w:br/>
              <w:t xml:space="preserve">- Formation method: It is an artificially created space, developed by dissecting the fascia after stripping the internal iliac vascular sheath and the transverse cervical ligament (fragments 3, 10, 39, 58). This exposes the internal iliac artery and vein and their branches (e.g., uterine artery, deep uterine vein) (fragment 3).  </w:t>
            </w:r>
            <w:r w:rsidRPr="00CB2EC4">
              <w:rPr>
                <w:rFonts w:ascii="Times New Roman" w:hAnsi="Times New Roman" w:cs="Times New Roman"/>
              </w:rPr>
              <w:br/>
              <w:t xml:space="preserve">- Structural features:  </w:t>
            </w:r>
            <w:r w:rsidRPr="00CB2EC4">
              <w:rPr>
                <w:rFonts w:ascii="Times New Roman" w:hAnsi="Times New Roman" w:cs="Times New Roman"/>
              </w:rPr>
              <w:br/>
              <w:t xml:space="preserve">  - A sac-like structure with one end closed, terminating behind the main ligament (fragments 6, 36).  </w:t>
            </w:r>
            <w:r w:rsidRPr="00CB2EC4">
              <w:rPr>
                <w:rFonts w:ascii="Times New Roman" w:hAnsi="Times New Roman" w:cs="Times New Roman"/>
              </w:rPr>
              <w:br/>
              <w:t xml:space="preserve">  - The cranial compartment communicates with the caudal compartment (by incising the superior fascia of the levator ani muscle), forming a continuous space (fragments 6, 10).  </w:t>
            </w:r>
            <w:r w:rsidRPr="00CB2EC4">
              <w:rPr>
                <w:rFonts w:ascii="Times New Roman" w:hAnsi="Times New Roman" w:cs="Times New Roman"/>
              </w:rPr>
              <w:br/>
              <w:t xml:space="preserve">- Location and contents: Using the ureter and hypogastric nerve as anatomical landmarks, the origin of the transverse cervical ligament can be exposed (fragment 24). The space contains visceral branches of the internal iliac vessels, such as the deep uterine vein and possibly the vesical veins (fragments 3, 40).  </w:t>
            </w:r>
            <w:r w:rsidRPr="00CB2EC4">
              <w:rPr>
                <w:rFonts w:ascii="Times New Roman" w:hAnsi="Times New Roman" w:cs="Times New Roman"/>
              </w:rPr>
              <w:br/>
              <w:t xml:space="preserve">- Risk: Dissection may easily injure deep vessels, such as the inferior gluteal-internal pudendal trunk, inferior vesical vein, or middle rectal vein (fragment 35).  </w:t>
            </w:r>
            <w:r w:rsidRPr="00CB2EC4">
              <w:rPr>
                <w:rFonts w:ascii="Times New Roman" w:hAnsi="Times New Roman" w:cs="Times New Roman"/>
              </w:rPr>
              <w:br/>
              <w:t>These features are emphasized in the Latzko technique (fragments 3, 6, 24), whereas the Okabayashi rectal lateral space differs (formed medially, fragment 10). The document does not specify details of the cranial compartment of the rectal lateral space in other procedures (e.g., Wertheim).</w:t>
            </w:r>
          </w:p>
        </w:tc>
        <w:tc>
          <w:tcPr>
            <w:tcW w:w="1152" w:type="dxa"/>
            <w:vAlign w:val="center"/>
          </w:tcPr>
          <w:p w14:paraId="6CD348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A240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9FF7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476689" w14:textId="77777777">
        <w:tc>
          <w:tcPr>
            <w:tcW w:w="2160" w:type="dxa"/>
            <w:vAlign w:val="center"/>
          </w:tcPr>
          <w:p w14:paraId="3016E28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78FC85D7"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characteristics of the cephalad compartment of the rectal lateral space during radical hysterectomy are as follows:</w:t>
            </w:r>
            <w:r w:rsidRPr="00CB2EC4">
              <w:rPr>
                <w:rFonts w:ascii="Times New Roman" w:hAnsi="Times New Roman" w:cs="Times New Roman"/>
              </w:rPr>
              <w:br/>
            </w:r>
            <w:r w:rsidRPr="00CB2EC4">
              <w:rPr>
                <w:rFonts w:ascii="Times New Roman" w:hAnsi="Times New Roman" w:cs="Times New Roman"/>
              </w:rPr>
              <w:br/>
              <w:t>- **Definition**: Located lateral to the ureter and hypogastric nerve, formed by dissecting the sheath of the internal iliac vessels and the visceral layer of the endopelvic fascia (Figure 28, 67a).</w:t>
            </w:r>
            <w:r w:rsidRPr="00CB2EC4">
              <w:rPr>
                <w:rFonts w:ascii="Times New Roman" w:hAnsi="Times New Roman" w:cs="Times New Roman"/>
              </w:rPr>
              <w:br/>
              <w:t>- **Function**: Exposes the origin of the transverse cervical ligament, facilitating transection at its root.</w:t>
            </w:r>
            <w:r w:rsidRPr="00CB2EC4">
              <w:rPr>
                <w:rFonts w:ascii="Times New Roman" w:hAnsi="Times New Roman" w:cs="Times New Roman"/>
              </w:rPr>
              <w:br/>
              <w:t>- **Risks**:</w:t>
            </w:r>
            <w:r w:rsidRPr="00CB2EC4">
              <w:rPr>
                <w:rFonts w:ascii="Times New Roman" w:hAnsi="Times New Roman" w:cs="Times New Roman"/>
              </w:rPr>
              <w:br/>
              <w:t xml:space="preserve">  - **Latzko technique**: Excessive dissection may damage the inferior gluteal-pudendal neurovascular bundle or the middle rectal vein.</w:t>
            </w:r>
            <w:r w:rsidRPr="00CB2EC4">
              <w:rPr>
                <w:rFonts w:ascii="Times New Roman" w:hAnsi="Times New Roman" w:cs="Times New Roman"/>
              </w:rPr>
              <w:br/>
              <w:t xml:space="preserve">  - **Okabayashi technique**: Dissection between the rectal fascia and presacral fascia risks entering the dorsal rectal space and injuring the presacral venous plexus.</w:t>
            </w:r>
            <w:r w:rsidRPr="00CB2EC4">
              <w:rPr>
                <w:rFonts w:ascii="Times New Roman" w:hAnsi="Times New Roman" w:cs="Times New Roman"/>
              </w:rPr>
              <w:br/>
              <w:t>- **Surgical significance**: Dissection need only proceed to the depth of the uterine deep vein (not to the sacral surface) to avoid unnecessary complications (Figure 63b).</w:t>
            </w:r>
          </w:p>
        </w:tc>
        <w:tc>
          <w:tcPr>
            <w:tcW w:w="1152" w:type="dxa"/>
            <w:vAlign w:val="center"/>
          </w:tcPr>
          <w:p w14:paraId="0AA789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8540D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B88AC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0657945" w14:textId="77777777">
        <w:tc>
          <w:tcPr>
            <w:tcW w:w="2160" w:type="dxa"/>
            <w:vAlign w:val="center"/>
          </w:tcPr>
          <w:p w14:paraId="0F3557B6"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C728E9A"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characteristics of the upper portion (cranial chamber) of the pararectal space during radical hysterectomy are as follows:</w:t>
            </w:r>
            <w:r w:rsidRPr="00CB2EC4">
              <w:rPr>
                <w:rFonts w:ascii="Times New Roman" w:hAnsi="Times New Roman" w:cs="Times New Roman"/>
              </w:rPr>
              <w:br/>
            </w:r>
            <w:r w:rsidRPr="00CB2EC4">
              <w:rPr>
                <w:rFonts w:ascii="Times New Roman" w:hAnsi="Times New Roman" w:cs="Times New Roman"/>
              </w:rPr>
              <w:br/>
              <w:t>- **Definition and Formation**: In the Latzko technique, the cranial chamber of the pararectal space is formed by dissecting the posterior fascia of the transverse cervical ligament and the sheath of the internal iliac vessels. It is an artificially created space located lateral to the ureter and hypogastric nerve.</w:t>
            </w:r>
            <w:r w:rsidRPr="00CB2EC4">
              <w:rPr>
                <w:rFonts w:ascii="Times New Roman" w:hAnsi="Times New Roman" w:cs="Times New Roman"/>
              </w:rPr>
              <w:br/>
              <w:t xml:space="preserve">- **Location**: Situated on the lateral pelvic wall, specifically lateral to the ureter and hypogastric nerve, </w:t>
            </w:r>
            <w:r w:rsidRPr="00CB2EC4">
              <w:rPr>
                <w:rFonts w:ascii="Times New Roman" w:hAnsi="Times New Roman" w:cs="Times New Roman"/>
              </w:rPr>
              <w:lastRenderedPageBreak/>
              <w:t>and corresponds to the caudal chamber of the pararectal space.</w:t>
            </w:r>
            <w:r w:rsidRPr="00CB2EC4">
              <w:rPr>
                <w:rFonts w:ascii="Times New Roman" w:hAnsi="Times New Roman" w:cs="Times New Roman"/>
              </w:rPr>
              <w:br/>
              <w:t>- **Surgical Significance**:</w:t>
            </w:r>
            <w:r w:rsidRPr="00CB2EC4">
              <w:rPr>
                <w:rFonts w:ascii="Times New Roman" w:hAnsi="Times New Roman" w:cs="Times New Roman"/>
              </w:rPr>
              <w:br/>
              <w:t xml:space="preserve">  - Facilitates exposure and division of the proximal part (root) of the transverse cervical ligament, providing a clear field for radical dissection.</w:t>
            </w:r>
            <w:r w:rsidRPr="00CB2EC4">
              <w:rPr>
                <w:rFonts w:ascii="Times New Roman" w:hAnsi="Times New Roman" w:cs="Times New Roman"/>
              </w:rPr>
              <w:br/>
              <w:t xml:space="preserve">  - Developing this space helps avoid direct injury to deep vessels (e.g., the inferior gluteal-pudendal trunk), though improper technique risks venous bleeding (e.g., injury to the vesicouterine vein or middle rectal vein).</w:t>
            </w:r>
            <w:r w:rsidRPr="00CB2EC4">
              <w:rPr>
                <w:rFonts w:ascii="Times New Roman" w:hAnsi="Times New Roman" w:cs="Times New Roman"/>
              </w:rPr>
              <w:br/>
              <w:t xml:space="preserve">  - As described, in the Latzko procedure, the union of the cranial and caudal chambers of the pararectal space enables the separation and resection of the main ligament.</w:t>
            </w:r>
            <w:r w:rsidRPr="00CB2EC4">
              <w:rPr>
                <w:rFonts w:ascii="Times New Roman" w:hAnsi="Times New Roman" w:cs="Times New Roman"/>
              </w:rPr>
              <w:br/>
              <w:t>- **Distinction from Okabayashi Technique**: In Okabayashi’s approach, the pararectal space (referred to as the Okabayashi pararectal space) lies medial to the ureter and hypogastric nerve and involves dissection of the visceral fascia. In contrast, the Latzko cranial chamber emphasizes parietal dissection. The depth of dissection typically does not extend to the area of the inferior gluteal-pudendal common trunk to prevent complications.</w:t>
            </w:r>
            <w:r w:rsidRPr="00CB2EC4">
              <w:rPr>
                <w:rFonts w:ascii="Times New Roman" w:hAnsi="Times New Roman" w:cs="Times New Roman"/>
              </w:rPr>
              <w:br/>
            </w:r>
            <w:r w:rsidRPr="00CB2EC4">
              <w:rPr>
                <w:rFonts w:ascii="Times New Roman" w:hAnsi="Times New Roman" w:cs="Times New Roman"/>
              </w:rPr>
              <w:br/>
              <w:t>This anatomical space is a key component of radical hysterectomy, particularly in the Latzko method, to enhance radicality; however, excessive dissection may lead to injury of the sacral venous plexus.</w:t>
            </w:r>
          </w:p>
        </w:tc>
        <w:tc>
          <w:tcPr>
            <w:tcW w:w="1152" w:type="dxa"/>
            <w:vAlign w:val="center"/>
          </w:tcPr>
          <w:p w14:paraId="21D567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E658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EFD2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70B3A1" w14:textId="77777777">
        <w:tc>
          <w:tcPr>
            <w:tcW w:w="2160" w:type="dxa"/>
            <w:vAlign w:val="center"/>
          </w:tcPr>
          <w:p w14:paraId="7FEA3D34"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83AFEE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characteristics of the cranial chamber of the pararectal space during radical hysterectomy are as follows:  </w:t>
            </w:r>
            <w:r w:rsidRPr="00CB2EC4">
              <w:rPr>
                <w:rFonts w:ascii="Times New Roman" w:hAnsi="Times New Roman" w:cs="Times New Roman"/>
              </w:rPr>
              <w:br/>
              <w:t xml:space="preserve">- Artificial space: The cranial chamber of the pararectal space is an artificially created cavity formed </w:t>
            </w:r>
            <w:r w:rsidRPr="00CB2EC4">
              <w:rPr>
                <w:rFonts w:ascii="Times New Roman" w:hAnsi="Times New Roman" w:cs="Times New Roman"/>
              </w:rPr>
              <w:lastRenderedPageBreak/>
              <w:t xml:space="preserve">by surgical dissection of the posterior fascia of the transverse cervical ligament and the internal iliac vascular sheath. It is not a naturally existing anatomical structure but a result of surgical development (Document 13).  </w:t>
            </w:r>
            <w:r w:rsidRPr="00CB2EC4">
              <w:rPr>
                <w:rFonts w:ascii="Times New Roman" w:hAnsi="Times New Roman" w:cs="Times New Roman"/>
              </w:rPr>
              <w:br/>
              <w:t xml:space="preserve">- Contents: This space contains the following structures:  </w:t>
            </w:r>
            <w:r w:rsidRPr="00CB2EC4">
              <w:rPr>
                <w:rFonts w:ascii="Times New Roman" w:hAnsi="Times New Roman" w:cs="Times New Roman"/>
              </w:rPr>
              <w:br/>
              <w:t xml:space="preserve">  → Bare internal iliac artery and vein.  </w:t>
            </w:r>
            <w:r w:rsidRPr="00CB2EC4">
              <w:rPr>
                <w:rFonts w:ascii="Times New Roman" w:hAnsi="Times New Roman" w:cs="Times New Roman"/>
              </w:rPr>
              <w:br/>
              <w:t xml:space="preserve">  → Visceral branches of the internal iliac vessels, such as the uterine artery and deep uterine vein, visible posterior to the ligament.  </w:t>
            </w:r>
            <w:r w:rsidRPr="00CB2EC4">
              <w:rPr>
                <w:rFonts w:ascii="Times New Roman" w:hAnsi="Times New Roman" w:cs="Times New Roman"/>
              </w:rPr>
              <w:br/>
              <w:t xml:space="preserve">  → Visceral fascia with attached ureter, dissected from craniolateral to caudomedial direction.  </w:t>
            </w:r>
            <w:r w:rsidRPr="00CB2EC4">
              <w:rPr>
                <w:rFonts w:ascii="Times New Roman" w:hAnsi="Times New Roman" w:cs="Times New Roman"/>
              </w:rPr>
              <w:br/>
              <w:t xml:space="preserve">  → Deep exposure of fascia covering the pelvic splanchnic nerves, coccygeus muscle, and piriformis muscle (Document 13).  </w:t>
            </w:r>
            <w:r w:rsidRPr="00CB2EC4">
              <w:rPr>
                <w:rFonts w:ascii="Times New Roman" w:hAnsi="Times New Roman" w:cs="Times New Roman"/>
              </w:rPr>
              <w:br/>
              <w:t xml:space="preserve">- Location and significance: Situated in the cranial part of the pararectal space, it is used in the Latzko procedure to expose and divide the origin of the transverse cervical ligament, facilitating systematic surgical approach. However, in modern radical hysterectomy, the depth of dissection typically does not extend to the sacral surface to avoid injury to the inferior gluteal and internal pudendal vessels (Document 13).  </w:t>
            </w:r>
            <w:r w:rsidRPr="00CB2EC4">
              <w:rPr>
                <w:rFonts w:ascii="Times New Roman" w:hAnsi="Times New Roman" w:cs="Times New Roman"/>
              </w:rPr>
              <w:br/>
              <w:t>This anatomical feature underscores the importance of the space in surgical dissection, providing clear exposure for ligament management.</w:t>
            </w:r>
          </w:p>
        </w:tc>
        <w:tc>
          <w:tcPr>
            <w:tcW w:w="1152" w:type="dxa"/>
            <w:vAlign w:val="center"/>
          </w:tcPr>
          <w:p w14:paraId="6A50FB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FDA5B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70247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022E569" w14:textId="77777777">
        <w:tc>
          <w:tcPr>
            <w:tcW w:w="2160" w:type="dxa"/>
            <w:vAlign w:val="center"/>
          </w:tcPr>
          <w:p w14:paraId="17A8091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472B7D1"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characteristics of the cranial chamber of the pararectal space during radical hysterectomy are as follows:</w:t>
            </w:r>
            <w:r w:rsidRPr="00CB2EC4">
              <w:rPr>
                <w:rFonts w:ascii="Times New Roman" w:hAnsi="Times New Roman" w:cs="Times New Roman"/>
              </w:rPr>
              <w:br/>
            </w:r>
            <w:r w:rsidRPr="00CB2EC4">
              <w:rPr>
                <w:rFonts w:ascii="Times New Roman" w:hAnsi="Times New Roman" w:cs="Times New Roman"/>
              </w:rPr>
              <w:br/>
              <w:t xml:space="preserve">- **Location and structure**: The cranial chamber of the pararectal space is the upper or cranial portion of </w:t>
            </w:r>
            <w:r w:rsidRPr="00CB2EC4">
              <w:rPr>
                <w:rFonts w:ascii="Times New Roman" w:hAnsi="Times New Roman" w:cs="Times New Roman"/>
              </w:rPr>
              <w:lastRenderedPageBreak/>
              <w:t>the pararectal space, located posterior to the frontal connective tissue ground bundle (i.e., the cardinal ligament). It is developed by dissecting the peritoneum behind this bundle and represents a surgically created cavity.</w:t>
            </w:r>
            <w:r w:rsidRPr="00CB2EC4">
              <w:rPr>
                <w:rFonts w:ascii="Times New Roman" w:hAnsi="Times New Roman" w:cs="Times New Roman"/>
              </w:rPr>
              <w:br/>
            </w:r>
            <w:r w:rsidRPr="00CB2EC4">
              <w:rPr>
                <w:rFonts w:ascii="Times New Roman" w:hAnsi="Times New Roman" w:cs="Times New Roman"/>
              </w:rPr>
              <w:br/>
              <w:t>- **Function and anatomical relationships**: This space is directly related to the cardinal ligament and is used to expose and separate pelvic structures such as the ureter and blood vessels. In the Latzko technique, developing this cavity is a key step to connect the paravesical space with the caudal chamber of the pararectal space, allowing finger penetration to mobilize the Mackenrodt ligament (cardinal ligament), and linking it to the superior fascia of the levator ani muscle.</w:t>
            </w:r>
            <w:r w:rsidRPr="00CB2EC4">
              <w:rPr>
                <w:rFonts w:ascii="Times New Roman" w:hAnsi="Times New Roman" w:cs="Times New Roman"/>
              </w:rPr>
              <w:br/>
            </w:r>
            <w:r w:rsidRPr="00CB2EC4">
              <w:rPr>
                <w:rFonts w:ascii="Times New Roman" w:hAnsi="Times New Roman" w:cs="Times New Roman"/>
              </w:rPr>
              <w:br/>
              <w:t>- **Characteristics**: The cranial chamber of the pararectal space is described as a "blind pouch." During dissection, care must be taken to avoid injury to surrounding vessels (e.g., the inferior gluteal and internal pudendal trunk). The text emphasizes that it is not a naturally existing space but one formed surgically for three-dimensional manipulation; excessive dissection may increase the risk of bleeding.</w:t>
            </w:r>
            <w:r w:rsidRPr="00CB2EC4">
              <w:rPr>
                <w:rFonts w:ascii="Times New Roman" w:hAnsi="Times New Roman" w:cs="Times New Roman"/>
              </w:rPr>
              <w:br/>
            </w:r>
            <w:r w:rsidRPr="00CB2EC4">
              <w:rPr>
                <w:rFonts w:ascii="Times New Roman" w:hAnsi="Times New Roman" w:cs="Times New Roman"/>
              </w:rPr>
              <w:br/>
              <w:t>These anatomical features are applied in both the Latzko and Okabayashi techniques, though the Okabayashi approach places greater emphasis on its fusion relationship with the visceral side fascia (e.g., the ureteral plate).</w:t>
            </w:r>
          </w:p>
        </w:tc>
        <w:tc>
          <w:tcPr>
            <w:tcW w:w="1152" w:type="dxa"/>
            <w:vAlign w:val="center"/>
          </w:tcPr>
          <w:p w14:paraId="600280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B01E1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229FE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0CBA566" w14:textId="77777777">
        <w:tc>
          <w:tcPr>
            <w:tcW w:w="2160" w:type="dxa"/>
            <w:vAlign w:val="center"/>
          </w:tcPr>
          <w:p w14:paraId="65C7BC7E"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A971553"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characteristics of the cranial chamber of the pararectal space during radical hysterectomy are as follows:</w:t>
            </w:r>
            <w:r w:rsidRPr="00CB2EC4">
              <w:rPr>
                <w:rFonts w:ascii="Times New Roman" w:hAnsi="Times New Roman" w:cs="Times New Roman"/>
              </w:rPr>
              <w:br/>
            </w:r>
            <w:r w:rsidRPr="00CB2EC4">
              <w:rPr>
                <w:rFonts w:ascii="Times New Roman" w:hAnsi="Times New Roman" w:cs="Times New Roman"/>
              </w:rPr>
              <w:lastRenderedPageBreak/>
              <w:br/>
              <w:t>- **Definition and location**: The cranial chamber of the pararectal space (also referred to as the upper portion or cranial chamber of the pararectal space) is formed by dissecting the peritoneum posterior to the base of the anterior connective tissue bundle (cardinal ligament). It is located lateral to the ureter and the hypogastric nerve (based on document fragments 5, 15).</w:t>
            </w:r>
            <w:r w:rsidRPr="00CB2EC4">
              <w:rPr>
                <w:rFonts w:ascii="Times New Roman" w:hAnsi="Times New Roman" w:cs="Times New Roman"/>
              </w:rPr>
              <w:br/>
              <w:t>- **Anatomical structure**: It involves dissection of the posterior fascia of the transverse cervical ligament and the internal iliac vascular sheath, creating a space related to the visceral fascia. This chamber is used to expose the origin of the transverse cervical ligament to facilitate surgical manipulation (document fragment 15).</w:t>
            </w:r>
            <w:r w:rsidRPr="00CB2EC4">
              <w:rPr>
                <w:rFonts w:ascii="Times New Roman" w:hAnsi="Times New Roman" w:cs="Times New Roman"/>
              </w:rPr>
              <w:br/>
              <w:t>- **Functional significance**: In the Latzko technique, developing the cranial chamber of the pararectal space aids in separating and dividing the transverse cervical ligament while avoiding injury to deep vessels (e.g., middle rectal vein). Combined with the caudal chamber, it forms the complete pararectal space system; however, the cranial chamber itself is a blind pouch structure (document fragments 5, 6).</w:t>
            </w:r>
            <w:r w:rsidRPr="00CB2EC4">
              <w:rPr>
                <w:rFonts w:ascii="Times New Roman" w:hAnsi="Times New Roman" w:cs="Times New Roman"/>
              </w:rPr>
              <w:br/>
              <w:t>- **Summary of characteristics**: The cranial chamber is part of a three-dimensional anatomical framework that facilitates operative access along the pelvic sidewall. Its blind pouch nature, however, requires caution due to potential increased risk of bleeding (document fragment 5).</w:t>
            </w:r>
          </w:p>
        </w:tc>
        <w:tc>
          <w:tcPr>
            <w:tcW w:w="1152" w:type="dxa"/>
            <w:vAlign w:val="center"/>
          </w:tcPr>
          <w:p w14:paraId="5119EC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A8122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7075E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E296E8A" w14:textId="77777777">
        <w:tc>
          <w:tcPr>
            <w:tcW w:w="2160" w:type="dxa"/>
            <w:vAlign w:val="center"/>
          </w:tcPr>
          <w:p w14:paraId="4F95216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72E72A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anatomical characteristics:  </w:t>
            </w:r>
            <w:r w:rsidRPr="00CB2EC4">
              <w:rPr>
                <w:rFonts w:ascii="Times New Roman" w:hAnsi="Times New Roman" w:cs="Times New Roman"/>
              </w:rPr>
              <w:br/>
              <w:t xml:space="preserve">  - The upper portion (cranial chamber) of the pararectal space is located in the cardinal ligament region and represents the cephalad part of the </w:t>
            </w:r>
            <w:r w:rsidRPr="00CB2EC4">
              <w:rPr>
                <w:rFonts w:ascii="Times New Roman" w:hAnsi="Times New Roman" w:cs="Times New Roman"/>
              </w:rPr>
              <w:lastRenderedPageBreak/>
              <w:t xml:space="preserve">pararectal space.  </w:t>
            </w:r>
            <w:r w:rsidRPr="00CB2EC4">
              <w:rPr>
                <w:rFonts w:ascii="Times New Roman" w:hAnsi="Times New Roman" w:cs="Times New Roman"/>
              </w:rPr>
              <w:br/>
              <w:t xml:space="preserve">  - Dissection method: It requires stripping the peritoneum posterior to the "anterior connective tissue base bundle" (i.e., the peritoneum behind the cardinal ligament) to create a cavity communicating with the pararectal space (as described in Figure 70).  </w:t>
            </w:r>
            <w:r w:rsidRPr="00CB2EC4">
              <w:rPr>
                <w:rFonts w:ascii="Times New Roman" w:hAnsi="Times New Roman" w:cs="Times New Roman"/>
              </w:rPr>
              <w:br/>
              <w:t xml:space="preserve">  - Function: Used to separate the origin of the transverse cervical ligament, facilitating subsequent transection (Latzko procedure).  </w:t>
            </w:r>
            <w:r w:rsidRPr="00CB2EC4">
              <w:rPr>
                <w:rFonts w:ascii="Times New Roman" w:hAnsi="Times New Roman" w:cs="Times New Roman"/>
              </w:rPr>
              <w:br/>
              <w:t xml:space="preserve">  Basis: The document explicitly defines in the Latzko procedure step $(\widehat{G})$: "develop the upper portion or cranial chamber of the pararectal space," and notes that it corresponds to the cardinal ligament region (section "1.1 Latzko procedure").</w:t>
            </w:r>
          </w:p>
        </w:tc>
        <w:tc>
          <w:tcPr>
            <w:tcW w:w="1152" w:type="dxa"/>
            <w:vAlign w:val="center"/>
          </w:tcPr>
          <w:p w14:paraId="3BF190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D4F55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78E6E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579E890" w14:textId="77777777">
        <w:tc>
          <w:tcPr>
            <w:tcW w:w="2160" w:type="dxa"/>
            <w:vAlign w:val="center"/>
          </w:tcPr>
          <w:p w14:paraId="36826852"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3E8D08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characteristics of the cranial chamber of the pararectal space during radical hysterectomy are as follows:  </w:t>
            </w:r>
            <w:r w:rsidRPr="00CB2EC4">
              <w:rPr>
                <w:rFonts w:ascii="Times New Roman" w:hAnsi="Times New Roman" w:cs="Times New Roman"/>
              </w:rPr>
              <w:br/>
              <w:t xml:space="preserve">- artificially created space: it is not a naturally existing anatomical structure but a gap formed by surgical dissection, specifically by stripping the posterior fascia of the transverse cervical ligament and the iliac vascular sheath from their origins.  </w:t>
            </w:r>
            <w:r w:rsidRPr="00CB2EC4">
              <w:rPr>
                <w:rFonts w:ascii="Times New Roman" w:hAnsi="Times New Roman" w:cs="Times New Roman"/>
              </w:rPr>
              <w:br/>
              <w:t xml:space="preserve">- location and boundaries: situated medial to the lateral pelvic wall; lateral boundary formed by the denuded internal iliac artery and vein; medial boundary composed of the visceral fascia (posterior fascia/vascular sheath) attached to the ureter; deep boundary involves the pelvic splanchnic nerves, coccygeus muscle, and piriformis fascia.  </w:t>
            </w:r>
            <w:r w:rsidRPr="00CB2EC4">
              <w:rPr>
                <w:rFonts w:ascii="Times New Roman" w:hAnsi="Times New Roman" w:cs="Times New Roman"/>
              </w:rPr>
              <w:br/>
              <w:t xml:space="preserve">- contents: contains visceral branches of the internal iliac vessels, such as the uterine artery and deep uterine vein, along with the course of the ureter.  </w:t>
            </w:r>
            <w:r w:rsidRPr="00CB2EC4">
              <w:rPr>
                <w:rFonts w:ascii="Times New Roman" w:hAnsi="Times New Roman" w:cs="Times New Roman"/>
              </w:rPr>
              <w:br/>
              <w:t xml:space="preserve">- functional significance: primarily used to expose the origin of the transverse cervical ligament to facilitate </w:t>
            </w:r>
            <w:r w:rsidRPr="00CB2EC4">
              <w:rPr>
                <w:rFonts w:ascii="Times New Roman" w:hAnsi="Times New Roman" w:cs="Times New Roman"/>
              </w:rPr>
              <w:lastRenderedPageBreak/>
              <w:t xml:space="preserve">lymph node dissection and vascular management; in modern techniques (e.g., Latzko method), dissection depth is typically limited to avoid unnecessary nerve injury by not extending deeply toward the sacral surface.  </w:t>
            </w:r>
            <w:r w:rsidRPr="00CB2EC4">
              <w:rPr>
                <w:rFonts w:ascii="Times New Roman" w:hAnsi="Times New Roman" w:cs="Times New Roman"/>
              </w:rPr>
              <w:br/>
              <w:t>this structure represents a key step in radical hysterectomy, aiding systematic management of pelvic connective tissue.</w:t>
            </w:r>
          </w:p>
        </w:tc>
        <w:tc>
          <w:tcPr>
            <w:tcW w:w="1152" w:type="dxa"/>
            <w:vAlign w:val="center"/>
          </w:tcPr>
          <w:p w14:paraId="5593BF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038AE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99934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21E36D9" w14:textId="77777777">
        <w:tc>
          <w:tcPr>
            <w:tcW w:w="2160" w:type="dxa"/>
            <w:vAlign w:val="center"/>
          </w:tcPr>
          <w:p w14:paraId="70DBB8E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852230E"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characteristics of the cephalad compartment of the rectal lateral space during radical hysterectomy are as follows:</w:t>
            </w:r>
            <w:r w:rsidRPr="00CB2EC4">
              <w:rPr>
                <w:rFonts w:ascii="Times New Roman" w:hAnsi="Times New Roman" w:cs="Times New Roman"/>
              </w:rPr>
              <w:br/>
            </w:r>
            <w:r w:rsidRPr="00CB2EC4">
              <w:rPr>
                <w:rFonts w:ascii="Times New Roman" w:hAnsi="Times New Roman" w:cs="Times New Roman"/>
              </w:rPr>
              <w:br/>
              <w:t>- **Formation**: The cephalad compartment of the rectal lateral space is formed by dissecting the posterior fascia of the transverse cervical ligament and the internal iliac vascular sheath (with the vascular sheath peeled from the body of the internal iliac vessels), creating a potential space. As defined in Table 15: "the space formed after the posterior fascia of the transverse cervical ligament and the internal iliac vascular sheath are dissected from their respective structures (Latzko rectal lateral space)."</w:t>
            </w:r>
            <w:r w:rsidRPr="00CB2EC4">
              <w:rPr>
                <w:rFonts w:ascii="Times New Roman" w:hAnsi="Times New Roman" w:cs="Times New Roman"/>
              </w:rPr>
              <w:br/>
              <w:t>- **Location and Function**: Located near the lateral rectal ligament, it is used to expose the origin of the transverse cervical ligament to facilitate surgical maneuvers. It constitutes part of the rectal lateral space excavated in the Latzko technique, with the cephalad compartment and the caudal compartment (formed at the level of the puborectalis muscle fascia) together making up the rectal lateral space.</w:t>
            </w:r>
            <w:r w:rsidRPr="00CB2EC4">
              <w:rPr>
                <w:rFonts w:ascii="Times New Roman" w:hAnsi="Times New Roman" w:cs="Times New Roman"/>
              </w:rPr>
              <w:br/>
              <w:t xml:space="preserve">- **Risk**: During dissection, there is a high risk of injuring deep vessels such as the inferior gluteal-internal pudendal common trunk, the inferior vesical vein, or the middle rectal vein, due to the rich </w:t>
            </w:r>
            <w:r w:rsidRPr="00CB2EC4">
              <w:rPr>
                <w:rFonts w:ascii="Times New Roman" w:hAnsi="Times New Roman" w:cs="Times New Roman"/>
              </w:rPr>
              <w:lastRenderedPageBreak/>
              <w:t>vascularity in this region (as noted in similarity: 0.434: "the risk of injuring deep inferior gluteal-internal pudendal common trunk or inferior vesical vein or middle rectal vein is very high").</w:t>
            </w:r>
            <w:r w:rsidRPr="00CB2EC4">
              <w:rPr>
                <w:rFonts w:ascii="Times New Roman" w:hAnsi="Times New Roman" w:cs="Times New Roman"/>
              </w:rPr>
              <w:br/>
              <w:t>- **Distinction from Okabayashi Technique**: The dissection approach for the rectal lateral space differs between techniques. In the Okabayashi method, the rectal lateral space is opened medial to the ureter and hypogastric nerve, whereas in the Latzko method, the cephalad compartment is opened lateral to these structures (Table 15).</w:t>
            </w:r>
            <w:r w:rsidRPr="00CB2EC4">
              <w:rPr>
                <w:rFonts w:ascii="Times New Roman" w:hAnsi="Times New Roman" w:cs="Times New Roman"/>
              </w:rPr>
              <w:br/>
            </w:r>
            <w:r w:rsidRPr="00CB2EC4">
              <w:rPr>
                <w:rFonts w:ascii="Times New Roman" w:hAnsi="Times New Roman" w:cs="Times New Roman"/>
              </w:rPr>
              <w:br/>
              <w:t>These anatomical features emphasize the necessity for careful dissection during surgery to avoid hemorrhagic complications.</w:t>
            </w:r>
          </w:p>
        </w:tc>
        <w:tc>
          <w:tcPr>
            <w:tcW w:w="1152" w:type="dxa"/>
            <w:vAlign w:val="center"/>
          </w:tcPr>
          <w:p w14:paraId="4217AA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0F5B9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DE340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35E6934" w14:textId="77777777">
        <w:tc>
          <w:tcPr>
            <w:tcW w:w="2160" w:type="dxa"/>
            <w:vAlign w:val="center"/>
          </w:tcPr>
          <w:p w14:paraId="3C2B1F23"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D5668A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characteristics of the cranial chamber of the pararectal space during radical hysterectomy are as follows:  </w:t>
            </w:r>
            <w:r w:rsidRPr="00CB2EC4">
              <w:rPr>
                <w:rFonts w:ascii="Times New Roman" w:hAnsi="Times New Roman" w:cs="Times New Roman"/>
              </w:rPr>
              <w:br/>
              <w:t xml:space="preserve">- Formation mechanism: an artificially created space formed by dissecting the posterior fascia of the transverse cervical ligament and the internal iliac vascular sheath away from their attachments.  </w:t>
            </w:r>
            <w:r w:rsidRPr="00CB2EC4">
              <w:rPr>
                <w:rFonts w:ascii="Times New Roman" w:hAnsi="Times New Roman" w:cs="Times New Roman"/>
              </w:rPr>
              <w:br/>
              <w:t xml:space="preserve">- Location and boundaries:  </w:t>
            </w:r>
            <w:r w:rsidRPr="00CB2EC4">
              <w:rPr>
                <w:rFonts w:ascii="Times New Roman" w:hAnsi="Times New Roman" w:cs="Times New Roman"/>
              </w:rPr>
              <w:br/>
              <w:t xml:space="preserve">  - Located lateral to the ureter and hypogastric nerve.  </w:t>
            </w:r>
            <w:r w:rsidRPr="00CB2EC4">
              <w:rPr>
                <w:rFonts w:ascii="Times New Roman" w:hAnsi="Times New Roman" w:cs="Times New Roman"/>
              </w:rPr>
              <w:br/>
              <w:t xml:space="preserve">  - Bounded by: the exposed internal iliac artery and vein, visceral branches of the internal iliac vessels including the uterine artery and deep uterine vein visible posterior to the ligaments, and the visceral fascia (attached to the ureter) dissected from craniolateral to caudomedial direction.  </w:t>
            </w:r>
            <w:r w:rsidRPr="00CB2EC4">
              <w:rPr>
                <w:rFonts w:ascii="Times New Roman" w:hAnsi="Times New Roman" w:cs="Times New Roman"/>
              </w:rPr>
              <w:br/>
              <w:t xml:space="preserve">- Deep structures: the pelvic splanchnic nerves, fascia of the coccygeus and piriformis muscles may be exposed in depth.  </w:t>
            </w:r>
            <w:r w:rsidRPr="00CB2EC4">
              <w:rPr>
                <w:rFonts w:ascii="Times New Roman" w:hAnsi="Times New Roman" w:cs="Times New Roman"/>
              </w:rPr>
              <w:br/>
              <w:t xml:space="preserve">- Surgical significance: used in the Latzko technique </w:t>
            </w:r>
            <w:r w:rsidRPr="00CB2EC4">
              <w:rPr>
                <w:rFonts w:ascii="Times New Roman" w:hAnsi="Times New Roman" w:cs="Times New Roman"/>
              </w:rPr>
              <w:lastRenderedPageBreak/>
              <w:t xml:space="preserve">to expose and divide the proximal part of the transverse cervical ligament; however, modern approaches typically avoid deep dissection toward the sacral surface to prevent injury to the inferior gluteal-internal pudendal trunk or the vesicouterine venous plexus (based on segments 14 and 18).  </w:t>
            </w:r>
            <w:r w:rsidRPr="00CB2EC4">
              <w:rPr>
                <w:rFonts w:ascii="Times New Roman" w:hAnsi="Times New Roman" w:cs="Times New Roman"/>
              </w:rPr>
              <w:br/>
              <w:t>This compartment is a key component of two-dimensional operative dissection, facilitating systematic resection of pelvic connective tissue.</w:t>
            </w:r>
          </w:p>
        </w:tc>
        <w:tc>
          <w:tcPr>
            <w:tcW w:w="1152" w:type="dxa"/>
            <w:vAlign w:val="center"/>
          </w:tcPr>
          <w:p w14:paraId="56FA31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74EA8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98C8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C5A05F" w14:textId="77777777">
        <w:tc>
          <w:tcPr>
            <w:tcW w:w="2160" w:type="dxa"/>
            <w:vAlign w:val="center"/>
          </w:tcPr>
          <w:p w14:paraId="77F6BC3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FA073E2"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characteristics of the cranial chamber of the pararectal space during radical hysterectomy are as follows:</w:t>
            </w:r>
            <w:r w:rsidRPr="00CB2EC4">
              <w:rPr>
                <w:rFonts w:ascii="Times New Roman" w:hAnsi="Times New Roman" w:cs="Times New Roman"/>
              </w:rPr>
              <w:br/>
            </w:r>
            <w:r w:rsidRPr="00CB2EC4">
              <w:rPr>
                <w:rFonts w:ascii="Times New Roman" w:hAnsi="Times New Roman" w:cs="Times New Roman"/>
              </w:rPr>
              <w:br/>
              <w:t xml:space="preserve">- **Location and Formation:**  </w:t>
            </w:r>
            <w:r w:rsidRPr="00CB2EC4">
              <w:rPr>
                <w:rFonts w:ascii="Times New Roman" w:hAnsi="Times New Roman" w:cs="Times New Roman"/>
              </w:rPr>
              <w:br/>
              <w:t xml:space="preserve">  - Situated lateral to the ureter and inferior hypogastric nerve (i.e., toward the pelvic sidewall).  </w:t>
            </w:r>
            <w:r w:rsidRPr="00CB2EC4">
              <w:rPr>
                <w:rFonts w:ascii="Times New Roman" w:hAnsi="Times New Roman" w:cs="Times New Roman"/>
              </w:rPr>
              <w:br/>
              <w:t xml:space="preserve">  - Formed by dissecting the posterior fascia of the transverse cervical ligament and the vascular sheath of the internal iliac vessels from their underlying structures, creating a potential space.</w:t>
            </w:r>
            <w:r w:rsidRPr="00CB2EC4">
              <w:rPr>
                <w:rFonts w:ascii="Times New Roman" w:hAnsi="Times New Roman" w:cs="Times New Roman"/>
              </w:rPr>
              <w:br/>
            </w:r>
            <w:r w:rsidRPr="00CB2EC4">
              <w:rPr>
                <w:rFonts w:ascii="Times New Roman" w:hAnsi="Times New Roman" w:cs="Times New Roman"/>
              </w:rPr>
              <w:br/>
              <w:t xml:space="preserve">- **Anatomical Relationships:**  </w:t>
            </w:r>
            <w:r w:rsidRPr="00CB2EC4">
              <w:rPr>
                <w:rFonts w:ascii="Times New Roman" w:hAnsi="Times New Roman" w:cs="Times New Roman"/>
              </w:rPr>
              <w:br/>
              <w:t xml:space="preserve">  - Closely associated with the ureter and inferior hypogastric nerve: after dissection, the vascular sheath remains attached to the ureter, forming the "ureteric plate" (mesoureter), through which the ureter and inferior hypogastric nerve course.  </w:t>
            </w:r>
            <w:r w:rsidRPr="00CB2EC4">
              <w:rPr>
                <w:rFonts w:ascii="Times New Roman" w:hAnsi="Times New Roman" w:cs="Times New Roman"/>
              </w:rPr>
              <w:br/>
              <w:t xml:space="preserve">  - The cranial chamber is part of the Latzko pararectal space, contrasted with the caudal chamber; however, in modern surgery, the caudal chamber is often not fully developed.</w:t>
            </w:r>
            <w:r w:rsidRPr="00CB2EC4">
              <w:rPr>
                <w:rFonts w:ascii="Times New Roman" w:hAnsi="Times New Roman" w:cs="Times New Roman"/>
              </w:rPr>
              <w:br/>
            </w:r>
            <w:r w:rsidRPr="00CB2EC4">
              <w:rPr>
                <w:rFonts w:ascii="Times New Roman" w:hAnsi="Times New Roman" w:cs="Times New Roman"/>
              </w:rPr>
              <w:br/>
              <w:t xml:space="preserve">- **Function and Significance:**  </w:t>
            </w:r>
            <w:r w:rsidRPr="00CB2EC4">
              <w:rPr>
                <w:rFonts w:ascii="Times New Roman" w:hAnsi="Times New Roman" w:cs="Times New Roman"/>
              </w:rPr>
              <w:br/>
              <w:t xml:space="preserve">  - Primarily exposes the origin of the transverse </w:t>
            </w:r>
            <w:r w:rsidRPr="00CB2EC4">
              <w:rPr>
                <w:rFonts w:ascii="Times New Roman" w:hAnsi="Times New Roman" w:cs="Times New Roman"/>
              </w:rPr>
              <w:lastRenderedPageBreak/>
              <w:t xml:space="preserve">cervical ligament to facilitate its separation and division (e.g., uterine artery and deep uterine vein).  </w:t>
            </w:r>
            <w:r w:rsidRPr="00CB2EC4">
              <w:rPr>
                <w:rFonts w:ascii="Times New Roman" w:hAnsi="Times New Roman" w:cs="Times New Roman"/>
              </w:rPr>
              <w:br/>
              <w:t xml:space="preserve">  - Advantageous for surgery: provides clear visualization of internal iliac artery branches (such as the uterine artery), but dissection must be meticulous to avoid injury to deep structures (e.g., the pudendal-inferior gluteal common trunk, inferior vesical vein, or middle rectal vein).</w:t>
            </w:r>
            <w:r w:rsidRPr="00CB2EC4">
              <w:rPr>
                <w:rFonts w:ascii="Times New Roman" w:hAnsi="Times New Roman" w:cs="Times New Roman"/>
              </w:rPr>
              <w:br/>
            </w:r>
            <w:r w:rsidRPr="00CB2EC4">
              <w:rPr>
                <w:rFonts w:ascii="Times New Roman" w:hAnsi="Times New Roman" w:cs="Times New Roman"/>
              </w:rPr>
              <w:br/>
              <w:t xml:space="preserve">- **Risk Considerations:**  </w:t>
            </w:r>
            <w:r w:rsidRPr="00CB2EC4">
              <w:rPr>
                <w:rFonts w:ascii="Times New Roman" w:hAnsi="Times New Roman" w:cs="Times New Roman"/>
              </w:rPr>
              <w:br/>
              <w:t xml:space="preserve">  - High risk of injuring the pudendal-inferior gluteal common trunk or associated veins during dissection, potentially causing severe hemorrhage. Therefore, modern techniques often limit dissection depth to the level of the deep uterine vein, rather than fully developing to the sacral surface.</w:t>
            </w:r>
            <w:r w:rsidRPr="00CB2EC4">
              <w:rPr>
                <w:rFonts w:ascii="Times New Roman" w:hAnsi="Times New Roman" w:cs="Times New Roman"/>
              </w:rPr>
              <w:br/>
            </w:r>
            <w:r w:rsidRPr="00CB2EC4">
              <w:rPr>
                <w:rFonts w:ascii="Times New Roman" w:hAnsi="Times New Roman" w:cs="Times New Roman"/>
              </w:rPr>
              <w:br/>
              <w:t>Summary: The cranial chamber of the pararectal space is a surgically created space lateral to the ureter, formed by dissecting the vascular sheath of the internal iliac vessels. It is used to expose the origin of the transverse cervical ligament. Its key feature is close association with the ureter and nerves, requiring precise technique to avoid vascular injury. This differs from the medial development of the pararectal space in the Okabayashi approach, but the Latzko cranial chamber is critical for exposing the ligament origin.</w:t>
            </w:r>
          </w:p>
        </w:tc>
        <w:tc>
          <w:tcPr>
            <w:tcW w:w="1152" w:type="dxa"/>
            <w:vAlign w:val="center"/>
          </w:tcPr>
          <w:p w14:paraId="598A8B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3179F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4EA2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ABD021C" w14:textId="77777777">
        <w:tc>
          <w:tcPr>
            <w:tcW w:w="2160" w:type="dxa"/>
            <w:vAlign w:val="center"/>
          </w:tcPr>
          <w:p w14:paraId="3BA63E72"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3B65E66" w14:textId="77777777" w:rsidR="00922249" w:rsidRPr="00CB2EC4" w:rsidRDefault="003011D5">
            <w:pPr>
              <w:rPr>
                <w:rFonts w:ascii="Times New Roman" w:hAnsi="Times New Roman" w:cs="Times New Roman"/>
              </w:rPr>
            </w:pPr>
            <w:r w:rsidRPr="00CB2EC4">
              <w:rPr>
                <w:rFonts w:ascii="Times New Roman" w:hAnsi="Times New Roman" w:cs="Times New Roman"/>
              </w:rPr>
              <w:t>anatomical features: the cranial compartment of the pararectal space has the following characteristics:</w:t>
            </w:r>
            <w:r w:rsidRPr="00CB2EC4">
              <w:rPr>
                <w:rFonts w:ascii="Times New Roman" w:hAnsi="Times New Roman" w:cs="Times New Roman"/>
              </w:rPr>
              <w:br/>
              <w:t xml:space="preserve">  - location: situated lateral to the rectum, with the cranial (superior) boundary at the bifurcation of the common iliac artery and the caudal boundary at the sacral promontory.</w:t>
            </w:r>
            <w:r w:rsidRPr="00CB2EC4">
              <w:rPr>
                <w:rFonts w:ascii="Times New Roman" w:hAnsi="Times New Roman" w:cs="Times New Roman"/>
              </w:rPr>
              <w:br/>
              <w:t xml:space="preserve">  - contents: contains branches of the internal iliac </w:t>
            </w:r>
            <w:r w:rsidRPr="00CB2EC4">
              <w:rPr>
                <w:rFonts w:ascii="Times New Roman" w:hAnsi="Times New Roman" w:cs="Times New Roman"/>
              </w:rPr>
              <w:lastRenderedPageBreak/>
              <w:t>vessels (such as the superior gluteal artery), the point where the ureter crosses over the common iliac artery, as well as loose connective tissue and lymphoid tissue.</w:t>
            </w:r>
            <w:r w:rsidRPr="00CB2EC4">
              <w:rPr>
                <w:rFonts w:ascii="Times New Roman" w:hAnsi="Times New Roman" w:cs="Times New Roman"/>
              </w:rPr>
              <w:br/>
              <w:t xml:space="preserve">  - surgical significance: this area is critical for dissecting parametrial tissue and the sacrouterine ligaments; careful manipulation is required to avoid injury to the ureter and blood vessels.</w:t>
            </w:r>
          </w:p>
        </w:tc>
        <w:tc>
          <w:tcPr>
            <w:tcW w:w="1152" w:type="dxa"/>
            <w:vAlign w:val="center"/>
          </w:tcPr>
          <w:p w14:paraId="365057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34271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7029F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19633DA" w14:textId="77777777">
        <w:tc>
          <w:tcPr>
            <w:tcW w:w="10656" w:type="dxa"/>
            <w:gridSpan w:val="5"/>
            <w:tcBorders>
              <w:bottom w:val="single" w:sz="6" w:space="0" w:color="auto"/>
            </w:tcBorders>
            <w:vAlign w:val="center"/>
          </w:tcPr>
          <w:p w14:paraId="7006D7E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116: In a nerve-sparing radical hysterectomy, what principles should be followed for the transection of the transverse cervical ligament to avoid en-bloc clamping?</w:t>
            </w:r>
          </w:p>
        </w:tc>
      </w:tr>
      <w:tr w:rsidR="00922249" w:rsidRPr="00CB2EC4" w14:paraId="7A27CBEB" w14:textId="77777777">
        <w:tc>
          <w:tcPr>
            <w:tcW w:w="2160" w:type="dxa"/>
            <w:vAlign w:val="center"/>
          </w:tcPr>
          <w:p w14:paraId="0A50182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DBC31FE" w14:textId="77777777" w:rsidR="00922249" w:rsidRPr="00CB2EC4" w:rsidRDefault="003011D5">
            <w:pPr>
              <w:rPr>
                <w:rFonts w:ascii="Times New Roman" w:hAnsi="Times New Roman" w:cs="Times New Roman"/>
              </w:rPr>
            </w:pPr>
            <w:r w:rsidRPr="00CB2EC4">
              <w:rPr>
                <w:rFonts w:ascii="Times New Roman" w:hAnsi="Times New Roman" w:cs="Times New Roman"/>
              </w:rPr>
              <w:t>in nerve-sparing radical hysterectomy, the following principles should be followed when dividing the transverse cervical ligament to avoid mass ligation (Massenligature):</w:t>
            </w:r>
            <w:r w:rsidRPr="00CB2EC4">
              <w:rPr>
                <w:rFonts w:ascii="Times New Roman" w:hAnsi="Times New Roman" w:cs="Times New Roman"/>
              </w:rPr>
              <w:br/>
              <w:t>- Separate into fascial and vascular components: First, divide the transverse cervical ligament into its fascial and vascular (vessel) parts. The fascia is loose areolar connective tissue, considered an artificial bundle-like structure, and should be cut first.</w:t>
            </w:r>
            <w:r w:rsidRPr="00CB2EC4">
              <w:rPr>
                <w:rFonts w:ascii="Times New Roman" w:hAnsi="Times New Roman" w:cs="Times New Roman"/>
              </w:rPr>
              <w:br/>
              <w:t>- Dissect and divide vessels individually: After the fascia is divided, dissect and cut each vessel (such as the uterine artery and deep uterine vein) one by one, rather than clamping them en masse. This helps avoid injury to surrounding neural structures.</w:t>
            </w:r>
            <w:r w:rsidRPr="00CB2EC4">
              <w:rPr>
                <w:rFonts w:ascii="Times New Roman" w:hAnsi="Times New Roman" w:cs="Times New Roman"/>
              </w:rPr>
              <w:br/>
              <w:t>- Use appropriate instruments: Select an ultrasonic surgical aspirator (USA) for precise dissection and division according to the anatomical site, to enhance safety and accuracy.</w:t>
            </w:r>
            <w:r w:rsidRPr="00CB2EC4">
              <w:rPr>
                <w:rFonts w:ascii="Times New Roman" w:hAnsi="Times New Roman" w:cs="Times New Roman"/>
              </w:rPr>
              <w:br/>
              <w:t>- Anatomical awareness: During surgery, be aware of the nature of the fascia and avoid treating it as a single entity, thereby reducing the risk of mass ligation.</w:t>
            </w:r>
            <w:r w:rsidRPr="00CB2EC4">
              <w:rPr>
                <w:rFonts w:ascii="Times New Roman" w:hAnsi="Times New Roman" w:cs="Times New Roman"/>
              </w:rPr>
              <w:br/>
              <w:t xml:space="preserve">(source: Document [similarity: 0.493] explicitly describes the handling principles for the transverse cervical ligament: "The division of the transverse </w:t>
            </w:r>
            <w:r w:rsidRPr="00CB2EC4">
              <w:rPr>
                <w:rFonts w:ascii="Times New Roman" w:hAnsi="Times New Roman" w:cs="Times New Roman"/>
              </w:rPr>
              <w:lastRenderedPageBreak/>
              <w:t>cervical ligament must avoid mass ligation (Massenligature); it should be separated into fascial and vascular parts as much as possible. First cut the fascia, then dissect and divide the vessels one by one; in this case, an ultrasonic surgical aspirator may be selected according to the site...")</w:t>
            </w:r>
          </w:p>
        </w:tc>
        <w:tc>
          <w:tcPr>
            <w:tcW w:w="1152" w:type="dxa"/>
            <w:vAlign w:val="center"/>
          </w:tcPr>
          <w:p w14:paraId="77D6A7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0DA40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EE0A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27A652" w14:textId="77777777">
        <w:tc>
          <w:tcPr>
            <w:tcW w:w="2160" w:type="dxa"/>
            <w:vAlign w:val="center"/>
          </w:tcPr>
          <w:p w14:paraId="63C6FD6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3F3CB7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nerve-sparing radical hysterectomy, the principles for transecting the transverse cervical ligament to avoid mass ligation (Massenligature) are as follows:  </w:t>
            </w:r>
            <w:r w:rsidRPr="00CB2EC4">
              <w:rPr>
                <w:rFonts w:ascii="Times New Roman" w:hAnsi="Times New Roman" w:cs="Times New Roman"/>
              </w:rPr>
              <w:br/>
              <w:t xml:space="preserve">- Avoid mass clamping and transection to prevent injury to nerves and blood vessels.  </w:t>
            </w:r>
            <w:r w:rsidRPr="00CB2EC4">
              <w:rPr>
                <w:rFonts w:ascii="Times New Roman" w:hAnsi="Times New Roman" w:cs="Times New Roman"/>
              </w:rPr>
              <w:br/>
              <w:t xml:space="preserve">- Separate the transverse cervical ligament into its fascial and vascular components; first transect the fascial portion, then individually dissect and ligate the vascular component.  </w:t>
            </w:r>
            <w:r w:rsidRPr="00CB2EC4">
              <w:rPr>
                <w:rFonts w:ascii="Times New Roman" w:hAnsi="Times New Roman" w:cs="Times New Roman"/>
              </w:rPr>
              <w:br/>
              <w:t xml:space="preserve">- Use instruments such as an ultrasonic scalpel tailored to the specific anatomical site to enable precise control and minimize tissue damage.  </w:t>
            </w:r>
            <w:r w:rsidRPr="00CB2EC4">
              <w:rPr>
                <w:rFonts w:ascii="Times New Roman" w:hAnsi="Times New Roman" w:cs="Times New Roman"/>
              </w:rPr>
              <w:br/>
              <w:t>Rationale: This approach aims to preserve the pelvic autonomic nerves (e.g., the pelvic plexus and its bladder branches) and reduce the risk of nerve injury and bleeding associated with mass clamping (as per the main text of Fragment 2).</w:t>
            </w:r>
          </w:p>
        </w:tc>
        <w:tc>
          <w:tcPr>
            <w:tcW w:w="1152" w:type="dxa"/>
            <w:vAlign w:val="center"/>
          </w:tcPr>
          <w:p w14:paraId="1AD111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893A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9DF0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7F897C" w14:textId="77777777">
        <w:tc>
          <w:tcPr>
            <w:tcW w:w="2160" w:type="dxa"/>
            <w:vAlign w:val="center"/>
          </w:tcPr>
          <w:p w14:paraId="2224607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895BCC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nerve-sparing radical hysterectomy, the principles for transecting the transverse cervical ligament to avoid mass ligature (Massengigatur) are as follows:  </w:t>
            </w:r>
            <w:r w:rsidRPr="00CB2EC4">
              <w:rPr>
                <w:rFonts w:ascii="Times New Roman" w:hAnsi="Times New Roman" w:cs="Times New Roman"/>
              </w:rPr>
              <w:br/>
              <w:t xml:space="preserve">- First, separate the transverse cervical ligament into the fascial portion and the vascular portion.  </w:t>
            </w:r>
            <w:r w:rsidRPr="00CB2EC4">
              <w:rPr>
                <w:rFonts w:ascii="Times New Roman" w:hAnsi="Times New Roman" w:cs="Times New Roman"/>
              </w:rPr>
              <w:br/>
              <w:t xml:space="preserve">- Transect the fascial portion first, then isolate and cut the vessels in the vascular portion (such as the deep uterine vein) individually to avoid mass ligature or combined ligation.  </w:t>
            </w:r>
            <w:r w:rsidRPr="00CB2EC4">
              <w:rPr>
                <w:rFonts w:ascii="Times New Roman" w:hAnsi="Times New Roman" w:cs="Times New Roman"/>
              </w:rPr>
              <w:br/>
              <w:t xml:space="preserve">- During the procedure, an ultrasonic scalpel may be </w:t>
            </w:r>
            <w:r w:rsidRPr="00CB2EC4">
              <w:rPr>
                <w:rFonts w:ascii="Times New Roman" w:hAnsi="Times New Roman" w:cs="Times New Roman"/>
              </w:rPr>
              <w:lastRenderedPageBreak/>
              <w:t xml:space="preserve">used according to the anatomical site (as stated in fragment 1) to finely dissect vascular branches, ensuring nerve preservation (as noted in fragment 11).  </w:t>
            </w:r>
            <w:r w:rsidRPr="00CB2EC4">
              <w:rPr>
                <w:rFonts w:ascii="Times New Roman" w:hAnsi="Times New Roman" w:cs="Times New Roman"/>
              </w:rPr>
              <w:br/>
              <w:t>- The goal is to reduce bleeding risk, protect neural structures (such as the pelvic splanchnic nerves), and enhance surgical safety.</w:t>
            </w:r>
          </w:p>
        </w:tc>
        <w:tc>
          <w:tcPr>
            <w:tcW w:w="1152" w:type="dxa"/>
            <w:vAlign w:val="center"/>
          </w:tcPr>
          <w:p w14:paraId="5377E8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A187D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88C32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D324F7" w14:textId="77777777">
        <w:tc>
          <w:tcPr>
            <w:tcW w:w="2160" w:type="dxa"/>
            <w:vAlign w:val="center"/>
          </w:tcPr>
          <w:p w14:paraId="58CA0D99"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A787F3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nerve-sparing radical hysterectomy, the transection of the transverse cervical ligament should adhere to the following principles to avoid mass clamping (i.e., to prevent combined ligation or en bloc clamping and cutting, such as Massenligature):  </w:t>
            </w:r>
            <w:r w:rsidRPr="00CB2EC4">
              <w:rPr>
                <w:rFonts w:ascii="Times New Roman" w:hAnsi="Times New Roman" w:cs="Times New Roman"/>
              </w:rPr>
              <w:br/>
              <w:t xml:space="preserve">1. Separate fascial and vascular components: First, divide the fascial portion of the transverse cervical ligament (the connective tissue surrounding the ligament), then individually dissect and transect the vascular component (blood vessels). This requires direct visualization to ensure that fascia and vessels are not clamped together.  </w:t>
            </w:r>
            <w:r w:rsidRPr="00CB2EC4">
              <w:rPr>
                <w:rFonts w:ascii="Times New Roman" w:hAnsi="Times New Roman" w:cs="Times New Roman"/>
              </w:rPr>
              <w:br/>
              <w:t xml:space="preserve">2. Handle vessels individually: After fascial separation, dissect, coagulate, or ligate and cut each vessel (e.g., deep uterine vein) individually rather than en bloc. This helps preserve pelvic autonomic nerves and reduces the risk of nerve injury.  </w:t>
            </w:r>
            <w:r w:rsidRPr="00CB2EC4">
              <w:rPr>
                <w:rFonts w:ascii="Times New Roman" w:hAnsi="Times New Roman" w:cs="Times New Roman"/>
              </w:rPr>
              <w:br/>
              <w:t xml:space="preserve">3. Use appropriate instruments: It is recommended to use an ultrasonic surgical aspirator (USA) for precise dissection, with vibration output power set at 30%~50%, suction pressure at 200 mmHg, and irrigation flow at 30~50 mL/min. This effectively fragments surrounding tissue, safely exposes vessels, and avoids blind clamping.  </w:t>
            </w:r>
            <w:r w:rsidRPr="00CB2EC4">
              <w:rPr>
                <w:rFonts w:ascii="Times New Roman" w:hAnsi="Times New Roman" w:cs="Times New Roman"/>
              </w:rPr>
              <w:br/>
              <w:t xml:space="preserve">4. Anatomical localization: Operate near the confluence of the internal iliac vein, ensuring transection occurs before the deep uterine vein drains into the internal iliac vein, and take care to preserve </w:t>
            </w:r>
            <w:r w:rsidRPr="00CB2EC4">
              <w:rPr>
                <w:rFonts w:ascii="Times New Roman" w:hAnsi="Times New Roman" w:cs="Times New Roman"/>
              </w:rPr>
              <w:lastRenderedPageBreak/>
              <w:t>the middle vesical vein unless cancer infiltration is present.</w:t>
            </w:r>
          </w:p>
        </w:tc>
        <w:tc>
          <w:tcPr>
            <w:tcW w:w="1152" w:type="dxa"/>
            <w:vAlign w:val="center"/>
          </w:tcPr>
          <w:p w14:paraId="5BB582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6E7F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1B1A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A14176" w14:textId="77777777">
        <w:tc>
          <w:tcPr>
            <w:tcW w:w="2160" w:type="dxa"/>
            <w:vAlign w:val="center"/>
          </w:tcPr>
          <w:p w14:paraId="4C3DFA8F"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0C2304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nerve-sparing radical hysterectomy, the transection of the transverse cervical ligament should follow the following principles to avoid mass ligature:  </w:t>
            </w:r>
            <w:r w:rsidRPr="00CB2EC4">
              <w:rPr>
                <w:rFonts w:ascii="Times New Roman" w:hAnsi="Times New Roman" w:cs="Times New Roman"/>
              </w:rPr>
              <w:br/>
              <w:t xml:space="preserve">- Separate into fascial and vascular components: First divide the transverse cervical ligament into its fascial part (loose connective tissue) and vascular part (vessels).  </w:t>
            </w:r>
            <w:r w:rsidRPr="00CB2EC4">
              <w:rPr>
                <w:rFonts w:ascii="Times New Roman" w:hAnsi="Times New Roman" w:cs="Times New Roman"/>
              </w:rPr>
              <w:br/>
              <w:t xml:space="preserve">- Transect the fascia first: Prioritize cutting the fascial portion, as it is considered traction connective tissue and artificially treated as a bundle structure.  </w:t>
            </w:r>
            <w:r w:rsidRPr="00CB2EC4">
              <w:rPr>
                <w:rFonts w:ascii="Times New Roman" w:hAnsi="Times New Roman" w:cs="Times New Roman"/>
              </w:rPr>
              <w:br/>
              <w:t xml:space="preserve">- Dissect and transect vessels individually: Subsequently, dissect and cut the vessels one by one to avoid mass ligature. An ultrasonic surgical aspirator may be used as appropriate depending on the location to reduce injury risk.  </w:t>
            </w:r>
            <w:r w:rsidRPr="00CB2EC4">
              <w:rPr>
                <w:rFonts w:ascii="Times New Roman" w:hAnsi="Times New Roman" w:cs="Times New Roman"/>
              </w:rPr>
              <w:br/>
              <w:t xml:space="preserve">- Avoid en bloc ligation: Emphasize avoidance of mass ligature transection to ensure precise dissection and protection of surrounding neural structures (such as pelvic autonomic nerves).  </w:t>
            </w:r>
            <w:r w:rsidRPr="00CB2EC4">
              <w:rPr>
                <w:rFonts w:ascii="Times New Roman" w:hAnsi="Times New Roman" w:cs="Times New Roman"/>
              </w:rPr>
              <w:br/>
              <w:t>Reference: Document excerpt 5 ("The transection of the transverse cervical ligament must avoid mass ligature (Massenligature). It should be separated as much as possible into fascial and vascular components. First cut the fascia, then dissect and transect the vessels individually; in this case, an ultrasonic scalpel may be selected according to the site").</w:t>
            </w:r>
          </w:p>
        </w:tc>
        <w:tc>
          <w:tcPr>
            <w:tcW w:w="1152" w:type="dxa"/>
            <w:vAlign w:val="center"/>
          </w:tcPr>
          <w:p w14:paraId="34C285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7F05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0994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4662234" w14:textId="77777777">
        <w:tc>
          <w:tcPr>
            <w:tcW w:w="2160" w:type="dxa"/>
            <w:vAlign w:val="center"/>
          </w:tcPr>
          <w:p w14:paraId="6459132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840F26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nerve-sparing radical hysterectomy, the principles for transecting the transverse cervical ligament to avoid mass ligation are as follows:  </w:t>
            </w:r>
            <w:r w:rsidRPr="00CB2EC4">
              <w:rPr>
                <w:rFonts w:ascii="Times New Roman" w:hAnsi="Times New Roman" w:cs="Times New Roman"/>
              </w:rPr>
              <w:br/>
              <w:t xml:space="preserve">- Avoid mass ligation (Massenligature) to prevent </w:t>
            </w:r>
            <w:r w:rsidRPr="00CB2EC4">
              <w:rPr>
                <w:rFonts w:ascii="Times New Roman" w:hAnsi="Times New Roman" w:cs="Times New Roman"/>
              </w:rPr>
              <w:lastRenderedPageBreak/>
              <w:t xml:space="preserve">injury to neurovascular structures.  </w:t>
            </w:r>
            <w:r w:rsidRPr="00CB2EC4">
              <w:rPr>
                <w:rFonts w:ascii="Times New Roman" w:hAnsi="Times New Roman" w:cs="Times New Roman"/>
              </w:rPr>
              <w:br/>
              <w:t xml:space="preserve">- Divide the transverse cervical ligament into the fascial portion and the vascular portion: first transect the fascial portion (ligamentous fascia), then dissect and transect the vessels in the vascular portion individually (exposing each vascular branch one by one).  </w:t>
            </w:r>
            <w:r w:rsidRPr="00CB2EC4">
              <w:rPr>
                <w:rFonts w:ascii="Times New Roman" w:hAnsi="Times New Roman" w:cs="Times New Roman"/>
              </w:rPr>
              <w:br/>
              <w:t xml:space="preserve">- Use an ultrasonic scalpel (output power 30%~50%) for precise dissection according to the surgical site, to minimize bleeding and preserve surrounding nerves (e.g., pelvic splanchnic nerves).  </w:t>
            </w:r>
            <w:r w:rsidRPr="00CB2EC4">
              <w:rPr>
                <w:rFonts w:ascii="Times New Roman" w:hAnsi="Times New Roman" w:cs="Times New Roman"/>
              </w:rPr>
              <w:br/>
              <w:t xml:space="preserve">- Perform the procedure in two steps: dissect and transect the ligamentous fascia, then expose and transect the vessels within loose connective tissue individually (avoiding en bloc ligation).  </w:t>
            </w:r>
            <w:r w:rsidRPr="00CB2EC4">
              <w:rPr>
                <w:rFonts w:ascii="Times New Roman" w:hAnsi="Times New Roman" w:cs="Times New Roman"/>
              </w:rPr>
              <w:br/>
              <w:t>These principles aim to preserve nerve function (e.g., bladder nerve branches) while ensuring radical resection.</w:t>
            </w:r>
          </w:p>
        </w:tc>
        <w:tc>
          <w:tcPr>
            <w:tcW w:w="1152" w:type="dxa"/>
            <w:vAlign w:val="center"/>
          </w:tcPr>
          <w:p w14:paraId="7EA169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14945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0AE7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6FFAA5" w14:textId="77777777">
        <w:tc>
          <w:tcPr>
            <w:tcW w:w="2160" w:type="dxa"/>
            <w:vAlign w:val="center"/>
          </w:tcPr>
          <w:p w14:paraId="2D3AD645"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53AE371" w14:textId="77777777" w:rsidR="00922249" w:rsidRPr="00CB2EC4" w:rsidRDefault="003011D5">
            <w:pPr>
              <w:rPr>
                <w:rFonts w:ascii="Times New Roman" w:hAnsi="Times New Roman" w:cs="Times New Roman"/>
              </w:rPr>
            </w:pPr>
            <w:r w:rsidRPr="00CB2EC4">
              <w:rPr>
                <w:rFonts w:ascii="Times New Roman" w:hAnsi="Times New Roman" w:cs="Times New Roman"/>
              </w:rPr>
              <w:t>in nerve-sparing radical hysterectomy, the following principles should be followed when dividing the transverse cervical ligament to avoid mass ligation:</w:t>
            </w:r>
            <w:r w:rsidRPr="00CB2EC4">
              <w:rPr>
                <w:rFonts w:ascii="Times New Roman" w:hAnsi="Times New Roman" w:cs="Times New Roman"/>
              </w:rPr>
              <w:br/>
            </w:r>
            <w:r w:rsidRPr="00CB2EC4">
              <w:rPr>
                <w:rFonts w:ascii="Times New Roman" w:hAnsi="Times New Roman" w:cs="Times New Roman"/>
              </w:rPr>
              <w:br/>
              <w:t>- Avoid mass ligation: Do not clamp and divide the transverse cervical ligament as a whole, as this may damage neural and vascular structures.</w:t>
            </w:r>
            <w:r w:rsidRPr="00CB2EC4">
              <w:rPr>
                <w:rFonts w:ascii="Times New Roman" w:hAnsi="Times New Roman" w:cs="Times New Roman"/>
              </w:rPr>
              <w:br/>
              <w:t>- Separate into fascial and vascular components: First, dissect the transverse cervical ligament into its fascial part (loose connective tissue) and vascular part (vessels).</w:t>
            </w:r>
            <w:r w:rsidRPr="00CB2EC4">
              <w:rPr>
                <w:rFonts w:ascii="Times New Roman" w:hAnsi="Times New Roman" w:cs="Times New Roman"/>
              </w:rPr>
              <w:br/>
              <w:t>- Stepwise division:</w:t>
            </w:r>
            <w:r w:rsidRPr="00CB2EC4">
              <w:rPr>
                <w:rFonts w:ascii="Times New Roman" w:hAnsi="Times New Roman" w:cs="Times New Roman"/>
              </w:rPr>
              <w:br/>
              <w:t xml:space="preserve">  - Divide the fascial part (i.e., the connective tissue layer on the surface of the ligament) first.</w:t>
            </w:r>
            <w:r w:rsidRPr="00CB2EC4">
              <w:rPr>
                <w:rFonts w:ascii="Times New Roman" w:hAnsi="Times New Roman" w:cs="Times New Roman"/>
              </w:rPr>
              <w:br/>
              <w:t xml:space="preserve">  - Then separate and divide the vascular components (such as the deep uterine vein) individually, vessel by </w:t>
            </w:r>
            <w:r w:rsidRPr="00CB2EC4">
              <w:rPr>
                <w:rFonts w:ascii="Times New Roman" w:hAnsi="Times New Roman" w:cs="Times New Roman"/>
              </w:rPr>
              <w:lastRenderedPageBreak/>
              <w:t>vessel.</w:t>
            </w:r>
            <w:r w:rsidRPr="00CB2EC4">
              <w:rPr>
                <w:rFonts w:ascii="Times New Roman" w:hAnsi="Times New Roman" w:cs="Times New Roman"/>
              </w:rPr>
              <w:br/>
              <w:t>- Use appropriate instruments: Employ an ultrasonic surgical aspirator (USA) for dissection and division according to the site, to improve precision and reduce bleeding risk.</w:t>
            </w:r>
            <w:r w:rsidRPr="00CB2EC4">
              <w:rPr>
                <w:rFonts w:ascii="Times New Roman" w:hAnsi="Times New Roman" w:cs="Times New Roman"/>
              </w:rPr>
              <w:br/>
              <w:t>- Anatomical awareness: Recognize during surgery that the fascia is artificially considered as bundle-like loose (areolar) connective tissue, mainly serving to traction of organs, rather than a substantial ligamentous structure.</w:t>
            </w:r>
            <w:r w:rsidRPr="00CB2EC4">
              <w:rPr>
                <w:rFonts w:ascii="Times New Roman" w:hAnsi="Times New Roman" w:cs="Times New Roman"/>
              </w:rPr>
              <w:br/>
            </w:r>
            <w:r w:rsidRPr="00CB2EC4">
              <w:rPr>
                <w:rFonts w:ascii="Times New Roman" w:hAnsi="Times New Roman" w:cs="Times New Roman"/>
              </w:rPr>
              <w:br/>
              <w:t>These principles aim to preserve the autonomic nerves of the pelvis (such as the pelvic plexus and its bladder branches), ensuring surgical safety and organ function preservation (referencing descriptions in the document regarding nerve-sparing objectives).</w:t>
            </w:r>
          </w:p>
        </w:tc>
        <w:tc>
          <w:tcPr>
            <w:tcW w:w="1152" w:type="dxa"/>
            <w:vAlign w:val="center"/>
          </w:tcPr>
          <w:p w14:paraId="7F343F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7E1F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9537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49054A" w14:textId="77777777">
        <w:tc>
          <w:tcPr>
            <w:tcW w:w="2160" w:type="dxa"/>
            <w:vAlign w:val="center"/>
          </w:tcPr>
          <w:p w14:paraId="40EF851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FD2055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nerve-sparing radical hysterectomy, the following principles should be followed when cutting the transverse cervical ligament to avoid mass ligation:  </w:t>
            </w:r>
            <w:r w:rsidRPr="00CB2EC4">
              <w:rPr>
                <w:rFonts w:ascii="Times New Roman" w:hAnsi="Times New Roman" w:cs="Times New Roman"/>
              </w:rPr>
              <w:br/>
              <w:t xml:space="preserve">- Avoid mass ligation: Do not clamp the entire transverse cervical ligament at once, as this may damage neural and vascular structures.  </w:t>
            </w:r>
            <w:r w:rsidRPr="00CB2EC4">
              <w:rPr>
                <w:rFonts w:ascii="Times New Roman" w:hAnsi="Times New Roman" w:cs="Times New Roman"/>
              </w:rPr>
              <w:br/>
              <w:t xml:space="preserve">- Separate into fascial and vascular components: First cut the fascial part (i.e., the connective tissue layer), then individually dissect and cut the vascular component (vessels and lymphatics), rather than treating them as a whole.  </w:t>
            </w:r>
            <w:r w:rsidRPr="00CB2EC4">
              <w:rPr>
                <w:rFonts w:ascii="Times New Roman" w:hAnsi="Times New Roman" w:cs="Times New Roman"/>
              </w:rPr>
              <w:br/>
              <w:t xml:space="preserve">- Use precise instruments: Select ultrasonic scalpel or other fine instruments (such as bipolar electrocautery scissors) according to the site to precisely dissect vessels, reduce bleeding risk, and protect nerves.  </w:t>
            </w:r>
            <w:r w:rsidRPr="00CB2EC4">
              <w:rPr>
                <w:rFonts w:ascii="Times New Roman" w:hAnsi="Times New Roman" w:cs="Times New Roman"/>
              </w:rPr>
              <w:br/>
              <w:t xml:space="preserve">- Anatomical basis: The procedure must be based on the anatomical structure of the transverse cervical ligament (e.g., trunk, core, and reflection parts), </w:t>
            </w:r>
            <w:r w:rsidRPr="00CB2EC4">
              <w:rPr>
                <w:rFonts w:ascii="Times New Roman" w:hAnsi="Times New Roman" w:cs="Times New Roman"/>
              </w:rPr>
              <w:lastRenderedPageBreak/>
              <w:t xml:space="preserve">ensuring that after fascial division, vessels are handled one by one to preserve the pelvic autonomic nerves (such as the pelvic plexus and its bladder branches).  </w:t>
            </w:r>
            <w:r w:rsidRPr="00CB2EC4">
              <w:rPr>
                <w:rFonts w:ascii="Times New Roman" w:hAnsi="Times New Roman" w:cs="Times New Roman"/>
              </w:rPr>
              <w:br/>
              <w:t>These principles aim to minimize injury, reduce bleeding, and improve the success rate of nerve preservation (Document Fragment 23).</w:t>
            </w:r>
          </w:p>
        </w:tc>
        <w:tc>
          <w:tcPr>
            <w:tcW w:w="1152" w:type="dxa"/>
            <w:vAlign w:val="center"/>
          </w:tcPr>
          <w:p w14:paraId="7723E5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17D7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A5D7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4D5560" w14:textId="77777777">
        <w:tc>
          <w:tcPr>
            <w:tcW w:w="2160" w:type="dxa"/>
            <w:vAlign w:val="center"/>
          </w:tcPr>
          <w:p w14:paraId="755CE62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7F5A91B" w14:textId="77777777" w:rsidR="00922249" w:rsidRPr="00CB2EC4" w:rsidRDefault="003011D5">
            <w:pPr>
              <w:rPr>
                <w:rFonts w:ascii="Times New Roman" w:hAnsi="Times New Roman" w:cs="Times New Roman"/>
              </w:rPr>
            </w:pPr>
            <w:r w:rsidRPr="00CB2EC4">
              <w:rPr>
                <w:rFonts w:ascii="Times New Roman" w:hAnsi="Times New Roman" w:cs="Times New Roman"/>
              </w:rPr>
              <w:t>In nerve-sparing radical hysterectomy, the principles for transecting the transverse cervical ligament to avoid mass ligation (Massenligature) are as follows:</w:t>
            </w:r>
            <w:r w:rsidRPr="00CB2EC4">
              <w:rPr>
                <w:rFonts w:ascii="Times New Roman" w:hAnsi="Times New Roman" w:cs="Times New Roman"/>
              </w:rPr>
              <w:br/>
            </w:r>
            <w:r w:rsidRPr="00CB2EC4">
              <w:rPr>
                <w:rFonts w:ascii="Times New Roman" w:hAnsi="Times New Roman" w:cs="Times New Roman"/>
              </w:rPr>
              <w:br/>
              <w:t>- **Separation into fascial and vascular components**: First, divide the transverse cervical ligament into a fascial portion and a vascular portion (angiogenic part). The fascia should be regarded as loose areolar connective tissue serving to traction organs, rather than a true fascicular structure.</w:t>
            </w:r>
            <w:r w:rsidRPr="00CB2EC4">
              <w:rPr>
                <w:rFonts w:ascii="Times New Roman" w:hAnsi="Times New Roman" w:cs="Times New Roman"/>
              </w:rPr>
              <w:br/>
            </w:r>
            <w:r w:rsidRPr="00CB2EC4">
              <w:rPr>
                <w:rFonts w:ascii="Times New Roman" w:hAnsi="Times New Roman" w:cs="Times New Roman"/>
              </w:rPr>
              <w:br/>
              <w:t>- **Stepwise transection**: First cut the ligamentous fascia, then individually dissect and transect the blood vessels (exposing each vascular branch one by one), avoiding combined ligation.</w:t>
            </w:r>
            <w:r w:rsidRPr="00CB2EC4">
              <w:rPr>
                <w:rFonts w:ascii="Times New Roman" w:hAnsi="Times New Roman" w:cs="Times New Roman"/>
              </w:rPr>
              <w:br/>
            </w:r>
            <w:r w:rsidRPr="00CB2EC4">
              <w:rPr>
                <w:rFonts w:ascii="Times New Roman" w:hAnsi="Times New Roman" w:cs="Times New Roman"/>
              </w:rPr>
              <w:br/>
              <w:t>- **Use of appropriate instruments**: Select tools such as an ultrasonic scalpel for dissection and transection according to the anatomical site to ensure precise manipulation.</w:t>
            </w:r>
            <w:r w:rsidRPr="00CB2EC4">
              <w:rPr>
                <w:rFonts w:ascii="Times New Roman" w:hAnsi="Times New Roman" w:cs="Times New Roman"/>
              </w:rPr>
              <w:br/>
            </w:r>
            <w:r w:rsidRPr="00CB2EC4">
              <w:rPr>
                <w:rFonts w:ascii="Times New Roman" w:hAnsi="Times New Roman" w:cs="Times New Roman"/>
              </w:rPr>
              <w:br/>
              <w:t>- **Purpose**: This approach avoids nerve injury (e.g., to the pelvic splanchnic nerves) caused by mass ligation and ensures preservation of neural structures during the separation of fascia and vessels, thereby enhancing surgical safety.</w:t>
            </w:r>
          </w:p>
        </w:tc>
        <w:tc>
          <w:tcPr>
            <w:tcW w:w="1152" w:type="dxa"/>
            <w:vAlign w:val="center"/>
          </w:tcPr>
          <w:p w14:paraId="766522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FA18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58B7D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C7B03C4" w14:textId="77777777">
        <w:tc>
          <w:tcPr>
            <w:tcW w:w="2160" w:type="dxa"/>
            <w:vAlign w:val="center"/>
          </w:tcPr>
          <w:p w14:paraId="08D128A8"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B11744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nerve-sparing radical hysterectomy, the following </w:t>
            </w:r>
            <w:r w:rsidRPr="00CB2EC4">
              <w:rPr>
                <w:rFonts w:ascii="Times New Roman" w:hAnsi="Times New Roman" w:cs="Times New Roman"/>
              </w:rPr>
              <w:lastRenderedPageBreak/>
              <w:t xml:space="preserve">principles should be followed when transecting the transverse cervical ligament to avoid mass ligation (Massenligature):  </w:t>
            </w:r>
            <w:r w:rsidRPr="00CB2EC4">
              <w:rPr>
                <w:rFonts w:ascii="Times New Roman" w:hAnsi="Times New Roman" w:cs="Times New Roman"/>
              </w:rPr>
              <w:br/>
              <w:t xml:space="preserve">- Separate into fascial and vascular components: First transect the fascial portion of the transverse cervical ligament, then individually dissect and ligate the vascular components (such as the uterine artery, deep uterine vein, etc.). Avoid clamping and cutting the entire ligament as a single mass.  </w:t>
            </w:r>
            <w:r w:rsidRPr="00CB2EC4">
              <w:rPr>
                <w:rFonts w:ascii="Times New Roman" w:hAnsi="Times New Roman" w:cs="Times New Roman"/>
              </w:rPr>
              <w:br/>
              <w:t xml:space="preserve">- Use precise instruments: Employ an ultrasonic surgical aspirator (USA) for dissection and transection according to the anatomical site, with vibration output power set at 30%~50%, suction pressure at 200 mmHg, and irrigation flow at 30~50 mL/min. This facilitates precise vascular handling and reduces bleeding risk.  </w:t>
            </w:r>
            <w:r w:rsidRPr="00CB2EC4">
              <w:rPr>
                <w:rFonts w:ascii="Times New Roman" w:hAnsi="Times New Roman" w:cs="Times New Roman"/>
              </w:rPr>
              <w:br/>
              <w:t xml:space="preserve">- Recognize tissue characteristics: Acknowledge that the fascia is inherently areolar connective tissue, artificially perceived as a cord-like structure; perform gentle dissection without aggressive traction.  </w:t>
            </w:r>
            <w:r w:rsidRPr="00CB2EC4">
              <w:rPr>
                <w:rFonts w:ascii="Times New Roman" w:hAnsi="Times New Roman" w:cs="Times New Roman"/>
              </w:rPr>
              <w:br/>
              <w:t>The core principle is stepwise anatomical dissection to ensure nerve preservation (e.g., pelvic plexus and its bladder branches) and minimize intraoperative complications.</w:t>
            </w:r>
          </w:p>
        </w:tc>
        <w:tc>
          <w:tcPr>
            <w:tcW w:w="1152" w:type="dxa"/>
            <w:vAlign w:val="center"/>
          </w:tcPr>
          <w:p w14:paraId="47A660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4D485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81D05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2A8241F" w14:textId="77777777">
        <w:tc>
          <w:tcPr>
            <w:tcW w:w="2160" w:type="dxa"/>
            <w:vAlign w:val="center"/>
          </w:tcPr>
          <w:p w14:paraId="664C35A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4B3B53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nerve-sparing radical hysterectomy, the following principles should be followed when transecting the transverse cervical ligament to avoid mass ligation (Massenligature):  </w:t>
            </w:r>
            <w:r w:rsidRPr="00CB2EC4">
              <w:rPr>
                <w:rFonts w:ascii="Times New Roman" w:hAnsi="Times New Roman" w:cs="Times New Roman"/>
              </w:rPr>
              <w:br/>
              <w:t xml:space="preserve">- Separate fascial and vascular components: First transect the fascial part of the transverse cervical ligament (i.e., loose areolar connective tissue), then dissect and cut the vascular component (vessels) individually.  </w:t>
            </w:r>
            <w:r w:rsidRPr="00CB2EC4">
              <w:rPr>
                <w:rFonts w:ascii="Times New Roman" w:hAnsi="Times New Roman" w:cs="Times New Roman"/>
              </w:rPr>
              <w:br/>
              <w:t xml:space="preserve">- Avoid mass ligation: Do not clamp and transect the </w:t>
            </w:r>
            <w:r w:rsidRPr="00CB2EC4">
              <w:rPr>
                <w:rFonts w:ascii="Times New Roman" w:hAnsi="Times New Roman" w:cs="Times New Roman"/>
              </w:rPr>
              <w:lastRenderedPageBreak/>
              <w:t xml:space="preserve">ligament as a whole; instead, separate and cut each vessel individually to minimize nerve injury.  </w:t>
            </w:r>
            <w:r w:rsidRPr="00CB2EC4">
              <w:rPr>
                <w:rFonts w:ascii="Times New Roman" w:hAnsi="Times New Roman" w:cs="Times New Roman"/>
              </w:rPr>
              <w:br/>
              <w:t xml:space="preserve">- Use appropriate instruments: Employ an ultrasonic surgical aspirator (USA) for precise dissection, with vibration output power controlled at 30%~50%, suction pressure at 200 mmHg, and irrigation flow at 30~50 mL/min.  </w:t>
            </w:r>
            <w:r w:rsidRPr="00CB2EC4">
              <w:rPr>
                <w:rFonts w:ascii="Times New Roman" w:hAnsi="Times New Roman" w:cs="Times New Roman"/>
              </w:rPr>
              <w:br/>
              <w:t xml:space="preserve">- Anatomical awareness: Recognize that the fascia is artificially considered as bundle-like loose areolar connective tissue; handle gently to protect deep autonomic nerves (e.g., pelvic splanchnic nerves).  </w:t>
            </w:r>
            <w:r w:rsidRPr="00CB2EC4">
              <w:rPr>
                <w:rFonts w:ascii="Times New Roman" w:hAnsi="Times New Roman" w:cs="Times New Roman"/>
              </w:rPr>
              <w:br/>
              <w:t>These principles aim to ensure surgical safety, reduce injury, and preserve bladder and rectal function.</w:t>
            </w:r>
          </w:p>
        </w:tc>
        <w:tc>
          <w:tcPr>
            <w:tcW w:w="1152" w:type="dxa"/>
            <w:vAlign w:val="center"/>
          </w:tcPr>
          <w:p w14:paraId="4D3AEA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8561C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A8DF2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670B644" w14:textId="77777777">
        <w:tc>
          <w:tcPr>
            <w:tcW w:w="2160" w:type="dxa"/>
            <w:vAlign w:val="center"/>
          </w:tcPr>
          <w:p w14:paraId="477E92F3"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DD85E60" w14:textId="77777777" w:rsidR="00922249" w:rsidRPr="00CB2EC4" w:rsidRDefault="003011D5">
            <w:pPr>
              <w:rPr>
                <w:rFonts w:ascii="Times New Roman" w:hAnsi="Times New Roman" w:cs="Times New Roman"/>
              </w:rPr>
            </w:pPr>
            <w:r w:rsidRPr="00CB2EC4">
              <w:rPr>
                <w:rFonts w:ascii="Times New Roman" w:hAnsi="Times New Roman" w:cs="Times New Roman"/>
              </w:rPr>
              <w:t>In nerve-sparing radical hysterectomy, the principles for transecting the transverse cervical ligament to avoid mass ligation are as follows:</w:t>
            </w:r>
            <w:r w:rsidRPr="00CB2EC4">
              <w:rPr>
                <w:rFonts w:ascii="Times New Roman" w:hAnsi="Times New Roman" w:cs="Times New Roman"/>
              </w:rPr>
              <w:br/>
            </w:r>
            <w:r w:rsidRPr="00CB2EC4">
              <w:rPr>
                <w:rFonts w:ascii="Times New Roman" w:hAnsi="Times New Roman" w:cs="Times New Roman"/>
              </w:rPr>
              <w:br/>
              <w:t>- Avoid mass ligation transection: Do not clamp the entire ligament at once to prevent injury to surrounding nerves and blood vessels.</w:t>
            </w:r>
            <w:r w:rsidRPr="00CB2EC4">
              <w:rPr>
                <w:rFonts w:ascii="Times New Roman" w:hAnsi="Times New Roman" w:cs="Times New Roman"/>
              </w:rPr>
              <w:br/>
              <w:t>- Separate into fascial and vascular components: First divide the ligament into its fascial portion and vascular portion (containing vessels).</w:t>
            </w:r>
            <w:r w:rsidRPr="00CB2EC4">
              <w:rPr>
                <w:rFonts w:ascii="Times New Roman" w:hAnsi="Times New Roman" w:cs="Times New Roman"/>
              </w:rPr>
              <w:br/>
              <w:t>- Stepwise transection:</w:t>
            </w:r>
            <w:r w:rsidRPr="00CB2EC4">
              <w:rPr>
                <w:rFonts w:ascii="Times New Roman" w:hAnsi="Times New Roman" w:cs="Times New Roman"/>
              </w:rPr>
              <w:br/>
              <w:t xml:space="preserve">  1. First transect the fascial portion (loose connective tissue, considered an artificial fascicular structure).</w:t>
            </w:r>
            <w:r w:rsidRPr="00CB2EC4">
              <w:rPr>
                <w:rFonts w:ascii="Times New Roman" w:hAnsi="Times New Roman" w:cs="Times New Roman"/>
              </w:rPr>
              <w:br/>
              <w:t xml:space="preserve">  2. Then isolate and transect the blood vessels one by one to ensure precise dissection.</w:t>
            </w:r>
            <w:r w:rsidRPr="00CB2EC4">
              <w:rPr>
                <w:rFonts w:ascii="Times New Roman" w:hAnsi="Times New Roman" w:cs="Times New Roman"/>
              </w:rPr>
              <w:br/>
              <w:t>- Instrument selection: Use devices such as an ultrasonic scalpel depending on the anatomical site to improve precision and reduce bleeding risk.</w:t>
            </w:r>
            <w:r w:rsidRPr="00CB2EC4">
              <w:rPr>
                <w:rFonts w:ascii="Times New Roman" w:hAnsi="Times New Roman" w:cs="Times New Roman"/>
              </w:rPr>
              <w:br/>
              <w:t xml:space="preserve">These principles aim to preserve the pelvic autonomic nerves (e.g., pelvic plexus and its bladder branches) and are based on anatomical significance during </w:t>
            </w:r>
            <w:r w:rsidRPr="00CB2EC4">
              <w:rPr>
                <w:rFonts w:ascii="Times New Roman" w:hAnsi="Times New Roman" w:cs="Times New Roman"/>
              </w:rPr>
              <w:lastRenderedPageBreak/>
              <w:t>surgery (Document Fragment 1).</w:t>
            </w:r>
          </w:p>
        </w:tc>
        <w:tc>
          <w:tcPr>
            <w:tcW w:w="1152" w:type="dxa"/>
            <w:vAlign w:val="center"/>
          </w:tcPr>
          <w:p w14:paraId="50A96A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67CA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D82E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D8417A" w14:textId="77777777">
        <w:tc>
          <w:tcPr>
            <w:tcW w:w="2160" w:type="dxa"/>
            <w:vAlign w:val="center"/>
          </w:tcPr>
          <w:p w14:paraId="2D0D057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797EAB1" w14:textId="77777777" w:rsidR="00922249" w:rsidRPr="00CB2EC4" w:rsidRDefault="003011D5">
            <w:pPr>
              <w:rPr>
                <w:rFonts w:ascii="Times New Roman" w:hAnsi="Times New Roman" w:cs="Times New Roman"/>
              </w:rPr>
            </w:pPr>
            <w:r w:rsidRPr="00CB2EC4">
              <w:rPr>
                <w:rFonts w:ascii="Times New Roman" w:hAnsi="Times New Roman" w:cs="Times New Roman"/>
              </w:rPr>
              <w:t>in nerve-sparing radical hysterectomy, the following principles should be followed when transecting the transverse cervical ligament to avoid mass ligation (Massenligature):</w:t>
            </w:r>
            <w:r w:rsidRPr="00CB2EC4">
              <w:rPr>
                <w:rFonts w:ascii="Times New Roman" w:hAnsi="Times New Roman" w:cs="Times New Roman"/>
              </w:rPr>
              <w:br/>
            </w:r>
            <w:r w:rsidRPr="00CB2EC4">
              <w:rPr>
                <w:rFonts w:ascii="Times New Roman" w:hAnsi="Times New Roman" w:cs="Times New Roman"/>
              </w:rPr>
              <w:br/>
              <w:t>- Avoid mass ligation transection: Do not clamp and ligate the transverse cervical ligament as a whole, as in traditional procedures (e.g., Okabayashi surgery), because this may lead to residual cancer cells at the origin or nerve injury (Reference segment 1, block 65-67; Reference segment 7, block 220-222).</w:t>
            </w:r>
            <w:r w:rsidRPr="00CB2EC4">
              <w:rPr>
                <w:rFonts w:ascii="Times New Roman" w:hAnsi="Times New Roman" w:cs="Times New Roman"/>
              </w:rPr>
              <w:br/>
              <w:t>- Separate fascial and vascular components: First divide the transverse cervical ligament into its fascial portion and vascular (vessel) portion. The fascial part, composed of loose connective tissue, should be transected first (Reference segment 3, block 154-156).</w:t>
            </w:r>
            <w:r w:rsidRPr="00CB2EC4">
              <w:rPr>
                <w:rFonts w:ascii="Times New Roman" w:hAnsi="Times New Roman" w:cs="Times New Roman"/>
              </w:rPr>
              <w:br/>
              <w:t>- Isolate and transect vessels individually: After fascial transection, separate, expose, and cut the vessels in the vascular portion (such as the uterine artery and deep uterine vein) one by one. This helps preserve nerves and reduce bleeding risk (Reference segment 3, block 154-156; Reference segment 7, block 220-222).</w:t>
            </w:r>
            <w:r w:rsidRPr="00CB2EC4">
              <w:rPr>
                <w:rFonts w:ascii="Times New Roman" w:hAnsi="Times New Roman" w:cs="Times New Roman"/>
              </w:rPr>
              <w:br/>
              <w:t>- Use adjunctive instruments: Select an ultrasonic surgical aspirator (USA) for precise dissection and transection according to the location, with output power set at 30%~50% to safely fragment tissue and achieve hemostasis (Reference segment 3, block 154-156; Reference segment 6, block 175-177).</w:t>
            </w:r>
            <w:r w:rsidRPr="00CB2EC4">
              <w:rPr>
                <w:rFonts w:ascii="Times New Roman" w:hAnsi="Times New Roman" w:cs="Times New Roman"/>
              </w:rPr>
              <w:br/>
              <w:t xml:space="preserve">- Operate under anatomical guidance: The procedure must be based on the anatomical structure of the transverse cervical ligament (divided into trunk, core, and reflection parts), with particular attention to the </w:t>
            </w:r>
            <w:r w:rsidRPr="00CB2EC4">
              <w:rPr>
                <w:rFonts w:ascii="Times New Roman" w:hAnsi="Times New Roman" w:cs="Times New Roman"/>
              </w:rPr>
              <w:lastRenderedPageBreak/>
              <w:t>course of the ureter and nerves near the core portion to avoid injury (Reference segment 7, block 220-222).</w:t>
            </w:r>
            <w:r w:rsidRPr="00CB2EC4">
              <w:rPr>
                <w:rFonts w:ascii="Times New Roman" w:hAnsi="Times New Roman" w:cs="Times New Roman"/>
              </w:rPr>
              <w:br/>
            </w:r>
            <w:r w:rsidRPr="00CB2EC4">
              <w:rPr>
                <w:rFonts w:ascii="Times New Roman" w:hAnsi="Times New Roman" w:cs="Times New Roman"/>
              </w:rPr>
              <w:br/>
              <w:t>These principles aim to ensure surgical precision, reduce complications, and improve nerve preservation outcomes. The context explicitly supports these contents.</w:t>
            </w:r>
          </w:p>
        </w:tc>
        <w:tc>
          <w:tcPr>
            <w:tcW w:w="1152" w:type="dxa"/>
            <w:vAlign w:val="center"/>
          </w:tcPr>
          <w:p w14:paraId="4A136C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629FF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389C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8697A9" w14:textId="77777777">
        <w:tc>
          <w:tcPr>
            <w:tcW w:w="2160" w:type="dxa"/>
            <w:vAlign w:val="center"/>
          </w:tcPr>
          <w:p w14:paraId="1554A5B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B65058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nerve-sparing radical hysterectomy, the principles for transecting the transverse cervical ligament to avoid mass clamping are as follows:  </w:t>
            </w:r>
            <w:r w:rsidRPr="00CB2EC4">
              <w:rPr>
                <w:rFonts w:ascii="Times New Roman" w:hAnsi="Times New Roman" w:cs="Times New Roman"/>
              </w:rPr>
              <w:br/>
              <w:t xml:space="preserve">   - Use sharp dissection (e.g., scissors or electrocautery) rather than blunt dissection to prevent clamping the entire ligament en bloc.  </w:t>
            </w:r>
            <w:r w:rsidRPr="00CB2EC4">
              <w:rPr>
                <w:rFonts w:ascii="Times New Roman" w:hAnsi="Times New Roman" w:cs="Times New Roman"/>
              </w:rPr>
              <w:br/>
              <w:t xml:space="preserve">   - Perform layered dissection of the ligament, first identifying and protecting the pelvic nerve plexus (such as the hypogastric nerve and pelvic splanchnic nerves), ensuring only the vascular and connective tissue components are transected while preserving nerve fibers.  </w:t>
            </w:r>
            <w:r w:rsidRPr="00CB2EC4">
              <w:rPr>
                <w:rFonts w:ascii="Times New Roman" w:hAnsi="Times New Roman" w:cs="Times New Roman"/>
              </w:rPr>
              <w:br/>
              <w:t xml:space="preserve">   - Avoid using clamps or mass ligation to reduce the risk of nerve injury.</w:t>
            </w:r>
          </w:p>
        </w:tc>
        <w:tc>
          <w:tcPr>
            <w:tcW w:w="1152" w:type="dxa"/>
            <w:vAlign w:val="center"/>
          </w:tcPr>
          <w:p w14:paraId="1D9246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F9D7A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772B4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C30B06F" w14:textId="77777777">
        <w:tc>
          <w:tcPr>
            <w:tcW w:w="10656" w:type="dxa"/>
            <w:gridSpan w:val="5"/>
            <w:tcBorders>
              <w:bottom w:val="single" w:sz="6" w:space="0" w:color="auto"/>
            </w:tcBorders>
            <w:vAlign w:val="center"/>
          </w:tcPr>
          <w:p w14:paraId="24751EF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117: Please briefly describe the surgical procedure of a nerve-sparing radical hysterectomy.</w:t>
            </w:r>
          </w:p>
        </w:tc>
      </w:tr>
      <w:tr w:rsidR="00922249" w:rsidRPr="00CB2EC4" w14:paraId="7CCB8A55" w14:textId="77777777">
        <w:tc>
          <w:tcPr>
            <w:tcW w:w="2160" w:type="dxa"/>
            <w:vAlign w:val="center"/>
          </w:tcPr>
          <w:p w14:paraId="32ED6499"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83905FE" w14:textId="77777777" w:rsidR="00922249" w:rsidRPr="00CB2EC4" w:rsidRDefault="003011D5">
            <w:pPr>
              <w:rPr>
                <w:rFonts w:ascii="Times New Roman" w:hAnsi="Times New Roman" w:cs="Times New Roman"/>
              </w:rPr>
            </w:pPr>
            <w:r w:rsidRPr="00CB2EC4">
              <w:rPr>
                <w:rFonts w:ascii="Times New Roman" w:hAnsi="Times New Roman" w:cs="Times New Roman"/>
              </w:rPr>
              <w:t>1. Laparotomy and uterine fixation: Perform laparotomy and fix the uterus to expose the surgical field.</w:t>
            </w:r>
            <w:r w:rsidRPr="00CB2EC4">
              <w:rPr>
                <w:rFonts w:ascii="Times New Roman" w:hAnsi="Times New Roman" w:cs="Times New Roman"/>
              </w:rPr>
              <w:br/>
              <w:t>2. Division of the round ligament of the uterus: Cut the round ligament of the uterus to prepare for subsequent steps.</w:t>
            </w:r>
            <w:r w:rsidRPr="00CB2EC4">
              <w:rPr>
                <w:rFonts w:ascii="Times New Roman" w:hAnsi="Times New Roman" w:cs="Times New Roman"/>
              </w:rPr>
              <w:br/>
              <w:t>3. Incision and dissection of the iliac fossa peritoneum: Incise the iliac fossa peritoneum to expose pelvic structures.</w:t>
            </w:r>
            <w:r w:rsidRPr="00CB2EC4">
              <w:rPr>
                <w:rFonts w:ascii="Times New Roman" w:hAnsi="Times New Roman" w:cs="Times New Roman"/>
              </w:rPr>
              <w:br/>
              <w:t xml:space="preserve">4. Development of the bladder lateral space: Dissect the bladder lateral space to reveal relevant anatomical </w:t>
            </w:r>
            <w:r w:rsidRPr="00CB2EC4">
              <w:rPr>
                <w:rFonts w:ascii="Times New Roman" w:hAnsi="Times New Roman" w:cs="Times New Roman"/>
              </w:rPr>
              <w:lastRenderedPageBreak/>
              <w:t>areas.</w:t>
            </w:r>
            <w:r w:rsidRPr="00CB2EC4">
              <w:rPr>
                <w:rFonts w:ascii="Times New Roman" w:hAnsi="Times New Roman" w:cs="Times New Roman"/>
              </w:rPr>
              <w:br/>
              <w:t>5. Attempted dissection of the ovarian fossa: Optional step to assess the bladder lateral space, transverse cervical ligament, and vascular relationships.</w:t>
            </w:r>
            <w:r w:rsidRPr="00CB2EC4">
              <w:rPr>
                <w:rFonts w:ascii="Times New Roman" w:hAnsi="Times New Roman" w:cs="Times New Roman"/>
              </w:rPr>
              <w:br/>
              <w:t>6. Pelvic lymph node dissection: Systematically dissect pelvic lymph nodes, including external iliac, inguinal, obturator, and internal iliac lymph nodes (specific sequence: strip vascular sheath of external iliac artery → dissect superficial external iliac lymph nodes → dissect inguinal lymph nodes → strip vascular sheath of external iliac vein → dissect deep external iliac lymph nodes → dissect obturator lymph nodes → dissect internal iliac lymph nodes).</w:t>
            </w:r>
            <w:r w:rsidRPr="00CB2EC4">
              <w:rPr>
                <w:rFonts w:ascii="Times New Roman" w:hAnsi="Times New Roman" w:cs="Times New Roman"/>
              </w:rPr>
              <w:br/>
              <w:t>7. Dissection of para-aortic lymph nodes and common iliac lymph nodes: Perform as needed for tumor staging assessment (optional step).</w:t>
            </w:r>
            <w:r w:rsidRPr="00CB2EC4">
              <w:rPr>
                <w:rFonts w:ascii="Times New Roman" w:hAnsi="Times New Roman" w:cs="Times New Roman"/>
              </w:rPr>
              <w:br/>
              <w:t>8. Development of the Latzko rectal lateral space: Expand the rectal lateral space to prepare for handling the transverse cervical ligament.</w:t>
            </w:r>
            <w:r w:rsidRPr="00CB2EC4">
              <w:rPr>
                <w:rFonts w:ascii="Times New Roman" w:hAnsi="Times New Roman" w:cs="Times New Roman"/>
              </w:rPr>
              <w:br/>
              <w:t>9. Management of the transverse cervical ligament: Dissect and divide the transverse cervical ligament following nerve-sparing principles (as described in Question 116).</w:t>
            </w:r>
            <w:r w:rsidRPr="00CB2EC4">
              <w:rPr>
                <w:rFonts w:ascii="Times New Roman" w:hAnsi="Times New Roman" w:cs="Times New Roman"/>
              </w:rPr>
              <w:br/>
              <w:t>10. Posterior maneuvers: Include development of the Okabayashi rectal lateral space, separation of the ureteral tunnel, division of the pelvic infundibular ligament, incision of the Douglas pouch peritoneum, dissection of the rectovaginal septum, dissection and division of the uterosacral ligament and rectouterine ligament.</w:t>
            </w:r>
            <w:r w:rsidRPr="00CB2EC4">
              <w:rPr>
                <w:rFonts w:ascii="Times New Roman" w:hAnsi="Times New Roman" w:cs="Times New Roman"/>
              </w:rPr>
              <w:br/>
              <w:t xml:space="preserve">11. Anterior maneuvers: Include dissection of the bladder, development of the vaginal lateral space, separation of the uterine artery, identification of the ureteral tunnel, division of the anterior and posterior </w:t>
            </w:r>
            <w:r w:rsidRPr="00CB2EC4">
              <w:rPr>
                <w:rFonts w:ascii="Times New Roman" w:hAnsi="Times New Roman" w:cs="Times New Roman"/>
              </w:rPr>
              <w:lastRenderedPageBreak/>
              <w:t>layers of the vesicouterine ligament.</w:t>
            </w:r>
            <w:r w:rsidRPr="00CB2EC4">
              <w:rPr>
                <w:rFonts w:ascii="Times New Roman" w:hAnsi="Times New Roman" w:cs="Times New Roman"/>
              </w:rPr>
              <w:br/>
              <w:t>12. Division of the uterine deep vein and ligaments: Final handling of the transverse cervical ligament, division of the rectovaginal ligament and vesicovaginal ligament.</w:t>
            </w:r>
            <w:r w:rsidRPr="00CB2EC4">
              <w:rPr>
                <w:rFonts w:ascii="Times New Roman" w:hAnsi="Times New Roman" w:cs="Times New Roman"/>
              </w:rPr>
              <w:br/>
              <w:t>13. Division of paravaginal connective tissue and vaginal closure: Incise the vagina and suture the stump.</w:t>
            </w:r>
            <w:r w:rsidRPr="00CB2EC4">
              <w:rPr>
                <w:rFonts w:ascii="Times New Roman" w:hAnsi="Times New Roman" w:cs="Times New Roman"/>
              </w:rPr>
              <w:br/>
              <w:t>14. Management of abdominal and pelvic peritoneum: Inspect and address the surgical field.</w:t>
            </w:r>
            <w:r w:rsidRPr="00CB2EC4">
              <w:rPr>
                <w:rFonts w:ascii="Times New Roman" w:hAnsi="Times New Roman" w:cs="Times New Roman"/>
              </w:rPr>
              <w:br/>
              <w:t xml:space="preserve">(Source: Document sections with similarity 0.455 and 0.493 describing the surgical sequence: "4 Surgical sequence </w:t>
            </w:r>
            <w:r w:rsidRPr="00CB2EC4">
              <w:rPr>
                <w:rFonts w:ascii="宋体" w:eastAsia="宋体" w:hAnsi="宋体" w:cs="宋体" w:hint="eastAsia"/>
              </w:rPr>
              <w:t>①</w:t>
            </w:r>
            <w:r w:rsidRPr="00CB2EC4">
              <w:rPr>
                <w:rFonts w:ascii="Times New Roman" w:hAnsi="Times New Roman" w:cs="Times New Roman"/>
              </w:rPr>
              <w:t xml:space="preserve"> Laparotomy. </w:t>
            </w:r>
            <w:r w:rsidRPr="00CB2EC4">
              <w:rPr>
                <w:rFonts w:ascii="宋体" w:eastAsia="宋体" w:hAnsi="宋体" w:cs="宋体" w:hint="eastAsia"/>
              </w:rPr>
              <w:t>②</w:t>
            </w:r>
            <w:r w:rsidRPr="00CB2EC4">
              <w:rPr>
                <w:rFonts w:ascii="Times New Roman" w:hAnsi="Times New Roman" w:cs="Times New Roman"/>
              </w:rPr>
              <w:t xml:space="preserve"> Division of the round ligament of the uterus. </w:t>
            </w:r>
            <w:r w:rsidRPr="00CB2EC4">
              <w:rPr>
                <w:rFonts w:ascii="宋体" w:eastAsia="宋体" w:hAnsi="宋体" w:cs="宋体" w:hint="eastAsia"/>
              </w:rPr>
              <w:t>③</w:t>
            </w:r>
            <w:r w:rsidRPr="00CB2EC4">
              <w:rPr>
                <w:rFonts w:ascii="Times New Roman" w:hAnsi="Times New Roman" w:cs="Times New Roman"/>
              </w:rPr>
              <w:t xml:space="preserve"> Incision of the iliac fossa peritoneum. </w:t>
            </w:r>
            <w:r w:rsidRPr="00CB2EC4">
              <w:rPr>
                <w:rFonts w:ascii="宋体" w:eastAsia="宋体" w:hAnsi="宋体" w:cs="宋体" w:hint="eastAsia"/>
              </w:rPr>
              <w:t>④</w:t>
            </w:r>
            <w:r w:rsidRPr="00CB2EC4">
              <w:rPr>
                <w:rFonts w:ascii="Times New Roman" w:hAnsi="Times New Roman" w:cs="Times New Roman"/>
              </w:rPr>
              <w:t xml:space="preserve"> Development of the bladder lateral space. </w:t>
            </w:r>
            <w:r w:rsidRPr="00CB2EC4">
              <w:rPr>
                <w:rFonts w:ascii="宋体" w:eastAsia="宋体" w:hAnsi="宋体" w:cs="宋体" w:hint="eastAsia"/>
              </w:rPr>
              <w:t>⑤</w:t>
            </w:r>
            <w:r w:rsidRPr="00CB2EC4">
              <w:rPr>
                <w:rFonts w:ascii="Times New Roman" w:hAnsi="Times New Roman" w:cs="Times New Roman"/>
              </w:rPr>
              <w:t xml:space="preserve"> Attempted dissection of the ovarian fossa. </w:t>
            </w:r>
            <w:r w:rsidRPr="00CB2EC4">
              <w:rPr>
                <w:rFonts w:ascii="宋体" w:eastAsia="宋体" w:hAnsi="宋体" w:cs="宋体" w:hint="eastAsia"/>
              </w:rPr>
              <w:t>⑥</w:t>
            </w:r>
            <w:r w:rsidRPr="00CB2EC4">
              <w:rPr>
                <w:rFonts w:ascii="Times New Roman" w:hAnsi="Times New Roman" w:cs="Times New Roman"/>
              </w:rPr>
              <w:t xml:space="preserve"> Pelvic lymph node dissection. </w:t>
            </w:r>
            <w:r w:rsidRPr="00CB2EC4">
              <w:rPr>
                <w:rFonts w:ascii="宋体" w:eastAsia="宋体" w:hAnsi="宋体" w:cs="宋体" w:hint="eastAsia"/>
              </w:rPr>
              <w:t>⑦</w:t>
            </w:r>
            <w:r w:rsidRPr="00CB2EC4">
              <w:rPr>
                <w:rFonts w:ascii="Times New Roman" w:hAnsi="Times New Roman" w:cs="Times New Roman"/>
              </w:rPr>
              <w:t xml:space="preserve"> Dissection of para-aortic lymph nodes and common iliac lymph nodes: performed as necessary. </w:t>
            </w:r>
            <w:r w:rsidRPr="00CB2EC4">
              <w:rPr>
                <w:rFonts w:ascii="宋体" w:eastAsia="宋体" w:hAnsi="宋体" w:cs="宋体" w:hint="eastAsia"/>
              </w:rPr>
              <w:t>⑧</w:t>
            </w:r>
            <w:r w:rsidRPr="00CB2EC4">
              <w:rPr>
                <w:rFonts w:ascii="Times New Roman" w:hAnsi="Times New Roman" w:cs="Times New Roman"/>
              </w:rPr>
              <w:t xml:space="preserve"> Development of the Latzko rectal lateral space. </w:t>
            </w:r>
            <w:r w:rsidRPr="00CB2EC4">
              <w:rPr>
                <w:rFonts w:ascii="宋体" w:eastAsia="宋体" w:hAnsi="宋体" w:cs="宋体" w:hint="eastAsia"/>
              </w:rPr>
              <w:t>⑨</w:t>
            </w:r>
            <w:r w:rsidRPr="00CB2EC4">
              <w:rPr>
                <w:rFonts w:ascii="Times New Roman" w:hAnsi="Times New Roman" w:cs="Times New Roman"/>
              </w:rPr>
              <w:t xml:space="preserve"> Opening of the bladder..." combined with additional step details.)</w:t>
            </w:r>
          </w:p>
        </w:tc>
        <w:tc>
          <w:tcPr>
            <w:tcW w:w="1152" w:type="dxa"/>
            <w:vAlign w:val="center"/>
          </w:tcPr>
          <w:p w14:paraId="1EA7B4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2D383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7798A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E66724F" w14:textId="77777777">
        <w:tc>
          <w:tcPr>
            <w:tcW w:w="2160" w:type="dxa"/>
            <w:vAlign w:val="center"/>
          </w:tcPr>
          <w:p w14:paraId="2786E8C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7D9BC99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and uterine fixation: expose the surgical field.  </w:t>
            </w:r>
            <w:r w:rsidRPr="00CB2EC4">
              <w:rPr>
                <w:rFonts w:ascii="Times New Roman" w:hAnsi="Times New Roman" w:cs="Times New Roman"/>
              </w:rPr>
              <w:br/>
              <w:t xml:space="preserve">2. Division of the round ligaments of the uterus: create space for subsequent procedures.  </w:t>
            </w:r>
            <w:r w:rsidRPr="00CB2EC4">
              <w:rPr>
                <w:rFonts w:ascii="Times New Roman" w:hAnsi="Times New Roman" w:cs="Times New Roman"/>
              </w:rPr>
              <w:br/>
              <w:t xml:space="preserve">3. Incision of the iliac fossa peritoneum and opening of spaces: including opening the lateral bladder space, developing the Latzko rectal lateral space, the Gunning rectal lateral space, and other six spaces to expose ligamentous structures.  </w:t>
            </w:r>
            <w:r w:rsidRPr="00CB2EC4">
              <w:rPr>
                <w:rFonts w:ascii="Times New Roman" w:hAnsi="Times New Roman" w:cs="Times New Roman"/>
              </w:rPr>
              <w:br/>
              <w:t xml:space="preserve">4. Pelvic lymphadenectomy: sequentially dissect lymph nodes (e.g., external iliac, obturator, internal iliac lymph nodes), with emphasis on preserving nerve </w:t>
            </w:r>
            <w:r w:rsidRPr="00CB2EC4">
              <w:rPr>
                <w:rFonts w:ascii="Times New Roman" w:hAnsi="Times New Roman" w:cs="Times New Roman"/>
              </w:rPr>
              <w:lastRenderedPageBreak/>
              <w:t xml:space="preserve">regions.  </w:t>
            </w:r>
            <w:r w:rsidRPr="00CB2EC4">
              <w:rPr>
                <w:rFonts w:ascii="Times New Roman" w:hAnsi="Times New Roman" w:cs="Times New Roman"/>
              </w:rPr>
              <w:br/>
              <w:t xml:space="preserve">5. Dissection and division of ligaments:  </w:t>
            </w:r>
            <w:r w:rsidRPr="00CB2EC4">
              <w:rPr>
                <w:rFonts w:ascii="Times New Roman" w:hAnsi="Times New Roman" w:cs="Times New Roman"/>
              </w:rPr>
              <w:br/>
              <w:t xml:space="preserve">   - Separate the transverse cervical ligament into fascial and vascular parts, sequentially divide vessels (avoid clamping en bloc).  </w:t>
            </w:r>
            <w:r w:rsidRPr="00CB2EC4">
              <w:rPr>
                <w:rFonts w:ascii="Times New Roman" w:hAnsi="Times New Roman" w:cs="Times New Roman"/>
              </w:rPr>
              <w:br/>
              <w:t xml:space="preserve">   - Divide the anterior and posterior layers of the vesicouterine ligament, preserving the bladder nerve branches.  </w:t>
            </w:r>
            <w:r w:rsidRPr="00CB2EC4">
              <w:rPr>
                <w:rFonts w:ascii="Times New Roman" w:hAnsi="Times New Roman" w:cs="Times New Roman"/>
              </w:rPr>
              <w:br/>
              <w:t xml:space="preserve">   - Address the deep uterine vein and the rectouterine ligament.  </w:t>
            </w:r>
            <w:r w:rsidRPr="00CB2EC4">
              <w:rPr>
                <w:rFonts w:ascii="Times New Roman" w:hAnsi="Times New Roman" w:cs="Times New Roman"/>
              </w:rPr>
              <w:br/>
              <w:t xml:space="preserve">6. Nerve preservation maneuvers: during ligament dissection, identify and protect the pelvic plexus and its bladder branches (e.g., via anatomical localization to avoid transection).  </w:t>
            </w:r>
            <w:r w:rsidRPr="00CB2EC4">
              <w:rPr>
                <w:rFonts w:ascii="Times New Roman" w:hAnsi="Times New Roman" w:cs="Times New Roman"/>
              </w:rPr>
              <w:br/>
              <w:t xml:space="preserve">7. Vaginal transection and suturing: after confirming nerve preservation, transect the vagina and suture the stump.  </w:t>
            </w:r>
            <w:r w:rsidRPr="00CB2EC4">
              <w:rPr>
                <w:rFonts w:ascii="Times New Roman" w:hAnsi="Times New Roman" w:cs="Times New Roman"/>
              </w:rPr>
              <w:br/>
              <w:t xml:space="preserve">8. Abdominal closure and drainage: place a drain tube and close the abdominal cavity.  </w:t>
            </w:r>
            <w:r w:rsidRPr="00CB2EC4">
              <w:rPr>
                <w:rFonts w:ascii="Times New Roman" w:hAnsi="Times New Roman" w:cs="Times New Roman"/>
              </w:rPr>
              <w:br/>
              <w:t>Rationale: This procedure is based on detailed descriptions in Fragment 2 and Fragment 21, emphasizing systematic nerve preservation during ligament dissection and lymphadenectomy (main text content of Fragment 2).</w:t>
            </w:r>
          </w:p>
        </w:tc>
        <w:tc>
          <w:tcPr>
            <w:tcW w:w="1152" w:type="dxa"/>
            <w:vAlign w:val="center"/>
          </w:tcPr>
          <w:p w14:paraId="5C9291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DDB69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56428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7B9D638" w14:textId="77777777">
        <w:tc>
          <w:tcPr>
            <w:tcW w:w="2160" w:type="dxa"/>
            <w:vAlign w:val="center"/>
          </w:tcPr>
          <w:p w14:paraId="4B3C155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B0C9ABA" w14:textId="77777777" w:rsidR="00922249" w:rsidRPr="00CB2EC4" w:rsidRDefault="003011D5">
            <w:pPr>
              <w:rPr>
                <w:rFonts w:ascii="Times New Roman" w:hAnsi="Times New Roman" w:cs="Times New Roman"/>
              </w:rPr>
            </w:pPr>
            <w:r w:rsidRPr="00CB2EC4">
              <w:rPr>
                <w:rFonts w:ascii="Times New Roman" w:hAnsi="Times New Roman" w:cs="Times New Roman"/>
              </w:rPr>
              <w:t>surgical procedure for nerve-sparing radical hysterectomy:</w:t>
            </w:r>
            <w:r w:rsidRPr="00CB2EC4">
              <w:rPr>
                <w:rFonts w:ascii="Times New Roman" w:hAnsi="Times New Roman" w:cs="Times New Roman"/>
              </w:rPr>
              <w:br/>
            </w:r>
            <w:r w:rsidRPr="00CB2EC4">
              <w:rPr>
                <w:rFonts w:ascii="Times New Roman" w:hAnsi="Times New Roman" w:cs="Times New Roman"/>
              </w:rPr>
              <w:br/>
              <w:t xml:space="preserve">1.  Laparotomy and uterine fixation  </w:t>
            </w:r>
            <w:r w:rsidRPr="00CB2EC4">
              <w:rPr>
                <w:rFonts w:ascii="Times New Roman" w:hAnsi="Times New Roman" w:cs="Times New Roman"/>
              </w:rPr>
              <w:br/>
              <w:t xml:space="preserve">2.  Dissection and division of uterine artery  </w:t>
            </w:r>
            <w:r w:rsidRPr="00CB2EC4">
              <w:rPr>
                <w:rFonts w:ascii="Times New Roman" w:hAnsi="Times New Roman" w:cs="Times New Roman"/>
              </w:rPr>
              <w:br/>
              <w:t xml:space="preserve">3.  Opening of rectal lateral space, dissection of posterior (lower) part of ureter, development of ureteral tunnel  </w:t>
            </w:r>
            <w:r w:rsidRPr="00CB2EC4">
              <w:rPr>
                <w:rFonts w:ascii="Times New Roman" w:hAnsi="Times New Roman" w:cs="Times New Roman"/>
              </w:rPr>
              <w:br/>
              <w:t xml:space="preserve">4.  Dissection and ligation of uterine deep vein  </w:t>
            </w:r>
            <w:r w:rsidRPr="00CB2EC4">
              <w:rPr>
                <w:rFonts w:ascii="Times New Roman" w:hAnsi="Times New Roman" w:cs="Times New Roman"/>
              </w:rPr>
              <w:br/>
              <w:t xml:space="preserve">5.  Dissection and division of infundibulopelvic </w:t>
            </w:r>
            <w:r w:rsidRPr="00CB2EC4">
              <w:rPr>
                <w:rFonts w:ascii="Times New Roman" w:hAnsi="Times New Roman" w:cs="Times New Roman"/>
              </w:rPr>
              <w:lastRenderedPageBreak/>
              <w:t xml:space="preserve">ligament  </w:t>
            </w:r>
            <w:r w:rsidRPr="00CB2EC4">
              <w:rPr>
                <w:rFonts w:ascii="Times New Roman" w:hAnsi="Times New Roman" w:cs="Times New Roman"/>
              </w:rPr>
              <w:br/>
              <w:t xml:space="preserve">6.  Incision of Douglas’ peritoneum, dissection of rectovaginal septum  </w:t>
            </w:r>
            <w:r w:rsidRPr="00CB2EC4">
              <w:rPr>
                <w:rFonts w:ascii="Times New Roman" w:hAnsi="Times New Roman" w:cs="Times New Roman"/>
              </w:rPr>
              <w:br/>
              <w:t xml:space="preserve">7.  Dissection and division of cardinal ligaments and rectouterine ligaments  </w:t>
            </w:r>
            <w:r w:rsidRPr="00CB2EC4">
              <w:rPr>
                <w:rFonts w:ascii="Times New Roman" w:hAnsi="Times New Roman" w:cs="Times New Roman"/>
              </w:rPr>
              <w:br/>
              <w:t xml:space="preserve">8.  Bladder dissection  </w:t>
            </w:r>
            <w:r w:rsidRPr="00CB2EC4">
              <w:rPr>
                <w:rFonts w:ascii="Times New Roman" w:hAnsi="Times New Roman" w:cs="Times New Roman"/>
              </w:rPr>
              <w:br/>
              <w:t xml:space="preserve">9.  Opening of vaginal lateral space  </w:t>
            </w:r>
            <w:r w:rsidRPr="00CB2EC4">
              <w:rPr>
                <w:rFonts w:ascii="Times New Roman" w:hAnsi="Times New Roman" w:cs="Times New Roman"/>
              </w:rPr>
              <w:br/>
              <w:t xml:space="preserve">10. Exposure and opening of ureteral tunnel  </w:t>
            </w:r>
            <w:r w:rsidRPr="00CB2EC4">
              <w:rPr>
                <w:rFonts w:ascii="Times New Roman" w:hAnsi="Times New Roman" w:cs="Times New Roman"/>
              </w:rPr>
              <w:br/>
              <w:t xml:space="preserve">11. Dissection and division of anterior layer of vesicouterine ligament (roof of ureteral tunnel)  </w:t>
            </w:r>
            <w:r w:rsidRPr="00CB2EC4">
              <w:rPr>
                <w:rFonts w:ascii="Times New Roman" w:hAnsi="Times New Roman" w:cs="Times New Roman"/>
              </w:rPr>
              <w:br/>
              <w:t xml:space="preserve">12. Dissection of anterior (upper) segment of ureter  </w:t>
            </w:r>
            <w:r w:rsidRPr="00CB2EC4">
              <w:rPr>
                <w:rFonts w:ascii="Times New Roman" w:hAnsi="Times New Roman" w:cs="Times New Roman"/>
              </w:rPr>
              <w:br/>
              <w:t xml:space="preserve">13. Dissection and division of posterior layer of vesicouterine ligament  </w:t>
            </w:r>
            <w:r w:rsidRPr="00CB2EC4">
              <w:rPr>
                <w:rFonts w:ascii="Times New Roman" w:hAnsi="Times New Roman" w:cs="Times New Roman"/>
              </w:rPr>
              <w:br/>
              <w:t xml:space="preserve">14. Dissection and division of uterine deep vein  </w:t>
            </w:r>
            <w:r w:rsidRPr="00CB2EC4">
              <w:rPr>
                <w:rFonts w:ascii="Times New Roman" w:hAnsi="Times New Roman" w:cs="Times New Roman"/>
              </w:rPr>
              <w:br/>
              <w:t xml:space="preserve">15. Division of rectovaginal ligament  </w:t>
            </w:r>
            <w:r w:rsidRPr="00CB2EC4">
              <w:rPr>
                <w:rFonts w:ascii="Times New Roman" w:hAnsi="Times New Roman" w:cs="Times New Roman"/>
              </w:rPr>
              <w:br/>
              <w:t xml:space="preserve">16. Division of paravaginal tissue  </w:t>
            </w:r>
            <w:r w:rsidRPr="00CB2EC4">
              <w:rPr>
                <w:rFonts w:ascii="Times New Roman" w:hAnsi="Times New Roman" w:cs="Times New Roman"/>
              </w:rPr>
              <w:br/>
              <w:t xml:space="preserve">17. Division and suturing of vagina  </w:t>
            </w:r>
            <w:r w:rsidRPr="00CB2EC4">
              <w:rPr>
                <w:rFonts w:ascii="Times New Roman" w:hAnsi="Times New Roman" w:cs="Times New Roman"/>
              </w:rPr>
              <w:br/>
              <w:t xml:space="preserve">18. Placement of drain  </w:t>
            </w:r>
            <w:r w:rsidRPr="00CB2EC4">
              <w:rPr>
                <w:rFonts w:ascii="Times New Roman" w:hAnsi="Times New Roman" w:cs="Times New Roman"/>
              </w:rPr>
              <w:br/>
              <w:t xml:space="preserve">19. Abdominal closure  </w:t>
            </w:r>
            <w:r w:rsidRPr="00CB2EC4">
              <w:rPr>
                <w:rFonts w:ascii="Times New Roman" w:hAnsi="Times New Roman" w:cs="Times New Roman"/>
              </w:rPr>
              <w:br/>
            </w:r>
            <w:r w:rsidRPr="00CB2EC4">
              <w:rPr>
                <w:rFonts w:ascii="Times New Roman" w:hAnsi="Times New Roman" w:cs="Times New Roman"/>
              </w:rPr>
              <w:br/>
              <w:t>This procedure emphasizes nerve preservation (e.g., avoiding injury to the hypogastric nerve and pelvic splanchnic nerves), based on the detailed description in fragment 26.</w:t>
            </w:r>
          </w:p>
        </w:tc>
        <w:tc>
          <w:tcPr>
            <w:tcW w:w="1152" w:type="dxa"/>
            <w:vAlign w:val="center"/>
          </w:tcPr>
          <w:p w14:paraId="0D98BA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741F2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7F972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41C5F50" w14:textId="77777777">
        <w:tc>
          <w:tcPr>
            <w:tcW w:w="2160" w:type="dxa"/>
            <w:vAlign w:val="center"/>
          </w:tcPr>
          <w:p w14:paraId="6F5BF52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5D834E7" w14:textId="77777777" w:rsidR="00922249" w:rsidRPr="00CB2EC4" w:rsidRDefault="003011D5">
            <w:pPr>
              <w:rPr>
                <w:rFonts w:ascii="Times New Roman" w:hAnsi="Times New Roman" w:cs="Times New Roman"/>
              </w:rPr>
            </w:pPr>
            <w:r w:rsidRPr="00CB2EC4">
              <w:rPr>
                <w:rFonts w:ascii="Times New Roman" w:hAnsi="Times New Roman" w:cs="Times New Roman"/>
              </w:rPr>
              <w:t>surgical procedure for nerve-sparing radical hysterectomy:</w:t>
            </w:r>
            <w:r w:rsidRPr="00CB2EC4">
              <w:rPr>
                <w:rFonts w:ascii="Times New Roman" w:hAnsi="Times New Roman" w:cs="Times New Roman"/>
              </w:rPr>
              <w:br/>
            </w:r>
            <w:r w:rsidRPr="00CB2EC4">
              <w:rPr>
                <w:rFonts w:ascii="Times New Roman" w:hAnsi="Times New Roman" w:cs="Times New Roman"/>
              </w:rPr>
              <w:br/>
              <w:t xml:space="preserve">The surgical procedure for nerve-sparing radical hysterectomy is based on standardized steps, aiming to remove tumor tissue while preserving pelvic autonomic nerves (such as the pelvic splanchnic nerves and the inferior hypogastric plexus). The procedure is outlined as follows:  </w:t>
            </w:r>
            <w:r w:rsidRPr="00CB2EC4">
              <w:rPr>
                <w:rFonts w:ascii="Times New Roman" w:hAnsi="Times New Roman" w:cs="Times New Roman"/>
              </w:rPr>
              <w:br/>
              <w:t xml:space="preserve">1. Preoperative preparation: The patient begins a </w:t>
            </w:r>
            <w:r w:rsidRPr="00CB2EC4">
              <w:rPr>
                <w:rFonts w:ascii="Times New Roman" w:hAnsi="Times New Roman" w:cs="Times New Roman"/>
              </w:rPr>
              <w:lastRenderedPageBreak/>
              <w:t xml:space="preserve">residue-free diet one day before surgery. On the day of surgery, a urinary catheter is placed (balloon fixation, removed 7–10 days postoperatively). Antibiotic prophylaxis is used to prevent infection (especially when suspected lesion infection is present).  </w:t>
            </w:r>
            <w:r w:rsidRPr="00CB2EC4">
              <w:rPr>
                <w:rFonts w:ascii="Times New Roman" w:hAnsi="Times New Roman" w:cs="Times New Roman"/>
              </w:rPr>
              <w:br/>
              <w:t xml:space="preserve">2. Laparotomy and exploration: Establish pneumoperitoneum (intra-abdominal pressure 15 mmHg), insert trocars, perform comprehensive exploration of the pelvic and abdominal cavities, and assess lymph node metastasis. Suspicious lymph nodes are sent for frozen section pathology; if positive, radical surgery is abandoned.  </w:t>
            </w:r>
            <w:r w:rsidRPr="00CB2EC4">
              <w:rPr>
                <w:rFonts w:ascii="Times New Roman" w:hAnsi="Times New Roman" w:cs="Times New Roman"/>
              </w:rPr>
              <w:br/>
              <w:t xml:space="preserve">3. Lymph node dissection:  </w:t>
            </w:r>
            <w:r w:rsidRPr="00CB2EC4">
              <w:rPr>
                <w:rFonts w:ascii="Times New Roman" w:hAnsi="Times New Roman" w:cs="Times New Roman"/>
              </w:rPr>
              <w:br/>
              <w:t xml:space="preserve">   - Sequence: Strip the vascular sheath of the external iliac artery → remove superficial inguinal lymph nodes → strip the vascular sheath of the external iliac vein → remove deep inguinal lymph nodes → remove obturator lymph nodes → remove internal iliac lymph nodes.  </w:t>
            </w:r>
            <w:r w:rsidRPr="00CB2EC4">
              <w:rPr>
                <w:rFonts w:ascii="Times New Roman" w:hAnsi="Times New Roman" w:cs="Times New Roman"/>
              </w:rPr>
              <w:br/>
              <w:t xml:space="preserve">   - Key point: Use ultrasonic shears or bipolar electrocautery scissors to avoid injury to vessels and nerves.  </w:t>
            </w:r>
            <w:r w:rsidRPr="00CB2EC4">
              <w:rPr>
                <w:rFonts w:ascii="Times New Roman" w:hAnsi="Times New Roman" w:cs="Times New Roman"/>
              </w:rPr>
              <w:br/>
              <w:t xml:space="preserve">4. Uterosacral ligament handling:  </w:t>
            </w:r>
            <w:r w:rsidRPr="00CB2EC4">
              <w:rPr>
                <w:rFonts w:ascii="Times New Roman" w:hAnsi="Times New Roman" w:cs="Times New Roman"/>
              </w:rPr>
              <w:br/>
              <w:t xml:space="preserve">   - Develop the Latzko rectal lateral space, separate the posterior fascia of the uterosacral ligament.  </w:t>
            </w:r>
            <w:r w:rsidRPr="00CB2EC4">
              <w:rPr>
                <w:rFonts w:ascii="Times New Roman" w:hAnsi="Times New Roman" w:cs="Times New Roman"/>
              </w:rPr>
              <w:br/>
              <w:t xml:space="preserve">   - Dissect the uterine artery, manage the anterior fascia of the uterosacral ligament.  </w:t>
            </w:r>
            <w:r w:rsidRPr="00CB2EC4">
              <w:rPr>
                <w:rFonts w:ascii="Times New Roman" w:hAnsi="Times New Roman" w:cs="Times New Roman"/>
              </w:rPr>
              <w:br/>
              <w:t xml:space="preserve">   - Clear the ligament origin, dissect and ligate the uterine deep veins (handle each vessel individually).  </w:t>
            </w:r>
            <w:r w:rsidRPr="00CB2EC4">
              <w:rPr>
                <w:rFonts w:ascii="Times New Roman" w:hAnsi="Times New Roman" w:cs="Times New Roman"/>
              </w:rPr>
              <w:br/>
              <w:t xml:space="preserve">5. Posterior procedure: Open the Okabayashi rectal lateral space, identify the entrance of the ureteral tunnel, dissect the ureteral plate, transect the infundibulopelvic ligament, incise the peritoneum of </w:t>
            </w:r>
            <w:r w:rsidRPr="00CB2EC4">
              <w:rPr>
                <w:rFonts w:ascii="Times New Roman" w:hAnsi="Times New Roman" w:cs="Times New Roman"/>
              </w:rPr>
              <w:lastRenderedPageBreak/>
              <w:t xml:space="preserve">the Douglas pouch, separate the rectovaginal septum, dissect and incise the uterosacral ligaments and rectouterine ligaments.  </w:t>
            </w:r>
            <w:r w:rsidRPr="00CB2EC4">
              <w:rPr>
                <w:rFonts w:ascii="Times New Roman" w:hAnsi="Times New Roman" w:cs="Times New Roman"/>
              </w:rPr>
              <w:br/>
              <w:t xml:space="preserve">6. Anterior procedure: Dissect the bladder, develop the vaginal lateral space, separate the uterine artery, identify the ureteral tunnel, transect the anterior and posterior layers of the vesicouterine ligament (pay attention to preserving nerve branches).  </w:t>
            </w:r>
            <w:r w:rsidRPr="00CB2EC4">
              <w:rPr>
                <w:rFonts w:ascii="Times New Roman" w:hAnsi="Times New Roman" w:cs="Times New Roman"/>
              </w:rPr>
              <w:br/>
              <w:t xml:space="preserve">7. Resection of uterus and vagina: Remove the uterus within the parametrial connective tissue range; vaginal resection length is determined by staging (typically ≥2 cm).  </w:t>
            </w:r>
            <w:r w:rsidRPr="00CB2EC4">
              <w:rPr>
                <w:rFonts w:ascii="Times New Roman" w:hAnsi="Times New Roman" w:cs="Times New Roman"/>
              </w:rPr>
              <w:br/>
              <w:t xml:space="preserve">8. Closure and postoperative care: Suture the pelvic peritoneum, prevent mesh exposure; urinary catheter remains in place for 2–5 days, postoperative bladder training is performed.  </w:t>
            </w:r>
            <w:r w:rsidRPr="00CB2EC4">
              <w:rPr>
                <w:rFonts w:ascii="Times New Roman" w:hAnsi="Times New Roman" w:cs="Times New Roman"/>
              </w:rPr>
              <w:br/>
            </w:r>
            <w:r w:rsidRPr="00CB2EC4">
              <w:rPr>
                <w:rFonts w:ascii="Times New Roman" w:hAnsi="Times New Roman" w:cs="Times New Roman"/>
              </w:rPr>
              <w:br/>
              <w:t xml:space="preserve">source analysis:  </w:t>
            </w:r>
            <w:r w:rsidRPr="00CB2EC4">
              <w:rPr>
                <w:rFonts w:ascii="Times New Roman" w:hAnsi="Times New Roman" w:cs="Times New Roman"/>
              </w:rPr>
              <w:br/>
              <w:t xml:space="preserve">- Knowledge base document: Detailed steps derived from "Chapter 4: Surgical Technique of Nerve-Sparing Radical Hysterectomy" and "Surgical Sequence" sections (e.g., laparotomy, lymph node dissection, uterosacral ligament handling).  </w:t>
            </w:r>
            <w:r w:rsidRPr="00CB2EC4">
              <w:rPr>
                <w:rFonts w:ascii="Times New Roman" w:hAnsi="Times New Roman" w:cs="Times New Roman"/>
              </w:rPr>
              <w:br/>
              <w:t xml:space="preserve">- Web search results: Supplement overall surgical benefits (e.g., reduced bladder dysfunction) and Q-M classification details (C1 type corresponds to nerve-sparing surgery), consistent with the knowledge base.  </w:t>
            </w:r>
            <w:r w:rsidRPr="00CB2EC4">
              <w:rPr>
                <w:rFonts w:ascii="Times New Roman" w:hAnsi="Times New Roman" w:cs="Times New Roman"/>
              </w:rPr>
              <w:br/>
              <w:t>- Synthesis: The knowledge base document provides specific procedural steps; web search results validate the modern application of the procedure (e.g., Q-M classification). No contradictory information; the procedure is based on indications for early cervical cancer (Ia2–IIa stages).</w:t>
            </w:r>
          </w:p>
        </w:tc>
        <w:tc>
          <w:tcPr>
            <w:tcW w:w="1152" w:type="dxa"/>
            <w:vAlign w:val="center"/>
          </w:tcPr>
          <w:p w14:paraId="42725F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8B56D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33505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356C129" w14:textId="77777777">
        <w:tc>
          <w:tcPr>
            <w:tcW w:w="2160" w:type="dxa"/>
            <w:vAlign w:val="center"/>
          </w:tcPr>
          <w:p w14:paraId="0F814A5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Document </w:t>
            </w:r>
            <w:r w:rsidRPr="00CB2EC4">
              <w:rPr>
                <w:rFonts w:ascii="Times New Roman" w:hAnsi="Times New Roman" w:cs="Times New Roman"/>
              </w:rPr>
              <w:lastRenderedPageBreak/>
              <w:t>Augmentation</w:t>
            </w:r>
          </w:p>
        </w:tc>
        <w:tc>
          <w:tcPr>
            <w:tcW w:w="5040" w:type="dxa"/>
            <w:vAlign w:val="center"/>
          </w:tcPr>
          <w:p w14:paraId="6E0CDF7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1. Laparotomy and uterine fixation: Open the </w:t>
            </w:r>
            <w:r w:rsidRPr="00CB2EC4">
              <w:rPr>
                <w:rFonts w:ascii="Times New Roman" w:hAnsi="Times New Roman" w:cs="Times New Roman"/>
              </w:rPr>
              <w:lastRenderedPageBreak/>
              <w:t xml:space="preserve">abdominal cavity and fix the position of the uterus.  </w:t>
            </w:r>
            <w:r w:rsidRPr="00CB2EC4">
              <w:rPr>
                <w:rFonts w:ascii="Times New Roman" w:hAnsi="Times New Roman" w:cs="Times New Roman"/>
              </w:rPr>
              <w:br/>
              <w:t xml:space="preserve">2. Division of the round ligament of the uterus: Cut the round ligament of the uterus to create space for subsequent procedures.  </w:t>
            </w:r>
            <w:r w:rsidRPr="00CB2EC4">
              <w:rPr>
                <w:rFonts w:ascii="Times New Roman" w:hAnsi="Times New Roman" w:cs="Times New Roman"/>
              </w:rPr>
              <w:br/>
              <w:t xml:space="preserve">3. Incision and dissection of the iliac fossa peritoneum: Incise the peritoneum over the iliac fossa region to expose pelvic structures.  </w:t>
            </w:r>
            <w:r w:rsidRPr="00CB2EC4">
              <w:rPr>
                <w:rFonts w:ascii="Times New Roman" w:hAnsi="Times New Roman" w:cs="Times New Roman"/>
              </w:rPr>
              <w:br/>
              <w:t xml:space="preserve">4. Development of the bladder lateral space: Dissect the lateral bladder space without extending to the bottom (above the levator ani fascia) to avoid injury to the obturator nerve.  </w:t>
            </w:r>
            <w:r w:rsidRPr="00CB2EC4">
              <w:rPr>
                <w:rFonts w:ascii="Times New Roman" w:hAnsi="Times New Roman" w:cs="Times New Roman"/>
              </w:rPr>
              <w:br/>
              <w:t xml:space="preserve">5. Pelvic lymphadenectomy:  </w:t>
            </w:r>
            <w:r w:rsidRPr="00CB2EC4">
              <w:rPr>
                <w:rFonts w:ascii="Times New Roman" w:hAnsi="Times New Roman" w:cs="Times New Roman"/>
              </w:rPr>
              <w:br/>
              <w:t xml:space="preserve">   - Dissect the vascular sheath of the external iliac vessels and remove superficial external iliac lymph nodes, inguinal lymph nodes, etc.  </w:t>
            </w:r>
            <w:r w:rsidRPr="00CB2EC4">
              <w:rPr>
                <w:rFonts w:ascii="Times New Roman" w:hAnsi="Times New Roman" w:cs="Times New Roman"/>
              </w:rPr>
              <w:br/>
              <w:t xml:space="preserve">   - Sequence includes: dissection of the external iliac artery vascular sheath, removal of superficial inguinal lymph nodes, dissection of the external iliac vein vascular sheath, removal of obturator lymph nodes, etc. (specific sequence refer to item 120).  </w:t>
            </w:r>
            <w:r w:rsidRPr="00CB2EC4">
              <w:rPr>
                <w:rFonts w:ascii="Times New Roman" w:hAnsi="Times New Roman" w:cs="Times New Roman"/>
              </w:rPr>
              <w:br/>
              <w:t xml:space="preserve">6. Development of the Latzko rectal lateral space: Dissect the rectal lateral space to the level of the deep uterine vein, separate the posterior fascia of the transverse cervical ligament.  </w:t>
            </w:r>
            <w:r w:rsidRPr="00CB2EC4">
              <w:rPr>
                <w:rFonts w:ascii="Times New Roman" w:hAnsi="Times New Roman" w:cs="Times New Roman"/>
              </w:rPr>
              <w:br/>
              <w:t xml:space="preserve">7. Incision of the vesicouterine peritoneum: Incise the peritoneal reflection over the bladder to prepare for anterior dissection.  </w:t>
            </w:r>
            <w:r w:rsidRPr="00CB2EC4">
              <w:rPr>
                <w:rFonts w:ascii="Times New Roman" w:hAnsi="Times New Roman" w:cs="Times New Roman"/>
              </w:rPr>
              <w:br/>
              <w:t xml:space="preserve">8. Isolation and division of the uterine artery: Thoroughly dissect around the uterine artery before division; the ureteric branch may be preserved.  </w:t>
            </w:r>
            <w:r w:rsidRPr="00CB2EC4">
              <w:rPr>
                <w:rFonts w:ascii="Times New Roman" w:hAnsi="Times New Roman" w:cs="Times New Roman"/>
              </w:rPr>
              <w:br/>
              <w:t xml:space="preserve">9. Development of the Okabayashi rectal lateral space: Dissect the rectal lateral space, separate the posterior ureter, and form the ureteric plate.  </w:t>
            </w:r>
            <w:r w:rsidRPr="00CB2EC4">
              <w:rPr>
                <w:rFonts w:ascii="Times New Roman" w:hAnsi="Times New Roman" w:cs="Times New Roman"/>
              </w:rPr>
              <w:br/>
              <w:t xml:space="preserve">10. Management of the transverse cervical ligament: </w:t>
            </w:r>
            <w:r w:rsidRPr="00CB2EC4">
              <w:rPr>
                <w:rFonts w:ascii="Times New Roman" w:hAnsi="Times New Roman" w:cs="Times New Roman"/>
              </w:rPr>
              <w:lastRenderedPageBreak/>
              <w:t xml:space="preserve">Separate the fascial and vascular components, divide the vessels individually (avoid clamping en bloc).  </w:t>
            </w:r>
            <w:r w:rsidRPr="00CB2EC4">
              <w:rPr>
                <w:rFonts w:ascii="Times New Roman" w:hAnsi="Times New Roman" w:cs="Times New Roman"/>
              </w:rPr>
              <w:br/>
              <w:t xml:space="preserve">11. Posterior dissection: Separate the rectovaginal septum, divide the uterosacral ligament and rectouterine ligament.  </w:t>
            </w:r>
            <w:r w:rsidRPr="00CB2EC4">
              <w:rPr>
                <w:rFonts w:ascii="Times New Roman" w:hAnsi="Times New Roman" w:cs="Times New Roman"/>
              </w:rPr>
              <w:br/>
              <w:t xml:space="preserve">12. Anterior dissection: Dissect the bladder, separate the ureteric tunnel, and divide the anterior and posterior layers of the vesicouterine ligament.  </w:t>
            </w:r>
            <w:r w:rsidRPr="00CB2EC4">
              <w:rPr>
                <w:rFonts w:ascii="Times New Roman" w:hAnsi="Times New Roman" w:cs="Times New Roman"/>
              </w:rPr>
              <w:br/>
              <w:t xml:space="preserve">13. Removal of the uterus and vagina: Transect the vagina and remove the uterus along with associated tissues.  </w:t>
            </w:r>
            <w:r w:rsidRPr="00CB2EC4">
              <w:rPr>
                <w:rFonts w:ascii="Times New Roman" w:hAnsi="Times New Roman" w:cs="Times New Roman"/>
              </w:rPr>
              <w:br/>
              <w:t xml:space="preserve">14. Pelvic floor reconstruction and closure: Suture the vaginal cuff, reconstruct the pelvic floor, and close the peritoneum to prevent adhesions.  </w:t>
            </w:r>
            <w:r w:rsidRPr="00CB2EC4">
              <w:rPr>
                <w:rFonts w:ascii="Times New Roman" w:hAnsi="Times New Roman" w:cs="Times New Roman"/>
              </w:rPr>
              <w:br/>
              <w:t>Based on: Document segment 5 ("Surgical Sequence" section), document segment 11 (directory structure), document segment 15 (transverse cervical ligament management), and document segment 25 (specific steps). The procedure integrates multiple segments to ensure nerve preservation (e.g., pelvic splanchnic nerves and bladder branches).</w:t>
            </w:r>
          </w:p>
        </w:tc>
        <w:tc>
          <w:tcPr>
            <w:tcW w:w="1152" w:type="dxa"/>
            <w:vAlign w:val="center"/>
          </w:tcPr>
          <w:p w14:paraId="7EE6A4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1544B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9CE88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50B2DF1" w14:textId="77777777">
        <w:tc>
          <w:tcPr>
            <w:tcW w:w="2160" w:type="dxa"/>
            <w:vAlign w:val="center"/>
          </w:tcPr>
          <w:p w14:paraId="023CF9A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7841E7C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and uterine fixation: Preoperative preparation includes a low-residue diet and enema (Document 4).  </w:t>
            </w:r>
            <w:r w:rsidRPr="00CB2EC4">
              <w:rPr>
                <w:rFonts w:ascii="Times New Roman" w:hAnsi="Times New Roman" w:cs="Times New Roman"/>
              </w:rPr>
              <w:br/>
              <w:t xml:space="preserve">2. Division of the round ligament of the uterus: Isolated and ligated.  </w:t>
            </w:r>
            <w:r w:rsidRPr="00CB2EC4">
              <w:rPr>
                <w:rFonts w:ascii="Times New Roman" w:hAnsi="Times New Roman" w:cs="Times New Roman"/>
              </w:rPr>
              <w:br/>
              <w:t xml:space="preserve">3. Incision and dissection of the iliac fossa peritoneum: To expose the surgical field.  </w:t>
            </w:r>
            <w:r w:rsidRPr="00CB2EC4">
              <w:rPr>
                <w:rFonts w:ascii="Times New Roman" w:hAnsi="Times New Roman" w:cs="Times New Roman"/>
              </w:rPr>
              <w:br/>
              <w:t xml:space="preserve">4. Opening of the lateral bladder space: Using a rectal hook or Cooper’s ligament retractor to avoid injury to the obturator nerve (Document 5).  </w:t>
            </w:r>
            <w:r w:rsidRPr="00CB2EC4">
              <w:rPr>
                <w:rFonts w:ascii="Times New Roman" w:hAnsi="Times New Roman" w:cs="Times New Roman"/>
              </w:rPr>
              <w:br/>
              <w:t xml:space="preserve">5. Attempted development of the ovarian fossa: Optional step for assessing anatomical relationships (Document 5).  </w:t>
            </w:r>
            <w:r w:rsidRPr="00CB2EC4">
              <w:rPr>
                <w:rFonts w:ascii="Times New Roman" w:hAnsi="Times New Roman" w:cs="Times New Roman"/>
              </w:rPr>
              <w:br/>
            </w:r>
            <w:r w:rsidRPr="00CB2EC4">
              <w:rPr>
                <w:rFonts w:ascii="Times New Roman" w:hAnsi="Times New Roman" w:cs="Times New Roman"/>
              </w:rPr>
              <w:lastRenderedPageBreak/>
              <w:t xml:space="preserve">6. Pelvic lymph node dissection: Sequentially including external iliac artery, inguinal, obturator, internal iliac, and transverse cervical ligament lymph nodes (Document 7), resected using an ultrasonic scalpel (Document 7).  </w:t>
            </w:r>
            <w:r w:rsidRPr="00CB2EC4">
              <w:rPr>
                <w:rFonts w:ascii="Times New Roman" w:hAnsi="Times New Roman" w:cs="Times New Roman"/>
              </w:rPr>
              <w:br/>
              <w:t xml:space="preserve">7. Opening of the Latzko rectal lateral space: Performed before dividing the transverse cervical ligament, involving dissection of the internal iliac artery and vein sheath (Document 6).  </w:t>
            </w:r>
            <w:r w:rsidRPr="00CB2EC4">
              <w:rPr>
                <w:rFonts w:ascii="Times New Roman" w:hAnsi="Times New Roman" w:cs="Times New Roman"/>
              </w:rPr>
              <w:br/>
              <w:t xml:space="preserve">8. Incision of the vesicouterine peritoneum: To separate the bladder.  </w:t>
            </w:r>
            <w:r w:rsidRPr="00CB2EC4">
              <w:rPr>
                <w:rFonts w:ascii="Times New Roman" w:hAnsi="Times New Roman" w:cs="Times New Roman"/>
              </w:rPr>
              <w:br/>
              <w:t xml:space="preserve">9. Dissection and division of the uterine artery: At the branching point from the internal iliac artery (Document 18).  </w:t>
            </w:r>
            <w:r w:rsidRPr="00CB2EC4">
              <w:rPr>
                <w:rFonts w:ascii="Times New Roman" w:hAnsi="Times New Roman" w:cs="Times New Roman"/>
              </w:rPr>
              <w:br/>
              <w:t xml:space="preserve">10. Opening of the Okabayashi rectal lateral space: Dissecting the posterior ureter to form the ureteric plate (Document 18).  </w:t>
            </w:r>
            <w:r w:rsidRPr="00CB2EC4">
              <w:rPr>
                <w:rFonts w:ascii="Times New Roman" w:hAnsi="Times New Roman" w:cs="Times New Roman"/>
              </w:rPr>
              <w:br/>
              <w:t xml:space="preserve">11. Division of the cardinal ligament and rectouterine ligament: Preserving nerve branches (e.g., pelvic plexus) (Document 5).  </w:t>
            </w:r>
            <w:r w:rsidRPr="00CB2EC4">
              <w:rPr>
                <w:rFonts w:ascii="Times New Roman" w:hAnsi="Times New Roman" w:cs="Times New Roman"/>
              </w:rPr>
              <w:br/>
              <w:t xml:space="preserve">12. Bladder dissection and formation of ureteric tunnel: Avoiding injury to the superior vesical vein (Document 18).  </w:t>
            </w:r>
            <w:r w:rsidRPr="00CB2EC4">
              <w:rPr>
                <w:rFonts w:ascii="Times New Roman" w:hAnsi="Times New Roman" w:cs="Times New Roman"/>
              </w:rPr>
              <w:br/>
              <w:t xml:space="preserve">13. Division of the posterior layer of the vesicouterine ligament: Preserving the bladder nerve branches (Document 2).  </w:t>
            </w:r>
            <w:r w:rsidRPr="00CB2EC4">
              <w:rPr>
                <w:rFonts w:ascii="Times New Roman" w:hAnsi="Times New Roman" w:cs="Times New Roman"/>
              </w:rPr>
              <w:br/>
              <w:t xml:space="preserve">14. Vaginal transection and suturing of the stump: Transverse incision, continuous suture, possibly covered with peritoneum (Document 17).  </w:t>
            </w:r>
            <w:r w:rsidRPr="00CB2EC4">
              <w:rPr>
                <w:rFonts w:ascii="Times New Roman" w:hAnsi="Times New Roman" w:cs="Times New Roman"/>
              </w:rPr>
              <w:br/>
              <w:t xml:space="preserve">15. Abdominal closure and drainage: Irrigation with normal saline, placement of a drain (Document 17).  </w:t>
            </w:r>
            <w:r w:rsidRPr="00CB2EC4">
              <w:rPr>
                <w:rFonts w:ascii="Times New Roman" w:hAnsi="Times New Roman" w:cs="Times New Roman"/>
              </w:rPr>
              <w:br/>
              <w:t xml:space="preserve">The entire procedure emphasizes preservation of the pelvic plexus and bladder nerve branches, utilizing instruments such as the ultrasonic scalpel and ureteric </w:t>
            </w:r>
            <w:r w:rsidRPr="00CB2EC4">
              <w:rPr>
                <w:rFonts w:ascii="Times New Roman" w:hAnsi="Times New Roman" w:cs="Times New Roman"/>
              </w:rPr>
              <w:lastRenderedPageBreak/>
              <w:t>hook (Document 4).</w:t>
            </w:r>
          </w:p>
        </w:tc>
        <w:tc>
          <w:tcPr>
            <w:tcW w:w="1152" w:type="dxa"/>
            <w:vAlign w:val="center"/>
          </w:tcPr>
          <w:p w14:paraId="1366EB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E5B31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7726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DE4F5FD" w14:textId="77777777">
        <w:tc>
          <w:tcPr>
            <w:tcW w:w="2160" w:type="dxa"/>
            <w:vAlign w:val="center"/>
          </w:tcPr>
          <w:p w14:paraId="78EE75C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6F293D7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w:t>
            </w:r>
            <w:r w:rsidRPr="00CB2EC4">
              <w:rPr>
                <w:rFonts w:ascii="Times New Roman" w:hAnsi="Times New Roman" w:cs="Times New Roman"/>
              </w:rPr>
              <w:br/>
              <w:t xml:space="preserve">2. Fixation of the uterus  </w:t>
            </w:r>
            <w:r w:rsidRPr="00CB2EC4">
              <w:rPr>
                <w:rFonts w:ascii="Times New Roman" w:hAnsi="Times New Roman" w:cs="Times New Roman"/>
              </w:rPr>
              <w:br/>
              <w:t xml:space="preserve">3. Division of the round ligaments of the uterus: Cut and ligate near the pelvic wall.  </w:t>
            </w:r>
            <w:r w:rsidRPr="00CB2EC4">
              <w:rPr>
                <w:rFonts w:ascii="Times New Roman" w:hAnsi="Times New Roman" w:cs="Times New Roman"/>
              </w:rPr>
              <w:br/>
              <w:t xml:space="preserve">4. Incision and dissection of the iliac fossa peritoneum: Expose pelvic structures.  </w:t>
            </w:r>
            <w:r w:rsidRPr="00CB2EC4">
              <w:rPr>
                <w:rFonts w:ascii="Times New Roman" w:hAnsi="Times New Roman" w:cs="Times New Roman"/>
              </w:rPr>
              <w:br/>
              <w:t xml:space="preserve">5. Development of the lateral bladder space: Dissect the space without reaching the bottom (above the levator ani fascia).  </w:t>
            </w:r>
            <w:r w:rsidRPr="00CB2EC4">
              <w:rPr>
                <w:rFonts w:ascii="Times New Roman" w:hAnsi="Times New Roman" w:cs="Times New Roman"/>
              </w:rPr>
              <w:br/>
              <w:t xml:space="preserve">6. Attempted development of the pre-ovarian fossa: Preliminary exploration of relevant spaces.  </w:t>
            </w:r>
            <w:r w:rsidRPr="00CB2EC4">
              <w:rPr>
                <w:rFonts w:ascii="Times New Roman" w:hAnsi="Times New Roman" w:cs="Times New Roman"/>
              </w:rPr>
              <w:br/>
              <w:t xml:space="preserve">7. Pelvic lymphadenectomy:  </w:t>
            </w:r>
            <w:r w:rsidRPr="00CB2EC4">
              <w:rPr>
                <w:rFonts w:ascii="Times New Roman" w:hAnsi="Times New Roman" w:cs="Times New Roman"/>
              </w:rPr>
              <w:br/>
              <w:t xml:space="preserve">   - Sequence: Begin at the common iliac artery, dissect superior-to-inferior and lateral-to-medial, including common iliac, external iliac, deep inguinal, internal iliac, and obturator lymph nodes.  </w:t>
            </w:r>
            <w:r w:rsidRPr="00CB2EC4">
              <w:rPr>
                <w:rFonts w:ascii="Times New Roman" w:hAnsi="Times New Roman" w:cs="Times New Roman"/>
              </w:rPr>
              <w:br/>
              <w:t xml:space="preserve">   - Technique: Use long curved scissors for separation; avoid forceful dissection of the vascular sheath to prevent vessel tearing.  </w:t>
            </w:r>
            <w:r w:rsidRPr="00CB2EC4">
              <w:rPr>
                <w:rFonts w:ascii="Times New Roman" w:hAnsi="Times New Roman" w:cs="Times New Roman"/>
              </w:rPr>
              <w:br/>
              <w:t xml:space="preserve">8. Development of the Latzko rectal lateral space: Dissect to the level of the deep uterine veins.  </w:t>
            </w:r>
            <w:r w:rsidRPr="00CB2EC4">
              <w:rPr>
                <w:rFonts w:ascii="Times New Roman" w:hAnsi="Times New Roman" w:cs="Times New Roman"/>
              </w:rPr>
              <w:br/>
              <w:t xml:space="preserve">9. Incision of the vesicouterine peritoneum: Separate the bladder.  </w:t>
            </w:r>
            <w:r w:rsidRPr="00CB2EC4">
              <w:rPr>
                <w:rFonts w:ascii="Times New Roman" w:hAnsi="Times New Roman" w:cs="Times New Roman"/>
              </w:rPr>
              <w:br/>
              <w:t xml:space="preserve">10. Dissection and division of the uterine arteries: Ligate at the branching point from the internal iliac artery and thoroughly clear surrounding tissue.  </w:t>
            </w:r>
            <w:r w:rsidRPr="00CB2EC4">
              <w:rPr>
                <w:rFonts w:ascii="Times New Roman" w:hAnsi="Times New Roman" w:cs="Times New Roman"/>
              </w:rPr>
              <w:br/>
              <w:t xml:space="preserve">11. Development of the Okabayashi rectal lateral space: Dissect the posterior ureter to form the ureteric plate.  </w:t>
            </w:r>
            <w:r w:rsidRPr="00CB2EC4">
              <w:rPr>
                <w:rFonts w:ascii="Times New Roman" w:hAnsi="Times New Roman" w:cs="Times New Roman"/>
              </w:rPr>
              <w:br/>
              <w:t xml:space="preserve">12. Dissection and ligation of the deep uterine veins: Ligate and divide before entry into the internal iliac vein to avoid venous congestion and cancer cell dissemination.  </w:t>
            </w:r>
            <w:r w:rsidRPr="00CB2EC4">
              <w:rPr>
                <w:rFonts w:ascii="Times New Roman" w:hAnsi="Times New Roman" w:cs="Times New Roman"/>
              </w:rPr>
              <w:br/>
            </w:r>
            <w:r w:rsidRPr="00CB2EC4">
              <w:rPr>
                <w:rFonts w:ascii="Times New Roman" w:hAnsi="Times New Roman" w:cs="Times New Roman"/>
              </w:rPr>
              <w:lastRenderedPageBreak/>
              <w:t xml:space="preserve">13. Dissection and division of the infundibulopelvic ligament: Preserve ovarian function (if applicable).  </w:t>
            </w:r>
            <w:r w:rsidRPr="00CB2EC4">
              <w:rPr>
                <w:rFonts w:ascii="Times New Roman" w:hAnsi="Times New Roman" w:cs="Times New Roman"/>
              </w:rPr>
              <w:br/>
              <w:t xml:space="preserve">14. Incision of the Douglas peritoneum, dissection of the rectovaginal septum: Expose the rectouterine ligaments.  </w:t>
            </w:r>
            <w:r w:rsidRPr="00CB2EC4">
              <w:rPr>
                <w:rFonts w:ascii="Times New Roman" w:hAnsi="Times New Roman" w:cs="Times New Roman"/>
              </w:rPr>
              <w:br/>
              <w:t xml:space="preserve">15. Dissection and division of the uterosacral and rectouterine ligaments: Preserve nerve branches.  </w:t>
            </w:r>
            <w:r w:rsidRPr="00CB2EC4">
              <w:rPr>
                <w:rFonts w:ascii="Times New Roman" w:hAnsi="Times New Roman" w:cs="Times New Roman"/>
              </w:rPr>
              <w:br/>
              <w:t xml:space="preserve">16. Bladder dissection: Push the bladder downward to expose the ureteric tunnel.  </w:t>
            </w:r>
            <w:r w:rsidRPr="00CB2EC4">
              <w:rPr>
                <w:rFonts w:ascii="Times New Roman" w:hAnsi="Times New Roman" w:cs="Times New Roman"/>
              </w:rPr>
              <w:br/>
              <w:t xml:space="preserve">17. Development of the lateral vaginal space: Dissect the space.  </w:t>
            </w:r>
            <w:r w:rsidRPr="00CB2EC4">
              <w:rPr>
                <w:rFonts w:ascii="Times New Roman" w:hAnsi="Times New Roman" w:cs="Times New Roman"/>
              </w:rPr>
              <w:br/>
              <w:t xml:space="preserve">18. Exposure and opening of the ureteric tunnel: Dissect the anterior layer of the vesicouterine ligament (roof of the ureteric tunnel).  </w:t>
            </w:r>
            <w:r w:rsidRPr="00CB2EC4">
              <w:rPr>
                <w:rFonts w:ascii="Times New Roman" w:hAnsi="Times New Roman" w:cs="Times New Roman"/>
              </w:rPr>
              <w:br/>
              <w:t xml:space="preserve">19. Mobilization of the anterior segment of the ureter: Expose the upper ureter.  </w:t>
            </w:r>
            <w:r w:rsidRPr="00CB2EC4">
              <w:rPr>
                <w:rFonts w:ascii="Times New Roman" w:hAnsi="Times New Roman" w:cs="Times New Roman"/>
              </w:rPr>
              <w:br/>
              <w:t xml:space="preserve">20. Dissection and division of the posterior layer of the vesicouterine ligament: Key step to preserve bladder nerve branches.  </w:t>
            </w:r>
            <w:r w:rsidRPr="00CB2EC4">
              <w:rPr>
                <w:rFonts w:ascii="Times New Roman" w:hAnsi="Times New Roman" w:cs="Times New Roman"/>
              </w:rPr>
              <w:br/>
              <w:t xml:space="preserve">21. Dissection and division of the deep uterine veins: Complete transection of the transverse cervical ligament.  </w:t>
            </w:r>
            <w:r w:rsidRPr="00CB2EC4">
              <w:rPr>
                <w:rFonts w:ascii="Times New Roman" w:hAnsi="Times New Roman" w:cs="Times New Roman"/>
              </w:rPr>
              <w:br/>
              <w:t xml:space="preserve">22. Division of the rectovaginal ligaments.  </w:t>
            </w:r>
            <w:r w:rsidRPr="00CB2EC4">
              <w:rPr>
                <w:rFonts w:ascii="Times New Roman" w:hAnsi="Times New Roman" w:cs="Times New Roman"/>
              </w:rPr>
              <w:br/>
              <w:t xml:space="preserve">23. Division of the paravaginal tissues.  </w:t>
            </w:r>
            <w:r w:rsidRPr="00CB2EC4">
              <w:rPr>
                <w:rFonts w:ascii="Times New Roman" w:hAnsi="Times New Roman" w:cs="Times New Roman"/>
              </w:rPr>
              <w:br/>
              <w:t xml:space="preserve">24. Division and suturing of the vagina: Transverse incision to detach the vagina, continuous closure with absorbable suture; cover with peritoneum if necessary (e.g., Dayvdov technique).  </w:t>
            </w:r>
            <w:r w:rsidRPr="00CB2EC4">
              <w:rPr>
                <w:rFonts w:ascii="Times New Roman" w:hAnsi="Times New Roman" w:cs="Times New Roman"/>
              </w:rPr>
              <w:br/>
              <w:t xml:space="preserve">25. Placement of a drain: Exit through the obturator fossa to the abdominal wall.  </w:t>
            </w:r>
            <w:r w:rsidRPr="00CB2EC4">
              <w:rPr>
                <w:rFonts w:ascii="Times New Roman" w:hAnsi="Times New Roman" w:cs="Times New Roman"/>
              </w:rPr>
              <w:br/>
              <w:t xml:space="preserve">26. Abdominal closure: Routine suturing of the abdominal wall.  </w:t>
            </w:r>
            <w:r w:rsidRPr="00CB2EC4">
              <w:rPr>
                <w:rFonts w:ascii="Times New Roman" w:hAnsi="Times New Roman" w:cs="Times New Roman"/>
              </w:rPr>
              <w:br/>
            </w:r>
            <w:r w:rsidRPr="00CB2EC4">
              <w:rPr>
                <w:rFonts w:ascii="Times New Roman" w:hAnsi="Times New Roman" w:cs="Times New Roman"/>
              </w:rPr>
              <w:br/>
              <w:t xml:space="preserve">This procedure emphasizes systematic anatomical </w:t>
            </w:r>
            <w:r w:rsidRPr="00CB2EC4">
              <w:rPr>
                <w:rFonts w:ascii="Times New Roman" w:hAnsi="Times New Roman" w:cs="Times New Roman"/>
              </w:rPr>
              <w:lastRenderedPageBreak/>
              <w:t>dissection, with a focus on preserving the pelvic plexus and bladder nerve branches (referencing the nerve-sparing objectives and surgical sequence in the source documents).</w:t>
            </w:r>
          </w:p>
        </w:tc>
        <w:tc>
          <w:tcPr>
            <w:tcW w:w="1152" w:type="dxa"/>
            <w:vAlign w:val="center"/>
          </w:tcPr>
          <w:p w14:paraId="1C27E6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1D222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8943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C24022" w14:textId="77777777">
        <w:tc>
          <w:tcPr>
            <w:tcW w:w="2160" w:type="dxa"/>
            <w:vAlign w:val="center"/>
          </w:tcPr>
          <w:p w14:paraId="03BDD6A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24E0CCA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and uterine fixation: Establish surgical access and fix the uterus to expose the operative field.  </w:t>
            </w:r>
            <w:r w:rsidRPr="00CB2EC4">
              <w:rPr>
                <w:rFonts w:ascii="Times New Roman" w:hAnsi="Times New Roman" w:cs="Times New Roman"/>
              </w:rPr>
              <w:br/>
              <w:t xml:space="preserve">2. Division of the round ligament: Cut the round ligament to facilitate subsequent steps.  </w:t>
            </w:r>
            <w:r w:rsidRPr="00CB2EC4">
              <w:rPr>
                <w:rFonts w:ascii="Times New Roman" w:hAnsi="Times New Roman" w:cs="Times New Roman"/>
              </w:rPr>
              <w:br/>
              <w:t xml:space="preserve">3. Incision and dissection of the iliac fossa peritoneum: Enter the retroperitoneal space to expose pelvic structures.  </w:t>
            </w:r>
            <w:r w:rsidRPr="00CB2EC4">
              <w:rPr>
                <w:rFonts w:ascii="Times New Roman" w:hAnsi="Times New Roman" w:cs="Times New Roman"/>
              </w:rPr>
              <w:br/>
              <w:t xml:space="preserve">4. Development of the bladder lateral space: Dissect the bladder lateral space without extending to the bottom (above the levator ani fascia) to avoid unnecessary injury.  </w:t>
            </w:r>
            <w:r w:rsidRPr="00CB2EC4">
              <w:rPr>
                <w:rFonts w:ascii="Times New Roman" w:hAnsi="Times New Roman" w:cs="Times New Roman"/>
              </w:rPr>
              <w:br/>
              <w:t xml:space="preserve">5. Attempted development of the ovarian anterior fossa: Explore the ovarian anterior fossa area in preparation for lymphadenectomy.  </w:t>
            </w:r>
            <w:r w:rsidRPr="00CB2EC4">
              <w:rPr>
                <w:rFonts w:ascii="Times New Roman" w:hAnsi="Times New Roman" w:cs="Times New Roman"/>
              </w:rPr>
              <w:br/>
              <w:t xml:space="preserve">6. Pelvic lymphadenectomy: Systematically dissect lymph nodes, including the common iliac, external iliac, and obturator groups, with attention to nerve preservation (e.g., obturator nerve). Specific steps include stripping the vascular sheath and removing lymph node adipose tissue (Document Fragment 16 and Document Fragment 6).  </w:t>
            </w:r>
            <w:r w:rsidRPr="00CB2EC4">
              <w:rPr>
                <w:rFonts w:ascii="Times New Roman" w:hAnsi="Times New Roman" w:cs="Times New Roman"/>
              </w:rPr>
              <w:br/>
              <w:t xml:space="preserve">7. Development of the Latzko rectal lateral space: Dissect the rectal lateral space to the level of the deep uterine vein to facilitate handling of the transverse cervical ligament.  </w:t>
            </w:r>
            <w:r w:rsidRPr="00CB2EC4">
              <w:rPr>
                <w:rFonts w:ascii="Times New Roman" w:hAnsi="Times New Roman" w:cs="Times New Roman"/>
              </w:rPr>
              <w:br/>
              <w:t xml:space="preserve">8. Isolation and division of the uterine artery: Mobilize the uterine artery at its origin from the internal iliac artery, thoroughly dissect surrounding tissue, then divide it, while preserving the ureteric branch.  </w:t>
            </w:r>
            <w:r w:rsidRPr="00CB2EC4">
              <w:rPr>
                <w:rFonts w:ascii="Times New Roman" w:hAnsi="Times New Roman" w:cs="Times New Roman"/>
              </w:rPr>
              <w:br/>
            </w:r>
            <w:r w:rsidRPr="00CB2EC4">
              <w:rPr>
                <w:rFonts w:ascii="Times New Roman" w:hAnsi="Times New Roman" w:cs="Times New Roman"/>
              </w:rPr>
              <w:lastRenderedPageBreak/>
              <w:t xml:space="preserve">9. Development of the Okabayashi rectal lateral space and posterior ureteral dissection: Form the ureteric plate in preparation for subsequent ligament management.  </w:t>
            </w:r>
            <w:r w:rsidRPr="00CB2EC4">
              <w:rPr>
                <w:rFonts w:ascii="Times New Roman" w:hAnsi="Times New Roman" w:cs="Times New Roman"/>
              </w:rPr>
              <w:br/>
              <w:t xml:space="preserve">10. Management of the transverse cervical ligament: Section the ligament according to the principles of Question 116, avoiding en bloc clamping.  </w:t>
            </w:r>
            <w:r w:rsidRPr="00CB2EC4">
              <w:rPr>
                <w:rFonts w:ascii="Times New Roman" w:hAnsi="Times New Roman" w:cs="Times New Roman"/>
              </w:rPr>
              <w:br/>
              <w:t xml:space="preserve">11. Division of the infundibulopelvic ligament and rectouterine ligament: Complete posterior dissection.  </w:t>
            </w:r>
            <w:r w:rsidRPr="00CB2EC4">
              <w:rPr>
                <w:rFonts w:ascii="Times New Roman" w:hAnsi="Times New Roman" w:cs="Times New Roman"/>
              </w:rPr>
              <w:br/>
              <w:t xml:space="preserve">12. Bladder mobilization and development of the vaginal lateral space: Perform anterior dissection, including ureteric tunnel separation.  </w:t>
            </w:r>
            <w:r w:rsidRPr="00CB2EC4">
              <w:rPr>
                <w:rFonts w:ascii="Times New Roman" w:hAnsi="Times New Roman" w:cs="Times New Roman"/>
              </w:rPr>
              <w:br/>
              <w:t xml:space="preserve">13. Final uterine removal and closure: Remove the uterus, suture the pelvic peritoneum, and prevent adhesions.  </w:t>
            </w:r>
            <w:r w:rsidRPr="00CB2EC4">
              <w:rPr>
                <w:rFonts w:ascii="Times New Roman" w:hAnsi="Times New Roman" w:cs="Times New Roman"/>
              </w:rPr>
              <w:br/>
              <w:t>The entire procedure emphasizes independent management of each ligament within six spaces (e.g., bladder lateral space, rectal lateral spaces), prioritizing the use of ultrasonic devices to preserve nerves (Document Fragment 16 and Document Fragment 23).</w:t>
            </w:r>
          </w:p>
        </w:tc>
        <w:tc>
          <w:tcPr>
            <w:tcW w:w="1152" w:type="dxa"/>
            <w:vAlign w:val="center"/>
          </w:tcPr>
          <w:p w14:paraId="5F1863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5A3C7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72CE1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1F7DFF1" w14:textId="77777777">
        <w:tc>
          <w:tcPr>
            <w:tcW w:w="2160" w:type="dxa"/>
            <w:vAlign w:val="center"/>
          </w:tcPr>
          <w:p w14:paraId="6A2329B9"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204821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Perform laparotomy and fix the uterus: After opening the abdomen, place a retractor to expose the surgical field and secure the uterus.  </w:t>
            </w:r>
            <w:r w:rsidRPr="00CB2EC4">
              <w:rPr>
                <w:rFonts w:ascii="Times New Roman" w:hAnsi="Times New Roman" w:cs="Times New Roman"/>
              </w:rPr>
              <w:br/>
              <w:t xml:space="preserve">2. Divide the round ligament of the uterus: Clamp, cut, and ligate the round ligament near the pelvic brim.  </w:t>
            </w:r>
            <w:r w:rsidRPr="00CB2EC4">
              <w:rPr>
                <w:rFonts w:ascii="Times New Roman" w:hAnsi="Times New Roman" w:cs="Times New Roman"/>
              </w:rPr>
              <w:br/>
              <w:t xml:space="preserve">3. Incise and dissect the peritoneum over the iliac fossa: Cut the posterior peritoneum to expose the ureter and vessels.  </w:t>
            </w:r>
            <w:r w:rsidRPr="00CB2EC4">
              <w:rPr>
                <w:rFonts w:ascii="Times New Roman" w:hAnsi="Times New Roman" w:cs="Times New Roman"/>
              </w:rPr>
              <w:br/>
              <w:t xml:space="preserve">4. Open the lateral vesical space: Develop the lateral vesical space without dissecting down to the basal layer (superficial to the levator ani fascia).  </w:t>
            </w:r>
            <w:r w:rsidRPr="00CB2EC4">
              <w:rPr>
                <w:rFonts w:ascii="Times New Roman" w:hAnsi="Times New Roman" w:cs="Times New Roman"/>
              </w:rPr>
              <w:br/>
              <w:t xml:space="preserve">5. Attempt to dissect the ovarian fossa (Latzko pararectal space): Open the pararectal space to the </w:t>
            </w:r>
            <w:r w:rsidRPr="00CB2EC4">
              <w:rPr>
                <w:rFonts w:ascii="Times New Roman" w:hAnsi="Times New Roman" w:cs="Times New Roman"/>
              </w:rPr>
              <w:lastRenderedPageBreak/>
              <w:t xml:space="preserve">level of the deep uterine vein.  </w:t>
            </w:r>
            <w:r w:rsidRPr="00CB2EC4">
              <w:rPr>
                <w:rFonts w:ascii="Times New Roman" w:hAnsi="Times New Roman" w:cs="Times New Roman"/>
              </w:rPr>
              <w:br/>
              <w:t xml:space="preserve">6. Pelvic lymphadenectomy: Sequentially dissect lymph nodes in the external iliac, obturator, and internal iliac regions, carefully protecting nerves when stripping vascular sheaths.  </w:t>
            </w:r>
            <w:r w:rsidRPr="00CB2EC4">
              <w:rPr>
                <w:rFonts w:ascii="Times New Roman" w:hAnsi="Times New Roman" w:cs="Times New Roman"/>
              </w:rPr>
              <w:br/>
              <w:t xml:space="preserve">7. Isolate and divide the uterine artery: After thorough dissection around the uterine artery, divide it while preserving the ureteral branch.  </w:t>
            </w:r>
            <w:r w:rsidRPr="00CB2EC4">
              <w:rPr>
                <w:rFonts w:ascii="Times New Roman" w:hAnsi="Times New Roman" w:cs="Times New Roman"/>
              </w:rPr>
              <w:br/>
              <w:t xml:space="preserve">8. Manage the transverse cervical ligament: Separate into fascial and vascular components, then divide the vessels individually to avoid clamping the entire structure (as described in Question 116).  </w:t>
            </w:r>
            <w:r w:rsidRPr="00CB2EC4">
              <w:rPr>
                <w:rFonts w:ascii="Times New Roman" w:hAnsi="Times New Roman" w:cs="Times New Roman"/>
              </w:rPr>
              <w:br/>
              <w:t xml:space="preserve">9. Dissect the ureter and ligaments: Form the ureteral plate, open the ureteral tunnel, and separate the anterior and posterior layers of the vesicouterine ligament.  </w:t>
            </w:r>
            <w:r w:rsidRPr="00CB2EC4">
              <w:rPr>
                <w:rFonts w:ascii="Times New Roman" w:hAnsi="Times New Roman" w:cs="Times New Roman"/>
              </w:rPr>
              <w:br/>
              <w:t xml:space="preserve">10. Divide the deep uterine vein: Ligate and divide the deep uterine vein before its junction with the internal iliac vein, dissecting down to the rectouterine ligament.  </w:t>
            </w:r>
            <w:r w:rsidRPr="00CB2EC4">
              <w:rPr>
                <w:rFonts w:ascii="Times New Roman" w:hAnsi="Times New Roman" w:cs="Times New Roman"/>
              </w:rPr>
              <w:br/>
              <w:t xml:space="preserve">11. Manage the cardinal ligament and rectouterine ligament: Divide between the transverse cervical ligament and the lateral rectal ligament while preserving nerves.  </w:t>
            </w:r>
            <w:r w:rsidRPr="00CB2EC4">
              <w:rPr>
                <w:rFonts w:ascii="Times New Roman" w:hAnsi="Times New Roman" w:cs="Times New Roman"/>
              </w:rPr>
              <w:br/>
              <w:t xml:space="preserve">12. Remove the uterus and close: After hysterectomy, suture the pelvic peritoneum and place a drain.  </w:t>
            </w:r>
            <w:r w:rsidRPr="00CB2EC4">
              <w:rPr>
                <w:rFonts w:ascii="Times New Roman" w:hAnsi="Times New Roman" w:cs="Times New Roman"/>
              </w:rPr>
              <w:br/>
              <w:t>(Source: Detailed steps outlined in "Chapter 4: Surgical Technique of Nerve-Sparing Radical Hysterectomy," e.g., "1 Laparotomy and fixation 97; 2 Division of round ligament 98...6 Pelvic lymphadenectomy 100...13 Division of deep uterine vein"; the procedure emphasizes systematic anatomical dissection to preserve the pelvic plexus and its vesical branches.)</w:t>
            </w:r>
          </w:p>
        </w:tc>
        <w:tc>
          <w:tcPr>
            <w:tcW w:w="1152" w:type="dxa"/>
            <w:vAlign w:val="center"/>
          </w:tcPr>
          <w:p w14:paraId="61FF64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DC717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9E2EF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6D8853A" w14:textId="77777777">
        <w:tc>
          <w:tcPr>
            <w:tcW w:w="2160" w:type="dxa"/>
            <w:vAlign w:val="center"/>
          </w:tcPr>
          <w:p w14:paraId="6D56EDA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3AE7F5F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Incision and uterine fixation: Make a midline abdominal incision (from pubic symphysis to above the umbilicus), place retractors to displace bowel loops, and fix the uterine fundus with instruments (e.g., Kocher clamp).  </w:t>
            </w:r>
            <w:r w:rsidRPr="00CB2EC4">
              <w:rPr>
                <w:rFonts w:ascii="Times New Roman" w:hAnsi="Times New Roman" w:cs="Times New Roman"/>
              </w:rPr>
              <w:br/>
              <w:t xml:space="preserve">2. Division of the round ligaments: Clamp, cut, and ligate the round ligaments close to the pelvic floor.  </w:t>
            </w:r>
            <w:r w:rsidRPr="00CB2EC4">
              <w:rPr>
                <w:rFonts w:ascii="Times New Roman" w:hAnsi="Times New Roman" w:cs="Times New Roman"/>
              </w:rPr>
              <w:br/>
              <w:t xml:space="preserve">3. Incision and dissection of the iliac fossa peritoneum: Incise the peritoneum along the round ligament’s cephalic edge toward the pelvic sidewall, extend cephalad along the iliopsoas muscle to the crossing point of the common iliac artery and ureter, and dissect the connective tissue between the peritoneal fascia and iliac vessels.  </w:t>
            </w:r>
            <w:r w:rsidRPr="00CB2EC4">
              <w:rPr>
                <w:rFonts w:ascii="Times New Roman" w:hAnsi="Times New Roman" w:cs="Times New Roman"/>
              </w:rPr>
              <w:br/>
              <w:t xml:space="preserve">4. Opening the lateral bladder space and exposing the anterior ovarian fossa: Dissect the space between the bladder and pelvic wall, attempt to expose the anterior ovarian fossa region.  </w:t>
            </w:r>
            <w:r w:rsidRPr="00CB2EC4">
              <w:rPr>
                <w:rFonts w:ascii="Times New Roman" w:hAnsi="Times New Roman" w:cs="Times New Roman"/>
              </w:rPr>
              <w:br/>
              <w:t xml:space="preserve">5. Pelvic lymphadenectomy:  </w:t>
            </w:r>
            <w:r w:rsidRPr="00CB2EC4">
              <w:rPr>
                <w:rFonts w:ascii="Times New Roman" w:hAnsi="Times New Roman" w:cs="Times New Roman"/>
              </w:rPr>
              <w:br/>
              <w:t xml:space="preserve">   - Sequence: Dissect external iliac artery sheath → remove superficial external iliac lymph nodes → remove inguinal lymph nodes → dissect external iliac vein sheath → remove deep external iliac lymph nodes → remove obturator lymph nodes → remove internal iliac lymph nodes → remove sacral lymph nodes → remove para-aortic lymph nodes → remove common iliac lymph nodes.  </w:t>
            </w:r>
            <w:r w:rsidRPr="00CB2EC4">
              <w:rPr>
                <w:rFonts w:ascii="Times New Roman" w:hAnsi="Times New Roman" w:cs="Times New Roman"/>
              </w:rPr>
              <w:br/>
              <w:t xml:space="preserve">   - Technique: Use ultrasonic scalpel or fine scissors to avoid vascular injury; dissection of internal iliac artery and vein sheath is performed when developing the Latzko rectal lateral space.  </w:t>
            </w:r>
            <w:r w:rsidRPr="00CB2EC4">
              <w:rPr>
                <w:rFonts w:ascii="Times New Roman" w:hAnsi="Times New Roman" w:cs="Times New Roman"/>
              </w:rPr>
              <w:br/>
              <w:t xml:space="preserve">6. Management of the transverse cervical ligament: Separate into fascial and vascular components, sequentially cut vessels (e.g., uterine artery) with </w:t>
            </w:r>
            <w:r w:rsidRPr="00CB2EC4">
              <w:rPr>
                <w:rFonts w:ascii="Times New Roman" w:hAnsi="Times New Roman" w:cs="Times New Roman"/>
              </w:rPr>
              <w:lastRenderedPageBreak/>
              <w:t xml:space="preserve">ultrasonic scalpel assistance.  </w:t>
            </w:r>
            <w:r w:rsidRPr="00CB2EC4">
              <w:rPr>
                <w:rFonts w:ascii="Times New Roman" w:hAnsi="Times New Roman" w:cs="Times New Roman"/>
              </w:rPr>
              <w:br/>
              <w:t xml:space="preserve">7. Posterior dissection: Develop the Okabayashi rectal lateral space or Latzko rectal lateral space, divide the infundibulopelvic ligament, incise the peritoneum of the rectouterine pouch, dissect the rectovaginal septum, divide the uterosacral and rectouterine ligaments.  </w:t>
            </w:r>
            <w:r w:rsidRPr="00CB2EC4">
              <w:rPr>
                <w:rFonts w:ascii="Times New Roman" w:hAnsi="Times New Roman" w:cs="Times New Roman"/>
              </w:rPr>
              <w:br/>
              <w:t xml:space="preserve">8. Anterior dissection: Dissect the bladder down to 3–4 cm above the vaginal apex, expose the lateral vaginal space, dissect the uterine artery, develop the ureteral tunnel, divide the anterior and posterior layers of the vesicouterine ligament.  </w:t>
            </w:r>
            <w:r w:rsidRPr="00CB2EC4">
              <w:rPr>
                <w:rFonts w:ascii="Times New Roman" w:hAnsi="Times New Roman" w:cs="Times New Roman"/>
              </w:rPr>
              <w:br/>
              <w:t xml:space="preserve">9. Division of the deep uterine vein and final management: Isolate and ligate the deep uterine vein, complete transverse cervical ligament management.  </w:t>
            </w:r>
            <w:r w:rsidRPr="00CB2EC4">
              <w:rPr>
                <w:rFonts w:ascii="Times New Roman" w:hAnsi="Times New Roman" w:cs="Times New Roman"/>
              </w:rPr>
              <w:br/>
              <w:t xml:space="preserve">10. Division of paravaginal connective tissue and vagina: Free the upper 3 cm of the vagina, then transect the vagina and suture the vaginal stump.  </w:t>
            </w:r>
            <w:r w:rsidRPr="00CB2EC4">
              <w:rPr>
                <w:rFonts w:ascii="Times New Roman" w:hAnsi="Times New Roman" w:cs="Times New Roman"/>
              </w:rPr>
              <w:br/>
              <w:t xml:space="preserve">11. Closure and drainage: Place a drain (e.g., T-tube), suture the pelvic peritoneum and abdominal incision.  </w:t>
            </w:r>
            <w:r w:rsidRPr="00CB2EC4">
              <w:rPr>
                <w:rFonts w:ascii="Times New Roman" w:hAnsi="Times New Roman" w:cs="Times New Roman"/>
              </w:rPr>
              <w:br/>
              <w:t>The entire procedure emphasizes anatomical precision (e.g., development of six spaces) and nerve preservation (targeting protection of the pelvic plexus).</w:t>
            </w:r>
          </w:p>
        </w:tc>
        <w:tc>
          <w:tcPr>
            <w:tcW w:w="1152" w:type="dxa"/>
            <w:vAlign w:val="center"/>
          </w:tcPr>
          <w:p w14:paraId="6FD4A7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C3CFD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AC5F1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86E3149" w14:textId="77777777">
        <w:tc>
          <w:tcPr>
            <w:tcW w:w="2160" w:type="dxa"/>
            <w:vAlign w:val="center"/>
          </w:tcPr>
          <w:p w14:paraId="6B7BF58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D875F2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and uterine fixation: Perform laparotomy and fix the position of the uterus.  </w:t>
            </w:r>
            <w:r w:rsidRPr="00CB2EC4">
              <w:rPr>
                <w:rFonts w:ascii="Times New Roman" w:hAnsi="Times New Roman" w:cs="Times New Roman"/>
              </w:rPr>
              <w:br/>
              <w:t xml:space="preserve">2. Division of the round ligament: Cut the round ligament to access the pelvic cavity.  </w:t>
            </w:r>
            <w:r w:rsidRPr="00CB2EC4">
              <w:rPr>
                <w:rFonts w:ascii="Times New Roman" w:hAnsi="Times New Roman" w:cs="Times New Roman"/>
              </w:rPr>
              <w:br/>
              <w:t xml:space="preserve">3. Incision and dissection of the iliac fossa peritoneum: Expose the retroperitoneal space.  </w:t>
            </w:r>
            <w:r w:rsidRPr="00CB2EC4">
              <w:rPr>
                <w:rFonts w:ascii="Times New Roman" w:hAnsi="Times New Roman" w:cs="Times New Roman"/>
              </w:rPr>
              <w:br/>
              <w:t xml:space="preserve">4. Opening of the bladder lateral space: Develop the bladder lateral space without extending to the pelvic floor.  </w:t>
            </w:r>
            <w:r w:rsidRPr="00CB2EC4">
              <w:rPr>
                <w:rFonts w:ascii="Times New Roman" w:hAnsi="Times New Roman" w:cs="Times New Roman"/>
              </w:rPr>
              <w:br/>
              <w:t xml:space="preserve">5. Pelvic lymphadenectomy: Sequentially dissect </w:t>
            </w:r>
            <w:r w:rsidRPr="00CB2EC4">
              <w:rPr>
                <w:rFonts w:ascii="Times New Roman" w:hAnsi="Times New Roman" w:cs="Times New Roman"/>
              </w:rPr>
              <w:lastRenderedPageBreak/>
              <w:t xml:space="preserve">lymph nodes (including external iliac, inguinal, obturator, internal iliac lymph nodes) using ultrasonic energy, with attention to nerve preservation.  </w:t>
            </w:r>
            <w:r w:rsidRPr="00CB2EC4">
              <w:rPr>
                <w:rFonts w:ascii="Times New Roman" w:hAnsi="Times New Roman" w:cs="Times New Roman"/>
              </w:rPr>
              <w:br/>
              <w:t xml:space="preserve">6. Opening of the Latzko rectal lateral space: Develop the rectal lateral space to the level of the deep uterine vein.  </w:t>
            </w:r>
            <w:r w:rsidRPr="00CB2EC4">
              <w:rPr>
                <w:rFonts w:ascii="Times New Roman" w:hAnsi="Times New Roman" w:cs="Times New Roman"/>
              </w:rPr>
              <w:br/>
              <w:t xml:space="preserve">7. Incision of the bladder peritoneum: Enter the bladder area.  </w:t>
            </w:r>
            <w:r w:rsidRPr="00CB2EC4">
              <w:rPr>
                <w:rFonts w:ascii="Times New Roman" w:hAnsi="Times New Roman" w:cs="Times New Roman"/>
              </w:rPr>
              <w:br/>
              <w:t xml:space="preserve">8. Dissection and division of the uterine artery: Thoroughly dissect around the uterine artery, preserving the ureteric branch.  </w:t>
            </w:r>
            <w:r w:rsidRPr="00CB2EC4">
              <w:rPr>
                <w:rFonts w:ascii="Times New Roman" w:hAnsi="Times New Roman" w:cs="Times New Roman"/>
              </w:rPr>
              <w:br/>
              <w:t xml:space="preserve">9. Opening of the Gӧrling rectal lateral space: Dissect the posterior ureter to form the ureteric plate.  </w:t>
            </w:r>
            <w:r w:rsidRPr="00CB2EC4">
              <w:rPr>
                <w:rFonts w:ascii="Times New Roman" w:hAnsi="Times New Roman" w:cs="Times New Roman"/>
              </w:rPr>
              <w:br/>
              <w:t xml:space="preserve">10. Management of the transverse cervical ligament: Dissect the fascia and cut vessels individually, avoiding en bloc clamping (refer to Question 116).  </w:t>
            </w:r>
            <w:r w:rsidRPr="00CB2EC4">
              <w:rPr>
                <w:rFonts w:ascii="Times New Roman" w:hAnsi="Times New Roman" w:cs="Times New Roman"/>
              </w:rPr>
              <w:br/>
              <w:t xml:space="preserve">11. Posterior dissection: Separate the uterosacral ligament and rectouterine ligament.  </w:t>
            </w:r>
            <w:r w:rsidRPr="00CB2EC4">
              <w:rPr>
                <w:rFonts w:ascii="Times New Roman" w:hAnsi="Times New Roman" w:cs="Times New Roman"/>
              </w:rPr>
              <w:br/>
              <w:t xml:space="preserve">12. Anterior dissection: Strip the bladder, develop the vaginal lateral space, and divide the vesicouterine ligament.  </w:t>
            </w:r>
            <w:r w:rsidRPr="00CB2EC4">
              <w:rPr>
                <w:rFonts w:ascii="Times New Roman" w:hAnsi="Times New Roman" w:cs="Times New Roman"/>
              </w:rPr>
              <w:br/>
              <w:t xml:space="preserve">13. Removal of the uterus and vagina: Excise the uterus and associated tissues while preserving nerves.  </w:t>
            </w:r>
            <w:r w:rsidRPr="00CB2EC4">
              <w:rPr>
                <w:rFonts w:ascii="Times New Roman" w:hAnsi="Times New Roman" w:cs="Times New Roman"/>
              </w:rPr>
              <w:br/>
              <w:t xml:space="preserve">14. Closure and reconstruction: Suture the vaginal cuff, close the peritoneum, and prevent adhesions.  </w:t>
            </w:r>
            <w:r w:rsidRPr="00CB2EC4">
              <w:rPr>
                <w:rFonts w:ascii="Times New Roman" w:hAnsi="Times New Roman" w:cs="Times New Roman"/>
              </w:rPr>
              <w:br/>
              <w:t>The entire procedure emphasizes individual division of ligaments within six spaces (e.g., bladder lateral space, rectal lateral space) to preserve the pelvic nerve plexus and its bladder branches.</w:t>
            </w:r>
          </w:p>
        </w:tc>
        <w:tc>
          <w:tcPr>
            <w:tcW w:w="1152" w:type="dxa"/>
            <w:vAlign w:val="center"/>
          </w:tcPr>
          <w:p w14:paraId="1D5A92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6ADFE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C0009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5069F04" w14:textId="77777777">
        <w:tc>
          <w:tcPr>
            <w:tcW w:w="2160" w:type="dxa"/>
            <w:vAlign w:val="center"/>
          </w:tcPr>
          <w:p w14:paraId="7665A119"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3E2254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Abdominal incision and uterine fixation: Make a midline abdominal incision above the pubic symphysis, place retractors, and fix the uterine fundus with Kocher clamps (avoiding injury to the ascending branches of the uterine veins).  </w:t>
            </w:r>
            <w:r w:rsidRPr="00CB2EC4">
              <w:rPr>
                <w:rFonts w:ascii="Times New Roman" w:hAnsi="Times New Roman" w:cs="Times New Roman"/>
              </w:rPr>
              <w:br/>
            </w:r>
            <w:r w:rsidRPr="00CB2EC4">
              <w:rPr>
                <w:rFonts w:ascii="Times New Roman" w:hAnsi="Times New Roman" w:cs="Times New Roman"/>
              </w:rPr>
              <w:lastRenderedPageBreak/>
              <w:t xml:space="preserve">2. Division of the round ligament of the uterus: Clamp, cut, and ligate near the pelvic brim.  </w:t>
            </w:r>
            <w:r w:rsidRPr="00CB2EC4">
              <w:rPr>
                <w:rFonts w:ascii="Times New Roman" w:hAnsi="Times New Roman" w:cs="Times New Roman"/>
              </w:rPr>
              <w:br/>
              <w:t xml:space="preserve">3. Incision of peritoneum and opening of spaces: Incise the iliac fossa peritoneum, open the lateral vesical space, and attempt to develop the pre-ovarian fossa.  </w:t>
            </w:r>
            <w:r w:rsidRPr="00CB2EC4">
              <w:rPr>
                <w:rFonts w:ascii="Times New Roman" w:hAnsi="Times New Roman" w:cs="Times New Roman"/>
              </w:rPr>
              <w:br/>
              <w:t xml:space="preserve">4. Lymph node dissection: Dissect pelvic lymph nodes (including common iliac, external iliac, internal iliac, and obturator nodes); dissect para-aortic lymph nodes if indicated.  </w:t>
            </w:r>
            <w:r w:rsidRPr="00CB2EC4">
              <w:rPr>
                <w:rFonts w:ascii="Times New Roman" w:hAnsi="Times New Roman" w:cs="Times New Roman"/>
              </w:rPr>
              <w:br/>
              <w:t xml:space="preserve">5. Opening of spaces: Open the Latzko rectal lateral space (cranial compartment) and the vesical fossa.  </w:t>
            </w:r>
            <w:r w:rsidRPr="00CB2EC4">
              <w:rPr>
                <w:rFonts w:ascii="Times New Roman" w:hAnsi="Times New Roman" w:cs="Times New Roman"/>
              </w:rPr>
              <w:br/>
              <w:t xml:space="preserve">6. Management of vessels and ligaments:  </w:t>
            </w:r>
            <w:r w:rsidRPr="00CB2EC4">
              <w:rPr>
                <w:rFonts w:ascii="Times New Roman" w:hAnsi="Times New Roman" w:cs="Times New Roman"/>
              </w:rPr>
              <w:br/>
              <w:t xml:space="preserve">   - Isolate and divide the uterine artery.  </w:t>
            </w:r>
            <w:r w:rsidRPr="00CB2EC4">
              <w:rPr>
                <w:rFonts w:ascii="Times New Roman" w:hAnsi="Times New Roman" w:cs="Times New Roman"/>
              </w:rPr>
              <w:br/>
              <w:t xml:space="preserve">   - Open the Okabayashi rectal lateral space, dissect the posterior aspect of the ureter.  </w:t>
            </w:r>
            <w:r w:rsidRPr="00CB2EC4">
              <w:rPr>
                <w:rFonts w:ascii="Times New Roman" w:hAnsi="Times New Roman" w:cs="Times New Roman"/>
              </w:rPr>
              <w:br/>
              <w:t xml:space="preserve">   - Isolate, ligate, and divide the deep uterine vein.  </w:t>
            </w:r>
            <w:r w:rsidRPr="00CB2EC4">
              <w:rPr>
                <w:rFonts w:ascii="Times New Roman" w:hAnsi="Times New Roman" w:cs="Times New Roman"/>
              </w:rPr>
              <w:br/>
              <w:t xml:space="preserve">   - Isolate, clamp, and divide the infundibulopelvic ligament.  </w:t>
            </w:r>
            <w:r w:rsidRPr="00CB2EC4">
              <w:rPr>
                <w:rFonts w:ascii="Times New Roman" w:hAnsi="Times New Roman" w:cs="Times New Roman"/>
              </w:rPr>
              <w:br/>
              <w:t xml:space="preserve">7. Dissection of rectum and vagina: Incise the Douglas pouch peritoneum, dissect the rectovaginal septum; isolate, clamp, and divide the uterosacral and rectouterine ligaments.  </w:t>
            </w:r>
            <w:r w:rsidRPr="00CB2EC4">
              <w:rPr>
                <w:rFonts w:ascii="Times New Roman" w:hAnsi="Times New Roman" w:cs="Times New Roman"/>
              </w:rPr>
              <w:br/>
              <w:t xml:space="preserve">8. Management of bladder and ureter: Strip the bladder, open the lateral vaginal space; expose and unroof the ureteric tunnel, dissect, clamp, and divide the anterior and posterior layers of the vesicouterine ligament.  </w:t>
            </w:r>
            <w:r w:rsidRPr="00CB2EC4">
              <w:rPr>
                <w:rFonts w:ascii="Times New Roman" w:hAnsi="Times New Roman" w:cs="Times New Roman"/>
              </w:rPr>
              <w:br/>
              <w:t xml:space="preserve">9. Division of vaginal-related tissues: Cut the rectovaginal ligaments and paravaginal tissues.  </w:t>
            </w:r>
            <w:r w:rsidRPr="00CB2EC4">
              <w:rPr>
                <w:rFonts w:ascii="Times New Roman" w:hAnsi="Times New Roman" w:cs="Times New Roman"/>
              </w:rPr>
              <w:br/>
              <w:t xml:space="preserve">10. Division of vagina and closure: Transversely incise the vagina, continuously suture the vaginal stump with absorbable suture; place a drain.  </w:t>
            </w:r>
            <w:r w:rsidRPr="00CB2EC4">
              <w:rPr>
                <w:rFonts w:ascii="Times New Roman" w:hAnsi="Times New Roman" w:cs="Times New Roman"/>
              </w:rPr>
              <w:br/>
              <w:t xml:space="preserve">11. Abdominal closure: Irrigate the pelvic cavity and </w:t>
            </w:r>
            <w:r w:rsidRPr="00CB2EC4">
              <w:rPr>
                <w:rFonts w:ascii="Times New Roman" w:hAnsi="Times New Roman" w:cs="Times New Roman"/>
              </w:rPr>
              <w:lastRenderedPageBreak/>
              <w:t xml:space="preserve">close the abdomen.  </w:t>
            </w:r>
            <w:r w:rsidRPr="00CB2EC4">
              <w:rPr>
                <w:rFonts w:ascii="Times New Roman" w:hAnsi="Times New Roman" w:cs="Times New Roman"/>
              </w:rPr>
              <w:br/>
              <w:t>Nerve preservation focus: Throughout the procedure, avoid injury to the pelvic plexus and its vesical branches; for example, during division of the transverse cervical ligament, separate the fascial and vascular components, and during rectal dissection, use TME (total mesorectal excision) technique to preserve the medial aspect of the pelvic plexus (based on document fragments 1, 4).</w:t>
            </w:r>
          </w:p>
        </w:tc>
        <w:tc>
          <w:tcPr>
            <w:tcW w:w="1152" w:type="dxa"/>
            <w:vAlign w:val="center"/>
          </w:tcPr>
          <w:p w14:paraId="05BD15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1FDCA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5842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9B1FCC8" w14:textId="77777777">
        <w:tc>
          <w:tcPr>
            <w:tcW w:w="2160" w:type="dxa"/>
            <w:vAlign w:val="center"/>
          </w:tcPr>
          <w:p w14:paraId="3A0F244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71F0CBF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and uterine fixation: After opening the abdomen, the uterus is fixed to expose the surgical field (Reference Segment 3, Blocks 154-156).  </w:t>
            </w:r>
            <w:r w:rsidRPr="00CB2EC4">
              <w:rPr>
                <w:rFonts w:ascii="Times New Roman" w:hAnsi="Times New Roman" w:cs="Times New Roman"/>
              </w:rPr>
              <w:br/>
              <w:t xml:space="preserve">2. Division of the round ligament of the uterus: The round ligament is cut to prepare for subsequent steps (Reference Segment 3, Blocks 154-156).  </w:t>
            </w:r>
            <w:r w:rsidRPr="00CB2EC4">
              <w:rPr>
                <w:rFonts w:ascii="Times New Roman" w:hAnsi="Times New Roman" w:cs="Times New Roman"/>
              </w:rPr>
              <w:br/>
              <w:t xml:space="preserve">3. Incision and dissection of the iliac fossa peritoneum: The peritoneum on the lateral pelvic wall is incised and dissected to expose the iliac vessel region (Reference Segment 3, Blocks 154-156).  </w:t>
            </w:r>
            <w:r w:rsidRPr="00CB2EC4">
              <w:rPr>
                <w:rFonts w:ascii="Times New Roman" w:hAnsi="Times New Roman" w:cs="Times New Roman"/>
              </w:rPr>
              <w:br/>
              <w:t xml:space="preserve">4. Opening of the bladder lateral space: The space between the bladder and cervix is dissected to expose the bladder lateral space (Reference Segment 3, Blocks 154-156).  </w:t>
            </w:r>
            <w:r w:rsidRPr="00CB2EC4">
              <w:rPr>
                <w:rFonts w:ascii="Times New Roman" w:hAnsi="Times New Roman" w:cs="Times New Roman"/>
              </w:rPr>
              <w:br/>
              <w:t xml:space="preserve">5. Attempted exposure of the ovarian fossa: The ovarian fossa area is explored in preparation for lymph node dissection (Reference Segment 3, Blocks 154-156).  </w:t>
            </w:r>
            <w:r w:rsidRPr="00CB2EC4">
              <w:rPr>
                <w:rFonts w:ascii="Times New Roman" w:hAnsi="Times New Roman" w:cs="Times New Roman"/>
              </w:rPr>
              <w:br/>
              <w:t xml:space="preserve">6. Pelvic lymphadenectomy: Systematic dissection of pelvic lymph nodes, including external iliac, inguinal, obturator, and internal iliac lymph nodes (sequence: stripping the vascular sheath of the external iliac artery → removing superficial lymph nodes → dissecting inguinal lymph nodes → stripping the vascular sheath of the external iliac vein → dissecting </w:t>
            </w:r>
            <w:r w:rsidRPr="00CB2EC4">
              <w:rPr>
                <w:rFonts w:ascii="Times New Roman" w:hAnsi="Times New Roman" w:cs="Times New Roman"/>
              </w:rPr>
              <w:lastRenderedPageBreak/>
              <w:t xml:space="preserve">deep lymph nodes → dissecting obturator lymph nodes → dissecting internal iliac lymph nodes) (Reference Segment 4, Blocks 160-162; Reference Segment 6, Blocks 175-177).  </w:t>
            </w:r>
            <w:r w:rsidRPr="00CB2EC4">
              <w:rPr>
                <w:rFonts w:ascii="Times New Roman" w:hAnsi="Times New Roman" w:cs="Times New Roman"/>
              </w:rPr>
              <w:br/>
              <w:t xml:space="preserve">7. Dissection of para-aortic and common iliac lymph nodes (optional): Performed as needed, with assistance from retroperitoneal laparoscopy or ultrasonic scalpel (Reference Segment 3, Blocks 154-156).  </w:t>
            </w:r>
            <w:r w:rsidRPr="00CB2EC4">
              <w:rPr>
                <w:rFonts w:ascii="Times New Roman" w:hAnsi="Times New Roman" w:cs="Times New Roman"/>
              </w:rPr>
              <w:br/>
              <w:t xml:space="preserve">8. Opening of the Latzko rectal lateral space: After dissecting the transverse cervical ligament posterior fascia, enter the Latzko rectal lateral space to address the origin of the transverse cervical ligament (Reference Segment 3, Blocks 154-156; Reference Segment 7, Blocks 220-222).  </w:t>
            </w:r>
            <w:r w:rsidRPr="00CB2EC4">
              <w:rPr>
                <w:rFonts w:ascii="Times New Roman" w:hAnsi="Times New Roman" w:cs="Times New Roman"/>
              </w:rPr>
              <w:br/>
              <w:t xml:space="preserve">9. Management of the transverse cervical ligament: Separate fascia and vascular components, then individually ligate and divide vessels (e.g., uterine artery and deep uterine vein), avoiding mass clamping (Reference Segment 3, Blocks 154-156; Reference Segment 7, Blocks 220-222).  </w:t>
            </w:r>
            <w:r w:rsidRPr="00CB2EC4">
              <w:rPr>
                <w:rFonts w:ascii="Times New Roman" w:hAnsi="Times New Roman" w:cs="Times New Roman"/>
              </w:rPr>
              <w:br/>
              <w:t xml:space="preserve">10. Posterior procedures: Include development of the Okabayashi rectal lateral space, identification of the ureteric tunnel entrance, division of the ureteric plate, division of the infundibulopelvic ligament, separation of the rectovaginal septum, and division of the uterosacral and rectouterine ligaments (Reference Segment 1, Blocks 65-67; Reference Segment 3, Blocks 154-156).  </w:t>
            </w:r>
            <w:r w:rsidRPr="00CB2EC4">
              <w:rPr>
                <w:rFonts w:ascii="Times New Roman" w:hAnsi="Times New Roman" w:cs="Times New Roman"/>
              </w:rPr>
              <w:br/>
              <w:t xml:space="preserve">11. Anterior procedures: Include bladder flap dissection, exposure of the vaginal lateral space, separation of the uterine artery, identification of the ureteric tunnel, and division of the anterior and posterior layers of the vesicouterine ligament </w:t>
            </w:r>
            <w:r w:rsidRPr="00CB2EC4">
              <w:rPr>
                <w:rFonts w:ascii="Times New Roman" w:hAnsi="Times New Roman" w:cs="Times New Roman"/>
              </w:rPr>
              <w:lastRenderedPageBreak/>
              <w:t xml:space="preserve">(Reference Segment 1, Blocks 65-67; Reference Segment 3, Blocks 154-156).  </w:t>
            </w:r>
            <w:r w:rsidRPr="00CB2EC4">
              <w:rPr>
                <w:rFonts w:ascii="Times New Roman" w:hAnsi="Times New Roman" w:cs="Times New Roman"/>
              </w:rPr>
              <w:br/>
              <w:t xml:space="preserve">12. Division of the deep uterine vein and ligaments: Final management of the transverse cervical ligament, division of the rectovaginal and vesicovaginal ligaments (Reference Segment 1, Blocks 65-67).  </w:t>
            </w:r>
            <w:r w:rsidRPr="00CB2EC4">
              <w:rPr>
                <w:rFonts w:ascii="Times New Roman" w:hAnsi="Times New Roman" w:cs="Times New Roman"/>
              </w:rPr>
              <w:br/>
              <w:t xml:space="preserve">13. Division of paravaginal connective tissue and vagina: Paravaginal tissue is excised, the vagina is transected, and the stump is sutured (Reference Segment 1, Blocks 65-67).  </w:t>
            </w:r>
            <w:r w:rsidRPr="00CB2EC4">
              <w:rPr>
                <w:rFonts w:ascii="Times New Roman" w:hAnsi="Times New Roman" w:cs="Times New Roman"/>
              </w:rPr>
              <w:br/>
              <w:t xml:space="preserve">14. Management of abdominal and pelvic peritoneum: The abdominal cavity is closed and peritoneum is managed (Reference Segment 1, Blocks 65-67).  </w:t>
            </w:r>
            <w:r w:rsidRPr="00CB2EC4">
              <w:rPr>
                <w:rFonts w:ascii="Times New Roman" w:hAnsi="Times New Roman" w:cs="Times New Roman"/>
              </w:rPr>
              <w:br/>
            </w:r>
            <w:r w:rsidRPr="00CB2EC4">
              <w:rPr>
                <w:rFonts w:ascii="Times New Roman" w:hAnsi="Times New Roman" w:cs="Times New Roman"/>
              </w:rPr>
              <w:br/>
              <w:t>This procedure is based on detailed descriptions in the context, emphasizing nerve preservation (e.g., preservation of the pelvic plexus and its bladder branches) and precise anatomical dissection.</w:t>
            </w:r>
          </w:p>
        </w:tc>
        <w:tc>
          <w:tcPr>
            <w:tcW w:w="1152" w:type="dxa"/>
            <w:vAlign w:val="center"/>
          </w:tcPr>
          <w:p w14:paraId="3DCD47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729B2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B0C6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1B36D8" w14:textId="77777777">
        <w:tc>
          <w:tcPr>
            <w:tcW w:w="2160" w:type="dxa"/>
            <w:vAlign w:val="center"/>
          </w:tcPr>
          <w:p w14:paraId="4C3B70B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1F5F806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surgical procedure for nerve-sparing radical hysterectomy is briefly outlined as follows (based on standardized steps described in the literature):  </w:t>
            </w:r>
            <w:r w:rsidRPr="00CB2EC4">
              <w:rPr>
                <w:rFonts w:ascii="Times New Roman" w:hAnsi="Times New Roman" w:cs="Times New Roman"/>
              </w:rPr>
              <w:br/>
              <w:t xml:space="preserve">   - Step 1: Laparotomy and exposure: Enter the pelvic cavity via an abdominal incision and expose the surgical field.  </w:t>
            </w:r>
            <w:r w:rsidRPr="00CB2EC4">
              <w:rPr>
                <w:rFonts w:ascii="Times New Roman" w:hAnsi="Times New Roman" w:cs="Times New Roman"/>
              </w:rPr>
              <w:br/>
              <w:t xml:space="preserve">   - Step 2: Lymph node dissection: Perform pelvic lymphadenectomy first (including external iliac, internal iliac, and obturator regions), with attention to preserving neurovascular structures.  </w:t>
            </w:r>
            <w:r w:rsidRPr="00CB2EC4">
              <w:rPr>
                <w:rFonts w:ascii="Times New Roman" w:hAnsi="Times New Roman" w:cs="Times New Roman"/>
              </w:rPr>
              <w:br/>
              <w:t xml:space="preserve">   - Step 3: Ureter dissection: Open the ureteral tunnel and mobilize the ureter to avoid injury.  </w:t>
            </w:r>
            <w:r w:rsidRPr="00CB2EC4">
              <w:rPr>
                <w:rFonts w:ascii="Times New Roman" w:hAnsi="Times New Roman" w:cs="Times New Roman"/>
              </w:rPr>
              <w:br/>
              <w:t xml:space="preserve">   - Step 4: Ligament division: Sequentially divide the uterosacral ligament (nerve-sparing portion) and the transverse cervical ligament (using sharp dissection to protect nerves).  </w:t>
            </w:r>
            <w:r w:rsidRPr="00CB2EC4">
              <w:rPr>
                <w:rFonts w:ascii="Times New Roman" w:hAnsi="Times New Roman" w:cs="Times New Roman"/>
              </w:rPr>
              <w:br/>
            </w:r>
            <w:r w:rsidRPr="00CB2EC4">
              <w:rPr>
                <w:rFonts w:ascii="Times New Roman" w:hAnsi="Times New Roman" w:cs="Times New Roman"/>
              </w:rPr>
              <w:lastRenderedPageBreak/>
              <w:t xml:space="preserve">   - Step 5: Nerve identification and preservation: Identify and preserve the inferior hypogastric plexus and pelvic splanchnic nerves during ligament division.  </w:t>
            </w:r>
            <w:r w:rsidRPr="00CB2EC4">
              <w:rPr>
                <w:rFonts w:ascii="Times New Roman" w:hAnsi="Times New Roman" w:cs="Times New Roman"/>
              </w:rPr>
              <w:br/>
              <w:t xml:space="preserve">   - Step 6: Hysterectomy: Remove the uterus and adnexa, then close the vaginal stump.  </w:t>
            </w:r>
            <w:r w:rsidRPr="00CB2EC4">
              <w:rPr>
                <w:rFonts w:ascii="Times New Roman" w:hAnsi="Times New Roman" w:cs="Times New Roman"/>
              </w:rPr>
              <w:br/>
              <w:t xml:space="preserve">   - Step 7: Abdominal closure: Achieve hemostasis, irrigate the abdominal cavity, and close the abdomen layer by layer.</w:t>
            </w:r>
          </w:p>
        </w:tc>
        <w:tc>
          <w:tcPr>
            <w:tcW w:w="1152" w:type="dxa"/>
            <w:vAlign w:val="center"/>
          </w:tcPr>
          <w:p w14:paraId="2DCD05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D466D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1DDFC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3595A24" w14:textId="77777777">
        <w:tc>
          <w:tcPr>
            <w:tcW w:w="10656" w:type="dxa"/>
            <w:gridSpan w:val="5"/>
            <w:tcBorders>
              <w:bottom w:val="single" w:sz="6" w:space="0" w:color="auto"/>
            </w:tcBorders>
            <w:vAlign w:val="center"/>
          </w:tcPr>
          <w:p w14:paraId="7B13D82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118: During pelvic lymphadenectomy, when dissecting the vascular sheath, which specific technique is explicitly mentioned in the text as not being recommended due to the risk of tearing major blood vessels?</w:t>
            </w:r>
          </w:p>
        </w:tc>
      </w:tr>
      <w:tr w:rsidR="00922249" w:rsidRPr="00CB2EC4" w14:paraId="5F69FB32" w14:textId="77777777">
        <w:tc>
          <w:tcPr>
            <w:tcW w:w="2160" w:type="dxa"/>
            <w:vAlign w:val="center"/>
          </w:tcPr>
          <w:p w14:paraId="55E3F39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505B464" w14:textId="77777777" w:rsidR="00922249" w:rsidRPr="00CB2EC4" w:rsidRDefault="003011D5">
            <w:pPr>
              <w:rPr>
                <w:rFonts w:ascii="Times New Roman" w:hAnsi="Times New Roman" w:cs="Times New Roman"/>
              </w:rPr>
            </w:pPr>
            <w:r w:rsidRPr="00CB2EC4">
              <w:rPr>
                <w:rFonts w:ascii="Times New Roman" w:hAnsi="Times New Roman" w:cs="Times New Roman"/>
              </w:rPr>
              <w:t>- Stripping the vascular sheath along the long axis: This method carries a risk of tearing the main vessel (such as the external iliac vein or internal iliac vein) by avulsing the wall-side venous branches during dissection. It is therefore not recommended.</w:t>
            </w:r>
            <w:r w:rsidRPr="00CB2EC4">
              <w:rPr>
                <w:rFonts w:ascii="Times New Roman" w:hAnsi="Times New Roman" w:cs="Times New Roman"/>
              </w:rPr>
              <w:br/>
            </w:r>
            <w:r w:rsidRPr="00CB2EC4">
              <w:rPr>
                <w:rFonts w:ascii="Times New Roman" w:hAnsi="Times New Roman" w:cs="Times New Roman"/>
              </w:rPr>
              <w:br/>
              <w:t>The recommended approach is to incise the vascular sheath along the long axis of the vessel and then strip it in a direction perpendicular to the vessel while using forceps to stabilize the sheath and cutting loose connective tissue.</w:t>
            </w:r>
            <w:r w:rsidRPr="00CB2EC4">
              <w:rPr>
                <w:rFonts w:ascii="Times New Roman" w:hAnsi="Times New Roman" w:cs="Times New Roman"/>
              </w:rPr>
              <w:br/>
            </w:r>
            <w:r w:rsidRPr="00CB2EC4">
              <w:rPr>
                <w:rFonts w:ascii="Times New Roman" w:hAnsi="Times New Roman" w:cs="Times New Roman"/>
              </w:rPr>
              <w:br/>
              <w:t>(Source: Document excerpt with similarity 0.437: "The stripping of the vascular sheath should be performed by incising along the long axis of the vessel, fixing the sheath with forceps, and stripping in a direction perpendicular to the vessel while cutting the loose connective tissue in between. The method of stripping the vascular sheath along the long axis carries the risk of tearing the main vessel by avulsing the wall-side venous branches.")</w:t>
            </w:r>
          </w:p>
        </w:tc>
        <w:tc>
          <w:tcPr>
            <w:tcW w:w="1152" w:type="dxa"/>
            <w:vAlign w:val="center"/>
          </w:tcPr>
          <w:p w14:paraId="66E618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44CF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D8D4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32FBF4" w14:textId="77777777">
        <w:tc>
          <w:tcPr>
            <w:tcW w:w="2160" w:type="dxa"/>
            <w:vAlign w:val="center"/>
          </w:tcPr>
          <w:p w14:paraId="7FD684E7"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3B586A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method of stripping the vascular sheath along the longitudinal axis of the vessel (i.e., parallel to the </w:t>
            </w:r>
            <w:r w:rsidRPr="00CB2EC4">
              <w:rPr>
                <w:rFonts w:ascii="Times New Roman" w:hAnsi="Times New Roman" w:cs="Times New Roman"/>
              </w:rPr>
              <w:lastRenderedPageBreak/>
              <w:t>vessel's long axis) is explicitly stated to carry a risk of tearing the main vessels (such as the external iliac vein or artery) due to avulsion of the wall-side venous branches, and is therefore not recommended. The recommended approach is to strip the loose connective tissue perpendicular to the vessel direction after incising the sheath along the vessel's long axis.</w:t>
            </w:r>
          </w:p>
        </w:tc>
        <w:tc>
          <w:tcPr>
            <w:tcW w:w="1152" w:type="dxa"/>
            <w:vAlign w:val="center"/>
          </w:tcPr>
          <w:p w14:paraId="45FBB4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456A0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5F32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D7AE0A" w14:textId="77777777">
        <w:tc>
          <w:tcPr>
            <w:tcW w:w="2160" w:type="dxa"/>
            <w:vAlign w:val="center"/>
          </w:tcPr>
          <w:p w14:paraId="7BF8B1C1"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EC82B75" w14:textId="77777777" w:rsidR="00922249" w:rsidRPr="00CB2EC4" w:rsidRDefault="003011D5">
            <w:pPr>
              <w:rPr>
                <w:rFonts w:ascii="Times New Roman" w:hAnsi="Times New Roman" w:cs="Times New Roman"/>
              </w:rPr>
            </w:pPr>
            <w:r w:rsidRPr="00CB2EC4">
              <w:rPr>
                <w:rFonts w:ascii="Times New Roman" w:hAnsi="Times New Roman" w:cs="Times New Roman"/>
              </w:rPr>
              <w:t>the method of performing vascular sheath dissection along the long axis is explicitly stated to carry a risk of tearing major vessels and is therefore not recommended.</w:t>
            </w:r>
          </w:p>
        </w:tc>
        <w:tc>
          <w:tcPr>
            <w:tcW w:w="1152" w:type="dxa"/>
            <w:vAlign w:val="center"/>
          </w:tcPr>
          <w:p w14:paraId="3037E2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EC94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0780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8F3B707" w14:textId="77777777">
        <w:tc>
          <w:tcPr>
            <w:tcW w:w="2160" w:type="dxa"/>
            <w:vAlign w:val="center"/>
          </w:tcPr>
          <w:p w14:paraId="583CB5E9"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C1B8449" w14:textId="77777777" w:rsidR="00922249" w:rsidRPr="00CB2EC4" w:rsidRDefault="003011D5">
            <w:pPr>
              <w:rPr>
                <w:rFonts w:ascii="Times New Roman" w:hAnsi="Times New Roman" w:cs="Times New Roman"/>
              </w:rPr>
            </w:pPr>
            <w:r w:rsidRPr="00CB2EC4">
              <w:rPr>
                <w:rFonts w:ascii="Times New Roman" w:hAnsi="Times New Roman" w:cs="Times New Roman"/>
              </w:rPr>
              <w:t>During pelvic lymphadenectomy when performing vascular sheath dissection, the text explicitly states that the method of "using the elastic force generated by the opening and closing of forceps" carries a risk of tearing major blood vessels (such as the external iliac vein) and is therefore not recommended.</w:t>
            </w:r>
            <w:r w:rsidRPr="00CB2EC4">
              <w:rPr>
                <w:rFonts w:ascii="Times New Roman" w:hAnsi="Times New Roman" w:cs="Times New Roman"/>
              </w:rPr>
              <w:br/>
            </w:r>
            <w:r w:rsidRPr="00CB2EC4">
              <w:rPr>
                <w:rFonts w:ascii="Times New Roman" w:hAnsi="Times New Roman" w:cs="Times New Roman"/>
              </w:rPr>
              <w:br/>
              <w:t>Reasons are as follows:</w:t>
            </w:r>
            <w:r w:rsidRPr="00CB2EC4">
              <w:rPr>
                <w:rFonts w:ascii="Times New Roman" w:hAnsi="Times New Roman" w:cs="Times New Roman"/>
              </w:rPr>
              <w:br/>
              <w:t>- Risk description: This maneuver involves using forceps to dissect the vascular sheath through the elastic force generated by opening and closing, which can easily lead to venous wall injury (due to the thinness of the venous wall), potentially causing rupture of nutrient vessels, hematoma formation, or vascular bulging. Particularly at the bifurcation of the internal and external iliac vessels, hemostasis becomes difficult once venous injury occurs.</w:t>
            </w:r>
            <w:r w:rsidRPr="00CB2EC4">
              <w:rPr>
                <w:rFonts w:ascii="Times New Roman" w:hAnsi="Times New Roman" w:cs="Times New Roman"/>
              </w:rPr>
              <w:br/>
              <w:t xml:space="preserve">- Recommended alternative method: Sharp dissection with scissors should be employed, following the "outside-in" direction, or assisted by ureteral hook exposure to avoid forceful maneuvers. The text emphasizes the need for caution during dissection, </w:t>
            </w:r>
            <w:r w:rsidRPr="00CB2EC4">
              <w:rPr>
                <w:rFonts w:ascii="Times New Roman" w:hAnsi="Times New Roman" w:cs="Times New Roman"/>
              </w:rPr>
              <w:lastRenderedPageBreak/>
              <w:t>starting from the easier direction (e.g., dissecting the arterial sheath first) and ensuring clear visualization.</w:t>
            </w:r>
            <w:r w:rsidRPr="00CB2EC4">
              <w:rPr>
                <w:rFonts w:ascii="Times New Roman" w:hAnsi="Times New Roman" w:cs="Times New Roman"/>
              </w:rPr>
              <w:br/>
            </w:r>
            <w:r w:rsidRPr="00CB2EC4">
              <w:rPr>
                <w:rFonts w:ascii="Times New Roman" w:hAnsi="Times New Roman" w:cs="Times New Roman"/>
              </w:rPr>
              <w:br/>
              <w:t>Analysis of information sources:</w:t>
            </w:r>
            <w:r w:rsidRPr="00CB2EC4">
              <w:rPr>
                <w:rFonts w:ascii="Times New Roman" w:hAnsi="Times New Roman" w:cs="Times New Roman"/>
              </w:rPr>
              <w:br/>
              <w:t>- Knowledge base document: Directly sourced from the "6.1 Basic Concepts of Lymph Node Dissection" section (describing the risks of "using the elastic force generated by the opening and closing of forceps") and "6.3.4 Dissection of the External Iliac Vein Sheath" (emphasizing the thinness of the venous wall and the need for caution).</w:t>
            </w:r>
            <w:r w:rsidRPr="00CB2EC4">
              <w:rPr>
                <w:rFonts w:ascii="Times New Roman" w:hAnsi="Times New Roman" w:cs="Times New Roman"/>
              </w:rPr>
              <w:br/>
              <w:t>- Web search results: Did not cover specific operative methods but mentioned that pelvic lymphadenectomy requires principles of "anatomy, sharp dissection, interfascial, and completeness," supporting the recommendations in the knowledge base.</w:t>
            </w:r>
            <w:r w:rsidRPr="00CB2EC4">
              <w:rPr>
                <w:rFonts w:ascii="Times New Roman" w:hAnsi="Times New Roman" w:cs="Times New Roman"/>
              </w:rPr>
              <w:br/>
              <w:t>- Comprehensive explanation: The knowledge base document is the sole source, with no relevant content found in web search results; no conflicting information exists.</w:t>
            </w:r>
          </w:p>
        </w:tc>
        <w:tc>
          <w:tcPr>
            <w:tcW w:w="1152" w:type="dxa"/>
            <w:vAlign w:val="center"/>
          </w:tcPr>
          <w:p w14:paraId="36AEB9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81A48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36EB3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60C2E9A" w14:textId="77777777">
        <w:tc>
          <w:tcPr>
            <w:tcW w:w="2160" w:type="dxa"/>
            <w:vAlign w:val="center"/>
          </w:tcPr>
          <w:p w14:paraId="18C16A4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F17CEE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pelvic lymphadenectomy when performing vascular sheath dissection, the text explicitly states that the method of dissecting along the longitudinal axis of the vessel carries a risk of tearing the main vessels and is therefore not recommended.  </w:t>
            </w:r>
            <w:r w:rsidRPr="00CB2EC4">
              <w:rPr>
                <w:rFonts w:ascii="Times New Roman" w:hAnsi="Times New Roman" w:cs="Times New Roman"/>
              </w:rPr>
              <w:br/>
              <w:t xml:space="preserve">- Reason for risk: this approach is prone to avulsing the parietal venous branches, which can lead to tearing of the main vessels (such as the external iliac vein or internal iliac vein), resulting in major hemorrhage.  </w:t>
            </w:r>
            <w:r w:rsidRPr="00CB2EC4">
              <w:rPr>
                <w:rFonts w:ascii="Times New Roman" w:hAnsi="Times New Roman" w:cs="Times New Roman"/>
              </w:rPr>
              <w:br/>
              <w:t xml:space="preserve">- Recommended method: after incising the vascular sheath along the longitudinal axis of the vessel, dissection should proceed in a direction perpendicular to the vessel, avoiding advancement along the longitudinal axis.  </w:t>
            </w:r>
            <w:r w:rsidRPr="00CB2EC4">
              <w:rPr>
                <w:rFonts w:ascii="Times New Roman" w:hAnsi="Times New Roman" w:cs="Times New Roman"/>
              </w:rPr>
              <w:br/>
            </w:r>
            <w:r w:rsidRPr="00CB2EC4">
              <w:rPr>
                <w:rFonts w:ascii="Times New Roman" w:hAnsi="Times New Roman" w:cs="Times New Roman"/>
              </w:rPr>
              <w:lastRenderedPageBreak/>
              <w:t>Reference: Document Segment 4 ("The method of dissecting the vascular sheath along the longitudinal axis of the vessel, avulsing the parietal venous branches, carries a risk of tearing the main vessels").</w:t>
            </w:r>
          </w:p>
        </w:tc>
        <w:tc>
          <w:tcPr>
            <w:tcW w:w="1152" w:type="dxa"/>
            <w:vAlign w:val="center"/>
          </w:tcPr>
          <w:p w14:paraId="5F6895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A47FA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675A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B49945" w14:textId="77777777">
        <w:tc>
          <w:tcPr>
            <w:tcW w:w="2160" w:type="dxa"/>
            <w:vAlign w:val="center"/>
          </w:tcPr>
          <w:p w14:paraId="1C647D3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623CA4B" w14:textId="77777777" w:rsidR="00922249" w:rsidRPr="00CB2EC4" w:rsidRDefault="003011D5">
            <w:pPr>
              <w:rPr>
                <w:rFonts w:ascii="Times New Roman" w:hAnsi="Times New Roman" w:cs="Times New Roman"/>
              </w:rPr>
            </w:pPr>
            <w:r w:rsidRPr="00CB2EC4">
              <w:rPr>
                <w:rFonts w:ascii="Times New Roman" w:hAnsi="Times New Roman" w:cs="Times New Roman"/>
              </w:rPr>
              <w:t>the method of stripping the vascular sheath along the longitudinal axis of the vessel (i.e., parallel to the long axis of the blood vessel) is explicitly stated to carry a risk of tearing major vessels and is therefore not recommended.</w:t>
            </w:r>
          </w:p>
        </w:tc>
        <w:tc>
          <w:tcPr>
            <w:tcW w:w="1152" w:type="dxa"/>
            <w:vAlign w:val="center"/>
          </w:tcPr>
          <w:p w14:paraId="361485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3F1E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C72A1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FB63E0" w14:textId="77777777">
        <w:tc>
          <w:tcPr>
            <w:tcW w:w="2160" w:type="dxa"/>
            <w:vAlign w:val="center"/>
          </w:tcPr>
          <w:p w14:paraId="5F68C75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1B3C47F" w14:textId="77777777" w:rsidR="00922249" w:rsidRPr="00CB2EC4" w:rsidRDefault="003011D5">
            <w:pPr>
              <w:rPr>
                <w:rFonts w:ascii="Times New Roman" w:hAnsi="Times New Roman" w:cs="Times New Roman"/>
              </w:rPr>
            </w:pPr>
            <w:r w:rsidRPr="00CB2EC4">
              <w:rPr>
                <w:rFonts w:ascii="Times New Roman" w:hAnsi="Times New Roman" w:cs="Times New Roman"/>
              </w:rPr>
              <w:t>during pelvic lymph node dissection, when stripping the vascular sheath, the following operative method carries a risk of tearing major vessels and is therefore not recommended:</w:t>
            </w:r>
            <w:r w:rsidRPr="00CB2EC4">
              <w:rPr>
                <w:rFonts w:ascii="Times New Roman" w:hAnsi="Times New Roman" w:cs="Times New Roman"/>
              </w:rPr>
              <w:br/>
              <w:t>- Operative method: Forcibly stripping the common iliac artery sheath using scissors.</w:t>
            </w:r>
            <w:r w:rsidRPr="00CB2EC4">
              <w:rPr>
                <w:rFonts w:ascii="Times New Roman" w:hAnsi="Times New Roman" w:cs="Times New Roman"/>
              </w:rPr>
              <w:br/>
              <w:t>- Risk: This maneuver may cause tearing of the common iliac artery or common iliac vein, leading to massive hemorrhage.</w:t>
            </w:r>
            <w:r w:rsidRPr="00CB2EC4">
              <w:rPr>
                <w:rFonts w:ascii="Times New Roman" w:hAnsi="Times New Roman" w:cs="Times New Roman"/>
              </w:rPr>
              <w:br/>
              <w:t>- Recommended alternative: The document advises using a combination of blunt and sharp dissection, gently separating the vascular sheath while avoiding forceful manipulation (refer to the lymph node dissection technique section).</w:t>
            </w:r>
          </w:p>
        </w:tc>
        <w:tc>
          <w:tcPr>
            <w:tcW w:w="1152" w:type="dxa"/>
            <w:vAlign w:val="center"/>
          </w:tcPr>
          <w:p w14:paraId="788613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AB84C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B6E35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563735A" w14:textId="77777777">
        <w:tc>
          <w:tcPr>
            <w:tcW w:w="2160" w:type="dxa"/>
            <w:vAlign w:val="center"/>
          </w:tcPr>
          <w:p w14:paraId="603388B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4112741" w14:textId="77777777" w:rsidR="00922249" w:rsidRPr="00CB2EC4" w:rsidRDefault="003011D5">
            <w:pPr>
              <w:rPr>
                <w:rFonts w:ascii="Times New Roman" w:hAnsi="Times New Roman" w:cs="Times New Roman"/>
              </w:rPr>
            </w:pPr>
            <w:r w:rsidRPr="00CB2EC4">
              <w:rPr>
                <w:rFonts w:ascii="Times New Roman" w:hAnsi="Times New Roman" w:cs="Times New Roman"/>
              </w:rPr>
              <w:t>the method of frequently changing direction during vascular sheath dissection, as it may lead to unstable operation and carries a risk of tearing major blood vessels, and is therefore not recommended.</w:t>
            </w:r>
          </w:p>
        </w:tc>
        <w:tc>
          <w:tcPr>
            <w:tcW w:w="1152" w:type="dxa"/>
            <w:vAlign w:val="center"/>
          </w:tcPr>
          <w:p w14:paraId="111BC0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0BD90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3685A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78748D7" w14:textId="77777777">
        <w:tc>
          <w:tcPr>
            <w:tcW w:w="2160" w:type="dxa"/>
            <w:vAlign w:val="center"/>
          </w:tcPr>
          <w:p w14:paraId="134D21A9"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110FB5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 Reason: The method of "continuously changing direction" during vascular sheath dissection carries a risk of tearing major vessels, such as the external iliac vein, due to its thin wall, potentially leading to hemorrhage or hematoma. The text explicitly states </w:t>
            </w:r>
            <w:r w:rsidRPr="00CB2EC4">
              <w:rPr>
                <w:rFonts w:ascii="Times New Roman" w:hAnsi="Times New Roman" w:cs="Times New Roman"/>
              </w:rPr>
              <w:lastRenderedPageBreak/>
              <w:t xml:space="preserve">this method is not recommended.  </w:t>
            </w:r>
            <w:r w:rsidRPr="00CB2EC4">
              <w:rPr>
                <w:rFonts w:ascii="Times New Roman" w:hAnsi="Times New Roman" w:cs="Times New Roman"/>
              </w:rPr>
              <w:br/>
              <w:t xml:space="preserve">- Recommended approach: Dissection should begin from the easiest accessible direction and adapt as needed, but avoid frequent directional changes; the procedure must be performed under clear visualization using gentle instruments (e.g., scissors or ultrasonic scalpel), with priority given to circumferential sheath dissection to expose the vessel safely.  </w:t>
            </w:r>
            <w:r w:rsidRPr="00CB2EC4">
              <w:rPr>
                <w:rFonts w:ascii="Times New Roman" w:hAnsi="Times New Roman" w:cs="Times New Roman"/>
              </w:rPr>
              <w:br/>
              <w:t>(Reference: "Vascular sheath dissection need not be fixed to starting from one end; adapting to the easiest direction is key. But continuously changing direction is not advised." and "If nutrient vessels are injured, hematoma forms on the thinned outer membrane... Extra caution is required when dissecting the medial side of veins and the transition zone at the femoral ring.")</w:t>
            </w:r>
          </w:p>
        </w:tc>
        <w:tc>
          <w:tcPr>
            <w:tcW w:w="1152" w:type="dxa"/>
            <w:vAlign w:val="center"/>
          </w:tcPr>
          <w:p w14:paraId="5386A2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F1212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359CF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9FE6BE9" w14:textId="77777777">
        <w:tc>
          <w:tcPr>
            <w:tcW w:w="2160" w:type="dxa"/>
            <w:vAlign w:val="center"/>
          </w:tcPr>
          <w:p w14:paraId="2C0242D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DCBDB3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method of "constantly changing direction" during vascular sheath dissection in pelvic lymphadenectomy carries a risk of tearing major vessels and is therefore not recommended.  </w:t>
            </w:r>
            <w:r w:rsidRPr="00CB2EC4">
              <w:rPr>
                <w:rFonts w:ascii="Times New Roman" w:hAnsi="Times New Roman" w:cs="Times New Roman"/>
              </w:rPr>
              <w:br/>
            </w:r>
            <w:r w:rsidRPr="00CB2EC4">
              <w:rPr>
                <w:rFonts w:ascii="Times New Roman" w:hAnsi="Times New Roman" w:cs="Times New Roman"/>
              </w:rPr>
              <w:br/>
              <w:t xml:space="preserve">Reason:  </w:t>
            </w:r>
            <w:r w:rsidRPr="00CB2EC4">
              <w:rPr>
                <w:rFonts w:ascii="Times New Roman" w:hAnsi="Times New Roman" w:cs="Times New Roman"/>
              </w:rPr>
              <w:br/>
              <w:t xml:space="preserve">- Risk: Constantly altering the direction of dissection may cause injury or tearing to the vessel wall (especially the thin-walled veins), leading to unintended bleeding; areas with loose adherence are prone to accidental damage.  </w:t>
            </w:r>
            <w:r w:rsidRPr="00CB2EC4">
              <w:rPr>
                <w:rFonts w:ascii="Times New Roman" w:hAnsi="Times New Roman" w:cs="Times New Roman"/>
              </w:rPr>
              <w:br/>
              <w:t xml:space="preserve">- Recommended alternative: Begin from the direction with weaker adhesion and adapt as needed, but avoid frequent changes in direction; maintain procedural continuity to reduce risk.  </w:t>
            </w:r>
            <w:r w:rsidRPr="00CB2EC4">
              <w:rPr>
                <w:rFonts w:ascii="Times New Roman" w:hAnsi="Times New Roman" w:cs="Times New Roman"/>
              </w:rPr>
              <w:br/>
              <w:t>This method is specifically highlighted as high-risk during dissection of the external iliac artery and vein sheath.</w:t>
            </w:r>
          </w:p>
        </w:tc>
        <w:tc>
          <w:tcPr>
            <w:tcW w:w="1152" w:type="dxa"/>
            <w:vAlign w:val="center"/>
          </w:tcPr>
          <w:p w14:paraId="40A4EE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26CB5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F7A18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C23D8FE" w14:textId="77777777">
        <w:tc>
          <w:tcPr>
            <w:tcW w:w="2160" w:type="dxa"/>
            <w:vAlign w:val="center"/>
          </w:tcPr>
          <w:p w14:paraId="707EA35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454CDDFA" w14:textId="77777777" w:rsidR="00922249" w:rsidRPr="00CB2EC4" w:rsidRDefault="003011D5">
            <w:pPr>
              <w:rPr>
                <w:rFonts w:ascii="Times New Roman" w:hAnsi="Times New Roman" w:cs="Times New Roman"/>
              </w:rPr>
            </w:pPr>
            <w:r w:rsidRPr="00CB2EC4">
              <w:rPr>
                <w:rFonts w:ascii="Times New Roman" w:hAnsi="Times New Roman" w:cs="Times New Roman"/>
              </w:rPr>
              <w:t>the method of forcibly dissecting lymph nodes from the medial side is not recommended due to the risk of tearing major vessels such as the internal iliac vein or external iliac vein.</w:t>
            </w:r>
          </w:p>
        </w:tc>
        <w:tc>
          <w:tcPr>
            <w:tcW w:w="1152" w:type="dxa"/>
            <w:vAlign w:val="center"/>
          </w:tcPr>
          <w:p w14:paraId="30ECA1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0FAAC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BBCFC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FDABBAD" w14:textId="77777777">
        <w:tc>
          <w:tcPr>
            <w:tcW w:w="2160" w:type="dxa"/>
            <w:vAlign w:val="center"/>
          </w:tcPr>
          <w:p w14:paraId="56484A8C"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E60BCE2" w14:textId="77777777" w:rsidR="00922249" w:rsidRPr="00CB2EC4" w:rsidRDefault="003011D5">
            <w:pPr>
              <w:rPr>
                <w:rFonts w:ascii="Times New Roman" w:hAnsi="Times New Roman" w:cs="Times New Roman"/>
              </w:rPr>
            </w:pPr>
            <w:r w:rsidRPr="00CB2EC4">
              <w:rPr>
                <w:rFonts w:ascii="Times New Roman" w:hAnsi="Times New Roman" w:cs="Times New Roman"/>
              </w:rPr>
              <w:t>the method of blunt dissection along the vascular sheath is explicitly stated to carry a risk of tearing the main vessels and is therefore not recommended.</w:t>
            </w:r>
          </w:p>
        </w:tc>
        <w:tc>
          <w:tcPr>
            <w:tcW w:w="1152" w:type="dxa"/>
            <w:vAlign w:val="center"/>
          </w:tcPr>
          <w:p w14:paraId="503AE7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EE2D6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F4A48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F206C05" w14:textId="77777777">
        <w:tc>
          <w:tcPr>
            <w:tcW w:w="2160" w:type="dxa"/>
            <w:vAlign w:val="center"/>
          </w:tcPr>
          <w:p w14:paraId="455EB0D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CB21B0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Not recommended method: Directly stripping the vascular sheath without first separating the gap between the vascular sheath and the iliopsoas muscle (Source Segment 4, Block 160-162).  </w:t>
            </w:r>
            <w:r w:rsidRPr="00CB2EC4">
              <w:rPr>
                <w:rFonts w:ascii="Times New Roman" w:hAnsi="Times New Roman" w:cs="Times New Roman"/>
              </w:rPr>
              <w:br/>
              <w:t xml:space="preserve">- Risk reason: Failure to first separate the loose connective tissue between the vascular sheath and the iliopsoas muscle, followed by direct stripping of the vascular sheath, carries the risk of tearing the parietal vein (such as the deep circumflex iliac vein or obturator vein branches) from the vessel wall. This may cause severe bleeding due to the thin venous wall and vulnerability of nutrient vessels to injury (Source Segment 4, Block 160-162).  </w:t>
            </w:r>
            <w:r w:rsidRPr="00CB2EC4">
              <w:rPr>
                <w:rFonts w:ascii="Times New Roman" w:hAnsi="Times New Roman" w:cs="Times New Roman"/>
              </w:rPr>
              <w:br/>
              <w:t xml:space="preserve">- Recommended alternative: It is essential to first separate the loose connective tissue between the iliopsoas muscle and the vascular sheath, beginning dissection from the iliopsoas muscle to expose the external iliac artery and vein, ensuring the vessels are stripped at the same depth level along their entire length to obtain clear visualization and minimize injury (Source Segment 4, Block 160-162).  </w:t>
            </w:r>
            <w:r w:rsidRPr="00CB2EC4">
              <w:rPr>
                <w:rFonts w:ascii="Times New Roman" w:hAnsi="Times New Roman" w:cs="Times New Roman"/>
              </w:rPr>
              <w:br/>
            </w:r>
            <w:r w:rsidRPr="00CB2EC4">
              <w:rPr>
                <w:rFonts w:ascii="Times New Roman" w:hAnsi="Times New Roman" w:cs="Times New Roman"/>
              </w:rPr>
              <w:br/>
              <w:t>The above risk and non-recommended approach are explicitly described in the section "6.3.1 Start Dissection of the External Iliac Artery and Vein from the Iliopsoas Muscle."</w:t>
            </w:r>
          </w:p>
        </w:tc>
        <w:tc>
          <w:tcPr>
            <w:tcW w:w="1152" w:type="dxa"/>
            <w:vAlign w:val="center"/>
          </w:tcPr>
          <w:p w14:paraId="37C341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8A7EA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CE9C4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26A402B" w14:textId="77777777">
        <w:tc>
          <w:tcPr>
            <w:tcW w:w="2160" w:type="dxa"/>
            <w:vAlign w:val="center"/>
          </w:tcPr>
          <w:p w14:paraId="49DCFC6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3DCB7CD8" w14:textId="77777777" w:rsidR="00922249" w:rsidRPr="00CB2EC4" w:rsidRDefault="003011D5">
            <w:pPr>
              <w:rPr>
                <w:rFonts w:ascii="Times New Roman" w:hAnsi="Times New Roman" w:cs="Times New Roman"/>
              </w:rPr>
            </w:pPr>
            <w:r w:rsidRPr="00CB2EC4">
              <w:rPr>
                <w:rFonts w:ascii="Times New Roman" w:hAnsi="Times New Roman" w:cs="Times New Roman"/>
              </w:rPr>
              <w:t>the blunt dissection method carries a risk of tearing major vessels (such as the external iliac vein or artery) during vascular sheath stripping and is therefore not recommended. Sharp dissection (e.g., using scissors or electrocautery) is recommended for precise control to avoid vascular injury.</w:t>
            </w:r>
          </w:p>
        </w:tc>
        <w:tc>
          <w:tcPr>
            <w:tcW w:w="1152" w:type="dxa"/>
            <w:vAlign w:val="center"/>
          </w:tcPr>
          <w:p w14:paraId="42812F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0FEA0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36846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1A7A54E" w14:textId="77777777">
        <w:tc>
          <w:tcPr>
            <w:tcW w:w="10656" w:type="dxa"/>
            <w:gridSpan w:val="5"/>
            <w:tcBorders>
              <w:bottom w:val="single" w:sz="6" w:space="0" w:color="auto"/>
            </w:tcBorders>
            <w:vAlign w:val="center"/>
          </w:tcPr>
          <w:p w14:paraId="412C759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119: In a nerve-sparing radical hysterectomy, how should metastatic lymph nodes adherent to the external iliac vein be resected? Why is this specific technique necessary?</w:t>
            </w:r>
          </w:p>
        </w:tc>
      </w:tr>
      <w:tr w:rsidR="00922249" w:rsidRPr="00CB2EC4" w14:paraId="4AAE5705" w14:textId="77777777">
        <w:tc>
          <w:tcPr>
            <w:tcW w:w="2160" w:type="dxa"/>
            <w:vAlign w:val="center"/>
          </w:tcPr>
          <w:p w14:paraId="777D797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3A921FF" w14:textId="77777777" w:rsidR="00922249" w:rsidRPr="00CB2EC4" w:rsidRDefault="003011D5">
            <w:pPr>
              <w:rPr>
                <w:rFonts w:ascii="Times New Roman" w:hAnsi="Times New Roman" w:cs="Times New Roman"/>
              </w:rPr>
            </w:pPr>
            <w:r w:rsidRPr="00CB2EC4">
              <w:rPr>
                <w:rFonts w:ascii="Times New Roman" w:hAnsi="Times New Roman" w:cs="Times New Roman"/>
              </w:rPr>
              <w:t>- Operation method:</w:t>
            </w:r>
            <w:r w:rsidRPr="00CB2EC4">
              <w:rPr>
                <w:rFonts w:ascii="Times New Roman" w:hAnsi="Times New Roman" w:cs="Times New Roman"/>
              </w:rPr>
              <w:br/>
              <w:t xml:space="preserve">  - Carefully dissect the lymph node along with the vascular sheath: Begin around the lymph node and dissect it together with the vascular sheath, avoiding direct cutting or rough manipulation.</w:t>
            </w:r>
            <w:r w:rsidRPr="00CB2EC4">
              <w:rPr>
                <w:rFonts w:ascii="Times New Roman" w:hAnsi="Times New Roman" w:cs="Times New Roman"/>
              </w:rPr>
              <w:br/>
              <w:t xml:space="preserve">  - Use an ultrasonic surgical aspirator (USA) for assistance: Employ the USA to fragment and separate the surrounding tissue of the lymph node, ensuring precise and safe removal.</w:t>
            </w:r>
            <w:r w:rsidRPr="00CB2EC4">
              <w:rPr>
                <w:rFonts w:ascii="Times New Roman" w:hAnsi="Times New Roman" w:cs="Times New Roman"/>
              </w:rPr>
              <w:br/>
              <w:t>- Reason:</w:t>
            </w:r>
            <w:r w:rsidRPr="00CB2EC4">
              <w:rPr>
                <w:rFonts w:ascii="Times New Roman" w:hAnsi="Times New Roman" w:cs="Times New Roman"/>
              </w:rPr>
              <w:br/>
              <w:t xml:space="preserve">  - Metastatic lymph nodes rarely infiltrate the vessel itself; therefore, dissecting them en bloc with the vascular sheath facilitates complete resection while minimizing bleeding and injury risk.</w:t>
            </w:r>
            <w:r w:rsidRPr="00CB2EC4">
              <w:rPr>
                <w:rFonts w:ascii="Times New Roman" w:hAnsi="Times New Roman" w:cs="Times New Roman"/>
              </w:rPr>
              <w:br/>
              <w:t xml:space="preserve">  - This approach avoids premature abandonment of resection, ensuring radical oncological goals, and the use of USA minimizes thermal or mechanical damage to the vessel, enhancing surgical safety.</w:t>
            </w:r>
            <w:r w:rsidRPr="00CB2EC4">
              <w:rPr>
                <w:rFonts w:ascii="Times New Roman" w:hAnsi="Times New Roman" w:cs="Times New Roman"/>
              </w:rPr>
              <w:br/>
              <w:t xml:space="preserve">(Source: Document excerpt with similarity 0.437: "Even metastatic lymph nodes fixed to the vascular sheath rarely infiltrate the vessel itself. By carefully dissecting them en bloc with the vascular sheath starting from the periphery, they can be easily removed without the need for premature abandonment. Moreover, using an ultrasonic scalpel </w:t>
            </w:r>
            <w:r w:rsidRPr="00CB2EC4">
              <w:rPr>
                <w:rFonts w:ascii="Times New Roman" w:hAnsi="Times New Roman" w:cs="Times New Roman"/>
              </w:rPr>
              <w:lastRenderedPageBreak/>
              <w:t>to fragment and separate the surrounding tissue of the lymph node allows safer achievement of radical oncological goals.")</w:t>
            </w:r>
          </w:p>
        </w:tc>
        <w:tc>
          <w:tcPr>
            <w:tcW w:w="1152" w:type="dxa"/>
            <w:vAlign w:val="center"/>
          </w:tcPr>
          <w:p w14:paraId="2A89F8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1A76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4809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4CE609" w14:textId="77777777">
        <w:tc>
          <w:tcPr>
            <w:tcW w:w="2160" w:type="dxa"/>
            <w:vAlign w:val="center"/>
          </w:tcPr>
          <w:p w14:paraId="1D4D3376"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5BBE4C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**Operational Procedure:**  </w:t>
            </w:r>
            <w:r w:rsidRPr="00CB2EC4">
              <w:rPr>
                <w:rFonts w:ascii="Times New Roman" w:hAnsi="Times New Roman" w:cs="Times New Roman"/>
              </w:rPr>
              <w:br/>
              <w:t xml:space="preserve">  - First, gently separate the adhesions between the metastatic lymph node and the external iliac vein using delicate instruments (such as fine scissors or an ultrasonic scalpel) for gradual dissection.  </w:t>
            </w:r>
            <w:r w:rsidRPr="00CB2EC4">
              <w:rPr>
                <w:rFonts w:ascii="Times New Roman" w:hAnsi="Times New Roman" w:cs="Times New Roman"/>
              </w:rPr>
              <w:br/>
              <w:t xml:space="preserve">  - If the lymph node is fixed or invades the dorsal aspect of the vascular triangle, prepare hemostatic tools (e.g., Satinsky vascular clamp, vascular tape) and potentially perform vascular suture repair.  </w:t>
            </w:r>
            <w:r w:rsidRPr="00CB2EC4">
              <w:rPr>
                <w:rFonts w:ascii="Times New Roman" w:hAnsi="Times New Roman" w:cs="Times New Roman"/>
              </w:rPr>
              <w:br/>
              <w:t xml:space="preserve">  - Maintain clear visibility during the procedure, avoiding forceful dissection; if necessary, fragment the surrounding tissue of the lymph node (assisted by an ultrasonic scalpel).  </w:t>
            </w:r>
            <w:r w:rsidRPr="00CB2EC4">
              <w:rPr>
                <w:rFonts w:ascii="Times New Roman" w:hAnsi="Times New Roman" w:cs="Times New Roman"/>
              </w:rPr>
              <w:br/>
            </w:r>
            <w:r w:rsidRPr="00CB2EC4">
              <w:rPr>
                <w:rFonts w:ascii="Times New Roman" w:hAnsi="Times New Roman" w:cs="Times New Roman"/>
              </w:rPr>
              <w:br/>
              <w:t xml:space="preserve">- **Rationale for This Approach:**  </w:t>
            </w:r>
            <w:r w:rsidRPr="00CB2EC4">
              <w:rPr>
                <w:rFonts w:ascii="Times New Roman" w:hAnsi="Times New Roman" w:cs="Times New Roman"/>
              </w:rPr>
              <w:br/>
              <w:t xml:space="preserve">  - Although metastatic lymph nodes rarely infiltrate the venous wall, forceful dissection can easily lead to vascular injury and unexpected bleeding; the external iliac vein has thin walls and high pressure, making hemostasis difficult post-injury.  </w:t>
            </w:r>
            <w:r w:rsidRPr="00CB2EC4">
              <w:rPr>
                <w:rFonts w:ascii="Times New Roman" w:hAnsi="Times New Roman" w:cs="Times New Roman"/>
              </w:rPr>
              <w:br/>
              <w:t xml:space="preserve">  - Thorough preparation (e.g., hemostatic tools) prevents major bleeding complications and ensures surgical safety (as referenced in block numbers 166 and 175 of the main text).</w:t>
            </w:r>
          </w:p>
        </w:tc>
        <w:tc>
          <w:tcPr>
            <w:tcW w:w="1152" w:type="dxa"/>
            <w:vAlign w:val="center"/>
          </w:tcPr>
          <w:p w14:paraId="04444E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857F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7E6D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38528E" w14:textId="77777777">
        <w:tc>
          <w:tcPr>
            <w:tcW w:w="2160" w:type="dxa"/>
            <w:vAlign w:val="center"/>
          </w:tcPr>
          <w:p w14:paraId="4D21AA2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F8A886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**Operational Method**:  </w:t>
            </w:r>
            <w:r w:rsidRPr="00CB2EC4">
              <w:rPr>
                <w:rFonts w:ascii="Times New Roman" w:hAnsi="Times New Roman" w:cs="Times New Roman"/>
              </w:rPr>
              <w:br/>
              <w:t xml:space="preserve">  - In the narrow space between the vascular sheath and the vessel, use fine scissors and an ultrasonic scalpel (set at 30% output power) to gradually cut the connective tissue.  </w:t>
            </w:r>
            <w:r w:rsidRPr="00CB2EC4">
              <w:rPr>
                <w:rFonts w:ascii="Times New Roman" w:hAnsi="Times New Roman" w:cs="Times New Roman"/>
              </w:rPr>
              <w:br/>
              <w:t xml:space="preserve">  - Do not focus on one spot; instead, identify areas of </w:t>
            </w:r>
            <w:r w:rsidRPr="00CB2EC4">
              <w:rPr>
                <w:rFonts w:ascii="Times New Roman" w:hAnsi="Times New Roman" w:cs="Times New Roman"/>
              </w:rPr>
              <w:lastRenderedPageBreak/>
              <w:t xml:space="preserve">weak attachment (such as loose regions) to begin dissection, approaching the center (tumor) from multiple directions.  </w:t>
            </w:r>
            <w:r w:rsidRPr="00CB2EC4">
              <w:rPr>
                <w:rFonts w:ascii="Times New Roman" w:hAnsi="Times New Roman" w:cs="Times New Roman"/>
              </w:rPr>
              <w:br/>
              <w:t xml:space="preserve">  - Protect the vein with fingertips while carefully fragmenting and separating the connective tissue between the lymph node and the vein.  </w:t>
            </w:r>
            <w:r w:rsidRPr="00CB2EC4">
              <w:rPr>
                <w:rFonts w:ascii="Times New Roman" w:hAnsi="Times New Roman" w:cs="Times New Roman"/>
              </w:rPr>
              <w:br/>
            </w:r>
            <w:r w:rsidRPr="00CB2EC4">
              <w:rPr>
                <w:rFonts w:ascii="Times New Roman" w:hAnsi="Times New Roman" w:cs="Times New Roman"/>
              </w:rPr>
              <w:br/>
              <w:t xml:space="preserve">- **Reason for this Approach**:  </w:t>
            </w:r>
            <w:r w:rsidRPr="00CB2EC4">
              <w:rPr>
                <w:rFonts w:ascii="Times New Roman" w:hAnsi="Times New Roman" w:cs="Times New Roman"/>
              </w:rPr>
              <w:br/>
              <w:t xml:space="preserve">  - To avoid damaging the wall of the external iliac vein, preventing hemorrhage or venous tearing (as tight adherence increases the risk of inadvertent injury).  </w:t>
            </w:r>
            <w:r w:rsidRPr="00CB2EC4">
              <w:rPr>
                <w:rFonts w:ascii="Times New Roman" w:hAnsi="Times New Roman" w:cs="Times New Roman"/>
              </w:rPr>
              <w:br/>
              <w:t xml:space="preserve">  - To ensure safe lymph node resection, reduce the risk of cancer cell dissemination, and protect surrounding neural structures (e.g., obturator nerve), thereby improving surgical success rates.</w:t>
            </w:r>
          </w:p>
        </w:tc>
        <w:tc>
          <w:tcPr>
            <w:tcW w:w="1152" w:type="dxa"/>
            <w:vAlign w:val="center"/>
          </w:tcPr>
          <w:p w14:paraId="20A045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F9003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2D3CB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3F5D4F" w14:textId="77777777">
        <w:tc>
          <w:tcPr>
            <w:tcW w:w="2160" w:type="dxa"/>
            <w:vAlign w:val="center"/>
          </w:tcPr>
          <w:p w14:paraId="25C3F4B8"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98FF63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operative method and rationale for removing metastatic lymph nodes attached to the external iliac vein during nerve-sparing radical hysterectomy are as follows:  </w:t>
            </w:r>
            <w:r w:rsidRPr="00CB2EC4">
              <w:rPr>
                <w:rFonts w:ascii="Times New Roman" w:hAnsi="Times New Roman" w:cs="Times New Roman"/>
              </w:rPr>
              <w:br/>
            </w:r>
            <w:r w:rsidRPr="00CB2EC4">
              <w:rPr>
                <w:rFonts w:ascii="Times New Roman" w:hAnsi="Times New Roman" w:cs="Times New Roman"/>
              </w:rPr>
              <w:br/>
              <w:t xml:space="preserve">- **Operative Method**:  </w:t>
            </w:r>
            <w:r w:rsidRPr="00CB2EC4">
              <w:rPr>
                <w:rFonts w:ascii="Times New Roman" w:hAnsi="Times New Roman" w:cs="Times New Roman"/>
              </w:rPr>
              <w:br/>
              <w:t xml:space="preserve">  1. **Expose the vessel**: Use a ureteral hook to retract the external iliac artery upward, fully exposing the external iliac vein.  </w:t>
            </w:r>
            <w:r w:rsidRPr="00CB2EC4">
              <w:rPr>
                <w:rFonts w:ascii="Times New Roman" w:hAnsi="Times New Roman" w:cs="Times New Roman"/>
              </w:rPr>
              <w:br/>
              <w:t xml:space="preserve">  2. **Clamping and traction**: Gently clamp the fatty mass containing the lymph node with a lymph node clamp and retract it toward the proximal end (toward the body's center), avoiding direct clamping of the venous wall.  </w:t>
            </w:r>
            <w:r w:rsidRPr="00CB2EC4">
              <w:rPr>
                <w:rFonts w:ascii="Times New Roman" w:hAnsi="Times New Roman" w:cs="Times New Roman"/>
              </w:rPr>
              <w:br/>
              <w:t xml:space="preserve">  3. **Circumferential stripping of the vascular sheath**: Strip the vascular sheath circumferentially along the external iliac vein using fine, long curved scissors (18–20 cm) or an ultrasonic scalpel for sharp </w:t>
            </w:r>
            <w:r w:rsidRPr="00CB2EC4">
              <w:rPr>
                <w:rFonts w:ascii="Times New Roman" w:hAnsi="Times New Roman" w:cs="Times New Roman"/>
              </w:rPr>
              <w:lastRenderedPageBreak/>
              <w:t xml:space="preserve">dissection. Transect the lymph node at the inguinal region, paying attention to the accessory obturator vein (which may drain from the obturator into the external iliac vein).  </w:t>
            </w:r>
            <w:r w:rsidRPr="00CB2EC4">
              <w:rPr>
                <w:rFonts w:ascii="Times New Roman" w:hAnsi="Times New Roman" w:cs="Times New Roman"/>
              </w:rPr>
              <w:br/>
              <w:t xml:space="preserve">  4. **Handling metastatic lymph nodes**: If the lymph node is tightly adherent to the vein, first strip the surrounding tissue before excising it separately. In case of bleeding, use hemostatic clips or bipolar electrocautery for hemostasis.  </w:t>
            </w:r>
            <w:r w:rsidRPr="00CB2EC4">
              <w:rPr>
                <w:rFonts w:ascii="Times New Roman" w:hAnsi="Times New Roman" w:cs="Times New Roman"/>
              </w:rPr>
              <w:br/>
            </w:r>
            <w:r w:rsidRPr="00CB2EC4">
              <w:rPr>
                <w:rFonts w:ascii="Times New Roman" w:hAnsi="Times New Roman" w:cs="Times New Roman"/>
              </w:rPr>
              <w:br/>
              <w:t xml:space="preserve">- **Rationale for This Approach**:  </w:t>
            </w:r>
            <w:r w:rsidRPr="00CB2EC4">
              <w:rPr>
                <w:rFonts w:ascii="Times New Roman" w:hAnsi="Times New Roman" w:cs="Times New Roman"/>
              </w:rPr>
              <w:br/>
              <w:t xml:space="preserve">  - **Avoid vascular injury**: The external iliac vein has a thin wall, and metastatic lymph nodes may infiltrate the vascular sheath. Rough dissection can easily lead to venous tearing or perforation, causing massive bleeding.  </w:t>
            </w:r>
            <w:r w:rsidRPr="00CB2EC4">
              <w:rPr>
                <w:rFonts w:ascii="Times New Roman" w:hAnsi="Times New Roman" w:cs="Times New Roman"/>
              </w:rPr>
              <w:br/>
              <w:t xml:space="preserve">  - **Prevent cancer cell dissemination**: Gentle manipulation reduces the risk of intraoperative cancer cell shedding and metastasis (the text mentions that premature blood flow occlusion may increase metastasis risk).  </w:t>
            </w:r>
            <w:r w:rsidRPr="00CB2EC4">
              <w:rPr>
                <w:rFonts w:ascii="Times New Roman" w:hAnsi="Times New Roman" w:cs="Times New Roman"/>
              </w:rPr>
              <w:br/>
              <w:t xml:space="preserve">  - **Ensure thorough dissection**: Circumferential stripping allows complete removal of lymph nodes, including occult nodes within vascular fissures, aligning with radical objectives.  </w:t>
            </w:r>
            <w:r w:rsidRPr="00CB2EC4">
              <w:rPr>
                <w:rFonts w:ascii="Times New Roman" w:hAnsi="Times New Roman" w:cs="Times New Roman"/>
              </w:rPr>
              <w:br/>
            </w:r>
            <w:r w:rsidRPr="00CB2EC4">
              <w:rPr>
                <w:rFonts w:ascii="Times New Roman" w:hAnsi="Times New Roman" w:cs="Times New Roman"/>
              </w:rPr>
              <w:br/>
              <w:t xml:space="preserve">**Source Analysis**:  </w:t>
            </w:r>
            <w:r w:rsidRPr="00CB2EC4">
              <w:rPr>
                <w:rFonts w:ascii="Times New Roman" w:hAnsi="Times New Roman" w:cs="Times New Roman"/>
              </w:rPr>
              <w:br/>
              <w:t xml:space="preserve">- **Knowledge base document**: Derived from sections "6.3.5 Removal of Deep Inguinal Lymph Nodes" and "9 Excision of Metastatic Lymph Nodes" (describing clamping, traction, stripping steps, and bleeding risks).  </w:t>
            </w:r>
            <w:r w:rsidRPr="00CB2EC4">
              <w:rPr>
                <w:rFonts w:ascii="Times New Roman" w:hAnsi="Times New Roman" w:cs="Times New Roman"/>
              </w:rPr>
              <w:br/>
              <w:t xml:space="preserve">- **Web search results**: Supplemented general principles of pelvic lymph node dissection (e.g., "en </w:t>
            </w:r>
            <w:r w:rsidRPr="00CB2EC4">
              <w:rPr>
                <w:rFonts w:ascii="Times New Roman" w:hAnsi="Times New Roman" w:cs="Times New Roman"/>
              </w:rPr>
              <w:lastRenderedPageBreak/>
              <w:t xml:space="preserve">bloc lymph node excision, primarily sharp dissection"), consistent with the knowledge base.  </w:t>
            </w:r>
            <w:r w:rsidRPr="00CB2EC4">
              <w:rPr>
                <w:rFonts w:ascii="Times New Roman" w:hAnsi="Times New Roman" w:cs="Times New Roman"/>
              </w:rPr>
              <w:br/>
              <w:t>- **Comprehensive explanation**: The knowledge base provides specific techniques, while web search results support operative principles; no conflicting information exists.</w:t>
            </w:r>
          </w:p>
        </w:tc>
        <w:tc>
          <w:tcPr>
            <w:tcW w:w="1152" w:type="dxa"/>
            <w:vAlign w:val="center"/>
          </w:tcPr>
          <w:p w14:paraId="52E628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BBD5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08AF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4B5BD0" w14:textId="77777777">
        <w:tc>
          <w:tcPr>
            <w:tcW w:w="2160" w:type="dxa"/>
            <w:vAlign w:val="center"/>
          </w:tcPr>
          <w:p w14:paraId="54EBA90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6FC0E2E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nerve-sparing radical hysterectomy, when removing metastatic lymph nodes adherent to the external iliac vein, the following procedure should be followed:  </w:t>
            </w:r>
            <w:r w:rsidRPr="00CB2EC4">
              <w:rPr>
                <w:rFonts w:ascii="Times New Roman" w:hAnsi="Times New Roman" w:cs="Times New Roman"/>
              </w:rPr>
              <w:br/>
              <w:t xml:space="preserve">- Procedure:  </w:t>
            </w:r>
            <w:r w:rsidRPr="00CB2EC4">
              <w:rPr>
                <w:rFonts w:ascii="Times New Roman" w:hAnsi="Times New Roman" w:cs="Times New Roman"/>
              </w:rPr>
              <w:br/>
              <w:t xml:space="preserve">  1. Carefully dissect the lymph node and vascular sheath: Begin around the lymph node and carefully dissect it along with the vascular sheath as a unit, avoiding direct incision into the vein.  </w:t>
            </w:r>
            <w:r w:rsidRPr="00CB2EC4">
              <w:rPr>
                <w:rFonts w:ascii="Times New Roman" w:hAnsi="Times New Roman" w:cs="Times New Roman"/>
              </w:rPr>
              <w:br/>
              <w:t xml:space="preserve">  2. Use ultrasonic surgical aspirator (USA) assistance: Employ USA to fragment and separate the tissue surrounding the lymph node for safe removal. Set the vibration output power to 30%~50%, suction pressure to 200 mmHg, and irrigation flow to 30~50 mL/min.  </w:t>
            </w:r>
            <w:r w:rsidRPr="00CB2EC4">
              <w:rPr>
                <w:rFonts w:ascii="Times New Roman" w:hAnsi="Times New Roman" w:cs="Times New Roman"/>
              </w:rPr>
              <w:br/>
              <w:t xml:space="preserve">  3. Avoid premature abandonment: Even if the lymph node is fixed, dissection should be performed patiently rather than abandoned prematurely.  </w:t>
            </w:r>
            <w:r w:rsidRPr="00CB2EC4">
              <w:rPr>
                <w:rFonts w:ascii="Times New Roman" w:hAnsi="Times New Roman" w:cs="Times New Roman"/>
              </w:rPr>
              <w:br/>
              <w:t xml:space="preserve">- Rationale:  </w:t>
            </w:r>
            <w:r w:rsidRPr="00CB2EC4">
              <w:rPr>
                <w:rFonts w:ascii="Times New Roman" w:hAnsi="Times New Roman" w:cs="Times New Roman"/>
              </w:rPr>
              <w:br/>
              <w:t xml:space="preserve">  - Safety consideration: Metastatic lymph nodes rarely infiltrate the vascular wall; careful dissection avoids injury to the external iliac vein (thin wall, prone to rupture) and prevents unexpected hemorrhage.  </w:t>
            </w:r>
            <w:r w:rsidRPr="00CB2EC4">
              <w:rPr>
                <w:rFonts w:ascii="Times New Roman" w:hAnsi="Times New Roman" w:cs="Times New Roman"/>
              </w:rPr>
              <w:br/>
              <w:t xml:space="preserve">  - Radical oncologic goal: USA enables precise tissue fragmentation, minimizing thermal damage to adjacent nerves and vessels (e.g., obturator nerve), ensuring radical resection while preserving neural structures.  </w:t>
            </w:r>
            <w:r w:rsidRPr="00CB2EC4">
              <w:rPr>
                <w:rFonts w:ascii="Times New Roman" w:hAnsi="Times New Roman" w:cs="Times New Roman"/>
              </w:rPr>
              <w:br/>
            </w:r>
            <w:r w:rsidRPr="00CB2EC4">
              <w:rPr>
                <w:rFonts w:ascii="Times New Roman" w:hAnsi="Times New Roman" w:cs="Times New Roman"/>
              </w:rPr>
              <w:lastRenderedPageBreak/>
              <w:t>Basis: Document excerpt 4 ("Even those metastatic lymph nodes fixed to the vascular sheath rarely infiltrate the vessel wall; as long as they are carefully dissected from the periphery along with the vascular sheath, they can be easily removed—there is no need for premature abandonment. Using an ultrasonic surgical aspirator to fragment and separate the tissue around the lymph node allows the radical goal to be achieved more safely") and Document excerpt 3 (USA parameters).</w:t>
            </w:r>
          </w:p>
        </w:tc>
        <w:tc>
          <w:tcPr>
            <w:tcW w:w="1152" w:type="dxa"/>
            <w:vAlign w:val="center"/>
          </w:tcPr>
          <w:p w14:paraId="55CCFA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3BD75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5ABE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E086B4" w14:textId="77777777">
        <w:tc>
          <w:tcPr>
            <w:tcW w:w="2160" w:type="dxa"/>
            <w:vAlign w:val="center"/>
          </w:tcPr>
          <w:p w14:paraId="000E2B8F"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AA9BD2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**Operational Procedure:**  </w:t>
            </w:r>
            <w:r w:rsidRPr="00CB2EC4">
              <w:rPr>
                <w:rFonts w:ascii="Times New Roman" w:hAnsi="Times New Roman" w:cs="Times New Roman"/>
              </w:rPr>
              <w:br/>
              <w:t xml:space="preserve">  - Begin at the site where the lymph node and vein are weakly connected, using harmonic scalpel (output power set at 30%) and fine scissors, and proceed stepwise with sharp or blunt dissection techniques.  </w:t>
            </w:r>
            <w:r w:rsidRPr="00CB2EC4">
              <w:rPr>
                <w:rFonts w:ascii="Times New Roman" w:hAnsi="Times New Roman" w:cs="Times New Roman"/>
              </w:rPr>
              <w:br/>
              <w:t xml:space="preserve">  - Protect the venous wall with fingertips while carefully fragmenting and separating the connective tissue between the lymph node and vein (avoid rough traction).  </w:t>
            </w:r>
            <w:r w:rsidRPr="00CB2EC4">
              <w:rPr>
                <w:rFonts w:ascii="Times New Roman" w:hAnsi="Times New Roman" w:cs="Times New Roman"/>
              </w:rPr>
              <w:br/>
              <w:t xml:space="preserve">  - Attempt to approach the center (tumor) from all directions, avoiding deep penetration into the parietal muscle layer, and remain vigilant for potential transverse bladder veins.  </w:t>
            </w:r>
            <w:r w:rsidRPr="00CB2EC4">
              <w:rPr>
                <w:rFonts w:ascii="Times New Roman" w:hAnsi="Times New Roman" w:cs="Times New Roman"/>
              </w:rPr>
              <w:br/>
            </w:r>
            <w:r w:rsidRPr="00CB2EC4">
              <w:rPr>
                <w:rFonts w:ascii="Times New Roman" w:hAnsi="Times New Roman" w:cs="Times New Roman"/>
              </w:rPr>
              <w:br/>
              <w:t xml:space="preserve">- **Rationale for This Approach:**  </w:t>
            </w:r>
            <w:r w:rsidRPr="00CB2EC4">
              <w:rPr>
                <w:rFonts w:ascii="Times New Roman" w:hAnsi="Times New Roman" w:cs="Times New Roman"/>
              </w:rPr>
              <w:br/>
              <w:t xml:space="preserve">  - Prevent damage to the external iliac vein wall to avoid accidental bleeding or venous laceration, as rough handling may lead to severe hemorrhage or cancer cell dissemination (the document notes "no infiltration into the venous wall yet," but caution is advised).  </w:t>
            </w:r>
            <w:r w:rsidRPr="00CB2EC4">
              <w:rPr>
                <w:rFonts w:ascii="Times New Roman" w:hAnsi="Times New Roman" w:cs="Times New Roman"/>
              </w:rPr>
              <w:br/>
              <w:t xml:space="preserve">  - Ensure safe resection of metastatic lymph nodes while preserving surrounding neural structures (e.g., obturator nerve) to maintain postoperative functions </w:t>
            </w:r>
            <w:r w:rsidRPr="00CB2EC4">
              <w:rPr>
                <w:rFonts w:ascii="Times New Roman" w:hAnsi="Times New Roman" w:cs="Times New Roman"/>
              </w:rPr>
              <w:lastRenderedPageBreak/>
              <w:t>(e.g., bladder function).</w:t>
            </w:r>
          </w:p>
        </w:tc>
        <w:tc>
          <w:tcPr>
            <w:tcW w:w="1152" w:type="dxa"/>
            <w:vAlign w:val="center"/>
          </w:tcPr>
          <w:p w14:paraId="1CC96C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665F5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9785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0441C9" w14:textId="77777777">
        <w:tc>
          <w:tcPr>
            <w:tcW w:w="2160" w:type="dxa"/>
            <w:vAlign w:val="center"/>
          </w:tcPr>
          <w:p w14:paraId="339C6AAD"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2B54D0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removing metastatic lymph nodes attached to the external iliac vein during a nerve-sparing radical hysterectomy, the procedure should be performed as follows:  </w:t>
            </w:r>
            <w:r w:rsidRPr="00CB2EC4">
              <w:rPr>
                <w:rFonts w:ascii="Times New Roman" w:hAnsi="Times New Roman" w:cs="Times New Roman"/>
              </w:rPr>
              <w:br/>
              <w:t xml:space="preserve">- First, ligate the afferent lymphatic vessels of the lymph node with fine silk thread.  </w:t>
            </w:r>
            <w:r w:rsidRPr="00CB2EC4">
              <w:rPr>
                <w:rFonts w:ascii="Times New Roman" w:hAnsi="Times New Roman" w:cs="Times New Roman"/>
              </w:rPr>
              <w:br/>
              <w:t xml:space="preserve">- Then, carefully dissect the lymph node, avoiding direct traction or injury to the external iliac vein.  </w:t>
            </w:r>
            <w:r w:rsidRPr="00CB2EC4">
              <w:rPr>
                <w:rFonts w:ascii="Times New Roman" w:hAnsi="Times New Roman" w:cs="Times New Roman"/>
              </w:rPr>
              <w:br/>
              <w:t xml:space="preserve">- Use an ultrasonic scalpel or long curved scissors for precise separation to ensure complete removal of the lymph node.  </w:t>
            </w:r>
            <w:r w:rsidRPr="00CB2EC4">
              <w:rPr>
                <w:rFonts w:ascii="Times New Roman" w:hAnsi="Times New Roman" w:cs="Times New Roman"/>
              </w:rPr>
              <w:br/>
            </w:r>
            <w:r w:rsidRPr="00CB2EC4">
              <w:rPr>
                <w:rFonts w:ascii="Times New Roman" w:hAnsi="Times New Roman" w:cs="Times New Roman"/>
              </w:rPr>
              <w:br/>
              <w:t xml:space="preserve">The reasons for this approach are:  </w:t>
            </w:r>
            <w:r w:rsidRPr="00CB2EC4">
              <w:rPr>
                <w:rFonts w:ascii="Times New Roman" w:hAnsi="Times New Roman" w:cs="Times New Roman"/>
              </w:rPr>
              <w:br/>
              <w:t xml:space="preserve">- To prevent cancer cell dissemination: Ligation of the afferent lymphatic vessels prevents intraoperative spread of cancer cells via lymphatic fluid, reducing the risk of metastasis.  </w:t>
            </w:r>
            <w:r w:rsidRPr="00CB2EC4">
              <w:rPr>
                <w:rFonts w:ascii="Times New Roman" w:hAnsi="Times New Roman" w:cs="Times New Roman"/>
              </w:rPr>
              <w:br/>
              <w:t xml:space="preserve">- To minimize bleeding risk: The wall of the external iliac vein is thin; direct dissection may cause venous tearing and hemorrhage; careful technique minimizes damage.  </w:t>
            </w:r>
            <w:r w:rsidRPr="00CB2EC4">
              <w:rPr>
                <w:rFonts w:ascii="Times New Roman" w:hAnsi="Times New Roman" w:cs="Times New Roman"/>
              </w:rPr>
              <w:br/>
              <w:t>- To ensure thorough lymph node dissection: Precise dissection facilitates complete removal of metastatic lymph nodes, improving the radicality of the surgery (refer to the section on pelvic lymphadenectomy).</w:t>
            </w:r>
          </w:p>
        </w:tc>
        <w:tc>
          <w:tcPr>
            <w:tcW w:w="1152" w:type="dxa"/>
            <w:vAlign w:val="center"/>
          </w:tcPr>
          <w:p w14:paraId="505912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4188C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CDB52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71F5561" w14:textId="77777777">
        <w:tc>
          <w:tcPr>
            <w:tcW w:w="2160" w:type="dxa"/>
            <w:vAlign w:val="center"/>
          </w:tcPr>
          <w:p w14:paraId="4F5CA88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0B9AA6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How to operate:  </w:t>
            </w:r>
            <w:r w:rsidRPr="00CB2EC4">
              <w:rPr>
                <w:rFonts w:ascii="Times New Roman" w:hAnsi="Times New Roman" w:cs="Times New Roman"/>
              </w:rPr>
              <w:br/>
              <w:t xml:space="preserve">  - Traction of the vessel: Use a ureteral hook or vein retractor to gently pull the external iliac vein outward and upward to expose the lymph node area (Document Fragment 6).  </w:t>
            </w:r>
            <w:r w:rsidRPr="00CB2EC4">
              <w:rPr>
                <w:rFonts w:ascii="Times New Roman" w:hAnsi="Times New Roman" w:cs="Times New Roman"/>
              </w:rPr>
              <w:br/>
              <w:t xml:space="preserve">  - Clamping and dissection: Use a lymph node clamp or bile duct clamp to grasp the fatty mass containing </w:t>
            </w:r>
            <w:r w:rsidRPr="00CB2EC4">
              <w:rPr>
                <w:rFonts w:ascii="Times New Roman" w:hAnsi="Times New Roman" w:cs="Times New Roman"/>
              </w:rPr>
              <w:lastRenderedPageBreak/>
              <w:t xml:space="preserve">the lymph nodes, pull it toward the proximal (surgeon’s) side, then circumferentially dissect the vascular sheath of the external iliac vein (Document Fragment 5).  </w:t>
            </w:r>
            <w:r w:rsidRPr="00CB2EC4">
              <w:rPr>
                <w:rFonts w:ascii="Times New Roman" w:hAnsi="Times New Roman" w:cs="Times New Roman"/>
              </w:rPr>
              <w:br/>
              <w:t xml:space="preserve">  - Careful separation: Clear fat and lymph nodes from lateral to medial along both sides of the obturator nerve; "do not go too deep," and use a combination of sharp (scissors) and blunt dissection to avoid entering the vascular triangle (Document Fragment 6).  </w:t>
            </w:r>
            <w:r w:rsidRPr="00CB2EC4">
              <w:rPr>
                <w:rFonts w:ascii="Times New Roman" w:hAnsi="Times New Roman" w:cs="Times New Roman"/>
              </w:rPr>
              <w:br/>
              <w:t xml:space="preserve">  - Auxiliary tools: Use an ultrasonic scalpel to fragment surrounding tissue of the lymph nodes when necessary to ensure safe removal (Document Fragment 4).  </w:t>
            </w:r>
            <w:r w:rsidRPr="00CB2EC4">
              <w:rPr>
                <w:rFonts w:ascii="Times New Roman" w:hAnsi="Times New Roman" w:cs="Times New Roman"/>
              </w:rPr>
              <w:br/>
              <w:t xml:space="preserve">- Why this operation is needed:  </w:t>
            </w:r>
            <w:r w:rsidRPr="00CB2EC4">
              <w:rPr>
                <w:rFonts w:ascii="Times New Roman" w:hAnsi="Times New Roman" w:cs="Times New Roman"/>
              </w:rPr>
              <w:br/>
              <w:t xml:space="preserve">  - To avoid vascular injury: The external iliac vein has a thin wall and is prone to damage, which can cause massive hemorrhage; careful dissection is required because the vein is closely adherent to lymph nodes, and rough handling may tear the vein or its nutrient vessels (Document Fragment 5).  </w:t>
            </w:r>
            <w:r w:rsidRPr="00CB2EC4">
              <w:rPr>
                <w:rFonts w:ascii="Times New Roman" w:hAnsi="Times New Roman" w:cs="Times New Roman"/>
              </w:rPr>
              <w:br/>
              <w:t xml:space="preserve">  - To prevent complications: This approach minimizes the risk of unintended bleeding and hematoma formation, achieves radical goals, and protects structures such as the obturator nerve to preserve neurological function (Document Fragment 6).  </w:t>
            </w:r>
            <w:r w:rsidRPr="00CB2EC4">
              <w:rPr>
                <w:rFonts w:ascii="Times New Roman" w:hAnsi="Times New Roman" w:cs="Times New Roman"/>
              </w:rPr>
              <w:br/>
              <w:t xml:space="preserve">  - Anatomical risk: Injury at branching points of the external iliac vein (e.g., deep circumflex iliac vein) makes hemostasis difficult; therefore, the procedure must be performed under clear visualization (Document Fragment 5).</w:t>
            </w:r>
          </w:p>
        </w:tc>
        <w:tc>
          <w:tcPr>
            <w:tcW w:w="1152" w:type="dxa"/>
            <w:vAlign w:val="center"/>
          </w:tcPr>
          <w:p w14:paraId="5DCAA1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19E0B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27A6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95A16E3" w14:textId="77777777">
        <w:tc>
          <w:tcPr>
            <w:tcW w:w="2160" w:type="dxa"/>
            <w:vAlign w:val="center"/>
          </w:tcPr>
          <w:p w14:paraId="081B513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B068E7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How to Operate When Removing Metastatic Lymph Nodes Attached to the External Iliac Vein During Nerve-Sparing Radical Hysterectomy  </w:t>
            </w:r>
            <w:r w:rsidRPr="00CB2EC4">
              <w:rPr>
                <w:rFonts w:ascii="Times New Roman" w:hAnsi="Times New Roman" w:cs="Times New Roman"/>
              </w:rPr>
              <w:br/>
            </w:r>
            <w:r w:rsidRPr="00CB2EC4">
              <w:rPr>
                <w:rFonts w:ascii="Times New Roman" w:hAnsi="Times New Roman" w:cs="Times New Roman"/>
              </w:rPr>
              <w:lastRenderedPageBreak/>
              <w:br/>
              <w:t xml:space="preserve">Why Is This Operation Necessary?  </w:t>
            </w:r>
            <w:r w:rsidRPr="00CB2EC4">
              <w:rPr>
                <w:rFonts w:ascii="Times New Roman" w:hAnsi="Times New Roman" w:cs="Times New Roman"/>
              </w:rPr>
              <w:br/>
              <w:t xml:space="preserve">When removing metastatic lymph nodes attached to the external iliac vein, the operative method and rationale are as follows:  </w:t>
            </w:r>
            <w:r w:rsidRPr="00CB2EC4">
              <w:rPr>
                <w:rFonts w:ascii="Times New Roman" w:hAnsi="Times New Roman" w:cs="Times New Roman"/>
              </w:rPr>
              <w:br/>
              <w:t xml:space="preserve">- Operative Method:  </w:t>
            </w:r>
            <w:r w:rsidRPr="00CB2EC4">
              <w:rPr>
                <w:rFonts w:ascii="Times New Roman" w:hAnsi="Times New Roman" w:cs="Times New Roman"/>
              </w:rPr>
              <w:br/>
              <w:t xml:space="preserve">  - Use a ureteral hook to lift the external iliac artery upward to expose the venous area.  </w:t>
            </w:r>
            <w:r w:rsidRPr="00CB2EC4">
              <w:rPr>
                <w:rFonts w:ascii="Times New Roman" w:hAnsi="Times New Roman" w:cs="Times New Roman"/>
              </w:rPr>
              <w:br/>
              <w:t xml:space="preserve">  - Grasp the fatty tissue containing lymph nodes with lymph node forceps and gently retract medially.  </w:t>
            </w:r>
            <w:r w:rsidRPr="00CB2EC4">
              <w:rPr>
                <w:rFonts w:ascii="Times New Roman" w:hAnsi="Times New Roman" w:cs="Times New Roman"/>
              </w:rPr>
              <w:br/>
              <w:t xml:space="preserve">  - Use scissors or an ultrasonic scalpel to gently separate the lymph nodes from the loose tissue of the venous outer layer, ensuring circumferential stripping of the vascular sheath.  </w:t>
            </w:r>
            <w:r w:rsidRPr="00CB2EC4">
              <w:rPr>
                <w:rFonts w:ascii="Times New Roman" w:hAnsi="Times New Roman" w:cs="Times New Roman"/>
              </w:rPr>
              <w:br/>
              <w:t xml:space="preserve">  - Avoid monopolar electrocautery and instead use atraumatic instruments (such as hemostatic forceps or ultrasonic scalpels) to remove lymph nodes to prevent thermal injury.  </w:t>
            </w:r>
            <w:r w:rsidRPr="00CB2EC4">
              <w:rPr>
                <w:rFonts w:ascii="Times New Roman" w:hAnsi="Times New Roman" w:cs="Times New Roman"/>
              </w:rPr>
              <w:br/>
              <w:t xml:space="preserve">- Why Is This Operation Necessary:  </w:t>
            </w:r>
            <w:r w:rsidRPr="00CB2EC4">
              <w:rPr>
                <w:rFonts w:ascii="Times New Roman" w:hAnsi="Times New Roman" w:cs="Times New Roman"/>
              </w:rPr>
              <w:br/>
              <w:t xml:space="preserve">  - Prevent Vascular Injury: The external iliac vein wall is thin, and rough handling can easily lead to tearing, bleeding, or hematoma.  </w:t>
            </w:r>
            <w:r w:rsidRPr="00CB2EC4">
              <w:rPr>
                <w:rFonts w:ascii="Times New Roman" w:hAnsi="Times New Roman" w:cs="Times New Roman"/>
              </w:rPr>
              <w:br/>
              <w:t xml:space="preserve">  - Avoid Neurological Complications: This area is close to the obturator nerve; monopolar electrocautery may cause leg movement or postoperative hypoesthesia. Gentle separation helps protect the nerve.  </w:t>
            </w:r>
            <w:r w:rsidRPr="00CB2EC4">
              <w:rPr>
                <w:rFonts w:ascii="Times New Roman" w:hAnsi="Times New Roman" w:cs="Times New Roman"/>
              </w:rPr>
              <w:br/>
              <w:t xml:space="preserve">  - Ensure Thorough Dissection: Circumferential stripping and medial retraction facilitate complete lymph node removal, reducing the risk of residual cancer cells.</w:t>
            </w:r>
          </w:p>
        </w:tc>
        <w:tc>
          <w:tcPr>
            <w:tcW w:w="1152" w:type="dxa"/>
            <w:vAlign w:val="center"/>
          </w:tcPr>
          <w:p w14:paraId="6593E7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618D7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206C9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4FCEEEE" w14:textId="77777777">
        <w:tc>
          <w:tcPr>
            <w:tcW w:w="2160" w:type="dxa"/>
            <w:vAlign w:val="center"/>
          </w:tcPr>
          <w:p w14:paraId="202CCF0B"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20FA4E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Operation method:  </w:t>
            </w:r>
            <w:r w:rsidRPr="00CB2EC4">
              <w:rPr>
                <w:rFonts w:ascii="Times New Roman" w:hAnsi="Times New Roman" w:cs="Times New Roman"/>
              </w:rPr>
              <w:br/>
              <w:t xml:space="preserve">  1. Use fine instruments: Employ an ultrasonic scalpel (output power 30%) and fine scissors for sharp or </w:t>
            </w:r>
            <w:r w:rsidRPr="00CB2EC4">
              <w:rPr>
                <w:rFonts w:ascii="Times New Roman" w:hAnsi="Times New Roman" w:cs="Times New Roman"/>
              </w:rPr>
              <w:lastRenderedPageBreak/>
              <w:t xml:space="preserve">blunt dissection.  </w:t>
            </w:r>
            <w:r w:rsidRPr="00CB2EC4">
              <w:rPr>
                <w:rFonts w:ascii="Times New Roman" w:hAnsi="Times New Roman" w:cs="Times New Roman"/>
              </w:rPr>
              <w:br/>
              <w:t xml:space="preserve">  2. Progressive separation: Dissect bit by bit from around the lymph node, first using the ultrasonic scalpel to fragment and aspirate connective tissue, then carefully cutting adherent parts with scissors.  </w:t>
            </w:r>
            <w:r w:rsidRPr="00CB2EC4">
              <w:rPr>
                <w:rFonts w:ascii="Times New Roman" w:hAnsi="Times New Roman" w:cs="Times New Roman"/>
              </w:rPr>
              <w:br/>
              <w:t xml:space="preserve">  3. Protect the vein: During the procedure, gently shield the external iliac vein wall with fingertips or instruments to avoid direct contact; slowly peel the lymph node off the vein (as illustrated: expose lymph node → separate → complete detachment).  </w:t>
            </w:r>
            <w:r w:rsidRPr="00CB2EC4">
              <w:rPr>
                <w:rFonts w:ascii="Times New Roman" w:hAnsi="Times New Roman" w:cs="Times New Roman"/>
              </w:rPr>
              <w:br/>
              <w:t xml:space="preserve">  4. Avoid forceful manipulation: Identify areas of weak adhesion to begin dissection, advancing gradually toward the center; use forceps to lift the lymph node to assist separation when necessary.  </w:t>
            </w:r>
            <w:r w:rsidRPr="00CB2EC4">
              <w:rPr>
                <w:rFonts w:ascii="Times New Roman" w:hAnsi="Times New Roman" w:cs="Times New Roman"/>
              </w:rPr>
              <w:br/>
              <w:t xml:space="preserve">- Reasons for this approach:  </w:t>
            </w:r>
            <w:r w:rsidRPr="00CB2EC4">
              <w:rPr>
                <w:rFonts w:ascii="Times New Roman" w:hAnsi="Times New Roman" w:cs="Times New Roman"/>
              </w:rPr>
              <w:br/>
              <w:t xml:space="preserve">  1. Rare cancer infiltration: Metastatic lymph nodes seldom truly infiltrate the vein wall ("no experience with infiltration into the vein wall"), so patient dissection enables safe removal without abandonment.  </w:t>
            </w:r>
            <w:r w:rsidRPr="00CB2EC4">
              <w:rPr>
                <w:rFonts w:ascii="Times New Roman" w:hAnsi="Times New Roman" w:cs="Times New Roman"/>
              </w:rPr>
              <w:br/>
              <w:t xml:space="preserve">  2. Reduce bleeding risk: The external iliac vein wall is thin and easily damaged; forceful manipulation may cause tearing or major hemorrhage, and hemostasis is difficult in this region (e.g., triangular segment injury).  </w:t>
            </w:r>
            <w:r w:rsidRPr="00CB2EC4">
              <w:rPr>
                <w:rFonts w:ascii="Times New Roman" w:hAnsi="Times New Roman" w:cs="Times New Roman"/>
              </w:rPr>
              <w:br/>
              <w:t xml:space="preserve">  3. Ensure radicality: This method allows en bloc resection of lymph nodes, aligning with oncological surgical principles; ultrasonic scalpel assistance provides clear operative field visualization.</w:t>
            </w:r>
          </w:p>
        </w:tc>
        <w:tc>
          <w:tcPr>
            <w:tcW w:w="1152" w:type="dxa"/>
            <w:vAlign w:val="center"/>
          </w:tcPr>
          <w:p w14:paraId="5D35E5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7B105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22A4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FBF9BC7" w14:textId="77777777">
        <w:tc>
          <w:tcPr>
            <w:tcW w:w="2160" w:type="dxa"/>
            <w:vAlign w:val="center"/>
          </w:tcPr>
          <w:p w14:paraId="4666D044"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1509632" w14:textId="77777777" w:rsidR="00922249" w:rsidRPr="00CB2EC4" w:rsidRDefault="003011D5">
            <w:pPr>
              <w:rPr>
                <w:rFonts w:ascii="Times New Roman" w:hAnsi="Times New Roman" w:cs="Times New Roman"/>
              </w:rPr>
            </w:pPr>
            <w:r w:rsidRPr="00CB2EC4">
              <w:rPr>
                <w:rFonts w:ascii="Times New Roman" w:hAnsi="Times New Roman" w:cs="Times New Roman"/>
              </w:rPr>
              <w:t>How should metastatic lymph nodes attached to the external iliac vein be removed during nerve-sparing radical hysterectomy? Why is this approach necessary?</w:t>
            </w:r>
            <w:r w:rsidRPr="00CB2EC4">
              <w:rPr>
                <w:rFonts w:ascii="Times New Roman" w:hAnsi="Times New Roman" w:cs="Times New Roman"/>
              </w:rPr>
              <w:br/>
            </w:r>
            <w:r w:rsidRPr="00CB2EC4">
              <w:rPr>
                <w:rFonts w:ascii="Times New Roman" w:hAnsi="Times New Roman" w:cs="Times New Roman"/>
              </w:rPr>
              <w:br/>
              <w:t xml:space="preserve">- **Operational Steps:**  </w:t>
            </w:r>
            <w:r w:rsidRPr="00CB2EC4">
              <w:rPr>
                <w:rFonts w:ascii="Times New Roman" w:hAnsi="Times New Roman" w:cs="Times New Roman"/>
              </w:rPr>
              <w:br/>
            </w:r>
            <w:r w:rsidRPr="00CB2EC4">
              <w:rPr>
                <w:rFonts w:ascii="Times New Roman" w:hAnsi="Times New Roman" w:cs="Times New Roman"/>
              </w:rPr>
              <w:lastRenderedPageBreak/>
              <w:t xml:space="preserve">  → Use a ureteral hook to lift the external iliac artery upward, exposing the external iliac vein.  </w:t>
            </w:r>
            <w:r w:rsidRPr="00CB2EC4">
              <w:rPr>
                <w:rFonts w:ascii="Times New Roman" w:hAnsi="Times New Roman" w:cs="Times New Roman"/>
              </w:rPr>
              <w:br/>
              <w:t xml:space="preserve">  → Grasp the fat pad containing the lymph nodes with lymph node forceps and retract it proximally (cephalad).  </w:t>
            </w:r>
            <w:r w:rsidRPr="00CB2EC4">
              <w:rPr>
                <w:rFonts w:ascii="Times New Roman" w:hAnsi="Times New Roman" w:cs="Times New Roman"/>
              </w:rPr>
              <w:br/>
              <w:t xml:space="preserve">  → Circumferentially dissect the vascular sheath of the external iliac vein, carefully separate adhesions between the lymph nodes and the vein, and then transect at the inguinal region.  </w:t>
            </w:r>
            <w:r w:rsidRPr="00CB2EC4">
              <w:rPr>
                <w:rFonts w:ascii="Times New Roman" w:hAnsi="Times New Roman" w:cs="Times New Roman"/>
              </w:rPr>
              <w:br/>
              <w:t xml:space="preserve">  → Avoid monopolar electrocautery during the procedure; instead, use scissors or an ultrasonic scalpel for gentle dissection to prevent venous wall injury.  </w:t>
            </w:r>
            <w:r w:rsidRPr="00CB2EC4">
              <w:rPr>
                <w:rFonts w:ascii="Times New Roman" w:hAnsi="Times New Roman" w:cs="Times New Roman"/>
              </w:rPr>
              <w:br/>
            </w:r>
            <w:r w:rsidRPr="00CB2EC4">
              <w:rPr>
                <w:rFonts w:ascii="Times New Roman" w:hAnsi="Times New Roman" w:cs="Times New Roman"/>
              </w:rPr>
              <w:br/>
              <w:t xml:space="preserve">- **Why This Approach Is Necessary:**  </w:t>
            </w:r>
            <w:r w:rsidRPr="00CB2EC4">
              <w:rPr>
                <w:rFonts w:ascii="Times New Roman" w:hAnsi="Times New Roman" w:cs="Times New Roman"/>
              </w:rPr>
              <w:br/>
              <w:t xml:space="preserve">  → The external iliac vein has a thin wall and is prone to injury; forceful manipulation may lead to venous rupture, hematoma, or accidental bleeding.  </w:t>
            </w:r>
            <w:r w:rsidRPr="00CB2EC4">
              <w:rPr>
                <w:rFonts w:ascii="Times New Roman" w:hAnsi="Times New Roman" w:cs="Times New Roman"/>
              </w:rPr>
              <w:br/>
              <w:t xml:space="preserve">  → Lymph nodes are closely adherent to the vein (especially in the deep inguinal lymph node region), and circumferential dissection of the vascular sheath ensures complete lymph node removal while reducing the risk of cancer cell dissemination (premature blood flow interruption may increase metastasis risk).  </w:t>
            </w:r>
            <w:r w:rsidRPr="00CB2EC4">
              <w:rPr>
                <w:rFonts w:ascii="Times New Roman" w:hAnsi="Times New Roman" w:cs="Times New Roman"/>
              </w:rPr>
              <w:br/>
              <w:t xml:space="preserve">  → This approach preserves structures such as the obturator nerve, adhering to the principle of nerve-sparing surgery.</w:t>
            </w:r>
          </w:p>
        </w:tc>
        <w:tc>
          <w:tcPr>
            <w:tcW w:w="1152" w:type="dxa"/>
            <w:vAlign w:val="center"/>
          </w:tcPr>
          <w:p w14:paraId="3B9EDF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8F785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AC3AC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74A747F" w14:textId="77777777">
        <w:tc>
          <w:tcPr>
            <w:tcW w:w="2160" w:type="dxa"/>
            <w:vAlign w:val="center"/>
          </w:tcPr>
          <w:p w14:paraId="64C7F31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5C686DC" w14:textId="77777777" w:rsidR="00922249" w:rsidRPr="00CB2EC4" w:rsidRDefault="003011D5">
            <w:pPr>
              <w:rPr>
                <w:rFonts w:ascii="Times New Roman" w:hAnsi="Times New Roman" w:cs="Times New Roman"/>
              </w:rPr>
            </w:pPr>
            <w:r w:rsidRPr="00CB2EC4">
              <w:rPr>
                <w:rFonts w:ascii="Times New Roman" w:hAnsi="Times New Roman" w:cs="Times New Roman"/>
              </w:rPr>
              <w:t>when removing metastatic lymph nodes attached to the external iliac vein during a nerve-sparing radical hysterectomy, the following steps should be performed:</w:t>
            </w:r>
            <w:r w:rsidRPr="00CB2EC4">
              <w:rPr>
                <w:rFonts w:ascii="Times New Roman" w:hAnsi="Times New Roman" w:cs="Times New Roman"/>
              </w:rPr>
              <w:br/>
            </w:r>
            <w:r w:rsidRPr="00CB2EC4">
              <w:rPr>
                <w:rFonts w:ascii="Times New Roman" w:hAnsi="Times New Roman" w:cs="Times New Roman"/>
              </w:rPr>
              <w:br/>
              <w:t xml:space="preserve">1.  Carefully dissect and separate the metastatic lymph nodes from the adventitial surface of the external iliac </w:t>
            </w:r>
            <w:r w:rsidRPr="00CB2EC4">
              <w:rPr>
                <w:rFonts w:ascii="Times New Roman" w:hAnsi="Times New Roman" w:cs="Times New Roman"/>
              </w:rPr>
              <w:lastRenderedPageBreak/>
              <w:t>vein using fine-tipped bipolar forceps and micro-scissors under magnification.</w:t>
            </w:r>
            <w:r w:rsidRPr="00CB2EC4">
              <w:rPr>
                <w:rFonts w:ascii="Times New Roman" w:hAnsi="Times New Roman" w:cs="Times New Roman"/>
              </w:rPr>
              <w:br/>
              <w:t>2.  Achieve meticulous hemostasis during the dissection process using bipolar coagulation to prevent venous injury and bleeding.</w:t>
            </w:r>
            <w:r w:rsidRPr="00CB2EC4">
              <w:rPr>
                <w:rFonts w:ascii="Times New Roman" w:hAnsi="Times New Roman" w:cs="Times New Roman"/>
              </w:rPr>
              <w:br/>
              <w:t>3.  Preserve the autonomic nerve fibers (hypogastric plexus and splanchnic nerves) running along the external iliac artery and vein by identifying and retracting them away from the surgical field before lymph node removal.</w:t>
            </w:r>
            <w:r w:rsidRPr="00CB2EC4">
              <w:rPr>
                <w:rFonts w:ascii="Times New Roman" w:hAnsi="Times New Roman" w:cs="Times New Roman"/>
              </w:rPr>
              <w:br/>
              <w:t>4.  Avoid excessive traction or thermal spread near the nerve structures to maintain nerve integrity and postoperative bladder/rectal function.</w:t>
            </w:r>
            <w:r w:rsidRPr="00CB2EC4">
              <w:rPr>
                <w:rFonts w:ascii="Times New Roman" w:hAnsi="Times New Roman" w:cs="Times New Roman"/>
              </w:rPr>
              <w:br/>
              <w:t>5.  If the lymph node is densely adherent or invading the vein wall, consider partial resection of the involved venous segment with primary repair or interposition grafting, balancing oncologic safety with vascular preservation.</w:t>
            </w:r>
            <w:r w:rsidRPr="00CB2EC4">
              <w:rPr>
                <w:rFonts w:ascii="Times New Roman" w:hAnsi="Times New Roman" w:cs="Times New Roman"/>
              </w:rPr>
              <w:br/>
            </w:r>
            <w:r w:rsidRPr="00CB2EC4">
              <w:rPr>
                <w:rFonts w:ascii="Times New Roman" w:hAnsi="Times New Roman" w:cs="Times New Roman"/>
              </w:rPr>
              <w:br/>
              <w:t>This approach is necessary because:</w:t>
            </w:r>
            <w:r w:rsidRPr="00CB2EC4">
              <w:rPr>
                <w:rFonts w:ascii="Times New Roman" w:hAnsi="Times New Roman" w:cs="Times New Roman"/>
              </w:rPr>
              <w:br/>
            </w:r>
            <w:r w:rsidRPr="00CB2EC4">
              <w:rPr>
                <w:rFonts w:ascii="Times New Roman" w:hAnsi="Times New Roman" w:cs="Times New Roman"/>
              </w:rPr>
              <w:br/>
              <w:t>-   Metastatic lymph nodes adherent to the external iliac vein pose a risk of vascular injury if bluntly dissected or avulsed, potentially leading to life-threatening hemorrhage or venous thrombosis.</w:t>
            </w:r>
            <w:r w:rsidRPr="00CB2EC4">
              <w:rPr>
                <w:rFonts w:ascii="Times New Roman" w:hAnsi="Times New Roman" w:cs="Times New Roman"/>
              </w:rPr>
              <w:br/>
              <w:t>-   Aggressive manipulation near the vein can damage the delicate autonomic nerves embedded in the vascular sheath, resulting in neurogenic bladder dysfunction, urinary retention, or constipation.</w:t>
            </w:r>
            <w:r w:rsidRPr="00CB2EC4">
              <w:rPr>
                <w:rFonts w:ascii="Times New Roman" w:hAnsi="Times New Roman" w:cs="Times New Roman"/>
              </w:rPr>
              <w:br/>
              <w:t>-   Precise microsurgical technique minimizes thermal and mechanical trauma to the vein wall and surrounding nerves, reducing complications while ensuring complete oncologic resection.</w:t>
            </w:r>
            <w:r w:rsidRPr="00CB2EC4">
              <w:rPr>
                <w:rFonts w:ascii="Times New Roman" w:hAnsi="Times New Roman" w:cs="Times New Roman"/>
              </w:rPr>
              <w:br/>
              <w:t xml:space="preserve">-   Nerve-sparing principles are critical in radical </w:t>
            </w:r>
            <w:r w:rsidRPr="00CB2EC4">
              <w:rPr>
                <w:rFonts w:ascii="Times New Roman" w:hAnsi="Times New Roman" w:cs="Times New Roman"/>
              </w:rPr>
              <w:lastRenderedPageBreak/>
              <w:t>hysterectomy to preserve pelvic organ function and improve the patient’s quality of life postoperatively.</w:t>
            </w:r>
          </w:p>
        </w:tc>
        <w:tc>
          <w:tcPr>
            <w:tcW w:w="1152" w:type="dxa"/>
            <w:vAlign w:val="center"/>
          </w:tcPr>
          <w:p w14:paraId="0C3092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E682D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DA8FE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15BC851" w14:textId="77777777">
        <w:tc>
          <w:tcPr>
            <w:tcW w:w="2160" w:type="dxa"/>
            <w:vAlign w:val="center"/>
          </w:tcPr>
          <w:p w14:paraId="1E63DE0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7849FE6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**Operational Method:**  </w:t>
            </w:r>
            <w:r w:rsidRPr="00CB2EC4">
              <w:rPr>
                <w:rFonts w:ascii="Times New Roman" w:hAnsi="Times New Roman" w:cs="Times New Roman"/>
              </w:rPr>
              <w:br/>
              <w:t xml:space="preserve">  - Use an ultrasonic scalpel to carefully fragment and dissect: Employ the ultrasonic scalpel (output power 30%~50%) to break down the connective tissue between the lymph node and the vein, and suction away the fragments. Dissection must be performed incrementally to avoid single-step cutting (Reference Segment 6, Block 175-177).  </w:t>
            </w:r>
            <w:r w:rsidRPr="00CB2EC4">
              <w:rPr>
                <w:rFonts w:ascii="Times New Roman" w:hAnsi="Times New Roman" w:cs="Times New Roman"/>
              </w:rPr>
              <w:br/>
              <w:t xml:space="preserve">  - Protect the vein with fingertip guidance: During dissection, gently shield the external iliac vein with a fingertip to prevent direct injury to the venous wall. Simultaneously, identify areas where the lymph node adheres weakly to the vein (e.g., gaps) and approach from multiple directions toward the center (tumor) (Reference Segment 6, Block 175-177; Figure 113 description).  </w:t>
            </w:r>
            <w:r w:rsidRPr="00CB2EC4">
              <w:rPr>
                <w:rFonts w:ascii="Times New Roman" w:hAnsi="Times New Roman" w:cs="Times New Roman"/>
              </w:rPr>
              <w:br/>
              <w:t xml:space="preserve">  - Avoid blind deep dissection: If separation is difficult, do not force deeper dissection; first assess circumferentially and reserve space for repair if needed. When necessary, use monopolar scissors or coagulation to manage exposed parietal branches (Reference Segment 6, Block 175-177).  </w:t>
            </w:r>
            <w:r w:rsidRPr="00CB2EC4">
              <w:rPr>
                <w:rFonts w:ascii="Times New Roman" w:hAnsi="Times New Roman" w:cs="Times New Roman"/>
              </w:rPr>
              <w:br/>
            </w:r>
            <w:r w:rsidRPr="00CB2EC4">
              <w:rPr>
                <w:rFonts w:ascii="Times New Roman" w:hAnsi="Times New Roman" w:cs="Times New Roman"/>
              </w:rPr>
              <w:br/>
              <w:t xml:space="preserve">- **Reasons for This Approach:**  </w:t>
            </w:r>
            <w:r w:rsidRPr="00CB2EC4">
              <w:rPr>
                <w:rFonts w:ascii="Times New Roman" w:hAnsi="Times New Roman" w:cs="Times New Roman"/>
              </w:rPr>
              <w:br/>
              <w:t xml:space="preserve">  - Prevent venous injury: The external iliac vein has a thin wall; direct manipulation or excessive force can cause venous rupture or hematoma, leading to uncontrollable hemorrhage (Reference Segment 4, Block 160-162; Reference Segment 6, Block 175-177).  </w:t>
            </w:r>
            <w:r w:rsidRPr="00CB2EC4">
              <w:rPr>
                <w:rFonts w:ascii="Times New Roman" w:hAnsi="Times New Roman" w:cs="Times New Roman"/>
              </w:rPr>
              <w:br/>
              <w:t xml:space="preserve">  - Ensure safety and radicality: Meticulous dissection enables complete removal of metastatic lymph nodes </w:t>
            </w:r>
            <w:r w:rsidRPr="00CB2EC4">
              <w:rPr>
                <w:rFonts w:ascii="Times New Roman" w:hAnsi="Times New Roman" w:cs="Times New Roman"/>
              </w:rPr>
              <w:lastRenderedPageBreak/>
              <w:t xml:space="preserve">while preserving surrounding structures (e.g., obturator nerve and vessels), reducing postoperative complications (e.g., ureteral or nerve injury) and improving surgical success rates (Reference Segment 6, Block 175-177).  </w:t>
            </w:r>
            <w:r w:rsidRPr="00CB2EC4">
              <w:rPr>
                <w:rFonts w:ascii="Times New Roman" w:hAnsi="Times New Roman" w:cs="Times New Roman"/>
              </w:rPr>
              <w:br/>
              <w:t xml:space="preserve">  - Based on anatomical risk: The external iliac vein region often has accessory obturator vein branches; injury to these nutrient vessels causes oozing bleeding and increases surgical difficulty (Reference Segment 4, Block 160-162).  </w:t>
            </w:r>
            <w:r w:rsidRPr="00CB2EC4">
              <w:rPr>
                <w:rFonts w:ascii="Times New Roman" w:hAnsi="Times New Roman" w:cs="Times New Roman"/>
              </w:rPr>
              <w:br/>
            </w:r>
            <w:r w:rsidRPr="00CB2EC4">
              <w:rPr>
                <w:rFonts w:ascii="Times New Roman" w:hAnsi="Times New Roman" w:cs="Times New Roman"/>
              </w:rPr>
              <w:br/>
              <w:t>Detailed guidance is provided in the section "9 Removal of Metastatic Lymph Nodes" (Reference Segment 6, Block 175-177) and Figure 113.</w:t>
            </w:r>
          </w:p>
        </w:tc>
        <w:tc>
          <w:tcPr>
            <w:tcW w:w="1152" w:type="dxa"/>
            <w:vAlign w:val="center"/>
          </w:tcPr>
          <w:p w14:paraId="49B258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F7AD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C45E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18CA78" w14:textId="77777777">
        <w:tc>
          <w:tcPr>
            <w:tcW w:w="2160" w:type="dxa"/>
            <w:vAlign w:val="center"/>
          </w:tcPr>
          <w:p w14:paraId="7920AB55"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559C8E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how to operate: use sharp dissection (such as fine scissors or bipolar electrocautery) to gently separate the lymph node from the vein wall, avoiding traction or clamping of the lymph node. Dissection should be performed carefully along the longitudinal axis of the vein to ensure the lymph node is fully mobilized before removal.  </w:t>
            </w:r>
            <w:r w:rsidRPr="00CB2EC4">
              <w:rPr>
                <w:rFonts w:ascii="Times New Roman" w:hAnsi="Times New Roman" w:cs="Times New Roman"/>
              </w:rPr>
              <w:br/>
              <w:t xml:space="preserve">   - why this operation is needed: because the external iliac vein has thin walls and is prone to tearing; rough manipulation may cause massive hemorrhage or venous injury, which can compromise surgical safety and patient outcomes. Sharp dissection minimizes trauma and preserves venous integrity.</w:t>
            </w:r>
          </w:p>
        </w:tc>
        <w:tc>
          <w:tcPr>
            <w:tcW w:w="1152" w:type="dxa"/>
            <w:vAlign w:val="center"/>
          </w:tcPr>
          <w:p w14:paraId="107D04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721D6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82705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19A8907" w14:textId="77777777">
        <w:tc>
          <w:tcPr>
            <w:tcW w:w="10656" w:type="dxa"/>
            <w:gridSpan w:val="5"/>
            <w:tcBorders>
              <w:bottom w:val="single" w:sz="6" w:space="0" w:color="auto"/>
            </w:tcBorders>
            <w:vAlign w:val="center"/>
          </w:tcPr>
          <w:p w14:paraId="0E1C5FF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120: During the lymph node dissection phase of a nerve-sparing radical hysterectomy, at what stage of the operation should the sheath of the internal iliac artery and vein be dissected?</w:t>
            </w:r>
          </w:p>
        </w:tc>
      </w:tr>
      <w:tr w:rsidR="00922249" w:rsidRPr="00CB2EC4" w14:paraId="633E18A5" w14:textId="77777777">
        <w:tc>
          <w:tcPr>
            <w:tcW w:w="2160" w:type="dxa"/>
            <w:vAlign w:val="center"/>
          </w:tcPr>
          <w:p w14:paraId="5087CCE0"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4CB869E" w14:textId="77777777" w:rsidR="00922249" w:rsidRPr="00CB2EC4" w:rsidRDefault="003011D5">
            <w:pPr>
              <w:rPr>
                <w:rFonts w:ascii="Times New Roman" w:hAnsi="Times New Roman" w:cs="Times New Roman"/>
              </w:rPr>
            </w:pPr>
            <w:r w:rsidRPr="00CB2EC4">
              <w:rPr>
                <w:rFonts w:ascii="Times New Roman" w:hAnsi="Times New Roman" w:cs="Times New Roman"/>
              </w:rPr>
              <w:t>In nerve-sparing radical hysterectomy, the dissection of the internal iliac vascular sheath should be performed at the following timing during lymphadenectomy:</w:t>
            </w:r>
            <w:r w:rsidRPr="00CB2EC4">
              <w:rPr>
                <w:rFonts w:ascii="Times New Roman" w:hAnsi="Times New Roman" w:cs="Times New Roman"/>
              </w:rPr>
              <w:br/>
            </w:r>
            <w:r w:rsidRPr="00CB2EC4">
              <w:rPr>
                <w:rFonts w:ascii="Times New Roman" w:hAnsi="Times New Roman" w:cs="Times New Roman"/>
              </w:rPr>
              <w:lastRenderedPageBreak/>
              <w:t>- Before cutting the transverse cervical ligament, during the development of the Latzko rectal lateral space: Specifically, after the vascular branches have been identified, the vascular sheath is incised closely adjacent to these branches, and the incision is extended distally to expose and dissect the internal iliac artery and vein sheath.</w:t>
            </w:r>
            <w:r w:rsidRPr="00CB2EC4">
              <w:rPr>
                <w:rFonts w:ascii="Times New Roman" w:hAnsi="Times New Roman" w:cs="Times New Roman"/>
              </w:rPr>
              <w:br/>
              <w:t>(Source: Document [Similarity: 0.493] section: "The dissection of the internal iliac vascular sheath, as previously stated, is carried out before cutting the transverse cervical ligament, during the development of the Latzko rectal lateral space (Figure 101). Roughly speaking, after the branches have been given off, the vascular sheath is incised closely adjacent to them and the incision is extended toward the distal end...")</w:t>
            </w:r>
          </w:p>
        </w:tc>
        <w:tc>
          <w:tcPr>
            <w:tcW w:w="1152" w:type="dxa"/>
            <w:vAlign w:val="center"/>
          </w:tcPr>
          <w:p w14:paraId="0EF81B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4B02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BC56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5842D58" w14:textId="77777777">
        <w:tc>
          <w:tcPr>
            <w:tcW w:w="2160" w:type="dxa"/>
            <w:vAlign w:val="center"/>
          </w:tcPr>
          <w:p w14:paraId="60446FA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C7CEB62" w14:textId="77777777" w:rsidR="00922249" w:rsidRPr="00CB2EC4" w:rsidRDefault="003011D5">
            <w:pPr>
              <w:rPr>
                <w:rFonts w:ascii="Times New Roman" w:hAnsi="Times New Roman" w:cs="Times New Roman"/>
              </w:rPr>
            </w:pPr>
            <w:r w:rsidRPr="00CB2EC4">
              <w:rPr>
                <w:rFonts w:ascii="Times New Roman" w:hAnsi="Times New Roman" w:cs="Times New Roman"/>
              </w:rPr>
              <w:t>when performing lymph node dissection during a nerve-sparing radical hysterectomy, the stripping of the internal iliac artery and vein sheath should be carried out at which stage of the surgery?</w:t>
            </w:r>
            <w:r w:rsidRPr="00CB2EC4">
              <w:rPr>
                <w:rFonts w:ascii="Times New Roman" w:hAnsi="Times New Roman" w:cs="Times New Roman"/>
              </w:rPr>
              <w:br/>
            </w:r>
            <w:r w:rsidRPr="00CB2EC4">
              <w:rPr>
                <w:rFonts w:ascii="Times New Roman" w:hAnsi="Times New Roman" w:cs="Times New Roman"/>
              </w:rPr>
              <w:br/>
              <w:t>According to Document Section 5 (Block No. 161, Block Topic: Key Points of Pelvic Lymph Node Dissection), the timing for stripping the internal iliac artery and vein sheath is specified as follows:</w:t>
            </w:r>
            <w:r w:rsidRPr="00CB2EC4">
              <w:rPr>
                <w:rFonts w:ascii="Times New Roman" w:hAnsi="Times New Roman" w:cs="Times New Roman"/>
              </w:rPr>
              <w:br/>
              <w:t>- It is performed after the dissection of the obturator lymph nodes, specifically as step 6 in the lymph node dissection sequence: dissection of the internal iliac lymph nodes.</w:t>
            </w:r>
            <w:r w:rsidRPr="00CB2EC4">
              <w:rPr>
                <w:rFonts w:ascii="Times New Roman" w:hAnsi="Times New Roman" w:cs="Times New Roman"/>
              </w:rPr>
              <w:br/>
              <w:t>Reason: The dissection sequence is as follows:</w:t>
            </w:r>
            <w:r w:rsidRPr="00CB2EC4">
              <w:rPr>
                <w:rFonts w:ascii="Times New Roman" w:hAnsi="Times New Roman" w:cs="Times New Roman"/>
              </w:rPr>
              <w:br/>
              <w:t xml:space="preserve">  1. Strip the external iliac artery vascular sheath (dissect superficial external iliac lymph nodes).</w:t>
            </w:r>
            <w:r w:rsidRPr="00CB2EC4">
              <w:rPr>
                <w:rFonts w:ascii="Times New Roman" w:hAnsi="Times New Roman" w:cs="Times New Roman"/>
              </w:rPr>
              <w:br/>
              <w:t xml:space="preserve">  2. Dissect the inguinal lymph nodes.</w:t>
            </w:r>
            <w:r w:rsidRPr="00CB2EC4">
              <w:rPr>
                <w:rFonts w:ascii="Times New Roman" w:hAnsi="Times New Roman" w:cs="Times New Roman"/>
              </w:rPr>
              <w:br/>
              <w:t xml:space="preserve">  3. Strip the external iliac vein vascular sheath </w:t>
            </w:r>
            <w:r w:rsidRPr="00CB2EC4">
              <w:rPr>
                <w:rFonts w:ascii="Times New Roman" w:hAnsi="Times New Roman" w:cs="Times New Roman"/>
              </w:rPr>
              <w:lastRenderedPageBreak/>
              <w:t>(dissect deep external iliac lymph nodes).</w:t>
            </w:r>
            <w:r w:rsidRPr="00CB2EC4">
              <w:rPr>
                <w:rFonts w:ascii="Times New Roman" w:hAnsi="Times New Roman" w:cs="Times New Roman"/>
              </w:rPr>
              <w:br/>
              <w:t xml:space="preserve">  4. Dissect the internal inguinal lymph nodes.</w:t>
            </w:r>
            <w:r w:rsidRPr="00CB2EC4">
              <w:rPr>
                <w:rFonts w:ascii="Times New Roman" w:hAnsi="Times New Roman" w:cs="Times New Roman"/>
              </w:rPr>
              <w:br/>
              <w:t xml:space="preserve">  5. Dissect the obturator lymph nodes.</w:t>
            </w:r>
            <w:r w:rsidRPr="00CB2EC4">
              <w:rPr>
                <w:rFonts w:ascii="Times New Roman" w:hAnsi="Times New Roman" w:cs="Times New Roman"/>
              </w:rPr>
              <w:br/>
              <w:t xml:space="preserve">  6. Dissect the internal iliac lymph nodes (at this point, strip the internal iliac artery and vein sheath).</w:t>
            </w:r>
            <w:r w:rsidRPr="00CB2EC4">
              <w:rPr>
                <w:rFonts w:ascii="Times New Roman" w:hAnsi="Times New Roman" w:cs="Times New Roman"/>
              </w:rPr>
              <w:br/>
              <w:t xml:space="preserve">  7. Subsequent steps (such as dissecting the transverse cervical ligament lymph nodes, etc.).</w:t>
            </w:r>
            <w:r w:rsidRPr="00CB2EC4">
              <w:rPr>
                <w:rFonts w:ascii="Times New Roman" w:hAnsi="Times New Roman" w:cs="Times New Roman"/>
              </w:rPr>
              <w:br/>
              <w:t>This sequence ensures systematic operation and avoids omissions (content from Block 161 main text).</w:t>
            </w:r>
          </w:p>
        </w:tc>
        <w:tc>
          <w:tcPr>
            <w:tcW w:w="1152" w:type="dxa"/>
            <w:vAlign w:val="center"/>
          </w:tcPr>
          <w:p w14:paraId="1F5ED6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45907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6869E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9E0063A" w14:textId="77777777">
        <w:tc>
          <w:tcPr>
            <w:tcW w:w="2160" w:type="dxa"/>
            <w:vAlign w:val="center"/>
          </w:tcPr>
          <w:p w14:paraId="1ACC78C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141AAFB" w14:textId="77777777" w:rsidR="00922249" w:rsidRPr="00CB2EC4" w:rsidRDefault="003011D5">
            <w:pPr>
              <w:rPr>
                <w:rFonts w:ascii="Times New Roman" w:hAnsi="Times New Roman" w:cs="Times New Roman"/>
              </w:rPr>
            </w:pPr>
            <w:r w:rsidRPr="00CB2EC4">
              <w:rPr>
                <w:rFonts w:ascii="Times New Roman" w:hAnsi="Times New Roman" w:cs="Times New Roman"/>
              </w:rPr>
              <w:t>the stripping of the internal iliac artery and vein sheath should be performed during the lymph node dissection stage of the nerve-sparing radical hysterectomy, specifically:</w:t>
            </w:r>
            <w:r w:rsidRPr="00CB2EC4">
              <w:rPr>
                <w:rFonts w:ascii="Times New Roman" w:hAnsi="Times New Roman" w:cs="Times New Roman"/>
              </w:rPr>
              <w:br/>
            </w:r>
            <w:r w:rsidRPr="00CB2EC4">
              <w:rPr>
                <w:rFonts w:ascii="Times New Roman" w:hAnsi="Times New Roman" w:cs="Times New Roman"/>
              </w:rPr>
              <w:br/>
              <w:t>- Before cutting the transverse cervical ligament, during the development of the Latzko rectal side space (as explicitly stated in fragment 5).</w:t>
            </w:r>
            <w:r w:rsidRPr="00CB2EC4">
              <w:rPr>
                <w:rFonts w:ascii="Times New Roman" w:hAnsi="Times New Roman" w:cs="Times New Roman"/>
              </w:rPr>
              <w:br/>
              <w:t>- Detailed steps: Begin with the dissection of the internal iliac lymph nodes; first strip the arterial sheath (advancing from the ventral incision toward the bifurcation of the umbilical ligament), then proceed to strip the deep venous sheath (as per fragment 11).</w:t>
            </w:r>
            <w:r w:rsidRPr="00CB2EC4">
              <w:rPr>
                <w:rFonts w:ascii="Times New Roman" w:hAnsi="Times New Roman" w:cs="Times New Roman"/>
              </w:rPr>
              <w:br/>
              <w:t>- The purpose is to ensure nerve preservation (e.g., avoiding injury to ureteral branches or pelvic nerves) and to provide a safe foundation for subsequent handling of the transverse cervical ligament.</w:t>
            </w:r>
          </w:p>
        </w:tc>
        <w:tc>
          <w:tcPr>
            <w:tcW w:w="1152" w:type="dxa"/>
            <w:vAlign w:val="center"/>
          </w:tcPr>
          <w:p w14:paraId="3F4926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451AD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68C1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8CF970" w14:textId="77777777">
        <w:tc>
          <w:tcPr>
            <w:tcW w:w="2160" w:type="dxa"/>
            <w:vAlign w:val="center"/>
          </w:tcPr>
          <w:p w14:paraId="025BCBCC"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6A5F3B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stripping of the internal iliac artery and vein sheath should be performed during the lymph node dissection phase of the nerve-sparing radical hysterectomy, specifically when dissecting the internal iliac lymph nodes, as an early step in the procedure.  </w:t>
            </w:r>
            <w:r w:rsidRPr="00CB2EC4">
              <w:rPr>
                <w:rFonts w:ascii="Times New Roman" w:hAnsi="Times New Roman" w:cs="Times New Roman"/>
              </w:rPr>
              <w:br/>
              <w:t xml:space="preserve">- Timing details:  </w:t>
            </w:r>
            <w:r w:rsidRPr="00CB2EC4">
              <w:rPr>
                <w:rFonts w:ascii="Times New Roman" w:hAnsi="Times New Roman" w:cs="Times New Roman"/>
              </w:rPr>
              <w:br/>
              <w:t xml:space="preserve">  - In the sequence of pelvic lymph node dissection, </w:t>
            </w:r>
            <w:r w:rsidRPr="00CB2EC4">
              <w:rPr>
                <w:rFonts w:ascii="Times New Roman" w:hAnsi="Times New Roman" w:cs="Times New Roman"/>
              </w:rPr>
              <w:lastRenderedPageBreak/>
              <w:t xml:space="preserve">internal iliac lymph node dissection follows the external iliac and obturator lymph nodes (sequence: external iliac lymph nodes → inguinal lymph nodes → obturator lymph nodes → internal iliac lymph nodes).  </w:t>
            </w:r>
            <w:r w:rsidRPr="00CB2EC4">
              <w:rPr>
                <w:rFonts w:ascii="Times New Roman" w:hAnsi="Times New Roman" w:cs="Times New Roman"/>
              </w:rPr>
              <w:br/>
              <w:t xml:space="preserve">  - The stripping procedure begins with a ventral (superior) incision of the internal iliac artery sheath, advancing distally to the bifurcation of the umbilical ligament, while simultaneously addressing the vein sheath (refer to "10.1.1 Development of the Latzko rectal lateral space and separation of the post-fascial cardinal ligament").  </w:t>
            </w:r>
            <w:r w:rsidRPr="00CB2EC4">
              <w:rPr>
                <w:rFonts w:ascii="Times New Roman" w:hAnsi="Times New Roman" w:cs="Times New Roman"/>
              </w:rPr>
              <w:br/>
              <w:t xml:space="preserve">- Rationale: Early stripping of the internal iliac vascular sheath facilitates exposure of the post-fascial cardinal ligament, creates space for subsequent nerve preservation (e.g., separation of the pelvic splanchnic nerves), and reduces intraoperative bleeding risk.  </w:t>
            </w:r>
            <w:r w:rsidRPr="00CB2EC4">
              <w:rPr>
                <w:rFonts w:ascii="Times New Roman" w:hAnsi="Times New Roman" w:cs="Times New Roman"/>
              </w:rPr>
              <w:br/>
            </w:r>
            <w:r w:rsidRPr="00CB2EC4">
              <w:rPr>
                <w:rFonts w:ascii="Times New Roman" w:hAnsi="Times New Roman" w:cs="Times New Roman"/>
              </w:rPr>
              <w:br/>
              <w:t xml:space="preserve">Source analysis:  </w:t>
            </w:r>
            <w:r w:rsidRPr="00CB2EC4">
              <w:rPr>
                <w:rFonts w:ascii="Times New Roman" w:hAnsi="Times New Roman" w:cs="Times New Roman"/>
              </w:rPr>
              <w:br/>
              <w:t xml:space="preserve">- Knowledge base document: Explicitly derived from sections "6.3.7 Removal of internal iliac lymph nodes" and "10.1.1" (describing timing of stripping and lymph node dissection sequence).  </w:t>
            </w:r>
            <w:r w:rsidRPr="00CB2EC4">
              <w:rPr>
                <w:rFonts w:ascii="Times New Roman" w:hAnsi="Times New Roman" w:cs="Times New Roman"/>
              </w:rPr>
              <w:br/>
              <w:t xml:space="preserve">- Web search results: Do not specify timing directly but indicate pelvic lymph node dissection requires "resection within the vascular sheath," supporting the workflow in the knowledge base.  </w:t>
            </w:r>
            <w:r w:rsidRPr="00CB2EC4">
              <w:rPr>
                <w:rFonts w:ascii="Times New Roman" w:hAnsi="Times New Roman" w:cs="Times New Roman"/>
              </w:rPr>
              <w:br/>
              <w:t>- Synthesis: Knowledge base document is the primary source; web search results show no contradiction; information is consistent.</w:t>
            </w:r>
          </w:p>
        </w:tc>
        <w:tc>
          <w:tcPr>
            <w:tcW w:w="1152" w:type="dxa"/>
            <w:vAlign w:val="center"/>
          </w:tcPr>
          <w:p w14:paraId="7783FD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D97EA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8027D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CC1FEE0" w14:textId="77777777">
        <w:tc>
          <w:tcPr>
            <w:tcW w:w="2160" w:type="dxa"/>
            <w:vAlign w:val="center"/>
          </w:tcPr>
          <w:p w14:paraId="354A2610"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8A30E9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the lymph node dissection phase of a nerve-sparing radical hysterectomy, the stripping of the internal iliac artery and vein sheath should be performed during the dissection of the internal iliac </w:t>
            </w:r>
            <w:r w:rsidRPr="00CB2EC4">
              <w:rPr>
                <w:rFonts w:ascii="Times New Roman" w:hAnsi="Times New Roman" w:cs="Times New Roman"/>
              </w:rPr>
              <w:lastRenderedPageBreak/>
              <w:t xml:space="preserve">lymph nodes.  </w:t>
            </w:r>
            <w:r w:rsidRPr="00CB2EC4">
              <w:rPr>
                <w:rFonts w:ascii="Times New Roman" w:hAnsi="Times New Roman" w:cs="Times New Roman"/>
              </w:rPr>
              <w:br/>
              <w:t xml:space="preserve">- Timing details:  </w:t>
            </w:r>
            <w:r w:rsidRPr="00CB2EC4">
              <w:rPr>
                <w:rFonts w:ascii="Times New Roman" w:hAnsi="Times New Roman" w:cs="Times New Roman"/>
              </w:rPr>
              <w:br/>
              <w:t xml:space="preserve">  - The stripping operation begins at the stage of internal iliac lymph node dissection, typically later in the dissection sequence (e.g., after dissection of the obturator lymph nodes).  </w:t>
            </w:r>
            <w:r w:rsidRPr="00CB2EC4">
              <w:rPr>
                <w:rFonts w:ascii="Times New Roman" w:hAnsi="Times New Roman" w:cs="Times New Roman"/>
              </w:rPr>
              <w:br/>
              <w:t xml:space="preserve">  - Specific steps: First, strip the external iliac artery and vein sheath (dissecting superficial and deep lymph nodes), then proceed to internal iliac lymph node dissection, at which point stripping of the internal iliac vascular sheath begins and is advanced distally to the bifurcation of the umbilical ligament.  </w:t>
            </w:r>
            <w:r w:rsidRPr="00CB2EC4">
              <w:rPr>
                <w:rFonts w:ascii="Times New Roman" w:hAnsi="Times New Roman" w:cs="Times New Roman"/>
              </w:rPr>
              <w:br/>
              <w:t xml:space="preserve">- Related step: Stripping the internal iliac vascular sheath is a prerequisite for handling the transverse cervical ligament (e.g., before opening the Latzko rectal pararectal space) to ensure exposure of the proximal structures.  </w:t>
            </w:r>
            <w:r w:rsidRPr="00CB2EC4">
              <w:rPr>
                <w:rFonts w:ascii="Times New Roman" w:hAnsi="Times New Roman" w:cs="Times New Roman"/>
              </w:rPr>
              <w:br/>
              <w:t>Basis: Document fragment 15 ("Stripping of the internal iliac artery vascular sheath begins during internal iliac lymph node dissection") and document fragment 4 (lymph node dissection sequence, including internal iliac lymph node dissection).</w:t>
            </w:r>
          </w:p>
        </w:tc>
        <w:tc>
          <w:tcPr>
            <w:tcW w:w="1152" w:type="dxa"/>
            <w:vAlign w:val="center"/>
          </w:tcPr>
          <w:p w14:paraId="2274EF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B1AF0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38EEA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5C35485" w14:textId="77777777">
        <w:tc>
          <w:tcPr>
            <w:tcW w:w="2160" w:type="dxa"/>
            <w:vAlign w:val="center"/>
          </w:tcPr>
          <w:p w14:paraId="295BB257"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DD57AB6" w14:textId="77777777" w:rsidR="00922249" w:rsidRPr="00CB2EC4" w:rsidRDefault="003011D5">
            <w:pPr>
              <w:rPr>
                <w:rFonts w:ascii="Times New Roman" w:hAnsi="Times New Roman" w:cs="Times New Roman"/>
              </w:rPr>
            </w:pPr>
            <w:r w:rsidRPr="00CB2EC4">
              <w:rPr>
                <w:rFonts w:ascii="Times New Roman" w:hAnsi="Times New Roman" w:cs="Times New Roman"/>
              </w:rPr>
              <w:t>the stripping of the internal iliac artery and vein sheath should be performed during the pelvic lymphadenectomy, specifically when opening the Latzko rectal lateral space, before transecting the transverse cervical ligament. This approach facilitates safe exposure of the origin of the transverse cervical ligament and provides a clear operative field for subsequent nerve-sparing procedures (Document 6, Figure 101).</w:t>
            </w:r>
          </w:p>
        </w:tc>
        <w:tc>
          <w:tcPr>
            <w:tcW w:w="1152" w:type="dxa"/>
            <w:vAlign w:val="center"/>
          </w:tcPr>
          <w:p w14:paraId="41D180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D385C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649BC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008A490" w14:textId="77777777">
        <w:tc>
          <w:tcPr>
            <w:tcW w:w="2160" w:type="dxa"/>
            <w:vAlign w:val="center"/>
          </w:tcPr>
          <w:p w14:paraId="518E48E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A90D1C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performing lymph node dissection during a nerve-sparing radical hysterectomy, the dissection of </w:t>
            </w:r>
            <w:r w:rsidRPr="00CB2EC4">
              <w:rPr>
                <w:rFonts w:ascii="Times New Roman" w:hAnsi="Times New Roman" w:cs="Times New Roman"/>
              </w:rPr>
              <w:lastRenderedPageBreak/>
              <w:t>the internal iliac vascular sheath should be carried out at the following stage:</w:t>
            </w:r>
            <w:r w:rsidRPr="00CB2EC4">
              <w:rPr>
                <w:rFonts w:ascii="Times New Roman" w:hAnsi="Times New Roman" w:cs="Times New Roman"/>
              </w:rPr>
              <w:br/>
            </w:r>
            <w:r w:rsidRPr="00CB2EC4">
              <w:rPr>
                <w:rFonts w:ascii="Times New Roman" w:hAnsi="Times New Roman" w:cs="Times New Roman"/>
              </w:rPr>
              <w:br/>
              <w:t>- **Timing**: During the pelvic lymphadenectomy phase, specifically when dissecting the internal iliac lymph nodes.</w:t>
            </w:r>
            <w:r w:rsidRPr="00CB2EC4">
              <w:rPr>
                <w:rFonts w:ascii="Times New Roman" w:hAnsi="Times New Roman" w:cs="Times New Roman"/>
              </w:rPr>
              <w:br/>
              <w:t>- **Detailed Description**:</w:t>
            </w:r>
            <w:r w:rsidRPr="00CB2EC4">
              <w:rPr>
                <w:rFonts w:ascii="Times New Roman" w:hAnsi="Times New Roman" w:cs="Times New Roman"/>
              </w:rPr>
              <w:br/>
              <w:t xml:space="preserve">  - The dissection should be initiated during the process of internal iliac lymph node clearance.</w:t>
            </w:r>
            <w:r w:rsidRPr="00CB2EC4">
              <w:rPr>
                <w:rFonts w:ascii="Times New Roman" w:hAnsi="Times New Roman" w:cs="Times New Roman"/>
              </w:rPr>
              <w:br/>
              <w:t xml:space="preserve">  - Procedure: Make an incision on the ventral (anterior) side of the arterial sheath, then advance the dissection distally to the level of the umbilical ligament branching point (refer to Figure 101).</w:t>
            </w:r>
            <w:r w:rsidRPr="00CB2EC4">
              <w:rPr>
                <w:rFonts w:ascii="Times New Roman" w:hAnsi="Times New Roman" w:cs="Times New Roman"/>
              </w:rPr>
              <w:br/>
              <w:t xml:space="preserve">  - This step facilitates exposure of the posterior fascia of the transverse cervical ligament and prepares for subsequent entry into the Latzko rectal lateral space (refer to the section on transverse cervical ligament management and lymph node dissection).</w:t>
            </w:r>
          </w:p>
        </w:tc>
        <w:tc>
          <w:tcPr>
            <w:tcW w:w="1152" w:type="dxa"/>
            <w:vAlign w:val="center"/>
          </w:tcPr>
          <w:p w14:paraId="00CC16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09A7F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22066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29D5125" w14:textId="77777777">
        <w:tc>
          <w:tcPr>
            <w:tcW w:w="2160" w:type="dxa"/>
            <w:vAlign w:val="center"/>
          </w:tcPr>
          <w:p w14:paraId="069DEDA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3B33735" w14:textId="77777777" w:rsidR="00922249" w:rsidRPr="00CB2EC4" w:rsidRDefault="003011D5">
            <w:pPr>
              <w:rPr>
                <w:rFonts w:ascii="Times New Roman" w:hAnsi="Times New Roman" w:cs="Times New Roman"/>
              </w:rPr>
            </w:pPr>
            <w:r w:rsidRPr="00CB2EC4">
              <w:rPr>
                <w:rFonts w:ascii="Times New Roman" w:hAnsi="Times New Roman" w:cs="Times New Roman"/>
              </w:rPr>
              <w:t>the stripping of the internal iliac artery and vein sheath should be performed during the pelvic lymph node dissection stage, specifically in the early steps of the surgery:</w:t>
            </w:r>
            <w:r w:rsidRPr="00CB2EC4">
              <w:rPr>
                <w:rFonts w:ascii="Times New Roman" w:hAnsi="Times New Roman" w:cs="Times New Roman"/>
              </w:rPr>
              <w:br/>
              <w:t>- Timing: Begin during the lymph node dissection process, typically "when performing internal iliac lymph node dissection" (Document Fragment 11). The procedure involves first making an incision on the ventral side of the arterial sheath, advancing distally to the bifurcation of the umbilical ligament, then addressing the deep venous sheath.</w:t>
            </w:r>
            <w:r w:rsidRPr="00CB2EC4">
              <w:rPr>
                <w:rFonts w:ascii="Times New Roman" w:hAnsi="Times New Roman" w:cs="Times New Roman"/>
              </w:rPr>
              <w:br/>
              <w:t xml:space="preserve">- Related steps: This occurs after opening the lateral vesical space and attempting to develop the anterior ovarian fossa (Document Fragment 16), as part of pelvic lymph node dissection. It ensures vascular sheath stripping is completed before dissecting </w:t>
            </w:r>
            <w:r w:rsidRPr="00CB2EC4">
              <w:rPr>
                <w:rFonts w:ascii="Times New Roman" w:hAnsi="Times New Roman" w:cs="Times New Roman"/>
              </w:rPr>
              <w:lastRenderedPageBreak/>
              <w:t>obturator, internal iliac, and other lymph nodes, allowing safe exposure and handling of vessels to avoid injury to the ureter or nerves.</w:t>
            </w:r>
            <w:r w:rsidRPr="00CB2EC4">
              <w:rPr>
                <w:rFonts w:ascii="Times New Roman" w:hAnsi="Times New Roman" w:cs="Times New Roman"/>
              </w:rPr>
              <w:br/>
              <w:t>Stripping at this stage facilitates comprehensive assessment of lymph node metastasis and prepares for subsequent handling of the transverse cervical ligament (Document Fragment 11).</w:t>
            </w:r>
          </w:p>
        </w:tc>
        <w:tc>
          <w:tcPr>
            <w:tcW w:w="1152" w:type="dxa"/>
            <w:vAlign w:val="center"/>
          </w:tcPr>
          <w:p w14:paraId="3D59E7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D0F0E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5BD1A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CF02A7B" w14:textId="77777777">
        <w:tc>
          <w:tcPr>
            <w:tcW w:w="2160" w:type="dxa"/>
            <w:vAlign w:val="center"/>
          </w:tcPr>
          <w:p w14:paraId="283ECBE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C2190D3" w14:textId="77777777" w:rsidR="00922249" w:rsidRPr="00CB2EC4" w:rsidRDefault="003011D5">
            <w:pPr>
              <w:rPr>
                <w:rFonts w:ascii="Times New Roman" w:hAnsi="Times New Roman" w:cs="Times New Roman"/>
              </w:rPr>
            </w:pPr>
            <w:r w:rsidRPr="00CB2EC4">
              <w:rPr>
                <w:rFonts w:ascii="Times New Roman" w:hAnsi="Times New Roman" w:cs="Times New Roman"/>
              </w:rPr>
              <w:t>In nerve-sparing radical hysterectomy, the dissection of the internal iliac vascular sheath should be performed during the lymphadenectomy of the internal iliac lymph nodes. Specifically, this occurs at the sixth step in the lymph node dissection sequence:</w:t>
            </w:r>
            <w:r w:rsidRPr="00CB2EC4">
              <w:rPr>
                <w:rFonts w:ascii="Times New Roman" w:hAnsi="Times New Roman" w:cs="Times New Roman"/>
              </w:rPr>
              <w:br/>
              <w:t>- Sequence position: After dissection of the external iliac vascular sheath, superficial external iliac lymph nodes, inguinal lymph nodes, deep external iliac lymph nodes, medial inguinal lymph nodes, and obturator lymph nodes.</w:t>
            </w:r>
            <w:r w:rsidRPr="00CB2EC4">
              <w:rPr>
                <w:rFonts w:ascii="Times New Roman" w:hAnsi="Times New Roman" w:cs="Times New Roman"/>
              </w:rPr>
              <w:br/>
              <w:t>- Operational details: Dissection begins with the internal iliac artery sheath (incising along the ventral aspect of the arterial sheath and advancing distally to the bifurcation of the umbilical ligament), followed by dissection of the deep internal iliac vein sheath. This facilitates exposure of the vascular structures, enabling safe lymph node clearance.</w:t>
            </w:r>
          </w:p>
        </w:tc>
        <w:tc>
          <w:tcPr>
            <w:tcW w:w="1152" w:type="dxa"/>
            <w:vAlign w:val="center"/>
          </w:tcPr>
          <w:p w14:paraId="7EBDA6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CB0F5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BD171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F356B15" w14:textId="77777777">
        <w:tc>
          <w:tcPr>
            <w:tcW w:w="2160" w:type="dxa"/>
            <w:vAlign w:val="center"/>
          </w:tcPr>
          <w:p w14:paraId="549AAE0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D138B2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stripping of the internal iliac artery and vein sheath should be performed during the pelvic lymphadenectomy phase, specifically when developing the Latzko rectal lateral space (cephalad compartment), and before transecting the transverse cervical ligament.  </w:t>
            </w:r>
            <w:r w:rsidRPr="00CB2EC4">
              <w:rPr>
                <w:rFonts w:ascii="Times New Roman" w:hAnsi="Times New Roman" w:cs="Times New Roman"/>
              </w:rPr>
              <w:br/>
              <w:t xml:space="preserve">- Timing detail: The stripping of the internal iliac artery and vein sheath is carried out synchronously while developing the Latzko rectal lateral space </w:t>
            </w:r>
            <w:r w:rsidRPr="00CB2EC4">
              <w:rPr>
                <w:rFonts w:ascii="Times New Roman" w:hAnsi="Times New Roman" w:cs="Times New Roman"/>
              </w:rPr>
              <w:lastRenderedPageBreak/>
              <w:t xml:space="preserve">(cephalad compartment). This typically occurs after stripping the external iliac artery and vein sheath and before handling the transverse cervical ligament.  </w:t>
            </w:r>
            <w:r w:rsidRPr="00CB2EC4">
              <w:rPr>
                <w:rFonts w:ascii="Times New Roman" w:hAnsi="Times New Roman" w:cs="Times New Roman"/>
              </w:rPr>
              <w:br/>
              <w:t xml:space="preserve">- Operative correlation: This step helps expose the origin of the transverse cervical ligament (e.g., the confluence with the uterine deep vein) and provides an anatomical basis for the subsequent safe transection of the transverse cervical ligament; attention must be paid to vascular variations and small branches (such as ureteric branches) during stripping to avoid bleeding.  </w:t>
            </w:r>
            <w:r w:rsidRPr="00CB2EC4">
              <w:rPr>
                <w:rFonts w:ascii="Times New Roman" w:hAnsi="Times New Roman" w:cs="Times New Roman"/>
              </w:rPr>
              <w:br/>
              <w:t>This sequence ensures the systematic progression of the surgery and the achievement of nerve-sparing objectives.</w:t>
            </w:r>
          </w:p>
        </w:tc>
        <w:tc>
          <w:tcPr>
            <w:tcW w:w="1152" w:type="dxa"/>
            <w:vAlign w:val="center"/>
          </w:tcPr>
          <w:p w14:paraId="01CD2E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6F8A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1665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BDE6B19" w14:textId="77777777">
        <w:tc>
          <w:tcPr>
            <w:tcW w:w="2160" w:type="dxa"/>
            <w:vAlign w:val="center"/>
          </w:tcPr>
          <w:p w14:paraId="6F59F3BF"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8E8CE9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performing lymph node dissection during a nerve-sparing radical hysterectomy, the stripping of the internal iliac artery and vein sheath should be carried out:  </w:t>
            </w:r>
            <w:r w:rsidRPr="00CB2EC4">
              <w:rPr>
                <w:rFonts w:ascii="Times New Roman" w:hAnsi="Times New Roman" w:cs="Times New Roman"/>
              </w:rPr>
              <w:br/>
              <w:t xml:space="preserve">- During the dissection of the internal iliac lymph nodes, specifically at step 6 of the lymph node dissection sequence. The document explicitly states: “The stripping of the internal iliac artery vascular sheath begins when dissecting the internal iliac lymph nodes.”  </w:t>
            </w:r>
            <w:r w:rsidRPr="00CB2EC4">
              <w:rPr>
                <w:rFonts w:ascii="Times New Roman" w:hAnsi="Times New Roman" w:cs="Times New Roman"/>
              </w:rPr>
              <w:br/>
              <w:t xml:space="preserve">- Operational details: Make an incision on the ventral side of the arterial sheath and advance the dissection distally to the level of the umbilical ligament branch. Simultaneously, dissect the deep venous sheath of the internal iliac vein to expose the Latzko rectal lateral space.  </w:t>
            </w:r>
            <w:r w:rsidRPr="00CB2EC4">
              <w:rPr>
                <w:rFonts w:ascii="Times New Roman" w:hAnsi="Times New Roman" w:cs="Times New Roman"/>
              </w:rPr>
              <w:br/>
              <w:t xml:space="preserve">- Timing: Within the overall sequence of pelvic lymph node dissection, internal iliac lymph node dissection follows obturator lymph node dissection (order: external iliac lymph nodes → inguinal lymph nodes </w:t>
            </w:r>
            <w:r w:rsidRPr="00CB2EC4">
              <w:rPr>
                <w:rFonts w:ascii="Times New Roman" w:hAnsi="Times New Roman" w:cs="Times New Roman"/>
              </w:rPr>
              <w:lastRenderedPageBreak/>
              <w:t>→ obturator lymph nodes → internal iliac lymph nodes). Stripping the vascular sheath is a key step in internal iliac lymph node dissection, aimed at safely removing lymph nodes and minimizing bleeding risk.</w:t>
            </w:r>
          </w:p>
        </w:tc>
        <w:tc>
          <w:tcPr>
            <w:tcW w:w="1152" w:type="dxa"/>
            <w:vAlign w:val="center"/>
          </w:tcPr>
          <w:p w14:paraId="464B29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C9697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836DD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C037584" w14:textId="77777777">
        <w:tc>
          <w:tcPr>
            <w:tcW w:w="2160" w:type="dxa"/>
            <w:vAlign w:val="center"/>
          </w:tcPr>
          <w:p w14:paraId="1EBF881C"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4D54E8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stripping of the internal iliac artery and vein sheath should be performed during the pelvic lymph node dissection stage, specifically when dissecting the internal iliac lymph nodes:  </w:t>
            </w:r>
            <w:r w:rsidRPr="00CB2EC4">
              <w:rPr>
                <w:rFonts w:ascii="Times New Roman" w:hAnsi="Times New Roman" w:cs="Times New Roman"/>
              </w:rPr>
              <w:br/>
              <w:t xml:space="preserve">- Timing: During the dissection of the internal iliac lymph nodes, the sheath of the internal iliac artery is stripped synchronously. The procedure involves making an incision on the ventral side of the arterial sheath, advancing the dissection distally to the level of the umbilical lateral ligament branching point, followed by deep dissection of the internal iliac vein sheath.  </w:t>
            </w:r>
            <w:r w:rsidRPr="00CB2EC4">
              <w:rPr>
                <w:rFonts w:ascii="Times New Roman" w:hAnsi="Times New Roman" w:cs="Times New Roman"/>
              </w:rPr>
              <w:br/>
              <w:t>- Rationale: This step is a prerequisite for opening the Latzko rectal lateral space and dissecting the transverse cervical ligament fascia. It aids in exposing vascular structures, avoids injury to surrounding tissues, and establishes the anatomical foundation for subsequent nerve-sparing steps (such as handling the transverse cervical ligament) (Document Fragment 24).</w:t>
            </w:r>
          </w:p>
        </w:tc>
        <w:tc>
          <w:tcPr>
            <w:tcW w:w="1152" w:type="dxa"/>
            <w:vAlign w:val="center"/>
          </w:tcPr>
          <w:p w14:paraId="763329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3C908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26732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D804628" w14:textId="77777777">
        <w:tc>
          <w:tcPr>
            <w:tcW w:w="2160" w:type="dxa"/>
            <w:vAlign w:val="center"/>
          </w:tcPr>
          <w:p w14:paraId="2BC04C74"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B41CF97" w14:textId="77777777" w:rsidR="00922249" w:rsidRPr="00CB2EC4" w:rsidRDefault="003011D5">
            <w:pPr>
              <w:rPr>
                <w:rFonts w:ascii="Times New Roman" w:hAnsi="Times New Roman" w:cs="Times New Roman"/>
              </w:rPr>
            </w:pPr>
            <w:r w:rsidRPr="00CB2EC4">
              <w:rPr>
                <w:rFonts w:ascii="Times New Roman" w:hAnsi="Times New Roman" w:cs="Times New Roman"/>
              </w:rPr>
              <w:t>when performing nerve-sparing radical hysterectomy with lymph node dissection, the stripping of the internal iliac vascular sheath should be carried out at the following timing:</w:t>
            </w:r>
            <w:r w:rsidRPr="00CB2EC4">
              <w:rPr>
                <w:rFonts w:ascii="Times New Roman" w:hAnsi="Times New Roman" w:cs="Times New Roman"/>
              </w:rPr>
              <w:br/>
              <w:t>- Timing: During the pelvic lymph node dissection phase, specifically when dissecting the internal iliac lymph nodes, begin stripping the internal iliac artery and vein sheath. (Relevant segment 7, block 220-222)</w:t>
            </w:r>
            <w:r w:rsidRPr="00CB2EC4">
              <w:rPr>
                <w:rFonts w:ascii="Times New Roman" w:hAnsi="Times New Roman" w:cs="Times New Roman"/>
              </w:rPr>
              <w:br/>
              <w:t xml:space="preserve">- Detailed description: The procedure starts during the </w:t>
            </w:r>
            <w:r w:rsidRPr="00CB2EC4">
              <w:rPr>
                <w:rFonts w:ascii="Times New Roman" w:hAnsi="Times New Roman" w:cs="Times New Roman"/>
              </w:rPr>
              <w:lastRenderedPageBreak/>
              <w:t>dissection of the internal iliac lymph nodes. An incision is made on the ventral (superior) side of the internal iliac artery vascular sheath, and dissection is advanced toward the distal end up to the division of the umbilical ligament. This is typically completed before opening the Latzko rectal lateral space and serves as preparation for handling the origin of the transverse cervical ligament. (Relevant segment 7, block 220-222)</w:t>
            </w:r>
            <w:r w:rsidRPr="00CB2EC4">
              <w:rPr>
                <w:rFonts w:ascii="Times New Roman" w:hAnsi="Times New Roman" w:cs="Times New Roman"/>
              </w:rPr>
              <w:br/>
              <w:t>- Associated steps: This stripping is part of the lymph node dissection sequence, performed after external iliac lymph node dissection and during internal iliac lymph node dissection. (The "6.2 Lymph Node Dissection Sequence" section in relevant segment 4, block 160-162 lists dissection of internal iliac lymph nodes.)</w:t>
            </w:r>
            <w:r w:rsidRPr="00CB2EC4">
              <w:rPr>
                <w:rFonts w:ascii="Times New Roman" w:hAnsi="Times New Roman" w:cs="Times New Roman"/>
              </w:rPr>
              <w:br/>
            </w:r>
            <w:r w:rsidRPr="00CB2EC4">
              <w:rPr>
                <w:rFonts w:ascii="Times New Roman" w:hAnsi="Times New Roman" w:cs="Times New Roman"/>
              </w:rPr>
              <w:br/>
              <w:t>The timing is explicitly specified in the section "10.1.1 Developing the Latzko Rectal Lateral Space and Dissecting the Transverse Cervical Ligament Posterior Fascia" (relevant segment 7, block 220-222).</w:t>
            </w:r>
          </w:p>
        </w:tc>
        <w:tc>
          <w:tcPr>
            <w:tcW w:w="1152" w:type="dxa"/>
            <w:vAlign w:val="center"/>
          </w:tcPr>
          <w:p w14:paraId="76C598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5721C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5B074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33BC555" w14:textId="77777777">
        <w:tc>
          <w:tcPr>
            <w:tcW w:w="2160" w:type="dxa"/>
            <w:vAlign w:val="center"/>
          </w:tcPr>
          <w:p w14:paraId="6D1060BE"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85C4EBD" w14:textId="77777777" w:rsidR="00922249" w:rsidRPr="00CB2EC4" w:rsidRDefault="003011D5">
            <w:pPr>
              <w:rPr>
                <w:rFonts w:ascii="Times New Roman" w:hAnsi="Times New Roman" w:cs="Times New Roman"/>
              </w:rPr>
            </w:pPr>
            <w:r w:rsidRPr="00CB2EC4">
              <w:rPr>
                <w:rFonts w:ascii="Times New Roman" w:hAnsi="Times New Roman" w:cs="Times New Roman"/>
              </w:rPr>
              <w:t>the stripping of the internal iliac artery and vein sheath should be performed at the early stage of the surgery, specifically when the pelvic lymph node dissection begins. after exposure of the pelvic cavity, the external iliac vascular region is addressed first, followed immediately by the stripping of the internal iliac vascular sheath to ensure clear identification of neural structures (such as the hypogastric nerve) and to create a safe operative field for subsequent ligament transection steps.</w:t>
            </w:r>
          </w:p>
        </w:tc>
        <w:tc>
          <w:tcPr>
            <w:tcW w:w="1152" w:type="dxa"/>
            <w:vAlign w:val="center"/>
          </w:tcPr>
          <w:p w14:paraId="784569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9FD64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908D7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81EAC99" w14:textId="77777777">
        <w:tc>
          <w:tcPr>
            <w:tcW w:w="10656" w:type="dxa"/>
            <w:gridSpan w:val="5"/>
            <w:tcBorders>
              <w:bottom w:val="single" w:sz="6" w:space="0" w:color="auto"/>
            </w:tcBorders>
            <w:vAlign w:val="center"/>
          </w:tcPr>
          <w:p w14:paraId="370E3BF3"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121: Why is laparoscopy the preferred approach for para-aortic lymphadenectomy?</w:t>
            </w:r>
          </w:p>
        </w:tc>
      </w:tr>
      <w:tr w:rsidR="00922249" w:rsidRPr="00CB2EC4" w14:paraId="3AE398BD" w14:textId="77777777">
        <w:tc>
          <w:tcPr>
            <w:tcW w:w="2160" w:type="dxa"/>
            <w:vAlign w:val="center"/>
          </w:tcPr>
          <w:p w14:paraId="0BD042D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FA058F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why is the retroperitoneal lymph node dissection for </w:t>
            </w:r>
            <w:r w:rsidRPr="00CB2EC4">
              <w:rPr>
                <w:rFonts w:ascii="Times New Roman" w:hAnsi="Times New Roman" w:cs="Times New Roman"/>
              </w:rPr>
              <w:lastRenderedPageBreak/>
              <w:t>para-aortic lymph nodes preferably performed using retroperitoneoscopy?</w:t>
            </w:r>
            <w:r w:rsidRPr="00CB2EC4">
              <w:rPr>
                <w:rFonts w:ascii="Times New Roman" w:hAnsi="Times New Roman" w:cs="Times New Roman"/>
              </w:rPr>
              <w:br/>
            </w:r>
            <w:r w:rsidRPr="00CB2EC4">
              <w:rPr>
                <w:rFonts w:ascii="Times New Roman" w:hAnsi="Times New Roman" w:cs="Times New Roman"/>
              </w:rPr>
              <w:br/>
              <w:t>The knowledge base does not contain an answer.</w:t>
            </w:r>
            <w:r w:rsidRPr="00CB2EC4">
              <w:rPr>
                <w:rFonts w:ascii="Times New Roman" w:hAnsi="Times New Roman" w:cs="Times New Roman"/>
              </w:rPr>
              <w:br/>
              <w:t>Reason: The documents mention retroperitoneoscopy (e.g., "7.2 Benefits of Retroperitoneoscopy 114" and "7.4 Approach Methods Using Retroperitoneoscopy" in Fragment 2), but the specific advantages (such as minimally invasive benefits, reduced bleeding, or faster postoperative recovery) are not detailed in the provided context. The documents only briefly describe the approach methods and related preparations for retroperitoneoscopy, without explaining why it is the preferred method for para-aortic lymph node dissection.</w:t>
            </w:r>
          </w:p>
        </w:tc>
        <w:tc>
          <w:tcPr>
            <w:tcW w:w="1152" w:type="dxa"/>
            <w:vAlign w:val="center"/>
          </w:tcPr>
          <w:p w14:paraId="5580E9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D8C6B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EF512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78A4B80" w14:textId="77777777">
        <w:tc>
          <w:tcPr>
            <w:tcW w:w="2160" w:type="dxa"/>
            <w:vAlign w:val="center"/>
          </w:tcPr>
          <w:p w14:paraId="48675C8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056A1E1"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t>Why is retroperitoneal lymph node dissection preferably performed by laparoscopy?</w:t>
            </w:r>
            <w:r w:rsidRPr="00CB2EC4">
              <w:rPr>
                <w:rFonts w:ascii="Times New Roman" w:hAnsi="Times New Roman" w:cs="Times New Roman"/>
              </w:rPr>
              <w:br/>
            </w:r>
            <w:r w:rsidRPr="00CB2EC4">
              <w:rPr>
                <w:rFonts w:ascii="Times New Roman" w:hAnsi="Times New Roman" w:cs="Times New Roman"/>
              </w:rPr>
              <w:br/>
              <w:t>No relevant information found in the knowledge base.</w:t>
            </w:r>
          </w:p>
        </w:tc>
        <w:tc>
          <w:tcPr>
            <w:tcW w:w="1152" w:type="dxa"/>
            <w:vAlign w:val="center"/>
          </w:tcPr>
          <w:p w14:paraId="568D1C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E9CFC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793AE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83CBE95" w14:textId="77777777">
        <w:tc>
          <w:tcPr>
            <w:tcW w:w="2160" w:type="dxa"/>
            <w:vAlign w:val="center"/>
          </w:tcPr>
          <w:p w14:paraId="7F7F283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C37BBF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Laparoscopic surgery is preferred for para-aortic lymph node dissection due to its low invasiveness and high quality compared to open surgery. The specific reasons are as follows:  </w:t>
            </w:r>
            <w:r w:rsidRPr="00CB2EC4">
              <w:rPr>
                <w:rFonts w:ascii="Times New Roman" w:hAnsi="Times New Roman" w:cs="Times New Roman"/>
              </w:rPr>
              <w:br/>
              <w:t xml:space="preserve">- Document excerpt 10 states: "The removal of para-aortic lymph nodes and common iliac lymph nodes is far more suitable for laparoscopic surgery than open surgery in terms of the need to enlarge the incision and the postoperative incidence of intestinal obstruction. Especially in achieving low invasiveness and high quality when completing extraperitoneal para-aortic and common iliac lymph node dissection, laparoscopic surgery is incomparably superior to open </w:t>
            </w:r>
            <w:r w:rsidRPr="00CB2EC4">
              <w:rPr>
                <w:rFonts w:ascii="Times New Roman" w:hAnsi="Times New Roman" w:cs="Times New Roman"/>
              </w:rPr>
              <w:lastRenderedPageBreak/>
              <w:t xml:space="preserve">surgery."  </w:t>
            </w:r>
            <w:r w:rsidRPr="00CB2EC4">
              <w:rPr>
                <w:rFonts w:ascii="Times New Roman" w:hAnsi="Times New Roman" w:cs="Times New Roman"/>
              </w:rPr>
              <w:br/>
              <w:t xml:space="preserve">- Document excerpt 33 further adds: "The advantages of minimally invasive surgery include less intraoperative bleeding and shorter hospital stays, averaging 4 days less." It also notes that laparoscopy in gynecologic oncology has evolved to perform complex procedures such as lymph node dissection, efficiently obtaining lymph nodes (e.g., an average of 18 para-aortic lymph nodes retrieved).  </w:t>
            </w:r>
            <w:r w:rsidRPr="00CB2EC4">
              <w:rPr>
                <w:rFonts w:ascii="Times New Roman" w:hAnsi="Times New Roman" w:cs="Times New Roman"/>
              </w:rPr>
              <w:br/>
              <w:t>Therefore, the reasons laparoscopic surgery is preferred are: reduced surgical trauma, lower postoperative complications (such as intestinal obstruction), shorter hospitalization, and improved surgical quality.</w:t>
            </w:r>
          </w:p>
        </w:tc>
        <w:tc>
          <w:tcPr>
            <w:tcW w:w="1152" w:type="dxa"/>
            <w:vAlign w:val="center"/>
          </w:tcPr>
          <w:p w14:paraId="113222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B6774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DAD5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7A0224" w14:textId="77777777">
        <w:tc>
          <w:tcPr>
            <w:tcW w:w="2160" w:type="dxa"/>
            <w:vAlign w:val="center"/>
          </w:tcPr>
          <w:p w14:paraId="6D680702"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AE1D05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Why is the endoscopic approach preferred for para-aortic lymphadenectomy?  </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The endoscopic approach (including laparoscopy or retroperitoneoscopy) is preferred for para-aortic lymphadenectomy primarily due to its advantages of being minimally invasive, providing clear visualization, and enabling faster postoperative recovery.  </w:t>
            </w:r>
            <w:r w:rsidRPr="00CB2EC4">
              <w:rPr>
                <w:rFonts w:ascii="Times New Roman" w:hAnsi="Times New Roman" w:cs="Times New Roman"/>
              </w:rPr>
              <w:br/>
              <w:t xml:space="preserve">- Source Analysis:  </w:t>
            </w:r>
            <w:r w:rsidRPr="00CB2EC4">
              <w:rPr>
                <w:rFonts w:ascii="Times New Roman" w:hAnsi="Times New Roman" w:cs="Times New Roman"/>
              </w:rPr>
              <w:br/>
              <w:t xml:space="preserve">  - Knowledge base documents (Sections 7.2 Benefits of Endoscopy and 7.3 Approaches in Endoscopy) mention the application of endoscopy in para-aortic lymphadenectomy, emphasizing its "benefits" such as better access methods and reduced surgical trauma, though specific reasons are not detailed. The documents note that endoscopic techniques (e.g., retroperitoneoscopy) offer direct access (Section 7.4 Retroperitoneoscopy Approach), facilitating </w:t>
            </w:r>
            <w:r w:rsidRPr="00CB2EC4">
              <w:rPr>
                <w:rFonts w:ascii="Times New Roman" w:hAnsi="Times New Roman" w:cs="Times New Roman"/>
              </w:rPr>
              <w:lastRenderedPageBreak/>
              <w:t xml:space="preserve">extraperitoneal operations and minimizing interference with abdominal organs.  </w:t>
            </w:r>
            <w:r w:rsidRPr="00CB2EC4">
              <w:rPr>
                <w:rFonts w:ascii="Times New Roman" w:hAnsi="Times New Roman" w:cs="Times New Roman"/>
              </w:rPr>
              <w:br/>
              <w:t xml:space="preserve">  - Online search results (from cervical cancer treatment guidelines and laparoscopic surgery descriptions) supplement specific advantages: laparoscopic surgery features "minimal trauma, reduced bleeding, lower postoperative recurrence rates, faster recovery, and shorter hospital stays," with "safety comparable to open surgery." This applies to para-aortic lymphadenectomy because the region involves major vessels (e.g., the abdominal aorta and inferior vena cava), where endoscopic magnification allows more precise identification of lymph nodes and vessels, reducing injury risks.  </w:t>
            </w:r>
            <w:r w:rsidRPr="00CB2EC4">
              <w:rPr>
                <w:rFonts w:ascii="Times New Roman" w:hAnsi="Times New Roman" w:cs="Times New Roman"/>
              </w:rPr>
              <w:br/>
              <w:t xml:space="preserve">- Comprehensive Conclusion: Knowledge base documents confirm the technical feasibility of endoscopy, while online search results provide evidence-based advantages (minimally invasive nature and safety). There is no contradiction between the two, and the core reasons for preferring endoscopy are its minimally invasive nature (reducing bleeding and complications) and operational precision (especially in vascular-dense areas).  </w:t>
            </w:r>
            <w:r w:rsidRPr="00CB2EC4">
              <w:rPr>
                <w:rFonts w:ascii="Times New Roman" w:hAnsi="Times New Roman" w:cs="Times New Roman"/>
              </w:rPr>
              <w:br/>
              <w:t>Final Answer: The endoscopic approach is preferred for para-aortic lymphadenectomy because it offers minimally invasive access, clear visualization, reduced intraoperative bleeding (e.g., avoiding injury to para-aortic vessels), and accelerated postoperative recovery; knowledge base documents support its technical application, and online search results confirm its clinical advantages.</w:t>
            </w:r>
          </w:p>
        </w:tc>
        <w:tc>
          <w:tcPr>
            <w:tcW w:w="1152" w:type="dxa"/>
            <w:vAlign w:val="center"/>
          </w:tcPr>
          <w:p w14:paraId="540344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C61C5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E392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0140DD" w14:textId="77777777">
        <w:tc>
          <w:tcPr>
            <w:tcW w:w="2160" w:type="dxa"/>
            <w:vAlign w:val="center"/>
          </w:tcPr>
          <w:p w14:paraId="39B0ED87"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39534B3" w14:textId="77777777" w:rsidR="00922249" w:rsidRPr="00CB2EC4" w:rsidRDefault="003011D5">
            <w:pPr>
              <w:rPr>
                <w:rFonts w:ascii="Times New Roman" w:hAnsi="Times New Roman" w:cs="Times New Roman"/>
              </w:rPr>
            </w:pPr>
            <w:r w:rsidRPr="00CB2EC4">
              <w:rPr>
                <w:rFonts w:ascii="Times New Roman" w:hAnsi="Times New Roman" w:cs="Times New Roman"/>
              </w:rPr>
              <w:t>why is videolaparoscopy preferred for para-aortic lymph node dissection?</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no relevant information found in the knowledge base.</w:t>
            </w:r>
            <w:r w:rsidRPr="00CB2EC4">
              <w:rPr>
                <w:rFonts w:ascii="Times New Roman" w:hAnsi="Times New Roman" w:cs="Times New Roman"/>
              </w:rPr>
              <w:br/>
              <w:t>explanation: document fragment 2 mentions "7.2 Benefits of Videolaparoscopy 114" but does not specify the advantages or reasons for using videolaparoscopy in para-aortic lymph node dissection. other document fragments also do not provide detailed benefits of videolaparoscopy, so no contextual information can be extracted.</w:t>
            </w:r>
          </w:p>
        </w:tc>
        <w:tc>
          <w:tcPr>
            <w:tcW w:w="1152" w:type="dxa"/>
            <w:vAlign w:val="center"/>
          </w:tcPr>
          <w:p w14:paraId="1E139D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17B11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95633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5E6063E" w14:textId="77777777">
        <w:tc>
          <w:tcPr>
            <w:tcW w:w="2160" w:type="dxa"/>
            <w:vAlign w:val="center"/>
          </w:tcPr>
          <w:p w14:paraId="1A220F97"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7BCDB44" w14:textId="77777777" w:rsidR="00922249" w:rsidRPr="00CB2EC4" w:rsidRDefault="003011D5">
            <w:pPr>
              <w:rPr>
                <w:rFonts w:ascii="Times New Roman" w:hAnsi="Times New Roman" w:cs="Times New Roman"/>
              </w:rPr>
            </w:pPr>
            <w:r w:rsidRPr="00CB2EC4">
              <w:rPr>
                <w:rFonts w:ascii="Times New Roman" w:hAnsi="Times New Roman" w:cs="Times New Roman"/>
              </w:rPr>
              <w:t>why is laparoscopic approach preferred for para-aortic lymph node dissection?</w:t>
            </w:r>
            <w:r w:rsidRPr="00CB2EC4">
              <w:rPr>
                <w:rFonts w:ascii="Times New Roman" w:hAnsi="Times New Roman" w:cs="Times New Roman"/>
              </w:rPr>
              <w:br/>
            </w:r>
            <w:r w:rsidRPr="00CB2EC4">
              <w:rPr>
                <w:rFonts w:ascii="Times New Roman" w:hAnsi="Times New Roman" w:cs="Times New Roman"/>
              </w:rPr>
              <w:br/>
              <w:t>response: the knowledge base cannot find an answer.</w:t>
            </w:r>
            <w:r w:rsidRPr="00CB2EC4">
              <w:rPr>
                <w:rFonts w:ascii="Times New Roman" w:hAnsi="Times New Roman" w:cs="Times New Roman"/>
              </w:rPr>
              <w:br/>
              <w:t>- reason: although the context mentions para-aortic lymph node dissection (e.g., in document 5: "7 removal of para-aortic lymph nodes and common iliac lymph nodes") and briefly refers to the benefits of laparoscopy (e.g., document 5: "7.2 benefits of laparoscopy 114"), it does not specifically explain why laparoscopy is preferred (such as its advantages, benefits, or detailed application rationale). document 5 only lists the title without elaborating; other documents also lack relevant information. therefore, the answer cannot be found in the provided documents.</w:t>
            </w:r>
          </w:p>
        </w:tc>
        <w:tc>
          <w:tcPr>
            <w:tcW w:w="1152" w:type="dxa"/>
            <w:vAlign w:val="center"/>
          </w:tcPr>
          <w:p w14:paraId="133477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CBD6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F1DE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193756" w14:textId="77777777">
        <w:tc>
          <w:tcPr>
            <w:tcW w:w="2160" w:type="dxa"/>
            <w:vAlign w:val="center"/>
          </w:tcPr>
          <w:p w14:paraId="148A6FD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DF038A2" w14:textId="77777777" w:rsidR="00922249" w:rsidRPr="00CB2EC4" w:rsidRDefault="003011D5">
            <w:pPr>
              <w:rPr>
                <w:rFonts w:ascii="Times New Roman" w:hAnsi="Times New Roman" w:cs="Times New Roman"/>
              </w:rPr>
            </w:pPr>
            <w:r w:rsidRPr="00CB2EC4">
              <w:rPr>
                <w:rFonts w:ascii="Times New Roman" w:hAnsi="Times New Roman" w:cs="Times New Roman"/>
              </w:rPr>
              <w:t>why is laparoscopic approach preferred for para-aortic lymph node dissection?</w:t>
            </w:r>
            <w:r w:rsidRPr="00CB2EC4">
              <w:rPr>
                <w:rFonts w:ascii="Times New Roman" w:hAnsi="Times New Roman" w:cs="Times New Roman"/>
              </w:rPr>
              <w:br/>
            </w:r>
            <w:r w:rsidRPr="00CB2EC4">
              <w:rPr>
                <w:rFonts w:ascii="Times New Roman" w:hAnsi="Times New Roman" w:cs="Times New Roman"/>
              </w:rPr>
              <w:br/>
              <w:t xml:space="preserve">In the document, laparoscopy (or body cavity endoscopy) is repeatedly cited as the preferred method for para-aortic lymph node dissection. Specific reasons include:  </w:t>
            </w:r>
            <w:r w:rsidRPr="00CB2EC4">
              <w:rPr>
                <w:rFonts w:ascii="Times New Roman" w:hAnsi="Times New Roman" w:cs="Times New Roman"/>
              </w:rPr>
              <w:br/>
              <w:t>- Low invasiveness and high quality: The document states that when performing extraperitoneal para-</w:t>
            </w:r>
            <w:r w:rsidRPr="00CB2EC4">
              <w:rPr>
                <w:rFonts w:ascii="Times New Roman" w:hAnsi="Times New Roman" w:cs="Times New Roman"/>
              </w:rPr>
              <w:lastRenderedPageBreak/>
              <w:t xml:space="preserve">aortic and common iliac lymph node dissection, laparoscopic surgery (a form of body cavity endoscopy) has significant advantages over open surgery, characterized as "low invasiveness, high quality," and described as "heaven and earth apart" (see [HyDE similarity: 0.554]). This implies that laparoscopy reduces surgical trauma, postoperative complications (such as intestinal obstruction), and recovery time.  </w:t>
            </w:r>
            <w:r w:rsidRPr="00CB2EC4">
              <w:rPr>
                <w:rFonts w:ascii="Times New Roman" w:hAnsi="Times New Roman" w:cs="Times New Roman"/>
              </w:rPr>
              <w:br/>
              <w:t xml:space="preserve">- Reduced complications: The document notes that open surgery may cause postoperative intestinal adhesions and fixation, increasing the risk of injury during radiotherapy (e.g., small bowel radiation damage), whereas laparoscopy avoids this issue through minimally invasive approaches such as the extraperitoneal route (see [HyDE similarity: 0.554]).  </w:t>
            </w:r>
            <w:r w:rsidRPr="00CB2EC4">
              <w:rPr>
                <w:rFonts w:ascii="Times New Roman" w:hAnsi="Times New Roman" w:cs="Times New Roman"/>
              </w:rPr>
              <w:br/>
              <w:t xml:space="preserve">- Technical advantages: Laparoscopy allows for better visualization and precise manipulation, for example, using irrigation suction tubes and bowel forceps for meticulous separation during lymph node dissection, reducing the risk of vascular injury (see [HyDE similarity: 0.544]).  </w:t>
            </w:r>
            <w:r w:rsidRPr="00CB2EC4">
              <w:rPr>
                <w:rFonts w:ascii="Times New Roman" w:hAnsi="Times New Roman" w:cs="Times New Roman"/>
              </w:rPr>
              <w:br/>
              <w:t>In summary, the body cavity endoscopic approach is preferred due to its minimally invasive nature, lower complication rates, and improved surgical precision.</w:t>
            </w:r>
          </w:p>
        </w:tc>
        <w:tc>
          <w:tcPr>
            <w:tcW w:w="1152" w:type="dxa"/>
            <w:vAlign w:val="center"/>
          </w:tcPr>
          <w:p w14:paraId="23B96F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C079F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6F97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A42A76" w14:textId="77777777">
        <w:tc>
          <w:tcPr>
            <w:tcW w:w="2160" w:type="dxa"/>
            <w:vAlign w:val="center"/>
          </w:tcPr>
          <w:p w14:paraId="696CA01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746F8B0" w14:textId="77777777" w:rsidR="00922249" w:rsidRPr="00CB2EC4" w:rsidRDefault="003011D5">
            <w:pPr>
              <w:rPr>
                <w:rFonts w:ascii="Times New Roman" w:hAnsi="Times New Roman" w:cs="Times New Roman"/>
              </w:rPr>
            </w:pPr>
            <w:r w:rsidRPr="00CB2EC4">
              <w:rPr>
                <w:rFonts w:ascii="Times New Roman" w:hAnsi="Times New Roman" w:cs="Times New Roman"/>
              </w:rPr>
              <w:t>why is video-endoscopic approach preferred for para-aortic lymph node dissection?</w:t>
            </w:r>
            <w:r w:rsidRPr="00CB2EC4">
              <w:rPr>
                <w:rFonts w:ascii="Times New Roman" w:hAnsi="Times New Roman" w:cs="Times New Roman"/>
              </w:rPr>
              <w:br/>
            </w:r>
            <w:r w:rsidRPr="00CB2EC4">
              <w:rPr>
                <w:rFonts w:ascii="Times New Roman" w:hAnsi="Times New Roman" w:cs="Times New Roman"/>
              </w:rPr>
              <w:br/>
              <w:t>According to document fragment 2 (similarity 0.573), fragment 22 (similarity 0.509), and fragment 23 (similarity 0.403), the reasons why video-endoscopic approaches (including laparoscopy and retroperitoneoscopy) are preferred for para-aortic lymph node dissection are as follows:</w:t>
            </w:r>
            <w:r w:rsidRPr="00CB2EC4">
              <w:rPr>
                <w:rFonts w:ascii="Times New Roman" w:hAnsi="Times New Roman" w:cs="Times New Roman"/>
              </w:rPr>
              <w:br/>
            </w:r>
            <w:r w:rsidRPr="00CB2EC4">
              <w:rPr>
                <w:rFonts w:ascii="Times New Roman" w:hAnsi="Times New Roman" w:cs="Times New Roman"/>
              </w:rPr>
              <w:lastRenderedPageBreak/>
              <w:t>- Low invasiveness and rapid recovery: Video-endoscopic surgery causes minimal trauma, allows faster postoperative recovery, and reduces the risk of complications associated with open surgery (Fragment 2, Section 7.2).</w:t>
            </w:r>
            <w:r w:rsidRPr="00CB2EC4">
              <w:rPr>
                <w:rFonts w:ascii="Times New Roman" w:hAnsi="Times New Roman" w:cs="Times New Roman"/>
              </w:rPr>
              <w:br/>
              <w:t>- Reduced incidence of bowel obstruction: Compared to open surgery, video-endoscopic approaches significantly lower the occurrence rate of paralytic and obstructive bowel obstruction by avoiding intestinal adhesions (Fragment 2, Section 7.2; Fragment 23, Section 7.1).</w:t>
            </w:r>
            <w:r w:rsidRPr="00CB2EC4">
              <w:rPr>
                <w:rFonts w:ascii="Times New Roman" w:hAnsi="Times New Roman" w:cs="Times New Roman"/>
              </w:rPr>
              <w:br/>
              <w:t>- Superior visualization and meticulous dissection: Video-endoscopy enables access to deep anatomical regions and provides magnified views, allowing more thorough and precise lymph node dissection (Fragment 2, Section 7.2; Fragment 22, Section 7.3).</w:t>
            </w:r>
            <w:r w:rsidRPr="00CB2EC4">
              <w:rPr>
                <w:rFonts w:ascii="Times New Roman" w:hAnsi="Times New Roman" w:cs="Times New Roman"/>
              </w:rPr>
              <w:br/>
              <w:t>- Effective hemostasis: Intra-abdominal pressure offers tamponade effect, reducing intraoperative blood loss (Fragment 2, Section 7.2).</w:t>
            </w:r>
            <w:r w:rsidRPr="00CB2EC4">
              <w:rPr>
                <w:rFonts w:ascii="Times New Roman" w:hAnsi="Times New Roman" w:cs="Times New Roman"/>
              </w:rPr>
              <w:br/>
              <w:t>- Approach advantage: The extraperitoneal approach (retroperitoneoscopy) is particularly favored as it minimizes contact with the bowel, thereby lowering the probability of bowel-related complications (Fragment 22, Section 7.3). For example, Dargent’s method enables dissection from the renal vessels to the common iliac vessels with low complication rates (Fragment 22, Section 7.3).</w:t>
            </w:r>
            <w:r w:rsidRPr="00CB2EC4">
              <w:rPr>
                <w:rFonts w:ascii="Times New Roman" w:hAnsi="Times New Roman" w:cs="Times New Roman"/>
              </w:rPr>
              <w:br/>
              <w:t>No equivalent advantages of other methods (such as open surgery) are mentioned in the documents; therefore, video-endoscopic approach is the first choice.</w:t>
            </w:r>
          </w:p>
        </w:tc>
        <w:tc>
          <w:tcPr>
            <w:tcW w:w="1152" w:type="dxa"/>
            <w:vAlign w:val="center"/>
          </w:tcPr>
          <w:p w14:paraId="48BF39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B07FB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39D4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12C804" w14:textId="77777777">
        <w:tc>
          <w:tcPr>
            <w:tcW w:w="2160" w:type="dxa"/>
            <w:vAlign w:val="center"/>
          </w:tcPr>
          <w:p w14:paraId="51FDC0BD"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ED804A1" w14:textId="77777777" w:rsidR="00922249" w:rsidRPr="00CB2EC4" w:rsidRDefault="003011D5">
            <w:pPr>
              <w:rPr>
                <w:rFonts w:ascii="Times New Roman" w:hAnsi="Times New Roman" w:cs="Times New Roman"/>
              </w:rPr>
            </w:pPr>
            <w:r w:rsidRPr="00CB2EC4">
              <w:rPr>
                <w:rFonts w:ascii="Times New Roman" w:hAnsi="Times New Roman" w:cs="Times New Roman"/>
              </w:rPr>
              <w:t>why is laparoscopy preferred for para-aortic lymph node dissection?</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answer: according to section 7.2, the main advantages of laparoscopy are "minimally invasive" and "providing a clearer surgical field". combined with section 7.3 "laparoscopic approach" and section 7.4 "retroperitoneal laparoscopic approach (identical to the extraperitoneal approach)", it can be inferred that laparoscopy reduces trauma through small incisions, while magnified vision facilitates precise dissection of deep lymph nodes (such as para-aortic lymph nodes).</w:t>
            </w:r>
            <w:r w:rsidRPr="00CB2EC4">
              <w:rPr>
                <w:rFonts w:ascii="Times New Roman" w:hAnsi="Times New Roman" w:cs="Times New Roman"/>
              </w:rPr>
              <w:br/>
              <w:t>- evidence:</w:t>
            </w:r>
            <w:r w:rsidRPr="00CB2EC4">
              <w:rPr>
                <w:rFonts w:ascii="Times New Roman" w:hAnsi="Times New Roman" w:cs="Times New Roman"/>
              </w:rPr>
              <w:br/>
              <w:t xml:space="preserve">  &gt; "7.2 advantages of laparoscopy: minimally invasive, clear field of view"</w:t>
            </w:r>
            <w:r w:rsidRPr="00CB2EC4">
              <w:rPr>
                <w:rFonts w:ascii="Times New Roman" w:hAnsi="Times New Roman" w:cs="Times New Roman"/>
              </w:rPr>
              <w:br/>
              <w:t xml:space="preserve">  &gt; "7.4 retroperitoneal laparoscopic approach (same as extraperitoneal approach)"</w:t>
            </w:r>
          </w:p>
        </w:tc>
        <w:tc>
          <w:tcPr>
            <w:tcW w:w="1152" w:type="dxa"/>
            <w:vAlign w:val="center"/>
          </w:tcPr>
          <w:p w14:paraId="103652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F08EE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A5BB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930F85" w14:textId="77777777">
        <w:tc>
          <w:tcPr>
            <w:tcW w:w="2160" w:type="dxa"/>
            <w:vAlign w:val="center"/>
          </w:tcPr>
          <w:p w14:paraId="7C900F60"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DAAD27B"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5D5995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0BE6B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4366A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99DD1B4" w14:textId="77777777">
        <w:tc>
          <w:tcPr>
            <w:tcW w:w="2160" w:type="dxa"/>
            <w:vAlign w:val="center"/>
          </w:tcPr>
          <w:p w14:paraId="72C7216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C586BB1" w14:textId="77777777" w:rsidR="00922249" w:rsidRPr="00CB2EC4" w:rsidRDefault="003011D5">
            <w:pPr>
              <w:rPr>
                <w:rFonts w:ascii="Times New Roman" w:hAnsi="Times New Roman" w:cs="Times New Roman"/>
              </w:rPr>
            </w:pPr>
            <w:r w:rsidRPr="00CB2EC4">
              <w:rPr>
                <w:rFonts w:ascii="Times New Roman" w:hAnsi="Times New Roman" w:cs="Times New Roman"/>
              </w:rPr>
              <w:t>why is laparoscopy preferred for para-aortic lymph node dissection?</w:t>
            </w:r>
            <w:r w:rsidRPr="00CB2EC4">
              <w:rPr>
                <w:rFonts w:ascii="Times New Roman" w:hAnsi="Times New Roman" w:cs="Times New Roman"/>
              </w:rPr>
              <w:br/>
            </w:r>
            <w:r w:rsidRPr="00CB2EC4">
              <w:rPr>
                <w:rFonts w:ascii="Times New Roman" w:hAnsi="Times New Roman" w:cs="Times New Roman"/>
              </w:rPr>
              <w:br/>
              <w:t>No answer found in the knowledge base.</w:t>
            </w:r>
          </w:p>
        </w:tc>
        <w:tc>
          <w:tcPr>
            <w:tcW w:w="1152" w:type="dxa"/>
            <w:vAlign w:val="center"/>
          </w:tcPr>
          <w:p w14:paraId="47283D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DBA9D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B341F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6D8EC18" w14:textId="77777777">
        <w:tc>
          <w:tcPr>
            <w:tcW w:w="2160" w:type="dxa"/>
            <w:vAlign w:val="center"/>
          </w:tcPr>
          <w:p w14:paraId="0682A8A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D8BF1D7" w14:textId="77777777" w:rsidR="00922249" w:rsidRPr="00CB2EC4" w:rsidRDefault="003011D5">
            <w:pPr>
              <w:rPr>
                <w:rFonts w:ascii="Times New Roman" w:hAnsi="Times New Roman" w:cs="Times New Roman"/>
              </w:rPr>
            </w:pPr>
            <w:r w:rsidRPr="00CB2EC4">
              <w:rPr>
                <w:rFonts w:ascii="Times New Roman" w:hAnsi="Times New Roman" w:cs="Times New Roman"/>
              </w:rPr>
              <w:t>why is endoscopy preferred for para-aortic lymph node dissection?</w:t>
            </w:r>
            <w:r w:rsidRPr="00CB2EC4">
              <w:rPr>
                <w:rFonts w:ascii="Times New Roman" w:hAnsi="Times New Roman" w:cs="Times New Roman"/>
              </w:rPr>
              <w:br/>
            </w:r>
            <w:r w:rsidRPr="00CB2EC4">
              <w:rPr>
                <w:rFonts w:ascii="Times New Roman" w:hAnsi="Times New Roman" w:cs="Times New Roman"/>
              </w:rPr>
              <w:br/>
              <w:t>The knowledge base does not contain information to answer this question.</w:t>
            </w:r>
            <w:r w:rsidRPr="00CB2EC4">
              <w:rPr>
                <w:rFonts w:ascii="Times New Roman" w:hAnsi="Times New Roman" w:cs="Times New Roman"/>
              </w:rPr>
              <w:br/>
              <w:t>- Contextual information mentions the application of endoscopy in para-aortic lymph node dissection (e.g., Document Fragment 4 references "7.2 Benefits of Endoscopy" and "7.3 Endoscopic Approach Methods"), but does not specify the reasons or benefits for preferring endoscopy (such as reduced trauma or improved visualization). Therefore, sufficient information to answer the question cannot be found in the provided documents.</w:t>
            </w:r>
          </w:p>
        </w:tc>
        <w:tc>
          <w:tcPr>
            <w:tcW w:w="1152" w:type="dxa"/>
            <w:vAlign w:val="center"/>
          </w:tcPr>
          <w:p w14:paraId="5CC9BE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2A364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161FA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DD9E6C5" w14:textId="77777777">
        <w:tc>
          <w:tcPr>
            <w:tcW w:w="2160" w:type="dxa"/>
            <w:vAlign w:val="center"/>
          </w:tcPr>
          <w:p w14:paraId="7AE64D5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7032609E" w14:textId="77777777" w:rsidR="00922249" w:rsidRPr="00CB2EC4" w:rsidRDefault="003011D5">
            <w:pPr>
              <w:rPr>
                <w:rFonts w:ascii="Times New Roman" w:hAnsi="Times New Roman" w:cs="Times New Roman"/>
              </w:rPr>
            </w:pPr>
            <w:r w:rsidRPr="00CB2EC4">
              <w:rPr>
                <w:rFonts w:ascii="Times New Roman" w:hAnsi="Times New Roman" w:cs="Times New Roman"/>
              </w:rPr>
              <w:t>why is the peritoneal cavity approach preferred for para-aortic lymph node dissection?</w:t>
            </w:r>
            <w:r w:rsidRPr="00CB2EC4">
              <w:rPr>
                <w:rFonts w:ascii="Times New Roman" w:hAnsi="Times New Roman" w:cs="Times New Roman"/>
              </w:rPr>
              <w:br/>
            </w:r>
            <w:r w:rsidRPr="00CB2EC4">
              <w:rPr>
                <w:rFonts w:ascii="Times New Roman" w:hAnsi="Times New Roman" w:cs="Times New Roman"/>
              </w:rPr>
              <w:br/>
              <w:t>no answer found in the knowledge base.</w:t>
            </w:r>
            <w:r w:rsidRPr="00CB2EC4">
              <w:rPr>
                <w:rFonts w:ascii="Times New Roman" w:hAnsi="Times New Roman" w:cs="Times New Roman"/>
              </w:rPr>
              <w:br/>
              <w:t>explanation: the knowledge base mentions para-aortic lymph node dissection (e.g., "7 Removal of para-aortic lymph nodes and common iliac lymph nodes" and "7.4 Approach using retroperitoneoscopy" in the provided context), but does not specifically explain the reasons or advantages for preferring the peritoneal cavity approach. although titles such as "7.2 Benefits of the peritoneal cavity approach" appear, there is no detailed content describing its advantages (such as minimally invasive, reduced bleeding, or faster recovery). therefore, based on the provided documents, the reason for preferring the peritoneal cavity approach cannot be determined.</w:t>
            </w:r>
          </w:p>
        </w:tc>
        <w:tc>
          <w:tcPr>
            <w:tcW w:w="1152" w:type="dxa"/>
            <w:vAlign w:val="center"/>
          </w:tcPr>
          <w:p w14:paraId="57B16F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CFD53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D7789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D9DC07B" w14:textId="77777777">
        <w:tc>
          <w:tcPr>
            <w:tcW w:w="2160" w:type="dxa"/>
            <w:vAlign w:val="center"/>
          </w:tcPr>
          <w:p w14:paraId="0B76F115"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D0B5A1D" w14:textId="77777777" w:rsidR="00922249" w:rsidRPr="00CB2EC4" w:rsidRDefault="003011D5">
            <w:pPr>
              <w:rPr>
                <w:rFonts w:ascii="Times New Roman" w:hAnsi="Times New Roman" w:cs="Times New Roman"/>
              </w:rPr>
            </w:pPr>
            <w:r w:rsidRPr="00CB2EC4">
              <w:rPr>
                <w:rFonts w:ascii="Times New Roman" w:hAnsi="Times New Roman" w:cs="Times New Roman"/>
              </w:rPr>
              <w:t>Why is the endoscopic approach preferred for para-aortic lymphadenectomy?</w:t>
            </w:r>
            <w:r w:rsidRPr="00CB2EC4">
              <w:rPr>
                <w:rFonts w:ascii="Times New Roman" w:hAnsi="Times New Roman" w:cs="Times New Roman"/>
              </w:rPr>
              <w:br/>
            </w:r>
            <w:r w:rsidRPr="00CB2EC4">
              <w:rPr>
                <w:rFonts w:ascii="Times New Roman" w:hAnsi="Times New Roman" w:cs="Times New Roman"/>
              </w:rPr>
              <w:br/>
              <w:t>Para-aortic lymphadenectomy is commonly used for staging and treatment in gynecologic malignancies (e.g., cervical cancer, endometrial cancer). The endoscopic approach (including laparoscopy and robot-assisted laparoscopy) offers significant advantages over open surgery for the following reasons:</w:t>
            </w:r>
            <w:r w:rsidRPr="00CB2EC4">
              <w:rPr>
                <w:rFonts w:ascii="Times New Roman" w:hAnsi="Times New Roman" w:cs="Times New Roman"/>
              </w:rPr>
              <w:br/>
            </w:r>
            <w:r w:rsidRPr="00CB2EC4">
              <w:rPr>
                <w:rFonts w:ascii="Times New Roman" w:hAnsi="Times New Roman" w:cs="Times New Roman"/>
              </w:rPr>
              <w:br/>
              <w:t xml:space="preserve">→ Minimally invasive: Smaller incisions cause less tissue trauma, significantly reduce postoperative pain, and enable faster recovery  </w:t>
            </w:r>
            <w:r w:rsidRPr="00CB2EC4">
              <w:rPr>
                <w:rFonts w:ascii="Times New Roman" w:hAnsi="Times New Roman" w:cs="Times New Roman"/>
              </w:rPr>
              <w:br/>
              <w:t xml:space="preserve">→ Magnified visualization: High-definition cameras provide &gt;10x magnification, facilitating precise dissection of vascular and lymphatic tissues while </w:t>
            </w:r>
            <w:r w:rsidRPr="00CB2EC4">
              <w:rPr>
                <w:rFonts w:ascii="Times New Roman" w:hAnsi="Times New Roman" w:cs="Times New Roman"/>
              </w:rPr>
              <w:lastRenderedPageBreak/>
              <w:t xml:space="preserve">reducing risks of neurovascular injury  </w:t>
            </w:r>
            <w:r w:rsidRPr="00CB2EC4">
              <w:rPr>
                <w:rFonts w:ascii="Times New Roman" w:hAnsi="Times New Roman" w:cs="Times New Roman"/>
              </w:rPr>
              <w:br/>
              <w:t xml:space="preserve">→ Hemostatic control: Pneumoperitoneum pressure (typically 12-15 mmHg) compresses small vessels, combined with electrocautery and ultrasonic scalpels, resulting in less intraoperative blood loss than open surgery  </w:t>
            </w:r>
            <w:r w:rsidRPr="00CB2EC4">
              <w:rPr>
                <w:rFonts w:ascii="Times New Roman" w:hAnsi="Times New Roman" w:cs="Times New Roman"/>
              </w:rPr>
              <w:br/>
              <w:t xml:space="preserve">→ Postoperative recovery: Shorter hospital stays, quicker bowel function recovery, and lower incidence of complications (e.g., wound infection, intestinal adhesions)  </w:t>
            </w:r>
            <w:r w:rsidRPr="00CB2EC4">
              <w:rPr>
                <w:rFonts w:ascii="Times New Roman" w:hAnsi="Times New Roman" w:cs="Times New Roman"/>
              </w:rPr>
              <w:br/>
              <w:t xml:space="preserve">→ Oncologic outcomes: Multiple studies demonstrate comparable lymph node yield and positive detection rates between endoscopic and open approaches, with no significant differences in recurrence or survival rates  </w:t>
            </w:r>
            <w:r w:rsidRPr="00CB2EC4">
              <w:rPr>
                <w:rFonts w:ascii="Times New Roman" w:hAnsi="Times New Roman" w:cs="Times New Roman"/>
              </w:rPr>
              <w:br/>
              <w:t xml:space="preserve">→ Cosmetic benefits: Only 3-4 trocar sites (5-10mm) with minimal scarring, leading to higher patient satisfaction  </w:t>
            </w:r>
            <w:r w:rsidRPr="00CB2EC4">
              <w:rPr>
                <w:rFonts w:ascii="Times New Roman" w:hAnsi="Times New Roman" w:cs="Times New Roman"/>
              </w:rPr>
              <w:br/>
              <w:t xml:space="preserve">→ Robot-assisted advantages (when applicable): 3D visualization and wristed instruments enhance precision, particularly beneficial for lymphadenectomy in deep/narrow anatomical spaces  </w:t>
            </w:r>
            <w:r w:rsidRPr="00CB2EC4">
              <w:rPr>
                <w:rFonts w:ascii="Times New Roman" w:hAnsi="Times New Roman" w:cs="Times New Roman"/>
              </w:rPr>
              <w:br/>
            </w:r>
            <w:r w:rsidRPr="00CB2EC4">
              <w:rPr>
                <w:rFonts w:ascii="Times New Roman" w:hAnsi="Times New Roman" w:cs="Times New Roman"/>
              </w:rPr>
              <w:br/>
              <w:t>In summary, endoscopic approaches have become the preferred technique for para-aortic lymphadenectomy by ensuring oncologic safety while significantly reducing surgical trauma.</w:t>
            </w:r>
          </w:p>
        </w:tc>
        <w:tc>
          <w:tcPr>
            <w:tcW w:w="1152" w:type="dxa"/>
            <w:vAlign w:val="center"/>
          </w:tcPr>
          <w:p w14:paraId="678D00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74C78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BBFF1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53686E8" w14:textId="77777777">
        <w:tc>
          <w:tcPr>
            <w:tcW w:w="10656" w:type="dxa"/>
            <w:gridSpan w:val="5"/>
            <w:tcBorders>
              <w:bottom w:val="single" w:sz="6" w:space="0" w:color="auto"/>
            </w:tcBorders>
            <w:vAlign w:val="center"/>
          </w:tcPr>
          <w:p w14:paraId="37EE1F6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122: In a nerve-sparing radical hysterectomy, what is the primary purpose of developing Latzko's pararectal space?</w:t>
            </w:r>
          </w:p>
        </w:tc>
      </w:tr>
      <w:tr w:rsidR="00922249" w:rsidRPr="00CB2EC4" w14:paraId="0BC53FF3" w14:textId="77777777">
        <w:tc>
          <w:tcPr>
            <w:tcW w:w="2160" w:type="dxa"/>
            <w:vAlign w:val="center"/>
          </w:tcPr>
          <w:p w14:paraId="57E254B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0D9A41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purpose of dissecting the Latzko rectal lateral space during nerve-sparing radical hysterectomy is to expose the origin of the transverse cervical ligament, facilitating lymph node dissection and division of the cardinal ligament while avoiding </w:t>
            </w:r>
            <w:r w:rsidRPr="00CB2EC4">
              <w:rPr>
                <w:rFonts w:ascii="Times New Roman" w:hAnsi="Times New Roman" w:cs="Times New Roman"/>
              </w:rPr>
              <w:lastRenderedPageBreak/>
              <w:t xml:space="preserve">injury to the pelvic autonomic nerves and vessels.  </w:t>
            </w:r>
            <w:r w:rsidRPr="00CB2EC4">
              <w:rPr>
                <w:rFonts w:ascii="Times New Roman" w:hAnsi="Times New Roman" w:cs="Times New Roman"/>
              </w:rPr>
              <w:br/>
            </w:r>
            <w:r w:rsidRPr="00CB2EC4">
              <w:rPr>
                <w:rFonts w:ascii="Times New Roman" w:hAnsi="Times New Roman" w:cs="Times New Roman"/>
              </w:rPr>
              <w:br/>
              <w:t xml:space="preserve">Evidence:  </w:t>
            </w:r>
            <w:r w:rsidRPr="00CB2EC4">
              <w:rPr>
                <w:rFonts w:ascii="Times New Roman" w:hAnsi="Times New Roman" w:cs="Times New Roman"/>
              </w:rPr>
              <w:br/>
              <w:t xml:space="preserve">- Document fragment 1 (Table 15, section b) states: "Latzko rectal lateral space cranial compartment: advantageous for exposing and dividing the origin of the transverse cervical ligament."  </w:t>
            </w:r>
            <w:r w:rsidRPr="00CB2EC4">
              <w:rPr>
                <w:rFonts w:ascii="Times New Roman" w:hAnsi="Times New Roman" w:cs="Times New Roman"/>
              </w:rPr>
              <w:br/>
              <w:t xml:space="preserve">- Fragment 3 ("10.1.1 Dissection of the Latzko rectal lateral space and separation of the pararectal fascia after the transverse cervical ligament") details: "The purpose of dissecting the Latzko rectal lateral space is to reveal the origin of the transverse cervical ligament, facilitating lymph node dissection and separation of the uterine deep vein... to avoid injury to the inferior hypogastric plexus or the middle rectal vein."  </w:t>
            </w:r>
            <w:r w:rsidRPr="00CB2EC4">
              <w:rPr>
                <w:rFonts w:ascii="Times New Roman" w:hAnsi="Times New Roman" w:cs="Times New Roman"/>
              </w:rPr>
              <w:br/>
              <w:t>- Fragment 6 ("3.2.1.3 Fusion of the Latzko and Okabayashi rectal lateral spaces during surgery") emphasizes: "Dissection of the Latzko rectal lateral space is performed to expose the origin of the transverse cervical ligament, which is critical in nerve-sparing surgery as it allows precise separation between the vascular and neural portions."</w:t>
            </w:r>
          </w:p>
        </w:tc>
        <w:tc>
          <w:tcPr>
            <w:tcW w:w="1152" w:type="dxa"/>
            <w:vAlign w:val="center"/>
          </w:tcPr>
          <w:p w14:paraId="5877C5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5E5F7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55AC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2A7851" w14:textId="77777777">
        <w:tc>
          <w:tcPr>
            <w:tcW w:w="2160" w:type="dxa"/>
            <w:vAlign w:val="center"/>
          </w:tcPr>
          <w:p w14:paraId="2932F90A"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388AB1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purpose of excavating the Latzko rectal lateral space during nerve-sparing radical hysterectomy is to expose the origin of the transverse cervical ligament, facilitating thorough dissection and operative manipulation while avoiding unnecessary injury.  </w:t>
            </w:r>
            <w:r w:rsidRPr="00CB2EC4">
              <w:rPr>
                <w:rFonts w:ascii="Times New Roman" w:hAnsi="Times New Roman" w:cs="Times New Roman"/>
              </w:rPr>
              <w:br/>
              <w:t xml:space="preserve">Basis:  </w:t>
            </w:r>
            <w:r w:rsidRPr="00CB2EC4">
              <w:rPr>
                <w:rFonts w:ascii="Times New Roman" w:hAnsi="Times New Roman" w:cs="Times New Roman"/>
              </w:rPr>
              <w:br/>
              <w:t xml:space="preserve">- Document fragment 1 (block theme: rectal lateral space and ligament anatomy) states that the formation of the cephalad compartment of the Latzko rectal lateral space involves stripping the internal iliac vascular sheath, which aids in exposing the origin of </w:t>
            </w:r>
            <w:r w:rsidRPr="00CB2EC4">
              <w:rPr>
                <w:rFonts w:ascii="Times New Roman" w:hAnsi="Times New Roman" w:cs="Times New Roman"/>
              </w:rPr>
              <w:lastRenderedPageBreak/>
              <w:t>the transverse cervical ligament and facilitates subsequent transection ("</w:t>
            </w:r>
            <w:r w:rsidRPr="00CB2EC4">
              <w:rPr>
                <w:rFonts w:ascii="宋体" w:eastAsia="宋体" w:hAnsi="宋体" w:cs="宋体" w:hint="eastAsia"/>
              </w:rPr>
              <w:t>①</w:t>
            </w:r>
            <w:r w:rsidRPr="00CB2EC4">
              <w:rPr>
                <w:rFonts w:ascii="Times New Roman" w:hAnsi="Times New Roman" w:cs="Times New Roman"/>
              </w:rPr>
              <w:t xml:space="preserve"> beneficial for exposing and transecting the origin of the transverse cervical ligament").  </w:t>
            </w:r>
            <w:r w:rsidRPr="00CB2EC4">
              <w:rPr>
                <w:rFonts w:ascii="Times New Roman" w:hAnsi="Times New Roman" w:cs="Times New Roman"/>
              </w:rPr>
              <w:br/>
              <w:t>→ Document fragment 1 (block theme: rectal lateral space and ligament anatomy) states that the formation of the cephalad compartment of the Latzko rectal lateral space involves stripping the internal iliac vascular sheath, which aids in exposing the origin of the transverse cervical ligament and facilitates subsequent transection ("</w:t>
            </w:r>
            <w:r w:rsidRPr="00CB2EC4">
              <w:rPr>
                <w:rFonts w:ascii="宋体" w:eastAsia="宋体" w:hAnsi="宋体" w:cs="宋体" w:hint="eastAsia"/>
              </w:rPr>
              <w:t>①</w:t>
            </w:r>
            <w:r w:rsidRPr="00CB2EC4">
              <w:rPr>
                <w:rFonts w:ascii="Times New Roman" w:hAnsi="Times New Roman" w:cs="Times New Roman"/>
              </w:rPr>
              <w:t xml:space="preserve"> beneficial for exposing and transecting the origin of the transverse cervical ligament").  </w:t>
            </w:r>
            <w:r w:rsidRPr="00CB2EC4">
              <w:rPr>
                <w:rFonts w:ascii="Times New Roman" w:hAnsi="Times New Roman" w:cs="Times New Roman"/>
              </w:rPr>
              <w:br/>
              <w:t xml:space="preserve">- Document fragment 7 (block theme: rectal lateral space management in radical hysterectomy) emphasizes that excavating the Latzko rectal lateral space is for "exposing and transecting the origin of the transverse cervical ligament," and notes that in modern surgery, the depth of this maneuver is controlled to be slightly deeper than the uterine deep vein level to avoid injury to structures such as the inferior gluteal-pudendal common trunk ("depth reached slightly deeper than the uterine deep vein level is sufficient... to prevent unexpected bleeding").  </w:t>
            </w:r>
            <w:r w:rsidRPr="00CB2EC4">
              <w:rPr>
                <w:rFonts w:ascii="Times New Roman" w:hAnsi="Times New Roman" w:cs="Times New Roman"/>
              </w:rPr>
              <w:br/>
              <w:t xml:space="preserve">→ Document fragment 7 (block theme: rectal lateral space management in radical hysterectomy) emphasizes that excavating the Latzko rectal lateral space is for "exposing and transecting the origin of the transverse cervical ligament," and notes that in modern surgery, the depth of this maneuver is controlled to be slightly deeper than the uterine deep vein level to avoid injury to structures such as the inferior gluteal-pudendal common trunk ("depth </w:t>
            </w:r>
            <w:r w:rsidRPr="00CB2EC4">
              <w:rPr>
                <w:rFonts w:ascii="Times New Roman" w:hAnsi="Times New Roman" w:cs="Times New Roman"/>
              </w:rPr>
              <w:lastRenderedPageBreak/>
              <w:t xml:space="preserve">reached slightly deeper than the uterine deep vein level is sufficient... to prevent unexpected bleeding").  </w:t>
            </w:r>
            <w:r w:rsidRPr="00CB2EC4">
              <w:rPr>
                <w:rFonts w:ascii="Times New Roman" w:hAnsi="Times New Roman" w:cs="Times New Roman"/>
              </w:rPr>
              <w:br/>
              <w:t xml:space="preserve">- Document fragment 23 (block theme: rectal lateral space operation in cervical cancer surgery) further explains that the introduction of the Latzko procedure (including excavation of the rectal lateral space) is to "fully expose the origin of the transverse cervical ligament, allowing for more thorough dissection at this site," which in nerve-sparing surgery aids systematic operation and reduces the risk of nerve injury.  </w:t>
            </w:r>
            <w:r w:rsidRPr="00CB2EC4">
              <w:rPr>
                <w:rFonts w:ascii="Times New Roman" w:hAnsi="Times New Roman" w:cs="Times New Roman"/>
              </w:rPr>
              <w:br/>
              <w:t>→ Document fragment 23 (block theme: rectal lateral space operation in cervical cancer surgery) further explains that the introduction of the Latzko procedure (including excavation of the rectal lateral space) is to "fully expose the origin of the transverse cervical ligament, allowing for more thorough dissection at this site," which in nerve-sparing surgery aids systematic operation and reduces the risk of nerve injury.</w:t>
            </w:r>
          </w:p>
        </w:tc>
        <w:tc>
          <w:tcPr>
            <w:tcW w:w="1152" w:type="dxa"/>
            <w:vAlign w:val="center"/>
          </w:tcPr>
          <w:p w14:paraId="4D1906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421C2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2EEC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E8BA92" w14:textId="77777777">
        <w:tc>
          <w:tcPr>
            <w:tcW w:w="2160" w:type="dxa"/>
            <w:vAlign w:val="center"/>
          </w:tcPr>
          <w:p w14:paraId="4D569B2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0E8C392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nerve-sparing radical hysterectomy, the main purpose of developing the Latzko rectal lateral space is to expose the origin of the transverse cervical ligament, facilitating precise ligament division and nerve preservation. Specifically:  </w:t>
            </w:r>
            <w:r w:rsidRPr="00CB2EC4">
              <w:rPr>
                <w:rFonts w:ascii="Times New Roman" w:hAnsi="Times New Roman" w:cs="Times New Roman"/>
              </w:rPr>
              <w:br/>
              <w:t xml:space="preserve">- Document excerpt 13 states: “The main purpose of developing the Latzko rectal lateral space is: </w:t>
            </w:r>
            <w:r w:rsidRPr="00CB2EC4">
              <w:rPr>
                <w:rFonts w:ascii="宋体" w:eastAsia="宋体" w:hAnsi="宋体" w:cs="宋体" w:hint="eastAsia"/>
              </w:rPr>
              <w:t>①</w:t>
            </w:r>
            <w:r w:rsidRPr="00CB2EC4">
              <w:rPr>
                <w:rFonts w:ascii="Times New Roman" w:hAnsi="Times New Roman" w:cs="Times New Roman"/>
              </w:rPr>
              <w:t xml:space="preserve"> to facilitate exposure and division of the origin of the transverse cervical ligament </w:t>
            </w:r>
            <w:r w:rsidRPr="00CB2EC4">
              <w:rPr>
                <w:rFonts w:ascii="宋体" w:eastAsia="宋体" w:hAnsi="宋体" w:cs="宋体" w:hint="eastAsia"/>
              </w:rPr>
              <w:t>②</w:t>
            </w:r>
            <w:r w:rsidRPr="00CB2EC4">
              <w:rPr>
                <w:rFonts w:ascii="Times New Roman" w:hAnsi="Times New Roman" w:cs="Times New Roman"/>
              </w:rPr>
              <w:t xml:space="preserve"> the para-vaginal connective tissue cut also includes the superior fascia of the levator ani.”  </w:t>
            </w:r>
            <w:r w:rsidRPr="00CB2EC4">
              <w:rPr>
                <w:rFonts w:ascii="Times New Roman" w:hAnsi="Times New Roman" w:cs="Times New Roman"/>
              </w:rPr>
              <w:br/>
              <w:t xml:space="preserve">- Document excerpt 39 adds: “Developing the head portion of the Latzko rectal lateral space reveals the </w:t>
            </w:r>
            <w:r w:rsidRPr="00CB2EC4">
              <w:rPr>
                <w:rFonts w:ascii="Times New Roman" w:hAnsi="Times New Roman" w:cs="Times New Roman"/>
              </w:rPr>
              <w:lastRenderedPageBreak/>
              <w:t xml:space="preserve">origin of the transverse cervical ligament.”  </w:t>
            </w:r>
            <w:r w:rsidRPr="00CB2EC4">
              <w:rPr>
                <w:rFonts w:ascii="Times New Roman" w:hAnsi="Times New Roman" w:cs="Times New Roman"/>
              </w:rPr>
              <w:br/>
              <w:t xml:space="preserve">- Document excerpt 38 notes: “Developing the head portion of the Latzko rectal lateral space exposes the pelvic splanchnic nerves.” This relates to nerve preservation, as exposing the origin of the transverse cervical ligament aids in identifying and protecting the pelvic plexus.  </w:t>
            </w:r>
            <w:r w:rsidRPr="00CB2EC4">
              <w:rPr>
                <w:rFonts w:ascii="Times New Roman" w:hAnsi="Times New Roman" w:cs="Times New Roman"/>
              </w:rPr>
              <w:br/>
              <w:t xml:space="preserve">- Document excerpt 35 further explains: “The introduction of the Latzko technique is to develop the Latzko rectal lateral space and the bladder lateral space, fully exposing the origin of the transverse cervical ligament, allowing more thorough dissection at this site.”  </w:t>
            </w:r>
            <w:r w:rsidRPr="00CB2EC4">
              <w:rPr>
                <w:rFonts w:ascii="Times New Roman" w:hAnsi="Times New Roman" w:cs="Times New Roman"/>
              </w:rPr>
              <w:br/>
              <w:t>Therefore, the primary purpose is to expose the origin of the transverse cervical ligament to achieve more thorough dissection and nerve preservation, avoiding injury to deep structures such as the inferior gluteal-internal pudendal trunk or the inferior vesical vein (excerpt 14).</w:t>
            </w:r>
          </w:p>
        </w:tc>
        <w:tc>
          <w:tcPr>
            <w:tcW w:w="1152" w:type="dxa"/>
            <w:vAlign w:val="center"/>
          </w:tcPr>
          <w:p w14:paraId="3479A0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1405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34FD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660A3E" w14:textId="77777777">
        <w:tc>
          <w:tcPr>
            <w:tcW w:w="2160" w:type="dxa"/>
            <w:vAlign w:val="center"/>
          </w:tcPr>
          <w:p w14:paraId="4A4A2817"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9F0C4E9" w14:textId="77777777" w:rsidR="00922249" w:rsidRPr="00CB2EC4" w:rsidRDefault="003011D5">
            <w:pPr>
              <w:rPr>
                <w:rFonts w:ascii="Times New Roman" w:hAnsi="Times New Roman" w:cs="Times New Roman"/>
              </w:rPr>
            </w:pPr>
            <w:r w:rsidRPr="00CB2EC4">
              <w:rPr>
                <w:rFonts w:ascii="Times New Roman" w:hAnsi="Times New Roman" w:cs="Times New Roman"/>
              </w:rPr>
              <w:t>In nerve-sparing radical hysterectomy, the primary purpose of developing the Latzko pararectal space is to expose the origin of the cardinal ligament, enabling thorough lymph node and vascular dissection while assisting in the preservation of pelvic autonomic nerves (such as the hypogastric nerve and pelvic splanchnic nerves).</w:t>
            </w:r>
            <w:r w:rsidRPr="00CB2EC4">
              <w:rPr>
                <w:rFonts w:ascii="Times New Roman" w:hAnsi="Times New Roman" w:cs="Times New Roman"/>
              </w:rPr>
              <w:br/>
            </w:r>
            <w:r w:rsidRPr="00CB2EC4">
              <w:rPr>
                <w:rFonts w:ascii="Times New Roman" w:hAnsi="Times New Roman" w:cs="Times New Roman"/>
              </w:rPr>
              <w:br/>
              <w:t>- Source Analysis:</w:t>
            </w:r>
            <w:r w:rsidRPr="00CB2EC4">
              <w:rPr>
                <w:rFonts w:ascii="Times New Roman" w:hAnsi="Times New Roman" w:cs="Times New Roman"/>
              </w:rPr>
              <w:br/>
              <w:t xml:space="preserve">  - Knowledge base documents (e.g., 10.1.1 Developing the Latzko Pararectal Space and Separating the Posterior Fascia of the Cardinal Ligament) explicitly state: The development of the Latzko pararectal space aims to "expose and transect the origin of the cardinal ligament." The documents </w:t>
            </w:r>
            <w:r w:rsidRPr="00CB2EC4">
              <w:rPr>
                <w:rFonts w:ascii="Times New Roman" w:hAnsi="Times New Roman" w:cs="Times New Roman"/>
              </w:rPr>
              <w:lastRenderedPageBreak/>
              <w:t>emphasize that in nerve-sparing surgery, this maneuver helps "fully expose the origin of the cardinal ligament, allowing more thorough dissection in this area" and avoids damaging neural structures (e.g., pelvic splanchnic nerves), as the development of this space clearly reveals the nerve pathways (for example, opening lateral to the internal iliac vessels prevents inadvertent injury to the hypogastric nerve).</w:t>
            </w:r>
            <w:r w:rsidRPr="00CB2EC4">
              <w:rPr>
                <w:rFonts w:ascii="Times New Roman" w:hAnsi="Times New Roman" w:cs="Times New Roman"/>
              </w:rPr>
              <w:br/>
              <w:t xml:space="preserve">  - Online search results (descriptions of nerve-sparing surgery) mention that "NSRH surgery can be performed via laparotomy, laparoscopy, or robotic laparoscopy," but do not specifically address the purpose of the Latzko pararectal space. The online search primarily supplements the general concept of nerve-sparing surgery without contradicting the knowledge base.</w:t>
            </w:r>
            <w:r w:rsidRPr="00CB2EC4">
              <w:rPr>
                <w:rFonts w:ascii="Times New Roman" w:hAnsi="Times New Roman" w:cs="Times New Roman"/>
              </w:rPr>
              <w:br/>
              <w:t>- Comprehensive Conclusion: The knowledge base documents provide detailed anatomical and surgical objectives, with the core being the exposure of the cardinal ligament origin for precise dissection (facilitating lymph node resection and vascular management) and indirectly supporting nerve preservation (by avoiding blind deep dissection toward the pelvic floor, thereby reducing the risk of nerve injury). The online search offers no additional information but does not conflict.</w:t>
            </w:r>
            <w:r w:rsidRPr="00CB2EC4">
              <w:rPr>
                <w:rFonts w:ascii="Times New Roman" w:hAnsi="Times New Roman" w:cs="Times New Roman"/>
              </w:rPr>
              <w:br/>
              <w:t xml:space="preserve">Final Answer: The primary purpose of developing the Latzko pararectal space is to expose the origin of the cardinal ligament, facilitating thorough lymph node dissection (e.g., internal iliac lymph nodes) and vascular management (e.g., deep uterine veins), while identifying and preserving pelvic autonomic nerves (e.g., avoiding injury to the hypogastric nerve) under a three-dimensional view; Source: Knowledge base </w:t>
            </w:r>
            <w:r w:rsidRPr="00CB2EC4">
              <w:rPr>
                <w:rFonts w:ascii="Times New Roman" w:hAnsi="Times New Roman" w:cs="Times New Roman"/>
              </w:rPr>
              <w:lastRenderedPageBreak/>
              <w:t>documents (dominant).</w:t>
            </w:r>
          </w:p>
        </w:tc>
        <w:tc>
          <w:tcPr>
            <w:tcW w:w="1152" w:type="dxa"/>
            <w:vAlign w:val="center"/>
          </w:tcPr>
          <w:p w14:paraId="44BEEE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BC5B0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0E87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E72C4C" w14:textId="77777777">
        <w:tc>
          <w:tcPr>
            <w:tcW w:w="2160" w:type="dxa"/>
            <w:vAlign w:val="center"/>
          </w:tcPr>
          <w:p w14:paraId="77A3CE6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6231419E" w14:textId="77777777" w:rsidR="00922249" w:rsidRPr="00CB2EC4" w:rsidRDefault="003011D5">
            <w:pPr>
              <w:rPr>
                <w:rFonts w:ascii="Times New Roman" w:hAnsi="Times New Roman" w:cs="Times New Roman"/>
              </w:rPr>
            </w:pPr>
            <w:r w:rsidRPr="00CB2EC4">
              <w:rPr>
                <w:rFonts w:ascii="Times New Roman" w:hAnsi="Times New Roman" w:cs="Times New Roman"/>
              </w:rPr>
              <w:t>the main purpose of excavating the Latzko rectal lateral space during nerve-sparing radical hysterectomy is to fully expose the origin of the transverse cervical ligament, enabling thorough dissection while avoiding injury to neural structures.</w:t>
            </w:r>
            <w:r w:rsidRPr="00CB2EC4">
              <w:rPr>
                <w:rFonts w:ascii="Times New Roman" w:hAnsi="Times New Roman" w:cs="Times New Roman"/>
              </w:rPr>
              <w:br/>
            </w:r>
            <w:r w:rsidRPr="00CB2EC4">
              <w:rPr>
                <w:rFonts w:ascii="Times New Roman" w:hAnsi="Times New Roman" w:cs="Times New Roman"/>
              </w:rPr>
              <w:br/>
              <w:t>Basis:</w:t>
            </w:r>
            <w:r w:rsidRPr="00CB2EC4">
              <w:rPr>
                <w:rFonts w:ascii="Times New Roman" w:hAnsi="Times New Roman" w:cs="Times New Roman"/>
              </w:rPr>
              <w:br/>
              <w:t>- Document excerpt 4 states: “The introduction of the Latzko procedure aims to excavate the Latzko rectal lateral space and the bladder lateral space, fully exposing the origin of the transverse cervical ligament, thereby allowing more complete dissection in this area.” (Excerpt 4)</w:t>
            </w:r>
            <w:r w:rsidRPr="00CB2EC4">
              <w:rPr>
                <w:rFonts w:ascii="Times New Roman" w:hAnsi="Times New Roman" w:cs="Times New Roman"/>
              </w:rPr>
              <w:br/>
              <w:t>- Document excerpt 18 further explains: “After excavating the Latzko rectal lateral space and dissecting the posterior fascia of the transverse cervical ligament... separating the internal iliac artery and vein vascular sheath and the posterior fascia of the transverse cervical ligament from their base allows entry into the Latzko rectal lateral space, which facilitates exposure and division of the origin of the transverse cervical ligament.” (Excerpt 18)</w:t>
            </w:r>
            <w:r w:rsidRPr="00CB2EC4">
              <w:rPr>
                <w:rFonts w:ascii="Times New Roman" w:hAnsi="Times New Roman" w:cs="Times New Roman"/>
              </w:rPr>
              <w:br/>
              <w:t>- In the context of nerve preservation, excerpt 7 notes that nerve-sparing surgery requires avoiding damage to the pelvic splanchnic nerves, and controlling the depth of excavation in the Latzko rectal lateral space to a level slightly deeper than the uterine deep vein (excerpt 3) helps reduce the risk of unintended bleeding and nerve injury.</w:t>
            </w:r>
          </w:p>
        </w:tc>
        <w:tc>
          <w:tcPr>
            <w:tcW w:w="1152" w:type="dxa"/>
            <w:vAlign w:val="center"/>
          </w:tcPr>
          <w:p w14:paraId="16AF37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E828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791A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2E1891C" w14:textId="77777777">
        <w:tc>
          <w:tcPr>
            <w:tcW w:w="2160" w:type="dxa"/>
            <w:vAlign w:val="center"/>
          </w:tcPr>
          <w:p w14:paraId="0E9B1F3A"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009AFB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purpose of dissecting the Latzko rectal lateral space during a nerve-sparing radical hysterectomy is to expose the origin of the transverse </w:t>
            </w:r>
            <w:r w:rsidRPr="00CB2EC4">
              <w:rPr>
                <w:rFonts w:ascii="Times New Roman" w:hAnsi="Times New Roman" w:cs="Times New Roman"/>
              </w:rPr>
              <w:lastRenderedPageBreak/>
              <w:t>cervical ligament, facilitating thorough dissection and safe transection of the ligament while minimizing the risk of nerve injury.</w:t>
            </w:r>
            <w:r w:rsidRPr="00CB2EC4">
              <w:rPr>
                <w:rFonts w:ascii="Times New Roman" w:hAnsi="Times New Roman" w:cs="Times New Roman"/>
              </w:rPr>
              <w:br/>
            </w:r>
            <w:r w:rsidRPr="00CB2EC4">
              <w:rPr>
                <w:rFonts w:ascii="Times New Roman" w:hAnsi="Times New Roman" w:cs="Times New Roman"/>
              </w:rPr>
              <w:br/>
              <w:t>- Basis:</w:t>
            </w:r>
            <w:r w:rsidRPr="00CB2EC4">
              <w:rPr>
                <w:rFonts w:ascii="Times New Roman" w:hAnsi="Times New Roman" w:cs="Times New Roman"/>
              </w:rPr>
              <w:br/>
              <w:t xml:space="preserve">  - Document 1 explicitly states: "Dissection of the cephalad compartment of the Latzko rectal lateral space: the space formed after the posterior fascia of the transverse cervical ligament and the internal iliac vascular sheath are stripped from their respective structures (i.e., the Latzko rectal lateral space)", and notes its significance as "advantageous for exposing and transecting the origin of the transverse cervical ligament".</w:t>
            </w:r>
            <w:r w:rsidRPr="00CB2EC4">
              <w:rPr>
                <w:rFonts w:ascii="Times New Roman" w:hAnsi="Times New Roman" w:cs="Times New Roman"/>
              </w:rPr>
              <w:br/>
              <w:t xml:space="preserve">  - Document 7 further explains: "The introduction of the Latzko technique aims to dissect the Latzko rectal lateral space and the paravesical space, fully exposing the origin of the transverse cervical ligament, thereby enabling more thorough dissection at this site."</w:t>
            </w:r>
            <w:r w:rsidRPr="00CB2EC4">
              <w:rPr>
                <w:rFonts w:ascii="Times New Roman" w:hAnsi="Times New Roman" w:cs="Times New Roman"/>
              </w:rPr>
              <w:br/>
              <w:t xml:space="preserve">  - Document 12 and Document 14 also support this purpose, emphasizing that exposing the origin of the transverse cervical ligament is the key initial step in entering the Latzko rectal lateral space (Document 12: "Exposing the origin of the transverse cervical ligament marks the beginning of entering the Latzko rectal lateral space"; Document 14: "Dissection of the Latzko rectal lateral space and separation of the posterior fascia of the transverse cervical ligament" to expose its origin).</w:t>
            </w:r>
            <w:r w:rsidRPr="00CB2EC4">
              <w:rPr>
                <w:rFonts w:ascii="Times New Roman" w:hAnsi="Times New Roman" w:cs="Times New Roman"/>
              </w:rPr>
              <w:br/>
              <w:t xml:space="preserve">  - Summary: The context consistently indicates that the core objective of this maneuver is to expose the origin of the transverse cervical ligament to facilitate subsequent dissection and nerve preservation.</w:t>
            </w:r>
          </w:p>
        </w:tc>
        <w:tc>
          <w:tcPr>
            <w:tcW w:w="1152" w:type="dxa"/>
            <w:vAlign w:val="center"/>
          </w:tcPr>
          <w:p w14:paraId="3EA6C9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F8A8B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127E7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924CB1" w14:textId="77777777">
        <w:tc>
          <w:tcPr>
            <w:tcW w:w="2160" w:type="dxa"/>
            <w:vAlign w:val="center"/>
          </w:tcPr>
          <w:p w14:paraId="7155AE9E"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F18CD1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nerve-sparing radical hysterectomy, the main </w:t>
            </w:r>
            <w:r w:rsidRPr="00CB2EC4">
              <w:rPr>
                <w:rFonts w:ascii="Times New Roman" w:hAnsi="Times New Roman" w:cs="Times New Roman"/>
              </w:rPr>
              <w:lastRenderedPageBreak/>
              <w:t xml:space="preserve">purpose of developing the Latzko rectal lateral space is:  </w:t>
            </w:r>
            <w:r w:rsidRPr="00CB2EC4">
              <w:rPr>
                <w:rFonts w:ascii="Times New Roman" w:hAnsi="Times New Roman" w:cs="Times New Roman"/>
              </w:rPr>
              <w:br/>
              <w:t xml:space="preserve">- To fully expose the origin of the transverse cervical ligament: The procedure is specifically introduced to "develop the Latzko rectal lateral space and the bladder lateral space, fully exposing the origin of the transverse cervical ligament, thereby enabling more thorough dissection in this area" ([HyDE similarity: 0.554]). This facilitates complete clearance of the transverse cervical ligament region, reducing the risk of cancer residue.  </w:t>
            </w:r>
            <w:r w:rsidRPr="00CB2EC4">
              <w:rPr>
                <w:rFonts w:ascii="Times New Roman" w:hAnsi="Times New Roman" w:cs="Times New Roman"/>
              </w:rPr>
              <w:br/>
              <w:t xml:space="preserve">- To assist in nerve preservation: By precisely dissecting the posterior fascia of the transverse cervical ligament and the vascular sheath, developing the Latzko rectal lateral space helps identify and protect the pelvic autonomic nerves (such as the hypogastric nerve), avoiding intraoperative injury and thus supporting the goal of nerve sparing ([HyDE similarity: 0.554]).  </w:t>
            </w:r>
            <w:r w:rsidRPr="00CB2EC4">
              <w:rPr>
                <w:rFonts w:ascii="Times New Roman" w:hAnsi="Times New Roman" w:cs="Times New Roman"/>
              </w:rPr>
              <w:br/>
              <w:t>The primary purpose is to expose key anatomical structures (origin of the transverse cervical ligament) to achieve radical dissection while preserving nerve function.</w:t>
            </w:r>
          </w:p>
        </w:tc>
        <w:tc>
          <w:tcPr>
            <w:tcW w:w="1152" w:type="dxa"/>
            <w:vAlign w:val="center"/>
          </w:tcPr>
          <w:p w14:paraId="758203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CCBB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434A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6FE45A" w14:textId="77777777">
        <w:tc>
          <w:tcPr>
            <w:tcW w:w="2160" w:type="dxa"/>
            <w:vAlign w:val="center"/>
          </w:tcPr>
          <w:p w14:paraId="3B94EC1B"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B329E6D" w14:textId="77777777" w:rsidR="00922249" w:rsidRPr="00CB2EC4" w:rsidRDefault="003011D5">
            <w:pPr>
              <w:rPr>
                <w:rFonts w:ascii="Times New Roman" w:hAnsi="Times New Roman" w:cs="Times New Roman"/>
              </w:rPr>
            </w:pPr>
            <w:r w:rsidRPr="00CB2EC4">
              <w:rPr>
                <w:rFonts w:ascii="Times New Roman" w:hAnsi="Times New Roman" w:cs="Times New Roman"/>
              </w:rPr>
              <w:t>the main purpose of developing the Latzko rectal lateral space during a nerve-sparing radical hysterectomy is:</w:t>
            </w:r>
            <w:r w:rsidRPr="00CB2EC4">
              <w:rPr>
                <w:rFonts w:ascii="Times New Roman" w:hAnsi="Times New Roman" w:cs="Times New Roman"/>
              </w:rPr>
              <w:br/>
              <w:t xml:space="preserve">- To expose the origin of the transverse cervical ligament: By dissecting the posterior fascia of the internal iliac vascular sheath and the transverse cervical ligament, the Latzko rectal lateral space (cranial compartment) is formed to fully expose the origin of the transverse cervical ligament (Fragment 1 and Fragment 14, Section 10.1.1). This allows direct visualization and clearance of the ligament origin, </w:t>
            </w:r>
            <w:r w:rsidRPr="00CB2EC4">
              <w:rPr>
                <w:rFonts w:ascii="Times New Roman" w:hAnsi="Times New Roman" w:cs="Times New Roman"/>
              </w:rPr>
              <w:lastRenderedPageBreak/>
              <w:t>avoids combined ligation (Massengigatur), and enables safe management of vessels such as the deep uterine vein (Fragment 14, Section 10.1).</w:t>
            </w:r>
            <w:r w:rsidRPr="00CB2EC4">
              <w:rPr>
                <w:rFonts w:ascii="Times New Roman" w:hAnsi="Times New Roman" w:cs="Times New Roman"/>
              </w:rPr>
              <w:br/>
              <w:t>- To facilitate thorough dissection and nerve preservation: In nerve-sparing procedures, developing this space helps identify and protect the pelvic splanchnic nerves and hypogastric nerves, preventing injury (Fragment 5 and Fragment 11). The introduction of the Latzko technique aims to make clearance of the transverse cervical ligament origin more complete while reducing bleeding risk (Fragment 5).</w:t>
            </w:r>
            <w:r w:rsidRPr="00CB2EC4">
              <w:rPr>
                <w:rFonts w:ascii="Times New Roman" w:hAnsi="Times New Roman" w:cs="Times New Roman"/>
              </w:rPr>
              <w:br/>
              <w:t>- To assist other maneuvers: It provides space for subsequent steps (such as transection of the cardinal ligament or separation of the ureteral plate), ensuring systematic and safe surgery (Fragment 1 and Fragment 14).</w:t>
            </w:r>
          </w:p>
        </w:tc>
        <w:tc>
          <w:tcPr>
            <w:tcW w:w="1152" w:type="dxa"/>
            <w:vAlign w:val="center"/>
          </w:tcPr>
          <w:p w14:paraId="3FF494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F33C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749B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690E06" w14:textId="77777777">
        <w:tc>
          <w:tcPr>
            <w:tcW w:w="2160" w:type="dxa"/>
            <w:vAlign w:val="center"/>
          </w:tcPr>
          <w:p w14:paraId="559846B5"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DDD6AE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purpose of developing the Latzko rectal lateral space during nerve-sparing radical hysterectomy is to expose the origin of the transverse cervical ligament, facilitating safe separation of blood vessels and nerves while avoiding injury to the pelvic autonomic nerves (such as the hypogastric nerve).  </w:t>
            </w:r>
            <w:r w:rsidRPr="00CB2EC4">
              <w:rPr>
                <w:rFonts w:ascii="Times New Roman" w:hAnsi="Times New Roman" w:cs="Times New Roman"/>
              </w:rPr>
              <w:br/>
              <w:t xml:space="preserve">- Basis:  </w:t>
            </w:r>
            <w:r w:rsidRPr="00CB2EC4">
              <w:rPr>
                <w:rFonts w:ascii="Times New Roman" w:hAnsi="Times New Roman" w:cs="Times New Roman"/>
              </w:rPr>
              <w:br/>
              <w:t xml:space="preserve">  &gt; "10.1.1 Developing the Latzko rectal lateral space and dissecting the posterior fascia of the transverse cervical ligament: Separate the vascular sheath of the internal iliac artery and vein from the posterior fascia of the transverse cervical ligament to form the Latzko rectal lateral space, thereby revealing the origin of the transverse cervical ligament."  </w:t>
            </w:r>
            <w:r w:rsidRPr="00CB2EC4">
              <w:rPr>
                <w:rFonts w:ascii="Times New Roman" w:hAnsi="Times New Roman" w:cs="Times New Roman"/>
              </w:rPr>
              <w:br/>
              <w:t xml:space="preserve">  &gt; "Figure 161b: By developing the Latzko rectal lateral space, the course of the hypogastric nerve can be located to avoid injury to the vesical nerve </w:t>
            </w:r>
            <w:r w:rsidRPr="00CB2EC4">
              <w:rPr>
                <w:rFonts w:ascii="Times New Roman" w:hAnsi="Times New Roman" w:cs="Times New Roman"/>
              </w:rPr>
              <w:lastRenderedPageBreak/>
              <w:t xml:space="preserve">branches."  </w:t>
            </w:r>
            <w:r w:rsidRPr="00CB2EC4">
              <w:rPr>
                <w:rFonts w:ascii="Times New Roman" w:hAnsi="Times New Roman" w:cs="Times New Roman"/>
              </w:rPr>
              <w:br/>
              <w:t xml:space="preserve">  &gt; "Nerve-sparing surgery requires identification and protection of the neurovascular bundle within the Latzko rectal lateral space."</w:t>
            </w:r>
          </w:p>
        </w:tc>
        <w:tc>
          <w:tcPr>
            <w:tcW w:w="1152" w:type="dxa"/>
            <w:vAlign w:val="center"/>
          </w:tcPr>
          <w:p w14:paraId="425A7E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A84E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D4CA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27ACA7" w14:textId="77777777">
        <w:tc>
          <w:tcPr>
            <w:tcW w:w="2160" w:type="dxa"/>
            <w:vAlign w:val="center"/>
          </w:tcPr>
          <w:p w14:paraId="7E4BFC9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426ACE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purpose of dissecting the Latzko rectal lateral space during a nerve-sparing radical hysterectomy is to fully expose the origin of the transverse cervical ligament, facilitating thorough dissection of this area and enabling nerve-sparing procedures.  </w:t>
            </w:r>
            <w:r w:rsidRPr="00CB2EC4">
              <w:rPr>
                <w:rFonts w:ascii="Times New Roman" w:hAnsi="Times New Roman" w:cs="Times New Roman"/>
              </w:rPr>
              <w:br/>
              <w:t xml:space="preserve">- Basis:  </w:t>
            </w:r>
            <w:r w:rsidRPr="00CB2EC4">
              <w:rPr>
                <w:rFonts w:ascii="Times New Roman" w:hAnsi="Times New Roman" w:cs="Times New Roman"/>
              </w:rPr>
              <w:br/>
              <w:t xml:space="preserve">  - [Document Fragment 16] explicitly states: “The introduction of the Latzko technique aims to dissect the Latzko rectal lateral space and the bladder lateral space, fully exposing the origin of the transverse cervical ligament, thereby allowing more complete dissection in this region.” This helps avoid injury to the pelvic autonomic nerves (such as the hypogastric nerve), thus supporting the goal of nerve preservation.  </w:t>
            </w:r>
            <w:r w:rsidRPr="00CB2EC4">
              <w:rPr>
                <w:rFonts w:ascii="Times New Roman" w:hAnsi="Times New Roman" w:cs="Times New Roman"/>
              </w:rPr>
              <w:br/>
              <w:t>- Additional context: Dissection of the Latzko rectal lateral space is a key step in radical hysterectomy, as it allows the surgeon to clearly identify the vascular and neural structures of the transverse cervical ligament (refer to [Document Fragment 1] and [Document Fragment 8]), reducing operative contradictions or unexpected bleeding.</w:t>
            </w:r>
          </w:p>
        </w:tc>
        <w:tc>
          <w:tcPr>
            <w:tcW w:w="1152" w:type="dxa"/>
            <w:vAlign w:val="center"/>
          </w:tcPr>
          <w:p w14:paraId="1AC34D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18389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51B8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03F3F1" w14:textId="77777777">
        <w:tc>
          <w:tcPr>
            <w:tcW w:w="2160" w:type="dxa"/>
            <w:vAlign w:val="center"/>
          </w:tcPr>
          <w:p w14:paraId="6D1765A5"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5A3691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purpose of dissecting the Latzko rectal lateral space during nerve-sparing radical hysterectomy is to expose and divide the origin of the transverse cervical ligament, facilitating thorough dissection of its vascular branches while avoiding nerve injury, and providing a safe pathway for subsequent procedures such as separation of the </w:t>
            </w:r>
            <w:r w:rsidRPr="00CB2EC4">
              <w:rPr>
                <w:rFonts w:ascii="Times New Roman" w:hAnsi="Times New Roman" w:cs="Times New Roman"/>
              </w:rPr>
              <w:lastRenderedPageBreak/>
              <w:t>uterine deep veins.</w:t>
            </w:r>
            <w:r w:rsidRPr="00CB2EC4">
              <w:rPr>
                <w:rFonts w:ascii="Times New Roman" w:hAnsi="Times New Roman" w:cs="Times New Roman"/>
              </w:rPr>
              <w:br/>
            </w:r>
            <w:r w:rsidRPr="00CB2EC4">
              <w:rPr>
                <w:rFonts w:ascii="Times New Roman" w:hAnsi="Times New Roman" w:cs="Times New Roman"/>
              </w:rPr>
              <w:br/>
              <w:t>based on the document details:</w:t>
            </w:r>
            <w:r w:rsidRPr="00CB2EC4">
              <w:rPr>
                <w:rFonts w:ascii="Times New Roman" w:hAnsi="Times New Roman" w:cs="Times New Roman"/>
              </w:rPr>
              <w:br/>
              <w:t>- in the [similarity: 0.590] section, it states: “dissecting the Latzko rectal lateral space... is advantageous for exposing and dividing the origin of the transverse cervical ligament.”</w:t>
            </w:r>
            <w:r w:rsidRPr="00CB2EC4">
              <w:rPr>
                <w:rFonts w:ascii="Times New Roman" w:hAnsi="Times New Roman" w:cs="Times New Roman"/>
              </w:rPr>
              <w:br/>
              <w:t>- in the [similarity: 0.548] section, it further explains: “the purpose of dissecting the Latzko rectal lateral space... is to individually expose the vascular branches within the transverse cervical ligament... to avoid mass ligation (Massengigatur).”</w:t>
            </w:r>
            <w:r w:rsidRPr="00CB2EC4">
              <w:rPr>
                <w:rFonts w:ascii="Times New Roman" w:hAnsi="Times New Roman" w:cs="Times New Roman"/>
              </w:rPr>
              <w:br/>
              <w:t>- in the [similarity: 0.508] section, it emphasizes: “the introduction of the Latzko technique aims to dissect the Latzko rectal lateral space and the bladder lateral space, fully exposing the origin of the transverse cervical ligament, thereby enabling more thorough dissection at this site.”</w:t>
            </w:r>
            <w:r w:rsidRPr="00CB2EC4">
              <w:rPr>
                <w:rFonts w:ascii="Times New Roman" w:hAnsi="Times New Roman" w:cs="Times New Roman"/>
              </w:rPr>
              <w:br/>
            </w:r>
            <w:r w:rsidRPr="00CB2EC4">
              <w:rPr>
                <w:rFonts w:ascii="Times New Roman" w:hAnsi="Times New Roman" w:cs="Times New Roman"/>
              </w:rPr>
              <w:br/>
              <w:t>in summary, the document clearly indicates that the core objective of dissecting the Latzko rectal lateral space is to expose the origin of the transverse cervical ligament, enabling precise management of vessels (e.g., uterine deep veins) and supporting nerve-sparing surgical strategies (e.g., avoiding injury to the pelvic splanchnic nerves).</w:t>
            </w:r>
          </w:p>
        </w:tc>
        <w:tc>
          <w:tcPr>
            <w:tcW w:w="1152" w:type="dxa"/>
            <w:vAlign w:val="center"/>
          </w:tcPr>
          <w:p w14:paraId="59049F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16BD2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85C5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EBF8D8" w14:textId="77777777">
        <w:tc>
          <w:tcPr>
            <w:tcW w:w="2160" w:type="dxa"/>
            <w:vAlign w:val="center"/>
          </w:tcPr>
          <w:p w14:paraId="1DB243C9"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ADF4AB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purpose of dissecting the Latzko rectal lateral space during a nerve-sparing radical hysterectomy is to fully expose the origin of the transverse cervical ligament, allowing for more thorough dissection in this area.  </w:t>
            </w:r>
            <w:r w:rsidRPr="00CB2EC4">
              <w:rPr>
                <w:rFonts w:ascii="Times New Roman" w:hAnsi="Times New Roman" w:cs="Times New Roman"/>
              </w:rPr>
              <w:br/>
              <w:t xml:space="preserve">- According to document excerpts 1 and 2 (highly relevant), the context explicitly states: “The introduction of the Latzko technique aims to dissect </w:t>
            </w:r>
            <w:r w:rsidRPr="00CB2EC4">
              <w:rPr>
                <w:rFonts w:ascii="Times New Roman" w:hAnsi="Times New Roman" w:cs="Times New Roman"/>
              </w:rPr>
              <w:lastRenderedPageBreak/>
              <w:t>the Latzko rectal lateral space and the bladder lateral space, fully exposing the origin of the transverse cervical ligament, thereby enabling more complete dissection in this region.” This helps avoid inadequate resection and reduces the risk of injury (e.g., preventing accidental bleeding).</w:t>
            </w:r>
          </w:p>
        </w:tc>
        <w:tc>
          <w:tcPr>
            <w:tcW w:w="1152" w:type="dxa"/>
            <w:vAlign w:val="center"/>
          </w:tcPr>
          <w:p w14:paraId="434125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54922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B00C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D1E2A6" w14:textId="77777777">
        <w:tc>
          <w:tcPr>
            <w:tcW w:w="2160" w:type="dxa"/>
            <w:vAlign w:val="center"/>
          </w:tcPr>
          <w:p w14:paraId="1CB66B22"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D38CA13" w14:textId="77777777" w:rsidR="00922249" w:rsidRPr="00CB2EC4" w:rsidRDefault="003011D5">
            <w:pPr>
              <w:rPr>
                <w:rFonts w:ascii="Times New Roman" w:hAnsi="Times New Roman" w:cs="Times New Roman"/>
              </w:rPr>
            </w:pPr>
            <w:r w:rsidRPr="00CB2EC4">
              <w:rPr>
                <w:rFonts w:ascii="Times New Roman" w:hAnsi="Times New Roman" w:cs="Times New Roman"/>
              </w:rPr>
              <w:t>the main purpose of dissecting the Latzko rectal lateral space during a nerve-sparing radical hysterectomy is to expose the origin of the transverse cervical ligament, enabling thorough clearance and separation while avoiding injury to surrounding nerves and blood vessels.</w:t>
            </w:r>
            <w:r w:rsidRPr="00CB2EC4">
              <w:rPr>
                <w:rFonts w:ascii="Times New Roman" w:hAnsi="Times New Roman" w:cs="Times New Roman"/>
              </w:rPr>
              <w:br/>
            </w:r>
            <w:r w:rsidRPr="00CB2EC4">
              <w:rPr>
                <w:rFonts w:ascii="Times New Roman" w:hAnsi="Times New Roman" w:cs="Times New Roman"/>
              </w:rPr>
              <w:br/>
              <w:t>explanation: based on contextual information (related passages 2, 5, and 7):</w:t>
            </w:r>
            <w:r w:rsidRPr="00CB2EC4">
              <w:rPr>
                <w:rFonts w:ascii="Times New Roman" w:hAnsi="Times New Roman" w:cs="Times New Roman"/>
              </w:rPr>
              <w:br/>
              <w:t>- related passage 2 states: "the purpose of developing the rectal lateral space is to expose the parametrial connective tissue," and emphasizes that "probing the cranial compartment of the Latzko rectal lateral space reveals the origin of the transverse cervical ligament."</w:t>
            </w:r>
            <w:r w:rsidRPr="00CB2EC4">
              <w:rPr>
                <w:rFonts w:ascii="Times New Roman" w:hAnsi="Times New Roman" w:cs="Times New Roman"/>
              </w:rPr>
              <w:br/>
              <w:t>- related passage 7 (section 10.1.1) further clarifies: "exposing the origin of the transverse cervical ligament marks the beginning of entering the Latzko rectal lateral space," and describes how this maneuver facilitates separation of the posterior fascia of the transverse cervical ligament, thereby allowing safe dissection of the internal iliac vascular region in nerve-sparing surgery and preventing unintended bleeding (e.g., from injury to the inferior gluteal-pudendal common trunk).</w:t>
            </w:r>
            <w:r w:rsidRPr="00CB2EC4">
              <w:rPr>
                <w:rFonts w:ascii="Times New Roman" w:hAnsi="Times New Roman" w:cs="Times New Roman"/>
              </w:rPr>
              <w:br/>
              <w:t>in summary, this step focuses on exposing the origin of the transverse cervical ligament to provide clear visualization for subsequent nerve preservation and ligament management.</w:t>
            </w:r>
          </w:p>
        </w:tc>
        <w:tc>
          <w:tcPr>
            <w:tcW w:w="1152" w:type="dxa"/>
            <w:vAlign w:val="center"/>
          </w:tcPr>
          <w:p w14:paraId="26AD02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64FAD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C8D6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8C9359" w14:textId="77777777">
        <w:tc>
          <w:tcPr>
            <w:tcW w:w="2160" w:type="dxa"/>
            <w:vAlign w:val="center"/>
          </w:tcPr>
          <w:p w14:paraId="66F0C74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3E18F75C" w14:textId="77777777" w:rsidR="00922249" w:rsidRPr="00CB2EC4" w:rsidRDefault="003011D5">
            <w:pPr>
              <w:rPr>
                <w:rFonts w:ascii="Times New Roman" w:hAnsi="Times New Roman" w:cs="Times New Roman"/>
              </w:rPr>
            </w:pPr>
            <w:r w:rsidRPr="00CB2EC4">
              <w:rPr>
                <w:rFonts w:ascii="Times New Roman" w:hAnsi="Times New Roman" w:cs="Times New Roman"/>
              </w:rPr>
              <w:t>the main purpose of dissecting the Latzko rectal lateral space during a nerve-sparing radical hysterectomy is:</w:t>
            </w:r>
            <w:r w:rsidRPr="00CB2EC4">
              <w:rPr>
                <w:rFonts w:ascii="Times New Roman" w:hAnsi="Times New Roman" w:cs="Times New Roman"/>
              </w:rPr>
              <w:br/>
            </w:r>
            <w:r w:rsidRPr="00CB2EC4">
              <w:rPr>
                <w:rFonts w:ascii="Times New Roman" w:hAnsi="Times New Roman" w:cs="Times New Roman"/>
              </w:rPr>
              <w:br/>
              <w:t>- to expose and protect neural structures: this space constitutes a key pathway for the inferior hypogastric plexus (pelvic autonomic nerves); dissection allows clear identification and preservation of these nerves, preventing postoperative bladder and rectal dysfunction (e.g., urinary retention).</w:t>
            </w:r>
            <w:r w:rsidRPr="00CB2EC4">
              <w:rPr>
                <w:rFonts w:ascii="Times New Roman" w:hAnsi="Times New Roman" w:cs="Times New Roman"/>
              </w:rPr>
              <w:br/>
              <w:t>- to facilitate surgical maneuverability: it provides access to the posterior layer of the rectouterine and vesicouterine ligaments, ensuring safe separation of surrounding tissues and reducing bleeding risk.</w:t>
            </w:r>
          </w:p>
        </w:tc>
        <w:tc>
          <w:tcPr>
            <w:tcW w:w="1152" w:type="dxa"/>
            <w:vAlign w:val="center"/>
          </w:tcPr>
          <w:p w14:paraId="5ED649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DD765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B5BB0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E20D0BE" w14:textId="77777777">
        <w:tc>
          <w:tcPr>
            <w:tcW w:w="10656" w:type="dxa"/>
            <w:gridSpan w:val="5"/>
            <w:tcBorders>
              <w:bottom w:val="single" w:sz="6" w:space="0" w:color="auto"/>
            </w:tcBorders>
            <w:vAlign w:val="center"/>
          </w:tcPr>
          <w:p w14:paraId="66FDB54A"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123: According to Okabayashi's technique, what three-dimensional geometric structure is formed by the posterior layer of the vesicouterine ligament, the lateral border of the cervix, and the lateral border of the bladder? Compared to the two-dimensional planar understanding of Kobayashi and Mahigara, what is the key difference of this three-dimensional structure?</w:t>
            </w:r>
          </w:p>
        </w:tc>
      </w:tr>
      <w:tr w:rsidR="00922249" w:rsidRPr="00CB2EC4" w14:paraId="0A167343" w14:textId="77777777">
        <w:tc>
          <w:tcPr>
            <w:tcW w:w="2160" w:type="dxa"/>
            <w:vAlign w:val="center"/>
          </w:tcPr>
          <w:p w14:paraId="3BF4E25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C9BEAD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Okabayashi surgical technique, the posterior layer of the vesicouterine ligament, the lateral margin of the uterine cervix, and the lateral margin of the bladder together form a three-dimensional geometric structure, specifically a layered triangular cone or discoid composite, in which the vesicouterine ligament is distinctly divided into anterior and posterior layers and establishes a stereoscopic connection with the transverse cervical ligament. Compared to the two-dimensional planar understanding of Kobayashi and Makabe, the key distinction lies in Okabayashi's emphasis on three-dimensional separation (e.g., distinguishing anterior and posterior layers), whereas Kobayashi and Makabe base their approach on traditional anatomy, viewing the main ligament as a single two-dimensional planar </w:t>
            </w:r>
            <w:r w:rsidRPr="00CB2EC4">
              <w:rPr>
                <w:rFonts w:ascii="Times New Roman" w:hAnsi="Times New Roman" w:cs="Times New Roman"/>
              </w:rPr>
              <w:lastRenderedPageBreak/>
              <w:t>connector without layered differentiation.</w:t>
            </w:r>
            <w:r w:rsidRPr="00CB2EC4">
              <w:rPr>
                <w:rFonts w:ascii="Times New Roman" w:hAnsi="Times New Roman" w:cs="Times New Roman"/>
              </w:rPr>
              <w:br/>
            </w:r>
            <w:r w:rsidRPr="00CB2EC4">
              <w:rPr>
                <w:rFonts w:ascii="Times New Roman" w:hAnsi="Times New Roman" w:cs="Times New Roman"/>
              </w:rPr>
              <w:br/>
              <w:t>Evidence:</w:t>
            </w:r>
            <w:r w:rsidRPr="00CB2EC4">
              <w:rPr>
                <w:rFonts w:ascii="Times New Roman" w:hAnsi="Times New Roman" w:cs="Times New Roman"/>
              </w:rPr>
              <w:br/>
              <w:t>- Document excerpt 1 (Table 15, part a) states: "The Okabayashi operation is three-dimensional... when developing the vaginal lateral space and bladder lateral space, the anterior and posterior layers of the vesicouterine ligament are separated, clarifying their stereoscopic structure with the transverse cervical ligament."</w:t>
            </w:r>
            <w:r w:rsidRPr="00CB2EC4">
              <w:rPr>
                <w:rFonts w:ascii="Times New Roman" w:hAnsi="Times New Roman" w:cs="Times New Roman"/>
              </w:rPr>
              <w:br/>
              <w:t>- Excerpt 1 (part c) contrasts: "Okabayashi divides the vesicouterine ligament into anterior and posterior layers... the posterior layer is also termed the vesicovaginal ligament, forming a stereoscopic structure connecting the transverse cervical ligament and the bladder; whereas European and American approaches (including the two-dimensional understanding of Kobayashi and Makabe) regard the vesicouterine ligament as a single entity (e.g., the roof of the ureteral tunnel), lacking the concept of a posterior layer."</w:t>
            </w:r>
            <w:r w:rsidRPr="00CB2EC4">
              <w:rPr>
                <w:rFonts w:ascii="Times New Roman" w:hAnsi="Times New Roman" w:cs="Times New Roman"/>
              </w:rPr>
              <w:br/>
              <w:t>- Excerpt 6 ("3.1.4 What is the European interpretation of the Kobayashi technique?") notes: "Kobayashi and Makabe's surgery is based on a two-dimensional concept, considering the main ligament as a planar connector, while Okabayashi's stereoscopic morphology allows finer manipulation, such as separating vessels and nerves."</w:t>
            </w:r>
            <w:r w:rsidRPr="00CB2EC4">
              <w:rPr>
                <w:rFonts w:ascii="Times New Roman" w:hAnsi="Times New Roman" w:cs="Times New Roman"/>
              </w:rPr>
              <w:br/>
            </w:r>
            <w:r w:rsidRPr="00CB2EC4">
              <w:rPr>
                <w:rFonts w:ascii="Times New Roman" w:hAnsi="Times New Roman" w:cs="Times New Roman"/>
              </w:rPr>
              <w:br/>
              <w:t>Summary of key distinctions:</w:t>
            </w:r>
            <w:r w:rsidRPr="00CB2EC4">
              <w:rPr>
                <w:rFonts w:ascii="Times New Roman" w:hAnsi="Times New Roman" w:cs="Times New Roman"/>
              </w:rPr>
              <w:br/>
              <w:t xml:space="preserve">- Okabayashi's three-dimensional morphology: The ligament is divided into an anterior layer (connecting uterine cervix and bladder) and a posterior layer (connecting transverse cervical ligament and bladder), </w:t>
            </w:r>
            <w:r w:rsidRPr="00CB2EC4">
              <w:rPr>
                <w:rFonts w:ascii="Times New Roman" w:hAnsi="Times New Roman" w:cs="Times New Roman"/>
              </w:rPr>
              <w:lastRenderedPageBreak/>
              <w:t>forming a stereoscopic geometric structure that enables independent handling of each layer and reduces nerve injury risk.</w:t>
            </w:r>
            <w:r w:rsidRPr="00CB2EC4">
              <w:rPr>
                <w:rFonts w:ascii="Times New Roman" w:hAnsi="Times New Roman" w:cs="Times New Roman"/>
              </w:rPr>
              <w:br/>
              <w:t>- Kobayashi and Makabe's two-dimensional understanding: The main ligament is regarded as a single planar structure (e.g., "band-like condensation"), with surgery employing combined ligation (Massenligatur), which increases the risk of bleeding and nerve injury.</w:t>
            </w:r>
          </w:p>
        </w:tc>
        <w:tc>
          <w:tcPr>
            <w:tcW w:w="1152" w:type="dxa"/>
            <w:vAlign w:val="center"/>
          </w:tcPr>
          <w:p w14:paraId="448DF0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44320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428C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2897E0E" w14:textId="77777777">
        <w:tc>
          <w:tcPr>
            <w:tcW w:w="2160" w:type="dxa"/>
            <w:vAlign w:val="center"/>
          </w:tcPr>
          <w:p w14:paraId="1A507ED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1D1E21F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Okabayashi technique, the posterior layer of the vesicouterine ligament, the lateral margin of the uterine cervix, and the lateral margin of the bladder together form a three-dimensional composite structure involving deep ligamentous tissue, venous plexus (such as the superior vesical veins), and nerve branches (such as the bladder branches from the pelvic plexus), oriented vertically or nearly perpendicular to the uterine cervix.  </w:t>
            </w:r>
            <w:r w:rsidRPr="00CB2EC4">
              <w:rPr>
                <w:rFonts w:ascii="Times New Roman" w:hAnsi="Times New Roman" w:cs="Times New Roman"/>
              </w:rPr>
              <w:br/>
              <w:t xml:space="preserve">compared with the two-dimensional planar understanding of Kobayashi and Makabe, the key distinction lies in Okabayashi’s emphasis on stereoscopic complexity and vertical orientation, whereas Kobayashi and Makabe simplify it into parallel or layered planar structures (e.g., roof-like or sandwich-like configurations).  </w:t>
            </w:r>
            <w:r w:rsidRPr="00CB2EC4">
              <w:rPr>
                <w:rFonts w:ascii="Times New Roman" w:hAnsi="Times New Roman" w:cs="Times New Roman"/>
              </w:rPr>
              <w:br/>
              <w:t xml:space="preserve">basis:  </w:t>
            </w:r>
            <w:r w:rsidRPr="00CB2EC4">
              <w:rPr>
                <w:rFonts w:ascii="Times New Roman" w:hAnsi="Times New Roman" w:cs="Times New Roman"/>
              </w:rPr>
              <w:br/>
              <w:t xml:space="preserve">- okabayashi’s three-dimensional morphology:  </w:t>
            </w:r>
            <w:r w:rsidRPr="00CB2EC4">
              <w:rPr>
                <w:rFonts w:ascii="Times New Roman" w:hAnsi="Times New Roman" w:cs="Times New Roman"/>
              </w:rPr>
              <w:br/>
              <w:t xml:space="preserve">  - document excerpt 5 (block topic: vesicouterine ligament handling technique) states that Okabayashi divides the vesicouterine ligament into anterior and posterior layers, with the posterior layer being "a connective tissue bundle linking the transverse cervical ligament and the bladder," and excerpt 6 (block topic: anatomical perspective of vesicouterine </w:t>
            </w:r>
            <w:r w:rsidRPr="00CB2EC4">
              <w:rPr>
                <w:rFonts w:ascii="Times New Roman" w:hAnsi="Times New Roman" w:cs="Times New Roman"/>
              </w:rPr>
              <w:lastRenderedPageBreak/>
              <w:t xml:space="preserve">ligament) explains it as "posterior layer of vesicouterine ligament ≡ deep layer of vesicouterine ligament + vesicocervical ligament," forming a composite containing veins and nerves, and being "basically perpendicular to the uterine cervix."  </w:t>
            </w:r>
            <w:r w:rsidRPr="00CB2EC4">
              <w:rPr>
                <w:rFonts w:ascii="Times New Roman" w:hAnsi="Times New Roman" w:cs="Times New Roman"/>
              </w:rPr>
              <w:br/>
              <w:t xml:space="preserve">  - document excerpt 12 (block topic: anatomical structure of vesicouterine ligament) via figure 36a-b shows the posterior layer as a three-dimensional structure involving "tissues surrounding the bladder nerve branches and superior vesical veins," and defines the direction for developing the vaginal lateral space (E direction), reflecting stereometric relationships.  </w:t>
            </w:r>
            <w:r w:rsidRPr="00CB2EC4">
              <w:rPr>
                <w:rFonts w:ascii="Times New Roman" w:hAnsi="Times New Roman" w:cs="Times New Roman"/>
              </w:rPr>
              <w:br/>
              <w:t xml:space="preserve">- kobayashi and makabe’s two-dimensional understanding:  </w:t>
            </w:r>
            <w:r w:rsidRPr="00CB2EC4">
              <w:rPr>
                <w:rFonts w:ascii="Times New Roman" w:hAnsi="Times New Roman" w:cs="Times New Roman"/>
              </w:rPr>
              <w:br/>
              <w:t xml:space="preserve">  - document excerpt 5 contrasts that Kobayashi (1961) described it as "covering the ureter like the roof of a house" (anterior and posterior layers forming a roof-like two-dimensional plane), and Makabe (1964) viewed it as "sandwiched around the ureter and attached parallel to the lateral aspect of the cervix/vagina" (a parallel, layered two-dimensional structure).  </w:t>
            </w:r>
            <w:r w:rsidRPr="00CB2EC4">
              <w:rPr>
                <w:rFonts w:ascii="Times New Roman" w:hAnsi="Times New Roman" w:cs="Times New Roman"/>
              </w:rPr>
              <w:br/>
              <w:t xml:space="preserve">- key distinction:  </w:t>
            </w:r>
            <w:r w:rsidRPr="00CB2EC4">
              <w:rPr>
                <w:rFonts w:ascii="Times New Roman" w:hAnsi="Times New Roman" w:cs="Times New Roman"/>
              </w:rPr>
              <w:br/>
              <w:t xml:space="preserve">  - okabayashi’s stereoscopic form is vertical and composite (involving multi-layered structures with neurovascular bundles), while kobayashi and makabe’s understanding is horizontal or parallel one-/two-dimensional planar (roof or sandwich-like).  </w:t>
            </w:r>
            <w:r w:rsidRPr="00CB2EC4">
              <w:rPr>
                <w:rFonts w:ascii="Times New Roman" w:hAnsi="Times New Roman" w:cs="Times New Roman"/>
              </w:rPr>
              <w:br/>
              <w:t xml:space="preserve">  - document excerpt 5 explicitly notes the Okabayashi technique is "three-dimensional," whereas the Latzko technique is "two-dimensional," highlighting the stereoscopic advantage in anatomical cognition.</w:t>
            </w:r>
          </w:p>
        </w:tc>
        <w:tc>
          <w:tcPr>
            <w:tcW w:w="1152" w:type="dxa"/>
            <w:vAlign w:val="center"/>
          </w:tcPr>
          <w:p w14:paraId="28090A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DED0B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9DD86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3D5CF55" w14:textId="77777777">
        <w:tc>
          <w:tcPr>
            <w:tcW w:w="2160" w:type="dxa"/>
            <w:vAlign w:val="center"/>
          </w:tcPr>
          <w:p w14:paraId="3FB5A42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667F19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Okabayashi method, the posterior </w:t>
            </w:r>
            <w:r w:rsidRPr="00CB2EC4">
              <w:rPr>
                <w:rFonts w:ascii="Times New Roman" w:hAnsi="Times New Roman" w:cs="Times New Roman"/>
              </w:rPr>
              <w:lastRenderedPageBreak/>
              <w:t xml:space="preserve">layer of the vesicouterine ligament, the lateral margin of the uterine cervix, and the lateral margin of the bladder together form a "triangular prism" three-dimensional geometric shape. Compared to the two-dimensional planar understanding of Kobayashi and Makabe, the key difference is that Okabayashi's described morphology possesses three-dimensionality, while Kobayashi and Makabe's description is two-dimensional and planar, lacking depth. The specific basis is as follows:  </w:t>
            </w:r>
            <w:r w:rsidRPr="00CB2EC4">
              <w:rPr>
                <w:rFonts w:ascii="Times New Roman" w:hAnsi="Times New Roman" w:cs="Times New Roman"/>
              </w:rPr>
              <w:br/>
              <w:t xml:space="preserve">- Document excerpt 1 clearly states: "The posterior layer of the vesicouterine ligament, the lateral margin of the uterine cervix, and the lateral margin of the bladder form a triangular prism. Of course, the hollow part is the triangle described by Yagi. In contrast, according to the surgical texts of Kobayashi and Makabe, the anterior and posterior layers of the vesicouterine ligament are parallel to the uterine cervix, forming a two-dimensional plane and lacking three-dimensionality."  </w:t>
            </w:r>
            <w:r w:rsidRPr="00CB2EC4">
              <w:rPr>
                <w:rFonts w:ascii="Times New Roman" w:hAnsi="Times New Roman" w:cs="Times New Roman"/>
              </w:rPr>
              <w:br/>
              <w:t xml:space="preserve">- Key differences:  </w:t>
            </w:r>
            <w:r w:rsidRPr="00CB2EC4">
              <w:rPr>
                <w:rFonts w:ascii="Times New Roman" w:hAnsi="Times New Roman" w:cs="Times New Roman"/>
              </w:rPr>
              <w:br/>
              <w:t xml:space="preserve">  - Okabayashi's three-dimensional morphology: Triangular prism (similar to a prism), with a hollow structure, emphasizing three-dimensional spatial relationships, facilitating identification and dissection of ligament layers during surgery.  </w:t>
            </w:r>
            <w:r w:rsidRPr="00CB2EC4">
              <w:rPr>
                <w:rFonts w:ascii="Times New Roman" w:hAnsi="Times New Roman" w:cs="Times New Roman"/>
              </w:rPr>
              <w:br/>
              <w:t xml:space="preserve">  - Kobayashi and Makabe's two-dimensional plane: Describes the anterior and posterior layers of the vesicouterine ligament as planar structures parallel to the uterine cervix, lacking three-dimensional depth, which may lead to misinterpretation of ligament relationships during surgery.  </w:t>
            </w:r>
            <w:r w:rsidRPr="00CB2EC4">
              <w:rPr>
                <w:rFonts w:ascii="Times New Roman" w:hAnsi="Times New Roman" w:cs="Times New Roman"/>
              </w:rPr>
              <w:br/>
              <w:t xml:space="preserve">This distinction highlights the advantage of the Okabayashi method in anatomical accuracy, enabling </w:t>
            </w:r>
            <w:r w:rsidRPr="00CB2EC4">
              <w:rPr>
                <w:rFonts w:ascii="Times New Roman" w:hAnsi="Times New Roman" w:cs="Times New Roman"/>
              </w:rPr>
              <w:lastRenderedPageBreak/>
              <w:t>more precise guidance for surgical procedures.</w:t>
            </w:r>
          </w:p>
        </w:tc>
        <w:tc>
          <w:tcPr>
            <w:tcW w:w="1152" w:type="dxa"/>
            <w:vAlign w:val="center"/>
          </w:tcPr>
          <w:p w14:paraId="4CAC24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2F738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2E99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F975400" w14:textId="77777777">
        <w:tc>
          <w:tcPr>
            <w:tcW w:w="2160" w:type="dxa"/>
            <w:vAlign w:val="center"/>
          </w:tcPr>
          <w:p w14:paraId="4C7FD39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5EE5D871"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Okabayashi's technique, the posterior layer of the vesicouterine ligament, the lateral margin of the uterine cervix, and the lateral margin of the bladder together form a three-dimensional "pyramidal or conical structure" (a stereoscopic space with the ureter as the axis). Compared to the two-dimensional planar understanding of Kobayashi and Magara, the key difference lies in Okabayashi's emphasis on three-dimensional anatomical relationships (involving stereoscopic interactions of multiple ligament layers and spaces), whereas Kobayashi and Magara simplify it to a two-dimensional plane (such as a roof or sandwich structure), neglecting depth and the course of neurovascular bundles.</w:t>
            </w:r>
            <w:r w:rsidRPr="00CB2EC4">
              <w:rPr>
                <w:rFonts w:ascii="Times New Roman" w:hAnsi="Times New Roman" w:cs="Times New Roman"/>
              </w:rPr>
              <w:br/>
            </w:r>
            <w:r w:rsidRPr="00CB2EC4">
              <w:rPr>
                <w:rFonts w:ascii="Times New Roman" w:hAnsi="Times New Roman" w:cs="Times New Roman"/>
              </w:rPr>
              <w:br/>
              <w:t>- Source analysis:</w:t>
            </w:r>
            <w:r w:rsidRPr="00CB2EC4">
              <w:rPr>
                <w:rFonts w:ascii="Times New Roman" w:hAnsi="Times New Roman" w:cs="Times New Roman"/>
              </w:rPr>
              <w:br/>
              <w:t xml:space="preserve">  - Knowledge base document (Table 15 and ligament anatomy section) describes: Okabayashi's technique is "three-dimensional"; when dissecting the vaginal lateral space and bladder lateral space, it divides the vesicouterine ligament into anterior and posterior layers, forming a "stereoscopic structure". Specifically, the posterior layer of the vesicouterine ligament connects the transverse cervical ligament and the bladder, and together with the lateral margin of the uterine cervix and the lateral margin of the bladder, encloses a "triangular pyramidal loose space" (as described in the bladder lateral space section). The document states this constitutes a "channel for neurovascular bundles" (e.g., ureter and bladder nerve branches run within it), with a morphology resembling a pyramid, its base at the bladder and cervix, and its apex at the lateral pelvic wall.</w:t>
            </w:r>
            <w:r w:rsidRPr="00CB2EC4">
              <w:rPr>
                <w:rFonts w:ascii="Times New Roman" w:hAnsi="Times New Roman" w:cs="Times New Roman"/>
              </w:rPr>
              <w:br/>
            </w:r>
            <w:r w:rsidRPr="00CB2EC4">
              <w:rPr>
                <w:rFonts w:ascii="Times New Roman" w:hAnsi="Times New Roman" w:cs="Times New Roman"/>
              </w:rPr>
              <w:lastRenderedPageBreak/>
              <w:t xml:space="preserve">  - Comparison with Kobayashi and Magara: The knowledge base document (surgical descriptions of Kobayashi and Magara) notes that Kobayashi (1961) described the ligament as a "roof covering the ureter" (two-dimensional plane), and Magara (1964) viewed it as a "sandwich-like parallel layer" (two-dimensional plane), both failing to consider the depth and stereoscopic relationships of the space. For example, "Kobayashi (1961) described it as a roof covering the ureter, Magara (1964) regarded it as a sandwich</w:t>
            </w:r>
            <w:r w:rsidRPr="00CB2EC4">
              <w:rPr>
                <w:rFonts w:ascii="Times New Roman" w:eastAsia="微软雅黑" w:hAnsi="Times New Roman" w:cs="Times New Roman"/>
              </w:rPr>
              <w:t>夹</w:t>
            </w:r>
            <w:r w:rsidRPr="00CB2EC4">
              <w:rPr>
                <w:rFonts w:ascii="Times New Roman" w:eastAsia="MS Mincho" w:hAnsi="Times New Roman" w:cs="Times New Roman"/>
              </w:rPr>
              <w:t>着</w:t>
            </w:r>
            <w:r w:rsidRPr="00CB2EC4">
              <w:rPr>
                <w:rFonts w:ascii="Times New Roman" w:hAnsi="Times New Roman" w:cs="Times New Roman"/>
              </w:rPr>
              <w:t xml:space="preserve"> the ureter".</w:t>
            </w:r>
            <w:r w:rsidRPr="00CB2EC4">
              <w:rPr>
                <w:rFonts w:ascii="Times New Roman" w:hAnsi="Times New Roman" w:cs="Times New Roman"/>
              </w:rPr>
              <w:br/>
              <w:t xml:space="preserve">  - Key differences:</w:t>
            </w:r>
            <w:r w:rsidRPr="00CB2EC4">
              <w:rPr>
                <w:rFonts w:ascii="Times New Roman" w:hAnsi="Times New Roman" w:cs="Times New Roman"/>
              </w:rPr>
              <w:br/>
              <w:t xml:space="preserve">    - Okabayashi's three-dimensional morphology: involves dissection of multiple spaces (e.g., bladder lateral space and rectal lateral space); the posterior layer of the vesicouterine ligament is perpendicular to the uterine cervix, forming a stereoscopic space that facilitates layered management of nerves and vessels (e.g., separating the vesicocervical ligament while preserving the neural portion).</w:t>
            </w:r>
            <w:r w:rsidRPr="00CB2EC4">
              <w:rPr>
                <w:rFonts w:ascii="Times New Roman" w:hAnsi="Times New Roman" w:cs="Times New Roman"/>
              </w:rPr>
              <w:br/>
              <w:t xml:space="preserve">    - Kobayashi and Magara's two-dimensional understanding: simplifies anatomy into a single planar structure, increasing the risk of injuring deep structures (such as nerves or venous plexuses) during surgery due to neglect of the stereoscopic course of the ureter and vessels.</w:t>
            </w:r>
            <w:r w:rsidRPr="00CB2EC4">
              <w:rPr>
                <w:rFonts w:ascii="Times New Roman" w:hAnsi="Times New Roman" w:cs="Times New Roman"/>
              </w:rPr>
              <w:br/>
              <w:t xml:space="preserve">  - Web search results provided no relevant details and showed no contradiction.</w:t>
            </w:r>
            <w:r w:rsidRPr="00CB2EC4">
              <w:rPr>
                <w:rFonts w:ascii="Times New Roman" w:hAnsi="Times New Roman" w:cs="Times New Roman"/>
              </w:rPr>
              <w:br/>
              <w:t xml:space="preserve">- Comprehensive conclusion: The knowledge base document clearly defines Okabayashi's three-dimensional concept versus the two-dimensional limitation of Kobayashi/Magara; the key difference is that the stereoscopic morphology enables more </w:t>
            </w:r>
            <w:r w:rsidRPr="00CB2EC4">
              <w:rPr>
                <w:rFonts w:ascii="Times New Roman" w:hAnsi="Times New Roman" w:cs="Times New Roman"/>
              </w:rPr>
              <w:lastRenderedPageBreak/>
              <w:t>precise nerve preservation and vascular handling by emphasizing depth anatomy and spatial interaction.</w:t>
            </w:r>
            <w:r w:rsidRPr="00CB2EC4">
              <w:rPr>
                <w:rFonts w:ascii="Times New Roman" w:hAnsi="Times New Roman" w:cs="Times New Roman"/>
              </w:rPr>
              <w:br/>
              <w:t>- Final answer: In Okabayashi's technique, the three components form a three-dimensional "pyramidal structure" (with the ureter as the axis, involving the bladder lateral space); the key difference is that Okabayashi's three-dimensional understanding emphasizes depth anatomy and space interaction, facilitating nerve preservation, while Kobayashi and Magara's two-dimensional planar understanding (roof or sandwich) ignores stereoscopic relationships, increasing surgical risk; source: knowledge base document (dominant).</w:t>
            </w:r>
          </w:p>
        </w:tc>
        <w:tc>
          <w:tcPr>
            <w:tcW w:w="1152" w:type="dxa"/>
            <w:vAlign w:val="center"/>
          </w:tcPr>
          <w:p w14:paraId="32AD5F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04546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C012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7F10D4" w14:textId="77777777">
        <w:tc>
          <w:tcPr>
            <w:tcW w:w="2160" w:type="dxa"/>
            <w:vAlign w:val="center"/>
          </w:tcPr>
          <w:p w14:paraId="5B7E4F9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17C0AB5A"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Okabayashi technique, the posterior layer of the vesicouterine ligament, the lateral border of the uterine cervix, and the lateral border of the bladder together form a three-dimensional triangular prismatic structure that connects the transverse cervical ligament and the bladder, involving the neurovascular bundle. Compared to the two-dimensional planar understanding of Kobayashi and Magara, the key distinction lies in the Okabayashi technique's emphasis on three-dimensional dissection and layered manipulation, rather than simple planar coverage.</w:t>
            </w:r>
            <w:r w:rsidRPr="00CB2EC4">
              <w:rPr>
                <w:rFonts w:ascii="Times New Roman" w:hAnsi="Times New Roman" w:cs="Times New Roman"/>
              </w:rPr>
              <w:br/>
            </w:r>
            <w:r w:rsidRPr="00CB2EC4">
              <w:rPr>
                <w:rFonts w:ascii="Times New Roman" w:hAnsi="Times New Roman" w:cs="Times New Roman"/>
              </w:rPr>
              <w:br/>
              <w:t>Basis:</w:t>
            </w:r>
            <w:r w:rsidRPr="00CB2EC4">
              <w:rPr>
                <w:rFonts w:ascii="Times New Roman" w:hAnsi="Times New Roman" w:cs="Times New Roman"/>
              </w:rPr>
              <w:br/>
              <w:t xml:space="preserve">- Document fragment 11 describes: "Okabayashi divided the vesicouterine ligament into anterior and posterior layers... the posterior layer is also called the vesicovaginal ligament, referring to the ligament connecting the transverse cervical ligament and the bladder," forming "a connective tissue bundle linking the transverse cervical ligament and the bladder," </w:t>
            </w:r>
            <w:r w:rsidRPr="00CB2EC4">
              <w:rPr>
                <w:rFonts w:ascii="Times New Roman" w:hAnsi="Times New Roman" w:cs="Times New Roman"/>
              </w:rPr>
              <w:lastRenderedPageBreak/>
              <w:t>which constitutes a three-dimensional geometric morphology (fragment 11).</w:t>
            </w:r>
            <w:r w:rsidRPr="00CB2EC4">
              <w:rPr>
                <w:rFonts w:ascii="Times New Roman" w:hAnsi="Times New Roman" w:cs="Times New Roman"/>
              </w:rPr>
              <w:br/>
              <w:t>- Fragment 15 adds: "The vesicouterine ligament is loose connective tissue linking the bladder fascia and cervical fascia, pulling the bladder and uterus/vagina in the ventrodorsal direction, serving as the so-called longitudinal ligament," highlighting its three-dimensional nature (fragment 15).</w:t>
            </w:r>
            <w:r w:rsidRPr="00CB2EC4">
              <w:rPr>
                <w:rFonts w:ascii="Times New Roman" w:hAnsi="Times New Roman" w:cs="Times New Roman"/>
              </w:rPr>
              <w:br/>
              <w:t>- In contrast, Kobayashi's understanding is two-dimensional: "described as covering the ureter, like the roof of a house" (fragment 11); Magara's understanding is also two-dimensional: "sandwiching the ureter like a sandwich" (fragment 11).</w:t>
            </w:r>
            <w:r w:rsidRPr="00CB2EC4">
              <w:rPr>
                <w:rFonts w:ascii="Times New Roman" w:hAnsi="Times New Roman" w:cs="Times New Roman"/>
              </w:rPr>
              <w:br/>
              <w:t>- Key distinction: The three-dimensional morphology of the Okabayashi technique allows for independent, layered dissection of the posterior layer of the vesicouterine ligament (e.g., separating the vascular and neural portions), whereas Kobayashi and Magara's two-dimensional understanding treats it merely as a planar structure (e.g., a roof or sandwich), lacking refined handling of the deep neurovascular bundle, which is particularly crucial in nerve-sparing surgery (fragments 11, 15).</w:t>
            </w:r>
          </w:p>
        </w:tc>
        <w:tc>
          <w:tcPr>
            <w:tcW w:w="1152" w:type="dxa"/>
            <w:vAlign w:val="center"/>
          </w:tcPr>
          <w:p w14:paraId="557A5E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28682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4094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D85DC7" w14:textId="77777777">
        <w:tc>
          <w:tcPr>
            <w:tcW w:w="2160" w:type="dxa"/>
            <w:vAlign w:val="center"/>
          </w:tcPr>
          <w:p w14:paraId="02B544E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F20E1A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Three-dimensional geometric morphology: According to the Okabayashi method, the posterior layer of the vesicouterine ligament, the lateral margin of the uterine cervix, and the lateral margin of the bladder together form a "triangular prism" (or three-sided prism) structure, with the hollow portion referred to as the "Yagi triangle."  </w:t>
            </w:r>
            <w:r w:rsidRPr="00CB2EC4">
              <w:rPr>
                <w:rFonts w:ascii="Times New Roman" w:hAnsi="Times New Roman" w:cs="Times New Roman"/>
              </w:rPr>
              <w:br/>
              <w:t xml:space="preserve">- Key difference: Compared to the two-dimensional planar understanding of Kobayashi and Makabe, Okabayashi's three-dimensional morphology emphasizes spatial structure, whereas Kobayashi and </w:t>
            </w:r>
            <w:r w:rsidRPr="00CB2EC4">
              <w:rPr>
                <w:rFonts w:ascii="Times New Roman" w:hAnsi="Times New Roman" w:cs="Times New Roman"/>
              </w:rPr>
              <w:lastRenderedPageBreak/>
              <w:t xml:space="preserve">Makabe describe the anterior and posterior layers of the vesicouterine ligament as parallel to the uterine cervix in a two-dimensional plane, lacking three-dimensionality.  </w:t>
            </w:r>
            <w:r w:rsidRPr="00CB2EC4">
              <w:rPr>
                <w:rFonts w:ascii="Times New Roman" w:hAnsi="Times New Roman" w:cs="Times New Roman"/>
              </w:rPr>
              <w:br/>
              <w:t xml:space="preserve">  - Basis:  </w:t>
            </w:r>
            <w:r w:rsidRPr="00CB2EC4">
              <w:rPr>
                <w:rFonts w:ascii="Times New Roman" w:hAnsi="Times New Roman" w:cs="Times New Roman"/>
              </w:rPr>
              <w:br/>
              <w:t xml:space="preserve">    - Document 8 explicitly states: "Simply put, the posterior layer of the vesicouterine ligament, the lateral margin of the uterine cervix, and the lateral margin of the bladder form a triangular prism. Naturally, the hollow part is the triangle referred to by Yagi."  </w:t>
            </w:r>
            <w:r w:rsidRPr="00CB2EC4">
              <w:rPr>
                <w:rFonts w:ascii="Times New Roman" w:hAnsi="Times New Roman" w:cs="Times New Roman"/>
              </w:rPr>
              <w:br/>
              <w:t xml:space="preserve">    - Document 9 contrasts: "In contrast, according to the descriptions in Kobayashi and Makabe's surgical texts, the anterior and posterior layers of the vesicouterine ligament are parallel to the uterine cervix, forming a two-dimensional plane and lacking three-dimensionality." It includes diagrams (Fig. 136a,b for Kobayashi; Fig. 137a,b for Makabe) showing their interpretation as linear, parallel two-dimensional structures.  </w:t>
            </w:r>
            <w:r w:rsidRPr="00CB2EC4">
              <w:rPr>
                <w:rFonts w:ascii="Times New Roman" w:hAnsi="Times New Roman" w:cs="Times New Roman"/>
              </w:rPr>
              <w:br/>
              <w:t xml:space="preserve">  - Summary of key differences: Okabayashi's triangular prism is three-dimensional (involving depth and spatial relationships), while Kobayashi and Makabe's version is a flattened two-dimensional plane (considering only the anterior and posterior layers parallel to the cervix), which affects the precision of cavity dissection and ligament separation during surgery.</w:t>
            </w:r>
          </w:p>
        </w:tc>
        <w:tc>
          <w:tcPr>
            <w:tcW w:w="1152" w:type="dxa"/>
            <w:vAlign w:val="center"/>
          </w:tcPr>
          <w:p w14:paraId="2B7DAE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F9E31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DE43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F6D27A" w14:textId="77777777">
        <w:tc>
          <w:tcPr>
            <w:tcW w:w="2160" w:type="dxa"/>
            <w:vAlign w:val="center"/>
          </w:tcPr>
          <w:p w14:paraId="7E92922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7FCD8F9"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Okabayashi technique, the posterior layer of the vesicouterine ligament, the lateral border of the uterine cervix, and the lateral border of the bladder together form a three-dimensional geometric shape known as a triangular pyramid.</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Compared to the two-dimensional planar understanding of Kobayashi and Magara, the key distinction of this three-dimensional configuration lies in the fact that the Okabayashi technique emphasizes the anatomical relationships in three-dimensional space, treating the ligament, uterine cervix, and bladder as three-dimensional structures with depth and angles. In contrast, the two-dimensional model of Kobayashi and Magara merely regards these structures as lines or boundaries within a plane, neglecting their spatial extension and mutual wrapping relationships in the vertical direction. This oversight may lead to misjudgments regarding tissue layers and vascular courses during surgery.</w:t>
            </w:r>
          </w:p>
        </w:tc>
        <w:tc>
          <w:tcPr>
            <w:tcW w:w="1152" w:type="dxa"/>
            <w:vAlign w:val="center"/>
          </w:tcPr>
          <w:p w14:paraId="1A1CB2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9F233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BB29B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677A187" w14:textId="77777777">
        <w:tc>
          <w:tcPr>
            <w:tcW w:w="2160" w:type="dxa"/>
            <w:vAlign w:val="center"/>
          </w:tcPr>
          <w:p w14:paraId="10F56BB7"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231F358"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Okabayashi technique, the posterior layer of the vesicouterine ligament, the lateral border of the uterine cervix, and the lateral border of the bladder collectively form a three-dimensional structure resembling a "longitudinal ligament." Specifically, this structure constitutes a vertical or oblique composite, wherein the posterior ligament layer connects the transverse cervical ligament to the bladder and provides a pathway for pelvic autonomic nerves. This three-dimensional configuration exhibits a crisscross arrangement in space, involving the course of vessels such as the superior vesical vein and nerve bundles, emphasizing depth and hierarchical relationships.</w:t>
            </w:r>
            <w:r w:rsidRPr="00CB2EC4">
              <w:rPr>
                <w:rFonts w:ascii="Times New Roman" w:hAnsi="Times New Roman" w:cs="Times New Roman"/>
              </w:rPr>
              <w:br/>
            </w:r>
            <w:r w:rsidRPr="00CB2EC4">
              <w:rPr>
                <w:rFonts w:ascii="Times New Roman" w:hAnsi="Times New Roman" w:cs="Times New Roman"/>
              </w:rPr>
              <w:br/>
              <w:t>Compared to the two-dimensional planar interpretations by Kobayashi and Magara, the key differences are as follows:</w:t>
            </w:r>
            <w:r w:rsidRPr="00CB2EC4">
              <w:rPr>
                <w:rFonts w:ascii="Times New Roman" w:hAnsi="Times New Roman" w:cs="Times New Roman"/>
              </w:rPr>
              <w:br/>
              <w:t xml:space="preserve">- Kobayashi: Described as a two-dimensional "roof-like" structure, where the anterior and posterior layers </w:t>
            </w:r>
            <w:r w:rsidRPr="00CB2EC4">
              <w:rPr>
                <w:rFonts w:ascii="Times New Roman" w:hAnsi="Times New Roman" w:cs="Times New Roman"/>
              </w:rPr>
              <w:lastRenderedPageBreak/>
              <w:t>of the vesicouterine ligament cover the ureter like a roof, with separation akin to removing eaves. This model presents planar coverage, lacking a depth dimension.</w:t>
            </w:r>
            <w:r w:rsidRPr="00CB2EC4">
              <w:rPr>
                <w:rFonts w:ascii="Times New Roman" w:hAnsi="Times New Roman" w:cs="Times New Roman"/>
              </w:rPr>
              <w:br/>
              <w:t>- Magara: Viewed as a two-dimensional "sandwich-like" structure, with the anterior and posterior layers parallelly attached to the lateral border of the cervix/vagina, simply encasing the ureter.</w:t>
            </w:r>
            <w:r w:rsidRPr="00CB2EC4">
              <w:rPr>
                <w:rFonts w:ascii="Times New Roman" w:hAnsi="Times New Roman" w:cs="Times New Roman"/>
              </w:rPr>
              <w:br/>
              <w:t>- Key distinction: Okabayashi's three-dimensional configuration emphasizes spatial relationships (including vertical connections and neurovascular pathways), whereas Kobayashi and Magara's models are confined to two-dimensional planes (horizontal coverage or parallel attachment). The Okabayashi approach supports more refined layered dissection (e.g., separation of anterior and posterior layers) to preserve neural function, whereas two-dimensional interpretations may lead to oversimplified maneuvers, increasing the risk of nerve injury.</w:t>
            </w:r>
          </w:p>
        </w:tc>
        <w:tc>
          <w:tcPr>
            <w:tcW w:w="1152" w:type="dxa"/>
            <w:vAlign w:val="center"/>
          </w:tcPr>
          <w:p w14:paraId="415142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5797F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1110E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297771F" w14:textId="77777777">
        <w:tc>
          <w:tcPr>
            <w:tcW w:w="2160" w:type="dxa"/>
            <w:vAlign w:val="center"/>
          </w:tcPr>
          <w:p w14:paraId="367C6753"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D94B1B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Stereometric configuration: The three structures form a three-dimensional triangular cone (Figure 36a, b), wherein the posterior layer of the vesicouterine ligament acts as a connective tissue bundle linking the transverse cervical ligament and the bladder, providing three-dimensional support.  </w:t>
            </w:r>
            <w:r w:rsidRPr="00CB2EC4">
              <w:rPr>
                <w:rFonts w:ascii="Times New Roman" w:hAnsi="Times New Roman" w:cs="Times New Roman"/>
              </w:rPr>
              <w:br/>
              <w:t xml:space="preserve">- Key distinctions:  </w:t>
            </w:r>
            <w:r w:rsidRPr="00CB2EC4">
              <w:rPr>
                <w:rFonts w:ascii="Times New Roman" w:hAnsi="Times New Roman" w:cs="Times New Roman"/>
              </w:rPr>
              <w:br/>
              <w:t xml:space="preserve">  → Ogilvie technique: Emphasizes three-dimensional spatial relationships; the posterior layer contains vertically oriented neurovascular bundles (superior vesical vein and vesical nerve branches).  </w:t>
            </w:r>
            <w:r w:rsidRPr="00CB2EC4">
              <w:rPr>
                <w:rFonts w:ascii="Times New Roman" w:hAnsi="Times New Roman" w:cs="Times New Roman"/>
              </w:rPr>
              <w:br/>
              <w:t xml:space="preserve">  → Kobayashi/Makabe: Conceptualized as two-dimensional planes (e.g., "roof-like" or "sandwich" structures), without differentiation of the neurovascular complex within the posterior layer.  </w:t>
            </w:r>
            <w:r w:rsidRPr="00CB2EC4">
              <w:rPr>
                <w:rFonts w:ascii="Times New Roman" w:hAnsi="Times New Roman" w:cs="Times New Roman"/>
              </w:rPr>
              <w:br/>
            </w:r>
            <w:r w:rsidRPr="00CB2EC4">
              <w:rPr>
                <w:rFonts w:ascii="Times New Roman" w:hAnsi="Times New Roman" w:cs="Times New Roman"/>
              </w:rPr>
              <w:lastRenderedPageBreak/>
              <w:t xml:space="preserve">- Evidence:  </w:t>
            </w:r>
            <w:r w:rsidRPr="00CB2EC4">
              <w:rPr>
                <w:rFonts w:ascii="Times New Roman" w:hAnsi="Times New Roman" w:cs="Times New Roman"/>
              </w:rPr>
              <w:br/>
              <w:t xml:space="preserve">  &gt; "Chapter 12: Ogilvie regarded the posterior layer of the vesicouterine ligament as a three-dimensional connective tissue bundle connecting the transverse cervical ligament and the bladder, containing venous plexuses and nerves."  </w:t>
            </w:r>
            <w:r w:rsidRPr="00CB2EC4">
              <w:rPr>
                <w:rFonts w:ascii="Times New Roman" w:hAnsi="Times New Roman" w:cs="Times New Roman"/>
              </w:rPr>
              <w:br/>
              <w:t xml:space="preserve">  &gt; "Table 15: Ogilvie surgery is three-dimensional, explicitly distinguishing the anterior and posterior layers and their stereometric relationship with the transverse cervical ligament."  </w:t>
            </w:r>
            <w:r w:rsidRPr="00CB2EC4">
              <w:rPr>
                <w:rFonts w:ascii="Times New Roman" w:hAnsi="Times New Roman" w:cs="Times New Roman"/>
              </w:rPr>
              <w:br/>
              <w:t xml:space="preserve">  &gt; "Figure 36b: Posterior layer of vesicouterine ligament ≡ deep layer + cervicovesical ligament, forming a stereometric pathway for neurovascular bundles."</w:t>
            </w:r>
          </w:p>
        </w:tc>
        <w:tc>
          <w:tcPr>
            <w:tcW w:w="1152" w:type="dxa"/>
            <w:vAlign w:val="center"/>
          </w:tcPr>
          <w:p w14:paraId="2C730D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4DDAF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9ECF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A9ED0B" w14:textId="77777777">
        <w:tc>
          <w:tcPr>
            <w:tcW w:w="2160" w:type="dxa"/>
            <w:vAlign w:val="center"/>
          </w:tcPr>
          <w:p w14:paraId="07C18CD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745173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Okabayashi method, the posterior layer of the vesicouterine ligament, the lateral margin of the uterine cervix, and the lateral margin of the bladder together form a triangular prism (or triangular prism-shaped structure); compared to the two-dimensional planar understanding of Kobayashi and Makabe, the key difference lies in that Okabayashi's three-dimensional form emphasizes vertical spatial relationships rather than parallel planes.  </w:t>
            </w:r>
            <w:r w:rsidRPr="00CB2EC4">
              <w:rPr>
                <w:rFonts w:ascii="Times New Roman" w:hAnsi="Times New Roman" w:cs="Times New Roman"/>
              </w:rPr>
              <w:br/>
              <w:t xml:space="preserve">- Basis:  </w:t>
            </w:r>
            <w:r w:rsidRPr="00CB2EC4">
              <w:rPr>
                <w:rFonts w:ascii="Times New Roman" w:hAnsi="Times New Roman" w:cs="Times New Roman"/>
              </w:rPr>
              <w:br/>
              <w:t xml:space="preserve">  - [Document Fragment 3] states: "Simply put, the posterior layer of the vesicouterine ligament, the lateral margin of the uterine cervix, and the lateral margin of the bladder form a triangular prism. The hollow interior corresponds to Yagi's triangle. In contrast, according to the surgical descriptions by Kobayashi and Makabe, the anterior and posterior layers of the vesicouterine ligament are parallel to the uterine cervix, representing a two-dimensional plane and lacking three-dimensionality."  </w:t>
            </w:r>
            <w:r w:rsidRPr="00CB2EC4">
              <w:rPr>
                <w:rFonts w:ascii="Times New Roman" w:hAnsi="Times New Roman" w:cs="Times New Roman"/>
              </w:rPr>
              <w:br/>
            </w:r>
            <w:r w:rsidRPr="00CB2EC4">
              <w:rPr>
                <w:rFonts w:ascii="Times New Roman" w:hAnsi="Times New Roman" w:cs="Times New Roman"/>
              </w:rPr>
              <w:lastRenderedPageBreak/>
              <w:t xml:space="preserve">    - Okabayashi's three-dimensional geometric form: triangular prism (three-dimensional structure), in which the posterior layer of the vesicouterine ligament is essentially perpendicular to the uterine cervix, and the three components form a space resembling a columnar structure, facilitating intraoperative identification of the ureteral tunnel and neurovascular bundle.  </w:t>
            </w:r>
            <w:r w:rsidRPr="00CB2EC4">
              <w:rPr>
                <w:rFonts w:ascii="Times New Roman" w:hAnsi="Times New Roman" w:cs="Times New Roman"/>
              </w:rPr>
              <w:br/>
              <w:t xml:space="preserve">    - Kobayashi and Makabe's two-dimensional understanding: they regard the anterior and posterior layers of the vesicouterine ligament as planar structures parallel to the uterine cervix (two-dimensional), lacking depth perception, which may simplify ureteral dissection during surgery but reduce precision.  </w:t>
            </w:r>
            <w:r w:rsidRPr="00CB2EC4">
              <w:rPr>
                <w:rFonts w:ascii="Times New Roman" w:hAnsi="Times New Roman" w:cs="Times New Roman"/>
              </w:rPr>
              <w:br/>
              <w:t xml:space="preserve">- Key distinction:  </w:t>
            </w:r>
            <w:r w:rsidRPr="00CB2EC4">
              <w:rPr>
                <w:rFonts w:ascii="Times New Roman" w:hAnsi="Times New Roman" w:cs="Times New Roman"/>
              </w:rPr>
              <w:br/>
              <w:t xml:space="preserve">  Okabayashi's three-dimensional form allows for more accurate anatomical dissection (especially when handling the ureter and nerves), whereas Kobayashi and Makabe's two-dimensional model focuses only on surface parallel relationships and easily overlooks deep structures (such as venous plexuses or nerve courses), increasing surgical risk (referencing [Document Fragment 3]).</w:t>
            </w:r>
          </w:p>
        </w:tc>
        <w:tc>
          <w:tcPr>
            <w:tcW w:w="1152" w:type="dxa"/>
            <w:vAlign w:val="center"/>
          </w:tcPr>
          <w:p w14:paraId="20991E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D2D0F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CA1C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B75A2C" w14:textId="77777777">
        <w:tc>
          <w:tcPr>
            <w:tcW w:w="2160" w:type="dxa"/>
            <w:vAlign w:val="center"/>
          </w:tcPr>
          <w:p w14:paraId="39F7ACE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DB008D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Okabayashi method, the posterior layer of the vesicouterine ligament, the lateral margin of the uterine cervix, and the lateral margin of the bladder together form a three-dimensional geometric structure resembling a vertical connective tissue bundle connecting the transverse cervical ligament and the bladder, constituting a neurovascular complex (including the superior vesical vein and vesical nerve branches). Compared to the two-dimensional planar understanding of Kobayashi and Makabe, the key </w:t>
            </w:r>
            <w:r w:rsidRPr="00CB2EC4">
              <w:rPr>
                <w:rFonts w:ascii="Times New Roman" w:hAnsi="Times New Roman" w:cs="Times New Roman"/>
              </w:rPr>
              <w:lastRenderedPageBreak/>
              <w:t>distinction lies in the Okabayashi method's emphasis on three-dimensional spatial relationships (such as the multi-directional extension and folding of the ligament), whereas Kobayashi and Makabe's descriptions are simplified planar models (e.g., roof-like or sandwich-like layering).</w:t>
            </w:r>
            <w:r w:rsidRPr="00CB2EC4">
              <w:rPr>
                <w:rFonts w:ascii="Times New Roman" w:hAnsi="Times New Roman" w:cs="Times New Roman"/>
              </w:rPr>
              <w:br/>
            </w:r>
            <w:r w:rsidRPr="00CB2EC4">
              <w:rPr>
                <w:rFonts w:ascii="Times New Roman" w:hAnsi="Times New Roman" w:cs="Times New Roman"/>
              </w:rPr>
              <w:br/>
              <w:t>based on document details:</w:t>
            </w:r>
            <w:r w:rsidRPr="00CB2EC4">
              <w:rPr>
                <w:rFonts w:ascii="Times New Roman" w:hAnsi="Times New Roman" w:cs="Times New Roman"/>
              </w:rPr>
              <w:br/>
              <w:t>- three-dimensional geometric form: in the [similarity: 0.490] section, it is described: "Okabayashi divides the vesicouterine ligament into anterior and posterior layers... the posterior layer is also called the vesicovaginal ligament... it should refer to the ligament connecting the transverse cervical ligament and the bladder." in the [similarity: 0.477] section, it is supplemented: "the posterior layer of the vesicouterine ligament... is a connective tissue bundle linking the transverse cervical ligament and the bladder," forming a vertical or oblique three-dimensional structure involving the three-dimensional course of neurovascular bundles (such as the superior vesical vein and vesical nerve branches).</w:t>
            </w:r>
            <w:r w:rsidRPr="00CB2EC4">
              <w:rPr>
                <w:rFonts w:ascii="Times New Roman" w:hAnsi="Times New Roman" w:cs="Times New Roman"/>
              </w:rPr>
              <w:br/>
              <w:t>- comparison with Kobayashi and Makabe's two-dimensional understanding:</w:t>
            </w:r>
            <w:r w:rsidRPr="00CB2EC4">
              <w:rPr>
                <w:rFonts w:ascii="Times New Roman" w:hAnsi="Times New Roman" w:cs="Times New Roman"/>
              </w:rPr>
              <w:br/>
              <w:t xml:space="preserve">  - Kobayashi method: in the [similarity: 0.490] section, described as "covering the ureter like the roof of a house," a two-dimensional planar covering model simplifying the structure to a single or double layer.</w:t>
            </w:r>
            <w:r w:rsidRPr="00CB2EC4">
              <w:rPr>
                <w:rFonts w:ascii="Times New Roman" w:hAnsi="Times New Roman" w:cs="Times New Roman"/>
              </w:rPr>
              <w:br/>
              <w:t xml:space="preserve">  - Makabe method: in the [similarity: 0.490] section, described as "sandwiching the ureter like a sandwich," also a two-dimensional planar layered model emphasizing anterior-posterior relations without three-dimensional depth.</w:t>
            </w:r>
            <w:r w:rsidRPr="00CB2EC4">
              <w:rPr>
                <w:rFonts w:ascii="Times New Roman" w:hAnsi="Times New Roman" w:cs="Times New Roman"/>
              </w:rPr>
              <w:br/>
              <w:t xml:space="preserve">  - key distinction: the Okabayashi method's three-</w:t>
            </w:r>
            <w:r w:rsidRPr="00CB2EC4">
              <w:rPr>
                <w:rFonts w:ascii="Times New Roman" w:hAnsi="Times New Roman" w:cs="Times New Roman"/>
              </w:rPr>
              <w:lastRenderedPageBreak/>
              <w:t>dimensional form is more complex, involving multi-directional connections (e.g., cephalocaudal, ventrodorsal), facilitating intraoperative separation of nerves and vessels; whereas Kobayashi and Makabe's two-dimensional models ignore depth and folding relationships, potentially leading to imprecise nerve preservation or increased risk of injury during surgery. the document summarizes in the [similarity: 0.590] section: "the Okabayashi method is three-dimensional... clarifying their stereoscopic structure with the transverse cervical ligament," highlighting this distinction.</w:t>
            </w:r>
          </w:p>
        </w:tc>
        <w:tc>
          <w:tcPr>
            <w:tcW w:w="1152" w:type="dxa"/>
            <w:vAlign w:val="center"/>
          </w:tcPr>
          <w:p w14:paraId="1550A0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12D6B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67042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55936D2" w14:textId="77777777">
        <w:tc>
          <w:tcPr>
            <w:tcW w:w="2160" w:type="dxa"/>
            <w:vAlign w:val="center"/>
          </w:tcPr>
          <w:p w14:paraId="340B101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2776295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Okabayashi technique, the posterior layer of the vesicouterine ligament, the lateral border of the uterine cervix, and the lateral border of the bladder together form a three-dimensional geometric structure resembling a neurovascular bundle, which contains the superior vesical vein and the vesical branches of the pelvic nerve plexus, forming a three-dimensional connective tissue complex.  </w:t>
            </w:r>
            <w:r w:rsidRPr="00CB2EC4">
              <w:rPr>
                <w:rFonts w:ascii="Times New Roman" w:hAnsi="Times New Roman" w:cs="Times New Roman"/>
              </w:rPr>
              <w:br/>
              <w:t xml:space="preserve">- Compared to the two-dimensional planar understanding of Kobayashi and Magara, the key differences are:  </w:t>
            </w:r>
            <w:r w:rsidRPr="00CB2EC4">
              <w:rPr>
                <w:rFonts w:ascii="Times New Roman" w:hAnsi="Times New Roman" w:cs="Times New Roman"/>
              </w:rPr>
              <w:br/>
              <w:t xml:space="preserve">  - Kobayashi's understanding (two-dimensional plane): The vesicouterine ligament is viewed as a roof-like structure covering the ureter (as described in Document Fragment 29), emphasizing a planar covering relationship, similar to a two-dimensional "eaves" model.  </w:t>
            </w:r>
            <w:r w:rsidRPr="00CB2EC4">
              <w:rPr>
                <w:rFonts w:ascii="Times New Roman" w:hAnsi="Times New Roman" w:cs="Times New Roman"/>
              </w:rPr>
              <w:br/>
              <w:t xml:space="preserve">  - Magara's understanding (two-dimensional plane): It is regarded as a sandwich-like layered structure, parallelly attached to the lateral border of the cervix/vagina (as described in Document Fragment 29), emphasizing the parallel arrangement of the </w:t>
            </w:r>
            <w:r w:rsidRPr="00CB2EC4">
              <w:rPr>
                <w:rFonts w:ascii="Times New Roman" w:hAnsi="Times New Roman" w:cs="Times New Roman"/>
              </w:rPr>
              <w:lastRenderedPageBreak/>
              <w:t xml:space="preserve">anterior and posterior layers.  </w:t>
            </w:r>
            <w:r w:rsidRPr="00CB2EC4">
              <w:rPr>
                <w:rFonts w:ascii="Times New Roman" w:hAnsi="Times New Roman" w:cs="Times New Roman"/>
              </w:rPr>
              <w:br/>
              <w:t xml:space="preserve">  - The three-dimensional morphology of the Okabayashi technique: The key difference lies in its involvement of a neurovascular complex in three-dimensional space (as described in Document Fragments 19 and 26), including the fusion of suspension and support systems, forming vertical or oblique three-dimensional connections (linking the transverse cervical ligament and bladder), rather than simple planar coverage or layering. This allows for more precise nerve-sparing procedures.</w:t>
            </w:r>
          </w:p>
        </w:tc>
        <w:tc>
          <w:tcPr>
            <w:tcW w:w="1152" w:type="dxa"/>
            <w:vAlign w:val="center"/>
          </w:tcPr>
          <w:p w14:paraId="7B1CAB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E461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7930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A7DC55" w14:textId="77777777">
        <w:tc>
          <w:tcPr>
            <w:tcW w:w="2160" w:type="dxa"/>
            <w:vAlign w:val="center"/>
          </w:tcPr>
          <w:p w14:paraId="0A98F920"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999E42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Okabayashi method, the posterior layer of the vesicouterine ligament, the lateral margin of the uterine cervix, and the lateral margin of the bladder together form a triangular prism-shaped (triangular columnar) three-dimensional geometric structure; compared with the two-dimensional planar understanding of Kobayashi and Makabe, the key difference is that the Okabayashi method emphasizes three-dimensionality, whereas Kobayashi and Makabe regard it as a two-dimensional planar structure.  </w:t>
            </w:r>
            <w:r w:rsidRPr="00CB2EC4">
              <w:rPr>
                <w:rFonts w:ascii="Times New Roman" w:hAnsi="Times New Roman" w:cs="Times New Roman"/>
              </w:rPr>
              <w:br/>
              <w:t xml:space="preserve">explanation: based on contextual information (relevant segment 9):  </w:t>
            </w:r>
            <w:r w:rsidRPr="00CB2EC4">
              <w:rPr>
                <w:rFonts w:ascii="Times New Roman" w:hAnsi="Times New Roman" w:cs="Times New Roman"/>
              </w:rPr>
              <w:br/>
              <w:t xml:space="preserve">- okabayashi method's three-dimensional structure: segment 9 explicitly states that "the posterior layer of the vesicouterine ligament, the lateral margin of the uterine cervix, and the lateral margin of the bladder form a triangular prism," and notes that the hollow portion is "the triangle described by Yagi." this represents a three-dimensional structure in which the posterior layer of the ligament is perpendicular to the uterine cervix, forming a columnar space that facilitates dissection and nerve preservation during surgery.  </w:t>
            </w:r>
            <w:r w:rsidRPr="00CB2EC4">
              <w:rPr>
                <w:rFonts w:ascii="Times New Roman" w:hAnsi="Times New Roman" w:cs="Times New Roman"/>
              </w:rPr>
              <w:br/>
            </w:r>
            <w:r w:rsidRPr="00CB2EC4">
              <w:rPr>
                <w:rFonts w:ascii="Times New Roman" w:hAnsi="Times New Roman" w:cs="Times New Roman"/>
              </w:rPr>
              <w:lastRenderedPageBreak/>
              <w:t xml:space="preserve">- contrast with kobayashi and makabe's two-dimensional understanding: segment 9 points out that kobayashi and makabe view the anterior and posterior layers of the vesicouterine ligament as "parallel to the uterine cervix, being two-dimensional and lacking three-dimensionality." for example, kobayashi (segment 9) describes the anterior and posterior layers as resembling "the roof of a private house," and makabe (segment 9) regards them as a "sandwich-like structure containing the ureter" in parallel, ignoring depth and folding relationships.  </w:t>
            </w:r>
            <w:r w:rsidRPr="00CB2EC4">
              <w:rPr>
                <w:rFonts w:ascii="Times New Roman" w:hAnsi="Times New Roman" w:cs="Times New Roman"/>
              </w:rPr>
              <w:br/>
              <w:t>key difference: okabayashi's triangular prism provides a more anatomically accurate representation, aiding precise dissection of neurovascular bundles (such as the bladder nerve branches) during surgery, while the two-dimensional understanding may oversimplify the procedure and increase the risk of nerve injury.</w:t>
            </w:r>
          </w:p>
        </w:tc>
        <w:tc>
          <w:tcPr>
            <w:tcW w:w="1152" w:type="dxa"/>
            <w:vAlign w:val="center"/>
          </w:tcPr>
          <w:p w14:paraId="0FD216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9BC4C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D294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57A7315" w14:textId="77777777">
        <w:tc>
          <w:tcPr>
            <w:tcW w:w="2160" w:type="dxa"/>
            <w:vAlign w:val="center"/>
          </w:tcPr>
          <w:p w14:paraId="36BC5E01"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36F1DE2"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Okabayashi surgical technique, the posterior layer of the vesicouterine ligament, the lateral margin of the uterine cervix, and the lateral margin of the bladder together form a triangular pyramidal (or pyramid-shaped) three-dimensional geometric structure, in which the posterior layer of the ligament constitutes the base, the uterine cervix and bladder margin form the apex, and the neurovascular bundle is embedded within it.</w:t>
            </w:r>
            <w:r w:rsidRPr="00CB2EC4">
              <w:rPr>
                <w:rFonts w:ascii="Times New Roman" w:hAnsi="Times New Roman" w:cs="Times New Roman"/>
              </w:rPr>
              <w:br/>
            </w:r>
            <w:r w:rsidRPr="00CB2EC4">
              <w:rPr>
                <w:rFonts w:ascii="Times New Roman" w:hAnsi="Times New Roman" w:cs="Times New Roman"/>
              </w:rPr>
              <w:br/>
              <w:t>- Key difference: Compared to the two-dimensional planar understanding of Kobayashi and Makabe, this three-dimensional morphology emphasizes the spatial anatomical relationships:</w:t>
            </w:r>
            <w:r w:rsidRPr="00CB2EC4">
              <w:rPr>
                <w:rFonts w:ascii="Times New Roman" w:hAnsi="Times New Roman" w:cs="Times New Roman"/>
              </w:rPr>
              <w:br/>
              <w:t xml:space="preserve">  - More precise nerve preservation: The three-dimensional perspective allows the surgeon to identify the depth and angle of nerve course, avoiding </w:t>
            </w:r>
            <w:r w:rsidRPr="00CB2EC4">
              <w:rPr>
                <w:rFonts w:ascii="Times New Roman" w:hAnsi="Times New Roman" w:cs="Times New Roman"/>
              </w:rPr>
              <w:lastRenderedPageBreak/>
              <w:t>intraoperative injury to the inferior hypogastric plexus.</w:t>
            </w:r>
            <w:r w:rsidRPr="00CB2EC4">
              <w:rPr>
                <w:rFonts w:ascii="Times New Roman" w:hAnsi="Times New Roman" w:cs="Times New Roman"/>
              </w:rPr>
              <w:br/>
              <w:t xml:space="preserve">  - Improved surgical safety: The two-dimensional view may lead to excessive resection or bleeding, whereas the three-dimensional morphology provides clearer guidance for layered dissection, reducing complications.</w:t>
            </w:r>
          </w:p>
        </w:tc>
        <w:tc>
          <w:tcPr>
            <w:tcW w:w="1152" w:type="dxa"/>
            <w:vAlign w:val="center"/>
          </w:tcPr>
          <w:p w14:paraId="08DA58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9205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BF9B3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260696B" w14:textId="77777777">
        <w:tc>
          <w:tcPr>
            <w:tcW w:w="10656" w:type="dxa"/>
            <w:gridSpan w:val="5"/>
            <w:tcBorders>
              <w:bottom w:val="single" w:sz="6" w:space="0" w:color="auto"/>
            </w:tcBorders>
            <w:vAlign w:val="center"/>
          </w:tcPr>
          <w:p w14:paraId="259DD0C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124: What are the anatomical features of the anterior and posterior layers of the vesicouterine ligament? How should the anterior and posterior layers of the vesicouterine ligament be separated?</w:t>
            </w:r>
          </w:p>
        </w:tc>
      </w:tr>
      <w:tr w:rsidR="00922249" w:rsidRPr="00CB2EC4" w14:paraId="0A93B4B7" w14:textId="77777777">
        <w:tc>
          <w:tcPr>
            <w:tcW w:w="2160" w:type="dxa"/>
            <w:vAlign w:val="center"/>
          </w:tcPr>
          <w:p w14:paraId="37B90E0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15B17E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anatomical characteristics:  </w:t>
            </w:r>
            <w:r w:rsidRPr="00CB2EC4">
              <w:rPr>
                <w:rFonts w:ascii="Times New Roman" w:hAnsi="Times New Roman" w:cs="Times New Roman"/>
              </w:rPr>
              <w:br/>
              <w:t xml:space="preserve">- anterior layer: connects the cervix uteri and bladder, equivalent to the ureteric roof in Western anatomy, composed of thin fascia, contains the vesical branches of the uterine artery and part of the venous plexus.  </w:t>
            </w:r>
            <w:r w:rsidRPr="00CB2EC4">
              <w:rPr>
                <w:rFonts w:ascii="Times New Roman" w:hAnsi="Times New Roman" w:cs="Times New Roman"/>
              </w:rPr>
              <w:br/>
              <w:t xml:space="preserve">- posterior layer: also known as the vesicovaginal ligament, connects the transverse cervical ligament and bladder, thicker and rich in vessels (e.g., superior vesical vein), runs parallel to the vesical branches of the pelvic plexus.  </w:t>
            </w:r>
            <w:r w:rsidRPr="00CB2EC4">
              <w:rPr>
                <w:rFonts w:ascii="Times New Roman" w:hAnsi="Times New Roman" w:cs="Times New Roman"/>
              </w:rPr>
              <w:br/>
            </w:r>
            <w:r w:rsidRPr="00CB2EC4">
              <w:rPr>
                <w:rFonts w:ascii="Times New Roman" w:hAnsi="Times New Roman" w:cs="Times New Roman"/>
              </w:rPr>
              <w:br/>
              <w:t xml:space="preserve">separation methods:  </w:t>
            </w:r>
            <w:r w:rsidRPr="00CB2EC4">
              <w:rPr>
                <w:rFonts w:ascii="Times New Roman" w:hAnsi="Times New Roman" w:cs="Times New Roman"/>
              </w:rPr>
              <w:br/>
              <w:t xml:space="preserve">- anterior layer separation: identify the entrance of the ureteric tunnel, use instruments (e.g., harmonic scalpel or scissors) to dissect the anterior fascial layer along the course of the ureter; avoid ureteral injury.  </w:t>
            </w:r>
            <w:r w:rsidRPr="00CB2EC4">
              <w:rPr>
                <w:rFonts w:ascii="Times New Roman" w:hAnsi="Times New Roman" w:cs="Times New Roman"/>
              </w:rPr>
              <w:br/>
              <w:t xml:space="preserve">- posterior layer separation: develop the paravaginal tissue space, retract the vesicovaginal space and paravaginal tissue ventrally with a retractor, then transect the posterior layer using LigaSure or bipolar electrocautytic scissors; carefully manage the accompanying superior vesical vein to preserve nerves.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basis:  </w:t>
            </w:r>
            <w:r w:rsidRPr="00CB2EC4">
              <w:rPr>
                <w:rFonts w:ascii="Times New Roman" w:hAnsi="Times New Roman" w:cs="Times New Roman"/>
              </w:rPr>
              <w:br/>
              <w:t xml:space="preserve">- document fragment 1 (part c) states: "the anterior layer of the vesicouterine ligament connects the cervix and bladder, equivalent to the ureteric roof in Western terminology; the posterior layer is the vesicovaginal ligament, connecting the transverse cervical ligament and bladder."  </w:t>
            </w:r>
            <w:r w:rsidRPr="00CB2EC4">
              <w:rPr>
                <w:rFonts w:ascii="Times New Roman" w:hAnsi="Times New Roman" w:cs="Times New Roman"/>
              </w:rPr>
              <w:br/>
              <w:t xml:space="preserve">- fragment 4 ("12.5 transection of anterior layer of vesicouterine ligament" and "12.6 dissection of posterior layer of vesicouterine ligament") specifies: "anterior layer separation requires incision of the ureteric roof... posterior layer separation requires development of the paravaginal tissue space, insertion of Cooper’s scissors to expand the space, and mobilization of the posterior layer."  </w:t>
            </w:r>
            <w:r w:rsidRPr="00CB2EC4">
              <w:rPr>
                <w:rFonts w:ascii="Times New Roman" w:hAnsi="Times New Roman" w:cs="Times New Roman"/>
              </w:rPr>
              <w:br/>
              <w:t>- fragment 5 (Figure 29a-b) adds: "development of the paravaginal tissue space is key to posterior layer separation; avoid injury to terminal branches of the pelvic plexus."</w:t>
            </w:r>
          </w:p>
        </w:tc>
        <w:tc>
          <w:tcPr>
            <w:tcW w:w="1152" w:type="dxa"/>
            <w:vAlign w:val="center"/>
          </w:tcPr>
          <w:p w14:paraId="2EB1B7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2DCE3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F047F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CA48177" w14:textId="77777777">
        <w:tc>
          <w:tcPr>
            <w:tcW w:w="2160" w:type="dxa"/>
            <w:vAlign w:val="center"/>
          </w:tcPr>
          <w:p w14:paraId="5F8895D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5EA20C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anatomical characteristics:  </w:t>
            </w:r>
            <w:r w:rsidRPr="00CB2EC4">
              <w:rPr>
                <w:rFonts w:ascii="Times New Roman" w:hAnsi="Times New Roman" w:cs="Times New Roman"/>
              </w:rPr>
              <w:br/>
              <w:t xml:space="preserve">- Anterior layer: Connects the cervix uteri to the bladder, equivalent to the ureteric roof, relatively superficial in structure, mainly composed of connective tissue, and serves as the passage for the ureter.  </w:t>
            </w:r>
            <w:r w:rsidRPr="00CB2EC4">
              <w:rPr>
                <w:rFonts w:ascii="Times New Roman" w:hAnsi="Times New Roman" w:cs="Times New Roman"/>
              </w:rPr>
              <w:br/>
              <w:t xml:space="preserve">- Posterior layer: A complex structure including the deep layer of the vesicouterine ligament and the vesicocervical ligament (containing the superior vesical vein and nerve branches such as the vesical branches of the pelvic plexus), deeper and more complex, vertically attached to the cervical region, involving venous plexuses and neural pathways.  </w:t>
            </w:r>
            <w:r w:rsidRPr="00CB2EC4">
              <w:rPr>
                <w:rFonts w:ascii="Times New Roman" w:hAnsi="Times New Roman" w:cs="Times New Roman"/>
              </w:rPr>
              <w:br/>
              <w:t xml:space="preserve">Basis:  </w:t>
            </w:r>
            <w:r w:rsidRPr="00CB2EC4">
              <w:rPr>
                <w:rFonts w:ascii="Times New Roman" w:hAnsi="Times New Roman" w:cs="Times New Roman"/>
              </w:rPr>
              <w:br/>
              <w:t xml:space="preserve">- Document fragment 5 (block theme: vesicouterine </w:t>
            </w:r>
            <w:r w:rsidRPr="00CB2EC4">
              <w:rPr>
                <w:rFonts w:ascii="Times New Roman" w:hAnsi="Times New Roman" w:cs="Times New Roman"/>
              </w:rPr>
              <w:lastRenderedPageBreak/>
              <w:t xml:space="preserve">ligament handling techniques) defines the anterior layer as "the ligament connecting the cervix and bladder, equivalent to the ureteric roof in Western terminology," and the posterior layer as "the vesicovaginal ligament" or "connective tissue bundles linking the transverse cervical ligament to the bladder."  </w:t>
            </w:r>
            <w:r w:rsidRPr="00CB2EC4">
              <w:rPr>
                <w:rFonts w:ascii="Times New Roman" w:hAnsi="Times New Roman" w:cs="Times New Roman"/>
              </w:rPr>
              <w:br/>
              <w:t xml:space="preserve">- Document fragment 6 (block theme: anatomical perspectives of the vesicouterine ligament) details that the posterior layer is a composite of "the deep vesicouterine ligament + the vesicocervical ligament," containing "the superior vesical vein and vesical nerve branches."  </w:t>
            </w:r>
            <w:r w:rsidRPr="00CB2EC4">
              <w:rPr>
                <w:rFonts w:ascii="Times New Roman" w:hAnsi="Times New Roman" w:cs="Times New Roman"/>
              </w:rPr>
              <w:br/>
              <w:t xml:space="preserve">- Document fragment 12 (block theme: anatomical structure of the vesicouterine ligament) adds that the anterior layer is the "superficial layer," while the posterior layer is the "deep composite structure," involving neurovascular bundles.  </w:t>
            </w:r>
            <w:r w:rsidRPr="00CB2EC4">
              <w:rPr>
                <w:rFonts w:ascii="Times New Roman" w:hAnsi="Times New Roman" w:cs="Times New Roman"/>
              </w:rPr>
              <w:br/>
            </w:r>
            <w:r w:rsidRPr="00CB2EC4">
              <w:rPr>
                <w:rFonts w:ascii="Times New Roman" w:hAnsi="Times New Roman" w:cs="Times New Roman"/>
              </w:rPr>
              <w:br/>
              <w:t xml:space="preserve">separation method:  </w:t>
            </w:r>
            <w:r w:rsidRPr="00CB2EC4">
              <w:rPr>
                <w:rFonts w:ascii="Times New Roman" w:hAnsi="Times New Roman" w:cs="Times New Roman"/>
              </w:rPr>
              <w:br/>
              <w:t xml:space="preserve">1. Anterior layer separation: First address the ureteric roof, mobilize the ureter, then perform sharp dissection of the anterior layer from surrounding tissues. Caution is required to avoid ureteral injury.  </w:t>
            </w:r>
            <w:r w:rsidRPr="00CB2EC4">
              <w:rPr>
                <w:rFonts w:ascii="Times New Roman" w:hAnsi="Times New Roman" w:cs="Times New Roman"/>
              </w:rPr>
              <w:br/>
              <w:t xml:space="preserve">2. Posterior layer separation:  </w:t>
            </w:r>
            <w:r w:rsidRPr="00CB2EC4">
              <w:rPr>
                <w:rFonts w:ascii="Times New Roman" w:hAnsi="Times New Roman" w:cs="Times New Roman"/>
              </w:rPr>
              <w:br/>
              <w:t xml:space="preserve">   - Develop the vaginal lateral space (key step) to expose the posterior layer structure.  </w:t>
            </w:r>
            <w:r w:rsidRPr="00CB2EC4">
              <w:rPr>
                <w:rFonts w:ascii="Times New Roman" w:hAnsi="Times New Roman" w:cs="Times New Roman"/>
              </w:rPr>
              <w:br/>
              <w:t xml:space="preserve">   - Mobilize the ureter and displace it laterally.  </w:t>
            </w:r>
            <w:r w:rsidRPr="00CB2EC4">
              <w:rPr>
                <w:rFonts w:ascii="Times New Roman" w:hAnsi="Times New Roman" w:cs="Times New Roman"/>
              </w:rPr>
              <w:br/>
              <w:t xml:space="preserve">   - Insert an instrument (e.g., Kelly clamp) through the vaginal lateral space, penetrate the deep layer of the vesicouterine ligament, exit at the lower margin of the superior vesical vein, then clamp and divide the posterior layer complex, avoiding injury to the vein and nerves.  </w:t>
            </w:r>
            <w:r w:rsidRPr="00CB2EC4">
              <w:rPr>
                <w:rFonts w:ascii="Times New Roman" w:hAnsi="Times New Roman" w:cs="Times New Roman"/>
              </w:rPr>
              <w:br/>
            </w:r>
            <w:r w:rsidRPr="00CB2EC4">
              <w:rPr>
                <w:rFonts w:ascii="Times New Roman" w:hAnsi="Times New Roman" w:cs="Times New Roman"/>
              </w:rPr>
              <w:lastRenderedPageBreak/>
              <w:t xml:space="preserve">Basis:  </w:t>
            </w:r>
            <w:r w:rsidRPr="00CB2EC4">
              <w:rPr>
                <w:rFonts w:ascii="Times New Roman" w:hAnsi="Times New Roman" w:cs="Times New Roman"/>
              </w:rPr>
              <w:br/>
              <w:t xml:space="preserve">- Document fragment 29 (block theme: vesicouterine ligament excision technique) describes the posterior layer separation method: "Insert Kelly clamp through the vaginal lateral space, penetrate the deep vesicouterine ligament... the clamp tip exits from below the superior vesical vein," and emphasizes the need to "avoid the vesical nerve branches" during the procedure.  </w:t>
            </w:r>
            <w:r w:rsidRPr="00CB2EC4">
              <w:rPr>
                <w:rFonts w:ascii="Times New Roman" w:hAnsi="Times New Roman" w:cs="Times New Roman"/>
              </w:rPr>
              <w:br/>
              <w:t>- Document fragment 5 notes that venous bleeding is common during the operation and requires caution; fragment 12 indicates that "developing the vaginal lateral space" is the foundation for separating the posterior layer.</w:t>
            </w:r>
          </w:p>
        </w:tc>
        <w:tc>
          <w:tcPr>
            <w:tcW w:w="1152" w:type="dxa"/>
            <w:vAlign w:val="center"/>
          </w:tcPr>
          <w:p w14:paraId="51F7E5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E1D17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28AD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F94F75" w14:textId="77777777">
        <w:tc>
          <w:tcPr>
            <w:tcW w:w="2160" w:type="dxa"/>
            <w:vAlign w:val="center"/>
          </w:tcPr>
          <w:p w14:paraId="1E07601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1BFE0C21" w14:textId="77777777" w:rsidR="00922249" w:rsidRPr="00CB2EC4" w:rsidRDefault="003011D5">
            <w:pPr>
              <w:rPr>
                <w:rFonts w:ascii="Times New Roman" w:hAnsi="Times New Roman" w:cs="Times New Roman"/>
              </w:rPr>
            </w:pPr>
            <w:r w:rsidRPr="00CB2EC4">
              <w:rPr>
                <w:rFonts w:ascii="Times New Roman" w:hAnsi="Times New Roman" w:cs="Times New Roman"/>
              </w:rPr>
              <w:t>anatomical characteristics of the anterior and posterior layers of the vesicouterine ligament:</w:t>
            </w:r>
            <w:r w:rsidRPr="00CB2EC4">
              <w:rPr>
                <w:rFonts w:ascii="Times New Roman" w:hAnsi="Times New Roman" w:cs="Times New Roman"/>
              </w:rPr>
              <w:br/>
            </w:r>
            <w:r w:rsidRPr="00CB2EC4">
              <w:rPr>
                <w:rFonts w:ascii="Times New Roman" w:hAnsi="Times New Roman" w:cs="Times New Roman"/>
              </w:rPr>
              <w:br/>
              <w:t>- **Anterior layer**: Corresponds to the ureteral roof, connecting the cervix and bladder. It contains the uterine artery, vesical arteries, uterine descending venous plexus, and vesical veins (segment 6, 17). It is described as "fascial bundles at the base of the ligament" (segment 24) and forms a two-dimensional planar structure in the Okabayashi procedure (segment 1).</w:t>
            </w:r>
            <w:r w:rsidRPr="00CB2EC4">
              <w:rPr>
                <w:rFonts w:ascii="Times New Roman" w:hAnsi="Times New Roman" w:cs="Times New Roman"/>
              </w:rPr>
              <w:br/>
              <w:t>- **Posterior layer**: A composite of the deep vesicouterine ligament and the cervicovesical ligament (the caudal reflection of the transverse cervical ligament). It contains the superior vesical vein, vesical nerve branches, and branches of the pelvic plexus, forming a neurovascular bundle (segment 16, 18, 21). Also termed the vesicovaginal ligament, it connects the transverse cervical ligament and the bladder (segment 2, 13) and exhibits three-</w:t>
            </w:r>
            <w:r w:rsidRPr="00CB2EC4">
              <w:rPr>
                <w:rFonts w:ascii="Times New Roman" w:hAnsi="Times New Roman" w:cs="Times New Roman"/>
              </w:rPr>
              <w:lastRenderedPageBreak/>
              <w:t>dimensional structure (segment 1).</w:t>
            </w:r>
            <w:r w:rsidRPr="00CB2EC4">
              <w:rPr>
                <w:rFonts w:ascii="Times New Roman" w:hAnsi="Times New Roman" w:cs="Times New Roman"/>
              </w:rPr>
              <w:br/>
            </w:r>
            <w:r w:rsidRPr="00CB2EC4">
              <w:rPr>
                <w:rFonts w:ascii="Times New Roman" w:hAnsi="Times New Roman" w:cs="Times New Roman"/>
              </w:rPr>
              <w:br/>
              <w:t>method for separating the anterior and posterior layers of the vesicouterine ligament:</w:t>
            </w:r>
            <w:r w:rsidRPr="00CB2EC4">
              <w:rPr>
                <w:rFonts w:ascii="Times New Roman" w:hAnsi="Times New Roman" w:cs="Times New Roman"/>
              </w:rPr>
              <w:br/>
            </w:r>
            <w:r w:rsidRPr="00CB2EC4">
              <w:rPr>
                <w:rFonts w:ascii="Times New Roman" w:hAnsi="Times New Roman" w:cs="Times New Roman"/>
              </w:rPr>
              <w:br/>
              <w:t>- **Separation of the anterior layer**: Achieved by dissecting the ureteral tunnel and dividing its roof. Segment 6 states: "After dividing the ureteral roof, grasp the cut ends with Kelly forceps and traction them laterally and medially." Segment 32 adds: "Dissect the ureteral tunnel → separate the anterior layer of the vesicouterine ligament." Specific steps include: using Kelly forceps to dissect along the ureter and create the tunnel, dividing the connective tissue at the roof, and coagulating or ligating encountered vessels (segment 6).</w:t>
            </w:r>
            <w:r w:rsidRPr="00CB2EC4">
              <w:rPr>
                <w:rFonts w:ascii="Times New Roman" w:hAnsi="Times New Roman" w:cs="Times New Roman"/>
              </w:rPr>
              <w:br/>
              <w:t>- **Separation of the posterior layer**: Achieved by dissecting the paravaginal space and perforating it with Kelly forceps. Segment 21 details: "(1) Dissect the paravaginal space E. (2) Mobilize the ureter. (3) Insert Kelly forceps from the paravaginal space to perforate the deep layer B of the vesicouterine ligament. (4) The tip of the forceps emerges inferior to the superior vesical vein C." Segment 32 emphasizes: "The purpose of dissecting the paravaginal space is to expose the posterior layer of the vesicouterine ligament." Additionally, segment 29 notes the need to preserve nerves and avoid injury to vesical nerve branches.</w:t>
            </w:r>
            <w:r w:rsidRPr="00CB2EC4">
              <w:rPr>
                <w:rFonts w:ascii="Times New Roman" w:hAnsi="Times New Roman" w:cs="Times New Roman"/>
              </w:rPr>
              <w:br/>
            </w:r>
            <w:r w:rsidRPr="00CB2EC4">
              <w:rPr>
                <w:rFonts w:ascii="Times New Roman" w:hAnsi="Times New Roman" w:cs="Times New Roman"/>
              </w:rPr>
              <w:br/>
              <w:t xml:space="preserve">note during separation: The anterior layer is separated first, followed by the posterior layer. The posterior layer separation may address the deep vesicouterine ligament and cervicovesical ligament together or </w:t>
            </w:r>
            <w:r w:rsidRPr="00CB2EC4">
              <w:rPr>
                <w:rFonts w:ascii="Times New Roman" w:hAnsi="Times New Roman" w:cs="Times New Roman"/>
              </w:rPr>
              <w:lastRenderedPageBreak/>
              <w:t>separately, with emphasis on nerve preservation (segment 16, 21).</w:t>
            </w:r>
          </w:p>
        </w:tc>
        <w:tc>
          <w:tcPr>
            <w:tcW w:w="1152" w:type="dxa"/>
            <w:vAlign w:val="center"/>
          </w:tcPr>
          <w:p w14:paraId="7C2403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9B20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4B11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BEB6ACA" w14:textId="77777777">
        <w:tc>
          <w:tcPr>
            <w:tcW w:w="2160" w:type="dxa"/>
            <w:vAlign w:val="center"/>
          </w:tcPr>
          <w:p w14:paraId="0F6A253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7623074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anatomical characteristics:  </w:t>
            </w:r>
            <w:r w:rsidRPr="00CB2EC4">
              <w:rPr>
                <w:rFonts w:ascii="Times New Roman" w:hAnsi="Times New Roman" w:cs="Times New Roman"/>
              </w:rPr>
              <w:br/>
              <w:t xml:space="preserve">- anterior layer: termed the "ureteric roof," a ligament connecting the cervix uteri to the bladder, equivalent to the superficial layer of the vesicouterine ligament in Western anatomy. It is composed mainly of connective tissue and a small number of blood vessels, covering the superior aspect of the ureter.  </w:t>
            </w:r>
            <w:r w:rsidRPr="00CB2EC4">
              <w:rPr>
                <w:rFonts w:ascii="Times New Roman" w:hAnsi="Times New Roman" w:cs="Times New Roman"/>
              </w:rPr>
              <w:br/>
              <w:t xml:space="preserve">- posterior layer: termed the "vesicovaginal ligament" or "vesicocervical ligament," a ligament connecting the transverse cervical ligament to the bladder. It contains venous plexuses (e.g., superior vesical veins) and nerve branches (vesical nerve branches), has a looser structure, and is prone to bleeding.  </w:t>
            </w:r>
            <w:r w:rsidRPr="00CB2EC4">
              <w:rPr>
                <w:rFonts w:ascii="Times New Roman" w:hAnsi="Times New Roman" w:cs="Times New Roman"/>
              </w:rPr>
              <w:br/>
              <w:t xml:space="preserve">separation method: dissect by developing relevant spaces (e.g., lateral vesical space), separate the anterior layer first followed by the posterior layer, using a combination of blunt and sharp techniques to avoid injury to the ureter and blood vessels.  </w:t>
            </w:r>
            <w:r w:rsidRPr="00CB2EC4">
              <w:rPr>
                <w:rFonts w:ascii="Times New Roman" w:hAnsi="Times New Roman" w:cs="Times New Roman"/>
              </w:rPr>
              <w:br/>
              <w:t xml:space="preserve">- source analysis:  </w:t>
            </w:r>
            <w:r w:rsidRPr="00CB2EC4">
              <w:rPr>
                <w:rFonts w:ascii="Times New Roman" w:hAnsi="Times New Roman" w:cs="Times New Roman"/>
              </w:rPr>
              <w:br/>
              <w:t xml:space="preserve">  - knowledge base documents (ligament anatomy and surgical steps):  </w:t>
            </w:r>
            <w:r w:rsidRPr="00CB2EC4">
              <w:rPr>
                <w:rFonts w:ascii="Times New Roman" w:hAnsi="Times New Roman" w:cs="Times New Roman"/>
              </w:rPr>
              <w:br/>
              <w:t xml:space="preserve">    - anatomical features: anterior layer "equivalent to the ureteric roof" (Table C and vesicouterine ligament section); posterior layer "is the vesicovaginal ligament, containing veins and nerves" (e.g., "posterior layer contains superior vesical veins and vesical nerve branches"). The document emphasizes the posterior layer as a "neurovascular bundle" with high bleeding risk (e.g., "operative venous rupture bleeding is common").  </w:t>
            </w:r>
            <w:r w:rsidRPr="00CB2EC4">
              <w:rPr>
                <w:rFonts w:ascii="Times New Roman" w:hAnsi="Times New Roman" w:cs="Times New Roman"/>
              </w:rPr>
              <w:br/>
              <w:t xml:space="preserve">    - separation method: steps include: </w:t>
            </w:r>
            <w:r w:rsidRPr="00CB2EC4">
              <w:rPr>
                <w:rFonts w:ascii="宋体" w:eastAsia="宋体" w:hAnsi="宋体" w:cs="宋体" w:hint="eastAsia"/>
              </w:rPr>
              <w:t>①</w:t>
            </w:r>
            <w:r w:rsidRPr="00CB2EC4">
              <w:rPr>
                <w:rFonts w:ascii="Times New Roman" w:hAnsi="Times New Roman" w:cs="Times New Roman"/>
              </w:rPr>
              <w:t xml:space="preserve"> first open the </w:t>
            </w:r>
            <w:r w:rsidRPr="00CB2EC4">
              <w:rPr>
                <w:rFonts w:ascii="Times New Roman" w:hAnsi="Times New Roman" w:cs="Times New Roman"/>
              </w:rPr>
              <w:lastRenderedPageBreak/>
              <w:t xml:space="preserve">lateral vesical space (12.2 development of the paravaginal space); </w:t>
            </w:r>
            <w:r w:rsidRPr="00CB2EC4">
              <w:rPr>
                <w:rFonts w:ascii="宋体" w:eastAsia="宋体" w:hAnsi="宋体" w:cs="宋体" w:hint="eastAsia"/>
              </w:rPr>
              <w:t>②</w:t>
            </w:r>
            <w:r w:rsidRPr="00CB2EC4">
              <w:rPr>
                <w:rFonts w:ascii="Times New Roman" w:hAnsi="Times New Roman" w:cs="Times New Roman"/>
              </w:rPr>
              <w:t xml:space="preserve"> elevate the umbilical ligament with forceps to expose the anterior layer (12.4 development of the ureteric tunnel); </w:t>
            </w:r>
            <w:r w:rsidRPr="00CB2EC4">
              <w:rPr>
                <w:rFonts w:ascii="宋体" w:eastAsia="宋体" w:hAnsi="宋体" w:cs="宋体" w:hint="eastAsia"/>
              </w:rPr>
              <w:t>③</w:t>
            </w:r>
            <w:r w:rsidRPr="00CB2EC4">
              <w:rPr>
                <w:rFonts w:ascii="Times New Roman" w:hAnsi="Times New Roman" w:cs="Times New Roman"/>
              </w:rPr>
              <w:t xml:space="preserve"> when dividing the anterior layer (12.5 division of the anterior vesicouterine ligament), "dissect loose connective tissue"; </w:t>
            </w:r>
            <w:r w:rsidRPr="00CB2EC4">
              <w:rPr>
                <w:rFonts w:ascii="宋体" w:eastAsia="宋体" w:hAnsi="宋体" w:cs="宋体" w:hint="eastAsia"/>
              </w:rPr>
              <w:t>④</w:t>
            </w:r>
            <w:r w:rsidRPr="00CB2EC4">
              <w:rPr>
                <w:rFonts w:ascii="Times New Roman" w:hAnsi="Times New Roman" w:cs="Times New Roman"/>
              </w:rPr>
              <w:t xml:space="preserve"> posterior layer separation (12.6 division of the posterior vesicouterine ligament) requires "freeing the lower ureter" and careful management of venous plexuses (e.g., "avoid blindly enlarging the bleeding wound"). Use of harmonic scalpel is recommended (8 use of harmonic scalpel to assist dissection).  </w:t>
            </w:r>
            <w:r w:rsidRPr="00CB2EC4">
              <w:rPr>
                <w:rFonts w:ascii="Times New Roman" w:hAnsi="Times New Roman" w:cs="Times New Roman"/>
              </w:rPr>
              <w:br/>
              <w:t xml:space="preserve">  - web search results (laparoscopic surgery descriptions) mention "cutting the anterior and posterior leaves of the vesicocervical ligament" and "attention to vascular bleeding," but lack detailed anatomy or methods, consistent with the knowledge base.  </w:t>
            </w:r>
            <w:r w:rsidRPr="00CB2EC4">
              <w:rPr>
                <w:rFonts w:ascii="Times New Roman" w:hAnsi="Times New Roman" w:cs="Times New Roman"/>
              </w:rPr>
              <w:br/>
              <w:t xml:space="preserve">- integrated conclusion: knowledge base documents provide comprehensive anatomical and surgical details; the core of separation is sequential progression and avoidance of neurovascular injury; web searches supplement laparoscopic application.  </w:t>
            </w:r>
            <w:r w:rsidRPr="00CB2EC4">
              <w:rPr>
                <w:rFonts w:ascii="Times New Roman" w:hAnsi="Times New Roman" w:cs="Times New Roman"/>
              </w:rPr>
              <w:br/>
              <w:t>final answer: the anterior layer is the ureteric roof (cervix-bladder connection), the posterior layer is the vesicovaginal ligament (transverse cervical ligament-bladder connection, containing veins/nerves); during separation, first develop the lateral vesical space, expose and sharply divide the anterior layer, then carefully free the posterior layer (avoiding ureter and venous plexus injury); sources: knowledge base documents (primary), web search supports general principles.</w:t>
            </w:r>
          </w:p>
        </w:tc>
        <w:tc>
          <w:tcPr>
            <w:tcW w:w="1152" w:type="dxa"/>
            <w:vAlign w:val="center"/>
          </w:tcPr>
          <w:p w14:paraId="38DBD7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4ED3B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0A8D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0FAFE9" w14:textId="77777777">
        <w:tc>
          <w:tcPr>
            <w:tcW w:w="2160" w:type="dxa"/>
            <w:vAlign w:val="center"/>
          </w:tcPr>
          <w:p w14:paraId="516CA1F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4F8E981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anatomical characteristics:  </w:t>
            </w:r>
            <w:r w:rsidRPr="00CB2EC4">
              <w:rPr>
                <w:rFonts w:ascii="Times New Roman" w:hAnsi="Times New Roman" w:cs="Times New Roman"/>
              </w:rPr>
              <w:br/>
              <w:t xml:space="preserve">- anterior layer: corresponds to the ureteric roof, connecting the cervix uteri and bladder, and is the superficial structure covering the ureter (segments 11, 20).  </w:t>
            </w:r>
            <w:r w:rsidRPr="00CB2EC4">
              <w:rPr>
                <w:rFonts w:ascii="Times New Roman" w:hAnsi="Times New Roman" w:cs="Times New Roman"/>
              </w:rPr>
              <w:br/>
              <w:t xml:space="preserve">- posterior layer: also known as the vesicovaginal ligament, connects the transverse cervical ligament and the bladder, contains deep structures and the cervicovesical ligament, and involves neurovascular bundles (e.g., superior vesical vein and vesical nerve branches) (segments 11, 15).  </w:t>
            </w:r>
            <w:r w:rsidRPr="00CB2EC4">
              <w:rPr>
                <w:rFonts w:ascii="Times New Roman" w:hAnsi="Times New Roman" w:cs="Times New Roman"/>
              </w:rPr>
              <w:br/>
            </w:r>
            <w:r w:rsidRPr="00CB2EC4">
              <w:rPr>
                <w:rFonts w:ascii="Times New Roman" w:hAnsi="Times New Roman" w:cs="Times New Roman"/>
              </w:rPr>
              <w:br/>
              <w:t xml:space="preserve">separation method:  </w:t>
            </w:r>
            <w:r w:rsidRPr="00CB2EC4">
              <w:rPr>
                <w:rFonts w:ascii="Times New Roman" w:hAnsi="Times New Roman" w:cs="Times New Roman"/>
              </w:rPr>
              <w:br/>
              <w:t xml:space="preserve">- separation should be based on the three-dimensional structure; first develop the vaginal side space and the bladder side space, then sever the anterior and posterior layers respectively.  </w:t>
            </w:r>
            <w:r w:rsidRPr="00CB2EC4">
              <w:rPr>
                <w:rFonts w:ascii="Times New Roman" w:hAnsi="Times New Roman" w:cs="Times New Roman"/>
              </w:rPr>
              <w:br/>
              <w:t xml:space="preserve">- specific steps: after expanding the vaginal side space, use forceps or electrocautery to divide the anterior layer (ureteric roof), then separate the posterior layer, taking care to preserve the nerve component (e.g., vesical nerve branches) (segments 11, 12).  </w:t>
            </w:r>
            <w:r w:rsidRPr="00CB2EC4">
              <w:rPr>
                <w:rFonts w:ascii="Times New Roman" w:hAnsi="Times New Roman" w:cs="Times New Roman"/>
              </w:rPr>
              <w:br/>
            </w:r>
            <w:r w:rsidRPr="00CB2EC4">
              <w:rPr>
                <w:rFonts w:ascii="Times New Roman" w:hAnsi="Times New Roman" w:cs="Times New Roman"/>
              </w:rPr>
              <w:br/>
              <w:t xml:space="preserve">basis:  </w:t>
            </w:r>
            <w:r w:rsidRPr="00CB2EC4">
              <w:rPr>
                <w:rFonts w:ascii="Times New Roman" w:hAnsi="Times New Roman" w:cs="Times New Roman"/>
              </w:rPr>
              <w:br/>
              <w:t xml:space="preserve">- segment 12 states: “Okabayashi, when developing the vaginal side space and bladder side space, separates the anterior and posterior layers of the vesicouterine ligament, clarifies their three-dimensional relationship with the transverse cervical ligament, and cuts them individually.” (segment 12)  </w:t>
            </w:r>
            <w:r w:rsidRPr="00CB2EC4">
              <w:rPr>
                <w:rFonts w:ascii="Times New Roman" w:hAnsi="Times New Roman" w:cs="Times New Roman"/>
              </w:rPr>
              <w:br/>
              <w:t xml:space="preserve">- segment 11 details the separation process: “In the Okabayashi procedure... the anterior eave (anterior layer) is removed first, followed by the posterior eave </w:t>
            </w:r>
            <w:r w:rsidRPr="00CB2EC4">
              <w:rPr>
                <w:rFonts w:ascii="Times New Roman" w:hAnsi="Times New Roman" w:cs="Times New Roman"/>
              </w:rPr>
              <w:lastRenderedPageBreak/>
              <w:t>(posterior layer)”, and emphasizes operating at the entrance of the ureteric tunnel (segment 11).</w:t>
            </w:r>
          </w:p>
        </w:tc>
        <w:tc>
          <w:tcPr>
            <w:tcW w:w="1152" w:type="dxa"/>
            <w:vAlign w:val="center"/>
          </w:tcPr>
          <w:p w14:paraId="2C6D5A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A370B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CA46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57038EA" w14:textId="77777777">
        <w:tc>
          <w:tcPr>
            <w:tcW w:w="2160" w:type="dxa"/>
            <w:vAlign w:val="center"/>
          </w:tcPr>
          <w:p w14:paraId="5FDC783A"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7FD293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Anatomical characteristics:  </w:t>
            </w:r>
            <w:r w:rsidRPr="00CB2EC4">
              <w:rPr>
                <w:rFonts w:ascii="Times New Roman" w:hAnsi="Times New Roman" w:cs="Times New Roman"/>
              </w:rPr>
              <w:br/>
              <w:t xml:space="preserve">  - Anterior layer: Corresponds to the "ureteral tunnel roof" in Western terminology. It is a ligament connecting the cervix and bladder, covering the superior aspect of the ureter. The structure is thin and easily identifiable.  </w:t>
            </w:r>
            <w:r w:rsidRPr="00CB2EC4">
              <w:rPr>
                <w:rFonts w:ascii="Times New Roman" w:hAnsi="Times New Roman" w:cs="Times New Roman"/>
              </w:rPr>
              <w:br/>
              <w:t xml:space="preserve">  - Posterior layer: Also known as the "vesicovaginal ligament," it is a connective tissue bundle linking the transverse cervical ligament and the bladder. It contains venous plexuses (e.g., superior vesical veins) and nerve branches. The structure is thicker and prone to bleeding.  </w:t>
            </w:r>
            <w:r w:rsidRPr="00CB2EC4">
              <w:rPr>
                <w:rFonts w:ascii="Times New Roman" w:hAnsi="Times New Roman" w:cs="Times New Roman"/>
              </w:rPr>
              <w:br/>
              <w:t xml:space="preserve">  - Basis: Document 8 states: "Okabayashi divided the vesicouterine ligament into anterior and posterior layers. The anterior layer connects the cervix and bladder, equivalent to the Western ureteral tunnel roof. The posterior layer is also called the vesicovaginal ligament..." Document 18 adds: "Okabayashi’s vesicouterine ligament is divided into anterior and posterior layers," noting the posterior layer involves vascular-nerve bundles.  </w:t>
            </w:r>
            <w:r w:rsidRPr="00CB2EC4">
              <w:rPr>
                <w:rFonts w:ascii="Times New Roman" w:hAnsi="Times New Roman" w:cs="Times New Roman"/>
              </w:rPr>
              <w:br/>
              <w:t xml:space="preserve">- Separation method:  </w:t>
            </w:r>
            <w:r w:rsidRPr="00CB2EC4">
              <w:rPr>
                <w:rFonts w:ascii="Times New Roman" w:hAnsi="Times New Roman" w:cs="Times New Roman"/>
              </w:rPr>
              <w:br/>
              <w:t xml:space="preserve">  - Anterior layer separation: First expose the ureteral tunnel, then use an instrument (e.g., Cooper scissors) to separate and divide the anterior layer along the course of the ureter.  </w:t>
            </w:r>
            <w:r w:rsidRPr="00CB2EC4">
              <w:rPr>
                <w:rFonts w:ascii="Times New Roman" w:hAnsi="Times New Roman" w:cs="Times New Roman"/>
              </w:rPr>
              <w:br/>
              <w:t xml:space="preserve">  - Posterior layer separation: After the anterior layer is cut, use an instrument (e.g., Cooper scissors or finger) inserted from the lateral vesical space toward the "Yagi triangle" direction to penetrate and separate the posterior layer by "rolling" the ureter off it. Then clamp and divide the posterior layer.  </w:t>
            </w:r>
            <w:r w:rsidRPr="00CB2EC4">
              <w:rPr>
                <w:rFonts w:ascii="Times New Roman" w:hAnsi="Times New Roman" w:cs="Times New Roman"/>
              </w:rPr>
              <w:br/>
            </w:r>
            <w:r w:rsidRPr="00CB2EC4">
              <w:rPr>
                <w:rFonts w:ascii="Times New Roman" w:hAnsi="Times New Roman" w:cs="Times New Roman"/>
              </w:rPr>
              <w:lastRenderedPageBreak/>
              <w:t xml:space="preserve">  - Basis: Document 9 details: "Expose the ureteral tunnel, separate and divide the anterior layer. b. After the anterior layer is cut, use the tip of Cooper scissors to 'roll' the ureter off the posterior layer of the vesicouterine ligament. Then insert the index finger from the lateral vesical space toward Yagi’s triangle to separate the posterior layer." (Refer to Figure 137b for the Magara method; Figures 138a,b for the Ogura-Nakano method).  </w:t>
            </w:r>
            <w:r w:rsidRPr="00CB2EC4">
              <w:rPr>
                <w:rFonts w:ascii="Times New Roman" w:hAnsi="Times New Roman" w:cs="Times New Roman"/>
              </w:rPr>
              <w:br/>
              <w:t>- Summary: The anterior layer, as the ureteral tunnel roof, is relatively easy to separate. The posterior layer requires careful handling of vessels and nerves. The sequence is anterior layer first, then posterior layer, to avoid bleeding and nerve injury.</w:t>
            </w:r>
          </w:p>
        </w:tc>
        <w:tc>
          <w:tcPr>
            <w:tcW w:w="1152" w:type="dxa"/>
            <w:vAlign w:val="center"/>
          </w:tcPr>
          <w:p w14:paraId="36228B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64CB9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7A43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9F64C0" w14:textId="77777777">
        <w:tc>
          <w:tcPr>
            <w:tcW w:w="2160" w:type="dxa"/>
            <w:vAlign w:val="center"/>
          </w:tcPr>
          <w:p w14:paraId="6D4456DA"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1C4CE1F"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characteristics of the anterior and posterior layers of the vesicouterine ligament are as follows:</w:t>
            </w:r>
            <w:r w:rsidRPr="00CB2EC4">
              <w:rPr>
                <w:rFonts w:ascii="Times New Roman" w:hAnsi="Times New Roman" w:cs="Times New Roman"/>
              </w:rPr>
              <w:br/>
            </w:r>
            <w:r w:rsidRPr="00CB2EC4">
              <w:rPr>
                <w:rFonts w:ascii="Times New Roman" w:hAnsi="Times New Roman" w:cs="Times New Roman"/>
              </w:rPr>
              <w:br/>
              <w:t>- both the anterior and posterior layers of the vesicouterine ligament are composed of fascia and loose connective tissue. the anterior layer is continuous with the anterior fascia of the transverse cervical ligament and connects deeply with the superior fascia of the levator ani muscle (short fibrous bundle), and is therefore more akin to the parietal fascia (see [HyDE similarity: 0.554]).</w:t>
            </w:r>
            <w:r w:rsidRPr="00CB2EC4">
              <w:rPr>
                <w:rFonts w:ascii="Times New Roman" w:hAnsi="Times New Roman" w:cs="Times New Roman"/>
              </w:rPr>
              <w:br/>
              <w:t>- the posterior layer contains important structures, such as veins connecting the bladder and uterine deep veins (superior vesical veins), and runs parallel to the bladder branches of the pelvic plexus (see [HyDE similarity: 0.554]).</w:t>
            </w:r>
            <w:r w:rsidRPr="00CB2EC4">
              <w:rPr>
                <w:rFonts w:ascii="Times New Roman" w:hAnsi="Times New Roman" w:cs="Times New Roman"/>
              </w:rPr>
              <w:br/>
            </w:r>
            <w:r w:rsidRPr="00CB2EC4">
              <w:rPr>
                <w:rFonts w:ascii="Times New Roman" w:hAnsi="Times New Roman" w:cs="Times New Roman"/>
              </w:rPr>
              <w:br/>
              <w:t>the method for separating the anterior and posterior layers of the vesicouterine ligament is:</w:t>
            </w:r>
            <w:r w:rsidRPr="00CB2EC4">
              <w:rPr>
                <w:rFonts w:ascii="Times New Roman" w:hAnsi="Times New Roman" w:cs="Times New Roman"/>
              </w:rPr>
              <w:br/>
            </w:r>
            <w:r w:rsidRPr="00CB2EC4">
              <w:rPr>
                <w:rFonts w:ascii="Times New Roman" w:hAnsi="Times New Roman" w:cs="Times New Roman"/>
              </w:rPr>
              <w:lastRenderedPageBreak/>
              <w:br/>
              <w:t>- first, develop the necessary spaces (such as the lateral vesical space and the rectal lateral space), then address each layer separately.</w:t>
            </w:r>
            <w:r w:rsidRPr="00CB2EC4">
              <w:rPr>
                <w:rFonts w:ascii="Times New Roman" w:hAnsi="Times New Roman" w:cs="Times New Roman"/>
              </w:rPr>
              <w:br/>
              <w:t>- specific steps: use an instrument (e.g., Pean forceps) to clamp and lift the round ligament, thereby unfolding the vesicohypogastric fascia; transect the loose connective tissue between the anterior layer and the uterine artery; separation of the posterior layer must be performed after complete dissection of the uterine deep vein to avoid injury to the vein and nerves (see [HyDE similarity: 0.554]).</w:t>
            </w:r>
            <w:r w:rsidRPr="00CB2EC4">
              <w:rPr>
                <w:rFonts w:ascii="Times New Roman" w:hAnsi="Times New Roman" w:cs="Times New Roman"/>
              </w:rPr>
              <w:br/>
              <w:t>- the document emphasizes "avoid clamping and cutting as a whole"; instead, separate the fascial and vascular components, handle each vessel individually, and ultrasonic scalpel may be used as an aid (see [HyDE similarity: 0.554]).</w:t>
            </w:r>
            <w:r w:rsidRPr="00CB2EC4">
              <w:rPr>
                <w:rFonts w:ascii="Times New Roman" w:hAnsi="Times New Roman" w:cs="Times New Roman"/>
              </w:rPr>
              <w:br/>
            </w:r>
            <w:r w:rsidRPr="00CB2EC4">
              <w:rPr>
                <w:rFonts w:ascii="Times New Roman" w:hAnsi="Times New Roman" w:cs="Times New Roman"/>
              </w:rPr>
              <w:br/>
              <w:t>in summary, the characteristics include fascial and vascular associations, and separation must be based on space development and meticulous dissection.</w:t>
            </w:r>
          </w:p>
        </w:tc>
        <w:tc>
          <w:tcPr>
            <w:tcW w:w="1152" w:type="dxa"/>
            <w:vAlign w:val="center"/>
          </w:tcPr>
          <w:p w14:paraId="26246E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EBE6B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A36BA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1054BE9" w14:textId="77777777">
        <w:tc>
          <w:tcPr>
            <w:tcW w:w="2160" w:type="dxa"/>
            <w:vAlign w:val="center"/>
          </w:tcPr>
          <w:p w14:paraId="6DE8F60F"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D349543" w14:textId="77777777" w:rsidR="00922249" w:rsidRPr="00CB2EC4" w:rsidRDefault="003011D5">
            <w:pPr>
              <w:rPr>
                <w:rFonts w:ascii="Times New Roman" w:hAnsi="Times New Roman" w:cs="Times New Roman"/>
              </w:rPr>
            </w:pPr>
            <w:r w:rsidRPr="00CB2EC4">
              <w:rPr>
                <w:rFonts w:ascii="Times New Roman" w:hAnsi="Times New Roman" w:cs="Times New Roman"/>
              </w:rPr>
              <w:t>anatomical characteristics:</w:t>
            </w:r>
            <w:r w:rsidRPr="00CB2EC4">
              <w:rPr>
                <w:rFonts w:ascii="Times New Roman" w:hAnsi="Times New Roman" w:cs="Times New Roman"/>
              </w:rPr>
              <w:br/>
              <w:t>- anterior layer: connects the cervix uteri and the bladder, corresponding to the "ureteric roof" in Western terminology. It consists of loose connective tissue, is relatively thin, covers the upper part of the ureter, and provides a pathway for the uterine artery (from fragment 12 and fragment 18).</w:t>
            </w:r>
            <w:r w:rsidRPr="00CB2EC4">
              <w:rPr>
                <w:rFonts w:ascii="Times New Roman" w:hAnsi="Times New Roman" w:cs="Times New Roman"/>
              </w:rPr>
              <w:br/>
              <w:t xml:space="preserve">- posterior layer: also known as the vesicovaginal ligament, connects the transverse cervical ligament and the bladder. It contains a well-developed venous plexus (e.g., superior vesical veins), connective tissue, and neurovascular bundles (branches of the pelvic autonomic nerves). The posterior layer is thicker, </w:t>
            </w:r>
            <w:r w:rsidRPr="00CB2EC4">
              <w:rPr>
                <w:rFonts w:ascii="Times New Roman" w:hAnsi="Times New Roman" w:cs="Times New Roman"/>
              </w:rPr>
              <w:lastRenderedPageBreak/>
              <w:t>prone to bleeding, and is a key area for nerve-sparing surgery (from fragment 12 and fragment 18).</w:t>
            </w:r>
            <w:r w:rsidRPr="00CB2EC4">
              <w:rPr>
                <w:rFonts w:ascii="Times New Roman" w:hAnsi="Times New Roman" w:cs="Times New Roman"/>
              </w:rPr>
              <w:br/>
            </w:r>
            <w:r w:rsidRPr="00CB2EC4">
              <w:rPr>
                <w:rFonts w:ascii="Times New Roman" w:hAnsi="Times New Roman" w:cs="Times New Roman"/>
              </w:rPr>
              <w:br/>
              <w:t>separation methods:</w:t>
            </w:r>
            <w:r w:rsidRPr="00CB2EC4">
              <w:rPr>
                <w:rFonts w:ascii="Times New Roman" w:hAnsi="Times New Roman" w:cs="Times New Roman"/>
              </w:rPr>
              <w:br/>
              <w:t>- anterior layer separation: first expose the ureteric tunnel, then use scissors or electrocautery to incise the tunnel roof to reveal the mid-portion of the ureter. The procedure must be performed at the ureter's crossing point to avoid ureteral injury (from fragment 12 and fragment 26). For example, in the Okabayashi procedure, the anterior layer is divided at the level of the uterine artery (from fragment 26).</w:t>
            </w:r>
            <w:r w:rsidRPr="00CB2EC4">
              <w:rPr>
                <w:rFonts w:ascii="Times New Roman" w:hAnsi="Times New Roman" w:cs="Times New Roman"/>
              </w:rPr>
              <w:br/>
              <w:t>- posterior layer separation: first develop the lateral vaginal space (from fragment 12, section 12.2), then carefully separate the vascular and neural components of the posterior layer using a combination of blunt and sharp dissection to avoid tearing the venous plexus. In nerve-sparing surgery, only the vascular part is cut while preserving the neural part (from fragment 18). The document emphasizes that the operation should be meticulous to prevent bleeding and nerve injury (from fragment 12).</w:t>
            </w:r>
            <w:r w:rsidRPr="00CB2EC4">
              <w:rPr>
                <w:rFonts w:ascii="Times New Roman" w:hAnsi="Times New Roman" w:cs="Times New Roman"/>
              </w:rPr>
              <w:br/>
            </w:r>
            <w:r w:rsidRPr="00CB2EC4">
              <w:rPr>
                <w:rFonts w:ascii="Times New Roman" w:hAnsi="Times New Roman" w:cs="Times New Roman"/>
              </w:rPr>
              <w:br/>
              <w:t>note: although the document does not detail instruments, based on context, the use of an ultrasonic scalpel or electrocautery is recommended.</w:t>
            </w:r>
          </w:p>
        </w:tc>
        <w:tc>
          <w:tcPr>
            <w:tcW w:w="1152" w:type="dxa"/>
            <w:vAlign w:val="center"/>
          </w:tcPr>
          <w:p w14:paraId="054EEF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0562C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4E71B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C577CB1" w14:textId="77777777">
        <w:tc>
          <w:tcPr>
            <w:tcW w:w="2160" w:type="dxa"/>
            <w:vAlign w:val="center"/>
          </w:tcPr>
          <w:p w14:paraId="733E1E74"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1234F3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Anatomical features:  </w:t>
            </w:r>
            <w:r w:rsidRPr="00CB2EC4">
              <w:rPr>
                <w:rFonts w:ascii="Times New Roman" w:hAnsi="Times New Roman" w:cs="Times New Roman"/>
              </w:rPr>
              <w:br/>
              <w:t xml:space="preserve">  - Anterior layer: Corresponds to the "roof of the ureteral tunnel", connecting the cervix uteri to the bladder (Figure 29b).  </w:t>
            </w:r>
            <w:r w:rsidRPr="00CB2EC4">
              <w:rPr>
                <w:rFonts w:ascii="Times New Roman" w:hAnsi="Times New Roman" w:cs="Times New Roman"/>
              </w:rPr>
              <w:br/>
              <w:t xml:space="preserve">  - Posterior layer: Referred to as the "vesicovaginal ligament", contains the superior vesical vein and branches of the vesical nerve, linking the transverse cervical ligament to the bladder (Figure 36a).  </w:t>
            </w:r>
            <w:r w:rsidRPr="00CB2EC4">
              <w:rPr>
                <w:rFonts w:ascii="Times New Roman" w:hAnsi="Times New Roman" w:cs="Times New Roman"/>
              </w:rPr>
              <w:br/>
            </w:r>
            <w:r w:rsidRPr="00CB2EC4">
              <w:rPr>
                <w:rFonts w:ascii="Times New Roman" w:hAnsi="Times New Roman" w:cs="Times New Roman"/>
              </w:rPr>
              <w:lastRenderedPageBreak/>
              <w:t xml:space="preserve">- Dissection method:  </w:t>
            </w:r>
            <w:r w:rsidRPr="00CB2EC4">
              <w:rPr>
                <w:rFonts w:ascii="Times New Roman" w:hAnsi="Times New Roman" w:cs="Times New Roman"/>
              </w:rPr>
              <w:br/>
              <w:t xml:space="preserve">  1. First, divide the anterior layer: expose the ureteral tunnel (Section 12.4).  </w:t>
            </w:r>
            <w:r w:rsidRPr="00CB2EC4">
              <w:rPr>
                <w:rFonts w:ascii="Times New Roman" w:hAnsi="Times New Roman" w:cs="Times New Roman"/>
              </w:rPr>
              <w:br/>
              <w:t xml:space="preserve">  2. Then, dissect the posterior layer: incise along the interval between the neural and vascular components, preserve the neural part and divide the vascular part (Section 12.6.1).  </w:t>
            </w:r>
            <w:r w:rsidRPr="00CB2EC4">
              <w:rPr>
                <w:rFonts w:ascii="Times New Roman" w:hAnsi="Times New Roman" w:cs="Times New Roman"/>
              </w:rPr>
              <w:br/>
              <w:t xml:space="preserve">- Basis:  </w:t>
            </w:r>
            <w:r w:rsidRPr="00CB2EC4">
              <w:rPr>
                <w:rFonts w:ascii="Times New Roman" w:hAnsi="Times New Roman" w:cs="Times New Roman"/>
              </w:rPr>
              <w:br/>
              <w:t xml:space="preserve">  &gt; "12.4 Exposure of the ureteral tunnel: requires initial division of the anterior layer (roof of the ureteral tunnel)"  </w:t>
            </w:r>
            <w:r w:rsidRPr="00CB2EC4">
              <w:rPr>
                <w:rFonts w:ascii="Times New Roman" w:hAnsi="Times New Roman" w:cs="Times New Roman"/>
              </w:rPr>
              <w:br/>
              <w:t xml:space="preserve">  &gt; "12.6.1 The posterior layer contains the superior vesical vein; during dissection, the neural and vascular components must be identified, with only the vascular component divided to preserve the nerve"  </w:t>
            </w:r>
            <w:r w:rsidRPr="00CB2EC4">
              <w:rPr>
                <w:rFonts w:ascii="Times New Roman" w:hAnsi="Times New Roman" w:cs="Times New Roman"/>
              </w:rPr>
              <w:br/>
              <w:t xml:space="preserve">  &gt; "Figure 155b: Dissection of the posterior layer must avoid injury to the nerve branch running parallel to the superior vesical vein"</w:t>
            </w:r>
          </w:p>
        </w:tc>
        <w:tc>
          <w:tcPr>
            <w:tcW w:w="1152" w:type="dxa"/>
            <w:vAlign w:val="center"/>
          </w:tcPr>
          <w:p w14:paraId="32A39D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9EA3F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A9DA1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857480C" w14:textId="77777777">
        <w:tc>
          <w:tcPr>
            <w:tcW w:w="2160" w:type="dxa"/>
            <w:vAlign w:val="center"/>
          </w:tcPr>
          <w:p w14:paraId="5357713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C9FE9F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anatomical characteristics:  </w:t>
            </w:r>
            <w:r w:rsidRPr="00CB2EC4">
              <w:rPr>
                <w:rFonts w:ascii="Times New Roman" w:hAnsi="Times New Roman" w:cs="Times New Roman"/>
              </w:rPr>
              <w:br/>
              <w:t xml:space="preserve">- Anterior layer: Corresponds to the ureteric roof, consisting of connective tissue bundles linking the uterine cervix and bladder, covering the upper part of the ureter.  </w:t>
            </w:r>
            <w:r w:rsidRPr="00CB2EC4">
              <w:rPr>
                <w:rFonts w:ascii="Times New Roman" w:hAnsi="Times New Roman" w:cs="Times New Roman"/>
              </w:rPr>
              <w:br/>
              <w:t xml:space="preserve">- Posterior layer: Refers to the connective tissue bundle linking the transverse cervical ligament and the bladder (sometimes termed the vesicovaginal ligament), containing venous plexuses (e.g., superior vesical veins) and potential nerve branches (e.g., bladder branches from the pelvic plexus).  </w:t>
            </w:r>
            <w:r w:rsidRPr="00CB2EC4">
              <w:rPr>
                <w:rFonts w:ascii="Times New Roman" w:hAnsi="Times New Roman" w:cs="Times New Roman"/>
              </w:rPr>
              <w:br/>
            </w:r>
            <w:r w:rsidRPr="00CB2EC4">
              <w:rPr>
                <w:rFonts w:ascii="Times New Roman" w:hAnsi="Times New Roman" w:cs="Times New Roman"/>
              </w:rPr>
              <w:br/>
              <w:t xml:space="preserve">separation method:  </w:t>
            </w:r>
            <w:r w:rsidRPr="00CB2EC4">
              <w:rPr>
                <w:rFonts w:ascii="Times New Roman" w:hAnsi="Times New Roman" w:cs="Times New Roman"/>
              </w:rPr>
              <w:br/>
              <w:t xml:space="preserve">1. Separate the anterior layer first: Use an instrument (e.g., Cooper scissors) to open the entrance of the ureteric tunnel, expand the ureteric roof along the </w:t>
            </w:r>
            <w:r w:rsidRPr="00CB2EC4">
              <w:rPr>
                <w:rFonts w:ascii="Times New Roman" w:hAnsi="Times New Roman" w:cs="Times New Roman"/>
              </w:rPr>
              <w:lastRenderedPageBreak/>
              <w:t xml:space="preserve">course of the ureter, dissect and cut the anterior layer from above the ureter.  </w:t>
            </w:r>
            <w:r w:rsidRPr="00CB2EC4">
              <w:rPr>
                <w:rFonts w:ascii="Times New Roman" w:hAnsi="Times New Roman" w:cs="Times New Roman"/>
              </w:rPr>
              <w:br/>
              <w:t xml:space="preserve">2. Then separate the posterior layer: By developing the vesicovaginal space, identify the vascular cluster of the posterior layer (e.g., expose the superior vesical vein), clamp the posterior layer connective tissue with double forceps, and cut it in the middle.  </w:t>
            </w:r>
            <w:r w:rsidRPr="00CB2EC4">
              <w:rPr>
                <w:rFonts w:ascii="Times New Roman" w:hAnsi="Times New Roman" w:cs="Times New Roman"/>
              </w:rPr>
              <w:br/>
              <w:t xml:space="preserve">- Basis:  </w:t>
            </w:r>
            <w:r w:rsidRPr="00CB2EC4">
              <w:rPr>
                <w:rFonts w:ascii="Times New Roman" w:hAnsi="Times New Roman" w:cs="Times New Roman"/>
              </w:rPr>
              <w:br/>
              <w:t xml:space="preserve">  - [Document fragment 3] states: “Okabayashi divided the vesicouterine ligament into anterior and posterior layers for separate transection... The anterior layer is the ligament connecting the uterine cervix and bladder, equivalent to the ureteric roof in Western literature. The posterior layer, also called the vesicovaginal ligament... is formed by a well-developed venous plexus and connective tissue.”  </w:t>
            </w:r>
            <w:r w:rsidRPr="00CB2EC4">
              <w:rPr>
                <w:rFonts w:ascii="Times New Roman" w:hAnsi="Times New Roman" w:cs="Times New Roman"/>
              </w:rPr>
              <w:br/>
              <w:t xml:space="preserve">  - [Document fragment 22] details the steps: “$(\hat{\mathbb{A}})$ Expose the anterior part of the ureter, transect the anterior layer of the vesicouterine ligament... Insert Cooper scissors into the tunnel entrance... $(\hat{\mathrm{LE}})$ Transect the posterior layer of the vesicouterine ligament... Insert Cooper scissors into the vesicovaginal space and expand, dissect free... the posterior layer, clamp with double forceps, and divide in the middle.”  </w:t>
            </w:r>
            <w:r w:rsidRPr="00CB2EC4">
              <w:rPr>
                <w:rFonts w:ascii="Times New Roman" w:hAnsi="Times New Roman" w:cs="Times New Roman"/>
              </w:rPr>
              <w:br/>
              <w:t xml:space="preserve">  This approach emphasizes sequential and three-dimensional manipulation to minimize bleeding risk (refer to [Document fragment 12]).</w:t>
            </w:r>
          </w:p>
        </w:tc>
        <w:tc>
          <w:tcPr>
            <w:tcW w:w="1152" w:type="dxa"/>
            <w:vAlign w:val="center"/>
          </w:tcPr>
          <w:p w14:paraId="7DDF29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54FC6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6F49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593A48" w14:textId="77777777">
        <w:tc>
          <w:tcPr>
            <w:tcW w:w="2160" w:type="dxa"/>
            <w:vAlign w:val="center"/>
          </w:tcPr>
          <w:p w14:paraId="6773C222"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EEB8105" w14:textId="77777777" w:rsidR="00922249" w:rsidRPr="00CB2EC4" w:rsidRDefault="003011D5">
            <w:pPr>
              <w:rPr>
                <w:rFonts w:ascii="Times New Roman" w:hAnsi="Times New Roman" w:cs="Times New Roman"/>
              </w:rPr>
            </w:pPr>
            <w:r w:rsidRPr="00CB2EC4">
              <w:rPr>
                <w:rFonts w:ascii="Times New Roman" w:hAnsi="Times New Roman" w:cs="Times New Roman"/>
              </w:rPr>
              <w:t>anatomical characteristics:</w:t>
            </w:r>
            <w:r w:rsidRPr="00CB2EC4">
              <w:rPr>
                <w:rFonts w:ascii="Times New Roman" w:hAnsi="Times New Roman" w:cs="Times New Roman"/>
              </w:rPr>
              <w:br/>
              <w:t>- anterior layer: connects the cervix uteri to the bladder, equivalent to the ureteric roof in Western anatomy; it is thin in structure and covers the ureter, with underlying vessels often visible through the tissue.</w:t>
            </w:r>
            <w:r w:rsidRPr="00CB2EC4">
              <w:rPr>
                <w:rFonts w:ascii="Times New Roman" w:hAnsi="Times New Roman" w:cs="Times New Roman"/>
              </w:rPr>
              <w:br/>
            </w:r>
            <w:r w:rsidRPr="00CB2EC4">
              <w:rPr>
                <w:rFonts w:ascii="Times New Roman" w:hAnsi="Times New Roman" w:cs="Times New Roman"/>
              </w:rPr>
              <w:lastRenderedPageBreak/>
              <w:t>- posterior layer: also known as the vesicovaginal ligament, connects the transverse cervical ligament to the bladder; it is thicker in structure and contains the neurovascular bundle (including the superior vesical vein and vesical nerve branches), closely related to the pelvic plexus.</w:t>
            </w:r>
            <w:r w:rsidRPr="00CB2EC4">
              <w:rPr>
                <w:rFonts w:ascii="Times New Roman" w:hAnsi="Times New Roman" w:cs="Times New Roman"/>
              </w:rPr>
              <w:br/>
            </w:r>
            <w:r w:rsidRPr="00CB2EC4">
              <w:rPr>
                <w:rFonts w:ascii="Times New Roman" w:hAnsi="Times New Roman" w:cs="Times New Roman"/>
              </w:rPr>
              <w:br/>
              <w:t>separation method (following the Okabayashi technique):</w:t>
            </w:r>
            <w:r w:rsidRPr="00CB2EC4">
              <w:rPr>
                <w:rFonts w:ascii="Times New Roman" w:hAnsi="Times New Roman" w:cs="Times New Roman"/>
              </w:rPr>
              <w:br/>
              <w:t>1. separate the anterior layer first by identifying and dissecting the entrance of the ureteric tunnel to expose the ureter.</w:t>
            </w:r>
            <w:r w:rsidRPr="00CB2EC4">
              <w:rPr>
                <w:rFonts w:ascii="Times New Roman" w:hAnsi="Times New Roman" w:cs="Times New Roman"/>
              </w:rPr>
              <w:br/>
              <w:t>2. then separate the posterior layer by extending the paravesical space laterally along the vaginal side, carefully managing the neurovascular bundle to avoid blind clamping or injury to the venous plexus and nerve branches.</w:t>
            </w:r>
            <w:r w:rsidRPr="00CB2EC4">
              <w:rPr>
                <w:rFonts w:ascii="Times New Roman" w:hAnsi="Times New Roman" w:cs="Times New Roman"/>
              </w:rPr>
              <w:br/>
            </w:r>
            <w:r w:rsidRPr="00CB2EC4">
              <w:rPr>
                <w:rFonts w:ascii="Times New Roman" w:hAnsi="Times New Roman" w:cs="Times New Roman"/>
              </w:rPr>
              <w:br/>
              <w:t>the sequence is critical: anterior layer dissection precedes posterior layer dissection to minimize the risk of ureteric or neural damage.</w:t>
            </w:r>
          </w:p>
        </w:tc>
        <w:tc>
          <w:tcPr>
            <w:tcW w:w="1152" w:type="dxa"/>
            <w:vAlign w:val="center"/>
          </w:tcPr>
          <w:p w14:paraId="0BC181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992A9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8EB8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BFD5A5" w14:textId="77777777">
        <w:tc>
          <w:tcPr>
            <w:tcW w:w="2160" w:type="dxa"/>
            <w:vAlign w:val="center"/>
          </w:tcPr>
          <w:p w14:paraId="3A1DC25C"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2B613F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anatomical characteristics:  </w:t>
            </w:r>
            <w:r w:rsidRPr="00CB2EC4">
              <w:rPr>
                <w:rFonts w:ascii="Times New Roman" w:hAnsi="Times New Roman" w:cs="Times New Roman"/>
              </w:rPr>
              <w:br/>
              <w:t xml:space="preserve">- Anterior layer: Connects the uterine cervix and bladder, equivalent to the ureteric roof, primarily composed of loose connective tissue, and serves as the covering structure above the ureter (document fragments 3 and 29).  </w:t>
            </w:r>
            <w:r w:rsidRPr="00CB2EC4">
              <w:rPr>
                <w:rFonts w:ascii="Times New Roman" w:hAnsi="Times New Roman" w:cs="Times New Roman"/>
              </w:rPr>
              <w:br/>
              <w:t xml:space="preserve">- Posterior layer: Connects the transverse cervical ligament and the bladder, contains neurovascular bundles (such as the superior vesical vein and the vesical branches of the pelvic plexus), also termed the vesicouterine ligament or vesicocervical ligament, and is part of a three-dimensional complex (document fragments 19, 26, and 29).  </w:t>
            </w:r>
            <w:r w:rsidRPr="00CB2EC4">
              <w:rPr>
                <w:rFonts w:ascii="Times New Roman" w:hAnsi="Times New Roman" w:cs="Times New Roman"/>
              </w:rPr>
              <w:br/>
            </w:r>
            <w:r w:rsidRPr="00CB2EC4">
              <w:rPr>
                <w:rFonts w:ascii="Times New Roman" w:hAnsi="Times New Roman" w:cs="Times New Roman"/>
              </w:rPr>
              <w:lastRenderedPageBreak/>
              <w:br/>
              <w:t xml:space="preserve">separation method:  </w:t>
            </w:r>
            <w:r w:rsidRPr="00CB2EC4">
              <w:rPr>
                <w:rFonts w:ascii="Times New Roman" w:hAnsi="Times New Roman" w:cs="Times New Roman"/>
              </w:rPr>
              <w:br/>
              <w:t xml:space="preserve">1. First separate the anterior layer: Uncover the ureteric tunnel and transect the anterior layer (ureteric roof). This is typically performed as a distinct step in the surgical sequence (document fragment 12 mentions "uncovering the ureteric tunnel" and "dividing the anterior layer of the vesicouterine ligament").  </w:t>
            </w:r>
            <w:r w:rsidRPr="00CB2EC4">
              <w:rPr>
                <w:rFonts w:ascii="Times New Roman" w:hAnsi="Times New Roman" w:cs="Times New Roman"/>
              </w:rPr>
              <w:br/>
              <w:t xml:space="preserve">2. Mobilize the ureter: After transecting the anterior layer, mobilize the anterior (superior) segment of the ureter to expose the area of the posterior layer (document fragment 12).  </w:t>
            </w:r>
            <w:r w:rsidRPr="00CB2EC4">
              <w:rPr>
                <w:rFonts w:ascii="Times New Roman" w:hAnsi="Times New Roman" w:cs="Times New Roman"/>
              </w:rPr>
              <w:br/>
              <w:t>3. Then separate the posterior layer: When addressing the posterior layer, carefully dissect the contained neurovascular structures to avoid injury to the vesical nerve branches; use instruments such as an ultrasonic scalpel or electrocautery for transection (document fragments 26 and 29 indicate that handling the posterior layer requires meticulous technique).</w:t>
            </w:r>
          </w:p>
        </w:tc>
        <w:tc>
          <w:tcPr>
            <w:tcW w:w="1152" w:type="dxa"/>
            <w:vAlign w:val="center"/>
          </w:tcPr>
          <w:p w14:paraId="3E28F5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44DB3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3DA4C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922D6AE" w14:textId="77777777">
        <w:tc>
          <w:tcPr>
            <w:tcW w:w="2160" w:type="dxa"/>
            <w:vAlign w:val="center"/>
          </w:tcPr>
          <w:p w14:paraId="1273D7B6"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127208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characteristics of the anterior and posterior layers of the vesicouterine ligament are as follows: the anterior layer corresponds to the ureteric roof and is a superficial structure; the posterior layer is a deep structure and a composite of the vesicocervical ligament, containing the neurovascular bundle. the method of separation is: first separate the anterior layer (by dissecting the ureteric tunnel and transecting it), then separate the posterior layer (using scissors or finger perforation technique, operating from the vesical lateral space toward the vaginal lateral space).  </w:t>
            </w:r>
            <w:r w:rsidRPr="00CB2EC4">
              <w:rPr>
                <w:rFonts w:ascii="Times New Roman" w:hAnsi="Times New Roman" w:cs="Times New Roman"/>
              </w:rPr>
              <w:br/>
              <w:t xml:space="preserve">explanation: based on contextual information (segments 3 and 9):  </w:t>
            </w:r>
            <w:r w:rsidRPr="00CB2EC4">
              <w:rPr>
                <w:rFonts w:ascii="Times New Roman" w:hAnsi="Times New Roman" w:cs="Times New Roman"/>
              </w:rPr>
              <w:br/>
              <w:t xml:space="preserve">- anatomical characteristics:  </w:t>
            </w:r>
            <w:r w:rsidRPr="00CB2EC4">
              <w:rPr>
                <w:rFonts w:ascii="Times New Roman" w:hAnsi="Times New Roman" w:cs="Times New Roman"/>
              </w:rPr>
              <w:br/>
            </w:r>
            <w:r w:rsidRPr="00CB2EC4">
              <w:rPr>
                <w:rFonts w:ascii="Times New Roman" w:hAnsi="Times New Roman" w:cs="Times New Roman"/>
              </w:rPr>
              <w:lastRenderedPageBreak/>
              <w:t xml:space="preserve">  - anterior layer: segment 3 states "Okabayashi divided the vesicouterine ligament into anterior and posterior layers," and notes "the superficial layer is equivalent to the anterior layer of the vesicouterine ligament as described by Okabayashi, i.e., the ureteric roof." this indicates the anterior layer is a superficial fibrous structure covering the ureter, forming the roof of the tunnel.  </w:t>
            </w:r>
            <w:r w:rsidRPr="00CB2EC4">
              <w:rPr>
                <w:rFonts w:ascii="Times New Roman" w:hAnsi="Times New Roman" w:cs="Times New Roman"/>
              </w:rPr>
              <w:br/>
              <w:t xml:space="preserve">  - posterior layer: segment 9 clarifies "the posterior layer of the vesicouterine ligament refers to the composite of the deep layer and the caudal reflection of the transverse cervical ligament (i.e., the vesicocervical ligament)," meaning "posterior layer of vesicouterine ligament ≡ deep layer of vesicouterine ligament + vesicocervical ligament." the posterior layer contains venous plexus and nerves (e.g., bladder branches of the pelvic autonomic nerves) and is a three-dimensional structure.  </w:t>
            </w:r>
            <w:r w:rsidRPr="00CB2EC4">
              <w:rPr>
                <w:rFonts w:ascii="Times New Roman" w:hAnsi="Times New Roman" w:cs="Times New Roman"/>
              </w:rPr>
              <w:br/>
              <w:t xml:space="preserve">- separation method:  </w:t>
            </w:r>
            <w:r w:rsidRPr="00CB2EC4">
              <w:rPr>
                <w:rFonts w:ascii="Times New Roman" w:hAnsi="Times New Roman" w:cs="Times New Roman"/>
              </w:rPr>
              <w:br/>
              <w:t xml:space="preserve">  - anterior layer separation: segment 9 describes "dissect the ureteric tunnel and separate and transect the anterior layer," using scissors to enter the ureteric insertion site and create the tunnel along the ureter's course (e.g., "insert Cooper scissors at the ureter entry point and develop the ureteric tunnel along the ureter's trajectory").  </w:t>
            </w:r>
            <w:r w:rsidRPr="00CB2EC4">
              <w:rPr>
                <w:rFonts w:ascii="Times New Roman" w:hAnsi="Times New Roman" w:cs="Times New Roman"/>
              </w:rPr>
              <w:br/>
              <w:t xml:space="preserve">  - posterior layer separation: segment 9 details "after transection of the anterior layer, use the tip of Cooper scissors to 'roll' the ureter off the posterior layer of the vesicouterine ligament," then "perforate from the vesical lateral space with the index finger toward Yagi's triangle to separate the posterior layer." this involves perforation technique to avoid nerve injury.  </w:t>
            </w:r>
            <w:r w:rsidRPr="00CB2EC4">
              <w:rPr>
                <w:rFonts w:ascii="Times New Roman" w:hAnsi="Times New Roman" w:cs="Times New Roman"/>
              </w:rPr>
              <w:br/>
              <w:t xml:space="preserve">  this approach is particularly critical in nerve-sparing </w:t>
            </w:r>
            <w:r w:rsidRPr="00CB2EC4">
              <w:rPr>
                <w:rFonts w:ascii="Times New Roman" w:hAnsi="Times New Roman" w:cs="Times New Roman"/>
              </w:rPr>
              <w:lastRenderedPageBreak/>
              <w:t>surgery to ensure only the vascular component is divided while preserving the neural component.</w:t>
            </w:r>
          </w:p>
        </w:tc>
        <w:tc>
          <w:tcPr>
            <w:tcW w:w="1152" w:type="dxa"/>
            <w:vAlign w:val="center"/>
          </w:tcPr>
          <w:p w14:paraId="5516E8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DBB4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B53E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5B9A665" w14:textId="77777777">
        <w:tc>
          <w:tcPr>
            <w:tcW w:w="2160" w:type="dxa"/>
            <w:vAlign w:val="center"/>
          </w:tcPr>
          <w:p w14:paraId="18927D1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46D6D2AC" w14:textId="77777777" w:rsidR="00922249" w:rsidRPr="00CB2EC4" w:rsidRDefault="003011D5">
            <w:pPr>
              <w:rPr>
                <w:rFonts w:ascii="Times New Roman" w:hAnsi="Times New Roman" w:cs="Times New Roman"/>
              </w:rPr>
            </w:pPr>
            <w:r w:rsidRPr="00CB2EC4">
              <w:rPr>
                <w:rFonts w:ascii="Times New Roman" w:hAnsi="Times New Roman" w:cs="Times New Roman"/>
              </w:rPr>
              <w:t>- Anatomical characteristics:</w:t>
            </w:r>
            <w:r w:rsidRPr="00CB2EC4">
              <w:rPr>
                <w:rFonts w:ascii="Times New Roman" w:hAnsi="Times New Roman" w:cs="Times New Roman"/>
              </w:rPr>
              <w:br/>
              <w:t xml:space="preserve">  - Anterior layer: Primarily composed of vascular structures (e.g., superior vesical veins and deep uterine veins), with dense tissue and a propensity for bleeding.</w:t>
            </w:r>
            <w:r w:rsidRPr="00CB2EC4">
              <w:rPr>
                <w:rFonts w:ascii="Times New Roman" w:hAnsi="Times New Roman" w:cs="Times New Roman"/>
              </w:rPr>
              <w:br/>
              <w:t xml:space="preserve">  - Posterior layer: Contains nerve fibers (e.g., branches of the inferior hypogastric plexus) and loose connective tissue, adjacent to the ureter and rectum; requires careful handling to avoid nerve injury.</w:t>
            </w:r>
            <w:r w:rsidRPr="00CB2EC4">
              <w:rPr>
                <w:rFonts w:ascii="Times New Roman" w:hAnsi="Times New Roman" w:cs="Times New Roman"/>
              </w:rPr>
              <w:br/>
              <w:t>- Separation method:</w:t>
            </w:r>
            <w:r w:rsidRPr="00CB2EC4">
              <w:rPr>
                <w:rFonts w:ascii="Times New Roman" w:hAnsi="Times New Roman" w:cs="Times New Roman"/>
              </w:rPr>
              <w:br/>
              <w:t xml:space="preserve">  - Anterior layer separation: Use blunt dissection (e.g., gentle separation with fingers or instruments) combined with sharp dissection (scissors or electrocautery), with emphasis on controlling vascular bleeding. Operate at the level of the cervix to avoid bladder injury.</w:t>
            </w:r>
            <w:r w:rsidRPr="00CB2EC4">
              <w:rPr>
                <w:rFonts w:ascii="Times New Roman" w:hAnsi="Times New Roman" w:cs="Times New Roman"/>
              </w:rPr>
              <w:br/>
              <w:t xml:space="preserve">  - Posterior layer separation: Employ meticulous blunt dissection (e.g., suction tip or dissector) to expose nerve bundles, with sharp dissection as needed. The key is to operate within the Latzko space to ensure nerve preservation.</w:t>
            </w:r>
          </w:p>
        </w:tc>
        <w:tc>
          <w:tcPr>
            <w:tcW w:w="1152" w:type="dxa"/>
            <w:vAlign w:val="center"/>
          </w:tcPr>
          <w:p w14:paraId="3A5CE4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8A7AE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3E07A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FBB067A" w14:textId="77777777">
        <w:tc>
          <w:tcPr>
            <w:tcW w:w="10656" w:type="dxa"/>
            <w:gridSpan w:val="5"/>
            <w:tcBorders>
              <w:bottom w:val="single" w:sz="6" w:space="0" w:color="auto"/>
            </w:tcBorders>
            <w:vAlign w:val="center"/>
          </w:tcPr>
          <w:p w14:paraId="3E312DE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125: When transecting the deep uterine vein, what is the significance of the rectouterine ligament as an anatomical landmark?</w:t>
            </w:r>
          </w:p>
        </w:tc>
      </w:tr>
      <w:tr w:rsidR="00922249" w:rsidRPr="00CB2EC4" w14:paraId="17C4E517" w14:textId="77777777">
        <w:tc>
          <w:tcPr>
            <w:tcW w:w="2160" w:type="dxa"/>
            <w:vAlign w:val="center"/>
          </w:tcPr>
          <w:p w14:paraId="44F4776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19642DF" w14:textId="77777777" w:rsidR="00922249" w:rsidRPr="00CB2EC4" w:rsidRDefault="003011D5">
            <w:pPr>
              <w:rPr>
                <w:rFonts w:ascii="Times New Roman" w:hAnsi="Times New Roman" w:cs="Times New Roman"/>
              </w:rPr>
            </w:pPr>
            <w:r w:rsidRPr="00CB2EC4">
              <w:rPr>
                <w:rFonts w:ascii="Times New Roman" w:hAnsi="Times New Roman" w:cs="Times New Roman"/>
              </w:rPr>
              <w:t>The significance of the rectouterine ligament as an anatomical landmark lies in:</w:t>
            </w:r>
            <w:r w:rsidRPr="00CB2EC4">
              <w:rPr>
                <w:rFonts w:ascii="Times New Roman" w:hAnsi="Times New Roman" w:cs="Times New Roman"/>
              </w:rPr>
              <w:br/>
            </w:r>
            <w:r w:rsidRPr="00CB2EC4">
              <w:rPr>
                <w:rFonts w:ascii="Times New Roman" w:hAnsi="Times New Roman" w:cs="Times New Roman"/>
              </w:rPr>
              <w:br/>
              <w:t>- Primarily serving to locate the deep course of the deep uterine vein, ensuring its complete dissection to avoid residual cancer cells or accidental intraoperative bleeding;</w:t>
            </w:r>
            <w:r w:rsidRPr="00CB2EC4">
              <w:rPr>
                <w:rFonts w:ascii="Times New Roman" w:hAnsi="Times New Roman" w:cs="Times New Roman"/>
              </w:rPr>
              <w:br/>
              <w:t xml:space="preserve">- Simultaneously aiding in distinguishing the deep </w:t>
            </w:r>
            <w:r w:rsidRPr="00CB2EC4">
              <w:rPr>
                <w:rFonts w:ascii="Times New Roman" w:hAnsi="Times New Roman" w:cs="Times New Roman"/>
              </w:rPr>
              <w:lastRenderedPageBreak/>
              <w:t>uterine vein from accompanying structures (such as the middle vesical vein or middle rectal vein), preventing damage to the pelvic nerve plexus during transection.</w:t>
            </w:r>
            <w:r w:rsidRPr="00CB2EC4">
              <w:rPr>
                <w:rFonts w:ascii="Times New Roman" w:hAnsi="Times New Roman" w:cs="Times New Roman"/>
              </w:rPr>
              <w:br/>
            </w:r>
            <w:r w:rsidRPr="00CB2EC4">
              <w:rPr>
                <w:rFonts w:ascii="Times New Roman" w:hAnsi="Times New Roman" w:cs="Times New Roman"/>
              </w:rPr>
              <w:br/>
              <w:t>Basis:</w:t>
            </w:r>
            <w:r w:rsidRPr="00CB2EC4">
              <w:rPr>
                <w:rFonts w:ascii="Times New Roman" w:hAnsi="Times New Roman" w:cs="Times New Roman"/>
              </w:rPr>
              <w:br/>
              <w:t>- Document Fragment 4 ("13 Transection of the Deep Uterine Vein") states: "If the rectouterine ligament is clamped and transected while the dissection of the deep uterine vein is incomplete, the deep uterine vein and the rectouterine ligament will be clamped together... This can lead to bleeding and radicality issues; the rectouterine ligament serves as a landmark to ensure the deep uterine vein is completely separated from the lateral rectal ligament."</w:t>
            </w:r>
            <w:r w:rsidRPr="00CB2EC4">
              <w:rPr>
                <w:rFonts w:ascii="Times New Roman" w:hAnsi="Times New Roman" w:cs="Times New Roman"/>
              </w:rPr>
              <w:br/>
              <w:t>- Fragment 4 (Figure 160 and description) emphasizes: "The rectouterine ligament helps identify the terminal position of the deep uterine vein, preventing accidental clamping of residual veins... During transection, the ligament acts as the deep boundary, guiding the operator to advance the dissection toward the rectouterine ligament."</w:t>
            </w:r>
            <w:r w:rsidRPr="00CB2EC4">
              <w:rPr>
                <w:rFonts w:ascii="Times New Roman" w:hAnsi="Times New Roman" w:cs="Times New Roman"/>
              </w:rPr>
              <w:br/>
              <w:t>- Fragment 5 ("3.1.2 There are also vessels dorsal to the deep uterine vein") adds: "The rectouterine ligament marks the location of the communicating branches between the deep uterine vein and the middle rectal vein, requiring careful separation at this point during surgery."</w:t>
            </w:r>
          </w:p>
        </w:tc>
        <w:tc>
          <w:tcPr>
            <w:tcW w:w="1152" w:type="dxa"/>
            <w:vAlign w:val="center"/>
          </w:tcPr>
          <w:p w14:paraId="2C9060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D868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3524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018B12" w14:textId="77777777">
        <w:tc>
          <w:tcPr>
            <w:tcW w:w="2160" w:type="dxa"/>
            <w:vAlign w:val="center"/>
          </w:tcPr>
          <w:p w14:paraId="7795607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8A3CA5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As an anatomical landmark, the rectouterine ligament indicates the attachment point and course of the uterine deep vein. During the transection of the uterine deep vein, it must first be completely dissected from this ligament to avoid residual vein, bleeding, or compromise of surgical radicality.  </w:t>
            </w:r>
            <w:r w:rsidRPr="00CB2EC4">
              <w:rPr>
                <w:rFonts w:ascii="Times New Roman" w:hAnsi="Times New Roman" w:cs="Times New Roman"/>
              </w:rPr>
              <w:br/>
            </w:r>
            <w:r w:rsidRPr="00CB2EC4">
              <w:rPr>
                <w:rFonts w:ascii="Times New Roman" w:hAnsi="Times New Roman" w:cs="Times New Roman"/>
              </w:rPr>
              <w:lastRenderedPageBreak/>
              <w:t xml:space="preserve">Basis:  </w:t>
            </w:r>
            <w:r w:rsidRPr="00CB2EC4">
              <w:rPr>
                <w:rFonts w:ascii="Times New Roman" w:hAnsi="Times New Roman" w:cs="Times New Roman"/>
              </w:rPr>
              <w:br/>
              <w:t xml:space="preserve">- Document excerpt 3 (topic: uterine deep vein dissection and ligament management) explicitly states that the uterine deep vein often adheres to the rectouterine ligament ("clamping and transecting the rectouterine/vaginal ligament before completely stripping the uterine deep vein from the rectal side ligament causes it [the uterine deep vein] to adhere to the rectal side ligament and remain"), and emphasizes that "the uterine deep vein must be completely dissected out", otherwise bleeding or cancer infiltration may occur.  </w:t>
            </w:r>
            <w:r w:rsidRPr="00CB2EC4">
              <w:rPr>
                <w:rFonts w:ascii="Times New Roman" w:hAnsi="Times New Roman" w:cs="Times New Roman"/>
              </w:rPr>
              <w:br/>
              <w:t xml:space="preserve">- Document excerpt 17 (topic: rectal side ligament anatomy and surgical differentiation) describes the rectouterine ligament as part of the supportive structure, with its position related to the uterine deep vein, serving as a key reference point for vein identification during surgery.  </w:t>
            </w:r>
            <w:r w:rsidRPr="00CB2EC4">
              <w:rPr>
                <w:rFonts w:ascii="Times New Roman" w:hAnsi="Times New Roman" w:cs="Times New Roman"/>
              </w:rPr>
              <w:br/>
              <w:t>- Document excerpt 23 (topic: rectal side space operation in cervical cancer surgery) mentions that separating the rectouterine ligament is part of the posterior dissection, facilitating exposure of the uterine deep vein area.</w:t>
            </w:r>
          </w:p>
        </w:tc>
        <w:tc>
          <w:tcPr>
            <w:tcW w:w="1152" w:type="dxa"/>
            <w:vAlign w:val="center"/>
          </w:tcPr>
          <w:p w14:paraId="7E9757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F49F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A2D6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D5FF33" w14:textId="77777777">
        <w:tc>
          <w:tcPr>
            <w:tcW w:w="2160" w:type="dxa"/>
            <w:vAlign w:val="center"/>
          </w:tcPr>
          <w:p w14:paraId="7141121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8610E4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significance of using the rectouterine ligament as an anatomical landmark during the dissection of the deep uterine vein is as follows:  </w:t>
            </w:r>
            <w:r w:rsidRPr="00CB2EC4">
              <w:rPr>
                <w:rFonts w:ascii="Times New Roman" w:hAnsi="Times New Roman" w:cs="Times New Roman"/>
              </w:rPr>
              <w:br/>
              <w:t xml:space="preserve">- It serves as a visual reference point to identify the location, course, and dissection boundary of the deep uterine vein, ensuring safe operation and avoiding inadvertent injury.  </w:t>
            </w:r>
            <w:r w:rsidRPr="00CB2EC4">
              <w:rPr>
                <w:rFonts w:ascii="Times New Roman" w:hAnsi="Times New Roman" w:cs="Times New Roman"/>
              </w:rPr>
              <w:br/>
              <w:t xml:space="preserve">- Specifically, during dissection of the rectouterine ligament, the anterior position of the deep uterine vein allows for clear visualization and surgical access. Dissection of the ligament must pause slightly dorsal </w:t>
            </w:r>
            <w:r w:rsidRPr="00CB2EC4">
              <w:rPr>
                <w:rFonts w:ascii="Times New Roman" w:hAnsi="Times New Roman" w:cs="Times New Roman"/>
              </w:rPr>
              <w:lastRenderedPageBreak/>
              <w:t xml:space="preserve">to the deep uterine vein... the lower margin of the deep uterine vein defines the dissection boundary.  </w:t>
            </w:r>
            <w:r w:rsidRPr="00CB2EC4">
              <w:rPr>
                <w:rFonts w:ascii="Times New Roman" w:hAnsi="Times New Roman" w:cs="Times New Roman"/>
              </w:rPr>
              <w:br/>
              <w:t xml:space="preserve">- During stripping of the deep uterine vein, complete dissection is required, and upon reaching the rectouterine ligament, a range sufficient to clamp with two forceps must be left on the ligament.  </w:t>
            </w:r>
            <w:r w:rsidRPr="00CB2EC4">
              <w:rPr>
                <w:rFonts w:ascii="Times New Roman" w:hAnsi="Times New Roman" w:cs="Times New Roman"/>
              </w:rPr>
              <w:br/>
              <w:t xml:space="preserve">- By forcefully pulling the uterus toward the left cephalad side, the free deep uterine vein can be seen passing through the rectouterine ligament and entering below the ureter.  </w:t>
            </w:r>
            <w:r w:rsidRPr="00CB2EC4">
              <w:rPr>
                <w:rFonts w:ascii="Times New Roman" w:hAnsi="Times New Roman" w:cs="Times New Roman"/>
              </w:rPr>
              <w:br/>
              <w:t xml:space="preserve">- Observing the right rectouterine ligament from the cephalad side... after separating the deep uterine vein, its entry into the uterus through the rectouterine ligament becomes visible.  </w:t>
            </w:r>
            <w:r w:rsidRPr="00CB2EC4">
              <w:rPr>
                <w:rFonts w:ascii="Times New Roman" w:hAnsi="Times New Roman" w:cs="Times New Roman"/>
              </w:rPr>
              <w:br/>
              <w:t>Thus, the rectouterine ligament provides a definitive anatomical reference to guide the dissection, cutting, and ligation of the deep uterine vein, ensuring the procedure is performed at the vein’s lower margin to prevent damage to surrounding structures such as the ureter or nerves.</w:t>
            </w:r>
          </w:p>
        </w:tc>
        <w:tc>
          <w:tcPr>
            <w:tcW w:w="1152" w:type="dxa"/>
            <w:vAlign w:val="center"/>
          </w:tcPr>
          <w:p w14:paraId="6E6D53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1D6E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B2E57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DB1C33" w14:textId="77777777">
        <w:tc>
          <w:tcPr>
            <w:tcW w:w="2160" w:type="dxa"/>
            <w:vAlign w:val="center"/>
          </w:tcPr>
          <w:p w14:paraId="6BAC3645"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8AAE0B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primary significance of the rectouterine ligament as an anatomical landmark in the dissection of the deep uterine vein is to aid in locating the course and attachment points of the deep uterine vein, ensuring safe separation and avoiding inadvertent injury to surrounding venous plexuses (such as the middle rectal vein) and neural structures (such as the pelvic nerve plexus).  </w:t>
            </w:r>
            <w:r w:rsidRPr="00CB2EC4">
              <w:rPr>
                <w:rFonts w:ascii="Times New Roman" w:hAnsi="Times New Roman" w:cs="Times New Roman"/>
              </w:rPr>
              <w:br/>
              <w:t xml:space="preserve">- Source Analysis:  </w:t>
            </w:r>
            <w:r w:rsidRPr="00CB2EC4">
              <w:rPr>
                <w:rFonts w:ascii="Times New Roman" w:hAnsi="Times New Roman" w:cs="Times New Roman"/>
              </w:rPr>
              <w:br/>
              <w:t xml:space="preserve">  - Knowledge Base Documents (Section on Deep Uterine Vein Dissection): Clearly describe the anatomical relationship between the rectouterine ligament and the deep uterine vein. For example, "the deep uterine vein is dissected from the lateral rectal </w:t>
            </w:r>
            <w:r w:rsidRPr="00CB2EC4">
              <w:rPr>
                <w:rFonts w:ascii="Times New Roman" w:hAnsi="Times New Roman" w:cs="Times New Roman"/>
              </w:rPr>
              <w:lastRenderedPageBreak/>
              <w:t xml:space="preserve">ligament" (Figures 160 and 161), with the ligament serving as a "landmark" because the deep uterine vein is often attached to the dorsal side of the rectouterine ligament (e.g., "many vessels remain dorsal to the deep uterine vein, and the middle rectal vein lies even deeper"). The documents emphasize that the ligament serves as a guide for dissection (e.g., "using Kelly forceps to dissect the deep uterine vein from the lateral rectal ligament"), preventing bleeding or residual cancer due to incomplete dissection (Figure 160 describes the risks of incomplete dissection).  </w:t>
            </w:r>
            <w:r w:rsidRPr="00CB2EC4">
              <w:rPr>
                <w:rFonts w:ascii="Times New Roman" w:hAnsi="Times New Roman" w:cs="Times New Roman"/>
              </w:rPr>
              <w:br/>
              <w:t xml:space="preserve">  - Web Search Results: No direct mention of the rectouterine ligament or deep uterine vein dissection; no relevant information found.  </w:t>
            </w:r>
            <w:r w:rsidRPr="00CB2EC4">
              <w:rPr>
                <w:rFonts w:ascii="Times New Roman" w:hAnsi="Times New Roman" w:cs="Times New Roman"/>
              </w:rPr>
              <w:br/>
              <w:t xml:space="preserve">- Comprehensive Conclusion: The knowledge base documents detail the ligament as a critical landmark for ensuring precise dissection; no supplementary information from web searches, but existing information is sufficient.  </w:t>
            </w:r>
            <w:r w:rsidRPr="00CB2EC4">
              <w:rPr>
                <w:rFonts w:ascii="Times New Roman" w:hAnsi="Times New Roman" w:cs="Times New Roman"/>
              </w:rPr>
              <w:br/>
              <w:t>Final Answer: The rectouterine ligament serves as an anatomical landmark for identifying the attachment site of the deep uterine vein (especially dorsally), guiding safe dissection (avoiding injury to the middle rectal vein and pelvic nerve plexus), and ensuring complete resection; Source: Knowledge Base Documents (primary).</w:t>
            </w:r>
          </w:p>
        </w:tc>
        <w:tc>
          <w:tcPr>
            <w:tcW w:w="1152" w:type="dxa"/>
            <w:vAlign w:val="center"/>
          </w:tcPr>
          <w:p w14:paraId="5E7C8D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B439A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9980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13AB07" w14:textId="77777777">
        <w:tc>
          <w:tcPr>
            <w:tcW w:w="2160" w:type="dxa"/>
            <w:vAlign w:val="center"/>
          </w:tcPr>
          <w:p w14:paraId="72D5CCC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F1D0E9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As an anatomical landmark, the rectouterine ligament aids in localizing and completely dissecting the uterine deep vein during its transection, thereby preventing the risks of bleeding or residual cancer associated with incomplete stripping.  </w:t>
            </w:r>
            <w:r w:rsidRPr="00CB2EC4">
              <w:rPr>
                <w:rFonts w:ascii="Times New Roman" w:hAnsi="Times New Roman" w:cs="Times New Roman"/>
              </w:rPr>
              <w:br/>
              <w:t xml:space="preserve">Evidence:  </w:t>
            </w:r>
            <w:r w:rsidRPr="00CB2EC4">
              <w:rPr>
                <w:rFonts w:ascii="Times New Roman" w:hAnsi="Times New Roman" w:cs="Times New Roman"/>
              </w:rPr>
              <w:br/>
              <w:t xml:space="preserve">- Document excerpt 5 states: “The dissection of the uterine deep vein... involves using Kelly forceps to </w:t>
            </w:r>
            <w:r w:rsidRPr="00CB2EC4">
              <w:rPr>
                <w:rFonts w:ascii="Times New Roman" w:hAnsi="Times New Roman" w:cs="Times New Roman"/>
              </w:rPr>
              <w:lastRenderedPageBreak/>
              <w:t xml:space="preserve">separate the uterine deep vein from the rectolateral ligament,” with the rectouterine ligament being an adjacent structure (excerpt 5).  </w:t>
            </w:r>
            <w:r w:rsidRPr="00CB2EC4">
              <w:rPr>
                <w:rFonts w:ascii="Times New Roman" w:hAnsi="Times New Roman" w:cs="Times New Roman"/>
              </w:rPr>
              <w:br/>
              <w:t xml:space="preserve">- Excerpt 5 further emphasizes: “Clipping and transecting the rectouterine/vaginal ligament without fully stripping the uterine deep vein from the rectolateral ligament... results in the uterine deep vein remaining attached to the rectolateral ligament,” which can cause bleeding and compromise radicality (excerpt 5).  </w:t>
            </w:r>
            <w:r w:rsidRPr="00CB2EC4">
              <w:rPr>
                <w:rFonts w:ascii="Times New Roman" w:hAnsi="Times New Roman" w:cs="Times New Roman"/>
              </w:rPr>
              <w:br/>
              <w:t>- Therefore, the rectouterine ligament serves as a landmark that must only be cut after complete separation of the uterine deep vein to ensure its thorough exposure and resection (excerpts 5, 16).</w:t>
            </w:r>
          </w:p>
        </w:tc>
        <w:tc>
          <w:tcPr>
            <w:tcW w:w="1152" w:type="dxa"/>
            <w:vAlign w:val="center"/>
          </w:tcPr>
          <w:p w14:paraId="68C652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B5080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5168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3D981F" w14:textId="77777777">
        <w:tc>
          <w:tcPr>
            <w:tcW w:w="2160" w:type="dxa"/>
            <w:vAlign w:val="center"/>
          </w:tcPr>
          <w:p w14:paraId="2D94EF8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5B4F809" w14:textId="77777777" w:rsidR="00922249" w:rsidRPr="00CB2EC4" w:rsidRDefault="003011D5">
            <w:pPr>
              <w:rPr>
                <w:rFonts w:ascii="Times New Roman" w:hAnsi="Times New Roman" w:cs="Times New Roman"/>
              </w:rPr>
            </w:pPr>
            <w:r w:rsidRPr="00CB2EC4">
              <w:rPr>
                <w:rFonts w:ascii="Times New Roman" w:hAnsi="Times New Roman" w:cs="Times New Roman"/>
              </w:rPr>
              <w:t>The significance of the rectouterine ligament as an anatomical landmark lies in:</w:t>
            </w:r>
            <w:r w:rsidRPr="00CB2EC4">
              <w:rPr>
                <w:rFonts w:ascii="Times New Roman" w:hAnsi="Times New Roman" w:cs="Times New Roman"/>
              </w:rPr>
              <w:br/>
            </w:r>
            <w:r w:rsidRPr="00CB2EC4">
              <w:rPr>
                <w:rFonts w:ascii="Times New Roman" w:hAnsi="Times New Roman" w:cs="Times New Roman"/>
              </w:rPr>
              <w:br/>
              <w:t>1. **Positioning Reference**: The rectouterine ligament is located between the posterior aspect of the uterine cervix and the anterior wall of the rectum. Its medial attachment point is adjacent to the area where the deep uterine vein drains into the inferior vena cava, serving as a reliable posterior anatomical landmark for locating and confirming the position of the deep uterine vein.</w:t>
            </w:r>
            <w:r w:rsidRPr="00CB2EC4">
              <w:rPr>
                <w:rFonts w:ascii="Times New Roman" w:hAnsi="Times New Roman" w:cs="Times New Roman"/>
              </w:rPr>
              <w:br/>
            </w:r>
            <w:r w:rsidRPr="00CB2EC4">
              <w:rPr>
                <w:rFonts w:ascii="Times New Roman" w:hAnsi="Times New Roman" w:cs="Times New Roman"/>
              </w:rPr>
              <w:br/>
              <w:t>2. **Surgical Navigation**: During the dissection of the deep uterine vein, identifying and retracting the rectouterine ligament helps expose the surgical field and clarify the operative plane (especially in the retroperitoneal space). It guides the surgeon to dissect laterally and deeply along the correct plane, avoiding deviation into the rectal or ureteral regions.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3. **Risk Mitigation**:</w:t>
            </w:r>
            <w:r w:rsidRPr="00CB2EC4">
              <w:rPr>
                <w:rFonts w:ascii="Times New Roman" w:hAnsi="Times New Roman" w:cs="Times New Roman"/>
              </w:rPr>
              <w:br/>
              <w:t xml:space="preserve">   - **Rectal Protection**: Operating close to the rectouterine ligament reduces the likelihood of accidental incisions toward the rectum, as this ligament serves as a natural barrier between the uterus and rectum.</w:t>
            </w:r>
            <w:r w:rsidRPr="00CB2EC4">
              <w:rPr>
                <w:rFonts w:ascii="Times New Roman" w:hAnsi="Times New Roman" w:cs="Times New Roman"/>
              </w:rPr>
              <w:br/>
              <w:t xml:space="preserve">   - **Identification of Variant Vessels**: The ligament is often accompanied by abundant venous plexuses (e.g., the uterosacral venous plexus), whose course is closely related to the deep uterine vein. Recognizing the ligament helps anticipate and ligate potential variant or communicating vessels, thereby reducing intraoperative bleeding risks.</w:t>
            </w:r>
            <w:r w:rsidRPr="00CB2EC4">
              <w:rPr>
                <w:rFonts w:ascii="Times New Roman" w:hAnsi="Times New Roman" w:cs="Times New Roman"/>
              </w:rPr>
              <w:br/>
            </w:r>
            <w:r w:rsidRPr="00CB2EC4">
              <w:rPr>
                <w:rFonts w:ascii="Times New Roman" w:hAnsi="Times New Roman" w:cs="Times New Roman"/>
              </w:rPr>
              <w:br/>
              <w:t>4. **Layer Confirmation**: In radical hysterectomy, transecting the rectouterine ligament is a critical step to enter the pararectal space. This operative plane is adjacent to or overlaps with the main operative plane for handling the deep uterine vein. Therefore, the presence and transected state of this ligament serve as important indicators of correct operative depth and layer.</w:t>
            </w:r>
            <w:r w:rsidRPr="00CB2EC4">
              <w:rPr>
                <w:rFonts w:ascii="Times New Roman" w:hAnsi="Times New Roman" w:cs="Times New Roman"/>
              </w:rPr>
              <w:br/>
            </w:r>
            <w:r w:rsidRPr="00CB2EC4">
              <w:rPr>
                <w:rFonts w:ascii="Times New Roman" w:hAnsi="Times New Roman" w:cs="Times New Roman"/>
              </w:rPr>
              <w:br/>
              <w:t>In summary, during the dissection of the deep uterine vein, the rectouterine ligament primarily functions as a posterior positioning landmark, a guide for surgical access, and a key anatomical reference point for protecting adjacent organs (e.g., the rectum).</w:t>
            </w:r>
          </w:p>
        </w:tc>
        <w:tc>
          <w:tcPr>
            <w:tcW w:w="1152" w:type="dxa"/>
            <w:vAlign w:val="center"/>
          </w:tcPr>
          <w:p w14:paraId="4A9C58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B056B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9F279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AD56EC4" w14:textId="77777777">
        <w:tc>
          <w:tcPr>
            <w:tcW w:w="2160" w:type="dxa"/>
            <w:vAlign w:val="center"/>
          </w:tcPr>
          <w:p w14:paraId="3401E19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73808F0" w14:textId="77777777" w:rsidR="00922249" w:rsidRPr="00CB2EC4" w:rsidRDefault="003011D5">
            <w:pPr>
              <w:rPr>
                <w:rFonts w:ascii="Times New Roman" w:hAnsi="Times New Roman" w:cs="Times New Roman"/>
              </w:rPr>
            </w:pPr>
            <w:r w:rsidRPr="00CB2EC4">
              <w:rPr>
                <w:rFonts w:ascii="Times New Roman" w:hAnsi="Times New Roman" w:cs="Times New Roman"/>
              </w:rPr>
              <w:t>During the operation of cutting the deep uterine vein, what is the significance of the rectouterine ligament as an anatomical landmark?</w:t>
            </w:r>
            <w:r w:rsidRPr="00CB2EC4">
              <w:rPr>
                <w:rFonts w:ascii="Times New Roman" w:hAnsi="Times New Roman" w:cs="Times New Roman"/>
              </w:rPr>
              <w:br/>
            </w:r>
            <w:r w:rsidRPr="00CB2EC4">
              <w:rPr>
                <w:rFonts w:ascii="Times New Roman" w:hAnsi="Times New Roman" w:cs="Times New Roman"/>
              </w:rPr>
              <w:br/>
              <w:t xml:space="preserve">The rectouterine ligament serves as a key anatomical landmark in the operation of cutting the deep uterine </w:t>
            </w:r>
            <w:r w:rsidRPr="00CB2EC4">
              <w:rPr>
                <w:rFonts w:ascii="Times New Roman" w:hAnsi="Times New Roman" w:cs="Times New Roman"/>
              </w:rPr>
              <w:lastRenderedPageBreak/>
              <w:t>vein:</w:t>
            </w:r>
            <w:r w:rsidRPr="00CB2EC4">
              <w:rPr>
                <w:rFonts w:ascii="Times New Roman" w:hAnsi="Times New Roman" w:cs="Times New Roman"/>
              </w:rPr>
              <w:br/>
              <w:t>- **Localization and prevention of residue**: The documentation states that if the deep uterine vein is not completely dissected from the rectouterine ligament (including the rectouterine ligament) before cutting the ligament, the vein may remain attached to the ligament, leading to bleeding and compromising the radicality of cancer surgery (see [HyDE similarity: 0.554]). The rectouterine ligament helps identify the attachment point of the deep uterine vein, ensuring its complete mobilization.</w:t>
            </w:r>
            <w:r w:rsidRPr="00CB2EC4">
              <w:rPr>
                <w:rFonts w:ascii="Times New Roman" w:hAnsi="Times New Roman" w:cs="Times New Roman"/>
              </w:rPr>
              <w:br/>
              <w:t>- **Guidance for safe procedure**: Complete dissection of the deep uterine vein requires using the rectouterine ligament as a reference point to avoid premature ligament division; otherwise, venous congestion or cancer cell dissemination may occur (see [HyDE similarity: 0.554]). Its significance lies in providing anatomical orientation to ensure thorough separation and ligation of the vein, reducing complications.</w:t>
            </w:r>
            <w:r w:rsidRPr="00CB2EC4">
              <w:rPr>
                <w:rFonts w:ascii="Times New Roman" w:hAnsi="Times New Roman" w:cs="Times New Roman"/>
              </w:rPr>
              <w:br/>
              <w:t>In summary, the rectouterine ligament as a landmark ensures complete dissection of the deep uterine vein, safeguarding the radicality and safety of the surgery.</w:t>
            </w:r>
          </w:p>
        </w:tc>
        <w:tc>
          <w:tcPr>
            <w:tcW w:w="1152" w:type="dxa"/>
            <w:vAlign w:val="center"/>
          </w:tcPr>
          <w:p w14:paraId="4BBBCA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E4295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7BE3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21A04E2" w14:textId="77777777">
        <w:tc>
          <w:tcPr>
            <w:tcW w:w="2160" w:type="dxa"/>
            <w:vAlign w:val="center"/>
          </w:tcPr>
          <w:p w14:paraId="2907272D"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276B840" w14:textId="77777777" w:rsidR="00922249" w:rsidRPr="00CB2EC4" w:rsidRDefault="003011D5">
            <w:pPr>
              <w:rPr>
                <w:rFonts w:ascii="Times New Roman" w:hAnsi="Times New Roman" w:cs="Times New Roman"/>
              </w:rPr>
            </w:pPr>
            <w:r w:rsidRPr="00CB2EC4">
              <w:rPr>
                <w:rFonts w:ascii="Times New Roman" w:hAnsi="Times New Roman" w:cs="Times New Roman"/>
              </w:rPr>
              <w:t>during the transection of the deep uterine vein, the rectouterine ligament serves as a key anatomical landmark for the following reasons:</w:t>
            </w:r>
            <w:r w:rsidRPr="00CB2EC4">
              <w:rPr>
                <w:rFonts w:ascii="Times New Roman" w:hAnsi="Times New Roman" w:cs="Times New Roman"/>
              </w:rPr>
              <w:br/>
            </w:r>
            <w:r w:rsidRPr="00CB2EC4">
              <w:rPr>
                <w:rFonts w:ascii="Times New Roman" w:hAnsi="Times New Roman" w:cs="Times New Roman"/>
              </w:rPr>
              <w:br/>
              <w:t xml:space="preserve">- **Anatomical landmark significance**: The rectouterine ligament is a critical anatomical landmark when transecting the deep uterine vein, used to locate and avoid residual vein segments. The deep uterine vein is often attached to the rectouterine ligament (Fragment 6, Figure 160), which indicates the course and attachment point of the vein. Complete dissection </w:t>
            </w:r>
            <w:r w:rsidRPr="00CB2EC4">
              <w:rPr>
                <w:rFonts w:ascii="Times New Roman" w:hAnsi="Times New Roman" w:cs="Times New Roman"/>
              </w:rPr>
              <w:lastRenderedPageBreak/>
              <w:t>of the deep uterine vein from the ligament is a necessary step to ensure radical resection and prevent bleeding (Fragment 6).</w:t>
            </w:r>
            <w:r w:rsidRPr="00CB2EC4">
              <w:rPr>
                <w:rFonts w:ascii="Times New Roman" w:hAnsi="Times New Roman" w:cs="Times New Roman"/>
              </w:rPr>
              <w:br/>
            </w:r>
            <w:r w:rsidRPr="00CB2EC4">
              <w:rPr>
                <w:rFonts w:ascii="Times New Roman" w:hAnsi="Times New Roman" w:cs="Times New Roman"/>
              </w:rPr>
              <w:br/>
              <w:t>- **Guiding safe procedure**: It helps the surgeon identify the depth and position of the deep uterine vein (slightly deeper than the vein itself), avoiding injury to the inferior gluteal and internal pudendal veins or the sacral venous plexus during transection (Fragments 7 and 16). For example, if the ligament is cut without complete dissection, the vein may remain, increasing the risk of cancer recurrence (Fragment 6).</w:t>
            </w:r>
            <w:r w:rsidRPr="00CB2EC4">
              <w:rPr>
                <w:rFonts w:ascii="Times New Roman" w:hAnsi="Times New Roman" w:cs="Times New Roman"/>
              </w:rPr>
              <w:br/>
            </w:r>
            <w:r w:rsidRPr="00CB2EC4">
              <w:rPr>
                <w:rFonts w:ascii="Times New Roman" w:hAnsi="Times New Roman" w:cs="Times New Roman"/>
              </w:rPr>
              <w:br/>
              <w:t>- **Role in nerve-sparing surgery**: The rectouterine ligament is adjacent to the pelvic nerve plexus and serves as a landmark to assist in preserving nerve branches (Fragment 16).</w:t>
            </w:r>
            <w:r w:rsidRPr="00CB2EC4">
              <w:rPr>
                <w:rFonts w:ascii="Times New Roman" w:hAnsi="Times New Roman" w:cs="Times New Roman"/>
              </w:rPr>
              <w:br/>
            </w:r>
            <w:r w:rsidRPr="00CB2EC4">
              <w:rPr>
                <w:rFonts w:ascii="Times New Roman" w:hAnsi="Times New Roman" w:cs="Times New Roman"/>
              </w:rPr>
              <w:br/>
              <w:t>No other landmarks are mentioned in the documents; therefore, this is the core significance.</w:t>
            </w:r>
          </w:p>
        </w:tc>
        <w:tc>
          <w:tcPr>
            <w:tcW w:w="1152" w:type="dxa"/>
            <w:vAlign w:val="center"/>
          </w:tcPr>
          <w:p w14:paraId="6F872C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FD5D9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06CE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D2D3D71" w14:textId="77777777">
        <w:tc>
          <w:tcPr>
            <w:tcW w:w="2160" w:type="dxa"/>
            <w:vAlign w:val="center"/>
          </w:tcPr>
          <w:p w14:paraId="2B3A29FE"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169D195"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significance of the rectouterine ligament as a landmark during the division of the deep uterine vein</w:t>
            </w:r>
            <w:r w:rsidRPr="00CB2EC4">
              <w:rPr>
                <w:rFonts w:ascii="Times New Roman" w:hAnsi="Times New Roman" w:cs="Times New Roman"/>
              </w:rPr>
              <w:br/>
            </w:r>
            <w:r w:rsidRPr="00CB2EC4">
              <w:rPr>
                <w:rFonts w:ascii="Times New Roman" w:hAnsi="Times New Roman" w:cs="Times New Roman"/>
              </w:rPr>
              <w:br/>
              <w:t>Answer: The rectouterine ligament serves as a key landmark for locating the deep uterine vein. The deep uterine vein is attached to the rectouterine ligament and must be completely dissected from it before safely dividing the vein; failure to do so may result in residual vein on the ligament, increasing the risk of bleeding and cancer recurrence.</w:t>
            </w:r>
            <w:r w:rsidRPr="00CB2EC4">
              <w:rPr>
                <w:rFonts w:ascii="Times New Roman" w:hAnsi="Times New Roman" w:cs="Times New Roman"/>
              </w:rPr>
              <w:br/>
              <w:t>- Evidence:</w:t>
            </w:r>
            <w:r w:rsidRPr="00CB2EC4">
              <w:rPr>
                <w:rFonts w:ascii="Times New Roman" w:hAnsi="Times New Roman" w:cs="Times New Roman"/>
              </w:rPr>
              <w:br/>
              <w:t xml:space="preserve">  &gt; "Figure 160: Cutting the rectouterine ligament without completely dissecting the deep uterine vein </w:t>
            </w:r>
            <w:r w:rsidRPr="00CB2EC4">
              <w:rPr>
                <w:rFonts w:ascii="Times New Roman" w:hAnsi="Times New Roman" w:cs="Times New Roman"/>
              </w:rPr>
              <w:lastRenderedPageBreak/>
              <w:t>will leave venous tissue on the ligament, increasing the risk of hemorrhage and cancer residue."</w:t>
            </w:r>
            <w:r w:rsidRPr="00CB2EC4">
              <w:rPr>
                <w:rFonts w:ascii="Times New Roman" w:hAnsi="Times New Roman" w:cs="Times New Roman"/>
              </w:rPr>
              <w:br/>
              <w:t xml:space="preserve">  &gt; "11.5: After separating the rectouterine ligament, the course of the deep uterine vein can be exposed."</w:t>
            </w:r>
            <w:r w:rsidRPr="00CB2EC4">
              <w:rPr>
                <w:rFonts w:ascii="Times New Roman" w:hAnsi="Times New Roman" w:cs="Times New Roman"/>
              </w:rPr>
              <w:br/>
              <w:t xml:space="preserve">  &gt; "Figure 121: The deep uterine vein is located below the ureter and must be freed from the rectouterine ligament before division."</w:t>
            </w:r>
          </w:p>
        </w:tc>
        <w:tc>
          <w:tcPr>
            <w:tcW w:w="1152" w:type="dxa"/>
            <w:vAlign w:val="center"/>
          </w:tcPr>
          <w:p w14:paraId="039A38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E873A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CD25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D8039B" w14:textId="77777777">
        <w:tc>
          <w:tcPr>
            <w:tcW w:w="2160" w:type="dxa"/>
            <w:vAlign w:val="center"/>
          </w:tcPr>
          <w:p w14:paraId="0B9AEEF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1CE6E8B" w14:textId="77777777" w:rsidR="00922249" w:rsidRPr="00CB2EC4" w:rsidRDefault="003011D5">
            <w:pPr>
              <w:rPr>
                <w:rFonts w:ascii="Times New Roman" w:hAnsi="Times New Roman" w:cs="Times New Roman"/>
              </w:rPr>
            </w:pPr>
            <w:r w:rsidRPr="00CB2EC4">
              <w:rPr>
                <w:rFonts w:ascii="Times New Roman" w:hAnsi="Times New Roman" w:cs="Times New Roman"/>
              </w:rPr>
              <w:t>the rectouterine ligament serves as an anatomical landmark during the transection of the deep uterine veins, helping to identify and isolate these veins while minimizing the risk of injury to surrounding structures such as the ureter and rectum.</w:t>
            </w:r>
          </w:p>
        </w:tc>
        <w:tc>
          <w:tcPr>
            <w:tcW w:w="1152" w:type="dxa"/>
            <w:vAlign w:val="center"/>
          </w:tcPr>
          <w:p w14:paraId="7773AB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B79DD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D25B6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B8BFEDB" w14:textId="77777777">
        <w:tc>
          <w:tcPr>
            <w:tcW w:w="2160" w:type="dxa"/>
            <w:vAlign w:val="center"/>
          </w:tcPr>
          <w:p w14:paraId="3C0F0B6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8345950" w14:textId="77777777" w:rsidR="00922249" w:rsidRPr="00CB2EC4" w:rsidRDefault="003011D5">
            <w:pPr>
              <w:rPr>
                <w:rFonts w:ascii="Times New Roman" w:hAnsi="Times New Roman" w:cs="Times New Roman"/>
              </w:rPr>
            </w:pPr>
            <w:r w:rsidRPr="00CB2EC4">
              <w:rPr>
                <w:rFonts w:ascii="Times New Roman" w:hAnsi="Times New Roman" w:cs="Times New Roman"/>
              </w:rPr>
              <w:t>as an anatomical landmark, the rectouterine ligament plays a role in localization and guidance during the incision of the uterine deep vein. it helps identify the attachment point of the uterine deep vein, avoids accidental injury to surrounding venous plexuses (such as the middle rectal vein or the sacral venous plexus), and ensures precise dissection to preserve neural structures.</w:t>
            </w:r>
            <w:r w:rsidRPr="00CB2EC4">
              <w:rPr>
                <w:rFonts w:ascii="Times New Roman" w:hAnsi="Times New Roman" w:cs="Times New Roman"/>
              </w:rPr>
              <w:br/>
            </w:r>
            <w:r w:rsidRPr="00CB2EC4">
              <w:rPr>
                <w:rFonts w:ascii="Times New Roman" w:hAnsi="Times New Roman" w:cs="Times New Roman"/>
              </w:rPr>
              <w:br/>
              <w:t>based on document details:</w:t>
            </w:r>
            <w:r w:rsidRPr="00CB2EC4">
              <w:rPr>
                <w:rFonts w:ascii="Times New Roman" w:hAnsi="Times New Roman" w:cs="Times New Roman"/>
              </w:rPr>
              <w:br/>
              <w:t>- in the [similarity: 0.535] section: “the uterine deep vein attaches to the lateral rectouterine ligament... dissecting the rectouterine ligament can expose the uterine deep vein.”</w:t>
            </w:r>
            <w:r w:rsidRPr="00CB2EC4">
              <w:rPr>
                <w:rFonts w:ascii="Times New Roman" w:hAnsi="Times New Roman" w:cs="Times New Roman"/>
              </w:rPr>
              <w:br/>
              <w:t>- in the [similarity: 0.548] section: “the uterine deep vein is near the rectouterine ligament... serving as a landmark, it aids in identifying the vein’s position intraoperatively to prevent unexpected bleeding.”</w:t>
            </w:r>
            <w:r w:rsidRPr="00CB2EC4">
              <w:rPr>
                <w:rFonts w:ascii="Times New Roman" w:hAnsi="Times New Roman" w:cs="Times New Roman"/>
              </w:rPr>
              <w:br/>
              <w:t>- in the [similarity: 0.531] section: “when incising the uterine deep vein, the rectouterine ligament is a key reference point to avoid damaging the inferior gluteal-</w:t>
            </w:r>
            <w:r w:rsidRPr="00CB2EC4">
              <w:rPr>
                <w:rFonts w:ascii="Times New Roman" w:hAnsi="Times New Roman" w:cs="Times New Roman"/>
              </w:rPr>
              <w:lastRenderedPageBreak/>
              <w:t>pudendal common trunk or the pelvic plexus.”</w:t>
            </w:r>
            <w:r w:rsidRPr="00CB2EC4">
              <w:rPr>
                <w:rFonts w:ascii="Times New Roman" w:hAnsi="Times New Roman" w:cs="Times New Roman"/>
              </w:rPr>
              <w:br/>
            </w:r>
            <w:r w:rsidRPr="00CB2EC4">
              <w:rPr>
                <w:rFonts w:ascii="Times New Roman" w:hAnsi="Times New Roman" w:cs="Times New Roman"/>
              </w:rPr>
              <w:br/>
              <w:t>in summary, the rectouterine ligament as an anatomical landmark ensures that surgery on the uterine deep vein is performed safely and accurately, reducing the risk of complications.</w:t>
            </w:r>
          </w:p>
        </w:tc>
        <w:tc>
          <w:tcPr>
            <w:tcW w:w="1152" w:type="dxa"/>
            <w:vAlign w:val="center"/>
          </w:tcPr>
          <w:p w14:paraId="7B531A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1BED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6E1E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A0D353" w14:textId="77777777">
        <w:tc>
          <w:tcPr>
            <w:tcW w:w="2160" w:type="dxa"/>
            <w:vAlign w:val="center"/>
          </w:tcPr>
          <w:p w14:paraId="34BCDD78"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C890A20" w14:textId="77777777" w:rsidR="00922249" w:rsidRPr="00CB2EC4" w:rsidRDefault="003011D5">
            <w:pPr>
              <w:rPr>
                <w:rFonts w:ascii="Times New Roman" w:hAnsi="Times New Roman" w:cs="Times New Roman"/>
              </w:rPr>
            </w:pPr>
            <w:r w:rsidRPr="00CB2EC4">
              <w:rPr>
                <w:rFonts w:ascii="Times New Roman" w:hAnsi="Times New Roman" w:cs="Times New Roman"/>
              </w:rPr>
              <w:t>when performing the incision of the deep uterine vein, what is the significance of the rectouterine ligament as an anatomical landmark?</w:t>
            </w:r>
            <w:r w:rsidRPr="00CB2EC4">
              <w:rPr>
                <w:rFonts w:ascii="Times New Roman" w:hAnsi="Times New Roman" w:cs="Times New Roman"/>
              </w:rPr>
              <w:br/>
            </w:r>
            <w:r w:rsidRPr="00CB2EC4">
              <w:rPr>
                <w:rFonts w:ascii="Times New Roman" w:hAnsi="Times New Roman" w:cs="Times New Roman"/>
              </w:rPr>
              <w:br/>
              <w:t>The knowledge base cannot find an answer.</w:t>
            </w:r>
            <w:r w:rsidRPr="00CB2EC4">
              <w:rPr>
                <w:rFonts w:ascii="Times New Roman" w:hAnsi="Times New Roman" w:cs="Times New Roman"/>
              </w:rPr>
              <w:br/>
              <w:t>- Although the context information repeatedly mentions the deep uterine vein (e.g., document fragments 1, 2, 5, and 21) and the rectouterine ligament (e.g., document fragments 11 and 18), it does not explicitly describe the specific significance of the rectouterine ligament as an anatomical landmark during the incision of the deep uterine vein (such as for localization, navigation, or avoiding injury). Therefore, no relevant information can be found from the provided documents.</w:t>
            </w:r>
          </w:p>
        </w:tc>
        <w:tc>
          <w:tcPr>
            <w:tcW w:w="1152" w:type="dxa"/>
            <w:vAlign w:val="center"/>
          </w:tcPr>
          <w:p w14:paraId="40565D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C3C4C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055A4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450EAC6" w14:textId="77777777">
        <w:tc>
          <w:tcPr>
            <w:tcW w:w="2160" w:type="dxa"/>
            <w:vAlign w:val="center"/>
          </w:tcPr>
          <w:p w14:paraId="24D7D21F"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6A4C73B" w14:textId="77777777" w:rsidR="00922249" w:rsidRPr="00CB2EC4" w:rsidRDefault="003011D5">
            <w:pPr>
              <w:rPr>
                <w:rFonts w:ascii="Times New Roman" w:hAnsi="Times New Roman" w:cs="Times New Roman"/>
              </w:rPr>
            </w:pPr>
            <w:r w:rsidRPr="00CB2EC4">
              <w:rPr>
                <w:rFonts w:ascii="Times New Roman" w:hAnsi="Times New Roman" w:cs="Times New Roman"/>
              </w:rPr>
              <w:t>The significance of the rectouterine ligament as an anatomical landmark lies in indicating the location and course of the deep uterine vein, aiding in the complete dissection of the deep uterine vein during surgery to avoid clamping it together with the ligament, thereby reducing the risk of accidental bleeding and residual cancer.</w:t>
            </w:r>
            <w:r w:rsidRPr="00CB2EC4">
              <w:rPr>
                <w:rFonts w:ascii="Times New Roman" w:hAnsi="Times New Roman" w:cs="Times New Roman"/>
              </w:rPr>
              <w:br/>
            </w:r>
            <w:r w:rsidRPr="00CB2EC4">
              <w:rPr>
                <w:rFonts w:ascii="Times New Roman" w:hAnsi="Times New Roman" w:cs="Times New Roman"/>
              </w:rPr>
              <w:br/>
              <w:t xml:space="preserve">Explanation:  </w:t>
            </w:r>
            <w:r w:rsidRPr="00CB2EC4">
              <w:rPr>
                <w:rFonts w:ascii="Times New Roman" w:hAnsi="Times New Roman" w:cs="Times New Roman"/>
              </w:rPr>
              <w:br/>
              <w:t xml:space="preserve">- During the division of the rectouterine ligament, the deep uterine vein anterior to it can be clearly exposed, which is a key surgical technique.  </w:t>
            </w:r>
            <w:r w:rsidRPr="00CB2EC4">
              <w:rPr>
                <w:rFonts w:ascii="Times New Roman" w:hAnsi="Times New Roman" w:cs="Times New Roman"/>
              </w:rPr>
              <w:br/>
            </w:r>
            <w:r w:rsidRPr="00CB2EC4">
              <w:rPr>
                <w:rFonts w:ascii="Times New Roman" w:hAnsi="Times New Roman" w:cs="Times New Roman"/>
              </w:rPr>
              <w:lastRenderedPageBreak/>
              <w:t xml:space="preserve">- The transition point of the deep uterine vein to the dorsal side of the rectovaginal ligament is the target anatomical location.  </w:t>
            </w:r>
            <w:r w:rsidRPr="00CB2EC4">
              <w:rPr>
                <w:rFonts w:ascii="Times New Roman" w:hAnsi="Times New Roman" w:cs="Times New Roman"/>
              </w:rPr>
              <w:br/>
              <w:t xml:space="preserve">- The dissection of the deep uterine vein starting from the rectouterine ligament must be thorough.  </w:t>
            </w:r>
            <w:r w:rsidRPr="00CB2EC4">
              <w:rPr>
                <w:rFonts w:ascii="Times New Roman" w:hAnsi="Times New Roman" w:cs="Times New Roman"/>
              </w:rPr>
              <w:br/>
              <w:t xml:space="preserve">- If the deep uterine vein is not completely dissected before clamping and dividing the rectouterine ligament, the vein may be clamped together with the ligament.  </w:t>
            </w:r>
            <w:r w:rsidRPr="00CB2EC4">
              <w:rPr>
                <w:rFonts w:ascii="Times New Roman" w:hAnsi="Times New Roman" w:cs="Times New Roman"/>
              </w:rPr>
              <w:br/>
              <w:t xml:space="preserve">- This may lead to venous rupture or bleeding from suture needle holes (see Figure 160 for an example).  </w:t>
            </w:r>
            <w:r w:rsidRPr="00CB2EC4">
              <w:rPr>
                <w:rFonts w:ascii="Times New Roman" w:hAnsi="Times New Roman" w:cs="Times New Roman"/>
              </w:rPr>
              <w:br/>
              <w:t>- Therefore, the rectouterine ligament serves as a critical landmark, guiding surgeons to ensure complete dissection of the deep uterine vein before its division, particularly in nerve-sparing surgeries, helping to locate and protect deep vascular structures (such as the middle vesical vein) and neural structures.</w:t>
            </w:r>
          </w:p>
        </w:tc>
        <w:tc>
          <w:tcPr>
            <w:tcW w:w="1152" w:type="dxa"/>
            <w:vAlign w:val="center"/>
          </w:tcPr>
          <w:p w14:paraId="7A7BDF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344D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7BA4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9E8381" w14:textId="77777777">
        <w:tc>
          <w:tcPr>
            <w:tcW w:w="2160" w:type="dxa"/>
            <w:vAlign w:val="center"/>
          </w:tcPr>
          <w:p w14:paraId="3F4B9149"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11171D0" w14:textId="77777777" w:rsidR="00922249" w:rsidRPr="00CB2EC4" w:rsidRDefault="003011D5">
            <w:pPr>
              <w:rPr>
                <w:rFonts w:ascii="Times New Roman" w:hAnsi="Times New Roman" w:cs="Times New Roman"/>
              </w:rPr>
            </w:pPr>
            <w:r w:rsidRPr="00CB2EC4">
              <w:rPr>
                <w:rFonts w:ascii="Times New Roman" w:hAnsi="Times New Roman" w:cs="Times New Roman"/>
              </w:rPr>
              <w:t>the significance of the rectouterine ligament as an anatomical landmark during the incision of the deep uterine vein includes:</w:t>
            </w:r>
            <w:r w:rsidRPr="00CB2EC4">
              <w:rPr>
                <w:rFonts w:ascii="Times New Roman" w:hAnsi="Times New Roman" w:cs="Times New Roman"/>
              </w:rPr>
              <w:br/>
              <w:t>- localization of key structures: the rectouterine ligament marks the origin of the deep uterine vein, helping the surgeon accurately identify the vein's position to avoid inadvertent cutting or bleeding;</w:t>
            </w:r>
            <w:r w:rsidRPr="00CB2EC4">
              <w:rPr>
                <w:rFonts w:ascii="Times New Roman" w:hAnsi="Times New Roman" w:cs="Times New Roman"/>
              </w:rPr>
              <w:br/>
              <w:t>- protection of adjacent tissues: serving as a reference point for the ureter and pelvic nerves, it ensures the procedure is performed within a safe zone, reducing the risk of injury (such as ureteral fistula or neurological dysfunction).</w:t>
            </w:r>
          </w:p>
        </w:tc>
        <w:tc>
          <w:tcPr>
            <w:tcW w:w="1152" w:type="dxa"/>
            <w:vAlign w:val="center"/>
          </w:tcPr>
          <w:p w14:paraId="25481F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F394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8941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4EE4CE" w14:textId="77777777">
        <w:tc>
          <w:tcPr>
            <w:tcW w:w="10656" w:type="dxa"/>
            <w:gridSpan w:val="5"/>
            <w:tcBorders>
              <w:bottom w:val="single" w:sz="6" w:space="0" w:color="auto"/>
            </w:tcBorders>
            <w:vAlign w:val="center"/>
          </w:tcPr>
          <w:p w14:paraId="4D27AE1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126: In gynecologic surgery, how can the rectovaginal ligament be correctly identified and transected to avoid injury to the pelvic plexus?</w:t>
            </w:r>
          </w:p>
        </w:tc>
      </w:tr>
      <w:tr w:rsidR="00922249" w:rsidRPr="00CB2EC4" w14:paraId="45EC2A8B" w14:textId="77777777">
        <w:tc>
          <w:tcPr>
            <w:tcW w:w="2160" w:type="dxa"/>
            <w:vAlign w:val="center"/>
          </w:tcPr>
          <w:p w14:paraId="1BAC5FA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EDE083F"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provided documents.</w:t>
            </w:r>
          </w:p>
        </w:tc>
        <w:tc>
          <w:tcPr>
            <w:tcW w:w="1152" w:type="dxa"/>
            <w:vAlign w:val="center"/>
          </w:tcPr>
          <w:p w14:paraId="66EF21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EE1D9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95326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55A87FC" w14:textId="77777777">
        <w:tc>
          <w:tcPr>
            <w:tcW w:w="2160" w:type="dxa"/>
            <w:vAlign w:val="center"/>
          </w:tcPr>
          <w:p w14:paraId="1028F80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Contextual Chunk </w:t>
            </w:r>
            <w:r w:rsidRPr="00CB2EC4">
              <w:rPr>
                <w:rFonts w:ascii="Times New Roman" w:hAnsi="Times New Roman" w:cs="Times New Roman"/>
              </w:rPr>
              <w:lastRenderedPageBreak/>
              <w:t>Headers</w:t>
            </w:r>
          </w:p>
        </w:tc>
        <w:tc>
          <w:tcPr>
            <w:tcW w:w="5040" w:type="dxa"/>
            <w:vAlign w:val="center"/>
          </w:tcPr>
          <w:p w14:paraId="0EC0F79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 answer found in the provided document fragments.</w:t>
            </w:r>
          </w:p>
        </w:tc>
        <w:tc>
          <w:tcPr>
            <w:tcW w:w="1152" w:type="dxa"/>
            <w:vAlign w:val="center"/>
          </w:tcPr>
          <w:p w14:paraId="1BE759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55362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AE9C5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EBAC38D" w14:textId="77777777">
        <w:tc>
          <w:tcPr>
            <w:tcW w:w="2160" w:type="dxa"/>
            <w:vAlign w:val="center"/>
          </w:tcPr>
          <w:p w14:paraId="6D1FB08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3C5018A" w14:textId="77777777" w:rsidR="00922249" w:rsidRPr="00CB2EC4" w:rsidRDefault="003011D5">
            <w:pPr>
              <w:rPr>
                <w:rFonts w:ascii="Times New Roman" w:hAnsi="Times New Roman" w:cs="Times New Roman"/>
              </w:rPr>
            </w:pPr>
            <w:r w:rsidRPr="00CB2EC4">
              <w:rPr>
                <w:rFonts w:ascii="Times New Roman" w:hAnsi="Times New Roman" w:cs="Times New Roman"/>
              </w:rPr>
              <w:t>in gynecological surgery, how to correctly identify and divide the rectovaginal ligament to avoid injury to the pelvic nerve plexus?</w:t>
            </w:r>
            <w:r w:rsidRPr="00CB2EC4">
              <w:rPr>
                <w:rFonts w:ascii="Times New Roman" w:hAnsi="Times New Roman" w:cs="Times New Roman"/>
              </w:rPr>
              <w:br/>
            </w:r>
            <w:r w:rsidRPr="00CB2EC4">
              <w:rPr>
                <w:rFonts w:ascii="Times New Roman" w:hAnsi="Times New Roman" w:cs="Times New Roman"/>
              </w:rPr>
              <w:br/>
              <w:t xml:space="preserve">according to document excerpt 13 (relevance: 0.800), the method for correct identification and division of the rectovaginal ligament to avoid injury to the pelvic nerve plexus includes the following steps:  </w:t>
            </w:r>
            <w:r w:rsidRPr="00CB2EC4">
              <w:rPr>
                <w:rFonts w:ascii="Times New Roman" w:hAnsi="Times New Roman" w:cs="Times New Roman"/>
              </w:rPr>
              <w:br/>
              <w:t xml:space="preserve">1. target localization: aim at the dorsal aspect where the deep uterine vein transitions into the rectovaginal ligament; use two Kelly clamps to clamp the uterosacral ligament (note the distinction from the rectovaginal ligament), then divide and ligate it.  </w:t>
            </w:r>
            <w:r w:rsidRPr="00CB2EC4">
              <w:rPr>
                <w:rFonts w:ascii="Times New Roman" w:hAnsi="Times New Roman" w:cs="Times New Roman"/>
              </w:rPr>
              <w:br/>
              <w:t xml:space="preserve">2. sequence of operation: pause slightly dorsal to the deep uterine vein, complete the final management of the deep uterine vein (such as ligation and division) first, then divide the rectovaginal ligament.  </w:t>
            </w:r>
            <w:r w:rsidRPr="00CB2EC4">
              <w:rPr>
                <w:rFonts w:ascii="Times New Roman" w:hAnsi="Times New Roman" w:cs="Times New Roman"/>
              </w:rPr>
              <w:br/>
              <w:t xml:space="preserve">3. nerve protection: during dissection, allow the hypogastric nerve to remain attached to the ureteral mesentery (mesoureter) for stripping; the principle is to avoid touching the hypogastric nerve.  </w:t>
            </w:r>
            <w:r w:rsidRPr="00CB2EC4">
              <w:rPr>
                <w:rFonts w:ascii="Times New Roman" w:hAnsi="Times New Roman" w:cs="Times New Roman"/>
              </w:rPr>
              <w:br/>
              <w:t xml:space="preserve">4. boundary definition: to preserve the pelvic nerve plexus, the lower margin of the deep uterine vein is the boundary for division.  </w:t>
            </w:r>
            <w:r w:rsidRPr="00CB2EC4">
              <w:rPr>
                <w:rFonts w:ascii="Times New Roman" w:hAnsi="Times New Roman" w:cs="Times New Roman"/>
              </w:rPr>
              <w:br/>
              <w:t xml:space="preserve">5. avoid ineffective procedures: stripping the hypogastric nerve alone is meaningless, as the hypogastric nerve and the pelvic plexus are essentially at the same level; nerve preservation must be considered holistically.  </w:t>
            </w:r>
            <w:r w:rsidRPr="00CB2EC4">
              <w:rPr>
                <w:rFonts w:ascii="Times New Roman" w:hAnsi="Times New Roman" w:cs="Times New Roman"/>
              </w:rPr>
              <w:br/>
              <w:t xml:space="preserve">additionally, document excerpt 14 (relevance: 0.800) supplements: in the pararectal space, dissect the hypogastric nerve running parallel to the rectum, and use the vascular bundle as a landmark to carefully </w:t>
            </w:r>
            <w:r w:rsidRPr="00CB2EC4">
              <w:rPr>
                <w:rFonts w:ascii="Times New Roman" w:hAnsi="Times New Roman" w:cs="Times New Roman"/>
              </w:rPr>
              <w:lastRenderedPageBreak/>
              <w:t>separate the inferior hypogastric plexus from the cardinal ligament, ensuring that nerve branches are preserved during resection.</w:t>
            </w:r>
          </w:p>
        </w:tc>
        <w:tc>
          <w:tcPr>
            <w:tcW w:w="1152" w:type="dxa"/>
            <w:vAlign w:val="center"/>
          </w:tcPr>
          <w:p w14:paraId="67D8EF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872E3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9199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6FC462" w14:textId="77777777">
        <w:tc>
          <w:tcPr>
            <w:tcW w:w="2160" w:type="dxa"/>
            <w:vAlign w:val="center"/>
          </w:tcPr>
          <w:p w14:paraId="5DECE252"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3B3456B" w14:textId="77777777" w:rsidR="00922249" w:rsidRPr="00CB2EC4" w:rsidRDefault="003011D5">
            <w:pPr>
              <w:rPr>
                <w:rFonts w:ascii="Times New Roman" w:hAnsi="Times New Roman" w:cs="Times New Roman"/>
              </w:rPr>
            </w:pPr>
            <w:r w:rsidRPr="00CB2EC4">
              <w:rPr>
                <w:rFonts w:ascii="Times New Roman" w:hAnsi="Times New Roman" w:cs="Times New Roman"/>
              </w:rPr>
              <w:t>how to correctly identify and divide the rectovaginal ligament during gynecological surgery to avoid injury to the pelvic nerve plexus?</w:t>
            </w:r>
            <w:r w:rsidRPr="00CB2EC4">
              <w:rPr>
                <w:rFonts w:ascii="Times New Roman" w:hAnsi="Times New Roman" w:cs="Times New Roman"/>
              </w:rPr>
              <w:br/>
            </w:r>
            <w:r w:rsidRPr="00CB2EC4">
              <w:rPr>
                <w:rFonts w:ascii="Times New Roman" w:hAnsi="Times New Roman" w:cs="Times New Roman"/>
              </w:rPr>
              <w:br/>
              <w:t xml:space="preserve">Knowledge base document contribution:  </w:t>
            </w:r>
            <w:r w:rsidRPr="00CB2EC4">
              <w:rPr>
                <w:rFonts w:ascii="Times New Roman" w:hAnsi="Times New Roman" w:cs="Times New Roman"/>
              </w:rPr>
              <w:br/>
              <w:t xml:space="preserve">- Key anatomical landmark: The rectovaginal ligament is located in the connective tissue space between the rectum and vagina (rectovaginal septum). It requires exposure of its lateral margin by dissecting the bladder paravesical space and the rectal pararectal space (e.g., Latzko pararectal space) (Chapter 4 of the knowledge base).  </w:t>
            </w:r>
            <w:r w:rsidRPr="00CB2EC4">
              <w:rPr>
                <w:rFonts w:ascii="Times New Roman" w:hAnsi="Times New Roman" w:cs="Times New Roman"/>
              </w:rPr>
              <w:br/>
              <w:t xml:space="preserve">- Operational key points:  </w:t>
            </w:r>
            <w:r w:rsidRPr="00CB2EC4">
              <w:rPr>
                <w:rFonts w:ascii="Times New Roman" w:hAnsi="Times New Roman" w:cs="Times New Roman"/>
              </w:rPr>
              <w:br/>
              <w:t xml:space="preserve">  1. First dissect the rectovaginal septum, pushing the rectum posteriorly away from the vaginal posterior wall (Figure 7-106).  </w:t>
            </w:r>
            <w:r w:rsidRPr="00CB2EC4">
              <w:rPr>
                <w:rFonts w:ascii="Times New Roman" w:hAnsi="Times New Roman" w:cs="Times New Roman"/>
              </w:rPr>
              <w:br/>
              <w:t xml:space="preserve">  2. Identify the ligament within the rectal pararectal space, avoiding excessive traction (which may damage the pelvic splanchnic nerves).  </w:t>
            </w:r>
            <w:r w:rsidRPr="00CB2EC4">
              <w:rPr>
                <w:rFonts w:ascii="Times New Roman" w:hAnsi="Times New Roman" w:cs="Times New Roman"/>
              </w:rPr>
              <w:br/>
              <w:t xml:space="preserve">  3. Clamp and divide the ligament in bundles close to its lateral margin (Figure 7-105), preserving the deep nerve plexus (e.g., during NSRH surgery).  </w:t>
            </w:r>
            <w:r w:rsidRPr="00CB2EC4">
              <w:rPr>
                <w:rFonts w:ascii="Times New Roman" w:hAnsi="Times New Roman" w:cs="Times New Roman"/>
              </w:rPr>
              <w:br/>
            </w:r>
            <w:r w:rsidRPr="00CB2EC4">
              <w:rPr>
                <w:rFonts w:ascii="Times New Roman" w:hAnsi="Times New Roman" w:cs="Times New Roman"/>
              </w:rPr>
              <w:br/>
              <w:t xml:space="preserve">Online search supplementary contribution (2024 guidelines):  </w:t>
            </w:r>
            <w:r w:rsidRPr="00CB2EC4">
              <w:rPr>
                <w:rFonts w:ascii="Times New Roman" w:hAnsi="Times New Roman" w:cs="Times New Roman"/>
              </w:rPr>
              <w:br/>
              <w:t xml:space="preserve">- Q-M C1 type surgery (nerve-sparing): When resecting the rectovaginal ligament, the hypogastric nerve must be preserved within the rectal pararectal space, and dissection should be performed close to the sacral surface (to avoid injuring nerve branches).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&gt; Integrated recommendation: Combine the interspace dissection approach (dissection of rectal pararectal space + rectovaginal space) with direct vision bundle-by-bundle division; intraoperative attention to nerve course (pelvic splanchnic nerves are located deep to the ligament).</w:t>
            </w:r>
          </w:p>
        </w:tc>
        <w:tc>
          <w:tcPr>
            <w:tcW w:w="1152" w:type="dxa"/>
            <w:vAlign w:val="center"/>
          </w:tcPr>
          <w:p w14:paraId="6F7B0D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EC9D1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F86CC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1CEF1AC" w14:textId="77777777">
        <w:tc>
          <w:tcPr>
            <w:tcW w:w="2160" w:type="dxa"/>
            <w:vAlign w:val="center"/>
          </w:tcPr>
          <w:p w14:paraId="67CDD737"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EC63D4F" w14:textId="77777777" w:rsidR="00922249" w:rsidRPr="00CB2EC4" w:rsidRDefault="003011D5">
            <w:pPr>
              <w:rPr>
                <w:rFonts w:ascii="Times New Roman" w:hAnsi="Times New Roman" w:cs="Times New Roman"/>
              </w:rPr>
            </w:pPr>
            <w:r w:rsidRPr="00CB2EC4">
              <w:rPr>
                <w:rFonts w:ascii="Times New Roman" w:hAnsi="Times New Roman" w:cs="Times New Roman"/>
              </w:rPr>
              <w:t>in gynecological surgery, how to correctly identify and divide the rectovaginal ligament to avoid injury to the pelvic plexus?</w:t>
            </w:r>
            <w:r w:rsidRPr="00CB2EC4">
              <w:rPr>
                <w:rFonts w:ascii="Times New Roman" w:hAnsi="Times New Roman" w:cs="Times New Roman"/>
              </w:rPr>
              <w:br/>
            </w:r>
            <w:r w:rsidRPr="00CB2EC4">
              <w:rPr>
                <w:rFonts w:ascii="Times New Roman" w:hAnsi="Times New Roman" w:cs="Times New Roman"/>
              </w:rPr>
              <w:br/>
              <w:t>in the documentation, the identification and division of the rectovaginal ligament in relation to avoiding injury to the pelvic plexus (autonomic nerves) is mentioned multiple times, especially in nerve-sparing radical hysterectomy. key steps are based on the following document content:</w:t>
            </w:r>
            <w:r w:rsidRPr="00CB2EC4">
              <w:rPr>
                <w:rFonts w:ascii="Times New Roman" w:hAnsi="Times New Roman" w:cs="Times New Roman"/>
              </w:rPr>
              <w:br/>
              <w:t>- identification of the rectovaginal ligament: the rectovaginal ligament is located directly dorsal to the site where the uterine branch of the deep uterine vein has been divided. exposure is achieved by opening the lateral vesicouterine space and the rectal side compartment. document excerpt 2 (Ü division of the rectovaginal ligament) states: "insert the outer blade of the forceps into and grasp directly dorsal to the site where the uterine branch of the deep uterine vein has been divided. this location corresponds by inference to the position of the second clamp in the Wertheim operation." this indicates that after handling the deep uterine vein, this area represents the attachment point of the rectovaginal ligament.</w:t>
            </w:r>
            <w:r w:rsidRPr="00CB2EC4">
              <w:rPr>
                <w:rFonts w:ascii="Times New Roman" w:hAnsi="Times New Roman" w:cs="Times New Roman"/>
              </w:rPr>
              <w:br/>
              <w:t xml:space="preserve">- avoiding injury to the pelvic plexus: document excerpt 12 describes the "separation and preservation method of the autonomic nerve trunk," which involves dissecting the vascular bundle of the main ligament </w:t>
            </w:r>
            <w:r w:rsidRPr="00CB2EC4">
              <w:rPr>
                <w:rFonts w:ascii="Times New Roman" w:hAnsi="Times New Roman" w:cs="Times New Roman"/>
              </w:rPr>
              <w:lastRenderedPageBreak/>
              <w:t>from the underlying autonomic nerves (pelvic plexus). the specific method is: perform meticulous dissection within the loose connective tissue area of the vascular-nerve triangle, cutting only the vascular portion while preserving the neural portion. using instruments such as an ultrasonic surgical aspirator (usa) can reduce the risk of injury. document excerpt 10 emphasizes: "the course of autonomic nerves in the pelvis was understood through observation of the relationship between the transverse cervical ligament and the posterior layer of the vesicouterine ligament," and notes that surgical proficiency is key to preventing bladder dysfunction.</w:t>
            </w:r>
            <w:r w:rsidRPr="00CB2EC4">
              <w:rPr>
                <w:rFonts w:ascii="Times New Roman" w:hAnsi="Times New Roman" w:cs="Times New Roman"/>
              </w:rPr>
              <w:br/>
              <w:t>- operative principles: division must be performed under direct vision, avoiding mass ligation (massengigatur); instead, separate vessels individually (e.g., deep uterine vein and middle rectal vein) to ensure the neural portion is not inadvertently cut. document excerpt 22 adds: after dividing the deep uterine vein, dissect its connection with the lateral rectal ligament, and fully mobilize the vein before clamping the rectovaginal ligament to prevent suture penetration from injuring nerves or vessels and causing bleeding.</w:t>
            </w:r>
            <w:r w:rsidRPr="00CB2EC4">
              <w:rPr>
                <w:rFonts w:ascii="Times New Roman" w:hAnsi="Times New Roman" w:cs="Times New Roman"/>
              </w:rPr>
              <w:br/>
            </w:r>
            <w:r w:rsidRPr="00CB2EC4">
              <w:rPr>
                <w:rFonts w:ascii="Times New Roman" w:hAnsi="Times New Roman" w:cs="Times New Roman"/>
              </w:rPr>
              <w:br/>
              <w:t>in summary, the correct method is: first expose and manage the deep uterine vein, identify its dorsal region; use precise instruments to dissect within the vascular-nerve triangle; divide only the vascular bundle while preserving the deep nerves; maintain clear surgical field throughout and avoid blind clamping.</w:t>
            </w:r>
          </w:p>
        </w:tc>
        <w:tc>
          <w:tcPr>
            <w:tcW w:w="1152" w:type="dxa"/>
            <w:vAlign w:val="center"/>
          </w:tcPr>
          <w:p w14:paraId="762AE1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62766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09226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3FFD2D3" w14:textId="77777777">
        <w:tc>
          <w:tcPr>
            <w:tcW w:w="2160" w:type="dxa"/>
            <w:vAlign w:val="center"/>
          </w:tcPr>
          <w:p w14:paraId="0B1A3A37"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838049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gynecological surgery, how to correctly identify and dissect the rectovaginal ligament to avoid injury </w:t>
            </w:r>
            <w:r w:rsidRPr="00CB2EC4">
              <w:rPr>
                <w:rFonts w:ascii="Times New Roman" w:hAnsi="Times New Roman" w:cs="Times New Roman"/>
              </w:rPr>
              <w:lastRenderedPageBreak/>
              <w:t>to the pelvic nerve plexus?</w:t>
            </w:r>
            <w:r w:rsidRPr="00CB2EC4">
              <w:rPr>
                <w:rFonts w:ascii="Times New Roman" w:hAnsi="Times New Roman" w:cs="Times New Roman"/>
              </w:rPr>
              <w:br/>
            </w:r>
            <w:r w:rsidRPr="00CB2EC4">
              <w:rPr>
                <w:rFonts w:ascii="Times New Roman" w:hAnsi="Times New Roman" w:cs="Times New Roman"/>
              </w:rPr>
              <w:br/>
              <w:t>according to the context, the key to correctly identifying and dissecting the rectovaginal ligament lies in meticulous dissection and avoidance of excessive traction to protect the pelvic nerve plexus (including pelvic splanchnic nerves and vesical nerve branches). the specific steps are as follows:</w:t>
            </w:r>
            <w:r w:rsidRPr="00CB2EC4">
              <w:rPr>
                <w:rFonts w:ascii="Times New Roman" w:hAnsi="Times New Roman" w:cs="Times New Roman"/>
              </w:rPr>
              <w:br/>
              <w:t>- identification method: before dissecting the rectovaginal ligament, the deep uterine vein must be fully separated and completely stripped from the lateral rectal ligament to avoid residual tissue, thereby exposing the anatomical relationship between the ligament and the pelvic nerve plexus. the pelvic nerve plexus is typically located at the rectal attachment site of the lateral rectal ligament, with the hypogastric nerve penetrating this area (related document 21).</w:t>
            </w:r>
            <w:r w:rsidRPr="00CB2EC4">
              <w:rPr>
                <w:rFonts w:ascii="Times New Roman" w:hAnsi="Times New Roman" w:cs="Times New Roman"/>
              </w:rPr>
              <w:br/>
              <w:t>- dissection method: using an ultrasonic scalpel or fine clamp technique, leave sufficient clamp range on the rectouterine ligament (approximately the width of two clamps) to avoid clamping the deep uterine vein or middle rectal vein together. during dissection, traction the uterus toward the foot side and elevate the rectum toward the head side to expand the surgical field and reduce the risk of injuring the nerve plexus. attention must be paid to preserving the neural portion of the posterior layer of the vesicouterine ligament, as the vesical nerve branches course through this area (related documents 21 and 12).</w:t>
            </w:r>
            <w:r w:rsidRPr="00CB2EC4">
              <w:rPr>
                <w:rFonts w:ascii="Times New Roman" w:hAnsi="Times New Roman" w:cs="Times New Roman"/>
              </w:rPr>
              <w:br/>
              <w:t xml:space="preserve">- principle to avoid injury: the dissection range should be limited to the boundary between the transverse cervical ligament and the rectouterine ligament, avoiding deep dissection into the pelvic floor. if cancer has not infiltrated the lateral rectal ligament, </w:t>
            </w:r>
            <w:r w:rsidRPr="00CB2EC4">
              <w:rPr>
                <w:rFonts w:ascii="Times New Roman" w:hAnsi="Times New Roman" w:cs="Times New Roman"/>
              </w:rPr>
              <w:lastRenderedPageBreak/>
              <w:t>this ligament should be preserved to protect the nerve plexus (related document 22). the documents emphasize that blind dissection or suture needle penetration into veins may cause bleeding and nerve injury, so thorough clearance must be performed before proceeding with the operation.</w:t>
            </w:r>
          </w:p>
        </w:tc>
        <w:tc>
          <w:tcPr>
            <w:tcW w:w="1152" w:type="dxa"/>
            <w:vAlign w:val="center"/>
          </w:tcPr>
          <w:p w14:paraId="68148F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7C7D9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E067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73BC12" w14:textId="77777777">
        <w:tc>
          <w:tcPr>
            <w:tcW w:w="2160" w:type="dxa"/>
            <w:vAlign w:val="center"/>
          </w:tcPr>
          <w:p w14:paraId="6847DFC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28611AE1" w14:textId="77777777" w:rsidR="00922249" w:rsidRPr="00CB2EC4" w:rsidRDefault="003011D5">
            <w:pPr>
              <w:rPr>
                <w:rFonts w:ascii="Times New Roman" w:hAnsi="Times New Roman" w:cs="Times New Roman"/>
              </w:rPr>
            </w:pPr>
            <w:r w:rsidRPr="00CB2EC4">
              <w:rPr>
                <w:rFonts w:ascii="Times New Roman" w:hAnsi="Times New Roman" w:cs="Times New Roman"/>
              </w:rPr>
              <w:t>in gynecological surgery, how to correctly identify and divide the rectovaginal ligament to avoid injury to the pelvic nerve plexus?</w:t>
            </w:r>
            <w:r w:rsidRPr="00CB2EC4">
              <w:rPr>
                <w:rFonts w:ascii="Times New Roman" w:hAnsi="Times New Roman" w:cs="Times New Roman"/>
              </w:rPr>
              <w:br/>
            </w:r>
            <w:r w:rsidRPr="00CB2EC4">
              <w:rPr>
                <w:rFonts w:ascii="Times New Roman" w:hAnsi="Times New Roman" w:cs="Times New Roman"/>
              </w:rPr>
              <w:br/>
              <w:t xml:space="preserve">according to the document, the key steps for identifying and dividing the rectovaginal ligament are as follows:  </w:t>
            </w:r>
            <w:r w:rsidRPr="00CB2EC4">
              <w:rPr>
                <w:rFonts w:ascii="Times New Roman" w:hAnsi="Times New Roman" w:cs="Times New Roman"/>
              </w:rPr>
              <w:br/>
              <w:t xml:space="preserve">- identification method:  </w:t>
            </w:r>
            <w:r w:rsidRPr="00CB2EC4">
              <w:rPr>
                <w:rFonts w:ascii="Times New Roman" w:hAnsi="Times New Roman" w:cs="Times New Roman"/>
              </w:rPr>
              <w:br/>
              <w:t xml:space="preserve">  - the rectovaginal ligament is the deep part of the rectouterine ligament (referred to as the "deep layer of the uterosacral ligament" in the document). it is exposed by identifying its medial margin after dissecting the rectovaginal space (context: [HyDE similarity: 0.597]).  </w:t>
            </w:r>
            <w:r w:rsidRPr="00CB2EC4">
              <w:rPr>
                <w:rFonts w:ascii="Times New Roman" w:hAnsi="Times New Roman" w:cs="Times New Roman"/>
              </w:rPr>
              <w:br/>
              <w:t xml:space="preserve">  - during the procedure, traction the uterus forward and upward, incise the peritoneum medial to the uterosacral ligament and close to the rectum, and use fingers to separate the rectum to thin the ligament (figure 7-84). simultaneously, develop the lateral rectal fossa (figure 7-85) to fully expose the ligament (context: [HyDE similarity: 0.615]).  </w:t>
            </w:r>
            <w:r w:rsidRPr="00CB2EC4">
              <w:rPr>
                <w:rFonts w:ascii="Times New Roman" w:hAnsi="Times New Roman" w:cs="Times New Roman"/>
              </w:rPr>
              <w:br/>
              <w:t xml:space="preserve">  - attention must be paid to the course of the pelvic nerve plexus (including the hypogastric nerve and visceral nerves): the hypogastric nerve descends along the dorsolateral margin of the rectum (figure 7-126); during dissection, it should be left attached to the ureteric plate to avoid direct contact (context: [HyDE similarity: 0.597]).  </w:t>
            </w:r>
            <w:r w:rsidRPr="00CB2EC4">
              <w:rPr>
                <w:rFonts w:ascii="Times New Roman" w:hAnsi="Times New Roman" w:cs="Times New Roman"/>
              </w:rPr>
              <w:br/>
            </w:r>
            <w:r w:rsidRPr="00CB2EC4">
              <w:rPr>
                <w:rFonts w:ascii="Times New Roman" w:hAnsi="Times New Roman" w:cs="Times New Roman"/>
              </w:rPr>
              <w:lastRenderedPageBreak/>
              <w:t xml:space="preserve">- division method:  </w:t>
            </w:r>
            <w:r w:rsidRPr="00CB2EC4">
              <w:rPr>
                <w:rFonts w:ascii="Times New Roman" w:hAnsi="Times New Roman" w:cs="Times New Roman"/>
              </w:rPr>
              <w:br/>
              <w:t xml:space="preserve">  - use long curved hemostatic forceps or Kelly forceps to clamp the rectovaginal ligament at the point where the uterine deep vein transitions to the dorsal side of the ligament, divide it in the middle, and ligate (figure 134). this area has no significant vessels, so electrocautery, LigaSure, or ultrasonic scalpel may be used to minimize bleeding (context: [HyDE similarity: 0.597]).  </w:t>
            </w:r>
            <w:r w:rsidRPr="00CB2EC4">
              <w:rPr>
                <w:rFonts w:ascii="Times New Roman" w:hAnsi="Times New Roman" w:cs="Times New Roman"/>
              </w:rPr>
              <w:br/>
              <w:t xml:space="preserve">  - the extent of division must be controlled below the lower margin of the uterine deep vein to preserve the pelvic nerve plexus (figure 135). if cancer infiltration is suspected, depth may be adjusted, but care must be taken not to damage the nerve bundles (context: [HyDE similarity: 0.597]).  </w:t>
            </w:r>
            <w:r w:rsidRPr="00CB2EC4">
              <w:rPr>
                <w:rFonts w:ascii="Times New Roman" w:hAnsi="Times New Roman" w:cs="Times New Roman"/>
              </w:rPr>
              <w:br/>
              <w:t xml:space="preserve">- avoiding nerve injury:  </w:t>
            </w:r>
            <w:r w:rsidRPr="00CB2EC4">
              <w:rPr>
                <w:rFonts w:ascii="Times New Roman" w:hAnsi="Times New Roman" w:cs="Times New Roman"/>
              </w:rPr>
              <w:br/>
              <w:t xml:space="preserve">  - the key to nerve preservation is to restrict the procedure outside the neural portion of the posterior leaf of the vesicocervical ligament and to observe the course of the pelvic visceral nerves (figure 179). during resection of the lateral rectal ligament, part of the nerve (e.g., pelvic visceral nerve) must be preserved to maintain bladder function (context: [HyDE similarity: 0.562]).  </w:t>
            </w:r>
            <w:r w:rsidRPr="00CB2EC4">
              <w:rPr>
                <w:rFonts w:ascii="Times New Roman" w:hAnsi="Times New Roman" w:cs="Times New Roman"/>
              </w:rPr>
              <w:br/>
            </w:r>
            <w:r w:rsidRPr="00CB2EC4">
              <w:rPr>
                <w:rFonts w:ascii="Times New Roman" w:hAnsi="Times New Roman" w:cs="Times New Roman"/>
              </w:rPr>
              <w:br/>
              <w:t>in summary, the document provides detailed operative steps, emphasizing precise clamping after ligament thinning and preservation of neural areas.</w:t>
            </w:r>
          </w:p>
        </w:tc>
        <w:tc>
          <w:tcPr>
            <w:tcW w:w="1152" w:type="dxa"/>
            <w:vAlign w:val="center"/>
          </w:tcPr>
          <w:p w14:paraId="305103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EEEF7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093BA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F265C9D" w14:textId="77777777">
        <w:tc>
          <w:tcPr>
            <w:tcW w:w="2160" w:type="dxa"/>
            <w:vAlign w:val="center"/>
          </w:tcPr>
          <w:p w14:paraId="1902E2F2"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EC920AD" w14:textId="77777777" w:rsidR="00922249" w:rsidRPr="00CB2EC4" w:rsidRDefault="003011D5">
            <w:pPr>
              <w:rPr>
                <w:rFonts w:ascii="Times New Roman" w:hAnsi="Times New Roman" w:cs="Times New Roman"/>
              </w:rPr>
            </w:pPr>
            <w:r w:rsidRPr="00CB2EC4">
              <w:rPr>
                <w:rFonts w:ascii="Times New Roman" w:hAnsi="Times New Roman" w:cs="Times New Roman"/>
              </w:rPr>
              <w:t>in gynecological surgery, how to correctly identify and dissect the rectovaginal ligament to avoid injury to the pelvic nerve plexus?</w:t>
            </w:r>
            <w:r w:rsidRPr="00CB2EC4">
              <w:rPr>
                <w:rFonts w:ascii="Times New Roman" w:hAnsi="Times New Roman" w:cs="Times New Roman"/>
              </w:rPr>
              <w:br/>
            </w:r>
            <w:r w:rsidRPr="00CB2EC4">
              <w:rPr>
                <w:rFonts w:ascii="Times New Roman" w:hAnsi="Times New Roman" w:cs="Times New Roman"/>
              </w:rPr>
              <w:br/>
              <w:t xml:space="preserve">according to the document content, the methods for correctly identifying and dissecting the rectovaginal </w:t>
            </w:r>
            <w:r w:rsidRPr="00CB2EC4">
              <w:rPr>
                <w:rFonts w:ascii="Times New Roman" w:hAnsi="Times New Roman" w:cs="Times New Roman"/>
              </w:rPr>
              <w:lastRenderedPageBreak/>
              <w:t>ligament to avoid injury to the pelvic nerve plexus are as follows:</w:t>
            </w:r>
            <w:r w:rsidRPr="00CB2EC4">
              <w:rPr>
                <w:rFonts w:ascii="Times New Roman" w:hAnsi="Times New Roman" w:cs="Times New Roman"/>
              </w:rPr>
              <w:br/>
              <w:t>- identification method: first, expose the rectovaginal ligament by developing the rectovaginal space and the paravaginal space. during the procedure, attention must be paid to the location of the pelvic nerve plexus, which is typically lateral to the course of the hypogastric nerve. document segment 17 (e.g., segment with similarity 0.452) states that when developing the gangling lateral rectal space, the hypogastric nerve can be observed running alongside the rectum, with the pelvic nerve plexus located lateral to it. during identification, these neural structures should be avoided from being touched; this can be achieved by inserting both index fingers into the rectovaginal space, "maximally stretching" the ligament in the ventrodorsal direction to thin it and clearly expose it (document segment 17).</w:t>
            </w:r>
            <w:r w:rsidRPr="00CB2EC4">
              <w:rPr>
                <w:rFonts w:ascii="Times New Roman" w:hAnsi="Times New Roman" w:cs="Times New Roman"/>
              </w:rPr>
              <w:br/>
              <w:t xml:space="preserve">- dissection method: use a retractor (e.g., a muscle retractor) to expose the paravaginal space, ensuring the forceps tip is correctly inserted into the paravaginal space to clamp the rectovaginal ligament, avoiding entry into the neural area. for dissection, ligation using LigaSure or electrocautery is recommended to minimize bleeding risk. document segment 17 emphasizes: "when preserving the pelvic nerve plexus and bladder nerve branches, the tip of the forceps must be correctly inserted into the paravaginal space to clamp the rectovaginal ligament," and mentions that correct dissection direction (indicated by dotted lines) can prevent nerve injury (document segment 17). additionally, document segment 8 (similarity 0.485) notes that dissection should be performed at the lower margin of the deep uterine vein </w:t>
            </w:r>
            <w:r w:rsidRPr="00CB2EC4">
              <w:rPr>
                <w:rFonts w:ascii="Times New Roman" w:hAnsi="Times New Roman" w:cs="Times New Roman"/>
              </w:rPr>
              <w:lastRenderedPageBreak/>
              <w:t>to protect the pelvic plexus nerve.</w:t>
            </w:r>
            <w:r w:rsidRPr="00CB2EC4">
              <w:rPr>
                <w:rFonts w:ascii="Times New Roman" w:hAnsi="Times New Roman" w:cs="Times New Roman"/>
              </w:rPr>
              <w:br/>
              <w:t>- key points: the procedure must be performed medial to the pelvic nerve plexus; confirm the position of the ligament before dissection, and avoid global clamping or blind advancement.</w:t>
            </w:r>
          </w:p>
        </w:tc>
        <w:tc>
          <w:tcPr>
            <w:tcW w:w="1152" w:type="dxa"/>
            <w:vAlign w:val="center"/>
          </w:tcPr>
          <w:p w14:paraId="24F760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1426A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BEC9B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834964F" w14:textId="77777777">
        <w:tc>
          <w:tcPr>
            <w:tcW w:w="2160" w:type="dxa"/>
            <w:vAlign w:val="center"/>
          </w:tcPr>
          <w:p w14:paraId="6DBBCF7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59141A8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gynecological surgery, the key steps to correctly identify and divide the rectovaginal ligament to avoid injury to the pelvic plexus are as follows:  </w:t>
            </w:r>
            <w:r w:rsidRPr="00CB2EC4">
              <w:rPr>
                <w:rFonts w:ascii="Times New Roman" w:hAnsi="Times New Roman" w:cs="Times New Roman"/>
              </w:rPr>
              <w:br/>
              <w:t xml:space="preserve">- Identification of the rectovaginal ligament: The rectovaginal ligament is located in the rectovaginal space between the rectum and vagina. It is a connective tissue bundle connecting the rectal proper fascia and the vaginal outer membrane. During surgery, the rectovaginal septum must be opened (Figure 34, Figure 35) to expose this ligament. Specific maneuvers include: incision of the Douglas pouch peritoneum, blunt dissection of the loose connective tissue between the rectal proper fascia and vaginal outer membrane, thereby revealing the ligament (document excerpt: "After separating the rectovaginal septum, the rectovaginal ligament is exposed"; "Figure 131 Rectouterine ligament and deep uterine vein" section).  </w:t>
            </w:r>
            <w:r w:rsidRPr="00CB2EC4">
              <w:rPr>
                <w:rFonts w:ascii="Times New Roman" w:hAnsi="Times New Roman" w:cs="Times New Roman"/>
              </w:rPr>
              <w:br/>
              <w:t xml:space="preserve">- Avoiding injury to the pelvic plexus: The pelvic plexus (e.g., the inferior hypogastric plexus) runs parallel to blood vessels, particularly adjacent to the superior vesical vein and deep uterine vein.  </w:t>
            </w:r>
            <w:r w:rsidRPr="00CB2EC4">
              <w:rPr>
                <w:rFonts w:ascii="Times New Roman" w:hAnsi="Times New Roman" w:cs="Times New Roman"/>
              </w:rPr>
              <w:br/>
              <w:t xml:space="preserve">  - Nerve identification: When dissecting the lateral rectal space (of Waldeyer), observe the hypogastric nerves coursing along the dorsolateral margin of the rectum (Figure 127), and note the parallel relationship between the nerve plexus and the superior vesical vein (document excerpt: "The vesical branch of the pelvic plexus runs parallel to the superior vesical vein"; </w:t>
            </w:r>
            <w:r w:rsidRPr="00CB2EC4">
              <w:rPr>
                <w:rFonts w:ascii="Times New Roman" w:hAnsi="Times New Roman" w:cs="Times New Roman"/>
              </w:rPr>
              <w:lastRenderedPageBreak/>
              <w:t xml:space="preserve">"Figure 161a,b shows the hypogastric nerve entering the rectal lateral ligament to form the pelvic plexus").  </w:t>
            </w:r>
            <w:r w:rsidRPr="00CB2EC4">
              <w:rPr>
                <w:rFonts w:ascii="Times New Roman" w:hAnsi="Times New Roman" w:cs="Times New Roman"/>
              </w:rPr>
              <w:br/>
              <w:t xml:space="preserve">  - Safe division principles:  </w:t>
            </w:r>
            <w:r w:rsidRPr="00CB2EC4">
              <w:rPr>
                <w:rFonts w:ascii="Times New Roman" w:hAnsi="Times New Roman" w:cs="Times New Roman"/>
              </w:rPr>
              <w:br/>
              <w:t xml:space="preserve">    1. Use fine instruments (e.g., harmonic scalpel) to dissect the ligament; avoid blind division. First, completely skeletonize the deep uterine vein (Figure 159), ensuring it is clearly visible dorsal to the rectovaginal ligament, before dividing the ligament (document excerpt: "Pause slightly dorsal to the deep uterine vein; complete management of the deep uterine vein before dividing the rectovaginal ligament").  </w:t>
            </w:r>
            <w:r w:rsidRPr="00CB2EC4">
              <w:rPr>
                <w:rFonts w:ascii="Times New Roman" w:hAnsi="Times New Roman" w:cs="Times New Roman"/>
              </w:rPr>
              <w:br/>
              <w:t xml:space="preserve">    2. Target the transition point where the deep uterine vein merges dorsal to the rectovaginal ligament; clamp with Kelly forceps, divide, and ligate (Figure 134), or use electrocautery/LigaSure device to minimize bleeding (document excerpt: "Clamp with two Kelly forceps, divide between them and ligate; no significant vessels here, electrocautery division is feasible").  </w:t>
            </w:r>
            <w:r w:rsidRPr="00CB2EC4">
              <w:rPr>
                <w:rFonts w:ascii="Times New Roman" w:hAnsi="Times New Roman" w:cs="Times New Roman"/>
              </w:rPr>
              <w:br/>
              <w:t xml:space="preserve">    3. Nerve preservation method: Separate the nerve plexus from the vascular component of the ligament and divide only the vascular bundle (e.g., middle vesical vein), preserving the neural portion (document excerpt: "After separating the vascular component of the vesicocervical ligament posterior layer, preserve the neural branch"; "Avoid damaging the pelvic plexus, preserve pelvic visceral nerves").  </w:t>
            </w:r>
            <w:r w:rsidRPr="00CB2EC4">
              <w:rPr>
                <w:rFonts w:ascii="Times New Roman" w:hAnsi="Times New Roman" w:cs="Times New Roman"/>
              </w:rPr>
              <w:br/>
              <w:t xml:space="preserve">- Risk control: Limit the division to the lower margin of the deep uterine vein (Figure 135), avoiding excessive dissection into the superior fascia of the levator ani muscle to prevent injury to the sacral venous plexus and nerves (document excerpt: "Depth of division can be adjusted, deeper within the lateral </w:t>
            </w:r>
            <w:r w:rsidRPr="00CB2EC4">
              <w:rPr>
                <w:rFonts w:ascii="Times New Roman" w:hAnsi="Times New Roman" w:cs="Times New Roman"/>
              </w:rPr>
              <w:lastRenderedPageBreak/>
              <w:t xml:space="preserve">rectal space of Waldeyer; if preserving the pelvic plexus, the lower margin of the deep uterine vein serves as the boundary").  </w:t>
            </w:r>
            <w:r w:rsidRPr="00CB2EC4">
              <w:rPr>
                <w:rFonts w:ascii="Times New Roman" w:hAnsi="Times New Roman" w:cs="Times New Roman"/>
              </w:rPr>
              <w:br/>
            </w:r>
            <w:r w:rsidRPr="00CB2EC4">
              <w:rPr>
                <w:rFonts w:ascii="Times New Roman" w:hAnsi="Times New Roman" w:cs="Times New Roman"/>
              </w:rPr>
              <w:br/>
              <w:t>This approach is based on the design of nerve-sparing radical hysterectomy, aiming to minimize the risk of neural injury.</w:t>
            </w:r>
          </w:p>
        </w:tc>
        <w:tc>
          <w:tcPr>
            <w:tcW w:w="1152" w:type="dxa"/>
            <w:vAlign w:val="center"/>
          </w:tcPr>
          <w:p w14:paraId="734A42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2F912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588D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8EF695" w14:textId="77777777">
        <w:tc>
          <w:tcPr>
            <w:tcW w:w="2160" w:type="dxa"/>
            <w:vAlign w:val="center"/>
          </w:tcPr>
          <w:p w14:paraId="44773DE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2D8E7B4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found in the knowledge base.  </w:t>
            </w:r>
            <w:r w:rsidRPr="00CB2EC4">
              <w:rPr>
                <w:rFonts w:ascii="Times New Roman" w:hAnsi="Times New Roman" w:cs="Times New Roman"/>
              </w:rPr>
              <w:br/>
              <w:t xml:space="preserve">reason:  </w:t>
            </w:r>
            <w:r w:rsidRPr="00CB2EC4">
              <w:rPr>
                <w:rFonts w:ascii="Times New Roman" w:hAnsi="Times New Roman" w:cs="Times New Roman"/>
              </w:rPr>
              <w:br/>
              <w:t>- the contextual information primarily concerns steps and vascular management in cervical cancer surgeries (e.g., radical hysterectomy, modified radical hysterectomy), but does not specifically describe methods for identifying and dissecting the rectovaginal ligament to avoid injury to the pelvic nerve plexus. document fragments mention "dissection of the rectovaginal septum" (e.g., [document fragment 1]) or "rectovaginal space" (e.g., [document fragment 29]), but do not provide detailed operative techniques or neuroprotective strategies. therefore, no relevant information can be extracted from the provided context.</w:t>
            </w:r>
          </w:p>
        </w:tc>
        <w:tc>
          <w:tcPr>
            <w:tcW w:w="1152" w:type="dxa"/>
            <w:vAlign w:val="center"/>
          </w:tcPr>
          <w:p w14:paraId="4E1CC4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0B72D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E674A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CE617F3" w14:textId="77777777">
        <w:tc>
          <w:tcPr>
            <w:tcW w:w="2160" w:type="dxa"/>
            <w:vAlign w:val="center"/>
          </w:tcPr>
          <w:p w14:paraId="66969362"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9A10E1D" w14:textId="77777777" w:rsidR="00922249" w:rsidRPr="00CB2EC4" w:rsidRDefault="003011D5">
            <w:pPr>
              <w:rPr>
                <w:rFonts w:ascii="Times New Roman" w:hAnsi="Times New Roman" w:cs="Times New Roman"/>
              </w:rPr>
            </w:pPr>
            <w:r w:rsidRPr="00CB2EC4">
              <w:rPr>
                <w:rFonts w:ascii="Times New Roman" w:hAnsi="Times New Roman" w:cs="Times New Roman"/>
              </w:rPr>
              <w:t>during gynecological surgery, how to correctly identify and divide the rectovaginal ligament to avoid injury to the pelvic nerve plexus?</w:t>
            </w:r>
            <w:r w:rsidRPr="00CB2EC4">
              <w:rPr>
                <w:rFonts w:ascii="Times New Roman" w:hAnsi="Times New Roman" w:cs="Times New Roman"/>
              </w:rPr>
              <w:br/>
            </w:r>
            <w:r w:rsidRPr="00CB2EC4">
              <w:rPr>
                <w:rFonts w:ascii="Times New Roman" w:hAnsi="Times New Roman" w:cs="Times New Roman"/>
              </w:rPr>
              <w:br/>
              <w:t>in the document, the identification and division of the rectovaginal ligament is a key step in radical hysterectomy to avoid injury to the pelvic nerve plexus (i.e., the pelvic autonomic nerves). the document emphasizes protecting the nerves through anatomical dissection, with specific methods as follows:</w:t>
            </w:r>
            <w:r w:rsidRPr="00CB2EC4">
              <w:rPr>
                <w:rFonts w:ascii="Times New Roman" w:hAnsi="Times New Roman" w:cs="Times New Roman"/>
              </w:rPr>
              <w:br/>
            </w:r>
            <w:r w:rsidRPr="00CB2EC4">
              <w:rPr>
                <w:rFonts w:ascii="Times New Roman" w:hAnsi="Times New Roman" w:cs="Times New Roman"/>
              </w:rPr>
              <w:lastRenderedPageBreak/>
              <w:br/>
              <w:t>- identification location: the rectovaginal ligament is located directly below (dorsal side) the point where the uterine branch of the deep uterine vein is divided, corresponding to the position of the second clamp in the Wertheim operation. during the procedure, after opening the lateral vesicouterine space and the rectal lateral cavity, the area is localized by clamping (refer to [similarity: 0.529] segment).</w:t>
            </w:r>
            <w:r w:rsidRPr="00CB2EC4">
              <w:rPr>
                <w:rFonts w:ascii="Times New Roman" w:hAnsi="Times New Roman" w:cs="Times New Roman"/>
              </w:rPr>
              <w:br/>
              <w:t>- method to avoid nerve injury: adopt nerve-sparing technique, separating the vascular portion from the neural portion. specific steps include:</w:t>
            </w:r>
            <w:r w:rsidRPr="00CB2EC4">
              <w:rPr>
                <w:rFonts w:ascii="Times New Roman" w:hAnsi="Times New Roman" w:cs="Times New Roman"/>
              </w:rPr>
              <w:br/>
              <w:t xml:space="preserve">  - between the transverse cervical ligament and the posterior layer of the vesicouterine ligament, identify the vascular-nerve triangle (composed of loose connective tissue).</w:t>
            </w:r>
            <w:r w:rsidRPr="00CB2EC4">
              <w:rPr>
                <w:rFonts w:ascii="Times New Roman" w:hAnsi="Times New Roman" w:cs="Times New Roman"/>
              </w:rPr>
              <w:br/>
              <w:t xml:space="preserve">  - separate the main ligament vascular bundle from the deep autonomic nerves, cutting only the vascular portion while preserving the neural portion. this is achieved through meticulous dissection, such as using an ultrasonic scalpel to assist separation, avoiding mass ligation (Massengigatur), to reduce injury to the nerve plexus (refer to [similarity: 0.452] segment).</w:t>
            </w:r>
            <w:r w:rsidRPr="00CB2EC4">
              <w:rPr>
                <w:rFonts w:ascii="Times New Roman" w:hAnsi="Times New Roman" w:cs="Times New Roman"/>
              </w:rPr>
              <w:br/>
              <w:t xml:space="preserve">  - during division, avoid excessive traction or blind clamping to prevent nerve injury. the document states that nerve-sparing surgery requires intraoperative visualization of the ureter and pelvic autonomic nerve course to ensure the procedure is performed under direct vision (refer to [similarity: 0.452] segment).</w:t>
            </w:r>
            <w:r w:rsidRPr="00CB2EC4">
              <w:rPr>
                <w:rFonts w:ascii="Times New Roman" w:hAnsi="Times New Roman" w:cs="Times New Roman"/>
              </w:rPr>
              <w:br/>
            </w:r>
            <w:r w:rsidRPr="00CB2EC4">
              <w:rPr>
                <w:rFonts w:ascii="Times New Roman" w:hAnsi="Times New Roman" w:cs="Times New Roman"/>
              </w:rPr>
              <w:br/>
              <w:t xml:space="preserve">in summary, correct identification relies on anatomical landmarks (such as the deep uterine vein position), and division employs a separation technique targeting only the vascular part to protect the pelvic nerve </w:t>
            </w:r>
            <w:r w:rsidRPr="00CB2EC4">
              <w:rPr>
                <w:rFonts w:ascii="Times New Roman" w:hAnsi="Times New Roman" w:cs="Times New Roman"/>
              </w:rPr>
              <w:lastRenderedPageBreak/>
              <w:t>plexus.</w:t>
            </w:r>
          </w:p>
        </w:tc>
        <w:tc>
          <w:tcPr>
            <w:tcW w:w="1152" w:type="dxa"/>
            <w:vAlign w:val="center"/>
          </w:tcPr>
          <w:p w14:paraId="72A73D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4EF8F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55946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15591D6" w14:textId="77777777">
        <w:tc>
          <w:tcPr>
            <w:tcW w:w="2160" w:type="dxa"/>
            <w:vAlign w:val="center"/>
          </w:tcPr>
          <w:p w14:paraId="7231727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6E00E0A5" w14:textId="77777777" w:rsidR="00922249" w:rsidRPr="00CB2EC4" w:rsidRDefault="003011D5">
            <w:pPr>
              <w:rPr>
                <w:rFonts w:ascii="Times New Roman" w:hAnsi="Times New Roman" w:cs="Times New Roman"/>
              </w:rPr>
            </w:pPr>
            <w:r w:rsidRPr="00CB2EC4">
              <w:rPr>
                <w:rFonts w:ascii="Times New Roman" w:hAnsi="Times New Roman" w:cs="Times New Roman"/>
              </w:rPr>
              <w:t>in gynecological surgery, how to correctly identify and divide the rectovaginal ligament to avoid injury to the pelvic plexus?</w:t>
            </w:r>
            <w:r w:rsidRPr="00CB2EC4">
              <w:rPr>
                <w:rFonts w:ascii="Times New Roman" w:hAnsi="Times New Roman" w:cs="Times New Roman"/>
              </w:rPr>
              <w:br/>
            </w:r>
            <w:r w:rsidRPr="00CB2EC4">
              <w:rPr>
                <w:rFonts w:ascii="Times New Roman" w:hAnsi="Times New Roman" w:cs="Times New Roman"/>
              </w:rPr>
              <w:br/>
              <w:t>Based on contextual information (document fragments 1, 2, 4, 6, 7), the key steps for correct identification and division of the rectovaginal ligament to avoid pelvic plexus injury are as follows:</w:t>
            </w:r>
            <w:r w:rsidRPr="00CB2EC4">
              <w:rPr>
                <w:rFonts w:ascii="Times New Roman" w:hAnsi="Times New Roman" w:cs="Times New Roman"/>
              </w:rPr>
              <w:br/>
              <w:t xml:space="preserve">- Identification of the rectovaginal ligament:  </w:t>
            </w:r>
            <w:r w:rsidRPr="00CB2EC4">
              <w:rPr>
                <w:rFonts w:ascii="Times New Roman" w:hAnsi="Times New Roman" w:cs="Times New Roman"/>
              </w:rPr>
              <w:br/>
              <w:t xml:space="preserve">  First, the rectovaginal septum must be expanded. Separate the rectal proper fascia and the vaginal adventitia to thin out the ligament (document fragment 1). The rectovaginal ligament is located dorsal to the uterosacral ligament and is often associated with the deep uterine vein. The target point for identification is where the deep uterine vein transitions to the dorsal side of the rectovaginal ligament (document fragment 1), and observe the course of the hypogastric nerve (running along the dorsolateral edge of the rectum), ensuring the nerve remains attached to the ureteric plate (document fragment 1).</w:t>
            </w:r>
            <w:r w:rsidRPr="00CB2EC4">
              <w:rPr>
                <w:rFonts w:ascii="Times New Roman" w:hAnsi="Times New Roman" w:cs="Times New Roman"/>
              </w:rPr>
              <w:br/>
              <w:t xml:space="preserve">  </w:t>
            </w:r>
            <w:r w:rsidRPr="00CB2EC4">
              <w:rPr>
                <w:rFonts w:ascii="Times New Roman" w:hAnsi="Times New Roman" w:cs="Times New Roman"/>
              </w:rPr>
              <w:br/>
              <w:t xml:space="preserve">- Division procedure:  </w:t>
            </w:r>
            <w:r w:rsidRPr="00CB2EC4">
              <w:rPr>
                <w:rFonts w:ascii="Times New Roman" w:hAnsi="Times New Roman" w:cs="Times New Roman"/>
              </w:rPr>
              <w:br/>
              <w:t xml:space="preserve">  - Avoid direct nerve injury: The pelvic plexus is at approximately the same level as the hypogastric nerve; during division, the hypogastric nerve should remain attached to the ureteric plate to avoid dissection (document fragment 1). The division point is chosen slightly dorsal to the deep uterine vein; first manage the deep uterine vein, then divide the rectovaginal ligament (document fragment 1).  </w:t>
            </w:r>
            <w:r w:rsidRPr="00CB2EC4">
              <w:rPr>
                <w:rFonts w:ascii="Times New Roman" w:hAnsi="Times New Roman" w:cs="Times New Roman"/>
              </w:rPr>
              <w:br/>
              <w:t xml:space="preserve">  - Specific method: Grasp the rectovaginal ligament with Kelly forceps (typically two), divide it in the </w:t>
            </w:r>
            <w:r w:rsidRPr="00CB2EC4">
              <w:rPr>
                <w:rFonts w:ascii="Times New Roman" w:hAnsi="Times New Roman" w:cs="Times New Roman"/>
              </w:rPr>
              <w:lastRenderedPageBreak/>
              <w:t xml:space="preserve">middle, and ligate (document fragment 1). As there are no significant vessels here, electrocautery or LigaSure device may be used for division (document fragment 1). The extent of division is controlled at the lower margin of the deep uterine vein to preserve the pelvic plexus (document fragments 1, 2).  </w:t>
            </w:r>
            <w:r w:rsidRPr="00CB2EC4">
              <w:rPr>
                <w:rFonts w:ascii="Times New Roman" w:hAnsi="Times New Roman" w:cs="Times New Roman"/>
              </w:rPr>
              <w:br/>
              <w:t xml:space="preserve">  - Nerve preservation strategy: Perform rectal dissection medial to the pelvic plexus (total mesorectal excision/TME); avoid resection of the rectal lateral ligament unless there is deep cancer infiltration (document fragment 2). For cases with infiltration limited to uterine/vaginal ligaments, resection of the rectal lateral ligament is unnecessary, allowing effective nerve preservation (document fragment 2).</w:t>
            </w:r>
            <w:r w:rsidRPr="00CB2EC4">
              <w:rPr>
                <w:rFonts w:ascii="Times New Roman" w:hAnsi="Times New Roman" w:cs="Times New Roman"/>
              </w:rPr>
              <w:br/>
            </w:r>
            <w:r w:rsidRPr="00CB2EC4">
              <w:rPr>
                <w:rFonts w:ascii="Times New Roman" w:hAnsi="Times New Roman" w:cs="Times New Roman"/>
              </w:rPr>
              <w:br/>
              <w:t>This approach relies on anatomical landmarks (deep uterine vein) and nerve position to ensure radicality while minimizing the risk of neural injury.</w:t>
            </w:r>
          </w:p>
        </w:tc>
        <w:tc>
          <w:tcPr>
            <w:tcW w:w="1152" w:type="dxa"/>
            <w:vAlign w:val="center"/>
          </w:tcPr>
          <w:p w14:paraId="32B71A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589CE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2B693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B80A0A0" w14:textId="77777777">
        <w:tc>
          <w:tcPr>
            <w:tcW w:w="2160" w:type="dxa"/>
            <w:vAlign w:val="center"/>
          </w:tcPr>
          <w:p w14:paraId="3AC89510"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C0B5AE2" w14:textId="77777777" w:rsidR="00922249" w:rsidRPr="00CB2EC4" w:rsidRDefault="003011D5">
            <w:pPr>
              <w:rPr>
                <w:rFonts w:ascii="Times New Roman" w:hAnsi="Times New Roman" w:cs="Times New Roman"/>
              </w:rPr>
            </w:pPr>
            <w:r w:rsidRPr="00CB2EC4">
              <w:rPr>
                <w:rFonts w:ascii="Times New Roman" w:hAnsi="Times New Roman" w:cs="Times New Roman"/>
              </w:rPr>
              <w:t>in gynecological surgery, how to correctly identify and divide the rectovaginal ligament to avoid injury to the pelvic nerve plexus?</w:t>
            </w:r>
            <w:r w:rsidRPr="00CB2EC4">
              <w:rPr>
                <w:rFonts w:ascii="Times New Roman" w:hAnsi="Times New Roman" w:cs="Times New Roman"/>
              </w:rPr>
              <w:br/>
            </w:r>
            <w:r w:rsidRPr="00CB2EC4">
              <w:rPr>
                <w:rFonts w:ascii="Times New Roman" w:hAnsi="Times New Roman" w:cs="Times New Roman"/>
              </w:rPr>
              <w:br/>
              <w:t>in the context, the management of the rectovaginal ligament (also termed the rectouterine/vaginal ligament) is a key step in nerve-sparing radical hysterectomy, aiming to preserve the pelvic nerve plexus (including the pelvic plexus and its vesical branch). based on context (relevant segments 4 and 5), the steps for correct identification and division are as follows:</w:t>
            </w:r>
            <w:r w:rsidRPr="00CB2EC4">
              <w:rPr>
                <w:rFonts w:ascii="Times New Roman" w:hAnsi="Times New Roman" w:cs="Times New Roman"/>
              </w:rPr>
              <w:br/>
              <w:t xml:space="preserve">- identification method:  </w:t>
            </w:r>
            <w:r w:rsidRPr="00CB2EC4">
              <w:rPr>
                <w:rFonts w:ascii="Times New Roman" w:hAnsi="Times New Roman" w:cs="Times New Roman"/>
              </w:rPr>
              <w:br/>
              <w:t xml:space="preserve">  expose the ligament by developing the relevant spaces. first, open the Okabayashi pararectal space </w:t>
            </w:r>
            <w:r w:rsidRPr="00CB2EC4">
              <w:rPr>
                <w:rFonts w:ascii="Times New Roman" w:hAnsi="Times New Roman" w:cs="Times New Roman"/>
              </w:rPr>
              <w:lastRenderedPageBreak/>
              <w:t>and the Latzko pararectal space (segments 1 and 4), which helps reveal the position of the rectovaginal ligament. the ligament lies within the rectovaginal septum, connecting the rectum to the vagina/cervix. during surgery, the rectovaginal septum must be separated (segment 5: "separate the rectovaginal septum") to clearly identify the ligament. the pelvic nerve plexus typically courses deep to or adjacent to the ligament, so manipulation should avoid clamping or dividing it blindly as a whole.</w:t>
            </w:r>
            <w:r w:rsidRPr="00CB2EC4">
              <w:rPr>
                <w:rFonts w:ascii="Times New Roman" w:hAnsi="Times New Roman" w:cs="Times New Roman"/>
              </w:rPr>
              <w:br/>
              <w:t xml:space="preserve">- division method:  </w:t>
            </w:r>
            <w:r w:rsidRPr="00CB2EC4">
              <w:rPr>
                <w:rFonts w:ascii="Times New Roman" w:hAnsi="Times New Roman" w:cs="Times New Roman"/>
              </w:rPr>
              <w:br/>
              <w:t xml:space="preserve">  employ meticulous dissection techniques, avoiding mass ligation. specific steps include:</w:t>
            </w:r>
            <w:r w:rsidRPr="00CB2EC4">
              <w:rPr>
                <w:rFonts w:ascii="Times New Roman" w:hAnsi="Times New Roman" w:cs="Times New Roman"/>
              </w:rPr>
              <w:br/>
              <w:t xml:space="preserve">  - within the rectovaginal space, use forceps or an ultrasonic device to separate the ligament layer by layer (segment 4: "divide the ligament into fascial and vascular parts; first cut the fascia, then separate the vessels individually").</w:t>
            </w:r>
            <w:r w:rsidRPr="00CB2EC4">
              <w:rPr>
                <w:rFonts w:ascii="Times New Roman" w:hAnsi="Times New Roman" w:cs="Times New Roman"/>
              </w:rPr>
              <w:br/>
              <w:t xml:space="preserve">  - the division point should be selected directly dorsal to where the deep uterine vein branch has been divided, by inserting and clamping with the outer blade of the forceps (segment 5: "divide the rectovaginal ligament: insert the outer blade of the forceps and clamp directly below (dorsal to) the divided deep uterine vein branch").</w:t>
            </w:r>
            <w:r w:rsidRPr="00CB2EC4">
              <w:rPr>
                <w:rFonts w:ascii="Times New Roman" w:hAnsi="Times New Roman" w:cs="Times New Roman"/>
              </w:rPr>
              <w:br/>
              <w:t xml:space="preserve">  - prefer using an ultrasonic device or bipolar electrocautery for precise division to minimize bleeding and thermal injury risk (segment 4: "cut with ultrasonic device to avoid nerve injury").</w:t>
            </w:r>
            <w:r w:rsidRPr="00CB2EC4">
              <w:rPr>
                <w:rFonts w:ascii="Times New Roman" w:hAnsi="Times New Roman" w:cs="Times New Roman"/>
              </w:rPr>
              <w:br/>
              <w:t xml:space="preserve">- avoiding nerve injury:  </w:t>
            </w:r>
            <w:r w:rsidRPr="00CB2EC4">
              <w:rPr>
                <w:rFonts w:ascii="Times New Roman" w:hAnsi="Times New Roman" w:cs="Times New Roman"/>
              </w:rPr>
              <w:br/>
              <w:t xml:space="preserve">  design the procedure with a focus on preserving the pelvic nerve plexus (segment 4: "the goal is to preserve the pelvic nerve plexus and its vesical branch"). by addressing the ligament in parts rather </w:t>
            </w:r>
            <w:r w:rsidRPr="00CB2EC4">
              <w:rPr>
                <w:rFonts w:ascii="Times New Roman" w:hAnsi="Times New Roman" w:cs="Times New Roman"/>
              </w:rPr>
              <w:lastRenderedPageBreak/>
              <w:t>than en bloc, and ensuring dissection remains superficial to the ligament, avoiding deep entry into areas where nerves course (such as the vascular-nerve triangle of the main ligament).</w:t>
            </w:r>
            <w:r w:rsidRPr="00CB2EC4">
              <w:rPr>
                <w:rFonts w:ascii="Times New Roman" w:hAnsi="Times New Roman" w:cs="Times New Roman"/>
              </w:rPr>
              <w:br/>
            </w:r>
            <w:r w:rsidRPr="00CB2EC4">
              <w:rPr>
                <w:rFonts w:ascii="Times New Roman" w:hAnsi="Times New Roman" w:cs="Times New Roman"/>
              </w:rPr>
              <w:br/>
              <w:t>this approach is based on the nerve-sparing technique described in the segments, ensuring anatomical accuracy.</w:t>
            </w:r>
          </w:p>
        </w:tc>
        <w:tc>
          <w:tcPr>
            <w:tcW w:w="1152" w:type="dxa"/>
            <w:vAlign w:val="center"/>
          </w:tcPr>
          <w:p w14:paraId="1AAA62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589E1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59977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3C2AEDC" w14:textId="77777777">
        <w:tc>
          <w:tcPr>
            <w:tcW w:w="2160" w:type="dxa"/>
            <w:vAlign w:val="center"/>
          </w:tcPr>
          <w:p w14:paraId="209EF3D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0CFC5CAA" w14:textId="77777777" w:rsidR="00922249" w:rsidRPr="00CB2EC4" w:rsidRDefault="003011D5">
            <w:pPr>
              <w:rPr>
                <w:rFonts w:ascii="Times New Roman" w:hAnsi="Times New Roman" w:cs="Times New Roman"/>
              </w:rPr>
            </w:pPr>
            <w:r w:rsidRPr="00CB2EC4">
              <w:rPr>
                <w:rFonts w:ascii="Times New Roman" w:hAnsi="Times New Roman" w:cs="Times New Roman"/>
              </w:rPr>
              <w:t>- Identification steps: First, confirm the ureter and rectovaginal space in pelvic anatomy; the rectovaginal ligament (also termed uterosacral ligament or rectal pillar) is located lateral to the rectum, connecting the rectum to the posterior vaginal wall, with the pelvic plexus (inferior hypogastric plexus) adjacent laterally. Dissection must be performed under direct visualization after separating the posterior part of the vesicouterine ligament to expose this ligament, avoiding excessive traction.</w:t>
            </w:r>
            <w:r w:rsidRPr="00CB2EC4">
              <w:rPr>
                <w:rFonts w:ascii="Times New Roman" w:hAnsi="Times New Roman" w:cs="Times New Roman"/>
              </w:rPr>
              <w:br/>
              <w:t>- Dissection steps: Using fine scissors or electrocautery, incise at the medial one-third of the ligament (away from the neural plexus area), maintaining the dissection plane superficial to the ligament and avoiding deep lateral dissection into the neural plexus region. Perform gentle dissection, limiting the length to within 2–3 cm, and utilize intraoperative neuro-monitoring when available to reduce the risk of neural injury.</w:t>
            </w:r>
            <w:r w:rsidRPr="00CB2EC4">
              <w:rPr>
                <w:rFonts w:ascii="Times New Roman" w:hAnsi="Times New Roman" w:cs="Times New Roman"/>
              </w:rPr>
              <w:br/>
              <w:t>- Key principles: Emphasize nerve-sparing anatomical techniques; dissection is limited to the fibrous portion of the ligament, avoiding the lateral areas rich in neural plexus, to reduce the risk of postoperative bladder dysfunction.</w:t>
            </w:r>
          </w:p>
        </w:tc>
        <w:tc>
          <w:tcPr>
            <w:tcW w:w="1152" w:type="dxa"/>
            <w:vAlign w:val="center"/>
          </w:tcPr>
          <w:p w14:paraId="487BA1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9DD57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B602D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8A40FD3" w14:textId="77777777">
        <w:tc>
          <w:tcPr>
            <w:tcW w:w="10656" w:type="dxa"/>
            <w:gridSpan w:val="5"/>
            <w:tcBorders>
              <w:bottom w:val="single" w:sz="6" w:space="0" w:color="auto"/>
            </w:tcBorders>
            <w:vAlign w:val="center"/>
          </w:tcPr>
          <w:p w14:paraId="1EBB0B0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127: What are the specific surgical steps of the Davydov procedure for suturing the vaginal cuff?</w:t>
            </w:r>
          </w:p>
        </w:tc>
      </w:tr>
      <w:tr w:rsidR="00922249" w:rsidRPr="00CB2EC4" w14:paraId="19DEB605" w14:textId="77777777">
        <w:tc>
          <w:tcPr>
            <w:tcW w:w="2160" w:type="dxa"/>
            <w:vAlign w:val="center"/>
          </w:tcPr>
          <w:p w14:paraId="18FFCF2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Enrichment</w:t>
            </w:r>
          </w:p>
        </w:tc>
        <w:tc>
          <w:tcPr>
            <w:tcW w:w="5040" w:type="dxa"/>
            <w:vAlign w:val="center"/>
          </w:tcPr>
          <w:p w14:paraId="28BB8355"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about the Davydov method or its specific steps for vaginal stump suturing was found in the provided document. The document describes general vaginal stump suturing techniques, such as using 0</w:t>
            </w:r>
            <w:r w:rsidRPr="00CB2EC4">
              <w:rPr>
                <w:rFonts w:ascii="Times New Roman" w:hAnsi="Times New Roman" w:cs="Times New Roman"/>
              </w:rPr>
              <w:t>号</w:t>
            </w:r>
            <w:r w:rsidRPr="00CB2EC4">
              <w:rPr>
                <w:rFonts w:ascii="Times New Roman" w:hAnsi="Times New Roman" w:cs="Times New Roman"/>
              </w:rPr>
              <w:t xml:space="preserve"> PGA sutures or 0</w:t>
            </w:r>
            <w:r w:rsidRPr="00CB2EC4">
              <w:rPr>
                <w:rFonts w:ascii="Times New Roman" w:hAnsi="Times New Roman" w:cs="Times New Roman"/>
              </w:rPr>
              <w:t>号</w:t>
            </w:r>
            <w:r w:rsidRPr="00CB2EC4">
              <w:rPr>
                <w:rFonts w:ascii="Times New Roman" w:hAnsi="Times New Roman" w:cs="Times New Roman"/>
              </w:rPr>
              <w:t xml:space="preserve"> catgut sutures in interrupted figure-of-eight or continuous locking patterns, but does not specify the Davydov method. Therefore, the requested detailed steps for the Davydov method are not available in the knowledge base.</w:t>
            </w:r>
          </w:p>
        </w:tc>
        <w:tc>
          <w:tcPr>
            <w:tcW w:w="1152" w:type="dxa"/>
            <w:vAlign w:val="center"/>
          </w:tcPr>
          <w:p w14:paraId="3CAA1E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552D8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64541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CF42E86" w14:textId="77777777">
        <w:tc>
          <w:tcPr>
            <w:tcW w:w="2160" w:type="dxa"/>
            <w:vAlign w:val="center"/>
          </w:tcPr>
          <w:p w14:paraId="0FF9AD2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8750BC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To avoid vaginal shortening during vaginal stump suturing, the peritoneal coverage method is employed.  </w:t>
            </w:r>
            <w:r w:rsidRPr="00CB2EC4">
              <w:rPr>
                <w:rFonts w:ascii="Times New Roman" w:hAnsi="Times New Roman" w:cs="Times New Roman"/>
              </w:rPr>
              <w:br/>
              <w:t xml:space="preserve">2. The bladder peritoneum is sutured to the anterior vaginal stump.  </w:t>
            </w:r>
            <w:r w:rsidRPr="00CB2EC4">
              <w:rPr>
                <w:rFonts w:ascii="Times New Roman" w:hAnsi="Times New Roman" w:cs="Times New Roman"/>
              </w:rPr>
              <w:br/>
              <w:t xml:space="preserve">3. The peritoneum of the Douglas pouch (rectouterine pouch) is sutured to the posterior vaginal stump.  </w:t>
            </w:r>
            <w:r w:rsidRPr="00CB2EC4">
              <w:rPr>
                <w:rFonts w:ascii="Times New Roman" w:hAnsi="Times New Roman" w:cs="Times New Roman"/>
              </w:rPr>
              <w:br/>
              <w:t xml:space="preserve">4. After completion, the vaginal length is predicted and adjusted.  </w:t>
            </w:r>
            <w:r w:rsidRPr="00CB2EC4">
              <w:rPr>
                <w:rFonts w:ascii="Times New Roman" w:hAnsi="Times New Roman" w:cs="Times New Roman"/>
              </w:rPr>
              <w:br/>
              <w:t xml:space="preserve">5. Finally, the two peritoneal flaps (bladder peritoneum and Douglas pouch peritoneum) are sutured together to maintain vaginal length and reduce the risk of shortening.  </w:t>
            </w:r>
            <w:r w:rsidRPr="00CB2EC4">
              <w:rPr>
                <w:rFonts w:ascii="Times New Roman" w:hAnsi="Times New Roman" w:cs="Times New Roman"/>
              </w:rPr>
              <w:br/>
              <w:t>This method is cited from Endo’s surgical text (Figure 169) and aims to optimize postoperative vaginal function through peritoneal coverage.</w:t>
            </w:r>
          </w:p>
        </w:tc>
        <w:tc>
          <w:tcPr>
            <w:tcW w:w="1152" w:type="dxa"/>
            <w:vAlign w:val="center"/>
          </w:tcPr>
          <w:p w14:paraId="3D52DF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4535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24EF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BAC403" w14:textId="77777777">
        <w:tc>
          <w:tcPr>
            <w:tcW w:w="2160" w:type="dxa"/>
            <w:vAlign w:val="center"/>
          </w:tcPr>
          <w:p w14:paraId="1EA9B23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F275C5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specific operational steps of the Davydov method in vaginal stump suturing are as follows:  </w:t>
            </w:r>
            <w:r w:rsidRPr="00CB2EC4">
              <w:rPr>
                <w:rFonts w:ascii="Times New Roman" w:hAnsi="Times New Roman" w:cs="Times New Roman"/>
              </w:rPr>
              <w:br/>
              <w:t xml:space="preserve">1. Suture the bladder peritoneum to the anterior vaginal wall: using absorbable suture, perform nodular (or continuous) suturing of the bladder peritoneum to the vaginal stump at the anterior vaginal wall.  </w:t>
            </w:r>
            <w:r w:rsidRPr="00CB2EC4">
              <w:rPr>
                <w:rFonts w:ascii="Times New Roman" w:hAnsi="Times New Roman" w:cs="Times New Roman"/>
              </w:rPr>
              <w:br/>
              <w:t xml:space="preserve">2. Suture the rectal serosa to the posterior vaginal wall: similarly using absorbable suture, perform </w:t>
            </w:r>
            <w:r w:rsidRPr="00CB2EC4">
              <w:rPr>
                <w:rFonts w:ascii="Times New Roman" w:hAnsi="Times New Roman" w:cs="Times New Roman"/>
              </w:rPr>
              <w:lastRenderedPageBreak/>
              <w:t xml:space="preserve">nodular suturing of the peritoneum of the Douglas pouch (rectal serosa) to the vaginal stump at the posterior vaginal wall.  </w:t>
            </w:r>
            <w:r w:rsidRPr="00CB2EC4">
              <w:rPr>
                <w:rFonts w:ascii="Times New Roman" w:hAnsi="Times New Roman" w:cs="Times New Roman"/>
              </w:rPr>
              <w:br/>
              <w:t xml:space="preserve">3. Intermediate suture: finally, suture the bladder peritoneum and rectal serosa together at the midline ("midline tongue") to close the vaginal stump.  </w:t>
            </w:r>
            <w:r w:rsidRPr="00CB2EC4">
              <w:rPr>
                <w:rFonts w:ascii="Times New Roman" w:hAnsi="Times New Roman" w:cs="Times New Roman"/>
              </w:rPr>
              <w:br/>
              <w:t>It is also mentioned that this method can be used to avoid vaginal shortening and may be combined with absorbable mesh to form the stump end, which is then covered with bladder peritoneum for enhanced effect.</w:t>
            </w:r>
          </w:p>
        </w:tc>
        <w:tc>
          <w:tcPr>
            <w:tcW w:w="1152" w:type="dxa"/>
            <w:vAlign w:val="center"/>
          </w:tcPr>
          <w:p w14:paraId="540D9C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931AF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1F16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79974D" w14:textId="77777777">
        <w:tc>
          <w:tcPr>
            <w:tcW w:w="2160" w:type="dxa"/>
            <w:vAlign w:val="center"/>
          </w:tcPr>
          <w:p w14:paraId="70FE8592"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F57341D"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operational steps of the Davydov method in vaginal stump suturing are as follows:</w:t>
            </w:r>
            <w:r w:rsidRPr="00CB2EC4">
              <w:rPr>
                <w:rFonts w:ascii="Times New Roman" w:hAnsi="Times New Roman" w:cs="Times New Roman"/>
              </w:rPr>
              <w:br/>
            </w:r>
            <w:r w:rsidRPr="00CB2EC4">
              <w:rPr>
                <w:rFonts w:ascii="Times New Roman" w:hAnsi="Times New Roman" w:cs="Times New Roman"/>
              </w:rPr>
              <w:br/>
              <w:t xml:space="preserve">1. Circumferential incision of the vaginal wall is made, followed by suturing and closure of the stump to form a "cuff" structure.  </w:t>
            </w:r>
            <w:r w:rsidRPr="00CB2EC4">
              <w:rPr>
                <w:rFonts w:ascii="Times New Roman" w:hAnsi="Times New Roman" w:cs="Times New Roman"/>
              </w:rPr>
              <w:br/>
              <w:t xml:space="preserve">2. The residual sacrospinous ligament, cardinal ligament, and vaginal wall are anchored together with sutures to reinforce pelvic floor support.  </w:t>
            </w:r>
            <w:r w:rsidRPr="00CB2EC4">
              <w:rPr>
                <w:rFonts w:ascii="Times New Roman" w:hAnsi="Times New Roman" w:cs="Times New Roman"/>
              </w:rPr>
              <w:br/>
              <w:t xml:space="preserve">3. Continuous suturing of the vaginal mucosa is performed to maintain vaginal depth (applicable for vaginoplasty or radical surgery).  </w:t>
            </w:r>
            <w:r w:rsidRPr="00CB2EC4">
              <w:rPr>
                <w:rFonts w:ascii="Times New Roman" w:hAnsi="Times New Roman" w:cs="Times New Roman"/>
              </w:rPr>
              <w:br/>
            </w:r>
            <w:r w:rsidRPr="00CB2EC4">
              <w:rPr>
                <w:rFonts w:ascii="Times New Roman" w:hAnsi="Times New Roman" w:cs="Times New Roman"/>
              </w:rPr>
              <w:br/>
              <w:t>&gt; Core principle: Emphasis on integrating the residual cardinal ligament with the vaginal wall during suturing to reduce the risk of postoperative prolapse.</w:t>
            </w:r>
          </w:p>
        </w:tc>
        <w:tc>
          <w:tcPr>
            <w:tcW w:w="1152" w:type="dxa"/>
            <w:vAlign w:val="center"/>
          </w:tcPr>
          <w:p w14:paraId="7F7722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8851C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5B25B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89E6E09" w14:textId="77777777">
        <w:tc>
          <w:tcPr>
            <w:tcW w:w="2160" w:type="dxa"/>
            <w:vAlign w:val="center"/>
          </w:tcPr>
          <w:p w14:paraId="61AE432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5533BBB"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15276B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46121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D4EF1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796299D" w14:textId="77777777">
        <w:tc>
          <w:tcPr>
            <w:tcW w:w="2160" w:type="dxa"/>
            <w:vAlign w:val="center"/>
          </w:tcPr>
          <w:p w14:paraId="10F003B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2CB8960"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operational steps of the Davydov method in vaginal stump suturing are as follows (based on the description in document 23):</w:t>
            </w:r>
            <w:r w:rsidRPr="00CB2EC4">
              <w:rPr>
                <w:rFonts w:ascii="Times New Roman" w:hAnsi="Times New Roman" w:cs="Times New Roman"/>
              </w:rPr>
              <w:br/>
            </w:r>
            <w:r w:rsidRPr="00CB2EC4">
              <w:rPr>
                <w:rFonts w:ascii="Times New Roman" w:hAnsi="Times New Roman" w:cs="Times New Roman"/>
              </w:rPr>
              <w:br/>
              <w:t xml:space="preserve">1.  Suture the bladder peritoneum to the anterior </w:t>
            </w:r>
            <w:r w:rsidRPr="00CB2EC4">
              <w:rPr>
                <w:rFonts w:ascii="Times New Roman" w:hAnsi="Times New Roman" w:cs="Times New Roman"/>
              </w:rPr>
              <w:lastRenderedPageBreak/>
              <w:t>vaginal stump: Use absorbable suture to perform interrupted sutures between the bladder peritoneum and the anterior vaginal stump.</w:t>
            </w:r>
            <w:r w:rsidRPr="00CB2EC4">
              <w:rPr>
                <w:rFonts w:ascii="Times New Roman" w:hAnsi="Times New Roman" w:cs="Times New Roman"/>
              </w:rPr>
              <w:br/>
              <w:t>2.  Suture the Douglas pouch peritoneum to the posterior vaginal stump: Similarly, use absorbable suture to perform interrupted sutures between the rectal serosa (Douglas pouch peritoneum) and the posterior vaginal stump.</w:t>
            </w:r>
            <w:r w:rsidRPr="00CB2EC4">
              <w:rPr>
                <w:rFonts w:ascii="Times New Roman" w:hAnsi="Times New Roman" w:cs="Times New Roman"/>
              </w:rPr>
              <w:br/>
              <w:t>3.  Predict vaginal length and suture the peritoneum: After completing the above two steps, assess the vaginal length, then suture the bladder peritoneum and rectal serosa together at the midline to form a new vaginal apex. This helps maintain vaginal depth and function.</w:t>
            </w:r>
            <w:r w:rsidRPr="00CB2EC4">
              <w:rPr>
                <w:rFonts w:ascii="Times New Roman" w:hAnsi="Times New Roman" w:cs="Times New Roman"/>
              </w:rPr>
              <w:br/>
              <w:t>- This method is applicable for vaginal closure after radical hysterectomy, emphasizing the use of absorbable sutures to reduce infection risk, and may be combined with absorbable mesh reinforcement when necessary.</w:t>
            </w:r>
          </w:p>
        </w:tc>
        <w:tc>
          <w:tcPr>
            <w:tcW w:w="1152" w:type="dxa"/>
            <w:vAlign w:val="center"/>
          </w:tcPr>
          <w:p w14:paraId="356218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F4F93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EC55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A81A10" w14:textId="77777777">
        <w:tc>
          <w:tcPr>
            <w:tcW w:w="2160" w:type="dxa"/>
            <w:vAlign w:val="center"/>
          </w:tcPr>
          <w:p w14:paraId="36C73EF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4C7FFF3"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provided document.</w:t>
            </w:r>
          </w:p>
        </w:tc>
        <w:tc>
          <w:tcPr>
            <w:tcW w:w="1152" w:type="dxa"/>
            <w:vAlign w:val="center"/>
          </w:tcPr>
          <w:p w14:paraId="57B2BB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EDBC6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05414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49A63E5" w14:textId="77777777">
        <w:tc>
          <w:tcPr>
            <w:tcW w:w="2160" w:type="dxa"/>
            <w:vAlign w:val="center"/>
          </w:tcPr>
          <w:p w14:paraId="7FFCACC7"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B7D4DC0"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is available on the specific procedural steps of the Davydov method for vaginal stump suturing.</w:t>
            </w:r>
          </w:p>
        </w:tc>
        <w:tc>
          <w:tcPr>
            <w:tcW w:w="1152" w:type="dxa"/>
            <w:vAlign w:val="center"/>
          </w:tcPr>
          <w:p w14:paraId="311C71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B2EAE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8EB43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4CD5C6B" w14:textId="77777777">
        <w:tc>
          <w:tcPr>
            <w:tcW w:w="2160" w:type="dxa"/>
            <w:vAlign w:val="center"/>
          </w:tcPr>
          <w:p w14:paraId="21F71EE3"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068A40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specific operative steps of the Davydov method for vaginal stump closure are as follows:  </w:t>
            </w:r>
            <w:r w:rsidRPr="00CB2EC4">
              <w:rPr>
                <w:rFonts w:ascii="Times New Roman" w:hAnsi="Times New Roman" w:cs="Times New Roman"/>
              </w:rPr>
              <w:br/>
              <w:t xml:space="preserve">1. Suture the vesical peritoneum to the anterior vaginal wall using interrupted (or continuous) sutures.  </w:t>
            </w:r>
            <w:r w:rsidRPr="00CB2EC4">
              <w:rPr>
                <w:rFonts w:ascii="Times New Roman" w:hAnsi="Times New Roman" w:cs="Times New Roman"/>
              </w:rPr>
              <w:br/>
              <w:t xml:space="preserve">2. Suture the Douglas pouch peritoneum to the posterior vaginal wall using interrupted (or continuous) sutures.  </w:t>
            </w:r>
            <w:r w:rsidRPr="00CB2EC4">
              <w:rPr>
                <w:rFonts w:ascii="Times New Roman" w:hAnsi="Times New Roman" w:cs="Times New Roman"/>
              </w:rPr>
              <w:br/>
              <w:t xml:space="preserve">3. Final midline closure: Directly suture the vesical peritoneum and rectal serosa together at the midline tongue-shaped area to achieve closure.  </w:t>
            </w:r>
            <w:r w:rsidRPr="00CB2EC4">
              <w:rPr>
                <w:rFonts w:ascii="Times New Roman" w:hAnsi="Times New Roman" w:cs="Times New Roman"/>
              </w:rPr>
              <w:br/>
            </w:r>
            <w:r w:rsidRPr="00CB2EC4">
              <w:rPr>
                <w:rFonts w:ascii="Times New Roman" w:hAnsi="Times New Roman" w:cs="Times New Roman"/>
              </w:rPr>
              <w:lastRenderedPageBreak/>
              <w:t xml:space="preserve">- Source text: "Vaginal stump closure by Davydov method: The vesical peritoneum and anterior vaginal wall are sutured with interrupted stitches (continuous suture), likewise the rectal serosa and posterior vaginal wall. Finally, at the midline tongue-shaped area, the vesical peritoneum and rectal serosa are sutured together." (See section "Figure 169 Vaginal stump closure by Davydov method").  </w:t>
            </w:r>
            <w:r w:rsidRPr="00CB2EC4">
              <w:rPr>
                <w:rFonts w:ascii="Times New Roman" w:hAnsi="Times New Roman" w:cs="Times New Roman"/>
              </w:rPr>
              <w:br/>
              <w:t>This technique is used to reconstruct the pelvic floor and reduce postoperative complications.</w:t>
            </w:r>
          </w:p>
        </w:tc>
        <w:tc>
          <w:tcPr>
            <w:tcW w:w="1152" w:type="dxa"/>
            <w:vAlign w:val="center"/>
          </w:tcPr>
          <w:p w14:paraId="6968CD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4A9FD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64F9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5E3BF56" w14:textId="77777777">
        <w:tc>
          <w:tcPr>
            <w:tcW w:w="2160" w:type="dxa"/>
            <w:vAlign w:val="center"/>
          </w:tcPr>
          <w:p w14:paraId="255F346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06A7B2F"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steps of the Davydov method in vaginal stump suturing are as follows:</w:t>
            </w:r>
            <w:r w:rsidRPr="00CB2EC4">
              <w:rPr>
                <w:rFonts w:ascii="Times New Roman" w:hAnsi="Times New Roman" w:cs="Times New Roman"/>
              </w:rPr>
              <w:br/>
            </w:r>
            <w:r w:rsidRPr="00CB2EC4">
              <w:rPr>
                <w:rFonts w:ascii="Times New Roman" w:hAnsi="Times New Roman" w:cs="Times New Roman"/>
              </w:rPr>
              <w:br/>
              <w:t>1. Expose the surgical field and fully mobilize the tissues surrounding the vaginal stump.</w:t>
            </w:r>
            <w:r w:rsidRPr="00CB2EC4">
              <w:rPr>
                <w:rFonts w:ascii="Times New Roman" w:hAnsi="Times New Roman" w:cs="Times New Roman"/>
              </w:rPr>
              <w:br/>
              <w:t>2. Trim any irregular or necrotic edges of the vaginal stump to ensure a smooth surface.</w:t>
            </w:r>
            <w:r w:rsidRPr="00CB2EC4">
              <w:rPr>
                <w:rFonts w:ascii="Times New Roman" w:hAnsi="Times New Roman" w:cs="Times New Roman"/>
              </w:rPr>
              <w:br/>
              <w:t>3. Using a size 0 or 1 absorbable suture (e.g., polyglactin 910 suture), begin suturing from one corner of the posterior vaginal wall, employing either a continuous locking suture or interrupted "figure-of-eight" sutures to close the vaginal stump.</w:t>
            </w:r>
            <w:r w:rsidRPr="00CB2EC4">
              <w:rPr>
                <w:rFonts w:ascii="Times New Roman" w:hAnsi="Times New Roman" w:cs="Times New Roman"/>
              </w:rPr>
              <w:br/>
              <w:t>4. Ensure proper mucosal layer alignment during suturing to avoid creating dead spaces.</w:t>
            </w:r>
            <w:r w:rsidRPr="00CB2EC4">
              <w:rPr>
                <w:rFonts w:ascii="Times New Roman" w:hAnsi="Times New Roman" w:cs="Times New Roman"/>
              </w:rPr>
              <w:br/>
              <w:t>5. Suture the corresponding area of the anterior wall using the same method, maintaining symmetrical tension between the anterior and posterior walls.</w:t>
            </w:r>
            <w:r w:rsidRPr="00CB2EC4">
              <w:rPr>
                <w:rFonts w:ascii="Times New Roman" w:hAnsi="Times New Roman" w:cs="Times New Roman"/>
              </w:rPr>
              <w:br/>
              <w:t>6. If necessary, reinforce the deep portion of the stump with 1-2 full-thickness mattress sutures to enhance support.</w:t>
            </w:r>
            <w:r w:rsidRPr="00CB2EC4">
              <w:rPr>
                <w:rFonts w:ascii="Times New Roman" w:hAnsi="Times New Roman" w:cs="Times New Roman"/>
              </w:rPr>
              <w:br/>
              <w:t>7. Inspect the integrity of the sutures and confirm the absence of active bleeding.</w:t>
            </w:r>
            <w:r w:rsidRPr="00CB2EC4">
              <w:rPr>
                <w:rFonts w:ascii="Times New Roman" w:hAnsi="Times New Roman" w:cs="Times New Roman"/>
              </w:rPr>
              <w:br/>
              <w:t xml:space="preserve">8. Place sterile gauze or a drainage strip inside the vagina for hemostatic compression, removing it after </w:t>
            </w:r>
            <w:r w:rsidRPr="00CB2EC4">
              <w:rPr>
                <w:rFonts w:ascii="Times New Roman" w:hAnsi="Times New Roman" w:cs="Times New Roman"/>
              </w:rPr>
              <w:lastRenderedPageBreak/>
              <w:t>24-48 hours.</w:t>
            </w:r>
            <w:r w:rsidRPr="00CB2EC4">
              <w:rPr>
                <w:rFonts w:ascii="Times New Roman" w:hAnsi="Times New Roman" w:cs="Times New Roman"/>
              </w:rPr>
              <w:br/>
            </w:r>
            <w:r w:rsidRPr="00CB2EC4">
              <w:rPr>
                <w:rFonts w:ascii="Times New Roman" w:hAnsi="Times New Roman" w:cs="Times New Roman"/>
              </w:rPr>
              <w:br/>
              <w:t>Note: The Davydov method was originally used for vaginoplasty (e.g., congenital absence of the vagina). In the context of stump suturing, it may refer to its mucosal alignment and continuous suturing techniques. Standard procedures should be adapted based on specific clinical indications.</w:t>
            </w:r>
            <w:r w:rsidRPr="00CB2EC4">
              <w:rPr>
                <w:rFonts w:ascii="Times New Roman" w:hAnsi="Times New Roman" w:cs="Times New Roman"/>
              </w:rPr>
              <w:br/>
            </w:r>
            <w:r w:rsidRPr="00CB2EC4">
              <w:rPr>
                <w:rFonts w:ascii="Times New Roman" w:hAnsi="Times New Roman" w:cs="Times New Roman"/>
              </w:rPr>
              <w:br/>
              <w:t xml:space="preserve">No answer was found in the knowledge base.  </w:t>
            </w:r>
            <w:r w:rsidRPr="00CB2EC4">
              <w:rPr>
                <w:rFonts w:ascii="Times New Roman" w:hAnsi="Times New Roman" w:cs="Times New Roman"/>
              </w:rPr>
              <w:br/>
              <w:t xml:space="preserve">Reason:  </w:t>
            </w:r>
            <w:r w:rsidRPr="00CB2EC4">
              <w:rPr>
                <w:rFonts w:ascii="Times New Roman" w:hAnsi="Times New Roman" w:cs="Times New Roman"/>
              </w:rPr>
              <w:br/>
              <w:t>- The Davydov method is a specific vaginoplasty or suturing technique, but the provided context does not mention "Davydov" or similar terms. The document fragments describe general methods for vaginal stump suturing (e.g., [Document Fragment 3] mentions "using a size 0 synthetic absorbable suture to perform continuous locking or interrupted 'figure-of-eight' sutures starting from one corner of the vaginal angle," or [Document Fragment 15] mentions "using a size 1 absorbable suture for continuous suturing"), but they do not specify the detailed steps of the Davydov method. Therefore, relevant details cannot be extracted from the context.</w:t>
            </w:r>
          </w:p>
        </w:tc>
        <w:tc>
          <w:tcPr>
            <w:tcW w:w="1152" w:type="dxa"/>
            <w:vAlign w:val="center"/>
          </w:tcPr>
          <w:p w14:paraId="200488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8E7FD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70780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23B677F" w14:textId="77777777">
        <w:tc>
          <w:tcPr>
            <w:tcW w:w="2160" w:type="dxa"/>
            <w:vAlign w:val="center"/>
          </w:tcPr>
          <w:p w14:paraId="6D3021CD"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A8DB453"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594BC1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A5B58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D60B6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A1AB7BC" w14:textId="77777777">
        <w:tc>
          <w:tcPr>
            <w:tcW w:w="2160" w:type="dxa"/>
            <w:vAlign w:val="center"/>
          </w:tcPr>
          <w:p w14:paraId="6BFE553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718165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Suturing the vesical peritoneum to the anterior vaginal wall: The vesical peritoneum is sutured to the anterior vaginal wall with interrupted sutures (knotted sutures) to ensure tight approximation.  </w:t>
            </w:r>
            <w:r w:rsidRPr="00CB2EC4">
              <w:rPr>
                <w:rFonts w:ascii="Times New Roman" w:hAnsi="Times New Roman" w:cs="Times New Roman"/>
              </w:rPr>
              <w:br/>
              <w:t xml:space="preserve">2. Suturing the rectal serosa to the posterior vaginal wall: The rectal serosa is sutured to the posterior vaginal wall with interrupted sutures (knotted sutures).  </w:t>
            </w:r>
            <w:r w:rsidRPr="00CB2EC4">
              <w:rPr>
                <w:rFonts w:ascii="Times New Roman" w:hAnsi="Times New Roman" w:cs="Times New Roman"/>
              </w:rPr>
              <w:br/>
              <w:t xml:space="preserve">3. Suturing the vesical peritoneum to the rectal serosa: </w:t>
            </w:r>
            <w:r w:rsidRPr="00CB2EC4">
              <w:rPr>
                <w:rFonts w:ascii="Times New Roman" w:hAnsi="Times New Roman" w:cs="Times New Roman"/>
              </w:rPr>
              <w:lastRenderedPageBreak/>
              <w:t>At the midpoint of the vaginal stump ("mid-tongue"), the vesical peritoneum and rectal serosa are directly sutured together to achieve closure.</w:t>
            </w:r>
          </w:p>
        </w:tc>
        <w:tc>
          <w:tcPr>
            <w:tcW w:w="1152" w:type="dxa"/>
            <w:vAlign w:val="center"/>
          </w:tcPr>
          <w:p w14:paraId="121DEF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169CC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D901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B06FDC0" w14:textId="77777777">
        <w:tc>
          <w:tcPr>
            <w:tcW w:w="2160" w:type="dxa"/>
            <w:vAlign w:val="center"/>
          </w:tcPr>
          <w:p w14:paraId="3E075813"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ACAB44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Suture the bladder peritoneum to the anterior vaginal stump:  </w:t>
            </w:r>
            <w:r w:rsidRPr="00CB2EC4">
              <w:rPr>
                <w:rFonts w:ascii="Times New Roman" w:hAnsi="Times New Roman" w:cs="Times New Roman"/>
              </w:rPr>
              <w:br/>
              <w:t xml:space="preserve">   Using absorbable suture, attach the bladder peritoneum (dissected from the bladder reflection) to the anterior vaginal stump.</w:t>
            </w:r>
            <w:r w:rsidRPr="00CB2EC4">
              <w:rPr>
                <w:rFonts w:ascii="Times New Roman" w:hAnsi="Times New Roman" w:cs="Times New Roman"/>
              </w:rPr>
              <w:br/>
            </w:r>
            <w:r w:rsidRPr="00CB2EC4">
              <w:rPr>
                <w:rFonts w:ascii="Times New Roman" w:hAnsi="Times New Roman" w:cs="Times New Roman"/>
              </w:rPr>
              <w:br/>
              <w:t xml:space="preserve">2. Suture the rectal serosa to the posterior vaginal stump:  </w:t>
            </w:r>
            <w:r w:rsidRPr="00CB2EC4">
              <w:rPr>
                <w:rFonts w:ascii="Times New Roman" w:hAnsi="Times New Roman" w:cs="Times New Roman"/>
              </w:rPr>
              <w:br/>
              <w:t xml:space="preserve">   Using absorbable suture, attach the peritoneum of the Douglas pouch (rectal serosa) to the posterior vaginal stump.</w:t>
            </w:r>
            <w:r w:rsidRPr="00CB2EC4">
              <w:rPr>
                <w:rFonts w:ascii="Times New Roman" w:hAnsi="Times New Roman" w:cs="Times New Roman"/>
              </w:rPr>
              <w:br/>
            </w:r>
            <w:r w:rsidRPr="00CB2EC4">
              <w:rPr>
                <w:rFonts w:ascii="Times New Roman" w:hAnsi="Times New Roman" w:cs="Times New Roman"/>
              </w:rPr>
              <w:br/>
              <w:t xml:space="preserve">3. Suture the bladder peritoneum and rectal serosa together:  </w:t>
            </w:r>
            <w:r w:rsidRPr="00CB2EC4">
              <w:rPr>
                <w:rFonts w:ascii="Times New Roman" w:hAnsi="Times New Roman" w:cs="Times New Roman"/>
              </w:rPr>
              <w:br/>
              <w:t xml:space="preserve">   After completing steps 1 and 2, suture the bladder peritoneum and rectal serosa together in the midline to form a new vaginal apex.</w:t>
            </w:r>
            <w:r w:rsidRPr="00CB2EC4">
              <w:rPr>
                <w:rFonts w:ascii="Times New Roman" w:hAnsi="Times New Roman" w:cs="Times New Roman"/>
              </w:rPr>
              <w:br/>
            </w:r>
            <w:r w:rsidRPr="00CB2EC4">
              <w:rPr>
                <w:rFonts w:ascii="Times New Roman" w:hAnsi="Times New Roman" w:cs="Times New Roman"/>
              </w:rPr>
              <w:br/>
              <w:t xml:space="preserve">4. Predict vaginal length:  </w:t>
            </w:r>
            <w:r w:rsidRPr="00CB2EC4">
              <w:rPr>
                <w:rFonts w:ascii="Times New Roman" w:hAnsi="Times New Roman" w:cs="Times New Roman"/>
              </w:rPr>
              <w:br/>
              <w:t xml:space="preserve">   During suturing, assess vaginal length to avoid excessive shortening.</w:t>
            </w:r>
            <w:r w:rsidRPr="00CB2EC4">
              <w:rPr>
                <w:rFonts w:ascii="Times New Roman" w:hAnsi="Times New Roman" w:cs="Times New Roman"/>
              </w:rPr>
              <w:br/>
            </w:r>
            <w:r w:rsidRPr="00CB2EC4">
              <w:rPr>
                <w:rFonts w:ascii="Times New Roman" w:hAnsi="Times New Roman" w:cs="Times New Roman"/>
              </w:rPr>
              <w:br/>
              <w:t>This method utilizes peritoneum to cover the vaginal stumps, reducing adhesion and infection risks, and is applicable for vaginal closure following radical hysterectomy (as referenced from Endo’s surgical text in fragment 5).</w:t>
            </w:r>
          </w:p>
        </w:tc>
        <w:tc>
          <w:tcPr>
            <w:tcW w:w="1152" w:type="dxa"/>
            <w:vAlign w:val="center"/>
          </w:tcPr>
          <w:p w14:paraId="0D721C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DB36A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FCCB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754371" w14:textId="77777777">
        <w:tc>
          <w:tcPr>
            <w:tcW w:w="2160" w:type="dxa"/>
            <w:vAlign w:val="center"/>
          </w:tcPr>
          <w:p w14:paraId="56419FE4"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E9FD275"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operational steps of the Davydov method in vaginal stump suturing are as follows: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Step 1 (Preparation): After hysterectomy, fully dissect the tissues surrounding the vaginal stump to expose the entire layer of the vaginal wall.</w:t>
            </w:r>
            <w:r w:rsidRPr="00CB2EC4">
              <w:rPr>
                <w:rFonts w:ascii="Times New Roman" w:hAnsi="Times New Roman" w:cs="Times New Roman"/>
              </w:rPr>
              <w:br/>
              <w:t>- Step 2 (Suturing the vaginal wall): Suture the mucosal and muscular layers of the anterior and posterior vaginal walls separately using absorbable sutures (e.g., 2-0 Vicryl) in a continuous fashion to form a ring-like closure.</w:t>
            </w:r>
            <w:r w:rsidRPr="00CB2EC4">
              <w:rPr>
                <w:rFonts w:ascii="Times New Roman" w:hAnsi="Times New Roman" w:cs="Times New Roman"/>
              </w:rPr>
              <w:br/>
              <w:t>- Step 3 (Fixation to the sacrouterine ligament): Fix the posterior vaginal stump to the sacrouterine ligament using interrupted sutures to elevate and support the vaginal vault, preventing prolapse.</w:t>
            </w:r>
            <w:r w:rsidRPr="00CB2EC4">
              <w:rPr>
                <w:rFonts w:ascii="Times New Roman" w:hAnsi="Times New Roman" w:cs="Times New Roman"/>
              </w:rPr>
              <w:br/>
              <w:t>- Step 4 (Closure of peritoneum): Finally, cover the vaginal stump with pelvic peritoneum and suture it in place to ensure a tension-free closure.</w:t>
            </w:r>
            <w:r w:rsidRPr="00CB2EC4">
              <w:rPr>
                <w:rFonts w:ascii="Times New Roman" w:hAnsi="Times New Roman" w:cs="Times New Roman"/>
              </w:rPr>
              <w:br/>
              <w:t>- Notes: The procedure must be performed under direct vision to avoid injury to the rectum or bladder; after suturing, check for hemostasis and vaginal depth (target depth approximately 8–10 cm).</w:t>
            </w:r>
          </w:p>
        </w:tc>
        <w:tc>
          <w:tcPr>
            <w:tcW w:w="1152" w:type="dxa"/>
            <w:vAlign w:val="center"/>
          </w:tcPr>
          <w:p w14:paraId="4459AA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EE221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427D7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72B8E30" w14:textId="77777777">
        <w:tc>
          <w:tcPr>
            <w:tcW w:w="10656" w:type="dxa"/>
            <w:gridSpan w:val="5"/>
            <w:tcBorders>
              <w:bottom w:val="single" w:sz="6" w:space="0" w:color="auto"/>
            </w:tcBorders>
            <w:vAlign w:val="center"/>
          </w:tcPr>
          <w:p w14:paraId="38A904D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128: Please briefly describe the surgical procedure of a modified radical hysterectomy.</w:t>
            </w:r>
          </w:p>
        </w:tc>
      </w:tr>
      <w:tr w:rsidR="00922249" w:rsidRPr="00CB2EC4" w14:paraId="50D89E25" w14:textId="77777777">
        <w:tc>
          <w:tcPr>
            <w:tcW w:w="2160" w:type="dxa"/>
            <w:vAlign w:val="center"/>
          </w:tcPr>
          <w:p w14:paraId="6CFA985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4B3E1D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Incision: Perform an abdominal incision to enter the peritoneal cavity.  </w:t>
            </w:r>
            <w:r w:rsidRPr="00CB2EC4">
              <w:rPr>
                <w:rFonts w:ascii="Times New Roman" w:hAnsi="Times New Roman" w:cs="Times New Roman"/>
              </w:rPr>
              <w:br/>
              <w:t xml:space="preserve">2. Division of the round ligament: Cut the round ligament at the pelvic brim.  </w:t>
            </w:r>
            <w:r w:rsidRPr="00CB2EC4">
              <w:rPr>
                <w:rFonts w:ascii="Times New Roman" w:hAnsi="Times New Roman" w:cs="Times New Roman"/>
              </w:rPr>
              <w:br/>
              <w:t xml:space="preserve">3. Incision of the iliac fossa peritoneum: Expose the lateral pelvic structures.  </w:t>
            </w:r>
            <w:r w:rsidRPr="00CB2EC4">
              <w:rPr>
                <w:rFonts w:ascii="Times New Roman" w:hAnsi="Times New Roman" w:cs="Times New Roman"/>
              </w:rPr>
              <w:br/>
              <w:t xml:space="preserve">4. Opening of the bladder lateral space: Dissect down to the levator ani muscle fascia, but not to the floor.  </w:t>
            </w:r>
            <w:r w:rsidRPr="00CB2EC4">
              <w:rPr>
                <w:rFonts w:ascii="Times New Roman" w:hAnsi="Times New Roman" w:cs="Times New Roman"/>
              </w:rPr>
              <w:br/>
              <w:t xml:space="preserve">5. Pelvic lymph node dissection: Prioritize removal of anterior lymph nodes, including obturator, internal iliac, and cardinal ligament nodes; pay attention to dissection near the confluence of the obturator vessels into the internal iliac vessels, as this involves deep </w:t>
            </w:r>
            <w:r w:rsidRPr="00CB2EC4">
              <w:rPr>
                <w:rFonts w:ascii="Times New Roman" w:hAnsi="Times New Roman" w:cs="Times New Roman"/>
              </w:rPr>
              <w:lastRenderedPageBreak/>
              <w:t xml:space="preserve">uterine venous drainage.  </w:t>
            </w:r>
            <w:r w:rsidRPr="00CB2EC4">
              <w:rPr>
                <w:rFonts w:ascii="Times New Roman" w:hAnsi="Times New Roman" w:cs="Times New Roman"/>
              </w:rPr>
              <w:br/>
              <w:t xml:space="preserve">6. Opening of the Latzko rectal lateral space: Dissect to the level of the deep uterine veins.  </w:t>
            </w:r>
            <w:r w:rsidRPr="00CB2EC4">
              <w:rPr>
                <w:rFonts w:ascii="Times New Roman" w:hAnsi="Times New Roman" w:cs="Times New Roman"/>
              </w:rPr>
              <w:br/>
              <w:t xml:space="preserve">7. Incision of the vesicouterine peritoneum: Separate the bladder from the uterus.  </w:t>
            </w:r>
            <w:r w:rsidRPr="00CB2EC4">
              <w:rPr>
                <w:rFonts w:ascii="Times New Roman" w:hAnsi="Times New Roman" w:cs="Times New Roman"/>
              </w:rPr>
              <w:br/>
              <w:t xml:space="preserve">8. Isolation and division of the uterine artery: After thorough dissection around the uterine artery, divide it; the ureteric branch may be preserved (using the Fujiwara method).  </w:t>
            </w:r>
            <w:r w:rsidRPr="00CB2EC4">
              <w:rPr>
                <w:rFonts w:ascii="Times New Roman" w:hAnsi="Times New Roman" w:cs="Times New Roman"/>
              </w:rPr>
              <w:br/>
              <w:t xml:space="preserve">9. Opening of the Okabayashi rectal lateral space: Dissect the posterior ureter to form the ureteric plate.  </w:t>
            </w:r>
            <w:r w:rsidRPr="00CB2EC4">
              <w:rPr>
                <w:rFonts w:ascii="Times New Roman" w:hAnsi="Times New Roman" w:cs="Times New Roman"/>
              </w:rPr>
              <w:br/>
              <w:t xml:space="preserve">10. Subsequent steps: Including division of the infundibulopelvic ligament, incision of the Douglas pouch peritoneum, separation of the rectovaginal septum, division of the uterosacral and rectouterine ligaments, bladder mobilization, formation of the ureteric tunnel, division of the anterior layer of the vesicouterine ligament, exposure of the anterior ureter, confirmation of the superior vesical vein draining into the deep uterine vein, separation and division of the uterine branches of the deep uterine vein, division of the rectovaginal ligament, dissection of vaginal surrounding tissues, transection of the vagina and suturing, placement of a drain.  </w:t>
            </w:r>
            <w:r w:rsidRPr="00CB2EC4">
              <w:rPr>
                <w:rFonts w:ascii="Times New Roman" w:hAnsi="Times New Roman" w:cs="Times New Roman"/>
              </w:rPr>
              <w:br/>
            </w:r>
            <w:r w:rsidRPr="00CB2EC4">
              <w:rPr>
                <w:rFonts w:ascii="Times New Roman" w:hAnsi="Times New Roman" w:cs="Times New Roman"/>
              </w:rPr>
              <w:br/>
              <w:t>This procedure emphasizes systematic anatomical dissection to minimize bleeding and nerve injury, and is indicated for early-stage cervical cancer patients (the document notes this approach may become mainstream).</w:t>
            </w:r>
          </w:p>
        </w:tc>
        <w:tc>
          <w:tcPr>
            <w:tcW w:w="1152" w:type="dxa"/>
            <w:vAlign w:val="center"/>
          </w:tcPr>
          <w:p w14:paraId="63EC5F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E2071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B7D7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74CB44" w14:textId="77777777">
        <w:tc>
          <w:tcPr>
            <w:tcW w:w="2160" w:type="dxa"/>
            <w:vAlign w:val="center"/>
          </w:tcPr>
          <w:p w14:paraId="2137DD0A"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7279C2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Perform an abdominal incision to enter the peritoneal cavity.  </w:t>
            </w:r>
            <w:r w:rsidRPr="00CB2EC4">
              <w:rPr>
                <w:rFonts w:ascii="Times New Roman" w:hAnsi="Times New Roman" w:cs="Times New Roman"/>
              </w:rPr>
              <w:br/>
              <w:t xml:space="preserve">2. Division of the round ligament: Clamp, cut, and ligate the round ligament at its midportion.  </w:t>
            </w:r>
            <w:r w:rsidRPr="00CB2EC4">
              <w:rPr>
                <w:rFonts w:ascii="Times New Roman" w:hAnsi="Times New Roman" w:cs="Times New Roman"/>
              </w:rPr>
              <w:br/>
            </w:r>
            <w:r w:rsidRPr="00CB2EC4">
              <w:rPr>
                <w:rFonts w:ascii="Times New Roman" w:hAnsi="Times New Roman" w:cs="Times New Roman"/>
              </w:rPr>
              <w:lastRenderedPageBreak/>
              <w:t xml:space="preserve">3. Incision of the iliac fossa peritoneum: Expose pelvic structures.  </w:t>
            </w:r>
            <w:r w:rsidRPr="00CB2EC4">
              <w:rPr>
                <w:rFonts w:ascii="Times New Roman" w:hAnsi="Times New Roman" w:cs="Times New Roman"/>
              </w:rPr>
              <w:br/>
              <w:t xml:space="preserve">4. Opening of the bladder lateral space: Dissect to expose the superior fascia of the levator ani muscle, without extending to the inferior level.  </w:t>
            </w:r>
            <w:r w:rsidRPr="00CB2EC4">
              <w:rPr>
                <w:rFonts w:ascii="Times New Roman" w:hAnsi="Times New Roman" w:cs="Times New Roman"/>
              </w:rPr>
              <w:br/>
              <w:t xml:space="preserve">5. Pelvic lymphadenectomy: Remove anterior lymph nodes first, with emphasis on obturator, internal iliac, and cardinal ligament nodes, paying attention to the area of uterine deep vein drainage.  </w:t>
            </w:r>
            <w:r w:rsidRPr="00CB2EC4">
              <w:rPr>
                <w:rFonts w:ascii="Times New Roman" w:hAnsi="Times New Roman" w:cs="Times New Roman"/>
              </w:rPr>
              <w:br/>
              <w:t xml:space="preserve">6. Opening of the Latzko rectal lateral space: Dissect to the level of the uterine deep veins.  </w:t>
            </w:r>
            <w:r w:rsidRPr="00CB2EC4">
              <w:rPr>
                <w:rFonts w:ascii="Times New Roman" w:hAnsi="Times New Roman" w:cs="Times New Roman"/>
              </w:rPr>
              <w:br/>
              <w:t xml:space="preserve">7. Incision of the vesicouterine peritoneum: Separate the bladder from the cervical space.  </w:t>
            </w:r>
            <w:r w:rsidRPr="00CB2EC4">
              <w:rPr>
                <w:rFonts w:ascii="Times New Roman" w:hAnsi="Times New Roman" w:cs="Times New Roman"/>
              </w:rPr>
              <w:br/>
              <w:t xml:space="preserve">8. Dissection and division of the uterine artery: After thorough lymph node clearance around the uterine artery, divide it; the ureteric branch may be preserved (per Fujimoto method).  </w:t>
            </w:r>
            <w:r w:rsidRPr="00CB2EC4">
              <w:rPr>
                <w:rFonts w:ascii="Times New Roman" w:hAnsi="Times New Roman" w:cs="Times New Roman"/>
              </w:rPr>
              <w:br/>
              <w:t xml:space="preserve">9. Opening of the Okabayashi rectal lateral space: Dissect the posterior ureter to form the ureteric plate.  </w:t>
            </w:r>
            <w:r w:rsidRPr="00CB2EC4">
              <w:rPr>
                <w:rFonts w:ascii="Times New Roman" w:hAnsi="Times New Roman" w:cs="Times New Roman"/>
              </w:rPr>
              <w:br/>
              <w:t xml:space="preserve">10. Subsequent steps: Including division of the infundibulopelvic ligament, separation of the rectovaginal septum, division of the uterosacral and rectouterine ligaments, bladder mobilization, formation of the ureteric tunnel, division of the anterior layer of the vesicouterine ligament, management of the uterine deep vein, and finally hysterectomy with suturing of the vaginal stump.  </w:t>
            </w:r>
            <w:r w:rsidRPr="00CB2EC4">
              <w:rPr>
                <w:rFonts w:ascii="Times New Roman" w:hAnsi="Times New Roman" w:cs="Times New Roman"/>
              </w:rPr>
              <w:br/>
              <w:t>This procedure emphasizes systematic anatomical dissection and nerve preservation to reduce complication risks.</w:t>
            </w:r>
          </w:p>
        </w:tc>
        <w:tc>
          <w:tcPr>
            <w:tcW w:w="1152" w:type="dxa"/>
            <w:vAlign w:val="center"/>
          </w:tcPr>
          <w:p w14:paraId="459F58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D12B4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985E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48D8D8" w14:textId="77777777">
        <w:tc>
          <w:tcPr>
            <w:tcW w:w="2160" w:type="dxa"/>
            <w:vAlign w:val="center"/>
          </w:tcPr>
          <w:p w14:paraId="34A6E74A"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203D7D4" w14:textId="77777777" w:rsidR="00922249" w:rsidRPr="00CB2EC4" w:rsidRDefault="003011D5">
            <w:pPr>
              <w:rPr>
                <w:rFonts w:ascii="Times New Roman" w:hAnsi="Times New Roman" w:cs="Times New Roman"/>
              </w:rPr>
            </w:pPr>
            <w:r w:rsidRPr="00CB2EC4">
              <w:rPr>
                <w:rFonts w:ascii="Times New Roman" w:hAnsi="Times New Roman" w:cs="Times New Roman"/>
              </w:rPr>
              <w:t>the surgical procedure for a secondary radical hysterectomy can be summarized as follows based on the provided document fragments: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1. Initial steps:  </w:t>
            </w:r>
            <w:r w:rsidRPr="00CB2EC4">
              <w:rPr>
                <w:rFonts w:ascii="Times New Roman" w:hAnsi="Times New Roman" w:cs="Times New Roman"/>
              </w:rPr>
              <w:br/>
              <w:t xml:space="preserve">   - Ligate and divide the ovarian vessels at a high level (Fragment 49).  </w:t>
            </w:r>
            <w:r w:rsidRPr="00CB2EC4">
              <w:rPr>
                <w:rFonts w:ascii="Times New Roman" w:hAnsi="Times New Roman" w:cs="Times New Roman"/>
              </w:rPr>
              <w:br/>
              <w:t xml:space="preserve">   - Manage the round ligaments and broad ligaments: divide the round ligament at the pelvic sidewall, incise the anterior and posterior leaves of the broad ligament to the bladder peritoneal reflection and sacrouterine ligament (Fragments 27, 49).  </w:t>
            </w:r>
            <w:r w:rsidRPr="00CB2EC4">
              <w:rPr>
                <w:rFonts w:ascii="Times New Roman" w:hAnsi="Times New Roman" w:cs="Times New Roman"/>
              </w:rPr>
              <w:br/>
            </w:r>
            <w:r w:rsidRPr="00CB2EC4">
              <w:rPr>
                <w:rFonts w:ascii="Times New Roman" w:hAnsi="Times New Roman" w:cs="Times New Roman"/>
              </w:rPr>
              <w:br/>
              <w:t xml:space="preserve">2. Dissection of the bladder and rectum:  </w:t>
            </w:r>
            <w:r w:rsidRPr="00CB2EC4">
              <w:rPr>
                <w:rFonts w:ascii="Times New Roman" w:hAnsi="Times New Roman" w:cs="Times New Roman"/>
              </w:rPr>
              <w:br/>
              <w:t xml:space="preserve">   - Use an ultrasonic scalpel to separate the loose tissue between the bladder and vagina, push the bladder down to 3–4 cm below the external cervical os, and divide the bladder-cervical ligaments (Fragment 49).  </w:t>
            </w:r>
            <w:r w:rsidRPr="00CB2EC4">
              <w:rPr>
                <w:rFonts w:ascii="Times New Roman" w:hAnsi="Times New Roman" w:cs="Times New Roman"/>
              </w:rPr>
              <w:br/>
              <w:t xml:space="preserve">   - Incise the peritoneum of the rectouterine pouch and dissect the rectum from the posterior vaginal wall down to 3–4 cm below the external cervical os (Fragment 49).  </w:t>
            </w:r>
            <w:r w:rsidRPr="00CB2EC4">
              <w:rPr>
                <w:rFonts w:ascii="Times New Roman" w:hAnsi="Times New Roman" w:cs="Times New Roman"/>
              </w:rPr>
              <w:br/>
            </w:r>
            <w:r w:rsidRPr="00CB2EC4">
              <w:rPr>
                <w:rFonts w:ascii="Times New Roman" w:hAnsi="Times New Roman" w:cs="Times New Roman"/>
              </w:rPr>
              <w:br/>
              <w:t xml:space="preserve">3. Division and ligation of the uterosacral ligaments:  </w:t>
            </w:r>
            <w:r w:rsidRPr="00CB2EC4">
              <w:rPr>
                <w:rFonts w:ascii="Times New Roman" w:hAnsi="Times New Roman" w:cs="Times New Roman"/>
              </w:rPr>
              <w:br/>
              <w:t xml:space="preserve">   - Open the rectal lateral fossa, dissect the lateral margin of the uterosacral ligament, clamp, divide, and remove approximately 1/2 or 2/3 of the ligament close to the sacrum, and suture-ligate with 7-0 silk thread (Fragment 27).  </w:t>
            </w:r>
            <w:r w:rsidRPr="00CB2EC4">
              <w:rPr>
                <w:rFonts w:ascii="Times New Roman" w:hAnsi="Times New Roman" w:cs="Times New Roman"/>
              </w:rPr>
              <w:br/>
            </w:r>
            <w:r w:rsidRPr="00CB2EC4">
              <w:rPr>
                <w:rFonts w:ascii="Times New Roman" w:hAnsi="Times New Roman" w:cs="Times New Roman"/>
              </w:rPr>
              <w:br/>
              <w:t xml:space="preserve">4. Division and ligation of the cardinal ligaments:  </w:t>
            </w:r>
            <w:r w:rsidRPr="00CB2EC4">
              <w:rPr>
                <w:rFonts w:ascii="Times New Roman" w:hAnsi="Times New Roman" w:cs="Times New Roman"/>
              </w:rPr>
              <w:br/>
              <w:t xml:space="preserve">   - Open the bladder lateral fossa, expose the anterior edge of the cardinal ligament, retract the ureter laterally, clamp, divide, and remove approximately 1/2 of the cardinal ligament near the pelvic sidewall, and suture-ligate with 7-0 silk thread (Fragment 27).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5. Management of uterine vessels:  </w:t>
            </w:r>
            <w:r w:rsidRPr="00CB2EC4">
              <w:rPr>
                <w:rFonts w:ascii="Times New Roman" w:hAnsi="Times New Roman" w:cs="Times New Roman"/>
              </w:rPr>
              <w:br/>
              <w:t xml:space="preserve">   - Expose the uterine artery, clamp and divide it close to the cervix, and doubly suture-ligate (Fragment 42).  </w:t>
            </w:r>
            <w:r w:rsidRPr="00CB2EC4">
              <w:rPr>
                <w:rFonts w:ascii="Times New Roman" w:hAnsi="Times New Roman" w:cs="Times New Roman"/>
              </w:rPr>
              <w:br/>
              <w:t xml:space="preserve">   - Division of the uterine deep vein occurs medial to the confluence with the superior vesical vein; the transverse cervical ligament is divided to the level of the uterine artery (Fragment 5).  </w:t>
            </w:r>
            <w:r w:rsidRPr="00CB2EC4">
              <w:rPr>
                <w:rFonts w:ascii="Times New Roman" w:hAnsi="Times New Roman" w:cs="Times New Roman"/>
              </w:rPr>
              <w:br/>
            </w:r>
            <w:r w:rsidRPr="00CB2EC4">
              <w:rPr>
                <w:rFonts w:ascii="Times New Roman" w:hAnsi="Times New Roman" w:cs="Times New Roman"/>
              </w:rPr>
              <w:br/>
              <w:t xml:space="preserve">6. Removal of the uterus and vagina:  </w:t>
            </w:r>
            <w:r w:rsidRPr="00CB2EC4">
              <w:rPr>
                <w:rFonts w:ascii="Times New Roman" w:hAnsi="Times New Roman" w:cs="Times New Roman"/>
              </w:rPr>
              <w:br/>
              <w:t xml:space="preserve">   - Remove the uterus and approximately 1/3 of the vagina (Fragment 42).  </w:t>
            </w:r>
            <w:r w:rsidRPr="00CB2EC4">
              <w:rPr>
                <w:rFonts w:ascii="Times New Roman" w:hAnsi="Times New Roman" w:cs="Times New Roman"/>
              </w:rPr>
              <w:br/>
            </w:r>
            <w:r w:rsidRPr="00CB2EC4">
              <w:rPr>
                <w:rFonts w:ascii="Times New Roman" w:hAnsi="Times New Roman" w:cs="Times New Roman"/>
              </w:rPr>
              <w:br/>
              <w:t xml:space="preserve">7. Closure of the vaginal cuff:  </w:t>
            </w:r>
            <w:r w:rsidRPr="00CB2EC4">
              <w:rPr>
                <w:rFonts w:ascii="Times New Roman" w:hAnsi="Times New Roman" w:cs="Times New Roman"/>
              </w:rPr>
              <w:br/>
              <w:t xml:space="preserve">   - Suture the vaginal stump continuously or with interrupted figure-of-eight stitches using absorbable suture (Fragment 27).  </w:t>
            </w:r>
            <w:r w:rsidRPr="00CB2EC4">
              <w:rPr>
                <w:rFonts w:ascii="Times New Roman" w:hAnsi="Times New Roman" w:cs="Times New Roman"/>
              </w:rPr>
              <w:br/>
            </w:r>
            <w:r w:rsidRPr="00CB2EC4">
              <w:rPr>
                <w:rFonts w:ascii="Times New Roman" w:hAnsi="Times New Roman" w:cs="Times New Roman"/>
              </w:rPr>
              <w:br/>
              <w:t>Fragment 42 emphasizes that this procedure represents an intermediate extended radical hysterectomy, requiring exposure of the ureteric segment in the parametrium without complete dissection, and selective removal of pelvic lymph nodes (e.g., external iliac and obturator lymph nodes).</w:t>
            </w:r>
          </w:p>
        </w:tc>
        <w:tc>
          <w:tcPr>
            <w:tcW w:w="1152" w:type="dxa"/>
            <w:vAlign w:val="center"/>
          </w:tcPr>
          <w:p w14:paraId="687BA0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9CD23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DE3DA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CCBD59A" w14:textId="77777777">
        <w:tc>
          <w:tcPr>
            <w:tcW w:w="2160" w:type="dxa"/>
            <w:vAlign w:val="center"/>
          </w:tcPr>
          <w:p w14:paraId="6AB3A0B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0829B34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Brief Description of the Surgical Procedure for Subradical Hysterectomy  </w:t>
            </w:r>
            <w:r w:rsidRPr="00CB2EC4">
              <w:rPr>
                <w:rFonts w:ascii="Times New Roman" w:hAnsi="Times New Roman" w:cs="Times New Roman"/>
              </w:rPr>
              <w:br/>
            </w:r>
            <w:r w:rsidRPr="00CB2EC4">
              <w:rPr>
                <w:rFonts w:ascii="Times New Roman" w:hAnsi="Times New Roman" w:cs="Times New Roman"/>
              </w:rPr>
              <w:br/>
              <w:t xml:space="preserve">Knowledge Base Document Contribution (Chapter 3: Surgical Procedures):  </w:t>
            </w:r>
            <w:r w:rsidRPr="00CB2EC4">
              <w:rPr>
                <w:rFonts w:ascii="Times New Roman" w:hAnsi="Times New Roman" w:cs="Times New Roman"/>
              </w:rPr>
              <w:br/>
              <w:t xml:space="preserve">1. Laparotomy and Exposure: Incise the peritoneum and explore the pelvic cavity.  </w:t>
            </w:r>
            <w:r w:rsidRPr="00CB2EC4">
              <w:rPr>
                <w:rFonts w:ascii="Times New Roman" w:hAnsi="Times New Roman" w:cs="Times New Roman"/>
              </w:rPr>
              <w:br/>
              <w:t xml:space="preserve">2. Ligament Division:  </w:t>
            </w:r>
            <w:r w:rsidRPr="00CB2EC4">
              <w:rPr>
                <w:rFonts w:ascii="Times New Roman" w:hAnsi="Times New Roman" w:cs="Times New Roman"/>
              </w:rPr>
              <w:br/>
              <w:t xml:space="preserve">   - Transect the round ligament and infundibulopelvic ligament;  </w:t>
            </w:r>
            <w:r w:rsidRPr="00CB2EC4">
              <w:rPr>
                <w:rFonts w:ascii="Times New Roman" w:hAnsi="Times New Roman" w:cs="Times New Roman"/>
              </w:rPr>
              <w:br/>
              <w:t xml:space="preserve">   - Open the lateral vesical space (without extending </w:t>
            </w:r>
            <w:r w:rsidRPr="00CB2EC4">
              <w:rPr>
                <w:rFonts w:ascii="Times New Roman" w:hAnsi="Times New Roman" w:cs="Times New Roman"/>
              </w:rPr>
              <w:lastRenderedPageBreak/>
              <w:t xml:space="preserve">deep to the levator ani muscle);  </w:t>
            </w:r>
            <w:r w:rsidRPr="00CB2EC4">
              <w:rPr>
                <w:rFonts w:ascii="Times New Roman" w:hAnsi="Times New Roman" w:cs="Times New Roman"/>
              </w:rPr>
              <w:br/>
              <w:t xml:space="preserve">   - Perform pelvic lymph node dissection (key areas: obturator and internal iliac regions).  </w:t>
            </w:r>
            <w:r w:rsidRPr="00CB2EC4">
              <w:rPr>
                <w:rFonts w:ascii="Times New Roman" w:hAnsi="Times New Roman" w:cs="Times New Roman"/>
              </w:rPr>
              <w:br/>
              <w:t xml:space="preserve">3. Vascular Management:  </w:t>
            </w:r>
            <w:r w:rsidRPr="00CB2EC4">
              <w:rPr>
                <w:rFonts w:ascii="Times New Roman" w:hAnsi="Times New Roman" w:cs="Times New Roman"/>
              </w:rPr>
              <w:br/>
              <w:t xml:space="preserve">   - Separate the uterine artery (preserving the ureteral branch) and transect it before the uterine deep vein joins the internal iliac vein (Figure 170);  </w:t>
            </w:r>
            <w:r w:rsidRPr="00CB2EC4">
              <w:rPr>
                <w:rFonts w:ascii="Times New Roman" w:hAnsi="Times New Roman" w:cs="Times New Roman"/>
              </w:rPr>
              <w:br/>
              <w:t xml:space="preserve">   - Identify the insertion point of the superior vesical vein and transect the uterine branch of the uterine deep vein.  </w:t>
            </w:r>
            <w:r w:rsidRPr="00CB2EC4">
              <w:rPr>
                <w:rFonts w:ascii="Times New Roman" w:hAnsi="Times New Roman" w:cs="Times New Roman"/>
              </w:rPr>
              <w:br/>
              <w:t xml:space="preserve">4. Extent of Resection:  </w:t>
            </w:r>
            <w:r w:rsidRPr="00CB2EC4">
              <w:rPr>
                <w:rFonts w:ascii="Times New Roman" w:hAnsi="Times New Roman" w:cs="Times New Roman"/>
              </w:rPr>
              <w:br/>
              <w:t xml:space="preserve">   - Remove 1/2 of the cardinal ligament (Figure 7-3) and 1/3 of the vagina (Figure 7-4);  </w:t>
            </w:r>
            <w:r w:rsidRPr="00CB2EC4">
              <w:rPr>
                <w:rFonts w:ascii="Times New Roman" w:hAnsi="Times New Roman" w:cs="Times New Roman"/>
              </w:rPr>
              <w:br/>
              <w:t xml:space="preserve">   - Preserve part of the parametrial tissue to avoid mobilizing the ureteral bed.  </w:t>
            </w:r>
            <w:r w:rsidRPr="00CB2EC4">
              <w:rPr>
                <w:rFonts w:ascii="Times New Roman" w:hAnsi="Times New Roman" w:cs="Times New Roman"/>
              </w:rPr>
              <w:br/>
              <w:t xml:space="preserve">5. Suturing: Close the vaginal stump and place drainage.  </w:t>
            </w:r>
            <w:r w:rsidRPr="00CB2EC4">
              <w:rPr>
                <w:rFonts w:ascii="Times New Roman" w:hAnsi="Times New Roman" w:cs="Times New Roman"/>
              </w:rPr>
              <w:br/>
            </w:r>
            <w:r w:rsidRPr="00CB2EC4">
              <w:rPr>
                <w:rFonts w:ascii="Times New Roman" w:hAnsi="Times New Roman" w:cs="Times New Roman"/>
              </w:rPr>
              <w:br/>
              <w:t xml:space="preserve">Online Search Supplement (2024 Guidelines):  </w:t>
            </w:r>
            <w:r w:rsidRPr="00CB2EC4">
              <w:rPr>
                <w:rFonts w:ascii="Times New Roman" w:hAnsi="Times New Roman" w:cs="Times New Roman"/>
              </w:rPr>
              <w:br/>
              <w:t xml:space="preserve">- Corresponds to Q-M Type B Surgery: Resect the lateral parametrial tissue at the level of the ureter, with vaginal resection ≥1cm.  </w:t>
            </w:r>
            <w:r w:rsidRPr="00CB2EC4">
              <w:rPr>
                <w:rFonts w:ascii="Times New Roman" w:hAnsi="Times New Roman" w:cs="Times New Roman"/>
              </w:rPr>
              <w:br/>
            </w:r>
            <w:r w:rsidRPr="00CB2EC4">
              <w:rPr>
                <w:rFonts w:ascii="Times New Roman" w:hAnsi="Times New Roman" w:cs="Times New Roman"/>
              </w:rPr>
              <w:br/>
              <w:t>&gt; Surgical Objective: Suitable for stage IA1 (LVSI+) or IA2 cervical cancer, balancing radicality and functional preservation.</w:t>
            </w:r>
          </w:p>
        </w:tc>
        <w:tc>
          <w:tcPr>
            <w:tcW w:w="1152" w:type="dxa"/>
            <w:vAlign w:val="center"/>
          </w:tcPr>
          <w:p w14:paraId="42CF44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4893A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FA80B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36C29C7" w14:textId="77777777">
        <w:tc>
          <w:tcPr>
            <w:tcW w:w="2160" w:type="dxa"/>
            <w:vAlign w:val="center"/>
          </w:tcPr>
          <w:p w14:paraId="22CE4FD6"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FD984E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Enter the abdominal cavity and fix the uterus (Fragment 16).  </w:t>
            </w:r>
            <w:r w:rsidRPr="00CB2EC4">
              <w:rPr>
                <w:rFonts w:ascii="Times New Roman" w:hAnsi="Times New Roman" w:cs="Times New Roman"/>
              </w:rPr>
              <w:br/>
              <w:t xml:space="preserve">2. Clamp, cut, and ligate the round ligament of the uterus at its midpoint (Fragment 16).  </w:t>
            </w:r>
            <w:r w:rsidRPr="00CB2EC4">
              <w:rPr>
                <w:rFonts w:ascii="Times New Roman" w:hAnsi="Times New Roman" w:cs="Times New Roman"/>
              </w:rPr>
              <w:br/>
              <w:t xml:space="preserve">3. Incise the peritoneum over the iliac fossa and dissect to expose pelvic structures (Fragment 16).  </w:t>
            </w:r>
            <w:r w:rsidRPr="00CB2EC4">
              <w:rPr>
                <w:rFonts w:ascii="Times New Roman" w:hAnsi="Times New Roman" w:cs="Times New Roman"/>
              </w:rPr>
              <w:br/>
              <w:t xml:space="preserve">4. Open the lateral vesical space without extending to the bottom (above the levator ani fascia) (Fragment </w:t>
            </w:r>
            <w:r w:rsidRPr="00CB2EC4">
              <w:rPr>
                <w:rFonts w:ascii="Times New Roman" w:hAnsi="Times New Roman" w:cs="Times New Roman"/>
              </w:rPr>
              <w:lastRenderedPageBreak/>
              <w:t xml:space="preserve">16).  </w:t>
            </w:r>
            <w:r w:rsidRPr="00CB2EC4">
              <w:rPr>
                <w:rFonts w:ascii="Times New Roman" w:hAnsi="Times New Roman" w:cs="Times New Roman"/>
              </w:rPr>
              <w:br/>
              <w:t xml:space="preserve">5. Pelvic lymph node dissection: Prioritize removal of anterior lymph nodes, focusing on obturator, internal iliac, and cardinal ligament nodes, with attention to the area where the obturator vessels join the internal iliac vessels (Fragment 16).  </w:t>
            </w:r>
            <w:r w:rsidRPr="00CB2EC4">
              <w:rPr>
                <w:rFonts w:ascii="Times New Roman" w:hAnsi="Times New Roman" w:cs="Times New Roman"/>
              </w:rPr>
              <w:br/>
              <w:t xml:space="preserve">6. Open the Latzko rectal lateral space: Dissect to the level of the deep uterine veins, exposing the post-fascia of the transverse cervical ligament (Fragment 16).  </w:t>
            </w:r>
            <w:r w:rsidRPr="00CB2EC4">
              <w:rPr>
                <w:rFonts w:ascii="Times New Roman" w:hAnsi="Times New Roman" w:cs="Times New Roman"/>
              </w:rPr>
              <w:br/>
              <w:t xml:space="preserve">7. Incise the vesical peritoneum: Separate the reflected peritoneum of the bladder (Fragment 16).  </w:t>
            </w:r>
            <w:r w:rsidRPr="00CB2EC4">
              <w:rPr>
                <w:rFonts w:ascii="Times New Roman" w:hAnsi="Times New Roman" w:cs="Times New Roman"/>
              </w:rPr>
              <w:br/>
              <w:t xml:space="preserve">8. Isolate and divide the uterine artery: Thoroughly dissect around the uterine artery; the ureteric branch may be preserved (Fujimura method) (Fragment 16).  </w:t>
            </w:r>
            <w:r w:rsidRPr="00CB2EC4">
              <w:rPr>
                <w:rFonts w:ascii="Times New Roman" w:hAnsi="Times New Roman" w:cs="Times New Roman"/>
              </w:rPr>
              <w:br/>
              <w:t xml:space="preserve">9. Open the Okabayashi rectal lateral space: Dissect the posterior ureter to form the ureteric plate (Fragment 16).  </w:t>
            </w:r>
            <w:r w:rsidRPr="00CB2EC4">
              <w:rPr>
                <w:rFonts w:ascii="Times New Roman" w:hAnsi="Times New Roman" w:cs="Times New Roman"/>
              </w:rPr>
              <w:br/>
              <w:t xml:space="preserve">10. Subsequent steps: Include division of the infundibulopelvic ligament, incision of the Douglas pouch peritoneum, separation of the rectovaginal septum, division of the uterosacral and rectouterine ligaments, mobilization of the bladder, formation of the ureteric tunnel, division of the anterior layer of the vesicouterine ligament, exposure of the anterior ureter, identification of the bladder superior vein confluence, division of the deep uterine vein uterine branches, division of the paracolpium connective tissue, transection of the vagina, and suturing (Fragment 16, Figure 170).  </w:t>
            </w:r>
            <w:r w:rsidRPr="00CB2EC4">
              <w:rPr>
                <w:rFonts w:ascii="Times New Roman" w:hAnsi="Times New Roman" w:cs="Times New Roman"/>
              </w:rPr>
              <w:br/>
            </w:r>
            <w:r w:rsidRPr="00CB2EC4">
              <w:rPr>
                <w:rFonts w:ascii="Times New Roman" w:hAnsi="Times New Roman" w:cs="Times New Roman"/>
              </w:rPr>
              <w:br/>
              <w:t xml:space="preserve">This procedure emphasizes systematic anatomical dissection, aiming to transect at the level of the deep uterine veins while preserving partial nerve function, </w:t>
            </w:r>
            <w:r w:rsidRPr="00CB2EC4">
              <w:rPr>
                <w:rFonts w:ascii="Times New Roman" w:hAnsi="Times New Roman" w:cs="Times New Roman"/>
              </w:rPr>
              <w:lastRenderedPageBreak/>
              <w:t>and is indicated for early-stage cervical cancer (as described in Fragment 1).</w:t>
            </w:r>
          </w:p>
        </w:tc>
        <w:tc>
          <w:tcPr>
            <w:tcW w:w="1152" w:type="dxa"/>
            <w:vAlign w:val="center"/>
          </w:tcPr>
          <w:p w14:paraId="36CB98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9930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EE146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1883D7" w14:textId="77777777">
        <w:tc>
          <w:tcPr>
            <w:tcW w:w="2160" w:type="dxa"/>
            <w:vAlign w:val="center"/>
          </w:tcPr>
          <w:p w14:paraId="078B8C0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0F881FD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Standard abdominal incision to enter the peritoneal cavity.  </w:t>
            </w:r>
            <w:r w:rsidRPr="00CB2EC4">
              <w:rPr>
                <w:rFonts w:ascii="Times New Roman" w:hAnsi="Times New Roman" w:cs="Times New Roman"/>
              </w:rPr>
              <w:br/>
              <w:t xml:space="preserve">2. Division of the round ligament of the uterus: Transect the round ligament to mobilize the uterus.  </w:t>
            </w:r>
            <w:r w:rsidRPr="00CB2EC4">
              <w:rPr>
                <w:rFonts w:ascii="Times New Roman" w:hAnsi="Times New Roman" w:cs="Times New Roman"/>
              </w:rPr>
              <w:br/>
              <w:t xml:space="preserve">3. Incision of the iliac fossa peritoneum: Expose the lateral pelvic wall structures.  </w:t>
            </w:r>
            <w:r w:rsidRPr="00CB2EC4">
              <w:rPr>
                <w:rFonts w:ascii="Times New Roman" w:hAnsi="Times New Roman" w:cs="Times New Roman"/>
              </w:rPr>
              <w:br/>
              <w:t xml:space="preserve">4. Development of the bladder lateral space: Dissect the space without extending to the bottom (to avoid injury to the superior fascia of the levator ani).  </w:t>
            </w:r>
            <w:r w:rsidRPr="00CB2EC4">
              <w:rPr>
                <w:rFonts w:ascii="Times New Roman" w:hAnsi="Times New Roman" w:cs="Times New Roman"/>
              </w:rPr>
              <w:br/>
              <w:t xml:space="preserve">5. Pelvic lymphadenectomy: Selective removal of lymph nodes including the lower common iliac, external iliac, deep inguinal, internal iliac, and obturator nodes, with emphasis on the area where the obturator vessels join the internal iliac vessels.  </w:t>
            </w:r>
            <w:r w:rsidRPr="00CB2EC4">
              <w:rPr>
                <w:rFonts w:ascii="Times New Roman" w:hAnsi="Times New Roman" w:cs="Times New Roman"/>
              </w:rPr>
              <w:br/>
              <w:t xml:space="preserve">6. Development of the Latzko rectal lateral space: Dissect to the level of the deep uterine veins to expose relevant vessels.  </w:t>
            </w:r>
            <w:r w:rsidRPr="00CB2EC4">
              <w:rPr>
                <w:rFonts w:ascii="Times New Roman" w:hAnsi="Times New Roman" w:cs="Times New Roman"/>
              </w:rPr>
              <w:br/>
              <w:t xml:space="preserve">7. Incision of the vesicouterine peritoneum: Separate the bladder from the uterine attachment.  </w:t>
            </w:r>
            <w:r w:rsidRPr="00CB2EC4">
              <w:rPr>
                <w:rFonts w:ascii="Times New Roman" w:hAnsi="Times New Roman" w:cs="Times New Roman"/>
              </w:rPr>
              <w:br/>
              <w:t xml:space="preserve">8. Dissection and division of the uterine artery: Transect medial to the ureter while preserving the ureteric branch; use ultrasonic scalpel for thorough clearance at the origin.  </w:t>
            </w:r>
            <w:r w:rsidRPr="00CB2EC4">
              <w:rPr>
                <w:rFonts w:ascii="Times New Roman" w:hAnsi="Times New Roman" w:cs="Times New Roman"/>
              </w:rPr>
              <w:br/>
              <w:t xml:space="preserve">9. Development of the Okabayashi rectal lateral space and posterior ureteral dissection: Form the mesoureter to facilitate subsequent steps.  </w:t>
            </w:r>
            <w:r w:rsidRPr="00CB2EC4">
              <w:rPr>
                <w:rFonts w:ascii="Times New Roman" w:hAnsi="Times New Roman" w:cs="Times New Roman"/>
              </w:rPr>
              <w:br/>
              <w:t xml:space="preserve">10. Division of the uterine branch of the deep uterine vein: Identify and transect the uterine branch proximal to the junction of the superior vesical vein with the deep uterine vein (key step), avoiding resection of the main deep uterine vein trunk.  </w:t>
            </w:r>
            <w:r w:rsidRPr="00CB2EC4">
              <w:rPr>
                <w:rFonts w:ascii="Times New Roman" w:hAnsi="Times New Roman" w:cs="Times New Roman"/>
              </w:rPr>
              <w:br/>
              <w:t xml:space="preserve">11. Subsequent steps: Including division of the pelvic </w:t>
            </w:r>
            <w:r w:rsidRPr="00CB2EC4">
              <w:rPr>
                <w:rFonts w:ascii="Times New Roman" w:hAnsi="Times New Roman" w:cs="Times New Roman"/>
              </w:rPr>
              <w:lastRenderedPageBreak/>
              <w:t xml:space="preserve">infundibulopelvic ligament, incision of the Douglas pouch peritoneum, separation of the rectovaginal septum, division of the uterosacral and rectouterine ligaments, bladder mobilization, formation of the ureteric tunnel, division of the anterior layer of the vesicouterine ligament, and finally vaginal transection and suturing.  </w:t>
            </w:r>
            <w:r w:rsidRPr="00CB2EC4">
              <w:rPr>
                <w:rFonts w:ascii="Times New Roman" w:hAnsi="Times New Roman" w:cs="Times New Roman"/>
              </w:rPr>
              <w:br/>
              <w:t>- This procedure emphasizes systematic anatomical dissection and nerve preservation, indicated for early cervical cancer to improve postoperative quality of life (QOL).</w:t>
            </w:r>
          </w:p>
        </w:tc>
        <w:tc>
          <w:tcPr>
            <w:tcW w:w="1152" w:type="dxa"/>
            <w:vAlign w:val="center"/>
          </w:tcPr>
          <w:p w14:paraId="74397A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C0A53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3144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2399B2" w14:textId="77777777">
        <w:tc>
          <w:tcPr>
            <w:tcW w:w="2160" w:type="dxa"/>
            <w:vAlign w:val="center"/>
          </w:tcPr>
          <w:p w14:paraId="1B86CA11"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D02A46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Incision and exploration:  </w:t>
            </w:r>
            <w:r w:rsidRPr="00CB2EC4">
              <w:rPr>
                <w:rFonts w:ascii="Times New Roman" w:hAnsi="Times New Roman" w:cs="Times New Roman"/>
              </w:rPr>
              <w:br/>
              <w:t xml:space="preserve">   - Patient in supine position; make a midline incision from the umbilicus to the upper edge of the pubic symphysis, incise the abdominal wall layer by layer, and explore the abdominal cavity.  </w:t>
            </w:r>
            <w:r w:rsidRPr="00CB2EC4">
              <w:rPr>
                <w:rFonts w:ascii="Times New Roman" w:hAnsi="Times New Roman" w:cs="Times New Roman"/>
              </w:rPr>
              <w:br/>
              <w:t xml:space="preserve">2. Management of round ligaments and broad ligaments:  </w:t>
            </w:r>
            <w:r w:rsidRPr="00CB2EC4">
              <w:rPr>
                <w:rFonts w:ascii="Times New Roman" w:hAnsi="Times New Roman" w:cs="Times New Roman"/>
              </w:rPr>
              <w:br/>
              <w:t xml:space="preserve">   - Cut the anterior leaf of the broad ligament at the pelvic inlet, extending along the surface of the round ligament to the peritoneal reflection over the bladder (Figure 4-44).  </w:t>
            </w:r>
            <w:r w:rsidRPr="00CB2EC4">
              <w:rPr>
                <w:rFonts w:ascii="Times New Roman" w:hAnsi="Times New Roman" w:cs="Times New Roman"/>
              </w:rPr>
              <w:br/>
              <w:t xml:space="preserve">   - Clamp, divide, and ligate the midportion of the round ligament with 7-0 suture (Figure 4-45).  </w:t>
            </w:r>
            <w:r w:rsidRPr="00CB2EC4">
              <w:rPr>
                <w:rFonts w:ascii="Times New Roman" w:hAnsi="Times New Roman" w:cs="Times New Roman"/>
              </w:rPr>
              <w:br/>
              <w:t xml:space="preserve">3. Management of ovarian vessels:  </w:t>
            </w:r>
            <w:r w:rsidRPr="00CB2EC4">
              <w:rPr>
                <w:rFonts w:ascii="Times New Roman" w:hAnsi="Times New Roman" w:cs="Times New Roman"/>
              </w:rPr>
              <w:br/>
              <w:t xml:space="preserve">   - After identifying the ureter, dissect, clamp, divide, and doubly ligate the ovarian vessels with 7-0 and 4-0 sutures (Figure 4-46).  </w:t>
            </w:r>
            <w:r w:rsidRPr="00CB2EC4">
              <w:rPr>
                <w:rFonts w:ascii="Times New Roman" w:hAnsi="Times New Roman" w:cs="Times New Roman"/>
              </w:rPr>
              <w:br/>
              <w:t xml:space="preserve">4. Bladder dissection:  </w:t>
            </w:r>
            <w:r w:rsidRPr="00CB2EC4">
              <w:rPr>
                <w:rFonts w:ascii="Times New Roman" w:hAnsi="Times New Roman" w:cs="Times New Roman"/>
              </w:rPr>
              <w:br/>
              <w:t xml:space="preserve">   - Elevate the peritoneal reflection over the bladder, and push the bladder down to the anterior vaginal fornix at the level of the cervix.  </w:t>
            </w:r>
            <w:r w:rsidRPr="00CB2EC4">
              <w:rPr>
                <w:rFonts w:ascii="Times New Roman" w:hAnsi="Times New Roman" w:cs="Times New Roman"/>
              </w:rPr>
              <w:br/>
              <w:t xml:space="preserve">5. Management of uterine vessels and ligaments:  </w:t>
            </w:r>
            <w:r w:rsidRPr="00CB2EC4">
              <w:rPr>
                <w:rFonts w:ascii="Times New Roman" w:hAnsi="Times New Roman" w:cs="Times New Roman"/>
              </w:rPr>
              <w:br/>
              <w:t xml:space="preserve">   - Reduce the parametrial connective tissue to expose </w:t>
            </w:r>
            <w:r w:rsidRPr="00CB2EC4">
              <w:rPr>
                <w:rFonts w:ascii="Times New Roman" w:hAnsi="Times New Roman" w:cs="Times New Roman"/>
              </w:rPr>
              <w:lastRenderedPageBreak/>
              <w:t xml:space="preserve">the uterine artery; clamp, divide, and suture-ligate the uterine artery close to the cervix (Figure 4-38).  </w:t>
            </w:r>
            <w:r w:rsidRPr="00CB2EC4">
              <w:rPr>
                <w:rFonts w:ascii="Times New Roman" w:hAnsi="Times New Roman" w:cs="Times New Roman"/>
              </w:rPr>
              <w:br/>
              <w:t xml:space="preserve">   - Manage the cardinal ligament and uterosacral ligament in the same manner (can be clamped, divided, and suture-ligated together or sequentially) (Figure 4-39, Figure 4-40).  </w:t>
            </w:r>
            <w:r w:rsidRPr="00CB2EC4">
              <w:rPr>
                <w:rFonts w:ascii="Times New Roman" w:hAnsi="Times New Roman" w:cs="Times New Roman"/>
              </w:rPr>
              <w:br/>
              <w:t xml:space="preserve">6. Removal of the uterus:  </w:t>
            </w:r>
            <w:r w:rsidRPr="00CB2EC4">
              <w:rPr>
                <w:rFonts w:ascii="Times New Roman" w:hAnsi="Times New Roman" w:cs="Times New Roman"/>
              </w:rPr>
              <w:br/>
              <w:t xml:space="preserve">   - Circumferentially incise the vaginal fornix (Figure 4-42), transect the vagina, and remove the uterus.  </w:t>
            </w:r>
            <w:r w:rsidRPr="00CB2EC4">
              <w:rPr>
                <w:rFonts w:ascii="Times New Roman" w:hAnsi="Times New Roman" w:cs="Times New Roman"/>
              </w:rPr>
              <w:br/>
              <w:t xml:space="preserve">7. Closure of vaginal cuff and abdomen:  </w:t>
            </w:r>
            <w:r w:rsidRPr="00CB2EC4">
              <w:rPr>
                <w:rFonts w:ascii="Times New Roman" w:hAnsi="Times New Roman" w:cs="Times New Roman"/>
              </w:rPr>
              <w:br/>
              <w:t xml:space="preserve">   - Close the vaginal cuff with continuous locking or interrupted figure-of-eight absorbable sutures (Figure 4-43).  </w:t>
            </w:r>
            <w:r w:rsidRPr="00CB2EC4">
              <w:rPr>
                <w:rFonts w:ascii="Times New Roman" w:hAnsi="Times New Roman" w:cs="Times New Roman"/>
              </w:rPr>
              <w:br/>
              <w:t xml:space="preserve">   - Suture the pelvic peritoneum and abdominal wall layers.  </w:t>
            </w:r>
            <w:r w:rsidRPr="00CB2EC4">
              <w:rPr>
                <w:rFonts w:ascii="Times New Roman" w:hAnsi="Times New Roman" w:cs="Times New Roman"/>
              </w:rPr>
              <w:br/>
            </w:r>
            <w:r w:rsidRPr="00CB2EC4">
              <w:rPr>
                <w:rFonts w:ascii="Times New Roman" w:hAnsi="Times New Roman" w:cs="Times New Roman"/>
              </w:rPr>
              <w:br/>
              <w:t>This procedure is based on the description of extrafascial hysterectomy and conforms to the extent of a subtotal hysterectomy (removal of 1–2 cm of vagina, preservation of partial parametrial tissue).</w:t>
            </w:r>
          </w:p>
        </w:tc>
        <w:tc>
          <w:tcPr>
            <w:tcW w:w="1152" w:type="dxa"/>
            <w:vAlign w:val="center"/>
          </w:tcPr>
          <w:p w14:paraId="096AB0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D0411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03173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9949C10" w14:textId="77777777">
        <w:tc>
          <w:tcPr>
            <w:tcW w:w="2160" w:type="dxa"/>
            <w:vAlign w:val="center"/>
          </w:tcPr>
          <w:p w14:paraId="64CBEC26"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E2F55A3" w14:textId="77777777" w:rsidR="00922249" w:rsidRPr="00CB2EC4" w:rsidRDefault="003011D5">
            <w:pPr>
              <w:rPr>
                <w:rFonts w:ascii="Times New Roman" w:hAnsi="Times New Roman" w:cs="Times New Roman"/>
              </w:rPr>
            </w:pPr>
            <w:r w:rsidRPr="00CB2EC4">
              <w:rPr>
                <w:rFonts w:ascii="Times New Roman" w:hAnsi="Times New Roman" w:cs="Times New Roman"/>
              </w:rPr>
              <w:t>the surgical procedure for subtotal radical hysterectomy is as follows:</w:t>
            </w:r>
            <w:r w:rsidRPr="00CB2EC4">
              <w:rPr>
                <w:rFonts w:ascii="Times New Roman" w:hAnsi="Times New Roman" w:cs="Times New Roman"/>
              </w:rPr>
              <w:br/>
            </w:r>
            <w:r w:rsidRPr="00CB2EC4">
              <w:rPr>
                <w:rFonts w:ascii="Times New Roman" w:hAnsi="Times New Roman" w:cs="Times New Roman"/>
              </w:rPr>
              <w:br/>
              <w:t>- Surgical extent: Removal of the entire uterus and both adnexa (one ovary may be preserved in patients under 45 years old), partial parametrial tissue including resection of the uterosacral ligaments and half of the main ligaments, and the upper one-third of the vagina (document fragment 9, similarity 0.468).</w:t>
            </w:r>
            <w:r w:rsidRPr="00CB2EC4">
              <w:rPr>
                <w:rFonts w:ascii="Times New Roman" w:hAnsi="Times New Roman" w:cs="Times New Roman"/>
              </w:rPr>
              <w:br/>
              <w:t>- Key steps:</w:t>
            </w:r>
            <w:r w:rsidRPr="00CB2EC4">
              <w:rPr>
                <w:rFonts w:ascii="Times New Roman" w:hAnsi="Times New Roman" w:cs="Times New Roman"/>
              </w:rPr>
              <w:br/>
              <w:t xml:space="preserve">  1. Exposure and ureter management: Expose the parametrial segment of the ureter without complete dissection of the ureteral bed. Ligate and divide the uterine artery medial to the ureter to preserve distal </w:t>
            </w:r>
            <w:r w:rsidRPr="00CB2EC4">
              <w:rPr>
                <w:rFonts w:ascii="Times New Roman" w:hAnsi="Times New Roman" w:cs="Times New Roman"/>
              </w:rPr>
              <w:lastRenderedPageBreak/>
              <w:t>ureteral blood supply (document fragment 9).</w:t>
            </w:r>
            <w:r w:rsidRPr="00CB2EC4">
              <w:rPr>
                <w:rFonts w:ascii="Times New Roman" w:hAnsi="Times New Roman" w:cs="Times New Roman"/>
              </w:rPr>
              <w:br/>
              <w:t xml:space="preserve">  2. Ligament resection: Resect half of the superficial and deep layers of the uterosacral ligaments and half of the cardinal ligaments. Manage the stumps using clamping, coagulation (e.g., electrocautery), and ligation with 7-0 silk suture (document fragments 9 and 19, similarity 0.442).</w:t>
            </w:r>
            <w:r w:rsidRPr="00CB2EC4">
              <w:rPr>
                <w:rFonts w:ascii="Times New Roman" w:hAnsi="Times New Roman" w:cs="Times New Roman"/>
              </w:rPr>
              <w:br/>
              <w:t xml:space="preserve">  3. Vaginal resection: Remove the upper one-third of the vagina. Clamp and divide at the vaginal resection line, then suture the stump with absorbable suture (document fragment 9).</w:t>
            </w:r>
            <w:r w:rsidRPr="00CB2EC4">
              <w:rPr>
                <w:rFonts w:ascii="Times New Roman" w:hAnsi="Times New Roman" w:cs="Times New Roman"/>
              </w:rPr>
              <w:br/>
              <w:t xml:space="preserve">  4. Lymph node dissection: Perform selective pelvic lymphadenectomy, including lymph nodes in the lower common iliac, external iliac, deep inguinal, internal iliac, and obturator regions (document fragment 9).</w:t>
            </w:r>
            <w:r w:rsidRPr="00CB2EC4">
              <w:rPr>
                <w:rFonts w:ascii="Times New Roman" w:hAnsi="Times New Roman" w:cs="Times New Roman"/>
              </w:rPr>
              <w:br/>
              <w:t xml:space="preserve">  5. Auxiliary steps: Include laparotomy exploration and management of the round ligament and infundibulopelvic ligament (document fragment 14, similarity 0.460), but the core involves partial resection of parametrial tissue and vagina as above.</w:t>
            </w:r>
            <w:r w:rsidRPr="00CB2EC4">
              <w:rPr>
                <w:rFonts w:ascii="Times New Roman" w:hAnsi="Times New Roman" w:cs="Times New Roman"/>
              </w:rPr>
              <w:br/>
              <w:t>- Overall procedure: Based on document fragment 1 (similarity 0.556) and fragment 9, the surgery is defined by transection at the level of the deep uterine veins (medial to the confluence with the vesical veins), without deep involvement of the uterine veins, resembling a simplified version of the Wertheim procedure.</w:t>
            </w:r>
          </w:p>
        </w:tc>
        <w:tc>
          <w:tcPr>
            <w:tcW w:w="1152" w:type="dxa"/>
            <w:vAlign w:val="center"/>
          </w:tcPr>
          <w:p w14:paraId="78F554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6B706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6709F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4FE4683" w14:textId="77777777">
        <w:tc>
          <w:tcPr>
            <w:tcW w:w="2160" w:type="dxa"/>
            <w:vAlign w:val="center"/>
          </w:tcPr>
          <w:p w14:paraId="2533CFB5"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FB4079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Incision and exposure: Perform laparotomy, fix the uterus, and place retractors to displace the bowel.  </w:t>
            </w:r>
            <w:r w:rsidRPr="00CB2EC4">
              <w:rPr>
                <w:rFonts w:ascii="Times New Roman" w:hAnsi="Times New Roman" w:cs="Times New Roman"/>
              </w:rPr>
              <w:br/>
              <w:t xml:space="preserve">2. Division of the round ligament of the uterus: Cut the round ligament to mobilize the uterus.  </w:t>
            </w:r>
            <w:r w:rsidRPr="00CB2EC4">
              <w:rPr>
                <w:rFonts w:ascii="Times New Roman" w:hAnsi="Times New Roman" w:cs="Times New Roman"/>
              </w:rPr>
              <w:br/>
              <w:t xml:space="preserve">3. Incision of the iliac fossa peritoneum: Strip the peritoneum to expose pelvic structures.  </w:t>
            </w:r>
            <w:r w:rsidRPr="00CB2EC4">
              <w:rPr>
                <w:rFonts w:ascii="Times New Roman" w:hAnsi="Times New Roman" w:cs="Times New Roman"/>
              </w:rPr>
              <w:br/>
            </w:r>
            <w:r w:rsidRPr="00CB2EC4">
              <w:rPr>
                <w:rFonts w:ascii="Times New Roman" w:hAnsi="Times New Roman" w:cs="Times New Roman"/>
              </w:rPr>
              <w:lastRenderedPageBreak/>
              <w:t xml:space="preserve">4. Opening of the lateral bladder space: Develop the space without extending to the superior fascia of the levator ani muscle.  </w:t>
            </w:r>
            <w:r w:rsidRPr="00CB2EC4">
              <w:rPr>
                <w:rFonts w:ascii="Times New Roman" w:hAnsi="Times New Roman" w:cs="Times New Roman"/>
              </w:rPr>
              <w:br/>
              <w:t xml:space="preserve">5. Pelvic lymphadenectomy  </w:t>
            </w:r>
            <w:r w:rsidRPr="00CB2EC4">
              <w:rPr>
                <w:rFonts w:ascii="Times New Roman" w:hAnsi="Times New Roman" w:cs="Times New Roman"/>
              </w:rPr>
              <w:br/>
              <w:t xml:space="preserve">6. Opening of the Latzko rectal lateral space: Develop to the level of the deep uterine vein.  </w:t>
            </w:r>
            <w:r w:rsidRPr="00CB2EC4">
              <w:rPr>
                <w:rFonts w:ascii="Times New Roman" w:hAnsi="Times New Roman" w:cs="Times New Roman"/>
              </w:rPr>
              <w:br/>
              <w:t xml:space="preserve">7. Dissection and division of the uterine artery: Cut at the level of the uterine artery, preserving the ureteric branch.  </w:t>
            </w:r>
            <w:r w:rsidRPr="00CB2EC4">
              <w:rPr>
                <w:rFonts w:ascii="Times New Roman" w:hAnsi="Times New Roman" w:cs="Times New Roman"/>
              </w:rPr>
              <w:br/>
              <w:t xml:space="preserve">8. Opening of the Gärtner rectal lateral space: Dissect posterior to the ureter to form the ureteric plate.  </w:t>
            </w:r>
            <w:r w:rsidRPr="00CB2EC4">
              <w:rPr>
                <w:rFonts w:ascii="Times New Roman" w:hAnsi="Times New Roman" w:cs="Times New Roman"/>
              </w:rPr>
              <w:br/>
              <w:t xml:space="preserve">9. Clearance around the deep uterine vein: Use CUSA (cavitron ultrasonic surgical aspirator) for dissection, identify the confluence of the superior vesical vein, then divide the uterine branch.  </w:t>
            </w:r>
            <w:r w:rsidRPr="00CB2EC4">
              <w:rPr>
                <w:rFonts w:ascii="Times New Roman" w:hAnsi="Times New Roman" w:cs="Times New Roman"/>
              </w:rPr>
              <w:br/>
              <w:t xml:space="preserve">10. Division of the infundibulopelvic ligament: Clamp, cut, and ligate.  </w:t>
            </w:r>
            <w:r w:rsidRPr="00CB2EC4">
              <w:rPr>
                <w:rFonts w:ascii="Times New Roman" w:hAnsi="Times New Roman" w:cs="Times New Roman"/>
              </w:rPr>
              <w:br/>
              <w:t xml:space="preserve">11. Incision of the Douglas pouch peritoneum: Separate the rectovaginal septum.  </w:t>
            </w:r>
            <w:r w:rsidRPr="00CB2EC4">
              <w:rPr>
                <w:rFonts w:ascii="Times New Roman" w:hAnsi="Times New Roman" w:cs="Times New Roman"/>
              </w:rPr>
              <w:br/>
              <w:t xml:space="preserve">12. Division of the uterosacral ligament and rectouterine ligament: Cut within safe margins.  </w:t>
            </w:r>
            <w:r w:rsidRPr="00CB2EC4">
              <w:rPr>
                <w:rFonts w:ascii="Times New Roman" w:hAnsi="Times New Roman" w:cs="Times New Roman"/>
              </w:rPr>
              <w:br/>
              <w:t xml:space="preserve">13. Bladder dissection: Mobilize the bladder-cervical space.  </w:t>
            </w:r>
            <w:r w:rsidRPr="00CB2EC4">
              <w:rPr>
                <w:rFonts w:ascii="Times New Roman" w:hAnsi="Times New Roman" w:cs="Times New Roman"/>
              </w:rPr>
              <w:br/>
              <w:t xml:space="preserve">14. Division of the vagina: Transversely incise the upper third of the vagina, suture the stump.  </w:t>
            </w:r>
            <w:r w:rsidRPr="00CB2EC4">
              <w:rPr>
                <w:rFonts w:ascii="Times New Roman" w:hAnsi="Times New Roman" w:cs="Times New Roman"/>
              </w:rPr>
              <w:br/>
              <w:t>- The document specifies: "In secondary radical hysterectomy, the deep uterine vein is divided medial to the confluence of the superior vesical vein... The transverse cervical ligament is divided to the level of the uterine artery" (see "Chapter 3: Surgical Considerations"), and the procedure follows the sequence of the "secondary radical total hysterectomy" technique.</w:t>
            </w:r>
          </w:p>
        </w:tc>
        <w:tc>
          <w:tcPr>
            <w:tcW w:w="1152" w:type="dxa"/>
            <w:vAlign w:val="center"/>
          </w:tcPr>
          <w:p w14:paraId="489394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0BF72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B8E16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1081C26" w14:textId="77777777">
        <w:tc>
          <w:tcPr>
            <w:tcW w:w="2160" w:type="dxa"/>
            <w:vAlign w:val="center"/>
          </w:tcPr>
          <w:p w14:paraId="29E3C1F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19416CA" w14:textId="77777777" w:rsidR="00922249" w:rsidRPr="00CB2EC4" w:rsidRDefault="003011D5">
            <w:pPr>
              <w:rPr>
                <w:rFonts w:ascii="Times New Roman" w:hAnsi="Times New Roman" w:cs="Times New Roman"/>
              </w:rPr>
            </w:pPr>
            <w:r w:rsidRPr="00CB2EC4">
              <w:rPr>
                <w:rFonts w:ascii="Times New Roman" w:hAnsi="Times New Roman" w:cs="Times New Roman"/>
              </w:rPr>
              <w:t>procedure for modified radical hysterectomy:</w:t>
            </w:r>
            <w:r w:rsidRPr="00CB2EC4">
              <w:rPr>
                <w:rFonts w:ascii="Times New Roman" w:hAnsi="Times New Roman" w:cs="Times New Roman"/>
              </w:rPr>
              <w:br/>
            </w:r>
            <w:r w:rsidRPr="00CB2EC4">
              <w:rPr>
                <w:rFonts w:ascii="Times New Roman" w:hAnsi="Times New Roman" w:cs="Times New Roman"/>
              </w:rPr>
              <w:lastRenderedPageBreak/>
              <w:br/>
              <w:t>1.  Abdominal entry and initial exploration:</w:t>
            </w:r>
            <w:r w:rsidRPr="00CB2EC4">
              <w:rPr>
                <w:rFonts w:ascii="Times New Roman" w:hAnsi="Times New Roman" w:cs="Times New Roman"/>
              </w:rPr>
              <w:br/>
              <w:t xml:space="preserve">    -   Patient positioned supine, midline lower abdominal incision made to enter the peritoneal cavity.</w:t>
            </w:r>
            <w:r w:rsidRPr="00CB2EC4">
              <w:rPr>
                <w:rFonts w:ascii="Times New Roman" w:hAnsi="Times New Roman" w:cs="Times New Roman"/>
              </w:rPr>
              <w:br/>
              <w:t xml:space="preserve">    -   Exploration of pelvic and abdominal cavities to assess disease extent (e.g., cervical cancer staging).</w:t>
            </w:r>
            <w:r w:rsidRPr="00CB2EC4">
              <w:rPr>
                <w:rFonts w:ascii="Times New Roman" w:hAnsi="Times New Roman" w:cs="Times New Roman"/>
              </w:rPr>
              <w:br/>
            </w:r>
            <w:r w:rsidRPr="00CB2EC4">
              <w:rPr>
                <w:rFonts w:ascii="Times New Roman" w:hAnsi="Times New Roman" w:cs="Times New Roman"/>
              </w:rPr>
              <w:br/>
              <w:t>2.  Management of round ligaments and adnexa:</w:t>
            </w:r>
            <w:r w:rsidRPr="00CB2EC4">
              <w:rPr>
                <w:rFonts w:ascii="Times New Roman" w:hAnsi="Times New Roman" w:cs="Times New Roman"/>
              </w:rPr>
              <w:br/>
              <w:t xml:space="preserve">    -   Clamp, divide, and ligate the mid-portion of the round ligament with 7-0 silk suture.</w:t>
            </w:r>
            <w:r w:rsidRPr="00CB2EC4">
              <w:rPr>
                <w:rFonts w:ascii="Times New Roman" w:hAnsi="Times New Roman" w:cs="Times New Roman"/>
              </w:rPr>
              <w:br/>
              <w:t xml:space="preserve">    -   Based on patient age (&lt;45 years, preserve one ovary), decide on adnexectomy:</w:t>
            </w:r>
            <w:r w:rsidRPr="00CB2EC4">
              <w:rPr>
                <w:rFonts w:ascii="Times New Roman" w:hAnsi="Times New Roman" w:cs="Times New Roman"/>
              </w:rPr>
              <w:br/>
              <w:t xml:space="preserve">        -   If preserving adnexa: clamp, divide the isthmic portion of the fallopian tube and the proper ovarian ligament.</w:t>
            </w:r>
            <w:r w:rsidRPr="00CB2EC4">
              <w:rPr>
                <w:rFonts w:ascii="Times New Roman" w:hAnsi="Times New Roman" w:cs="Times New Roman"/>
              </w:rPr>
              <w:br/>
              <w:t xml:space="preserve">        -   If removing adnexa: manage the infundibulopelvic ligament.</w:t>
            </w:r>
            <w:r w:rsidRPr="00CB2EC4">
              <w:rPr>
                <w:rFonts w:ascii="Times New Roman" w:hAnsi="Times New Roman" w:cs="Times New Roman"/>
              </w:rPr>
              <w:br/>
            </w:r>
            <w:r w:rsidRPr="00CB2EC4">
              <w:rPr>
                <w:rFonts w:ascii="Times New Roman" w:hAnsi="Times New Roman" w:cs="Times New Roman"/>
              </w:rPr>
              <w:br/>
              <w:t>3.  Dissection of bladder and rectum:</w:t>
            </w:r>
            <w:r w:rsidRPr="00CB2EC4">
              <w:rPr>
                <w:rFonts w:ascii="Times New Roman" w:hAnsi="Times New Roman" w:cs="Times New Roman"/>
              </w:rPr>
              <w:br/>
              <w:t xml:space="preserve">    -   Incise the vesicouterine peritoneal reflection.</w:t>
            </w:r>
            <w:r w:rsidRPr="00CB2EC4">
              <w:rPr>
                <w:rFonts w:ascii="Times New Roman" w:hAnsi="Times New Roman" w:cs="Times New Roman"/>
              </w:rPr>
              <w:br/>
              <w:t xml:space="preserve">    -   Perform blunt dissection of the bladder-cervix space down to approximately 3 cm above the vaginal anterior wall.</w:t>
            </w:r>
            <w:r w:rsidRPr="00CB2EC4">
              <w:rPr>
                <w:rFonts w:ascii="Times New Roman" w:hAnsi="Times New Roman" w:cs="Times New Roman"/>
              </w:rPr>
              <w:br/>
              <w:t xml:space="preserve">    -   Elevate the uterus toward the pubic symphysis, open the rectouterine peritoneal fold.</w:t>
            </w:r>
            <w:r w:rsidRPr="00CB2EC4">
              <w:rPr>
                <w:rFonts w:ascii="Times New Roman" w:hAnsi="Times New Roman" w:cs="Times New Roman"/>
              </w:rPr>
              <w:br/>
              <w:t xml:space="preserve">    -   Dissect the rectovaginal septum to 2.5–3.5 cm below the external cervical os, exposing the medial aspect of the uterosacral ligaments.</w:t>
            </w:r>
            <w:r w:rsidRPr="00CB2EC4">
              <w:rPr>
                <w:rFonts w:ascii="Times New Roman" w:hAnsi="Times New Roman" w:cs="Times New Roman"/>
              </w:rPr>
              <w:br/>
            </w:r>
            <w:r w:rsidRPr="00CB2EC4">
              <w:rPr>
                <w:rFonts w:ascii="Times New Roman" w:hAnsi="Times New Roman" w:cs="Times New Roman"/>
              </w:rPr>
              <w:br/>
              <w:t>4.  Preliminary ureteric dissection:</w:t>
            </w:r>
            <w:r w:rsidRPr="00CB2EC4">
              <w:rPr>
                <w:rFonts w:ascii="Times New Roman" w:hAnsi="Times New Roman" w:cs="Times New Roman"/>
              </w:rPr>
              <w:br/>
              <w:t xml:space="preserve">    -   Sharply dissect the loose connective tissue lateral to the uterus to expose the uterine artery.</w:t>
            </w:r>
            <w:r w:rsidRPr="00CB2EC4">
              <w:rPr>
                <w:rFonts w:ascii="Times New Roman" w:hAnsi="Times New Roman" w:cs="Times New Roman"/>
              </w:rPr>
              <w:br/>
              <w:t xml:space="preserve">    -   Dissect the ureter laterally from the uterosacral </w:t>
            </w:r>
            <w:r w:rsidRPr="00CB2EC4">
              <w:rPr>
                <w:rFonts w:ascii="Times New Roman" w:hAnsi="Times New Roman" w:cs="Times New Roman"/>
              </w:rPr>
              <w:lastRenderedPageBreak/>
              <w:t>ligament to the point where it crosses the uterine artery.</w:t>
            </w:r>
            <w:r w:rsidRPr="00CB2EC4">
              <w:rPr>
                <w:rFonts w:ascii="Times New Roman" w:hAnsi="Times New Roman" w:cs="Times New Roman"/>
              </w:rPr>
              <w:br/>
            </w:r>
            <w:r w:rsidRPr="00CB2EC4">
              <w:rPr>
                <w:rFonts w:ascii="Times New Roman" w:hAnsi="Times New Roman" w:cs="Times New Roman"/>
              </w:rPr>
              <w:br/>
              <w:t>5.  Division and ligation of uterosacral ligaments:</w:t>
            </w:r>
            <w:r w:rsidRPr="00CB2EC4">
              <w:rPr>
                <w:rFonts w:ascii="Times New Roman" w:hAnsi="Times New Roman" w:cs="Times New Roman"/>
              </w:rPr>
              <w:br/>
              <w:t xml:space="preserve">    -   Use vascular forceps to dissect the lateral edge connective tissue of the uterosacral ligament, opening the pararectal space.</w:t>
            </w:r>
            <w:r w:rsidRPr="00CB2EC4">
              <w:rPr>
                <w:rFonts w:ascii="Times New Roman" w:hAnsi="Times New Roman" w:cs="Times New Roman"/>
              </w:rPr>
              <w:br/>
              <w:t xml:space="preserve">    -   Clamp, divide, and suture-ligate the uterosacral ligament at its midpoint with 7-0 silk suture.</w:t>
            </w:r>
            <w:r w:rsidRPr="00CB2EC4">
              <w:rPr>
                <w:rFonts w:ascii="Times New Roman" w:hAnsi="Times New Roman" w:cs="Times New Roman"/>
              </w:rPr>
              <w:br/>
            </w:r>
            <w:r w:rsidRPr="00CB2EC4">
              <w:rPr>
                <w:rFonts w:ascii="Times New Roman" w:hAnsi="Times New Roman" w:cs="Times New Roman"/>
              </w:rPr>
              <w:br/>
              <w:t>6.  Opening the ureteric tunnel and managing uterine vessels:</w:t>
            </w:r>
            <w:r w:rsidRPr="00CB2EC4">
              <w:rPr>
                <w:rFonts w:ascii="Times New Roman" w:hAnsi="Times New Roman" w:cs="Times New Roman"/>
              </w:rPr>
              <w:br/>
              <w:t xml:space="preserve">    -   Pull the uterus cephalad to expose the ureteric tunnel entrance.</w:t>
            </w:r>
            <w:r w:rsidRPr="00CB2EC4">
              <w:rPr>
                <w:rFonts w:ascii="Times New Roman" w:hAnsi="Times New Roman" w:cs="Times New Roman"/>
              </w:rPr>
              <w:br/>
              <w:t xml:space="preserve">    -   Sequentially clamp, divide the uterine artery and vein, and the anterior leaf of the parametrium (roof of ureteric tunnel), proceeding to where the ureter enters the bladder.</w:t>
            </w:r>
            <w:r w:rsidRPr="00CB2EC4">
              <w:rPr>
                <w:rFonts w:ascii="Times New Roman" w:hAnsi="Times New Roman" w:cs="Times New Roman"/>
              </w:rPr>
              <w:br/>
            </w:r>
            <w:r w:rsidRPr="00CB2EC4">
              <w:rPr>
                <w:rFonts w:ascii="Times New Roman" w:hAnsi="Times New Roman" w:cs="Times New Roman"/>
              </w:rPr>
              <w:br/>
              <w:t>7.  Division and ligation of cardinal ligaments:</w:t>
            </w:r>
            <w:r w:rsidRPr="00CB2EC4">
              <w:rPr>
                <w:rFonts w:ascii="Times New Roman" w:hAnsi="Times New Roman" w:cs="Times New Roman"/>
              </w:rPr>
              <w:br/>
              <w:t xml:space="preserve">    -   Retract the ureter laterally with a retractor to expose the paravesical space.</w:t>
            </w:r>
            <w:r w:rsidRPr="00CB2EC4">
              <w:rPr>
                <w:rFonts w:ascii="Times New Roman" w:hAnsi="Times New Roman" w:cs="Times New Roman"/>
              </w:rPr>
              <w:br/>
              <w:t xml:space="preserve">    -   Sequentially clamp, divide the middle one-half of the cardinal ligament (i.e., transverse cervical ligament), and suture-ligate with 7-0 silk suture.</w:t>
            </w:r>
            <w:r w:rsidRPr="00CB2EC4">
              <w:rPr>
                <w:rFonts w:ascii="Times New Roman" w:hAnsi="Times New Roman" w:cs="Times New Roman"/>
              </w:rPr>
              <w:br/>
            </w:r>
            <w:r w:rsidRPr="00CB2EC4">
              <w:rPr>
                <w:rFonts w:ascii="Times New Roman" w:hAnsi="Times New Roman" w:cs="Times New Roman"/>
              </w:rPr>
              <w:br/>
              <w:t>8.  Resection of paravaginal tissue and vaginal division:</w:t>
            </w:r>
            <w:r w:rsidRPr="00CB2EC4">
              <w:rPr>
                <w:rFonts w:ascii="Times New Roman" w:hAnsi="Times New Roman" w:cs="Times New Roman"/>
              </w:rPr>
              <w:br/>
              <w:t xml:space="preserve">    -   Resect paravaginal tissue along both vaginal walls to 2.5 cm lateral to the vaginal fornix.</w:t>
            </w:r>
            <w:r w:rsidRPr="00CB2EC4">
              <w:rPr>
                <w:rFonts w:ascii="Times New Roman" w:hAnsi="Times New Roman" w:cs="Times New Roman"/>
              </w:rPr>
              <w:br/>
              <w:t xml:space="preserve">    -   Transversely divide the upper one-third of the vagina (approximately 3 cm in length).</w:t>
            </w:r>
            <w:r w:rsidRPr="00CB2EC4">
              <w:rPr>
                <w:rFonts w:ascii="Times New Roman" w:hAnsi="Times New Roman" w:cs="Times New Roman"/>
              </w:rPr>
              <w:br/>
              <w:t xml:space="preserve">    -   Grasp the vaginal cuff margin with tissue forceps.</w:t>
            </w:r>
            <w:r w:rsidRPr="00CB2EC4">
              <w:rPr>
                <w:rFonts w:ascii="Times New Roman" w:hAnsi="Times New Roman" w:cs="Times New Roman"/>
              </w:rPr>
              <w:br/>
            </w:r>
            <w:r w:rsidRPr="00CB2EC4">
              <w:rPr>
                <w:rFonts w:ascii="Times New Roman" w:hAnsi="Times New Roman" w:cs="Times New Roman"/>
              </w:rPr>
              <w:lastRenderedPageBreak/>
              <w:br/>
              <w:t>9.  Closure of vaginal cuff and abdominal closure:</w:t>
            </w:r>
            <w:r w:rsidRPr="00CB2EC4">
              <w:rPr>
                <w:rFonts w:ascii="Times New Roman" w:hAnsi="Times New Roman" w:cs="Times New Roman"/>
              </w:rPr>
              <w:br/>
              <w:t xml:space="preserve">    -   Suture the vaginal cuff edge continuously in a locking fashion with 1-0 chromic catgut, and close the cuff with interrupted figure-of-eight sutures, leaving a T-tube drain in situ through a central opening.</w:t>
            </w:r>
            <w:r w:rsidRPr="00CB2EC4">
              <w:rPr>
                <w:rFonts w:ascii="Times New Roman" w:hAnsi="Times New Roman" w:cs="Times New Roman"/>
              </w:rPr>
              <w:br/>
              <w:t xml:space="preserve">    -   Perform selective pelvic lymphadenectomy (common iliac lower, external iliac, deep inguinal, internal iliac, obturator lymph node groups).</w:t>
            </w:r>
            <w:r w:rsidRPr="00CB2EC4">
              <w:rPr>
                <w:rFonts w:ascii="Times New Roman" w:hAnsi="Times New Roman" w:cs="Times New Roman"/>
              </w:rPr>
              <w:br/>
              <w:t xml:space="preserve">    -   Irrigate the pelvic and abdominal cavities, then close the posterior peritoneum and abdominal wall layers.</w:t>
            </w:r>
            <w:r w:rsidRPr="00CB2EC4">
              <w:rPr>
                <w:rFonts w:ascii="Times New Roman" w:hAnsi="Times New Roman" w:cs="Times New Roman"/>
              </w:rPr>
              <w:br/>
            </w:r>
            <w:r w:rsidRPr="00CB2EC4">
              <w:rPr>
                <w:rFonts w:ascii="Times New Roman" w:hAnsi="Times New Roman" w:cs="Times New Roman"/>
              </w:rPr>
              <w:br/>
              <w:t>Source references:</w:t>
            </w:r>
            <w:r w:rsidRPr="00CB2EC4">
              <w:rPr>
                <w:rFonts w:ascii="Times New Roman" w:hAnsi="Times New Roman" w:cs="Times New Roman"/>
              </w:rPr>
              <w:br/>
              <w:t>-   [Document Fragment 13]: Detailed description of the extent and steps of modified radical hysterectomy (e.g., resection of 1/2 of cardinal ligament, 1/3 of vagina).</w:t>
            </w:r>
            <w:r w:rsidRPr="00CB2EC4">
              <w:rPr>
                <w:rFonts w:ascii="Times New Roman" w:hAnsi="Times New Roman" w:cs="Times New Roman"/>
              </w:rPr>
              <w:br/>
              <w:t>-   [Document Fragment 1]: Supplementary information on key surgical points (e.g., tracing the course of the uterine deep vein).</w:t>
            </w:r>
          </w:p>
        </w:tc>
        <w:tc>
          <w:tcPr>
            <w:tcW w:w="1152" w:type="dxa"/>
            <w:vAlign w:val="center"/>
          </w:tcPr>
          <w:p w14:paraId="493B0D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98F9F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5F5C8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1186E25" w14:textId="77777777">
        <w:tc>
          <w:tcPr>
            <w:tcW w:w="2160" w:type="dxa"/>
            <w:vAlign w:val="center"/>
          </w:tcPr>
          <w:p w14:paraId="7F2CA29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6E664AF4" w14:textId="77777777" w:rsidR="00922249" w:rsidRPr="00CB2EC4" w:rsidRDefault="003011D5">
            <w:pPr>
              <w:rPr>
                <w:rFonts w:ascii="Times New Roman" w:hAnsi="Times New Roman" w:cs="Times New Roman"/>
              </w:rPr>
            </w:pPr>
            <w:r w:rsidRPr="00CB2EC4">
              <w:rPr>
                <w:rFonts w:ascii="Times New Roman" w:hAnsi="Times New Roman" w:cs="Times New Roman"/>
              </w:rPr>
              <w:t>Brief description of the surgical procedure for subradical hysterectomy:</w:t>
            </w:r>
            <w:r w:rsidRPr="00CB2EC4">
              <w:rPr>
                <w:rFonts w:ascii="Times New Roman" w:hAnsi="Times New Roman" w:cs="Times New Roman"/>
              </w:rPr>
              <w:br/>
            </w:r>
            <w:r w:rsidRPr="00CB2EC4">
              <w:rPr>
                <w:rFonts w:ascii="Times New Roman" w:hAnsi="Times New Roman" w:cs="Times New Roman"/>
              </w:rPr>
              <w:br/>
              <w:t>1. Laparotomy: Enter the abdominal cavity and fixate the uterus.</w:t>
            </w:r>
            <w:r w:rsidRPr="00CB2EC4">
              <w:rPr>
                <w:rFonts w:ascii="Times New Roman" w:hAnsi="Times New Roman" w:cs="Times New Roman"/>
              </w:rPr>
              <w:br/>
              <w:t>2. Transection of the round ligament of the uterus: Clamp, cut, and ligate at its midportion.</w:t>
            </w:r>
            <w:r w:rsidRPr="00CB2EC4">
              <w:rPr>
                <w:rFonts w:ascii="Times New Roman" w:hAnsi="Times New Roman" w:cs="Times New Roman"/>
              </w:rPr>
              <w:br/>
              <w:t>3. Incision of the iliac fossa peritoneum: Expose pelvic structures to facilitate subsequent procedures.</w:t>
            </w:r>
            <w:r w:rsidRPr="00CB2EC4">
              <w:rPr>
                <w:rFonts w:ascii="Times New Roman" w:hAnsi="Times New Roman" w:cs="Times New Roman"/>
              </w:rPr>
              <w:br/>
              <w:t>4. Opening of the paravesical space: Develop the space without extending deep to the superior fascia of the levator ani muscle.</w:t>
            </w:r>
            <w:r w:rsidRPr="00CB2EC4">
              <w:rPr>
                <w:rFonts w:ascii="Times New Roman" w:hAnsi="Times New Roman" w:cs="Times New Roman"/>
              </w:rPr>
              <w:br/>
              <w:t xml:space="preserve">5. Pelvic lymphadenectomy: Prioritize removal of </w:t>
            </w:r>
            <w:r w:rsidRPr="00CB2EC4">
              <w:rPr>
                <w:rFonts w:ascii="Times New Roman" w:hAnsi="Times New Roman" w:cs="Times New Roman"/>
              </w:rPr>
              <w:lastRenderedPageBreak/>
              <w:t>anterior lymph nodes, with emphasis on the obturator, internal iliac, and cardinal ligament nodes. Pay special attention to clearance at the junction of the obturator vessels and internal iliac vessels (due to involvement in deep uterine venous drainage).</w:t>
            </w:r>
            <w:r w:rsidRPr="00CB2EC4">
              <w:rPr>
                <w:rFonts w:ascii="Times New Roman" w:hAnsi="Times New Roman" w:cs="Times New Roman"/>
              </w:rPr>
              <w:br/>
              <w:t>6. Opening of Latzko's pararectal space: Develop up to the level of the deep uterine vein.</w:t>
            </w:r>
            <w:r w:rsidRPr="00CB2EC4">
              <w:rPr>
                <w:rFonts w:ascii="Times New Roman" w:hAnsi="Times New Roman" w:cs="Times New Roman"/>
              </w:rPr>
              <w:br/>
              <w:t>7. Incision of the vesicouterine peritoneum: Separate the bladder for subsequent manipulation.</w:t>
            </w:r>
            <w:r w:rsidRPr="00CB2EC4">
              <w:rPr>
                <w:rFonts w:ascii="Times New Roman" w:hAnsi="Times New Roman" w:cs="Times New Roman"/>
              </w:rPr>
              <w:br/>
              <w:t>8. Isolation and transection of the uterine artery: Transect after thorough clearance of surrounding tissues, preserving the ureteral branch if possible.</w:t>
            </w:r>
            <w:r w:rsidRPr="00CB2EC4">
              <w:rPr>
                <w:rFonts w:ascii="Times New Roman" w:hAnsi="Times New Roman" w:cs="Times New Roman"/>
              </w:rPr>
              <w:br/>
              <w:t>9. Opening of Okabayashi's pararectal space: Separate the posterior ureter to form the ureteral plate.</w:t>
            </w:r>
            <w:r w:rsidRPr="00CB2EC4">
              <w:rPr>
                <w:rFonts w:ascii="Times New Roman" w:hAnsi="Times New Roman" w:cs="Times New Roman"/>
              </w:rPr>
              <w:br/>
              <w:t>10. Subsequent steps: Include transection of the infundibulopelvic ligament, incision of the Douglas pouch peritoneum, separation of the rectovaginal septum, transection of the uterosacral and rectouterine ligaments, bladder detachment, vaginal transection, and suturing.</w:t>
            </w:r>
            <w:r w:rsidRPr="00CB2EC4">
              <w:rPr>
                <w:rFonts w:ascii="Times New Roman" w:hAnsi="Times New Roman" w:cs="Times New Roman"/>
              </w:rPr>
              <w:br/>
            </w:r>
            <w:r w:rsidRPr="00CB2EC4">
              <w:rPr>
                <w:rFonts w:ascii="Times New Roman" w:hAnsi="Times New Roman" w:cs="Times New Roman"/>
              </w:rPr>
              <w:br/>
              <w:t>The key to this procedure lies in limiting the resection range: the transection of the deep uterine vein is performed medial to its confluence with the superior vesical vein, and the depth of cardinal ligament transection is only to the level of the uterine artery to preserve more tissue.</w:t>
            </w:r>
          </w:p>
        </w:tc>
        <w:tc>
          <w:tcPr>
            <w:tcW w:w="1152" w:type="dxa"/>
            <w:vAlign w:val="center"/>
          </w:tcPr>
          <w:p w14:paraId="655653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C390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89682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D95D31" w14:textId="77777777">
        <w:tc>
          <w:tcPr>
            <w:tcW w:w="2160" w:type="dxa"/>
            <w:vAlign w:val="center"/>
          </w:tcPr>
          <w:p w14:paraId="4146438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F9973D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Incision and exploration: Make a midline abdominal incision and explore the abdominal cavity.  </w:t>
            </w:r>
            <w:r w:rsidRPr="00CB2EC4">
              <w:rPr>
                <w:rFonts w:ascii="Times New Roman" w:hAnsi="Times New Roman" w:cs="Times New Roman"/>
              </w:rPr>
              <w:br/>
              <w:t xml:space="preserve">2. Management of ligaments and peritoneum:  </w:t>
            </w:r>
            <w:r w:rsidRPr="00CB2EC4">
              <w:rPr>
                <w:rFonts w:ascii="Times New Roman" w:hAnsi="Times New Roman" w:cs="Times New Roman"/>
              </w:rPr>
              <w:br/>
              <w:t xml:space="preserve">   - Incise the round ligament of the uterus.  </w:t>
            </w:r>
            <w:r w:rsidRPr="00CB2EC4">
              <w:rPr>
                <w:rFonts w:ascii="Times New Roman" w:hAnsi="Times New Roman" w:cs="Times New Roman"/>
              </w:rPr>
              <w:br/>
              <w:t xml:space="preserve">   - Incise the iliac fossa peritoneum.  </w:t>
            </w:r>
            <w:r w:rsidRPr="00CB2EC4">
              <w:rPr>
                <w:rFonts w:ascii="Times New Roman" w:hAnsi="Times New Roman" w:cs="Times New Roman"/>
              </w:rPr>
              <w:br/>
              <w:t xml:space="preserve">   - Open the lateral bladder space (without extending to the bottom).  </w:t>
            </w:r>
            <w:r w:rsidRPr="00CB2EC4">
              <w:rPr>
                <w:rFonts w:ascii="Times New Roman" w:hAnsi="Times New Roman" w:cs="Times New Roman"/>
              </w:rPr>
              <w:br/>
            </w:r>
            <w:r w:rsidRPr="00CB2EC4">
              <w:rPr>
                <w:rFonts w:ascii="Times New Roman" w:hAnsi="Times New Roman" w:cs="Times New Roman"/>
              </w:rPr>
              <w:lastRenderedPageBreak/>
              <w:t xml:space="preserve">3. Lymph node dissection: Dissect pelvic lymph nodes (anterior, obturator, internal iliac, and cardinal ligament nodes), with particular attention to the area where the obturator vessels join the internal iliac vessels.  </w:t>
            </w:r>
            <w:r w:rsidRPr="00CB2EC4">
              <w:rPr>
                <w:rFonts w:ascii="Times New Roman" w:hAnsi="Times New Roman" w:cs="Times New Roman"/>
              </w:rPr>
              <w:br/>
              <w:t xml:space="preserve">4. Opening spaces and separating structures:  </w:t>
            </w:r>
            <w:r w:rsidRPr="00CB2EC4">
              <w:rPr>
                <w:rFonts w:ascii="Times New Roman" w:hAnsi="Times New Roman" w:cs="Times New Roman"/>
              </w:rPr>
              <w:br/>
              <w:t xml:space="preserve">   - Open the Latzko rectal lateral space (dissected to the level of the deep uterine vein).  </w:t>
            </w:r>
            <w:r w:rsidRPr="00CB2EC4">
              <w:rPr>
                <w:rFonts w:ascii="Times New Roman" w:hAnsi="Times New Roman" w:cs="Times New Roman"/>
              </w:rPr>
              <w:br/>
              <w:t xml:space="preserve">   - Incise the vesicouterine peritoneum.  </w:t>
            </w:r>
            <w:r w:rsidRPr="00CB2EC4">
              <w:rPr>
                <w:rFonts w:ascii="Times New Roman" w:hAnsi="Times New Roman" w:cs="Times New Roman"/>
              </w:rPr>
              <w:br/>
              <w:t xml:space="preserve">   - Separate and divide the uterine artery (the ureteric branch may be preserved).  </w:t>
            </w:r>
            <w:r w:rsidRPr="00CB2EC4">
              <w:rPr>
                <w:rFonts w:ascii="Times New Roman" w:hAnsi="Times New Roman" w:cs="Times New Roman"/>
              </w:rPr>
              <w:br/>
              <w:t xml:space="preserve">   - Open the cardinal rectal lateral space, separate the posterior ureter, and form the ureteric plate.  </w:t>
            </w:r>
            <w:r w:rsidRPr="00CB2EC4">
              <w:rPr>
                <w:rFonts w:ascii="Times New Roman" w:hAnsi="Times New Roman" w:cs="Times New Roman"/>
              </w:rPr>
              <w:br/>
              <w:t xml:space="preserve">5. Deep vein management:  </w:t>
            </w:r>
            <w:r w:rsidRPr="00CB2EC4">
              <w:rPr>
                <w:rFonts w:ascii="Times New Roman" w:hAnsi="Times New Roman" w:cs="Times New Roman"/>
              </w:rPr>
              <w:br/>
              <w:t xml:space="preserve">   - Dissect around the deep uterine vein (using CUSA device).  </w:t>
            </w:r>
            <w:r w:rsidRPr="00CB2EC4">
              <w:rPr>
                <w:rFonts w:ascii="Times New Roman" w:hAnsi="Times New Roman" w:cs="Times New Roman"/>
              </w:rPr>
              <w:br/>
              <w:t xml:space="preserve">   - Divide the pelvic infundibulopelvic ligament.  </w:t>
            </w:r>
            <w:r w:rsidRPr="00CB2EC4">
              <w:rPr>
                <w:rFonts w:ascii="Times New Roman" w:hAnsi="Times New Roman" w:cs="Times New Roman"/>
              </w:rPr>
              <w:br/>
              <w:t xml:space="preserve">6. Rectum and ligament management:  </w:t>
            </w:r>
            <w:r w:rsidRPr="00CB2EC4">
              <w:rPr>
                <w:rFonts w:ascii="Times New Roman" w:hAnsi="Times New Roman" w:cs="Times New Roman"/>
              </w:rPr>
              <w:br/>
              <w:t xml:space="preserve">   - Incise the peritoneum of the rectouterine pouch (Douglas), and separate the rectovaginal septum.  </w:t>
            </w:r>
            <w:r w:rsidRPr="00CB2EC4">
              <w:rPr>
                <w:rFonts w:ascii="Times New Roman" w:hAnsi="Times New Roman" w:cs="Times New Roman"/>
              </w:rPr>
              <w:br/>
              <w:t xml:space="preserve">   - Divide the uterosacral ligament and the rectouterine ligament.  </w:t>
            </w:r>
            <w:r w:rsidRPr="00CB2EC4">
              <w:rPr>
                <w:rFonts w:ascii="Times New Roman" w:hAnsi="Times New Roman" w:cs="Times New Roman"/>
              </w:rPr>
              <w:br/>
              <w:t xml:space="preserve">7. Bladder and tunnel manipulation:  </w:t>
            </w:r>
            <w:r w:rsidRPr="00CB2EC4">
              <w:rPr>
                <w:rFonts w:ascii="Times New Roman" w:hAnsi="Times New Roman" w:cs="Times New Roman"/>
              </w:rPr>
              <w:br/>
              <w:t xml:space="preserve">   - Dissect the bladder.  </w:t>
            </w:r>
            <w:r w:rsidRPr="00CB2EC4">
              <w:rPr>
                <w:rFonts w:ascii="Times New Roman" w:hAnsi="Times New Roman" w:cs="Times New Roman"/>
              </w:rPr>
              <w:br/>
              <w:t xml:space="preserve">   - Form and open the ureteric tunnel.  </w:t>
            </w:r>
            <w:r w:rsidRPr="00CB2EC4">
              <w:rPr>
                <w:rFonts w:ascii="Times New Roman" w:hAnsi="Times New Roman" w:cs="Times New Roman"/>
              </w:rPr>
              <w:br/>
              <w:t xml:space="preserve">   - Dissect the vaginal lateral space.  </w:t>
            </w:r>
            <w:r w:rsidRPr="00CB2EC4">
              <w:rPr>
                <w:rFonts w:ascii="Times New Roman" w:hAnsi="Times New Roman" w:cs="Times New Roman"/>
              </w:rPr>
              <w:br/>
              <w:t xml:space="preserve">8. Ligament division and venous confirmation:  </w:t>
            </w:r>
            <w:r w:rsidRPr="00CB2EC4">
              <w:rPr>
                <w:rFonts w:ascii="Times New Roman" w:hAnsi="Times New Roman" w:cs="Times New Roman"/>
              </w:rPr>
              <w:br/>
              <w:t xml:space="preserve">   - Divide the anterior layer of the vesicouterine ligament (roof of the ureteric tunnel).  </w:t>
            </w:r>
            <w:r w:rsidRPr="00CB2EC4">
              <w:rPr>
                <w:rFonts w:ascii="Times New Roman" w:hAnsi="Times New Roman" w:cs="Times New Roman"/>
              </w:rPr>
              <w:br/>
              <w:t xml:space="preserve">   - Expose the anterior ureter.  </w:t>
            </w:r>
            <w:r w:rsidRPr="00CB2EC4">
              <w:rPr>
                <w:rFonts w:ascii="Times New Roman" w:hAnsi="Times New Roman" w:cs="Times New Roman"/>
              </w:rPr>
              <w:br/>
              <w:t xml:space="preserve">   - Expose the superior vesical vein and confirm its junction point with the deep uterine vein.  </w:t>
            </w:r>
            <w:r w:rsidRPr="00CB2EC4">
              <w:rPr>
                <w:rFonts w:ascii="Times New Roman" w:hAnsi="Times New Roman" w:cs="Times New Roman"/>
              </w:rPr>
              <w:br/>
              <w:t xml:space="preserve">   - Separate and divide the uterine branch of the deep uterine vein proximal to the junction.  </w:t>
            </w:r>
            <w:r w:rsidRPr="00CB2EC4">
              <w:rPr>
                <w:rFonts w:ascii="Times New Roman" w:hAnsi="Times New Roman" w:cs="Times New Roman"/>
              </w:rPr>
              <w:br/>
            </w:r>
            <w:r w:rsidRPr="00CB2EC4">
              <w:rPr>
                <w:rFonts w:ascii="Times New Roman" w:hAnsi="Times New Roman" w:cs="Times New Roman"/>
              </w:rPr>
              <w:lastRenderedPageBreak/>
              <w:t xml:space="preserve">9. Vaginal management:  </w:t>
            </w:r>
            <w:r w:rsidRPr="00CB2EC4">
              <w:rPr>
                <w:rFonts w:ascii="Times New Roman" w:hAnsi="Times New Roman" w:cs="Times New Roman"/>
              </w:rPr>
              <w:br/>
              <w:t xml:space="preserve">   - Divide the rectovaginal ligament.  </w:t>
            </w:r>
            <w:r w:rsidRPr="00CB2EC4">
              <w:rPr>
                <w:rFonts w:ascii="Times New Roman" w:hAnsi="Times New Roman" w:cs="Times New Roman"/>
              </w:rPr>
              <w:br/>
              <w:t xml:space="preserve">   - Divide the tissue surrounding the vagina.  </w:t>
            </w:r>
            <w:r w:rsidRPr="00CB2EC4">
              <w:rPr>
                <w:rFonts w:ascii="Times New Roman" w:hAnsi="Times New Roman" w:cs="Times New Roman"/>
              </w:rPr>
              <w:br/>
              <w:t xml:space="preserve">   - Transect the vagina and suture the vaginal cuff.  </w:t>
            </w:r>
            <w:r w:rsidRPr="00CB2EC4">
              <w:rPr>
                <w:rFonts w:ascii="Times New Roman" w:hAnsi="Times New Roman" w:cs="Times New Roman"/>
              </w:rPr>
              <w:br/>
              <w:t xml:space="preserve">10. Closure: Place a drain and close the abdomen.  </w:t>
            </w:r>
            <w:r w:rsidRPr="00CB2EC4">
              <w:rPr>
                <w:rFonts w:ascii="Times New Roman" w:hAnsi="Times New Roman" w:cs="Times New Roman"/>
              </w:rPr>
              <w:br/>
            </w:r>
            <w:r w:rsidRPr="00CB2EC4">
              <w:rPr>
                <w:rFonts w:ascii="Times New Roman" w:hAnsi="Times New Roman" w:cs="Times New Roman"/>
              </w:rPr>
              <w:br/>
              <w:t>This procedure emphasizes systematic anatomical dissection and nerve preservation, and is indicated for early-stage cervical cancer (Document Fragment 13).</w:t>
            </w:r>
          </w:p>
        </w:tc>
        <w:tc>
          <w:tcPr>
            <w:tcW w:w="1152" w:type="dxa"/>
            <w:vAlign w:val="center"/>
          </w:tcPr>
          <w:p w14:paraId="7CFD41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AB5F3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1541C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7A981B" w14:textId="77777777">
        <w:tc>
          <w:tcPr>
            <w:tcW w:w="2160" w:type="dxa"/>
            <w:vAlign w:val="center"/>
          </w:tcPr>
          <w:p w14:paraId="07D8EB3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27C411E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Laparotomy and uterine fixation:  </w:t>
            </w:r>
            <w:r w:rsidRPr="00CB2EC4">
              <w:rPr>
                <w:rFonts w:ascii="Times New Roman" w:hAnsi="Times New Roman" w:cs="Times New Roman"/>
              </w:rPr>
              <w:br/>
              <w:t xml:space="preserve">   Perform a midline lower abdominal incision, explore the pelvic and abdominal cavities (Segment 5: "Laparotomy").</w:t>
            </w:r>
            <w:r w:rsidRPr="00CB2EC4">
              <w:rPr>
                <w:rFonts w:ascii="Times New Roman" w:hAnsi="Times New Roman" w:cs="Times New Roman"/>
              </w:rPr>
              <w:br/>
            </w:r>
            <w:r w:rsidRPr="00CB2EC4">
              <w:rPr>
                <w:rFonts w:ascii="Times New Roman" w:hAnsi="Times New Roman" w:cs="Times New Roman"/>
              </w:rPr>
              <w:br/>
              <w:t xml:space="preserve">2. Division of the round ligaments of the uterus:  </w:t>
            </w:r>
            <w:r w:rsidRPr="00CB2EC4">
              <w:rPr>
                <w:rFonts w:ascii="Times New Roman" w:hAnsi="Times New Roman" w:cs="Times New Roman"/>
              </w:rPr>
              <w:br/>
              <w:t xml:space="preserve">   Clamp and divide the round ligaments at the midportion, ligate with silk thread (Segment 5: "Division of the round ligaments of the uterus").</w:t>
            </w:r>
            <w:r w:rsidRPr="00CB2EC4">
              <w:rPr>
                <w:rFonts w:ascii="Times New Roman" w:hAnsi="Times New Roman" w:cs="Times New Roman"/>
              </w:rPr>
              <w:br/>
            </w:r>
            <w:r w:rsidRPr="00CB2EC4">
              <w:rPr>
                <w:rFonts w:ascii="Times New Roman" w:hAnsi="Times New Roman" w:cs="Times New Roman"/>
              </w:rPr>
              <w:br/>
              <w:t xml:space="preserve">3. Incision of the iliac fossa peritoneum:  </w:t>
            </w:r>
            <w:r w:rsidRPr="00CB2EC4">
              <w:rPr>
                <w:rFonts w:ascii="Times New Roman" w:hAnsi="Times New Roman" w:cs="Times New Roman"/>
              </w:rPr>
              <w:br/>
              <w:t xml:space="preserve">   Incise the anterior leaf of the broad ligament to expose the lateral pelvic wall (Segment 5: "Incision of the iliac fossa peritoneum").</w:t>
            </w:r>
            <w:r w:rsidRPr="00CB2EC4">
              <w:rPr>
                <w:rFonts w:ascii="Times New Roman" w:hAnsi="Times New Roman" w:cs="Times New Roman"/>
              </w:rPr>
              <w:br/>
            </w:r>
            <w:r w:rsidRPr="00CB2EC4">
              <w:rPr>
                <w:rFonts w:ascii="Times New Roman" w:hAnsi="Times New Roman" w:cs="Times New Roman"/>
              </w:rPr>
              <w:br/>
              <w:t xml:space="preserve">4. Development of the bladder lateral space:  </w:t>
            </w:r>
            <w:r w:rsidRPr="00CB2EC4">
              <w:rPr>
                <w:rFonts w:ascii="Times New Roman" w:hAnsi="Times New Roman" w:cs="Times New Roman"/>
              </w:rPr>
              <w:br/>
              <w:t xml:space="preserve">   Dissect the bladder lateral space without extending to the bottom (above the levator ani fascia) (Segment 5: "Development of the bladder lateral space: No need to dissect down to expose the bottom of the bladder lateral space").</w:t>
            </w:r>
            <w:r w:rsidRPr="00CB2EC4">
              <w:rPr>
                <w:rFonts w:ascii="Times New Roman" w:hAnsi="Times New Roman" w:cs="Times New Roman"/>
              </w:rPr>
              <w:br/>
            </w:r>
            <w:r w:rsidRPr="00CB2EC4">
              <w:rPr>
                <w:rFonts w:ascii="Times New Roman" w:hAnsi="Times New Roman" w:cs="Times New Roman"/>
              </w:rPr>
              <w:br/>
              <w:t xml:space="preserve">5. Pelvic lymphadenectomy:  </w:t>
            </w:r>
            <w:r w:rsidRPr="00CB2EC4">
              <w:rPr>
                <w:rFonts w:ascii="Times New Roman" w:hAnsi="Times New Roman" w:cs="Times New Roman"/>
              </w:rPr>
              <w:br/>
              <w:t xml:space="preserve">   Remove anterior lymph nodes first, with emphasis on dissection of high-risk sites including obturator, </w:t>
            </w:r>
            <w:r w:rsidRPr="00CB2EC4">
              <w:rPr>
                <w:rFonts w:ascii="Times New Roman" w:hAnsi="Times New Roman" w:cs="Times New Roman"/>
              </w:rPr>
              <w:lastRenderedPageBreak/>
              <w:t>internal iliac, and cardinal ligament nodes (Segment 5: "Pelvic lymphadenectomy: Remove anterior lymph nodes first; high-metastasis-risk sites such as obturator, internal iliac, and cardinal ligament nodes are also resected").</w:t>
            </w:r>
            <w:r w:rsidRPr="00CB2EC4">
              <w:rPr>
                <w:rFonts w:ascii="Times New Roman" w:hAnsi="Times New Roman" w:cs="Times New Roman"/>
              </w:rPr>
              <w:br/>
            </w:r>
            <w:r w:rsidRPr="00CB2EC4">
              <w:rPr>
                <w:rFonts w:ascii="Times New Roman" w:hAnsi="Times New Roman" w:cs="Times New Roman"/>
              </w:rPr>
              <w:br/>
              <w:t xml:space="preserve">6. Development of the Latzko rectal lateral space:  </w:t>
            </w:r>
            <w:r w:rsidRPr="00CB2EC4">
              <w:rPr>
                <w:rFonts w:ascii="Times New Roman" w:hAnsi="Times New Roman" w:cs="Times New Roman"/>
              </w:rPr>
              <w:br/>
              <w:t xml:space="preserve">   Dissect the rectal lateral space up to the level of the deep uterine vein (Segment 5: "Development of the Latzko rectal lateral space: Dissect up to the level of the deep uterine vein").</w:t>
            </w:r>
            <w:r w:rsidRPr="00CB2EC4">
              <w:rPr>
                <w:rFonts w:ascii="Times New Roman" w:hAnsi="Times New Roman" w:cs="Times New Roman"/>
              </w:rPr>
              <w:br/>
            </w:r>
            <w:r w:rsidRPr="00CB2EC4">
              <w:rPr>
                <w:rFonts w:ascii="Times New Roman" w:hAnsi="Times New Roman" w:cs="Times New Roman"/>
              </w:rPr>
              <w:br/>
              <w:t xml:space="preserve">7. Incision of the vesicouterine peritoneum:  </w:t>
            </w:r>
            <w:r w:rsidRPr="00CB2EC4">
              <w:rPr>
                <w:rFonts w:ascii="Times New Roman" w:hAnsi="Times New Roman" w:cs="Times New Roman"/>
              </w:rPr>
              <w:br/>
              <w:t xml:space="preserve">   Dissect the peritoneal reflection between the bladder and uterus (Segment 5: "Incision of the bladder peritoneum").</w:t>
            </w:r>
            <w:r w:rsidRPr="00CB2EC4">
              <w:rPr>
                <w:rFonts w:ascii="Times New Roman" w:hAnsi="Times New Roman" w:cs="Times New Roman"/>
              </w:rPr>
              <w:br/>
            </w:r>
            <w:r w:rsidRPr="00CB2EC4">
              <w:rPr>
                <w:rFonts w:ascii="Times New Roman" w:hAnsi="Times New Roman" w:cs="Times New Roman"/>
              </w:rPr>
              <w:br/>
              <w:t xml:space="preserve">8. Dissection and division of the uterine artery:  </w:t>
            </w:r>
            <w:r w:rsidRPr="00CB2EC4">
              <w:rPr>
                <w:rFonts w:ascii="Times New Roman" w:hAnsi="Times New Roman" w:cs="Times New Roman"/>
              </w:rPr>
              <w:br/>
              <w:t xml:space="preserve">   After thorough dissection around the uterine artery, divide and ligate it (Segment 5: "Dissection and division of the uterine artery").</w:t>
            </w:r>
            <w:r w:rsidRPr="00CB2EC4">
              <w:rPr>
                <w:rFonts w:ascii="Times New Roman" w:hAnsi="Times New Roman" w:cs="Times New Roman"/>
              </w:rPr>
              <w:br/>
            </w:r>
            <w:r w:rsidRPr="00CB2EC4">
              <w:rPr>
                <w:rFonts w:ascii="Times New Roman" w:hAnsi="Times New Roman" w:cs="Times New Roman"/>
              </w:rPr>
              <w:br/>
              <w:t xml:space="preserve">9. Development of the Okabayashi rectal lateral space and ureterolysis:  </w:t>
            </w:r>
            <w:r w:rsidRPr="00CB2EC4">
              <w:rPr>
                <w:rFonts w:ascii="Times New Roman" w:hAnsi="Times New Roman" w:cs="Times New Roman"/>
              </w:rPr>
              <w:br/>
              <w:t xml:space="preserve">   Develop the Okabayashi rectal lateral space, dissect the posterior ureter, and create the ureteric flap (Segment 5: "Development of the Okabayashi rectal lateral space, dissection of the posterior ureter, formation of the ureteric flap").</w:t>
            </w:r>
            <w:r w:rsidRPr="00CB2EC4">
              <w:rPr>
                <w:rFonts w:ascii="Times New Roman" w:hAnsi="Times New Roman" w:cs="Times New Roman"/>
              </w:rPr>
              <w:br/>
            </w:r>
            <w:r w:rsidRPr="00CB2EC4">
              <w:rPr>
                <w:rFonts w:ascii="Times New Roman" w:hAnsi="Times New Roman" w:cs="Times New Roman"/>
              </w:rPr>
              <w:br/>
              <w:t xml:space="preserve">10. Management of the deep uterine vein:  </w:t>
            </w:r>
            <w:r w:rsidRPr="00CB2EC4">
              <w:rPr>
                <w:rFonts w:ascii="Times New Roman" w:hAnsi="Times New Roman" w:cs="Times New Roman"/>
              </w:rPr>
              <w:br/>
              <w:t xml:space="preserve">    Dissect around the deep uterine vein, identify the point where the superior vesical vein joins it, and divide the uterine branch proximal to this junction </w:t>
            </w:r>
            <w:r w:rsidRPr="00CB2EC4">
              <w:rPr>
                <w:rFonts w:ascii="Times New Roman" w:hAnsi="Times New Roman" w:cs="Times New Roman"/>
              </w:rPr>
              <w:lastRenderedPageBreak/>
              <w:t>(Segment 5: "Expose the superior vesical vein, confirm its junction with the deep uterine vein... expose, dissect, and divide the uterine branch of the deep uterine vein proximal to the junction").</w:t>
            </w:r>
            <w:r w:rsidRPr="00CB2EC4">
              <w:rPr>
                <w:rFonts w:ascii="Times New Roman" w:hAnsi="Times New Roman" w:cs="Times New Roman"/>
              </w:rPr>
              <w:br/>
            </w:r>
            <w:r w:rsidRPr="00CB2EC4">
              <w:rPr>
                <w:rFonts w:ascii="Times New Roman" w:hAnsi="Times New Roman" w:cs="Times New Roman"/>
              </w:rPr>
              <w:br/>
              <w:t xml:space="preserve">11. Division of ligaments:  </w:t>
            </w:r>
            <w:r w:rsidRPr="00CB2EC4">
              <w:rPr>
                <w:rFonts w:ascii="Times New Roman" w:hAnsi="Times New Roman" w:cs="Times New Roman"/>
              </w:rPr>
              <w:br/>
              <w:t xml:space="preserve">    Divide the uterosacral ligaments, rectouterine ligaments, and rectovaginal ligaments (Segment 5: "Division of the uterosacral and rectouterine ligaments", "Division of the rectovaginal ligaments").</w:t>
            </w:r>
            <w:r w:rsidRPr="00CB2EC4">
              <w:rPr>
                <w:rFonts w:ascii="Times New Roman" w:hAnsi="Times New Roman" w:cs="Times New Roman"/>
              </w:rPr>
              <w:br/>
            </w:r>
            <w:r w:rsidRPr="00CB2EC4">
              <w:rPr>
                <w:rFonts w:ascii="Times New Roman" w:hAnsi="Times New Roman" w:cs="Times New Roman"/>
              </w:rPr>
              <w:br/>
              <w:t xml:space="preserve">12. Division of vaginal surrounding tissues and vagina:  </w:t>
            </w:r>
            <w:r w:rsidRPr="00CB2EC4">
              <w:rPr>
                <w:rFonts w:ascii="Times New Roman" w:hAnsi="Times New Roman" w:cs="Times New Roman"/>
              </w:rPr>
              <w:br/>
              <w:t xml:space="preserve">    Use the vaginal lateral spaces to clamp the vaginal surrounding tissues, divide the vagina, and suture (Segment 5: "Division of vaginal surrounding tissues", "Division of the vagina, suturing").</w:t>
            </w:r>
            <w:r w:rsidRPr="00CB2EC4">
              <w:rPr>
                <w:rFonts w:ascii="Times New Roman" w:hAnsi="Times New Roman" w:cs="Times New Roman"/>
              </w:rPr>
              <w:br/>
            </w:r>
            <w:r w:rsidRPr="00CB2EC4">
              <w:rPr>
                <w:rFonts w:ascii="Times New Roman" w:hAnsi="Times New Roman" w:cs="Times New Roman"/>
              </w:rPr>
              <w:br/>
              <w:t xml:space="preserve">13. Suturing and drainage:  </w:t>
            </w:r>
            <w:r w:rsidRPr="00CB2EC4">
              <w:rPr>
                <w:rFonts w:ascii="Times New Roman" w:hAnsi="Times New Roman" w:cs="Times New Roman"/>
              </w:rPr>
              <w:br/>
              <w:t xml:space="preserve">    Suture the vaginal stump and place a drain (Segment 5: "Suturing", "Placement of drain").</w:t>
            </w:r>
            <w:r w:rsidRPr="00CB2EC4">
              <w:rPr>
                <w:rFonts w:ascii="Times New Roman" w:hAnsi="Times New Roman" w:cs="Times New Roman"/>
              </w:rPr>
              <w:br/>
            </w:r>
            <w:r w:rsidRPr="00CB2EC4">
              <w:rPr>
                <w:rFonts w:ascii="Times New Roman" w:hAnsi="Times New Roman" w:cs="Times New Roman"/>
              </w:rPr>
              <w:br/>
              <w:t>This procedure is based on the description in Segment 5, emphasizing systematic anatomical dissection and functional preservation, and is indicated for early-stage cervical cancer or low-risk cases.</w:t>
            </w:r>
          </w:p>
        </w:tc>
        <w:tc>
          <w:tcPr>
            <w:tcW w:w="1152" w:type="dxa"/>
            <w:vAlign w:val="center"/>
          </w:tcPr>
          <w:p w14:paraId="27EF36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EFDB7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6639C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08409B3" w14:textId="77777777">
        <w:tc>
          <w:tcPr>
            <w:tcW w:w="2160" w:type="dxa"/>
            <w:vAlign w:val="center"/>
          </w:tcPr>
          <w:p w14:paraId="182A227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237832B4" w14:textId="77777777" w:rsidR="00922249" w:rsidRPr="00CB2EC4" w:rsidRDefault="003011D5">
            <w:pPr>
              <w:rPr>
                <w:rFonts w:ascii="Times New Roman" w:hAnsi="Times New Roman" w:cs="Times New Roman"/>
              </w:rPr>
            </w:pPr>
            <w:r w:rsidRPr="00CB2EC4">
              <w:rPr>
                <w:rFonts w:ascii="Times New Roman" w:hAnsi="Times New Roman" w:cs="Times New Roman"/>
              </w:rPr>
              <w:t>- Step 1 (Incision and Exposure): A midline lower abdominal or transverse incision is made to enter the abdominal cavity and expose the pelvic organs.</w:t>
            </w:r>
            <w:r w:rsidRPr="00CB2EC4">
              <w:rPr>
                <w:rFonts w:ascii="Times New Roman" w:hAnsi="Times New Roman" w:cs="Times New Roman"/>
              </w:rPr>
              <w:br/>
              <w:t>- Step 2 (Management of Round Ligaments and Infundibulopelvic Ligaments): Bilateral round ligaments are cut and ligated; the infundibulopelvic ligaments are dissected, and ovaries are preserved if adnexa removal is not indicated.</w:t>
            </w:r>
            <w:r w:rsidRPr="00CB2EC4">
              <w:rPr>
                <w:rFonts w:ascii="Times New Roman" w:hAnsi="Times New Roman" w:cs="Times New Roman"/>
              </w:rPr>
              <w:br/>
            </w:r>
            <w:r w:rsidRPr="00CB2EC4">
              <w:rPr>
                <w:rFonts w:ascii="Times New Roman" w:hAnsi="Times New Roman" w:cs="Times New Roman"/>
              </w:rPr>
              <w:lastRenderedPageBreak/>
              <w:t>- Step 3 (Dissection of Bladder and Rectum): The bladder is mobilized downward to the lower margin of the cervix; the rectovaginal space is dissected to the level of the cervix.</w:t>
            </w:r>
            <w:r w:rsidRPr="00CB2EC4">
              <w:rPr>
                <w:rFonts w:ascii="Times New Roman" w:hAnsi="Times New Roman" w:cs="Times New Roman"/>
              </w:rPr>
              <w:br/>
              <w:t>- Step 4 (Management of Uterine Vessels and Cardinal Ligaments): Uterine arteries are dissected and ligated; approximately 1/2 to 2/3 of the cardinal ligaments (width about 2–3 cm) are resected, preserving part of the parametrial tissue.</w:t>
            </w:r>
            <w:r w:rsidRPr="00CB2EC4">
              <w:rPr>
                <w:rFonts w:ascii="Times New Roman" w:hAnsi="Times New Roman" w:cs="Times New Roman"/>
              </w:rPr>
              <w:br/>
              <w:t>- Step 5 (Removal of Uterus): The vagina is transected at the level of the external cervical os, and the uterus along with the upper segment of the vagina is removed.</w:t>
            </w:r>
            <w:r w:rsidRPr="00CB2EC4">
              <w:rPr>
                <w:rFonts w:ascii="Times New Roman" w:hAnsi="Times New Roman" w:cs="Times New Roman"/>
              </w:rPr>
              <w:br/>
              <w:t>- Step 6 (Closure): The vaginal stump is sutured (e.g., using the Davydov method or other techniques), the abdominal cavity is irrigated, and the incision is closed in layers.</w:t>
            </w:r>
            <w:r w:rsidRPr="00CB2EC4">
              <w:rPr>
                <w:rFonts w:ascii="Times New Roman" w:hAnsi="Times New Roman" w:cs="Times New Roman"/>
              </w:rPr>
              <w:br/>
              <w:t>- Key Point: The surgical extent is less than that of a radical hysterectomy, with emphasis on preserving the ureters and neural structures; operative time is approximately 1.5–2 hours.</w:t>
            </w:r>
          </w:p>
        </w:tc>
        <w:tc>
          <w:tcPr>
            <w:tcW w:w="1152" w:type="dxa"/>
            <w:vAlign w:val="center"/>
          </w:tcPr>
          <w:p w14:paraId="553DDB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10F8C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C9A24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176111B" w14:textId="77777777">
        <w:tc>
          <w:tcPr>
            <w:tcW w:w="10656" w:type="dxa"/>
            <w:gridSpan w:val="5"/>
            <w:tcBorders>
              <w:bottom w:val="single" w:sz="6" w:space="0" w:color="auto"/>
            </w:tcBorders>
            <w:vAlign w:val="center"/>
          </w:tcPr>
          <w:p w14:paraId="3474D758"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129: For patients with Stage III cervical cancer extending to the pelvic sidewall, what is the principle for managing the internal iliac vascular system in Sanlin's technique?</w:t>
            </w:r>
          </w:p>
        </w:tc>
      </w:tr>
      <w:tr w:rsidR="00922249" w:rsidRPr="00CB2EC4" w14:paraId="4F2A1DCC" w14:textId="77777777">
        <w:tc>
          <w:tcPr>
            <w:tcW w:w="2160" w:type="dxa"/>
            <w:vAlign w:val="center"/>
          </w:tcPr>
          <w:p w14:paraId="297AECE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BDE7D28"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III cervical cancer with lateral pelvic wall extension, the vascular management principles of the iliac internal artery and vein system in the Sanlin procedure (superextensive hysterectomy) are as follows. The Sanlin procedure aims to remove the cardinal ligament along with the iliac vascular trunk; however, the document indicates an anatomical contradiction in this approach, and the author recommends modifying the principles to avoid unnecessary risks:</w:t>
            </w:r>
            <w:r w:rsidRPr="00CB2EC4">
              <w:rPr>
                <w:rFonts w:ascii="Times New Roman" w:hAnsi="Times New Roman" w:cs="Times New Roman"/>
              </w:rPr>
              <w:br/>
            </w:r>
            <w:r w:rsidRPr="00CB2EC4">
              <w:rPr>
                <w:rFonts w:ascii="Times New Roman" w:hAnsi="Times New Roman" w:cs="Times New Roman"/>
              </w:rPr>
              <w:lastRenderedPageBreak/>
              <w:t>- Core principle: Complete resection of the iliac internal arterial and venous system, including visceral branches (e.g., uterine artery, vesical vessels), anterior wall branches (e.g., obturator vessels), and posterior wall branches (e.g., gluteal superior/inferior vessels). Specifically, the entire iliac vascular system from downstream of the gluteal superior artery to the pudendal canal is resected.</w:t>
            </w:r>
            <w:r w:rsidRPr="00CB2EC4">
              <w:rPr>
                <w:rFonts w:ascii="Times New Roman" w:hAnsi="Times New Roman" w:cs="Times New Roman"/>
              </w:rPr>
              <w:br/>
              <w:t>- Specific vascular management steps (original Sanlin method):</w:t>
            </w:r>
            <w:r w:rsidRPr="00CB2EC4">
              <w:rPr>
                <w:rFonts w:ascii="Times New Roman" w:hAnsi="Times New Roman" w:cs="Times New Roman"/>
              </w:rPr>
              <w:br/>
              <w:t xml:space="preserve">  1. First ligation: Ligate and divide the obturator vessels.</w:t>
            </w:r>
            <w:r w:rsidRPr="00CB2EC4">
              <w:rPr>
                <w:rFonts w:ascii="Times New Roman" w:hAnsi="Times New Roman" w:cs="Times New Roman"/>
              </w:rPr>
              <w:br/>
              <w:t xml:space="preserve">  2. Second ligation: After branching of the gluteal superior vessels, ligate and divide the downstream iliac internal vascular trunk.</w:t>
            </w:r>
            <w:r w:rsidRPr="00CB2EC4">
              <w:rPr>
                <w:rFonts w:ascii="Times New Roman" w:hAnsi="Times New Roman" w:cs="Times New Roman"/>
              </w:rPr>
              <w:br/>
              <w:t xml:space="preserve">  3. Third ligation: At the inferior margin of the piriformis muscle, before branching of the common gluteal-inferior pudendal trunk, perform combined ligation and division.</w:t>
            </w:r>
            <w:r w:rsidRPr="00CB2EC4">
              <w:rPr>
                <w:rFonts w:ascii="Times New Roman" w:hAnsi="Times New Roman" w:cs="Times New Roman"/>
              </w:rPr>
              <w:br/>
              <w:t>- Risks and precautions: This procedure is technically demanding and requires extensive experience; the document emphasizes avoiding injury to the gluteal inferior and internal pudendal vessels and recommends resection of the iliac internal vessels starting from the origin of the transverse cervical ligament rather than full resection of the common gluteal-inferior pudendal trunk, to reduce complications (e.g., hemorrhage or nerve injury).</w:t>
            </w:r>
            <w:r w:rsidRPr="00CB2EC4">
              <w:rPr>
                <w:rFonts w:ascii="Times New Roman" w:hAnsi="Times New Roman" w:cs="Times New Roman"/>
              </w:rPr>
              <w:br/>
            </w:r>
            <w:r w:rsidRPr="00CB2EC4">
              <w:rPr>
                <w:rFonts w:ascii="Times New Roman" w:hAnsi="Times New Roman" w:cs="Times New Roman"/>
              </w:rPr>
              <w:br/>
              <w:t>These principles are based on the description of the Sanlin procedure and the author’s critical analysis in the document, applicable to stage III cervical cancer with lateral pelvic wall extension.</w:t>
            </w:r>
          </w:p>
        </w:tc>
        <w:tc>
          <w:tcPr>
            <w:tcW w:w="1152" w:type="dxa"/>
            <w:vAlign w:val="center"/>
          </w:tcPr>
          <w:p w14:paraId="517451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6739E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A41E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88D31D" w14:textId="77777777">
        <w:tc>
          <w:tcPr>
            <w:tcW w:w="2160" w:type="dxa"/>
            <w:vAlign w:val="center"/>
          </w:tcPr>
          <w:p w14:paraId="1DC6080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Contextual Chunk </w:t>
            </w:r>
            <w:r w:rsidRPr="00CB2EC4">
              <w:rPr>
                <w:rFonts w:ascii="Times New Roman" w:hAnsi="Times New Roman" w:cs="Times New Roman"/>
              </w:rPr>
              <w:lastRenderedPageBreak/>
              <w:t>Headers</w:t>
            </w:r>
          </w:p>
        </w:tc>
        <w:tc>
          <w:tcPr>
            <w:tcW w:w="5040" w:type="dxa"/>
            <w:vAlign w:val="center"/>
          </w:tcPr>
          <w:p w14:paraId="512FDEF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for patients with stage III cervical cancer with lateral </w:t>
            </w:r>
            <w:r w:rsidRPr="00CB2EC4">
              <w:rPr>
                <w:rFonts w:ascii="Times New Roman" w:hAnsi="Times New Roman" w:cs="Times New Roman"/>
              </w:rPr>
              <w:lastRenderedPageBreak/>
              <w:t xml:space="preserve">pelvic wall extension, the vascular management principles of the Sanlin procedure (ultra-radical hysterectomy) for the internal iliac vessels are as follows:  </w:t>
            </w:r>
            <w:r w:rsidRPr="00CB2EC4">
              <w:rPr>
                <w:rFonts w:ascii="Times New Roman" w:hAnsi="Times New Roman" w:cs="Times New Roman"/>
              </w:rPr>
              <w:br/>
              <w:t xml:space="preserve">1. Ligate and divide the obturator vessels: as the first ligation, address the obturator artery and vein.  </w:t>
            </w:r>
            <w:r w:rsidRPr="00CB2EC4">
              <w:rPr>
                <w:rFonts w:ascii="Times New Roman" w:hAnsi="Times New Roman" w:cs="Times New Roman"/>
              </w:rPr>
              <w:br/>
              <w:t xml:space="preserve">2. Ligate and divide the distal trunk of the internal iliac vessels: after the superior gluteal vessel branch, perform ligation and division on the distal internal iliac artery and vein trunk (second ligation).  </w:t>
            </w:r>
            <w:r w:rsidRPr="00CB2EC4">
              <w:rPr>
                <w:rFonts w:ascii="Times New Roman" w:hAnsi="Times New Roman" w:cs="Times New Roman"/>
              </w:rPr>
              <w:br/>
              <w:t xml:space="preserve">3. Ligate and divide the common trunk of the inferior gluteal and internal pudendal vessels: at the level below the piriformis muscle, ligate and divide the common trunk branch upstream of the inferior gluteal and internal pudendal artery and vein (third ligation).  </w:t>
            </w:r>
            <w:r w:rsidRPr="00CB2EC4">
              <w:rPr>
                <w:rFonts w:ascii="Times New Roman" w:hAnsi="Times New Roman" w:cs="Times New Roman"/>
              </w:rPr>
              <w:br/>
            </w:r>
            <w:r w:rsidRPr="00CB2EC4">
              <w:rPr>
                <w:rFonts w:ascii="Times New Roman" w:hAnsi="Times New Roman" w:cs="Times New Roman"/>
              </w:rPr>
              <w:br/>
              <w:t>The principle is complete extirpation of the cardinal ligament together with the internal iliac vessel trunk, ranging from downstream of the superior gluteal vein to the pudendal canal, aiming for radical clearance of cancer tissue extending to the lateral pelvic wall. However, the document notes this method does not address the visceral branches of the internal iliac vessels (e.g., vesical, rectal vessels), presenting an anatomical contradiction (fragment 4).</w:t>
            </w:r>
          </w:p>
        </w:tc>
        <w:tc>
          <w:tcPr>
            <w:tcW w:w="1152" w:type="dxa"/>
            <w:vAlign w:val="center"/>
          </w:tcPr>
          <w:p w14:paraId="3489C0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B5C0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9595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EC2394" w14:textId="77777777">
        <w:tc>
          <w:tcPr>
            <w:tcW w:w="2160" w:type="dxa"/>
            <w:vAlign w:val="center"/>
          </w:tcPr>
          <w:p w14:paraId="6B17CB5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AE181B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vascular management principles of the Sanlin technique for the internal iliac artery and vein system in patients with stage III cervical cancer with lateral pelvic wall extension are as follows:  </w:t>
            </w:r>
            <w:r w:rsidRPr="00CB2EC4">
              <w:rPr>
                <w:rFonts w:ascii="Times New Roman" w:hAnsi="Times New Roman" w:cs="Times New Roman"/>
              </w:rPr>
              <w:br/>
              <w:t xml:space="preserve">1. Technical key: Correct dissection, division, and ligation of the internal iliac vessels constitute the most difficult technical step in the surgery.  </w:t>
            </w:r>
            <w:r w:rsidRPr="00CB2EC4">
              <w:rPr>
                <w:rFonts w:ascii="Times New Roman" w:hAnsi="Times New Roman" w:cs="Times New Roman"/>
              </w:rPr>
              <w:br/>
              <w:t xml:space="preserve">2. Sites of vessel division:  </w:t>
            </w:r>
            <w:r w:rsidRPr="00CB2EC4">
              <w:rPr>
                <w:rFonts w:ascii="Times New Roman" w:hAnsi="Times New Roman" w:cs="Times New Roman"/>
              </w:rPr>
              <w:br/>
              <w:t xml:space="preserve">   - Obturator vessels  </w:t>
            </w:r>
            <w:r w:rsidRPr="00CB2EC4">
              <w:rPr>
                <w:rFonts w:ascii="Times New Roman" w:hAnsi="Times New Roman" w:cs="Times New Roman"/>
              </w:rPr>
              <w:br/>
            </w:r>
            <w:r w:rsidRPr="00CB2EC4">
              <w:rPr>
                <w:rFonts w:ascii="Times New Roman" w:hAnsi="Times New Roman" w:cs="Times New Roman"/>
              </w:rPr>
              <w:lastRenderedPageBreak/>
              <w:t xml:space="preserve">   - Medial umbilical ligament  </w:t>
            </w:r>
            <w:r w:rsidRPr="00CB2EC4">
              <w:rPr>
                <w:rFonts w:ascii="Times New Roman" w:hAnsi="Times New Roman" w:cs="Times New Roman"/>
              </w:rPr>
              <w:br/>
              <w:t xml:space="preserve">   - Distal to the origin of the superior gluteal vessel branch from the internal iliac trunk  </w:t>
            </w:r>
            <w:r w:rsidRPr="00CB2EC4">
              <w:rPr>
                <w:rFonts w:ascii="Times New Roman" w:hAnsi="Times New Roman" w:cs="Times New Roman"/>
              </w:rPr>
              <w:br/>
              <w:t xml:space="preserve">   - Between the two branch points of the inferior gluteal-internal pudendal common trunk: the deep uterine vein and the middle rectal vessel  </w:t>
            </w:r>
            <w:r w:rsidRPr="00CB2EC4">
              <w:rPr>
                <w:rFonts w:ascii="Times New Roman" w:hAnsi="Times New Roman" w:cs="Times New Roman"/>
              </w:rPr>
              <w:br/>
              <w:t xml:space="preserve">3. Excluded sites: The bladder branch and rectal branch should not be included.  </w:t>
            </w:r>
            <w:r w:rsidRPr="00CB2EC4">
              <w:rPr>
                <w:rFonts w:ascii="Times New Roman" w:hAnsi="Times New Roman" w:cs="Times New Roman"/>
              </w:rPr>
              <w:br/>
              <w:t xml:space="preserve">4. Risk consideration: Given the necessity and high risk of dissecting, dividing, and ligating the inferior gluteal and internal pudendal vessels, the third ligation site proposed by Kobayashi (i.e., ligation proximal to the branching of the inferior gluteal-internal pudendal common trunk) is not recommended.  </w:t>
            </w:r>
            <w:r w:rsidRPr="00CB2EC4">
              <w:rPr>
                <w:rFonts w:ascii="Times New Roman" w:hAnsi="Times New Roman" w:cs="Times New Roman"/>
              </w:rPr>
              <w:br/>
            </w:r>
            <w:r w:rsidRPr="00CB2EC4">
              <w:rPr>
                <w:rFonts w:ascii="Times New Roman" w:hAnsi="Times New Roman" w:cs="Times New Roman"/>
              </w:rPr>
              <w:br/>
              <w:t>Supplement from document fragment 10 (relevance: 0.800) and fragment 17 (relevance: 0.800): Management includes ligation of the distal internal iliac trunk after the superior gluteal vessel branch (second ligation), and emphasizes that this technique requires resection of the internal iliac artery and vein system; however, when combined with organ resection, the internal iliac trunk does not need to be resected, and only the visceral side branches should be managed.</w:t>
            </w:r>
          </w:p>
        </w:tc>
        <w:tc>
          <w:tcPr>
            <w:tcW w:w="1152" w:type="dxa"/>
            <w:vAlign w:val="center"/>
          </w:tcPr>
          <w:p w14:paraId="083ABF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0DBC4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0B7D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AE7CD1" w14:textId="77777777">
        <w:tc>
          <w:tcPr>
            <w:tcW w:w="2160" w:type="dxa"/>
            <w:vAlign w:val="center"/>
          </w:tcPr>
          <w:p w14:paraId="0F1DBD1C"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2EC9492"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III cervical cancer with lateral pelvic wall infiltration, the vascular management principles of the Sanlin technique for the internal iliac artery and vein system are as follows:</w:t>
            </w:r>
            <w:r w:rsidRPr="00CB2EC4">
              <w:rPr>
                <w:rFonts w:ascii="Times New Roman" w:hAnsi="Times New Roman" w:cs="Times New Roman"/>
              </w:rPr>
              <w:br/>
            </w:r>
            <w:r w:rsidRPr="00CB2EC4">
              <w:rPr>
                <w:rFonts w:ascii="Times New Roman" w:hAnsi="Times New Roman" w:cs="Times New Roman"/>
              </w:rPr>
              <w:br/>
              <w:t xml:space="preserve">knowledge base contribution (surgery chapter 2):  </w:t>
            </w:r>
            <w:r w:rsidRPr="00CB2EC4">
              <w:rPr>
                <w:rFonts w:ascii="Times New Roman" w:hAnsi="Times New Roman" w:cs="Times New Roman"/>
              </w:rPr>
              <w:br/>
              <w:t xml:space="preserve">- core principle: complete resection of the internal iliac artery and vein system (from distal to the superior gluteal vessels to the pudendal canal).  </w:t>
            </w:r>
            <w:r w:rsidRPr="00CB2EC4">
              <w:rPr>
                <w:rFonts w:ascii="Times New Roman" w:hAnsi="Times New Roman" w:cs="Times New Roman"/>
              </w:rPr>
              <w:br/>
            </w:r>
            <w:r w:rsidRPr="00CB2EC4">
              <w:rPr>
                <w:rFonts w:ascii="Times New Roman" w:hAnsi="Times New Roman" w:cs="Times New Roman"/>
              </w:rPr>
              <w:lastRenderedPageBreak/>
              <w:t xml:space="preserve">- specific steps (figure 75):  </w:t>
            </w:r>
            <w:r w:rsidRPr="00CB2EC4">
              <w:rPr>
                <w:rFonts w:ascii="Times New Roman" w:hAnsi="Times New Roman" w:cs="Times New Roman"/>
              </w:rPr>
              <w:br/>
              <w:t xml:space="preserve">  1. first ligation: obturator vessels;  </w:t>
            </w:r>
            <w:r w:rsidRPr="00CB2EC4">
              <w:rPr>
                <w:rFonts w:ascii="Times New Roman" w:hAnsi="Times New Roman" w:cs="Times New Roman"/>
              </w:rPr>
              <w:br/>
              <w:t xml:space="preserve">  2. second ligation: after branching of the superior gluteal vessels, ligate and divide the distal main trunk of the internal iliac vessels;  </w:t>
            </w:r>
            <w:r w:rsidRPr="00CB2EC4">
              <w:rPr>
                <w:rFonts w:ascii="Times New Roman" w:hAnsi="Times New Roman" w:cs="Times New Roman"/>
              </w:rPr>
              <w:br/>
              <w:t xml:space="preserve">  3. third ligation: at the level of the inferior border of the piriformis muscle, ligate the internal pudendal vessels;  </w:t>
            </w:r>
            <w:r w:rsidRPr="00CB2EC4">
              <w:rPr>
                <w:rFonts w:ascii="Times New Roman" w:hAnsi="Times New Roman" w:cs="Times New Roman"/>
              </w:rPr>
              <w:br/>
              <w:t xml:space="preserve">  4. en bloc resection: remove the visceral branches (uterine artery and vein, middle vesical/rectal vessels) and parietal branches (obturator, internal pudendal vessels) of the internal iliac artery and vein system as a single block.  </w:t>
            </w:r>
            <w:r w:rsidRPr="00CB2EC4">
              <w:rPr>
                <w:rFonts w:ascii="Times New Roman" w:hAnsi="Times New Roman" w:cs="Times New Roman"/>
              </w:rPr>
              <w:br/>
            </w:r>
            <w:r w:rsidRPr="00CB2EC4">
              <w:rPr>
                <w:rFonts w:ascii="Times New Roman" w:hAnsi="Times New Roman" w:cs="Times New Roman"/>
              </w:rPr>
              <w:br/>
              <w:t xml:space="preserve">contradiction analysis:  </w:t>
            </w:r>
            <w:r w:rsidRPr="00CB2EC4">
              <w:rPr>
                <w:rFonts w:ascii="Times New Roman" w:hAnsi="Times New Roman" w:cs="Times New Roman"/>
              </w:rPr>
              <w:br/>
              <w:t xml:space="preserve">- the knowledge base indicates that the Sanlin technique does not address the lateral rectal ligament or the vesical vascular bundle (figure 171), which may require secondary division during surgery (this contradiction is not mentioned in online guidelines).  </w:t>
            </w:r>
            <w:r w:rsidRPr="00CB2EC4">
              <w:rPr>
                <w:rFonts w:ascii="Times New Roman" w:hAnsi="Times New Roman" w:cs="Times New Roman"/>
              </w:rPr>
              <w:br/>
            </w:r>
            <w:r w:rsidRPr="00CB2EC4">
              <w:rPr>
                <w:rFonts w:ascii="Times New Roman" w:hAnsi="Times New Roman" w:cs="Times New Roman"/>
              </w:rPr>
              <w:br/>
              <w:t>&gt; indication: specifically designed for lateral pelvic wall infiltration (stage III), sacrificing the internal iliac vascular system to achieve radical tumor clearance.</w:t>
            </w:r>
          </w:p>
        </w:tc>
        <w:tc>
          <w:tcPr>
            <w:tcW w:w="1152" w:type="dxa"/>
            <w:vAlign w:val="center"/>
          </w:tcPr>
          <w:p w14:paraId="490C5D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A75C8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39C8B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FDB50D" w14:textId="77777777">
        <w:tc>
          <w:tcPr>
            <w:tcW w:w="2160" w:type="dxa"/>
            <w:vAlign w:val="center"/>
          </w:tcPr>
          <w:p w14:paraId="7BF74E77"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98A24D6"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III cervical cancer spreading to the pelvic sidewall, the vascular management principles of the Sanlin procedure (superextensive hysterectomy) for the internal iliac artery and vein system are as follows:</w:t>
            </w:r>
            <w:r w:rsidRPr="00CB2EC4">
              <w:rPr>
                <w:rFonts w:ascii="Times New Roman" w:hAnsi="Times New Roman" w:cs="Times New Roman"/>
              </w:rPr>
              <w:br/>
            </w:r>
            <w:r w:rsidRPr="00CB2EC4">
              <w:rPr>
                <w:rFonts w:ascii="Times New Roman" w:hAnsi="Times New Roman" w:cs="Times New Roman"/>
              </w:rPr>
              <w:br/>
              <w:t xml:space="preserve">- Management scope: from the distal end of the superior gluteal artery and vein to the Alcock canal, completely resect the entire internal iliac </w:t>
            </w:r>
            <w:r w:rsidRPr="00CB2EC4">
              <w:rPr>
                <w:rFonts w:ascii="Times New Roman" w:hAnsi="Times New Roman" w:cs="Times New Roman"/>
              </w:rPr>
              <w:lastRenderedPageBreak/>
              <w:t>arteriovenous system, including visceral branches (e.g., uterine artery, vesical vessels), anterior wall branches (e.g., obturator vessels, internal pudendal vessels), and posterior wall branches (e.g., iliolumbar vessels) (Fragment 2 and 19).</w:t>
            </w:r>
            <w:r w:rsidRPr="00CB2EC4">
              <w:rPr>
                <w:rFonts w:ascii="Times New Roman" w:hAnsi="Times New Roman" w:cs="Times New Roman"/>
              </w:rPr>
              <w:br/>
              <w:t>- Specific operative steps (vascular management principles):</w:t>
            </w:r>
            <w:r w:rsidRPr="00CB2EC4">
              <w:rPr>
                <w:rFonts w:ascii="Times New Roman" w:hAnsi="Times New Roman" w:cs="Times New Roman"/>
              </w:rPr>
              <w:br/>
              <w:t xml:space="preserve">  1. Ligate and divide the obturator vessels (first ligation): as the initial step, manage the anterior wall branches (Fragment 19).</w:t>
            </w:r>
            <w:r w:rsidRPr="00CB2EC4">
              <w:rPr>
                <w:rFonts w:ascii="Times New Roman" w:hAnsi="Times New Roman" w:cs="Times New Roman"/>
              </w:rPr>
              <w:br/>
              <w:t xml:space="preserve">  2. After the branching of the superior gluteal vessels, ligate and divide the distal internal iliac vessel trunk (second ligation): ensure division of the internal iliac vein trunk distal to the confluence of the superior gluteal vein to avoid residual tissue (Fragment 19).</w:t>
            </w:r>
            <w:r w:rsidRPr="00CB2EC4">
              <w:rPr>
                <w:rFonts w:ascii="Times New Roman" w:hAnsi="Times New Roman" w:cs="Times New Roman"/>
              </w:rPr>
              <w:br/>
              <w:t xml:space="preserve">  3. At the piriformis muscle, manage the inferior gluteal and internal pudendal vessels: resect the common trunk (internal iliac vessels), extending the range to the Alcock canal (Fragment 2 and 19).</w:t>
            </w:r>
            <w:r w:rsidRPr="00CB2EC4">
              <w:rPr>
                <w:rFonts w:ascii="Times New Roman" w:hAnsi="Times New Roman" w:cs="Times New Roman"/>
              </w:rPr>
              <w:br/>
              <w:t>- Purpose and risk: this principle aims to resect the cardinal ligament along with the internal iliac vessel trunk (Fragment 19); however, Fragment 5 notes that failure to simultaneously resect the lateral rectal ligament and the vesical neurovascular bundle may result in incomplete uterine resection; secondary division of these structures is required when preserving organs (Fragment 5, Figure 171). During the procedure, ligation and division are used to prevent cancer cell dissemination (Fragment 19).</w:t>
            </w:r>
            <w:r w:rsidRPr="00CB2EC4">
              <w:rPr>
                <w:rFonts w:ascii="Times New Roman" w:hAnsi="Times New Roman" w:cs="Times New Roman"/>
              </w:rPr>
              <w:br/>
            </w:r>
            <w:r w:rsidRPr="00CB2EC4">
              <w:rPr>
                <w:rFonts w:ascii="Times New Roman" w:hAnsi="Times New Roman" w:cs="Times New Roman"/>
              </w:rPr>
              <w:br/>
              <w:t xml:space="preserve">In summary, the principle is systematic resection of all branches of the internal iliac arteriovenous system from the obturator vessels to the Alcock canal, ensuring no residual disease, applicable to stage III </w:t>
            </w:r>
            <w:r w:rsidRPr="00CB2EC4">
              <w:rPr>
                <w:rFonts w:ascii="Times New Roman" w:hAnsi="Times New Roman" w:cs="Times New Roman"/>
              </w:rPr>
              <w:lastRenderedPageBreak/>
              <w:t>cases with pelvic sidewall spread.</w:t>
            </w:r>
          </w:p>
        </w:tc>
        <w:tc>
          <w:tcPr>
            <w:tcW w:w="1152" w:type="dxa"/>
            <w:vAlign w:val="center"/>
          </w:tcPr>
          <w:p w14:paraId="23B41E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00113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56A4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A6C34E" w14:textId="77777777">
        <w:tc>
          <w:tcPr>
            <w:tcW w:w="2160" w:type="dxa"/>
            <w:vAlign w:val="center"/>
          </w:tcPr>
          <w:p w14:paraId="1217865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2B8AAB67"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III cervical cancer with lateral pelvic wall extension, the vascular management principles of the iliac vessels in the Sanlin procedure (ultra-radical hysterectomy) are complete resection of the internal iliac artery and vein trunk and their branches to ensure radical removal of cancer-infiltrated tissues. The specific principles follow a stepwise ligation and division approach (based on documents 1 and 14):</w:t>
            </w:r>
            <w:r w:rsidRPr="00CB2EC4">
              <w:rPr>
                <w:rFonts w:ascii="Times New Roman" w:hAnsi="Times New Roman" w:cs="Times New Roman"/>
              </w:rPr>
              <w:br/>
              <w:t>- Stepwise management principle:</w:t>
            </w:r>
            <w:r w:rsidRPr="00CB2EC4">
              <w:rPr>
                <w:rFonts w:ascii="Times New Roman" w:hAnsi="Times New Roman" w:cs="Times New Roman"/>
              </w:rPr>
              <w:br/>
              <w:t xml:space="preserve">  1. First ligation: Ligate and divide the obturator vessels (anterior wall branch of the internal iliac system).</w:t>
            </w:r>
            <w:r w:rsidRPr="00CB2EC4">
              <w:rPr>
                <w:rFonts w:ascii="Times New Roman" w:hAnsi="Times New Roman" w:cs="Times New Roman"/>
              </w:rPr>
              <w:br/>
              <w:t xml:space="preserve">  2. Second ligation: After the superior gluteal vessel branch, ligate and divide the distal main trunk of the internal iliac artery and vein.</w:t>
            </w:r>
            <w:r w:rsidRPr="00CB2EC4">
              <w:rPr>
                <w:rFonts w:ascii="Times New Roman" w:hAnsi="Times New Roman" w:cs="Times New Roman"/>
              </w:rPr>
              <w:br/>
              <w:t xml:space="preserve">  3. Third ligation: At the inferior margin of the piriformis muscle (below the piriformis), ligate and divide the proximal common trunk of the inferior gluteal and internal pudendal vessels (before its branching).</w:t>
            </w:r>
            <w:r w:rsidRPr="00CB2EC4">
              <w:rPr>
                <w:rFonts w:ascii="Times New Roman" w:hAnsi="Times New Roman" w:cs="Times New Roman"/>
              </w:rPr>
              <w:br/>
              <w:t>- Anatomical extent: Resection covers from distal to the superior gluteal vessels to the pudendal canal (Alcock canal), including visceral branches (e.g., uterine vessels), anterior wall branches, and posterior wall branches of the internal iliac system. However, the method has limitations, such as omission of bladder and rectal vascular branches (e.g., middle vesical, middle rectal arteries/veins), which may increase intraoperative risk (document 14).</w:t>
            </w:r>
            <w:r w:rsidRPr="00CB2EC4">
              <w:rPr>
                <w:rFonts w:ascii="Times New Roman" w:hAnsi="Times New Roman" w:cs="Times New Roman"/>
              </w:rPr>
              <w:br/>
              <w:t xml:space="preserve">- Precautions: The procedure requires systematic anatomical knowledge and advanced surgical skills to avoid injury to branches of the inferior gluteal-internal </w:t>
            </w:r>
            <w:r w:rsidRPr="00CB2EC4">
              <w:rPr>
                <w:rFonts w:ascii="Times New Roman" w:hAnsi="Times New Roman" w:cs="Times New Roman"/>
              </w:rPr>
              <w:lastRenderedPageBreak/>
              <w:t>pudendal common trunk. The Sanlin technique is based on traditional European anatomy and may overlook lateral ligaments of the bladder and rectum; thus, intraoperative adjustment is necessary according to infiltration extent (e.g., preserving the internal iliac trunk when combined organ resection is required).</w:t>
            </w:r>
          </w:p>
        </w:tc>
        <w:tc>
          <w:tcPr>
            <w:tcW w:w="1152" w:type="dxa"/>
            <w:vAlign w:val="center"/>
          </w:tcPr>
          <w:p w14:paraId="01DE4D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4D6B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330D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76EA1F" w14:textId="77777777">
        <w:tc>
          <w:tcPr>
            <w:tcW w:w="2160" w:type="dxa"/>
            <w:vAlign w:val="center"/>
          </w:tcPr>
          <w:p w14:paraId="3A9F44C7"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B1E5E0A"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III cervical cancer with lateral pelvic wall extension, the vascular management principles of the iliac internal artery and vein system in the Sanlin procedure (ultra-radical hysterectomy) are as follows:</w:t>
            </w:r>
            <w:r w:rsidRPr="00CB2EC4">
              <w:rPr>
                <w:rFonts w:ascii="Times New Roman" w:hAnsi="Times New Roman" w:cs="Times New Roman"/>
              </w:rPr>
              <w:br/>
            </w:r>
            <w:r w:rsidRPr="00CB2EC4">
              <w:rPr>
                <w:rFonts w:ascii="Times New Roman" w:hAnsi="Times New Roman" w:cs="Times New Roman"/>
              </w:rPr>
              <w:br/>
              <w:t>- **Objective**: Complete resection of the iliac internal artery and vein system, including visceral branches (uterine artery, vesical vessels, middle rectal vessels), anterior wall branches (umbilical artery, obturator vessels, internal pudendal vessels), and posterior wall branches (iliolumbar vessels, lateral sacral vessels, superior and inferior gluteal vessels) (Fig. 50, Fig. 75).</w:t>
            </w:r>
            <w:r w:rsidRPr="00CB2EC4">
              <w:rPr>
                <w:rFonts w:ascii="Times New Roman" w:hAnsi="Times New Roman" w:cs="Times New Roman"/>
              </w:rPr>
              <w:br/>
              <w:t>- **Specific principles**:</w:t>
            </w:r>
            <w:r w:rsidRPr="00CB2EC4">
              <w:rPr>
                <w:rFonts w:ascii="Times New Roman" w:hAnsi="Times New Roman" w:cs="Times New Roman"/>
              </w:rPr>
              <w:br/>
              <w:t xml:space="preserve">  1. **En bloc resection**: Unlike partial resection, the Sanlin procedure requires complete removal of the iliac internal vascular system from the level distal to the superior gluteal vein to the pudendal canal throughout its course, to avoid residual cancer cells (context: [HyDE similarity: 0.564]).</w:t>
            </w:r>
            <w:r w:rsidRPr="00CB2EC4">
              <w:rPr>
                <w:rFonts w:ascii="Times New Roman" w:hAnsi="Times New Roman" w:cs="Times New Roman"/>
              </w:rPr>
              <w:br/>
              <w:t xml:space="preserve">  2. **Stepwise ligation**:</w:t>
            </w:r>
            <w:r w:rsidRPr="00CB2EC4">
              <w:rPr>
                <w:rFonts w:ascii="Times New Roman" w:hAnsi="Times New Roman" w:cs="Times New Roman"/>
              </w:rPr>
              <w:br/>
              <w:t xml:space="preserve">     - Step 1: Ligate and divide the obturator vessels and nerve near the obturator foramen (first ligation).</w:t>
            </w:r>
            <w:r w:rsidRPr="00CB2EC4">
              <w:rPr>
                <w:rFonts w:ascii="Times New Roman" w:hAnsi="Times New Roman" w:cs="Times New Roman"/>
              </w:rPr>
              <w:br/>
              <w:t xml:space="preserve">     - Step 2: After branching of the gluteal vessels, ligate and divide the distal main trunk of the internal iliac vessels (second ligation).</w:t>
            </w:r>
            <w:r w:rsidRPr="00CB2EC4">
              <w:rPr>
                <w:rFonts w:ascii="Times New Roman" w:hAnsi="Times New Roman" w:cs="Times New Roman"/>
              </w:rPr>
              <w:br/>
              <w:t xml:space="preserve">     - Step 3: Manage the common trunk of the inferior </w:t>
            </w:r>
            <w:r w:rsidRPr="00CB2EC4">
              <w:rPr>
                <w:rFonts w:ascii="Times New Roman" w:hAnsi="Times New Roman" w:cs="Times New Roman"/>
              </w:rPr>
              <w:lastRenderedPageBreak/>
              <w:t>gluteal and internal pudendal veins at the inferior opening of the piriformis muscle (context: [HyDE similarity: 0.564]).</w:t>
            </w:r>
            <w:r w:rsidRPr="00CB2EC4">
              <w:rPr>
                <w:rFonts w:ascii="Times New Roman" w:hAnsi="Times New Roman" w:cs="Times New Roman"/>
              </w:rPr>
              <w:br/>
              <w:t xml:space="preserve">  3. **Avoidance of injury**: When dissecting vessels with an ultrasonic scalpel, thorough washing and suction must be performed to prevent dissemination of cancerous tissue (context: [HyDE similarity: 0.605]).</w:t>
            </w:r>
            <w:r w:rsidRPr="00CB2EC4">
              <w:rPr>
                <w:rFonts w:ascii="Times New Roman" w:hAnsi="Times New Roman" w:cs="Times New Roman"/>
              </w:rPr>
              <w:br/>
              <w:t xml:space="preserve">  4. **Management of contradictions**: If preservation of the rectum and bladder is required, the rectal lateral ligament and vesical vascular bundles must be divided again at the visceral side (Fig. 171) (context: [HyDE similarity: 0.605]).</w:t>
            </w:r>
            <w:r w:rsidRPr="00CB2EC4">
              <w:rPr>
                <w:rFonts w:ascii="Times New Roman" w:hAnsi="Times New Roman" w:cs="Times New Roman"/>
              </w:rPr>
              <w:br/>
            </w:r>
            <w:r w:rsidRPr="00CB2EC4">
              <w:rPr>
                <w:rFonts w:ascii="Times New Roman" w:hAnsi="Times New Roman" w:cs="Times New Roman"/>
              </w:rPr>
              <w:br/>
              <w:t>These principles are based on the anatomical and operative descriptions of the Sanlin procedure, emphasizing radical resection to address lateral wall extension.</w:t>
            </w:r>
          </w:p>
        </w:tc>
        <w:tc>
          <w:tcPr>
            <w:tcW w:w="1152" w:type="dxa"/>
            <w:vAlign w:val="center"/>
          </w:tcPr>
          <w:p w14:paraId="270A4D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1518C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8CE6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9F69A4" w14:textId="77777777">
        <w:tc>
          <w:tcPr>
            <w:tcW w:w="2160" w:type="dxa"/>
            <w:vAlign w:val="center"/>
          </w:tcPr>
          <w:p w14:paraId="05009B1B"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34B0765"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III cervical cancer with lateral pelvic wall extension, the vascular management principles for the internal iliac artery and vein system in the Sanlin procedure (ultra-radical hysterectomy) are as follows:</w:t>
            </w:r>
            <w:r w:rsidRPr="00CB2EC4">
              <w:rPr>
                <w:rFonts w:ascii="Times New Roman" w:hAnsi="Times New Roman" w:cs="Times New Roman"/>
              </w:rPr>
              <w:br/>
              <w:t>- Management principle: Complete resection of the internal iliac artery and vein system, from distal to the superior gluteal artery and vein branching point to the termination at Alcock's canal (pudendal canal). This includes visceral branches (e.g., uterine artery, vesical vessels, middle rectal vessels), anterior wall branches (e.g., obturator vessels, internal pudendal vessels), and posterior wall branches (e.g., superior and inferior gluteal vessels) (Document Fragment 2, similarity 0.541).</w:t>
            </w:r>
            <w:r w:rsidRPr="00CB2EC4">
              <w:rPr>
                <w:rFonts w:ascii="Times New Roman" w:hAnsi="Times New Roman" w:cs="Times New Roman"/>
              </w:rPr>
              <w:br/>
              <w:t>- Specific operative steps:</w:t>
            </w:r>
            <w:r w:rsidRPr="00CB2EC4">
              <w:rPr>
                <w:rFonts w:ascii="Times New Roman" w:hAnsi="Times New Roman" w:cs="Times New Roman"/>
              </w:rPr>
              <w:br/>
              <w:t xml:space="preserve">  1. Ligate and divide the obturator vessels: As the </w:t>
            </w:r>
            <w:r w:rsidRPr="00CB2EC4">
              <w:rPr>
                <w:rFonts w:ascii="Times New Roman" w:hAnsi="Times New Roman" w:cs="Times New Roman"/>
              </w:rPr>
              <w:lastRenderedPageBreak/>
              <w:t>first ligation, addressing anterior wall branches (Document Fragment 2).</w:t>
            </w:r>
            <w:r w:rsidRPr="00CB2EC4">
              <w:rPr>
                <w:rFonts w:ascii="Times New Roman" w:hAnsi="Times New Roman" w:cs="Times New Roman"/>
              </w:rPr>
              <w:br/>
              <w:t xml:space="preserve">  2. Ligate and divide the trunk of the internal iliac vessels: After the superior gluteal vessel branching point, perform the second ligation and division on the distal trunk (Document Fragment 2).</w:t>
            </w:r>
            <w:r w:rsidRPr="00CB2EC4">
              <w:rPr>
                <w:rFonts w:ascii="Times New Roman" w:hAnsi="Times New Roman" w:cs="Times New Roman"/>
              </w:rPr>
              <w:br/>
              <w:t xml:space="preserve">  3. Resection extent: The entire procedure aims to "completely resect" the internal iliac artery and vein system, with emphasis on the inferior gluteal-internal pudendal common trunk, ensuring removal of parauterine connective tissue and vasculature (Document Fragments 2 and 3, similarity 0.527). Document Fragment 16 (similarity 0.458) adds that care must be taken to avoid injury to surrounding structures during resection, such as using an ultrasonic scalpel for vessel dissection.</w:t>
            </w:r>
            <w:r w:rsidRPr="00CB2EC4">
              <w:rPr>
                <w:rFonts w:ascii="Times New Roman" w:hAnsi="Times New Roman" w:cs="Times New Roman"/>
              </w:rPr>
              <w:br/>
              <w:t>- Purpose: To reduce the risk of cancer cell dissemination by thorough vascular resection, applicable for lateral pelvic wall infiltration (Document Fragment 2).</w:t>
            </w:r>
          </w:p>
        </w:tc>
        <w:tc>
          <w:tcPr>
            <w:tcW w:w="1152" w:type="dxa"/>
            <w:vAlign w:val="center"/>
          </w:tcPr>
          <w:p w14:paraId="706764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9779B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C8BCF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4C11DE0" w14:textId="77777777">
        <w:tc>
          <w:tcPr>
            <w:tcW w:w="2160" w:type="dxa"/>
            <w:vAlign w:val="center"/>
          </w:tcPr>
          <w:p w14:paraId="00A4BBA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ABEDD6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with stage III cervical cancer with lateral pelvic wall extension, the vascular management principles for the internal iliac artery and vein system in the Sanlin procedure (ultra-radical hysterectomy) are as follows:  </w:t>
            </w:r>
            <w:r w:rsidRPr="00CB2EC4">
              <w:rPr>
                <w:rFonts w:ascii="Times New Roman" w:hAnsi="Times New Roman" w:cs="Times New Roman"/>
              </w:rPr>
              <w:br/>
              <w:t xml:space="preserve">- **Overall principle**: Complete resection of the internal iliac artery and vein trunk and all visceral branches to thoroughly remove cancer cell infiltration. The internal iliac vascular system includes visceral branches (e.g., uterine artery, vesical vessels), anterior wall branches (e.g., obturator vessels, internal pudendal vessels), and posterior wall branches (e.g., iliolumbar vessels, gluteal superior/inferior vessels).  </w:t>
            </w:r>
            <w:r w:rsidRPr="00CB2EC4">
              <w:rPr>
                <w:rFonts w:ascii="Times New Roman" w:hAnsi="Times New Roman" w:cs="Times New Roman"/>
              </w:rPr>
              <w:br/>
              <w:t xml:space="preserve">- **Specific steps**:  </w:t>
            </w:r>
            <w:r w:rsidRPr="00CB2EC4">
              <w:rPr>
                <w:rFonts w:ascii="Times New Roman" w:hAnsi="Times New Roman" w:cs="Times New Roman"/>
              </w:rPr>
              <w:br/>
            </w:r>
            <w:r w:rsidRPr="00CB2EC4">
              <w:rPr>
                <w:rFonts w:ascii="Times New Roman" w:hAnsi="Times New Roman" w:cs="Times New Roman"/>
              </w:rPr>
              <w:lastRenderedPageBreak/>
              <w:t xml:space="preserve">  1. Ligate and divide the obturator vessels: as the first ligation point.  </w:t>
            </w:r>
            <w:r w:rsidRPr="00CB2EC4">
              <w:rPr>
                <w:rFonts w:ascii="Times New Roman" w:hAnsi="Times New Roman" w:cs="Times New Roman"/>
              </w:rPr>
              <w:br/>
              <w:t xml:space="preserve">  2. Ligate and divide the internal iliac vascular trunk distal to the gluteal superior vessel branching: as the second ligation point.  </w:t>
            </w:r>
            <w:r w:rsidRPr="00CB2EC4">
              <w:rPr>
                <w:rFonts w:ascii="Times New Roman" w:hAnsi="Times New Roman" w:cs="Times New Roman"/>
              </w:rPr>
              <w:br/>
              <w:t xml:space="preserve">  3. Perform combined ligation and division proximal to the branching of the common gluteal-internal pudendal trunk from the Alcock canal at the inferior margin of the piriformis muscle: as the third ligation point.  </w:t>
            </w:r>
            <w:r w:rsidRPr="00CB2EC4">
              <w:rPr>
                <w:rFonts w:ascii="Times New Roman" w:hAnsi="Times New Roman" w:cs="Times New Roman"/>
              </w:rPr>
              <w:br/>
              <w:t xml:space="preserve">  4. Resect the vascular pedicle: Remove the entire internal iliac arterial and venous system from distal to the gluteal superior vessels to the Alcock canal (including the cardinal ligament and internal iliac vascular trunk).  </w:t>
            </w:r>
            <w:r w:rsidRPr="00CB2EC4">
              <w:rPr>
                <w:rFonts w:ascii="Times New Roman" w:hAnsi="Times New Roman" w:cs="Times New Roman"/>
              </w:rPr>
              <w:br/>
              <w:t>- **Documentation note**: "The Sanlin procedure... adopts the method of completely resecting the cardinal ligament together with the internal iliac vascular trunk... The specific operation is: ligate and divide the obturator vessels (first ligation), then ligate and divide the distal internal iliac vascular trunk after gluteal superior vessel branching (second ligation)" (see section "2.1 The Sanlin Procedure and Its Modifications"). This approach targets lateral wall extension but carries high risk.</w:t>
            </w:r>
          </w:p>
        </w:tc>
        <w:tc>
          <w:tcPr>
            <w:tcW w:w="1152" w:type="dxa"/>
            <w:vAlign w:val="center"/>
          </w:tcPr>
          <w:p w14:paraId="174101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3ED0A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BF66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ECC962" w14:textId="77777777">
        <w:tc>
          <w:tcPr>
            <w:tcW w:w="2160" w:type="dxa"/>
            <w:vAlign w:val="center"/>
          </w:tcPr>
          <w:p w14:paraId="2FA408A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2ED7059"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III cervical cancer spreading to the pelvic sidewall, the principles for handling the internal iliac vascular system in the Sanrin surgical approach are as follows:</w:t>
            </w:r>
            <w:r w:rsidRPr="00CB2EC4">
              <w:rPr>
                <w:rFonts w:ascii="Times New Roman" w:hAnsi="Times New Roman" w:cs="Times New Roman"/>
              </w:rPr>
              <w:br/>
            </w:r>
            <w:r w:rsidRPr="00CB2EC4">
              <w:rPr>
                <w:rFonts w:ascii="Times New Roman" w:hAnsi="Times New Roman" w:cs="Times New Roman"/>
              </w:rPr>
              <w:br/>
              <w:t>1. En bloc resection of the internal iliac vascular system:</w:t>
            </w:r>
            <w:r w:rsidRPr="00CB2EC4">
              <w:rPr>
                <w:rFonts w:ascii="Times New Roman" w:hAnsi="Times New Roman" w:cs="Times New Roman"/>
              </w:rPr>
              <w:br/>
              <w:t xml:space="preserve">   - Adopt the "extirpation" method to completely remove the cardinal ligament along with the internal </w:t>
            </w:r>
            <w:r w:rsidRPr="00CB2EC4">
              <w:rPr>
                <w:rFonts w:ascii="Times New Roman" w:hAnsi="Times New Roman" w:cs="Times New Roman"/>
              </w:rPr>
              <w:lastRenderedPageBreak/>
              <w:t>iliac artery and vein trunk.</w:t>
            </w:r>
            <w:r w:rsidRPr="00CB2EC4">
              <w:rPr>
                <w:rFonts w:ascii="Times New Roman" w:hAnsi="Times New Roman" w:cs="Times New Roman"/>
              </w:rPr>
              <w:br/>
              <w:t xml:space="preserve">   - Include visceral branches (such as the uterine artery, vesical arteries and veins), anterior wall branches (such as the obturator arteries and veins), and posterior wall branches (such as the superior and inferior gluteal arteries and veins).</w:t>
            </w:r>
            <w:r w:rsidRPr="00CB2EC4">
              <w:rPr>
                <w:rFonts w:ascii="Times New Roman" w:hAnsi="Times New Roman" w:cs="Times New Roman"/>
              </w:rPr>
              <w:br/>
            </w:r>
            <w:r w:rsidRPr="00CB2EC4">
              <w:rPr>
                <w:rFonts w:ascii="Times New Roman" w:hAnsi="Times New Roman" w:cs="Times New Roman"/>
              </w:rPr>
              <w:br/>
              <w:t>2. Transaction sites:</w:t>
            </w:r>
            <w:r w:rsidRPr="00CB2EC4">
              <w:rPr>
                <w:rFonts w:ascii="Times New Roman" w:hAnsi="Times New Roman" w:cs="Times New Roman"/>
              </w:rPr>
              <w:br/>
              <w:t xml:space="preserve">   - Transect at the downstream drainage site of the internal iliac vein.</w:t>
            </w:r>
            <w:r w:rsidRPr="00CB2EC4">
              <w:rPr>
                <w:rFonts w:ascii="Times New Roman" w:hAnsi="Times New Roman" w:cs="Times New Roman"/>
              </w:rPr>
              <w:br/>
              <w:t xml:space="preserve">   - Specifically, transect the internal iliac artery and vein between the branching point below the superior gluteal vein and above the branching point of the inferior gluteal and internal pudendal vessels (i.e., resect the common trunk of the inferior gluteal and internal pudendal vessels).</w:t>
            </w:r>
            <w:r w:rsidRPr="00CB2EC4">
              <w:rPr>
                <w:rFonts w:ascii="Times New Roman" w:hAnsi="Times New Roman" w:cs="Times New Roman"/>
              </w:rPr>
              <w:br/>
              <w:t xml:space="preserve">   - Ensure the operation is performed downstream of the drainage site of the uterine deep vein into the internal iliac vein to thoroughly remove the vascular area infiltrated by cancer cells.</w:t>
            </w:r>
            <w:r w:rsidRPr="00CB2EC4">
              <w:rPr>
                <w:rFonts w:ascii="Times New Roman" w:hAnsi="Times New Roman" w:cs="Times New Roman"/>
              </w:rPr>
              <w:br/>
            </w:r>
            <w:r w:rsidRPr="00CB2EC4">
              <w:rPr>
                <w:rFonts w:ascii="Times New Roman" w:hAnsi="Times New Roman" w:cs="Times New Roman"/>
              </w:rPr>
              <w:br/>
              <w:t>3. Avoid preserving branches:</w:t>
            </w:r>
            <w:r w:rsidRPr="00CB2EC4">
              <w:rPr>
                <w:rFonts w:ascii="Times New Roman" w:hAnsi="Times New Roman" w:cs="Times New Roman"/>
              </w:rPr>
              <w:br/>
              <w:t xml:space="preserve">   - Do not preserve any branch structures of the internal iliac vessels.</w:t>
            </w:r>
            <w:r w:rsidRPr="00CB2EC4">
              <w:rPr>
                <w:rFonts w:ascii="Times New Roman" w:hAnsi="Times New Roman" w:cs="Times New Roman"/>
              </w:rPr>
              <w:br/>
              <w:t xml:space="preserve">   - Do not separately resect the uterine deep vein trunk or superior vesical vein; instead, handle them en bloc to cover the risk of pelvic sidewall spread.</w:t>
            </w:r>
            <w:r w:rsidRPr="00CB2EC4">
              <w:rPr>
                <w:rFonts w:ascii="Times New Roman" w:hAnsi="Times New Roman" w:cs="Times New Roman"/>
              </w:rPr>
              <w:br/>
            </w:r>
            <w:r w:rsidRPr="00CB2EC4">
              <w:rPr>
                <w:rFonts w:ascii="Times New Roman" w:hAnsi="Times New Roman" w:cs="Times New Roman"/>
              </w:rPr>
              <w:br/>
              <w:t>Source references:</w:t>
            </w:r>
            <w:r w:rsidRPr="00CB2EC4">
              <w:rPr>
                <w:rFonts w:ascii="Times New Roman" w:hAnsi="Times New Roman" w:cs="Times New Roman"/>
              </w:rPr>
              <w:br/>
              <w:t>- [Document excerpt 1]: Adopt the method of completely removing the cardinal ligament along with the internal iliac vessel trunk.</w:t>
            </w:r>
            <w:r w:rsidRPr="00CB2EC4">
              <w:rPr>
                <w:rFonts w:ascii="Times New Roman" w:hAnsi="Times New Roman" w:cs="Times New Roman"/>
              </w:rPr>
              <w:br/>
              <w:t xml:space="preserve">- [Document excerpt 2]: Resect the common trunk of the inferior gluteal and internal pudendal vessels </w:t>
            </w:r>
            <w:r w:rsidRPr="00CB2EC4">
              <w:rPr>
                <w:rFonts w:ascii="Times New Roman" w:hAnsi="Times New Roman" w:cs="Times New Roman"/>
              </w:rPr>
              <w:lastRenderedPageBreak/>
              <w:t>(internal iliac vessels); the extent of internal iliac vessel resection should be performed downstream of the drainage site of the uterine deep vein into the internal iliac vein.</w:t>
            </w:r>
          </w:p>
        </w:tc>
        <w:tc>
          <w:tcPr>
            <w:tcW w:w="1152" w:type="dxa"/>
            <w:vAlign w:val="center"/>
          </w:tcPr>
          <w:p w14:paraId="29FBD3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CE280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8567C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1DC0C32" w14:textId="77777777">
        <w:tc>
          <w:tcPr>
            <w:tcW w:w="2160" w:type="dxa"/>
            <w:vAlign w:val="center"/>
          </w:tcPr>
          <w:p w14:paraId="7EF67BC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50F796ED"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III cervical cancer with lateral pelvic wall extension, the vascular management principles of the pelvic internal artery and vein system in the Sanlin procedure (ultra-radical hysterectomy) are complete extirpation to ensure radical resection of cancer-infiltrated tissues. The principles are based on the anatomical vascular system and stepwise ligation:</w:t>
            </w:r>
            <w:r w:rsidRPr="00CB2EC4">
              <w:rPr>
                <w:rFonts w:ascii="Times New Roman" w:hAnsi="Times New Roman" w:cs="Times New Roman"/>
              </w:rPr>
              <w:br/>
            </w:r>
            <w:r w:rsidRPr="00CB2EC4">
              <w:rPr>
                <w:rFonts w:ascii="Times New Roman" w:hAnsi="Times New Roman" w:cs="Times New Roman"/>
              </w:rPr>
              <w:br/>
              <w:t>- vascular system composition: the pelvic internal artery and vein system includes visceral branches (e.g., uterine artery, vesical vessels, middle rectal vessels), anterior wall branches (e.g., umbilical artery, obturator vessels, internal pudendal vessels), and posterior wall branches (e.g., iliolumbar vessels, lateral sacral vessels, superior and inferior gluteal vessels) (reference: similarity 0.529).</w:t>
            </w:r>
            <w:r w:rsidRPr="00CB2EC4">
              <w:rPr>
                <w:rFonts w:ascii="Times New Roman" w:hAnsi="Times New Roman" w:cs="Times New Roman"/>
              </w:rPr>
              <w:br/>
              <w:t>- management principles:</w:t>
            </w:r>
            <w:r w:rsidRPr="00CB2EC4">
              <w:rPr>
                <w:rFonts w:ascii="Times New Roman" w:hAnsi="Times New Roman" w:cs="Times New Roman"/>
              </w:rPr>
              <w:br/>
              <w:t xml:space="preserve">  - first ligation: ligate and divide the obturator vessels (anterior wall branch).</w:t>
            </w:r>
            <w:r w:rsidRPr="00CB2EC4">
              <w:rPr>
                <w:rFonts w:ascii="Times New Roman" w:hAnsi="Times New Roman" w:cs="Times New Roman"/>
              </w:rPr>
              <w:br/>
              <w:t xml:space="preserve">  - second ligation: after the branching of the superior gluteal vessels, ligate and divide the main trunk of the internal iliac vessels downstream.</w:t>
            </w:r>
            <w:r w:rsidRPr="00CB2EC4">
              <w:rPr>
                <w:rFonts w:ascii="Times New Roman" w:hAnsi="Times New Roman" w:cs="Times New Roman"/>
              </w:rPr>
              <w:br/>
              <w:t xml:space="preserve">  - third ligation: before branching of the inferior gluteal and internal pudendal common trunk (at the infrapiriform foramen), ligate and divide the vessels in this segment to ensure complete extirpation of the pelvic internal artery and vein system from below the superior gluteal vein branch to the Alcock’s canal (reference: similarity 0.529 and 0.427).</w:t>
            </w:r>
            <w:r w:rsidRPr="00CB2EC4">
              <w:rPr>
                <w:rFonts w:ascii="Times New Roman" w:hAnsi="Times New Roman" w:cs="Times New Roman"/>
              </w:rPr>
              <w:br/>
              <w:t xml:space="preserve">- intent: complete extirpation of the cardinal ligament </w:t>
            </w:r>
            <w:r w:rsidRPr="00CB2EC4">
              <w:rPr>
                <w:rFonts w:ascii="Times New Roman" w:hAnsi="Times New Roman" w:cs="Times New Roman"/>
              </w:rPr>
              <w:lastRenderedPageBreak/>
              <w:t>along with the internal iliac vascular trunk to address lateral pelvic wall extension and avoid residual cancer cells. however, the document notes that this approach does not address the visceral branches to the bladder and rectum, which may lead to inconsistency (reference: similarity 0.427).</w:t>
            </w:r>
            <w:r w:rsidRPr="00CB2EC4">
              <w:rPr>
                <w:rFonts w:ascii="Times New Roman" w:hAnsi="Times New Roman" w:cs="Times New Roman"/>
              </w:rPr>
              <w:br/>
            </w:r>
            <w:r w:rsidRPr="00CB2EC4">
              <w:rPr>
                <w:rFonts w:ascii="Times New Roman" w:hAnsi="Times New Roman" w:cs="Times New Roman"/>
              </w:rPr>
              <w:br/>
              <w:t>in summary, the principle is three-step ligation at key vascular points to achieve total extirpation of the pelvic internal artery and vein system.</w:t>
            </w:r>
          </w:p>
        </w:tc>
        <w:tc>
          <w:tcPr>
            <w:tcW w:w="1152" w:type="dxa"/>
            <w:vAlign w:val="center"/>
          </w:tcPr>
          <w:p w14:paraId="4565D1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E3229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62FE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C8F151" w14:textId="77777777">
        <w:tc>
          <w:tcPr>
            <w:tcW w:w="2160" w:type="dxa"/>
            <w:vAlign w:val="center"/>
          </w:tcPr>
          <w:p w14:paraId="41CC9210"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00C369E"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III cervical cancer extending to the pelvic sidewall, the principles for handling the internal iliac artery and vein system in the Sanlin procedure (ultra-radical hysterectomy) are as follows:</w:t>
            </w:r>
            <w:r w:rsidRPr="00CB2EC4">
              <w:rPr>
                <w:rFonts w:ascii="Times New Roman" w:hAnsi="Times New Roman" w:cs="Times New Roman"/>
              </w:rPr>
              <w:br/>
            </w:r>
            <w:r w:rsidRPr="00CB2EC4">
              <w:rPr>
                <w:rFonts w:ascii="Times New Roman" w:hAnsi="Times New Roman" w:cs="Times New Roman"/>
              </w:rPr>
              <w:br/>
              <w:t>- **Overall principle**: Complete resection of the internal iliac artery and vein system, including visceral branches, anterior wall branches, and posterior wall branches, from distal to the superior gluteal vessels to the pudendal canal (Alcock canal), ensuring radical excision (Document fragment 11).</w:t>
            </w:r>
            <w:r w:rsidRPr="00CB2EC4">
              <w:rPr>
                <w:rFonts w:ascii="Times New Roman" w:hAnsi="Times New Roman" w:cs="Times New Roman"/>
              </w:rPr>
              <w:br/>
            </w:r>
            <w:r w:rsidRPr="00CB2EC4">
              <w:rPr>
                <w:rFonts w:ascii="Times New Roman" w:hAnsi="Times New Roman" w:cs="Times New Roman"/>
              </w:rPr>
              <w:br/>
              <w:t xml:space="preserve">- **Specific vascular handling steps**:  </w:t>
            </w:r>
            <w:r w:rsidRPr="00CB2EC4">
              <w:rPr>
                <w:rFonts w:ascii="Times New Roman" w:hAnsi="Times New Roman" w:cs="Times New Roman"/>
              </w:rPr>
              <w:br/>
              <w:t xml:space="preserve">  1. First ligation: Ligate and divide the obturator vessels (anterior wall branch).  </w:t>
            </w:r>
            <w:r w:rsidRPr="00CB2EC4">
              <w:rPr>
                <w:rFonts w:ascii="Times New Roman" w:hAnsi="Times New Roman" w:cs="Times New Roman"/>
              </w:rPr>
              <w:br/>
              <w:t xml:space="preserve">  2. Second ligation: After branching of the superior gluteal vessels, ligate and divide the distal segment of the internal iliac vessel trunk.  </w:t>
            </w:r>
            <w:r w:rsidRPr="00CB2EC4">
              <w:rPr>
                <w:rFonts w:ascii="Times New Roman" w:hAnsi="Times New Roman" w:cs="Times New Roman"/>
              </w:rPr>
              <w:br/>
              <w:t xml:space="preserve">  3. Third ligation: At the inferior piriformis foramen, ligate and divide the inferior gluteal and internal pudendal artery and vein common trunk (posterior wall branch) (Document fragment 11).</w:t>
            </w:r>
            <w:r w:rsidRPr="00CB2EC4">
              <w:rPr>
                <w:rFonts w:ascii="Times New Roman" w:hAnsi="Times New Roman" w:cs="Times New Roman"/>
              </w:rPr>
              <w:br/>
            </w:r>
            <w:r w:rsidRPr="00CB2EC4">
              <w:rPr>
                <w:rFonts w:ascii="Times New Roman" w:hAnsi="Times New Roman" w:cs="Times New Roman"/>
              </w:rPr>
              <w:br/>
              <w:t xml:space="preserve">- **Key operative points**:  </w:t>
            </w:r>
            <w:r w:rsidRPr="00CB2EC4">
              <w:rPr>
                <w:rFonts w:ascii="Times New Roman" w:hAnsi="Times New Roman" w:cs="Times New Roman"/>
              </w:rPr>
              <w:br/>
            </w:r>
            <w:r w:rsidRPr="00CB2EC4">
              <w:rPr>
                <w:rFonts w:ascii="Times New Roman" w:hAnsi="Times New Roman" w:cs="Times New Roman"/>
              </w:rPr>
              <w:lastRenderedPageBreak/>
              <w:t xml:space="preserve">  - Dissect along the internal iliac vessel trunk, use an ultrasonic scalpel to expose and divide visceral branches (e.g., uterine artery, deep uterine vein, middle vesical artery and vein, middle rectal artery and vein branches/drainage sites) (Document fragment 12).  </w:t>
            </w:r>
            <w:r w:rsidRPr="00CB2EC4">
              <w:rPr>
                <w:rFonts w:ascii="Times New Roman" w:hAnsi="Times New Roman" w:cs="Times New Roman"/>
              </w:rPr>
              <w:br/>
              <w:t xml:space="preserve">  - Avoid mass ligation; separate each vascular branch individually under direct vision (Document fragment 12).  </w:t>
            </w:r>
            <w:r w:rsidRPr="00CB2EC4">
              <w:rPr>
                <w:rFonts w:ascii="Times New Roman" w:hAnsi="Times New Roman" w:cs="Times New Roman"/>
              </w:rPr>
              <w:br/>
              <w:t xml:space="preserve">  - For deeply infiltrative cases, combined organ resection (e.g., bladder or rectum) may be performed, but resection is limited to the visceral branches of the internal iliac vessels (Document fragments 6, 11).</w:t>
            </w:r>
            <w:r w:rsidRPr="00CB2EC4">
              <w:rPr>
                <w:rFonts w:ascii="Times New Roman" w:hAnsi="Times New Roman" w:cs="Times New Roman"/>
              </w:rPr>
              <w:br/>
            </w:r>
            <w:r w:rsidRPr="00CB2EC4">
              <w:rPr>
                <w:rFonts w:ascii="Times New Roman" w:hAnsi="Times New Roman" w:cs="Times New Roman"/>
              </w:rPr>
              <w:br/>
              <w:t>This principle aims to thoroughly remove lateral lymph nodes and vascular infiltration while managing bleeding risk (Document fragments 11, 12).</w:t>
            </w:r>
          </w:p>
        </w:tc>
        <w:tc>
          <w:tcPr>
            <w:tcW w:w="1152" w:type="dxa"/>
            <w:vAlign w:val="center"/>
          </w:tcPr>
          <w:p w14:paraId="4F983E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969B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2E290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1905FA" w14:textId="77777777">
        <w:tc>
          <w:tcPr>
            <w:tcW w:w="2160" w:type="dxa"/>
            <w:vAlign w:val="center"/>
          </w:tcPr>
          <w:p w14:paraId="6FDE665F"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20A4252"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III cervical cancer involving lateral pelvic wall infiltration, the principles for managing the internal iliac vascular system during the performance of the Saruhashi procedure (ultra-radical hysterectomy) are described in detail in Chapter 6 as follows:</w:t>
            </w:r>
            <w:r w:rsidRPr="00CB2EC4">
              <w:rPr>
                <w:rFonts w:ascii="Times New Roman" w:hAnsi="Times New Roman" w:cs="Times New Roman"/>
              </w:rPr>
              <w:br/>
            </w:r>
            <w:r w:rsidRPr="00CB2EC4">
              <w:rPr>
                <w:rFonts w:ascii="Times New Roman" w:hAnsi="Times New Roman" w:cs="Times New Roman"/>
              </w:rPr>
              <w:br/>
              <w:t>- **General Principles**:</w:t>
            </w:r>
            <w:r w:rsidRPr="00CB2EC4">
              <w:rPr>
                <w:rFonts w:ascii="Times New Roman" w:hAnsi="Times New Roman" w:cs="Times New Roman"/>
              </w:rPr>
              <w:br/>
              <w:t xml:space="preserve">  The Saruhashi procedure aims for complete resection of the internal iliac vascular system to thoroughly remove cancerous tissue infiltrating the lateral pelvic wall. This procedure is based on the traditional European anatomical concept that "the lateral ligaments of the bladder, uterus/vagina, and rectum exist independently" (Chapter 6). Vascular management involves three key ligation points (referred to as the 1st, 2nd, and 3rd ligations), </w:t>
            </w:r>
            <w:r w:rsidRPr="00CB2EC4">
              <w:rPr>
                <w:rFonts w:ascii="Times New Roman" w:hAnsi="Times New Roman" w:cs="Times New Roman"/>
              </w:rPr>
              <w:lastRenderedPageBreak/>
              <w:t>covering the area from the distal portion of the superior gluteal vessels to the pudendal canal region.</w:t>
            </w:r>
            <w:r w:rsidRPr="00CB2EC4">
              <w:rPr>
                <w:rFonts w:ascii="Times New Roman" w:hAnsi="Times New Roman" w:cs="Times New Roman"/>
              </w:rPr>
              <w:br/>
            </w:r>
            <w:r w:rsidRPr="00CB2EC4">
              <w:rPr>
                <w:rFonts w:ascii="Times New Roman" w:hAnsi="Times New Roman" w:cs="Times New Roman"/>
              </w:rPr>
              <w:br/>
              <w:t>- **Specific Vascular Management Steps**:</w:t>
            </w:r>
            <w:r w:rsidRPr="00CB2EC4">
              <w:rPr>
                <w:rFonts w:ascii="Times New Roman" w:hAnsi="Times New Roman" w:cs="Times New Roman"/>
              </w:rPr>
              <w:br/>
              <w:t xml:space="preserve">  1. **1st Ligation: Obturator Vessels**</w:t>
            </w:r>
            <w:r w:rsidRPr="00CB2EC4">
              <w:rPr>
                <w:rFonts w:ascii="Times New Roman" w:hAnsi="Times New Roman" w:cs="Times New Roman"/>
              </w:rPr>
              <w:br/>
              <w:t xml:space="preserve">     Ligate and transect the obturator artery and vein (Chapter 6).</w:t>
            </w:r>
            <w:r w:rsidRPr="00CB2EC4">
              <w:rPr>
                <w:rFonts w:ascii="Times New Roman" w:hAnsi="Times New Roman" w:cs="Times New Roman"/>
              </w:rPr>
              <w:br/>
              <w:t xml:space="preserve">  2. **2nd Ligation: Distal Internal Iliac Trunk after the Branching of the Superior Gluteal Vessels**</w:t>
            </w:r>
            <w:r w:rsidRPr="00CB2EC4">
              <w:rPr>
                <w:rFonts w:ascii="Times New Roman" w:hAnsi="Times New Roman" w:cs="Times New Roman"/>
              </w:rPr>
              <w:br/>
              <w:t xml:space="preserve">     After the branching of the superior gluteal vessels, ligate and transect the downstream internal iliac trunk (internal iliac artery and vein) (Chapter 6).</w:t>
            </w:r>
            <w:r w:rsidRPr="00CB2EC4">
              <w:rPr>
                <w:rFonts w:ascii="Times New Roman" w:hAnsi="Times New Roman" w:cs="Times New Roman"/>
              </w:rPr>
              <w:br/>
              <w:t xml:space="preserve">  3. **3rd Ligation: Proximal to the Branching of the Common Trunk of Inferior Gluteal and Internal Pudendal Vessels**</w:t>
            </w:r>
            <w:r w:rsidRPr="00CB2EC4">
              <w:rPr>
                <w:rFonts w:ascii="Times New Roman" w:hAnsi="Times New Roman" w:cs="Times New Roman"/>
              </w:rPr>
              <w:br/>
              <w:t xml:space="preserve">     At the infra-piriform foramen, perform a combined ligation and transection before the common trunk of the inferior gluteal and internal pudendal vessels branches (Chapter 6).</w:t>
            </w:r>
            <w:r w:rsidRPr="00CB2EC4">
              <w:rPr>
                <w:rFonts w:ascii="Times New Roman" w:hAnsi="Times New Roman" w:cs="Times New Roman"/>
              </w:rPr>
              <w:br/>
            </w:r>
            <w:r w:rsidRPr="00CB2EC4">
              <w:rPr>
                <w:rFonts w:ascii="Times New Roman" w:hAnsi="Times New Roman" w:cs="Times New Roman"/>
              </w:rPr>
              <w:br/>
              <w:t>- **Important Considerations**:</w:t>
            </w:r>
            <w:r w:rsidRPr="00CB2EC4">
              <w:rPr>
                <w:rFonts w:ascii="Times New Roman" w:hAnsi="Times New Roman" w:cs="Times New Roman"/>
              </w:rPr>
              <w:br/>
              <w:t xml:space="preserve">  This method contains an anatomical contradiction, as it does not incorporate the concept of managing the visceral branches of the internal iliac vessels (such as the vesical and rectal vessels), which may lead to postoperative complications (Chapter 6: "The concept of the lateral vesical and lateral rectal ligaments was not introduced... this is actually not feasible"). The procedure emphasizes parietal dissection (stripping the external iliac vessels from the surface of the psoas muscle) to ensure adequate exposure of the vessels (Chapter 6: "The uterine artery, deep uterine vein, etc., are dissected using an ultrasonic scalpel").</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These principles apply to Stage III cervical cancer with lateral pelvic wall infiltration but require advanced surgical skills to avoid vascular injury.</w:t>
            </w:r>
          </w:p>
        </w:tc>
        <w:tc>
          <w:tcPr>
            <w:tcW w:w="1152" w:type="dxa"/>
            <w:vAlign w:val="center"/>
          </w:tcPr>
          <w:p w14:paraId="1E9F2E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CFDD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077FC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D480AE" w14:textId="77777777">
        <w:tc>
          <w:tcPr>
            <w:tcW w:w="2160" w:type="dxa"/>
            <w:vAlign w:val="center"/>
          </w:tcPr>
          <w:p w14:paraId="2907164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0FEE35BA"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stage III cervical cancer (FIGO staging) with lateral pelvic wall extension, the vascular management principles of the iliac vessels in the Sanlin procedure (pelvic exenteration) are as follows:</w:t>
            </w:r>
            <w:r w:rsidRPr="00CB2EC4">
              <w:rPr>
                <w:rFonts w:ascii="Times New Roman" w:hAnsi="Times New Roman" w:cs="Times New Roman"/>
              </w:rPr>
              <w:br/>
              <w:t>- Management principle: When the tumor invades the lateral pelvic wall, en bloc resection of the involved tissue is required. Handling of the internal iliac artery and vein prioritizes hemorrhage control and avoidance of injury:</w:t>
            </w:r>
            <w:r w:rsidRPr="00CB2EC4">
              <w:rPr>
                <w:rFonts w:ascii="Times New Roman" w:hAnsi="Times New Roman" w:cs="Times New Roman"/>
              </w:rPr>
              <w:br/>
              <w:t xml:space="preserve">  - Ligation principle: Preferentially ligate the main trunk of the internal iliac artery (using non-absorbable sutures) to reduce intraoperative bleeding; venous management requires caution to avoid tearing, employing segmental ligation or clamping.</w:t>
            </w:r>
            <w:r w:rsidRPr="00CB2EC4">
              <w:rPr>
                <w:rFonts w:ascii="Times New Roman" w:hAnsi="Times New Roman" w:cs="Times New Roman"/>
              </w:rPr>
              <w:br/>
              <w:t xml:space="preserve">  - Preservation principle: If the tumor does not directly invade, preserve internal iliac vein branches to maintain pelvic circulation; if involved, resect the affected segment and perform reconstruction (e.g., with prosthetic graft).</w:t>
            </w:r>
            <w:r w:rsidRPr="00CB2EC4">
              <w:rPr>
                <w:rFonts w:ascii="Times New Roman" w:hAnsi="Times New Roman" w:cs="Times New Roman"/>
              </w:rPr>
              <w:br/>
              <w:t xml:space="preserve">  - Extent control: Resection includes perivascular lymph nodes and soft tissue around the internal iliac vessels, but excessive dissection is avoided to prevent nerve injury.</w:t>
            </w:r>
            <w:r w:rsidRPr="00CB2EC4">
              <w:rPr>
                <w:rFonts w:ascii="Times New Roman" w:hAnsi="Times New Roman" w:cs="Times New Roman"/>
              </w:rPr>
              <w:br/>
              <w:t>- Basis: This principle is grounded in the need for radical tumor resection, emphasizing a balance between radicality and safety in advanced cases.</w:t>
            </w:r>
          </w:p>
        </w:tc>
        <w:tc>
          <w:tcPr>
            <w:tcW w:w="1152" w:type="dxa"/>
            <w:vAlign w:val="center"/>
          </w:tcPr>
          <w:p w14:paraId="408FE0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A984D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FD1E8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F202AB3" w14:textId="77777777">
        <w:tc>
          <w:tcPr>
            <w:tcW w:w="10656" w:type="dxa"/>
            <w:gridSpan w:val="5"/>
            <w:tcBorders>
              <w:bottom w:val="single" w:sz="6" w:space="0" w:color="auto"/>
            </w:tcBorders>
            <w:vAlign w:val="center"/>
          </w:tcPr>
          <w:p w14:paraId="0D598A6D"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130: What are the major tributaries of the great saphenous vein near the saphenous opening?</w:t>
            </w:r>
          </w:p>
        </w:tc>
      </w:tr>
      <w:tr w:rsidR="00922249" w:rsidRPr="00CB2EC4" w14:paraId="1827287B" w14:textId="77777777">
        <w:tc>
          <w:tcPr>
            <w:tcW w:w="2160" w:type="dxa"/>
            <w:vAlign w:val="center"/>
          </w:tcPr>
          <w:p w14:paraId="5012EA38"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0B05458" w14:textId="77777777" w:rsidR="00922249" w:rsidRPr="00CB2EC4" w:rsidRDefault="003011D5">
            <w:pPr>
              <w:rPr>
                <w:rFonts w:ascii="Times New Roman" w:hAnsi="Times New Roman" w:cs="Times New Roman"/>
              </w:rPr>
            </w:pPr>
            <w:r w:rsidRPr="00CB2EC4">
              <w:rPr>
                <w:rFonts w:ascii="Times New Roman" w:hAnsi="Times New Roman" w:cs="Times New Roman"/>
              </w:rPr>
              <w:t>the main tributaries of the great saphenous vein near the saphenous opening include:</w:t>
            </w:r>
            <w:r w:rsidRPr="00CB2EC4">
              <w:rPr>
                <w:rFonts w:ascii="Times New Roman" w:hAnsi="Times New Roman" w:cs="Times New Roman"/>
              </w:rPr>
              <w:br/>
            </w:r>
            <w:r w:rsidRPr="00CB2EC4">
              <w:rPr>
                <w:rFonts w:ascii="Times New Roman" w:hAnsi="Times New Roman" w:cs="Times New Roman"/>
              </w:rPr>
              <w:lastRenderedPageBreak/>
              <w:br/>
              <w:t>1.  **Superficial epigastric vein** → drains the anterior abdominal wall</w:t>
            </w:r>
            <w:r w:rsidRPr="00CB2EC4">
              <w:rPr>
                <w:rFonts w:ascii="Times New Roman" w:hAnsi="Times New Roman" w:cs="Times New Roman"/>
              </w:rPr>
              <w:br/>
              <w:t>2.  **Superficial circumflex iliac vein** → runs parallel to the inguinal ligament</w:t>
            </w:r>
            <w:r w:rsidRPr="00CB2EC4">
              <w:rPr>
                <w:rFonts w:ascii="Times New Roman" w:hAnsi="Times New Roman" w:cs="Times New Roman"/>
              </w:rPr>
              <w:br/>
              <w:t>3.  **External pudendal vein** (anterior and posterior branches) → drains the external genitalia</w:t>
            </w:r>
            <w:r w:rsidRPr="00CB2EC4">
              <w:rPr>
                <w:rFonts w:ascii="Times New Roman" w:hAnsi="Times New Roman" w:cs="Times New Roman"/>
              </w:rPr>
              <w:br/>
              <w:t>4.  **Deep external pudendal vein** → crosses the femoral artery to join the great saphenous vein</w:t>
            </w:r>
            <w:r w:rsidRPr="00CB2EC4">
              <w:rPr>
                <w:rFonts w:ascii="Times New Roman" w:hAnsi="Times New Roman" w:cs="Times New Roman"/>
              </w:rPr>
              <w:br/>
              <w:t>5.  **Medial accessory saphenous vein** → often joins the great saphenous vein near the saphenous opening</w:t>
            </w:r>
            <w:r w:rsidRPr="00CB2EC4">
              <w:rPr>
                <w:rFonts w:ascii="Times New Roman" w:hAnsi="Times New Roman" w:cs="Times New Roman"/>
              </w:rPr>
              <w:br/>
              <w:t>6.  **Lateral accessory saphenous vein** → may join the main trunk near the fossa ovalis</w:t>
            </w:r>
            <w:r w:rsidRPr="00CB2EC4">
              <w:rPr>
                <w:rFonts w:ascii="Times New Roman" w:hAnsi="Times New Roman" w:cs="Times New Roman"/>
              </w:rPr>
              <w:br/>
            </w:r>
            <w:r w:rsidRPr="00CB2EC4">
              <w:rPr>
                <w:rFonts w:ascii="Times New Roman" w:hAnsi="Times New Roman" w:cs="Times New Roman"/>
              </w:rPr>
              <w:br/>
              <w:t>these tributaries converge into the great saphenous vein as it passes through the saphenous opening (fossa ovalis) in the fascia lata of the thigh to drain into the femoral vein.</w:t>
            </w:r>
          </w:p>
        </w:tc>
        <w:tc>
          <w:tcPr>
            <w:tcW w:w="1152" w:type="dxa"/>
            <w:vAlign w:val="center"/>
          </w:tcPr>
          <w:p w14:paraId="07A059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DA7E9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DB086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0C02668" w14:textId="77777777">
        <w:tc>
          <w:tcPr>
            <w:tcW w:w="2160" w:type="dxa"/>
            <w:vAlign w:val="center"/>
          </w:tcPr>
          <w:p w14:paraId="3148B091"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CAA7D82" w14:textId="77777777" w:rsidR="00922249" w:rsidRPr="00CB2EC4" w:rsidRDefault="003011D5">
            <w:pPr>
              <w:rPr>
                <w:rFonts w:ascii="Times New Roman" w:hAnsi="Times New Roman" w:cs="Times New Roman"/>
              </w:rPr>
            </w:pPr>
            <w:r w:rsidRPr="00CB2EC4">
              <w:rPr>
                <w:rFonts w:ascii="Times New Roman" w:hAnsi="Times New Roman" w:cs="Times New Roman"/>
              </w:rPr>
              <w:t>the main tributaries of the great saphenous vein near the saphenous opening include:</w:t>
            </w:r>
            <w:r w:rsidRPr="00CB2EC4">
              <w:rPr>
                <w:rFonts w:ascii="Times New Roman" w:hAnsi="Times New Roman" w:cs="Times New Roman"/>
              </w:rPr>
              <w:br/>
              <w:t>- the superficial epigastric vein</w:t>
            </w:r>
            <w:r w:rsidRPr="00CB2EC4">
              <w:rPr>
                <w:rFonts w:ascii="Times New Roman" w:hAnsi="Times New Roman" w:cs="Times New Roman"/>
              </w:rPr>
              <w:br/>
              <w:t>- the superficial circumflex iliac vein</w:t>
            </w:r>
            <w:r w:rsidRPr="00CB2EC4">
              <w:rPr>
                <w:rFonts w:ascii="Times New Roman" w:hAnsi="Times New Roman" w:cs="Times New Roman"/>
              </w:rPr>
              <w:br/>
              <w:t>- the external pudendal veins (anterior and posterior)</w:t>
            </w:r>
            <w:r w:rsidRPr="00CB2EC4">
              <w:rPr>
                <w:rFonts w:ascii="Times New Roman" w:hAnsi="Times New Roman" w:cs="Times New Roman"/>
              </w:rPr>
              <w:br/>
              <w:t>- the deep external pudendal vein</w:t>
            </w:r>
            <w:r w:rsidRPr="00CB2EC4">
              <w:rPr>
                <w:rFonts w:ascii="Times New Roman" w:hAnsi="Times New Roman" w:cs="Times New Roman"/>
              </w:rPr>
              <w:br/>
              <w:t>- the medial femoral vein (a variant or deep tributary in some classifications)</w:t>
            </w:r>
            <w:r w:rsidRPr="00CB2EC4">
              <w:rPr>
                <w:rFonts w:ascii="Times New Roman" w:hAnsi="Times New Roman" w:cs="Times New Roman"/>
              </w:rPr>
              <w:br/>
            </w:r>
            <w:r w:rsidRPr="00CB2EC4">
              <w:rPr>
                <w:rFonts w:ascii="Times New Roman" w:hAnsi="Times New Roman" w:cs="Times New Roman"/>
              </w:rPr>
              <w:br/>
              <w:t>note: this information is based on standard anatomical knowledge, as the provided document does not contain relevant content about the saphenous opening or great saphenous vein tributaries.</w:t>
            </w:r>
          </w:p>
        </w:tc>
        <w:tc>
          <w:tcPr>
            <w:tcW w:w="1152" w:type="dxa"/>
            <w:vAlign w:val="center"/>
          </w:tcPr>
          <w:p w14:paraId="439DC9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7505F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17717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9176975" w14:textId="77777777">
        <w:tc>
          <w:tcPr>
            <w:tcW w:w="2160" w:type="dxa"/>
            <w:vAlign w:val="center"/>
          </w:tcPr>
          <w:p w14:paraId="768E4B8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BF581D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tributaries of the great saphenous vein near </w:t>
            </w:r>
            <w:r w:rsidRPr="00CB2EC4">
              <w:rPr>
                <w:rFonts w:ascii="Times New Roman" w:hAnsi="Times New Roman" w:cs="Times New Roman"/>
              </w:rPr>
              <w:lastRenderedPageBreak/>
              <w:t>the saphenous opening include:</w:t>
            </w:r>
            <w:r w:rsidRPr="00CB2EC4">
              <w:rPr>
                <w:rFonts w:ascii="Times New Roman" w:hAnsi="Times New Roman" w:cs="Times New Roman"/>
              </w:rPr>
              <w:br/>
            </w:r>
            <w:r w:rsidRPr="00CB2EC4">
              <w:rPr>
                <w:rFonts w:ascii="Times New Roman" w:hAnsi="Times New Roman" w:cs="Times New Roman"/>
              </w:rPr>
              <w:br/>
              <w:t xml:space="preserve">- Superficial epigastric vein  </w:t>
            </w:r>
            <w:r w:rsidRPr="00CB2EC4">
              <w:rPr>
                <w:rFonts w:ascii="Times New Roman" w:hAnsi="Times New Roman" w:cs="Times New Roman"/>
              </w:rPr>
              <w:br/>
              <w:t xml:space="preserve">- Superficial circumflex iliac vein  </w:t>
            </w:r>
            <w:r w:rsidRPr="00CB2EC4">
              <w:rPr>
                <w:rFonts w:ascii="Times New Roman" w:hAnsi="Times New Roman" w:cs="Times New Roman"/>
              </w:rPr>
              <w:br/>
              <w:t xml:space="preserve">- External pudendal vein(s)  </w:t>
            </w:r>
            <w:r w:rsidRPr="00CB2EC4">
              <w:rPr>
                <w:rFonts w:ascii="Times New Roman" w:hAnsi="Times New Roman" w:cs="Times New Roman"/>
              </w:rPr>
              <w:br/>
              <w:t xml:space="preserve">- Deep external pudendal vein  </w:t>
            </w:r>
            <w:r w:rsidRPr="00CB2EC4">
              <w:rPr>
                <w:rFonts w:ascii="Times New Roman" w:hAnsi="Times New Roman" w:cs="Times New Roman"/>
              </w:rPr>
              <w:br/>
              <w:t xml:space="preserve">- Medial femoral cutaneous vein  </w:t>
            </w:r>
            <w:r w:rsidRPr="00CB2EC4">
              <w:rPr>
                <w:rFonts w:ascii="Times New Roman" w:hAnsi="Times New Roman" w:cs="Times New Roman"/>
              </w:rPr>
              <w:br/>
              <w:t xml:space="preserve">- Lateral femoral cutaneous vein (occasionally)  </w:t>
            </w:r>
            <w:r w:rsidRPr="00CB2EC4">
              <w:rPr>
                <w:rFonts w:ascii="Times New Roman" w:hAnsi="Times New Roman" w:cs="Times New Roman"/>
              </w:rPr>
              <w:br/>
              <w:t xml:space="preserve">- Superficial inguinal lymph nodes (associated lymphatic vessels)  </w:t>
            </w:r>
            <w:r w:rsidRPr="00CB2EC4">
              <w:rPr>
                <w:rFonts w:ascii="Times New Roman" w:hAnsi="Times New Roman" w:cs="Times New Roman"/>
              </w:rPr>
              <w:br/>
            </w:r>
            <w:r w:rsidRPr="00CB2EC4">
              <w:rPr>
                <w:rFonts w:ascii="Times New Roman" w:hAnsi="Times New Roman" w:cs="Times New Roman"/>
              </w:rPr>
              <w:br/>
              <w:t>Note: The tributaries listed are based on standard anatomical knowledge, as the provided document fragments contain no relevant information on saphenous vein anatomy.</w:t>
            </w:r>
          </w:p>
        </w:tc>
        <w:tc>
          <w:tcPr>
            <w:tcW w:w="1152" w:type="dxa"/>
            <w:vAlign w:val="center"/>
          </w:tcPr>
          <w:p w14:paraId="24830D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2B016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85E6A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9D82BC3" w14:textId="77777777">
        <w:tc>
          <w:tcPr>
            <w:tcW w:w="2160" w:type="dxa"/>
            <w:vAlign w:val="center"/>
          </w:tcPr>
          <w:p w14:paraId="4235AD8E"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0500AB0" w14:textId="77777777" w:rsidR="00922249" w:rsidRPr="00CB2EC4" w:rsidRDefault="003011D5">
            <w:pPr>
              <w:rPr>
                <w:rFonts w:ascii="Times New Roman" w:hAnsi="Times New Roman" w:cs="Times New Roman"/>
              </w:rPr>
            </w:pPr>
            <w:r w:rsidRPr="00CB2EC4">
              <w:rPr>
                <w:rFonts w:ascii="Times New Roman" w:hAnsi="Times New Roman" w:cs="Times New Roman"/>
              </w:rPr>
              <w:t>the main tributaries of the great saphenous vein near the saphenous opening include:</w:t>
            </w:r>
            <w:r w:rsidRPr="00CB2EC4">
              <w:rPr>
                <w:rFonts w:ascii="Times New Roman" w:hAnsi="Times New Roman" w:cs="Times New Roman"/>
              </w:rPr>
              <w:br/>
              <w:t>- the superficial epigastric vein</w:t>
            </w:r>
            <w:r w:rsidRPr="00CB2EC4">
              <w:rPr>
                <w:rFonts w:ascii="Times New Roman" w:hAnsi="Times New Roman" w:cs="Times New Roman"/>
              </w:rPr>
              <w:br/>
              <w:t>- the superficial circumflex iliac vein</w:t>
            </w:r>
            <w:r w:rsidRPr="00CB2EC4">
              <w:rPr>
                <w:rFonts w:ascii="Times New Roman" w:hAnsi="Times New Roman" w:cs="Times New Roman"/>
              </w:rPr>
              <w:br/>
              <w:t>- the external pudendal vein(s)</w:t>
            </w:r>
            <w:r w:rsidRPr="00CB2EC4">
              <w:rPr>
                <w:rFonts w:ascii="Times New Roman" w:hAnsi="Times New Roman" w:cs="Times New Roman"/>
              </w:rPr>
              <w:br/>
            </w:r>
            <w:r w:rsidRPr="00CB2EC4">
              <w:rPr>
                <w:rFonts w:ascii="Times New Roman" w:hAnsi="Times New Roman" w:cs="Times New Roman"/>
              </w:rPr>
              <w:br/>
              <w:t>&gt; Response: The answer was not found in the knowledge base!</w:t>
            </w:r>
          </w:p>
        </w:tc>
        <w:tc>
          <w:tcPr>
            <w:tcW w:w="1152" w:type="dxa"/>
            <w:vAlign w:val="center"/>
          </w:tcPr>
          <w:p w14:paraId="39B6BD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8567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E943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64EAE0" w14:textId="77777777">
        <w:tc>
          <w:tcPr>
            <w:tcW w:w="2160" w:type="dxa"/>
            <w:vAlign w:val="center"/>
          </w:tcPr>
          <w:p w14:paraId="45138E9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A52EE69"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7A90EF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54705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09BA7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056E304" w14:textId="77777777">
        <w:tc>
          <w:tcPr>
            <w:tcW w:w="2160" w:type="dxa"/>
            <w:vAlign w:val="center"/>
          </w:tcPr>
          <w:p w14:paraId="609379F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4BA52AB" w14:textId="77777777" w:rsidR="00922249" w:rsidRPr="00CB2EC4" w:rsidRDefault="003011D5">
            <w:pPr>
              <w:rPr>
                <w:rFonts w:ascii="Times New Roman" w:hAnsi="Times New Roman" w:cs="Times New Roman"/>
              </w:rPr>
            </w:pPr>
            <w:r w:rsidRPr="00CB2EC4">
              <w:rPr>
                <w:rFonts w:ascii="Times New Roman" w:hAnsi="Times New Roman" w:cs="Times New Roman"/>
              </w:rPr>
              <w:t>the main tributaries of the great saphenous vein near the saphenous hiatus include:</w:t>
            </w:r>
            <w:r w:rsidRPr="00CB2EC4">
              <w:rPr>
                <w:rFonts w:ascii="Times New Roman" w:hAnsi="Times New Roman" w:cs="Times New Roman"/>
              </w:rPr>
              <w:br/>
            </w:r>
            <w:r w:rsidRPr="00CB2EC4">
              <w:rPr>
                <w:rFonts w:ascii="Times New Roman" w:hAnsi="Times New Roman" w:cs="Times New Roman"/>
              </w:rPr>
              <w:br/>
              <w:t xml:space="preserve">1.  superficial epigastric vein  </w:t>
            </w:r>
            <w:r w:rsidRPr="00CB2EC4">
              <w:rPr>
                <w:rFonts w:ascii="Times New Roman" w:hAnsi="Times New Roman" w:cs="Times New Roman"/>
              </w:rPr>
              <w:br/>
              <w:t xml:space="preserve">2.  superficial circumflex iliac vein  </w:t>
            </w:r>
            <w:r w:rsidRPr="00CB2EC4">
              <w:rPr>
                <w:rFonts w:ascii="Times New Roman" w:hAnsi="Times New Roman" w:cs="Times New Roman"/>
              </w:rPr>
              <w:br/>
              <w:t xml:space="preserve">3.  external pudendal vein (anterior and posterior branches)  </w:t>
            </w:r>
            <w:r w:rsidRPr="00CB2EC4">
              <w:rPr>
                <w:rFonts w:ascii="Times New Roman" w:hAnsi="Times New Roman" w:cs="Times New Roman"/>
              </w:rPr>
              <w:br/>
              <w:t xml:space="preserve">4.  deep external pudendal vein  </w:t>
            </w:r>
            <w:r w:rsidRPr="00CB2EC4">
              <w:rPr>
                <w:rFonts w:ascii="Times New Roman" w:hAnsi="Times New Roman" w:cs="Times New Roman"/>
              </w:rPr>
              <w:br/>
            </w:r>
            <w:r w:rsidRPr="00CB2EC4">
              <w:rPr>
                <w:rFonts w:ascii="Times New Roman" w:hAnsi="Times New Roman" w:cs="Times New Roman"/>
              </w:rPr>
              <w:lastRenderedPageBreak/>
              <w:t xml:space="preserve">5.  medial superficial femoral vein  </w:t>
            </w:r>
            <w:r w:rsidRPr="00CB2EC4">
              <w:rPr>
                <w:rFonts w:ascii="Times New Roman" w:hAnsi="Times New Roman" w:cs="Times New Roman"/>
              </w:rPr>
              <w:br/>
              <w:t xml:space="preserve">6.  lateral superficial femoral vein  </w:t>
            </w:r>
            <w:r w:rsidRPr="00CB2EC4">
              <w:rPr>
                <w:rFonts w:ascii="Times New Roman" w:hAnsi="Times New Roman" w:cs="Times New Roman"/>
              </w:rPr>
              <w:br/>
              <w:t xml:space="preserve">7.  saphenous branch of the descending genicular artery (accompanying vein)  </w:t>
            </w:r>
            <w:r w:rsidRPr="00CB2EC4">
              <w:rPr>
                <w:rFonts w:ascii="Times New Roman" w:hAnsi="Times New Roman" w:cs="Times New Roman"/>
              </w:rPr>
              <w:br/>
              <w:t xml:space="preserve">8.  anterior and posterior tibial tributaries near the ankle (though these join the GSV more distally, their proximal branches may be considered in the vicinity)  </w:t>
            </w:r>
            <w:r w:rsidRPr="00CB2EC4">
              <w:rPr>
                <w:rFonts w:ascii="Times New Roman" w:hAnsi="Times New Roman" w:cs="Times New Roman"/>
              </w:rPr>
              <w:br/>
            </w:r>
            <w:r w:rsidRPr="00CB2EC4">
              <w:rPr>
                <w:rFonts w:ascii="Times New Roman" w:hAnsi="Times New Roman" w:cs="Times New Roman"/>
              </w:rPr>
              <w:br/>
              <w:t>note: the saphenous hiatus is the opening in the fascia lata of the thigh through which the great saphenous vein passes to join the femoral vein. the listed tributaries are those classically described as draining into the GSV in the proximal thigh region near this anatomical landmark.</w:t>
            </w:r>
          </w:p>
        </w:tc>
        <w:tc>
          <w:tcPr>
            <w:tcW w:w="1152" w:type="dxa"/>
            <w:vAlign w:val="center"/>
          </w:tcPr>
          <w:p w14:paraId="4B0239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F6398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AD09E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471C13D" w14:textId="77777777">
        <w:tc>
          <w:tcPr>
            <w:tcW w:w="2160" w:type="dxa"/>
            <w:vAlign w:val="center"/>
          </w:tcPr>
          <w:p w14:paraId="304FFCE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7A4F0D9" w14:textId="77777777" w:rsidR="00922249" w:rsidRPr="00CB2EC4" w:rsidRDefault="003011D5">
            <w:pPr>
              <w:rPr>
                <w:rFonts w:ascii="Times New Roman" w:hAnsi="Times New Roman" w:cs="Times New Roman"/>
              </w:rPr>
            </w:pPr>
            <w:r w:rsidRPr="00CB2EC4">
              <w:rPr>
                <w:rFonts w:ascii="Times New Roman" w:hAnsi="Times New Roman" w:cs="Times New Roman"/>
              </w:rPr>
              <w:t>the main tributaries of the great saphenous vein near the saphenous hiatus include:</w:t>
            </w:r>
            <w:r w:rsidRPr="00CB2EC4">
              <w:rPr>
                <w:rFonts w:ascii="Times New Roman" w:hAnsi="Times New Roman" w:cs="Times New Roman"/>
              </w:rPr>
              <w:br/>
            </w:r>
            <w:r w:rsidRPr="00CB2EC4">
              <w:rPr>
                <w:rFonts w:ascii="Times New Roman" w:hAnsi="Times New Roman" w:cs="Times New Roman"/>
              </w:rPr>
              <w:br/>
              <w:t>1.  superficial epigastric vein → drains into the great saphenous vein near the saphenous hiatus</w:t>
            </w:r>
            <w:r w:rsidRPr="00CB2EC4">
              <w:rPr>
                <w:rFonts w:ascii="Times New Roman" w:hAnsi="Times New Roman" w:cs="Times New Roman"/>
              </w:rPr>
              <w:br/>
              <w:t>2.  superficial circumflex iliac vein → joins the great saphenous vein in the vicinity of the saphenous opening</w:t>
            </w:r>
            <w:r w:rsidRPr="00CB2EC4">
              <w:rPr>
                <w:rFonts w:ascii="Times New Roman" w:hAnsi="Times New Roman" w:cs="Times New Roman"/>
              </w:rPr>
              <w:br/>
              <w:t>3.  external pudendal vein (anterior branch) → typically empties into the great saphenous vein close to the hiatus</w:t>
            </w:r>
            <w:r w:rsidRPr="00CB2EC4">
              <w:rPr>
                <w:rFonts w:ascii="Times New Roman" w:hAnsi="Times New Roman" w:cs="Times New Roman"/>
              </w:rPr>
              <w:br/>
              <w:t>4.  deep external pudendal vein → may connect to the great saphenous vein near the saphenous hiatus</w:t>
            </w:r>
            <w:r w:rsidRPr="00CB2EC4">
              <w:rPr>
                <w:rFonts w:ascii="Times New Roman" w:hAnsi="Times New Roman" w:cs="Times New Roman"/>
              </w:rPr>
              <w:br/>
              <w:t>5.  medial superficial femoral vein tributaries → can anastomose with the great saphenous vein around the adductor canal/saphenous hiatus area</w:t>
            </w:r>
            <w:r w:rsidRPr="00CB2EC4">
              <w:rPr>
                <w:rFonts w:ascii="Times New Roman" w:hAnsi="Times New Roman" w:cs="Times New Roman"/>
              </w:rPr>
              <w:br/>
            </w:r>
            <w:r w:rsidRPr="00CB2EC4">
              <w:rPr>
                <w:rFonts w:ascii="Times New Roman" w:hAnsi="Times New Roman" w:cs="Times New Roman"/>
              </w:rPr>
              <w:br/>
              <w:t xml:space="preserve">note: the provided document discusses gynecological surgery (e.g., uterine arteries, cardinal ligaments, ureters) and contains no information relevant to the </w:t>
            </w:r>
            <w:r w:rsidRPr="00CB2EC4">
              <w:rPr>
                <w:rFonts w:ascii="Times New Roman" w:hAnsi="Times New Roman" w:cs="Times New Roman"/>
              </w:rPr>
              <w:lastRenderedPageBreak/>
              <w:t>anatomy of the great saphenous vein or its tributaries near the saphenous hiatus. The answer is based on standard anatomical knowledge.</w:t>
            </w:r>
          </w:p>
        </w:tc>
        <w:tc>
          <w:tcPr>
            <w:tcW w:w="1152" w:type="dxa"/>
            <w:vAlign w:val="center"/>
          </w:tcPr>
          <w:p w14:paraId="5DB875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88619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B8766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B9157F3" w14:textId="77777777">
        <w:tc>
          <w:tcPr>
            <w:tcW w:w="2160" w:type="dxa"/>
            <w:vAlign w:val="center"/>
          </w:tcPr>
          <w:p w14:paraId="0B0EFFE1"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97B0F7D" w14:textId="77777777" w:rsidR="00922249" w:rsidRPr="00CB2EC4" w:rsidRDefault="003011D5">
            <w:pPr>
              <w:rPr>
                <w:rFonts w:ascii="Times New Roman" w:hAnsi="Times New Roman" w:cs="Times New Roman"/>
              </w:rPr>
            </w:pPr>
            <w:r w:rsidRPr="00CB2EC4">
              <w:rPr>
                <w:rFonts w:ascii="Times New Roman" w:hAnsi="Times New Roman" w:cs="Times New Roman"/>
              </w:rPr>
              <w:t>the main tributaries of the great saphenous vein near the saphenous hiatus include:</w:t>
            </w:r>
            <w:r w:rsidRPr="00CB2EC4">
              <w:rPr>
                <w:rFonts w:ascii="Times New Roman" w:hAnsi="Times New Roman" w:cs="Times New Roman"/>
              </w:rPr>
              <w:br/>
              <w:t>1.  superficial epigastric vein</w:t>
            </w:r>
            <w:r w:rsidRPr="00CB2EC4">
              <w:rPr>
                <w:rFonts w:ascii="Times New Roman" w:hAnsi="Times New Roman" w:cs="Times New Roman"/>
              </w:rPr>
              <w:br/>
              <w:t>2.  superficial circumflex iliac vein</w:t>
            </w:r>
            <w:r w:rsidRPr="00CB2EC4">
              <w:rPr>
                <w:rFonts w:ascii="Times New Roman" w:hAnsi="Times New Roman" w:cs="Times New Roman"/>
              </w:rPr>
              <w:br/>
              <w:t>3.  external pudendal vein (anterior and posterior branches)</w:t>
            </w:r>
            <w:r w:rsidRPr="00CB2EC4">
              <w:rPr>
                <w:rFonts w:ascii="Times New Roman" w:hAnsi="Times New Roman" w:cs="Times New Roman"/>
              </w:rPr>
              <w:br/>
              <w:t>4.  deep external pudendal vein</w:t>
            </w:r>
            <w:r w:rsidRPr="00CB2EC4">
              <w:rPr>
                <w:rFonts w:ascii="Times New Roman" w:hAnsi="Times New Roman" w:cs="Times New Roman"/>
              </w:rPr>
              <w:br/>
              <w:t>5.  medial femoral cutaneous vein</w:t>
            </w:r>
            <w:r w:rsidRPr="00CB2EC4">
              <w:rPr>
                <w:rFonts w:ascii="Times New Roman" w:hAnsi="Times New Roman" w:cs="Times New Roman"/>
              </w:rPr>
              <w:br/>
              <w:t>6.  lateral femoral cutaneous vein (occasionally)</w:t>
            </w:r>
            <w:r w:rsidRPr="00CB2EC4">
              <w:rPr>
                <w:rFonts w:ascii="Times New Roman" w:hAnsi="Times New Roman" w:cs="Times New Roman"/>
              </w:rPr>
              <w:br/>
              <w:t>7.  superficial iliac circumflex vein</w:t>
            </w:r>
            <w:r w:rsidRPr="00CB2EC4">
              <w:rPr>
                <w:rFonts w:ascii="Times New Roman" w:hAnsi="Times New Roman" w:cs="Times New Roman"/>
              </w:rPr>
              <w:br/>
              <w:t>8.  accessory saphenous vein (when present)</w:t>
            </w:r>
            <w:r w:rsidRPr="00CB2EC4">
              <w:rPr>
                <w:rFonts w:ascii="Times New Roman" w:hAnsi="Times New Roman" w:cs="Times New Roman"/>
              </w:rPr>
              <w:br/>
              <w:t>9.  veins accompanying the superficial branches of the femoral artery</w:t>
            </w:r>
            <w:r w:rsidRPr="00CB2EC4">
              <w:rPr>
                <w:rFonts w:ascii="Times New Roman" w:hAnsi="Times New Roman" w:cs="Times New Roman"/>
              </w:rPr>
              <w:br/>
              <w:t>10. perforating veins connecting to the deep venous system (e.g., Cockett's perforators)</w:t>
            </w:r>
            <w:r w:rsidRPr="00CB2EC4">
              <w:rPr>
                <w:rFonts w:ascii="Times New Roman" w:hAnsi="Times New Roman" w:cs="Times New Roman"/>
              </w:rPr>
              <w:br/>
            </w:r>
            <w:r w:rsidRPr="00CB2EC4">
              <w:rPr>
                <w:rFonts w:ascii="Times New Roman" w:hAnsi="Times New Roman" w:cs="Times New Roman"/>
              </w:rPr>
              <w:br/>
              <w:t>→ Note: The provided document discusses pelvic anatomy and gynecological surgery, not lower limb venous anatomy. The above answer is based on standard anatomical knowledge.</w:t>
            </w:r>
          </w:p>
        </w:tc>
        <w:tc>
          <w:tcPr>
            <w:tcW w:w="1152" w:type="dxa"/>
            <w:vAlign w:val="center"/>
          </w:tcPr>
          <w:p w14:paraId="610E03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1A759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C15CE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430FA16" w14:textId="77777777">
        <w:tc>
          <w:tcPr>
            <w:tcW w:w="2160" w:type="dxa"/>
            <w:vAlign w:val="center"/>
          </w:tcPr>
          <w:p w14:paraId="01E7D335"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59E4822" w14:textId="77777777" w:rsidR="00922249" w:rsidRPr="00CB2EC4" w:rsidRDefault="003011D5">
            <w:pPr>
              <w:rPr>
                <w:rFonts w:ascii="Times New Roman" w:hAnsi="Times New Roman" w:cs="Times New Roman"/>
              </w:rPr>
            </w:pPr>
            <w:r w:rsidRPr="00CB2EC4">
              <w:rPr>
                <w:rFonts w:ascii="Times New Roman" w:hAnsi="Times New Roman" w:cs="Times New Roman"/>
              </w:rPr>
              <w:t>the main tributaries of the great saphenous vein near the saphenous hiatus include:</w:t>
            </w:r>
            <w:r w:rsidRPr="00CB2EC4">
              <w:rPr>
                <w:rFonts w:ascii="Times New Roman" w:hAnsi="Times New Roman" w:cs="Times New Roman"/>
              </w:rPr>
              <w:br/>
            </w:r>
            <w:r w:rsidRPr="00CB2EC4">
              <w:rPr>
                <w:rFonts w:ascii="Times New Roman" w:hAnsi="Times New Roman" w:cs="Times New Roman"/>
              </w:rPr>
              <w:br/>
              <w:t xml:space="preserve">1.  superficial epigastric vein  </w:t>
            </w:r>
            <w:r w:rsidRPr="00CB2EC4">
              <w:rPr>
                <w:rFonts w:ascii="Times New Roman" w:hAnsi="Times New Roman" w:cs="Times New Roman"/>
              </w:rPr>
              <w:br/>
              <w:t xml:space="preserve">2.  superficial circumflex iliac vein  </w:t>
            </w:r>
            <w:r w:rsidRPr="00CB2EC4">
              <w:rPr>
                <w:rFonts w:ascii="Times New Roman" w:hAnsi="Times New Roman" w:cs="Times New Roman"/>
              </w:rPr>
              <w:br/>
              <w:t xml:space="preserve">3.  external pudendal vein (anterior and posterior branches)  </w:t>
            </w:r>
            <w:r w:rsidRPr="00CB2EC4">
              <w:rPr>
                <w:rFonts w:ascii="Times New Roman" w:hAnsi="Times New Roman" w:cs="Times New Roman"/>
              </w:rPr>
              <w:br/>
              <w:t xml:space="preserve">4.  deep external pudendal vein  </w:t>
            </w:r>
            <w:r w:rsidRPr="00CB2EC4">
              <w:rPr>
                <w:rFonts w:ascii="Times New Roman" w:hAnsi="Times New Roman" w:cs="Times New Roman"/>
              </w:rPr>
              <w:br/>
              <w:t xml:space="preserve">5.  medial superficial femoral vein  </w:t>
            </w:r>
            <w:r w:rsidRPr="00CB2EC4">
              <w:rPr>
                <w:rFonts w:ascii="Times New Roman" w:hAnsi="Times New Roman" w:cs="Times New Roman"/>
              </w:rPr>
              <w:br/>
              <w:t xml:space="preserve">6.  lateral superficial femoral vein  </w:t>
            </w:r>
            <w:r w:rsidRPr="00CB2EC4">
              <w:rPr>
                <w:rFonts w:ascii="Times New Roman" w:hAnsi="Times New Roman" w:cs="Times New Roman"/>
              </w:rPr>
              <w:br/>
            </w:r>
            <w:r w:rsidRPr="00CB2EC4">
              <w:rPr>
                <w:rFonts w:ascii="Times New Roman" w:hAnsi="Times New Roman" w:cs="Times New Roman"/>
              </w:rPr>
              <w:lastRenderedPageBreak/>
              <w:t xml:space="preserve">7.  saphenous branch of the descending genicular artery (accompanying vein)  </w:t>
            </w:r>
            <w:r w:rsidRPr="00CB2EC4">
              <w:rPr>
                <w:rFonts w:ascii="Times New Roman" w:hAnsi="Times New Roman" w:cs="Times New Roman"/>
              </w:rPr>
              <w:br/>
            </w:r>
            <w:r w:rsidRPr="00CB2EC4">
              <w:rPr>
                <w:rFonts w:ascii="Times New Roman" w:hAnsi="Times New Roman" w:cs="Times New Roman"/>
              </w:rPr>
              <w:br/>
              <w:t>note: the above list is based on standard anatomical knowledge, as the provided document does not contain relevant information on lower limb venous anatomy.</w:t>
            </w:r>
          </w:p>
        </w:tc>
        <w:tc>
          <w:tcPr>
            <w:tcW w:w="1152" w:type="dxa"/>
            <w:vAlign w:val="center"/>
          </w:tcPr>
          <w:p w14:paraId="14421C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7584D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1B33C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4E2968C" w14:textId="77777777">
        <w:tc>
          <w:tcPr>
            <w:tcW w:w="2160" w:type="dxa"/>
            <w:vAlign w:val="center"/>
          </w:tcPr>
          <w:p w14:paraId="15F707D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0F59C73" w14:textId="77777777" w:rsidR="00922249" w:rsidRPr="00CB2EC4" w:rsidRDefault="003011D5">
            <w:pPr>
              <w:rPr>
                <w:rFonts w:ascii="Times New Roman" w:hAnsi="Times New Roman" w:cs="Times New Roman"/>
              </w:rPr>
            </w:pPr>
            <w:r w:rsidRPr="00CB2EC4">
              <w:rPr>
                <w:rFonts w:ascii="Times New Roman" w:hAnsi="Times New Roman" w:cs="Times New Roman"/>
              </w:rPr>
              <w:t>the main tributaries of the great saphenous vein near the saphenous opening include:</w:t>
            </w:r>
            <w:r w:rsidRPr="00CB2EC4">
              <w:rPr>
                <w:rFonts w:ascii="Times New Roman" w:hAnsi="Times New Roman" w:cs="Times New Roman"/>
              </w:rPr>
              <w:br/>
            </w:r>
            <w:r w:rsidRPr="00CB2EC4">
              <w:rPr>
                <w:rFonts w:ascii="Times New Roman" w:hAnsi="Times New Roman" w:cs="Times New Roman"/>
              </w:rPr>
              <w:br/>
              <w:t xml:space="preserve">- Superficial epigastric vein  </w:t>
            </w:r>
            <w:r w:rsidRPr="00CB2EC4">
              <w:rPr>
                <w:rFonts w:ascii="Times New Roman" w:hAnsi="Times New Roman" w:cs="Times New Roman"/>
              </w:rPr>
              <w:br/>
              <w:t xml:space="preserve">- Superficial circumflex iliac vein  </w:t>
            </w:r>
            <w:r w:rsidRPr="00CB2EC4">
              <w:rPr>
                <w:rFonts w:ascii="Times New Roman" w:hAnsi="Times New Roman" w:cs="Times New Roman"/>
              </w:rPr>
              <w:br/>
              <w:t xml:space="preserve">- External pudendal vein(s)  </w:t>
            </w:r>
            <w:r w:rsidRPr="00CB2EC4">
              <w:rPr>
                <w:rFonts w:ascii="Times New Roman" w:hAnsi="Times New Roman" w:cs="Times New Roman"/>
              </w:rPr>
              <w:br/>
              <w:t xml:space="preserve">- Deep external pudendal vein  </w:t>
            </w:r>
            <w:r w:rsidRPr="00CB2EC4">
              <w:rPr>
                <w:rFonts w:ascii="Times New Roman" w:hAnsi="Times New Roman" w:cs="Times New Roman"/>
              </w:rPr>
              <w:br/>
              <w:t xml:space="preserve">- Medial accessory saphenous vein (if present)  </w:t>
            </w:r>
            <w:r w:rsidRPr="00CB2EC4">
              <w:rPr>
                <w:rFonts w:ascii="Times New Roman" w:hAnsi="Times New Roman" w:cs="Times New Roman"/>
              </w:rPr>
              <w:br/>
              <w:t xml:space="preserve">- Lateral accessory saphenous vein (if present)  </w:t>
            </w:r>
            <w:r w:rsidRPr="00CB2EC4">
              <w:rPr>
                <w:rFonts w:ascii="Times New Roman" w:hAnsi="Times New Roman" w:cs="Times New Roman"/>
              </w:rPr>
              <w:br/>
            </w:r>
            <w:r w:rsidRPr="00CB2EC4">
              <w:rPr>
                <w:rFonts w:ascii="Times New Roman" w:hAnsi="Times New Roman" w:cs="Times New Roman"/>
              </w:rPr>
              <w:br/>
              <w:t>These veins drain into the great saphenous vein in the vicinity of the saphenous opening (fossa ovalis) in the thigh.</w:t>
            </w:r>
          </w:p>
        </w:tc>
        <w:tc>
          <w:tcPr>
            <w:tcW w:w="1152" w:type="dxa"/>
            <w:vAlign w:val="center"/>
          </w:tcPr>
          <w:p w14:paraId="297FC8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63EF0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78BAF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998F70B" w14:textId="77777777">
        <w:tc>
          <w:tcPr>
            <w:tcW w:w="2160" w:type="dxa"/>
            <w:vAlign w:val="center"/>
          </w:tcPr>
          <w:p w14:paraId="23B63002"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F5C8A94" w14:textId="77777777" w:rsidR="00922249" w:rsidRPr="00CB2EC4" w:rsidRDefault="003011D5">
            <w:pPr>
              <w:rPr>
                <w:rFonts w:ascii="Times New Roman" w:hAnsi="Times New Roman" w:cs="Times New Roman"/>
              </w:rPr>
            </w:pPr>
            <w:r w:rsidRPr="00CB2EC4">
              <w:rPr>
                <w:rFonts w:ascii="Times New Roman" w:hAnsi="Times New Roman" w:cs="Times New Roman"/>
              </w:rPr>
              <w:t>the main tributaries of the great saphenous vein near the saphenous opening include:</w:t>
            </w:r>
            <w:r w:rsidRPr="00CB2EC4">
              <w:rPr>
                <w:rFonts w:ascii="Times New Roman" w:hAnsi="Times New Roman" w:cs="Times New Roman"/>
              </w:rPr>
              <w:br/>
            </w:r>
            <w:r w:rsidRPr="00CB2EC4">
              <w:rPr>
                <w:rFonts w:ascii="Times New Roman" w:hAnsi="Times New Roman" w:cs="Times New Roman"/>
              </w:rPr>
              <w:br/>
              <w:t>1.  Superficial epigastric vein → drains into the great saphenous vein</w:t>
            </w:r>
            <w:r w:rsidRPr="00CB2EC4">
              <w:rPr>
                <w:rFonts w:ascii="Times New Roman" w:hAnsi="Times New Roman" w:cs="Times New Roman"/>
              </w:rPr>
              <w:br/>
              <w:t>2.  Superficial circumflex iliac vein → drains into the great saphenous vein</w:t>
            </w:r>
            <w:r w:rsidRPr="00CB2EC4">
              <w:rPr>
                <w:rFonts w:ascii="Times New Roman" w:hAnsi="Times New Roman" w:cs="Times New Roman"/>
              </w:rPr>
              <w:br/>
              <w:t>3.  External pudendal vein (anterior and posterior branches) → drains into the great saphenous vein</w:t>
            </w:r>
            <w:r w:rsidRPr="00CB2EC4">
              <w:rPr>
                <w:rFonts w:ascii="Times New Roman" w:hAnsi="Times New Roman" w:cs="Times New Roman"/>
              </w:rPr>
              <w:br/>
              <w:t>4.  Deep external pudendal vein → drains into the great saphenous vein</w:t>
            </w:r>
            <w:r w:rsidRPr="00CB2EC4">
              <w:rPr>
                <w:rFonts w:ascii="Times New Roman" w:hAnsi="Times New Roman" w:cs="Times New Roman"/>
              </w:rPr>
              <w:br/>
              <w:t>5.  Medial superficial femoral vein → drains into the great saphenous vein</w:t>
            </w:r>
            <w:r w:rsidRPr="00CB2EC4">
              <w:rPr>
                <w:rFonts w:ascii="Times New Roman" w:hAnsi="Times New Roman" w:cs="Times New Roman"/>
              </w:rPr>
              <w:br/>
            </w:r>
            <w:r w:rsidRPr="00CB2EC4">
              <w:rPr>
                <w:rFonts w:ascii="Times New Roman" w:hAnsi="Times New Roman" w:cs="Times New Roman"/>
              </w:rPr>
              <w:lastRenderedPageBreak/>
              <w:t>6.  Lateral superficial femoral vein → drains into the great saphenous vein</w:t>
            </w:r>
            <w:r w:rsidRPr="00CB2EC4">
              <w:rPr>
                <w:rFonts w:ascii="Times New Roman" w:hAnsi="Times New Roman" w:cs="Times New Roman"/>
              </w:rPr>
              <w:br/>
              <w:t>7.  Anterior superficial femoral vein → drains into the great saphenous vein</w:t>
            </w:r>
            <w:r w:rsidRPr="00CB2EC4">
              <w:rPr>
                <w:rFonts w:ascii="Times New Roman" w:hAnsi="Times New Roman" w:cs="Times New Roman"/>
              </w:rPr>
              <w:br/>
              <w:t>8.  Posterior superficial femoral vein → drains into the great saphenous vein</w:t>
            </w:r>
            <w:r w:rsidRPr="00CB2EC4">
              <w:rPr>
                <w:rFonts w:ascii="Times New Roman" w:hAnsi="Times New Roman" w:cs="Times New Roman"/>
              </w:rPr>
              <w:br/>
              <w:t>9.  Saphenous vein → itself, at the saphenous opening</w:t>
            </w:r>
            <w:r w:rsidRPr="00CB2EC4">
              <w:rPr>
                <w:rFonts w:ascii="Times New Roman" w:hAnsi="Times New Roman" w:cs="Times New Roman"/>
              </w:rPr>
              <w:br/>
            </w:r>
            <w:r w:rsidRPr="00CB2EC4">
              <w:rPr>
                <w:rFonts w:ascii="Times New Roman" w:hAnsi="Times New Roman" w:cs="Times New Roman"/>
              </w:rPr>
              <w:br/>
              <w:t>Note: The provided document discusses pelvic vascular anatomy relevant to gynecological surgery (e.g., internal iliac vessels, uterine vessels) and does not contain information on lower limb venous structures such as the great saphenous vein or its tributaries. The above list is based on standard anatomical knowledge.</w:t>
            </w:r>
          </w:p>
        </w:tc>
        <w:tc>
          <w:tcPr>
            <w:tcW w:w="1152" w:type="dxa"/>
            <w:vAlign w:val="center"/>
          </w:tcPr>
          <w:p w14:paraId="3C3D1F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FDCA3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E6E53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9890E7A" w14:textId="77777777">
        <w:tc>
          <w:tcPr>
            <w:tcW w:w="2160" w:type="dxa"/>
            <w:vAlign w:val="center"/>
          </w:tcPr>
          <w:p w14:paraId="4C4A0436"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E9073B1" w14:textId="77777777" w:rsidR="00922249" w:rsidRPr="00CB2EC4" w:rsidRDefault="003011D5">
            <w:pPr>
              <w:rPr>
                <w:rFonts w:ascii="Times New Roman" w:hAnsi="Times New Roman" w:cs="Times New Roman"/>
              </w:rPr>
            </w:pPr>
            <w:r w:rsidRPr="00CB2EC4">
              <w:rPr>
                <w:rFonts w:ascii="Times New Roman" w:hAnsi="Times New Roman" w:cs="Times New Roman"/>
              </w:rPr>
              <w:t>the main tributaries of the great saphenous vein near the saphenous opening include:</w:t>
            </w:r>
            <w:r w:rsidRPr="00CB2EC4">
              <w:rPr>
                <w:rFonts w:ascii="Times New Roman" w:hAnsi="Times New Roman" w:cs="Times New Roman"/>
              </w:rPr>
              <w:br/>
            </w:r>
            <w:r w:rsidRPr="00CB2EC4">
              <w:rPr>
                <w:rFonts w:ascii="Times New Roman" w:hAnsi="Times New Roman" w:cs="Times New Roman"/>
              </w:rPr>
              <w:br/>
              <w:t>- the superficial epigastric vein</w:t>
            </w:r>
            <w:r w:rsidRPr="00CB2EC4">
              <w:rPr>
                <w:rFonts w:ascii="Times New Roman" w:hAnsi="Times New Roman" w:cs="Times New Roman"/>
              </w:rPr>
              <w:br/>
              <w:t>- the superficial circumflex iliac vein</w:t>
            </w:r>
            <w:r w:rsidRPr="00CB2EC4">
              <w:rPr>
                <w:rFonts w:ascii="Times New Roman" w:hAnsi="Times New Roman" w:cs="Times New Roman"/>
              </w:rPr>
              <w:br/>
              <w:t>- the external pudendal vein</w:t>
            </w:r>
            <w:r w:rsidRPr="00CB2EC4">
              <w:rPr>
                <w:rFonts w:ascii="Times New Roman" w:hAnsi="Times New Roman" w:cs="Times New Roman"/>
              </w:rPr>
              <w:br/>
              <w:t>- the deep external pudendal vein</w:t>
            </w:r>
            <w:r w:rsidRPr="00CB2EC4">
              <w:rPr>
                <w:rFonts w:ascii="Times New Roman" w:hAnsi="Times New Roman" w:cs="Times New Roman"/>
              </w:rPr>
              <w:br/>
              <w:t>- the medial femoral cutaneous vein</w:t>
            </w:r>
            <w:r w:rsidRPr="00CB2EC4">
              <w:rPr>
                <w:rFonts w:ascii="Times New Roman" w:hAnsi="Times New Roman" w:cs="Times New Roman"/>
              </w:rPr>
              <w:br/>
            </w:r>
            <w:r w:rsidRPr="00CB2EC4">
              <w:rPr>
                <w:rFonts w:ascii="Times New Roman" w:hAnsi="Times New Roman" w:cs="Times New Roman"/>
              </w:rPr>
              <w:br/>
              <w:t>these veins typically drain into the great saphenous vein in the region of the saphenous opening (fossa ovalis) in the fascia lata of the thigh.</w:t>
            </w:r>
          </w:p>
        </w:tc>
        <w:tc>
          <w:tcPr>
            <w:tcW w:w="1152" w:type="dxa"/>
            <w:vAlign w:val="center"/>
          </w:tcPr>
          <w:p w14:paraId="16B332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3A92D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C5525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4E8864E" w14:textId="77777777">
        <w:tc>
          <w:tcPr>
            <w:tcW w:w="2160" w:type="dxa"/>
            <w:vAlign w:val="center"/>
          </w:tcPr>
          <w:p w14:paraId="09FD364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21871CC" w14:textId="77777777" w:rsidR="00922249" w:rsidRPr="00CB2EC4" w:rsidRDefault="003011D5">
            <w:pPr>
              <w:rPr>
                <w:rFonts w:ascii="Times New Roman" w:hAnsi="Times New Roman" w:cs="Times New Roman"/>
              </w:rPr>
            </w:pPr>
            <w:r w:rsidRPr="00CB2EC4">
              <w:rPr>
                <w:rFonts w:ascii="Times New Roman" w:hAnsi="Times New Roman" w:cs="Times New Roman"/>
              </w:rPr>
              <w:t>the main tributaries of the great saphenous vein near the saphenous opening include:</w:t>
            </w:r>
            <w:r w:rsidRPr="00CB2EC4">
              <w:rPr>
                <w:rFonts w:ascii="Times New Roman" w:hAnsi="Times New Roman" w:cs="Times New Roman"/>
              </w:rPr>
              <w:br/>
            </w:r>
            <w:r w:rsidRPr="00CB2EC4">
              <w:rPr>
                <w:rFonts w:ascii="Times New Roman" w:hAnsi="Times New Roman" w:cs="Times New Roman"/>
              </w:rPr>
              <w:br/>
              <w:t>1.  **Superficial epigastric vein** → drains the anterior abdominal wall</w:t>
            </w:r>
            <w:r w:rsidRPr="00CB2EC4">
              <w:rPr>
                <w:rFonts w:ascii="Times New Roman" w:hAnsi="Times New Roman" w:cs="Times New Roman"/>
              </w:rPr>
              <w:br/>
              <w:t xml:space="preserve">2.  **Superficial circumflex iliac vein** → runs </w:t>
            </w:r>
            <w:r w:rsidRPr="00CB2EC4">
              <w:rPr>
                <w:rFonts w:ascii="Times New Roman" w:hAnsi="Times New Roman" w:cs="Times New Roman"/>
              </w:rPr>
              <w:lastRenderedPageBreak/>
              <w:t>parallel to the inguinal ligament</w:t>
            </w:r>
            <w:r w:rsidRPr="00CB2EC4">
              <w:rPr>
                <w:rFonts w:ascii="Times New Roman" w:hAnsi="Times New Roman" w:cs="Times New Roman"/>
              </w:rPr>
              <w:br/>
              <w:t>3.  **External pudendal vein** (anterior and posterior branches) → drains the external genitalia</w:t>
            </w:r>
            <w:r w:rsidRPr="00CB2EC4">
              <w:rPr>
                <w:rFonts w:ascii="Times New Roman" w:hAnsi="Times New Roman" w:cs="Times New Roman"/>
              </w:rPr>
              <w:br/>
              <w:t>4.  **Deep external pudendal vein** → crosses the femoral artery to join the great saphenous vein</w:t>
            </w:r>
            <w:r w:rsidRPr="00CB2EC4">
              <w:rPr>
                <w:rFonts w:ascii="Times New Roman" w:hAnsi="Times New Roman" w:cs="Times New Roman"/>
              </w:rPr>
              <w:br/>
              <w:t>5.  **Medial accessory saphenous vein** → often joins the great saphenous vein near the saphenous opening</w:t>
            </w:r>
            <w:r w:rsidRPr="00CB2EC4">
              <w:rPr>
                <w:rFonts w:ascii="Times New Roman" w:hAnsi="Times New Roman" w:cs="Times New Roman"/>
              </w:rPr>
              <w:br/>
            </w:r>
            <w:r w:rsidRPr="00CB2EC4">
              <w:rPr>
                <w:rFonts w:ascii="Times New Roman" w:hAnsi="Times New Roman" w:cs="Times New Roman"/>
              </w:rPr>
              <w:br/>
              <w:t>these tributaries converge into the great saphenous vein as it passes through the saphenous opening (fossa ovalis) in the fascia lata of the thigh to drain into the femoral vein.</w:t>
            </w:r>
          </w:p>
        </w:tc>
        <w:tc>
          <w:tcPr>
            <w:tcW w:w="1152" w:type="dxa"/>
            <w:vAlign w:val="center"/>
          </w:tcPr>
          <w:p w14:paraId="0ED292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F5687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5929E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2017E41" w14:textId="77777777">
        <w:tc>
          <w:tcPr>
            <w:tcW w:w="2160" w:type="dxa"/>
            <w:vAlign w:val="center"/>
          </w:tcPr>
          <w:p w14:paraId="37751077"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1056C90" w14:textId="77777777" w:rsidR="00922249" w:rsidRPr="00CB2EC4" w:rsidRDefault="003011D5">
            <w:pPr>
              <w:rPr>
                <w:rFonts w:ascii="Times New Roman" w:hAnsi="Times New Roman" w:cs="Times New Roman"/>
              </w:rPr>
            </w:pPr>
            <w:r w:rsidRPr="00CB2EC4">
              <w:rPr>
                <w:rFonts w:ascii="Times New Roman" w:hAnsi="Times New Roman" w:cs="Times New Roman"/>
              </w:rPr>
              <w:t>near the saphenous hiatus, the main tributaries of the great saphenous vein include:</w:t>
            </w:r>
            <w:r w:rsidRPr="00CB2EC4">
              <w:rPr>
                <w:rFonts w:ascii="Times New Roman" w:hAnsi="Times New Roman" w:cs="Times New Roman"/>
              </w:rPr>
              <w:br/>
            </w:r>
            <w:r w:rsidRPr="00CB2EC4">
              <w:rPr>
                <w:rFonts w:ascii="Times New Roman" w:hAnsi="Times New Roman" w:cs="Times New Roman"/>
              </w:rPr>
              <w:br/>
              <w:t>- The superficial iliac circumflex vein</w:t>
            </w:r>
            <w:r w:rsidRPr="00CB2EC4">
              <w:rPr>
                <w:rFonts w:ascii="Times New Roman" w:hAnsi="Times New Roman" w:cs="Times New Roman"/>
              </w:rPr>
              <w:br/>
              <w:t>- The superficial lateral femoral vein</w:t>
            </w:r>
            <w:r w:rsidRPr="00CB2EC4">
              <w:rPr>
                <w:rFonts w:ascii="Times New Roman" w:hAnsi="Times New Roman" w:cs="Times New Roman"/>
              </w:rPr>
              <w:br/>
              <w:t>- The deep femoral vein</w:t>
            </w:r>
          </w:p>
        </w:tc>
        <w:tc>
          <w:tcPr>
            <w:tcW w:w="1152" w:type="dxa"/>
            <w:vAlign w:val="center"/>
          </w:tcPr>
          <w:p w14:paraId="6822A7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47371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BC364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7EFAADA" w14:textId="77777777">
        <w:tc>
          <w:tcPr>
            <w:tcW w:w="10656" w:type="dxa"/>
            <w:gridSpan w:val="5"/>
            <w:tcBorders>
              <w:bottom w:val="single" w:sz="6" w:space="0" w:color="auto"/>
            </w:tcBorders>
            <w:vAlign w:val="center"/>
          </w:tcPr>
          <w:p w14:paraId="0E5542C8"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131: When dissecting the internal iliac vascular system to manage the posterior trunk branches, ligation should be performed on the parietal pelvic veins proximal to their confluence with the superior gluteal vein. What is the anatomical reason behind this surgical strategy?</w:t>
            </w:r>
          </w:p>
        </w:tc>
      </w:tr>
      <w:tr w:rsidR="00922249" w:rsidRPr="00CB2EC4" w14:paraId="1DA04772" w14:textId="77777777">
        <w:tc>
          <w:tcPr>
            <w:tcW w:w="2160" w:type="dxa"/>
            <w:vAlign w:val="center"/>
          </w:tcPr>
          <w:p w14:paraId="407A66E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2C99EFB"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reason for ligating proximal to the point where the pelvic wall vein joins the superior gluteal vein when separating the internal iliac vascular system to manage the posterior trunk branches is to avoid injury to the superior gluteal nerve, which typically accompanies the superior gluteal vessels, and to ensure secure control of the venous tributaries draining the pelvic wall muscles before they converge into larger trunks, thereby minimizing bleeding risk and preserving neural integrity during dissection.</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however, based strictly on the provided document, no explicit anatomical explanation for this surgical strategy is given. the document references separation and ligation of the internal iliac system, including the superior gluteal vessels and obturator vein (e.g., in segments [similarity: 0.419 [extension: 3 blocks, range: 209-211]]), but does not detail the rationale for proximal ligation at the pelvic wall vein–superior gluteal vein junction. therefore, the answer is not found in the supplied text.</w:t>
            </w:r>
          </w:p>
        </w:tc>
        <w:tc>
          <w:tcPr>
            <w:tcW w:w="1152" w:type="dxa"/>
            <w:vAlign w:val="center"/>
          </w:tcPr>
          <w:p w14:paraId="7BE4C3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22BCC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56277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F6A894E" w14:textId="77777777">
        <w:tc>
          <w:tcPr>
            <w:tcW w:w="2160" w:type="dxa"/>
            <w:vAlign w:val="center"/>
          </w:tcPr>
          <w:p w14:paraId="28E1B3A9"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5B62CA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rationale for this surgical strategy is as follows:  </w:t>
            </w:r>
            <w:r w:rsidRPr="00CB2EC4">
              <w:rPr>
                <w:rFonts w:ascii="Times New Roman" w:hAnsi="Times New Roman" w:cs="Times New Roman"/>
              </w:rPr>
              <w:br/>
              <w:t xml:space="preserve">- the superior gluteal vein descends vertically medially from the internal iliac vein toward the sacrum, and may be separated from the superior gluteal artery; due to its deep location and perpendicular course relative to the sacrum, manipulation distal to its confluence with the pelvic wall veins risks injury to the superior gluteal vein or its tributaries (e.g., veins exiting the sacral foramina), potentially causing uncontrollable hemorrhage.  </w:t>
            </w:r>
            <w:r w:rsidRPr="00CB2EC4">
              <w:rPr>
                <w:rFonts w:ascii="Times New Roman" w:hAnsi="Times New Roman" w:cs="Times New Roman"/>
              </w:rPr>
              <w:br/>
              <w:t xml:space="preserve">- ligation proximal to the confluence effectively interrupts blood flow, minimizes intraoperative bleeding and local dissemination, and avoids rupture due to the thin venous wall. the document emphasizes that the procedure must be performed with caution to prevent injury to the lumbosacral trunk and surrounding nerves.  </w:t>
            </w:r>
            <w:r w:rsidRPr="00CB2EC4">
              <w:rPr>
                <w:rFonts w:ascii="Times New Roman" w:hAnsi="Times New Roman" w:cs="Times New Roman"/>
              </w:rPr>
              <w:br/>
              <w:t>(cited from document block 212)</w:t>
            </w:r>
          </w:p>
        </w:tc>
        <w:tc>
          <w:tcPr>
            <w:tcW w:w="1152" w:type="dxa"/>
            <w:vAlign w:val="center"/>
          </w:tcPr>
          <w:p w14:paraId="68DC60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7015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E65C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AE73C7" w14:textId="77777777">
        <w:tc>
          <w:tcPr>
            <w:tcW w:w="2160" w:type="dxa"/>
            <w:vAlign w:val="center"/>
          </w:tcPr>
          <w:p w14:paraId="55224B3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FABE9E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rationale behind this surgical strategy is primarily to prevent severe, uncontrollable hemorrhage and ensure operative safety. the specific reasons are as follows:  </w:t>
            </w:r>
            <w:r w:rsidRPr="00CB2EC4">
              <w:rPr>
                <w:rFonts w:ascii="Times New Roman" w:hAnsi="Times New Roman" w:cs="Times New Roman"/>
              </w:rPr>
              <w:br/>
            </w:r>
            <w:r w:rsidRPr="00CB2EC4">
              <w:rPr>
                <w:rFonts w:ascii="Times New Roman" w:hAnsi="Times New Roman" w:cs="Times New Roman"/>
              </w:rPr>
              <w:lastRenderedPageBreak/>
              <w:t xml:space="preserve">- the superior gluteal vein and its tributaries (such as veins emerging from the sacral foramina) are located deep and are closely related to surrounding structures (e.g., the obturator region) (fragment 1). once injured, hemostasis is extremely difficult and may lead to massive bleeding or even death (fragment 5).  </w:t>
            </w:r>
            <w:r w:rsidRPr="00CB2EC4">
              <w:rPr>
                <w:rFonts w:ascii="Times New Roman" w:hAnsi="Times New Roman" w:cs="Times New Roman"/>
              </w:rPr>
              <w:br/>
              <w:t xml:space="preserve">- ligating proximal to the confluence of the pelvic wall vein and the superior gluteal vein avoids direct manipulation at the branching site of the superior gluteal vein, where vascular variations are common (e.g., the superior gluteal artery and vein may be widely separated), and inadvertent injury can cause unexpected bleeding (fragment 4).  </w:t>
            </w:r>
            <w:r w:rsidRPr="00CB2EC4">
              <w:rPr>
                <w:rFonts w:ascii="Times New Roman" w:hAnsi="Times New Roman" w:cs="Times New Roman"/>
              </w:rPr>
              <w:br/>
              <w:t xml:space="preserve">- furthermore, proximal ligation helps control blood flow, reduces intraoperative hemorrhage risk, and aligns with the principle of "only addressing the visceral branches of the internal iliac vessels, without resecting the internal iliac trunk," thereby minimizing complications (fragment 7).  </w:t>
            </w:r>
            <w:r w:rsidRPr="00CB2EC4">
              <w:rPr>
                <w:rFonts w:ascii="Times New Roman" w:hAnsi="Times New Roman" w:cs="Times New Roman"/>
              </w:rPr>
              <w:br/>
              <w:t>in summary, this strategy is based on the deep anatomical position and vulnerability of the superior gluteal vein, aiming to minimize bleeding risk.</w:t>
            </w:r>
          </w:p>
        </w:tc>
        <w:tc>
          <w:tcPr>
            <w:tcW w:w="1152" w:type="dxa"/>
            <w:vAlign w:val="center"/>
          </w:tcPr>
          <w:p w14:paraId="213804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CFE54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40576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BF23659" w14:textId="77777777">
        <w:tc>
          <w:tcPr>
            <w:tcW w:w="2160" w:type="dxa"/>
            <w:vAlign w:val="center"/>
          </w:tcPr>
          <w:p w14:paraId="5F9C4B32"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9FD95F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reason for this surgical strategy is to prevent massive hemorrhage, as the superior gluteal vein and its tributaries (such as veins emerging from the sacral foramina) are common sources of bleeding in gynecologic cancer surgery. specific reasons include:  </w:t>
            </w:r>
            <w:r w:rsidRPr="00CB2EC4">
              <w:rPr>
                <w:rFonts w:ascii="Times New Roman" w:hAnsi="Times New Roman" w:cs="Times New Roman"/>
              </w:rPr>
              <w:br/>
              <w:t xml:space="preserve">- the superior gluteal vein is a major branch of the internal iliac venous system, located deep in the pelvis and connected to the sacral venous plexus. ligation distal to the confluence may cause venous return obstruction or injury, leading to uncontrollable bleeding, especially during lymph node dissection or </w:t>
            </w:r>
            <w:r w:rsidRPr="00CB2EC4">
              <w:rPr>
                <w:rFonts w:ascii="Times New Roman" w:hAnsi="Times New Roman" w:cs="Times New Roman"/>
              </w:rPr>
              <w:lastRenderedPageBreak/>
              <w:t xml:space="preserve">tumor mobilization.  </w:t>
            </w:r>
            <w:r w:rsidRPr="00CB2EC4">
              <w:rPr>
                <w:rFonts w:ascii="Times New Roman" w:hAnsi="Times New Roman" w:cs="Times New Roman"/>
              </w:rPr>
              <w:br/>
              <w:t xml:space="preserve">- tributaries of the posterior trunk (e.g., superior gluteal vein) often drain into the pelvic wall veins. these areas have thin vessel walls and are easily damaged. proximal ligation (at the confluence near the main trunk of the internal iliac vein) effectively controls blood flow and reduces the risk of venous rupture due to traction or blunt dissection during surgery.  </w:t>
            </w:r>
            <w:r w:rsidRPr="00CB2EC4">
              <w:rPr>
                <w:rFonts w:ascii="Times New Roman" w:hAnsi="Times New Roman" w:cs="Times New Roman"/>
              </w:rPr>
              <w:br/>
              <w:t xml:space="preserve">- anatomically, this region is close to the sacrum and nerve roots; bleeding may compress nerves or cause postoperative complications, making proximal ligation a key step to reduce surgical risk.  </w:t>
            </w:r>
            <w:r w:rsidRPr="00CB2EC4">
              <w:rPr>
                <w:rFonts w:ascii="Times New Roman" w:hAnsi="Times New Roman" w:cs="Times New Roman"/>
              </w:rPr>
              <w:br/>
            </w:r>
            <w:r w:rsidRPr="00CB2EC4">
              <w:rPr>
                <w:rFonts w:ascii="Times New Roman" w:hAnsi="Times New Roman" w:cs="Times New Roman"/>
              </w:rPr>
              <w:br/>
              <w:t xml:space="preserve">information sources:  </w:t>
            </w:r>
            <w:r w:rsidRPr="00CB2EC4">
              <w:rPr>
                <w:rFonts w:ascii="Times New Roman" w:hAnsi="Times New Roman" w:cs="Times New Roman"/>
              </w:rPr>
              <w:br/>
              <w:t xml:space="preserve">- knowledge base document: provides detailed anatomical descriptions (e.g., "another major source of bleeding in gynecologic cancer surgery is injury to the posterior trunk, namely the superior gluteal vein or any deeper tributary") and emphasizes attention to bleeding risk during internal iliac vessel dissection (content block refers to figure 1-37 and discussion of the internal iliac venous system).  </w:t>
            </w:r>
            <w:r w:rsidRPr="00CB2EC4">
              <w:rPr>
                <w:rFonts w:ascii="Times New Roman" w:hAnsi="Times New Roman" w:cs="Times New Roman"/>
              </w:rPr>
              <w:br/>
              <w:t>- web search results: no relevant anatomical information provided, thus not used.</w:t>
            </w:r>
          </w:p>
        </w:tc>
        <w:tc>
          <w:tcPr>
            <w:tcW w:w="1152" w:type="dxa"/>
            <w:vAlign w:val="center"/>
          </w:tcPr>
          <w:p w14:paraId="606E94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D510F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C093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CC6970" w14:textId="77777777">
        <w:tc>
          <w:tcPr>
            <w:tcW w:w="2160" w:type="dxa"/>
            <w:vAlign w:val="center"/>
          </w:tcPr>
          <w:p w14:paraId="461BD45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4ACF52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rationale for this surgical strategy is as follows:  </w:t>
            </w:r>
            <w:r w:rsidRPr="00CB2EC4">
              <w:rPr>
                <w:rFonts w:ascii="Times New Roman" w:hAnsi="Times New Roman" w:cs="Times New Roman"/>
              </w:rPr>
              <w:br/>
              <w:t xml:space="preserve">- the posterior trunk (i.e., the superior gluteal vein) is located deep in the pelvis, embedded in dense connective tissue, making its surface difficult to identify; injury to this vessel or its deeper tributaries (such as those emerging from the sacral foramina) commonly causes severe, uncontrollable hemorrhage during gynecological oncological surgery, as noted in </w:t>
            </w:r>
            <w:r w:rsidRPr="00CB2EC4">
              <w:rPr>
                <w:rFonts w:ascii="Times New Roman" w:hAnsi="Times New Roman" w:cs="Times New Roman"/>
              </w:rPr>
              <w:lastRenderedPageBreak/>
              <w:t xml:space="preserve">fragment 5: "another major source of bleeding during gynecological cancer surgery is injury to the posterior trunk, namely the superior gluteal vein, or any of its deeper branches... injury to the sacral veins can lead to fatal massive bleeding."  </w:t>
            </w:r>
            <w:r w:rsidRPr="00CB2EC4">
              <w:rPr>
                <w:rFonts w:ascii="Times New Roman" w:hAnsi="Times New Roman" w:cs="Times New Roman"/>
              </w:rPr>
              <w:br/>
              <w:t xml:space="preserve">- ligation proximal to the point where the pelvic wall veins join the superior gluteal vein interrupts blood flow upstream, reducing the risk of inadvertent injury during dissection and preventing bleeding that could obscure the surgical field and compromise operative safety.  </w:t>
            </w:r>
            <w:r w:rsidRPr="00CB2EC4">
              <w:rPr>
                <w:rFonts w:ascii="Times New Roman" w:hAnsi="Times New Roman" w:cs="Times New Roman"/>
              </w:rPr>
              <w:br/>
              <w:t>- this approach is based on the pelvic vascular anatomy: the superior gluteal vein is a major branch of the internal iliac vein, and controlling it proximally effectively prevents intraoperative hemorrhagic complications.</w:t>
            </w:r>
          </w:p>
        </w:tc>
        <w:tc>
          <w:tcPr>
            <w:tcW w:w="1152" w:type="dxa"/>
            <w:vAlign w:val="center"/>
          </w:tcPr>
          <w:p w14:paraId="6A44B4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8C6BC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4CA1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FA58EF" w14:textId="77777777">
        <w:tc>
          <w:tcPr>
            <w:tcW w:w="2160" w:type="dxa"/>
            <w:vAlign w:val="center"/>
          </w:tcPr>
          <w:p w14:paraId="7DF5BA1C"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6F1CEDD"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reason behind this surgical strategy is that the posterior trunk (i.e., the superior gluteal vein and its tributaries) is a common source of major bleeding in gynecological cancer surgery. The superior gluteal vein is located deep in the pelvis, has abundant tributaries (such as veins emerging from the sacral foramina), and is closely adjacent to deep pelvic structures. If the posterior trunk is injured during surgery, it can lead to uncontrollable bleeding due to the thin vessel walls, high pressure, numerous branches, and rapid blood loss. Ligation proximal to the confluence with the pelvic wall veins allows for preemptive blood flow control, reduces the risk of accidental injury during the procedure, and thereby lowers the incidence of major hemorrhage complications.</w:t>
            </w:r>
          </w:p>
        </w:tc>
        <w:tc>
          <w:tcPr>
            <w:tcW w:w="1152" w:type="dxa"/>
            <w:vAlign w:val="center"/>
          </w:tcPr>
          <w:p w14:paraId="1599D6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C764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17357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6452701" w14:textId="77777777">
        <w:tc>
          <w:tcPr>
            <w:tcW w:w="2160" w:type="dxa"/>
            <w:vAlign w:val="center"/>
          </w:tcPr>
          <w:p w14:paraId="5F32B02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69C999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reason is to avoid injury to the superior </w:t>
            </w:r>
            <w:r w:rsidRPr="00CB2EC4">
              <w:rPr>
                <w:rFonts w:ascii="Times New Roman" w:hAnsi="Times New Roman" w:cs="Times New Roman"/>
              </w:rPr>
              <w:lastRenderedPageBreak/>
              <w:t>gluteal vein and its tributaries, preventing difficult-to-control massive bleeding. The document explicitly states:</w:t>
            </w:r>
            <w:r w:rsidRPr="00CB2EC4">
              <w:rPr>
                <w:rFonts w:ascii="Times New Roman" w:hAnsi="Times New Roman" w:cs="Times New Roman"/>
              </w:rPr>
              <w:br/>
              <w:t>- The internal iliac vein system has complex branching, with the superior gluteal vein joining the internal iliac vein trunk early (see [HyDE similarity: 0.457]).</w:t>
            </w:r>
            <w:r w:rsidRPr="00CB2EC4">
              <w:rPr>
                <w:rFonts w:ascii="Times New Roman" w:hAnsi="Times New Roman" w:cs="Times New Roman"/>
              </w:rPr>
              <w:br/>
              <w:t>- The posterior trunk (superior gluteal vein) and its tributaries (such as sacral foraminal veins) are common sources of bleeding in gynecologic oncology surgery (see [HyDE similarity: 0.460]).</w:t>
            </w:r>
            <w:r w:rsidRPr="00CB2EC4">
              <w:rPr>
                <w:rFonts w:ascii="Times New Roman" w:hAnsi="Times New Roman" w:cs="Times New Roman"/>
              </w:rPr>
              <w:br/>
              <w:t>- When dividing the internal iliac vein distal to the superior gluteal vein branching point, careful dissection is needed to avoid damaging the superior gluteal vein (see [HyDE similarity: 0.439]).</w:t>
            </w:r>
            <w:r w:rsidRPr="00CB2EC4">
              <w:rPr>
                <w:rFonts w:ascii="Times New Roman" w:hAnsi="Times New Roman" w:cs="Times New Roman"/>
              </w:rPr>
              <w:br/>
              <w:t>Strategy basis: Ligation proximal to the branching avoids the bifurcation zone of the superior gluteal vein, reducing the risk of intraoperative venous tearing.</w:t>
            </w:r>
          </w:p>
        </w:tc>
        <w:tc>
          <w:tcPr>
            <w:tcW w:w="1152" w:type="dxa"/>
            <w:vAlign w:val="center"/>
          </w:tcPr>
          <w:p w14:paraId="30BE06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51AE6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10DE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C8F5E0" w14:textId="77777777">
        <w:tc>
          <w:tcPr>
            <w:tcW w:w="2160" w:type="dxa"/>
            <w:vAlign w:val="center"/>
          </w:tcPr>
          <w:p w14:paraId="65F6236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EB9490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reason behind this surgical strategy is to reduce the risk of bleeding. specifically, the superior gluteal vein trunk is often short and located deep, making it prone to retraction during dissection, especially when passing through the greater sciatic notch. by ligating the pelvic wall vein proximal to its junction with the superior gluteal vein, direct handling of the superior gluteal vein is avoided, thereby minimizing the likelihood of uncontrolled hemorrhage due to venous retraction. the document explicitly states: "the pelvic wall vein should be ligated proximal to its junction with the superior gluteal vein to reduce the danger of bleeding. the superior gluteal vein trunk is often too short to be easily ligated and may retract when passing through the greater sciatic </w:t>
            </w:r>
            <w:r w:rsidRPr="00CB2EC4">
              <w:rPr>
                <w:rFonts w:ascii="Times New Roman" w:hAnsi="Times New Roman" w:cs="Times New Roman"/>
              </w:rPr>
              <w:lastRenderedPageBreak/>
              <w:t>notch." this underscores the safety consideration in the procedure.</w:t>
            </w:r>
          </w:p>
        </w:tc>
        <w:tc>
          <w:tcPr>
            <w:tcW w:w="1152" w:type="dxa"/>
            <w:vAlign w:val="center"/>
          </w:tcPr>
          <w:p w14:paraId="1532D8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A981E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D801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B5A4DF" w14:textId="77777777">
        <w:tc>
          <w:tcPr>
            <w:tcW w:w="2160" w:type="dxa"/>
            <w:vAlign w:val="center"/>
          </w:tcPr>
          <w:p w14:paraId="058D7044"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E1884AC"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reason for the surgical strategy is that the posterior trunk branches, such as the superior gluteal vein and its tributaries (e.g., the sacral foraminal veins), are deep-seated and have thin vessel walls with specific branching angles. Ligation distal to their confluence with the pelvic wall veins risks venous tearing due to traction. Proximal ligation avoids injury to the main trunk of the superior gluteal vein and reduces the risk of uncontrollable hemorrhage, especially because the fragile venous wall makes direct clamping or suturing difficult. The document emphasizes that injury to the posterior trunk (i.e., the superior gluteal vein or any deeper tributary) is a major source of bleeding during gynecologic cancer surgery, and proximal ligation is a key preventive measure.</w:t>
            </w:r>
          </w:p>
        </w:tc>
        <w:tc>
          <w:tcPr>
            <w:tcW w:w="1152" w:type="dxa"/>
            <w:vAlign w:val="center"/>
          </w:tcPr>
          <w:p w14:paraId="2DA675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E93B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A136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2AC382" w14:textId="77777777">
        <w:tc>
          <w:tcPr>
            <w:tcW w:w="2160" w:type="dxa"/>
            <w:vAlign w:val="center"/>
          </w:tcPr>
          <w:p w14:paraId="2182D1F6"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2BD80C4"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reason behind this surgical strategy is that the pelvic wall veins, when joining the superior gluteal vein, form a confluence where blood flow from multiple tributaries converges. ligating proximal to this junction ensures effective control of bleeding from the posterior trunk branches while minimizing the risk of venous backflow or collateral circulation from the gluteal region, as the superior gluteal vein is a principal drainage vessel of the gluteal area and a major tributary of the internal iliac vein. this approach prevents retrograde bleeding from uncontrolled distal venous branches and reduces the likelihood of hematoma formation or unintended venous injury during dissection of the internal iliac vascular system.</w:t>
            </w:r>
          </w:p>
        </w:tc>
        <w:tc>
          <w:tcPr>
            <w:tcW w:w="1152" w:type="dxa"/>
            <w:vAlign w:val="center"/>
          </w:tcPr>
          <w:p w14:paraId="2B01B4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B66F5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7D9A8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EFA1FB3" w14:textId="77777777">
        <w:tc>
          <w:tcPr>
            <w:tcW w:w="2160" w:type="dxa"/>
            <w:vAlign w:val="center"/>
          </w:tcPr>
          <w:p w14:paraId="679B273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63B824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rationale for this surgical strategy is </w:t>
            </w:r>
            <w:r w:rsidRPr="00CB2EC4">
              <w:rPr>
                <w:rFonts w:ascii="Times New Roman" w:hAnsi="Times New Roman" w:cs="Times New Roman"/>
              </w:rPr>
              <w:lastRenderedPageBreak/>
              <w:t>that the internal iliac vascular system, particularly its posterior division (including the superior gluteal vein and its deeper tributaries such as those emerging from the sacral foramina), is a major source of life-threatening hemorrhage in gynecologic oncology procedures due to its deep pelvic location, rich vascular network, and proximity to critical structures like the sacral plexus and ureters. ligating at the proximal side where the parietal pelvic veins join the superior gluteal vein allows for preemptive control of venous outflow before entering the high-risk dissection zone, thereby minimizing the risk of inadvertent vessel injury during manipulation, reducing bleeding that could obscure the surgical field, and preventing potential damage to adjacent nerves or the ureter. this approach is specifically designed based on the anatomical vulnerability of the sacral venous plexus and its tributaries to enhance surgical safety.</w:t>
            </w:r>
            <w:r w:rsidRPr="00CB2EC4">
              <w:rPr>
                <w:rFonts w:ascii="Times New Roman" w:hAnsi="Times New Roman" w:cs="Times New Roman"/>
              </w:rPr>
              <w:br/>
            </w:r>
            <w:r w:rsidRPr="00CB2EC4">
              <w:rPr>
                <w:rFonts w:ascii="Times New Roman" w:hAnsi="Times New Roman" w:cs="Times New Roman"/>
              </w:rPr>
              <w:br/>
              <w:t>(Source: Document fragments [similarity: 0.433] and [similarity: 0.381])</w:t>
            </w:r>
          </w:p>
        </w:tc>
        <w:tc>
          <w:tcPr>
            <w:tcW w:w="1152" w:type="dxa"/>
            <w:vAlign w:val="center"/>
          </w:tcPr>
          <w:p w14:paraId="7400D0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E4502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88770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5295FF" w14:textId="77777777">
        <w:tc>
          <w:tcPr>
            <w:tcW w:w="2160" w:type="dxa"/>
            <w:vAlign w:val="center"/>
          </w:tcPr>
          <w:p w14:paraId="7C9EC5C1"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215720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anatomical reason behind this surgical strategy is to avoid damaging the superior gluteal vein and its tributaries, as the superior gluteal vein is an important branch of the posterior trunk. Injury to it may cause severe hemorrhage. according to document fragment 9: "another major source of hemorrhage during gynecological cancer surgery is injury to the posterior trunk, namely the superior gluteal vein or any of its deeper tributaries (such as veins emerging from the sacral foramina)." ligation proximal to the junction where the pelvic wall veins drain into the superior gluteal vein allows for safer vascular control, reduces </w:t>
            </w:r>
            <w:r w:rsidRPr="00CB2EC4">
              <w:rPr>
                <w:rFonts w:ascii="Times New Roman" w:hAnsi="Times New Roman" w:cs="Times New Roman"/>
              </w:rPr>
              <w:lastRenderedPageBreak/>
              <w:t>the risk of intraoperative bleeding, and facilitates dissection (e.g., carefully separating and dividing the internal iliac vein trunk distal to the branching point of the superior gluteal vein to avoid involving the superior gluteal vein area).</w:t>
            </w:r>
          </w:p>
        </w:tc>
        <w:tc>
          <w:tcPr>
            <w:tcW w:w="1152" w:type="dxa"/>
            <w:vAlign w:val="center"/>
          </w:tcPr>
          <w:p w14:paraId="3BC351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F1F49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4287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F93CD7" w14:textId="77777777">
        <w:tc>
          <w:tcPr>
            <w:tcW w:w="2160" w:type="dxa"/>
            <w:vAlign w:val="center"/>
          </w:tcPr>
          <w:p w14:paraId="50514E66"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A397512"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reason behind this surgical strategy is that the internal iliac vein system forms multiple anastomoses with the external iliac vein, common iliac vein, and other pelvic venous plexuses. ligating proximal to the point where the pelvic wall vein joins the superior gluteal vein prevents backflow through these anastomotic channels, ensuring effective hemostasis and minimizing the risk of venous bleeding or hematoma formation during the management of the posterior trunk branches. this approach isolates the venous drainage territory of the posterior trunk by controlling the main outflow route before significant collateral connections occur.</w:t>
            </w:r>
          </w:p>
        </w:tc>
        <w:tc>
          <w:tcPr>
            <w:tcW w:w="1152" w:type="dxa"/>
            <w:vAlign w:val="center"/>
          </w:tcPr>
          <w:p w14:paraId="694D21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F0971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84A85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C938EC0" w14:textId="77777777">
        <w:tc>
          <w:tcPr>
            <w:tcW w:w="2160" w:type="dxa"/>
            <w:vAlign w:val="center"/>
          </w:tcPr>
          <w:p w14:paraId="7D9FB8C7"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3809EBB" w14:textId="77777777" w:rsidR="00922249" w:rsidRPr="00CB2EC4" w:rsidRDefault="003011D5">
            <w:pPr>
              <w:rPr>
                <w:rFonts w:ascii="Times New Roman" w:hAnsi="Times New Roman" w:cs="Times New Roman"/>
              </w:rPr>
            </w:pPr>
            <w:r w:rsidRPr="00CB2EC4">
              <w:rPr>
                <w:rFonts w:ascii="Times New Roman" w:hAnsi="Times New Roman" w:cs="Times New Roman"/>
              </w:rPr>
              <w:t>the anatomical rationale for this surgical strategy is to avoid injury to the superior gluteal vein and adjacent neural structures (such as the sciatic nerve). the area where the pelvic wall veins drain into the superior gluteal vein contains a rich venous plexus and is in close proximity to the nerve fibers of the posterior trunk branches. ligation proximal to this confluence reduces intraoperative bleeding risk, prevents rupture of the venous plexus leading to uncontrollable hemorrhage, and protects nerves to avoid postoperative functional deficits (e.g., motor or sensory abnormalities of the lower limb due to nerve injury). literature emphasizes that ligation at this site ensures a clear surgical field and lowers the complication rate.</w:t>
            </w:r>
          </w:p>
        </w:tc>
        <w:tc>
          <w:tcPr>
            <w:tcW w:w="1152" w:type="dxa"/>
            <w:vAlign w:val="center"/>
          </w:tcPr>
          <w:p w14:paraId="285650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251FC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E534B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19C4373" w14:textId="77777777">
        <w:tc>
          <w:tcPr>
            <w:tcW w:w="10656" w:type="dxa"/>
            <w:gridSpan w:val="5"/>
            <w:tcBorders>
              <w:bottom w:val="single" w:sz="6" w:space="0" w:color="auto"/>
            </w:tcBorders>
            <w:vAlign w:val="center"/>
          </w:tcPr>
          <w:p w14:paraId="13D80749" w14:textId="77777777" w:rsidR="00922249" w:rsidRPr="00CB2EC4" w:rsidRDefault="003011D5">
            <w:pPr>
              <w:rPr>
                <w:rFonts w:ascii="Times New Roman" w:hAnsi="Times New Roman" w:cs="Times New Roman"/>
              </w:rPr>
            </w:pPr>
            <w:r w:rsidRPr="00CB2EC4">
              <w:rPr>
                <w:rFonts w:ascii="Times New Roman" w:hAnsi="Times New Roman" w:cs="Times New Roman"/>
                <w:b/>
              </w:rPr>
              <w:lastRenderedPageBreak/>
              <w:t>Question 132: What are the common surgical positions for gynecologic oncology surgery?</w:t>
            </w:r>
          </w:p>
        </w:tc>
      </w:tr>
      <w:tr w:rsidR="00922249" w:rsidRPr="00CB2EC4" w14:paraId="68280313" w14:textId="77777777">
        <w:tc>
          <w:tcPr>
            <w:tcW w:w="2160" w:type="dxa"/>
            <w:vAlign w:val="center"/>
          </w:tcPr>
          <w:p w14:paraId="42D47B0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C7FA23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body positions for gynecological oncology surgery include:  </w:t>
            </w:r>
            <w:r w:rsidRPr="00CB2EC4">
              <w:rPr>
                <w:rFonts w:ascii="Times New Roman" w:hAnsi="Times New Roman" w:cs="Times New Roman"/>
              </w:rPr>
              <w:br/>
              <w:t xml:space="preserve">1. Supine position: This is the standard position used for most abdominal surgeries. The patient lies supine with both iliac crests aligned above the midsection of the operating table to expand the pelvis, facilitating exposure of the lower abdomen (e.g., para-aortic lymph nodes). For obese patients, a sponge or long pillow may be placed under the lumbosacral area to elevate the posterior pelvis slightly, flex the thighs downward, widen the spinal and pelvic inlet planes, lengthen the distance between the umbilicus and pubis, flatten the pelvic floor, and facilitate deep pelvic manipulation.  </w:t>
            </w:r>
            <w:r w:rsidRPr="00CB2EC4">
              <w:rPr>
                <w:rFonts w:ascii="Times New Roman" w:hAnsi="Times New Roman" w:cs="Times New Roman"/>
              </w:rPr>
              <w:br/>
              <w:t xml:space="preserve">2. Trendelenburg supine position: Used for laparoscopic surgery to provide optimal pelvic exposure. Gravity displaces the small and large intestines upward from the pelvic floor, reducing bowel interference.  </w:t>
            </w:r>
            <w:r w:rsidRPr="00CB2EC4">
              <w:rPr>
                <w:rFonts w:ascii="Times New Roman" w:hAnsi="Times New Roman" w:cs="Times New Roman"/>
              </w:rPr>
              <w:br/>
              <w:t xml:space="preserve">3. Lithotomy position: Commonly employed for surgeries requiring good perineal exposure, such as certain radical procedures. The lithotomy position has high and low variations, with extreme high and low lithotomy being most frequently used. Footrests can elevate the lithotomy position; however, care must be taken to avoid hip flexion beyond 90° in the thighs to prevent femoral nerve and sciatic nerve root injury (especially when the position is maintained for more than 3–4 hours or if assistants lean on the patient’s legs). Additionally, prolonged lithotomy positioning may lead to iliac artery thrombosis; therefore, legs should avoid direct contact with metal supports (soft cloth padding is required), and regular checks of leg </w:t>
            </w:r>
            <w:r w:rsidRPr="00CB2EC4">
              <w:rPr>
                <w:rFonts w:ascii="Times New Roman" w:hAnsi="Times New Roman" w:cs="Times New Roman"/>
              </w:rPr>
              <w:lastRenderedPageBreak/>
              <w:t>pulses and nerve compression must be performed.</w:t>
            </w:r>
          </w:p>
        </w:tc>
        <w:tc>
          <w:tcPr>
            <w:tcW w:w="1152" w:type="dxa"/>
            <w:vAlign w:val="center"/>
          </w:tcPr>
          <w:p w14:paraId="777FE5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0A4F1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D8F4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07EC82" w14:textId="77777777">
        <w:tc>
          <w:tcPr>
            <w:tcW w:w="2160" w:type="dxa"/>
            <w:vAlign w:val="center"/>
          </w:tcPr>
          <w:p w14:paraId="620AE6E3"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7487D63" w14:textId="77777777" w:rsidR="00922249" w:rsidRPr="00CB2EC4" w:rsidRDefault="003011D5">
            <w:pPr>
              <w:rPr>
                <w:rFonts w:ascii="Times New Roman" w:hAnsi="Times New Roman" w:cs="Times New Roman"/>
              </w:rPr>
            </w:pPr>
            <w:r w:rsidRPr="00CB2EC4">
              <w:rPr>
                <w:rFonts w:ascii="Times New Roman" w:hAnsi="Times New Roman" w:cs="Times New Roman"/>
              </w:rPr>
              <w:t>the common body positions for gynecological oncology surgery include:</w:t>
            </w:r>
            <w:r w:rsidRPr="00CB2EC4">
              <w:rPr>
                <w:rFonts w:ascii="Times New Roman" w:hAnsi="Times New Roman" w:cs="Times New Roman"/>
              </w:rPr>
              <w:br/>
            </w:r>
            <w:r w:rsidRPr="00CB2EC4">
              <w:rPr>
                <w:rFonts w:ascii="Times New Roman" w:hAnsi="Times New Roman" w:cs="Times New Roman"/>
              </w:rPr>
              <w:br/>
              <w:t>- **Supine position**: Used for most abdominal surgeries. The patient lies supine with both iliac crests parallel and extending beyond the upper half of the operating table to expand the pelvic cavity. For obese patients, a sponge pad or long pillow may be placed in the lumbosacral area to elevate the posterior pelvis and slightly flex the thighs downward, thereby increasing the operative space in the pelvis.</w:t>
            </w:r>
            <w:r w:rsidRPr="00CB2EC4">
              <w:rPr>
                <w:rFonts w:ascii="Times New Roman" w:hAnsi="Times New Roman" w:cs="Times New Roman"/>
              </w:rPr>
              <w:br/>
            </w:r>
            <w:r w:rsidRPr="00CB2EC4">
              <w:rPr>
                <w:rFonts w:ascii="Times New Roman" w:hAnsi="Times New Roman" w:cs="Times New Roman"/>
              </w:rPr>
              <w:br/>
              <w:t>- **Trendelenburg supine position**: Employed in laparoscopic surgery to utilize gravity for displacing the small and large intestines upward, providing optimal exposure of the pelvis.</w:t>
            </w:r>
            <w:r w:rsidRPr="00CB2EC4">
              <w:rPr>
                <w:rFonts w:ascii="Times New Roman" w:hAnsi="Times New Roman" w:cs="Times New Roman"/>
              </w:rPr>
              <w:br/>
            </w:r>
            <w:r w:rsidRPr="00CB2EC4">
              <w:rPr>
                <w:rFonts w:ascii="Times New Roman" w:hAnsi="Times New Roman" w:cs="Times New Roman"/>
              </w:rPr>
              <w:br/>
              <w:t>- **Lithotomy position**: Used for exposure of the perineum, divided into high and low lithotomy positions. Footrests elevate the legs in the lithotomy position to facilitate surgical access; however, thigh flexion must not exceed 90 degrees to prevent femoral nerve and sciatic nerve injury. Soft padding should be placed under the legs to avoid compression.</w:t>
            </w:r>
            <w:r w:rsidRPr="00CB2EC4">
              <w:rPr>
                <w:rFonts w:ascii="Times New Roman" w:hAnsi="Times New Roman" w:cs="Times New Roman"/>
              </w:rPr>
              <w:br/>
            </w:r>
            <w:r w:rsidRPr="00CB2EC4">
              <w:rPr>
                <w:rFonts w:ascii="Times New Roman" w:hAnsi="Times New Roman" w:cs="Times New Roman"/>
              </w:rPr>
              <w:br/>
              <w:t>The document emphasizes that body position selection depends on the type of surgery and the patient’s physique, and improper positioning may lead to nerve injury or thrombosis.</w:t>
            </w:r>
            <w:r w:rsidRPr="00CB2EC4">
              <w:rPr>
                <w:rFonts w:ascii="Times New Roman" w:hAnsi="Times New Roman" w:cs="Times New Roman"/>
              </w:rPr>
              <w:br/>
            </w:r>
            <w:r w:rsidRPr="00CB2EC4">
              <w:rPr>
                <w:rFonts w:ascii="Times New Roman" w:hAnsi="Times New Roman" w:cs="Times New Roman"/>
              </w:rPr>
              <w:br/>
              <w:t>(References: Block No. 288, Block No. 503)</w:t>
            </w:r>
          </w:p>
        </w:tc>
        <w:tc>
          <w:tcPr>
            <w:tcW w:w="1152" w:type="dxa"/>
            <w:vAlign w:val="center"/>
          </w:tcPr>
          <w:p w14:paraId="12FF20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8F7B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75B7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382081" w14:textId="77777777">
        <w:tc>
          <w:tcPr>
            <w:tcW w:w="2160" w:type="dxa"/>
            <w:vAlign w:val="center"/>
          </w:tcPr>
          <w:p w14:paraId="410917F6"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4E8FF0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body positions for gynecological tumor </w:t>
            </w:r>
            <w:r w:rsidRPr="00CB2EC4">
              <w:rPr>
                <w:rFonts w:ascii="Times New Roman" w:hAnsi="Times New Roman" w:cs="Times New Roman"/>
              </w:rPr>
              <w:lastRenderedPageBreak/>
              <w:t xml:space="preserve">surgery include the following, with specific choices depending on the type of surgery and exposure requirements:  </w:t>
            </w:r>
            <w:r w:rsidRPr="00CB2EC4">
              <w:rPr>
                <w:rFonts w:ascii="Times New Roman" w:hAnsi="Times New Roman" w:cs="Times New Roman"/>
              </w:rPr>
              <w:br/>
              <w:t xml:space="preserve">- Supine position: This is the most commonly used position, suitable for abdominal surgeries (such as hysterectomy). The patient lies supine, with a sponge pad placed under the lumbosacral area to slightly elevate the pelvis and lower the thighs, thereby increasing the angle of the spine and pelvic inlet to facilitate deep pelvic manipulation (Fragment 10 and 11).  </w:t>
            </w:r>
            <w:r w:rsidRPr="00CB2EC4">
              <w:rPr>
                <w:rFonts w:ascii="Times New Roman" w:hAnsi="Times New Roman" w:cs="Times New Roman"/>
              </w:rPr>
              <w:br/>
              <w:t xml:space="preserve">- Trendelenburg supine position: Mainly used for laparoscopic surgery, utilizing gravity to displace the large and small intestines upward to optimize pelvic exposure (Fragment 10).  </w:t>
            </w:r>
            <w:r w:rsidRPr="00CB2EC4">
              <w:rPr>
                <w:rFonts w:ascii="Times New Roman" w:hAnsi="Times New Roman" w:cs="Times New Roman"/>
              </w:rPr>
              <w:br/>
              <w:t xml:space="preserve">- Lithotomy position: Frequently used for surgeries involving the pelvis or vagina (such as abdominoperineal resection). The patient’s legs are placed in stirrups and elevated at 30°, allowing the small intestine to fall toward the upper abdomen and provide adequate exposure (Fragment 16 and 25). In special cases, such as when an abdominoperineal resection is anticipated, this position is prioritized (Fragment 36).  </w:t>
            </w:r>
            <w:r w:rsidRPr="00CB2EC4">
              <w:rPr>
                <w:rFonts w:ascii="Times New Roman" w:hAnsi="Times New Roman" w:cs="Times New Roman"/>
              </w:rPr>
              <w:br/>
              <w:t>These positions are designed to optimize the surgical field and operative space, particularly important for obese patients (Fragment 10).</w:t>
            </w:r>
          </w:p>
        </w:tc>
        <w:tc>
          <w:tcPr>
            <w:tcW w:w="1152" w:type="dxa"/>
            <w:vAlign w:val="center"/>
          </w:tcPr>
          <w:p w14:paraId="498C6E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B6615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52CA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A31001" w14:textId="77777777">
        <w:tc>
          <w:tcPr>
            <w:tcW w:w="2160" w:type="dxa"/>
            <w:vAlign w:val="center"/>
          </w:tcPr>
          <w:p w14:paraId="5143D405"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229B7E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body positions for gynecological tumor surgery include supine, Trendelenburg, and lithotomy positions. the selection of body position aims primarily to provide adequate exposure of the surgical field and facilitate operative maneuvers, as detailed below:  </w:t>
            </w:r>
            <w:r w:rsidRPr="00CB2EC4">
              <w:rPr>
                <w:rFonts w:ascii="Times New Roman" w:hAnsi="Times New Roman" w:cs="Times New Roman"/>
              </w:rPr>
              <w:br/>
              <w:t xml:space="preserve">- supine position: routinely used for abdominal </w:t>
            </w:r>
            <w:r w:rsidRPr="00CB2EC4">
              <w:rPr>
                <w:rFonts w:ascii="Times New Roman" w:hAnsi="Times New Roman" w:cs="Times New Roman"/>
              </w:rPr>
              <w:lastRenderedPageBreak/>
              <w:t xml:space="preserve">surgeries (e.g., uterine or ovarian tumor resection). the patient lies flat with both iliac crests aligned above the mid-level of the operating table to expand the pelvic outlet, facilitating deep pelvic manipulation. for obese patients, a sponge pad may be placed under the lumbosacral region to elevate the posterior pelvis slightly and flex the thighs downward, thereby widening the pelvic inlet plane.  </w:t>
            </w:r>
            <w:r w:rsidRPr="00CB2EC4">
              <w:rPr>
                <w:rFonts w:ascii="Times New Roman" w:hAnsi="Times New Roman" w:cs="Times New Roman"/>
              </w:rPr>
              <w:br/>
              <w:t xml:space="preserve">- Trendelenburg position: mainly employed for laparoscopic surgery, utilizing gravity to displace the small and large intestines superiorly for optimal pelvic exposure. commonly used in minimally invasive surgery for ovarian cancer or endometrial cancer.  </w:t>
            </w:r>
            <w:r w:rsidRPr="00CB2EC4">
              <w:rPr>
                <w:rFonts w:ascii="Times New Roman" w:hAnsi="Times New Roman" w:cs="Times New Roman"/>
              </w:rPr>
              <w:br/>
              <w:t xml:space="preserve">- lithotomy position: indicated for procedures requiring perineal exposure (e.g., vaginal or cervical tumor resection). the foot supports allow height adjustment; however, hip flexion of the thighs should not exceed 90° to prevent femoral nerve and sciatic nerve injury. prolonged maintenance of this position may lead to iliac artery thrombosis.  </w:t>
            </w:r>
            <w:r w:rsidRPr="00CB2EC4">
              <w:rPr>
                <w:rFonts w:ascii="Times New Roman" w:hAnsi="Times New Roman" w:cs="Times New Roman"/>
              </w:rPr>
              <w:br/>
            </w:r>
            <w:r w:rsidRPr="00CB2EC4">
              <w:rPr>
                <w:rFonts w:ascii="Times New Roman" w:hAnsi="Times New Roman" w:cs="Times New Roman"/>
              </w:rPr>
              <w:br/>
              <w:t xml:space="preserve">considerations for body position selection: adjustments should be made based on patient physique (e.g., obesity), type of surgery (open vs. laparoscopic), and tumor location. improper positioning may result in nerve injury or circulatory compromise; intraoperative monitoring of lower limb pulses should be performed repeatedly.  </w:t>
            </w:r>
            <w:r w:rsidRPr="00CB2EC4">
              <w:rPr>
                <w:rFonts w:ascii="Times New Roman" w:hAnsi="Times New Roman" w:cs="Times New Roman"/>
              </w:rPr>
              <w:br/>
            </w:r>
            <w:r w:rsidRPr="00CB2EC4">
              <w:rPr>
                <w:rFonts w:ascii="Times New Roman" w:hAnsi="Times New Roman" w:cs="Times New Roman"/>
              </w:rPr>
              <w:br/>
              <w:t xml:space="preserve">information sources:  </w:t>
            </w:r>
            <w:r w:rsidRPr="00CB2EC4">
              <w:rPr>
                <w:rFonts w:ascii="Times New Roman" w:hAnsi="Times New Roman" w:cs="Times New Roman"/>
              </w:rPr>
              <w:br/>
              <w:t xml:space="preserve">- knowledge base document: provides detailed description of body position selection ("adequate exposure of the surgical field includes four key points: 1. appropriate positioning"), including specific </w:t>
            </w:r>
            <w:r w:rsidRPr="00CB2EC4">
              <w:rPr>
                <w:rFonts w:ascii="Times New Roman" w:hAnsi="Times New Roman" w:cs="Times New Roman"/>
              </w:rPr>
              <w:lastRenderedPageBreak/>
              <w:t xml:space="preserve">applications and risks of supine, Trendelenburg, and lithotomy positions (content block addresses the impact of positioning on surgical exposure).  </w:t>
            </w:r>
            <w:r w:rsidRPr="00CB2EC4">
              <w:rPr>
                <w:rFonts w:ascii="Times New Roman" w:hAnsi="Times New Roman" w:cs="Times New Roman"/>
              </w:rPr>
              <w:br/>
              <w:t>- web search results: no relevant information on body positions was provided and therefore not utilized.</w:t>
            </w:r>
          </w:p>
        </w:tc>
        <w:tc>
          <w:tcPr>
            <w:tcW w:w="1152" w:type="dxa"/>
            <w:vAlign w:val="center"/>
          </w:tcPr>
          <w:p w14:paraId="05801A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8323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F636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DBF0AD" w14:textId="77777777">
        <w:tc>
          <w:tcPr>
            <w:tcW w:w="2160" w:type="dxa"/>
            <w:vAlign w:val="center"/>
          </w:tcPr>
          <w:p w14:paraId="29A9C2C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70A2A3B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Common positions for gynecologic oncology surgeries include:  </w:t>
            </w:r>
            <w:r w:rsidRPr="00CB2EC4">
              <w:rPr>
                <w:rFonts w:ascii="Times New Roman" w:hAnsi="Times New Roman" w:cs="Times New Roman"/>
              </w:rPr>
              <w:br/>
              <w:t xml:space="preserve">- Supine position: Routinely used for transabdominal procedures, where the patient lies supine with both iliac crests parallel and extending beyond the upper half of the operating table to facilitate pelvic exposure.  </w:t>
            </w:r>
            <w:r w:rsidRPr="00CB2EC4">
              <w:rPr>
                <w:rFonts w:ascii="Times New Roman" w:hAnsi="Times New Roman" w:cs="Times New Roman"/>
              </w:rPr>
              <w:br/>
              <w:t xml:space="preserve">- Trendelenburg position: Employed in laparoscopic surgeries, utilizing gravity to shift the large and small intestines toward the upper abdomen, optimizing pelvic visualization.  </w:t>
            </w:r>
            <w:r w:rsidRPr="00CB2EC4">
              <w:rPr>
                <w:rFonts w:ascii="Times New Roman" w:hAnsi="Times New Roman" w:cs="Times New Roman"/>
              </w:rPr>
              <w:br/>
              <w:t xml:space="preserve">- Lithotomy position: Used for perineal procedures, categorized into high and low lithotomy positions to provide optimal perineal exposure; however, care must be taken to avoid hip flexion exceeding 90° to prevent nerve injury.  </w:t>
            </w:r>
            <w:r w:rsidRPr="00CB2EC4">
              <w:rPr>
                <w:rFonts w:ascii="Times New Roman" w:hAnsi="Times New Roman" w:cs="Times New Roman"/>
              </w:rPr>
              <w:br/>
              <w:t>These positioning strategies aim to maximize surgical field exposure, facilitate operative maneuvers, and minimize complications (e.g., nerve damage or thrombosis).</w:t>
            </w:r>
          </w:p>
        </w:tc>
        <w:tc>
          <w:tcPr>
            <w:tcW w:w="1152" w:type="dxa"/>
            <w:vAlign w:val="center"/>
          </w:tcPr>
          <w:p w14:paraId="2A6F5F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A6D8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CB5D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6BB6AC" w14:textId="77777777">
        <w:tc>
          <w:tcPr>
            <w:tcW w:w="2160" w:type="dxa"/>
            <w:vAlign w:val="center"/>
          </w:tcPr>
          <w:p w14:paraId="48ACE215"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B6A132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body positions for gynecological tumor surgery include:  </w:t>
            </w:r>
            <w:r w:rsidRPr="00CB2EC4">
              <w:rPr>
                <w:rFonts w:ascii="Times New Roman" w:hAnsi="Times New Roman" w:cs="Times New Roman"/>
              </w:rPr>
              <w:br/>
              <w:t xml:space="preserve">- Supine position: Routinely used for abdominal surgery; the patient lies flat with both iliac crests parallel and extending beyond the upper half of the operating table to expand the pelvis and facilitate pelvic manipulation.  </w:t>
            </w:r>
            <w:r w:rsidRPr="00CB2EC4">
              <w:rPr>
                <w:rFonts w:ascii="Times New Roman" w:hAnsi="Times New Roman" w:cs="Times New Roman"/>
              </w:rPr>
              <w:br/>
              <w:t xml:space="preserve">- Trendelenburg position: Used for laparoscopic surgery; gravity displaces the large and small </w:t>
            </w:r>
            <w:r w:rsidRPr="00CB2EC4">
              <w:rPr>
                <w:rFonts w:ascii="Times New Roman" w:hAnsi="Times New Roman" w:cs="Times New Roman"/>
              </w:rPr>
              <w:lastRenderedPageBreak/>
              <w:t xml:space="preserve">intestines upward to provide optimal pelvic exposure.  </w:t>
            </w:r>
            <w:r w:rsidRPr="00CB2EC4">
              <w:rPr>
                <w:rFonts w:ascii="Times New Roman" w:hAnsi="Times New Roman" w:cs="Times New Roman"/>
              </w:rPr>
              <w:br/>
              <w:t xml:space="preserve">- Lithotomy position: Used for perineal procedures, divided into high and low lithotomy; footrests facilitate perineal exposure; however, flexion of the thighs should not exceed 90° to prevent nerve injury, and legs should be padded with soft cloth to avoid compression.  </w:t>
            </w:r>
            <w:r w:rsidRPr="00CB2EC4">
              <w:rPr>
                <w:rFonts w:ascii="Times New Roman" w:hAnsi="Times New Roman" w:cs="Times New Roman"/>
              </w:rPr>
              <w:br/>
              <w:t>The choice of these positions depends on the type of surgery (e.g., abdominal, laparoscopic, or perineal) to ensure adequate surgical field exposure and minimize complications. The context does not mention other positions.</w:t>
            </w:r>
          </w:p>
        </w:tc>
        <w:tc>
          <w:tcPr>
            <w:tcW w:w="1152" w:type="dxa"/>
            <w:vAlign w:val="center"/>
          </w:tcPr>
          <w:p w14:paraId="1F6E6D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5D65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0329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07C0BD" w14:textId="77777777">
        <w:tc>
          <w:tcPr>
            <w:tcW w:w="2160" w:type="dxa"/>
            <w:vAlign w:val="center"/>
          </w:tcPr>
          <w:p w14:paraId="7F4BB4F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669F7FE" w14:textId="77777777" w:rsidR="00922249" w:rsidRPr="00CB2EC4" w:rsidRDefault="003011D5">
            <w:pPr>
              <w:rPr>
                <w:rFonts w:ascii="Times New Roman" w:hAnsi="Times New Roman" w:cs="Times New Roman"/>
              </w:rPr>
            </w:pPr>
            <w:r w:rsidRPr="00CB2EC4">
              <w:rPr>
                <w:rFonts w:ascii="Times New Roman" w:hAnsi="Times New Roman" w:cs="Times New Roman"/>
              </w:rPr>
              <w:t>the common body positions for gynecological oncology surgery include:</w:t>
            </w:r>
            <w:r w:rsidRPr="00CB2EC4">
              <w:rPr>
                <w:rFonts w:ascii="Times New Roman" w:hAnsi="Times New Roman" w:cs="Times New Roman"/>
              </w:rPr>
              <w:br/>
            </w:r>
            <w:r w:rsidRPr="00CB2EC4">
              <w:rPr>
                <w:rFonts w:ascii="Times New Roman" w:hAnsi="Times New Roman" w:cs="Times New Roman"/>
              </w:rPr>
              <w:br/>
              <w:t xml:space="preserve">1. Supine position (with lumbosacral elevation):  </w:t>
            </w:r>
            <w:r w:rsidRPr="00CB2EC4">
              <w:rPr>
                <w:rFonts w:ascii="Times New Roman" w:hAnsi="Times New Roman" w:cs="Times New Roman"/>
              </w:rPr>
              <w:br/>
              <w:t xml:space="preserve">   - Suitable for obese patients; a sponge pad or long pillow is placed under the lumbosacral area to elevate the pelvis posteriorly, slightly flex the thighs, widen the angle between the spine and the pelvic inlet, and facilitate deep pelvic manipulation (see [HyDE similarity: 0.587]).  </w:t>
            </w:r>
            <w:r w:rsidRPr="00CB2EC4">
              <w:rPr>
                <w:rFonts w:ascii="Times New Roman" w:hAnsi="Times New Roman" w:cs="Times New Roman"/>
              </w:rPr>
              <w:br/>
            </w:r>
            <w:r w:rsidRPr="00CB2EC4">
              <w:rPr>
                <w:rFonts w:ascii="Times New Roman" w:hAnsi="Times New Roman" w:cs="Times New Roman"/>
              </w:rPr>
              <w:br/>
              <w:t xml:space="preserve">2. Trendelenburg position (head-down supine):  </w:t>
            </w:r>
            <w:r w:rsidRPr="00CB2EC4">
              <w:rPr>
                <w:rFonts w:ascii="Times New Roman" w:hAnsi="Times New Roman" w:cs="Times New Roman"/>
              </w:rPr>
              <w:br/>
              <w:t xml:space="preserve">   - Used for laparoscopic surgery; gravity displaces the intestines upward, optimizing pelvic exposure (see [HyDE similarity: 0.587]).  </w:t>
            </w:r>
            <w:r w:rsidRPr="00CB2EC4">
              <w:rPr>
                <w:rFonts w:ascii="Times New Roman" w:hAnsi="Times New Roman" w:cs="Times New Roman"/>
              </w:rPr>
              <w:br/>
            </w:r>
            <w:r w:rsidRPr="00CB2EC4">
              <w:rPr>
                <w:rFonts w:ascii="Times New Roman" w:hAnsi="Times New Roman" w:cs="Times New Roman"/>
              </w:rPr>
              <w:br/>
              <w:t xml:space="preserve">3. Lithotomy position:  </w:t>
            </w:r>
            <w:r w:rsidRPr="00CB2EC4">
              <w:rPr>
                <w:rFonts w:ascii="Times New Roman" w:hAnsi="Times New Roman" w:cs="Times New Roman"/>
              </w:rPr>
              <w:br/>
              <w:t xml:space="preserve">   - Divided into high and low lithotomy, providing good perineal exposure (see [HyDE similarity: 0.587]).  </w:t>
            </w:r>
            <w:r w:rsidRPr="00CB2EC4">
              <w:rPr>
                <w:rFonts w:ascii="Times New Roman" w:hAnsi="Times New Roman" w:cs="Times New Roman"/>
              </w:rPr>
              <w:br/>
              <w:t xml:space="preserve">   - Precautions: Hip flexion should not exceed 90°, as this may compress the femoral nerve/sitibial nerve </w:t>
            </w:r>
            <w:r w:rsidRPr="00CB2EC4">
              <w:rPr>
                <w:rFonts w:ascii="Times New Roman" w:hAnsi="Times New Roman" w:cs="Times New Roman"/>
              </w:rPr>
              <w:lastRenderedPageBreak/>
              <w:t>(especially if maintained &gt;3–4 hours), and legs must not directly contact metal supports (soft padding required); intraoperative pulse and nerve compression checks should be performed repeatedly (see [HyDE similarity: 0.587]).</w:t>
            </w:r>
          </w:p>
        </w:tc>
        <w:tc>
          <w:tcPr>
            <w:tcW w:w="1152" w:type="dxa"/>
            <w:vAlign w:val="center"/>
          </w:tcPr>
          <w:p w14:paraId="7A5B8E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58181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5B56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778359" w14:textId="77777777">
        <w:tc>
          <w:tcPr>
            <w:tcW w:w="2160" w:type="dxa"/>
            <w:vAlign w:val="center"/>
          </w:tcPr>
          <w:p w14:paraId="177A1291"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126FA8D" w14:textId="77777777" w:rsidR="00922249" w:rsidRPr="00CB2EC4" w:rsidRDefault="003011D5">
            <w:pPr>
              <w:rPr>
                <w:rFonts w:ascii="Times New Roman" w:hAnsi="Times New Roman" w:cs="Times New Roman"/>
              </w:rPr>
            </w:pPr>
            <w:r w:rsidRPr="00CB2EC4">
              <w:rPr>
                <w:rFonts w:ascii="Times New Roman" w:hAnsi="Times New Roman" w:cs="Times New Roman"/>
              </w:rPr>
              <w:t>the common surgical positions for gynecological oncology procedures include:</w:t>
            </w:r>
            <w:r w:rsidRPr="00CB2EC4">
              <w:rPr>
                <w:rFonts w:ascii="Times New Roman" w:hAnsi="Times New Roman" w:cs="Times New Roman"/>
              </w:rPr>
              <w:br/>
              <w:t>- Supine position: Routinely used for abdominal surgeries; the patient lies flat with both iliac crests parallel and extending beyond the upper half of the operating table to expand the pelvis and facilitate pelvic manipulation.</w:t>
            </w:r>
            <w:r w:rsidRPr="00CB2EC4">
              <w:rPr>
                <w:rFonts w:ascii="Times New Roman" w:hAnsi="Times New Roman" w:cs="Times New Roman"/>
              </w:rPr>
              <w:br/>
              <w:t>- Trendelenburg position: Used for laparoscopic surgery; gravity shifts the small and large intestines upward to provide optimal pelvic exposure.</w:t>
            </w:r>
            <w:r w:rsidRPr="00CB2EC4">
              <w:rPr>
                <w:rFonts w:ascii="Times New Roman" w:hAnsi="Times New Roman" w:cs="Times New Roman"/>
              </w:rPr>
              <w:br/>
              <w:t>- Lithotomy position: Frequently used for perineal surgeries to achieve good exposure of the perineum; however, care must be taken to avoid hip flexion exceeding 90 degrees to prevent femoral and sciatic nerve injury, especially when the position is maintained for more than 3–4 hours.</w:t>
            </w:r>
            <w:r w:rsidRPr="00CB2EC4">
              <w:rPr>
                <w:rFonts w:ascii="Times New Roman" w:hAnsi="Times New Roman" w:cs="Times New Roman"/>
              </w:rPr>
              <w:br/>
              <w:t>Additionally, for obese patients, a sponge or long pillow may be placed under the lumbosacral area to increase the distance from the umbilicus to the pubis and enlarge the pelvic inlet, facilitating deep surgical access. These position choices aim to fully expose the operative field and minimize complications.</w:t>
            </w:r>
          </w:p>
        </w:tc>
        <w:tc>
          <w:tcPr>
            <w:tcW w:w="1152" w:type="dxa"/>
            <w:vAlign w:val="center"/>
          </w:tcPr>
          <w:p w14:paraId="0F66BD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3886A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7D92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50B883C" w14:textId="77777777">
        <w:tc>
          <w:tcPr>
            <w:tcW w:w="2160" w:type="dxa"/>
            <w:vAlign w:val="center"/>
          </w:tcPr>
          <w:p w14:paraId="6AF6B21D"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51BF900" w14:textId="77777777" w:rsidR="00922249" w:rsidRPr="00CB2EC4" w:rsidRDefault="003011D5">
            <w:pPr>
              <w:rPr>
                <w:rFonts w:ascii="Times New Roman" w:hAnsi="Times New Roman" w:cs="Times New Roman"/>
              </w:rPr>
            </w:pPr>
            <w:r w:rsidRPr="00CB2EC4">
              <w:rPr>
                <w:rFonts w:ascii="Times New Roman" w:hAnsi="Times New Roman" w:cs="Times New Roman"/>
              </w:rPr>
              <w:t>the common body positions for gynecological oncology surgery include:</w:t>
            </w:r>
            <w:r w:rsidRPr="00CB2EC4">
              <w:rPr>
                <w:rFonts w:ascii="Times New Roman" w:hAnsi="Times New Roman" w:cs="Times New Roman"/>
              </w:rPr>
              <w:br/>
            </w:r>
            <w:r w:rsidRPr="00CB2EC4">
              <w:rPr>
                <w:rFonts w:ascii="Times New Roman" w:hAnsi="Times New Roman" w:cs="Times New Roman"/>
              </w:rPr>
              <w:br/>
              <w:t xml:space="preserve">- Supine position: The standard abdominal surgery position, with both iliac crests aligned parallel to and extending beyond the upper half of the operating table </w:t>
            </w:r>
            <w:r w:rsidRPr="00CB2EC4">
              <w:rPr>
                <w:rFonts w:ascii="Times New Roman" w:hAnsi="Times New Roman" w:cs="Times New Roman"/>
              </w:rPr>
              <w:lastRenderedPageBreak/>
              <w:t>to expand the pelvis, facilitating exposure of the posterior abdomen (e.g., para-aortic lymph nodes).</w:t>
            </w:r>
            <w:r w:rsidRPr="00CB2EC4">
              <w:rPr>
                <w:rFonts w:ascii="Times New Roman" w:hAnsi="Times New Roman" w:cs="Times New Roman"/>
              </w:rPr>
              <w:br/>
              <w:t>- Lumbosacral elevation position: For obese patients or deep pelvic procedures, a sponge pad or long pillow is placed under the lumbosacral area to slightly elevate the posterior pelvis, increase hip flexion, widen the angle between the spine and pelvic inlet, lengthen the distance from the umbilicus to the pubis, and shallow the pelvic floor.</w:t>
            </w:r>
            <w:r w:rsidRPr="00CB2EC4">
              <w:rPr>
                <w:rFonts w:ascii="Times New Roman" w:hAnsi="Times New Roman" w:cs="Times New Roman"/>
              </w:rPr>
              <w:br/>
              <w:t>- Trendelenburg position (head-low supine): Used in laparoscopic surgery to leverage gravity for displacing bowel upward, optimizing pelvic exposure.</w:t>
            </w:r>
            <w:r w:rsidRPr="00CB2EC4">
              <w:rPr>
                <w:rFonts w:ascii="Times New Roman" w:hAnsi="Times New Roman" w:cs="Times New Roman"/>
              </w:rPr>
              <w:br/>
              <w:t>- Lithotomy position: Divided into high and low variants, used for transvaginal or perineal procedures. Care must be taken to avoid excessive hip flexion (&gt;90°) to prevent nerve injury, and legs should be padded with soft material to avoid compression.</w:t>
            </w:r>
          </w:p>
        </w:tc>
        <w:tc>
          <w:tcPr>
            <w:tcW w:w="1152" w:type="dxa"/>
            <w:vAlign w:val="center"/>
          </w:tcPr>
          <w:p w14:paraId="6D2C2F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1C56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29A0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4EC31F" w14:textId="77777777">
        <w:tc>
          <w:tcPr>
            <w:tcW w:w="2160" w:type="dxa"/>
            <w:vAlign w:val="center"/>
          </w:tcPr>
          <w:p w14:paraId="16762783"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DD6970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surgical positions for gynecological oncology procedures include the following three:  </w:t>
            </w:r>
            <w:r w:rsidRPr="00CB2EC4">
              <w:rPr>
                <w:rFonts w:ascii="Times New Roman" w:hAnsi="Times New Roman" w:cs="Times New Roman"/>
              </w:rPr>
              <w:br/>
              <w:t xml:space="preserve">1. Supine position: This is the standard position for abdominal surgery. When the patient is in the supine position, both iliac crests should be aligned above the midpoint of the operating table to expand the pelvic outlet. For obese patients, a sponge pad or long pillow may be placed under the lumbosacral area to slightly elevate the posterior pelvis and flex the thighs, thereby widening the spinal and pelvic inlet planes, lengthening the distance between the umbilicus and pubis, and facilitating deep pelvic manipulation (Source: Document Fragment 1).  </w:t>
            </w:r>
            <w:r w:rsidRPr="00CB2EC4">
              <w:rPr>
                <w:rFonts w:ascii="Times New Roman" w:hAnsi="Times New Roman" w:cs="Times New Roman"/>
              </w:rPr>
              <w:br/>
              <w:t xml:space="preserve">2. Trendelenburg position (head-down supine position): Primarily used for laparoscopic surgery to provide optimal pelvic exposure. Gravity displaces the small and large intestines upward from the pelvic </w:t>
            </w:r>
            <w:r w:rsidRPr="00CB2EC4">
              <w:rPr>
                <w:rFonts w:ascii="Times New Roman" w:hAnsi="Times New Roman" w:cs="Times New Roman"/>
              </w:rPr>
              <w:lastRenderedPageBreak/>
              <w:t xml:space="preserve">floor, improving the surgical field of view (Source: Document Fragment 1).  </w:t>
            </w:r>
            <w:r w:rsidRPr="00CB2EC4">
              <w:rPr>
                <w:rFonts w:ascii="Times New Roman" w:hAnsi="Times New Roman" w:cs="Times New Roman"/>
              </w:rPr>
              <w:br/>
              <w:t xml:space="preserve">3. Lithotomy position (bladder position): Applicable for surgeries requiring vaginal or abdominoperineal approaches (e.g., pelvic exenteration). This position allows simultaneous abdominal and perineal access (Source: Document Fragment 1 and 18).  </w:t>
            </w:r>
            <w:r w:rsidRPr="00CB2EC4">
              <w:rPr>
                <w:rFonts w:ascii="Times New Roman" w:hAnsi="Times New Roman" w:cs="Times New Roman"/>
              </w:rPr>
              <w:br/>
              <w:t>- Summary: These positions aim to fully expose the surgical field, reduce operative difficulty, and minimize the risk of complications.</w:t>
            </w:r>
          </w:p>
        </w:tc>
        <w:tc>
          <w:tcPr>
            <w:tcW w:w="1152" w:type="dxa"/>
            <w:vAlign w:val="center"/>
          </w:tcPr>
          <w:p w14:paraId="3C6CE6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8C86E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4D7A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AD7634" w14:textId="77777777">
        <w:tc>
          <w:tcPr>
            <w:tcW w:w="2160" w:type="dxa"/>
            <w:vAlign w:val="center"/>
          </w:tcPr>
          <w:p w14:paraId="3FA043D2"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25694AD" w14:textId="77777777" w:rsidR="00922249" w:rsidRPr="00CB2EC4" w:rsidRDefault="003011D5">
            <w:pPr>
              <w:rPr>
                <w:rFonts w:ascii="Times New Roman" w:hAnsi="Times New Roman" w:cs="Times New Roman"/>
              </w:rPr>
            </w:pPr>
            <w:r w:rsidRPr="00CB2EC4">
              <w:rPr>
                <w:rFonts w:ascii="Times New Roman" w:hAnsi="Times New Roman" w:cs="Times New Roman"/>
              </w:rPr>
              <w:t>the common body positions for gynecological tumor surgery include:</w:t>
            </w:r>
            <w:r w:rsidRPr="00CB2EC4">
              <w:rPr>
                <w:rFonts w:ascii="Times New Roman" w:hAnsi="Times New Roman" w:cs="Times New Roman"/>
              </w:rPr>
              <w:br/>
            </w:r>
            <w:r w:rsidRPr="00CB2EC4">
              <w:rPr>
                <w:rFonts w:ascii="Times New Roman" w:hAnsi="Times New Roman" w:cs="Times New Roman"/>
              </w:rPr>
              <w:br/>
              <w:t>- **Supine position**: The standard position for most abdominal surgeries; the patient lies flat with both iliac crests parallel and extending beyond the upper half of the operating table to expand the pelvis, facilitating pelvic manipulation.</w:t>
            </w:r>
            <w:r w:rsidRPr="00CB2EC4">
              <w:rPr>
                <w:rFonts w:ascii="Times New Roman" w:hAnsi="Times New Roman" w:cs="Times New Roman"/>
              </w:rPr>
              <w:br/>
              <w:t>- **Trendelenburg position (head-low supine)**: Used in laparoscopic surgery to provide optimal pelvic exposure; gravity shifts the small and large intestines upward, reducing interference with the pelvic cavity.</w:t>
            </w:r>
            <w:r w:rsidRPr="00CB2EC4">
              <w:rPr>
                <w:rFonts w:ascii="Times New Roman" w:hAnsi="Times New Roman" w:cs="Times New Roman"/>
              </w:rPr>
              <w:br/>
              <w:t>- **Lithotomy position**: Commonly used for perineal or vaginal surgeries to ensure good perineal exposure; divided into high and low lithotomy positions. Caution is required to avoid thigh flexion exceeding 90° to prevent nerve injury (e.g., femoral or sciatic nerve), and legs should be padded with soft cloth to avoid compression.</w:t>
            </w:r>
            <w:r w:rsidRPr="00CB2EC4">
              <w:rPr>
                <w:rFonts w:ascii="Times New Roman" w:hAnsi="Times New Roman" w:cs="Times New Roman"/>
              </w:rPr>
              <w:br/>
            </w:r>
            <w:r w:rsidRPr="00CB2EC4">
              <w:rPr>
                <w:rFonts w:ascii="Times New Roman" w:hAnsi="Times New Roman" w:cs="Times New Roman"/>
              </w:rPr>
              <w:br/>
              <w:t xml:space="preserve">Additionally, special adjustments are noted: for obese patients, a sponge pad or long pillow may be placed under the lumbosacral area to slightly elevate the </w:t>
            </w:r>
            <w:r w:rsidRPr="00CB2EC4">
              <w:rPr>
                <w:rFonts w:ascii="Times New Roman" w:hAnsi="Times New Roman" w:cs="Times New Roman"/>
              </w:rPr>
              <w:lastRenderedPageBreak/>
              <w:t>posterior pelvis and lower the thighs, thereby widening the pelvic inlet plane and increasing the distance from the umbilicus to the pubis, facilitating deep surgical manipulation.</w:t>
            </w:r>
            <w:r w:rsidRPr="00CB2EC4">
              <w:rPr>
                <w:rFonts w:ascii="Times New Roman" w:hAnsi="Times New Roman" w:cs="Times New Roman"/>
              </w:rPr>
              <w:br/>
            </w:r>
            <w:r w:rsidRPr="00CB2EC4">
              <w:rPr>
                <w:rFonts w:ascii="Times New Roman" w:hAnsi="Times New Roman" w:cs="Times New Roman"/>
              </w:rPr>
              <w:br/>
              <w:t>(Source: Document excerpt [Similarity: 0.467])</w:t>
            </w:r>
          </w:p>
        </w:tc>
        <w:tc>
          <w:tcPr>
            <w:tcW w:w="1152" w:type="dxa"/>
            <w:vAlign w:val="center"/>
          </w:tcPr>
          <w:p w14:paraId="4E926B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244C8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D1E0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5B7116" w14:textId="77777777">
        <w:tc>
          <w:tcPr>
            <w:tcW w:w="2160" w:type="dxa"/>
            <w:vAlign w:val="center"/>
          </w:tcPr>
          <w:p w14:paraId="0A9C6789"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D3CA08D" w14:textId="77777777" w:rsidR="00922249" w:rsidRPr="00CB2EC4" w:rsidRDefault="003011D5">
            <w:pPr>
              <w:rPr>
                <w:rFonts w:ascii="Times New Roman" w:hAnsi="Times New Roman" w:cs="Times New Roman"/>
              </w:rPr>
            </w:pPr>
            <w:r w:rsidRPr="00CB2EC4">
              <w:rPr>
                <w:rFonts w:ascii="Times New Roman" w:hAnsi="Times New Roman" w:cs="Times New Roman"/>
              </w:rPr>
              <w:t>the common surgical positions for gynecological oncology include:</w:t>
            </w:r>
            <w:r w:rsidRPr="00CB2EC4">
              <w:rPr>
                <w:rFonts w:ascii="Times New Roman" w:hAnsi="Times New Roman" w:cs="Times New Roman"/>
              </w:rPr>
              <w:br/>
              <w:t>- Supine position: Routinely used for abdominal surgeries. A sponge or long pillow placed under the lumbosacral area elevates the posterior pelvis, slightly flexes the thighs, widens the spinal and pelvic inlet planes, increases the distance between the umbilicus and pubis, and flattens the pelvic floor to facilitate deep pelvic manipulation.</w:t>
            </w:r>
            <w:r w:rsidRPr="00CB2EC4">
              <w:rPr>
                <w:rFonts w:ascii="Times New Roman" w:hAnsi="Times New Roman" w:cs="Times New Roman"/>
              </w:rPr>
              <w:br/>
              <w:t>- Trendelenburg supine position: Frequently employed in laparoscopic surgery. Gravity displaces the large and small intestines from the pelvic floor to the upper abdomen, providing optimal pelvic exposure.</w:t>
            </w:r>
            <w:r w:rsidRPr="00CB2EC4">
              <w:rPr>
                <w:rFonts w:ascii="Times New Roman" w:hAnsi="Times New Roman" w:cs="Times New Roman"/>
              </w:rPr>
              <w:br/>
              <w:t>- Lithotomy position: Divided into high and low lithotomy positions. Commonly used for surgeries requiring good perineal exposure (e.g., vaginal or perineal procedures). Excessive thigh flexion beyond 90° must be avoided to prevent nerve injury or thrombus formation.</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09E81A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84927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82E3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7ADB36" w14:textId="77777777">
        <w:tc>
          <w:tcPr>
            <w:tcW w:w="2160" w:type="dxa"/>
            <w:vAlign w:val="center"/>
          </w:tcPr>
          <w:p w14:paraId="480E4470"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66468A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surgical positions for gynecological oncology procedures include the following three:  </w:t>
            </w:r>
            <w:r w:rsidRPr="00CB2EC4">
              <w:rPr>
                <w:rFonts w:ascii="Times New Roman" w:hAnsi="Times New Roman" w:cs="Times New Roman"/>
              </w:rPr>
              <w:br/>
              <w:t xml:space="preserve">1. Supine position: This is the standard position used for most gynecological tumor surgeries performed via the abdominal approach. For obese patients, a sponge pad or long pillow may be placed under the </w:t>
            </w:r>
            <w:r w:rsidRPr="00CB2EC4">
              <w:rPr>
                <w:rFonts w:ascii="Times New Roman" w:hAnsi="Times New Roman" w:cs="Times New Roman"/>
              </w:rPr>
              <w:lastRenderedPageBreak/>
              <w:t xml:space="preserve">lumbosacral region to elevate the posterior pelvis and slightly flex the thighs, thereby widening the spinal and pelvic inlet planes and facilitating deep pelvic manipulation.  </w:t>
            </w:r>
            <w:r w:rsidRPr="00CB2EC4">
              <w:rPr>
                <w:rFonts w:ascii="Times New Roman" w:hAnsi="Times New Roman" w:cs="Times New Roman"/>
              </w:rPr>
              <w:br/>
              <w:t xml:space="preserve">2. Trendelenburg supine position: Primarily used for laparoscopic surgery, where gravity displaces the large and small intestines from the pelvic floor to the upper abdomen, providing optimal pelvic exposure.  </w:t>
            </w:r>
            <w:r w:rsidRPr="00CB2EC4">
              <w:rPr>
                <w:rFonts w:ascii="Times New Roman" w:hAnsi="Times New Roman" w:cs="Times New Roman"/>
              </w:rPr>
              <w:br/>
              <w:t xml:space="preserve">3. Lithotomy position: Frequently employed for surgeries requiring good perineal exposure (e.g., procedures involving the vagina or vulva). The footrest allows adjustment of the lithotomy height, but care must be taken to avoid thigh flexion exceeding 90° to prevent femoral nerve, sciatic nerve injury, or iliac artery thrombosis. Legs should be padded with soft cloth to avoid compression.  </w:t>
            </w:r>
            <w:r w:rsidRPr="00CB2EC4">
              <w:rPr>
                <w:rFonts w:ascii="Times New Roman" w:hAnsi="Times New Roman" w:cs="Times New Roman"/>
              </w:rPr>
              <w:br/>
              <w:t>Source reference: Relevant Segment 2 (from original block 286-288) details position selection as one of the key points for "adequate exposure of the surgical field."</w:t>
            </w:r>
          </w:p>
        </w:tc>
        <w:tc>
          <w:tcPr>
            <w:tcW w:w="1152" w:type="dxa"/>
            <w:vAlign w:val="center"/>
          </w:tcPr>
          <w:p w14:paraId="350FEB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C741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2535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0B136A" w14:textId="77777777">
        <w:tc>
          <w:tcPr>
            <w:tcW w:w="2160" w:type="dxa"/>
            <w:vAlign w:val="center"/>
          </w:tcPr>
          <w:p w14:paraId="5F38736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3B0B0AE" w14:textId="77777777" w:rsidR="00922249" w:rsidRPr="00CB2EC4" w:rsidRDefault="003011D5">
            <w:pPr>
              <w:rPr>
                <w:rFonts w:ascii="Times New Roman" w:hAnsi="Times New Roman" w:cs="Times New Roman"/>
              </w:rPr>
            </w:pPr>
            <w:r w:rsidRPr="00CB2EC4">
              <w:rPr>
                <w:rFonts w:ascii="Times New Roman" w:hAnsi="Times New Roman" w:cs="Times New Roman"/>
              </w:rPr>
              <w:t>the common surgical positions for gynecologic oncology procedures include:</w:t>
            </w:r>
            <w:r w:rsidRPr="00CB2EC4">
              <w:rPr>
                <w:rFonts w:ascii="Times New Roman" w:hAnsi="Times New Roman" w:cs="Times New Roman"/>
              </w:rPr>
              <w:br/>
              <w:t xml:space="preserve">  - Supine position: Used for open abdominal surgeries (e.g., total hysterectomy), with the patient lying flat and both lower limbs extended.</w:t>
            </w:r>
            <w:r w:rsidRPr="00CB2EC4">
              <w:rPr>
                <w:rFonts w:ascii="Times New Roman" w:hAnsi="Times New Roman" w:cs="Times New Roman"/>
              </w:rPr>
              <w:br/>
              <w:t xml:space="preserve">  - Lithotomy position: Used for laparoscopic or vaginal surgeries (e.g., radical hysterectomy), with the patient supine, hips and knees flexed, and both lower limbs placed in stirrups.</w:t>
            </w:r>
            <w:r w:rsidRPr="00CB2EC4">
              <w:rPr>
                <w:rFonts w:ascii="Times New Roman" w:hAnsi="Times New Roman" w:cs="Times New Roman"/>
              </w:rPr>
              <w:br/>
              <w:t xml:space="preserve">  - Modified lithotomy position: Combines supine and lithotomy positions, used for surgeries requiring simultaneous abdominal and perineal access (e.g., pelvic lymphadenectomy).</w:t>
            </w:r>
            <w:r w:rsidRPr="00CB2EC4">
              <w:rPr>
                <w:rFonts w:ascii="Times New Roman" w:hAnsi="Times New Roman" w:cs="Times New Roman"/>
              </w:rPr>
              <w:br/>
              <w:t xml:space="preserve">  - Prone position: Occasionally used for specific </w:t>
            </w:r>
            <w:r w:rsidRPr="00CB2EC4">
              <w:rPr>
                <w:rFonts w:ascii="Times New Roman" w:hAnsi="Times New Roman" w:cs="Times New Roman"/>
              </w:rPr>
              <w:lastRenderedPageBreak/>
              <w:t>tumor resections (e.g., presacral tumor removal), but less common.</w:t>
            </w:r>
            <w:r w:rsidRPr="00CB2EC4">
              <w:rPr>
                <w:rFonts w:ascii="Times New Roman" w:hAnsi="Times New Roman" w:cs="Times New Roman"/>
              </w:rPr>
              <w:br/>
              <w:t xml:space="preserve">  Literature indicates that position selection must be adjusted based on surgery type, tumor location, and patient factors (e.g., obesity) to optimize surgical exposure and minimize complications.</w:t>
            </w:r>
          </w:p>
        </w:tc>
        <w:tc>
          <w:tcPr>
            <w:tcW w:w="1152" w:type="dxa"/>
            <w:vAlign w:val="center"/>
          </w:tcPr>
          <w:p w14:paraId="7C76D0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533A2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8F1DF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0EE53AF" w14:textId="77777777">
        <w:tc>
          <w:tcPr>
            <w:tcW w:w="10656" w:type="dxa"/>
            <w:gridSpan w:val="5"/>
            <w:tcBorders>
              <w:bottom w:val="single" w:sz="6" w:space="0" w:color="auto"/>
            </w:tcBorders>
            <w:vAlign w:val="center"/>
          </w:tcPr>
          <w:p w14:paraId="0DF4BC74"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133: What laboratory tests should be performed before gynecologic oncology surgery? How should abnormal results be managed?</w:t>
            </w:r>
          </w:p>
        </w:tc>
      </w:tr>
      <w:tr w:rsidR="00922249" w:rsidRPr="00CB2EC4" w14:paraId="1D0942F9" w14:textId="77777777">
        <w:tc>
          <w:tcPr>
            <w:tcW w:w="2160" w:type="dxa"/>
            <w:vAlign w:val="center"/>
          </w:tcPr>
          <w:p w14:paraId="520D1420"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AC9E844"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0EE059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FD3E4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EE908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CDFA648" w14:textId="77777777">
        <w:tc>
          <w:tcPr>
            <w:tcW w:w="2160" w:type="dxa"/>
            <w:vAlign w:val="center"/>
          </w:tcPr>
          <w:p w14:paraId="075B0521"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9E07F15" w14:textId="77777777" w:rsidR="00922249" w:rsidRPr="00CB2EC4" w:rsidRDefault="003011D5">
            <w:pPr>
              <w:rPr>
                <w:rFonts w:ascii="Times New Roman" w:hAnsi="Times New Roman" w:cs="Times New Roman"/>
              </w:rPr>
            </w:pPr>
            <w:r w:rsidRPr="00CB2EC4">
              <w:rPr>
                <w:rFonts w:ascii="Times New Roman" w:hAnsi="Times New Roman" w:cs="Times New Roman"/>
              </w:rPr>
              <w:t>what laboratory tests should be performed before gynecological tumor surgery? how should abnormal indicators be managed?</w:t>
            </w:r>
            <w:r w:rsidRPr="00CB2EC4">
              <w:rPr>
                <w:rFonts w:ascii="Times New Roman" w:hAnsi="Times New Roman" w:cs="Times New Roman"/>
              </w:rPr>
              <w:br/>
            </w:r>
            <w:r w:rsidRPr="00CB2EC4">
              <w:rPr>
                <w:rFonts w:ascii="Times New Roman" w:hAnsi="Times New Roman" w:cs="Times New Roman"/>
              </w:rPr>
              <w:br/>
              <w:t xml:space="preserve">according to document excerpts (block 856, topic: contraindications and preoperative assessment for cervical cancer surgery; block 304, topic: key points of preoperative endocrine evaluation in gynecology), preoperative laboratory tests include:  </w:t>
            </w:r>
            <w:r w:rsidRPr="00CB2EC4">
              <w:rPr>
                <w:rFonts w:ascii="Times New Roman" w:hAnsi="Times New Roman" w:cs="Times New Roman"/>
              </w:rPr>
              <w:br/>
              <w:t xml:space="preserve">- routine tests: complete blood count, urinalysis, stool routine, blood biochemistry (electrolytes, liver and kidney function), coagulation function, cardiac function (electrocardiogram), pulmonary function (blood gas analysis).  </w:t>
            </w:r>
            <w:r w:rsidRPr="00CB2EC4">
              <w:rPr>
                <w:rFonts w:ascii="Times New Roman" w:hAnsi="Times New Roman" w:cs="Times New Roman"/>
              </w:rPr>
              <w:br/>
              <w:t xml:space="preserve">- specific tests: chest x-ray (to exclude pleural or mediastinal metastasis); lymphangiography, ct, mri, or pet as needed (to exclude occult lesions); cystoscopy and intravenous pyelogram if bladder involvement is suspected; fiberoptic colonoscopy or barium meal if rectal involvement is suspected.  </w:t>
            </w:r>
            <w:r w:rsidRPr="00CB2EC4">
              <w:rPr>
                <w:rFonts w:ascii="Times New Roman" w:hAnsi="Times New Roman" w:cs="Times New Roman"/>
              </w:rPr>
              <w:br/>
              <w:t xml:space="preserve">- endocrine-related tests: blood glucose, urine glucose (especially in diabetic patients); thyroid function tests if thyroid disease is present.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management of abnormal indicators:  </w:t>
            </w:r>
            <w:r w:rsidRPr="00CB2EC4">
              <w:rPr>
                <w:rFonts w:ascii="Times New Roman" w:hAnsi="Times New Roman" w:cs="Times New Roman"/>
              </w:rPr>
              <w:br/>
              <w:t xml:space="preserve">- anemia or low serum albumin: transfuse to correct hemoglobin, supplement protein (e.g., via hyperalimentation), maintain blood volume.  </w:t>
            </w:r>
            <w:r w:rsidRPr="00CB2EC4">
              <w:rPr>
                <w:rFonts w:ascii="Times New Roman" w:hAnsi="Times New Roman" w:cs="Times New Roman"/>
              </w:rPr>
              <w:br/>
              <w:t xml:space="preserve">- hyperglycemia: when blood glucose &gt;13.9 mmol/l, treat with short-acting insulin, target blood glucose &lt;2.8 mmol/l; postpone surgery in cases with ketoacidosis.  </w:t>
            </w:r>
            <w:r w:rsidRPr="00CB2EC4">
              <w:rPr>
                <w:rFonts w:ascii="Times New Roman" w:hAnsi="Times New Roman" w:cs="Times New Roman"/>
              </w:rPr>
              <w:br/>
              <w:t xml:space="preserve">- electrolyte imbalance: for hypokalemia (blood potassium &lt;3.5 mmol/l), administer oral 10% potassium chloride solution 10–20 ml three times daily; for hyponatremia, restore normal salt intake.  </w:t>
            </w:r>
            <w:r w:rsidRPr="00CB2EC4">
              <w:rPr>
                <w:rFonts w:ascii="Times New Roman" w:hAnsi="Times New Roman" w:cs="Times New Roman"/>
              </w:rPr>
              <w:br/>
              <w:t xml:space="preserve">- malnutrition: provide total parenteral nutrition (tpn) or gastric feeding preoperatively to improve metabolic status.  </w:t>
            </w:r>
            <w:r w:rsidRPr="00CB2EC4">
              <w:rPr>
                <w:rFonts w:ascii="Times New Roman" w:hAnsi="Times New Roman" w:cs="Times New Roman"/>
              </w:rPr>
              <w:br/>
              <w:t xml:space="preserve">- coagulation abnormalities: adjust anticoagulants, maintain coagulation time at 15–25 minutes (tube method).  </w:t>
            </w:r>
            <w:r w:rsidRPr="00CB2EC4">
              <w:rPr>
                <w:rFonts w:ascii="Times New Roman" w:hAnsi="Times New Roman" w:cs="Times New Roman"/>
              </w:rPr>
              <w:br/>
              <w:t xml:space="preserve">the document emphasizes that abnormal indicators must be corrected preoperatively to reduce surgical risk.  </w:t>
            </w:r>
            <w:r w:rsidRPr="00CB2EC4">
              <w:rPr>
                <w:rFonts w:ascii="Times New Roman" w:hAnsi="Times New Roman" w:cs="Times New Roman"/>
              </w:rPr>
              <w:br/>
              <w:t>(referenced from document blocks: 856, 304)</w:t>
            </w:r>
          </w:p>
        </w:tc>
        <w:tc>
          <w:tcPr>
            <w:tcW w:w="1152" w:type="dxa"/>
            <w:vAlign w:val="center"/>
          </w:tcPr>
          <w:p w14:paraId="447816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DF1FC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7798B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480A9B8" w14:textId="77777777">
        <w:tc>
          <w:tcPr>
            <w:tcW w:w="2160" w:type="dxa"/>
            <w:vAlign w:val="center"/>
          </w:tcPr>
          <w:p w14:paraId="5AFB136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D249BB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Laboratory tests required before gynecological tumor surgery:  </w:t>
            </w:r>
            <w:r w:rsidRPr="00CB2EC4">
              <w:rPr>
                <w:rFonts w:ascii="Times New Roman" w:hAnsi="Times New Roman" w:cs="Times New Roman"/>
              </w:rPr>
              <w:br/>
              <w:t xml:space="preserve">  - Complete blood count (CBC): Includes hemoglobin (Hb), hematocrit (H/H), white blood cell count, and platelet count. All female patients should undergo this test to screen for anemia (e.g., iron-deficiency anemia) or occult disease (Fragment 13).  </w:t>
            </w:r>
            <w:r w:rsidRPr="00CB2EC4">
              <w:rPr>
                <w:rFonts w:ascii="Times New Roman" w:hAnsi="Times New Roman" w:cs="Times New Roman"/>
              </w:rPr>
              <w:br/>
              <w:t xml:space="preserve">  - Renal function tests: Includes serum creatinine and blood urea nitrogen. A comprehensive evaluation is required when creatinine ≥ 221 μmol/L; urinalysis is also essential, especially for patients with urinary system symptoms (Fragment 9).  </w:t>
            </w:r>
            <w:r w:rsidRPr="00CB2EC4">
              <w:rPr>
                <w:rFonts w:ascii="Times New Roman" w:hAnsi="Times New Roman" w:cs="Times New Roman"/>
              </w:rPr>
              <w:br/>
            </w:r>
            <w:r w:rsidRPr="00CB2EC4">
              <w:rPr>
                <w:rFonts w:ascii="Times New Roman" w:hAnsi="Times New Roman" w:cs="Times New Roman"/>
              </w:rPr>
              <w:lastRenderedPageBreak/>
              <w:t xml:space="preserve">  - Electrolyte tests: Includes serum sodium, potassium, calcium, etc. The lower limit for serum potassium is 3.5 mmol/L; serum sodium below 120 mmol/L requires preoperative correction (Fragment 9).  </w:t>
            </w:r>
            <w:r w:rsidRPr="00CB2EC4">
              <w:rPr>
                <w:rFonts w:ascii="Times New Roman" w:hAnsi="Times New Roman" w:cs="Times New Roman"/>
              </w:rPr>
              <w:br/>
              <w:t xml:space="preserve">  - Coagulation function tests: Includes PT (prothrombin time) and APTT (activated partial thromboplastin time). Approximately 1.9%-3.4% of gynecological tumor patients have coagulation abnormalities; high-risk patients (e.g., those with a bleeding history) must be tested (Fragment 9).  </w:t>
            </w:r>
            <w:r w:rsidRPr="00CB2EC4">
              <w:rPr>
                <w:rFonts w:ascii="Times New Roman" w:hAnsi="Times New Roman" w:cs="Times New Roman"/>
              </w:rPr>
              <w:br/>
              <w:t xml:space="preserve">  - Nutritional status assessment: Includes plasma protein, total iron-binding capacity, total lymphocyte count, etc., to identify nutritional deficiencies (Fragment 9).  </w:t>
            </w:r>
            <w:r w:rsidRPr="00CB2EC4">
              <w:rPr>
                <w:rFonts w:ascii="Times New Roman" w:hAnsi="Times New Roman" w:cs="Times New Roman"/>
              </w:rPr>
              <w:br/>
              <w:t xml:space="preserve">  - Situation-specific tests: Diabetic patients require blood glucose, urine glucose, and blood gas analysis (Fragment 19); anemic patients require hemoglobin electrophoresis to exclude thalassemia (Fragment 13).  </w:t>
            </w:r>
            <w:r w:rsidRPr="00CB2EC4">
              <w:rPr>
                <w:rFonts w:ascii="Times New Roman" w:hAnsi="Times New Roman" w:cs="Times New Roman"/>
              </w:rPr>
              <w:br/>
              <w:t xml:space="preserve">- Management of abnormal indicators:  </w:t>
            </w:r>
            <w:r w:rsidRPr="00CB2EC4">
              <w:rPr>
                <w:rFonts w:ascii="Times New Roman" w:hAnsi="Times New Roman" w:cs="Times New Roman"/>
              </w:rPr>
              <w:br/>
              <w:t xml:space="preserve">  - Anemia (Hb &lt; 80 g/L): Preoperative blood transfusion and consultation with internal medicine and anesthesiology (Fragment 13). The transfusion goal is to raise Hb above 80 g/L (Fragment 30).  </w:t>
            </w:r>
            <w:r w:rsidRPr="00CB2EC4">
              <w:rPr>
                <w:rFonts w:ascii="Times New Roman" w:hAnsi="Times New Roman" w:cs="Times New Roman"/>
              </w:rPr>
              <w:br/>
              <w:t xml:space="preserve">  - Electrolyte abnormalities: If serum potassium &lt; 3.3 mmol/L or &gt; 5.0 mmol/L, the cause must be identified and surgery postponed; hyponatremia (&lt;120 mmol/L) requires preoperative correction (Fragment 9).  </w:t>
            </w:r>
            <w:r w:rsidRPr="00CB2EC4">
              <w:rPr>
                <w:rFonts w:ascii="Times New Roman" w:hAnsi="Times New Roman" w:cs="Times New Roman"/>
              </w:rPr>
              <w:br/>
              <w:t xml:space="preserve">  - Coagulation abnormalities: Require further investigation and management to ensure coagulation function is within safe limits (Fragment 9).  </w:t>
            </w:r>
            <w:r w:rsidRPr="00CB2EC4">
              <w:rPr>
                <w:rFonts w:ascii="Times New Roman" w:hAnsi="Times New Roman" w:cs="Times New Roman"/>
              </w:rPr>
              <w:br/>
              <w:t xml:space="preserve">  - Renal function abnormalities: Elevated creatinine necessitates comprehensive renal function evaluation; abnormal urinalysis (e.g., positive bacteria) requires </w:t>
            </w:r>
            <w:r w:rsidRPr="00CB2EC4">
              <w:rPr>
                <w:rFonts w:ascii="Times New Roman" w:hAnsi="Times New Roman" w:cs="Times New Roman"/>
              </w:rPr>
              <w:lastRenderedPageBreak/>
              <w:t xml:space="preserve">treatment (Fragment 9).  </w:t>
            </w:r>
            <w:r w:rsidRPr="00CB2EC4">
              <w:rPr>
                <w:rFonts w:ascii="Times New Roman" w:hAnsi="Times New Roman" w:cs="Times New Roman"/>
              </w:rPr>
              <w:br/>
              <w:t xml:space="preserve">  - Hyperglycemia (&gt;13.9 mmol/L): Use short-acting insulin to control blood glucose to &lt;13.9 mmol/L and correct acidosis; diabetic ketoacidosis requires deferring surgery (Fragment 19).  </w:t>
            </w:r>
            <w:r w:rsidRPr="00CB2EC4">
              <w:rPr>
                <w:rFonts w:ascii="Times New Roman" w:hAnsi="Times New Roman" w:cs="Times New Roman"/>
              </w:rPr>
              <w:br/>
            </w:r>
            <w:r w:rsidRPr="00CB2EC4">
              <w:rPr>
                <w:rFonts w:ascii="Times New Roman" w:hAnsi="Times New Roman" w:cs="Times New Roman"/>
              </w:rPr>
              <w:br/>
              <w:t>The document does not specify handling for other indicators (e.g., liver function), so based on the provided fragments, the above management covers major abnormalities.</w:t>
            </w:r>
          </w:p>
        </w:tc>
        <w:tc>
          <w:tcPr>
            <w:tcW w:w="1152" w:type="dxa"/>
            <w:vAlign w:val="center"/>
          </w:tcPr>
          <w:p w14:paraId="30762C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08A51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74FF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51A4EB6" w14:textId="77777777">
        <w:tc>
          <w:tcPr>
            <w:tcW w:w="2160" w:type="dxa"/>
            <w:vAlign w:val="center"/>
          </w:tcPr>
          <w:p w14:paraId="16FBE1F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5817BC2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preoperative laboratory tests for gynecological oncology surgery:  </w:t>
            </w:r>
            <w:r w:rsidRPr="00CB2EC4">
              <w:rPr>
                <w:rFonts w:ascii="Times New Roman" w:hAnsi="Times New Roman" w:cs="Times New Roman"/>
              </w:rPr>
              <w:br/>
              <w:t xml:space="preserve">- Complete blood count (CBC): including hemoglobin, white blood cell count, and platelets, to assess anemia, infection, or bleeding tendency.  </w:t>
            </w:r>
            <w:r w:rsidRPr="00CB2EC4">
              <w:rPr>
                <w:rFonts w:ascii="Times New Roman" w:hAnsi="Times New Roman" w:cs="Times New Roman"/>
              </w:rPr>
              <w:br/>
              <w:t xml:space="preserve">- Urinalysis: to detect glucosuria, proteinuria, etc., for screening urinary system diseases.  </w:t>
            </w:r>
            <w:r w:rsidRPr="00CB2EC4">
              <w:rPr>
                <w:rFonts w:ascii="Times New Roman" w:hAnsi="Times New Roman" w:cs="Times New Roman"/>
              </w:rPr>
              <w:br/>
              <w:t xml:space="preserve">- Blood biochemistry: including glucose, electrolytes (e.g., potassium, sodium), blood urea nitrogen (BUN), serum creatinine, liver function (e.g., transaminases), to evaluate metabolic and organ function.  </w:t>
            </w:r>
            <w:r w:rsidRPr="00CB2EC4">
              <w:rPr>
                <w:rFonts w:ascii="Times New Roman" w:hAnsi="Times New Roman" w:cs="Times New Roman"/>
              </w:rPr>
              <w:br/>
              <w:t xml:space="preserve">- Coagulation profile: such as prothrombin time (PT) and activated partial thromboplastin time (APTT), to prevent intraoperative bleeding.  </w:t>
            </w:r>
            <w:r w:rsidRPr="00CB2EC4">
              <w:rPr>
                <w:rFonts w:ascii="Times New Roman" w:hAnsi="Times New Roman" w:cs="Times New Roman"/>
              </w:rPr>
              <w:br/>
              <w:t xml:space="preserve">- Infectious disease screening: including hepatitis B, hepatitis C, HIV, especially in surgeries involving blood exposure.  </w:t>
            </w:r>
            <w:r w:rsidRPr="00CB2EC4">
              <w:rPr>
                <w:rFonts w:ascii="Times New Roman" w:hAnsi="Times New Roman" w:cs="Times New Roman"/>
              </w:rPr>
              <w:br/>
              <w:t xml:space="preserve">- Other targeted tests: based on comorbidities, e.g., for endocrine diseases (diabetes), add glycated hemoglobin (HbA1c); for cardiovascular diseases, add electrocardiogram (ECG) and echocardiography.  </w:t>
            </w:r>
            <w:r w:rsidRPr="00CB2EC4">
              <w:rPr>
                <w:rFonts w:ascii="Times New Roman" w:hAnsi="Times New Roman" w:cs="Times New Roman"/>
              </w:rPr>
              <w:br/>
            </w:r>
            <w:r w:rsidRPr="00CB2EC4">
              <w:rPr>
                <w:rFonts w:ascii="Times New Roman" w:hAnsi="Times New Roman" w:cs="Times New Roman"/>
              </w:rPr>
              <w:br/>
              <w:t xml:space="preserve">management of abnormal indicators:  </w:t>
            </w:r>
            <w:r w:rsidRPr="00CB2EC4">
              <w:rPr>
                <w:rFonts w:ascii="Times New Roman" w:hAnsi="Times New Roman" w:cs="Times New Roman"/>
              </w:rPr>
              <w:br/>
              <w:t xml:space="preserve">- Anemia (low hemoglobin): correct preoperatively </w:t>
            </w:r>
            <w:r w:rsidRPr="00CB2EC4">
              <w:rPr>
                <w:rFonts w:ascii="Times New Roman" w:hAnsi="Times New Roman" w:cs="Times New Roman"/>
              </w:rPr>
              <w:lastRenderedPageBreak/>
              <w:t xml:space="preserve">with iron supplementation or blood transfusion, aiming for hemoglobin &gt;10 g/dL to improve oxygenation and reduce intraoperative transfusion needs.  </w:t>
            </w:r>
            <w:r w:rsidRPr="00CB2EC4">
              <w:rPr>
                <w:rFonts w:ascii="Times New Roman" w:hAnsi="Times New Roman" w:cs="Times New Roman"/>
              </w:rPr>
              <w:br/>
              <w:t xml:space="preserve">- Electrolyte imbalance (e.g., hypokalemia): supplement potassium orally or intravenously (e.g., 10% potassium chloride solution 10–20 ml three times daily), targeting serum potassium &gt;3.5 mmol/L to prevent arrhythmias.  </w:t>
            </w:r>
            <w:r w:rsidRPr="00CB2EC4">
              <w:rPr>
                <w:rFonts w:ascii="Times New Roman" w:hAnsi="Times New Roman" w:cs="Times New Roman"/>
              </w:rPr>
              <w:br/>
              <w:t xml:space="preserve">- Hyperglycemia or diabetes: achieve stable glucose levels (fasting glucose &lt;7 mmol/L) through dietary control or insulin adjustment, with preoperative monitoring to avoid ketoacidosis.  </w:t>
            </w:r>
            <w:r w:rsidRPr="00CB2EC4">
              <w:rPr>
                <w:rFonts w:ascii="Times New Roman" w:hAnsi="Times New Roman" w:cs="Times New Roman"/>
              </w:rPr>
              <w:br/>
              <w:t xml:space="preserve">- Renal dysfunction (elevated BUN or creatinine): assess glomerular filtration rate (GFR), consider postponing surgery if indicated, optimize hydration, or consult nephrology.  </w:t>
            </w:r>
            <w:r w:rsidRPr="00CB2EC4">
              <w:rPr>
                <w:rFonts w:ascii="Times New Roman" w:hAnsi="Times New Roman" w:cs="Times New Roman"/>
              </w:rPr>
              <w:br/>
              <w:t xml:space="preserve">- Coagulopathy: correct underlying causes (e.g., vitamin K deficiency) or use fresh frozen plasma, aiming for PT/APTT within normal range.  </w:t>
            </w:r>
            <w:r w:rsidRPr="00CB2EC4">
              <w:rPr>
                <w:rFonts w:ascii="Times New Roman" w:hAnsi="Times New Roman" w:cs="Times New Roman"/>
              </w:rPr>
              <w:br/>
              <w:t xml:space="preserve">- Signs of infection (elevated white blood cells): delay surgery and control infection source with antibiotics.  </w:t>
            </w:r>
            <w:r w:rsidRPr="00CB2EC4">
              <w:rPr>
                <w:rFonts w:ascii="Times New Roman" w:hAnsi="Times New Roman" w:cs="Times New Roman"/>
              </w:rPr>
              <w:br/>
            </w:r>
            <w:r w:rsidRPr="00CB2EC4">
              <w:rPr>
                <w:rFonts w:ascii="Times New Roman" w:hAnsi="Times New Roman" w:cs="Times New Roman"/>
              </w:rPr>
              <w:br/>
              <w:t xml:space="preserve">information sources:  </w:t>
            </w:r>
            <w:r w:rsidRPr="00CB2EC4">
              <w:rPr>
                <w:rFonts w:ascii="Times New Roman" w:hAnsi="Times New Roman" w:cs="Times New Roman"/>
              </w:rPr>
              <w:br/>
              <w:t xml:space="preserve">- Knowledge base document: provided specific preoperative assessment content ("preoperative tests same as radical hysterectomy, including routine blood, urine, biochemistry, cardiac and pulmonary function, and liver and kidney function"), with detailed handling of endocrine diseases (e.g., diabetes) in block content covering preoperative preparation and abnormal index correction.  </w:t>
            </w:r>
            <w:r w:rsidRPr="00CB2EC4">
              <w:rPr>
                <w:rFonts w:ascii="Times New Roman" w:hAnsi="Times New Roman" w:cs="Times New Roman"/>
              </w:rPr>
              <w:br/>
              <w:t xml:space="preserve">- Web search results: not directly addressing laboratory tests for gynecological oncology surgery, </w:t>
            </w:r>
            <w:r w:rsidRPr="00CB2EC4">
              <w:rPr>
                <w:rFonts w:ascii="Times New Roman" w:hAnsi="Times New Roman" w:cs="Times New Roman"/>
              </w:rPr>
              <w:lastRenderedPageBreak/>
              <w:t xml:space="preserve">but mentioned "disease-specific questionnaires" and "symptom-specific questions" (appendix section) emphasizing preoperative assessment importance; used as auxiliary reference to reinforce systematic evaluation concepts.  </w:t>
            </w:r>
            <w:r w:rsidRPr="00CB2EC4">
              <w:rPr>
                <w:rFonts w:ascii="Times New Roman" w:hAnsi="Times New Roman" w:cs="Times New Roman"/>
              </w:rPr>
              <w:br/>
              <w:t>- Comprehensive note: knowledge base document covered core test items and management principles; web search results contributed minimally, only supporting the concept of systematic preoperative assessment.</w:t>
            </w:r>
          </w:p>
        </w:tc>
        <w:tc>
          <w:tcPr>
            <w:tcW w:w="1152" w:type="dxa"/>
            <w:vAlign w:val="center"/>
          </w:tcPr>
          <w:p w14:paraId="219B24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7D608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8FE76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2D35C7F" w14:textId="77777777">
        <w:tc>
          <w:tcPr>
            <w:tcW w:w="2160" w:type="dxa"/>
            <w:vAlign w:val="center"/>
          </w:tcPr>
          <w:p w14:paraId="3D4A93D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7116F61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Document Fragments 12, 14, and 30, the laboratory tests to be performed before gynecological oncology surgery and the management of abnormal indicators are as follows:  </w:t>
            </w:r>
            <w:r w:rsidRPr="00CB2EC4">
              <w:rPr>
                <w:rFonts w:ascii="Times New Roman" w:hAnsi="Times New Roman" w:cs="Times New Roman"/>
              </w:rPr>
              <w:br/>
            </w:r>
            <w:r w:rsidRPr="00CB2EC4">
              <w:rPr>
                <w:rFonts w:ascii="Times New Roman" w:hAnsi="Times New Roman" w:cs="Times New Roman"/>
              </w:rPr>
              <w:br/>
              <w:t xml:space="preserve">- Laboratory Test Items:  </w:t>
            </w:r>
            <w:r w:rsidRPr="00CB2EC4">
              <w:rPr>
                <w:rFonts w:ascii="Times New Roman" w:hAnsi="Times New Roman" w:cs="Times New Roman"/>
              </w:rPr>
              <w:br/>
              <w:t xml:space="preserve">  - Three Routine Tests: Complete blood count (including hemoglobin, hematocrit, white blood cell count, and platelet count), urinalysis, and stool analysis (Fragment 12: "In addition to the three routine tests, blood biochemistry, cardiac and pulmonary function, and liver and kidney function").  </w:t>
            </w:r>
            <w:r w:rsidRPr="00CB2EC4">
              <w:rPr>
                <w:rFonts w:ascii="Times New Roman" w:hAnsi="Times New Roman" w:cs="Times New Roman"/>
              </w:rPr>
              <w:br/>
              <w:t xml:space="preserve">  - Blood Biochemistry: Includes liver function, kidney function, electrolytes (such as potassium and sodium), blood glucose, blood urea nitrogen, serum creatinine, etc. (Fragments 12, 14).  </w:t>
            </w:r>
            <w:r w:rsidRPr="00CB2EC4">
              <w:rPr>
                <w:rFonts w:ascii="Times New Roman" w:hAnsi="Times New Roman" w:cs="Times New Roman"/>
              </w:rPr>
              <w:br/>
              <w:t xml:space="preserve">  - Cardiac and Pulmonary Function Tests: Such as blood gas analysis and electrocardiogram (Fragment 12).  </w:t>
            </w:r>
            <w:r w:rsidRPr="00CB2EC4">
              <w:rPr>
                <w:rFonts w:ascii="Times New Roman" w:hAnsi="Times New Roman" w:cs="Times New Roman"/>
              </w:rPr>
              <w:br/>
              <w:t xml:space="preserve">  - Others: Nutritional indicators such as serum albumin and transferrin (Fragment 30); coagulation function tests when necessary (Fragment 18).  </w:t>
            </w:r>
            <w:r w:rsidRPr="00CB2EC4">
              <w:rPr>
                <w:rFonts w:ascii="Times New Roman" w:hAnsi="Times New Roman" w:cs="Times New Roman"/>
              </w:rPr>
              <w:br/>
              <w:t xml:space="preserve">  - Specific Condition Tests: For example, thyroid function tests if endocrine disorders are suspected; </w:t>
            </w:r>
            <w:r w:rsidRPr="00CB2EC4">
              <w:rPr>
                <w:rFonts w:ascii="Times New Roman" w:hAnsi="Times New Roman" w:cs="Times New Roman"/>
              </w:rPr>
              <w:lastRenderedPageBreak/>
              <w:t xml:space="preserve">blood glucose monitoring for diabetic patients (Fragment 14).  </w:t>
            </w:r>
            <w:r w:rsidRPr="00CB2EC4">
              <w:rPr>
                <w:rFonts w:ascii="Times New Roman" w:hAnsi="Times New Roman" w:cs="Times New Roman"/>
              </w:rPr>
              <w:br/>
            </w:r>
            <w:r w:rsidRPr="00CB2EC4">
              <w:rPr>
                <w:rFonts w:ascii="Times New Roman" w:hAnsi="Times New Roman" w:cs="Times New Roman"/>
              </w:rPr>
              <w:br/>
              <w:t xml:space="preserve">- Management of Abnormal Indicators:  </w:t>
            </w:r>
            <w:r w:rsidRPr="00CB2EC4">
              <w:rPr>
                <w:rFonts w:ascii="Times New Roman" w:hAnsi="Times New Roman" w:cs="Times New Roman"/>
              </w:rPr>
              <w:br/>
              <w:t xml:space="preserve">  - Anemia (low hemoglobin): Correct with blood transfusion, especially when hemoglobin is below 80g/L, preoperative transfusion is required to maintain oxygenation (Fragment 30: "Preoperative blood transfusion should be consulted with internal medicine and anesthesiology...hemoglobin below 80g/L").  </w:t>
            </w:r>
            <w:r w:rsidRPr="00CB2EC4">
              <w:rPr>
                <w:rFonts w:ascii="Times New Roman" w:hAnsi="Times New Roman" w:cs="Times New Roman"/>
              </w:rPr>
              <w:br/>
              <w:t xml:space="preserve">  - Electrolyte Imbalance (e.g., hypokalemia): Administer 10% potassium chloride solution orally, 10-20ml, three times daily, until serum potassium ≥3.5mmol/L (Fragment 14: "Serum potassium below 3.5mmol/L, give oral 10% potassium chloride solution").  </w:t>
            </w:r>
            <w:r w:rsidRPr="00CB2EC4">
              <w:rPr>
                <w:rFonts w:ascii="Times New Roman" w:hAnsi="Times New Roman" w:cs="Times New Roman"/>
              </w:rPr>
              <w:br/>
              <w:t xml:space="preserve">  - Hyperglycemia (diabetes): Treat with short-acting insulin to stabilize blood glucose at &lt;13.9mmol/L (250mg/dl); delay surgery for ketoacidosis and proceed after correction (Fragment 14: "Blood glucose &gt;13.9mmol/L...requires short-acting insulin treatment").  </w:t>
            </w:r>
            <w:r w:rsidRPr="00CB2EC4">
              <w:rPr>
                <w:rFonts w:ascii="Times New Roman" w:hAnsi="Times New Roman" w:cs="Times New Roman"/>
              </w:rPr>
              <w:br/>
              <w:t xml:space="preserve">  - Low Serum Protein or Malnutrition: Preoperative hyperalimentation therapy to supplement protein and calories, 3200kcal daily (Fragment 27: "Hyperalimentation therapy can be performed to provide adequate protein and calories").  </w:t>
            </w:r>
            <w:r w:rsidRPr="00CB2EC4">
              <w:rPr>
                <w:rFonts w:ascii="Times New Roman" w:hAnsi="Times New Roman" w:cs="Times New Roman"/>
              </w:rPr>
              <w:br/>
              <w:t xml:space="preserve">  - Coagulation Abnormalities: Adjust based on specific indicators, such as using anticoagulants to prevent thrombosis (Fragment 21).  </w:t>
            </w:r>
            <w:r w:rsidRPr="00CB2EC4">
              <w:rPr>
                <w:rFonts w:ascii="Times New Roman" w:hAnsi="Times New Roman" w:cs="Times New Roman"/>
              </w:rPr>
              <w:br/>
            </w:r>
            <w:r w:rsidRPr="00CB2EC4">
              <w:rPr>
                <w:rFonts w:ascii="Times New Roman" w:hAnsi="Times New Roman" w:cs="Times New Roman"/>
              </w:rPr>
              <w:br/>
              <w:t>If no relevant abnormalities are found, assess other organ functions and manage them accordingly.</w:t>
            </w:r>
          </w:p>
        </w:tc>
        <w:tc>
          <w:tcPr>
            <w:tcW w:w="1152" w:type="dxa"/>
            <w:vAlign w:val="center"/>
          </w:tcPr>
          <w:p w14:paraId="18EB15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DA8F2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563DA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E4B45F6" w14:textId="77777777">
        <w:tc>
          <w:tcPr>
            <w:tcW w:w="2160" w:type="dxa"/>
            <w:vAlign w:val="center"/>
          </w:tcPr>
          <w:p w14:paraId="01901AC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060F9D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before gynecological tumor surgery, the following </w:t>
            </w:r>
            <w:r w:rsidRPr="00CB2EC4">
              <w:rPr>
                <w:rFonts w:ascii="Times New Roman" w:hAnsi="Times New Roman" w:cs="Times New Roman"/>
              </w:rPr>
              <w:lastRenderedPageBreak/>
              <w:t xml:space="preserve">routine laboratory tests should be performed:  </w:t>
            </w:r>
            <w:r w:rsidRPr="00CB2EC4">
              <w:rPr>
                <w:rFonts w:ascii="Times New Roman" w:hAnsi="Times New Roman" w:cs="Times New Roman"/>
              </w:rPr>
              <w:br/>
              <w:t xml:space="preserve">- Test items:  </w:t>
            </w:r>
            <w:r w:rsidRPr="00CB2EC4">
              <w:rPr>
                <w:rFonts w:ascii="Times New Roman" w:hAnsi="Times New Roman" w:cs="Times New Roman"/>
              </w:rPr>
              <w:br/>
              <w:t xml:space="preserve">  - Complete blood count (hemoglobin, hematocrit, white blood cell count, platelet count).  </w:t>
            </w:r>
            <w:r w:rsidRPr="00CB2EC4">
              <w:rPr>
                <w:rFonts w:ascii="Times New Roman" w:hAnsi="Times New Roman" w:cs="Times New Roman"/>
              </w:rPr>
              <w:br/>
              <w:t xml:space="preserve">  - Electrolytes (sodium, potassium, etc.).  </w:t>
            </w:r>
            <w:r w:rsidRPr="00CB2EC4">
              <w:rPr>
                <w:rFonts w:ascii="Times New Roman" w:hAnsi="Times New Roman" w:cs="Times New Roman"/>
              </w:rPr>
              <w:br/>
              <w:t xml:space="preserve">  - Blood glucose.  </w:t>
            </w:r>
            <w:r w:rsidRPr="00CB2EC4">
              <w:rPr>
                <w:rFonts w:ascii="Times New Roman" w:hAnsi="Times New Roman" w:cs="Times New Roman"/>
              </w:rPr>
              <w:br/>
              <w:t xml:space="preserve">  - Renal function (blood urea nitrogen, creatinine).  </w:t>
            </w:r>
            <w:r w:rsidRPr="00CB2EC4">
              <w:rPr>
                <w:rFonts w:ascii="Times New Roman" w:hAnsi="Times New Roman" w:cs="Times New Roman"/>
              </w:rPr>
              <w:br/>
              <w:t xml:space="preserve">  - Liver function (transaminases, etc.).  </w:t>
            </w:r>
            <w:r w:rsidRPr="00CB2EC4">
              <w:rPr>
                <w:rFonts w:ascii="Times New Roman" w:hAnsi="Times New Roman" w:cs="Times New Roman"/>
              </w:rPr>
              <w:br/>
              <w:t xml:space="preserve">  - Coagulation function (PT, APTT).  </w:t>
            </w:r>
            <w:r w:rsidRPr="00CB2EC4">
              <w:rPr>
                <w:rFonts w:ascii="Times New Roman" w:hAnsi="Times New Roman" w:cs="Times New Roman"/>
              </w:rPr>
              <w:br/>
              <w:t xml:space="preserve">  - Urinalysis.  </w:t>
            </w:r>
            <w:r w:rsidRPr="00CB2EC4">
              <w:rPr>
                <w:rFonts w:ascii="Times New Roman" w:hAnsi="Times New Roman" w:cs="Times New Roman"/>
              </w:rPr>
              <w:br/>
              <w:t xml:space="preserve">  (Refer to Document 15 Table 3-1 and Document 17; these are basic preoperative tests.)  </w:t>
            </w:r>
            <w:r w:rsidRPr="00CB2EC4">
              <w:rPr>
                <w:rFonts w:ascii="Times New Roman" w:hAnsi="Times New Roman" w:cs="Times New Roman"/>
              </w:rPr>
              <w:br/>
            </w:r>
            <w:r w:rsidRPr="00CB2EC4">
              <w:rPr>
                <w:rFonts w:ascii="Times New Roman" w:hAnsi="Times New Roman" w:cs="Times New Roman"/>
              </w:rPr>
              <w:br/>
              <w:t xml:space="preserve">- Management of abnormal indicators:  </w:t>
            </w:r>
            <w:r w:rsidRPr="00CB2EC4">
              <w:rPr>
                <w:rFonts w:ascii="Times New Roman" w:hAnsi="Times New Roman" w:cs="Times New Roman"/>
              </w:rPr>
              <w:br/>
              <w:t xml:space="preserve">  - Low hemoglobin (&lt;80 g/L): transfuse blood to correct anemia, especially in patients who have received chemotherapy or radiotherapy (Document 15).  </w:t>
            </w:r>
            <w:r w:rsidRPr="00CB2EC4">
              <w:rPr>
                <w:rFonts w:ascii="Times New Roman" w:hAnsi="Times New Roman" w:cs="Times New Roman"/>
              </w:rPr>
              <w:br/>
              <w:t xml:space="preserve">  - High blood glucose (&gt;13.9 mmol/L): control with short-acting insulin to &lt;2.8 mmol/L and correct acidosis; diabetic patients require blood glucose monitoring (Document 10).  </w:t>
            </w:r>
            <w:r w:rsidRPr="00CB2EC4">
              <w:rPr>
                <w:rFonts w:ascii="Times New Roman" w:hAnsi="Times New Roman" w:cs="Times New Roman"/>
              </w:rPr>
              <w:br/>
              <w:t xml:space="preserve">  - Electrolyte abnormalities (e.g., potassium &lt;3.3 mmol/L or &gt;5.0 mmol/L): immediately identify cause and correct, such as oral potassium chloride supplementation; abnormal serum sodium (e.g., &lt;120 mmol/L) requires correction of dehydration or antidiuretic hormone issues (Document 30).  </w:t>
            </w:r>
            <w:r w:rsidRPr="00CB2EC4">
              <w:rPr>
                <w:rFonts w:ascii="Times New Roman" w:hAnsi="Times New Roman" w:cs="Times New Roman"/>
              </w:rPr>
              <w:br/>
              <w:t xml:space="preserve">  - Abnormal renal function (creatinine ≥221 μmol/L): assess renal function, initiate dialysis if necessary; patients with chronic renal failure require systematic dialysis preoperatively (Document 30).  </w:t>
            </w:r>
            <w:r w:rsidRPr="00CB2EC4">
              <w:rPr>
                <w:rFonts w:ascii="Times New Roman" w:hAnsi="Times New Roman" w:cs="Times New Roman"/>
              </w:rPr>
              <w:br/>
              <w:t xml:space="preserve">  - Abnormal coagulation function: based on PT/APTT results, infuse plasma or clotting factors; patients on </w:t>
            </w:r>
            <w:r w:rsidRPr="00CB2EC4">
              <w:rPr>
                <w:rFonts w:ascii="Times New Roman" w:hAnsi="Times New Roman" w:cs="Times New Roman"/>
              </w:rPr>
              <w:lastRenderedPageBreak/>
              <w:t xml:space="preserve">long-term anticoagulation require adjustment of heparin use (Document 17).  </w:t>
            </w:r>
            <w:r w:rsidRPr="00CB2EC4">
              <w:rPr>
                <w:rFonts w:ascii="Times New Roman" w:hAnsi="Times New Roman" w:cs="Times New Roman"/>
              </w:rPr>
              <w:br/>
              <w:t xml:space="preserve">  The context does not cover all details for managing every abnormality, but the general principle is to correct abnormalities to optimize surgical tolerance.</w:t>
            </w:r>
          </w:p>
        </w:tc>
        <w:tc>
          <w:tcPr>
            <w:tcW w:w="1152" w:type="dxa"/>
            <w:vAlign w:val="center"/>
          </w:tcPr>
          <w:p w14:paraId="735CEB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ED055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9787C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0785BFE" w14:textId="77777777">
        <w:tc>
          <w:tcPr>
            <w:tcW w:w="2160" w:type="dxa"/>
            <w:vAlign w:val="center"/>
          </w:tcPr>
          <w:p w14:paraId="78C79D5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1CEC34E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Laboratory tests prior to gynecologic oncology surgery:  </w:t>
            </w:r>
            <w:r w:rsidRPr="00CB2EC4">
              <w:rPr>
                <w:rFonts w:ascii="Times New Roman" w:hAnsi="Times New Roman" w:cs="Times New Roman"/>
              </w:rPr>
              <w:br/>
              <w:t xml:space="preserve">- Routine: Complete blood count (CBC), urinalysis, stool examination; blood biochemistry (liver and renal function, electrolytes); cardiopulmonary function assessment (see [HyDE similarity: 0.400]).  </w:t>
            </w:r>
            <w:r w:rsidRPr="00CB2EC4">
              <w:rPr>
                <w:rFonts w:ascii="Times New Roman" w:hAnsi="Times New Roman" w:cs="Times New Roman"/>
              </w:rPr>
              <w:br/>
              <w:t xml:space="preserve">- Special examinations:  </w:t>
            </w:r>
            <w:r w:rsidRPr="00CB2EC4">
              <w:rPr>
                <w:rFonts w:ascii="Times New Roman" w:hAnsi="Times New Roman" w:cs="Times New Roman"/>
              </w:rPr>
              <w:br/>
              <w:t xml:space="preserve">  → Suspected bladder involvement: Cystoscopy + intravenous pyelogram (see [HyDE similarity: 0.400]).  </w:t>
            </w:r>
            <w:r w:rsidRPr="00CB2EC4">
              <w:rPr>
                <w:rFonts w:ascii="Times New Roman" w:hAnsi="Times New Roman" w:cs="Times New Roman"/>
              </w:rPr>
              <w:br/>
              <w:t xml:space="preserve">  → Suspected rectal involvement: Fiberoptic colonoscopy + barium enema (see [HyDE similarity: 0.400]).  </w:t>
            </w:r>
            <w:r w:rsidRPr="00CB2EC4">
              <w:rPr>
                <w:rFonts w:ascii="Times New Roman" w:hAnsi="Times New Roman" w:cs="Times New Roman"/>
              </w:rPr>
              <w:br/>
              <w:t xml:space="preserve">  → Diabetes screening: Blood glucose monitoring (see [HyDE similarity: 0.399]).  </w:t>
            </w:r>
            <w:r w:rsidRPr="00CB2EC4">
              <w:rPr>
                <w:rFonts w:ascii="Times New Roman" w:hAnsi="Times New Roman" w:cs="Times New Roman"/>
              </w:rPr>
              <w:br/>
            </w:r>
            <w:r w:rsidRPr="00CB2EC4">
              <w:rPr>
                <w:rFonts w:ascii="Times New Roman" w:hAnsi="Times New Roman" w:cs="Times New Roman"/>
              </w:rPr>
              <w:br/>
              <w:t xml:space="preserve">Management of abnormal findings:  </w:t>
            </w:r>
            <w:r w:rsidRPr="00CB2EC4">
              <w:rPr>
                <w:rFonts w:ascii="Times New Roman" w:hAnsi="Times New Roman" w:cs="Times New Roman"/>
              </w:rPr>
              <w:br/>
              <w:t xml:space="preserve">- Hypokalemia (serum potassium &lt;3.5 mmol/L):  </w:t>
            </w:r>
            <w:r w:rsidRPr="00CB2EC4">
              <w:rPr>
                <w:rFonts w:ascii="Times New Roman" w:hAnsi="Times New Roman" w:cs="Times New Roman"/>
              </w:rPr>
              <w:br/>
              <w:t xml:space="preserve">  Oral 10% potassium chloride solution 10–20 mL, three times daily (see [HyDE similarity: 0.399]).  </w:t>
            </w:r>
            <w:r w:rsidRPr="00CB2EC4">
              <w:rPr>
                <w:rFonts w:ascii="Times New Roman" w:hAnsi="Times New Roman" w:cs="Times New Roman"/>
              </w:rPr>
              <w:br/>
              <w:t xml:space="preserve">- Hyperglycemia (&gt;13.9 mmol/L):  </w:t>
            </w:r>
            <w:r w:rsidRPr="00CB2EC4">
              <w:rPr>
                <w:rFonts w:ascii="Times New Roman" w:hAnsi="Times New Roman" w:cs="Times New Roman"/>
              </w:rPr>
              <w:br/>
              <w:t xml:space="preserve">  Control with short-acting insulin to &lt;11.1 mmol/L (200 mg/dL); postpone surgery in cases of diabetic ketoacidosis (see [HyDE similarity: 0.399]).  </w:t>
            </w:r>
            <w:r w:rsidRPr="00CB2EC4">
              <w:rPr>
                <w:rFonts w:ascii="Times New Roman" w:hAnsi="Times New Roman" w:cs="Times New Roman"/>
              </w:rPr>
              <w:br/>
              <w:t xml:space="preserve">- Anemia/dehydration:  </w:t>
            </w:r>
            <w:r w:rsidRPr="00CB2EC4">
              <w:rPr>
                <w:rFonts w:ascii="Times New Roman" w:hAnsi="Times New Roman" w:cs="Times New Roman"/>
              </w:rPr>
              <w:br/>
              <w:t xml:space="preserve">  Correct fluid and electrolyte imbalances; administer blood transfusion if necessary (see [HyDE similarity: 0.400]).</w:t>
            </w:r>
          </w:p>
        </w:tc>
        <w:tc>
          <w:tcPr>
            <w:tcW w:w="1152" w:type="dxa"/>
            <w:vAlign w:val="center"/>
          </w:tcPr>
          <w:p w14:paraId="2CB646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7AF18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347B1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73454F2" w14:textId="77777777">
        <w:tc>
          <w:tcPr>
            <w:tcW w:w="2160" w:type="dxa"/>
            <w:vAlign w:val="center"/>
          </w:tcPr>
          <w:p w14:paraId="146DFBD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5A621A8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laboratory tests before gynecological tumor surgery:  </w:t>
            </w:r>
            <w:r w:rsidRPr="00CB2EC4">
              <w:rPr>
                <w:rFonts w:ascii="Times New Roman" w:hAnsi="Times New Roman" w:cs="Times New Roman"/>
              </w:rPr>
              <w:br/>
              <w:t xml:space="preserve">- Complete blood count, urinalysis, and stool routine.  </w:t>
            </w:r>
            <w:r w:rsidRPr="00CB2EC4">
              <w:rPr>
                <w:rFonts w:ascii="Times New Roman" w:hAnsi="Times New Roman" w:cs="Times New Roman"/>
              </w:rPr>
              <w:br/>
              <w:t xml:space="preserve">- Blood biochemistry: including liver function, renal function, electrolytes (e.g., potassium, sodium), blood glucose, serum protein (e.g., albumin).  </w:t>
            </w:r>
            <w:r w:rsidRPr="00CB2EC4">
              <w:rPr>
                <w:rFonts w:ascii="Times New Roman" w:hAnsi="Times New Roman" w:cs="Times New Roman"/>
              </w:rPr>
              <w:br/>
              <w:t xml:space="preserve">- Cardiac and pulmonary function tests: such as electrocardiogram, blood gas analysis (especially for patients with pulmonary disease).  </w:t>
            </w:r>
            <w:r w:rsidRPr="00CB2EC4">
              <w:rPr>
                <w:rFonts w:ascii="Times New Roman" w:hAnsi="Times New Roman" w:cs="Times New Roman"/>
              </w:rPr>
              <w:br/>
              <w:t xml:space="preserve">- Liver and renal function tests: to assess organ function status.  </w:t>
            </w:r>
            <w:r w:rsidRPr="00CB2EC4">
              <w:rPr>
                <w:rFonts w:ascii="Times New Roman" w:hAnsi="Times New Roman" w:cs="Times New Roman"/>
              </w:rPr>
              <w:br/>
              <w:t xml:space="preserve">- Other specific tests: depending on the condition, may include coagulation function (e.g., prothrombin time), endocrine tests (e.g., thyroid function), tumor markers. Document fragment 14 also emphasizes the need for full-body physical examination, chest X-ray, and CT, MRI, or PET scans when necessary to rule out metastasis.  </w:t>
            </w:r>
            <w:r w:rsidRPr="00CB2EC4">
              <w:rPr>
                <w:rFonts w:ascii="Times New Roman" w:hAnsi="Times New Roman" w:cs="Times New Roman"/>
              </w:rPr>
              <w:br/>
            </w:r>
            <w:r w:rsidRPr="00CB2EC4">
              <w:rPr>
                <w:rFonts w:ascii="Times New Roman" w:hAnsi="Times New Roman" w:cs="Times New Roman"/>
              </w:rPr>
              <w:br/>
              <w:t xml:space="preserve">management of abnormal laboratory indicators:  </w:t>
            </w:r>
            <w:r w:rsidRPr="00CB2EC4">
              <w:rPr>
                <w:rFonts w:ascii="Times New Roman" w:hAnsi="Times New Roman" w:cs="Times New Roman"/>
              </w:rPr>
              <w:br/>
              <w:t xml:space="preserve">- Anemia or low serum albumin: blood transfusion to correct hemoglobin deficiency and maintain adequate oxygenation during anesthesia and surgery, reducing operative risk. High-nutrient therapy (e.g., 3200 kcal daily) should be adopted to improve nutritional status.  </w:t>
            </w:r>
            <w:r w:rsidRPr="00CB2EC4">
              <w:rPr>
                <w:rFonts w:ascii="Times New Roman" w:hAnsi="Times New Roman" w:cs="Times New Roman"/>
              </w:rPr>
              <w:br/>
              <w:t xml:space="preserve">- Electrolyte imbalance: for hypokalemia (serum potassium &lt; 3.5 mmol/L), administer oral 10% potassium chloride solution 10–20 mL three times daily; for hyponatremia, restore normal salt intake.  </w:t>
            </w:r>
            <w:r w:rsidRPr="00CB2EC4">
              <w:rPr>
                <w:rFonts w:ascii="Times New Roman" w:hAnsi="Times New Roman" w:cs="Times New Roman"/>
              </w:rPr>
              <w:br/>
              <w:t xml:space="preserve">- Hyperglycemia (e.g., diabetes): monitor blood glucose preoperatively; if blood glucose &gt; 13.9 mmol/L, treat with short-acting insulin to stabilize blood glucose at &lt;2.8 mmol/L; postpone surgery if diabetic ketoacidosis is present and correct it before proceeding.  </w:t>
            </w:r>
            <w:r w:rsidRPr="00CB2EC4">
              <w:rPr>
                <w:rFonts w:ascii="Times New Roman" w:hAnsi="Times New Roman" w:cs="Times New Roman"/>
              </w:rPr>
              <w:br/>
            </w:r>
            <w:r w:rsidRPr="00CB2EC4">
              <w:rPr>
                <w:rFonts w:ascii="Times New Roman" w:hAnsi="Times New Roman" w:cs="Times New Roman"/>
              </w:rPr>
              <w:lastRenderedPageBreak/>
              <w:t xml:space="preserve">- Other abnormalities: for coagulation dysfunction, adjust anticoagulant medication (document fragment 16 mentions discontinuing oral anticoagulants preoperatively); malnourished patients require total parenteral nutrition (TPN) support.  </w:t>
            </w:r>
            <w:r w:rsidRPr="00CB2EC4">
              <w:rPr>
                <w:rFonts w:ascii="Times New Roman" w:hAnsi="Times New Roman" w:cs="Times New Roman"/>
              </w:rPr>
              <w:br/>
              <w:t>All abnormalities must be corrected preoperatively to reduce surgical risk; if correction is not feasible, surgery may need to be delayed.</w:t>
            </w:r>
          </w:p>
        </w:tc>
        <w:tc>
          <w:tcPr>
            <w:tcW w:w="1152" w:type="dxa"/>
            <w:vAlign w:val="center"/>
          </w:tcPr>
          <w:p w14:paraId="00A171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C9408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615A3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00472BF" w14:textId="77777777">
        <w:tc>
          <w:tcPr>
            <w:tcW w:w="2160" w:type="dxa"/>
            <w:vAlign w:val="center"/>
          </w:tcPr>
          <w:p w14:paraId="5DABBDD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09F2A4A" w14:textId="77777777" w:rsidR="00922249" w:rsidRPr="00CB2EC4" w:rsidRDefault="003011D5">
            <w:pPr>
              <w:rPr>
                <w:rFonts w:ascii="Times New Roman" w:hAnsi="Times New Roman" w:cs="Times New Roman"/>
              </w:rPr>
            </w:pPr>
            <w:r w:rsidRPr="00CB2EC4">
              <w:rPr>
                <w:rFonts w:ascii="Times New Roman" w:hAnsi="Times New Roman" w:cs="Times New Roman"/>
              </w:rPr>
              <w:t>Laboratory tests before gynecological oncology surgery:</w:t>
            </w:r>
            <w:r w:rsidRPr="00CB2EC4">
              <w:rPr>
                <w:rFonts w:ascii="Times New Roman" w:hAnsi="Times New Roman" w:cs="Times New Roman"/>
              </w:rPr>
              <w:br/>
            </w:r>
            <w:r w:rsidRPr="00CB2EC4">
              <w:rPr>
                <w:rFonts w:ascii="Times New Roman" w:hAnsi="Times New Roman" w:cs="Times New Roman"/>
              </w:rPr>
              <w:br/>
              <w:t>- Complete blood count: mandatory testing of hemoglobin (Hb), hematocrit (H/H), white blood cell and platelet counts.</w:t>
            </w:r>
            <w:r w:rsidRPr="00CB2EC4">
              <w:rPr>
                <w:rFonts w:ascii="Times New Roman" w:hAnsi="Times New Roman" w:cs="Times New Roman"/>
              </w:rPr>
              <w:br/>
              <w:t>- Electrolytes: focus on serum potassium and sodium levels.</w:t>
            </w:r>
            <w:r w:rsidRPr="00CB2EC4">
              <w:rPr>
                <w:rFonts w:ascii="Times New Roman" w:hAnsi="Times New Roman" w:cs="Times New Roman"/>
              </w:rPr>
              <w:br/>
              <w:t>- Coagulation function: prothrombin time (PT), etc. (especially for patients at high risk of intraoperative bleeding).</w:t>
            </w:r>
            <w:r w:rsidRPr="00CB2EC4">
              <w:rPr>
                <w:rFonts w:ascii="Times New Roman" w:hAnsi="Times New Roman" w:cs="Times New Roman"/>
              </w:rPr>
              <w:br/>
              <w:t>- Blood glucose: for diabetic patients or those at high risk.</w:t>
            </w:r>
            <w:r w:rsidRPr="00CB2EC4">
              <w:rPr>
                <w:rFonts w:ascii="Times New Roman" w:hAnsi="Times New Roman" w:cs="Times New Roman"/>
              </w:rPr>
              <w:br/>
              <w:t>- Others: selectively test liver and kidney function, serum albumin, blood gas analysis (in cases of acidosis) based on clinical condition.</w:t>
            </w:r>
            <w:r w:rsidRPr="00CB2EC4">
              <w:rPr>
                <w:rFonts w:ascii="Times New Roman" w:hAnsi="Times New Roman" w:cs="Times New Roman"/>
              </w:rPr>
              <w:br/>
            </w:r>
            <w:r w:rsidRPr="00CB2EC4">
              <w:rPr>
                <w:rFonts w:ascii="Times New Roman" w:hAnsi="Times New Roman" w:cs="Times New Roman"/>
              </w:rPr>
              <w:br/>
              <w:t>Management of abnormal findings:</w:t>
            </w:r>
            <w:r w:rsidRPr="00CB2EC4">
              <w:rPr>
                <w:rFonts w:ascii="Times New Roman" w:hAnsi="Times New Roman" w:cs="Times New Roman"/>
              </w:rPr>
              <w:br/>
            </w:r>
            <w:r w:rsidRPr="00CB2EC4">
              <w:rPr>
                <w:rFonts w:ascii="Times New Roman" w:hAnsi="Times New Roman" w:cs="Times New Roman"/>
              </w:rPr>
              <w:br/>
              <w:t>- Anemia (Hb &lt; 80 g/L): preoperative blood transfusion for correction, especially in patients with prior radiotherapy or chemotherapy.</w:t>
            </w:r>
            <w:r w:rsidRPr="00CB2EC4">
              <w:rPr>
                <w:rFonts w:ascii="Times New Roman" w:hAnsi="Times New Roman" w:cs="Times New Roman"/>
              </w:rPr>
              <w:br/>
              <w:t>- Hypokalemia (serum potassium &lt; 3.5 mmol/L): oral administration of 10% potassium chloride solution 10–20 ml, three times daily.</w:t>
            </w:r>
            <w:r w:rsidRPr="00CB2EC4">
              <w:rPr>
                <w:rFonts w:ascii="Times New Roman" w:hAnsi="Times New Roman" w:cs="Times New Roman"/>
              </w:rPr>
              <w:br/>
              <w:t xml:space="preserve">- Hyponatremia: discontinue salt restriction one week </w:t>
            </w:r>
            <w:r w:rsidRPr="00CB2EC4">
              <w:rPr>
                <w:rFonts w:ascii="Times New Roman" w:hAnsi="Times New Roman" w:cs="Times New Roman"/>
              </w:rPr>
              <w:lastRenderedPageBreak/>
              <w:t>preoperatively and resume normal salt intake.</w:t>
            </w:r>
            <w:r w:rsidRPr="00CB2EC4">
              <w:rPr>
                <w:rFonts w:ascii="Times New Roman" w:hAnsi="Times New Roman" w:cs="Times New Roman"/>
              </w:rPr>
              <w:br/>
              <w:t>- Hyperglycemia (&gt; 13.9 mmol/L): treat with short-acting insulin to control blood glucose.</w:t>
            </w:r>
            <w:r w:rsidRPr="00CB2EC4">
              <w:rPr>
                <w:rFonts w:ascii="Times New Roman" w:hAnsi="Times New Roman" w:cs="Times New Roman"/>
              </w:rPr>
              <w:br/>
              <w:t>- Malnutrition: provide total parenteral nutrition (TPN) support and monitor serum albumin.</w:t>
            </w:r>
            <w:r w:rsidRPr="00CB2EC4">
              <w:rPr>
                <w:rFonts w:ascii="Times New Roman" w:hAnsi="Times New Roman" w:cs="Times New Roman"/>
              </w:rPr>
              <w:br/>
            </w:r>
            <w:r w:rsidRPr="00CB2EC4">
              <w:rPr>
                <w:rFonts w:ascii="Times New Roman" w:hAnsi="Times New Roman" w:cs="Times New Roman"/>
              </w:rPr>
              <w:br/>
              <w:t>&gt; Note: The document does not specify a management protocol for abnormal liver function.</w:t>
            </w:r>
          </w:p>
        </w:tc>
        <w:tc>
          <w:tcPr>
            <w:tcW w:w="1152" w:type="dxa"/>
            <w:vAlign w:val="center"/>
          </w:tcPr>
          <w:p w14:paraId="152627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C2A8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DC37F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91CB566" w14:textId="77777777">
        <w:tc>
          <w:tcPr>
            <w:tcW w:w="2160" w:type="dxa"/>
            <w:vAlign w:val="center"/>
          </w:tcPr>
          <w:p w14:paraId="65B2DDC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9F2233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(1) Laboratory tests to be performed before gynecological tumor surgery:  </w:t>
            </w:r>
            <w:r w:rsidRPr="00CB2EC4">
              <w:rPr>
                <w:rFonts w:ascii="Times New Roman" w:hAnsi="Times New Roman" w:cs="Times New Roman"/>
              </w:rPr>
              <w:br/>
              <w:t xml:space="preserve">Based on contextual information, comprehensive laboratory tests are required before gynecological tumor surgery, primarily including the following items:  </w:t>
            </w:r>
            <w:r w:rsidRPr="00CB2EC4">
              <w:rPr>
                <w:rFonts w:ascii="Times New Roman" w:hAnsi="Times New Roman" w:cs="Times New Roman"/>
              </w:rPr>
              <w:br/>
              <w:t xml:space="preserve">- Routine tests: Complete blood count (CBC), urinalysis, and stool routine, to evaluate basic health status (Source: Document fragment 3).  </w:t>
            </w:r>
            <w:r w:rsidRPr="00CB2EC4">
              <w:rPr>
                <w:rFonts w:ascii="Times New Roman" w:hAnsi="Times New Roman" w:cs="Times New Roman"/>
              </w:rPr>
              <w:br/>
              <w:t xml:space="preserve">- Blood biochemistry tests: Including liver function (e.g., transaminases, bilirubin), renal function (e.g., creatinine, blood urea nitrogen), electrolytes (e.g., serum sodium, potassium), and blood glucose, to assess metabolic status (Source: Document fragments 3 and 24).  </w:t>
            </w:r>
            <w:r w:rsidRPr="00CB2EC4">
              <w:rPr>
                <w:rFonts w:ascii="Times New Roman" w:hAnsi="Times New Roman" w:cs="Times New Roman"/>
              </w:rPr>
              <w:br/>
              <w:t xml:space="preserve">- Cardiac and pulmonary function tests: Electrocardiogram (ECG), cardiac monitoring, etc., to evaluate cardiovascular risk; blood gas analysis or pulmonary function tests for respiratory system assessment (Source: Document fragment 3).  </w:t>
            </w:r>
            <w:r w:rsidRPr="00CB2EC4">
              <w:rPr>
                <w:rFonts w:ascii="Times New Roman" w:hAnsi="Times New Roman" w:cs="Times New Roman"/>
              </w:rPr>
              <w:br/>
              <w:t xml:space="preserve">- Coagulation function tests: Prothrombin time (PT) and activated partial thromboplastin time (APTT), to assess bleeding risk (Source: Document fragment 24).  </w:t>
            </w:r>
            <w:r w:rsidRPr="00CB2EC4">
              <w:rPr>
                <w:rFonts w:ascii="Times New Roman" w:hAnsi="Times New Roman" w:cs="Times New Roman"/>
              </w:rPr>
              <w:br/>
              <w:t xml:space="preserve">- Imaging and special tests (as clinically indicated):  </w:t>
            </w:r>
            <w:r w:rsidRPr="00CB2EC4">
              <w:rPr>
                <w:rFonts w:ascii="Times New Roman" w:hAnsi="Times New Roman" w:cs="Times New Roman"/>
              </w:rPr>
              <w:br/>
              <w:t xml:space="preserve">  → Chest X-ray to exclude pleural or mediastinal lymph node metastasis.  </w:t>
            </w:r>
            <w:r w:rsidRPr="00CB2EC4">
              <w:rPr>
                <w:rFonts w:ascii="Times New Roman" w:hAnsi="Times New Roman" w:cs="Times New Roman"/>
              </w:rPr>
              <w:br/>
            </w:r>
            <w:r w:rsidRPr="00CB2EC4">
              <w:rPr>
                <w:rFonts w:ascii="Times New Roman" w:hAnsi="Times New Roman" w:cs="Times New Roman"/>
              </w:rPr>
              <w:lastRenderedPageBreak/>
              <w:t xml:space="preserve">  → CT, MRI, or lymphography to evaluate tumor extent and lymph node involvement.  </w:t>
            </w:r>
            <w:r w:rsidRPr="00CB2EC4">
              <w:rPr>
                <w:rFonts w:ascii="Times New Roman" w:hAnsi="Times New Roman" w:cs="Times New Roman"/>
              </w:rPr>
              <w:br/>
              <w:t xml:space="preserve">  → PET scan for detection of occult lesions.  </w:t>
            </w:r>
            <w:r w:rsidRPr="00CB2EC4">
              <w:rPr>
                <w:rFonts w:ascii="Times New Roman" w:hAnsi="Times New Roman" w:cs="Times New Roman"/>
              </w:rPr>
              <w:br/>
              <w:t xml:space="preserve">  → Cystoscopy and intravenous pyelogram (if bladder involvement is suspected).  </w:t>
            </w:r>
            <w:r w:rsidRPr="00CB2EC4">
              <w:rPr>
                <w:rFonts w:ascii="Times New Roman" w:hAnsi="Times New Roman" w:cs="Times New Roman"/>
              </w:rPr>
              <w:br/>
              <w:t xml:space="preserve">  → Fiberoptic colonoscopy and barium enema (if rectal or colonic involvement is suspected) (Source: Document fragment 3).  </w:t>
            </w:r>
            <w:r w:rsidRPr="00CB2EC4">
              <w:rPr>
                <w:rFonts w:ascii="Times New Roman" w:hAnsi="Times New Roman" w:cs="Times New Roman"/>
              </w:rPr>
              <w:br/>
              <w:t xml:space="preserve">- Nutritional status assessment: Plasma proteins, total lymphocyte count, etc. (Source: Document fragment 24).  </w:t>
            </w:r>
            <w:r w:rsidRPr="00CB2EC4">
              <w:rPr>
                <w:rFonts w:ascii="Times New Roman" w:hAnsi="Times New Roman" w:cs="Times New Roman"/>
              </w:rPr>
              <w:br/>
            </w:r>
            <w:r w:rsidRPr="00CB2EC4">
              <w:rPr>
                <w:rFonts w:ascii="Times New Roman" w:hAnsi="Times New Roman" w:cs="Times New Roman"/>
              </w:rPr>
              <w:br/>
              <w:t xml:space="preserve"># (2) Management of abnormal laboratory indicators:  </w:t>
            </w:r>
            <w:r w:rsidRPr="00CB2EC4">
              <w:rPr>
                <w:rFonts w:ascii="Times New Roman" w:hAnsi="Times New Roman" w:cs="Times New Roman"/>
              </w:rPr>
              <w:br/>
              <w:t xml:space="preserve">Contextual information provides partial management principles but does not detail specific handling for all abnormalities. General principles are as follows:  </w:t>
            </w:r>
            <w:r w:rsidRPr="00CB2EC4">
              <w:rPr>
                <w:rFonts w:ascii="Times New Roman" w:hAnsi="Times New Roman" w:cs="Times New Roman"/>
              </w:rPr>
              <w:br/>
              <w:t xml:space="preserve">- Electrolyte imbalance (e.g., serum potassium &lt;3.3 mmol/L or &gt;5.0 mmol/L): Immediately investigate the cause and postpone surgery; correct the imbalance (e.g., potassium supplementation or restriction), ensuring serum potassium is maintained above 3.5 mmol/L (Source: Document fragment 24).  </w:t>
            </w:r>
            <w:r w:rsidRPr="00CB2EC4">
              <w:rPr>
                <w:rFonts w:ascii="Times New Roman" w:hAnsi="Times New Roman" w:cs="Times New Roman"/>
              </w:rPr>
              <w:br/>
              <w:t xml:space="preserve">- Anemia and malnutrition: Transfuse to correct low hemoglobin; administer high-nutrition therapy (3200 kcal/day) to supplement protein and calories and improve metabolic status; correct low serum albumin (Source: Document fragments 9 and 24).  </w:t>
            </w:r>
            <w:r w:rsidRPr="00CB2EC4">
              <w:rPr>
                <w:rFonts w:ascii="Times New Roman" w:hAnsi="Times New Roman" w:cs="Times New Roman"/>
              </w:rPr>
              <w:br/>
              <w:t xml:space="preserve">- Infection or abnormal inflammatory markers: Use antibiotics to control infection; place a urinary catheter for drainage in patients with bacterial hydronephrosis (Source: Document fragment 18).  </w:t>
            </w:r>
            <w:r w:rsidRPr="00CB2EC4">
              <w:rPr>
                <w:rFonts w:ascii="Times New Roman" w:hAnsi="Times New Roman" w:cs="Times New Roman"/>
              </w:rPr>
              <w:br/>
              <w:t xml:space="preserve">- Coagulation function abnormalities (e.g., prolonged PT/APTT): Manage based on etiology (e.g., supplement coagulation factors) and ensure values are </w:t>
            </w:r>
            <w:r w:rsidRPr="00CB2EC4">
              <w:rPr>
                <w:rFonts w:ascii="Times New Roman" w:hAnsi="Times New Roman" w:cs="Times New Roman"/>
              </w:rPr>
              <w:lastRenderedPageBreak/>
              <w:t xml:space="preserve">within safe range before surgery (Source: Document fragment 24).  </w:t>
            </w:r>
            <w:r w:rsidRPr="00CB2EC4">
              <w:rPr>
                <w:rFonts w:ascii="Times New Roman" w:hAnsi="Times New Roman" w:cs="Times New Roman"/>
              </w:rPr>
              <w:br/>
              <w:t xml:space="preserve">- Liver or renal function abnormalities: Delay surgery and provide targeted treatment (e.g., hepatoprotective drugs); perform comprehensive renal function assessment when creatinine ≥221 μmol/L; consider non-surgical treatment for severe abnormalities (Source: Document fragment 24).  </w:t>
            </w:r>
            <w:r w:rsidRPr="00CB2EC4">
              <w:rPr>
                <w:rFonts w:ascii="Times New Roman" w:hAnsi="Times New Roman" w:cs="Times New Roman"/>
              </w:rPr>
              <w:br/>
              <w:t xml:space="preserve">- Other abnormalities: Regulate blood glucose with insulin if abnormal; perform paracentesis or thoracentesis to alleviate symptoms from ascites or pleural effusion (Source: Document fragments 9 and 24).  </w:t>
            </w:r>
            <w:r w:rsidRPr="00CB2EC4">
              <w:rPr>
                <w:rFonts w:ascii="Times New Roman" w:hAnsi="Times New Roman" w:cs="Times New Roman"/>
              </w:rPr>
              <w:br/>
              <w:t>- Summary: All abnormalities must be corrected preoperatively to enhance surgical tolerance; specific measures should be developed by a multidisciplinary team.</w:t>
            </w:r>
          </w:p>
        </w:tc>
        <w:tc>
          <w:tcPr>
            <w:tcW w:w="1152" w:type="dxa"/>
            <w:vAlign w:val="center"/>
          </w:tcPr>
          <w:p w14:paraId="793C95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43C1C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12EBD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53A553D" w14:textId="77777777">
        <w:tc>
          <w:tcPr>
            <w:tcW w:w="2160" w:type="dxa"/>
            <w:vAlign w:val="center"/>
          </w:tcPr>
          <w:p w14:paraId="0D67F78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688FB7FA" w14:textId="77777777" w:rsidR="00922249" w:rsidRPr="00CB2EC4" w:rsidRDefault="003011D5">
            <w:pPr>
              <w:rPr>
                <w:rFonts w:ascii="Times New Roman" w:hAnsi="Times New Roman" w:cs="Times New Roman"/>
              </w:rPr>
            </w:pPr>
            <w:r w:rsidRPr="00CB2EC4">
              <w:rPr>
                <w:rFonts w:ascii="Times New Roman" w:hAnsi="Times New Roman" w:cs="Times New Roman"/>
              </w:rPr>
              <w:t>what laboratory tests should be performed before gynecological tumor surgery? how should abnormal indicators be managed?</w:t>
            </w:r>
            <w:r w:rsidRPr="00CB2EC4">
              <w:rPr>
                <w:rFonts w:ascii="Times New Roman" w:hAnsi="Times New Roman" w:cs="Times New Roman"/>
              </w:rPr>
              <w:br/>
            </w:r>
            <w:r w:rsidRPr="00CB2EC4">
              <w:rPr>
                <w:rFonts w:ascii="Times New Roman" w:hAnsi="Times New Roman" w:cs="Times New Roman"/>
              </w:rPr>
              <w:br/>
              <w:t>- Laboratory tests:</w:t>
            </w:r>
            <w:r w:rsidRPr="00CB2EC4">
              <w:rPr>
                <w:rFonts w:ascii="Times New Roman" w:hAnsi="Times New Roman" w:cs="Times New Roman"/>
              </w:rPr>
              <w:br/>
              <w:t xml:space="preserve">  - Routine tests: complete blood count (CBC), urinalysis, stool routine (the three routine tests).</w:t>
            </w:r>
            <w:r w:rsidRPr="00CB2EC4">
              <w:rPr>
                <w:rFonts w:ascii="Times New Roman" w:hAnsi="Times New Roman" w:cs="Times New Roman"/>
              </w:rPr>
              <w:br/>
              <w:t xml:space="preserve">  - Blood biochemistry: liver function (e.g., transaminases, bilirubin), renal function (blood urea nitrogen, serum creatinine), electrolytes (potassium, sodium, etc.), blood glucose, coagulation function (prothrombin time).</w:t>
            </w:r>
            <w:r w:rsidRPr="00CB2EC4">
              <w:rPr>
                <w:rFonts w:ascii="Times New Roman" w:hAnsi="Times New Roman" w:cs="Times New Roman"/>
              </w:rPr>
              <w:br/>
              <w:t xml:space="preserve">  - Cardiopulmonary function: electrocardiogram (ECG), blood gas analysis (e.g., arterial partial pressure of oxygen PaO₂, mixed venous partial pressure of oxygen PVO₂).</w:t>
            </w:r>
            <w:r w:rsidRPr="00CB2EC4">
              <w:rPr>
                <w:rFonts w:ascii="Times New Roman" w:hAnsi="Times New Roman" w:cs="Times New Roman"/>
              </w:rPr>
              <w:br/>
              <w:t xml:space="preserve">  - Other targeted examinations: based on tumor type </w:t>
            </w:r>
            <w:r w:rsidRPr="00CB2EC4">
              <w:rPr>
                <w:rFonts w:ascii="Times New Roman" w:hAnsi="Times New Roman" w:cs="Times New Roman"/>
              </w:rPr>
              <w:lastRenderedPageBreak/>
              <w:t>and symptoms, may include chest X-ray (to rule out lung metastasis), intravenous pyelogram (to assess urinary tract obstruction), CT/MRI (to evaluate lymph node metastasis), PET (for difficult cases), and cystoscopy or fiberoptic colonoscopy when indicated.</w:t>
            </w:r>
            <w:r w:rsidRPr="00CB2EC4">
              <w:rPr>
                <w:rFonts w:ascii="Times New Roman" w:hAnsi="Times New Roman" w:cs="Times New Roman"/>
              </w:rPr>
              <w:br/>
              <w:t>- Management of abnormal indicators:</w:t>
            </w:r>
            <w:r w:rsidRPr="00CB2EC4">
              <w:rPr>
                <w:rFonts w:ascii="Times New Roman" w:hAnsi="Times New Roman" w:cs="Times New Roman"/>
              </w:rPr>
              <w:br/>
              <w:t xml:space="preserve">  - Anemia or low serum albumin: transfuse to correct hemoglobin; high-nutrition therapy to supplement protein and calories (3200 kcal/day).</w:t>
            </w:r>
            <w:r w:rsidRPr="00CB2EC4">
              <w:rPr>
                <w:rFonts w:ascii="Times New Roman" w:hAnsi="Times New Roman" w:cs="Times New Roman"/>
              </w:rPr>
              <w:br/>
              <w:t xml:space="preserve">  - Electrolyte imbalance: for hypokalemia (serum potassium &lt; 3.5 mmol/L), administer oral 10% potassium chloride solution 10–20 mL three times daily; for hyponatremia, restore normal salt intake.</w:t>
            </w:r>
            <w:r w:rsidRPr="00CB2EC4">
              <w:rPr>
                <w:rFonts w:ascii="Times New Roman" w:hAnsi="Times New Roman" w:cs="Times New Roman"/>
              </w:rPr>
              <w:br/>
              <w:t xml:space="preserve">  - Diabetes: if blood glucose &gt; 13.9 mmol/L, use short-acting insulin to control to &lt; 2.8 mmol/L; adjust diet preoperatively to avoid hypoglycemia.</w:t>
            </w:r>
            <w:r w:rsidRPr="00CB2EC4">
              <w:rPr>
                <w:rFonts w:ascii="Times New Roman" w:hAnsi="Times New Roman" w:cs="Times New Roman"/>
              </w:rPr>
              <w:br/>
              <w:t xml:space="preserve">  - Cardiopulmonary abnormalities: for hypoxemia (PaO₂ &lt; 60 mmHg), correct fluid and electrolyte balance, use medications such as atropine if necessary; postpone surgery until correction of acidosis.</w:t>
            </w:r>
            <w:r w:rsidRPr="00CB2EC4">
              <w:rPr>
                <w:rFonts w:ascii="Times New Roman" w:hAnsi="Times New Roman" w:cs="Times New Roman"/>
              </w:rPr>
              <w:br/>
              <w:t xml:space="preserve">  - Infection or inflammation: if leukocytosis is present, initiate antibiotics early (e.g., start 2 days in advance if infection is suspected).</w:t>
            </w:r>
            <w:r w:rsidRPr="00CB2EC4">
              <w:rPr>
                <w:rFonts w:ascii="Times New Roman" w:hAnsi="Times New Roman" w:cs="Times New Roman"/>
              </w:rPr>
              <w:br/>
              <w:t>The document emphasizes that comprehensive assessment and correction of abnormalities must be completed preoperatively to reduce surgical risk.</w:t>
            </w:r>
            <w:r w:rsidRPr="00CB2EC4">
              <w:rPr>
                <w:rFonts w:ascii="Times New Roman" w:hAnsi="Times New Roman" w:cs="Times New Roman"/>
              </w:rPr>
              <w:br/>
              <w:t>(source: document excerpts [similarity: 0.398], [similarity: 0.402], [similarity: 0.404])</w:t>
            </w:r>
          </w:p>
        </w:tc>
        <w:tc>
          <w:tcPr>
            <w:tcW w:w="1152" w:type="dxa"/>
            <w:vAlign w:val="center"/>
          </w:tcPr>
          <w:p w14:paraId="6C91EC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518AC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E92EA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98FCF2E" w14:textId="77777777">
        <w:tc>
          <w:tcPr>
            <w:tcW w:w="2160" w:type="dxa"/>
            <w:vAlign w:val="center"/>
          </w:tcPr>
          <w:p w14:paraId="19E4D5DC"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AED2472" w14:textId="77777777" w:rsidR="00922249" w:rsidRPr="00CB2EC4" w:rsidRDefault="003011D5">
            <w:pPr>
              <w:rPr>
                <w:rFonts w:ascii="Times New Roman" w:hAnsi="Times New Roman" w:cs="Times New Roman"/>
              </w:rPr>
            </w:pPr>
            <w:r w:rsidRPr="00CB2EC4">
              <w:rPr>
                <w:rFonts w:ascii="Times New Roman" w:hAnsi="Times New Roman" w:cs="Times New Roman"/>
              </w:rPr>
              <w:t>before gynecological tumor surgery, the following laboratory tests should be performed:</w:t>
            </w:r>
            <w:r w:rsidRPr="00CB2EC4">
              <w:rPr>
                <w:rFonts w:ascii="Times New Roman" w:hAnsi="Times New Roman" w:cs="Times New Roman"/>
              </w:rPr>
              <w:br/>
              <w:t>- routine tests: complete blood count (CBC), urinalysis, stool routine (the three major routine tests), used to assess basic health status.</w:t>
            </w:r>
            <w:r w:rsidRPr="00CB2EC4">
              <w:rPr>
                <w:rFonts w:ascii="Times New Roman" w:hAnsi="Times New Roman" w:cs="Times New Roman"/>
              </w:rPr>
              <w:br/>
            </w:r>
            <w:r w:rsidRPr="00CB2EC4">
              <w:rPr>
                <w:rFonts w:ascii="Times New Roman" w:hAnsi="Times New Roman" w:cs="Times New Roman"/>
              </w:rPr>
              <w:lastRenderedPageBreak/>
              <w:t>- blood biochemical tests: including electrolytes, liver and kidney function, blood glucose, etc., to evaluate metabolic state and organ function.</w:t>
            </w:r>
            <w:r w:rsidRPr="00CB2EC4">
              <w:rPr>
                <w:rFonts w:ascii="Times New Roman" w:hAnsi="Times New Roman" w:cs="Times New Roman"/>
              </w:rPr>
              <w:br/>
              <w:t>- coagulation function tests: to assess bleeding and coagulation mechanisms (document fragment 8 states that abnormal bleeding and coagulation mechanisms are contraindications).</w:t>
            </w:r>
            <w:r w:rsidRPr="00CB2EC4">
              <w:rPr>
                <w:rFonts w:ascii="Times New Roman" w:hAnsi="Times New Roman" w:cs="Times New Roman"/>
              </w:rPr>
              <w:br/>
              <w:t>- cardiac and pulmonary function tests: such as electrocardiogram (ECG), blood gas analysis, etc., to evaluate cardiopulmonary reserve (document fragment 28).</w:t>
            </w:r>
            <w:r w:rsidRPr="00CB2EC4">
              <w:rPr>
                <w:rFonts w:ascii="Times New Roman" w:hAnsi="Times New Roman" w:cs="Times New Roman"/>
              </w:rPr>
              <w:br/>
              <w:t>- other targeted tests: such as endocrine-related tests (e.g., thyroid function, document fragment 15), or imaging examinations (e.g., chest X-ray, CT, intravenous pyelography, document fragment 5), but imaging does not fall under laboratory testing.</w:t>
            </w:r>
            <w:r w:rsidRPr="00CB2EC4">
              <w:rPr>
                <w:rFonts w:ascii="Times New Roman" w:hAnsi="Times New Roman" w:cs="Times New Roman"/>
              </w:rPr>
              <w:br/>
            </w:r>
            <w:r w:rsidRPr="00CB2EC4">
              <w:rPr>
                <w:rFonts w:ascii="Times New Roman" w:hAnsi="Times New Roman" w:cs="Times New Roman"/>
              </w:rPr>
              <w:br/>
              <w:t>if abnormal indicators are found, management should be as follows:</w:t>
            </w:r>
            <w:r w:rsidRPr="00CB2EC4">
              <w:rPr>
                <w:rFonts w:ascii="Times New Roman" w:hAnsi="Times New Roman" w:cs="Times New Roman"/>
              </w:rPr>
              <w:br/>
              <w:t>- anemia or malnutrition: administer blood transfusion or high-nutrition supplementation (3200 kcal per day) to correct hemoglobin and serum protein levels (document fragment 21).</w:t>
            </w:r>
            <w:r w:rsidRPr="00CB2EC4">
              <w:rPr>
                <w:rFonts w:ascii="Times New Roman" w:hAnsi="Times New Roman" w:cs="Times New Roman"/>
              </w:rPr>
              <w:br/>
              <w:t>- electrolyte imbalance: correct orally or intravenously (e.g., for hypokalemia, administer 10% potassium chloride solution orally, document fragment 15).</w:t>
            </w:r>
            <w:r w:rsidRPr="00CB2EC4">
              <w:rPr>
                <w:rFonts w:ascii="Times New Roman" w:hAnsi="Times New Roman" w:cs="Times New Roman"/>
              </w:rPr>
              <w:br/>
              <w:t>- hyperglycemia (diabetes): monitor blood glucose preoperatively; if blood glucose &gt; 13.9 mmol/L, use short-acting insulin to control it to &lt;2.8 mmol/L and correct acidosis; postpone surgery until stable (document fragment 15).</w:t>
            </w:r>
            <w:r w:rsidRPr="00CB2EC4">
              <w:rPr>
                <w:rFonts w:ascii="Times New Roman" w:hAnsi="Times New Roman" w:cs="Times New Roman"/>
              </w:rPr>
              <w:br/>
              <w:t>- abnormal bleeding and coagulation: assess risk, and if necessary, postpone surgery or adjust anticoagulant therapy (document fragment 8).</w:t>
            </w:r>
            <w:r w:rsidRPr="00CB2EC4">
              <w:rPr>
                <w:rFonts w:ascii="Times New Roman" w:hAnsi="Times New Roman" w:cs="Times New Roman"/>
              </w:rPr>
              <w:br/>
            </w:r>
            <w:r w:rsidRPr="00CB2EC4">
              <w:rPr>
                <w:rFonts w:ascii="Times New Roman" w:hAnsi="Times New Roman" w:cs="Times New Roman"/>
              </w:rPr>
              <w:lastRenderedPageBreak/>
              <w:t>- other abnormalities: manage according to specific etiology, such as using antibiotics for infection or consulting relevant specialists.</w:t>
            </w:r>
            <w:r w:rsidRPr="00CB2EC4">
              <w:rPr>
                <w:rFonts w:ascii="Times New Roman" w:hAnsi="Times New Roman" w:cs="Times New Roman"/>
              </w:rPr>
              <w:br/>
            </w:r>
            <w:r w:rsidRPr="00CB2EC4">
              <w:rPr>
                <w:rFonts w:ascii="Times New Roman" w:hAnsi="Times New Roman" w:cs="Times New Roman"/>
              </w:rPr>
              <w:br/>
              <w:t>the context does not provide specific management details for all abnormalities, but the above is based on general principles and information from the document fragments.</w:t>
            </w:r>
          </w:p>
        </w:tc>
        <w:tc>
          <w:tcPr>
            <w:tcW w:w="1152" w:type="dxa"/>
            <w:vAlign w:val="center"/>
          </w:tcPr>
          <w:p w14:paraId="769C2D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07F5D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1439A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C01605E" w14:textId="77777777">
        <w:tc>
          <w:tcPr>
            <w:tcW w:w="2160" w:type="dxa"/>
            <w:vAlign w:val="center"/>
          </w:tcPr>
          <w:p w14:paraId="4D0BF67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5EFC375C" w14:textId="77777777" w:rsidR="00922249" w:rsidRPr="00CB2EC4" w:rsidRDefault="003011D5">
            <w:pPr>
              <w:rPr>
                <w:rFonts w:ascii="Times New Roman" w:hAnsi="Times New Roman" w:cs="Times New Roman"/>
              </w:rPr>
            </w:pPr>
            <w:r w:rsidRPr="00CB2EC4">
              <w:rPr>
                <w:rFonts w:ascii="Times New Roman" w:hAnsi="Times New Roman" w:cs="Times New Roman"/>
              </w:rPr>
              <w:t># Preoperative Laboratory Tests for Gynecological Tumors:</w:t>
            </w:r>
            <w:r w:rsidRPr="00CB2EC4">
              <w:rPr>
                <w:rFonts w:ascii="Times New Roman" w:hAnsi="Times New Roman" w:cs="Times New Roman"/>
              </w:rPr>
              <w:br/>
              <w:t>- Complete blood count: Includes hemoglobin (to assess anemia) and plasma protein (to evaluate nutritional status). Fragment 4 emphasizes correcting anemia and malnutrition; hemoglobin below normal requires blood transfusion.</w:t>
            </w:r>
            <w:r w:rsidRPr="00CB2EC4">
              <w:rPr>
                <w:rFonts w:ascii="Times New Roman" w:hAnsi="Times New Roman" w:cs="Times New Roman"/>
              </w:rPr>
              <w:br/>
              <w:t>- Liver function tests: Such as transaminases (ALT/AST) and viral hepatitis serology (Fragment 3). Abnormal results require ultrasound or CT to examine liver structure.</w:t>
            </w:r>
            <w:r w:rsidRPr="00CB2EC4">
              <w:rPr>
                <w:rFonts w:ascii="Times New Roman" w:hAnsi="Times New Roman" w:cs="Times New Roman"/>
              </w:rPr>
              <w:br/>
              <w:t>- Renal function tests: Includes blood potassium, sodium, blood urea nitrogen (BUN), and serum creatinine (Fragment 3). Focus on electrolyte imbalances.</w:t>
            </w:r>
            <w:r w:rsidRPr="00CB2EC4">
              <w:rPr>
                <w:rFonts w:ascii="Times New Roman" w:hAnsi="Times New Roman" w:cs="Times New Roman"/>
              </w:rPr>
              <w:br/>
              <w:t>- Endocrine tests: Primarily blood glucose and urine glucose (to assess diabetes). Fragment 3 mentions checking blood electrolytes and blood gas analysis if acidosis is present.</w:t>
            </w:r>
            <w:r w:rsidRPr="00CB2EC4">
              <w:rPr>
                <w:rFonts w:ascii="Times New Roman" w:hAnsi="Times New Roman" w:cs="Times New Roman"/>
              </w:rPr>
              <w:br/>
              <w:t>- Coagulation function tests: Fragment 4 mentions venous thromboembolism prophylaxis; coagulation parameters should be evaluated. In practice, this may include prothrombin time (PT) and activated partial thromboplastin time (APTT).</w:t>
            </w:r>
            <w:r w:rsidRPr="00CB2EC4">
              <w:rPr>
                <w:rFonts w:ascii="Times New Roman" w:hAnsi="Times New Roman" w:cs="Times New Roman"/>
              </w:rPr>
              <w:br/>
              <w:t xml:space="preserve">- Others: Based on comorbidities, such as blood pressure monitoring for hypertension; chest X-ray (to </w:t>
            </w:r>
            <w:r w:rsidRPr="00CB2EC4">
              <w:rPr>
                <w:rFonts w:ascii="Times New Roman" w:hAnsi="Times New Roman" w:cs="Times New Roman"/>
              </w:rPr>
              <w:lastRenderedPageBreak/>
              <w:t>screen for pulmonary disease, especially in patients over 40 or with malignancy); intravenous pyelography (to assess urinary tract, Fragment 3).</w:t>
            </w:r>
            <w:r w:rsidRPr="00CB2EC4">
              <w:rPr>
                <w:rFonts w:ascii="Times New Roman" w:hAnsi="Times New Roman" w:cs="Times New Roman"/>
              </w:rPr>
              <w:br/>
            </w:r>
            <w:r w:rsidRPr="00CB2EC4">
              <w:rPr>
                <w:rFonts w:ascii="Times New Roman" w:hAnsi="Times New Roman" w:cs="Times New Roman"/>
              </w:rPr>
              <w:br/>
              <w:t># Management of Abnormal Indicators:</w:t>
            </w:r>
            <w:r w:rsidRPr="00CB2EC4">
              <w:rPr>
                <w:rFonts w:ascii="Times New Roman" w:hAnsi="Times New Roman" w:cs="Times New Roman"/>
              </w:rPr>
              <w:br/>
              <w:t>- Anemia (low hemoglobin): Administer blood transfusion in small, divided doses to elevate hemoglobin to above 8–10 g/dL, improving oxygenation and tolerance to blood loss (Fragment 4).</w:t>
            </w:r>
            <w:r w:rsidRPr="00CB2EC4">
              <w:rPr>
                <w:rFonts w:ascii="Times New Roman" w:hAnsi="Times New Roman" w:cs="Times New Roman"/>
              </w:rPr>
              <w:br/>
              <w:t>- Liver function abnormalities (e.g., elevated transaminases): Investigate causes (e.g., viral hepatitis, alcoholic hepatitis); avoid hepatotoxic drugs. For cirrhotic patients, correct fluid and electrolyte imbalances, provide nutritional support, use diuretics to eliminate ascites, and correct coagulation defects (Fragment 3).</w:t>
            </w:r>
            <w:r w:rsidRPr="00CB2EC4">
              <w:rPr>
                <w:rFonts w:ascii="Times New Roman" w:hAnsi="Times New Roman" w:cs="Times New Roman"/>
              </w:rPr>
              <w:br/>
              <w:t>- Renal function abnormalities (e.g., low potassium or elevated BUN): Correct electrolyte imbalances (e.g., oral potassium chloride for hypokalemia); patients with chronic renal failure require dialysis to optimize fluid and electrolyte status (Fragment 3).</w:t>
            </w:r>
            <w:r w:rsidRPr="00CB2EC4">
              <w:rPr>
                <w:rFonts w:ascii="Times New Roman" w:hAnsi="Times New Roman" w:cs="Times New Roman"/>
              </w:rPr>
              <w:br/>
              <w:t>- Diabetes (hyperglycemia): Control blood glucose to &lt;13.9 mmol/L (250 mg/dL) using short-acting insulin; patients with diabetic ketoacidosis should postpone surgery until correction (Fragment 3).</w:t>
            </w:r>
            <w:r w:rsidRPr="00CB2EC4">
              <w:rPr>
                <w:rFonts w:ascii="Times New Roman" w:hAnsi="Times New Roman" w:cs="Times New Roman"/>
              </w:rPr>
              <w:br/>
              <w:t>- Hypertension: Administer preoperative antihypertensive therapy to normalize or near-normalize blood pressure; avoid γ- and β-receptor blockers (e.g., propranolol), discontinue 2–3 days before surgery (Fragment 3).</w:t>
            </w:r>
            <w:r w:rsidRPr="00CB2EC4">
              <w:rPr>
                <w:rFonts w:ascii="Times New Roman" w:hAnsi="Times New Roman" w:cs="Times New Roman"/>
              </w:rPr>
              <w:br/>
              <w:t>- Coagulation dysfunction: Fragment 4 mentions low-dose heparin for thrombosis prevention; abnormal results require individualized anticoagulation adjustment based on specific circumstances.</w:t>
            </w:r>
            <w:r w:rsidRPr="00CB2EC4">
              <w:rPr>
                <w:rFonts w:ascii="Times New Roman" w:hAnsi="Times New Roman" w:cs="Times New Roman"/>
              </w:rPr>
              <w:br/>
            </w:r>
            <w:r w:rsidRPr="00CB2EC4">
              <w:rPr>
                <w:rFonts w:ascii="Times New Roman" w:hAnsi="Times New Roman" w:cs="Times New Roman"/>
              </w:rPr>
              <w:lastRenderedPageBreak/>
              <w:br/>
              <w:t>Management principle: Based on the cause and severity of abnormalities, implement measures such as medication, nutritional support, or surgery postponement to ensure patient tolerance to surgery (Fragments 3 and 4).</w:t>
            </w:r>
          </w:p>
        </w:tc>
        <w:tc>
          <w:tcPr>
            <w:tcW w:w="1152" w:type="dxa"/>
            <w:vAlign w:val="center"/>
          </w:tcPr>
          <w:p w14:paraId="0CE49A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902C8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ADBC4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FCB7B13" w14:textId="77777777">
        <w:tc>
          <w:tcPr>
            <w:tcW w:w="2160" w:type="dxa"/>
            <w:vAlign w:val="center"/>
          </w:tcPr>
          <w:p w14:paraId="7BDAB93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110015E6" w14:textId="77777777" w:rsidR="00922249" w:rsidRPr="00CB2EC4" w:rsidRDefault="003011D5">
            <w:pPr>
              <w:rPr>
                <w:rFonts w:ascii="Times New Roman" w:hAnsi="Times New Roman" w:cs="Times New Roman"/>
              </w:rPr>
            </w:pPr>
            <w:r w:rsidRPr="00CB2EC4">
              <w:rPr>
                <w:rFonts w:ascii="Times New Roman" w:hAnsi="Times New Roman" w:cs="Times New Roman"/>
              </w:rPr>
              <w:t>gynecological tumor surgery should undergo the following laboratory tests preoperatively:</w:t>
            </w:r>
            <w:r w:rsidRPr="00CB2EC4">
              <w:rPr>
                <w:rFonts w:ascii="Times New Roman" w:hAnsi="Times New Roman" w:cs="Times New Roman"/>
              </w:rPr>
              <w:br/>
              <w:t xml:space="preserve">  - Routine tests: complete blood count (to assess anemia and infection), coagulation profile (PT, APTT, INR), comprehensive biochemistry (including liver and renal function, electrolytes), urinalysis, and infection serology markers (e.g., HIV, HBV, HCV).</w:t>
            </w:r>
            <w:r w:rsidRPr="00CB2EC4">
              <w:rPr>
                <w:rFonts w:ascii="Times New Roman" w:hAnsi="Times New Roman" w:cs="Times New Roman"/>
              </w:rPr>
              <w:br/>
              <w:t xml:space="preserve">  - Tumor-related tests: depending on tumor type, may include tumor markers (e.g., CA-125 for ovarian cancer).</w:t>
            </w:r>
            <w:r w:rsidRPr="00CB2EC4">
              <w:rPr>
                <w:rFonts w:ascii="Times New Roman" w:hAnsi="Times New Roman" w:cs="Times New Roman"/>
              </w:rPr>
              <w:br/>
              <w:t>- Management of abnormal indicators:</w:t>
            </w:r>
            <w:r w:rsidRPr="00CB2EC4">
              <w:rPr>
                <w:rFonts w:ascii="Times New Roman" w:hAnsi="Times New Roman" w:cs="Times New Roman"/>
              </w:rPr>
              <w:br/>
              <w:t xml:space="preserve">  - Anemia (e.g., hemoglobin &lt; 100 g/L): administer preoperative blood transfusion to correct, and evaluate the cause (e.g., tumor-related bleeding).</w:t>
            </w:r>
            <w:r w:rsidRPr="00CB2EC4">
              <w:rPr>
                <w:rFonts w:ascii="Times New Roman" w:hAnsi="Times New Roman" w:cs="Times New Roman"/>
              </w:rPr>
              <w:br/>
              <w:t xml:space="preserve">  - Coagulation dysfunction (e.g., INR &gt; 1.5): postpone surgery, correct with vitamin K or fresh frozen plasma, and investigate medication effects (e.g., anticoagulants).</w:t>
            </w:r>
            <w:r w:rsidRPr="00CB2EC4">
              <w:rPr>
                <w:rFonts w:ascii="Times New Roman" w:hAnsi="Times New Roman" w:cs="Times New Roman"/>
              </w:rPr>
              <w:br/>
              <w:t xml:space="preserve">  - Renal dysfunction (e.g., elevated creatinine): delay surgery, provide hydration therapy or dialysis, and assess renal risk.</w:t>
            </w:r>
            <w:r w:rsidRPr="00CB2EC4">
              <w:rPr>
                <w:rFonts w:ascii="Times New Roman" w:hAnsi="Times New Roman" w:cs="Times New Roman"/>
              </w:rPr>
              <w:br/>
              <w:t xml:space="preserve">  - Positive infection serology: initiate preoperative anti-infective therapy (e.g., antibiotics), and proceed with surgery only after infection control.</w:t>
            </w:r>
            <w:r w:rsidRPr="00CB2EC4">
              <w:rPr>
                <w:rFonts w:ascii="Times New Roman" w:hAnsi="Times New Roman" w:cs="Times New Roman"/>
              </w:rPr>
              <w:br/>
              <w:t xml:space="preserve">  Literature emphasizes that all abnormalities require multidisciplinary evaluation, with surgery deferred until indicators stabilize to reduce intraoperative risk.</w:t>
            </w:r>
          </w:p>
        </w:tc>
        <w:tc>
          <w:tcPr>
            <w:tcW w:w="1152" w:type="dxa"/>
            <w:vAlign w:val="center"/>
          </w:tcPr>
          <w:p w14:paraId="4B54E4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2DE75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B53FA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AC17D59" w14:textId="77777777">
        <w:tc>
          <w:tcPr>
            <w:tcW w:w="10656" w:type="dxa"/>
            <w:gridSpan w:val="5"/>
            <w:tcBorders>
              <w:bottom w:val="single" w:sz="6" w:space="0" w:color="auto"/>
            </w:tcBorders>
            <w:vAlign w:val="center"/>
          </w:tcPr>
          <w:p w14:paraId="1C3D67BD" w14:textId="77777777" w:rsidR="00922249" w:rsidRPr="00CB2EC4" w:rsidRDefault="003011D5">
            <w:pPr>
              <w:rPr>
                <w:rFonts w:ascii="Times New Roman" w:hAnsi="Times New Roman" w:cs="Times New Roman"/>
              </w:rPr>
            </w:pPr>
            <w:r w:rsidRPr="00CB2EC4">
              <w:rPr>
                <w:rFonts w:ascii="Times New Roman" w:hAnsi="Times New Roman" w:cs="Times New Roman"/>
                <w:b/>
              </w:rPr>
              <w:lastRenderedPageBreak/>
              <w:t>Question 134: What is the optimal preoperative administration time for prophylactic antibiotics in gynecologic oncology surgery?</w:t>
            </w:r>
          </w:p>
        </w:tc>
      </w:tr>
      <w:tr w:rsidR="00922249" w:rsidRPr="00CB2EC4" w14:paraId="67F60569" w14:textId="77777777">
        <w:tc>
          <w:tcPr>
            <w:tcW w:w="2160" w:type="dxa"/>
            <w:vAlign w:val="center"/>
          </w:tcPr>
          <w:p w14:paraId="6BF2A84E"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72FA49B"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59CABA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1592C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500BA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BD24A49" w14:textId="77777777">
        <w:tc>
          <w:tcPr>
            <w:tcW w:w="2160" w:type="dxa"/>
            <w:vAlign w:val="center"/>
          </w:tcPr>
          <w:p w14:paraId="643A770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1F4C78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optimal timing for prophylactic antibiotic administration before gynecologic oncology surgery depends on the risk of infection:  </w:t>
            </w:r>
            <w:r w:rsidRPr="00CB2EC4">
              <w:rPr>
                <w:rFonts w:ascii="Times New Roman" w:hAnsi="Times New Roman" w:cs="Times New Roman"/>
              </w:rPr>
              <w:br/>
              <w:t xml:space="preserve">- For patients without signs of infection: administer antibiotics intraoperatively.  </w:t>
            </w:r>
            <w:r w:rsidRPr="00CB2EC4">
              <w:rPr>
                <w:rFonts w:ascii="Times New Roman" w:hAnsi="Times New Roman" w:cs="Times New Roman"/>
              </w:rPr>
              <w:br/>
              <w:t xml:space="preserve">- When infection at the surgical site is suspected: begin antibiotics 2 days in advance (e.g., on the day before surgery or earlier).  </w:t>
            </w:r>
            <w:r w:rsidRPr="00CB2EC4">
              <w:rPr>
                <w:rFonts w:ascii="Times New Roman" w:hAnsi="Times New Roman" w:cs="Times New Roman"/>
              </w:rPr>
              <w:br/>
              <w:t xml:space="preserve">The document does not specify exact preoperative minutes (e.g., 30–60 minutes), but based on the content, the best timing is flexibly adjusted according to infection risk: low-risk patients receive intraoperative antibiotics, high-risk patients start 2 days preoperatively.  </w:t>
            </w:r>
            <w:r w:rsidRPr="00CB2EC4">
              <w:rPr>
                <w:rFonts w:ascii="Times New Roman" w:hAnsi="Times New Roman" w:cs="Times New Roman"/>
              </w:rPr>
              <w:br/>
              <w:t>(Reference: Block 155)</w:t>
            </w:r>
          </w:p>
        </w:tc>
        <w:tc>
          <w:tcPr>
            <w:tcW w:w="1152" w:type="dxa"/>
            <w:vAlign w:val="center"/>
          </w:tcPr>
          <w:p w14:paraId="1697F9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F4529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B65CF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F9023AB" w14:textId="77777777">
        <w:tc>
          <w:tcPr>
            <w:tcW w:w="2160" w:type="dxa"/>
            <w:vAlign w:val="center"/>
          </w:tcPr>
          <w:p w14:paraId="1D7877E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19CF19F" w14:textId="77777777" w:rsidR="00922249" w:rsidRPr="00CB2EC4" w:rsidRDefault="003011D5">
            <w:pPr>
              <w:rPr>
                <w:rFonts w:ascii="Times New Roman" w:hAnsi="Times New Roman" w:cs="Times New Roman"/>
              </w:rPr>
            </w:pPr>
            <w:r w:rsidRPr="00CB2EC4">
              <w:rPr>
                <w:rFonts w:ascii="Times New Roman" w:hAnsi="Times New Roman" w:cs="Times New Roman"/>
              </w:rPr>
              <w:t>the optimal timing for administering prophylactic antibiotics in gynecologic oncology surgery is 1 to 2 hours before the incision.</w:t>
            </w:r>
            <w:r w:rsidRPr="00CB2EC4">
              <w:rPr>
                <w:rFonts w:ascii="Times New Roman" w:hAnsi="Times New Roman" w:cs="Times New Roman"/>
              </w:rPr>
              <w:br/>
            </w:r>
            <w:r w:rsidRPr="00CB2EC4">
              <w:rPr>
                <w:rFonts w:ascii="Times New Roman" w:hAnsi="Times New Roman" w:cs="Times New Roman"/>
              </w:rPr>
              <w:br/>
              <w:t>- Fragment 6 explicitly states: “Antibiotics should be given preoperatively, typically cefazolin 1g intravenously, with the first dose administered 2 hours prior to surgery.”</w:t>
            </w:r>
            <w:r w:rsidRPr="00CB2EC4">
              <w:rPr>
                <w:rFonts w:ascii="Times New Roman" w:hAnsi="Times New Roman" w:cs="Times New Roman"/>
              </w:rPr>
              <w:br/>
              <w:t>- Fragment 17 adds: “It is generally accepted that prophylactic antibiotics should be administered preoperatively. The optimal time is 1 to 2 hours before surgery.” It also notes that starting antibiotics 30 minutes preoperatively (with repeat doses every 6–8 hours) yields equivalent outcomes, but the preferred recommendation remains 1 to 2 hours before surgery.</w:t>
            </w:r>
            <w:r w:rsidRPr="00CB2EC4">
              <w:rPr>
                <w:rFonts w:ascii="Times New Roman" w:hAnsi="Times New Roman" w:cs="Times New Roman"/>
              </w:rPr>
              <w:br/>
              <w:t xml:space="preserve">Therefore, the best window for the initial intravenous </w:t>
            </w:r>
            <w:r w:rsidRPr="00CB2EC4">
              <w:rPr>
                <w:rFonts w:ascii="Times New Roman" w:hAnsi="Times New Roman" w:cs="Times New Roman"/>
              </w:rPr>
              <w:lastRenderedPageBreak/>
              <w:t>dose is 1 to 2 hours preoperatively; repeat dosing is required if surgery exceeds 3 hours (Fragment 6).</w:t>
            </w:r>
          </w:p>
        </w:tc>
        <w:tc>
          <w:tcPr>
            <w:tcW w:w="1152" w:type="dxa"/>
            <w:vAlign w:val="center"/>
          </w:tcPr>
          <w:p w14:paraId="6CEE41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B592B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E523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DBFC5F" w14:textId="77777777">
        <w:tc>
          <w:tcPr>
            <w:tcW w:w="2160" w:type="dxa"/>
            <w:vAlign w:val="center"/>
          </w:tcPr>
          <w:p w14:paraId="67B53142"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D2F9E86" w14:textId="77777777" w:rsidR="00922249" w:rsidRPr="00CB2EC4" w:rsidRDefault="003011D5">
            <w:pPr>
              <w:rPr>
                <w:rFonts w:ascii="Times New Roman" w:hAnsi="Times New Roman" w:cs="Times New Roman"/>
              </w:rPr>
            </w:pPr>
            <w:r w:rsidRPr="00CB2EC4">
              <w:rPr>
                <w:rFonts w:ascii="Times New Roman" w:hAnsi="Times New Roman" w:cs="Times New Roman"/>
              </w:rPr>
              <w:t>the optimal timing for administering prophylactic antibiotics in gynecologic oncology surgery is 30 minutes before skin incision, initiated via intravenous route. this timing ensures effective serum antibiotic concentrations are achieved at the start of surgery to cover potential contamination.</w:t>
            </w:r>
            <w:r w:rsidRPr="00CB2EC4">
              <w:rPr>
                <w:rFonts w:ascii="Times New Roman" w:hAnsi="Times New Roman" w:cs="Times New Roman"/>
              </w:rPr>
              <w:br/>
            </w:r>
            <w:r w:rsidRPr="00CB2EC4">
              <w:rPr>
                <w:rFonts w:ascii="Times New Roman" w:hAnsi="Times New Roman" w:cs="Times New Roman"/>
              </w:rPr>
              <w:br/>
              <w:t>- specific administration method: third-generation cephalosporins (e.g., ceftriaxone or cefoperazone) are typically used. for example, ceftriaxone does not require redosing; cefoperazone and similar agents require an additional dose if surgery exceeds 3 hours or significant blood loss occurs.</w:t>
            </w:r>
            <w:r w:rsidRPr="00CB2EC4">
              <w:rPr>
                <w:rFonts w:ascii="Times New Roman" w:hAnsi="Times New Roman" w:cs="Times New Roman"/>
              </w:rPr>
              <w:br/>
              <w:t>- rationale for antibiotic selection: targets common pathogens in gynecologic surgery (gram-negative bacteria and anaerobes), and third-generation cephalosporins effectively prevent incision and pelvic infections.</w:t>
            </w:r>
            <w:r w:rsidRPr="00CB2EC4">
              <w:rPr>
                <w:rFonts w:ascii="Times New Roman" w:hAnsi="Times New Roman" w:cs="Times New Roman"/>
              </w:rPr>
              <w:br/>
            </w:r>
            <w:r w:rsidRPr="00CB2EC4">
              <w:rPr>
                <w:rFonts w:ascii="Times New Roman" w:hAnsi="Times New Roman" w:cs="Times New Roman"/>
              </w:rPr>
              <w:br/>
              <w:t>notes: antibiotic selection must be adjusted based on patient allergy history and local resistance patterns; postoperative extension of prophylaxis is not recommended unless clear signs of infection are present.</w:t>
            </w:r>
            <w:r w:rsidRPr="00CB2EC4">
              <w:rPr>
                <w:rFonts w:ascii="Times New Roman" w:hAnsi="Times New Roman" w:cs="Times New Roman"/>
              </w:rPr>
              <w:br/>
            </w:r>
            <w:r w:rsidRPr="00CB2EC4">
              <w:rPr>
                <w:rFonts w:ascii="Times New Roman" w:hAnsi="Times New Roman" w:cs="Times New Roman"/>
              </w:rPr>
              <w:br/>
              <w:t>sources:</w:t>
            </w:r>
            <w:r w:rsidRPr="00CB2EC4">
              <w:rPr>
                <w:rFonts w:ascii="Times New Roman" w:hAnsi="Times New Roman" w:cs="Times New Roman"/>
              </w:rPr>
              <w:br/>
              <w:t>- knowledge base document: explicitly specifies the timing ("prophylactic antimicrobial drug administration: ... begin 30 min before skin incision"), repeated in multiple surgical descriptions (e.g., biliary atresia and esophageal atresia procedures).</w:t>
            </w:r>
            <w:r w:rsidRPr="00CB2EC4">
              <w:rPr>
                <w:rFonts w:ascii="Times New Roman" w:hAnsi="Times New Roman" w:cs="Times New Roman"/>
              </w:rPr>
              <w:br/>
              <w:t xml:space="preserve">- web search results: do not specify exact timing but </w:t>
            </w:r>
            <w:r w:rsidRPr="00CB2EC4">
              <w:rPr>
                <w:rFonts w:ascii="Times New Roman" w:hAnsi="Times New Roman" w:cs="Times New Roman"/>
              </w:rPr>
              <w:lastRenderedPageBreak/>
              <w:t>support the framework of antibiotic stewardship, emphasizing standards for prophylactic use (e.g., review of "specific restricted antibiotics"), reinforcing the importance of protocol adherence.</w:t>
            </w:r>
            <w:r w:rsidRPr="00CB2EC4">
              <w:rPr>
                <w:rFonts w:ascii="Times New Roman" w:hAnsi="Times New Roman" w:cs="Times New Roman"/>
              </w:rPr>
              <w:br/>
              <w:t>- synthesis: the knowledge base provides direct evidence for timing; web results contextualize antibiotic management but do not alter the core 30-minute pre-incision recommendation.</w:t>
            </w:r>
          </w:p>
        </w:tc>
        <w:tc>
          <w:tcPr>
            <w:tcW w:w="1152" w:type="dxa"/>
            <w:vAlign w:val="center"/>
          </w:tcPr>
          <w:p w14:paraId="16E143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AEAA1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6379F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F8C93FD" w14:textId="77777777">
        <w:tc>
          <w:tcPr>
            <w:tcW w:w="2160" w:type="dxa"/>
            <w:vAlign w:val="center"/>
          </w:tcPr>
          <w:p w14:paraId="686DB109"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32D8F0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specific information is provided in the document regarding the optimal timing for prophylactic antibiotic administration before gynecological tumor surgery (e.g., 30 minutes or 1 hour pre-incision).  </w:t>
            </w:r>
            <w:r w:rsidRPr="00CB2EC4">
              <w:rPr>
                <w:rFonts w:ascii="Times New Roman" w:hAnsi="Times New Roman" w:cs="Times New Roman"/>
              </w:rPr>
              <w:br/>
              <w:t xml:space="preserve">- document fragment 9 states: "antibiotics are administered intraoperatively for patients without infection symptoms; if infection is suspected at the lesion site, antibiotics are started 2 days in advance," but does not specify the preoperative timing for prophylactic antibiotics.  </w:t>
            </w:r>
            <w:r w:rsidRPr="00CB2EC4">
              <w:rPr>
                <w:rFonts w:ascii="Times New Roman" w:hAnsi="Times New Roman" w:cs="Times New Roman"/>
              </w:rPr>
              <w:br/>
              <w:t>- other fragments (e.g., fragment 16) discuss preoperative oral antibiotics for bowel preparation (3–5 days prior), but do not address the timing of systemic prophylactic antibiotics.</w:t>
            </w:r>
          </w:p>
        </w:tc>
        <w:tc>
          <w:tcPr>
            <w:tcW w:w="1152" w:type="dxa"/>
            <w:vAlign w:val="center"/>
          </w:tcPr>
          <w:p w14:paraId="15D48A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5C31F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98CF4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93E205B" w14:textId="77777777">
        <w:tc>
          <w:tcPr>
            <w:tcW w:w="2160" w:type="dxa"/>
            <w:vAlign w:val="center"/>
          </w:tcPr>
          <w:p w14:paraId="3F162175"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F0E6975" w14:textId="77777777" w:rsidR="00922249" w:rsidRPr="00CB2EC4" w:rsidRDefault="003011D5">
            <w:pPr>
              <w:rPr>
                <w:rFonts w:ascii="Times New Roman" w:hAnsi="Times New Roman" w:cs="Times New Roman"/>
              </w:rPr>
            </w:pPr>
            <w:r w:rsidRPr="00CB2EC4">
              <w:rPr>
                <w:rFonts w:ascii="Times New Roman" w:hAnsi="Times New Roman" w:cs="Times New Roman"/>
              </w:rPr>
              <w:t>the optimal timing for administering prophylactic antibiotics in gynecologic oncology surgery is 2 hours before incision. Evidence from Table 3-3 shows that infection rates are 0.59% when antibiotics are given preoperatively within 0–2 hours, compared to 1.4% for early postoperative (0–3 hours) and 3.3% for late postoperative (&gt;3 hours) administration. Recommended agents include cefazolin (1g IV), with repeat dosing required for procedures exceeding 3 hours.</w:t>
            </w:r>
          </w:p>
        </w:tc>
        <w:tc>
          <w:tcPr>
            <w:tcW w:w="1152" w:type="dxa"/>
            <w:vAlign w:val="center"/>
          </w:tcPr>
          <w:p w14:paraId="76F093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4B38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B823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5CDDD6" w14:textId="77777777">
        <w:tc>
          <w:tcPr>
            <w:tcW w:w="2160" w:type="dxa"/>
            <w:vAlign w:val="center"/>
          </w:tcPr>
          <w:p w14:paraId="6F6C21D7"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25B2CB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found in the document for the standard </w:t>
            </w:r>
            <w:r w:rsidRPr="00CB2EC4">
              <w:rPr>
                <w:rFonts w:ascii="Times New Roman" w:hAnsi="Times New Roman" w:cs="Times New Roman"/>
              </w:rPr>
              <w:lastRenderedPageBreak/>
              <w:t>timing of prophylactic antibiotic administration before gynecological oncology surgery (e.g., preoperative 1 hour); the document only states "when infection is suspected, start antibiotics 2 days in advance" (HyDE similarity: 0.429), which pertains to therapeutic use in suspected infection, not routine prophylaxis.</w:t>
            </w:r>
          </w:p>
        </w:tc>
        <w:tc>
          <w:tcPr>
            <w:tcW w:w="1152" w:type="dxa"/>
            <w:vAlign w:val="center"/>
          </w:tcPr>
          <w:p w14:paraId="1ECE58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D1C29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C6FF6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D3E967C" w14:textId="77777777">
        <w:tc>
          <w:tcPr>
            <w:tcW w:w="2160" w:type="dxa"/>
            <w:vAlign w:val="center"/>
          </w:tcPr>
          <w:p w14:paraId="6BB724D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C0D64F5"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information in Document Fragment 11 (similarity: 0.448), the optimal timing for prophylactic antibiotics in gynecologic oncology surgery is 0-2 hours before skin incision. The document clearly states through comparative studies: "The timing of prophylactic antibiotic administration...before surgery (0~2h before skin incision)...infection rate 0.59%...early after surgery (0~3h after skin incision)...infection rate 1.4%...late after surgery (&gt;3h after skin incision)...infection rate 3.3%," and recommends "the first dose should be administered 2 hours before surgery." Additionally, if the surgery duration exceeds 3 hours, repeat dosing every 3 hours after the initial administration is required to maintain effective concentrations. Commonly used antibiotics include cefazolin (1g intravenous injection).</w:t>
            </w:r>
          </w:p>
        </w:tc>
        <w:tc>
          <w:tcPr>
            <w:tcW w:w="1152" w:type="dxa"/>
            <w:vAlign w:val="center"/>
          </w:tcPr>
          <w:p w14:paraId="58E6F9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00AE0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C4063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EC8DD10" w14:textId="77777777">
        <w:tc>
          <w:tcPr>
            <w:tcW w:w="2160" w:type="dxa"/>
            <w:vAlign w:val="center"/>
          </w:tcPr>
          <w:p w14:paraId="251FEA9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4767625" w14:textId="77777777" w:rsidR="00922249" w:rsidRPr="00CB2EC4" w:rsidRDefault="003011D5">
            <w:pPr>
              <w:rPr>
                <w:rFonts w:ascii="Times New Roman" w:hAnsi="Times New Roman" w:cs="Times New Roman"/>
              </w:rPr>
            </w:pPr>
            <w:r w:rsidRPr="00CB2EC4">
              <w:rPr>
                <w:rFonts w:ascii="Times New Roman" w:hAnsi="Times New Roman" w:cs="Times New Roman"/>
              </w:rPr>
              <w:t>the optimal timing for administering prophylactic antibiotics before gynecological oncology surgery is not explicitly stated in the document. The document only specifies that antibiotics should be started 2 days in advance when infection of the lesion is suspected, but does not provide guidance on the standard timing for routine prophylaxis (e.g., 30–60 minutes before incision).</w:t>
            </w:r>
          </w:p>
        </w:tc>
        <w:tc>
          <w:tcPr>
            <w:tcW w:w="1152" w:type="dxa"/>
            <w:vAlign w:val="center"/>
          </w:tcPr>
          <w:p w14:paraId="5F9F4F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DB97D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019F4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5E02053" w14:textId="77777777">
        <w:tc>
          <w:tcPr>
            <w:tcW w:w="2160" w:type="dxa"/>
            <w:vAlign w:val="center"/>
          </w:tcPr>
          <w:p w14:paraId="4AD555A0"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542B86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optimal timing for administering prophylactic antibiotics before gynecological oncology surgery is 1 </w:t>
            </w:r>
            <w:r w:rsidRPr="00CB2EC4">
              <w:rPr>
                <w:rFonts w:ascii="Times New Roman" w:hAnsi="Times New Roman" w:cs="Times New Roman"/>
              </w:rPr>
              <w:lastRenderedPageBreak/>
              <w:t>to 2 hours preoperatively.</w:t>
            </w:r>
            <w:r w:rsidRPr="00CB2EC4">
              <w:rPr>
                <w:rFonts w:ascii="Times New Roman" w:hAnsi="Times New Roman" w:cs="Times New Roman"/>
              </w:rPr>
              <w:br/>
            </w:r>
            <w:r w:rsidRPr="00CB2EC4">
              <w:rPr>
                <w:rFonts w:ascii="Times New Roman" w:hAnsi="Times New Roman" w:cs="Times New Roman"/>
              </w:rPr>
              <w:br/>
              <w:t>- Detailed explanation: The context explicitly states, "It is generally believed that prophylactic antibiotics should be used before surgery. The best time is 1 to 2 hours before surgery." Research supports initiating administration 30 minutes preoperatively (with intravenous dosing every 6 to 8 hours for a total of 3 doses), which yields outcomes equivalent to continuous postoperative use; postoperative administration should not be prolonged (Source: Document Fragment 14).</w:t>
            </w:r>
          </w:p>
        </w:tc>
        <w:tc>
          <w:tcPr>
            <w:tcW w:w="1152" w:type="dxa"/>
            <w:vAlign w:val="center"/>
          </w:tcPr>
          <w:p w14:paraId="1BA973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BF04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2725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5A7F76D" w14:textId="77777777">
        <w:tc>
          <w:tcPr>
            <w:tcW w:w="2160" w:type="dxa"/>
            <w:vAlign w:val="center"/>
          </w:tcPr>
          <w:p w14:paraId="2244E75F"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86CEB79" w14:textId="77777777" w:rsidR="00922249" w:rsidRPr="00CB2EC4" w:rsidRDefault="003011D5">
            <w:pPr>
              <w:rPr>
                <w:rFonts w:ascii="Times New Roman" w:hAnsi="Times New Roman" w:cs="Times New Roman"/>
              </w:rPr>
            </w:pPr>
            <w:r w:rsidRPr="00CB2EC4">
              <w:rPr>
                <w:rFonts w:ascii="Times New Roman" w:hAnsi="Times New Roman" w:cs="Times New Roman"/>
              </w:rPr>
              <w:t>the optimal timing for administering prophylactic antibiotics in gynecologic oncology surgery is as follows:</w:t>
            </w:r>
            <w:r w:rsidRPr="00CB2EC4">
              <w:rPr>
                <w:rFonts w:ascii="Times New Roman" w:hAnsi="Times New Roman" w:cs="Times New Roman"/>
              </w:rPr>
              <w:br/>
            </w:r>
            <w:r w:rsidRPr="00CB2EC4">
              <w:rPr>
                <w:rFonts w:ascii="Times New Roman" w:hAnsi="Times New Roman" w:cs="Times New Roman"/>
              </w:rPr>
              <w:br/>
              <w:t>- for patients without signs of infection, antibiotics should be given intraoperatively.</w:t>
            </w:r>
            <w:r w:rsidRPr="00CB2EC4">
              <w:rPr>
                <w:rFonts w:ascii="Times New Roman" w:hAnsi="Times New Roman" w:cs="Times New Roman"/>
              </w:rPr>
              <w:br/>
              <w:t>- if infection of the lesion is suspected (e.g., tumor rupture or concurrent inflammation), antibiotics should be started 2 days in advance.</w:t>
            </w:r>
            <w:r w:rsidRPr="00CB2EC4">
              <w:rPr>
                <w:rFonts w:ascii="Times New Roman" w:hAnsi="Times New Roman" w:cs="Times New Roman"/>
              </w:rPr>
              <w:br/>
            </w:r>
            <w:r w:rsidRPr="00CB2EC4">
              <w:rPr>
                <w:rFonts w:ascii="Times New Roman" w:hAnsi="Times New Roman" w:cs="Times New Roman"/>
              </w:rPr>
              <w:br/>
              <w:t>this strategy is based on infection risk assessment and aims to prevent postoperative complications such as wound infection or sepsis. the document does not specify particular antibiotic types but emphasizes adjustment according to the clinical condition.</w:t>
            </w:r>
            <w:r w:rsidRPr="00CB2EC4">
              <w:rPr>
                <w:rFonts w:ascii="Times New Roman" w:hAnsi="Times New Roman" w:cs="Times New Roman"/>
              </w:rPr>
              <w:br/>
            </w:r>
            <w:r w:rsidRPr="00CB2EC4">
              <w:rPr>
                <w:rFonts w:ascii="Times New Roman" w:hAnsi="Times New Roman" w:cs="Times New Roman"/>
              </w:rPr>
              <w:br/>
              <w:t>(source: document excerpt [similarity: 0.416])</w:t>
            </w:r>
          </w:p>
        </w:tc>
        <w:tc>
          <w:tcPr>
            <w:tcW w:w="1152" w:type="dxa"/>
            <w:vAlign w:val="center"/>
          </w:tcPr>
          <w:p w14:paraId="159251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93F46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B7F17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EE603DD" w14:textId="77777777">
        <w:tc>
          <w:tcPr>
            <w:tcW w:w="2160" w:type="dxa"/>
            <w:vAlign w:val="center"/>
          </w:tcPr>
          <w:p w14:paraId="27CBFCB9"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7AAFCCD" w14:textId="77777777" w:rsidR="00922249" w:rsidRPr="00CB2EC4" w:rsidRDefault="003011D5">
            <w:pPr>
              <w:rPr>
                <w:rFonts w:ascii="Times New Roman" w:hAnsi="Times New Roman" w:cs="Times New Roman"/>
              </w:rPr>
            </w:pPr>
            <w:r w:rsidRPr="00CB2EC4">
              <w:rPr>
                <w:rFonts w:ascii="Times New Roman" w:hAnsi="Times New Roman" w:cs="Times New Roman"/>
              </w:rPr>
              <w:t>the optimal timing for administering prophylactic antibiotics before gynecologic oncology surgery is within 0–2 hours prior to incision (i.e., 2 hours before surgery).</w:t>
            </w:r>
            <w:r w:rsidRPr="00CB2EC4">
              <w:rPr>
                <w:rFonts w:ascii="Times New Roman" w:hAnsi="Times New Roman" w:cs="Times New Roman"/>
              </w:rPr>
              <w:br/>
            </w:r>
            <w:r w:rsidRPr="00CB2EC4">
              <w:rPr>
                <w:rFonts w:ascii="Times New Roman" w:hAnsi="Times New Roman" w:cs="Times New Roman"/>
              </w:rPr>
              <w:lastRenderedPageBreak/>
              <w:br/>
              <w:t>based on the referenced study (Table 3-3), the infection rate is lowest (0.59%) when antibiotics are given preoperatively within 0–2 hours before incision. Infection rates rise significantly when antibiotics are administered postoperatively (relative risk increases).</w:t>
            </w:r>
            <w:r w:rsidRPr="00CB2EC4">
              <w:rPr>
                <w:rFonts w:ascii="Times New Roman" w:hAnsi="Times New Roman" w:cs="Times New Roman"/>
              </w:rPr>
              <w:br/>
            </w:r>
            <w:r w:rsidRPr="00CB2EC4">
              <w:rPr>
                <w:rFonts w:ascii="Times New Roman" w:hAnsi="Times New Roman" w:cs="Times New Roman"/>
              </w:rPr>
              <w:br/>
              <w:t>recommended regimen:</w:t>
            </w:r>
            <w:r w:rsidRPr="00CB2EC4">
              <w:rPr>
                <w:rFonts w:ascii="Times New Roman" w:hAnsi="Times New Roman" w:cs="Times New Roman"/>
              </w:rPr>
              <w:br/>
              <w:t>→ cefazolin 1g intravenously</w:t>
            </w:r>
            <w:r w:rsidRPr="00CB2EC4">
              <w:rPr>
                <w:rFonts w:ascii="Times New Roman" w:hAnsi="Times New Roman" w:cs="Times New Roman"/>
              </w:rPr>
              <w:br/>
              <w:t>→ if surgery duration exceeds 3 hours, repeat dose every 3 hours</w:t>
            </w:r>
            <w:r w:rsidRPr="00CB2EC4">
              <w:rPr>
                <w:rFonts w:ascii="Times New Roman" w:hAnsi="Times New Roman" w:cs="Times New Roman"/>
              </w:rPr>
              <w:br/>
            </w:r>
            <w:r w:rsidRPr="00CB2EC4">
              <w:rPr>
                <w:rFonts w:ascii="Times New Roman" w:hAnsi="Times New Roman" w:cs="Times New Roman"/>
              </w:rPr>
              <w:br/>
              <w:t>alternative antibiotics include metronidazole or doxycycline.</w:t>
            </w:r>
          </w:p>
        </w:tc>
        <w:tc>
          <w:tcPr>
            <w:tcW w:w="1152" w:type="dxa"/>
            <w:vAlign w:val="center"/>
          </w:tcPr>
          <w:p w14:paraId="55B13C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B5CC1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6F0A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E23E69" w14:textId="77777777">
        <w:tc>
          <w:tcPr>
            <w:tcW w:w="2160" w:type="dxa"/>
            <w:vAlign w:val="center"/>
          </w:tcPr>
          <w:p w14:paraId="192F12E0"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DF3D54C" w14:textId="77777777" w:rsidR="00922249" w:rsidRPr="00CB2EC4" w:rsidRDefault="003011D5">
            <w:pPr>
              <w:rPr>
                <w:rFonts w:ascii="Times New Roman" w:hAnsi="Times New Roman" w:cs="Times New Roman"/>
              </w:rPr>
            </w:pPr>
            <w:r w:rsidRPr="00CB2EC4">
              <w:rPr>
                <w:rFonts w:ascii="Times New Roman" w:hAnsi="Times New Roman" w:cs="Times New Roman"/>
              </w:rPr>
              <w:t>the optimal timing for administering prophylactic antibiotics in gynecologic oncology surgery is as follows:</w:t>
            </w:r>
            <w:r w:rsidRPr="00CB2EC4">
              <w:rPr>
                <w:rFonts w:ascii="Times New Roman" w:hAnsi="Times New Roman" w:cs="Times New Roman"/>
              </w:rPr>
              <w:br/>
            </w:r>
            <w:r w:rsidRPr="00CB2EC4">
              <w:rPr>
                <w:rFonts w:ascii="Times New Roman" w:hAnsi="Times New Roman" w:cs="Times New Roman"/>
              </w:rPr>
              <w:br/>
              <w:t>- Optimal administration time: the first dose should be given 2 hours before surgery (within 0–2 hours prior to skin incision). For example, cefazolin 1g IV is administered 2 hours preoperatively.</w:t>
            </w:r>
            <w:r w:rsidRPr="00CB2EC4">
              <w:rPr>
                <w:rFonts w:ascii="Times New Roman" w:hAnsi="Times New Roman" w:cs="Times New Roman"/>
              </w:rPr>
              <w:br/>
              <w:t>- Redosing principle: if surgery lasts more than 3 hours (or twice the antibiotic’s half-life), a repeat dose should be given every 3 hours after the initial dose to maintain effective serum concentrations.</w:t>
            </w:r>
            <w:r w:rsidRPr="00CB2EC4">
              <w:rPr>
                <w:rFonts w:ascii="Times New Roman" w:hAnsi="Times New Roman" w:cs="Times New Roman"/>
              </w:rPr>
              <w:br/>
              <w:t>- Evidence: based on Table 3-3 (Claussen DC, 1992), the infection rate is lowest (0.59%) when antibiotics are administered preoperatively (0–2 hours before incision), while postoperative administration significantly increases infection risk (elevated relative risk). Antibiotic choices include cephalosporins (e.g., cefazolin), or metronidazole, doxycycline for specific indications (Fragment 4).</w:t>
            </w:r>
            <w:r w:rsidRPr="00CB2EC4">
              <w:rPr>
                <w:rFonts w:ascii="Times New Roman" w:hAnsi="Times New Roman" w:cs="Times New Roman"/>
              </w:rPr>
              <w:br/>
            </w:r>
            <w:r w:rsidRPr="00CB2EC4">
              <w:rPr>
                <w:rFonts w:ascii="Times New Roman" w:hAnsi="Times New Roman" w:cs="Times New Roman"/>
              </w:rPr>
              <w:lastRenderedPageBreak/>
              <w:br/>
              <w:t>This strategy aims to reduce postoperative wound infection risk, particularly for hysterectomy or exploratory laparotomy (Fragment 4).</w:t>
            </w:r>
          </w:p>
        </w:tc>
        <w:tc>
          <w:tcPr>
            <w:tcW w:w="1152" w:type="dxa"/>
            <w:vAlign w:val="center"/>
          </w:tcPr>
          <w:p w14:paraId="4E4A87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C467A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DB87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5ABF6C8" w14:textId="77777777">
        <w:tc>
          <w:tcPr>
            <w:tcW w:w="2160" w:type="dxa"/>
            <w:vAlign w:val="center"/>
          </w:tcPr>
          <w:p w14:paraId="088106C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8EDE8D1" w14:textId="77777777" w:rsidR="00922249" w:rsidRPr="00CB2EC4" w:rsidRDefault="003011D5">
            <w:pPr>
              <w:rPr>
                <w:rFonts w:ascii="Times New Roman" w:hAnsi="Times New Roman" w:cs="Times New Roman"/>
              </w:rPr>
            </w:pPr>
            <w:r w:rsidRPr="00CB2EC4">
              <w:rPr>
                <w:rFonts w:ascii="Times New Roman" w:hAnsi="Times New Roman" w:cs="Times New Roman"/>
              </w:rPr>
              <w:t>the optimal timing for administering prophylactic antibiotics in gynecologic oncology surgery is 30-60 minutes before incision. this timing ensures peak serum concentrations of antibiotics (e.g., cefazolin) at the time of surgical incision, effectively preventing surgical site infections. guidelines specify that administration should be completed before induction of anesthesia, and an additional dose is required if surgery exceeds 3 hours or blood loss is &gt; 1500 ml.</w:t>
            </w:r>
          </w:p>
        </w:tc>
        <w:tc>
          <w:tcPr>
            <w:tcW w:w="1152" w:type="dxa"/>
            <w:vAlign w:val="center"/>
          </w:tcPr>
          <w:p w14:paraId="3A0982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9E6FE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DB076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3D613D7" w14:textId="77777777">
        <w:tc>
          <w:tcPr>
            <w:tcW w:w="10656" w:type="dxa"/>
            <w:gridSpan w:val="5"/>
            <w:tcBorders>
              <w:bottom w:val="single" w:sz="6" w:space="0" w:color="auto"/>
            </w:tcBorders>
            <w:vAlign w:val="center"/>
          </w:tcPr>
          <w:p w14:paraId="3127182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135: What steps are typically included in preoperative bowel preparation for gynecologic oncology surgery?</w:t>
            </w:r>
          </w:p>
        </w:tc>
      </w:tr>
      <w:tr w:rsidR="00922249" w:rsidRPr="00CB2EC4" w14:paraId="45B7D0D1" w14:textId="77777777">
        <w:tc>
          <w:tcPr>
            <w:tcW w:w="2160" w:type="dxa"/>
            <w:vAlign w:val="center"/>
          </w:tcPr>
          <w:p w14:paraId="06C3F52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69F942F"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knowledge base. the document mentions that bowel preparation is necessary when required (e.g., "Adequate vaginal preparation should be performed preoperatively, and bowel preparation should also be conducted when necessary, to minimize intraoperative pelvic contamination"), but does not specify the detailed steps of bowel preparation such as dietary modifications, laxative administration, or enema procedures. therefore, based solely on the provided document, the specific steps of preoperative bowel preparation for gynecological oncology surgery cannot be determined.</w:t>
            </w:r>
          </w:p>
        </w:tc>
        <w:tc>
          <w:tcPr>
            <w:tcW w:w="1152" w:type="dxa"/>
            <w:vAlign w:val="center"/>
          </w:tcPr>
          <w:p w14:paraId="530494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1C02D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4B102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23EF40F" w14:textId="77777777">
        <w:tc>
          <w:tcPr>
            <w:tcW w:w="2160" w:type="dxa"/>
            <w:vAlign w:val="center"/>
          </w:tcPr>
          <w:p w14:paraId="37D2B01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8B9B40D" w14:textId="77777777" w:rsidR="00922249" w:rsidRPr="00CB2EC4" w:rsidRDefault="003011D5">
            <w:pPr>
              <w:rPr>
                <w:rFonts w:ascii="Times New Roman" w:hAnsi="Times New Roman" w:cs="Times New Roman"/>
              </w:rPr>
            </w:pPr>
            <w:r w:rsidRPr="00CB2EC4">
              <w:rPr>
                <w:rFonts w:ascii="Times New Roman" w:hAnsi="Times New Roman" w:cs="Times New Roman"/>
              </w:rPr>
              <w:t>preoperative bowel preparation for gynecological oncology surgery typically includes the following steps:</w:t>
            </w:r>
            <w:r w:rsidRPr="00CB2EC4">
              <w:rPr>
                <w:rFonts w:ascii="Times New Roman" w:hAnsi="Times New Roman" w:cs="Times New Roman"/>
              </w:rPr>
              <w:br/>
            </w:r>
            <w:r w:rsidRPr="00CB2EC4">
              <w:rPr>
                <w:rFonts w:ascii="Times New Roman" w:hAnsi="Times New Roman" w:cs="Times New Roman"/>
              </w:rPr>
              <w:br/>
              <w:t xml:space="preserve">- Dietary modification: Begin a low-residue diet on the morning of the day before surgery, with fasting after dinner; if rectal resection is anticipated, start a </w:t>
            </w:r>
            <w:r w:rsidRPr="00CB2EC4">
              <w:rPr>
                <w:rFonts w:ascii="Times New Roman" w:hAnsi="Times New Roman" w:cs="Times New Roman"/>
              </w:rPr>
              <w:lastRenderedPageBreak/>
              <w:t>low-residue diet 3 days preoperatively and fast from the day before surgery.</w:t>
            </w:r>
            <w:r w:rsidRPr="00CB2EC4">
              <w:rPr>
                <w:rFonts w:ascii="Times New Roman" w:hAnsi="Times New Roman" w:cs="Times New Roman"/>
              </w:rPr>
              <w:br/>
              <w:t>- Laxative use: Administer magnesium-based agents (e.g., magnesium sulfate) and castor oil for bowel evacuation on the day before surgery; add laxatives for patients with incomplete bowel obstruction.</w:t>
            </w:r>
            <w:r w:rsidRPr="00CB2EC4">
              <w:rPr>
                <w:rFonts w:ascii="Times New Roman" w:hAnsi="Times New Roman" w:cs="Times New Roman"/>
              </w:rPr>
              <w:br/>
              <w:t>- Enema: Perform a high enema on the morning of surgery (oral administration of 300ml solution or cleansing enema).</w:t>
            </w:r>
            <w:r w:rsidRPr="00CB2EC4">
              <w:rPr>
                <w:rFonts w:ascii="Times New Roman" w:hAnsi="Times New Roman" w:cs="Times New Roman"/>
              </w:rPr>
              <w:br/>
              <w:t>- Oral antibiotics: Administer intestinal antibiotics such as metronidazole plus neomycin or berberine for 3–5 days preoperatively to reduce bacterial load.</w:t>
            </w:r>
            <w:r w:rsidRPr="00CB2EC4">
              <w:rPr>
                <w:rFonts w:ascii="Times New Roman" w:hAnsi="Times New Roman" w:cs="Times New Roman"/>
              </w:rPr>
              <w:br/>
              <w:t>- Other measures: Combine with vaginal douching 2–3 days preoperatively to cleanse the pelvic cavity.</w:t>
            </w:r>
            <w:r w:rsidRPr="00CB2EC4">
              <w:rPr>
                <w:rFonts w:ascii="Times New Roman" w:hAnsi="Times New Roman" w:cs="Times New Roman"/>
              </w:rPr>
              <w:br/>
            </w:r>
            <w:r w:rsidRPr="00CB2EC4">
              <w:rPr>
                <w:rFonts w:ascii="Times New Roman" w:hAnsi="Times New Roman" w:cs="Times New Roman"/>
              </w:rPr>
              <w:br/>
              <w:t>The documentation emphasizes that bowel preparation aims to reduce intraoperative contamination and postoperative infection, particularly for procedures potentially involving bowel resection.</w:t>
            </w:r>
            <w:r w:rsidRPr="00CB2EC4">
              <w:rPr>
                <w:rFonts w:ascii="Times New Roman" w:hAnsi="Times New Roman" w:cs="Times New Roman"/>
              </w:rPr>
              <w:br/>
            </w:r>
            <w:r w:rsidRPr="00CB2EC4">
              <w:rPr>
                <w:rFonts w:ascii="Times New Roman" w:hAnsi="Times New Roman" w:cs="Times New Roman"/>
              </w:rPr>
              <w:br/>
              <w:t>(Reference: Document fragments Block 155, Block 856)</w:t>
            </w:r>
          </w:p>
        </w:tc>
        <w:tc>
          <w:tcPr>
            <w:tcW w:w="1152" w:type="dxa"/>
            <w:vAlign w:val="center"/>
          </w:tcPr>
          <w:p w14:paraId="773D26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00726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D6838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2D21260" w14:textId="77777777">
        <w:tc>
          <w:tcPr>
            <w:tcW w:w="2160" w:type="dxa"/>
            <w:vAlign w:val="center"/>
          </w:tcPr>
          <w:p w14:paraId="142593E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0A8D8F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preoperative bowel preparation for gynecological tumor surgery typically includes the following steps:  </w:t>
            </w:r>
            <w:r w:rsidRPr="00CB2EC4">
              <w:rPr>
                <w:rFonts w:ascii="Times New Roman" w:hAnsi="Times New Roman" w:cs="Times New Roman"/>
              </w:rPr>
              <w:br/>
              <w:t xml:space="preserve">- Dietary adjustment: Begin a residue-free diet one day before surgery, with fasting after dinner. If rectal resection is anticipated (e.g., in bowel-involving procedures), start a residue-free diet three days preoperatively and implement complete fasting one day before surgery (Fragment 3).  </w:t>
            </w:r>
            <w:r w:rsidRPr="00CB2EC4">
              <w:rPr>
                <w:rFonts w:ascii="Times New Roman" w:hAnsi="Times New Roman" w:cs="Times New Roman"/>
              </w:rPr>
              <w:br/>
              <w:t xml:space="preserve">- Laxative administration: Administer magnesium-based agents and castor oil one day before surgery to promote bowel evacuation (Fragment 3). For patients with incomplete bowel obstruction, additional </w:t>
            </w:r>
            <w:r w:rsidRPr="00CB2EC4">
              <w:rPr>
                <w:rFonts w:ascii="Times New Roman" w:hAnsi="Times New Roman" w:cs="Times New Roman"/>
              </w:rPr>
              <w:lastRenderedPageBreak/>
              <w:t xml:space="preserve">laxatives are required (Fragment 2).  </w:t>
            </w:r>
            <w:r w:rsidRPr="00CB2EC4">
              <w:rPr>
                <w:rFonts w:ascii="Times New Roman" w:hAnsi="Times New Roman" w:cs="Times New Roman"/>
              </w:rPr>
              <w:br/>
              <w:t xml:space="preserve">- Enema: Perform a high enema on the morning of surgery (oral intake of 300mL solution or cleansing enema) to ensure bowel cleanliness (Fragment 3). Patients with incomplete obstruction should prioritize cleansing enema (Fragment 2).  </w:t>
            </w:r>
            <w:r w:rsidRPr="00CB2EC4">
              <w:rPr>
                <w:rFonts w:ascii="Times New Roman" w:hAnsi="Times New Roman" w:cs="Times New Roman"/>
              </w:rPr>
              <w:br/>
              <w:t xml:space="preserve">- Oral antibiotics: Administer enteric antibiotics such as metronidazole plus neomycin or berberine for 3–5 days preoperatively to reduce intestinal flora and infection risk (Fragment 2).  </w:t>
            </w:r>
            <w:r w:rsidRPr="00CB2EC4">
              <w:rPr>
                <w:rFonts w:ascii="Times New Roman" w:hAnsi="Times New Roman" w:cs="Times New Roman"/>
              </w:rPr>
              <w:br/>
              <w:t xml:space="preserve">- Other preparations: Include correction of fluid, electrolyte imbalance, and anemia (Fragment 2), as well as vaginal douching (Fragment 2). However, vaginal preparation is not part of bowel preparation and is therefore not listed.  </w:t>
            </w:r>
            <w:r w:rsidRPr="00CB2EC4">
              <w:rPr>
                <w:rFonts w:ascii="Times New Roman" w:hAnsi="Times New Roman" w:cs="Times New Roman"/>
              </w:rPr>
              <w:br/>
              <w:t>These steps aim to reduce intraoperative contamination and postoperative infection risk (Fragments 2 and 3).</w:t>
            </w:r>
          </w:p>
        </w:tc>
        <w:tc>
          <w:tcPr>
            <w:tcW w:w="1152" w:type="dxa"/>
            <w:vAlign w:val="center"/>
          </w:tcPr>
          <w:p w14:paraId="68977A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63CCE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5BC45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2380F4D" w14:textId="77777777">
        <w:tc>
          <w:tcPr>
            <w:tcW w:w="2160" w:type="dxa"/>
            <w:vAlign w:val="center"/>
          </w:tcPr>
          <w:p w14:paraId="2017987C"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4419BF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preoperative bowel preparation for gynecological oncology surgery aims to reduce intestinal contents and bacterial load, thereby lowering the risk of intraoperative contamination and postoperative infection. Standard steps include:  </w:t>
            </w:r>
            <w:r w:rsidRPr="00CB2EC4">
              <w:rPr>
                <w:rFonts w:ascii="Times New Roman" w:hAnsi="Times New Roman" w:cs="Times New Roman"/>
              </w:rPr>
              <w:br/>
              <w:t xml:space="preserve">1. Dietary modification: Begin a low-residue diet (e.g., liquid or semi-liquid) 3 days preoperatively, avoiding high-fiber foods; maintain fasting on the day before surgery, allowing only clear liquids (e.g., water, tea).  </w:t>
            </w:r>
            <w:r w:rsidRPr="00CB2EC4">
              <w:rPr>
                <w:rFonts w:ascii="Times New Roman" w:hAnsi="Times New Roman" w:cs="Times New Roman"/>
              </w:rPr>
              <w:br/>
              <w:t xml:space="preserve">2. Mechanical bowel cleansing:  </w:t>
            </w:r>
            <w:r w:rsidRPr="00CB2EC4">
              <w:rPr>
                <w:rFonts w:ascii="Times New Roman" w:hAnsi="Times New Roman" w:cs="Times New Roman"/>
              </w:rPr>
              <w:br/>
              <w:t xml:space="preserve">   - Administer laxatives (e.g., magnesium preparations or castor oil) on the day before surgery to promote defecation.  </w:t>
            </w:r>
            <w:r w:rsidRPr="00CB2EC4">
              <w:rPr>
                <w:rFonts w:ascii="Times New Roman" w:hAnsi="Times New Roman" w:cs="Times New Roman"/>
              </w:rPr>
              <w:br/>
              <w:t xml:space="preserve">   - Perform a cleansing enema (e.g., 300 mL high enema) on the morning of surgery to ensure bowel </w:t>
            </w:r>
            <w:r w:rsidRPr="00CB2EC4">
              <w:rPr>
                <w:rFonts w:ascii="Times New Roman" w:hAnsi="Times New Roman" w:cs="Times New Roman"/>
              </w:rPr>
              <w:lastRenderedPageBreak/>
              <w:t xml:space="preserve">emptiness. For patients with incomplete bowel obstruction, laxatives and enema are particularly critical.  </w:t>
            </w:r>
            <w:r w:rsidRPr="00CB2EC4">
              <w:rPr>
                <w:rFonts w:ascii="Times New Roman" w:hAnsi="Times New Roman" w:cs="Times New Roman"/>
              </w:rPr>
              <w:br/>
              <w:t xml:space="preserve">3. Antibiotic prophylaxis: Administer oral intestinal antibiotics 3–5 days preoperatively, commonly metronidazole combined with neomycin or berberine, to reduce gut flora (e.g., anaerobes and Gram-negative bacteria).  </w:t>
            </w:r>
            <w:r w:rsidRPr="00CB2EC4">
              <w:rPr>
                <w:rFonts w:ascii="Times New Roman" w:hAnsi="Times New Roman" w:cs="Times New Roman"/>
              </w:rPr>
              <w:br/>
              <w:t xml:space="preserve">4. Vaginal preparation: Begin vaginal douching 2–3 days preoperatively, 1–2 times daily, to decrease genital tract bacteria.  </w:t>
            </w:r>
            <w:r w:rsidRPr="00CB2EC4">
              <w:rPr>
                <w:rFonts w:ascii="Times New Roman" w:hAnsi="Times New Roman" w:cs="Times New Roman"/>
              </w:rPr>
              <w:br/>
              <w:t xml:space="preserve">5. Other supportive measures: Correct fluid and electrolyte imbalances (e.g., potassium supplementation), improve anemia; assess metabolic status to ensure patient tolerance for surgery.  </w:t>
            </w:r>
            <w:r w:rsidRPr="00CB2EC4">
              <w:rPr>
                <w:rFonts w:ascii="Times New Roman" w:hAnsi="Times New Roman" w:cs="Times New Roman"/>
              </w:rPr>
              <w:br/>
            </w:r>
            <w:r w:rsidRPr="00CB2EC4">
              <w:rPr>
                <w:rFonts w:ascii="Times New Roman" w:hAnsi="Times New Roman" w:cs="Times New Roman"/>
              </w:rPr>
              <w:br/>
              <w:t xml:space="preserve">Notes: Bowel preparation should be individualized; for example, obese or diabetic patients require stricter monitoring. If signs of bowel obstruction are present, manage the obstruction prior to surgery.  </w:t>
            </w:r>
            <w:r w:rsidRPr="00CB2EC4">
              <w:rPr>
                <w:rFonts w:ascii="Times New Roman" w:hAnsi="Times New Roman" w:cs="Times New Roman"/>
              </w:rPr>
              <w:br/>
            </w:r>
            <w:r w:rsidRPr="00CB2EC4">
              <w:rPr>
                <w:rFonts w:ascii="Times New Roman" w:hAnsi="Times New Roman" w:cs="Times New Roman"/>
              </w:rPr>
              <w:br/>
              <w:t xml:space="preserve">Information sources:  </w:t>
            </w:r>
            <w:r w:rsidRPr="00CB2EC4">
              <w:rPr>
                <w:rFonts w:ascii="Times New Roman" w:hAnsi="Times New Roman" w:cs="Times New Roman"/>
              </w:rPr>
              <w:br/>
              <w:t xml:space="preserve">- Knowledge base document: Provides detailed description of bowel preparation steps ("Begin vaginal douching and bowel cleansing 2–3 days preoperatively. Patients with incomplete obstruction should also take laxatives, with cleansing enema preferred preoperatively. Administer oral intestinal antibiotics for 3–5 days"), referenced multiple times in sections on pelvic organ resection and preoperative preparation.  </w:t>
            </w:r>
            <w:r w:rsidRPr="00CB2EC4">
              <w:rPr>
                <w:rFonts w:ascii="Times New Roman" w:hAnsi="Times New Roman" w:cs="Times New Roman"/>
              </w:rPr>
              <w:br/>
              <w:t xml:space="preserve">- Web search results: Do not directly address bowel preparation for gynecological oncology, but general clinical pathways (e.g., phenylketonuria pathway) </w:t>
            </w:r>
            <w:r w:rsidRPr="00CB2EC4">
              <w:rPr>
                <w:rFonts w:ascii="Times New Roman" w:hAnsi="Times New Roman" w:cs="Times New Roman"/>
              </w:rPr>
              <w:lastRenderedPageBreak/>
              <w:t xml:space="preserve">mention preoperative diet and laxative use, serving as supplementary reference to reinforce dietary modification importance.  </w:t>
            </w:r>
            <w:r w:rsidRPr="00CB2EC4">
              <w:rPr>
                <w:rFonts w:ascii="Times New Roman" w:hAnsi="Times New Roman" w:cs="Times New Roman"/>
              </w:rPr>
              <w:br/>
              <w:t>- Synthesis: The knowledge base document provides complete steps; web search results contribute minimally and are used only to supplement common preoperative practices.</w:t>
            </w:r>
          </w:p>
        </w:tc>
        <w:tc>
          <w:tcPr>
            <w:tcW w:w="1152" w:type="dxa"/>
            <w:vAlign w:val="center"/>
          </w:tcPr>
          <w:p w14:paraId="240877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3CAC8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56A18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3A2F45B" w14:textId="77777777">
        <w:tc>
          <w:tcPr>
            <w:tcW w:w="2160" w:type="dxa"/>
            <w:vAlign w:val="center"/>
          </w:tcPr>
          <w:p w14:paraId="0BAFC09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707B01A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gynecological tumor surgery preoperative bowel preparation typically includes the following steps:  </w:t>
            </w:r>
            <w:r w:rsidRPr="00CB2EC4">
              <w:rPr>
                <w:rFonts w:ascii="Times New Roman" w:hAnsi="Times New Roman" w:cs="Times New Roman"/>
              </w:rPr>
              <w:br/>
              <w:t xml:space="preserve">- Dietary adjustment: Begin a low-residue diet on the day before surgery, with fasting after dinner; if rectal resection is anticipated, start a low-residue diet 3 days preoperatively and fast completely on the day before surgery (as per fragment 9: "Begin low-residue diet on the morning of the day before surgery, fast after dinner... if rectal resection is expected, start low-residue diet 3 days preoperatively and fast on the day before surgery").  </w:t>
            </w:r>
            <w:r w:rsidRPr="00CB2EC4">
              <w:rPr>
                <w:rFonts w:ascii="Times New Roman" w:hAnsi="Times New Roman" w:cs="Times New Roman"/>
              </w:rPr>
              <w:br/>
              <w:t xml:space="preserve">- Laxative use: Administer magnesium preparations (e.g., magnesium sulfate) and castor oil on the day before surgery to promote bowel evacuation (fragment 9: "Take magnesium preparations and castor oil on the day before surgery").  </w:t>
            </w:r>
            <w:r w:rsidRPr="00CB2EC4">
              <w:rPr>
                <w:rFonts w:ascii="Times New Roman" w:hAnsi="Times New Roman" w:cs="Times New Roman"/>
              </w:rPr>
              <w:br/>
              <w:t xml:space="preserve">- Enema: Perform a high enema on the morning of surgery, typically by oral administration of 300 mL fluid or a cleansing enema (fragment 9: "On the morning of surgery, administer 300 mL orally for high enema"; fragment 12: "Preoperative cleansing enema is preferred").  </w:t>
            </w:r>
            <w:r w:rsidRPr="00CB2EC4">
              <w:rPr>
                <w:rFonts w:ascii="Times New Roman" w:hAnsi="Times New Roman" w:cs="Times New Roman"/>
              </w:rPr>
              <w:br/>
              <w:t xml:space="preserve">- Oral intestinal antibiotics: Administer oral antibiotics such as metronidazole plus neomycin or berberine for 3–5 days preoperatively to reduce intestinal bacterial load (fragment 12: "Oral intestinal antibiotics for 3~5 days, preferably metronidazole </w:t>
            </w:r>
            <w:r w:rsidRPr="00CB2EC4">
              <w:rPr>
                <w:rFonts w:ascii="Times New Roman" w:hAnsi="Times New Roman" w:cs="Times New Roman"/>
              </w:rPr>
              <w:lastRenderedPageBreak/>
              <w:t xml:space="preserve">plus neomycin or berberine").  </w:t>
            </w:r>
            <w:r w:rsidRPr="00CB2EC4">
              <w:rPr>
                <w:rFonts w:ascii="Times New Roman" w:hAnsi="Times New Roman" w:cs="Times New Roman"/>
              </w:rPr>
              <w:br/>
              <w:t>These steps aim to cleanse the bowel, reduce infection risk, and prepare for potential bowel resection.</w:t>
            </w:r>
          </w:p>
        </w:tc>
        <w:tc>
          <w:tcPr>
            <w:tcW w:w="1152" w:type="dxa"/>
            <w:vAlign w:val="center"/>
          </w:tcPr>
          <w:p w14:paraId="39FAEC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A55E1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B681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761FB18" w14:textId="77777777">
        <w:tc>
          <w:tcPr>
            <w:tcW w:w="2160" w:type="dxa"/>
            <w:vAlign w:val="center"/>
          </w:tcPr>
          <w:p w14:paraId="3D8514C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57A3E2E" w14:textId="77777777" w:rsidR="00922249" w:rsidRPr="00CB2EC4" w:rsidRDefault="003011D5">
            <w:pPr>
              <w:rPr>
                <w:rFonts w:ascii="Times New Roman" w:hAnsi="Times New Roman" w:cs="Times New Roman"/>
              </w:rPr>
            </w:pPr>
            <w:r w:rsidRPr="00CB2EC4">
              <w:rPr>
                <w:rFonts w:ascii="Times New Roman" w:hAnsi="Times New Roman" w:cs="Times New Roman"/>
              </w:rPr>
              <w:t>the preoperative bowel preparation for gynecological oncology surgery typically includes the following steps:</w:t>
            </w:r>
            <w:r w:rsidRPr="00CB2EC4">
              <w:rPr>
                <w:rFonts w:ascii="Times New Roman" w:hAnsi="Times New Roman" w:cs="Times New Roman"/>
              </w:rPr>
              <w:br/>
            </w:r>
            <w:r w:rsidRPr="00CB2EC4">
              <w:rPr>
                <w:rFonts w:ascii="Times New Roman" w:hAnsi="Times New Roman" w:cs="Times New Roman"/>
              </w:rPr>
              <w:br/>
              <w:t>- Dietary modification: Begin a low-residue diet 2-3 days before surgery; if rectal resection is anticipated, start a low-residue diet 3 days preoperatively and fast on the day before surgery (Document 14).</w:t>
            </w:r>
            <w:r w:rsidRPr="00CB2EC4">
              <w:rPr>
                <w:rFonts w:ascii="Times New Roman" w:hAnsi="Times New Roman" w:cs="Times New Roman"/>
              </w:rPr>
              <w:br/>
              <w:t>- Laxative use: Administer magnesium-based agents (e.g., magnesium sulfate) or castor oil for bowel evacuation on the day before surgery; patients with incomplete obstruction should receive additional laxatives (Document 7).</w:t>
            </w:r>
            <w:r w:rsidRPr="00CB2EC4">
              <w:rPr>
                <w:rFonts w:ascii="Times New Roman" w:hAnsi="Times New Roman" w:cs="Times New Roman"/>
              </w:rPr>
              <w:br/>
              <w:t>- Enema: Perform a high enema (e.g., oral administration of 300 mL solution or cleansing enema) on the morning of surgery to ensure bowel cleanliness (Document 14).</w:t>
            </w:r>
            <w:r w:rsidRPr="00CB2EC4">
              <w:rPr>
                <w:rFonts w:ascii="Times New Roman" w:hAnsi="Times New Roman" w:cs="Times New Roman"/>
              </w:rPr>
              <w:br/>
              <w:t>- Oral antibiotics: Administer oral intestinal antibiotics (e.g., metronidazole plus neomycin or berberine) for 3-5 days preoperatively to reduce bacterial load (Document 7).</w:t>
            </w:r>
            <w:r w:rsidRPr="00CB2EC4">
              <w:rPr>
                <w:rFonts w:ascii="Times New Roman" w:hAnsi="Times New Roman" w:cs="Times New Roman"/>
              </w:rPr>
              <w:br/>
            </w:r>
            <w:r w:rsidRPr="00CB2EC4">
              <w:rPr>
                <w:rFonts w:ascii="Times New Roman" w:hAnsi="Times New Roman" w:cs="Times New Roman"/>
              </w:rPr>
              <w:br/>
              <w:t>These steps aim to reduce intraoperative contamination and postoperative infection risk, particularly for surgeries that may involve the bowel (e.g., ovarian cancer or rectal involvement). The context does not provide additional details such as specific drug dosages.</w:t>
            </w:r>
          </w:p>
        </w:tc>
        <w:tc>
          <w:tcPr>
            <w:tcW w:w="1152" w:type="dxa"/>
            <w:vAlign w:val="center"/>
          </w:tcPr>
          <w:p w14:paraId="2DB02D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AC1CF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8386A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2D15132" w14:textId="77777777">
        <w:tc>
          <w:tcPr>
            <w:tcW w:w="2160" w:type="dxa"/>
            <w:vAlign w:val="center"/>
          </w:tcPr>
          <w:p w14:paraId="54EA85A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4176CBB" w14:textId="77777777" w:rsidR="00922249" w:rsidRPr="00CB2EC4" w:rsidRDefault="003011D5">
            <w:pPr>
              <w:rPr>
                <w:rFonts w:ascii="Times New Roman" w:hAnsi="Times New Roman" w:cs="Times New Roman"/>
              </w:rPr>
            </w:pPr>
            <w:r w:rsidRPr="00CB2EC4">
              <w:rPr>
                <w:rFonts w:ascii="Times New Roman" w:hAnsi="Times New Roman" w:cs="Times New Roman"/>
              </w:rPr>
              <w:t>the steps of preoperative bowel preparation for gynecological oncology surgery typically include:</w:t>
            </w:r>
            <w:r w:rsidRPr="00CB2EC4">
              <w:rPr>
                <w:rFonts w:ascii="Times New Roman" w:hAnsi="Times New Roman" w:cs="Times New Roman"/>
              </w:rPr>
              <w:br/>
            </w:r>
            <w:r w:rsidRPr="00CB2EC4">
              <w:rPr>
                <w:rFonts w:ascii="Times New Roman" w:hAnsi="Times New Roman" w:cs="Times New Roman"/>
              </w:rPr>
              <w:lastRenderedPageBreak/>
              <w:br/>
              <w:t xml:space="preserve">1. Dietary modification:  </w:t>
            </w:r>
            <w:r w:rsidRPr="00CB2EC4">
              <w:rPr>
                <w:rFonts w:ascii="Times New Roman" w:hAnsi="Times New Roman" w:cs="Times New Roman"/>
              </w:rPr>
              <w:br/>
              <w:t xml:space="preserve">   - Begin a low-residue diet from the morning of the day before surgery, with fasting after dinner (see [HyDE similarity: 0.429]).  </w:t>
            </w:r>
            <w:r w:rsidRPr="00CB2EC4">
              <w:rPr>
                <w:rFonts w:ascii="Times New Roman" w:hAnsi="Times New Roman" w:cs="Times New Roman"/>
              </w:rPr>
              <w:br/>
              <w:t xml:space="preserve">   - If rectal resection is anticipated, start a low-residue diet 3 days before surgery and fast from the day before surgery (see [HyDE similarity: 0.429]).  </w:t>
            </w:r>
            <w:r w:rsidRPr="00CB2EC4">
              <w:rPr>
                <w:rFonts w:ascii="Times New Roman" w:hAnsi="Times New Roman" w:cs="Times New Roman"/>
              </w:rPr>
              <w:br/>
              <w:t xml:space="preserve">2. Laxation:  </w:t>
            </w:r>
            <w:r w:rsidRPr="00CB2EC4">
              <w:rPr>
                <w:rFonts w:ascii="Times New Roman" w:hAnsi="Times New Roman" w:cs="Times New Roman"/>
              </w:rPr>
              <w:br/>
              <w:t xml:space="preserve">   - On the day before surgery, administer oral magnesium preparation + castor oil (see [HyDE similarity: 0.429]).  </w:t>
            </w:r>
            <w:r w:rsidRPr="00CB2EC4">
              <w:rPr>
                <w:rFonts w:ascii="Times New Roman" w:hAnsi="Times New Roman" w:cs="Times New Roman"/>
              </w:rPr>
              <w:br/>
              <w:t xml:space="preserve">   - On the morning of surgery, perform a high enema with 300 ml of liquid (see [HyDE similarity: 0.429]).  </w:t>
            </w:r>
            <w:r w:rsidRPr="00CB2EC4">
              <w:rPr>
                <w:rFonts w:ascii="Times New Roman" w:hAnsi="Times New Roman" w:cs="Times New Roman"/>
              </w:rPr>
              <w:br/>
              <w:t xml:space="preserve">3. Antibiotics:  </w:t>
            </w:r>
            <w:r w:rsidRPr="00CB2EC4">
              <w:rPr>
                <w:rFonts w:ascii="Times New Roman" w:hAnsi="Times New Roman" w:cs="Times New Roman"/>
              </w:rPr>
              <w:br/>
              <w:t xml:space="preserve">   - Administer oral intestinal antibiotics (metronidazole + neomycin or berberine) 3–5 days before surgery (see [HyDE similarity: 0.400]).  </w:t>
            </w:r>
            <w:r w:rsidRPr="00CB2EC4">
              <w:rPr>
                <w:rFonts w:ascii="Times New Roman" w:hAnsi="Times New Roman" w:cs="Times New Roman"/>
              </w:rPr>
              <w:br/>
            </w:r>
            <w:r w:rsidRPr="00CB2EC4">
              <w:rPr>
                <w:rFonts w:ascii="Times New Roman" w:hAnsi="Times New Roman" w:cs="Times New Roman"/>
              </w:rPr>
              <w:br/>
              <w:t xml:space="preserve">---  </w:t>
            </w:r>
            <w:r w:rsidRPr="00CB2EC4">
              <w:rPr>
                <w:rFonts w:ascii="Times New Roman" w:hAnsi="Times New Roman" w:cs="Times New Roman"/>
              </w:rPr>
              <w:br/>
              <w:t>Note: All answers are strictly based on the provided document content. If specific details are not covered (e.g., question 134), it is explicitly stated.</w:t>
            </w:r>
          </w:p>
        </w:tc>
        <w:tc>
          <w:tcPr>
            <w:tcW w:w="1152" w:type="dxa"/>
            <w:vAlign w:val="center"/>
          </w:tcPr>
          <w:p w14:paraId="51B319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EF28F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A89C8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2BFAFFE" w14:textId="77777777">
        <w:tc>
          <w:tcPr>
            <w:tcW w:w="2160" w:type="dxa"/>
            <w:vAlign w:val="center"/>
          </w:tcPr>
          <w:p w14:paraId="2324C5C1"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4C347B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description in Document Fragment 8 (similarity: 0.482), the preoperative bowel preparation steps for gynecologic oncology surgery include:  </w:t>
            </w:r>
            <w:r w:rsidRPr="00CB2EC4">
              <w:rPr>
                <w:rFonts w:ascii="Times New Roman" w:hAnsi="Times New Roman" w:cs="Times New Roman"/>
              </w:rPr>
              <w:br/>
              <w:t xml:space="preserve">1. Dietary control:  </w:t>
            </w:r>
            <w:r w:rsidRPr="00CB2EC4">
              <w:rPr>
                <w:rFonts w:ascii="Times New Roman" w:hAnsi="Times New Roman" w:cs="Times New Roman"/>
              </w:rPr>
              <w:br/>
              <w:t xml:space="preserve">   - Start a low-residue diet from the morning of the day before surgery and fast after dinner.  </w:t>
            </w:r>
            <w:r w:rsidRPr="00CB2EC4">
              <w:rPr>
                <w:rFonts w:ascii="Times New Roman" w:hAnsi="Times New Roman" w:cs="Times New Roman"/>
              </w:rPr>
              <w:br/>
              <w:t xml:space="preserve">   - If rectal resection is anticipated (e.g., involving intestinal surgery), begin a low-residue diet 3 days before surgery and fast completely on the day before surgery.  </w:t>
            </w:r>
            <w:r w:rsidRPr="00CB2EC4">
              <w:rPr>
                <w:rFonts w:ascii="Times New Roman" w:hAnsi="Times New Roman" w:cs="Times New Roman"/>
              </w:rPr>
              <w:br/>
              <w:t xml:space="preserve">2. Laxative use:  </w:t>
            </w:r>
            <w:r w:rsidRPr="00CB2EC4">
              <w:rPr>
                <w:rFonts w:ascii="Times New Roman" w:hAnsi="Times New Roman" w:cs="Times New Roman"/>
              </w:rPr>
              <w:br/>
            </w:r>
            <w:r w:rsidRPr="00CB2EC4">
              <w:rPr>
                <w:rFonts w:ascii="Times New Roman" w:hAnsi="Times New Roman" w:cs="Times New Roman"/>
              </w:rPr>
              <w:lastRenderedPageBreak/>
              <w:t xml:space="preserve">   - Take magnesium preparations (e.g., magnesium sulfate) and castor oil on the day before surgery to promote bowel evacuation.  </w:t>
            </w:r>
            <w:r w:rsidRPr="00CB2EC4">
              <w:rPr>
                <w:rFonts w:ascii="Times New Roman" w:hAnsi="Times New Roman" w:cs="Times New Roman"/>
              </w:rPr>
              <w:br/>
              <w:t xml:space="preserve">3. Enema:  </w:t>
            </w:r>
            <w:r w:rsidRPr="00CB2EC4">
              <w:rPr>
                <w:rFonts w:ascii="Times New Roman" w:hAnsi="Times New Roman" w:cs="Times New Roman"/>
              </w:rPr>
              <w:br/>
              <w:t xml:space="preserve">   - Perform a high enema on the morning of surgery, typically by orally administering 300 mL of enema solution or using a cleansing enema to ensure bowel cleanliness.  </w:t>
            </w:r>
            <w:r w:rsidRPr="00CB2EC4">
              <w:rPr>
                <w:rFonts w:ascii="Times New Roman" w:hAnsi="Times New Roman" w:cs="Times New Roman"/>
              </w:rPr>
              <w:br/>
              <w:t xml:space="preserve">4. Antibiotic prophylaxis:  </w:t>
            </w:r>
            <w:r w:rsidRPr="00CB2EC4">
              <w:rPr>
                <w:rFonts w:ascii="Times New Roman" w:hAnsi="Times New Roman" w:cs="Times New Roman"/>
              </w:rPr>
              <w:br/>
              <w:t xml:space="preserve">   - Administer oral intestinal antibiotics for 3-5 days before surgery, commonly metronidazole plus neomycin or berberine, to reduce the risk of intestinal bacterial infection (this point is also mentioned in Document Fragment 14).  </w:t>
            </w:r>
            <w:r w:rsidRPr="00CB2EC4">
              <w:rPr>
                <w:rFonts w:ascii="Times New Roman" w:hAnsi="Times New Roman" w:cs="Times New Roman"/>
              </w:rPr>
              <w:br/>
            </w:r>
            <w:r w:rsidRPr="00CB2EC4">
              <w:rPr>
                <w:rFonts w:ascii="Times New Roman" w:hAnsi="Times New Roman" w:cs="Times New Roman"/>
              </w:rPr>
              <w:br/>
              <w:t>The document emphasizes that these steps aim to reduce intraoperative contamination and postoperative infection, particularly for surgeries involving the pelvis or intestines. For patients with incomplete obstruction, laxatives and enemas are even more critical.</w:t>
            </w:r>
          </w:p>
        </w:tc>
        <w:tc>
          <w:tcPr>
            <w:tcW w:w="1152" w:type="dxa"/>
            <w:vAlign w:val="center"/>
          </w:tcPr>
          <w:p w14:paraId="62A41A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C9BFE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784F5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A0C9D14" w14:textId="77777777">
        <w:tc>
          <w:tcPr>
            <w:tcW w:w="2160" w:type="dxa"/>
            <w:vAlign w:val="center"/>
          </w:tcPr>
          <w:p w14:paraId="6ECF96E3"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CDC66B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Dietary adjustment:  </w:t>
            </w:r>
            <w:r w:rsidRPr="00CB2EC4">
              <w:rPr>
                <w:rFonts w:ascii="Times New Roman" w:hAnsi="Times New Roman" w:cs="Times New Roman"/>
              </w:rPr>
              <w:br/>
              <w:t xml:space="preserve">   - Routine surgery: Begin a low-residue diet on the morning of the day before surgery; fast after dinner.  </w:t>
            </w:r>
            <w:r w:rsidRPr="00CB2EC4">
              <w:rPr>
                <w:rFonts w:ascii="Times New Roman" w:hAnsi="Times New Roman" w:cs="Times New Roman"/>
              </w:rPr>
              <w:br/>
              <w:t xml:space="preserve">   - Anticipated rectal resection: Begin a low-residue diet 3 days preoperatively; fast on the day before surgery.  </w:t>
            </w:r>
            <w:r w:rsidRPr="00CB2EC4">
              <w:rPr>
                <w:rFonts w:ascii="Times New Roman" w:hAnsi="Times New Roman" w:cs="Times New Roman"/>
              </w:rPr>
              <w:br/>
              <w:t xml:space="preserve">2. Laxation:  </w:t>
            </w:r>
            <w:r w:rsidRPr="00CB2EC4">
              <w:rPr>
                <w:rFonts w:ascii="Times New Roman" w:hAnsi="Times New Roman" w:cs="Times New Roman"/>
              </w:rPr>
              <w:br/>
              <w:t xml:space="preserve">   - On the day before surgery, orally administer magnesium preparation and castor oil.  </w:t>
            </w:r>
            <w:r w:rsidRPr="00CB2EC4">
              <w:rPr>
                <w:rFonts w:ascii="Times New Roman" w:hAnsi="Times New Roman" w:cs="Times New Roman"/>
              </w:rPr>
              <w:br/>
              <w:t xml:space="preserve">   - On the morning of surgery, administer 300 mL of liquid orally for high enema (or enema on the morning of surgery).  </w:t>
            </w:r>
            <w:r w:rsidRPr="00CB2EC4">
              <w:rPr>
                <w:rFonts w:ascii="Times New Roman" w:hAnsi="Times New Roman" w:cs="Times New Roman"/>
              </w:rPr>
              <w:br/>
              <w:t xml:space="preserve">3. Special circumstances:  </w:t>
            </w:r>
            <w:r w:rsidRPr="00CB2EC4">
              <w:rPr>
                <w:rFonts w:ascii="Times New Roman" w:hAnsi="Times New Roman" w:cs="Times New Roman"/>
              </w:rPr>
              <w:br/>
            </w:r>
            <w:r w:rsidRPr="00CB2EC4">
              <w:rPr>
                <w:rFonts w:ascii="Times New Roman" w:hAnsi="Times New Roman" w:cs="Times New Roman"/>
              </w:rPr>
              <w:lastRenderedPageBreak/>
              <w:t xml:space="preserve">   - For patients with high infection risk: Begin prophylactic antibiotics (e.g., metronidazole) 2 days preoperatively.  </w:t>
            </w:r>
            <w:r w:rsidRPr="00CB2EC4">
              <w:rPr>
                <w:rFonts w:ascii="Times New Roman" w:hAnsi="Times New Roman" w:cs="Times New Roman"/>
              </w:rPr>
              <w:br/>
              <w:t xml:space="preserve">   - For malnourished patients: Supplement with TPN support.  </w:t>
            </w:r>
            <w:r w:rsidRPr="00CB2EC4">
              <w:rPr>
                <w:rFonts w:ascii="Times New Roman" w:hAnsi="Times New Roman" w:cs="Times New Roman"/>
              </w:rPr>
              <w:br/>
            </w:r>
            <w:r w:rsidRPr="00CB2EC4">
              <w:rPr>
                <w:rFonts w:ascii="Times New Roman" w:hAnsi="Times New Roman" w:cs="Times New Roman"/>
              </w:rPr>
              <w:br/>
              <w:t>&gt; Note: The document does not specify a regimen for oral antibiotics (e.g., neomycin).</w:t>
            </w:r>
          </w:p>
        </w:tc>
        <w:tc>
          <w:tcPr>
            <w:tcW w:w="1152" w:type="dxa"/>
            <w:vAlign w:val="center"/>
          </w:tcPr>
          <w:p w14:paraId="1E5D7C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371DA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1DE59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F8C1DB6" w14:textId="77777777">
        <w:tc>
          <w:tcPr>
            <w:tcW w:w="2160" w:type="dxa"/>
            <w:vAlign w:val="center"/>
          </w:tcPr>
          <w:p w14:paraId="20F2B3F3"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9EE472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preoperative bowel preparation for gynecological oncology surgery typically includes the following steps:  </w:t>
            </w:r>
            <w:r w:rsidRPr="00CB2EC4">
              <w:rPr>
                <w:rFonts w:ascii="Times New Roman" w:hAnsi="Times New Roman" w:cs="Times New Roman"/>
              </w:rPr>
              <w:br/>
              <w:t xml:space="preserve">1. Dietary adjustment:  </w:t>
            </w:r>
            <w:r w:rsidRPr="00CB2EC4">
              <w:rPr>
                <w:rFonts w:ascii="Times New Roman" w:hAnsi="Times New Roman" w:cs="Times New Roman"/>
              </w:rPr>
              <w:br/>
              <w:t xml:space="preserve">   - Begin a low-residue diet 1 day preoperatively; if rectal resection is anticipated, start 3 days preoperatively.  </w:t>
            </w:r>
            <w:r w:rsidRPr="00CB2EC4">
              <w:rPr>
                <w:rFonts w:ascii="Times New Roman" w:hAnsi="Times New Roman" w:cs="Times New Roman"/>
              </w:rPr>
              <w:br/>
              <w:t xml:space="preserve">   - Fast after dinner on the day before surgery (Source: Document Fragment 7).  </w:t>
            </w:r>
            <w:r w:rsidRPr="00CB2EC4">
              <w:rPr>
                <w:rFonts w:ascii="Times New Roman" w:hAnsi="Times New Roman" w:cs="Times New Roman"/>
              </w:rPr>
              <w:br/>
              <w:t xml:space="preserve">2. Laxative administration:  </w:t>
            </w:r>
            <w:r w:rsidRPr="00CB2EC4">
              <w:rPr>
                <w:rFonts w:ascii="Times New Roman" w:hAnsi="Times New Roman" w:cs="Times New Roman"/>
              </w:rPr>
              <w:br/>
              <w:t xml:space="preserve">   - Take magnesium-based laxatives on the day before surgery to promote defecation; especially important for patients with incomplete bowel obstruction (Source: Document Fragments 3 and 7).  </w:t>
            </w:r>
            <w:r w:rsidRPr="00CB2EC4">
              <w:rPr>
                <w:rFonts w:ascii="Times New Roman" w:hAnsi="Times New Roman" w:cs="Times New Roman"/>
              </w:rPr>
              <w:br/>
              <w:t xml:space="preserve">3. Bowel cleansing enema:  </w:t>
            </w:r>
            <w:r w:rsidRPr="00CB2EC4">
              <w:rPr>
                <w:rFonts w:ascii="Times New Roman" w:hAnsi="Times New Roman" w:cs="Times New Roman"/>
              </w:rPr>
              <w:br/>
              <w:t xml:space="preserve">   - Perform a high enema on the morning of surgery (e.g., oral administration of 300 mL enema solution or cleansing enema) to ensure bowel emptiness; patients with incomplete obstruction should prioritize cleansing enema (Source: Document Fragments 3 and 7).  </w:t>
            </w:r>
            <w:r w:rsidRPr="00CB2EC4">
              <w:rPr>
                <w:rFonts w:ascii="Times New Roman" w:hAnsi="Times New Roman" w:cs="Times New Roman"/>
              </w:rPr>
              <w:br/>
              <w:t xml:space="preserve">4. Oral intestinal antibiotics:  </w:t>
            </w:r>
            <w:r w:rsidRPr="00CB2EC4">
              <w:rPr>
                <w:rFonts w:ascii="Times New Roman" w:hAnsi="Times New Roman" w:cs="Times New Roman"/>
              </w:rPr>
              <w:br/>
              <w:t xml:space="preserve">   - Administer oral antibiotics (e.g., metronidazole plus neomycin or berberine) 3–5 days preoperatively to reduce intestinal flora and infection risk (Source: Document Fragment 3).  </w:t>
            </w:r>
            <w:r w:rsidRPr="00CB2EC4">
              <w:rPr>
                <w:rFonts w:ascii="Times New Roman" w:hAnsi="Times New Roman" w:cs="Times New Roman"/>
              </w:rPr>
              <w:br/>
            </w:r>
            <w:r w:rsidRPr="00CB2EC4">
              <w:rPr>
                <w:rFonts w:ascii="Times New Roman" w:hAnsi="Times New Roman" w:cs="Times New Roman"/>
              </w:rPr>
              <w:lastRenderedPageBreak/>
              <w:t xml:space="preserve">5. Other supportive measures:  </w:t>
            </w:r>
            <w:r w:rsidRPr="00CB2EC4">
              <w:rPr>
                <w:rFonts w:ascii="Times New Roman" w:hAnsi="Times New Roman" w:cs="Times New Roman"/>
              </w:rPr>
              <w:br/>
              <w:t xml:space="preserve">   - Combine with vaginal douching (starting 2–3 days preoperatively) to comprehensively reduce infection risk; correct systemic conditions such as electrolyte and fluid imbalances (Source: Document Fragment 3).  </w:t>
            </w:r>
            <w:r w:rsidRPr="00CB2EC4">
              <w:rPr>
                <w:rFonts w:ascii="Times New Roman" w:hAnsi="Times New Roman" w:cs="Times New Roman"/>
              </w:rPr>
              <w:br/>
              <w:t>- Summary: These steps aim to cleanse the bowel, minimize intraoperative contamination, and reduce postoperative infectious complications; specific protocols are adjusted based on clinical condition.</w:t>
            </w:r>
          </w:p>
        </w:tc>
        <w:tc>
          <w:tcPr>
            <w:tcW w:w="1152" w:type="dxa"/>
            <w:vAlign w:val="center"/>
          </w:tcPr>
          <w:p w14:paraId="652C36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C30C1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57188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9F0E6F9" w14:textId="77777777">
        <w:tc>
          <w:tcPr>
            <w:tcW w:w="2160" w:type="dxa"/>
            <w:vAlign w:val="center"/>
          </w:tcPr>
          <w:p w14:paraId="0D5C8D9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2B15FE1" w14:textId="77777777" w:rsidR="00922249" w:rsidRPr="00CB2EC4" w:rsidRDefault="003011D5">
            <w:pPr>
              <w:rPr>
                <w:rFonts w:ascii="Times New Roman" w:hAnsi="Times New Roman" w:cs="Times New Roman"/>
              </w:rPr>
            </w:pPr>
            <w:r w:rsidRPr="00CB2EC4">
              <w:rPr>
                <w:rFonts w:ascii="Times New Roman" w:hAnsi="Times New Roman" w:cs="Times New Roman"/>
              </w:rPr>
              <w:t>preoperative bowel preparation for gynecological oncology surgery typically includes the following steps:</w:t>
            </w:r>
            <w:r w:rsidRPr="00CB2EC4">
              <w:rPr>
                <w:rFonts w:ascii="Times New Roman" w:hAnsi="Times New Roman" w:cs="Times New Roman"/>
              </w:rPr>
              <w:br/>
            </w:r>
            <w:r w:rsidRPr="00CB2EC4">
              <w:rPr>
                <w:rFonts w:ascii="Times New Roman" w:hAnsi="Times New Roman" w:cs="Times New Roman"/>
              </w:rPr>
              <w:br/>
              <w:t xml:space="preserve">- Dietary modification:  </w:t>
            </w:r>
            <w:r w:rsidRPr="00CB2EC4">
              <w:rPr>
                <w:rFonts w:ascii="Times New Roman" w:hAnsi="Times New Roman" w:cs="Times New Roman"/>
              </w:rPr>
              <w:br/>
              <w:t xml:space="preserve">  - Begin a low-residue diet 1 day before surgery (avoid fibrous foods).  </w:t>
            </w:r>
            <w:r w:rsidRPr="00CB2EC4">
              <w:rPr>
                <w:rFonts w:ascii="Times New Roman" w:hAnsi="Times New Roman" w:cs="Times New Roman"/>
              </w:rPr>
              <w:br/>
              <w:t xml:space="preserve">  - If rectal resection is anticipated, start a low-residue diet 3 days before surgery and fast from the day before surgery.  </w:t>
            </w:r>
            <w:r w:rsidRPr="00CB2EC4">
              <w:rPr>
                <w:rFonts w:ascii="Times New Roman" w:hAnsi="Times New Roman" w:cs="Times New Roman"/>
              </w:rPr>
              <w:br/>
              <w:t xml:space="preserve">- Laxative use:  </w:t>
            </w:r>
            <w:r w:rsidRPr="00CB2EC4">
              <w:rPr>
                <w:rFonts w:ascii="Times New Roman" w:hAnsi="Times New Roman" w:cs="Times New Roman"/>
              </w:rPr>
              <w:br/>
              <w:t xml:space="preserve">  - Administer magnesium salts (e.g., magnesium sulfate) and castor oil 1 day before surgery to promote bowel evacuation.  </w:t>
            </w:r>
            <w:r w:rsidRPr="00CB2EC4">
              <w:rPr>
                <w:rFonts w:ascii="Times New Roman" w:hAnsi="Times New Roman" w:cs="Times New Roman"/>
              </w:rPr>
              <w:br/>
              <w:t xml:space="preserve">- Bowel cleansing:  </w:t>
            </w:r>
            <w:r w:rsidRPr="00CB2EC4">
              <w:rPr>
                <w:rFonts w:ascii="Times New Roman" w:hAnsi="Times New Roman" w:cs="Times New Roman"/>
              </w:rPr>
              <w:br/>
              <w:t xml:space="preserve">  - Perform vaginal douching combined with bowel cleansing 2–3 days before surgery.  </w:t>
            </w:r>
            <w:r w:rsidRPr="00CB2EC4">
              <w:rPr>
                <w:rFonts w:ascii="Times New Roman" w:hAnsi="Times New Roman" w:cs="Times New Roman"/>
              </w:rPr>
              <w:br/>
              <w:t xml:space="preserve">  - Conduct a preoperative cleansing enema on the morning of surgery, especially for patients with incomplete bowel obstruction.  </w:t>
            </w:r>
            <w:r w:rsidRPr="00CB2EC4">
              <w:rPr>
                <w:rFonts w:ascii="Times New Roman" w:hAnsi="Times New Roman" w:cs="Times New Roman"/>
              </w:rPr>
              <w:br/>
              <w:t xml:space="preserve">- Antibiotic prophylaxis:  </w:t>
            </w:r>
            <w:r w:rsidRPr="00CB2EC4">
              <w:rPr>
                <w:rFonts w:ascii="Times New Roman" w:hAnsi="Times New Roman" w:cs="Times New Roman"/>
              </w:rPr>
              <w:br/>
              <w:t xml:space="preserve">  - Administer oral intestinal antibiotics for 3–5 days, commonly metronidazole plus neomycin or berberine, to reduce intestinal flora.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These steps aim to cleanse the bowel, reduce infection risk, and improve surgical exposure.  </w:t>
            </w:r>
            <w:r w:rsidRPr="00CB2EC4">
              <w:rPr>
                <w:rFonts w:ascii="Times New Roman" w:hAnsi="Times New Roman" w:cs="Times New Roman"/>
              </w:rPr>
              <w:br/>
              <w:t>(source: document fragments [similarity: 0.398] and [similarity: 0.416])</w:t>
            </w:r>
          </w:p>
        </w:tc>
        <w:tc>
          <w:tcPr>
            <w:tcW w:w="1152" w:type="dxa"/>
            <w:vAlign w:val="center"/>
          </w:tcPr>
          <w:p w14:paraId="59B81C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71C96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EC1C0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CB22FDC" w14:textId="77777777">
        <w:tc>
          <w:tcPr>
            <w:tcW w:w="2160" w:type="dxa"/>
            <w:vAlign w:val="center"/>
          </w:tcPr>
          <w:p w14:paraId="49D99FDF"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CD6F771" w14:textId="77777777" w:rsidR="00922249" w:rsidRPr="00CB2EC4" w:rsidRDefault="003011D5">
            <w:pPr>
              <w:rPr>
                <w:rFonts w:ascii="Times New Roman" w:hAnsi="Times New Roman" w:cs="Times New Roman"/>
              </w:rPr>
            </w:pPr>
            <w:r w:rsidRPr="00CB2EC4">
              <w:rPr>
                <w:rFonts w:ascii="Times New Roman" w:hAnsi="Times New Roman" w:cs="Times New Roman"/>
              </w:rPr>
              <w:t>the preoperative bowel preparation for gynecological oncology surgery typically includes the following steps:</w:t>
            </w:r>
            <w:r w:rsidRPr="00CB2EC4">
              <w:rPr>
                <w:rFonts w:ascii="Times New Roman" w:hAnsi="Times New Roman" w:cs="Times New Roman"/>
              </w:rPr>
              <w:br/>
            </w:r>
            <w:r w:rsidRPr="00CB2EC4">
              <w:rPr>
                <w:rFonts w:ascii="Times New Roman" w:hAnsi="Times New Roman" w:cs="Times New Roman"/>
              </w:rPr>
              <w:br/>
              <w:t>- Dietary modification: Begin a residue-free diet 1 day preoperatively; if rectal resection is anticipated (e.g., advanced ovarian cancer or pelvic exenteration), start residue-free diet 3 days preoperatively and fasting 1 day preoperatively (Document Fragment 10).</w:t>
            </w:r>
            <w:r w:rsidRPr="00CB2EC4">
              <w:rPr>
                <w:rFonts w:ascii="Times New Roman" w:hAnsi="Times New Roman" w:cs="Times New Roman"/>
              </w:rPr>
              <w:br/>
              <w:t>- Laxative administration: Administer magnesium-based agents (e.g., magnesium sulfate) and castor oil 1 day preoperatively to promote bowel evacuation (Document Fragment 10).</w:t>
            </w:r>
            <w:r w:rsidRPr="00CB2EC4">
              <w:rPr>
                <w:rFonts w:ascii="Times New Roman" w:hAnsi="Times New Roman" w:cs="Times New Roman"/>
              </w:rPr>
              <w:br/>
              <w:t>- Enema: Perform a high enema (oral 300 mL or cleansing enema) on the morning of surgery to ensure bowel cleanliness (Document Fragment 10).</w:t>
            </w:r>
            <w:r w:rsidRPr="00CB2EC4">
              <w:rPr>
                <w:rFonts w:ascii="Times New Roman" w:hAnsi="Times New Roman" w:cs="Times New Roman"/>
              </w:rPr>
              <w:br/>
              <w:t>- Oral antibiotics: Administer oral intestinal antibiotics (e.g., metronidazole plus neomycin or berberine) 3–5 days preoperatively to reduce intestinal flora and infection risk (Document Fragment 28).</w:t>
            </w:r>
            <w:r w:rsidRPr="00CB2EC4">
              <w:rPr>
                <w:rFonts w:ascii="Times New Roman" w:hAnsi="Times New Roman" w:cs="Times New Roman"/>
              </w:rPr>
              <w:br/>
              <w:t>- Others: For patients at risk of bowel obstruction, perform additional cleansing enemas (Document Fragment 28).</w:t>
            </w:r>
          </w:p>
        </w:tc>
        <w:tc>
          <w:tcPr>
            <w:tcW w:w="1152" w:type="dxa"/>
            <w:vAlign w:val="center"/>
          </w:tcPr>
          <w:p w14:paraId="1DDF84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2DF12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E816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A6D2446" w14:textId="77777777">
        <w:tc>
          <w:tcPr>
            <w:tcW w:w="2160" w:type="dxa"/>
            <w:vAlign w:val="center"/>
          </w:tcPr>
          <w:p w14:paraId="5AE31550"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4B58AC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preoperative intestinal preparation for gynecological tumor surgery typically includes the following steps:  </w:t>
            </w:r>
            <w:r w:rsidRPr="00CB2EC4">
              <w:rPr>
                <w:rFonts w:ascii="Times New Roman" w:hAnsi="Times New Roman" w:cs="Times New Roman"/>
              </w:rPr>
              <w:br/>
              <w:t xml:space="preserve">1. Dietary control: Switch to a clear liquid diet one day before surgery; no food or drink after midnight (NPO).  </w:t>
            </w:r>
            <w:r w:rsidRPr="00CB2EC4">
              <w:rPr>
                <w:rFonts w:ascii="Times New Roman" w:hAnsi="Times New Roman" w:cs="Times New Roman"/>
              </w:rPr>
              <w:br/>
            </w:r>
            <w:r w:rsidRPr="00CB2EC4">
              <w:rPr>
                <w:rFonts w:ascii="Times New Roman" w:hAnsi="Times New Roman" w:cs="Times New Roman"/>
              </w:rPr>
              <w:lastRenderedPageBreak/>
              <w:t xml:space="preserve">2. Oral laxatives: Administer oral laxatives such as Nalyte, Noloid, or magnesium citrate one day before surgery to cleanse the bowel.  </w:t>
            </w:r>
            <w:r w:rsidRPr="00CB2EC4">
              <w:rPr>
                <w:rFonts w:ascii="Times New Roman" w:hAnsi="Times New Roman" w:cs="Times New Roman"/>
              </w:rPr>
              <w:br/>
              <w:t xml:space="preserve">3. Oral antibiotics: Administer oral antibiotics at specific times (e.g., 1:00 PM, 2:00 PM, and 11:00 PM) one day before surgery; common regimens include neomycin 1g plus metronidazole 500mg (or erythromycin base 1g) to reduce intestinal bacterial load.  </w:t>
            </w:r>
            <w:r w:rsidRPr="00CB2EC4">
              <w:rPr>
                <w:rFonts w:ascii="Times New Roman" w:hAnsi="Times New Roman" w:cs="Times New Roman"/>
              </w:rPr>
              <w:br/>
              <w:t xml:space="preserve">4. Enema: Perform a clean water enema on the morning of surgery until the bowel is clean; for rectal surgery, additionally irrigate the rectum with diluted Betadis solution in the operating room.  </w:t>
            </w:r>
            <w:r w:rsidRPr="00CB2EC4">
              <w:rPr>
                <w:rFonts w:ascii="Times New Roman" w:hAnsi="Times New Roman" w:cs="Times New Roman"/>
              </w:rPr>
              <w:br/>
              <w:t xml:space="preserve">- Optional methods: Depending on the patient’s condition, alternatives to traditional enema may be used, such as saline lavage, polyethylene glycol solution, or mannitol solution (Table 3-5 evaluates various methods).  </w:t>
            </w:r>
            <w:r w:rsidRPr="00CB2EC4">
              <w:rPr>
                <w:rFonts w:ascii="Times New Roman" w:hAnsi="Times New Roman" w:cs="Times New Roman"/>
              </w:rPr>
              <w:br/>
              <w:t>Source reference: Section “(4) Intestinal Preparation” and Tables 3-4, 3-5 from Fragment 5 (original blocks 308-310) detail the recommended methods and steps.</w:t>
            </w:r>
          </w:p>
        </w:tc>
        <w:tc>
          <w:tcPr>
            <w:tcW w:w="1152" w:type="dxa"/>
            <w:vAlign w:val="center"/>
          </w:tcPr>
          <w:p w14:paraId="539A0A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7E78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E8FE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E1AB68" w14:textId="77777777">
        <w:tc>
          <w:tcPr>
            <w:tcW w:w="2160" w:type="dxa"/>
            <w:vAlign w:val="center"/>
          </w:tcPr>
          <w:p w14:paraId="7815764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A6794BA" w14:textId="77777777" w:rsidR="00922249" w:rsidRPr="00CB2EC4" w:rsidRDefault="003011D5">
            <w:pPr>
              <w:rPr>
                <w:rFonts w:ascii="Times New Roman" w:hAnsi="Times New Roman" w:cs="Times New Roman"/>
              </w:rPr>
            </w:pPr>
            <w:r w:rsidRPr="00CB2EC4">
              <w:rPr>
                <w:rFonts w:ascii="Times New Roman" w:hAnsi="Times New Roman" w:cs="Times New Roman"/>
              </w:rPr>
              <w:t>Gynecological tumor surgery preoperative bowel preparation typically includes the following steps:</w:t>
            </w:r>
            <w:r w:rsidRPr="00CB2EC4">
              <w:rPr>
                <w:rFonts w:ascii="Times New Roman" w:hAnsi="Times New Roman" w:cs="Times New Roman"/>
              </w:rPr>
              <w:br/>
            </w:r>
            <w:r w:rsidRPr="00CB2EC4">
              <w:rPr>
                <w:rFonts w:ascii="Times New Roman" w:hAnsi="Times New Roman" w:cs="Times New Roman"/>
              </w:rPr>
              <w:br/>
              <w:t>- Dietary adjustment: Liquid diet (such as clear broth, juice) for 1-2 days preoperatively; solid food fasting for 8 hours before surgery.</w:t>
            </w:r>
            <w:r w:rsidRPr="00CB2EC4">
              <w:rPr>
                <w:rFonts w:ascii="Times New Roman" w:hAnsi="Times New Roman" w:cs="Times New Roman"/>
              </w:rPr>
              <w:br/>
              <w:t>- Laxative use: Oral osmotic laxative (e.g., polyethylene glycol electrolyte powder) on the day before surgery to cleanse the bowel.</w:t>
            </w:r>
            <w:r w:rsidRPr="00CB2EC4">
              <w:rPr>
                <w:rFonts w:ascii="Times New Roman" w:hAnsi="Times New Roman" w:cs="Times New Roman"/>
              </w:rPr>
              <w:br/>
              <w:t xml:space="preserve">- Enema: Cleansing enema (e.g., warm saline enema) on the evening before or the morning of surgery, especially indicated for procedures involving the bowel (such as cytoreductive surgery for ovarian </w:t>
            </w:r>
            <w:r w:rsidRPr="00CB2EC4">
              <w:rPr>
                <w:rFonts w:ascii="Times New Roman" w:hAnsi="Times New Roman" w:cs="Times New Roman"/>
              </w:rPr>
              <w:lastRenderedPageBreak/>
              <w:t>cancer).</w:t>
            </w:r>
            <w:r w:rsidRPr="00CB2EC4">
              <w:rPr>
                <w:rFonts w:ascii="Times New Roman" w:hAnsi="Times New Roman" w:cs="Times New Roman"/>
              </w:rPr>
              <w:br/>
              <w:t>- Antibiotic prophylaxis: Oral non-absorbable antibiotics (e.g., neomycin and erythromycin) on the day before surgery to reduce intestinal flora.</w:t>
            </w:r>
            <w:r w:rsidRPr="00CB2EC4">
              <w:rPr>
                <w:rFonts w:ascii="Times New Roman" w:hAnsi="Times New Roman" w:cs="Times New Roman"/>
              </w:rPr>
              <w:br/>
            </w:r>
            <w:r w:rsidRPr="00CB2EC4">
              <w:rPr>
                <w:rFonts w:ascii="Times New Roman" w:hAnsi="Times New Roman" w:cs="Times New Roman"/>
              </w:rPr>
              <w:br/>
              <w:t>Literature emphasizes that bowel preparation aims to reduce intraoperative contamination and postoperative infection risk, but must be individualized (e.g., avoid strong laxatives in elderly or frail patients).</w:t>
            </w:r>
          </w:p>
        </w:tc>
        <w:tc>
          <w:tcPr>
            <w:tcW w:w="1152" w:type="dxa"/>
            <w:vAlign w:val="center"/>
          </w:tcPr>
          <w:p w14:paraId="22C185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51A29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7BBBA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FF93D8F" w14:textId="77777777">
        <w:tc>
          <w:tcPr>
            <w:tcW w:w="10656" w:type="dxa"/>
            <w:gridSpan w:val="5"/>
            <w:tcBorders>
              <w:bottom w:val="single" w:sz="6" w:space="0" w:color="auto"/>
            </w:tcBorders>
            <w:vAlign w:val="center"/>
          </w:tcPr>
          <w:p w14:paraId="37799FE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136: What steps are typically included in preoperative vaginal preparation for gynecologic oncology surgery?</w:t>
            </w:r>
          </w:p>
        </w:tc>
      </w:tr>
      <w:tr w:rsidR="00922249" w:rsidRPr="00CB2EC4" w14:paraId="6B90FAAF" w14:textId="77777777">
        <w:tc>
          <w:tcPr>
            <w:tcW w:w="2160" w:type="dxa"/>
            <w:vAlign w:val="center"/>
          </w:tcPr>
          <w:p w14:paraId="27BB777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DE29B8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information found in the knowledge base to answer the question.  </w:t>
            </w:r>
            <w:r w:rsidRPr="00CB2EC4">
              <w:rPr>
                <w:rFonts w:ascii="Times New Roman" w:hAnsi="Times New Roman" w:cs="Times New Roman"/>
              </w:rPr>
              <w:br/>
              <w:t>- reason: the provided document fragments detail preoperative preparations such as bowel preparation, antibiotic use, and indwelling urinary catheter placement, but do not specifically mention steps for vaginal preparation (e.g., vaginal irrigation, disinfection, or local medication). for example, in the preoperative preparation for cervical cancer surgery (similarity 0.536), a low-residue diet, enema, and antibiotic administration are mentioned, but no vaginal-related procedures are included. therefore, relevant information cannot be extracted from the documents.</w:t>
            </w:r>
          </w:p>
        </w:tc>
        <w:tc>
          <w:tcPr>
            <w:tcW w:w="1152" w:type="dxa"/>
            <w:vAlign w:val="center"/>
          </w:tcPr>
          <w:p w14:paraId="59760D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0FA21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6E789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EA1B286" w14:textId="77777777">
        <w:tc>
          <w:tcPr>
            <w:tcW w:w="2160" w:type="dxa"/>
            <w:vAlign w:val="center"/>
          </w:tcPr>
          <w:p w14:paraId="33EDF9B8"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B91E248"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found in the knowledge base regarding preoperative vaginal preparation steps for gynecological oncology surgery.</w:t>
            </w:r>
          </w:p>
        </w:tc>
        <w:tc>
          <w:tcPr>
            <w:tcW w:w="1152" w:type="dxa"/>
            <w:vAlign w:val="center"/>
          </w:tcPr>
          <w:p w14:paraId="36A2C7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DC141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9F6DD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734C0D1" w14:textId="77777777">
        <w:tc>
          <w:tcPr>
            <w:tcW w:w="2160" w:type="dxa"/>
            <w:vAlign w:val="center"/>
          </w:tcPr>
          <w:p w14:paraId="0C4A7F45"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1014393" w14:textId="77777777" w:rsidR="00922249" w:rsidRPr="00CB2EC4" w:rsidRDefault="003011D5">
            <w:pPr>
              <w:rPr>
                <w:rFonts w:ascii="Times New Roman" w:hAnsi="Times New Roman" w:cs="Times New Roman"/>
              </w:rPr>
            </w:pPr>
            <w:r w:rsidRPr="00CB2EC4">
              <w:rPr>
                <w:rFonts w:ascii="Times New Roman" w:hAnsi="Times New Roman" w:cs="Times New Roman"/>
              </w:rPr>
              <w:t>the preoperative vaginal preparation for gynecological tumor surgery typically includes the following steps:</w:t>
            </w:r>
            <w:r w:rsidRPr="00CB2EC4">
              <w:rPr>
                <w:rFonts w:ascii="Times New Roman" w:hAnsi="Times New Roman" w:cs="Times New Roman"/>
              </w:rPr>
              <w:br/>
            </w:r>
            <w:r w:rsidRPr="00CB2EC4">
              <w:rPr>
                <w:rFonts w:ascii="Times New Roman" w:hAnsi="Times New Roman" w:cs="Times New Roman"/>
              </w:rPr>
              <w:br/>
              <w:t xml:space="preserve">based on document excerpt 11 (relevance: 0.700), which explicitly states: “Vaginal and bowel preparations should also be performed before surgery. </w:t>
            </w:r>
            <w:r w:rsidRPr="00CB2EC4">
              <w:rPr>
                <w:rFonts w:ascii="Times New Roman" w:hAnsi="Times New Roman" w:cs="Times New Roman"/>
              </w:rPr>
              <w:lastRenderedPageBreak/>
              <w:t>Vaginal irrigation combined with bowel cleansing should begin 2–3 days prior to surgery.” therefore, the preoperative vaginal preparation for gynecological tumor surgery mainly includes starting vaginal irrigation 2–3 days before surgery.</w:t>
            </w:r>
          </w:p>
        </w:tc>
        <w:tc>
          <w:tcPr>
            <w:tcW w:w="1152" w:type="dxa"/>
            <w:vAlign w:val="center"/>
          </w:tcPr>
          <w:p w14:paraId="488A19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4F389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FCD2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03A1F6" w14:textId="77777777">
        <w:tc>
          <w:tcPr>
            <w:tcW w:w="2160" w:type="dxa"/>
            <w:vAlign w:val="center"/>
          </w:tcPr>
          <w:p w14:paraId="2DD5C8ED"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D89EC02" w14:textId="77777777" w:rsidR="00922249" w:rsidRPr="00CB2EC4" w:rsidRDefault="003011D5">
            <w:pPr>
              <w:rPr>
                <w:rFonts w:ascii="Times New Roman" w:hAnsi="Times New Roman" w:cs="Times New Roman"/>
              </w:rPr>
            </w:pPr>
            <w:r w:rsidRPr="00CB2EC4">
              <w:rPr>
                <w:rFonts w:ascii="Times New Roman" w:hAnsi="Times New Roman" w:cs="Times New Roman"/>
              </w:rPr>
              <w:t>gynecological tumor surgery preoperative vaginal preparation typically includes the following steps:</w:t>
            </w:r>
            <w:r w:rsidRPr="00CB2EC4">
              <w:rPr>
                <w:rFonts w:ascii="Times New Roman" w:hAnsi="Times New Roman" w:cs="Times New Roman"/>
              </w:rPr>
              <w:br/>
            </w:r>
            <w:r w:rsidRPr="00CB2EC4">
              <w:rPr>
                <w:rFonts w:ascii="Times New Roman" w:hAnsi="Times New Roman" w:cs="Times New Roman"/>
              </w:rPr>
              <w:br/>
              <w:t>1.  Vaginal cleansing: Use a mild disinfectant solution (such as chlorhexidine) or soap for local washing. It is generally recommended to perform this daily for several days before surgery to reduce bacterial load.</w:t>
            </w:r>
            <w:r w:rsidRPr="00CB2EC4">
              <w:rPr>
                <w:rFonts w:ascii="Times New Roman" w:hAnsi="Times New Roman" w:cs="Times New Roman"/>
              </w:rPr>
              <w:br/>
              <w:t>2.  Antibacterial treatment: Based on physician assessment, local or systemic antibacterial agents may be used, such as preoperative vaginal application of antibacterial ointment or oral antibiotics, to prevent postoperative infection.</w:t>
            </w:r>
            <w:r w:rsidRPr="00CB2EC4">
              <w:rPr>
                <w:rFonts w:ascii="Times New Roman" w:hAnsi="Times New Roman" w:cs="Times New Roman"/>
              </w:rPr>
              <w:br/>
            </w:r>
            <w:r w:rsidRPr="00CB2EC4">
              <w:rPr>
                <w:rFonts w:ascii="Times New Roman" w:hAnsi="Times New Roman" w:cs="Times New Roman"/>
              </w:rPr>
              <w:br/>
              <w:t>Information source analysis:</w:t>
            </w:r>
            <w:r w:rsidRPr="00CB2EC4">
              <w:rPr>
                <w:rFonts w:ascii="Times New Roman" w:hAnsi="Times New Roman" w:cs="Times New Roman"/>
              </w:rPr>
              <w:br/>
              <w:t>- Web search results: Directly provided specific steps for vaginal preparation, including cleansing and antibacterial treatment (e.g., "Clean the vagina: Use a mild disinfectant solution or soap for local washing. Typically recommended daily for several days before surgery." and "Antibacterial treatment: As advised by the doctor, may involve...").</w:t>
            </w:r>
            <w:r w:rsidRPr="00CB2EC4">
              <w:rPr>
                <w:rFonts w:ascii="Times New Roman" w:hAnsi="Times New Roman" w:cs="Times New Roman"/>
              </w:rPr>
              <w:br/>
              <w:t>- Knowledge base documents: Did not specifically address preoperative vaginal preparation but mentioned overall preoperative preparations such as low-residue diet and enema (e.g., in radical hysterectomy).</w:t>
            </w:r>
            <w:r w:rsidRPr="00CB2EC4">
              <w:rPr>
                <w:rFonts w:ascii="Times New Roman" w:hAnsi="Times New Roman" w:cs="Times New Roman"/>
              </w:rPr>
              <w:br/>
              <w:t xml:space="preserve">Since web search results are more directly relevant and knowledge base documents show no conflicting information, this response is primarily based on web </w:t>
            </w:r>
            <w:r w:rsidRPr="00CB2EC4">
              <w:rPr>
                <w:rFonts w:ascii="Times New Roman" w:hAnsi="Times New Roman" w:cs="Times New Roman"/>
              </w:rPr>
              <w:lastRenderedPageBreak/>
              <w:t>search results.</w:t>
            </w:r>
            <w:r w:rsidRPr="00CB2EC4">
              <w:rPr>
                <w:rFonts w:ascii="Times New Roman" w:hAnsi="Times New Roman" w:cs="Times New Roman"/>
              </w:rPr>
              <w:br/>
            </w:r>
            <w:r w:rsidRPr="00CB2EC4">
              <w:rPr>
                <w:rFonts w:ascii="Times New Roman" w:hAnsi="Times New Roman" w:cs="Times New Roman"/>
              </w:rPr>
              <w:br/>
              <w:t>Conclusion: The core of preoperative vaginal preparation is cleansing and antibacterial treatment, which should be conducted under medical guidance.</w:t>
            </w:r>
          </w:p>
        </w:tc>
        <w:tc>
          <w:tcPr>
            <w:tcW w:w="1152" w:type="dxa"/>
            <w:vAlign w:val="center"/>
          </w:tcPr>
          <w:p w14:paraId="2F3006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07A48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2E73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FC3E25" w14:textId="77777777">
        <w:tc>
          <w:tcPr>
            <w:tcW w:w="2160" w:type="dxa"/>
            <w:vAlign w:val="center"/>
          </w:tcPr>
          <w:p w14:paraId="1169469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EC4E73F"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found in the knowledge base to answer the question. the provided document fragments discuss surgical approaches, indications, extent of surgery, and postoperative management (e.g., preoperative bowel preparation, antibiotic use, and urinary catheter placement in fragment 3), but do not specify steps for preoperative vaginal preparation such as vaginal disinfection or irrigation. therefore, the requested details cannot be extracted from the available documents.</w:t>
            </w:r>
          </w:p>
        </w:tc>
        <w:tc>
          <w:tcPr>
            <w:tcW w:w="1152" w:type="dxa"/>
            <w:vAlign w:val="center"/>
          </w:tcPr>
          <w:p w14:paraId="32E802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9BC6A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C475E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AC00FAF" w14:textId="77777777">
        <w:tc>
          <w:tcPr>
            <w:tcW w:w="2160" w:type="dxa"/>
            <w:vAlign w:val="center"/>
          </w:tcPr>
          <w:p w14:paraId="7FE9174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C2E4F11"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r w:rsidRPr="00CB2EC4">
              <w:rPr>
                <w:rFonts w:ascii="Times New Roman" w:hAnsi="Times New Roman" w:cs="Times New Roman"/>
              </w:rPr>
              <w:br/>
            </w:r>
            <w:r w:rsidRPr="00CB2EC4">
              <w:rPr>
                <w:rFonts w:ascii="Times New Roman" w:hAnsi="Times New Roman" w:cs="Times New Roman"/>
              </w:rPr>
              <w:br/>
              <w:t>the provided documents cover surgical treatments, complications, and follow-up for gynecological tumors such as vulvar Paget's disease, cervical cancer, and vulvar cancer, but do not specify the steps for preoperative vaginal preparation (e.g., vaginal irrigation, disinfection). Document 9 mentions general preoperative preparations including dietary management, enema, antibiotic administration, and indwelling urinary catheter placement, but does not address vaginal preparation specifically.</w:t>
            </w:r>
            <w:r w:rsidRPr="00CB2EC4">
              <w:rPr>
                <w:rFonts w:ascii="Times New Roman" w:hAnsi="Times New Roman" w:cs="Times New Roman"/>
              </w:rPr>
              <w:br/>
            </w:r>
            <w:r w:rsidRPr="00CB2EC4">
              <w:rPr>
                <w:rFonts w:ascii="Times New Roman" w:hAnsi="Times New Roman" w:cs="Times New Roman"/>
              </w:rPr>
              <w:br/>
              <w:t>therefore, based on the available knowledge, the steps for preoperative vaginal preparation in gynecological tumor surgery cannot be determined.</w:t>
            </w:r>
          </w:p>
        </w:tc>
        <w:tc>
          <w:tcPr>
            <w:tcW w:w="1152" w:type="dxa"/>
            <w:vAlign w:val="center"/>
          </w:tcPr>
          <w:p w14:paraId="079BFE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66DAE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8D33C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145607B" w14:textId="77777777">
        <w:tc>
          <w:tcPr>
            <w:tcW w:w="2160" w:type="dxa"/>
            <w:vAlign w:val="center"/>
          </w:tcPr>
          <w:p w14:paraId="55267A2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027F764"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on preoperative vaginal preparation steps was found in the provided document.</w:t>
            </w:r>
          </w:p>
        </w:tc>
        <w:tc>
          <w:tcPr>
            <w:tcW w:w="1152" w:type="dxa"/>
            <w:vAlign w:val="center"/>
          </w:tcPr>
          <w:p w14:paraId="584A82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D6B4A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812B8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5682661" w14:textId="77777777">
        <w:tc>
          <w:tcPr>
            <w:tcW w:w="2160" w:type="dxa"/>
            <w:vAlign w:val="center"/>
          </w:tcPr>
          <w:p w14:paraId="3D932F4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528922B6"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found in the knowledge base regarding specific steps for preoperative vaginal preparation in gynecological oncology surgery. The available documents cover general preoperative measures such as dietary management, enema, antibiotic administration, and urinary catheterization, but do not detail vaginal-specific preparations (e.g., vaginal irrigation, disinfection, or other dedicated vaginal procedures). Fragment 5 mentions bowel preparation and urinary catheter management for open abdominal surgery but does not address vaginal preparation.</w:t>
            </w:r>
          </w:p>
        </w:tc>
        <w:tc>
          <w:tcPr>
            <w:tcW w:w="1152" w:type="dxa"/>
            <w:vAlign w:val="center"/>
          </w:tcPr>
          <w:p w14:paraId="720586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8FBE8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31205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30A887C" w14:textId="77777777">
        <w:tc>
          <w:tcPr>
            <w:tcW w:w="2160" w:type="dxa"/>
            <w:vAlign w:val="center"/>
          </w:tcPr>
          <w:p w14:paraId="37953F04"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39F45F4"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found in the provided document regarding the specific steps of preoperative vaginal preparation for gynecological tumor surgery (such as disinfection, irrigation, etc.). The document focuses on surgical methods, indications, complications, and treatment principles for gynecological tumors (e.g., vulvar cancer, vaginal cancer, cervical cancer) but does not detail preoperative vaginal preparation procedures. Therefore, based on the given context, the steps of preoperative vaginal preparation cannot be determined.</w:t>
            </w:r>
          </w:p>
        </w:tc>
        <w:tc>
          <w:tcPr>
            <w:tcW w:w="1152" w:type="dxa"/>
            <w:vAlign w:val="center"/>
          </w:tcPr>
          <w:p w14:paraId="404BA9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1A380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88936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301658B" w14:textId="77777777">
        <w:tc>
          <w:tcPr>
            <w:tcW w:w="2160" w:type="dxa"/>
            <w:vAlign w:val="center"/>
          </w:tcPr>
          <w:p w14:paraId="7622F2D5"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5CAC3E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preoperative vaginal preparation for gynecological tumor surgery typically includes the following steps:  </w:t>
            </w:r>
            <w:r w:rsidRPr="00CB2EC4">
              <w:rPr>
                <w:rFonts w:ascii="Times New Roman" w:hAnsi="Times New Roman" w:cs="Times New Roman"/>
              </w:rPr>
              <w:br/>
              <w:t xml:space="preserve">- Vaginal irrigation starting 2 to 3 days before surgery: to clean the vaginal area and reduce the risk of intraoperative infection.  </w:t>
            </w:r>
            <w:r w:rsidRPr="00CB2EC4">
              <w:rPr>
                <w:rFonts w:ascii="Times New Roman" w:hAnsi="Times New Roman" w:cs="Times New Roman"/>
              </w:rPr>
              <w:br/>
              <w:t xml:space="preserve">- Concurrent bowel preparation: including bowel cleansing (such as with laxatives or enemas) to minimize the possibility of bowel contamination of the surgical field.  </w:t>
            </w:r>
            <w:r w:rsidRPr="00CB2EC4">
              <w:rPr>
                <w:rFonts w:ascii="Times New Roman" w:hAnsi="Times New Roman" w:cs="Times New Roman"/>
              </w:rPr>
              <w:br/>
              <w:t xml:space="preserve">Additionally, document fragment 7 mentions preoperative "active treatment of systemic diseases </w:t>
            </w:r>
            <w:r w:rsidRPr="00CB2EC4">
              <w:rPr>
                <w:rFonts w:ascii="Times New Roman" w:hAnsi="Times New Roman" w:cs="Times New Roman"/>
              </w:rPr>
              <w:lastRenderedPageBreak/>
              <w:t>and upper respiratory tract diseases," but does not specify further steps related to vaginal preparation. Therefore, the core steps are vaginal irrigation and bowel preparation.</w:t>
            </w:r>
          </w:p>
        </w:tc>
        <w:tc>
          <w:tcPr>
            <w:tcW w:w="1152" w:type="dxa"/>
            <w:vAlign w:val="center"/>
          </w:tcPr>
          <w:p w14:paraId="3ECA25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0981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3BB49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9280161" w14:textId="77777777">
        <w:tc>
          <w:tcPr>
            <w:tcW w:w="2160" w:type="dxa"/>
            <w:vAlign w:val="center"/>
          </w:tcPr>
          <w:p w14:paraId="67A12543"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C1F7C25"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available in the knowledge base regarding preoperative vaginal preparation steps for gynecological tumor surgery.</w:t>
            </w:r>
          </w:p>
        </w:tc>
        <w:tc>
          <w:tcPr>
            <w:tcW w:w="1152" w:type="dxa"/>
            <w:vAlign w:val="center"/>
          </w:tcPr>
          <w:p w14:paraId="4EEA6B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21CF3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BB3BB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A576BA9" w14:textId="77777777">
        <w:tc>
          <w:tcPr>
            <w:tcW w:w="2160" w:type="dxa"/>
            <w:vAlign w:val="center"/>
          </w:tcPr>
          <w:p w14:paraId="4EC9C65F"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DCC0613" w14:textId="77777777" w:rsidR="00922249" w:rsidRPr="00CB2EC4" w:rsidRDefault="003011D5">
            <w:pPr>
              <w:rPr>
                <w:rFonts w:ascii="Times New Roman" w:hAnsi="Times New Roman" w:cs="Times New Roman"/>
              </w:rPr>
            </w:pPr>
            <w:r w:rsidRPr="00CB2EC4">
              <w:rPr>
                <w:rFonts w:ascii="Times New Roman" w:hAnsi="Times New Roman" w:cs="Times New Roman"/>
              </w:rPr>
              <w:t>the steps of vaginal preparation before gynecological tumor surgery typically include:</w:t>
            </w:r>
            <w:r w:rsidRPr="00CB2EC4">
              <w:rPr>
                <w:rFonts w:ascii="Times New Roman" w:hAnsi="Times New Roman" w:cs="Times New Roman"/>
              </w:rPr>
              <w:br/>
              <w:t>- Vaginal irrigation: Begin vaginal irrigation 2 to 3 days before surgery to reduce infection risk and clean the vaginal environment (as stated in document fragment 3: "Preoperative vaginal and bowel preparation should also be performed. Vaginal irrigation plus bowel cleansing should start 2 to 3 days before surgery").</w:t>
            </w:r>
            <w:r w:rsidRPr="00CB2EC4">
              <w:rPr>
                <w:rFonts w:ascii="Times New Roman" w:hAnsi="Times New Roman" w:cs="Times New Roman"/>
              </w:rPr>
              <w:br/>
              <w:t>Source: Document fragment 3 (relevance: 0.8603) explicitly describes the steps of preoperative vaginal preparation.</w:t>
            </w:r>
          </w:p>
        </w:tc>
        <w:tc>
          <w:tcPr>
            <w:tcW w:w="1152" w:type="dxa"/>
            <w:vAlign w:val="center"/>
          </w:tcPr>
          <w:p w14:paraId="0711DF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B3ED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98D6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CC5EAEF" w14:textId="77777777">
        <w:tc>
          <w:tcPr>
            <w:tcW w:w="2160" w:type="dxa"/>
            <w:vAlign w:val="center"/>
          </w:tcPr>
          <w:p w14:paraId="66CA172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1E7D896"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found in the knowledge base to answer the question. the provided context focuses on surgical treatments, complications, and recurrence management for vulvar Paget's disease, vaginal intraepithelial neoplasia, vulvar cancer, and cervical cancer, but does not include any details on preoperative vaginal preparation steps (such as disinfection, irrigation, or other pre-treatment methods) for gynecological tumor surgeries.</w:t>
            </w:r>
          </w:p>
        </w:tc>
        <w:tc>
          <w:tcPr>
            <w:tcW w:w="1152" w:type="dxa"/>
            <w:vAlign w:val="center"/>
          </w:tcPr>
          <w:p w14:paraId="666CD8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8A816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37223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76E9274" w14:textId="77777777">
        <w:tc>
          <w:tcPr>
            <w:tcW w:w="2160" w:type="dxa"/>
            <w:vAlign w:val="center"/>
          </w:tcPr>
          <w:p w14:paraId="3FD2A09A"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E67FC41" w14:textId="77777777" w:rsidR="00922249" w:rsidRPr="00CB2EC4" w:rsidRDefault="003011D5">
            <w:pPr>
              <w:rPr>
                <w:rFonts w:ascii="Times New Roman" w:hAnsi="Times New Roman" w:cs="Times New Roman"/>
              </w:rPr>
            </w:pPr>
            <w:r w:rsidRPr="00CB2EC4">
              <w:rPr>
                <w:rFonts w:ascii="Times New Roman" w:hAnsi="Times New Roman" w:cs="Times New Roman"/>
              </w:rPr>
              <w:t>preoperative vaginal preparation for gynecological oncological surgery (e.g., cervical or endometrial cancer) typically includes the following steps:</w:t>
            </w:r>
            <w:r w:rsidRPr="00CB2EC4">
              <w:rPr>
                <w:rFonts w:ascii="Times New Roman" w:hAnsi="Times New Roman" w:cs="Times New Roman"/>
              </w:rPr>
              <w:br/>
              <w:t xml:space="preserve">- Vaginal cleansing and disinfection: Begin 1–3 days preoperatively, using povidone-iodine solution for </w:t>
            </w:r>
            <w:r w:rsidRPr="00CB2EC4">
              <w:rPr>
                <w:rFonts w:ascii="Times New Roman" w:hAnsi="Times New Roman" w:cs="Times New Roman"/>
              </w:rPr>
              <w:lastRenderedPageBreak/>
              <w:t>daily vaginal irrigation or scrubbing to reduce bacterial load.</w:t>
            </w:r>
            <w:r w:rsidRPr="00CB2EC4">
              <w:rPr>
                <w:rFonts w:ascii="Times New Roman" w:hAnsi="Times New Roman" w:cs="Times New Roman"/>
              </w:rPr>
              <w:br/>
              <w:t>- Vaginal secretion management: If abnormal secretions are present, perform bacterial culture and susceptibility testing, and administer local antimicrobial agents (e.g., metronidazole suppositories) based on results.</w:t>
            </w:r>
            <w:r w:rsidRPr="00CB2EC4">
              <w:rPr>
                <w:rFonts w:ascii="Times New Roman" w:hAnsi="Times New Roman" w:cs="Times New Roman"/>
              </w:rPr>
              <w:br/>
              <w:t>- Preoperative abstinence and hygiene guidance: Instruct the patient to avoid sexual intercourse for one week prior to surgery and provide guidance on external genital hygiene.</w:t>
            </w:r>
            <w:r w:rsidRPr="00CB2EC4">
              <w:rPr>
                <w:rFonts w:ascii="Times New Roman" w:hAnsi="Times New Roman" w:cs="Times New Roman"/>
              </w:rPr>
              <w:br/>
              <w:t>These steps aim to reduce postoperative infection risk and ensure a clean surgical field. Literature emphasizes that preparation should be individualized according to tumor type and patient condition.</w:t>
            </w:r>
          </w:p>
        </w:tc>
        <w:tc>
          <w:tcPr>
            <w:tcW w:w="1152" w:type="dxa"/>
            <w:vAlign w:val="center"/>
          </w:tcPr>
          <w:p w14:paraId="464507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14EFA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DE439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3A50CBB" w14:textId="77777777">
        <w:tc>
          <w:tcPr>
            <w:tcW w:w="10656" w:type="dxa"/>
            <w:gridSpan w:val="5"/>
            <w:tcBorders>
              <w:bottom w:val="single" w:sz="6" w:space="0" w:color="auto"/>
            </w:tcBorders>
            <w:vAlign w:val="center"/>
          </w:tcPr>
          <w:p w14:paraId="57F52BFA"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137: What is the first-line treatment for vulvar Paget's disease? Under what circumstances is an additional inguinal lymphadenectomy required?</w:t>
            </w:r>
          </w:p>
        </w:tc>
      </w:tr>
      <w:tr w:rsidR="00922249" w:rsidRPr="00CB2EC4" w14:paraId="4129AA6B" w14:textId="77777777">
        <w:tc>
          <w:tcPr>
            <w:tcW w:w="2160" w:type="dxa"/>
            <w:vAlign w:val="center"/>
          </w:tcPr>
          <w:p w14:paraId="1DE645E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613FB4B"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extramammary Paget's disease of the vulva is surgical intervention. specifically, simple vulvectomy is recommended as it has the lowest postoperative recurrence rate.</w:t>
            </w:r>
            <w:r w:rsidRPr="00CB2EC4">
              <w:rPr>
                <w:rFonts w:ascii="Times New Roman" w:hAnsi="Times New Roman" w:cs="Times New Roman"/>
              </w:rPr>
              <w:br/>
            </w:r>
            <w:r w:rsidRPr="00CB2EC4">
              <w:rPr>
                <w:rFonts w:ascii="Times New Roman" w:hAnsi="Times New Roman" w:cs="Times New Roman"/>
              </w:rPr>
              <w:br/>
              <w:t>addition of inguinal lymph node dissection is indicated in the following situations:</w:t>
            </w:r>
            <w:r w:rsidRPr="00CB2EC4">
              <w:rPr>
                <w:rFonts w:ascii="Times New Roman" w:hAnsi="Times New Roman" w:cs="Times New Roman"/>
              </w:rPr>
              <w:br/>
              <w:t>1. when the disease is associated with underlying adenocarcinoma: patients with extramammary Paget's disease combined with adenocarcinoma should be treated as having invasive malignant vulvar tumors, typically requiring radical vulvectomy and inguinal lymph node dissection.</w:t>
            </w:r>
            <w:r w:rsidRPr="00CB2EC4">
              <w:rPr>
                <w:rFonts w:ascii="Times New Roman" w:hAnsi="Times New Roman" w:cs="Times New Roman"/>
              </w:rPr>
              <w:br/>
              <w:t xml:space="preserve">2. in cases of subcutaneous infiltration or concurrent vulvar sweat gland carcinoma: if there is evidence of subcutaneous invasion or coexistence with vulvar </w:t>
            </w:r>
            <w:r w:rsidRPr="00CB2EC4">
              <w:rPr>
                <w:rFonts w:ascii="Times New Roman" w:hAnsi="Times New Roman" w:cs="Times New Roman"/>
              </w:rPr>
              <w:lastRenderedPageBreak/>
              <w:t>sweat gland carcinoma, radical vulvectomy and bilateral inguinal lymph node dissection are advocated.</w:t>
            </w:r>
            <w:r w:rsidRPr="00CB2EC4">
              <w:rPr>
                <w:rFonts w:ascii="Times New Roman" w:hAnsi="Times New Roman" w:cs="Times New Roman"/>
              </w:rPr>
              <w:br/>
              <w:t>3. when carcinoma is detected in adjacent visceral organs (e.g., breast, rectum, bladder): the presence of synchronous malignancies in nearby organs also warrants lymph node dissection.</w:t>
            </w:r>
            <w:r w:rsidRPr="00CB2EC4">
              <w:rPr>
                <w:rFonts w:ascii="Times New Roman" w:hAnsi="Times New Roman" w:cs="Times New Roman"/>
              </w:rPr>
              <w:br/>
            </w:r>
            <w:r w:rsidRPr="00CB2EC4">
              <w:rPr>
                <w:rFonts w:ascii="Times New Roman" w:hAnsi="Times New Roman" w:cs="Times New Roman"/>
              </w:rPr>
              <w:br/>
              <w:t>these recommendations are based on clinical evidence emphasizing that the extent of surgery must be tailored according to the risk of tumor infiltration and metastasis.</w:t>
            </w:r>
          </w:p>
        </w:tc>
        <w:tc>
          <w:tcPr>
            <w:tcW w:w="1152" w:type="dxa"/>
            <w:vAlign w:val="center"/>
          </w:tcPr>
          <w:p w14:paraId="679C40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05C35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C81F8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F1D6E8" w14:textId="77777777">
        <w:tc>
          <w:tcPr>
            <w:tcW w:w="2160" w:type="dxa"/>
            <w:vAlign w:val="center"/>
          </w:tcPr>
          <w:p w14:paraId="767B993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EB2DF9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treatment for extramammary Paget's disease of the vulva is surgical treatment.  </w:t>
            </w:r>
            <w:r w:rsidRPr="00CB2EC4">
              <w:rPr>
                <w:rFonts w:ascii="Times New Roman" w:hAnsi="Times New Roman" w:cs="Times New Roman"/>
              </w:rPr>
              <w:br/>
              <w:t xml:space="preserve">→ Indications for additional inguinal lymph node dissection:  </w:t>
            </w:r>
            <w:r w:rsidRPr="00CB2EC4">
              <w:rPr>
                <w:rFonts w:ascii="Times New Roman" w:hAnsi="Times New Roman" w:cs="Times New Roman"/>
              </w:rPr>
              <w:br/>
              <w:t xml:space="preserve">  1. Subcutaneous infiltration or invasive growth: if pathological examination shows subcutaneous infiltration or invasive lesions.  </w:t>
            </w:r>
            <w:r w:rsidRPr="00CB2EC4">
              <w:rPr>
                <w:rFonts w:ascii="Times New Roman" w:hAnsi="Times New Roman" w:cs="Times New Roman"/>
              </w:rPr>
              <w:br/>
              <w:t xml:space="preserve">  2. Coexisting adenocarcinoma or sweat gland carcinoma: when combined with adenocarcinoma, vulvar sweat gland carcinoma, or skin appendage carcinoma.  </w:t>
            </w:r>
            <w:r w:rsidRPr="00CB2EC4">
              <w:rPr>
                <w:rFonts w:ascii="Times New Roman" w:hAnsi="Times New Roman" w:cs="Times New Roman"/>
              </w:rPr>
              <w:br/>
              <w:t xml:space="preserve">  3. Detection of carcinoma in nearby visceral organs: such as simultaneous presence of carcinoma in the breast, rectum, bladder, urethra, cervix, or ovary.  </w:t>
            </w:r>
            <w:r w:rsidRPr="00CB2EC4">
              <w:rPr>
                <w:rFonts w:ascii="Times New Roman" w:hAnsi="Times New Roman" w:cs="Times New Roman"/>
              </w:rPr>
              <w:br/>
              <w:t xml:space="preserve">  4. Suspicious lymph node enlargement: clinical examination reveals suspicious inguinal lymph node enlargement.</w:t>
            </w:r>
          </w:p>
        </w:tc>
        <w:tc>
          <w:tcPr>
            <w:tcW w:w="1152" w:type="dxa"/>
            <w:vAlign w:val="center"/>
          </w:tcPr>
          <w:p w14:paraId="2F37F4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AE94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7393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8A09C89" w14:textId="77777777">
        <w:tc>
          <w:tcPr>
            <w:tcW w:w="2160" w:type="dxa"/>
            <w:vAlign w:val="center"/>
          </w:tcPr>
          <w:p w14:paraId="48CE4DF5"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D919B61"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extramammary Paget's disease is surgical excision. Specifically, vulvectomy is associated with the lowest recurrence rates.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Indications for additional inguinal lymph node dissection:</w:t>
            </w:r>
            <w:r w:rsidRPr="00CB2EC4">
              <w:rPr>
                <w:rFonts w:ascii="Times New Roman" w:hAnsi="Times New Roman" w:cs="Times New Roman"/>
              </w:rPr>
              <w:br/>
              <w:t>- When extramammary Paget's disease is associated with underlying adenocarcinoma.</w:t>
            </w:r>
            <w:r w:rsidRPr="00CB2EC4">
              <w:rPr>
                <w:rFonts w:ascii="Times New Roman" w:hAnsi="Times New Roman" w:cs="Times New Roman"/>
              </w:rPr>
              <w:br/>
              <w:t>- In cases of invasive growth pattern.</w:t>
            </w:r>
            <w:r w:rsidRPr="00CB2EC4">
              <w:rPr>
                <w:rFonts w:ascii="Times New Roman" w:hAnsi="Times New Roman" w:cs="Times New Roman"/>
              </w:rPr>
              <w:br/>
              <w:t>- When there is subcutaneous infiltration, concurrent vulvar apocrine carcinoma, or detection of carcinoma in nearby visceral organs.</w:t>
            </w:r>
            <w:r w:rsidRPr="00CB2EC4">
              <w:rPr>
                <w:rFonts w:ascii="Times New Roman" w:hAnsi="Times New Roman" w:cs="Times New Roman"/>
              </w:rPr>
              <w:br/>
            </w:r>
            <w:r w:rsidRPr="00CB2EC4">
              <w:rPr>
                <w:rFonts w:ascii="Times New Roman" w:hAnsi="Times New Roman" w:cs="Times New Roman"/>
              </w:rPr>
              <w:br/>
              <w:t>Note: Lymph node metastasis is rare in intraepithelial or microinvasive Paget's disease and is typically observed only when adenocarcinoma is present. Therefore, lymph node dissection is primarily indicated for patients with invasive or glandular components.</w:t>
            </w:r>
          </w:p>
        </w:tc>
        <w:tc>
          <w:tcPr>
            <w:tcW w:w="1152" w:type="dxa"/>
            <w:vAlign w:val="center"/>
          </w:tcPr>
          <w:p w14:paraId="460296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6309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7EFC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85B82D" w14:textId="77777777">
        <w:tc>
          <w:tcPr>
            <w:tcW w:w="2160" w:type="dxa"/>
            <w:vAlign w:val="center"/>
          </w:tcPr>
          <w:p w14:paraId="24A219D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9C5764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Preferred treatment: Surgical treatment is the first choice for vulvar Paget's disease, with specific procedures including wide local excision of the vulva or radical vulvectomy. This effectively controls local lesions and reduces recurrence rates.  </w:t>
            </w:r>
            <w:r w:rsidRPr="00CB2EC4">
              <w:rPr>
                <w:rFonts w:ascii="Times New Roman" w:hAnsi="Times New Roman" w:cs="Times New Roman"/>
              </w:rPr>
              <w:br/>
              <w:t xml:space="preserve">- Indications for additional inguinal lymph node dissection:  </w:t>
            </w:r>
            <w:r w:rsidRPr="00CB2EC4">
              <w:rPr>
                <w:rFonts w:ascii="Times New Roman" w:hAnsi="Times New Roman" w:cs="Times New Roman"/>
              </w:rPr>
              <w:br/>
              <w:t xml:space="preserve">  1. Coexisting adenocarcinoma: When pathological examination reveals an adenocarcinoma component associated with Paget's disease, management should follow that of an invasive malignant tumor, requiring radical vulvectomy plus bilateral inguinal lymph node dissection.  </w:t>
            </w:r>
            <w:r w:rsidRPr="00CB2EC4">
              <w:rPr>
                <w:rFonts w:ascii="Times New Roman" w:hAnsi="Times New Roman" w:cs="Times New Roman"/>
              </w:rPr>
              <w:br/>
              <w:t xml:space="preserve">  2. Vascular or lymphatic invasion: If preoperative biopsy or intraoperative frozen section shows invasion of vascular or lymphatic spaces, lymph node dissection should be performed.  </w:t>
            </w:r>
            <w:r w:rsidRPr="00CB2EC4">
              <w:rPr>
                <w:rFonts w:ascii="Times New Roman" w:hAnsi="Times New Roman" w:cs="Times New Roman"/>
              </w:rPr>
              <w:br/>
              <w:t xml:space="preserve">  3. Invasive lesions or high risk of lymph node metastasis: Such as lesions larger than 2 cm, located at </w:t>
            </w:r>
            <w:r w:rsidRPr="00CB2EC4">
              <w:rPr>
                <w:rFonts w:ascii="Times New Roman" w:hAnsi="Times New Roman" w:cs="Times New Roman"/>
              </w:rPr>
              <w:lastRenderedPageBreak/>
              <w:t>midline structures (e.g., clitoris or perineum), or clinically suspicious inguinal lymphadenopathy.</w:t>
            </w:r>
          </w:p>
        </w:tc>
        <w:tc>
          <w:tcPr>
            <w:tcW w:w="1152" w:type="dxa"/>
            <w:vAlign w:val="center"/>
          </w:tcPr>
          <w:p w14:paraId="2756D4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92470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60450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D27F965" w14:textId="77777777">
        <w:tc>
          <w:tcPr>
            <w:tcW w:w="2160" w:type="dxa"/>
            <w:vAlign w:val="center"/>
          </w:tcPr>
          <w:p w14:paraId="2AF775A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26989A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treatment for vulvar Paget's disease is surgical treatment, specifically vulvectomy (such as wide local excision or radical vulvectomy). The addition of inguinal lymph node dissection is indicated in the following situations:  </w:t>
            </w:r>
            <w:r w:rsidRPr="00CB2EC4">
              <w:rPr>
                <w:rFonts w:ascii="Times New Roman" w:hAnsi="Times New Roman" w:cs="Times New Roman"/>
              </w:rPr>
              <w:br/>
              <w:t xml:space="preserve">1. Presence of subcutaneous or dermal invasion.  </w:t>
            </w:r>
            <w:r w:rsidRPr="00CB2EC4">
              <w:rPr>
                <w:rFonts w:ascii="Times New Roman" w:hAnsi="Times New Roman" w:cs="Times New Roman"/>
              </w:rPr>
              <w:br/>
              <w:t xml:space="preserve">2. Coexistence with adenocarcinoma.  </w:t>
            </w:r>
            <w:r w:rsidRPr="00CB2EC4">
              <w:rPr>
                <w:rFonts w:ascii="Times New Roman" w:hAnsi="Times New Roman" w:cs="Times New Roman"/>
              </w:rPr>
              <w:br/>
              <w:t xml:space="preserve">3. Association with sweat gland carcinoma of the vulva or carcinoma in nearby visceral organs (e.g., breast, rectum).  </w:t>
            </w:r>
            <w:r w:rsidRPr="00CB2EC4">
              <w:rPr>
                <w:rFonts w:ascii="Times New Roman" w:hAnsi="Times New Roman" w:cs="Times New Roman"/>
              </w:rPr>
              <w:br/>
            </w:r>
            <w:r w:rsidRPr="00CB2EC4">
              <w:rPr>
                <w:rFonts w:ascii="Times New Roman" w:hAnsi="Times New Roman" w:cs="Times New Roman"/>
              </w:rPr>
              <w:br/>
              <w:t>In cases of purely intraepithelial Paget's disease without invasion or associated malignancy, lymph node dissection is typically not required. However, for invasive lesions or those with concurrent adenocarcinoma, radical vulvectomy with bilateral inguinal lymph node dissection is recommended.</w:t>
            </w:r>
          </w:p>
        </w:tc>
        <w:tc>
          <w:tcPr>
            <w:tcW w:w="1152" w:type="dxa"/>
            <w:vAlign w:val="center"/>
          </w:tcPr>
          <w:p w14:paraId="55D344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FACB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5D5F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63A9D3" w14:textId="77777777">
        <w:tc>
          <w:tcPr>
            <w:tcW w:w="2160" w:type="dxa"/>
            <w:vAlign w:val="center"/>
          </w:tcPr>
          <w:p w14:paraId="1197689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8952F7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treatment for extramammary Paget's disease is surgical intervention, specifically either simple vulvectomy or radical vulvectomy (references 2, 3, 5, 6).  </w:t>
            </w:r>
            <w:r w:rsidRPr="00CB2EC4">
              <w:rPr>
                <w:rFonts w:ascii="Times New Roman" w:hAnsi="Times New Roman" w:cs="Times New Roman"/>
              </w:rPr>
              <w:br/>
              <w:t xml:space="preserve">- Indications for adding inguinal lymph node dissection:  </w:t>
            </w:r>
            <w:r w:rsidRPr="00CB2EC4">
              <w:rPr>
                <w:rFonts w:ascii="Times New Roman" w:hAnsi="Times New Roman" w:cs="Times New Roman"/>
              </w:rPr>
              <w:br/>
              <w:t xml:space="preserve">  → When extramammary Paget's disease is associated with adenocarcinoma (reference 2).  </w:t>
            </w:r>
            <w:r w:rsidRPr="00CB2EC4">
              <w:rPr>
                <w:rFonts w:ascii="Times New Roman" w:hAnsi="Times New Roman" w:cs="Times New Roman"/>
              </w:rPr>
              <w:br/>
              <w:t xml:space="preserve">  → In the presence of subcutaneous invasion or concurrent vulvar apocrine carcinoma (reference 3).  </w:t>
            </w:r>
            <w:r w:rsidRPr="00CB2EC4">
              <w:rPr>
                <w:rFonts w:ascii="Times New Roman" w:hAnsi="Times New Roman" w:cs="Times New Roman"/>
              </w:rPr>
              <w:br/>
              <w:t xml:space="preserve">  → When carcinoma is detected in adjacent visceral organs (e.g., breast, rectum, bladder, urethra, cervix, or ovary) (reference 2).  </w:t>
            </w:r>
            <w:r w:rsidRPr="00CB2EC4">
              <w:rPr>
                <w:rFonts w:ascii="Times New Roman" w:hAnsi="Times New Roman" w:cs="Times New Roman"/>
              </w:rPr>
              <w:br/>
              <w:t xml:space="preserve">  In these cases, treatment should follow that for </w:t>
            </w:r>
            <w:r w:rsidRPr="00CB2EC4">
              <w:rPr>
                <w:rFonts w:ascii="Times New Roman" w:hAnsi="Times New Roman" w:cs="Times New Roman"/>
              </w:rPr>
              <w:lastRenderedPageBreak/>
              <w:t>invasive vulvar malignancy, performing radical vulvectomy with bilateral inguinal lymph node dissection to reduce the risk of metastasis.</w:t>
            </w:r>
          </w:p>
        </w:tc>
        <w:tc>
          <w:tcPr>
            <w:tcW w:w="1152" w:type="dxa"/>
            <w:vAlign w:val="center"/>
          </w:tcPr>
          <w:p w14:paraId="0E4ADF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9736B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E759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700F2B7" w14:textId="77777777">
        <w:tc>
          <w:tcPr>
            <w:tcW w:w="2160" w:type="dxa"/>
            <w:vAlign w:val="center"/>
          </w:tcPr>
          <w:p w14:paraId="1B76EC8E"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C5DC27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treatment for extramammary Paget's disease is surgical excision.  </w:t>
            </w:r>
            <w:r w:rsidRPr="00CB2EC4">
              <w:rPr>
                <w:rFonts w:ascii="Times New Roman" w:hAnsi="Times New Roman" w:cs="Times New Roman"/>
              </w:rPr>
              <w:br/>
              <w:t xml:space="preserve">Indications for additional inguinal lymph node dissection include:  </w:t>
            </w:r>
            <w:r w:rsidRPr="00CB2EC4">
              <w:rPr>
                <w:rFonts w:ascii="Times New Roman" w:hAnsi="Times New Roman" w:cs="Times New Roman"/>
              </w:rPr>
              <w:br/>
              <w:t xml:space="preserve">- Presence of subcutaneous infiltration  </w:t>
            </w:r>
            <w:r w:rsidRPr="00CB2EC4">
              <w:rPr>
                <w:rFonts w:ascii="Times New Roman" w:hAnsi="Times New Roman" w:cs="Times New Roman"/>
              </w:rPr>
              <w:br/>
              <w:t xml:space="preserve">- Coexistence of vulvar apocrine carcinoma  </w:t>
            </w:r>
            <w:r w:rsidRPr="00CB2EC4">
              <w:rPr>
                <w:rFonts w:ascii="Times New Roman" w:hAnsi="Times New Roman" w:cs="Times New Roman"/>
              </w:rPr>
              <w:br/>
              <w:t xml:space="preserve">- Detection of carcinoma in nearby visceral organs  </w:t>
            </w:r>
            <w:r w:rsidRPr="00CB2EC4">
              <w:rPr>
                <w:rFonts w:ascii="Times New Roman" w:hAnsi="Times New Roman" w:cs="Times New Roman"/>
              </w:rPr>
              <w:br/>
            </w:r>
            <w:r w:rsidRPr="00CB2EC4">
              <w:rPr>
                <w:rFonts w:ascii="Times New Roman" w:hAnsi="Times New Roman" w:cs="Times New Roman"/>
              </w:rPr>
              <w:br/>
              <w:t>(Information source: Document fragment with HyDE similarity 0.539: "Radical vulvectomy and bilateral inguinal lymph node dissection are recommended if there is subcutaneous infiltration or coexistence of vulvar apocrine carcinoma, or if carcinoma is detected in nearby visceral organs.")</w:t>
            </w:r>
          </w:p>
        </w:tc>
        <w:tc>
          <w:tcPr>
            <w:tcW w:w="1152" w:type="dxa"/>
            <w:vAlign w:val="center"/>
          </w:tcPr>
          <w:p w14:paraId="73F99E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A4EF7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285ED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0D13DD4" w14:textId="77777777">
        <w:tc>
          <w:tcPr>
            <w:tcW w:w="2160" w:type="dxa"/>
            <w:vAlign w:val="center"/>
          </w:tcPr>
          <w:p w14:paraId="7A6C527C"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8A5509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treatment for extramammary Paget's disease is surgical excision.  </w:t>
            </w:r>
            <w:r w:rsidRPr="00CB2EC4">
              <w:rPr>
                <w:rFonts w:ascii="Times New Roman" w:hAnsi="Times New Roman" w:cs="Times New Roman"/>
              </w:rPr>
              <w:br/>
              <w:t xml:space="preserve">Indications for additional inguinal lymph node dissection:  </w:t>
            </w:r>
            <w:r w:rsidRPr="00CB2EC4">
              <w:rPr>
                <w:rFonts w:ascii="Times New Roman" w:hAnsi="Times New Roman" w:cs="Times New Roman"/>
              </w:rPr>
              <w:br/>
              <w:t xml:space="preserve">- When invasive lesions are present (Paget cells penetrate the basement membrane and invade the dermis or subcutaneous fat).  </w:t>
            </w:r>
            <w:r w:rsidRPr="00CB2EC4">
              <w:rPr>
                <w:rFonts w:ascii="Times New Roman" w:hAnsi="Times New Roman" w:cs="Times New Roman"/>
              </w:rPr>
              <w:br/>
              <w:t xml:space="preserve">- When associated with adenocarcinoma (e.g., sweat gland carcinoma).  </w:t>
            </w:r>
            <w:r w:rsidRPr="00CB2EC4">
              <w:rPr>
                <w:rFonts w:ascii="Times New Roman" w:hAnsi="Times New Roman" w:cs="Times New Roman"/>
              </w:rPr>
              <w:br/>
              <w:t xml:space="preserve">- When subcutaneous infiltration or involvement of adjacent visceral organs (such as rectum or bladder) with carcinoma is detected.  </w:t>
            </w:r>
            <w:r w:rsidRPr="00CB2EC4">
              <w:rPr>
                <w:rFonts w:ascii="Times New Roman" w:hAnsi="Times New Roman" w:cs="Times New Roman"/>
              </w:rPr>
              <w:br/>
            </w:r>
            <w:r w:rsidRPr="00CB2EC4">
              <w:rPr>
                <w:rFonts w:ascii="Times New Roman" w:hAnsi="Times New Roman" w:cs="Times New Roman"/>
              </w:rPr>
              <w:br/>
              <w:t xml:space="preserve">Basis:  </w:t>
            </w:r>
            <w:r w:rsidRPr="00CB2EC4">
              <w:rPr>
                <w:rFonts w:ascii="Times New Roman" w:hAnsi="Times New Roman" w:cs="Times New Roman"/>
              </w:rPr>
              <w:br/>
              <w:t xml:space="preserve">- Document fragment 8 explicitly states: "The preferred treatment for vulvar Paget's disease is </w:t>
            </w:r>
            <w:r w:rsidRPr="00CB2EC4">
              <w:rPr>
                <w:rFonts w:ascii="Times New Roman" w:hAnsi="Times New Roman" w:cs="Times New Roman"/>
              </w:rPr>
              <w:lastRenderedPageBreak/>
              <w:t xml:space="preserve">surgical treatment," and emphasizes that "patients with vulvar Paget's disease combined with adenocarcinoma should be managed as invasive malignant tumors of the vulva, typically with radical vulvectomy and inguinal lymph node dissection."  </w:t>
            </w:r>
            <w:r w:rsidRPr="00CB2EC4">
              <w:rPr>
                <w:rFonts w:ascii="Times New Roman" w:hAnsi="Times New Roman" w:cs="Times New Roman"/>
              </w:rPr>
              <w:br/>
              <w:t>- Fragments 22 and 27 add that invasive Paget's disease or cases with adenocarcinoma are prone to lymph node metastasis, thus requiring lymph node dissection to reduce recurrence risk.</w:t>
            </w:r>
          </w:p>
        </w:tc>
        <w:tc>
          <w:tcPr>
            <w:tcW w:w="1152" w:type="dxa"/>
            <w:vAlign w:val="center"/>
          </w:tcPr>
          <w:p w14:paraId="691085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9D863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D6B1A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06CC35B" w14:textId="77777777">
        <w:tc>
          <w:tcPr>
            <w:tcW w:w="2160" w:type="dxa"/>
            <w:vAlign w:val="center"/>
          </w:tcPr>
          <w:p w14:paraId="063DC0F7"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A207A22"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extramammary Paget's disease of the vulva is surgical intervention. the surgical approach is determined based on the local extent of the tumor and the risk of local recurrence and lymph node metastasis, with common procedures including wide local excision or radical vulvectomy.</w:t>
            </w:r>
            <w:r w:rsidRPr="00CB2EC4">
              <w:rPr>
                <w:rFonts w:ascii="Times New Roman" w:hAnsi="Times New Roman" w:cs="Times New Roman"/>
              </w:rPr>
              <w:br/>
            </w:r>
            <w:r w:rsidRPr="00CB2EC4">
              <w:rPr>
                <w:rFonts w:ascii="Times New Roman" w:hAnsi="Times New Roman" w:cs="Times New Roman"/>
              </w:rPr>
              <w:br/>
              <w:t>- indications for adding inguinal lymph node dissection:</w:t>
            </w:r>
            <w:r w:rsidRPr="00CB2EC4">
              <w:rPr>
                <w:rFonts w:ascii="Times New Roman" w:hAnsi="Times New Roman" w:cs="Times New Roman"/>
              </w:rPr>
              <w:br/>
              <w:t xml:space="preserve">  - when there is subcutaneous invasion or coexistence with vulvar apocrine adenocarcinoma (as stated: "if there is subcutaneous invasion or associated vulvar apocrine adenocarcinoma... radical vulvectomy and bilateral inguinal lymph node dissection are recommended").</w:t>
            </w:r>
            <w:r w:rsidRPr="00CB2EC4">
              <w:rPr>
                <w:rFonts w:ascii="Times New Roman" w:hAnsi="Times New Roman" w:cs="Times New Roman"/>
              </w:rPr>
              <w:br/>
              <w:t xml:space="preserve">  - when carcinoma is detected in adjacent visceral organs (e.g., breast, rectum, bladder), as approximately 30% of patients with extramammary Paget's disease have synchronous malignancy elsewhere; in such cases, management follows that of invasive malignancy.</w:t>
            </w:r>
            <w:r w:rsidRPr="00CB2EC4">
              <w:rPr>
                <w:rFonts w:ascii="Times New Roman" w:hAnsi="Times New Roman" w:cs="Times New Roman"/>
              </w:rPr>
              <w:br/>
              <w:t xml:space="preserve">  - when pathological examination confirms invasive disease or concurrent adenocarcinoma (as noted: "patients with extramammary Paget's disease complicated by adenocarcinoma should be treated as </w:t>
            </w:r>
            <w:r w:rsidRPr="00CB2EC4">
              <w:rPr>
                <w:rFonts w:ascii="Times New Roman" w:hAnsi="Times New Roman" w:cs="Times New Roman"/>
              </w:rPr>
              <w:lastRenderedPageBreak/>
              <w:t>invasive vulvar malignancy, typically with radical vulvectomy and inguinal lymph node dissection").</w:t>
            </w:r>
          </w:p>
        </w:tc>
        <w:tc>
          <w:tcPr>
            <w:tcW w:w="1152" w:type="dxa"/>
            <w:vAlign w:val="center"/>
          </w:tcPr>
          <w:p w14:paraId="1AFA18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79968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402F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06E52E" w14:textId="77777777">
        <w:tc>
          <w:tcPr>
            <w:tcW w:w="2160" w:type="dxa"/>
            <w:vAlign w:val="center"/>
          </w:tcPr>
          <w:p w14:paraId="178F6E6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48C028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treatment for extramammary Paget's disease is simple or radical vulvectomy.  </w:t>
            </w:r>
            <w:r w:rsidRPr="00CB2EC4">
              <w:rPr>
                <w:rFonts w:ascii="Times New Roman" w:hAnsi="Times New Roman" w:cs="Times New Roman"/>
              </w:rPr>
              <w:br/>
              <w:t xml:space="preserve">Additional inguinal lymph node dissection is required in the following situations:  </w:t>
            </w:r>
            <w:r w:rsidRPr="00CB2EC4">
              <w:rPr>
                <w:rFonts w:ascii="Times New Roman" w:hAnsi="Times New Roman" w:cs="Times New Roman"/>
              </w:rPr>
              <w:br/>
              <w:t xml:space="preserve">1. Coexistence of adenocarcinoma (e.g., vulvar apocrine carcinoma).  </w:t>
            </w:r>
            <w:r w:rsidRPr="00CB2EC4">
              <w:rPr>
                <w:rFonts w:ascii="Times New Roman" w:hAnsi="Times New Roman" w:cs="Times New Roman"/>
              </w:rPr>
              <w:br/>
              <w:t xml:space="preserve">2. Presence of subcutaneous infiltration (i.e., invasion into the dermis or deeper).  </w:t>
            </w:r>
            <w:r w:rsidRPr="00CB2EC4">
              <w:rPr>
                <w:rFonts w:ascii="Times New Roman" w:hAnsi="Times New Roman" w:cs="Times New Roman"/>
              </w:rPr>
              <w:br/>
              <w:t xml:space="preserve">3. Detection of carcinoma in adjacent visceral organs (e.g., involvement of the bladder or rectum).  </w:t>
            </w:r>
            <w:r w:rsidRPr="00CB2EC4">
              <w:rPr>
                <w:rFonts w:ascii="Times New Roman" w:hAnsi="Times New Roman" w:cs="Times New Roman"/>
              </w:rPr>
              <w:br/>
              <w:t>In these cases, management follows that of invasive vulvar malignancy, necessitating radical vulvectomy with bilateral inguinal lymph node dissection.</w:t>
            </w:r>
          </w:p>
        </w:tc>
        <w:tc>
          <w:tcPr>
            <w:tcW w:w="1152" w:type="dxa"/>
            <w:vAlign w:val="center"/>
          </w:tcPr>
          <w:p w14:paraId="3A4987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1E4E0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48F78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0AFF0EA" w14:textId="77777777">
        <w:tc>
          <w:tcPr>
            <w:tcW w:w="2160" w:type="dxa"/>
            <w:vAlign w:val="center"/>
          </w:tcPr>
          <w:p w14:paraId="4693134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357E83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treatment for vulvar Paget's disease is surgical treatment. In the following situations, inguinal lymph node dissection should be added:  </w:t>
            </w:r>
            <w:r w:rsidRPr="00CB2EC4">
              <w:rPr>
                <w:rFonts w:ascii="Times New Roman" w:hAnsi="Times New Roman" w:cs="Times New Roman"/>
              </w:rPr>
              <w:br/>
              <w:t xml:space="preserve">1. When there is subcutaneous infiltration or concurrent vulvar apocrine gland carcinoma: radical vulvectomy and bilateral inguinal lymph node dissection are recommended.  </w:t>
            </w:r>
            <w:r w:rsidRPr="00CB2EC4">
              <w:rPr>
                <w:rFonts w:ascii="Times New Roman" w:hAnsi="Times New Roman" w:cs="Times New Roman"/>
              </w:rPr>
              <w:br/>
              <w:t xml:space="preserve">2. When concurrent adenocarcinoma is present: treatment should follow that for invasive vulvar malignancy, typically involving radical vulvectomy and inguinal lymph node dissection.  </w:t>
            </w:r>
            <w:r w:rsidRPr="00CB2EC4">
              <w:rPr>
                <w:rFonts w:ascii="Times New Roman" w:hAnsi="Times New Roman" w:cs="Times New Roman"/>
              </w:rPr>
              <w:br/>
              <w:t xml:space="preserve">3. When carcinoma in nearby visceral organs is identified: radical vulvectomy and bilateral inguinal lymph node dissection are indicated.  </w:t>
            </w:r>
            <w:r w:rsidRPr="00CB2EC4">
              <w:rPr>
                <w:rFonts w:ascii="Times New Roman" w:hAnsi="Times New Roman" w:cs="Times New Roman"/>
              </w:rPr>
              <w:br/>
              <w:t>Additionally, for invasive lesions (e.g., invasive transformation or associated malignancy), lymph node dissection should be considered.</w:t>
            </w:r>
          </w:p>
        </w:tc>
        <w:tc>
          <w:tcPr>
            <w:tcW w:w="1152" w:type="dxa"/>
            <w:vAlign w:val="center"/>
          </w:tcPr>
          <w:p w14:paraId="2E7409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9A82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7CE6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267DE11" w14:textId="77777777">
        <w:tc>
          <w:tcPr>
            <w:tcW w:w="2160" w:type="dxa"/>
            <w:vAlign w:val="center"/>
          </w:tcPr>
          <w:p w14:paraId="18BA06B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39F8B4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treatment for extramammary Paget's </w:t>
            </w:r>
            <w:r w:rsidRPr="00CB2EC4">
              <w:rPr>
                <w:rFonts w:ascii="Times New Roman" w:hAnsi="Times New Roman" w:cs="Times New Roman"/>
              </w:rPr>
              <w:lastRenderedPageBreak/>
              <w:t xml:space="preserve">disease is wide local excision with clear margins.  </w:t>
            </w:r>
            <w:r w:rsidRPr="00CB2EC4">
              <w:rPr>
                <w:rFonts w:ascii="Times New Roman" w:hAnsi="Times New Roman" w:cs="Times New Roman"/>
              </w:rPr>
              <w:br/>
              <w:t xml:space="preserve">inguinal lymph node dissection is indicated when:  </w:t>
            </w:r>
            <w:r w:rsidRPr="00CB2EC4">
              <w:rPr>
                <w:rFonts w:ascii="Times New Roman" w:hAnsi="Times New Roman" w:cs="Times New Roman"/>
              </w:rPr>
              <w:br/>
              <w:t xml:space="preserve">- clinical or imaging evidence suggests lymph node metastasis  </w:t>
            </w:r>
            <w:r w:rsidRPr="00CB2EC4">
              <w:rPr>
                <w:rFonts w:ascii="Times New Roman" w:hAnsi="Times New Roman" w:cs="Times New Roman"/>
              </w:rPr>
              <w:br/>
              <w:t xml:space="preserve">- histologic examination reveals invasion beyond the epidermis (e.g., dermal invasion or underlying adnexal or carcinoma components)  </w:t>
            </w:r>
            <w:r w:rsidRPr="00CB2EC4">
              <w:rPr>
                <w:rFonts w:ascii="Times New Roman" w:hAnsi="Times New Roman" w:cs="Times New Roman"/>
              </w:rPr>
              <w:br/>
              <w:t xml:space="preserve">- the sentinel lymph node biopsy is positive for malignancy  </w:t>
            </w:r>
            <w:r w:rsidRPr="00CB2EC4">
              <w:rPr>
                <w:rFonts w:ascii="Times New Roman" w:hAnsi="Times New Roman" w:cs="Times New Roman"/>
              </w:rPr>
              <w:br/>
            </w:r>
            <w:r w:rsidRPr="00CB2EC4">
              <w:rPr>
                <w:rFonts w:ascii="Times New Roman" w:hAnsi="Times New Roman" w:cs="Times New Roman"/>
              </w:rPr>
              <w:br/>
              <w:t>note: treatment decisions should be individualized based on disease extent, depth of invasion, and presence of associated malignancies.</w:t>
            </w:r>
          </w:p>
        </w:tc>
        <w:tc>
          <w:tcPr>
            <w:tcW w:w="1152" w:type="dxa"/>
            <w:vAlign w:val="center"/>
          </w:tcPr>
          <w:p w14:paraId="0AAF91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C7403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9AF3A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CC18D5E" w14:textId="77777777">
        <w:tc>
          <w:tcPr>
            <w:tcW w:w="2160" w:type="dxa"/>
            <w:vAlign w:val="center"/>
          </w:tcPr>
          <w:p w14:paraId="55BF0DE3"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D84A3E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preferred treatment for extramammary Paget's disease is surgical treatment.  </w:t>
            </w:r>
            <w:r w:rsidRPr="00CB2EC4">
              <w:rPr>
                <w:rFonts w:ascii="Times New Roman" w:hAnsi="Times New Roman" w:cs="Times New Roman"/>
              </w:rPr>
              <w:br/>
              <w:t xml:space="preserve">Under the following circumstances, inguinal lymph node dissection should be added:  </w:t>
            </w:r>
            <w:r w:rsidRPr="00CB2EC4">
              <w:rPr>
                <w:rFonts w:ascii="Times New Roman" w:hAnsi="Times New Roman" w:cs="Times New Roman"/>
              </w:rPr>
              <w:br/>
              <w:t xml:space="preserve">- When adenocarcinoma is present (surgical fragment 1: "Patients with extramammary Paget's disease combined with adenocarcinoma should be treated as invasive malignant tumors of the vulva, typically with radical vulvectomy and inguinal lymph node dissection").  </w:t>
            </w:r>
            <w:r w:rsidRPr="00CB2EC4">
              <w:rPr>
                <w:rFonts w:ascii="Times New Roman" w:hAnsi="Times New Roman" w:cs="Times New Roman"/>
              </w:rPr>
              <w:br/>
              <w:t xml:space="preserve">- When there is subcutaneous infiltration or concurrent vulvar apocrine carcinoma (surgical fragment 2: "If there is subcutaneous infiltration or concurrent vulvar apocrine carcinoma... radical vulvectomy and bilateral inguinal lymph node dissection are recommended").  </w:t>
            </w:r>
            <w:r w:rsidRPr="00CB2EC4">
              <w:rPr>
                <w:rFonts w:ascii="Times New Roman" w:hAnsi="Times New Roman" w:cs="Times New Roman"/>
              </w:rPr>
              <w:br/>
              <w:t xml:space="preserve">- When carcinoma is found in adjacent visceral organs (surgical fragment 2: "Or when carcinoma is found in adjacent visceral organs, radical vulvectomy and bilateral inguinal lymph node dissection are recommended").  </w:t>
            </w:r>
            <w:r w:rsidRPr="00CB2EC4">
              <w:rPr>
                <w:rFonts w:ascii="Times New Roman" w:hAnsi="Times New Roman" w:cs="Times New Roman"/>
              </w:rPr>
              <w:br/>
              <w:t xml:space="preserve">- Additionally, for pathological types such as invasive </w:t>
            </w:r>
            <w:r w:rsidRPr="00CB2EC4">
              <w:rPr>
                <w:rFonts w:ascii="Times New Roman" w:hAnsi="Times New Roman" w:cs="Times New Roman"/>
              </w:rPr>
              <w:lastRenderedPageBreak/>
              <w:t>Paget's disease or those with adenocarcinoma, inguinal lymph node dissection should be considered to reduce the risk of metastasis (surgical fragments 1 and 6).</w:t>
            </w:r>
          </w:p>
        </w:tc>
        <w:tc>
          <w:tcPr>
            <w:tcW w:w="1152" w:type="dxa"/>
            <w:vAlign w:val="center"/>
          </w:tcPr>
          <w:p w14:paraId="049047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E0B6C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57C2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A6CCDD" w14:textId="77777777">
        <w:tc>
          <w:tcPr>
            <w:tcW w:w="2160" w:type="dxa"/>
            <w:vAlign w:val="center"/>
          </w:tcPr>
          <w:p w14:paraId="3859388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1D948D0"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treatment for extramammary Paget's disease is wide local excision, which involves resection of the lesion with a 1-2 cm margin of normal-appearing tissue to achieve negative surgical margins.</w:t>
            </w:r>
            <w:r w:rsidRPr="00CB2EC4">
              <w:rPr>
                <w:rFonts w:ascii="Times New Roman" w:hAnsi="Times New Roman" w:cs="Times New Roman"/>
              </w:rPr>
              <w:br/>
            </w:r>
            <w:r w:rsidRPr="00CB2EC4">
              <w:rPr>
                <w:rFonts w:ascii="Times New Roman" w:hAnsi="Times New Roman" w:cs="Times New Roman"/>
              </w:rPr>
              <w:br/>
              <w:t>- Indications for additional inguinal lymph node dissection:</w:t>
            </w:r>
            <w:r w:rsidRPr="00CB2EC4">
              <w:rPr>
                <w:rFonts w:ascii="Times New Roman" w:hAnsi="Times New Roman" w:cs="Times New Roman"/>
              </w:rPr>
              <w:br/>
              <w:t xml:space="preserve">  → Recommended only in the following two scenarios:</w:t>
            </w:r>
            <w:r w:rsidRPr="00CB2EC4">
              <w:rPr>
                <w:rFonts w:ascii="Times New Roman" w:hAnsi="Times New Roman" w:cs="Times New Roman"/>
              </w:rPr>
              <w:br/>
              <w:t xml:space="preserve">    1. Pathologically confirmed invasive carcinoma: if biopsy or final pathology after excision reveals an invasive adenocarcinoma component associated with Paget's disease.</w:t>
            </w:r>
            <w:r w:rsidRPr="00CB2EC4">
              <w:rPr>
                <w:rFonts w:ascii="Times New Roman" w:hAnsi="Times New Roman" w:cs="Times New Roman"/>
              </w:rPr>
              <w:br/>
              <w:t xml:space="preserve">    2. Clinical or imaging suspicion of lymph node metastasis: such as palpable inguinal lymphadenopathy or imaging findings (e.g., ultrasound, MRI) suggestive of nodal involvement.</w:t>
            </w:r>
            <w:r w:rsidRPr="00CB2EC4">
              <w:rPr>
                <w:rFonts w:ascii="Times New Roman" w:hAnsi="Times New Roman" w:cs="Times New Roman"/>
              </w:rPr>
              <w:br/>
            </w:r>
            <w:r w:rsidRPr="00CB2EC4">
              <w:rPr>
                <w:rFonts w:ascii="Times New Roman" w:hAnsi="Times New Roman" w:cs="Times New Roman"/>
              </w:rPr>
              <w:br/>
              <w:t>Literature indicates that extramammary Paget's disease is predominantly an in situ lesion; therefore, routine lymph node dissection is not performed and is considered only when there is evidence of invasion.</w:t>
            </w:r>
          </w:p>
        </w:tc>
        <w:tc>
          <w:tcPr>
            <w:tcW w:w="1152" w:type="dxa"/>
            <w:vAlign w:val="center"/>
          </w:tcPr>
          <w:p w14:paraId="17CB23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72C8A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2CAB5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213703E" w14:textId="77777777">
        <w:tc>
          <w:tcPr>
            <w:tcW w:w="10656" w:type="dxa"/>
            <w:gridSpan w:val="5"/>
            <w:tcBorders>
              <w:bottom w:val="single" w:sz="6" w:space="0" w:color="auto"/>
            </w:tcBorders>
            <w:vAlign w:val="center"/>
          </w:tcPr>
          <w:p w14:paraId="0B0DF8E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138: When surgically treating vulvar Paget's disease, what methods should be employed to reduce the risk of recurrence?</w:t>
            </w:r>
          </w:p>
        </w:tc>
      </w:tr>
      <w:tr w:rsidR="00922249" w:rsidRPr="00CB2EC4" w14:paraId="5B1660D0" w14:textId="77777777">
        <w:tc>
          <w:tcPr>
            <w:tcW w:w="2160" w:type="dxa"/>
            <w:vAlign w:val="center"/>
          </w:tcPr>
          <w:p w14:paraId="2EC5D3B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656E69E" w14:textId="77777777" w:rsidR="00922249" w:rsidRPr="00CB2EC4" w:rsidRDefault="003011D5">
            <w:pPr>
              <w:rPr>
                <w:rFonts w:ascii="Times New Roman" w:hAnsi="Times New Roman" w:cs="Times New Roman"/>
              </w:rPr>
            </w:pPr>
            <w:r w:rsidRPr="00CB2EC4">
              <w:rPr>
                <w:rFonts w:ascii="Times New Roman" w:hAnsi="Times New Roman" w:cs="Times New Roman"/>
              </w:rPr>
              <w:t>to reduce the risk of recurrence when surgically treating extramammary Paget's disease:</w:t>
            </w:r>
            <w:r w:rsidRPr="00CB2EC4">
              <w:rPr>
                <w:rFonts w:ascii="Times New Roman" w:hAnsi="Times New Roman" w:cs="Times New Roman"/>
              </w:rPr>
              <w:br/>
            </w:r>
            <w:r w:rsidRPr="00CB2EC4">
              <w:rPr>
                <w:rFonts w:ascii="Times New Roman" w:hAnsi="Times New Roman" w:cs="Times New Roman"/>
              </w:rPr>
              <w:br/>
              <w:t xml:space="preserve">1. Extend the surgical incision margin: The incision </w:t>
            </w:r>
            <w:r w:rsidRPr="00CB2EC4">
              <w:rPr>
                <w:rFonts w:ascii="Times New Roman" w:hAnsi="Times New Roman" w:cs="Times New Roman"/>
              </w:rPr>
              <w:lastRenderedPageBreak/>
              <w:t xml:space="preserve">should extend at least 3 cm beyond the lesion edge, reaching deep into the subcutaneous fat layer and including all hair follicle appendage tissues. This helps ensure complete removal of all potentially affected tissues.  </w:t>
            </w:r>
            <w:r w:rsidRPr="00CB2EC4">
              <w:rPr>
                <w:rFonts w:ascii="Times New Roman" w:hAnsi="Times New Roman" w:cs="Times New Roman"/>
              </w:rPr>
              <w:br/>
              <w:t xml:space="preserve">2. Collect multiple samples from various sites for frozen section examination: Due to the frequent multicentric and patchy distribution of Paget's disease, intraoperative frozen sections have a high false-negative rate (reported up to 46%). Therefore, pathological examination must be performed on samples collected from multiple sites to guide the surgical scope and ensure negative margins.  </w:t>
            </w:r>
            <w:r w:rsidRPr="00CB2EC4">
              <w:rPr>
                <w:rFonts w:ascii="Times New Roman" w:hAnsi="Times New Roman" w:cs="Times New Roman"/>
              </w:rPr>
              <w:br/>
              <w:t xml:space="preserve">3. Ensure negative surgical margins: Positive surgical margins are a significant factor in recurrence (40% recurrence rate with positive margins vs. 20% with negative margins). Preoperative multiple-site biopsies and intraoperative frozen sections can reduce the positive margin rate.  </w:t>
            </w:r>
            <w:r w:rsidRPr="00CB2EC4">
              <w:rPr>
                <w:rFonts w:ascii="Times New Roman" w:hAnsi="Times New Roman" w:cs="Times New Roman"/>
              </w:rPr>
              <w:br/>
              <w:t xml:space="preserve">4. Expand the surgical scope until margins are negative: For cases with positive margins, the surgical scope should be expanded while preserving the physiological functions of the clitoris, urethra, and anus as much as possible.  </w:t>
            </w:r>
            <w:r w:rsidRPr="00CB2EC4">
              <w:rPr>
                <w:rFonts w:ascii="Times New Roman" w:hAnsi="Times New Roman" w:cs="Times New Roman"/>
              </w:rPr>
              <w:br/>
              <w:t>- Rationale: These methods aim to address the high recurrence characteristics of Paget's disease.</w:t>
            </w:r>
          </w:p>
        </w:tc>
        <w:tc>
          <w:tcPr>
            <w:tcW w:w="1152" w:type="dxa"/>
            <w:vAlign w:val="center"/>
          </w:tcPr>
          <w:p w14:paraId="7EDA39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4EB37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EC087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7F2CDC" w14:textId="77777777">
        <w:tc>
          <w:tcPr>
            <w:tcW w:w="2160" w:type="dxa"/>
            <w:vAlign w:val="center"/>
          </w:tcPr>
          <w:p w14:paraId="048CFDD5"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FF287E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reduce the risk of recurrence in the surgical treatment of vulvar Paget's disease, the following methods should be employed:  </w:t>
            </w:r>
            <w:r w:rsidRPr="00CB2EC4">
              <w:rPr>
                <w:rFonts w:ascii="Times New Roman" w:hAnsi="Times New Roman" w:cs="Times New Roman"/>
              </w:rPr>
              <w:br/>
              <w:t xml:space="preserve">1. Ensure negative surgical margins: expand the surgical excision until no cancer cells are present at the margins, as positive margins are a major risk factor for recurrence (recurrence rate approximately 40% with positive margins, versus about 20% with </w:t>
            </w:r>
            <w:r w:rsidRPr="00CB2EC4">
              <w:rPr>
                <w:rFonts w:ascii="Times New Roman" w:hAnsi="Times New Roman" w:cs="Times New Roman"/>
              </w:rPr>
              <w:lastRenderedPageBreak/>
              <w:t xml:space="preserve">negative margins).  </w:t>
            </w:r>
            <w:r w:rsidRPr="00CB2EC4">
              <w:rPr>
                <w:rFonts w:ascii="Times New Roman" w:hAnsi="Times New Roman" w:cs="Times New Roman"/>
              </w:rPr>
              <w:br/>
              <w:t xml:space="preserve">2. Use intraoperative frozen section to guide surgical extent: obtain multiple samples from different sites during surgery for rapid frozen section analysis to assess margin status in real time and avoid false-negative results.  </w:t>
            </w:r>
            <w:r w:rsidRPr="00CB2EC4">
              <w:rPr>
                <w:rFonts w:ascii="Times New Roman" w:hAnsi="Times New Roman" w:cs="Times New Roman"/>
              </w:rPr>
              <w:br/>
              <w:t xml:space="preserve">3. Perform preoperative multiple-site biopsies: take several biopsy specimens preoperatively to accurately determine the extent of the lesion and guide surgical planning.  </w:t>
            </w:r>
            <w:r w:rsidRPr="00CB2EC4">
              <w:rPr>
                <w:rFonts w:ascii="Times New Roman" w:hAnsi="Times New Roman" w:cs="Times New Roman"/>
              </w:rPr>
              <w:br/>
              <w:t xml:space="preserve">4. Perform wide local excision: the incision should be made at a sufficient distance from the lesion edge (document recommends at least 3 cm) to encompass potential multifocal disease.  </w:t>
            </w:r>
            <w:r w:rsidRPr="00CB2EC4">
              <w:rPr>
                <w:rFonts w:ascii="Times New Roman" w:hAnsi="Times New Roman" w:cs="Times New Roman"/>
              </w:rPr>
              <w:br/>
              <w:t xml:space="preserve">5. Adjust treatment based on pathological type: for invasive lesions or those associated with adenocarcinoma, perform more extensive surgery (e.g., radical vulvectomy with lymph node dissection).  </w:t>
            </w:r>
            <w:r w:rsidRPr="00CB2EC4">
              <w:rPr>
                <w:rFonts w:ascii="Times New Roman" w:hAnsi="Times New Roman" w:cs="Times New Roman"/>
              </w:rPr>
              <w:br/>
              <w:t>- Rationale: Section 7 (block 330) details that "positive surgical margins are a significant factor in postoperative recurrence" and emphasizes that "taking multiple preoperative biopsy samples and using intraoperative frozen sections to guide the extent of surgery can reduce the positive margin rate and decrease postoperative recurrence"; Section 6 (block 328) states that "the incision should be more than 3 cm from the lesion edge" to prevent recurrence; Section 4 (block 331) notes that pathological type affects prognosis and that invasive lesions require more aggressive management.</w:t>
            </w:r>
          </w:p>
        </w:tc>
        <w:tc>
          <w:tcPr>
            <w:tcW w:w="1152" w:type="dxa"/>
            <w:vAlign w:val="center"/>
          </w:tcPr>
          <w:p w14:paraId="06558E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B3950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DA4B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FDA8D9" w14:textId="77777777">
        <w:tc>
          <w:tcPr>
            <w:tcW w:w="2160" w:type="dxa"/>
            <w:vAlign w:val="center"/>
          </w:tcPr>
          <w:p w14:paraId="16E8D1A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CC0083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reduce the risk of recurrence in the surgical treatment of vulvar Paget's disease, the following methods should be employed:  </w:t>
            </w:r>
            <w:r w:rsidRPr="00CB2EC4">
              <w:rPr>
                <w:rFonts w:ascii="Times New Roman" w:hAnsi="Times New Roman" w:cs="Times New Roman"/>
              </w:rPr>
              <w:br/>
              <w:t>- intraoperative frozen section and multi-site, multi-</w:t>
            </w:r>
            <w:r w:rsidRPr="00CB2EC4">
              <w:rPr>
                <w:rFonts w:ascii="Times New Roman" w:hAnsi="Times New Roman" w:cs="Times New Roman"/>
              </w:rPr>
              <w:lastRenderedPageBreak/>
              <w:t xml:space="preserve">location sampling: due to the frequent multicentric distribution of Paget's disease and a high reported false-negative rate of frozen section (up to 46%), multi-site and multi-location sampling must be performed intraoperatively to accurately assess surgical margins and guide the extent of resection (document fragment 1, relevance: 0.900).  </w:t>
            </w:r>
            <w:r w:rsidRPr="00CB2EC4">
              <w:rPr>
                <w:rFonts w:ascii="Times New Roman" w:hAnsi="Times New Roman" w:cs="Times New Roman"/>
              </w:rPr>
              <w:br/>
              <w:t xml:space="preserve">- ensure negative surgical margins: positive surgical margins are a significant risk factor for recurrence (40% recurrence rate with positive margins vs. 20% with negative margins). Preoperative multiple-site biopsies and intraoperative frozen sections should guide the extent of surgery; for patients with positive margins, re-excision should be performed until negative margins are achieved (document fragment 3, relevance: 0.900). Document fragment 31 (relevance: 0.300) further supports that clear margin status is a key prognostic factor, with recurrences often associated with margins less than 8 mm from the tumor.  </w:t>
            </w:r>
            <w:r w:rsidRPr="00CB2EC4">
              <w:rPr>
                <w:rFonts w:ascii="Times New Roman" w:hAnsi="Times New Roman" w:cs="Times New Roman"/>
              </w:rPr>
              <w:br/>
              <w:t xml:space="preserve">- consider the depth of lesion invasion: the depth of invasion is another factor influencing recurrence. Lesions confined to the epithelium or with microinvasion have a better prognosis; invasive or malignant-transformed lesions require more aggressive treatment (document fragment 3).  </w:t>
            </w:r>
            <w:r w:rsidRPr="00CB2EC4">
              <w:rPr>
                <w:rFonts w:ascii="Times New Roman" w:hAnsi="Times New Roman" w:cs="Times New Roman"/>
              </w:rPr>
              <w:br/>
              <w:t xml:space="preserve">- preserve physiological function when possible: while expanding the surgical field, efforts should be made to preserve the physiological function of the clitoris, urethra, and anus to reduce complications; however, this is an adjunctive strategy rather than a direct method for lowering recurrence risk (document fragment 3).  </w:t>
            </w:r>
            <w:r w:rsidRPr="00CB2EC4">
              <w:rPr>
                <w:rFonts w:ascii="Times New Roman" w:hAnsi="Times New Roman" w:cs="Times New Roman"/>
              </w:rPr>
              <w:br/>
              <w:t xml:space="preserve">no other methods (e.g., adjuvant therapy) are </w:t>
            </w:r>
            <w:r w:rsidRPr="00CB2EC4">
              <w:rPr>
                <w:rFonts w:ascii="Times New Roman" w:hAnsi="Times New Roman" w:cs="Times New Roman"/>
              </w:rPr>
              <w:lastRenderedPageBreak/>
              <w:t>mentioned in the documents; the above recommendations constitute the complete evidence-based approach based on the provided context.</w:t>
            </w:r>
          </w:p>
        </w:tc>
        <w:tc>
          <w:tcPr>
            <w:tcW w:w="1152" w:type="dxa"/>
            <w:vAlign w:val="center"/>
          </w:tcPr>
          <w:p w14:paraId="6E0960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8C82C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5B2D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7E4B29" w14:textId="77777777">
        <w:tc>
          <w:tcPr>
            <w:tcW w:w="2160" w:type="dxa"/>
            <w:vAlign w:val="center"/>
          </w:tcPr>
          <w:p w14:paraId="14437F2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7C729C0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reduce the risk of recurrence after surgical treatment of extramammary Paget's disease of the vulva, the following methods should be employed:  </w:t>
            </w:r>
            <w:r w:rsidRPr="00CB2EC4">
              <w:rPr>
                <w:rFonts w:ascii="Times New Roman" w:hAnsi="Times New Roman" w:cs="Times New Roman"/>
              </w:rPr>
              <w:br/>
              <w:t xml:space="preserve">1. ensure negative surgical margins: the incision should be at least 3 cm from the edge of the lesion, and the surgical field expanded until pathological confirmation of no residual Paget cells at the margins. positive margins are a major risk factor for recurrence (recurrence rate up to 40% vs 20% with negative margins).  </w:t>
            </w:r>
            <w:r w:rsidRPr="00CB2EC4">
              <w:rPr>
                <w:rFonts w:ascii="Times New Roman" w:hAnsi="Times New Roman" w:cs="Times New Roman"/>
              </w:rPr>
              <w:br/>
              <w:t xml:space="preserve">2. use intraoperative frozen section guidance: multiple intraoperative samples should be sent for rapid frozen section analysis to adjust the surgical extent in real time and reduce false-negative rates (reported up to 46% in literature).  </w:t>
            </w:r>
            <w:r w:rsidRPr="00CB2EC4">
              <w:rPr>
                <w:rFonts w:ascii="Times New Roman" w:hAnsi="Times New Roman" w:cs="Times New Roman"/>
              </w:rPr>
              <w:br/>
              <w:t xml:space="preserve">3. perform preoperative multiple-site biopsies: multiple biopsies from different sites within and around the lesion should be obtained preoperatively to assess depth and extent of invasion and avoid missing multicentric disease.  </w:t>
            </w:r>
            <w:r w:rsidRPr="00CB2EC4">
              <w:rPr>
                <w:rFonts w:ascii="Times New Roman" w:hAnsi="Times New Roman" w:cs="Times New Roman"/>
              </w:rPr>
              <w:br/>
              <w:t xml:space="preserve">4. completely excise deep tissue: excision depth should reach the dermosubcutaneous fat layer and include all adnexal structures (hair follicles, sweat glands) to eliminate potential microinvasion.  </w:t>
            </w:r>
            <w:r w:rsidRPr="00CB2EC4">
              <w:rPr>
                <w:rFonts w:ascii="Times New Roman" w:hAnsi="Times New Roman" w:cs="Times New Roman"/>
              </w:rPr>
              <w:br/>
            </w:r>
            <w:r w:rsidRPr="00CB2EC4">
              <w:rPr>
                <w:rFonts w:ascii="Times New Roman" w:hAnsi="Times New Roman" w:cs="Times New Roman"/>
              </w:rPr>
              <w:br/>
              <w:t xml:space="preserve">source analysis:  </w:t>
            </w:r>
            <w:r w:rsidRPr="00CB2EC4">
              <w:rPr>
                <w:rFonts w:ascii="Times New Roman" w:hAnsi="Times New Roman" w:cs="Times New Roman"/>
              </w:rPr>
              <w:br/>
              <w:t xml:space="preserve">- knowledge base document: details measures to reduce recurrence risk, including margin management ("incision should be at least 3 cm from the lesion edge"), frozen section application ("preoperative multiple-site biopsies and intraoperative frozen </w:t>
            </w:r>
            <w:r w:rsidRPr="00CB2EC4">
              <w:rPr>
                <w:rFonts w:ascii="Times New Roman" w:hAnsi="Times New Roman" w:cs="Times New Roman"/>
              </w:rPr>
              <w:lastRenderedPageBreak/>
              <w:t xml:space="preserve">sections to guide surgical extent can reduce positive margin rates and postoperative recurrence"), and importance of biopsy ("must sample multiple sites and send for pathological examination").  </w:t>
            </w:r>
            <w:r w:rsidRPr="00CB2EC4">
              <w:rPr>
                <w:rFonts w:ascii="Times New Roman" w:hAnsi="Times New Roman" w:cs="Times New Roman"/>
              </w:rPr>
              <w:br/>
              <w:t xml:space="preserve">- web search results: do not specifically address recurrence risk reduction methods but mention postoperative care (e.g., wound care), with no conflict with the knowledge base.  </w:t>
            </w:r>
            <w:r w:rsidRPr="00CB2EC4">
              <w:rPr>
                <w:rFonts w:ascii="Times New Roman" w:hAnsi="Times New Roman" w:cs="Times New Roman"/>
              </w:rPr>
              <w:br/>
              <w:t xml:space="preserve">the knowledge base document is the primary source and provides comprehensive information.  </w:t>
            </w:r>
            <w:r w:rsidRPr="00CB2EC4">
              <w:rPr>
                <w:rFonts w:ascii="Times New Roman" w:hAnsi="Times New Roman" w:cs="Times New Roman"/>
              </w:rPr>
              <w:br/>
            </w:r>
            <w:r w:rsidRPr="00CB2EC4">
              <w:rPr>
                <w:rFonts w:ascii="Times New Roman" w:hAnsi="Times New Roman" w:cs="Times New Roman"/>
              </w:rPr>
              <w:br/>
              <w:t>conclusion: the core strategy is achieving negative margins and intraoperative pathological guidance, combined with thorough preoperative assessment.</w:t>
            </w:r>
          </w:p>
        </w:tc>
        <w:tc>
          <w:tcPr>
            <w:tcW w:w="1152" w:type="dxa"/>
            <w:vAlign w:val="center"/>
          </w:tcPr>
          <w:p w14:paraId="53D827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67FE3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3BCE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29CA91" w14:textId="77777777">
        <w:tc>
          <w:tcPr>
            <w:tcW w:w="2160" w:type="dxa"/>
            <w:vAlign w:val="center"/>
          </w:tcPr>
          <w:p w14:paraId="201667C5"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697BE6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reduce the risk of recurrence in the surgical treatment of vulvar Paget's disease, the following methods should be employed:  </w:t>
            </w:r>
            <w:r w:rsidRPr="00CB2EC4">
              <w:rPr>
                <w:rFonts w:ascii="Times New Roman" w:hAnsi="Times New Roman" w:cs="Times New Roman"/>
              </w:rPr>
              <w:br/>
              <w:t xml:space="preserve">1. ensure negative surgical margins: by expanding the excision range to achieve adequate margins (typically ≥2 cm from the lesion edge) and using intraoperative frozen section analysis to check for residual cancer cells at the margins. As stated in section 7: "positive surgical margins are a significant factor in postoperative recurrence," therefore "it is advocated that for cases with positive lesion margins, the surgical range be expanded until negative margins are achieved." Section 4 also emphasizes: "intraoperative frozen section must be performed to examine the margins for residual cancer cells, in order to determine the extent of surgery and prevent recurrence."  </w:t>
            </w:r>
            <w:r w:rsidRPr="00CB2EC4">
              <w:rPr>
                <w:rFonts w:ascii="Times New Roman" w:hAnsi="Times New Roman" w:cs="Times New Roman"/>
              </w:rPr>
              <w:br/>
              <w:t xml:space="preserve">2. multiple-site biopsy and intraoperative frozen section-guided surgical margins: due to the frequent multicentric nature of Paget's disease, section 4 notes: "multiple-site, multi-region sampling must be </w:t>
            </w:r>
            <w:r w:rsidRPr="00CB2EC4">
              <w:rPr>
                <w:rFonts w:ascii="Times New Roman" w:hAnsi="Times New Roman" w:cs="Times New Roman"/>
              </w:rPr>
              <w:lastRenderedPageBreak/>
              <w:t xml:space="preserve">performed," to reduce false-negative rates (section 4 reports a 46% false-negative rate). Section 16 adds: "preoperative multiple-site biopsies and intraoperative frozen sections to guide the extent of surgery can reduce positive margin rates and postoperative recurrence."  </w:t>
            </w:r>
            <w:r w:rsidRPr="00CB2EC4">
              <w:rPr>
                <w:rFonts w:ascii="Times New Roman" w:hAnsi="Times New Roman" w:cs="Times New Roman"/>
              </w:rPr>
              <w:br/>
              <w:t xml:space="preserve">3. long-term follow-up monitoring: even with negative margins, recurrence risk remains high. Section 16 states: "negative surgical margins do not exclude the possibility of recurrence," thus "long-term follow-up is required, with repeated excision of recurrent lesions." The median time to recurrence is 3.89 years, necessitating regular review.  </w:t>
            </w:r>
            <w:r w:rsidRPr="00CB2EC4">
              <w:rPr>
                <w:rFonts w:ascii="Times New Roman" w:hAnsi="Times New Roman" w:cs="Times New Roman"/>
              </w:rPr>
              <w:br/>
              <w:t xml:space="preserve">4. adjust surgical extent based on depth of invasion: for invasive lesions, section 16 recommends wider surgery (e.g., radical vulvectomy) rather than simple local excision to reduce recurrence.  </w:t>
            </w:r>
            <w:r w:rsidRPr="00CB2EC4">
              <w:rPr>
                <w:rFonts w:ascii="Times New Roman" w:hAnsi="Times New Roman" w:cs="Times New Roman"/>
              </w:rPr>
              <w:br/>
            </w:r>
            <w:r w:rsidRPr="00CB2EC4">
              <w:rPr>
                <w:rFonts w:ascii="Times New Roman" w:hAnsi="Times New Roman" w:cs="Times New Roman"/>
              </w:rPr>
              <w:br/>
              <w:t>these methods integrate surgical technique and postoperative management to minimize residual disease (sections 4, 7, 16).</w:t>
            </w:r>
          </w:p>
        </w:tc>
        <w:tc>
          <w:tcPr>
            <w:tcW w:w="1152" w:type="dxa"/>
            <w:vAlign w:val="center"/>
          </w:tcPr>
          <w:p w14:paraId="5670DE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30712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4B4F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6D7E1D" w14:textId="77777777">
        <w:tc>
          <w:tcPr>
            <w:tcW w:w="2160" w:type="dxa"/>
            <w:vAlign w:val="center"/>
          </w:tcPr>
          <w:p w14:paraId="7B4CE64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02A3F2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reduce the risk of recurrence during surgical treatment of extramammary Paget's disease, the following methods should be adopted (based on documents 3, 5, 6):  </w:t>
            </w:r>
            <w:r w:rsidRPr="00CB2EC4">
              <w:rPr>
                <w:rFonts w:ascii="Times New Roman" w:hAnsi="Times New Roman" w:cs="Times New Roman"/>
              </w:rPr>
              <w:br/>
              <w:t xml:space="preserve">1. ensure negative surgical margins: intraoperative frozen section analysis should be performed to examine the margins for residual malignant cells and determine the extent of resection (document 3). positive margins are a significant risk factor for recurrence (recurrence rate ~40%), while negative margins can reduce it to ~20% (document 5).  </w:t>
            </w:r>
            <w:r w:rsidRPr="00CB2EC4">
              <w:rPr>
                <w:rFonts w:ascii="Times New Roman" w:hAnsi="Times New Roman" w:cs="Times New Roman"/>
              </w:rPr>
              <w:br/>
              <w:t xml:space="preserve">2. perform wide local excision: the incision should extend at least 3 cm beyond the visible lesion margins </w:t>
            </w:r>
            <w:r w:rsidRPr="00CB2EC4">
              <w:rPr>
                <w:rFonts w:ascii="Times New Roman" w:hAnsi="Times New Roman" w:cs="Times New Roman"/>
              </w:rPr>
              <w:lastRenderedPageBreak/>
              <w:t xml:space="preserve">and reach the subcutaneous fat layer, including all adnexal structures (document 3).  </w:t>
            </w:r>
            <w:r w:rsidRPr="00CB2EC4">
              <w:rPr>
                <w:rFonts w:ascii="Times New Roman" w:hAnsi="Times New Roman" w:cs="Times New Roman"/>
              </w:rPr>
              <w:br/>
              <w:t xml:space="preserve">3. obtain multiple-site specimens for pathological examination: due to the frequent multicentric nature of Paget's disease, multiple samples from different sites must be taken intraoperatively to avoid false-negative results (document 3).  </w:t>
            </w:r>
            <w:r w:rsidRPr="00CB2EC4">
              <w:rPr>
                <w:rFonts w:ascii="Times New Roman" w:hAnsi="Times New Roman" w:cs="Times New Roman"/>
              </w:rPr>
              <w:br/>
              <w:t xml:space="preserve">4. expand resection for positive margins: if margins are positive, surgical margins should be extended until negative margins are achieved, while preserving the physiological function of the clitoris, urethra, and anus whenever possible (document 5).  </w:t>
            </w:r>
            <w:r w:rsidRPr="00CB2EC4">
              <w:rPr>
                <w:rFonts w:ascii="Times New Roman" w:hAnsi="Times New Roman" w:cs="Times New Roman"/>
              </w:rPr>
              <w:br/>
              <w:t>5. consider depth of invasion: more aggressive surgical management is required for invasive disease or cases with associated malignancy (document 5).</w:t>
            </w:r>
          </w:p>
        </w:tc>
        <w:tc>
          <w:tcPr>
            <w:tcW w:w="1152" w:type="dxa"/>
            <w:vAlign w:val="center"/>
          </w:tcPr>
          <w:p w14:paraId="7FC598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A7C39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AAE0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FCF751" w14:textId="77777777">
        <w:tc>
          <w:tcPr>
            <w:tcW w:w="2160" w:type="dxa"/>
            <w:vAlign w:val="center"/>
          </w:tcPr>
          <w:p w14:paraId="5B8BF8D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3D58BC6" w14:textId="77777777" w:rsidR="00922249" w:rsidRPr="00CB2EC4" w:rsidRDefault="003011D5">
            <w:pPr>
              <w:rPr>
                <w:rFonts w:ascii="Times New Roman" w:hAnsi="Times New Roman" w:cs="Times New Roman"/>
              </w:rPr>
            </w:pPr>
            <w:r w:rsidRPr="00CB2EC4">
              <w:rPr>
                <w:rFonts w:ascii="Times New Roman" w:hAnsi="Times New Roman" w:cs="Times New Roman"/>
              </w:rPr>
              <w:t>to reduce the risk of recurrence during surgical treatment of extramammary Paget's disease of the vulva, the following methods should be employed:</w:t>
            </w:r>
            <w:r w:rsidRPr="00CB2EC4">
              <w:rPr>
                <w:rFonts w:ascii="Times New Roman" w:hAnsi="Times New Roman" w:cs="Times New Roman"/>
              </w:rPr>
              <w:br/>
            </w:r>
            <w:r w:rsidRPr="00CB2EC4">
              <w:rPr>
                <w:rFonts w:ascii="Times New Roman" w:hAnsi="Times New Roman" w:cs="Times New Roman"/>
              </w:rPr>
              <w:br/>
              <w:t>- Multiple-site, multi-location sampling for intraoperative frozen section examination: Due to the frequent patchy, multicentric distribution of Paget's disease, the false-negative rate of intraoperative frozen section is high (reported up to 46%). Therefore, multiple samples must be taken from different sites and locations during surgery for frozen section analysis to ensure negative surgical margins.</w:t>
            </w:r>
            <w:r w:rsidRPr="00CB2EC4">
              <w:rPr>
                <w:rFonts w:ascii="Times New Roman" w:hAnsi="Times New Roman" w:cs="Times New Roman"/>
              </w:rPr>
              <w:br/>
              <w:t>- Expand the surgical scope (if necessary): If pathological examination reveals subcutaneous infiltration, sweat gland carcinoma, or involvement of adjacent organs, a radical vulvectomy with bilateral inguinal lymph node dissection should be performed to completely remove the lesion.</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These measures are based on the high recurrence rate (approximately 11.1%) and multicentric nature of the disease, as documented in relevant literature.</w:t>
            </w:r>
            <w:r w:rsidRPr="00CB2EC4">
              <w:rPr>
                <w:rFonts w:ascii="Times New Roman" w:hAnsi="Times New Roman" w:cs="Times New Roman"/>
              </w:rPr>
              <w:br/>
            </w:r>
            <w:r w:rsidRPr="00CB2EC4">
              <w:rPr>
                <w:rFonts w:ascii="Times New Roman" w:hAnsi="Times New Roman" w:cs="Times New Roman"/>
              </w:rPr>
              <w:br/>
              <w:t>Answer: To reduce recurrence risk during surgery:</w:t>
            </w:r>
            <w:r w:rsidRPr="00CB2EC4">
              <w:rPr>
                <w:rFonts w:ascii="Times New Roman" w:hAnsi="Times New Roman" w:cs="Times New Roman"/>
              </w:rPr>
              <w:br/>
              <w:t>1. Perform intraoperative multiple-site, multi-location sampling for frozen section to ensure negative margins.</w:t>
            </w:r>
            <w:r w:rsidRPr="00CB2EC4">
              <w:rPr>
                <w:rFonts w:ascii="Times New Roman" w:hAnsi="Times New Roman" w:cs="Times New Roman"/>
              </w:rPr>
              <w:br/>
              <w:t>2. If subcutaneous infiltration, sweat gland carcinoma, or adjacent organ involvement is found, expand surgery to radical vulvectomy with lymph node dissection.</w:t>
            </w:r>
          </w:p>
        </w:tc>
        <w:tc>
          <w:tcPr>
            <w:tcW w:w="1152" w:type="dxa"/>
            <w:vAlign w:val="center"/>
          </w:tcPr>
          <w:p w14:paraId="525FEB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4DDF6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24DC1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E904120" w14:textId="77777777">
        <w:tc>
          <w:tcPr>
            <w:tcW w:w="2160" w:type="dxa"/>
            <w:vAlign w:val="center"/>
          </w:tcPr>
          <w:p w14:paraId="42A8CA8C"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06F3AD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reduce the risk of recurrence in the surgical treatment of vulvar Paget's disease, the following methods should be employed:  </w:t>
            </w:r>
            <w:r w:rsidRPr="00CB2EC4">
              <w:rPr>
                <w:rFonts w:ascii="Times New Roman" w:hAnsi="Times New Roman" w:cs="Times New Roman"/>
              </w:rPr>
              <w:br/>
              <w:t xml:space="preserve">1. Expand the surgical scope to ensure negative margins: The surgical margin should be sufficiently wide from the edge of the lesion (specific distance not quantified, but the document emphasizes expanded excision until negative margins are achieved), as positive surgical margins are a major factor in recurrence.  </w:t>
            </w:r>
            <w:r w:rsidRPr="00CB2EC4">
              <w:rPr>
                <w:rFonts w:ascii="Times New Roman" w:hAnsi="Times New Roman" w:cs="Times New Roman"/>
              </w:rPr>
              <w:br/>
              <w:t xml:space="preserve">2. Preoperative multiple-site biopsies and intraoperative frozen section guidance: Perform preoperative multiple-site biopsies and intraoperative frozen section pathological examination to accurately determine the extent of disease and avoid residual lesions.  </w:t>
            </w:r>
            <w:r w:rsidRPr="00CB2EC4">
              <w:rPr>
                <w:rFonts w:ascii="Times New Roman" w:hAnsi="Times New Roman" w:cs="Times New Roman"/>
              </w:rPr>
              <w:br/>
              <w:t xml:space="preserve">3. Confirm the presence of invasion or adenocarcinoma: Confirm the nature of the lesion through pathological examination (e.g., presence of invasion or associated adenocarcinoma); if present, pursue more radical treatment such as radical resection with lymph node dissection.  </w:t>
            </w:r>
            <w:r w:rsidRPr="00CB2EC4">
              <w:rPr>
                <w:rFonts w:ascii="Times New Roman" w:hAnsi="Times New Roman" w:cs="Times New Roman"/>
              </w:rPr>
              <w:br/>
            </w:r>
            <w:r w:rsidRPr="00CB2EC4">
              <w:rPr>
                <w:rFonts w:ascii="Times New Roman" w:hAnsi="Times New Roman" w:cs="Times New Roman"/>
              </w:rPr>
              <w:lastRenderedPageBreak/>
              <w:br/>
              <w:t xml:space="preserve">Basis:  </w:t>
            </w:r>
            <w:r w:rsidRPr="00CB2EC4">
              <w:rPr>
                <w:rFonts w:ascii="Times New Roman" w:hAnsi="Times New Roman" w:cs="Times New Roman"/>
              </w:rPr>
              <w:br/>
              <w:t xml:space="preserve">- Document fragment 8 states: "To prevent recurrence, the incision should be at a distance from the edge of the lesion" (implying expanded excision), and explains that "if preoperative multiple-site biopsies and intraoperative frozen sections are used to guide the surgical scope, the positive margin rate can be reduced and postoperative recurrence minimized."  </w:t>
            </w:r>
            <w:r w:rsidRPr="00CB2EC4">
              <w:rPr>
                <w:rFonts w:ascii="Times New Roman" w:hAnsi="Times New Roman" w:cs="Times New Roman"/>
              </w:rPr>
              <w:br/>
              <w:t xml:space="preserve">- Fragment 22 emphasizes: "Positive surgical margins are one of the major factors contributing to postoperative recurrence," and recommends expanding the surgical scope until negative margins are achieved.  </w:t>
            </w:r>
            <w:r w:rsidRPr="00CB2EC4">
              <w:rPr>
                <w:rFonts w:ascii="Times New Roman" w:hAnsi="Times New Roman" w:cs="Times New Roman"/>
              </w:rPr>
              <w:br/>
              <w:t>- Fragment 27 adds: Biopsies should be performed to confirm the presence or absence of invasion or adenocarcinoma to formulate a complete treatment plan.</w:t>
            </w:r>
          </w:p>
        </w:tc>
        <w:tc>
          <w:tcPr>
            <w:tcW w:w="1152" w:type="dxa"/>
            <w:vAlign w:val="center"/>
          </w:tcPr>
          <w:p w14:paraId="26305B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83666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A0360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EB0540E" w14:textId="77777777">
        <w:tc>
          <w:tcPr>
            <w:tcW w:w="2160" w:type="dxa"/>
            <w:vAlign w:val="center"/>
          </w:tcPr>
          <w:p w14:paraId="7F1F6C9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395184B" w14:textId="77777777" w:rsidR="00922249" w:rsidRPr="00CB2EC4" w:rsidRDefault="003011D5">
            <w:pPr>
              <w:rPr>
                <w:rFonts w:ascii="Times New Roman" w:hAnsi="Times New Roman" w:cs="Times New Roman"/>
              </w:rPr>
            </w:pPr>
            <w:r w:rsidRPr="00CB2EC4">
              <w:rPr>
                <w:rFonts w:ascii="Times New Roman" w:hAnsi="Times New Roman" w:cs="Times New Roman"/>
              </w:rPr>
              <w:t>to reduce the risk of recurrence when surgically treating extramammary Paget's disease of the vulva, the following methods are recommended based on the source material:</w:t>
            </w:r>
            <w:r w:rsidRPr="00CB2EC4">
              <w:rPr>
                <w:rFonts w:ascii="Times New Roman" w:hAnsi="Times New Roman" w:cs="Times New Roman"/>
              </w:rPr>
              <w:br/>
            </w:r>
            <w:r w:rsidRPr="00CB2EC4">
              <w:rPr>
                <w:rFonts w:ascii="Times New Roman" w:hAnsi="Times New Roman" w:cs="Times New Roman"/>
              </w:rPr>
              <w:br/>
              <w:t>- ensure negative surgical margins: intraoperative multiple sampling and frozen section analysis should be performed to confirm the absence of residual malignant cells at the margins ("intraoperative frozen section analysis must be performed to examine the margins for residual cancer cells, thereby determining the surgical scope and preventing postoperative recurrence"; "preoperative multiple biopsy sampling and intraoperative frozen section analysis guide the surgical scope, reducing positive margin rates and postoperative recurrence").</w:t>
            </w:r>
            <w:r w:rsidRPr="00CB2EC4">
              <w:rPr>
                <w:rFonts w:ascii="Times New Roman" w:hAnsi="Times New Roman" w:cs="Times New Roman"/>
              </w:rPr>
              <w:br/>
            </w:r>
            <w:r w:rsidRPr="00CB2EC4">
              <w:rPr>
                <w:rFonts w:ascii="Times New Roman" w:hAnsi="Times New Roman" w:cs="Times New Roman"/>
              </w:rPr>
              <w:lastRenderedPageBreak/>
              <w:t>- expand the surgical excision: the incision should be made at least 3 cm beyond the visible lesion edge to minimize the chance of residual disease ("the incision should be at least 3 cm beyond the lesion edge"; "it is advocated to expand the surgical scope until negative margins are achieved for cases with positive lesion margins").</w:t>
            </w:r>
            <w:r w:rsidRPr="00CB2EC4">
              <w:rPr>
                <w:rFonts w:ascii="Times New Roman" w:hAnsi="Times New Roman" w:cs="Times New Roman"/>
              </w:rPr>
              <w:br/>
              <w:t>- select appropriate surgical approach: wide local excision of the vulva is preferred over local wide excision due to higher recurrence rates with the latter ("vulvectomy is the treatment method with the lowest postoperative recurrence rate"; "related to the surgical approach (local wide excision), cases with invasive lesions or accompanying adenocarcinoma tend to recur earlier").</w:t>
            </w:r>
            <w:r w:rsidRPr="00CB2EC4">
              <w:rPr>
                <w:rFonts w:ascii="Times New Roman" w:hAnsi="Times New Roman" w:cs="Times New Roman"/>
              </w:rPr>
              <w:br/>
              <w:t>- these methods aim to minimize recurrence risk through precise pathological assessment and adequate surgical resection.</w:t>
            </w:r>
          </w:p>
        </w:tc>
        <w:tc>
          <w:tcPr>
            <w:tcW w:w="1152" w:type="dxa"/>
            <w:vAlign w:val="center"/>
          </w:tcPr>
          <w:p w14:paraId="39D1ED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59CDB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A5DA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59E323" w14:textId="77777777">
        <w:tc>
          <w:tcPr>
            <w:tcW w:w="2160" w:type="dxa"/>
            <w:vAlign w:val="center"/>
          </w:tcPr>
          <w:p w14:paraId="5D957726"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A08D36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reduce the risk of recurrence in the surgical treatment of vulvar Paget's disease, the following methods should be adopted:  </w:t>
            </w:r>
            <w:r w:rsidRPr="00CB2EC4">
              <w:rPr>
                <w:rFonts w:ascii="Times New Roman" w:hAnsi="Times New Roman" w:cs="Times New Roman"/>
              </w:rPr>
              <w:br/>
              <w:t xml:space="preserve">1. ensure adequate surgical margins: the incision should be at least 3 cm from the edge of the lesion to cover potential multicentric involvement.  </w:t>
            </w:r>
            <w:r w:rsidRPr="00CB2EC4">
              <w:rPr>
                <w:rFonts w:ascii="Times New Roman" w:hAnsi="Times New Roman" w:cs="Times New Roman"/>
              </w:rPr>
              <w:br/>
              <w:t xml:space="preserve">2. depth of excision: extend to the subcutaneous fat layer and include all adnexal structures (as Paget cells may involve hair follicles).  </w:t>
            </w:r>
            <w:r w:rsidRPr="00CB2EC4">
              <w:rPr>
                <w:rFonts w:ascii="Times New Roman" w:hAnsi="Times New Roman" w:cs="Times New Roman"/>
              </w:rPr>
              <w:br/>
              <w:t xml:space="preserve">3. intraoperative multiple-site sampling: due to the multicentric nature of Paget's disease and a high false-negative rate of intraoperative frozen section (up to 46%), multiple samples from different sites must be taken for pathological examination to accurately assess margin status.  </w:t>
            </w:r>
            <w:r w:rsidRPr="00CB2EC4">
              <w:rPr>
                <w:rFonts w:ascii="Times New Roman" w:hAnsi="Times New Roman" w:cs="Times New Roman"/>
              </w:rPr>
              <w:br/>
              <w:t xml:space="preserve">4. expand surgical margins if positive: if </w:t>
            </w:r>
            <w:r w:rsidRPr="00CB2EC4">
              <w:rPr>
                <w:rFonts w:ascii="Times New Roman" w:hAnsi="Times New Roman" w:cs="Times New Roman"/>
              </w:rPr>
              <w:lastRenderedPageBreak/>
              <w:t xml:space="preserve">intraoperative findings show positive margins (i.e., residual cancer cells), the resection should be immediately expanded until clear margins are achieved.  </w:t>
            </w:r>
            <w:r w:rsidRPr="00CB2EC4">
              <w:rPr>
                <w:rFonts w:ascii="Times New Roman" w:hAnsi="Times New Roman" w:cs="Times New Roman"/>
              </w:rPr>
              <w:br/>
              <w:t>5. long-term follow-up: regular monitoring is required postoperatively, as recurrence may still occur even with negative margins (median recurrence time: 3.89 years).</w:t>
            </w:r>
          </w:p>
        </w:tc>
        <w:tc>
          <w:tcPr>
            <w:tcW w:w="1152" w:type="dxa"/>
            <w:vAlign w:val="center"/>
          </w:tcPr>
          <w:p w14:paraId="4FA223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A3DA6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3647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8695256" w14:textId="77777777">
        <w:tc>
          <w:tcPr>
            <w:tcW w:w="2160" w:type="dxa"/>
            <w:vAlign w:val="center"/>
          </w:tcPr>
          <w:p w14:paraId="566B75D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395189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reduce the risk of recurrence in the surgical treatment of vulvar Paget's disease, the following methods should be employed:  </w:t>
            </w:r>
            <w:r w:rsidRPr="00CB2EC4">
              <w:rPr>
                <w:rFonts w:ascii="Times New Roman" w:hAnsi="Times New Roman" w:cs="Times New Roman"/>
              </w:rPr>
              <w:br/>
              <w:t xml:space="preserve">1. Ensure negative surgical margins: The document emphasizes that "positive surgical margins are a significant factor in postoperative recurrence" and recommends "taking multiple preoperative biopsy samples and using intraoperative frozen sections to guide the extent of surgery, which can reduce the rate of positive margins and postoperative recurrence" (similarity: 0.479). For patients with positive margins, "the surgical scope should be expanded until negative margins are achieved" (similarity: 0.479).  </w:t>
            </w:r>
            <w:r w:rsidRPr="00CB2EC4">
              <w:rPr>
                <w:rFonts w:ascii="Times New Roman" w:hAnsi="Times New Roman" w:cs="Times New Roman"/>
              </w:rPr>
              <w:br/>
              <w:t xml:space="preserve">2. Select appropriate surgical extent: For cases with extensive lesions, advanced age, or poor follow-up conditions, "wide vulvar excision" is recommended, as it is associated with a lower recurrence rate (similarity: 0.501). The document states that "vulvectomy has the lowest postoperative recurrence rate" and suggests that "for patients with extensive lesions, advanced age, or poor follow-up conditions, wide vulvar excision is more suitable for the current situation in China" (similarity: 0.501).  </w:t>
            </w:r>
            <w:r w:rsidRPr="00CB2EC4">
              <w:rPr>
                <w:rFonts w:ascii="Times New Roman" w:hAnsi="Times New Roman" w:cs="Times New Roman"/>
              </w:rPr>
              <w:br/>
              <w:t xml:space="preserve">3. Intraoperative rapid frozen section examination: During surgery, "rapid frozen section analysis should be performed to check for residual cancer cells at the </w:t>
            </w:r>
            <w:r w:rsidRPr="00CB2EC4">
              <w:rPr>
                <w:rFonts w:ascii="Times New Roman" w:hAnsi="Times New Roman" w:cs="Times New Roman"/>
              </w:rPr>
              <w:lastRenderedPageBreak/>
              <w:t xml:space="preserve">margins, in order to determine the surgical extent and prevent postoperative recurrence" (similarity: 0.527). This allows for real-time adjustment of the surgical scope to minimize residual disease.  </w:t>
            </w:r>
            <w:r w:rsidRPr="00CB2EC4">
              <w:rPr>
                <w:rFonts w:ascii="Times New Roman" w:hAnsi="Times New Roman" w:cs="Times New Roman"/>
              </w:rPr>
              <w:br/>
              <w:t xml:space="preserve">4. Long-term follow-up monitoring: Due to the high recurrence rate of vulvar Paget's disease (reported recurrence rates range from 11% to 38%), the document advises that "patients with vulvar Paget's disease require long-term follow-up" and "repeated excision of recurrent lesions" (similarity: 0.479).  </w:t>
            </w:r>
            <w:r w:rsidRPr="00CB2EC4">
              <w:rPr>
                <w:rFonts w:ascii="Times New Roman" w:hAnsi="Times New Roman" w:cs="Times New Roman"/>
              </w:rPr>
              <w:br/>
              <w:t>5. Multi-point, multi-site sampling for pathological examination: To avoid false-negative results from intraoperative frozen sections (reported false-negative rate: 46%), the document stresses that "multi-point, multi-site sampling must be performed for pathological examination" (similarity: 0.527) to accurately assess invasive involvement.</w:t>
            </w:r>
          </w:p>
        </w:tc>
        <w:tc>
          <w:tcPr>
            <w:tcW w:w="1152" w:type="dxa"/>
            <w:vAlign w:val="center"/>
          </w:tcPr>
          <w:p w14:paraId="39DE38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D3883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2BD3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84D54A5" w14:textId="77777777">
        <w:tc>
          <w:tcPr>
            <w:tcW w:w="2160" w:type="dxa"/>
            <w:vAlign w:val="center"/>
          </w:tcPr>
          <w:p w14:paraId="5B88988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250C42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found in the knowledge base.  </w:t>
            </w:r>
            <w:r w:rsidRPr="00CB2EC4">
              <w:rPr>
                <w:rFonts w:ascii="Times New Roman" w:hAnsi="Times New Roman" w:cs="Times New Roman"/>
              </w:rPr>
              <w:br/>
              <w:t>- reason: the context does not contain information specific to "vulvar Paget's disease." while documents discussing vulvar cancer surgery (e.g., fragment 28) emphasize adequate resection margins and lymph node management, no specific methods for reducing recurrence risk in Paget's disease are provided. therefore, a context-based answer cannot be generated.</w:t>
            </w:r>
          </w:p>
        </w:tc>
        <w:tc>
          <w:tcPr>
            <w:tcW w:w="1152" w:type="dxa"/>
            <w:vAlign w:val="center"/>
          </w:tcPr>
          <w:p w14:paraId="0F827D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C2446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6A80E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75B2B84" w14:textId="77777777">
        <w:tc>
          <w:tcPr>
            <w:tcW w:w="2160" w:type="dxa"/>
            <w:vAlign w:val="center"/>
          </w:tcPr>
          <w:p w14:paraId="79B52D48"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697203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reduce the risk of recurrence when surgically treating extramammary Paget's disease of the vulva, the following methods should be employed:  </w:t>
            </w:r>
            <w:r w:rsidRPr="00CB2EC4">
              <w:rPr>
                <w:rFonts w:ascii="Times New Roman" w:hAnsi="Times New Roman" w:cs="Times New Roman"/>
              </w:rPr>
              <w:br/>
              <w:t xml:space="preserve">- Ensure adequate surgical margins: the incision should be at least 3 cm from the edge of the lesion, extending deep to the subcutaneous fat layer, and include all adnexal structures (related segment 2: "To </w:t>
            </w:r>
            <w:r w:rsidRPr="00CB2EC4">
              <w:rPr>
                <w:rFonts w:ascii="Times New Roman" w:hAnsi="Times New Roman" w:cs="Times New Roman"/>
              </w:rPr>
              <w:lastRenderedPageBreak/>
              <w:t xml:space="preserve">prevent recurrence, the incision should be more than 3 cm from the lesion margin, deep to the skin-fat layer, and include all hair-bearing tissue").  </w:t>
            </w:r>
            <w:r w:rsidRPr="00CB2EC4">
              <w:rPr>
                <w:rFonts w:ascii="Times New Roman" w:hAnsi="Times New Roman" w:cs="Times New Roman"/>
              </w:rPr>
              <w:br/>
              <w:t xml:space="preserve">- Intraoperative frozen section examination: rapid frozen section analysis must be performed during surgery to assess for residual cancer cells at the margins, thereby guiding the extent of resection (related segment 2: "Intraoperative frozen section must be conducted to check for residual cancer cells at the margins to determine the surgical extent and prevent postoperative recurrence").  </w:t>
            </w:r>
            <w:r w:rsidRPr="00CB2EC4">
              <w:rPr>
                <w:rFonts w:ascii="Times New Roman" w:hAnsi="Times New Roman" w:cs="Times New Roman"/>
              </w:rPr>
              <w:br/>
              <w:t xml:space="preserve">- Multi-site, multi-region sampling for pathology: due to the multicentric and patchy nature of Paget's disease and a high false-negative rate of frozen sections (reported up to 46%), multiple samples from different sites must be submitted for examination to minimize misdiagnosis (related segment 2: "Multiple samples from different sites must be submitted for examination").  </w:t>
            </w:r>
            <w:r w:rsidRPr="00CB2EC4">
              <w:rPr>
                <w:rFonts w:ascii="Times New Roman" w:hAnsi="Times New Roman" w:cs="Times New Roman"/>
              </w:rPr>
              <w:br/>
              <w:t xml:space="preserve">- Extend surgical margins until negative: if the margin is positive, the surgical field should be expanded until clear margins are achieved (related segment 1: "It is recommended that for patients with positive margins, the surgical area be expanded until negative margins are obtained").  </w:t>
            </w:r>
            <w:r w:rsidRPr="00CB2EC4">
              <w:rPr>
                <w:rFonts w:ascii="Times New Roman" w:hAnsi="Times New Roman" w:cs="Times New Roman"/>
              </w:rPr>
              <w:br/>
              <w:t>- Use adjunctive guidance techniques: performing surgery, drug therapy, or laser treatment under toluidine blue staining or colposcopic guidance can reduce recurrence (related segment 1: "Performing drug, laser, or surgical treatment under toluidine blue staining or colposcopy guidance can reduce recurrence").</w:t>
            </w:r>
          </w:p>
        </w:tc>
        <w:tc>
          <w:tcPr>
            <w:tcW w:w="1152" w:type="dxa"/>
            <w:vAlign w:val="center"/>
          </w:tcPr>
          <w:p w14:paraId="5EBB97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B3BC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560D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F4051CA" w14:textId="77777777">
        <w:tc>
          <w:tcPr>
            <w:tcW w:w="2160" w:type="dxa"/>
            <w:vAlign w:val="center"/>
          </w:tcPr>
          <w:p w14:paraId="6FA11E79"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31AF8A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to reduce the risk of recurrence after surgical treatment of extramammary Paget's disease of the </w:t>
            </w:r>
            <w:r w:rsidRPr="00CB2EC4">
              <w:rPr>
                <w:rFonts w:ascii="Times New Roman" w:hAnsi="Times New Roman" w:cs="Times New Roman"/>
              </w:rPr>
              <w:lastRenderedPageBreak/>
              <w:t>vulva, the following methods are recommended:</w:t>
            </w:r>
            <w:r w:rsidRPr="00CB2EC4">
              <w:rPr>
                <w:rFonts w:ascii="Times New Roman" w:hAnsi="Times New Roman" w:cs="Times New Roman"/>
              </w:rPr>
              <w:br/>
            </w:r>
            <w:r w:rsidRPr="00CB2EC4">
              <w:rPr>
                <w:rFonts w:ascii="Times New Roman" w:hAnsi="Times New Roman" w:cs="Times New Roman"/>
              </w:rPr>
              <w:br/>
              <w:t>- Ensure negative surgical margins: intraoperative frozen section pathology should be used to confirm the absence of disease at the margins (with a minimum safety distance of 1–2 cm).</w:t>
            </w:r>
            <w:r w:rsidRPr="00CB2EC4">
              <w:rPr>
                <w:rFonts w:ascii="Times New Roman" w:hAnsi="Times New Roman" w:cs="Times New Roman"/>
              </w:rPr>
              <w:br/>
              <w:t>- Wide local excision with multilayer closure: perform excision of sufficient depth, including the subcutaneous fat layer, and repair the defect using flap or graft techniques to reduce tension and promote healing.</w:t>
            </w:r>
            <w:r w:rsidRPr="00CB2EC4">
              <w:rPr>
                <w:rFonts w:ascii="Times New Roman" w:hAnsi="Times New Roman" w:cs="Times New Roman"/>
              </w:rPr>
              <w:br/>
              <w:t>- Close postoperative follow-up: conduct regular vulvar examinations and biopsies to monitor for signs of recurrence.</w:t>
            </w:r>
            <w:r w:rsidRPr="00CB2EC4">
              <w:rPr>
                <w:rFonts w:ascii="Times New Roman" w:hAnsi="Times New Roman" w:cs="Times New Roman"/>
              </w:rPr>
              <w:br/>
            </w:r>
            <w:r w:rsidRPr="00CB2EC4">
              <w:rPr>
                <w:rFonts w:ascii="Times New Roman" w:hAnsi="Times New Roman" w:cs="Times New Roman"/>
              </w:rPr>
              <w:br/>
              <w:t>Literature emphasizes a high recurrence risk (approximately 30–60%), making meticulous surgical technique and pathological assessment critical.</w:t>
            </w:r>
          </w:p>
        </w:tc>
        <w:tc>
          <w:tcPr>
            <w:tcW w:w="1152" w:type="dxa"/>
            <w:vAlign w:val="center"/>
          </w:tcPr>
          <w:p w14:paraId="0CC1D9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3BB9A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2A92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39DC446" w14:textId="77777777">
        <w:tc>
          <w:tcPr>
            <w:tcW w:w="10656" w:type="dxa"/>
            <w:gridSpan w:val="5"/>
            <w:tcBorders>
              <w:bottom w:val="single" w:sz="6" w:space="0" w:color="auto"/>
            </w:tcBorders>
            <w:vAlign w:val="center"/>
          </w:tcPr>
          <w:p w14:paraId="518E8554"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139: During a total vaginectomy, to achieve complete dissection of the vaginal sleeve, which key ligaments or muscle tissues need to be transected and managed in the upper, middle, and lower segments of the vagina, respectively?</w:t>
            </w:r>
          </w:p>
        </w:tc>
      </w:tr>
      <w:tr w:rsidR="00922249" w:rsidRPr="00CB2EC4" w14:paraId="4BC52028" w14:textId="77777777">
        <w:tc>
          <w:tcPr>
            <w:tcW w:w="2160" w:type="dxa"/>
            <w:vAlign w:val="center"/>
          </w:tcPr>
          <w:p w14:paraId="367FACB0"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B10AE0F" w14:textId="77777777" w:rsidR="00922249" w:rsidRPr="00CB2EC4" w:rsidRDefault="003011D5">
            <w:pPr>
              <w:rPr>
                <w:rFonts w:ascii="Times New Roman" w:hAnsi="Times New Roman" w:cs="Times New Roman"/>
              </w:rPr>
            </w:pPr>
            <w:r w:rsidRPr="00CB2EC4">
              <w:rPr>
                <w:rFonts w:ascii="Times New Roman" w:hAnsi="Times New Roman" w:cs="Times New Roman"/>
              </w:rPr>
              <w:t>During a total vaginectomy, to completely dissect the vaginal cuff, the following key ligaments or muscular structures must be transected and managed at the upper, middle, and lower segments of the vagina:</w:t>
            </w:r>
            <w:r w:rsidRPr="00CB2EC4">
              <w:rPr>
                <w:rFonts w:ascii="Times New Roman" w:hAnsi="Times New Roman" w:cs="Times New Roman"/>
              </w:rPr>
              <w:br/>
            </w:r>
            <w:r w:rsidRPr="00CB2EC4">
              <w:rPr>
                <w:rFonts w:ascii="Times New Roman" w:hAnsi="Times New Roman" w:cs="Times New Roman"/>
              </w:rPr>
              <w:br/>
              <w:t xml:space="preserve">- **Upper segment (near the cervical level)**:  </w:t>
            </w:r>
            <w:r w:rsidRPr="00CB2EC4">
              <w:rPr>
                <w:rFonts w:ascii="Times New Roman" w:hAnsi="Times New Roman" w:cs="Times New Roman"/>
              </w:rPr>
              <w:br/>
              <w:t xml:space="preserve">  → Transect the cardinal ligaments  </w:t>
            </w:r>
            <w:r w:rsidRPr="00CB2EC4">
              <w:rPr>
                <w:rFonts w:ascii="Times New Roman" w:hAnsi="Times New Roman" w:cs="Times New Roman"/>
              </w:rPr>
              <w:br/>
              <w:t xml:space="preserve">  → Transect the uterosacral ligaments  </w:t>
            </w:r>
            <w:r w:rsidRPr="00CB2EC4">
              <w:rPr>
                <w:rFonts w:ascii="Times New Roman" w:hAnsi="Times New Roman" w:cs="Times New Roman"/>
              </w:rPr>
              <w:br/>
              <w:t xml:space="preserve">  → Dissect the anterior vesicovaginal space  </w:t>
            </w:r>
            <w:r w:rsidRPr="00CB2EC4">
              <w:rPr>
                <w:rFonts w:ascii="Times New Roman" w:hAnsi="Times New Roman" w:cs="Times New Roman"/>
              </w:rPr>
              <w:br/>
              <w:t xml:space="preserve">  → Dissect the posterior rectovaginal space  </w:t>
            </w:r>
            <w:r w:rsidRPr="00CB2EC4">
              <w:rPr>
                <w:rFonts w:ascii="Times New Roman" w:hAnsi="Times New Roman" w:cs="Times New Roman"/>
              </w:rPr>
              <w:br/>
            </w:r>
            <w:r w:rsidRPr="00CB2EC4">
              <w:rPr>
                <w:rFonts w:ascii="Times New Roman" w:hAnsi="Times New Roman" w:cs="Times New Roman"/>
              </w:rPr>
              <w:br/>
              <w:t xml:space="preserve">- **Middle segment (mid-vagina)**:  </w:t>
            </w:r>
            <w:r w:rsidRPr="00CB2EC4">
              <w:rPr>
                <w:rFonts w:ascii="Times New Roman" w:hAnsi="Times New Roman" w:cs="Times New Roman"/>
              </w:rPr>
              <w:br/>
              <w:t xml:space="preserve">  → Dissect and transect the paravaginal tissues, </w:t>
            </w:r>
            <w:r w:rsidRPr="00CB2EC4">
              <w:rPr>
                <w:rFonts w:ascii="Times New Roman" w:hAnsi="Times New Roman" w:cs="Times New Roman"/>
              </w:rPr>
              <w:lastRenderedPageBreak/>
              <w:t xml:space="preserve">including the attachments of the levator ani muscles  </w:t>
            </w:r>
            <w:r w:rsidRPr="00CB2EC4">
              <w:rPr>
                <w:rFonts w:ascii="Times New Roman" w:hAnsi="Times New Roman" w:cs="Times New Roman"/>
              </w:rPr>
              <w:br/>
              <w:t xml:space="preserve">  → Manage the pubocervical ligaments  </w:t>
            </w:r>
            <w:r w:rsidRPr="00CB2EC4">
              <w:rPr>
                <w:rFonts w:ascii="Times New Roman" w:hAnsi="Times New Roman" w:cs="Times New Roman"/>
              </w:rPr>
              <w:br/>
              <w:t xml:space="preserve">  → Manage the rectovaginal fascia  </w:t>
            </w:r>
            <w:r w:rsidRPr="00CB2EC4">
              <w:rPr>
                <w:rFonts w:ascii="Times New Roman" w:hAnsi="Times New Roman" w:cs="Times New Roman"/>
              </w:rPr>
              <w:br/>
            </w:r>
            <w:r w:rsidRPr="00CB2EC4">
              <w:rPr>
                <w:rFonts w:ascii="Times New Roman" w:hAnsi="Times New Roman" w:cs="Times New Roman"/>
              </w:rPr>
              <w:br/>
              <w:t xml:space="preserve">- **Lower segment (near the vaginal introitus/perineum)**:  </w:t>
            </w:r>
            <w:r w:rsidRPr="00CB2EC4">
              <w:rPr>
                <w:rFonts w:ascii="Times New Roman" w:hAnsi="Times New Roman" w:cs="Times New Roman"/>
              </w:rPr>
              <w:br/>
              <w:t xml:space="preserve">  → Transect the urethrovaginal septum  </w:t>
            </w:r>
            <w:r w:rsidRPr="00CB2EC4">
              <w:rPr>
                <w:rFonts w:ascii="Times New Roman" w:hAnsi="Times New Roman" w:cs="Times New Roman"/>
              </w:rPr>
              <w:br/>
              <w:t xml:space="preserve">  → Transect the central tendon of perineum  </w:t>
            </w:r>
            <w:r w:rsidRPr="00CB2EC4">
              <w:rPr>
                <w:rFonts w:ascii="Times New Roman" w:hAnsi="Times New Roman" w:cs="Times New Roman"/>
              </w:rPr>
              <w:br/>
              <w:t xml:space="preserve">  → Dissect and transect the bulbospongiosus muscle  </w:t>
            </w:r>
            <w:r w:rsidRPr="00CB2EC4">
              <w:rPr>
                <w:rFonts w:ascii="Times New Roman" w:hAnsi="Times New Roman" w:cs="Times New Roman"/>
              </w:rPr>
              <w:br/>
              <w:t xml:space="preserve">  → Dissect and transect the vaginal attachments of the ischiocavernosus muscle  </w:t>
            </w:r>
            <w:r w:rsidRPr="00CB2EC4">
              <w:rPr>
                <w:rFonts w:ascii="Times New Roman" w:hAnsi="Times New Roman" w:cs="Times New Roman"/>
              </w:rPr>
              <w:br/>
              <w:t xml:space="preserve">  → Manage the superficial transverse perineal muscle  </w:t>
            </w:r>
            <w:r w:rsidRPr="00CB2EC4">
              <w:rPr>
                <w:rFonts w:ascii="Times New Roman" w:hAnsi="Times New Roman" w:cs="Times New Roman"/>
              </w:rPr>
              <w:br/>
              <w:t xml:space="preserve">  → Manage the fascial attachments around the external anal sphincter (if necessary)  </w:t>
            </w:r>
            <w:r w:rsidRPr="00CB2EC4">
              <w:rPr>
                <w:rFonts w:ascii="Times New Roman" w:hAnsi="Times New Roman" w:cs="Times New Roman"/>
              </w:rPr>
              <w:br/>
            </w:r>
            <w:r w:rsidRPr="00CB2EC4">
              <w:rPr>
                <w:rFonts w:ascii="Times New Roman" w:hAnsi="Times New Roman" w:cs="Times New Roman"/>
              </w:rPr>
              <w:br/>
              <w:t>The above procedures must be performed while maintaining clear anatomical layers to ensure complete dissection of the vaginal cuff and minimize damage to adjacent organs (such as the bladder, rectum, and urethra).</w:t>
            </w:r>
          </w:p>
        </w:tc>
        <w:tc>
          <w:tcPr>
            <w:tcW w:w="1152" w:type="dxa"/>
            <w:vAlign w:val="center"/>
          </w:tcPr>
          <w:p w14:paraId="29F252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04B96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ED4FB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C88EED2" w14:textId="77777777">
        <w:tc>
          <w:tcPr>
            <w:tcW w:w="2160" w:type="dxa"/>
            <w:vAlign w:val="center"/>
          </w:tcPr>
          <w:p w14:paraId="646F76DF"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33028C6" w14:textId="77777777" w:rsidR="00922249" w:rsidRPr="00CB2EC4" w:rsidRDefault="003011D5">
            <w:pPr>
              <w:rPr>
                <w:rFonts w:ascii="Times New Roman" w:hAnsi="Times New Roman" w:cs="Times New Roman"/>
              </w:rPr>
            </w:pPr>
            <w:r w:rsidRPr="00CB2EC4">
              <w:rPr>
                <w:rFonts w:ascii="Times New Roman" w:hAnsi="Times New Roman" w:cs="Times New Roman"/>
              </w:rPr>
              <w:t>During the performance of a total vaginectomy, to completely dissect the vaginal cuff, the following critical ligaments or muscular tissues must be transected and managed at the upper, middle, and lower segments of the vagina:</w:t>
            </w:r>
            <w:r w:rsidRPr="00CB2EC4">
              <w:rPr>
                <w:rFonts w:ascii="Times New Roman" w:hAnsi="Times New Roman" w:cs="Times New Roman"/>
              </w:rPr>
              <w:br/>
            </w:r>
            <w:r w:rsidRPr="00CB2EC4">
              <w:rPr>
                <w:rFonts w:ascii="Times New Roman" w:hAnsi="Times New Roman" w:cs="Times New Roman"/>
              </w:rPr>
              <w:br/>
              <w:t xml:space="preserve">- **Upper segment (near the cervix/vaginal fornix)**:  </w:t>
            </w:r>
            <w:r w:rsidRPr="00CB2EC4">
              <w:rPr>
                <w:rFonts w:ascii="Times New Roman" w:hAnsi="Times New Roman" w:cs="Times New Roman"/>
              </w:rPr>
              <w:br/>
              <w:t xml:space="preserve">  → Transect the cardinal ligaments  </w:t>
            </w:r>
            <w:r w:rsidRPr="00CB2EC4">
              <w:rPr>
                <w:rFonts w:ascii="Times New Roman" w:hAnsi="Times New Roman" w:cs="Times New Roman"/>
              </w:rPr>
              <w:br/>
              <w:t xml:space="preserve">  → Transect the uterosacral ligaments  </w:t>
            </w:r>
            <w:r w:rsidRPr="00CB2EC4">
              <w:rPr>
                <w:rFonts w:ascii="Times New Roman" w:hAnsi="Times New Roman" w:cs="Times New Roman"/>
              </w:rPr>
              <w:br/>
              <w:t xml:space="preserve">  → Manage the parametrial tissues and associated connective tissues and muscle fibers  </w:t>
            </w:r>
            <w:r w:rsidRPr="00CB2EC4">
              <w:rPr>
                <w:rFonts w:ascii="Times New Roman" w:hAnsi="Times New Roman" w:cs="Times New Roman"/>
              </w:rPr>
              <w:br/>
              <w:t xml:space="preserve">  → Dissect the anterior aspect of the pubocervical ligaments  </w:t>
            </w:r>
            <w:r w:rsidRPr="00CB2EC4">
              <w:rPr>
                <w:rFonts w:ascii="Times New Roman" w:hAnsi="Times New Roman" w:cs="Times New Roman"/>
              </w:rPr>
              <w:br/>
              <w:t xml:space="preserve">  → Separate the posterior aspect of the rectovaginal </w:t>
            </w:r>
            <w:r w:rsidRPr="00CB2EC4">
              <w:rPr>
                <w:rFonts w:ascii="Times New Roman" w:hAnsi="Times New Roman" w:cs="Times New Roman"/>
              </w:rPr>
              <w:lastRenderedPageBreak/>
              <w:t xml:space="preserve">septum, taking care to avoid rectal injury  </w:t>
            </w:r>
            <w:r w:rsidRPr="00CB2EC4">
              <w:rPr>
                <w:rFonts w:ascii="Times New Roman" w:hAnsi="Times New Roman" w:cs="Times New Roman"/>
              </w:rPr>
              <w:br/>
            </w:r>
            <w:r w:rsidRPr="00CB2EC4">
              <w:rPr>
                <w:rFonts w:ascii="Times New Roman" w:hAnsi="Times New Roman" w:cs="Times New Roman"/>
              </w:rPr>
              <w:br/>
              <w:t xml:space="preserve">- **Middle segment (mid-vagina)**:  </w:t>
            </w:r>
            <w:r w:rsidRPr="00CB2EC4">
              <w:rPr>
                <w:rFonts w:ascii="Times New Roman" w:hAnsi="Times New Roman" w:cs="Times New Roman"/>
              </w:rPr>
              <w:br/>
              <w:t xml:space="preserve">  → Extensively dissect the vesicovaginal space and transect the connective tissues and muscle fiber bundles attached to the anterior vaginal wall  </w:t>
            </w:r>
            <w:r w:rsidRPr="00CB2EC4">
              <w:rPr>
                <w:rFonts w:ascii="Times New Roman" w:hAnsi="Times New Roman" w:cs="Times New Roman"/>
              </w:rPr>
              <w:br/>
              <w:t xml:space="preserve">  → Extensively dissect the rectovaginal space and transect the connective tissues and muscle fiber bundles attached to the posterior vaginal wall  </w:t>
            </w:r>
            <w:r w:rsidRPr="00CB2EC4">
              <w:rPr>
                <w:rFonts w:ascii="Times New Roman" w:hAnsi="Times New Roman" w:cs="Times New Roman"/>
              </w:rPr>
              <w:br/>
              <w:t xml:space="preserve">  → Manage the paracolpium and related structures of the pelvic diaphragm fascia  </w:t>
            </w:r>
            <w:r w:rsidRPr="00CB2EC4">
              <w:rPr>
                <w:rFonts w:ascii="Times New Roman" w:hAnsi="Times New Roman" w:cs="Times New Roman"/>
              </w:rPr>
              <w:br/>
            </w:r>
            <w:r w:rsidRPr="00CB2EC4">
              <w:rPr>
                <w:rFonts w:ascii="Times New Roman" w:hAnsi="Times New Roman" w:cs="Times New Roman"/>
              </w:rPr>
              <w:br/>
              <w:t xml:space="preserve">- **Lower segment (near the perineal body/vaginal introitus)**:  </w:t>
            </w:r>
            <w:r w:rsidRPr="00CB2EC4">
              <w:rPr>
                <w:rFonts w:ascii="Times New Roman" w:hAnsi="Times New Roman" w:cs="Times New Roman"/>
              </w:rPr>
              <w:br/>
              <w:t xml:space="preserve">  → Transect the central tendon of perineum and its attached muscle fibers  </w:t>
            </w:r>
            <w:r w:rsidRPr="00CB2EC4">
              <w:rPr>
                <w:rFonts w:ascii="Times New Roman" w:hAnsi="Times New Roman" w:cs="Times New Roman"/>
              </w:rPr>
              <w:br/>
              <w:t xml:space="preserve">  → Manage the bulbospongiosus muscle, ischiocavernosus muscle, and superficial transverse perineal muscle  </w:t>
            </w:r>
            <w:r w:rsidRPr="00CB2EC4">
              <w:rPr>
                <w:rFonts w:ascii="Times New Roman" w:hAnsi="Times New Roman" w:cs="Times New Roman"/>
              </w:rPr>
              <w:br/>
              <w:t xml:space="preserve">  → Separate and transect the distal attachments of the urethrovaginal septum and vesicovaginal septum  </w:t>
            </w:r>
            <w:r w:rsidRPr="00CB2EC4">
              <w:rPr>
                <w:rFonts w:ascii="Times New Roman" w:hAnsi="Times New Roman" w:cs="Times New Roman"/>
              </w:rPr>
              <w:br/>
              <w:t xml:space="preserve">  → Transect the continuation of the paravaginal fascia at the level of the urogenital diaphragm  </w:t>
            </w:r>
            <w:r w:rsidRPr="00CB2EC4">
              <w:rPr>
                <w:rFonts w:ascii="Times New Roman" w:hAnsi="Times New Roman" w:cs="Times New Roman"/>
              </w:rPr>
              <w:br/>
            </w:r>
            <w:r w:rsidRPr="00CB2EC4">
              <w:rPr>
                <w:rFonts w:ascii="Times New Roman" w:hAnsi="Times New Roman" w:cs="Times New Roman"/>
              </w:rPr>
              <w:br/>
              <w:t>The above procedures must be performed sequentially according to anatomical layers to ensure complete dissection of the vaginal cuff while protecting the integrity of adjacent organs (such as the bladder, urethra, and rectum) and neurovascular bundles.</w:t>
            </w:r>
          </w:p>
        </w:tc>
        <w:tc>
          <w:tcPr>
            <w:tcW w:w="1152" w:type="dxa"/>
            <w:vAlign w:val="center"/>
          </w:tcPr>
          <w:p w14:paraId="0998EC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ABB89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792F9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35FD31B" w14:textId="77777777">
        <w:tc>
          <w:tcPr>
            <w:tcW w:w="2160" w:type="dxa"/>
            <w:vAlign w:val="center"/>
          </w:tcPr>
          <w:p w14:paraId="2C3EF66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680DBD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total vaginectomy, to completely dissect the vaginal cuff, the following key ligamentous or muscular structures must be transected and managed at the specified vaginal levels:  </w:t>
            </w:r>
            <w:r w:rsidRPr="00CB2EC4">
              <w:rPr>
                <w:rFonts w:ascii="Times New Roman" w:hAnsi="Times New Roman" w:cs="Times New Roman"/>
              </w:rPr>
              <w:br/>
              <w:t xml:space="preserve">- Lower vaginal segment: The posterior part of the </w:t>
            </w:r>
            <w:r w:rsidRPr="00CB2EC4">
              <w:rPr>
                <w:rFonts w:ascii="Times New Roman" w:hAnsi="Times New Roman" w:cs="Times New Roman"/>
              </w:rPr>
              <w:lastRenderedPageBreak/>
              <w:t xml:space="preserve">urogenital diaphragm must be transected and sutured (as explicitly stated: “(5) The left and right sides of the lower vaginal segment are the posterior part of the urogenital diaphragm, which has thin tissue and must be transected and sutured”).  </w:t>
            </w:r>
            <w:r w:rsidRPr="00CB2EC4">
              <w:rPr>
                <w:rFonts w:ascii="Times New Roman" w:hAnsi="Times New Roman" w:cs="Times New Roman"/>
              </w:rPr>
              <w:br/>
              <w:t xml:space="preserve">- Middle vaginal segment: The puborectalis muscle must be transected and sutured (as stated: “(6) The left and right lateral sides of the middle vaginal segment have the puborectalis muscle, attached to the vaginal fascia’s muscle fibers, which are transected and sutured”).  </w:t>
            </w:r>
            <w:r w:rsidRPr="00CB2EC4">
              <w:rPr>
                <w:rFonts w:ascii="Times New Roman" w:hAnsi="Times New Roman" w:cs="Times New Roman"/>
              </w:rPr>
              <w:br/>
              <w:t xml:space="preserve">- Upper vaginal segment: The cardinal ligament must be clamped and sutured, and the uterosacral ligament must be ligated and transected (as stated: “(7) The lateral side of the upper 1/3 of the vagina has the cardinal ligament, which is clamped and sutured; (8) The uterosacral ligament is ligated and transected medial to the cardinal ligament”).  </w:t>
            </w:r>
            <w:r w:rsidRPr="00CB2EC4">
              <w:rPr>
                <w:rFonts w:ascii="Times New Roman" w:hAnsi="Times New Roman" w:cs="Times New Roman"/>
              </w:rPr>
              <w:br/>
            </w:r>
            <w:r w:rsidRPr="00CB2EC4">
              <w:rPr>
                <w:rFonts w:ascii="Times New Roman" w:hAnsi="Times New Roman" w:cs="Times New Roman"/>
              </w:rPr>
              <w:br/>
              <w:t>Supplementary information from fragment 9 describes general steps of total vaginectomy (e.g., separation of anterior and posterior vaginal walls and cuff closure), but specific ligament and muscle handling details are based on fragment 8. No other segmental structures are mentioned in the documents; thus, the above constitutes the complete description derived from the provided context.</w:t>
            </w:r>
          </w:p>
        </w:tc>
        <w:tc>
          <w:tcPr>
            <w:tcW w:w="1152" w:type="dxa"/>
            <w:vAlign w:val="center"/>
          </w:tcPr>
          <w:p w14:paraId="187D8C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73F3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4F32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EC4A33" w14:textId="77777777">
        <w:tc>
          <w:tcPr>
            <w:tcW w:w="2160" w:type="dxa"/>
            <w:vAlign w:val="center"/>
          </w:tcPr>
          <w:p w14:paraId="2E3285D5"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344F9BE" w14:textId="77777777" w:rsidR="00922249" w:rsidRPr="00CB2EC4" w:rsidRDefault="003011D5">
            <w:pPr>
              <w:rPr>
                <w:rFonts w:ascii="Times New Roman" w:hAnsi="Times New Roman" w:cs="Times New Roman"/>
              </w:rPr>
            </w:pPr>
            <w:r w:rsidRPr="00CB2EC4">
              <w:rPr>
                <w:rFonts w:ascii="Times New Roman" w:hAnsi="Times New Roman" w:cs="Times New Roman"/>
              </w:rPr>
              <w:t>During a total vaginectomy, to completely dissect the vaginal cuff, the following key ligaments or muscular tissues must be transected and managed at the upper, middle, and lower segments of the vagina:</w:t>
            </w:r>
            <w:r w:rsidRPr="00CB2EC4">
              <w:rPr>
                <w:rFonts w:ascii="Times New Roman" w:hAnsi="Times New Roman" w:cs="Times New Roman"/>
              </w:rPr>
              <w:br/>
            </w:r>
            <w:r w:rsidRPr="00CB2EC4">
              <w:rPr>
                <w:rFonts w:ascii="Times New Roman" w:hAnsi="Times New Roman" w:cs="Times New Roman"/>
              </w:rPr>
              <w:br/>
              <w:t xml:space="preserve">- Upper segment (near the cervical end):  </w:t>
            </w:r>
            <w:r w:rsidRPr="00CB2EC4">
              <w:rPr>
                <w:rFonts w:ascii="Times New Roman" w:hAnsi="Times New Roman" w:cs="Times New Roman"/>
              </w:rPr>
              <w:br/>
              <w:t xml:space="preserve">  → Transect and manage the vesicocervical ligament </w:t>
            </w:r>
            <w:r w:rsidRPr="00CB2EC4">
              <w:rPr>
                <w:rFonts w:ascii="Times New Roman" w:hAnsi="Times New Roman" w:cs="Times New Roman"/>
              </w:rPr>
              <w:lastRenderedPageBreak/>
              <w:t xml:space="preserve">(separate the vesicovaginal space and incise the connective tissue).  </w:t>
            </w:r>
            <w:r w:rsidRPr="00CB2EC4">
              <w:rPr>
                <w:rFonts w:ascii="Times New Roman" w:hAnsi="Times New Roman" w:cs="Times New Roman"/>
              </w:rPr>
              <w:br/>
              <w:t xml:space="preserve">  → Manage the uterosacral ligament (partial resection to expose the vaginal fornix).  </w:t>
            </w:r>
            <w:r w:rsidRPr="00CB2EC4">
              <w:rPr>
                <w:rFonts w:ascii="Times New Roman" w:hAnsi="Times New Roman" w:cs="Times New Roman"/>
              </w:rPr>
              <w:br/>
            </w:r>
            <w:r w:rsidRPr="00CB2EC4">
              <w:rPr>
                <w:rFonts w:ascii="Times New Roman" w:hAnsi="Times New Roman" w:cs="Times New Roman"/>
              </w:rPr>
              <w:br/>
              <w:t xml:space="preserve">- Middle segment (mid-vagina):  </w:t>
            </w:r>
            <w:r w:rsidRPr="00CB2EC4">
              <w:rPr>
                <w:rFonts w:ascii="Times New Roman" w:hAnsi="Times New Roman" w:cs="Times New Roman"/>
              </w:rPr>
              <w:br/>
              <w:t xml:space="preserve">  → Transect the cardinal ligament (resect 1/2 to 3/4 to free the paravaginal tissue).  </w:t>
            </w:r>
            <w:r w:rsidRPr="00CB2EC4">
              <w:rPr>
                <w:rFonts w:ascii="Times New Roman" w:hAnsi="Times New Roman" w:cs="Times New Roman"/>
              </w:rPr>
              <w:br/>
              <w:t xml:space="preserve">  → Manage the paravaginal tissue (including blood vessels and connective tissue, transect laterally and suture-ligate).  </w:t>
            </w:r>
            <w:r w:rsidRPr="00CB2EC4">
              <w:rPr>
                <w:rFonts w:ascii="Times New Roman" w:hAnsi="Times New Roman" w:cs="Times New Roman"/>
              </w:rPr>
              <w:br/>
            </w:r>
            <w:r w:rsidRPr="00CB2EC4">
              <w:rPr>
                <w:rFonts w:ascii="Times New Roman" w:hAnsi="Times New Roman" w:cs="Times New Roman"/>
              </w:rPr>
              <w:br/>
              <w:t xml:space="preserve">- Lower segment (distal end near the vaginal orifice):  </w:t>
            </w:r>
            <w:r w:rsidRPr="00CB2EC4">
              <w:rPr>
                <w:rFonts w:ascii="Times New Roman" w:hAnsi="Times New Roman" w:cs="Times New Roman"/>
              </w:rPr>
              <w:br/>
              <w:t xml:space="preserve">  → Transect the perineal body tissue (including the bulbospongiosus muscle and part of the levator ani muscle).  </w:t>
            </w:r>
            <w:r w:rsidRPr="00CB2EC4">
              <w:rPr>
                <w:rFonts w:ascii="Times New Roman" w:hAnsi="Times New Roman" w:cs="Times New Roman"/>
              </w:rPr>
              <w:br/>
              <w:t xml:space="preserve">  → Manage the vaginal lateral wall and perineal skin (involving subcutaneous fat and the perineal membrane).  </w:t>
            </w:r>
            <w:r w:rsidRPr="00CB2EC4">
              <w:rPr>
                <w:rFonts w:ascii="Times New Roman" w:hAnsi="Times New Roman" w:cs="Times New Roman"/>
              </w:rPr>
              <w:br/>
            </w:r>
            <w:r w:rsidRPr="00CB2EC4">
              <w:rPr>
                <w:rFonts w:ascii="Times New Roman" w:hAnsi="Times New Roman" w:cs="Times New Roman"/>
              </w:rPr>
              <w:br/>
              <w:t>Key steps: After circumferentially incising the vaginal wall, dissect upward to separate the vesicovaginal space, dissect posteriorly to separate the rectovaginal space, and then extend laterally to ensure the integrity of the cuff.</w:t>
            </w:r>
          </w:p>
        </w:tc>
        <w:tc>
          <w:tcPr>
            <w:tcW w:w="1152" w:type="dxa"/>
            <w:vAlign w:val="center"/>
          </w:tcPr>
          <w:p w14:paraId="682DE5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3BD28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AC35D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11B516B" w14:textId="77777777">
        <w:tc>
          <w:tcPr>
            <w:tcW w:w="2160" w:type="dxa"/>
            <w:vAlign w:val="center"/>
          </w:tcPr>
          <w:p w14:paraId="5AE75666"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7EA7904" w14:textId="77777777" w:rsidR="00922249" w:rsidRPr="00CB2EC4" w:rsidRDefault="003011D5">
            <w:pPr>
              <w:rPr>
                <w:rFonts w:ascii="Times New Roman" w:hAnsi="Times New Roman" w:cs="Times New Roman"/>
              </w:rPr>
            </w:pPr>
            <w:r w:rsidRPr="00CB2EC4">
              <w:rPr>
                <w:rFonts w:ascii="Times New Roman" w:hAnsi="Times New Roman" w:cs="Times New Roman"/>
              </w:rPr>
              <w:t>during performing a total vaginectomy, to completely dissect the vaginal cuff, the following key ligamentous or muscular structures must be transected and managed at the upper, middle, and lower vaginal segments respectively:</w:t>
            </w:r>
            <w:r w:rsidRPr="00CB2EC4">
              <w:rPr>
                <w:rFonts w:ascii="Times New Roman" w:hAnsi="Times New Roman" w:cs="Times New Roman"/>
              </w:rPr>
              <w:br/>
            </w:r>
            <w:r w:rsidRPr="00CB2EC4">
              <w:rPr>
                <w:rFonts w:ascii="Times New Roman" w:hAnsi="Times New Roman" w:cs="Times New Roman"/>
              </w:rPr>
              <w:br/>
              <w:t xml:space="preserve">- **Upper segment**:  </w:t>
            </w:r>
            <w:r w:rsidRPr="00CB2EC4">
              <w:rPr>
                <w:rFonts w:ascii="Times New Roman" w:hAnsi="Times New Roman" w:cs="Times New Roman"/>
              </w:rPr>
              <w:br/>
              <w:t xml:space="preserve">  → Transect the **pubocervical ligament** (anteriorly, also referred to as cervical-bladder </w:t>
            </w:r>
            <w:r w:rsidRPr="00CB2EC4">
              <w:rPr>
                <w:rFonts w:ascii="Times New Roman" w:hAnsi="Times New Roman" w:cs="Times New Roman"/>
              </w:rPr>
              <w:lastRenderedPageBreak/>
              <w:t xml:space="preserve">ligament) to separate the bladder-vaginal space.  </w:t>
            </w:r>
            <w:r w:rsidRPr="00CB2EC4">
              <w:rPr>
                <w:rFonts w:ascii="Times New Roman" w:hAnsi="Times New Roman" w:cs="Times New Roman"/>
              </w:rPr>
              <w:br/>
              <w:t xml:space="preserve">  → Transect the **uterosacral ligament** (posteriorly) to release the posterior attachment.</w:t>
            </w:r>
            <w:r w:rsidRPr="00CB2EC4">
              <w:rPr>
                <w:rFonts w:ascii="Times New Roman" w:hAnsi="Times New Roman" w:cs="Times New Roman"/>
              </w:rPr>
              <w:br/>
            </w:r>
            <w:r w:rsidRPr="00CB2EC4">
              <w:rPr>
                <w:rFonts w:ascii="Times New Roman" w:hAnsi="Times New Roman" w:cs="Times New Roman"/>
              </w:rPr>
              <w:br/>
              <w:t xml:space="preserve">- **Middle segment**:  </w:t>
            </w:r>
            <w:r w:rsidRPr="00CB2EC4">
              <w:rPr>
                <w:rFonts w:ascii="Times New Roman" w:hAnsi="Times New Roman" w:cs="Times New Roman"/>
              </w:rPr>
              <w:br/>
              <w:t xml:space="preserve">  → Dissect and transect the **paravaginal tissue** and **cardinal ligament complex** (lateral attachments), including connective tissue and muscular fibers extending toward the pelvic sidewall.  </w:t>
            </w:r>
            <w:r w:rsidRPr="00CB2EC4">
              <w:rPr>
                <w:rFonts w:ascii="Times New Roman" w:hAnsi="Times New Roman" w:cs="Times New Roman"/>
              </w:rPr>
              <w:br/>
              <w:t xml:space="preserve">  → Sharply separate the posterior vaginal wall connective tissue and muscle fibers to enter the rectovaginal space.</w:t>
            </w:r>
            <w:r w:rsidRPr="00CB2EC4">
              <w:rPr>
                <w:rFonts w:ascii="Times New Roman" w:hAnsi="Times New Roman" w:cs="Times New Roman"/>
              </w:rPr>
              <w:br/>
            </w:r>
            <w:r w:rsidRPr="00CB2EC4">
              <w:rPr>
                <w:rFonts w:ascii="Times New Roman" w:hAnsi="Times New Roman" w:cs="Times New Roman"/>
              </w:rPr>
              <w:br/>
              <w:t xml:space="preserve">- **Lower segment**:  </w:t>
            </w:r>
            <w:r w:rsidRPr="00CB2EC4">
              <w:rPr>
                <w:rFonts w:ascii="Times New Roman" w:hAnsi="Times New Roman" w:cs="Times New Roman"/>
              </w:rPr>
              <w:br/>
              <w:t xml:space="preserve">  → Manage the **perineal muscles**, including the **bulbospongiosus muscle** and parts of the **levator ani muscle**, particularly when using a Schuchardt incision for access.</w:t>
            </w:r>
            <w:r w:rsidRPr="00CB2EC4">
              <w:rPr>
                <w:rFonts w:ascii="Times New Roman" w:hAnsi="Times New Roman" w:cs="Times New Roman"/>
              </w:rPr>
              <w:br/>
            </w:r>
            <w:r w:rsidRPr="00CB2EC4">
              <w:rPr>
                <w:rFonts w:ascii="Times New Roman" w:hAnsi="Times New Roman" w:cs="Times New Roman"/>
              </w:rPr>
              <w:br/>
              <w:t>These steps ensure complete mobilization of the vaginal wall for cuff creation and removal, as described in the procedural documentation.</w:t>
            </w:r>
          </w:p>
        </w:tc>
        <w:tc>
          <w:tcPr>
            <w:tcW w:w="1152" w:type="dxa"/>
            <w:vAlign w:val="center"/>
          </w:tcPr>
          <w:p w14:paraId="793199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ECFE2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82FE9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B8010EB" w14:textId="77777777">
        <w:tc>
          <w:tcPr>
            <w:tcW w:w="2160" w:type="dxa"/>
            <w:vAlign w:val="center"/>
          </w:tcPr>
          <w:p w14:paraId="000F46A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515FA6F" w14:textId="77777777" w:rsidR="00922249" w:rsidRPr="00CB2EC4" w:rsidRDefault="003011D5">
            <w:pPr>
              <w:rPr>
                <w:rFonts w:ascii="Times New Roman" w:hAnsi="Times New Roman" w:cs="Times New Roman"/>
              </w:rPr>
            </w:pPr>
            <w:r w:rsidRPr="00CB2EC4">
              <w:rPr>
                <w:rFonts w:ascii="Times New Roman" w:hAnsi="Times New Roman" w:cs="Times New Roman"/>
              </w:rPr>
              <w:t>During a total vaginectomy, to completely dissect the vaginal cuff, the following key ligaments or muscular tissues must be transected and managed at the upper, middle, and lower segments of the vagina:</w:t>
            </w:r>
            <w:r w:rsidRPr="00CB2EC4">
              <w:rPr>
                <w:rFonts w:ascii="Times New Roman" w:hAnsi="Times New Roman" w:cs="Times New Roman"/>
              </w:rPr>
              <w:br/>
            </w:r>
            <w:r w:rsidRPr="00CB2EC4">
              <w:rPr>
                <w:rFonts w:ascii="Times New Roman" w:hAnsi="Times New Roman" w:cs="Times New Roman"/>
              </w:rPr>
              <w:br/>
              <w:t>1. **Upper Segment (Near the Cervix/Vaginal Fornix):**</w:t>
            </w:r>
            <w:r w:rsidRPr="00CB2EC4">
              <w:rPr>
                <w:rFonts w:ascii="Times New Roman" w:hAnsi="Times New Roman" w:cs="Times New Roman"/>
              </w:rPr>
              <w:br/>
              <w:t xml:space="preserve">   * → **Uterosacral Ligaments:** These must be ligated and transected high to free the attachment between the posterior vaginal fornix and the presacral fascia.</w:t>
            </w:r>
            <w:r w:rsidRPr="00CB2EC4">
              <w:rPr>
                <w:rFonts w:ascii="Times New Roman" w:hAnsi="Times New Roman" w:cs="Times New Roman"/>
              </w:rPr>
              <w:br/>
              <w:t xml:space="preserve">   * → **Cardinal Ligaments (Transverse Cervical </w:t>
            </w:r>
            <w:r w:rsidRPr="00CB2EC4">
              <w:rPr>
                <w:rFonts w:ascii="Times New Roman" w:hAnsi="Times New Roman" w:cs="Times New Roman"/>
              </w:rPr>
              <w:lastRenderedPageBreak/>
              <w:t>Ligaments):** The uterine vessels, lymphatic vessels, and nerve branches within them must be ligated and transected to free the lateral vaginal fornix from its connection to the pelvic sidewall (levator ani muscle, obturator internus fascia).</w:t>
            </w:r>
            <w:r w:rsidRPr="00CB2EC4">
              <w:rPr>
                <w:rFonts w:ascii="Times New Roman" w:hAnsi="Times New Roman" w:cs="Times New Roman"/>
              </w:rPr>
              <w:br/>
              <w:t xml:space="preserve">   * → **Pubovesical Ligaments and Anterior Layer of the Vesicocervical Fascia:** Sharp or blunt dissection is required to push the bladder down to the level of the pubic symphysis.</w:t>
            </w:r>
            <w:r w:rsidRPr="00CB2EC4">
              <w:rPr>
                <w:rFonts w:ascii="Times New Roman" w:hAnsi="Times New Roman" w:cs="Times New Roman"/>
              </w:rPr>
              <w:br/>
              <w:t xml:space="preserve">   * → **Rectovaginal Septum/Lateral Rectal Ligaments:** Careful dissection along the rectal wall is necessary to avoid rectal injury.</w:t>
            </w:r>
            <w:r w:rsidRPr="00CB2EC4">
              <w:rPr>
                <w:rFonts w:ascii="Times New Roman" w:hAnsi="Times New Roman" w:cs="Times New Roman"/>
              </w:rPr>
              <w:br/>
              <w:t xml:space="preserve">   * → **Paravaginal Tissue:** Extensive dissection is needed to free its attachment to the pelvic sidewall fascia (levator ani fascia, obturator fascia), especially laterally.</w:t>
            </w:r>
            <w:r w:rsidRPr="00CB2EC4">
              <w:rPr>
                <w:rFonts w:ascii="Times New Roman" w:hAnsi="Times New Roman" w:cs="Times New Roman"/>
              </w:rPr>
              <w:br/>
            </w:r>
            <w:r w:rsidRPr="00CB2EC4">
              <w:rPr>
                <w:rFonts w:ascii="Times New Roman" w:hAnsi="Times New Roman" w:cs="Times New Roman"/>
              </w:rPr>
              <w:br/>
              <w:t>2. **Middle Segment (Upper Lateral Vaginal Wall):**</w:t>
            </w:r>
            <w:r w:rsidRPr="00CB2EC4">
              <w:rPr>
                <w:rFonts w:ascii="Times New Roman" w:hAnsi="Times New Roman" w:cs="Times New Roman"/>
              </w:rPr>
              <w:br/>
              <w:t xml:space="preserve">   * → **Continuation of the Cardinal Ligament/Paravaginal Tissue Attachments:** Further distal dissection above the levator ani muscle is required to ensure complete separation of the lateral vaginal wall from the pelvic sidewall fascia.</w:t>
            </w:r>
            <w:r w:rsidRPr="00CB2EC4">
              <w:rPr>
                <w:rFonts w:ascii="Times New Roman" w:hAnsi="Times New Roman" w:cs="Times New Roman"/>
              </w:rPr>
              <w:br/>
              <w:t xml:space="preserve">   * → **Lower Attachment of the Vesicovaginal Fascia/Ligaments:** Continued downward dissection is needed to separate the bladder fascia from the lateral vaginal wall.</w:t>
            </w:r>
            <w:r w:rsidRPr="00CB2EC4">
              <w:rPr>
                <w:rFonts w:ascii="Times New Roman" w:hAnsi="Times New Roman" w:cs="Times New Roman"/>
              </w:rPr>
              <w:br/>
              <w:t xml:space="preserve">   * → **Urethrovaginal Septum/Ligaments:** In cases where the urethra is preserved, careful dissection of this structure is necessary to protect urethral integrity; if the urethra is to be resected, transection is required.</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3. **Lower Segment (Near the Perineal Body/Urethral Meatus/Vaginal Introitus):**</w:t>
            </w:r>
            <w:r w:rsidRPr="00CB2EC4">
              <w:rPr>
                <w:rFonts w:ascii="Times New Roman" w:hAnsi="Times New Roman" w:cs="Times New Roman"/>
              </w:rPr>
              <w:br/>
              <w:t xml:space="preserve">   * → **Urethrovaginal Ligaments:** These must be transected to free the connection between the urethra and the lower anterior vaginal wall.</w:t>
            </w:r>
            <w:r w:rsidRPr="00CB2EC4">
              <w:rPr>
                <w:rFonts w:ascii="Times New Roman" w:hAnsi="Times New Roman" w:cs="Times New Roman"/>
              </w:rPr>
              <w:br/>
              <w:t xml:space="preserve">   * → **Central Tendon of the Perineum:** Partial incision or separation of its attachment to the lower posterior vaginal wall is required.</w:t>
            </w:r>
            <w:r w:rsidRPr="00CB2EC4">
              <w:rPr>
                <w:rFonts w:ascii="Times New Roman" w:hAnsi="Times New Roman" w:cs="Times New Roman"/>
              </w:rPr>
              <w:br/>
              <w:t xml:space="preserve">   * → **Pubococcygeus and Iliococcygeus Muscle Attachments to the Perineal Body and Vagina:** The direct muscle fiber attachments to the lower lateral vaginal wall must be transected.</w:t>
            </w:r>
            <w:r w:rsidRPr="00CB2EC4">
              <w:rPr>
                <w:rFonts w:ascii="Times New Roman" w:hAnsi="Times New Roman" w:cs="Times New Roman"/>
              </w:rPr>
              <w:br/>
              <w:t xml:space="preserve">   * → **Bulbospongiosus, Superficial and Deep Transverse Perineal Muscles:** These perineal muscles encircle the vaginal introitus and urethra; their fibers attached to the vaginal wall must be transected based on the surgical extent (partial or total vaginectomy).</w:t>
            </w:r>
            <w:r w:rsidRPr="00CB2EC4">
              <w:rPr>
                <w:rFonts w:ascii="Times New Roman" w:hAnsi="Times New Roman" w:cs="Times New Roman"/>
              </w:rPr>
              <w:br/>
              <w:t xml:space="preserve">   * → **Ischiocavernosus Muscles:** Attached to the crus of the clitoris and ischial ramus, their lower fibers may require partial separation to fully free the vaginal vestibule.</w:t>
            </w:r>
            <w:r w:rsidRPr="00CB2EC4">
              <w:rPr>
                <w:rFonts w:ascii="Times New Roman" w:hAnsi="Times New Roman" w:cs="Times New Roman"/>
              </w:rPr>
              <w:br/>
              <w:t xml:space="preserve">   * → **Lower Posterior Wall of the Rectovaginal Septum:** Continued downward dissection is needed to separate the fascial connection between the rectum and the posterior vaginal wall until reaching the level of the perineal body.</w:t>
            </w:r>
            <w:r w:rsidRPr="00CB2EC4">
              <w:rPr>
                <w:rFonts w:ascii="Times New Roman" w:hAnsi="Times New Roman" w:cs="Times New Roman"/>
              </w:rPr>
              <w:br/>
            </w:r>
            <w:r w:rsidRPr="00CB2EC4">
              <w:rPr>
                <w:rFonts w:ascii="Times New Roman" w:hAnsi="Times New Roman" w:cs="Times New Roman"/>
              </w:rPr>
              <w:br/>
              <w:t xml:space="preserve">**Key Objective:** Complete, circumferential dissection of the entire vaginal wall (anterior, posterior, lateral, superior, and inferior) from its surrounding ligaments, fascia, pelvic wall muscles, and adjacent organs (bladder, urethra, rectum) to form a "vaginal cuff," ensuring negative margins and </w:t>
            </w:r>
            <w:r w:rsidRPr="00CB2EC4">
              <w:rPr>
                <w:rFonts w:ascii="Times New Roman" w:hAnsi="Times New Roman" w:cs="Times New Roman"/>
              </w:rPr>
              <w:lastRenderedPageBreak/>
              <w:t>avoiding tissue avulsion.</w:t>
            </w:r>
          </w:p>
        </w:tc>
        <w:tc>
          <w:tcPr>
            <w:tcW w:w="1152" w:type="dxa"/>
            <w:vAlign w:val="center"/>
          </w:tcPr>
          <w:p w14:paraId="173574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8B01F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7ABF9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D7E2A79" w14:textId="77777777">
        <w:tc>
          <w:tcPr>
            <w:tcW w:w="2160" w:type="dxa"/>
            <w:vAlign w:val="center"/>
          </w:tcPr>
          <w:p w14:paraId="3B15E33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51BB42CC"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found in the provided document regarding the specific ligaments or muscle tissues to be divided and managed at the upper, middle, and lower segments of the vagina during a total vaginectomy.</w:t>
            </w:r>
          </w:p>
        </w:tc>
        <w:tc>
          <w:tcPr>
            <w:tcW w:w="1152" w:type="dxa"/>
            <w:vAlign w:val="center"/>
          </w:tcPr>
          <w:p w14:paraId="17FE69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61B47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F849C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2353598" w14:textId="77777777">
        <w:tc>
          <w:tcPr>
            <w:tcW w:w="2160" w:type="dxa"/>
            <w:vAlign w:val="center"/>
          </w:tcPr>
          <w:p w14:paraId="3C302AB1"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EE28DC3" w14:textId="77777777" w:rsidR="00922249" w:rsidRPr="00CB2EC4" w:rsidRDefault="003011D5">
            <w:pPr>
              <w:rPr>
                <w:rFonts w:ascii="Times New Roman" w:hAnsi="Times New Roman" w:cs="Times New Roman"/>
              </w:rPr>
            </w:pPr>
            <w:r w:rsidRPr="00CB2EC4">
              <w:rPr>
                <w:rFonts w:ascii="Times New Roman" w:hAnsi="Times New Roman" w:cs="Times New Roman"/>
              </w:rPr>
              <w:t>During a total vaginectomy, to completely dissect the vaginal cuff, the following critical ligaments or muscular structures must be transected and managed at the upper, middle, and lower segments of the vagina:</w:t>
            </w:r>
            <w:r w:rsidRPr="00CB2EC4">
              <w:rPr>
                <w:rFonts w:ascii="Times New Roman" w:hAnsi="Times New Roman" w:cs="Times New Roman"/>
              </w:rPr>
              <w:br/>
            </w:r>
            <w:r w:rsidRPr="00CB2EC4">
              <w:rPr>
                <w:rFonts w:ascii="Times New Roman" w:hAnsi="Times New Roman" w:cs="Times New Roman"/>
              </w:rPr>
              <w:br/>
              <w:t xml:space="preserve">- **Upper Segment (Near the Cervix/Vaginal Fornix Region)**:  </w:t>
            </w:r>
            <w:r w:rsidRPr="00CB2EC4">
              <w:rPr>
                <w:rFonts w:ascii="Times New Roman" w:hAnsi="Times New Roman" w:cs="Times New Roman"/>
              </w:rPr>
              <w:br/>
              <w:t xml:space="preserve">  → Transect the **pubocervical ligament** to separate the bladder from the upper vagina.  </w:t>
            </w:r>
            <w:r w:rsidRPr="00CB2EC4">
              <w:rPr>
                <w:rFonts w:ascii="Times New Roman" w:hAnsi="Times New Roman" w:cs="Times New Roman"/>
              </w:rPr>
              <w:br/>
              <w:t xml:space="preserve">  → Transect the **uterosacral ligament** to free the connection between the posterior vaginal fornix and the sacrum.  </w:t>
            </w:r>
            <w:r w:rsidRPr="00CB2EC4">
              <w:rPr>
                <w:rFonts w:ascii="Times New Roman" w:hAnsi="Times New Roman" w:cs="Times New Roman"/>
              </w:rPr>
              <w:br/>
              <w:t xml:space="preserve">  → Dissect the **cardinal ligament** (also known as the transverse cervical ligament), located at the lateral vaginal fornix, which contains the uterine artery, vein, and branches of the autonomic nerves. Careful ligation and transection are required to fully detach the paravaginal tissue.  </w:t>
            </w:r>
            <w:r w:rsidRPr="00CB2EC4">
              <w:rPr>
                <w:rFonts w:ascii="Times New Roman" w:hAnsi="Times New Roman" w:cs="Times New Roman"/>
              </w:rPr>
              <w:br/>
            </w:r>
            <w:r w:rsidRPr="00CB2EC4">
              <w:rPr>
                <w:rFonts w:ascii="Times New Roman" w:hAnsi="Times New Roman" w:cs="Times New Roman"/>
              </w:rPr>
              <w:br/>
              <w:t xml:space="preserve">- **Middle Segment (Upper to Mid-Vaginal Lateral Wall)**:  </w:t>
            </w:r>
            <w:r w:rsidRPr="00CB2EC4">
              <w:rPr>
                <w:rFonts w:ascii="Times New Roman" w:hAnsi="Times New Roman" w:cs="Times New Roman"/>
              </w:rPr>
              <w:br/>
              <w:t xml:space="preserve">  → Sharply or bluntly dissect the **arcuate vascular fascia** (fascial arch) and overlying connective tissue along the vaginal lateral wall, exposing and transecting the continuation of the **vesicovaginal fascia**.  </w:t>
            </w:r>
            <w:r w:rsidRPr="00CB2EC4">
              <w:rPr>
                <w:rFonts w:ascii="Times New Roman" w:hAnsi="Times New Roman" w:cs="Times New Roman"/>
              </w:rPr>
              <w:br/>
            </w:r>
            <w:r w:rsidRPr="00CB2EC4">
              <w:rPr>
                <w:rFonts w:ascii="Times New Roman" w:hAnsi="Times New Roman" w:cs="Times New Roman"/>
              </w:rPr>
              <w:lastRenderedPageBreak/>
              <w:t xml:space="preserve">  → Manage the **paraurethral ligaments/tissue**, particularly noting their attachments during urethral preservation procedures.  </w:t>
            </w:r>
            <w:r w:rsidRPr="00CB2EC4">
              <w:rPr>
                <w:rFonts w:ascii="Times New Roman" w:hAnsi="Times New Roman" w:cs="Times New Roman"/>
              </w:rPr>
              <w:br/>
              <w:t xml:space="preserve">  → Dissect and transect the **vaginal lateral ligaments**, which are thickened portions of the pelvic fascia connecting the mid-vagina to the lateral pelvic wall.  </w:t>
            </w:r>
            <w:r w:rsidRPr="00CB2EC4">
              <w:rPr>
                <w:rFonts w:ascii="Times New Roman" w:hAnsi="Times New Roman" w:cs="Times New Roman"/>
              </w:rPr>
              <w:br/>
            </w:r>
            <w:r w:rsidRPr="00CB2EC4">
              <w:rPr>
                <w:rFonts w:ascii="Times New Roman" w:hAnsi="Times New Roman" w:cs="Times New Roman"/>
              </w:rPr>
              <w:br/>
              <w:t xml:space="preserve">- **Lower Segment (Vaginal Vestibule and Perineal Region)**:  </w:t>
            </w:r>
            <w:r w:rsidRPr="00CB2EC4">
              <w:rPr>
                <w:rFonts w:ascii="Times New Roman" w:hAnsi="Times New Roman" w:cs="Times New Roman"/>
              </w:rPr>
              <w:br/>
              <w:t xml:space="preserve">  → Transect the **central tendon of the perineum** and its attached **bulbospongiosus muscle** and **ischiocavernosus muscle**.  </w:t>
            </w:r>
            <w:r w:rsidRPr="00CB2EC4">
              <w:rPr>
                <w:rFonts w:ascii="Times New Roman" w:hAnsi="Times New Roman" w:cs="Times New Roman"/>
              </w:rPr>
              <w:br/>
              <w:t xml:space="preserve">  → Dissect and transect the **levator ani muscle** fibers attached to the lateral wall of the lower vagina, particularly the puborectalis and pubococcygeus portions.  </w:t>
            </w:r>
            <w:r w:rsidRPr="00CB2EC4">
              <w:rPr>
                <w:rFonts w:ascii="Times New Roman" w:hAnsi="Times New Roman" w:cs="Times New Roman"/>
              </w:rPr>
              <w:br/>
              <w:t xml:space="preserve">  → Transect the **external urethral sphincter** and surrounding fascia (e.g., superficial perineal fascia) to ensure complete distal vaginal cuff dissection.  </w:t>
            </w:r>
            <w:r w:rsidRPr="00CB2EC4">
              <w:rPr>
                <w:rFonts w:ascii="Times New Roman" w:hAnsi="Times New Roman" w:cs="Times New Roman"/>
              </w:rPr>
              <w:br/>
            </w:r>
            <w:r w:rsidRPr="00CB2EC4">
              <w:rPr>
                <w:rFonts w:ascii="Times New Roman" w:hAnsi="Times New Roman" w:cs="Times New Roman"/>
              </w:rPr>
              <w:br/>
              <w:t>Note: The above procedures must be performed in conjunction with anatomical layers, utilizing blunt dissection in the rectovaginal space (posterior wall) and vesicovaginal space (anterior wall) while protecting adjacent structures (e.g., rectum, urethra, pelvic plexus). The vaginal cuff should ultimately be dissected completely from top to bottom, with the sequence of ligament/muscle transection adjusted based on the surgical approach.</w:t>
            </w:r>
          </w:p>
        </w:tc>
        <w:tc>
          <w:tcPr>
            <w:tcW w:w="1152" w:type="dxa"/>
            <w:vAlign w:val="center"/>
          </w:tcPr>
          <w:p w14:paraId="746533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985EC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1DD4F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BAA5C9E" w14:textId="77777777">
        <w:tc>
          <w:tcPr>
            <w:tcW w:w="2160" w:type="dxa"/>
            <w:vAlign w:val="center"/>
          </w:tcPr>
          <w:p w14:paraId="3E55D3AC"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DA643F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total vaginectomy, to achieve complete dissection of the vaginal cuff, the following key ligamentous and muscular structures must be divided and managed at the upper, middle, and lower vaginal </w:t>
            </w:r>
            <w:r w:rsidRPr="00CB2EC4">
              <w:rPr>
                <w:rFonts w:ascii="Times New Roman" w:hAnsi="Times New Roman" w:cs="Times New Roman"/>
              </w:rPr>
              <w:lastRenderedPageBreak/>
              <w:t>segments:</w:t>
            </w:r>
            <w:r w:rsidRPr="00CB2EC4">
              <w:rPr>
                <w:rFonts w:ascii="Times New Roman" w:hAnsi="Times New Roman" w:cs="Times New Roman"/>
              </w:rPr>
              <w:br/>
            </w:r>
            <w:r w:rsidRPr="00CB2EC4">
              <w:rPr>
                <w:rFonts w:ascii="Times New Roman" w:hAnsi="Times New Roman" w:cs="Times New Roman"/>
              </w:rPr>
              <w:br/>
              <w:t>- **Upper segment (proximal, near cervical end):**</w:t>
            </w:r>
            <w:r w:rsidRPr="00CB2EC4">
              <w:rPr>
                <w:rFonts w:ascii="Times New Roman" w:hAnsi="Times New Roman" w:cs="Times New Roman"/>
              </w:rPr>
              <w:br/>
              <w:t xml:space="preserve">  - Cervicovesical ligament (dissection involves separating the anterior vaginal wall, cutting connective tissue and muscle fibers, entering the vesicovaginal space, dividing the cervicovesical ligament, and suturing/ligation)</w:t>
            </w:r>
            <w:r w:rsidRPr="00CB2EC4">
              <w:rPr>
                <w:rFonts w:ascii="Times New Roman" w:hAnsi="Times New Roman" w:cs="Times New Roman"/>
              </w:rPr>
              <w:br/>
              <w:t xml:space="preserve">  - Vesicovaginal space separation: bluntly develop the vesicovaginal space, incise the connective tissue between the bladder-cervix fascia, retract the bladder</w:t>
            </w:r>
            <w:r w:rsidRPr="00CB2EC4">
              <w:rPr>
                <w:rFonts w:ascii="Times New Roman" w:hAnsi="Times New Roman" w:cs="Times New Roman"/>
              </w:rPr>
              <w:br/>
              <w:t xml:space="preserve">  - Rectovaginal space and peritoneal reflection: dissect posteriorly and superiorly into the rectovaginal space to reach the peritoneal reflection at the uterorectal pouch</w:t>
            </w:r>
            <w:r w:rsidRPr="00CB2EC4">
              <w:rPr>
                <w:rFonts w:ascii="Times New Roman" w:hAnsi="Times New Roman" w:cs="Times New Roman"/>
              </w:rPr>
              <w:br/>
            </w:r>
            <w:r w:rsidRPr="00CB2EC4">
              <w:rPr>
                <w:rFonts w:ascii="Times New Roman" w:hAnsi="Times New Roman" w:cs="Times New Roman"/>
              </w:rPr>
              <w:br/>
              <w:t>- **Middle segment (paravaginal area):**</w:t>
            </w:r>
            <w:r w:rsidRPr="00CB2EC4">
              <w:rPr>
                <w:rFonts w:ascii="Times New Roman" w:hAnsi="Times New Roman" w:cs="Times New Roman"/>
              </w:rPr>
              <w:br/>
              <w:t xml:space="preserve">  - Paravaginal tissues: dissect laterally toward the pelvic sidewall, divide and suture/ligate the paravaginal tissues (including distal portions of the cardinal ligament and uterosacral ligament)</w:t>
            </w:r>
            <w:r w:rsidRPr="00CB2EC4">
              <w:rPr>
                <w:rFonts w:ascii="Times New Roman" w:hAnsi="Times New Roman" w:cs="Times New Roman"/>
              </w:rPr>
              <w:br/>
            </w:r>
            <w:r w:rsidRPr="00CB2EC4">
              <w:rPr>
                <w:rFonts w:ascii="Times New Roman" w:hAnsi="Times New Roman" w:cs="Times New Roman"/>
              </w:rPr>
              <w:br/>
              <w:t>- **Lower segment (distal, near vaginal orifice):**</w:t>
            </w:r>
            <w:r w:rsidRPr="00CB2EC4">
              <w:rPr>
                <w:rFonts w:ascii="Times New Roman" w:hAnsi="Times New Roman" w:cs="Times New Roman"/>
              </w:rPr>
              <w:br/>
              <w:t xml:space="preserve">  - Perineal muscles: including bulbospongiosus muscle and part of the levator ani muscle (as referenced in Schuchardt incision: local involvement of perineal skin, subcutaneous tissue, fat, vaginal mucosa, bulbospongiosus, and partial levator ani)</w:t>
            </w:r>
            <w:r w:rsidRPr="00CB2EC4">
              <w:rPr>
                <w:rFonts w:ascii="Times New Roman" w:hAnsi="Times New Roman" w:cs="Times New Roman"/>
              </w:rPr>
              <w:br/>
              <w:t xml:space="preserve">  - Circumferential vaginal wall incision: made at least 3 cm distal to the tumor margin, full-thickness ring incision of the vaginal wall</w:t>
            </w:r>
            <w:r w:rsidRPr="00CB2EC4">
              <w:rPr>
                <w:rFonts w:ascii="Times New Roman" w:hAnsi="Times New Roman" w:cs="Times New Roman"/>
              </w:rPr>
              <w:br/>
              <w:t xml:space="preserve">  - Dissection of paravaginal tissues: continued to form the vaginal "sleeve"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**Summary:** Although the document does not strictly segment the procedure into upper, middle, and lower thirds, complete cuff dissection requires management of the cervicovesical ligament (upper), paravaginal tissues including cardinal ligaments (middle), and perineal muscles such as the bulbospongiosus (lower).</w:t>
            </w:r>
          </w:p>
        </w:tc>
        <w:tc>
          <w:tcPr>
            <w:tcW w:w="1152" w:type="dxa"/>
            <w:vAlign w:val="center"/>
          </w:tcPr>
          <w:p w14:paraId="6E89B2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39737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B273F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9384252" w14:textId="77777777">
        <w:tc>
          <w:tcPr>
            <w:tcW w:w="2160" w:type="dxa"/>
            <w:vAlign w:val="center"/>
          </w:tcPr>
          <w:p w14:paraId="11AFE82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2469CFF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performing a total vaginectomy, to achieve complete dissection of the vaginal cuff, the following key ligamentous or muscular structures must be divided and managed at the respective vaginal segments:  </w:t>
            </w:r>
            <w:r w:rsidRPr="00CB2EC4">
              <w:rPr>
                <w:rFonts w:ascii="Times New Roman" w:hAnsi="Times New Roman" w:cs="Times New Roman"/>
              </w:rPr>
              <w:br/>
              <w:t xml:space="preserve">- Lower vaginal segment (approximately lower 1/3): divide and suture-ligate the posterior part of the urogenital diaphragm (urogenital diaphragm posterior), where the tissue is relatively thin.  </w:t>
            </w:r>
            <w:r w:rsidRPr="00CB2EC4">
              <w:rPr>
                <w:rFonts w:ascii="Times New Roman" w:hAnsi="Times New Roman" w:cs="Times New Roman"/>
              </w:rPr>
              <w:br/>
              <w:t xml:space="preserve">- Middle vaginal segment (approximately middle 1/3): divide and suture-ligate the puborectalis muscle (muscle fibers attached to the vaginal fascia).  </w:t>
            </w:r>
            <w:r w:rsidRPr="00CB2EC4">
              <w:rPr>
                <w:rFonts w:ascii="Times New Roman" w:hAnsi="Times New Roman" w:cs="Times New Roman"/>
              </w:rPr>
              <w:br/>
              <w:t xml:space="preserve">- Upper vaginal segment (approximately upper 1/3): clamp, suture-ligate the cardinal ligaments (located laterally), and divide and ligate the uterosacral ligaments medial to the cardinal ligaments.  </w:t>
            </w:r>
            <w:r w:rsidRPr="00CB2EC4">
              <w:rPr>
                <w:rFonts w:ascii="Times New Roman" w:hAnsi="Times New Roman" w:cs="Times New Roman"/>
              </w:rPr>
              <w:br/>
              <w:t>These steps ensure the vaginal cuff is formed intact and minimize bleeding risk.</w:t>
            </w:r>
          </w:p>
        </w:tc>
        <w:tc>
          <w:tcPr>
            <w:tcW w:w="1152" w:type="dxa"/>
            <w:vAlign w:val="center"/>
          </w:tcPr>
          <w:p w14:paraId="0A5C58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CD45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FAEB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14AF36" w14:textId="77777777">
        <w:tc>
          <w:tcPr>
            <w:tcW w:w="2160" w:type="dxa"/>
            <w:vAlign w:val="center"/>
          </w:tcPr>
          <w:p w14:paraId="2E55425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7DEFBCB" w14:textId="77777777" w:rsidR="00922249" w:rsidRPr="00CB2EC4" w:rsidRDefault="003011D5">
            <w:pPr>
              <w:rPr>
                <w:rFonts w:ascii="Times New Roman" w:hAnsi="Times New Roman" w:cs="Times New Roman"/>
              </w:rPr>
            </w:pPr>
            <w:r w:rsidRPr="00CB2EC4">
              <w:rPr>
                <w:rFonts w:ascii="Times New Roman" w:hAnsi="Times New Roman" w:cs="Times New Roman"/>
              </w:rPr>
              <w:t>During a total vaginectomy, to completely dissect the vaginal cuff, the following key ligaments or muscular structures must be transected and managed at the upper, middle, and lower segments of the vagina:</w:t>
            </w:r>
            <w:r w:rsidRPr="00CB2EC4">
              <w:rPr>
                <w:rFonts w:ascii="Times New Roman" w:hAnsi="Times New Roman" w:cs="Times New Roman"/>
              </w:rPr>
              <w:br/>
            </w:r>
            <w:r w:rsidRPr="00CB2EC4">
              <w:rPr>
                <w:rFonts w:ascii="Times New Roman" w:hAnsi="Times New Roman" w:cs="Times New Roman"/>
              </w:rPr>
              <w:br/>
              <w:t>1. **Upper Segment (Vaginal Fornix Region):**</w:t>
            </w:r>
            <w:r w:rsidRPr="00CB2EC4">
              <w:rPr>
                <w:rFonts w:ascii="Times New Roman" w:hAnsi="Times New Roman" w:cs="Times New Roman"/>
              </w:rPr>
              <w:br/>
              <w:t xml:space="preserve">   - **Cardinal Ligaments (Transverse Cervical Ligaments):** Located bilaterally at the vaginal </w:t>
            </w:r>
            <w:r w:rsidRPr="00CB2EC4">
              <w:rPr>
                <w:rFonts w:ascii="Times New Roman" w:hAnsi="Times New Roman" w:cs="Times New Roman"/>
              </w:rPr>
              <w:lastRenderedPageBreak/>
              <w:t>fornix, extending laterally to the pelvic sidewall. Must be transected to free the superior and lateral attachments of the vaginal fornix.</w:t>
            </w:r>
            <w:r w:rsidRPr="00CB2EC4">
              <w:rPr>
                <w:rFonts w:ascii="Times New Roman" w:hAnsi="Times New Roman" w:cs="Times New Roman"/>
              </w:rPr>
              <w:br/>
              <w:t xml:space="preserve">   - **Sacrouterine Ligaments:** Fibromuscular ligaments connecting the posterior-superior wall of the vaginal fornix to the presacral fascia. Must be transected to free the superior edge of the posterior vaginal fornix.</w:t>
            </w:r>
            <w:r w:rsidRPr="00CB2EC4">
              <w:rPr>
                <w:rFonts w:ascii="Times New Roman" w:hAnsi="Times New Roman" w:cs="Times New Roman"/>
              </w:rPr>
              <w:br/>
              <w:t xml:space="preserve">   - **Pubocervical Ligaments (Vesicouterine Ligaments):** Fibromuscular bundles connecting the bladder neck/anterior vaginal wall to the posterior aspect of the pubic symphysis. Their attachments to the anterior vaginal wall must be sharply or bluntly dissected and transected.</w:t>
            </w:r>
            <w:r w:rsidRPr="00CB2EC4">
              <w:rPr>
                <w:rFonts w:ascii="Times New Roman" w:hAnsi="Times New Roman" w:cs="Times New Roman"/>
              </w:rPr>
              <w:br/>
              <w:t xml:space="preserve">   - **Rectovaginal Septum (Rectovaginal Fascia):** A dense connective tissue septum between the posterior vaginal wall and the anterior rectal wall. Sharp dissection along this plane is required to separate the rectum from the posterior vaginal wall.</w:t>
            </w:r>
            <w:r w:rsidRPr="00CB2EC4">
              <w:rPr>
                <w:rFonts w:ascii="Times New Roman" w:hAnsi="Times New Roman" w:cs="Times New Roman"/>
              </w:rPr>
              <w:br/>
              <w:t xml:space="preserve">   - **Round Ligaments of the Uterus:** If the uterus has been removed, their remnants (typically attached to the anterolateral vaginal fornix) must be ligated and transected.</w:t>
            </w:r>
            <w:r w:rsidRPr="00CB2EC4">
              <w:rPr>
                <w:rFonts w:ascii="Times New Roman" w:hAnsi="Times New Roman" w:cs="Times New Roman"/>
              </w:rPr>
              <w:br/>
            </w:r>
            <w:r w:rsidRPr="00CB2EC4">
              <w:rPr>
                <w:rFonts w:ascii="Times New Roman" w:hAnsi="Times New Roman" w:cs="Times New Roman"/>
              </w:rPr>
              <w:br/>
              <w:t>2. **Middle Segment (Lateral Vaginal Wall):**</w:t>
            </w:r>
            <w:r w:rsidRPr="00CB2EC4">
              <w:rPr>
                <w:rFonts w:ascii="Times New Roman" w:hAnsi="Times New Roman" w:cs="Times New Roman"/>
              </w:rPr>
              <w:br/>
              <w:t xml:space="preserve">   - **Cardinal Ligaments (Continuation):** Continue distally along the middle segment of the lateral vaginal wall to dissect and transect the distal fibers of the cardinal ligaments until reaching the level of the pelvic diaphragm.</w:t>
            </w:r>
            <w:r w:rsidRPr="00CB2EC4">
              <w:rPr>
                <w:rFonts w:ascii="Times New Roman" w:hAnsi="Times New Roman" w:cs="Times New Roman"/>
              </w:rPr>
              <w:br/>
              <w:t xml:space="preserve">   - **Vesicovaginal Ligaments (Bladder Pillars):** Fibrous bundles located bilaterally at the middle segment of the anterior vaginal wall, connecting the bladder to the vagina. Must be carefully dissected and </w:t>
            </w:r>
            <w:r w:rsidRPr="00CB2EC4">
              <w:rPr>
                <w:rFonts w:ascii="Times New Roman" w:hAnsi="Times New Roman" w:cs="Times New Roman"/>
              </w:rPr>
              <w:lastRenderedPageBreak/>
              <w:t>transected.</w:t>
            </w:r>
            <w:r w:rsidRPr="00CB2EC4">
              <w:rPr>
                <w:rFonts w:ascii="Times New Roman" w:hAnsi="Times New Roman" w:cs="Times New Roman"/>
              </w:rPr>
              <w:br/>
              <w:t xml:space="preserve">   - **Lateral Rectal Ligaments (Continuation of Rectovaginal Fascia):** Fascial attachments of the rectum at the lateral aspect of the middle segment of the posterior vaginal wall. Must be sharply dissected and transected.</w:t>
            </w:r>
            <w:r w:rsidRPr="00CB2EC4">
              <w:rPr>
                <w:rFonts w:ascii="Times New Roman" w:hAnsi="Times New Roman" w:cs="Times New Roman"/>
              </w:rPr>
              <w:br/>
              <w:t xml:space="preserve">   - **Superior Fascia of the Pelvic Diaphragm and Muscular Attachments:** The middle-lower segment of the lateral vaginal wall is attached to the superior fascia of the pelvic diaphragm and pelvic diaphragm muscles (primarily the pubococcygeus muscle). Sharp or blunt dissection is required to free the lateral vaginal wall.</w:t>
            </w:r>
            <w:r w:rsidRPr="00CB2EC4">
              <w:rPr>
                <w:rFonts w:ascii="Times New Roman" w:hAnsi="Times New Roman" w:cs="Times New Roman"/>
              </w:rPr>
              <w:br/>
            </w:r>
            <w:r w:rsidRPr="00CB2EC4">
              <w:rPr>
                <w:rFonts w:ascii="Times New Roman" w:hAnsi="Times New Roman" w:cs="Times New Roman"/>
              </w:rPr>
              <w:br/>
              <w:t>3. **Lower Segment (Vaginal Vestibule and Perineal Body Region):**</w:t>
            </w:r>
            <w:r w:rsidRPr="00CB2EC4">
              <w:rPr>
                <w:rFonts w:ascii="Times New Roman" w:hAnsi="Times New Roman" w:cs="Times New Roman"/>
              </w:rPr>
              <w:br/>
              <w:t xml:space="preserve">   - **Urethrovaginal Septum (Pubovesical Ligaments):** A dense fibrous tissue septum between the urethra and the lower segment of the anterior vaginal wall. Dissection along this plane is required to transect its connections.</w:t>
            </w:r>
            <w:r w:rsidRPr="00CB2EC4">
              <w:rPr>
                <w:rFonts w:ascii="Times New Roman" w:hAnsi="Times New Roman" w:cs="Times New Roman"/>
              </w:rPr>
              <w:br/>
              <w:t xml:space="preserve">   - **Perineal Body (Central Tendon of the Perineum):** The lower segment of the posterior vaginal wall (perineal body) is firmly attached to the perineal body. Sharp or blunt dissection is required to completely separate the lower posterior vaginal wall from the perineal body.</w:t>
            </w:r>
            <w:r w:rsidRPr="00CB2EC4">
              <w:rPr>
                <w:rFonts w:ascii="Times New Roman" w:hAnsi="Times New Roman" w:cs="Times New Roman"/>
              </w:rPr>
              <w:br/>
              <w:t xml:space="preserve">   - **Levator Ani Muscle (Pelvic Diaphragm Muscle) Attachments:** The fascial and muscular attachments of the lower segment of the lateral vaginal wall to the levator ani muscles (pubococcygeus and iliococcygeus muscles) must be completely dissected and transected.</w:t>
            </w:r>
            <w:r w:rsidRPr="00CB2EC4">
              <w:rPr>
                <w:rFonts w:ascii="Times New Roman" w:hAnsi="Times New Roman" w:cs="Times New Roman"/>
              </w:rPr>
              <w:br/>
              <w:t xml:space="preserve">   - **Bulbospongiosus Muscles:** Muscles covering the bilateral entrance of the vaginal vestibule, with </w:t>
            </w:r>
            <w:r w:rsidRPr="00CB2EC4">
              <w:rPr>
                <w:rFonts w:ascii="Times New Roman" w:hAnsi="Times New Roman" w:cs="Times New Roman"/>
              </w:rPr>
              <w:lastRenderedPageBreak/>
              <w:t>medial attachments to the mucosa and fascia around the vaginal orifice. Their connections to the vagina must be transected.</w:t>
            </w:r>
            <w:r w:rsidRPr="00CB2EC4">
              <w:rPr>
                <w:rFonts w:ascii="Times New Roman" w:hAnsi="Times New Roman" w:cs="Times New Roman"/>
              </w:rPr>
              <w:br/>
              <w:t xml:space="preserve">   - **Ischiocavernosus Muscles:** Located near the ischial tuberosities, primarily attached to the crura of the clitoris, with indirect attachments to the tissues around the vaginal orifice. Their attachments are typically managed during the dissection of the soft tissues around the vaginal orifice.</w:t>
            </w:r>
            <w:r w:rsidRPr="00CB2EC4">
              <w:rPr>
                <w:rFonts w:ascii="Times New Roman" w:hAnsi="Times New Roman" w:cs="Times New Roman"/>
              </w:rPr>
              <w:br/>
              <w:t xml:space="preserve">   - **Superficial Transverse Perineal Muscles:** Muscles connecting the ischial tuberosities, whose fascia may be attached to the lateral wall of the lower vaginal segment. Must be dissected and transected.</w:t>
            </w:r>
            <w:r w:rsidRPr="00CB2EC4">
              <w:rPr>
                <w:rFonts w:ascii="Times New Roman" w:hAnsi="Times New Roman" w:cs="Times New Roman"/>
              </w:rPr>
              <w:br/>
              <w:t xml:space="preserve">   - **Paravaginal Tissue:** Blood vessels and nerve plexuses within the loose connective tissue between the lower segment of the lateral vaginal wall and the pelvic diaphragm fascia/muscles must be carefully ligated or coagulated.</w:t>
            </w:r>
            <w:r w:rsidRPr="00CB2EC4">
              <w:rPr>
                <w:rFonts w:ascii="Times New Roman" w:hAnsi="Times New Roman" w:cs="Times New Roman"/>
              </w:rPr>
              <w:br/>
            </w:r>
            <w:r w:rsidRPr="00CB2EC4">
              <w:rPr>
                <w:rFonts w:ascii="Times New Roman" w:hAnsi="Times New Roman" w:cs="Times New Roman"/>
              </w:rPr>
              <w:br/>
              <w:t>→ **Dissection Sequence:** Typically, the upper segment (fornix) ligaments (cardinal ligaments, sacrouterine ligaments, pubocervical ligaments, rectovaginal septum) are addressed first, followed by dissection along the middle segment lateral wall (distal cardinal ligaments, vesicovaginal ligaments, lateral rectal ligaments, and pelvic diaphragm attachments). Finally, the lower segment (perineal body, urethrovaginal septum, pelvic diaphragm muscles, and surrounding muscular attachments) is managed. Hemostasis must be maintained throughout, and adjacent structures (urethra, bladder, rectum) must be protected.</w:t>
            </w:r>
          </w:p>
        </w:tc>
        <w:tc>
          <w:tcPr>
            <w:tcW w:w="1152" w:type="dxa"/>
            <w:vAlign w:val="center"/>
          </w:tcPr>
          <w:p w14:paraId="606E5B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4C11B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F3980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12B2415" w14:textId="77777777">
        <w:tc>
          <w:tcPr>
            <w:tcW w:w="2160" w:type="dxa"/>
            <w:vAlign w:val="center"/>
          </w:tcPr>
          <w:p w14:paraId="209288A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309146E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performing a total vaginectomy, to completely dissect the vaginal cuff, the following key </w:t>
            </w:r>
            <w:r w:rsidRPr="00CB2EC4">
              <w:rPr>
                <w:rFonts w:ascii="Times New Roman" w:hAnsi="Times New Roman" w:cs="Times New Roman"/>
              </w:rPr>
              <w:lastRenderedPageBreak/>
              <w:t>ligamentous or muscular structures must be transected and managed at the upper, middle, and lower vaginal segments:</w:t>
            </w:r>
            <w:r w:rsidRPr="00CB2EC4">
              <w:rPr>
                <w:rFonts w:ascii="Times New Roman" w:hAnsi="Times New Roman" w:cs="Times New Roman"/>
              </w:rPr>
              <w:br/>
            </w:r>
            <w:r w:rsidRPr="00CB2EC4">
              <w:rPr>
                <w:rFonts w:ascii="Times New Roman" w:hAnsi="Times New Roman" w:cs="Times New Roman"/>
              </w:rPr>
              <w:br/>
              <w:t xml:space="preserve">- **Upper vagina**: Primarily involves transection and ligation of the **pubocervical ligament** (also referred to as the cervical-bladder ligament) when separating the anterior vaginal wall. This requires sharp dissection through connective tissue and muscle fibers to enter the vesicovaginal space, followed by cutting and suturing the pubocervical ligament.  </w:t>
            </w:r>
            <w:r w:rsidRPr="00CB2EC4">
              <w:rPr>
                <w:rFonts w:ascii="Times New Roman" w:hAnsi="Times New Roman" w:cs="Times New Roman"/>
              </w:rPr>
              <w:br/>
              <w:t xml:space="preserve">- **Middle vagina**: No specific unique ligament or structure is designated for the middle segment; however, the overall dissection involves sharp transection of paravaginal connective tissue and muscle fibers to mobilize the vaginal wall laterally.  </w:t>
            </w:r>
            <w:r w:rsidRPr="00CB2EC4">
              <w:rPr>
                <w:rFonts w:ascii="Times New Roman" w:hAnsi="Times New Roman" w:cs="Times New Roman"/>
              </w:rPr>
              <w:br/>
              <w:t>- **Lower vagina**: Primarily involves dissection of the **rectovaginal septum** (or rectovaginal space) along the posterior vaginal wall, extending to the posterior fornix. This may involve partial separation of the levator ani muscle, though no specific ligament is explicitly named in this segment.</w:t>
            </w:r>
            <w:r w:rsidRPr="00CB2EC4">
              <w:rPr>
                <w:rFonts w:ascii="Times New Roman" w:hAnsi="Times New Roman" w:cs="Times New Roman"/>
              </w:rPr>
              <w:br/>
            </w:r>
            <w:r w:rsidRPr="00CB2EC4">
              <w:rPr>
                <w:rFonts w:ascii="Times New Roman" w:hAnsi="Times New Roman" w:cs="Times New Roman"/>
              </w:rPr>
              <w:br/>
              <w:t xml:space="preserve">Key points:  </w:t>
            </w:r>
            <w:r w:rsidRPr="00CB2EC4">
              <w:rPr>
                <w:rFonts w:ascii="Times New Roman" w:hAnsi="Times New Roman" w:cs="Times New Roman"/>
              </w:rPr>
              <w:br/>
              <w:t xml:space="preserve">  - Anterior wall: Transect the pubocervical ligament.  </w:t>
            </w:r>
            <w:r w:rsidRPr="00CB2EC4">
              <w:rPr>
                <w:rFonts w:ascii="Times New Roman" w:hAnsi="Times New Roman" w:cs="Times New Roman"/>
              </w:rPr>
              <w:br/>
              <w:t xml:space="preserve">  - Posterior wall: Dissect the rectovaginal space (involving tissues related to the rectovaginal ligament, though not explicitly named).  </w:t>
            </w:r>
            <w:r w:rsidRPr="00CB2EC4">
              <w:rPr>
                <w:rFonts w:ascii="Times New Roman" w:hAnsi="Times New Roman" w:cs="Times New Roman"/>
              </w:rPr>
              <w:br/>
              <w:t xml:space="preserve">  - Lateral walls: No specific ligament named, but transect connective tissue and muscle fibers.  </w:t>
            </w:r>
            <w:r w:rsidRPr="00CB2EC4">
              <w:rPr>
                <w:rFonts w:ascii="Times New Roman" w:hAnsi="Times New Roman" w:cs="Times New Roman"/>
              </w:rPr>
              <w:br/>
            </w:r>
            <w:r w:rsidRPr="00CB2EC4">
              <w:rPr>
                <w:rFonts w:ascii="Times New Roman" w:hAnsi="Times New Roman" w:cs="Times New Roman"/>
              </w:rPr>
              <w:br/>
              <w:t xml:space="preserve">Basis: Surgical technique described in Document Fragment 29 (Relevance: 0.4330), detailing the steps for total vaginectomy including cuff formation. The </w:t>
            </w:r>
            <w:r w:rsidRPr="00CB2EC4">
              <w:rPr>
                <w:rFonts w:ascii="Times New Roman" w:hAnsi="Times New Roman" w:cs="Times New Roman"/>
              </w:rPr>
              <w:lastRenderedPageBreak/>
              <w:t>original text does not explicitly subdivide the procedure into upper, middle, and lower segments; this response organizes the information accordingly based on anatomical localization.</w:t>
            </w:r>
          </w:p>
        </w:tc>
        <w:tc>
          <w:tcPr>
            <w:tcW w:w="1152" w:type="dxa"/>
            <w:vAlign w:val="center"/>
          </w:tcPr>
          <w:p w14:paraId="505B17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1A5C5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F8CA1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4072107" w14:textId="77777777">
        <w:tc>
          <w:tcPr>
            <w:tcW w:w="2160" w:type="dxa"/>
            <w:vAlign w:val="center"/>
          </w:tcPr>
          <w:p w14:paraId="5F14105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1FC2F9B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total vaginectomy, to achieve complete dissection of the vaginal cuff, the following key ligamentous or muscular structures must be transected and managed at the respective vaginal segments:  </w:t>
            </w:r>
            <w:r w:rsidRPr="00CB2EC4">
              <w:rPr>
                <w:rFonts w:ascii="Times New Roman" w:hAnsi="Times New Roman" w:cs="Times New Roman"/>
              </w:rPr>
              <w:br/>
              <w:t xml:space="preserve">- Lower vaginal segment: Transect and suture-ligate the posterior portion of the urogenital diaphragm (source: "The bilateral aspects of the lower vaginal segment consist of the posterior portion of the urogenital diaphragm, which is relatively thin tissue and must be transected and suture-ligated").  </w:t>
            </w:r>
            <w:r w:rsidRPr="00CB2EC4">
              <w:rPr>
                <w:rFonts w:ascii="Times New Roman" w:hAnsi="Times New Roman" w:cs="Times New Roman"/>
              </w:rPr>
              <w:br/>
              <w:t xml:space="preserve">- Middle vaginal segment: Transect and suture-ligate the puborectalis muscle (source: "The lateral aspects of the middle vaginal segment contain the puborectalis muscle, with muscle fibers attached to the vaginal fascia, which should be transected and suture-ligated").  </w:t>
            </w:r>
            <w:r w:rsidRPr="00CB2EC4">
              <w:rPr>
                <w:rFonts w:ascii="Times New Roman" w:hAnsi="Times New Roman" w:cs="Times New Roman"/>
              </w:rPr>
              <w:br/>
              <w:t xml:space="preserve">- Upper one-third vaginal segment: Clamp and suture-ligate the cardinal ligament and uterosacral ligament (source: "The lateral aspects of the upper one-third vaginal segment contain the cardinal ligament, which should be clamped and suture-ligated"; and "The uterosacral ligament should be transected and ligated medial to the cardinal ligament").  </w:t>
            </w:r>
            <w:r w:rsidRPr="00CB2EC4">
              <w:rPr>
                <w:rFonts w:ascii="Times New Roman" w:hAnsi="Times New Roman" w:cs="Times New Roman"/>
              </w:rPr>
              <w:br/>
              <w:t>These steps ensure complete mobilization of the vaginal cuff while minimizing intraoperative bleeding and complications such as injury to the bladder or rectum.</w:t>
            </w:r>
          </w:p>
        </w:tc>
        <w:tc>
          <w:tcPr>
            <w:tcW w:w="1152" w:type="dxa"/>
            <w:vAlign w:val="center"/>
          </w:tcPr>
          <w:p w14:paraId="15F20E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2A34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2A26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22F32A" w14:textId="77777777">
        <w:tc>
          <w:tcPr>
            <w:tcW w:w="2160" w:type="dxa"/>
            <w:vAlign w:val="center"/>
          </w:tcPr>
          <w:p w14:paraId="508AFF7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F77E7E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performing a total vaginectomy, to achieve complete dissection of the vaginal cuff, the following </w:t>
            </w:r>
            <w:r w:rsidRPr="00CB2EC4">
              <w:rPr>
                <w:rFonts w:ascii="Times New Roman" w:hAnsi="Times New Roman" w:cs="Times New Roman"/>
              </w:rPr>
              <w:lastRenderedPageBreak/>
              <w:t>key ligamentous or muscular structures must be transected and managed at each segment of the vagina:</w:t>
            </w:r>
            <w:r w:rsidRPr="00CB2EC4">
              <w:rPr>
                <w:rFonts w:ascii="Times New Roman" w:hAnsi="Times New Roman" w:cs="Times New Roman"/>
              </w:rPr>
              <w:br/>
            </w:r>
            <w:r w:rsidRPr="00CB2EC4">
              <w:rPr>
                <w:rFonts w:ascii="Times New Roman" w:hAnsi="Times New Roman" w:cs="Times New Roman"/>
              </w:rPr>
              <w:br/>
              <w:t>- **Upper segment (proximal to cervix)**: Transect and manage the cardinal ligament and the uterosacral ligament; these ligaments provide primary support to the upper vagina and require careful ligation to prevent hemorrhage.</w:t>
            </w:r>
            <w:r w:rsidRPr="00CB2EC4">
              <w:rPr>
                <w:rFonts w:ascii="Times New Roman" w:hAnsi="Times New Roman" w:cs="Times New Roman"/>
              </w:rPr>
              <w:br/>
              <w:t>- **Middle segment (mid-vaginal portion)**: Transect and manage the pubocervical fascia and the rectovaginal septum; these structures connect the bladder and rectum, necessitating sharp dissection to protect adjacent organs.</w:t>
            </w:r>
            <w:r w:rsidRPr="00CB2EC4">
              <w:rPr>
                <w:rFonts w:ascii="Times New Roman" w:hAnsi="Times New Roman" w:cs="Times New Roman"/>
              </w:rPr>
              <w:br/>
              <w:t>- **Lower segment (distal near perineum)**: Transect and manage the attachments of the perineal body and the levator ani muscle; partial division is required for complete vaginal removal, with subsequent reconstruction of perineal support.</w:t>
            </w:r>
            <w:r w:rsidRPr="00CB2EC4">
              <w:rPr>
                <w:rFonts w:ascii="Times New Roman" w:hAnsi="Times New Roman" w:cs="Times New Roman"/>
              </w:rPr>
              <w:br/>
            </w:r>
            <w:r w:rsidRPr="00CB2EC4">
              <w:rPr>
                <w:rFonts w:ascii="Times New Roman" w:hAnsi="Times New Roman" w:cs="Times New Roman"/>
              </w:rPr>
              <w:br/>
              <w:t>Literature emphasizes that the procedure demands meticulous technique to avoid injury to the ureters, rectum, or bladder, and recommends minimizing neural damage within nerve-sparing approaches.</w:t>
            </w:r>
          </w:p>
        </w:tc>
        <w:tc>
          <w:tcPr>
            <w:tcW w:w="1152" w:type="dxa"/>
            <w:vAlign w:val="center"/>
          </w:tcPr>
          <w:p w14:paraId="36094B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DA48C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CAE3B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BE18FA8" w14:textId="77777777">
        <w:tc>
          <w:tcPr>
            <w:tcW w:w="10656" w:type="dxa"/>
            <w:gridSpan w:val="5"/>
            <w:tcBorders>
              <w:bottom w:val="single" w:sz="6" w:space="0" w:color="auto"/>
            </w:tcBorders>
            <w:vAlign w:val="center"/>
          </w:tcPr>
          <w:p w14:paraId="7ED77CF4"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140: A patient develops severe cervical stenosis several months after treatment for a cervical lesion. Among the various treatment modalities for cervical lesions (e.g., cold knife conization, laser conization, LEEP), which surgical procedure is most likely to cause this complication? Please also describe two key risk factors associated with the occurrence of this complication.</w:t>
            </w:r>
          </w:p>
        </w:tc>
      </w:tr>
      <w:tr w:rsidR="00922249" w:rsidRPr="00CB2EC4" w14:paraId="0AA50124" w14:textId="77777777">
        <w:tc>
          <w:tcPr>
            <w:tcW w:w="2160" w:type="dxa"/>
            <w:vAlign w:val="center"/>
          </w:tcPr>
          <w:p w14:paraId="0750F2FB"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7863D9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among the treatment methods for cervical lesions (cold knife conization, laser conization, LEEP), cold knife conization is most likely to lead to severe cervical canal stenosis. </w:t>
            </w:r>
            <w:r w:rsidRPr="00CB2EC4">
              <w:rPr>
                <w:rFonts w:ascii="Times New Roman" w:hAnsi="Times New Roman" w:cs="Times New Roman"/>
              </w:rPr>
              <w:br/>
            </w:r>
            <w:r w:rsidRPr="00CB2EC4">
              <w:rPr>
                <w:rFonts w:ascii="Times New Roman" w:hAnsi="Times New Roman" w:cs="Times New Roman"/>
              </w:rPr>
              <w:br/>
              <w:t xml:space="preserve">two key risk factors associated with the occurrence of </w:t>
            </w:r>
            <w:r w:rsidRPr="00CB2EC4">
              <w:rPr>
                <w:rFonts w:ascii="Times New Roman" w:hAnsi="Times New Roman" w:cs="Times New Roman"/>
              </w:rPr>
              <w:lastRenderedPageBreak/>
              <w:t>this complication are:</w:t>
            </w:r>
            <w:r w:rsidRPr="00CB2EC4">
              <w:rPr>
                <w:rFonts w:ascii="Times New Roman" w:hAnsi="Times New Roman" w:cs="Times New Roman"/>
              </w:rPr>
              <w:br/>
              <w:t>1. depth of excision: greater removal of cervical tissue increases the risk of postoperative scarring and stenosis.</w:t>
            </w:r>
            <w:r w:rsidRPr="00CB2EC4">
              <w:rPr>
                <w:rFonts w:ascii="Times New Roman" w:hAnsi="Times New Roman" w:cs="Times New Roman"/>
              </w:rPr>
              <w:br/>
              <w:t>2. surgical technique and thermal damage: methods involving electrosurgical energy (such as LEEP) or laser may cause thermal injury to the cervical stroma, but cold knife conization, while avoiding thermal damage, results in a larger raw surface area that heals with fibrosis, predisposing to stricture formation.</w:t>
            </w:r>
          </w:p>
        </w:tc>
        <w:tc>
          <w:tcPr>
            <w:tcW w:w="1152" w:type="dxa"/>
            <w:vAlign w:val="center"/>
          </w:tcPr>
          <w:p w14:paraId="03F552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55882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F8BA0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6EB64C0" w14:textId="77777777">
        <w:tc>
          <w:tcPr>
            <w:tcW w:w="2160" w:type="dxa"/>
            <w:vAlign w:val="center"/>
          </w:tcPr>
          <w:p w14:paraId="772970A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BD4C2AB" w14:textId="77777777" w:rsidR="00922249" w:rsidRPr="00CB2EC4" w:rsidRDefault="003011D5">
            <w:pPr>
              <w:rPr>
                <w:rFonts w:ascii="Times New Roman" w:hAnsi="Times New Roman" w:cs="Times New Roman"/>
              </w:rPr>
            </w:pPr>
            <w:r w:rsidRPr="00CB2EC4">
              <w:rPr>
                <w:rFonts w:ascii="Times New Roman" w:hAnsi="Times New Roman" w:cs="Times New Roman"/>
              </w:rPr>
              <w:t>among the cervical lesion treatment methods (cold knife conization, laser conization, LEEP, etc.), cold knife conization is most likely to lead to severe cervical canal stenosis. this is primarily due to the greater depth and volume of tissue removal typically performed with this method compared to more superficial ablative techniques like laser vaporization or cryotherapy, and often compared to LEEP as well.</w:t>
            </w:r>
            <w:r w:rsidRPr="00CB2EC4">
              <w:rPr>
                <w:rFonts w:ascii="Times New Roman" w:hAnsi="Times New Roman" w:cs="Times New Roman"/>
              </w:rPr>
              <w:br/>
            </w:r>
            <w:r w:rsidRPr="00CB2EC4">
              <w:rPr>
                <w:rFonts w:ascii="Times New Roman" w:hAnsi="Times New Roman" w:cs="Times New Roman"/>
              </w:rPr>
              <w:br/>
              <w:t>two key risk factors associated with the occurrence of this complication are:</w:t>
            </w:r>
            <w:r w:rsidRPr="00CB2EC4">
              <w:rPr>
                <w:rFonts w:ascii="Times New Roman" w:hAnsi="Times New Roman" w:cs="Times New Roman"/>
              </w:rPr>
              <w:br/>
            </w:r>
            <w:r w:rsidRPr="00CB2EC4">
              <w:rPr>
                <w:rFonts w:ascii="Times New Roman" w:hAnsi="Times New Roman" w:cs="Times New Roman"/>
              </w:rPr>
              <w:br/>
              <w:t>1.  **depth of excision:** excessive removal of cervical tissue, particularly stromal tissue beyond the transformation zone, significantly reduces the structural integrity and diameter of the cervical canal, increasing stenosis risk.</w:t>
            </w:r>
            <w:r w:rsidRPr="00CB2EC4">
              <w:rPr>
                <w:rFonts w:ascii="Times New Roman" w:hAnsi="Times New Roman" w:cs="Times New Roman"/>
              </w:rPr>
              <w:br/>
              <w:t>2.  **width/length of the excised cone:** a larger excision volume (both in circumference and longitudinal extent along the cervical canal) creates a greater defect that heals with more extensive fibrosis and contracture, directly contributing to canal narrowing.</w:t>
            </w:r>
          </w:p>
        </w:tc>
        <w:tc>
          <w:tcPr>
            <w:tcW w:w="1152" w:type="dxa"/>
            <w:vAlign w:val="center"/>
          </w:tcPr>
          <w:p w14:paraId="7C3CCC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37FFA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FA924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52F61BB" w14:textId="77777777">
        <w:tc>
          <w:tcPr>
            <w:tcW w:w="2160" w:type="dxa"/>
            <w:vAlign w:val="center"/>
          </w:tcPr>
          <w:p w14:paraId="7F84F07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2A08FEF6" w14:textId="77777777" w:rsidR="00922249" w:rsidRPr="00CB2EC4" w:rsidRDefault="003011D5">
            <w:pPr>
              <w:rPr>
                <w:rFonts w:ascii="Times New Roman" w:hAnsi="Times New Roman" w:cs="Times New Roman"/>
              </w:rPr>
            </w:pPr>
            <w:r w:rsidRPr="00CB2EC4">
              <w:rPr>
                <w:rFonts w:ascii="Times New Roman" w:hAnsi="Times New Roman" w:cs="Times New Roman"/>
              </w:rPr>
              <w:t>cold knife cervical conization is most likely to cause cervical canal stenosis: Document fragment 7 (relevance: 0.800) discusses LEEP complications, including cervical canal stenosis (incidence ~1%). Fragment 13 (relevance: 0.700) addresses cervical canal stenosis after conization (incidence 3%~31%). Fragment 32 (relevance: 0.300) mentions traditional cervical conization, laser conization, and LEEP but does not compare their stenosis risks. Therefore, based on comparison, cold knife cervical conization has the highest incidence rate at 3% to 31%.</w:t>
            </w:r>
            <w:r w:rsidRPr="00CB2EC4">
              <w:rPr>
                <w:rFonts w:ascii="Times New Roman" w:hAnsi="Times New Roman" w:cs="Times New Roman"/>
              </w:rPr>
              <w:br/>
            </w:r>
            <w:r w:rsidRPr="00CB2EC4">
              <w:rPr>
                <w:rFonts w:ascii="Times New Roman" w:hAnsi="Times New Roman" w:cs="Times New Roman"/>
              </w:rPr>
              <w:br/>
              <w:t xml:space="preserve">- Two key risk factors associated with this complication: Based on document fragments 7 and 13:  </w:t>
            </w:r>
            <w:r w:rsidRPr="00CB2EC4">
              <w:rPr>
                <w:rFonts w:ascii="Times New Roman" w:hAnsi="Times New Roman" w:cs="Times New Roman"/>
              </w:rPr>
              <w:br/>
              <w:t xml:space="preserve">  1. Advanced patient age: Fragment 7 states, "The incidence of cervical stenosis is about 1%, related to advanced patient age..."; fragment 13 further confirms, "Cervical canal stenosis after conization... is associated with advanced patient age...".  </w:t>
            </w:r>
            <w:r w:rsidRPr="00CB2EC4">
              <w:rPr>
                <w:rFonts w:ascii="Times New Roman" w:hAnsi="Times New Roman" w:cs="Times New Roman"/>
              </w:rPr>
              <w:br/>
              <w:t xml:space="preserve">  2. Excessive conization depth: Fragment 7 notes, "Cervical stenosis... is related to... deeper conization"; fragment 13 details, "When conization depth ≤25mm, the incidence of cervical canal stenosis is 12.8%; when depth &gt;25mm, the incidence rises to 24.2%."</w:t>
            </w:r>
          </w:p>
        </w:tc>
        <w:tc>
          <w:tcPr>
            <w:tcW w:w="1152" w:type="dxa"/>
            <w:vAlign w:val="center"/>
          </w:tcPr>
          <w:p w14:paraId="3629EA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03CD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9DD98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44E642F" w14:textId="77777777">
        <w:tc>
          <w:tcPr>
            <w:tcW w:w="2160" w:type="dxa"/>
            <w:vAlign w:val="center"/>
          </w:tcPr>
          <w:p w14:paraId="55C50701"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2AA9F2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Most likely surgical method to cause cervical canal stenosis: LEEP (Loop Electrosurgical Excision Procedure)  </w:t>
            </w:r>
            <w:r w:rsidRPr="00CB2EC4">
              <w:rPr>
                <w:rFonts w:ascii="Times New Roman" w:hAnsi="Times New Roman" w:cs="Times New Roman"/>
              </w:rPr>
              <w:br/>
              <w:t xml:space="preserve">  LEEP carries the highest risk of cervical canal stenosis due to thermal damage and excessive scar formation from high-frequency electrosurgery. Cold knife conization offers sharper precision with less collateral thermal injury, and laser conization provides better controllability with reduced thermal spread.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Two key risk factors:  </w:t>
            </w:r>
            <w:r w:rsidRPr="00CB2EC4">
              <w:rPr>
                <w:rFonts w:ascii="Times New Roman" w:hAnsi="Times New Roman" w:cs="Times New Roman"/>
              </w:rPr>
              <w:br/>
              <w:t xml:space="preserve">  1. Excessive resection depth: Removal deeper than 10 mm or involving the internal cervical os damages cervical glands and basal membrane, promoting scar contracture. The knowledge base specifies that glandular destruction depth should not be less than 5 mm, but over-resection significantly increases risk.  </w:t>
            </w:r>
            <w:r w:rsidRPr="00CB2EC4">
              <w:rPr>
                <w:rFonts w:ascii="Times New Roman" w:hAnsi="Times New Roman" w:cs="Times New Roman"/>
              </w:rPr>
              <w:br/>
              <w:t xml:space="preserve">  2. Postoperative infection or inflammation: Infection of the surgical wound or chronic inflammation (e.g., cervicitis) accelerates fibrosis and adhesion formation. The knowledge base emphasizes preoperative antimicrobial preparation, noting higher complication rates when infection is uncontrolled.  </w:t>
            </w:r>
            <w:r w:rsidRPr="00CB2EC4">
              <w:rPr>
                <w:rFonts w:ascii="Times New Roman" w:hAnsi="Times New Roman" w:cs="Times New Roman"/>
              </w:rPr>
              <w:br/>
            </w:r>
            <w:r w:rsidRPr="00CB2EC4">
              <w:rPr>
                <w:rFonts w:ascii="Times New Roman" w:hAnsi="Times New Roman" w:cs="Times New Roman"/>
              </w:rPr>
              <w:br/>
              <w:t>Conclusion: LEEP poses the greatest risk, with resection depth and postoperative infection as critical factors. Individualized selection of procedure and strict follow-up are recommended.</w:t>
            </w:r>
          </w:p>
        </w:tc>
        <w:tc>
          <w:tcPr>
            <w:tcW w:w="1152" w:type="dxa"/>
            <w:vAlign w:val="center"/>
          </w:tcPr>
          <w:p w14:paraId="66A929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29908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3ECF3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05FACC2" w14:textId="77777777">
        <w:tc>
          <w:tcPr>
            <w:tcW w:w="2160" w:type="dxa"/>
            <w:vAlign w:val="center"/>
          </w:tcPr>
          <w:p w14:paraId="7E665276"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6766E95" w14:textId="77777777" w:rsidR="00922249" w:rsidRPr="00CB2EC4" w:rsidRDefault="003011D5">
            <w:pPr>
              <w:rPr>
                <w:rFonts w:ascii="Times New Roman" w:hAnsi="Times New Roman" w:cs="Times New Roman"/>
              </w:rPr>
            </w:pPr>
            <w:r w:rsidRPr="00CB2EC4">
              <w:rPr>
                <w:rFonts w:ascii="Times New Roman" w:hAnsi="Times New Roman" w:cs="Times New Roman"/>
              </w:rPr>
              <w:t>Laser conization is most likely to cause severe cervical canal stenosis.</w:t>
            </w:r>
            <w:r w:rsidRPr="00CB2EC4">
              <w:rPr>
                <w:rFonts w:ascii="Times New Roman" w:hAnsi="Times New Roman" w:cs="Times New Roman"/>
              </w:rPr>
              <w:br/>
            </w:r>
            <w:r w:rsidRPr="00CB2EC4">
              <w:rPr>
                <w:rFonts w:ascii="Times New Roman" w:hAnsi="Times New Roman" w:cs="Times New Roman"/>
              </w:rPr>
              <w:br/>
              <w:t>Two key risk factors:</w:t>
            </w:r>
            <w:r w:rsidRPr="00CB2EC4">
              <w:rPr>
                <w:rFonts w:ascii="Times New Roman" w:hAnsi="Times New Roman" w:cs="Times New Roman"/>
              </w:rPr>
              <w:br/>
              <w:t>1. Extent of thermal damage at the surgical margin: The thermal effect generated by lasers can cause more extensive coagulative necrosis of tissues beyond the actual cutting boundary, leading to postoperative inflammatory reactions and fibrotic hyperplasia, thereby increasing the risk of cervical canal scarring and stenosis.</w:t>
            </w:r>
            <w:r w:rsidRPr="00CB2EC4">
              <w:rPr>
                <w:rFonts w:ascii="Times New Roman" w:hAnsi="Times New Roman" w:cs="Times New Roman"/>
              </w:rPr>
              <w:br/>
              <w:t xml:space="preserve">2. Depth of postoperative wound exposure and healing pattern: Laser conization often creates deeper and more vertical lateral wall wounds. If the cervical canal wound fails to be promptly covered by newly formed columnar epithelium postoperatively (e.g., due to </w:t>
            </w:r>
            <w:r w:rsidRPr="00CB2EC4">
              <w:rPr>
                <w:rFonts w:ascii="Times New Roman" w:hAnsi="Times New Roman" w:cs="Times New Roman"/>
              </w:rPr>
              <w:lastRenderedPageBreak/>
              <w:t>delayed healing or infection), the exposed stromal tissue is prone to fibrotic contraction, significantly increasing the incidence of cervical canal stenosis.</w:t>
            </w:r>
            <w:r w:rsidRPr="00CB2EC4">
              <w:rPr>
                <w:rFonts w:ascii="Times New Roman" w:hAnsi="Times New Roman" w:cs="Times New Roman"/>
              </w:rPr>
              <w:br/>
            </w:r>
            <w:r w:rsidRPr="00CB2EC4">
              <w:rPr>
                <w:rFonts w:ascii="Times New Roman" w:hAnsi="Times New Roman" w:cs="Times New Roman"/>
              </w:rPr>
              <w:br/>
              <w:t>→ Cold knife conization uses sharp blades with minimal lateral thermal damage, resulting in neat wound edges and healing primarily through epithelial regeneration, thus presenting a relatively lower risk of stenosis.</w:t>
            </w:r>
            <w:r w:rsidRPr="00CB2EC4">
              <w:rPr>
                <w:rFonts w:ascii="Times New Roman" w:hAnsi="Times New Roman" w:cs="Times New Roman"/>
              </w:rPr>
              <w:br/>
              <w:t>→ LEEP employs high-frequency electrical loops for tissue removal. Although lateral thermal damage occurs, its extent is generally smaller than that of laser conization, and the procedure is more superficial, resulting in moderate stenosis risk.</w:t>
            </w:r>
            <w:r w:rsidRPr="00CB2EC4">
              <w:rPr>
                <w:rFonts w:ascii="Times New Roman" w:hAnsi="Times New Roman" w:cs="Times New Roman"/>
              </w:rPr>
              <w:br/>
              <w:t>→ Laser conization carries the highest risk due to its high energy and significant thermal diffusion effects, especially during deep tissue resection. Extensive fibrosis caused by thermal damage serves as the primary pathological basis for cervical canal stenosis.</w:t>
            </w:r>
            <w:r w:rsidRPr="00CB2EC4">
              <w:rPr>
                <w:rFonts w:ascii="Times New Roman" w:hAnsi="Times New Roman" w:cs="Times New Roman"/>
              </w:rPr>
              <w:br/>
            </w:r>
            <w:r w:rsidRPr="00CB2EC4">
              <w:rPr>
                <w:rFonts w:ascii="Times New Roman" w:hAnsi="Times New Roman" w:cs="Times New Roman"/>
              </w:rPr>
              <w:br/>
              <w:t>(Note: The above analysis is based on established medical principles of cervical lesion treatment modalities and complication mechanisms.)</w:t>
            </w:r>
          </w:p>
        </w:tc>
        <w:tc>
          <w:tcPr>
            <w:tcW w:w="1152" w:type="dxa"/>
            <w:vAlign w:val="center"/>
          </w:tcPr>
          <w:p w14:paraId="787D0B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02ADD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77436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8A123DD" w14:textId="77777777">
        <w:tc>
          <w:tcPr>
            <w:tcW w:w="2160" w:type="dxa"/>
            <w:vAlign w:val="center"/>
          </w:tcPr>
          <w:p w14:paraId="717336C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C09B29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surgical procedure most likely to cause cervical canal stenosis: LEEP (Loop Electrosurgical Excision Procedure) (Documents 17, 28).  </w:t>
            </w:r>
            <w:r w:rsidRPr="00CB2EC4">
              <w:rPr>
                <w:rFonts w:ascii="Times New Roman" w:hAnsi="Times New Roman" w:cs="Times New Roman"/>
              </w:rPr>
              <w:br/>
              <w:t xml:space="preserve">  - Documents 17 and 28 explicitly state that the main late complication of LEEP is cervical canal stenosis, with an incidence rate of approximately 1%. While cold knife conization and laser conization may also cause stenosis, LEEP is particularly emphasized as a common cause.  </w:t>
            </w:r>
            <w:r w:rsidRPr="00CB2EC4">
              <w:rPr>
                <w:rFonts w:ascii="Times New Roman" w:hAnsi="Times New Roman" w:cs="Times New Roman"/>
              </w:rPr>
              <w:br/>
              <w:t xml:space="preserve">- Two key risk factors:  </w:t>
            </w:r>
            <w:r w:rsidRPr="00CB2EC4">
              <w:rPr>
                <w:rFonts w:ascii="Times New Roman" w:hAnsi="Times New Roman" w:cs="Times New Roman"/>
              </w:rPr>
              <w:br/>
              <w:t xml:space="preserve">  1. Excessive cone depth: Excessive resection depth </w:t>
            </w:r>
            <w:r w:rsidRPr="00CB2EC4">
              <w:rPr>
                <w:rFonts w:ascii="Times New Roman" w:hAnsi="Times New Roman" w:cs="Times New Roman"/>
              </w:rPr>
              <w:lastRenderedPageBreak/>
              <w:t xml:space="preserve">(e.g., exceeding the recommended depth) damages cervical canal tissue, increasing the risk of stenosis (Document 28).  </w:t>
            </w:r>
            <w:r w:rsidRPr="00CB2EC4">
              <w:rPr>
                <w:rFonts w:ascii="Times New Roman" w:hAnsi="Times New Roman" w:cs="Times New Roman"/>
              </w:rPr>
              <w:br/>
              <w:t xml:space="preserve">  2. Older patient age: Elderly patients have poorer cervical tissue elasticity and reduced healing capacity, making them more prone to stenosis (Document 28).  </w:t>
            </w:r>
            <w:r w:rsidRPr="00CB2EC4">
              <w:rPr>
                <w:rFonts w:ascii="Times New Roman" w:hAnsi="Times New Roman" w:cs="Times New Roman"/>
              </w:rPr>
              <w:br/>
              <w:t xml:space="preserve">  Additionally, postoperative infection is mentioned as a contributing factor (Document 28), but age and cone depth are the primary risk factors explicitly listed in the documents.</w:t>
            </w:r>
          </w:p>
        </w:tc>
        <w:tc>
          <w:tcPr>
            <w:tcW w:w="1152" w:type="dxa"/>
            <w:vAlign w:val="center"/>
          </w:tcPr>
          <w:p w14:paraId="4B14E6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BD03E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EF1AD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5AC9435" w14:textId="77777777">
        <w:tc>
          <w:tcPr>
            <w:tcW w:w="2160" w:type="dxa"/>
            <w:vAlign w:val="center"/>
          </w:tcPr>
          <w:p w14:paraId="78E9908D"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35B6510" w14:textId="77777777" w:rsidR="00922249" w:rsidRPr="00CB2EC4" w:rsidRDefault="003011D5">
            <w:pPr>
              <w:rPr>
                <w:rFonts w:ascii="Times New Roman" w:hAnsi="Times New Roman" w:cs="Times New Roman"/>
              </w:rPr>
            </w:pPr>
            <w:r w:rsidRPr="00CB2EC4">
              <w:rPr>
                <w:rFonts w:ascii="Times New Roman" w:hAnsi="Times New Roman" w:cs="Times New Roman"/>
              </w:rPr>
              <w:t>No relevant information was found in the provided document.</w:t>
            </w:r>
          </w:p>
        </w:tc>
        <w:tc>
          <w:tcPr>
            <w:tcW w:w="1152" w:type="dxa"/>
            <w:vAlign w:val="center"/>
          </w:tcPr>
          <w:p w14:paraId="5440E9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95494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CC7BD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4989EC5" w14:textId="77777777">
        <w:tc>
          <w:tcPr>
            <w:tcW w:w="2160" w:type="dxa"/>
            <w:vAlign w:val="center"/>
          </w:tcPr>
          <w:p w14:paraId="38BE9217"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1F7583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surgical procedure most likely to cause cervical canal stenosis: cold knife conization.  </w:t>
            </w:r>
            <w:r w:rsidRPr="00CB2EC4">
              <w:rPr>
                <w:rFonts w:ascii="Times New Roman" w:hAnsi="Times New Roman" w:cs="Times New Roman"/>
              </w:rPr>
              <w:br/>
              <w:t xml:space="preserve">Two key risk factors:  </w:t>
            </w:r>
            <w:r w:rsidRPr="00CB2EC4">
              <w:rPr>
                <w:rFonts w:ascii="Times New Roman" w:hAnsi="Times New Roman" w:cs="Times New Roman"/>
              </w:rPr>
              <w:br/>
              <w:t xml:space="preserve">1. Depth and length of resection: Excessive depth (glandular destruction depth ≥5 mm) or length (cervical canal longitudinal axis length ≥20 mm) significantly damages cervical canal structure and increases stenosis risk.  </w:t>
            </w:r>
            <w:r w:rsidRPr="00CB2EC4">
              <w:rPr>
                <w:rFonts w:ascii="Times New Roman" w:hAnsi="Times New Roman" w:cs="Times New Roman"/>
              </w:rPr>
              <w:br/>
              <w:t xml:space="preserve">2. Patient age and fertility status: Younger nulliparous patients face higher risks due to weaker cervical canal regenerative capacity and the need to preserve tissue for fertility maintenance.  </w:t>
            </w:r>
            <w:r w:rsidRPr="00CB2EC4">
              <w:rPr>
                <w:rFonts w:ascii="Times New Roman" w:hAnsi="Times New Roman" w:cs="Times New Roman"/>
              </w:rPr>
              <w:br/>
            </w:r>
            <w:r w:rsidRPr="00CB2EC4">
              <w:rPr>
                <w:rFonts w:ascii="Times New Roman" w:hAnsi="Times New Roman" w:cs="Times New Roman"/>
              </w:rPr>
              <w:br/>
              <w:t xml:space="preserve">Evidence:  </w:t>
            </w:r>
            <w:r w:rsidRPr="00CB2EC4">
              <w:rPr>
                <w:rFonts w:ascii="Times New Roman" w:hAnsi="Times New Roman" w:cs="Times New Roman"/>
              </w:rPr>
              <w:br/>
              <w:t xml:space="preserve">- Document excerpt 13 states that cold knife conization requires "the depth of glandular destruction should not be less than 5mm, and the length of cervical canal longitudinal axis destruction should not be less than 20mm," emphasizing that cervical canal tissue should be preserved as much as possible while ensuring complete lesion removal, particularly crucial </w:t>
            </w:r>
            <w:r w:rsidRPr="00CB2EC4">
              <w:rPr>
                <w:rFonts w:ascii="Times New Roman" w:hAnsi="Times New Roman" w:cs="Times New Roman"/>
              </w:rPr>
              <w:lastRenderedPageBreak/>
              <w:t xml:space="preserve">for young nulliparous patients, implying extensive resection predisposes to stenosis.  </w:t>
            </w:r>
            <w:r w:rsidRPr="00CB2EC4">
              <w:rPr>
                <w:rFonts w:ascii="Times New Roman" w:hAnsi="Times New Roman" w:cs="Times New Roman"/>
              </w:rPr>
              <w:br/>
              <w:t xml:space="preserve">- Document excerpt 11 mentions "severe dysmenorrhea due to cervical stenosis post-conization may also necessitate hysterectomy," indirectly confirming conization (including cold knife) as a common cause of stenosis.  </w:t>
            </w:r>
            <w:r w:rsidRPr="00CB2EC4">
              <w:rPr>
                <w:rFonts w:ascii="Times New Roman" w:hAnsi="Times New Roman" w:cs="Times New Roman"/>
              </w:rPr>
              <w:br/>
              <w:t>- In contrast, document excerpts 10 and 13 mention LEEP and laser conization without emphasizing their stenosis risks; LEEP is only used for early invasive cancer with "no reported cases," and complication rates are not directly compared, thus cold knife conization carries the highest risk due to its traditionally wider resection range.</w:t>
            </w:r>
          </w:p>
        </w:tc>
        <w:tc>
          <w:tcPr>
            <w:tcW w:w="1152" w:type="dxa"/>
            <w:vAlign w:val="center"/>
          </w:tcPr>
          <w:p w14:paraId="09002A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6654F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79B87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F963040" w14:textId="77777777">
        <w:tc>
          <w:tcPr>
            <w:tcW w:w="2160" w:type="dxa"/>
            <w:vAlign w:val="center"/>
          </w:tcPr>
          <w:p w14:paraId="6E0FA303"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8ED93D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Cold knife conization is most likely to cause severe cervical canal stenosis.  </w:t>
            </w:r>
            <w:r w:rsidRPr="00CB2EC4">
              <w:rPr>
                <w:rFonts w:ascii="Times New Roman" w:hAnsi="Times New Roman" w:cs="Times New Roman"/>
              </w:rPr>
              <w:br/>
              <w:t xml:space="preserve">The two key risk factors are:  </w:t>
            </w:r>
            <w:r w:rsidRPr="00CB2EC4">
              <w:rPr>
                <w:rFonts w:ascii="Times New Roman" w:hAnsi="Times New Roman" w:cs="Times New Roman"/>
              </w:rPr>
              <w:br/>
              <w:t xml:space="preserve">1. Excessive resection range (especially when the cone height exceeds 2.5 cm or the base diameter is too wide)  </w:t>
            </w:r>
            <w:r w:rsidRPr="00CB2EC4">
              <w:rPr>
                <w:rFonts w:ascii="Times New Roman" w:hAnsi="Times New Roman" w:cs="Times New Roman"/>
              </w:rPr>
              <w:br/>
              <w:t>2. Postoperative infection or poor wound healing (such as delayed secondary epithelialization or excessive granulation tissue hyperplasia)</w:t>
            </w:r>
          </w:p>
        </w:tc>
        <w:tc>
          <w:tcPr>
            <w:tcW w:w="1152" w:type="dxa"/>
            <w:vAlign w:val="center"/>
          </w:tcPr>
          <w:p w14:paraId="7D4C77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99C69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08594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846387A" w14:textId="77777777">
        <w:tc>
          <w:tcPr>
            <w:tcW w:w="2160" w:type="dxa"/>
            <w:vAlign w:val="center"/>
          </w:tcPr>
          <w:p w14:paraId="5FC5D387"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350C3F0" w14:textId="77777777" w:rsidR="00922249" w:rsidRPr="00CB2EC4" w:rsidRDefault="003011D5">
            <w:pPr>
              <w:rPr>
                <w:rFonts w:ascii="Times New Roman" w:hAnsi="Times New Roman" w:cs="Times New Roman"/>
              </w:rPr>
            </w:pPr>
            <w:r w:rsidRPr="00CB2EC4">
              <w:rPr>
                <w:rFonts w:ascii="Times New Roman" w:hAnsi="Times New Roman" w:cs="Times New Roman"/>
              </w:rPr>
              <w:t>Based on the provided contextual information, it cannot be determined which cervical lesion treatment method (cold knife conization, laser conization, or LEEP) is most likely to cause severe cervical canal stenosis, nor have two key risk factors associated with the occurrence of this complication been identified.</w:t>
            </w:r>
            <w:r w:rsidRPr="00CB2EC4">
              <w:rPr>
                <w:rFonts w:ascii="Times New Roman" w:hAnsi="Times New Roman" w:cs="Times New Roman"/>
              </w:rPr>
              <w:br/>
            </w:r>
            <w:r w:rsidRPr="00CB2EC4">
              <w:rPr>
                <w:rFonts w:ascii="Times New Roman" w:hAnsi="Times New Roman" w:cs="Times New Roman"/>
              </w:rPr>
              <w:br/>
              <w:t>It is recommended to refer to authoritative clinical guidelines or systematic reviews (such as ACOG, ASCCP, or Cochrane literature) to obtain evidence-</w:t>
            </w:r>
            <w:r w:rsidRPr="00CB2EC4">
              <w:rPr>
                <w:rFonts w:ascii="Times New Roman" w:hAnsi="Times New Roman" w:cs="Times New Roman"/>
              </w:rPr>
              <w:lastRenderedPageBreak/>
              <w:t>based risk comparisons and predictive factors for complications.</w:t>
            </w:r>
          </w:p>
        </w:tc>
        <w:tc>
          <w:tcPr>
            <w:tcW w:w="1152" w:type="dxa"/>
            <w:vAlign w:val="center"/>
          </w:tcPr>
          <w:p w14:paraId="0C79A0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11ED2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67E59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297B6E1" w14:textId="77777777">
        <w:tc>
          <w:tcPr>
            <w:tcW w:w="2160" w:type="dxa"/>
            <w:vAlign w:val="center"/>
          </w:tcPr>
          <w:p w14:paraId="78F1615B"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F30D35F" w14:textId="77777777" w:rsidR="00922249" w:rsidRPr="00CB2EC4" w:rsidRDefault="003011D5">
            <w:pPr>
              <w:rPr>
                <w:rFonts w:ascii="Times New Roman" w:hAnsi="Times New Roman" w:cs="Times New Roman"/>
              </w:rPr>
            </w:pPr>
            <w:r w:rsidRPr="00CB2EC4">
              <w:rPr>
                <w:rFonts w:ascii="Times New Roman" w:hAnsi="Times New Roman" w:cs="Times New Roman"/>
              </w:rPr>
              <w:t>Cold knife conization is most likely to cause severe cervical canal stenosis.</w:t>
            </w:r>
            <w:r w:rsidRPr="00CB2EC4">
              <w:rPr>
                <w:rFonts w:ascii="Times New Roman" w:hAnsi="Times New Roman" w:cs="Times New Roman"/>
              </w:rPr>
              <w:br/>
            </w:r>
            <w:r w:rsidRPr="00CB2EC4">
              <w:rPr>
                <w:rFonts w:ascii="Times New Roman" w:hAnsi="Times New Roman" w:cs="Times New Roman"/>
              </w:rPr>
              <w:br/>
              <w:t>Two key risk factors:</w:t>
            </w:r>
            <w:r w:rsidRPr="00CB2EC4">
              <w:rPr>
                <w:rFonts w:ascii="Times New Roman" w:hAnsi="Times New Roman" w:cs="Times New Roman"/>
              </w:rPr>
              <w:br/>
              <w:t>1. Extent of resection (especially cone depth and width): The larger the resection range, particularly when the depth exceeds 10mm or the width exceeds 2-3 times the external cervical os, the greater the loss of cervical canal tissue, significantly increasing the risk of scar formation.</w:t>
            </w:r>
            <w:r w:rsidRPr="00CB2EC4">
              <w:rPr>
                <w:rFonts w:ascii="Times New Roman" w:hAnsi="Times New Roman" w:cs="Times New Roman"/>
              </w:rPr>
              <w:br/>
              <w:t>2. Degree of electrocoagulation or cauterization at the surgical margins: Excessive use of electrocoagulation for hemostasis can cause thermal damage, impairing the regenerative capacity of the cervical canal mucosa and leading to fibrotic stenosis.</w:t>
            </w:r>
            <w:r w:rsidRPr="00CB2EC4">
              <w:rPr>
                <w:rFonts w:ascii="Times New Roman" w:hAnsi="Times New Roman" w:cs="Times New Roman"/>
              </w:rPr>
              <w:br/>
            </w:r>
            <w:r w:rsidRPr="00CB2EC4">
              <w:rPr>
                <w:rFonts w:ascii="Times New Roman" w:hAnsi="Times New Roman" w:cs="Times New Roman"/>
              </w:rPr>
              <w:br/>
              <w:t>→ Cold knife conization, due to the use of sharp blades for extensive anatomical resection and often requiring extensive electrocoagulation for hemostasis, has a higher incidence of cervical canal stenosis compared to laser conization and LEEP. Laser and LEEP can reduce the risk of deep tissue damage through precise control of the treatment area and superficial coagulation.</w:t>
            </w:r>
          </w:p>
        </w:tc>
        <w:tc>
          <w:tcPr>
            <w:tcW w:w="1152" w:type="dxa"/>
            <w:vAlign w:val="center"/>
          </w:tcPr>
          <w:p w14:paraId="6F29D2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276D3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38F7C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15666D5" w14:textId="77777777">
        <w:tc>
          <w:tcPr>
            <w:tcW w:w="2160" w:type="dxa"/>
            <w:vAlign w:val="center"/>
          </w:tcPr>
          <w:p w14:paraId="114F7E4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1AC278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Among the various treatment methods for cervical lesions (cold knife conization, laser conization, LEEP), LEEP (Loop Electrosurgical Excision Procedure) is most likely to cause cervical canal stenosis. </w:t>
            </w:r>
            <w:r w:rsidRPr="00CB2EC4">
              <w:rPr>
                <w:rFonts w:ascii="Times New Roman" w:hAnsi="Times New Roman" w:cs="Times New Roman"/>
              </w:rPr>
              <w:br/>
            </w:r>
            <w:r w:rsidRPr="00CB2EC4">
              <w:rPr>
                <w:rFonts w:ascii="Times New Roman" w:hAnsi="Times New Roman" w:cs="Times New Roman"/>
              </w:rPr>
              <w:br/>
              <w:t xml:space="preserve">Two key risk factors associated with the occurrence of </w:t>
            </w:r>
            <w:r w:rsidRPr="00CB2EC4">
              <w:rPr>
                <w:rFonts w:ascii="Times New Roman" w:hAnsi="Times New Roman" w:cs="Times New Roman"/>
              </w:rPr>
              <w:lastRenderedPageBreak/>
              <w:t>this complication are:</w:t>
            </w:r>
            <w:r w:rsidRPr="00CB2EC4">
              <w:rPr>
                <w:rFonts w:ascii="Times New Roman" w:hAnsi="Times New Roman" w:cs="Times New Roman"/>
              </w:rPr>
              <w:br/>
              <w:t>1. Depth of tissue excision: Greater depth of excision increases the risk of thermal damage and scarring, leading to stenosis.</w:t>
            </w:r>
            <w:r w:rsidRPr="00CB2EC4">
              <w:rPr>
                <w:rFonts w:ascii="Times New Roman" w:hAnsi="Times New Roman" w:cs="Times New Roman"/>
              </w:rPr>
              <w:br/>
              <w:t>2. Use of electrosurgical energy: The application of high-frequency electrical current in LEEP can cause thermal injury to the cervical stroma, promoting fibrosis and narrowing of the cervical canal.</w:t>
            </w:r>
          </w:p>
        </w:tc>
        <w:tc>
          <w:tcPr>
            <w:tcW w:w="1152" w:type="dxa"/>
            <w:vAlign w:val="center"/>
          </w:tcPr>
          <w:p w14:paraId="347597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E2F9C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38E9E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B0F82E0" w14:textId="77777777">
        <w:tc>
          <w:tcPr>
            <w:tcW w:w="2160" w:type="dxa"/>
            <w:vAlign w:val="center"/>
          </w:tcPr>
          <w:p w14:paraId="5AB3CE59"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F00056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Laser conization is most likely to cause severe cervical canal stenosis.  </w:t>
            </w:r>
            <w:r w:rsidRPr="00CB2EC4">
              <w:rPr>
                <w:rFonts w:ascii="Times New Roman" w:hAnsi="Times New Roman" w:cs="Times New Roman"/>
              </w:rPr>
              <w:br/>
              <w:t xml:space="preserve">The two key risk factors are:  </w:t>
            </w:r>
            <w:r w:rsidRPr="00CB2EC4">
              <w:rPr>
                <w:rFonts w:ascii="Times New Roman" w:hAnsi="Times New Roman" w:cs="Times New Roman"/>
              </w:rPr>
              <w:br/>
              <w:t xml:space="preserve">1. Excessive depth or extent of surgical resection, damaging the basal layer tissue of the cervical canal and impairing epithelial regeneration capacity.  </w:t>
            </w:r>
            <w:r w:rsidRPr="00CB2EC4">
              <w:rPr>
                <w:rFonts w:ascii="Times New Roman" w:hAnsi="Times New Roman" w:cs="Times New Roman"/>
              </w:rPr>
              <w:br/>
              <w:t>2. Postoperative inflammatory response or excessive scar formation, particularly in laser procedures with significant electrocautery or thermal effects, where thermal injury can lead to extensive tissue fibrosis and luminal atresia.</w:t>
            </w:r>
          </w:p>
        </w:tc>
        <w:tc>
          <w:tcPr>
            <w:tcW w:w="1152" w:type="dxa"/>
            <w:vAlign w:val="center"/>
          </w:tcPr>
          <w:p w14:paraId="7EDCD8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97BBE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B4898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5C489E7" w14:textId="77777777">
        <w:tc>
          <w:tcPr>
            <w:tcW w:w="2160" w:type="dxa"/>
            <w:vAlign w:val="center"/>
          </w:tcPr>
          <w:p w14:paraId="2D1CA87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F769B17" w14:textId="77777777" w:rsidR="00922249" w:rsidRPr="00CB2EC4" w:rsidRDefault="003011D5">
            <w:pPr>
              <w:rPr>
                <w:rFonts w:ascii="Times New Roman" w:hAnsi="Times New Roman" w:cs="Times New Roman"/>
              </w:rPr>
            </w:pPr>
            <w:r w:rsidRPr="00CB2EC4">
              <w:rPr>
                <w:rFonts w:ascii="Times New Roman" w:hAnsi="Times New Roman" w:cs="Times New Roman"/>
              </w:rPr>
              <w:t>the surgical method most likely to cause cervical canal stenosis: Cold Knife Conization (CKC). Literature indicates that CKC involves deeper excision of cervical tissue (typically 15–25 mm), which readily causes endocervical mucosal injury and scar formation, with a stenosis incidence of approximately 5–15%. In contrast, LEEP (loop electrosurgical excision procedure) and laser conization carry relatively lower risks due to reduced thermal damage or greater precision (LEEP: ~3–8%, laser conization: ~2–7%).</w:t>
            </w:r>
            <w:r w:rsidRPr="00CB2EC4">
              <w:rPr>
                <w:rFonts w:ascii="Times New Roman" w:hAnsi="Times New Roman" w:cs="Times New Roman"/>
              </w:rPr>
              <w:br/>
            </w:r>
            <w:r w:rsidRPr="00CB2EC4">
              <w:rPr>
                <w:rFonts w:ascii="Times New Roman" w:hAnsi="Times New Roman" w:cs="Times New Roman"/>
              </w:rPr>
              <w:br/>
              <w:t>- two key risk factors associated with this complication:</w:t>
            </w:r>
            <w:r w:rsidRPr="00CB2EC4">
              <w:rPr>
                <w:rFonts w:ascii="Times New Roman" w:hAnsi="Times New Roman" w:cs="Times New Roman"/>
              </w:rPr>
              <w:br/>
            </w:r>
            <w:r w:rsidRPr="00CB2EC4">
              <w:rPr>
                <w:rFonts w:ascii="Times New Roman" w:hAnsi="Times New Roman" w:cs="Times New Roman"/>
              </w:rPr>
              <w:lastRenderedPageBreak/>
              <w:t xml:space="preserve">  1. Depth of Excision: Excessive tissue removal (&gt;10 mm) directly damages the endocervical canal, increasing the risk of scarring and stenosis. ASCCP guidelines recommend individualized excision depth based on lesion size to avoid over-resection.</w:t>
            </w:r>
            <w:r w:rsidRPr="00CB2EC4">
              <w:rPr>
                <w:rFonts w:ascii="Times New Roman" w:hAnsi="Times New Roman" w:cs="Times New Roman"/>
              </w:rPr>
              <w:br/>
              <w:t xml:space="preserve">  2. History of Prior Cervical Treatment: Patients with multiple previous cervical procedures (e.g., repeat conizations) accumulate tissue damage, leading to significantly elevated fibrosis and stenosis risk. CSCO guidelines emphasize that preoperative assessment must include treatment history to optimize the surgical approach.</w:t>
            </w:r>
            <w:r w:rsidRPr="00CB2EC4">
              <w:rPr>
                <w:rFonts w:ascii="Times New Roman" w:hAnsi="Times New Roman" w:cs="Times New Roman"/>
              </w:rPr>
              <w:br/>
            </w:r>
            <w:r w:rsidRPr="00CB2EC4">
              <w:rPr>
                <w:rFonts w:ascii="Times New Roman" w:hAnsi="Times New Roman" w:cs="Times New Roman"/>
              </w:rPr>
              <w:br/>
              <w:t>Literature suggests that postoperative regular dilation or hormonal therapy may reduce risk, but prevention primarily depends on surgical technique.</w:t>
            </w:r>
          </w:p>
        </w:tc>
        <w:tc>
          <w:tcPr>
            <w:tcW w:w="1152" w:type="dxa"/>
            <w:vAlign w:val="center"/>
          </w:tcPr>
          <w:p w14:paraId="4428A9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6F5E6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2947E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A67D69D" w14:textId="77777777">
        <w:tc>
          <w:tcPr>
            <w:tcW w:w="10656" w:type="dxa"/>
            <w:gridSpan w:val="5"/>
            <w:tcBorders>
              <w:bottom w:val="single" w:sz="6" w:space="0" w:color="auto"/>
            </w:tcBorders>
            <w:vAlign w:val="center"/>
          </w:tcPr>
          <w:p w14:paraId="2FEB2143"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141: What are the differences in anatomical dissection between an intrafascial hysterectomy and a simple hysterectomy?</w:t>
            </w:r>
          </w:p>
        </w:tc>
      </w:tr>
      <w:tr w:rsidR="00922249" w:rsidRPr="00CB2EC4" w14:paraId="5165A6F6" w14:textId="77777777">
        <w:tc>
          <w:tcPr>
            <w:tcW w:w="2160" w:type="dxa"/>
            <w:vAlign w:val="center"/>
          </w:tcPr>
          <w:p w14:paraId="2CA1259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D2CFD68"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anatomical differences between intramural hysterectomy and conservative (standard) hysterectomy?</w:t>
            </w:r>
            <w:r w:rsidRPr="00CB2EC4">
              <w:rPr>
                <w:rFonts w:ascii="Times New Roman" w:hAnsi="Times New Roman" w:cs="Times New Roman"/>
              </w:rPr>
              <w:br/>
            </w:r>
            <w:r w:rsidRPr="00CB2EC4">
              <w:rPr>
                <w:rFonts w:ascii="Times New Roman" w:hAnsi="Times New Roman" w:cs="Times New Roman"/>
              </w:rPr>
              <w:br/>
              <w:t xml:space="preserve">According to the document content (similarity 0.597, range 348-350; similarity 0.522, range 349-351), the main anatomical differences between intramural hysterectomy and conservative (standard) hysterectomy are as follows:  </w:t>
            </w:r>
            <w:r w:rsidRPr="00CB2EC4">
              <w:rPr>
                <w:rFonts w:ascii="Times New Roman" w:hAnsi="Times New Roman" w:cs="Times New Roman"/>
              </w:rPr>
              <w:br/>
              <w:t xml:space="preserve">- Intramural hysterectomy:  </w:t>
            </w:r>
            <w:r w:rsidRPr="00CB2EC4">
              <w:rPr>
                <w:rFonts w:ascii="Times New Roman" w:hAnsi="Times New Roman" w:cs="Times New Roman"/>
              </w:rPr>
              <w:br/>
              <w:t xml:space="preserve">  - The operative site is below the isthmus of the uterus, within the cervical fascia.  </w:t>
            </w:r>
            <w:r w:rsidRPr="00CB2EC4">
              <w:rPr>
                <w:rFonts w:ascii="Times New Roman" w:hAnsi="Times New Roman" w:cs="Times New Roman"/>
              </w:rPr>
              <w:br/>
              <w:t xml:space="preserve">  - Preserves all or most of the cervical fascia, sometimes retaining a small amount of lateral muscular tissue.  </w:t>
            </w:r>
            <w:r w:rsidRPr="00CB2EC4">
              <w:rPr>
                <w:rFonts w:ascii="Times New Roman" w:hAnsi="Times New Roman" w:cs="Times New Roman"/>
              </w:rPr>
              <w:br/>
            </w:r>
            <w:r w:rsidRPr="00CB2EC4">
              <w:rPr>
                <w:rFonts w:ascii="Times New Roman" w:hAnsi="Times New Roman" w:cs="Times New Roman"/>
              </w:rPr>
              <w:lastRenderedPageBreak/>
              <w:t xml:space="preserve">  - The bladder is pushed down to the mid-cervix; no rectal dissection is required.  </w:t>
            </w:r>
            <w:r w:rsidRPr="00CB2EC4">
              <w:rPr>
                <w:rFonts w:ascii="Times New Roman" w:hAnsi="Times New Roman" w:cs="Times New Roman"/>
              </w:rPr>
              <w:br/>
              <w:t xml:space="preserve">- Conservative hysterectomy:  </w:t>
            </w:r>
            <w:r w:rsidRPr="00CB2EC4">
              <w:rPr>
                <w:rFonts w:ascii="Times New Roman" w:hAnsi="Times New Roman" w:cs="Times New Roman"/>
              </w:rPr>
              <w:br/>
              <w:t xml:space="preserve">  - Preserves only the cervical fascia adjacent to the parametrium and part of the cervix, sometimes retaining some muscular tissue.  </w:t>
            </w:r>
            <w:r w:rsidRPr="00CB2EC4">
              <w:rPr>
                <w:rFonts w:ascii="Times New Roman" w:hAnsi="Times New Roman" w:cs="Times New Roman"/>
              </w:rPr>
              <w:br/>
              <w:t xml:space="preserve">  - The bladder must be dissected down to the anterior vaginal fornix during surgery.  </w:t>
            </w:r>
            <w:r w:rsidRPr="00CB2EC4">
              <w:rPr>
                <w:rFonts w:ascii="Times New Roman" w:hAnsi="Times New Roman" w:cs="Times New Roman"/>
              </w:rPr>
              <w:br/>
              <w:t xml:space="preserve">  - Depending on the length of vaginal resection, rectal dissection may or may not be performed.  </w:t>
            </w:r>
            <w:r w:rsidRPr="00CB2EC4">
              <w:rPr>
                <w:rFonts w:ascii="Times New Roman" w:hAnsi="Times New Roman" w:cs="Times New Roman"/>
              </w:rPr>
              <w:br/>
              <w:t>Both procedures include total hysterectomy and adnexectomy; in young patients, one adnexa or ovary may be preserved. However, the intramural approach involves more conservative handling of the bladder and rectum, reducing the extent of dissection.</w:t>
            </w:r>
          </w:p>
        </w:tc>
        <w:tc>
          <w:tcPr>
            <w:tcW w:w="1152" w:type="dxa"/>
            <w:vAlign w:val="center"/>
          </w:tcPr>
          <w:p w14:paraId="020264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0E608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D65A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A86FB3" w14:textId="77777777">
        <w:tc>
          <w:tcPr>
            <w:tcW w:w="2160" w:type="dxa"/>
            <w:vAlign w:val="center"/>
          </w:tcPr>
          <w:p w14:paraId="43C31252"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DA29D4C"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in anatomical approach between intrafascial hysterectomy and conservative (standard) hysterectomy are as follows:</w:t>
            </w:r>
            <w:r w:rsidRPr="00CB2EC4">
              <w:rPr>
                <w:rFonts w:ascii="Times New Roman" w:hAnsi="Times New Roman" w:cs="Times New Roman"/>
              </w:rPr>
              <w:br/>
            </w:r>
            <w:r w:rsidRPr="00CB2EC4">
              <w:rPr>
                <w:rFonts w:ascii="Times New Roman" w:hAnsi="Times New Roman" w:cs="Times New Roman"/>
              </w:rPr>
              <w:br/>
              <w:t>basis for distinction (document excerpt 1):</w:t>
            </w:r>
            <w:r w:rsidRPr="00CB2EC4">
              <w:rPr>
                <w:rFonts w:ascii="Times New Roman" w:hAnsi="Times New Roman" w:cs="Times New Roman"/>
              </w:rPr>
              <w:br/>
              <w:t xml:space="preserve">  - intrafascial hysterectomy: the procedure is performed within the cervical fascia, preserving all or most of the cervical fascia (figure 4-31). the bladder is pushed down to the mid-cervix; rectal dissection is not required. the operative field is relatively conservative.</w:t>
            </w:r>
            <w:r w:rsidRPr="00CB2EC4">
              <w:rPr>
                <w:rFonts w:ascii="Times New Roman" w:hAnsi="Times New Roman" w:cs="Times New Roman"/>
              </w:rPr>
              <w:br/>
              <w:t xml:space="preserve">  - conservative (standard) hysterectomy: only the parametrial and adjacent portions of the cervical fascia are preserved (figure 4-32). the bladder must be pushed down to the anterior vaginal fornix; rectal dissection is performed depending on the length of vaginal resection.</w:t>
            </w:r>
            <w:r w:rsidRPr="00CB2EC4">
              <w:rPr>
                <w:rFonts w:ascii="Times New Roman" w:hAnsi="Times New Roman" w:cs="Times New Roman"/>
              </w:rPr>
              <w:br/>
              <w:t xml:space="preserve">  - core difference: the intrafascial approach preserves more fascia and requires a smaller bladder dissection area, whereas the conservative approach preserves less </w:t>
            </w:r>
            <w:r w:rsidRPr="00CB2EC4">
              <w:rPr>
                <w:rFonts w:ascii="Times New Roman" w:hAnsi="Times New Roman" w:cs="Times New Roman"/>
              </w:rPr>
              <w:lastRenderedPageBreak/>
              <w:t>fascia and requires wider bladder mobilization.</w:t>
            </w:r>
          </w:p>
        </w:tc>
        <w:tc>
          <w:tcPr>
            <w:tcW w:w="1152" w:type="dxa"/>
            <w:vAlign w:val="center"/>
          </w:tcPr>
          <w:p w14:paraId="527927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E791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B71B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89A3D30" w14:textId="77777777">
        <w:tc>
          <w:tcPr>
            <w:tcW w:w="2160" w:type="dxa"/>
            <w:vAlign w:val="center"/>
          </w:tcPr>
          <w:p w14:paraId="51D1F573"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EC22B4B"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anatomical differences between fascial intrafascial hysterectomy and conservative (standard) hysterectomy?</w:t>
            </w:r>
            <w:r w:rsidRPr="00CB2EC4">
              <w:rPr>
                <w:rFonts w:ascii="Times New Roman" w:hAnsi="Times New Roman" w:cs="Times New Roman"/>
              </w:rPr>
              <w:br/>
            </w:r>
            <w:r w:rsidRPr="00CB2EC4">
              <w:rPr>
                <w:rFonts w:ascii="Times New Roman" w:hAnsi="Times New Roman" w:cs="Times New Roman"/>
              </w:rPr>
              <w:br/>
              <w:t xml:space="preserve">Based on document excerpt 1 (relevance: 0.900), the main anatomical differences between fascial intrafascial hysterectomy and conservative (standard) hysterectomy are as follows:  </w:t>
            </w:r>
            <w:r w:rsidRPr="00CB2EC4">
              <w:rPr>
                <w:rFonts w:ascii="Times New Roman" w:hAnsi="Times New Roman" w:cs="Times New Roman"/>
              </w:rPr>
              <w:br/>
              <w:t xml:space="preserve">- Fascial intrafascial hysterectomy:  </w:t>
            </w:r>
            <w:r w:rsidRPr="00CB2EC4">
              <w:rPr>
                <w:rFonts w:ascii="Times New Roman" w:hAnsi="Times New Roman" w:cs="Times New Roman"/>
              </w:rPr>
              <w:br/>
              <w:t xml:space="preserve">  - The operative site is below the isthmus of the uterus, within the cervical fascia.  </w:t>
            </w:r>
            <w:r w:rsidRPr="00CB2EC4">
              <w:rPr>
                <w:rFonts w:ascii="Times New Roman" w:hAnsi="Times New Roman" w:cs="Times New Roman"/>
              </w:rPr>
              <w:br/>
              <w:t xml:space="preserve">  - Preserves all or most of the cervical fascia, and sometimes retains a small amount of lateral muscular tissue.  </w:t>
            </w:r>
            <w:r w:rsidRPr="00CB2EC4">
              <w:rPr>
                <w:rFonts w:ascii="Times New Roman" w:hAnsi="Times New Roman" w:cs="Times New Roman"/>
              </w:rPr>
              <w:br/>
              <w:t xml:space="preserve">  - Bladder dissection is only required up to the mid-cervix; rectal separation is not needed.  </w:t>
            </w:r>
            <w:r w:rsidRPr="00CB2EC4">
              <w:rPr>
                <w:rFonts w:ascii="Times New Roman" w:hAnsi="Times New Roman" w:cs="Times New Roman"/>
              </w:rPr>
              <w:br/>
              <w:t xml:space="preserve">- Conservative (standard) hysterectomy:  </w:t>
            </w:r>
            <w:r w:rsidRPr="00CB2EC4">
              <w:rPr>
                <w:rFonts w:ascii="Times New Roman" w:hAnsi="Times New Roman" w:cs="Times New Roman"/>
              </w:rPr>
              <w:br/>
              <w:t xml:space="preserve">  - Preserves only the parametrial and adjacent portions of the cervical fascia, and sometimes retains partial muscular tissue.  </w:t>
            </w:r>
            <w:r w:rsidRPr="00CB2EC4">
              <w:rPr>
                <w:rFonts w:ascii="Times New Roman" w:hAnsi="Times New Roman" w:cs="Times New Roman"/>
              </w:rPr>
              <w:br/>
              <w:t xml:space="preserve">  - Requires bladder dissection up to the anterior vaginal fornix; rectal separation may or may not be performed depending on the length of vaginal resection.  </w:t>
            </w:r>
            <w:r w:rsidRPr="00CB2EC4">
              <w:rPr>
                <w:rFonts w:ascii="Times New Roman" w:hAnsi="Times New Roman" w:cs="Times New Roman"/>
              </w:rPr>
              <w:br/>
              <w:t xml:space="preserve">In summary, the key difference lies in the intrafascial approach of the fascial intrafascial technique, which retains more fascial tissue and involves a smaller bladder dissection range (only to the mid-cervix), whereas the conservative technique involves wider bladder dissection (to the anterior vaginal fornix) and potentially less fascial preservation. Document excerpt 20 (relevance: 0.700) adds that conservative hysterectomy does not require exposure of the ureter </w:t>
            </w:r>
            <w:r w:rsidRPr="00CB2EC4">
              <w:rPr>
                <w:rFonts w:ascii="Times New Roman" w:hAnsi="Times New Roman" w:cs="Times New Roman"/>
              </w:rPr>
              <w:lastRenderedPageBreak/>
              <w:t>at the parametrial segment, but instead involves clamping tissue along the lateral walls of the cervix, further distinguishing it from the intrafascial approach.</w:t>
            </w:r>
          </w:p>
        </w:tc>
        <w:tc>
          <w:tcPr>
            <w:tcW w:w="1152" w:type="dxa"/>
            <w:vAlign w:val="center"/>
          </w:tcPr>
          <w:p w14:paraId="7A03D9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0B71E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2954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56EFE4" w14:textId="77777777">
        <w:tc>
          <w:tcPr>
            <w:tcW w:w="2160" w:type="dxa"/>
            <w:vAlign w:val="center"/>
          </w:tcPr>
          <w:p w14:paraId="402A2541"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BE40365"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anatomical differences between a fascial intrauterine hysterectomy and a conservative (standard) hysterectomy?</w:t>
            </w:r>
            <w:r w:rsidRPr="00CB2EC4">
              <w:rPr>
                <w:rFonts w:ascii="Times New Roman" w:hAnsi="Times New Roman" w:cs="Times New Roman"/>
              </w:rPr>
              <w:br/>
            </w:r>
            <w:r w:rsidRPr="00CB2EC4">
              <w:rPr>
                <w:rFonts w:ascii="Times New Roman" w:hAnsi="Times New Roman" w:cs="Times New Roman"/>
              </w:rPr>
              <w:br/>
              <w:t xml:space="preserve">Fascial intrauterine hysterectomy:  </w:t>
            </w:r>
            <w:r w:rsidRPr="00CB2EC4">
              <w:rPr>
                <w:rFonts w:ascii="Times New Roman" w:hAnsi="Times New Roman" w:cs="Times New Roman"/>
              </w:rPr>
              <w:br/>
              <w:t xml:space="preserve">  Operates within the cervical fascia, preserving all or most of the cervical fascia (Figure 4-31). The bladder is pushed down to the mid-cervix level only; rectal dissection is not required.  </w:t>
            </w:r>
            <w:r w:rsidRPr="00CB2EC4">
              <w:rPr>
                <w:rFonts w:ascii="Times New Roman" w:hAnsi="Times New Roman" w:cs="Times New Roman"/>
              </w:rPr>
              <w:br/>
              <w:t xml:space="preserve">- Conservative (standard) hysterectomy:  </w:t>
            </w:r>
            <w:r w:rsidRPr="00CB2EC4">
              <w:rPr>
                <w:rFonts w:ascii="Times New Roman" w:hAnsi="Times New Roman" w:cs="Times New Roman"/>
              </w:rPr>
              <w:br/>
              <w:t xml:space="preserve">  Preserves only the cervical fascia adjacent to the parametrium near the cervix (Figure 4-32). The bladder must be dissected down to the anterior vaginal fornix, and rectal dissection is performed depending on the length of vaginal resection.  </w:t>
            </w:r>
            <w:r w:rsidRPr="00CB2EC4">
              <w:rPr>
                <w:rFonts w:ascii="Times New Roman" w:hAnsi="Times New Roman" w:cs="Times New Roman"/>
              </w:rPr>
              <w:br/>
              <w:t xml:space="preserve">  Source: Knowledge base document (Cervical Intraepithelial Neoplasia chapter).</w:t>
            </w:r>
          </w:p>
        </w:tc>
        <w:tc>
          <w:tcPr>
            <w:tcW w:w="1152" w:type="dxa"/>
            <w:vAlign w:val="center"/>
          </w:tcPr>
          <w:p w14:paraId="656314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1678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15AB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A5D40A" w14:textId="77777777">
        <w:tc>
          <w:tcPr>
            <w:tcW w:w="2160" w:type="dxa"/>
            <w:vAlign w:val="center"/>
          </w:tcPr>
          <w:p w14:paraId="0E3DE88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80E4FB1"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in anatomical procedures between intrafascial hysterectomy and conservative (standard) hysterectomy are as follows:</w:t>
            </w:r>
            <w:r w:rsidRPr="00CB2EC4">
              <w:rPr>
                <w:rFonts w:ascii="Times New Roman" w:hAnsi="Times New Roman" w:cs="Times New Roman"/>
              </w:rPr>
              <w:br/>
            </w:r>
            <w:r w:rsidRPr="00CB2EC4">
              <w:rPr>
                <w:rFonts w:ascii="Times New Roman" w:hAnsi="Times New Roman" w:cs="Times New Roman"/>
              </w:rPr>
              <w:br/>
              <w:t>- **Intrafascial hysterectomy**: The procedure is performed within the cervical fascia, preserving all or most of the cervical fascia (sometimes including a small amount of lateral muscular tissue). During surgery, it is only necessary to push the bladder down to the mid-cervix; rectal separation is not required. This reduces the risk of urinary system complications due to the smaller operative field.</w:t>
            </w:r>
            <w:r w:rsidRPr="00CB2EC4">
              <w:rPr>
                <w:rFonts w:ascii="Times New Roman" w:hAnsi="Times New Roman" w:cs="Times New Roman"/>
              </w:rPr>
              <w:br/>
            </w:r>
            <w:r w:rsidRPr="00CB2EC4">
              <w:rPr>
                <w:rFonts w:ascii="Times New Roman" w:hAnsi="Times New Roman" w:cs="Times New Roman"/>
              </w:rPr>
              <w:lastRenderedPageBreak/>
              <w:br/>
              <w:t>- **Conservative hysterectomy**: Only preserves the parametrial tissue and adjacent part of the cervical fascia (sometimes including partial muscular tissue). During surgery, the bladder must be pushed down to the anterior vaginal fornix, and rectal separation may be performed depending on the length of vaginal resection. This involves a broader bladder dissection, which may increase operative complexity.</w:t>
            </w:r>
            <w:r w:rsidRPr="00CB2EC4">
              <w:rPr>
                <w:rFonts w:ascii="Times New Roman" w:hAnsi="Times New Roman" w:cs="Times New Roman"/>
              </w:rPr>
              <w:br/>
            </w:r>
            <w:r w:rsidRPr="00CB2EC4">
              <w:rPr>
                <w:rFonts w:ascii="Times New Roman" w:hAnsi="Times New Roman" w:cs="Times New Roman"/>
              </w:rPr>
              <w:br/>
              <w:t>Summary of differences: The intrafascial approach emphasizes preservation of the fascia and minimizes bladder dissection, whereas the conservative approach involves deeper bladder separation and possible rectal separation, with less fascial preservation.</w:t>
            </w:r>
          </w:p>
        </w:tc>
        <w:tc>
          <w:tcPr>
            <w:tcW w:w="1152" w:type="dxa"/>
            <w:vAlign w:val="center"/>
          </w:tcPr>
          <w:p w14:paraId="581432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9E387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DA38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4E840C" w14:textId="77777777">
        <w:tc>
          <w:tcPr>
            <w:tcW w:w="2160" w:type="dxa"/>
            <w:vAlign w:val="center"/>
          </w:tcPr>
          <w:p w14:paraId="52C48B1A"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9194DDE"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in anatomical procedures between intrafascial hysterectomy and conservative hysterectomy (also known as standard hysterectomy) are as follows:</w:t>
            </w:r>
            <w:r w:rsidRPr="00CB2EC4">
              <w:rPr>
                <w:rFonts w:ascii="Times New Roman" w:hAnsi="Times New Roman" w:cs="Times New Roman"/>
              </w:rPr>
              <w:br/>
            </w:r>
            <w:r w:rsidRPr="00CB2EC4">
              <w:rPr>
                <w:rFonts w:ascii="Times New Roman" w:hAnsi="Times New Roman" w:cs="Times New Roman"/>
              </w:rPr>
              <w:br/>
              <w:t>- **Intrafascial hysterectomy**: Performed within the cervical fascia, below the isthmus of the uterus. Preserves all or most of the cervical fascia, sometimes retaining a small amount of lateral muscular tissue. The bladder is pushed down to the mid-cervix level only; rectal dissection is not required. This reduces the risk of urinary system complications by operating closer to the cervix and avoiding deep ureteral regions.</w:t>
            </w:r>
            <w:r w:rsidRPr="00CB2EC4">
              <w:rPr>
                <w:rFonts w:ascii="Times New Roman" w:hAnsi="Times New Roman" w:cs="Times New Roman"/>
              </w:rPr>
              <w:br/>
            </w:r>
            <w:r w:rsidRPr="00CB2EC4">
              <w:rPr>
                <w:rFonts w:ascii="Times New Roman" w:hAnsi="Times New Roman" w:cs="Times New Roman"/>
              </w:rPr>
              <w:br/>
              <w:t xml:space="preserve">- **Conservative hysterectomy**: Preserves only the parametrial and adjacent portions of the cervical fascia, sometimes retaining partial muscular tissue. Requires pushing the bladder down to the anterior </w:t>
            </w:r>
            <w:r w:rsidRPr="00CB2EC4">
              <w:rPr>
                <w:rFonts w:ascii="Times New Roman" w:hAnsi="Times New Roman" w:cs="Times New Roman"/>
              </w:rPr>
              <w:lastRenderedPageBreak/>
              <w:t>vaginal fornix, and rectal dissection may be performed depending on the length of vaginal resection. This involves broader bladder mobilization, potentially increasing the risk of injury to adjacent tissues.</w:t>
            </w:r>
            <w:r w:rsidRPr="00CB2EC4">
              <w:rPr>
                <w:rFonts w:ascii="Times New Roman" w:hAnsi="Times New Roman" w:cs="Times New Roman"/>
              </w:rPr>
              <w:br/>
            </w:r>
            <w:r w:rsidRPr="00CB2EC4">
              <w:rPr>
                <w:rFonts w:ascii="Times New Roman" w:hAnsi="Times New Roman" w:cs="Times New Roman"/>
              </w:rPr>
              <w:br/>
              <w:t>In summary, the distinction lies in the intrafascial approach being more conservative—retaining more cervical fascia and requiring less bladder mobilization—whereas the conservative (standard) procedure involves a slightly wider resection, deeper bladder dissection, and possible rectal separation to more thoroughly remove cervical tissue (Source: Document 1).</w:t>
            </w:r>
          </w:p>
        </w:tc>
        <w:tc>
          <w:tcPr>
            <w:tcW w:w="1152" w:type="dxa"/>
            <w:vAlign w:val="center"/>
          </w:tcPr>
          <w:p w14:paraId="3ACD2D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4F62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80A5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2D730E" w14:textId="77777777">
        <w:tc>
          <w:tcPr>
            <w:tcW w:w="2160" w:type="dxa"/>
            <w:vAlign w:val="center"/>
          </w:tcPr>
          <w:p w14:paraId="152C9721"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AAE8D80"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anatomical differences between intrafascial hysterectomy and conservative (standard) hysterectomy in surgical technique?</w:t>
            </w:r>
            <w:r w:rsidRPr="00CB2EC4">
              <w:rPr>
                <w:rFonts w:ascii="Times New Roman" w:hAnsi="Times New Roman" w:cs="Times New Roman"/>
              </w:rPr>
              <w:br/>
            </w:r>
            <w:r w:rsidRPr="00CB2EC4">
              <w:rPr>
                <w:rFonts w:ascii="Times New Roman" w:hAnsi="Times New Roman" w:cs="Times New Roman"/>
              </w:rPr>
              <w:br/>
              <w:t>According to the document, the differences mainly manifest in the surgical extent and operative details:</w:t>
            </w:r>
            <w:r w:rsidRPr="00CB2EC4">
              <w:rPr>
                <w:rFonts w:ascii="Times New Roman" w:hAnsi="Times New Roman" w:cs="Times New Roman"/>
              </w:rPr>
              <w:br/>
              <w:t>- Intrafascial hysterectomy:</w:t>
            </w:r>
            <w:r w:rsidRPr="00CB2EC4">
              <w:rPr>
                <w:rFonts w:ascii="Times New Roman" w:hAnsi="Times New Roman" w:cs="Times New Roman"/>
              </w:rPr>
              <w:br/>
              <w:t xml:space="preserve">  - The procedure is performed within the cervical fascia, preserving all or most of the cervical fascia (Figure 4-31).</w:t>
            </w:r>
            <w:r w:rsidRPr="00CB2EC4">
              <w:rPr>
                <w:rFonts w:ascii="Times New Roman" w:hAnsi="Times New Roman" w:cs="Times New Roman"/>
              </w:rPr>
              <w:br/>
              <w:t xml:space="preserve">  - A small amount of lateral muscular tissue is retained.</w:t>
            </w:r>
            <w:r w:rsidRPr="00CB2EC4">
              <w:rPr>
                <w:rFonts w:ascii="Times New Roman" w:hAnsi="Times New Roman" w:cs="Times New Roman"/>
              </w:rPr>
              <w:br/>
              <w:t xml:space="preserve">  - The bladder is pushed down to the mid-cervical level; no rectal dissection is required.</w:t>
            </w:r>
            <w:r w:rsidRPr="00CB2EC4">
              <w:rPr>
                <w:rFonts w:ascii="Times New Roman" w:hAnsi="Times New Roman" w:cs="Times New Roman"/>
              </w:rPr>
              <w:br/>
              <w:t>- Conservative (standard) hysterectomy:</w:t>
            </w:r>
            <w:r w:rsidRPr="00CB2EC4">
              <w:rPr>
                <w:rFonts w:ascii="Times New Roman" w:hAnsi="Times New Roman" w:cs="Times New Roman"/>
              </w:rPr>
              <w:br/>
              <w:t xml:space="preserve">  - Only part of the cervical fascia adjacent to the cervical stroma is preserved (Figure 4-32), along with some muscular tissue.</w:t>
            </w:r>
            <w:r w:rsidRPr="00CB2EC4">
              <w:rPr>
                <w:rFonts w:ascii="Times New Roman" w:hAnsi="Times New Roman" w:cs="Times New Roman"/>
              </w:rPr>
              <w:br/>
              <w:t xml:space="preserve">  - The bladder must be dissected down to the anterior vaginal fornix.</w:t>
            </w:r>
            <w:r w:rsidRPr="00CB2EC4">
              <w:rPr>
                <w:rFonts w:ascii="Times New Roman" w:hAnsi="Times New Roman" w:cs="Times New Roman"/>
              </w:rPr>
              <w:br/>
              <w:t xml:space="preserve">  - Depending on the length of vaginal resection, rectal </w:t>
            </w:r>
            <w:r w:rsidRPr="00CB2EC4">
              <w:rPr>
                <w:rFonts w:ascii="Times New Roman" w:hAnsi="Times New Roman" w:cs="Times New Roman"/>
              </w:rPr>
              <w:lastRenderedPageBreak/>
              <w:t>dissection may be necessary.</w:t>
            </w:r>
            <w:r w:rsidRPr="00CB2EC4">
              <w:rPr>
                <w:rFonts w:ascii="Times New Roman" w:hAnsi="Times New Roman" w:cs="Times New Roman"/>
              </w:rPr>
              <w:br/>
              <w:t>&gt; Source: The document explicitly describes the anatomical distinctions between the two procedures (see the first part of the contextual information).</w:t>
            </w:r>
          </w:p>
        </w:tc>
        <w:tc>
          <w:tcPr>
            <w:tcW w:w="1152" w:type="dxa"/>
            <w:vAlign w:val="center"/>
          </w:tcPr>
          <w:p w14:paraId="457750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D543E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3E639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1BB2A0" w14:textId="77777777">
        <w:tc>
          <w:tcPr>
            <w:tcW w:w="2160" w:type="dxa"/>
            <w:vAlign w:val="center"/>
          </w:tcPr>
          <w:p w14:paraId="04A3C0F9"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92EBE9E"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in anatomical procedures between intramural myomectomy and conservative (standard) hysterectomy are as follows:</w:t>
            </w:r>
            <w:r w:rsidRPr="00CB2EC4">
              <w:rPr>
                <w:rFonts w:ascii="Times New Roman" w:hAnsi="Times New Roman" w:cs="Times New Roman"/>
              </w:rPr>
              <w:br/>
            </w:r>
            <w:r w:rsidRPr="00CB2EC4">
              <w:rPr>
                <w:rFonts w:ascii="Times New Roman" w:hAnsi="Times New Roman" w:cs="Times New Roman"/>
              </w:rPr>
              <w:br/>
              <w:t>- **Intramural hysterectomy**: The procedure is performed within the cervical fascia, preserving all or most of the cervical fascia (Figure 4-31). The bladder is pushed down to the mid-cervical level, and separation of the rectum is not required. The surgical extent is limited to below the cervical isthmus, retaining a small amount of lateral muscular tissue.</w:t>
            </w:r>
            <w:r w:rsidRPr="00CB2EC4">
              <w:rPr>
                <w:rFonts w:ascii="Times New Roman" w:hAnsi="Times New Roman" w:cs="Times New Roman"/>
              </w:rPr>
              <w:br/>
            </w:r>
            <w:r w:rsidRPr="00CB2EC4">
              <w:rPr>
                <w:rFonts w:ascii="Times New Roman" w:hAnsi="Times New Roman" w:cs="Times New Roman"/>
              </w:rPr>
              <w:br/>
              <w:t>- **Conservative (standard) hysterectomy**: Only the parametrial and adjacent portions of the cervical fascia are preserved (Figure 4-32), and sometimes part of the muscular tissue is retained. During the procedure, the bladder must be pushed down to the anterior vaginal fornix. Depending on the length of vaginal resection, separation of the rectum may or may not be performed.</w:t>
            </w:r>
            <w:r w:rsidRPr="00CB2EC4">
              <w:rPr>
                <w:rFonts w:ascii="Times New Roman" w:hAnsi="Times New Roman" w:cs="Times New Roman"/>
              </w:rPr>
              <w:br/>
            </w:r>
            <w:r w:rsidRPr="00CB2EC4">
              <w:rPr>
                <w:rFonts w:ascii="Times New Roman" w:hAnsi="Times New Roman" w:cs="Times New Roman"/>
              </w:rPr>
              <w:br/>
              <w:t>Summary of differences: Intramural hysterectomy operates within the fascia, preserves more fascia, and requires a smaller bladder dissection range (to the mid-cervix) without rectal separation; conservative hysterectomy preserves less fascia, requires a larger bladder dissection range (to the anterior vaginal fornix), and may involve rectal separation depending on the extent of vaginal resection.</w:t>
            </w:r>
          </w:p>
        </w:tc>
        <w:tc>
          <w:tcPr>
            <w:tcW w:w="1152" w:type="dxa"/>
            <w:vAlign w:val="center"/>
          </w:tcPr>
          <w:p w14:paraId="315362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FD78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FC88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77D56D" w14:textId="77777777">
        <w:tc>
          <w:tcPr>
            <w:tcW w:w="2160" w:type="dxa"/>
            <w:vAlign w:val="center"/>
          </w:tcPr>
          <w:p w14:paraId="4CA04EE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3D000F9F"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in anatomical approach between intrafascial hysterectomy and conservative hysterectomy (also known as standard hysterectomy) are as follows:</w:t>
            </w:r>
            <w:r w:rsidRPr="00CB2EC4">
              <w:rPr>
                <w:rFonts w:ascii="Times New Roman" w:hAnsi="Times New Roman" w:cs="Times New Roman"/>
              </w:rPr>
              <w:br/>
            </w:r>
            <w:r w:rsidRPr="00CB2EC4">
              <w:rPr>
                <w:rFonts w:ascii="Times New Roman" w:hAnsi="Times New Roman" w:cs="Times New Roman"/>
              </w:rPr>
              <w:br/>
              <w:t>- **Intrafascial hysterectomy**: The procedure is performed below the isthmus of the uterus, within the cervical fascia. It preserves all or most of the cervical fascia (sometimes including a small amount of lateral muscular tissue). The bladder is pushed down only to the mid-cervix; separation of the rectum is not required. This reduces the operative field involving the bladder and ureters, thereby lowering the risk of urinary system complications.</w:t>
            </w:r>
            <w:r w:rsidRPr="00CB2EC4">
              <w:rPr>
                <w:rFonts w:ascii="Times New Roman" w:hAnsi="Times New Roman" w:cs="Times New Roman"/>
              </w:rPr>
              <w:br/>
            </w:r>
            <w:r w:rsidRPr="00CB2EC4">
              <w:rPr>
                <w:rFonts w:ascii="Times New Roman" w:hAnsi="Times New Roman" w:cs="Times New Roman"/>
              </w:rPr>
              <w:br/>
              <w:t>- **Conservative hysterectomy**: Only the parametrial and adjacent portions of the cervical fascia are preserved (sometimes including part of the muscular tissue). The procedure requires pushing the bladder down to the anterior vaginal fornix, and separation of the rectum may be necessary depending on the length of vaginal resection. This involves a wider dissection of the bladder, increasing the risk of ureteral exposure.</w:t>
            </w:r>
            <w:r w:rsidRPr="00CB2EC4">
              <w:rPr>
                <w:rFonts w:ascii="Times New Roman" w:hAnsi="Times New Roman" w:cs="Times New Roman"/>
              </w:rPr>
              <w:br/>
            </w:r>
            <w:r w:rsidRPr="00CB2EC4">
              <w:rPr>
                <w:rFonts w:ascii="Times New Roman" w:hAnsi="Times New Roman" w:cs="Times New Roman"/>
              </w:rPr>
              <w:br/>
              <w:t xml:space="preserve">Summary of differences: The intrafascial approach emphasizes preservation of cervical fascia and minimizes dissection of adjacent organs such as the bladder and rectum, whereas the conservative approach requires more extensive handling of the bladder and possibly the rectum to resect more parametrial tissue. The document notes that intrafascial hysterectomy is less commonly used for patients with cervical intraepithelial neoplasia (CIN). </w:t>
            </w:r>
            <w:r w:rsidRPr="00CB2EC4">
              <w:rPr>
                <w:rFonts w:ascii="Times New Roman" w:hAnsi="Times New Roman" w:cs="Times New Roman"/>
              </w:rPr>
              <w:lastRenderedPageBreak/>
              <w:t>(Source: first excerpt)</w:t>
            </w:r>
          </w:p>
        </w:tc>
        <w:tc>
          <w:tcPr>
            <w:tcW w:w="1152" w:type="dxa"/>
            <w:vAlign w:val="center"/>
          </w:tcPr>
          <w:p w14:paraId="46640B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718EA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D932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462318C" w14:textId="77777777">
        <w:tc>
          <w:tcPr>
            <w:tcW w:w="2160" w:type="dxa"/>
            <w:vAlign w:val="center"/>
          </w:tcPr>
          <w:p w14:paraId="6443A45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20587F6"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anatomical differences between intramural hysterectomy and conservative (standard) hysterectomy?</w:t>
            </w:r>
            <w:r w:rsidRPr="00CB2EC4">
              <w:rPr>
                <w:rFonts w:ascii="Times New Roman" w:hAnsi="Times New Roman" w:cs="Times New Roman"/>
              </w:rPr>
              <w:br/>
            </w:r>
            <w:r w:rsidRPr="00CB2EC4">
              <w:rPr>
                <w:rFonts w:ascii="Times New Roman" w:hAnsi="Times New Roman" w:cs="Times New Roman"/>
              </w:rPr>
              <w:br/>
              <w:t>based on the provided context (primarily from [document fragment 1]), the anatomical differences between intramural hysterectomy and conservative (standard) hysterectomy are as follows:</w:t>
            </w:r>
            <w:r w:rsidRPr="00CB2EC4">
              <w:rPr>
                <w:rFonts w:ascii="Times New Roman" w:hAnsi="Times New Roman" w:cs="Times New Roman"/>
              </w:rPr>
              <w:br/>
              <w:t>- intramural hysterectomy:</w:t>
            </w:r>
            <w:r w:rsidRPr="00CB2EC4">
              <w:rPr>
                <w:rFonts w:ascii="Times New Roman" w:hAnsi="Times New Roman" w:cs="Times New Roman"/>
              </w:rPr>
              <w:br/>
              <w:t xml:space="preserve">  - operative site: performed below the cervical isthmus, within the cervical fascia.</w:t>
            </w:r>
            <w:r w:rsidRPr="00CB2EC4">
              <w:rPr>
                <w:rFonts w:ascii="Times New Roman" w:hAnsi="Times New Roman" w:cs="Times New Roman"/>
              </w:rPr>
              <w:br/>
              <w:t xml:space="preserve">  - fascia preservation: preserves all or most of the cervical fascia (sometimes including a small amount of lateral muscular tissue).</w:t>
            </w:r>
            <w:r w:rsidRPr="00CB2EC4">
              <w:rPr>
                <w:rFonts w:ascii="Times New Roman" w:hAnsi="Times New Roman" w:cs="Times New Roman"/>
              </w:rPr>
              <w:br/>
              <w:t xml:space="preserve">  - bladder management: only requires pushing the bladder to the mid-cervix; no rectal dissection needed.</w:t>
            </w:r>
            <w:r w:rsidRPr="00CB2EC4">
              <w:rPr>
                <w:rFonts w:ascii="Times New Roman" w:hAnsi="Times New Roman" w:cs="Times New Roman"/>
              </w:rPr>
              <w:br/>
              <w:t>- conservative (standard) hysterectomy:</w:t>
            </w:r>
            <w:r w:rsidRPr="00CB2EC4">
              <w:rPr>
                <w:rFonts w:ascii="Times New Roman" w:hAnsi="Times New Roman" w:cs="Times New Roman"/>
              </w:rPr>
              <w:br/>
              <w:t xml:space="preserve">  - operative site: performed along the lateral walls of the uterine cervix.</w:t>
            </w:r>
            <w:r w:rsidRPr="00CB2EC4">
              <w:rPr>
                <w:rFonts w:ascii="Times New Roman" w:hAnsi="Times New Roman" w:cs="Times New Roman"/>
              </w:rPr>
              <w:br/>
              <w:t xml:space="preserve">  - fascia preservation: preserves only part of the cervical fascia adjacent to the cervix (sometimes including partial muscular tissue).</w:t>
            </w:r>
            <w:r w:rsidRPr="00CB2EC4">
              <w:rPr>
                <w:rFonts w:ascii="Times New Roman" w:hAnsi="Times New Roman" w:cs="Times New Roman"/>
              </w:rPr>
              <w:br/>
              <w:t xml:space="preserve">  - bladder management: requires pushing the bladder to the anterior vaginal fornix; depending on the length of vaginal resection, rectal dissection may or may not be required.</w:t>
            </w:r>
            <w:r w:rsidRPr="00CB2EC4">
              <w:rPr>
                <w:rFonts w:ascii="Times New Roman" w:hAnsi="Times New Roman" w:cs="Times New Roman"/>
              </w:rPr>
              <w:br/>
            </w:r>
            <w:r w:rsidRPr="00CB2EC4">
              <w:rPr>
                <w:rFonts w:ascii="Times New Roman" w:hAnsi="Times New Roman" w:cs="Times New Roman"/>
              </w:rPr>
              <w:br/>
              <w:t xml:space="preserve">summary of differences: the main distinctions lie in the extent of fascia preservation and the degree of bladder mobilization. intramural hysterectomy preserves more fascia and involves simpler bladder handling (only to the mid-cervix), whereas conservative hysterectomy preserves less fascia and </w:t>
            </w:r>
            <w:r w:rsidRPr="00CB2EC4">
              <w:rPr>
                <w:rFonts w:ascii="Times New Roman" w:hAnsi="Times New Roman" w:cs="Times New Roman"/>
              </w:rPr>
              <w:lastRenderedPageBreak/>
              <w:t>requires deeper bladder mobilization (to the anterior vaginal fornix).</w:t>
            </w:r>
          </w:p>
        </w:tc>
        <w:tc>
          <w:tcPr>
            <w:tcW w:w="1152" w:type="dxa"/>
            <w:vAlign w:val="center"/>
          </w:tcPr>
          <w:p w14:paraId="793DAB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DF1E3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BA12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285BC7" w14:textId="77777777">
        <w:tc>
          <w:tcPr>
            <w:tcW w:w="2160" w:type="dxa"/>
            <w:vAlign w:val="center"/>
          </w:tcPr>
          <w:p w14:paraId="6613A00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9EFE48C"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differences in anatomical approach between intramural hysterectomy and conservative (standard) hysterectomy?</w:t>
            </w:r>
            <w:r w:rsidRPr="00CB2EC4">
              <w:rPr>
                <w:rFonts w:ascii="Times New Roman" w:hAnsi="Times New Roman" w:cs="Times New Roman"/>
              </w:rPr>
              <w:br/>
            </w:r>
            <w:r w:rsidRPr="00CB2EC4">
              <w:rPr>
                <w:rFonts w:ascii="Times New Roman" w:hAnsi="Times New Roman" w:cs="Times New Roman"/>
              </w:rPr>
              <w:br/>
              <w:t>In terms of anatomical approach, the main differences between intramural hysterectomy and conservative (standard) hysterectomy lie in the handling of the cervical fascia, the extent of bladder dissection, and the need for rectal separation:</w:t>
            </w:r>
            <w:r w:rsidRPr="00CB2EC4">
              <w:rPr>
                <w:rFonts w:ascii="Times New Roman" w:hAnsi="Times New Roman" w:cs="Times New Roman"/>
              </w:rPr>
              <w:br/>
              <w:t>- Intramural hysterectomy: The procedure is performed within the cervical fascia, preserving all or most of the cervical fascia. The bladder is pushed down only to the mid-cervix level, and rectal dissection is not required. This reduces the risk of urinary system complications, as the operation is limited below the isthmus of the cervix (similarity 0.597 segment).</w:t>
            </w:r>
            <w:r w:rsidRPr="00CB2EC4">
              <w:rPr>
                <w:rFonts w:ascii="Times New Roman" w:hAnsi="Times New Roman" w:cs="Times New Roman"/>
              </w:rPr>
              <w:br/>
              <w:t>- Conservative hysterectomy: Only the parametrial and adjacent portions of the cervical fascia are preserved. During surgery, the bladder must be dissected down to the anterior vaginal fornix, and rectal separation may be performed depending on the length of vaginal resection. This involves a broader bladder dissection, which may increase operative complexity (similarity 0.597 segment).</w:t>
            </w:r>
            <w:r w:rsidRPr="00CB2EC4">
              <w:rPr>
                <w:rFonts w:ascii="Times New Roman" w:hAnsi="Times New Roman" w:cs="Times New Roman"/>
              </w:rPr>
              <w:br/>
              <w:t>In summary, the intramural approach emphasizes preservation of fascia and reduced bladder mobilization, whereas the conservative approach involves deeper bladder dissection and possible partial rectal separation.</w:t>
            </w:r>
          </w:p>
        </w:tc>
        <w:tc>
          <w:tcPr>
            <w:tcW w:w="1152" w:type="dxa"/>
            <w:vAlign w:val="center"/>
          </w:tcPr>
          <w:p w14:paraId="231F8F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DD57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77D4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A1CE3E" w14:textId="77777777">
        <w:tc>
          <w:tcPr>
            <w:tcW w:w="2160" w:type="dxa"/>
            <w:vAlign w:val="center"/>
          </w:tcPr>
          <w:p w14:paraId="2955BF54"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999D1C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what are the anatomical differences between </w:t>
            </w:r>
            <w:r w:rsidRPr="00CB2EC4">
              <w:rPr>
                <w:rFonts w:ascii="Times New Roman" w:hAnsi="Times New Roman" w:cs="Times New Roman"/>
              </w:rPr>
              <w:lastRenderedPageBreak/>
              <w:t>intrafascial hysterectomy and conservative (standard) hysterectomy?</w:t>
            </w:r>
            <w:r w:rsidRPr="00CB2EC4">
              <w:rPr>
                <w:rFonts w:ascii="Times New Roman" w:hAnsi="Times New Roman" w:cs="Times New Roman"/>
              </w:rPr>
              <w:br/>
            </w:r>
            <w:r w:rsidRPr="00CB2EC4">
              <w:rPr>
                <w:rFonts w:ascii="Times New Roman" w:hAnsi="Times New Roman" w:cs="Times New Roman"/>
              </w:rPr>
              <w:br/>
              <w:t>According to Document Fragment 1 (Relevance: 0.9742):</w:t>
            </w:r>
            <w:r w:rsidRPr="00CB2EC4">
              <w:rPr>
                <w:rFonts w:ascii="Times New Roman" w:hAnsi="Times New Roman" w:cs="Times New Roman"/>
              </w:rPr>
              <w:br/>
              <w:t>- Intrafascial hysterectomy: The procedure is performed within the cervical fascia, preserving all or most of the cervical fascia (Figure 4-31). The bladder is only pushed down to the mid-cervix, and rectal dissection is not required. The surgical extent is limited to below the cervical isthmus, and a small amount of lateral muscular tissue may be preserved.</w:t>
            </w:r>
            <w:r w:rsidRPr="00CB2EC4">
              <w:rPr>
                <w:rFonts w:ascii="Times New Roman" w:hAnsi="Times New Roman" w:cs="Times New Roman"/>
              </w:rPr>
              <w:br/>
              <w:t>- Conservative (standard) hysterectomy: Only preserves the parametrial and adjacent portions of the cervical fascia (Figure 4-32). The bladder must be pushed down to the anterior vaginal fornix, and rectal dissection may be performed depending on the length of vaginal resection. Some muscular tissue may be preserved, but the parametrial tissue resection range is greater.</w:t>
            </w:r>
            <w:r w:rsidRPr="00CB2EC4">
              <w:rPr>
                <w:rFonts w:ascii="Times New Roman" w:hAnsi="Times New Roman" w:cs="Times New Roman"/>
              </w:rPr>
              <w:br/>
              <w:t>Core difference: The intrafascial approach emphasizes preservation of cervical fascia and reduced bladder/rectal dissection, whereas the conservative approach involves more extensive bladder mobilization and potential rectal separation.</w:t>
            </w:r>
          </w:p>
        </w:tc>
        <w:tc>
          <w:tcPr>
            <w:tcW w:w="1152" w:type="dxa"/>
            <w:vAlign w:val="center"/>
          </w:tcPr>
          <w:p w14:paraId="7D11BE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CC3FE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0BE0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F894D9" w14:textId="77777777">
        <w:tc>
          <w:tcPr>
            <w:tcW w:w="2160" w:type="dxa"/>
            <w:vAlign w:val="center"/>
          </w:tcPr>
          <w:p w14:paraId="1A71F75E"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12B98A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differences in anatomical procedures between intrafascial hysterectomy and conservative hysterectomy are as follows:  </w:t>
            </w:r>
            <w:r w:rsidRPr="00CB2EC4">
              <w:rPr>
                <w:rFonts w:ascii="Times New Roman" w:hAnsi="Times New Roman" w:cs="Times New Roman"/>
              </w:rPr>
              <w:br/>
              <w:t xml:space="preserve">- Intrafascial hysterectomy: The procedure is performed within the cervical fascia, preserving all or most of the cervical fascia (sometimes retaining a small amount of lateral muscular tissue). The bladder is pushed down to the mid-cervical level; separation of the rectum is not required. The aim is to reduce </w:t>
            </w:r>
            <w:r w:rsidRPr="00CB2EC4">
              <w:rPr>
                <w:rFonts w:ascii="Times New Roman" w:hAnsi="Times New Roman" w:cs="Times New Roman"/>
              </w:rPr>
              <w:lastRenderedPageBreak/>
              <w:t xml:space="preserve">impact on the bladder and ureters.  </w:t>
            </w:r>
            <w:r w:rsidRPr="00CB2EC4">
              <w:rPr>
                <w:rFonts w:ascii="Times New Roman" w:hAnsi="Times New Roman" w:cs="Times New Roman"/>
              </w:rPr>
              <w:br/>
              <w:t xml:space="preserve">- Conservative hysterectomy (standard hysterectomy): Only the parametrial and adjacent portions of the cervical fascia are preserved (sometimes with partial muscular tissue retention). The bladder is pushed down to the anterior vaginal fornix; separation of the rectum may or may not be performed depending on the length of vaginal resection.  </w:t>
            </w:r>
            <w:r w:rsidRPr="00CB2EC4">
              <w:rPr>
                <w:rFonts w:ascii="Times New Roman" w:hAnsi="Times New Roman" w:cs="Times New Roman"/>
              </w:rPr>
              <w:br/>
              <w:t>Summary of differences: The intrafascial approach emphasizes preservation of cervical fascia and simplified bladder dissection, whereas the conservative approach involves more extensive bladder mobilization and partial fascial preservation.</w:t>
            </w:r>
          </w:p>
        </w:tc>
        <w:tc>
          <w:tcPr>
            <w:tcW w:w="1152" w:type="dxa"/>
            <w:vAlign w:val="center"/>
          </w:tcPr>
          <w:p w14:paraId="208B3D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8BA3F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1B78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EE651A" w14:textId="77777777">
        <w:tc>
          <w:tcPr>
            <w:tcW w:w="2160" w:type="dxa"/>
            <w:vAlign w:val="center"/>
          </w:tcPr>
          <w:p w14:paraId="4F73052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A99651D" w14:textId="77777777" w:rsidR="00922249" w:rsidRPr="00CB2EC4" w:rsidRDefault="003011D5">
            <w:pPr>
              <w:rPr>
                <w:rFonts w:ascii="Times New Roman" w:hAnsi="Times New Roman" w:cs="Times New Roman"/>
              </w:rPr>
            </w:pPr>
            <w:r w:rsidRPr="00CB2EC4">
              <w:rPr>
                <w:rFonts w:ascii="Times New Roman" w:hAnsi="Times New Roman" w:cs="Times New Roman"/>
              </w:rPr>
              <w:t>- Answer:</w:t>
            </w:r>
            <w:r w:rsidRPr="00CB2EC4">
              <w:rPr>
                <w:rFonts w:ascii="Times New Roman" w:hAnsi="Times New Roman" w:cs="Times New Roman"/>
              </w:rPr>
              <w:br/>
              <w:t xml:space="preserve">  - Fascial intrauterine hysterectomy: In terms of anatomical dissection, this procedure emphasizes resection within the cervical fascial layer to preserve the integrity of the cervical fascia, thereby avoiding injury to the ureters, bladder, and rectum. Specific steps include dissecting the uterine cervix within the fascia, without widely cutting the cardinal ligaments and uterosacral ligaments, to reduce the risk of neurovascular damage.</w:t>
            </w:r>
            <w:r w:rsidRPr="00CB2EC4">
              <w:rPr>
                <w:rFonts w:ascii="Times New Roman" w:hAnsi="Times New Roman" w:cs="Times New Roman"/>
              </w:rPr>
              <w:br/>
              <w:t xml:space="preserve">  - Conservative hysterectomy: Typically refers to subtotal hysterectomy (removal of the uterine body while preserving the cervix). Anatomically, the focus is on partially resecting the uterine vessels and cardinal ligaments while preserving cervical structure. During the procedure, care must be taken to ligate the proximal uterine arteries and only partially resect the cardinal ligaments to minimize injury to the pelvic autonomic nerves.</w:t>
            </w:r>
            <w:r w:rsidRPr="00CB2EC4">
              <w:rPr>
                <w:rFonts w:ascii="Times New Roman" w:hAnsi="Times New Roman" w:cs="Times New Roman"/>
              </w:rPr>
              <w:br/>
              <w:t xml:space="preserve">  - Main difference: Fascial intrauterine hysterectomy focuses on meticulous dissection within the fascial </w:t>
            </w:r>
            <w:r w:rsidRPr="00CB2EC4">
              <w:rPr>
                <w:rFonts w:ascii="Times New Roman" w:hAnsi="Times New Roman" w:cs="Times New Roman"/>
              </w:rPr>
              <w:lastRenderedPageBreak/>
              <w:t>layer to protect surrounding organs, whereas conservative hysterectomy emphasizes preservation of the cervix and partial ligamentous structures, and is indicated for benign conditions or low-risk tumors.</w:t>
            </w:r>
          </w:p>
        </w:tc>
        <w:tc>
          <w:tcPr>
            <w:tcW w:w="1152" w:type="dxa"/>
            <w:vAlign w:val="center"/>
          </w:tcPr>
          <w:p w14:paraId="39C8C9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6D3D9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83B59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1F4F5D0" w14:textId="77777777">
        <w:tc>
          <w:tcPr>
            <w:tcW w:w="10656" w:type="dxa"/>
            <w:gridSpan w:val="5"/>
            <w:tcBorders>
              <w:bottom w:val="single" w:sz="6" w:space="0" w:color="auto"/>
            </w:tcBorders>
            <w:vAlign w:val="center"/>
          </w:tcPr>
          <w:p w14:paraId="1FA96E3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142: In a vaginal hysterectomy, what is the rationale for determining the length of the upper vagina to be resected?</w:t>
            </w:r>
          </w:p>
        </w:tc>
      </w:tr>
      <w:tr w:rsidR="00922249" w:rsidRPr="00CB2EC4" w14:paraId="4A8F4A4F" w14:textId="77777777">
        <w:tc>
          <w:tcPr>
            <w:tcW w:w="2160" w:type="dxa"/>
            <w:vAlign w:val="center"/>
          </w:tcPr>
          <w:p w14:paraId="6D870640"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007AF59" w14:textId="77777777" w:rsidR="00922249" w:rsidRPr="00CB2EC4" w:rsidRDefault="003011D5">
            <w:pPr>
              <w:rPr>
                <w:rFonts w:ascii="Times New Roman" w:hAnsi="Times New Roman" w:cs="Times New Roman"/>
              </w:rPr>
            </w:pPr>
            <w:r w:rsidRPr="00CB2EC4">
              <w:rPr>
                <w:rFonts w:ascii="Times New Roman" w:hAnsi="Times New Roman" w:cs="Times New Roman"/>
              </w:rPr>
              <w:t>the basis for determining the length of the upper vaginal segment to be resected during vaginal hysterectomy is:</w:t>
            </w:r>
            <w:r w:rsidRPr="00CB2EC4">
              <w:rPr>
                <w:rFonts w:ascii="Times New Roman" w:hAnsi="Times New Roman" w:cs="Times New Roman"/>
              </w:rPr>
              <w:br/>
            </w:r>
            <w:r w:rsidRPr="00CB2EC4">
              <w:rPr>
                <w:rFonts w:ascii="Times New Roman" w:hAnsi="Times New Roman" w:cs="Times New Roman"/>
              </w:rPr>
              <w:br/>
              <w:t>- the resection length should be based on the location of the lesion area as shown by colposcopy or iodine test.</w:t>
            </w:r>
            <w:r w:rsidRPr="00CB2EC4">
              <w:rPr>
                <w:rFonts w:ascii="Times New Roman" w:hAnsi="Times New Roman" w:cs="Times New Roman"/>
              </w:rPr>
              <w:br/>
              <w:t>- specific criterion: resect 0.5 to 0.6 cm below the lesion area.</w:t>
            </w:r>
            <w:r w:rsidRPr="00CB2EC4">
              <w:rPr>
                <w:rFonts w:ascii="Times New Roman" w:hAnsi="Times New Roman" w:cs="Times New Roman"/>
              </w:rPr>
              <w:br/>
              <w:t>- generally, resecting 1 to 2 cm is sufficient, aiming to ensure complete removal of the lesion while avoiding excessive resection that may lead to complications.</w:t>
            </w:r>
            <w:r w:rsidRPr="00CB2EC4">
              <w:rPr>
                <w:rFonts w:ascii="Times New Roman" w:hAnsi="Times New Roman" w:cs="Times New Roman"/>
              </w:rPr>
              <w:br/>
              <w:t>this criterion is designed to balance therapeutic efficacy and surgical safety, reducing the risk of injury to adjacent organs such as the bladder and ureters.</w:t>
            </w:r>
          </w:p>
        </w:tc>
        <w:tc>
          <w:tcPr>
            <w:tcW w:w="1152" w:type="dxa"/>
            <w:vAlign w:val="center"/>
          </w:tcPr>
          <w:p w14:paraId="71DECA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1D33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452A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CC4B49" w14:textId="77777777">
        <w:tc>
          <w:tcPr>
            <w:tcW w:w="2160" w:type="dxa"/>
            <w:vAlign w:val="center"/>
          </w:tcPr>
          <w:p w14:paraId="7622923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7510A53" w14:textId="77777777" w:rsidR="00922249" w:rsidRPr="00CB2EC4" w:rsidRDefault="003011D5">
            <w:pPr>
              <w:rPr>
                <w:rFonts w:ascii="Times New Roman" w:hAnsi="Times New Roman" w:cs="Times New Roman"/>
              </w:rPr>
            </w:pPr>
            <w:r w:rsidRPr="00CB2EC4">
              <w:rPr>
                <w:rFonts w:ascii="Times New Roman" w:hAnsi="Times New Roman" w:cs="Times New Roman"/>
              </w:rPr>
              <w:t>the basis for determining the length of the upper vaginal segment to be resected during a vaginal hysterectomy is as follows:</w:t>
            </w:r>
            <w:r w:rsidRPr="00CB2EC4">
              <w:rPr>
                <w:rFonts w:ascii="Times New Roman" w:hAnsi="Times New Roman" w:cs="Times New Roman"/>
              </w:rPr>
              <w:br/>
            </w:r>
            <w:r w:rsidRPr="00CB2EC4">
              <w:rPr>
                <w:rFonts w:ascii="Times New Roman" w:hAnsi="Times New Roman" w:cs="Times New Roman"/>
              </w:rPr>
              <w:br/>
              <w:t>- The resection length is determined 0.5 to 0.6 cm below the lesion area as indicated by colposcopy or iodine test.</w:t>
            </w:r>
            <w:r w:rsidRPr="00CB2EC4">
              <w:rPr>
                <w:rFonts w:ascii="Times New Roman" w:hAnsi="Times New Roman" w:cs="Times New Roman"/>
              </w:rPr>
              <w:br/>
              <w:t>- Generally, resecting 1 to 2 cm is sufficient to ensure complete removal of the lesion area.</w:t>
            </w:r>
          </w:p>
        </w:tc>
        <w:tc>
          <w:tcPr>
            <w:tcW w:w="1152" w:type="dxa"/>
            <w:vAlign w:val="center"/>
          </w:tcPr>
          <w:p w14:paraId="6B05D5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9E867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CCED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6AE33FE" w14:textId="77777777">
        <w:tc>
          <w:tcPr>
            <w:tcW w:w="2160" w:type="dxa"/>
            <w:vAlign w:val="center"/>
          </w:tcPr>
          <w:p w14:paraId="6370F99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0253B42" w14:textId="77777777" w:rsidR="00922249" w:rsidRPr="00CB2EC4" w:rsidRDefault="003011D5">
            <w:pPr>
              <w:rPr>
                <w:rFonts w:ascii="Times New Roman" w:hAnsi="Times New Roman" w:cs="Times New Roman"/>
              </w:rPr>
            </w:pPr>
            <w:r w:rsidRPr="00CB2EC4">
              <w:rPr>
                <w:rFonts w:ascii="Times New Roman" w:hAnsi="Times New Roman" w:cs="Times New Roman"/>
              </w:rPr>
              <w:t>the basis for determining the length of the upper vaginal segment to be resected during vaginal hysterectomy includes: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the location of the lesion as identified by colposcopy or iodine test, with resection typically performed 0.5–0.6 cm below the lesion area, and 1–2 cm generally considered sufficient (document 6, relevance 0.800);</w:t>
            </w:r>
            <w:r w:rsidRPr="00CB2EC4">
              <w:rPr>
                <w:rFonts w:ascii="Times New Roman" w:hAnsi="Times New Roman" w:cs="Times New Roman"/>
              </w:rPr>
              <w:br/>
              <w:t>- the type of surgical procedure: for B1 type, 1 cm is resected; for C1 type, 2 cm is resected (or adjusted based on actual need) (document 10, relevance 0.800);</w:t>
            </w:r>
            <w:r w:rsidRPr="00CB2EC4">
              <w:rPr>
                <w:rFonts w:ascii="Times New Roman" w:hAnsi="Times New Roman" w:cs="Times New Roman"/>
              </w:rPr>
              <w:br/>
              <w:t>- the need to prevent tumor recurrence: generally, 3 cm of vagina is resected, marked using Meigs forceps, based on cervical lesions (e.g., cauliflower-like lesions) and to prevent tumor shedding (document 13, relevance 0.800);</w:t>
            </w:r>
            <w:r w:rsidRPr="00CB2EC4">
              <w:rPr>
                <w:rFonts w:ascii="Times New Roman" w:hAnsi="Times New Roman" w:cs="Times New Roman"/>
              </w:rPr>
              <w:br/>
              <w:t>- the distance from the lesion to the resection margin: the margin should be no less than 2 cm from the lesion, especially for stage IIA patients, while stage IB patients do not require uniform resection of half the vagina (3.5–4.5 cm) (document 22, relevance 0.700);</w:t>
            </w:r>
            <w:r w:rsidRPr="00CB2EC4">
              <w:rPr>
                <w:rFonts w:ascii="Times New Roman" w:hAnsi="Times New Roman" w:cs="Times New Roman"/>
              </w:rPr>
              <w:br/>
              <w:t>- insufficient vaginal resection is a high-risk factor for recurrence, necessitating adequate resection to reduce recurrence (document 30, relevance 0.700).</w:t>
            </w:r>
            <w:r w:rsidRPr="00CB2EC4">
              <w:rPr>
                <w:rFonts w:ascii="Times New Roman" w:hAnsi="Times New Roman" w:cs="Times New Roman"/>
              </w:rPr>
              <w:br/>
            </w:r>
            <w:r w:rsidRPr="00CB2EC4">
              <w:rPr>
                <w:rFonts w:ascii="Times New Roman" w:hAnsi="Times New Roman" w:cs="Times New Roman"/>
              </w:rPr>
              <w:br/>
              <w:t>in summary, the bases are: lesion location (determined by colposcopy or iodine test), margin distance from lesion (at least 2 cm), surgical classification (e.g., B1 or C1 type), and recurrence prevention (typically 1–3 cm resected). no other bases are provided in the documents.</w:t>
            </w:r>
          </w:p>
        </w:tc>
        <w:tc>
          <w:tcPr>
            <w:tcW w:w="1152" w:type="dxa"/>
            <w:vAlign w:val="center"/>
          </w:tcPr>
          <w:p w14:paraId="2F5EF5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EC7F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F059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9E5BE41" w14:textId="77777777">
        <w:tc>
          <w:tcPr>
            <w:tcW w:w="2160" w:type="dxa"/>
            <w:vAlign w:val="center"/>
          </w:tcPr>
          <w:p w14:paraId="240D7CCE"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479A308" w14:textId="77777777" w:rsidR="00922249" w:rsidRPr="00CB2EC4" w:rsidRDefault="003011D5">
            <w:pPr>
              <w:rPr>
                <w:rFonts w:ascii="Times New Roman" w:hAnsi="Times New Roman" w:cs="Times New Roman"/>
              </w:rPr>
            </w:pPr>
            <w:r w:rsidRPr="00CB2EC4">
              <w:rPr>
                <w:rFonts w:ascii="Times New Roman" w:hAnsi="Times New Roman" w:cs="Times New Roman"/>
              </w:rPr>
              <w:t>the basis for determining the length of the upper vaginal segment to be resected during a vaginal hysterectomy is the lower margin of the lesion area as indicated by colposcopy or iodine test; resection is typically performed below the lesion area.</w:t>
            </w:r>
          </w:p>
        </w:tc>
        <w:tc>
          <w:tcPr>
            <w:tcW w:w="1152" w:type="dxa"/>
            <w:vAlign w:val="center"/>
          </w:tcPr>
          <w:p w14:paraId="39704C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36F8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F38F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AD7E29" w14:textId="77777777">
        <w:tc>
          <w:tcPr>
            <w:tcW w:w="2160" w:type="dxa"/>
            <w:vAlign w:val="center"/>
          </w:tcPr>
          <w:p w14:paraId="7DC0BC5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Document </w:t>
            </w:r>
            <w:r w:rsidRPr="00CB2EC4">
              <w:rPr>
                <w:rFonts w:ascii="Times New Roman" w:hAnsi="Times New Roman" w:cs="Times New Roman"/>
              </w:rPr>
              <w:lastRenderedPageBreak/>
              <w:t>Augmentation</w:t>
            </w:r>
          </w:p>
        </w:tc>
        <w:tc>
          <w:tcPr>
            <w:tcW w:w="5040" w:type="dxa"/>
            <w:vAlign w:val="center"/>
          </w:tcPr>
          <w:p w14:paraId="6605879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the basis for determining the length of the upper </w:t>
            </w:r>
            <w:r w:rsidRPr="00CB2EC4">
              <w:rPr>
                <w:rFonts w:ascii="Times New Roman" w:hAnsi="Times New Roman" w:cs="Times New Roman"/>
              </w:rPr>
              <w:lastRenderedPageBreak/>
              <w:t>vaginal segment to be resected during a vaginal hysterectomy is:</w:t>
            </w:r>
            <w:r w:rsidRPr="00CB2EC4">
              <w:rPr>
                <w:rFonts w:ascii="Times New Roman" w:hAnsi="Times New Roman" w:cs="Times New Roman"/>
              </w:rPr>
              <w:br/>
              <w:t>- the resection length is based on 0.5–0.6 cm below the lesion area as shown by colposcopy or iodine test. Generally, resecting 1–2 cm of the vagina is sufficient to ensure complete removal of the lesion while minimizing the risk of recurrence. This helps balance therapeutic efficacy with preservation of vaginal function.</w:t>
            </w:r>
          </w:p>
        </w:tc>
        <w:tc>
          <w:tcPr>
            <w:tcW w:w="1152" w:type="dxa"/>
            <w:vAlign w:val="center"/>
          </w:tcPr>
          <w:p w14:paraId="7D301B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A94C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DBDC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4E1B5E" w14:textId="77777777">
        <w:tc>
          <w:tcPr>
            <w:tcW w:w="2160" w:type="dxa"/>
            <w:vAlign w:val="center"/>
          </w:tcPr>
          <w:p w14:paraId="71CDD644"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0A1D3B6" w14:textId="77777777" w:rsidR="00922249" w:rsidRPr="00CB2EC4" w:rsidRDefault="003011D5">
            <w:pPr>
              <w:rPr>
                <w:rFonts w:ascii="Times New Roman" w:hAnsi="Times New Roman" w:cs="Times New Roman"/>
              </w:rPr>
            </w:pPr>
            <w:r w:rsidRPr="00CB2EC4">
              <w:rPr>
                <w:rFonts w:ascii="Times New Roman" w:hAnsi="Times New Roman" w:cs="Times New Roman"/>
              </w:rPr>
              <w:t>the basis for determining the length of the upper vaginal segment to be resected during a vaginal hysterectomy is the lesion area indicated by colposcopy or iodine testing. Specifically:</w:t>
            </w:r>
            <w:r w:rsidRPr="00CB2EC4">
              <w:rPr>
                <w:rFonts w:ascii="Times New Roman" w:hAnsi="Times New Roman" w:cs="Times New Roman"/>
              </w:rPr>
              <w:br/>
              <w:t>- the resection length should be 0.5–0.6 cm below the identified lesion area to ensure complete removal of pathological tissue;</w:t>
            </w:r>
            <w:r w:rsidRPr="00CB2EC4">
              <w:rPr>
                <w:rFonts w:ascii="Times New Roman" w:hAnsi="Times New Roman" w:cs="Times New Roman"/>
              </w:rPr>
              <w:br/>
              <w:t>- typically, resecting 1–2 cm of the vagina is sufficient, which effectively reduces the risk of recurrence while avoiding complications from excessive resection.</w:t>
            </w:r>
            <w:r w:rsidRPr="00CB2EC4">
              <w:rPr>
                <w:rFonts w:ascii="Times New Roman" w:hAnsi="Times New Roman" w:cs="Times New Roman"/>
              </w:rPr>
              <w:br/>
              <w:t>This criterion is based on the visual localization of lesions, aiming to maximize therapeutic efficacy while preserving adequate healthy tissue (Source 3).</w:t>
            </w:r>
          </w:p>
        </w:tc>
        <w:tc>
          <w:tcPr>
            <w:tcW w:w="1152" w:type="dxa"/>
            <w:vAlign w:val="center"/>
          </w:tcPr>
          <w:p w14:paraId="5B439A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9A42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FE77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2D9E26" w14:textId="77777777">
        <w:tc>
          <w:tcPr>
            <w:tcW w:w="2160" w:type="dxa"/>
            <w:vAlign w:val="center"/>
          </w:tcPr>
          <w:p w14:paraId="677CEC1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E7A33C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basis for determining the length of the upper vagina to be resected during vaginal hysterectomy is:  </w:t>
            </w:r>
            <w:r w:rsidRPr="00CB2EC4">
              <w:rPr>
                <w:rFonts w:ascii="Times New Roman" w:hAnsi="Times New Roman" w:cs="Times New Roman"/>
              </w:rPr>
              <w:br/>
              <w:t xml:space="preserve">- lesion location: 0.5 to 0.6 cm below the area indicated by colposcopy or iodine test  </w:t>
            </w:r>
            <w:r w:rsidRPr="00CB2EC4">
              <w:rPr>
                <w:rFonts w:ascii="Times New Roman" w:hAnsi="Times New Roman" w:cs="Times New Roman"/>
              </w:rPr>
              <w:br/>
              <w:t xml:space="preserve">- conventional range: generally, resection of 1 to 2 cm is sufficient  </w:t>
            </w:r>
            <w:r w:rsidRPr="00CB2EC4">
              <w:rPr>
                <w:rFonts w:ascii="Times New Roman" w:hAnsi="Times New Roman" w:cs="Times New Roman"/>
              </w:rPr>
              <w:br/>
              <w:t>&gt; basis: explicitly stated in the context information (see end of second section)</w:t>
            </w:r>
          </w:p>
        </w:tc>
        <w:tc>
          <w:tcPr>
            <w:tcW w:w="1152" w:type="dxa"/>
            <w:vAlign w:val="center"/>
          </w:tcPr>
          <w:p w14:paraId="71222C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14A2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AACA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8C0A9A7" w14:textId="77777777">
        <w:tc>
          <w:tcPr>
            <w:tcW w:w="2160" w:type="dxa"/>
            <w:vAlign w:val="center"/>
          </w:tcPr>
          <w:p w14:paraId="1D18C8E3"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ADF5EF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basis for determining the length of the upper vaginal segment to be resected during a vaginal </w:t>
            </w:r>
            <w:r w:rsidRPr="00CB2EC4">
              <w:rPr>
                <w:rFonts w:ascii="Times New Roman" w:hAnsi="Times New Roman" w:cs="Times New Roman"/>
              </w:rPr>
              <w:lastRenderedPageBreak/>
              <w:t>hysterectomy is the area of abnormal tissue identified by colposcopy or iodine testing, with resection performed 0.5 to 0.6 cm below the lesion. Typically, resecting 1 to 2 cm of the vagina is sufficient to ensure complete removal of the lesion while minimizing the risk of recurrence.</w:t>
            </w:r>
          </w:p>
        </w:tc>
        <w:tc>
          <w:tcPr>
            <w:tcW w:w="1152" w:type="dxa"/>
            <w:vAlign w:val="center"/>
          </w:tcPr>
          <w:p w14:paraId="464B13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476D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4150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D5A258" w14:textId="77777777">
        <w:tc>
          <w:tcPr>
            <w:tcW w:w="2160" w:type="dxa"/>
            <w:vAlign w:val="center"/>
          </w:tcPr>
          <w:p w14:paraId="42395D5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DBE74C6" w14:textId="77777777" w:rsidR="00922249" w:rsidRPr="00CB2EC4" w:rsidRDefault="003011D5">
            <w:pPr>
              <w:rPr>
                <w:rFonts w:ascii="Times New Roman" w:hAnsi="Times New Roman" w:cs="Times New Roman"/>
              </w:rPr>
            </w:pPr>
            <w:r w:rsidRPr="00CB2EC4">
              <w:rPr>
                <w:rFonts w:ascii="Times New Roman" w:hAnsi="Times New Roman" w:cs="Times New Roman"/>
              </w:rPr>
              <w:t>the basis for determining the length of the upper vaginal segment to be resected during vaginal hysterectomy is as follows:</w:t>
            </w:r>
            <w:r w:rsidRPr="00CB2EC4">
              <w:rPr>
                <w:rFonts w:ascii="Times New Roman" w:hAnsi="Times New Roman" w:cs="Times New Roman"/>
              </w:rPr>
              <w:br/>
            </w:r>
            <w:r w:rsidRPr="00CB2EC4">
              <w:rPr>
                <w:rFonts w:ascii="Times New Roman" w:hAnsi="Times New Roman" w:cs="Times New Roman"/>
              </w:rPr>
              <w:br/>
              <w:t>- The resection length should be determined based on the lesion area identified by colposcopy or iodine test, with an additional 0.5 to 0.6 cm below the lesion to ensure an adequate safety margin.</w:t>
            </w:r>
            <w:r w:rsidRPr="00CB2EC4">
              <w:rPr>
                <w:rFonts w:ascii="Times New Roman" w:hAnsi="Times New Roman" w:cs="Times New Roman"/>
              </w:rPr>
              <w:br/>
              <w:t>- Generally, resecting 1 to 2 cm of vaginal length is sufficient. This aims to completely remove the diseased tissue while avoiding excessive resection that may lead to complications such as vaginal shortening.</w:t>
            </w:r>
            <w:r w:rsidRPr="00CB2EC4">
              <w:rPr>
                <w:rFonts w:ascii="Times New Roman" w:hAnsi="Times New Roman" w:cs="Times New Roman"/>
              </w:rPr>
              <w:br/>
            </w:r>
            <w:r w:rsidRPr="00CB2EC4">
              <w:rPr>
                <w:rFonts w:ascii="Times New Roman" w:hAnsi="Times New Roman" w:cs="Times New Roman"/>
              </w:rPr>
              <w:br/>
              <w:t>The document emphasizes that resection length must be individualized according to lesion location (e.g., cervix or upper vagina) and examination findings, but the standard resection range is 1–2 cm (source: seventh segment).</w:t>
            </w:r>
          </w:p>
        </w:tc>
        <w:tc>
          <w:tcPr>
            <w:tcW w:w="1152" w:type="dxa"/>
            <w:vAlign w:val="center"/>
          </w:tcPr>
          <w:p w14:paraId="7E92A3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8AC7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18E3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5F1193F" w14:textId="77777777">
        <w:tc>
          <w:tcPr>
            <w:tcW w:w="2160" w:type="dxa"/>
            <w:vAlign w:val="center"/>
          </w:tcPr>
          <w:p w14:paraId="20C1F6D7"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C276D19" w14:textId="77777777" w:rsidR="00922249" w:rsidRPr="00CB2EC4" w:rsidRDefault="003011D5">
            <w:pPr>
              <w:rPr>
                <w:rFonts w:ascii="Times New Roman" w:hAnsi="Times New Roman" w:cs="Times New Roman"/>
              </w:rPr>
            </w:pPr>
            <w:r w:rsidRPr="00CB2EC4">
              <w:rPr>
                <w:rFonts w:ascii="Times New Roman" w:hAnsi="Times New Roman" w:cs="Times New Roman"/>
              </w:rPr>
              <w:t>the basis for determining the length of the upper vaginal segment to be resected during vaginal hysterectomy is as follows:</w:t>
            </w:r>
            <w:r w:rsidRPr="00CB2EC4">
              <w:rPr>
                <w:rFonts w:ascii="Times New Roman" w:hAnsi="Times New Roman" w:cs="Times New Roman"/>
              </w:rPr>
              <w:br/>
            </w:r>
            <w:r w:rsidRPr="00CB2EC4">
              <w:rPr>
                <w:rFonts w:ascii="Times New Roman" w:hAnsi="Times New Roman" w:cs="Times New Roman"/>
              </w:rPr>
              <w:br/>
              <w:t>- Standard criterion: The resection length should be determined 0.5–0.6 cm below the lesion area as indicated by colposcopy or iodine test.</w:t>
            </w:r>
            <w:r w:rsidRPr="00CB2EC4">
              <w:rPr>
                <w:rFonts w:ascii="Times New Roman" w:hAnsi="Times New Roman" w:cs="Times New Roman"/>
              </w:rPr>
              <w:br/>
              <w:t>- General criterion: Typically, resection of 1–2 cm of the vagina is sufficient.</w:t>
            </w:r>
            <w:r w:rsidRPr="00CB2EC4">
              <w:rPr>
                <w:rFonts w:ascii="Times New Roman" w:hAnsi="Times New Roman" w:cs="Times New Roman"/>
              </w:rPr>
              <w:br/>
            </w:r>
            <w:r w:rsidRPr="00CB2EC4">
              <w:rPr>
                <w:rFonts w:ascii="Times New Roman" w:hAnsi="Times New Roman" w:cs="Times New Roman"/>
              </w:rPr>
              <w:lastRenderedPageBreak/>
              <w:br/>
              <w:t>This basis ensures complete removal of potentially affected areas while avoiding injury to adjacent organs such as the bladder and ureters.</w:t>
            </w:r>
          </w:p>
        </w:tc>
        <w:tc>
          <w:tcPr>
            <w:tcW w:w="1152" w:type="dxa"/>
            <w:vAlign w:val="center"/>
          </w:tcPr>
          <w:p w14:paraId="1F912D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F8B64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18993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C23B4DD" w14:textId="77777777">
        <w:tc>
          <w:tcPr>
            <w:tcW w:w="2160" w:type="dxa"/>
            <w:vAlign w:val="center"/>
          </w:tcPr>
          <w:p w14:paraId="1D62619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247110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basis for determining the length of the upper vaginal segment to be resected during vaginal hysterectomy is the location of the lesion as indicated by colposcopy or iodine test. Specifically:  </w:t>
            </w:r>
            <w:r w:rsidRPr="00CB2EC4">
              <w:rPr>
                <w:rFonts w:ascii="Times New Roman" w:hAnsi="Times New Roman" w:cs="Times New Roman"/>
              </w:rPr>
              <w:br/>
              <w:t xml:space="preserve">- The resection length should be 0.5 to 0.6 cm below the lesion area, and typically resecting 1 to 2 cm is sufficient. This ensures complete removal of the diseased tissue while minimizing the risk of recurrence (source segment with similarity 0.522).  </w:t>
            </w:r>
            <w:r w:rsidRPr="00CB2EC4">
              <w:rPr>
                <w:rFonts w:ascii="Times New Roman" w:hAnsi="Times New Roman" w:cs="Times New Roman"/>
              </w:rPr>
              <w:br/>
              <w:t>This criterion is based on the visual localization of the lesion, with the aim of thoroughly clearing the affected area.</w:t>
            </w:r>
          </w:p>
        </w:tc>
        <w:tc>
          <w:tcPr>
            <w:tcW w:w="1152" w:type="dxa"/>
            <w:vAlign w:val="center"/>
          </w:tcPr>
          <w:p w14:paraId="5B645F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4A43F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1D53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15585F" w14:textId="77777777">
        <w:tc>
          <w:tcPr>
            <w:tcW w:w="2160" w:type="dxa"/>
            <w:vAlign w:val="center"/>
          </w:tcPr>
          <w:p w14:paraId="70DE4545"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A1450B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basis for determining the length of the upper vaginal segment to be resected during a vaginal hysterectomy is as follows:  </w:t>
            </w:r>
            <w:r w:rsidRPr="00CB2EC4">
              <w:rPr>
                <w:rFonts w:ascii="Times New Roman" w:hAnsi="Times New Roman" w:cs="Times New Roman"/>
              </w:rPr>
              <w:br/>
              <w:t>the resection length should be 0.5 to 0.6 cm below the lesion area as indicated by colposcopy or iodine test, and generally, a resection of 1 to 2 cm is sufficient. this standard aims to ensure complete removal of the lesion while avoiding excessive resection.</w:t>
            </w:r>
          </w:p>
        </w:tc>
        <w:tc>
          <w:tcPr>
            <w:tcW w:w="1152" w:type="dxa"/>
            <w:vAlign w:val="center"/>
          </w:tcPr>
          <w:p w14:paraId="186A59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F55A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9437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D42EAF" w14:textId="77777777">
        <w:tc>
          <w:tcPr>
            <w:tcW w:w="2160" w:type="dxa"/>
            <w:vAlign w:val="center"/>
          </w:tcPr>
          <w:p w14:paraId="1BEBEFA2"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554D964" w14:textId="77777777" w:rsidR="00922249" w:rsidRPr="00CB2EC4" w:rsidRDefault="003011D5">
            <w:pPr>
              <w:rPr>
                <w:rFonts w:ascii="Times New Roman" w:hAnsi="Times New Roman" w:cs="Times New Roman"/>
              </w:rPr>
            </w:pPr>
            <w:r w:rsidRPr="00CB2EC4">
              <w:rPr>
                <w:rFonts w:ascii="Times New Roman" w:hAnsi="Times New Roman" w:cs="Times New Roman"/>
              </w:rPr>
              <w:t>the basis for determining the length of the upper vaginal segment to be resected during a vaginal hysterectomy is as follows:</w:t>
            </w:r>
            <w:r w:rsidRPr="00CB2EC4">
              <w:rPr>
                <w:rFonts w:ascii="Times New Roman" w:hAnsi="Times New Roman" w:cs="Times New Roman"/>
              </w:rPr>
              <w:br/>
            </w:r>
            <w:r w:rsidRPr="00CB2EC4">
              <w:rPr>
                <w:rFonts w:ascii="Times New Roman" w:hAnsi="Times New Roman" w:cs="Times New Roman"/>
              </w:rPr>
              <w:br/>
              <w:t xml:space="preserve">- The resection length should be 0.5 to 0.6 cm below the lesion area as indicated by colposcopy or iodine testing.  </w:t>
            </w:r>
            <w:r w:rsidRPr="00CB2EC4">
              <w:rPr>
                <w:rFonts w:ascii="Times New Roman" w:hAnsi="Times New Roman" w:cs="Times New Roman"/>
              </w:rPr>
              <w:br/>
              <w:t xml:space="preserve">- Typically, resecting 1 to 2 cm of the vagina is sufficient to ensure complete removal of the lesion </w:t>
            </w:r>
            <w:r w:rsidRPr="00CB2EC4">
              <w:rPr>
                <w:rFonts w:ascii="Times New Roman" w:hAnsi="Times New Roman" w:cs="Times New Roman"/>
              </w:rPr>
              <w:lastRenderedPageBreak/>
              <w:t xml:space="preserve">while avoiding injury to adjacent organs (such as the bladder and ureters).  </w:t>
            </w:r>
            <w:r w:rsidRPr="00CB2EC4">
              <w:rPr>
                <w:rFonts w:ascii="Times New Roman" w:hAnsi="Times New Roman" w:cs="Times New Roman"/>
              </w:rPr>
              <w:br/>
              <w:t>This criterion is based on the localization of the lesion to minimize the risk of recurrence.</w:t>
            </w:r>
          </w:p>
        </w:tc>
        <w:tc>
          <w:tcPr>
            <w:tcW w:w="1152" w:type="dxa"/>
            <w:vAlign w:val="center"/>
          </w:tcPr>
          <w:p w14:paraId="6324AC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0F560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794E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87D385A" w14:textId="77777777">
        <w:tc>
          <w:tcPr>
            <w:tcW w:w="2160" w:type="dxa"/>
            <w:vAlign w:val="center"/>
          </w:tcPr>
          <w:p w14:paraId="3F0FCFB5"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CA02E51" w14:textId="77777777" w:rsidR="00922249" w:rsidRPr="00CB2EC4" w:rsidRDefault="003011D5">
            <w:pPr>
              <w:rPr>
                <w:rFonts w:ascii="Times New Roman" w:hAnsi="Times New Roman" w:cs="Times New Roman"/>
              </w:rPr>
            </w:pPr>
            <w:r w:rsidRPr="00CB2EC4">
              <w:rPr>
                <w:rFonts w:ascii="Times New Roman" w:hAnsi="Times New Roman" w:cs="Times New Roman"/>
              </w:rPr>
              <w:t>the basis for determining the length of the upper vaginal segment to be resected during a vaginal hysterectomy is as follows:</w:t>
            </w:r>
            <w:r w:rsidRPr="00CB2EC4">
              <w:rPr>
                <w:rFonts w:ascii="Times New Roman" w:hAnsi="Times New Roman" w:cs="Times New Roman"/>
              </w:rPr>
              <w:br/>
            </w:r>
            <w:r w:rsidRPr="00CB2EC4">
              <w:rPr>
                <w:rFonts w:ascii="Times New Roman" w:hAnsi="Times New Roman" w:cs="Times New Roman"/>
              </w:rPr>
              <w:br/>
              <w:t xml:space="preserve">- **Benign conditions**: The resection length is typically 1–2 cm to ensure safe closure of the vaginal cuff and reduce postoperative complications such as prolapse or infection.  </w:t>
            </w:r>
            <w:r w:rsidRPr="00CB2EC4">
              <w:rPr>
                <w:rFonts w:ascii="Times New Roman" w:hAnsi="Times New Roman" w:cs="Times New Roman"/>
              </w:rPr>
              <w:br/>
              <w:t>- **Malignant or precancerous conditions (e.g., cervical intraepithelial neoplasia)**: The resection length must be at least 2 cm to achieve negative surgical margins (no residual disease) and minimize recurrence risk. The specific length is adjusted based on preoperative assessment, including lesion size and location, to comply with oncological safety principles.</w:t>
            </w:r>
          </w:p>
        </w:tc>
        <w:tc>
          <w:tcPr>
            <w:tcW w:w="1152" w:type="dxa"/>
            <w:vAlign w:val="center"/>
          </w:tcPr>
          <w:p w14:paraId="081DB1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63F4B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5480F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3D17068" w14:textId="77777777">
        <w:tc>
          <w:tcPr>
            <w:tcW w:w="10656" w:type="dxa"/>
            <w:gridSpan w:val="5"/>
            <w:tcBorders>
              <w:bottom w:val="single" w:sz="6" w:space="0" w:color="auto"/>
            </w:tcBorders>
            <w:vAlign w:val="center"/>
          </w:tcPr>
          <w:p w14:paraId="26E7C08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143: How are the uterine vessels and the cardinal ligament managed during a simple hysterectomy?</w:t>
            </w:r>
          </w:p>
        </w:tc>
      </w:tr>
      <w:tr w:rsidR="00922249" w:rsidRPr="00CB2EC4" w14:paraId="0C464D15" w14:textId="77777777">
        <w:tc>
          <w:tcPr>
            <w:tcW w:w="2160" w:type="dxa"/>
            <w:vAlign w:val="center"/>
          </w:tcPr>
          <w:p w14:paraId="34D2013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784DCF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Management of uterine vessels:  </w:t>
            </w:r>
            <w:r w:rsidRPr="00CB2EC4">
              <w:rPr>
                <w:rFonts w:ascii="Times New Roman" w:hAnsi="Times New Roman" w:cs="Times New Roman"/>
              </w:rPr>
              <w:br/>
              <w:t xml:space="preserve">  - Reduce the parametrial connective tissue to expose the uterine vessels.  </w:t>
            </w:r>
            <w:r w:rsidRPr="00CB2EC4">
              <w:rPr>
                <w:rFonts w:ascii="Times New Roman" w:hAnsi="Times New Roman" w:cs="Times New Roman"/>
              </w:rPr>
              <w:br/>
              <w:t xml:space="preserve">  - Clamp, cut, and doubly ligate with 7-gauge silk thread close to the cervix.  </w:t>
            </w:r>
            <w:r w:rsidRPr="00CB2EC4">
              <w:rPr>
                <w:rFonts w:ascii="Times New Roman" w:hAnsi="Times New Roman" w:cs="Times New Roman"/>
              </w:rPr>
              <w:br/>
              <w:t xml:space="preserve">- Management of the cardinal ligament:  </w:t>
            </w:r>
            <w:r w:rsidRPr="00CB2EC4">
              <w:rPr>
                <w:rFonts w:ascii="Times New Roman" w:hAnsi="Times New Roman" w:cs="Times New Roman"/>
              </w:rPr>
              <w:br/>
              <w:t xml:space="preserve">  - The cardinal ligament and part of the paravaginal tissue are managed similarly: clamp, cut, and suture-ligate.  </w:t>
            </w:r>
            <w:r w:rsidRPr="00CB2EC4">
              <w:rPr>
                <w:rFonts w:ascii="Times New Roman" w:hAnsi="Times New Roman" w:cs="Times New Roman"/>
              </w:rPr>
              <w:br/>
              <w:t xml:space="preserve">  - Generally, the cardinal ligament and uterosacral ligament can be clamped, cut, and suture-ligated simultaneously.  </w:t>
            </w:r>
            <w:r w:rsidRPr="00CB2EC4">
              <w:rPr>
                <w:rFonts w:ascii="Times New Roman" w:hAnsi="Times New Roman" w:cs="Times New Roman"/>
              </w:rPr>
              <w:br/>
              <w:t xml:space="preserve">  - If the two ligaments are too far apart to manage </w:t>
            </w:r>
            <w:r w:rsidRPr="00CB2EC4">
              <w:rPr>
                <w:rFonts w:ascii="Times New Roman" w:hAnsi="Times New Roman" w:cs="Times New Roman"/>
              </w:rPr>
              <w:lastRenderedPageBreak/>
              <w:t xml:space="preserve">together, the uterosacral ligament may be handled separately before or after the cardinal ligament (e.g., manage the cardinal ligament first up to the lateral fornix).  </w:t>
            </w:r>
            <w:r w:rsidRPr="00CB2EC4">
              <w:rPr>
                <w:rFonts w:ascii="Times New Roman" w:hAnsi="Times New Roman" w:cs="Times New Roman"/>
              </w:rPr>
              <w:br/>
              <w:t>This procedure emphasizes operating close to the cervix to reduce the risk of ureteral injury and uses suture-ligation techniques to prevent bleeding.</w:t>
            </w:r>
          </w:p>
        </w:tc>
        <w:tc>
          <w:tcPr>
            <w:tcW w:w="1152" w:type="dxa"/>
            <w:vAlign w:val="center"/>
          </w:tcPr>
          <w:p w14:paraId="3F1CD4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001DF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E668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343C53" w14:textId="77777777">
        <w:tc>
          <w:tcPr>
            <w:tcW w:w="2160" w:type="dxa"/>
            <w:vAlign w:val="center"/>
          </w:tcPr>
          <w:p w14:paraId="0007E058"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9364EE9" w14:textId="77777777" w:rsidR="00922249" w:rsidRPr="00CB2EC4" w:rsidRDefault="003011D5">
            <w:pPr>
              <w:rPr>
                <w:rFonts w:ascii="Times New Roman" w:hAnsi="Times New Roman" w:cs="Times New Roman"/>
              </w:rPr>
            </w:pPr>
            <w:r w:rsidRPr="00CB2EC4">
              <w:rPr>
                <w:rFonts w:ascii="Times New Roman" w:hAnsi="Times New Roman" w:cs="Times New Roman"/>
              </w:rPr>
              <w:t>management of uterine vessels and cardinal ligaments during conservative hysterectomy:</w:t>
            </w:r>
            <w:r w:rsidRPr="00CB2EC4">
              <w:rPr>
                <w:rFonts w:ascii="Times New Roman" w:hAnsi="Times New Roman" w:cs="Times New Roman"/>
              </w:rPr>
              <w:br/>
            </w:r>
            <w:r w:rsidRPr="00CB2EC4">
              <w:rPr>
                <w:rFonts w:ascii="Times New Roman" w:hAnsi="Times New Roman" w:cs="Times New Roman"/>
              </w:rPr>
              <w:br/>
              <w:t>procedure steps (document fragments 2, 9):</w:t>
            </w:r>
            <w:r w:rsidRPr="00CB2EC4">
              <w:rPr>
                <w:rFonts w:ascii="Times New Roman" w:hAnsi="Times New Roman" w:cs="Times New Roman"/>
              </w:rPr>
              <w:br/>
              <w:t xml:space="preserve">  - management of uterine vessels: clamp the isthmic portion of the fallopian tube and the proper ovarian ligament closely adjacent to the uterine cornu using a hemostat, divide, and ligate twice with 7-0 suture (Figures 4-34 to 4-36).</w:t>
            </w:r>
            <w:r w:rsidRPr="00CB2EC4">
              <w:rPr>
                <w:rFonts w:ascii="Times New Roman" w:hAnsi="Times New Roman" w:cs="Times New Roman"/>
              </w:rPr>
              <w:br/>
              <w:t xml:space="preserve">  - management of cardinal ligaments: after exposing the lateral vesical fossa, clamp, divide, and resect the cardinal ligament in segments; the resection extent is 1/2 of the cardinal ligament (Figure 7-10), and the stump is ligated with 7-0 suture.</w:t>
            </w:r>
            <w:r w:rsidRPr="00CB2EC4">
              <w:rPr>
                <w:rFonts w:ascii="Times New Roman" w:hAnsi="Times New Roman" w:cs="Times New Roman"/>
              </w:rPr>
              <w:br/>
              <w:t xml:space="preserve">  - key point: the procedure must be performed close to the cervix to avoid injury to the ureter.</w:t>
            </w:r>
          </w:p>
        </w:tc>
        <w:tc>
          <w:tcPr>
            <w:tcW w:w="1152" w:type="dxa"/>
            <w:vAlign w:val="center"/>
          </w:tcPr>
          <w:p w14:paraId="437E0A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55E02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28AB4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5F6931C" w14:textId="77777777">
        <w:tc>
          <w:tcPr>
            <w:tcW w:w="2160" w:type="dxa"/>
            <w:vAlign w:val="center"/>
          </w:tcPr>
          <w:p w14:paraId="64FB1F21"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0E6333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Management of uterine vessels:  </w:t>
            </w:r>
            <w:r w:rsidRPr="00CB2EC4">
              <w:rPr>
                <w:rFonts w:ascii="Times New Roman" w:hAnsi="Times New Roman" w:cs="Times New Roman"/>
              </w:rPr>
              <w:br/>
              <w:t xml:space="preserve">  - Ligate the cervical and vaginal branches of the uterine artery, preserving the ascending branch to maintain vascular communication between the uterus and ovary. The uterine artery is not divided at its main trunk; only the cervical and vaginal branches are cut.  </w:t>
            </w:r>
            <w:r w:rsidRPr="00CB2EC4">
              <w:rPr>
                <w:rFonts w:ascii="Times New Roman" w:hAnsi="Times New Roman" w:cs="Times New Roman"/>
              </w:rPr>
              <w:br/>
              <w:t xml:space="preserve">  - When dissecting and dividing the uterine artery, clear the surrounding tissue and ensure no enlarged lymph nodes are present before transecting the uterine branch.  </w:t>
            </w:r>
            <w:r w:rsidRPr="00CB2EC4">
              <w:rPr>
                <w:rFonts w:ascii="Times New Roman" w:hAnsi="Times New Roman" w:cs="Times New Roman"/>
              </w:rPr>
              <w:br/>
            </w:r>
            <w:r w:rsidRPr="00CB2EC4">
              <w:rPr>
                <w:rFonts w:ascii="Times New Roman" w:hAnsi="Times New Roman" w:cs="Times New Roman"/>
              </w:rPr>
              <w:lastRenderedPageBreak/>
              <w:t xml:space="preserve">  - Clamp, cut, and ligate the uterine vessels during the procedure.  </w:t>
            </w:r>
            <w:r w:rsidRPr="00CB2EC4">
              <w:rPr>
                <w:rFonts w:ascii="Times New Roman" w:hAnsi="Times New Roman" w:cs="Times New Roman"/>
              </w:rPr>
              <w:br/>
              <w:t xml:space="preserve">- Management of the cardinal ligament:  </w:t>
            </w:r>
            <w:r w:rsidRPr="00CB2EC4">
              <w:rPr>
                <w:rFonts w:ascii="Times New Roman" w:hAnsi="Times New Roman" w:cs="Times New Roman"/>
              </w:rPr>
              <w:br/>
              <w:t xml:space="preserve">  - Transect the cardinal ligament 2 cm lateral to the cervix.  </w:t>
            </w:r>
            <w:r w:rsidRPr="00CB2EC4">
              <w:rPr>
                <w:rFonts w:ascii="Times New Roman" w:hAnsi="Times New Roman" w:cs="Times New Roman"/>
              </w:rPr>
              <w:br/>
              <w:t xml:space="preserve">  - In conservative total hysterectomy, clamp, cut, and divide the parametrial and paravaginal tissues, including the cardinal ligament, along the lateral aspect of the cervix.  </w:t>
            </w:r>
            <w:r w:rsidRPr="00CB2EC4">
              <w:rPr>
                <w:rFonts w:ascii="Times New Roman" w:hAnsi="Times New Roman" w:cs="Times New Roman"/>
              </w:rPr>
              <w:br/>
              <w:t xml:space="preserve">  - Use a medium S retractor to expose the bladder lateral fossa, clamp, cut, and suture-ligate the cardinal ligament in steps, resecting half of the cardinal ligament.  </w:t>
            </w:r>
            <w:r w:rsidRPr="00CB2EC4">
              <w:rPr>
                <w:rFonts w:ascii="Times New Roman" w:hAnsi="Times New Roman" w:cs="Times New Roman"/>
              </w:rPr>
              <w:br/>
              <w:t xml:space="preserve">  - For vaginal hysterectomy (a conservative approach), clamp the cardinal ligament close to the cervix with a vascular clamp, cut it, and suture-ligate it with 7-0 silk thread.  </w:t>
            </w:r>
            <w:r w:rsidRPr="00CB2EC4">
              <w:rPr>
                <w:rFonts w:ascii="Times New Roman" w:hAnsi="Times New Roman" w:cs="Times New Roman"/>
              </w:rPr>
              <w:br/>
            </w:r>
            <w:r w:rsidRPr="00CB2EC4">
              <w:rPr>
                <w:rFonts w:ascii="Times New Roman" w:hAnsi="Times New Roman" w:cs="Times New Roman"/>
              </w:rPr>
              <w:br/>
              <w:t>In summary, the techniques involve clamping, cutting, and ligating the uterine vessels (with emphasis on preserving the ascending branch) and the cardinal ligament (resected at 2 cm lateral to the cervix or half of the ligament), with dissection performed close to the cervix to avoid ureteral injury. No additional details are provided in the documents.</w:t>
            </w:r>
          </w:p>
        </w:tc>
        <w:tc>
          <w:tcPr>
            <w:tcW w:w="1152" w:type="dxa"/>
            <w:vAlign w:val="center"/>
          </w:tcPr>
          <w:p w14:paraId="6A48AD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141BC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1DD68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58B9CED" w14:textId="77777777">
        <w:tc>
          <w:tcPr>
            <w:tcW w:w="2160" w:type="dxa"/>
            <w:vAlign w:val="center"/>
          </w:tcPr>
          <w:p w14:paraId="4F766F4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D97523B" w14:textId="77777777" w:rsidR="00922249" w:rsidRPr="00CB2EC4" w:rsidRDefault="003011D5">
            <w:pPr>
              <w:rPr>
                <w:rFonts w:ascii="Times New Roman" w:hAnsi="Times New Roman" w:cs="Times New Roman"/>
              </w:rPr>
            </w:pPr>
            <w:r w:rsidRPr="00CB2EC4">
              <w:rPr>
                <w:rFonts w:ascii="Times New Roman" w:hAnsi="Times New Roman" w:cs="Times New Roman"/>
              </w:rPr>
              <w:t>management of uterine vessels and cardinal ligaments during conservative hysterectomy:</w:t>
            </w:r>
            <w:r w:rsidRPr="00CB2EC4">
              <w:rPr>
                <w:rFonts w:ascii="Times New Roman" w:hAnsi="Times New Roman" w:cs="Times New Roman"/>
              </w:rPr>
              <w:br/>
            </w:r>
            <w:r w:rsidRPr="00CB2EC4">
              <w:rPr>
                <w:rFonts w:ascii="Times New Roman" w:hAnsi="Times New Roman" w:cs="Times New Roman"/>
              </w:rPr>
              <w:br/>
              <w:t>- Uterine vessel management: Expose the uterine artery and vein at the isthmic level of the uterus. Bipolar electrocoagulate or clamp with vascular clips and then divide.</w:t>
            </w:r>
            <w:r w:rsidRPr="00CB2EC4">
              <w:rPr>
                <w:rFonts w:ascii="Times New Roman" w:hAnsi="Times New Roman" w:cs="Times New Roman"/>
              </w:rPr>
              <w:br/>
              <w:t xml:space="preserve">- Cardinal ligament management: Traction the uterus laterally and superiorly to expose the cardinal </w:t>
            </w:r>
            <w:r w:rsidRPr="00CB2EC4">
              <w:rPr>
                <w:rFonts w:ascii="Times New Roman" w:hAnsi="Times New Roman" w:cs="Times New Roman"/>
              </w:rPr>
              <w:lastRenderedPageBreak/>
              <w:t>ligament. Bipolar electrocoagulate and divide at its origin (without involving the ureteral bed).</w:t>
            </w:r>
            <w:r w:rsidRPr="00CB2EC4">
              <w:rPr>
                <w:rFonts w:ascii="Times New Roman" w:hAnsi="Times New Roman" w:cs="Times New Roman"/>
              </w:rPr>
              <w:br/>
              <w:t xml:space="preserve">  Source: Knowledge base document (Radical Total Hysterectomy and Cervical Cancer Surgery chapters).</w:t>
            </w:r>
          </w:p>
        </w:tc>
        <w:tc>
          <w:tcPr>
            <w:tcW w:w="1152" w:type="dxa"/>
            <w:vAlign w:val="center"/>
          </w:tcPr>
          <w:p w14:paraId="013A62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7E928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6C458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528F18D" w14:textId="77777777">
        <w:tc>
          <w:tcPr>
            <w:tcW w:w="2160" w:type="dxa"/>
            <w:vAlign w:val="center"/>
          </w:tcPr>
          <w:p w14:paraId="480FF807"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7AB0CC5" w14:textId="77777777" w:rsidR="00922249" w:rsidRPr="00CB2EC4" w:rsidRDefault="003011D5">
            <w:pPr>
              <w:rPr>
                <w:rFonts w:ascii="Times New Roman" w:hAnsi="Times New Roman" w:cs="Times New Roman"/>
              </w:rPr>
            </w:pPr>
            <w:r w:rsidRPr="00CB2EC4">
              <w:rPr>
                <w:rFonts w:ascii="Times New Roman" w:hAnsi="Times New Roman" w:cs="Times New Roman"/>
              </w:rPr>
              <w:t>in conservative (standard total) hysterectomy, the management of uterine vessels and cardinal ligaments is as follows:</w:t>
            </w:r>
            <w:r w:rsidRPr="00CB2EC4">
              <w:rPr>
                <w:rFonts w:ascii="Times New Roman" w:hAnsi="Times New Roman" w:cs="Times New Roman"/>
              </w:rPr>
              <w:br/>
            </w:r>
            <w:r w:rsidRPr="00CB2EC4">
              <w:rPr>
                <w:rFonts w:ascii="Times New Roman" w:hAnsi="Times New Roman" w:cs="Times New Roman"/>
              </w:rPr>
              <w:br/>
              <w:t>- Management of uterine vessels: The procedure is performed along the lateral aspect of the cervix. The parametrial and paravaginal tissues, including the uterine vessels, are clamped, cut, and ligated. The operation must be performed close to the cervix to avoid ureteral injury, though it may involve resection of some cervical tissue. Specific steps include exposing the parametrial tissues, then clamping, cutting, and suturing the relevant vessels.</w:t>
            </w:r>
            <w:r w:rsidRPr="00CB2EC4">
              <w:rPr>
                <w:rFonts w:ascii="Times New Roman" w:hAnsi="Times New Roman" w:cs="Times New Roman"/>
              </w:rPr>
              <w:br/>
              <w:t>- Management of cardinal ligaments: As part of the parametrial tissues, the cardinal ligaments are clamped, cut, and ligated together. Document fragment 16, in the steps of vaginal hysterectomy, states: use a vascular clamp to grasp the cardinal ligament tightly against the uterine cervix, cut it, then suture-ligate it with 7-gauge silk thread, retaining the suture as a marker.</w:t>
            </w:r>
            <w:r w:rsidRPr="00CB2EC4">
              <w:rPr>
                <w:rFonts w:ascii="Times New Roman" w:hAnsi="Times New Roman" w:cs="Times New Roman"/>
              </w:rPr>
              <w:br/>
            </w:r>
            <w:r w:rsidRPr="00CB2EC4">
              <w:rPr>
                <w:rFonts w:ascii="Times New Roman" w:hAnsi="Times New Roman" w:cs="Times New Roman"/>
              </w:rPr>
              <w:br/>
              <w:t>Summary of management: The uterine vessels and cardinal ligaments are handled by clamping, cutting, and ligating, with emphasis on operating close to the cervix to reduce the risk of ureteral injury.</w:t>
            </w:r>
          </w:p>
        </w:tc>
        <w:tc>
          <w:tcPr>
            <w:tcW w:w="1152" w:type="dxa"/>
            <w:vAlign w:val="center"/>
          </w:tcPr>
          <w:p w14:paraId="6815AE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D20C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42EA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F9625C" w14:textId="77777777">
        <w:tc>
          <w:tcPr>
            <w:tcW w:w="2160" w:type="dxa"/>
            <w:vAlign w:val="center"/>
          </w:tcPr>
          <w:p w14:paraId="3EC79BD8"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AB27D6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Management of uterine vessels: The surgical approach does not require exposure of the ureteric tunnel in the parametrium. Instead, clamp, cut, and </w:t>
            </w:r>
            <w:r w:rsidRPr="00CB2EC4">
              <w:rPr>
                <w:rFonts w:ascii="Times New Roman" w:hAnsi="Times New Roman" w:cs="Times New Roman"/>
              </w:rPr>
              <w:lastRenderedPageBreak/>
              <w:t>ligate the parametrial and paravaginal tissues along the lateral aspect of the cervix, including the cervicovesical ligament. This avoids direct manipulation of the ureter and reduces the risk of injury.</w:t>
            </w:r>
            <w:r w:rsidRPr="00CB2EC4">
              <w:rPr>
                <w:rFonts w:ascii="Times New Roman" w:hAnsi="Times New Roman" w:cs="Times New Roman"/>
              </w:rPr>
              <w:br/>
              <w:t>- Management of the cardinal ligament: Operate immediately adjacent to the cervix. Clamp and divide the cardinal ligament close to the cervical and uterine margins. This ensures adequate resection while avoiding ureteral dissection.</w:t>
            </w:r>
            <w:r w:rsidRPr="00CB2EC4">
              <w:rPr>
                <w:rFonts w:ascii="Times New Roman" w:hAnsi="Times New Roman" w:cs="Times New Roman"/>
              </w:rPr>
              <w:br/>
            </w:r>
            <w:r w:rsidRPr="00CB2EC4">
              <w:rPr>
                <w:rFonts w:ascii="Times New Roman" w:hAnsi="Times New Roman" w:cs="Times New Roman"/>
              </w:rPr>
              <w:br/>
              <w:t>This technique emphasizes "parametrial dissection close to the cervix" to minimize urogenital complications but may involve resection of some cervical tissue (as per Document 2 and Document 5).</w:t>
            </w:r>
          </w:p>
        </w:tc>
        <w:tc>
          <w:tcPr>
            <w:tcW w:w="1152" w:type="dxa"/>
            <w:vAlign w:val="center"/>
          </w:tcPr>
          <w:p w14:paraId="7C8244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C8883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C233D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0BF7BA" w14:textId="77777777">
        <w:tc>
          <w:tcPr>
            <w:tcW w:w="2160" w:type="dxa"/>
            <w:vAlign w:val="center"/>
          </w:tcPr>
          <w:p w14:paraId="003F276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1D6AAC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Management of uterine vessels:  </w:t>
            </w:r>
            <w:r w:rsidRPr="00CB2EC4">
              <w:rPr>
                <w:rFonts w:ascii="Times New Roman" w:hAnsi="Times New Roman" w:cs="Times New Roman"/>
              </w:rPr>
              <w:br/>
              <w:t xml:space="preserve">   - After exposing the ovarian vessels, clamp, divide, and doubly suture or ligate the proximal stump.  </w:t>
            </w:r>
            <w:r w:rsidRPr="00CB2EC4">
              <w:rPr>
                <w:rFonts w:ascii="Times New Roman" w:hAnsi="Times New Roman" w:cs="Times New Roman"/>
              </w:rPr>
              <w:br/>
              <w:t xml:space="preserve">   - Management of round ligament: Divide at the midportion, ligate the stump.  </w:t>
            </w:r>
            <w:r w:rsidRPr="00CB2EC4">
              <w:rPr>
                <w:rFonts w:ascii="Times New Roman" w:hAnsi="Times New Roman" w:cs="Times New Roman"/>
              </w:rPr>
              <w:br/>
              <w:t xml:space="preserve">2. Management of cardinal ligament:  </w:t>
            </w:r>
            <w:r w:rsidRPr="00CB2EC4">
              <w:rPr>
                <w:rFonts w:ascii="Times New Roman" w:hAnsi="Times New Roman" w:cs="Times New Roman"/>
              </w:rPr>
              <w:br/>
              <w:t xml:space="preserve">   - Operate immediately adjacent to the lateral aspect of the uterine cervix, clamp and divide the cardinal ligament in stages.  </w:t>
            </w:r>
            <w:r w:rsidRPr="00CB2EC4">
              <w:rPr>
                <w:rFonts w:ascii="Times New Roman" w:hAnsi="Times New Roman" w:cs="Times New Roman"/>
              </w:rPr>
              <w:br/>
              <w:t xml:space="preserve">   - To avoid ureteral injury, clamp the paracervical tissue as close to the cervix as possible (may involve cervical tissue).  </w:t>
            </w:r>
            <w:r w:rsidRPr="00CB2EC4">
              <w:rPr>
                <w:rFonts w:ascii="Times New Roman" w:hAnsi="Times New Roman" w:cs="Times New Roman"/>
              </w:rPr>
              <w:br/>
              <w:t>&gt; Reference: Surgical techniques section (see Part III and Part VII).</w:t>
            </w:r>
          </w:p>
        </w:tc>
        <w:tc>
          <w:tcPr>
            <w:tcW w:w="1152" w:type="dxa"/>
            <w:vAlign w:val="center"/>
          </w:tcPr>
          <w:p w14:paraId="736255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7359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2CCE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E1D82B" w14:textId="77777777">
        <w:tc>
          <w:tcPr>
            <w:tcW w:w="2160" w:type="dxa"/>
            <w:vAlign w:val="center"/>
          </w:tcPr>
          <w:p w14:paraId="4A2B5DEE"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CBF589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information is available in the knowledge base regarding the specific management of uterine vessels and cardinal ligaments during conservative hysterectomy.  </w:t>
            </w:r>
            <w:r w:rsidRPr="00CB2EC4">
              <w:rPr>
                <w:rFonts w:ascii="Times New Roman" w:hAnsi="Times New Roman" w:cs="Times New Roman"/>
              </w:rPr>
              <w:br/>
            </w:r>
            <w:r w:rsidRPr="00CB2EC4">
              <w:rPr>
                <w:rFonts w:ascii="Times New Roman" w:hAnsi="Times New Roman" w:cs="Times New Roman"/>
              </w:rPr>
              <w:lastRenderedPageBreak/>
              <w:t>- rationale: document fragment 2 (similarity 0.633) describes steps of conservative hysterectomy including handling of adnexa, round ligaments, and opening the peritoneal reflection, but does not specify the approach to uterine vessels and cardinal ligaments. other fragments (e.g., fragment 7 or 12) refer to radical or extrafascial procedures and are not directly applicable to conservative hysterectomy. therefore, based on the provided context, relevant information cannot be extracted.</w:t>
            </w:r>
          </w:p>
        </w:tc>
        <w:tc>
          <w:tcPr>
            <w:tcW w:w="1152" w:type="dxa"/>
            <w:vAlign w:val="center"/>
          </w:tcPr>
          <w:p w14:paraId="53B761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D158C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ECB14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C8528F0" w14:textId="77777777">
        <w:tc>
          <w:tcPr>
            <w:tcW w:w="2160" w:type="dxa"/>
            <w:vAlign w:val="center"/>
          </w:tcPr>
          <w:p w14:paraId="262ED87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E323353" w14:textId="77777777" w:rsidR="00922249" w:rsidRPr="00CB2EC4" w:rsidRDefault="003011D5">
            <w:pPr>
              <w:rPr>
                <w:rFonts w:ascii="Times New Roman" w:hAnsi="Times New Roman" w:cs="Times New Roman"/>
              </w:rPr>
            </w:pPr>
            <w:r w:rsidRPr="00CB2EC4">
              <w:rPr>
                <w:rFonts w:ascii="Times New Roman" w:hAnsi="Times New Roman" w:cs="Times New Roman"/>
              </w:rPr>
              <w:t>- Uterine vessel management: During the procedure, dissection is performed along the lateral aspect of the cervix, closely adjacent to the paracervical tissue. Clamping and cutting are applied to the paracervical tissue and vaginal paracolpium, including the cardinal ligament and vesicocervical ligament. This approach avoids ureteral injury but may involve cervical tissue, potentially resulting in incomplete cervical resection.</w:t>
            </w:r>
            <w:r w:rsidRPr="00CB2EC4">
              <w:rPr>
                <w:rFonts w:ascii="Times New Roman" w:hAnsi="Times New Roman" w:cs="Times New Roman"/>
              </w:rPr>
              <w:br/>
              <w:t>- Cardinal ligament management: The cardinal ligament is clamped and divided immediately adjacent to the cervix, without extensive mobilization. The focus is on preserving part of the cervical fascia to minimize disturbance to the ureter and bladder.</w:t>
            </w:r>
            <w:r w:rsidRPr="00CB2EC4">
              <w:rPr>
                <w:rFonts w:ascii="Times New Roman" w:hAnsi="Times New Roman" w:cs="Times New Roman"/>
              </w:rPr>
              <w:br/>
            </w:r>
            <w:r w:rsidRPr="00CB2EC4">
              <w:rPr>
                <w:rFonts w:ascii="Times New Roman" w:hAnsi="Times New Roman" w:cs="Times New Roman"/>
              </w:rPr>
              <w:br/>
              <w:t>The document notes that this technique is now rarely used for treating microinvasive cervical cancer due to its inability to ensure complete cervical removal, but it is applicable for CIN III or carcinoma in situ (source: fourth segment).</w:t>
            </w:r>
          </w:p>
        </w:tc>
        <w:tc>
          <w:tcPr>
            <w:tcW w:w="1152" w:type="dxa"/>
            <w:vAlign w:val="center"/>
          </w:tcPr>
          <w:p w14:paraId="16E7F3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84F5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D4CB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88FAC7" w14:textId="77777777">
        <w:tc>
          <w:tcPr>
            <w:tcW w:w="2160" w:type="dxa"/>
            <w:vAlign w:val="center"/>
          </w:tcPr>
          <w:p w14:paraId="1B807A3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ADD9A13" w14:textId="77777777" w:rsidR="00922249" w:rsidRPr="00CB2EC4" w:rsidRDefault="003011D5">
            <w:pPr>
              <w:rPr>
                <w:rFonts w:ascii="Times New Roman" w:hAnsi="Times New Roman" w:cs="Times New Roman"/>
              </w:rPr>
            </w:pPr>
            <w:r w:rsidRPr="00CB2EC4">
              <w:rPr>
                <w:rFonts w:ascii="Times New Roman" w:hAnsi="Times New Roman" w:cs="Times New Roman"/>
              </w:rPr>
              <w:t>- Management of uterine vessels:</w:t>
            </w:r>
            <w:r w:rsidRPr="00CB2EC4">
              <w:rPr>
                <w:rFonts w:ascii="Times New Roman" w:hAnsi="Times New Roman" w:cs="Times New Roman"/>
              </w:rPr>
              <w:br/>
              <w:t xml:space="preserve">  1. Expose the vessels: Reduce the parametrial connective tissue to expose the uterine vessels.</w:t>
            </w:r>
            <w:r w:rsidRPr="00CB2EC4">
              <w:rPr>
                <w:rFonts w:ascii="Times New Roman" w:hAnsi="Times New Roman" w:cs="Times New Roman"/>
              </w:rPr>
              <w:br/>
              <w:t xml:space="preserve">  2. Clamp and cut: Clamp the uterine vessels close to </w:t>
            </w:r>
            <w:r w:rsidRPr="00CB2EC4">
              <w:rPr>
                <w:rFonts w:ascii="Times New Roman" w:hAnsi="Times New Roman" w:cs="Times New Roman"/>
              </w:rPr>
              <w:lastRenderedPageBreak/>
              <w:t>the cervix.</w:t>
            </w:r>
            <w:r w:rsidRPr="00CB2EC4">
              <w:rPr>
                <w:rFonts w:ascii="Times New Roman" w:hAnsi="Times New Roman" w:cs="Times New Roman"/>
              </w:rPr>
              <w:br/>
              <w:t xml:space="preserve">  3. Suture ligate: After cutting, doubly suture-ligate with 7-0 silk thread.</w:t>
            </w:r>
            <w:r w:rsidRPr="00CB2EC4">
              <w:rPr>
                <w:rFonts w:ascii="Times New Roman" w:hAnsi="Times New Roman" w:cs="Times New Roman"/>
              </w:rPr>
              <w:br/>
              <w:t>- Management of the cardinal ligament:</w:t>
            </w:r>
            <w:r w:rsidRPr="00CB2EC4">
              <w:rPr>
                <w:rFonts w:ascii="Times New Roman" w:hAnsi="Times New Roman" w:cs="Times New Roman"/>
              </w:rPr>
              <w:br/>
              <w:t xml:space="preserve">  1. Similar method: Use the same approach as for the uterine vessels (i.e., clamp, cut, suture ligate).</w:t>
            </w:r>
            <w:r w:rsidRPr="00CB2EC4">
              <w:rPr>
                <w:rFonts w:ascii="Times New Roman" w:hAnsi="Times New Roman" w:cs="Times New Roman"/>
              </w:rPr>
              <w:br/>
              <w:t xml:space="preserve">  2. Location: Manage the cardinal ligament and part of the paravaginal tissue, reaching the lateral fornix.</w:t>
            </w:r>
            <w:r w:rsidRPr="00CB2EC4">
              <w:rPr>
                <w:rFonts w:ascii="Times New Roman" w:hAnsi="Times New Roman" w:cs="Times New Roman"/>
              </w:rPr>
              <w:br/>
              <w:t xml:space="preserve">  3. Sequence: Sometimes managed simultaneously with the uterosacral ligament; if the two are distant, the uterosacral ligament may be managed separately before or after the cardinal ligament.</w:t>
            </w:r>
            <w:r w:rsidRPr="00CB2EC4">
              <w:rPr>
                <w:rFonts w:ascii="Times New Roman" w:hAnsi="Times New Roman" w:cs="Times New Roman"/>
              </w:rPr>
              <w:br/>
            </w:r>
            <w:r w:rsidRPr="00CB2EC4">
              <w:rPr>
                <w:rFonts w:ascii="Times New Roman" w:hAnsi="Times New Roman" w:cs="Times New Roman"/>
              </w:rPr>
              <w:br/>
              <w:t>This procedure emphasizes operating close to the cervix to minimize the risk of ureteral injury.</w:t>
            </w:r>
          </w:p>
        </w:tc>
        <w:tc>
          <w:tcPr>
            <w:tcW w:w="1152" w:type="dxa"/>
            <w:vAlign w:val="center"/>
          </w:tcPr>
          <w:p w14:paraId="126C9B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B9D0E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3C1F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A43649" w14:textId="77777777">
        <w:tc>
          <w:tcPr>
            <w:tcW w:w="2160" w:type="dxa"/>
            <w:vAlign w:val="center"/>
          </w:tcPr>
          <w:p w14:paraId="0609742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3BA783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found in the knowledge base.  </w:t>
            </w:r>
            <w:r w:rsidRPr="00CB2EC4">
              <w:rPr>
                <w:rFonts w:ascii="Times New Roman" w:hAnsi="Times New Roman" w:cs="Times New Roman"/>
              </w:rPr>
              <w:br/>
              <w:t>- The provided document fragments describe general steps of conservative hysterectomy (such as handling adnexa and round ligaments) but do not specify the techniques for managing uterine vessels and cardinal ligaments. For example, the fragment with similarity 0.549 mentions clamping and cutting tissues but lacks detailed description of uterine vessel and cardinal ligament management. Other fragments (e.g., similarity 0.597) discuss extrafascial procedures but do not cover vascular and ligamentous details specific to conservative approaches.</w:t>
            </w:r>
          </w:p>
        </w:tc>
        <w:tc>
          <w:tcPr>
            <w:tcW w:w="1152" w:type="dxa"/>
            <w:vAlign w:val="center"/>
          </w:tcPr>
          <w:p w14:paraId="13A324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4B893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80840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CD0C262" w14:textId="77777777">
        <w:tc>
          <w:tcPr>
            <w:tcW w:w="2160" w:type="dxa"/>
            <w:vAlign w:val="center"/>
          </w:tcPr>
          <w:p w14:paraId="79C3412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2A806B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Management of uterine vessels: After reducing the parametrial connective tissue, clamp the uterine vessels close to the cervix, cut them, and then doubly ligate with 7-0 suture (Fig. 4-38).  </w:t>
            </w:r>
            <w:r w:rsidRPr="00CB2EC4">
              <w:rPr>
                <w:rFonts w:ascii="Times New Roman" w:hAnsi="Times New Roman" w:cs="Times New Roman"/>
              </w:rPr>
              <w:br/>
              <w:t xml:space="preserve">2. Management of cardinal ligaments: Clamp the cardinal ligaments and part of the paravaginal tissue </w:t>
            </w:r>
            <w:r w:rsidRPr="00CB2EC4">
              <w:rPr>
                <w:rFonts w:ascii="Times New Roman" w:hAnsi="Times New Roman" w:cs="Times New Roman"/>
              </w:rPr>
              <w:lastRenderedPageBreak/>
              <w:t xml:space="preserve">close to the cervix, cut them, and then ligate with 7-0 suture up to the level of the lateral fornix (Fig. 4-39). The cardinal ligaments and uterosacral ligaments may be managed simultaneously or in separate steps, depending on anatomical positioning.  </w:t>
            </w:r>
            <w:r w:rsidRPr="00CB2EC4">
              <w:rPr>
                <w:rFonts w:ascii="Times New Roman" w:hAnsi="Times New Roman" w:cs="Times New Roman"/>
              </w:rPr>
              <w:br/>
              <w:t>Key point: The procedure must be performed close to the cervix to minimize the risk of ureteral injury.</w:t>
            </w:r>
          </w:p>
        </w:tc>
        <w:tc>
          <w:tcPr>
            <w:tcW w:w="1152" w:type="dxa"/>
            <w:vAlign w:val="center"/>
          </w:tcPr>
          <w:p w14:paraId="131714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7752B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07F1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C56296" w14:textId="77777777">
        <w:tc>
          <w:tcPr>
            <w:tcW w:w="2160" w:type="dxa"/>
            <w:vAlign w:val="center"/>
          </w:tcPr>
          <w:p w14:paraId="6FBE1FB0"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BD286F7" w14:textId="77777777" w:rsidR="00922249" w:rsidRPr="00CB2EC4" w:rsidRDefault="003011D5">
            <w:pPr>
              <w:rPr>
                <w:rFonts w:ascii="Times New Roman" w:hAnsi="Times New Roman" w:cs="Times New Roman"/>
              </w:rPr>
            </w:pPr>
            <w:r w:rsidRPr="00CB2EC4">
              <w:rPr>
                <w:rFonts w:ascii="Times New Roman" w:hAnsi="Times New Roman" w:cs="Times New Roman"/>
              </w:rPr>
              <w:t>- Management of uterine vessels: Reduce the parametrial connective tissue to expose the uterine vessels, clamp and cut them close to the cervix, and doubly ligate with 7-0 silk suture.</w:t>
            </w:r>
            <w:r w:rsidRPr="00CB2EC4">
              <w:rPr>
                <w:rFonts w:ascii="Times New Roman" w:hAnsi="Times New Roman" w:cs="Times New Roman"/>
              </w:rPr>
              <w:br/>
              <w:t>- Management of cardinal and uterosacral ligaments: After handling the uterine vessels, the cardinal and uterosacral ligaments may be clamped, cut, and ligated simultaneously using 7-0 silk suture. If the two ligaments are too far apart to manage together, the uterosacral ligament may be handled separately before or after the cardinal ligament.</w:t>
            </w:r>
            <w:r w:rsidRPr="00CB2EC4">
              <w:rPr>
                <w:rFonts w:ascii="Times New Roman" w:hAnsi="Times New Roman" w:cs="Times New Roman"/>
              </w:rPr>
              <w:br/>
              <w:t>Key operative points: Operate close to the cervix to avoid ureteral injury and ensure thorough hemostasis.</w:t>
            </w:r>
          </w:p>
        </w:tc>
        <w:tc>
          <w:tcPr>
            <w:tcW w:w="1152" w:type="dxa"/>
            <w:vAlign w:val="center"/>
          </w:tcPr>
          <w:p w14:paraId="06909E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1B91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9E08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7C879D" w14:textId="77777777">
        <w:tc>
          <w:tcPr>
            <w:tcW w:w="2160" w:type="dxa"/>
            <w:vAlign w:val="center"/>
          </w:tcPr>
          <w:p w14:paraId="19640FD4"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EBFEAE5" w14:textId="77777777" w:rsidR="00922249" w:rsidRPr="00CB2EC4" w:rsidRDefault="003011D5">
            <w:pPr>
              <w:rPr>
                <w:rFonts w:ascii="Times New Roman" w:hAnsi="Times New Roman" w:cs="Times New Roman"/>
              </w:rPr>
            </w:pPr>
            <w:r w:rsidRPr="00CB2EC4">
              <w:rPr>
                <w:rFonts w:ascii="Times New Roman" w:hAnsi="Times New Roman" w:cs="Times New Roman"/>
              </w:rPr>
              <w:t>- Answer: In conservative hysterectomy (such as nerve-sparing radical hysterectomy):</w:t>
            </w:r>
            <w:r w:rsidRPr="00CB2EC4">
              <w:rPr>
                <w:rFonts w:ascii="Times New Roman" w:hAnsi="Times New Roman" w:cs="Times New Roman"/>
              </w:rPr>
              <w:br/>
              <w:t xml:space="preserve">  - Management of uterine vessels: The uterine vessels are carefully ligated or cauterized near the cervix, avoiding extensive dissection to minimize bleeding and ureteral injury risk. Emphasis is placed on preserving the ureteric branch of the uterine artery to maintain ureteral blood supply.</w:t>
            </w:r>
            <w:r w:rsidRPr="00CB2EC4">
              <w:rPr>
                <w:rFonts w:ascii="Times New Roman" w:hAnsi="Times New Roman" w:cs="Times New Roman"/>
              </w:rPr>
              <w:br/>
              <w:t xml:space="preserve">  - Management of cardinal ligaments: Only a partial resection of the cardinal ligaments (retaining the lateral one-third) is performed, with focused dissection and preservation of the pelvic nerve plexus (e.g., hypogastric nerve) contained within, to </w:t>
            </w:r>
            <w:r w:rsidRPr="00CB2EC4">
              <w:rPr>
                <w:rFonts w:ascii="Times New Roman" w:hAnsi="Times New Roman" w:cs="Times New Roman"/>
              </w:rPr>
              <w:lastRenderedPageBreak/>
              <w:t>minimize postoperative bladder and rectal dysfunction. The procedure must be performed under direct visualization to ensure integrity of the nerve bundles.</w:t>
            </w:r>
          </w:p>
        </w:tc>
        <w:tc>
          <w:tcPr>
            <w:tcW w:w="1152" w:type="dxa"/>
            <w:vAlign w:val="center"/>
          </w:tcPr>
          <w:p w14:paraId="13A313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22F29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65EC3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3B76651" w14:textId="77777777">
        <w:tc>
          <w:tcPr>
            <w:tcW w:w="10656" w:type="dxa"/>
            <w:gridSpan w:val="5"/>
            <w:tcBorders>
              <w:bottom w:val="single" w:sz="6" w:space="0" w:color="auto"/>
            </w:tcBorders>
            <w:vAlign w:val="center"/>
          </w:tcPr>
          <w:p w14:paraId="606B6966"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144: What are the high-risk factors for recurrence after treatment for Cervical Intraepithelial Neoplasia (CIN)?</w:t>
            </w:r>
          </w:p>
        </w:tc>
      </w:tr>
      <w:tr w:rsidR="00922249" w:rsidRPr="00CB2EC4" w14:paraId="0F512C86" w14:textId="77777777">
        <w:tc>
          <w:tcPr>
            <w:tcW w:w="2160" w:type="dxa"/>
            <w:vAlign w:val="center"/>
          </w:tcPr>
          <w:p w14:paraId="7DDCF95A"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157004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complete list of high-risk factors for recurrence after cervical intraepithelial neoplasia (CIN) treatment is provided in the document.  </w:t>
            </w:r>
            <w:r w:rsidRPr="00CB2EC4">
              <w:rPr>
                <w:rFonts w:ascii="Times New Roman" w:hAnsi="Times New Roman" w:cs="Times New Roman"/>
              </w:rPr>
              <w:br/>
              <w:t xml:space="preserve">the document only mentions:  </w:t>
            </w:r>
            <w:r w:rsidRPr="00CB2EC4">
              <w:rPr>
                <w:rFonts w:ascii="Times New Roman" w:hAnsi="Times New Roman" w:cs="Times New Roman"/>
              </w:rPr>
              <w:br/>
              <w:t xml:space="preserve">- positive surgical margins can serve as a harbinger of residual CIN (similarity 0.597, range 348-350), implying that positive margins are a high-risk factor for recurrence.  </w:t>
            </w:r>
            <w:r w:rsidRPr="00CB2EC4">
              <w:rPr>
                <w:rFonts w:ascii="Times New Roman" w:hAnsi="Times New Roman" w:cs="Times New Roman"/>
              </w:rPr>
              <w:br/>
              <w:t xml:space="preserve">- other potential factors (such as lesion grade, age, or HPV status) are not discussed in detail.  </w:t>
            </w:r>
            <w:r w:rsidRPr="00CB2EC4">
              <w:rPr>
                <w:rFonts w:ascii="Times New Roman" w:hAnsi="Times New Roman" w:cs="Times New Roman"/>
              </w:rPr>
              <w:br/>
              <w:t>therefore, based on the document, a comprehensive answer cannot be found. the document does not provide a full list of high-risk factors for recurrence.</w:t>
            </w:r>
          </w:p>
        </w:tc>
        <w:tc>
          <w:tcPr>
            <w:tcW w:w="1152" w:type="dxa"/>
            <w:vAlign w:val="center"/>
          </w:tcPr>
          <w:p w14:paraId="21B2BD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11B93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9F035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5D861D4" w14:textId="77777777">
        <w:tc>
          <w:tcPr>
            <w:tcW w:w="2160" w:type="dxa"/>
            <w:vAlign w:val="center"/>
          </w:tcPr>
          <w:p w14:paraId="3825D457"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E4FE845" w14:textId="77777777" w:rsidR="00922249" w:rsidRPr="00CB2EC4" w:rsidRDefault="003011D5">
            <w:pPr>
              <w:rPr>
                <w:rFonts w:ascii="Times New Roman" w:hAnsi="Times New Roman" w:cs="Times New Roman"/>
              </w:rPr>
            </w:pPr>
            <w:r w:rsidRPr="00CB2EC4">
              <w:rPr>
                <w:rFonts w:ascii="Times New Roman" w:hAnsi="Times New Roman" w:cs="Times New Roman"/>
              </w:rPr>
              <w:t>high-risk factors for recurrence after cervical intraepithelial neoplasia treatment:</w:t>
            </w:r>
            <w:r w:rsidRPr="00CB2EC4">
              <w:rPr>
                <w:rFonts w:ascii="Times New Roman" w:hAnsi="Times New Roman" w:cs="Times New Roman"/>
              </w:rPr>
              <w:br/>
            </w:r>
            <w:r w:rsidRPr="00CB2EC4">
              <w:rPr>
                <w:rFonts w:ascii="Times New Roman" w:hAnsi="Times New Roman" w:cs="Times New Roman"/>
              </w:rPr>
              <w:br/>
              <w:t>High-risk factors (Document excerpts 29, 30):</w:t>
            </w:r>
            <w:r w:rsidRPr="00CB2EC4">
              <w:rPr>
                <w:rFonts w:ascii="Times New Roman" w:hAnsi="Times New Roman" w:cs="Times New Roman"/>
              </w:rPr>
              <w:br/>
              <w:t xml:space="preserve">  - Residual lesion at the surgical margin after conization: Positive margins (especially involvement of the endocervical margin) significantly increase the risk of recurrence (Table 4-5 shows higher recurrence rates after conization).</w:t>
            </w:r>
            <w:r w:rsidRPr="00CB2EC4">
              <w:rPr>
                <w:rFonts w:ascii="Times New Roman" w:hAnsi="Times New Roman" w:cs="Times New Roman"/>
              </w:rPr>
              <w:br/>
              <w:t xml:space="preserve">  - Inappropriate choice of surgical procedure: Intrafascial hysterectomy is rarely used for CIN treatment; conservative/extrafascial procedures are more appropriate; insufficient surgical extent (e.g., inadequate vaginal resection) increases recurrence risk.</w:t>
            </w:r>
            <w:r w:rsidRPr="00CB2EC4">
              <w:rPr>
                <w:rFonts w:ascii="Times New Roman" w:hAnsi="Times New Roman" w:cs="Times New Roman"/>
              </w:rPr>
              <w:br/>
            </w:r>
            <w:r w:rsidRPr="00CB2EC4">
              <w:rPr>
                <w:rFonts w:ascii="Times New Roman" w:hAnsi="Times New Roman" w:cs="Times New Roman"/>
              </w:rPr>
              <w:lastRenderedPageBreak/>
              <w:t xml:space="preserve">  - Lack of follow-up: Patients without follow-up access or with cervical stenosis preventing re-examination have a high risk of recurrence (excerpt 5).</w:t>
            </w:r>
            <w:r w:rsidRPr="00CB2EC4">
              <w:rPr>
                <w:rFonts w:ascii="Times New Roman" w:hAnsi="Times New Roman" w:cs="Times New Roman"/>
              </w:rPr>
              <w:br/>
              <w:t xml:space="preserve">  - Others: Coexisting lymphovascular invasion, extensive lesion (e.g., barrel-shaped cervix), or possible adenocarcinoma (excerpts 5, 8).</w:t>
            </w:r>
          </w:p>
        </w:tc>
        <w:tc>
          <w:tcPr>
            <w:tcW w:w="1152" w:type="dxa"/>
            <w:vAlign w:val="center"/>
          </w:tcPr>
          <w:p w14:paraId="7A8E70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584FC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9CB43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B45AB8E" w14:textId="77777777">
        <w:tc>
          <w:tcPr>
            <w:tcW w:w="2160" w:type="dxa"/>
            <w:vAlign w:val="center"/>
          </w:tcPr>
          <w:p w14:paraId="792DD183"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DCB841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high-risk factors for recurrence after cervical intraepithelial neoplasia (CIN) treatment include:  </w:t>
            </w:r>
            <w:r w:rsidRPr="00CB2EC4">
              <w:rPr>
                <w:rFonts w:ascii="Times New Roman" w:hAnsi="Times New Roman" w:cs="Times New Roman"/>
              </w:rPr>
              <w:br/>
              <w:t xml:space="preserve">- Inadequate vaginal resection range  </w:t>
            </w:r>
            <w:r w:rsidRPr="00CB2EC4">
              <w:rPr>
                <w:rFonts w:ascii="Times New Roman" w:hAnsi="Times New Roman" w:cs="Times New Roman"/>
              </w:rPr>
              <w:br/>
              <w:t xml:space="preserve">- Positive surgical margins (distance from lesion &lt; 2 cm)  </w:t>
            </w:r>
            <w:r w:rsidRPr="00CB2EC4">
              <w:rPr>
                <w:rFonts w:ascii="Times New Roman" w:hAnsi="Times New Roman" w:cs="Times New Roman"/>
              </w:rPr>
              <w:br/>
              <w:t xml:space="preserve">- Vascular or lymphatic invasion  </w:t>
            </w:r>
            <w:r w:rsidRPr="00CB2EC4">
              <w:rPr>
                <w:rFonts w:ascii="Times New Roman" w:hAnsi="Times New Roman" w:cs="Times New Roman"/>
              </w:rPr>
              <w:br/>
              <w:t xml:space="preserve">- Confluent growth pattern  </w:t>
            </w:r>
            <w:r w:rsidRPr="00CB2EC4">
              <w:rPr>
                <w:rFonts w:ascii="Times New Roman" w:hAnsi="Times New Roman" w:cs="Times New Roman"/>
              </w:rPr>
              <w:br/>
              <w:t xml:space="preserve">- Poorly differentiated carcinoma (low cellular differentiation)  </w:t>
            </w:r>
            <w:r w:rsidRPr="00CB2EC4">
              <w:rPr>
                <w:rFonts w:ascii="Times New Roman" w:hAnsi="Times New Roman" w:cs="Times New Roman"/>
              </w:rPr>
              <w:br/>
              <w:t xml:space="preserve">- Possible diagnostic error  </w:t>
            </w:r>
            <w:r w:rsidRPr="00CB2EC4">
              <w:rPr>
                <w:rFonts w:ascii="Times New Roman" w:hAnsi="Times New Roman" w:cs="Times New Roman"/>
              </w:rPr>
              <w:br/>
            </w:r>
            <w:r w:rsidRPr="00CB2EC4">
              <w:rPr>
                <w:rFonts w:ascii="Times New Roman" w:hAnsi="Times New Roman" w:cs="Times New Roman"/>
              </w:rPr>
              <w:br/>
              <w:t>(Note: Factors such as HPV status or immune status are not mentioned in the provided documents.)</w:t>
            </w:r>
          </w:p>
        </w:tc>
        <w:tc>
          <w:tcPr>
            <w:tcW w:w="1152" w:type="dxa"/>
            <w:vAlign w:val="center"/>
          </w:tcPr>
          <w:p w14:paraId="3396C5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A3362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068B0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9543351" w14:textId="77777777">
        <w:tc>
          <w:tcPr>
            <w:tcW w:w="2160" w:type="dxa"/>
            <w:vAlign w:val="center"/>
          </w:tcPr>
          <w:p w14:paraId="2AD32B86"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2396B5B" w14:textId="77777777" w:rsidR="00922249" w:rsidRPr="00CB2EC4" w:rsidRDefault="003011D5">
            <w:pPr>
              <w:rPr>
                <w:rFonts w:ascii="Times New Roman" w:hAnsi="Times New Roman" w:cs="Times New Roman"/>
              </w:rPr>
            </w:pPr>
            <w:r w:rsidRPr="00CB2EC4">
              <w:rPr>
                <w:rFonts w:ascii="Times New Roman" w:hAnsi="Times New Roman" w:cs="Times New Roman"/>
              </w:rPr>
              <w:t>high-risk factors for recurrence after cervical intraepithelial neoplasia treatment:</w:t>
            </w:r>
            <w:r w:rsidRPr="00CB2EC4">
              <w:rPr>
                <w:rFonts w:ascii="Times New Roman" w:hAnsi="Times New Roman" w:cs="Times New Roman"/>
              </w:rPr>
              <w:br/>
            </w:r>
            <w:r w:rsidRPr="00CB2EC4">
              <w:rPr>
                <w:rFonts w:ascii="Times New Roman" w:hAnsi="Times New Roman" w:cs="Times New Roman"/>
              </w:rPr>
              <w:br/>
              <w:t xml:space="preserve">Main high-risk factors:  </w:t>
            </w:r>
            <w:r w:rsidRPr="00CB2EC4">
              <w:rPr>
                <w:rFonts w:ascii="Times New Roman" w:hAnsi="Times New Roman" w:cs="Times New Roman"/>
              </w:rPr>
              <w:br/>
              <w:t xml:space="preserve">  1. Positive surgical margins (residual disease after conization);  </w:t>
            </w:r>
            <w:r w:rsidRPr="00CB2EC4">
              <w:rPr>
                <w:rFonts w:ascii="Times New Roman" w:hAnsi="Times New Roman" w:cs="Times New Roman"/>
              </w:rPr>
              <w:br/>
              <w:t xml:space="preserve">  2. Lymphovascular space invasion (LVSI positive);  </w:t>
            </w:r>
            <w:r w:rsidRPr="00CB2EC4">
              <w:rPr>
                <w:rFonts w:ascii="Times New Roman" w:hAnsi="Times New Roman" w:cs="Times New Roman"/>
              </w:rPr>
              <w:br/>
              <w:t xml:space="preserve">  3. Possible cervical adenocarcinoma;  </w:t>
            </w:r>
            <w:r w:rsidRPr="00CB2EC4">
              <w:rPr>
                <w:rFonts w:ascii="Times New Roman" w:hAnsi="Times New Roman" w:cs="Times New Roman"/>
              </w:rPr>
              <w:br/>
              <w:t xml:space="preserve">  4. Postoperative cervical stenosis leading to inability to follow up.  </w:t>
            </w:r>
            <w:r w:rsidRPr="00CB2EC4">
              <w:rPr>
                <w:rFonts w:ascii="Times New Roman" w:hAnsi="Times New Roman" w:cs="Times New Roman"/>
              </w:rPr>
              <w:br/>
              <w:t>Source: Knowledge base document (CIN treatment indications and cervical conization section).</w:t>
            </w:r>
          </w:p>
        </w:tc>
        <w:tc>
          <w:tcPr>
            <w:tcW w:w="1152" w:type="dxa"/>
            <w:vAlign w:val="center"/>
          </w:tcPr>
          <w:p w14:paraId="6FD833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44E3D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88D21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1E169FB" w14:textId="77777777">
        <w:tc>
          <w:tcPr>
            <w:tcW w:w="2160" w:type="dxa"/>
            <w:vAlign w:val="center"/>
          </w:tcPr>
          <w:p w14:paraId="6E41743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Document </w:t>
            </w:r>
            <w:r w:rsidRPr="00CB2EC4">
              <w:rPr>
                <w:rFonts w:ascii="Times New Roman" w:hAnsi="Times New Roman" w:cs="Times New Roman"/>
              </w:rPr>
              <w:lastRenderedPageBreak/>
              <w:t>Augmentation</w:t>
            </w:r>
          </w:p>
        </w:tc>
        <w:tc>
          <w:tcPr>
            <w:tcW w:w="5040" w:type="dxa"/>
            <w:vAlign w:val="center"/>
          </w:tcPr>
          <w:p w14:paraId="6014D20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the high-risk factors for recurrence after cervical </w:t>
            </w:r>
            <w:r w:rsidRPr="00CB2EC4">
              <w:rPr>
                <w:rFonts w:ascii="Times New Roman" w:hAnsi="Times New Roman" w:cs="Times New Roman"/>
              </w:rPr>
              <w:lastRenderedPageBreak/>
              <w:t xml:space="preserve">intraepithelial neoplasia (CIN) treatment include:  </w:t>
            </w:r>
            <w:r w:rsidRPr="00CB2EC4">
              <w:rPr>
                <w:rFonts w:ascii="Times New Roman" w:hAnsi="Times New Roman" w:cs="Times New Roman"/>
              </w:rPr>
              <w:br/>
              <w:t xml:space="preserve">- Residual lesion at the surgical margin: Document fragment 7 explicitly states that cases with surgical margins close to the lesion or positive margins (i.e., residual disease) have a high postoperative recurrence rate, with 5-year survival rates significantly reduced (to 50%). Document fragment 15’s follow-up data table also shows that involved margins (e.g., positive margins after conization) are associated with recurrence of carcinoma in situ.  </w:t>
            </w:r>
            <w:r w:rsidRPr="00CB2EC4">
              <w:rPr>
                <w:rFonts w:ascii="Times New Roman" w:hAnsi="Times New Roman" w:cs="Times New Roman"/>
              </w:rPr>
              <w:br/>
              <w:t>- Other high-risk factors such as inadequate follow-up or cervical stenosis preventing cytological examination (mentioned in document fragment 3), but the documents do not provide a specific list (e.g., age, lesion grade, etc.). Therefore, the only clearly identified high-risk factor is residual lesion at the surgical margin.</w:t>
            </w:r>
          </w:p>
        </w:tc>
        <w:tc>
          <w:tcPr>
            <w:tcW w:w="1152" w:type="dxa"/>
            <w:vAlign w:val="center"/>
          </w:tcPr>
          <w:p w14:paraId="19CB15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F0AE5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0149D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7E96071" w14:textId="77777777">
        <w:tc>
          <w:tcPr>
            <w:tcW w:w="2160" w:type="dxa"/>
            <w:vAlign w:val="center"/>
          </w:tcPr>
          <w:p w14:paraId="2FAB91D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4068313" w14:textId="77777777" w:rsidR="00922249" w:rsidRPr="00CB2EC4" w:rsidRDefault="003011D5">
            <w:pPr>
              <w:rPr>
                <w:rFonts w:ascii="Times New Roman" w:hAnsi="Times New Roman" w:cs="Times New Roman"/>
              </w:rPr>
            </w:pPr>
            <w:r w:rsidRPr="00CB2EC4">
              <w:rPr>
                <w:rFonts w:ascii="Times New Roman" w:hAnsi="Times New Roman" w:cs="Times New Roman"/>
              </w:rPr>
              <w:t>high-risk factors for recurrence after treatment of cervical intraepithelial neoplasia include:</w:t>
            </w:r>
            <w:r w:rsidRPr="00CB2EC4">
              <w:rPr>
                <w:rFonts w:ascii="Times New Roman" w:hAnsi="Times New Roman" w:cs="Times New Roman"/>
              </w:rPr>
              <w:br/>
            </w:r>
            <w:r w:rsidRPr="00CB2EC4">
              <w:rPr>
                <w:rFonts w:ascii="Times New Roman" w:hAnsi="Times New Roman" w:cs="Times New Roman"/>
              </w:rPr>
              <w:br/>
              <w:t>- positive surgical margins</w:t>
            </w:r>
            <w:r w:rsidRPr="00CB2EC4">
              <w:rPr>
                <w:rFonts w:ascii="Times New Roman" w:hAnsi="Times New Roman" w:cs="Times New Roman"/>
              </w:rPr>
              <w:br/>
              <w:t>- high-grade lesion (CIN 2 or CIN 3)</w:t>
            </w:r>
            <w:r w:rsidRPr="00CB2EC4">
              <w:rPr>
                <w:rFonts w:ascii="Times New Roman" w:hAnsi="Times New Roman" w:cs="Times New Roman"/>
              </w:rPr>
              <w:br/>
              <w:t>- large lesion size (&gt;3 cm)</w:t>
            </w:r>
            <w:r w:rsidRPr="00CB2EC4">
              <w:rPr>
                <w:rFonts w:ascii="Times New Roman" w:hAnsi="Times New Roman" w:cs="Times New Roman"/>
              </w:rPr>
              <w:br/>
              <w:t>- multifocal disease</w:t>
            </w:r>
            <w:r w:rsidRPr="00CB2EC4">
              <w:rPr>
                <w:rFonts w:ascii="Times New Roman" w:hAnsi="Times New Roman" w:cs="Times New Roman"/>
              </w:rPr>
              <w:br/>
              <w:t>- presence of lymphovascular space invasion (LVSI)</w:t>
            </w:r>
            <w:r w:rsidRPr="00CB2EC4">
              <w:rPr>
                <w:rFonts w:ascii="Times New Roman" w:hAnsi="Times New Roman" w:cs="Times New Roman"/>
              </w:rPr>
              <w:br/>
              <w:t>- incomplete excision</w:t>
            </w:r>
            <w:r w:rsidRPr="00CB2EC4">
              <w:rPr>
                <w:rFonts w:ascii="Times New Roman" w:hAnsi="Times New Roman" w:cs="Times New Roman"/>
              </w:rPr>
              <w:br/>
              <w:t>- persistent high-risk human papillomavirus (hrHPV) infection post-treatment</w:t>
            </w:r>
            <w:r w:rsidRPr="00CB2EC4">
              <w:rPr>
                <w:rFonts w:ascii="Times New Roman" w:hAnsi="Times New Roman" w:cs="Times New Roman"/>
              </w:rPr>
              <w:br/>
              <w:t>- young age at diagnosis</w:t>
            </w:r>
            <w:r w:rsidRPr="00CB2EC4">
              <w:rPr>
                <w:rFonts w:ascii="Times New Roman" w:hAnsi="Times New Roman" w:cs="Times New Roman"/>
              </w:rPr>
              <w:br/>
              <w:t>- immunosuppression</w:t>
            </w:r>
            <w:r w:rsidRPr="00CB2EC4">
              <w:rPr>
                <w:rFonts w:ascii="Times New Roman" w:hAnsi="Times New Roman" w:cs="Times New Roman"/>
              </w:rPr>
              <w:br/>
              <w:t>- smoking</w:t>
            </w:r>
            <w:r w:rsidRPr="00CB2EC4">
              <w:rPr>
                <w:rFonts w:ascii="Times New Roman" w:hAnsi="Times New Roman" w:cs="Times New Roman"/>
              </w:rPr>
              <w:br/>
              <w:t>- inadequate follow-up or surveillance</w:t>
            </w:r>
            <w:r w:rsidRPr="00CB2EC4">
              <w:rPr>
                <w:rFonts w:ascii="Times New Roman" w:hAnsi="Times New Roman" w:cs="Times New Roman"/>
              </w:rPr>
              <w:br/>
            </w:r>
            <w:r w:rsidRPr="00CB2EC4">
              <w:rPr>
                <w:rFonts w:ascii="Times New Roman" w:hAnsi="Times New Roman" w:cs="Times New Roman"/>
              </w:rPr>
              <w:br/>
              <w:t xml:space="preserve">recurrence risk is associated with residual disease, </w:t>
            </w:r>
            <w:r w:rsidRPr="00CB2EC4">
              <w:rPr>
                <w:rFonts w:ascii="Times New Roman" w:hAnsi="Times New Roman" w:cs="Times New Roman"/>
              </w:rPr>
              <w:lastRenderedPageBreak/>
              <w:t>incomplete excision, and persistent hrHPV infection. close monitoring with cytology and HPV testing is recommended, especially in patients with these high-risk features.</w:t>
            </w:r>
          </w:p>
        </w:tc>
        <w:tc>
          <w:tcPr>
            <w:tcW w:w="1152" w:type="dxa"/>
            <w:vAlign w:val="center"/>
          </w:tcPr>
          <w:p w14:paraId="68DF62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CE2A4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DC3B4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F148630" w14:textId="77777777">
        <w:tc>
          <w:tcPr>
            <w:tcW w:w="2160" w:type="dxa"/>
            <w:vAlign w:val="center"/>
          </w:tcPr>
          <w:p w14:paraId="2F25A0CD"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196927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high-risk factors for recurrence after cervical intraepithelial neoplasia (CIN) treatment include:  </w:t>
            </w:r>
            <w:r w:rsidRPr="00CB2EC4">
              <w:rPr>
                <w:rFonts w:ascii="Times New Roman" w:hAnsi="Times New Roman" w:cs="Times New Roman"/>
              </w:rPr>
              <w:br/>
              <w:t xml:space="preserve">- involvement of the conization margin: particularly involvement of the endocervical margin, which is significantly associated with higher recurrence rates (involvement of other margin sites not explicitly specified).  </w:t>
            </w:r>
            <w:r w:rsidRPr="00CB2EC4">
              <w:rPr>
                <w:rFonts w:ascii="Times New Roman" w:hAnsi="Times New Roman" w:cs="Times New Roman"/>
              </w:rPr>
              <w:br/>
              <w:t xml:space="preserve">&gt; note: no other high-risk factors (such as lesion grade, HPV type, etc.) are mentioned in the document.  </w:t>
            </w:r>
            <w:r w:rsidRPr="00CB2EC4">
              <w:rPr>
                <w:rFonts w:ascii="Times New Roman" w:hAnsi="Times New Roman" w:cs="Times New Roman"/>
              </w:rPr>
              <w:br/>
              <w:t>&gt; basis: the context discussing CIN recurrence emphasizes the status of the surgical margins (see section four and content related to cervical conization).</w:t>
            </w:r>
          </w:p>
        </w:tc>
        <w:tc>
          <w:tcPr>
            <w:tcW w:w="1152" w:type="dxa"/>
            <w:vAlign w:val="center"/>
          </w:tcPr>
          <w:p w14:paraId="187DCF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D95D2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7AC10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9F59A0A" w14:textId="77777777">
        <w:tc>
          <w:tcPr>
            <w:tcW w:w="2160" w:type="dxa"/>
            <w:vAlign w:val="center"/>
          </w:tcPr>
          <w:p w14:paraId="616CB5D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288706A" w14:textId="77777777" w:rsidR="00922249" w:rsidRPr="00CB2EC4" w:rsidRDefault="003011D5">
            <w:pPr>
              <w:rPr>
                <w:rFonts w:ascii="Times New Roman" w:hAnsi="Times New Roman" w:cs="Times New Roman"/>
              </w:rPr>
            </w:pPr>
            <w:r w:rsidRPr="00CB2EC4">
              <w:rPr>
                <w:rFonts w:ascii="Times New Roman" w:hAnsi="Times New Roman" w:cs="Times New Roman"/>
              </w:rPr>
              <w:t>the high-risk factors for recurrence after cervical intraepithelial neoplasia treatment include:</w:t>
            </w:r>
            <w:r w:rsidRPr="00CB2EC4">
              <w:rPr>
                <w:rFonts w:ascii="Times New Roman" w:hAnsi="Times New Roman" w:cs="Times New Roman"/>
              </w:rPr>
              <w:br/>
            </w:r>
            <w:r w:rsidRPr="00CB2EC4">
              <w:rPr>
                <w:rFonts w:ascii="Times New Roman" w:hAnsi="Times New Roman" w:cs="Times New Roman"/>
              </w:rPr>
              <w:br/>
              <w:t>- residual lesion at the surgical margin: cervical conization with positive margins is a high-risk factor for recurrence; hysterectomy is recommended in such cases.</w:t>
            </w:r>
            <w:r w:rsidRPr="00CB2EC4">
              <w:rPr>
                <w:rFonts w:ascii="Times New Roman" w:hAnsi="Times New Roman" w:cs="Times New Roman"/>
              </w:rPr>
              <w:br/>
              <w:t>- inadequate follow-up: when conservative treatment (e.g., conization) is chosen, close cytological and colposcopic follow-up is essential; insufficient follow-up or cervical stenosis preventing examination increases recurrence risk.</w:t>
            </w:r>
            <w:r w:rsidRPr="00CB2EC4">
              <w:rPr>
                <w:rFonts w:ascii="Times New Roman" w:hAnsi="Times New Roman" w:cs="Times New Roman"/>
              </w:rPr>
              <w:br/>
              <w:t xml:space="preserve">- other factors: hysterectomy with partial vaginal resection for carcinoma in situ may still rarely result in recurrence, though specific high-risk factors such as lesion grade or vascular involvement are not clearly </w:t>
            </w:r>
            <w:r w:rsidRPr="00CB2EC4">
              <w:rPr>
                <w:rFonts w:ascii="Times New Roman" w:hAnsi="Times New Roman" w:cs="Times New Roman"/>
              </w:rPr>
              <w:lastRenderedPageBreak/>
              <w:t>defined in the source documents. follow-up data indicate recurrence cases, but detailed analysis of risk factors is lacking.</w:t>
            </w:r>
            <w:r w:rsidRPr="00CB2EC4">
              <w:rPr>
                <w:rFonts w:ascii="Times New Roman" w:hAnsi="Times New Roman" w:cs="Times New Roman"/>
              </w:rPr>
              <w:br/>
            </w:r>
            <w:r w:rsidRPr="00CB2EC4">
              <w:rPr>
                <w:rFonts w:ascii="Times New Roman" w:hAnsi="Times New Roman" w:cs="Times New Roman"/>
              </w:rPr>
              <w:br/>
              <w:t>summary: clearly identified high-risk factors include positive surgical margins and inadequate follow-up conditions; other factors such as lesion extent or patient age are not elaborated in detail.</w:t>
            </w:r>
          </w:p>
        </w:tc>
        <w:tc>
          <w:tcPr>
            <w:tcW w:w="1152" w:type="dxa"/>
            <w:vAlign w:val="center"/>
          </w:tcPr>
          <w:p w14:paraId="674D69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FDAE8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C1C6F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7EB5305" w14:textId="77777777">
        <w:tc>
          <w:tcPr>
            <w:tcW w:w="2160" w:type="dxa"/>
            <w:vAlign w:val="center"/>
          </w:tcPr>
          <w:p w14:paraId="3E234913"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AB736C4" w14:textId="77777777" w:rsidR="00922249" w:rsidRPr="00CB2EC4" w:rsidRDefault="003011D5">
            <w:pPr>
              <w:rPr>
                <w:rFonts w:ascii="Times New Roman" w:hAnsi="Times New Roman" w:cs="Times New Roman"/>
              </w:rPr>
            </w:pPr>
            <w:r w:rsidRPr="00CB2EC4">
              <w:rPr>
                <w:rFonts w:ascii="Times New Roman" w:hAnsi="Times New Roman" w:cs="Times New Roman"/>
              </w:rPr>
              <w:t>the high-risk factors for recurrence after cervical intraepithelial neoplasia (CIN) treatment are:</w:t>
            </w:r>
            <w:r w:rsidRPr="00CB2EC4">
              <w:rPr>
                <w:rFonts w:ascii="Times New Roman" w:hAnsi="Times New Roman" w:cs="Times New Roman"/>
              </w:rPr>
              <w:br/>
            </w:r>
            <w:r w:rsidRPr="00CB2EC4">
              <w:rPr>
                <w:rFonts w:ascii="Times New Roman" w:hAnsi="Times New Roman" w:cs="Times New Roman"/>
              </w:rPr>
              <w:br/>
              <w:t>- **Positive surgical margins**: Especially involvement of the endocervical margin is significantly associated with higher recurrence rates. The document states that patients with positive margins have a high postoperative recurrence rate, with 5-year survival rates potentially dropping to 50%.</w:t>
            </w:r>
            <w:r w:rsidRPr="00CB2EC4">
              <w:rPr>
                <w:rFonts w:ascii="Times New Roman" w:hAnsi="Times New Roman" w:cs="Times New Roman"/>
              </w:rPr>
              <w:br/>
              <w:t>- **Inadequate follow-up**: When conservative treatment (e.g., conization) is chosen, lack of close cytological and colposcopic follow-up increases the risk of recurrence.</w:t>
            </w:r>
            <w:r w:rsidRPr="00CB2EC4">
              <w:rPr>
                <w:rFonts w:ascii="Times New Roman" w:hAnsi="Times New Roman" w:cs="Times New Roman"/>
              </w:rPr>
              <w:br/>
              <w:t>- **Other factors**: Including cervical stenosis preventing cytological examination, residual lesions (e.g., residual disease at the conization margin), and incomplete excision of the lesion.</w:t>
            </w:r>
            <w:r w:rsidRPr="00CB2EC4">
              <w:rPr>
                <w:rFonts w:ascii="Times New Roman" w:hAnsi="Times New Roman" w:cs="Times New Roman"/>
              </w:rPr>
              <w:br/>
            </w:r>
            <w:r w:rsidRPr="00CB2EC4">
              <w:rPr>
                <w:rFonts w:ascii="Times New Roman" w:hAnsi="Times New Roman" w:cs="Times New Roman"/>
              </w:rPr>
              <w:br/>
              <w:t>The document does not mention other specific factors such as HPV status or immune status; therefore, based on the provided content, positive margins and insufficient follow-up are the primary high-risk factors.</w:t>
            </w:r>
          </w:p>
        </w:tc>
        <w:tc>
          <w:tcPr>
            <w:tcW w:w="1152" w:type="dxa"/>
            <w:vAlign w:val="center"/>
          </w:tcPr>
          <w:p w14:paraId="11BCE7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70536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E07AF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8E6FCAF" w14:textId="77777777">
        <w:tc>
          <w:tcPr>
            <w:tcW w:w="2160" w:type="dxa"/>
            <w:vAlign w:val="center"/>
          </w:tcPr>
          <w:p w14:paraId="29DCB21F"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2AA17CC"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225F99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8A377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22DFA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E2D5B74" w14:textId="77777777">
        <w:tc>
          <w:tcPr>
            <w:tcW w:w="2160" w:type="dxa"/>
            <w:vAlign w:val="center"/>
          </w:tcPr>
          <w:p w14:paraId="5078BAB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429EC82E" w14:textId="77777777" w:rsidR="00922249" w:rsidRPr="00CB2EC4" w:rsidRDefault="003011D5">
            <w:pPr>
              <w:rPr>
                <w:rFonts w:ascii="Times New Roman" w:hAnsi="Times New Roman" w:cs="Times New Roman"/>
              </w:rPr>
            </w:pPr>
            <w:r w:rsidRPr="00CB2EC4">
              <w:rPr>
                <w:rFonts w:ascii="Times New Roman" w:hAnsi="Times New Roman" w:cs="Times New Roman"/>
              </w:rPr>
              <w:t>the high-risk factors for recurrence after treatment of cervical intraepithelial neoplasia include:</w:t>
            </w:r>
            <w:r w:rsidRPr="00CB2EC4">
              <w:rPr>
                <w:rFonts w:ascii="Times New Roman" w:hAnsi="Times New Roman" w:cs="Times New Roman"/>
              </w:rPr>
              <w:br/>
            </w:r>
            <w:r w:rsidRPr="00CB2EC4">
              <w:rPr>
                <w:rFonts w:ascii="Times New Roman" w:hAnsi="Times New Roman" w:cs="Times New Roman"/>
              </w:rPr>
              <w:br/>
              <w:t>- High-grade lesion (CIN 2 or CIN 3)</w:t>
            </w:r>
            <w:r w:rsidRPr="00CB2EC4">
              <w:rPr>
                <w:rFonts w:ascii="Times New Roman" w:hAnsi="Times New Roman" w:cs="Times New Roman"/>
              </w:rPr>
              <w:br/>
              <w:t>- Positive or uncertain surgical margins after excisional procedure</w:t>
            </w:r>
            <w:r w:rsidRPr="00CB2EC4">
              <w:rPr>
                <w:rFonts w:ascii="Times New Roman" w:hAnsi="Times New Roman" w:cs="Times New Roman"/>
              </w:rPr>
              <w:br/>
              <w:t>- Persistent infection with high-risk human papillomavirus (HPV) post-treatment</w:t>
            </w:r>
            <w:r w:rsidRPr="00CB2EC4">
              <w:rPr>
                <w:rFonts w:ascii="Times New Roman" w:hAnsi="Times New Roman" w:cs="Times New Roman"/>
              </w:rPr>
              <w:br/>
              <w:t>- Incomplete excision of the lesion</w:t>
            </w:r>
            <w:r w:rsidRPr="00CB2EC4">
              <w:rPr>
                <w:rFonts w:ascii="Times New Roman" w:hAnsi="Times New Roman" w:cs="Times New Roman"/>
              </w:rPr>
              <w:br/>
              <w:t>- Large lesion size (&gt;3 cm) or extensive involvement</w:t>
            </w:r>
            <w:r w:rsidRPr="00CB2EC4">
              <w:rPr>
                <w:rFonts w:ascii="Times New Roman" w:hAnsi="Times New Roman" w:cs="Times New Roman"/>
              </w:rPr>
              <w:br/>
              <w:t>- Young age at diagnosis (under 30 years)</w:t>
            </w:r>
            <w:r w:rsidRPr="00CB2EC4">
              <w:rPr>
                <w:rFonts w:ascii="Times New Roman" w:hAnsi="Times New Roman" w:cs="Times New Roman"/>
              </w:rPr>
              <w:br/>
              <w:t>- Immunosuppression</w:t>
            </w:r>
            <w:r w:rsidRPr="00CB2EC4">
              <w:rPr>
                <w:rFonts w:ascii="Times New Roman" w:hAnsi="Times New Roman" w:cs="Times New Roman"/>
              </w:rPr>
              <w:br/>
              <w:t>- Smoking</w:t>
            </w:r>
            <w:r w:rsidRPr="00CB2EC4">
              <w:rPr>
                <w:rFonts w:ascii="Times New Roman" w:hAnsi="Times New Roman" w:cs="Times New Roman"/>
              </w:rPr>
              <w:br/>
              <w:t>- Coexistent cervical glandular intraepithelial neoplasia (CGIN)</w:t>
            </w:r>
            <w:r w:rsidRPr="00CB2EC4">
              <w:rPr>
                <w:rFonts w:ascii="Times New Roman" w:hAnsi="Times New Roman" w:cs="Times New Roman"/>
              </w:rPr>
              <w:br/>
              <w:t>- Multiple prior treatments or recurrent disease history</w:t>
            </w:r>
            <w:r w:rsidRPr="00CB2EC4">
              <w:rPr>
                <w:rFonts w:ascii="Times New Roman" w:hAnsi="Times New Roman" w:cs="Times New Roman"/>
              </w:rPr>
              <w:br/>
              <w:t>- Inadequate follow-up or loss to surveillance</w:t>
            </w:r>
            <w:r w:rsidRPr="00CB2EC4">
              <w:rPr>
                <w:rFonts w:ascii="Times New Roman" w:hAnsi="Times New Roman" w:cs="Times New Roman"/>
              </w:rPr>
              <w:br/>
            </w:r>
            <w:r w:rsidRPr="00CB2EC4">
              <w:rPr>
                <w:rFonts w:ascii="Times New Roman" w:hAnsi="Times New Roman" w:cs="Times New Roman"/>
              </w:rPr>
              <w:br/>
              <w:t>→ These factors are associated with increased risk of residual or recurrent disease following treatment for cervical intraepithelial neoplasia.</w:t>
            </w:r>
          </w:p>
        </w:tc>
        <w:tc>
          <w:tcPr>
            <w:tcW w:w="1152" w:type="dxa"/>
            <w:vAlign w:val="center"/>
          </w:tcPr>
          <w:p w14:paraId="607269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0399C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D30A4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0BA1FAA" w14:textId="77777777">
        <w:tc>
          <w:tcPr>
            <w:tcW w:w="2160" w:type="dxa"/>
            <w:vAlign w:val="center"/>
          </w:tcPr>
          <w:p w14:paraId="1D1A34B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1659745" w14:textId="77777777" w:rsidR="00922249" w:rsidRPr="00CB2EC4" w:rsidRDefault="003011D5">
            <w:pPr>
              <w:rPr>
                <w:rFonts w:ascii="Times New Roman" w:hAnsi="Times New Roman" w:cs="Times New Roman"/>
              </w:rPr>
            </w:pPr>
            <w:r w:rsidRPr="00CB2EC4">
              <w:rPr>
                <w:rFonts w:ascii="Times New Roman" w:hAnsi="Times New Roman" w:cs="Times New Roman"/>
              </w:rPr>
              <w:t>the high-risk factors for recurrence after cervical intraepithelial neoplasia (CIN) treatment include:</w:t>
            </w:r>
            <w:r w:rsidRPr="00CB2EC4">
              <w:rPr>
                <w:rFonts w:ascii="Times New Roman" w:hAnsi="Times New Roman" w:cs="Times New Roman"/>
              </w:rPr>
              <w:br/>
            </w:r>
            <w:r w:rsidRPr="00CB2EC4">
              <w:rPr>
                <w:rFonts w:ascii="Times New Roman" w:hAnsi="Times New Roman" w:cs="Times New Roman"/>
              </w:rPr>
              <w:br/>
              <w:t>- positive or uncertain surgical margins (especially endocervical margins)</w:t>
            </w:r>
            <w:r w:rsidRPr="00CB2EC4">
              <w:rPr>
                <w:rFonts w:ascii="Times New Roman" w:hAnsi="Times New Roman" w:cs="Times New Roman"/>
              </w:rPr>
              <w:br/>
              <w:t>- persistent infection with high-risk human papillomavirus (HPV) types, particularly HPV 16 and 18</w:t>
            </w:r>
            <w:r w:rsidRPr="00CB2EC4">
              <w:rPr>
                <w:rFonts w:ascii="Times New Roman" w:hAnsi="Times New Roman" w:cs="Times New Roman"/>
              </w:rPr>
              <w:br/>
              <w:t>- incomplete excision of the lesion</w:t>
            </w:r>
            <w:r w:rsidRPr="00CB2EC4">
              <w:rPr>
                <w:rFonts w:ascii="Times New Roman" w:hAnsi="Times New Roman" w:cs="Times New Roman"/>
              </w:rPr>
              <w:br/>
              <w:t>- large lesion size (&gt;2 cm) or extensive involvement</w:t>
            </w:r>
            <w:r w:rsidRPr="00CB2EC4">
              <w:rPr>
                <w:rFonts w:ascii="Times New Roman" w:hAnsi="Times New Roman" w:cs="Times New Roman"/>
              </w:rPr>
              <w:br/>
              <w:t>- multifocal disease or multicentric lesions</w:t>
            </w:r>
            <w:r w:rsidRPr="00CB2EC4">
              <w:rPr>
                <w:rFonts w:ascii="Times New Roman" w:hAnsi="Times New Roman" w:cs="Times New Roman"/>
              </w:rPr>
              <w:br/>
              <w:t>- immunosuppression (e.g., HIV infection, organ transplant recipients, chronic corticosteroid use)</w:t>
            </w:r>
            <w:r w:rsidRPr="00CB2EC4">
              <w:rPr>
                <w:rFonts w:ascii="Times New Roman" w:hAnsi="Times New Roman" w:cs="Times New Roman"/>
              </w:rPr>
              <w:br/>
            </w:r>
            <w:r w:rsidRPr="00CB2EC4">
              <w:rPr>
                <w:rFonts w:ascii="Times New Roman" w:hAnsi="Times New Roman" w:cs="Times New Roman"/>
              </w:rPr>
              <w:lastRenderedPageBreak/>
              <w:t>- younger age at diagnosis (&lt;30 years)</w:t>
            </w:r>
            <w:r w:rsidRPr="00CB2EC4">
              <w:rPr>
                <w:rFonts w:ascii="Times New Roman" w:hAnsi="Times New Roman" w:cs="Times New Roman"/>
              </w:rPr>
              <w:br/>
              <w:t>- history of multiple prior treatments for CIN</w:t>
            </w:r>
            <w:r w:rsidRPr="00CB2EC4">
              <w:rPr>
                <w:rFonts w:ascii="Times New Roman" w:hAnsi="Times New Roman" w:cs="Times New Roman"/>
              </w:rPr>
              <w:br/>
              <w:t>- smoking</w:t>
            </w:r>
            <w:r w:rsidRPr="00CB2EC4">
              <w:rPr>
                <w:rFonts w:ascii="Times New Roman" w:hAnsi="Times New Roman" w:cs="Times New Roman"/>
              </w:rPr>
              <w:br/>
              <w:t>- coexistent cervical glandular intraepithelial neoplasia (CGIN) or adenocarcinoma in situ</w:t>
            </w:r>
            <w:r w:rsidRPr="00CB2EC4">
              <w:rPr>
                <w:rFonts w:ascii="Times New Roman" w:hAnsi="Times New Roman" w:cs="Times New Roman"/>
              </w:rPr>
              <w:br/>
              <w:t>- high-grade CIN (CIN 3) at initial diagnosis</w:t>
            </w:r>
            <w:r w:rsidRPr="00CB2EC4">
              <w:rPr>
                <w:rFonts w:ascii="Times New Roman" w:hAnsi="Times New Roman" w:cs="Times New Roman"/>
              </w:rPr>
              <w:br/>
              <w:t>- inadequate follow-up or non-adherence to post-treatment surveillance protocols</w:t>
            </w:r>
            <w:r w:rsidRPr="00CB2EC4">
              <w:rPr>
                <w:rFonts w:ascii="Times New Roman" w:hAnsi="Times New Roman" w:cs="Times New Roman"/>
              </w:rPr>
              <w:br/>
            </w:r>
            <w:r w:rsidRPr="00CB2EC4">
              <w:rPr>
                <w:rFonts w:ascii="Times New Roman" w:hAnsi="Times New Roman" w:cs="Times New Roman"/>
              </w:rPr>
              <w:br/>
              <w:t>these factors are associated with an increased risk of residual or recurrent disease following treatment. regular post-treatment monitoring with cytology and HPV testing is recommended, especially in patients with these high-risk features.</w:t>
            </w:r>
            <w:r w:rsidRPr="00CB2EC4">
              <w:rPr>
                <w:rFonts w:ascii="Times New Roman" w:hAnsi="Times New Roman" w:cs="Times New Roman"/>
              </w:rPr>
              <w:br/>
            </w:r>
            <w:r w:rsidRPr="00CB2EC4">
              <w:rPr>
                <w:rFonts w:ascii="Times New Roman" w:hAnsi="Times New Roman" w:cs="Times New Roman"/>
              </w:rPr>
              <w:br/>
              <w:t>(Note: This information is based on established clinical guidelines and literature, including ASCCP and WHO recommendations, as the provided context did not contain recurrence risk factors.)</w:t>
            </w:r>
          </w:p>
        </w:tc>
        <w:tc>
          <w:tcPr>
            <w:tcW w:w="1152" w:type="dxa"/>
            <w:vAlign w:val="center"/>
          </w:tcPr>
          <w:p w14:paraId="0168E1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F9CBE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B3CA6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441CF6D" w14:textId="77777777">
        <w:tc>
          <w:tcPr>
            <w:tcW w:w="2160" w:type="dxa"/>
            <w:vAlign w:val="center"/>
          </w:tcPr>
          <w:p w14:paraId="0F5D9909"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4C4A904"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provided context. based on medical knowledge, high-risk factors for recurrence of cervical intraepithelial neoplasia (CIN) after treatment include:</w:t>
            </w:r>
            <w:r w:rsidRPr="00CB2EC4">
              <w:rPr>
                <w:rFonts w:ascii="Times New Roman" w:hAnsi="Times New Roman" w:cs="Times New Roman"/>
              </w:rPr>
              <w:br/>
            </w:r>
            <w:r w:rsidRPr="00CB2EC4">
              <w:rPr>
                <w:rFonts w:ascii="Times New Roman" w:hAnsi="Times New Roman" w:cs="Times New Roman"/>
              </w:rPr>
              <w:br/>
              <w:t>- positive surgical margins</w:t>
            </w:r>
            <w:r w:rsidRPr="00CB2EC4">
              <w:rPr>
                <w:rFonts w:ascii="Times New Roman" w:hAnsi="Times New Roman" w:cs="Times New Roman"/>
              </w:rPr>
              <w:br/>
              <w:t>- high-grade lesion (CIN 2/3) at initial diagnosis</w:t>
            </w:r>
            <w:r w:rsidRPr="00CB2EC4">
              <w:rPr>
                <w:rFonts w:ascii="Times New Roman" w:hAnsi="Times New Roman" w:cs="Times New Roman"/>
              </w:rPr>
              <w:br/>
              <w:t>- large lesion size (&gt;2 cm)</w:t>
            </w:r>
            <w:r w:rsidRPr="00CB2EC4">
              <w:rPr>
                <w:rFonts w:ascii="Times New Roman" w:hAnsi="Times New Roman" w:cs="Times New Roman"/>
              </w:rPr>
              <w:br/>
              <w:t>- multifocal disease</w:t>
            </w:r>
            <w:r w:rsidRPr="00CB2EC4">
              <w:rPr>
                <w:rFonts w:ascii="Times New Roman" w:hAnsi="Times New Roman" w:cs="Times New Roman"/>
              </w:rPr>
              <w:br/>
              <w:t>- persistent high-risk human papillomavirus (hrHPV) infection post-treatment</w:t>
            </w:r>
            <w:r w:rsidRPr="00CB2EC4">
              <w:rPr>
                <w:rFonts w:ascii="Times New Roman" w:hAnsi="Times New Roman" w:cs="Times New Roman"/>
              </w:rPr>
              <w:br/>
              <w:t>- incomplete excision</w:t>
            </w:r>
            <w:r w:rsidRPr="00CB2EC4">
              <w:rPr>
                <w:rFonts w:ascii="Times New Roman" w:hAnsi="Times New Roman" w:cs="Times New Roman"/>
              </w:rPr>
              <w:br/>
              <w:t>- immunosuppression</w:t>
            </w:r>
            <w:r w:rsidRPr="00CB2EC4">
              <w:rPr>
                <w:rFonts w:ascii="Times New Roman" w:hAnsi="Times New Roman" w:cs="Times New Roman"/>
              </w:rPr>
              <w:br/>
              <w:t>- young age (&lt;30 years)</w:t>
            </w:r>
            <w:r w:rsidRPr="00CB2EC4">
              <w:rPr>
                <w:rFonts w:ascii="Times New Roman" w:hAnsi="Times New Roman" w:cs="Times New Roman"/>
              </w:rPr>
              <w:br/>
              <w:t>- smoking</w:t>
            </w:r>
            <w:r w:rsidRPr="00CB2EC4">
              <w:rPr>
                <w:rFonts w:ascii="Times New Roman" w:hAnsi="Times New Roman" w:cs="Times New Roman"/>
              </w:rPr>
              <w:br/>
            </w:r>
            <w:r w:rsidRPr="00CB2EC4">
              <w:rPr>
                <w:rFonts w:ascii="Times New Roman" w:hAnsi="Times New Roman" w:cs="Times New Roman"/>
              </w:rPr>
              <w:lastRenderedPageBreak/>
              <w:t>- multiple sexual partners</w:t>
            </w:r>
            <w:r w:rsidRPr="00CB2EC4">
              <w:rPr>
                <w:rFonts w:ascii="Times New Roman" w:hAnsi="Times New Roman" w:cs="Times New Roman"/>
              </w:rPr>
              <w:br/>
              <w:t>- inadequate follow-up or loss to follow-up</w:t>
            </w:r>
            <w:r w:rsidRPr="00CB2EC4">
              <w:rPr>
                <w:rFonts w:ascii="Times New Roman" w:hAnsi="Times New Roman" w:cs="Times New Roman"/>
              </w:rPr>
              <w:br/>
            </w:r>
            <w:r w:rsidRPr="00CB2EC4">
              <w:rPr>
                <w:rFonts w:ascii="Times New Roman" w:hAnsi="Times New Roman" w:cs="Times New Roman"/>
              </w:rPr>
              <w:br/>
              <w:t>note: this information is derived from general medical knowledge and not from the provided context, which did not specify recurrence risk factors.</w:t>
            </w:r>
          </w:p>
        </w:tc>
        <w:tc>
          <w:tcPr>
            <w:tcW w:w="1152" w:type="dxa"/>
            <w:vAlign w:val="center"/>
          </w:tcPr>
          <w:p w14:paraId="5794C1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0D0AE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0B8FF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8CCA575" w14:textId="77777777">
        <w:tc>
          <w:tcPr>
            <w:tcW w:w="2160" w:type="dxa"/>
            <w:vAlign w:val="center"/>
          </w:tcPr>
          <w:p w14:paraId="5BBF5C37"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7419F18" w14:textId="77777777" w:rsidR="00922249" w:rsidRPr="00CB2EC4" w:rsidRDefault="003011D5">
            <w:pPr>
              <w:rPr>
                <w:rFonts w:ascii="Times New Roman" w:hAnsi="Times New Roman" w:cs="Times New Roman"/>
              </w:rPr>
            </w:pPr>
            <w:r w:rsidRPr="00CB2EC4">
              <w:rPr>
                <w:rFonts w:ascii="Times New Roman" w:hAnsi="Times New Roman" w:cs="Times New Roman"/>
              </w:rPr>
              <w:t>the high-risk factors for recurrence after cervical intraepithelial neoplasia (CIN) treatment include:</w:t>
            </w:r>
            <w:r w:rsidRPr="00CB2EC4">
              <w:rPr>
                <w:rFonts w:ascii="Times New Roman" w:hAnsi="Times New Roman" w:cs="Times New Roman"/>
              </w:rPr>
              <w:br/>
            </w:r>
            <w:r w:rsidRPr="00CB2EC4">
              <w:rPr>
                <w:rFonts w:ascii="Times New Roman" w:hAnsi="Times New Roman" w:cs="Times New Roman"/>
              </w:rPr>
              <w:br/>
              <w:t>- Lesion-related factors: high-grade CIN (CIN2 or CIN3), extensive lesion involvement (≥2 quadrants), HPV 16 or 18 infection.</w:t>
            </w:r>
            <w:r w:rsidRPr="00CB2EC4">
              <w:rPr>
                <w:rFonts w:ascii="Times New Roman" w:hAnsi="Times New Roman" w:cs="Times New Roman"/>
              </w:rPr>
              <w:br/>
              <w:t>- Treatment-related factors: positive surgical margins (especially after LEEP or conization), incomplete treatment (e.g., residual disease).</w:t>
            </w:r>
            <w:r w:rsidRPr="00CB2EC4">
              <w:rPr>
                <w:rFonts w:ascii="Times New Roman" w:hAnsi="Times New Roman" w:cs="Times New Roman"/>
              </w:rPr>
              <w:br/>
              <w:t>- Patient-related factors: immunosuppressed state (e.g., HIV infection or post-organ transplantation), smoking history, age &gt;50 years, persistent HPV infection (positive at 6–12 months post-treatment).</w:t>
            </w:r>
          </w:p>
        </w:tc>
        <w:tc>
          <w:tcPr>
            <w:tcW w:w="1152" w:type="dxa"/>
            <w:vAlign w:val="center"/>
          </w:tcPr>
          <w:p w14:paraId="0B8131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63A6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08E8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EEBFFA" w14:textId="77777777">
        <w:tc>
          <w:tcPr>
            <w:tcW w:w="10656" w:type="dxa"/>
            <w:gridSpan w:val="5"/>
            <w:tcBorders>
              <w:bottom w:val="single" w:sz="6" w:space="0" w:color="auto"/>
            </w:tcBorders>
            <w:vAlign w:val="center"/>
          </w:tcPr>
          <w:p w14:paraId="1DF4585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145: Under what circumstances is a hysterectomy recommended for patients with endometrial hyperplasia? When can medical therapy be used?</w:t>
            </w:r>
          </w:p>
        </w:tc>
      </w:tr>
      <w:tr w:rsidR="00922249" w:rsidRPr="00CB2EC4" w14:paraId="0F630784" w14:textId="77777777">
        <w:tc>
          <w:tcPr>
            <w:tcW w:w="2160" w:type="dxa"/>
            <w:vAlign w:val="center"/>
          </w:tcPr>
          <w:p w14:paraId="7F47ABA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B9099E7" w14:textId="77777777" w:rsidR="00922249" w:rsidRPr="00CB2EC4" w:rsidRDefault="003011D5">
            <w:pPr>
              <w:rPr>
                <w:rFonts w:ascii="Times New Roman" w:hAnsi="Times New Roman" w:cs="Times New Roman"/>
              </w:rPr>
            </w:pPr>
            <w:r w:rsidRPr="00CB2EC4">
              <w:rPr>
                <w:rFonts w:ascii="Times New Roman" w:hAnsi="Times New Roman" w:cs="Times New Roman"/>
              </w:rPr>
              <w:t>under what circumstances is hysterectomy recommended for patients with endometrial hyperplasia? when can drug therapy be used?</w:t>
            </w:r>
            <w:r w:rsidRPr="00CB2EC4">
              <w:rPr>
                <w:rFonts w:ascii="Times New Roman" w:hAnsi="Times New Roman" w:cs="Times New Roman"/>
              </w:rPr>
              <w:br/>
            </w:r>
            <w:r w:rsidRPr="00CB2EC4">
              <w:rPr>
                <w:rFonts w:ascii="Times New Roman" w:hAnsi="Times New Roman" w:cs="Times New Roman"/>
              </w:rPr>
              <w:br/>
              <w:t xml:space="preserve">according to the document content (similarity 0.478, range 379-381; similarity 0.465, range 380-382), the treatment recommendations for patients with endometrial hyperplasia are as follows:  </w:t>
            </w:r>
            <w:r w:rsidRPr="00CB2EC4">
              <w:rPr>
                <w:rFonts w:ascii="Times New Roman" w:hAnsi="Times New Roman" w:cs="Times New Roman"/>
              </w:rPr>
              <w:br/>
              <w:t xml:space="preserve">- circumstances recommending hysterectomy:  </w:t>
            </w:r>
            <w:r w:rsidRPr="00CB2EC4">
              <w:rPr>
                <w:rFonts w:ascii="Times New Roman" w:hAnsi="Times New Roman" w:cs="Times New Roman"/>
              </w:rPr>
              <w:br/>
              <w:t xml:space="preserve">  - patients aged 40 years or older with a confirmed diagnosis and no desire for fertility.  </w:t>
            </w:r>
            <w:r w:rsidRPr="00CB2EC4">
              <w:rPr>
                <w:rFonts w:ascii="Times New Roman" w:hAnsi="Times New Roman" w:cs="Times New Roman"/>
              </w:rPr>
              <w:br/>
              <w:t xml:space="preserve">  - persistent endometrial hyperplasia or worsening </w:t>
            </w:r>
            <w:r w:rsidRPr="00CB2EC4">
              <w:rPr>
                <w:rFonts w:ascii="Times New Roman" w:hAnsi="Times New Roman" w:cs="Times New Roman"/>
              </w:rPr>
              <w:lastRenderedPageBreak/>
              <w:t xml:space="preserve">clinical symptoms after appropriate cyclic drug therapy, with suspicion of malignant transformation or progression to cancer.  </w:t>
            </w:r>
            <w:r w:rsidRPr="00CB2EC4">
              <w:rPr>
                <w:rFonts w:ascii="Times New Roman" w:hAnsi="Times New Roman" w:cs="Times New Roman"/>
              </w:rPr>
              <w:br/>
              <w:t xml:space="preserve">  - irregular vaginal bleeding that cannot be controlled by curettage or drug therapy, or recurrent postpartum bleeding.  </w:t>
            </w:r>
            <w:r w:rsidRPr="00CB2EC4">
              <w:rPr>
                <w:rFonts w:ascii="Times New Roman" w:hAnsi="Times New Roman" w:cs="Times New Roman"/>
              </w:rPr>
              <w:br/>
              <w:t xml:space="preserve">  - severe atypical hyperplasia combined with significant uterine bleeding and/or suspicion of an estrogen-secreting ovarian tumor.  </w:t>
            </w:r>
            <w:r w:rsidRPr="00CB2EC4">
              <w:rPr>
                <w:rFonts w:ascii="Times New Roman" w:hAnsi="Times New Roman" w:cs="Times New Roman"/>
              </w:rPr>
              <w:br/>
              <w:t xml:space="preserve">  - perimenopausal and postmenopausal women, especially those with atypical hyperplasia, unless there are severe surgical contraindications.  </w:t>
            </w:r>
            <w:r w:rsidRPr="00CB2EC4">
              <w:rPr>
                <w:rFonts w:ascii="Times New Roman" w:hAnsi="Times New Roman" w:cs="Times New Roman"/>
              </w:rPr>
              <w:br/>
              <w:t xml:space="preserve">- circumstances permitting drug therapy:  </w:t>
            </w:r>
            <w:r w:rsidRPr="00CB2EC4">
              <w:rPr>
                <w:rFonts w:ascii="Times New Roman" w:hAnsi="Times New Roman" w:cs="Times New Roman"/>
              </w:rPr>
              <w:br/>
              <w:t xml:space="preserve">  - simple hyperplasia or complex hyperplasia (benign lesions with low risk of malignancy), where drug therapy (e.g., progestogens or gonadotropin-releasing hormone agonists) is the first choice.  </w:t>
            </w:r>
            <w:r w:rsidRPr="00CB2EC4">
              <w:rPr>
                <w:rFonts w:ascii="Times New Roman" w:hAnsi="Times New Roman" w:cs="Times New Roman"/>
              </w:rPr>
              <w:br/>
              <w:t xml:space="preserve">  - young or reproductive-age women (under 40 years) with atypical hyperplasia may undergo conservative drug therapy to preserve fertility.  </w:t>
            </w:r>
            <w:r w:rsidRPr="00CB2EC4">
              <w:rPr>
                <w:rFonts w:ascii="Times New Roman" w:hAnsi="Times New Roman" w:cs="Times New Roman"/>
              </w:rPr>
              <w:br/>
              <w:t xml:space="preserve">  - patients with hypertension, diabetes, obesity, or advanced age with poor surgical tolerance may receive drug therapy first under close monitoring.  </w:t>
            </w:r>
            <w:r w:rsidRPr="00CB2EC4">
              <w:rPr>
                <w:rFonts w:ascii="Times New Roman" w:hAnsi="Times New Roman" w:cs="Times New Roman"/>
              </w:rPr>
              <w:br/>
              <w:t>drug therapy includes progestogen cyclic therapy, estrogen-progestogen artificial cycle therapy, etc., with the goals of controlling bleeding and preventing disease progression.</w:t>
            </w:r>
          </w:p>
        </w:tc>
        <w:tc>
          <w:tcPr>
            <w:tcW w:w="1152" w:type="dxa"/>
            <w:vAlign w:val="center"/>
          </w:tcPr>
          <w:p w14:paraId="756D1F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65820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DD640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F36282E" w14:textId="77777777">
        <w:tc>
          <w:tcPr>
            <w:tcW w:w="2160" w:type="dxa"/>
            <w:vAlign w:val="center"/>
          </w:tcPr>
          <w:p w14:paraId="6524048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1CF9EDE" w14:textId="77777777" w:rsidR="00922249" w:rsidRPr="00CB2EC4" w:rsidRDefault="003011D5">
            <w:pPr>
              <w:rPr>
                <w:rFonts w:ascii="Times New Roman" w:hAnsi="Times New Roman" w:cs="Times New Roman"/>
              </w:rPr>
            </w:pPr>
            <w:r w:rsidRPr="00CB2EC4">
              <w:rPr>
                <w:rFonts w:ascii="Times New Roman" w:hAnsi="Times New Roman" w:cs="Times New Roman"/>
              </w:rPr>
              <w:t>indications for hysterectomy in patients with endometrial hyperplasia (document excerpts 4, 6):</w:t>
            </w:r>
            <w:r w:rsidRPr="00CB2EC4">
              <w:rPr>
                <w:rFonts w:ascii="Times New Roman" w:hAnsi="Times New Roman" w:cs="Times New Roman"/>
              </w:rPr>
              <w:br/>
              <w:t xml:space="preserve">  - age ≥ 40 years: no fertility requirement and confirmed diagnosis (excerpt 4).</w:t>
            </w:r>
            <w:r w:rsidRPr="00CB2EC4">
              <w:rPr>
                <w:rFonts w:ascii="Times New Roman" w:hAnsi="Times New Roman" w:cs="Times New Roman"/>
              </w:rPr>
              <w:br/>
              <w:t xml:space="preserve">  - failure of medical treatment: persistent endometrial hyperplasia or worsening clinical symptoms, suspected carcinogenic tendency or already malignant </w:t>
            </w:r>
            <w:r w:rsidRPr="00CB2EC4">
              <w:rPr>
                <w:rFonts w:ascii="Times New Roman" w:hAnsi="Times New Roman" w:cs="Times New Roman"/>
              </w:rPr>
              <w:lastRenderedPageBreak/>
              <w:t>transformation (excerpt 4).</w:t>
            </w:r>
            <w:r w:rsidRPr="00CB2EC4">
              <w:rPr>
                <w:rFonts w:ascii="Times New Roman" w:hAnsi="Times New Roman" w:cs="Times New Roman"/>
              </w:rPr>
              <w:br/>
              <w:t xml:space="preserve">  - severe atypical hyperplasia: especially in perimenopausal/postmenopausal women (excerpt 6).</w:t>
            </w:r>
            <w:r w:rsidRPr="00CB2EC4">
              <w:rPr>
                <w:rFonts w:ascii="Times New Roman" w:hAnsi="Times New Roman" w:cs="Times New Roman"/>
              </w:rPr>
              <w:br/>
              <w:t xml:space="preserve">  - coexisting severe bleeding or ovarian tumors: such as estrogen-secreting ovarian tumors (excerpt 4).</w:t>
            </w:r>
            <w:r w:rsidRPr="00CB2EC4">
              <w:rPr>
                <w:rFonts w:ascii="Times New Roman" w:hAnsi="Times New Roman" w:cs="Times New Roman"/>
              </w:rPr>
              <w:br/>
              <w:t>- indications for medical treatment (document excerpts 4, 6):</w:t>
            </w:r>
            <w:r w:rsidRPr="00CB2EC4">
              <w:rPr>
                <w:rFonts w:ascii="Times New Roman" w:hAnsi="Times New Roman" w:cs="Times New Roman"/>
              </w:rPr>
              <w:br/>
              <w:t xml:space="preserve">  - young patients or those desiring fertility: medical treatment (e.g., progestogens, GnRHa) can be used (excerpt 4).</w:t>
            </w:r>
            <w:r w:rsidRPr="00CB2EC4">
              <w:rPr>
                <w:rFonts w:ascii="Times New Roman" w:hAnsi="Times New Roman" w:cs="Times New Roman"/>
              </w:rPr>
              <w:br/>
              <w:t xml:space="preserve">  - simple/complex hyperplasia: low risk of malignancy, progestogens or GnRHa have an efficacy rate of 86%–100% (excerpt 4).</w:t>
            </w:r>
            <w:r w:rsidRPr="00CB2EC4">
              <w:rPr>
                <w:rFonts w:ascii="Times New Roman" w:hAnsi="Times New Roman" w:cs="Times New Roman"/>
              </w:rPr>
              <w:br/>
              <w:t xml:space="preserve">  - patients with surgical contraindications or poor tolerance: such as those with hypertension, diabetes, obesity, may undergo medical treatment under close follow-up (excerpt 6).</w:t>
            </w:r>
          </w:p>
        </w:tc>
        <w:tc>
          <w:tcPr>
            <w:tcW w:w="1152" w:type="dxa"/>
            <w:vAlign w:val="center"/>
          </w:tcPr>
          <w:p w14:paraId="050E77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1D76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05EC8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9BDA51" w14:textId="77777777">
        <w:tc>
          <w:tcPr>
            <w:tcW w:w="2160" w:type="dxa"/>
            <w:vAlign w:val="center"/>
          </w:tcPr>
          <w:p w14:paraId="4BB04520"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458C35A" w14:textId="77777777" w:rsidR="00922249" w:rsidRPr="00CB2EC4" w:rsidRDefault="003011D5">
            <w:pPr>
              <w:rPr>
                <w:rFonts w:ascii="Times New Roman" w:hAnsi="Times New Roman" w:cs="Times New Roman"/>
              </w:rPr>
            </w:pPr>
            <w:r w:rsidRPr="00CB2EC4">
              <w:rPr>
                <w:rFonts w:ascii="Times New Roman" w:hAnsi="Times New Roman" w:cs="Times New Roman"/>
              </w:rPr>
              <w:t>under what circumstances is hysterectomy recommended for patients with endometrial hyperplasia? when can drug therapy be used?</w:t>
            </w:r>
            <w:r w:rsidRPr="00CB2EC4">
              <w:rPr>
                <w:rFonts w:ascii="Times New Roman" w:hAnsi="Times New Roman" w:cs="Times New Roman"/>
              </w:rPr>
              <w:br/>
            </w:r>
            <w:r w:rsidRPr="00CB2EC4">
              <w:rPr>
                <w:rFonts w:ascii="Times New Roman" w:hAnsi="Times New Roman" w:cs="Times New Roman"/>
              </w:rPr>
              <w:br/>
              <w:t xml:space="preserve">based on the provided document excerpts, treatment recommendations for endometrial hyperplasia patients are as follows:  </w:t>
            </w:r>
            <w:r w:rsidRPr="00CB2EC4">
              <w:rPr>
                <w:rFonts w:ascii="Times New Roman" w:hAnsi="Times New Roman" w:cs="Times New Roman"/>
              </w:rPr>
              <w:br/>
              <w:t xml:space="preserve">- circumstances recommending hysterectomy:  </w:t>
            </w:r>
            <w:r w:rsidRPr="00CB2EC4">
              <w:rPr>
                <w:rFonts w:ascii="Times New Roman" w:hAnsi="Times New Roman" w:cs="Times New Roman"/>
              </w:rPr>
              <w:br/>
              <w:t xml:space="preserve">  - document excerpt 2 (relevance: 0.900) states that perimenopausal and postmenopausal women (especially those with atypical hyperplasia) should undergo hysterectomy unless there are severe surgical contraindications.  </w:t>
            </w:r>
            <w:r w:rsidRPr="00CB2EC4">
              <w:rPr>
                <w:rFonts w:ascii="Times New Roman" w:hAnsi="Times New Roman" w:cs="Times New Roman"/>
              </w:rPr>
              <w:br/>
              <w:t xml:space="preserve">  - document excerpt 19 (relevance: 0.700) details indications: age over 40, confirmed diagnosis, no desire for fertility; persistent endometrial hyperplasia or worsening clinical symptoms after correct cyclic </w:t>
            </w:r>
            <w:r w:rsidRPr="00CB2EC4">
              <w:rPr>
                <w:rFonts w:ascii="Times New Roman" w:hAnsi="Times New Roman" w:cs="Times New Roman"/>
              </w:rPr>
              <w:lastRenderedPageBreak/>
              <w:t xml:space="preserve">drug therapy, suspected premalignant or malignant transformation; irregular vaginal bleeding not controlled by curettage or drug therapy, or recurrent postpartum; severe atypical hyperplasia combined with heavy uterine bleeding or suspected estrogen-secreting ovarian tumor.  </w:t>
            </w:r>
            <w:r w:rsidRPr="00CB2EC4">
              <w:rPr>
                <w:rFonts w:ascii="Times New Roman" w:hAnsi="Times New Roman" w:cs="Times New Roman"/>
              </w:rPr>
              <w:br/>
              <w:t xml:space="preserve">  - document excerpts 29 (relevance: 0.700) and 16 (relevance: 0.800) emphasize that atypical hyperplasia (severe) has a high risk of malignant transformation (5%~25%), with even higher risk in postmenopausal women, thus hysterectomy is recommended.  </w:t>
            </w:r>
            <w:r w:rsidRPr="00CB2EC4">
              <w:rPr>
                <w:rFonts w:ascii="Times New Roman" w:hAnsi="Times New Roman" w:cs="Times New Roman"/>
              </w:rPr>
              <w:br/>
              <w:t xml:space="preserve">  - document excerpt 32 (relevance: 0.700) adds that for premalignant lesions (such as atypical hyperplasia), hysterectomy achieves a 100% cure rate.  </w:t>
            </w:r>
            <w:r w:rsidRPr="00CB2EC4">
              <w:rPr>
                <w:rFonts w:ascii="Times New Roman" w:hAnsi="Times New Roman" w:cs="Times New Roman"/>
              </w:rPr>
              <w:br/>
              <w:t xml:space="preserve">- circumstances permitting drug therapy:  </w:t>
            </w:r>
            <w:r w:rsidRPr="00CB2EC4">
              <w:rPr>
                <w:rFonts w:ascii="Times New Roman" w:hAnsi="Times New Roman" w:cs="Times New Roman"/>
              </w:rPr>
              <w:br/>
              <w:t xml:space="preserve">  - document excerpt 2 (relevance: 0.900) states that drug therapy is preferred for patients under 40 years old with low risk of malignancy; young patients desiring fertility; those with hypertension, diabetes, obesity, or advanced age with poor surgical tolerance, who may consider drug therapy under close monitoring.  </w:t>
            </w:r>
            <w:r w:rsidRPr="00CB2EC4">
              <w:rPr>
                <w:rFonts w:ascii="Times New Roman" w:hAnsi="Times New Roman" w:cs="Times New Roman"/>
              </w:rPr>
              <w:br/>
              <w:t xml:space="preserve">  - document excerpt 18 (relevance: 0.800) indicates that drug therapy (e.g., progestogens) can be used for atypical hyperplasia to increase the likelihood of lesion regression, though recurrence risk must be noted.  </w:t>
            </w:r>
            <w:r w:rsidRPr="00CB2EC4">
              <w:rPr>
                <w:rFonts w:ascii="Times New Roman" w:hAnsi="Times New Roman" w:cs="Times New Roman"/>
              </w:rPr>
              <w:br/>
              <w:t xml:space="preserve">  - document excerpt 19 (relevance: 0.700) mentions that simple hyperplasia and complex hyperplasia (benign lesions with low malignancy risk) may be treated primarily with drug therapy depending on age and fertility requirements.  </w:t>
            </w:r>
            <w:r w:rsidRPr="00CB2EC4">
              <w:rPr>
                <w:rFonts w:ascii="Times New Roman" w:hAnsi="Times New Roman" w:cs="Times New Roman"/>
              </w:rPr>
              <w:br/>
              <w:t xml:space="preserve">in summary, hysterectomy is recommended for patients over 40 years old, with no fertility needs, </w:t>
            </w:r>
            <w:r w:rsidRPr="00CB2EC4">
              <w:rPr>
                <w:rFonts w:ascii="Times New Roman" w:hAnsi="Times New Roman" w:cs="Times New Roman"/>
              </w:rPr>
              <w:lastRenderedPageBreak/>
              <w:t>ineffective drug therapy, suspected malignancy, or severe atypical hyperplasia; drug therapy is suitable for younger patients, those desiring fertility, high surgical risk individuals, or cases of mild hyperplasia. no other specific drug or dosage details are provided in the documents.</w:t>
            </w:r>
          </w:p>
        </w:tc>
        <w:tc>
          <w:tcPr>
            <w:tcW w:w="1152" w:type="dxa"/>
            <w:vAlign w:val="center"/>
          </w:tcPr>
          <w:p w14:paraId="1C4B2E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B49D0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D0A6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860E3DA" w14:textId="77777777">
        <w:tc>
          <w:tcPr>
            <w:tcW w:w="2160" w:type="dxa"/>
            <w:vAlign w:val="center"/>
          </w:tcPr>
          <w:p w14:paraId="2A13391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3E81A46F" w14:textId="77777777" w:rsidR="00922249" w:rsidRPr="00CB2EC4" w:rsidRDefault="003011D5">
            <w:pPr>
              <w:rPr>
                <w:rFonts w:ascii="Times New Roman" w:hAnsi="Times New Roman" w:cs="Times New Roman"/>
              </w:rPr>
            </w:pPr>
            <w:r w:rsidRPr="00CB2EC4">
              <w:rPr>
                <w:rFonts w:ascii="Times New Roman" w:hAnsi="Times New Roman" w:cs="Times New Roman"/>
              </w:rPr>
              <w:t>under what circumstances is hysterectomy recommended for patients with endometrial hyperplasia? when can drug therapy be used?</w:t>
            </w:r>
            <w:r w:rsidRPr="00CB2EC4">
              <w:rPr>
                <w:rFonts w:ascii="Times New Roman" w:hAnsi="Times New Roman" w:cs="Times New Roman"/>
              </w:rPr>
              <w:br/>
            </w:r>
            <w:r w:rsidRPr="00CB2EC4">
              <w:rPr>
                <w:rFonts w:ascii="Times New Roman" w:hAnsi="Times New Roman" w:cs="Times New Roman"/>
              </w:rPr>
              <w:br/>
              <w:t xml:space="preserve">hysterectomy indications:  </w:t>
            </w:r>
            <w:r w:rsidRPr="00CB2EC4">
              <w:rPr>
                <w:rFonts w:ascii="Times New Roman" w:hAnsi="Times New Roman" w:cs="Times New Roman"/>
              </w:rPr>
              <w:br/>
              <w:t xml:space="preserve">  1. age ≥40 years, no fertility requirement;  </w:t>
            </w:r>
            <w:r w:rsidRPr="00CB2EC4">
              <w:rPr>
                <w:rFonts w:ascii="Times New Roman" w:hAnsi="Times New Roman" w:cs="Times New Roman"/>
              </w:rPr>
              <w:br/>
              <w:t xml:space="preserve">  2. drug therapy ineffective or endometrium persistently hyperplastic;  </w:t>
            </w:r>
            <w:r w:rsidRPr="00CB2EC4">
              <w:rPr>
                <w:rFonts w:ascii="Times New Roman" w:hAnsi="Times New Roman" w:cs="Times New Roman"/>
              </w:rPr>
              <w:br/>
              <w:t xml:space="preserve">  3. suspicion of malignancy or progression to cancer;  </w:t>
            </w:r>
            <w:r w:rsidRPr="00CB2EC4">
              <w:rPr>
                <w:rFonts w:ascii="Times New Roman" w:hAnsi="Times New Roman" w:cs="Times New Roman"/>
              </w:rPr>
              <w:br/>
              <w:t xml:space="preserve">  4. coexisting severe uterine bleeding or estrogen-secreting ovarian tumors.  </w:t>
            </w:r>
            <w:r w:rsidRPr="00CB2EC4">
              <w:rPr>
                <w:rFonts w:ascii="Times New Roman" w:hAnsi="Times New Roman" w:cs="Times New Roman"/>
              </w:rPr>
              <w:br/>
              <w:t xml:space="preserve">- drug therapy indications:  </w:t>
            </w:r>
            <w:r w:rsidRPr="00CB2EC4">
              <w:rPr>
                <w:rFonts w:ascii="Times New Roman" w:hAnsi="Times New Roman" w:cs="Times New Roman"/>
              </w:rPr>
              <w:br/>
              <w:t xml:space="preserve">  1. young patients desiring fertility (first-line: progestogens or GnRHa);  </w:t>
            </w:r>
            <w:r w:rsidRPr="00CB2EC4">
              <w:rPr>
                <w:rFonts w:ascii="Times New Roman" w:hAnsi="Times New Roman" w:cs="Times New Roman"/>
              </w:rPr>
              <w:br/>
              <w:t xml:space="preserve">  2. simple/complex hyperplasia (progestogen effective rate 86%);  </w:t>
            </w:r>
            <w:r w:rsidRPr="00CB2EC4">
              <w:rPr>
                <w:rFonts w:ascii="Times New Roman" w:hAnsi="Times New Roman" w:cs="Times New Roman"/>
              </w:rPr>
              <w:br/>
              <w:t xml:space="preserve">  3. patients at high surgical risk (e.g., severe medical comorbidities).  </w:t>
            </w:r>
            <w:r w:rsidRPr="00CB2EC4">
              <w:rPr>
                <w:rFonts w:ascii="Times New Roman" w:hAnsi="Times New Roman" w:cs="Times New Roman"/>
              </w:rPr>
              <w:br/>
              <w:t xml:space="preserve">  sources:  </w:t>
            </w:r>
            <w:r w:rsidRPr="00CB2EC4">
              <w:rPr>
                <w:rFonts w:ascii="Times New Roman" w:hAnsi="Times New Roman" w:cs="Times New Roman"/>
              </w:rPr>
              <w:br/>
              <w:t xml:space="preserve">  - knowledge base documents (chapters on endometrial precancerous lesions and drug therapy);  </w:t>
            </w:r>
            <w:r w:rsidRPr="00CB2EC4">
              <w:rPr>
                <w:rFonts w:ascii="Times New Roman" w:hAnsi="Times New Roman" w:cs="Times New Roman"/>
              </w:rPr>
              <w:br/>
              <w:t xml:space="preserve">  - supplementary web search (difference between endometrial ablation and hysterectomy).</w:t>
            </w:r>
            <w:r w:rsidRPr="00CB2EC4">
              <w:rPr>
                <w:rFonts w:ascii="Times New Roman" w:hAnsi="Times New Roman" w:cs="Times New Roman"/>
              </w:rPr>
              <w:br/>
            </w:r>
            <w:r w:rsidRPr="00CB2EC4">
              <w:rPr>
                <w:rFonts w:ascii="Times New Roman" w:hAnsi="Times New Roman" w:cs="Times New Roman"/>
              </w:rPr>
              <w:br/>
              <w:t xml:space="preserve">summary  </w:t>
            </w:r>
            <w:r w:rsidRPr="00CB2EC4">
              <w:rPr>
                <w:rFonts w:ascii="Times New Roman" w:hAnsi="Times New Roman" w:cs="Times New Roman"/>
              </w:rPr>
              <w:br/>
              <w:t xml:space="preserve">- the above response is based on 20 knowledge base documents and 10 web search results; no contradictory information was found.  </w:t>
            </w:r>
            <w:r w:rsidRPr="00CB2EC4">
              <w:rPr>
                <w:rFonts w:ascii="Times New Roman" w:hAnsi="Times New Roman" w:cs="Times New Roman"/>
              </w:rPr>
              <w:br/>
            </w:r>
            <w:r w:rsidRPr="00CB2EC4">
              <w:rPr>
                <w:rFonts w:ascii="Times New Roman" w:hAnsi="Times New Roman" w:cs="Times New Roman"/>
              </w:rPr>
              <w:lastRenderedPageBreak/>
              <w:t>- surgical details (e.g., anatomical variations, extent of resection) are based on illustrations and text descriptions in the knowledge base; treatment principles integrate clinical guidelines from both the knowledge base and web searches.</w:t>
            </w:r>
          </w:p>
        </w:tc>
        <w:tc>
          <w:tcPr>
            <w:tcW w:w="1152" w:type="dxa"/>
            <w:vAlign w:val="center"/>
          </w:tcPr>
          <w:p w14:paraId="0E8E0C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A9352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D076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C20882" w14:textId="77777777">
        <w:tc>
          <w:tcPr>
            <w:tcW w:w="2160" w:type="dxa"/>
            <w:vAlign w:val="center"/>
          </w:tcPr>
          <w:p w14:paraId="1811F9DE"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4AB6629" w14:textId="77777777" w:rsidR="00922249" w:rsidRPr="00CB2EC4" w:rsidRDefault="003011D5">
            <w:pPr>
              <w:rPr>
                <w:rFonts w:ascii="Times New Roman" w:hAnsi="Times New Roman" w:cs="Times New Roman"/>
              </w:rPr>
            </w:pPr>
            <w:r w:rsidRPr="00CB2EC4">
              <w:rPr>
                <w:rFonts w:ascii="Times New Roman" w:hAnsi="Times New Roman" w:cs="Times New Roman"/>
              </w:rPr>
              <w:t>indications for hysterectomy in patients with endometrial hyperplasia:</w:t>
            </w:r>
            <w:r w:rsidRPr="00CB2EC4">
              <w:rPr>
                <w:rFonts w:ascii="Times New Roman" w:hAnsi="Times New Roman" w:cs="Times New Roman"/>
              </w:rPr>
              <w:br/>
              <w:t>- age 40 years or older, confirmed diagnosis, no desire for fertility (document 4)</w:t>
            </w:r>
            <w:r w:rsidRPr="00CB2EC4">
              <w:rPr>
                <w:rFonts w:ascii="Times New Roman" w:hAnsi="Times New Roman" w:cs="Times New Roman"/>
              </w:rPr>
              <w:br/>
              <w:t>- persistent endometrial hyperplasia or worsening clinical symptoms after cyclic drug therapy, with suspicion of malignant transformation or progression to cancer (document 4)</w:t>
            </w:r>
            <w:r w:rsidRPr="00CB2EC4">
              <w:rPr>
                <w:rFonts w:ascii="Times New Roman" w:hAnsi="Times New Roman" w:cs="Times New Roman"/>
              </w:rPr>
              <w:br/>
              <w:t>- irregular vaginal bleeding not controlled by curettage or drug therapy, or recurrent postpartum (document 4)</w:t>
            </w:r>
            <w:r w:rsidRPr="00CB2EC4">
              <w:rPr>
                <w:rFonts w:ascii="Times New Roman" w:hAnsi="Times New Roman" w:cs="Times New Roman"/>
              </w:rPr>
              <w:br/>
              <w:t>- perimenopausal and postmenopausal women, especially those with atypical hyperplasia, unless severe surgical contraindications exist (document 8)</w:t>
            </w:r>
            <w:r w:rsidRPr="00CB2EC4">
              <w:rPr>
                <w:rFonts w:ascii="Times New Roman" w:hAnsi="Times New Roman" w:cs="Times New Roman"/>
              </w:rPr>
              <w:br/>
              <w:t>- concomitant severe uterine bleeding and/or suspicion of estrogen-secreting ovarian tumor (document 4)</w:t>
            </w:r>
            <w:r w:rsidRPr="00CB2EC4">
              <w:rPr>
                <w:rFonts w:ascii="Times New Roman" w:hAnsi="Times New Roman" w:cs="Times New Roman"/>
              </w:rPr>
              <w:br/>
              <w:t>- principle: young patients with grade I or II atypical hyperplasia may undergo subtotal hysterectomy; older patients with grade III atypical hyperplasia should undergo total hysterectomy (document 4)</w:t>
            </w:r>
            <w:r w:rsidRPr="00CB2EC4">
              <w:rPr>
                <w:rFonts w:ascii="Times New Roman" w:hAnsi="Times New Roman" w:cs="Times New Roman"/>
              </w:rPr>
              <w:br/>
            </w:r>
            <w:r w:rsidRPr="00CB2EC4">
              <w:rPr>
                <w:rFonts w:ascii="Times New Roman" w:hAnsi="Times New Roman" w:cs="Times New Roman"/>
              </w:rPr>
              <w:br/>
              <w:t>indications for drug therapy in patients with endometrial hyperplasia:</w:t>
            </w:r>
            <w:r w:rsidRPr="00CB2EC4">
              <w:rPr>
                <w:rFonts w:ascii="Times New Roman" w:hAnsi="Times New Roman" w:cs="Times New Roman"/>
              </w:rPr>
              <w:br/>
              <w:t>- age under 40 years with low risk of malignancy, active conservative treatment indicated; young patients desiring fertility may choose drug therapy (document 8)</w:t>
            </w:r>
            <w:r w:rsidRPr="00CB2EC4">
              <w:rPr>
                <w:rFonts w:ascii="Times New Roman" w:hAnsi="Times New Roman" w:cs="Times New Roman"/>
              </w:rPr>
              <w:br/>
              <w:t xml:space="preserve">- simple hyperplasia or complex hyperplasia (benign lesions with low risk of malignancy), drug therapy such as progestogens or gonadotropin-releasing </w:t>
            </w:r>
            <w:r w:rsidRPr="00CB2EC4">
              <w:rPr>
                <w:rFonts w:ascii="Times New Roman" w:hAnsi="Times New Roman" w:cs="Times New Roman"/>
              </w:rPr>
              <w:lastRenderedPageBreak/>
              <w:t>hormone agonists (GnRHa) is the first choice (document 4 and 27)</w:t>
            </w:r>
            <w:r w:rsidRPr="00CB2EC4">
              <w:rPr>
                <w:rFonts w:ascii="Times New Roman" w:hAnsi="Times New Roman" w:cs="Times New Roman"/>
              </w:rPr>
              <w:br/>
              <w:t>- patients with hypertension, diabetes, obesity, or advanced age with poor surgical tolerance may receive drug therapy under close follow-up (document 8)</w:t>
            </w:r>
            <w:r w:rsidRPr="00CB2EC4">
              <w:rPr>
                <w:rFonts w:ascii="Times New Roman" w:hAnsi="Times New Roman" w:cs="Times New Roman"/>
              </w:rPr>
              <w:br/>
              <w:t>- patients aged 40 years or older up to menopause may choose drug therapy based on patient preference (document 8)</w:t>
            </w:r>
          </w:p>
        </w:tc>
        <w:tc>
          <w:tcPr>
            <w:tcW w:w="1152" w:type="dxa"/>
            <w:vAlign w:val="center"/>
          </w:tcPr>
          <w:p w14:paraId="3E7AE2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B4963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6E3A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E11776" w14:textId="77777777">
        <w:tc>
          <w:tcPr>
            <w:tcW w:w="2160" w:type="dxa"/>
            <w:vAlign w:val="center"/>
          </w:tcPr>
          <w:p w14:paraId="12CD2D55"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450E201" w14:textId="77777777" w:rsidR="00922249" w:rsidRPr="00CB2EC4" w:rsidRDefault="003011D5">
            <w:pPr>
              <w:rPr>
                <w:rFonts w:ascii="Times New Roman" w:hAnsi="Times New Roman" w:cs="Times New Roman"/>
              </w:rPr>
            </w:pPr>
            <w:r w:rsidRPr="00CB2EC4">
              <w:rPr>
                <w:rFonts w:ascii="Times New Roman" w:hAnsi="Times New Roman" w:cs="Times New Roman"/>
              </w:rPr>
              <w:t>under what circumstances is hysterectomy recommended for patients with endometrial hyperplasia? when can drug therapy be used?</w:t>
            </w:r>
            <w:r w:rsidRPr="00CB2EC4">
              <w:rPr>
                <w:rFonts w:ascii="Times New Roman" w:hAnsi="Times New Roman" w:cs="Times New Roman"/>
              </w:rPr>
              <w:br/>
            </w:r>
            <w:r w:rsidRPr="00CB2EC4">
              <w:rPr>
                <w:rFonts w:ascii="Times New Roman" w:hAnsi="Times New Roman" w:cs="Times New Roman"/>
              </w:rPr>
              <w:br/>
              <w:t>based on relevant document 4 (fusion score: 0.6684) and relevant document 6 (fusion score: 0.6066), the recommendations are as follows:</w:t>
            </w:r>
            <w:r w:rsidRPr="00CB2EC4">
              <w:rPr>
                <w:rFonts w:ascii="Times New Roman" w:hAnsi="Times New Roman" w:cs="Times New Roman"/>
              </w:rPr>
              <w:br/>
              <w:t>- circumstances recommending hysterectomy:</w:t>
            </w:r>
            <w:r w:rsidRPr="00CB2EC4">
              <w:rPr>
                <w:rFonts w:ascii="Times New Roman" w:hAnsi="Times New Roman" w:cs="Times New Roman"/>
              </w:rPr>
              <w:br/>
              <w:t xml:space="preserve">  - patients aged 40 or above with confirmed diagnosis and no fertility requirements.</w:t>
            </w:r>
            <w:r w:rsidRPr="00CB2EC4">
              <w:rPr>
                <w:rFonts w:ascii="Times New Roman" w:hAnsi="Times New Roman" w:cs="Times New Roman"/>
              </w:rPr>
              <w:br/>
              <w:t xml:space="preserve">  - persistent endometrial hyperplasia or worsening clinical symptoms after cyclic drug therapy, with suspicion of malignant transformation or progression to cancer.</w:t>
            </w:r>
            <w:r w:rsidRPr="00CB2EC4">
              <w:rPr>
                <w:rFonts w:ascii="Times New Roman" w:hAnsi="Times New Roman" w:cs="Times New Roman"/>
              </w:rPr>
              <w:br/>
              <w:t xml:space="preserve">  - irregular vaginal bleeding not controlled by curettage or drug therapy, or recurrent postpartum bleeding.</w:t>
            </w:r>
            <w:r w:rsidRPr="00CB2EC4">
              <w:rPr>
                <w:rFonts w:ascii="Times New Roman" w:hAnsi="Times New Roman" w:cs="Times New Roman"/>
              </w:rPr>
              <w:br/>
              <w:t xml:space="preserve">  - severe atypical hyperplasia (grade III) combined with significant uterine bleeding and/or suspicion of estrogen-secreting ovarian tumor.</w:t>
            </w:r>
            <w:r w:rsidRPr="00CB2EC4">
              <w:rPr>
                <w:rFonts w:ascii="Times New Roman" w:hAnsi="Times New Roman" w:cs="Times New Roman"/>
              </w:rPr>
              <w:br/>
              <w:t xml:space="preserve">  - perimenopausal and postmenopausal women, especially those with atypical hyperplasia, unless severe surgical contraindications exist.</w:t>
            </w:r>
            <w:r w:rsidRPr="00CB2EC4">
              <w:rPr>
                <w:rFonts w:ascii="Times New Roman" w:hAnsi="Times New Roman" w:cs="Times New Roman"/>
              </w:rPr>
              <w:br/>
              <w:t>- circumstances permitting drug therapy:</w:t>
            </w:r>
            <w:r w:rsidRPr="00CB2EC4">
              <w:rPr>
                <w:rFonts w:ascii="Times New Roman" w:hAnsi="Times New Roman" w:cs="Times New Roman"/>
              </w:rPr>
              <w:br/>
              <w:t xml:space="preserve">  - simple hyperplasia or complex hyperplasia (benign </w:t>
            </w:r>
            <w:r w:rsidRPr="00CB2EC4">
              <w:rPr>
                <w:rFonts w:ascii="Times New Roman" w:hAnsi="Times New Roman" w:cs="Times New Roman"/>
              </w:rPr>
              <w:lastRenderedPageBreak/>
              <w:t>lesions with low cancer risk), particularly suitable for young patients or those desiring fertility.</w:t>
            </w:r>
            <w:r w:rsidRPr="00CB2EC4">
              <w:rPr>
                <w:rFonts w:ascii="Times New Roman" w:hAnsi="Times New Roman" w:cs="Times New Roman"/>
              </w:rPr>
              <w:br/>
              <w:t xml:space="preserve">  - drugs include progestogens or gonadotropin-releasing hormone agonists (GnRHa), which can effectively promote lesion regression (e.g., document 4 reports 86% efficacy with progestogen, GnRHa achieving up to 100% conversion rate).</w:t>
            </w:r>
            <w:r w:rsidRPr="00CB2EC4">
              <w:rPr>
                <w:rFonts w:ascii="Times New Roman" w:hAnsi="Times New Roman" w:cs="Times New Roman"/>
              </w:rPr>
              <w:br/>
              <w:t xml:space="preserve">  - patients with hypertension, diabetes, obesity, or advanced age with poor surgical tolerance may receive drug therapy first under close monitoring.</w:t>
            </w:r>
            <w:r w:rsidRPr="00CB2EC4">
              <w:rPr>
                <w:rFonts w:ascii="Times New Roman" w:hAnsi="Times New Roman" w:cs="Times New Roman"/>
              </w:rPr>
              <w:br/>
              <w:t>treatment selection must comprehensively consider age, fertility wishes, degree of lesion, and overall health status (relevant documents 4 and 6).</w:t>
            </w:r>
          </w:p>
        </w:tc>
        <w:tc>
          <w:tcPr>
            <w:tcW w:w="1152" w:type="dxa"/>
            <w:vAlign w:val="center"/>
          </w:tcPr>
          <w:p w14:paraId="0DFB2F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84DEA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2455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8016556" w14:textId="77777777">
        <w:tc>
          <w:tcPr>
            <w:tcW w:w="2160" w:type="dxa"/>
            <w:vAlign w:val="center"/>
          </w:tcPr>
          <w:p w14:paraId="124E0E5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788FED7" w14:textId="77777777" w:rsidR="00922249" w:rsidRPr="00CB2EC4" w:rsidRDefault="003011D5">
            <w:pPr>
              <w:rPr>
                <w:rFonts w:ascii="Times New Roman" w:hAnsi="Times New Roman" w:cs="Times New Roman"/>
              </w:rPr>
            </w:pPr>
            <w:r w:rsidRPr="00CB2EC4">
              <w:rPr>
                <w:rFonts w:ascii="Times New Roman" w:hAnsi="Times New Roman" w:cs="Times New Roman"/>
              </w:rPr>
              <w:t>under what circumstances is hysterectomy recommended for patients with endometrial hyperplasia? when can drug therapy be used?</w:t>
            </w:r>
            <w:r w:rsidRPr="00CB2EC4">
              <w:rPr>
                <w:rFonts w:ascii="Times New Roman" w:hAnsi="Times New Roman" w:cs="Times New Roman"/>
              </w:rPr>
              <w:br/>
            </w:r>
            <w:r w:rsidRPr="00CB2EC4">
              <w:rPr>
                <w:rFonts w:ascii="Times New Roman" w:hAnsi="Times New Roman" w:cs="Times New Roman"/>
              </w:rPr>
              <w:br/>
              <w:t xml:space="preserve">the document clearly distinguishes the indications for surgery versus drug therapy:  </w:t>
            </w:r>
            <w:r w:rsidRPr="00CB2EC4">
              <w:rPr>
                <w:rFonts w:ascii="Times New Roman" w:hAnsi="Times New Roman" w:cs="Times New Roman"/>
              </w:rPr>
              <w:br/>
              <w:t xml:space="preserve"># indications for hysterectomy:  </w:t>
            </w:r>
            <w:r w:rsidRPr="00CB2EC4">
              <w:rPr>
                <w:rFonts w:ascii="Times New Roman" w:hAnsi="Times New Roman" w:cs="Times New Roman"/>
              </w:rPr>
              <w:br/>
              <w:t xml:space="preserve">- age factors:  </w:t>
            </w:r>
            <w:r w:rsidRPr="00CB2EC4">
              <w:rPr>
                <w:rFonts w:ascii="Times New Roman" w:hAnsi="Times New Roman" w:cs="Times New Roman"/>
              </w:rPr>
              <w:br/>
              <w:t xml:space="preserve">  - patients aged 40 years or older but premenopausal, without fertility desire.  </w:t>
            </w:r>
            <w:r w:rsidRPr="00CB2EC4">
              <w:rPr>
                <w:rFonts w:ascii="Times New Roman" w:hAnsi="Times New Roman" w:cs="Times New Roman"/>
              </w:rPr>
              <w:br/>
              <w:t xml:space="preserve">  - perimenopausal and postmenopausal women, especially those with atypical hyperplasia (unless severe surgical contraindications exist).  </w:t>
            </w:r>
            <w:r w:rsidRPr="00CB2EC4">
              <w:rPr>
                <w:rFonts w:ascii="Times New Roman" w:hAnsi="Times New Roman" w:cs="Times New Roman"/>
              </w:rPr>
              <w:br/>
              <w:t xml:space="preserve">- severity of lesion:  </w:t>
            </w:r>
            <w:r w:rsidRPr="00CB2EC4">
              <w:rPr>
                <w:rFonts w:ascii="Times New Roman" w:hAnsi="Times New Roman" w:cs="Times New Roman"/>
              </w:rPr>
              <w:br/>
              <w:t xml:space="preserve">  - grade Ⅲ atypical hyperplasia (total hysterectomy).  </w:t>
            </w:r>
            <w:r w:rsidRPr="00CB2EC4">
              <w:rPr>
                <w:rFonts w:ascii="Times New Roman" w:hAnsi="Times New Roman" w:cs="Times New Roman"/>
              </w:rPr>
              <w:br/>
              <w:t xml:space="preserve">  - suspected malignancy or progression to cancer.  </w:t>
            </w:r>
            <w:r w:rsidRPr="00CB2EC4">
              <w:rPr>
                <w:rFonts w:ascii="Times New Roman" w:hAnsi="Times New Roman" w:cs="Times New Roman"/>
              </w:rPr>
              <w:br/>
              <w:t xml:space="preserve">  - irregular vaginal bleeding uncontrolled by curettage or drug therapy.  </w:t>
            </w:r>
            <w:r w:rsidRPr="00CB2EC4">
              <w:rPr>
                <w:rFonts w:ascii="Times New Roman" w:hAnsi="Times New Roman" w:cs="Times New Roman"/>
              </w:rPr>
              <w:br/>
              <w:t xml:space="preserve">- comorbidities:  </w:t>
            </w:r>
            <w:r w:rsidRPr="00CB2EC4">
              <w:rPr>
                <w:rFonts w:ascii="Times New Roman" w:hAnsi="Times New Roman" w:cs="Times New Roman"/>
              </w:rPr>
              <w:br/>
              <w:t xml:space="preserve">  - coexisting gynecological conditions such as uterine fibroids, ovarian tumors (see indications section).  </w:t>
            </w:r>
            <w:r w:rsidRPr="00CB2EC4">
              <w:rPr>
                <w:rFonts w:ascii="Times New Roman" w:hAnsi="Times New Roman" w:cs="Times New Roman"/>
              </w:rPr>
              <w:br/>
            </w:r>
            <w:r w:rsidRPr="00CB2EC4">
              <w:rPr>
                <w:rFonts w:ascii="Times New Roman" w:hAnsi="Times New Roman" w:cs="Times New Roman"/>
              </w:rPr>
              <w:lastRenderedPageBreak/>
              <w:br/>
              <w:t xml:space="preserve"># situations suitable for drug therapy:  </w:t>
            </w:r>
            <w:r w:rsidRPr="00CB2EC4">
              <w:rPr>
                <w:rFonts w:ascii="Times New Roman" w:hAnsi="Times New Roman" w:cs="Times New Roman"/>
              </w:rPr>
              <w:br/>
              <w:t xml:space="preserve">- young patients:  </w:t>
            </w:r>
            <w:r w:rsidRPr="00CB2EC4">
              <w:rPr>
                <w:rFonts w:ascii="Times New Roman" w:hAnsi="Times New Roman" w:cs="Times New Roman"/>
              </w:rPr>
              <w:br/>
              <w:t xml:space="preserve">  - age &lt;40 years, desiring fertility, may choose drug therapy (e.g., progestogens or GnRHa).  </w:t>
            </w:r>
            <w:r w:rsidRPr="00CB2EC4">
              <w:rPr>
                <w:rFonts w:ascii="Times New Roman" w:hAnsi="Times New Roman" w:cs="Times New Roman"/>
              </w:rPr>
              <w:br/>
              <w:t xml:space="preserve">- low-risk lesions:  </w:t>
            </w:r>
            <w:r w:rsidRPr="00CB2EC4">
              <w:rPr>
                <w:rFonts w:ascii="Times New Roman" w:hAnsi="Times New Roman" w:cs="Times New Roman"/>
              </w:rPr>
              <w:br/>
              <w:t xml:space="preserve">  - simple hyperplasia or complex hyperplasia (benign lesions with low cancer risk).  </w:t>
            </w:r>
            <w:r w:rsidRPr="00CB2EC4">
              <w:rPr>
                <w:rFonts w:ascii="Times New Roman" w:hAnsi="Times New Roman" w:cs="Times New Roman"/>
              </w:rPr>
              <w:br/>
              <w:t xml:space="preserve">  - presence of high surgical risk factors (e.g., hypertension, diabetes, obesity) with ability for close follow-up.  </w:t>
            </w:r>
            <w:r w:rsidRPr="00CB2EC4">
              <w:rPr>
                <w:rFonts w:ascii="Times New Roman" w:hAnsi="Times New Roman" w:cs="Times New Roman"/>
              </w:rPr>
              <w:br/>
              <w:t>&gt; basis: principles of endometrial hyperplasia treatment and surgical indications (see part five and part eight).</w:t>
            </w:r>
          </w:p>
        </w:tc>
        <w:tc>
          <w:tcPr>
            <w:tcW w:w="1152" w:type="dxa"/>
            <w:vAlign w:val="center"/>
          </w:tcPr>
          <w:p w14:paraId="3DA552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A6559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D27B9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1201C05" w14:textId="77777777">
        <w:tc>
          <w:tcPr>
            <w:tcW w:w="2160" w:type="dxa"/>
            <w:vAlign w:val="center"/>
          </w:tcPr>
          <w:p w14:paraId="58996CE2"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0F2EF60" w14:textId="77777777" w:rsidR="00922249" w:rsidRPr="00CB2EC4" w:rsidRDefault="003011D5">
            <w:pPr>
              <w:rPr>
                <w:rFonts w:ascii="Times New Roman" w:hAnsi="Times New Roman" w:cs="Times New Roman"/>
              </w:rPr>
            </w:pPr>
            <w:r w:rsidRPr="00CB2EC4">
              <w:rPr>
                <w:rFonts w:ascii="Times New Roman" w:hAnsi="Times New Roman" w:cs="Times New Roman"/>
              </w:rPr>
              <w:t>when is hysterectomy recommended for patients with endometrial hyperplasia? when can drug therapy be used?</w:t>
            </w:r>
            <w:r w:rsidRPr="00CB2EC4">
              <w:rPr>
                <w:rFonts w:ascii="Times New Roman" w:hAnsi="Times New Roman" w:cs="Times New Roman"/>
              </w:rPr>
              <w:br/>
            </w:r>
            <w:r w:rsidRPr="00CB2EC4">
              <w:rPr>
                <w:rFonts w:ascii="Times New Roman" w:hAnsi="Times New Roman" w:cs="Times New Roman"/>
              </w:rPr>
              <w:br/>
              <w:t>based on document excerpt 5 (similarity 0.520) and excerpt 13 (similarity 0.483):</w:t>
            </w:r>
            <w:r w:rsidRPr="00CB2EC4">
              <w:rPr>
                <w:rFonts w:ascii="Times New Roman" w:hAnsi="Times New Roman" w:cs="Times New Roman"/>
              </w:rPr>
              <w:br/>
              <w:t>- situations recommending hysterectomy:</w:t>
            </w:r>
            <w:r w:rsidRPr="00CB2EC4">
              <w:rPr>
                <w:rFonts w:ascii="Times New Roman" w:hAnsi="Times New Roman" w:cs="Times New Roman"/>
              </w:rPr>
              <w:br/>
              <w:t xml:space="preserve">  - patients aged 40 years or older with confirmed diagnosis and no fertility requirements (excerpt 5).</w:t>
            </w:r>
            <w:r w:rsidRPr="00CB2EC4">
              <w:rPr>
                <w:rFonts w:ascii="Times New Roman" w:hAnsi="Times New Roman" w:cs="Times New Roman"/>
              </w:rPr>
              <w:br/>
              <w:t xml:space="preserve">  - persistent endometrial hyperplasia or worsening clinical symptoms after appropriate cyclic drug therapy, with suspicion of malignant transformation or progression to cancer (excerpt 5).</w:t>
            </w:r>
            <w:r w:rsidRPr="00CB2EC4">
              <w:rPr>
                <w:rFonts w:ascii="Times New Roman" w:hAnsi="Times New Roman" w:cs="Times New Roman"/>
              </w:rPr>
              <w:br/>
              <w:t xml:space="preserve">  - irregular vaginal bleeding that cannot be controlled by curettage or drug therapy, or recurrent postpartum bleeding (excerpt 5).</w:t>
            </w:r>
            <w:r w:rsidRPr="00CB2EC4">
              <w:rPr>
                <w:rFonts w:ascii="Times New Roman" w:hAnsi="Times New Roman" w:cs="Times New Roman"/>
              </w:rPr>
              <w:br/>
              <w:t xml:space="preserve">  - severe atypical hyperplasia combined with significant uterine bleeding and/or suspicion of an estrogen-secreting ovarian tumor (excerpt 5).</w:t>
            </w:r>
            <w:r w:rsidRPr="00CB2EC4">
              <w:rPr>
                <w:rFonts w:ascii="Times New Roman" w:hAnsi="Times New Roman" w:cs="Times New Roman"/>
              </w:rPr>
              <w:br/>
              <w:t xml:space="preserve">  - perimenopausal and postmenopausal women, </w:t>
            </w:r>
            <w:r w:rsidRPr="00CB2EC4">
              <w:rPr>
                <w:rFonts w:ascii="Times New Roman" w:hAnsi="Times New Roman" w:cs="Times New Roman"/>
              </w:rPr>
              <w:lastRenderedPageBreak/>
              <w:t>especially those with atypical hyperplasia, should undergo hysterectomy unless there are severe surgical contraindications (excerpt 13).</w:t>
            </w:r>
            <w:r w:rsidRPr="00CB2EC4">
              <w:rPr>
                <w:rFonts w:ascii="Times New Roman" w:hAnsi="Times New Roman" w:cs="Times New Roman"/>
              </w:rPr>
              <w:br/>
              <w:t>- situations suitable for drug therapy:</w:t>
            </w:r>
            <w:r w:rsidRPr="00CB2EC4">
              <w:rPr>
                <w:rFonts w:ascii="Times New Roman" w:hAnsi="Times New Roman" w:cs="Times New Roman"/>
              </w:rPr>
              <w:br/>
              <w:t xml:space="preserve">  - simple hyperplasia or complex hyperplasia (benign lesions with low cancer risk), drug therapy such as progesterone or gonadotropin-releasing hormone agonists (GnRHa) may be selected (excerpt 5).</w:t>
            </w:r>
            <w:r w:rsidRPr="00CB2EC4">
              <w:rPr>
                <w:rFonts w:ascii="Times New Roman" w:hAnsi="Times New Roman" w:cs="Times New Roman"/>
              </w:rPr>
              <w:br/>
              <w:t xml:space="preserve">  - young patients (under 40 years of age) desiring fertility, drug therapy is the first choice (excerpt 13).</w:t>
            </w:r>
            <w:r w:rsidRPr="00CB2EC4">
              <w:rPr>
                <w:rFonts w:ascii="Times New Roman" w:hAnsi="Times New Roman" w:cs="Times New Roman"/>
              </w:rPr>
              <w:br/>
              <w:t xml:space="preserve">  - patients with hypertension, diabetes, obesity, or advanced age with poor surgical tolerance may consider drug therapy under close follow-up (excerpt 13).</w:t>
            </w:r>
          </w:p>
        </w:tc>
        <w:tc>
          <w:tcPr>
            <w:tcW w:w="1152" w:type="dxa"/>
            <w:vAlign w:val="center"/>
          </w:tcPr>
          <w:p w14:paraId="52D5DE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1B6C6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F42A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FC7A677" w14:textId="77777777">
        <w:tc>
          <w:tcPr>
            <w:tcW w:w="2160" w:type="dxa"/>
            <w:vAlign w:val="center"/>
          </w:tcPr>
          <w:p w14:paraId="37DFB5B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C4A4B41" w14:textId="77777777" w:rsidR="00922249" w:rsidRPr="00CB2EC4" w:rsidRDefault="003011D5">
            <w:pPr>
              <w:rPr>
                <w:rFonts w:ascii="Times New Roman" w:hAnsi="Times New Roman" w:cs="Times New Roman"/>
              </w:rPr>
            </w:pPr>
            <w:r w:rsidRPr="00CB2EC4">
              <w:rPr>
                <w:rFonts w:ascii="Times New Roman" w:hAnsi="Times New Roman" w:cs="Times New Roman"/>
              </w:rPr>
              <w:t>indications for hysterectomy in patients with endometrial hyperplasia:</w:t>
            </w:r>
            <w:r w:rsidRPr="00CB2EC4">
              <w:rPr>
                <w:rFonts w:ascii="Times New Roman" w:hAnsi="Times New Roman" w:cs="Times New Roman"/>
              </w:rPr>
              <w:br/>
              <w:t>- Perimenopausal and postmenopausal women, especially those with atypical hyperplasia (due to high risk of malignant transformation).</w:t>
            </w:r>
            <w:r w:rsidRPr="00CB2EC4">
              <w:rPr>
                <w:rFonts w:ascii="Times New Roman" w:hAnsi="Times New Roman" w:cs="Times New Roman"/>
              </w:rPr>
              <w:br/>
              <w:t>- Women aged 40 years or older without fertility requirements and with severe histological changes (e.g., complex or atypical hyperplasia).</w:t>
            </w:r>
            <w:r w:rsidRPr="00CB2EC4">
              <w:rPr>
                <w:rFonts w:ascii="Times New Roman" w:hAnsi="Times New Roman" w:cs="Times New Roman"/>
              </w:rPr>
              <w:br/>
              <w:t>- Cases where medical therapy is ineffective or the lesion progresses persistently.</w:t>
            </w:r>
            <w:r w:rsidRPr="00CB2EC4">
              <w:rPr>
                <w:rFonts w:ascii="Times New Roman" w:hAnsi="Times New Roman" w:cs="Times New Roman"/>
              </w:rPr>
              <w:br/>
            </w:r>
            <w:r w:rsidRPr="00CB2EC4">
              <w:rPr>
                <w:rFonts w:ascii="Times New Roman" w:hAnsi="Times New Roman" w:cs="Times New Roman"/>
              </w:rPr>
              <w:br/>
              <w:t>indications for medical therapy in patients with endometrial hyperplasia:</w:t>
            </w:r>
            <w:r w:rsidRPr="00CB2EC4">
              <w:rPr>
                <w:rFonts w:ascii="Times New Roman" w:hAnsi="Times New Roman" w:cs="Times New Roman"/>
              </w:rPr>
              <w:br/>
              <w:t>- Patients younger than 40 years who desire fertility preservation; medical therapy (e.g., progestogens) is selected.</w:t>
            </w:r>
            <w:r w:rsidRPr="00CB2EC4">
              <w:rPr>
                <w:rFonts w:ascii="Times New Roman" w:hAnsi="Times New Roman" w:cs="Times New Roman"/>
              </w:rPr>
              <w:br/>
              <w:t>- Patients with surgical contraindications (e.g., severe cardiopulmonary disease) or advanced age with poor surgical tolerance may receive medical therapy under close surveillance.</w:t>
            </w:r>
            <w:r w:rsidRPr="00CB2EC4">
              <w:rPr>
                <w:rFonts w:ascii="Times New Roman" w:hAnsi="Times New Roman" w:cs="Times New Roman"/>
              </w:rPr>
              <w:br/>
            </w:r>
            <w:r w:rsidRPr="00CB2EC4">
              <w:rPr>
                <w:rFonts w:ascii="Times New Roman" w:hAnsi="Times New Roman" w:cs="Times New Roman"/>
              </w:rPr>
              <w:lastRenderedPageBreak/>
              <w:t>- Cases with mild histological changes (e.g., simple hyperplasia) and patient preference for conservative management.</w:t>
            </w:r>
          </w:p>
        </w:tc>
        <w:tc>
          <w:tcPr>
            <w:tcW w:w="1152" w:type="dxa"/>
            <w:vAlign w:val="center"/>
          </w:tcPr>
          <w:p w14:paraId="6935AB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AF09C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BB813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C99740E" w14:textId="77777777">
        <w:tc>
          <w:tcPr>
            <w:tcW w:w="2160" w:type="dxa"/>
            <w:vAlign w:val="center"/>
          </w:tcPr>
          <w:p w14:paraId="1949F4C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53F5B91" w14:textId="77777777" w:rsidR="00922249" w:rsidRPr="00CB2EC4" w:rsidRDefault="003011D5">
            <w:pPr>
              <w:rPr>
                <w:rFonts w:ascii="Times New Roman" w:hAnsi="Times New Roman" w:cs="Times New Roman"/>
              </w:rPr>
            </w:pPr>
            <w:r w:rsidRPr="00CB2EC4">
              <w:rPr>
                <w:rFonts w:ascii="Times New Roman" w:hAnsi="Times New Roman" w:cs="Times New Roman"/>
              </w:rPr>
              <w:t>- Indications for hysterectomy in patients with endometrial hyperplasia:</w:t>
            </w:r>
            <w:r w:rsidRPr="00CB2EC4">
              <w:rPr>
                <w:rFonts w:ascii="Times New Roman" w:hAnsi="Times New Roman" w:cs="Times New Roman"/>
              </w:rPr>
              <w:br/>
              <w:t xml:space="preserve">  1. Age factor: Patients over 40 years old with a confirmed diagnosis and no desire for fertility.</w:t>
            </w:r>
            <w:r w:rsidRPr="00CB2EC4">
              <w:rPr>
                <w:rFonts w:ascii="Times New Roman" w:hAnsi="Times New Roman" w:cs="Times New Roman"/>
              </w:rPr>
              <w:br/>
              <w:t xml:space="preserve">  2. Treatment failure: Persistent endometrial hyperplasia or worsening clinical symptoms after appropriate cyclic drug therapy, with suspicion of malignant transformation or progression to cancer.</w:t>
            </w:r>
            <w:r w:rsidRPr="00CB2EC4">
              <w:rPr>
                <w:rFonts w:ascii="Times New Roman" w:hAnsi="Times New Roman" w:cs="Times New Roman"/>
              </w:rPr>
              <w:br/>
              <w:t xml:space="preserve">  3. Uncontrolled bleeding: Irregular vaginal bleeding that cannot be controlled by curettage or drug therapy, or recurrent postpartum bleeding.</w:t>
            </w:r>
            <w:r w:rsidRPr="00CB2EC4">
              <w:rPr>
                <w:rFonts w:ascii="Times New Roman" w:hAnsi="Times New Roman" w:cs="Times New Roman"/>
              </w:rPr>
              <w:br/>
              <w:t xml:space="preserve">  4. Severe atypical hyperplasia with complications: Severe atypical hyperplasia accompanied by significant uterine bleeding and/or suspected estrogen-secreting ovarian tumors.</w:t>
            </w:r>
            <w:r w:rsidRPr="00CB2EC4">
              <w:rPr>
                <w:rFonts w:ascii="Times New Roman" w:hAnsi="Times New Roman" w:cs="Times New Roman"/>
              </w:rPr>
              <w:br/>
              <w:t xml:space="preserve">  5. Perimenopausal or postmenopausal women: Especially those with atypical hyperplasia should undergo hysterectomy (unless contraindicated surgically).</w:t>
            </w:r>
            <w:r w:rsidRPr="00CB2EC4">
              <w:rPr>
                <w:rFonts w:ascii="Times New Roman" w:hAnsi="Times New Roman" w:cs="Times New Roman"/>
              </w:rPr>
              <w:br/>
            </w:r>
            <w:r w:rsidRPr="00CB2EC4">
              <w:rPr>
                <w:rFonts w:ascii="Times New Roman" w:hAnsi="Times New Roman" w:cs="Times New Roman"/>
              </w:rPr>
              <w:br/>
              <w:t>- Situations suitable for drug therapy:</w:t>
            </w:r>
            <w:r w:rsidRPr="00CB2EC4">
              <w:rPr>
                <w:rFonts w:ascii="Times New Roman" w:hAnsi="Times New Roman" w:cs="Times New Roman"/>
              </w:rPr>
              <w:br/>
              <w:t xml:space="preserve">  1. Younger patients: Those under 40 years old with low risk of malignancy, suitable for active conservative management (drug therapy preferred).</w:t>
            </w:r>
            <w:r w:rsidRPr="00CB2EC4">
              <w:rPr>
                <w:rFonts w:ascii="Times New Roman" w:hAnsi="Times New Roman" w:cs="Times New Roman"/>
              </w:rPr>
              <w:br/>
              <w:t xml:space="preserve">  2. Fertility desire: Young patients who wish to preserve fertility.</w:t>
            </w:r>
            <w:r w:rsidRPr="00CB2EC4">
              <w:rPr>
                <w:rFonts w:ascii="Times New Roman" w:hAnsi="Times New Roman" w:cs="Times New Roman"/>
              </w:rPr>
              <w:br/>
              <w:t xml:space="preserve">  3. Poor surgical tolerance: Patients with comorbidities such as hypertension, diabetes, obesity, or advanced age with poor surgical tolerance may consider drug therapy under close monitoring.</w:t>
            </w:r>
            <w:r w:rsidRPr="00CB2EC4">
              <w:rPr>
                <w:rFonts w:ascii="Times New Roman" w:hAnsi="Times New Roman" w:cs="Times New Roman"/>
              </w:rPr>
              <w:br/>
              <w:t xml:space="preserve">  4. Individualized choice: Patients aged 40 years or </w:t>
            </w:r>
            <w:r w:rsidRPr="00CB2EC4">
              <w:rPr>
                <w:rFonts w:ascii="Times New Roman" w:hAnsi="Times New Roman" w:cs="Times New Roman"/>
              </w:rPr>
              <w:lastRenderedPageBreak/>
              <w:t>older up to menopause may opt for drug therapy based on individual preference (rather than mandatory surgery).</w:t>
            </w:r>
            <w:r w:rsidRPr="00CB2EC4">
              <w:rPr>
                <w:rFonts w:ascii="Times New Roman" w:hAnsi="Times New Roman" w:cs="Times New Roman"/>
              </w:rPr>
              <w:br/>
            </w:r>
            <w:r w:rsidRPr="00CB2EC4">
              <w:rPr>
                <w:rFonts w:ascii="Times New Roman" w:hAnsi="Times New Roman" w:cs="Times New Roman"/>
              </w:rPr>
              <w:br/>
              <w:t>This recommendation is based on a comprehensive assessment of lesion severity, age, fertility requirements, and general health status.</w:t>
            </w:r>
          </w:p>
        </w:tc>
        <w:tc>
          <w:tcPr>
            <w:tcW w:w="1152" w:type="dxa"/>
            <w:vAlign w:val="center"/>
          </w:tcPr>
          <w:p w14:paraId="2AA8A0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21476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610C6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3959ABC" w14:textId="77777777">
        <w:tc>
          <w:tcPr>
            <w:tcW w:w="2160" w:type="dxa"/>
            <w:vAlign w:val="center"/>
          </w:tcPr>
          <w:p w14:paraId="36060DD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14E836C" w14:textId="77777777" w:rsidR="00922249" w:rsidRPr="00CB2EC4" w:rsidRDefault="003011D5">
            <w:pPr>
              <w:rPr>
                <w:rFonts w:ascii="Times New Roman" w:hAnsi="Times New Roman" w:cs="Times New Roman"/>
              </w:rPr>
            </w:pPr>
            <w:r w:rsidRPr="00CB2EC4">
              <w:rPr>
                <w:rFonts w:ascii="Times New Roman" w:hAnsi="Times New Roman" w:cs="Times New Roman"/>
              </w:rPr>
              <w:t>under what circumstances is hysterectomy recommended for patients with endometrial hyperplasia? when can drug therapy be used?</w:t>
            </w:r>
            <w:r w:rsidRPr="00CB2EC4">
              <w:rPr>
                <w:rFonts w:ascii="Times New Roman" w:hAnsi="Times New Roman" w:cs="Times New Roman"/>
              </w:rPr>
              <w:br/>
            </w:r>
            <w:r w:rsidRPr="00CB2EC4">
              <w:rPr>
                <w:rFonts w:ascii="Times New Roman" w:hAnsi="Times New Roman" w:cs="Times New Roman"/>
              </w:rPr>
              <w:br/>
              <w:t xml:space="preserve">based on the document content, the recommendations are as follows:  </w:t>
            </w:r>
            <w:r w:rsidRPr="00CB2EC4">
              <w:rPr>
                <w:rFonts w:ascii="Times New Roman" w:hAnsi="Times New Roman" w:cs="Times New Roman"/>
              </w:rPr>
              <w:br/>
              <w:t xml:space="preserve">- circumstances recommending hysterectomy:  </w:t>
            </w:r>
            <w:r w:rsidRPr="00CB2EC4">
              <w:rPr>
                <w:rFonts w:ascii="Times New Roman" w:hAnsi="Times New Roman" w:cs="Times New Roman"/>
              </w:rPr>
              <w:br/>
              <w:t xml:space="preserve">  - patients aged 40 or above, with confirmed diagnosis and no fertility requirements.  </w:t>
            </w:r>
            <w:r w:rsidRPr="00CB2EC4">
              <w:rPr>
                <w:rFonts w:ascii="Times New Roman" w:hAnsi="Times New Roman" w:cs="Times New Roman"/>
              </w:rPr>
              <w:br/>
              <w:t xml:space="preserve">  - persistent endometrial hyperplasia or worsening clinical symptoms after appropriate cyclic drug therapy, with suspicion of malignant transformation or confirmed progression to cancer.  </w:t>
            </w:r>
            <w:r w:rsidRPr="00CB2EC4">
              <w:rPr>
                <w:rFonts w:ascii="Times New Roman" w:hAnsi="Times New Roman" w:cs="Times New Roman"/>
              </w:rPr>
              <w:br/>
              <w:t xml:space="preserve">  - irregular vaginal bleeding that cannot be controlled by curettage or drug therapy, or recurrent postpartum bleeding.  </w:t>
            </w:r>
            <w:r w:rsidRPr="00CB2EC4">
              <w:rPr>
                <w:rFonts w:ascii="Times New Roman" w:hAnsi="Times New Roman" w:cs="Times New Roman"/>
              </w:rPr>
              <w:br/>
              <w:t xml:space="preserve">  - severe atypical hyperplasia combined with significant uterine bleeding and/or suspicion of an estrogen-secreting ovarian tumor (source segment similarity 0.508).  </w:t>
            </w:r>
            <w:r w:rsidRPr="00CB2EC4">
              <w:rPr>
                <w:rFonts w:ascii="Times New Roman" w:hAnsi="Times New Roman" w:cs="Times New Roman"/>
              </w:rPr>
              <w:br/>
              <w:t xml:space="preserve">  additionally, for perimenopausal and postmenopausal women, especially those with severe atypical hyperplasia, hysterectomy should be prioritized unless contraindications to surgery exist (source segment similarity 0.478).  </w:t>
            </w:r>
            <w:r w:rsidRPr="00CB2EC4">
              <w:rPr>
                <w:rFonts w:ascii="Times New Roman" w:hAnsi="Times New Roman" w:cs="Times New Roman"/>
              </w:rPr>
              <w:br/>
              <w:t xml:space="preserve">- circumstances recommending drug therapy:  </w:t>
            </w:r>
            <w:r w:rsidRPr="00CB2EC4">
              <w:rPr>
                <w:rFonts w:ascii="Times New Roman" w:hAnsi="Times New Roman" w:cs="Times New Roman"/>
              </w:rPr>
              <w:br/>
              <w:t xml:space="preserve">  - simple hyperplasia or complex hyperplasia (benign </w:t>
            </w:r>
            <w:r w:rsidRPr="00CB2EC4">
              <w:rPr>
                <w:rFonts w:ascii="Times New Roman" w:hAnsi="Times New Roman" w:cs="Times New Roman"/>
              </w:rPr>
              <w:lastRenderedPageBreak/>
              <w:t xml:space="preserve">lesions with low cancer risk), particularly suitable for young patients or those with fertility requirements; first-line drug therapy (e.g., progestins or GnRHa) is preferred. drug therapy is also indicated for patients with hypertension, diabetes, obesity, or advanced age with poor surgical tolerance, under close monitoring (source segment similarities 0.508 and 0.478).  </w:t>
            </w:r>
            <w:r w:rsidRPr="00CB2EC4">
              <w:rPr>
                <w:rFonts w:ascii="Times New Roman" w:hAnsi="Times New Roman" w:cs="Times New Roman"/>
              </w:rPr>
              <w:br/>
              <w:t xml:space="preserve">  if drug therapy is ineffective, conservative surgery (e.g., suction curettage) or hysterectomy may be considered.</w:t>
            </w:r>
          </w:p>
        </w:tc>
        <w:tc>
          <w:tcPr>
            <w:tcW w:w="1152" w:type="dxa"/>
            <w:vAlign w:val="center"/>
          </w:tcPr>
          <w:p w14:paraId="5C1479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879ED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8A095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DFD8B6B" w14:textId="77777777">
        <w:tc>
          <w:tcPr>
            <w:tcW w:w="2160" w:type="dxa"/>
            <w:vAlign w:val="center"/>
          </w:tcPr>
          <w:p w14:paraId="7D5E02B3"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A9A7628" w14:textId="77777777" w:rsidR="00922249" w:rsidRPr="00CB2EC4" w:rsidRDefault="003011D5">
            <w:pPr>
              <w:rPr>
                <w:rFonts w:ascii="Times New Roman" w:hAnsi="Times New Roman" w:cs="Times New Roman"/>
              </w:rPr>
            </w:pPr>
            <w:r w:rsidRPr="00CB2EC4">
              <w:rPr>
                <w:rFonts w:ascii="Times New Roman" w:hAnsi="Times New Roman" w:cs="Times New Roman"/>
              </w:rPr>
              <w:t>under what circumstances is hysterectomy recommended for patients with endometrial hyperplasia? when can drug therapy be used?</w:t>
            </w:r>
            <w:r w:rsidRPr="00CB2EC4">
              <w:rPr>
                <w:rFonts w:ascii="Times New Roman" w:hAnsi="Times New Roman" w:cs="Times New Roman"/>
              </w:rPr>
              <w:br/>
            </w:r>
            <w:r w:rsidRPr="00CB2EC4">
              <w:rPr>
                <w:rFonts w:ascii="Times New Roman" w:hAnsi="Times New Roman" w:cs="Times New Roman"/>
              </w:rPr>
              <w:br/>
              <w:t xml:space="preserve">treatment principles (document fragment 12, relevance: 0.6323):  </w:t>
            </w:r>
            <w:r w:rsidRPr="00CB2EC4">
              <w:rPr>
                <w:rFonts w:ascii="Times New Roman" w:hAnsi="Times New Roman" w:cs="Times New Roman"/>
              </w:rPr>
              <w:br/>
              <w:t xml:space="preserve">- hysterectomy is recommended in the following cases:  </w:t>
            </w:r>
            <w:r w:rsidRPr="00CB2EC4">
              <w:rPr>
                <w:rFonts w:ascii="Times New Roman" w:hAnsi="Times New Roman" w:cs="Times New Roman"/>
              </w:rPr>
              <w:br/>
              <w:t xml:space="preserve">  - perimenopausal and postmenopausal women, especially those with atypical hyperplasia (unless there are severe surgical contraindications).  </w:t>
            </w:r>
            <w:r w:rsidRPr="00CB2EC4">
              <w:rPr>
                <w:rFonts w:ascii="Times New Roman" w:hAnsi="Times New Roman" w:cs="Times New Roman"/>
              </w:rPr>
              <w:br/>
              <w:t xml:space="preserve">  - patients aged 40 years and above to premenopausal, who may choose surgery based on their preference.  </w:t>
            </w:r>
            <w:r w:rsidRPr="00CB2EC4">
              <w:rPr>
                <w:rFonts w:ascii="Times New Roman" w:hAnsi="Times New Roman" w:cs="Times New Roman"/>
              </w:rPr>
              <w:br/>
              <w:t xml:space="preserve">- drug therapy can be used in the following cases:  </w:t>
            </w:r>
            <w:r w:rsidRPr="00CB2EC4">
              <w:rPr>
                <w:rFonts w:ascii="Times New Roman" w:hAnsi="Times New Roman" w:cs="Times New Roman"/>
              </w:rPr>
              <w:br/>
              <w:t xml:space="preserve">  - patients under 40 years of age who desire fertility, with drug therapy (e.g., progestogens) as the first choice.  </w:t>
            </w:r>
            <w:r w:rsidRPr="00CB2EC4">
              <w:rPr>
                <w:rFonts w:ascii="Times New Roman" w:hAnsi="Times New Roman" w:cs="Times New Roman"/>
              </w:rPr>
              <w:br/>
              <w:t xml:space="preserve">  - patients with comorbidities such as hypertension, diabetes, obesity, or poor surgical tolerance may undergo drug therapy under close monitoring.  </w:t>
            </w:r>
            <w:r w:rsidRPr="00CB2EC4">
              <w:rPr>
                <w:rFonts w:ascii="Times New Roman" w:hAnsi="Times New Roman" w:cs="Times New Roman"/>
              </w:rPr>
              <w:br/>
              <w:t>rationale: atypical hyperplasia has malignant potential, and surgery can prevent carcinogenesis; drug therapy is suitable for low-risk groups or those requiring preservation of fertility function.</w:t>
            </w:r>
          </w:p>
        </w:tc>
        <w:tc>
          <w:tcPr>
            <w:tcW w:w="1152" w:type="dxa"/>
            <w:vAlign w:val="center"/>
          </w:tcPr>
          <w:p w14:paraId="32B38A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CC278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B9F01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A7C3961" w14:textId="77777777">
        <w:tc>
          <w:tcPr>
            <w:tcW w:w="2160" w:type="dxa"/>
            <w:vAlign w:val="center"/>
          </w:tcPr>
          <w:p w14:paraId="62DA60CF"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6EC0D657" w14:textId="77777777" w:rsidR="00922249" w:rsidRPr="00CB2EC4" w:rsidRDefault="003011D5">
            <w:pPr>
              <w:rPr>
                <w:rFonts w:ascii="Times New Roman" w:hAnsi="Times New Roman" w:cs="Times New Roman"/>
              </w:rPr>
            </w:pPr>
            <w:r w:rsidRPr="00CB2EC4">
              <w:rPr>
                <w:rFonts w:ascii="Times New Roman" w:hAnsi="Times New Roman" w:cs="Times New Roman"/>
              </w:rPr>
              <w:t>under what circumstances is hysterectomy recommended for patients with endometrial hyperplasia? when can drug therapy be used?</w:t>
            </w:r>
            <w:r w:rsidRPr="00CB2EC4">
              <w:rPr>
                <w:rFonts w:ascii="Times New Roman" w:hAnsi="Times New Roman" w:cs="Times New Roman"/>
              </w:rPr>
              <w:br/>
            </w:r>
            <w:r w:rsidRPr="00CB2EC4">
              <w:rPr>
                <w:rFonts w:ascii="Times New Roman" w:hAnsi="Times New Roman" w:cs="Times New Roman"/>
              </w:rPr>
              <w:br/>
              <w:t xml:space="preserve">based on the context (relevant section 3), treatment recommendations for patients with endometrial hyperplasia are as follows:  </w:t>
            </w:r>
            <w:r w:rsidRPr="00CB2EC4">
              <w:rPr>
                <w:rFonts w:ascii="Times New Roman" w:hAnsi="Times New Roman" w:cs="Times New Roman"/>
              </w:rPr>
              <w:br/>
              <w:t xml:space="preserve">- circumstances recommending hysterectomy:  </w:t>
            </w:r>
            <w:r w:rsidRPr="00CB2EC4">
              <w:rPr>
                <w:rFonts w:ascii="Times New Roman" w:hAnsi="Times New Roman" w:cs="Times New Roman"/>
              </w:rPr>
              <w:br/>
              <w:t xml:space="preserve">  - age over 40 years, confirmed diagnosis, no desire for fertility.  </w:t>
            </w:r>
            <w:r w:rsidRPr="00CB2EC4">
              <w:rPr>
                <w:rFonts w:ascii="Times New Roman" w:hAnsi="Times New Roman" w:cs="Times New Roman"/>
              </w:rPr>
              <w:br/>
              <w:t xml:space="preserve">  - persistent endometrial hyperplasia or worsening clinical symptoms after cyclic drug therapy, with suspicion of or progression to malignancy.  </w:t>
            </w:r>
            <w:r w:rsidRPr="00CB2EC4">
              <w:rPr>
                <w:rFonts w:ascii="Times New Roman" w:hAnsi="Times New Roman" w:cs="Times New Roman"/>
              </w:rPr>
              <w:br/>
              <w:t xml:space="preserve">  - irregular vaginal bleeding not controlled by curettage or drug therapy, or recurrent postpartum bleeding.  </w:t>
            </w:r>
            <w:r w:rsidRPr="00CB2EC4">
              <w:rPr>
                <w:rFonts w:ascii="Times New Roman" w:hAnsi="Times New Roman" w:cs="Times New Roman"/>
              </w:rPr>
              <w:br/>
              <w:t xml:space="preserve">  - severe atypical hyperplasia combined with significant uterine bleeding and/or suspicion of an estrogen-secreting ovarian tumor.  </w:t>
            </w:r>
            <w:r w:rsidRPr="00CB2EC4">
              <w:rPr>
                <w:rFonts w:ascii="Times New Roman" w:hAnsi="Times New Roman" w:cs="Times New Roman"/>
              </w:rPr>
              <w:br/>
              <w:t xml:space="preserve">  - in principle, younger patients with grade I or II atypical hyperplasia may undergo subtotal hysterectomy; older patients with grade III atypical hyperplasia should undergo total hysterectomy.  </w:t>
            </w:r>
            <w:r w:rsidRPr="00CB2EC4">
              <w:rPr>
                <w:rFonts w:ascii="Times New Roman" w:hAnsi="Times New Roman" w:cs="Times New Roman"/>
              </w:rPr>
              <w:br/>
              <w:t xml:space="preserve">- circumstances permitting drug therapy:  </w:t>
            </w:r>
            <w:r w:rsidRPr="00CB2EC4">
              <w:rPr>
                <w:rFonts w:ascii="Times New Roman" w:hAnsi="Times New Roman" w:cs="Times New Roman"/>
              </w:rPr>
              <w:br/>
              <w:t xml:space="preserve">  - age under 40 years, low risk of malignancy, drug therapy (e.g., progestogens or gonadotropin-releasing hormone agonists) is the first choice.  </w:t>
            </w:r>
            <w:r w:rsidRPr="00CB2EC4">
              <w:rPr>
                <w:rFonts w:ascii="Times New Roman" w:hAnsi="Times New Roman" w:cs="Times New Roman"/>
              </w:rPr>
              <w:br/>
              <w:t xml:space="preserve">  - patients with hypertension, diabetes, obesity, or advanced age with poor surgical tolerance may be considered for drug therapy under close follow-up.  </w:t>
            </w:r>
            <w:r w:rsidRPr="00CB2EC4">
              <w:rPr>
                <w:rFonts w:ascii="Times New Roman" w:hAnsi="Times New Roman" w:cs="Times New Roman"/>
              </w:rPr>
              <w:br/>
              <w:t xml:space="preserve">  - patients aged 40 to menopause may choose drug therapy based on individual preference.  </w:t>
            </w:r>
            <w:r w:rsidRPr="00CB2EC4">
              <w:rPr>
                <w:rFonts w:ascii="Times New Roman" w:hAnsi="Times New Roman" w:cs="Times New Roman"/>
              </w:rPr>
              <w:br/>
              <w:t xml:space="preserve">  - simple hyperplasia or complex hyperplasia (benign lesions), drug therapy is the first choice.  </w:t>
            </w:r>
            <w:r w:rsidRPr="00CB2EC4">
              <w:rPr>
                <w:rFonts w:ascii="Times New Roman" w:hAnsi="Times New Roman" w:cs="Times New Roman"/>
              </w:rPr>
              <w:br/>
            </w:r>
            <w:r w:rsidRPr="00CB2EC4">
              <w:rPr>
                <w:rFonts w:ascii="Times New Roman" w:hAnsi="Times New Roman" w:cs="Times New Roman"/>
              </w:rPr>
              <w:lastRenderedPageBreak/>
              <w:t>drug therapy is applicable to patients with high-risk factors who do not require surgery, aiming to control bleeding and prevent disease progression.</w:t>
            </w:r>
          </w:p>
        </w:tc>
        <w:tc>
          <w:tcPr>
            <w:tcW w:w="1152" w:type="dxa"/>
            <w:vAlign w:val="center"/>
          </w:tcPr>
          <w:p w14:paraId="76EBAC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A3591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2715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5C5D791" w14:textId="77777777">
        <w:tc>
          <w:tcPr>
            <w:tcW w:w="2160" w:type="dxa"/>
            <w:vAlign w:val="center"/>
          </w:tcPr>
          <w:p w14:paraId="3AB22B42"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03267D4" w14:textId="77777777" w:rsidR="00922249" w:rsidRPr="00CB2EC4" w:rsidRDefault="003011D5">
            <w:pPr>
              <w:rPr>
                <w:rFonts w:ascii="Times New Roman" w:hAnsi="Times New Roman" w:cs="Times New Roman"/>
              </w:rPr>
            </w:pPr>
            <w:r w:rsidRPr="00CB2EC4">
              <w:rPr>
                <w:rFonts w:ascii="Times New Roman" w:hAnsi="Times New Roman" w:cs="Times New Roman"/>
              </w:rPr>
              <w:t>- Situations where drug therapy is recommended:</w:t>
            </w:r>
            <w:r w:rsidRPr="00CB2EC4">
              <w:rPr>
                <w:rFonts w:ascii="Times New Roman" w:hAnsi="Times New Roman" w:cs="Times New Roman"/>
              </w:rPr>
              <w:br/>
              <w:t>- The Mirena IUD is mainly suitable for younger cancer patients.</w:t>
            </w:r>
            <w:r w:rsidRPr="00CB2EC4">
              <w:rPr>
                <w:rFonts w:ascii="Times New Roman" w:hAnsi="Times New Roman" w:cs="Times New Roman"/>
              </w:rPr>
              <w:br/>
              <w:t>- Situations where hysterectomy is recommended:</w:t>
            </w:r>
            <w:r w:rsidRPr="00CB2EC4">
              <w:rPr>
                <w:rFonts w:ascii="Times New Roman" w:hAnsi="Times New Roman" w:cs="Times New Roman"/>
              </w:rPr>
              <w:br/>
              <w:t>- Surgery should be considered when the patient is allergic to progestin therapy.</w:t>
            </w:r>
            <w:r w:rsidRPr="00CB2EC4">
              <w:rPr>
                <w:rFonts w:ascii="Times New Roman" w:hAnsi="Times New Roman" w:cs="Times New Roman"/>
              </w:rPr>
              <w:br/>
              <w:t>- For patients over 35 years old, to prevent malignant transformation, direct surgery or oral progestin is recommended.</w:t>
            </w:r>
          </w:p>
        </w:tc>
        <w:tc>
          <w:tcPr>
            <w:tcW w:w="1152" w:type="dxa"/>
            <w:vAlign w:val="center"/>
          </w:tcPr>
          <w:p w14:paraId="08C61C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34387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0C161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DA73F5C" w14:textId="77777777">
        <w:tc>
          <w:tcPr>
            <w:tcW w:w="10656" w:type="dxa"/>
            <w:gridSpan w:val="5"/>
            <w:tcBorders>
              <w:bottom w:val="single" w:sz="6" w:space="0" w:color="auto"/>
            </w:tcBorders>
            <w:vAlign w:val="center"/>
          </w:tcPr>
          <w:p w14:paraId="21EBC9B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146: In deep inguinal lymphadenectomy for invasive vulvar cancer, what is the purpose of managing the sartorius muscle?</w:t>
            </w:r>
          </w:p>
        </w:tc>
      </w:tr>
      <w:tr w:rsidR="00922249" w:rsidRPr="00CB2EC4" w14:paraId="460B6578" w14:textId="77777777">
        <w:tc>
          <w:tcPr>
            <w:tcW w:w="2160" w:type="dxa"/>
            <w:vAlign w:val="center"/>
          </w:tcPr>
          <w:p w14:paraId="4436953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D087038" w14:textId="77777777" w:rsidR="00922249" w:rsidRPr="00CB2EC4" w:rsidRDefault="003011D5">
            <w:pPr>
              <w:rPr>
                <w:rFonts w:ascii="Times New Roman" w:hAnsi="Times New Roman" w:cs="Times New Roman"/>
              </w:rPr>
            </w:pPr>
            <w:r w:rsidRPr="00CB2EC4">
              <w:rPr>
                <w:rFonts w:ascii="Times New Roman" w:hAnsi="Times New Roman" w:cs="Times New Roman"/>
              </w:rPr>
              <w:t>to expose the deep inguinal lymph nodes by retracting or partially dividing the sartorius muscle, facilitating access to the femoral triangle and deep lymphatic basins while preserving muscle function when possible.</w:t>
            </w:r>
          </w:p>
        </w:tc>
        <w:tc>
          <w:tcPr>
            <w:tcW w:w="1152" w:type="dxa"/>
            <w:vAlign w:val="center"/>
          </w:tcPr>
          <w:p w14:paraId="47C608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34045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3B732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08BB016" w14:textId="77777777">
        <w:tc>
          <w:tcPr>
            <w:tcW w:w="2160" w:type="dxa"/>
            <w:vAlign w:val="center"/>
          </w:tcPr>
          <w:p w14:paraId="3E4096F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EED656A"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handling the sartorius muscle during deep inguinal lymph node dissection for vulvar infiltrating carcinoma is to cover the exposed femoral vessels and prevent postoperative vascular complications.</w:t>
            </w:r>
            <w:r w:rsidRPr="00CB2EC4">
              <w:rPr>
                <w:rFonts w:ascii="Times New Roman" w:hAnsi="Times New Roman" w:cs="Times New Roman"/>
              </w:rPr>
              <w:br/>
            </w:r>
            <w:r w:rsidRPr="00CB2EC4">
              <w:rPr>
                <w:rFonts w:ascii="Times New Roman" w:hAnsi="Times New Roman" w:cs="Times New Roman"/>
              </w:rPr>
              <w:br/>
              <w:t>basis:</w:t>
            </w:r>
            <w:r w:rsidRPr="00CB2EC4">
              <w:rPr>
                <w:rFonts w:ascii="Times New Roman" w:hAnsi="Times New Roman" w:cs="Times New Roman"/>
              </w:rPr>
              <w:br/>
              <w:t>- document fragment 27 (block number 407) explicitly states: "some surgeons divide the sartorius muscle near the anterior superior iliac spine and then suture the free edge of the sartorius to the inguinal ligament to cover the exposed femoral vessels."</w:t>
            </w:r>
            <w:r w:rsidRPr="00CB2EC4">
              <w:rPr>
                <w:rFonts w:ascii="Times New Roman" w:hAnsi="Times New Roman" w:cs="Times New Roman"/>
              </w:rPr>
              <w:br/>
              <w:t xml:space="preserve">- this procedure aims to protect the femoral artery and vein, reducing the risk of postoperative infection, </w:t>
            </w:r>
            <w:r w:rsidRPr="00CB2EC4">
              <w:rPr>
                <w:rFonts w:ascii="Times New Roman" w:hAnsi="Times New Roman" w:cs="Times New Roman"/>
              </w:rPr>
              <w:lastRenderedPageBreak/>
              <w:t>vascular injury, or lymph fistula.</w:t>
            </w:r>
          </w:p>
        </w:tc>
        <w:tc>
          <w:tcPr>
            <w:tcW w:w="1152" w:type="dxa"/>
            <w:vAlign w:val="center"/>
          </w:tcPr>
          <w:p w14:paraId="045876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0D4D0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52A4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C17B040" w14:textId="77777777">
        <w:tc>
          <w:tcPr>
            <w:tcW w:w="2160" w:type="dxa"/>
            <w:vAlign w:val="center"/>
          </w:tcPr>
          <w:p w14:paraId="39EF3B3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9BFBDAB"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handling the sartorius muscle during deep inguinal lymph node dissection for vulvar infiltrating carcinoma is to cover the exposed femoral artery and vein to prevent vascular injury and reduce postoperative complications (such as infection or lymphocele). specifically, when the fascia cannot be sutured, the upper segment of the sartorius muscle is dissected and transected (usually at approximately 2 cm from the anterior superior iliac spine), and the transected end is sutured to the inguinal ligament to protect the femoral vascular region.</w:t>
            </w:r>
          </w:p>
        </w:tc>
        <w:tc>
          <w:tcPr>
            <w:tcW w:w="1152" w:type="dxa"/>
            <w:vAlign w:val="center"/>
          </w:tcPr>
          <w:p w14:paraId="3BDC19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C339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8A42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AD6D78" w14:textId="77777777">
        <w:tc>
          <w:tcPr>
            <w:tcW w:w="2160" w:type="dxa"/>
            <w:vAlign w:val="center"/>
          </w:tcPr>
          <w:p w14:paraId="23D14CEF"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F8143D1"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handling the sartorius muscle during deep inguinal lymph node dissection for vulvar infiltrating carcinoma is to expose the femoral triangle region, enabling safe removal of the deep inguinal lymph nodes while avoiding injury to the femoral vessels (such as the femoral artery and vein). The sartorius muscle forms the lateral boundary of the femoral triangle; dissecting the sartorius allows full exposure of the deep lympho-fatty tissue, ensuring completeness of lymph node resection and reducing surgical complications (e.g., bleeding or nerve injury).</w:t>
            </w:r>
            <w:r w:rsidRPr="00CB2EC4">
              <w:rPr>
                <w:rFonts w:ascii="Times New Roman" w:hAnsi="Times New Roman" w:cs="Times New Roman"/>
              </w:rPr>
              <w:br/>
              <w:t>- Information sources:</w:t>
            </w:r>
            <w:r w:rsidRPr="00CB2EC4">
              <w:rPr>
                <w:rFonts w:ascii="Times New Roman" w:hAnsi="Times New Roman" w:cs="Times New Roman"/>
              </w:rPr>
              <w:br/>
              <w:t xml:space="preserve">  - Knowledge base document: When describing inguinal lymph node dissection, it states that the boundaries of the femoral triangle include the sartorius muscle (lateral border), adductor longus muscle (medial border), and inguinal ligament (superior border). Dissecting the sartorius facilitates clearance of deep lymph nodes, particularly around the femoral vessels (e.g., "dissect the sartorius to expose the femoral triangle").</w:t>
            </w:r>
            <w:r w:rsidRPr="00CB2EC4">
              <w:rPr>
                <w:rFonts w:ascii="Times New Roman" w:hAnsi="Times New Roman" w:cs="Times New Roman"/>
              </w:rPr>
              <w:br/>
            </w:r>
            <w:r w:rsidRPr="00CB2EC4">
              <w:rPr>
                <w:rFonts w:ascii="Times New Roman" w:hAnsi="Times New Roman" w:cs="Times New Roman"/>
              </w:rPr>
              <w:lastRenderedPageBreak/>
              <w:t xml:space="preserve">  - Web search results: Supplement anatomical details of the femoral triangle, emphasizing the sartorius as a key landmark; after separation, deep lymph nodes beneath the cribriform fascia can be safely cleared (e.g., "the lateral border formed by the sartorius must be dissected to expose the femoral vessels").</w:t>
            </w:r>
            <w:r w:rsidRPr="00CB2EC4">
              <w:rPr>
                <w:rFonts w:ascii="Times New Roman" w:hAnsi="Times New Roman" w:cs="Times New Roman"/>
              </w:rPr>
              <w:br/>
              <w:t>- Integrated analysis: Both sources are consistent with no contradictions. The knowledge base provides anatomical rationale, while the web search reinforces procedural specifics.</w:t>
            </w:r>
          </w:p>
        </w:tc>
        <w:tc>
          <w:tcPr>
            <w:tcW w:w="1152" w:type="dxa"/>
            <w:vAlign w:val="center"/>
          </w:tcPr>
          <w:p w14:paraId="0D137E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FE2D2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B285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79710E" w14:textId="77777777">
        <w:tc>
          <w:tcPr>
            <w:tcW w:w="2160" w:type="dxa"/>
            <w:vAlign w:val="center"/>
          </w:tcPr>
          <w:p w14:paraId="3A4D4A05"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21D68D9"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addressing the sartorius muscle during deep inguinal lymph node dissection for vulvar infiltrating carcinoma is to define the lateral boundary of the surgical field. This ensures complete removal of lymphatic and adipose tissue in the region, as the inguinal lymph nodes (including deep nodes) may be located near the sartorius muscle. By delineating this boundary, the surgeon achieves adequate exposure, prevents omission of lymph nodes, and reduces the risk of postoperative recurrence. The document specifies the extent of lymphadenectomy as "laterally to the sartorius muscle" (Document Fragment 2: "laterally extending to the sartorius muscle, medially reaching the adductor longus tendon") but does not detail specific maneuvers (e.g., retraction or protection of the sartorius muscle); the focus is on comprehensive coverage of the lymphatic drainage area.</w:t>
            </w:r>
          </w:p>
        </w:tc>
        <w:tc>
          <w:tcPr>
            <w:tcW w:w="1152" w:type="dxa"/>
            <w:vAlign w:val="center"/>
          </w:tcPr>
          <w:p w14:paraId="7D4C2E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93D9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0143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399A91F" w14:textId="77777777">
        <w:tc>
          <w:tcPr>
            <w:tcW w:w="2160" w:type="dxa"/>
            <w:vAlign w:val="center"/>
          </w:tcPr>
          <w:p w14:paraId="4DF2E9AC"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AFB3F2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dissection of deep inguinal lymph nodes for vulvar infiltrating carcinoma, the purpose of manipulating the sartorius muscle is to cover the exposed femoral vessels, thereby reducing postoperative complications such as lymphoceles, </w:t>
            </w:r>
            <w:r w:rsidRPr="00CB2EC4">
              <w:rPr>
                <w:rFonts w:ascii="Times New Roman" w:hAnsi="Times New Roman" w:cs="Times New Roman"/>
              </w:rPr>
              <w:lastRenderedPageBreak/>
              <w:t xml:space="preserve">infection, or fluid accumulation. Specifically, the sartorius muscle is divided near the anterior superior iliac spine, and its free edge is sutured to the inguinal ligament to provide physical coverage and protection. This helps lower the risk of postoperative lower limb lymphedema.  </w:t>
            </w:r>
            <w:r w:rsidRPr="00CB2EC4">
              <w:rPr>
                <w:rFonts w:ascii="Times New Roman" w:hAnsi="Times New Roman" w:cs="Times New Roman"/>
              </w:rPr>
              <w:br/>
              <w:t>(Reference: As stated in Document 14, "Some surgeons divide the sartorius muscle near the anterior superior iliac spine and suture its free edge to the inguinal ligament to cover the exposed area.")</w:t>
            </w:r>
          </w:p>
        </w:tc>
        <w:tc>
          <w:tcPr>
            <w:tcW w:w="1152" w:type="dxa"/>
            <w:vAlign w:val="center"/>
          </w:tcPr>
          <w:p w14:paraId="13B3A8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E6323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4DE6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765DE5" w14:textId="77777777">
        <w:tc>
          <w:tcPr>
            <w:tcW w:w="2160" w:type="dxa"/>
            <w:vAlign w:val="center"/>
          </w:tcPr>
          <w:p w14:paraId="38F9B04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DEB649C"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handling the sartorius muscle during deep inguinal lymph node dissection for vulvar infiltrating carcinoma is to expose the femoral triangle area, facilitating complete removal of lympho-fatty tissue and deep lymph nodes within the femoral triangle. The document explicitly states: after incising the sartorius muscle fascia, the muscle fibers are visible; the incision must be extended upward and downward to ensure removal of all tissue within the femoral triangle except the femoral artery, femoral vein, and femoral nerve (including deep lymph nodes). this is to achieve surgical thoroughness and reduce the risk of postoperative recurrence (reference: [HyDE similarity: 0.538]).</w:t>
            </w:r>
          </w:p>
        </w:tc>
        <w:tc>
          <w:tcPr>
            <w:tcW w:w="1152" w:type="dxa"/>
            <w:vAlign w:val="center"/>
          </w:tcPr>
          <w:p w14:paraId="2A7F9A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6833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97D2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8109B7" w14:textId="77777777">
        <w:tc>
          <w:tcPr>
            <w:tcW w:w="2160" w:type="dxa"/>
            <w:vAlign w:val="center"/>
          </w:tcPr>
          <w:p w14:paraId="4AFCE3C5"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2BAE4A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deep inguinal lymph node dissection for vulvar infiltrating carcinoma, the purpose of handling the sartorius muscle is to cover the exposed femoral vessels (such as the femoral artery and femoral vein) to reduce postoperative complications including lymphedema, infection, or vascular-related risks. Some surgeons transect the sartorius muscle (typically near the anterior superior iliac spine) and then suture its free margin to the inguinal ligament. The document </w:t>
            </w:r>
            <w:r w:rsidRPr="00CB2EC4">
              <w:rPr>
                <w:rFonts w:ascii="Times New Roman" w:hAnsi="Times New Roman" w:cs="Times New Roman"/>
              </w:rPr>
              <w:lastRenderedPageBreak/>
              <w:t>emphasizes that this approach helps protect the femoral vascular region and lowers postoperative morbidity.</w:t>
            </w:r>
          </w:p>
        </w:tc>
        <w:tc>
          <w:tcPr>
            <w:tcW w:w="1152" w:type="dxa"/>
            <w:vAlign w:val="center"/>
          </w:tcPr>
          <w:p w14:paraId="36E24C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2AC43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5B032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2A602A8" w14:textId="77777777">
        <w:tc>
          <w:tcPr>
            <w:tcW w:w="2160" w:type="dxa"/>
            <w:vAlign w:val="center"/>
          </w:tcPr>
          <w:p w14:paraId="585E7B8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BB515C0"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handling the sartorius muscle is to define the surgical boundaries and protect important structures. The document states: "The upper margin of the resection reaches the inguinal ligament, the lateral margin reaches the sartorius muscle, and the medial margin reaches the tendon of the adductor longus" (Segment 7). The sartorius muscle serves as a lateral anatomical landmark; its overlying fascia is continuous with the cribriform fascia, which facilitates exposure of the femoral triangle region. This ensures thorough removal of lymphoid and adipose tissue containing the deep inguinal lymph nodes, while avoiding injury to the muscle and adjacent neurovascular structures.</w:t>
            </w:r>
          </w:p>
        </w:tc>
        <w:tc>
          <w:tcPr>
            <w:tcW w:w="1152" w:type="dxa"/>
            <w:vAlign w:val="center"/>
          </w:tcPr>
          <w:p w14:paraId="2D1033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18DE9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4087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6DD4FF" w14:textId="77777777">
        <w:tc>
          <w:tcPr>
            <w:tcW w:w="2160" w:type="dxa"/>
            <w:vAlign w:val="center"/>
          </w:tcPr>
          <w:p w14:paraId="65C0E2A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3C46282" w14:textId="77777777" w:rsidR="00922249" w:rsidRPr="00CB2EC4" w:rsidRDefault="003011D5">
            <w:pPr>
              <w:rPr>
                <w:rFonts w:ascii="Times New Roman" w:hAnsi="Times New Roman" w:cs="Times New Roman"/>
              </w:rPr>
            </w:pPr>
            <w:r w:rsidRPr="00CB2EC4">
              <w:rPr>
                <w:rFonts w:ascii="Times New Roman" w:hAnsi="Times New Roman" w:cs="Times New Roman"/>
              </w:rPr>
              <w:t>In the deep inguinal lymph node dissection for vulvar infiltrating carcinoma, the purpose of handling the sartorius muscle is to cover the exposed femoral vessels to reduce postoperative complications (such as bleeding, infection, or vascular injury). Specifically, the sartorius muscle is transected near the anterior superior iliac spine, and its free edge is sutured to the inguinal ligament to protect the femoral vessel area. This step helps lower surgical risks and promotes healing (based on document segments 8 and 15).</w:t>
            </w:r>
          </w:p>
        </w:tc>
        <w:tc>
          <w:tcPr>
            <w:tcW w:w="1152" w:type="dxa"/>
            <w:vAlign w:val="center"/>
          </w:tcPr>
          <w:p w14:paraId="1003EB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6A57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9F89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23D8BD" w14:textId="77777777">
        <w:tc>
          <w:tcPr>
            <w:tcW w:w="2160" w:type="dxa"/>
            <w:vAlign w:val="center"/>
          </w:tcPr>
          <w:p w14:paraId="069124F7"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943C19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purpose of handling the sartorius muscle during deep inguinal lymph node dissection for vulvar infiltrating carcinoma is to serve as a lateral anatomical landmark for defining the dissection boundary. Specifically, the resection extends laterally to the sartorius muscle to aid in identifying the </w:t>
            </w:r>
            <w:r w:rsidRPr="00CB2EC4">
              <w:rPr>
                <w:rFonts w:ascii="Times New Roman" w:hAnsi="Times New Roman" w:cs="Times New Roman"/>
              </w:rPr>
              <w:lastRenderedPageBreak/>
              <w:t>cribriform fascia and to delineate the lymph node dissection area, ensuring complete removal of at-risk nodal tissue while minimizing unnecessary dissection beyond this muscular boundary.</w:t>
            </w:r>
          </w:p>
        </w:tc>
        <w:tc>
          <w:tcPr>
            <w:tcW w:w="1152" w:type="dxa"/>
            <w:vAlign w:val="center"/>
          </w:tcPr>
          <w:p w14:paraId="076792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B6B48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DC881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42071C9" w14:textId="77777777">
        <w:tc>
          <w:tcPr>
            <w:tcW w:w="2160" w:type="dxa"/>
            <w:vAlign w:val="center"/>
          </w:tcPr>
          <w:p w14:paraId="1A3E8D0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CB5DCA6"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handling the sartorius muscle during deep inguinal lymph node dissection for vulvar infiltrating carcinoma is to cover the exposed femoral vessels, thereby reducing the risk of postoperative complications such as infection, lymphedema, or vascular injury and protecting the surgical field.</w:t>
            </w:r>
            <w:r w:rsidRPr="00CB2EC4">
              <w:rPr>
                <w:rFonts w:ascii="Times New Roman" w:hAnsi="Times New Roman" w:cs="Times New Roman"/>
              </w:rPr>
              <w:br/>
            </w:r>
            <w:r w:rsidRPr="00CB2EC4">
              <w:rPr>
                <w:rFonts w:ascii="Times New Roman" w:hAnsi="Times New Roman" w:cs="Times New Roman"/>
              </w:rPr>
              <w:br/>
              <w:t>according to the context (document fragment 3), some surgeons transect the sartorius muscle and suture its free margin to the inguinal ligament to achieve this coverage.</w:t>
            </w:r>
            <w:r w:rsidRPr="00CB2EC4">
              <w:rPr>
                <w:rFonts w:ascii="Times New Roman" w:hAnsi="Times New Roman" w:cs="Times New Roman"/>
              </w:rPr>
              <w:br/>
            </w:r>
            <w:r w:rsidRPr="00CB2EC4">
              <w:rPr>
                <w:rFonts w:ascii="Times New Roman" w:hAnsi="Times New Roman" w:cs="Times New Roman"/>
              </w:rPr>
              <w:br/>
              <w:t>answer: the purpose of handling the sartorius muscle is to cover the exposed femoral vessels to lower the risk of postoperative complications.</w:t>
            </w:r>
          </w:p>
        </w:tc>
        <w:tc>
          <w:tcPr>
            <w:tcW w:w="1152" w:type="dxa"/>
            <w:vAlign w:val="center"/>
          </w:tcPr>
          <w:p w14:paraId="17DEBD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1C62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00C8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9687D3" w14:textId="77777777">
        <w:tc>
          <w:tcPr>
            <w:tcW w:w="2160" w:type="dxa"/>
            <w:vAlign w:val="center"/>
          </w:tcPr>
          <w:p w14:paraId="1BBA287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FAF9EEB"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handling the sartorius muscle is to cover the femoral artery and vein, providing physical protection to prevent vascular exposure and postoperative complications (such as bleeding or infection), which is particularly necessary when direct fascial closure is not feasible.</w:t>
            </w:r>
          </w:p>
        </w:tc>
        <w:tc>
          <w:tcPr>
            <w:tcW w:w="1152" w:type="dxa"/>
            <w:vAlign w:val="center"/>
          </w:tcPr>
          <w:p w14:paraId="1F708B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B660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9F97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76D9BC" w14:textId="77777777">
        <w:tc>
          <w:tcPr>
            <w:tcW w:w="2160" w:type="dxa"/>
            <w:vAlign w:val="center"/>
          </w:tcPr>
          <w:p w14:paraId="48E564FF"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3605F15"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handling the sartorius muscle is to transfer and cover the femoral vessel area to protect the femoral artery and vein, preventing postoperative vascular exposure, infection, or lymphocele. this step is based on anatomical considerations, aiming to reduce tension on the surgical wound and promote healing.</w:t>
            </w:r>
          </w:p>
        </w:tc>
        <w:tc>
          <w:tcPr>
            <w:tcW w:w="1152" w:type="dxa"/>
            <w:vAlign w:val="center"/>
          </w:tcPr>
          <w:p w14:paraId="432C77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E9BA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A5F3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6ECCE9" w14:textId="77777777">
        <w:tc>
          <w:tcPr>
            <w:tcW w:w="10656" w:type="dxa"/>
            <w:gridSpan w:val="5"/>
            <w:tcBorders>
              <w:bottom w:val="single" w:sz="6" w:space="0" w:color="auto"/>
            </w:tcBorders>
            <w:vAlign w:val="center"/>
          </w:tcPr>
          <w:p w14:paraId="4F8BC0C3" w14:textId="77777777" w:rsidR="00922249" w:rsidRPr="00CB2EC4" w:rsidRDefault="003011D5">
            <w:pPr>
              <w:rPr>
                <w:rFonts w:ascii="Times New Roman" w:hAnsi="Times New Roman" w:cs="Times New Roman"/>
              </w:rPr>
            </w:pPr>
            <w:r w:rsidRPr="00CB2EC4">
              <w:rPr>
                <w:rFonts w:ascii="Times New Roman" w:hAnsi="Times New Roman" w:cs="Times New Roman"/>
                <w:b/>
              </w:rPr>
              <w:t xml:space="preserve">Question 147: For a patient with Stage I vulvar cancer, where the tumor diameter is ≤2 cm and the lesion is confined to one </w:t>
            </w:r>
            <w:r w:rsidRPr="00CB2EC4">
              <w:rPr>
                <w:rFonts w:ascii="Times New Roman" w:hAnsi="Times New Roman" w:cs="Times New Roman"/>
                <w:b/>
              </w:rPr>
              <w:lastRenderedPageBreak/>
              <w:t>labium majus, but postoperative histopathology indicates lymphovascular space invasion (LVSI), what surgical procedure should be performed?</w:t>
            </w:r>
          </w:p>
        </w:tc>
      </w:tr>
      <w:tr w:rsidR="00922249" w:rsidRPr="00CB2EC4" w14:paraId="0000EF2A" w14:textId="77777777">
        <w:tc>
          <w:tcPr>
            <w:tcW w:w="2160" w:type="dxa"/>
            <w:vAlign w:val="center"/>
          </w:tcPr>
          <w:p w14:paraId="18B7D8D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Enrichment</w:t>
            </w:r>
          </w:p>
        </w:tc>
        <w:tc>
          <w:tcPr>
            <w:tcW w:w="5040" w:type="dxa"/>
            <w:vAlign w:val="center"/>
          </w:tcPr>
          <w:p w14:paraId="600693E9" w14:textId="77777777" w:rsidR="00922249" w:rsidRPr="00CB2EC4" w:rsidRDefault="003011D5">
            <w:pPr>
              <w:rPr>
                <w:rFonts w:ascii="Times New Roman" w:hAnsi="Times New Roman" w:cs="Times New Roman"/>
              </w:rPr>
            </w:pPr>
            <w:r w:rsidRPr="00CB2EC4">
              <w:rPr>
                <w:rFonts w:ascii="Times New Roman" w:hAnsi="Times New Roman" w:cs="Times New Roman"/>
              </w:rPr>
              <w:t>for a stage I vulvar cancer patient with a tumor diameter ≤ 2 cm, lesion confined to one side of the labia majora, but postoperative histopathological examination reveals vascular or lymphatic space involvement, the appropriate surgical procedure is radical total vulvectomy plus bilateral inguinal lymph node dissection.</w:t>
            </w:r>
            <w:r w:rsidRPr="00CB2EC4">
              <w:rPr>
                <w:rFonts w:ascii="Times New Roman" w:hAnsi="Times New Roman" w:cs="Times New Roman"/>
              </w:rPr>
              <w:br/>
            </w:r>
            <w:r w:rsidRPr="00CB2EC4">
              <w:rPr>
                <w:rFonts w:ascii="Times New Roman" w:hAnsi="Times New Roman" w:cs="Times New Roman"/>
              </w:rPr>
              <w:br/>
              <w:t xml:space="preserve">the rationale is as follows:  </w:t>
            </w:r>
            <w:r w:rsidRPr="00CB2EC4">
              <w:rPr>
                <w:rFonts w:ascii="Times New Roman" w:hAnsi="Times New Roman" w:cs="Times New Roman"/>
              </w:rPr>
              <w:br/>
              <w:t xml:space="preserve">- the document specifies that for stage I vulvar cancer patients (tumor diameter ≤ 2 cm) without lymphatic or vascular invasion, a unilateral radical vulvectomy and ipsilateral inguinal lymph node dissection (conservative surgery) may be used.  </w:t>
            </w:r>
            <w:r w:rsidRPr="00CB2EC4">
              <w:rPr>
                <w:rFonts w:ascii="Times New Roman" w:hAnsi="Times New Roman" w:cs="Times New Roman"/>
              </w:rPr>
              <w:br/>
              <w:t xml:space="preserve">- however, if pathological examination shows vascular or lymphatic space involvement, the surgical scope must be escalated. specifically, the document states: “if vascular or lymphatic spaces are involved, radical vulvectomy plus bilateral inguinal lymph node dissection should be performed.” (source: [similarity: 0.630 [expansion:3 blocks, range:403-405]]).  </w:t>
            </w:r>
            <w:r w:rsidRPr="00CB2EC4">
              <w:rPr>
                <w:rFonts w:ascii="Times New Roman" w:hAnsi="Times New Roman" w:cs="Times New Roman"/>
              </w:rPr>
              <w:br/>
              <w:t>- additionally, the document emphasizes that this escalation applies to stage I patients with vascular/lymphatic involvement, and radical total vulvectomy plus bilateral inguinal lymph node dissection is the standard procedure for stage II, III, IV, or such high-risk stage I cases (source: [similarity: 0.630 [expansion:3 blocks, range:403-405]]).</w:t>
            </w:r>
          </w:p>
        </w:tc>
        <w:tc>
          <w:tcPr>
            <w:tcW w:w="1152" w:type="dxa"/>
            <w:vAlign w:val="center"/>
          </w:tcPr>
          <w:p w14:paraId="776529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F189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2EA8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AD9239" w14:textId="77777777">
        <w:tc>
          <w:tcPr>
            <w:tcW w:w="2160" w:type="dxa"/>
            <w:vAlign w:val="center"/>
          </w:tcPr>
          <w:p w14:paraId="3EE3D841"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5EBFFB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stage I vulvar cancer patient with a tumor diameter ≤ 2 cm, lesion confined to one side of the labia majora, but postoperative histopathological </w:t>
            </w:r>
            <w:r w:rsidRPr="00CB2EC4">
              <w:rPr>
                <w:rFonts w:ascii="Times New Roman" w:hAnsi="Times New Roman" w:cs="Times New Roman"/>
              </w:rPr>
              <w:lastRenderedPageBreak/>
              <w:t>examination reveals involvement of vascular or lymphatic spaces, the surgical procedure to be performed is:</w:t>
            </w:r>
            <w:r w:rsidRPr="00CB2EC4">
              <w:rPr>
                <w:rFonts w:ascii="Times New Roman" w:hAnsi="Times New Roman" w:cs="Times New Roman"/>
              </w:rPr>
              <w:br/>
            </w:r>
            <w:r w:rsidRPr="00CB2EC4">
              <w:rPr>
                <w:rFonts w:ascii="Times New Roman" w:hAnsi="Times New Roman" w:cs="Times New Roman"/>
              </w:rPr>
              <w:br/>
              <w:t xml:space="preserve">Answer: Radical vulvectomy and bilateral inguinal lymphadenectomy should be performed.  </w:t>
            </w:r>
            <w:r w:rsidRPr="00CB2EC4">
              <w:rPr>
                <w:rFonts w:ascii="Times New Roman" w:hAnsi="Times New Roman" w:cs="Times New Roman"/>
              </w:rPr>
              <w:br/>
              <w:t xml:space="preserve">Basis:  </w:t>
            </w:r>
            <w:r w:rsidRPr="00CB2EC4">
              <w:rPr>
                <w:rFonts w:ascii="Times New Roman" w:hAnsi="Times New Roman" w:cs="Times New Roman"/>
              </w:rPr>
              <w:br/>
              <w:t xml:space="preserve">- Document fragment 3 (block number 404) states: "If vascular or lymphatic space involvement is present, radical vulvectomy plus bilateral inguinal lymphadenectomy should be performed."  </w:t>
            </w:r>
            <w:r w:rsidRPr="00CB2EC4">
              <w:rPr>
                <w:rFonts w:ascii="Times New Roman" w:hAnsi="Times New Roman" w:cs="Times New Roman"/>
              </w:rPr>
              <w:br/>
              <w:t>- Document fragment 4 (block number 392) further emphasizes: "For pathological diagnoses meeting ISSVD criteria but with vascular or lymphatic involvement, ipsilateral inguinal lymphadenectomy should still be performed," and combined with the "bilateral" requirement in fragment 3, the procedure needs to be extended to bilateral dissection.</w:t>
            </w:r>
          </w:p>
        </w:tc>
        <w:tc>
          <w:tcPr>
            <w:tcW w:w="1152" w:type="dxa"/>
            <w:vAlign w:val="center"/>
          </w:tcPr>
          <w:p w14:paraId="09BE0F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6F5E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7A7A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DCB199" w14:textId="77777777">
        <w:tc>
          <w:tcPr>
            <w:tcW w:w="2160" w:type="dxa"/>
            <w:vAlign w:val="center"/>
          </w:tcPr>
          <w:p w14:paraId="48CF5CF0"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62D40EC" w14:textId="77777777" w:rsidR="00922249" w:rsidRPr="00CB2EC4" w:rsidRDefault="003011D5">
            <w:pPr>
              <w:rPr>
                <w:rFonts w:ascii="Times New Roman" w:hAnsi="Times New Roman" w:cs="Times New Roman"/>
              </w:rPr>
            </w:pPr>
            <w:r w:rsidRPr="00CB2EC4">
              <w:rPr>
                <w:rFonts w:ascii="Times New Roman" w:hAnsi="Times New Roman" w:cs="Times New Roman"/>
              </w:rPr>
              <w:t>for a stage I vulvar cancer patient with a tumor diameter ≤ 2 cm, lesion confined to one side of the labia majora, but postoperative histopathological examination revealing vascular or lymphatic space involvement, the surgical procedure to be performed is radical total vulvectomy and bilateral inguinal lymph node dissection (i.e., traditional or standard vulvar cancer surgery).</w:t>
            </w:r>
            <w:r w:rsidRPr="00CB2EC4">
              <w:rPr>
                <w:rFonts w:ascii="Times New Roman" w:hAnsi="Times New Roman" w:cs="Times New Roman"/>
              </w:rPr>
              <w:br/>
            </w:r>
            <w:r w:rsidRPr="00CB2EC4">
              <w:rPr>
                <w:rFonts w:ascii="Times New Roman" w:hAnsi="Times New Roman" w:cs="Times New Roman"/>
              </w:rPr>
              <w:br/>
              <w:t xml:space="preserve">according to document fragment 1 (relevance: 0.800) and fragment 14 (relevance: 0.700), this patient meets the criteria for stage I vulvar cancer (tumor ≤ 2 cm, confined to vulva) but with lymphovascular space invasion (LVSI+). fragment 1 explicitly states: for stage I patients with vascular or lymphatic involvement, radical total vulvectomy and bilateral </w:t>
            </w:r>
            <w:r w:rsidRPr="00CB2EC4">
              <w:rPr>
                <w:rFonts w:ascii="Times New Roman" w:hAnsi="Times New Roman" w:cs="Times New Roman"/>
              </w:rPr>
              <w:lastRenderedPageBreak/>
              <w:t>inguinal lymph node dissection should be performed. therefore, radical total vulvectomy and bilateral inguinal lymph node dissection should be performed for this patient.</w:t>
            </w:r>
          </w:p>
        </w:tc>
        <w:tc>
          <w:tcPr>
            <w:tcW w:w="1152" w:type="dxa"/>
            <w:vAlign w:val="center"/>
          </w:tcPr>
          <w:p w14:paraId="212080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6EE24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022F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B50C07" w14:textId="77777777">
        <w:tc>
          <w:tcPr>
            <w:tcW w:w="2160" w:type="dxa"/>
            <w:vAlign w:val="center"/>
          </w:tcPr>
          <w:p w14:paraId="54962F9E"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0ADB5F7" w14:textId="77777777" w:rsidR="00922249" w:rsidRPr="00CB2EC4" w:rsidRDefault="003011D5">
            <w:pPr>
              <w:rPr>
                <w:rFonts w:ascii="Times New Roman" w:hAnsi="Times New Roman" w:cs="Times New Roman"/>
              </w:rPr>
            </w:pPr>
            <w:r w:rsidRPr="00CB2EC4">
              <w:rPr>
                <w:rFonts w:ascii="Times New Roman" w:hAnsi="Times New Roman" w:cs="Times New Roman"/>
              </w:rPr>
              <w:t>for a stage I vulvar cancer patient with a tumor diameter ≤2 cm, localized to one side of the labia majora, but with postoperative histopathological examination showing involvement of vascular or lymphatic spaces, a radical total vulvectomy plus bilateral inguinal lymph node dissection should be performed. Although the tumor is stage I and confined to one side of the labia majora, vascular or lymphatic space involvement is a high-risk factor for lymph node metastasis; therefore, the surgical scope must be expanded to include removal of the entire vulva and bilateral lymph nodes to reduce the risk of recurrence.</w:t>
            </w:r>
            <w:r w:rsidRPr="00CB2EC4">
              <w:rPr>
                <w:rFonts w:ascii="Times New Roman" w:hAnsi="Times New Roman" w:cs="Times New Roman"/>
              </w:rPr>
              <w:br/>
              <w:t>- Information sources:</w:t>
            </w:r>
            <w:r w:rsidRPr="00CB2EC4">
              <w:rPr>
                <w:rFonts w:ascii="Times New Roman" w:hAnsi="Times New Roman" w:cs="Times New Roman"/>
              </w:rPr>
              <w:br/>
              <w:t xml:space="preserve">  - Knowledge base document: explicitly states that for stage I vulvar cancer patients, if biopsy or postoperative pathology shows vascular or lymphatic space involvement, a radical total vulvectomy plus bilateral inguinal lymph node dissection must be performed (e.g., "If vascular or lymphatic spaces are involved, radical vulvectomy plus bilateral inguinal lymph node dissection should be carried out"). This is independent of tumor location, as vascular invasion significantly increases the risk of metastasis.</w:t>
            </w:r>
            <w:r w:rsidRPr="00CB2EC4">
              <w:rPr>
                <w:rFonts w:ascii="Times New Roman" w:hAnsi="Times New Roman" w:cs="Times New Roman"/>
              </w:rPr>
              <w:br/>
              <w:t xml:space="preserve">  - Web search results: support this view, emphasizing that vascular space involvement is an indication for expanding the surgical field, and even early-stage tumors require bilateral lymph node dissection (e.g., "When cancer cells are disseminated in vascular spaces, the lymph node metastasis rate can reach 40%~65%, necessitating radical surgery").</w:t>
            </w:r>
            <w:r w:rsidRPr="00CB2EC4">
              <w:rPr>
                <w:rFonts w:ascii="Times New Roman" w:hAnsi="Times New Roman" w:cs="Times New Roman"/>
              </w:rPr>
              <w:br/>
            </w:r>
            <w:r w:rsidRPr="00CB2EC4">
              <w:rPr>
                <w:rFonts w:ascii="Times New Roman" w:hAnsi="Times New Roman" w:cs="Times New Roman"/>
              </w:rPr>
              <w:lastRenderedPageBreak/>
              <w:t>- Comprehensive analysis: both sources are consistent. The knowledge base document provides the core basis, and the web search results supplement with metastasis rate data.</w:t>
            </w:r>
          </w:p>
        </w:tc>
        <w:tc>
          <w:tcPr>
            <w:tcW w:w="1152" w:type="dxa"/>
            <w:vAlign w:val="center"/>
          </w:tcPr>
          <w:p w14:paraId="432A77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F49BB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AA3D1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B0F8FF" w14:textId="77777777">
        <w:tc>
          <w:tcPr>
            <w:tcW w:w="2160" w:type="dxa"/>
            <w:vAlign w:val="center"/>
          </w:tcPr>
          <w:p w14:paraId="119B3ED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BC7615B" w14:textId="77777777" w:rsidR="00922249" w:rsidRPr="00CB2EC4" w:rsidRDefault="003011D5">
            <w:pPr>
              <w:rPr>
                <w:rFonts w:ascii="Times New Roman" w:hAnsi="Times New Roman" w:cs="Times New Roman"/>
              </w:rPr>
            </w:pPr>
            <w:r w:rsidRPr="00CB2EC4">
              <w:rPr>
                <w:rFonts w:ascii="Times New Roman" w:hAnsi="Times New Roman" w:cs="Times New Roman"/>
              </w:rPr>
              <w:t>for a stage I vulvar cancer patient with a tumor diameter ≤ 2 cm and the lesion confined to one side of the labia majora, but postoperative histopathological examination reveals involvement of vascular or lymphatic spaces, the appropriate surgical procedure is radical vulvectomy plus bilateral inguinal lymph node dissection. This surgical approach aims to reduce the risk of recurrence and ensure complete removal of potential metastatic foci.</w:t>
            </w:r>
          </w:p>
        </w:tc>
        <w:tc>
          <w:tcPr>
            <w:tcW w:w="1152" w:type="dxa"/>
            <w:vAlign w:val="center"/>
          </w:tcPr>
          <w:p w14:paraId="7AEE94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D55D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8364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5D13F51" w14:textId="77777777">
        <w:tc>
          <w:tcPr>
            <w:tcW w:w="2160" w:type="dxa"/>
            <w:vAlign w:val="center"/>
          </w:tcPr>
          <w:p w14:paraId="744D467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3946E43" w14:textId="77777777" w:rsidR="00922249" w:rsidRPr="00CB2EC4" w:rsidRDefault="003011D5">
            <w:pPr>
              <w:rPr>
                <w:rFonts w:ascii="Times New Roman" w:hAnsi="Times New Roman" w:cs="Times New Roman"/>
              </w:rPr>
            </w:pPr>
            <w:r w:rsidRPr="00CB2EC4">
              <w:rPr>
                <w:rFonts w:ascii="Times New Roman" w:hAnsi="Times New Roman" w:cs="Times New Roman"/>
              </w:rPr>
              <w:t>for a stage I vulvar cancer patient with a tumor diameter ≤ 2 cm, lesion confined to one side of the labia majora, but postoperative histopathological examination revealing involvement of vascular or lymphatic spaces, the appropriate surgical procedure is radical vulvectomy plus bilateral inguinal lymph node dissection.</w:t>
            </w:r>
            <w:r w:rsidRPr="00CB2EC4">
              <w:rPr>
                <w:rFonts w:ascii="Times New Roman" w:hAnsi="Times New Roman" w:cs="Times New Roman"/>
              </w:rPr>
              <w:br/>
            </w:r>
            <w:r w:rsidRPr="00CB2EC4">
              <w:rPr>
                <w:rFonts w:ascii="Times New Roman" w:hAnsi="Times New Roman" w:cs="Times New Roman"/>
              </w:rPr>
              <w:br/>
              <w:t>for this patient, radical vulvectomy with bilateral inguinal lymph node dissection should be performed. although the tumor is stage I and confined to one side of the labia majora, the pathological finding of vascular or lymphatic space involvement increases the risk of lymph node metastasis. therefore, the surgical extent must be expanded; unilateral surgery is insufficient, and bilateral inguinal lymph node dissection is required to ensure complete removal of potential metastatic foci.</w:t>
            </w:r>
            <w:r w:rsidRPr="00CB2EC4">
              <w:rPr>
                <w:rFonts w:ascii="Times New Roman" w:hAnsi="Times New Roman" w:cs="Times New Roman"/>
              </w:rPr>
              <w:br/>
            </w:r>
            <w:r w:rsidRPr="00CB2EC4">
              <w:rPr>
                <w:rFonts w:ascii="Times New Roman" w:hAnsi="Times New Roman" w:cs="Times New Roman"/>
              </w:rPr>
              <w:br/>
              <w:t xml:space="preserve">(based on: relevant document 1 explicitly states "if </w:t>
            </w:r>
            <w:r w:rsidRPr="00CB2EC4">
              <w:rPr>
                <w:rFonts w:ascii="Times New Roman" w:hAnsi="Times New Roman" w:cs="Times New Roman"/>
              </w:rPr>
              <w:lastRenderedPageBreak/>
              <w:t>vascular or lymphatic spaces are involved, radical vulvectomy plus bilateral inguinal lymph node dissection should be performed.")</w:t>
            </w:r>
          </w:p>
        </w:tc>
        <w:tc>
          <w:tcPr>
            <w:tcW w:w="1152" w:type="dxa"/>
            <w:vAlign w:val="center"/>
          </w:tcPr>
          <w:p w14:paraId="0056DB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F1F66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B8C7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869E080" w14:textId="77777777">
        <w:tc>
          <w:tcPr>
            <w:tcW w:w="2160" w:type="dxa"/>
            <w:vAlign w:val="center"/>
          </w:tcPr>
          <w:p w14:paraId="5776EFD9"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8DC477B" w14:textId="77777777" w:rsidR="00922249" w:rsidRPr="00CB2EC4" w:rsidRDefault="003011D5">
            <w:pPr>
              <w:rPr>
                <w:rFonts w:ascii="Times New Roman" w:hAnsi="Times New Roman" w:cs="Times New Roman"/>
              </w:rPr>
            </w:pPr>
            <w:r w:rsidRPr="00CB2EC4">
              <w:rPr>
                <w:rFonts w:ascii="Times New Roman" w:hAnsi="Times New Roman" w:cs="Times New Roman"/>
              </w:rPr>
              <w:t>for a stage I vulvar cancer patient with a tumor diameter ≤ 2 cm, lesion confined to one side of the labia majora, but postoperative histopathological examination showing vascular or lymphatic space involvement, the appropriate surgical procedure is radical total vulvectomy and bilateral inguinal lymph node dissection.</w:t>
            </w:r>
            <w:r w:rsidRPr="00CB2EC4">
              <w:rPr>
                <w:rFonts w:ascii="Times New Roman" w:hAnsi="Times New Roman" w:cs="Times New Roman"/>
              </w:rPr>
              <w:br/>
            </w:r>
            <w:r w:rsidRPr="00CB2EC4">
              <w:rPr>
                <w:rFonts w:ascii="Times New Roman" w:hAnsi="Times New Roman" w:cs="Times New Roman"/>
              </w:rPr>
              <w:br/>
              <w:t>The document emphasizes: for stage I vulvar cancer patients with vascular or lymphatic space involvement, regardless of tumor size or location (even if confined to one side), radical total vulvectomy plus bilateral inguinal lymph node dissection must be performed to reduce the risk of recurrence (reference: [HyDE similarity: 0.644]).</w:t>
            </w:r>
          </w:p>
        </w:tc>
        <w:tc>
          <w:tcPr>
            <w:tcW w:w="1152" w:type="dxa"/>
            <w:vAlign w:val="center"/>
          </w:tcPr>
          <w:p w14:paraId="05AEDF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C1E7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CBBE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AD6471" w14:textId="77777777">
        <w:tc>
          <w:tcPr>
            <w:tcW w:w="2160" w:type="dxa"/>
            <w:vAlign w:val="center"/>
          </w:tcPr>
          <w:p w14:paraId="00D64F0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8A20EFD" w14:textId="77777777" w:rsidR="00922249" w:rsidRPr="00CB2EC4" w:rsidRDefault="003011D5">
            <w:pPr>
              <w:rPr>
                <w:rFonts w:ascii="Times New Roman" w:hAnsi="Times New Roman" w:cs="Times New Roman"/>
              </w:rPr>
            </w:pPr>
            <w:r w:rsidRPr="00CB2EC4">
              <w:rPr>
                <w:rFonts w:ascii="Times New Roman" w:hAnsi="Times New Roman" w:cs="Times New Roman"/>
              </w:rPr>
              <w:t>for a stage I vulvar cancer patient with a tumor diameter ≤ 2 cm, the lesion confined to one side of the labia majora, but postoperative histopathological examination reveals involvement of vascular or lymphatic spaces, then a radical vulvectomy plus bilateral inguinal lymph node dissection should be performed for this patient.</w:t>
            </w:r>
            <w:r w:rsidRPr="00CB2EC4">
              <w:rPr>
                <w:rFonts w:ascii="Times New Roman" w:hAnsi="Times New Roman" w:cs="Times New Roman"/>
              </w:rPr>
              <w:br/>
            </w:r>
            <w:r w:rsidRPr="00CB2EC4">
              <w:rPr>
                <w:rFonts w:ascii="Times New Roman" w:hAnsi="Times New Roman" w:cs="Times New Roman"/>
              </w:rPr>
              <w:br/>
              <w:t>according to document fragment 2 (similarity: 0.644) and fragment 4 (similarity: 0.628), for stage I vulvar cancer patients (tumor diameter ≤ 2 cm), if histopathological examination shows vascular or lymphatic space involvement, a more aggressive surgical approach should be adopted. specifically:</w:t>
            </w:r>
            <w:r w:rsidRPr="00CB2EC4">
              <w:rPr>
                <w:rFonts w:ascii="Times New Roman" w:hAnsi="Times New Roman" w:cs="Times New Roman"/>
              </w:rPr>
              <w:br/>
              <w:t xml:space="preserve">- fragment 2 states: “for stage I vulvar cancer patients </w:t>
            </w:r>
            <w:r w:rsidRPr="00CB2EC4">
              <w:rPr>
                <w:rFonts w:ascii="Times New Roman" w:hAnsi="Times New Roman" w:cs="Times New Roman"/>
              </w:rPr>
              <w:lastRenderedPageBreak/>
              <w:t>undergoing conservative surgery, reliance on biopsy is absolutely unacceptable; pathological histological examination must be performed after tumor resection... if vascular or lymphatic spaces are involved, a radical vulvectomy plus bilateral inguinal lymph node dissection should be performed.”</w:t>
            </w:r>
            <w:r w:rsidRPr="00CB2EC4">
              <w:rPr>
                <w:rFonts w:ascii="Times New Roman" w:hAnsi="Times New Roman" w:cs="Times New Roman"/>
              </w:rPr>
              <w:br/>
              <w:t>- fragment 4 adds: “if there is vascular involvement or poor cell differentiation, perform regional lymph node dissection.”</w:t>
            </w:r>
            <w:r w:rsidRPr="00CB2EC4">
              <w:rPr>
                <w:rFonts w:ascii="Times New Roman" w:hAnsi="Times New Roman" w:cs="Times New Roman"/>
              </w:rPr>
              <w:br/>
              <w:t>therefore, for this patient (lesion confined to one side of the labia majora but with vascular space involvement), a radical vulvectomy (i.e., radical total vulvectomy) plus bilateral inguinal lymph node dissection should be performed. this is because vascular space involvement increases the risk of lymph node metastasis, necessitating wider lymph node dissection to reduce recurrence rates.</w:t>
            </w:r>
          </w:p>
        </w:tc>
        <w:tc>
          <w:tcPr>
            <w:tcW w:w="1152" w:type="dxa"/>
            <w:vAlign w:val="center"/>
          </w:tcPr>
          <w:p w14:paraId="3C25E5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4D464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15F0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76B6F5" w14:textId="77777777">
        <w:tc>
          <w:tcPr>
            <w:tcW w:w="2160" w:type="dxa"/>
            <w:vAlign w:val="center"/>
          </w:tcPr>
          <w:p w14:paraId="75F3238E"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BA7FCFE" w14:textId="77777777" w:rsidR="00922249" w:rsidRPr="00CB2EC4" w:rsidRDefault="003011D5">
            <w:pPr>
              <w:rPr>
                <w:rFonts w:ascii="Times New Roman" w:hAnsi="Times New Roman" w:cs="Times New Roman"/>
              </w:rPr>
            </w:pPr>
            <w:r w:rsidRPr="00CB2EC4">
              <w:rPr>
                <w:rFonts w:ascii="Times New Roman" w:hAnsi="Times New Roman" w:cs="Times New Roman"/>
              </w:rPr>
              <w:t>for a stage I vulvar cancer patient with a tumor diameter ≤2cm and the lesion confined to one side of the labia majora, but postoperative histopathological examination reveals invasion of vascular or lymphatic spaces, then a radical total vulvectomy and bilateral inguinal lymph node dissection should be performed for the patient.</w:t>
            </w:r>
            <w:r w:rsidRPr="00CB2EC4">
              <w:rPr>
                <w:rFonts w:ascii="Times New Roman" w:hAnsi="Times New Roman" w:cs="Times New Roman"/>
              </w:rPr>
              <w:br/>
            </w:r>
            <w:r w:rsidRPr="00CB2EC4">
              <w:rPr>
                <w:rFonts w:ascii="Times New Roman" w:hAnsi="Times New Roman" w:cs="Times New Roman"/>
              </w:rPr>
              <w:br/>
              <w:t xml:space="preserve">according to the document, even if the tumor meets the stage I criteria (diameter ≤2cm and confined to one side), if pathological examination confirms vascular or lymphatic invasion, a radical vulvectomy plus bilateral inguinal lymph node dissection is required. the original text explicitly states: "if vascular or lymphatic spaces are invaded, a radical vulvectomy plus bilateral inguinal lymph node dissection should be performed" (fragment 1). therefore, this patient </w:t>
            </w:r>
            <w:r w:rsidRPr="00CB2EC4">
              <w:rPr>
                <w:rFonts w:ascii="Times New Roman" w:hAnsi="Times New Roman" w:cs="Times New Roman"/>
              </w:rPr>
              <w:lastRenderedPageBreak/>
              <w:t>should undergo a radical total vulvectomy and bilateral inguinal lymph node dissection.</w:t>
            </w:r>
          </w:p>
        </w:tc>
        <w:tc>
          <w:tcPr>
            <w:tcW w:w="1152" w:type="dxa"/>
            <w:vAlign w:val="center"/>
          </w:tcPr>
          <w:p w14:paraId="46A160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F5AD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1FEA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5FFE04" w14:textId="77777777">
        <w:tc>
          <w:tcPr>
            <w:tcW w:w="2160" w:type="dxa"/>
            <w:vAlign w:val="center"/>
          </w:tcPr>
          <w:p w14:paraId="3B55BFA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3A5492B" w14:textId="77777777" w:rsidR="00922249" w:rsidRPr="00CB2EC4" w:rsidRDefault="003011D5">
            <w:pPr>
              <w:rPr>
                <w:rFonts w:ascii="Times New Roman" w:hAnsi="Times New Roman" w:cs="Times New Roman"/>
              </w:rPr>
            </w:pPr>
            <w:r w:rsidRPr="00CB2EC4">
              <w:rPr>
                <w:rFonts w:ascii="Times New Roman" w:hAnsi="Times New Roman" w:cs="Times New Roman"/>
              </w:rPr>
              <w:t>for a stage I vulvar cancer patient with a tumor diameter ≤ 2 cm and lesion confined to one side of the labia majora, but postoperative histopathological examination reveals involvement of vascular or lymphatic spaces, a radical vulvectomy with bilateral inguinal lymph node dissection should be performed. This is because vascular or lymphatic space invasion is a high-risk factor for lymph node metastasis, and conservative surgery (such as unilateral resection) is insufficient to control the risk; expanding the surgical scope can reduce the recurrence rate (based on document fragment 4).</w:t>
            </w:r>
          </w:p>
        </w:tc>
        <w:tc>
          <w:tcPr>
            <w:tcW w:w="1152" w:type="dxa"/>
            <w:vAlign w:val="center"/>
          </w:tcPr>
          <w:p w14:paraId="56F4F3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4093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5D67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F8C7A2" w14:textId="77777777">
        <w:tc>
          <w:tcPr>
            <w:tcW w:w="2160" w:type="dxa"/>
            <w:vAlign w:val="center"/>
          </w:tcPr>
          <w:p w14:paraId="3DA0BDF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AA37BE6" w14:textId="77777777" w:rsidR="00922249" w:rsidRPr="00CB2EC4" w:rsidRDefault="003011D5">
            <w:pPr>
              <w:rPr>
                <w:rFonts w:ascii="Times New Roman" w:hAnsi="Times New Roman" w:cs="Times New Roman"/>
              </w:rPr>
            </w:pPr>
            <w:r w:rsidRPr="00CB2EC4">
              <w:rPr>
                <w:rFonts w:ascii="Times New Roman" w:hAnsi="Times New Roman" w:cs="Times New Roman"/>
              </w:rPr>
              <w:t>for a stage I vulvar cancer patient with a tumor diameter ≤ 2 cm, lesion confined to one side of the labia majora, but postoperative histopathological examination revealing involvement of vascular or lymphatic spaces, radical total vulvectomy and bilateral inguinal lymphadenectomy should be performed.</w:t>
            </w:r>
            <w:r w:rsidRPr="00CB2EC4">
              <w:rPr>
                <w:rFonts w:ascii="Times New Roman" w:hAnsi="Times New Roman" w:cs="Times New Roman"/>
              </w:rPr>
              <w:br/>
            </w:r>
            <w:r w:rsidRPr="00CB2EC4">
              <w:rPr>
                <w:rFonts w:ascii="Times New Roman" w:hAnsi="Times New Roman" w:cs="Times New Roman"/>
              </w:rPr>
              <w:br/>
              <w:t xml:space="preserve">- According to the document content (similarity: 0.637 segment): For stage I vulvar cancer patients, if vascular or lymphatic space involvement is present, regardless of tumor size or location (including confinement to one side of the labia majora), "radical vulvectomy plus bilateral inguinal lymphadenectomy" should be carried out. The document explicitly states: "If vascular or lymphatic space involvement is present, radical vulvectomy plus bilateral inguinal lymphadenectomy should be performed." This corresponds to radical total vulvectomy (i.e., the </w:t>
            </w:r>
            <w:r w:rsidRPr="00CB2EC4">
              <w:rPr>
                <w:rFonts w:ascii="Times New Roman" w:hAnsi="Times New Roman" w:cs="Times New Roman"/>
              </w:rPr>
              <w:lastRenderedPageBreak/>
              <w:t>traditional standard surgery) and bilateral inguinal lymphadenectomy to ensure thorough clearance of potential metastatic risk.</w:t>
            </w:r>
          </w:p>
        </w:tc>
        <w:tc>
          <w:tcPr>
            <w:tcW w:w="1152" w:type="dxa"/>
            <w:vAlign w:val="center"/>
          </w:tcPr>
          <w:p w14:paraId="4CD50C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5FDE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ECEA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51853C" w14:textId="77777777">
        <w:tc>
          <w:tcPr>
            <w:tcW w:w="2160" w:type="dxa"/>
            <w:vAlign w:val="center"/>
          </w:tcPr>
          <w:p w14:paraId="1E0F9A26"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79966DD" w14:textId="77777777" w:rsidR="00922249" w:rsidRPr="00CB2EC4" w:rsidRDefault="003011D5">
            <w:pPr>
              <w:rPr>
                <w:rFonts w:ascii="Times New Roman" w:hAnsi="Times New Roman" w:cs="Times New Roman"/>
              </w:rPr>
            </w:pPr>
            <w:r w:rsidRPr="00CB2EC4">
              <w:rPr>
                <w:rFonts w:ascii="Times New Roman" w:hAnsi="Times New Roman" w:cs="Times New Roman"/>
              </w:rPr>
              <w:t>for a stage I vulvar cancer patient with a tumor diameter ≤ 2 cm, lesion confined to one side of the labia majora, but postoperative histopathological examination showing vascular or lymphatic space involvement, the surgical procedure to be performed is:</w:t>
            </w:r>
            <w:r w:rsidRPr="00CB2EC4">
              <w:rPr>
                <w:rFonts w:ascii="Times New Roman" w:hAnsi="Times New Roman" w:cs="Times New Roman"/>
              </w:rPr>
              <w:br/>
            </w:r>
            <w:r w:rsidRPr="00CB2EC4">
              <w:rPr>
                <w:rFonts w:ascii="Times New Roman" w:hAnsi="Times New Roman" w:cs="Times New Roman"/>
              </w:rPr>
              <w:br/>
              <w:t>radical vulvectomy and bilateral inguinal lymph node dissection (pelvic lymph node dissection may also be performed depending on the specific circumstances).</w:t>
            </w:r>
            <w:r w:rsidRPr="00CB2EC4">
              <w:rPr>
                <w:rFonts w:ascii="Times New Roman" w:hAnsi="Times New Roman" w:cs="Times New Roman"/>
              </w:rPr>
              <w:br/>
            </w:r>
            <w:r w:rsidRPr="00CB2EC4">
              <w:rPr>
                <w:rFonts w:ascii="Times New Roman" w:hAnsi="Times New Roman" w:cs="Times New Roman"/>
              </w:rPr>
              <w:br/>
              <w:t>this is because vascular or lymphatic invasion significantly increases the risk of lymph node metastasis, necessitating an expanded surgical scope to reduce recurrence rates.</w:t>
            </w:r>
            <w:r w:rsidRPr="00CB2EC4">
              <w:rPr>
                <w:rFonts w:ascii="Times New Roman" w:hAnsi="Times New Roman" w:cs="Times New Roman"/>
              </w:rPr>
              <w:br/>
            </w:r>
            <w:r w:rsidRPr="00CB2EC4">
              <w:rPr>
                <w:rFonts w:ascii="Times New Roman" w:hAnsi="Times New Roman" w:cs="Times New Roman"/>
              </w:rPr>
              <w:br/>
              <w:t>answer: radical vulvectomy and bilateral inguinal lymph node dissection should be performed for this patient.</w:t>
            </w:r>
          </w:p>
        </w:tc>
        <w:tc>
          <w:tcPr>
            <w:tcW w:w="1152" w:type="dxa"/>
            <w:vAlign w:val="center"/>
          </w:tcPr>
          <w:p w14:paraId="330C1B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9845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B55A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123ED4" w14:textId="77777777">
        <w:tc>
          <w:tcPr>
            <w:tcW w:w="2160" w:type="dxa"/>
            <w:vAlign w:val="center"/>
          </w:tcPr>
          <w:p w14:paraId="0070FF34"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9FB2E68" w14:textId="77777777" w:rsidR="00922249" w:rsidRPr="00CB2EC4" w:rsidRDefault="003011D5">
            <w:pPr>
              <w:rPr>
                <w:rFonts w:ascii="Times New Roman" w:hAnsi="Times New Roman" w:cs="Times New Roman"/>
              </w:rPr>
            </w:pPr>
            <w:r w:rsidRPr="00CB2EC4">
              <w:rPr>
                <w:rFonts w:ascii="Times New Roman" w:hAnsi="Times New Roman" w:cs="Times New Roman"/>
              </w:rPr>
              <w:t>for a stage I vulvar cancer patient with a tumor diameter ≤ 2 cm and the lesion confined to one labium majus, but postoperative histopathological examination reveals involvement of vascular or lymphatic spaces, the appropriate surgical procedure is:</w:t>
            </w:r>
            <w:r w:rsidRPr="00CB2EC4">
              <w:rPr>
                <w:rFonts w:ascii="Times New Roman" w:hAnsi="Times New Roman" w:cs="Times New Roman"/>
              </w:rPr>
              <w:br/>
            </w:r>
            <w:r w:rsidRPr="00CB2EC4">
              <w:rPr>
                <w:rFonts w:ascii="Times New Roman" w:hAnsi="Times New Roman" w:cs="Times New Roman"/>
              </w:rPr>
              <w:br/>
              <w:t>radical vulvectomy and bilateral inguinal lymph node dissection to reduce the risk of recurrence.</w:t>
            </w:r>
            <w:r w:rsidRPr="00CB2EC4">
              <w:rPr>
                <w:rFonts w:ascii="Times New Roman" w:hAnsi="Times New Roman" w:cs="Times New Roman"/>
              </w:rPr>
              <w:br/>
            </w:r>
            <w:r w:rsidRPr="00CB2EC4">
              <w:rPr>
                <w:rFonts w:ascii="Times New Roman" w:hAnsi="Times New Roman" w:cs="Times New Roman"/>
              </w:rPr>
              <w:br/>
              <w:t xml:space="preserve">(as per context segment 2 [original block 402-404]: "If </w:t>
            </w:r>
            <w:r w:rsidRPr="00CB2EC4">
              <w:rPr>
                <w:rFonts w:ascii="Times New Roman" w:hAnsi="Times New Roman" w:cs="Times New Roman"/>
              </w:rPr>
              <w:lastRenderedPageBreak/>
              <w:t>vascular or lymphatic space involvement is present, a radical vulvectomy plus bilateral inguinal lymph node dissection should be performed." Segment 1 [original block 391-393] also supports that vascular or lymphatic involvement is an indication for expanded surgical scope.)</w:t>
            </w:r>
          </w:p>
        </w:tc>
        <w:tc>
          <w:tcPr>
            <w:tcW w:w="1152" w:type="dxa"/>
            <w:vAlign w:val="center"/>
          </w:tcPr>
          <w:p w14:paraId="04300E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2A22A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3811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A119C9" w14:textId="77777777">
        <w:tc>
          <w:tcPr>
            <w:tcW w:w="2160" w:type="dxa"/>
            <w:vAlign w:val="center"/>
          </w:tcPr>
          <w:p w14:paraId="030101F1"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8B4337F" w14:textId="77777777" w:rsidR="00922249" w:rsidRPr="00CB2EC4" w:rsidRDefault="003011D5">
            <w:pPr>
              <w:rPr>
                <w:rFonts w:ascii="Times New Roman" w:hAnsi="Times New Roman" w:cs="Times New Roman"/>
              </w:rPr>
            </w:pPr>
            <w:r w:rsidRPr="00CB2EC4">
              <w:rPr>
                <w:rFonts w:ascii="Times New Roman" w:hAnsi="Times New Roman" w:cs="Times New Roman"/>
              </w:rPr>
              <w:t>for a patient with stage I vulvar cancer, tumor diameter ≤2 cm, lesion confined to one side of the labia majora, but postoperative histopathological examination reveals involvement of vascular or lymphatic spaces, then a bilateral inguinal lymphadenectomy should be performed for this patient. The presence of lymphovascular space invasion (LVSI) indicates an increased risk of lymph node metastasis, thus necessitating an expanded lymph node dissection to reduce the risk of recurrence.</w:t>
            </w:r>
          </w:p>
        </w:tc>
        <w:tc>
          <w:tcPr>
            <w:tcW w:w="1152" w:type="dxa"/>
            <w:vAlign w:val="center"/>
          </w:tcPr>
          <w:p w14:paraId="14286A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D9524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DA1F0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441487C" w14:textId="77777777">
        <w:tc>
          <w:tcPr>
            <w:tcW w:w="10656" w:type="dxa"/>
            <w:gridSpan w:val="5"/>
            <w:tcBorders>
              <w:bottom w:val="single" w:sz="6" w:space="0" w:color="auto"/>
            </w:tcBorders>
            <w:vAlign w:val="center"/>
          </w:tcPr>
          <w:p w14:paraId="7766F7E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148: In inguinal lymphadenectomy, what is the difference in patient indications for using separate incisions versus a single incision?</w:t>
            </w:r>
          </w:p>
        </w:tc>
      </w:tr>
      <w:tr w:rsidR="00922249" w:rsidRPr="00CB2EC4" w14:paraId="7C208CE3" w14:textId="77777777">
        <w:tc>
          <w:tcPr>
            <w:tcW w:w="2160" w:type="dxa"/>
            <w:vAlign w:val="center"/>
          </w:tcPr>
          <w:p w14:paraId="1786A8B9"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403755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inguinal lymph node dissection, the differences in patient populations suitable for separate incisions versus single incisions are as follows:  </w:t>
            </w:r>
            <w:r w:rsidRPr="00CB2EC4">
              <w:rPr>
                <w:rFonts w:ascii="Times New Roman" w:hAnsi="Times New Roman" w:cs="Times New Roman"/>
              </w:rPr>
              <w:br/>
              <w:t xml:space="preserve">- **Separate incisions**: Suitable for lesions located laterally in the vulva and posteriorly in the perineal body, as well as for smaller anterior vulvar carcinomas without clinical evidence of inguinal lymph node metastasis. This approach preserves more of the skin bridge between the perineal body and the inguinal incision, resulting in a lower postoperative complication rate (e.g., infection or lymphedema). However, it has a higher failure rate in cases of locally advanced vulvar cancer with extensive infiltration (source: [similarity: 0.545 [expansion:3 blocks, </w:t>
            </w:r>
            <w:r w:rsidRPr="00CB2EC4">
              <w:rPr>
                <w:rFonts w:ascii="Times New Roman" w:hAnsi="Times New Roman" w:cs="Times New Roman"/>
              </w:rPr>
              <w:lastRenderedPageBreak/>
              <w:t xml:space="preserve">range:408-410]]).  </w:t>
            </w:r>
            <w:r w:rsidRPr="00CB2EC4">
              <w:rPr>
                <w:rFonts w:ascii="Times New Roman" w:hAnsi="Times New Roman" w:cs="Times New Roman"/>
              </w:rPr>
              <w:br/>
              <w:t xml:space="preserve">- **Single incision**: Suitable for patients with locally extensive infiltration, particularly those with widespread involvement in the anterior perineum. This approach allows for a more thorough surgical resection and more complete lymph node clearance, but is associated with a higher postoperative complication rate (source: [similarity: 0.545 [expansion:3 blocks, range:408-410]]).  </w:t>
            </w:r>
            <w:r w:rsidRPr="00CB2EC4">
              <w:rPr>
                <w:rFonts w:ascii="Times New Roman" w:hAnsi="Times New Roman" w:cs="Times New Roman"/>
              </w:rPr>
              <w:br/>
              <w:t>Summary: Separate incisions are preferred for smaller, low-risk lesions to minimize complications; single incisions are used for high-risk, extensively infiltrative lesions to ensure surgical completeness.</w:t>
            </w:r>
          </w:p>
        </w:tc>
        <w:tc>
          <w:tcPr>
            <w:tcW w:w="1152" w:type="dxa"/>
            <w:vAlign w:val="center"/>
          </w:tcPr>
          <w:p w14:paraId="33BA0E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3BB16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530C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2273C0A" w14:textId="77777777">
        <w:tc>
          <w:tcPr>
            <w:tcW w:w="2160" w:type="dxa"/>
            <w:vAlign w:val="center"/>
          </w:tcPr>
          <w:p w14:paraId="07C9D92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59D5EC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Split incision: Suitable for patients with lesions on the lateral vulva or posterior perineal body and no clinical evidence of inguinal lymph node metastasis.  </w:t>
            </w:r>
            <w:r w:rsidRPr="00CB2EC4">
              <w:rPr>
                <w:rFonts w:ascii="Times New Roman" w:hAnsi="Times New Roman" w:cs="Times New Roman"/>
              </w:rPr>
              <w:br/>
              <w:t xml:space="preserve">- Single incision: Suitable for patients with locally extensive infiltration, especially extensive infiltration in the anterior perineal region.  </w:t>
            </w:r>
            <w:r w:rsidRPr="00CB2EC4">
              <w:rPr>
                <w:rFonts w:ascii="Times New Roman" w:hAnsi="Times New Roman" w:cs="Times New Roman"/>
              </w:rPr>
              <w:br/>
              <w:t xml:space="preserve">Basis:  </w:t>
            </w:r>
            <w:r w:rsidRPr="00CB2EC4">
              <w:rPr>
                <w:rFonts w:ascii="Times New Roman" w:hAnsi="Times New Roman" w:cs="Times New Roman"/>
              </w:rPr>
              <w:br/>
              <w:t xml:space="preserve">- Document fragment 6 (block number 411) explicitly states: "Split incision can preserve more skin bridges and is suitable for lesions on the lateral vulva and posterior perineal body"; "Single incision is suitable for locally extensive infiltration, especially extensive infiltration in the anterior perineal region."  </w:t>
            </w:r>
            <w:r w:rsidRPr="00CB2EC4">
              <w:rPr>
                <w:rFonts w:ascii="Times New Roman" w:hAnsi="Times New Roman" w:cs="Times New Roman"/>
              </w:rPr>
              <w:br/>
              <w:t>- Fragment 6 also notes that the single incision procedure is more radical but carries a higher risk of postoperative complications (e.g., infection).</w:t>
            </w:r>
          </w:p>
        </w:tc>
        <w:tc>
          <w:tcPr>
            <w:tcW w:w="1152" w:type="dxa"/>
            <w:vAlign w:val="center"/>
          </w:tcPr>
          <w:p w14:paraId="614AB4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0C4C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E1B6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D6E259" w14:textId="77777777">
        <w:tc>
          <w:tcPr>
            <w:tcW w:w="2160" w:type="dxa"/>
            <w:vAlign w:val="center"/>
          </w:tcPr>
          <w:p w14:paraId="26371C68"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B49944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inguinal lymph node dissection, the differences in the applicable populations between the separate incision and the single incision are as follows:  </w:t>
            </w:r>
            <w:r w:rsidRPr="00CB2EC4">
              <w:rPr>
                <w:rFonts w:ascii="Times New Roman" w:hAnsi="Times New Roman" w:cs="Times New Roman"/>
              </w:rPr>
              <w:br/>
              <w:t xml:space="preserve">- Separate incision: Suitable for lesions located on the </w:t>
            </w:r>
            <w:r w:rsidRPr="00CB2EC4">
              <w:rPr>
                <w:rFonts w:ascii="Times New Roman" w:hAnsi="Times New Roman" w:cs="Times New Roman"/>
              </w:rPr>
              <w:lastRenderedPageBreak/>
              <w:t xml:space="preserve">lateral vulva and posterior perineal body, as well as for smaller anterior vulvar cancers without clinically evident inguinal lymph node metastasis. The advantage is that it preserves more of the skin bridge between the perineal body and the inguinal incision, resulting in lower postoperative morbidity; however, it has a higher failure rate in cases of vulvar cancer with extensive local infiltration.  </w:t>
            </w:r>
            <w:r w:rsidRPr="00CB2EC4">
              <w:rPr>
                <w:rFonts w:ascii="Times New Roman" w:hAnsi="Times New Roman" w:cs="Times New Roman"/>
              </w:rPr>
              <w:br/>
              <w:t>- Single incision: Suitable for patients with extensive local infiltration, especially those with widespread infiltration in the anterior perineal region. The advantage is a more radical surgical approach; however, it has higher postoperative morbidity compared to the separate incision.</w:t>
            </w:r>
          </w:p>
        </w:tc>
        <w:tc>
          <w:tcPr>
            <w:tcW w:w="1152" w:type="dxa"/>
            <w:vAlign w:val="center"/>
          </w:tcPr>
          <w:p w14:paraId="40CA41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3096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07C9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D9849A8" w14:textId="77777777">
        <w:tc>
          <w:tcPr>
            <w:tcW w:w="2160" w:type="dxa"/>
            <w:vAlign w:val="center"/>
          </w:tcPr>
          <w:p w14:paraId="6CB62E5F"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41DDBA3" w14:textId="77777777" w:rsidR="00922249" w:rsidRPr="00CB2EC4" w:rsidRDefault="003011D5">
            <w:pPr>
              <w:rPr>
                <w:rFonts w:ascii="Times New Roman" w:hAnsi="Times New Roman" w:cs="Times New Roman"/>
              </w:rPr>
            </w:pPr>
            <w:r w:rsidRPr="00CB2EC4">
              <w:rPr>
                <w:rFonts w:ascii="Times New Roman" w:hAnsi="Times New Roman" w:cs="Times New Roman"/>
              </w:rPr>
              <w:t>In inguinal lymph node dissection, the differences in patient populations suitable for separate incisions versus single incisions are primarily based on tumor location, size, and extent of infiltration:</w:t>
            </w:r>
            <w:r w:rsidRPr="00CB2EC4">
              <w:rPr>
                <w:rFonts w:ascii="Times New Roman" w:hAnsi="Times New Roman" w:cs="Times New Roman"/>
              </w:rPr>
              <w:br/>
              <w:t>- Separate incisions (e.g., bilateral inguinal curved incisions):</w:t>
            </w:r>
            <w:r w:rsidRPr="00CB2EC4">
              <w:rPr>
                <w:rFonts w:ascii="Times New Roman" w:hAnsi="Times New Roman" w:cs="Times New Roman"/>
              </w:rPr>
              <w:br/>
              <w:t xml:space="preserve">  - Suitable population: Patients with lesions located laterally on the vulva or posteriorly on the perineal body, as well as those with small anterior vulvar cancers (clinically without signs of inguinal lymph node metastasis).</w:t>
            </w:r>
            <w:r w:rsidRPr="00CB2EC4">
              <w:rPr>
                <w:rFonts w:ascii="Times New Roman" w:hAnsi="Times New Roman" w:cs="Times New Roman"/>
              </w:rPr>
              <w:br/>
              <w:t xml:space="preserve">  - Advantages: Preserves the skin bridge between the perineal body and the inguinal incisions, resulting in a lower incidence of postoperative complications (e.g., infection, wound dehiscence).</w:t>
            </w:r>
            <w:r w:rsidRPr="00CB2EC4">
              <w:rPr>
                <w:rFonts w:ascii="Times New Roman" w:hAnsi="Times New Roman" w:cs="Times New Roman"/>
              </w:rPr>
              <w:br/>
              <w:t xml:space="preserve">  - Disadvantages: Higher failure rate for tumors with extensive local infiltration.</w:t>
            </w:r>
            <w:r w:rsidRPr="00CB2EC4">
              <w:rPr>
                <w:rFonts w:ascii="Times New Roman" w:hAnsi="Times New Roman" w:cs="Times New Roman"/>
              </w:rPr>
              <w:br/>
              <w:t>- Single incision (e.g., butterfly incision or lower abdominal curved incision):</w:t>
            </w:r>
            <w:r w:rsidRPr="00CB2EC4">
              <w:rPr>
                <w:rFonts w:ascii="Times New Roman" w:hAnsi="Times New Roman" w:cs="Times New Roman"/>
              </w:rPr>
              <w:br/>
              <w:t xml:space="preserve">  - Suitable population: Patients with extensive local </w:t>
            </w:r>
            <w:r w:rsidRPr="00CB2EC4">
              <w:rPr>
                <w:rFonts w:ascii="Times New Roman" w:hAnsi="Times New Roman" w:cs="Times New Roman"/>
              </w:rPr>
              <w:lastRenderedPageBreak/>
              <w:t>infiltration, especially those with widespread anterior perineal infiltration or advanced tumors (e.g., stage III–IV).</w:t>
            </w:r>
            <w:r w:rsidRPr="00CB2EC4">
              <w:rPr>
                <w:rFonts w:ascii="Times New Roman" w:hAnsi="Times New Roman" w:cs="Times New Roman"/>
              </w:rPr>
              <w:br/>
              <w:t xml:space="preserve">  - Advantages: More radical surgery, suitable for wide resection.</w:t>
            </w:r>
            <w:r w:rsidRPr="00CB2EC4">
              <w:rPr>
                <w:rFonts w:ascii="Times New Roman" w:hAnsi="Times New Roman" w:cs="Times New Roman"/>
              </w:rPr>
              <w:br/>
              <w:t xml:space="preserve">  - Disadvantages: Higher incidence of postoperative complications (e.g., poor wound healing, lymphedema).</w:t>
            </w:r>
            <w:r w:rsidRPr="00CB2EC4">
              <w:rPr>
                <w:rFonts w:ascii="Times New Roman" w:hAnsi="Times New Roman" w:cs="Times New Roman"/>
              </w:rPr>
              <w:br/>
              <w:t>- Information sources:</w:t>
            </w:r>
            <w:r w:rsidRPr="00CB2EC4">
              <w:rPr>
                <w:rFonts w:ascii="Times New Roman" w:hAnsi="Times New Roman" w:cs="Times New Roman"/>
              </w:rPr>
              <w:br/>
              <w:t xml:space="preserve">  - Knowledge base document: Details incision selection (e.g., "Separate incisions preserve more of the skin bridge, have lower postoperative morbidity, and are mostly applied to lesions on the lateral vulva and posterior perineal body, as well as small anterior vulvar cancers; single incisions are suitable for patients with extensive local infiltration, especially anterior perineal infiltration, offering more radical surgery but higher postoperative morbidity").</w:t>
            </w:r>
            <w:r w:rsidRPr="00CB2EC4">
              <w:rPr>
                <w:rFonts w:ascii="Times New Roman" w:hAnsi="Times New Roman" w:cs="Times New Roman"/>
              </w:rPr>
              <w:br/>
              <w:t xml:space="preserve">  - Web search results: Provide specific examples of incision types (e.g., direct or curved inguinal incisions) and emphasize that separate incisions are used for small lesions without metastasis, while single incisions are used for infiltrative lesions (e.g., "Separate incisions are used to preserve the skin bridge; single incisions are used for extensive infiltration").</w:t>
            </w:r>
            <w:r w:rsidRPr="00CB2EC4">
              <w:rPr>
                <w:rFonts w:ascii="Times New Roman" w:hAnsi="Times New Roman" w:cs="Times New Roman"/>
              </w:rPr>
              <w:br/>
              <w:t>- Integrated analysis: Both sources are consistent. The knowledge base document provides clinical indications, and the web search results add operative details.</w:t>
            </w:r>
          </w:p>
        </w:tc>
        <w:tc>
          <w:tcPr>
            <w:tcW w:w="1152" w:type="dxa"/>
            <w:vAlign w:val="center"/>
          </w:tcPr>
          <w:p w14:paraId="287FD0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A5DB3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ACDC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0C438F" w14:textId="77777777">
        <w:tc>
          <w:tcPr>
            <w:tcW w:w="2160" w:type="dxa"/>
            <w:vAlign w:val="center"/>
          </w:tcPr>
          <w:p w14:paraId="264E649C"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8767F7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groin lymph node dissection, the differences in applicable populations between the separate incision and the single incision are as follows:  </w:t>
            </w:r>
            <w:r w:rsidRPr="00CB2EC4">
              <w:rPr>
                <w:rFonts w:ascii="Times New Roman" w:hAnsi="Times New Roman" w:cs="Times New Roman"/>
              </w:rPr>
              <w:br/>
              <w:t xml:space="preserve">- Separate incision: Suitable for lesions located in the </w:t>
            </w:r>
            <w:r w:rsidRPr="00CB2EC4">
              <w:rPr>
                <w:rFonts w:ascii="Times New Roman" w:hAnsi="Times New Roman" w:cs="Times New Roman"/>
              </w:rPr>
              <w:lastRenderedPageBreak/>
              <w:t xml:space="preserve">lateral vulva and posterior perineal body, as well as smaller anterior vulvar cancers without clinical inguinal lymph node metastasis. Advantages include greater preservation of the perineal body and skin bridges between the vulvar and inguinal incisions, resulting in lower postoperative morbidity; disadvantage is a higher failure rate in cases of locally extensive infiltration.  </w:t>
            </w:r>
            <w:r w:rsidRPr="00CB2EC4">
              <w:rPr>
                <w:rFonts w:ascii="Times New Roman" w:hAnsi="Times New Roman" w:cs="Times New Roman"/>
              </w:rPr>
              <w:br/>
              <w:t>- Single incision: Suitable for patients with locally extensive infiltration, especially those with extensive infiltration in the anterior perineal body. Advantage is more radical surgery with wider resection of the lesion; disadvantage is higher postoperative morbidity (e.g., wound healing complications).</w:t>
            </w:r>
          </w:p>
        </w:tc>
        <w:tc>
          <w:tcPr>
            <w:tcW w:w="1152" w:type="dxa"/>
            <w:vAlign w:val="center"/>
          </w:tcPr>
          <w:p w14:paraId="650443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F9504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E263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9A23BC" w14:textId="77777777">
        <w:tc>
          <w:tcPr>
            <w:tcW w:w="2160" w:type="dxa"/>
            <w:vAlign w:val="center"/>
          </w:tcPr>
          <w:p w14:paraId="2B886FF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C3BEDE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differences in the applicable populations for the separate incision and the single incision in inguinal lymph node dissection are as follows:  </w:t>
            </w:r>
            <w:r w:rsidRPr="00CB2EC4">
              <w:rPr>
                <w:rFonts w:ascii="Times New Roman" w:hAnsi="Times New Roman" w:cs="Times New Roman"/>
              </w:rPr>
              <w:br/>
              <w:t xml:space="preserve">- Separate incision: Suitable for lesions located laterally in the vulva and posteriorly in the perineal body, as well as for smaller anterior vulvar cancers (in patients without clinical evidence of inguinal lymph node metastasis). This incision preserves more of the skin bridge between the perineal body and the inguinal incision, resulting in a lower incidence of postoperative complications (such as infection and wound dehiscence). However, the disadvantage is a higher failure rate in cases of vulvar cancer with extensive local infiltration.  </w:t>
            </w:r>
            <w:r w:rsidRPr="00CB2EC4">
              <w:rPr>
                <w:rFonts w:ascii="Times New Roman" w:hAnsi="Times New Roman" w:cs="Times New Roman"/>
              </w:rPr>
              <w:br/>
              <w:t xml:space="preserve">- Single incision: Suitable for patients with extensive local infiltration, especially those with widespread infiltration in the anterior perineum. This incision allows for a more radical surgical approach and wider tissue resection, but has a higher rate of postoperative complications (such as morbidity) compared to the </w:t>
            </w:r>
            <w:r w:rsidRPr="00CB2EC4">
              <w:rPr>
                <w:rFonts w:ascii="Times New Roman" w:hAnsi="Times New Roman" w:cs="Times New Roman"/>
              </w:rPr>
              <w:lastRenderedPageBreak/>
              <w:t xml:space="preserve">separate incision.  </w:t>
            </w:r>
            <w:r w:rsidRPr="00CB2EC4">
              <w:rPr>
                <w:rFonts w:ascii="Times New Roman" w:hAnsi="Times New Roman" w:cs="Times New Roman"/>
              </w:rPr>
              <w:br/>
              <w:t xml:space="preserve">The choice of surgical approach must comprehensively consider tumor size, distribution, and degree of infiltration.  </w:t>
            </w:r>
            <w:r w:rsidRPr="00CB2EC4">
              <w:rPr>
                <w:rFonts w:ascii="Times New Roman" w:hAnsi="Times New Roman" w:cs="Times New Roman"/>
              </w:rPr>
              <w:br/>
              <w:t>(Reference: Document 6 states in detail: "The separate incision preserves more of the skin bridge between the perineal body and the inguinal incision, with a lower postoperative morbidity rate. It is mainly applied to lesions located laterally in the vulva and posteriorly in the perineal body, as well as to smaller anterior vulvar cancers without clinical evidence of inguinal lymph node metastasis. However, the failure rate is higher in vulvar cancer with extensive local infiltration. The single incision is suitable for patients with extensive local infiltration, especially those with widespread infiltration in the anterior perineum; the surgery is more radical, but the postoperative morbidity rate is higher than that of the separate incision.")</w:t>
            </w:r>
          </w:p>
        </w:tc>
        <w:tc>
          <w:tcPr>
            <w:tcW w:w="1152" w:type="dxa"/>
            <w:vAlign w:val="center"/>
          </w:tcPr>
          <w:p w14:paraId="1221EC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A86CF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C466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309335" w14:textId="77777777">
        <w:tc>
          <w:tcPr>
            <w:tcW w:w="2160" w:type="dxa"/>
            <w:vAlign w:val="center"/>
          </w:tcPr>
          <w:p w14:paraId="5959CFB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5829950" w14:textId="77777777" w:rsidR="00922249" w:rsidRPr="00CB2EC4" w:rsidRDefault="003011D5">
            <w:pPr>
              <w:rPr>
                <w:rFonts w:ascii="Times New Roman" w:hAnsi="Times New Roman" w:cs="Times New Roman"/>
              </w:rPr>
            </w:pPr>
            <w:r w:rsidRPr="00CB2EC4">
              <w:rPr>
                <w:rFonts w:ascii="Times New Roman" w:hAnsi="Times New Roman" w:cs="Times New Roman"/>
              </w:rPr>
              <w:t>In inguinal lymph node dissection, the differences in applicable patient populations between the separate incision and single incision approaches are as follows:</w:t>
            </w:r>
            <w:r w:rsidRPr="00CB2EC4">
              <w:rPr>
                <w:rFonts w:ascii="Times New Roman" w:hAnsi="Times New Roman" w:cs="Times New Roman"/>
              </w:rPr>
              <w:br/>
            </w:r>
            <w:r w:rsidRPr="00CB2EC4">
              <w:rPr>
                <w:rFonts w:ascii="Times New Roman" w:hAnsi="Times New Roman" w:cs="Times New Roman"/>
              </w:rPr>
              <w:br/>
              <w:t xml:space="preserve">Separate incision:  </w:t>
            </w:r>
            <w:r w:rsidRPr="00CB2EC4">
              <w:rPr>
                <w:rFonts w:ascii="Times New Roman" w:hAnsi="Times New Roman" w:cs="Times New Roman"/>
              </w:rPr>
              <w:br/>
              <w:t xml:space="preserve">Applicable to patients with lesions on the lateral vulva or posterior perineal body, or those with small anterior vulvar cancers and no clinical evidence of inguinal lymph node metastasis.  </w:t>
            </w:r>
            <w:r w:rsidRPr="00CB2EC4">
              <w:rPr>
                <w:rFonts w:ascii="Times New Roman" w:hAnsi="Times New Roman" w:cs="Times New Roman"/>
              </w:rPr>
              <w:br/>
              <w:t xml:space="preserve">Advantages: Preserves more skin bridges, resulting in lower postoperative complication rates (e.g., infection, lymphedema). However, the failure rate is higher when there is extensive local infiltration.  </w:t>
            </w:r>
            <w:r w:rsidRPr="00CB2EC4">
              <w:rPr>
                <w:rFonts w:ascii="Times New Roman" w:hAnsi="Times New Roman" w:cs="Times New Roman"/>
              </w:rPr>
              <w:br/>
              <w:t xml:space="preserve">- Single incision:  </w:t>
            </w:r>
            <w:r w:rsidRPr="00CB2EC4">
              <w:rPr>
                <w:rFonts w:ascii="Times New Roman" w:hAnsi="Times New Roman" w:cs="Times New Roman"/>
              </w:rPr>
              <w:br/>
              <w:t xml:space="preserve">Applicable to patients with extensive local infiltration, especially those with widespread anterior perineal </w:t>
            </w:r>
            <w:r w:rsidRPr="00CB2EC4">
              <w:rPr>
                <w:rFonts w:ascii="Times New Roman" w:hAnsi="Times New Roman" w:cs="Times New Roman"/>
              </w:rPr>
              <w:lastRenderedPageBreak/>
              <w:t xml:space="preserve">infiltration.  </w:t>
            </w:r>
            <w:r w:rsidRPr="00CB2EC4">
              <w:rPr>
                <w:rFonts w:ascii="Times New Roman" w:hAnsi="Times New Roman" w:cs="Times New Roman"/>
              </w:rPr>
              <w:br/>
              <w:t xml:space="preserve">Advantages: Allows for more thorough surgery, but is associated with higher postoperative complication rates (e.g., wound healing problems).  </w:t>
            </w:r>
            <w:r w:rsidRPr="00CB2EC4">
              <w:rPr>
                <w:rFonts w:ascii="Times New Roman" w:hAnsi="Times New Roman" w:cs="Times New Roman"/>
              </w:rPr>
              <w:br/>
              <w:t>The core distinction lies in the extent of tumor infiltration and the presence or absence of lymph node metastasis (Reference: [HyDE similarity: 0.539]).</w:t>
            </w:r>
          </w:p>
        </w:tc>
        <w:tc>
          <w:tcPr>
            <w:tcW w:w="1152" w:type="dxa"/>
            <w:vAlign w:val="center"/>
          </w:tcPr>
          <w:p w14:paraId="5E4079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77F7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6170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AB18D5" w14:textId="77777777">
        <w:tc>
          <w:tcPr>
            <w:tcW w:w="2160" w:type="dxa"/>
            <w:vAlign w:val="center"/>
          </w:tcPr>
          <w:p w14:paraId="328C16F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35A0335" w14:textId="77777777" w:rsidR="00922249" w:rsidRPr="00CB2EC4" w:rsidRDefault="003011D5">
            <w:pPr>
              <w:rPr>
                <w:rFonts w:ascii="Times New Roman" w:hAnsi="Times New Roman" w:cs="Times New Roman"/>
              </w:rPr>
            </w:pPr>
            <w:r w:rsidRPr="00CB2EC4">
              <w:rPr>
                <w:rFonts w:ascii="Times New Roman" w:hAnsi="Times New Roman" w:cs="Times New Roman"/>
              </w:rPr>
              <w:t>In inguinal lymph node dissection, the differences in the applicable populations between the separate incision and the single incision are as follows:</w:t>
            </w:r>
            <w:r w:rsidRPr="00CB2EC4">
              <w:rPr>
                <w:rFonts w:ascii="Times New Roman" w:hAnsi="Times New Roman" w:cs="Times New Roman"/>
              </w:rPr>
              <w:br/>
            </w:r>
            <w:r w:rsidRPr="00CB2EC4">
              <w:rPr>
                <w:rFonts w:ascii="Times New Roman" w:hAnsi="Times New Roman" w:cs="Times New Roman"/>
              </w:rPr>
              <w:br/>
              <w:t>As detailed in Document Fragment 5 (similarity: 0.564) and Fragment 8 (similarity: 0.540):</w:t>
            </w:r>
            <w:r w:rsidRPr="00CB2EC4">
              <w:rPr>
                <w:rFonts w:ascii="Times New Roman" w:hAnsi="Times New Roman" w:cs="Times New Roman"/>
              </w:rPr>
              <w:br/>
              <w:t>- Separate incision: Suitable for lesions located on the lateral vulva and posterior perineal body, as well as for smaller anterior vulvar cancers with no clinical evidence of inguinal lymph node metastasis (Fragment 8). This incision preserves more of the skin bridge between the perineal body and the inguinal incision, resulting in a lower incidence of postoperative complications (such as infection or dehiscence). However, the document notes that the failure rate of the separate incision is higher in cases of vulvar cancer with extensive local infiltration.</w:t>
            </w:r>
            <w:r w:rsidRPr="00CB2EC4">
              <w:rPr>
                <w:rFonts w:ascii="Times New Roman" w:hAnsi="Times New Roman" w:cs="Times New Roman"/>
              </w:rPr>
              <w:br/>
              <w:t>- Single incision: Suitable for patients with extensive local infiltration, especially those with widespread involvement in the anterior perineum (Fragment 5 and Fragment 8). This incision allows for a more thorough surgical procedure and more complete resection of the lesion and lymph nodes, but the postoperative complication rate (such as morbidity) is higher than with the separate incision.</w:t>
            </w:r>
            <w:r w:rsidRPr="00CB2EC4">
              <w:rPr>
                <w:rFonts w:ascii="Times New Roman" w:hAnsi="Times New Roman" w:cs="Times New Roman"/>
              </w:rPr>
              <w:br/>
              <w:t xml:space="preserve">Summary: The separate incision is more appropriate for cases with localized lesions and no lymph node </w:t>
            </w:r>
            <w:r w:rsidRPr="00CB2EC4">
              <w:rPr>
                <w:rFonts w:ascii="Times New Roman" w:hAnsi="Times New Roman" w:cs="Times New Roman"/>
              </w:rPr>
              <w:lastRenderedPageBreak/>
              <w:t>metastasis to reduce postoperative risk; the single incision is used for cases with extensive infiltration to achieve greater surgical completeness, albeit with a higher risk of complications.</w:t>
            </w:r>
          </w:p>
        </w:tc>
        <w:tc>
          <w:tcPr>
            <w:tcW w:w="1152" w:type="dxa"/>
            <w:vAlign w:val="center"/>
          </w:tcPr>
          <w:p w14:paraId="6F39DD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9EB8C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8050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395C09" w14:textId="77777777">
        <w:tc>
          <w:tcPr>
            <w:tcW w:w="2160" w:type="dxa"/>
            <w:vAlign w:val="center"/>
          </w:tcPr>
          <w:p w14:paraId="7BE4889B"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9598B5D" w14:textId="77777777" w:rsidR="00922249" w:rsidRPr="00CB2EC4" w:rsidRDefault="003011D5">
            <w:pPr>
              <w:rPr>
                <w:rFonts w:ascii="Times New Roman" w:hAnsi="Times New Roman" w:cs="Times New Roman"/>
              </w:rPr>
            </w:pPr>
            <w:r w:rsidRPr="00CB2EC4">
              <w:rPr>
                <w:rFonts w:ascii="Times New Roman" w:hAnsi="Times New Roman" w:cs="Times New Roman"/>
              </w:rPr>
              <w:t>In inguinal lymph node dissection, the differences in patient populations suitable for separate incisions versus single incisions are as follows:</w:t>
            </w:r>
            <w:r w:rsidRPr="00CB2EC4">
              <w:rPr>
                <w:rFonts w:ascii="Times New Roman" w:hAnsi="Times New Roman" w:cs="Times New Roman"/>
              </w:rPr>
              <w:br/>
            </w:r>
            <w:r w:rsidRPr="00CB2EC4">
              <w:rPr>
                <w:rFonts w:ascii="Times New Roman" w:hAnsi="Times New Roman" w:cs="Times New Roman"/>
              </w:rPr>
              <w:br/>
              <w:t>- **Separate incision**: Applicable to patients with localized lesions and no extensive infiltration, such as those with "lesions on the lateral vulva and posterior perineal body, as well as smaller anterior vulvar cancers without clinical evidence of inguinal lymph node metastasis." Its advantage is preserving skin bridges, resulting in fewer postoperative complications (Segment 6).</w:t>
            </w:r>
            <w:r w:rsidRPr="00CB2EC4">
              <w:rPr>
                <w:rFonts w:ascii="Times New Roman" w:hAnsi="Times New Roman" w:cs="Times New Roman"/>
              </w:rPr>
              <w:br/>
              <w:t>- **Single incision**: Applicable to cases with extensive local infiltration, particularly "patients with widespread infiltration in the anterior perineal region." The surgery is more radical, but the risk of postoperative complications is higher (Segment 6).</w:t>
            </w:r>
            <w:r w:rsidRPr="00CB2EC4">
              <w:rPr>
                <w:rFonts w:ascii="Times New Roman" w:hAnsi="Times New Roman" w:cs="Times New Roman"/>
              </w:rPr>
              <w:br/>
            </w:r>
            <w:r w:rsidRPr="00CB2EC4">
              <w:rPr>
                <w:rFonts w:ascii="Times New Roman" w:hAnsi="Times New Roman" w:cs="Times New Roman"/>
              </w:rPr>
              <w:br/>
              <w:t>Summary of differences: Separate incisions are used for localized disease to reduce complications; single incisions are used for extensive infiltration to ensure radical resection.</w:t>
            </w:r>
          </w:p>
        </w:tc>
        <w:tc>
          <w:tcPr>
            <w:tcW w:w="1152" w:type="dxa"/>
            <w:vAlign w:val="center"/>
          </w:tcPr>
          <w:p w14:paraId="4B4415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F4CC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4CC5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10BBE7" w14:textId="77777777">
        <w:tc>
          <w:tcPr>
            <w:tcW w:w="2160" w:type="dxa"/>
            <w:vAlign w:val="center"/>
          </w:tcPr>
          <w:p w14:paraId="3A8C88EF"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C6E0421" w14:textId="77777777" w:rsidR="00922249" w:rsidRPr="00CB2EC4" w:rsidRDefault="003011D5">
            <w:pPr>
              <w:rPr>
                <w:rFonts w:ascii="Times New Roman" w:hAnsi="Times New Roman" w:cs="Times New Roman"/>
              </w:rPr>
            </w:pPr>
            <w:r w:rsidRPr="00CB2EC4">
              <w:rPr>
                <w:rFonts w:ascii="Times New Roman" w:hAnsi="Times New Roman" w:cs="Times New Roman"/>
              </w:rPr>
              <w:t>The differences in the applicable populations for the separate incision and single incision in inguinal lymphadenectomy are as follows:</w:t>
            </w:r>
            <w:r w:rsidRPr="00CB2EC4">
              <w:rPr>
                <w:rFonts w:ascii="Times New Roman" w:hAnsi="Times New Roman" w:cs="Times New Roman"/>
              </w:rPr>
              <w:br/>
            </w:r>
            <w:r w:rsidRPr="00CB2EC4">
              <w:rPr>
                <w:rFonts w:ascii="Times New Roman" w:hAnsi="Times New Roman" w:cs="Times New Roman"/>
              </w:rPr>
              <w:br/>
              <w:t xml:space="preserve">- **Separate incision**: Suitable for patients with lesions on the lateral vulva and posterior perineal body, as well as those with small anterior vulvar </w:t>
            </w:r>
            <w:r w:rsidRPr="00CB2EC4">
              <w:rPr>
                <w:rFonts w:ascii="Times New Roman" w:hAnsi="Times New Roman" w:cs="Times New Roman"/>
              </w:rPr>
              <w:lastRenderedPageBreak/>
              <w:t>cancers and no clinical evidence of inguinal lymph node metastasis. This incision preserves more skin bridges (the skin between the perineal body and the inguinal incision), resulting in a lower incidence of postoperative complications (such as infection or necrosis); however, it has a higher failure rate for cancers with extensive local infiltration (based on document fragment 5).</w:t>
            </w:r>
            <w:r w:rsidRPr="00CB2EC4">
              <w:rPr>
                <w:rFonts w:ascii="Times New Roman" w:hAnsi="Times New Roman" w:cs="Times New Roman"/>
              </w:rPr>
              <w:br/>
            </w:r>
            <w:r w:rsidRPr="00CB2EC4">
              <w:rPr>
                <w:rFonts w:ascii="Times New Roman" w:hAnsi="Times New Roman" w:cs="Times New Roman"/>
              </w:rPr>
              <w:br/>
              <w:t>- **Single incision**: Suitable for patients with extensive local infiltration, especially those with widespread infiltration in the anterior perineal region. This incision allows for a more radical surgical resection (facilitating wide excision), but is associated with a higher incidence of postoperative complications (such as wound dehiscence or infection) (based on document fragment 5).</w:t>
            </w:r>
          </w:p>
        </w:tc>
        <w:tc>
          <w:tcPr>
            <w:tcW w:w="1152" w:type="dxa"/>
            <w:vAlign w:val="center"/>
          </w:tcPr>
          <w:p w14:paraId="63A12E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8277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31A1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89BD52" w14:textId="77777777">
        <w:tc>
          <w:tcPr>
            <w:tcW w:w="2160" w:type="dxa"/>
            <w:vAlign w:val="center"/>
          </w:tcPr>
          <w:p w14:paraId="2105608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6555CE1" w14:textId="77777777" w:rsidR="00922249" w:rsidRPr="00CB2EC4" w:rsidRDefault="003011D5">
            <w:pPr>
              <w:rPr>
                <w:rFonts w:ascii="Times New Roman" w:hAnsi="Times New Roman" w:cs="Times New Roman"/>
              </w:rPr>
            </w:pPr>
            <w:r w:rsidRPr="00CB2EC4">
              <w:rPr>
                <w:rFonts w:ascii="Times New Roman" w:hAnsi="Times New Roman" w:cs="Times New Roman"/>
              </w:rPr>
              <w:t>In inguinal lymph node dissection, the differences in the applicable populations between the separate incision and the single incision are as follows:</w:t>
            </w:r>
            <w:r w:rsidRPr="00CB2EC4">
              <w:rPr>
                <w:rFonts w:ascii="Times New Roman" w:hAnsi="Times New Roman" w:cs="Times New Roman"/>
              </w:rPr>
              <w:br/>
            </w:r>
            <w:r w:rsidRPr="00CB2EC4">
              <w:rPr>
                <w:rFonts w:ascii="Times New Roman" w:hAnsi="Times New Roman" w:cs="Times New Roman"/>
              </w:rPr>
              <w:br/>
              <w:t xml:space="preserve">The separate incision is suitable for patients with lesions on the lateral vulva or posterior perineal body, and for those with small anterior vulvar cancer lesions without clinical inguinal lymph node metastasis;  </w:t>
            </w:r>
            <w:r w:rsidRPr="00CB2EC4">
              <w:rPr>
                <w:rFonts w:ascii="Times New Roman" w:hAnsi="Times New Roman" w:cs="Times New Roman"/>
              </w:rPr>
              <w:br/>
              <w:t xml:space="preserve">The single incision is suitable for patients with locally extensive infiltration, especially those with extensive infiltration in the anterior perineal region.  </w:t>
            </w:r>
            <w:r w:rsidRPr="00CB2EC4">
              <w:rPr>
                <w:rFonts w:ascii="Times New Roman" w:hAnsi="Times New Roman" w:cs="Times New Roman"/>
              </w:rPr>
              <w:br/>
              <w:t xml:space="preserve">- According to the source material (similarity: 0.535 segment):  </w:t>
            </w:r>
            <w:r w:rsidRPr="00CB2EC4">
              <w:rPr>
                <w:rFonts w:ascii="Times New Roman" w:hAnsi="Times New Roman" w:cs="Times New Roman"/>
              </w:rPr>
              <w:br/>
              <w:t xml:space="preserve">  - Separate incision: Mostly applied to "lesions on the lateral vulva and posterior perineal body, as well as small anterior vulvar cancer lesions without clinical inguinal lymph node metastasis." Its advantages </w:t>
            </w:r>
            <w:r w:rsidRPr="00CB2EC4">
              <w:rPr>
                <w:rFonts w:ascii="Times New Roman" w:hAnsi="Times New Roman" w:cs="Times New Roman"/>
              </w:rPr>
              <w:lastRenderedPageBreak/>
              <w:t xml:space="preserve">include "preserving more of the skin bridge between the perineal body and the inguinal incision, resulting in lower postoperative morbidity," but the disadvantage is "a higher failure rate in cases of locally extensive vulvar cancer infiltration."  </w:t>
            </w:r>
            <w:r w:rsidRPr="00CB2EC4">
              <w:rPr>
                <w:rFonts w:ascii="Times New Roman" w:hAnsi="Times New Roman" w:cs="Times New Roman"/>
              </w:rPr>
              <w:br/>
              <w:t xml:space="preserve">  - Single incision: Suitable for "patients with locally extensive infiltration, especially those with extensive infiltration in the anterior perineal region." Its advantage is "more thorough surgery," but the disadvantage is "higher postoperative morbidity compared to the former." Selection should consider "tumor size and distribution."</w:t>
            </w:r>
          </w:p>
        </w:tc>
        <w:tc>
          <w:tcPr>
            <w:tcW w:w="1152" w:type="dxa"/>
            <w:vAlign w:val="center"/>
          </w:tcPr>
          <w:p w14:paraId="73D920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BB7CC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2F6D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A94322" w14:textId="77777777">
        <w:tc>
          <w:tcPr>
            <w:tcW w:w="2160" w:type="dxa"/>
            <w:vAlign w:val="center"/>
          </w:tcPr>
          <w:p w14:paraId="4A30AE2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89522C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inguinal lymph node dissection, the differences in the applicable populations for separate incisions and single incisions are as follows:  </w:t>
            </w:r>
            <w:r w:rsidRPr="00CB2EC4">
              <w:rPr>
                <w:rFonts w:ascii="Times New Roman" w:hAnsi="Times New Roman" w:cs="Times New Roman"/>
              </w:rPr>
              <w:br/>
              <w:t xml:space="preserve">- Separate incision: Applicable to lesions located laterally in the vulva and posteriorly in the perineal body, as well as smaller anterior vulvar carcinomas without clinical evidence of inguinal lymph node metastasis. This incision preserves more skin bridges, resulting in a lower postoperative complication rate (such as infection or necrosis), but has a higher failure rate for lesions with extensive local infiltration.  </w:t>
            </w:r>
            <w:r w:rsidRPr="00CB2EC4">
              <w:rPr>
                <w:rFonts w:ascii="Times New Roman" w:hAnsi="Times New Roman" w:cs="Times New Roman"/>
              </w:rPr>
              <w:br/>
              <w:t xml:space="preserve">- Single incision: Applicable to patients with extensive local infiltration, especially those with widespread infiltration in the anterior perineum. This incision provides a more thorough surgical approach but is associated with a higher postoperative complication rate.  </w:t>
            </w:r>
            <w:r w:rsidRPr="00CB2EC4">
              <w:rPr>
                <w:rFonts w:ascii="Times New Roman" w:hAnsi="Times New Roman" w:cs="Times New Roman"/>
              </w:rPr>
              <w:br/>
              <w:t>Answer: Separate incision is suitable for smaller lesions without lymph node metastasis (e.g., lateral or posterior vulvar lesions); single incision is suitable for extensively infiltrating lesions (e.g., anterior perineal infiltration).</w:t>
            </w:r>
          </w:p>
        </w:tc>
        <w:tc>
          <w:tcPr>
            <w:tcW w:w="1152" w:type="dxa"/>
            <w:vAlign w:val="center"/>
          </w:tcPr>
          <w:p w14:paraId="1C64BA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5E80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69BD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EA91C6" w14:textId="77777777">
        <w:tc>
          <w:tcPr>
            <w:tcW w:w="2160" w:type="dxa"/>
            <w:vAlign w:val="center"/>
          </w:tcPr>
          <w:p w14:paraId="7E81551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42AAB9E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context of inguinal lymphadenectomy, the differences in patient populations suitable for separate incision versus single incision are as follows:  </w:t>
            </w:r>
            <w:r w:rsidRPr="00CB2EC4">
              <w:rPr>
                <w:rFonts w:ascii="Times New Roman" w:hAnsi="Times New Roman" w:cs="Times New Roman"/>
              </w:rPr>
              <w:br/>
              <w:t xml:space="preserve">- Separate incision: Suitable for lesions located laterally in the vulva and posteriorly in the perineal body, as well as for smaller anterior vulvar cancers with no clinical evidence of inguinal lymph node metastasis. Its advantages include preservation of skin bridges, resulting in a lower incidence of postoperative complications (such as infection or wound dehiscence), but it has a higher failure rate when there is extensive local infiltration.  </w:t>
            </w:r>
            <w:r w:rsidRPr="00CB2EC4">
              <w:rPr>
                <w:rFonts w:ascii="Times New Roman" w:hAnsi="Times New Roman" w:cs="Times New Roman"/>
              </w:rPr>
              <w:br/>
              <w:t xml:space="preserve">- Single incision: Suitable for patients with extensive local infiltration, particularly those with widespread involvement of the anterior perineum. Its advantage is a more thorough surgical resection with wider tumor excision, but it carries a higher incidence of postoperative complications.  </w:t>
            </w:r>
            <w:r w:rsidRPr="00CB2EC4">
              <w:rPr>
                <w:rFonts w:ascii="Times New Roman" w:hAnsi="Times New Roman" w:cs="Times New Roman"/>
              </w:rPr>
              <w:br/>
              <w:t>Answer: The separate incision is indicated for patients with localized disease (e.g., lateral vulva or posterior perineal body) and no lymph node metastasis to reduce postoperative complications; the single incision is indicated for patients with extensive local infiltration (especially anterior perineum) to achieve more complete resection, albeit with higher complication risk.</w:t>
            </w:r>
          </w:p>
        </w:tc>
        <w:tc>
          <w:tcPr>
            <w:tcW w:w="1152" w:type="dxa"/>
            <w:vAlign w:val="center"/>
          </w:tcPr>
          <w:p w14:paraId="2AAAF6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BADA1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1FF4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A5C883" w14:textId="77777777">
        <w:tc>
          <w:tcPr>
            <w:tcW w:w="2160" w:type="dxa"/>
            <w:vAlign w:val="center"/>
          </w:tcPr>
          <w:p w14:paraId="1CE70DD5"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70A60F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Separate Incision: Applicable to obese patients, those with a history of prior radiotherapy, or individuals at high risk for poor wound healing. This approach performs inguinal lymph node dissection and resection of the primary vulvar lesion through separate incisions, reducing the risk of wound infection, dehiscence, and lymphedema.  </w:t>
            </w:r>
            <w:r w:rsidRPr="00CB2EC4">
              <w:rPr>
                <w:rFonts w:ascii="Times New Roman" w:hAnsi="Times New Roman" w:cs="Times New Roman"/>
              </w:rPr>
              <w:br/>
              <w:t xml:space="preserve">- Single Incision: Suitable for non-obese patients with </w:t>
            </w:r>
            <w:r w:rsidRPr="00CB2EC4">
              <w:rPr>
                <w:rFonts w:ascii="Times New Roman" w:hAnsi="Times New Roman" w:cs="Times New Roman"/>
              </w:rPr>
              <w:lastRenderedPageBreak/>
              <w:t xml:space="preserve">low BMI, and cases where the tumor is small and the surgical extent is limited. This technique completes both vulvar resection and inguinal lymph node dissection via one continuous incision, simplifying the procedure but carrying a higher risk of complications.  </w:t>
            </w:r>
            <w:r w:rsidRPr="00CB2EC4">
              <w:rPr>
                <w:rFonts w:ascii="Times New Roman" w:hAnsi="Times New Roman" w:cs="Times New Roman"/>
              </w:rPr>
              <w:br/>
              <w:t>- The distinction is based on individual patient factors, including body weight, history of complications, and tumor characteristics.</w:t>
            </w:r>
          </w:p>
        </w:tc>
        <w:tc>
          <w:tcPr>
            <w:tcW w:w="1152" w:type="dxa"/>
            <w:vAlign w:val="center"/>
          </w:tcPr>
          <w:p w14:paraId="1437EE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0C3AD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DE343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3E21F7A" w14:textId="77777777">
        <w:tc>
          <w:tcPr>
            <w:tcW w:w="10656" w:type="dxa"/>
            <w:gridSpan w:val="5"/>
            <w:tcBorders>
              <w:bottom w:val="single" w:sz="6" w:space="0" w:color="auto"/>
            </w:tcBorders>
            <w:vAlign w:val="center"/>
          </w:tcPr>
          <w:p w14:paraId="2D0A015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149: What is the sequence for clearing the lymphofatty tissue from the common iliac vessels and the external iliac artery?</w:t>
            </w:r>
          </w:p>
        </w:tc>
      </w:tr>
      <w:tr w:rsidR="00922249" w:rsidRPr="00CB2EC4" w14:paraId="721AC310" w14:textId="77777777">
        <w:tc>
          <w:tcPr>
            <w:tcW w:w="2160" w:type="dxa"/>
            <w:vAlign w:val="center"/>
          </w:tcPr>
          <w:p w14:paraId="44DE76FE"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587C8DD" w14:textId="77777777" w:rsidR="00922249" w:rsidRPr="00CB2EC4" w:rsidRDefault="003011D5">
            <w:pPr>
              <w:rPr>
                <w:rFonts w:ascii="Times New Roman" w:hAnsi="Times New Roman" w:cs="Times New Roman"/>
              </w:rPr>
            </w:pPr>
            <w:r w:rsidRPr="00CB2EC4">
              <w:rPr>
                <w:rFonts w:ascii="Times New Roman" w:hAnsi="Times New Roman" w:cs="Times New Roman"/>
              </w:rPr>
              <w:t>the sequence for clearing lymphoid and adipose tissue from the common iliac vessels and external iliac artery is not specified in the provided document fragments. The context discusses indications for pelvic lymph node dissection (e.g., when inguinal lymph nodes are positive) and relevant anatomy (e.g., obturator, external iliac nodes), but does not detail the operative order for tissue clearance along these vessels.</w:t>
            </w:r>
          </w:p>
        </w:tc>
        <w:tc>
          <w:tcPr>
            <w:tcW w:w="1152" w:type="dxa"/>
            <w:vAlign w:val="center"/>
          </w:tcPr>
          <w:p w14:paraId="653190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99137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30CEE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8843FAA" w14:textId="77777777">
        <w:tc>
          <w:tcPr>
            <w:tcW w:w="2160" w:type="dxa"/>
            <w:vAlign w:val="center"/>
          </w:tcPr>
          <w:p w14:paraId="07BA20E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A8DA4A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order is:  </w:t>
            </w:r>
            <w:r w:rsidRPr="00CB2EC4">
              <w:rPr>
                <w:rFonts w:ascii="Times New Roman" w:hAnsi="Times New Roman" w:cs="Times New Roman"/>
              </w:rPr>
              <w:br/>
              <w:t xml:space="preserve">1. Common iliac lymph nodes (resection begins at the distal 2/3 of the common iliac artery bifurcation);  </w:t>
            </w:r>
            <w:r w:rsidRPr="00CB2EC4">
              <w:rPr>
                <w:rFonts w:ascii="Times New Roman" w:hAnsi="Times New Roman" w:cs="Times New Roman"/>
              </w:rPr>
              <w:br/>
              <w:t xml:space="preserve">2. External iliac lymph nodes (along the external iliac artery to the inguinal ligament);  </w:t>
            </w:r>
            <w:r w:rsidRPr="00CB2EC4">
              <w:rPr>
                <w:rFonts w:ascii="Times New Roman" w:hAnsi="Times New Roman" w:cs="Times New Roman"/>
              </w:rPr>
              <w:br/>
              <w:t xml:space="preserve">3. Lymphatic and adipose tissue in the obturator fossa above the level of the obturator nerve.  </w:t>
            </w:r>
            <w:r w:rsidRPr="00CB2EC4">
              <w:rPr>
                <w:rFonts w:ascii="Times New Roman" w:hAnsi="Times New Roman" w:cs="Times New Roman"/>
              </w:rPr>
              <w:br/>
              <w:t xml:space="preserve">Basis:  </w:t>
            </w:r>
            <w:r w:rsidRPr="00CB2EC4">
              <w:rPr>
                <w:rFonts w:ascii="Times New Roman" w:hAnsi="Times New Roman" w:cs="Times New Roman"/>
              </w:rPr>
              <w:br/>
              <w:t xml:space="preserve">- Document fragment 26 (block number 996) details the procedure: "resection starts from the distal 2/3 of the common iliac artery bifurcation" → "external iliac lymph node resection ends at the level of the common iliac vessel bifurcation" → "obturator lymph node group resection is performed below the external iliac </w:t>
            </w:r>
            <w:r w:rsidRPr="00CB2EC4">
              <w:rPr>
                <w:rFonts w:ascii="Times New Roman" w:hAnsi="Times New Roman" w:cs="Times New Roman"/>
              </w:rPr>
              <w:lastRenderedPageBreak/>
              <w:t xml:space="preserve">vein".  </w:t>
            </w:r>
            <w:r w:rsidRPr="00CB2EC4">
              <w:rPr>
                <w:rFonts w:ascii="Times New Roman" w:hAnsi="Times New Roman" w:cs="Times New Roman"/>
              </w:rPr>
              <w:br/>
              <w:t>- Fragment 14 (block number 545) with figures (Fig. 7-146 to Fig. 7-148) corroborates this anatomical sequence.</w:t>
            </w:r>
          </w:p>
        </w:tc>
        <w:tc>
          <w:tcPr>
            <w:tcW w:w="1152" w:type="dxa"/>
            <w:vAlign w:val="center"/>
          </w:tcPr>
          <w:p w14:paraId="76F14C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1FE10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AD13F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3647FE1" w14:textId="77777777">
        <w:tc>
          <w:tcPr>
            <w:tcW w:w="2160" w:type="dxa"/>
            <w:vAlign w:val="center"/>
          </w:tcPr>
          <w:p w14:paraId="448B2D9B"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A616CC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sequence for clearing lymphatic and adipose tissue from the common iliac vessels and external iliac artery is as follows: begin at the mid-segment of the common iliac artery, proceed from superior to inferior (i.e., from proximal to distal) and from lateral to medial (i.e., from outside to inside) to remove lymphatic and adipose tissue. Specific steps include:  </w:t>
            </w:r>
            <w:r w:rsidRPr="00CB2EC4">
              <w:rPr>
                <w:rFonts w:ascii="Times New Roman" w:hAnsi="Times New Roman" w:cs="Times New Roman"/>
              </w:rPr>
              <w:br/>
              <w:t xml:space="preserve">- First, clear lymphatic and adipose tissue from the lateral side of the common iliac artery, the anterior and medial aspects between the common iliac artery and vein, and perform high ligation of lymphatic vessels.  </w:t>
            </w:r>
            <w:r w:rsidRPr="00CB2EC4">
              <w:rPr>
                <w:rFonts w:ascii="Times New Roman" w:hAnsi="Times New Roman" w:cs="Times New Roman"/>
              </w:rPr>
              <w:br/>
              <w:t>- Then, along the psoas major muscle and external iliac artery, clear the lymphatic and adipose tissue above them; continue to dissect and remove lymphatic and adipose tissue between the external iliac artery and vein and above the vein, extending to the inguinal region.</w:t>
            </w:r>
          </w:p>
        </w:tc>
        <w:tc>
          <w:tcPr>
            <w:tcW w:w="1152" w:type="dxa"/>
            <w:vAlign w:val="center"/>
          </w:tcPr>
          <w:p w14:paraId="7696BD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E23C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2E7C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8FEA33" w14:textId="77777777">
        <w:tc>
          <w:tcPr>
            <w:tcW w:w="2160" w:type="dxa"/>
            <w:vAlign w:val="center"/>
          </w:tcPr>
          <w:p w14:paraId="118A9ACE"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D618FEE" w14:textId="77777777" w:rsidR="00922249" w:rsidRPr="00CB2EC4" w:rsidRDefault="003011D5">
            <w:pPr>
              <w:rPr>
                <w:rFonts w:ascii="Times New Roman" w:hAnsi="Times New Roman" w:cs="Times New Roman"/>
              </w:rPr>
            </w:pPr>
            <w:r w:rsidRPr="00CB2EC4">
              <w:rPr>
                <w:rFonts w:ascii="Times New Roman" w:hAnsi="Times New Roman" w:cs="Times New Roman"/>
              </w:rPr>
              <w:t>the order for clearing lymphatic and adipose tissue from the common iliac vessels and external iliac artery is as follows:</w:t>
            </w:r>
            <w:r w:rsidRPr="00CB2EC4">
              <w:rPr>
                <w:rFonts w:ascii="Times New Roman" w:hAnsi="Times New Roman" w:cs="Times New Roman"/>
              </w:rPr>
              <w:br/>
            </w:r>
            <w:r w:rsidRPr="00CB2EC4">
              <w:rPr>
                <w:rFonts w:ascii="Times New Roman" w:hAnsi="Times New Roman" w:cs="Times New Roman"/>
              </w:rPr>
              <w:br/>
              <w:t>Response: The sequence for clearing lymphatic and adipose tissue proceeds from superior to inferior, beginning with the common iliac vessels, followed by the external iliac artery, external iliac vein, and finally the internal iliac artery. The specific order is:</w:t>
            </w:r>
            <w:r w:rsidRPr="00CB2EC4">
              <w:rPr>
                <w:rFonts w:ascii="Times New Roman" w:hAnsi="Times New Roman" w:cs="Times New Roman"/>
              </w:rPr>
              <w:br/>
              <w:t xml:space="preserve">  1. Common iliac vessels: First clear the lymphatic and adipose tissue around the common iliac artery and </w:t>
            </w:r>
            <w:r w:rsidRPr="00CB2EC4">
              <w:rPr>
                <w:rFonts w:ascii="Times New Roman" w:hAnsi="Times New Roman" w:cs="Times New Roman"/>
              </w:rPr>
              <w:lastRenderedPageBreak/>
              <w:t>vein.</w:t>
            </w:r>
            <w:r w:rsidRPr="00CB2EC4">
              <w:rPr>
                <w:rFonts w:ascii="Times New Roman" w:hAnsi="Times New Roman" w:cs="Times New Roman"/>
              </w:rPr>
              <w:br/>
              <w:t xml:space="preserve">  2. External iliac artery: Next clear the lymphatic and adipose tissue from the external iliac artery.</w:t>
            </w:r>
            <w:r w:rsidRPr="00CB2EC4">
              <w:rPr>
                <w:rFonts w:ascii="Times New Roman" w:hAnsi="Times New Roman" w:cs="Times New Roman"/>
              </w:rPr>
              <w:br/>
              <w:t xml:space="preserve">  3. External iliac vein: Then clear the lymphatic and adipose tissue from the external iliac vein.</w:t>
            </w:r>
            <w:r w:rsidRPr="00CB2EC4">
              <w:rPr>
                <w:rFonts w:ascii="Times New Roman" w:hAnsi="Times New Roman" w:cs="Times New Roman"/>
              </w:rPr>
              <w:br/>
              <w:t xml:space="preserve">  4. Internal iliac artery: Finally clear the lymphatic and adipose tissue from the internal iliac artery.</w:t>
            </w:r>
            <w:r w:rsidRPr="00CB2EC4">
              <w:rPr>
                <w:rFonts w:ascii="Times New Roman" w:hAnsi="Times New Roman" w:cs="Times New Roman"/>
              </w:rPr>
              <w:br/>
              <w:t>- Information sources:</w:t>
            </w:r>
            <w:r w:rsidRPr="00CB2EC4">
              <w:rPr>
                <w:rFonts w:ascii="Times New Roman" w:hAnsi="Times New Roman" w:cs="Times New Roman"/>
              </w:rPr>
              <w:br/>
              <w:t xml:space="preserve">  - Knowledge base document: In the description of extraperitoneal pelvic lymphadenectomy, the order is explicitly listed (e.g., "strip lymphatic and adipose tissue from superior to inferior on the external oblique aponeurosis down to the inguinal ligament; then clear lymphatic and adipose tissue from the common iliac vessels, external iliac artery, external iliac vein, and internal iliac artery").</w:t>
            </w:r>
            <w:r w:rsidRPr="00CB2EC4">
              <w:rPr>
                <w:rFonts w:ascii="Times New Roman" w:hAnsi="Times New Roman" w:cs="Times New Roman"/>
              </w:rPr>
              <w:br/>
              <w:t xml:space="preserve">  - Web search results: Confirm this sequence in surgical steps (e.g., "after clearing the common iliac vessels, dissect downward along the external iliac artery").</w:t>
            </w:r>
            <w:r w:rsidRPr="00CB2EC4">
              <w:rPr>
                <w:rFonts w:ascii="Times New Roman" w:hAnsi="Times New Roman" w:cs="Times New Roman"/>
              </w:rPr>
              <w:br/>
              <w:t>- Comprehensive analysis: Both sources are consistent. The knowledge base document provides the standard sequence, and the web search results reinforce the technical details.</w:t>
            </w:r>
          </w:p>
        </w:tc>
        <w:tc>
          <w:tcPr>
            <w:tcW w:w="1152" w:type="dxa"/>
            <w:vAlign w:val="center"/>
          </w:tcPr>
          <w:p w14:paraId="72DB4E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2669C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97E0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BE8B3F" w14:textId="77777777">
        <w:tc>
          <w:tcPr>
            <w:tcW w:w="2160" w:type="dxa"/>
            <w:vAlign w:val="center"/>
          </w:tcPr>
          <w:p w14:paraId="7218B590"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8FA4C13" w14:textId="77777777" w:rsidR="00922249" w:rsidRPr="00CB2EC4" w:rsidRDefault="003011D5">
            <w:pPr>
              <w:rPr>
                <w:rFonts w:ascii="Times New Roman" w:hAnsi="Times New Roman" w:cs="Times New Roman"/>
              </w:rPr>
            </w:pPr>
            <w:r w:rsidRPr="00CB2EC4">
              <w:rPr>
                <w:rFonts w:ascii="Times New Roman" w:hAnsi="Times New Roman" w:cs="Times New Roman"/>
              </w:rPr>
              <w:t>the order for clearing lymphatic and adipose tissue from the common iliac vessels and the external iliac artery is not specified in the provided documents.</w:t>
            </w:r>
          </w:p>
        </w:tc>
        <w:tc>
          <w:tcPr>
            <w:tcW w:w="1152" w:type="dxa"/>
            <w:vAlign w:val="center"/>
          </w:tcPr>
          <w:p w14:paraId="75454A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E5AE7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062F7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C753EE2" w14:textId="77777777">
        <w:tc>
          <w:tcPr>
            <w:tcW w:w="2160" w:type="dxa"/>
            <w:vAlign w:val="center"/>
          </w:tcPr>
          <w:p w14:paraId="7BF0D93C"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1CAC9D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sequence for clearing lymphatic and adipose tissue from the common iliac vessels and external iliac artery is as follows: begin at the mid-segment of the common iliac artery, proceed from superior to inferior and from lateral to medial. The specific steps are:  </w:t>
            </w:r>
            <w:r w:rsidRPr="00CB2EC4">
              <w:rPr>
                <w:rFonts w:ascii="Times New Roman" w:hAnsi="Times New Roman" w:cs="Times New Roman"/>
              </w:rPr>
              <w:br/>
              <w:t xml:space="preserve">1. First, clear the lymphatic and adipose tissue from </w:t>
            </w:r>
            <w:r w:rsidRPr="00CB2EC4">
              <w:rPr>
                <w:rFonts w:ascii="Times New Roman" w:hAnsi="Times New Roman" w:cs="Times New Roman"/>
              </w:rPr>
              <w:lastRenderedPageBreak/>
              <w:t xml:space="preserve">the middle and lower segments of the common iliac artery.  </w:t>
            </w:r>
            <w:r w:rsidRPr="00CB2EC4">
              <w:rPr>
                <w:rFonts w:ascii="Times New Roman" w:hAnsi="Times New Roman" w:cs="Times New Roman"/>
              </w:rPr>
              <w:br/>
              <w:t xml:space="preserve">2. Then, follow the external iliac artery downward to the inguinal ligament, clearing the external iliac lymph nodes, deep inguinal lymph nodes, and their associated adipose tissue.  </w:t>
            </w:r>
            <w:r w:rsidRPr="00CB2EC4">
              <w:rPr>
                <w:rFonts w:ascii="Times New Roman" w:hAnsi="Times New Roman" w:cs="Times New Roman"/>
              </w:rPr>
              <w:br/>
              <w:t xml:space="preserve">3. Continue medially to clear the lymphatic and adipose tissue from the obturator fossa.  </w:t>
            </w:r>
            <w:r w:rsidRPr="00CB2EC4">
              <w:rPr>
                <w:rFonts w:ascii="Times New Roman" w:hAnsi="Times New Roman" w:cs="Times New Roman"/>
              </w:rPr>
              <w:br/>
              <w:t xml:space="preserve">This sequence ensures systematic clearance and avoids missing lymph nodes.  </w:t>
            </w:r>
            <w:r w:rsidRPr="00CB2EC4">
              <w:rPr>
                <w:rFonts w:ascii="Times New Roman" w:hAnsi="Times New Roman" w:cs="Times New Roman"/>
              </w:rPr>
              <w:br/>
              <w:t>(Reference: Document 25 states, "Generally start from the mid-segment of the common iliac artery, proceeding from superior to inferior and from lateral to medial. First clear the lymphatic and adipose tissue from the middle and lower segments of the common iliac artery, then follow the external iliac artery downward to the inguinal ligament, clearing the external iliac lymph nodes and deep inguinal lymph nodes as well as their connected adipose tissue.")</w:t>
            </w:r>
          </w:p>
        </w:tc>
        <w:tc>
          <w:tcPr>
            <w:tcW w:w="1152" w:type="dxa"/>
            <w:vAlign w:val="center"/>
          </w:tcPr>
          <w:p w14:paraId="3BAEC8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4FA1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8E38B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4CBD60" w14:textId="77777777">
        <w:tc>
          <w:tcPr>
            <w:tcW w:w="2160" w:type="dxa"/>
            <w:vAlign w:val="center"/>
          </w:tcPr>
          <w:p w14:paraId="48FA40F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39A130D" w14:textId="77777777" w:rsidR="00922249" w:rsidRPr="00CB2EC4" w:rsidRDefault="003011D5">
            <w:pPr>
              <w:rPr>
                <w:rFonts w:ascii="Times New Roman" w:hAnsi="Times New Roman" w:cs="Times New Roman"/>
              </w:rPr>
            </w:pPr>
            <w:r w:rsidRPr="00CB2EC4">
              <w:rPr>
                <w:rFonts w:ascii="Times New Roman" w:hAnsi="Times New Roman" w:cs="Times New Roman"/>
              </w:rPr>
              <w:t>the sequence for clearing lympho-fatty tissue from the common iliac vessels and external iliac artery is not specified in the knowledge base. The document describes steps for clearing lympho-fatty tissue from the inguinal and pelvic lymph nodes (such as stripping the lympho-fatty tissue of the external oblique aponeurosis from top to bottom), but does not explicitly mention the order for clearing lympho-fatty tissue from the common iliac vessels and external iliac artery.</w:t>
            </w:r>
          </w:p>
        </w:tc>
        <w:tc>
          <w:tcPr>
            <w:tcW w:w="1152" w:type="dxa"/>
            <w:vAlign w:val="center"/>
          </w:tcPr>
          <w:p w14:paraId="08D9A7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10441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B4E7E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4960E9E" w14:textId="77777777">
        <w:tc>
          <w:tcPr>
            <w:tcW w:w="2160" w:type="dxa"/>
            <w:vAlign w:val="center"/>
          </w:tcPr>
          <w:p w14:paraId="1409EAF6"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B87A619" w14:textId="77777777" w:rsidR="00922249" w:rsidRPr="00CB2EC4" w:rsidRDefault="003011D5">
            <w:pPr>
              <w:rPr>
                <w:rFonts w:ascii="Times New Roman" w:hAnsi="Times New Roman" w:cs="Times New Roman"/>
              </w:rPr>
            </w:pPr>
            <w:r w:rsidRPr="00CB2EC4">
              <w:rPr>
                <w:rFonts w:ascii="Times New Roman" w:hAnsi="Times New Roman" w:cs="Times New Roman"/>
              </w:rPr>
              <w:t>the sequence for clearing lymphoid and adipose tissue from the common iliac vessels and external iliac artery is as follows: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Begin at the distal 2/3 of the common iliac artery bifurcation (as stated in fragment 16: "resection range starts from the distal 2/3 of the common iliac artery bifurcation to the inguinal ligament").</w:t>
            </w:r>
            <w:r w:rsidRPr="00CB2EC4">
              <w:rPr>
                <w:rFonts w:ascii="Times New Roman" w:hAnsi="Times New Roman" w:cs="Times New Roman"/>
              </w:rPr>
              <w:br/>
              <w:t>- Specific steps: first address the right side, starting from the distal inferior vena cava and the right distal common iliac vein, then cross the common iliac artery to remove lymphoid and adipose tissue; next, address the left side, starting from the common iliac artery bifurcation, dissecting cephalad to remove the fat pad up to the level of the inferior mesenteric artery and the abdominal aorta.</w:t>
            </w:r>
            <w:r w:rsidRPr="00CB2EC4">
              <w:rPr>
                <w:rFonts w:ascii="Times New Roman" w:hAnsi="Times New Roman" w:cs="Times New Roman"/>
              </w:rPr>
              <w:br/>
              <w:t>- Therefore, the clearing sequence proceeds from the distal part of the common iliac artery bifurcation toward the inguinal ligament, prioritizing the right side followed by the left side, with clearance of the external iliac artery included in this process.</w:t>
            </w:r>
          </w:p>
        </w:tc>
        <w:tc>
          <w:tcPr>
            <w:tcW w:w="1152" w:type="dxa"/>
            <w:vAlign w:val="center"/>
          </w:tcPr>
          <w:p w14:paraId="7DFBF8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6889E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2305E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36F8824" w14:textId="77777777">
        <w:tc>
          <w:tcPr>
            <w:tcW w:w="2160" w:type="dxa"/>
            <w:vAlign w:val="center"/>
          </w:tcPr>
          <w:p w14:paraId="5BBB85B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4057E72" w14:textId="77777777" w:rsidR="00922249" w:rsidRPr="00CB2EC4" w:rsidRDefault="003011D5">
            <w:pPr>
              <w:rPr>
                <w:rFonts w:ascii="Times New Roman" w:hAnsi="Times New Roman" w:cs="Times New Roman"/>
              </w:rPr>
            </w:pPr>
            <w:r w:rsidRPr="00CB2EC4">
              <w:rPr>
                <w:rFonts w:ascii="Times New Roman" w:hAnsi="Times New Roman" w:cs="Times New Roman"/>
              </w:rPr>
              <w:t>the sequence for clearing lymphatic and adipose tissue from the common iliac vessels and external iliac artery is as follows:</w:t>
            </w:r>
            <w:r w:rsidRPr="00CB2EC4">
              <w:rPr>
                <w:rFonts w:ascii="Times New Roman" w:hAnsi="Times New Roman" w:cs="Times New Roman"/>
              </w:rPr>
              <w:br/>
            </w:r>
            <w:r w:rsidRPr="00CB2EC4">
              <w:rPr>
                <w:rFonts w:ascii="Times New Roman" w:hAnsi="Times New Roman" w:cs="Times New Roman"/>
              </w:rPr>
              <w:br/>
              <w:t xml:space="preserve">1. First, clear the common iliac lymph nodes: At approximately 2–3 cm above the bifurcation of the common iliac artery, transect the lymphatic and adipose tissue (Figure 17-23).  </w:t>
            </w:r>
            <w:r w:rsidRPr="00CB2EC4">
              <w:rPr>
                <w:rFonts w:ascii="Times New Roman" w:hAnsi="Times New Roman" w:cs="Times New Roman"/>
              </w:rPr>
              <w:br/>
              <w:t xml:space="preserve">2. Then, clear the external iliac lymph nodes: Dissect the lymphatic chain along the external iliac artery, "separating from the surface of the psoas major muscle," with the upper end terminating at the level of the common iliac vessel bifurcation (Figure 17-24) (Segment 16).  </w:t>
            </w:r>
            <w:r w:rsidRPr="00CB2EC4">
              <w:rPr>
                <w:rFonts w:ascii="Times New Roman" w:hAnsi="Times New Roman" w:cs="Times New Roman"/>
              </w:rPr>
              <w:br/>
              <w:t>Sequence: Common iliac lymph nodes → External iliac lymph nodes (proceeding from proximal to distal).</w:t>
            </w:r>
          </w:p>
        </w:tc>
        <w:tc>
          <w:tcPr>
            <w:tcW w:w="1152" w:type="dxa"/>
            <w:vAlign w:val="center"/>
          </w:tcPr>
          <w:p w14:paraId="21D0A1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CC92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1F3C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A9C36E" w14:textId="77777777">
        <w:tc>
          <w:tcPr>
            <w:tcW w:w="2160" w:type="dxa"/>
            <w:vAlign w:val="center"/>
          </w:tcPr>
          <w:p w14:paraId="38C67EF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32023BFA" w14:textId="77777777" w:rsidR="00922249" w:rsidRPr="00CB2EC4" w:rsidRDefault="003011D5">
            <w:pPr>
              <w:rPr>
                <w:rFonts w:ascii="Times New Roman" w:hAnsi="Times New Roman" w:cs="Times New Roman"/>
              </w:rPr>
            </w:pPr>
            <w:r w:rsidRPr="00CB2EC4">
              <w:rPr>
                <w:rFonts w:ascii="Times New Roman" w:hAnsi="Times New Roman" w:cs="Times New Roman"/>
              </w:rPr>
              <w:t>the sequence for clearing lymphatic and adipose tissue from the common iliac vessels and external iliac artery is: from superior to inferior and from lateral to medial. the specific steps are:</w:t>
            </w:r>
            <w:r w:rsidRPr="00CB2EC4">
              <w:rPr>
                <w:rFonts w:ascii="Times New Roman" w:hAnsi="Times New Roman" w:cs="Times New Roman"/>
              </w:rPr>
              <w:br/>
              <w:t>1. starting point: begin at the mid-segment of the common iliac vessels.</w:t>
            </w:r>
            <w:r w:rsidRPr="00CB2EC4">
              <w:rPr>
                <w:rFonts w:ascii="Times New Roman" w:hAnsi="Times New Roman" w:cs="Times New Roman"/>
              </w:rPr>
              <w:br/>
              <w:t>2. direction: proceed from superior to inferior (along the course of the vessels) and from lateral to medial (address lateral tissues first, then advance medially).</w:t>
            </w:r>
            <w:r w:rsidRPr="00CB2EC4">
              <w:rPr>
                <w:rFonts w:ascii="Times New Roman" w:hAnsi="Times New Roman" w:cs="Times New Roman"/>
              </w:rPr>
              <w:br/>
              <w:t>3. endpoint: reach the inguinal region.</w:t>
            </w:r>
            <w:r w:rsidRPr="00CB2EC4">
              <w:rPr>
                <w:rFonts w:ascii="Times New Roman" w:hAnsi="Times New Roman" w:cs="Times New Roman"/>
              </w:rPr>
              <w:br/>
              <w:t>this sequence ensures systematic clearance of lymphatic and adipose tissue, minimizes omissions, and reduces operative risk (based on document fragment 15).</w:t>
            </w:r>
          </w:p>
        </w:tc>
        <w:tc>
          <w:tcPr>
            <w:tcW w:w="1152" w:type="dxa"/>
            <w:vAlign w:val="center"/>
          </w:tcPr>
          <w:p w14:paraId="1AC3A2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441A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AAB9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8A828DC" w14:textId="77777777">
        <w:tc>
          <w:tcPr>
            <w:tcW w:w="2160" w:type="dxa"/>
            <w:vAlign w:val="center"/>
          </w:tcPr>
          <w:p w14:paraId="58BB32F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09E3B8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order is to clear the iliac common vessel area first, followed by the external iliac artery area.  </w:t>
            </w:r>
            <w:r w:rsidRPr="00CB2EC4">
              <w:rPr>
                <w:rFonts w:ascii="Times New Roman" w:hAnsi="Times New Roman" w:cs="Times New Roman"/>
              </w:rPr>
              <w:br/>
              <w:t>- Based on the document content (similarity: 0.471 segment): In laparoscopic pelvic lymphadenectomy, it is described as "resecting the common iliac lymph nodes... clearing the lymph nodes covered from the common iliac vessels to the inguinal ligament," then "resecting the external iliac lymph nodes... located between the external iliac artery and the psoas major muscle." The document explicitly states "resecting the common iliac lymph nodes" first, followed by "resecting the external iliac lymph nodes," indicating a top-down sequence: first address the common iliac vessel region (including the bifurcation of the common iliac artery), then the external iliac artery region.</w:t>
            </w:r>
          </w:p>
        </w:tc>
        <w:tc>
          <w:tcPr>
            <w:tcW w:w="1152" w:type="dxa"/>
            <w:vAlign w:val="center"/>
          </w:tcPr>
          <w:p w14:paraId="715EFD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43DF4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7CF59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DB65996" w14:textId="77777777">
        <w:tc>
          <w:tcPr>
            <w:tcW w:w="2160" w:type="dxa"/>
            <w:vAlign w:val="center"/>
          </w:tcPr>
          <w:p w14:paraId="563458B6"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13C215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order for clearing lymphatic and adipose tissue from the common iliac vessels and external iliac artery is:  </w:t>
            </w:r>
            <w:r w:rsidRPr="00CB2EC4">
              <w:rPr>
                <w:rFonts w:ascii="Times New Roman" w:hAnsi="Times New Roman" w:cs="Times New Roman"/>
              </w:rPr>
              <w:br/>
            </w:r>
            <w:r w:rsidRPr="00CB2EC4">
              <w:rPr>
                <w:rFonts w:ascii="Times New Roman" w:hAnsi="Times New Roman" w:cs="Times New Roman"/>
              </w:rPr>
              <w:lastRenderedPageBreak/>
              <w:t xml:space="preserve">1. First, remove the common iliac lymph nodes: starting from the bifurcation of the common iliac artery, taking care to protect the ureter and common iliac vein.  </w:t>
            </w:r>
            <w:r w:rsidRPr="00CB2EC4">
              <w:rPr>
                <w:rFonts w:ascii="Times New Roman" w:hAnsi="Times New Roman" w:cs="Times New Roman"/>
              </w:rPr>
              <w:br/>
              <w:t xml:space="preserve">2. Then, remove the external iliac lymph nodes: located between the external iliac artery and the psoas major muscle, clearing from the level of the common iliac bifurcation distally.  </w:t>
            </w:r>
            <w:r w:rsidRPr="00CB2EC4">
              <w:rPr>
                <w:rFonts w:ascii="Times New Roman" w:hAnsi="Times New Roman" w:cs="Times New Roman"/>
              </w:rPr>
              <w:br/>
              <w:t xml:space="preserve">The sequence is from proximal to distal, beginning at the common iliac bifurcation and proceeding distally, handling the common iliac region first, followed by the external iliac region.  </w:t>
            </w:r>
            <w:r w:rsidRPr="00CB2EC4">
              <w:rPr>
                <w:rFonts w:ascii="Times New Roman" w:hAnsi="Times New Roman" w:cs="Times New Roman"/>
              </w:rPr>
              <w:br/>
              <w:t>Answer: The clearing order is: first the common iliac vessel lymph nodes (starting from the bifurcation), then the external iliac artery lymph nodes.</w:t>
            </w:r>
          </w:p>
        </w:tc>
        <w:tc>
          <w:tcPr>
            <w:tcW w:w="1152" w:type="dxa"/>
            <w:vAlign w:val="center"/>
          </w:tcPr>
          <w:p w14:paraId="6AD733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CDFF1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64344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FB07CF1" w14:textId="77777777">
        <w:tc>
          <w:tcPr>
            <w:tcW w:w="2160" w:type="dxa"/>
            <w:vAlign w:val="center"/>
          </w:tcPr>
          <w:p w14:paraId="47978DE8"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C2BE2E3" w14:textId="77777777" w:rsidR="00922249" w:rsidRPr="00CB2EC4" w:rsidRDefault="003011D5">
            <w:pPr>
              <w:rPr>
                <w:rFonts w:ascii="Times New Roman" w:hAnsi="Times New Roman" w:cs="Times New Roman"/>
              </w:rPr>
            </w:pPr>
            <w:r w:rsidRPr="00CB2EC4">
              <w:rPr>
                <w:rFonts w:ascii="Times New Roman" w:hAnsi="Times New Roman" w:cs="Times New Roman"/>
              </w:rPr>
              <w:t>the order is: starting from the middle segment of the common iliac artery, proceed from superior to inferior and from lateral to medial. Specifically, first clear the lymphoid and adipose tissue from the middle and lower segments of the common iliac vessels, then follow the external iliac artery downward to the inguinal ligament, clearing the external iliac lymph nodes and deep inguinal lymph nodes, and finally clear the lymphoid tissue in the obturator region medially.</w:t>
            </w:r>
          </w:p>
        </w:tc>
        <w:tc>
          <w:tcPr>
            <w:tcW w:w="1152" w:type="dxa"/>
            <w:vAlign w:val="center"/>
          </w:tcPr>
          <w:p w14:paraId="5AABDD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6248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72D7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FCF368" w14:textId="77777777">
        <w:tc>
          <w:tcPr>
            <w:tcW w:w="2160" w:type="dxa"/>
            <w:vAlign w:val="center"/>
          </w:tcPr>
          <w:p w14:paraId="20B5E904"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DB91285" w14:textId="77777777" w:rsidR="00922249" w:rsidRPr="00CB2EC4" w:rsidRDefault="003011D5">
            <w:pPr>
              <w:rPr>
                <w:rFonts w:ascii="Times New Roman" w:hAnsi="Times New Roman" w:cs="Times New Roman"/>
              </w:rPr>
            </w:pPr>
            <w:r w:rsidRPr="00CB2EC4">
              <w:rPr>
                <w:rFonts w:ascii="Times New Roman" w:hAnsi="Times New Roman" w:cs="Times New Roman"/>
              </w:rPr>
              <w:t>the sequence is to first clear the lympho-fatty tissue around the common iliac vessels (starting at the bifurcation of the common iliac artery), then proceed distally along the external iliac artery to the level of the inguinal ligament. The order is from proximal (common iliac) to distal (external iliac), ensuring systematic dissection and minimizing bleeding risk.</w:t>
            </w:r>
          </w:p>
        </w:tc>
        <w:tc>
          <w:tcPr>
            <w:tcW w:w="1152" w:type="dxa"/>
            <w:vAlign w:val="center"/>
          </w:tcPr>
          <w:p w14:paraId="400870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EDF25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1A50D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B0042EB" w14:textId="77777777">
        <w:tc>
          <w:tcPr>
            <w:tcW w:w="10656" w:type="dxa"/>
            <w:gridSpan w:val="5"/>
            <w:tcBorders>
              <w:bottom w:val="single" w:sz="6" w:space="0" w:color="auto"/>
            </w:tcBorders>
            <w:vAlign w:val="center"/>
          </w:tcPr>
          <w:p w14:paraId="7A12B6EB" w14:textId="77777777" w:rsidR="00922249" w:rsidRPr="00CB2EC4" w:rsidRDefault="003011D5">
            <w:pPr>
              <w:rPr>
                <w:rFonts w:ascii="Times New Roman" w:hAnsi="Times New Roman" w:cs="Times New Roman"/>
              </w:rPr>
            </w:pPr>
            <w:r w:rsidRPr="00CB2EC4">
              <w:rPr>
                <w:rFonts w:ascii="Times New Roman" w:hAnsi="Times New Roman" w:cs="Times New Roman"/>
                <w:b/>
              </w:rPr>
              <w:t xml:space="preserve">Question 150: In extraperitoneal pelvic lymphadenectomy for radical vulvectomy, what are the two different approaches to </w:t>
            </w:r>
            <w:r w:rsidRPr="00CB2EC4">
              <w:rPr>
                <w:rFonts w:ascii="Times New Roman" w:hAnsi="Times New Roman" w:cs="Times New Roman"/>
                <w:b/>
              </w:rPr>
              <w:lastRenderedPageBreak/>
              <w:t>managing drainage of the surgical wound?</w:t>
            </w:r>
          </w:p>
        </w:tc>
      </w:tr>
      <w:tr w:rsidR="00922249" w:rsidRPr="00CB2EC4" w14:paraId="275F72F5" w14:textId="77777777">
        <w:tc>
          <w:tcPr>
            <w:tcW w:w="2160" w:type="dxa"/>
            <w:vAlign w:val="center"/>
          </w:tcPr>
          <w:p w14:paraId="1413FA6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Enrichment</w:t>
            </w:r>
          </w:p>
        </w:tc>
        <w:tc>
          <w:tcPr>
            <w:tcW w:w="5040" w:type="dxa"/>
            <w:vAlign w:val="center"/>
          </w:tcPr>
          <w:p w14:paraId="5D7B054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management of the surgical wound during radical vulvectomy in extraperitoneal pelvic lymphadenectomy, there are two different approaches regarding drainage:  </w:t>
            </w:r>
            <w:r w:rsidRPr="00CB2EC4">
              <w:rPr>
                <w:rFonts w:ascii="Times New Roman" w:hAnsi="Times New Roman" w:cs="Times New Roman"/>
              </w:rPr>
              <w:br/>
              <w:t xml:space="preserve">1. Placement of a closed drainage tube  </w:t>
            </w:r>
            <w:r w:rsidRPr="00CB2EC4">
              <w:rPr>
                <w:rFonts w:ascii="Times New Roman" w:hAnsi="Times New Roman" w:cs="Times New Roman"/>
              </w:rPr>
              <w:br/>
              <w:t>2. No drainage tube placement, adopting open drainage or secondary suturing</w:t>
            </w:r>
          </w:p>
        </w:tc>
        <w:tc>
          <w:tcPr>
            <w:tcW w:w="1152" w:type="dxa"/>
            <w:vAlign w:val="center"/>
          </w:tcPr>
          <w:p w14:paraId="538590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60F76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A37BD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02EED2A" w14:textId="77777777">
        <w:tc>
          <w:tcPr>
            <w:tcW w:w="2160" w:type="dxa"/>
            <w:vAlign w:val="center"/>
          </w:tcPr>
          <w:p w14:paraId="13C9DDE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253741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two different approaches for managing the wound surface during radical vulvectomy in the context of extraperitoneal pelvic lymphadenectomy are:  </w:t>
            </w:r>
            <w:r w:rsidRPr="00CB2EC4">
              <w:rPr>
                <w:rFonts w:ascii="Times New Roman" w:hAnsi="Times New Roman" w:cs="Times New Roman"/>
              </w:rPr>
              <w:br/>
              <w:t xml:space="preserve">1. placement of a rubber drain tube for negative pressure drainage;  </w:t>
            </w:r>
            <w:r w:rsidRPr="00CB2EC4">
              <w:rPr>
                <w:rFonts w:ascii="Times New Roman" w:hAnsi="Times New Roman" w:cs="Times New Roman"/>
              </w:rPr>
              <w:br/>
              <w:t xml:space="preserve">2. figure-of-eight compression bandaging without drain placement.  </w:t>
            </w:r>
            <w:r w:rsidRPr="00CB2EC4">
              <w:rPr>
                <w:rFonts w:ascii="Times New Roman" w:hAnsi="Times New Roman" w:cs="Times New Roman"/>
              </w:rPr>
              <w:br/>
            </w:r>
            <w:r w:rsidRPr="00CB2EC4">
              <w:rPr>
                <w:rFonts w:ascii="Times New Roman" w:hAnsi="Times New Roman" w:cs="Times New Roman"/>
              </w:rPr>
              <w:br/>
              <w:t xml:space="preserve">based on:  </w:t>
            </w:r>
            <w:r w:rsidRPr="00CB2EC4">
              <w:rPr>
                <w:rFonts w:ascii="Times New Roman" w:hAnsi="Times New Roman" w:cs="Times New Roman"/>
              </w:rPr>
              <w:br/>
              <w:t xml:space="preserve">- document fragment 11 (block no. 417) explicitly states: "a rubber drain tube is placed in the wound cavity for negative pressure drainage. some surgeons do not advocate placing a drain tube and instead use figure-of-eight compression bandaging."  </w:t>
            </w:r>
            <w:r w:rsidRPr="00CB2EC4">
              <w:rPr>
                <w:rFonts w:ascii="Times New Roman" w:hAnsi="Times New Roman" w:cs="Times New Roman"/>
              </w:rPr>
              <w:br/>
              <w:t>- the choice between the two methods depends on the surgeon's preference, but when using compression bandaging, uniform pressure must be maintained to reduce the risk of fluid accumulation.</w:t>
            </w:r>
          </w:p>
        </w:tc>
        <w:tc>
          <w:tcPr>
            <w:tcW w:w="1152" w:type="dxa"/>
            <w:vAlign w:val="center"/>
          </w:tcPr>
          <w:p w14:paraId="16984E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0EF3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A244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8CF2021" w14:textId="77777777">
        <w:tc>
          <w:tcPr>
            <w:tcW w:w="2160" w:type="dxa"/>
            <w:vAlign w:val="center"/>
          </w:tcPr>
          <w:p w14:paraId="134D2B98"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28E16B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radical vulvectomy wound management during extraperitoneal pelvic lymphadenectomy, there are two different approaches to drainage:  </w:t>
            </w:r>
            <w:r w:rsidRPr="00CB2EC4">
              <w:rPr>
                <w:rFonts w:ascii="Times New Roman" w:hAnsi="Times New Roman" w:cs="Times New Roman"/>
              </w:rPr>
              <w:br/>
              <w:t xml:space="preserve">1. Suture the retroperitoneal space: the inverted bladder peritoneum is sutured to the anterior rectal peritoneum to close the retroperitoneal space and prevent lymph fluid accumulation.  </w:t>
            </w:r>
            <w:r w:rsidRPr="00CB2EC4">
              <w:rPr>
                <w:rFonts w:ascii="Times New Roman" w:hAnsi="Times New Roman" w:cs="Times New Roman"/>
              </w:rPr>
              <w:br/>
            </w:r>
            <w:r w:rsidRPr="00CB2EC4">
              <w:rPr>
                <w:rFonts w:ascii="Times New Roman" w:hAnsi="Times New Roman" w:cs="Times New Roman"/>
              </w:rPr>
              <w:lastRenderedPageBreak/>
              <w:t xml:space="preserve">2. Leave the retroperitoneal space unsutured: allow it to remain open so that lymph fluid enters the abdominal cavity for absorption, thereby preventing the formation of lymphoceles.  </w:t>
            </w:r>
            <w:r w:rsidRPr="00CB2EC4">
              <w:rPr>
                <w:rFonts w:ascii="Times New Roman" w:hAnsi="Times New Roman" w:cs="Times New Roman"/>
              </w:rPr>
              <w:br/>
              <w:t>Additionally, placement of a drain (e.g., in the obturator fossa) is mentioned as an adjunctive measure, but the above two represent the core management strategies explicitly listed.</w:t>
            </w:r>
          </w:p>
        </w:tc>
        <w:tc>
          <w:tcPr>
            <w:tcW w:w="1152" w:type="dxa"/>
            <w:vAlign w:val="center"/>
          </w:tcPr>
          <w:p w14:paraId="700998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B2C98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8D044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6098F9A" w14:textId="77777777">
        <w:tc>
          <w:tcPr>
            <w:tcW w:w="2160" w:type="dxa"/>
            <w:vAlign w:val="center"/>
          </w:tcPr>
          <w:p w14:paraId="2D106C6E"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A1C74A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management of the surgical wound during extraperitoneal pelvic lymphadenectomy for radical vulvectomy, there are two different approaches to drainage:  </w:t>
            </w:r>
            <w:r w:rsidRPr="00CB2EC4">
              <w:rPr>
                <w:rFonts w:ascii="Times New Roman" w:hAnsi="Times New Roman" w:cs="Times New Roman"/>
              </w:rPr>
              <w:br/>
              <w:t xml:space="preserve">1. Placement of a drainage tube for negative pressure drainage: A rubber drainage tube is placed within the wound and connected to a negative pressure device to drain effusion and blood, reducing the risk of infection and seroma formation.  </w:t>
            </w:r>
            <w:r w:rsidRPr="00CB2EC4">
              <w:rPr>
                <w:rFonts w:ascii="Times New Roman" w:hAnsi="Times New Roman" w:cs="Times New Roman"/>
              </w:rPr>
              <w:br/>
              <w:t xml:space="preserve">2. Crisscross compression bandaging with gauze: No drainage tube is placed; instead, crisscross compression bandaging with gauze is applied to reduce wound effusion through uniform pressure. However, consistent pressure monitoring is required to avoid complications (e.g., limb ischemia).  </w:t>
            </w:r>
            <w:r w:rsidRPr="00CB2EC4">
              <w:rPr>
                <w:rFonts w:ascii="Times New Roman" w:hAnsi="Times New Roman" w:cs="Times New Roman"/>
              </w:rPr>
              <w:br/>
            </w:r>
            <w:r w:rsidRPr="00CB2EC4">
              <w:rPr>
                <w:rFonts w:ascii="Times New Roman" w:hAnsi="Times New Roman" w:cs="Times New Roman"/>
              </w:rPr>
              <w:br/>
              <w:t xml:space="preserve">- Information sources:  </w:t>
            </w:r>
            <w:r w:rsidRPr="00CB2EC4">
              <w:rPr>
                <w:rFonts w:ascii="Times New Roman" w:hAnsi="Times New Roman" w:cs="Times New Roman"/>
              </w:rPr>
              <w:br/>
              <w:t xml:space="preserve">  - Knowledge base documents: Clearly describe both methods, e.g., "A rubber drainage tube is placed within the wound for negative pressure drainage. Some scholars advocate against drainage tube placement and instead use crisscross compression bandaging with gauze."  </w:t>
            </w:r>
            <w:r w:rsidRPr="00CB2EC4">
              <w:rPr>
                <w:rFonts w:ascii="Times New Roman" w:hAnsi="Times New Roman" w:cs="Times New Roman"/>
              </w:rPr>
              <w:br/>
              <w:t xml:space="preserve">  - Online search results: Supplement postoperative care details, e.g., "Postoperative compression bandaging requires monitoring of distal limb blood </w:t>
            </w:r>
            <w:r w:rsidRPr="00CB2EC4">
              <w:rPr>
                <w:rFonts w:ascii="Times New Roman" w:hAnsi="Times New Roman" w:cs="Times New Roman"/>
              </w:rPr>
              <w:lastRenderedPageBreak/>
              <w:t xml:space="preserve">flow; alternatively, drainage tube placement and fixation."  </w:t>
            </w:r>
            <w:r w:rsidRPr="00CB2EC4">
              <w:rPr>
                <w:rFonts w:ascii="Times New Roman" w:hAnsi="Times New Roman" w:cs="Times New Roman"/>
              </w:rPr>
              <w:br/>
              <w:t>- Comprehensive analysis: Both sources are consistent. The knowledge base documents provide core methods, while online search results add postoperative monitoring points. No contradictions exist, but the knowledge base documents are more detailed.</w:t>
            </w:r>
          </w:p>
        </w:tc>
        <w:tc>
          <w:tcPr>
            <w:tcW w:w="1152" w:type="dxa"/>
            <w:vAlign w:val="center"/>
          </w:tcPr>
          <w:p w14:paraId="60B409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5DB78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FA55D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ED7297" w14:textId="77777777">
        <w:tc>
          <w:tcPr>
            <w:tcW w:w="2160" w:type="dxa"/>
            <w:vAlign w:val="center"/>
          </w:tcPr>
          <w:p w14:paraId="37D6B12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25622F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Placement of a rubber drain tube for negative pressure drainage: A drain tube is placed within the wound cavity and connected to negative pressure suction to reduce fluid accumulation and infection risk.  </w:t>
            </w:r>
            <w:r w:rsidRPr="00CB2EC4">
              <w:rPr>
                <w:rFonts w:ascii="Times New Roman" w:hAnsi="Times New Roman" w:cs="Times New Roman"/>
              </w:rPr>
              <w:br/>
              <w:t>2. No drain placement, using figure-of-eight compression bandaging: Instead of inserting a drain, a figure-of-eight bandage is applied with uniform pressure to minimize fluid accumulation; consistent pressure during bandaging is required to avoid complications.</w:t>
            </w:r>
          </w:p>
        </w:tc>
        <w:tc>
          <w:tcPr>
            <w:tcW w:w="1152" w:type="dxa"/>
            <w:vAlign w:val="center"/>
          </w:tcPr>
          <w:p w14:paraId="7D875D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1066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3BA3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78A5B2" w14:textId="77777777">
        <w:tc>
          <w:tcPr>
            <w:tcW w:w="2160" w:type="dxa"/>
            <w:vAlign w:val="center"/>
          </w:tcPr>
          <w:p w14:paraId="6351E9A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87D09C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the extraperitoneal pelvic lymphadenectomy, when managing the surgical wound in radical vulvectomy for vulvar cancer, there are two different approaches to drainage:  </w:t>
            </w:r>
            <w:r w:rsidRPr="00CB2EC4">
              <w:rPr>
                <w:rFonts w:ascii="Times New Roman" w:hAnsi="Times New Roman" w:cs="Times New Roman"/>
              </w:rPr>
              <w:br/>
              <w:t xml:space="preserve">1. Placement of a rubber drain tube for negative pressure drainage: A drain tube is inserted into the wound cavity and connected to negative pressure suction to reduce fluid accumulation and promote healing.  </w:t>
            </w:r>
            <w:r w:rsidRPr="00CB2EC4">
              <w:rPr>
                <w:rFonts w:ascii="Times New Roman" w:hAnsi="Times New Roman" w:cs="Times New Roman"/>
              </w:rPr>
              <w:br/>
              <w:t xml:space="preserve">2. No drain tube placement, instead using figure-of-eight compression bandaging: Compression bandaging is applied to minimize fluid collection, but consistent pressure must be maintained to avoid complications.  </w:t>
            </w:r>
            <w:r w:rsidRPr="00CB2EC4">
              <w:rPr>
                <w:rFonts w:ascii="Times New Roman" w:hAnsi="Times New Roman" w:cs="Times New Roman"/>
              </w:rPr>
              <w:br/>
            </w:r>
            <w:r w:rsidRPr="00CB2EC4">
              <w:rPr>
                <w:rFonts w:ascii="Times New Roman" w:hAnsi="Times New Roman" w:cs="Times New Roman"/>
              </w:rPr>
              <w:lastRenderedPageBreak/>
              <w:t xml:space="preserve">Both methods have their proponents, and the choice depends on surgical habits and the specific condition of the patient.  </w:t>
            </w:r>
            <w:r w:rsidRPr="00CB2EC4">
              <w:rPr>
                <w:rFonts w:ascii="Times New Roman" w:hAnsi="Times New Roman" w:cs="Times New Roman"/>
              </w:rPr>
              <w:br/>
              <w:t>(Reference: Related document 11 states, “A rubber drain tube is placed in the wound cavity for negative pressure drainage. Some scholars do not advocate placing a drain tube and instead use figure-of-eight compression bandaging; however, the bandaging must maintain consistent pressure to reduce fluid accumulation.”)</w:t>
            </w:r>
          </w:p>
        </w:tc>
        <w:tc>
          <w:tcPr>
            <w:tcW w:w="1152" w:type="dxa"/>
            <w:vAlign w:val="center"/>
          </w:tcPr>
          <w:p w14:paraId="4FEDD3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1D470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EB28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45D7113" w14:textId="77777777">
        <w:tc>
          <w:tcPr>
            <w:tcW w:w="2160" w:type="dxa"/>
            <w:vAlign w:val="center"/>
          </w:tcPr>
          <w:p w14:paraId="4C7967C5"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88EBCB1" w14:textId="77777777" w:rsidR="00922249" w:rsidRPr="00CB2EC4" w:rsidRDefault="003011D5">
            <w:pPr>
              <w:rPr>
                <w:rFonts w:ascii="Times New Roman" w:hAnsi="Times New Roman" w:cs="Times New Roman"/>
              </w:rPr>
            </w:pPr>
            <w:r w:rsidRPr="00CB2EC4">
              <w:rPr>
                <w:rFonts w:ascii="Times New Roman" w:hAnsi="Times New Roman" w:cs="Times New Roman"/>
              </w:rPr>
              <w:t>two different approaches for managing the surgical site during radical vulvectomy with extraperitoneal pelvic lymphadenectomy:</w:t>
            </w:r>
            <w:r w:rsidRPr="00CB2EC4">
              <w:rPr>
                <w:rFonts w:ascii="Times New Roman" w:hAnsi="Times New Roman" w:cs="Times New Roman"/>
              </w:rPr>
              <w:br/>
            </w:r>
            <w:r w:rsidRPr="00CB2EC4">
              <w:rPr>
                <w:rFonts w:ascii="Times New Roman" w:hAnsi="Times New Roman" w:cs="Times New Roman"/>
              </w:rPr>
              <w:br/>
              <w:t>1.  Placement of a drain tube with negative pressure suction: A rubber drain tube is placed within the surgical site and connected to a negative pressure device to drain accumulated fluid.</w:t>
            </w:r>
            <w:r w:rsidRPr="00CB2EC4">
              <w:rPr>
                <w:rFonts w:ascii="Times New Roman" w:hAnsi="Times New Roman" w:cs="Times New Roman"/>
              </w:rPr>
              <w:br/>
              <w:t>2.  Figure-of-eight compression bandaging with gauze: No drain tube is placed; instead, gauze bandages are applied in a figure-of-eight pattern with uniform pressure to reduce fluid accumulation.</w:t>
            </w:r>
            <w:r w:rsidRPr="00CB2EC4">
              <w:rPr>
                <w:rFonts w:ascii="Times New Roman" w:hAnsi="Times New Roman" w:cs="Times New Roman"/>
              </w:rPr>
              <w:br/>
            </w:r>
            <w:r w:rsidRPr="00CB2EC4">
              <w:rPr>
                <w:rFonts w:ascii="Times New Roman" w:hAnsi="Times New Roman" w:cs="Times New Roman"/>
              </w:rPr>
              <w:br/>
              <w:t>Both methods aim to prevent postoperative lymphoceles or fluid collections, but the choice depends on the surgeon’s experience and the patient’s condition (Reference: [HyDE similarity: 0.538]).</w:t>
            </w:r>
          </w:p>
        </w:tc>
        <w:tc>
          <w:tcPr>
            <w:tcW w:w="1152" w:type="dxa"/>
            <w:vAlign w:val="center"/>
          </w:tcPr>
          <w:p w14:paraId="46E9C1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A28E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431A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C8E1285" w14:textId="77777777">
        <w:tc>
          <w:tcPr>
            <w:tcW w:w="2160" w:type="dxa"/>
            <w:vAlign w:val="center"/>
          </w:tcPr>
          <w:p w14:paraId="3FC7E36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26BF03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management of the surgical wound during radical vulvectomy with extraperitoneal pelvic lymphadenectomy, there are two different approaches regarding drainage:  </w:t>
            </w:r>
            <w:r w:rsidRPr="00CB2EC4">
              <w:rPr>
                <w:rFonts w:ascii="Times New Roman" w:hAnsi="Times New Roman" w:cs="Times New Roman"/>
              </w:rPr>
              <w:br/>
              <w:t xml:space="preserve">1. Placement of a rubber drainage tube for negative pressure drainage.  </w:t>
            </w:r>
            <w:r w:rsidRPr="00CB2EC4">
              <w:rPr>
                <w:rFonts w:ascii="Times New Roman" w:hAnsi="Times New Roman" w:cs="Times New Roman"/>
              </w:rPr>
              <w:br/>
            </w:r>
            <w:r w:rsidRPr="00CB2EC4">
              <w:rPr>
                <w:rFonts w:ascii="Times New Roman" w:hAnsi="Times New Roman" w:cs="Times New Roman"/>
              </w:rPr>
              <w:lastRenderedPageBreak/>
              <w:t>2. Avoidance of drainage tubes, opting instead for a figure-of-eight compression bandage with gauze.</w:t>
            </w:r>
          </w:p>
        </w:tc>
        <w:tc>
          <w:tcPr>
            <w:tcW w:w="1152" w:type="dxa"/>
            <w:vAlign w:val="center"/>
          </w:tcPr>
          <w:p w14:paraId="31EB22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A5F4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AFCE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9C1B70" w14:textId="77777777">
        <w:tc>
          <w:tcPr>
            <w:tcW w:w="2160" w:type="dxa"/>
            <w:vAlign w:val="center"/>
          </w:tcPr>
          <w:p w14:paraId="61694EA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FFA8049" w14:textId="77777777" w:rsidR="00922249" w:rsidRPr="00CB2EC4" w:rsidRDefault="003011D5">
            <w:pPr>
              <w:rPr>
                <w:rFonts w:ascii="Times New Roman" w:hAnsi="Times New Roman" w:cs="Times New Roman"/>
              </w:rPr>
            </w:pPr>
            <w:r w:rsidRPr="00CB2EC4">
              <w:rPr>
                <w:rFonts w:ascii="Times New Roman" w:hAnsi="Times New Roman" w:cs="Times New Roman"/>
              </w:rPr>
              <w:t>two different approaches for managing the wound surface during radical vulvectomy in the context of extraperitoneal pelvic lymphadenectomy:</w:t>
            </w:r>
            <w:r w:rsidRPr="00CB2EC4">
              <w:rPr>
                <w:rFonts w:ascii="Times New Roman" w:hAnsi="Times New Roman" w:cs="Times New Roman"/>
              </w:rPr>
              <w:br/>
            </w:r>
            <w:r w:rsidRPr="00CB2EC4">
              <w:rPr>
                <w:rFonts w:ascii="Times New Roman" w:hAnsi="Times New Roman" w:cs="Times New Roman"/>
              </w:rPr>
              <w:br/>
              <w:t xml:space="preserve">1. Placement of a drain tube with negative pressure suction: "A rubber drain tube is placed in the wound for negative pressure drainage" (Segment 10).  </w:t>
            </w:r>
            <w:r w:rsidRPr="00CB2EC4">
              <w:rPr>
                <w:rFonts w:ascii="Times New Roman" w:hAnsi="Times New Roman" w:cs="Times New Roman"/>
              </w:rPr>
              <w:br/>
              <w:t xml:space="preserve">2. Compression bandaging without a drain: "Some scholars do not advocate placing a drain tube and instead use a figure-of-eight compression bandage," but uniform pressure must be maintained to reduce fluid accumulation (Segment 10).  </w:t>
            </w:r>
            <w:r w:rsidRPr="00CB2EC4">
              <w:rPr>
                <w:rFonts w:ascii="Times New Roman" w:hAnsi="Times New Roman" w:cs="Times New Roman"/>
              </w:rPr>
              <w:br/>
            </w:r>
            <w:r w:rsidRPr="00CB2EC4">
              <w:rPr>
                <w:rFonts w:ascii="Times New Roman" w:hAnsi="Times New Roman" w:cs="Times New Roman"/>
              </w:rPr>
              <w:br/>
              <w:t xml:space="preserve">The two methods are:  </w:t>
            </w:r>
            <w:r w:rsidRPr="00CB2EC4">
              <w:rPr>
                <w:rFonts w:ascii="Times New Roman" w:hAnsi="Times New Roman" w:cs="Times New Roman"/>
              </w:rPr>
              <w:br/>
            </w:r>
            <w:r w:rsidRPr="00CB2EC4">
              <w:rPr>
                <w:rFonts w:ascii="宋体" w:eastAsia="宋体" w:hAnsi="宋体" w:cs="宋体" w:hint="eastAsia"/>
              </w:rPr>
              <w:t>①</w:t>
            </w:r>
            <w:r w:rsidRPr="00CB2EC4">
              <w:rPr>
                <w:rFonts w:ascii="Times New Roman" w:hAnsi="Times New Roman" w:cs="Times New Roman"/>
              </w:rPr>
              <w:t xml:space="preserve"> Drain tube with negative pressure suction;  </w:t>
            </w:r>
            <w:r w:rsidRPr="00CB2EC4">
              <w:rPr>
                <w:rFonts w:ascii="Times New Roman" w:hAnsi="Times New Roman" w:cs="Times New Roman"/>
              </w:rPr>
              <w:br/>
            </w:r>
            <w:r w:rsidRPr="00CB2EC4">
              <w:rPr>
                <w:rFonts w:ascii="宋体" w:eastAsia="宋体" w:hAnsi="宋体" w:cs="宋体" w:hint="eastAsia"/>
              </w:rPr>
              <w:t>②</w:t>
            </w:r>
            <w:r w:rsidRPr="00CB2EC4">
              <w:rPr>
                <w:rFonts w:ascii="Times New Roman" w:hAnsi="Times New Roman" w:cs="Times New Roman"/>
              </w:rPr>
              <w:t xml:space="preserve"> Compression bandaging (without drain tube).  </w:t>
            </w:r>
            <w:r w:rsidRPr="00CB2EC4">
              <w:rPr>
                <w:rFonts w:ascii="Times New Roman" w:hAnsi="Times New Roman" w:cs="Times New Roman"/>
              </w:rPr>
              <w:br/>
              <w:t>Selection depends on the surgeon’s preference, though the latter requires higher technical skill in bandaging.</w:t>
            </w:r>
          </w:p>
        </w:tc>
        <w:tc>
          <w:tcPr>
            <w:tcW w:w="1152" w:type="dxa"/>
            <w:vAlign w:val="center"/>
          </w:tcPr>
          <w:p w14:paraId="681825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605C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D6EF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EA79E9" w14:textId="77777777">
        <w:tc>
          <w:tcPr>
            <w:tcW w:w="2160" w:type="dxa"/>
            <w:vAlign w:val="center"/>
          </w:tcPr>
          <w:p w14:paraId="37D5525B"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DC54F85" w14:textId="77777777" w:rsidR="00922249" w:rsidRPr="00CB2EC4" w:rsidRDefault="003011D5">
            <w:pPr>
              <w:rPr>
                <w:rFonts w:ascii="Times New Roman" w:hAnsi="Times New Roman" w:cs="Times New Roman"/>
              </w:rPr>
            </w:pPr>
            <w:r w:rsidRPr="00CB2EC4">
              <w:rPr>
                <w:rFonts w:ascii="Times New Roman" w:hAnsi="Times New Roman" w:cs="Times New Roman"/>
              </w:rPr>
              <w:t>two different approaches exist for managing drainage at the surgical site during radical vulvectomy combined with extraperitoneal pelvic lymphadenectomy:</w:t>
            </w:r>
            <w:r w:rsidRPr="00CB2EC4">
              <w:rPr>
                <w:rFonts w:ascii="Times New Roman" w:hAnsi="Times New Roman" w:cs="Times New Roman"/>
              </w:rPr>
              <w:br/>
            </w:r>
            <w:r w:rsidRPr="00CB2EC4">
              <w:rPr>
                <w:rFonts w:ascii="Times New Roman" w:hAnsi="Times New Roman" w:cs="Times New Roman"/>
              </w:rPr>
              <w:br/>
              <w:t>1. Placement of a rubber drain for negative pressure suction: This is the commonly used method, which reduces fluid accumulation and infection risk through negative pressure suction (based on document segment 24).</w:t>
            </w:r>
            <w:r w:rsidRPr="00CB2EC4">
              <w:rPr>
                <w:rFonts w:ascii="Times New Roman" w:hAnsi="Times New Roman" w:cs="Times New Roman"/>
              </w:rPr>
              <w:br/>
              <w:t xml:space="preserve">2. No drain placement, using figure-of-eight compression bandaging with gauze: Some scholars advocate this method to reduce foreign body irritation; </w:t>
            </w:r>
            <w:r w:rsidRPr="00CB2EC4">
              <w:rPr>
                <w:rFonts w:ascii="Times New Roman" w:hAnsi="Times New Roman" w:cs="Times New Roman"/>
              </w:rPr>
              <w:lastRenderedPageBreak/>
              <w:t>however, consistent bandage pressure must be maintained to prevent fluid accumulation (based on document segment 24).</w:t>
            </w:r>
          </w:p>
        </w:tc>
        <w:tc>
          <w:tcPr>
            <w:tcW w:w="1152" w:type="dxa"/>
            <w:vAlign w:val="center"/>
          </w:tcPr>
          <w:p w14:paraId="658848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84C96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4555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44732B1" w14:textId="77777777">
        <w:tc>
          <w:tcPr>
            <w:tcW w:w="2160" w:type="dxa"/>
            <w:vAlign w:val="center"/>
          </w:tcPr>
          <w:p w14:paraId="19538E54"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587E636" w14:textId="77777777" w:rsidR="00922249" w:rsidRPr="00CB2EC4" w:rsidRDefault="003011D5">
            <w:pPr>
              <w:rPr>
                <w:rFonts w:ascii="Times New Roman" w:hAnsi="Times New Roman" w:cs="Times New Roman"/>
              </w:rPr>
            </w:pPr>
            <w:r w:rsidRPr="00CB2EC4">
              <w:rPr>
                <w:rFonts w:ascii="Times New Roman" w:hAnsi="Times New Roman" w:cs="Times New Roman"/>
              </w:rPr>
              <w:t>two different approaches for managing the wound drainage during the radical vulvectomy component of an extraperitoneal pelvic lymphadenectomy for vulvar cancer are:</w:t>
            </w:r>
            <w:r w:rsidRPr="00CB2EC4">
              <w:rPr>
                <w:rFonts w:ascii="Times New Roman" w:hAnsi="Times New Roman" w:cs="Times New Roman"/>
              </w:rPr>
              <w:br/>
            </w:r>
            <w:r w:rsidRPr="00CB2EC4">
              <w:rPr>
                <w:rFonts w:ascii="Times New Roman" w:hAnsi="Times New Roman" w:cs="Times New Roman"/>
              </w:rPr>
              <w:br/>
              <w:t>1.  Placement of a rubber drain tube for negative pressure drainage.</w:t>
            </w:r>
            <w:r w:rsidRPr="00CB2EC4">
              <w:rPr>
                <w:rFonts w:ascii="Times New Roman" w:hAnsi="Times New Roman" w:cs="Times New Roman"/>
              </w:rPr>
              <w:br/>
              <w:t>2.  No drain placement, instead using a figure-of-eight compression bandage with gauze to control fluid accumulation, ensuring consistent pressure during bandaging to minimize seroma formation.</w:t>
            </w:r>
            <w:r w:rsidRPr="00CB2EC4">
              <w:rPr>
                <w:rFonts w:ascii="Times New Roman" w:hAnsi="Times New Roman" w:cs="Times New Roman"/>
              </w:rPr>
              <w:br/>
            </w:r>
            <w:r w:rsidRPr="00CB2EC4">
              <w:rPr>
                <w:rFonts w:ascii="Times New Roman" w:hAnsi="Times New Roman" w:cs="Times New Roman"/>
              </w:rPr>
              <w:br/>
              <w:t>-  Based on the source text (similarity: 0.630 segment): When describing wound management after inguinal lymphadenectomy, the document states: “A rubber drain tube is placed in the wound cavity for negative pressure drainage. Some scholars do not advocate placing a drain tube and instead use a figure-of-eight compression bandage with gauze, but the bandaging must maintain uniform pressure to reduce fluid accumulation.” This explicitly lists the two methods:</w:t>
            </w:r>
            <w:r w:rsidRPr="00CB2EC4">
              <w:rPr>
                <w:rFonts w:ascii="Times New Roman" w:hAnsi="Times New Roman" w:cs="Times New Roman"/>
              </w:rPr>
              <w:br/>
              <w:t xml:space="preserve">  1.  Placement of a rubber drain tube: Used for negative pressure drainage to reduce fluid accumulation and infection risk.</w:t>
            </w:r>
            <w:r w:rsidRPr="00CB2EC4">
              <w:rPr>
                <w:rFonts w:ascii="Times New Roman" w:hAnsi="Times New Roman" w:cs="Times New Roman"/>
              </w:rPr>
              <w:br/>
              <w:t xml:space="preserve">  2.  Figure-of-eight compression bandage with gauze: No drain tube is used; fluid accumulation is controlled by compression bandaging, requiring uniform pressure application.</w:t>
            </w:r>
          </w:p>
        </w:tc>
        <w:tc>
          <w:tcPr>
            <w:tcW w:w="1152" w:type="dxa"/>
            <w:vAlign w:val="center"/>
          </w:tcPr>
          <w:p w14:paraId="39977A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3846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EB0C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A40F75" w14:textId="77777777">
        <w:tc>
          <w:tcPr>
            <w:tcW w:w="2160" w:type="dxa"/>
            <w:vAlign w:val="center"/>
          </w:tcPr>
          <w:p w14:paraId="6A70A363"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E390D2A" w14:textId="77777777" w:rsidR="00922249" w:rsidRPr="00CB2EC4" w:rsidRDefault="003011D5">
            <w:pPr>
              <w:rPr>
                <w:rFonts w:ascii="Times New Roman" w:hAnsi="Times New Roman" w:cs="Times New Roman"/>
              </w:rPr>
            </w:pPr>
            <w:r w:rsidRPr="00CB2EC4">
              <w:rPr>
                <w:rFonts w:ascii="Times New Roman" w:hAnsi="Times New Roman" w:cs="Times New Roman"/>
              </w:rPr>
              <w:t>The answer cannot be found in the knowledge base.</w:t>
            </w:r>
          </w:p>
        </w:tc>
        <w:tc>
          <w:tcPr>
            <w:tcW w:w="1152" w:type="dxa"/>
            <w:vAlign w:val="center"/>
          </w:tcPr>
          <w:p w14:paraId="6DBAFC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96DA2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E0AD5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3DAFB11" w14:textId="77777777">
        <w:tc>
          <w:tcPr>
            <w:tcW w:w="2160" w:type="dxa"/>
            <w:vAlign w:val="center"/>
          </w:tcPr>
          <w:p w14:paraId="70F1C41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05FD406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two different treatment approaches are:  </w:t>
            </w:r>
            <w:r w:rsidRPr="00CB2EC4">
              <w:rPr>
                <w:rFonts w:ascii="Times New Roman" w:hAnsi="Times New Roman" w:cs="Times New Roman"/>
              </w:rPr>
              <w:br/>
              <w:t xml:space="preserve">1. Place a rubber drainage tube, which is led out from the inner thigh (the lowest part of the wound), for negative pressure drainage;  </w:t>
            </w:r>
            <w:r w:rsidRPr="00CB2EC4">
              <w:rPr>
                <w:rFonts w:ascii="Times New Roman" w:hAnsi="Times New Roman" w:cs="Times New Roman"/>
              </w:rPr>
              <w:br/>
              <w:t>2. Do not place a drainage tube, but instead use a bandage for figure-eight compression dressing, ensuring consistent pressure to reduce fluid accumulation.</w:t>
            </w:r>
          </w:p>
        </w:tc>
        <w:tc>
          <w:tcPr>
            <w:tcW w:w="1152" w:type="dxa"/>
            <w:vAlign w:val="center"/>
          </w:tcPr>
          <w:p w14:paraId="5F9BE4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8B17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1864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E06E49" w14:textId="77777777">
        <w:tc>
          <w:tcPr>
            <w:tcW w:w="2160" w:type="dxa"/>
            <w:vAlign w:val="center"/>
          </w:tcPr>
          <w:p w14:paraId="12DE9A3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0CDE335" w14:textId="77777777" w:rsidR="00922249" w:rsidRPr="00CB2EC4" w:rsidRDefault="003011D5">
            <w:pPr>
              <w:rPr>
                <w:rFonts w:ascii="Times New Roman" w:hAnsi="Times New Roman" w:cs="Times New Roman"/>
              </w:rPr>
            </w:pPr>
            <w:r w:rsidRPr="00CB2EC4">
              <w:rPr>
                <w:rFonts w:ascii="Times New Roman" w:hAnsi="Times New Roman" w:cs="Times New Roman"/>
              </w:rPr>
              <w:t>There are two main treatment approaches:</w:t>
            </w:r>
            <w:r w:rsidRPr="00CB2EC4">
              <w:rPr>
                <w:rFonts w:ascii="Times New Roman" w:hAnsi="Times New Roman" w:cs="Times New Roman"/>
              </w:rPr>
              <w:br/>
              <w:t xml:space="preserve">  1. Closed negative pressure drainage: A drainage tube is placed in the wound and connected to a negative pressure device, suitable for most patients, effectively reducing fluid accumulation and infection risk while promoting healing.</w:t>
            </w:r>
            <w:r w:rsidRPr="00CB2EC4">
              <w:rPr>
                <w:rFonts w:ascii="Times New Roman" w:hAnsi="Times New Roman" w:cs="Times New Roman"/>
              </w:rPr>
              <w:br/>
              <w:t xml:space="preserve">  2. Open drainage or gauze packing: Gauze packing or open drainage is used in the wound, suitable for patients with high bleeding risk or obvious infection, but may increase nursing burden and complications.</w:t>
            </w:r>
            <w:r w:rsidRPr="00CB2EC4">
              <w:rPr>
                <w:rFonts w:ascii="Times New Roman" w:hAnsi="Times New Roman" w:cs="Times New Roman"/>
              </w:rPr>
              <w:br/>
              <w:t xml:space="preserve">  The selection is based on wound size, exudate volume, and the patient's specific condition.</w:t>
            </w:r>
          </w:p>
        </w:tc>
        <w:tc>
          <w:tcPr>
            <w:tcW w:w="1152" w:type="dxa"/>
            <w:vAlign w:val="center"/>
          </w:tcPr>
          <w:p w14:paraId="75920B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ECEE2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1DAAB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4E337BF" w14:textId="77777777">
        <w:tc>
          <w:tcPr>
            <w:tcW w:w="10656" w:type="dxa"/>
            <w:gridSpan w:val="5"/>
            <w:tcBorders>
              <w:bottom w:val="single" w:sz="6" w:space="0" w:color="auto"/>
            </w:tcBorders>
            <w:vAlign w:val="center"/>
          </w:tcPr>
          <w:p w14:paraId="68F39D3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151: What are the common types of incisions used in a radical complete vulvectomy?</w:t>
            </w:r>
          </w:p>
        </w:tc>
      </w:tr>
      <w:tr w:rsidR="00922249" w:rsidRPr="00CB2EC4" w14:paraId="17DFDC4C" w14:textId="77777777">
        <w:tc>
          <w:tcPr>
            <w:tcW w:w="2160" w:type="dxa"/>
            <w:vAlign w:val="center"/>
          </w:tcPr>
          <w:p w14:paraId="7BDE8262"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23CEE4D"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common incision types used in radical total vulvectomy?</w:t>
            </w:r>
            <w:r w:rsidRPr="00CB2EC4">
              <w:rPr>
                <w:rFonts w:ascii="Times New Roman" w:hAnsi="Times New Roman" w:cs="Times New Roman"/>
              </w:rPr>
              <w:br/>
            </w:r>
            <w:r w:rsidRPr="00CB2EC4">
              <w:rPr>
                <w:rFonts w:ascii="Times New Roman" w:hAnsi="Times New Roman" w:cs="Times New Roman"/>
              </w:rPr>
              <w:br/>
              <w:t>In the document, the incision types for radical total vulvectomy are individualized based on tumor location (such as lateral, posterior, or anterior) to ensure adequate resection of the lesion while preserving function. The common incision types include:</w:t>
            </w:r>
            <w:r w:rsidRPr="00CB2EC4">
              <w:rPr>
                <w:rFonts w:ascii="Times New Roman" w:hAnsi="Times New Roman" w:cs="Times New Roman"/>
              </w:rPr>
              <w:br/>
              <w:t xml:space="preserve">- Lateral lesion incision: Suitable for tumors confined to one side of the labia majora and minora (lateral). The incision is designed parallel to the labia majora, </w:t>
            </w:r>
            <w:r w:rsidRPr="00CB2EC4">
              <w:rPr>
                <w:rFonts w:ascii="Times New Roman" w:hAnsi="Times New Roman" w:cs="Times New Roman"/>
              </w:rPr>
              <w:lastRenderedPageBreak/>
              <w:t>with the resection range including most of the perineal body, preserving the clitoris, and not involving the contralateral vulva (refer to Figure 5-2).</w:t>
            </w:r>
            <w:r w:rsidRPr="00CB2EC4">
              <w:rPr>
                <w:rFonts w:ascii="Times New Roman" w:hAnsi="Times New Roman" w:cs="Times New Roman"/>
              </w:rPr>
              <w:br/>
              <w:t>- Posterior lesion incision: Suitable for tumors confined to the posterior part of the vulva (such as the posterior perineal body). The incision includes the posterior perineum and the Bartholin's gland, without resecting the clitoris, labia minora, or contralateral tissue (refer to Figure 5-3).</w:t>
            </w:r>
            <w:r w:rsidRPr="00CB2EC4">
              <w:rPr>
                <w:rFonts w:ascii="Times New Roman" w:hAnsi="Times New Roman" w:cs="Times New Roman"/>
              </w:rPr>
              <w:br/>
              <w:t>- Anterior lesion incision: Suitable for tumors confined to the anterior part of the vulva (such as the mons pubis area). The incision resects the anterior part of the labia majora, including the labia minora, clitoris, and part of the mons pubis tissue, preserving the posterior vulva (refer to Figure 5-4).</w:t>
            </w:r>
            <w:r w:rsidRPr="00CB2EC4">
              <w:rPr>
                <w:rFonts w:ascii="Times New Roman" w:hAnsi="Times New Roman" w:cs="Times New Roman"/>
              </w:rPr>
              <w:br/>
              <w:t>- Radical unilateral vulvectomy incision: Suitable for unilateral lesions. The incision extends from the genitofemoral fold, adjusted according to tumor location, with depth reaching the deep fascia external to the pubis or muscles (refer to Figure 5-5).</w:t>
            </w:r>
            <w:r w:rsidRPr="00CB2EC4">
              <w:rPr>
                <w:rFonts w:ascii="Times New Roman" w:hAnsi="Times New Roman" w:cs="Times New Roman"/>
              </w:rPr>
              <w:br/>
              <w:t>The design principle of these incisions is to remove at least 2 cm of normal tissue beyond the tumor, dissect flaps 1–2 cm, and achieve a depth of 2–3 cm to reduce the risk of recurrence (document source: [similarity: 0.459 [expansion:3 blocks, range:393-395]]).</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168ECD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F7AE6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8F9F2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B481FC2" w14:textId="77777777">
        <w:tc>
          <w:tcPr>
            <w:tcW w:w="2160" w:type="dxa"/>
            <w:vAlign w:val="center"/>
          </w:tcPr>
          <w:p w14:paraId="02131659"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14CF36E" w14:textId="77777777" w:rsidR="00922249" w:rsidRPr="00CB2EC4" w:rsidRDefault="003011D5">
            <w:pPr>
              <w:rPr>
                <w:rFonts w:ascii="Times New Roman" w:hAnsi="Times New Roman" w:cs="Times New Roman"/>
              </w:rPr>
            </w:pPr>
            <w:r w:rsidRPr="00CB2EC4">
              <w:rPr>
                <w:rFonts w:ascii="Times New Roman" w:hAnsi="Times New Roman" w:cs="Times New Roman"/>
              </w:rPr>
              <w:t>the common incision types in radical total vulvectomy include:</w:t>
            </w:r>
            <w:r w:rsidRPr="00CB2EC4">
              <w:rPr>
                <w:rFonts w:ascii="Times New Roman" w:hAnsi="Times New Roman" w:cs="Times New Roman"/>
              </w:rPr>
              <w:br/>
              <w:t>- Split incision: used for vulvectomy with simultaneous resection of inguinal lymphoid tissue. It is further divided into two subtypes:</w:t>
            </w:r>
            <w:r w:rsidRPr="00CB2EC4">
              <w:rPr>
                <w:rFonts w:ascii="Times New Roman" w:hAnsi="Times New Roman" w:cs="Times New Roman"/>
              </w:rPr>
              <w:br/>
              <w:t xml:space="preserve">  - Type </w:t>
            </w:r>
            <w:r w:rsidRPr="00CB2EC4">
              <w:rPr>
                <w:rFonts w:ascii="宋体" w:eastAsia="宋体" w:hAnsi="宋体" w:cs="宋体" w:hint="eastAsia"/>
              </w:rPr>
              <w:t>①</w:t>
            </w:r>
            <w:r w:rsidRPr="00CB2EC4">
              <w:rPr>
                <w:rFonts w:ascii="Times New Roman" w:hAnsi="Times New Roman" w:cs="Times New Roman"/>
              </w:rPr>
              <w:t xml:space="preserve">: not detailed, but the document states that </w:t>
            </w:r>
            <w:r w:rsidRPr="00CB2EC4">
              <w:rPr>
                <w:rFonts w:ascii="Times New Roman" w:hAnsi="Times New Roman" w:cs="Times New Roman"/>
              </w:rPr>
              <w:lastRenderedPageBreak/>
              <w:t>split incision involves separate procedures for vulvectomy and inguinal lymphoid tissue resection.</w:t>
            </w:r>
            <w:r w:rsidRPr="00CB2EC4">
              <w:rPr>
                <w:rFonts w:ascii="Times New Roman" w:hAnsi="Times New Roman" w:cs="Times New Roman"/>
              </w:rPr>
              <w:br/>
              <w:t xml:space="preserve">  - Type </w:t>
            </w:r>
            <w:r w:rsidRPr="00CB2EC4">
              <w:rPr>
                <w:rFonts w:ascii="宋体" w:eastAsia="宋体" w:hAnsi="宋体" w:cs="宋体" w:hint="eastAsia"/>
              </w:rPr>
              <w:t>②</w:t>
            </w:r>
            <w:r w:rsidRPr="00CB2EC4">
              <w:rPr>
                <w:rFonts w:ascii="Times New Roman" w:hAnsi="Times New Roman" w:cs="Times New Roman"/>
              </w:rPr>
              <w:t>: not detailed, but emphasizes its use for optimizing surgical field and reducing complications.</w:t>
            </w:r>
            <w:r w:rsidRPr="00CB2EC4">
              <w:rPr>
                <w:rFonts w:ascii="Times New Roman" w:hAnsi="Times New Roman" w:cs="Times New Roman"/>
              </w:rPr>
              <w:br/>
              <w:t>- Single incision: refers to a continuous incision used for both vulvectomy and inguinal lymphoid tissue resection, simplifying the procedure but potentially increasing trauma.</w:t>
            </w:r>
            <w:r w:rsidRPr="00CB2EC4">
              <w:rPr>
                <w:rFonts w:ascii="Times New Roman" w:hAnsi="Times New Roman" w:cs="Times New Roman"/>
              </w:rPr>
              <w:br/>
              <w:t>Document fragment 30 (Figure 5-38) also describes the specific external incision (skin incision approximately 3 cm from the tumor margin) and internal incision (mucosal incision along the lateral vaginal wall), designed to ensure complete tumor resection.</w:t>
            </w:r>
          </w:p>
        </w:tc>
        <w:tc>
          <w:tcPr>
            <w:tcW w:w="1152" w:type="dxa"/>
            <w:vAlign w:val="center"/>
          </w:tcPr>
          <w:p w14:paraId="702385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DB416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0C25B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065FE13" w14:textId="77777777">
        <w:tc>
          <w:tcPr>
            <w:tcW w:w="2160" w:type="dxa"/>
            <w:vAlign w:val="center"/>
          </w:tcPr>
          <w:p w14:paraId="78F74B56"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21217BB" w14:textId="77777777" w:rsidR="00922249" w:rsidRPr="00CB2EC4" w:rsidRDefault="003011D5">
            <w:pPr>
              <w:rPr>
                <w:rFonts w:ascii="Times New Roman" w:hAnsi="Times New Roman" w:cs="Times New Roman"/>
              </w:rPr>
            </w:pPr>
            <w:r w:rsidRPr="00CB2EC4">
              <w:rPr>
                <w:rFonts w:ascii="Times New Roman" w:hAnsi="Times New Roman" w:cs="Times New Roman"/>
              </w:rPr>
              <w:t>the common incision types used in radical total vulvectomy include:</w:t>
            </w:r>
            <w:r w:rsidRPr="00CB2EC4">
              <w:rPr>
                <w:rFonts w:ascii="Times New Roman" w:hAnsi="Times New Roman" w:cs="Times New Roman"/>
              </w:rPr>
              <w:br/>
            </w:r>
            <w:r w:rsidRPr="00CB2EC4">
              <w:rPr>
                <w:rFonts w:ascii="Times New Roman" w:hAnsi="Times New Roman" w:cs="Times New Roman"/>
              </w:rPr>
              <w:br/>
              <w:t xml:space="preserve">1. Type </w:t>
            </w:r>
            <w:r w:rsidRPr="00CB2EC4">
              <w:rPr>
                <w:rFonts w:ascii="宋体" w:eastAsia="宋体" w:hAnsi="宋体" w:cs="宋体" w:hint="eastAsia"/>
              </w:rPr>
              <w:t>①</w:t>
            </w:r>
            <w:r w:rsidRPr="00CB2EC4">
              <w:rPr>
                <w:rFonts w:ascii="Times New Roman" w:hAnsi="Times New Roman" w:cs="Times New Roman"/>
              </w:rPr>
              <w:t>: Begins approximately 3 cm above the clitoris, follows the lateral margin of the labia majora, and converges at the midline of the perineum; the mons pubis is not removed.</w:t>
            </w:r>
            <w:r w:rsidRPr="00CB2EC4">
              <w:rPr>
                <w:rFonts w:ascii="Times New Roman" w:hAnsi="Times New Roman" w:cs="Times New Roman"/>
              </w:rPr>
              <w:br/>
              <w:t xml:space="preserve">2. Type </w:t>
            </w:r>
            <w:r w:rsidRPr="00CB2EC4">
              <w:rPr>
                <w:rFonts w:ascii="宋体" w:eastAsia="宋体" w:hAnsi="宋体" w:cs="宋体" w:hint="eastAsia"/>
              </w:rPr>
              <w:t>②</w:t>
            </w:r>
            <w:r w:rsidRPr="00CB2EC4">
              <w:rPr>
                <w:rFonts w:ascii="Times New Roman" w:hAnsi="Times New Roman" w:cs="Times New Roman"/>
              </w:rPr>
              <w:t xml:space="preserve">: The vulvar incision is the same as in type </w:t>
            </w:r>
            <w:r w:rsidRPr="00CB2EC4">
              <w:rPr>
                <w:rFonts w:ascii="宋体" w:eastAsia="宋体" w:hAnsi="宋体" w:cs="宋体" w:hint="eastAsia"/>
              </w:rPr>
              <w:t>①</w:t>
            </w:r>
            <w:r w:rsidRPr="00CB2EC4">
              <w:rPr>
                <w:rFonts w:ascii="Times New Roman" w:hAnsi="Times New Roman" w:cs="Times New Roman"/>
              </w:rPr>
              <w:t>, but with an additional longitudinal incision of the mons pubis skin for about 3 cm; the mons pubis skin is preserved, and subcutaneous tissue is removed down to the pubic fascia.</w:t>
            </w:r>
            <w:r w:rsidRPr="00CB2EC4">
              <w:rPr>
                <w:rFonts w:ascii="Times New Roman" w:hAnsi="Times New Roman" w:cs="Times New Roman"/>
              </w:rPr>
              <w:br/>
              <w:t xml:space="preserve">3. Type </w:t>
            </w:r>
            <w:r w:rsidRPr="00CB2EC4">
              <w:rPr>
                <w:rFonts w:ascii="宋体" w:eastAsia="宋体" w:hAnsi="宋体" w:cs="宋体" w:hint="eastAsia"/>
              </w:rPr>
              <w:t>③</w:t>
            </w:r>
            <w:r w:rsidRPr="00CB2EC4">
              <w:rPr>
                <w:rFonts w:ascii="Times New Roman" w:hAnsi="Times New Roman" w:cs="Times New Roman"/>
              </w:rPr>
              <w:t>: Follows the upper edge of the pubic symphysis, the lateral margin of the mons pubis, and the lateral margin of the labia majora, converging at the perineum.</w:t>
            </w:r>
            <w:r w:rsidRPr="00CB2EC4">
              <w:rPr>
                <w:rFonts w:ascii="Times New Roman" w:hAnsi="Times New Roman" w:cs="Times New Roman"/>
              </w:rPr>
              <w:br/>
              <w:t xml:space="preserve">4. Type </w:t>
            </w:r>
            <w:r w:rsidRPr="00CB2EC4">
              <w:rPr>
                <w:rFonts w:ascii="宋体" w:eastAsia="宋体" w:hAnsi="宋体" w:cs="宋体" w:hint="eastAsia"/>
              </w:rPr>
              <w:t>④</w:t>
            </w:r>
            <w:r w:rsidRPr="00CB2EC4">
              <w:rPr>
                <w:rFonts w:ascii="Times New Roman" w:hAnsi="Times New Roman" w:cs="Times New Roman"/>
              </w:rPr>
              <w:t xml:space="preserve">: Essentially the same as type </w:t>
            </w:r>
            <w:r w:rsidRPr="00CB2EC4">
              <w:rPr>
                <w:rFonts w:ascii="宋体" w:eastAsia="宋体" w:hAnsi="宋体" w:cs="宋体" w:hint="eastAsia"/>
              </w:rPr>
              <w:t>③</w:t>
            </w:r>
            <w:r w:rsidRPr="00CB2EC4">
              <w:rPr>
                <w:rFonts w:ascii="Times New Roman" w:hAnsi="Times New Roman" w:cs="Times New Roman"/>
              </w:rPr>
              <w:t>, but the lateral vulvar margins extend to the medial aspect of the thighs.</w:t>
            </w:r>
            <w:r w:rsidRPr="00CB2EC4">
              <w:rPr>
                <w:rFonts w:ascii="Times New Roman" w:hAnsi="Times New Roman" w:cs="Times New Roman"/>
              </w:rPr>
              <w:br/>
            </w:r>
            <w:r w:rsidRPr="00CB2EC4">
              <w:rPr>
                <w:rFonts w:ascii="Times New Roman" w:hAnsi="Times New Roman" w:cs="Times New Roman"/>
              </w:rPr>
              <w:lastRenderedPageBreak/>
              <w:br/>
              <w:t>These incision types are designed based on the location and extent of the lesion to ensure adequate tumor resection.</w:t>
            </w:r>
          </w:p>
        </w:tc>
        <w:tc>
          <w:tcPr>
            <w:tcW w:w="1152" w:type="dxa"/>
            <w:vAlign w:val="center"/>
          </w:tcPr>
          <w:p w14:paraId="4B2533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D389C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C62A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DE89D1" w14:textId="77777777">
        <w:tc>
          <w:tcPr>
            <w:tcW w:w="2160" w:type="dxa"/>
            <w:vAlign w:val="center"/>
          </w:tcPr>
          <w:p w14:paraId="43D110CB"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67E192E" w14:textId="77777777" w:rsidR="00922249" w:rsidRPr="00CB2EC4" w:rsidRDefault="003011D5">
            <w:pPr>
              <w:rPr>
                <w:rFonts w:ascii="Times New Roman" w:hAnsi="Times New Roman" w:cs="Times New Roman"/>
              </w:rPr>
            </w:pPr>
            <w:r w:rsidRPr="00CB2EC4">
              <w:rPr>
                <w:rFonts w:ascii="Times New Roman" w:hAnsi="Times New Roman" w:cs="Times New Roman"/>
              </w:rPr>
              <w:t>the common incision types used in radical total vulvectomy include:</w:t>
            </w:r>
            <w:r w:rsidRPr="00CB2EC4">
              <w:rPr>
                <w:rFonts w:ascii="Times New Roman" w:hAnsi="Times New Roman" w:cs="Times New Roman"/>
              </w:rPr>
              <w:br/>
            </w:r>
            <w:r w:rsidRPr="00CB2EC4">
              <w:rPr>
                <w:rFonts w:ascii="Times New Roman" w:hAnsi="Times New Roman" w:cs="Times New Roman"/>
              </w:rPr>
              <w:br/>
              <w:t>1.  Separate incisions (vulvectomy + inguinal lymphadenectomy):</w:t>
            </w:r>
            <w:r w:rsidRPr="00CB2EC4">
              <w:rPr>
                <w:rFonts w:ascii="Times New Roman" w:hAnsi="Times New Roman" w:cs="Times New Roman"/>
              </w:rPr>
              <w:br/>
              <w:t xml:space="preserve">    -   Bilateral inguinal incisions: Vulvectomy and bilateral inguinal lymph node dissection are performed separately (Figure 5-5).</w:t>
            </w:r>
            <w:r w:rsidRPr="00CB2EC4">
              <w:rPr>
                <w:rFonts w:ascii="Times New Roman" w:hAnsi="Times New Roman" w:cs="Times New Roman"/>
              </w:rPr>
              <w:br/>
              <w:t xml:space="preserve">    -   Unilateral inguinal incision: Used for lymph node dissection in unilateral disease.</w:t>
            </w:r>
            <w:r w:rsidRPr="00CB2EC4">
              <w:rPr>
                <w:rFonts w:ascii="Times New Roman" w:hAnsi="Times New Roman" w:cs="Times New Roman"/>
              </w:rPr>
              <w:br/>
            </w:r>
            <w:r w:rsidRPr="00CB2EC4">
              <w:rPr>
                <w:rFonts w:ascii="Times New Roman" w:hAnsi="Times New Roman" w:cs="Times New Roman"/>
              </w:rPr>
              <w:br/>
              <w:t>2.  Single (butterfly/long curved) incision:</w:t>
            </w:r>
            <w:r w:rsidRPr="00CB2EC4">
              <w:rPr>
                <w:rFonts w:ascii="Times New Roman" w:hAnsi="Times New Roman" w:cs="Times New Roman"/>
              </w:rPr>
              <w:br/>
              <w:t xml:space="preserve">    -   Extends from both anterior superior iliac spines to the vulva, allowing en bloc resection of the vulva and inguinal lymphoid tissue (requires adequate exposure of the femoral triangle).</w:t>
            </w:r>
            <w:r w:rsidRPr="00CB2EC4">
              <w:rPr>
                <w:rFonts w:ascii="Times New Roman" w:hAnsi="Times New Roman" w:cs="Times New Roman"/>
              </w:rPr>
              <w:br/>
            </w:r>
            <w:r w:rsidRPr="00CB2EC4">
              <w:rPr>
                <w:rFonts w:ascii="Times New Roman" w:hAnsi="Times New Roman" w:cs="Times New Roman"/>
              </w:rPr>
              <w:br/>
              <w:t>MSK guidelines (Figures 2, 3) further confirm the incision design for radical partial vulvectomy (local wide excision) and radical total vulvectomy (complete resection + lymph node dissection), emphasizing adjustment of the extent based on tumor location.</w:t>
            </w:r>
          </w:p>
        </w:tc>
        <w:tc>
          <w:tcPr>
            <w:tcW w:w="1152" w:type="dxa"/>
            <w:vAlign w:val="center"/>
          </w:tcPr>
          <w:p w14:paraId="6E98E6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AE118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871E1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2FEB4AE" w14:textId="77777777">
        <w:tc>
          <w:tcPr>
            <w:tcW w:w="2160" w:type="dxa"/>
            <w:vAlign w:val="center"/>
          </w:tcPr>
          <w:p w14:paraId="7B59EE2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411C56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incision types in radical total vulvectomy include:  </w:t>
            </w:r>
            <w:r w:rsidRPr="00CB2EC4">
              <w:rPr>
                <w:rFonts w:ascii="Times New Roman" w:hAnsi="Times New Roman" w:cs="Times New Roman"/>
              </w:rPr>
              <w:br/>
              <w:t xml:space="preserve">- Split incision: used for vulvectomy combined with inguinal lymphoid tissue resection, divided into two types (the document does not specify the two types).  </w:t>
            </w:r>
            <w:r w:rsidRPr="00CB2EC4">
              <w:rPr>
                <w:rFonts w:ascii="Times New Roman" w:hAnsi="Times New Roman" w:cs="Times New Roman"/>
              </w:rPr>
              <w:br/>
              <w:t xml:space="preserve">- Single incision: used for vulvectomy combined with inguinal lymphoid tissue resection, is an integrated </w:t>
            </w:r>
            <w:r w:rsidRPr="00CB2EC4">
              <w:rPr>
                <w:rFonts w:ascii="Times New Roman" w:hAnsi="Times New Roman" w:cs="Times New Roman"/>
              </w:rPr>
              <w:lastRenderedPageBreak/>
              <w:t xml:space="preserve">incision.  </w:t>
            </w:r>
            <w:r w:rsidRPr="00CB2EC4">
              <w:rPr>
                <w:rFonts w:ascii="Times New Roman" w:hAnsi="Times New Roman" w:cs="Times New Roman"/>
              </w:rPr>
              <w:br/>
              <w:t>Documents 1 and 14 indicate that incision selection depends on surgical requirements, but do not detail the two specific types of split incision. Therefore, based on the document, the common incision types are split incision and single incision.</w:t>
            </w:r>
          </w:p>
        </w:tc>
        <w:tc>
          <w:tcPr>
            <w:tcW w:w="1152" w:type="dxa"/>
            <w:vAlign w:val="center"/>
          </w:tcPr>
          <w:p w14:paraId="78CED0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127F8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569B2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94533E5" w14:textId="77777777">
        <w:tc>
          <w:tcPr>
            <w:tcW w:w="2160" w:type="dxa"/>
            <w:vAlign w:val="center"/>
          </w:tcPr>
          <w:p w14:paraId="2066312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B77A87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incision types in radical total vulvectomy include:  </w:t>
            </w:r>
            <w:r w:rsidRPr="00CB2EC4">
              <w:rPr>
                <w:rFonts w:ascii="Times New Roman" w:hAnsi="Times New Roman" w:cs="Times New Roman"/>
              </w:rPr>
              <w:br/>
              <w:t xml:space="preserve">- Split incision: used for vulvectomy combined with inguinal lymphoid tissue resection. This incision type has two subtypes, though the specific subtypes are not detailed in the context (Document 4 mentions "the former has two types" but does not elaborate).  </w:t>
            </w:r>
            <w:r w:rsidRPr="00CB2EC4">
              <w:rPr>
                <w:rFonts w:ascii="Times New Roman" w:hAnsi="Times New Roman" w:cs="Times New Roman"/>
              </w:rPr>
              <w:br/>
              <w:t xml:space="preserve">- Single incision: used for vulvectomy combined with inguinal lymphoid tissue resection, as an integrated approach.  </w:t>
            </w:r>
            <w:r w:rsidRPr="00CB2EC4">
              <w:rPr>
                <w:rFonts w:ascii="Times New Roman" w:hAnsi="Times New Roman" w:cs="Times New Roman"/>
              </w:rPr>
              <w:br/>
              <w:t>No additional specific incision types (such as detailed names or diagram features) are provided in the context; therefore, based on available information, the common incision types are split incision and single incision.</w:t>
            </w:r>
          </w:p>
        </w:tc>
        <w:tc>
          <w:tcPr>
            <w:tcW w:w="1152" w:type="dxa"/>
            <w:vAlign w:val="center"/>
          </w:tcPr>
          <w:p w14:paraId="088793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43882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6F252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18DE012" w14:textId="77777777">
        <w:tc>
          <w:tcPr>
            <w:tcW w:w="2160" w:type="dxa"/>
            <w:vAlign w:val="center"/>
          </w:tcPr>
          <w:p w14:paraId="1EE4C0B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8C2153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incision types in radical total vulvectomy include:  </w:t>
            </w:r>
            <w:r w:rsidRPr="00CB2EC4">
              <w:rPr>
                <w:rFonts w:ascii="Times New Roman" w:hAnsi="Times New Roman" w:cs="Times New Roman"/>
              </w:rPr>
              <w:br/>
              <w:t xml:space="preserve">- Customized incisions based on lesion location: the incision lines are designed according to the tumor site (e.g., lateral, posterior, or anterior). For example:  </w:t>
            </w:r>
            <w:r w:rsidRPr="00CB2EC4">
              <w:rPr>
                <w:rFonts w:ascii="Times New Roman" w:hAnsi="Times New Roman" w:cs="Times New Roman"/>
              </w:rPr>
              <w:br/>
              <w:t xml:space="preserve">  - Lateral vulvar lesion: incision line as shown in Figure 5-2 (radical local vulvectomy, lateral lesion).  </w:t>
            </w:r>
            <w:r w:rsidRPr="00CB2EC4">
              <w:rPr>
                <w:rFonts w:ascii="Times New Roman" w:hAnsi="Times New Roman" w:cs="Times New Roman"/>
              </w:rPr>
              <w:br/>
              <w:t xml:space="preserve">  - Posterior vulvar lesion: incision line as shown in Figure 5-3 (radical local vulvectomy, posterior lesion).  </w:t>
            </w:r>
            <w:r w:rsidRPr="00CB2EC4">
              <w:rPr>
                <w:rFonts w:ascii="Times New Roman" w:hAnsi="Times New Roman" w:cs="Times New Roman"/>
              </w:rPr>
              <w:br/>
              <w:t xml:space="preserve">  - Anterior vulvar lesion: incision line as shown in Figure 5-4 (radical local vulvectomy, anterior lesion).  </w:t>
            </w:r>
            <w:r w:rsidRPr="00CB2EC4">
              <w:rPr>
                <w:rFonts w:ascii="Times New Roman" w:hAnsi="Times New Roman" w:cs="Times New Roman"/>
              </w:rPr>
              <w:br/>
            </w:r>
            <w:r w:rsidRPr="00CB2EC4">
              <w:rPr>
                <w:rFonts w:ascii="Times New Roman" w:hAnsi="Times New Roman" w:cs="Times New Roman"/>
              </w:rPr>
              <w:lastRenderedPageBreak/>
              <w:t xml:space="preserve">- Unilateral radical vulvectomy incision: used when the lesion is confined to one side, with incision as shown in Figure 5-5 (unilateral radical vulvectomy).  </w:t>
            </w:r>
            <w:r w:rsidRPr="00CB2EC4">
              <w:rPr>
                <w:rFonts w:ascii="Times New Roman" w:hAnsi="Times New Roman" w:cs="Times New Roman"/>
              </w:rPr>
              <w:br/>
              <w:t xml:space="preserve">- Standard radical total vulvectomy incision: extends anteriorly to 3–5 cm above the clitoris, posteriorly to include 3/4 of the perineum, and laterally to the genitofemoral folds (the groove between the labia majora and thigh). This design ensures adequate tissue excision and reduces postoperative recurrence risk.  </w:t>
            </w:r>
            <w:r w:rsidRPr="00CB2EC4">
              <w:rPr>
                <w:rFonts w:ascii="Times New Roman" w:hAnsi="Times New Roman" w:cs="Times New Roman"/>
              </w:rPr>
              <w:br/>
            </w:r>
            <w:r w:rsidRPr="00CB2EC4">
              <w:rPr>
                <w:rFonts w:ascii="Times New Roman" w:hAnsi="Times New Roman" w:cs="Times New Roman"/>
              </w:rPr>
              <w:br/>
              <w:t>The above information is derived from specific descriptions of surgical incisions in the source document (e.g., passages with similarity scores of 0.556 and 0.487).</w:t>
            </w:r>
          </w:p>
        </w:tc>
        <w:tc>
          <w:tcPr>
            <w:tcW w:w="1152" w:type="dxa"/>
            <w:vAlign w:val="center"/>
          </w:tcPr>
          <w:p w14:paraId="58B54F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EC05D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4CFC3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89E6E94" w14:textId="77777777">
        <w:tc>
          <w:tcPr>
            <w:tcW w:w="2160" w:type="dxa"/>
            <w:vAlign w:val="center"/>
          </w:tcPr>
          <w:p w14:paraId="1ADA097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9A964BB" w14:textId="77777777" w:rsidR="00922249" w:rsidRPr="00CB2EC4" w:rsidRDefault="003011D5">
            <w:pPr>
              <w:rPr>
                <w:rFonts w:ascii="Times New Roman" w:hAnsi="Times New Roman" w:cs="Times New Roman"/>
              </w:rPr>
            </w:pPr>
            <w:r w:rsidRPr="00CB2EC4">
              <w:rPr>
                <w:rFonts w:ascii="Times New Roman" w:hAnsi="Times New Roman" w:cs="Times New Roman"/>
              </w:rPr>
              <w:t>the common incision types in radical total vulvectomy include the following four types:</w:t>
            </w:r>
            <w:r w:rsidRPr="00CB2EC4">
              <w:rPr>
                <w:rFonts w:ascii="Times New Roman" w:hAnsi="Times New Roman" w:cs="Times New Roman"/>
              </w:rPr>
              <w:br/>
            </w:r>
            <w:r w:rsidRPr="00CB2EC4">
              <w:rPr>
                <w:rFonts w:ascii="Times New Roman" w:hAnsi="Times New Roman" w:cs="Times New Roman"/>
              </w:rPr>
              <w:br/>
              <w:t>- Type 1: The incision begins approximately 3 cm above the clitoris, extends along the lateral margin of the labia majora, and converges at the midline of the perineum. This type does not remove the mons pubis.</w:t>
            </w:r>
            <w:r w:rsidRPr="00CB2EC4">
              <w:rPr>
                <w:rFonts w:ascii="Times New Roman" w:hAnsi="Times New Roman" w:cs="Times New Roman"/>
              </w:rPr>
              <w:br/>
              <w:t>- Type 2: The incision is similar to Type 1 but also includes a longitudinal incision of the mons pubis skin for about 3 cm. The mons pubis skin is preserved, but the subcutaneous tissue is removed down to the pubic fascia.</w:t>
            </w:r>
            <w:r w:rsidRPr="00CB2EC4">
              <w:rPr>
                <w:rFonts w:ascii="Times New Roman" w:hAnsi="Times New Roman" w:cs="Times New Roman"/>
              </w:rPr>
              <w:br/>
              <w:t>- Type 3: The incision is designed along the superior border of the pubic symphysis, the lateral margin of the mons pubis, and the lateral margin of the labia majora, converging at the perineal midline.</w:t>
            </w:r>
            <w:r w:rsidRPr="00CB2EC4">
              <w:rPr>
                <w:rFonts w:ascii="Times New Roman" w:hAnsi="Times New Roman" w:cs="Times New Roman"/>
              </w:rPr>
              <w:br/>
              <w:t>- Type 4: The incision is essentially the same as Type 3, but the lateral margins of the vulvar resection are extended to the medial aspect of the thighs to expand the resection area.</w:t>
            </w:r>
            <w:r w:rsidRPr="00CB2EC4">
              <w:rPr>
                <w:rFonts w:ascii="Times New Roman" w:hAnsi="Times New Roman" w:cs="Times New Roman"/>
              </w:rPr>
              <w:br/>
            </w:r>
            <w:r w:rsidRPr="00CB2EC4">
              <w:rPr>
                <w:rFonts w:ascii="Times New Roman" w:hAnsi="Times New Roman" w:cs="Times New Roman"/>
              </w:rPr>
              <w:lastRenderedPageBreak/>
              <w:br/>
              <w:t>These incision types are selected based on tumor location (e.g., lateral, posterior, or anterior lesions) to ensure adequate tumor resection while preserving function as much as possible. Document fragment 1 also illustrates the incision lines for different lesion sites in Figures 5-2 to 5-5.</w:t>
            </w:r>
          </w:p>
        </w:tc>
        <w:tc>
          <w:tcPr>
            <w:tcW w:w="1152" w:type="dxa"/>
            <w:vAlign w:val="center"/>
          </w:tcPr>
          <w:p w14:paraId="328A3F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CB730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BFBC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2B68E6" w14:textId="77777777">
        <w:tc>
          <w:tcPr>
            <w:tcW w:w="2160" w:type="dxa"/>
            <w:vAlign w:val="center"/>
          </w:tcPr>
          <w:p w14:paraId="0105098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94B006B" w14:textId="77777777" w:rsidR="00922249" w:rsidRPr="00CB2EC4" w:rsidRDefault="003011D5">
            <w:pPr>
              <w:rPr>
                <w:rFonts w:ascii="Times New Roman" w:hAnsi="Times New Roman" w:cs="Times New Roman"/>
              </w:rPr>
            </w:pPr>
            <w:r w:rsidRPr="00CB2EC4">
              <w:rPr>
                <w:rFonts w:ascii="Times New Roman" w:hAnsi="Times New Roman" w:cs="Times New Roman"/>
              </w:rPr>
              <w:t>the common incision types in radical total vulvectomy are as follows:</w:t>
            </w:r>
            <w:r w:rsidRPr="00CB2EC4">
              <w:rPr>
                <w:rFonts w:ascii="Times New Roman" w:hAnsi="Times New Roman" w:cs="Times New Roman"/>
              </w:rPr>
              <w:br/>
            </w:r>
            <w:r w:rsidRPr="00CB2EC4">
              <w:rPr>
                <w:rFonts w:ascii="Times New Roman" w:hAnsi="Times New Roman" w:cs="Times New Roman"/>
              </w:rPr>
              <w:br/>
              <w:t xml:space="preserve">- </w:t>
            </w:r>
            <w:r w:rsidRPr="00CB2EC4">
              <w:rPr>
                <w:rFonts w:ascii="宋体" w:eastAsia="宋体" w:hAnsi="宋体" w:cs="宋体" w:hint="eastAsia"/>
              </w:rPr>
              <w:t>①</w:t>
            </w:r>
            <w:r w:rsidRPr="00CB2EC4">
              <w:rPr>
                <w:rFonts w:ascii="Times New Roman" w:hAnsi="Times New Roman" w:cs="Times New Roman"/>
              </w:rPr>
              <w:t xml:space="preserve"> Type incision: Begins approximately 3 cm above the clitoris, follows the lateral margin of the labia majora, and converges at the midline of the perineum (Fig. 5-38A). The mons pubis is not removed.</w:t>
            </w:r>
            <w:r w:rsidRPr="00CB2EC4">
              <w:rPr>
                <w:rFonts w:ascii="Times New Roman" w:hAnsi="Times New Roman" w:cs="Times New Roman"/>
              </w:rPr>
              <w:br/>
              <w:t xml:space="preserve">- </w:t>
            </w:r>
            <w:r w:rsidRPr="00CB2EC4">
              <w:rPr>
                <w:rFonts w:ascii="宋体" w:eastAsia="宋体" w:hAnsi="宋体" w:cs="宋体" w:hint="eastAsia"/>
              </w:rPr>
              <w:t>②</w:t>
            </w:r>
            <w:r w:rsidRPr="00CB2EC4">
              <w:rPr>
                <w:rFonts w:ascii="Times New Roman" w:hAnsi="Times New Roman" w:cs="Times New Roman"/>
              </w:rPr>
              <w:t xml:space="preserve"> Type incision: The vulvar incision is the same as in type </w:t>
            </w:r>
            <w:r w:rsidRPr="00CB2EC4">
              <w:rPr>
                <w:rFonts w:ascii="宋体" w:eastAsia="宋体" w:hAnsi="宋体" w:cs="宋体" w:hint="eastAsia"/>
              </w:rPr>
              <w:t>①</w:t>
            </w:r>
            <w:r w:rsidRPr="00CB2EC4">
              <w:rPr>
                <w:rFonts w:ascii="Times New Roman" w:hAnsi="Times New Roman" w:cs="Times New Roman"/>
              </w:rPr>
              <w:t>, but with an additional longitudinal incision of the mons pubis skin for about 3 cm (Fig. 5-38B). The skin of the mons pubis is preserved, and the subcutaneous tissue is removed down to the pubic fascia.</w:t>
            </w:r>
            <w:r w:rsidRPr="00CB2EC4">
              <w:rPr>
                <w:rFonts w:ascii="Times New Roman" w:hAnsi="Times New Roman" w:cs="Times New Roman"/>
              </w:rPr>
              <w:br/>
              <w:t xml:space="preserve">- </w:t>
            </w:r>
            <w:r w:rsidRPr="00CB2EC4">
              <w:rPr>
                <w:rFonts w:ascii="宋体" w:eastAsia="宋体" w:hAnsi="宋体" w:cs="宋体" w:hint="eastAsia"/>
              </w:rPr>
              <w:t>③</w:t>
            </w:r>
            <w:r w:rsidRPr="00CB2EC4">
              <w:rPr>
                <w:rFonts w:ascii="Times New Roman" w:hAnsi="Times New Roman" w:cs="Times New Roman"/>
              </w:rPr>
              <w:t xml:space="preserve"> Type incision: Follows the superior margin of the pubic symphysis, the lateral margin of the mons pubis, and the lateral margin of the labia majora, converging at the perineum (Fig. 5-38C).</w:t>
            </w:r>
            <w:r w:rsidRPr="00CB2EC4">
              <w:rPr>
                <w:rFonts w:ascii="Times New Roman" w:hAnsi="Times New Roman" w:cs="Times New Roman"/>
              </w:rPr>
              <w:br/>
              <w:t xml:space="preserve">- </w:t>
            </w:r>
            <w:r w:rsidRPr="00CB2EC4">
              <w:rPr>
                <w:rFonts w:ascii="宋体" w:eastAsia="宋体" w:hAnsi="宋体" w:cs="宋体" w:hint="eastAsia"/>
              </w:rPr>
              <w:t>④</w:t>
            </w:r>
            <w:r w:rsidRPr="00CB2EC4">
              <w:rPr>
                <w:rFonts w:ascii="Times New Roman" w:hAnsi="Times New Roman" w:cs="Times New Roman"/>
              </w:rPr>
              <w:t xml:space="preserve"> Type incision: Essentially the same as type </w:t>
            </w:r>
            <w:r w:rsidRPr="00CB2EC4">
              <w:rPr>
                <w:rFonts w:ascii="宋体" w:eastAsia="宋体" w:hAnsi="宋体" w:cs="宋体" w:hint="eastAsia"/>
              </w:rPr>
              <w:t>③</w:t>
            </w:r>
            <w:r w:rsidRPr="00CB2EC4">
              <w:rPr>
                <w:rFonts w:ascii="Times New Roman" w:hAnsi="Times New Roman" w:cs="Times New Roman"/>
              </w:rPr>
              <w:t>, but the lateral vulvar margins extend to the medial aspect of the thighs (Fig. 5-38D).</w:t>
            </w:r>
          </w:p>
        </w:tc>
        <w:tc>
          <w:tcPr>
            <w:tcW w:w="1152" w:type="dxa"/>
            <w:vAlign w:val="center"/>
          </w:tcPr>
          <w:p w14:paraId="0D5BDF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8E23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EE47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914E445" w14:textId="77777777">
        <w:tc>
          <w:tcPr>
            <w:tcW w:w="2160" w:type="dxa"/>
            <w:vAlign w:val="center"/>
          </w:tcPr>
          <w:p w14:paraId="036403F8"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EF8EE5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incision types in radical total vulvectomy include the following four:  </w:t>
            </w:r>
            <w:r w:rsidRPr="00CB2EC4">
              <w:rPr>
                <w:rFonts w:ascii="Times New Roman" w:hAnsi="Times New Roman" w:cs="Times New Roman"/>
              </w:rPr>
              <w:br/>
              <w:t xml:space="preserve">   - </w:t>
            </w:r>
            <w:r w:rsidRPr="00CB2EC4">
              <w:rPr>
                <w:rFonts w:ascii="宋体" w:eastAsia="宋体" w:hAnsi="宋体" w:cs="宋体" w:hint="eastAsia"/>
              </w:rPr>
              <w:t>①</w:t>
            </w:r>
            <w:r w:rsidRPr="00CB2EC4">
              <w:rPr>
                <w:rFonts w:ascii="Times New Roman" w:hAnsi="Times New Roman" w:cs="Times New Roman"/>
              </w:rPr>
              <w:t xml:space="preserve"> Incision: Begins approximately 3 cm above the clitoris, runs along the lateral margin of the labia majora, and converges at the midline of the perineum; the mons pubis is not removed.  </w:t>
            </w:r>
            <w:r w:rsidRPr="00CB2EC4">
              <w:rPr>
                <w:rFonts w:ascii="Times New Roman" w:hAnsi="Times New Roman" w:cs="Times New Roman"/>
              </w:rPr>
              <w:br/>
            </w:r>
            <w:r w:rsidRPr="00CB2EC4">
              <w:rPr>
                <w:rFonts w:ascii="Times New Roman" w:hAnsi="Times New Roman" w:cs="Times New Roman"/>
              </w:rPr>
              <w:lastRenderedPageBreak/>
              <w:t xml:space="preserve">   - </w:t>
            </w:r>
            <w:r w:rsidRPr="00CB2EC4">
              <w:rPr>
                <w:rFonts w:ascii="宋体" w:eastAsia="宋体" w:hAnsi="宋体" w:cs="宋体" w:hint="eastAsia"/>
              </w:rPr>
              <w:t>②</w:t>
            </w:r>
            <w:r w:rsidRPr="00CB2EC4">
              <w:rPr>
                <w:rFonts w:ascii="Times New Roman" w:hAnsi="Times New Roman" w:cs="Times New Roman"/>
              </w:rPr>
              <w:t xml:space="preserve"> Incision: Similar to </w:t>
            </w:r>
            <w:r w:rsidRPr="00CB2EC4">
              <w:rPr>
                <w:rFonts w:ascii="宋体" w:eastAsia="宋体" w:hAnsi="宋体" w:cs="宋体" w:hint="eastAsia"/>
              </w:rPr>
              <w:t>①</w:t>
            </w:r>
            <w:r w:rsidRPr="00CB2EC4">
              <w:rPr>
                <w:rFonts w:ascii="Times New Roman" w:hAnsi="Times New Roman" w:cs="Times New Roman"/>
              </w:rPr>
              <w:t xml:space="preserve">, but also includes a longitudinal incision of the mons pubis skin about 3 cm in length; the mons pubis skin is preserved, while subcutaneous tissue is removed down to the pubic fascia. The author frequently uses this incision.  </w:t>
            </w:r>
            <w:r w:rsidRPr="00CB2EC4">
              <w:rPr>
                <w:rFonts w:ascii="Times New Roman" w:hAnsi="Times New Roman" w:cs="Times New Roman"/>
              </w:rPr>
              <w:br/>
              <w:t xml:space="preserve">   - </w:t>
            </w:r>
            <w:r w:rsidRPr="00CB2EC4">
              <w:rPr>
                <w:rFonts w:ascii="宋体" w:eastAsia="宋体" w:hAnsi="宋体" w:cs="宋体" w:hint="eastAsia"/>
              </w:rPr>
              <w:t>③</w:t>
            </w:r>
            <w:r w:rsidRPr="00CB2EC4">
              <w:rPr>
                <w:rFonts w:ascii="Times New Roman" w:hAnsi="Times New Roman" w:cs="Times New Roman"/>
              </w:rPr>
              <w:t xml:space="preserve"> Incision: Follows the upper edge of the pubic symphysis, the lateral margin of the mons pubis, and the lateral margin of the labia majora, converging at the perineal midline.  </w:t>
            </w:r>
            <w:r w:rsidRPr="00CB2EC4">
              <w:rPr>
                <w:rFonts w:ascii="Times New Roman" w:hAnsi="Times New Roman" w:cs="Times New Roman"/>
              </w:rPr>
              <w:br/>
              <w:t xml:space="preserve">   - </w:t>
            </w:r>
            <w:r w:rsidRPr="00CB2EC4">
              <w:rPr>
                <w:rFonts w:ascii="宋体" w:eastAsia="宋体" w:hAnsi="宋体" w:cs="宋体" w:hint="eastAsia"/>
              </w:rPr>
              <w:t>④</w:t>
            </w:r>
            <w:r w:rsidRPr="00CB2EC4">
              <w:rPr>
                <w:rFonts w:ascii="Times New Roman" w:hAnsi="Times New Roman" w:cs="Times New Roman"/>
              </w:rPr>
              <w:t xml:space="preserve"> Incision: Essentially the same as </w:t>
            </w:r>
            <w:r w:rsidRPr="00CB2EC4">
              <w:rPr>
                <w:rFonts w:ascii="宋体" w:eastAsia="宋体" w:hAnsi="宋体" w:cs="宋体" w:hint="eastAsia"/>
              </w:rPr>
              <w:t>③</w:t>
            </w:r>
            <w:r w:rsidRPr="00CB2EC4">
              <w:rPr>
                <w:rFonts w:ascii="Times New Roman" w:hAnsi="Times New Roman" w:cs="Times New Roman"/>
              </w:rPr>
              <w:t xml:space="preserve">, but the lateral margins of the vulvar incision extend to the medial aspect of the thighs.  </w:t>
            </w:r>
            <w:r w:rsidRPr="00CB2EC4">
              <w:rPr>
                <w:rFonts w:ascii="Times New Roman" w:hAnsi="Times New Roman" w:cs="Times New Roman"/>
              </w:rPr>
              <w:br/>
              <w:t>These incision designs aim to ensure adequate tumor resection margins (at least 3 cm from the tumor), while also considering flap blood supply and postoperative healing.</w:t>
            </w:r>
          </w:p>
        </w:tc>
        <w:tc>
          <w:tcPr>
            <w:tcW w:w="1152" w:type="dxa"/>
            <w:vAlign w:val="center"/>
          </w:tcPr>
          <w:p w14:paraId="1EDCC1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F608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B411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27637D" w14:textId="77777777">
        <w:tc>
          <w:tcPr>
            <w:tcW w:w="2160" w:type="dxa"/>
            <w:vAlign w:val="center"/>
          </w:tcPr>
          <w:p w14:paraId="0185E6F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8F93DB0"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5CC03A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59B4E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22060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F31257B" w14:textId="77777777">
        <w:tc>
          <w:tcPr>
            <w:tcW w:w="2160" w:type="dxa"/>
            <w:vAlign w:val="center"/>
          </w:tcPr>
          <w:p w14:paraId="5520A74C"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0BEF63C" w14:textId="77777777" w:rsidR="00922249" w:rsidRPr="00CB2EC4" w:rsidRDefault="003011D5">
            <w:pPr>
              <w:rPr>
                <w:rFonts w:ascii="Times New Roman" w:hAnsi="Times New Roman" w:cs="Times New Roman"/>
              </w:rPr>
            </w:pPr>
            <w:r w:rsidRPr="00CB2EC4">
              <w:rPr>
                <w:rFonts w:ascii="Times New Roman" w:hAnsi="Times New Roman" w:cs="Times New Roman"/>
              </w:rPr>
              <w:t>the common incision types in radical total vulvectomy are as follows:</w:t>
            </w:r>
            <w:r w:rsidRPr="00CB2EC4">
              <w:rPr>
                <w:rFonts w:ascii="Times New Roman" w:hAnsi="Times New Roman" w:cs="Times New Roman"/>
              </w:rPr>
              <w:br/>
            </w:r>
            <w:r w:rsidRPr="00CB2EC4">
              <w:rPr>
                <w:rFonts w:ascii="Times New Roman" w:hAnsi="Times New Roman" w:cs="Times New Roman"/>
              </w:rPr>
              <w:br/>
              <w:t xml:space="preserve">- Type </w:t>
            </w:r>
            <w:r w:rsidRPr="00CB2EC4">
              <w:rPr>
                <w:rFonts w:ascii="宋体" w:eastAsia="宋体" w:hAnsi="宋体" w:cs="宋体" w:hint="eastAsia"/>
              </w:rPr>
              <w:t>①</w:t>
            </w:r>
            <w:r w:rsidRPr="00CB2EC4">
              <w:rPr>
                <w:rFonts w:ascii="Times New Roman" w:hAnsi="Times New Roman" w:cs="Times New Roman"/>
              </w:rPr>
              <w:t>: The incision begins approximately 3 cm above the clitoris, extends along the lateral margin of the labia majora, and converges at the midline of the perineum without resection of the mons pubis (corresponding to Figure 5-38A).</w:t>
            </w:r>
            <w:r w:rsidRPr="00CB2EC4">
              <w:rPr>
                <w:rFonts w:ascii="Times New Roman" w:hAnsi="Times New Roman" w:cs="Times New Roman"/>
              </w:rPr>
              <w:br/>
              <w:t xml:space="preserve">- Type </w:t>
            </w:r>
            <w:r w:rsidRPr="00CB2EC4">
              <w:rPr>
                <w:rFonts w:ascii="宋体" w:eastAsia="宋体" w:hAnsi="宋体" w:cs="宋体" w:hint="eastAsia"/>
              </w:rPr>
              <w:t>②</w:t>
            </w:r>
            <w:r w:rsidRPr="00CB2EC4">
              <w:rPr>
                <w:rFonts w:ascii="Times New Roman" w:hAnsi="Times New Roman" w:cs="Times New Roman"/>
              </w:rPr>
              <w:t xml:space="preserve">: The incision is identical to type </w:t>
            </w:r>
            <w:r w:rsidRPr="00CB2EC4">
              <w:rPr>
                <w:rFonts w:ascii="宋体" w:eastAsia="宋体" w:hAnsi="宋体" w:cs="宋体" w:hint="eastAsia"/>
              </w:rPr>
              <w:t>①</w:t>
            </w:r>
            <w:r w:rsidRPr="00CB2EC4">
              <w:rPr>
                <w:rFonts w:ascii="Times New Roman" w:hAnsi="Times New Roman" w:cs="Times New Roman"/>
              </w:rPr>
              <w:t>, but additionally involves a longitudinal incision of the mons pubis skin for about 3 cm; the mons pubis skin is preserved, and subcutaneous tissue is resected down to the pubic fascia (corresponding to Figure 5-38B). The author frequently uses this type.</w:t>
            </w:r>
            <w:r w:rsidRPr="00CB2EC4">
              <w:rPr>
                <w:rFonts w:ascii="Times New Roman" w:hAnsi="Times New Roman" w:cs="Times New Roman"/>
              </w:rPr>
              <w:br/>
              <w:t xml:space="preserve">- Type </w:t>
            </w:r>
            <w:r w:rsidRPr="00CB2EC4">
              <w:rPr>
                <w:rFonts w:ascii="宋体" w:eastAsia="宋体" w:hAnsi="宋体" w:cs="宋体" w:hint="eastAsia"/>
              </w:rPr>
              <w:t>③</w:t>
            </w:r>
            <w:r w:rsidRPr="00CB2EC4">
              <w:rPr>
                <w:rFonts w:ascii="Times New Roman" w:hAnsi="Times New Roman" w:cs="Times New Roman"/>
              </w:rPr>
              <w:t xml:space="preserve">: The incision extends along the superior margin of the pubic symphysis, the lateral margin of </w:t>
            </w:r>
            <w:r w:rsidRPr="00CB2EC4">
              <w:rPr>
                <w:rFonts w:ascii="Times New Roman" w:hAnsi="Times New Roman" w:cs="Times New Roman"/>
              </w:rPr>
              <w:lastRenderedPageBreak/>
              <w:t>the mons pubis, and the lateral margin of the labia majora, meeting at the perineum (corresponding to Figure 5-38C).</w:t>
            </w:r>
            <w:r w:rsidRPr="00CB2EC4">
              <w:rPr>
                <w:rFonts w:ascii="Times New Roman" w:hAnsi="Times New Roman" w:cs="Times New Roman"/>
              </w:rPr>
              <w:br/>
              <w:t xml:space="preserve">- Type </w:t>
            </w:r>
            <w:r w:rsidRPr="00CB2EC4">
              <w:rPr>
                <w:rFonts w:ascii="宋体" w:eastAsia="宋体" w:hAnsi="宋体" w:cs="宋体" w:hint="eastAsia"/>
              </w:rPr>
              <w:t>④</w:t>
            </w:r>
            <w:r w:rsidRPr="00CB2EC4">
              <w:rPr>
                <w:rFonts w:ascii="Times New Roman" w:hAnsi="Times New Roman" w:cs="Times New Roman"/>
              </w:rPr>
              <w:t xml:space="preserve">: The incision is basically the same as type </w:t>
            </w:r>
            <w:r w:rsidRPr="00CB2EC4">
              <w:rPr>
                <w:rFonts w:ascii="宋体" w:eastAsia="宋体" w:hAnsi="宋体" w:cs="宋体" w:hint="eastAsia"/>
              </w:rPr>
              <w:t>③</w:t>
            </w:r>
            <w:r w:rsidRPr="00CB2EC4">
              <w:rPr>
                <w:rFonts w:ascii="Times New Roman" w:hAnsi="Times New Roman" w:cs="Times New Roman"/>
              </w:rPr>
              <w:t>, but the lateral margins of the vulvar incision are extended to the medial aspect of the thighs (corresponding to Figure 5-38D).</w:t>
            </w:r>
            <w:r w:rsidRPr="00CB2EC4">
              <w:rPr>
                <w:rFonts w:ascii="Times New Roman" w:hAnsi="Times New Roman" w:cs="Times New Roman"/>
              </w:rPr>
              <w:br/>
            </w:r>
            <w:r w:rsidRPr="00CB2EC4">
              <w:rPr>
                <w:rFonts w:ascii="Times New Roman" w:hAnsi="Times New Roman" w:cs="Times New Roman"/>
              </w:rPr>
              <w:br/>
              <w:t>The selection of these incision types depends on the extent and location of the lesion to ensure adequate tumor resection.</w:t>
            </w:r>
          </w:p>
        </w:tc>
        <w:tc>
          <w:tcPr>
            <w:tcW w:w="1152" w:type="dxa"/>
            <w:vAlign w:val="center"/>
          </w:tcPr>
          <w:p w14:paraId="18F93D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CBF12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2443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C5C423" w14:textId="77777777">
        <w:tc>
          <w:tcPr>
            <w:tcW w:w="2160" w:type="dxa"/>
            <w:vAlign w:val="center"/>
          </w:tcPr>
          <w:p w14:paraId="5B77B24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9FE47E6" w14:textId="77777777" w:rsidR="00922249" w:rsidRPr="00CB2EC4" w:rsidRDefault="003011D5">
            <w:pPr>
              <w:rPr>
                <w:rFonts w:ascii="Times New Roman" w:hAnsi="Times New Roman" w:cs="Times New Roman"/>
              </w:rPr>
            </w:pPr>
            <w:r w:rsidRPr="00CB2EC4">
              <w:rPr>
                <w:rFonts w:ascii="Times New Roman" w:hAnsi="Times New Roman" w:cs="Times New Roman"/>
              </w:rPr>
              <w:t>the common incision types used in radical total vulvectomy include:</w:t>
            </w:r>
            <w:r w:rsidRPr="00CB2EC4">
              <w:rPr>
                <w:rFonts w:ascii="Times New Roman" w:hAnsi="Times New Roman" w:cs="Times New Roman"/>
              </w:rPr>
              <w:br/>
            </w:r>
            <w:r w:rsidRPr="00CB2EC4">
              <w:rPr>
                <w:rFonts w:ascii="Times New Roman" w:hAnsi="Times New Roman" w:cs="Times New Roman"/>
              </w:rPr>
              <w:br/>
              <w:t>- **Lateral lesion incision**: Designed for tumors confined to one labium majus/minora (lateral lesion). The incision removes most of the perineal body while preserving the clitoris and does not resect the contralateral vulva (refer to Figure 5-2).</w:t>
            </w:r>
            <w:r w:rsidRPr="00CB2EC4">
              <w:rPr>
                <w:rFonts w:ascii="Times New Roman" w:hAnsi="Times New Roman" w:cs="Times New Roman"/>
              </w:rPr>
              <w:br/>
              <w:t>- **Posterior lesion incision**: Used for tumors localized to the posterior vulva (e.g., posterior perineum). The incision removes the posterior perineum and the vestibular glands, sparing the clitoris, labia minora, and contralateral tissues (refer to Figure 5-3).</w:t>
            </w:r>
            <w:r w:rsidRPr="00CB2EC4">
              <w:rPr>
                <w:rFonts w:ascii="Times New Roman" w:hAnsi="Times New Roman" w:cs="Times New Roman"/>
              </w:rPr>
              <w:br/>
              <w:t>- **Anterior lesion incision**: Applied for tumors confined to the anterior vulva (e.g., mons pubis area). The incision removes the anterior portion of the labia majora, including the labia minora, clitoris, and part of the mons pubis tissue, while preserving the posterior vulva (refer to Figure 5-4).</w:t>
            </w:r>
            <w:r w:rsidRPr="00CB2EC4">
              <w:rPr>
                <w:rFonts w:ascii="Times New Roman" w:hAnsi="Times New Roman" w:cs="Times New Roman"/>
              </w:rPr>
              <w:br/>
              <w:t xml:space="preserve">- **Unilateral radical vulvectomy incision**: Suitable for unilateral lesions without diffuse vulvar atrophy </w:t>
            </w:r>
            <w:r w:rsidRPr="00CB2EC4">
              <w:rPr>
                <w:rFonts w:ascii="Times New Roman" w:hAnsi="Times New Roman" w:cs="Times New Roman"/>
              </w:rPr>
              <w:lastRenderedPageBreak/>
              <w:t>(refer to Figure 5-5).</w:t>
            </w:r>
            <w:r w:rsidRPr="00CB2EC4">
              <w:rPr>
                <w:rFonts w:ascii="Times New Roman" w:hAnsi="Times New Roman" w:cs="Times New Roman"/>
              </w:rPr>
              <w:br/>
              <w:t>- **Standard radical total vulvectomy incision**: Used for extensive lesions. The incision extends anteriorly to 3–5 cm above the clitoris, posteriorly to include 3/4 of the perineum, and laterally to the genitofemoral folds (the groove between the labium majus and thigh) (related to Segment 4).</w:t>
            </w:r>
            <w:r w:rsidRPr="00CB2EC4">
              <w:rPr>
                <w:rFonts w:ascii="Times New Roman" w:hAnsi="Times New Roman" w:cs="Times New Roman"/>
              </w:rPr>
              <w:br/>
            </w:r>
            <w:r w:rsidRPr="00CB2EC4">
              <w:rPr>
                <w:rFonts w:ascii="Times New Roman" w:hAnsi="Times New Roman" w:cs="Times New Roman"/>
              </w:rPr>
              <w:br/>
              <w:t>These incision types are individually designed based on tumor location to ensure adequate resection margins (at least 2 cm of normal tissue beyond the tumor) while balancing postoperative function and cosmetic outcomes.</w:t>
            </w:r>
          </w:p>
        </w:tc>
        <w:tc>
          <w:tcPr>
            <w:tcW w:w="1152" w:type="dxa"/>
            <w:vAlign w:val="center"/>
          </w:tcPr>
          <w:p w14:paraId="4B1905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9FC27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98614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A9368DA" w14:textId="77777777">
        <w:tc>
          <w:tcPr>
            <w:tcW w:w="2160" w:type="dxa"/>
            <w:vAlign w:val="center"/>
          </w:tcPr>
          <w:p w14:paraId="6902376C"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51519BB" w14:textId="77777777" w:rsidR="00922249" w:rsidRPr="00CB2EC4" w:rsidRDefault="003011D5">
            <w:pPr>
              <w:rPr>
                <w:rFonts w:ascii="Times New Roman" w:hAnsi="Times New Roman" w:cs="Times New Roman"/>
              </w:rPr>
            </w:pPr>
            <w:r w:rsidRPr="00CB2EC4">
              <w:rPr>
                <w:rFonts w:ascii="Times New Roman" w:hAnsi="Times New Roman" w:cs="Times New Roman"/>
              </w:rPr>
              <w:t>the common incision types used in radical total vulvectomy include:</w:t>
            </w:r>
            <w:r w:rsidRPr="00CB2EC4">
              <w:rPr>
                <w:rFonts w:ascii="Times New Roman" w:hAnsi="Times New Roman" w:cs="Times New Roman"/>
              </w:rPr>
              <w:br/>
            </w:r>
            <w:r w:rsidRPr="00CB2EC4">
              <w:rPr>
                <w:rFonts w:ascii="Times New Roman" w:hAnsi="Times New Roman" w:cs="Times New Roman"/>
              </w:rPr>
              <w:br/>
              <w:t>- **Extraperitoneal inguinal approach incision**: This is a long elliptical incision extending from the medial side of the anterior superior iliac spine to the lateral side of the pubic symphysis. Its key advantage is enabling complete dissection of deep lymph nodes around the external iliac vessels without cutting through the abdominal wall muscle layers. This is considered to provide more accurate staging information than traditional inguinal lymph node dissection.</w:t>
            </w:r>
            <w:r w:rsidRPr="00CB2EC4">
              <w:rPr>
                <w:rFonts w:ascii="Times New Roman" w:hAnsi="Times New Roman" w:cs="Times New Roman"/>
              </w:rPr>
              <w:br/>
            </w:r>
            <w:r w:rsidRPr="00CB2EC4">
              <w:rPr>
                <w:rFonts w:ascii="Times New Roman" w:hAnsi="Times New Roman" w:cs="Times New Roman"/>
              </w:rPr>
              <w:br/>
              <w:t>- **Weber-type butterfly incision**: This is the classic en bloc resection incision. Its design is critical in removing the primary vulvar lesion together with the skin, subcutaneous tissue, and lymph nodes of both inguinal regions as a single unit (resembling a butterfly shape).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**Nerve-sparing spherical incision**: Used for early-stage lateral tumors. This incision is centered on the tumor and expands in a three-dimensional spherical or ellipsoidal fashion, with the deep boundary being the fascia covering the pelvic floor muscles.</w:t>
            </w:r>
          </w:p>
        </w:tc>
        <w:tc>
          <w:tcPr>
            <w:tcW w:w="1152" w:type="dxa"/>
            <w:vAlign w:val="center"/>
          </w:tcPr>
          <w:p w14:paraId="6588D9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E0151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394B2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27BCABE" w14:textId="77777777">
        <w:tc>
          <w:tcPr>
            <w:tcW w:w="10656" w:type="dxa"/>
            <w:gridSpan w:val="5"/>
            <w:tcBorders>
              <w:bottom w:val="single" w:sz="6" w:space="0" w:color="auto"/>
            </w:tcBorders>
            <w:vAlign w:val="center"/>
          </w:tcPr>
          <w:p w14:paraId="242A368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152: When vulvar cancer involves the urethra, what are the three progressively extensive surgical options described in the text, based on the degree and extent of involvement? Please summarize the core procedure and indications for each.</w:t>
            </w:r>
          </w:p>
        </w:tc>
      </w:tr>
      <w:tr w:rsidR="00922249" w:rsidRPr="00CB2EC4" w14:paraId="52D3CF76" w14:textId="77777777">
        <w:tc>
          <w:tcPr>
            <w:tcW w:w="2160" w:type="dxa"/>
            <w:vAlign w:val="center"/>
          </w:tcPr>
          <w:p w14:paraId="621D96B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42CC7F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Partial urethrectomy:  </w:t>
            </w:r>
            <w:r w:rsidRPr="00CB2EC4">
              <w:rPr>
                <w:rFonts w:ascii="Times New Roman" w:hAnsi="Times New Roman" w:cs="Times New Roman"/>
              </w:rPr>
              <w:br/>
              <w:t xml:space="preserve">   - Core procedure: Resection of 1–2 cm of the urethra while preserving the remaining urethral function. The surgical margin must be at least 2 cm from the outer edge of the lesion, with appropriate mobilization of the urethral wall.  </w:t>
            </w:r>
            <w:r w:rsidRPr="00CB2EC4">
              <w:rPr>
                <w:rFonts w:ascii="Times New Roman" w:hAnsi="Times New Roman" w:cs="Times New Roman"/>
              </w:rPr>
              <w:br/>
              <w:t xml:space="preserve">   - Indication: Suitable for mild urethral involvement (e.g., tumor involving the urethral meatus without deep infiltration), where partial preservation of urethral function is feasible. Postoperative adjuvant radiotherapy may be required to reduce recurrence risk.  </w:t>
            </w:r>
            <w:r w:rsidRPr="00CB2EC4">
              <w:rPr>
                <w:rFonts w:ascii="Times New Roman" w:hAnsi="Times New Roman" w:cs="Times New Roman"/>
              </w:rPr>
              <w:br/>
            </w:r>
            <w:r w:rsidRPr="00CB2EC4">
              <w:rPr>
                <w:rFonts w:ascii="Times New Roman" w:hAnsi="Times New Roman" w:cs="Times New Roman"/>
              </w:rPr>
              <w:br/>
              <w:t xml:space="preserve">2. Total urethrectomy:  </w:t>
            </w:r>
            <w:r w:rsidRPr="00CB2EC4">
              <w:rPr>
                <w:rFonts w:ascii="Times New Roman" w:hAnsi="Times New Roman" w:cs="Times New Roman"/>
              </w:rPr>
              <w:br/>
              <w:t xml:space="preserve">   - Core procedure: Resection of more than 2 cm of the urethra, potentially including part of the bladder neck. Combined with wide local excision of the vulva, and repair of the urethral defect.  </w:t>
            </w:r>
            <w:r w:rsidRPr="00CB2EC4">
              <w:rPr>
                <w:rFonts w:ascii="Times New Roman" w:hAnsi="Times New Roman" w:cs="Times New Roman"/>
              </w:rPr>
              <w:br/>
              <w:t xml:space="preserve">   - Indication: Applicable for moderate to severe urethral invasion (e.g., tumor infiltration beyond 2 cm into the urethra), particularly when normal urethral function cannot be preserved after resection. Postoperative stress urinary incontinence is common; patient age and obesity should be considered.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3. Bladder muscular flap urethroplasty:  </w:t>
            </w:r>
            <w:r w:rsidRPr="00CB2EC4">
              <w:rPr>
                <w:rFonts w:ascii="Times New Roman" w:hAnsi="Times New Roman" w:cs="Times New Roman"/>
              </w:rPr>
              <w:br/>
              <w:t xml:space="preserve">   - Core procedure: Following total urethrectomy, reconstruction of a neourethra using a bladder muscular flap. Specific steps include harvesting the bladder muscular flap, suturing it to form a new urethra, and fixing it to the abdominal wall (refer to Figures 5-63 to 5-67). A catheter is placed postoperatively for drainage.  </w:t>
            </w:r>
            <w:r w:rsidRPr="00CB2EC4">
              <w:rPr>
                <w:rFonts w:ascii="Times New Roman" w:hAnsi="Times New Roman" w:cs="Times New Roman"/>
              </w:rPr>
              <w:br/>
              <w:t xml:space="preserve">   - Indication: Used for extensive urethral involvement or infiltration of the bladder trigone (e.g., tumor invasion into the bladder trigone), necessitating anterior pelvic exenteration (total cystectomy). This approach aims for functional reconstruction and reduces postoperative stricture.  </w:t>
            </w:r>
            <w:r w:rsidRPr="00CB2EC4">
              <w:rPr>
                <w:rFonts w:ascii="Times New Roman" w:hAnsi="Times New Roman" w:cs="Times New Roman"/>
              </w:rPr>
              <w:br/>
            </w:r>
            <w:r w:rsidRPr="00CB2EC4">
              <w:rPr>
                <w:rFonts w:ascii="Times New Roman" w:hAnsi="Times New Roman" w:cs="Times New Roman"/>
              </w:rPr>
              <w:br/>
              <w:t>These schemes progressively expand the resection extent to achieve tumor control while attempting to preserve or reconstruct function. (Source reference: [Similarity: 0.495 [Expansion:3 blocks, Range:423-425]]).</w:t>
            </w:r>
          </w:p>
        </w:tc>
        <w:tc>
          <w:tcPr>
            <w:tcW w:w="1152" w:type="dxa"/>
            <w:vAlign w:val="center"/>
          </w:tcPr>
          <w:p w14:paraId="64FF86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9D1F2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658AC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33692B5" w14:textId="77777777">
        <w:tc>
          <w:tcPr>
            <w:tcW w:w="2160" w:type="dxa"/>
            <w:vAlign w:val="center"/>
          </w:tcPr>
          <w:p w14:paraId="22CACA05"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8B4E7B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Partial urethrectomy:  </w:t>
            </w:r>
            <w:r w:rsidRPr="00CB2EC4">
              <w:rPr>
                <w:rFonts w:ascii="Times New Roman" w:hAnsi="Times New Roman" w:cs="Times New Roman"/>
              </w:rPr>
              <w:br/>
              <w:t xml:space="preserve">    - Core procedure: Resection of an appropriate length of the affected urethral segment, dissected from above the urethra to the depth of the tumor to ensure accurate resection margins; post-resection, the dorsal urethral fascia is sutured to the pubic symphysis periosteum, and the urethral orifice is anastomosed with adjacent skin flaps or vaginal mucosa to prevent coverage and maintain straight urinary flow.  </w:t>
            </w:r>
            <w:r w:rsidRPr="00CB2EC4">
              <w:rPr>
                <w:rFonts w:ascii="Times New Roman" w:hAnsi="Times New Roman" w:cs="Times New Roman"/>
              </w:rPr>
              <w:br/>
              <w:t xml:space="preserve">    - Indication: Suitable for mild urethral involvement (e.g., mons pubis, clitoris, or anterior labia minora) with non-extensive tumor infiltration, aiming to preserve voiding function (Fragment 23).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2.  Total urethrectomy:  </w:t>
            </w:r>
            <w:r w:rsidRPr="00CB2EC4">
              <w:rPr>
                <w:rFonts w:ascii="Times New Roman" w:hAnsi="Times New Roman" w:cs="Times New Roman"/>
              </w:rPr>
              <w:br/>
              <w:t xml:space="preserve">    - Core procedure: Complete resection of the urethra while preserving the bladder internal sphincter; perform a bladder muscular flap urethroplasty (harvesting a wall flap from the anterior bladder to form a new urethra), ensuring fixation and function of the neourethra.  </w:t>
            </w:r>
            <w:r w:rsidRPr="00CB2EC4">
              <w:rPr>
                <w:rFonts w:ascii="Times New Roman" w:hAnsi="Times New Roman" w:cs="Times New Roman"/>
              </w:rPr>
              <w:br/>
              <w:t xml:space="preserve">    - Indication: Suitable for deeper urethral invasion (approximately 2–3 cm) without involvement of the bladder trigone; performed concurrently with wide vulvectomy to preserve voiding function (Fragment 23).  </w:t>
            </w:r>
            <w:r w:rsidRPr="00CB2EC4">
              <w:rPr>
                <w:rFonts w:ascii="Times New Roman" w:hAnsi="Times New Roman" w:cs="Times New Roman"/>
              </w:rPr>
              <w:br/>
            </w:r>
            <w:r w:rsidRPr="00CB2EC4">
              <w:rPr>
                <w:rFonts w:ascii="Times New Roman" w:hAnsi="Times New Roman" w:cs="Times New Roman"/>
              </w:rPr>
              <w:br/>
              <w:t xml:space="preserve">3.  Anterior exenteration:  </w:t>
            </w:r>
            <w:r w:rsidRPr="00CB2EC4">
              <w:rPr>
                <w:rFonts w:ascii="Times New Roman" w:hAnsi="Times New Roman" w:cs="Times New Roman"/>
              </w:rPr>
              <w:br/>
              <w:t xml:space="preserve">    - Core procedure: Resection of the entire urethra, entire bladder, and involved vulvar tissue; perform an ileal or sigmoid colon substitution cystoplasty (urinary diversion), reconstructing bladder function using a bowel segment.  </w:t>
            </w:r>
            <w:r w:rsidRPr="00CB2EC4">
              <w:rPr>
                <w:rFonts w:ascii="Times New Roman" w:hAnsi="Times New Roman" w:cs="Times New Roman"/>
              </w:rPr>
              <w:br/>
              <w:t xml:space="preserve">    - Indication: Suitable for severe invasion (e.g., infiltration of the bladder trigone), classified as Stage IV disease; extensive procedure requiring multimodal therapy (Fragment 3).  </w:t>
            </w:r>
            <w:r w:rsidRPr="00CB2EC4">
              <w:rPr>
                <w:rFonts w:ascii="Times New Roman" w:hAnsi="Times New Roman" w:cs="Times New Roman"/>
              </w:rPr>
              <w:br/>
            </w:r>
            <w:r w:rsidRPr="00CB2EC4">
              <w:rPr>
                <w:rFonts w:ascii="Times New Roman" w:hAnsi="Times New Roman" w:cs="Times New Roman"/>
              </w:rPr>
              <w:br/>
              <w:t>These three approaches progress based on the extent of invasion: partial resection for localized involvement, total resection for moderate invasion, and anterior exenteration for extensive invasion involving the bladder trigone.</w:t>
            </w:r>
          </w:p>
        </w:tc>
        <w:tc>
          <w:tcPr>
            <w:tcW w:w="1152" w:type="dxa"/>
            <w:vAlign w:val="center"/>
          </w:tcPr>
          <w:p w14:paraId="2F2A90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EE724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7E0F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6A8AD6F" w14:textId="77777777">
        <w:tc>
          <w:tcPr>
            <w:tcW w:w="2160" w:type="dxa"/>
            <w:vAlign w:val="center"/>
          </w:tcPr>
          <w:p w14:paraId="5FA6CA6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CB0729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Partial urethrectomy:  </w:t>
            </w:r>
            <w:r w:rsidRPr="00CB2EC4">
              <w:rPr>
                <w:rFonts w:ascii="Times New Roman" w:hAnsi="Times New Roman" w:cs="Times New Roman"/>
              </w:rPr>
              <w:br/>
              <w:t xml:space="preserve">   - Core procedure: Resection of an appropriate length of urethra (typically dissected from above the urethra, deep to the tumor, with the resection plane determined visually).  </w:t>
            </w:r>
            <w:r w:rsidRPr="00CB2EC4">
              <w:rPr>
                <w:rFonts w:ascii="Times New Roman" w:hAnsi="Times New Roman" w:cs="Times New Roman"/>
              </w:rPr>
              <w:br/>
            </w:r>
            <w:r w:rsidRPr="00CB2EC4">
              <w:rPr>
                <w:rFonts w:ascii="Times New Roman" w:hAnsi="Times New Roman" w:cs="Times New Roman"/>
              </w:rPr>
              <w:lastRenderedPageBreak/>
              <w:t xml:space="preserve">   - Indication: Suitable for cases of vulvar cancer with mild urethral involvement, such as infiltration of the mons pubis, clitoral prepuce and frenulum, anterior half of the labia minora, vestibule, or anterior urethra (Fragment 6).  </w:t>
            </w:r>
            <w:r w:rsidRPr="00CB2EC4">
              <w:rPr>
                <w:rFonts w:ascii="Times New Roman" w:hAnsi="Times New Roman" w:cs="Times New Roman"/>
              </w:rPr>
              <w:br/>
            </w:r>
            <w:r w:rsidRPr="00CB2EC4">
              <w:rPr>
                <w:rFonts w:ascii="Times New Roman" w:hAnsi="Times New Roman" w:cs="Times New Roman"/>
              </w:rPr>
              <w:br/>
              <w:t xml:space="preserve">2. Total urethrectomy:  </w:t>
            </w:r>
            <w:r w:rsidRPr="00CB2EC4">
              <w:rPr>
                <w:rFonts w:ascii="Times New Roman" w:hAnsi="Times New Roman" w:cs="Times New Roman"/>
              </w:rPr>
              <w:br/>
              <w:t xml:space="preserve">   - Core procedure: Performing a radical vulvectomy with complete urethral resection, preserving the bladder internal sphincter, and conducting a bladder muscle flap urethroplasty to maintain urinary function.  </w:t>
            </w:r>
            <w:r w:rsidRPr="00CB2EC4">
              <w:rPr>
                <w:rFonts w:ascii="Times New Roman" w:hAnsi="Times New Roman" w:cs="Times New Roman"/>
              </w:rPr>
              <w:br/>
              <w:t xml:space="preserve">   - Indication: Suitable for cases with deeper urethral invasion (approximately 2–3 cm) but without bladder involvement (Fragment 6).  </w:t>
            </w:r>
            <w:r w:rsidRPr="00CB2EC4">
              <w:rPr>
                <w:rFonts w:ascii="Times New Roman" w:hAnsi="Times New Roman" w:cs="Times New Roman"/>
              </w:rPr>
              <w:br/>
            </w:r>
            <w:r w:rsidRPr="00CB2EC4">
              <w:rPr>
                <w:rFonts w:ascii="Times New Roman" w:hAnsi="Times New Roman" w:cs="Times New Roman"/>
              </w:rPr>
              <w:br/>
              <w:t xml:space="preserve">3. Anterior exenteration:  </w:t>
            </w:r>
            <w:r w:rsidRPr="00CB2EC4">
              <w:rPr>
                <w:rFonts w:ascii="Times New Roman" w:hAnsi="Times New Roman" w:cs="Times New Roman"/>
              </w:rPr>
              <w:br/>
              <w:t xml:space="preserve">   - Core procedure: Performing a radical vulvectomy with resection of the entire urethra and entire bladder, followed by ileal or sigmoid colon neobladder construction (i.e., urethral or bladder reconstruction).  </w:t>
            </w:r>
            <w:r w:rsidRPr="00CB2EC4">
              <w:rPr>
                <w:rFonts w:ascii="Times New Roman" w:hAnsi="Times New Roman" w:cs="Times New Roman"/>
              </w:rPr>
              <w:br/>
              <w:t xml:space="preserve">   - Indication: Suitable for cases of vulvar cancer involving the entire urethra or bladder trigone (Stage IV), where bladder function cannot be preserved (Fragment 5 and Fragment 3).  </w:t>
            </w:r>
            <w:r w:rsidRPr="00CB2EC4">
              <w:rPr>
                <w:rFonts w:ascii="Times New Roman" w:hAnsi="Times New Roman" w:cs="Times New Roman"/>
              </w:rPr>
              <w:br/>
            </w:r>
            <w:r w:rsidRPr="00CB2EC4">
              <w:rPr>
                <w:rFonts w:ascii="Times New Roman" w:hAnsi="Times New Roman" w:cs="Times New Roman"/>
              </w:rPr>
              <w:br/>
              <w:t>These procedures are progressive: partial urethrectomy for mild invasion, total urethrectomy for moderate invasion, and anterior exenteration for severe invasion or bladder involvement.</w:t>
            </w:r>
          </w:p>
        </w:tc>
        <w:tc>
          <w:tcPr>
            <w:tcW w:w="1152" w:type="dxa"/>
            <w:vAlign w:val="center"/>
          </w:tcPr>
          <w:p w14:paraId="382813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4867B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62F7B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A3F95A" w14:textId="77777777">
        <w:tc>
          <w:tcPr>
            <w:tcW w:w="2160" w:type="dxa"/>
            <w:vAlign w:val="center"/>
          </w:tcPr>
          <w:p w14:paraId="5012526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9EFA2B6" w14:textId="77777777" w:rsidR="00922249" w:rsidRPr="00CB2EC4" w:rsidRDefault="003011D5">
            <w:pPr>
              <w:rPr>
                <w:rFonts w:ascii="Times New Roman" w:hAnsi="Times New Roman" w:cs="Times New Roman"/>
              </w:rPr>
            </w:pPr>
            <w:r w:rsidRPr="00CB2EC4">
              <w:rPr>
                <w:rFonts w:ascii="Times New Roman" w:hAnsi="Times New Roman" w:cs="Times New Roman"/>
              </w:rPr>
              <w:t>surgical expansion protocols for vulvar cancer invading the urethra</w:t>
            </w:r>
            <w:r w:rsidRPr="00CB2EC4">
              <w:rPr>
                <w:rFonts w:ascii="Times New Roman" w:hAnsi="Times New Roman" w:cs="Times New Roman"/>
              </w:rPr>
              <w:br/>
            </w:r>
            <w:r w:rsidRPr="00CB2EC4">
              <w:rPr>
                <w:rFonts w:ascii="Times New Roman" w:hAnsi="Times New Roman" w:cs="Times New Roman"/>
              </w:rPr>
              <w:br/>
              <w:t xml:space="preserve">Knowledge base document contribution:  </w:t>
            </w:r>
            <w:r w:rsidRPr="00CB2EC4">
              <w:rPr>
                <w:rFonts w:ascii="Times New Roman" w:hAnsi="Times New Roman" w:cs="Times New Roman"/>
              </w:rPr>
              <w:br/>
              <w:t xml:space="preserve">Treatment is stratified into three levels based on the </w:t>
            </w:r>
            <w:r w:rsidRPr="00CB2EC4">
              <w:rPr>
                <w:rFonts w:ascii="Times New Roman" w:hAnsi="Times New Roman" w:cs="Times New Roman"/>
              </w:rPr>
              <w:lastRenderedPageBreak/>
              <w:t xml:space="preserve">degree of invasion:  </w:t>
            </w:r>
            <w:r w:rsidRPr="00CB2EC4">
              <w:rPr>
                <w:rFonts w:ascii="Times New Roman" w:hAnsi="Times New Roman" w:cs="Times New Roman"/>
              </w:rPr>
              <w:br/>
              <w:t xml:space="preserve">1. Partial urethrectomy (invasion ≤ 2 cm):  </w:t>
            </w:r>
            <w:r w:rsidRPr="00CB2EC4">
              <w:rPr>
                <w:rFonts w:ascii="Times New Roman" w:hAnsi="Times New Roman" w:cs="Times New Roman"/>
              </w:rPr>
              <w:br/>
              <w:t xml:space="preserve">   - Core procedure: Resect 1–2 cm of the distal urethra, preserve the proximal urethra.  </w:t>
            </w:r>
            <w:r w:rsidRPr="00CB2EC4">
              <w:rPr>
                <w:rFonts w:ascii="Times New Roman" w:hAnsi="Times New Roman" w:cs="Times New Roman"/>
              </w:rPr>
              <w:br/>
              <w:t xml:space="preserve">   - Indication: Localized infiltration of the urethral meatus without involvement of the bladder trigone.  </w:t>
            </w:r>
            <w:r w:rsidRPr="00CB2EC4">
              <w:rPr>
                <w:rFonts w:ascii="Times New Roman" w:hAnsi="Times New Roman" w:cs="Times New Roman"/>
              </w:rPr>
              <w:br/>
              <w:t xml:space="preserve">2. Total urethrectomy + bladder muscular flap urethroplasty:  </w:t>
            </w:r>
            <w:r w:rsidRPr="00CB2EC4">
              <w:rPr>
                <w:rFonts w:ascii="Times New Roman" w:hAnsi="Times New Roman" w:cs="Times New Roman"/>
              </w:rPr>
              <w:br/>
              <w:t xml:space="preserve">   - Core procedure: After total urethrectomy, reconstruct the urethra using a bladder muscular flap to preserve voluntary voiding function.  </w:t>
            </w:r>
            <w:r w:rsidRPr="00CB2EC4">
              <w:rPr>
                <w:rFonts w:ascii="Times New Roman" w:hAnsi="Times New Roman" w:cs="Times New Roman"/>
              </w:rPr>
              <w:br/>
              <w:t xml:space="preserve">   - Indication: Extensive urethral infiltration without bladder trigone involvement.  </w:t>
            </w:r>
            <w:r w:rsidRPr="00CB2EC4">
              <w:rPr>
                <w:rFonts w:ascii="Times New Roman" w:hAnsi="Times New Roman" w:cs="Times New Roman"/>
              </w:rPr>
              <w:br/>
              <w:t xml:space="preserve">3. Anterior pelvic exenteration (total cystectomy + urethrectomy):  </w:t>
            </w:r>
            <w:r w:rsidRPr="00CB2EC4">
              <w:rPr>
                <w:rFonts w:ascii="Times New Roman" w:hAnsi="Times New Roman" w:cs="Times New Roman"/>
              </w:rPr>
              <w:br/>
              <w:t xml:space="preserve">   - Core procedure: Resect the bladder, urethra, and part of the pubic symphysis; perform ileal neobladder substitution.  </w:t>
            </w:r>
            <w:r w:rsidRPr="00CB2EC4">
              <w:rPr>
                <w:rFonts w:ascii="Times New Roman" w:hAnsi="Times New Roman" w:cs="Times New Roman"/>
              </w:rPr>
              <w:br/>
              <w:t xml:space="preserve">   - Indication: Tumor invasion of the bladder trigone (Stage IV).  </w:t>
            </w:r>
            <w:r w:rsidRPr="00CB2EC4">
              <w:rPr>
                <w:rFonts w:ascii="Times New Roman" w:hAnsi="Times New Roman" w:cs="Times New Roman"/>
              </w:rPr>
              <w:br/>
            </w:r>
            <w:r w:rsidRPr="00CB2EC4">
              <w:rPr>
                <w:rFonts w:ascii="Times New Roman" w:hAnsi="Times New Roman" w:cs="Times New Roman"/>
              </w:rPr>
              <w:br/>
              <w:t xml:space="preserve">Supplementary from web search results:  </w:t>
            </w:r>
            <w:r w:rsidRPr="00CB2EC4">
              <w:rPr>
                <w:rFonts w:ascii="Times New Roman" w:hAnsi="Times New Roman" w:cs="Times New Roman"/>
              </w:rPr>
              <w:br/>
              <w:t>No new information provided; consistent with knowledge base description.</w:t>
            </w:r>
          </w:p>
        </w:tc>
        <w:tc>
          <w:tcPr>
            <w:tcW w:w="1152" w:type="dxa"/>
            <w:vAlign w:val="center"/>
          </w:tcPr>
          <w:p w14:paraId="29421E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8A81D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909B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0517F8D" w14:textId="77777777">
        <w:tc>
          <w:tcPr>
            <w:tcW w:w="2160" w:type="dxa"/>
            <w:vAlign w:val="center"/>
          </w:tcPr>
          <w:p w14:paraId="4FA1B3A2"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97521B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Partial anorectectomy:  </w:t>
            </w:r>
            <w:r w:rsidRPr="00CB2EC4">
              <w:rPr>
                <w:rFonts w:ascii="Times New Roman" w:hAnsi="Times New Roman" w:cs="Times New Roman"/>
              </w:rPr>
              <w:br/>
              <w:t xml:space="preserve">   - Core procedure: Resection of the anterior rectal wall, part of the anal sphincter, and part of the vaginal wall infiltrated by tumor; mobilization and suturing of the rectal wall when necessary.  </w:t>
            </w:r>
            <w:r w:rsidRPr="00CB2EC4">
              <w:rPr>
                <w:rFonts w:ascii="Times New Roman" w:hAnsi="Times New Roman" w:cs="Times New Roman"/>
              </w:rPr>
              <w:br/>
              <w:t xml:space="preserve">   - Indication: Suitable for vulvar cancer with vaginal infiltration in the perineal body posteriorly, or limited distal infiltration of the anterior or lateral wall of the rectum (without direct invasion of the bladder trigone).  </w:t>
            </w:r>
            <w:r w:rsidRPr="00CB2EC4">
              <w:rPr>
                <w:rFonts w:ascii="Times New Roman" w:hAnsi="Times New Roman" w:cs="Times New Roman"/>
              </w:rPr>
              <w:br/>
            </w:r>
            <w:r w:rsidRPr="00CB2EC4">
              <w:rPr>
                <w:rFonts w:ascii="Times New Roman" w:hAnsi="Times New Roman" w:cs="Times New Roman"/>
              </w:rPr>
              <w:lastRenderedPageBreak/>
              <w:br/>
              <w:t xml:space="preserve">2. Posterior pelvic exenteration:  </w:t>
            </w:r>
            <w:r w:rsidRPr="00CB2EC4">
              <w:rPr>
                <w:rFonts w:ascii="Times New Roman" w:hAnsi="Times New Roman" w:cs="Times New Roman"/>
              </w:rPr>
              <w:br/>
              <w:t xml:space="preserve">   - Core procedure: Sigmoid colostomy combined with anorectectomy, performed with radical vulvectomy.  </w:t>
            </w:r>
            <w:r w:rsidRPr="00CB2EC4">
              <w:rPr>
                <w:rFonts w:ascii="Times New Roman" w:hAnsi="Times New Roman" w:cs="Times New Roman"/>
              </w:rPr>
              <w:br/>
              <w:t xml:space="preserve">   - Indication: Suitable for vulvar cancer invading the anorectal mucosa or involving half of the posterior vaginal wall (involving the lower urethra but not extending to the bladder trigone).  </w:t>
            </w:r>
            <w:r w:rsidRPr="00CB2EC4">
              <w:rPr>
                <w:rFonts w:ascii="Times New Roman" w:hAnsi="Times New Roman" w:cs="Times New Roman"/>
              </w:rPr>
              <w:br/>
            </w:r>
            <w:r w:rsidRPr="00CB2EC4">
              <w:rPr>
                <w:rFonts w:ascii="Times New Roman" w:hAnsi="Times New Roman" w:cs="Times New Roman"/>
              </w:rPr>
              <w:br/>
              <w:t xml:space="preserve">3. Anterior pelvic exenteration:  </w:t>
            </w:r>
            <w:r w:rsidRPr="00CB2EC4">
              <w:rPr>
                <w:rFonts w:ascii="Times New Roman" w:hAnsi="Times New Roman" w:cs="Times New Roman"/>
              </w:rPr>
              <w:br/>
              <w:t xml:space="preserve">   - Core procedure: Resection of the urethra and entire bladder, with ileal (or sigmoid) neobladder reconstruction, combined with radical vulvectomy.  </w:t>
            </w:r>
            <w:r w:rsidRPr="00CB2EC4">
              <w:rPr>
                <w:rFonts w:ascii="Times New Roman" w:hAnsi="Times New Roman" w:cs="Times New Roman"/>
              </w:rPr>
              <w:br/>
              <w:t xml:space="preserve">   - Indication: Suitable for vulvar cancer with infiltration of the bladder trigone (direct invasion of the upper urethra or bladder).  </w:t>
            </w:r>
            <w:r w:rsidRPr="00CB2EC4">
              <w:rPr>
                <w:rFonts w:ascii="Times New Roman" w:hAnsi="Times New Roman" w:cs="Times New Roman"/>
              </w:rPr>
              <w:br/>
            </w:r>
            <w:r w:rsidRPr="00CB2EC4">
              <w:rPr>
                <w:rFonts w:ascii="Times New Roman" w:hAnsi="Times New Roman" w:cs="Times New Roman"/>
              </w:rPr>
              <w:br/>
              <w:t>These schemes progress from local resection to complete organ removal based on the extent of invasion, as described in Fragment 5 and Fragment 14.</w:t>
            </w:r>
          </w:p>
        </w:tc>
        <w:tc>
          <w:tcPr>
            <w:tcW w:w="1152" w:type="dxa"/>
            <w:vAlign w:val="center"/>
          </w:tcPr>
          <w:p w14:paraId="6D9A8D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D2C4C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78339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7A0FD10" w14:textId="77777777">
        <w:tc>
          <w:tcPr>
            <w:tcW w:w="2160" w:type="dxa"/>
            <w:vAlign w:val="center"/>
          </w:tcPr>
          <w:p w14:paraId="6197313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048FC6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Partial urethrectomy:  </w:t>
            </w:r>
            <w:r w:rsidRPr="00CB2EC4">
              <w:rPr>
                <w:rFonts w:ascii="Times New Roman" w:hAnsi="Times New Roman" w:cs="Times New Roman"/>
              </w:rPr>
              <w:br/>
              <w:t xml:space="preserve">   - Core procedure: Resection of an appropriate length of urethra (separated from above the urethra, deep to the tumor, with the resection plane determined visually); the dorsal urethral fascia is sutured to the periosteum of the pubic symphysis to ensure urethral protrusion and fixation. The urethral orifice is sutured to adjacent skin flaps or vaginal mucosa.  </w:t>
            </w:r>
            <w:r w:rsidRPr="00CB2EC4">
              <w:rPr>
                <w:rFonts w:ascii="Times New Roman" w:hAnsi="Times New Roman" w:cs="Times New Roman"/>
              </w:rPr>
              <w:br/>
              <w:t xml:space="preserve">   - Indication: Suitable for cases with urethral involvement but superficial invasion, such as involvement of the mons pubis, clitoral prepuce, anterior half of the labia minora, vestibule, or mild </w:t>
            </w:r>
            <w:r w:rsidRPr="00CB2EC4">
              <w:rPr>
                <w:rFonts w:ascii="Times New Roman" w:hAnsi="Times New Roman" w:cs="Times New Roman"/>
              </w:rPr>
              <w:lastRenderedPageBreak/>
              <w:t xml:space="preserve">urethral involvement (extent of invasion not specified, but urinary function preservation is required).  </w:t>
            </w:r>
            <w:r w:rsidRPr="00CB2EC4">
              <w:rPr>
                <w:rFonts w:ascii="Times New Roman" w:hAnsi="Times New Roman" w:cs="Times New Roman"/>
              </w:rPr>
              <w:br/>
            </w:r>
            <w:r w:rsidRPr="00CB2EC4">
              <w:rPr>
                <w:rFonts w:ascii="Times New Roman" w:hAnsi="Times New Roman" w:cs="Times New Roman"/>
              </w:rPr>
              <w:br/>
              <w:t xml:space="preserve">2. Total urethrectomy:  </w:t>
            </w:r>
            <w:r w:rsidRPr="00CB2EC4">
              <w:rPr>
                <w:rFonts w:ascii="Times New Roman" w:hAnsi="Times New Roman" w:cs="Times New Roman"/>
              </w:rPr>
              <w:br/>
              <w:t xml:space="preserve">   - Core procedure: Performing a radical vulvectomy while resecting the entire urethra, preserving the bladder internal sphincter, and carrying out a bladder muscle flap urethroplasty (a bladder wall flap is taken from the anterior bladder wall to form a new urethra).  </w:t>
            </w:r>
            <w:r w:rsidRPr="00CB2EC4">
              <w:rPr>
                <w:rFonts w:ascii="Times New Roman" w:hAnsi="Times New Roman" w:cs="Times New Roman"/>
              </w:rPr>
              <w:br/>
              <w:t xml:space="preserve">   - Indication: Suitable for cases where vulvar cancer invades the urethra to a length of $2\sim 3\mathrm{cm}$, requiring preservation of urinary function.  </w:t>
            </w:r>
            <w:r w:rsidRPr="00CB2EC4">
              <w:rPr>
                <w:rFonts w:ascii="Times New Roman" w:hAnsi="Times New Roman" w:cs="Times New Roman"/>
              </w:rPr>
              <w:br/>
            </w:r>
            <w:r w:rsidRPr="00CB2EC4">
              <w:rPr>
                <w:rFonts w:ascii="Times New Roman" w:hAnsi="Times New Roman" w:cs="Times New Roman"/>
              </w:rPr>
              <w:br/>
              <w:t xml:space="preserve">3. Anterior pelvic exenteration:  </w:t>
            </w:r>
            <w:r w:rsidRPr="00CB2EC4">
              <w:rPr>
                <w:rFonts w:ascii="Times New Roman" w:hAnsi="Times New Roman" w:cs="Times New Roman"/>
              </w:rPr>
              <w:br/>
              <w:t xml:space="preserve">   - Core procedure: Performing a radical vulvectomy while resecting the urethra and entire bladder, and conducting an ileal or sigmoid colon neobladder procedure (i.e., creating an artificial bladder).  </w:t>
            </w:r>
            <w:r w:rsidRPr="00CB2EC4">
              <w:rPr>
                <w:rFonts w:ascii="Times New Roman" w:hAnsi="Times New Roman" w:cs="Times New Roman"/>
              </w:rPr>
              <w:br/>
              <w:t xml:space="preserve">   - Indication: Suitable for advanced cases where vulvar cancer has infiltrated the bladder trigone, requiring complete resection of involved organs.  </w:t>
            </w:r>
            <w:r w:rsidRPr="00CB2EC4">
              <w:rPr>
                <w:rFonts w:ascii="Times New Roman" w:hAnsi="Times New Roman" w:cs="Times New Roman"/>
              </w:rPr>
              <w:br/>
            </w:r>
            <w:r w:rsidRPr="00CB2EC4">
              <w:rPr>
                <w:rFonts w:ascii="Times New Roman" w:hAnsi="Times New Roman" w:cs="Times New Roman"/>
              </w:rPr>
              <w:br/>
              <w:t>These three schemes progress according to the degree of urethral invasion: from partial resection to total resection, then to extended resection involving the bladder, aiming to balance tumor clearance and functional preservation.</w:t>
            </w:r>
          </w:p>
        </w:tc>
        <w:tc>
          <w:tcPr>
            <w:tcW w:w="1152" w:type="dxa"/>
            <w:vAlign w:val="center"/>
          </w:tcPr>
          <w:p w14:paraId="0B06DB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11D85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A3B6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028B51" w14:textId="77777777">
        <w:tc>
          <w:tcPr>
            <w:tcW w:w="2160" w:type="dxa"/>
            <w:vAlign w:val="center"/>
          </w:tcPr>
          <w:p w14:paraId="1619191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BE4EB2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Partial urethrectomy:  </w:t>
            </w:r>
            <w:r w:rsidRPr="00CB2EC4">
              <w:rPr>
                <w:rFonts w:ascii="Times New Roman" w:hAnsi="Times New Roman" w:cs="Times New Roman"/>
              </w:rPr>
              <w:br/>
              <w:t xml:space="preserve">   - Core procedure: Dissection is performed from above the urethra, extending deeply to the tumor level; the resection plane is visually determined. After resecting an appropriate length of urethra, the dorsal urethral fascia is sutured to the periosteum of the </w:t>
            </w:r>
            <w:r w:rsidRPr="00CB2EC4">
              <w:rPr>
                <w:rFonts w:ascii="Times New Roman" w:hAnsi="Times New Roman" w:cs="Times New Roman"/>
              </w:rPr>
              <w:lastRenderedPageBreak/>
              <w:t xml:space="preserve">pubic symphysis to ensure urethral protrusion and fixation. The edge of the urethral meatus is sutured to adjacent skin flaps or vaginal mucosal nodules to center the urethral opening and ensure straight urine flow.  </w:t>
            </w:r>
            <w:r w:rsidRPr="00CB2EC4">
              <w:rPr>
                <w:rFonts w:ascii="Times New Roman" w:hAnsi="Times New Roman" w:cs="Times New Roman"/>
              </w:rPr>
              <w:br/>
              <w:t xml:space="preserve">   - Indication: Used when vulvar cancer invades the urethra with limited extent (e.g., involvement of the mons pubis, clitoral prepuce, anterior half of the labia minora, or vestibule), requiring partial urethral resection to preserve urinary function. Applicable when the tumor has not deeply invaded the full thickness of the urethra.  </w:t>
            </w:r>
            <w:r w:rsidRPr="00CB2EC4">
              <w:rPr>
                <w:rFonts w:ascii="Times New Roman" w:hAnsi="Times New Roman" w:cs="Times New Roman"/>
              </w:rPr>
              <w:br/>
            </w:r>
            <w:r w:rsidRPr="00CB2EC4">
              <w:rPr>
                <w:rFonts w:ascii="Times New Roman" w:hAnsi="Times New Roman" w:cs="Times New Roman"/>
              </w:rPr>
              <w:br/>
              <w:t xml:space="preserve">2.  Total urethrectomy:  </w:t>
            </w:r>
            <w:r w:rsidRPr="00CB2EC4">
              <w:rPr>
                <w:rFonts w:ascii="Times New Roman" w:hAnsi="Times New Roman" w:cs="Times New Roman"/>
              </w:rPr>
              <w:br/>
              <w:t xml:space="preserve">   - Core procedure: Performed concurrently with wide vulvectomy; involves complete resection of the entire urethra. The bladder internal sphincter is preserved, and a bladder muscle flap urethroplasty is conducted (steps include midline lower abdominal incision, harvesting a long bladder wall flap from the anterior bladder wall, and ureteral reimplantation).  </w:t>
            </w:r>
            <w:r w:rsidRPr="00CB2EC4">
              <w:rPr>
                <w:rFonts w:ascii="Times New Roman" w:hAnsi="Times New Roman" w:cs="Times New Roman"/>
              </w:rPr>
              <w:br/>
              <w:t xml:space="preserve">   - Indication: Applied when vulvar cancer invades the urethra to a depth of 2–3 cm, necessitating complete urethral removal for tumor control while reconstructing urinary function. Suitable for cases with extensive tumor invasion where partial resection cannot ensure clear margins.  </w:t>
            </w:r>
            <w:r w:rsidRPr="00CB2EC4">
              <w:rPr>
                <w:rFonts w:ascii="Times New Roman" w:hAnsi="Times New Roman" w:cs="Times New Roman"/>
              </w:rPr>
              <w:br/>
            </w:r>
            <w:r w:rsidRPr="00CB2EC4">
              <w:rPr>
                <w:rFonts w:ascii="Times New Roman" w:hAnsi="Times New Roman" w:cs="Times New Roman"/>
              </w:rPr>
              <w:br/>
              <w:t xml:space="preserve">No third progressively escalated surgical scheme specifically for urethral invasion is described in the text. Other extended procedures (e.g., partial anorectomy or pelvic organ resection) target anal or bladder invasion and do not directly involve the urethra. Thus, only the above two schemes apply to </w:t>
            </w:r>
            <w:r w:rsidRPr="00CB2EC4">
              <w:rPr>
                <w:rFonts w:ascii="Times New Roman" w:hAnsi="Times New Roman" w:cs="Times New Roman"/>
              </w:rPr>
              <w:lastRenderedPageBreak/>
              <w:t>urethral invasion.</w:t>
            </w:r>
          </w:p>
        </w:tc>
        <w:tc>
          <w:tcPr>
            <w:tcW w:w="1152" w:type="dxa"/>
            <w:vAlign w:val="center"/>
          </w:tcPr>
          <w:p w14:paraId="781EEE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5B77C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B39AF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30C56EF" w14:textId="77777777">
        <w:tc>
          <w:tcPr>
            <w:tcW w:w="2160" w:type="dxa"/>
            <w:vAlign w:val="center"/>
          </w:tcPr>
          <w:p w14:paraId="4FA79C5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6C25571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Partial urethrectomy:  </w:t>
            </w:r>
            <w:r w:rsidRPr="00CB2EC4">
              <w:rPr>
                <w:rFonts w:ascii="Times New Roman" w:hAnsi="Times New Roman" w:cs="Times New Roman"/>
              </w:rPr>
              <w:br/>
              <w:t xml:space="preserve">   - Core procedure: When the tumor invades the mons pubis, clitoral foreskin, frenulum, clitoral body, anterior labia minora, vestibule, or urethra, an appropriate length of urethra is resected. The dissection begins above the urethra and proceeds deeply to the tumor, with the resection plane determined visually to ensure the urethral meatus is fixed at the midline position to prevent flap coverage. The upper and lateral margins of the urethral meatus are sutured to adjacent skin flaps, and the lower margin is sutured to the vaginal mucosa.  </w:t>
            </w:r>
            <w:r w:rsidRPr="00CB2EC4">
              <w:rPr>
                <w:rFonts w:ascii="Times New Roman" w:hAnsi="Times New Roman" w:cs="Times New Roman"/>
              </w:rPr>
              <w:br/>
              <w:t xml:space="preserve">   - Applicable situation: Suitable for cases with limited urethral involvement, such as invasion of the mons pubis or vestibular region, where partial preservation of urethral function is required.  </w:t>
            </w:r>
            <w:r w:rsidRPr="00CB2EC4">
              <w:rPr>
                <w:rFonts w:ascii="Times New Roman" w:hAnsi="Times New Roman" w:cs="Times New Roman"/>
              </w:rPr>
              <w:br/>
            </w:r>
            <w:r w:rsidRPr="00CB2EC4">
              <w:rPr>
                <w:rFonts w:ascii="Times New Roman" w:hAnsi="Times New Roman" w:cs="Times New Roman"/>
              </w:rPr>
              <w:br/>
              <w:t xml:space="preserve">2. Total urethrectomy:  </w:t>
            </w:r>
            <w:r w:rsidRPr="00CB2EC4">
              <w:rPr>
                <w:rFonts w:ascii="Times New Roman" w:hAnsi="Times New Roman" w:cs="Times New Roman"/>
              </w:rPr>
              <w:br/>
              <w:t xml:space="preserve">   - Core procedure: When the tumor invades 2–3 cm of the urethra, a total urethrectomy is performed while preserving the bladder internal sphincter. The procedure includes a midline lower abdominal incision to expose the anterior bladder wall, harvesting a bladder wall flap (4 cm wide, length as needed) for neourethra reconstruction. Specific steps involve incision, shaping, and fixation of the bladder wall flap.  </w:t>
            </w:r>
            <w:r w:rsidRPr="00CB2EC4">
              <w:rPr>
                <w:rFonts w:ascii="Times New Roman" w:hAnsi="Times New Roman" w:cs="Times New Roman"/>
              </w:rPr>
              <w:br/>
              <w:t xml:space="preserve">   - Applicable situation: Suitable for cases with deeper urethral invasion (2–3 cm) but without involvement of the bladder trigone, aiming to preserve urinary function.  </w:t>
            </w:r>
            <w:r w:rsidRPr="00CB2EC4">
              <w:rPr>
                <w:rFonts w:ascii="Times New Roman" w:hAnsi="Times New Roman" w:cs="Times New Roman"/>
              </w:rPr>
              <w:br/>
            </w:r>
            <w:r w:rsidRPr="00CB2EC4">
              <w:rPr>
                <w:rFonts w:ascii="Times New Roman" w:hAnsi="Times New Roman" w:cs="Times New Roman"/>
              </w:rPr>
              <w:br/>
              <w:t xml:space="preserve">3. Anterior exenteration (with bladder reconstruction):  </w:t>
            </w:r>
            <w:r w:rsidRPr="00CB2EC4">
              <w:rPr>
                <w:rFonts w:ascii="Times New Roman" w:hAnsi="Times New Roman" w:cs="Times New Roman"/>
              </w:rPr>
              <w:br/>
            </w:r>
            <w:r w:rsidRPr="00CB2EC4">
              <w:rPr>
                <w:rFonts w:ascii="Times New Roman" w:hAnsi="Times New Roman" w:cs="Times New Roman"/>
              </w:rPr>
              <w:lastRenderedPageBreak/>
              <w:t xml:space="preserve">   - Core procedure: When the tumor infiltrates the bladder trigone, total urethrectomy and total cystectomy are performed, along with ileal or sigmoid colon substitution cystoplasty (urinary diversion). The surgery includes wide vulvectomy, complete urethral and bladder removal, and intestinal reconstruction of the bladder.  </w:t>
            </w:r>
            <w:r w:rsidRPr="00CB2EC4">
              <w:rPr>
                <w:rFonts w:ascii="Times New Roman" w:hAnsi="Times New Roman" w:cs="Times New Roman"/>
              </w:rPr>
              <w:br/>
              <w:t xml:space="preserve">   - Applicable situation: Suitable for advanced cases (e.g., Stage IV) with extensive invasion of the bladder trigone, requiring radical resection of involved organs and reconstruction of urinary function.  </w:t>
            </w:r>
            <w:r w:rsidRPr="00CB2EC4">
              <w:rPr>
                <w:rFonts w:ascii="Times New Roman" w:hAnsi="Times New Roman" w:cs="Times New Roman"/>
              </w:rPr>
              <w:br/>
            </w:r>
            <w:r w:rsidRPr="00CB2EC4">
              <w:rPr>
                <w:rFonts w:ascii="Times New Roman" w:hAnsi="Times New Roman" w:cs="Times New Roman"/>
              </w:rPr>
              <w:br/>
              <w:t>These procedures are progressive, ranging from partial resection to total resection with reconstruction based on the extent of invasion. Document fragment 5 emphasizes that surgery must be tailored to individual disease, ensuring a surgical margin of at least 2 cm from the lesion.</w:t>
            </w:r>
          </w:p>
        </w:tc>
        <w:tc>
          <w:tcPr>
            <w:tcW w:w="1152" w:type="dxa"/>
            <w:vAlign w:val="center"/>
          </w:tcPr>
          <w:p w14:paraId="6F8B3B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B7049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CA40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D85A91" w14:textId="77777777">
        <w:tc>
          <w:tcPr>
            <w:tcW w:w="2160" w:type="dxa"/>
            <w:vAlign w:val="center"/>
          </w:tcPr>
          <w:p w14:paraId="4B6FFA3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1DE352B" w14:textId="77777777" w:rsidR="00922249" w:rsidRPr="00CB2EC4" w:rsidRDefault="003011D5">
            <w:pPr>
              <w:rPr>
                <w:rFonts w:ascii="Times New Roman" w:hAnsi="Times New Roman" w:cs="Times New Roman"/>
              </w:rPr>
            </w:pPr>
            <w:r w:rsidRPr="00CB2EC4">
              <w:rPr>
                <w:rFonts w:ascii="Times New Roman" w:hAnsi="Times New Roman" w:cs="Times New Roman"/>
              </w:rPr>
              <w:t>when vulvar cancer invades the urethra, the text describes three progressively extensive surgical options based on the degree of invasion:</w:t>
            </w:r>
            <w:r w:rsidRPr="00CB2EC4">
              <w:rPr>
                <w:rFonts w:ascii="Times New Roman" w:hAnsi="Times New Roman" w:cs="Times New Roman"/>
              </w:rPr>
              <w:br/>
            </w:r>
            <w:r w:rsidRPr="00CB2EC4">
              <w:rPr>
                <w:rFonts w:ascii="Times New Roman" w:hAnsi="Times New Roman" w:cs="Times New Roman"/>
              </w:rPr>
              <w:br/>
              <w:t xml:space="preserve">- Partial urethrectomy  </w:t>
            </w:r>
            <w:r w:rsidRPr="00CB2EC4">
              <w:rPr>
                <w:rFonts w:ascii="Times New Roman" w:hAnsi="Times New Roman" w:cs="Times New Roman"/>
              </w:rPr>
              <w:br/>
              <w:t xml:space="preserve">  - Core procedure: Resect the involved segment of the urethra while preserving the internal bladder sphincter; suture the dorsal urethral fascia to the periosteum of the pubic symphysis to fix the urethral position, and anastomose the urethral orifice with vaginal mucosa or skin flap.  </w:t>
            </w:r>
            <w:r w:rsidRPr="00CB2EC4">
              <w:rPr>
                <w:rFonts w:ascii="Times New Roman" w:hAnsi="Times New Roman" w:cs="Times New Roman"/>
              </w:rPr>
              <w:br/>
              <w:t xml:space="preserve">  - Indication: Tumor invades the urethral meatus or anterior segment, with depth less than 2 cm.  </w:t>
            </w:r>
            <w:r w:rsidRPr="00CB2EC4">
              <w:rPr>
                <w:rFonts w:ascii="Times New Roman" w:hAnsi="Times New Roman" w:cs="Times New Roman"/>
              </w:rPr>
              <w:br/>
              <w:t xml:space="preserve">- Total urethrectomy + bladder muscular flap urethroplasty  </w:t>
            </w:r>
            <w:r w:rsidRPr="00CB2EC4">
              <w:rPr>
                <w:rFonts w:ascii="Times New Roman" w:hAnsi="Times New Roman" w:cs="Times New Roman"/>
              </w:rPr>
              <w:br/>
              <w:t xml:space="preserve">  - Core procedure: Resect the entire urethra; use a </w:t>
            </w:r>
            <w:r w:rsidRPr="00CB2EC4">
              <w:rPr>
                <w:rFonts w:ascii="Times New Roman" w:hAnsi="Times New Roman" w:cs="Times New Roman"/>
              </w:rPr>
              <w:lastRenderedPageBreak/>
              <w:t xml:space="preserve">bladder anterior wall muscular flap (4 cm wide) to reconstruct a new urethra, preserving bladder sphincter function.  </w:t>
            </w:r>
            <w:r w:rsidRPr="00CB2EC4">
              <w:rPr>
                <w:rFonts w:ascii="Times New Roman" w:hAnsi="Times New Roman" w:cs="Times New Roman"/>
              </w:rPr>
              <w:br/>
              <w:t xml:space="preserve">  - Indication: Invasion extends 2–3 cm into the urethra, requiring preservation of voluntary voiding function.  </w:t>
            </w:r>
            <w:r w:rsidRPr="00CB2EC4">
              <w:rPr>
                <w:rFonts w:ascii="Times New Roman" w:hAnsi="Times New Roman" w:cs="Times New Roman"/>
              </w:rPr>
              <w:br/>
              <w:t xml:space="preserve">- Total pelvic exenteration  </w:t>
            </w:r>
            <w:r w:rsidRPr="00CB2EC4">
              <w:rPr>
                <w:rFonts w:ascii="Times New Roman" w:hAnsi="Times New Roman" w:cs="Times New Roman"/>
              </w:rPr>
              <w:br/>
              <w:t xml:space="preserve">  - Core procedure: En bloc resection of involved organs such as the bladder and rectum (anterior/posterior/total pelvic exenteration).  </w:t>
            </w:r>
            <w:r w:rsidRPr="00CB2EC4">
              <w:rPr>
                <w:rFonts w:ascii="Times New Roman" w:hAnsi="Times New Roman" w:cs="Times New Roman"/>
              </w:rPr>
              <w:br/>
              <w:t xml:space="preserve">  - Indication: Extensive tumor invasion of the urethra, bladder, or rectum, without involvement of the pelvic sidewall and no distant metastasis (Stage IVA).  </w:t>
            </w:r>
            <w:r w:rsidRPr="00CB2EC4">
              <w:rPr>
                <w:rFonts w:ascii="Times New Roman" w:hAnsi="Times New Roman" w:cs="Times New Roman"/>
              </w:rPr>
              <w:br/>
              <w:t>&gt; *Source: Description of urethral invasion management in the "Extended Radical Vulvectomy" section.*</w:t>
            </w:r>
          </w:p>
        </w:tc>
        <w:tc>
          <w:tcPr>
            <w:tcW w:w="1152" w:type="dxa"/>
            <w:vAlign w:val="center"/>
          </w:tcPr>
          <w:p w14:paraId="64AA86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00E6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9283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6310652" w14:textId="77777777">
        <w:tc>
          <w:tcPr>
            <w:tcW w:w="2160" w:type="dxa"/>
            <w:vAlign w:val="center"/>
          </w:tcPr>
          <w:p w14:paraId="501764D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C853340" w14:textId="77777777" w:rsidR="00922249" w:rsidRPr="00CB2EC4" w:rsidRDefault="003011D5">
            <w:pPr>
              <w:rPr>
                <w:rFonts w:ascii="Times New Roman" w:hAnsi="Times New Roman" w:cs="Times New Roman"/>
              </w:rPr>
            </w:pPr>
            <w:r w:rsidRPr="00CB2EC4">
              <w:rPr>
                <w:rFonts w:ascii="Times New Roman" w:hAnsi="Times New Roman" w:cs="Times New Roman"/>
              </w:rPr>
              <w:t>When vulvar cancer invades the urethra, depending on the extent and scope of invasion, the text describes the following three progressively extensive surgical options:</w:t>
            </w:r>
            <w:r w:rsidRPr="00CB2EC4">
              <w:rPr>
                <w:rFonts w:ascii="Times New Roman" w:hAnsi="Times New Roman" w:cs="Times New Roman"/>
              </w:rPr>
              <w:br/>
            </w:r>
            <w:r w:rsidRPr="00CB2EC4">
              <w:rPr>
                <w:rFonts w:ascii="Times New Roman" w:hAnsi="Times New Roman" w:cs="Times New Roman"/>
              </w:rPr>
              <w:br/>
              <w:t xml:space="preserve">- Partial urethrectomy:  </w:t>
            </w:r>
            <w:r w:rsidRPr="00CB2EC4">
              <w:rPr>
                <w:rFonts w:ascii="Times New Roman" w:hAnsi="Times New Roman" w:cs="Times New Roman"/>
              </w:rPr>
              <w:br/>
              <w:t xml:space="preserve">  → Core procedure: Resect an appropriate length of the urethra (starting dissection from the vagina or vestibule, extending deep to the tumor); after resection, suture the dorsal urethral fascia to the periosteum of the pubic symphysis to fix the urethral orifice; prevent flap coverage of the urethral orifice.  </w:t>
            </w:r>
            <w:r w:rsidRPr="00CB2EC4">
              <w:rPr>
                <w:rFonts w:ascii="Times New Roman" w:hAnsi="Times New Roman" w:cs="Times New Roman"/>
              </w:rPr>
              <w:br/>
              <w:t xml:space="preserve">  → Indications: Suitable for milder invasion, such as tumors involving the mons pubis, clitoral prepuce and frenulum, anterior portion of the labia minora, vestibule, or superficial urethral areas.  </w:t>
            </w:r>
            <w:r w:rsidRPr="00CB2EC4">
              <w:rPr>
                <w:rFonts w:ascii="Times New Roman" w:hAnsi="Times New Roman" w:cs="Times New Roman"/>
              </w:rPr>
              <w:br/>
            </w:r>
            <w:r w:rsidRPr="00CB2EC4">
              <w:rPr>
                <w:rFonts w:ascii="Times New Roman" w:hAnsi="Times New Roman" w:cs="Times New Roman"/>
              </w:rPr>
              <w:br/>
              <w:t xml:space="preserve">- Total urethrectomy:  </w:t>
            </w:r>
            <w:r w:rsidRPr="00CB2EC4">
              <w:rPr>
                <w:rFonts w:ascii="Times New Roman" w:hAnsi="Times New Roman" w:cs="Times New Roman"/>
              </w:rPr>
              <w:br/>
            </w:r>
            <w:r w:rsidRPr="00CB2EC4">
              <w:rPr>
                <w:rFonts w:ascii="Times New Roman" w:hAnsi="Times New Roman" w:cs="Times New Roman"/>
              </w:rPr>
              <w:lastRenderedPageBreak/>
              <w:t xml:space="preserve">  → Core procedure: Perform radical vulvectomy along with total urethrectomy; preserve the internal bladder sphincter; create a bladder muscle flap and suture it into a tubular shape as a neourethra (using absorbable sutures); place a urinary catheter for drainage; fix the position of the neourethra.  </w:t>
            </w:r>
            <w:r w:rsidRPr="00CB2EC4">
              <w:rPr>
                <w:rFonts w:ascii="Times New Roman" w:hAnsi="Times New Roman" w:cs="Times New Roman"/>
              </w:rPr>
              <w:br/>
              <w:t xml:space="preserve">  → Indications: Suitable for deeper invasion, such as tumors invading the urethra by 2–3 cm.  </w:t>
            </w:r>
            <w:r w:rsidRPr="00CB2EC4">
              <w:rPr>
                <w:rFonts w:ascii="Times New Roman" w:hAnsi="Times New Roman" w:cs="Times New Roman"/>
              </w:rPr>
              <w:br/>
            </w:r>
            <w:r w:rsidRPr="00CB2EC4">
              <w:rPr>
                <w:rFonts w:ascii="Times New Roman" w:hAnsi="Times New Roman" w:cs="Times New Roman"/>
              </w:rPr>
              <w:br/>
              <w:t xml:space="preserve">- Total urethrectomy with abdominal neourethra:  </w:t>
            </w:r>
            <w:r w:rsidRPr="00CB2EC4">
              <w:rPr>
                <w:rFonts w:ascii="Times New Roman" w:hAnsi="Times New Roman" w:cs="Times New Roman"/>
              </w:rPr>
              <w:br/>
              <w:t xml:space="preserve">  → Core procedure: Resect the entire urethra including the internal bladder sphincter or part of the bladder; create an abdominal neourethra (e.g., using ileum or sigmoid colon as a bladder substitute); evert and suture the neourethral orifice to the abdominal skin to prevent stenosis; place a urinary catheter for drainage.  </w:t>
            </w:r>
            <w:r w:rsidRPr="00CB2EC4">
              <w:rPr>
                <w:rFonts w:ascii="Times New Roman" w:hAnsi="Times New Roman" w:cs="Times New Roman"/>
              </w:rPr>
              <w:br/>
              <w:t xml:space="preserve">  → Indications: Suitable for severe invasion, such as tumors invading the urethra by more than 3 cm where preservation of the internal bladder sphincter is difficult.  </w:t>
            </w:r>
            <w:r w:rsidRPr="00CB2EC4">
              <w:rPr>
                <w:rFonts w:ascii="Times New Roman" w:hAnsi="Times New Roman" w:cs="Times New Roman"/>
              </w:rPr>
              <w:br/>
            </w:r>
            <w:r w:rsidRPr="00CB2EC4">
              <w:rPr>
                <w:rFonts w:ascii="Times New Roman" w:hAnsi="Times New Roman" w:cs="Times New Roman"/>
              </w:rPr>
              <w:br/>
              <w:t>These options are designed progressively based on the extent of invasion, aiming to completely remove the tumor while preserving or reconstructing urinary function.</w:t>
            </w:r>
          </w:p>
        </w:tc>
        <w:tc>
          <w:tcPr>
            <w:tcW w:w="1152" w:type="dxa"/>
            <w:vAlign w:val="center"/>
          </w:tcPr>
          <w:p w14:paraId="0D0BE4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C3F9E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FA8B4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646C620" w14:textId="77777777">
        <w:tc>
          <w:tcPr>
            <w:tcW w:w="2160" w:type="dxa"/>
            <w:vAlign w:val="center"/>
          </w:tcPr>
          <w:p w14:paraId="71CC29B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068441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Partial urethrectomy  </w:t>
            </w:r>
            <w:r w:rsidRPr="00CB2EC4">
              <w:rPr>
                <w:rFonts w:ascii="Times New Roman" w:hAnsi="Times New Roman" w:cs="Times New Roman"/>
              </w:rPr>
              <w:br/>
              <w:t xml:space="preserve">   - Core procedure: Dissection is performed from above the urethra, deep to the level of the tumor, with resection of an appropriate segment of the urethra. The dorsal urethral fascia is sutured to the pubic symphysis periosteum to ensure urethral protrusion and fixation. The urethral meatus is sutured to adjacent skin flaps or vaginal mucosa to prevent </w:t>
            </w:r>
            <w:r w:rsidRPr="00CB2EC4">
              <w:rPr>
                <w:rFonts w:ascii="Times New Roman" w:hAnsi="Times New Roman" w:cs="Times New Roman"/>
              </w:rPr>
              <w:lastRenderedPageBreak/>
              <w:t xml:space="preserve">coverage of the urethral opening.  </w:t>
            </w:r>
            <w:r w:rsidRPr="00CB2EC4">
              <w:rPr>
                <w:rFonts w:ascii="Times New Roman" w:hAnsi="Times New Roman" w:cs="Times New Roman"/>
              </w:rPr>
              <w:br/>
              <w:t xml:space="preserve">   - Indication: Suitable for cases with minor involvement of the mons pubis, clitoral hood, frenulum, clitoral body, anterior half of the labia minora, vestibule, or urethra, where partial urethral resection is required but voiding function is preserved.  </w:t>
            </w:r>
            <w:r w:rsidRPr="00CB2EC4">
              <w:rPr>
                <w:rFonts w:ascii="Times New Roman" w:hAnsi="Times New Roman" w:cs="Times New Roman"/>
              </w:rPr>
              <w:br/>
            </w:r>
            <w:r w:rsidRPr="00CB2EC4">
              <w:rPr>
                <w:rFonts w:ascii="Times New Roman" w:hAnsi="Times New Roman" w:cs="Times New Roman"/>
              </w:rPr>
              <w:br/>
              <w:t xml:space="preserve">2. Total urethrectomy  </w:t>
            </w:r>
            <w:r w:rsidRPr="00CB2EC4">
              <w:rPr>
                <w:rFonts w:ascii="Times New Roman" w:hAnsi="Times New Roman" w:cs="Times New Roman"/>
              </w:rPr>
              <w:br/>
              <w:t xml:space="preserve">   - Core procedure: Complete urethrectomy is performed while preserving the bladder internal sphincter. A bladder wall flap urethroplasty is conducted by harvesting a longitudinal bladder wall flap (approximately 4 cm in width, length adjusted as needed) from the anterior bladder wall to construct a new urethra and restore voiding function.  </w:t>
            </w:r>
            <w:r w:rsidRPr="00CB2EC4">
              <w:rPr>
                <w:rFonts w:ascii="Times New Roman" w:hAnsi="Times New Roman" w:cs="Times New Roman"/>
              </w:rPr>
              <w:br/>
              <w:t xml:space="preserve">   - Indication: Suitable for cases where vulvar cancer invades the urethra to a depth of 2–3 cm, requiring complete urethral removal while maintaining bladder function.  </w:t>
            </w:r>
            <w:r w:rsidRPr="00CB2EC4">
              <w:rPr>
                <w:rFonts w:ascii="Times New Roman" w:hAnsi="Times New Roman" w:cs="Times New Roman"/>
              </w:rPr>
              <w:br/>
            </w:r>
            <w:r w:rsidRPr="00CB2EC4">
              <w:rPr>
                <w:rFonts w:ascii="Times New Roman" w:hAnsi="Times New Roman" w:cs="Times New Roman"/>
              </w:rPr>
              <w:br/>
              <w:t xml:space="preserve">3. Anterior pelvic exenteration  </w:t>
            </w:r>
            <w:r w:rsidRPr="00CB2EC4">
              <w:rPr>
                <w:rFonts w:ascii="Times New Roman" w:hAnsi="Times New Roman" w:cs="Times New Roman"/>
              </w:rPr>
              <w:br/>
              <w:t xml:space="preserve">   - Core procedure: During radical vulvectomy, the urethra and entire bladder are resected, with urinary diversion performed using an ileal or sigmoid colon neobladder.  </w:t>
            </w:r>
            <w:r w:rsidRPr="00CB2EC4">
              <w:rPr>
                <w:rFonts w:ascii="Times New Roman" w:hAnsi="Times New Roman" w:cs="Times New Roman"/>
              </w:rPr>
              <w:br/>
              <w:t xml:space="preserve">   - Indication: Suitable for cases where vulvar cancer has infiltrated the bladder trigone, representing advanced invasion requiring extensive resection for tumor control.  </w:t>
            </w:r>
            <w:r w:rsidRPr="00CB2EC4">
              <w:rPr>
                <w:rFonts w:ascii="Times New Roman" w:hAnsi="Times New Roman" w:cs="Times New Roman"/>
              </w:rPr>
              <w:br/>
            </w:r>
            <w:r w:rsidRPr="00CB2EC4">
              <w:rPr>
                <w:rFonts w:ascii="Times New Roman" w:hAnsi="Times New Roman" w:cs="Times New Roman"/>
              </w:rPr>
              <w:br/>
              <w:t xml:space="preserve">These procedures progress based on the extent of invasion: partial urethrectomy for mild invasion, total urethrectomy for moderate invasion (2–3 cm depth), and anterior pelvic exenteration for severe invasion </w:t>
            </w:r>
            <w:r w:rsidRPr="00CB2EC4">
              <w:rPr>
                <w:rFonts w:ascii="Times New Roman" w:hAnsi="Times New Roman" w:cs="Times New Roman"/>
              </w:rPr>
              <w:lastRenderedPageBreak/>
              <w:t>involving the bladder trigone. The document emphasizes that these surgeries are combined with radical complete vulvectomy and bilateral inguinal lymph node dissection (Source: [Similarity: 0.495] segment).</w:t>
            </w:r>
          </w:p>
        </w:tc>
        <w:tc>
          <w:tcPr>
            <w:tcW w:w="1152" w:type="dxa"/>
            <w:vAlign w:val="center"/>
          </w:tcPr>
          <w:p w14:paraId="7B0909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C37F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00BC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4246CF" w14:textId="77777777">
        <w:tc>
          <w:tcPr>
            <w:tcW w:w="2160" w:type="dxa"/>
            <w:vAlign w:val="center"/>
          </w:tcPr>
          <w:p w14:paraId="442B962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572C893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Partial urethrectomy:  </w:t>
            </w:r>
            <w:r w:rsidRPr="00CB2EC4">
              <w:rPr>
                <w:rFonts w:ascii="Times New Roman" w:hAnsi="Times New Roman" w:cs="Times New Roman"/>
              </w:rPr>
              <w:br/>
              <w:t xml:space="preserve">    - Core procedure: Resection of the involved urethral segment of appropriate length. Dissection begins superior to the urethra, extending deeply to the tumor to visually determine the resection plane. The urethral meatus is fixed in the midline by suturing the dorsal urethral fascia to the pubic symphysis periosteum, and the urethral opening is sutured to adjacent skin flaps and vaginal mucosa.  </w:t>
            </w:r>
            <w:r w:rsidRPr="00CB2EC4">
              <w:rPr>
                <w:rFonts w:ascii="Times New Roman" w:hAnsi="Times New Roman" w:cs="Times New Roman"/>
              </w:rPr>
              <w:br/>
              <w:t xml:space="preserve">    - Indication: Vulvar cancer with limited urethral involvement (length not specified), affecting only part of the urethra (e.g., mons pubis, clitoral hood, anterior labia minora, or vestibule), where preservation of urinary function is required.  </w:t>
            </w:r>
            <w:r w:rsidRPr="00CB2EC4">
              <w:rPr>
                <w:rFonts w:ascii="Times New Roman" w:hAnsi="Times New Roman" w:cs="Times New Roman"/>
              </w:rPr>
              <w:br/>
            </w:r>
            <w:r w:rsidRPr="00CB2EC4">
              <w:rPr>
                <w:rFonts w:ascii="Times New Roman" w:hAnsi="Times New Roman" w:cs="Times New Roman"/>
              </w:rPr>
              <w:br/>
              <w:t xml:space="preserve">2.  Total urethrectomy:  </w:t>
            </w:r>
            <w:r w:rsidRPr="00CB2EC4">
              <w:rPr>
                <w:rFonts w:ascii="Times New Roman" w:hAnsi="Times New Roman" w:cs="Times New Roman"/>
              </w:rPr>
              <w:br/>
              <w:t xml:space="preserve">    - Core procedure: Complete urethral resection with preservation of the bladder internal sphincter, combined with bladder muscular flap urethroplasty (a flap from the anterior bladder wall is fashioned to form a new urethra).  </w:t>
            </w:r>
            <w:r w:rsidRPr="00CB2EC4">
              <w:rPr>
                <w:rFonts w:ascii="Times New Roman" w:hAnsi="Times New Roman" w:cs="Times New Roman"/>
              </w:rPr>
              <w:br/>
              <w:t xml:space="preserve">    - Indication: Vulvar cancer with urethral involvement extending 2–3 cm, precluding functional preservation by partial resection, necessitating reconstruction of the urinary passage.  </w:t>
            </w:r>
            <w:r w:rsidRPr="00CB2EC4">
              <w:rPr>
                <w:rFonts w:ascii="Times New Roman" w:hAnsi="Times New Roman" w:cs="Times New Roman"/>
              </w:rPr>
              <w:br/>
            </w:r>
            <w:r w:rsidRPr="00CB2EC4">
              <w:rPr>
                <w:rFonts w:ascii="Times New Roman" w:hAnsi="Times New Roman" w:cs="Times New Roman"/>
              </w:rPr>
              <w:br/>
              <w:t xml:space="preserve">3.  Anterior exenteration:  </w:t>
            </w:r>
            <w:r w:rsidRPr="00CB2EC4">
              <w:rPr>
                <w:rFonts w:ascii="Times New Roman" w:hAnsi="Times New Roman" w:cs="Times New Roman"/>
              </w:rPr>
              <w:br/>
              <w:t xml:space="preserve">    - Core procedure: Complete resection of the urethra and bladder, with urinary diversion using ileum or </w:t>
            </w:r>
            <w:r w:rsidRPr="00CB2EC4">
              <w:rPr>
                <w:rFonts w:ascii="Times New Roman" w:hAnsi="Times New Roman" w:cs="Times New Roman"/>
              </w:rPr>
              <w:lastRenderedPageBreak/>
              <w:t xml:space="preserve">sigmoid colon (i.e., neobladder or conduit formation), typically combined with radical vulvectomy.  </w:t>
            </w:r>
            <w:r w:rsidRPr="00CB2EC4">
              <w:rPr>
                <w:rFonts w:ascii="Times New Roman" w:hAnsi="Times New Roman" w:cs="Times New Roman"/>
              </w:rPr>
              <w:br/>
              <w:t xml:space="preserve">    - Indication: Vulvar cancer with infiltration into the bladder trigone (advanced disease), where bladder function cannot be preserved, requiring en bloc removal of involved organs.  </w:t>
            </w:r>
            <w:r w:rsidRPr="00CB2EC4">
              <w:rPr>
                <w:rFonts w:ascii="Times New Roman" w:hAnsi="Times New Roman" w:cs="Times New Roman"/>
              </w:rPr>
              <w:br/>
            </w:r>
            <w:r w:rsidRPr="00CB2EC4">
              <w:rPr>
                <w:rFonts w:ascii="Times New Roman" w:hAnsi="Times New Roman" w:cs="Times New Roman"/>
              </w:rPr>
              <w:br/>
              <w:t>These approaches progress from local excision to organ reconstruction based on the extent of invasion, aiming to achieve tumor control while preserving function when possible.</w:t>
            </w:r>
          </w:p>
        </w:tc>
        <w:tc>
          <w:tcPr>
            <w:tcW w:w="1152" w:type="dxa"/>
            <w:vAlign w:val="center"/>
          </w:tcPr>
          <w:p w14:paraId="629A14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C0C5C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3ADD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67F7F8" w14:textId="77777777">
        <w:tc>
          <w:tcPr>
            <w:tcW w:w="2160" w:type="dxa"/>
            <w:vAlign w:val="center"/>
          </w:tcPr>
          <w:p w14:paraId="7BA3246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CB95066" w14:textId="77777777" w:rsidR="00922249" w:rsidRPr="00CB2EC4" w:rsidRDefault="003011D5">
            <w:pPr>
              <w:rPr>
                <w:rFonts w:ascii="Times New Roman" w:hAnsi="Times New Roman" w:cs="Times New Roman"/>
              </w:rPr>
            </w:pPr>
            <w:r w:rsidRPr="00CB2EC4">
              <w:rPr>
                <w:rFonts w:ascii="Times New Roman" w:hAnsi="Times New Roman" w:cs="Times New Roman"/>
              </w:rPr>
              <w:t>When vulvar cancer invades the urethra, depending on the extent and scope of invasion, the text describes the following three progressively extensive surgical approaches:</w:t>
            </w:r>
            <w:r w:rsidRPr="00CB2EC4">
              <w:rPr>
                <w:rFonts w:ascii="Times New Roman" w:hAnsi="Times New Roman" w:cs="Times New Roman"/>
              </w:rPr>
              <w:br/>
            </w:r>
            <w:r w:rsidRPr="00CB2EC4">
              <w:rPr>
                <w:rFonts w:ascii="Times New Roman" w:hAnsi="Times New Roman" w:cs="Times New Roman"/>
              </w:rPr>
              <w:br/>
              <w:t xml:space="preserve">1. Partial urethrectomy:  </w:t>
            </w:r>
            <w:r w:rsidRPr="00CB2EC4">
              <w:rPr>
                <w:rFonts w:ascii="Times New Roman" w:hAnsi="Times New Roman" w:cs="Times New Roman"/>
              </w:rPr>
              <w:br/>
              <w:t xml:space="preserve">   - Core procedure: Resection of the affected portion of the urethra (typically &lt;1.5 cm), preservation of the proximal urethra, and urethral reconstruction (e.g., direct suturing or simple plasty).  </w:t>
            </w:r>
            <w:r w:rsidRPr="00CB2EC4">
              <w:rPr>
                <w:rFonts w:ascii="Times New Roman" w:hAnsi="Times New Roman" w:cs="Times New Roman"/>
              </w:rPr>
              <w:br/>
              <w:t xml:space="preserve">   - Indications: Suitable for cases with superficial urethral invasion (&lt;1.5 cm), no involvement of the bladder trigone, and a need to preserve urinary function.  </w:t>
            </w:r>
            <w:r w:rsidRPr="00CB2EC4">
              <w:rPr>
                <w:rFonts w:ascii="Times New Roman" w:hAnsi="Times New Roman" w:cs="Times New Roman"/>
              </w:rPr>
              <w:br/>
            </w:r>
            <w:r w:rsidRPr="00CB2EC4">
              <w:rPr>
                <w:rFonts w:ascii="Times New Roman" w:hAnsi="Times New Roman" w:cs="Times New Roman"/>
              </w:rPr>
              <w:br/>
              <w:t xml:space="preserve">2. Total urethrectomy with bladder muscle flap urethroplasty:  </w:t>
            </w:r>
            <w:r w:rsidRPr="00CB2EC4">
              <w:rPr>
                <w:rFonts w:ascii="Times New Roman" w:hAnsi="Times New Roman" w:cs="Times New Roman"/>
              </w:rPr>
              <w:br/>
              <w:t xml:space="preserve">   - Core procedure: Complete resection of the urethra, reconstruction of a neourethra using a bladder muscle flap (harvested from the anterior bladder wall), and anastomosis with the vulva or vagina to maintain urinary function.  </w:t>
            </w:r>
            <w:r w:rsidRPr="00CB2EC4">
              <w:rPr>
                <w:rFonts w:ascii="Times New Roman" w:hAnsi="Times New Roman" w:cs="Times New Roman"/>
              </w:rPr>
              <w:br/>
              <w:t xml:space="preserve">   - Indications: Suitable for cases with extensive </w:t>
            </w:r>
            <w:r w:rsidRPr="00CB2EC4">
              <w:rPr>
                <w:rFonts w:ascii="Times New Roman" w:hAnsi="Times New Roman" w:cs="Times New Roman"/>
              </w:rPr>
              <w:lastRenderedPageBreak/>
              <w:t xml:space="preserve">urethral invasion (&gt;1.5 cm) but no involvement of the bladder trigone, where total cystectomy must be avoided.  </w:t>
            </w:r>
            <w:r w:rsidRPr="00CB2EC4">
              <w:rPr>
                <w:rFonts w:ascii="Times New Roman" w:hAnsi="Times New Roman" w:cs="Times New Roman"/>
              </w:rPr>
              <w:br/>
            </w:r>
            <w:r w:rsidRPr="00CB2EC4">
              <w:rPr>
                <w:rFonts w:ascii="Times New Roman" w:hAnsi="Times New Roman" w:cs="Times New Roman"/>
              </w:rPr>
              <w:br/>
              <w:t xml:space="preserve">3. Anterior pelvic exenteration:  </w:t>
            </w:r>
            <w:r w:rsidRPr="00CB2EC4">
              <w:rPr>
                <w:rFonts w:ascii="Times New Roman" w:hAnsi="Times New Roman" w:cs="Times New Roman"/>
              </w:rPr>
              <w:br/>
              <w:t xml:space="preserve">   - Core procedure: Resection of the entire urethra and bladder, followed by ileal or sigmoid colon conduit (urinary diversion), potentially including radical vulvectomy and lymphadenectomy.  </w:t>
            </w:r>
            <w:r w:rsidRPr="00CB2EC4">
              <w:rPr>
                <w:rFonts w:ascii="Times New Roman" w:hAnsi="Times New Roman" w:cs="Times New Roman"/>
              </w:rPr>
              <w:br/>
              <w:t xml:space="preserve">   - Indications: Suitable for advanced cases where the tumor invades the bladder trigone, making bladder preservation impossible, or where the disease extensively involves adjacent organs (e.g., anterior vaginal wall).  </w:t>
            </w:r>
            <w:r w:rsidRPr="00CB2EC4">
              <w:rPr>
                <w:rFonts w:ascii="Times New Roman" w:hAnsi="Times New Roman" w:cs="Times New Roman"/>
              </w:rPr>
              <w:br/>
            </w:r>
            <w:r w:rsidRPr="00CB2EC4">
              <w:rPr>
                <w:rFonts w:ascii="Times New Roman" w:hAnsi="Times New Roman" w:cs="Times New Roman"/>
              </w:rPr>
              <w:br/>
              <w:t>These three approaches are progressive: from partial resection (function-preserving) to total urethral reconstruction, and finally to radical organ resection, selected based on the extent of invasion (depth and scope) to balance tumor control and functional preservation.</w:t>
            </w:r>
          </w:p>
        </w:tc>
        <w:tc>
          <w:tcPr>
            <w:tcW w:w="1152" w:type="dxa"/>
            <w:vAlign w:val="center"/>
          </w:tcPr>
          <w:p w14:paraId="2C4E3A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039BE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5D3F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7D669D6" w14:textId="77777777">
        <w:tc>
          <w:tcPr>
            <w:tcW w:w="2160" w:type="dxa"/>
            <w:vAlign w:val="center"/>
          </w:tcPr>
          <w:p w14:paraId="55A0DA81"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6EB78E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Partial Urethrectomy:  </w:t>
            </w:r>
            <w:r w:rsidRPr="00CB2EC4">
              <w:rPr>
                <w:rFonts w:ascii="Times New Roman" w:hAnsi="Times New Roman" w:cs="Times New Roman"/>
              </w:rPr>
              <w:br/>
              <w:t xml:space="preserve">   - Core procedure: Resection of the distal one-third of the urethra, preserving the proximal urethra. The urethral stump must be anastomosed to the anterior vaginal wall to maintain urinary function.  </w:t>
            </w:r>
            <w:r w:rsidRPr="00CB2EC4">
              <w:rPr>
                <w:rFonts w:ascii="Times New Roman" w:hAnsi="Times New Roman" w:cs="Times New Roman"/>
              </w:rPr>
              <w:br/>
              <w:t xml:space="preserve">   - Indication: Suitable for tumors limited to the distal urethra (e.g., around the urethral meatus) without involvement of the mid-urethra or bladder neck. Preferred when tumor invasion depth is &lt;1 cm.  </w:t>
            </w:r>
            <w:r w:rsidRPr="00CB2EC4">
              <w:rPr>
                <w:rFonts w:ascii="Times New Roman" w:hAnsi="Times New Roman" w:cs="Times New Roman"/>
              </w:rPr>
              <w:br/>
            </w:r>
            <w:r w:rsidRPr="00CB2EC4">
              <w:rPr>
                <w:rFonts w:ascii="Times New Roman" w:hAnsi="Times New Roman" w:cs="Times New Roman"/>
              </w:rPr>
              <w:br/>
              <w:t xml:space="preserve">2. Total Urethrectomy:  </w:t>
            </w:r>
            <w:r w:rsidRPr="00CB2EC4">
              <w:rPr>
                <w:rFonts w:ascii="Times New Roman" w:hAnsi="Times New Roman" w:cs="Times New Roman"/>
              </w:rPr>
              <w:br/>
              <w:t xml:space="preserve">   - Core procedure: Complete resection of the urethra along its entire length, with reconstruction of the </w:t>
            </w:r>
            <w:r w:rsidRPr="00CB2EC4">
              <w:rPr>
                <w:rFonts w:ascii="Times New Roman" w:hAnsi="Times New Roman" w:cs="Times New Roman"/>
              </w:rPr>
              <w:lastRenderedPageBreak/>
              <w:t xml:space="preserve">bladder neck (e.g., cystostomy or urinary diversion). Often combined with radical vulvectomy.  </w:t>
            </w:r>
            <w:r w:rsidRPr="00CB2EC4">
              <w:rPr>
                <w:rFonts w:ascii="Times New Roman" w:hAnsi="Times New Roman" w:cs="Times New Roman"/>
              </w:rPr>
              <w:br/>
              <w:t xml:space="preserve">   - Indication: Suitable for tumors with broader involvement extending to the mid- or proximal urethra but not invading the bladder neck. Used when tumor invasion depth &gt;1 cm or involves the full thickness of the urethral wall.  </w:t>
            </w:r>
            <w:r w:rsidRPr="00CB2EC4">
              <w:rPr>
                <w:rFonts w:ascii="Times New Roman" w:hAnsi="Times New Roman" w:cs="Times New Roman"/>
              </w:rPr>
              <w:br/>
            </w:r>
            <w:r w:rsidRPr="00CB2EC4">
              <w:rPr>
                <w:rFonts w:ascii="Times New Roman" w:hAnsi="Times New Roman" w:cs="Times New Roman"/>
              </w:rPr>
              <w:br/>
              <w:t xml:space="preserve">3. Anterior Pelvic Exenteration:  </w:t>
            </w:r>
            <w:r w:rsidRPr="00CB2EC4">
              <w:rPr>
                <w:rFonts w:ascii="Times New Roman" w:hAnsi="Times New Roman" w:cs="Times New Roman"/>
              </w:rPr>
              <w:br/>
              <w:t xml:space="preserve">   - Core procedure: Removal of the entire vulva, urethra, bladder neck, and part of the bladder, with urinary diversion (e.g., ileal neobladder). Extensive surgery including pelvic lymph node dissection.  </w:t>
            </w:r>
            <w:r w:rsidRPr="00CB2EC4">
              <w:rPr>
                <w:rFonts w:ascii="Times New Roman" w:hAnsi="Times New Roman" w:cs="Times New Roman"/>
              </w:rPr>
              <w:br/>
              <w:t xml:space="preserve">   - Indication: Suitable for severe tumor invasion involving the bladder neck or trigone, or with extensive local infiltration. Typically used for advanced vulvar cancer (FIGO III–IV) or recurrent disease.</w:t>
            </w:r>
          </w:p>
        </w:tc>
        <w:tc>
          <w:tcPr>
            <w:tcW w:w="1152" w:type="dxa"/>
            <w:vAlign w:val="center"/>
          </w:tcPr>
          <w:p w14:paraId="628A21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82BF8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9F7F0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019EB75" w14:textId="77777777">
        <w:tc>
          <w:tcPr>
            <w:tcW w:w="10656" w:type="dxa"/>
            <w:gridSpan w:val="5"/>
            <w:tcBorders>
              <w:bottom w:val="single" w:sz="6" w:space="0" w:color="auto"/>
            </w:tcBorders>
            <w:vAlign w:val="center"/>
          </w:tcPr>
          <w:p w14:paraId="37A71694"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153: What are the common complications following a radical vulvectomy?</w:t>
            </w:r>
          </w:p>
        </w:tc>
      </w:tr>
      <w:tr w:rsidR="00922249" w:rsidRPr="00CB2EC4" w14:paraId="15288E7B" w14:textId="77777777">
        <w:tc>
          <w:tcPr>
            <w:tcW w:w="2160" w:type="dxa"/>
            <w:vAlign w:val="center"/>
          </w:tcPr>
          <w:p w14:paraId="1D6AAA1E"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00D06BC" w14:textId="77777777" w:rsidR="00922249" w:rsidRPr="00CB2EC4" w:rsidRDefault="003011D5">
            <w:pPr>
              <w:rPr>
                <w:rFonts w:ascii="Times New Roman" w:hAnsi="Times New Roman" w:cs="Times New Roman"/>
              </w:rPr>
            </w:pPr>
            <w:r w:rsidRPr="00CB2EC4">
              <w:rPr>
                <w:rFonts w:ascii="Times New Roman" w:hAnsi="Times New Roman" w:cs="Times New Roman"/>
              </w:rPr>
              <w:t>the common complications after radical vulvectomy include:</w:t>
            </w:r>
            <w:r w:rsidRPr="00CB2EC4">
              <w:rPr>
                <w:rFonts w:ascii="Times New Roman" w:hAnsi="Times New Roman" w:cs="Times New Roman"/>
              </w:rPr>
              <w:br/>
            </w:r>
            <w:r w:rsidRPr="00CB2EC4">
              <w:rPr>
                <w:rFonts w:ascii="Times New Roman" w:hAnsi="Times New Roman" w:cs="Times New Roman"/>
              </w:rPr>
              <w:br/>
              <w:t>- **Early complications** (occurring shortly after surgery):</w:t>
            </w:r>
            <w:r w:rsidRPr="00CB2EC4">
              <w:rPr>
                <w:rFonts w:ascii="Times New Roman" w:hAnsi="Times New Roman" w:cs="Times New Roman"/>
              </w:rPr>
              <w:br/>
              <w:t xml:space="preserve">  - Wound dehiscence, infection, and necrosis: incidence 85% (most common), related to large surgical field and extensive flap dissection.</w:t>
            </w:r>
            <w:r w:rsidRPr="00CB2EC4">
              <w:rPr>
                <w:rFonts w:ascii="Times New Roman" w:hAnsi="Times New Roman" w:cs="Times New Roman"/>
              </w:rPr>
              <w:br/>
              <w:t xml:space="preserve">  - Urinary tract infection: incidence 18%.</w:t>
            </w:r>
            <w:r w:rsidRPr="00CB2EC4">
              <w:rPr>
                <w:rFonts w:ascii="Times New Roman" w:hAnsi="Times New Roman" w:cs="Times New Roman"/>
              </w:rPr>
              <w:br/>
              <w:t xml:space="preserve">  - Thrombotic lesions (e.g., deep vein thrombosis): incidence 9%, a potentially serious complication.</w:t>
            </w:r>
            <w:r w:rsidRPr="00CB2EC4">
              <w:rPr>
                <w:rFonts w:ascii="Times New Roman" w:hAnsi="Times New Roman" w:cs="Times New Roman"/>
              </w:rPr>
              <w:br/>
              <w:t xml:space="preserve">  - Partial necrosis of the pubic symphysis: incidence &lt;1%.</w:t>
            </w:r>
            <w:r w:rsidRPr="00CB2EC4">
              <w:rPr>
                <w:rFonts w:ascii="Times New Roman" w:hAnsi="Times New Roman" w:cs="Times New Roman"/>
              </w:rPr>
              <w:br/>
              <w:t xml:space="preserve">  - Femoral artery hemorrhage: incidence &lt;1%.</w:t>
            </w:r>
            <w:r w:rsidRPr="00CB2EC4">
              <w:rPr>
                <w:rFonts w:ascii="Times New Roman" w:hAnsi="Times New Roman" w:cs="Times New Roman"/>
              </w:rPr>
              <w:br/>
            </w:r>
            <w:r w:rsidRPr="00CB2EC4">
              <w:rPr>
                <w:rFonts w:ascii="Times New Roman" w:hAnsi="Times New Roman" w:cs="Times New Roman"/>
              </w:rPr>
              <w:lastRenderedPageBreak/>
              <w:br/>
              <w:t>- **Late complications** (occurring months or years after surgery):</w:t>
            </w:r>
            <w:r w:rsidRPr="00CB2EC4">
              <w:rPr>
                <w:rFonts w:ascii="Times New Roman" w:hAnsi="Times New Roman" w:cs="Times New Roman"/>
              </w:rPr>
              <w:br/>
              <w:t xml:space="preserve">  - Lower limb lymphedema: incidence 69%, the most common late complication; "elephantiasis" is prone to occur when postoperative radiotherapy is added.</w:t>
            </w:r>
            <w:r w:rsidRPr="00CB2EC4">
              <w:rPr>
                <w:rFonts w:ascii="Times New Roman" w:hAnsi="Times New Roman" w:cs="Times New Roman"/>
              </w:rPr>
              <w:br/>
              <w:t xml:space="preserve">  - Lymphangitis, phlebitis, or cellulitis: incidence 13%.</w:t>
            </w:r>
            <w:r w:rsidRPr="00CB2EC4">
              <w:rPr>
                <w:rFonts w:ascii="Times New Roman" w:hAnsi="Times New Roman" w:cs="Times New Roman"/>
              </w:rPr>
              <w:br/>
              <w:t xml:space="preserve">  - Vaginal stenosis: incidence 13%.</w:t>
            </w:r>
            <w:r w:rsidRPr="00CB2EC4">
              <w:rPr>
                <w:rFonts w:ascii="Times New Roman" w:hAnsi="Times New Roman" w:cs="Times New Roman"/>
              </w:rPr>
              <w:br/>
              <w:t xml:space="preserve">  - Pelvic relaxation: incidence 11%.</w:t>
            </w:r>
            <w:r w:rsidRPr="00CB2EC4">
              <w:rPr>
                <w:rFonts w:ascii="Times New Roman" w:hAnsi="Times New Roman" w:cs="Times New Roman"/>
              </w:rPr>
              <w:br/>
              <w:t xml:space="preserve">  - Stress urinary incontinence: incidence 11%, more common in patients with urethral resection &gt;2 cm.</w:t>
            </w:r>
            <w:r w:rsidRPr="00CB2EC4">
              <w:rPr>
                <w:rFonts w:ascii="Times New Roman" w:hAnsi="Times New Roman" w:cs="Times New Roman"/>
              </w:rPr>
              <w:br/>
              <w:t xml:space="preserve">  - Hernia: incidence 5%.</w:t>
            </w:r>
            <w:r w:rsidRPr="00CB2EC4">
              <w:rPr>
                <w:rFonts w:ascii="Times New Roman" w:hAnsi="Times New Roman" w:cs="Times New Roman"/>
              </w:rPr>
              <w:br/>
              <w:t xml:space="preserve">  - Urethral stricture or prolapse: incidence 2%.</w:t>
            </w:r>
            <w:r w:rsidRPr="00CB2EC4">
              <w:rPr>
                <w:rFonts w:ascii="Times New Roman" w:hAnsi="Times New Roman" w:cs="Times New Roman"/>
              </w:rPr>
              <w:br/>
              <w:t xml:space="preserve">  - Fistula (e.g., rectovaginal fistula): incidence 2%.</w:t>
            </w:r>
            <w:r w:rsidRPr="00CB2EC4">
              <w:rPr>
                <w:rFonts w:ascii="Times New Roman" w:hAnsi="Times New Roman" w:cs="Times New Roman"/>
              </w:rPr>
              <w:br/>
              <w:t xml:space="preserve">  - Rectal dysfunction or prolapse: incidence 1%.</w:t>
            </w:r>
            <w:r w:rsidRPr="00CB2EC4">
              <w:rPr>
                <w:rFonts w:ascii="Times New Roman" w:hAnsi="Times New Roman" w:cs="Times New Roman"/>
              </w:rPr>
              <w:br/>
            </w:r>
            <w:r w:rsidRPr="00CB2EC4">
              <w:rPr>
                <w:rFonts w:ascii="Times New Roman" w:hAnsi="Times New Roman" w:cs="Times New Roman"/>
              </w:rPr>
              <w:br/>
              <w:t>Preventive measures for complications include intraoperative reduction of flap necrosis (e.g., thin margins, ensuring blood supply), placement of drains in the surgical field, and postoperative use of elastic stockings and limb elevation. (Source: [Similarity: 0.495 [Expansion:3 blocks, Range:425-427]] and [Similarity: 0.495 [Expansion:3 blocks, Range:426-428]])</w:t>
            </w:r>
          </w:p>
        </w:tc>
        <w:tc>
          <w:tcPr>
            <w:tcW w:w="1152" w:type="dxa"/>
            <w:vAlign w:val="center"/>
          </w:tcPr>
          <w:p w14:paraId="2EC818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D6EA3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81C3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B0ED4B8" w14:textId="77777777">
        <w:tc>
          <w:tcPr>
            <w:tcW w:w="2160" w:type="dxa"/>
            <w:vAlign w:val="center"/>
          </w:tcPr>
          <w:p w14:paraId="4FEEB9F5"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460CB77"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common complications after radical surgery for vulvar cancer?</w:t>
            </w:r>
            <w:r w:rsidRPr="00CB2EC4">
              <w:rPr>
                <w:rFonts w:ascii="Times New Roman" w:hAnsi="Times New Roman" w:cs="Times New Roman"/>
              </w:rPr>
              <w:br/>
            </w:r>
            <w:r w:rsidRPr="00CB2EC4">
              <w:rPr>
                <w:rFonts w:ascii="Times New Roman" w:hAnsi="Times New Roman" w:cs="Times New Roman"/>
              </w:rPr>
              <w:br/>
              <w:t>according to document segment 1 (block no. 427), segment 5 (block no. 428), and segment 20 (block no. 971), the common complications after radical vulvectomy are divided into early and late:</w:t>
            </w:r>
            <w:r w:rsidRPr="00CB2EC4">
              <w:rPr>
                <w:rFonts w:ascii="Times New Roman" w:hAnsi="Times New Roman" w:cs="Times New Roman"/>
              </w:rPr>
              <w:br/>
              <w:t>- early complications (occurring shortly after surgery):</w:t>
            </w:r>
            <w:r w:rsidRPr="00CB2EC4">
              <w:rPr>
                <w:rFonts w:ascii="Times New Roman" w:hAnsi="Times New Roman" w:cs="Times New Roman"/>
              </w:rPr>
              <w:br/>
              <w:t xml:space="preserve">  - wound-related issues: wound dehiscence, infection, </w:t>
            </w:r>
            <w:r w:rsidRPr="00CB2EC4">
              <w:rPr>
                <w:rFonts w:ascii="Times New Roman" w:hAnsi="Times New Roman" w:cs="Times New Roman"/>
              </w:rPr>
              <w:lastRenderedPageBreak/>
              <w:t>skin necrosis (incidence 85%, segment 1).</w:t>
            </w:r>
            <w:r w:rsidRPr="00CB2EC4">
              <w:rPr>
                <w:rFonts w:ascii="Times New Roman" w:hAnsi="Times New Roman" w:cs="Times New Roman"/>
              </w:rPr>
              <w:br/>
              <w:t xml:space="preserve">  - urinary tract infection (incidence 18%, segment 1).</w:t>
            </w:r>
            <w:r w:rsidRPr="00CB2EC4">
              <w:rPr>
                <w:rFonts w:ascii="Times New Roman" w:hAnsi="Times New Roman" w:cs="Times New Roman"/>
              </w:rPr>
              <w:br/>
              <w:t xml:space="preserve">  - thrombotic lesions (e.g., deep vein thrombosis, incidence 9%, segment 1).</w:t>
            </w:r>
            <w:r w:rsidRPr="00CB2EC4">
              <w:rPr>
                <w:rFonts w:ascii="Times New Roman" w:hAnsi="Times New Roman" w:cs="Times New Roman"/>
              </w:rPr>
              <w:br/>
              <w:t xml:space="preserve">  - others: partial necrosis of the pubic symphysis, femoral artery bleeding (incidence &lt;1%, segment 1).</w:t>
            </w:r>
            <w:r w:rsidRPr="00CB2EC4">
              <w:rPr>
                <w:rFonts w:ascii="Times New Roman" w:hAnsi="Times New Roman" w:cs="Times New Roman"/>
              </w:rPr>
              <w:br/>
              <w:t>- late complications (occurring months or years after surgery):</w:t>
            </w:r>
            <w:r w:rsidRPr="00CB2EC4">
              <w:rPr>
                <w:rFonts w:ascii="Times New Roman" w:hAnsi="Times New Roman" w:cs="Times New Roman"/>
              </w:rPr>
              <w:br/>
              <w:t xml:space="preserve">  - lower limb edema (elephantiasis, incidence 69%, segment 1 and 5).</w:t>
            </w:r>
            <w:r w:rsidRPr="00CB2EC4">
              <w:rPr>
                <w:rFonts w:ascii="Times New Roman" w:hAnsi="Times New Roman" w:cs="Times New Roman"/>
              </w:rPr>
              <w:br/>
              <w:t xml:space="preserve">  - lymphangitis, phlebitis, or cellulitis (incidence 13%, segment 1).</w:t>
            </w:r>
            <w:r w:rsidRPr="00CB2EC4">
              <w:rPr>
                <w:rFonts w:ascii="Times New Roman" w:hAnsi="Times New Roman" w:cs="Times New Roman"/>
              </w:rPr>
              <w:br/>
              <w:t xml:space="preserve">  - stress urinary incontinence (especially in cases with &gt;2cm urethral resection, incidence 11%, segment 5).</w:t>
            </w:r>
            <w:r w:rsidRPr="00CB2EC4">
              <w:rPr>
                <w:rFonts w:ascii="Times New Roman" w:hAnsi="Times New Roman" w:cs="Times New Roman"/>
              </w:rPr>
              <w:br/>
              <w:t xml:space="preserve">  - others: vaginal stenosis, pelvic relaxation, hernia, urethral stricture or prolapse, fistula, etc. (segment 1).</w:t>
            </w:r>
            <w:r w:rsidRPr="00CB2EC4">
              <w:rPr>
                <w:rFonts w:ascii="Times New Roman" w:hAnsi="Times New Roman" w:cs="Times New Roman"/>
              </w:rPr>
              <w:br/>
              <w:t>additionally, segment 20 notes a high incidence of urinary tract infection (about 30%), related to urinary retention and catheterization.</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606A57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A961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F0558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3811C8" w14:textId="77777777">
        <w:tc>
          <w:tcPr>
            <w:tcW w:w="2160" w:type="dxa"/>
            <w:vAlign w:val="center"/>
          </w:tcPr>
          <w:p w14:paraId="5303581B"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257E5AA" w14:textId="77777777" w:rsidR="00922249" w:rsidRPr="00CB2EC4" w:rsidRDefault="003011D5">
            <w:pPr>
              <w:rPr>
                <w:rFonts w:ascii="Times New Roman" w:hAnsi="Times New Roman" w:cs="Times New Roman"/>
              </w:rPr>
            </w:pPr>
            <w:r w:rsidRPr="00CB2EC4">
              <w:rPr>
                <w:rFonts w:ascii="Times New Roman" w:hAnsi="Times New Roman" w:cs="Times New Roman"/>
              </w:rPr>
              <w:t>the common complications after radical vulvectomy include:</w:t>
            </w:r>
            <w:r w:rsidRPr="00CB2EC4">
              <w:rPr>
                <w:rFonts w:ascii="Times New Roman" w:hAnsi="Times New Roman" w:cs="Times New Roman"/>
              </w:rPr>
              <w:br/>
            </w:r>
            <w:r w:rsidRPr="00CB2EC4">
              <w:rPr>
                <w:rFonts w:ascii="Times New Roman" w:hAnsi="Times New Roman" w:cs="Times New Roman"/>
              </w:rPr>
              <w:br/>
              <w:t>- **Early complications** (occurring shortly after surgery):</w:t>
            </w:r>
            <w:r w:rsidRPr="00CB2EC4">
              <w:rPr>
                <w:rFonts w:ascii="Times New Roman" w:hAnsi="Times New Roman" w:cs="Times New Roman"/>
              </w:rPr>
              <w:br/>
              <w:t xml:space="preserve">  - Wound dehiscence, infection, necrosis (incidence ~85%)</w:t>
            </w:r>
            <w:r w:rsidRPr="00CB2EC4">
              <w:rPr>
                <w:rFonts w:ascii="Times New Roman" w:hAnsi="Times New Roman" w:cs="Times New Roman"/>
              </w:rPr>
              <w:br/>
              <w:t xml:space="preserve">  - Urinary tract infection (incidence ~18%)</w:t>
            </w:r>
            <w:r w:rsidRPr="00CB2EC4">
              <w:rPr>
                <w:rFonts w:ascii="Times New Roman" w:hAnsi="Times New Roman" w:cs="Times New Roman"/>
              </w:rPr>
              <w:br/>
              <w:t xml:space="preserve">  - Thrombotic lesions (incidence ~9%)</w:t>
            </w:r>
            <w:r w:rsidRPr="00CB2EC4">
              <w:rPr>
                <w:rFonts w:ascii="Times New Roman" w:hAnsi="Times New Roman" w:cs="Times New Roman"/>
              </w:rPr>
              <w:br/>
              <w:t xml:space="preserve">  - Partial necrosis of the pubic symphysis (incidence &lt;1%)</w:t>
            </w:r>
            <w:r w:rsidRPr="00CB2EC4">
              <w:rPr>
                <w:rFonts w:ascii="Times New Roman" w:hAnsi="Times New Roman" w:cs="Times New Roman"/>
              </w:rPr>
              <w:br/>
              <w:t xml:space="preserve">  - Femoral artery bleeding (incidence &lt;1%)</w:t>
            </w:r>
            <w:r w:rsidRPr="00CB2EC4">
              <w:rPr>
                <w:rFonts w:ascii="Times New Roman" w:hAnsi="Times New Roman" w:cs="Times New Roman"/>
              </w:rPr>
              <w:br/>
            </w:r>
            <w:r w:rsidRPr="00CB2EC4">
              <w:rPr>
                <w:rFonts w:ascii="Times New Roman" w:hAnsi="Times New Roman" w:cs="Times New Roman"/>
              </w:rPr>
              <w:lastRenderedPageBreak/>
              <w:br/>
              <w:t>- **Late complications** (occurring after a longer period post-surgery):</w:t>
            </w:r>
            <w:r w:rsidRPr="00CB2EC4">
              <w:rPr>
                <w:rFonts w:ascii="Times New Roman" w:hAnsi="Times New Roman" w:cs="Times New Roman"/>
              </w:rPr>
              <w:br/>
              <w:t xml:space="preserve">  - Lower limb lymphedema (incidence ~69%, severe cases may lead to "elephantiasis")</w:t>
            </w:r>
            <w:r w:rsidRPr="00CB2EC4">
              <w:rPr>
                <w:rFonts w:ascii="Times New Roman" w:hAnsi="Times New Roman" w:cs="Times New Roman"/>
              </w:rPr>
              <w:br/>
              <w:t xml:space="preserve">  - Lymphangitis, phlebitis, cellulitis (incidence ~13%)</w:t>
            </w:r>
            <w:r w:rsidRPr="00CB2EC4">
              <w:rPr>
                <w:rFonts w:ascii="Times New Roman" w:hAnsi="Times New Roman" w:cs="Times New Roman"/>
              </w:rPr>
              <w:br/>
              <w:t xml:space="preserve">  - Vaginal stenosis (incidence ~13%)</w:t>
            </w:r>
            <w:r w:rsidRPr="00CB2EC4">
              <w:rPr>
                <w:rFonts w:ascii="Times New Roman" w:hAnsi="Times New Roman" w:cs="Times New Roman"/>
              </w:rPr>
              <w:br/>
              <w:t xml:space="preserve">  - Pelvic relaxation (incidence ~11%)</w:t>
            </w:r>
            <w:r w:rsidRPr="00CB2EC4">
              <w:rPr>
                <w:rFonts w:ascii="Times New Roman" w:hAnsi="Times New Roman" w:cs="Times New Roman"/>
              </w:rPr>
              <w:br/>
              <w:t xml:space="preserve">  - Stress urinary incontinence (incidence ~11%, especially common when &gt;2 cm of urethra is resected)</w:t>
            </w:r>
            <w:r w:rsidRPr="00CB2EC4">
              <w:rPr>
                <w:rFonts w:ascii="Times New Roman" w:hAnsi="Times New Roman" w:cs="Times New Roman"/>
              </w:rPr>
              <w:br/>
              <w:t xml:space="preserve">  - Hernia (incidence ~5%)</w:t>
            </w:r>
            <w:r w:rsidRPr="00CB2EC4">
              <w:rPr>
                <w:rFonts w:ascii="Times New Roman" w:hAnsi="Times New Roman" w:cs="Times New Roman"/>
              </w:rPr>
              <w:br/>
              <w:t xml:space="preserve">  - Urethral stricture, prolapse (incidence ~2%)</w:t>
            </w:r>
            <w:r w:rsidRPr="00CB2EC4">
              <w:rPr>
                <w:rFonts w:ascii="Times New Roman" w:hAnsi="Times New Roman" w:cs="Times New Roman"/>
              </w:rPr>
              <w:br/>
              <w:t xml:space="preserve">  - Fistula (incidence ~2%)</w:t>
            </w:r>
            <w:r w:rsidRPr="00CB2EC4">
              <w:rPr>
                <w:rFonts w:ascii="Times New Roman" w:hAnsi="Times New Roman" w:cs="Times New Roman"/>
              </w:rPr>
              <w:br/>
              <w:t xml:space="preserve">  - Rectal dysfunction, prolapse (incidence ~1%)</w:t>
            </w:r>
            <w:r w:rsidRPr="00CB2EC4">
              <w:rPr>
                <w:rFonts w:ascii="Times New Roman" w:hAnsi="Times New Roman" w:cs="Times New Roman"/>
              </w:rPr>
              <w:br/>
            </w:r>
            <w:r w:rsidRPr="00CB2EC4">
              <w:rPr>
                <w:rFonts w:ascii="Times New Roman" w:hAnsi="Times New Roman" w:cs="Times New Roman"/>
              </w:rPr>
              <w:br/>
              <w:t>Other mentioned complications include pulmonary embolism, adult respiratory distress syndrome, lymphocele, bladder dysfunction, and ureteral stricture (fragment 36). These complications are associated with extensive surgical resection and large flap dissection.</w:t>
            </w:r>
          </w:p>
        </w:tc>
        <w:tc>
          <w:tcPr>
            <w:tcW w:w="1152" w:type="dxa"/>
            <w:vAlign w:val="center"/>
          </w:tcPr>
          <w:p w14:paraId="41128D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FBD64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C5C5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4C8A8C3" w14:textId="77777777">
        <w:tc>
          <w:tcPr>
            <w:tcW w:w="2160" w:type="dxa"/>
            <w:vAlign w:val="center"/>
          </w:tcPr>
          <w:p w14:paraId="5F0EE68B"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9AF47E0" w14:textId="77777777" w:rsidR="00922249" w:rsidRPr="00CB2EC4" w:rsidRDefault="003011D5">
            <w:pPr>
              <w:rPr>
                <w:rFonts w:ascii="Times New Roman" w:hAnsi="Times New Roman" w:cs="Times New Roman"/>
              </w:rPr>
            </w:pPr>
            <w:r w:rsidRPr="00CB2EC4">
              <w:rPr>
                <w:rFonts w:ascii="Times New Roman" w:hAnsi="Times New Roman" w:cs="Times New Roman"/>
              </w:rPr>
              <w:t>common complications after radical vulvectomy</w:t>
            </w:r>
            <w:r w:rsidRPr="00CB2EC4">
              <w:rPr>
                <w:rFonts w:ascii="Times New Roman" w:hAnsi="Times New Roman" w:cs="Times New Roman"/>
              </w:rPr>
              <w:br/>
            </w:r>
            <w:r w:rsidRPr="00CB2EC4">
              <w:rPr>
                <w:rFonts w:ascii="Times New Roman" w:hAnsi="Times New Roman" w:cs="Times New Roman"/>
              </w:rPr>
              <w:br/>
              <w:t xml:space="preserve">Knowledge base document contribution (Table 5-7):  </w:t>
            </w:r>
            <w:r w:rsidRPr="00CB2EC4">
              <w:rPr>
                <w:rFonts w:ascii="Times New Roman" w:hAnsi="Times New Roman" w:cs="Times New Roman"/>
              </w:rPr>
              <w:br/>
              <w:t xml:space="preserve">- Early complications (≤30 days postoperatively):  </w:t>
            </w:r>
            <w:r w:rsidRPr="00CB2EC4">
              <w:rPr>
                <w:rFonts w:ascii="Times New Roman" w:hAnsi="Times New Roman" w:cs="Times New Roman"/>
              </w:rPr>
              <w:br/>
              <w:t xml:space="preserve">  - Wound dehiscence/infection/necrosis (85%), urinary tract infection (18%), thrombotic events (9%).  </w:t>
            </w:r>
            <w:r w:rsidRPr="00CB2EC4">
              <w:rPr>
                <w:rFonts w:ascii="Times New Roman" w:hAnsi="Times New Roman" w:cs="Times New Roman"/>
              </w:rPr>
              <w:br/>
              <w:t xml:space="preserve">- Late complications (&gt;30 days postoperatively):  </w:t>
            </w:r>
            <w:r w:rsidRPr="00CB2EC4">
              <w:rPr>
                <w:rFonts w:ascii="Times New Roman" w:hAnsi="Times New Roman" w:cs="Times New Roman"/>
              </w:rPr>
              <w:br/>
              <w:t xml:space="preserve">  - Lower limb edema (69%), lymphangitis/cellulitis (13%), vaginal stenosis (13%), stress urinary incontinence (11%).  </w:t>
            </w:r>
            <w:r w:rsidRPr="00CB2EC4">
              <w:rPr>
                <w:rFonts w:ascii="Times New Roman" w:hAnsi="Times New Roman" w:cs="Times New Roman"/>
              </w:rPr>
              <w:br/>
              <w:t xml:space="preserve">- Special complications:  </w:t>
            </w:r>
            <w:r w:rsidRPr="00CB2EC4">
              <w:rPr>
                <w:rFonts w:ascii="Times New Roman" w:hAnsi="Times New Roman" w:cs="Times New Roman"/>
              </w:rPr>
              <w:br/>
              <w:t xml:space="preserve">  - Elephantiasis (due to lymphatic obstruction), urethral/anal dysfunction (resulting from excessive </w:t>
            </w:r>
            <w:r w:rsidRPr="00CB2EC4">
              <w:rPr>
                <w:rFonts w:ascii="Times New Roman" w:hAnsi="Times New Roman" w:cs="Times New Roman"/>
              </w:rPr>
              <w:lastRenderedPageBreak/>
              <w:t xml:space="preserve">resection).  </w:t>
            </w:r>
            <w:r w:rsidRPr="00CB2EC4">
              <w:rPr>
                <w:rFonts w:ascii="Times New Roman" w:hAnsi="Times New Roman" w:cs="Times New Roman"/>
              </w:rPr>
              <w:br/>
            </w:r>
            <w:r w:rsidRPr="00CB2EC4">
              <w:rPr>
                <w:rFonts w:ascii="Times New Roman" w:hAnsi="Times New Roman" w:cs="Times New Roman"/>
              </w:rPr>
              <w:br/>
              <w:t xml:space="preserve">Supplementary from web search results:  </w:t>
            </w:r>
            <w:r w:rsidRPr="00CB2EC4">
              <w:rPr>
                <w:rFonts w:ascii="Times New Roman" w:hAnsi="Times New Roman" w:cs="Times New Roman"/>
              </w:rPr>
              <w:br/>
              <w:t>MSK guidelines mention postoperative pain, voiding dysfunction, and incision healing issues, consistent with the knowledge base.</w:t>
            </w:r>
          </w:p>
        </w:tc>
        <w:tc>
          <w:tcPr>
            <w:tcW w:w="1152" w:type="dxa"/>
            <w:vAlign w:val="center"/>
          </w:tcPr>
          <w:p w14:paraId="346538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33E9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9C21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62B58E" w14:textId="77777777">
        <w:tc>
          <w:tcPr>
            <w:tcW w:w="2160" w:type="dxa"/>
            <w:vAlign w:val="center"/>
          </w:tcPr>
          <w:p w14:paraId="70FEEFAB"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F3D611D" w14:textId="77777777" w:rsidR="00922249" w:rsidRPr="00CB2EC4" w:rsidRDefault="003011D5">
            <w:pPr>
              <w:rPr>
                <w:rFonts w:ascii="Times New Roman" w:hAnsi="Times New Roman" w:cs="Times New Roman"/>
              </w:rPr>
            </w:pPr>
            <w:r w:rsidRPr="00CB2EC4">
              <w:rPr>
                <w:rFonts w:ascii="Times New Roman" w:hAnsi="Times New Roman" w:cs="Times New Roman"/>
              </w:rPr>
              <w:t>common complications after radical vulvectomy include:</w:t>
            </w:r>
            <w:r w:rsidRPr="00CB2EC4">
              <w:rPr>
                <w:rFonts w:ascii="Times New Roman" w:hAnsi="Times New Roman" w:cs="Times New Roman"/>
              </w:rPr>
              <w:br/>
            </w:r>
            <w:r w:rsidRPr="00CB2EC4">
              <w:rPr>
                <w:rFonts w:ascii="Times New Roman" w:hAnsi="Times New Roman" w:cs="Times New Roman"/>
              </w:rPr>
              <w:br/>
              <w:t>- Early complications:</w:t>
            </w:r>
            <w:r w:rsidRPr="00CB2EC4">
              <w:rPr>
                <w:rFonts w:ascii="Times New Roman" w:hAnsi="Times New Roman" w:cs="Times New Roman"/>
              </w:rPr>
              <w:br/>
              <w:t xml:space="preserve">  - Wound dehiscence, infection, necrosis (incidence 85%)</w:t>
            </w:r>
            <w:r w:rsidRPr="00CB2EC4">
              <w:rPr>
                <w:rFonts w:ascii="Times New Roman" w:hAnsi="Times New Roman" w:cs="Times New Roman"/>
              </w:rPr>
              <w:br/>
              <w:t xml:space="preserve">  - Urinary tract infection (incidence 18%)</w:t>
            </w:r>
            <w:r w:rsidRPr="00CB2EC4">
              <w:rPr>
                <w:rFonts w:ascii="Times New Roman" w:hAnsi="Times New Roman" w:cs="Times New Roman"/>
              </w:rPr>
              <w:br/>
              <w:t xml:space="preserve">  - Thrombotic lesions (incidence 9%)</w:t>
            </w:r>
            <w:r w:rsidRPr="00CB2EC4">
              <w:rPr>
                <w:rFonts w:ascii="Times New Roman" w:hAnsi="Times New Roman" w:cs="Times New Roman"/>
              </w:rPr>
              <w:br/>
              <w:t xml:space="preserve">  - Partial necrosis of the pubic symphysis (incidence &lt;1%)</w:t>
            </w:r>
            <w:r w:rsidRPr="00CB2EC4">
              <w:rPr>
                <w:rFonts w:ascii="Times New Roman" w:hAnsi="Times New Roman" w:cs="Times New Roman"/>
              </w:rPr>
              <w:br/>
              <w:t xml:space="preserve">  - Femoral artery bleeding (incidence &lt;1%)</w:t>
            </w:r>
            <w:r w:rsidRPr="00CB2EC4">
              <w:rPr>
                <w:rFonts w:ascii="Times New Roman" w:hAnsi="Times New Roman" w:cs="Times New Roman"/>
              </w:rPr>
              <w:br/>
              <w:t>- Late complications:</w:t>
            </w:r>
            <w:r w:rsidRPr="00CB2EC4">
              <w:rPr>
                <w:rFonts w:ascii="Times New Roman" w:hAnsi="Times New Roman" w:cs="Times New Roman"/>
              </w:rPr>
              <w:br/>
              <w:t xml:space="preserve">  - Lower limb edema (incidence 69%)</w:t>
            </w:r>
            <w:r w:rsidRPr="00CB2EC4">
              <w:rPr>
                <w:rFonts w:ascii="Times New Roman" w:hAnsi="Times New Roman" w:cs="Times New Roman"/>
              </w:rPr>
              <w:br/>
              <w:t xml:space="preserve">  - Lymphangitis, phlebitis, cellulitis (incidence 13%)</w:t>
            </w:r>
            <w:r w:rsidRPr="00CB2EC4">
              <w:rPr>
                <w:rFonts w:ascii="Times New Roman" w:hAnsi="Times New Roman" w:cs="Times New Roman"/>
              </w:rPr>
              <w:br/>
              <w:t xml:space="preserve">  - Vaginal stenosis (incidence 13%)</w:t>
            </w:r>
            <w:r w:rsidRPr="00CB2EC4">
              <w:rPr>
                <w:rFonts w:ascii="Times New Roman" w:hAnsi="Times New Roman" w:cs="Times New Roman"/>
              </w:rPr>
              <w:br/>
              <w:t xml:space="preserve">  - Pelvic relaxation (incidence 11%)</w:t>
            </w:r>
            <w:r w:rsidRPr="00CB2EC4">
              <w:rPr>
                <w:rFonts w:ascii="Times New Roman" w:hAnsi="Times New Roman" w:cs="Times New Roman"/>
              </w:rPr>
              <w:br/>
              <w:t xml:space="preserve">  - Stress urinary incontinence (incidence 11%)</w:t>
            </w:r>
            <w:r w:rsidRPr="00CB2EC4">
              <w:rPr>
                <w:rFonts w:ascii="Times New Roman" w:hAnsi="Times New Roman" w:cs="Times New Roman"/>
              </w:rPr>
              <w:br/>
              <w:t xml:space="preserve">  - Hernia (incidence 5%)</w:t>
            </w:r>
            <w:r w:rsidRPr="00CB2EC4">
              <w:rPr>
                <w:rFonts w:ascii="Times New Roman" w:hAnsi="Times New Roman" w:cs="Times New Roman"/>
              </w:rPr>
              <w:br/>
              <w:t xml:space="preserve">  - Urethral stricture, prolapse (incidence 2%)</w:t>
            </w:r>
            <w:r w:rsidRPr="00CB2EC4">
              <w:rPr>
                <w:rFonts w:ascii="Times New Roman" w:hAnsi="Times New Roman" w:cs="Times New Roman"/>
              </w:rPr>
              <w:br/>
              <w:t xml:space="preserve">  - Fistula (incidence 2%)</w:t>
            </w:r>
            <w:r w:rsidRPr="00CB2EC4">
              <w:rPr>
                <w:rFonts w:ascii="Times New Roman" w:hAnsi="Times New Roman" w:cs="Times New Roman"/>
              </w:rPr>
              <w:br/>
              <w:t xml:space="preserve">  - Rectal dysfunction, prolapse (incidence 1%)</w:t>
            </w:r>
            <w:r w:rsidRPr="00CB2EC4">
              <w:rPr>
                <w:rFonts w:ascii="Times New Roman" w:hAnsi="Times New Roman" w:cs="Times New Roman"/>
              </w:rPr>
              <w:br/>
            </w:r>
            <w:r w:rsidRPr="00CB2EC4">
              <w:rPr>
                <w:rFonts w:ascii="Times New Roman" w:hAnsi="Times New Roman" w:cs="Times New Roman"/>
              </w:rPr>
              <w:br/>
              <w:t>These complications arise from extensive surgical resection, wide flap dissection, and lymphatic system injury (Fragment 3 and Fragment 7).</w:t>
            </w:r>
          </w:p>
        </w:tc>
        <w:tc>
          <w:tcPr>
            <w:tcW w:w="1152" w:type="dxa"/>
            <w:vAlign w:val="center"/>
          </w:tcPr>
          <w:p w14:paraId="70C388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4EDC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7512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46771B" w14:textId="77777777">
        <w:tc>
          <w:tcPr>
            <w:tcW w:w="2160" w:type="dxa"/>
            <w:vAlign w:val="center"/>
          </w:tcPr>
          <w:p w14:paraId="77DBE4AB"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9E07D64" w14:textId="77777777" w:rsidR="00922249" w:rsidRPr="00CB2EC4" w:rsidRDefault="003011D5">
            <w:pPr>
              <w:rPr>
                <w:rFonts w:ascii="Times New Roman" w:hAnsi="Times New Roman" w:cs="Times New Roman"/>
              </w:rPr>
            </w:pPr>
            <w:r w:rsidRPr="00CB2EC4">
              <w:rPr>
                <w:rFonts w:ascii="Times New Roman" w:hAnsi="Times New Roman" w:cs="Times New Roman"/>
              </w:rPr>
              <w:t>the common complications after radical vulvectomy include:</w:t>
            </w:r>
            <w:r w:rsidRPr="00CB2EC4">
              <w:rPr>
                <w:rFonts w:ascii="Times New Roman" w:hAnsi="Times New Roman" w:cs="Times New Roman"/>
              </w:rPr>
              <w:br/>
            </w:r>
            <w:r w:rsidRPr="00CB2EC4">
              <w:rPr>
                <w:rFonts w:ascii="Times New Roman" w:hAnsi="Times New Roman" w:cs="Times New Roman"/>
              </w:rPr>
              <w:lastRenderedPageBreak/>
              <w:br/>
              <w:t xml:space="preserve">- **Early complications** (occurring shortly after surgery):  </w:t>
            </w:r>
            <w:r w:rsidRPr="00CB2EC4">
              <w:rPr>
                <w:rFonts w:ascii="Times New Roman" w:hAnsi="Times New Roman" w:cs="Times New Roman"/>
              </w:rPr>
              <w:br/>
              <w:t xml:space="preserve">  - Wound dehiscence, infection, and necrosis (incidence up to 85%).  </w:t>
            </w:r>
            <w:r w:rsidRPr="00CB2EC4">
              <w:rPr>
                <w:rFonts w:ascii="Times New Roman" w:hAnsi="Times New Roman" w:cs="Times New Roman"/>
              </w:rPr>
              <w:br/>
              <w:t xml:space="preserve">  - Urinary tract infection (incidence about 18%).  </w:t>
            </w:r>
            <w:r w:rsidRPr="00CB2EC4">
              <w:rPr>
                <w:rFonts w:ascii="Times New Roman" w:hAnsi="Times New Roman" w:cs="Times New Roman"/>
              </w:rPr>
              <w:br/>
              <w:t xml:space="preserve">  - Thrombotic lesions (e.g., deep vein thrombosis, incidence about 9%).  </w:t>
            </w:r>
            <w:r w:rsidRPr="00CB2EC4">
              <w:rPr>
                <w:rFonts w:ascii="Times New Roman" w:hAnsi="Times New Roman" w:cs="Times New Roman"/>
              </w:rPr>
              <w:br/>
              <w:t xml:space="preserve">  - Other rare complications: partial necrosis of the pubic symphysis (&lt;1%), femoral artery bleeding (&lt;1%).  </w:t>
            </w:r>
            <w:r w:rsidRPr="00CB2EC4">
              <w:rPr>
                <w:rFonts w:ascii="Times New Roman" w:hAnsi="Times New Roman" w:cs="Times New Roman"/>
              </w:rPr>
              <w:br/>
              <w:t xml:space="preserve">- **Late complications** (occurring in the long term after surgery):  </w:t>
            </w:r>
            <w:r w:rsidRPr="00CB2EC4">
              <w:rPr>
                <w:rFonts w:ascii="Times New Roman" w:hAnsi="Times New Roman" w:cs="Times New Roman"/>
              </w:rPr>
              <w:br/>
              <w:t xml:space="preserve">  - Lower limb lymphedema ("elephantiasis", incidence 69%, due to lymphatic obstruction).  </w:t>
            </w:r>
            <w:r w:rsidRPr="00CB2EC4">
              <w:rPr>
                <w:rFonts w:ascii="Times New Roman" w:hAnsi="Times New Roman" w:cs="Times New Roman"/>
              </w:rPr>
              <w:br/>
              <w:t xml:space="preserve">  - Lymphangitis, phlebitis, or cellulitis (incidence 13%).  </w:t>
            </w:r>
            <w:r w:rsidRPr="00CB2EC4">
              <w:rPr>
                <w:rFonts w:ascii="Times New Roman" w:hAnsi="Times New Roman" w:cs="Times New Roman"/>
              </w:rPr>
              <w:br/>
              <w:t xml:space="preserve">  - Vaginal stenosis (incidence 13%).  </w:t>
            </w:r>
            <w:r w:rsidRPr="00CB2EC4">
              <w:rPr>
                <w:rFonts w:ascii="Times New Roman" w:hAnsi="Times New Roman" w:cs="Times New Roman"/>
              </w:rPr>
              <w:br/>
              <w:t xml:space="preserve">  - Pelvic relaxation (incidence 11%).  </w:t>
            </w:r>
            <w:r w:rsidRPr="00CB2EC4">
              <w:rPr>
                <w:rFonts w:ascii="Times New Roman" w:hAnsi="Times New Roman" w:cs="Times New Roman"/>
              </w:rPr>
              <w:br/>
              <w:t xml:space="preserve">  - Stress urinary incontinence (incidence 11%, especially common in patients with urethral resection &gt;2 cm).  </w:t>
            </w:r>
            <w:r w:rsidRPr="00CB2EC4">
              <w:rPr>
                <w:rFonts w:ascii="Times New Roman" w:hAnsi="Times New Roman" w:cs="Times New Roman"/>
              </w:rPr>
              <w:br/>
              <w:t xml:space="preserve">  - Others: hernia (5%), urethral stricture or prolapse (2%), fistula (e.g., rectovaginal fistula, 2%), rectal dysfunction or prolapse (1%).  </w:t>
            </w:r>
            <w:r w:rsidRPr="00CB2EC4">
              <w:rPr>
                <w:rFonts w:ascii="Times New Roman" w:hAnsi="Times New Roman" w:cs="Times New Roman"/>
              </w:rPr>
              <w:br/>
            </w:r>
            <w:r w:rsidRPr="00CB2EC4">
              <w:rPr>
                <w:rFonts w:ascii="Times New Roman" w:hAnsi="Times New Roman" w:cs="Times New Roman"/>
              </w:rPr>
              <w:br/>
              <w:t>These complications are related to the extensive surgical scope, wide flap dissection, and lymphatic system injury. The documentation emphasizes that postoperative care (such as infection prevention and limb elevation) can alleviate symptoms.</w:t>
            </w:r>
          </w:p>
        </w:tc>
        <w:tc>
          <w:tcPr>
            <w:tcW w:w="1152" w:type="dxa"/>
            <w:vAlign w:val="center"/>
          </w:tcPr>
          <w:p w14:paraId="443736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2635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EB41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FCB837" w14:textId="77777777">
        <w:tc>
          <w:tcPr>
            <w:tcW w:w="2160" w:type="dxa"/>
            <w:vAlign w:val="center"/>
          </w:tcPr>
          <w:p w14:paraId="73543985"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12FA70B" w14:textId="77777777" w:rsidR="00922249" w:rsidRPr="00CB2EC4" w:rsidRDefault="003011D5">
            <w:pPr>
              <w:rPr>
                <w:rFonts w:ascii="Times New Roman" w:hAnsi="Times New Roman" w:cs="Times New Roman"/>
              </w:rPr>
            </w:pPr>
            <w:r w:rsidRPr="00CB2EC4">
              <w:rPr>
                <w:rFonts w:ascii="Times New Roman" w:hAnsi="Times New Roman" w:cs="Times New Roman"/>
              </w:rPr>
              <w:t>the common complications after radical vulvectomy include: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**Early complications** (occurring shortly after surgery):  </w:t>
            </w:r>
            <w:r w:rsidRPr="00CB2EC4">
              <w:rPr>
                <w:rFonts w:ascii="Times New Roman" w:hAnsi="Times New Roman" w:cs="Times New Roman"/>
              </w:rPr>
              <w:br/>
              <w:t xml:space="preserve">  - Wound dehiscence, infection, necrosis (incidence: 85%).  </w:t>
            </w:r>
            <w:r w:rsidRPr="00CB2EC4">
              <w:rPr>
                <w:rFonts w:ascii="Times New Roman" w:hAnsi="Times New Roman" w:cs="Times New Roman"/>
              </w:rPr>
              <w:br/>
              <w:t xml:space="preserve">  - Urinary tract infection (incidence: 18%).  </w:t>
            </w:r>
            <w:r w:rsidRPr="00CB2EC4">
              <w:rPr>
                <w:rFonts w:ascii="Times New Roman" w:hAnsi="Times New Roman" w:cs="Times New Roman"/>
              </w:rPr>
              <w:br/>
              <w:t xml:space="preserve">  - Thrombotic lesions (e.g., deep vein thrombosis, incidence: 9%).  </w:t>
            </w:r>
            <w:r w:rsidRPr="00CB2EC4">
              <w:rPr>
                <w:rFonts w:ascii="Times New Roman" w:hAnsi="Times New Roman" w:cs="Times New Roman"/>
              </w:rPr>
              <w:br/>
              <w:t xml:space="preserve">  - Partial necrosis of the pubic symphysis (incidence: &lt;1%).  </w:t>
            </w:r>
            <w:r w:rsidRPr="00CB2EC4">
              <w:rPr>
                <w:rFonts w:ascii="Times New Roman" w:hAnsi="Times New Roman" w:cs="Times New Roman"/>
              </w:rPr>
              <w:br/>
              <w:t xml:space="preserve">  - Femoral artery bleeding (incidence: &lt;1%).  </w:t>
            </w:r>
            <w:r w:rsidRPr="00CB2EC4">
              <w:rPr>
                <w:rFonts w:ascii="Times New Roman" w:hAnsi="Times New Roman" w:cs="Times New Roman"/>
              </w:rPr>
              <w:br/>
            </w:r>
            <w:r w:rsidRPr="00CB2EC4">
              <w:rPr>
                <w:rFonts w:ascii="Times New Roman" w:hAnsi="Times New Roman" w:cs="Times New Roman"/>
              </w:rPr>
              <w:br/>
              <w:t xml:space="preserve">- **Late complications** (occurring in the long term after surgery):  </w:t>
            </w:r>
            <w:r w:rsidRPr="00CB2EC4">
              <w:rPr>
                <w:rFonts w:ascii="Times New Roman" w:hAnsi="Times New Roman" w:cs="Times New Roman"/>
              </w:rPr>
              <w:br/>
              <w:t xml:space="preserve">  - Lower limb lymphedema (incidence: 69%, commonly known as "elephantiasis," caused by lymphatic obstruction).  </w:t>
            </w:r>
            <w:r w:rsidRPr="00CB2EC4">
              <w:rPr>
                <w:rFonts w:ascii="Times New Roman" w:hAnsi="Times New Roman" w:cs="Times New Roman"/>
              </w:rPr>
              <w:br/>
              <w:t xml:space="preserve">  - Lymphangitis, phlebitis, cellulitis (incidence: 13%).  </w:t>
            </w:r>
            <w:r w:rsidRPr="00CB2EC4">
              <w:rPr>
                <w:rFonts w:ascii="Times New Roman" w:hAnsi="Times New Roman" w:cs="Times New Roman"/>
              </w:rPr>
              <w:br/>
              <w:t xml:space="preserve">  - Vaginal stenosis (incidence: 13%).  </w:t>
            </w:r>
            <w:r w:rsidRPr="00CB2EC4">
              <w:rPr>
                <w:rFonts w:ascii="Times New Roman" w:hAnsi="Times New Roman" w:cs="Times New Roman"/>
              </w:rPr>
              <w:br/>
              <w:t xml:space="preserve">  - Pelvic relaxation (incidence: 11%).  </w:t>
            </w:r>
            <w:r w:rsidRPr="00CB2EC4">
              <w:rPr>
                <w:rFonts w:ascii="Times New Roman" w:hAnsi="Times New Roman" w:cs="Times New Roman"/>
              </w:rPr>
              <w:br/>
              <w:t xml:space="preserve">  - Stress urinary incontinence (incidence: 11%, especially common in patients with urethral resection &gt;2 cm).  </w:t>
            </w:r>
            <w:r w:rsidRPr="00CB2EC4">
              <w:rPr>
                <w:rFonts w:ascii="Times New Roman" w:hAnsi="Times New Roman" w:cs="Times New Roman"/>
              </w:rPr>
              <w:br/>
              <w:t xml:space="preserve">  - Hernia (incidence: 5%).  </w:t>
            </w:r>
            <w:r w:rsidRPr="00CB2EC4">
              <w:rPr>
                <w:rFonts w:ascii="Times New Roman" w:hAnsi="Times New Roman" w:cs="Times New Roman"/>
              </w:rPr>
              <w:br/>
              <w:t xml:space="preserve">  - Urethral stenosis or prolapse (incidence: 2%).  </w:t>
            </w:r>
            <w:r w:rsidRPr="00CB2EC4">
              <w:rPr>
                <w:rFonts w:ascii="Times New Roman" w:hAnsi="Times New Roman" w:cs="Times New Roman"/>
              </w:rPr>
              <w:br/>
              <w:t xml:space="preserve">  - Fistula (e.g., urogenital or rectal fistula, incidence: 2%).  </w:t>
            </w:r>
            <w:r w:rsidRPr="00CB2EC4">
              <w:rPr>
                <w:rFonts w:ascii="Times New Roman" w:hAnsi="Times New Roman" w:cs="Times New Roman"/>
              </w:rPr>
              <w:br/>
              <w:t xml:space="preserve">  - Rectal dysfunction or prolapse (incidence: 1%).  </w:t>
            </w:r>
            <w:r w:rsidRPr="00CB2EC4">
              <w:rPr>
                <w:rFonts w:ascii="Times New Roman" w:hAnsi="Times New Roman" w:cs="Times New Roman"/>
              </w:rPr>
              <w:br/>
            </w:r>
            <w:r w:rsidRPr="00CB2EC4">
              <w:rPr>
                <w:rFonts w:ascii="Times New Roman" w:hAnsi="Times New Roman" w:cs="Times New Roman"/>
              </w:rPr>
              <w:br/>
              <w:t>these data are derived from table 5-7 in the source document (similarity 0.487) and descriptions of lower limb edema and urinary incontinence (similarity 0.549).</w:t>
            </w:r>
          </w:p>
        </w:tc>
        <w:tc>
          <w:tcPr>
            <w:tcW w:w="1152" w:type="dxa"/>
            <w:vAlign w:val="center"/>
          </w:tcPr>
          <w:p w14:paraId="1C2811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2351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09EE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F21B67" w14:textId="77777777">
        <w:tc>
          <w:tcPr>
            <w:tcW w:w="2160" w:type="dxa"/>
            <w:vAlign w:val="center"/>
          </w:tcPr>
          <w:p w14:paraId="5333E8A0"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9702961" w14:textId="77777777" w:rsidR="00922249" w:rsidRPr="00CB2EC4" w:rsidRDefault="003011D5">
            <w:pPr>
              <w:rPr>
                <w:rFonts w:ascii="Times New Roman" w:hAnsi="Times New Roman" w:cs="Times New Roman"/>
              </w:rPr>
            </w:pPr>
            <w:r w:rsidRPr="00CB2EC4">
              <w:rPr>
                <w:rFonts w:ascii="Times New Roman" w:hAnsi="Times New Roman" w:cs="Times New Roman"/>
              </w:rPr>
              <w:t>the common complications after radical vulvectomy include:</w:t>
            </w:r>
            <w:r w:rsidRPr="00CB2EC4">
              <w:rPr>
                <w:rFonts w:ascii="Times New Roman" w:hAnsi="Times New Roman" w:cs="Times New Roman"/>
              </w:rPr>
              <w:br/>
            </w:r>
            <w:r w:rsidRPr="00CB2EC4">
              <w:rPr>
                <w:rFonts w:ascii="Times New Roman" w:hAnsi="Times New Roman" w:cs="Times New Roman"/>
              </w:rPr>
              <w:lastRenderedPageBreak/>
              <w:br/>
              <w:t>- Early complications:</w:t>
            </w:r>
            <w:r w:rsidRPr="00CB2EC4">
              <w:rPr>
                <w:rFonts w:ascii="Times New Roman" w:hAnsi="Times New Roman" w:cs="Times New Roman"/>
              </w:rPr>
              <w:br/>
              <w:t xml:space="preserve">  - Wound dehiscence, infection, necrosis (incidence 85%).</w:t>
            </w:r>
            <w:r w:rsidRPr="00CB2EC4">
              <w:rPr>
                <w:rFonts w:ascii="Times New Roman" w:hAnsi="Times New Roman" w:cs="Times New Roman"/>
              </w:rPr>
              <w:br/>
              <w:t xml:space="preserve">  - Urinary tract infection (incidence 18%).</w:t>
            </w:r>
            <w:r w:rsidRPr="00CB2EC4">
              <w:rPr>
                <w:rFonts w:ascii="Times New Roman" w:hAnsi="Times New Roman" w:cs="Times New Roman"/>
              </w:rPr>
              <w:br/>
              <w:t xml:space="preserve">  - Thrombotic lesions (incidence 9%).</w:t>
            </w:r>
            <w:r w:rsidRPr="00CB2EC4">
              <w:rPr>
                <w:rFonts w:ascii="Times New Roman" w:hAnsi="Times New Roman" w:cs="Times New Roman"/>
              </w:rPr>
              <w:br/>
              <w:t xml:space="preserve">  - Partial necrosis of the pubic symphysis (incidence &lt;1%).</w:t>
            </w:r>
            <w:r w:rsidRPr="00CB2EC4">
              <w:rPr>
                <w:rFonts w:ascii="Times New Roman" w:hAnsi="Times New Roman" w:cs="Times New Roman"/>
              </w:rPr>
              <w:br/>
              <w:t xml:space="preserve">  - Femoral artery bleeding (incidence &lt;1%).</w:t>
            </w:r>
            <w:r w:rsidRPr="00CB2EC4">
              <w:rPr>
                <w:rFonts w:ascii="Times New Roman" w:hAnsi="Times New Roman" w:cs="Times New Roman"/>
              </w:rPr>
              <w:br/>
              <w:t>- Late complications:</w:t>
            </w:r>
            <w:r w:rsidRPr="00CB2EC4">
              <w:rPr>
                <w:rFonts w:ascii="Times New Roman" w:hAnsi="Times New Roman" w:cs="Times New Roman"/>
              </w:rPr>
              <w:br/>
              <w:t xml:space="preserve">  - Lower limb lymphedema (incidence 69%, commonly known as "elephantiasis").</w:t>
            </w:r>
            <w:r w:rsidRPr="00CB2EC4">
              <w:rPr>
                <w:rFonts w:ascii="Times New Roman" w:hAnsi="Times New Roman" w:cs="Times New Roman"/>
              </w:rPr>
              <w:br/>
              <w:t xml:space="preserve">  - Lymphangitis, phlebitis, cellulitis (incidence 13%).</w:t>
            </w:r>
            <w:r w:rsidRPr="00CB2EC4">
              <w:rPr>
                <w:rFonts w:ascii="Times New Roman" w:hAnsi="Times New Roman" w:cs="Times New Roman"/>
              </w:rPr>
              <w:br/>
              <w:t xml:space="preserve">  - Vaginal stenosis (incidence 13%).</w:t>
            </w:r>
            <w:r w:rsidRPr="00CB2EC4">
              <w:rPr>
                <w:rFonts w:ascii="Times New Roman" w:hAnsi="Times New Roman" w:cs="Times New Roman"/>
              </w:rPr>
              <w:br/>
              <w:t xml:space="preserve">  - Pelvic relaxation (incidence 11%).</w:t>
            </w:r>
            <w:r w:rsidRPr="00CB2EC4">
              <w:rPr>
                <w:rFonts w:ascii="Times New Roman" w:hAnsi="Times New Roman" w:cs="Times New Roman"/>
              </w:rPr>
              <w:br/>
              <w:t xml:space="preserve">  - Stress urinary incontinence (incidence 11%, especially when more than 2 cm of the urethra is resected).</w:t>
            </w:r>
            <w:r w:rsidRPr="00CB2EC4">
              <w:rPr>
                <w:rFonts w:ascii="Times New Roman" w:hAnsi="Times New Roman" w:cs="Times New Roman"/>
              </w:rPr>
              <w:br/>
              <w:t xml:space="preserve">  - Hernia (incidence 5%).</w:t>
            </w:r>
            <w:r w:rsidRPr="00CB2EC4">
              <w:rPr>
                <w:rFonts w:ascii="Times New Roman" w:hAnsi="Times New Roman" w:cs="Times New Roman"/>
              </w:rPr>
              <w:br/>
              <w:t xml:space="preserve">  - Urethral stricture or prolapse (incidence 2%).</w:t>
            </w:r>
            <w:r w:rsidRPr="00CB2EC4">
              <w:rPr>
                <w:rFonts w:ascii="Times New Roman" w:hAnsi="Times New Roman" w:cs="Times New Roman"/>
              </w:rPr>
              <w:br/>
              <w:t xml:space="preserve">  - Fistula (incidence 2%).</w:t>
            </w:r>
            <w:r w:rsidRPr="00CB2EC4">
              <w:rPr>
                <w:rFonts w:ascii="Times New Roman" w:hAnsi="Times New Roman" w:cs="Times New Roman"/>
              </w:rPr>
              <w:br/>
              <w:t xml:space="preserve">  - Rectal dysfunction or prolapse (incidence 1%).</w:t>
            </w:r>
            <w:r w:rsidRPr="00CB2EC4">
              <w:rPr>
                <w:rFonts w:ascii="Times New Roman" w:hAnsi="Times New Roman" w:cs="Times New Roman"/>
              </w:rPr>
              <w:br/>
            </w:r>
            <w:r w:rsidRPr="00CB2EC4">
              <w:rPr>
                <w:rFonts w:ascii="Times New Roman" w:hAnsi="Times New Roman" w:cs="Times New Roman"/>
              </w:rPr>
              <w:br/>
              <w:t>Complications are related to the extent of surgery; large-area flap necrosis requires debridement and skin grafting, and thrombotic lesions are a potentially serious problem. Lower limb edema is more likely to occur after postoperative radiotherapy.</w:t>
            </w:r>
          </w:p>
        </w:tc>
        <w:tc>
          <w:tcPr>
            <w:tcW w:w="1152" w:type="dxa"/>
            <w:vAlign w:val="center"/>
          </w:tcPr>
          <w:p w14:paraId="2EF02D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F04E7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27D3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B9743F" w14:textId="77777777">
        <w:tc>
          <w:tcPr>
            <w:tcW w:w="2160" w:type="dxa"/>
            <w:vAlign w:val="center"/>
          </w:tcPr>
          <w:p w14:paraId="471204ED"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953CF04" w14:textId="77777777" w:rsidR="00922249" w:rsidRPr="00CB2EC4" w:rsidRDefault="003011D5">
            <w:pPr>
              <w:rPr>
                <w:rFonts w:ascii="Times New Roman" w:hAnsi="Times New Roman" w:cs="Times New Roman"/>
              </w:rPr>
            </w:pPr>
            <w:r w:rsidRPr="00CB2EC4">
              <w:rPr>
                <w:rFonts w:ascii="Times New Roman" w:hAnsi="Times New Roman" w:cs="Times New Roman"/>
              </w:rPr>
              <w:t>the common complications after radical vulvectomy include:</w:t>
            </w:r>
            <w:r w:rsidRPr="00CB2EC4">
              <w:rPr>
                <w:rFonts w:ascii="Times New Roman" w:hAnsi="Times New Roman" w:cs="Times New Roman"/>
              </w:rPr>
              <w:br/>
            </w:r>
            <w:r w:rsidRPr="00CB2EC4">
              <w:rPr>
                <w:rFonts w:ascii="Times New Roman" w:hAnsi="Times New Roman" w:cs="Times New Roman"/>
              </w:rPr>
              <w:br/>
              <w:t>- **Early complications** (occurring shortly after surgery):</w:t>
            </w:r>
            <w:r w:rsidRPr="00CB2EC4">
              <w:rPr>
                <w:rFonts w:ascii="Times New Roman" w:hAnsi="Times New Roman" w:cs="Times New Roman"/>
              </w:rPr>
              <w:br/>
              <w:t xml:space="preserve">  - Wound dehiscence, infection, necrosis: incidence </w:t>
            </w:r>
            <w:r w:rsidRPr="00CB2EC4">
              <w:rPr>
                <w:rFonts w:ascii="Times New Roman" w:hAnsi="Times New Roman" w:cs="Times New Roman"/>
              </w:rPr>
              <w:lastRenderedPageBreak/>
              <w:t>up to 85%.</w:t>
            </w:r>
            <w:r w:rsidRPr="00CB2EC4">
              <w:rPr>
                <w:rFonts w:ascii="Times New Roman" w:hAnsi="Times New Roman" w:cs="Times New Roman"/>
              </w:rPr>
              <w:br/>
              <w:t xml:space="preserve">  - Urinary tract infection: incidence 18%.</w:t>
            </w:r>
            <w:r w:rsidRPr="00CB2EC4">
              <w:rPr>
                <w:rFonts w:ascii="Times New Roman" w:hAnsi="Times New Roman" w:cs="Times New Roman"/>
              </w:rPr>
              <w:br/>
              <w:t xml:space="preserve">  - Thrombotic lesions (e.g., deep vein thrombosis): incidence 9%, a potentially serious complication.</w:t>
            </w:r>
            <w:r w:rsidRPr="00CB2EC4">
              <w:rPr>
                <w:rFonts w:ascii="Times New Roman" w:hAnsi="Times New Roman" w:cs="Times New Roman"/>
              </w:rPr>
              <w:br/>
              <w:t xml:space="preserve">  - Others: partial necrosis of the pubic symphysis (&lt;1%), femoral artery bleeding (&lt;1%).</w:t>
            </w:r>
            <w:r w:rsidRPr="00CB2EC4">
              <w:rPr>
                <w:rFonts w:ascii="Times New Roman" w:hAnsi="Times New Roman" w:cs="Times New Roman"/>
              </w:rPr>
              <w:br/>
            </w:r>
            <w:r w:rsidRPr="00CB2EC4">
              <w:rPr>
                <w:rFonts w:ascii="Times New Roman" w:hAnsi="Times New Roman" w:cs="Times New Roman"/>
              </w:rPr>
              <w:br/>
              <w:t>- **Late complications** (occurring after a longer postoperative period):</w:t>
            </w:r>
            <w:r w:rsidRPr="00CB2EC4">
              <w:rPr>
                <w:rFonts w:ascii="Times New Roman" w:hAnsi="Times New Roman" w:cs="Times New Roman"/>
              </w:rPr>
              <w:br/>
              <w:t xml:space="preserve">  - Lower limb lymphedema: most common, incidence 69%, may lead to "elephantiasis" in severe cases.</w:t>
            </w:r>
            <w:r w:rsidRPr="00CB2EC4">
              <w:rPr>
                <w:rFonts w:ascii="Times New Roman" w:hAnsi="Times New Roman" w:cs="Times New Roman"/>
              </w:rPr>
              <w:br/>
              <w:t xml:space="preserve">  - Lymphangitis, phlebitis, cellulitis: incidence 13%.</w:t>
            </w:r>
            <w:r w:rsidRPr="00CB2EC4">
              <w:rPr>
                <w:rFonts w:ascii="Times New Roman" w:hAnsi="Times New Roman" w:cs="Times New Roman"/>
              </w:rPr>
              <w:br/>
              <w:t xml:space="preserve">  - Vaginal stenosis: incidence 13%.</w:t>
            </w:r>
            <w:r w:rsidRPr="00CB2EC4">
              <w:rPr>
                <w:rFonts w:ascii="Times New Roman" w:hAnsi="Times New Roman" w:cs="Times New Roman"/>
              </w:rPr>
              <w:br/>
              <w:t xml:space="preserve">  - Pelvic relaxation: incidence 11%.</w:t>
            </w:r>
            <w:r w:rsidRPr="00CB2EC4">
              <w:rPr>
                <w:rFonts w:ascii="Times New Roman" w:hAnsi="Times New Roman" w:cs="Times New Roman"/>
              </w:rPr>
              <w:br/>
              <w:t xml:space="preserve">  - Stress urinary incontinence: incidence 11%, especially likely when more than 2 cm of the urethra is resected.</w:t>
            </w:r>
            <w:r w:rsidRPr="00CB2EC4">
              <w:rPr>
                <w:rFonts w:ascii="Times New Roman" w:hAnsi="Times New Roman" w:cs="Times New Roman"/>
              </w:rPr>
              <w:br/>
              <w:t xml:space="preserve">  - Others: hernia (5%), urethral stricture or prolapse (2%), fistula (2%), rectal dysfunction or prolapse (1%).</w:t>
            </w:r>
          </w:p>
        </w:tc>
        <w:tc>
          <w:tcPr>
            <w:tcW w:w="1152" w:type="dxa"/>
            <w:vAlign w:val="center"/>
          </w:tcPr>
          <w:p w14:paraId="3F399A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FF870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039D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4914785" w14:textId="77777777">
        <w:tc>
          <w:tcPr>
            <w:tcW w:w="2160" w:type="dxa"/>
            <w:vAlign w:val="center"/>
          </w:tcPr>
          <w:p w14:paraId="77AD5ED6"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11C42A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complications after radical vulvectomy are categorized into early and late types based on Table 5-7:  </w:t>
            </w:r>
            <w:r w:rsidRPr="00CB2EC4">
              <w:rPr>
                <w:rFonts w:ascii="Times New Roman" w:hAnsi="Times New Roman" w:cs="Times New Roman"/>
              </w:rPr>
              <w:br/>
              <w:t xml:space="preserve">- Early complications:  </w:t>
            </w:r>
            <w:r w:rsidRPr="00CB2EC4">
              <w:rPr>
                <w:rFonts w:ascii="Times New Roman" w:hAnsi="Times New Roman" w:cs="Times New Roman"/>
              </w:rPr>
              <w:br/>
              <w:t xml:space="preserve">  - Wound dehiscence, infection, and necrosis (85%)  </w:t>
            </w:r>
            <w:r w:rsidRPr="00CB2EC4">
              <w:rPr>
                <w:rFonts w:ascii="Times New Roman" w:hAnsi="Times New Roman" w:cs="Times New Roman"/>
              </w:rPr>
              <w:br/>
              <w:t xml:space="preserve">  - Urinary tract infection (18%)  </w:t>
            </w:r>
            <w:r w:rsidRPr="00CB2EC4">
              <w:rPr>
                <w:rFonts w:ascii="Times New Roman" w:hAnsi="Times New Roman" w:cs="Times New Roman"/>
              </w:rPr>
              <w:br/>
              <w:t xml:space="preserve">  - Thrombotic lesions (9%)  </w:t>
            </w:r>
            <w:r w:rsidRPr="00CB2EC4">
              <w:rPr>
                <w:rFonts w:ascii="Times New Roman" w:hAnsi="Times New Roman" w:cs="Times New Roman"/>
              </w:rPr>
              <w:br/>
              <w:t xml:space="preserve">  - Partial necrosis of the pubic symphysis (&lt;1%)  </w:t>
            </w:r>
            <w:r w:rsidRPr="00CB2EC4">
              <w:rPr>
                <w:rFonts w:ascii="Times New Roman" w:hAnsi="Times New Roman" w:cs="Times New Roman"/>
              </w:rPr>
              <w:br/>
              <w:t xml:space="preserve">  - Femoral artery bleeding (&lt;1%)  </w:t>
            </w:r>
            <w:r w:rsidRPr="00CB2EC4">
              <w:rPr>
                <w:rFonts w:ascii="Times New Roman" w:hAnsi="Times New Roman" w:cs="Times New Roman"/>
              </w:rPr>
              <w:br/>
              <w:t xml:space="preserve">- Late complications:  </w:t>
            </w:r>
            <w:r w:rsidRPr="00CB2EC4">
              <w:rPr>
                <w:rFonts w:ascii="Times New Roman" w:hAnsi="Times New Roman" w:cs="Times New Roman"/>
              </w:rPr>
              <w:br/>
              <w:t xml:space="preserve">  - Lower limb lymphedema (69%, most common)  </w:t>
            </w:r>
            <w:r w:rsidRPr="00CB2EC4">
              <w:rPr>
                <w:rFonts w:ascii="Times New Roman" w:hAnsi="Times New Roman" w:cs="Times New Roman"/>
              </w:rPr>
              <w:br/>
              <w:t xml:space="preserve">  - Lymphangitis, phlebitis, cellulitis (13%)  </w:t>
            </w:r>
            <w:r w:rsidRPr="00CB2EC4">
              <w:rPr>
                <w:rFonts w:ascii="Times New Roman" w:hAnsi="Times New Roman" w:cs="Times New Roman"/>
              </w:rPr>
              <w:br/>
              <w:t xml:space="preserve">  - Vaginal stenosis (13%)  </w:t>
            </w:r>
            <w:r w:rsidRPr="00CB2EC4">
              <w:rPr>
                <w:rFonts w:ascii="Times New Roman" w:hAnsi="Times New Roman" w:cs="Times New Roman"/>
              </w:rPr>
              <w:br/>
              <w:t xml:space="preserve">  - Pelvic relaxation (11%)  </w:t>
            </w:r>
            <w:r w:rsidRPr="00CB2EC4">
              <w:rPr>
                <w:rFonts w:ascii="Times New Roman" w:hAnsi="Times New Roman" w:cs="Times New Roman"/>
              </w:rPr>
              <w:br/>
            </w:r>
            <w:r w:rsidRPr="00CB2EC4">
              <w:rPr>
                <w:rFonts w:ascii="Times New Roman" w:hAnsi="Times New Roman" w:cs="Times New Roman"/>
              </w:rPr>
              <w:lastRenderedPageBreak/>
              <w:t xml:space="preserve">  - Stress urinary incontinence (11%, especially common when &gt;2 cm of urethra is resected)  </w:t>
            </w:r>
            <w:r w:rsidRPr="00CB2EC4">
              <w:rPr>
                <w:rFonts w:ascii="Times New Roman" w:hAnsi="Times New Roman" w:cs="Times New Roman"/>
              </w:rPr>
              <w:br/>
              <w:t xml:space="preserve">  - Hernia (5%)  </w:t>
            </w:r>
            <w:r w:rsidRPr="00CB2EC4">
              <w:rPr>
                <w:rFonts w:ascii="Times New Roman" w:hAnsi="Times New Roman" w:cs="Times New Roman"/>
              </w:rPr>
              <w:br/>
              <w:t xml:space="preserve">  - Urethral stricture or prolapse (2%)  </w:t>
            </w:r>
            <w:r w:rsidRPr="00CB2EC4">
              <w:rPr>
                <w:rFonts w:ascii="Times New Roman" w:hAnsi="Times New Roman" w:cs="Times New Roman"/>
              </w:rPr>
              <w:br/>
              <w:t xml:space="preserve">  - Fistula (2%)  </w:t>
            </w:r>
            <w:r w:rsidRPr="00CB2EC4">
              <w:rPr>
                <w:rFonts w:ascii="Times New Roman" w:hAnsi="Times New Roman" w:cs="Times New Roman"/>
              </w:rPr>
              <w:br/>
              <w:t xml:space="preserve">  - Rectal dysfunction or prolapse (1%)  </w:t>
            </w:r>
            <w:r w:rsidRPr="00CB2EC4">
              <w:rPr>
                <w:rFonts w:ascii="Times New Roman" w:hAnsi="Times New Roman" w:cs="Times New Roman"/>
              </w:rPr>
              <w:br/>
              <w:t>These complications are associated with extensive surgical fields, wide flap dissection, and disruption of lymphatic pathways, requiring timely prevention and management.</w:t>
            </w:r>
          </w:p>
        </w:tc>
        <w:tc>
          <w:tcPr>
            <w:tcW w:w="1152" w:type="dxa"/>
            <w:vAlign w:val="center"/>
          </w:tcPr>
          <w:p w14:paraId="44361E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B3309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1304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7C0414" w14:textId="77777777">
        <w:tc>
          <w:tcPr>
            <w:tcW w:w="2160" w:type="dxa"/>
            <w:vAlign w:val="center"/>
          </w:tcPr>
          <w:p w14:paraId="24716647"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D6D64A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complications after radical vulvectomy for vulvar cancer are divided into early and late categories:  </w:t>
            </w:r>
            <w:r w:rsidRPr="00CB2EC4">
              <w:rPr>
                <w:rFonts w:ascii="Times New Roman" w:hAnsi="Times New Roman" w:cs="Times New Roman"/>
              </w:rPr>
              <w:br/>
              <w:t xml:space="preserve">- Early complications (occurring shortly after surgery):  </w:t>
            </w:r>
            <w:r w:rsidRPr="00CB2EC4">
              <w:rPr>
                <w:rFonts w:ascii="Times New Roman" w:hAnsi="Times New Roman" w:cs="Times New Roman"/>
              </w:rPr>
              <w:br/>
              <w:t xml:space="preserve">  - Wound dehiscence, infection, necrosis (incidence 85%).  </w:t>
            </w:r>
            <w:r w:rsidRPr="00CB2EC4">
              <w:rPr>
                <w:rFonts w:ascii="Times New Roman" w:hAnsi="Times New Roman" w:cs="Times New Roman"/>
              </w:rPr>
              <w:br/>
              <w:t xml:space="preserve">  - Urinary tract infection (incidence 18%).  </w:t>
            </w:r>
            <w:r w:rsidRPr="00CB2EC4">
              <w:rPr>
                <w:rFonts w:ascii="Times New Roman" w:hAnsi="Times New Roman" w:cs="Times New Roman"/>
              </w:rPr>
              <w:br/>
              <w:t xml:space="preserve">  - Thrombotic lesions (e.g., deep vein thrombosis, incidence 9%).  </w:t>
            </w:r>
            <w:r w:rsidRPr="00CB2EC4">
              <w:rPr>
                <w:rFonts w:ascii="Times New Roman" w:hAnsi="Times New Roman" w:cs="Times New Roman"/>
              </w:rPr>
              <w:br/>
              <w:t xml:space="preserve">  - Partial necrosis of the pubic symphysis (incidence &lt;1%).  </w:t>
            </w:r>
            <w:r w:rsidRPr="00CB2EC4">
              <w:rPr>
                <w:rFonts w:ascii="Times New Roman" w:hAnsi="Times New Roman" w:cs="Times New Roman"/>
              </w:rPr>
              <w:br/>
              <w:t xml:space="preserve">  - Femoral artery bleeding (incidence &lt;1%).  </w:t>
            </w:r>
            <w:r w:rsidRPr="00CB2EC4">
              <w:rPr>
                <w:rFonts w:ascii="Times New Roman" w:hAnsi="Times New Roman" w:cs="Times New Roman"/>
              </w:rPr>
              <w:br/>
              <w:t xml:space="preserve">- Late complications (occurring after a longer period post-surgery):  </w:t>
            </w:r>
            <w:r w:rsidRPr="00CB2EC4">
              <w:rPr>
                <w:rFonts w:ascii="Times New Roman" w:hAnsi="Times New Roman" w:cs="Times New Roman"/>
              </w:rPr>
              <w:br/>
              <w:t xml:space="preserve">  - Lower limb lymphedema (incidence 69%, severe cases may lead to "elephantiasis").  </w:t>
            </w:r>
            <w:r w:rsidRPr="00CB2EC4">
              <w:rPr>
                <w:rFonts w:ascii="Times New Roman" w:hAnsi="Times New Roman" w:cs="Times New Roman"/>
              </w:rPr>
              <w:br/>
              <w:t xml:space="preserve">  - Lymphangitis, phlebitis, cellulitis (incidence 13%).  </w:t>
            </w:r>
            <w:r w:rsidRPr="00CB2EC4">
              <w:rPr>
                <w:rFonts w:ascii="Times New Roman" w:hAnsi="Times New Roman" w:cs="Times New Roman"/>
              </w:rPr>
              <w:br/>
              <w:t xml:space="preserve">  - Vaginal stenosis (incidence 13%).  </w:t>
            </w:r>
            <w:r w:rsidRPr="00CB2EC4">
              <w:rPr>
                <w:rFonts w:ascii="Times New Roman" w:hAnsi="Times New Roman" w:cs="Times New Roman"/>
              </w:rPr>
              <w:br/>
              <w:t xml:space="preserve">  - Pelvic relaxation (incidence 11%).  </w:t>
            </w:r>
            <w:r w:rsidRPr="00CB2EC4">
              <w:rPr>
                <w:rFonts w:ascii="Times New Roman" w:hAnsi="Times New Roman" w:cs="Times New Roman"/>
              </w:rPr>
              <w:br/>
              <w:t xml:space="preserve">  - Stress urinary incontinence (incidence 11%, especially when urethral resection exceeds 2 cm).  </w:t>
            </w:r>
            <w:r w:rsidRPr="00CB2EC4">
              <w:rPr>
                <w:rFonts w:ascii="Times New Roman" w:hAnsi="Times New Roman" w:cs="Times New Roman"/>
              </w:rPr>
              <w:br/>
              <w:t xml:space="preserve">  - Hernia (incidence 5%).  </w:t>
            </w:r>
            <w:r w:rsidRPr="00CB2EC4">
              <w:rPr>
                <w:rFonts w:ascii="Times New Roman" w:hAnsi="Times New Roman" w:cs="Times New Roman"/>
              </w:rPr>
              <w:br/>
              <w:t xml:space="preserve">  - Urethral stricture, prolapse (incidence 2%).  </w:t>
            </w:r>
            <w:r w:rsidRPr="00CB2EC4">
              <w:rPr>
                <w:rFonts w:ascii="Times New Roman" w:hAnsi="Times New Roman" w:cs="Times New Roman"/>
              </w:rPr>
              <w:br/>
            </w:r>
            <w:r w:rsidRPr="00CB2EC4">
              <w:rPr>
                <w:rFonts w:ascii="Times New Roman" w:hAnsi="Times New Roman" w:cs="Times New Roman"/>
              </w:rPr>
              <w:lastRenderedPageBreak/>
              <w:t xml:space="preserve">  - Fistula (e.g., urethrovaginal fistula, incidence 2%).  </w:t>
            </w:r>
            <w:r w:rsidRPr="00CB2EC4">
              <w:rPr>
                <w:rFonts w:ascii="Times New Roman" w:hAnsi="Times New Roman" w:cs="Times New Roman"/>
              </w:rPr>
              <w:br/>
              <w:t xml:space="preserve">  - Rectal dysfunction, prolapse (incidence 1%).</w:t>
            </w:r>
          </w:p>
        </w:tc>
        <w:tc>
          <w:tcPr>
            <w:tcW w:w="1152" w:type="dxa"/>
            <w:vAlign w:val="center"/>
          </w:tcPr>
          <w:p w14:paraId="58BBDA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C4B1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EA9C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FF8B17" w14:textId="77777777">
        <w:tc>
          <w:tcPr>
            <w:tcW w:w="2160" w:type="dxa"/>
            <w:vAlign w:val="center"/>
          </w:tcPr>
          <w:p w14:paraId="58B54AA1"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DFCFAC0" w14:textId="77777777" w:rsidR="00922249" w:rsidRPr="00CB2EC4" w:rsidRDefault="003011D5">
            <w:pPr>
              <w:rPr>
                <w:rFonts w:ascii="Times New Roman" w:hAnsi="Times New Roman" w:cs="Times New Roman"/>
              </w:rPr>
            </w:pPr>
            <w:r w:rsidRPr="00CB2EC4">
              <w:rPr>
                <w:rFonts w:ascii="Times New Roman" w:hAnsi="Times New Roman" w:cs="Times New Roman"/>
              </w:rPr>
              <w:t>the common complications after radical surgery for vulvar cancer are divided into early and late categories:</w:t>
            </w:r>
            <w:r w:rsidRPr="00CB2EC4">
              <w:rPr>
                <w:rFonts w:ascii="Times New Roman" w:hAnsi="Times New Roman" w:cs="Times New Roman"/>
              </w:rPr>
              <w:br/>
              <w:t>- Early complications:</w:t>
            </w:r>
            <w:r w:rsidRPr="00CB2EC4">
              <w:rPr>
                <w:rFonts w:ascii="Times New Roman" w:hAnsi="Times New Roman" w:cs="Times New Roman"/>
              </w:rPr>
              <w:br/>
              <w:t xml:space="preserve">  - Wound dehiscence, infection, necrosis (incidence 85%).</w:t>
            </w:r>
            <w:r w:rsidRPr="00CB2EC4">
              <w:rPr>
                <w:rFonts w:ascii="Times New Roman" w:hAnsi="Times New Roman" w:cs="Times New Roman"/>
              </w:rPr>
              <w:br/>
              <w:t xml:space="preserve">  - Urinary tract infection (incidence 18%).</w:t>
            </w:r>
            <w:r w:rsidRPr="00CB2EC4">
              <w:rPr>
                <w:rFonts w:ascii="Times New Roman" w:hAnsi="Times New Roman" w:cs="Times New Roman"/>
              </w:rPr>
              <w:br/>
              <w:t xml:space="preserve">  - Thrombotic lesions (e.g., deep vein thrombosis, incidence 9%).</w:t>
            </w:r>
            <w:r w:rsidRPr="00CB2EC4">
              <w:rPr>
                <w:rFonts w:ascii="Times New Roman" w:hAnsi="Times New Roman" w:cs="Times New Roman"/>
              </w:rPr>
              <w:br/>
              <w:t xml:space="preserve">  - Partial necrosis of the pubic symphysis (incidence &lt;1%).</w:t>
            </w:r>
            <w:r w:rsidRPr="00CB2EC4">
              <w:rPr>
                <w:rFonts w:ascii="Times New Roman" w:hAnsi="Times New Roman" w:cs="Times New Roman"/>
              </w:rPr>
              <w:br/>
              <w:t xml:space="preserve">  - Femoral artery bleeding (incidence &lt;1%).</w:t>
            </w:r>
            <w:r w:rsidRPr="00CB2EC4">
              <w:rPr>
                <w:rFonts w:ascii="Times New Roman" w:hAnsi="Times New Roman" w:cs="Times New Roman"/>
              </w:rPr>
              <w:br/>
              <w:t>- Late complications:</w:t>
            </w:r>
            <w:r w:rsidRPr="00CB2EC4">
              <w:rPr>
                <w:rFonts w:ascii="Times New Roman" w:hAnsi="Times New Roman" w:cs="Times New Roman"/>
              </w:rPr>
              <w:br/>
              <w:t xml:space="preserve">  - Lower limb lymphedema (incidence 69%).</w:t>
            </w:r>
            <w:r w:rsidRPr="00CB2EC4">
              <w:rPr>
                <w:rFonts w:ascii="Times New Roman" w:hAnsi="Times New Roman" w:cs="Times New Roman"/>
              </w:rPr>
              <w:br/>
              <w:t xml:space="preserve">  - Lymphangitis, phlebitis, or cellulitis (incidence 13%).</w:t>
            </w:r>
            <w:r w:rsidRPr="00CB2EC4">
              <w:rPr>
                <w:rFonts w:ascii="Times New Roman" w:hAnsi="Times New Roman" w:cs="Times New Roman"/>
              </w:rPr>
              <w:br/>
              <w:t xml:space="preserve">  - Vaginal stenosis (incidence 13%).</w:t>
            </w:r>
            <w:r w:rsidRPr="00CB2EC4">
              <w:rPr>
                <w:rFonts w:ascii="Times New Roman" w:hAnsi="Times New Roman" w:cs="Times New Roman"/>
              </w:rPr>
              <w:br/>
              <w:t xml:space="preserve">  - Pelvic relaxation (incidence 11%).</w:t>
            </w:r>
            <w:r w:rsidRPr="00CB2EC4">
              <w:rPr>
                <w:rFonts w:ascii="Times New Roman" w:hAnsi="Times New Roman" w:cs="Times New Roman"/>
              </w:rPr>
              <w:br/>
              <w:t xml:space="preserve">  - Stress urinary incontinence (incidence 11%).</w:t>
            </w:r>
            <w:r w:rsidRPr="00CB2EC4">
              <w:rPr>
                <w:rFonts w:ascii="Times New Roman" w:hAnsi="Times New Roman" w:cs="Times New Roman"/>
              </w:rPr>
              <w:br/>
              <w:t xml:space="preserve">  - Hernia (incidence 5%).</w:t>
            </w:r>
            <w:r w:rsidRPr="00CB2EC4">
              <w:rPr>
                <w:rFonts w:ascii="Times New Roman" w:hAnsi="Times New Roman" w:cs="Times New Roman"/>
              </w:rPr>
              <w:br/>
              <w:t xml:space="preserve">  - Urethral stricture or prolapse (incidence 2%).</w:t>
            </w:r>
            <w:r w:rsidRPr="00CB2EC4">
              <w:rPr>
                <w:rFonts w:ascii="Times New Roman" w:hAnsi="Times New Roman" w:cs="Times New Roman"/>
              </w:rPr>
              <w:br/>
              <w:t xml:space="preserve">  - Fistula (e.g., urinary fistula, incidence 2%).</w:t>
            </w:r>
            <w:r w:rsidRPr="00CB2EC4">
              <w:rPr>
                <w:rFonts w:ascii="Times New Roman" w:hAnsi="Times New Roman" w:cs="Times New Roman"/>
              </w:rPr>
              <w:br/>
              <w:t xml:space="preserve">  - Rectal dysfunction or prolapse (incidence 1%).</w:t>
            </w:r>
            <w:r w:rsidRPr="00CB2EC4">
              <w:rPr>
                <w:rFonts w:ascii="Times New Roman" w:hAnsi="Times New Roman" w:cs="Times New Roman"/>
              </w:rPr>
              <w:br/>
              <w:t>These complications primarily result from surgical trauma, lymph node dissection, and flap separation, emphasizing the importance of meticulous intraoperative technique and postoperative management.</w:t>
            </w:r>
          </w:p>
        </w:tc>
        <w:tc>
          <w:tcPr>
            <w:tcW w:w="1152" w:type="dxa"/>
            <w:vAlign w:val="center"/>
          </w:tcPr>
          <w:p w14:paraId="2D2C5F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5F7E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825B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CC8DC8" w14:textId="77777777">
        <w:tc>
          <w:tcPr>
            <w:tcW w:w="2160" w:type="dxa"/>
            <w:vAlign w:val="center"/>
          </w:tcPr>
          <w:p w14:paraId="5987BAC9"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7158B28" w14:textId="77777777" w:rsidR="00922249" w:rsidRPr="00CB2EC4" w:rsidRDefault="003011D5">
            <w:pPr>
              <w:rPr>
                <w:rFonts w:ascii="Times New Roman" w:hAnsi="Times New Roman" w:cs="Times New Roman"/>
              </w:rPr>
            </w:pPr>
            <w:r w:rsidRPr="00CB2EC4">
              <w:rPr>
                <w:rFonts w:ascii="Times New Roman" w:hAnsi="Times New Roman" w:cs="Times New Roman"/>
              </w:rPr>
              <w:t>the common complications after radical vulvectomy for vulvar cancer include: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**Early complications** (occurring shortly after surgery):  </w:t>
            </w:r>
            <w:r w:rsidRPr="00CB2EC4">
              <w:rPr>
                <w:rFonts w:ascii="Times New Roman" w:hAnsi="Times New Roman" w:cs="Times New Roman"/>
              </w:rPr>
              <w:br/>
              <w:t xml:space="preserve">  - Wound dehiscence, infection, and necrosis (incidence ~85%).  </w:t>
            </w:r>
            <w:r w:rsidRPr="00CB2EC4">
              <w:rPr>
                <w:rFonts w:ascii="Times New Roman" w:hAnsi="Times New Roman" w:cs="Times New Roman"/>
              </w:rPr>
              <w:br/>
              <w:t xml:space="preserve">  - Urinary tract infection (incidence ~18%).  </w:t>
            </w:r>
            <w:r w:rsidRPr="00CB2EC4">
              <w:rPr>
                <w:rFonts w:ascii="Times New Roman" w:hAnsi="Times New Roman" w:cs="Times New Roman"/>
              </w:rPr>
              <w:br/>
              <w:t xml:space="preserve">  - Thrombotic lesions (e.g., deep vein thrombosis, incidence ~9%).  </w:t>
            </w:r>
            <w:r w:rsidRPr="00CB2EC4">
              <w:rPr>
                <w:rFonts w:ascii="Times New Roman" w:hAnsi="Times New Roman" w:cs="Times New Roman"/>
              </w:rPr>
              <w:br/>
              <w:t xml:space="preserve">  - Partial necrosis of the pubic symphysis (incidence &lt;1%).  </w:t>
            </w:r>
            <w:r w:rsidRPr="00CB2EC4">
              <w:rPr>
                <w:rFonts w:ascii="Times New Roman" w:hAnsi="Times New Roman" w:cs="Times New Roman"/>
              </w:rPr>
              <w:br/>
              <w:t xml:space="preserve">  - Femoral artery bleeding (incidence &lt;1%).  </w:t>
            </w:r>
            <w:r w:rsidRPr="00CB2EC4">
              <w:rPr>
                <w:rFonts w:ascii="Times New Roman" w:hAnsi="Times New Roman" w:cs="Times New Roman"/>
              </w:rPr>
              <w:br/>
              <w:t xml:space="preserve">- **Late complications** (occurring in the long term after surgery):  </w:t>
            </w:r>
            <w:r w:rsidRPr="00CB2EC4">
              <w:rPr>
                <w:rFonts w:ascii="Times New Roman" w:hAnsi="Times New Roman" w:cs="Times New Roman"/>
              </w:rPr>
              <w:br/>
              <w:t xml:space="preserve">  - Lower limb lymphedema (incidence ~69%, commonly known as "elephantiasis," due to impaired lymphatic drainage).  </w:t>
            </w:r>
            <w:r w:rsidRPr="00CB2EC4">
              <w:rPr>
                <w:rFonts w:ascii="Times New Roman" w:hAnsi="Times New Roman" w:cs="Times New Roman"/>
              </w:rPr>
              <w:br/>
              <w:t xml:space="preserve">  - Lymphangitis, phlebitis, or cellulitis (incidence ~13%).  </w:t>
            </w:r>
            <w:r w:rsidRPr="00CB2EC4">
              <w:rPr>
                <w:rFonts w:ascii="Times New Roman" w:hAnsi="Times New Roman" w:cs="Times New Roman"/>
              </w:rPr>
              <w:br/>
              <w:t xml:space="preserve">  - Vaginal stenosis (incidence ~13%).  </w:t>
            </w:r>
            <w:r w:rsidRPr="00CB2EC4">
              <w:rPr>
                <w:rFonts w:ascii="Times New Roman" w:hAnsi="Times New Roman" w:cs="Times New Roman"/>
              </w:rPr>
              <w:br/>
              <w:t xml:space="preserve">  - Pelvic relaxation (incidence ~11%).  </w:t>
            </w:r>
            <w:r w:rsidRPr="00CB2EC4">
              <w:rPr>
                <w:rFonts w:ascii="Times New Roman" w:hAnsi="Times New Roman" w:cs="Times New Roman"/>
              </w:rPr>
              <w:br/>
              <w:t xml:space="preserve">  - Stress urinary incontinence (incidence ~11%, especially when urethral resection &gt;2 cm).  </w:t>
            </w:r>
            <w:r w:rsidRPr="00CB2EC4">
              <w:rPr>
                <w:rFonts w:ascii="Times New Roman" w:hAnsi="Times New Roman" w:cs="Times New Roman"/>
              </w:rPr>
              <w:br/>
              <w:t xml:space="preserve">  - Hernia (incidence ~5%).  </w:t>
            </w:r>
            <w:r w:rsidRPr="00CB2EC4">
              <w:rPr>
                <w:rFonts w:ascii="Times New Roman" w:hAnsi="Times New Roman" w:cs="Times New Roman"/>
              </w:rPr>
              <w:br/>
              <w:t xml:space="preserve">  - Urethral stricture or prolapse (incidence ~2%).  </w:t>
            </w:r>
            <w:r w:rsidRPr="00CB2EC4">
              <w:rPr>
                <w:rFonts w:ascii="Times New Roman" w:hAnsi="Times New Roman" w:cs="Times New Roman"/>
              </w:rPr>
              <w:br/>
              <w:t xml:space="preserve">  - Fistula (e.g., urethrovaginal fistula, incidence ~2%).  </w:t>
            </w:r>
            <w:r w:rsidRPr="00CB2EC4">
              <w:rPr>
                <w:rFonts w:ascii="Times New Roman" w:hAnsi="Times New Roman" w:cs="Times New Roman"/>
              </w:rPr>
              <w:br/>
              <w:t xml:space="preserve">  - Rectal dysfunction or prolapse (incidence ~1%).  </w:t>
            </w:r>
            <w:r w:rsidRPr="00CB2EC4">
              <w:rPr>
                <w:rFonts w:ascii="Times New Roman" w:hAnsi="Times New Roman" w:cs="Times New Roman"/>
              </w:rPr>
              <w:br/>
            </w:r>
            <w:r w:rsidRPr="00CB2EC4">
              <w:rPr>
                <w:rFonts w:ascii="Times New Roman" w:hAnsi="Times New Roman" w:cs="Times New Roman"/>
              </w:rPr>
              <w:br/>
              <w:t>These complications are related to the extensive surgical resection, wide flap dissection, and disruption of the lymphatic system, emphasizing the need for postoperative infection prevention, edema management, and functional rehabilitation.</w:t>
            </w:r>
          </w:p>
        </w:tc>
        <w:tc>
          <w:tcPr>
            <w:tcW w:w="1152" w:type="dxa"/>
            <w:vAlign w:val="center"/>
          </w:tcPr>
          <w:p w14:paraId="20886B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C80A7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9A12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B57718" w14:textId="77777777">
        <w:tc>
          <w:tcPr>
            <w:tcW w:w="2160" w:type="dxa"/>
            <w:vAlign w:val="center"/>
          </w:tcPr>
          <w:p w14:paraId="5D681E4D"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E5F5858" w14:textId="77777777" w:rsidR="00922249" w:rsidRPr="00CB2EC4" w:rsidRDefault="003011D5">
            <w:pPr>
              <w:rPr>
                <w:rFonts w:ascii="Times New Roman" w:hAnsi="Times New Roman" w:cs="Times New Roman"/>
              </w:rPr>
            </w:pPr>
            <w:r w:rsidRPr="00CB2EC4">
              <w:rPr>
                <w:rFonts w:ascii="Times New Roman" w:hAnsi="Times New Roman" w:cs="Times New Roman"/>
              </w:rPr>
              <w:t>the common complications after radical surgery for vulvar cancer include:</w:t>
            </w:r>
            <w:r w:rsidRPr="00CB2EC4">
              <w:rPr>
                <w:rFonts w:ascii="Times New Roman" w:hAnsi="Times New Roman" w:cs="Times New Roman"/>
              </w:rPr>
              <w:br/>
            </w:r>
            <w:r w:rsidRPr="00CB2EC4">
              <w:rPr>
                <w:rFonts w:ascii="Times New Roman" w:hAnsi="Times New Roman" w:cs="Times New Roman"/>
              </w:rPr>
              <w:lastRenderedPageBreak/>
              <w:t>- Wound complications: such as wound dehiscence, infection, or delayed healing, with a high incidence (approximately 30-50%), mainly due to poor blood supply and excessive tension in the surgical area.</w:t>
            </w:r>
            <w:r w:rsidRPr="00CB2EC4">
              <w:rPr>
                <w:rFonts w:ascii="Times New Roman" w:hAnsi="Times New Roman" w:cs="Times New Roman"/>
              </w:rPr>
              <w:br/>
              <w:t>- Lymphatic system complications: including lower limb lymphedema (in about 20-30% of patients) and lymphoceles, resulting from lymphatic drainage disorders after inguinal lymph node dissection.</w:t>
            </w:r>
            <w:r w:rsidRPr="00CB2EC4">
              <w:rPr>
                <w:rFonts w:ascii="Times New Roman" w:hAnsi="Times New Roman" w:cs="Times New Roman"/>
              </w:rPr>
              <w:br/>
              <w:t>- Urinary system complications: such as urinary incontinence (especially after total urethrectomy), urinary tract infection, or difficulty in urination.</w:t>
            </w:r>
            <w:r w:rsidRPr="00CB2EC4">
              <w:rPr>
                <w:rFonts w:ascii="Times New Roman" w:hAnsi="Times New Roman" w:cs="Times New Roman"/>
              </w:rPr>
              <w:br/>
              <w:t>- Other complications: deep vein thrombosis (DVT), sexual dysfunction (e.g., vaginal stenosis), and less commonly, nerve injury (e.g., femoral nerve injury).</w:t>
            </w:r>
          </w:p>
        </w:tc>
        <w:tc>
          <w:tcPr>
            <w:tcW w:w="1152" w:type="dxa"/>
            <w:vAlign w:val="center"/>
          </w:tcPr>
          <w:p w14:paraId="2ACD29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BB04F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5F8F4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DE3DB86" w14:textId="77777777">
        <w:tc>
          <w:tcPr>
            <w:tcW w:w="10656" w:type="dxa"/>
            <w:gridSpan w:val="5"/>
            <w:tcBorders>
              <w:bottom w:val="single" w:sz="6" w:space="0" w:color="auto"/>
            </w:tcBorders>
            <w:vAlign w:val="center"/>
          </w:tcPr>
          <w:p w14:paraId="2EA6BE6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154: What are the major risk factors for local recurrence after surgery for vulvar cancer?</w:t>
            </w:r>
          </w:p>
        </w:tc>
      </w:tr>
      <w:tr w:rsidR="00922249" w:rsidRPr="00CB2EC4" w14:paraId="447566B5" w14:textId="77777777">
        <w:tc>
          <w:tcPr>
            <w:tcW w:w="2160" w:type="dxa"/>
            <w:vAlign w:val="center"/>
          </w:tcPr>
          <w:p w14:paraId="3969768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DF5D505" w14:textId="77777777" w:rsidR="00922249" w:rsidRPr="00CB2EC4" w:rsidRDefault="003011D5">
            <w:pPr>
              <w:rPr>
                <w:rFonts w:ascii="Times New Roman" w:hAnsi="Times New Roman" w:cs="Times New Roman"/>
              </w:rPr>
            </w:pPr>
            <w:r w:rsidRPr="00CB2EC4">
              <w:rPr>
                <w:rFonts w:ascii="Times New Roman" w:hAnsi="Times New Roman" w:cs="Times New Roman"/>
              </w:rPr>
              <w:t>the main risk factors for local recurrence after vulvar cancer surgery include:</w:t>
            </w:r>
            <w:r w:rsidRPr="00CB2EC4">
              <w:rPr>
                <w:rFonts w:ascii="Times New Roman" w:hAnsi="Times New Roman" w:cs="Times New Roman"/>
              </w:rPr>
              <w:br/>
              <w:t>- inadequate surgical margins: when the margin distance from the tumor is less than 1 cm, the recurrence risk is extremely high; ideal margins should be more than 2–3 cm from the tumor (Heaps and Donaldson noted that margins &lt;1 cm significantly increase the likelihood of recurrence).</w:t>
            </w:r>
            <w:r w:rsidRPr="00CB2EC4">
              <w:rPr>
                <w:rFonts w:ascii="Times New Roman" w:hAnsi="Times New Roman" w:cs="Times New Roman"/>
              </w:rPr>
              <w:br/>
              <w:t>- tumor location: tumors near the urethral orifice or anal margin are prone to recurrence due to anatomical constraints making adequate margins difficult to achieve.</w:t>
            </w:r>
            <w:r w:rsidRPr="00CB2EC4">
              <w:rPr>
                <w:rFonts w:ascii="Times New Roman" w:hAnsi="Times New Roman" w:cs="Times New Roman"/>
              </w:rPr>
              <w:br/>
              <w:t>- multicentric lesions: vulvar cancer is often multicentric; failure to completely excise all foci during initial surgery increases recurrence risk.</w:t>
            </w:r>
            <w:r w:rsidRPr="00CB2EC4">
              <w:rPr>
                <w:rFonts w:ascii="Times New Roman" w:hAnsi="Times New Roman" w:cs="Times New Roman"/>
              </w:rPr>
              <w:br/>
              <w:t xml:space="preserve">- primary tumor size and metastasis: large primary tumors (&gt;2 cm) or lymph node metastasis at initial surgery are associated with more frequent recurrence </w:t>
            </w:r>
            <w:r w:rsidRPr="00CB2EC4">
              <w:rPr>
                <w:rFonts w:ascii="Times New Roman" w:hAnsi="Times New Roman" w:cs="Times New Roman"/>
              </w:rPr>
              <w:lastRenderedPageBreak/>
              <w:t>(80% of recurrences occur within 2 years postoperatively).</w:t>
            </w:r>
            <w:r w:rsidRPr="00CB2EC4">
              <w:rPr>
                <w:rFonts w:ascii="Times New Roman" w:hAnsi="Times New Roman" w:cs="Times New Roman"/>
              </w:rPr>
              <w:br/>
              <w:t>- underlying lesions: coexisting vulvar leukoplakia or chronic inflammation may promote recurrence.</w:t>
            </w:r>
            <w:r w:rsidRPr="00CB2EC4">
              <w:rPr>
                <w:rFonts w:ascii="Times New Roman" w:hAnsi="Times New Roman" w:cs="Times New Roman"/>
              </w:rPr>
              <w:br/>
              <w:t>- surgical technique: overly thin flap dissection or improper intraoperative field management (e.g., failure to ligate lymphatics) can cause local fluid accumulation or necrosis, indirectly increasing recurrence risk.</w:t>
            </w:r>
            <w:r w:rsidRPr="00CB2EC4">
              <w:rPr>
                <w:rFonts w:ascii="Times New Roman" w:hAnsi="Times New Roman" w:cs="Times New Roman"/>
              </w:rPr>
              <w:br/>
            </w:r>
            <w:r w:rsidRPr="00CB2EC4">
              <w:rPr>
                <w:rFonts w:ascii="Times New Roman" w:hAnsi="Times New Roman" w:cs="Times New Roman"/>
              </w:rPr>
              <w:br/>
              <w:t>the document emphasizes that the status of surgical margins is the best prognostic factor for local recurrence, and recurrence poses significant therapeutic challenges (document source: [similarity: 0.459 [expansion:3 blocks, range:436-438]]).</w:t>
            </w:r>
          </w:p>
        </w:tc>
        <w:tc>
          <w:tcPr>
            <w:tcW w:w="1152" w:type="dxa"/>
            <w:vAlign w:val="center"/>
          </w:tcPr>
          <w:p w14:paraId="7AF9D3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3274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A60E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5158B1" w14:textId="77777777">
        <w:tc>
          <w:tcPr>
            <w:tcW w:w="2160" w:type="dxa"/>
            <w:vAlign w:val="center"/>
          </w:tcPr>
          <w:p w14:paraId="66F1F5E8"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B73C269"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main risk factors for local recurrence after vulvar cancer surgery?</w:t>
            </w:r>
            <w:r w:rsidRPr="00CB2EC4">
              <w:rPr>
                <w:rFonts w:ascii="Times New Roman" w:hAnsi="Times New Roman" w:cs="Times New Roman"/>
              </w:rPr>
              <w:br/>
            </w:r>
            <w:r w:rsidRPr="00CB2EC4">
              <w:rPr>
                <w:rFonts w:ascii="Times New Roman" w:hAnsi="Times New Roman" w:cs="Times New Roman"/>
              </w:rPr>
              <w:br/>
              <w:t>according to document fragment 11 (block no. 437) and fragment 12 (block no. 395), the main risk factors for local recurrence after vulvar cancer surgery include:</w:t>
            </w:r>
            <w:r w:rsidRPr="00CB2EC4">
              <w:rPr>
                <w:rFonts w:ascii="Times New Roman" w:hAnsi="Times New Roman" w:cs="Times New Roman"/>
              </w:rPr>
              <w:br/>
              <w:t>- insufficient surgical margins: when the margin distance from the tumor is less than 1 cm, the recurrence risk is extremely high; the ideal margin should be more than 2–3 cm from the tumor (fragment 11). positive or close margins (&lt;8 mm) to the tumor are the best prognostic factors for recurrence (fragment 12).</w:t>
            </w:r>
            <w:r w:rsidRPr="00CB2EC4">
              <w:rPr>
                <w:rFonts w:ascii="Times New Roman" w:hAnsi="Times New Roman" w:cs="Times New Roman"/>
              </w:rPr>
              <w:br/>
              <w:t>- tumor location and extent: when the tumor is close to the urethral opening, anus, or vaginal opening, preserving organs (such as anal or urethral preservation) during surgery may lead to incomplete resection and increased recurrence risk (fragment 11).</w:t>
            </w:r>
            <w:r w:rsidRPr="00CB2EC4">
              <w:rPr>
                <w:rFonts w:ascii="Times New Roman" w:hAnsi="Times New Roman" w:cs="Times New Roman"/>
              </w:rPr>
              <w:br/>
            </w:r>
            <w:r w:rsidRPr="00CB2EC4">
              <w:rPr>
                <w:rFonts w:ascii="Times New Roman" w:hAnsi="Times New Roman" w:cs="Times New Roman"/>
              </w:rPr>
              <w:lastRenderedPageBreak/>
              <w:t>- advanced clinical stage: stage iii or iv cases have higher recurrence rates; multicentric lesions or diffuse lesions are prone to recurrence (fragment 11).</w:t>
            </w:r>
            <w:r w:rsidRPr="00CB2EC4">
              <w:rPr>
                <w:rFonts w:ascii="Times New Roman" w:hAnsi="Times New Roman" w:cs="Times New Roman"/>
              </w:rPr>
              <w:br/>
              <w:t>- lymph node metastasis: patients with inguinal lymph node metastasis have increased recurrence risk, especially with bilateral metastasis (fragment 7 and 11).</w:t>
            </w:r>
            <w:r w:rsidRPr="00CB2EC4">
              <w:rPr>
                <w:rFonts w:ascii="Times New Roman" w:hAnsi="Times New Roman" w:cs="Times New Roman"/>
              </w:rPr>
              <w:br/>
              <w:t>- other factors: vascular space involvement by tumor emboli, poor cell differentiation, or large tumor size (&gt;2 cm) are also associated with high recurrence (fragment 7 and 11).</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52F61D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6C431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B6FE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9CF098" w14:textId="77777777">
        <w:tc>
          <w:tcPr>
            <w:tcW w:w="2160" w:type="dxa"/>
            <w:vAlign w:val="center"/>
          </w:tcPr>
          <w:p w14:paraId="7DC471E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453024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risk factors for local recurrence after vulvar cancer surgery are as follows:  </w:t>
            </w:r>
            <w:r w:rsidRPr="00CB2EC4">
              <w:rPr>
                <w:rFonts w:ascii="Times New Roman" w:hAnsi="Times New Roman" w:cs="Times New Roman"/>
              </w:rPr>
              <w:br/>
              <w:t xml:space="preserve">1. Advanced clinical stage: Recurrence is closely related to clinical stage, with higher recurrence rates in advanced (Stage III, IV) cases (Fragment 4).  </w:t>
            </w:r>
            <w:r w:rsidRPr="00CB2EC4">
              <w:rPr>
                <w:rFonts w:ascii="Times New Roman" w:hAnsi="Times New Roman" w:cs="Times New Roman"/>
              </w:rPr>
              <w:br/>
              <w:t xml:space="preserve">2. Primary tumor size and metastasis: The presence of a large primary tumor and/or lymph node metastasis at initial surgery is associated with increased recurrence (Fragments 4 and 27).  </w:t>
            </w:r>
            <w:r w:rsidRPr="00CB2EC4">
              <w:rPr>
                <w:rFonts w:ascii="Times New Roman" w:hAnsi="Times New Roman" w:cs="Times New Roman"/>
              </w:rPr>
              <w:br/>
              <w:t xml:space="preserve">3. Inadequate surgical margins: When the tumor is close to the urethral or anal opening, a narrow margin (e.g., less than 2 cm from the lesion) is a cause of recurrence (Fragments 4 and 28).  </w:t>
            </w:r>
            <w:r w:rsidRPr="00CB2EC4">
              <w:rPr>
                <w:rFonts w:ascii="Times New Roman" w:hAnsi="Times New Roman" w:cs="Times New Roman"/>
              </w:rPr>
              <w:br/>
              <w:t xml:space="preserve">4. Tumor location: Midline tumors (e.g., clitoris or perineal midline) progress faster and are more prone to metastasis and recurrence (Fragment 27).  </w:t>
            </w:r>
            <w:r w:rsidRPr="00CB2EC4">
              <w:rPr>
                <w:rFonts w:ascii="Times New Roman" w:hAnsi="Times New Roman" w:cs="Times New Roman"/>
              </w:rPr>
              <w:br/>
              <w:t xml:space="preserve">5. Poor pathological differentiation: Poorly differentiated tumors have higher lymph node metastasis rates and worse prognosis, increasing recurrence risk (Fragment 27).  </w:t>
            </w:r>
            <w:r w:rsidRPr="00CB2EC4">
              <w:rPr>
                <w:rFonts w:ascii="Times New Roman" w:hAnsi="Times New Roman" w:cs="Times New Roman"/>
              </w:rPr>
              <w:br/>
              <w:t xml:space="preserve">6. Positive lymph nodes or vascular tumor emboli: </w:t>
            </w:r>
            <w:r w:rsidRPr="00CB2EC4">
              <w:rPr>
                <w:rFonts w:ascii="Times New Roman" w:hAnsi="Times New Roman" w:cs="Times New Roman"/>
              </w:rPr>
              <w:lastRenderedPageBreak/>
              <w:t xml:space="preserve">Patients with positive pelvic lymph nodes or vascular tumor emboli have a high risk of recurrence (Fragment 28).  </w:t>
            </w:r>
            <w:r w:rsidRPr="00CB2EC4">
              <w:rPr>
                <w:rFonts w:ascii="Times New Roman" w:hAnsi="Times New Roman" w:cs="Times New Roman"/>
              </w:rPr>
              <w:br/>
              <w:t>These factors underscore the importance of adequate resection margins and postoperative adjuvant therapy.</w:t>
            </w:r>
          </w:p>
        </w:tc>
        <w:tc>
          <w:tcPr>
            <w:tcW w:w="1152" w:type="dxa"/>
            <w:vAlign w:val="center"/>
          </w:tcPr>
          <w:p w14:paraId="2F8A9F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41C99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47DA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3190F4" w14:textId="77777777">
        <w:tc>
          <w:tcPr>
            <w:tcW w:w="2160" w:type="dxa"/>
            <w:vAlign w:val="center"/>
          </w:tcPr>
          <w:p w14:paraId="6AC6D793"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94912DE" w14:textId="77777777" w:rsidR="00922249" w:rsidRPr="00CB2EC4" w:rsidRDefault="003011D5">
            <w:pPr>
              <w:rPr>
                <w:rFonts w:ascii="Times New Roman" w:hAnsi="Times New Roman" w:cs="Times New Roman"/>
              </w:rPr>
            </w:pPr>
            <w:r w:rsidRPr="00CB2EC4">
              <w:rPr>
                <w:rFonts w:ascii="Times New Roman" w:hAnsi="Times New Roman" w:cs="Times New Roman"/>
              </w:rPr>
              <w:t>risk factors for local recurrence after vulvar cancer surgery</w:t>
            </w:r>
            <w:r w:rsidRPr="00CB2EC4">
              <w:rPr>
                <w:rFonts w:ascii="Times New Roman" w:hAnsi="Times New Roman" w:cs="Times New Roman"/>
              </w:rPr>
              <w:br/>
            </w:r>
            <w:r w:rsidRPr="00CB2EC4">
              <w:rPr>
                <w:rFonts w:ascii="Times New Roman" w:hAnsi="Times New Roman" w:cs="Times New Roman"/>
              </w:rPr>
              <w:br/>
              <w:t xml:space="preserve">Knowledge base document contribution:  </w:t>
            </w:r>
            <w:r w:rsidRPr="00CB2EC4">
              <w:rPr>
                <w:rFonts w:ascii="Times New Roman" w:hAnsi="Times New Roman" w:cs="Times New Roman"/>
              </w:rPr>
              <w:br/>
              <w:t xml:space="preserve">1. Insufficient surgical margins:  </w:t>
            </w:r>
            <w:r w:rsidRPr="00CB2EC4">
              <w:rPr>
                <w:rFonts w:ascii="Times New Roman" w:hAnsi="Times New Roman" w:cs="Times New Roman"/>
              </w:rPr>
              <w:br/>
              <w:t xml:space="preserve">   - Recurrence rate significantly increases when margin distance from tumor is &lt;1cm (Heaps and Donaldson study).  </w:t>
            </w:r>
            <w:r w:rsidRPr="00CB2EC4">
              <w:rPr>
                <w:rFonts w:ascii="Times New Roman" w:hAnsi="Times New Roman" w:cs="Times New Roman"/>
              </w:rPr>
              <w:br/>
              <w:t xml:space="preserve">   - Ideal margin should be ≥2cm (especially for squamous cell carcinoma).  </w:t>
            </w:r>
            <w:r w:rsidRPr="00CB2EC4">
              <w:rPr>
                <w:rFonts w:ascii="Times New Roman" w:hAnsi="Times New Roman" w:cs="Times New Roman"/>
              </w:rPr>
              <w:br/>
              <w:t xml:space="preserve">2. Tumor biological behavior:  </w:t>
            </w:r>
            <w:r w:rsidRPr="00CB2EC4">
              <w:rPr>
                <w:rFonts w:ascii="Times New Roman" w:hAnsi="Times New Roman" w:cs="Times New Roman"/>
              </w:rPr>
              <w:br/>
              <w:t xml:space="preserve">   - Multicentric lesions and lymphovascular space invasion (LVSI) increase recurrence risk.  </w:t>
            </w:r>
            <w:r w:rsidRPr="00CB2EC4">
              <w:rPr>
                <w:rFonts w:ascii="Times New Roman" w:hAnsi="Times New Roman" w:cs="Times New Roman"/>
              </w:rPr>
              <w:br/>
              <w:t xml:space="preserve">3. Inadequate surgical extent:  </w:t>
            </w:r>
            <w:r w:rsidRPr="00CB2EC4">
              <w:rPr>
                <w:rFonts w:ascii="Times New Roman" w:hAnsi="Times New Roman" w:cs="Times New Roman"/>
              </w:rPr>
              <w:br/>
              <w:t xml:space="preserve">   - Failure to perform standardized inguinal lymph node dissection (especially in deep lymph node-positive cases).  </w:t>
            </w:r>
            <w:r w:rsidRPr="00CB2EC4">
              <w:rPr>
                <w:rFonts w:ascii="Times New Roman" w:hAnsi="Times New Roman" w:cs="Times New Roman"/>
              </w:rPr>
              <w:br/>
              <w:t xml:space="preserve">4. Involvement of adjacent organs:  </w:t>
            </w:r>
            <w:r w:rsidRPr="00CB2EC4">
              <w:rPr>
                <w:rFonts w:ascii="Times New Roman" w:hAnsi="Times New Roman" w:cs="Times New Roman"/>
              </w:rPr>
              <w:br/>
              <w:t xml:space="preserve">   - Higher recurrence rates observed in patients with positive urethral/anal margins.  </w:t>
            </w:r>
            <w:r w:rsidRPr="00CB2EC4">
              <w:rPr>
                <w:rFonts w:ascii="Times New Roman" w:hAnsi="Times New Roman" w:cs="Times New Roman"/>
              </w:rPr>
              <w:br/>
            </w:r>
            <w:r w:rsidRPr="00CB2EC4">
              <w:rPr>
                <w:rFonts w:ascii="Times New Roman" w:hAnsi="Times New Roman" w:cs="Times New Roman"/>
              </w:rPr>
              <w:br/>
              <w:t xml:space="preserve">Network search results supplement:  </w:t>
            </w:r>
            <w:r w:rsidRPr="00CB2EC4">
              <w:rPr>
                <w:rFonts w:ascii="Times New Roman" w:hAnsi="Times New Roman" w:cs="Times New Roman"/>
              </w:rPr>
              <w:br/>
              <w:t>Reference [20] indicates that insufficient sentinel lymph node biopsy may miss micrometastases, but does not directly associate with recurrence risk.</w:t>
            </w:r>
          </w:p>
        </w:tc>
        <w:tc>
          <w:tcPr>
            <w:tcW w:w="1152" w:type="dxa"/>
            <w:vAlign w:val="center"/>
          </w:tcPr>
          <w:p w14:paraId="3365C1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1B22A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119F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C4066AC" w14:textId="77777777">
        <w:tc>
          <w:tcPr>
            <w:tcW w:w="2160" w:type="dxa"/>
            <w:vAlign w:val="center"/>
          </w:tcPr>
          <w:p w14:paraId="0E92C785"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FFCFBD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risk factors for local recurrence after vulvar cancer surgery include:  </w:t>
            </w:r>
            <w:r w:rsidRPr="00CB2EC4">
              <w:rPr>
                <w:rFonts w:ascii="Times New Roman" w:hAnsi="Times New Roman" w:cs="Times New Roman"/>
              </w:rPr>
              <w:br/>
              <w:t xml:space="preserve">- inadequate surgical margins  </w:t>
            </w:r>
            <w:r w:rsidRPr="00CB2EC4">
              <w:rPr>
                <w:rFonts w:ascii="Times New Roman" w:hAnsi="Times New Roman" w:cs="Times New Roman"/>
              </w:rPr>
              <w:br/>
            </w:r>
            <w:r w:rsidRPr="00CB2EC4">
              <w:rPr>
                <w:rFonts w:ascii="Times New Roman" w:hAnsi="Times New Roman" w:cs="Times New Roman"/>
              </w:rPr>
              <w:lastRenderedPageBreak/>
              <w:t xml:space="preserve">- tumor location: tumors near the urethral opening, anal verge, or vaginal introitus make it difficult to achieve sufficient margin distance (Fragment 12)  </w:t>
            </w:r>
            <w:r w:rsidRPr="00CB2EC4">
              <w:rPr>
                <w:rFonts w:ascii="Times New Roman" w:hAnsi="Times New Roman" w:cs="Times New Roman"/>
              </w:rPr>
              <w:br/>
              <w:t xml:space="preserve">- depth of invasion: when invasion depth exceeds 1 mm, the rate of lymph node metastasis and recurrence risk increase; greater depth correlates with higher risk (Fragment 26)  </w:t>
            </w:r>
            <w:r w:rsidRPr="00CB2EC4">
              <w:rPr>
                <w:rFonts w:ascii="Times New Roman" w:hAnsi="Times New Roman" w:cs="Times New Roman"/>
              </w:rPr>
              <w:br/>
              <w:t xml:space="preserve">- lymphovascular space invasion: presence of diffuse cancer cells in vascular or lymphatic spaces is associated with lymph node metastasis rates of 40%–65%, significantly increasing recurrence risk (Fragment 26)  </w:t>
            </w:r>
            <w:r w:rsidRPr="00CB2EC4">
              <w:rPr>
                <w:rFonts w:ascii="Times New Roman" w:hAnsi="Times New Roman" w:cs="Times New Roman"/>
              </w:rPr>
              <w:br/>
              <w:t xml:space="preserve">- tumor size: lesions larger than 2 cm in diameter show increased lymph node metastasis rates, indirectly affecting recurrence (Fragment 25)  </w:t>
            </w:r>
            <w:r w:rsidRPr="00CB2EC4">
              <w:rPr>
                <w:rFonts w:ascii="Times New Roman" w:hAnsi="Times New Roman" w:cs="Times New Roman"/>
              </w:rPr>
              <w:br/>
              <w:t xml:space="preserve">- vulvar leukoplakia or chronic lesions: coexistence of vulvar leukoplakia or other chronic lesions elevates recurrence risk (Fragment 12)  </w:t>
            </w:r>
            <w:r w:rsidRPr="00CB2EC4">
              <w:rPr>
                <w:rFonts w:ascii="Times New Roman" w:hAnsi="Times New Roman" w:cs="Times New Roman"/>
              </w:rPr>
              <w:br/>
              <w:t>these factors are explicitly identified as high-risk factors for recurrence in the documents.</w:t>
            </w:r>
          </w:p>
        </w:tc>
        <w:tc>
          <w:tcPr>
            <w:tcW w:w="1152" w:type="dxa"/>
            <w:vAlign w:val="center"/>
          </w:tcPr>
          <w:p w14:paraId="1756BF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5FA7B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5586C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812BD7D" w14:textId="77777777">
        <w:tc>
          <w:tcPr>
            <w:tcW w:w="2160" w:type="dxa"/>
            <w:vAlign w:val="center"/>
          </w:tcPr>
          <w:p w14:paraId="5DAFA90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6F3610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risk factors for local recurrence after vulvar cancer surgery include:  </w:t>
            </w:r>
            <w:r w:rsidRPr="00CB2EC4">
              <w:rPr>
                <w:rFonts w:ascii="Times New Roman" w:hAnsi="Times New Roman" w:cs="Times New Roman"/>
              </w:rPr>
              <w:br/>
              <w:t xml:space="preserve">- Insufficient surgical margins: A margin distance of less than 8 mm (or less than 1 cm) from the tumor is the best prognostic factor for local recurrence, and all recurrent cases are commonly associated with this. Margins should be as far as 2–3 cm from the tumor to reduce risk.  </w:t>
            </w:r>
            <w:r w:rsidRPr="00CB2EC4">
              <w:rPr>
                <w:rFonts w:ascii="Times New Roman" w:hAnsi="Times New Roman" w:cs="Times New Roman"/>
              </w:rPr>
              <w:br/>
              <w:t xml:space="preserve">- Tumor location: When the tumor is close to the urethral opening, anus, or vaginal introitus, the surgical margin is more likely to be near the tumor, increasing the risk of recurrence (Document 6 states: "tumor proximity to the urethral opening, i.e., the margin being close to the tumor, is also a cause of </w:t>
            </w:r>
            <w:r w:rsidRPr="00CB2EC4">
              <w:rPr>
                <w:rFonts w:ascii="Times New Roman" w:hAnsi="Times New Roman" w:cs="Times New Roman"/>
              </w:rPr>
              <w:lastRenderedPageBreak/>
              <w:t xml:space="preserve">postoperative recurrence").  </w:t>
            </w:r>
            <w:r w:rsidRPr="00CB2EC4">
              <w:rPr>
                <w:rFonts w:ascii="Times New Roman" w:hAnsi="Times New Roman" w:cs="Times New Roman"/>
              </w:rPr>
              <w:br/>
              <w:t xml:space="preserve">- Multicentric lesions: Vulvar cancer local lesions exhibit diffuseness and multicentricity; the presence of multiple independent foci is associated with a higher recurrence rate (Document 12 notes: "the presence of multicentric lesions is a characteristic of vulvar cancer recurrence").  </w:t>
            </w:r>
            <w:r w:rsidRPr="00CB2EC4">
              <w:rPr>
                <w:rFonts w:ascii="Times New Roman" w:hAnsi="Times New Roman" w:cs="Times New Roman"/>
              </w:rPr>
              <w:br/>
              <w:t>- Other factors: Lymph node metastasis or depth of invasion were not explicitly identified as direct risk factors for local recurrence based on available information (Document 16 discusses lymph node metastasis but does not link it to local recurrence); therefore, the above three points are the primary risk factors according to the provided data.</w:t>
            </w:r>
          </w:p>
        </w:tc>
        <w:tc>
          <w:tcPr>
            <w:tcW w:w="1152" w:type="dxa"/>
            <w:vAlign w:val="center"/>
          </w:tcPr>
          <w:p w14:paraId="31DD54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30B3C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1294A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F2F90B2" w14:textId="77777777">
        <w:tc>
          <w:tcPr>
            <w:tcW w:w="2160" w:type="dxa"/>
            <w:vAlign w:val="center"/>
          </w:tcPr>
          <w:p w14:paraId="21FC336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34C21A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risk factors for local recurrence after vulvar cancer surgery are as follows:  </w:t>
            </w:r>
            <w:r w:rsidRPr="00CB2EC4">
              <w:rPr>
                <w:rFonts w:ascii="Times New Roman" w:hAnsi="Times New Roman" w:cs="Times New Roman"/>
              </w:rPr>
              <w:br/>
              <w:t xml:space="preserve">- Insufficient surgical margins: This is the primary prognostic factor. In all cases of recurrence, when the margin distance from the tumor is less than 8 mm (or 1 cm), the risk of local recurrence is extremely high. Heaps and Donaldson pointed out that margins less than 1 cm significantly increase the likelihood of recurrence. It is recommended that surgical margins should be more than 2–3 cm from the tumor to reduce the risk of recurrence.  </w:t>
            </w:r>
            <w:r w:rsidRPr="00CB2EC4">
              <w:rPr>
                <w:rFonts w:ascii="Times New Roman" w:hAnsi="Times New Roman" w:cs="Times New Roman"/>
              </w:rPr>
              <w:br/>
              <w:t xml:space="preserve">- Tumor location near critical anatomical structures: When the tumor is close to the urethral meatus, anus, or vaginal orifice, intraoperative preservation of organ function (such as urethral-sparing or anal-sparing procedures) may result in insufficient margins, thereby increasing the risk of recurrence.  </w:t>
            </w:r>
            <w:r w:rsidRPr="00CB2EC4">
              <w:rPr>
                <w:rFonts w:ascii="Times New Roman" w:hAnsi="Times New Roman" w:cs="Times New Roman"/>
              </w:rPr>
              <w:br/>
              <w:t xml:space="preserve">- Extensive depth of invasion: When the tumor involves adjacent organs (such as the urethra, vagina, or anus), the recurrence rate is higher. The document </w:t>
            </w:r>
            <w:r w:rsidRPr="00CB2EC4">
              <w:rPr>
                <w:rFonts w:ascii="Times New Roman" w:hAnsi="Times New Roman" w:cs="Times New Roman"/>
              </w:rPr>
              <w:lastRenderedPageBreak/>
              <w:t xml:space="preserve">indicates that patients with involvement of these sites have a significantly lower 5-year survival rate (decreasing from 62.6% to 22.7%), indirectly reflecting an increased risk of recurrence.  </w:t>
            </w:r>
            <w:r w:rsidRPr="00CB2EC4">
              <w:rPr>
                <w:rFonts w:ascii="Times New Roman" w:hAnsi="Times New Roman" w:cs="Times New Roman"/>
              </w:rPr>
              <w:br/>
              <w:t xml:space="preserve">- Multicentric lesions: Vulvar cancer often presents as multifocal disease, which is prone to cause postoperative local recurrence.  </w:t>
            </w:r>
            <w:r w:rsidRPr="00CB2EC4">
              <w:rPr>
                <w:rFonts w:ascii="Times New Roman" w:hAnsi="Times New Roman" w:cs="Times New Roman"/>
              </w:rPr>
              <w:br/>
              <w:t>- Advanced clinical stage: Stage III or IV cases have a significantly higher recurrence rate than early-stage (Stage I or II) cases, as advanced tumors are more likely to invade adjacent organs (such as the urethra, vagina, anus) and to develop lymph node metastasis.</w:t>
            </w:r>
          </w:p>
        </w:tc>
        <w:tc>
          <w:tcPr>
            <w:tcW w:w="1152" w:type="dxa"/>
            <w:vAlign w:val="center"/>
          </w:tcPr>
          <w:p w14:paraId="7AB4B2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4305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34E4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1C40AF" w14:textId="77777777">
        <w:tc>
          <w:tcPr>
            <w:tcW w:w="2160" w:type="dxa"/>
            <w:vAlign w:val="center"/>
          </w:tcPr>
          <w:p w14:paraId="7ECEBB7C"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BFB8C27" w14:textId="77777777" w:rsidR="00922249" w:rsidRPr="00CB2EC4" w:rsidRDefault="003011D5">
            <w:pPr>
              <w:rPr>
                <w:rFonts w:ascii="Times New Roman" w:hAnsi="Times New Roman" w:cs="Times New Roman"/>
              </w:rPr>
            </w:pPr>
            <w:r w:rsidRPr="00CB2EC4">
              <w:rPr>
                <w:rFonts w:ascii="Times New Roman" w:hAnsi="Times New Roman" w:cs="Times New Roman"/>
              </w:rPr>
              <w:t>the main risk factors for local recurrence after vulvar cancer surgery are as follows:</w:t>
            </w:r>
            <w:r w:rsidRPr="00CB2EC4">
              <w:rPr>
                <w:rFonts w:ascii="Times New Roman" w:hAnsi="Times New Roman" w:cs="Times New Roman"/>
              </w:rPr>
              <w:br/>
            </w:r>
            <w:r w:rsidRPr="00CB2EC4">
              <w:rPr>
                <w:rFonts w:ascii="Times New Roman" w:hAnsi="Times New Roman" w:cs="Times New Roman"/>
              </w:rPr>
              <w:br/>
              <w:t>- Insufficient surgical margins: A margin distance of less than 1 cm from the tumor is a major risk factor (Document Fragment 17 explicitly states that recurrence is highly likely when margins are &lt;1 cm). Margins should ideally be 2–3 cm or more from the tumor to ensure no residual disease.</w:t>
            </w:r>
            <w:r w:rsidRPr="00CB2EC4">
              <w:rPr>
                <w:rFonts w:ascii="Times New Roman" w:hAnsi="Times New Roman" w:cs="Times New Roman"/>
              </w:rPr>
              <w:br/>
              <w:t>- Tumor location: Tumors near the urethral meatus, anal verge, or other adjacent structures (such as the vagina or anus) increase recurrence risk due to limited surgical resectability (Document Fragment 17).</w:t>
            </w:r>
            <w:r w:rsidRPr="00CB2EC4">
              <w:rPr>
                <w:rFonts w:ascii="Times New Roman" w:hAnsi="Times New Roman" w:cs="Times New Roman"/>
              </w:rPr>
              <w:br/>
              <w:t>- Primary tumor size and depth of invasion: Large primary tumors (&gt;2 cm in diameter) or deep muscular invasion are associated with higher recurrence rates (Document Fragment 17).</w:t>
            </w:r>
            <w:r w:rsidRPr="00CB2EC4">
              <w:rPr>
                <w:rFonts w:ascii="Times New Roman" w:hAnsi="Times New Roman" w:cs="Times New Roman"/>
              </w:rPr>
              <w:br/>
              <w:t>- Adverse pathological features: Lymphovascular space invasion (Document Fragment 3, similarity 0.532) and poor tumor differentiation (Document Fragment 12).</w:t>
            </w:r>
            <w:r w:rsidRPr="00CB2EC4">
              <w:rPr>
                <w:rFonts w:ascii="Times New Roman" w:hAnsi="Times New Roman" w:cs="Times New Roman"/>
              </w:rPr>
              <w:br/>
              <w:t xml:space="preserve">- Multifocal disease: The presence of multicentric </w:t>
            </w:r>
            <w:r w:rsidRPr="00CB2EC4">
              <w:rPr>
                <w:rFonts w:ascii="Times New Roman" w:hAnsi="Times New Roman" w:cs="Times New Roman"/>
              </w:rPr>
              <w:lastRenderedPageBreak/>
              <w:t>lesions is a characteristic of recurrence (Document Fragment 7, similarity 0.500).</w:t>
            </w:r>
            <w:r w:rsidRPr="00CB2EC4">
              <w:rPr>
                <w:rFonts w:ascii="Times New Roman" w:hAnsi="Times New Roman" w:cs="Times New Roman"/>
              </w:rPr>
              <w:br/>
              <w:t>- Initial surgical circumstances: Positive or close (&lt;1 cm) surgical margins in the resection specimen are the strongest prognostic factors for recurrence (Document Fragment 12). Document Fragment 17 emphasizes that 80% of recurrences occur within 2 years of initial treatment, particularly in cases with metastasis at first surgery.</w:t>
            </w:r>
            <w:r w:rsidRPr="00CB2EC4">
              <w:rPr>
                <w:rFonts w:ascii="Times New Roman" w:hAnsi="Times New Roman" w:cs="Times New Roman"/>
              </w:rPr>
              <w:br/>
            </w:r>
            <w:r w:rsidRPr="00CB2EC4">
              <w:rPr>
                <w:rFonts w:ascii="Times New Roman" w:hAnsi="Times New Roman" w:cs="Times New Roman"/>
              </w:rPr>
              <w:br/>
              <w:t>These factors are repeatedly highlighted in the documents, underscoring the importance of adequate resection and individualized surgical planning.</w:t>
            </w:r>
          </w:p>
        </w:tc>
        <w:tc>
          <w:tcPr>
            <w:tcW w:w="1152" w:type="dxa"/>
            <w:vAlign w:val="center"/>
          </w:tcPr>
          <w:p w14:paraId="5C3C9F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CBB96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3857D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8C82A06" w14:textId="77777777">
        <w:tc>
          <w:tcPr>
            <w:tcW w:w="2160" w:type="dxa"/>
            <w:vAlign w:val="center"/>
          </w:tcPr>
          <w:p w14:paraId="3DEA39F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DBD8726" w14:textId="77777777" w:rsidR="00922249" w:rsidRPr="00CB2EC4" w:rsidRDefault="003011D5">
            <w:pPr>
              <w:rPr>
                <w:rFonts w:ascii="Times New Roman" w:hAnsi="Times New Roman" w:cs="Times New Roman"/>
              </w:rPr>
            </w:pPr>
            <w:r w:rsidRPr="00CB2EC4">
              <w:rPr>
                <w:rFonts w:ascii="Times New Roman" w:hAnsi="Times New Roman" w:cs="Times New Roman"/>
              </w:rPr>
              <w:t>main risk factors for local recurrence after vulvar cancer surgery</w:t>
            </w:r>
            <w:r w:rsidRPr="00CB2EC4">
              <w:rPr>
                <w:rFonts w:ascii="Times New Roman" w:hAnsi="Times New Roman" w:cs="Times New Roman"/>
              </w:rPr>
              <w:br/>
            </w:r>
            <w:r w:rsidRPr="00CB2EC4">
              <w:rPr>
                <w:rFonts w:ascii="Times New Roman" w:hAnsi="Times New Roman" w:cs="Times New Roman"/>
              </w:rPr>
              <w:br/>
              <w:t xml:space="preserve">The risk factors explicitly mentioned in the document include:  </w:t>
            </w:r>
            <w:r w:rsidRPr="00CB2EC4">
              <w:rPr>
                <w:rFonts w:ascii="Times New Roman" w:hAnsi="Times New Roman" w:cs="Times New Roman"/>
              </w:rPr>
              <w:br/>
              <w:t xml:space="preserve">- Insufficient surgical margins: margin distance &lt;1cm from the lesion or positive margins (5-year survival rate drops to 50%).  </w:t>
            </w:r>
            <w:r w:rsidRPr="00CB2EC4">
              <w:rPr>
                <w:rFonts w:ascii="Times New Roman" w:hAnsi="Times New Roman" w:cs="Times New Roman"/>
              </w:rPr>
              <w:br/>
              <w:t xml:space="preserve">- Tumor size: lesions with diameter &gt;2cm have higher recurrence risk (&gt;8cm associated with 50% lymph node metastasis rate).  </w:t>
            </w:r>
            <w:r w:rsidRPr="00CB2EC4">
              <w:rPr>
                <w:rFonts w:ascii="Times New Roman" w:hAnsi="Times New Roman" w:cs="Times New Roman"/>
              </w:rPr>
              <w:br/>
              <w:t xml:space="preserve">- Depth of invasion: &gt;1mm correlates with increased lymph node metastasis rate as depth increases.  </w:t>
            </w:r>
            <w:r w:rsidRPr="00CB2EC4">
              <w:rPr>
                <w:rFonts w:ascii="Times New Roman" w:hAnsi="Times New Roman" w:cs="Times New Roman"/>
              </w:rPr>
              <w:br/>
              <w:t xml:space="preserve">- Lymphovascular invasion: involvement of lymphatic or vascular spaces increases lymph node metastasis rate.  </w:t>
            </w:r>
            <w:r w:rsidRPr="00CB2EC4">
              <w:rPr>
                <w:rFonts w:ascii="Times New Roman" w:hAnsi="Times New Roman" w:cs="Times New Roman"/>
              </w:rPr>
              <w:br/>
              <w:t xml:space="preserve">- Adjacent organ invasion: involvement of urethra, vagina, or anus significantly worsens prognosis.  </w:t>
            </w:r>
            <w:r w:rsidRPr="00CB2EC4">
              <w:rPr>
                <w:rFonts w:ascii="Times New Roman" w:hAnsi="Times New Roman" w:cs="Times New Roman"/>
              </w:rPr>
              <w:br/>
              <w:t>&gt; *Source: Prognostic analysis and surgical principles sections.*</w:t>
            </w:r>
          </w:p>
        </w:tc>
        <w:tc>
          <w:tcPr>
            <w:tcW w:w="1152" w:type="dxa"/>
            <w:vAlign w:val="center"/>
          </w:tcPr>
          <w:p w14:paraId="4AF6AA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EF27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D404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233029" w14:textId="77777777">
        <w:tc>
          <w:tcPr>
            <w:tcW w:w="2160" w:type="dxa"/>
            <w:vAlign w:val="center"/>
          </w:tcPr>
          <w:p w14:paraId="7200F8F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2A5B7B2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risk factors for local recurrence after vulvar cancer surgery include:  </w:t>
            </w:r>
            <w:r w:rsidRPr="00CB2EC4">
              <w:rPr>
                <w:rFonts w:ascii="Times New Roman" w:hAnsi="Times New Roman" w:cs="Times New Roman"/>
              </w:rPr>
              <w:br/>
              <w:t xml:space="preserve">- Insufficient surgical margins: recurrence risk is extremely high when the margin is less than 1 cm from the tumor; ideal margins should be 2–3 cm or more. All recurrent cases are often associated with margins less than 8 mm.  </w:t>
            </w:r>
            <w:r w:rsidRPr="00CB2EC4">
              <w:rPr>
                <w:rFonts w:ascii="Times New Roman" w:hAnsi="Times New Roman" w:cs="Times New Roman"/>
              </w:rPr>
              <w:br/>
              <w:t xml:space="preserve">- Tumor location near critical structures: when the tumor is close to the urethral meatus or anal verge, achieving adequate margins is difficult, increasing recurrence risk; adjuvant pre- or postoperative radiotherapy is required.  </w:t>
            </w:r>
            <w:r w:rsidRPr="00CB2EC4">
              <w:rPr>
                <w:rFonts w:ascii="Times New Roman" w:hAnsi="Times New Roman" w:cs="Times New Roman"/>
              </w:rPr>
              <w:br/>
              <w:t xml:space="preserve">- Presence of multicentric lesions: vulvar cancer often presents with diffuse and multicentric involvement, predisposing to local recurrence after surgery.  </w:t>
            </w:r>
            <w:r w:rsidRPr="00CB2EC4">
              <w:rPr>
                <w:rFonts w:ascii="Times New Roman" w:hAnsi="Times New Roman" w:cs="Times New Roman"/>
              </w:rPr>
              <w:br/>
              <w:t xml:space="preserve">- Size of primary lesion and metastatic status: recurrence is more common in patients with large primary tumors and/or lymph node metastasis at initial surgery; 80% of recurrences occur within 2 years of initial treatment.  </w:t>
            </w:r>
            <w:r w:rsidRPr="00CB2EC4">
              <w:rPr>
                <w:rFonts w:ascii="Times New Roman" w:hAnsi="Times New Roman" w:cs="Times New Roman"/>
              </w:rPr>
              <w:br/>
              <w:t xml:space="preserve">- Histological factors: conditions such as leukoplakia or involvement of vascular and lymphatic channels increase the risk of recurrence.  </w:t>
            </w:r>
            <w:r w:rsidRPr="00CB2EC4">
              <w:rPr>
                <w:rFonts w:ascii="Times New Roman" w:hAnsi="Times New Roman" w:cs="Times New Roman"/>
              </w:rPr>
              <w:br/>
              <w:t>These factors underscore the importance of ensuring adequate surgical margins intraoperatively.</w:t>
            </w:r>
          </w:p>
        </w:tc>
        <w:tc>
          <w:tcPr>
            <w:tcW w:w="1152" w:type="dxa"/>
            <w:vAlign w:val="center"/>
          </w:tcPr>
          <w:p w14:paraId="128FC7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D625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5796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B34698" w14:textId="77777777">
        <w:tc>
          <w:tcPr>
            <w:tcW w:w="2160" w:type="dxa"/>
            <w:vAlign w:val="center"/>
          </w:tcPr>
          <w:p w14:paraId="01FB4F6B"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1226A0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risk factors for local recurrence after vulvar cancer surgery are as follows:  </w:t>
            </w:r>
            <w:r w:rsidRPr="00CB2EC4">
              <w:rPr>
                <w:rFonts w:ascii="Times New Roman" w:hAnsi="Times New Roman" w:cs="Times New Roman"/>
              </w:rPr>
              <w:br/>
              <w:t xml:space="preserve">- Insufficient surgical margins: A margin distance of less than 1 cm (or less than 8 mm) from the tumor edge is the best prognostic factor for recurrence. All recurrence cases are commonly associated with inadequate margins; it is recommended that margins be at least 2–3 cm from the tumor whenever possible.  </w:t>
            </w:r>
            <w:r w:rsidRPr="00CB2EC4">
              <w:rPr>
                <w:rFonts w:ascii="Times New Roman" w:hAnsi="Times New Roman" w:cs="Times New Roman"/>
              </w:rPr>
              <w:br/>
              <w:t xml:space="preserve">- Tumor location: Tumors near critical sites such as </w:t>
            </w:r>
            <w:r w:rsidRPr="00CB2EC4">
              <w:rPr>
                <w:rFonts w:ascii="Times New Roman" w:hAnsi="Times New Roman" w:cs="Times New Roman"/>
              </w:rPr>
              <w:lastRenderedPageBreak/>
              <w:t xml:space="preserve">the urethral opening or anal verge make it difficult to achieve adequate margins, thereby increasing the risk of recurrence.  </w:t>
            </w:r>
            <w:r w:rsidRPr="00CB2EC4">
              <w:rPr>
                <w:rFonts w:ascii="Times New Roman" w:hAnsi="Times New Roman" w:cs="Times New Roman"/>
              </w:rPr>
              <w:br/>
              <w:t xml:space="preserve">- Clinical stage: Advanced-stage cases (Stage III, IV) have higher recurrence rates, and most recurrent cases are advanced-stage at initial diagnosis.  </w:t>
            </w:r>
            <w:r w:rsidRPr="00CB2EC4">
              <w:rPr>
                <w:rFonts w:ascii="Times New Roman" w:hAnsi="Times New Roman" w:cs="Times New Roman"/>
              </w:rPr>
              <w:br/>
              <w:t xml:space="preserve">- Primary tumor size and metastatic status: Larger primary tumor size (e.g., diameter &gt; 2 cm) and/or presence of lymph node metastasis at the time of initial surgery are associated with more frequent recurrence.  </w:t>
            </w:r>
            <w:r w:rsidRPr="00CB2EC4">
              <w:rPr>
                <w:rFonts w:ascii="Times New Roman" w:hAnsi="Times New Roman" w:cs="Times New Roman"/>
              </w:rPr>
              <w:br/>
              <w:t xml:space="preserve">- Multicentric lesions: Vulvar cancer exhibits diffuse and multicentric characteristics; incomplete removal of all lesions during surgery increases the risk of recurrence.  </w:t>
            </w:r>
            <w:r w:rsidRPr="00CB2EC4">
              <w:rPr>
                <w:rFonts w:ascii="Times New Roman" w:hAnsi="Times New Roman" w:cs="Times New Roman"/>
              </w:rPr>
              <w:br/>
              <w:t xml:space="preserve">- Other factors: Coexisting vulvar leukoplakia or vascular lymphatic space invasion (lymphovascular invasion) also elevate the risk of recurrence.  </w:t>
            </w:r>
            <w:r w:rsidRPr="00CB2EC4">
              <w:rPr>
                <w:rFonts w:ascii="Times New Roman" w:hAnsi="Times New Roman" w:cs="Times New Roman"/>
              </w:rPr>
              <w:br/>
            </w:r>
            <w:r w:rsidRPr="00CB2EC4">
              <w:rPr>
                <w:rFonts w:ascii="Times New Roman" w:hAnsi="Times New Roman" w:cs="Times New Roman"/>
              </w:rPr>
              <w:br/>
              <w:t>The document emphasizes that the status of surgical margins (clear or positive) is the key to controlling recurrence (source: recurrence-related descriptions in the [Similarity: 0.495] segment).</w:t>
            </w:r>
          </w:p>
        </w:tc>
        <w:tc>
          <w:tcPr>
            <w:tcW w:w="1152" w:type="dxa"/>
            <w:vAlign w:val="center"/>
          </w:tcPr>
          <w:p w14:paraId="404A64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0F267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7A2A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BA74239" w14:textId="77777777">
        <w:tc>
          <w:tcPr>
            <w:tcW w:w="2160" w:type="dxa"/>
            <w:vAlign w:val="center"/>
          </w:tcPr>
          <w:p w14:paraId="7BA811E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9C3BF34"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main risk factors for local recurrence after vulvar cancer surgery?</w:t>
            </w:r>
            <w:r w:rsidRPr="00CB2EC4">
              <w:rPr>
                <w:rFonts w:ascii="Times New Roman" w:hAnsi="Times New Roman" w:cs="Times New Roman"/>
              </w:rPr>
              <w:br/>
            </w:r>
            <w:r w:rsidRPr="00CB2EC4">
              <w:rPr>
                <w:rFonts w:ascii="Times New Roman" w:hAnsi="Times New Roman" w:cs="Times New Roman"/>
              </w:rPr>
              <w:br/>
              <w:t>based on contextual information (document excerpts 8 and 12), the main risk factors for local recurrence after vulvar cancer surgery include:</w:t>
            </w:r>
            <w:r w:rsidRPr="00CB2EC4">
              <w:rPr>
                <w:rFonts w:ascii="Times New Roman" w:hAnsi="Times New Roman" w:cs="Times New Roman"/>
              </w:rPr>
              <w:br/>
              <w:t xml:space="preserve">- involvement of critical organ sites: when the tumor invades the urethra, anus, vagina, or anal canal, the risk of recurrence increases significantly (5-year survival rate 62.6% without involvement, dropping to 22.7% with involvement). this is due to potential </w:t>
            </w:r>
            <w:r w:rsidRPr="00CB2EC4">
              <w:rPr>
                <w:rFonts w:ascii="Times New Roman" w:hAnsi="Times New Roman" w:cs="Times New Roman"/>
              </w:rPr>
              <w:lastRenderedPageBreak/>
              <w:t>inadequate surgical resection in these areas and higher likelihood of lymph node metastasis.</w:t>
            </w:r>
            <w:r w:rsidRPr="00CB2EC4">
              <w:rPr>
                <w:rFonts w:ascii="Times New Roman" w:hAnsi="Times New Roman" w:cs="Times New Roman"/>
              </w:rPr>
              <w:br/>
              <w:t>- insufficient surgical resection margins: for lesions adjacent to the urethra or anus, failure to perform extended resection (e.g., partial or total urethrectomy) is associated with higher recurrence rates (e.g., postoperative recurrence rate decreased from 10.4% to 4.2% after implementing urethrectomy).</w:t>
            </w:r>
            <w:r w:rsidRPr="00CB2EC4">
              <w:rPr>
                <w:rFonts w:ascii="Times New Roman" w:hAnsi="Times New Roman" w:cs="Times New Roman"/>
              </w:rPr>
              <w:br/>
              <w:t>- lymph node metastasis: involvement of inguinal or pelvic lymph nodes increases recurrence risk (document excerpts 8 and 19), especially when lymph nodes are positive, leading to higher recurrence probability.</w:t>
            </w:r>
            <w:r w:rsidRPr="00CB2EC4">
              <w:rPr>
                <w:rFonts w:ascii="Times New Roman" w:hAnsi="Times New Roman" w:cs="Times New Roman"/>
              </w:rPr>
              <w:br/>
              <w:t>- lymphovascular space invasion: presence of cancer cells disseminated in lymphatic or vascular spaces increases recurrence risk (document excerpt 12), reflecting higher tumor invasiveness.</w:t>
            </w:r>
            <w:r w:rsidRPr="00CB2EC4">
              <w:rPr>
                <w:rFonts w:ascii="Times New Roman" w:hAnsi="Times New Roman" w:cs="Times New Roman"/>
              </w:rPr>
              <w:br/>
              <w:t>- tumor size and depth of invasion: lesions with diameter &gt;2cm or invasion depth &gt;1mm carry higher recurrence risk (document excerpts 6 and 12), though specific data were not provided in the context.</w:t>
            </w:r>
            <w:r w:rsidRPr="00CB2EC4">
              <w:rPr>
                <w:rFonts w:ascii="Times New Roman" w:hAnsi="Times New Roman" w:cs="Times New Roman"/>
              </w:rPr>
              <w:br/>
              <w:t>these factors underscore the necessity of individualized surgery and comprehensive treatment.</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658B2A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6EA26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DA7A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9A7BFA5" w14:textId="77777777">
        <w:tc>
          <w:tcPr>
            <w:tcW w:w="2160" w:type="dxa"/>
            <w:vAlign w:val="center"/>
          </w:tcPr>
          <w:p w14:paraId="5AA486DB"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4D66D0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risk factors for local recurrence after vulvar cancer surgery include:  </w:t>
            </w:r>
            <w:r w:rsidRPr="00CB2EC4">
              <w:rPr>
                <w:rFonts w:ascii="Times New Roman" w:hAnsi="Times New Roman" w:cs="Times New Roman"/>
              </w:rPr>
              <w:br/>
              <w:t xml:space="preserve">- Inadequate surgical margins: tumor-free margins &lt;1 cm from the tumor edge significantly increase recurrence risk; ideal margins should be ≥2–3 cm (related segment 7).  </w:t>
            </w:r>
            <w:r w:rsidRPr="00CB2EC4">
              <w:rPr>
                <w:rFonts w:ascii="Times New Roman" w:hAnsi="Times New Roman" w:cs="Times New Roman"/>
              </w:rPr>
              <w:br/>
              <w:t xml:space="preserve">- Tumor proximity to critical structures: tumors near the urethral orifice or anus may lead to insufficient resection or omission of adjuvant radiotherapy to </w:t>
            </w:r>
            <w:r w:rsidRPr="00CB2EC4">
              <w:rPr>
                <w:rFonts w:ascii="Times New Roman" w:hAnsi="Times New Roman" w:cs="Times New Roman"/>
              </w:rPr>
              <w:lastRenderedPageBreak/>
              <w:t xml:space="preserve">preserve function (e.g., anal or urethral sparing) (related segment 7).  </w:t>
            </w:r>
            <w:r w:rsidRPr="00CB2EC4">
              <w:rPr>
                <w:rFonts w:ascii="Times New Roman" w:hAnsi="Times New Roman" w:cs="Times New Roman"/>
              </w:rPr>
              <w:br/>
              <w:t xml:space="preserve">- Multicentric lesions: vulvar cancer exhibits diffuse and multicentric growth patterns; approximately 20% of cases have multiple independent lesions, predisposing to new or residual recurrence postoperatively (related segments 2 and 7).  </w:t>
            </w:r>
            <w:r w:rsidRPr="00CB2EC4">
              <w:rPr>
                <w:rFonts w:ascii="Times New Roman" w:hAnsi="Times New Roman" w:cs="Times New Roman"/>
              </w:rPr>
              <w:br/>
              <w:t xml:space="preserve">- Primary tumor characteristics: tumor diameter &gt;2 cm, invasion depth &gt;1 mm, lymphovascular space invasion (presence of cancer cells in lymphatic or vascular channels), or poor cellular differentiation are all associated with higher recurrence rates (related segments 1 and 4).  </w:t>
            </w:r>
            <w:r w:rsidRPr="00CB2EC4">
              <w:rPr>
                <w:rFonts w:ascii="Times New Roman" w:hAnsi="Times New Roman" w:cs="Times New Roman"/>
              </w:rPr>
              <w:br/>
              <w:t xml:space="preserve">- Lymph node metastasis: positive inguinal lymph nodes, especially bilateral involvement, are a high-risk factor for recurrence (related segment 4).  </w:t>
            </w:r>
            <w:r w:rsidRPr="00CB2EC4">
              <w:rPr>
                <w:rFonts w:ascii="Times New Roman" w:hAnsi="Times New Roman" w:cs="Times New Roman"/>
              </w:rPr>
              <w:br/>
            </w:r>
            <w:r w:rsidRPr="00CB2EC4">
              <w:rPr>
                <w:rFonts w:ascii="Times New Roman" w:hAnsi="Times New Roman" w:cs="Times New Roman"/>
              </w:rPr>
              <w:br/>
              <w:t>these factors are based on tumor biological behavior and surgical quality, emphasizing the importance of individualized treatment and adjuvant radiotherapy to reduce recurrence rates.</w:t>
            </w:r>
          </w:p>
        </w:tc>
        <w:tc>
          <w:tcPr>
            <w:tcW w:w="1152" w:type="dxa"/>
            <w:vAlign w:val="center"/>
          </w:tcPr>
          <w:p w14:paraId="61218D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4B6B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60BF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8DF98F" w14:textId="77777777">
        <w:tc>
          <w:tcPr>
            <w:tcW w:w="2160" w:type="dxa"/>
            <w:vAlign w:val="center"/>
          </w:tcPr>
          <w:p w14:paraId="337019FF"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EA22B9E" w14:textId="77777777" w:rsidR="00922249" w:rsidRPr="00CB2EC4" w:rsidRDefault="003011D5">
            <w:pPr>
              <w:rPr>
                <w:rFonts w:ascii="Times New Roman" w:hAnsi="Times New Roman" w:cs="Times New Roman"/>
              </w:rPr>
            </w:pPr>
            <w:r w:rsidRPr="00CB2EC4">
              <w:rPr>
                <w:rFonts w:ascii="Times New Roman" w:hAnsi="Times New Roman" w:cs="Times New Roman"/>
              </w:rPr>
              <w:t>the main risk factors for local recurrence after vulvar cancer surgery include:</w:t>
            </w:r>
            <w:r w:rsidRPr="00CB2EC4">
              <w:rPr>
                <w:rFonts w:ascii="Times New Roman" w:hAnsi="Times New Roman" w:cs="Times New Roman"/>
              </w:rPr>
              <w:br/>
              <w:t>- Positive surgical margins: Presence of cancer cells at the resection edge (positive margin) is the strongest predictor of recurrence.</w:t>
            </w:r>
            <w:r w:rsidRPr="00CB2EC4">
              <w:rPr>
                <w:rFonts w:ascii="Times New Roman" w:hAnsi="Times New Roman" w:cs="Times New Roman"/>
              </w:rPr>
              <w:br/>
              <w:t>- Lymph node metastasis: Positive inguinal or pelvic lymph nodes (especially ≥2 nodes involved) increase the risk of local recurrence.</w:t>
            </w:r>
            <w:r w:rsidRPr="00CB2EC4">
              <w:rPr>
                <w:rFonts w:ascii="Times New Roman" w:hAnsi="Times New Roman" w:cs="Times New Roman"/>
              </w:rPr>
              <w:br/>
              <w:t>- Tumor characteristics: Including tumor size (&gt;2 cm), depth of invasion (&gt;1 mm), lymphovascular space invasion (LVSI positive), and poor differentiation (high grade).</w:t>
            </w:r>
            <w:r w:rsidRPr="00CB2EC4">
              <w:rPr>
                <w:rFonts w:ascii="Times New Roman" w:hAnsi="Times New Roman" w:cs="Times New Roman"/>
              </w:rPr>
              <w:br/>
              <w:t xml:space="preserve">- Inadequate surgical extent: Such as insufficient </w:t>
            </w:r>
            <w:r w:rsidRPr="00CB2EC4">
              <w:rPr>
                <w:rFonts w:ascii="Times New Roman" w:hAnsi="Times New Roman" w:cs="Times New Roman"/>
              </w:rPr>
              <w:lastRenderedPageBreak/>
              <w:t>radical resection or lymph node dissection.</w:t>
            </w:r>
            <w:r w:rsidRPr="00CB2EC4">
              <w:rPr>
                <w:rFonts w:ascii="Times New Roman" w:hAnsi="Times New Roman" w:cs="Times New Roman"/>
              </w:rPr>
              <w:br/>
              <w:t>- Other factors: Advanced patient age (&gt;60 years), immunocompromised status, or lack of neoadjuvant therapy (e.g., radiotherapy) before surgery.</w:t>
            </w:r>
          </w:p>
        </w:tc>
        <w:tc>
          <w:tcPr>
            <w:tcW w:w="1152" w:type="dxa"/>
            <w:vAlign w:val="center"/>
          </w:tcPr>
          <w:p w14:paraId="5E7040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362F6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69EF7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5235DD3" w14:textId="77777777">
        <w:tc>
          <w:tcPr>
            <w:tcW w:w="10656" w:type="dxa"/>
            <w:gridSpan w:val="5"/>
            <w:tcBorders>
              <w:bottom w:val="single" w:sz="6" w:space="0" w:color="auto"/>
            </w:tcBorders>
            <w:vAlign w:val="center"/>
          </w:tcPr>
          <w:p w14:paraId="00ABAD48"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155: What are the roles of HMB-45 and S-100 protein in diagnosing vulvar malignant melanoma? Why is their combined use recommended?</w:t>
            </w:r>
          </w:p>
        </w:tc>
      </w:tr>
      <w:tr w:rsidR="00922249" w:rsidRPr="00CB2EC4" w14:paraId="59034E3D" w14:textId="77777777">
        <w:tc>
          <w:tcPr>
            <w:tcW w:w="2160" w:type="dxa"/>
            <w:vAlign w:val="center"/>
          </w:tcPr>
          <w:p w14:paraId="48D34A1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CCEED09" w14:textId="77777777" w:rsidR="00922249" w:rsidRPr="00CB2EC4" w:rsidRDefault="003011D5">
            <w:pPr>
              <w:rPr>
                <w:rFonts w:ascii="Times New Roman" w:hAnsi="Times New Roman" w:cs="Times New Roman"/>
              </w:rPr>
            </w:pPr>
            <w:r w:rsidRPr="00CB2EC4">
              <w:rPr>
                <w:rFonts w:ascii="Times New Roman" w:hAnsi="Times New Roman" w:cs="Times New Roman"/>
              </w:rPr>
              <w:t>In the diagnosis of vulvar malignant melanoma (VMM):</w:t>
            </w:r>
            <w:r w:rsidRPr="00CB2EC4">
              <w:rPr>
                <w:rFonts w:ascii="Times New Roman" w:hAnsi="Times New Roman" w:cs="Times New Roman"/>
              </w:rPr>
              <w:br/>
              <w:t>- Role of S-100 protein: It is positive in almost all melanomas (high sensitivity), but its specificity is low because other tumors (such as sarcomas and schwannomas) may also be positive.</w:t>
            </w:r>
            <w:r w:rsidRPr="00CB2EC4">
              <w:rPr>
                <w:rFonts w:ascii="Times New Roman" w:hAnsi="Times New Roman" w:cs="Times New Roman"/>
              </w:rPr>
              <w:br/>
              <w:t>- Role of HMB-45: It has higher specificity for melanoma (expression rate approximately 90.6%), enabling more accurate distinction between melanoma and other tumors; however, some metastatic melanomas may be negative (insufficient sensitivity).</w:t>
            </w:r>
            <w:r w:rsidRPr="00CB2EC4">
              <w:rPr>
                <w:rFonts w:ascii="Times New Roman" w:hAnsi="Times New Roman" w:cs="Times New Roman"/>
              </w:rPr>
              <w:br/>
              <w:t>- Reasons for recommending combined use:</w:t>
            </w:r>
            <w:r w:rsidRPr="00CB2EC4">
              <w:rPr>
                <w:rFonts w:ascii="Times New Roman" w:hAnsi="Times New Roman" w:cs="Times New Roman"/>
              </w:rPr>
              <w:br/>
              <w:t xml:space="preserve">  - The high sensitivity of S-100 helps screen suspected cases, but using it alone may lead to misdiagnosis (e.g., misjudging poorly differentiated carcinoma or sarcoma as melanoma).</w:t>
            </w:r>
            <w:r w:rsidRPr="00CB2EC4">
              <w:rPr>
                <w:rFonts w:ascii="Times New Roman" w:hAnsi="Times New Roman" w:cs="Times New Roman"/>
              </w:rPr>
              <w:br/>
              <w:t xml:space="preserve">  - The high specificity of HMB-45 reduces false positives, but using it alone may miss metastatic cases (a negative result does not rule out melanoma).</w:t>
            </w:r>
            <w:r w:rsidRPr="00CB2EC4">
              <w:rPr>
                <w:rFonts w:ascii="Times New Roman" w:hAnsi="Times New Roman" w:cs="Times New Roman"/>
              </w:rPr>
              <w:br/>
              <w:t xml:space="preserve">  - Combining both complements their strengths: S-100 ensures no missed diagnoses, while HMB-45 improves diagnostic accuracy, especially for amelanotic melanoma or difficult cases. Documentation recommends combining immunohistochemistry (such as M-F staining) with routine histopathological examination to enhance diagnostic reliability (source: [similarity: 0.482 </w:t>
            </w:r>
            <w:r w:rsidRPr="00CB2EC4">
              <w:rPr>
                <w:rFonts w:ascii="Times New Roman" w:hAnsi="Times New Roman" w:cs="Times New Roman"/>
              </w:rPr>
              <w:lastRenderedPageBreak/>
              <w:t>[expansion:3 blocks, range:439-441]]).</w:t>
            </w:r>
          </w:p>
        </w:tc>
        <w:tc>
          <w:tcPr>
            <w:tcW w:w="1152" w:type="dxa"/>
            <w:vAlign w:val="center"/>
          </w:tcPr>
          <w:p w14:paraId="59685C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AF43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C606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4573FC" w14:textId="77777777">
        <w:tc>
          <w:tcPr>
            <w:tcW w:w="2160" w:type="dxa"/>
            <w:vAlign w:val="center"/>
          </w:tcPr>
          <w:p w14:paraId="6EDD6C33"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F8CCBE6" w14:textId="77777777" w:rsidR="00922249" w:rsidRPr="00CB2EC4" w:rsidRDefault="003011D5">
            <w:pPr>
              <w:rPr>
                <w:rFonts w:ascii="Times New Roman" w:hAnsi="Times New Roman" w:cs="Times New Roman"/>
              </w:rPr>
            </w:pPr>
            <w:r w:rsidRPr="00CB2EC4">
              <w:rPr>
                <w:rFonts w:ascii="Times New Roman" w:hAnsi="Times New Roman" w:cs="Times New Roman"/>
              </w:rPr>
              <w:t>HMB-45 and S-100 protein play important roles in the diagnosis of vulvar malignant melanoma:</w:t>
            </w:r>
            <w:r w:rsidRPr="00CB2EC4">
              <w:rPr>
                <w:rFonts w:ascii="Times New Roman" w:hAnsi="Times New Roman" w:cs="Times New Roman"/>
              </w:rPr>
              <w:br/>
            </w:r>
            <w:r w:rsidRPr="00CB2EC4">
              <w:rPr>
                <w:rFonts w:ascii="Times New Roman" w:hAnsi="Times New Roman" w:cs="Times New Roman"/>
              </w:rPr>
              <w:br/>
              <w:t>- **S-100 protein** is a highly sensitive marker for melanocytic tumors, including malignant melanoma. It is expressed in nearly all melanomas and helps identify tumors of melanocytic origin. However, its specificity is limited, as S-100 may also be positive in other neoplasms such as schwannomas, clear cell sarcomas, and some carcinomas.</w:t>
            </w:r>
            <w:r w:rsidRPr="00CB2EC4">
              <w:rPr>
                <w:rFonts w:ascii="Times New Roman" w:hAnsi="Times New Roman" w:cs="Times New Roman"/>
              </w:rPr>
              <w:br/>
            </w:r>
            <w:r w:rsidRPr="00CB2EC4">
              <w:rPr>
                <w:rFonts w:ascii="Times New Roman" w:hAnsi="Times New Roman" w:cs="Times New Roman"/>
              </w:rPr>
              <w:br/>
              <w:t>- **HMB-45** is a more specific marker for melanocytic differentiation, particularly for malignant melanoma. It stains melanocytes and melanoma cells but is less commonly positive in benign nevi and typically negative in non-melanocytic tumors.</w:t>
            </w:r>
            <w:r w:rsidRPr="00CB2EC4">
              <w:rPr>
                <w:rFonts w:ascii="Times New Roman" w:hAnsi="Times New Roman" w:cs="Times New Roman"/>
              </w:rPr>
              <w:br/>
            </w:r>
            <w:r w:rsidRPr="00CB2EC4">
              <w:rPr>
                <w:rFonts w:ascii="Times New Roman" w:hAnsi="Times New Roman" w:cs="Times New Roman"/>
              </w:rPr>
              <w:br/>
              <w:t>**Why are both markers recommended for combined use?**</w:t>
            </w:r>
            <w:r w:rsidRPr="00CB2EC4">
              <w:rPr>
                <w:rFonts w:ascii="Times New Roman" w:hAnsi="Times New Roman" w:cs="Times New Roman"/>
              </w:rPr>
              <w:br/>
            </w:r>
            <w:r w:rsidRPr="00CB2EC4">
              <w:rPr>
                <w:rFonts w:ascii="Times New Roman" w:hAnsi="Times New Roman" w:cs="Times New Roman"/>
              </w:rPr>
              <w:br/>
              <w:t>- Using S-100 and HMB-45 together increases diagnostic accuracy: S-100 provides broad sensitivity to detect melanocytic lineage, while HMB-45 adds specificity to support the diagnosis of malignant melanoma over benign melanocytic lesions or mimics.</w:t>
            </w:r>
            <w:r w:rsidRPr="00CB2EC4">
              <w:rPr>
                <w:rFonts w:ascii="Times New Roman" w:hAnsi="Times New Roman" w:cs="Times New Roman"/>
              </w:rPr>
              <w:br/>
              <w:t>- Some melanomas may be only weakly positive or focally positive for one marker; combined immunostaining reduces the risk of false-negative interpretation.</w:t>
            </w:r>
            <w:r w:rsidRPr="00CB2EC4">
              <w:rPr>
                <w:rFonts w:ascii="Times New Roman" w:hAnsi="Times New Roman" w:cs="Times New Roman"/>
              </w:rPr>
              <w:br/>
              <w:t>- Differential diagnosis: Other vulvar tumors (e.g., poorly differentiated carcinomas, sarcomas, or clear cell tumors) may be S-100 positive but usually HMB-45 negative, aiding in correct classification.</w:t>
            </w:r>
            <w:r w:rsidRPr="00CB2EC4">
              <w:rPr>
                <w:rFonts w:ascii="Times New Roman" w:hAnsi="Times New Roman" w:cs="Times New Roman"/>
              </w:rPr>
              <w:br/>
            </w:r>
            <w:r w:rsidRPr="00CB2EC4">
              <w:rPr>
                <w:rFonts w:ascii="Times New Roman" w:hAnsi="Times New Roman" w:cs="Times New Roman"/>
              </w:rPr>
              <w:lastRenderedPageBreak/>
              <w:br/>
              <w:t>Thus, the combination of HMB-45 and S-100 protein immunohistochemistry is recommended to confirm the melanocytic origin and malignant nature of vulvar tumors, improving diagnostic reliability.</w:t>
            </w:r>
            <w:r w:rsidRPr="00CB2EC4">
              <w:rPr>
                <w:rFonts w:ascii="Times New Roman" w:hAnsi="Times New Roman" w:cs="Times New Roman"/>
              </w:rPr>
              <w:br/>
            </w:r>
            <w:r w:rsidRPr="00CB2EC4">
              <w:rPr>
                <w:rFonts w:ascii="Times New Roman" w:hAnsi="Times New Roman" w:cs="Times New Roman"/>
              </w:rPr>
              <w:br/>
              <w:t>Note: The provided document fragments (blocks 441, 468, 467) discuss diagnosis and treatment of vulvar malignant melanoma but do not contain information on HMB-45 or S-100 protein. The above explanation is based on established pathological knowledge.</w:t>
            </w:r>
          </w:p>
        </w:tc>
        <w:tc>
          <w:tcPr>
            <w:tcW w:w="1152" w:type="dxa"/>
            <w:vAlign w:val="center"/>
          </w:tcPr>
          <w:p w14:paraId="17771B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F6BF0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B0808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C4B7A7C" w14:textId="77777777">
        <w:tc>
          <w:tcPr>
            <w:tcW w:w="2160" w:type="dxa"/>
            <w:vAlign w:val="center"/>
          </w:tcPr>
          <w:p w14:paraId="497F85A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C37424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**Role of HMB-45 and S-100 protein in the diagnosis of vulvar malignant melanoma (VMM):**  </w:t>
            </w:r>
            <w:r w:rsidRPr="00CB2EC4">
              <w:rPr>
                <w:rFonts w:ascii="Times New Roman" w:hAnsi="Times New Roman" w:cs="Times New Roman"/>
              </w:rPr>
              <w:br/>
              <w:t xml:space="preserve">  - S-100 protein: Highly sensitive; nearly all melanomas express positivity, but specificity is low because sarcomas, schwannomas, and some other carcinomas may also express positivity.  </w:t>
            </w:r>
            <w:r w:rsidRPr="00CB2EC4">
              <w:rPr>
                <w:rFonts w:ascii="Times New Roman" w:hAnsi="Times New Roman" w:cs="Times New Roman"/>
              </w:rPr>
              <w:br/>
              <w:t xml:space="preserve">  - HMB-45: Higher specificity; more reliable for diagnosing melanoma, with a reported expression rate of 90.6% in melanoma, but may be negative in metastatic melanoma.  </w:t>
            </w:r>
            <w:r w:rsidRPr="00CB2EC4">
              <w:rPr>
                <w:rFonts w:ascii="Times New Roman" w:hAnsi="Times New Roman" w:cs="Times New Roman"/>
              </w:rPr>
              <w:br/>
              <w:t xml:space="preserve">- **Reason for recommending combined use:**  </w:t>
            </w:r>
            <w:r w:rsidRPr="00CB2EC4">
              <w:rPr>
                <w:rFonts w:ascii="Times New Roman" w:hAnsi="Times New Roman" w:cs="Times New Roman"/>
              </w:rPr>
              <w:br/>
              <w:t xml:space="preserve">  - Due to the high misdiagnosis rate of vulvar malignant melanoma (easily misdiagnosed as poorly differentiated carcinoma or fibrosarcoma), using S-100 protein alone may cause misdiagnosis due to false positives, while using HMB-45 alone may result in missed diagnosis due to false negatives (especially in metastatic cases).  </w:t>
            </w:r>
            <w:r w:rsidRPr="00CB2EC4">
              <w:rPr>
                <w:rFonts w:ascii="Times New Roman" w:hAnsi="Times New Roman" w:cs="Times New Roman"/>
              </w:rPr>
              <w:br/>
              <w:t xml:space="preserve">  - Combined use of both markers is complementary: the high sensitivity of S-100 protein aids in screening, and the high specificity of HMB-45 aids in definitive diagnosis, thereby improving diagnostic accuracy (Fragment 2).</w:t>
            </w:r>
          </w:p>
        </w:tc>
        <w:tc>
          <w:tcPr>
            <w:tcW w:w="1152" w:type="dxa"/>
            <w:vAlign w:val="center"/>
          </w:tcPr>
          <w:p w14:paraId="2EF6FC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520D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DAF0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6A11CF" w14:textId="77777777">
        <w:tc>
          <w:tcPr>
            <w:tcW w:w="2160" w:type="dxa"/>
            <w:vAlign w:val="center"/>
          </w:tcPr>
          <w:p w14:paraId="26A6CD7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6825807C" w14:textId="77777777" w:rsidR="00922249" w:rsidRPr="00CB2EC4" w:rsidRDefault="003011D5">
            <w:pPr>
              <w:rPr>
                <w:rFonts w:ascii="Times New Roman" w:hAnsi="Times New Roman" w:cs="Times New Roman"/>
              </w:rPr>
            </w:pPr>
            <w:r w:rsidRPr="00CB2EC4">
              <w:rPr>
                <w:rFonts w:ascii="Times New Roman" w:hAnsi="Times New Roman" w:cs="Times New Roman"/>
              </w:rPr>
              <w:t>the role of HMB-45 and S-100 protein in the diagnosis of vulvar malignant melanoma</w:t>
            </w:r>
            <w:r w:rsidRPr="00CB2EC4">
              <w:rPr>
                <w:rFonts w:ascii="Times New Roman" w:hAnsi="Times New Roman" w:cs="Times New Roman"/>
              </w:rPr>
              <w:br/>
            </w:r>
            <w:r w:rsidRPr="00CB2EC4">
              <w:rPr>
                <w:rFonts w:ascii="Times New Roman" w:hAnsi="Times New Roman" w:cs="Times New Roman"/>
              </w:rPr>
              <w:br/>
              <w:t xml:space="preserve">knowledge base document contribution:  </w:t>
            </w:r>
            <w:r w:rsidRPr="00CB2EC4">
              <w:rPr>
                <w:rFonts w:ascii="Times New Roman" w:hAnsi="Times New Roman" w:cs="Times New Roman"/>
              </w:rPr>
              <w:br/>
              <w:t xml:space="preserve">no relevant immunohistochemical markers mentioned.  </w:t>
            </w:r>
            <w:r w:rsidRPr="00CB2EC4">
              <w:rPr>
                <w:rFonts w:ascii="Times New Roman" w:hAnsi="Times New Roman" w:cs="Times New Roman"/>
              </w:rPr>
              <w:br/>
              <w:t xml:space="preserve">network search results contribution:  </w:t>
            </w:r>
            <w:r w:rsidRPr="00CB2EC4">
              <w:rPr>
                <w:rFonts w:ascii="Times New Roman" w:hAnsi="Times New Roman" w:cs="Times New Roman"/>
              </w:rPr>
              <w:br/>
              <w:t xml:space="preserve">1. S-100 protein:  </w:t>
            </w:r>
            <w:r w:rsidRPr="00CB2EC4">
              <w:rPr>
                <w:rFonts w:ascii="Times New Roman" w:hAnsi="Times New Roman" w:cs="Times New Roman"/>
              </w:rPr>
              <w:br/>
              <w:t xml:space="preserve">   - role: high sensitivity (&gt;95%), but low specificity (can be expressed in schwannoma, etc.).  </w:t>
            </w:r>
            <w:r w:rsidRPr="00CB2EC4">
              <w:rPr>
                <w:rFonts w:ascii="Times New Roman" w:hAnsi="Times New Roman" w:cs="Times New Roman"/>
              </w:rPr>
              <w:br/>
              <w:t xml:space="preserve">   - value: preferred screening marker for melanoma.  </w:t>
            </w:r>
            <w:r w:rsidRPr="00CB2EC4">
              <w:rPr>
                <w:rFonts w:ascii="Times New Roman" w:hAnsi="Times New Roman" w:cs="Times New Roman"/>
              </w:rPr>
              <w:br/>
              <w:t xml:space="preserve">2. HMB-45:  </w:t>
            </w:r>
            <w:r w:rsidRPr="00CB2EC4">
              <w:rPr>
                <w:rFonts w:ascii="Times New Roman" w:hAnsi="Times New Roman" w:cs="Times New Roman"/>
              </w:rPr>
              <w:br/>
              <w:t xml:space="preserve">   - role: high specificity (targeting melanocyte differentiation antigens), but lower sensitivity (approximately 80%).  </w:t>
            </w:r>
            <w:r w:rsidRPr="00CB2EC4">
              <w:rPr>
                <w:rFonts w:ascii="Times New Roman" w:hAnsi="Times New Roman" w:cs="Times New Roman"/>
              </w:rPr>
              <w:br/>
              <w:t xml:space="preserve">   - value: key diagnostic indicator for malignant melanoma.  </w:t>
            </w:r>
            <w:r w:rsidRPr="00CB2EC4">
              <w:rPr>
                <w:rFonts w:ascii="Times New Roman" w:hAnsi="Times New Roman" w:cs="Times New Roman"/>
              </w:rPr>
              <w:br/>
              <w:t xml:space="preserve">3. reason for combined application:  </w:t>
            </w:r>
            <w:r w:rsidRPr="00CB2EC4">
              <w:rPr>
                <w:rFonts w:ascii="Times New Roman" w:hAnsi="Times New Roman" w:cs="Times New Roman"/>
              </w:rPr>
              <w:br/>
              <w:t xml:space="preserve">   - complementary defects: S-100 increases detection rate, HMB-45 reduces false positives.  </w:t>
            </w:r>
            <w:r w:rsidRPr="00CB2EC4">
              <w:rPr>
                <w:rFonts w:ascii="Times New Roman" w:hAnsi="Times New Roman" w:cs="Times New Roman"/>
              </w:rPr>
              <w:br/>
              <w:t xml:space="preserve">   - diagnostic criteria: dual positivity supports the diagnosis of malignant melanoma (especially in spindle cell or poorly differentiated subtypes).</w:t>
            </w:r>
          </w:p>
        </w:tc>
        <w:tc>
          <w:tcPr>
            <w:tcW w:w="1152" w:type="dxa"/>
            <w:vAlign w:val="center"/>
          </w:tcPr>
          <w:p w14:paraId="01BEF3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9463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CCC3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F708B2" w14:textId="77777777">
        <w:tc>
          <w:tcPr>
            <w:tcW w:w="2160" w:type="dxa"/>
            <w:vAlign w:val="center"/>
          </w:tcPr>
          <w:p w14:paraId="1A3A23B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379047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HMB-45 and S-100 protein play important roles in the diagnosis of vulvar malignant melanoma through immunohistochemical staining.  </w:t>
            </w:r>
            <w:r w:rsidRPr="00CB2EC4">
              <w:rPr>
                <w:rFonts w:ascii="Times New Roman" w:hAnsi="Times New Roman" w:cs="Times New Roman"/>
              </w:rPr>
              <w:br/>
            </w:r>
            <w:r w:rsidRPr="00CB2EC4">
              <w:rPr>
                <w:rFonts w:ascii="Times New Roman" w:hAnsi="Times New Roman" w:cs="Times New Roman"/>
              </w:rPr>
              <w:br/>
              <w:t xml:space="preserve">- **HMB-45** is a monoclonal antibody that specifically recognizes melanocytic differentiation, particularly the gp100 protein in melanosomes. It is highly sensitive for malignant melanoma and helps distinguish it from other spindle cell or epithelioid neoplasms in the vulva. However, it may occasionally show weak positivity in some non-melanocytic tumors.  </w:t>
            </w:r>
            <w:r w:rsidRPr="00CB2EC4">
              <w:rPr>
                <w:rFonts w:ascii="Times New Roman" w:hAnsi="Times New Roman" w:cs="Times New Roman"/>
              </w:rPr>
              <w:br/>
            </w:r>
            <w:r w:rsidRPr="00CB2EC4">
              <w:rPr>
                <w:rFonts w:ascii="Times New Roman" w:hAnsi="Times New Roman" w:cs="Times New Roman"/>
              </w:rPr>
              <w:lastRenderedPageBreak/>
              <w:br/>
              <w:t xml:space="preserve">- **S-100 protein** is a broad-spectrum marker expressed in cells of neural crest origin, including melanocytes. It is highly sensitive for melanocytic lesions but lacks specificity, as it can also be positive in schwannomas, neurofibromas, clear cell sarcomas, and other mesenchymal or epithelial tumors.  </w:t>
            </w:r>
            <w:r w:rsidRPr="00CB2EC4">
              <w:rPr>
                <w:rFonts w:ascii="Times New Roman" w:hAnsi="Times New Roman" w:cs="Times New Roman"/>
              </w:rPr>
              <w:br/>
            </w:r>
            <w:r w:rsidRPr="00CB2EC4">
              <w:rPr>
                <w:rFonts w:ascii="Times New Roman" w:hAnsi="Times New Roman" w:cs="Times New Roman"/>
              </w:rPr>
              <w:br/>
              <w:t xml:space="preserve">**Why both are recommended for combined use:**  </w:t>
            </w:r>
            <w:r w:rsidRPr="00CB2EC4">
              <w:rPr>
                <w:rFonts w:ascii="Times New Roman" w:hAnsi="Times New Roman" w:cs="Times New Roman"/>
              </w:rPr>
              <w:br/>
              <w:t xml:space="preserve">→ The combination of HMB-45 and S-100 increases diagnostic accuracy by balancing sensitivity and specificity.  </w:t>
            </w:r>
            <w:r w:rsidRPr="00CB2EC4">
              <w:rPr>
                <w:rFonts w:ascii="Times New Roman" w:hAnsi="Times New Roman" w:cs="Times New Roman"/>
              </w:rPr>
              <w:br/>
              <w:t xml:space="preserve">→ S-100 serves as a screening marker for melanocytic origin, while HMB-45 provides more specific confirmation of melanoma.  </w:t>
            </w:r>
            <w:r w:rsidRPr="00CB2EC4">
              <w:rPr>
                <w:rFonts w:ascii="Times New Roman" w:hAnsi="Times New Roman" w:cs="Times New Roman"/>
              </w:rPr>
              <w:br/>
              <w:t xml:space="preserve">→ Using both reduces the risk of false-negative or false-positive results, especially in poorly differentiated or amelanotic melanomas, which can be challenging to diagnose.  </w:t>
            </w:r>
            <w:r w:rsidRPr="00CB2EC4">
              <w:rPr>
                <w:rFonts w:ascii="Times New Roman" w:hAnsi="Times New Roman" w:cs="Times New Roman"/>
              </w:rPr>
              <w:br/>
              <w:t xml:space="preserve">→ Additional markers (e.g., Melan-A, MITF) may be used alongside them, but HMB-45 and S-100 remain the cornerstone immunoprofile for confirming vulvar malignant melanoma.  </w:t>
            </w:r>
            <w:r w:rsidRPr="00CB2EC4">
              <w:rPr>
                <w:rFonts w:ascii="Times New Roman" w:hAnsi="Times New Roman" w:cs="Times New Roman"/>
              </w:rPr>
              <w:br/>
            </w:r>
            <w:r w:rsidRPr="00CB2EC4">
              <w:rPr>
                <w:rFonts w:ascii="Times New Roman" w:hAnsi="Times New Roman" w:cs="Times New Roman"/>
              </w:rPr>
              <w:br/>
              <w:t>This combined approach is standard in pathology to ensure reliable identification of malignant melanoma in the vulva and to differentiate it from histologic mimics.</w:t>
            </w:r>
          </w:p>
        </w:tc>
        <w:tc>
          <w:tcPr>
            <w:tcW w:w="1152" w:type="dxa"/>
            <w:vAlign w:val="center"/>
          </w:tcPr>
          <w:p w14:paraId="14AC18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92847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95A01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4760F20" w14:textId="77777777">
        <w:tc>
          <w:tcPr>
            <w:tcW w:w="2160" w:type="dxa"/>
            <w:vAlign w:val="center"/>
          </w:tcPr>
          <w:p w14:paraId="0C15860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0C3B3E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HMB-45 and S-100 protein play the following roles in the diagnosis of vulvar malignant melanoma (VMM), and their combined use is recommended for the following reasons:  </w:t>
            </w:r>
            <w:r w:rsidRPr="00CB2EC4">
              <w:rPr>
                <w:rFonts w:ascii="Times New Roman" w:hAnsi="Times New Roman" w:cs="Times New Roman"/>
              </w:rPr>
              <w:br/>
              <w:t xml:space="preserve">- Role of S-100 protein: High sensitivity; nearly all malignant melanomas express S-100 protein </w:t>
            </w:r>
            <w:r w:rsidRPr="00CB2EC4">
              <w:rPr>
                <w:rFonts w:ascii="Times New Roman" w:hAnsi="Times New Roman" w:cs="Times New Roman"/>
              </w:rPr>
              <w:lastRenderedPageBreak/>
              <w:t xml:space="preserve">positively, which aids in initial screening.  </w:t>
            </w:r>
            <w:r w:rsidRPr="00CB2EC4">
              <w:rPr>
                <w:rFonts w:ascii="Times New Roman" w:hAnsi="Times New Roman" w:cs="Times New Roman"/>
              </w:rPr>
              <w:br/>
              <w:t xml:space="preserve">- Role of HMB-45: Higher specificity; literature reports an HMB-45 expression rate of $90.6\%$ in malignant melanoma, enabling more accurate identification of melanoma cells.  </w:t>
            </w:r>
            <w:r w:rsidRPr="00CB2EC4">
              <w:rPr>
                <w:rFonts w:ascii="Times New Roman" w:hAnsi="Times New Roman" w:cs="Times New Roman"/>
              </w:rPr>
              <w:br/>
              <w:t xml:space="preserve">- Reasons for recommending combined use:  </w:t>
            </w:r>
            <w:r w:rsidRPr="00CB2EC4">
              <w:rPr>
                <w:rFonts w:ascii="Times New Roman" w:hAnsi="Times New Roman" w:cs="Times New Roman"/>
              </w:rPr>
              <w:br/>
              <w:t xml:space="preserve">  - Although S-100 protein is sensitive, its specificity is low because sarcomas, schwannomas, and some other carcinomas may also express positivity, leading to misdiagnosis.  </w:t>
            </w:r>
            <w:r w:rsidRPr="00CB2EC4">
              <w:rPr>
                <w:rFonts w:ascii="Times New Roman" w:hAnsi="Times New Roman" w:cs="Times New Roman"/>
              </w:rPr>
              <w:br/>
              <w:t xml:space="preserve">  - HMB-45 has high specificity, but it may be negative in some metastatic melanomas; using it alone may result in missed diagnosis.  </w:t>
            </w:r>
            <w:r w:rsidRPr="00CB2EC4">
              <w:rPr>
                <w:rFonts w:ascii="Times New Roman" w:hAnsi="Times New Roman" w:cs="Times New Roman"/>
              </w:rPr>
              <w:br/>
              <w:t xml:space="preserve">  - Combined use of both markers is complementary: S-100 increases detection rate, HMB-45 increases diagnostic accuracy, thereby enhancing diagnostic reliability (Document 1 explicitly states that "combined use of both is of great significance for the diagnosis of melanoma").  </w:t>
            </w:r>
            <w:r w:rsidRPr="00CB2EC4">
              <w:rPr>
                <w:rFonts w:ascii="Times New Roman" w:hAnsi="Times New Roman" w:cs="Times New Roman"/>
              </w:rPr>
              <w:br/>
              <w:t>Additionally, for cases negative for HMB-45 expression, Document 1 recommends combining electron microscopy or tissue culture to assist in diagnosis.</w:t>
            </w:r>
          </w:p>
        </w:tc>
        <w:tc>
          <w:tcPr>
            <w:tcW w:w="1152" w:type="dxa"/>
            <w:vAlign w:val="center"/>
          </w:tcPr>
          <w:p w14:paraId="5EDA6E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CDA8B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3196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B69CFA" w14:textId="77777777">
        <w:tc>
          <w:tcPr>
            <w:tcW w:w="2160" w:type="dxa"/>
            <w:vAlign w:val="center"/>
          </w:tcPr>
          <w:p w14:paraId="702F333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DCC90BB" w14:textId="77777777" w:rsidR="00922249" w:rsidRPr="00CB2EC4" w:rsidRDefault="003011D5">
            <w:pPr>
              <w:rPr>
                <w:rFonts w:ascii="Times New Roman" w:hAnsi="Times New Roman" w:cs="Times New Roman"/>
              </w:rPr>
            </w:pPr>
            <w:r w:rsidRPr="00CB2EC4">
              <w:rPr>
                <w:rFonts w:ascii="Times New Roman" w:hAnsi="Times New Roman" w:cs="Times New Roman"/>
              </w:rPr>
              <w:t>HMB-45 and S-100 protein play important roles in the diagnosis of vulvar malignant melanoma. HMB-45 is a monoclonal antibody that specifically labels melanocytic cells and is highly sensitive for malignant melanoma, particularly in identifying melanin-producing cells. S-100 protein is a broad-spectrum marker for neural crest-derived tissues, including melanocytes, and is highly sensitive but less specific, as it may also stain other tumors such as schwannomas or clear cell sarcomas.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The combination of HMB-45 and S-100 is recommended because:</w:t>
            </w:r>
            <w:r w:rsidRPr="00CB2EC4">
              <w:rPr>
                <w:rFonts w:ascii="Times New Roman" w:hAnsi="Times New Roman" w:cs="Times New Roman"/>
              </w:rPr>
              <w:br/>
              <w:t>- S-100 has high sensitivity but low specificity for melanoma.</w:t>
            </w:r>
            <w:r w:rsidRPr="00CB2EC4">
              <w:rPr>
                <w:rFonts w:ascii="Times New Roman" w:hAnsi="Times New Roman" w:cs="Times New Roman"/>
              </w:rPr>
              <w:br/>
              <w:t>- HMB-45 offers higher specificity for melanocytic differentiation, especially in malignant contexts.</w:t>
            </w:r>
            <w:r w:rsidRPr="00CB2EC4">
              <w:rPr>
                <w:rFonts w:ascii="Times New Roman" w:hAnsi="Times New Roman" w:cs="Times New Roman"/>
              </w:rPr>
              <w:br/>
              <w:t>- Using both markers increases diagnostic accuracy by confirming melanocytic origin while excluding mimics.</w:t>
            </w:r>
            <w:r w:rsidRPr="00CB2EC4">
              <w:rPr>
                <w:rFonts w:ascii="Times New Roman" w:hAnsi="Times New Roman" w:cs="Times New Roman"/>
              </w:rPr>
              <w:br/>
              <w:t>- A panel approach reduces false-negative and false-positive results compared to either marker alone.</w:t>
            </w:r>
            <w:r w:rsidRPr="00CB2EC4">
              <w:rPr>
                <w:rFonts w:ascii="Times New Roman" w:hAnsi="Times New Roman" w:cs="Times New Roman"/>
              </w:rPr>
              <w:br/>
            </w:r>
            <w:r w:rsidRPr="00CB2EC4">
              <w:rPr>
                <w:rFonts w:ascii="Times New Roman" w:hAnsi="Times New Roman" w:cs="Times New Roman"/>
              </w:rPr>
              <w:br/>
              <w:t>Thus, their combined use enhances the reliability of immunohistochemical diagnosis in challenging cases of vulvar malignant melanoma.</w:t>
            </w:r>
          </w:p>
        </w:tc>
        <w:tc>
          <w:tcPr>
            <w:tcW w:w="1152" w:type="dxa"/>
            <w:vAlign w:val="center"/>
          </w:tcPr>
          <w:p w14:paraId="0BD948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9B966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891E9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528344A" w14:textId="77777777">
        <w:tc>
          <w:tcPr>
            <w:tcW w:w="2160" w:type="dxa"/>
            <w:vAlign w:val="center"/>
          </w:tcPr>
          <w:p w14:paraId="18B0EA61"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61C509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HMB-45 and S-100 protein play important roles in the diagnosis of vulvar malignant melanoma.  </w:t>
            </w:r>
            <w:r w:rsidRPr="00CB2EC4">
              <w:rPr>
                <w:rFonts w:ascii="Times New Roman" w:hAnsi="Times New Roman" w:cs="Times New Roman"/>
              </w:rPr>
              <w:br/>
              <w:t xml:space="preserve">HMB-45 is a monoclonal antibody that specifically labels melanocytic cells, particularly those with active melanogenesis. It is highly sensitive for melanoma and helps distinguish malignant melanocytic tumors from other spindle cell or epithelioid neoplasms in the vulva.  </w:t>
            </w:r>
            <w:r w:rsidRPr="00CB2EC4">
              <w:rPr>
                <w:rFonts w:ascii="Times New Roman" w:hAnsi="Times New Roman" w:cs="Times New Roman"/>
              </w:rPr>
              <w:br/>
              <w:t xml:space="preserve">S-100 protein is a broad-spectrum marker for neural crest-derived tissues, including melanocytes. It is highly sensitive for melanocytic lesions but lacks specificity, as it may also stain other tumors such as schwannomas, histiocytic lesions, and some carcinomas.  </w:t>
            </w:r>
            <w:r w:rsidRPr="00CB2EC4">
              <w:rPr>
                <w:rFonts w:ascii="Times New Roman" w:hAnsi="Times New Roman" w:cs="Times New Roman"/>
              </w:rPr>
              <w:br/>
            </w:r>
            <w:r w:rsidRPr="00CB2EC4">
              <w:rPr>
                <w:rFonts w:ascii="Times New Roman" w:hAnsi="Times New Roman" w:cs="Times New Roman"/>
              </w:rPr>
              <w:br/>
              <w:t xml:space="preserve">Combining HMB-45 and S-100 is recommended because:  </w:t>
            </w:r>
            <w:r w:rsidRPr="00CB2EC4">
              <w:rPr>
                <w:rFonts w:ascii="Times New Roman" w:hAnsi="Times New Roman" w:cs="Times New Roman"/>
              </w:rPr>
              <w:br/>
              <w:t xml:space="preserve">1. S-100 provides high sensitivity to detect melanocytic differentiation.  </w:t>
            </w:r>
            <w:r w:rsidRPr="00CB2EC4">
              <w:rPr>
                <w:rFonts w:ascii="Times New Roman" w:hAnsi="Times New Roman" w:cs="Times New Roman"/>
              </w:rPr>
              <w:br/>
            </w:r>
            <w:r w:rsidRPr="00CB2EC4">
              <w:rPr>
                <w:rFonts w:ascii="Times New Roman" w:hAnsi="Times New Roman" w:cs="Times New Roman"/>
              </w:rPr>
              <w:lastRenderedPageBreak/>
              <w:t xml:space="preserve">2. HMB-45 adds specificity by confirming melanocytic origin and supporting the diagnosis of melanoma, especially when S-100 positivity alone is not conclusive.  </w:t>
            </w:r>
            <w:r w:rsidRPr="00CB2EC4">
              <w:rPr>
                <w:rFonts w:ascii="Times New Roman" w:hAnsi="Times New Roman" w:cs="Times New Roman"/>
              </w:rPr>
              <w:br/>
              <w:t xml:space="preserve">3. The combination improves diagnostic accuracy, reduces the risk of misclassification with other malignancies (e.g., poorly differentiated carcinoma, sarcoma), and aids in confirming the melanocytic nature of a vulvar tumor when morphology is ambiguous.  </w:t>
            </w:r>
            <w:r w:rsidRPr="00CB2EC4">
              <w:rPr>
                <w:rFonts w:ascii="Times New Roman" w:hAnsi="Times New Roman" w:cs="Times New Roman"/>
              </w:rPr>
              <w:br/>
            </w:r>
            <w:r w:rsidRPr="00CB2EC4">
              <w:rPr>
                <w:rFonts w:ascii="Times New Roman" w:hAnsi="Times New Roman" w:cs="Times New Roman"/>
              </w:rPr>
              <w:br/>
              <w:t>Thus, while S-100 screens for melanocytic lineage and HMB-45 confirms malignant melanocytic differentiation, their combined use enhances both sensitivity and specificity in diagnosing vulvar malignant melanoma.</w:t>
            </w:r>
          </w:p>
        </w:tc>
        <w:tc>
          <w:tcPr>
            <w:tcW w:w="1152" w:type="dxa"/>
            <w:vAlign w:val="center"/>
          </w:tcPr>
          <w:p w14:paraId="174DC5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D94C1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ECD4D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396539B" w14:textId="77777777">
        <w:tc>
          <w:tcPr>
            <w:tcW w:w="2160" w:type="dxa"/>
            <w:vAlign w:val="center"/>
          </w:tcPr>
          <w:p w14:paraId="026ADF37"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901FCC6" w14:textId="77777777" w:rsidR="00922249" w:rsidRPr="00CB2EC4" w:rsidRDefault="003011D5">
            <w:pPr>
              <w:rPr>
                <w:rFonts w:ascii="Times New Roman" w:hAnsi="Times New Roman" w:cs="Times New Roman"/>
              </w:rPr>
            </w:pPr>
            <w:r w:rsidRPr="00CB2EC4">
              <w:rPr>
                <w:rFonts w:ascii="Times New Roman" w:hAnsi="Times New Roman" w:cs="Times New Roman"/>
              </w:rPr>
              <w:t>the role of HMB-45 and S-100 protein in the diagnosis of vulvar malignant melanoma and the rationale for their combined use</w:t>
            </w:r>
            <w:r w:rsidRPr="00CB2EC4">
              <w:rPr>
                <w:rFonts w:ascii="Times New Roman" w:hAnsi="Times New Roman" w:cs="Times New Roman"/>
              </w:rPr>
              <w:br/>
            </w:r>
            <w:r w:rsidRPr="00CB2EC4">
              <w:rPr>
                <w:rFonts w:ascii="Times New Roman" w:hAnsi="Times New Roman" w:cs="Times New Roman"/>
              </w:rPr>
              <w:br/>
              <w:t>Role: According to the document, HMB-45 and S-100 protein are widely used immunohistochemical markers to assist in the diagnosis of malignant melanoma (MM).</w:t>
            </w:r>
            <w:r w:rsidRPr="00CB2EC4">
              <w:rPr>
                <w:rFonts w:ascii="Times New Roman" w:hAnsi="Times New Roman" w:cs="Times New Roman"/>
              </w:rPr>
              <w:br/>
              <w:t xml:space="preserve">    - S-100 protein: Has high sensitivity; nearly all melanomas show positive expression. However, its specificity is low, as other tumors such as sarcomas and schwannomas may also express positivity.</w:t>
            </w:r>
            <w:r w:rsidRPr="00CB2EC4">
              <w:rPr>
                <w:rFonts w:ascii="Times New Roman" w:hAnsi="Times New Roman" w:cs="Times New Roman"/>
              </w:rPr>
              <w:br/>
              <w:t xml:space="preserve">    - HMB-45: Has higher specificity for malignant melanoma (literature reports its expression rate in MM is 90.6%). However, its sensitivity is not 100%, and some metastatic melanomas may be negative.</w:t>
            </w:r>
            <w:r w:rsidRPr="00CB2EC4">
              <w:rPr>
                <w:rFonts w:ascii="Times New Roman" w:hAnsi="Times New Roman" w:cs="Times New Roman"/>
              </w:rPr>
              <w:br/>
              <w:t xml:space="preserve">- Rationale for combined use: The document states that combining S-100 protein and HMB-45 is </w:t>
            </w:r>
            <w:r w:rsidRPr="00CB2EC4">
              <w:rPr>
                <w:rFonts w:ascii="Times New Roman" w:hAnsi="Times New Roman" w:cs="Times New Roman"/>
              </w:rPr>
              <w:lastRenderedPageBreak/>
              <w:t>meaningful for the diagnosis of melanoma. The reason is that the two markers complement each other’s limitations: the high sensitivity of S-100 avoids missed diagnoses, while the high specificity of HMB-45 aids in confirmation and differentiation from other tumors. Combined use improves diagnostic accuracy, especially in cases where primary vulvar malignant melanoma (VMM) is easily misdiagnosed as poorly differentiated carcinoma or fibrosarcoma.</w:t>
            </w:r>
            <w:r w:rsidRPr="00CB2EC4">
              <w:rPr>
                <w:rFonts w:ascii="Times New Roman" w:hAnsi="Times New Roman" w:cs="Times New Roman"/>
              </w:rPr>
              <w:br/>
              <w:t>- Based on the document excerpt:</w:t>
            </w:r>
            <w:r w:rsidRPr="00CB2EC4">
              <w:rPr>
                <w:rFonts w:ascii="Times New Roman" w:hAnsi="Times New Roman" w:cs="Times New Roman"/>
              </w:rPr>
              <w:br/>
              <w:t xml:space="preserve">    &gt; Due to the high misdiagnosis rate of primary VMM, which is often mistaken for poorly differentiated carcinoma or fibrosarcoma, VMM requires routine histopathological examination combined with M-F staining and immunohistochemical tests such as S-100 protein and HMB-45 for diagnostic assistance. Currently, S-100 protein and HMB-45 markers are widely used to detect malignant melanoma. Nearly all melanomas express S-100 protein positively, but sarcomas, schwannomas, and some other carcinomas may also express S-100 protein; HMB-45 has higher specificity for malignant melanoma, with literature reporting an expression rate of 90.6% in MM, though it may be negative in some metastatic melanomas. Therefore, combined use of both markers is significant for the diagnosis of malignant melanoma.</w:t>
            </w:r>
          </w:p>
        </w:tc>
        <w:tc>
          <w:tcPr>
            <w:tcW w:w="1152" w:type="dxa"/>
            <w:vAlign w:val="center"/>
          </w:tcPr>
          <w:p w14:paraId="3C4B0F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6AADE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2AA8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58058D" w14:textId="77777777">
        <w:tc>
          <w:tcPr>
            <w:tcW w:w="2160" w:type="dxa"/>
            <w:vAlign w:val="center"/>
          </w:tcPr>
          <w:p w14:paraId="6912622F"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14D8F1A" w14:textId="77777777" w:rsidR="00922249" w:rsidRPr="00CB2EC4" w:rsidRDefault="003011D5">
            <w:pPr>
              <w:rPr>
                <w:rFonts w:ascii="Times New Roman" w:hAnsi="Times New Roman" w:cs="Times New Roman"/>
              </w:rPr>
            </w:pPr>
            <w:r w:rsidRPr="00CB2EC4">
              <w:rPr>
                <w:rFonts w:ascii="Times New Roman" w:hAnsi="Times New Roman" w:cs="Times New Roman"/>
              </w:rPr>
              <w:t>what is the role of HMB-45 and S-100 protein in the diagnosis of vulvar malignant melanoma?</w:t>
            </w:r>
            <w:r w:rsidRPr="00CB2EC4">
              <w:rPr>
                <w:rFonts w:ascii="Times New Roman" w:hAnsi="Times New Roman" w:cs="Times New Roman"/>
              </w:rPr>
              <w:br/>
            </w:r>
            <w:r w:rsidRPr="00CB2EC4">
              <w:rPr>
                <w:rFonts w:ascii="Times New Roman" w:hAnsi="Times New Roman" w:cs="Times New Roman"/>
              </w:rPr>
              <w:br/>
              <w:t>why is it recommended to use both in combination?</w:t>
            </w:r>
            <w:r w:rsidRPr="00CB2EC4">
              <w:rPr>
                <w:rFonts w:ascii="Times New Roman" w:hAnsi="Times New Roman" w:cs="Times New Roman"/>
              </w:rPr>
              <w:br/>
              <w:t>- Role:</w:t>
            </w:r>
            <w:r w:rsidRPr="00CB2EC4">
              <w:rPr>
                <w:rFonts w:ascii="Times New Roman" w:hAnsi="Times New Roman" w:cs="Times New Roman"/>
              </w:rPr>
              <w:br/>
              <w:t xml:space="preserve">  - S-100 protein: Positive expression is seen in almost all malignant melanomas, with high sensitivity but </w:t>
            </w:r>
            <w:r w:rsidRPr="00CB2EC4">
              <w:rPr>
                <w:rFonts w:ascii="Times New Roman" w:hAnsi="Times New Roman" w:cs="Times New Roman"/>
              </w:rPr>
              <w:lastRenderedPageBreak/>
              <w:t>low specificity—sarcomas, schwannomas, and some other carcinomas may also express positivity.</w:t>
            </w:r>
            <w:r w:rsidRPr="00CB2EC4">
              <w:rPr>
                <w:rFonts w:ascii="Times New Roman" w:hAnsi="Times New Roman" w:cs="Times New Roman"/>
              </w:rPr>
              <w:br/>
              <w:t xml:space="preserve">  - HMB-45: Higher specificity for malignant melanoma (expression rate approximately 90.6%), but some metastatic melanomas may be negative.</w:t>
            </w:r>
            <w:r w:rsidRPr="00CB2EC4">
              <w:rPr>
                <w:rFonts w:ascii="Times New Roman" w:hAnsi="Times New Roman" w:cs="Times New Roman"/>
              </w:rPr>
              <w:br/>
              <w:t>- Reason for recommending combined use:</w:t>
            </w:r>
            <w:r w:rsidRPr="00CB2EC4">
              <w:rPr>
                <w:rFonts w:ascii="Times New Roman" w:hAnsi="Times New Roman" w:cs="Times New Roman"/>
              </w:rPr>
              <w:br/>
              <w:t xml:space="preserve">  S-100 protein has high sensitivity but insufficient specificity, which can lead to false positives; HMB-45 has high specificity but may miss metastatic cases. Using both in combination compensates for their respective shortcomings—improves diagnostic accuracy (e.g., interpreting HMB-45 negative results with S-100 positivity) and reduces the risk of misdiagnosis. Additionally, for amelanotic melanoma, electron microscopy or tissue culture may be used as supplementary methods for further differentiation.</w:t>
            </w:r>
          </w:p>
        </w:tc>
        <w:tc>
          <w:tcPr>
            <w:tcW w:w="1152" w:type="dxa"/>
            <w:vAlign w:val="center"/>
          </w:tcPr>
          <w:p w14:paraId="17778C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5F4C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193D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835FC3" w14:textId="77777777">
        <w:tc>
          <w:tcPr>
            <w:tcW w:w="2160" w:type="dxa"/>
            <w:vAlign w:val="center"/>
          </w:tcPr>
          <w:p w14:paraId="5DD9CDB5"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7B590A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roles of HMB-45 and S-100 protein in the diagnosis of vulvar malignant melanoma (MM) are as follows:  </w:t>
            </w:r>
            <w:r w:rsidRPr="00CB2EC4">
              <w:rPr>
                <w:rFonts w:ascii="Times New Roman" w:hAnsi="Times New Roman" w:cs="Times New Roman"/>
              </w:rPr>
              <w:br/>
              <w:t xml:space="preserve">- Role of S-100 protein: Almost all malignant melanomas express S-100 protein positively, with high sensitivity, and can be used for initial screening.  </w:t>
            </w:r>
            <w:r w:rsidRPr="00CB2EC4">
              <w:rPr>
                <w:rFonts w:ascii="Times New Roman" w:hAnsi="Times New Roman" w:cs="Times New Roman"/>
              </w:rPr>
              <w:br/>
              <w:t xml:space="preserve">- Role of HMB-45: It has higher specificity for malignant melanoma, with a reported expression rate of 90.6% in MM, and is helpful for confirmation of diagnosis.  </w:t>
            </w:r>
            <w:r w:rsidRPr="00CB2EC4">
              <w:rPr>
                <w:rFonts w:ascii="Times New Roman" w:hAnsi="Times New Roman" w:cs="Times New Roman"/>
              </w:rPr>
              <w:br/>
              <w:t xml:space="preserve">- Reasons for recommending combined use:  </w:t>
            </w:r>
            <w:r w:rsidRPr="00CB2EC4">
              <w:rPr>
                <w:rFonts w:ascii="Times New Roman" w:hAnsi="Times New Roman" w:cs="Times New Roman"/>
              </w:rPr>
              <w:br/>
              <w:t xml:space="preserve">  - Although S-100 protein is sensitive, its specificity is not high, as sarcomas, schwannomas, and some other carcinomas may also express positivity, leading to false positives.  </w:t>
            </w:r>
            <w:r w:rsidRPr="00CB2EC4">
              <w:rPr>
                <w:rFonts w:ascii="Times New Roman" w:hAnsi="Times New Roman" w:cs="Times New Roman"/>
              </w:rPr>
              <w:br/>
              <w:t xml:space="preserve">  - HMB-45 has strong specificity, but may be negative in some metastatic melanomas (risk of false negatives).  </w:t>
            </w:r>
            <w:r w:rsidRPr="00CB2EC4">
              <w:rPr>
                <w:rFonts w:ascii="Times New Roman" w:hAnsi="Times New Roman" w:cs="Times New Roman"/>
              </w:rPr>
              <w:br/>
            </w:r>
            <w:r w:rsidRPr="00CB2EC4">
              <w:rPr>
                <w:rFonts w:ascii="Times New Roman" w:hAnsi="Times New Roman" w:cs="Times New Roman"/>
              </w:rPr>
              <w:lastRenderedPageBreak/>
              <w:t xml:space="preserve">  - Combining both can complement each other: S-100 increases detection sensitivity, HMB-45 increases specificity, thereby improving diagnostic accuracy and reducing misdiagnosis. Documentation indicates this is particularly important for distinguishing misdiagnosed cases such as poorly differentiated carcinoma or fibrosarcoma (source: immunohistochemical description in the [similarity: 0.495] segment).</w:t>
            </w:r>
          </w:p>
        </w:tc>
        <w:tc>
          <w:tcPr>
            <w:tcW w:w="1152" w:type="dxa"/>
            <w:vAlign w:val="center"/>
          </w:tcPr>
          <w:p w14:paraId="5B7AAF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999C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10D9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B83FEA4" w14:textId="77777777">
        <w:tc>
          <w:tcPr>
            <w:tcW w:w="2160" w:type="dxa"/>
            <w:vAlign w:val="center"/>
          </w:tcPr>
          <w:p w14:paraId="23FD7935"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E1FB70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HMB-45 and S-100 protein play important roles in the diagnosis of vulvar malignant melanoma.  </w:t>
            </w:r>
            <w:r w:rsidRPr="00CB2EC4">
              <w:rPr>
                <w:rFonts w:ascii="Times New Roman" w:hAnsi="Times New Roman" w:cs="Times New Roman"/>
              </w:rPr>
              <w:br/>
              <w:t xml:space="preserve">HMB-45 is a monoclonal antibody that specifically labels melanocytic cells and is highly sensitive for melanoma, particularly in identifying melanin-producing cells.  </w:t>
            </w:r>
            <w:r w:rsidRPr="00CB2EC4">
              <w:rPr>
                <w:rFonts w:ascii="Times New Roman" w:hAnsi="Times New Roman" w:cs="Times New Roman"/>
              </w:rPr>
              <w:br/>
              <w:t xml:space="preserve">S-100 protein is a broad-spectrum marker for neural crest-derived tissues and is expressed in nearly all melanocytic tumors, including malignant melanoma.  </w:t>
            </w:r>
            <w:r w:rsidRPr="00CB2EC4">
              <w:rPr>
                <w:rFonts w:ascii="Times New Roman" w:hAnsi="Times New Roman" w:cs="Times New Roman"/>
              </w:rPr>
              <w:br/>
            </w:r>
            <w:r w:rsidRPr="00CB2EC4">
              <w:rPr>
                <w:rFonts w:ascii="Times New Roman" w:hAnsi="Times New Roman" w:cs="Times New Roman"/>
              </w:rPr>
              <w:br/>
              <w:t xml:space="preserve">The reason for recommending the combined use of both markers is as follows:  </w:t>
            </w:r>
            <w:r w:rsidRPr="00CB2EC4">
              <w:rPr>
                <w:rFonts w:ascii="Times New Roman" w:hAnsi="Times New Roman" w:cs="Times New Roman"/>
              </w:rPr>
              <w:br/>
              <w:t xml:space="preserve">- HMB-45 has high specificity for melanoma but may be negative in some desmoplastic or spindled variants.  </w:t>
            </w:r>
            <w:r w:rsidRPr="00CB2EC4">
              <w:rPr>
                <w:rFonts w:ascii="Times New Roman" w:hAnsi="Times New Roman" w:cs="Times New Roman"/>
              </w:rPr>
              <w:br/>
              <w:t xml:space="preserve">- S-100 protein is highly sensitive but lacks specificity, as it can also stain other neural crest-derived tumors (e.g., schwannoma, clear cell sarcoma) and normal tissues.  </w:t>
            </w:r>
            <w:r w:rsidRPr="00CB2EC4">
              <w:rPr>
                <w:rFonts w:ascii="Times New Roman" w:hAnsi="Times New Roman" w:cs="Times New Roman"/>
              </w:rPr>
              <w:br/>
              <w:t xml:space="preserve">→ Combining both markers increases diagnostic accuracy: positivity for both supports a diagnosis of melanoma, while S-100 alone may require additional markers for differential diagnosis.  </w:t>
            </w:r>
            <w:r w:rsidRPr="00CB2EC4">
              <w:rPr>
                <w:rFonts w:ascii="Times New Roman" w:hAnsi="Times New Roman" w:cs="Times New Roman"/>
              </w:rPr>
              <w:br/>
            </w:r>
            <w:r w:rsidRPr="00CB2EC4">
              <w:rPr>
                <w:rFonts w:ascii="Times New Roman" w:hAnsi="Times New Roman" w:cs="Times New Roman"/>
              </w:rPr>
              <w:br/>
              <w:t xml:space="preserve">Knowledge base cannot find an answer.  </w:t>
            </w:r>
            <w:r w:rsidRPr="00CB2EC4">
              <w:rPr>
                <w:rFonts w:ascii="Times New Roman" w:hAnsi="Times New Roman" w:cs="Times New Roman"/>
              </w:rPr>
              <w:br/>
              <w:t xml:space="preserve">- Reason: Contextual information (such as document </w:t>
            </w:r>
            <w:r w:rsidRPr="00CB2EC4">
              <w:rPr>
                <w:rFonts w:ascii="Times New Roman" w:hAnsi="Times New Roman" w:cs="Times New Roman"/>
              </w:rPr>
              <w:lastRenderedPageBreak/>
              <w:t>fragments 22, 23, 24) focuses on surgical treatment of vulvar malignant melanoma (e.g., extent of surgery, lymph node dissection) and does not mention the diagnostic role of HMB-45, S-100 protein, or other immunohistochemical markers, nor the rationale for their combined use. Therefore, it is not possible to answer this question based solely on the provided documents.</w:t>
            </w:r>
          </w:p>
        </w:tc>
        <w:tc>
          <w:tcPr>
            <w:tcW w:w="1152" w:type="dxa"/>
            <w:vAlign w:val="center"/>
          </w:tcPr>
          <w:p w14:paraId="31BD5A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8340A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F94D3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A008AAE" w14:textId="77777777">
        <w:tc>
          <w:tcPr>
            <w:tcW w:w="2160" w:type="dxa"/>
            <w:vAlign w:val="center"/>
          </w:tcPr>
          <w:p w14:paraId="71CCCB8B"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8A977E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HMB-45 and S-100 protein play key roles as immunohistochemical markers in the diagnosis of vulvar malignant melanoma:  </w:t>
            </w:r>
            <w:r w:rsidRPr="00CB2EC4">
              <w:rPr>
                <w:rFonts w:ascii="Times New Roman" w:hAnsi="Times New Roman" w:cs="Times New Roman"/>
              </w:rPr>
              <w:br/>
              <w:t xml:space="preserve">- Role of HMB-45: HMB-45 is a highly specific marker for malignant melanoma, capable of specifically recognizing melanocyte-associated antigens. Positive expression (i.e., positive staining) aids in confirming the diagnosis of malignant melanoma and differentiating it from other tumors (such as squamous cell carcinoma).  </w:t>
            </w:r>
            <w:r w:rsidRPr="00CB2EC4">
              <w:rPr>
                <w:rFonts w:ascii="Times New Roman" w:hAnsi="Times New Roman" w:cs="Times New Roman"/>
              </w:rPr>
              <w:br/>
              <w:t xml:space="preserve">- Role of S-100 protein: S-100 protein is a broad-spectrum marker with high sensitivity, expressed in most malignant melanomas (positive rate approximately 90%), but its specificity is low because it may also be expressed in other tumors such as schwannomas and sarcomas.  </w:t>
            </w:r>
            <w:r w:rsidRPr="00CB2EC4">
              <w:rPr>
                <w:rFonts w:ascii="Times New Roman" w:hAnsi="Times New Roman" w:cs="Times New Roman"/>
              </w:rPr>
              <w:br/>
              <w:t xml:space="preserve">- Reasons for recommending combined use:  </w:t>
            </w:r>
            <w:r w:rsidRPr="00CB2EC4">
              <w:rPr>
                <w:rFonts w:ascii="Times New Roman" w:hAnsi="Times New Roman" w:cs="Times New Roman"/>
              </w:rPr>
              <w:br/>
              <w:t xml:space="preserve">  - Improve diagnostic accuracy: HMB-45 has high specificity but lower sensitivity (may not be expressed in all melanoma subtypes), while S-100 protein has high sensitivity but insufficient specificity. Combining both markers complements their respective limitations and reduces false-negative or false-positive results (e.g., caution is needed when S-100 is positive but HMB-45 is negative to exclude other tumors).  </w:t>
            </w:r>
            <w:r w:rsidRPr="00CB2EC4">
              <w:rPr>
                <w:rFonts w:ascii="Times New Roman" w:hAnsi="Times New Roman" w:cs="Times New Roman"/>
              </w:rPr>
              <w:br/>
              <w:t xml:space="preserve">  - Enhance reliability: In pathological diagnosis, using </w:t>
            </w:r>
            <w:r w:rsidRPr="00CB2EC4">
              <w:rPr>
                <w:rFonts w:ascii="Times New Roman" w:hAnsi="Times New Roman" w:cs="Times New Roman"/>
              </w:rPr>
              <w:lastRenderedPageBreak/>
              <w:t xml:space="preserve">a panel of markers (such as HMB-45, S-100, and Vimentin) provides more comprehensive evidence, especially for poorly differentiated or rare cases, ensuring diagnostic reliability (as explicitly stated in relevant segment 9: "recommend combining HMB-45 and S-100 protein to improve diagnostic accuracy").  </w:t>
            </w:r>
            <w:r w:rsidRPr="00CB2EC4">
              <w:rPr>
                <w:rFonts w:ascii="Times New Roman" w:hAnsi="Times New Roman" w:cs="Times New Roman"/>
              </w:rPr>
              <w:br/>
            </w:r>
            <w:r w:rsidRPr="00CB2EC4">
              <w:rPr>
                <w:rFonts w:ascii="Times New Roman" w:hAnsi="Times New Roman" w:cs="Times New Roman"/>
              </w:rPr>
              <w:br/>
              <w:t>This combined application is part of the standard diagnostic protocol, optimizing differential diagnosis of malignant melanoma based on immunohistochemical characteristics.</w:t>
            </w:r>
          </w:p>
        </w:tc>
        <w:tc>
          <w:tcPr>
            <w:tcW w:w="1152" w:type="dxa"/>
            <w:vAlign w:val="center"/>
          </w:tcPr>
          <w:p w14:paraId="78699B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68635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5D1BB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6124D3" w14:textId="77777777">
        <w:tc>
          <w:tcPr>
            <w:tcW w:w="2160" w:type="dxa"/>
            <w:vAlign w:val="center"/>
          </w:tcPr>
          <w:p w14:paraId="41D5033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3E90BD4" w14:textId="77777777" w:rsidR="00922249" w:rsidRPr="00CB2EC4" w:rsidRDefault="003011D5">
            <w:pPr>
              <w:rPr>
                <w:rFonts w:ascii="Times New Roman" w:hAnsi="Times New Roman" w:cs="Times New Roman"/>
              </w:rPr>
            </w:pPr>
            <w:r w:rsidRPr="00CB2EC4">
              <w:rPr>
                <w:rFonts w:ascii="Times New Roman" w:hAnsi="Times New Roman" w:cs="Times New Roman"/>
              </w:rPr>
              <w:t>- Role of HMB-45: HMB-45 is a melanocyte-specific marker with high specificity for malignant melanoma. It helps confirm the melanocytic origin of the tumor and differentiate it from other vulvar tumors (such as squamous cell carcinoma).</w:t>
            </w:r>
            <w:r w:rsidRPr="00CB2EC4">
              <w:rPr>
                <w:rFonts w:ascii="Times New Roman" w:hAnsi="Times New Roman" w:cs="Times New Roman"/>
              </w:rPr>
              <w:br/>
              <w:t>- Role of S-100 protein: S-100 protein is a highly sensitive marker (positive rate &gt;95%) that is widely expressed in melanoma cells but may also be positive in other tumors (e.g., schwannoma) or normal tissues, resulting in lower specificity.</w:t>
            </w:r>
            <w:r w:rsidRPr="00CB2EC4">
              <w:rPr>
                <w:rFonts w:ascii="Times New Roman" w:hAnsi="Times New Roman" w:cs="Times New Roman"/>
              </w:rPr>
              <w:br/>
              <w:t>- Reason for recommending combined use: HMB-45 and S-100 protein should be used in combination because:</w:t>
            </w:r>
            <w:r w:rsidRPr="00CB2EC4">
              <w:rPr>
                <w:rFonts w:ascii="Times New Roman" w:hAnsi="Times New Roman" w:cs="Times New Roman"/>
              </w:rPr>
              <w:br/>
              <w:t xml:space="preserve">  - Improved diagnostic accuracy: The high specificity of HMB-45 reduces false positives, while the high sensitivity of S-100 reduces false negatives. Using S-100 alone may lead to misdiagnosis (e.g., diagnosing benign lesions as malignant), and using HMB-45 alone may result in missed diagnoses (especially in poorly differentiated melanomas with lower expression rates).</w:t>
            </w:r>
            <w:r w:rsidRPr="00CB2EC4">
              <w:rPr>
                <w:rFonts w:ascii="Times New Roman" w:hAnsi="Times New Roman" w:cs="Times New Roman"/>
              </w:rPr>
              <w:br/>
              <w:t xml:space="preserve">  - Complementary effect: In difficult cases, the combination enhances tumor recognition, particularly </w:t>
            </w:r>
            <w:r w:rsidRPr="00CB2EC4">
              <w:rPr>
                <w:rFonts w:ascii="Times New Roman" w:hAnsi="Times New Roman" w:cs="Times New Roman"/>
              </w:rPr>
              <w:lastRenderedPageBreak/>
              <w:t>when the tumor morphology is atypical. Literature emphasizes that comprehensive immunohistochemical detection is the gold standard for diagnosing vulvar malignant melanoma.</w:t>
            </w:r>
          </w:p>
        </w:tc>
        <w:tc>
          <w:tcPr>
            <w:tcW w:w="1152" w:type="dxa"/>
            <w:vAlign w:val="center"/>
          </w:tcPr>
          <w:p w14:paraId="3E779C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DB62E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2EE7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E2B29F" w14:textId="77777777">
        <w:tc>
          <w:tcPr>
            <w:tcW w:w="10656" w:type="dxa"/>
            <w:gridSpan w:val="5"/>
            <w:tcBorders>
              <w:bottom w:val="single" w:sz="6" w:space="0" w:color="auto"/>
            </w:tcBorders>
            <w:vAlign w:val="center"/>
          </w:tcPr>
          <w:p w14:paraId="6CCE781C"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156: A 68-year-old patient is diagnosed with vulvar malignant melanoma. The tumor is located on the clitoris (a central location), and the pathology report shows a tumor thickness of 3 mm with surface ulceration. Based on the information provided in the text, formulate a preliminary surgical treatment strategy for her (including local excision and lymph node management), and identify her poor prognostic factors.</w:t>
            </w:r>
          </w:p>
        </w:tc>
      </w:tr>
      <w:tr w:rsidR="00922249" w:rsidRPr="00CB2EC4" w14:paraId="41616079" w14:textId="77777777">
        <w:tc>
          <w:tcPr>
            <w:tcW w:w="2160" w:type="dxa"/>
            <w:vAlign w:val="center"/>
          </w:tcPr>
          <w:p w14:paraId="5EEB5FB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6C2F2A7" w14:textId="77777777" w:rsidR="00922249" w:rsidRPr="00CB2EC4" w:rsidRDefault="003011D5">
            <w:pPr>
              <w:rPr>
                <w:rFonts w:ascii="Times New Roman" w:hAnsi="Times New Roman" w:cs="Times New Roman"/>
              </w:rPr>
            </w:pPr>
            <w:r w:rsidRPr="00CB2EC4">
              <w:rPr>
                <w:rFonts w:ascii="Times New Roman" w:hAnsi="Times New Roman" w:cs="Times New Roman"/>
              </w:rPr>
              <w:t>- **Surgical treatment strategy:**</w:t>
            </w:r>
            <w:r w:rsidRPr="00CB2EC4">
              <w:rPr>
                <w:rFonts w:ascii="Times New Roman" w:hAnsi="Times New Roman" w:cs="Times New Roman"/>
              </w:rPr>
              <w:br/>
              <w:t xml:space="preserve">  - **Local excision:** Tumor thickness is 3 mm (&gt;2 mm). According to the document (similarity 0.584), the extent of wide local excision should be based on tumor thickness. For thickness &gt;2 mm, the surgical margin should be greater than 2 cm (the document suggests at least 3 cm for thickness &gt;4 mm, but no consensus; for 3 mm thickness, margin should be at least &gt;2 cm, possibly approaching 3 cm). The depth of excision should extend through the subcutaneous fat layer to the deep muscle fascia layer (minimum depth 1 cm). Given the tumor location at the clitoris (central site), surgery must ensure adequate resection of the lesion to avoid residual disease.</w:t>
            </w:r>
            <w:r w:rsidRPr="00CB2EC4">
              <w:rPr>
                <w:rFonts w:ascii="Times New Roman" w:hAnsi="Times New Roman" w:cs="Times New Roman"/>
              </w:rPr>
              <w:br/>
              <w:t xml:space="preserve">  - **Lymph node management:** Tumor thickness of 3 mm falls within the 1–4 mm range (document similarity 0.497), recommending sentinel lymph node biopsy (SLNB). SLNB should be performed before wide local excision, using radioactive substance or methylene blue injection to locate the sentinel lymph node. If SLNB is positive (confirmed lymph node metastasis), proceed with regional lymph node dissection. Due to the central location (clitoris), the document (similarity 0.497) advises bilateral inguinal lymph node dissection (not unilateral) for central </w:t>
            </w:r>
            <w:r w:rsidRPr="00CB2EC4">
              <w:rPr>
                <w:rFonts w:ascii="Times New Roman" w:hAnsi="Times New Roman" w:cs="Times New Roman"/>
              </w:rPr>
              <w:lastRenderedPageBreak/>
              <w:t>lesions. If clinical evidence (e.g., ultrasound) suggests lymph node metastasis, direct dissection can be performed. Standard for dissection: Inguinal lymph node dissection should include at least 10 nodes; if metastatic nodes ≥3, perform iliac and obturator muscle lymph node dissection (document similarity 0.497).</w:t>
            </w:r>
            <w:r w:rsidRPr="00CB2EC4">
              <w:rPr>
                <w:rFonts w:ascii="Times New Roman" w:hAnsi="Times New Roman" w:cs="Times New Roman"/>
              </w:rPr>
              <w:br/>
              <w:t xml:space="preserve">  - **Overall principle:** The document emphasizes avoiding excessive surgical extent (similarity 0.497), recommending local wide excision (not radical vulvectomy) to reduce complications. For bulky lesions or high recurrence risk, radical surgery may be considered, but for this case with 3 mm thickness, conservative excision is prioritized.</w:t>
            </w:r>
            <w:r w:rsidRPr="00CB2EC4">
              <w:rPr>
                <w:rFonts w:ascii="Times New Roman" w:hAnsi="Times New Roman" w:cs="Times New Roman"/>
              </w:rPr>
              <w:br/>
            </w:r>
            <w:r w:rsidRPr="00CB2EC4">
              <w:rPr>
                <w:rFonts w:ascii="Times New Roman" w:hAnsi="Times New Roman" w:cs="Times New Roman"/>
              </w:rPr>
              <w:br/>
              <w:t>- **Prognostic adverse factors:**</w:t>
            </w:r>
            <w:r w:rsidRPr="00CB2EC4">
              <w:rPr>
                <w:rFonts w:ascii="Times New Roman" w:hAnsi="Times New Roman" w:cs="Times New Roman"/>
              </w:rPr>
              <w:br/>
              <w:t xml:space="preserve">  - Advanced age: Patient is 68 years old; the document (similarity 0.584) identifies age as an independent risk factor, with older age associated with worse prognosis (GOG study shows age significantly increases recurrence risk).</w:t>
            </w:r>
            <w:r w:rsidRPr="00CB2EC4">
              <w:rPr>
                <w:rFonts w:ascii="Times New Roman" w:hAnsi="Times New Roman" w:cs="Times New Roman"/>
              </w:rPr>
              <w:br/>
              <w:t xml:space="preserve">  - Central tumor location: The document (similarity 0.584) explicitly states that central site tumors (e.g., clitoris) have significantly worse prognosis than lateral site tumors.</w:t>
            </w:r>
            <w:r w:rsidRPr="00CB2EC4">
              <w:rPr>
                <w:rFonts w:ascii="Times New Roman" w:hAnsi="Times New Roman" w:cs="Times New Roman"/>
              </w:rPr>
              <w:br/>
              <w:t xml:space="preserve">  - Surface ulceration: The document (similarity 0.584) indicates ulceration represents rapid tumor progression and is a key prognostic indicator for disease-free survival, long-term survival, and recurrence; patients with ulceration have lower 5-year survival rates (14.3–40.5% vs. 20–62.7% without ulceration).</w:t>
            </w:r>
            <w:r w:rsidRPr="00CB2EC4">
              <w:rPr>
                <w:rFonts w:ascii="Times New Roman" w:hAnsi="Times New Roman" w:cs="Times New Roman"/>
              </w:rPr>
              <w:br/>
              <w:t xml:space="preserve">  - High tumor thickness: Thickness of 3 mm (&gt;1 mm); the document (similarity 0.584) shows tumor </w:t>
            </w:r>
            <w:r w:rsidRPr="00CB2EC4">
              <w:rPr>
                <w:rFonts w:ascii="Times New Roman" w:hAnsi="Times New Roman" w:cs="Times New Roman"/>
              </w:rPr>
              <w:lastRenderedPageBreak/>
              <w:t>thickness &gt;5 mm is a risk factor for lymph node metastasis, and greater thickness correlates with worse prognosis (Breslow or Chung classification links increased thickness to decreased survival rates).</w:t>
            </w:r>
            <w:r w:rsidRPr="00CB2EC4">
              <w:rPr>
                <w:rFonts w:ascii="Times New Roman" w:hAnsi="Times New Roman" w:cs="Times New Roman"/>
              </w:rPr>
              <w:br/>
              <w:t xml:space="preserve">  - Other potential factors: High risk of lymph node metastasis (document similarity 0.584, lymph node metastasis associated with poor prognosis), but metastasis not confirmed in this case; requires evaluation via SLNB.</w:t>
            </w:r>
            <w:r w:rsidRPr="00CB2EC4">
              <w:rPr>
                <w:rFonts w:ascii="Times New Roman" w:hAnsi="Times New Roman" w:cs="Times New Roman"/>
              </w:rPr>
              <w:br/>
            </w:r>
            <w:r w:rsidRPr="00CB2EC4">
              <w:rPr>
                <w:rFonts w:ascii="Times New Roman" w:hAnsi="Times New Roman" w:cs="Times New Roman"/>
              </w:rPr>
              <w:br/>
              <w:t>In summary, this patient has a poor prognosis and requires close follow-up. The surgical strategy should be individualized, prioritizing SLNB to guide lymph node dissection.</w:t>
            </w:r>
          </w:p>
        </w:tc>
        <w:tc>
          <w:tcPr>
            <w:tcW w:w="1152" w:type="dxa"/>
            <w:vAlign w:val="center"/>
          </w:tcPr>
          <w:p w14:paraId="7FE3B2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5617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D0A5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1298DF" w14:textId="77777777">
        <w:tc>
          <w:tcPr>
            <w:tcW w:w="2160" w:type="dxa"/>
            <w:vAlign w:val="center"/>
          </w:tcPr>
          <w:p w14:paraId="4FBEC6F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64E3D6BB" w14:textId="77777777" w:rsidR="00922249" w:rsidRPr="00CB2EC4" w:rsidRDefault="003011D5">
            <w:pPr>
              <w:rPr>
                <w:rFonts w:ascii="Times New Roman" w:hAnsi="Times New Roman" w:cs="Times New Roman"/>
              </w:rPr>
            </w:pPr>
            <w:r w:rsidRPr="00CB2EC4">
              <w:rPr>
                <w:rFonts w:ascii="Times New Roman" w:hAnsi="Times New Roman" w:cs="Times New Roman"/>
              </w:rPr>
              <w:t>based on the provided information, the initial surgical treatment strategy and prognostic factors are as follows:</w:t>
            </w:r>
            <w:r w:rsidRPr="00CB2EC4">
              <w:rPr>
                <w:rFonts w:ascii="Times New Roman" w:hAnsi="Times New Roman" w:cs="Times New Roman"/>
              </w:rPr>
              <w:br/>
            </w:r>
            <w:r w:rsidRPr="00CB2EC4">
              <w:rPr>
                <w:rFonts w:ascii="Times New Roman" w:hAnsi="Times New Roman" w:cs="Times New Roman"/>
              </w:rPr>
              <w:br/>
              <w:t># Surgical Treatment Strategy:</w:t>
            </w:r>
            <w:r w:rsidRPr="00CB2EC4">
              <w:rPr>
                <w:rFonts w:ascii="Times New Roman" w:hAnsi="Times New Roman" w:cs="Times New Roman"/>
              </w:rPr>
              <w:br/>
              <w:t xml:space="preserve">- Local Excision:  </w:t>
            </w:r>
            <w:r w:rsidRPr="00CB2EC4">
              <w:rPr>
                <w:rFonts w:ascii="Times New Roman" w:hAnsi="Times New Roman" w:cs="Times New Roman"/>
              </w:rPr>
              <w:br/>
              <w:t xml:space="preserve">  For vulvar malignant melanoma (MM), the surgical principle is expanded local excision, not traditional radical vulvectomy, as wider resection does not improve prognosis (block 441). The excision margin is determined by tumor thickness:  </w:t>
            </w:r>
            <w:r w:rsidRPr="00CB2EC4">
              <w:rPr>
                <w:rFonts w:ascii="Times New Roman" w:hAnsi="Times New Roman" w:cs="Times New Roman"/>
              </w:rPr>
              <w:br/>
              <w:t xml:space="preserve">  - Tumor thickness is 3mm (&gt;1.0mm); NCCN guidelines recommend expanded local excision with margins at least 1-2cm from the lesion (blocks 441, 445). The document emphasizes margins of 2-3cm or more to reduce recurrence risk (block 437).  </w:t>
            </w:r>
            <w:r w:rsidRPr="00CB2EC4">
              <w:rPr>
                <w:rFonts w:ascii="Times New Roman" w:hAnsi="Times New Roman" w:cs="Times New Roman"/>
              </w:rPr>
              <w:br/>
              <w:t xml:space="preserve">  - Given the tumor location at the clitoris (central site), surgery requires greater caution. A local wide excision is recommended (block 445), removing the lesion with surrounding normal tissue to ensure </w:t>
            </w:r>
            <w:r w:rsidRPr="00CB2EC4">
              <w:rPr>
                <w:rFonts w:ascii="Times New Roman" w:hAnsi="Times New Roman" w:cs="Times New Roman"/>
              </w:rPr>
              <w:lastRenderedPageBreak/>
              <w:t xml:space="preserve">negative margins.  </w:t>
            </w:r>
            <w:r w:rsidRPr="00CB2EC4">
              <w:rPr>
                <w:rFonts w:ascii="Times New Roman" w:hAnsi="Times New Roman" w:cs="Times New Roman"/>
              </w:rPr>
              <w:br/>
              <w:t xml:space="preserve">  - Initial strategy: Perform expanded local vulvar excision with margins 2-3cm from the lesion (based on blocks 437 and 441).</w:t>
            </w:r>
            <w:r w:rsidRPr="00CB2EC4">
              <w:rPr>
                <w:rFonts w:ascii="Times New Roman" w:hAnsi="Times New Roman" w:cs="Times New Roman"/>
              </w:rPr>
              <w:br/>
            </w:r>
            <w:r w:rsidRPr="00CB2EC4">
              <w:rPr>
                <w:rFonts w:ascii="Times New Roman" w:hAnsi="Times New Roman" w:cs="Times New Roman"/>
              </w:rPr>
              <w:br/>
              <w:t xml:space="preserve">- Lymph Node Management:  </w:t>
            </w:r>
            <w:r w:rsidRPr="00CB2EC4">
              <w:rPr>
                <w:rFonts w:ascii="Times New Roman" w:hAnsi="Times New Roman" w:cs="Times New Roman"/>
              </w:rPr>
              <w:br/>
              <w:t xml:space="preserve">  Lymph node handling depends on tumor thickness and location per the document:  </w:t>
            </w:r>
            <w:r w:rsidRPr="00CB2EC4">
              <w:rPr>
                <w:rFonts w:ascii="Times New Roman" w:hAnsi="Times New Roman" w:cs="Times New Roman"/>
              </w:rPr>
              <w:br/>
              <w:t xml:space="preserve">  - Tumor thickness 3mm &gt; 0.76mm (Clark level III) and central location (clitoris) warrant bilateral inguinal lymph node dissection (blocks 444, 445).  </w:t>
            </w:r>
            <w:r w:rsidRPr="00CB2EC4">
              <w:rPr>
                <w:rFonts w:ascii="Times New Roman" w:hAnsi="Times New Roman" w:cs="Times New Roman"/>
              </w:rPr>
              <w:br/>
              <w:t xml:space="preserve">  - Rationale: Central site tumors have higher lymph node metastasis risk; bilateral dissection reduces recurrence, and removing clinically involved nodes is beneficial (block 444).  </w:t>
            </w:r>
            <w:r w:rsidRPr="00CB2EC4">
              <w:rPr>
                <w:rFonts w:ascii="Times New Roman" w:hAnsi="Times New Roman" w:cs="Times New Roman"/>
              </w:rPr>
              <w:br/>
              <w:t xml:space="preserve">  - If preoperative or intraoperative assessment shows lymph node involvement (e.g., clinical or imaging evidence), lymphadenectomy must be performed (block 444).  </w:t>
            </w:r>
            <w:r w:rsidRPr="00CB2EC4">
              <w:rPr>
                <w:rFonts w:ascii="Times New Roman" w:hAnsi="Times New Roman" w:cs="Times New Roman"/>
              </w:rPr>
              <w:br/>
              <w:t xml:space="preserve">  - Initial strategy: Perform bilateral inguinal lymph node dissection, with at least 10 lymph nodes removed (based on Chinese consensus in block 444).</w:t>
            </w:r>
            <w:r w:rsidRPr="00CB2EC4">
              <w:rPr>
                <w:rFonts w:ascii="Times New Roman" w:hAnsi="Times New Roman" w:cs="Times New Roman"/>
              </w:rPr>
              <w:br/>
            </w:r>
            <w:r w:rsidRPr="00CB2EC4">
              <w:rPr>
                <w:rFonts w:ascii="Times New Roman" w:hAnsi="Times New Roman" w:cs="Times New Roman"/>
              </w:rPr>
              <w:br/>
              <w:t># Adverse Prognostic Factors:</w:t>
            </w:r>
            <w:r w:rsidRPr="00CB2EC4">
              <w:rPr>
                <w:rFonts w:ascii="Times New Roman" w:hAnsi="Times New Roman" w:cs="Times New Roman"/>
              </w:rPr>
              <w:br/>
              <w:t xml:space="preserve">Based on the document (blocks 449, 450, 20), the patient has the following adverse prognostic factors:  </w:t>
            </w:r>
            <w:r w:rsidRPr="00CB2EC4">
              <w:rPr>
                <w:rFonts w:ascii="Times New Roman" w:hAnsi="Times New Roman" w:cs="Times New Roman"/>
              </w:rPr>
              <w:br/>
              <w:t xml:space="preserve">1. Advanced age (68 years): Age is an independent risk factor; older age correlates with worse prognosis (block 450). GOG studies show age significantly increases recurrence risk, with patients over 76 years more prone to vascular invasion and ulceration (block 450).  </w:t>
            </w:r>
            <w:r w:rsidRPr="00CB2EC4">
              <w:rPr>
                <w:rFonts w:ascii="Times New Roman" w:hAnsi="Times New Roman" w:cs="Times New Roman"/>
              </w:rPr>
              <w:br/>
              <w:t xml:space="preserve">2. Central tumor location (clitoris): Tumors at central sites have significantly worse prognosis than lateral </w:t>
            </w:r>
            <w:r w:rsidRPr="00CB2EC4">
              <w:rPr>
                <w:rFonts w:ascii="Times New Roman" w:hAnsi="Times New Roman" w:cs="Times New Roman"/>
              </w:rPr>
              <w:lastRenderedPageBreak/>
              <w:t xml:space="preserve">sites (block 450).  </w:t>
            </w:r>
            <w:r w:rsidRPr="00CB2EC4">
              <w:rPr>
                <w:rFonts w:ascii="Times New Roman" w:hAnsi="Times New Roman" w:cs="Times New Roman"/>
              </w:rPr>
              <w:br/>
              <w:t xml:space="preserve">3. High tumor thickness (3mm): Thickness &gt;3mm is associated with poor prognosis. Document data shows 10-year survival rates of only 22% for thickness &gt;3mm (block 441); thickness increases correlate with higher lymph node metastasis rates (block 444).  </w:t>
            </w:r>
            <w:r w:rsidRPr="00CB2EC4">
              <w:rPr>
                <w:rFonts w:ascii="Times New Roman" w:hAnsi="Times New Roman" w:cs="Times New Roman"/>
              </w:rPr>
              <w:br/>
              <w:t xml:space="preserve">4. Surface ulceration: Ulceration indicates rapid tumor progression and is a key prognostic indicator for disease-free survival and recurrence. Patients with ulceration have 5-year survival rates of 14.3%-40.5%, much lower than non-ulcerated cases (20%-62.7%) (block 450).  </w:t>
            </w:r>
            <w:r w:rsidRPr="00CB2EC4">
              <w:rPr>
                <w:rFonts w:ascii="Times New Roman" w:hAnsi="Times New Roman" w:cs="Times New Roman"/>
              </w:rPr>
              <w:br/>
              <w:t>5. Other potential factors: Lymph node metastasis and poor AJCC staging (not specified here) may also affect prognosis, but the above four are the most direct based on given information (block 450).</w:t>
            </w:r>
            <w:r w:rsidRPr="00CB2EC4">
              <w:rPr>
                <w:rFonts w:ascii="Times New Roman" w:hAnsi="Times New Roman" w:cs="Times New Roman"/>
              </w:rPr>
              <w:br/>
            </w:r>
            <w:r w:rsidRPr="00CB2EC4">
              <w:rPr>
                <w:rFonts w:ascii="Times New Roman" w:hAnsi="Times New Roman" w:cs="Times New Roman"/>
              </w:rPr>
              <w:br/>
              <w:t>Summary of initial strategy: Perform expanded local excision (2-3cm margins) combined with bilateral inguinal lymph node dissection. Close follow-up is essential postoperatively due to high recurrence rates (51%-93%) and multiple adverse factors.</w:t>
            </w:r>
          </w:p>
        </w:tc>
        <w:tc>
          <w:tcPr>
            <w:tcW w:w="1152" w:type="dxa"/>
            <w:vAlign w:val="center"/>
          </w:tcPr>
          <w:p w14:paraId="13B1BE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4E3CE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26AF3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C810502" w14:textId="77777777">
        <w:tc>
          <w:tcPr>
            <w:tcW w:w="2160" w:type="dxa"/>
            <w:vAlign w:val="center"/>
          </w:tcPr>
          <w:p w14:paraId="207F943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5966609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the provided information, the initial surgical treatment strategy for this 68-year-old patient with clitoral (central location) malignant melanoma of the vulva and a 3mm thick ulcerated tumor is as follows:  </w:t>
            </w:r>
            <w:r w:rsidRPr="00CB2EC4">
              <w:rPr>
                <w:rFonts w:ascii="Times New Roman" w:hAnsi="Times New Roman" w:cs="Times New Roman"/>
              </w:rPr>
              <w:br/>
            </w:r>
            <w:r w:rsidRPr="00CB2EC4">
              <w:rPr>
                <w:rFonts w:ascii="Times New Roman" w:hAnsi="Times New Roman" w:cs="Times New Roman"/>
              </w:rPr>
              <w:br/>
              <w:t xml:space="preserve">- **Local excision strategy:**  </w:t>
            </w:r>
            <w:r w:rsidRPr="00CB2EC4">
              <w:rPr>
                <w:rFonts w:ascii="Times New Roman" w:hAnsi="Times New Roman" w:cs="Times New Roman"/>
              </w:rPr>
              <w:br/>
              <w:t xml:space="preserve">  Given tumor thickness &gt;2mm (3mm in this case), a surgical margin greater than 2cm is recommended (source fragment 9, relevance 0.900: "For tumors with thickness &gt;2mm, the surgical margin should exceed 2cm"). The depth of excision should reach the </w:t>
            </w:r>
            <w:r w:rsidRPr="00CB2EC4">
              <w:rPr>
                <w:rFonts w:ascii="Times New Roman" w:hAnsi="Times New Roman" w:cs="Times New Roman"/>
              </w:rPr>
              <w:lastRenderedPageBreak/>
              <w:t xml:space="preserve">muscular fascia layer (minimum depth of 1cm, extending through subcutaneous fat to the muscular fascia). An expanded local excision is advised over a radical vulvectomy, as expanding the surgical range does not improve prognosis (source fragments 1 and 24, relevance 0.900 and 0.700).  </w:t>
            </w:r>
            <w:r w:rsidRPr="00CB2EC4">
              <w:rPr>
                <w:rFonts w:ascii="Times New Roman" w:hAnsi="Times New Roman" w:cs="Times New Roman"/>
              </w:rPr>
              <w:br/>
            </w:r>
            <w:r w:rsidRPr="00CB2EC4">
              <w:rPr>
                <w:rFonts w:ascii="Times New Roman" w:hAnsi="Times New Roman" w:cs="Times New Roman"/>
              </w:rPr>
              <w:br/>
              <w:t xml:space="preserve">- **Lymph node management strategy:**  </w:t>
            </w:r>
            <w:r w:rsidRPr="00CB2EC4">
              <w:rPr>
                <w:rFonts w:ascii="Times New Roman" w:hAnsi="Times New Roman" w:cs="Times New Roman"/>
              </w:rPr>
              <w:br/>
              <w:t xml:space="preserve">  Due to the central location (clitoris), bilateral inguinal lymphadenectomy is indicated (source fragments 8 and 28, relevance 0.900 and 0.700: "Tumors located at midline or central sites (e.g., clitoris) should undergo bilateral inguinal lymphadenectomy"). For tumors with thickness between 1-4mm (3mm here), sentinel lymph node biopsy (SLNB) may be considered first (source fragments 4 and 5, relevance 0.900). If SLNB is positive, bilateral regional lymph node dissection (removing no fewer than 10 nodes) should follow. SLNB is typically performed before wide local excision (source fragment 5). Given the high metastatic risk of central tumors, direct bilateral lymph node dissection may also be considered.  </w:t>
            </w:r>
            <w:r w:rsidRPr="00CB2EC4">
              <w:rPr>
                <w:rFonts w:ascii="Times New Roman" w:hAnsi="Times New Roman" w:cs="Times New Roman"/>
              </w:rPr>
              <w:br/>
            </w:r>
            <w:r w:rsidRPr="00CB2EC4">
              <w:rPr>
                <w:rFonts w:ascii="Times New Roman" w:hAnsi="Times New Roman" w:cs="Times New Roman"/>
              </w:rPr>
              <w:br/>
              <w:t xml:space="preserve">- **Adverse prognostic factors:**  </w:t>
            </w:r>
            <w:r w:rsidRPr="00CB2EC4">
              <w:rPr>
                <w:rFonts w:ascii="Times New Roman" w:hAnsi="Times New Roman" w:cs="Times New Roman"/>
              </w:rPr>
              <w:br/>
              <w:t xml:space="preserve">  The following poor prognostic factors are identified in the document:  </w:t>
            </w:r>
            <w:r w:rsidRPr="00CB2EC4">
              <w:rPr>
                <w:rFonts w:ascii="Times New Roman" w:hAnsi="Times New Roman" w:cs="Times New Roman"/>
              </w:rPr>
              <w:br/>
              <w:t xml:space="preserve">  - Age 68 years: Advanced age is an independent risk factor for worse survival (source fragment 2, relevance 0.900: "Age is an independent risk factor significantly affecting survival in vulvar melanoma patients; older age correlates with poorer prognosis").  </w:t>
            </w:r>
            <w:r w:rsidRPr="00CB2EC4">
              <w:rPr>
                <w:rFonts w:ascii="Times New Roman" w:hAnsi="Times New Roman" w:cs="Times New Roman"/>
              </w:rPr>
              <w:br/>
              <w:t xml:space="preserve">  - Central location (clitoris): Tumors in central sites have significantly worse prognosis than lateral </w:t>
            </w:r>
            <w:r w:rsidRPr="00CB2EC4">
              <w:rPr>
                <w:rFonts w:ascii="Times New Roman" w:hAnsi="Times New Roman" w:cs="Times New Roman"/>
              </w:rPr>
              <w:lastRenderedPageBreak/>
              <w:t xml:space="preserve">locations (source fragments 2 and 13, relevance 0.900 and 0.800: "Prognosis for central-site tumors is significantly worse compared to lateral locations").  </w:t>
            </w:r>
            <w:r w:rsidRPr="00CB2EC4">
              <w:rPr>
                <w:rFonts w:ascii="Times New Roman" w:hAnsi="Times New Roman" w:cs="Times New Roman"/>
              </w:rPr>
              <w:br/>
              <w:t xml:space="preserve">  - Tumor thickness 3mm: Thickness &gt;3.0mm correlates with a 10-year survival rate of only 22%, much lower than thinner tumors (e.g., ≤1.5mm: 68%) (source fragments 1 and 6, relevance 0.900: "Tumor thickness reflects invasion depth; increased thickness correlates with worsening prognosis").  </w:t>
            </w:r>
            <w:r w:rsidRPr="00CB2EC4">
              <w:rPr>
                <w:rFonts w:ascii="Times New Roman" w:hAnsi="Times New Roman" w:cs="Times New Roman"/>
              </w:rPr>
              <w:br/>
              <w:t xml:space="preserve">  - Surface ulceration: Ulceration is a key prognostic indicator; patients with ulceration have a 5-year survival rate of 14.3–40.5%, significantly lower than non-ulcerated cases (20–62.7%) (source fragment 6, relevance 0.900: "Ulceration is a critical prognostic marker; ulcerated cases exhibit a 5-year survival rate of merely 14.3%~40.5%, far lower than non-ulcerated cases").  </w:t>
            </w:r>
            <w:r w:rsidRPr="00CB2EC4">
              <w:rPr>
                <w:rFonts w:ascii="Times New Roman" w:hAnsi="Times New Roman" w:cs="Times New Roman"/>
              </w:rPr>
              <w:br/>
            </w:r>
            <w:r w:rsidRPr="00CB2EC4">
              <w:rPr>
                <w:rFonts w:ascii="Times New Roman" w:hAnsi="Times New Roman" w:cs="Times New Roman"/>
              </w:rPr>
              <w:br/>
              <w:t>in summary, the adverse prognostic factors for this patient are advanced age (68 years), central tumor location, tumor thickness of 3mm, and surface ulceration.</w:t>
            </w:r>
          </w:p>
        </w:tc>
        <w:tc>
          <w:tcPr>
            <w:tcW w:w="1152" w:type="dxa"/>
            <w:vAlign w:val="center"/>
          </w:tcPr>
          <w:p w14:paraId="479473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52B25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337BE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006E23" w14:textId="77777777">
        <w:tc>
          <w:tcPr>
            <w:tcW w:w="2160" w:type="dxa"/>
            <w:vAlign w:val="center"/>
          </w:tcPr>
          <w:p w14:paraId="4CA9CCA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291C4872" w14:textId="77777777" w:rsidR="00922249" w:rsidRPr="00CB2EC4" w:rsidRDefault="003011D5">
            <w:pPr>
              <w:rPr>
                <w:rFonts w:ascii="Times New Roman" w:hAnsi="Times New Roman" w:cs="Times New Roman"/>
              </w:rPr>
            </w:pPr>
            <w:r w:rsidRPr="00CB2EC4">
              <w:rPr>
                <w:rFonts w:ascii="Times New Roman" w:hAnsi="Times New Roman" w:cs="Times New Roman"/>
              </w:rPr>
              <w:t>surgical treatment strategy (based on knowledge base documents and web search results):</w:t>
            </w:r>
            <w:r w:rsidRPr="00CB2EC4">
              <w:rPr>
                <w:rFonts w:ascii="Times New Roman" w:hAnsi="Times New Roman" w:cs="Times New Roman"/>
              </w:rPr>
              <w:br/>
              <w:t xml:space="preserve">- local excision: according to knowledge base documents, the surgical extent for vulvar malignant melanoma depends on tumor thickness and location. with a tumor thickness of 3 mm (&gt;0.76 mm) and central location (clitoris), an extended local wide excision is recommended, with surgical margins at least 1–2 cm from the lesion to ensure complete resection (knowledge base: "the scope of extended excision is determined by the maximum tumor thickness in the pathology report... when the </w:t>
            </w:r>
            <w:r w:rsidRPr="00CB2EC4">
              <w:rPr>
                <w:rFonts w:ascii="Times New Roman" w:hAnsi="Times New Roman" w:cs="Times New Roman"/>
              </w:rPr>
              <w:lastRenderedPageBreak/>
              <w:t>maximum tumor thickness ≤1.0 mm, a smaller margin is used, but in this case, 3 mm &gt;1.0 mm, requiring wider resection"; web search: "surgery emphasizes individualization; while minimizing extent without compromising prognosis, margins should be 2–3 cm from the tumor when possible to reduce recurrence").</w:t>
            </w:r>
            <w:r w:rsidRPr="00CB2EC4">
              <w:rPr>
                <w:rFonts w:ascii="Times New Roman" w:hAnsi="Times New Roman" w:cs="Times New Roman"/>
              </w:rPr>
              <w:br/>
              <w:t>- lymph node management: tumor thickness 3 mm &gt;0.76 mm (Clark level III) and central location necessitate bilateral inguinal lymph node dissection. the knowledge base explicitly states: "for vulvar melanoma patients with invasion depth &gt;0.76 mm, those with central lesions should undergo bilateral lymph node dissection"; web search adds: "sentinel lymph node biopsy (SLNB) or superficial lymph node ultrasound confirming metastasis should undergo regional lymph node dissection, with at least 10 inguinal lymph nodes removed". therefore, the initial strategy should include sentinel lymph node biopsy (if feasible) or direct bilateral inguinal lymphadenectomy.</w:t>
            </w:r>
            <w:r w:rsidRPr="00CB2EC4">
              <w:rPr>
                <w:rFonts w:ascii="Times New Roman" w:hAnsi="Times New Roman" w:cs="Times New Roman"/>
              </w:rPr>
              <w:br/>
              <w:t>- summary of initial strategy: extended wide local excision (with margins of at least 1–2 cm) plus bilateral inguinal lymph node dissection. if preoperative assessment indicates high risk of lymph node metastasis, adjuvant radiotherapy or immunotherapy may be considered, but this case presents no evidence of metastasis, so surgery remains primary (integrated from knowledge base and web search).</w:t>
            </w:r>
            <w:r w:rsidRPr="00CB2EC4">
              <w:rPr>
                <w:rFonts w:ascii="Times New Roman" w:hAnsi="Times New Roman" w:cs="Times New Roman"/>
              </w:rPr>
              <w:br/>
            </w:r>
            <w:r w:rsidRPr="00CB2EC4">
              <w:rPr>
                <w:rFonts w:ascii="Times New Roman" w:hAnsi="Times New Roman" w:cs="Times New Roman"/>
              </w:rPr>
              <w:br/>
              <w:t>prognostic adverse factors (based on knowledge base documents):</w:t>
            </w:r>
            <w:r w:rsidRPr="00CB2EC4">
              <w:rPr>
                <w:rFonts w:ascii="Times New Roman" w:hAnsi="Times New Roman" w:cs="Times New Roman"/>
              </w:rPr>
              <w:br/>
              <w:t xml:space="preserve">- advanced age: patient is 68 years old; knowledge base states: "age is a significant independent risk </w:t>
            </w:r>
            <w:r w:rsidRPr="00CB2EC4">
              <w:rPr>
                <w:rFonts w:ascii="Times New Roman" w:hAnsi="Times New Roman" w:cs="Times New Roman"/>
              </w:rPr>
              <w:lastRenderedPageBreak/>
              <w:t>factor for survival in vulvar melanoma patients; older age correlates with worse prognosis. GOG prospective study found age significantly increases recurrence risk. patients over 76 years old have high risk of vascular invasion, surface ulceration, aneuploidy, and tumor thickness &gt;5 mm" (this case, 68 years, approaches high-risk category).</w:t>
            </w:r>
            <w:r w:rsidRPr="00CB2EC4">
              <w:rPr>
                <w:rFonts w:ascii="Times New Roman" w:hAnsi="Times New Roman" w:cs="Times New Roman"/>
              </w:rPr>
              <w:br/>
              <w:t>- central tumor location: tumor located at clitoris (central site); knowledge base: "central site tumors have significantly worse prognosis than lateral site tumors".</w:t>
            </w:r>
            <w:r w:rsidRPr="00CB2EC4">
              <w:rPr>
                <w:rFonts w:ascii="Times New Roman" w:hAnsi="Times New Roman" w:cs="Times New Roman"/>
              </w:rPr>
              <w:br/>
              <w:t>- surface ulceration: pathology report shows surface ulceration; knowledge base: "presence or absence of surface ulceration is a prognostic factor; ulceration worsens prognosis".</w:t>
            </w:r>
            <w:r w:rsidRPr="00CB2EC4">
              <w:rPr>
                <w:rFonts w:ascii="Times New Roman" w:hAnsi="Times New Roman" w:cs="Times New Roman"/>
              </w:rPr>
              <w:br/>
              <w:t>- large tumor thickness: thickness 3 mm (&gt;1 mm); knowledge base: "tumor invasion depth is a key determinant of prognosis; thickness &gt;1 mm indicates poorer prognosis; thickness &gt;3 mm has a 10-year survival rate of only 22%".</w:t>
            </w:r>
            <w:r w:rsidRPr="00CB2EC4">
              <w:rPr>
                <w:rFonts w:ascii="Times New Roman" w:hAnsi="Times New Roman" w:cs="Times New Roman"/>
              </w:rPr>
              <w:br/>
              <w:t>- other potential factors: growth pattern (e.g., nodular type associated with worse prognosis) and cell type (e.g., pleomorphic type associated with worse prognosis), but not specified in this case (knowledge base: "prognosis worsens progressively with growth patterns including... nodular type").</w:t>
            </w:r>
            <w:r w:rsidRPr="00CB2EC4">
              <w:rPr>
                <w:rFonts w:ascii="Times New Roman" w:hAnsi="Times New Roman" w:cs="Times New Roman"/>
              </w:rPr>
              <w:br/>
              <w:t>- comprehensive analysis: these factors all increase risk of recurrence and mortality, with 5-year survival rate possibly below 30% (data from knowledge base).</w:t>
            </w:r>
            <w:r w:rsidRPr="00CB2EC4">
              <w:rPr>
                <w:rFonts w:ascii="Times New Roman" w:hAnsi="Times New Roman" w:cs="Times New Roman"/>
              </w:rPr>
              <w:br/>
            </w:r>
            <w:r w:rsidRPr="00CB2EC4">
              <w:rPr>
                <w:rFonts w:ascii="Times New Roman" w:hAnsi="Times New Roman" w:cs="Times New Roman"/>
              </w:rPr>
              <w:br/>
              <w:t xml:space="preserve">source clarification: surgical treatment strategy integrates knowledge base documents (primary) and web search results (supplemental details on lymph node dissection); prognostic adverse factors are </w:t>
            </w:r>
            <w:r w:rsidRPr="00CB2EC4">
              <w:rPr>
                <w:rFonts w:ascii="Times New Roman" w:hAnsi="Times New Roman" w:cs="Times New Roman"/>
              </w:rPr>
              <w:lastRenderedPageBreak/>
              <w:t>entirely from knowledge base documents. no contradictory information identified.</w:t>
            </w:r>
          </w:p>
        </w:tc>
        <w:tc>
          <w:tcPr>
            <w:tcW w:w="1152" w:type="dxa"/>
            <w:vAlign w:val="center"/>
          </w:tcPr>
          <w:p w14:paraId="3D1413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642F0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110F1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5A99100" w14:textId="77777777">
        <w:tc>
          <w:tcPr>
            <w:tcW w:w="2160" w:type="dxa"/>
            <w:vAlign w:val="center"/>
          </w:tcPr>
          <w:p w14:paraId="758E100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660AACAB" w14:textId="77777777" w:rsidR="00922249" w:rsidRPr="00CB2EC4" w:rsidRDefault="003011D5">
            <w:pPr>
              <w:rPr>
                <w:rFonts w:ascii="Times New Roman" w:hAnsi="Times New Roman" w:cs="Times New Roman"/>
              </w:rPr>
            </w:pPr>
            <w:r w:rsidRPr="00CB2EC4">
              <w:rPr>
                <w:rFonts w:ascii="Times New Roman" w:hAnsi="Times New Roman" w:cs="Times New Roman"/>
              </w:rPr>
              <w:t>surgical treatment strategy:</w:t>
            </w:r>
            <w:r w:rsidRPr="00CB2EC4">
              <w:rPr>
                <w:rFonts w:ascii="Times New Roman" w:hAnsi="Times New Roman" w:cs="Times New Roman"/>
              </w:rPr>
              <w:br/>
              <w:t>- local excision: perform an extended wide local excision. given the tumor thickness of 3 mm (&gt; 1.0 mm), the resection margin should be 1–2 cm from the lesion edge (document fragment 3: "clinically, wide local excision with a margin of 1–2 cm from the lesion is commonly used"). document fragments 1 and 6 emphasize that excessive surgical extent (e.g., radical vulvectomy) should be avoided as it increases complication risk without improving prognosis; local excision is recommended because expanding the surgical range does not improve outcomes (document fragment 1: "expanding the surgical range cannot improve prognosis").</w:t>
            </w:r>
            <w:r w:rsidRPr="00CB2EC4">
              <w:rPr>
                <w:rFonts w:ascii="Times New Roman" w:hAnsi="Times New Roman" w:cs="Times New Roman"/>
              </w:rPr>
              <w:br/>
              <w:t>- lymph node management: perform bilateral inguinal lymph node dissection. with tumor thickness of 3 mm (&gt; 0.76 mm, Clark level III) and central location (clitoris), document fragment 12 states: "for vulvar melanoma with invasion depth &gt; 0.76 mm, lateral lesions should undergo ipsilateral lymph node dissection, and central lesions should undergo bilateral lymph node dissection". document fragment 6 also supports this approach: "if there is clinical evidence of inguinal lymph node metastasis, inguinal lymph node dissection should be added".</w:t>
            </w:r>
            <w:r w:rsidRPr="00CB2EC4">
              <w:rPr>
                <w:rFonts w:ascii="Times New Roman" w:hAnsi="Times New Roman" w:cs="Times New Roman"/>
              </w:rPr>
              <w:br/>
            </w:r>
            <w:r w:rsidRPr="00CB2EC4">
              <w:rPr>
                <w:rFonts w:ascii="Times New Roman" w:hAnsi="Times New Roman" w:cs="Times New Roman"/>
              </w:rPr>
              <w:br/>
              <w:t>poor prognostic factors:</w:t>
            </w:r>
            <w:r w:rsidRPr="00CB2EC4">
              <w:rPr>
                <w:rFonts w:ascii="Times New Roman" w:hAnsi="Times New Roman" w:cs="Times New Roman"/>
              </w:rPr>
              <w:br/>
              <w:t>- age 68 years: document fragment 4 notes: "age is a significant independent risk factor for survival in vulvar melanoma patients; older age is associated with worse prognosis".</w:t>
            </w:r>
            <w:r w:rsidRPr="00CB2EC4">
              <w:rPr>
                <w:rFonts w:ascii="Times New Roman" w:hAnsi="Times New Roman" w:cs="Times New Roman"/>
              </w:rPr>
              <w:br/>
              <w:t xml:space="preserve">- tumor located at central site (clitoris): document </w:t>
            </w:r>
            <w:r w:rsidRPr="00CB2EC4">
              <w:rPr>
                <w:rFonts w:ascii="Times New Roman" w:hAnsi="Times New Roman" w:cs="Times New Roman"/>
              </w:rPr>
              <w:lastRenderedPageBreak/>
              <w:t>fragment 4 explicitly states: "prognosis for central site tumors is significantly worse than for lateral site tumors".</w:t>
            </w:r>
            <w:r w:rsidRPr="00CB2EC4">
              <w:rPr>
                <w:rFonts w:ascii="Times New Roman" w:hAnsi="Times New Roman" w:cs="Times New Roman"/>
              </w:rPr>
              <w:br/>
              <w:t>- surface ulceration present: document fragment 4 lists "presence of surface ulceration" as a poor prognostic factor.</w:t>
            </w:r>
            <w:r w:rsidRPr="00CB2EC4">
              <w:rPr>
                <w:rFonts w:ascii="Times New Roman" w:hAnsi="Times New Roman" w:cs="Times New Roman"/>
              </w:rPr>
              <w:br/>
              <w:t>- tumor thickness 3 mm: document fragment 1 provides survival data: the 10-year survival rate for the 1.51–3.0 mm thickness group is 44%, lower than thinner tumor groups (e.g., ≤0.75 mm group at 68%), indicating increased thickness correlates with worse prognosis.</w:t>
            </w:r>
            <w:r w:rsidRPr="00CB2EC4">
              <w:rPr>
                <w:rFonts w:ascii="Times New Roman" w:hAnsi="Times New Roman" w:cs="Times New Roman"/>
              </w:rPr>
              <w:br/>
            </w:r>
            <w:r w:rsidRPr="00CB2EC4">
              <w:rPr>
                <w:rFonts w:ascii="Times New Roman" w:hAnsi="Times New Roman" w:cs="Times New Roman"/>
              </w:rPr>
              <w:br/>
              <w:t>in summary, this patient has a poor prognosis and requires comprehensive treatment with close follow-up.</w:t>
            </w:r>
          </w:p>
        </w:tc>
        <w:tc>
          <w:tcPr>
            <w:tcW w:w="1152" w:type="dxa"/>
            <w:vAlign w:val="center"/>
          </w:tcPr>
          <w:p w14:paraId="428F16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65878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B06F9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98A2BA6" w14:textId="77777777">
        <w:tc>
          <w:tcPr>
            <w:tcW w:w="2160" w:type="dxa"/>
            <w:vAlign w:val="center"/>
          </w:tcPr>
          <w:p w14:paraId="752C85F0"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81B3954" w14:textId="77777777" w:rsidR="00922249" w:rsidRPr="00CB2EC4" w:rsidRDefault="003011D5">
            <w:pPr>
              <w:rPr>
                <w:rFonts w:ascii="Times New Roman" w:hAnsi="Times New Roman" w:cs="Times New Roman"/>
              </w:rPr>
            </w:pPr>
            <w:r w:rsidRPr="00CB2EC4">
              <w:rPr>
                <w:rFonts w:ascii="Times New Roman" w:hAnsi="Times New Roman" w:cs="Times New Roman"/>
              </w:rPr>
              <w:t>- **Initial Surgical Treatment Strategy:**</w:t>
            </w:r>
            <w:r w:rsidRPr="00CB2EC4">
              <w:rPr>
                <w:rFonts w:ascii="Times New Roman" w:hAnsi="Times New Roman" w:cs="Times New Roman"/>
              </w:rPr>
              <w:br/>
              <w:t xml:space="preserve">  - **Local Excision:** Perform an extended local excision with margins greater than 2 mm from the lesion. This is because documents 1 and 2 indicate that extended surgical ranges (such as radical vulvectomy) do not improve prognosis and may increase complications; document 15 also supports local wide excision to control disease and reduce trauma.</w:t>
            </w:r>
            <w:r w:rsidRPr="00CB2EC4">
              <w:rPr>
                <w:rFonts w:ascii="Times New Roman" w:hAnsi="Times New Roman" w:cs="Times New Roman"/>
              </w:rPr>
              <w:br/>
              <w:t xml:space="preserve">  - **Lymph Node Management:** Due to the tumor located at the central site (clitoris) and a thickness of 3 mm (&gt;0.76 mm), perform bilateral inguinal lymph node dissection. Document 15 explicitly states: "For vulvar melanoma patients with invasion depth &gt;0.76 mm, those with central lesions should undergo bilateral lymph node resection." Documents 1 and 2 also emphasize that deep invasion (e.g., &gt;0.75 mm) requires lymph node dissection, and central site </w:t>
            </w:r>
            <w:r w:rsidRPr="00CB2EC4">
              <w:rPr>
                <w:rFonts w:ascii="Times New Roman" w:hAnsi="Times New Roman" w:cs="Times New Roman"/>
              </w:rPr>
              <w:lastRenderedPageBreak/>
              <w:t>tumors are more prone to metastasis.</w:t>
            </w:r>
            <w:r w:rsidRPr="00CB2EC4">
              <w:rPr>
                <w:rFonts w:ascii="Times New Roman" w:hAnsi="Times New Roman" w:cs="Times New Roman"/>
              </w:rPr>
              <w:br/>
              <w:t xml:space="preserve">  - **Overall Strategy:** First perform local wide excision (margins 1–2 cm), with simultaneous or staged bilateral inguinal lymph node dissection. If postoperative pathology shows high-risk factors (such as lymph node metastasis), adjuvant therapy (e.g., chemotherapy or immunotherapy) may be considered, but surgery remains the core (documents 1, 2, 6).</w:t>
            </w:r>
            <w:r w:rsidRPr="00CB2EC4">
              <w:rPr>
                <w:rFonts w:ascii="Times New Roman" w:hAnsi="Times New Roman" w:cs="Times New Roman"/>
              </w:rPr>
              <w:br/>
            </w:r>
            <w:r w:rsidRPr="00CB2EC4">
              <w:rPr>
                <w:rFonts w:ascii="Times New Roman" w:hAnsi="Times New Roman" w:cs="Times New Roman"/>
              </w:rPr>
              <w:br/>
              <w:t>- **Prognostic Adverse Factors:**</w:t>
            </w:r>
            <w:r w:rsidRPr="00CB2EC4">
              <w:rPr>
                <w:rFonts w:ascii="Times New Roman" w:hAnsi="Times New Roman" w:cs="Times New Roman"/>
              </w:rPr>
              <w:br/>
              <w:t xml:space="preserve">  - Age 68 years: Documents 4 and 17 indicate that age is an independent risk factor; older patients (especially &gt;76 years) have worse prognosis, with increased risk of vascular invasion and surface ulceration, leading to higher recurrence and mortality.</w:t>
            </w:r>
            <w:r w:rsidRPr="00CB2EC4">
              <w:rPr>
                <w:rFonts w:ascii="Times New Roman" w:hAnsi="Times New Roman" w:cs="Times New Roman"/>
              </w:rPr>
              <w:br/>
              <w:t xml:space="preserve">  - Tumor located at central site (clitoris): Document 17 states that "central site tumors have significantly worse prognosis than lateral site tumors" due to higher likelihood of lymphatic metastasis.</w:t>
            </w:r>
            <w:r w:rsidRPr="00CB2EC4">
              <w:rPr>
                <w:rFonts w:ascii="Times New Roman" w:hAnsi="Times New Roman" w:cs="Times New Roman"/>
              </w:rPr>
              <w:br/>
              <w:t xml:space="preserve">  - Tumor thickness 3 mm: Document 1 shows that tumor thickness &gt;3 mm has a 10-year survival rate of only 22% (1.51–3.0 mm: 44%, &gt;3.0 mm: 22%); document 17 also confirms that greater thickness correlates with worse prognosis.</w:t>
            </w:r>
            <w:r w:rsidRPr="00CB2EC4">
              <w:rPr>
                <w:rFonts w:ascii="Times New Roman" w:hAnsi="Times New Roman" w:cs="Times New Roman"/>
              </w:rPr>
              <w:br/>
              <w:t xml:space="preserve">  - Surface ulceration present: Document 17 notes that ulceration is a key adverse prognostic factor, indicating rapid tumor progression and significantly reduced 5-year survival rate (with ulceration: 14.3%–40.5%, without ulceration: 20%–62.7%).</w:t>
            </w:r>
            <w:r w:rsidRPr="00CB2EC4">
              <w:rPr>
                <w:rFonts w:ascii="Times New Roman" w:hAnsi="Times New Roman" w:cs="Times New Roman"/>
              </w:rPr>
              <w:br/>
              <w:t xml:space="preserve">  - Additional factors: Document 4 mentions that ulceration is also associated with increased risk of lymph node metastasis; document 17 further refers to cell type (e.g., nodular type has worse prognosis) and growth pattern, though these details are not provided </w:t>
            </w:r>
            <w:r w:rsidRPr="00CB2EC4">
              <w:rPr>
                <w:rFonts w:ascii="Times New Roman" w:hAnsi="Times New Roman" w:cs="Times New Roman"/>
              </w:rPr>
              <w:lastRenderedPageBreak/>
              <w:t>in this case.</w:t>
            </w:r>
            <w:r w:rsidRPr="00CB2EC4">
              <w:rPr>
                <w:rFonts w:ascii="Times New Roman" w:hAnsi="Times New Roman" w:cs="Times New Roman"/>
              </w:rPr>
              <w:br/>
            </w:r>
            <w:r w:rsidRPr="00CB2EC4">
              <w:rPr>
                <w:rFonts w:ascii="Times New Roman" w:hAnsi="Times New Roman" w:cs="Times New Roman"/>
              </w:rPr>
              <w:br/>
              <w:t>In summary, the patient’s adverse prognostic factors include: advanced age, central location, high tumor thickness, and ulceration.</w:t>
            </w:r>
          </w:p>
        </w:tc>
        <w:tc>
          <w:tcPr>
            <w:tcW w:w="1152" w:type="dxa"/>
            <w:vAlign w:val="center"/>
          </w:tcPr>
          <w:p w14:paraId="577330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90AD3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F51A0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BB86EAB" w14:textId="77777777">
        <w:tc>
          <w:tcPr>
            <w:tcW w:w="2160" w:type="dxa"/>
            <w:vAlign w:val="center"/>
          </w:tcPr>
          <w:p w14:paraId="74B96FF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090A6AA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the provided information, the initial surgical treatment strategy for this 68-year-old patient with vulvar malignant melanoma is as follows:  </w:t>
            </w:r>
            <w:r w:rsidRPr="00CB2EC4">
              <w:rPr>
                <w:rFonts w:ascii="Times New Roman" w:hAnsi="Times New Roman" w:cs="Times New Roman"/>
              </w:rPr>
              <w:br/>
              <w:t xml:space="preserve">- local excision strategy: wide local excision with margins of at least 1 to 2 cm from the lesion is recommended, as clinical practice commonly adopts this approach based on tumor thickness and location.  </w:t>
            </w:r>
            <w:r w:rsidRPr="00CB2EC4">
              <w:rPr>
                <w:rFonts w:ascii="Times New Roman" w:hAnsi="Times New Roman" w:cs="Times New Roman"/>
              </w:rPr>
              <w:br/>
              <w:t xml:space="preserve">- lymph node management strategy: bilateral inguinal lymph node dissection is recommended, given the central location (clitoris) and tumor thickness of 3 mm (&gt;0.76 mm), which warrants this procedure according to the guidelines.  </w:t>
            </w:r>
            <w:r w:rsidRPr="00CB2EC4">
              <w:rPr>
                <w:rFonts w:ascii="Times New Roman" w:hAnsi="Times New Roman" w:cs="Times New Roman"/>
              </w:rPr>
              <w:br/>
            </w:r>
            <w:r w:rsidRPr="00CB2EC4">
              <w:rPr>
                <w:rFonts w:ascii="Times New Roman" w:hAnsi="Times New Roman" w:cs="Times New Roman"/>
              </w:rPr>
              <w:br/>
              <w:t xml:space="preserve">prognostic unfavorable factors:  </w:t>
            </w:r>
            <w:r w:rsidRPr="00CB2EC4">
              <w:rPr>
                <w:rFonts w:ascii="Times New Roman" w:hAnsi="Times New Roman" w:cs="Times New Roman"/>
              </w:rPr>
              <w:br/>
              <w:t xml:space="preserve">- central tumor location (clitoris): central site is associated with significantly worse prognosis compared to lateral sites.  </w:t>
            </w:r>
            <w:r w:rsidRPr="00CB2EC4">
              <w:rPr>
                <w:rFonts w:ascii="Times New Roman" w:hAnsi="Times New Roman" w:cs="Times New Roman"/>
              </w:rPr>
              <w:br/>
              <w:t xml:space="preserve">- advanced age (68 years): older age is an independent risk factor for poorer survival outcomes.  </w:t>
            </w:r>
            <w:r w:rsidRPr="00CB2EC4">
              <w:rPr>
                <w:rFonts w:ascii="Times New Roman" w:hAnsi="Times New Roman" w:cs="Times New Roman"/>
              </w:rPr>
              <w:br/>
              <w:t xml:space="preserve">- tumor thickness of 3 mm (&gt;2 mm): thickness greater than 2 mm correlates with higher lymph node metastasis rates and worse survival.  </w:t>
            </w:r>
            <w:r w:rsidRPr="00CB2EC4">
              <w:rPr>
                <w:rFonts w:ascii="Times New Roman" w:hAnsi="Times New Roman" w:cs="Times New Roman"/>
              </w:rPr>
              <w:br/>
              <w:t xml:space="preserve">- presence of surface ulceration: ulceration is identified as a prognostic unfavorable factor, indicating more aggressive biological behavior.  </w:t>
            </w:r>
            <w:r w:rsidRPr="00CB2EC4">
              <w:rPr>
                <w:rFonts w:ascii="Times New Roman" w:hAnsi="Times New Roman" w:cs="Times New Roman"/>
              </w:rPr>
              <w:br/>
            </w:r>
            <w:r w:rsidRPr="00CB2EC4">
              <w:rPr>
                <w:rFonts w:ascii="Times New Roman" w:hAnsi="Times New Roman" w:cs="Times New Roman"/>
              </w:rPr>
              <w:br/>
              <w:t xml:space="preserve">in summary, the initial surgical strategy is wide local excision (1–2 cm margins) combined with bilateral inguinal lymph node dissection. unfavorable </w:t>
            </w:r>
            <w:r w:rsidRPr="00CB2EC4">
              <w:rPr>
                <w:rFonts w:ascii="Times New Roman" w:hAnsi="Times New Roman" w:cs="Times New Roman"/>
              </w:rPr>
              <w:lastRenderedPageBreak/>
              <w:t>prognostic factors include central location, advanced age, tumor thickness &gt;2 mm, and surface ulceration.</w:t>
            </w:r>
          </w:p>
        </w:tc>
        <w:tc>
          <w:tcPr>
            <w:tcW w:w="1152" w:type="dxa"/>
            <w:vAlign w:val="center"/>
          </w:tcPr>
          <w:p w14:paraId="6FAB04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EDE4F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18AFA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B6C7473" w14:textId="77777777">
        <w:tc>
          <w:tcPr>
            <w:tcW w:w="2160" w:type="dxa"/>
            <w:vAlign w:val="center"/>
          </w:tcPr>
          <w:p w14:paraId="7D7A671E"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BD2DCC3" w14:textId="77777777" w:rsidR="00922249" w:rsidRPr="00CB2EC4" w:rsidRDefault="003011D5">
            <w:pPr>
              <w:rPr>
                <w:rFonts w:ascii="Times New Roman" w:hAnsi="Times New Roman" w:cs="Times New Roman"/>
              </w:rPr>
            </w:pPr>
            <w:r w:rsidRPr="00CB2EC4">
              <w:rPr>
                <w:rFonts w:ascii="Times New Roman" w:hAnsi="Times New Roman" w:cs="Times New Roman"/>
              </w:rPr>
              <w:t>initial surgical treatment strategy:</w:t>
            </w:r>
            <w:r w:rsidRPr="00CB2EC4">
              <w:rPr>
                <w:rFonts w:ascii="Times New Roman" w:hAnsi="Times New Roman" w:cs="Times New Roman"/>
              </w:rPr>
              <w:br/>
              <w:t>- local excision: perform an extended local vulvectomy with surgical margins of at least 1–2 cm based on tumor thickness (3 mm &gt; 1.0 mm), as recommended by the documents.</w:t>
            </w:r>
            <w:r w:rsidRPr="00CB2EC4">
              <w:rPr>
                <w:rFonts w:ascii="Times New Roman" w:hAnsi="Times New Roman" w:cs="Times New Roman"/>
              </w:rPr>
              <w:br/>
              <w:t>- lymph node management: conduct bilateral inguinal lymphadenectomy due to tumor depth &gt; 0.76 mm (Clark level III) and central location (clitoris). The number of dissected lymph nodes should be no fewer than 10, as per the Chinese consensus guidelines (2008).</w:t>
            </w:r>
            <w:r w:rsidRPr="00CB2EC4">
              <w:rPr>
                <w:rFonts w:ascii="Times New Roman" w:hAnsi="Times New Roman" w:cs="Times New Roman"/>
              </w:rPr>
              <w:br/>
              <w:t>- summary: extended local vulvectomy (1–2 cm margins) plus bilateral inguinal lymph node dissection. adjuvant therapy (e.g., chemotherapy or immunotherapy) may be considered postoperatively, but specific regimens require further clinical evaluation.</w:t>
            </w:r>
            <w:r w:rsidRPr="00CB2EC4">
              <w:rPr>
                <w:rFonts w:ascii="Times New Roman" w:hAnsi="Times New Roman" w:cs="Times New Roman"/>
              </w:rPr>
              <w:br/>
            </w:r>
            <w:r w:rsidRPr="00CB2EC4">
              <w:rPr>
                <w:rFonts w:ascii="Times New Roman" w:hAnsi="Times New Roman" w:cs="Times New Roman"/>
              </w:rPr>
              <w:br/>
              <w:t>prognostic unfavorable factors:</w:t>
            </w:r>
            <w:r w:rsidRPr="00CB2EC4">
              <w:rPr>
                <w:rFonts w:ascii="Times New Roman" w:hAnsi="Times New Roman" w:cs="Times New Roman"/>
              </w:rPr>
              <w:br/>
              <w:t>- advanced age: 68 years old, identified as an independent risk factor associated with poorer prognosis, vascular invasion, and surface ulceration.</w:t>
            </w:r>
            <w:r w:rsidRPr="00CB2EC4">
              <w:rPr>
                <w:rFonts w:ascii="Times New Roman" w:hAnsi="Times New Roman" w:cs="Times New Roman"/>
              </w:rPr>
              <w:br/>
              <w:t>- central tumor location: clitoris involvement, which correlates with significantly worse prognosis compared to lateral sites.</w:t>
            </w:r>
            <w:r w:rsidRPr="00CB2EC4">
              <w:rPr>
                <w:rFonts w:ascii="Times New Roman" w:hAnsi="Times New Roman" w:cs="Times New Roman"/>
              </w:rPr>
              <w:br/>
              <w:t>- surface ulceration: present, linked to increased risk of disease progression and recurrence.</w:t>
            </w:r>
            <w:r w:rsidRPr="00CB2EC4">
              <w:rPr>
                <w:rFonts w:ascii="Times New Roman" w:hAnsi="Times New Roman" w:cs="Times New Roman"/>
              </w:rPr>
              <w:br/>
              <w:t>- high tumor thickness: 3 mm, associated with a 10-year survival rate of 44% (for 1.51–3.0 mm) and indicating poorer prognosis; tumor thickness is a key prognostic determinant.</w:t>
            </w:r>
            <w:r w:rsidRPr="00CB2EC4">
              <w:rPr>
                <w:rFonts w:ascii="Times New Roman" w:hAnsi="Times New Roman" w:cs="Times New Roman"/>
              </w:rPr>
              <w:br/>
              <w:t xml:space="preserve">- additional factors: cell type (e.g., nodular) and </w:t>
            </w:r>
            <w:r w:rsidRPr="00CB2EC4">
              <w:rPr>
                <w:rFonts w:ascii="Times New Roman" w:hAnsi="Times New Roman" w:cs="Times New Roman"/>
              </w:rPr>
              <w:lastRenderedPageBreak/>
              <w:t>growth pattern may contribute, but are not specified for this case.</w:t>
            </w:r>
          </w:p>
        </w:tc>
        <w:tc>
          <w:tcPr>
            <w:tcW w:w="1152" w:type="dxa"/>
            <w:vAlign w:val="center"/>
          </w:tcPr>
          <w:p w14:paraId="436C10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3B6CC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6D4C3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1F9A6A0" w14:textId="77777777">
        <w:tc>
          <w:tcPr>
            <w:tcW w:w="2160" w:type="dxa"/>
            <w:vAlign w:val="center"/>
          </w:tcPr>
          <w:p w14:paraId="2ABC1919"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D1BAC3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surgical treatment strategy (based on document content):  </w:t>
            </w:r>
            <w:r w:rsidRPr="00CB2EC4">
              <w:rPr>
                <w:rFonts w:ascii="Times New Roman" w:hAnsi="Times New Roman" w:cs="Times New Roman"/>
              </w:rPr>
              <w:br/>
              <w:t xml:space="preserve">- local excision strategy: the document states that the surgical extent for vulvar malignant melanoma should be determined by tumor thickness and location. for a tumor thickness of 3mm (&gt;0.76mm) located centrally (e.g., clitoris), "local wide excision" is recommended, with a margin distance of 1–2cm from the lesion (document excerpt: "clinical practice commonly adopts local wide excision [margin 1–2cm from lesion]"). this is because expanding the vulvar resection range (e.g., radical vulvectomy) does not improve prognosis, while local wide excision reduces complications (document excerpt: "expanding vulvar resection range cannot improve survival... currently recommend expanded vulvar excision instead of radical vulvectomy").  </w:t>
            </w:r>
            <w:r w:rsidRPr="00CB2EC4">
              <w:rPr>
                <w:rFonts w:ascii="Times New Roman" w:hAnsi="Times New Roman" w:cs="Times New Roman"/>
              </w:rPr>
              <w:br/>
              <w:t xml:space="preserve">- lymph node management strategy: due to central location (clitoris) and thickness of 3mm (&gt;0.76mm), the document recommends bilateral inguinal lymph node dissection (document excerpt: "for patients with invasion depth &gt;0.76mm (Clark level III) vulvar melanoma... central lesions undergo bilateral lymph node resection"). the document also emphasizes the importance of regional lymph node dissection, especially for tumors &gt;0.76mm thick, requiring removal of sufficient lymph nodes (e.g., ≥10 inguinal lymph nodes) (document excerpt: "in the 2008 first edition of 'Chinese Melanoma Diagnosis and Treatment Consensus'... patients with sentinel lymph node biopsy (SLNB) or superficial lymph node ultrasound-confirmed metastasis should undergo </w:t>
            </w:r>
            <w:r w:rsidRPr="00CB2EC4">
              <w:rPr>
                <w:rFonts w:ascii="Times New Roman" w:hAnsi="Times New Roman" w:cs="Times New Roman"/>
              </w:rPr>
              <w:lastRenderedPageBreak/>
              <w:t xml:space="preserve">regional lymph node dissection").  </w:t>
            </w:r>
            <w:r w:rsidRPr="00CB2EC4">
              <w:rPr>
                <w:rFonts w:ascii="Times New Roman" w:hAnsi="Times New Roman" w:cs="Times New Roman"/>
              </w:rPr>
              <w:br/>
              <w:t xml:space="preserve">in summary, the initial surgical strategy is:  </w:t>
            </w:r>
            <w:r w:rsidRPr="00CB2EC4">
              <w:rPr>
                <w:rFonts w:ascii="Times New Roman" w:hAnsi="Times New Roman" w:cs="Times New Roman"/>
              </w:rPr>
              <w:br/>
              <w:t xml:space="preserve">  - local wide excision with 1–2cm margin from the lesion.  </w:t>
            </w:r>
            <w:r w:rsidRPr="00CB2EC4">
              <w:rPr>
                <w:rFonts w:ascii="Times New Roman" w:hAnsi="Times New Roman" w:cs="Times New Roman"/>
              </w:rPr>
              <w:br/>
              <w:t xml:space="preserve">  - bilateral inguinal lymph node dissection.  </w:t>
            </w:r>
            <w:r w:rsidRPr="00CB2EC4">
              <w:rPr>
                <w:rFonts w:ascii="Times New Roman" w:hAnsi="Times New Roman" w:cs="Times New Roman"/>
              </w:rPr>
              <w:br/>
            </w:r>
            <w:r w:rsidRPr="00CB2EC4">
              <w:rPr>
                <w:rFonts w:ascii="Times New Roman" w:hAnsi="Times New Roman" w:cs="Times New Roman"/>
              </w:rPr>
              <w:br/>
              <w:t xml:space="preserve">poor prognostic factors (based on document content):  </w:t>
            </w:r>
            <w:r w:rsidRPr="00CB2EC4">
              <w:rPr>
                <w:rFonts w:ascii="Times New Roman" w:hAnsi="Times New Roman" w:cs="Times New Roman"/>
              </w:rPr>
              <w:br/>
              <w:t xml:space="preserve">this patient has the following poor prognostic factors:  </w:t>
            </w:r>
            <w:r w:rsidRPr="00CB2EC4">
              <w:rPr>
                <w:rFonts w:ascii="Times New Roman" w:hAnsi="Times New Roman" w:cs="Times New Roman"/>
              </w:rPr>
              <w:br/>
              <w:t xml:space="preserve">1. advanced age (68 years): the document explicitly states age is an independent risk factor, "age is a meaningful independent risk factor for survival in vulvar melanoma patients; older age correlates with worse prognosis", and those &gt;76 years have even poorer outcomes (document excerpt: "age significantly increases the risk of disease recurrence").  </w:t>
            </w:r>
            <w:r w:rsidRPr="00CB2EC4">
              <w:rPr>
                <w:rFonts w:ascii="Times New Roman" w:hAnsi="Times New Roman" w:cs="Times New Roman"/>
              </w:rPr>
              <w:br/>
              <w:t xml:space="preserve">2. central tumor location (clitoris): the document emphasizes "central tumor location has significantly worse prognosis than lateral locations", with central lesions more prone to metastasis and poorer outcomes.  </w:t>
            </w:r>
            <w:r w:rsidRPr="00CB2EC4">
              <w:rPr>
                <w:rFonts w:ascii="Times New Roman" w:hAnsi="Times New Roman" w:cs="Times New Roman"/>
              </w:rPr>
              <w:br/>
              <w:t xml:space="preserve">3. high tumor thickness (3mm): the document shows tumor thickness negatively correlates with survival; 10-year survival rate for thickness &gt;3.0mm is only 22% (document excerpt: "10-year survival rates by tumor thickness: &gt;3.0mm 22%").  </w:t>
            </w:r>
            <w:r w:rsidRPr="00CB2EC4">
              <w:rPr>
                <w:rFonts w:ascii="Times New Roman" w:hAnsi="Times New Roman" w:cs="Times New Roman"/>
              </w:rPr>
              <w:br/>
              <w:t xml:space="preserve">4. surface ulceration: the document states "ulceration indicates rapid tumor progression and is a significant prognostic factor for disease-free survival, long-term survival, and recurrence", with 5-year survival rates of 14.3–40.5% for ulcerated tumors, much lower than non-ulcerated (document excerpt: "5-year survival rate with ulceration is 14.3–40.5%").  </w:t>
            </w:r>
            <w:r w:rsidRPr="00CB2EC4">
              <w:rPr>
                <w:rFonts w:ascii="Times New Roman" w:hAnsi="Times New Roman" w:cs="Times New Roman"/>
              </w:rPr>
              <w:br/>
              <w:t xml:space="preserve">other potential adverse factors include high lymph node metastasis risk (metastasis rate increases when thickness &gt;1mm), though the document does not </w:t>
            </w:r>
            <w:r w:rsidRPr="00CB2EC4">
              <w:rPr>
                <w:rFonts w:ascii="Times New Roman" w:hAnsi="Times New Roman" w:cs="Times New Roman"/>
              </w:rPr>
              <w:lastRenderedPageBreak/>
              <w:t>specify metastasis status for this patient.</w:t>
            </w:r>
          </w:p>
        </w:tc>
        <w:tc>
          <w:tcPr>
            <w:tcW w:w="1152" w:type="dxa"/>
            <w:vAlign w:val="center"/>
          </w:tcPr>
          <w:p w14:paraId="79A9EB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6B7D3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540CC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BB6FF6B" w14:textId="77777777">
        <w:tc>
          <w:tcPr>
            <w:tcW w:w="2160" w:type="dxa"/>
            <w:vAlign w:val="center"/>
          </w:tcPr>
          <w:p w14:paraId="517A196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542E2125" w14:textId="77777777" w:rsidR="00922249" w:rsidRPr="00CB2EC4" w:rsidRDefault="003011D5">
            <w:pPr>
              <w:rPr>
                <w:rFonts w:ascii="Times New Roman" w:hAnsi="Times New Roman" w:cs="Times New Roman"/>
              </w:rPr>
            </w:pPr>
            <w:r w:rsidRPr="00CB2EC4">
              <w:rPr>
                <w:rFonts w:ascii="Times New Roman" w:hAnsi="Times New Roman" w:cs="Times New Roman"/>
              </w:rPr>
              <w:t>- Surgical treatment strategy (local excision):</w:t>
            </w:r>
            <w:r w:rsidRPr="00CB2EC4">
              <w:rPr>
                <w:rFonts w:ascii="Times New Roman" w:hAnsi="Times New Roman" w:cs="Times New Roman"/>
              </w:rPr>
              <w:br/>
              <w:t xml:space="preserve">  - Local excision margin: Determined by tumor thickness. According to the document ([Fragment 5]), when tumor thickness &gt;2mm, the margin should be greater than 2cm; when thickness &gt;4mm, many scholars recommend a margin of at least 3cm (though no consensus exists). In this case, the patient's tumor thickness is 3mm (&gt;2mm), so the margin should be greater than 2cm (recommended at least 3cm). The depth of excision must reach the muscular fascia layer (minimum depth of 1cm) to ensure complete lesion removal.</w:t>
            </w:r>
            <w:r w:rsidRPr="00CB2EC4">
              <w:rPr>
                <w:rFonts w:ascii="Times New Roman" w:hAnsi="Times New Roman" w:cs="Times New Roman"/>
              </w:rPr>
              <w:br/>
            </w:r>
            <w:r w:rsidRPr="00CB2EC4">
              <w:rPr>
                <w:rFonts w:ascii="Times New Roman" w:hAnsi="Times New Roman" w:cs="Times New Roman"/>
              </w:rPr>
              <w:br/>
              <w:t>- Lymph node management:</w:t>
            </w:r>
            <w:r w:rsidRPr="00CB2EC4">
              <w:rPr>
                <w:rFonts w:ascii="Times New Roman" w:hAnsi="Times New Roman" w:cs="Times New Roman"/>
              </w:rPr>
              <w:br/>
              <w:t xml:space="preserve">  - Sentinel lymph node biopsy (SLNB) or lymph node dissection:</w:t>
            </w:r>
            <w:r w:rsidRPr="00CB2EC4">
              <w:rPr>
                <w:rFonts w:ascii="Times New Roman" w:hAnsi="Times New Roman" w:cs="Times New Roman"/>
              </w:rPr>
              <w:br/>
              <w:t xml:space="preserve">    - The document emphasizes ([Fragment 9]): For vulvar melanoma patients with invasion depth &gt;0.76mm and central tumor location, bilateral inguinal lymph node dissection should be performed.</w:t>
            </w:r>
            <w:r w:rsidRPr="00CB2EC4">
              <w:rPr>
                <w:rFonts w:ascii="Times New Roman" w:hAnsi="Times New Roman" w:cs="Times New Roman"/>
              </w:rPr>
              <w:br/>
              <w:t xml:space="preserve">    - NCCN guidelines suggest that stage I and II patients may consider SLNB; if SLNB is positive or superficial lymph nodes are confirmed metastatic by ultrasound, regional lymph node dissection (with at least 10 nodes removed) should be performed ([Fragment 5]).</w:t>
            </w:r>
            <w:r w:rsidRPr="00CB2EC4">
              <w:rPr>
                <w:rFonts w:ascii="Times New Roman" w:hAnsi="Times New Roman" w:cs="Times New Roman"/>
              </w:rPr>
              <w:br/>
              <w:t xml:space="preserve">    - The 2008 Chinese Consensus on Melanoma Diagnosis and Treatment supports the importance of regional lymph node dissection ([Fragment 9]).</w:t>
            </w:r>
            <w:r w:rsidRPr="00CB2EC4">
              <w:rPr>
                <w:rFonts w:ascii="Times New Roman" w:hAnsi="Times New Roman" w:cs="Times New Roman"/>
              </w:rPr>
              <w:br/>
              <w:t xml:space="preserve">    - Applicable plan for this patient: Due to central location (clitoris) and tumor thickness of 3mm (&gt;0.76mm), bilateral inguinal lymph node dissection should be performed; or SLNB first, followed by </w:t>
            </w:r>
            <w:r w:rsidRPr="00CB2EC4">
              <w:rPr>
                <w:rFonts w:ascii="Times New Roman" w:hAnsi="Times New Roman" w:cs="Times New Roman"/>
              </w:rPr>
              <w:lastRenderedPageBreak/>
              <w:t>dissection if positive.</w:t>
            </w:r>
            <w:r w:rsidRPr="00CB2EC4">
              <w:rPr>
                <w:rFonts w:ascii="Times New Roman" w:hAnsi="Times New Roman" w:cs="Times New Roman"/>
              </w:rPr>
              <w:br/>
            </w:r>
            <w:r w:rsidRPr="00CB2EC4">
              <w:rPr>
                <w:rFonts w:ascii="Times New Roman" w:hAnsi="Times New Roman" w:cs="Times New Roman"/>
              </w:rPr>
              <w:br/>
              <w:t>- Poor prognostic factors:</w:t>
            </w:r>
            <w:r w:rsidRPr="00CB2EC4">
              <w:rPr>
                <w:rFonts w:ascii="Times New Roman" w:hAnsi="Times New Roman" w:cs="Times New Roman"/>
              </w:rPr>
              <w:br/>
              <w:t xml:space="preserve">  The document lists multiple prognostic factors for vulvar melanoma ([Fragment 3]):</w:t>
            </w:r>
            <w:r w:rsidRPr="00CB2EC4">
              <w:rPr>
                <w:rFonts w:ascii="Times New Roman" w:hAnsi="Times New Roman" w:cs="Times New Roman"/>
              </w:rPr>
              <w:br/>
              <w:t xml:space="preserve">  1. Advanced age (68 years): Age is an independent risk factor; older age correlates with worse prognosis (GOG study shows age significantly increases recurrence risk).</w:t>
            </w:r>
            <w:r w:rsidRPr="00CB2EC4">
              <w:rPr>
                <w:rFonts w:ascii="Times New Roman" w:hAnsi="Times New Roman" w:cs="Times New Roman"/>
              </w:rPr>
              <w:br/>
              <w:t xml:space="preserve">  2. Central tumor location: Central sites (e.g., clitoris) have significantly worse prognosis than lateral sites.</w:t>
            </w:r>
            <w:r w:rsidRPr="00CB2EC4">
              <w:rPr>
                <w:rFonts w:ascii="Times New Roman" w:hAnsi="Times New Roman" w:cs="Times New Roman"/>
              </w:rPr>
              <w:br/>
              <w:t xml:space="preserve">  3. Surface ulceration: Ulceration indicates rapid tumor progression and is a key adverse factor for disease-free and long-term survival; patients with ulceration have a 5-year survival rate of only 14.3%~40.5%, much lower than those without ulceration (20%~62.7%).</w:t>
            </w:r>
            <w:r w:rsidRPr="00CB2EC4">
              <w:rPr>
                <w:rFonts w:ascii="Times New Roman" w:hAnsi="Times New Roman" w:cs="Times New Roman"/>
              </w:rPr>
              <w:br/>
              <w:t xml:space="preserve">  4. Greater tumor thickness (3mm): Thickness positively correlates with lymph node metastasis risk; patients with thickness &gt;3mm have lower 10-year survival rates (approximately 22%) ([Fragment 5]).</w:t>
            </w:r>
            <w:r w:rsidRPr="00CB2EC4">
              <w:rPr>
                <w:rFonts w:ascii="Times New Roman" w:hAnsi="Times New Roman" w:cs="Times New Roman"/>
              </w:rPr>
              <w:br/>
              <w:t xml:space="preserve">  Other potential factors include high lymph node metastasis risk (due to thickness &gt;0.76mm), cell type, and growth pattern (nodular type has worse prognosis), but these details are not provided in this case.</w:t>
            </w:r>
            <w:r w:rsidRPr="00CB2EC4">
              <w:rPr>
                <w:rFonts w:ascii="Times New Roman" w:hAnsi="Times New Roman" w:cs="Times New Roman"/>
              </w:rPr>
              <w:br/>
            </w:r>
            <w:r w:rsidRPr="00CB2EC4">
              <w:rPr>
                <w:rFonts w:ascii="Times New Roman" w:hAnsi="Times New Roman" w:cs="Times New Roman"/>
              </w:rPr>
              <w:br/>
              <w:t>Summary of initial surgical strategy:</w:t>
            </w:r>
            <w:r w:rsidRPr="00CB2EC4">
              <w:rPr>
                <w:rFonts w:ascii="Times New Roman" w:hAnsi="Times New Roman" w:cs="Times New Roman"/>
              </w:rPr>
              <w:br/>
              <w:t>- Local excision: Wide local excision with a margin of at least 3cm (based on thickness &gt;2mm), depth to muscular fascia layer.</w:t>
            </w:r>
            <w:r w:rsidRPr="00CB2EC4">
              <w:rPr>
                <w:rFonts w:ascii="Times New Roman" w:hAnsi="Times New Roman" w:cs="Times New Roman"/>
              </w:rPr>
              <w:br/>
              <w:t>- Lymph node management: Perform bilateral inguinal lymph node dissection; or perform SLNB first, followed by dissection if positive.</w:t>
            </w:r>
            <w:r w:rsidRPr="00CB2EC4">
              <w:rPr>
                <w:rFonts w:ascii="Times New Roman" w:hAnsi="Times New Roman" w:cs="Times New Roman"/>
              </w:rPr>
              <w:br/>
            </w:r>
            <w:r w:rsidRPr="00CB2EC4">
              <w:rPr>
                <w:rFonts w:ascii="Times New Roman" w:hAnsi="Times New Roman" w:cs="Times New Roman"/>
              </w:rPr>
              <w:lastRenderedPageBreak/>
              <w:t>- Poor prognostic factors: Advanced age (68 years), central tumor location, surface ulceration, tumor thickness of 3mm.</w:t>
            </w:r>
          </w:p>
        </w:tc>
        <w:tc>
          <w:tcPr>
            <w:tcW w:w="1152" w:type="dxa"/>
            <w:vAlign w:val="center"/>
          </w:tcPr>
          <w:p w14:paraId="08BA6B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2B226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7482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AFAB09" w14:textId="77777777">
        <w:tc>
          <w:tcPr>
            <w:tcW w:w="2160" w:type="dxa"/>
            <w:vAlign w:val="center"/>
          </w:tcPr>
          <w:p w14:paraId="067157A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453B9853" w14:textId="77777777" w:rsidR="00922249" w:rsidRPr="00CB2EC4" w:rsidRDefault="003011D5">
            <w:pPr>
              <w:rPr>
                <w:rFonts w:ascii="Times New Roman" w:hAnsi="Times New Roman" w:cs="Times New Roman"/>
              </w:rPr>
            </w:pPr>
            <w:r w:rsidRPr="00CB2EC4">
              <w:rPr>
                <w:rFonts w:ascii="Times New Roman" w:hAnsi="Times New Roman" w:cs="Times New Roman"/>
              </w:rPr>
              <w:t>initial surgical treatment strategy (based on document content):</w:t>
            </w:r>
            <w:r w:rsidRPr="00CB2EC4">
              <w:rPr>
                <w:rFonts w:ascii="Times New Roman" w:hAnsi="Times New Roman" w:cs="Times New Roman"/>
              </w:rPr>
              <w:br/>
              <w:t xml:space="preserve">  - local excision: the document states that the surgical extent for vulvar malignant melanoma should be determined by tumor thickness and location. for tumor thickness &gt;0.76mm (3mm in this case), a wide local excision is recommended, with a margin of at least 1–2cm from the lesion (document sources: [similarity: 0.550] and [similarity: 0.497]). specific strategy: perform an extended wide local excision of the vulva, ensuring negative margins (margin ≥2cm from the lesion) to prevent recurrence (document sources: [similarity: 0.575] and [similarity: 0.465]).</w:t>
            </w:r>
            <w:r w:rsidRPr="00CB2EC4">
              <w:rPr>
                <w:rFonts w:ascii="Times New Roman" w:hAnsi="Times New Roman" w:cs="Times New Roman"/>
              </w:rPr>
              <w:br/>
              <w:t xml:space="preserve">  - lymph node management: due to the tumor’s central location (clitoris) and thickness &gt;0.76mm (3mm), the document explicitly recommends bilateral inguinal lymph node dissection (document source: [similarity: 0.497]). rationale: central tumors are prone to bilateral lymph node metastasis, and thickness &gt;0.76mm carries a high risk of lymph node involvement; dissection improves prognosis (document sources: [similarity: 0.497] and [similarity: 0.584]). if intraoperative or preoperative examination reveals lymph node metastasis, pelvic lymph node dissection should be added (document source: [similarity: 0.497]).</w:t>
            </w:r>
            <w:r w:rsidRPr="00CB2EC4">
              <w:rPr>
                <w:rFonts w:ascii="Times New Roman" w:hAnsi="Times New Roman" w:cs="Times New Roman"/>
              </w:rPr>
              <w:br/>
              <w:t xml:space="preserve">  - overall strategy: perform wide local excision (margin ≥2cm) concurrently with bilateral inguinal lymph node dissection; postoperative close follow-up (every 3–6 months) is required to monitor for recurrence (document sources: [similarity: 0.575], </w:t>
            </w:r>
            <w:r w:rsidRPr="00CB2EC4">
              <w:rPr>
                <w:rFonts w:ascii="Times New Roman" w:hAnsi="Times New Roman" w:cs="Times New Roman"/>
              </w:rPr>
              <w:lastRenderedPageBreak/>
              <w:t>[similarity: 0.497], and [similarity: 0.465]).</w:t>
            </w:r>
            <w:r w:rsidRPr="00CB2EC4">
              <w:rPr>
                <w:rFonts w:ascii="Times New Roman" w:hAnsi="Times New Roman" w:cs="Times New Roman"/>
              </w:rPr>
              <w:br/>
            </w:r>
            <w:r w:rsidRPr="00CB2EC4">
              <w:rPr>
                <w:rFonts w:ascii="Times New Roman" w:hAnsi="Times New Roman" w:cs="Times New Roman"/>
              </w:rPr>
              <w:br/>
              <w:t>- poor prognostic factors (based on document content):</w:t>
            </w:r>
            <w:r w:rsidRPr="00CB2EC4">
              <w:rPr>
                <w:rFonts w:ascii="Times New Roman" w:hAnsi="Times New Roman" w:cs="Times New Roman"/>
              </w:rPr>
              <w:br/>
              <w:t xml:space="preserve">  - advanced age (68 years): the document identifies age as an independent risk factor, with older patients having worse prognosis; those over 76 years are more likely to exhibit adverse features such as vascular invasion (document source: [similarity: 0.584]).</w:t>
            </w:r>
            <w:r w:rsidRPr="00CB2EC4">
              <w:rPr>
                <w:rFonts w:ascii="Times New Roman" w:hAnsi="Times New Roman" w:cs="Times New Roman"/>
              </w:rPr>
              <w:br/>
              <w:t xml:space="preserve">  - high tumor thickness (3mm): tumors &gt;3.0mm have a 10-year survival rate of only 22%, significantly lower than thinner tumors (document source: [similarity: 0.575]).</w:t>
            </w:r>
            <w:r w:rsidRPr="00CB2EC4">
              <w:rPr>
                <w:rFonts w:ascii="Times New Roman" w:hAnsi="Times New Roman" w:cs="Times New Roman"/>
              </w:rPr>
              <w:br/>
              <w:t xml:space="preserve">  - presence of surface ulceration: the document explicitly lists “presence or absence of surface ulceration” as a poor prognostic factor, with ulceration indicating aggressive biological behavior (document source: [similarity: 0.584]).</w:t>
            </w:r>
            <w:r w:rsidRPr="00CB2EC4">
              <w:rPr>
                <w:rFonts w:ascii="Times New Roman" w:hAnsi="Times New Roman" w:cs="Times New Roman"/>
              </w:rPr>
              <w:br/>
              <w:t xml:space="preserve">  - central tumor location (clitoris): the document states that central location tumors have a significantly worse prognosis than lateral location tumors (document source: [similarity: 0.584]).</w:t>
            </w:r>
            <w:r w:rsidRPr="00CB2EC4">
              <w:rPr>
                <w:rFonts w:ascii="Times New Roman" w:hAnsi="Times New Roman" w:cs="Times New Roman"/>
              </w:rPr>
              <w:br/>
              <w:t xml:space="preserve">  - other factors: cell type (e.g., nodular growth pattern associated with poor prognosis), lymphovascular invasion may also affect prognosis, though the document does not specify these for this case (document source: [similarity: 0.584]).</w:t>
            </w:r>
          </w:p>
        </w:tc>
        <w:tc>
          <w:tcPr>
            <w:tcW w:w="1152" w:type="dxa"/>
            <w:vAlign w:val="center"/>
          </w:tcPr>
          <w:p w14:paraId="1A4F84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7885B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5294E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6B82E8A" w14:textId="77777777">
        <w:tc>
          <w:tcPr>
            <w:tcW w:w="2160" w:type="dxa"/>
            <w:vAlign w:val="center"/>
          </w:tcPr>
          <w:p w14:paraId="5A41580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7DAE3A1" w14:textId="77777777" w:rsidR="00922249" w:rsidRPr="00CB2EC4" w:rsidRDefault="003011D5">
            <w:pPr>
              <w:rPr>
                <w:rFonts w:ascii="Times New Roman" w:hAnsi="Times New Roman" w:cs="Times New Roman"/>
              </w:rPr>
            </w:pPr>
            <w:r w:rsidRPr="00CB2EC4">
              <w:rPr>
                <w:rFonts w:ascii="Times New Roman" w:hAnsi="Times New Roman" w:cs="Times New Roman"/>
              </w:rPr>
              <w:t>based on the provided information (document fragments 1,2,3,5,7,10,15), the surgical treatment strategy and prognostic factors for this 68-year-old patient with vulvar malignant melanoma are as follows:</w:t>
            </w:r>
            <w:r w:rsidRPr="00CB2EC4">
              <w:rPr>
                <w:rFonts w:ascii="Times New Roman" w:hAnsi="Times New Roman" w:cs="Times New Roman"/>
              </w:rPr>
              <w:br/>
            </w:r>
            <w:r w:rsidRPr="00CB2EC4">
              <w:rPr>
                <w:rFonts w:ascii="Times New Roman" w:hAnsi="Times New Roman" w:cs="Times New Roman"/>
              </w:rPr>
              <w:br/>
              <w:t>- surgical treatment strategy:</w:t>
            </w:r>
            <w:r w:rsidRPr="00CB2EC4">
              <w:rPr>
                <w:rFonts w:ascii="Times New Roman" w:hAnsi="Times New Roman" w:cs="Times New Roman"/>
              </w:rPr>
              <w:br/>
            </w:r>
            <w:r w:rsidRPr="00CB2EC4">
              <w:rPr>
                <w:rFonts w:ascii="Times New Roman" w:hAnsi="Times New Roman" w:cs="Times New Roman"/>
              </w:rPr>
              <w:lastRenderedPageBreak/>
              <w:t xml:space="preserve">  - local excision: tumor thickness is 3mm (within 1.51~3.0mm range), classified as intermediate thickness. "Expanded vulvectomy" or "local wide excision" is recommended instead of traditional radical vulvectomy (document fragment 1). the surgical margin should be 1~2cm from the lesion (document fragment 4). given the tumor location at the clitoris (central site), the procedure must cover the central area; partial vaginal or urethral preservation may be considered, but negative margins must be ensured (document fragment 3).</w:t>
            </w:r>
            <w:r w:rsidRPr="00CB2EC4">
              <w:rPr>
                <w:rFonts w:ascii="Times New Roman" w:hAnsi="Times New Roman" w:cs="Times New Roman"/>
              </w:rPr>
              <w:br/>
              <w:t xml:space="preserve">  - lymph node management: tumor thickness &gt;0.76mm (Clark level III) and central location (clitoris) indicate bilateral inguinal lymphadenectomy (document fragment 2). for tumors 1~4mm thick, sentinel lymph node biopsy (SLNB) may be considered to guide the extent of lymph node dissection; if positive, complete lymph node dissection is performed (document fragment 7).</w:t>
            </w:r>
            <w:r w:rsidRPr="00CB2EC4">
              <w:rPr>
                <w:rFonts w:ascii="Times New Roman" w:hAnsi="Times New Roman" w:cs="Times New Roman"/>
              </w:rPr>
              <w:br/>
              <w:t xml:space="preserve">  - summary of initial strategy: perform local wide excision with 1~2cm margins, combined with bilateral inguinal lymphadenectomy or sentinel lymph node biopsy (if feasible). postoperative adjuvant therapy (e.g., immunotherapy or radiotherapy) is required due to high-risk features of 3mm thickness and ulceration (document fragments 4,12).</w:t>
            </w:r>
            <w:r w:rsidRPr="00CB2EC4">
              <w:rPr>
                <w:rFonts w:ascii="Times New Roman" w:hAnsi="Times New Roman" w:cs="Times New Roman"/>
              </w:rPr>
              <w:br/>
            </w:r>
            <w:r w:rsidRPr="00CB2EC4">
              <w:rPr>
                <w:rFonts w:ascii="Times New Roman" w:hAnsi="Times New Roman" w:cs="Times New Roman"/>
              </w:rPr>
              <w:br/>
              <w:t>- unfavorable prognostic factors:</w:t>
            </w:r>
            <w:r w:rsidRPr="00CB2EC4">
              <w:rPr>
                <w:rFonts w:ascii="Times New Roman" w:hAnsi="Times New Roman" w:cs="Times New Roman"/>
              </w:rPr>
              <w:br/>
              <w:t xml:space="preserve">  the patient has the following adverse factors per document fragments 5 and 15:</w:t>
            </w:r>
            <w:r w:rsidRPr="00CB2EC4">
              <w:rPr>
                <w:rFonts w:ascii="Times New Roman" w:hAnsi="Times New Roman" w:cs="Times New Roman"/>
              </w:rPr>
              <w:br/>
              <w:t xml:space="preserve">  - advanced age (68 years): age is an independent risk factor; older age correlates with worse prognosis (GOG study shows age significantly increases recurrence risk).</w:t>
            </w:r>
            <w:r w:rsidRPr="00CB2EC4">
              <w:rPr>
                <w:rFonts w:ascii="Times New Roman" w:hAnsi="Times New Roman" w:cs="Times New Roman"/>
              </w:rPr>
              <w:br/>
            </w:r>
            <w:r w:rsidRPr="00CB2EC4">
              <w:rPr>
                <w:rFonts w:ascii="Times New Roman" w:hAnsi="Times New Roman" w:cs="Times New Roman"/>
              </w:rPr>
              <w:lastRenderedPageBreak/>
              <w:t xml:space="preserve">  - tumor location (central site): central location (e.g., clitoris) has significantly worse prognosis than lateral sites, with higher risk of bilateral lymph node metastasis.</w:t>
            </w:r>
            <w:r w:rsidRPr="00CB2EC4">
              <w:rPr>
                <w:rFonts w:ascii="Times New Roman" w:hAnsi="Times New Roman" w:cs="Times New Roman"/>
              </w:rPr>
              <w:br/>
              <w:t xml:space="preserve">  - ulceration: ulceration indicates rapid tumor progression and is a key marker for recurrence and reduced survival; 5-year survival rates with ulceration are 14.3%~40.5%, much lower than without ulceration.</w:t>
            </w:r>
            <w:r w:rsidRPr="00CB2EC4">
              <w:rPr>
                <w:rFonts w:ascii="Times New Roman" w:hAnsi="Times New Roman" w:cs="Times New Roman"/>
              </w:rPr>
              <w:br/>
              <w:t xml:space="preserve">  - tumor thickness (3mm): thickness &gt;2mm portends poorer prognosis (document fragment 5); 3mm thickness places the patient in a high-risk group with approximately 44% 10-year survival rate (document fragment 1).</w:t>
            </w:r>
            <w:r w:rsidRPr="00CB2EC4">
              <w:rPr>
                <w:rFonts w:ascii="Times New Roman" w:hAnsi="Times New Roman" w:cs="Times New Roman"/>
              </w:rPr>
              <w:br/>
              <w:t xml:space="preserve">  - other potential factors: high risk of lymph node metastasis (thickness &gt;0.76mm), possibly elevated mitotic rate (not directly reported, but increased thickness often accompanies this risk).</w:t>
            </w:r>
            <w:r w:rsidRPr="00CB2EC4">
              <w:rPr>
                <w:rFonts w:ascii="Times New Roman" w:hAnsi="Times New Roman" w:cs="Times New Roman"/>
              </w:rPr>
              <w:br/>
            </w:r>
            <w:r w:rsidRPr="00CB2EC4">
              <w:rPr>
                <w:rFonts w:ascii="Times New Roman" w:hAnsi="Times New Roman" w:cs="Times New Roman"/>
              </w:rPr>
              <w:br/>
              <w:t>in summary, this patient requires aggressive surgery and consideration of postoperative adjuvant therapy to improve prognosis.</w:t>
            </w:r>
          </w:p>
        </w:tc>
        <w:tc>
          <w:tcPr>
            <w:tcW w:w="1152" w:type="dxa"/>
            <w:vAlign w:val="center"/>
          </w:tcPr>
          <w:p w14:paraId="435B5E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33A76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4D411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52AD9F8" w14:textId="77777777">
        <w:tc>
          <w:tcPr>
            <w:tcW w:w="2160" w:type="dxa"/>
            <w:vAlign w:val="center"/>
          </w:tcPr>
          <w:p w14:paraId="02DE193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1D78EAA1" w14:textId="77777777" w:rsidR="00922249" w:rsidRPr="00CB2EC4" w:rsidRDefault="003011D5">
            <w:pPr>
              <w:rPr>
                <w:rFonts w:ascii="Times New Roman" w:hAnsi="Times New Roman" w:cs="Times New Roman"/>
              </w:rPr>
            </w:pPr>
            <w:r w:rsidRPr="00CB2EC4">
              <w:rPr>
                <w:rFonts w:ascii="Times New Roman" w:hAnsi="Times New Roman" w:cs="Times New Roman"/>
              </w:rPr>
              <w:t>based on the provided information, the initial surgical treatment strategy and prognostic factors for the 68-year-old patient with vulvar malignant melanoma are as follows:</w:t>
            </w:r>
            <w:r w:rsidRPr="00CB2EC4">
              <w:rPr>
                <w:rFonts w:ascii="Times New Roman" w:hAnsi="Times New Roman" w:cs="Times New Roman"/>
              </w:rPr>
              <w:br/>
            </w:r>
            <w:r w:rsidRPr="00CB2EC4">
              <w:rPr>
                <w:rFonts w:ascii="Times New Roman" w:hAnsi="Times New Roman" w:cs="Times New Roman"/>
              </w:rPr>
              <w:br/>
              <w:t>- surgical treatment strategy (local excision and lymph node management):</w:t>
            </w:r>
            <w:r w:rsidRPr="00CB2EC4">
              <w:rPr>
                <w:rFonts w:ascii="Times New Roman" w:hAnsi="Times New Roman" w:cs="Times New Roman"/>
              </w:rPr>
              <w:br/>
              <w:t xml:space="preserve">  - given the tumor thickness of 3mm (within the 1-4mm range), an expanded vulvectomy with a margin greater than 2cm from the lesion is recommended.</w:t>
            </w:r>
            <w:r w:rsidRPr="00CB2EC4">
              <w:rPr>
                <w:rFonts w:ascii="Times New Roman" w:hAnsi="Times New Roman" w:cs="Times New Roman"/>
              </w:rPr>
              <w:br/>
              <w:t xml:space="preserve">  - lymph node management: since there is no clear clinical evidence of inguinal lymph node metastasis </w:t>
            </w:r>
            <w:r w:rsidRPr="00CB2EC4">
              <w:rPr>
                <w:rFonts w:ascii="Times New Roman" w:hAnsi="Times New Roman" w:cs="Times New Roman"/>
              </w:rPr>
              <w:lastRenderedPageBreak/>
              <w:t>(e.g., palpable lymphadenopathy or imaging abnormalities), routine lymph node dissection is not recommended. however, if clinical evidence of lymph node metastasis is present, an inguinal lymphadenectomy should be added. the text states: "the surgical treatment of vulvar MM is recommended to adopt local excision; if there is clinical evidence of inguinal lymph node metastasis, add inguinal lymph node dissection" (fragment 5).</w:t>
            </w:r>
            <w:r w:rsidRPr="00CB2EC4">
              <w:rPr>
                <w:rFonts w:ascii="Times New Roman" w:hAnsi="Times New Roman" w:cs="Times New Roman"/>
              </w:rPr>
              <w:br/>
              <w:t xml:space="preserve">  - initial strategy: considering the tumor is located at the clitoris (central site) and has a thickness of 3mm, wide local excision should be prioritized. lymph node management should be based on preoperative assessment (e.g., imaging or clinical examination); if no evidence of metastasis is found, lymph node dissection may be deferred, but close monitoring is required.</w:t>
            </w:r>
            <w:r w:rsidRPr="00CB2EC4">
              <w:rPr>
                <w:rFonts w:ascii="Times New Roman" w:hAnsi="Times New Roman" w:cs="Times New Roman"/>
              </w:rPr>
              <w:br/>
            </w:r>
            <w:r w:rsidRPr="00CB2EC4">
              <w:rPr>
                <w:rFonts w:ascii="Times New Roman" w:hAnsi="Times New Roman" w:cs="Times New Roman"/>
              </w:rPr>
              <w:br/>
              <w:t>- adverse prognostic factors:</w:t>
            </w:r>
            <w:r w:rsidRPr="00CB2EC4">
              <w:rPr>
                <w:rFonts w:ascii="Times New Roman" w:hAnsi="Times New Roman" w:cs="Times New Roman"/>
              </w:rPr>
              <w:br/>
              <w:t xml:space="preserve">  - the patient has the following adverse factors as specified in the text:</w:t>
            </w:r>
            <w:r w:rsidRPr="00CB2EC4">
              <w:rPr>
                <w:rFonts w:ascii="Times New Roman" w:hAnsi="Times New Roman" w:cs="Times New Roman"/>
              </w:rPr>
              <w:br/>
              <w:t xml:space="preserve">    - advanced age: the patient is 68 years old, and the text notes that "age is a significant independent risk factor for survival in vulvar melanoma patients, with older age associated with worse prognosis" (fragment 5).</w:t>
            </w:r>
            <w:r w:rsidRPr="00CB2EC4">
              <w:rPr>
                <w:rFonts w:ascii="Times New Roman" w:hAnsi="Times New Roman" w:cs="Times New Roman"/>
              </w:rPr>
              <w:br/>
              <w:t xml:space="preserve">    - central tumor location: the tumor is located at the clitoris (central site), and the text states that "prognosis for central site tumors is significantly worse than for lateral sites" (fragment 5).</w:t>
            </w:r>
            <w:r w:rsidRPr="00CB2EC4">
              <w:rPr>
                <w:rFonts w:ascii="Times New Roman" w:hAnsi="Times New Roman" w:cs="Times New Roman"/>
              </w:rPr>
              <w:br/>
              <w:t xml:space="preserve">    - surface ulceration: the pathology report indicates surface ulceration, which the text lists as an adverse prognostic factor (fragment 5).</w:t>
            </w:r>
            <w:r w:rsidRPr="00CB2EC4">
              <w:rPr>
                <w:rFonts w:ascii="Times New Roman" w:hAnsi="Times New Roman" w:cs="Times New Roman"/>
              </w:rPr>
              <w:br/>
              <w:t xml:space="preserve">    - tumor thickness &gt;2mm: the thickness is 3mm </w:t>
            </w:r>
            <w:r w:rsidRPr="00CB2EC4">
              <w:rPr>
                <w:rFonts w:ascii="Times New Roman" w:hAnsi="Times New Roman" w:cs="Times New Roman"/>
              </w:rPr>
              <w:lastRenderedPageBreak/>
              <w:t>(&gt;2mm), and the text notes that "patients with tumor thickness &lt;2mm have better outcomes than those with &gt;2mm" (fragment 5).</w:t>
            </w:r>
            <w:r w:rsidRPr="00CB2EC4">
              <w:rPr>
                <w:rFonts w:ascii="Times New Roman" w:hAnsi="Times New Roman" w:cs="Times New Roman"/>
              </w:rPr>
              <w:br/>
              <w:t xml:space="preserve">  - other potential adverse factors mentioned in the text (though not directly applicable to this patient) include growth pattern (e.g., nodular type has worse prognosis) and cell type (e.g., pleomorphic type has worse prognosis).</w:t>
            </w:r>
            <w:r w:rsidRPr="00CB2EC4">
              <w:rPr>
                <w:rFonts w:ascii="Times New Roman" w:hAnsi="Times New Roman" w:cs="Times New Roman"/>
              </w:rPr>
              <w:br/>
            </w:r>
            <w:r w:rsidRPr="00CB2EC4">
              <w:rPr>
                <w:rFonts w:ascii="Times New Roman" w:hAnsi="Times New Roman" w:cs="Times New Roman"/>
              </w:rPr>
              <w:br/>
              <w:t>in summary, the initial surgical strategy for this patient is wide local excision (margin 1-2cm), with lymph node management individualized based on assessment; adverse prognostic factors include advanced age, central location, surface ulceration, and tumor thickness &gt;2mm.</w:t>
            </w:r>
          </w:p>
        </w:tc>
        <w:tc>
          <w:tcPr>
            <w:tcW w:w="1152" w:type="dxa"/>
            <w:vAlign w:val="center"/>
          </w:tcPr>
          <w:p w14:paraId="42CDF2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1CC3C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3497C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0CAD32B" w14:textId="77777777">
        <w:tc>
          <w:tcPr>
            <w:tcW w:w="2160" w:type="dxa"/>
            <w:vAlign w:val="center"/>
          </w:tcPr>
          <w:p w14:paraId="07F8E7D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72E320E8" w14:textId="77777777" w:rsidR="00922249" w:rsidRPr="00CB2EC4" w:rsidRDefault="003011D5">
            <w:pPr>
              <w:rPr>
                <w:rFonts w:ascii="Times New Roman" w:hAnsi="Times New Roman" w:cs="Times New Roman"/>
              </w:rPr>
            </w:pPr>
            <w:r w:rsidRPr="00CB2EC4">
              <w:rPr>
                <w:rFonts w:ascii="Times New Roman" w:hAnsi="Times New Roman" w:cs="Times New Roman"/>
              </w:rPr>
              <w:t>surgical treatment strategies for vulvar malignant melanoma and prognostic unfavorable factors</w:t>
            </w:r>
            <w:r w:rsidRPr="00CB2EC4">
              <w:rPr>
                <w:rFonts w:ascii="Times New Roman" w:hAnsi="Times New Roman" w:cs="Times New Roman"/>
              </w:rPr>
              <w:br/>
            </w:r>
            <w:r w:rsidRPr="00CB2EC4">
              <w:rPr>
                <w:rFonts w:ascii="Times New Roman" w:hAnsi="Times New Roman" w:cs="Times New Roman"/>
              </w:rPr>
              <w:br/>
              <w:t>- Surgical treatment strategies:</w:t>
            </w:r>
            <w:r w:rsidRPr="00CB2EC4">
              <w:rPr>
                <w:rFonts w:ascii="Times New Roman" w:hAnsi="Times New Roman" w:cs="Times New Roman"/>
              </w:rPr>
              <w:br/>
              <w:t xml:space="preserve">  - Local excision: Wide local excision is recommended. Given a tumor thickness of 3 mm (classified as high-risk), the surgical margin should be at least 2 cm to ensure adequate resection. Due to the tumor's location at the clitoris (a central site), surgery should aim to preserve functional structures; however, radical resection remains the primary goal.</w:t>
            </w:r>
            <w:r w:rsidRPr="00CB2EC4">
              <w:rPr>
                <w:rFonts w:ascii="Times New Roman" w:hAnsi="Times New Roman" w:cs="Times New Roman"/>
              </w:rPr>
              <w:br/>
              <w:t xml:space="preserve">  - Lymph node management: Sentinel lymph node biopsy (SLNB) is recommended. If the sentinel lymph node is positive, completion inguinal lymph node dissection should be performed; if negative, unnecessary dissection can be avoided to reduce complications.</w:t>
            </w:r>
            <w:r w:rsidRPr="00CB2EC4">
              <w:rPr>
                <w:rFonts w:ascii="Times New Roman" w:hAnsi="Times New Roman" w:cs="Times New Roman"/>
              </w:rPr>
              <w:br/>
              <w:t xml:space="preserve">- Prognostic unfavorable factors: Based on tumor characteristics, the prognostic unfavorable factors in </w:t>
            </w:r>
            <w:r w:rsidRPr="00CB2EC4">
              <w:rPr>
                <w:rFonts w:ascii="Times New Roman" w:hAnsi="Times New Roman" w:cs="Times New Roman"/>
              </w:rPr>
              <w:lastRenderedPageBreak/>
              <w:t>this case include:</w:t>
            </w:r>
            <w:r w:rsidRPr="00CB2EC4">
              <w:rPr>
                <w:rFonts w:ascii="Times New Roman" w:hAnsi="Times New Roman" w:cs="Times New Roman"/>
              </w:rPr>
              <w:br/>
              <w:t xml:space="preserve">  - Tumor thickness ≥1 mm (3 mm in this case, indicating deep infiltration).</w:t>
            </w:r>
            <w:r w:rsidRPr="00CB2EC4">
              <w:rPr>
                <w:rFonts w:ascii="Times New Roman" w:hAnsi="Times New Roman" w:cs="Times New Roman"/>
              </w:rPr>
              <w:br/>
              <w:t xml:space="preserve">  - Presence of surface ulceration (suggesting high tumor invasiveness).</w:t>
            </w:r>
            <w:r w:rsidRPr="00CB2EC4">
              <w:rPr>
                <w:rFonts w:ascii="Times New Roman" w:hAnsi="Times New Roman" w:cs="Times New Roman"/>
              </w:rPr>
              <w:br/>
              <w:t xml:space="preserve">  - Tumor located at the clitoris (central site, complex anatomy, high recurrence risk, and difficulty in achieving clear surgical margins).</w:t>
            </w:r>
            <w:r w:rsidRPr="00CB2EC4">
              <w:rPr>
                <w:rFonts w:ascii="Times New Roman" w:hAnsi="Times New Roman" w:cs="Times New Roman"/>
              </w:rPr>
              <w:br/>
              <w:t xml:space="preserve">  - Advanced patient age (68 years, potentially affecting immune response and recovery).</w:t>
            </w:r>
          </w:p>
        </w:tc>
        <w:tc>
          <w:tcPr>
            <w:tcW w:w="1152" w:type="dxa"/>
            <w:vAlign w:val="center"/>
          </w:tcPr>
          <w:p w14:paraId="0E7263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5605C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CB5D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76934A0" w14:textId="77777777">
        <w:tc>
          <w:tcPr>
            <w:tcW w:w="10656" w:type="dxa"/>
            <w:gridSpan w:val="5"/>
            <w:tcBorders>
              <w:bottom w:val="single" w:sz="6" w:space="0" w:color="auto"/>
            </w:tcBorders>
            <w:vAlign w:val="center"/>
          </w:tcPr>
          <w:p w14:paraId="1013EC9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157: What is the most common site of recurrence for vulvar melanoma?</w:t>
            </w:r>
          </w:p>
        </w:tc>
      </w:tr>
      <w:tr w:rsidR="00922249" w:rsidRPr="00CB2EC4" w14:paraId="159ECB16" w14:textId="77777777">
        <w:tc>
          <w:tcPr>
            <w:tcW w:w="2160" w:type="dxa"/>
            <w:vAlign w:val="center"/>
          </w:tcPr>
          <w:p w14:paraId="4A14C60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9FEB817" w14:textId="77777777" w:rsidR="00922249" w:rsidRPr="00CB2EC4" w:rsidRDefault="003011D5">
            <w:pPr>
              <w:rPr>
                <w:rFonts w:ascii="Times New Roman" w:hAnsi="Times New Roman" w:cs="Times New Roman"/>
              </w:rPr>
            </w:pPr>
            <w:r w:rsidRPr="00CB2EC4">
              <w:rPr>
                <w:rFonts w:ascii="Times New Roman" w:hAnsi="Times New Roman" w:cs="Times New Roman"/>
              </w:rPr>
              <w:t>the most common sites of recurrence for vulvar melanoma are the vulva and vagina.</w:t>
            </w:r>
          </w:p>
        </w:tc>
        <w:tc>
          <w:tcPr>
            <w:tcW w:w="1152" w:type="dxa"/>
            <w:vAlign w:val="center"/>
          </w:tcPr>
          <w:p w14:paraId="5BE91C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8EDB1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1C109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28F666" w14:textId="77777777">
        <w:tc>
          <w:tcPr>
            <w:tcW w:w="2160" w:type="dxa"/>
            <w:vAlign w:val="center"/>
          </w:tcPr>
          <w:p w14:paraId="07E1CC8F"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C713AF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most common sites of recurrence for vulvar malignant melanoma are the vulva and vagina.  </w:t>
            </w:r>
            <w:r w:rsidRPr="00CB2EC4">
              <w:rPr>
                <w:rFonts w:ascii="Times New Roman" w:hAnsi="Times New Roman" w:cs="Times New Roman"/>
              </w:rPr>
              <w:br/>
              <w:t xml:space="preserve">- Specifically, according to block 449 (Prognostic Factors for Malignant Melanoma), the recurrence rate of vulvar melanoma is 51% to 93%, with the vulva and vagina being the most frequent sites of recurrence, followed by the inguinal region. Distant metastasis occurs in 3% to 40% of cases, most commonly to the lungs, bones, liver, and brain.  </w:t>
            </w:r>
            <w:r w:rsidRPr="00CB2EC4">
              <w:rPr>
                <w:rFonts w:ascii="Times New Roman" w:hAnsi="Times New Roman" w:cs="Times New Roman"/>
              </w:rPr>
              <w:br/>
              <w:t>- Therefore, local recurrence (vulva and vagina) is the most common, followed by the inguinal lymph node area.</w:t>
            </w:r>
          </w:p>
        </w:tc>
        <w:tc>
          <w:tcPr>
            <w:tcW w:w="1152" w:type="dxa"/>
            <w:vAlign w:val="center"/>
          </w:tcPr>
          <w:p w14:paraId="1EEF74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569A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641F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1C0EE0" w14:textId="77777777">
        <w:tc>
          <w:tcPr>
            <w:tcW w:w="2160" w:type="dxa"/>
            <w:vAlign w:val="center"/>
          </w:tcPr>
          <w:p w14:paraId="56818F3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35FAA50" w14:textId="77777777" w:rsidR="00922249" w:rsidRPr="00CB2EC4" w:rsidRDefault="003011D5">
            <w:pPr>
              <w:rPr>
                <w:rFonts w:ascii="Times New Roman" w:hAnsi="Times New Roman" w:cs="Times New Roman"/>
              </w:rPr>
            </w:pPr>
            <w:r w:rsidRPr="00CB2EC4">
              <w:rPr>
                <w:rFonts w:ascii="Times New Roman" w:hAnsi="Times New Roman" w:cs="Times New Roman"/>
              </w:rPr>
              <w:t>the most common sites of recurrence for vulvar melanoma are the vulva and vagina.</w:t>
            </w:r>
          </w:p>
        </w:tc>
        <w:tc>
          <w:tcPr>
            <w:tcW w:w="1152" w:type="dxa"/>
            <w:vAlign w:val="center"/>
          </w:tcPr>
          <w:p w14:paraId="481592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A352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A3FC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9A54135" w14:textId="77777777">
        <w:tc>
          <w:tcPr>
            <w:tcW w:w="2160" w:type="dxa"/>
            <w:vAlign w:val="center"/>
          </w:tcPr>
          <w:p w14:paraId="2F7391ED"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FB1EFC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most common sites of recurrence for vulvar melanoma are the vulva itself and the vagina, followed by the inguinal region.  </w:t>
            </w:r>
            <w:r w:rsidRPr="00CB2EC4">
              <w:rPr>
                <w:rFonts w:ascii="Times New Roman" w:hAnsi="Times New Roman" w:cs="Times New Roman"/>
              </w:rPr>
              <w:br/>
              <w:t xml:space="preserve">Basis:  </w:t>
            </w:r>
            <w:r w:rsidRPr="00CB2EC4">
              <w:rPr>
                <w:rFonts w:ascii="Times New Roman" w:hAnsi="Times New Roman" w:cs="Times New Roman"/>
              </w:rPr>
              <w:br/>
              <w:t xml:space="preserve">- The knowledge base document explicitly states: "The recurrence rate of vulvar melanoma ranges from </w:t>
            </w:r>
            <w:r w:rsidRPr="00CB2EC4">
              <w:rPr>
                <w:rFonts w:ascii="Times New Roman" w:hAnsi="Times New Roman" w:cs="Times New Roman"/>
              </w:rPr>
              <w:lastRenderedPageBreak/>
              <w:t xml:space="preserve">51% to 93%, with the most common sites of recurrence being the vulva and vagina, followed by the inguinal region. Distant metastases occur in 3% to 40% of cases, with the most common metastatic sites being the lungs, bones, liver, and brain" (knowledge base document block).  </w:t>
            </w:r>
            <w:r w:rsidRPr="00CB2EC4">
              <w:rPr>
                <w:rFonts w:ascii="Times New Roman" w:hAnsi="Times New Roman" w:cs="Times New Roman"/>
              </w:rPr>
              <w:br/>
              <w:t xml:space="preserve">- Online search results do not directly supplement information on recurrence sites but support the content of the knowledge base without contradiction.  </w:t>
            </w:r>
            <w:r w:rsidRPr="00CB2EC4">
              <w:rPr>
                <w:rFonts w:ascii="Times New Roman" w:hAnsi="Times New Roman" w:cs="Times New Roman"/>
              </w:rPr>
              <w:br/>
              <w:t>Source: Knowledge base document (dominant). Information on recurrence sites is consistent and uncontroversial.</w:t>
            </w:r>
          </w:p>
        </w:tc>
        <w:tc>
          <w:tcPr>
            <w:tcW w:w="1152" w:type="dxa"/>
            <w:vAlign w:val="center"/>
          </w:tcPr>
          <w:p w14:paraId="6849D9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43096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1988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5AEA19" w14:textId="77777777">
        <w:tc>
          <w:tcPr>
            <w:tcW w:w="2160" w:type="dxa"/>
            <w:vAlign w:val="center"/>
          </w:tcPr>
          <w:p w14:paraId="53C378C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CFE35B4" w14:textId="77777777" w:rsidR="00922249" w:rsidRPr="00CB2EC4" w:rsidRDefault="003011D5">
            <w:pPr>
              <w:rPr>
                <w:rFonts w:ascii="Times New Roman" w:hAnsi="Times New Roman" w:cs="Times New Roman"/>
              </w:rPr>
            </w:pPr>
            <w:r w:rsidRPr="00CB2EC4">
              <w:rPr>
                <w:rFonts w:ascii="Times New Roman" w:hAnsi="Times New Roman" w:cs="Times New Roman"/>
              </w:rPr>
              <w:t>the most common sites of recurrence for vulvar melanoma are the vulva and vagina.</w:t>
            </w:r>
            <w:r w:rsidRPr="00CB2EC4">
              <w:rPr>
                <w:rFonts w:ascii="Times New Roman" w:hAnsi="Times New Roman" w:cs="Times New Roman"/>
              </w:rPr>
              <w:br/>
            </w:r>
            <w:r w:rsidRPr="00CB2EC4">
              <w:rPr>
                <w:rFonts w:ascii="Times New Roman" w:hAnsi="Times New Roman" w:cs="Times New Roman"/>
              </w:rPr>
              <w:br/>
              <w:t>- Document fragment 4 explicitly states: "The recurrence rate of vulvar melanoma is 51%~93%, with the most common sites of recurrence being the vulva and vagina, followed by the inguinal region."</w:t>
            </w:r>
            <w:r w:rsidRPr="00CB2EC4">
              <w:rPr>
                <w:rFonts w:ascii="Times New Roman" w:hAnsi="Times New Roman" w:cs="Times New Roman"/>
              </w:rPr>
              <w:br/>
              <w:t>- Therefore, the most common sites of recurrence are the vulva and vagina.</w:t>
            </w:r>
          </w:p>
        </w:tc>
        <w:tc>
          <w:tcPr>
            <w:tcW w:w="1152" w:type="dxa"/>
            <w:vAlign w:val="center"/>
          </w:tcPr>
          <w:p w14:paraId="0F5EFD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1FB5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722D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9096E96" w14:textId="77777777">
        <w:tc>
          <w:tcPr>
            <w:tcW w:w="2160" w:type="dxa"/>
            <w:vAlign w:val="center"/>
          </w:tcPr>
          <w:p w14:paraId="1AD39AD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2E84189" w14:textId="77777777" w:rsidR="00922249" w:rsidRPr="00CB2EC4" w:rsidRDefault="003011D5">
            <w:pPr>
              <w:rPr>
                <w:rFonts w:ascii="Times New Roman" w:hAnsi="Times New Roman" w:cs="Times New Roman"/>
              </w:rPr>
            </w:pPr>
            <w:r w:rsidRPr="00CB2EC4">
              <w:rPr>
                <w:rFonts w:ascii="Times New Roman" w:hAnsi="Times New Roman" w:cs="Times New Roman"/>
              </w:rPr>
              <w:t>the most common sites of recurrence for vulvar melanoma are the vulva and vagina.</w:t>
            </w:r>
          </w:p>
        </w:tc>
        <w:tc>
          <w:tcPr>
            <w:tcW w:w="1152" w:type="dxa"/>
            <w:vAlign w:val="center"/>
          </w:tcPr>
          <w:p w14:paraId="632702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8F52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49E6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1B6A25" w14:textId="77777777">
        <w:tc>
          <w:tcPr>
            <w:tcW w:w="2160" w:type="dxa"/>
            <w:vAlign w:val="center"/>
          </w:tcPr>
          <w:p w14:paraId="49E4292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10B09D7" w14:textId="77777777" w:rsidR="00922249" w:rsidRPr="00CB2EC4" w:rsidRDefault="003011D5">
            <w:pPr>
              <w:rPr>
                <w:rFonts w:ascii="Times New Roman" w:hAnsi="Times New Roman" w:cs="Times New Roman"/>
              </w:rPr>
            </w:pPr>
            <w:r w:rsidRPr="00CB2EC4">
              <w:rPr>
                <w:rFonts w:ascii="Times New Roman" w:hAnsi="Times New Roman" w:cs="Times New Roman"/>
              </w:rPr>
              <w:t>the most common sites of recurrence for vulvar melanoma are the vulva and vagina. According to the document, the recurrence rate of vulvar melanoma is 51% to 93%, with the vulva and vagina being the most frequent sites of recurrence, followed by the groin. Therefore, recurrence most commonly occurs in the primary site area (vulva) and the adjacent vagina.</w:t>
            </w:r>
          </w:p>
        </w:tc>
        <w:tc>
          <w:tcPr>
            <w:tcW w:w="1152" w:type="dxa"/>
            <w:vAlign w:val="center"/>
          </w:tcPr>
          <w:p w14:paraId="2F856D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B54D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6880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0AF8F5" w14:textId="77777777">
        <w:tc>
          <w:tcPr>
            <w:tcW w:w="2160" w:type="dxa"/>
            <w:vAlign w:val="center"/>
          </w:tcPr>
          <w:p w14:paraId="3CC3D61F"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FFA4472" w14:textId="77777777" w:rsidR="00922249" w:rsidRPr="00CB2EC4" w:rsidRDefault="003011D5">
            <w:pPr>
              <w:rPr>
                <w:rFonts w:ascii="Times New Roman" w:hAnsi="Times New Roman" w:cs="Times New Roman"/>
              </w:rPr>
            </w:pPr>
            <w:r w:rsidRPr="00CB2EC4">
              <w:rPr>
                <w:rFonts w:ascii="Times New Roman" w:hAnsi="Times New Roman" w:cs="Times New Roman"/>
              </w:rPr>
              <w:t>the most common sites of recurrence for vulvar melanoma are the vulva and vagina.</w:t>
            </w:r>
          </w:p>
        </w:tc>
        <w:tc>
          <w:tcPr>
            <w:tcW w:w="1152" w:type="dxa"/>
            <w:vAlign w:val="center"/>
          </w:tcPr>
          <w:p w14:paraId="7F2093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C541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7171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3A4DD6" w14:textId="77777777">
        <w:tc>
          <w:tcPr>
            <w:tcW w:w="2160" w:type="dxa"/>
            <w:vAlign w:val="center"/>
          </w:tcPr>
          <w:p w14:paraId="23FDA4F3"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4ADBED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most common sites of recurrence for vulvar </w:t>
            </w:r>
            <w:r w:rsidRPr="00CB2EC4">
              <w:rPr>
                <w:rFonts w:ascii="Times New Roman" w:hAnsi="Times New Roman" w:cs="Times New Roman"/>
              </w:rPr>
              <w:lastRenderedPageBreak/>
              <w:t>melanoma are the vulva and vagina. According to the source, the recurrence rate of vulvar melanoma is 51% to 93%, with the vulva and vagina being the most frequent sites of recurrence, followed by the inguinal region.</w:t>
            </w:r>
          </w:p>
        </w:tc>
        <w:tc>
          <w:tcPr>
            <w:tcW w:w="1152" w:type="dxa"/>
            <w:vAlign w:val="center"/>
          </w:tcPr>
          <w:p w14:paraId="288014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491FD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AE4F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19C3E2" w14:textId="77777777">
        <w:tc>
          <w:tcPr>
            <w:tcW w:w="2160" w:type="dxa"/>
            <w:vAlign w:val="center"/>
          </w:tcPr>
          <w:p w14:paraId="20C8FD76"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9B04EDD" w14:textId="77777777" w:rsidR="00922249" w:rsidRPr="00CB2EC4" w:rsidRDefault="003011D5">
            <w:pPr>
              <w:rPr>
                <w:rFonts w:ascii="Times New Roman" w:hAnsi="Times New Roman" w:cs="Times New Roman"/>
              </w:rPr>
            </w:pPr>
            <w:r w:rsidRPr="00CB2EC4">
              <w:rPr>
                <w:rFonts w:ascii="Times New Roman" w:hAnsi="Times New Roman" w:cs="Times New Roman"/>
              </w:rPr>
              <w:t>the most common sites of recurrence for vulvar melanoma are the vulva itself and the vagina.</w:t>
            </w:r>
            <w:r w:rsidRPr="00CB2EC4">
              <w:rPr>
                <w:rFonts w:ascii="Times New Roman" w:hAnsi="Times New Roman" w:cs="Times New Roman"/>
              </w:rPr>
              <w:br/>
            </w:r>
            <w:r w:rsidRPr="00CB2EC4">
              <w:rPr>
                <w:rFonts w:ascii="Times New Roman" w:hAnsi="Times New Roman" w:cs="Times New Roman"/>
              </w:rPr>
              <w:br/>
              <w:t>based on the document content:</w:t>
            </w:r>
            <w:r w:rsidRPr="00CB2EC4">
              <w:rPr>
                <w:rFonts w:ascii="Times New Roman" w:hAnsi="Times New Roman" w:cs="Times New Roman"/>
              </w:rPr>
              <w:br/>
              <w:t>- the recurrence rate of vulvar melanoma is 51%~93%, and the most frequent sites of recurrence are the vulva and vagina, followed by the groin.</w:t>
            </w:r>
            <w:r w:rsidRPr="00CB2EC4">
              <w:rPr>
                <w:rFonts w:ascii="Times New Roman" w:hAnsi="Times New Roman" w:cs="Times New Roman"/>
              </w:rPr>
              <w:br/>
              <w:t>- other common sites: distant metastases often occur in the lungs, bones, liver, brain, and other organs, but recurrence is primarily local (vulva and vagina).</w:t>
            </w:r>
          </w:p>
        </w:tc>
        <w:tc>
          <w:tcPr>
            <w:tcW w:w="1152" w:type="dxa"/>
            <w:vAlign w:val="center"/>
          </w:tcPr>
          <w:p w14:paraId="5BCE5A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751D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062D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241138" w14:textId="77777777">
        <w:tc>
          <w:tcPr>
            <w:tcW w:w="2160" w:type="dxa"/>
            <w:vAlign w:val="center"/>
          </w:tcPr>
          <w:p w14:paraId="357C9E14"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8C92B1A" w14:textId="77777777" w:rsidR="00922249" w:rsidRPr="00CB2EC4" w:rsidRDefault="003011D5">
            <w:pPr>
              <w:rPr>
                <w:rFonts w:ascii="Times New Roman" w:hAnsi="Times New Roman" w:cs="Times New Roman"/>
              </w:rPr>
            </w:pPr>
            <w:r w:rsidRPr="00CB2EC4">
              <w:rPr>
                <w:rFonts w:ascii="Times New Roman" w:hAnsi="Times New Roman" w:cs="Times New Roman"/>
              </w:rPr>
              <w:t>the most common site of recurrence for vulvar melanoma is the vulva and vagina, followed by the groin. Specific data: the recurrence rate ranges from 51% to 93%, with the vulva and vagina being the most frequent sites of recurrence (document source: [Similarity: 0.584]).</w:t>
            </w:r>
          </w:p>
        </w:tc>
        <w:tc>
          <w:tcPr>
            <w:tcW w:w="1152" w:type="dxa"/>
            <w:vAlign w:val="center"/>
          </w:tcPr>
          <w:p w14:paraId="288743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2297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11E8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D56329" w14:textId="77777777">
        <w:tc>
          <w:tcPr>
            <w:tcW w:w="2160" w:type="dxa"/>
            <w:vAlign w:val="center"/>
          </w:tcPr>
          <w:p w14:paraId="06B56CFC"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922B8A4" w14:textId="77777777" w:rsidR="00922249" w:rsidRPr="00CB2EC4" w:rsidRDefault="003011D5">
            <w:pPr>
              <w:rPr>
                <w:rFonts w:ascii="Times New Roman" w:hAnsi="Times New Roman" w:cs="Times New Roman"/>
              </w:rPr>
            </w:pPr>
            <w:r w:rsidRPr="00CB2EC4">
              <w:rPr>
                <w:rFonts w:ascii="Times New Roman" w:hAnsi="Times New Roman" w:cs="Times New Roman"/>
              </w:rPr>
              <w:t>the most common sites of recurrence for vulvar melanoma are the vulva and vagina. According to the provided information, recurrence rates range from 51% to 93%, with the vulva and vagina being the most frequent locations, followed by the inguinal region. Distant metastases (e.g., lung, liver, bone) are less common but associated with poor prognosis when they occur. This pattern aligns with the tumor's local invasiveness and lymphatic spread characteristics.</w:t>
            </w:r>
          </w:p>
        </w:tc>
        <w:tc>
          <w:tcPr>
            <w:tcW w:w="1152" w:type="dxa"/>
            <w:vAlign w:val="center"/>
          </w:tcPr>
          <w:p w14:paraId="441255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5990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07C9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11B3D6" w14:textId="77777777">
        <w:tc>
          <w:tcPr>
            <w:tcW w:w="2160" w:type="dxa"/>
            <w:vAlign w:val="center"/>
          </w:tcPr>
          <w:p w14:paraId="6B4A03BE"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17E86CA" w14:textId="77777777" w:rsidR="00922249" w:rsidRPr="00CB2EC4" w:rsidRDefault="003011D5">
            <w:pPr>
              <w:rPr>
                <w:rFonts w:ascii="Times New Roman" w:hAnsi="Times New Roman" w:cs="Times New Roman"/>
              </w:rPr>
            </w:pPr>
            <w:r w:rsidRPr="00CB2EC4">
              <w:rPr>
                <w:rFonts w:ascii="Times New Roman" w:hAnsi="Times New Roman" w:cs="Times New Roman"/>
              </w:rPr>
              <w:t>the most common sites of recurrence for vulvar melanoma are the vulva and vagina (equally most frequent), followed by the inguinal region.</w:t>
            </w:r>
          </w:p>
        </w:tc>
        <w:tc>
          <w:tcPr>
            <w:tcW w:w="1152" w:type="dxa"/>
            <w:vAlign w:val="center"/>
          </w:tcPr>
          <w:p w14:paraId="3E05A3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4F5E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4D84D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3AEB47" w14:textId="77777777">
        <w:tc>
          <w:tcPr>
            <w:tcW w:w="2160" w:type="dxa"/>
            <w:vAlign w:val="center"/>
          </w:tcPr>
          <w:p w14:paraId="272CDBC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7EF9371D" w14:textId="77777777" w:rsidR="00922249" w:rsidRPr="00CB2EC4" w:rsidRDefault="003011D5">
            <w:pPr>
              <w:rPr>
                <w:rFonts w:ascii="Times New Roman" w:hAnsi="Times New Roman" w:cs="Times New Roman"/>
              </w:rPr>
            </w:pPr>
            <w:r w:rsidRPr="00CB2EC4">
              <w:rPr>
                <w:rFonts w:ascii="Times New Roman" w:hAnsi="Times New Roman" w:cs="Times New Roman"/>
              </w:rPr>
              <w:t>the most common sites of recurrence for vulvar melanoma are:</w:t>
            </w:r>
            <w:r w:rsidRPr="00CB2EC4">
              <w:rPr>
                <w:rFonts w:ascii="Times New Roman" w:hAnsi="Times New Roman" w:cs="Times New Roman"/>
              </w:rPr>
              <w:br/>
              <w:t>- Local recurrence (at the primary tumor site, such as the vulvar skin or mucosa).</w:t>
            </w:r>
            <w:r w:rsidRPr="00CB2EC4">
              <w:rPr>
                <w:rFonts w:ascii="Times New Roman" w:hAnsi="Times New Roman" w:cs="Times New Roman"/>
              </w:rPr>
              <w:br/>
              <w:t>- Regional lymph node recurrence (inguinal or pelvic lymph nodes).</w:t>
            </w:r>
            <w:r w:rsidRPr="00CB2EC4">
              <w:rPr>
                <w:rFonts w:ascii="Times New Roman" w:hAnsi="Times New Roman" w:cs="Times New Roman"/>
              </w:rPr>
              <w:br/>
              <w:t>Literature emphasizes that local recurrence predominates, followed by regional lymph node involvement, which is related to the lymphatic drainage characteristics of the tumor.</w:t>
            </w:r>
          </w:p>
        </w:tc>
        <w:tc>
          <w:tcPr>
            <w:tcW w:w="1152" w:type="dxa"/>
            <w:vAlign w:val="center"/>
          </w:tcPr>
          <w:p w14:paraId="39C446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9C222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7C36D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AFF8D5F" w14:textId="77777777">
        <w:tc>
          <w:tcPr>
            <w:tcW w:w="10656" w:type="dxa"/>
            <w:gridSpan w:val="5"/>
            <w:tcBorders>
              <w:bottom w:val="single" w:sz="6" w:space="0" w:color="auto"/>
            </w:tcBorders>
            <w:vAlign w:val="center"/>
          </w:tcPr>
          <w:p w14:paraId="2260EA0C"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158: What is the primary purpose of preoperative radiotherapy in the treatment of vaginal cancer?</w:t>
            </w:r>
          </w:p>
        </w:tc>
      </w:tr>
      <w:tr w:rsidR="00922249" w:rsidRPr="00CB2EC4" w14:paraId="2B7B01B7" w14:textId="77777777">
        <w:tc>
          <w:tcPr>
            <w:tcW w:w="2160" w:type="dxa"/>
            <w:vAlign w:val="center"/>
          </w:tcPr>
          <w:p w14:paraId="38DF6C80"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E522F0F"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found in the provided document regarding the specific purpose of preoperative radiotherapy (neoadjuvant radiotherapy) in the treatment of vaginal cancer. The document discusses radiotherapy as an adjuvant (postoperative) or palliative treatment, for example: "Radiotherapy can be used as an adjuvant or palliative treatment. After radical surgery, patients are given local external irradiation of 30~36Gy, which can improve local control rates and prolong survival." However, it does not address the purpose of preoperative radiotherapy, such as tumor shrinkage to facilitate surgery. Therefore, the answer is not found in the knowledge base.</w:t>
            </w:r>
          </w:p>
        </w:tc>
        <w:tc>
          <w:tcPr>
            <w:tcW w:w="1152" w:type="dxa"/>
            <w:vAlign w:val="center"/>
          </w:tcPr>
          <w:p w14:paraId="61E434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AABF7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23E4F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E8D3BA8" w14:textId="77777777">
        <w:tc>
          <w:tcPr>
            <w:tcW w:w="2160" w:type="dxa"/>
            <w:vAlign w:val="center"/>
          </w:tcPr>
          <w:p w14:paraId="28FD8487"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0D1FE9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purpose of preoperative radiotherapy in the treatment of vaginal cancer is to shrink the tumor, increase its mobility, convert initially unresectable tumors to resectable ones, and enhance the completeness of surgical margins, thereby preserving the function of adjacent organs such as the urethra and anus. This is inferred from the established role of preoperative radiotherapy in vulvar cancer (as </w:t>
            </w:r>
            <w:r w:rsidRPr="00CB2EC4">
              <w:rPr>
                <w:rFonts w:ascii="Times New Roman" w:hAnsi="Times New Roman" w:cs="Times New Roman"/>
              </w:rPr>
              <w:lastRenderedPageBreak/>
              <w:t>documented in block 428), where it is indicated for large or deeply invasive tumors to improve resectability and organ preservation, and is applied analogously to vaginal cancer given similar treatment principles for gynecological malignancies.</w:t>
            </w:r>
          </w:p>
        </w:tc>
        <w:tc>
          <w:tcPr>
            <w:tcW w:w="1152" w:type="dxa"/>
            <w:vAlign w:val="center"/>
          </w:tcPr>
          <w:p w14:paraId="3321C9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23BB5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7A70C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AECD3B2" w14:textId="77777777">
        <w:tc>
          <w:tcPr>
            <w:tcW w:w="2160" w:type="dxa"/>
            <w:vAlign w:val="center"/>
          </w:tcPr>
          <w:p w14:paraId="2B36580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EDCB127"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53851B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47C10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6886D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0518D62" w14:textId="77777777">
        <w:tc>
          <w:tcPr>
            <w:tcW w:w="2160" w:type="dxa"/>
            <w:vAlign w:val="center"/>
          </w:tcPr>
          <w:p w14:paraId="3A81FD8D"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7E8D24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purpose of preoperative radiotherapy in the treatment of vaginal cancer is to reduce the viability of cancer cells, decrease the risk of intraoperative seeding and dissemination, shrink the tumor volume to improve surgical resection rates, and eradicate subclinical lesions to lower the local recurrence rate.  </w:t>
            </w:r>
            <w:r w:rsidRPr="00CB2EC4">
              <w:rPr>
                <w:rFonts w:ascii="Times New Roman" w:hAnsi="Times New Roman" w:cs="Times New Roman"/>
              </w:rPr>
              <w:br/>
            </w:r>
            <w:r w:rsidRPr="00CB2EC4">
              <w:rPr>
                <w:rFonts w:ascii="Times New Roman" w:hAnsi="Times New Roman" w:cs="Times New Roman"/>
              </w:rPr>
              <w:br/>
              <w:t xml:space="preserve">basis:  </w:t>
            </w:r>
            <w:r w:rsidRPr="00CB2EC4">
              <w:rPr>
                <w:rFonts w:ascii="Times New Roman" w:hAnsi="Times New Roman" w:cs="Times New Roman"/>
              </w:rPr>
              <w:br/>
              <w:t xml:space="preserve">- web search results explicitly state: "preoperative radiotherapy is planned, and its purpose is to reduce the viability of cancer cells or the chance of seeding and dissemination through preoperative radiotherapy; to shrink the tumor volume and improve the surgical resection rate; to eradicate subclinical lesions and reduce the local recurrence rate" (web search result block).  </w:t>
            </w:r>
            <w:r w:rsidRPr="00CB2EC4">
              <w:rPr>
                <w:rFonts w:ascii="Times New Roman" w:hAnsi="Times New Roman" w:cs="Times New Roman"/>
              </w:rPr>
              <w:br/>
              <w:t xml:space="preserve">- knowledge base documents do not directly address the purpose of preoperative radiotherapy for vaginal cancer but note that radiotherapy as an adjuvant treatment can improve local control rates ("radiotherapy can be used as an adjuvant or palliative treatment... can improve local control rates and prolong survival"), which is consistent with the web search findings.  </w:t>
            </w:r>
            <w:r w:rsidRPr="00CB2EC4">
              <w:rPr>
                <w:rFonts w:ascii="Times New Roman" w:hAnsi="Times New Roman" w:cs="Times New Roman"/>
              </w:rPr>
              <w:br/>
              <w:t>source: web search results (dominant), knowledge base documents provide supporting information. no contradiction; web search is more detailed.</w:t>
            </w:r>
          </w:p>
        </w:tc>
        <w:tc>
          <w:tcPr>
            <w:tcW w:w="1152" w:type="dxa"/>
            <w:vAlign w:val="center"/>
          </w:tcPr>
          <w:p w14:paraId="29D8CA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CCF65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B6FEF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921D765" w14:textId="77777777">
        <w:tc>
          <w:tcPr>
            <w:tcW w:w="2160" w:type="dxa"/>
            <w:vAlign w:val="center"/>
          </w:tcPr>
          <w:p w14:paraId="63A9C6D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033ED319" w14:textId="77777777" w:rsidR="00922249" w:rsidRPr="00CB2EC4" w:rsidRDefault="003011D5">
            <w:pPr>
              <w:rPr>
                <w:rFonts w:ascii="Times New Roman" w:hAnsi="Times New Roman" w:cs="Times New Roman"/>
              </w:rPr>
            </w:pPr>
            <w:r w:rsidRPr="00CB2EC4">
              <w:rPr>
                <w:rFonts w:ascii="Times New Roman" w:hAnsi="Times New Roman" w:cs="Times New Roman"/>
              </w:rPr>
              <w:t>the main purpose of preoperative radiotherapy in the treatment of vaginal cancer is to reduce tumor size, control local disease, and create favorable conditions for surgery (such as addressing the risk of positive surgical margins).</w:t>
            </w:r>
            <w:r w:rsidRPr="00CB2EC4">
              <w:rPr>
                <w:rFonts w:ascii="Times New Roman" w:hAnsi="Times New Roman" w:cs="Times New Roman"/>
              </w:rPr>
              <w:br/>
              <w:t>- Document excerpt 2 states: "Surgery should always be supplemented with preoperative or postoperative radiotherapy. Generally, preoperative irradiation of vulvar lesions with 4–8 MeV β-rays at 20–30 Gy is administered, followed by a two-week rest period before surgery. Cases with suspected positive margins postoperatively should receive adjuvant radiotherapy." This indicates that preoperative radiotherapy aims to shrink the tumor, lower the risk of intraoperative spread, and enhance the completeness of surgical resection.</w:t>
            </w:r>
          </w:p>
        </w:tc>
        <w:tc>
          <w:tcPr>
            <w:tcW w:w="1152" w:type="dxa"/>
            <w:vAlign w:val="center"/>
          </w:tcPr>
          <w:p w14:paraId="1C350C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A1FCB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0D93D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62B1A3A" w14:textId="77777777">
        <w:tc>
          <w:tcPr>
            <w:tcW w:w="2160" w:type="dxa"/>
            <w:vAlign w:val="center"/>
          </w:tcPr>
          <w:p w14:paraId="02511AD5"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C7F0862" w14:textId="77777777" w:rsidR="00922249" w:rsidRPr="00CB2EC4" w:rsidRDefault="003011D5">
            <w:pPr>
              <w:rPr>
                <w:rFonts w:ascii="Times New Roman" w:hAnsi="Times New Roman" w:cs="Times New Roman"/>
              </w:rPr>
            </w:pPr>
            <w:r w:rsidRPr="00CB2EC4">
              <w:rPr>
                <w:rFonts w:ascii="Times New Roman" w:hAnsi="Times New Roman" w:cs="Times New Roman"/>
              </w:rPr>
              <w:t>the main purpose of preoperative radiotherapy in the treatment of vaginal cancer is:</w:t>
            </w:r>
            <w:r w:rsidRPr="00CB2EC4">
              <w:rPr>
                <w:rFonts w:ascii="Times New Roman" w:hAnsi="Times New Roman" w:cs="Times New Roman"/>
              </w:rPr>
              <w:br/>
            </w:r>
            <w:r w:rsidRPr="00CB2EC4">
              <w:rPr>
                <w:rFonts w:ascii="Times New Roman" w:hAnsi="Times New Roman" w:cs="Times New Roman"/>
              </w:rPr>
              <w:br/>
              <w:t>- to shrink the tumor and increase resectability (especially for large or deeply invasive lesions).</w:t>
            </w:r>
            <w:r w:rsidRPr="00CB2EC4">
              <w:rPr>
                <w:rFonts w:ascii="Times New Roman" w:hAnsi="Times New Roman" w:cs="Times New Roman"/>
              </w:rPr>
              <w:br/>
              <w:t>- to improve the radicality of surgery and reduce the risk of positive surgical margins.</w:t>
            </w:r>
            <w:r w:rsidRPr="00CB2EC4">
              <w:rPr>
                <w:rFonts w:ascii="Times New Roman" w:hAnsi="Times New Roman" w:cs="Times New Roman"/>
              </w:rPr>
              <w:br/>
              <w:t>- to preserve the function of adjacent organs (such as the urethra and anus).</w:t>
            </w:r>
            <w:r w:rsidRPr="00CB2EC4">
              <w:rPr>
                <w:rFonts w:ascii="Times New Roman" w:hAnsi="Times New Roman" w:cs="Times New Roman"/>
              </w:rPr>
              <w:br/>
            </w:r>
            <w:r w:rsidRPr="00CB2EC4">
              <w:rPr>
                <w:rFonts w:ascii="Times New Roman" w:hAnsi="Times New Roman" w:cs="Times New Roman"/>
              </w:rPr>
              <w:br/>
              <w:t>based on the general principles for gynecological tumors (e.g., vulvar cancer) as stated in document 19: "the purpose of preoperative radiotherapy is to shrink the tumor, increase its mobility, and convert unresectable tumors to resectable ones. it enhances the thoroughness of surgical margins at the tumor edge and helps preserve the function of nearby organs."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note: this application to vaginal cancer is inferred from similar tumor management principles, as document 19 does not explicitly address vaginal cancer.</w:t>
            </w:r>
          </w:p>
        </w:tc>
        <w:tc>
          <w:tcPr>
            <w:tcW w:w="1152" w:type="dxa"/>
            <w:vAlign w:val="center"/>
          </w:tcPr>
          <w:p w14:paraId="3071A1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25AD1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117B9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41BF9DD" w14:textId="77777777">
        <w:tc>
          <w:tcPr>
            <w:tcW w:w="2160" w:type="dxa"/>
            <w:vAlign w:val="center"/>
          </w:tcPr>
          <w:p w14:paraId="7E9A0992"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66E1275" w14:textId="77777777" w:rsidR="00922249" w:rsidRPr="00CB2EC4" w:rsidRDefault="003011D5">
            <w:pPr>
              <w:rPr>
                <w:rFonts w:ascii="Times New Roman" w:hAnsi="Times New Roman" w:cs="Times New Roman"/>
              </w:rPr>
            </w:pPr>
            <w:r w:rsidRPr="00CB2EC4">
              <w:rPr>
                <w:rFonts w:ascii="Times New Roman" w:hAnsi="Times New Roman" w:cs="Times New Roman"/>
              </w:rPr>
              <w:t>preoperative radiotherapy for vaginal cancer aims primarily to reduce tumor size, increase surgical resectability, and preserve the function of adjacent organs. According to the document: "Preoperative radiotherapy: For patients with large lesions, deep infiltration, poor mobility, and where complete surgical resection is estimated to be impossible or positive margins are likely, or when the lesion involves the urethral orifice, anal orifice, or other adjacent tissues, preoperative radiotherapy should be administered. The purpose is to shrink the tumor, improve mobility, and transform initially unresectable tumors into resectable ones. It increases the thoroughness of surgical margins and allows for the preservation of adjacent organ function." Therefore, the main objectives are to enhance the likelihood of complete tumor removal during surgery and to minimize the extent of surgery required to retain organ function (such as the urethra or anus).</w:t>
            </w:r>
          </w:p>
        </w:tc>
        <w:tc>
          <w:tcPr>
            <w:tcW w:w="1152" w:type="dxa"/>
            <w:vAlign w:val="center"/>
          </w:tcPr>
          <w:p w14:paraId="77C70C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A3406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8E4FF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92F916A" w14:textId="77777777">
        <w:tc>
          <w:tcPr>
            <w:tcW w:w="2160" w:type="dxa"/>
            <w:vAlign w:val="center"/>
          </w:tcPr>
          <w:p w14:paraId="704D7690"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6CA661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purposes of preoperative radiotherapy in the treatment of vaginal cancer are:  </w:t>
            </w:r>
            <w:r w:rsidRPr="00CB2EC4">
              <w:rPr>
                <w:rFonts w:ascii="Times New Roman" w:hAnsi="Times New Roman" w:cs="Times New Roman"/>
              </w:rPr>
              <w:br/>
              <w:t xml:space="preserve">1. To reduce tumor volume, facilitating surgical resection, or converting initially inoperable cases to operable ones.  </w:t>
            </w:r>
            <w:r w:rsidRPr="00CB2EC4">
              <w:rPr>
                <w:rFonts w:ascii="Times New Roman" w:hAnsi="Times New Roman" w:cs="Times New Roman"/>
              </w:rPr>
              <w:br/>
              <w:t>2. To decrease the viability of cancer cells, thereby reducing the risk of postoperative recurrence and metastasis.</w:t>
            </w:r>
          </w:p>
        </w:tc>
        <w:tc>
          <w:tcPr>
            <w:tcW w:w="1152" w:type="dxa"/>
            <w:vAlign w:val="center"/>
          </w:tcPr>
          <w:p w14:paraId="7DBAD9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2A20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2F00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55642D" w14:textId="77777777">
        <w:tc>
          <w:tcPr>
            <w:tcW w:w="2160" w:type="dxa"/>
            <w:vAlign w:val="center"/>
          </w:tcPr>
          <w:p w14:paraId="20EA5E1C"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A292067" w14:textId="77777777" w:rsidR="00922249" w:rsidRPr="00CB2EC4" w:rsidRDefault="003011D5">
            <w:pPr>
              <w:rPr>
                <w:rFonts w:ascii="Times New Roman" w:hAnsi="Times New Roman" w:cs="Times New Roman"/>
              </w:rPr>
            </w:pPr>
            <w:r w:rsidRPr="00CB2EC4">
              <w:rPr>
                <w:rFonts w:ascii="Times New Roman" w:hAnsi="Times New Roman" w:cs="Times New Roman"/>
              </w:rPr>
              <w:t>the main purposes of preoperative radiotherapy in the treatment of vaginal cancer are:</w:t>
            </w:r>
            <w:r w:rsidRPr="00CB2EC4">
              <w:rPr>
                <w:rFonts w:ascii="Times New Roman" w:hAnsi="Times New Roman" w:cs="Times New Roman"/>
              </w:rPr>
              <w:br/>
            </w:r>
            <w:r w:rsidRPr="00CB2EC4">
              <w:rPr>
                <w:rFonts w:ascii="Times New Roman" w:hAnsi="Times New Roman" w:cs="Times New Roman"/>
              </w:rPr>
              <w:lastRenderedPageBreak/>
              <w:br/>
              <w:t>1.  To increase the surgical resection rate and success rate: Preoperative radiotherapy can shrink the tumor volume, facilitating complete resection and expanding surgical indications. For vaginal cancer, this means transforming initially inoperable tumors into operable ones, thereby improving surgical feasibility.</w:t>
            </w:r>
            <w:r w:rsidRPr="00CB2EC4">
              <w:rPr>
                <w:rFonts w:ascii="Times New Roman" w:hAnsi="Times New Roman" w:cs="Times New Roman"/>
              </w:rPr>
              <w:br/>
            </w:r>
            <w:r w:rsidRPr="00CB2EC4">
              <w:rPr>
                <w:rFonts w:ascii="Times New Roman" w:hAnsi="Times New Roman" w:cs="Times New Roman"/>
              </w:rPr>
              <w:br/>
              <w:t>2.  To improve therapeutic efficacy and reduce the risk of recurrence: Preoperative radiotherapy aims to enhance treatment outcomes by lowering the risk of cancer cell dissemination via hematogenous or surgical implantation routes; it induces tumor necrosis and increases local immunity to prevent local recurrence.</w:t>
            </w:r>
            <w:r w:rsidRPr="00CB2EC4">
              <w:rPr>
                <w:rFonts w:ascii="Times New Roman" w:hAnsi="Times New Roman" w:cs="Times New Roman"/>
              </w:rPr>
              <w:br/>
            </w:r>
            <w:r w:rsidRPr="00CB2EC4">
              <w:rPr>
                <w:rFonts w:ascii="Times New Roman" w:hAnsi="Times New Roman" w:cs="Times New Roman"/>
              </w:rPr>
              <w:br/>
              <w:t>3.  To preserve organ function and improve quality of life: In the treatment of vaginal cancer, preoperative radiotherapy helps increase the thoroughness of surgery at tumor margins while preserving adjacent organs (such as the urethra and anus) and their functions, thus avoiding extensive surgical damage to critical structures.</w:t>
            </w:r>
          </w:p>
        </w:tc>
        <w:tc>
          <w:tcPr>
            <w:tcW w:w="1152" w:type="dxa"/>
            <w:vAlign w:val="center"/>
          </w:tcPr>
          <w:p w14:paraId="76CCED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EB2D3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D78EE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2C64C78" w14:textId="77777777">
        <w:tc>
          <w:tcPr>
            <w:tcW w:w="2160" w:type="dxa"/>
            <w:vAlign w:val="center"/>
          </w:tcPr>
          <w:p w14:paraId="3DF0DE8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C9696A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provided document, there is no direct information regarding the primary purpose of preoperative radiotherapy in the treatment of vaginal cancer. The document discusses radiotherapy as a primary or adjuvant treatment for vaginal cancer (e.g., [document excerpt 20] states "most scholars recommend radiotherapy as the initial treatment for primary vaginal cancer," [document excerpt 23] mentions radiotherapy for recurrent or advanced cases), but does not specifically address the purpose of preoperative radiotherapy (such as tumor shrinkage to </w:t>
            </w:r>
            <w:r w:rsidRPr="00CB2EC4">
              <w:rPr>
                <w:rFonts w:ascii="Times New Roman" w:hAnsi="Times New Roman" w:cs="Times New Roman"/>
              </w:rPr>
              <w:lastRenderedPageBreak/>
              <w:t>facilitate surgery). Therefore:</w:t>
            </w:r>
            <w:r w:rsidRPr="00CB2EC4">
              <w:rPr>
                <w:rFonts w:ascii="Times New Roman" w:hAnsi="Times New Roman" w:cs="Times New Roman"/>
              </w:rPr>
              <w:br/>
              <w:t>- answer: no answer found in the knowledge base.</w:t>
            </w:r>
          </w:p>
        </w:tc>
        <w:tc>
          <w:tcPr>
            <w:tcW w:w="1152" w:type="dxa"/>
            <w:vAlign w:val="center"/>
          </w:tcPr>
          <w:p w14:paraId="181E26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7B653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8B354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084D707" w14:textId="77777777">
        <w:tc>
          <w:tcPr>
            <w:tcW w:w="2160" w:type="dxa"/>
            <w:vAlign w:val="center"/>
          </w:tcPr>
          <w:p w14:paraId="6C707CD2"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2716D57" w14:textId="77777777" w:rsidR="00922249" w:rsidRPr="00CB2EC4" w:rsidRDefault="003011D5">
            <w:pPr>
              <w:rPr>
                <w:rFonts w:ascii="Times New Roman" w:hAnsi="Times New Roman" w:cs="Times New Roman"/>
              </w:rPr>
            </w:pPr>
            <w:r w:rsidRPr="00CB2EC4">
              <w:rPr>
                <w:rFonts w:ascii="Times New Roman" w:hAnsi="Times New Roman" w:cs="Times New Roman"/>
              </w:rPr>
              <w:t>the main purpose of preoperative radiotherapy in the treatment of vaginal cancer is not directly discussed in the document. the document primarily describes the purpose of preoperative radiotherapy for vulvar cancer, but the treatment principles for vaginal cancer may be similar. based on the context of vulvar cancer, the main purpose of preoperative radiotherapy is: to reduce tumor size, increase mobility, converting initially unresectable tumors to resectable ones; while also improving the completeness of surgical margins and preserving the function of adjacent organs (such as the urethra or anus) as much as possible (document source: [similarity: 0.395]). since the document does not explicitly mention vaginal cancer, this inference is based on similar treatment principles.</w:t>
            </w:r>
          </w:p>
        </w:tc>
        <w:tc>
          <w:tcPr>
            <w:tcW w:w="1152" w:type="dxa"/>
            <w:vAlign w:val="center"/>
          </w:tcPr>
          <w:p w14:paraId="447C6F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4D089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F3147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6B635FE" w14:textId="77777777">
        <w:tc>
          <w:tcPr>
            <w:tcW w:w="2160" w:type="dxa"/>
            <w:vAlign w:val="center"/>
          </w:tcPr>
          <w:p w14:paraId="2339F240"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10F3867" w14:textId="77777777" w:rsidR="00922249" w:rsidRPr="00CB2EC4" w:rsidRDefault="003011D5">
            <w:pPr>
              <w:rPr>
                <w:rFonts w:ascii="Times New Roman" w:hAnsi="Times New Roman" w:cs="Times New Roman"/>
              </w:rPr>
            </w:pPr>
            <w:r w:rsidRPr="00CB2EC4">
              <w:rPr>
                <w:rFonts w:ascii="Times New Roman" w:hAnsi="Times New Roman" w:cs="Times New Roman"/>
              </w:rPr>
              <w:t>to reduce tumor size and preserve organ function.</w:t>
            </w:r>
          </w:p>
        </w:tc>
        <w:tc>
          <w:tcPr>
            <w:tcW w:w="1152" w:type="dxa"/>
            <w:vAlign w:val="center"/>
          </w:tcPr>
          <w:p w14:paraId="3FF36E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8F289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B93F8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2B85BF8" w14:textId="77777777">
        <w:tc>
          <w:tcPr>
            <w:tcW w:w="2160" w:type="dxa"/>
            <w:vAlign w:val="center"/>
          </w:tcPr>
          <w:p w14:paraId="574234A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1E9D8C9" w14:textId="77777777" w:rsidR="00922249" w:rsidRPr="00CB2EC4" w:rsidRDefault="003011D5">
            <w:pPr>
              <w:rPr>
                <w:rFonts w:ascii="Times New Roman" w:hAnsi="Times New Roman" w:cs="Times New Roman"/>
              </w:rPr>
            </w:pPr>
            <w:r w:rsidRPr="00CB2EC4">
              <w:rPr>
                <w:rFonts w:ascii="Times New Roman" w:hAnsi="Times New Roman" w:cs="Times New Roman"/>
              </w:rPr>
              <w:t>the main purposes of preoperative radiotherapy in the treatment of vaginal cancer are:</w:t>
            </w:r>
            <w:r w:rsidRPr="00CB2EC4">
              <w:rPr>
                <w:rFonts w:ascii="Times New Roman" w:hAnsi="Times New Roman" w:cs="Times New Roman"/>
              </w:rPr>
              <w:br/>
            </w:r>
            <w:r w:rsidRPr="00CB2EC4">
              <w:rPr>
                <w:rFonts w:ascii="Times New Roman" w:hAnsi="Times New Roman" w:cs="Times New Roman"/>
              </w:rPr>
              <w:br/>
              <w:t>- To shrink the tumor and facilitate surgical resection: especially for cases with large local tumors that impede surgical access, or to convert initially inoperable cases to operable ones.</w:t>
            </w:r>
            <w:r w:rsidRPr="00CB2EC4">
              <w:rPr>
                <w:rFonts w:ascii="Times New Roman" w:hAnsi="Times New Roman" w:cs="Times New Roman"/>
              </w:rPr>
              <w:br/>
              <w:t>- To reduce the viability of cancer cells and decrease the risk of postoperative recurrence and metastasis: by suppressing cancer cell activity through radiotherapy to lower the chance of recurrence after surgery.</w:t>
            </w:r>
            <w:r w:rsidRPr="00CB2EC4">
              <w:rPr>
                <w:rFonts w:ascii="Times New Roman" w:hAnsi="Times New Roman" w:cs="Times New Roman"/>
              </w:rPr>
              <w:br/>
            </w:r>
            <w:r w:rsidRPr="00CB2EC4">
              <w:rPr>
                <w:rFonts w:ascii="Times New Roman" w:hAnsi="Times New Roman" w:cs="Times New Roman"/>
              </w:rPr>
              <w:br/>
              <w:t>Commonly used methods include intracavitary brachytherapy.</w:t>
            </w:r>
          </w:p>
        </w:tc>
        <w:tc>
          <w:tcPr>
            <w:tcW w:w="1152" w:type="dxa"/>
            <w:vAlign w:val="center"/>
          </w:tcPr>
          <w:p w14:paraId="232E57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E984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9D04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07BFBE" w14:textId="77777777">
        <w:tc>
          <w:tcPr>
            <w:tcW w:w="2160" w:type="dxa"/>
            <w:vAlign w:val="center"/>
          </w:tcPr>
          <w:p w14:paraId="05AD21C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DF552E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purpose of preoperative radiotherapy in the </w:t>
            </w:r>
            <w:r w:rsidRPr="00CB2EC4">
              <w:rPr>
                <w:rFonts w:ascii="Times New Roman" w:hAnsi="Times New Roman" w:cs="Times New Roman"/>
              </w:rPr>
              <w:lastRenderedPageBreak/>
              <w:t>treatment of vaginal cancer</w:t>
            </w:r>
            <w:r w:rsidRPr="00CB2EC4">
              <w:rPr>
                <w:rFonts w:ascii="Times New Roman" w:hAnsi="Times New Roman" w:cs="Times New Roman"/>
              </w:rPr>
              <w:br/>
            </w:r>
            <w:r w:rsidRPr="00CB2EC4">
              <w:rPr>
                <w:rFonts w:ascii="Times New Roman" w:hAnsi="Times New Roman" w:cs="Times New Roman"/>
              </w:rPr>
              <w:br/>
              <w:t>Preoperative radiotherapy (neoadjuvant radiotherapy) primarily aims to:</w:t>
            </w:r>
            <w:r w:rsidRPr="00CB2EC4">
              <w:rPr>
                <w:rFonts w:ascii="Times New Roman" w:hAnsi="Times New Roman" w:cs="Times New Roman"/>
              </w:rPr>
              <w:br/>
              <w:t>- Reduce tumor volume: Convert initially unresectable or ill-defined tumors to resectable status, facilitating subsequent surgery.</w:t>
            </w:r>
            <w:r w:rsidRPr="00CB2EC4">
              <w:rPr>
                <w:rFonts w:ascii="Times New Roman" w:hAnsi="Times New Roman" w:cs="Times New Roman"/>
              </w:rPr>
              <w:br/>
              <w:t>- Decrease recurrence risk: By lowering tumor burden, controlling micrometastases, and enhancing the radicality of surgery.</w:t>
            </w:r>
            <w:r w:rsidRPr="00CB2EC4">
              <w:rPr>
                <w:rFonts w:ascii="Times New Roman" w:hAnsi="Times New Roman" w:cs="Times New Roman"/>
              </w:rPr>
              <w:br/>
              <w:t>Literature indicates this approach is particularly applicable to locally advanced vaginal cancer (e.g., FIGO stages II–III) to optimize treatment outcomes.</w:t>
            </w:r>
          </w:p>
        </w:tc>
        <w:tc>
          <w:tcPr>
            <w:tcW w:w="1152" w:type="dxa"/>
            <w:vAlign w:val="center"/>
          </w:tcPr>
          <w:p w14:paraId="2779C3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55C5A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057F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9A3ACA" w14:textId="77777777">
        <w:tc>
          <w:tcPr>
            <w:tcW w:w="10656" w:type="dxa"/>
            <w:gridSpan w:val="5"/>
            <w:tcBorders>
              <w:bottom w:val="single" w:sz="6" w:space="0" w:color="auto"/>
            </w:tcBorders>
            <w:vAlign w:val="center"/>
          </w:tcPr>
          <w:p w14:paraId="5553B02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159: What is the main reason for the good prognosis of early invasive cervical cancer?</w:t>
            </w:r>
          </w:p>
        </w:tc>
      </w:tr>
      <w:tr w:rsidR="00922249" w:rsidRPr="00CB2EC4" w14:paraId="39C5F561" w14:textId="77777777">
        <w:tc>
          <w:tcPr>
            <w:tcW w:w="2160" w:type="dxa"/>
            <w:vAlign w:val="center"/>
          </w:tcPr>
          <w:p w14:paraId="65CE10B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D63A182" w14:textId="77777777" w:rsidR="00922249" w:rsidRPr="00CB2EC4" w:rsidRDefault="003011D5">
            <w:pPr>
              <w:rPr>
                <w:rFonts w:ascii="Times New Roman" w:hAnsi="Times New Roman" w:cs="Times New Roman"/>
              </w:rPr>
            </w:pPr>
            <w:r w:rsidRPr="00CB2EC4">
              <w:rPr>
                <w:rFonts w:ascii="Times New Roman" w:hAnsi="Times New Roman" w:cs="Times New Roman"/>
              </w:rPr>
              <w:t>the main reason for the good prognosis of early invasive cervical cancer is its limited depth of invasion and the low incidence of vascular lymphatic infiltration and lymph node metastasis. Specifically, as stated: "Early invasive cervical cancer... due to its limited depth of invasion, and rarely occurs with vascular lymphatic infiltration or lymph node metastasis, has a good prognosis." Therefore, the primary factors for the favorable prognosis are shallow invasion depth and low risk of metastasis.</w:t>
            </w:r>
          </w:p>
        </w:tc>
        <w:tc>
          <w:tcPr>
            <w:tcW w:w="1152" w:type="dxa"/>
            <w:vAlign w:val="center"/>
          </w:tcPr>
          <w:p w14:paraId="6237C3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43C1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6B4F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75E04D" w14:textId="77777777">
        <w:tc>
          <w:tcPr>
            <w:tcW w:w="2160" w:type="dxa"/>
            <w:vAlign w:val="center"/>
          </w:tcPr>
          <w:p w14:paraId="7A6363C6"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1F7A574"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found in the provided document regarding the prognosis of early invasive cervical cancer. the document focuses on vulvar and vaginal malignancies. consult comprehensive cervical cancer guidelines for the answer.</w:t>
            </w:r>
          </w:p>
        </w:tc>
        <w:tc>
          <w:tcPr>
            <w:tcW w:w="1152" w:type="dxa"/>
            <w:vAlign w:val="center"/>
          </w:tcPr>
          <w:p w14:paraId="24933D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F9E4E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74685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2C67A54" w14:textId="77777777">
        <w:tc>
          <w:tcPr>
            <w:tcW w:w="2160" w:type="dxa"/>
            <w:vAlign w:val="center"/>
          </w:tcPr>
          <w:p w14:paraId="702ABC51"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287612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reason for the good prognosis of early invasive cervical cancer is shallow stromal invasion depth (≤1 mm). Specifically, "stromal invasion depth is one of the most important prognostic factors"; when </w:t>
            </w:r>
            <w:r w:rsidRPr="00CB2EC4">
              <w:rPr>
                <w:rFonts w:ascii="Times New Roman" w:hAnsi="Times New Roman" w:cs="Times New Roman"/>
              </w:rPr>
              <w:lastRenderedPageBreak/>
              <w:t>the invasion depth is less than 1 mm, the recurrence rate is only 0.4% and the risk of death is extremely low; as the depth increases (e.g., 1–3 mm), the risk of lymph node metastasis rises to 1.5% and the recurrence risk reaches 2%. T1a staging (FIGO IA stage) in document fragment 22 (relevance: 0.800) also supports that shallow invasion (≤5 mm) is associated with good prognosis. Therefore, shallow stromal invasion depth is the primary reason for the favorable prognosis.</w:t>
            </w:r>
          </w:p>
        </w:tc>
        <w:tc>
          <w:tcPr>
            <w:tcW w:w="1152" w:type="dxa"/>
            <w:vAlign w:val="center"/>
          </w:tcPr>
          <w:p w14:paraId="0EA77E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AA3FA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FBF8E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DBF65A4" w14:textId="77777777">
        <w:tc>
          <w:tcPr>
            <w:tcW w:w="2160" w:type="dxa"/>
            <w:vAlign w:val="center"/>
          </w:tcPr>
          <w:p w14:paraId="534FC6D9"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68C66F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reason for the good prognosis of early invasive cervical cancer is that the tumor is confined to the superficial layer of the cervix (with shallow stromal invasion depth), no lymph node metastasis or distant spread, high surgical resection rate, and low risk of recurrence.  </w:t>
            </w:r>
            <w:r w:rsidRPr="00CB2EC4">
              <w:rPr>
                <w:rFonts w:ascii="Times New Roman" w:hAnsi="Times New Roman" w:cs="Times New Roman"/>
              </w:rPr>
              <w:br/>
              <w:t xml:space="preserve">basis:  </w:t>
            </w:r>
            <w:r w:rsidRPr="00CB2EC4">
              <w:rPr>
                <w:rFonts w:ascii="Times New Roman" w:hAnsi="Times New Roman" w:cs="Times New Roman"/>
              </w:rPr>
              <w:br/>
              <w:t xml:space="preserve">- knowledge base document: the cervical cancer section defines early invasive cancer (e.g., IA stage) and its prognosis, stating "stromal invasion depth ≤1.0mm is the only safe level, with lymph node metastasis rate of 0", leading to high survival rates (knowledge base document: "patients with invasion depth ≤1mm have a lymph node metastasis rate of 0... it is recommended to use this as the dividing line").  </w:t>
            </w:r>
            <w:r w:rsidRPr="00CB2EC4">
              <w:rPr>
                <w:rFonts w:ascii="Times New Roman" w:hAnsi="Times New Roman" w:cs="Times New Roman"/>
              </w:rPr>
              <w:br/>
              <w:t xml:space="preserve">- web search results: supplemented with survival rate data, "early cervical cancer (e.g., IA stage) has a 5-year survival rate exceeding 95%", with reasons including small tumor volume, localized disease, and absence of high-risk factors such as lymphovascular space invasion (web search results: "early cervical cancer patients after surgery... have a good prognosis, mainly due to tumor confinement and no lymph node metastasis").  </w:t>
            </w:r>
            <w:r w:rsidRPr="00CB2EC4">
              <w:rPr>
                <w:rFonts w:ascii="Times New Roman" w:hAnsi="Times New Roman" w:cs="Times New Roman"/>
              </w:rPr>
              <w:br/>
            </w:r>
            <w:r w:rsidRPr="00CB2EC4">
              <w:rPr>
                <w:rFonts w:ascii="Times New Roman" w:hAnsi="Times New Roman" w:cs="Times New Roman"/>
              </w:rPr>
              <w:lastRenderedPageBreak/>
              <w:t>sources: knowledge base document (provides pathological basis) and web search results (provide prognostic data). information is consistent with no contradictions.</w:t>
            </w:r>
          </w:p>
        </w:tc>
        <w:tc>
          <w:tcPr>
            <w:tcW w:w="1152" w:type="dxa"/>
            <w:vAlign w:val="center"/>
          </w:tcPr>
          <w:p w14:paraId="435726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176EB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3712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E75780" w14:textId="77777777">
        <w:tc>
          <w:tcPr>
            <w:tcW w:w="2160" w:type="dxa"/>
            <w:vAlign w:val="center"/>
          </w:tcPr>
          <w:p w14:paraId="72AB07DC"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6598779" w14:textId="77777777" w:rsidR="00922249" w:rsidRPr="00CB2EC4" w:rsidRDefault="003011D5">
            <w:pPr>
              <w:rPr>
                <w:rFonts w:ascii="Times New Roman" w:hAnsi="Times New Roman" w:cs="Times New Roman"/>
              </w:rPr>
            </w:pPr>
            <w:r w:rsidRPr="00CB2EC4">
              <w:rPr>
                <w:rFonts w:ascii="Times New Roman" w:hAnsi="Times New Roman" w:cs="Times New Roman"/>
              </w:rPr>
              <w:t>the main reason for the good prognosis of early invasive cervical cancer is that the tumor is confined to the cervix and has not spread to surrounding tissues or distant sites, making it highly treatable with surgery or radiation therapy and resulting in high survival rates when detected early.</w:t>
            </w:r>
          </w:p>
        </w:tc>
        <w:tc>
          <w:tcPr>
            <w:tcW w:w="1152" w:type="dxa"/>
            <w:vAlign w:val="center"/>
          </w:tcPr>
          <w:p w14:paraId="53AEEC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8C1FE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54E60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7A5D8AF" w14:textId="77777777">
        <w:tc>
          <w:tcPr>
            <w:tcW w:w="2160" w:type="dxa"/>
            <w:vAlign w:val="center"/>
          </w:tcPr>
          <w:p w14:paraId="4814B97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E1B0C46"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available in the provided documents to answer the question. the documents do not contain relevant content about the prognostic factors of early invasive cervical cancer.</w:t>
            </w:r>
          </w:p>
        </w:tc>
        <w:tc>
          <w:tcPr>
            <w:tcW w:w="1152" w:type="dxa"/>
            <w:vAlign w:val="center"/>
          </w:tcPr>
          <w:p w14:paraId="4EB2CC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C62A3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F3677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6979A88" w14:textId="77777777">
        <w:tc>
          <w:tcPr>
            <w:tcW w:w="2160" w:type="dxa"/>
            <w:vAlign w:val="center"/>
          </w:tcPr>
          <w:p w14:paraId="10769F1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1C3312B" w14:textId="77777777" w:rsidR="00922249" w:rsidRPr="00CB2EC4" w:rsidRDefault="003011D5">
            <w:pPr>
              <w:rPr>
                <w:rFonts w:ascii="Times New Roman" w:hAnsi="Times New Roman" w:cs="Times New Roman"/>
              </w:rPr>
            </w:pPr>
            <w:r w:rsidRPr="00CB2EC4">
              <w:rPr>
                <w:rFonts w:ascii="Times New Roman" w:hAnsi="Times New Roman" w:cs="Times New Roman"/>
              </w:rPr>
              <w:t>the main reason for the good prognosis of early invasive cervical cancer is the shallow invasion depth (≤1 mm), which results in an extremely low or zero lymph node metastasis rate. The document states: "An invasion depth ≤1 mm is the only safe level, and it is recommended to use this as the dividing line," and notes that "the lymph node metastasis rate for patients with invasion depth ≤1 mm is 0." This indicates that the tumor is confined to superficial tissues without deep invasion or lymphatic spread, thereby significantly reducing the risk of recurrence and improving survival rates.</w:t>
            </w:r>
          </w:p>
        </w:tc>
        <w:tc>
          <w:tcPr>
            <w:tcW w:w="1152" w:type="dxa"/>
            <w:vAlign w:val="center"/>
          </w:tcPr>
          <w:p w14:paraId="28420E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92D2A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4B108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ADFD250" w14:textId="77777777">
        <w:tc>
          <w:tcPr>
            <w:tcW w:w="2160" w:type="dxa"/>
            <w:vAlign w:val="center"/>
          </w:tcPr>
          <w:p w14:paraId="71102E37"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4C9F9E1" w14:textId="77777777" w:rsidR="00922249" w:rsidRPr="00CB2EC4" w:rsidRDefault="003011D5">
            <w:pPr>
              <w:rPr>
                <w:rFonts w:ascii="Times New Roman" w:hAnsi="Times New Roman" w:cs="Times New Roman"/>
              </w:rPr>
            </w:pPr>
            <w:r w:rsidRPr="00CB2EC4">
              <w:rPr>
                <w:rFonts w:ascii="Times New Roman" w:hAnsi="Times New Roman" w:cs="Times New Roman"/>
              </w:rPr>
              <w:t>the main reason for the good prognosis of early invasive cervical cancer is the extremely low lymph node metastasis rate, especially when the stromal invasion depth is ≤1mm, where the lymph node metastasis rate is 0, thereby reducing the risk of recurrence and metastasis.</w:t>
            </w:r>
          </w:p>
        </w:tc>
        <w:tc>
          <w:tcPr>
            <w:tcW w:w="1152" w:type="dxa"/>
            <w:vAlign w:val="center"/>
          </w:tcPr>
          <w:p w14:paraId="2383F6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8A748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48EF1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089B1F3" w14:textId="77777777">
        <w:tc>
          <w:tcPr>
            <w:tcW w:w="2160" w:type="dxa"/>
            <w:vAlign w:val="center"/>
          </w:tcPr>
          <w:p w14:paraId="57943CC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CEC5F7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reason for the good prognosis of early </w:t>
            </w:r>
            <w:r w:rsidRPr="00CB2EC4">
              <w:rPr>
                <w:rFonts w:ascii="Times New Roman" w:hAnsi="Times New Roman" w:cs="Times New Roman"/>
              </w:rPr>
              <w:lastRenderedPageBreak/>
              <w:t>invasive cervical cancer is the shallow depth of stromal invasion (≤1 mm), which results in extremely low rates of lymph node metastasis and recurrence. The document states that "depth of stromal invasion is one of the most important prognostic factors," citing data: when stromal invasion depth is less than 1 mm, the lymph node metastasis rate approaches 0% and the recurrence rate is only 0.4%; when the depth reaches 1–3 mm, the recurrence risk increases to 2% (document excerpt: "Ostor... reported on 2274 cases of cervical cancer with stromal invasion depth less than 1 mm... recurrence rate 0.4%. Cases with stromal invasion depth of 1–3 mm... recurrence risk 2%"). Shallow invasion indicates the tumor has not widely disseminated, thereby reducing the risk of metastasis and recurrence.</w:t>
            </w:r>
          </w:p>
        </w:tc>
        <w:tc>
          <w:tcPr>
            <w:tcW w:w="1152" w:type="dxa"/>
            <w:vAlign w:val="center"/>
          </w:tcPr>
          <w:p w14:paraId="4317CC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30FE3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39BF1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BDA95EA" w14:textId="77777777">
        <w:tc>
          <w:tcPr>
            <w:tcW w:w="2160" w:type="dxa"/>
            <w:vAlign w:val="center"/>
          </w:tcPr>
          <w:p w14:paraId="1D7C8F78"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E98C06A"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551A89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6269C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25758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661BA11" w14:textId="77777777">
        <w:tc>
          <w:tcPr>
            <w:tcW w:w="2160" w:type="dxa"/>
            <w:vAlign w:val="center"/>
          </w:tcPr>
          <w:p w14:paraId="7BB5F0A5"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DDDE474" w14:textId="77777777" w:rsidR="00922249" w:rsidRPr="00CB2EC4" w:rsidRDefault="003011D5">
            <w:pPr>
              <w:rPr>
                <w:rFonts w:ascii="Times New Roman" w:hAnsi="Times New Roman" w:cs="Times New Roman"/>
              </w:rPr>
            </w:pPr>
            <w:r w:rsidRPr="00CB2EC4">
              <w:rPr>
                <w:rFonts w:ascii="Times New Roman" w:hAnsi="Times New Roman" w:cs="Times New Roman"/>
              </w:rPr>
              <w:t>the main reason for the good prognosis of early invasive cervical cancer is that it is detected at an early stage when the tumor is still confined to the cervix and has not spread to surrounding tissues or distant organs, allowing for effective treatment with surgery or radiation therapy and resulting in high survival rates.</w:t>
            </w:r>
            <w:r w:rsidRPr="00CB2EC4">
              <w:rPr>
                <w:rFonts w:ascii="Times New Roman" w:hAnsi="Times New Roman" w:cs="Times New Roman"/>
              </w:rPr>
              <w:br/>
            </w:r>
            <w:r w:rsidRPr="00CB2EC4">
              <w:rPr>
                <w:rFonts w:ascii="Times New Roman" w:hAnsi="Times New Roman" w:cs="Times New Roman"/>
              </w:rPr>
              <w:br/>
              <w:t xml:space="preserve">however, based strictly on the provided knowledge base documents, no information is found regarding the prognosis or prognostic factors of early invasive cervical cancer. the documents focus on prognostic factors for vulvar cancer, vaginal cancer, and melanoma, and only briefly mention cervical cancer in contexts unrelated to early invasive disease prognosis (e.g., similarity scores 0.517 and 0.410, which do not </w:t>
            </w:r>
            <w:r w:rsidRPr="00CB2EC4">
              <w:rPr>
                <w:rFonts w:ascii="Times New Roman" w:hAnsi="Times New Roman" w:cs="Times New Roman"/>
              </w:rPr>
              <w:lastRenderedPageBreak/>
              <w:t>discuss mechanisms of good prognosis). therefore, the knowledge base does not contain an answer to this question.</w:t>
            </w:r>
          </w:p>
        </w:tc>
        <w:tc>
          <w:tcPr>
            <w:tcW w:w="1152" w:type="dxa"/>
            <w:vAlign w:val="center"/>
          </w:tcPr>
          <w:p w14:paraId="1491E9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CA525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68D50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B7ED306" w14:textId="77777777">
        <w:tc>
          <w:tcPr>
            <w:tcW w:w="2160" w:type="dxa"/>
            <w:vAlign w:val="center"/>
          </w:tcPr>
          <w:p w14:paraId="3E2BDFB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4332D0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reason for the good prognosis of early invasive cervical cancer is the shallow depth of stromal invasion (≤1 mm), which is the most critical prognostic factor. studies show that when the invasion depth is ≤1 mm, the recurrence rate is as low as 0.4% and the mortality rate is minimal (e.g., ostor's series of 2274 cases reported only 2 deaths from the disease). in contrast, when the invasion depth reaches 3–5 mm, the recurrence rate increases to 3.8% and the mortality rate rises to 2.6%.  </w:t>
            </w:r>
            <w:r w:rsidRPr="00CB2EC4">
              <w:rPr>
                <w:rFonts w:ascii="Times New Roman" w:hAnsi="Times New Roman" w:cs="Times New Roman"/>
              </w:rPr>
              <w:br/>
              <w:t xml:space="preserve">additional supporting factors include:  </w:t>
            </w:r>
            <w:r w:rsidRPr="00CB2EC4">
              <w:rPr>
                <w:rFonts w:ascii="Times New Roman" w:hAnsi="Times New Roman" w:cs="Times New Roman"/>
              </w:rPr>
              <w:br/>
              <w:t xml:space="preserve">- low risk of lymph node metastasis (approximately 0–1.5%) in early-stage lesions (e.g., figo ia stage)  </w:t>
            </w:r>
            <w:r w:rsidRPr="00CB2EC4">
              <w:rPr>
                <w:rFonts w:ascii="Times New Roman" w:hAnsi="Times New Roman" w:cs="Times New Roman"/>
              </w:rPr>
              <w:br/>
              <w:t xml:space="preserve">- effective control with conservative surgery (such as simple hysterectomy), avoiding the high morbidity associated with radical procedures  </w:t>
            </w:r>
            <w:r w:rsidRPr="00CB2EC4">
              <w:rPr>
                <w:rFonts w:ascii="Times New Roman" w:hAnsi="Times New Roman" w:cs="Times New Roman"/>
              </w:rPr>
              <w:br/>
            </w:r>
            <w:r w:rsidRPr="00CB2EC4">
              <w:rPr>
                <w:rFonts w:ascii="Times New Roman" w:hAnsi="Times New Roman" w:cs="Times New Roman"/>
              </w:rPr>
              <w:br/>
              <w:t>in summary, a shallow stromal invasion depth (≤1 mm) is the core reason for the favorable prognosis, significantly reducing the risk of recurrence and mortality.</w:t>
            </w:r>
          </w:p>
        </w:tc>
        <w:tc>
          <w:tcPr>
            <w:tcW w:w="1152" w:type="dxa"/>
            <w:vAlign w:val="center"/>
          </w:tcPr>
          <w:p w14:paraId="2A5337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582B1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1F2D2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219D89A" w14:textId="77777777">
        <w:tc>
          <w:tcPr>
            <w:tcW w:w="2160" w:type="dxa"/>
            <w:vAlign w:val="center"/>
          </w:tcPr>
          <w:p w14:paraId="3B724E98"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B3DE6A6" w14:textId="77777777" w:rsidR="00922249" w:rsidRPr="00CB2EC4" w:rsidRDefault="003011D5">
            <w:pPr>
              <w:rPr>
                <w:rFonts w:ascii="Times New Roman" w:hAnsi="Times New Roman" w:cs="Times New Roman"/>
              </w:rPr>
            </w:pPr>
            <w:r w:rsidRPr="00CB2EC4">
              <w:rPr>
                <w:rFonts w:ascii="Times New Roman" w:hAnsi="Times New Roman" w:cs="Times New Roman"/>
              </w:rPr>
              <w:t>the main reason for the good prognosis of early invasive cervical cancer is shallow stromal invasion depth (especially &lt;3mm), which results in low rates of lymph node metastasis and recurrence.</w:t>
            </w:r>
          </w:p>
        </w:tc>
        <w:tc>
          <w:tcPr>
            <w:tcW w:w="1152" w:type="dxa"/>
            <w:vAlign w:val="center"/>
          </w:tcPr>
          <w:p w14:paraId="00C648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1D604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A7B2A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F76BE86" w14:textId="77777777">
        <w:tc>
          <w:tcPr>
            <w:tcW w:w="2160" w:type="dxa"/>
            <w:vAlign w:val="center"/>
          </w:tcPr>
          <w:p w14:paraId="3497419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9BC4029" w14:textId="77777777" w:rsidR="00922249" w:rsidRPr="00CB2EC4" w:rsidRDefault="003011D5">
            <w:pPr>
              <w:rPr>
                <w:rFonts w:ascii="Times New Roman" w:hAnsi="Times New Roman" w:cs="Times New Roman"/>
              </w:rPr>
            </w:pPr>
            <w:r w:rsidRPr="00CB2EC4">
              <w:rPr>
                <w:rFonts w:ascii="Times New Roman" w:hAnsi="Times New Roman" w:cs="Times New Roman"/>
              </w:rPr>
              <w:t>the main reasons for the favorable prognosis of early invasive cervical cancer</w:t>
            </w:r>
            <w:r w:rsidRPr="00CB2EC4">
              <w:rPr>
                <w:rFonts w:ascii="Times New Roman" w:hAnsi="Times New Roman" w:cs="Times New Roman"/>
              </w:rPr>
              <w:br/>
            </w:r>
            <w:r w:rsidRPr="00CB2EC4">
              <w:rPr>
                <w:rFonts w:ascii="Times New Roman" w:hAnsi="Times New Roman" w:cs="Times New Roman"/>
              </w:rPr>
              <w:br/>
              <w:t>The favorable prognosis of early invasive cervical cancer (such as FIGO IA stage) is primarily due to:</w:t>
            </w:r>
            <w:r w:rsidRPr="00CB2EC4">
              <w:rPr>
                <w:rFonts w:ascii="Times New Roman" w:hAnsi="Times New Roman" w:cs="Times New Roman"/>
              </w:rPr>
              <w:br/>
            </w:r>
            <w:r w:rsidRPr="00CB2EC4">
              <w:rPr>
                <w:rFonts w:ascii="Times New Roman" w:hAnsi="Times New Roman" w:cs="Times New Roman"/>
              </w:rPr>
              <w:lastRenderedPageBreak/>
              <w:t>- The tumor is localized and superficially invasive: Early invasive cancer (e.g., with stromal invasion depth ≤3 mm) is usually confined to the cervical epithelium, lacks lymphovascular space invasion (LVSI), has an extremely low rate of lymph node metastasis (&lt;1%), and can be radically treated with local therapy (such as conization or hysterectomy).</w:t>
            </w:r>
          </w:p>
        </w:tc>
        <w:tc>
          <w:tcPr>
            <w:tcW w:w="1152" w:type="dxa"/>
            <w:vAlign w:val="center"/>
          </w:tcPr>
          <w:p w14:paraId="35F62A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FC966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7CEC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C538850" w14:textId="77777777">
        <w:tc>
          <w:tcPr>
            <w:tcW w:w="10656" w:type="dxa"/>
            <w:gridSpan w:val="5"/>
            <w:tcBorders>
              <w:bottom w:val="single" w:sz="6" w:space="0" w:color="auto"/>
            </w:tcBorders>
            <w:vAlign w:val="center"/>
          </w:tcPr>
          <w:p w14:paraId="1978048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160: For the treatment of early invasive adenocarcinoma of the cervix, which treatment combination is not recommended in the text, and what is the reason given?</w:t>
            </w:r>
          </w:p>
        </w:tc>
      </w:tr>
      <w:tr w:rsidR="00922249" w:rsidRPr="00CB2EC4" w14:paraId="43D6D4DC" w14:textId="77777777">
        <w:tc>
          <w:tcPr>
            <w:tcW w:w="2160" w:type="dxa"/>
            <w:vAlign w:val="center"/>
          </w:tcPr>
          <w:p w14:paraId="1BA13EE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3F6F598" w14:textId="77777777" w:rsidR="00922249" w:rsidRPr="00CB2EC4" w:rsidRDefault="003011D5">
            <w:pPr>
              <w:rPr>
                <w:rFonts w:ascii="Times New Roman" w:hAnsi="Times New Roman" w:cs="Times New Roman"/>
              </w:rPr>
            </w:pPr>
            <w:r w:rsidRPr="00CB2EC4">
              <w:rPr>
                <w:rFonts w:ascii="Times New Roman" w:hAnsi="Times New Roman" w:cs="Times New Roman"/>
              </w:rPr>
              <w:t>no specific treatment combination is recommended against for early invasive cervical adenocarcinoma in the provided text, and no reason is given for any such non-recommendation.</w:t>
            </w:r>
          </w:p>
        </w:tc>
        <w:tc>
          <w:tcPr>
            <w:tcW w:w="1152" w:type="dxa"/>
            <w:vAlign w:val="center"/>
          </w:tcPr>
          <w:p w14:paraId="04387B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5DCEE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7A79A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8239FBD" w14:textId="77777777">
        <w:tc>
          <w:tcPr>
            <w:tcW w:w="2160" w:type="dxa"/>
            <w:vAlign w:val="center"/>
          </w:tcPr>
          <w:p w14:paraId="23B0DCC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3139F5B" w14:textId="77777777" w:rsidR="00922249" w:rsidRPr="00CB2EC4" w:rsidRDefault="003011D5">
            <w:pPr>
              <w:rPr>
                <w:rFonts w:ascii="Times New Roman" w:hAnsi="Times New Roman" w:cs="Times New Roman"/>
              </w:rPr>
            </w:pPr>
            <w:r w:rsidRPr="00CB2EC4">
              <w:rPr>
                <w:rFonts w:ascii="Times New Roman" w:hAnsi="Times New Roman" w:cs="Times New Roman"/>
              </w:rPr>
              <w:t>The provided document fragment does not contain specific information related to the treatment of early-stage invasive cervical adenocarcinoma. Therefore, it is impossible to determine which treatment combinations are not recommended or the reasons behind such recommendations.</w:t>
            </w:r>
            <w:r w:rsidRPr="00CB2EC4">
              <w:rPr>
                <w:rFonts w:ascii="Times New Roman" w:hAnsi="Times New Roman" w:cs="Times New Roman"/>
              </w:rPr>
              <w:br/>
            </w:r>
            <w:r w:rsidRPr="00CB2EC4">
              <w:rPr>
                <w:rFonts w:ascii="Times New Roman" w:hAnsi="Times New Roman" w:cs="Times New Roman"/>
              </w:rPr>
              <w:br/>
              <w:t>- The document primarily focuses on malignancies of the vulva and vagina (e.g., sections 386-453), covering types such as squamous cell carcinoma, melanoma, and adenocarcinoma, but does not address treatment options or contraindications for early-stage invasive cervical adenocarcinoma.</w:t>
            </w:r>
            <w:r w:rsidRPr="00CB2EC4">
              <w:rPr>
                <w:rFonts w:ascii="Times New Roman" w:hAnsi="Times New Roman" w:cs="Times New Roman"/>
              </w:rPr>
              <w:br/>
              <w:t>- Mentions of the cervix are limited to epidemiological data (e.g., Table 6-1 in section 453 comparing cervical and vaginal cancer incidence rates) and do not discuss treatment strategies.</w:t>
            </w:r>
            <w:r w:rsidRPr="00CB2EC4">
              <w:rPr>
                <w:rFonts w:ascii="Times New Roman" w:hAnsi="Times New Roman" w:cs="Times New Roman"/>
              </w:rPr>
              <w:br/>
              <w:t xml:space="preserve">- Conclusion: No relevant information is available in the knowledge base. Treatment for early-stage invasive cervical adenocarcinoma should follow </w:t>
            </w:r>
            <w:r w:rsidRPr="00CB2EC4">
              <w:rPr>
                <w:rFonts w:ascii="Times New Roman" w:hAnsi="Times New Roman" w:cs="Times New Roman"/>
              </w:rPr>
              <w:lastRenderedPageBreak/>
              <w:t>specialized gynecological oncology guidelines (e.g., FIGO or NCCN), as this document does not provide such guidance.</w:t>
            </w:r>
          </w:p>
        </w:tc>
        <w:tc>
          <w:tcPr>
            <w:tcW w:w="1152" w:type="dxa"/>
            <w:vAlign w:val="center"/>
          </w:tcPr>
          <w:p w14:paraId="32D53B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96033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AA35C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E1ABD81" w14:textId="77777777">
        <w:tc>
          <w:tcPr>
            <w:tcW w:w="2160" w:type="dxa"/>
            <w:vAlign w:val="center"/>
          </w:tcPr>
          <w:p w14:paraId="79B3E6C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5AA622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the document content, for the treatment of early invasive cervical adenocarcinoma (document fragment 18, relevance: 0.800, indicating treatment principles are the same as for squamous cell carcinoma), the text does not recommend the combination of surgery and radiotherapy (i.e., sequential use such as surgery followed by adjuvant radiotherapy or vice versa). the reasons are as follows:  </w:t>
            </w:r>
            <w:r w:rsidRPr="00CB2EC4">
              <w:rPr>
                <w:rFonts w:ascii="Times New Roman" w:hAnsi="Times New Roman" w:cs="Times New Roman"/>
              </w:rPr>
              <w:br/>
              <w:t xml:space="preserve">- the non-recommended combination: surgery and radiotherapy combination (e.g., postoperative adjuvant radiotherapy). document fragment 36 (relevance: 0.600) explicitly states: "for cases with a high probability of postoperative radiotherapy, the combination of surgery and radiotherapy is not recommended".  </w:t>
            </w:r>
            <w:r w:rsidRPr="00CB2EC4">
              <w:rPr>
                <w:rFonts w:ascii="Times New Roman" w:hAnsi="Times New Roman" w:cs="Times New Roman"/>
              </w:rPr>
              <w:br/>
              <w:t xml:space="preserve">- reasons:  </w:t>
            </w:r>
            <w:r w:rsidRPr="00CB2EC4">
              <w:rPr>
                <w:rFonts w:ascii="Times New Roman" w:hAnsi="Times New Roman" w:cs="Times New Roman"/>
              </w:rPr>
              <w:br/>
              <w:t xml:space="preserve">  - document fragment 36 points out that this combination increases treatment morbidity (complication risk) and recommends choosing pelvic radiotherapy + concurrent chemotherapy as an alternative (evidence level I).  </w:t>
            </w:r>
            <w:r w:rsidRPr="00CB2EC4">
              <w:rPr>
                <w:rFonts w:ascii="Times New Roman" w:hAnsi="Times New Roman" w:cs="Times New Roman"/>
              </w:rPr>
              <w:br/>
              <w:t xml:space="preserve">  - document fragment 10 (relevance: 0.900) provides support: retrospective studies show no significant difference in survival rate, recurrence rate, and treatment morbidity between radiotherapy followed by surgery and radiotherapy alone ("results showed no significant difference in survival rate, tumor recurrence rate, and treatment morbidity between the two groups of patients").  </w:t>
            </w:r>
            <w:r w:rsidRPr="00CB2EC4">
              <w:rPr>
                <w:rFonts w:ascii="Times New Roman" w:hAnsi="Times New Roman" w:cs="Times New Roman"/>
              </w:rPr>
              <w:br/>
              <w:t xml:space="preserve">  - document fragment 32 (relevance: 0.700) adds the reason: radical surgery carries higher risks, including </w:t>
            </w:r>
            <w:r w:rsidRPr="00CB2EC4">
              <w:rPr>
                <w:rFonts w:ascii="Times New Roman" w:hAnsi="Times New Roman" w:cs="Times New Roman"/>
              </w:rPr>
              <w:lastRenderedPageBreak/>
              <w:t xml:space="preserve">surgical mortality (&gt;1%), urinary tract injury (e.g., ureterovaginal fistula incidence 2%~7%), and bladder dysfunction, which outweigh the mortality of radiotherapy alone.  </w:t>
            </w:r>
            <w:r w:rsidRPr="00CB2EC4">
              <w:rPr>
                <w:rFonts w:ascii="Times New Roman" w:hAnsi="Times New Roman" w:cs="Times New Roman"/>
              </w:rPr>
              <w:br/>
              <w:t>therefore, the text does not recommend the combination of surgery and radiotherapy, based on increased complication risk without significant improvement in efficacy.</w:t>
            </w:r>
          </w:p>
        </w:tc>
        <w:tc>
          <w:tcPr>
            <w:tcW w:w="1152" w:type="dxa"/>
            <w:vAlign w:val="center"/>
          </w:tcPr>
          <w:p w14:paraId="74851D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1BE51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D4293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38890A9" w14:textId="77777777">
        <w:tc>
          <w:tcPr>
            <w:tcW w:w="2160" w:type="dxa"/>
            <w:vAlign w:val="center"/>
          </w:tcPr>
          <w:p w14:paraId="52E4DC7F"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0EBDDC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text does not recommend concurrent chemoradiation as the primary treatment combination for early-stage invasive cervical adenocarcinoma.  </w:t>
            </w:r>
            <w:r w:rsidRPr="00CB2EC4">
              <w:rPr>
                <w:rFonts w:ascii="Times New Roman" w:hAnsi="Times New Roman" w:cs="Times New Roman"/>
              </w:rPr>
              <w:br/>
              <w:t xml:space="preserve">reason:  </w:t>
            </w:r>
            <w:r w:rsidRPr="00CB2EC4">
              <w:rPr>
                <w:rFonts w:ascii="Times New Roman" w:hAnsi="Times New Roman" w:cs="Times New Roman"/>
              </w:rPr>
              <w:br/>
              <w:t xml:space="preserve">- the non-recommended treatment combination: concurrent chemoradiation (i.e., chemoradiotherapy).  </w:t>
            </w:r>
            <w:r w:rsidRPr="00CB2EC4">
              <w:rPr>
                <w:rFonts w:ascii="Times New Roman" w:hAnsi="Times New Roman" w:cs="Times New Roman"/>
              </w:rPr>
              <w:br/>
              <w:t xml:space="preserve">- basis:  </w:t>
            </w:r>
            <w:r w:rsidRPr="00CB2EC4">
              <w:rPr>
                <w:rFonts w:ascii="Times New Roman" w:hAnsi="Times New Roman" w:cs="Times New Roman"/>
              </w:rPr>
              <w:br/>
              <w:t xml:space="preserve">  - knowledge base document: states that "adenocarcinoma of the cervix has poorer radiosensitivity than squamous cell carcinoma, with early lymphatic metastasis and worse prognosis," but does not explicitly oppose chemoradiation. however, for early invasive cancer, the document implies surgery as the primary approach (e.g., "surgery is the most effective and first-choice treatment for malignant melanoma," though this refers to melanoma; cervical cancer sections suggest surgery predominance).  </w:t>
            </w:r>
            <w:r w:rsidRPr="00CB2EC4">
              <w:rPr>
                <w:rFonts w:ascii="Times New Roman" w:hAnsi="Times New Roman" w:cs="Times New Roman"/>
              </w:rPr>
              <w:br/>
              <w:t xml:space="preserve">  - web search results: clearly indicate that for early cervical cancer (including adenocarcinoma), "chemotherapy is mainly used for advanced or recurrent/metastatic disease, or as adjuvant to surgery or radiotherapy," but for early-stage invasive cancer (e.g., IA1 without lymphovascular space invasion), primary treatment is surgery (e.g., cervical conization), and chemoradiation is not recommended due to high cure rates with surgery (&gt;95% 5-year </w:t>
            </w:r>
            <w:r w:rsidRPr="00CB2EC4">
              <w:rPr>
                <w:rFonts w:ascii="Times New Roman" w:hAnsi="Times New Roman" w:cs="Times New Roman"/>
              </w:rPr>
              <w:lastRenderedPageBreak/>
              <w:t xml:space="preserve">survival) and potential increased toxicity (e.g., radiation dermatitis, myelosuppression) without proven survival benefit. specifically: "simple radiotherapy can cure a few patients, but 5-year survival rates are far lower than with surgical treatment"; "expert panel does not recommend low-dose or intermediate-dose interferon as adjuvant therapy" (for melanoma, but analogously, early cervical cancer does not warrant aggressive chemoradiation).  </w:t>
            </w:r>
            <w:r w:rsidRPr="00CB2EC4">
              <w:rPr>
                <w:rFonts w:ascii="Times New Roman" w:hAnsi="Times New Roman" w:cs="Times New Roman"/>
              </w:rPr>
              <w:br/>
              <w:t xml:space="preserve">- specific rationale: the text implies that concurrent chemoradiation is unsuitable for early stages because surgery achieves high cure rates, while chemoradiation may reduce quality of life due to side effects and lacks evidence of further survival improvement.  </w:t>
            </w:r>
            <w:r w:rsidRPr="00CB2EC4">
              <w:rPr>
                <w:rFonts w:ascii="Times New Roman" w:hAnsi="Times New Roman" w:cs="Times New Roman"/>
              </w:rPr>
              <w:br/>
              <w:t xml:space="preserve">source: web search results provide explicit treatment guidelines; knowledge base documents support surgery-first principle. no contradiction, but web data offers greater detail.  </w:t>
            </w:r>
            <w:r w:rsidRPr="00CB2EC4">
              <w:rPr>
                <w:rFonts w:ascii="Times New Roman" w:hAnsi="Times New Roman" w:cs="Times New Roman"/>
              </w:rPr>
              <w:br/>
            </w:r>
            <w:r w:rsidRPr="00CB2EC4">
              <w:rPr>
                <w:rFonts w:ascii="Times New Roman" w:hAnsi="Times New Roman" w:cs="Times New Roman"/>
              </w:rPr>
              <w:br/>
              <w:t xml:space="preserve">overall note  </w:t>
            </w:r>
            <w:r w:rsidRPr="00CB2EC4">
              <w:rPr>
                <w:rFonts w:ascii="Times New Roman" w:hAnsi="Times New Roman" w:cs="Times New Roman"/>
              </w:rPr>
              <w:br/>
              <w:t xml:space="preserve">- all responses are based solely on the provided context. knowledge base documents supply core medical content (e.g., prognostic factors, surgical strategies); web search results supplement with treatment details and current guidelines (e.g., radiotherapy objectives, non-recommended combinations).  </w:t>
            </w:r>
            <w:r w:rsidRPr="00CB2EC4">
              <w:rPr>
                <w:rFonts w:ascii="Times New Roman" w:hAnsi="Times New Roman" w:cs="Times New Roman"/>
              </w:rPr>
              <w:br/>
              <w:t xml:space="preserve">- if direct answers were unavailable in the context, it would be stated; here, all questions are addressed with relevant information.  </w:t>
            </w:r>
            <w:r w:rsidRPr="00CB2EC4">
              <w:rPr>
                <w:rFonts w:ascii="Times New Roman" w:hAnsi="Times New Roman" w:cs="Times New Roman"/>
              </w:rPr>
              <w:br/>
              <w:t xml:space="preserve">- responses aim for professionalism and accuracy, consistent with gynecologic oncology principles. </w:t>
            </w:r>
            <w:r w:rsidRPr="00CB2EC4">
              <w:rPr>
                <w:rFonts w:ascii="Times New Roman" w:hAnsi="Times New Roman" w:cs="Times New Roman"/>
              </w:rPr>
              <w:lastRenderedPageBreak/>
              <w:t>further details may be obtained through additional queries if needed.</w:t>
            </w:r>
          </w:p>
        </w:tc>
        <w:tc>
          <w:tcPr>
            <w:tcW w:w="1152" w:type="dxa"/>
            <w:vAlign w:val="center"/>
          </w:tcPr>
          <w:p w14:paraId="63A846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9A1F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A7AC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3A170AD" w14:textId="77777777">
        <w:tc>
          <w:tcPr>
            <w:tcW w:w="2160" w:type="dxa"/>
            <w:vAlign w:val="center"/>
          </w:tcPr>
          <w:p w14:paraId="792262B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3731A64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w:t>
            </w:r>
            <w:r w:rsidRPr="00CB2EC4">
              <w:rPr>
                <w:rFonts w:ascii="Times New Roman" w:hAnsi="Times New Roman" w:cs="Times New Roman"/>
              </w:rPr>
              <w:br/>
              <w:t xml:space="preserve">- Not recommended treatment combination: superimposition of surgery and radiotherapy (i.e., surgery followed by radiotherapy or vice versa).  </w:t>
            </w:r>
            <w:r w:rsidRPr="00CB2EC4">
              <w:rPr>
                <w:rFonts w:ascii="Times New Roman" w:hAnsi="Times New Roman" w:cs="Times New Roman"/>
              </w:rPr>
              <w:br/>
              <w:t xml:space="preserve">- Reason: Annotation b in document fragment 23 states: "The choice of secondary surgery needs to consider postoperative pathological findings, the patient's tolerance for reoperation, and local medical capabilities. ... For cases with a high likelihood of postoperative radiotherapy, the superimposition of surgery and radiotherapy is not recommended; instead, pelvic radiotherapy plus concurrent chemotherapy is suggested." The reasons include:  </w:t>
            </w:r>
            <w:r w:rsidRPr="00CB2EC4">
              <w:rPr>
                <w:rFonts w:ascii="Times New Roman" w:hAnsi="Times New Roman" w:cs="Times New Roman"/>
              </w:rPr>
              <w:br/>
              <w:t xml:space="preserve">  - Superimposed treatment may increase complication risks without additional survival benefits ("no need for adjuvant radiotherapy after surgery" is feasible in some cases, but the superimposed approach is not recommended).  </w:t>
            </w:r>
            <w:r w:rsidRPr="00CB2EC4">
              <w:rPr>
                <w:rFonts w:ascii="Times New Roman" w:hAnsi="Times New Roman" w:cs="Times New Roman"/>
              </w:rPr>
              <w:br/>
              <w:t xml:space="preserve">  - For cases with high postoperative radiotherapy probability, a single modality (such as radiotherapy plus chemotherapy) is superior to avoid overtreatment and reduce side effects.  </w:t>
            </w:r>
            <w:r w:rsidRPr="00CB2EC4">
              <w:rPr>
                <w:rFonts w:ascii="Times New Roman" w:hAnsi="Times New Roman" w:cs="Times New Roman"/>
              </w:rPr>
              <w:br/>
            </w:r>
            <w:r w:rsidRPr="00CB2EC4">
              <w:rPr>
                <w:rFonts w:ascii="Times New Roman" w:hAnsi="Times New Roman" w:cs="Times New Roman"/>
              </w:rPr>
              <w:br/>
              <w:t>This recommendation is based on the principle of individualized treatment, emphasizing the avoidance of unnecessary treatment superimposition.</w:t>
            </w:r>
          </w:p>
        </w:tc>
        <w:tc>
          <w:tcPr>
            <w:tcW w:w="1152" w:type="dxa"/>
            <w:vAlign w:val="center"/>
          </w:tcPr>
          <w:p w14:paraId="06C3BF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E9DA5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0F5E0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A43AEB5" w14:textId="77777777">
        <w:tc>
          <w:tcPr>
            <w:tcW w:w="2160" w:type="dxa"/>
            <w:vAlign w:val="center"/>
          </w:tcPr>
          <w:p w14:paraId="336C4C6E"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CBCD88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the treatment of early-stage invasive cervical adenocarcinoma, the text does not recommend any specific treatment combinations, as the provided documents do not discuss specific treatment regimens or contraindicated combinations for early-stage </w:t>
            </w:r>
            <w:r w:rsidRPr="00CB2EC4">
              <w:rPr>
                <w:rFonts w:ascii="Times New Roman" w:hAnsi="Times New Roman" w:cs="Times New Roman"/>
              </w:rPr>
              <w:lastRenderedPageBreak/>
              <w:t>invasive cervical adenocarcinoma. The content of the documents primarily addresses chemotherapy regimens for other gynecological malignancies such as vulvar cancer and melanoma (e.g., Document 21 mentions cisplatin, 5-FU, paclitaxel, etc., for vulvar cancer), but it does not cover treatment guidelines, recommended regimens, or non-recommended combinations for cervical adenocarcinoma. Therefore, it is impossible to answer the questions "Which treatment combinations are not recommended" and "the reasons" based on the aforementioned documents, as the supporting evidence is lacking.</w:t>
            </w:r>
          </w:p>
        </w:tc>
        <w:tc>
          <w:tcPr>
            <w:tcW w:w="1152" w:type="dxa"/>
            <w:vAlign w:val="center"/>
          </w:tcPr>
          <w:p w14:paraId="53CC62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2F45A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34788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868BB5E" w14:textId="77777777">
        <w:tc>
          <w:tcPr>
            <w:tcW w:w="2160" w:type="dxa"/>
            <w:vAlign w:val="center"/>
          </w:tcPr>
          <w:p w14:paraId="1192485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3ED414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the document content, for the treatment of early-stage invasive cervical adenocarcinoma, the text does not recommend the combination of surgery and radiotherapy (i.e., sequential use of surgery followed by radiotherapy or radiotherapy followed by surgery). The reason provided is to avoid unnecessary complications, and it suggests selecting a more efficient treatment regimen such as radiotherapy plus concurrent chemotherapy. The document explicitly states in the annotation: "For cases with a high probability of postoperative radiotherapy, the combination of surgery and radiotherapy is not recommended; instead, pelvic radiotherapy + concurrent chemotherapy is advised." This is because the combination of surgery and radiotherapy may increase treatment-related toxicity (e.g., tissue damage, fistula formation), while directly adopting radiotherapy plus chemotherapy can improve local control rates, especially for high-risk cases. The document also notes that the treatment principles for cervical adenocarcinoma are similar to those for squamous cell carcinoma, but emphasizes that </w:t>
            </w:r>
            <w:r w:rsidRPr="00CB2EC4">
              <w:rPr>
                <w:rFonts w:ascii="Times New Roman" w:hAnsi="Times New Roman" w:cs="Times New Roman"/>
              </w:rPr>
              <w:lastRenderedPageBreak/>
              <w:t>comprehensive treatment should avoid redundancy.</w:t>
            </w:r>
          </w:p>
        </w:tc>
        <w:tc>
          <w:tcPr>
            <w:tcW w:w="1152" w:type="dxa"/>
            <w:vAlign w:val="center"/>
          </w:tcPr>
          <w:p w14:paraId="2FEE83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C24B6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77541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E2106E9" w14:textId="77777777">
        <w:tc>
          <w:tcPr>
            <w:tcW w:w="2160" w:type="dxa"/>
            <w:vAlign w:val="center"/>
          </w:tcPr>
          <w:p w14:paraId="74E8E3B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574797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Non-recommended treatment combinations include: the superimposition of surgery and radiotherapy (i.e., surgery followed by radiotherapy or vice versa).  </w:t>
            </w:r>
            <w:r w:rsidRPr="00CB2EC4">
              <w:rPr>
                <w:rFonts w:ascii="Times New Roman" w:hAnsi="Times New Roman" w:cs="Times New Roman"/>
              </w:rPr>
              <w:br/>
            </w:r>
            <w:r w:rsidRPr="00CB2EC4">
              <w:rPr>
                <w:rFonts w:ascii="Times New Roman" w:hAnsi="Times New Roman" w:cs="Times New Roman"/>
              </w:rPr>
              <w:br/>
              <w:t>Rationale: This superimposition increases the risk of complications (e.g., wound healing issues, organ damage) with no evidence of improved survival rates; for cases with a high probability of postoperative radiotherapy, monotherapy (e.g., pelvic radiotherapy + concurrent chemotherapy) is recommended to optimize efficacy and reduce risks.</w:t>
            </w:r>
          </w:p>
        </w:tc>
        <w:tc>
          <w:tcPr>
            <w:tcW w:w="1152" w:type="dxa"/>
            <w:vAlign w:val="center"/>
          </w:tcPr>
          <w:p w14:paraId="006379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340DB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A2590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A7184A7" w14:textId="77777777">
        <w:tc>
          <w:tcPr>
            <w:tcW w:w="2160" w:type="dxa"/>
            <w:vAlign w:val="center"/>
          </w:tcPr>
          <w:p w14:paraId="1412F43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62F6DBF" w14:textId="77777777" w:rsidR="00922249" w:rsidRPr="00CB2EC4" w:rsidRDefault="003011D5">
            <w:pPr>
              <w:rPr>
                <w:rFonts w:ascii="Times New Roman" w:hAnsi="Times New Roman" w:cs="Times New Roman"/>
              </w:rPr>
            </w:pPr>
            <w:r w:rsidRPr="00CB2EC4">
              <w:rPr>
                <w:rFonts w:ascii="Times New Roman" w:hAnsi="Times New Roman" w:cs="Times New Roman"/>
              </w:rPr>
              <w:t>Non-recommended treatment combinations: Radical hysterectomy combined with extensive adjuvant radiotherapy or chemotherapy.</w:t>
            </w:r>
            <w:r w:rsidRPr="00CB2EC4">
              <w:rPr>
                <w:rFonts w:ascii="Times New Roman" w:hAnsi="Times New Roman" w:cs="Times New Roman"/>
              </w:rPr>
              <w:br/>
            </w:r>
            <w:r w:rsidRPr="00CB2EC4">
              <w:rPr>
                <w:rFonts w:ascii="Times New Roman" w:hAnsi="Times New Roman" w:cs="Times New Roman"/>
              </w:rPr>
              <w:br/>
              <w:t>Rationale: This combination carries a high risk of complications and mortality, yet its efficacy is not significantly superior to conservative surgical approaches (such as cervical conization or simple hysterectomy). Therefore, for early-stage invasive adenocarcinoma of the cervix, there is a trend toward reducing the scope of surgery to minimize risks, while emphasizing the need for individualized treatment based on comprehensive consideration of tumor size, depth of invasion, differentiation grade, and lymphovascular space invasion.</w:t>
            </w:r>
          </w:p>
        </w:tc>
        <w:tc>
          <w:tcPr>
            <w:tcW w:w="1152" w:type="dxa"/>
            <w:vAlign w:val="center"/>
          </w:tcPr>
          <w:p w14:paraId="5491FF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00C0C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94F83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1E5D269" w14:textId="77777777">
        <w:tc>
          <w:tcPr>
            <w:tcW w:w="2160" w:type="dxa"/>
            <w:vAlign w:val="center"/>
          </w:tcPr>
          <w:p w14:paraId="5FFAC78B"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2C6074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Not recommended treatment combination: The text does not recommend radical surgery (such as radical hysterectomy) as the preferred treatment combination for early invasive cervical cancer.  </w:t>
            </w:r>
            <w:r w:rsidRPr="00CB2EC4">
              <w:rPr>
                <w:rFonts w:ascii="Times New Roman" w:hAnsi="Times New Roman" w:cs="Times New Roman"/>
              </w:rPr>
              <w:br/>
              <w:t xml:space="preserve">- Reason: The text states ([Document Fragment 14]): "Many scholars believe that the mortality rate and </w:t>
            </w:r>
            <w:r w:rsidRPr="00CB2EC4">
              <w:rPr>
                <w:rFonts w:ascii="Times New Roman" w:hAnsi="Times New Roman" w:cs="Times New Roman"/>
              </w:rPr>
              <w:lastRenderedPageBreak/>
              <w:t xml:space="preserve">incidence of surgical complications associated with radical surgery are higher than those of conservative hysterectomy, while the efficacy is not significantly improved." Therefore, for early invasive cervical cancer (including adenocarcinoma), radical surgery is considered overtreatment because it increases mortality and complication risks (e.g., infection, bleeding) without significantly improving survival rates; instead, conservative surgery (such as modified hysterectomy) is recommended to reduce risk.  </w:t>
            </w:r>
            <w:r w:rsidRPr="00CB2EC4">
              <w:rPr>
                <w:rFonts w:ascii="Times New Roman" w:hAnsi="Times New Roman" w:cs="Times New Roman"/>
              </w:rPr>
              <w:br/>
              <w:t>- Note: The text does not specifically distinguish between squamous cell carcinoma or adenocarcinoma; this recommendation applies to early invasive cervical cancer as a whole (including adenocarcinoma). The rationale is based on the balance between complications and efficacy.</w:t>
            </w:r>
          </w:p>
        </w:tc>
        <w:tc>
          <w:tcPr>
            <w:tcW w:w="1152" w:type="dxa"/>
            <w:vAlign w:val="center"/>
          </w:tcPr>
          <w:p w14:paraId="7211D1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0ACBF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E2A90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AEE9A15" w14:textId="77777777">
        <w:tc>
          <w:tcPr>
            <w:tcW w:w="2160" w:type="dxa"/>
            <w:vAlign w:val="center"/>
          </w:tcPr>
          <w:p w14:paraId="18C5F843"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DD1EE63" w14:textId="77777777" w:rsidR="00922249" w:rsidRPr="00CB2EC4" w:rsidRDefault="003011D5">
            <w:pPr>
              <w:rPr>
                <w:rFonts w:ascii="Times New Roman" w:hAnsi="Times New Roman" w:cs="Times New Roman"/>
              </w:rPr>
            </w:pPr>
            <w:r w:rsidRPr="00CB2EC4">
              <w:rPr>
                <w:rFonts w:ascii="Times New Roman" w:hAnsi="Times New Roman" w:cs="Times New Roman"/>
              </w:rPr>
              <w:t>the text does not recommend any specific treatment combination for early invasive adenocarcinoma of the cervix and provides no reason, as the knowledge base contains no information on treatment combinations or non-recommended schemes for this condition. The mention of cervical cancer treatment in the document (with a similarity score of 0.410) pertains only to recurrent cervical cancer, not early invasive adenocarcinoma, and does not include any discussion of recommended or non-recommended treatment combinations or their rationale.</w:t>
            </w:r>
          </w:p>
        </w:tc>
        <w:tc>
          <w:tcPr>
            <w:tcW w:w="1152" w:type="dxa"/>
            <w:vAlign w:val="center"/>
          </w:tcPr>
          <w:p w14:paraId="79B35A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09767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B6133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9CFE626" w14:textId="77777777">
        <w:tc>
          <w:tcPr>
            <w:tcW w:w="2160" w:type="dxa"/>
            <w:vAlign w:val="center"/>
          </w:tcPr>
          <w:p w14:paraId="0E9A070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60D3505" w14:textId="77777777" w:rsidR="00922249" w:rsidRPr="00CB2EC4" w:rsidRDefault="003011D5">
            <w:pPr>
              <w:rPr>
                <w:rFonts w:ascii="Times New Roman" w:hAnsi="Times New Roman" w:cs="Times New Roman"/>
              </w:rPr>
            </w:pPr>
            <w:r w:rsidRPr="00CB2EC4">
              <w:rPr>
                <w:rFonts w:ascii="Times New Roman" w:hAnsi="Times New Roman" w:cs="Times New Roman"/>
              </w:rPr>
              <w:t>Radical hysterectomy plus pelvic lymphadenectomy is not recommended.</w:t>
            </w:r>
            <w:r w:rsidRPr="00CB2EC4">
              <w:rPr>
                <w:rFonts w:ascii="Times New Roman" w:hAnsi="Times New Roman" w:cs="Times New Roman"/>
              </w:rPr>
              <w:br/>
            </w:r>
            <w:r w:rsidRPr="00CB2EC4">
              <w:rPr>
                <w:rFonts w:ascii="Times New Roman" w:hAnsi="Times New Roman" w:cs="Times New Roman"/>
              </w:rPr>
              <w:br/>
              <w:t xml:space="preserve">Reasons:  </w:t>
            </w:r>
            <w:r w:rsidRPr="00CB2EC4">
              <w:rPr>
                <w:rFonts w:ascii="Times New Roman" w:hAnsi="Times New Roman" w:cs="Times New Roman"/>
              </w:rPr>
              <w:br/>
              <w:t xml:space="preserve">- Radical surgery has a higher incidence of complications and mortality, yet its efficacy is not </w:t>
            </w:r>
            <w:r w:rsidRPr="00CB2EC4">
              <w:rPr>
                <w:rFonts w:ascii="Times New Roman" w:hAnsi="Times New Roman" w:cs="Times New Roman"/>
              </w:rPr>
              <w:lastRenderedPageBreak/>
              <w:t xml:space="preserve">significantly superior to conservative surgery.  </w:t>
            </w:r>
            <w:r w:rsidRPr="00CB2EC4">
              <w:rPr>
                <w:rFonts w:ascii="Times New Roman" w:hAnsi="Times New Roman" w:cs="Times New Roman"/>
              </w:rPr>
              <w:br/>
              <w:t xml:space="preserve">- For early-stage invasive adenocarcinoma with an infiltration depth ≤3mm, conservative surgery (such as simple hysterectomy or local excision) can achieve a high cure rate (recurrence rate &lt;2%) while preserving fertility or reducing postoperative dysfunction.  </w:t>
            </w:r>
            <w:r w:rsidRPr="00CB2EC4">
              <w:rPr>
                <w:rFonts w:ascii="Times New Roman" w:hAnsi="Times New Roman" w:cs="Times New Roman"/>
              </w:rPr>
              <w:br/>
              <w:t xml:space="preserve">- The treatment trend favors minimizing the extent of surgery to avoid unnecessary trauma.  </w:t>
            </w:r>
            <w:r w:rsidRPr="00CB2EC4">
              <w:rPr>
                <w:rFonts w:ascii="Times New Roman" w:hAnsi="Times New Roman" w:cs="Times New Roman"/>
              </w:rPr>
              <w:br/>
            </w:r>
            <w:r w:rsidRPr="00CB2EC4">
              <w:rPr>
                <w:rFonts w:ascii="Times New Roman" w:hAnsi="Times New Roman" w:cs="Times New Roman"/>
              </w:rPr>
              <w:br/>
              <w:t>Therefore, radical hysterectomy plus pelvic lymphadenectomy is not recommended as the preferred treatment combination for early-stage invasive adenocarcinoma of the cervix.</w:t>
            </w:r>
          </w:p>
        </w:tc>
        <w:tc>
          <w:tcPr>
            <w:tcW w:w="1152" w:type="dxa"/>
            <w:vAlign w:val="center"/>
          </w:tcPr>
          <w:p w14:paraId="03B7DC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F96ED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C1C03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EE37470" w14:textId="77777777">
        <w:tc>
          <w:tcPr>
            <w:tcW w:w="2160" w:type="dxa"/>
            <w:vAlign w:val="center"/>
          </w:tcPr>
          <w:p w14:paraId="37BD4973"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3B78E2D" w14:textId="77777777" w:rsidR="00922249" w:rsidRPr="00CB2EC4" w:rsidRDefault="003011D5">
            <w:pPr>
              <w:rPr>
                <w:rFonts w:ascii="Times New Roman" w:hAnsi="Times New Roman" w:cs="Times New Roman"/>
              </w:rPr>
            </w:pPr>
            <w:r w:rsidRPr="00CB2EC4">
              <w:rPr>
                <w:rFonts w:ascii="Times New Roman" w:hAnsi="Times New Roman" w:cs="Times New Roman"/>
              </w:rPr>
              <w:t>For the treatment of early-stage invasive adenocarcinoma of the cervix, the text does not recommend radical surgery (such as radical hysterectomy plus pelvic lymphadenectomy) as the routine first-line treatment combination.</w:t>
            </w:r>
            <w:r w:rsidRPr="00CB2EC4">
              <w:rPr>
                <w:rFonts w:ascii="Times New Roman" w:hAnsi="Times New Roman" w:cs="Times New Roman"/>
              </w:rPr>
              <w:br/>
            </w:r>
            <w:r w:rsidRPr="00CB2EC4">
              <w:rPr>
                <w:rFonts w:ascii="Times New Roman" w:hAnsi="Times New Roman" w:cs="Times New Roman"/>
              </w:rPr>
              <w:br/>
              <w:t xml:space="preserve">Reasons:  </w:t>
            </w:r>
            <w:r w:rsidRPr="00CB2EC4">
              <w:rPr>
                <w:rFonts w:ascii="Times New Roman" w:hAnsi="Times New Roman" w:cs="Times New Roman"/>
              </w:rPr>
              <w:br/>
              <w:t xml:space="preserve">- Radical surgery has higher mortality and complication rates compared to conservative hysterectomy, without significantly improved efficacy. Therefore, the trend for treating early-stage invasive cervical cancer leans toward minimizing the surgical scope.  </w:t>
            </w:r>
            <w:r w:rsidRPr="00CB2EC4">
              <w:rPr>
                <w:rFonts w:ascii="Times New Roman" w:hAnsi="Times New Roman" w:cs="Times New Roman"/>
              </w:rPr>
              <w:br/>
              <w:t xml:space="preserve">- Specifically, radical surgeries (e.g., Wertheim procedure) are associated with higher complications (e.g., urinary tract injuries, bladder dysfunction) and mortality rates, yet they show no significant survival advantage over conservative surgeries (e.g., simple hysterectomy or modified procedures). Cited data indicate that conservative surgeries have very low recurrence rates (e.g., Simon reported only 1 </w:t>
            </w:r>
            <w:r w:rsidRPr="00CB2EC4">
              <w:rPr>
                <w:rFonts w:ascii="Times New Roman" w:hAnsi="Times New Roman" w:cs="Times New Roman"/>
              </w:rPr>
              <w:lastRenderedPageBreak/>
              <w:t xml:space="preserve">recurrence among 125 cases).  </w:t>
            </w:r>
            <w:r w:rsidRPr="00CB2EC4">
              <w:rPr>
                <w:rFonts w:ascii="Times New Roman" w:hAnsi="Times New Roman" w:cs="Times New Roman"/>
              </w:rPr>
              <w:br/>
              <w:t xml:space="preserve">- For adenocarcinoma, most pathological studies suggest no significant difference in lymph node metastasis rates, recurrence rates, or mortality between SIAC (stromal invasive adenocarcinoma of the cervix) and SISCC (stromal invasive squamous cell carcinoma), indicating similar prognoses for adenocarcinoma and squamous cell carcinoma. Thus, the principle of conservative surgery applies equally, and overtreatment is not recommended.  </w:t>
            </w:r>
            <w:r w:rsidRPr="00CB2EC4">
              <w:rPr>
                <w:rFonts w:ascii="Times New Roman" w:hAnsi="Times New Roman" w:cs="Times New Roman"/>
              </w:rPr>
              <w:br/>
            </w:r>
            <w:r w:rsidRPr="00CB2EC4">
              <w:rPr>
                <w:rFonts w:ascii="Times New Roman" w:hAnsi="Times New Roman" w:cs="Times New Roman"/>
              </w:rPr>
              <w:br/>
              <w:t>Therefore, the text does not recommend radical surgery combinations due to their high complication rates and lack of significant efficacy superiority over conservative surgeries.</w:t>
            </w:r>
          </w:p>
        </w:tc>
        <w:tc>
          <w:tcPr>
            <w:tcW w:w="1152" w:type="dxa"/>
            <w:vAlign w:val="center"/>
          </w:tcPr>
          <w:p w14:paraId="63D646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E5CEF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E4CAF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F3CD87D" w14:textId="77777777">
        <w:tc>
          <w:tcPr>
            <w:tcW w:w="2160" w:type="dxa"/>
            <w:vAlign w:val="center"/>
          </w:tcPr>
          <w:p w14:paraId="16F6BED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302E80A" w14:textId="77777777" w:rsidR="00922249" w:rsidRPr="00CB2EC4" w:rsidRDefault="003011D5">
            <w:pPr>
              <w:rPr>
                <w:rFonts w:ascii="Times New Roman" w:hAnsi="Times New Roman" w:cs="Times New Roman"/>
              </w:rPr>
            </w:pPr>
            <w:r w:rsidRPr="00CB2EC4">
              <w:rPr>
                <w:rFonts w:ascii="Times New Roman" w:hAnsi="Times New Roman" w:cs="Times New Roman"/>
              </w:rPr>
              <w:t>- Not recommended treatment combinations: Primary treatment with radiotherapy alone or chemoradiotherapy is not recommended.</w:t>
            </w:r>
            <w:r w:rsidRPr="00CB2EC4">
              <w:rPr>
                <w:rFonts w:ascii="Times New Roman" w:hAnsi="Times New Roman" w:cs="Times New Roman"/>
              </w:rPr>
              <w:br/>
              <w:t>- Rationale: Adenocarcinoma has low radiosensitivity, and early invasive adenocarcinoma (e.g., FIGO IA stage) may have unclear margins; radiotherapy or chemoradiotherapy alone may result in inadequate local control and a higher risk of recurrence. The preferred treatment is surgery (such as conization or hysterectomy), which provides accurate pathological assessment and better curative outcomes.</w:t>
            </w:r>
          </w:p>
        </w:tc>
        <w:tc>
          <w:tcPr>
            <w:tcW w:w="1152" w:type="dxa"/>
            <w:vAlign w:val="center"/>
          </w:tcPr>
          <w:p w14:paraId="718C7D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5A94F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B560C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5EFDCAE" w14:textId="77777777">
        <w:tc>
          <w:tcPr>
            <w:tcW w:w="10656" w:type="dxa"/>
            <w:gridSpan w:val="5"/>
            <w:tcBorders>
              <w:bottom w:val="single" w:sz="6" w:space="0" w:color="auto"/>
            </w:tcBorders>
            <w:vAlign w:val="center"/>
          </w:tcPr>
          <w:p w14:paraId="0C4A356A"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161: A 42-year-old patient underwent a cold knife conization for a cervical lesion. The postoperative pathology report indicates cervical squamous cell carcinoma with a stromal invasion depth of 2 mm, no vascular invasion, and no confluent growth, but explicitly states that the cone margins are positive. According to the text, what is the next most appropriate management step? If she is unwilling to undergo further surgery, is radiotherapy a suitable alternative, and what is the recommended radiotherapy regimen?</w:t>
            </w:r>
          </w:p>
        </w:tc>
      </w:tr>
      <w:tr w:rsidR="00922249" w:rsidRPr="00CB2EC4" w14:paraId="3A00D2BF" w14:textId="77777777">
        <w:tc>
          <w:tcPr>
            <w:tcW w:w="2160" w:type="dxa"/>
            <w:vAlign w:val="center"/>
          </w:tcPr>
          <w:p w14:paraId="2DF1C96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FC7D46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next most appropriate treatment measure:  </w:t>
            </w:r>
            <w:r w:rsidRPr="00CB2EC4">
              <w:rPr>
                <w:rFonts w:ascii="Times New Roman" w:hAnsi="Times New Roman" w:cs="Times New Roman"/>
              </w:rPr>
              <w:br/>
              <w:t xml:space="preserve">  According to the document, after cold knife </w:t>
            </w:r>
            <w:r w:rsidRPr="00CB2EC4">
              <w:rPr>
                <w:rFonts w:ascii="Times New Roman" w:hAnsi="Times New Roman" w:cs="Times New Roman"/>
              </w:rPr>
              <w:lastRenderedPageBreak/>
              <w:t>conization for cervical cancer with positive margins, a hysterectomy should be performed. The document explicitly states: "but those with positive conization margins should still undergo hysterectomy" (found in the section on indications for cold knife cervical conization). The patient has cervical squamous cell carcinoma with stromal invasion depth of 2 mm (classified as stage IA1), no lymphovascular invasion, and no confluent growth, but with positive margins; therefore, the preferred treatment is total hysterectomy (e.g., extrafascial total hysterectomy). The document emphasizes that positive margins increase the risk of residual or recurrent disease, and surgery is the standard management.</w:t>
            </w:r>
            <w:r w:rsidRPr="00CB2EC4">
              <w:rPr>
                <w:rFonts w:ascii="Times New Roman" w:hAnsi="Times New Roman" w:cs="Times New Roman"/>
              </w:rPr>
              <w:br/>
            </w:r>
            <w:r w:rsidRPr="00CB2EC4">
              <w:rPr>
                <w:rFonts w:ascii="Times New Roman" w:hAnsi="Times New Roman" w:cs="Times New Roman"/>
              </w:rPr>
              <w:br/>
              <w:t xml:space="preserve">- Is radiotherapy an appropriate alternative if she refuses further surgery, and what is the recommended radiotherapy regimen:  </w:t>
            </w:r>
            <w:r w:rsidRPr="00CB2EC4">
              <w:rPr>
                <w:rFonts w:ascii="Times New Roman" w:hAnsi="Times New Roman" w:cs="Times New Roman"/>
              </w:rPr>
              <w:br/>
              <w:t xml:space="preserve">  If the patient declines surgery, radiotherapy may be used as an alternative, but the document specifies this applies to patients with surgical contraindications (e.g., medical reasons precluding surgery). The document states: "patients with surgical contraindications may receive radiotherapy" (found in the radiotherapy section). However, the document does not clarify the equivalence of radiotherapy when margins are positive, and surgery remains the first choice. The radiotherapy regimen is based on stage IA cervical cancer:  </w:t>
            </w:r>
            <w:r w:rsidRPr="00CB2EC4">
              <w:rPr>
                <w:rFonts w:ascii="Times New Roman" w:hAnsi="Times New Roman" w:cs="Times New Roman"/>
              </w:rPr>
              <w:br/>
              <w:t xml:space="preserve">  - Given no lymphovascular invasion (stage IA1), simple brachytherapy with a total Point A dose of 60–70 Gy (fractionated) is recommended.  </w:t>
            </w:r>
            <w:r w:rsidRPr="00CB2EC4">
              <w:rPr>
                <w:rFonts w:ascii="Times New Roman" w:hAnsi="Times New Roman" w:cs="Times New Roman"/>
              </w:rPr>
              <w:br/>
              <w:t xml:space="preserve">  - But positive margins may indicate higher risk, so consideration should be given to adding pelvic </w:t>
            </w:r>
            <w:r w:rsidRPr="00CB2EC4">
              <w:rPr>
                <w:rFonts w:ascii="Times New Roman" w:hAnsi="Times New Roman" w:cs="Times New Roman"/>
              </w:rPr>
              <w:lastRenderedPageBreak/>
              <w:t xml:space="preserve">external beam radiotherapy, with total Point A dose increased to 75–80 Gy (the document notes: "other IA stages may receive brachytherapy plus pelvic external beam irradiation, with total Point A dose of 75–80 Gy").  </w:t>
            </w:r>
            <w:r w:rsidRPr="00CB2EC4">
              <w:rPr>
                <w:rFonts w:ascii="Times New Roman" w:hAnsi="Times New Roman" w:cs="Times New Roman"/>
              </w:rPr>
              <w:br/>
              <w:t xml:space="preserve">  In summary, radiotherapy is an appropriate alternative if surgery is refused, but the patient should be informed that surgery is preferred and radiotherapy may be less definitive. Recommended regimen: brachytherapy alone (Point A 60–70 Gy) or brachytherapy plus pelvic external beam irradiation (Point A 75–80 Gy), depending on clinical assessment and patient tolerance.</w:t>
            </w:r>
          </w:p>
        </w:tc>
        <w:tc>
          <w:tcPr>
            <w:tcW w:w="1152" w:type="dxa"/>
            <w:vAlign w:val="center"/>
          </w:tcPr>
          <w:p w14:paraId="202D1D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DE226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7EAE9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74A3661" w14:textId="77777777">
        <w:tc>
          <w:tcPr>
            <w:tcW w:w="2160" w:type="dxa"/>
            <w:vAlign w:val="center"/>
          </w:tcPr>
          <w:p w14:paraId="4CA1A9F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7102A553" w14:textId="77777777" w:rsidR="00922249" w:rsidRPr="00CB2EC4" w:rsidRDefault="003011D5">
            <w:pPr>
              <w:rPr>
                <w:rFonts w:ascii="Times New Roman" w:hAnsi="Times New Roman" w:cs="Times New Roman"/>
              </w:rPr>
            </w:pPr>
            <w:r w:rsidRPr="00CB2EC4">
              <w:rPr>
                <w:rFonts w:ascii="Times New Roman" w:hAnsi="Times New Roman" w:cs="Times New Roman"/>
              </w:rPr>
              <w:t>subsequent treatment and radiotherapy plan for positive cone margins</w:t>
            </w:r>
            <w:r w:rsidRPr="00CB2EC4">
              <w:rPr>
                <w:rFonts w:ascii="Times New Roman" w:hAnsi="Times New Roman" w:cs="Times New Roman"/>
              </w:rPr>
              <w:br/>
            </w:r>
            <w:r w:rsidRPr="00CB2EC4">
              <w:rPr>
                <w:rFonts w:ascii="Times New Roman" w:hAnsi="Times New Roman" w:cs="Times New Roman"/>
              </w:rPr>
              <w:br/>
              <w:t>Next step treatment: According to document fragment 1 (block No. 475) and fragment 7 (block No. 9), patients with positive cone margins should undergo hysterectomy even if they meet the criteria for conservative treatment (stromal invasion ≤ 3 mm, no vascular invasion). Fragment 7 explicitly states: "Patients with positive cone margins should still undergo hysterectomy."</w:t>
            </w:r>
            <w:r w:rsidRPr="00CB2EC4">
              <w:rPr>
                <w:rFonts w:ascii="Times New Roman" w:hAnsi="Times New Roman" w:cs="Times New Roman"/>
              </w:rPr>
              <w:br/>
              <w:t xml:space="preserve">- Alternative radiotherapy option: If the patient refuses surgery, radiotherapy can be used as an alternative. According to fragment 6 (block No. 44) and fragment 13 (block No. 481), the recommended regimen is:  </w:t>
            </w:r>
            <w:r w:rsidRPr="00CB2EC4">
              <w:rPr>
                <w:rFonts w:ascii="Times New Roman" w:hAnsi="Times New Roman" w:cs="Times New Roman"/>
              </w:rPr>
              <w:br/>
              <w:t xml:space="preserve">  Pelvic external beam radiotherapy + brachytherapy ± concurrent platinum-based chemotherapy, with a total dose of 75–80 Gy to point A (fragment 13). Note, however, that radiotherapy is less effective for adenocarcinoma (fragment 2); this case involves squamous cell carcinoma and is applicable.</w:t>
            </w:r>
          </w:p>
        </w:tc>
        <w:tc>
          <w:tcPr>
            <w:tcW w:w="1152" w:type="dxa"/>
            <w:vAlign w:val="center"/>
          </w:tcPr>
          <w:p w14:paraId="0D8D42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F33C7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07583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28CFCC0" w14:textId="77777777">
        <w:tc>
          <w:tcPr>
            <w:tcW w:w="2160" w:type="dxa"/>
            <w:vAlign w:val="center"/>
          </w:tcPr>
          <w:p w14:paraId="3515049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025E5354" w14:textId="77777777" w:rsidR="00922249" w:rsidRPr="00CB2EC4" w:rsidRDefault="003011D5">
            <w:pPr>
              <w:rPr>
                <w:rFonts w:ascii="Times New Roman" w:hAnsi="Times New Roman" w:cs="Times New Roman"/>
              </w:rPr>
            </w:pPr>
            <w:r w:rsidRPr="00CB2EC4">
              <w:rPr>
                <w:rFonts w:ascii="Times New Roman" w:hAnsi="Times New Roman" w:cs="Times New Roman"/>
              </w:rPr>
              <w:t>the most appropriate next treatment measure is hysterectomy.</w:t>
            </w:r>
            <w:r w:rsidRPr="00CB2EC4">
              <w:rPr>
                <w:rFonts w:ascii="Times New Roman" w:hAnsi="Times New Roman" w:cs="Times New Roman"/>
              </w:rPr>
              <w:br/>
            </w:r>
            <w:r w:rsidRPr="00CB2EC4">
              <w:rPr>
                <w:rFonts w:ascii="Times New Roman" w:hAnsi="Times New Roman" w:cs="Times New Roman"/>
              </w:rPr>
              <w:br/>
              <w:t>if the patient refuses further surgery, radiotherapy is a suitable alternative. the recommended radiotherapy regimen is: combined intracavitary and external pelvic irradiation, with a total dose of 75–80 Gy at point A.</w:t>
            </w:r>
          </w:p>
        </w:tc>
        <w:tc>
          <w:tcPr>
            <w:tcW w:w="1152" w:type="dxa"/>
            <w:vAlign w:val="center"/>
          </w:tcPr>
          <w:p w14:paraId="77AF66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01E3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8CCC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79A1DC" w14:textId="77777777">
        <w:tc>
          <w:tcPr>
            <w:tcW w:w="2160" w:type="dxa"/>
            <w:vAlign w:val="center"/>
          </w:tcPr>
          <w:p w14:paraId="75C90D77"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D168585" w14:textId="77777777" w:rsidR="00922249" w:rsidRPr="00CB2EC4" w:rsidRDefault="003011D5">
            <w:pPr>
              <w:rPr>
                <w:rFonts w:ascii="Times New Roman" w:hAnsi="Times New Roman" w:cs="Times New Roman"/>
              </w:rPr>
            </w:pPr>
            <w:r w:rsidRPr="00CB2EC4">
              <w:rPr>
                <w:rFonts w:ascii="Times New Roman" w:hAnsi="Times New Roman" w:cs="Times New Roman"/>
              </w:rPr>
              <w:t>Management of Positive Cone Margins and Radiotherapy Regimens</w:t>
            </w:r>
            <w:r w:rsidRPr="00CB2EC4">
              <w:rPr>
                <w:rFonts w:ascii="Times New Roman" w:hAnsi="Times New Roman" w:cs="Times New Roman"/>
              </w:rPr>
              <w:br/>
            </w:r>
            <w:r w:rsidRPr="00CB2EC4">
              <w:rPr>
                <w:rFonts w:ascii="Times New Roman" w:hAnsi="Times New Roman" w:cs="Times New Roman"/>
              </w:rPr>
              <w:br/>
              <w:t>Knowledge Base File References:</w:t>
            </w:r>
            <w:r w:rsidRPr="00CB2EC4">
              <w:rPr>
                <w:rFonts w:ascii="Times New Roman" w:hAnsi="Times New Roman" w:cs="Times New Roman"/>
              </w:rPr>
              <w:br/>
              <w:t>- Cold knife conization is suitable for patients with stromal invasion depth ≤3 mm, no lymph-vascular space invasion, and who wish to preserve fertility; however, patients with positive margins should still receive hysterectomy (Knowledge Base File: "Cold Knife Conization Indications" section).</w:t>
            </w:r>
            <w:r w:rsidRPr="00CB2EC4">
              <w:rPr>
                <w:rFonts w:ascii="Times New Roman" w:hAnsi="Times New Roman" w:cs="Times New Roman"/>
              </w:rPr>
              <w:br/>
              <w:t>- If the patient refuses surgery, radiotherapy can be used as an alternative regimen:</w:t>
            </w:r>
            <w:r w:rsidRPr="00CB2EC4">
              <w:rPr>
                <w:rFonts w:ascii="Times New Roman" w:hAnsi="Times New Roman" w:cs="Times New Roman"/>
              </w:rPr>
              <w:br/>
              <w:t xml:space="preserve">  - Stage IA without lymph-vascular space invasion: intracavitary radiotherapy alone, total dose at Point A 60-70 Gy.</w:t>
            </w:r>
            <w:r w:rsidRPr="00CB2EC4">
              <w:rPr>
                <w:rFonts w:ascii="Times New Roman" w:hAnsi="Times New Roman" w:cs="Times New Roman"/>
              </w:rPr>
              <w:br/>
              <w:t xml:space="preserve">  - Other Stage IA (e.g., with lymph-vascular space invasion): intracavitary radiotherapy combined with pelvic external beam irradiation, total dose at Point A 75-80 Gy (Knowledge Base File: "Radiotherapy" section).</w:t>
            </w:r>
            <w:r w:rsidRPr="00CB2EC4">
              <w:rPr>
                <w:rFonts w:ascii="Times New Roman" w:hAnsi="Times New Roman" w:cs="Times New Roman"/>
              </w:rPr>
              <w:br/>
            </w:r>
            <w:r w:rsidRPr="00CB2EC4">
              <w:rPr>
                <w:rFonts w:ascii="Times New Roman" w:hAnsi="Times New Roman" w:cs="Times New Roman"/>
              </w:rPr>
              <w:br/>
              <w:t>Online Search Supplement:</w:t>
            </w:r>
            <w:r w:rsidRPr="00CB2EC4">
              <w:rPr>
                <w:rFonts w:ascii="Times New Roman" w:hAnsi="Times New Roman" w:cs="Times New Roman"/>
              </w:rPr>
              <w:br/>
              <w:t>- For unexpectedly discovered cervical cancer (e.g., positive margins after conization), adjuvant radiotherapy should be combined with concurrent platinum-based chemotherapy (Online Search: "Unexpectedly Discovered Cervical Cancer" section).</w:t>
            </w:r>
            <w:r w:rsidRPr="00CB2EC4">
              <w:rPr>
                <w:rFonts w:ascii="Times New Roman" w:hAnsi="Times New Roman" w:cs="Times New Roman"/>
              </w:rPr>
              <w:br/>
            </w:r>
            <w:r w:rsidRPr="00CB2EC4">
              <w:rPr>
                <w:rFonts w:ascii="Times New Roman" w:hAnsi="Times New Roman" w:cs="Times New Roman"/>
              </w:rPr>
              <w:lastRenderedPageBreak/>
              <w:br/>
              <w:t>Conclusion:</w:t>
            </w:r>
            <w:r w:rsidRPr="00CB2EC4">
              <w:rPr>
                <w:rFonts w:ascii="Times New Roman" w:hAnsi="Times New Roman" w:cs="Times New Roman"/>
              </w:rPr>
              <w:br/>
              <w:t>1. Primary treatment plan: Extrafascial hysterectomy (as the 2mm invasion depth meets Stage IA1 criteria).</w:t>
            </w:r>
            <w:r w:rsidRPr="00CB2EC4">
              <w:rPr>
                <w:rFonts w:ascii="Times New Roman" w:hAnsi="Times New Roman" w:cs="Times New Roman"/>
              </w:rPr>
              <w:br/>
              <w:t>2. Alternative plan (if surgery is refused):</w:t>
            </w:r>
            <w:r w:rsidRPr="00CB2EC4">
              <w:rPr>
                <w:rFonts w:ascii="Times New Roman" w:hAnsi="Times New Roman" w:cs="Times New Roman"/>
              </w:rPr>
              <w:br/>
              <w:t xml:space="preserve">   - External beam radiotherapy (EBRT) + concurrent platinum-based chemotherapy (e.g., cisplatin) + individualized vaginal stump intracavitary radiotherapy (due to positive margins).</w:t>
            </w:r>
            <w:r w:rsidRPr="00CB2EC4">
              <w:rPr>
                <w:rFonts w:ascii="Times New Roman" w:hAnsi="Times New Roman" w:cs="Times New Roman"/>
              </w:rPr>
              <w:br/>
              <w:t xml:space="preserve">   - Dosage reference: Total dose at Point A 75-80 Gy (integrating knowledge base and online search).</w:t>
            </w:r>
          </w:p>
        </w:tc>
        <w:tc>
          <w:tcPr>
            <w:tcW w:w="1152" w:type="dxa"/>
            <w:vAlign w:val="center"/>
          </w:tcPr>
          <w:p w14:paraId="240D10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43D74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49FD9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A92CD10" w14:textId="77777777">
        <w:tc>
          <w:tcPr>
            <w:tcW w:w="2160" w:type="dxa"/>
            <w:vAlign w:val="center"/>
          </w:tcPr>
          <w:p w14:paraId="4C43598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ECF4DE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most appropriate next step in treatment:  </w:t>
            </w:r>
            <w:r w:rsidRPr="00CB2EC4">
              <w:rPr>
                <w:rFonts w:ascii="Times New Roman" w:hAnsi="Times New Roman" w:cs="Times New Roman"/>
              </w:rPr>
              <w:br/>
              <w:t>Based on Document Fragment 2 ("Patients with positive cone margins should still undergo hysterectomy"), Document Fragment 3 (under the IA1 stage section, "Patients with positive margins should still undergo hysterectomy"), and Document Fragment 9 (under the indications for cold knife cone biopsy, "Patients with positive cone margins should still undergo hysterectomy"), the most appropriate treatment for squamous cell carcinoma of the cervix with positive margins (stromal invasion depth of 2mm, classified as stage IA1) is extrafascial total hysterectomy. The patient is 42 years old and has no desire for fertility preservation, hence this procedure is recommended.</w:t>
            </w:r>
            <w:r w:rsidRPr="00CB2EC4">
              <w:rPr>
                <w:rFonts w:ascii="Times New Roman" w:hAnsi="Times New Roman" w:cs="Times New Roman"/>
              </w:rPr>
              <w:br/>
            </w:r>
            <w:r w:rsidRPr="00CB2EC4">
              <w:rPr>
                <w:rFonts w:ascii="Times New Roman" w:hAnsi="Times New Roman" w:cs="Times New Roman"/>
              </w:rPr>
              <w:br/>
              <w:t xml:space="preserve">- If surgery is declined, whether radiotherapy is a suitable alternative and recommended option:  </w:t>
            </w:r>
            <w:r w:rsidRPr="00CB2EC4">
              <w:rPr>
                <w:rFonts w:ascii="Times New Roman" w:hAnsi="Times New Roman" w:cs="Times New Roman"/>
              </w:rPr>
              <w:br/>
              <w:t xml:space="preserve">Yes, radiotherapy is a suitable alternative, especially for patients with contraindications to surgery. According to Document Fragment 11 ("Patients with surgical contraindications may undergo radiotherapy; for stage IA cases without lymphovascular space </w:t>
            </w:r>
            <w:r w:rsidRPr="00CB2EC4">
              <w:rPr>
                <w:rFonts w:ascii="Times New Roman" w:hAnsi="Times New Roman" w:cs="Times New Roman"/>
              </w:rPr>
              <w:lastRenderedPageBreak/>
              <w:t>invasion, intracavitary irradiation alone may be performed with a total dose of 60–70Gy at point A"), the patient belongs to stage IA1 (invasion depth &lt;3mm) without lymphovascular space invasion, hence intracavitary irradiation alone is recommended with a total dose of 60–70Gy at point A. If the patient does not meet the criteria for intracavitary irradiation alone (e.g., presence of other risk factors), the document suggests that other stage IA patients may undergo intracavitary irradiation combined with pelvic external beam irradiation with a total dose of 75–80Gy at point A. However, given the absence of lymphovascular space invasion in this case, intracavitary irradiation alone is prioritized.</w:t>
            </w:r>
          </w:p>
        </w:tc>
        <w:tc>
          <w:tcPr>
            <w:tcW w:w="1152" w:type="dxa"/>
            <w:vAlign w:val="center"/>
          </w:tcPr>
          <w:p w14:paraId="01EBEB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2AC3A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5136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C87F6B" w14:textId="77777777">
        <w:tc>
          <w:tcPr>
            <w:tcW w:w="2160" w:type="dxa"/>
            <w:vAlign w:val="center"/>
          </w:tcPr>
          <w:p w14:paraId="5CD1B7D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48611C2" w14:textId="77777777" w:rsidR="00922249" w:rsidRPr="00CB2EC4" w:rsidRDefault="003011D5">
            <w:pPr>
              <w:rPr>
                <w:rFonts w:ascii="Times New Roman" w:hAnsi="Times New Roman" w:cs="Times New Roman"/>
              </w:rPr>
            </w:pPr>
            <w:r w:rsidRPr="00CB2EC4">
              <w:rPr>
                <w:rFonts w:ascii="Times New Roman" w:hAnsi="Times New Roman" w:cs="Times New Roman"/>
              </w:rPr>
              <w:t>the most appropriate next treatment measure is modified radical hysterectomy (Type B or II radical hysterectomy) plus pelvic lymphadenectomy.</w:t>
            </w:r>
            <w:r w:rsidRPr="00CB2EC4">
              <w:rPr>
                <w:rFonts w:ascii="Times New Roman" w:hAnsi="Times New Roman" w:cs="Times New Roman"/>
              </w:rPr>
              <w:br/>
            </w:r>
            <w:r w:rsidRPr="00CB2EC4">
              <w:rPr>
                <w:rFonts w:ascii="Times New Roman" w:hAnsi="Times New Roman" w:cs="Times New Roman"/>
              </w:rPr>
              <w:br/>
              <w:t>if the patient refuses further surgery, radiotherapy may be considered as an alternative, but only for those with surgical contraindications (Document 13). the recommended radiotherapy regimen is:</w:t>
            </w:r>
            <w:r w:rsidRPr="00CB2EC4">
              <w:rPr>
                <w:rFonts w:ascii="Times New Roman" w:hAnsi="Times New Roman" w:cs="Times New Roman"/>
              </w:rPr>
              <w:br/>
              <w:t>- combined intracavitary and external pelvic irradiation, with a total dose of 75–80 Gy to point A (Document 13: "other IA patients may receive intracavitary irradiation plus external pelvic irradiation, with a total point A dose of 75–80 Gy"). here, "other IA patients" includes those with high-risk factors such as positive cone margins. intracavitary irradiation alone (60–70 Gy) is suitable only for IA-stage patients without lymphovascular space invasion and no other risk factors; however, this case involves positive margins, which is a high-risk feature, thus requiring combined external beam irradiation.</w:t>
            </w:r>
            <w:r w:rsidRPr="00CB2EC4">
              <w:rPr>
                <w:rFonts w:ascii="Times New Roman" w:hAnsi="Times New Roman" w:cs="Times New Roman"/>
              </w:rPr>
              <w:br/>
            </w:r>
            <w:r w:rsidRPr="00CB2EC4">
              <w:rPr>
                <w:rFonts w:ascii="Times New Roman" w:hAnsi="Times New Roman" w:cs="Times New Roman"/>
              </w:rPr>
              <w:lastRenderedPageBreak/>
              <w:br/>
              <w:t>in summary:</w:t>
            </w:r>
            <w:r w:rsidRPr="00CB2EC4">
              <w:rPr>
                <w:rFonts w:ascii="Times New Roman" w:hAnsi="Times New Roman" w:cs="Times New Roman"/>
              </w:rPr>
              <w:br/>
              <w:t>- preferred treatment: modified radical hysterectomy + pelvic lymph node dissection.</w:t>
            </w:r>
            <w:r w:rsidRPr="00CB2EC4">
              <w:rPr>
                <w:rFonts w:ascii="Times New Roman" w:hAnsi="Times New Roman" w:cs="Times New Roman"/>
              </w:rPr>
              <w:br/>
              <w:t>- alternative (if surgery is refused or contraindicated): radiotherapy (intracavitary + external pelvic irradiation, point A dose 75–80 Gy).</w:t>
            </w:r>
          </w:p>
        </w:tc>
        <w:tc>
          <w:tcPr>
            <w:tcW w:w="1152" w:type="dxa"/>
            <w:vAlign w:val="center"/>
          </w:tcPr>
          <w:p w14:paraId="566446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FE5DC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053BE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0470599" w14:textId="77777777">
        <w:tc>
          <w:tcPr>
            <w:tcW w:w="2160" w:type="dxa"/>
            <w:vAlign w:val="center"/>
          </w:tcPr>
          <w:p w14:paraId="61CD1F42"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5351CB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next most appropriate treatment measure:  </w:t>
            </w:r>
            <w:r w:rsidRPr="00CB2EC4">
              <w:rPr>
                <w:rFonts w:ascii="Times New Roman" w:hAnsi="Times New Roman" w:cs="Times New Roman"/>
              </w:rPr>
              <w:br/>
              <w:t xml:space="preserve">  according to the document, for early invasive cervical cancer with positive cone margins (stromal invasion depth ≤3mm, no vascular infiltration, no confluent growth), even if conservative treatment criteria are met, a hysterectomy should still be performed. specific basis:  </w:t>
            </w:r>
            <w:r w:rsidRPr="00CB2EC4">
              <w:rPr>
                <w:rFonts w:ascii="Times New Roman" w:hAnsi="Times New Roman" w:cs="Times New Roman"/>
              </w:rPr>
              <w:br/>
              <w:t xml:space="preserve">  - in the context [HyDE similarity: 0.693], it is explicitly stated: "applicable to young patients requiring fertility preservation with stromal invasion depth ≤3mm, no vascular infiltration, no confluent growth, but those with positive cone margins should still undergo hysterectomy."  </w:t>
            </w:r>
            <w:r w:rsidRPr="00CB2EC4">
              <w:rPr>
                <w:rFonts w:ascii="Times New Roman" w:hAnsi="Times New Roman" w:cs="Times New Roman"/>
              </w:rPr>
              <w:br/>
              <w:t xml:space="preserve">  - the patient is 42 years old, with no stated requirement for fertility preservation (the document does not mention fertility preservation intent), and pathology shows positive margins; therefore, the most appropriate measure is a type I (extrafascial) total hysterectomy.  </w:t>
            </w:r>
            <w:r w:rsidRPr="00CB2EC4">
              <w:rPr>
                <w:rFonts w:ascii="Times New Roman" w:hAnsi="Times New Roman" w:cs="Times New Roman"/>
              </w:rPr>
              <w:br/>
              <w:t xml:space="preserve">  - supplementary basis: [HyDE similarity: 0.674] states: "patients with positive margins should still undergo hysterectomy," applicable to IA1 stage cases (invasion depth &lt;3mm).</w:t>
            </w:r>
            <w:r w:rsidRPr="00CB2EC4">
              <w:rPr>
                <w:rFonts w:ascii="Times New Roman" w:hAnsi="Times New Roman" w:cs="Times New Roman"/>
              </w:rPr>
              <w:br/>
            </w:r>
            <w:r w:rsidRPr="00CB2EC4">
              <w:rPr>
                <w:rFonts w:ascii="Times New Roman" w:hAnsi="Times New Roman" w:cs="Times New Roman"/>
              </w:rPr>
              <w:br/>
              <w:t xml:space="preserve">- whether radiotherapy is an appropriate alternative and the recommended regimen:  </w:t>
            </w:r>
            <w:r w:rsidRPr="00CB2EC4">
              <w:rPr>
                <w:rFonts w:ascii="Times New Roman" w:hAnsi="Times New Roman" w:cs="Times New Roman"/>
              </w:rPr>
              <w:br/>
              <w:t xml:space="preserve">  - is it appropriate: yes, radiotherapy can be used as </w:t>
            </w:r>
            <w:r w:rsidRPr="00CB2EC4">
              <w:rPr>
                <w:rFonts w:ascii="Times New Roman" w:hAnsi="Times New Roman" w:cs="Times New Roman"/>
              </w:rPr>
              <w:lastRenderedPageBreak/>
              <w:t xml:space="preserve">an alternative for patients who refuse surgery or have surgical contraindications. the document indicates: "radiotherapy is indicated for all stages of cervical cancer, especially for those with surgical contraindications" ([HyDE similarity: 0.693]: "those with surgical contraindications should receive radiotherapy"; [HyDE similarity: 0.541]: "radiotherapy is applicable to all stages of cervical cancer"). since the patient refuses surgery, radiotherapy is a feasible alternative.  </w:t>
            </w:r>
            <w:r w:rsidRPr="00CB2EC4">
              <w:rPr>
                <w:rFonts w:ascii="Times New Roman" w:hAnsi="Times New Roman" w:cs="Times New Roman"/>
              </w:rPr>
              <w:br/>
              <w:t xml:space="preserve">  - recommended radiotherapy regimen:  </w:t>
            </w:r>
            <w:r w:rsidRPr="00CB2EC4">
              <w:rPr>
                <w:rFonts w:ascii="Times New Roman" w:hAnsi="Times New Roman" w:cs="Times New Roman"/>
              </w:rPr>
              <w:br/>
              <w:t xml:space="preserve">    - the patient has stromal invasion depth of 2mm (IA1 stage) but positive margins, classifying her as "other IA stage" with risk factors. the recommended regimen is intracavitary irradiation plus external pelvic irradiation, with a total point A dose of 75–80 Gy.  </w:t>
            </w:r>
            <w:r w:rsidRPr="00CB2EC4">
              <w:rPr>
                <w:rFonts w:ascii="Times New Roman" w:hAnsi="Times New Roman" w:cs="Times New Roman"/>
              </w:rPr>
              <w:br/>
              <w:t xml:space="preserve">    - specific basis: [HyDE similarity: 0.693] states: "for IA stage without vascular infiltration, simple intracavitary irradiation may be given with a total point A dose of 60–70 Gy; other IA stage cases may receive intracavitary irradiation plus external pelvic irradiation, with a total point A dose of 75–80 Gy." this patient, with positive margins, is categorized as "other IA stage," thus intracavitary + external pelvic irradiation at 75–80 Gy point A dose is recommended.</w:t>
            </w:r>
          </w:p>
        </w:tc>
        <w:tc>
          <w:tcPr>
            <w:tcW w:w="1152" w:type="dxa"/>
            <w:vAlign w:val="center"/>
          </w:tcPr>
          <w:p w14:paraId="319A73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D4D5D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C0113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A7EC3AE" w14:textId="77777777">
        <w:tc>
          <w:tcPr>
            <w:tcW w:w="2160" w:type="dxa"/>
            <w:vAlign w:val="center"/>
          </w:tcPr>
          <w:p w14:paraId="3FAE6BC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16905F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next most appropriate treatment is a type I (simple extrafascial) hysterectomy.  </w:t>
            </w:r>
            <w:r w:rsidRPr="00CB2EC4">
              <w:rPr>
                <w:rFonts w:ascii="Times New Roman" w:hAnsi="Times New Roman" w:cs="Times New Roman"/>
              </w:rPr>
              <w:br/>
              <w:t>if the patient refuses further surgery, radiotherapy is a suitable alternative. the recommended radiotherapy regimen is: combined intracavitary and external pelvic irradiation, with a total dose of 75–80 Gy to point A.</w:t>
            </w:r>
          </w:p>
        </w:tc>
        <w:tc>
          <w:tcPr>
            <w:tcW w:w="1152" w:type="dxa"/>
            <w:vAlign w:val="center"/>
          </w:tcPr>
          <w:p w14:paraId="55177D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12BC4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70C35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A29DA8A" w14:textId="77777777">
        <w:tc>
          <w:tcPr>
            <w:tcW w:w="2160" w:type="dxa"/>
            <w:vAlign w:val="center"/>
          </w:tcPr>
          <w:p w14:paraId="6C25E115"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438D66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most appropriate next treatment measure is </w:t>
            </w:r>
            <w:r w:rsidRPr="00CB2EC4">
              <w:rPr>
                <w:rFonts w:ascii="Times New Roman" w:hAnsi="Times New Roman" w:cs="Times New Roman"/>
              </w:rPr>
              <w:lastRenderedPageBreak/>
              <w:t>hysterectomy.</w:t>
            </w:r>
            <w:r w:rsidRPr="00CB2EC4">
              <w:rPr>
                <w:rFonts w:ascii="Times New Roman" w:hAnsi="Times New Roman" w:cs="Times New Roman"/>
              </w:rPr>
              <w:br/>
            </w:r>
            <w:r w:rsidRPr="00CB2EC4">
              <w:rPr>
                <w:rFonts w:ascii="Times New Roman" w:hAnsi="Times New Roman" w:cs="Times New Roman"/>
              </w:rPr>
              <w:br/>
              <w:t>if the patient refuses further surgery:</w:t>
            </w:r>
            <w:r w:rsidRPr="00CB2EC4">
              <w:rPr>
                <w:rFonts w:ascii="Times New Roman" w:hAnsi="Times New Roman" w:cs="Times New Roman"/>
              </w:rPr>
              <w:br/>
              <w:t>- radiotherapy is an appropriate alternative, especially for patients with surgical contraindications. according to the document: "for IA stage without vascular invasion, simple intracavitary irradiation may be performed, with a total dose of 60–70 Gy at point A." this patient is classified as IA1 without vascular invasion, therefore simple intracavitary irradiation with a total dose of 60–70 Gy at point A is recommended.</w:t>
            </w:r>
            <w:r w:rsidRPr="00CB2EC4">
              <w:rPr>
                <w:rFonts w:ascii="Times New Roman" w:hAnsi="Times New Roman" w:cs="Times New Roman"/>
              </w:rPr>
              <w:br/>
            </w:r>
            <w:r w:rsidRPr="00CB2EC4">
              <w:rPr>
                <w:rFonts w:ascii="Times New Roman" w:hAnsi="Times New Roman" w:cs="Times New Roman"/>
              </w:rPr>
              <w:br/>
              <w:t>summary:</w:t>
            </w:r>
            <w:r w:rsidRPr="00CB2EC4">
              <w:rPr>
                <w:rFonts w:ascii="Times New Roman" w:hAnsi="Times New Roman" w:cs="Times New Roman"/>
              </w:rPr>
              <w:br/>
              <w:t>- most appropriate treatment: hysterectomy.</w:t>
            </w:r>
            <w:r w:rsidRPr="00CB2EC4">
              <w:rPr>
                <w:rFonts w:ascii="Times New Roman" w:hAnsi="Times New Roman" w:cs="Times New Roman"/>
              </w:rPr>
              <w:br/>
              <w:t>- radiotherapy as alternative: appropriate.</w:t>
            </w:r>
            <w:r w:rsidRPr="00CB2EC4">
              <w:rPr>
                <w:rFonts w:ascii="Times New Roman" w:hAnsi="Times New Roman" w:cs="Times New Roman"/>
              </w:rPr>
              <w:br/>
              <w:t>- recommended radiotherapy regimen: simple intracavitary irradiation, total dose at point A: 60–70 Gy.</w:t>
            </w:r>
          </w:p>
        </w:tc>
        <w:tc>
          <w:tcPr>
            <w:tcW w:w="1152" w:type="dxa"/>
            <w:vAlign w:val="center"/>
          </w:tcPr>
          <w:p w14:paraId="1385AC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3B1D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D979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5098A8" w14:textId="77777777">
        <w:tc>
          <w:tcPr>
            <w:tcW w:w="2160" w:type="dxa"/>
            <w:vAlign w:val="center"/>
          </w:tcPr>
          <w:p w14:paraId="62B1D518"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B48E850" w14:textId="77777777" w:rsidR="00922249" w:rsidRPr="00CB2EC4" w:rsidRDefault="003011D5">
            <w:pPr>
              <w:rPr>
                <w:rFonts w:ascii="Times New Roman" w:hAnsi="Times New Roman" w:cs="Times New Roman"/>
              </w:rPr>
            </w:pPr>
            <w:r w:rsidRPr="00CB2EC4">
              <w:rPr>
                <w:rFonts w:ascii="Times New Roman" w:hAnsi="Times New Roman" w:cs="Times New Roman"/>
              </w:rPr>
              <w:t>the next most appropriate treatment measure is a radical hysterectomy (corresponding to B-type surgery in the Q-M classification) plus pelvic lymphadenectomy.</w:t>
            </w:r>
            <w:r w:rsidRPr="00CB2EC4">
              <w:rPr>
                <w:rFonts w:ascii="Times New Roman" w:hAnsi="Times New Roman" w:cs="Times New Roman"/>
              </w:rPr>
              <w:br/>
            </w:r>
            <w:r w:rsidRPr="00CB2EC4">
              <w:rPr>
                <w:rFonts w:ascii="Times New Roman" w:hAnsi="Times New Roman" w:cs="Times New Roman"/>
              </w:rPr>
              <w:br/>
              <w:t>if the patient is unwilling to undergo further surgery:</w:t>
            </w:r>
            <w:r w:rsidRPr="00CB2EC4">
              <w:rPr>
                <w:rFonts w:ascii="Times New Roman" w:hAnsi="Times New Roman" w:cs="Times New Roman"/>
              </w:rPr>
              <w:br/>
              <w:t>- is radiotherapy an appropriate alternative: yes, radiotherapy is an appropriate alternative.</w:t>
            </w:r>
            <w:r w:rsidRPr="00CB2EC4">
              <w:rPr>
                <w:rFonts w:ascii="Times New Roman" w:hAnsi="Times New Roman" w:cs="Times New Roman"/>
              </w:rPr>
              <w:br/>
              <w:t>- recommended radiotherapy regimen: simple intracavitary irradiation, with a total dose of 60~70 Gy to point A.</w:t>
            </w:r>
          </w:p>
        </w:tc>
        <w:tc>
          <w:tcPr>
            <w:tcW w:w="1152" w:type="dxa"/>
            <w:vAlign w:val="center"/>
          </w:tcPr>
          <w:p w14:paraId="170522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14CE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50DD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CA1C31" w14:textId="77777777">
        <w:tc>
          <w:tcPr>
            <w:tcW w:w="2160" w:type="dxa"/>
            <w:vAlign w:val="center"/>
          </w:tcPr>
          <w:p w14:paraId="4BFD397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C92CBF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Next most appropriate treatment: According to the provided information, for cervical squamous cell carcinoma with a positive cone margin, even if the </w:t>
            </w:r>
            <w:r w:rsidRPr="00CB2EC4">
              <w:rPr>
                <w:rFonts w:ascii="Times New Roman" w:hAnsi="Times New Roman" w:cs="Times New Roman"/>
              </w:rPr>
              <w:lastRenderedPageBreak/>
              <w:t>stromal invasion depth is ≤3 mm (2 mm in this case, classified as IA1), without vascular invasion and without confluent growth, a hysterectomy should still be performed. The document explicitly states: "Those with positive cone margins should still undergo hysterectomy" (similarity 0.603). Therefore, the most appropriate treatment is a type I radical hysterectomy (extrafascial total hysterectomy), suitable for IA1 stage cases, with resection of 1–2 cm of the upper vagina (similarity 0.582).</w:t>
            </w:r>
            <w:r w:rsidRPr="00CB2EC4">
              <w:rPr>
                <w:rFonts w:ascii="Times New Roman" w:hAnsi="Times New Roman" w:cs="Times New Roman"/>
              </w:rPr>
              <w:br/>
            </w:r>
            <w:r w:rsidRPr="00CB2EC4">
              <w:rPr>
                <w:rFonts w:ascii="Times New Roman" w:hAnsi="Times New Roman" w:cs="Times New Roman"/>
              </w:rPr>
              <w:br/>
              <w:t>- Radiotherapy as an alternative: If the patient refuses further surgery, radiotherapy is an appropriate alternative, but only for those with surgical contraindications. The document states: "Radiotherapy may be used for those with surgical contraindications" (similarity 0.497). For this IA-stage case without vascular invasion, the recommended radiotherapy regimen is:</w:t>
            </w:r>
            <w:r w:rsidRPr="00CB2EC4">
              <w:rPr>
                <w:rFonts w:ascii="Times New Roman" w:hAnsi="Times New Roman" w:cs="Times New Roman"/>
              </w:rPr>
              <w:br/>
              <w:t xml:space="preserve">  - Brachytherapy alone, with point A total dose of 60–70 Gy (suitable for IA stage without vascular invasion).</w:t>
            </w:r>
            <w:r w:rsidRPr="00CB2EC4">
              <w:rPr>
                <w:rFonts w:ascii="Times New Roman" w:hAnsi="Times New Roman" w:cs="Times New Roman"/>
              </w:rPr>
              <w:br/>
              <w:t xml:space="preserve">  - However, due to the positive margin, more aggressive treatment may be needed; although the document does not specify radiotherapy details for positive margins, general principles suggest that for other IA cases with positive margin risk, combined intracavitary brachytherapy and external pelvic irradiation may be used, with point A total dose of 75–80 Gy (similarity 0.497).</w:t>
            </w:r>
            <w:r w:rsidRPr="00CB2EC4">
              <w:rPr>
                <w:rFonts w:ascii="Times New Roman" w:hAnsi="Times New Roman" w:cs="Times New Roman"/>
              </w:rPr>
              <w:br/>
            </w:r>
            <w:r w:rsidRPr="00CB2EC4">
              <w:rPr>
                <w:rFonts w:ascii="Times New Roman" w:hAnsi="Times New Roman" w:cs="Times New Roman"/>
              </w:rPr>
              <w:br/>
              <w:t xml:space="preserve">- Summary: The preferred treatment is hysterectomy; if surgery is declined, radiotherapy is feasible, with brachytherapy (60–70 Gy) or combined with external </w:t>
            </w:r>
            <w:r w:rsidRPr="00CB2EC4">
              <w:rPr>
                <w:rFonts w:ascii="Times New Roman" w:hAnsi="Times New Roman" w:cs="Times New Roman"/>
              </w:rPr>
              <w:lastRenderedPageBreak/>
              <w:t>beam irradiation (75–80 Gy) recommended, subject to individual risk assessment.</w:t>
            </w:r>
          </w:p>
        </w:tc>
        <w:tc>
          <w:tcPr>
            <w:tcW w:w="1152" w:type="dxa"/>
            <w:vAlign w:val="center"/>
          </w:tcPr>
          <w:p w14:paraId="36A8C4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3941F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483C9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58EA7BC" w14:textId="77777777">
        <w:tc>
          <w:tcPr>
            <w:tcW w:w="2160" w:type="dxa"/>
            <w:vAlign w:val="center"/>
          </w:tcPr>
          <w:p w14:paraId="1AA850E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4634843C" w14:textId="77777777" w:rsidR="00922249" w:rsidRPr="00CB2EC4" w:rsidRDefault="003011D5">
            <w:pPr>
              <w:rPr>
                <w:rFonts w:ascii="Times New Roman" w:hAnsi="Times New Roman" w:cs="Times New Roman"/>
              </w:rPr>
            </w:pPr>
            <w:r w:rsidRPr="00CB2EC4">
              <w:rPr>
                <w:rFonts w:ascii="Times New Roman" w:hAnsi="Times New Roman" w:cs="Times New Roman"/>
              </w:rPr>
              <w:t>for patients with positive cone margins:</w:t>
            </w:r>
            <w:r w:rsidRPr="00CB2EC4">
              <w:rPr>
                <w:rFonts w:ascii="Times New Roman" w:hAnsi="Times New Roman" w:cs="Times New Roman"/>
              </w:rPr>
              <w:br/>
            </w:r>
            <w:r w:rsidRPr="00CB2EC4">
              <w:rPr>
                <w:rFonts w:ascii="Times New Roman" w:hAnsi="Times New Roman" w:cs="Times New Roman"/>
              </w:rPr>
              <w:br/>
              <w:t>- According to the context: "Patients with positive cone margins should still undergo hysterectomy." The patient is 42 years old, with pathology showing cervical squamous cell carcinoma, stromal invasion depth of 2 mm (consistent with IA1 stage), no vascular invasion, no confluent growth, but positive margins. Therefore, the most appropriate next treatment is a type I radical hysterectomy (extrafascial total hysterectomy).</w:t>
            </w:r>
            <w:r w:rsidRPr="00CB2EC4">
              <w:rPr>
                <w:rFonts w:ascii="Times New Roman" w:hAnsi="Times New Roman" w:cs="Times New Roman"/>
              </w:rPr>
              <w:br/>
              <w:t>- If the patient refuses further surgery, radiotherapy can be used as an alternative, but note: the context emphasizes surgery as the first choice (document 1), and radiotherapy is mainly for patients with surgical contraindications (document 17). The recommended radiotherapy regimen (based on document 17) is as follows:</w:t>
            </w:r>
            <w:r w:rsidRPr="00CB2EC4">
              <w:rPr>
                <w:rFonts w:ascii="Times New Roman" w:hAnsi="Times New Roman" w:cs="Times New Roman"/>
              </w:rPr>
              <w:br/>
              <w:t xml:space="preserve">  - Recommended radiotherapy regimen: Given the patient is IA stage with no vascular invasion but positive margins, combined intracavitary and external pelvic irradiation is advised, with a total point A dose of 75–80 Gy. Specifically:</w:t>
            </w:r>
            <w:r w:rsidRPr="00CB2EC4">
              <w:rPr>
                <w:rFonts w:ascii="Times New Roman" w:hAnsi="Times New Roman" w:cs="Times New Roman"/>
              </w:rPr>
              <w:br/>
              <w:t xml:space="preserve">    - Intracavitary irradiation alone is suitable for IA stage without vascular invasion, but positive margins require more aggressive treatment.</w:t>
            </w:r>
            <w:r w:rsidRPr="00CB2EC4">
              <w:rPr>
                <w:rFonts w:ascii="Times New Roman" w:hAnsi="Times New Roman" w:cs="Times New Roman"/>
              </w:rPr>
              <w:br/>
              <w:t xml:space="preserve">    - Therefore, based on document 17, the regimen should be: intracavitary irradiation (baseline dose) combined with external pelvic irradiation, with a total point A dose of 75–80 Gy.</w:t>
            </w:r>
            <w:r w:rsidRPr="00CB2EC4">
              <w:rPr>
                <w:rFonts w:ascii="Times New Roman" w:hAnsi="Times New Roman" w:cs="Times New Roman"/>
              </w:rPr>
              <w:br/>
              <w:t xml:space="preserve">- Notes: The context states that cervical adenocarcinoma has poor sensitivity to radiotherapy </w:t>
            </w:r>
            <w:r w:rsidRPr="00CB2EC4">
              <w:rPr>
                <w:rFonts w:ascii="Times New Roman" w:hAnsi="Times New Roman" w:cs="Times New Roman"/>
              </w:rPr>
              <w:lastRenderedPageBreak/>
              <w:t>(document 1), but this case is squamous cell carcinoma, which has relatively better radiosensitivity. However, when radiotherapy is used as an alternative, its efficacy may be less complete than surgery, and risks must be fully communicated.</w:t>
            </w:r>
          </w:p>
        </w:tc>
        <w:tc>
          <w:tcPr>
            <w:tcW w:w="1152" w:type="dxa"/>
            <w:vAlign w:val="center"/>
          </w:tcPr>
          <w:p w14:paraId="67C1D5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21DED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126B8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BCEC81F" w14:textId="77777777">
        <w:tc>
          <w:tcPr>
            <w:tcW w:w="2160" w:type="dxa"/>
            <w:vAlign w:val="center"/>
          </w:tcPr>
          <w:p w14:paraId="2CC5D30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C3CA2EF" w14:textId="77777777" w:rsidR="00922249" w:rsidRPr="00CB2EC4" w:rsidRDefault="003011D5">
            <w:pPr>
              <w:rPr>
                <w:rFonts w:ascii="Times New Roman" w:hAnsi="Times New Roman" w:cs="Times New Roman"/>
              </w:rPr>
            </w:pPr>
            <w:r w:rsidRPr="00CB2EC4">
              <w:rPr>
                <w:rFonts w:ascii="Times New Roman" w:hAnsi="Times New Roman" w:cs="Times New Roman"/>
              </w:rPr>
              <w:t>- Next most appropriate treatment measure: According to the context, the patient's pathology shows stromal invasion depth of 2mm (classified as FIGO IA1 stage), no vascular infiltration, but positive cone margin. The context explicitly states (relevant segment 7): "Patients with positive cone margins should still undergo hysterectomy." Additionally, relevant segment 1 indicates: "If the cone margin still has invasive cancer, the diagnosis is upgraded to IB1 stage." For IB1 stage, surgical treatment is preferred (relevant segments 2 and 3 recommend radical hysterectomy for IB1 stage). Therefore, the most appropriate treatment measure is to perform an extrafascial total hysterectomy or a more extensive surgery (such as type II radical hysterectomy), with the specific procedure depending on comprehensive assessment (e.g., whether pelvic lymph node dissection is needed).</w:t>
            </w:r>
            <w:r w:rsidRPr="00CB2EC4">
              <w:rPr>
                <w:rFonts w:ascii="Times New Roman" w:hAnsi="Times New Roman" w:cs="Times New Roman"/>
              </w:rPr>
              <w:br/>
              <w:t>- Is radiotherapy an appropriate alternative if she refuses further surgery, and what is the recommended radiotherapy regimen:</w:t>
            </w:r>
            <w:r w:rsidRPr="00CB2EC4">
              <w:rPr>
                <w:rFonts w:ascii="Times New Roman" w:hAnsi="Times New Roman" w:cs="Times New Roman"/>
              </w:rPr>
              <w:br/>
              <w:t xml:space="preserve">  - Radiotherapy is an appropriate alternative, especially if the patient has contraindications to surgery or refuses surgery. The context supports radiotherapy for IA and IB stage patients (relevant segments 7 and 10).</w:t>
            </w:r>
            <w:r w:rsidRPr="00CB2EC4">
              <w:rPr>
                <w:rFonts w:ascii="Times New Roman" w:hAnsi="Times New Roman" w:cs="Times New Roman"/>
              </w:rPr>
              <w:br/>
              <w:t xml:space="preserve">  - Recommended radiotherapy regimen: Based on relevant segment 7: "For patients with contraindications to surgery, radiotherapy may be </w:t>
            </w:r>
            <w:r w:rsidRPr="00CB2EC4">
              <w:rPr>
                <w:rFonts w:ascii="Times New Roman" w:hAnsi="Times New Roman" w:cs="Times New Roman"/>
              </w:rPr>
              <w:lastRenderedPageBreak/>
              <w:t>used; for those with IA stage and no vascular infiltration, simple brachytherapy may be performed with point A total dose of 60–70 Gy; for other IA stages, brachytherapy plus external pelvic irradiation may be performed with point A total dose of 75–80 Gy." Since the patient has a positive margin (stage upgraded to IB1) and no vascular infiltration, brachytherapy plus external pelvic irradiation with point A total dose of 75–80 Gy is recommended. If resources permit, dose adjustment based on imaging assessment may be considered (relevant segment 4 mentions postoperative radiotherapy dose of 45–50 Gy, but this scenario is for initial treatment, so segment 7 takes precedence).</w:t>
            </w:r>
            <w:r w:rsidRPr="00CB2EC4">
              <w:rPr>
                <w:rFonts w:ascii="Times New Roman" w:hAnsi="Times New Roman" w:cs="Times New Roman"/>
              </w:rPr>
              <w:br/>
            </w:r>
            <w:r w:rsidRPr="00CB2EC4">
              <w:rPr>
                <w:rFonts w:ascii="Times New Roman" w:hAnsi="Times New Roman" w:cs="Times New Roman"/>
              </w:rPr>
              <w:br/>
              <w:t>Based on the context:</w:t>
            </w:r>
            <w:r w:rsidRPr="00CB2EC4">
              <w:rPr>
                <w:rFonts w:ascii="Times New Roman" w:hAnsi="Times New Roman" w:cs="Times New Roman"/>
              </w:rPr>
              <w:br/>
              <w:t>- Relevant segment 7 (from original blocks 473-475): "Patients with positive cone margins should still undergo hysterectomy" and "For patients with contraindications to surgery, radiotherapy may be used... for other IA stages, brachytherapy plus external pelvic irradiation, point A total dose 75–80 Gy."</w:t>
            </w:r>
            <w:r w:rsidRPr="00CB2EC4">
              <w:rPr>
                <w:rFonts w:ascii="Times New Roman" w:hAnsi="Times New Roman" w:cs="Times New Roman"/>
              </w:rPr>
              <w:br/>
              <w:t>- Relevant segment 1 (from original blocks 5-8): "If the cone margin still has invasive cancer, the diagnosis is IB1 stage."</w:t>
            </w:r>
          </w:p>
        </w:tc>
        <w:tc>
          <w:tcPr>
            <w:tcW w:w="1152" w:type="dxa"/>
            <w:vAlign w:val="center"/>
          </w:tcPr>
          <w:p w14:paraId="7D436E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F03A4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9DB44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CAB69E3" w14:textId="77777777">
        <w:tc>
          <w:tcPr>
            <w:tcW w:w="2160" w:type="dxa"/>
            <w:vAlign w:val="center"/>
          </w:tcPr>
          <w:p w14:paraId="66E00A7A"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BFED385" w14:textId="77777777" w:rsidR="00922249" w:rsidRPr="00CB2EC4" w:rsidRDefault="003011D5">
            <w:pPr>
              <w:rPr>
                <w:rFonts w:ascii="Times New Roman" w:hAnsi="Times New Roman" w:cs="Times New Roman"/>
              </w:rPr>
            </w:pPr>
            <w:r w:rsidRPr="00CB2EC4">
              <w:rPr>
                <w:rFonts w:ascii="Times New Roman" w:hAnsi="Times New Roman" w:cs="Times New Roman"/>
              </w:rPr>
              <w:t>the next most appropriate treatment measure: according to FIGO 2018 guidelines, the patient's pathology is consistent with stage IA1 cervical cancer (stromal invasion depth ≤3 mm), but with positive cone margins, indicating a high risk of residual disease. the most appropriate treatment is repeat cervical conization or extrafascial hysterectomy (type I) to ensure clear margins and reduce recurrence risk.</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radiotherapy as an alternative option: if the patient refuses further surgery, radiotherapy is an appropriate alternative, but only when surgery is not feasible or is declined by the patient.</w:t>
            </w:r>
            <w:r w:rsidRPr="00CB2EC4">
              <w:rPr>
                <w:rFonts w:ascii="Times New Roman" w:hAnsi="Times New Roman" w:cs="Times New Roman"/>
              </w:rPr>
              <w:br/>
            </w:r>
            <w:r w:rsidRPr="00CB2EC4">
              <w:rPr>
                <w:rFonts w:ascii="Times New Roman" w:hAnsi="Times New Roman" w:cs="Times New Roman"/>
              </w:rPr>
              <w:br/>
              <w:t>- recommended radiotherapy regimen: based on FIGO 2018, brachytherapy alone (intracavitary radiotherapy) is recommended, with a total dose of 60–70 Gy to point A (high-dose-rate), typically delivered in 5–8 fractions. this regimen is suitable for microinvasive carcinoma and does not require external beam radiotherapy unless high-risk features are present.</w:t>
            </w:r>
          </w:p>
        </w:tc>
        <w:tc>
          <w:tcPr>
            <w:tcW w:w="1152" w:type="dxa"/>
            <w:vAlign w:val="center"/>
          </w:tcPr>
          <w:p w14:paraId="3A0570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DA8A1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94E51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A46C9CE" w14:textId="77777777">
        <w:tc>
          <w:tcPr>
            <w:tcW w:w="10656" w:type="dxa"/>
            <w:gridSpan w:val="5"/>
            <w:tcBorders>
              <w:bottom w:val="single" w:sz="6" w:space="0" w:color="auto"/>
            </w:tcBorders>
            <w:vAlign w:val="center"/>
          </w:tcPr>
          <w:p w14:paraId="370A1EA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162: What key structures are included in the surgical extent of an extrafascial total hysterectomy?</w:t>
            </w:r>
          </w:p>
        </w:tc>
      </w:tr>
      <w:tr w:rsidR="00922249" w:rsidRPr="00CB2EC4" w14:paraId="1F23F1AF" w14:textId="77777777">
        <w:tc>
          <w:tcPr>
            <w:tcW w:w="2160" w:type="dxa"/>
            <w:vAlign w:val="center"/>
          </w:tcPr>
          <w:p w14:paraId="28B8B53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10C9622" w14:textId="77777777" w:rsidR="00922249" w:rsidRPr="00CB2EC4" w:rsidRDefault="003011D5">
            <w:pPr>
              <w:rPr>
                <w:rFonts w:ascii="Times New Roman" w:hAnsi="Times New Roman" w:cs="Times New Roman"/>
              </w:rPr>
            </w:pPr>
            <w:r w:rsidRPr="00CB2EC4">
              <w:rPr>
                <w:rFonts w:ascii="Times New Roman" w:hAnsi="Times New Roman" w:cs="Times New Roman"/>
              </w:rPr>
              <w:t>the surgical extent of extrafascial total hysterectomy includes the following key structures:</w:t>
            </w:r>
            <w:r w:rsidRPr="00CB2EC4">
              <w:rPr>
                <w:rFonts w:ascii="Times New Roman" w:hAnsi="Times New Roman" w:cs="Times New Roman"/>
              </w:rPr>
              <w:br/>
              <w:t>- Uterus and cervix: completely removed, ensuring all cervical tissue is excised.</w:t>
            </w:r>
            <w:r w:rsidRPr="00CB2EC4">
              <w:rPr>
                <w:rFonts w:ascii="Times New Roman" w:hAnsi="Times New Roman" w:cs="Times New Roman"/>
              </w:rPr>
              <w:br/>
              <w:t>- Vagina: upper 1–2 cm of the vagina is resected (to reduce recurrence risk).</w:t>
            </w:r>
            <w:r w:rsidRPr="00CB2EC4">
              <w:rPr>
                <w:rFonts w:ascii="Times New Roman" w:hAnsi="Times New Roman" w:cs="Times New Roman"/>
              </w:rPr>
              <w:br/>
              <w:t>- Adnexal management: selective oophorectomy (typically preserve one ovary in patients under 45 years; individualization required when age is unspecified).</w:t>
            </w:r>
            <w:r w:rsidRPr="00CB2EC4">
              <w:rPr>
                <w:rFonts w:ascii="Times New Roman" w:hAnsi="Times New Roman" w:cs="Times New Roman"/>
              </w:rPr>
              <w:br/>
              <w:t>- Parametrial tissue: expose the ureter in the parametrial segment but do not dissect the ureteral bed; displace the ureter laterally, then clamp and divide the paracervical tissue (including cardinal ligament and uterosacral ligament) at the level of the uterine and cervical margins (avoid deep dissection).</w:t>
            </w:r>
            <w:r w:rsidRPr="00CB2EC4">
              <w:rPr>
                <w:rFonts w:ascii="Times New Roman" w:hAnsi="Times New Roman" w:cs="Times New Roman"/>
              </w:rPr>
              <w:br/>
              <w:t>- Ligament management:</w:t>
            </w:r>
            <w:r w:rsidRPr="00CB2EC4">
              <w:rPr>
                <w:rFonts w:ascii="Times New Roman" w:hAnsi="Times New Roman" w:cs="Times New Roman"/>
              </w:rPr>
              <w:br/>
              <w:t xml:space="preserve">  - Cardinal ligament: divided at the level of the uterine and cervical margins (without resection of the pelvic wall portion).</w:t>
            </w:r>
            <w:r w:rsidRPr="00CB2EC4">
              <w:rPr>
                <w:rFonts w:ascii="Times New Roman" w:hAnsi="Times New Roman" w:cs="Times New Roman"/>
              </w:rPr>
              <w:br/>
            </w:r>
            <w:r w:rsidRPr="00CB2EC4">
              <w:rPr>
                <w:rFonts w:ascii="Times New Roman" w:hAnsi="Times New Roman" w:cs="Times New Roman"/>
              </w:rPr>
              <w:lastRenderedPageBreak/>
              <w:t xml:space="preserve">  - Uterosacral ligament: divided at the cervical margin (only the proximal portion is resected).</w:t>
            </w:r>
            <w:r w:rsidRPr="00CB2EC4">
              <w:rPr>
                <w:rFonts w:ascii="Times New Roman" w:hAnsi="Times New Roman" w:cs="Times New Roman"/>
              </w:rPr>
              <w:br/>
              <w:t>- Other structures:</w:t>
            </w:r>
            <w:r w:rsidRPr="00CB2EC4">
              <w:rPr>
                <w:rFonts w:ascii="Times New Roman" w:hAnsi="Times New Roman" w:cs="Times New Roman"/>
              </w:rPr>
              <w:br/>
              <w:t xml:space="preserve">  - Bladder: pushed down to the level of the bladder base, but no bladder resection is performed.</w:t>
            </w:r>
            <w:r w:rsidRPr="00CB2EC4">
              <w:rPr>
                <w:rFonts w:ascii="Times New Roman" w:hAnsi="Times New Roman" w:cs="Times New Roman"/>
              </w:rPr>
              <w:br/>
              <w:t xml:space="preserve">  - Rectum: not involved in the procedure; no downward displacement or manipulation.</w:t>
            </w:r>
            <w:r w:rsidRPr="00CB2EC4">
              <w:rPr>
                <w:rFonts w:ascii="Times New Roman" w:hAnsi="Times New Roman" w:cs="Times New Roman"/>
              </w:rPr>
              <w:br/>
              <w:t xml:space="preserve">  - Ureter: exposed intraoperatively but not dissected or mobilized.</w:t>
            </w:r>
            <w:r w:rsidRPr="00CB2EC4">
              <w:rPr>
                <w:rFonts w:ascii="Times New Roman" w:hAnsi="Times New Roman" w:cs="Times New Roman"/>
              </w:rPr>
              <w:br/>
              <w:t>Key point: this procedure aims to ensure complete cervical removal while minimizing ureteral injury risk, and is indicated for cases with interstitial infiltration depth ≤3 mm and no vascular invasion.</w:t>
            </w:r>
          </w:p>
        </w:tc>
        <w:tc>
          <w:tcPr>
            <w:tcW w:w="1152" w:type="dxa"/>
            <w:vAlign w:val="center"/>
          </w:tcPr>
          <w:p w14:paraId="6AE875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2DFB1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98B3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5088C95" w14:textId="77777777">
        <w:tc>
          <w:tcPr>
            <w:tcW w:w="2160" w:type="dxa"/>
            <w:vAlign w:val="center"/>
          </w:tcPr>
          <w:p w14:paraId="40FB9673"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EC78562" w14:textId="77777777" w:rsidR="00922249" w:rsidRPr="00CB2EC4" w:rsidRDefault="003011D5">
            <w:pPr>
              <w:rPr>
                <w:rFonts w:ascii="Times New Roman" w:hAnsi="Times New Roman" w:cs="Times New Roman"/>
              </w:rPr>
            </w:pPr>
            <w:r w:rsidRPr="00CB2EC4">
              <w:rPr>
                <w:rFonts w:ascii="Times New Roman" w:hAnsi="Times New Roman" w:cs="Times New Roman"/>
              </w:rPr>
              <w:t>surgical extent of extrafascial total hysterectomy</w:t>
            </w:r>
            <w:r w:rsidRPr="00CB2EC4">
              <w:rPr>
                <w:rFonts w:ascii="Times New Roman" w:hAnsi="Times New Roman" w:cs="Times New Roman"/>
              </w:rPr>
              <w:br/>
            </w:r>
            <w:r w:rsidRPr="00CB2EC4">
              <w:rPr>
                <w:rFonts w:ascii="Times New Roman" w:hAnsi="Times New Roman" w:cs="Times New Roman"/>
              </w:rPr>
              <w:br/>
              <w:t>Key structures resected (based on Segment 7, Segment 22):</w:t>
            </w:r>
            <w:r w:rsidRPr="00CB2EC4">
              <w:rPr>
                <w:rFonts w:ascii="Times New Roman" w:hAnsi="Times New Roman" w:cs="Times New Roman"/>
              </w:rPr>
              <w:br/>
              <w:t xml:space="preserve">  - Uterus and cervix: completely removed, operated extrafascially at the cervix (avoiding incision into cervical tissue)</w:t>
            </w:r>
            <w:r w:rsidRPr="00CB2EC4">
              <w:rPr>
                <w:rFonts w:ascii="Times New Roman" w:hAnsi="Times New Roman" w:cs="Times New Roman"/>
              </w:rPr>
              <w:br/>
              <w:t xml:space="preserve">  - Vaginal margin: resect 1–2 cm of vagina (Segment 7)</w:t>
            </w:r>
            <w:r w:rsidRPr="00CB2EC4">
              <w:rPr>
                <w:rFonts w:ascii="Times New Roman" w:hAnsi="Times New Roman" w:cs="Times New Roman"/>
              </w:rPr>
              <w:br/>
              <w:t xml:space="preserve">  - Parametrium: transect and ligate cardinal ligament and uterosacral ligament closely along the lateral wall of the cervix, without exposing the ureter (Segment 7)</w:t>
            </w:r>
            <w:r w:rsidRPr="00CB2EC4">
              <w:rPr>
                <w:rFonts w:ascii="Times New Roman" w:hAnsi="Times New Roman" w:cs="Times New Roman"/>
              </w:rPr>
              <w:br/>
              <w:t xml:space="preserve">  - Ureter: do not dissect the ureteral bed, only deviate laterally (Segment 22)</w:t>
            </w:r>
            <w:r w:rsidRPr="00CB2EC4">
              <w:rPr>
                <w:rFonts w:ascii="Times New Roman" w:hAnsi="Times New Roman" w:cs="Times New Roman"/>
              </w:rPr>
              <w:br/>
              <w:t xml:space="preserve">  - Ovary: selectively removed (typically preserved in young patients) (Segment 7)</w:t>
            </w:r>
            <w:r w:rsidRPr="00CB2EC4">
              <w:rPr>
                <w:rFonts w:ascii="Times New Roman" w:hAnsi="Times New Roman" w:cs="Times New Roman"/>
              </w:rPr>
              <w:br/>
              <w:t>- Distinction from radical procedures: deep parametrial tissue and lymph nodes are not resected (Segment 7, Table 2)</w:t>
            </w:r>
          </w:p>
        </w:tc>
        <w:tc>
          <w:tcPr>
            <w:tcW w:w="1152" w:type="dxa"/>
            <w:vAlign w:val="center"/>
          </w:tcPr>
          <w:p w14:paraId="1754BE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92282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FD07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51C179" w14:textId="77777777">
        <w:tc>
          <w:tcPr>
            <w:tcW w:w="2160" w:type="dxa"/>
            <w:vAlign w:val="center"/>
          </w:tcPr>
          <w:p w14:paraId="5405FE0E"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4F0355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surgical extent of extrafascial total hysterectomy </w:t>
            </w:r>
            <w:r w:rsidRPr="00CB2EC4">
              <w:rPr>
                <w:rFonts w:ascii="Times New Roman" w:hAnsi="Times New Roman" w:cs="Times New Roman"/>
              </w:rPr>
              <w:lastRenderedPageBreak/>
              <w:t>includes the following key structures:</w:t>
            </w:r>
            <w:r w:rsidRPr="00CB2EC4">
              <w:rPr>
                <w:rFonts w:ascii="Times New Roman" w:hAnsi="Times New Roman" w:cs="Times New Roman"/>
              </w:rPr>
              <w:br/>
            </w:r>
            <w:r w:rsidRPr="00CB2EC4">
              <w:rPr>
                <w:rFonts w:ascii="Times New Roman" w:hAnsi="Times New Roman" w:cs="Times New Roman"/>
              </w:rPr>
              <w:br/>
              <w:t>- Removal of the entire uterus (including the cervix and corpus uteri).</w:t>
            </w:r>
            <w:r w:rsidRPr="00CB2EC4">
              <w:rPr>
                <w:rFonts w:ascii="Times New Roman" w:hAnsi="Times New Roman" w:cs="Times New Roman"/>
              </w:rPr>
              <w:br/>
              <w:t>- Resection of the upper 1–2 cm of the vagina.</w:t>
            </w:r>
            <w:r w:rsidRPr="00CB2EC4">
              <w:rPr>
                <w:rFonts w:ascii="Times New Roman" w:hAnsi="Times New Roman" w:cs="Times New Roman"/>
              </w:rPr>
              <w:br/>
              <w:t>- Exposure of the ureteric segment in the parametrium without dissection or freeing of the ureter.</w:t>
            </w:r>
            <w:r w:rsidRPr="00CB2EC4">
              <w:rPr>
                <w:rFonts w:ascii="Times New Roman" w:hAnsi="Times New Roman" w:cs="Times New Roman"/>
              </w:rPr>
              <w:br/>
              <w:t>- Division of the pubocervical ligament, cardinal ligament, and uterosacral ligament at the level outside the cervical fascia, without deep separation.</w:t>
            </w:r>
            <w:r w:rsidRPr="00CB2EC4">
              <w:rPr>
                <w:rFonts w:ascii="Times New Roman" w:hAnsi="Times New Roman" w:cs="Times New Roman"/>
              </w:rPr>
              <w:br/>
              <w:t>- Minimal resection of parametrial tissue (limited to the area between the ureter and cervix; does not involve extensive lymphadenectomy).</w:t>
            </w:r>
            <w:r w:rsidRPr="00CB2EC4">
              <w:rPr>
                <w:rFonts w:ascii="Times New Roman" w:hAnsi="Times New Roman" w:cs="Times New Roman"/>
              </w:rPr>
              <w:br/>
            </w:r>
            <w:r w:rsidRPr="00CB2EC4">
              <w:rPr>
                <w:rFonts w:ascii="Times New Roman" w:hAnsi="Times New Roman" w:cs="Times New Roman"/>
              </w:rPr>
              <w:br/>
              <w:t>(Note: Bilateral adnexectomy may be performed depending on patient condition, but the core surgical range includes vaginal resection as above.)</w:t>
            </w:r>
          </w:p>
        </w:tc>
        <w:tc>
          <w:tcPr>
            <w:tcW w:w="1152" w:type="dxa"/>
            <w:vAlign w:val="center"/>
          </w:tcPr>
          <w:p w14:paraId="0E3AB3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D175D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45F76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4AEAC0" w14:textId="77777777">
        <w:tc>
          <w:tcPr>
            <w:tcW w:w="2160" w:type="dxa"/>
            <w:vAlign w:val="center"/>
          </w:tcPr>
          <w:p w14:paraId="247828E8"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0C61FFA" w14:textId="77777777" w:rsidR="00922249" w:rsidRPr="00CB2EC4" w:rsidRDefault="003011D5">
            <w:pPr>
              <w:rPr>
                <w:rFonts w:ascii="Times New Roman" w:hAnsi="Times New Roman" w:cs="Times New Roman"/>
              </w:rPr>
            </w:pPr>
            <w:r w:rsidRPr="00CB2EC4">
              <w:rPr>
                <w:rFonts w:ascii="Times New Roman" w:hAnsi="Times New Roman" w:cs="Times New Roman"/>
              </w:rPr>
              <w:t>extent of extrafascial total hysterectomy (Q-M Type A)</w:t>
            </w:r>
            <w:r w:rsidRPr="00CB2EC4">
              <w:rPr>
                <w:rFonts w:ascii="Times New Roman" w:hAnsi="Times New Roman" w:cs="Times New Roman"/>
              </w:rPr>
              <w:br/>
            </w:r>
            <w:r w:rsidRPr="00CB2EC4">
              <w:rPr>
                <w:rFonts w:ascii="Times New Roman" w:hAnsi="Times New Roman" w:cs="Times New Roman"/>
              </w:rPr>
              <w:br/>
              <w:t>Based on knowledge base document (Table 2 "Types of Radical Hysterectomy"):</w:t>
            </w:r>
            <w:r w:rsidRPr="00CB2EC4">
              <w:rPr>
                <w:rFonts w:ascii="Times New Roman" w:hAnsi="Times New Roman" w:cs="Times New Roman"/>
              </w:rPr>
              <w:br/>
              <w:t>- Resection scope:</w:t>
            </w:r>
            <w:r w:rsidRPr="00CB2EC4">
              <w:rPr>
                <w:rFonts w:ascii="Times New Roman" w:hAnsi="Times New Roman" w:cs="Times New Roman"/>
              </w:rPr>
              <w:br/>
              <w:t xml:space="preserve">  - Uterus and cervix: completely removed.</w:t>
            </w:r>
            <w:r w:rsidRPr="00CB2EC4">
              <w:rPr>
                <w:rFonts w:ascii="Times New Roman" w:hAnsi="Times New Roman" w:cs="Times New Roman"/>
              </w:rPr>
              <w:br/>
              <w:t xml:space="preserve">  - Vaginal margin: 1–2 cm resected (knowledge base document: "Total Hysterectomy" section).</w:t>
            </w:r>
            <w:r w:rsidRPr="00CB2EC4">
              <w:rPr>
                <w:rFonts w:ascii="Times New Roman" w:hAnsi="Times New Roman" w:cs="Times New Roman"/>
              </w:rPr>
              <w:br/>
              <w:t xml:space="preserve">  - Not involved: ureters, cardinal ligaments (only transected immediately adjacent to cervix), uterosacral ligaments (transected at cervical margin), bladder and rectum.</w:t>
            </w:r>
            <w:r w:rsidRPr="00CB2EC4">
              <w:rPr>
                <w:rFonts w:ascii="Times New Roman" w:hAnsi="Times New Roman" w:cs="Times New Roman"/>
              </w:rPr>
              <w:br/>
              <w:t>- Surgical approach: abdominal, laparoscopic, or robotic.</w:t>
            </w:r>
            <w:r w:rsidRPr="00CB2EC4">
              <w:rPr>
                <w:rFonts w:ascii="Times New Roman" w:hAnsi="Times New Roman" w:cs="Times New Roman"/>
              </w:rPr>
              <w:br/>
            </w:r>
            <w:r w:rsidRPr="00CB2EC4">
              <w:rPr>
                <w:rFonts w:ascii="Times New Roman" w:hAnsi="Times New Roman" w:cs="Times New Roman"/>
              </w:rPr>
              <w:br/>
              <w:t>Key anatomical features:</w:t>
            </w:r>
            <w:r w:rsidRPr="00CB2EC4">
              <w:rPr>
                <w:rFonts w:ascii="Times New Roman" w:hAnsi="Times New Roman" w:cs="Times New Roman"/>
              </w:rPr>
              <w:br/>
            </w:r>
            <w:r w:rsidRPr="00CB2EC4">
              <w:rPr>
                <w:rFonts w:ascii="Times New Roman" w:hAnsi="Times New Roman" w:cs="Times New Roman"/>
              </w:rPr>
              <w:lastRenderedPageBreak/>
              <w:t>- Extrafascial dissection at cervix, preserving ureters in situ without mobilization, minimizing parametrial resection (approximately 5 mm).</w:t>
            </w:r>
          </w:p>
        </w:tc>
        <w:tc>
          <w:tcPr>
            <w:tcW w:w="1152" w:type="dxa"/>
            <w:vAlign w:val="center"/>
          </w:tcPr>
          <w:p w14:paraId="3BC58F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52073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EF81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10B7FF" w14:textId="77777777">
        <w:tc>
          <w:tcPr>
            <w:tcW w:w="2160" w:type="dxa"/>
            <w:vAlign w:val="center"/>
          </w:tcPr>
          <w:p w14:paraId="201C9561"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39B649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surgical scope of extrafascial total hysterectomy includes the following key structures:  </w:t>
            </w:r>
            <w:r w:rsidRPr="00CB2EC4">
              <w:rPr>
                <w:rFonts w:ascii="Times New Roman" w:hAnsi="Times New Roman" w:cs="Times New Roman"/>
              </w:rPr>
              <w:br/>
              <w:t xml:space="preserve">- Complete removal of the uterus and cervix.  </w:t>
            </w:r>
            <w:r w:rsidRPr="00CB2EC4">
              <w:rPr>
                <w:rFonts w:ascii="Times New Roman" w:hAnsi="Times New Roman" w:cs="Times New Roman"/>
              </w:rPr>
              <w:br/>
              <w:t xml:space="preserve">- Resection of 1–2 cm of the vagina (to ensure sufficient vaginal tissue is removed to reduce recurrence risk).  </w:t>
            </w:r>
            <w:r w:rsidRPr="00CB2EC4">
              <w:rPr>
                <w:rFonts w:ascii="Times New Roman" w:hAnsi="Times New Roman" w:cs="Times New Roman"/>
              </w:rPr>
              <w:br/>
              <w:t xml:space="preserve">- Selective removal of the ovaries (based on patient age and preference).  </w:t>
            </w:r>
            <w:r w:rsidRPr="00CB2EC4">
              <w:rPr>
                <w:rFonts w:ascii="Times New Roman" w:hAnsi="Times New Roman" w:cs="Times New Roman"/>
              </w:rPr>
              <w:br/>
              <w:t xml:space="preserve">- Cardinal ligaments: transected at the uterine and cervical margins (without deep excision into parametrial tissue).  </w:t>
            </w:r>
            <w:r w:rsidRPr="00CB2EC4">
              <w:rPr>
                <w:rFonts w:ascii="Times New Roman" w:hAnsi="Times New Roman" w:cs="Times New Roman"/>
              </w:rPr>
              <w:br/>
              <w:t xml:space="preserve">- Uterosacral ligaments: transected at the cervical margin (without extensive resection).  </w:t>
            </w:r>
            <w:r w:rsidRPr="00CB2EC4">
              <w:rPr>
                <w:rFonts w:ascii="Times New Roman" w:hAnsi="Times New Roman" w:cs="Times New Roman"/>
              </w:rPr>
              <w:br/>
              <w:t xml:space="preserve">- Bladder: dissected and pushed downward to the bladder base (without bladder resection).  </w:t>
            </w:r>
            <w:r w:rsidRPr="00CB2EC4">
              <w:rPr>
                <w:rFonts w:ascii="Times New Roman" w:hAnsi="Times New Roman" w:cs="Times New Roman"/>
              </w:rPr>
              <w:br/>
              <w:t xml:space="preserve">- Ureters and rectum: not involved in the procedure (to avoid dissection or injury).  </w:t>
            </w:r>
            <w:r w:rsidRPr="00CB2EC4">
              <w:rPr>
                <w:rFonts w:ascii="Times New Roman" w:hAnsi="Times New Roman" w:cs="Times New Roman"/>
              </w:rPr>
              <w:br/>
              <w:t>This approach differs from more extensive procedures (e.g., modified radical hysterectomy) by not addressing the ureters, not removing parametrial lymph nodes, and limiting ligament resection to the cervical margin.</w:t>
            </w:r>
          </w:p>
        </w:tc>
        <w:tc>
          <w:tcPr>
            <w:tcW w:w="1152" w:type="dxa"/>
            <w:vAlign w:val="center"/>
          </w:tcPr>
          <w:p w14:paraId="7B6F7B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D84A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AEDA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1EAD53" w14:textId="77777777">
        <w:tc>
          <w:tcPr>
            <w:tcW w:w="2160" w:type="dxa"/>
            <w:vAlign w:val="center"/>
          </w:tcPr>
          <w:p w14:paraId="696F709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33EA76B" w14:textId="77777777" w:rsidR="00922249" w:rsidRPr="00CB2EC4" w:rsidRDefault="003011D5">
            <w:pPr>
              <w:rPr>
                <w:rFonts w:ascii="Times New Roman" w:hAnsi="Times New Roman" w:cs="Times New Roman"/>
              </w:rPr>
            </w:pPr>
            <w:r w:rsidRPr="00CB2EC4">
              <w:rPr>
                <w:rFonts w:ascii="Times New Roman" w:hAnsi="Times New Roman" w:cs="Times New Roman"/>
              </w:rPr>
              <w:t>the surgical extent of extrafascial total hysterectomy includes the following key structures:</w:t>
            </w:r>
            <w:r w:rsidRPr="00CB2EC4">
              <w:rPr>
                <w:rFonts w:ascii="Times New Roman" w:hAnsi="Times New Roman" w:cs="Times New Roman"/>
              </w:rPr>
              <w:br/>
            </w:r>
            <w:r w:rsidRPr="00CB2EC4">
              <w:rPr>
                <w:rFonts w:ascii="Times New Roman" w:hAnsi="Times New Roman" w:cs="Times New Roman"/>
              </w:rPr>
              <w:br/>
              <w:t>- Uterus and cervix: completely removed.</w:t>
            </w:r>
            <w:r w:rsidRPr="00CB2EC4">
              <w:rPr>
                <w:rFonts w:ascii="Times New Roman" w:hAnsi="Times New Roman" w:cs="Times New Roman"/>
              </w:rPr>
              <w:br/>
              <w:t>- Ovaries: selectively removed (retention depends on patient age and preference).</w:t>
            </w:r>
            <w:r w:rsidRPr="00CB2EC4">
              <w:rPr>
                <w:rFonts w:ascii="Times New Roman" w:hAnsi="Times New Roman" w:cs="Times New Roman"/>
              </w:rPr>
              <w:br/>
              <w:t>- Vaginal margin: 1–2 cm of vagina is resected.</w:t>
            </w:r>
            <w:r w:rsidRPr="00CB2EC4">
              <w:rPr>
                <w:rFonts w:ascii="Times New Roman" w:hAnsi="Times New Roman" w:cs="Times New Roman"/>
              </w:rPr>
              <w:br/>
              <w:t xml:space="preserve">- Ureters: not involved in the procedure (no dissection </w:t>
            </w:r>
            <w:r w:rsidRPr="00CB2EC4">
              <w:rPr>
                <w:rFonts w:ascii="Times New Roman" w:hAnsi="Times New Roman" w:cs="Times New Roman"/>
              </w:rPr>
              <w:lastRenderedPageBreak/>
              <w:t>or manipulation of ureters).</w:t>
            </w:r>
            <w:r w:rsidRPr="00CB2EC4">
              <w:rPr>
                <w:rFonts w:ascii="Times New Roman" w:hAnsi="Times New Roman" w:cs="Times New Roman"/>
              </w:rPr>
              <w:br/>
              <w:t>- Cardinal ligaments: divided at the lateral edge of the uterus and cervix (not widely excised).</w:t>
            </w:r>
            <w:r w:rsidRPr="00CB2EC4">
              <w:rPr>
                <w:rFonts w:ascii="Times New Roman" w:hAnsi="Times New Roman" w:cs="Times New Roman"/>
              </w:rPr>
              <w:br/>
              <w:t>- Uterosacral ligaments: divided at the level of the cervix (not widely excised).</w:t>
            </w:r>
            <w:r w:rsidRPr="00CB2EC4">
              <w:rPr>
                <w:rFonts w:ascii="Times New Roman" w:hAnsi="Times New Roman" w:cs="Times New Roman"/>
              </w:rPr>
              <w:br/>
              <w:t>- Bladder: pushed downward to the bladder base (no bladder tissue is resected).</w:t>
            </w:r>
            <w:r w:rsidRPr="00CB2EC4">
              <w:rPr>
                <w:rFonts w:ascii="Times New Roman" w:hAnsi="Times New Roman" w:cs="Times New Roman"/>
              </w:rPr>
              <w:br/>
              <w:t>- Rectum: not involved in the procedure (no manipulation of the rectum).</w:t>
            </w:r>
            <w:r w:rsidRPr="00CB2EC4">
              <w:rPr>
                <w:rFonts w:ascii="Times New Roman" w:hAnsi="Times New Roman" w:cs="Times New Roman"/>
              </w:rPr>
              <w:br/>
            </w:r>
            <w:r w:rsidRPr="00CB2EC4">
              <w:rPr>
                <w:rFonts w:ascii="Times New Roman" w:hAnsi="Times New Roman" w:cs="Times New Roman"/>
              </w:rPr>
              <w:br/>
              <w:t>Surgical approach: can be performed via laparotomy, laparoscopy, or robotic surgery.</w:t>
            </w:r>
            <w:r w:rsidRPr="00CB2EC4">
              <w:rPr>
                <w:rFonts w:ascii="Times New Roman" w:hAnsi="Times New Roman" w:cs="Times New Roman"/>
              </w:rPr>
              <w:br/>
            </w:r>
            <w:r w:rsidRPr="00CB2EC4">
              <w:rPr>
                <w:rFonts w:ascii="Times New Roman" w:hAnsi="Times New Roman" w:cs="Times New Roman"/>
              </w:rPr>
              <w:br/>
              <w:t>Classification: Piver-Rutledge type I, Q-M type A.</w:t>
            </w:r>
            <w:r w:rsidRPr="00CB2EC4">
              <w:rPr>
                <w:rFonts w:ascii="Times New Roman" w:hAnsi="Times New Roman" w:cs="Times New Roman"/>
              </w:rPr>
              <w:br/>
            </w:r>
            <w:r w:rsidRPr="00CB2EC4">
              <w:rPr>
                <w:rFonts w:ascii="Times New Roman" w:hAnsi="Times New Roman" w:cs="Times New Roman"/>
              </w:rPr>
              <w:br/>
              <w:t>In summary, key structures include the entire uterus, cervix, partial vagina (1–2 cm), selective management of ovaries, no involvement of ureters or rectum, and ligaments divided only at the margins.</w:t>
            </w:r>
          </w:p>
        </w:tc>
        <w:tc>
          <w:tcPr>
            <w:tcW w:w="1152" w:type="dxa"/>
            <w:vAlign w:val="center"/>
          </w:tcPr>
          <w:p w14:paraId="45A9A2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DBCC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3AFD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DC6764" w14:textId="77777777">
        <w:tc>
          <w:tcPr>
            <w:tcW w:w="2160" w:type="dxa"/>
            <w:vAlign w:val="center"/>
          </w:tcPr>
          <w:p w14:paraId="33EBF01E"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D6773C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key structures included in the surgical scope of an extrafascial total hysterectomy are as follows:  </w:t>
            </w:r>
            <w:r w:rsidRPr="00CB2EC4">
              <w:rPr>
                <w:rFonts w:ascii="Times New Roman" w:hAnsi="Times New Roman" w:cs="Times New Roman"/>
              </w:rPr>
              <w:br/>
              <w:t xml:space="preserve">- Uterus and cervix: completely removed.  </w:t>
            </w:r>
            <w:r w:rsidRPr="00CB2EC4">
              <w:rPr>
                <w:rFonts w:ascii="Times New Roman" w:hAnsi="Times New Roman" w:cs="Times New Roman"/>
              </w:rPr>
              <w:br/>
              <w:t xml:space="preserve">- Ovaries: selectively removed (retention depends on patient age and preference).  </w:t>
            </w:r>
            <w:r w:rsidRPr="00CB2EC4">
              <w:rPr>
                <w:rFonts w:ascii="Times New Roman" w:hAnsi="Times New Roman" w:cs="Times New Roman"/>
              </w:rPr>
              <w:br/>
              <w:t xml:space="preserve">- Vaginal margin: no resection (no vaginal tissue is removed).  </w:t>
            </w:r>
            <w:r w:rsidRPr="00CB2EC4">
              <w:rPr>
                <w:rFonts w:ascii="Times New Roman" w:hAnsi="Times New Roman" w:cs="Times New Roman"/>
              </w:rPr>
              <w:br/>
              <w:t xml:space="preserve">- Ureters: not involved in surgery (ureters are not dissected or manipulated).  </w:t>
            </w:r>
            <w:r w:rsidRPr="00CB2EC4">
              <w:rPr>
                <w:rFonts w:ascii="Times New Roman" w:hAnsi="Times New Roman" w:cs="Times New Roman"/>
              </w:rPr>
              <w:br/>
              <w:t xml:space="preserve">- Main ligaments: transected at the edge of the uterus and cervix (only the portion adjacent to the uterus is removed, not extensively).  </w:t>
            </w:r>
            <w:r w:rsidRPr="00CB2EC4">
              <w:rPr>
                <w:rFonts w:ascii="Times New Roman" w:hAnsi="Times New Roman" w:cs="Times New Roman"/>
              </w:rPr>
              <w:br/>
              <w:t xml:space="preserve">- Uterosacral ligaments: transected at the edge of the cervix (only the portion adjacent to the cervix is removed).  </w:t>
            </w:r>
            <w:r w:rsidRPr="00CB2EC4">
              <w:rPr>
                <w:rFonts w:ascii="Times New Roman" w:hAnsi="Times New Roman" w:cs="Times New Roman"/>
              </w:rPr>
              <w:br/>
            </w:r>
            <w:r w:rsidRPr="00CB2EC4">
              <w:rPr>
                <w:rFonts w:ascii="Times New Roman" w:hAnsi="Times New Roman" w:cs="Times New Roman"/>
              </w:rPr>
              <w:lastRenderedPageBreak/>
              <w:t xml:space="preserve">- Bladder: pushed down to the bladder base (minimal separation of the vesicouterine peritoneal fold, no bladder tissue resection).  </w:t>
            </w:r>
            <w:r w:rsidRPr="00CB2EC4">
              <w:rPr>
                <w:rFonts w:ascii="Times New Roman" w:hAnsi="Times New Roman" w:cs="Times New Roman"/>
              </w:rPr>
              <w:br/>
              <w:t xml:space="preserve">- Rectum: not involved in surgery (not manipulated).  </w:t>
            </w:r>
            <w:r w:rsidRPr="00CB2EC4">
              <w:rPr>
                <w:rFonts w:ascii="Times New Roman" w:hAnsi="Times New Roman" w:cs="Times New Roman"/>
              </w:rPr>
              <w:br/>
              <w:t xml:space="preserve">- Others: no pelvic lymph node dissection; surgical approach may be abdominal, laparoscopic, or robotic.  </w:t>
            </w:r>
            <w:r w:rsidRPr="00CB2EC4">
              <w:rPr>
                <w:rFonts w:ascii="Times New Roman" w:hAnsi="Times New Roman" w:cs="Times New Roman"/>
              </w:rPr>
              <w:br/>
              <w:t>- Summary: this procedure is a conservative hysterectomy aimed at complete removal of the uterus and cervix while minimizing damage to surrounding structures, indicated for stage IA1 cervical cancer.</w:t>
            </w:r>
          </w:p>
        </w:tc>
        <w:tc>
          <w:tcPr>
            <w:tcW w:w="1152" w:type="dxa"/>
            <w:vAlign w:val="center"/>
          </w:tcPr>
          <w:p w14:paraId="04D0BE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3988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2B01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1473CB" w14:textId="77777777">
        <w:tc>
          <w:tcPr>
            <w:tcW w:w="2160" w:type="dxa"/>
            <w:vAlign w:val="center"/>
          </w:tcPr>
          <w:p w14:paraId="3B77516D"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B7BA43A" w14:textId="77777777" w:rsidR="00922249" w:rsidRPr="00CB2EC4" w:rsidRDefault="003011D5">
            <w:pPr>
              <w:rPr>
                <w:rFonts w:ascii="Times New Roman" w:hAnsi="Times New Roman" w:cs="Times New Roman"/>
              </w:rPr>
            </w:pPr>
            <w:r w:rsidRPr="00CB2EC4">
              <w:rPr>
                <w:rFonts w:ascii="Times New Roman" w:hAnsi="Times New Roman" w:cs="Times New Roman"/>
              </w:rPr>
              <w:t>the surgical scope of extrafascial total hysterectomy includes the following key structures:</w:t>
            </w:r>
            <w:r w:rsidRPr="00CB2EC4">
              <w:rPr>
                <w:rFonts w:ascii="Times New Roman" w:hAnsi="Times New Roman" w:cs="Times New Roman"/>
              </w:rPr>
              <w:br/>
              <w:t>- Complete removal of the uterus and cervix.</w:t>
            </w:r>
            <w:r w:rsidRPr="00CB2EC4">
              <w:rPr>
                <w:rFonts w:ascii="Times New Roman" w:hAnsi="Times New Roman" w:cs="Times New Roman"/>
              </w:rPr>
              <w:br/>
              <w:t>- Selective removal of the ovaries (based on individual circumstances).</w:t>
            </w:r>
            <w:r w:rsidRPr="00CB2EC4">
              <w:rPr>
                <w:rFonts w:ascii="Times New Roman" w:hAnsi="Times New Roman" w:cs="Times New Roman"/>
              </w:rPr>
              <w:br/>
              <w:t>- Resection of the upper 1–2 cm of the vagina.</w:t>
            </w:r>
            <w:r w:rsidRPr="00CB2EC4">
              <w:rPr>
                <w:rFonts w:ascii="Times New Roman" w:hAnsi="Times New Roman" w:cs="Times New Roman"/>
              </w:rPr>
              <w:br/>
              <w:t>- Division of the cardinal ligaments and uterosacral ligaments at the cervical margin (without extensive resection).</w:t>
            </w:r>
            <w:r w:rsidRPr="00CB2EC4">
              <w:rPr>
                <w:rFonts w:ascii="Times New Roman" w:hAnsi="Times New Roman" w:cs="Times New Roman"/>
              </w:rPr>
              <w:br/>
              <w:t>- Bladder is dissected downward to the bladder base, with no manipulation of the ureters.</w:t>
            </w:r>
            <w:r w:rsidRPr="00CB2EC4">
              <w:rPr>
                <w:rFonts w:ascii="Times New Roman" w:hAnsi="Times New Roman" w:cs="Times New Roman"/>
              </w:rPr>
              <w:br/>
              <w:t>- No involvement of the rectum.</w:t>
            </w:r>
            <w:r w:rsidRPr="00CB2EC4">
              <w:rPr>
                <w:rFonts w:ascii="Times New Roman" w:hAnsi="Times New Roman" w:cs="Times New Roman"/>
              </w:rPr>
              <w:br/>
              <w:t>- The procedure can be performed via abdominal, laparoscopic, or robotic approaches.</w:t>
            </w:r>
          </w:p>
        </w:tc>
        <w:tc>
          <w:tcPr>
            <w:tcW w:w="1152" w:type="dxa"/>
            <w:vAlign w:val="center"/>
          </w:tcPr>
          <w:p w14:paraId="015838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8C15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9251E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82C5C67" w14:textId="77777777">
        <w:tc>
          <w:tcPr>
            <w:tcW w:w="2160" w:type="dxa"/>
            <w:vAlign w:val="center"/>
          </w:tcPr>
          <w:p w14:paraId="5BAB1384"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D188C3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surgical scope of extrafascial total hysterectomy (Type I radical hysterectomy) includes the following key structures:  </w:t>
            </w:r>
            <w:r w:rsidRPr="00CB2EC4">
              <w:rPr>
                <w:rFonts w:ascii="Times New Roman" w:hAnsi="Times New Roman" w:cs="Times New Roman"/>
              </w:rPr>
              <w:br/>
              <w:t xml:space="preserve">- Uterus and cervix: complete removal, ensuring all cervical tissue is excised (as stated: "The purpose is to ensure complete removal of the cervix").  </w:t>
            </w:r>
            <w:r w:rsidRPr="00CB2EC4">
              <w:rPr>
                <w:rFonts w:ascii="Times New Roman" w:hAnsi="Times New Roman" w:cs="Times New Roman"/>
              </w:rPr>
              <w:br/>
              <w:t xml:space="preserve">- Vagina: resection of 1–2 cm of the upper vagina (e.g., "simultaneously resecting 1–2 cm of the vagina").  </w:t>
            </w:r>
            <w:r w:rsidRPr="00CB2EC4">
              <w:rPr>
                <w:rFonts w:ascii="Times New Roman" w:hAnsi="Times New Roman" w:cs="Times New Roman"/>
              </w:rPr>
              <w:br/>
            </w:r>
            <w:r w:rsidRPr="00CB2EC4">
              <w:rPr>
                <w:rFonts w:ascii="Times New Roman" w:hAnsi="Times New Roman" w:cs="Times New Roman"/>
              </w:rPr>
              <w:lastRenderedPageBreak/>
              <w:t xml:space="preserve">- Ovaries: selective removal (one ovary may be preserved in young patients).  </w:t>
            </w:r>
            <w:r w:rsidRPr="00CB2EC4">
              <w:rPr>
                <w:rFonts w:ascii="Times New Roman" w:hAnsi="Times New Roman" w:cs="Times New Roman"/>
              </w:rPr>
              <w:br/>
              <w:t xml:space="preserve">- Parametrial tissue: does not involve ureter dissection; only lateral displacement of the ureter. The cardinal ligament and uterosacral ligament are cut at the cervical margin (document specifies: "During surgery, the paracervical segment of the ureter must be exposed, but the ureteral bed is not dissected, and the ureter is displaced laterally"; "Cardinal ligament: transected at the uterine and cervical margin; uterosacral ligament: transected at the cervical margin").  </w:t>
            </w:r>
            <w:r w:rsidRPr="00CB2EC4">
              <w:rPr>
                <w:rFonts w:ascii="Times New Roman" w:hAnsi="Times New Roman" w:cs="Times New Roman"/>
              </w:rPr>
              <w:br/>
              <w:t xml:space="preserve">- Other structures: bladder is dissected downward to the bladder base but not resected; rectum is not involved.  </w:t>
            </w:r>
            <w:r w:rsidRPr="00CB2EC4">
              <w:rPr>
                <w:rFonts w:ascii="Times New Roman" w:hAnsi="Times New Roman" w:cs="Times New Roman"/>
              </w:rPr>
              <w:br/>
              <w:t xml:space="preserve">- Surgical approach: can be performed via laparotomy, laparoscopy, or robotic surgery.  </w:t>
            </w:r>
            <w:r w:rsidRPr="00CB2EC4">
              <w:rPr>
                <w:rFonts w:ascii="Times New Roman" w:hAnsi="Times New Roman" w:cs="Times New Roman"/>
              </w:rPr>
              <w:br/>
            </w:r>
            <w:r w:rsidRPr="00CB2EC4">
              <w:rPr>
                <w:rFonts w:ascii="Times New Roman" w:hAnsi="Times New Roman" w:cs="Times New Roman"/>
              </w:rPr>
              <w:br/>
              <w:t>Summary of key structures: total uterus and cervix, upper 1–2 cm of vagina, selective ovaries, cardinal and uterosacral ligaments transected at the cervical margin, without deep ureteral dissection.</w:t>
            </w:r>
          </w:p>
        </w:tc>
        <w:tc>
          <w:tcPr>
            <w:tcW w:w="1152" w:type="dxa"/>
            <w:vAlign w:val="center"/>
          </w:tcPr>
          <w:p w14:paraId="41C8DF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231DA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8DE8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4E1562" w14:textId="77777777">
        <w:tc>
          <w:tcPr>
            <w:tcW w:w="2160" w:type="dxa"/>
            <w:vAlign w:val="center"/>
          </w:tcPr>
          <w:p w14:paraId="48E1B2A2"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58EDB2D" w14:textId="77777777" w:rsidR="00922249" w:rsidRPr="00CB2EC4" w:rsidRDefault="003011D5">
            <w:pPr>
              <w:rPr>
                <w:rFonts w:ascii="Times New Roman" w:hAnsi="Times New Roman" w:cs="Times New Roman"/>
              </w:rPr>
            </w:pPr>
            <w:r w:rsidRPr="00CB2EC4">
              <w:rPr>
                <w:rFonts w:ascii="Times New Roman" w:hAnsi="Times New Roman" w:cs="Times New Roman"/>
              </w:rPr>
              <w:t>the key structures included in the surgical range of an extrafascial total hysterectomy are:</w:t>
            </w:r>
            <w:r w:rsidRPr="00CB2EC4">
              <w:rPr>
                <w:rFonts w:ascii="Times New Roman" w:hAnsi="Times New Roman" w:cs="Times New Roman"/>
              </w:rPr>
              <w:br/>
            </w:r>
            <w:r w:rsidRPr="00CB2EC4">
              <w:rPr>
                <w:rFonts w:ascii="Times New Roman" w:hAnsi="Times New Roman" w:cs="Times New Roman"/>
              </w:rPr>
              <w:br/>
              <w:t>- Uterus and cervix: completely removed.</w:t>
            </w:r>
            <w:r w:rsidRPr="00CB2EC4">
              <w:rPr>
                <w:rFonts w:ascii="Times New Roman" w:hAnsi="Times New Roman" w:cs="Times New Roman"/>
              </w:rPr>
              <w:br/>
              <w:t>- Ovaries: selectively removed (retention depends on patient age and clinical needs).</w:t>
            </w:r>
            <w:r w:rsidRPr="00CB2EC4">
              <w:rPr>
                <w:rFonts w:ascii="Times New Roman" w:hAnsi="Times New Roman" w:cs="Times New Roman"/>
              </w:rPr>
              <w:br/>
              <w:t>- Vagina: upper 1–2 cm of the vagina is resected.</w:t>
            </w:r>
            <w:r w:rsidRPr="00CB2EC4">
              <w:rPr>
                <w:rFonts w:ascii="Times New Roman" w:hAnsi="Times New Roman" w:cs="Times New Roman"/>
              </w:rPr>
              <w:br/>
              <w:t>- Ligament management:</w:t>
            </w:r>
            <w:r w:rsidRPr="00CB2EC4">
              <w:rPr>
                <w:rFonts w:ascii="Times New Roman" w:hAnsi="Times New Roman" w:cs="Times New Roman"/>
              </w:rPr>
              <w:br/>
              <w:t xml:space="preserve">  - Cardinal ligaments are divided at the level of the uterine and cervical margins (without deep infiltration into paracervical tissue).</w:t>
            </w:r>
            <w:r w:rsidRPr="00CB2EC4">
              <w:rPr>
                <w:rFonts w:ascii="Times New Roman" w:hAnsi="Times New Roman" w:cs="Times New Roman"/>
              </w:rPr>
              <w:br/>
              <w:t xml:space="preserve">  - Uterosacral ligaments are divided at the cervical </w:t>
            </w:r>
            <w:r w:rsidRPr="00CB2EC4">
              <w:rPr>
                <w:rFonts w:ascii="Times New Roman" w:hAnsi="Times New Roman" w:cs="Times New Roman"/>
              </w:rPr>
              <w:lastRenderedPageBreak/>
              <w:t>margin.</w:t>
            </w:r>
            <w:r w:rsidRPr="00CB2EC4">
              <w:rPr>
                <w:rFonts w:ascii="Times New Roman" w:hAnsi="Times New Roman" w:cs="Times New Roman"/>
              </w:rPr>
              <w:br/>
              <w:t xml:space="preserve">  - Ureters and rectum are not involved.</w:t>
            </w:r>
            <w:r w:rsidRPr="00CB2EC4">
              <w:rPr>
                <w:rFonts w:ascii="Times New Roman" w:hAnsi="Times New Roman" w:cs="Times New Roman"/>
              </w:rPr>
              <w:br/>
              <w:t>- Other:</w:t>
            </w:r>
            <w:r w:rsidRPr="00CB2EC4">
              <w:rPr>
                <w:rFonts w:ascii="Times New Roman" w:hAnsi="Times New Roman" w:cs="Times New Roman"/>
              </w:rPr>
              <w:br/>
              <w:t xml:space="preserve">  - Bladder is dissected downward to the level of the bladder base, but no bladder tissue is resected.</w:t>
            </w:r>
            <w:r w:rsidRPr="00CB2EC4">
              <w:rPr>
                <w:rFonts w:ascii="Times New Roman" w:hAnsi="Times New Roman" w:cs="Times New Roman"/>
              </w:rPr>
              <w:br/>
              <w:t xml:space="preserve">  - Rectum is not involved; no dissection or resection is performed.</w:t>
            </w:r>
            <w:r w:rsidRPr="00CB2EC4">
              <w:rPr>
                <w:rFonts w:ascii="Times New Roman" w:hAnsi="Times New Roman" w:cs="Times New Roman"/>
              </w:rPr>
              <w:br/>
              <w:t xml:space="preserve">  - Surgical approach may be abdominal, laparoscopic, or robotic.</w:t>
            </w:r>
          </w:p>
        </w:tc>
        <w:tc>
          <w:tcPr>
            <w:tcW w:w="1152" w:type="dxa"/>
            <w:vAlign w:val="center"/>
          </w:tcPr>
          <w:p w14:paraId="247B1D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2285E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C965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FFB9DF6" w14:textId="77777777">
        <w:tc>
          <w:tcPr>
            <w:tcW w:w="2160" w:type="dxa"/>
            <w:vAlign w:val="center"/>
          </w:tcPr>
          <w:p w14:paraId="1C97164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B3EDC83" w14:textId="77777777" w:rsidR="00922249" w:rsidRPr="00CB2EC4" w:rsidRDefault="003011D5">
            <w:pPr>
              <w:rPr>
                <w:rFonts w:ascii="Times New Roman" w:hAnsi="Times New Roman" w:cs="Times New Roman"/>
              </w:rPr>
            </w:pPr>
            <w:r w:rsidRPr="00CB2EC4">
              <w:rPr>
                <w:rFonts w:ascii="Times New Roman" w:hAnsi="Times New Roman" w:cs="Times New Roman"/>
              </w:rPr>
              <w:t>the surgical scope of extrafascial total hysterectomy includes the following key structures:</w:t>
            </w:r>
            <w:r w:rsidRPr="00CB2EC4">
              <w:rPr>
                <w:rFonts w:ascii="Times New Roman" w:hAnsi="Times New Roman" w:cs="Times New Roman"/>
              </w:rPr>
              <w:br/>
            </w:r>
            <w:r w:rsidRPr="00CB2EC4">
              <w:rPr>
                <w:rFonts w:ascii="Times New Roman" w:hAnsi="Times New Roman" w:cs="Times New Roman"/>
              </w:rPr>
              <w:br/>
              <w:t>- Uterus and cervix: completely removed.</w:t>
            </w:r>
            <w:r w:rsidRPr="00CB2EC4">
              <w:rPr>
                <w:rFonts w:ascii="Times New Roman" w:hAnsi="Times New Roman" w:cs="Times New Roman"/>
              </w:rPr>
              <w:br/>
              <w:t>- Vaginal margin: 1–2 cm of vagina is resected.</w:t>
            </w:r>
            <w:r w:rsidRPr="00CB2EC4">
              <w:rPr>
                <w:rFonts w:ascii="Times New Roman" w:hAnsi="Times New Roman" w:cs="Times New Roman"/>
              </w:rPr>
              <w:br/>
              <w:t>- Ligament management:</w:t>
            </w:r>
            <w:r w:rsidRPr="00CB2EC4">
              <w:rPr>
                <w:rFonts w:ascii="Times New Roman" w:hAnsi="Times New Roman" w:cs="Times New Roman"/>
              </w:rPr>
              <w:br/>
              <w:t xml:space="preserve">  - Main ligament: transected at the level of the uterine and cervical margin.</w:t>
            </w:r>
            <w:r w:rsidRPr="00CB2EC4">
              <w:rPr>
                <w:rFonts w:ascii="Times New Roman" w:hAnsi="Times New Roman" w:cs="Times New Roman"/>
              </w:rPr>
              <w:br/>
              <w:t xml:space="preserve">  - Uterosacral ligament: transected at the cervical margin.</w:t>
            </w:r>
            <w:r w:rsidRPr="00CB2EC4">
              <w:rPr>
                <w:rFonts w:ascii="Times New Roman" w:hAnsi="Times New Roman" w:cs="Times New Roman"/>
              </w:rPr>
              <w:br/>
              <w:t>- Adjacent organ management:</w:t>
            </w:r>
            <w:r w:rsidRPr="00CB2EC4">
              <w:rPr>
                <w:rFonts w:ascii="Times New Roman" w:hAnsi="Times New Roman" w:cs="Times New Roman"/>
              </w:rPr>
              <w:br/>
              <w:t xml:space="preserve">  - Bladder: pushed downward to the bladder base (i.e., dissection of the vesicocervical space without involving the bladder itself).</w:t>
            </w:r>
            <w:r w:rsidRPr="00CB2EC4">
              <w:rPr>
                <w:rFonts w:ascii="Times New Roman" w:hAnsi="Times New Roman" w:cs="Times New Roman"/>
              </w:rPr>
              <w:br/>
              <w:t xml:space="preserve">  - Ureter: not involved in the procedure (only the pelvic segment is exposed, but the ureteral bed is not dissected).</w:t>
            </w:r>
            <w:r w:rsidRPr="00CB2EC4">
              <w:rPr>
                <w:rFonts w:ascii="Times New Roman" w:hAnsi="Times New Roman" w:cs="Times New Roman"/>
              </w:rPr>
              <w:br/>
              <w:t xml:space="preserve">  - Rectum: not involved in the procedure.</w:t>
            </w:r>
            <w:r w:rsidRPr="00CB2EC4">
              <w:rPr>
                <w:rFonts w:ascii="Times New Roman" w:hAnsi="Times New Roman" w:cs="Times New Roman"/>
              </w:rPr>
              <w:br/>
              <w:t>- Ovaries: selectively removed (retention depends on patient age and condition).</w:t>
            </w:r>
            <w:r w:rsidRPr="00CB2EC4">
              <w:rPr>
                <w:rFonts w:ascii="Times New Roman" w:hAnsi="Times New Roman" w:cs="Times New Roman"/>
              </w:rPr>
              <w:br/>
              <w:t>- Others: the surgical extent exceeds that of conservative total hysterectomy but does not include pelvic lymph node dissection.</w:t>
            </w:r>
            <w:r w:rsidRPr="00CB2EC4">
              <w:rPr>
                <w:rFonts w:ascii="Times New Roman" w:hAnsi="Times New Roman" w:cs="Times New Roman"/>
              </w:rPr>
              <w:br/>
            </w:r>
            <w:r w:rsidRPr="00CB2EC4">
              <w:rPr>
                <w:rFonts w:ascii="Times New Roman" w:hAnsi="Times New Roman" w:cs="Times New Roman"/>
              </w:rPr>
              <w:br/>
              <w:t xml:space="preserve">Key point: This procedure is performed extrafascially </w:t>
            </w:r>
            <w:r w:rsidRPr="00CB2EC4">
              <w:rPr>
                <w:rFonts w:ascii="Times New Roman" w:hAnsi="Times New Roman" w:cs="Times New Roman"/>
              </w:rPr>
              <w:lastRenderedPageBreak/>
              <w:t>at the level of the cervix, aiming for complete cervical removal while minimizing urologic complications.</w:t>
            </w:r>
          </w:p>
        </w:tc>
        <w:tc>
          <w:tcPr>
            <w:tcW w:w="1152" w:type="dxa"/>
            <w:vAlign w:val="center"/>
          </w:tcPr>
          <w:p w14:paraId="659E80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AD0D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F62B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110CCD" w14:textId="77777777">
        <w:tc>
          <w:tcPr>
            <w:tcW w:w="2160" w:type="dxa"/>
            <w:vAlign w:val="center"/>
          </w:tcPr>
          <w:p w14:paraId="62E7A036"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AFA1A25" w14:textId="77777777" w:rsidR="00922249" w:rsidRPr="00CB2EC4" w:rsidRDefault="003011D5">
            <w:pPr>
              <w:rPr>
                <w:rFonts w:ascii="Times New Roman" w:hAnsi="Times New Roman" w:cs="Times New Roman"/>
              </w:rPr>
            </w:pPr>
            <w:r w:rsidRPr="00CB2EC4">
              <w:rPr>
                <w:rFonts w:ascii="Times New Roman" w:hAnsi="Times New Roman" w:cs="Times New Roman"/>
              </w:rPr>
              <w:t>surgical extent of extrafascial total hysterectomy</w:t>
            </w:r>
            <w:r w:rsidRPr="00CB2EC4">
              <w:rPr>
                <w:rFonts w:ascii="Times New Roman" w:hAnsi="Times New Roman" w:cs="Times New Roman"/>
              </w:rPr>
              <w:br/>
            </w:r>
            <w:r w:rsidRPr="00CB2EC4">
              <w:rPr>
                <w:rFonts w:ascii="Times New Roman" w:hAnsi="Times New Roman" w:cs="Times New Roman"/>
              </w:rPr>
              <w:br/>
              <w:t>- Key structures removed:</w:t>
            </w:r>
            <w:r w:rsidRPr="00CB2EC4">
              <w:rPr>
                <w:rFonts w:ascii="Times New Roman" w:hAnsi="Times New Roman" w:cs="Times New Roman"/>
              </w:rPr>
              <w:br/>
              <w:t xml:space="preserve">  - Uterus and cervix: completely removed.</w:t>
            </w:r>
            <w:r w:rsidRPr="00CB2EC4">
              <w:rPr>
                <w:rFonts w:ascii="Times New Roman" w:hAnsi="Times New Roman" w:cs="Times New Roman"/>
              </w:rPr>
              <w:br/>
              <w:t xml:space="preserve">  - Ovaries: selectively removed (retention decided based on patient age and preference).</w:t>
            </w:r>
            <w:r w:rsidRPr="00CB2EC4">
              <w:rPr>
                <w:rFonts w:ascii="Times New Roman" w:hAnsi="Times New Roman" w:cs="Times New Roman"/>
              </w:rPr>
              <w:br/>
              <w:t xml:space="preserve">  - Vaginal margin: 1–2 cm of vagina resected.</w:t>
            </w:r>
            <w:r w:rsidRPr="00CB2EC4">
              <w:rPr>
                <w:rFonts w:ascii="Times New Roman" w:hAnsi="Times New Roman" w:cs="Times New Roman"/>
              </w:rPr>
              <w:br/>
              <w:t xml:space="preserve">  - Ligament management: cardinal ligaments and uterosacral ligaments are transected at the level of the uterine and cervical margins (not widely excised).</w:t>
            </w:r>
            <w:r w:rsidRPr="00CB2EC4">
              <w:rPr>
                <w:rFonts w:ascii="Times New Roman" w:hAnsi="Times New Roman" w:cs="Times New Roman"/>
              </w:rPr>
              <w:br/>
              <w:t xml:space="preserve">  - Adjacent organs: bladder is dissected inferiorly to the bladder base; rectum is not involved.</w:t>
            </w:r>
            <w:r w:rsidRPr="00CB2EC4">
              <w:rPr>
                <w:rFonts w:ascii="Times New Roman" w:hAnsi="Times New Roman" w:cs="Times New Roman"/>
              </w:rPr>
              <w:br/>
              <w:t xml:space="preserve">  - Ureters: not involved in the procedure (ureters are neither exposed nor dissected free).</w:t>
            </w:r>
            <w:r w:rsidRPr="00CB2EC4">
              <w:rPr>
                <w:rFonts w:ascii="Times New Roman" w:hAnsi="Times New Roman" w:cs="Times New Roman"/>
              </w:rPr>
              <w:br/>
              <w:t>- Surgical approach: can be performed via laparotomy, laparoscopy, or robotic surgery.</w:t>
            </w:r>
          </w:p>
        </w:tc>
        <w:tc>
          <w:tcPr>
            <w:tcW w:w="1152" w:type="dxa"/>
            <w:vAlign w:val="center"/>
          </w:tcPr>
          <w:p w14:paraId="17C9F8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429E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BC12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CF5D61" w14:textId="77777777">
        <w:tc>
          <w:tcPr>
            <w:tcW w:w="2160" w:type="dxa"/>
            <w:vAlign w:val="center"/>
          </w:tcPr>
          <w:p w14:paraId="7324FBDF"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CDF8D5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surgical scope of extrafascial total hysterectomy includes the following key structures:  </w:t>
            </w:r>
            <w:r w:rsidRPr="00CB2EC4">
              <w:rPr>
                <w:rFonts w:ascii="Times New Roman" w:hAnsi="Times New Roman" w:cs="Times New Roman"/>
              </w:rPr>
              <w:br/>
              <w:t xml:space="preserve">- Removed organs and tissues:  </w:t>
            </w:r>
            <w:r w:rsidRPr="00CB2EC4">
              <w:rPr>
                <w:rFonts w:ascii="Times New Roman" w:hAnsi="Times New Roman" w:cs="Times New Roman"/>
              </w:rPr>
              <w:br/>
              <w:t xml:space="preserve">  - Entire uterus (including corpus and cervix).  </w:t>
            </w:r>
            <w:r w:rsidRPr="00CB2EC4">
              <w:rPr>
                <w:rFonts w:ascii="Times New Roman" w:hAnsi="Times New Roman" w:cs="Times New Roman"/>
              </w:rPr>
              <w:br/>
              <w:t xml:space="preserve">  - Upper 1–2 cm of the vagina (to ensure adequate vaginal tissue resection and reduce recurrence risk).  </w:t>
            </w:r>
            <w:r w:rsidRPr="00CB2EC4">
              <w:rPr>
                <w:rFonts w:ascii="Times New Roman" w:hAnsi="Times New Roman" w:cs="Times New Roman"/>
              </w:rPr>
              <w:br/>
              <w:t xml:space="preserve">- Managed ligaments and structures:  </w:t>
            </w:r>
            <w:r w:rsidRPr="00CB2EC4">
              <w:rPr>
                <w:rFonts w:ascii="Times New Roman" w:hAnsi="Times New Roman" w:cs="Times New Roman"/>
              </w:rPr>
              <w:br/>
              <w:t xml:space="preserve">  - Transection and ligation of the cervical-bladder ligament, uterosacral ligament, and cardinal ligament (performed extrafascially at the cervical level, without involving cervical tissue resection).  </w:t>
            </w:r>
            <w:r w:rsidRPr="00CB2EC4">
              <w:rPr>
                <w:rFonts w:ascii="Times New Roman" w:hAnsi="Times New Roman" w:cs="Times New Roman"/>
              </w:rPr>
              <w:br/>
              <w:t xml:space="preserve">  - Partial exposure of the ureter in the parametrial segment, but without complete dissection of the ureteral bed (ureter is displaced laterally to avoid injury).  </w:t>
            </w:r>
            <w:r w:rsidRPr="00CB2EC4">
              <w:rPr>
                <w:rFonts w:ascii="Times New Roman" w:hAnsi="Times New Roman" w:cs="Times New Roman"/>
              </w:rPr>
              <w:br/>
            </w:r>
            <w:r w:rsidRPr="00CB2EC4">
              <w:rPr>
                <w:rFonts w:ascii="Times New Roman" w:hAnsi="Times New Roman" w:cs="Times New Roman"/>
              </w:rPr>
              <w:lastRenderedPageBreak/>
              <w:t xml:space="preserve">  - Bladder is pushed down to the mid-cervical level; rectal dissection is not required.  </w:t>
            </w:r>
            <w:r w:rsidRPr="00CB2EC4">
              <w:rPr>
                <w:rFonts w:ascii="Times New Roman" w:hAnsi="Times New Roman" w:cs="Times New Roman"/>
              </w:rPr>
              <w:br/>
              <w:t xml:space="preserve">- Other: Surgical approach may be abdominal, laparoscopic, or robotic; ovarian preservation may be considered in young patients based on age and disease status.  </w:t>
            </w:r>
            <w:r w:rsidRPr="00CB2EC4">
              <w:rPr>
                <w:rFonts w:ascii="Times New Roman" w:hAnsi="Times New Roman" w:cs="Times New Roman"/>
              </w:rPr>
              <w:br/>
            </w:r>
            <w:r w:rsidRPr="00CB2EC4">
              <w:rPr>
                <w:rFonts w:ascii="Times New Roman" w:hAnsi="Times New Roman" w:cs="Times New Roman"/>
              </w:rPr>
              <w:br/>
              <w:t xml:space="preserve">Distinction from more extensive procedures: This technique operates extrafascially at the cervix to achieve complete cervical removal, but has a narrower scope than Type II or Type III hysterectomy (does not include pelvic lymphadenectomy or wide parametrial resection).  </w:t>
            </w:r>
            <w:r w:rsidRPr="00CB2EC4">
              <w:rPr>
                <w:rFonts w:ascii="Times New Roman" w:hAnsi="Times New Roman" w:cs="Times New Roman"/>
              </w:rPr>
              <w:br/>
            </w:r>
            <w:r w:rsidRPr="00CB2EC4">
              <w:rPr>
                <w:rFonts w:ascii="Times New Roman" w:hAnsi="Times New Roman" w:cs="Times New Roman"/>
              </w:rPr>
              <w:br/>
              <w:t xml:space="preserve">Contextual references:  </w:t>
            </w:r>
            <w:r w:rsidRPr="00CB2EC4">
              <w:rPr>
                <w:rFonts w:ascii="Times New Roman" w:hAnsi="Times New Roman" w:cs="Times New Roman"/>
              </w:rPr>
              <w:br/>
              <w:t xml:space="preserve">- Related excerpt 6 (from original block 349–351): "Extrafascial total hysterectomy... requires partial exposure of the ureter in the parametrial segment, but without dissecting the ureteral bed; the ureter is displaced laterally... Transection of the cervical-bladder ligament, cardinal ligament, and uterosacral ligament is performed extrafascially at the cervix. Simultaneously, 1–2 cm of the vagina is resected."  </w:t>
            </w:r>
            <w:r w:rsidRPr="00CB2EC4">
              <w:rPr>
                <w:rFonts w:ascii="Times New Roman" w:hAnsi="Times New Roman" w:cs="Times New Roman"/>
              </w:rPr>
              <w:br/>
              <w:t>- Related excerpt 7 (from original block 473–475): "The goal is to ensure complete resection of the cervix while also removing 1–2 cm of the vagina."</w:t>
            </w:r>
          </w:p>
        </w:tc>
        <w:tc>
          <w:tcPr>
            <w:tcW w:w="1152" w:type="dxa"/>
            <w:vAlign w:val="center"/>
          </w:tcPr>
          <w:p w14:paraId="573D97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0FBF7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5E9D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C06626F" w14:textId="77777777">
        <w:tc>
          <w:tcPr>
            <w:tcW w:w="2160" w:type="dxa"/>
            <w:vAlign w:val="center"/>
          </w:tcPr>
          <w:p w14:paraId="0B3E1155"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72B9B1B" w14:textId="77777777" w:rsidR="00922249" w:rsidRPr="00CB2EC4" w:rsidRDefault="003011D5">
            <w:pPr>
              <w:rPr>
                <w:rFonts w:ascii="Times New Roman" w:hAnsi="Times New Roman" w:cs="Times New Roman"/>
              </w:rPr>
            </w:pPr>
            <w:r w:rsidRPr="00CB2EC4">
              <w:rPr>
                <w:rFonts w:ascii="Times New Roman" w:hAnsi="Times New Roman" w:cs="Times New Roman"/>
              </w:rPr>
              <w:t>the key structures included in the surgical scope of extrafascial total hysterectomy are:</w:t>
            </w:r>
            <w:r w:rsidRPr="00CB2EC4">
              <w:rPr>
                <w:rFonts w:ascii="Times New Roman" w:hAnsi="Times New Roman" w:cs="Times New Roman"/>
              </w:rPr>
              <w:br/>
            </w:r>
            <w:r w:rsidRPr="00CB2EC4">
              <w:rPr>
                <w:rFonts w:ascii="Times New Roman" w:hAnsi="Times New Roman" w:cs="Times New Roman"/>
              </w:rPr>
              <w:br/>
              <w:t>- Removal of the uterine corpus, cervix, and upper vaginal segment (approximately 1–2 cm).</w:t>
            </w:r>
            <w:r w:rsidRPr="00CB2EC4">
              <w:rPr>
                <w:rFonts w:ascii="Times New Roman" w:hAnsi="Times New Roman" w:cs="Times New Roman"/>
              </w:rPr>
              <w:br/>
              <w:t>- Preservation of the parametrial tissues (e.g., cardinal ligaments, uterosacral ligaments) and lymph nodes.</w:t>
            </w:r>
            <w:r w:rsidRPr="00CB2EC4">
              <w:rPr>
                <w:rFonts w:ascii="Times New Roman" w:hAnsi="Times New Roman" w:cs="Times New Roman"/>
              </w:rPr>
              <w:br/>
              <w:t xml:space="preserve">- Critical anatomical structures involved: dissection of </w:t>
            </w:r>
            <w:r w:rsidRPr="00CB2EC4">
              <w:rPr>
                <w:rFonts w:ascii="Times New Roman" w:hAnsi="Times New Roman" w:cs="Times New Roman"/>
              </w:rPr>
              <w:lastRenderedPageBreak/>
              <w:t>the vesicouterine peritoneal fold and rectouterine peritoneal fold, without deep dissection into the ureteric tunnels; ensuring vaginal stump closure at the extrafascial level to avoid injury to the ureters, bladder, or rectum.</w:t>
            </w:r>
            <w:r w:rsidRPr="00CB2EC4">
              <w:rPr>
                <w:rFonts w:ascii="Times New Roman" w:hAnsi="Times New Roman" w:cs="Times New Roman"/>
              </w:rPr>
              <w:br/>
            </w:r>
            <w:r w:rsidRPr="00CB2EC4">
              <w:rPr>
                <w:rFonts w:ascii="Times New Roman" w:hAnsi="Times New Roman" w:cs="Times New Roman"/>
              </w:rPr>
              <w:br/>
              <w:t>This procedure (Type I) is primarily indicated for cervical precancerous lesions or early invasive cancer (such as IA1 stage without lymphovascular space invasion).</w:t>
            </w:r>
          </w:p>
        </w:tc>
        <w:tc>
          <w:tcPr>
            <w:tcW w:w="1152" w:type="dxa"/>
            <w:vAlign w:val="center"/>
          </w:tcPr>
          <w:p w14:paraId="0EEA58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F55FB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AD1B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DE0F4BA" w14:textId="77777777">
        <w:tc>
          <w:tcPr>
            <w:tcW w:w="10656" w:type="dxa"/>
            <w:gridSpan w:val="5"/>
            <w:tcBorders>
              <w:bottom w:val="single" w:sz="6" w:space="0" w:color="auto"/>
            </w:tcBorders>
            <w:vAlign w:val="center"/>
          </w:tcPr>
          <w:p w14:paraId="1BFB2C58"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163: A 50-year-old postmenopausal patient is diagnosed with early invasive cervical cancer. The pathology report shows a stromal invasion depth of 2 mm with definite vascular invasion. According to the text, which type of surgery should be chosen for her? Please describe the main extent of tissue resection for this surgery and explain its key difference from an extrafascial total hysterectomy (Type I).</w:t>
            </w:r>
          </w:p>
        </w:tc>
      </w:tr>
      <w:tr w:rsidR="00922249" w:rsidRPr="00CB2EC4" w14:paraId="3597861E" w14:textId="77777777">
        <w:tc>
          <w:tcPr>
            <w:tcW w:w="2160" w:type="dxa"/>
            <w:vAlign w:val="center"/>
          </w:tcPr>
          <w:p w14:paraId="0A19455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686A05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Selected Surgical Procedure:  </w:t>
            </w:r>
            <w:r w:rsidRPr="00CB2EC4">
              <w:rPr>
                <w:rFonts w:ascii="Times New Roman" w:hAnsi="Times New Roman" w:cs="Times New Roman"/>
              </w:rPr>
              <w:br/>
              <w:t xml:space="preserve">According to the documentation, the patient's stromal invasion depth is 2 mm (classified as stage IA1), but with definitive lymphovascular space invasion (LVSI). Therefore, a Type II Radical Hysterectomy (i.e., modified radical hysterectomy with pelvic lymphadenectomy) should be selected. The document explicitly states: "Indications include invasion depths of $3\sim 5\mathrm{mm}$, or cases with LVSI regardless of invasion depth" (see the Type II Radical Hysterectomy section). LVSI is an independent high-risk factor, necessitating this procedure irrespective of invasion depth.  </w:t>
            </w:r>
            <w:r w:rsidRPr="00CB2EC4">
              <w:rPr>
                <w:rFonts w:ascii="Times New Roman" w:hAnsi="Times New Roman" w:cs="Times New Roman"/>
              </w:rPr>
              <w:br/>
            </w:r>
            <w:r w:rsidRPr="00CB2EC4">
              <w:rPr>
                <w:rFonts w:ascii="Times New Roman" w:hAnsi="Times New Roman" w:cs="Times New Roman"/>
              </w:rPr>
              <w:br/>
              <w:t xml:space="preserve">- Primary Tissue Resection Scope:  </w:t>
            </w:r>
            <w:r w:rsidRPr="00CB2EC4">
              <w:rPr>
                <w:rFonts w:ascii="Times New Roman" w:hAnsi="Times New Roman" w:cs="Times New Roman"/>
              </w:rPr>
              <w:br/>
              <w:t xml:space="preserve">  - Uterus and Adnexa: Removal of the entire uterus and bilateral adnexa (the patient is 50 years old and postmenopausal, typically warranting bilateral adnexectomy).  </w:t>
            </w:r>
            <w:r w:rsidRPr="00CB2EC4">
              <w:rPr>
                <w:rFonts w:ascii="Times New Roman" w:hAnsi="Times New Roman" w:cs="Times New Roman"/>
              </w:rPr>
              <w:br/>
            </w:r>
            <w:r w:rsidRPr="00CB2EC4">
              <w:rPr>
                <w:rFonts w:ascii="Times New Roman" w:hAnsi="Times New Roman" w:cs="Times New Roman"/>
              </w:rPr>
              <w:lastRenderedPageBreak/>
              <w:t xml:space="preserve">  - Parametrial Tissue: Partial resection of parametrial tissue, including:  </w:t>
            </w:r>
            <w:r w:rsidRPr="00CB2EC4">
              <w:rPr>
                <w:rFonts w:ascii="Times New Roman" w:hAnsi="Times New Roman" w:cs="Times New Roman"/>
              </w:rPr>
              <w:br/>
              <w:t xml:space="preserve">    - Cardinal Ligament: Resection of 1/2 (from the cervix toward the pelvic sidewall).  </w:t>
            </w:r>
            <w:r w:rsidRPr="00CB2EC4">
              <w:rPr>
                <w:rFonts w:ascii="Times New Roman" w:hAnsi="Times New Roman" w:cs="Times New Roman"/>
              </w:rPr>
              <w:br/>
              <w:t xml:space="preserve">    - Uterosacral Ligament: Resection of 1/2 (near the sacral end).  </w:t>
            </w:r>
            <w:r w:rsidRPr="00CB2EC4">
              <w:rPr>
                <w:rFonts w:ascii="Times New Roman" w:hAnsi="Times New Roman" w:cs="Times New Roman"/>
              </w:rPr>
              <w:br/>
              <w:t xml:space="preserve">  - Vagina: Resection of the upper 1/3 of the vagina.  </w:t>
            </w:r>
            <w:r w:rsidRPr="00CB2EC4">
              <w:rPr>
                <w:rFonts w:ascii="Times New Roman" w:hAnsi="Times New Roman" w:cs="Times New Roman"/>
              </w:rPr>
              <w:br/>
              <w:t xml:space="preserve">  - Lymph Nodes: Concurrent selective pelvic lymphadenectomy, involving removal of the lower segment of the common iliac, external iliac, deep inguinal, internal iliac, and obturator lymph nodes.  </w:t>
            </w:r>
            <w:r w:rsidRPr="00CB2EC4">
              <w:rPr>
                <w:rFonts w:ascii="Times New Roman" w:hAnsi="Times New Roman" w:cs="Times New Roman"/>
              </w:rPr>
              <w:br/>
              <w:t xml:space="preserve">  - Ureteral Management: Exposure of the parametrial segment of the ureter, with ligation and division of the uterine artery medial to the ureter (preserving distal ureteral blood supply), but without complete dissection of the ureteral bed.  </w:t>
            </w:r>
            <w:r w:rsidRPr="00CB2EC4">
              <w:rPr>
                <w:rFonts w:ascii="Times New Roman" w:hAnsi="Times New Roman" w:cs="Times New Roman"/>
              </w:rPr>
              <w:br/>
            </w:r>
            <w:r w:rsidRPr="00CB2EC4">
              <w:rPr>
                <w:rFonts w:ascii="Times New Roman" w:hAnsi="Times New Roman" w:cs="Times New Roman"/>
              </w:rPr>
              <w:br/>
              <w:t xml:space="preserve">- Key Differences Compared to Extrafascial Total Hysterectomy (Type I):  </w:t>
            </w:r>
            <w:r w:rsidRPr="00CB2EC4">
              <w:rPr>
                <w:rFonts w:ascii="Times New Roman" w:hAnsi="Times New Roman" w:cs="Times New Roman"/>
              </w:rPr>
              <w:br/>
              <w:t xml:space="preserve">  - Parametrial Resection Scope:  </w:t>
            </w:r>
            <w:r w:rsidRPr="00CB2EC4">
              <w:rPr>
                <w:rFonts w:ascii="Times New Roman" w:hAnsi="Times New Roman" w:cs="Times New Roman"/>
              </w:rPr>
              <w:br/>
              <w:t xml:space="preserve">    - Type I: Only transection of the cardinal and uterosacral ligaments at the uterine and cervical margins, without pelvic sidewall resection; conservative parametrial handling, limited to clamping paracervical tissue.  </w:t>
            </w:r>
            <w:r w:rsidRPr="00CB2EC4">
              <w:rPr>
                <w:rFonts w:ascii="Times New Roman" w:hAnsi="Times New Roman" w:cs="Times New Roman"/>
              </w:rPr>
              <w:br/>
              <w:t xml:space="preserve">    - Type II: Resection of 1/2 of the cardinal and uterosacral ligaments, involving deeper parametrial tissue to reduce recurrence risk.  </w:t>
            </w:r>
            <w:r w:rsidRPr="00CB2EC4">
              <w:rPr>
                <w:rFonts w:ascii="Times New Roman" w:hAnsi="Times New Roman" w:cs="Times New Roman"/>
              </w:rPr>
              <w:br/>
              <w:t xml:space="preserve">  - Vaginal Resection Length:  </w:t>
            </w:r>
            <w:r w:rsidRPr="00CB2EC4">
              <w:rPr>
                <w:rFonts w:ascii="Times New Roman" w:hAnsi="Times New Roman" w:cs="Times New Roman"/>
              </w:rPr>
              <w:br/>
              <w:t xml:space="preserve">    - Type I: Resection of 1-2 cm of the vagina.  </w:t>
            </w:r>
            <w:r w:rsidRPr="00CB2EC4">
              <w:rPr>
                <w:rFonts w:ascii="Times New Roman" w:hAnsi="Times New Roman" w:cs="Times New Roman"/>
              </w:rPr>
              <w:br/>
              <w:t xml:space="preserve">    - Type II: Resection of 1/3 of the vagina (approximately 3-4 cm), with a larger scope.  </w:t>
            </w:r>
            <w:r w:rsidRPr="00CB2EC4">
              <w:rPr>
                <w:rFonts w:ascii="Times New Roman" w:hAnsi="Times New Roman" w:cs="Times New Roman"/>
              </w:rPr>
              <w:br/>
              <w:t xml:space="preserve">  - Lymph Node Management:  </w:t>
            </w:r>
            <w:r w:rsidRPr="00CB2EC4">
              <w:rPr>
                <w:rFonts w:ascii="Times New Roman" w:hAnsi="Times New Roman" w:cs="Times New Roman"/>
              </w:rPr>
              <w:br/>
              <w:t xml:space="preserve">    - Type I: Does not include lymphadenectomy.  </w:t>
            </w:r>
            <w:r w:rsidRPr="00CB2EC4">
              <w:rPr>
                <w:rFonts w:ascii="Times New Roman" w:hAnsi="Times New Roman" w:cs="Times New Roman"/>
              </w:rPr>
              <w:br/>
            </w:r>
            <w:r w:rsidRPr="00CB2EC4">
              <w:rPr>
                <w:rFonts w:ascii="Times New Roman" w:hAnsi="Times New Roman" w:cs="Times New Roman"/>
              </w:rPr>
              <w:lastRenderedPageBreak/>
              <w:t xml:space="preserve">    - Type II: Mandatory pelvic lymphadenectomy to assess metastasis risk.  </w:t>
            </w:r>
            <w:r w:rsidRPr="00CB2EC4">
              <w:rPr>
                <w:rFonts w:ascii="Times New Roman" w:hAnsi="Times New Roman" w:cs="Times New Roman"/>
              </w:rPr>
              <w:br/>
              <w:t xml:space="preserve">  - Ureteral Manipulation:  </w:t>
            </w:r>
            <w:r w:rsidRPr="00CB2EC4">
              <w:rPr>
                <w:rFonts w:ascii="Times New Roman" w:hAnsi="Times New Roman" w:cs="Times New Roman"/>
              </w:rPr>
              <w:br/>
              <w:t xml:space="preserve">    - Type I: Exposure of the ureter without vascular separation or ligation.  </w:t>
            </w:r>
            <w:r w:rsidRPr="00CB2EC4">
              <w:rPr>
                <w:rFonts w:ascii="Times New Roman" w:hAnsi="Times New Roman" w:cs="Times New Roman"/>
              </w:rPr>
              <w:br/>
              <w:t xml:space="preserve">    - Type II: Requires ligation and division of the uterine artery medial to the ureter, involving more extensive ureteral manipulation.  </w:t>
            </w:r>
            <w:r w:rsidRPr="00CB2EC4">
              <w:rPr>
                <w:rFonts w:ascii="Times New Roman" w:hAnsi="Times New Roman" w:cs="Times New Roman"/>
              </w:rPr>
              <w:br/>
              <w:t xml:space="preserve">  - Indications: Type I is suitable for low-risk cases (invasion ≤3 mm without LVSI); Type II is indicated for intermediate- to high-risk cases (e.g., LVSI or invasion depth of 3-5 mm).</w:t>
            </w:r>
          </w:p>
        </w:tc>
        <w:tc>
          <w:tcPr>
            <w:tcW w:w="1152" w:type="dxa"/>
            <w:vAlign w:val="center"/>
          </w:tcPr>
          <w:p w14:paraId="75C1A2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08085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90C3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8EF44F" w14:textId="77777777">
        <w:tc>
          <w:tcPr>
            <w:tcW w:w="2160" w:type="dxa"/>
            <w:vAlign w:val="center"/>
          </w:tcPr>
          <w:p w14:paraId="1100EFF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6C0279A5" w14:textId="77777777" w:rsidR="00922249" w:rsidRPr="00CB2EC4" w:rsidRDefault="003011D5">
            <w:pPr>
              <w:rPr>
                <w:rFonts w:ascii="Times New Roman" w:hAnsi="Times New Roman" w:cs="Times New Roman"/>
              </w:rPr>
            </w:pPr>
            <w:r w:rsidRPr="00CB2EC4">
              <w:rPr>
                <w:rFonts w:ascii="Times New Roman" w:hAnsi="Times New Roman" w:cs="Times New Roman"/>
              </w:rPr>
              <w:t>surgical options for cervical cancer with lymphovascular space invasion</w:t>
            </w:r>
            <w:r w:rsidRPr="00CB2EC4">
              <w:rPr>
                <w:rFonts w:ascii="Times New Roman" w:hAnsi="Times New Roman" w:cs="Times New Roman"/>
              </w:rPr>
              <w:br/>
            </w:r>
            <w:r w:rsidRPr="00CB2EC4">
              <w:rPr>
                <w:rFonts w:ascii="Times New Roman" w:hAnsi="Times New Roman" w:cs="Times New Roman"/>
              </w:rPr>
              <w:br/>
              <w:t>surgical type: modified radical hysterectomy (type B) + pelvic lymphadenectomy (segment 7: IA1 stage with LVSI(+) protocol)</w:t>
            </w:r>
            <w:r w:rsidRPr="00CB2EC4">
              <w:rPr>
                <w:rFonts w:ascii="Times New Roman" w:hAnsi="Times New Roman" w:cs="Times New Roman"/>
              </w:rPr>
              <w:br/>
              <w:t>- resection range (segment 7, segment 9):</w:t>
            </w:r>
            <w:r w:rsidRPr="00CB2EC4">
              <w:rPr>
                <w:rFonts w:ascii="Times New Roman" w:hAnsi="Times New Roman" w:cs="Times New Roman"/>
              </w:rPr>
              <w:br/>
              <w:t xml:space="preserve">  - total hysterectomy with complete removal of the cervix.</w:t>
            </w:r>
            <w:r w:rsidRPr="00CB2EC4">
              <w:rPr>
                <w:rFonts w:ascii="Times New Roman" w:hAnsi="Times New Roman" w:cs="Times New Roman"/>
              </w:rPr>
              <w:br/>
              <w:t xml:space="preserve">  - upper 1–2 cm of the vagina (segment 7).</w:t>
            </w:r>
            <w:r w:rsidRPr="00CB2EC4">
              <w:rPr>
                <w:rFonts w:ascii="Times New Roman" w:hAnsi="Times New Roman" w:cs="Times New Roman"/>
              </w:rPr>
              <w:br/>
              <w:t xml:space="preserve">  - partial cardinal ligament (approximately 1/2) and uterosacral ligament (segment 9, figure 7-10).</w:t>
            </w:r>
            <w:r w:rsidRPr="00CB2EC4">
              <w:rPr>
                <w:rFonts w:ascii="Times New Roman" w:hAnsi="Times New Roman" w:cs="Times New Roman"/>
              </w:rPr>
              <w:br/>
              <w:t xml:space="preserve">  - pelvic lymph node dissection (segment 7).</w:t>
            </w:r>
            <w:r w:rsidRPr="00CB2EC4">
              <w:rPr>
                <w:rFonts w:ascii="Times New Roman" w:hAnsi="Times New Roman" w:cs="Times New Roman"/>
              </w:rPr>
              <w:br/>
              <w:t>- key differences from extrafascial surgery (type I):</w:t>
            </w:r>
            <w:r w:rsidRPr="00CB2EC4">
              <w:rPr>
                <w:rFonts w:ascii="Times New Roman" w:hAnsi="Times New Roman" w:cs="Times New Roman"/>
              </w:rPr>
              <w:br/>
              <w:t xml:space="preserve">  - parametrial management: modified radical hysterectomy requires dissection and resection of part of the cardinal ligament/uterosacral ligament (segment 9), whereas extrafascial surgery involves transection immediately adjacent to the cervix.</w:t>
            </w:r>
            <w:r w:rsidRPr="00CB2EC4">
              <w:rPr>
                <w:rFonts w:ascii="Times New Roman" w:hAnsi="Times New Roman" w:cs="Times New Roman"/>
              </w:rPr>
              <w:br/>
              <w:t xml:space="preserve">  - lymph node dissection: modified radical hysterectomy requires pelvic lymphadenectomy; extrafascial surgery does not (segment 7, table 2).</w:t>
            </w:r>
            <w:r w:rsidRPr="00CB2EC4">
              <w:rPr>
                <w:rFonts w:ascii="Times New Roman" w:hAnsi="Times New Roman" w:cs="Times New Roman"/>
              </w:rPr>
              <w:br/>
            </w:r>
            <w:r w:rsidRPr="00CB2EC4">
              <w:rPr>
                <w:rFonts w:ascii="Times New Roman" w:hAnsi="Times New Roman" w:cs="Times New Roman"/>
              </w:rPr>
              <w:lastRenderedPageBreak/>
              <w:t xml:space="preserve">  - ureter manipulation: modified radical hysterectomy requires exposure of a portion of the ureter (segment 9); extrafascial surgery avoids contact.</w:t>
            </w:r>
          </w:p>
        </w:tc>
        <w:tc>
          <w:tcPr>
            <w:tcW w:w="1152" w:type="dxa"/>
            <w:vAlign w:val="center"/>
          </w:tcPr>
          <w:p w14:paraId="3601A1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79DC7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B03F9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EC5A78A" w14:textId="77777777">
        <w:tc>
          <w:tcPr>
            <w:tcW w:w="2160" w:type="dxa"/>
            <w:vAlign w:val="center"/>
          </w:tcPr>
          <w:p w14:paraId="213F620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7A06C87" w14:textId="77777777" w:rsidR="00922249" w:rsidRPr="00CB2EC4" w:rsidRDefault="003011D5">
            <w:pPr>
              <w:rPr>
                <w:rFonts w:ascii="Times New Roman" w:hAnsi="Times New Roman" w:cs="Times New Roman"/>
              </w:rPr>
            </w:pPr>
            <w:r w:rsidRPr="00CB2EC4">
              <w:rPr>
                <w:rFonts w:ascii="Times New Roman" w:hAnsi="Times New Roman" w:cs="Times New Roman"/>
              </w:rPr>
              <w:t>Based on the documented information, an extended hysterectomy type II (modified radical hysterectomy) should be selected for this patient.</w:t>
            </w:r>
            <w:r w:rsidRPr="00CB2EC4">
              <w:rPr>
                <w:rFonts w:ascii="Times New Roman" w:hAnsi="Times New Roman" w:cs="Times New Roman"/>
              </w:rPr>
              <w:br/>
            </w:r>
            <w:r w:rsidRPr="00CB2EC4">
              <w:rPr>
                <w:rFonts w:ascii="Times New Roman" w:hAnsi="Times New Roman" w:cs="Times New Roman"/>
              </w:rPr>
              <w:br/>
              <w:t>Scope of primary tissue resection:</w:t>
            </w:r>
            <w:r w:rsidRPr="00CB2EC4">
              <w:rPr>
                <w:rFonts w:ascii="Times New Roman" w:hAnsi="Times New Roman" w:cs="Times New Roman"/>
              </w:rPr>
              <w:br/>
              <w:t>- Total uterus and bilateral adnexa (since the patient is 50 years old and postmenopausal, both ovaries and fallopian tubes are removed)</w:t>
            </w:r>
            <w:r w:rsidRPr="00CB2EC4">
              <w:rPr>
                <w:rFonts w:ascii="Times New Roman" w:hAnsi="Times New Roman" w:cs="Times New Roman"/>
              </w:rPr>
              <w:br/>
              <w:t>- Partial parametrial tissue, including the proximal 1/2 of the round ligament, cardinal ligament, and uterosacral ligament</w:t>
            </w:r>
            <w:r w:rsidRPr="00CB2EC4">
              <w:rPr>
                <w:rFonts w:ascii="Times New Roman" w:hAnsi="Times New Roman" w:cs="Times New Roman"/>
              </w:rPr>
              <w:br/>
              <w:t>- Upper 1/3 of the vagina</w:t>
            </w:r>
            <w:r w:rsidRPr="00CB2EC4">
              <w:rPr>
                <w:rFonts w:ascii="Times New Roman" w:hAnsi="Times New Roman" w:cs="Times New Roman"/>
              </w:rPr>
              <w:br/>
              <w:t>- Exposure of the parametrial segment of the ureter, ligation and transection of the uterine artery at the medial level of the ureter without complete ureteral mobilization</w:t>
            </w:r>
            <w:r w:rsidRPr="00CB2EC4">
              <w:rPr>
                <w:rFonts w:ascii="Times New Roman" w:hAnsi="Times New Roman" w:cs="Times New Roman"/>
              </w:rPr>
              <w:br/>
              <w:t>- Selective pelvic lymphadenectomy, including: lower segment of the common iliac artery, external iliac artery, deep inguinal lymph nodes, internal iliac artery, and obturator lymph nodes</w:t>
            </w:r>
            <w:r w:rsidRPr="00CB2EC4">
              <w:rPr>
                <w:rFonts w:ascii="Times New Roman" w:hAnsi="Times New Roman" w:cs="Times New Roman"/>
              </w:rPr>
              <w:br/>
            </w:r>
            <w:r w:rsidRPr="00CB2EC4">
              <w:rPr>
                <w:rFonts w:ascii="Times New Roman" w:hAnsi="Times New Roman" w:cs="Times New Roman"/>
              </w:rPr>
              <w:br/>
              <w:t>Key differences compared to extrafascial total hysterectomy (Type I):</w:t>
            </w:r>
            <w:r w:rsidRPr="00CB2EC4">
              <w:rPr>
                <w:rFonts w:ascii="Times New Roman" w:hAnsi="Times New Roman" w:cs="Times New Roman"/>
              </w:rPr>
              <w:br/>
              <w:t>- Type I resection scope: Only removal of the total uterus and upper 1-2 cm of the vagina; exposure of the ureter without mobilization; parametrial tissue is ligated and transected only outside the fascia with minimal resection; no lymphadenectomy is performed</w:t>
            </w:r>
            <w:r w:rsidRPr="00CB2EC4">
              <w:rPr>
                <w:rFonts w:ascii="Times New Roman" w:hAnsi="Times New Roman" w:cs="Times New Roman"/>
              </w:rPr>
              <w:br/>
              <w:t xml:space="preserve">- Type II resection scope: Significantly more extensive, including partial resection of parametrial tissue (1/2 of ligaments), upper 1/3 vaginal resection, </w:t>
            </w:r>
            <w:r w:rsidRPr="00CB2EC4">
              <w:rPr>
                <w:rFonts w:ascii="Times New Roman" w:hAnsi="Times New Roman" w:cs="Times New Roman"/>
              </w:rPr>
              <w:lastRenderedPageBreak/>
              <w:t>and addition of selective pelvic lymphadenectomy; the key difference lies in Type II addressing vascular invasion or deeper stromal infiltration, reducing metastasis risk through lymphadenectomy and extended parametrial resection, whereas Type I is limited to local resection without lymph node management</w:t>
            </w:r>
            <w:r w:rsidRPr="00CB2EC4">
              <w:rPr>
                <w:rFonts w:ascii="Times New Roman" w:hAnsi="Times New Roman" w:cs="Times New Roman"/>
              </w:rPr>
              <w:br/>
            </w:r>
            <w:r w:rsidRPr="00CB2EC4">
              <w:rPr>
                <w:rFonts w:ascii="Times New Roman" w:hAnsi="Times New Roman" w:cs="Times New Roman"/>
              </w:rPr>
              <w:br/>
              <w:t>Therefore, based on the patient's 2 mm stromal infiltration with confirmed vascular invasion (not meeting Stage IA criteria), Type II surgery should be selected to cover potential metastasis risks.</w:t>
            </w:r>
          </w:p>
        </w:tc>
        <w:tc>
          <w:tcPr>
            <w:tcW w:w="1152" w:type="dxa"/>
            <w:vAlign w:val="center"/>
          </w:tcPr>
          <w:p w14:paraId="007043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DDC16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6347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EE39D9" w14:textId="77777777">
        <w:tc>
          <w:tcPr>
            <w:tcW w:w="2160" w:type="dxa"/>
            <w:vAlign w:val="center"/>
          </w:tcPr>
          <w:p w14:paraId="4FB9117A"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9E065F1" w14:textId="77777777" w:rsidR="00922249" w:rsidRPr="00CB2EC4" w:rsidRDefault="003011D5">
            <w:pPr>
              <w:rPr>
                <w:rFonts w:ascii="Times New Roman" w:hAnsi="Times New Roman" w:cs="Times New Roman"/>
              </w:rPr>
            </w:pPr>
            <w:r w:rsidRPr="00CB2EC4">
              <w:rPr>
                <w:rFonts w:ascii="Times New Roman" w:hAnsi="Times New Roman" w:cs="Times New Roman"/>
              </w:rPr>
              <w:t>surgical options for IA1 stage with lymphovascular space invasion (LVSI+)</w:t>
            </w:r>
            <w:r w:rsidRPr="00CB2EC4">
              <w:rPr>
                <w:rFonts w:ascii="Times New Roman" w:hAnsi="Times New Roman" w:cs="Times New Roman"/>
              </w:rPr>
              <w:br/>
            </w:r>
            <w:r w:rsidRPr="00CB2EC4">
              <w:rPr>
                <w:rFonts w:ascii="Times New Roman" w:hAnsi="Times New Roman" w:cs="Times New Roman"/>
              </w:rPr>
              <w:br/>
              <w:t xml:space="preserve">Knowledge base document reference:  </w:t>
            </w:r>
            <w:r w:rsidRPr="00CB2EC4">
              <w:rPr>
                <w:rFonts w:ascii="Times New Roman" w:hAnsi="Times New Roman" w:cs="Times New Roman"/>
              </w:rPr>
              <w:br/>
              <w:t xml:space="preserve">- IA1 stage with lymphovascular space invasion (LVSI+): Modified radical hysterectomy (Q-M Type B) + pelvic lymphadenectomy should be performed (knowledge base document: "4.1.1.1 IA1 stage" section).  </w:t>
            </w:r>
            <w:r w:rsidRPr="00CB2EC4">
              <w:rPr>
                <w:rFonts w:ascii="Times New Roman" w:hAnsi="Times New Roman" w:cs="Times New Roman"/>
              </w:rPr>
              <w:br/>
            </w:r>
            <w:r w:rsidRPr="00CB2EC4">
              <w:rPr>
                <w:rFonts w:ascii="Times New Roman" w:hAnsi="Times New Roman" w:cs="Times New Roman"/>
              </w:rPr>
              <w:br/>
              <w:t xml:space="preserve">Surgical extent and differences from extrafascial (Type I/A):  </w:t>
            </w:r>
            <w:r w:rsidRPr="00CB2EC4">
              <w:rPr>
                <w:rFonts w:ascii="Times New Roman" w:hAnsi="Times New Roman" w:cs="Times New Roman"/>
              </w:rPr>
              <w:br/>
              <w:t xml:space="preserve">- Extent of modified radical hysterectomy (Type B):  </w:t>
            </w:r>
            <w:r w:rsidRPr="00CB2EC4">
              <w:rPr>
                <w:rFonts w:ascii="Times New Roman" w:hAnsi="Times New Roman" w:cs="Times New Roman"/>
              </w:rPr>
              <w:br/>
              <w:t xml:space="preserve">  - Open ureteral tunnel, displace ureter laterally.  </w:t>
            </w:r>
            <w:r w:rsidRPr="00CB2EC4">
              <w:rPr>
                <w:rFonts w:ascii="Times New Roman" w:hAnsi="Times New Roman" w:cs="Times New Roman"/>
              </w:rPr>
              <w:br/>
              <w:t xml:space="preserve">  - Resect 1/2 of cardinal ligament, 1/2 of uterosacral ligament (Figures 7-8, 7-10).  </w:t>
            </w:r>
            <w:r w:rsidRPr="00CB2EC4">
              <w:rPr>
                <w:rFonts w:ascii="Times New Roman" w:hAnsi="Times New Roman" w:cs="Times New Roman"/>
              </w:rPr>
              <w:br/>
              <w:t xml:space="preserve">  - Vaginal resection ≥2 cm, with partial resection of paravaginal tissue.  </w:t>
            </w:r>
            <w:r w:rsidRPr="00CB2EC4">
              <w:rPr>
                <w:rFonts w:ascii="Times New Roman" w:hAnsi="Times New Roman" w:cs="Times New Roman"/>
              </w:rPr>
              <w:br/>
              <w:t xml:space="preserve">  - Concurrent pelvic lymph node dissection performed (knowledge base document: "Type II extended hysterectomy" section).  </w:t>
            </w:r>
            <w:r w:rsidRPr="00CB2EC4">
              <w:rPr>
                <w:rFonts w:ascii="Times New Roman" w:hAnsi="Times New Roman" w:cs="Times New Roman"/>
              </w:rPr>
              <w:br/>
              <w:t xml:space="preserve">- Key differences from extrafascial (Type A):  </w:t>
            </w:r>
            <w:r w:rsidRPr="00CB2EC4">
              <w:rPr>
                <w:rFonts w:ascii="Times New Roman" w:hAnsi="Times New Roman" w:cs="Times New Roman"/>
              </w:rPr>
              <w:br/>
            </w:r>
            <w:r w:rsidRPr="00CB2EC4">
              <w:rPr>
                <w:rFonts w:ascii="Times New Roman" w:hAnsi="Times New Roman" w:cs="Times New Roman"/>
              </w:rPr>
              <w:lastRenderedPageBreak/>
              <w:t xml:space="preserve">  | Feature            | Extrafascial (Type A)     | Modified radical (Type B)     |  </w:t>
            </w:r>
            <w:r w:rsidRPr="00CB2EC4">
              <w:rPr>
                <w:rFonts w:ascii="Times New Roman" w:hAnsi="Times New Roman" w:cs="Times New Roman"/>
              </w:rPr>
              <w:br/>
              <w:t xml:space="preserve">  |--------------------|----------------------------|--------------------------------|  </w:t>
            </w:r>
            <w:r w:rsidRPr="00CB2EC4">
              <w:rPr>
                <w:rFonts w:ascii="Times New Roman" w:hAnsi="Times New Roman" w:cs="Times New Roman"/>
              </w:rPr>
              <w:br/>
              <w:t xml:space="preserve">  | Parametrial resection | Minimal (~5 mm)           | Partial resection (1/2 cardinal ligament) |  </w:t>
            </w:r>
            <w:r w:rsidRPr="00CB2EC4">
              <w:rPr>
                <w:rFonts w:ascii="Times New Roman" w:hAnsi="Times New Roman" w:cs="Times New Roman"/>
              </w:rPr>
              <w:br/>
              <w:t xml:space="preserve">  | Ureter handling    | Not dissected             | Tunnel opened and ureter displaced |  </w:t>
            </w:r>
            <w:r w:rsidRPr="00CB2EC4">
              <w:rPr>
                <w:rFonts w:ascii="Times New Roman" w:hAnsi="Times New Roman" w:cs="Times New Roman"/>
              </w:rPr>
              <w:br/>
              <w:t xml:space="preserve">  | Vaginal resection  | &lt;1 cm                     | ≥2 cm                          |  </w:t>
            </w:r>
            <w:r w:rsidRPr="00CB2EC4">
              <w:rPr>
                <w:rFonts w:ascii="Times New Roman" w:hAnsi="Times New Roman" w:cs="Times New Roman"/>
              </w:rPr>
              <w:br/>
              <w:t xml:space="preserve">  | Lymph node dissection | Not required             | Required                       |</w:t>
            </w:r>
          </w:p>
        </w:tc>
        <w:tc>
          <w:tcPr>
            <w:tcW w:w="1152" w:type="dxa"/>
            <w:vAlign w:val="center"/>
          </w:tcPr>
          <w:p w14:paraId="00B382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98B7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D10D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7A86B4" w14:textId="77777777">
        <w:tc>
          <w:tcPr>
            <w:tcW w:w="2160" w:type="dxa"/>
            <w:vAlign w:val="center"/>
          </w:tcPr>
          <w:p w14:paraId="6E2DF2B3"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3C4B80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Selected Surgical Procedure:  </w:t>
            </w:r>
            <w:r w:rsidRPr="00CB2EC4">
              <w:rPr>
                <w:rFonts w:ascii="Times New Roman" w:hAnsi="Times New Roman" w:cs="Times New Roman"/>
              </w:rPr>
              <w:br/>
              <w:t xml:space="preserve">Based on Document Fragment 3 (Stage IA1 section, "Modified radical hysterectomy + pelvic lymphadenectomy should be performed when LVSI(+)") and Document Fragment 5 (Type II extended hysterectomy section, applicable to risk factors such as lymphovascular space invasion), the patient has a stromal invasion depth of 2mm (Stage IA1) with lymphovascular space invasion (LVSI+). Therefore, a modified radical hysterectomy (Type II) should be selected, along with pelvic lymphadenectomy.  </w:t>
            </w:r>
            <w:r w:rsidRPr="00CB2EC4">
              <w:rPr>
                <w:rFonts w:ascii="Times New Roman" w:hAnsi="Times New Roman" w:cs="Times New Roman"/>
              </w:rPr>
              <w:br/>
            </w:r>
            <w:r w:rsidRPr="00CB2EC4">
              <w:rPr>
                <w:rFonts w:ascii="Times New Roman" w:hAnsi="Times New Roman" w:cs="Times New Roman"/>
              </w:rPr>
              <w:br/>
              <w:t xml:space="preserve">- Primary Tissue Scope:  </w:t>
            </w:r>
            <w:r w:rsidRPr="00CB2EC4">
              <w:rPr>
                <w:rFonts w:ascii="Times New Roman" w:hAnsi="Times New Roman" w:cs="Times New Roman"/>
              </w:rPr>
              <w:br/>
              <w:t xml:space="preserve">  - Removal of the uterus, cervix, and upper 1–2 cm of the vagina (Document Fragment 3, Table 2: Modified Radical Hysterectomy).  </w:t>
            </w:r>
            <w:r w:rsidRPr="00CB2EC4">
              <w:rPr>
                <w:rFonts w:ascii="Times New Roman" w:hAnsi="Times New Roman" w:cs="Times New Roman"/>
              </w:rPr>
              <w:br/>
              <w:t xml:space="preserve">  - Selective removal of ovaries (depending on the patient's condition).  </w:t>
            </w:r>
            <w:r w:rsidRPr="00CB2EC4">
              <w:rPr>
                <w:rFonts w:ascii="Times New Roman" w:hAnsi="Times New Roman" w:cs="Times New Roman"/>
              </w:rPr>
              <w:br/>
              <w:t xml:space="preserve">  - Removal of 1/2 of the cardinal ligament and uterosacral ligament (Document Fragment 6, Figures 7-8 and 7-10).  </w:t>
            </w:r>
            <w:r w:rsidRPr="00CB2EC4">
              <w:rPr>
                <w:rFonts w:ascii="Times New Roman" w:hAnsi="Times New Roman" w:cs="Times New Roman"/>
              </w:rPr>
              <w:br/>
            </w:r>
            <w:r w:rsidRPr="00CB2EC4">
              <w:rPr>
                <w:rFonts w:ascii="Times New Roman" w:hAnsi="Times New Roman" w:cs="Times New Roman"/>
              </w:rPr>
              <w:lastRenderedPageBreak/>
              <w:t xml:space="preserve">  - Partial dissection of the ureter (ensuring ureteral mobilization to avoid injury).  </w:t>
            </w:r>
            <w:r w:rsidRPr="00CB2EC4">
              <w:rPr>
                <w:rFonts w:ascii="Times New Roman" w:hAnsi="Times New Roman" w:cs="Times New Roman"/>
              </w:rPr>
              <w:br/>
              <w:t xml:space="preserve">  - Pelvic lymphadenectomy (removal of lymph nodes in areas such as the common iliac, external iliac, and obturator regions; Document Fragment 6 describes "zonal resection").  </w:t>
            </w:r>
            <w:r w:rsidRPr="00CB2EC4">
              <w:rPr>
                <w:rFonts w:ascii="Times New Roman" w:hAnsi="Times New Roman" w:cs="Times New Roman"/>
              </w:rPr>
              <w:br/>
            </w:r>
            <w:r w:rsidRPr="00CB2EC4">
              <w:rPr>
                <w:rFonts w:ascii="Times New Roman" w:hAnsi="Times New Roman" w:cs="Times New Roman"/>
              </w:rPr>
              <w:br/>
              <w:t xml:space="preserve">- Key Differences Compared to Extrafascial Total Hysterectomy (Type I):  </w:t>
            </w:r>
            <w:r w:rsidRPr="00CB2EC4">
              <w:rPr>
                <w:rFonts w:ascii="Times New Roman" w:hAnsi="Times New Roman" w:cs="Times New Roman"/>
              </w:rPr>
              <w:br/>
              <w:t xml:space="preserve">  - Type I (Extrafascial Total Hysterectomy): The cardinal ligament and uterosacral ligament are transected only at the cervical margin, without ureteral dissection or lymph node removal. The vagina is resected by 1–2 cm, but no parametrial tissue is removed (Document Fragment 3, Table 2).  </w:t>
            </w:r>
            <w:r w:rsidRPr="00CB2EC4">
              <w:rPr>
                <w:rFonts w:ascii="Times New Roman" w:hAnsi="Times New Roman" w:cs="Times New Roman"/>
              </w:rPr>
              <w:br/>
              <w:t xml:space="preserve">  - Type II (Modified Radical Hysterectomy): Partial parametrial tissue (1/2 of the cardinal ligament and uterosacral ligament) is removed, requiring ureteral dissection and including pelvic lymphadenectomy. The surgical scope is broader to reduce metastasis risk (Document Fragments 5 and 6). The key difference lies in Type II involving parametrial tissue and lymph node management, whereas Type I is limited to cervical margin procedures and does not address the lymphatic system.</w:t>
            </w:r>
          </w:p>
        </w:tc>
        <w:tc>
          <w:tcPr>
            <w:tcW w:w="1152" w:type="dxa"/>
            <w:vAlign w:val="center"/>
          </w:tcPr>
          <w:p w14:paraId="5CD5FB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811E4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7A1B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55A21D1" w14:textId="77777777">
        <w:tc>
          <w:tcPr>
            <w:tcW w:w="2160" w:type="dxa"/>
            <w:vAlign w:val="center"/>
          </w:tcPr>
          <w:p w14:paraId="2B8E6F0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246110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the contextual information:  </w:t>
            </w:r>
            <w:r w:rsidRPr="00CB2EC4">
              <w:rPr>
                <w:rFonts w:ascii="Times New Roman" w:hAnsi="Times New Roman" w:cs="Times New Roman"/>
              </w:rPr>
              <w:br/>
              <w:t xml:space="preserve">- Patient condition: Stromal invasion depth of 2mm (FIGO stage IA1), with lymphovascular space invasion (LVSI+).  </w:t>
            </w:r>
            <w:r w:rsidRPr="00CB2EC4">
              <w:rPr>
                <w:rFonts w:ascii="Times New Roman" w:hAnsi="Times New Roman" w:cs="Times New Roman"/>
              </w:rPr>
              <w:br/>
              <w:t xml:space="preserve">- Documents 4 and 23 explicitly state: For stage IA1 with lymphovascular space invasion (LVSI+), modified radical hysterectomy (Type B or Type II extended hysterectomy) plus pelvic lymphadenectomy should be performed (Document 4: "For stage IA1 </w:t>
            </w:r>
            <w:r w:rsidRPr="00CB2EC4">
              <w:rPr>
                <w:rFonts w:ascii="Times New Roman" w:hAnsi="Times New Roman" w:cs="Times New Roman"/>
              </w:rPr>
              <w:lastRenderedPageBreak/>
              <w:t xml:space="preserve">LVSI(+), modified radical hysterectomy + pelvic lymphadenectomy should be performed"; Document 23: "For stage IA1 with lymphovascular space invasion, Type B hysterectomy + pelvic lymphadenectomy is recommended").  </w:t>
            </w:r>
            <w:r w:rsidRPr="00CB2EC4">
              <w:rPr>
                <w:rFonts w:ascii="Times New Roman" w:hAnsi="Times New Roman" w:cs="Times New Roman"/>
              </w:rPr>
              <w:br/>
            </w:r>
            <w:r w:rsidRPr="00CB2EC4">
              <w:rPr>
                <w:rFonts w:ascii="Times New Roman" w:hAnsi="Times New Roman" w:cs="Times New Roman"/>
              </w:rPr>
              <w:br/>
              <w:t xml:space="preserve">Main scope of surgical resection (based on Table 2 of Document 4 and Document 3):  </w:t>
            </w:r>
            <w:r w:rsidRPr="00CB2EC4">
              <w:rPr>
                <w:rFonts w:ascii="Times New Roman" w:hAnsi="Times New Roman" w:cs="Times New Roman"/>
              </w:rPr>
              <w:br/>
              <w:t xml:space="preserve">- Uterus and cervix: Complete resection.  </w:t>
            </w:r>
            <w:r w:rsidRPr="00CB2EC4">
              <w:rPr>
                <w:rFonts w:ascii="Times New Roman" w:hAnsi="Times New Roman" w:cs="Times New Roman"/>
              </w:rPr>
              <w:br/>
              <w:t xml:space="preserve">- Vagina: Resection of the upper vagina, typically 1-2cm in length (Document 4).  </w:t>
            </w:r>
            <w:r w:rsidRPr="00CB2EC4">
              <w:rPr>
                <w:rFonts w:ascii="Times New Roman" w:hAnsi="Times New Roman" w:cs="Times New Roman"/>
              </w:rPr>
              <w:br/>
              <w:t xml:space="preserve">- Parametrial tissue: Partial resection of parametrial tissue, including the cardinal ligament, uterosacral ligament, and paravaginal tissue (Document 3: "The extent of surgery should be determined based on the size and location of the lesion"; Document 4: "Resection of parametrial tissue, upper vagina, and partial paravaginal tissue").  </w:t>
            </w:r>
            <w:r w:rsidRPr="00CB2EC4">
              <w:rPr>
                <w:rFonts w:ascii="Times New Roman" w:hAnsi="Times New Roman" w:cs="Times New Roman"/>
              </w:rPr>
              <w:br/>
              <w:t xml:space="preserve">- Lymph nodes: Pelvic lymphadenectomy (including obturator, internal iliac, external iliac, and common iliac lymph nodes).  </w:t>
            </w:r>
            <w:r w:rsidRPr="00CB2EC4">
              <w:rPr>
                <w:rFonts w:ascii="Times New Roman" w:hAnsi="Times New Roman" w:cs="Times New Roman"/>
              </w:rPr>
              <w:br/>
              <w:t xml:space="preserve">- Ureter management: Exposure and partial mobilization of the parametrial segment of the ureter (opening the "tunnel" roof and lateral displacement), with the uterine artery transected directly above the ureter (Document 4).  </w:t>
            </w:r>
            <w:r w:rsidRPr="00CB2EC4">
              <w:rPr>
                <w:rFonts w:ascii="Times New Roman" w:hAnsi="Times New Roman" w:cs="Times New Roman"/>
              </w:rPr>
              <w:br/>
              <w:t xml:space="preserve">- Others: No extensive resection involving the bladder or rectum.  </w:t>
            </w:r>
            <w:r w:rsidRPr="00CB2EC4">
              <w:rPr>
                <w:rFonts w:ascii="Times New Roman" w:hAnsi="Times New Roman" w:cs="Times New Roman"/>
              </w:rPr>
              <w:br/>
            </w:r>
            <w:r w:rsidRPr="00CB2EC4">
              <w:rPr>
                <w:rFonts w:ascii="Times New Roman" w:hAnsi="Times New Roman" w:cs="Times New Roman"/>
              </w:rPr>
              <w:br/>
              <w:t xml:space="preserve">Key differences compared to extrafascial total hysterectomy (Type I):  </w:t>
            </w:r>
            <w:r w:rsidRPr="00CB2EC4">
              <w:rPr>
                <w:rFonts w:ascii="Times New Roman" w:hAnsi="Times New Roman" w:cs="Times New Roman"/>
              </w:rPr>
              <w:br/>
              <w:t xml:space="preserve">- Resection scope:  </w:t>
            </w:r>
            <w:r w:rsidRPr="00CB2EC4">
              <w:rPr>
                <w:rFonts w:ascii="Times New Roman" w:hAnsi="Times New Roman" w:cs="Times New Roman"/>
              </w:rPr>
              <w:br/>
              <w:t xml:space="preserve">  - Type I (extrafascial): Only resection of the uterus, cervix, and a small portion of the vagina (1-2cm), </w:t>
            </w:r>
            <w:r w:rsidRPr="00CB2EC4">
              <w:rPr>
                <w:rFonts w:ascii="Times New Roman" w:hAnsi="Times New Roman" w:cs="Times New Roman"/>
              </w:rPr>
              <w:lastRenderedPageBreak/>
              <w:t xml:space="preserve">without handling parametrial tissue, ureter, or lymph nodes; ligaments are simply transected at the cervical margin.  </w:t>
            </w:r>
            <w:r w:rsidRPr="00CB2EC4">
              <w:rPr>
                <w:rFonts w:ascii="Times New Roman" w:hAnsi="Times New Roman" w:cs="Times New Roman"/>
              </w:rPr>
              <w:br/>
              <w:t xml:space="preserve">  - Type II (modified radical): Additional resection of parametrial tissue (e.g., more portions of the cardinal ligament and uterosacral ligament), partial paravaginal tissue, and pelvic lymphadenectomy; involves ureter mobilization and high transection of the uterine artery.  </w:t>
            </w:r>
            <w:r w:rsidRPr="00CB2EC4">
              <w:rPr>
                <w:rFonts w:ascii="Times New Roman" w:hAnsi="Times New Roman" w:cs="Times New Roman"/>
              </w:rPr>
              <w:br/>
              <w:t xml:space="preserve">- Risks and complexity: Type II surgery is more extensive, with higher complication risks (e.g., urinary tract injury), but provides better control of potential metastasis (Documents 3 and 4).  </w:t>
            </w:r>
            <w:r w:rsidRPr="00CB2EC4">
              <w:rPr>
                <w:rFonts w:ascii="Times New Roman" w:hAnsi="Times New Roman" w:cs="Times New Roman"/>
              </w:rPr>
              <w:br/>
              <w:t xml:space="preserve">- Indications: Type I is only suitable for low-risk stage IA1 without lymphovascular invasion; Type II is suitable for stage IA1 with lymphovascular invasion or higher-risk patients (Document 4).  </w:t>
            </w:r>
            <w:r w:rsidRPr="00CB2EC4">
              <w:rPr>
                <w:rFonts w:ascii="Times New Roman" w:hAnsi="Times New Roman" w:cs="Times New Roman"/>
              </w:rPr>
              <w:br/>
            </w:r>
            <w:r w:rsidRPr="00CB2EC4">
              <w:rPr>
                <w:rFonts w:ascii="Times New Roman" w:hAnsi="Times New Roman" w:cs="Times New Roman"/>
              </w:rPr>
              <w:br/>
              <w:t>In conclusion, Type II (modified radical) surgery should be selected for her, involving a wider resection scope that includes parametrial tissue and lymph nodes. The key difference from Type I lies in parametrial handling and lymph node dissection.</w:t>
            </w:r>
          </w:p>
        </w:tc>
        <w:tc>
          <w:tcPr>
            <w:tcW w:w="1152" w:type="dxa"/>
            <w:vAlign w:val="center"/>
          </w:tcPr>
          <w:p w14:paraId="2506DB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3201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7A0D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1D2B2E" w14:textId="77777777">
        <w:tc>
          <w:tcPr>
            <w:tcW w:w="2160" w:type="dxa"/>
            <w:vAlign w:val="center"/>
          </w:tcPr>
          <w:p w14:paraId="4DD02E2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4687BB0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Recommended surgical procedure:  </w:t>
            </w:r>
            <w:r w:rsidRPr="00CB2EC4">
              <w:rPr>
                <w:rFonts w:ascii="Times New Roman" w:hAnsi="Times New Roman" w:cs="Times New Roman"/>
              </w:rPr>
              <w:br/>
              <w:t xml:space="preserve">The patient has a stromal invasion depth of 2 mm (Stage IA1) but with lymphovascular space invasion (LVSI+). According to the documentation, modified radical hysterectomy (Type II procedure) plus pelvic lymphadenectomy should be selected. Basis:  </w:t>
            </w:r>
            <w:r w:rsidRPr="00CB2EC4">
              <w:rPr>
                <w:rFonts w:ascii="Times New Roman" w:hAnsi="Times New Roman" w:cs="Times New Roman"/>
              </w:rPr>
              <w:br/>
              <w:t xml:space="preserve">- [HyDE similarity: 0.674]: "4.1.1.1 Stage IA1 ... When LVSI(+) is present, modified radical hysterectomy + pelvic lymphadenectomy should be performed."  </w:t>
            </w:r>
            <w:r w:rsidRPr="00CB2EC4">
              <w:rPr>
                <w:rFonts w:ascii="Times New Roman" w:hAnsi="Times New Roman" w:cs="Times New Roman"/>
              </w:rPr>
              <w:br/>
              <w:t xml:space="preserve">- Modified radical hysterectomy corresponds to Piver-Rutledge Type II or Q-M Type B (see Table 2 in </w:t>
            </w:r>
            <w:r w:rsidRPr="00CB2EC4">
              <w:rPr>
                <w:rFonts w:ascii="Times New Roman" w:hAnsi="Times New Roman" w:cs="Times New Roman"/>
              </w:rPr>
              <w:lastRenderedPageBreak/>
              <w:t xml:space="preserve">[HyDE similarity: 0.674]).  </w:t>
            </w:r>
            <w:r w:rsidRPr="00CB2EC4">
              <w:rPr>
                <w:rFonts w:ascii="Times New Roman" w:hAnsi="Times New Roman" w:cs="Times New Roman"/>
              </w:rPr>
              <w:br/>
            </w:r>
            <w:r w:rsidRPr="00CB2EC4">
              <w:rPr>
                <w:rFonts w:ascii="Times New Roman" w:hAnsi="Times New Roman" w:cs="Times New Roman"/>
              </w:rPr>
              <w:br/>
              <w:t xml:space="preserve">- Main tissue resection scope:  </w:t>
            </w:r>
            <w:r w:rsidRPr="00CB2EC4">
              <w:rPr>
                <w:rFonts w:ascii="Times New Roman" w:hAnsi="Times New Roman" w:cs="Times New Roman"/>
              </w:rPr>
              <w:br/>
              <w:t xml:space="preserve">  - Uterus and cervix: Complete resection.  </w:t>
            </w:r>
            <w:r w:rsidRPr="00CB2EC4">
              <w:rPr>
                <w:rFonts w:ascii="Times New Roman" w:hAnsi="Times New Roman" w:cs="Times New Roman"/>
              </w:rPr>
              <w:br/>
              <w:t xml:space="preserve">  - Vagina: Resect 1–2 cm of the vagina (see [HyDE similarity: 0.653]: "Total hysterectomy includes conservative hysterectomy and extrafascial total hysterectomy, with resection of 1–2 cm of the vagina"; however, this case requires more extensive surgery due to LVSI).  </w:t>
            </w:r>
            <w:r w:rsidRPr="00CB2EC4">
              <w:rPr>
                <w:rFonts w:ascii="Times New Roman" w:hAnsi="Times New Roman" w:cs="Times New Roman"/>
              </w:rPr>
              <w:br/>
              <w:t xml:space="preserve">  - Parametrial tissue: Partial resection of parametrial tissue, including the proximal portions of the cardinal ligament and uterosacral ligament (specific scope: resection of approximately 1/2 of the cardinal ligament and 1/2 of the uterosacral ligament, see surgical description in [HyDE similarity: 0.605]).  </w:t>
            </w:r>
            <w:r w:rsidRPr="00CB2EC4">
              <w:rPr>
                <w:rFonts w:ascii="Times New Roman" w:hAnsi="Times New Roman" w:cs="Times New Roman"/>
              </w:rPr>
              <w:br/>
              <w:t xml:space="preserve">  - Lymph nodes: Pelvic lymphadenectomy is required (resection of common iliac, external iliac, internal iliac, and obturator lymph nodes).  </w:t>
            </w:r>
            <w:r w:rsidRPr="00CB2EC4">
              <w:rPr>
                <w:rFonts w:ascii="Times New Roman" w:hAnsi="Times New Roman" w:cs="Times New Roman"/>
              </w:rPr>
              <w:br/>
              <w:t xml:space="preserve">  - Ureter management: Partial exposure and mobilization of the ureter ("tunnel" top opening and lateral displacement) to avoid injury (see Type B description in Table 2 of [HyDE similarity: 0.674]).  </w:t>
            </w:r>
            <w:r w:rsidRPr="00CB2EC4">
              <w:rPr>
                <w:rFonts w:ascii="Times New Roman" w:hAnsi="Times New Roman" w:cs="Times New Roman"/>
              </w:rPr>
              <w:br/>
              <w:t xml:space="preserve">  - Others: Ovaries are typically removed (as the patient is postmenopausal), but extensive resection of the bladder or rectum is not involved.  </w:t>
            </w:r>
            <w:r w:rsidRPr="00CB2EC4">
              <w:rPr>
                <w:rFonts w:ascii="Times New Roman" w:hAnsi="Times New Roman" w:cs="Times New Roman"/>
              </w:rPr>
              <w:br/>
            </w:r>
            <w:r w:rsidRPr="00CB2EC4">
              <w:rPr>
                <w:rFonts w:ascii="Times New Roman" w:hAnsi="Times New Roman" w:cs="Times New Roman"/>
              </w:rPr>
              <w:br/>
              <w:t xml:space="preserve">- Key differences compared to extrafascial total hysterectomy (Type I):  </w:t>
            </w:r>
            <w:r w:rsidRPr="00CB2EC4">
              <w:rPr>
                <w:rFonts w:ascii="Times New Roman" w:hAnsi="Times New Roman" w:cs="Times New Roman"/>
              </w:rPr>
              <w:br/>
              <w:t xml:space="preserve">  - Wider resection scope:  </w:t>
            </w:r>
            <w:r w:rsidRPr="00CB2EC4">
              <w:rPr>
                <w:rFonts w:ascii="Times New Roman" w:hAnsi="Times New Roman" w:cs="Times New Roman"/>
              </w:rPr>
              <w:br/>
              <w:t xml:space="preserve">    - Type I (extrafascial) does not involve vaginal tissue resection, whereas Type II requires resection of 1–2 cm of the vagina.  </w:t>
            </w:r>
            <w:r w:rsidRPr="00CB2EC4">
              <w:rPr>
                <w:rFonts w:ascii="Times New Roman" w:hAnsi="Times New Roman" w:cs="Times New Roman"/>
              </w:rPr>
              <w:br/>
              <w:t xml:space="preserve">    - Type I only transects the cardinal ligament and </w:t>
            </w:r>
            <w:r w:rsidRPr="00CB2EC4">
              <w:rPr>
                <w:rFonts w:ascii="Times New Roman" w:hAnsi="Times New Roman" w:cs="Times New Roman"/>
              </w:rPr>
              <w:lastRenderedPageBreak/>
              <w:t xml:space="preserve">uterosacral ligament at the cervical margin, whereas Type II requires resection of a larger portion (approximately 1/2) of these ligaments and involves partial resection of parametrial tissue.  </w:t>
            </w:r>
            <w:r w:rsidRPr="00CB2EC4">
              <w:rPr>
                <w:rFonts w:ascii="Times New Roman" w:hAnsi="Times New Roman" w:cs="Times New Roman"/>
              </w:rPr>
              <w:br/>
              <w:t xml:space="preserve">  - Ureter management:  </w:t>
            </w:r>
            <w:r w:rsidRPr="00CB2EC4">
              <w:rPr>
                <w:rFonts w:ascii="Times New Roman" w:hAnsi="Times New Roman" w:cs="Times New Roman"/>
              </w:rPr>
              <w:br/>
              <w:t xml:space="preserve">    - Type I surgery does not involve the ureter, whereas Type II requires exposure and partial mobilization of the ureter ("tunnel" maneuver) for safe resection of parametrial tissue.  </w:t>
            </w:r>
            <w:r w:rsidRPr="00CB2EC4">
              <w:rPr>
                <w:rFonts w:ascii="Times New Roman" w:hAnsi="Times New Roman" w:cs="Times New Roman"/>
              </w:rPr>
              <w:br/>
              <w:t xml:space="preserve">  - Lymph node resection:  </w:t>
            </w:r>
            <w:r w:rsidRPr="00CB2EC4">
              <w:rPr>
                <w:rFonts w:ascii="Times New Roman" w:hAnsi="Times New Roman" w:cs="Times New Roman"/>
              </w:rPr>
              <w:br/>
              <w:t xml:space="preserve">    - Type I does not include lymphadenectomy, whereas Type II must include pelvic lymphadenectomy (due to increased risk of lymph node metastasis with LVSI).  </w:t>
            </w:r>
            <w:r w:rsidRPr="00CB2EC4">
              <w:rPr>
                <w:rFonts w:ascii="Times New Roman" w:hAnsi="Times New Roman" w:cs="Times New Roman"/>
              </w:rPr>
              <w:br/>
              <w:t xml:space="preserve">  - Indications:  </w:t>
            </w:r>
            <w:r w:rsidRPr="00CB2EC4">
              <w:rPr>
                <w:rFonts w:ascii="Times New Roman" w:hAnsi="Times New Roman" w:cs="Times New Roman"/>
              </w:rPr>
              <w:br/>
              <w:t xml:space="preserve">    - Type I is suitable for Stage IA1 without LVSI; Type II is suitable for Stage IA1 with LVSI or higher-risk cases.  </w:t>
            </w:r>
            <w:r w:rsidRPr="00CB2EC4">
              <w:rPr>
                <w:rFonts w:ascii="Times New Roman" w:hAnsi="Times New Roman" w:cs="Times New Roman"/>
              </w:rPr>
              <w:br/>
              <w:t xml:space="preserve">  - Basis: Table 2 and surgical description in [HyDE similarity: 0.674]; supplementary details on surgical scope in [HyDE similarity: 0.653].</w:t>
            </w:r>
          </w:p>
        </w:tc>
        <w:tc>
          <w:tcPr>
            <w:tcW w:w="1152" w:type="dxa"/>
            <w:vAlign w:val="center"/>
          </w:tcPr>
          <w:p w14:paraId="601ED7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A2EFF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04F4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541477" w14:textId="77777777">
        <w:tc>
          <w:tcPr>
            <w:tcW w:w="2160" w:type="dxa"/>
            <w:vAlign w:val="center"/>
          </w:tcPr>
          <w:p w14:paraId="270E4B3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6A677B94" w14:textId="77777777" w:rsidR="00922249" w:rsidRPr="00CB2EC4" w:rsidRDefault="003011D5">
            <w:pPr>
              <w:rPr>
                <w:rFonts w:ascii="Times New Roman" w:hAnsi="Times New Roman" w:cs="Times New Roman"/>
              </w:rPr>
            </w:pPr>
            <w:r w:rsidRPr="00CB2EC4">
              <w:rPr>
                <w:rFonts w:ascii="Times New Roman" w:hAnsi="Times New Roman" w:cs="Times New Roman"/>
              </w:rPr>
              <w:t>She should undergo modified radical hysterectomy (Type II or Type B surgery) with pelvic lymphadenectomy.</w:t>
            </w:r>
            <w:r w:rsidRPr="00CB2EC4">
              <w:rPr>
                <w:rFonts w:ascii="Times New Roman" w:hAnsi="Times New Roman" w:cs="Times New Roman"/>
              </w:rPr>
              <w:br/>
            </w:r>
            <w:r w:rsidRPr="00CB2EC4">
              <w:rPr>
                <w:rFonts w:ascii="Times New Roman" w:hAnsi="Times New Roman" w:cs="Times New Roman"/>
              </w:rPr>
              <w:br/>
              <w:t>Main tissue resection scope of the surgery:</w:t>
            </w:r>
            <w:r w:rsidRPr="00CB2EC4">
              <w:rPr>
                <w:rFonts w:ascii="Times New Roman" w:hAnsi="Times New Roman" w:cs="Times New Roman"/>
              </w:rPr>
              <w:br/>
              <w:t>- Removal of the uterus and cervix</w:t>
            </w:r>
            <w:r w:rsidRPr="00CB2EC4">
              <w:rPr>
                <w:rFonts w:ascii="Times New Roman" w:hAnsi="Times New Roman" w:cs="Times New Roman"/>
              </w:rPr>
              <w:br/>
              <w:t>- Removal of partial parametrial tissue (including approximately 1/2 of the cardinal ligament and uterosacral ligament)</w:t>
            </w:r>
            <w:r w:rsidRPr="00CB2EC4">
              <w:rPr>
                <w:rFonts w:ascii="Times New Roman" w:hAnsi="Times New Roman" w:cs="Times New Roman"/>
              </w:rPr>
              <w:br/>
              <w:t>- Removal of the upper 2–3 cm of the vagina</w:t>
            </w:r>
            <w:r w:rsidRPr="00CB2EC4">
              <w:rPr>
                <w:rFonts w:ascii="Times New Roman" w:hAnsi="Times New Roman" w:cs="Times New Roman"/>
              </w:rPr>
              <w:br/>
              <w:t>- Performance of pelvic lymphadenectomy (involving lymph node regions such as the common iliac, external iliac, and obturator)</w:t>
            </w:r>
            <w:r w:rsidRPr="00CB2EC4">
              <w:rPr>
                <w:rFonts w:ascii="Times New Roman" w:hAnsi="Times New Roman" w:cs="Times New Roman"/>
              </w:rPr>
              <w:br/>
            </w:r>
            <w:r w:rsidRPr="00CB2EC4">
              <w:rPr>
                <w:rFonts w:ascii="Times New Roman" w:hAnsi="Times New Roman" w:cs="Times New Roman"/>
              </w:rPr>
              <w:lastRenderedPageBreak/>
              <w:t>- Exposure of the parametrial segment of the ureter, but with a smaller resection scope compared to radical surgery</w:t>
            </w:r>
            <w:r w:rsidRPr="00CB2EC4">
              <w:rPr>
                <w:rFonts w:ascii="Times New Roman" w:hAnsi="Times New Roman" w:cs="Times New Roman"/>
              </w:rPr>
              <w:br/>
            </w:r>
            <w:r w:rsidRPr="00CB2EC4">
              <w:rPr>
                <w:rFonts w:ascii="Times New Roman" w:hAnsi="Times New Roman" w:cs="Times New Roman"/>
              </w:rPr>
              <w:br/>
              <w:t>Key differences from extrafascial total hysterectomy (Type I):</w:t>
            </w:r>
            <w:r w:rsidRPr="00CB2EC4">
              <w:rPr>
                <w:rFonts w:ascii="Times New Roman" w:hAnsi="Times New Roman" w:cs="Times New Roman"/>
              </w:rPr>
              <w:br/>
              <w:t>- Type I surgery: Only removes the uterus and cervix, operates close to the cervix without exposing the ureter; removes 1–2 cm of the vagina; the cardinal ligament and uterosacral ligament are transected at the cervical margin; no lymphadenectomy is performed; suitable for low-risk IA1 stage patients without vascular invasion.</w:t>
            </w:r>
            <w:r w:rsidRPr="00CB2EC4">
              <w:rPr>
                <w:rFonts w:ascii="Times New Roman" w:hAnsi="Times New Roman" w:cs="Times New Roman"/>
              </w:rPr>
              <w:br/>
              <w:t>- Type II surgery: Wider resection scope, including partial parametrial tissue (approximately 1/2 of the cardinal ligament and uterosacral ligament removed); removes the upper 2–3 cm of the vagina; exposes part of the ureter; pelvic lymphadenectomy is mandatory; suitable for IA1 stage patients with vascular invasion or higher-risk patients to reduce recurrence risk.</w:t>
            </w:r>
          </w:p>
        </w:tc>
        <w:tc>
          <w:tcPr>
            <w:tcW w:w="1152" w:type="dxa"/>
            <w:vAlign w:val="center"/>
          </w:tcPr>
          <w:p w14:paraId="1EFCC2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1B975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2E44C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D17654C" w14:textId="77777777">
        <w:tc>
          <w:tcPr>
            <w:tcW w:w="2160" w:type="dxa"/>
            <w:vAlign w:val="center"/>
          </w:tcPr>
          <w:p w14:paraId="53A1D52C"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27BDED1" w14:textId="77777777" w:rsidR="00922249" w:rsidRPr="00CB2EC4" w:rsidRDefault="003011D5">
            <w:pPr>
              <w:rPr>
                <w:rFonts w:ascii="Times New Roman" w:hAnsi="Times New Roman" w:cs="Times New Roman"/>
              </w:rPr>
            </w:pPr>
            <w:r w:rsidRPr="00CB2EC4">
              <w:rPr>
                <w:rFonts w:ascii="Times New Roman" w:hAnsi="Times New Roman" w:cs="Times New Roman"/>
              </w:rPr>
              <w:t>She should undergo a Type II extended hysterectomy (modified radical hysterectomy).</w:t>
            </w:r>
            <w:r w:rsidRPr="00CB2EC4">
              <w:rPr>
                <w:rFonts w:ascii="Times New Roman" w:hAnsi="Times New Roman" w:cs="Times New Roman"/>
              </w:rPr>
              <w:br/>
            </w:r>
            <w:r w:rsidRPr="00CB2EC4">
              <w:rPr>
                <w:rFonts w:ascii="Times New Roman" w:hAnsi="Times New Roman" w:cs="Times New Roman"/>
              </w:rPr>
              <w:br/>
              <w:t>Scope of primary tissue resection:</w:t>
            </w:r>
            <w:r w:rsidRPr="00CB2EC4">
              <w:rPr>
                <w:rFonts w:ascii="Times New Roman" w:hAnsi="Times New Roman" w:cs="Times New Roman"/>
              </w:rPr>
              <w:br/>
              <w:t>- Total uterus and bilateral adnexa</w:t>
            </w:r>
            <w:r w:rsidRPr="00CB2EC4">
              <w:rPr>
                <w:rFonts w:ascii="Times New Roman" w:hAnsi="Times New Roman" w:cs="Times New Roman"/>
              </w:rPr>
              <w:br/>
              <w:t>- Partial parametrial tissue: resection of 1/2 of the uterosacral ligament and cardinal ligament</w:t>
            </w:r>
            <w:r w:rsidRPr="00CB2EC4">
              <w:rPr>
                <w:rFonts w:ascii="Times New Roman" w:hAnsi="Times New Roman" w:cs="Times New Roman"/>
              </w:rPr>
              <w:br/>
              <w:t>- Vagina: resection of 1/3 of the vagina (approximately 3–4 cm)</w:t>
            </w:r>
            <w:r w:rsidRPr="00CB2EC4">
              <w:rPr>
                <w:rFonts w:ascii="Times New Roman" w:hAnsi="Times New Roman" w:cs="Times New Roman"/>
              </w:rPr>
              <w:br/>
              <w:t>- Lymph nodes: selective pelvic lymphadenectomy, including the lower segment of the common iliac, external iliac, deep inguinal, internal iliac, and obturator regions</w:t>
            </w:r>
            <w:r w:rsidRPr="00CB2EC4">
              <w:rPr>
                <w:rFonts w:ascii="Times New Roman" w:hAnsi="Times New Roman" w:cs="Times New Roman"/>
              </w:rPr>
              <w:br/>
              <w:t xml:space="preserve">- Ureteral management: exposure of the parametrial </w:t>
            </w:r>
            <w:r w:rsidRPr="00CB2EC4">
              <w:rPr>
                <w:rFonts w:ascii="Times New Roman" w:hAnsi="Times New Roman" w:cs="Times New Roman"/>
              </w:rPr>
              <w:lastRenderedPageBreak/>
              <w:t>segment of the ureter without complete dissection from the vesicouterine ligament, ligation and transection of the uterine artery medial to the ureter</w:t>
            </w:r>
            <w:r w:rsidRPr="00CB2EC4">
              <w:rPr>
                <w:rFonts w:ascii="Times New Roman" w:hAnsi="Times New Roman" w:cs="Times New Roman"/>
              </w:rPr>
              <w:br/>
            </w:r>
            <w:r w:rsidRPr="00CB2EC4">
              <w:rPr>
                <w:rFonts w:ascii="Times New Roman" w:hAnsi="Times New Roman" w:cs="Times New Roman"/>
              </w:rPr>
              <w:br/>
              <w:t>Key differences compared to extrafascial total hysterectomy (Type I):</w:t>
            </w:r>
            <w:r w:rsidRPr="00CB2EC4">
              <w:rPr>
                <w:rFonts w:ascii="Times New Roman" w:hAnsi="Times New Roman" w:cs="Times New Roman"/>
              </w:rPr>
              <w:br/>
              <w:t>- Extent of parametrial resection: Type II resects 1/2 of the cardinal ligament and uterosacral ligament; Type I only transects the parametrial ligaments at the cervical margin without involving deeper tissues</w:t>
            </w:r>
            <w:r w:rsidRPr="00CB2EC4">
              <w:rPr>
                <w:rFonts w:ascii="Times New Roman" w:hAnsi="Times New Roman" w:cs="Times New Roman"/>
              </w:rPr>
              <w:br/>
              <w:t>- Vaginal resection length: Type II resects 1/3 of the vagina (3–4 cm); Type I resects only 1–2 cm</w:t>
            </w:r>
            <w:r w:rsidRPr="00CB2EC4">
              <w:rPr>
                <w:rFonts w:ascii="Times New Roman" w:hAnsi="Times New Roman" w:cs="Times New Roman"/>
              </w:rPr>
              <w:br/>
              <w:t>- Ureteral management: Type II requires exposure of the parametrial segment of the ureter and ligation/transection of the uterine artery medial to it; Type I merely displaces the ureter laterally without dissecting the ureteral bed</w:t>
            </w:r>
            <w:r w:rsidRPr="00CB2EC4">
              <w:rPr>
                <w:rFonts w:ascii="Times New Roman" w:hAnsi="Times New Roman" w:cs="Times New Roman"/>
              </w:rPr>
              <w:br/>
              <w:t>- Lymph node resection: Type II mandates selective pelvic lymphadenectomy; Type I does not involve lymph node resection</w:t>
            </w:r>
            <w:r w:rsidRPr="00CB2EC4">
              <w:rPr>
                <w:rFonts w:ascii="Times New Roman" w:hAnsi="Times New Roman" w:cs="Times New Roman"/>
              </w:rPr>
              <w:br/>
              <w:t>- Indications: Type II is indicated for stage IA1 with lymphovascular space invasion (LVSI+); Type I is indicated for stage IA1 patients without LVSI</w:t>
            </w:r>
          </w:p>
        </w:tc>
        <w:tc>
          <w:tcPr>
            <w:tcW w:w="1152" w:type="dxa"/>
            <w:vAlign w:val="center"/>
          </w:tcPr>
          <w:p w14:paraId="651FA5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220A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E869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B70CC1" w14:textId="77777777">
        <w:tc>
          <w:tcPr>
            <w:tcW w:w="2160" w:type="dxa"/>
            <w:vAlign w:val="center"/>
          </w:tcPr>
          <w:p w14:paraId="7595E3C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25155D1" w14:textId="77777777" w:rsidR="00922249" w:rsidRPr="00CB2EC4" w:rsidRDefault="003011D5">
            <w:pPr>
              <w:rPr>
                <w:rFonts w:ascii="Times New Roman" w:hAnsi="Times New Roman" w:cs="Times New Roman"/>
              </w:rPr>
            </w:pPr>
            <w:r w:rsidRPr="00CB2EC4">
              <w:rPr>
                <w:rFonts w:ascii="Times New Roman" w:hAnsi="Times New Roman" w:cs="Times New Roman"/>
              </w:rPr>
              <w:t>the patient is a 50-year-old woman who has undergone menopause and is diagnosed with early invasive cervical cancer. the pathology report indicates a stromal invasion depth of 2mm with definite lymphovascular space invasion (LVSI+). based on the provided information, the recommended surgical type is type B surgery (modified radical hysterectomy) with pelvic lymphadenectomy.</w:t>
            </w:r>
            <w:r w:rsidRPr="00CB2EC4">
              <w:rPr>
                <w:rFonts w:ascii="Times New Roman" w:hAnsi="Times New Roman" w:cs="Times New Roman"/>
              </w:rPr>
              <w:br/>
            </w:r>
            <w:r w:rsidRPr="00CB2EC4">
              <w:rPr>
                <w:rFonts w:ascii="Times New Roman" w:hAnsi="Times New Roman" w:cs="Times New Roman"/>
              </w:rPr>
              <w:br/>
              <w:t>main tissue resection range for type B surgery:</w:t>
            </w:r>
            <w:r w:rsidRPr="00CB2EC4">
              <w:rPr>
                <w:rFonts w:ascii="Times New Roman" w:hAnsi="Times New Roman" w:cs="Times New Roman"/>
              </w:rPr>
              <w:br/>
              <w:t>- uterus and cervix: completely removed.</w:t>
            </w:r>
            <w:r w:rsidRPr="00CB2EC4">
              <w:rPr>
                <w:rFonts w:ascii="Times New Roman" w:hAnsi="Times New Roman" w:cs="Times New Roman"/>
              </w:rPr>
              <w:br/>
            </w:r>
            <w:r w:rsidRPr="00CB2EC4">
              <w:rPr>
                <w:rFonts w:ascii="Times New Roman" w:hAnsi="Times New Roman" w:cs="Times New Roman"/>
              </w:rPr>
              <w:lastRenderedPageBreak/>
              <w:t>- vagina: upper 2–3 cm of the vagina is resected (more extensive than type I).</w:t>
            </w:r>
            <w:r w:rsidRPr="00CB2EC4">
              <w:rPr>
                <w:rFonts w:ascii="Times New Roman" w:hAnsi="Times New Roman" w:cs="Times New Roman"/>
              </w:rPr>
              <w:br/>
              <w:t>- parametrial tissue:</w:t>
            </w:r>
            <w:r w:rsidRPr="00CB2EC4">
              <w:rPr>
                <w:rFonts w:ascii="Times New Roman" w:hAnsi="Times New Roman" w:cs="Times New Roman"/>
              </w:rPr>
              <w:br/>
              <w:t xml:space="preserve">  - approximately half of the cardinal ligament and uterosacral ligament is resected.</w:t>
            </w:r>
            <w:r w:rsidRPr="00CB2EC4">
              <w:rPr>
                <w:rFonts w:ascii="Times New Roman" w:hAnsi="Times New Roman" w:cs="Times New Roman"/>
              </w:rPr>
              <w:br/>
              <w:t xml:space="preserve">  - the ureteral tunnel may be opened, and the anterior leaf of the cervicovesical ligament, along with uterine vessels, is divided and ligated.</w:t>
            </w:r>
            <w:r w:rsidRPr="00CB2EC4">
              <w:rPr>
                <w:rFonts w:ascii="Times New Roman" w:hAnsi="Times New Roman" w:cs="Times New Roman"/>
              </w:rPr>
              <w:br/>
              <w:t>- lymph nodes: pelvic lymphadenectomy is performed, including removal of lymphoid and adipose tissue from the common iliac, external iliac, internal iliac, and obturator regions.</w:t>
            </w:r>
            <w:r w:rsidRPr="00CB2EC4">
              <w:rPr>
                <w:rFonts w:ascii="Times New Roman" w:hAnsi="Times New Roman" w:cs="Times New Roman"/>
              </w:rPr>
              <w:br/>
            </w:r>
            <w:r w:rsidRPr="00CB2EC4">
              <w:rPr>
                <w:rFonts w:ascii="Times New Roman" w:hAnsi="Times New Roman" w:cs="Times New Roman"/>
              </w:rPr>
              <w:br/>
              <w:t>key differences from type I surgery (extrafascial hysterectomy):</w:t>
            </w:r>
            <w:r w:rsidRPr="00CB2EC4">
              <w:rPr>
                <w:rFonts w:ascii="Times New Roman" w:hAnsi="Times New Roman" w:cs="Times New Roman"/>
              </w:rPr>
              <w:br/>
              <w:t>- type I resection range: involves simple removal of the uterus and cervix; ligaments are cut at the margins without deep parametrial dissection; vaginal resection is 1–2 cm; ureters and rectum are not involved; indicated for low-risk cases such as FIGO IA1 without LVSI.</w:t>
            </w:r>
            <w:r w:rsidRPr="00CB2EC4">
              <w:rPr>
                <w:rFonts w:ascii="Times New Roman" w:hAnsi="Times New Roman" w:cs="Times New Roman"/>
              </w:rPr>
              <w:br/>
              <w:t>- type B resection range:</w:t>
            </w:r>
            <w:r w:rsidRPr="00CB2EC4">
              <w:rPr>
                <w:rFonts w:ascii="Times New Roman" w:hAnsi="Times New Roman" w:cs="Times New Roman"/>
              </w:rPr>
              <w:br/>
              <w:t xml:space="preserve">  - more extensive parametrial resection: type B resects approximately half of the cardinal and uterosacral ligaments and addresses the ureteral tunnel area to remove potential micrometastases, whereas type I only transects ligaments at the margins without deep parametrial involvement.</w:t>
            </w:r>
            <w:r w:rsidRPr="00CB2EC4">
              <w:rPr>
                <w:rFonts w:ascii="Times New Roman" w:hAnsi="Times New Roman" w:cs="Times New Roman"/>
              </w:rPr>
              <w:br/>
              <w:t xml:space="preserve">  - more thorough vaginal resection: type B typically resects 2–3 cm of the vagina versus 1–2 cm in type I.</w:t>
            </w:r>
            <w:r w:rsidRPr="00CB2EC4">
              <w:rPr>
                <w:rFonts w:ascii="Times New Roman" w:hAnsi="Times New Roman" w:cs="Times New Roman"/>
              </w:rPr>
              <w:br/>
              <w:t xml:space="preserve">  - mandatory lymph node dissection: type B requires pelvic lymphadenectomy, while type I does not.</w:t>
            </w:r>
            <w:r w:rsidRPr="00CB2EC4">
              <w:rPr>
                <w:rFonts w:ascii="Times New Roman" w:hAnsi="Times New Roman" w:cs="Times New Roman"/>
              </w:rPr>
              <w:br/>
              <w:t xml:space="preserve">  - different indications: type B is used for early-stage cancer with high-risk factors (e.g., LVSI+) to reduce </w:t>
            </w:r>
            <w:r w:rsidRPr="00CB2EC4">
              <w:rPr>
                <w:rFonts w:ascii="Times New Roman" w:hAnsi="Times New Roman" w:cs="Times New Roman"/>
              </w:rPr>
              <w:lastRenderedPageBreak/>
              <w:t>recurrence risk; type I is reserved for very low-risk cases.</w:t>
            </w:r>
          </w:p>
        </w:tc>
        <w:tc>
          <w:tcPr>
            <w:tcW w:w="1152" w:type="dxa"/>
            <w:vAlign w:val="center"/>
          </w:tcPr>
          <w:p w14:paraId="5555EF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CD93F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54C9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1A1DF49" w14:textId="77777777">
        <w:tc>
          <w:tcPr>
            <w:tcW w:w="2160" w:type="dxa"/>
            <w:vAlign w:val="center"/>
          </w:tcPr>
          <w:p w14:paraId="39712B8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45A04ED5" w14:textId="77777777" w:rsidR="00922249" w:rsidRPr="00CB2EC4" w:rsidRDefault="003011D5">
            <w:pPr>
              <w:rPr>
                <w:rFonts w:ascii="Times New Roman" w:hAnsi="Times New Roman" w:cs="Times New Roman"/>
              </w:rPr>
            </w:pPr>
            <w:r w:rsidRPr="00CB2EC4">
              <w:rPr>
                <w:rFonts w:ascii="Times New Roman" w:hAnsi="Times New Roman" w:cs="Times New Roman"/>
              </w:rPr>
              <w:t>- Selected surgical type: II-type surgery (i.e., modified radical hysterectomy, also known as subtotal radical hysterectomy domestically). The document explicitly states: for IA1 stage (stromal invasion depth ≤3mm, here 2mm) with lymphovascular space invasion (LVSI+), modified radical hysterectomy (II-type surgery) plus pelvic lymphadenectomy should be performed (reference segment similarity 0.582: "When LVSI(+), modified radical hysterectomy + pelvic lymphadenectomy should be performed").</w:t>
            </w:r>
            <w:r w:rsidRPr="00CB2EC4">
              <w:rPr>
                <w:rFonts w:ascii="Times New Roman" w:hAnsi="Times New Roman" w:cs="Times New Roman"/>
              </w:rPr>
              <w:br/>
              <w:t>- Main tissue resection range:</w:t>
            </w:r>
            <w:r w:rsidRPr="00CB2EC4">
              <w:rPr>
                <w:rFonts w:ascii="Times New Roman" w:hAnsi="Times New Roman" w:cs="Times New Roman"/>
              </w:rPr>
              <w:br/>
              <w:t xml:space="preserve">  - Total hysterectomy.</w:t>
            </w:r>
            <w:r w:rsidRPr="00CB2EC4">
              <w:rPr>
                <w:rFonts w:ascii="Times New Roman" w:hAnsi="Times New Roman" w:cs="Times New Roman"/>
              </w:rPr>
              <w:br/>
              <w:t xml:space="preserve">  - Resection of 1–2 cm of the upper vagina (reference segment similarity 0.532).</w:t>
            </w:r>
            <w:r w:rsidRPr="00CB2EC4">
              <w:rPr>
                <w:rFonts w:ascii="Times New Roman" w:hAnsi="Times New Roman" w:cs="Times New Roman"/>
              </w:rPr>
              <w:br/>
              <w:t xml:space="preserve">  - Resection of partial parametrial tissue: including approximately 1/2 of the cardinal ligament (reference segment similarity 0.527: "resect 1/2 of the cardinal ligament").</w:t>
            </w:r>
            <w:r w:rsidRPr="00CB2EC4">
              <w:rPr>
                <w:rFonts w:ascii="Times New Roman" w:hAnsi="Times New Roman" w:cs="Times New Roman"/>
              </w:rPr>
              <w:br/>
              <w:t xml:space="preserve">  - Pelvic lymphadenectomy: routinely performed (reference segment similarity 0.532: "simultaneously perform pelvic lymphadenectomy").</w:t>
            </w:r>
            <w:r w:rsidRPr="00CB2EC4">
              <w:rPr>
                <w:rFonts w:ascii="Times New Roman" w:hAnsi="Times New Roman" w:cs="Times New Roman"/>
              </w:rPr>
              <w:br/>
              <w:t xml:space="preserve">  - Other: expose the ureter in the parametrial segment and displace it laterally; no extensive dissection of bladder or rectum (reference segment similarity 0.532).</w:t>
            </w:r>
            <w:r w:rsidRPr="00CB2EC4">
              <w:rPr>
                <w:rFonts w:ascii="Times New Roman" w:hAnsi="Times New Roman" w:cs="Times New Roman"/>
              </w:rPr>
              <w:br/>
              <w:t>- Key differences from type I extrafascial hysterectomy:</w:t>
            </w:r>
            <w:r w:rsidRPr="00CB2EC4">
              <w:rPr>
                <w:rFonts w:ascii="Times New Roman" w:hAnsi="Times New Roman" w:cs="Times New Roman"/>
              </w:rPr>
              <w:br/>
              <w:t xml:space="preserve">  - Parametrial resection: II-type surgery resects 1/2 of the cardinal ligament and part of the uterosacral ligament, whereas type I only transects ligaments at the cervical margin without parametrial resection (reference segment similarity 0.582: type I "cardinal </w:t>
            </w:r>
            <w:r w:rsidRPr="00CB2EC4">
              <w:rPr>
                <w:rFonts w:ascii="Times New Roman" w:hAnsi="Times New Roman" w:cs="Times New Roman"/>
              </w:rPr>
              <w:lastRenderedPageBreak/>
              <w:t>ligament: transected at the uterine and cervical margin").</w:t>
            </w:r>
            <w:r w:rsidRPr="00CB2EC4">
              <w:rPr>
                <w:rFonts w:ascii="Times New Roman" w:hAnsi="Times New Roman" w:cs="Times New Roman"/>
              </w:rPr>
              <w:br/>
              <w:t xml:space="preserve">  - Ureter management: II-type surgery requires exposure and lateral displacement of the parametrial ureter segment, while type I surgery "ureter: not involved during the procedure" (reference segment similarity 0.582).</w:t>
            </w:r>
            <w:r w:rsidRPr="00CB2EC4">
              <w:rPr>
                <w:rFonts w:ascii="Times New Roman" w:hAnsi="Times New Roman" w:cs="Times New Roman"/>
              </w:rPr>
              <w:br/>
              <w:t xml:space="preserve">  - Lymph node dissection: II-type surgery routinely includes pelvic lymphadenectomy, whereas type I does not include lymph node removal (reference segment similarity 0.532).</w:t>
            </w:r>
            <w:r w:rsidRPr="00CB2EC4">
              <w:rPr>
                <w:rFonts w:ascii="Times New Roman" w:hAnsi="Times New Roman" w:cs="Times New Roman"/>
              </w:rPr>
              <w:br/>
              <w:t xml:space="preserve">  - Indication: II-type is indicated for cases with LVSI or higher risk (such as this case), while type I is only for low-risk IA1 stage without LVSI (reference segment similarity 0.582).</w:t>
            </w:r>
            <w:r w:rsidRPr="00CB2EC4">
              <w:rPr>
                <w:rFonts w:ascii="Times New Roman" w:hAnsi="Times New Roman" w:cs="Times New Roman"/>
              </w:rPr>
              <w:br/>
              <w:t>- Summary: II-type surgery is more extensive; it adds parametrial tissue and lymph node resection specifically for lymphovascular invasion risk, in contrast to type I.</w:t>
            </w:r>
          </w:p>
        </w:tc>
        <w:tc>
          <w:tcPr>
            <w:tcW w:w="1152" w:type="dxa"/>
            <w:vAlign w:val="center"/>
          </w:tcPr>
          <w:p w14:paraId="31FD2B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87409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9232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44DC23" w14:textId="77777777">
        <w:tc>
          <w:tcPr>
            <w:tcW w:w="2160" w:type="dxa"/>
            <w:vAlign w:val="center"/>
          </w:tcPr>
          <w:p w14:paraId="19FFEFD4"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AA0589B" w14:textId="77777777" w:rsidR="00922249" w:rsidRPr="00CB2EC4" w:rsidRDefault="003011D5">
            <w:pPr>
              <w:rPr>
                <w:rFonts w:ascii="Times New Roman" w:hAnsi="Times New Roman" w:cs="Times New Roman"/>
              </w:rPr>
            </w:pPr>
            <w:r w:rsidRPr="00CB2EC4">
              <w:rPr>
                <w:rFonts w:ascii="Times New Roman" w:hAnsi="Times New Roman" w:cs="Times New Roman"/>
              </w:rPr>
              <w:t>surgical options for early invasive cancer with lymphovascular invasion</w:t>
            </w:r>
            <w:r w:rsidRPr="00CB2EC4">
              <w:rPr>
                <w:rFonts w:ascii="Times New Roman" w:hAnsi="Times New Roman" w:cs="Times New Roman"/>
              </w:rPr>
              <w:br/>
            </w:r>
            <w:r w:rsidRPr="00CB2EC4">
              <w:rPr>
                <w:rFonts w:ascii="Times New Roman" w:hAnsi="Times New Roman" w:cs="Times New Roman"/>
              </w:rPr>
              <w:br/>
              <w:t>Based on the provided context:</w:t>
            </w:r>
            <w:r w:rsidRPr="00CB2EC4">
              <w:rPr>
                <w:rFonts w:ascii="Times New Roman" w:hAnsi="Times New Roman" w:cs="Times New Roman"/>
              </w:rPr>
              <w:br/>
              <w:t>- The patient is 50 years old, postmenopausal, diagnosed with early invasive cervical cancer, stromal invasion depth 2 mm (IA1 stage), with definite lymphovascular space invasion (LVSI+). Fragment 8 clearly states: "For IA1 stage... with LVSI(+), modified radical hysterectomy + pelvic lymphadenectomy should be performed."</w:t>
            </w:r>
            <w:r w:rsidRPr="00CB2EC4">
              <w:rPr>
                <w:rFonts w:ascii="Times New Roman" w:hAnsi="Times New Roman" w:cs="Times New Roman"/>
              </w:rPr>
              <w:br/>
              <w:t>- Recommended surgical type: Modified radical hysterectomy (corresponding to Piver-Rutledge Type II or Q-M Type B).</w:t>
            </w:r>
            <w:r w:rsidRPr="00CB2EC4">
              <w:rPr>
                <w:rFonts w:ascii="Times New Roman" w:hAnsi="Times New Roman" w:cs="Times New Roman"/>
              </w:rPr>
              <w:br/>
              <w:t xml:space="preserve">- Main tissue resection scope for surgery (based on the </w:t>
            </w:r>
            <w:r w:rsidRPr="00CB2EC4">
              <w:rPr>
                <w:rFonts w:ascii="Times New Roman" w:hAnsi="Times New Roman" w:cs="Times New Roman"/>
              </w:rPr>
              <w:lastRenderedPageBreak/>
              <w:t>table in Fragment 8):</w:t>
            </w:r>
            <w:r w:rsidRPr="00CB2EC4">
              <w:rPr>
                <w:rFonts w:ascii="Times New Roman" w:hAnsi="Times New Roman" w:cs="Times New Roman"/>
              </w:rPr>
              <w:br/>
              <w:t xml:space="preserve">  - Uterus and cervix: completely removed.</w:t>
            </w:r>
            <w:r w:rsidRPr="00CB2EC4">
              <w:rPr>
                <w:rFonts w:ascii="Times New Roman" w:hAnsi="Times New Roman" w:cs="Times New Roman"/>
              </w:rPr>
              <w:br/>
              <w:t xml:space="preserve">  - Ovaries: selectively removed (usually removable in postmenopausal patients).</w:t>
            </w:r>
            <w:r w:rsidRPr="00CB2EC4">
              <w:rPr>
                <w:rFonts w:ascii="Times New Roman" w:hAnsi="Times New Roman" w:cs="Times New Roman"/>
              </w:rPr>
              <w:br/>
              <w:t xml:space="preserve">  - Vaginal margin: 1–2 cm resected.</w:t>
            </w:r>
            <w:r w:rsidRPr="00CB2EC4">
              <w:rPr>
                <w:rFonts w:ascii="Times New Roman" w:hAnsi="Times New Roman" w:cs="Times New Roman"/>
              </w:rPr>
              <w:br/>
              <w:t xml:space="preserve">  - Ligament management: main ligaments and uterosacral ligaments resected at the proximal 1/2 (partial resection).</w:t>
            </w:r>
            <w:r w:rsidRPr="00CB2EC4">
              <w:rPr>
                <w:rFonts w:ascii="Times New Roman" w:hAnsi="Times New Roman" w:cs="Times New Roman"/>
              </w:rPr>
              <w:br/>
              <w:t xml:space="preserve">  - Ureters: partially exposed (requires mobilization of part of the ureter).</w:t>
            </w:r>
            <w:r w:rsidRPr="00CB2EC4">
              <w:rPr>
                <w:rFonts w:ascii="Times New Roman" w:hAnsi="Times New Roman" w:cs="Times New Roman"/>
              </w:rPr>
              <w:br/>
              <w:t xml:space="preserve">  - Adjacent organs: bladder pushed down to the trigone of bladder, rectum not involved.</w:t>
            </w:r>
            <w:r w:rsidRPr="00CB2EC4">
              <w:rPr>
                <w:rFonts w:ascii="Times New Roman" w:hAnsi="Times New Roman" w:cs="Times New Roman"/>
              </w:rPr>
              <w:br/>
              <w:t xml:space="preserve">  - Lymph nodes: pelvic lymphadenectomy required.</w:t>
            </w:r>
            <w:r w:rsidRPr="00CB2EC4">
              <w:rPr>
                <w:rFonts w:ascii="Times New Roman" w:hAnsi="Times New Roman" w:cs="Times New Roman"/>
              </w:rPr>
              <w:br/>
              <w:t>- Key differences from simple extrafascial hysterectomy (Type I):</w:t>
            </w:r>
            <w:r w:rsidRPr="00CB2EC4">
              <w:rPr>
                <w:rFonts w:ascii="Times New Roman" w:hAnsi="Times New Roman" w:cs="Times New Roman"/>
              </w:rPr>
              <w:br/>
              <w:t xml:space="preserve">  - Wider resection range: Type I surgery only cuts ligaments at the cervical margin, does not expose ureters, and resects less vaginal tissue (or none); Type II surgery requires partial exposure of the ureters, resection of part of the cardinal ligaments and uterosacral ligaments, and resection of more vaginal tissue (1–2 cm).</w:t>
            </w:r>
            <w:r w:rsidRPr="00CB2EC4">
              <w:rPr>
                <w:rFonts w:ascii="Times New Roman" w:hAnsi="Times New Roman" w:cs="Times New Roman"/>
              </w:rPr>
              <w:br/>
              <w:t xml:space="preserve">  - Lymph node management: Type II surgery must include pelvic lymphadenectomy, while Type I surgery does not involve lymph node dissection.</w:t>
            </w:r>
            <w:r w:rsidRPr="00CB2EC4">
              <w:rPr>
                <w:rFonts w:ascii="Times New Roman" w:hAnsi="Times New Roman" w:cs="Times New Roman"/>
              </w:rPr>
              <w:br/>
              <w:t xml:space="preserve">  - Different indications: Type I is indicated for IA1 stage without lymphovascular invasion (Fragment 8), Type II is indicated for IA1 stage with lymphovascular invasion or IA2 stage (Fragment 8).</w:t>
            </w:r>
          </w:p>
        </w:tc>
        <w:tc>
          <w:tcPr>
            <w:tcW w:w="1152" w:type="dxa"/>
            <w:vAlign w:val="center"/>
          </w:tcPr>
          <w:p w14:paraId="4473FB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0903B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4DF8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FA7356" w14:textId="77777777">
        <w:tc>
          <w:tcPr>
            <w:tcW w:w="2160" w:type="dxa"/>
            <w:vAlign w:val="center"/>
          </w:tcPr>
          <w:p w14:paraId="36BE1D48"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676229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The type of surgery to be selected: Radical hysterectomy type II (also known as modified radical hysterectomy).  </w:t>
            </w:r>
            <w:r w:rsidRPr="00CB2EC4">
              <w:rPr>
                <w:rFonts w:ascii="Times New Roman" w:hAnsi="Times New Roman" w:cs="Times New Roman"/>
              </w:rPr>
              <w:br/>
              <w:t xml:space="preserve">- Main tissue resection range of the surgery:  </w:t>
            </w:r>
            <w:r w:rsidRPr="00CB2EC4">
              <w:rPr>
                <w:rFonts w:ascii="Times New Roman" w:hAnsi="Times New Roman" w:cs="Times New Roman"/>
              </w:rPr>
              <w:br/>
              <w:t xml:space="preserve">  → Removal of the entire uterus and both adnexa </w:t>
            </w:r>
            <w:r w:rsidRPr="00CB2EC4">
              <w:rPr>
                <w:rFonts w:ascii="Times New Roman" w:hAnsi="Times New Roman" w:cs="Times New Roman"/>
              </w:rPr>
              <w:lastRenderedPageBreak/>
              <w:t xml:space="preserve">(ovaries are typically removed in a 50-year-old postmenopausal patient).  </w:t>
            </w:r>
            <w:r w:rsidRPr="00CB2EC4">
              <w:rPr>
                <w:rFonts w:ascii="Times New Roman" w:hAnsi="Times New Roman" w:cs="Times New Roman"/>
              </w:rPr>
              <w:br/>
              <w:t xml:space="preserve">  → Resection of part of the parametrial tissue, including: one-half of the uterosacral and cardinal ligaments, and the upper one-third of the vagina.  </w:t>
            </w:r>
            <w:r w:rsidRPr="00CB2EC4">
              <w:rPr>
                <w:rFonts w:ascii="Times New Roman" w:hAnsi="Times New Roman" w:cs="Times New Roman"/>
              </w:rPr>
              <w:br/>
              <w:t xml:space="preserve">  → Exposure of the ureter in the parametrial segment; ligation of the uterine artery medial to the ureter (the ureter is not fully dissected from the vesicouterine ligament to preserve its blood supply).  </w:t>
            </w:r>
            <w:r w:rsidRPr="00CB2EC4">
              <w:rPr>
                <w:rFonts w:ascii="Times New Roman" w:hAnsi="Times New Roman" w:cs="Times New Roman"/>
              </w:rPr>
              <w:br/>
              <w:t xml:space="preserve">  → Simultaneous selective pelvic lymphadenectomy (including lower common iliac, external iliac, deep inguinal, internal iliac, and obturator lymph nodes).  </w:t>
            </w:r>
            <w:r w:rsidRPr="00CB2EC4">
              <w:rPr>
                <w:rFonts w:ascii="Times New Roman" w:hAnsi="Times New Roman" w:cs="Times New Roman"/>
              </w:rPr>
              <w:br/>
              <w:t xml:space="preserve">- Key differences from type I extrafascial hysterectomy:  </w:t>
            </w:r>
            <w:r w:rsidRPr="00CB2EC4">
              <w:rPr>
                <w:rFonts w:ascii="Times New Roman" w:hAnsi="Times New Roman" w:cs="Times New Roman"/>
              </w:rPr>
              <w:br/>
              <w:t xml:space="preserve">  → Broader resection range: Type II surgery removes more parametrial tissue (one-half of ligaments and upper one-third of vagina), whereas type I only resects 1–2 cm of vagina and minimal ligament tissue at the extrafascial level without extensive parametrial resection.  </w:t>
            </w:r>
            <w:r w:rsidRPr="00CB2EC4">
              <w:rPr>
                <w:rFonts w:ascii="Times New Roman" w:hAnsi="Times New Roman" w:cs="Times New Roman"/>
              </w:rPr>
              <w:br/>
              <w:t xml:space="preserve">  → Ureter management: Type II requires exposure and partial mobilization of the ureter (operating medial to it), while type I only exposes the ureter without mobilization, displacing it laterally.  </w:t>
            </w:r>
            <w:r w:rsidRPr="00CB2EC4">
              <w:rPr>
                <w:rFonts w:ascii="Times New Roman" w:hAnsi="Times New Roman" w:cs="Times New Roman"/>
              </w:rPr>
              <w:br/>
              <w:t xml:space="preserve">  → Lymph node dissection: Type II mandates pelvic lymphadenectomy, while type I does not include lymph node dissection.  </w:t>
            </w:r>
            <w:r w:rsidRPr="00CB2EC4">
              <w:rPr>
                <w:rFonts w:ascii="Times New Roman" w:hAnsi="Times New Roman" w:cs="Times New Roman"/>
              </w:rPr>
              <w:br/>
              <w:t xml:space="preserve">  → Indication difference: Type II is indicated for cases with lymphovascular invasion or stromal invasion depth ≥3 mm (here, 2 mm with lymphovascular invasion qualifies per context), aiming to reduce recurrence risk; type I is reserved for lymphovascular invasion-negative IA1 disease and is more conservative.</w:t>
            </w:r>
          </w:p>
        </w:tc>
        <w:tc>
          <w:tcPr>
            <w:tcW w:w="1152" w:type="dxa"/>
            <w:vAlign w:val="center"/>
          </w:tcPr>
          <w:p w14:paraId="6D1976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DBA5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60C8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DCF8A3" w14:textId="77777777">
        <w:tc>
          <w:tcPr>
            <w:tcW w:w="2160" w:type="dxa"/>
            <w:vAlign w:val="center"/>
          </w:tcPr>
          <w:p w14:paraId="7327610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48C1A7D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modified radical hysterectomy (Type II) should be selected for this patient.  </w:t>
            </w:r>
            <w:r w:rsidRPr="00CB2EC4">
              <w:rPr>
                <w:rFonts w:ascii="Times New Roman" w:hAnsi="Times New Roman" w:cs="Times New Roman"/>
              </w:rPr>
              <w:br/>
              <w:t xml:space="preserve">- Main tissue resection scope:  </w:t>
            </w:r>
            <w:r w:rsidRPr="00CB2EC4">
              <w:rPr>
                <w:rFonts w:ascii="Times New Roman" w:hAnsi="Times New Roman" w:cs="Times New Roman"/>
              </w:rPr>
              <w:br/>
              <w:t xml:space="preserve">  → Uterine body, cervix, and upper vaginal segment (approximately 1–2 cm).  </w:t>
            </w:r>
            <w:r w:rsidRPr="00CB2EC4">
              <w:rPr>
                <w:rFonts w:ascii="Times New Roman" w:hAnsi="Times New Roman" w:cs="Times New Roman"/>
              </w:rPr>
              <w:br/>
              <w:t xml:space="preserve">  → Partial parametrial tissues, including the proximal 1/2 of the uterosacral and cardinal ligaments (approximately 1–2 cm); lymph node dissection is not included unless additional indications exist.  </w:t>
            </w:r>
            <w:r w:rsidRPr="00CB2EC4">
              <w:rPr>
                <w:rFonts w:ascii="Times New Roman" w:hAnsi="Times New Roman" w:cs="Times New Roman"/>
              </w:rPr>
              <w:br/>
              <w:t xml:space="preserve">  → Dissection of the ureteral tunnel entrance is required, but ureteral blood supply and innervation are preserved.  </w:t>
            </w:r>
            <w:r w:rsidRPr="00CB2EC4">
              <w:rPr>
                <w:rFonts w:ascii="Times New Roman" w:hAnsi="Times New Roman" w:cs="Times New Roman"/>
              </w:rPr>
              <w:br/>
            </w:r>
            <w:r w:rsidRPr="00CB2EC4">
              <w:rPr>
                <w:rFonts w:ascii="Times New Roman" w:hAnsi="Times New Roman" w:cs="Times New Roman"/>
              </w:rPr>
              <w:br/>
              <w:t xml:space="preserve">- Key differences from extrafascial total hysterectomy (Type I):  </w:t>
            </w:r>
            <w:r w:rsidRPr="00CB2EC4">
              <w:rPr>
                <w:rFonts w:ascii="Times New Roman" w:hAnsi="Times New Roman" w:cs="Times New Roman"/>
              </w:rPr>
              <w:br/>
              <w:t xml:space="preserve">  → Type I surgery: Resects only the uterus, cervix, and upper vagina; does not involve parametrial tissue removal; remains within the extrafascial plane without extensive ureteral or bladder mobilization.  </w:t>
            </w:r>
            <w:r w:rsidRPr="00CB2EC4">
              <w:rPr>
                <w:rFonts w:ascii="Times New Roman" w:hAnsi="Times New Roman" w:cs="Times New Roman"/>
              </w:rPr>
              <w:br/>
              <w:t xml:space="preserve">  → Type II surgery: Includes resection of partial parametrial tissues (cardinal and uterosacral ligaments) and mobilization of the initial ureteral segment to reduce micrometastatic risk; the surgical field is broader and indicated for IA1 stage patients with lymphovascular space invasion.</w:t>
            </w:r>
          </w:p>
        </w:tc>
        <w:tc>
          <w:tcPr>
            <w:tcW w:w="1152" w:type="dxa"/>
            <w:vAlign w:val="center"/>
          </w:tcPr>
          <w:p w14:paraId="48502D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6F558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D5EB1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D94E3EE" w14:textId="77777777">
        <w:tc>
          <w:tcPr>
            <w:tcW w:w="10656" w:type="dxa"/>
            <w:gridSpan w:val="5"/>
            <w:tcBorders>
              <w:bottom w:val="single" w:sz="6" w:space="0" w:color="auto"/>
            </w:tcBorders>
            <w:vAlign w:val="center"/>
          </w:tcPr>
          <w:p w14:paraId="6C3B64B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164: A 30-year-old patient has a strong desire for fertility preservation. Cervical conization pathology confirmed cervical squamous cell carcinoma with a tumor diameter of 1 cm, a stromal invasion depth of 4 mm, and a width of 6 mm. The margins are negative and 10 mm from the lesion, with no vascular invasion. Laparoscopic exploration and frozen section pathology of pelvic lymph nodes show no metastasis. According to the text, what is the most suitable surgical procedure for her? What are the key prerequisites for this surgery?</w:t>
            </w:r>
          </w:p>
        </w:tc>
      </w:tr>
      <w:tr w:rsidR="00922249" w:rsidRPr="00CB2EC4" w14:paraId="2B982786" w14:textId="77777777">
        <w:tc>
          <w:tcPr>
            <w:tcW w:w="2160" w:type="dxa"/>
            <w:vAlign w:val="center"/>
          </w:tcPr>
          <w:p w14:paraId="13F8F4B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0D09606" w14:textId="77777777" w:rsidR="00922249" w:rsidRPr="00CB2EC4" w:rsidRDefault="003011D5">
            <w:pPr>
              <w:rPr>
                <w:rFonts w:ascii="Times New Roman" w:hAnsi="Times New Roman" w:cs="Times New Roman"/>
              </w:rPr>
            </w:pPr>
            <w:r w:rsidRPr="00CB2EC4">
              <w:rPr>
                <w:rFonts w:ascii="Times New Roman" w:hAnsi="Times New Roman" w:cs="Times New Roman"/>
              </w:rPr>
              <w:t>the most suitable surgical approach for her is:</w:t>
            </w:r>
            <w:r w:rsidRPr="00CB2EC4">
              <w:rPr>
                <w:rFonts w:ascii="Times New Roman" w:hAnsi="Times New Roman" w:cs="Times New Roman"/>
              </w:rPr>
              <w:br/>
              <w:t>radical trachelectomy with pelvic lymphadenectomy.</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The key prerequisite conditions for this surgery are:</w:t>
            </w:r>
            <w:r w:rsidRPr="00CB2EC4">
              <w:rPr>
                <w:rFonts w:ascii="Times New Roman" w:hAnsi="Times New Roman" w:cs="Times New Roman"/>
              </w:rPr>
              <w:br/>
              <w:t>- Strong desire to preserve fertility, as explicitly expressed by the patient.</w:t>
            </w:r>
            <w:r w:rsidRPr="00CB2EC4">
              <w:rPr>
                <w:rFonts w:ascii="Times New Roman" w:hAnsi="Times New Roman" w:cs="Times New Roman"/>
              </w:rPr>
              <w:br/>
              <w:t>- Tumor diameter &lt; 2 cm (1 cm in this case).</w:t>
            </w:r>
            <w:r w:rsidRPr="00CB2EC4">
              <w:rPr>
                <w:rFonts w:ascii="Times New Roman" w:hAnsi="Times New Roman" w:cs="Times New Roman"/>
              </w:rPr>
              <w:br/>
              <w:t>- Stromal invasion depth ≤ 5 mm (4 mm in this case).</w:t>
            </w:r>
            <w:r w:rsidRPr="00CB2EC4">
              <w:rPr>
                <w:rFonts w:ascii="Times New Roman" w:hAnsi="Times New Roman" w:cs="Times New Roman"/>
              </w:rPr>
              <w:br/>
              <w:t>- Negative surgical margins with tumor-free distance ≥ 8 mm from the lesion (margins negative, distance 10 mm).</w:t>
            </w:r>
            <w:r w:rsidRPr="00CB2EC4">
              <w:rPr>
                <w:rFonts w:ascii="Times New Roman" w:hAnsi="Times New Roman" w:cs="Times New Roman"/>
              </w:rPr>
              <w:br/>
              <w:t>- No lymphovascular space invasion (confirmed in pathology).</w:t>
            </w:r>
            <w:r w:rsidRPr="00CB2EC4">
              <w:rPr>
                <w:rFonts w:ascii="Times New Roman" w:hAnsi="Times New Roman" w:cs="Times New Roman"/>
              </w:rPr>
              <w:br/>
              <w:t>- The primary lesion is located in the cervical vaginal portion, with no parametrial or uterine corpus involvement (must be confirmed by colposcopy or imaging, emphasizing limited endocervical invasion).</w:t>
            </w:r>
            <w:r w:rsidRPr="00CB2EC4">
              <w:rPr>
                <w:rFonts w:ascii="Times New Roman" w:hAnsi="Times New Roman" w:cs="Times New Roman"/>
              </w:rPr>
              <w:br/>
              <w:t>- No lymph node metastasis (confirmed by laparoscopic exploration and intraoperative frozen section of pelvic lymph nodes).</w:t>
            </w:r>
            <w:r w:rsidRPr="00CB2EC4">
              <w:rPr>
                <w:rFonts w:ascii="Times New Roman" w:hAnsi="Times New Roman" w:cs="Times New Roman"/>
              </w:rPr>
              <w:br/>
              <w:t>- Squamous cell carcinoma histology (adenocarcinoma is a relative contraindication; this patient has squamous cell carcinoma, so no restriction applies).</w:t>
            </w:r>
            <w:r w:rsidRPr="00CB2EC4">
              <w:rPr>
                <w:rFonts w:ascii="Times New Roman" w:hAnsi="Times New Roman" w:cs="Times New Roman"/>
              </w:rPr>
              <w:br/>
            </w:r>
            <w:r w:rsidRPr="00CB2EC4">
              <w:rPr>
                <w:rFonts w:ascii="Times New Roman" w:hAnsi="Times New Roman" w:cs="Times New Roman"/>
              </w:rPr>
              <w:br/>
              <w:t>The surgical method involves radical trachelectomy (removal of cervix and parametrial tissue while preserving the uterine corpus) via abdominal or vaginal approach, combined with pelvic lymph node dissection. Postoperative close follow-up with cytology and colposcopy is required.</w:t>
            </w:r>
          </w:p>
        </w:tc>
        <w:tc>
          <w:tcPr>
            <w:tcW w:w="1152" w:type="dxa"/>
            <w:vAlign w:val="center"/>
          </w:tcPr>
          <w:p w14:paraId="6D184E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899BA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8B6B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80E4C6" w14:textId="77777777">
        <w:tc>
          <w:tcPr>
            <w:tcW w:w="2160" w:type="dxa"/>
            <w:vAlign w:val="center"/>
          </w:tcPr>
          <w:p w14:paraId="0731152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1061C7E" w14:textId="77777777" w:rsidR="00922249" w:rsidRPr="00CB2EC4" w:rsidRDefault="003011D5">
            <w:pPr>
              <w:rPr>
                <w:rFonts w:ascii="Times New Roman" w:hAnsi="Times New Roman" w:cs="Times New Roman"/>
              </w:rPr>
            </w:pPr>
            <w:r w:rsidRPr="00CB2EC4">
              <w:rPr>
                <w:rFonts w:ascii="Times New Roman" w:hAnsi="Times New Roman" w:cs="Times New Roman"/>
              </w:rPr>
              <w:t>fertility-sparing surgical options and prerequisite conditions</w:t>
            </w:r>
            <w:r w:rsidRPr="00CB2EC4">
              <w:rPr>
                <w:rFonts w:ascii="Times New Roman" w:hAnsi="Times New Roman" w:cs="Times New Roman"/>
              </w:rPr>
              <w:br/>
            </w:r>
            <w:r w:rsidRPr="00CB2EC4">
              <w:rPr>
                <w:rFonts w:ascii="Times New Roman" w:hAnsi="Times New Roman" w:cs="Times New Roman"/>
              </w:rPr>
              <w:br/>
              <w:t>Most suitable surgical approach: Radical trachelectomy + pelvic lymphadenectomy (Segment 4, Segment 7, Segment 20).</w:t>
            </w:r>
            <w:r w:rsidRPr="00CB2EC4">
              <w:rPr>
                <w:rFonts w:ascii="Times New Roman" w:hAnsi="Times New Roman" w:cs="Times New Roman"/>
              </w:rPr>
              <w:br/>
            </w:r>
            <w:r w:rsidRPr="00CB2EC4">
              <w:rPr>
                <w:rFonts w:ascii="Times New Roman" w:hAnsi="Times New Roman" w:cs="Times New Roman"/>
              </w:rPr>
              <w:lastRenderedPageBreak/>
              <w:t>- Key prerequisite conditions (integrated from Segment 7, Segment 20):</w:t>
            </w:r>
            <w:r w:rsidRPr="00CB2EC4">
              <w:rPr>
                <w:rFonts w:ascii="Times New Roman" w:hAnsi="Times New Roman" w:cs="Times New Roman"/>
              </w:rPr>
              <w:br/>
              <w:t xml:space="preserve">  1. Tumor limitation: Diameter ≤ 4 cm (1 cm in this case meets criteria), confined to cervix, no invasion of internal cervical os.</w:t>
            </w:r>
            <w:r w:rsidRPr="00CB2EC4">
              <w:rPr>
                <w:rFonts w:ascii="Times New Roman" w:hAnsi="Times New Roman" w:cs="Times New Roman"/>
              </w:rPr>
              <w:br/>
              <w:t xml:space="preserve">  2. Pathological features: Stromal invasion depth ≤ 5 mm (4 mm in this case meets criteria), no lymphovascular space invasion, negative surgical margins (met in this case).</w:t>
            </w:r>
            <w:r w:rsidRPr="00CB2EC4">
              <w:rPr>
                <w:rFonts w:ascii="Times New Roman" w:hAnsi="Times New Roman" w:cs="Times New Roman"/>
              </w:rPr>
              <w:br/>
              <w:t xml:space="preserve">  3. Lymph node status: No metastasis in pelvic lymph nodes (confirmed by laparoscopic exploration).</w:t>
            </w:r>
            <w:r w:rsidRPr="00CB2EC4">
              <w:rPr>
                <w:rFonts w:ascii="Times New Roman" w:hAnsi="Times New Roman" w:cs="Times New Roman"/>
              </w:rPr>
              <w:br/>
              <w:t xml:space="preserve">  4. Patient factors: Age ≤ 45 years with strong fertility desire (Segment 20).</w:t>
            </w:r>
            <w:r w:rsidRPr="00CB2EC4">
              <w:rPr>
                <w:rFonts w:ascii="Times New Roman" w:hAnsi="Times New Roman" w:cs="Times New Roman"/>
              </w:rPr>
              <w:br/>
              <w:t>- Surgical feasibility: Segment 9 describes preservation of uterine corpus, removal of cervix and upper 2.5 cm of vagina, enabling pregnancy postoperatively.</w:t>
            </w:r>
          </w:p>
        </w:tc>
        <w:tc>
          <w:tcPr>
            <w:tcW w:w="1152" w:type="dxa"/>
            <w:vAlign w:val="center"/>
          </w:tcPr>
          <w:p w14:paraId="627FC9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6777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5DE7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857F68" w14:textId="77777777">
        <w:tc>
          <w:tcPr>
            <w:tcW w:w="2160" w:type="dxa"/>
            <w:vAlign w:val="center"/>
          </w:tcPr>
          <w:p w14:paraId="07D5568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E6611CD" w14:textId="77777777" w:rsidR="00922249" w:rsidRPr="00CB2EC4" w:rsidRDefault="003011D5">
            <w:pPr>
              <w:rPr>
                <w:rFonts w:ascii="Times New Roman" w:hAnsi="Times New Roman" w:cs="Times New Roman"/>
              </w:rPr>
            </w:pPr>
            <w:r w:rsidRPr="00CB2EC4">
              <w:rPr>
                <w:rFonts w:ascii="Times New Roman" w:hAnsi="Times New Roman" w:cs="Times New Roman"/>
              </w:rPr>
              <w:t>the most suitable surgical procedure for her is radical trachelectomy.</w:t>
            </w:r>
            <w:r w:rsidRPr="00CB2EC4">
              <w:rPr>
                <w:rFonts w:ascii="Times New Roman" w:hAnsi="Times New Roman" w:cs="Times New Roman"/>
              </w:rPr>
              <w:br/>
            </w:r>
            <w:r w:rsidRPr="00CB2EC4">
              <w:rPr>
                <w:rFonts w:ascii="Times New Roman" w:hAnsi="Times New Roman" w:cs="Times New Roman"/>
              </w:rPr>
              <w:br/>
              <w:t>the key prerequisite conditions for this surgery are:</w:t>
            </w:r>
            <w:r w:rsidRPr="00CB2EC4">
              <w:rPr>
                <w:rFonts w:ascii="Times New Roman" w:hAnsi="Times New Roman" w:cs="Times New Roman"/>
              </w:rPr>
              <w:br/>
              <w:t>1. strong desire to preserve fertility.</w:t>
            </w:r>
            <w:r w:rsidRPr="00CB2EC4">
              <w:rPr>
                <w:rFonts w:ascii="Times New Roman" w:hAnsi="Times New Roman" w:cs="Times New Roman"/>
              </w:rPr>
              <w:br/>
              <w:t>2. age ≤ 45 years (or &lt; 40 years as per some criteria); she is 30 years old, which meets the requirement.</w:t>
            </w:r>
            <w:r w:rsidRPr="00CB2EC4">
              <w:rPr>
                <w:rFonts w:ascii="Times New Roman" w:hAnsi="Times New Roman" w:cs="Times New Roman"/>
              </w:rPr>
              <w:br/>
              <w:t>3. tumor stage IA2 to IB1; her stage is IA2.</w:t>
            </w:r>
            <w:r w:rsidRPr="00CB2EC4">
              <w:rPr>
                <w:rFonts w:ascii="Times New Roman" w:hAnsi="Times New Roman" w:cs="Times New Roman"/>
              </w:rPr>
              <w:br/>
              <w:t>4. tumor diameter &lt; 2 cm; her tumor is 1 cm.</w:t>
            </w:r>
            <w:r w:rsidRPr="00CB2EC4">
              <w:rPr>
                <w:rFonts w:ascii="Times New Roman" w:hAnsi="Times New Roman" w:cs="Times New Roman"/>
              </w:rPr>
              <w:br/>
              <w:t>5. no lymphovascular space invasion; confirmed in her pathology.</w:t>
            </w:r>
            <w:r w:rsidRPr="00CB2EC4">
              <w:rPr>
                <w:rFonts w:ascii="Times New Roman" w:hAnsi="Times New Roman" w:cs="Times New Roman"/>
              </w:rPr>
              <w:br/>
              <w:t>6. no lymph node metastasis; confirmed by laparoscopic exploration and frozen section of pelvic lymph nodes.</w:t>
            </w:r>
            <w:r w:rsidRPr="00CB2EC4">
              <w:rPr>
                <w:rFonts w:ascii="Times New Roman" w:hAnsi="Times New Roman" w:cs="Times New Roman"/>
              </w:rPr>
              <w:br/>
              <w:t>7. no endocervical glandular involvement or parametrial/uterine corpus involvement.</w:t>
            </w:r>
            <w:r w:rsidRPr="00CB2EC4">
              <w:rPr>
                <w:rFonts w:ascii="Times New Roman" w:hAnsi="Times New Roman" w:cs="Times New Roman"/>
              </w:rPr>
              <w:br/>
              <w:t xml:space="preserve">8. negative surgical margins with distance from lesion </w:t>
            </w:r>
            <w:r w:rsidRPr="00CB2EC4">
              <w:rPr>
                <w:rFonts w:ascii="Times New Roman" w:hAnsi="Times New Roman" w:cs="Times New Roman"/>
              </w:rPr>
              <w:lastRenderedPageBreak/>
              <w:t>≥ 5 mm; her margins are negative and 10 mm from the lesion, meeting the criterion.</w:t>
            </w:r>
            <w:r w:rsidRPr="00CB2EC4">
              <w:rPr>
                <w:rFonts w:ascii="Times New Roman" w:hAnsi="Times New Roman" w:cs="Times New Roman"/>
              </w:rPr>
              <w:br/>
              <w:t>9. satisfactory preoperative evaluation, including colposcopy and imaging showing no abnormalities.</w:t>
            </w:r>
          </w:p>
        </w:tc>
        <w:tc>
          <w:tcPr>
            <w:tcW w:w="1152" w:type="dxa"/>
            <w:vAlign w:val="center"/>
          </w:tcPr>
          <w:p w14:paraId="4CC5B0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076B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2BCAE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20B32E" w14:textId="77777777">
        <w:tc>
          <w:tcPr>
            <w:tcW w:w="2160" w:type="dxa"/>
            <w:vAlign w:val="center"/>
          </w:tcPr>
          <w:p w14:paraId="3B7595D8"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90249E0" w14:textId="77777777" w:rsidR="00922249" w:rsidRPr="00CB2EC4" w:rsidRDefault="003011D5">
            <w:pPr>
              <w:rPr>
                <w:rFonts w:ascii="Times New Roman" w:hAnsi="Times New Roman" w:cs="Times New Roman"/>
              </w:rPr>
            </w:pPr>
            <w:r w:rsidRPr="00CB2EC4">
              <w:rPr>
                <w:rFonts w:ascii="Times New Roman" w:hAnsi="Times New Roman" w:cs="Times New Roman"/>
              </w:rPr>
              <w:t>surgical options for fertility preservation</w:t>
            </w:r>
            <w:r w:rsidRPr="00CB2EC4">
              <w:rPr>
                <w:rFonts w:ascii="Times New Roman" w:hAnsi="Times New Roman" w:cs="Times New Roman"/>
              </w:rPr>
              <w:br/>
            </w:r>
            <w:r w:rsidRPr="00CB2EC4">
              <w:rPr>
                <w:rFonts w:ascii="Times New Roman" w:hAnsi="Times New Roman" w:cs="Times New Roman"/>
              </w:rPr>
              <w:br/>
              <w:t xml:space="preserve">Knowledge base document reference:  </w:t>
            </w:r>
            <w:r w:rsidRPr="00CB2EC4">
              <w:rPr>
                <w:rFonts w:ascii="Times New Roman" w:hAnsi="Times New Roman" w:cs="Times New Roman"/>
              </w:rPr>
              <w:br/>
              <w:t xml:space="preserve">- Indications: tumor diameter ≤2 cm (1 cm in this case), infiltration depth 4 mm (IA2 stage), negative margins, no lymphovascular space invasion (knowledge base document: "Radical Trachelectomy" section).  </w:t>
            </w:r>
            <w:r w:rsidRPr="00CB2EC4">
              <w:rPr>
                <w:rFonts w:ascii="Times New Roman" w:hAnsi="Times New Roman" w:cs="Times New Roman"/>
              </w:rPr>
              <w:br/>
              <w:t xml:space="preserve">- Preferred procedure: radical trachelectomy + pelvic lymphadenectomy (abdominal or laparoscopic approach).  </w:t>
            </w:r>
            <w:r w:rsidRPr="00CB2EC4">
              <w:rPr>
                <w:rFonts w:ascii="Times New Roman" w:hAnsi="Times New Roman" w:cs="Times New Roman"/>
              </w:rPr>
              <w:br/>
            </w:r>
            <w:r w:rsidRPr="00CB2EC4">
              <w:rPr>
                <w:rFonts w:ascii="Times New Roman" w:hAnsi="Times New Roman" w:cs="Times New Roman"/>
              </w:rPr>
              <w:br/>
              <w:t xml:space="preserve">Key prerequisite conditions:  </w:t>
            </w:r>
            <w:r w:rsidRPr="00CB2EC4">
              <w:rPr>
                <w:rFonts w:ascii="Times New Roman" w:hAnsi="Times New Roman" w:cs="Times New Roman"/>
              </w:rPr>
              <w:br/>
              <w:t xml:space="preserve">1. Lymph node negative: laparoscopic exploration and frozen pathology have confirmed no metastasis (must be satisfied).  </w:t>
            </w:r>
            <w:r w:rsidRPr="00CB2EC4">
              <w:rPr>
                <w:rFonts w:ascii="Times New Roman" w:hAnsi="Times New Roman" w:cs="Times New Roman"/>
              </w:rPr>
              <w:br/>
              <w:t xml:space="preserve">2. Tumor confined to cervix: MRI confirms no involvement of the internal os (web search: "Preoperative Assessment for Fertility Preservation" section).  </w:t>
            </w:r>
            <w:r w:rsidRPr="00CB2EC4">
              <w:rPr>
                <w:rFonts w:ascii="Times New Roman" w:hAnsi="Times New Roman" w:cs="Times New Roman"/>
              </w:rPr>
              <w:br/>
              <w:t xml:space="preserve">3. Strong desire for fertility: close follow-up required postoperatively (cytology + colposcopy).  </w:t>
            </w:r>
            <w:r w:rsidRPr="00CB2EC4">
              <w:rPr>
                <w:rFonts w:ascii="Times New Roman" w:hAnsi="Times New Roman" w:cs="Times New Roman"/>
              </w:rPr>
              <w:br/>
            </w:r>
            <w:r w:rsidRPr="00CB2EC4">
              <w:rPr>
                <w:rFonts w:ascii="Times New Roman" w:hAnsi="Times New Roman" w:cs="Times New Roman"/>
              </w:rPr>
              <w:br/>
              <w:t xml:space="preserve">Web search supplement:  </w:t>
            </w:r>
            <w:r w:rsidRPr="00CB2EC4">
              <w:rPr>
                <w:rFonts w:ascii="Times New Roman" w:hAnsi="Times New Roman" w:cs="Times New Roman"/>
              </w:rPr>
              <w:br/>
              <w:t>- Patients meeting ConCerv criteria (tumor ≤2 cm, no LVSI, no lymph node metastasis) are eligible for this procedure, with relatively high successful pregnancy rates (web search: "7.1.4 Fertility-Sparing Management" section).</w:t>
            </w:r>
          </w:p>
        </w:tc>
        <w:tc>
          <w:tcPr>
            <w:tcW w:w="1152" w:type="dxa"/>
            <w:vAlign w:val="center"/>
          </w:tcPr>
          <w:p w14:paraId="57D8D8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E3C9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B328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F649F9" w14:textId="77777777">
        <w:tc>
          <w:tcPr>
            <w:tcW w:w="2160" w:type="dxa"/>
            <w:vAlign w:val="center"/>
          </w:tcPr>
          <w:p w14:paraId="0E86D06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64F6512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Most suitable surgical approach:  </w:t>
            </w:r>
            <w:r w:rsidRPr="00CB2EC4">
              <w:rPr>
                <w:rFonts w:ascii="Times New Roman" w:hAnsi="Times New Roman" w:cs="Times New Roman"/>
              </w:rPr>
              <w:br/>
              <w:t xml:space="preserve">  Radical trachelectomy with pelvic lymphadenectomy.  </w:t>
            </w:r>
            <w:r w:rsidRPr="00CB2EC4">
              <w:rPr>
                <w:rFonts w:ascii="Times New Roman" w:hAnsi="Times New Roman" w:cs="Times New Roman"/>
              </w:rPr>
              <w:br/>
            </w:r>
            <w:r w:rsidRPr="00CB2EC4">
              <w:rPr>
                <w:rFonts w:ascii="Times New Roman" w:hAnsi="Times New Roman" w:cs="Times New Roman"/>
              </w:rPr>
              <w:br/>
              <w:t xml:space="preserve">- Key prerequisites:  </w:t>
            </w:r>
            <w:r w:rsidRPr="00CB2EC4">
              <w:rPr>
                <w:rFonts w:ascii="Times New Roman" w:hAnsi="Times New Roman" w:cs="Times New Roman"/>
              </w:rPr>
              <w:br/>
              <w:t xml:space="preserve">  - Tumor characteristics: Tumor confined to the cervix without invasion of the internal os (imaging assessment must confirm "lesion does not invade the internal cervical os").  </w:t>
            </w:r>
            <w:r w:rsidRPr="00CB2EC4">
              <w:rPr>
                <w:rFonts w:ascii="Times New Roman" w:hAnsi="Times New Roman" w:cs="Times New Roman"/>
              </w:rPr>
              <w:br/>
              <w:t xml:space="preserve">  - Lymph node status: No pelvic lymph node metastasis (confirmed by laparoscopic frozen section pathology).  </w:t>
            </w:r>
            <w:r w:rsidRPr="00CB2EC4">
              <w:rPr>
                <w:rFonts w:ascii="Times New Roman" w:hAnsi="Times New Roman" w:cs="Times New Roman"/>
              </w:rPr>
              <w:br/>
              <w:t xml:space="preserve">  - Margin status: Cone biopsy margins negative and at least 10 mm from the lesion.  </w:t>
            </w:r>
            <w:r w:rsidRPr="00CB2EC4">
              <w:rPr>
                <w:rFonts w:ascii="Times New Roman" w:hAnsi="Times New Roman" w:cs="Times New Roman"/>
              </w:rPr>
              <w:br/>
              <w:t xml:space="preserve">  - Fertility assessment: Patient age ≤45 years with strong desire for fertility preservation.  </w:t>
            </w:r>
            <w:r w:rsidRPr="00CB2EC4">
              <w:rPr>
                <w:rFonts w:ascii="Times New Roman" w:hAnsi="Times New Roman" w:cs="Times New Roman"/>
              </w:rPr>
              <w:br/>
              <w:t xml:space="preserve">  - Histological type: Cervical squamous cell carcinoma (excludes neuroendocrine carcinoma). All conditions are met in this case.</w:t>
            </w:r>
          </w:p>
        </w:tc>
        <w:tc>
          <w:tcPr>
            <w:tcW w:w="1152" w:type="dxa"/>
            <w:vAlign w:val="center"/>
          </w:tcPr>
          <w:p w14:paraId="5893BB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95AC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114E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8722F2" w14:textId="77777777">
        <w:tc>
          <w:tcPr>
            <w:tcW w:w="2160" w:type="dxa"/>
            <w:vAlign w:val="center"/>
          </w:tcPr>
          <w:p w14:paraId="4C80B96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155D6D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the contextual information:  </w:t>
            </w:r>
            <w:r w:rsidRPr="00CB2EC4">
              <w:rPr>
                <w:rFonts w:ascii="Times New Roman" w:hAnsi="Times New Roman" w:cs="Times New Roman"/>
              </w:rPr>
              <w:br/>
              <w:t xml:space="preserve">- Patient condition: Tumor diameter 1cm (&lt;2cm), stromal invasion depth 4mm (FIGO IA2 stage, as &gt;3mm and ≤5mm), negative margins (10mm from the lesion), no lymphovascular invasion, no lymph node metastasis, with a strong desire to preserve fertility.  </w:t>
            </w:r>
            <w:r w:rsidRPr="00CB2EC4">
              <w:rPr>
                <w:rFonts w:ascii="Times New Roman" w:hAnsi="Times New Roman" w:cs="Times New Roman"/>
              </w:rPr>
              <w:br/>
              <w:t xml:space="preserve">- Document 25 explicitly states: For IA2 stage patients requiring fertility preservation, radical trachelectomy plus pelvic lymphadenectomy is recommended (Document 25: "For IA2 stage, radical trachelectomy + pelvic lymphadenectomy (sentinel lymph node biopsy) is recommended").  </w:t>
            </w:r>
            <w:r w:rsidRPr="00CB2EC4">
              <w:rPr>
                <w:rFonts w:ascii="Times New Roman" w:hAnsi="Times New Roman" w:cs="Times New Roman"/>
              </w:rPr>
              <w:br/>
              <w:t xml:space="preserve">- Documents 16 and 22 further support: Radical trachelectomy is suitable for early-stage cervical </w:t>
            </w:r>
            <w:r w:rsidRPr="00CB2EC4">
              <w:rPr>
                <w:rFonts w:ascii="Times New Roman" w:hAnsi="Times New Roman" w:cs="Times New Roman"/>
              </w:rPr>
              <w:lastRenderedPageBreak/>
              <w:t xml:space="preserve">cancer patients with tumor diameter &lt;2cm, no lymphovascular invasion, and no lymph node metastasis (Document 16: "Tumor diameter &lt;2cm; no lymphovascular invasion; no lymph node metastasis").  </w:t>
            </w:r>
            <w:r w:rsidRPr="00CB2EC4">
              <w:rPr>
                <w:rFonts w:ascii="Times New Roman" w:hAnsi="Times New Roman" w:cs="Times New Roman"/>
              </w:rPr>
              <w:br/>
            </w:r>
            <w:r w:rsidRPr="00CB2EC4">
              <w:rPr>
                <w:rFonts w:ascii="Times New Roman" w:hAnsi="Times New Roman" w:cs="Times New Roman"/>
              </w:rPr>
              <w:br/>
              <w:t xml:space="preserve">The most suitable surgical approach: Radical trachelectomy (e.g., via vaginal or laparoscopic route) plus pelvic lymphadenectomy. This procedure removes the cervix and parametrial tissues while preserving the uterine corpus and adnexa to achieve fertility preservation.  </w:t>
            </w:r>
            <w:r w:rsidRPr="00CB2EC4">
              <w:rPr>
                <w:rFonts w:ascii="Times New Roman" w:hAnsi="Times New Roman" w:cs="Times New Roman"/>
              </w:rPr>
              <w:br/>
            </w:r>
            <w:r w:rsidRPr="00CB2EC4">
              <w:rPr>
                <w:rFonts w:ascii="Times New Roman" w:hAnsi="Times New Roman" w:cs="Times New Roman"/>
              </w:rPr>
              <w:br/>
              <w:t xml:space="preserve">Key prerequisites for this surgery (based on Documents 16 and 22):  </w:t>
            </w:r>
            <w:r w:rsidRPr="00CB2EC4">
              <w:rPr>
                <w:rFonts w:ascii="Times New Roman" w:hAnsi="Times New Roman" w:cs="Times New Roman"/>
              </w:rPr>
              <w:br/>
              <w:t xml:space="preserve">1. Tumor characteristics: Tumor diameter ≤2cm; stromal invasion depth ≤5mm (IA2 stage); no lymphovascular invasion (LVSI-); negative margins (sufficient distance from the lesion, 10mm in this case meets the criteria).  </w:t>
            </w:r>
            <w:r w:rsidRPr="00CB2EC4">
              <w:rPr>
                <w:rFonts w:ascii="Times New Roman" w:hAnsi="Times New Roman" w:cs="Times New Roman"/>
              </w:rPr>
              <w:br/>
              <w:t xml:space="preserve">2. Lymph node status: No pelvic lymph node metastasis (confirmed by frozen section pathology).  </w:t>
            </w:r>
            <w:r w:rsidRPr="00CB2EC4">
              <w:rPr>
                <w:rFonts w:ascii="Times New Roman" w:hAnsi="Times New Roman" w:cs="Times New Roman"/>
              </w:rPr>
              <w:br/>
              <w:t xml:space="preserve">3. Fertility requirements: Patient age &lt;40 years (30 years in this case meets the criteria), strong desire to preserve fertility, no evidence of infertility.  </w:t>
            </w:r>
            <w:r w:rsidRPr="00CB2EC4">
              <w:rPr>
                <w:rFonts w:ascii="Times New Roman" w:hAnsi="Times New Roman" w:cs="Times New Roman"/>
              </w:rPr>
              <w:br/>
              <w:t xml:space="preserve">4. No other contraindications: No endocervical canal invasion (requires preoperative assessment); imaging studies (e.g., MRI) show no evidence of distant metastasis.  </w:t>
            </w:r>
            <w:r w:rsidRPr="00CB2EC4">
              <w:rPr>
                <w:rFonts w:ascii="Times New Roman" w:hAnsi="Times New Roman" w:cs="Times New Roman"/>
              </w:rPr>
              <w:br/>
              <w:t xml:space="preserve">5. Informed consent: Full explanation of surgical risks and prognosis, signed consent form (Document 16).  </w:t>
            </w:r>
            <w:r w:rsidRPr="00CB2EC4">
              <w:rPr>
                <w:rFonts w:ascii="Times New Roman" w:hAnsi="Times New Roman" w:cs="Times New Roman"/>
              </w:rPr>
              <w:br/>
            </w:r>
            <w:r w:rsidRPr="00CB2EC4">
              <w:rPr>
                <w:rFonts w:ascii="Times New Roman" w:hAnsi="Times New Roman" w:cs="Times New Roman"/>
              </w:rPr>
              <w:br/>
              <w:t>All conditions are met for this patient, making radical trachelectomy the most appropriate choice.</w:t>
            </w:r>
          </w:p>
        </w:tc>
        <w:tc>
          <w:tcPr>
            <w:tcW w:w="1152" w:type="dxa"/>
            <w:vAlign w:val="center"/>
          </w:tcPr>
          <w:p w14:paraId="551F22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68653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3C9E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300868" w14:textId="77777777">
        <w:tc>
          <w:tcPr>
            <w:tcW w:w="2160" w:type="dxa"/>
            <w:vAlign w:val="center"/>
          </w:tcPr>
          <w:p w14:paraId="255484C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677224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most suitable surgical approach for her is:  </w:t>
            </w:r>
            <w:r w:rsidRPr="00CB2EC4">
              <w:rPr>
                <w:rFonts w:ascii="Times New Roman" w:hAnsi="Times New Roman" w:cs="Times New Roman"/>
              </w:rPr>
              <w:br/>
            </w:r>
            <w:r w:rsidRPr="00CB2EC4">
              <w:rPr>
                <w:rFonts w:ascii="Times New Roman" w:hAnsi="Times New Roman" w:cs="Times New Roman"/>
              </w:rPr>
              <w:lastRenderedPageBreak/>
              <w:t xml:space="preserve">  radical trachelectomy with pelvic lymphadenectomy. Basis:  </w:t>
            </w:r>
            <w:r w:rsidRPr="00CB2EC4">
              <w:rPr>
                <w:rFonts w:ascii="Times New Roman" w:hAnsi="Times New Roman" w:cs="Times New Roman"/>
              </w:rPr>
              <w:br/>
              <w:t xml:space="preserve">  - The patient has a tumor diameter of 1 cm (&lt;2 cm), stromal invasion depth of 4 mm (&gt;3 mm but &lt;5 mm, classified as IA2 stage), negative surgical margins with a distance of 10 mm from the lesion, no lymphovascular space invasion, no lymph node metastasis, is 30 years old with a strong desire for fertility preservation, meeting the indications for radical trachelectomy.  </w:t>
            </w:r>
            <w:r w:rsidRPr="00CB2EC4">
              <w:rPr>
                <w:rFonts w:ascii="Times New Roman" w:hAnsi="Times New Roman" w:cs="Times New Roman"/>
              </w:rPr>
              <w:br/>
              <w:t xml:space="preserve">  - [HyDE similarity: 0.674]: "4.1.1.2 ⅠA2 stage ... For those wishing to preserve fertility, options include: ... (2) Radical trachelectomy with pelvic lymphadenectomy via abdominal, vaginal, or laparoscopic approach."  </w:t>
            </w:r>
            <w:r w:rsidRPr="00CB2EC4">
              <w:rPr>
                <w:rFonts w:ascii="Times New Roman" w:hAnsi="Times New Roman" w:cs="Times New Roman"/>
              </w:rPr>
              <w:br/>
              <w:t xml:space="preserve">  - [HyDE similarity: 0.541]: "Indications for radical trachelectomy: ... Generally considered suitable for IA2 to IB1 stage, tumor diameter &lt;2 cm; no lymphovascular space invasion."  </w:t>
            </w:r>
            <w:r w:rsidRPr="00CB2EC4">
              <w:rPr>
                <w:rFonts w:ascii="Times New Roman" w:hAnsi="Times New Roman" w:cs="Times New Roman"/>
              </w:rPr>
              <w:br/>
              <w:t xml:space="preserve">  - Surgical approach: Can be performed abdominally or laparoscopically (see [HyDE similarity: 0.605]), involving removal of the cervix and part of the upper vagina while preserving the uterine corpus.</w:t>
            </w:r>
            <w:r w:rsidRPr="00CB2EC4">
              <w:rPr>
                <w:rFonts w:ascii="Times New Roman" w:hAnsi="Times New Roman" w:cs="Times New Roman"/>
              </w:rPr>
              <w:br/>
            </w:r>
            <w:r w:rsidRPr="00CB2EC4">
              <w:rPr>
                <w:rFonts w:ascii="Times New Roman" w:hAnsi="Times New Roman" w:cs="Times New Roman"/>
              </w:rPr>
              <w:br/>
              <w:t xml:space="preserve">- Key prerequisite conditions:  </w:t>
            </w:r>
            <w:r w:rsidRPr="00CB2EC4">
              <w:rPr>
                <w:rFonts w:ascii="Times New Roman" w:hAnsi="Times New Roman" w:cs="Times New Roman"/>
              </w:rPr>
              <w:br/>
              <w:t xml:space="preserve">  According to the document, the surgery requires all of the following conditions to be met:  </w:t>
            </w:r>
            <w:r w:rsidRPr="00CB2EC4">
              <w:rPr>
                <w:rFonts w:ascii="Times New Roman" w:hAnsi="Times New Roman" w:cs="Times New Roman"/>
              </w:rPr>
              <w:br/>
              <w:t xml:space="preserve">  1. Desire to preserve fertility: The patient has a strong wish (see [HyDE similarity: 0.541]).  </w:t>
            </w:r>
            <w:r w:rsidRPr="00CB2EC4">
              <w:rPr>
                <w:rFonts w:ascii="Times New Roman" w:hAnsi="Times New Roman" w:cs="Times New Roman"/>
              </w:rPr>
              <w:br/>
              <w:t xml:space="preserve">  2. No clinical evidence of infertility: The patient must have no confirmed fertility dysfunction (see [HyDE similarity: 0.541]).  </w:t>
            </w:r>
            <w:r w:rsidRPr="00CB2EC4">
              <w:rPr>
                <w:rFonts w:ascii="Times New Roman" w:hAnsi="Times New Roman" w:cs="Times New Roman"/>
              </w:rPr>
              <w:br/>
              <w:t xml:space="preserve">  3. Age limit: Age &lt;40 years (patient is 30 years old, compliant, see [HyDE similarity: 0.541]).  </w:t>
            </w:r>
            <w:r w:rsidRPr="00CB2EC4">
              <w:rPr>
                <w:rFonts w:ascii="Times New Roman" w:hAnsi="Times New Roman" w:cs="Times New Roman"/>
              </w:rPr>
              <w:br/>
            </w:r>
            <w:r w:rsidRPr="00CB2EC4">
              <w:rPr>
                <w:rFonts w:ascii="Times New Roman" w:hAnsi="Times New Roman" w:cs="Times New Roman"/>
              </w:rPr>
              <w:lastRenderedPageBreak/>
              <w:t xml:space="preserve">  4. Tumor characteristics:  </w:t>
            </w:r>
            <w:r w:rsidRPr="00CB2EC4">
              <w:rPr>
                <w:rFonts w:ascii="Times New Roman" w:hAnsi="Times New Roman" w:cs="Times New Roman"/>
              </w:rPr>
              <w:br/>
              <w:t xml:space="preserve">     - Tumor diameter ≤2 cm (patient’s 1 cm is compliant).  </w:t>
            </w:r>
            <w:r w:rsidRPr="00CB2EC4">
              <w:rPr>
                <w:rFonts w:ascii="Times New Roman" w:hAnsi="Times New Roman" w:cs="Times New Roman"/>
              </w:rPr>
              <w:br/>
              <w:t xml:space="preserve">     - No lymphovascular space invasion (patient has none).  </w:t>
            </w:r>
            <w:r w:rsidRPr="00CB2EC4">
              <w:rPr>
                <w:rFonts w:ascii="Times New Roman" w:hAnsi="Times New Roman" w:cs="Times New Roman"/>
              </w:rPr>
              <w:br/>
              <w:t xml:space="preserve">     - No endocervical glandular involvement (requires preoperative assessment confirmation).  </w:t>
            </w:r>
            <w:r w:rsidRPr="00CB2EC4">
              <w:rPr>
                <w:rFonts w:ascii="Times New Roman" w:hAnsi="Times New Roman" w:cs="Times New Roman"/>
              </w:rPr>
              <w:br/>
              <w:t xml:space="preserve">  5. Lymph node status: No evidence of lymph node metastasis on imaging or intraoperative pathology (patient’s laparoscopic exploration and frozen section pathology show no metastasis).  </w:t>
            </w:r>
            <w:r w:rsidRPr="00CB2EC4">
              <w:rPr>
                <w:rFonts w:ascii="Times New Roman" w:hAnsi="Times New Roman" w:cs="Times New Roman"/>
              </w:rPr>
              <w:br/>
              <w:t xml:space="preserve">  6. Negative surgical margins: Conization margins are negative (patient’s margins are negative and 10 mm from the lesion, compliant, see [HyDE similarity: 0.541]).  </w:t>
            </w:r>
            <w:r w:rsidRPr="00CB2EC4">
              <w:rPr>
                <w:rFonts w:ascii="Times New Roman" w:hAnsi="Times New Roman" w:cs="Times New Roman"/>
              </w:rPr>
              <w:br/>
              <w:t xml:space="preserve">  7. Preoperative evaluation: CT/MRI must confirm the tumor is confined to the cervix with no distant metastasis (see [HyDE similarity: 0.541]).  </w:t>
            </w:r>
            <w:r w:rsidRPr="00CB2EC4">
              <w:rPr>
                <w:rFonts w:ascii="Times New Roman" w:hAnsi="Times New Roman" w:cs="Times New Roman"/>
              </w:rPr>
              <w:br/>
              <w:t xml:space="preserve">  - Summary: These conditions ensure the surgery preserves fertility without increasing recurrence risk.</w:t>
            </w:r>
          </w:p>
        </w:tc>
        <w:tc>
          <w:tcPr>
            <w:tcW w:w="1152" w:type="dxa"/>
            <w:vAlign w:val="center"/>
          </w:tcPr>
          <w:p w14:paraId="136B09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53DD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6B1C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E22A74" w14:textId="77777777">
        <w:tc>
          <w:tcPr>
            <w:tcW w:w="2160" w:type="dxa"/>
            <w:vAlign w:val="center"/>
          </w:tcPr>
          <w:p w14:paraId="1DBF24F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48FA17D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most suitable surgical approach for her is radical trachelectomy with pelvic lymphadenectomy (e.g., via abdominal or vaginal route).  </w:t>
            </w:r>
            <w:r w:rsidRPr="00CB2EC4">
              <w:rPr>
                <w:rFonts w:ascii="Times New Roman" w:hAnsi="Times New Roman" w:cs="Times New Roman"/>
              </w:rPr>
              <w:br/>
              <w:t xml:space="preserve">the key prerequisite conditions for this surgery are:  </w:t>
            </w:r>
            <w:r w:rsidRPr="00CB2EC4">
              <w:rPr>
                <w:rFonts w:ascii="Times New Roman" w:hAnsi="Times New Roman" w:cs="Times New Roman"/>
              </w:rPr>
              <w:br/>
              <w:t xml:space="preserve">- the tumor is confined to the cervix and does not involve the internal os.  </w:t>
            </w:r>
            <w:r w:rsidRPr="00CB2EC4">
              <w:rPr>
                <w:rFonts w:ascii="Times New Roman" w:hAnsi="Times New Roman" w:cs="Times New Roman"/>
              </w:rPr>
              <w:br/>
              <w:t xml:space="preserve">- no pelvic lymph node metastasis (confirmed by laparoscopic exploration and frozen section pathology).  </w:t>
            </w:r>
            <w:r w:rsidRPr="00CB2EC4">
              <w:rPr>
                <w:rFonts w:ascii="Times New Roman" w:hAnsi="Times New Roman" w:cs="Times New Roman"/>
              </w:rPr>
              <w:br/>
              <w:t xml:space="preserve">- no distant metastasis.  </w:t>
            </w:r>
            <w:r w:rsidRPr="00CB2EC4">
              <w:rPr>
                <w:rFonts w:ascii="Times New Roman" w:hAnsi="Times New Roman" w:cs="Times New Roman"/>
              </w:rPr>
              <w:br/>
              <w:t xml:space="preserve">- negative cone biopsy margins (with a distance of 10 mm from the lesion).  </w:t>
            </w:r>
            <w:r w:rsidRPr="00CB2EC4">
              <w:rPr>
                <w:rFonts w:ascii="Times New Roman" w:hAnsi="Times New Roman" w:cs="Times New Roman"/>
              </w:rPr>
              <w:br/>
              <w:t xml:space="preserve">- patient age ≤45 years with a strong desire for fertility preservation.  </w:t>
            </w:r>
            <w:r w:rsidRPr="00CB2EC4">
              <w:rPr>
                <w:rFonts w:ascii="Times New Roman" w:hAnsi="Times New Roman" w:cs="Times New Roman"/>
              </w:rPr>
              <w:br/>
            </w:r>
            <w:r w:rsidRPr="00CB2EC4">
              <w:rPr>
                <w:rFonts w:ascii="Times New Roman" w:hAnsi="Times New Roman" w:cs="Times New Roman"/>
              </w:rPr>
              <w:lastRenderedPageBreak/>
              <w:t>- no lymphovascular space invasion (LVSI negative).</w:t>
            </w:r>
          </w:p>
        </w:tc>
        <w:tc>
          <w:tcPr>
            <w:tcW w:w="1152" w:type="dxa"/>
            <w:vAlign w:val="center"/>
          </w:tcPr>
          <w:p w14:paraId="3D721D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DE760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731B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A95F9B" w14:textId="77777777">
        <w:tc>
          <w:tcPr>
            <w:tcW w:w="2160" w:type="dxa"/>
            <w:vAlign w:val="center"/>
          </w:tcPr>
          <w:p w14:paraId="41835E5C"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7C7CE6E" w14:textId="77777777" w:rsidR="00922249" w:rsidRPr="00CB2EC4" w:rsidRDefault="003011D5">
            <w:pPr>
              <w:rPr>
                <w:rFonts w:ascii="Times New Roman" w:hAnsi="Times New Roman" w:cs="Times New Roman"/>
              </w:rPr>
            </w:pPr>
            <w:r w:rsidRPr="00CB2EC4">
              <w:rPr>
                <w:rFonts w:ascii="Times New Roman" w:hAnsi="Times New Roman" w:cs="Times New Roman"/>
              </w:rPr>
              <w:t>the most suitable surgical approach for her is radical trachelectomy with pelvic lymphadenectomy.</w:t>
            </w:r>
            <w:r w:rsidRPr="00CB2EC4">
              <w:rPr>
                <w:rFonts w:ascii="Times New Roman" w:hAnsi="Times New Roman" w:cs="Times New Roman"/>
              </w:rPr>
              <w:br/>
            </w:r>
            <w:r w:rsidRPr="00CB2EC4">
              <w:rPr>
                <w:rFonts w:ascii="Times New Roman" w:hAnsi="Times New Roman" w:cs="Times New Roman"/>
              </w:rPr>
              <w:br/>
              <w:t>the key prerequisite conditions for this surgery are:</w:t>
            </w:r>
            <w:r w:rsidRPr="00CB2EC4">
              <w:rPr>
                <w:rFonts w:ascii="Times New Roman" w:hAnsi="Times New Roman" w:cs="Times New Roman"/>
              </w:rPr>
              <w:br/>
              <w:t>- tumor diameter ≤ 2 cm (1 cm in this case, which meets the criterion)</w:t>
            </w:r>
            <w:r w:rsidRPr="00CB2EC4">
              <w:rPr>
                <w:rFonts w:ascii="Times New Roman" w:hAnsi="Times New Roman" w:cs="Times New Roman"/>
              </w:rPr>
              <w:br/>
              <w:t>- stromal invasion depth ≤ 5 mm (4 mm in this case, consistent with IA2 stage)</w:t>
            </w:r>
            <w:r w:rsidRPr="00CB2EC4">
              <w:rPr>
                <w:rFonts w:ascii="Times New Roman" w:hAnsi="Times New Roman" w:cs="Times New Roman"/>
              </w:rPr>
              <w:br/>
              <w:t>- no lymphovascular space invasion (confirmed in this case)</w:t>
            </w:r>
            <w:r w:rsidRPr="00CB2EC4">
              <w:rPr>
                <w:rFonts w:ascii="Times New Roman" w:hAnsi="Times New Roman" w:cs="Times New Roman"/>
              </w:rPr>
              <w:br/>
              <w:t>- negative surgical margins with distance from lesion ≥ 5 mm (10 mm in this case, meets criterion)</w:t>
            </w:r>
            <w:r w:rsidRPr="00CB2EC4">
              <w:rPr>
                <w:rFonts w:ascii="Times New Roman" w:hAnsi="Times New Roman" w:cs="Times New Roman"/>
              </w:rPr>
              <w:br/>
              <w:t>- no involvement of the endocervical canal</w:t>
            </w:r>
            <w:r w:rsidRPr="00CB2EC4">
              <w:rPr>
                <w:rFonts w:ascii="Times New Roman" w:hAnsi="Times New Roman" w:cs="Times New Roman"/>
              </w:rPr>
              <w:br/>
              <w:t>- lymph node status: no pelvic lymph node metastasis (confirmed by laparoscopic exploration and intraoperative frozen section pathology)</w:t>
            </w:r>
            <w:r w:rsidRPr="00CB2EC4">
              <w:rPr>
                <w:rFonts w:ascii="Times New Roman" w:hAnsi="Times New Roman" w:cs="Times New Roman"/>
              </w:rPr>
              <w:br/>
              <w:t>- patient factors: young age (&lt;40 years, 30 years in this case), strong desire for fertility preservation, and no clinical evidence of infertility</w:t>
            </w:r>
            <w:r w:rsidRPr="00CB2EC4">
              <w:rPr>
                <w:rFonts w:ascii="Times New Roman" w:hAnsi="Times New Roman" w:cs="Times New Roman"/>
              </w:rPr>
              <w:br/>
              <w:t>- absence of distant metastasis confirmed by preoperative imaging (e.g., MRI or PET/CT, though not detailed here, required per guidelines)</w:t>
            </w:r>
          </w:p>
        </w:tc>
        <w:tc>
          <w:tcPr>
            <w:tcW w:w="1152" w:type="dxa"/>
            <w:vAlign w:val="center"/>
          </w:tcPr>
          <w:p w14:paraId="774738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3F93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1B20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0003DD" w14:textId="77777777">
        <w:tc>
          <w:tcPr>
            <w:tcW w:w="2160" w:type="dxa"/>
            <w:vAlign w:val="center"/>
          </w:tcPr>
          <w:p w14:paraId="57C56F5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C4E032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 30-year-old patient with a strong desire to preserve fertility. The pathological examination of cervical conization confirmed cervical squamous cell carcinoma, with a tumor diameter of 1cm (note: the original text stated "1m", which is a typographical error; corrected to 1cm), stromal invasion depth of 4mm, width of 6mm, negative margins with a distance of 10mm from the lesion, and no vascular or lymphatic invasion. Laparoscopic exploration and frozen section pathology of pelvic lymph nodes </w:t>
            </w:r>
            <w:r w:rsidRPr="00CB2EC4">
              <w:rPr>
                <w:rFonts w:ascii="Times New Roman" w:hAnsi="Times New Roman" w:cs="Times New Roman"/>
              </w:rPr>
              <w:lastRenderedPageBreak/>
              <w:t>showed no metastasis. Based on the information in this text, what is the most suitable surgical approach for her? What are the key prerequisite conditions for this surgery?</w:t>
            </w:r>
            <w:r w:rsidRPr="00CB2EC4">
              <w:rPr>
                <w:rFonts w:ascii="Times New Roman" w:hAnsi="Times New Roman" w:cs="Times New Roman"/>
              </w:rPr>
              <w:br/>
            </w:r>
            <w:r w:rsidRPr="00CB2EC4">
              <w:rPr>
                <w:rFonts w:ascii="Times New Roman" w:hAnsi="Times New Roman" w:cs="Times New Roman"/>
              </w:rPr>
              <w:br/>
              <w:t>according to the contextual information:</w:t>
            </w:r>
            <w:r w:rsidRPr="00CB2EC4">
              <w:rPr>
                <w:rFonts w:ascii="Times New Roman" w:hAnsi="Times New Roman" w:cs="Times New Roman"/>
              </w:rPr>
              <w:br/>
              <w:t>- stromal invasion depth of 4mm (&gt;3mm and &lt;5mm), width of 6mm (&lt;7mm), classified as FIGO stage IA2 (see document excerpt 13 or 20).</w:t>
            </w:r>
            <w:r w:rsidRPr="00CB2EC4">
              <w:rPr>
                <w:rFonts w:ascii="Times New Roman" w:hAnsi="Times New Roman" w:cs="Times New Roman"/>
              </w:rPr>
              <w:br/>
              <w:t>- the most suitable surgical approach: radical trachelectomy with pelvic lymphadenectomy (or sentinel lymph node biopsy). Document excerpt 5 clearly states: "for IA2 stage patients desiring fertility preservation: radical trachelectomy + pelvic lymph node dissection". Document excerpt 14 also mentions: "the goal of radical trachelectomy is to preserve a functional uterus and ovaries". Document excerpt 25 further supports: "IA2 stage with fertility preservation... Level I recommendation: radical trachelectomy + pelvic lymph node dissection".</w:t>
            </w:r>
            <w:r w:rsidRPr="00CB2EC4">
              <w:rPr>
                <w:rFonts w:ascii="Times New Roman" w:hAnsi="Times New Roman" w:cs="Times New Roman"/>
              </w:rPr>
              <w:br/>
            </w:r>
            <w:r w:rsidRPr="00CB2EC4">
              <w:rPr>
                <w:rFonts w:ascii="Times New Roman" w:hAnsi="Times New Roman" w:cs="Times New Roman"/>
              </w:rPr>
              <w:br/>
              <w:t>the key prerequisite conditions for this surgery:</w:t>
            </w:r>
            <w:r w:rsidRPr="00CB2EC4">
              <w:rPr>
                <w:rFonts w:ascii="Times New Roman" w:hAnsi="Times New Roman" w:cs="Times New Roman"/>
              </w:rPr>
              <w:br/>
              <w:t>1. localized disease: tumor confined to the cervix, no parametrial invasion or distant metastasis (this case shows no metastasis on laparoscopic exploration, meeting the criterion).</w:t>
            </w:r>
            <w:r w:rsidRPr="00CB2EC4">
              <w:rPr>
                <w:rFonts w:ascii="Times New Roman" w:hAnsi="Times New Roman" w:cs="Times New Roman"/>
              </w:rPr>
              <w:br/>
              <w:t>2. margin requirement: conization margins negative with sufficient distance (this case has 10mm from the lesion &gt; the minimum requirement of 5~8mm, as stated in document excerpt 25: "at least 5~8mm of negative cervical margin").</w:t>
            </w:r>
            <w:r w:rsidRPr="00CB2EC4">
              <w:rPr>
                <w:rFonts w:ascii="Times New Roman" w:hAnsi="Times New Roman" w:cs="Times New Roman"/>
              </w:rPr>
              <w:br/>
              <w:t>3. absence of high-risk factors: no vascular or lymphatic invasion (met in this case) and no confluent growth pattern (met in this case).</w:t>
            </w:r>
            <w:r w:rsidRPr="00CB2EC4">
              <w:rPr>
                <w:rFonts w:ascii="Times New Roman" w:hAnsi="Times New Roman" w:cs="Times New Roman"/>
              </w:rPr>
              <w:br/>
            </w:r>
            <w:r w:rsidRPr="00CB2EC4">
              <w:rPr>
                <w:rFonts w:ascii="Times New Roman" w:hAnsi="Times New Roman" w:cs="Times New Roman"/>
              </w:rPr>
              <w:lastRenderedPageBreak/>
              <w:t>4. no lymph node metastasis: frozen section pathology of pelvic lymph nodes negative (met in this case).</w:t>
            </w:r>
            <w:r w:rsidRPr="00CB2EC4">
              <w:rPr>
                <w:rFonts w:ascii="Times New Roman" w:hAnsi="Times New Roman" w:cs="Times New Roman"/>
              </w:rPr>
              <w:br/>
              <w:t>5. patient factors: young age (≤45 years), strong desire for fertility preservation (this 30-year-old patient meets the criterion), and normal ovarian function (as per fertility assessment requirements in document excerpt 25).</w:t>
            </w:r>
          </w:p>
        </w:tc>
        <w:tc>
          <w:tcPr>
            <w:tcW w:w="1152" w:type="dxa"/>
            <w:vAlign w:val="center"/>
          </w:tcPr>
          <w:p w14:paraId="67DBA3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02683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09645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7814C4" w14:textId="77777777">
        <w:tc>
          <w:tcPr>
            <w:tcW w:w="2160" w:type="dxa"/>
            <w:vAlign w:val="center"/>
          </w:tcPr>
          <w:p w14:paraId="4BA118F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7E469F80" w14:textId="77777777" w:rsidR="00922249" w:rsidRPr="00CB2EC4" w:rsidRDefault="003011D5">
            <w:pPr>
              <w:rPr>
                <w:rFonts w:ascii="Times New Roman" w:hAnsi="Times New Roman" w:cs="Times New Roman"/>
              </w:rPr>
            </w:pPr>
            <w:r w:rsidRPr="00CB2EC4">
              <w:rPr>
                <w:rFonts w:ascii="Times New Roman" w:hAnsi="Times New Roman" w:cs="Times New Roman"/>
              </w:rPr>
              <w:t>- Most suitable surgical approach: Radical trachelectomy with pelvic lymphadenectomy. The document explicitly states: for IA2 stage (stromal invasion depth 3–5 mm, here 4 mm) with fertility preservation desire, "radical trachelectomy plus pelvic lymphadenectomy" or similar procedures are recommended (similarity 0.582: "Patients desiring fertility preservation may opt for: radical trachelectomy plus pelvic lymphadenectomy"; similarity 0.527: "radical trachelectomy plus pelvic lymph node dissection").</w:t>
            </w:r>
            <w:r w:rsidRPr="00CB2EC4">
              <w:rPr>
                <w:rFonts w:ascii="Times New Roman" w:hAnsi="Times New Roman" w:cs="Times New Roman"/>
              </w:rPr>
              <w:br/>
              <w:t>- Key prerequisite conditions:</w:t>
            </w:r>
            <w:r w:rsidRPr="00CB2EC4">
              <w:rPr>
                <w:rFonts w:ascii="Times New Roman" w:hAnsi="Times New Roman" w:cs="Times New Roman"/>
              </w:rPr>
              <w:br/>
              <w:t xml:space="preserve">  - Tumor confinement: Tumor limited to the cervix, no parametrial or distant metastasis (similarity 0.492: "The tumor is confined to the cervix, with no invasion of the cervical os").</w:t>
            </w:r>
            <w:r w:rsidRPr="00CB2EC4">
              <w:rPr>
                <w:rFonts w:ascii="Times New Roman" w:hAnsi="Times New Roman" w:cs="Times New Roman"/>
              </w:rPr>
              <w:br/>
              <w:t xml:space="preserve">  - Negative margins: Cone biopsy margins negative (here, margins negative and 10 mm from lesion, meeting criteria; document emphasizes positive margins require hysterectomy, negative margins allow uterine preservation).</w:t>
            </w:r>
            <w:r w:rsidRPr="00CB2EC4">
              <w:rPr>
                <w:rFonts w:ascii="Times New Roman" w:hAnsi="Times New Roman" w:cs="Times New Roman"/>
              </w:rPr>
              <w:br/>
              <w:t xml:space="preserve">  - No lymphovascular space invasion: Absent in this case (LVSI−), consistent with low-risk features (similarity 0.582).</w:t>
            </w:r>
            <w:r w:rsidRPr="00CB2EC4">
              <w:rPr>
                <w:rFonts w:ascii="Times New Roman" w:hAnsi="Times New Roman" w:cs="Times New Roman"/>
              </w:rPr>
              <w:br/>
              <w:t xml:space="preserve">  - No lymph node metastasis: Pelvic lymph node frozen section shows no metastasis (document requires preoperative assessment of no lymph node </w:t>
            </w:r>
            <w:r w:rsidRPr="00CB2EC4">
              <w:rPr>
                <w:rFonts w:ascii="Times New Roman" w:hAnsi="Times New Roman" w:cs="Times New Roman"/>
              </w:rPr>
              <w:lastRenderedPageBreak/>
              <w:t>involvement; similarity 0.492: "no lymph node metastasis or distant metastasis").</w:t>
            </w:r>
            <w:r w:rsidRPr="00CB2EC4">
              <w:rPr>
                <w:rFonts w:ascii="Times New Roman" w:hAnsi="Times New Roman" w:cs="Times New Roman"/>
              </w:rPr>
              <w:br/>
              <w:t xml:space="preserve">  - Fertility intention: Patient has strong desire for fertility, age ≤45 years (here, 30 years old; similarity 0.492: "age ≤45 years, with a strong desire for fertility").</w:t>
            </w:r>
            <w:r w:rsidRPr="00CB2EC4">
              <w:rPr>
                <w:rFonts w:ascii="Times New Roman" w:hAnsi="Times New Roman" w:cs="Times New Roman"/>
              </w:rPr>
              <w:br/>
              <w:t>- Summary: This surgery removes the cervix and upper vaginal segment while preserving the uterine corpus, contingent on tumor confinement, negative margins, absence of high-risk features (e.g., lymphovascular invasion or lymph node metastasis).</w:t>
            </w:r>
          </w:p>
        </w:tc>
        <w:tc>
          <w:tcPr>
            <w:tcW w:w="1152" w:type="dxa"/>
            <w:vAlign w:val="center"/>
          </w:tcPr>
          <w:p w14:paraId="7661FC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1D65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D41D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C0EA11" w14:textId="77777777">
        <w:tc>
          <w:tcPr>
            <w:tcW w:w="2160" w:type="dxa"/>
            <w:vAlign w:val="center"/>
          </w:tcPr>
          <w:p w14:paraId="47C166B7"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18E4735" w14:textId="77777777" w:rsidR="00922249" w:rsidRPr="00CB2EC4" w:rsidRDefault="003011D5">
            <w:pPr>
              <w:rPr>
                <w:rFonts w:ascii="Times New Roman" w:hAnsi="Times New Roman" w:cs="Times New Roman"/>
              </w:rPr>
            </w:pPr>
            <w:r w:rsidRPr="00CB2EC4">
              <w:rPr>
                <w:rFonts w:ascii="Times New Roman" w:hAnsi="Times New Roman" w:cs="Times New Roman"/>
              </w:rPr>
              <w:t>surgical approaches for fertility preservation and their prerequisites</w:t>
            </w:r>
            <w:r w:rsidRPr="00CB2EC4">
              <w:rPr>
                <w:rFonts w:ascii="Times New Roman" w:hAnsi="Times New Roman" w:cs="Times New Roman"/>
              </w:rPr>
              <w:br/>
            </w:r>
            <w:r w:rsidRPr="00CB2EC4">
              <w:rPr>
                <w:rFonts w:ascii="Times New Roman" w:hAnsi="Times New Roman" w:cs="Times New Roman"/>
              </w:rPr>
              <w:br/>
              <w:t>Based on the clinical context:</w:t>
            </w:r>
            <w:r w:rsidRPr="00CB2EC4">
              <w:rPr>
                <w:rFonts w:ascii="Times New Roman" w:hAnsi="Times New Roman" w:cs="Times New Roman"/>
              </w:rPr>
              <w:br/>
              <w:t>- The patient is 30 years old with a strong desire for fertility preservation. Pathology shows cervical squamous cell carcinoma, tumor diameter 1 cm (IB1 stage), stromal invasion depth 4 mm (IA2 stage), negative surgical margins with a distance of 10 mm from the lesion (&gt;5 mm), no lymphovascular space invasion, and no pelvic lymph node metastasis.</w:t>
            </w:r>
            <w:r w:rsidRPr="00CB2EC4">
              <w:rPr>
                <w:rFonts w:ascii="Times New Roman" w:hAnsi="Times New Roman" w:cs="Times New Roman"/>
              </w:rPr>
              <w:br/>
              <w:t>- The most appropriate surgical approach: radical trachelectomy (with pelvic lymphadenectomy) (Segment 12 and Segment 21). Specific options include abdominal, vaginal, or laparoscopic radical trachelectomy with pelvic lymph node dissection (Segment 12: "For those wishing to preserve fertility, options include... abdominal, vaginal, or laparoscopic radical trachelectomy with pelvic lymph node dissection").</w:t>
            </w:r>
            <w:r w:rsidRPr="00CB2EC4">
              <w:rPr>
                <w:rFonts w:ascii="Times New Roman" w:hAnsi="Times New Roman" w:cs="Times New Roman"/>
              </w:rPr>
              <w:br/>
              <w:t>- Key prerequisite conditions (based on Segment 21 indications):</w:t>
            </w:r>
            <w:r w:rsidRPr="00CB2EC4">
              <w:rPr>
                <w:rFonts w:ascii="Times New Roman" w:hAnsi="Times New Roman" w:cs="Times New Roman"/>
              </w:rPr>
              <w:br/>
              <w:t xml:space="preserve">  1. Tumor characteristics: tumor diameter &lt;2 cm (1 </w:t>
            </w:r>
            <w:r w:rsidRPr="00CB2EC4">
              <w:rPr>
                <w:rFonts w:ascii="Times New Roman" w:hAnsi="Times New Roman" w:cs="Times New Roman"/>
              </w:rPr>
              <w:lastRenderedPageBreak/>
              <w:t>cm in this case, compliant), no lymphovascular space invasion (compliant in this case), no endocervical glandular involvement (requires preoperative assessment), negative margins with distance ≥5 mm from lesion (10 mm in this case, compliant).</w:t>
            </w:r>
            <w:r w:rsidRPr="00CB2EC4">
              <w:rPr>
                <w:rFonts w:ascii="Times New Roman" w:hAnsi="Times New Roman" w:cs="Times New Roman"/>
              </w:rPr>
              <w:br/>
              <w:t xml:space="preserve">  2. Lymph node status: no pelvic lymph node metastasis (confirmed by laparoscopic exploration and frozen section pathology in this case).</w:t>
            </w:r>
            <w:r w:rsidRPr="00CB2EC4">
              <w:rPr>
                <w:rFonts w:ascii="Times New Roman" w:hAnsi="Times New Roman" w:cs="Times New Roman"/>
              </w:rPr>
              <w:br/>
              <w:t xml:space="preserve">  3. Patient factors: age &lt;40 years (30 years in this case, compliant), strong fertility desire, no clinical evidence of infertility.</w:t>
            </w:r>
            <w:r w:rsidRPr="00CB2EC4">
              <w:rPr>
                <w:rFonts w:ascii="Times New Roman" w:hAnsi="Times New Roman" w:cs="Times New Roman"/>
              </w:rPr>
              <w:br/>
              <w:t xml:space="preserve">  4. Preoperative evaluation: imaging (e.g., MRI) to exclude distant metastasis and signed informed consent (Segment 21).</w:t>
            </w:r>
          </w:p>
        </w:tc>
        <w:tc>
          <w:tcPr>
            <w:tcW w:w="1152" w:type="dxa"/>
            <w:vAlign w:val="center"/>
          </w:tcPr>
          <w:p w14:paraId="2A4E96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E0E8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401D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A3DE78" w14:textId="77777777">
        <w:tc>
          <w:tcPr>
            <w:tcW w:w="2160" w:type="dxa"/>
            <w:vAlign w:val="center"/>
          </w:tcPr>
          <w:p w14:paraId="57E0804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AA6893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Most suitable surgical procedure: Radical trachelectomy (either abdominal or vaginal approach) with pelvic lymphadenectomy.  </w:t>
            </w:r>
            <w:r w:rsidRPr="00CB2EC4">
              <w:rPr>
                <w:rFonts w:ascii="Times New Roman" w:hAnsi="Times New Roman" w:cs="Times New Roman"/>
              </w:rPr>
              <w:br/>
              <w:t xml:space="preserve">- Key prerequisite conditions:  </w:t>
            </w:r>
            <w:r w:rsidRPr="00CB2EC4">
              <w:rPr>
                <w:rFonts w:ascii="Times New Roman" w:hAnsi="Times New Roman" w:cs="Times New Roman"/>
              </w:rPr>
              <w:br/>
              <w:t xml:space="preserve">  - Pathological and staging criteria: FIGO stage IA1 to IB2 (this case is IA2: tumor diameter 1 cm, stromal invasion depth 4 mm &lt; 5 mm, horizontal spread 6 mm &lt; 7 mm), histological type of squamous cell carcinoma, adenocarcinoma, or adenosquamous carcinoma (excluding aggressive types like neuroendocrine carcinoma); this case meets the criteria.  </w:t>
            </w:r>
            <w:r w:rsidRPr="00CB2EC4">
              <w:rPr>
                <w:rFonts w:ascii="Times New Roman" w:hAnsi="Times New Roman" w:cs="Times New Roman"/>
              </w:rPr>
              <w:br/>
              <w:t xml:space="preserve">  - Tumor extent: Tumor confined to cervix, not invading the internal os, with negative surgical margins (this case has negative margins at 10 mm distance from lesion &gt; 8 mm, satisfying requirement).  </w:t>
            </w:r>
            <w:r w:rsidRPr="00CB2EC4">
              <w:rPr>
                <w:rFonts w:ascii="Times New Roman" w:hAnsi="Times New Roman" w:cs="Times New Roman"/>
              </w:rPr>
              <w:br/>
              <w:t xml:space="preserve">  - Lymph node status: No pelvic lymph node metastasis (confirmed by laparoscopic exploration and intraoperative frozen section in this case).  </w:t>
            </w:r>
            <w:r w:rsidRPr="00CB2EC4">
              <w:rPr>
                <w:rFonts w:ascii="Times New Roman" w:hAnsi="Times New Roman" w:cs="Times New Roman"/>
              </w:rPr>
              <w:br/>
              <w:t xml:space="preserve">  - Imaging assessment: Preoperative imaging (e.g., </w:t>
            </w:r>
            <w:r w:rsidRPr="00CB2EC4">
              <w:rPr>
                <w:rFonts w:ascii="Times New Roman" w:hAnsi="Times New Roman" w:cs="Times New Roman"/>
              </w:rPr>
              <w:lastRenderedPageBreak/>
              <w:t xml:space="preserve">pelvic MRI or PET/CT) must confirm absence of distant or lymph node metastasis (laparoscopic evaluation partially performed, but complete imaging required).  </w:t>
            </w:r>
            <w:r w:rsidRPr="00CB2EC4">
              <w:rPr>
                <w:rFonts w:ascii="Times New Roman" w:hAnsi="Times New Roman" w:cs="Times New Roman"/>
              </w:rPr>
              <w:br/>
              <w:t xml:space="preserve">  - Fertility assessment: Age ≤ 45 years (this case: 30 years), strong desire for fertility preservation, no fertility dysfunction (requires testing such as AMH or AFC).  </w:t>
            </w:r>
            <w:r w:rsidRPr="00CB2EC4">
              <w:rPr>
                <w:rFonts w:ascii="Times New Roman" w:hAnsi="Times New Roman" w:cs="Times New Roman"/>
              </w:rPr>
              <w:br/>
              <w:t xml:space="preserve">  - Surgical margin: Radical trachelectomy requires negative margins of at least 5–8 mm (per annotation in relevant segment 3); this case with 10 mm margin distance meets the requirement.</w:t>
            </w:r>
          </w:p>
        </w:tc>
        <w:tc>
          <w:tcPr>
            <w:tcW w:w="1152" w:type="dxa"/>
            <w:vAlign w:val="center"/>
          </w:tcPr>
          <w:p w14:paraId="41EB30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6B3E5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7369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D0D5CA" w14:textId="77777777">
        <w:tc>
          <w:tcPr>
            <w:tcW w:w="2160" w:type="dxa"/>
            <w:vAlign w:val="center"/>
          </w:tcPr>
          <w:p w14:paraId="159A82A1"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3921694" w14:textId="77777777" w:rsidR="00922249" w:rsidRPr="00CB2EC4" w:rsidRDefault="003011D5">
            <w:pPr>
              <w:rPr>
                <w:rFonts w:ascii="Times New Roman" w:hAnsi="Times New Roman" w:cs="Times New Roman"/>
              </w:rPr>
            </w:pPr>
            <w:r w:rsidRPr="00CB2EC4">
              <w:rPr>
                <w:rFonts w:ascii="Times New Roman" w:hAnsi="Times New Roman" w:cs="Times New Roman"/>
              </w:rPr>
              <w:t>the most suitable surgical method for her is radical trachelectomy (e.g., Dargent procedure or laparoscopic/abdominal radical trachelectomy), preserving the uterine corpus while removing the cervix, part of the vagina, and parametrial tissue.</w:t>
            </w:r>
            <w:r w:rsidRPr="00CB2EC4">
              <w:rPr>
                <w:rFonts w:ascii="Times New Roman" w:hAnsi="Times New Roman" w:cs="Times New Roman"/>
              </w:rPr>
              <w:br/>
            </w:r>
            <w:r w:rsidRPr="00CB2EC4">
              <w:rPr>
                <w:rFonts w:ascii="Times New Roman" w:hAnsi="Times New Roman" w:cs="Times New Roman"/>
              </w:rPr>
              <w:br/>
              <w:t>- Key prerequisite conditions:</w:t>
            </w:r>
            <w:r w:rsidRPr="00CB2EC4">
              <w:rPr>
                <w:rFonts w:ascii="Times New Roman" w:hAnsi="Times New Roman" w:cs="Times New Roman"/>
              </w:rPr>
              <w:br/>
              <w:t xml:space="preserve">  - Tumor diameter ≤ 2 cm (1 cm in this case).</w:t>
            </w:r>
            <w:r w:rsidRPr="00CB2EC4">
              <w:rPr>
                <w:rFonts w:ascii="Times New Roman" w:hAnsi="Times New Roman" w:cs="Times New Roman"/>
              </w:rPr>
              <w:br/>
              <w:t xml:space="preserve">  - Stromal invasion depth ≤ 10 mm (FIGO stage IA2 or early IB1; 4 mm here).</w:t>
            </w:r>
            <w:r w:rsidRPr="00CB2EC4">
              <w:rPr>
                <w:rFonts w:ascii="Times New Roman" w:hAnsi="Times New Roman" w:cs="Times New Roman"/>
              </w:rPr>
              <w:br/>
              <w:t xml:space="preserve">  - No lymphovascular space invasion (confirmed in this case).</w:t>
            </w:r>
            <w:r w:rsidRPr="00CB2EC4">
              <w:rPr>
                <w:rFonts w:ascii="Times New Roman" w:hAnsi="Times New Roman" w:cs="Times New Roman"/>
              </w:rPr>
              <w:br/>
              <w:t xml:space="preserve">  - Cone biopsy margins negative and distance from lesion ≥ 3 mm (margins negative, 10 mm distance here).</w:t>
            </w:r>
            <w:r w:rsidRPr="00CB2EC4">
              <w:rPr>
                <w:rFonts w:ascii="Times New Roman" w:hAnsi="Times New Roman" w:cs="Times New Roman"/>
              </w:rPr>
              <w:br/>
              <w:t xml:space="preserve">  - Frozen section of pelvic lymph nodes shows no metastasis (confirmed here).</w:t>
            </w:r>
            <w:r w:rsidRPr="00CB2EC4">
              <w:rPr>
                <w:rFonts w:ascii="Times New Roman" w:hAnsi="Times New Roman" w:cs="Times New Roman"/>
              </w:rPr>
              <w:br/>
              <w:t xml:space="preserve">  - Patient has a strong desire to preserve fertility and has undergone multidisciplinary evaluation.</w:t>
            </w:r>
          </w:p>
        </w:tc>
        <w:tc>
          <w:tcPr>
            <w:tcW w:w="1152" w:type="dxa"/>
            <w:vAlign w:val="center"/>
          </w:tcPr>
          <w:p w14:paraId="76791F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FBB70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4CD80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701A26DE" w14:textId="77777777">
        <w:tc>
          <w:tcPr>
            <w:tcW w:w="10656" w:type="dxa"/>
            <w:gridSpan w:val="5"/>
            <w:tcBorders>
              <w:bottom w:val="single" w:sz="6" w:space="0" w:color="auto"/>
            </w:tcBorders>
            <w:vAlign w:val="center"/>
          </w:tcPr>
          <w:p w14:paraId="08A65511"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165: What are the main pathways of lymphatic metastasis in cervical cancer?</w:t>
            </w:r>
          </w:p>
        </w:tc>
      </w:tr>
      <w:tr w:rsidR="00922249" w:rsidRPr="00CB2EC4" w14:paraId="52060CBE" w14:textId="77777777">
        <w:tc>
          <w:tcPr>
            <w:tcW w:w="2160" w:type="dxa"/>
            <w:vAlign w:val="center"/>
          </w:tcPr>
          <w:p w14:paraId="36520D9B"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4E0D00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found in the provided documents.  </w:t>
            </w:r>
            <w:r w:rsidRPr="00CB2EC4">
              <w:rPr>
                <w:rFonts w:ascii="Times New Roman" w:hAnsi="Times New Roman" w:cs="Times New Roman"/>
              </w:rPr>
              <w:br/>
            </w:r>
            <w:r w:rsidRPr="00CB2EC4">
              <w:rPr>
                <w:rFonts w:ascii="Times New Roman" w:hAnsi="Times New Roman" w:cs="Times New Roman"/>
              </w:rPr>
              <w:lastRenderedPageBreak/>
              <w:t xml:space="preserve">the documents focus on treatment modalities, surgical indications, and prognostic factors (such as the relationship between lymph node metastasis rate and depth of invasion), but do not specify the anatomical pathways of lymphatic metastasis (e.g., specific lymph node groups or drainage routes) for cervical cancer.  </w:t>
            </w:r>
            <w:r w:rsidRPr="00CB2EC4">
              <w:rPr>
                <w:rFonts w:ascii="Times New Roman" w:hAnsi="Times New Roman" w:cs="Times New Roman"/>
              </w:rPr>
              <w:br/>
              <w:t>therefore, based on the knowledge base, the main lymphatic metastasis pathways of cervical cancer cannot be provided.</w:t>
            </w:r>
          </w:p>
        </w:tc>
        <w:tc>
          <w:tcPr>
            <w:tcW w:w="1152" w:type="dxa"/>
            <w:vAlign w:val="center"/>
          </w:tcPr>
          <w:p w14:paraId="3F9837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D9865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A7CD5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6516B4E" w14:textId="77777777">
        <w:tc>
          <w:tcPr>
            <w:tcW w:w="2160" w:type="dxa"/>
            <w:vAlign w:val="center"/>
          </w:tcPr>
          <w:p w14:paraId="4D23B7A1"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E4876D3" w14:textId="77777777" w:rsidR="00922249" w:rsidRPr="00CB2EC4" w:rsidRDefault="003011D5">
            <w:pPr>
              <w:rPr>
                <w:rFonts w:ascii="Times New Roman" w:hAnsi="Times New Roman" w:cs="Times New Roman"/>
              </w:rPr>
            </w:pPr>
            <w:r w:rsidRPr="00CB2EC4">
              <w:rPr>
                <w:rFonts w:ascii="Times New Roman" w:hAnsi="Times New Roman" w:cs="Times New Roman"/>
              </w:rPr>
              <w:t>main routes of lymphatic metastasis in cervical cancer</w:t>
            </w:r>
            <w:r w:rsidRPr="00CB2EC4">
              <w:rPr>
                <w:rFonts w:ascii="Times New Roman" w:hAnsi="Times New Roman" w:cs="Times New Roman"/>
              </w:rPr>
              <w:br/>
            </w:r>
            <w:r w:rsidRPr="00CB2EC4">
              <w:rPr>
                <w:rFonts w:ascii="Times New Roman" w:hAnsi="Times New Roman" w:cs="Times New Roman"/>
              </w:rPr>
              <w:br/>
              <w:t>Metastatic pathways (based on Segment 27 and Segment 28):</w:t>
            </w:r>
            <w:r w:rsidRPr="00CB2EC4">
              <w:rPr>
                <w:rFonts w:ascii="Times New Roman" w:hAnsi="Times New Roman" w:cs="Times New Roman"/>
              </w:rPr>
              <w:br/>
              <w:t xml:space="preserve">  1. Primary lymph nodes:</w:t>
            </w:r>
            <w:r w:rsidRPr="00CB2EC4">
              <w:rPr>
                <w:rFonts w:ascii="Times New Roman" w:hAnsi="Times New Roman" w:cs="Times New Roman"/>
              </w:rPr>
              <w:br/>
              <w:t xml:space="preserve">     - Parametrial lymph nodes → obturator lymph nodes → internal iliac lymph nodes (most common route).</w:t>
            </w:r>
            <w:r w:rsidRPr="00CB2EC4">
              <w:rPr>
                <w:rFonts w:ascii="Times New Roman" w:hAnsi="Times New Roman" w:cs="Times New Roman"/>
              </w:rPr>
              <w:br/>
              <w:t xml:space="preserve">  2. Secondary lymph nodes:</w:t>
            </w:r>
            <w:r w:rsidRPr="00CB2EC4">
              <w:rPr>
                <w:rFonts w:ascii="Times New Roman" w:hAnsi="Times New Roman" w:cs="Times New Roman"/>
              </w:rPr>
              <w:br/>
              <w:t xml:space="preserve">     - External iliac lymph nodes → common iliac lymph nodes → para-aortic lymph nodes.</w:t>
            </w:r>
            <w:r w:rsidRPr="00CB2EC4">
              <w:rPr>
                <w:rFonts w:ascii="Times New Roman" w:hAnsi="Times New Roman" w:cs="Times New Roman"/>
              </w:rPr>
              <w:br/>
              <w:t xml:space="preserve">  3. Special routes:</w:t>
            </w:r>
            <w:r w:rsidRPr="00CB2EC4">
              <w:rPr>
                <w:rFonts w:ascii="Times New Roman" w:hAnsi="Times New Roman" w:cs="Times New Roman"/>
              </w:rPr>
              <w:br/>
              <w:t xml:space="preserve">     - Tumors at the uterine cornua may metastasize to inguinal lymph nodes via the round ligament (Segment 28).</w:t>
            </w:r>
            <w:r w:rsidRPr="00CB2EC4">
              <w:rPr>
                <w:rFonts w:ascii="Times New Roman" w:hAnsi="Times New Roman" w:cs="Times New Roman"/>
              </w:rPr>
              <w:br/>
              <w:t xml:space="preserve">     - Tumors at the uterine fundus may spread through the broad ligament to the ovaries → para-aortic lymph nodes (Segment 28).</w:t>
            </w:r>
            <w:r w:rsidRPr="00CB2EC4">
              <w:rPr>
                <w:rFonts w:ascii="Times New Roman" w:hAnsi="Times New Roman" w:cs="Times New Roman"/>
              </w:rPr>
              <w:br/>
              <w:t>- Spread characteristics: After local invasion to parametrial tissues, dissemination occurs via lymphatic channels (Segment 28); in late stages, hematogenous metastasis to lungs, liver, etc., may occur (Segment 27).</w:t>
            </w:r>
            <w:r w:rsidRPr="00CB2EC4">
              <w:rPr>
                <w:rFonts w:ascii="Times New Roman" w:hAnsi="Times New Roman" w:cs="Times New Roman"/>
              </w:rPr>
              <w:br/>
            </w:r>
            <w:r w:rsidRPr="00CB2EC4">
              <w:rPr>
                <w:rFonts w:ascii="Times New Roman" w:hAnsi="Times New Roman" w:cs="Times New Roman"/>
              </w:rPr>
              <w:br/>
              <w:t xml:space="preserve">All information is derived explicitly from the provided </w:t>
            </w:r>
            <w:r w:rsidRPr="00CB2EC4">
              <w:rPr>
                <w:rFonts w:ascii="Times New Roman" w:hAnsi="Times New Roman" w:cs="Times New Roman"/>
              </w:rPr>
              <w:lastRenderedPageBreak/>
              <w:t>document segments, with no external knowledge referenced.</w:t>
            </w:r>
          </w:p>
        </w:tc>
        <w:tc>
          <w:tcPr>
            <w:tcW w:w="1152" w:type="dxa"/>
            <w:vAlign w:val="center"/>
          </w:tcPr>
          <w:p w14:paraId="6D0366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683F5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F792A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23318BF" w14:textId="77777777">
        <w:tc>
          <w:tcPr>
            <w:tcW w:w="2160" w:type="dxa"/>
            <w:vAlign w:val="center"/>
          </w:tcPr>
          <w:p w14:paraId="5C8E8858"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3117F38" w14:textId="77777777" w:rsidR="00922249" w:rsidRPr="00CB2EC4" w:rsidRDefault="003011D5">
            <w:pPr>
              <w:rPr>
                <w:rFonts w:ascii="Times New Roman" w:hAnsi="Times New Roman" w:cs="Times New Roman"/>
              </w:rPr>
            </w:pPr>
            <w:r w:rsidRPr="00CB2EC4">
              <w:rPr>
                <w:rFonts w:ascii="Times New Roman" w:hAnsi="Times New Roman" w:cs="Times New Roman"/>
              </w:rPr>
              <w:t>the main routes of lymphatic metastasis in cervical cancer are:</w:t>
            </w:r>
            <w:r w:rsidRPr="00CB2EC4">
              <w:rPr>
                <w:rFonts w:ascii="Times New Roman" w:hAnsi="Times New Roman" w:cs="Times New Roman"/>
              </w:rPr>
              <w:br/>
            </w:r>
            <w:r w:rsidRPr="00CB2EC4">
              <w:rPr>
                <w:rFonts w:ascii="Times New Roman" w:hAnsi="Times New Roman" w:cs="Times New Roman"/>
              </w:rPr>
              <w:br/>
              <w:t xml:space="preserve">1. Along the uterine artery, crossing in front of the ureter, entering the external iliac and obturator lymph nodes.  </w:t>
            </w:r>
            <w:r w:rsidRPr="00CB2EC4">
              <w:rPr>
                <w:rFonts w:ascii="Times New Roman" w:hAnsi="Times New Roman" w:cs="Times New Roman"/>
              </w:rPr>
              <w:br/>
              <w:t xml:space="preserve">2. Along the uterine artery, crossing behind the ureter, entering the internal iliac lymph nodes.  </w:t>
            </w:r>
            <w:r w:rsidRPr="00CB2EC4">
              <w:rPr>
                <w:rFonts w:ascii="Times New Roman" w:hAnsi="Times New Roman" w:cs="Times New Roman"/>
              </w:rPr>
              <w:br/>
              <w:t>3. Along the uterosacral ligament, to the presacral lymph nodes.</w:t>
            </w:r>
          </w:p>
        </w:tc>
        <w:tc>
          <w:tcPr>
            <w:tcW w:w="1152" w:type="dxa"/>
            <w:vAlign w:val="center"/>
          </w:tcPr>
          <w:p w14:paraId="314A6C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39C5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6740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A1B1D8" w14:textId="77777777">
        <w:tc>
          <w:tcPr>
            <w:tcW w:w="2160" w:type="dxa"/>
            <w:vAlign w:val="center"/>
          </w:tcPr>
          <w:p w14:paraId="6D491DE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90CB11C" w14:textId="77777777" w:rsidR="00922249" w:rsidRPr="00CB2EC4" w:rsidRDefault="003011D5">
            <w:pPr>
              <w:rPr>
                <w:rFonts w:ascii="Times New Roman" w:hAnsi="Times New Roman" w:cs="Times New Roman"/>
              </w:rPr>
            </w:pPr>
            <w:r w:rsidRPr="00CB2EC4">
              <w:rPr>
                <w:rFonts w:ascii="Times New Roman" w:hAnsi="Times New Roman" w:cs="Times New Roman"/>
              </w:rPr>
              <w:t>cervical cancer lymphatic metastasis pathways</w:t>
            </w:r>
            <w:r w:rsidRPr="00CB2EC4">
              <w:rPr>
                <w:rFonts w:ascii="Times New Roman" w:hAnsi="Times New Roman" w:cs="Times New Roman"/>
              </w:rPr>
              <w:br/>
            </w:r>
            <w:r w:rsidRPr="00CB2EC4">
              <w:rPr>
                <w:rFonts w:ascii="Times New Roman" w:hAnsi="Times New Roman" w:cs="Times New Roman"/>
              </w:rPr>
              <w:br/>
              <w:t xml:space="preserve">1. Main routes:  </w:t>
            </w:r>
            <w:r w:rsidRPr="00CB2EC4">
              <w:rPr>
                <w:rFonts w:ascii="Times New Roman" w:hAnsi="Times New Roman" w:cs="Times New Roman"/>
              </w:rPr>
              <w:br/>
              <w:t xml:space="preserve">   - Primary transfer: parametrial lymph nodes → obturator lymph nodes → internal iliac and external iliac lymph nodes → common iliac lymph nodes → para-aortic lymph nodes.  </w:t>
            </w:r>
            <w:r w:rsidRPr="00CB2EC4">
              <w:rPr>
                <w:rFonts w:ascii="Times New Roman" w:hAnsi="Times New Roman" w:cs="Times New Roman"/>
              </w:rPr>
              <w:br/>
              <w:t xml:space="preserve">   - Direct skip metastasis: late stage may spread via thoracic duct to supraclavicular lymph nodes (less common).  </w:t>
            </w:r>
            <w:r w:rsidRPr="00CB2EC4">
              <w:rPr>
                <w:rFonts w:ascii="Times New Roman" w:hAnsi="Times New Roman" w:cs="Times New Roman"/>
              </w:rPr>
              <w:br/>
              <w:t xml:space="preserve">2. Metastasis patterns:  </w:t>
            </w:r>
            <w:r w:rsidRPr="00CB2EC4">
              <w:rPr>
                <w:rFonts w:ascii="Times New Roman" w:hAnsi="Times New Roman" w:cs="Times New Roman"/>
              </w:rPr>
              <w:br/>
              <w:t xml:space="preserve">   - Positively correlated with tumor volume and depth of invasion (e.g., metastasis rate significantly increases when invasion &gt;1mm).  </w:t>
            </w:r>
            <w:r w:rsidRPr="00CB2EC4">
              <w:rPr>
                <w:rFonts w:ascii="Times New Roman" w:hAnsi="Times New Roman" w:cs="Times New Roman"/>
              </w:rPr>
              <w:br/>
              <w:t xml:space="preserve">   - Lymphovascular space invasion (LVSI+) associated with lymph node metastasis rate as high as 40%~65% (source: knowledge base document, "Prognostic Factors" section).</w:t>
            </w:r>
            <w:r w:rsidRPr="00CB2EC4">
              <w:rPr>
                <w:rFonts w:ascii="Times New Roman" w:hAnsi="Times New Roman" w:cs="Times New Roman"/>
              </w:rPr>
              <w:br/>
            </w:r>
            <w:r w:rsidRPr="00CB2EC4">
              <w:rPr>
                <w:rFonts w:ascii="Times New Roman" w:hAnsi="Times New Roman" w:cs="Times New Roman"/>
              </w:rPr>
              <w:br/>
              <w:t xml:space="preserve">Source annotations:  </w:t>
            </w:r>
            <w:r w:rsidRPr="00CB2EC4">
              <w:rPr>
                <w:rFonts w:ascii="Times New Roman" w:hAnsi="Times New Roman" w:cs="Times New Roman"/>
              </w:rPr>
              <w:br/>
              <w:t xml:space="preserve">- Knowledge base document: provides core </w:t>
            </w:r>
            <w:r w:rsidRPr="00CB2EC4">
              <w:rPr>
                <w:rFonts w:ascii="Times New Roman" w:hAnsi="Times New Roman" w:cs="Times New Roman"/>
              </w:rPr>
              <w:lastRenderedPageBreak/>
              <w:t xml:space="preserve">pathological staging, surgical indications, operative extent, and radiotherapy regimens.  </w:t>
            </w:r>
            <w:r w:rsidRPr="00CB2EC4">
              <w:rPr>
                <w:rFonts w:ascii="Times New Roman" w:hAnsi="Times New Roman" w:cs="Times New Roman"/>
              </w:rPr>
              <w:br/>
              <w:t xml:space="preserve">- Web search results: supplements details on incidentally discovered cancer, ConCerv criteria, lymph node assessment requirements, and other recent consensus.  </w:t>
            </w:r>
            <w:r w:rsidRPr="00CB2EC4">
              <w:rPr>
                <w:rFonts w:ascii="Times New Roman" w:hAnsi="Times New Roman" w:cs="Times New Roman"/>
              </w:rPr>
              <w:br/>
              <w:t>- Conflict resolution: both sources are consistent regarding indications for chemoradiotherapy (e.g., positive margins require concurrent chemoradiotherapy), with no conflicting information.</w:t>
            </w:r>
            <w:r w:rsidRPr="00CB2EC4">
              <w:rPr>
                <w:rFonts w:ascii="Times New Roman" w:hAnsi="Times New Roman" w:cs="Times New Roman"/>
              </w:rPr>
              <w:br/>
            </w:r>
            <w:r w:rsidRPr="00CB2EC4">
              <w:rPr>
                <w:rFonts w:ascii="Times New Roman" w:hAnsi="Times New Roman" w:cs="Times New Roman"/>
              </w:rPr>
              <w:br/>
              <w:t>All responses strictly based on the provided context, with no external knowledge introduced.</w:t>
            </w:r>
          </w:p>
        </w:tc>
        <w:tc>
          <w:tcPr>
            <w:tcW w:w="1152" w:type="dxa"/>
            <w:vAlign w:val="center"/>
          </w:tcPr>
          <w:p w14:paraId="66F34D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F5AD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0AC7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2E6783" w14:textId="77777777">
        <w:tc>
          <w:tcPr>
            <w:tcW w:w="2160" w:type="dxa"/>
            <w:vAlign w:val="center"/>
          </w:tcPr>
          <w:p w14:paraId="10304F10"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855D70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Primary transfer: First involves the parametrial lymph nodes, obturator lymph nodes, internal iliac lymph nodes, and external iliac lymph nodes (these are regional lymph nodes).  </w:t>
            </w:r>
            <w:r w:rsidRPr="00CB2EC4">
              <w:rPr>
                <w:rFonts w:ascii="Times New Roman" w:hAnsi="Times New Roman" w:cs="Times New Roman"/>
              </w:rPr>
              <w:br/>
              <w:t xml:space="preserve">2. Secondary transfer: Subsequently spreads to the common iliac lymph nodes and para-aortic lymph nodes.  </w:t>
            </w:r>
            <w:r w:rsidRPr="00CB2EC4">
              <w:rPr>
                <w:rFonts w:ascii="Times New Roman" w:hAnsi="Times New Roman" w:cs="Times New Roman"/>
              </w:rPr>
              <w:br/>
              <w:t xml:space="preserve">3. Late-stage transfer: Finally may metastasize to the supraclavicular lymph nodes (distant lymph nodes).  </w:t>
            </w:r>
            <w:r w:rsidRPr="00CB2EC4">
              <w:rPr>
                <w:rFonts w:ascii="Times New Roman" w:hAnsi="Times New Roman" w:cs="Times New Roman"/>
              </w:rPr>
              <w:br/>
              <w:t>This pattern of lymphatic metastasis is based on local tumor spread and lymphatic anatomy, representing the core mode of dissemination for cervical cancer.</w:t>
            </w:r>
          </w:p>
        </w:tc>
        <w:tc>
          <w:tcPr>
            <w:tcW w:w="1152" w:type="dxa"/>
            <w:vAlign w:val="center"/>
          </w:tcPr>
          <w:p w14:paraId="002629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0233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83D2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835EAC" w14:textId="77777777">
        <w:tc>
          <w:tcPr>
            <w:tcW w:w="2160" w:type="dxa"/>
            <w:vAlign w:val="center"/>
          </w:tcPr>
          <w:p w14:paraId="4145FA9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4AB18D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routes of lymphatic metastasis for cervical cancer are as follows:  </w:t>
            </w:r>
            <w:r w:rsidRPr="00CB2EC4">
              <w:rPr>
                <w:rFonts w:ascii="Times New Roman" w:hAnsi="Times New Roman" w:cs="Times New Roman"/>
              </w:rPr>
              <w:br/>
              <w:t xml:space="preserve">1. The tumor invades the lymphatics in the parametrial tissues of the cervix and metastasizes to the parametrial lymph nodes.  </w:t>
            </w:r>
            <w:r w:rsidRPr="00CB2EC4">
              <w:rPr>
                <w:rFonts w:ascii="Times New Roman" w:hAnsi="Times New Roman" w:cs="Times New Roman"/>
              </w:rPr>
              <w:br/>
              <w:t xml:space="preserve">2. From the parametrial lymph nodes, metastasis spreads to the obturator, internal iliac, and external iliac lymph nodes.  </w:t>
            </w:r>
            <w:r w:rsidRPr="00CB2EC4">
              <w:rPr>
                <w:rFonts w:ascii="Times New Roman" w:hAnsi="Times New Roman" w:cs="Times New Roman"/>
              </w:rPr>
              <w:br/>
            </w:r>
            <w:r w:rsidRPr="00CB2EC4">
              <w:rPr>
                <w:rFonts w:ascii="Times New Roman" w:hAnsi="Times New Roman" w:cs="Times New Roman"/>
              </w:rPr>
              <w:lastRenderedPageBreak/>
              <w:t xml:space="preserve">3. Further metastasis occurs to the common iliac lymph nodes.  </w:t>
            </w:r>
            <w:r w:rsidRPr="00CB2EC4">
              <w:rPr>
                <w:rFonts w:ascii="Times New Roman" w:hAnsi="Times New Roman" w:cs="Times New Roman"/>
              </w:rPr>
              <w:br/>
              <w:t>4. Metastasis can then reach the para-aortic lymph nodes and supraclavicular lymph nodes.</w:t>
            </w:r>
          </w:p>
        </w:tc>
        <w:tc>
          <w:tcPr>
            <w:tcW w:w="1152" w:type="dxa"/>
            <w:vAlign w:val="center"/>
          </w:tcPr>
          <w:p w14:paraId="22E4F3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46AF2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DDFE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98FD8A" w14:textId="77777777">
        <w:tc>
          <w:tcPr>
            <w:tcW w:w="2160" w:type="dxa"/>
            <w:vAlign w:val="center"/>
          </w:tcPr>
          <w:p w14:paraId="0AD3D28A"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B40BAB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routes of lymphatic metastasis are as follows:  </w:t>
            </w:r>
            <w:r w:rsidRPr="00CB2EC4">
              <w:rPr>
                <w:rFonts w:ascii="Times New Roman" w:hAnsi="Times New Roman" w:cs="Times New Roman"/>
              </w:rPr>
              <w:br/>
              <w:t xml:space="preserve">- Primary (first-level) lymph nodes: including parametrial lymph nodes, paracervical lymph nodes, obturator lymph nodes, internal iliac lymph nodes, external iliac lymph nodes, common iliac lymph nodes, and presacral lymph nodes. The cancer first invades these lymph nodes, forming tumor emboli.  </w:t>
            </w:r>
            <w:r w:rsidRPr="00CB2EC4">
              <w:rPr>
                <w:rFonts w:ascii="Times New Roman" w:hAnsi="Times New Roman" w:cs="Times New Roman"/>
              </w:rPr>
              <w:br/>
              <w:t xml:space="preserve">- Secondary (second-level) lymph nodes: including deep inguinal lymph nodes and para-aortic lymph nodes. Metastasis spreads from the primary lymph nodes to these areas.  </w:t>
            </w:r>
            <w:r w:rsidRPr="00CB2EC4">
              <w:rPr>
                <w:rFonts w:ascii="Times New Roman" w:hAnsi="Times New Roman" w:cs="Times New Roman"/>
              </w:rPr>
              <w:br/>
              <w:t xml:space="preserve">- Basis: [HyDE similarity: 0.557] "Lymphatic metastasis is the main route of metastasis for invasive cervical cancer. The cancer invades the lymphatic vessels, forming tumor emboli, which are carried by lymph flow to local lymph nodes, and then spread within the lymphatic vessels. Cervical cancer lymphatic metastasis is divided into two groups of lymph nodes: primary lymph nodes include parametrial, paracervical, obturator, internal iliac, external iliac, common iliac, and presacral lymph nodes; secondary lymph nodes include deep inguinal and para-aortic lymph nodes."  </w:t>
            </w:r>
            <w:r w:rsidRPr="00CB2EC4">
              <w:rPr>
                <w:rFonts w:ascii="Times New Roman" w:hAnsi="Times New Roman" w:cs="Times New Roman"/>
              </w:rPr>
              <w:br/>
              <w:t>- Key point: Metastasis occurs in a stepwise manner, first involving the primary pelvic lymph nodes, then spreading to more distant secondary lymph nodes.</w:t>
            </w:r>
          </w:p>
        </w:tc>
        <w:tc>
          <w:tcPr>
            <w:tcW w:w="1152" w:type="dxa"/>
            <w:vAlign w:val="center"/>
          </w:tcPr>
          <w:p w14:paraId="7D48F7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34104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04DBE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A5A4A02" w14:textId="77777777">
        <w:tc>
          <w:tcPr>
            <w:tcW w:w="2160" w:type="dxa"/>
            <w:vAlign w:val="center"/>
          </w:tcPr>
          <w:p w14:paraId="4543794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890E3C6" w14:textId="77777777" w:rsidR="00922249" w:rsidRPr="00CB2EC4" w:rsidRDefault="003011D5">
            <w:pPr>
              <w:rPr>
                <w:rFonts w:ascii="Times New Roman" w:hAnsi="Times New Roman" w:cs="Times New Roman"/>
              </w:rPr>
            </w:pPr>
            <w:r w:rsidRPr="00CB2EC4">
              <w:rPr>
                <w:rFonts w:ascii="Times New Roman" w:hAnsi="Times New Roman" w:cs="Times New Roman"/>
              </w:rPr>
              <w:t>the main routes of lymphatic metastasis for cervical cancer are as follows:</w:t>
            </w:r>
            <w:r w:rsidRPr="00CB2EC4">
              <w:rPr>
                <w:rFonts w:ascii="Times New Roman" w:hAnsi="Times New Roman" w:cs="Times New Roman"/>
              </w:rPr>
              <w:br/>
            </w:r>
            <w:r w:rsidRPr="00CB2EC4">
              <w:rPr>
                <w:rFonts w:ascii="Times New Roman" w:hAnsi="Times New Roman" w:cs="Times New Roman"/>
              </w:rPr>
              <w:lastRenderedPageBreak/>
              <w:br/>
              <w:t xml:space="preserve">1. Primary metastasis:  </w:t>
            </w:r>
            <w:r w:rsidRPr="00CB2EC4">
              <w:rPr>
                <w:rFonts w:ascii="Times New Roman" w:hAnsi="Times New Roman" w:cs="Times New Roman"/>
              </w:rPr>
              <w:br/>
              <w:t xml:space="preserve">   - Obturator lymph nodes → Internal iliac lymph nodes → Common iliac lymph nodes;  </w:t>
            </w:r>
            <w:r w:rsidRPr="00CB2EC4">
              <w:rPr>
                <w:rFonts w:ascii="Times New Roman" w:hAnsi="Times New Roman" w:cs="Times New Roman"/>
              </w:rPr>
              <w:br/>
              <w:t xml:space="preserve">2. Secondary metastasis:  </w:t>
            </w:r>
            <w:r w:rsidRPr="00CB2EC4">
              <w:rPr>
                <w:rFonts w:ascii="Times New Roman" w:hAnsi="Times New Roman" w:cs="Times New Roman"/>
              </w:rPr>
              <w:br/>
              <w:t xml:space="preserve">   - Parametrial lymph nodes → Sacral lymph nodes (20%);  </w:t>
            </w:r>
            <w:r w:rsidRPr="00CB2EC4">
              <w:rPr>
                <w:rFonts w:ascii="Times New Roman" w:hAnsi="Times New Roman" w:cs="Times New Roman"/>
              </w:rPr>
              <w:br/>
              <w:t xml:space="preserve">   - Inguinal lymph nodes;  </w:t>
            </w:r>
            <w:r w:rsidRPr="00CB2EC4">
              <w:rPr>
                <w:rFonts w:ascii="Times New Roman" w:hAnsi="Times New Roman" w:cs="Times New Roman"/>
              </w:rPr>
              <w:br/>
              <w:t xml:space="preserve">3. Skip metastasis:  </w:t>
            </w:r>
            <w:r w:rsidRPr="00CB2EC4">
              <w:rPr>
                <w:rFonts w:ascii="Times New Roman" w:hAnsi="Times New Roman" w:cs="Times New Roman"/>
              </w:rPr>
              <w:br/>
              <w:t xml:space="preserve">   - Direct metastasis to para-aortic lymph nodes</w:t>
            </w:r>
          </w:p>
        </w:tc>
        <w:tc>
          <w:tcPr>
            <w:tcW w:w="1152" w:type="dxa"/>
            <w:vAlign w:val="center"/>
          </w:tcPr>
          <w:p w14:paraId="797EFF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812BE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2351B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ED0C17B" w14:textId="77777777">
        <w:tc>
          <w:tcPr>
            <w:tcW w:w="2160" w:type="dxa"/>
            <w:vAlign w:val="center"/>
          </w:tcPr>
          <w:p w14:paraId="24D61B99"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4ED9380" w14:textId="77777777" w:rsidR="00922249" w:rsidRPr="00CB2EC4" w:rsidRDefault="003011D5">
            <w:pPr>
              <w:rPr>
                <w:rFonts w:ascii="Times New Roman" w:hAnsi="Times New Roman" w:cs="Times New Roman"/>
              </w:rPr>
            </w:pPr>
            <w:r w:rsidRPr="00CB2EC4">
              <w:rPr>
                <w:rFonts w:ascii="Times New Roman" w:hAnsi="Times New Roman" w:cs="Times New Roman"/>
              </w:rPr>
              <w:t>the main routes of lymphatic metastasis for cervical cancer are not explicitly described in the provided document. The document mentions lymph node regions involved during pelvic lymphadenectomy, such as: "when resecting pelvic lymph nodes, starting from the common iliac segment, sequentially remove the lower segment of the common iliac, external iliac, deep inguinal, internal iliac, and obturator lymph adipose tissue from top to bottom and from outside to inside." However, this describes surgical procedure order rather than systematic metastatic pathways.</w:t>
            </w:r>
            <w:r w:rsidRPr="00CB2EC4">
              <w:rPr>
                <w:rFonts w:ascii="Times New Roman" w:hAnsi="Times New Roman" w:cs="Times New Roman"/>
              </w:rPr>
              <w:br/>
            </w:r>
            <w:r w:rsidRPr="00CB2EC4">
              <w:rPr>
                <w:rFonts w:ascii="Times New Roman" w:hAnsi="Times New Roman" w:cs="Times New Roman"/>
              </w:rPr>
              <w:br/>
              <w:t>Other sections (e.g., staging or treatment) also do not detail the primary lymphatic metastasis routes.</w:t>
            </w:r>
            <w:r w:rsidRPr="00CB2EC4">
              <w:rPr>
                <w:rFonts w:ascii="Times New Roman" w:hAnsi="Times New Roman" w:cs="Times New Roman"/>
              </w:rPr>
              <w:br/>
            </w:r>
            <w:r w:rsidRPr="00CB2EC4">
              <w:rPr>
                <w:rFonts w:ascii="Times New Roman" w:hAnsi="Times New Roman" w:cs="Times New Roman"/>
              </w:rPr>
              <w:br/>
              <w:t>Therefore, specific information on the main lymphatic metastasis pathways for cervical cancer cannot be extracted from this document. It is recommended to consult more comprehensive medical literature or guidelines for this information.</w:t>
            </w:r>
          </w:p>
        </w:tc>
        <w:tc>
          <w:tcPr>
            <w:tcW w:w="1152" w:type="dxa"/>
            <w:vAlign w:val="center"/>
          </w:tcPr>
          <w:p w14:paraId="694063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64741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6B953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32BF1E5" w14:textId="77777777">
        <w:tc>
          <w:tcPr>
            <w:tcW w:w="2160" w:type="dxa"/>
            <w:vAlign w:val="center"/>
          </w:tcPr>
          <w:p w14:paraId="499B55A3"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73132C4" w14:textId="77777777" w:rsidR="00922249" w:rsidRPr="00CB2EC4" w:rsidRDefault="003011D5">
            <w:pPr>
              <w:rPr>
                <w:rFonts w:ascii="Times New Roman" w:hAnsi="Times New Roman" w:cs="Times New Roman"/>
              </w:rPr>
            </w:pPr>
            <w:r w:rsidRPr="00CB2EC4">
              <w:rPr>
                <w:rFonts w:ascii="Times New Roman" w:hAnsi="Times New Roman" w:cs="Times New Roman"/>
              </w:rPr>
              <w:t>the main routes of lymphatic metastasis for cervical cancer are as follows: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1. Initial metastasis: First involves the parametrial lymph nodes (cervical paracolpium lymphatic vessels) and obturator lymph nodes (located on the pelvic wall).</w:t>
            </w:r>
            <w:r w:rsidRPr="00CB2EC4">
              <w:rPr>
                <w:rFonts w:ascii="Times New Roman" w:hAnsi="Times New Roman" w:cs="Times New Roman"/>
              </w:rPr>
              <w:br/>
              <w:t>2. Secondary metastasis: Then spreads to the internal iliac lymph nodes and external iliac lymph nodes (distributed along the pelvic blood vessels).</w:t>
            </w:r>
            <w:r w:rsidRPr="00CB2EC4">
              <w:rPr>
                <w:rFonts w:ascii="Times New Roman" w:hAnsi="Times New Roman" w:cs="Times New Roman"/>
              </w:rPr>
              <w:br/>
              <w:t>3. Progressive metastasis: Extends upward to the common iliac lymph nodes and para-aortic lymph nodes (along the aortic chain).</w:t>
            </w:r>
            <w:r w:rsidRPr="00CB2EC4">
              <w:rPr>
                <w:rFonts w:ascii="Times New Roman" w:hAnsi="Times New Roman" w:cs="Times New Roman"/>
              </w:rPr>
              <w:br/>
              <w:t>4. Late metastasis: May further metastasize to supraclavicular lymph nodes or other distant lymph node groups (such as mediastinal lymph nodes).</w:t>
            </w:r>
            <w:r w:rsidRPr="00CB2EC4">
              <w:rPr>
                <w:rFonts w:ascii="Times New Roman" w:hAnsi="Times New Roman" w:cs="Times New Roman"/>
              </w:rPr>
              <w:br/>
            </w:r>
            <w:r w:rsidRPr="00CB2EC4">
              <w:rPr>
                <w:rFonts w:ascii="Times New Roman" w:hAnsi="Times New Roman" w:cs="Times New Roman"/>
              </w:rPr>
              <w:br/>
              <w:t>(document fragment 21 explicitly states: "Lymphatic metastasis... first involves the parametrial, obturator, internal and external iliac lymph nodes, then the common iliac and para-aortic lymph nodes." Document fragment 13 also notes: "Lymphatic metastasis routes include parametrial, obturator, internal and external iliac, common iliac, and para-aortic lymph nodes.")</w:t>
            </w:r>
          </w:p>
        </w:tc>
        <w:tc>
          <w:tcPr>
            <w:tcW w:w="1152" w:type="dxa"/>
            <w:vAlign w:val="center"/>
          </w:tcPr>
          <w:p w14:paraId="657580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7C67C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498C0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8D0BA76" w14:textId="77777777">
        <w:tc>
          <w:tcPr>
            <w:tcW w:w="2160" w:type="dxa"/>
            <w:vAlign w:val="center"/>
          </w:tcPr>
          <w:p w14:paraId="37EBB196"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808A7B3" w14:textId="77777777" w:rsidR="00922249" w:rsidRPr="00CB2EC4" w:rsidRDefault="003011D5">
            <w:pPr>
              <w:rPr>
                <w:rFonts w:ascii="Times New Roman" w:hAnsi="Times New Roman" w:cs="Times New Roman"/>
              </w:rPr>
            </w:pPr>
            <w:r w:rsidRPr="00CB2EC4">
              <w:rPr>
                <w:rFonts w:ascii="Times New Roman" w:hAnsi="Times New Roman" w:cs="Times New Roman"/>
              </w:rPr>
              <w:t>The main routes of lymphatic metastasis for cervical cancer are as follows:</w:t>
            </w:r>
            <w:r w:rsidRPr="00CB2EC4">
              <w:rPr>
                <w:rFonts w:ascii="Times New Roman" w:hAnsi="Times New Roman" w:cs="Times New Roman"/>
              </w:rPr>
              <w:br/>
            </w:r>
            <w:r w:rsidRPr="00CB2EC4">
              <w:rPr>
                <w:rFonts w:ascii="Times New Roman" w:hAnsi="Times New Roman" w:cs="Times New Roman"/>
              </w:rPr>
              <w:br/>
              <w:t>- Primary route: When the tumor is located in the lower uterine segment and cervical canal, lymphatic metastasis first occurs to the parametrial lymph nodes, then sequentially to:</w:t>
            </w:r>
            <w:r w:rsidRPr="00CB2EC4">
              <w:rPr>
                <w:rFonts w:ascii="Times New Roman" w:hAnsi="Times New Roman" w:cs="Times New Roman"/>
              </w:rPr>
              <w:br/>
              <w:t xml:space="preserve">  - Obturator lymph nodes.</w:t>
            </w:r>
            <w:r w:rsidRPr="00CB2EC4">
              <w:rPr>
                <w:rFonts w:ascii="Times New Roman" w:hAnsi="Times New Roman" w:cs="Times New Roman"/>
              </w:rPr>
              <w:br/>
              <w:t xml:space="preserve">  - Internal iliac lymph nodes.</w:t>
            </w:r>
            <w:r w:rsidRPr="00CB2EC4">
              <w:rPr>
                <w:rFonts w:ascii="Times New Roman" w:hAnsi="Times New Roman" w:cs="Times New Roman"/>
              </w:rPr>
              <w:br/>
              <w:t xml:space="preserve">  - External iliac lymph nodes.</w:t>
            </w:r>
            <w:r w:rsidRPr="00CB2EC4">
              <w:rPr>
                <w:rFonts w:ascii="Times New Roman" w:hAnsi="Times New Roman" w:cs="Times New Roman"/>
              </w:rPr>
              <w:br/>
              <w:t xml:space="preserve">  - Common iliac lymph nodes.</w:t>
            </w:r>
            <w:r w:rsidRPr="00CB2EC4">
              <w:rPr>
                <w:rFonts w:ascii="Times New Roman" w:hAnsi="Times New Roman" w:cs="Times New Roman"/>
              </w:rPr>
              <w:br/>
              <w:t xml:space="preserve">  - Finally to the para-aortic lymph nodes.</w:t>
            </w:r>
            <w:r w:rsidRPr="00CB2EC4">
              <w:rPr>
                <w:rFonts w:ascii="Times New Roman" w:hAnsi="Times New Roman" w:cs="Times New Roman"/>
              </w:rPr>
              <w:br/>
            </w:r>
            <w:r w:rsidRPr="00CB2EC4">
              <w:rPr>
                <w:rFonts w:ascii="Times New Roman" w:hAnsi="Times New Roman" w:cs="Times New Roman"/>
              </w:rPr>
              <w:lastRenderedPageBreak/>
              <w:t>- Secondary route: Metastasis along the uterosacral ligaments to the sacral lymph nodes.</w:t>
            </w:r>
            <w:r w:rsidRPr="00CB2EC4">
              <w:rPr>
                <w:rFonts w:ascii="Times New Roman" w:hAnsi="Times New Roman" w:cs="Times New Roman"/>
              </w:rPr>
              <w:br/>
              <w:t>- Influencing factors: The risk of metastasis is associated with deep myometrial invasion, spread to the cervical canal, or poor differentiation of the cancer tissue.</w:t>
            </w:r>
            <w:r w:rsidRPr="00CB2EC4">
              <w:rPr>
                <w:rFonts w:ascii="Times New Roman" w:hAnsi="Times New Roman" w:cs="Times New Roman"/>
              </w:rPr>
              <w:br/>
            </w:r>
            <w:r w:rsidRPr="00CB2EC4">
              <w:rPr>
                <w:rFonts w:ascii="Times New Roman" w:hAnsi="Times New Roman" w:cs="Times New Roman"/>
              </w:rPr>
              <w:br/>
              <w:t>Key point: The metastatic pathway depends on the tumor location; cervical cancer primarily follows the chain from parametrial → obturator → iliac lymph nodes, with sacral lymph nodes as a secondary pathway. Other routes (e.g., inguinal lymph nodes) are not mentioned in the source and are therefore not included.</w:t>
            </w:r>
          </w:p>
        </w:tc>
        <w:tc>
          <w:tcPr>
            <w:tcW w:w="1152" w:type="dxa"/>
            <w:vAlign w:val="center"/>
          </w:tcPr>
          <w:p w14:paraId="2F1660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88322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9C86B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AD5B339" w14:textId="77777777">
        <w:tc>
          <w:tcPr>
            <w:tcW w:w="2160" w:type="dxa"/>
            <w:vAlign w:val="center"/>
          </w:tcPr>
          <w:p w14:paraId="4A8DF3BE"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2CCA6AD"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 the provided context does not specify the main routes of lymphatic metastasis for cervical cancer. context fragments (e.g., 7, 8, 19) mention lymph node metastasis as a prognostic factor and surgical extent (e.g., removal of parametrial, obturator, internal iliac, external iliac, and common iliac lymph nodes), but do not detail the metastatic pathways (e.g., primary or secondary routes). therefore, based on the given documents, this question cannot be answered.</w:t>
            </w:r>
          </w:p>
        </w:tc>
        <w:tc>
          <w:tcPr>
            <w:tcW w:w="1152" w:type="dxa"/>
            <w:vAlign w:val="center"/>
          </w:tcPr>
          <w:p w14:paraId="40230E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BFD3F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D8177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C937DD6" w14:textId="77777777">
        <w:tc>
          <w:tcPr>
            <w:tcW w:w="2160" w:type="dxa"/>
            <w:vAlign w:val="center"/>
          </w:tcPr>
          <w:p w14:paraId="0349639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17EF93E" w14:textId="77777777" w:rsidR="00922249" w:rsidRPr="00CB2EC4" w:rsidRDefault="003011D5">
            <w:pPr>
              <w:rPr>
                <w:rFonts w:ascii="Times New Roman" w:hAnsi="Times New Roman" w:cs="Times New Roman"/>
              </w:rPr>
            </w:pPr>
            <w:r w:rsidRPr="00CB2EC4">
              <w:rPr>
                <w:rFonts w:ascii="Times New Roman" w:hAnsi="Times New Roman" w:cs="Times New Roman"/>
              </w:rPr>
              <w:t>the main routes of lymphatic metastasis for cervical cancer are as follows:</w:t>
            </w:r>
            <w:r w:rsidRPr="00CB2EC4">
              <w:rPr>
                <w:rFonts w:ascii="Times New Roman" w:hAnsi="Times New Roman" w:cs="Times New Roman"/>
              </w:rPr>
              <w:br/>
            </w:r>
            <w:r w:rsidRPr="00CB2EC4">
              <w:rPr>
                <w:rFonts w:ascii="Times New Roman" w:hAnsi="Times New Roman" w:cs="Times New Roman"/>
              </w:rPr>
              <w:br/>
              <w:t xml:space="preserve">1. Along the uterine artery, anterior to the ureter: → external iliac and obturator lymph nodes.  </w:t>
            </w:r>
            <w:r w:rsidRPr="00CB2EC4">
              <w:rPr>
                <w:rFonts w:ascii="Times New Roman" w:hAnsi="Times New Roman" w:cs="Times New Roman"/>
              </w:rPr>
              <w:br/>
              <w:t xml:space="preserve">2. Along the uterine artery, posterior to the ureter: → internal iliac lymph nodes.  </w:t>
            </w:r>
            <w:r w:rsidRPr="00CB2EC4">
              <w:rPr>
                <w:rFonts w:ascii="Times New Roman" w:hAnsi="Times New Roman" w:cs="Times New Roman"/>
              </w:rPr>
              <w:br/>
              <w:t xml:space="preserve">3. Along the uterosacral ligament: → sacral lymph nodes.  </w:t>
            </w:r>
            <w:r w:rsidRPr="00CB2EC4">
              <w:rPr>
                <w:rFonts w:ascii="Times New Roman" w:hAnsi="Times New Roman" w:cs="Times New Roman"/>
              </w:rPr>
              <w:br/>
            </w:r>
            <w:r w:rsidRPr="00CB2EC4">
              <w:rPr>
                <w:rFonts w:ascii="Times New Roman" w:hAnsi="Times New Roman" w:cs="Times New Roman"/>
              </w:rPr>
              <w:lastRenderedPageBreak/>
              <w:br/>
              <w:t xml:space="preserve">Subsequent spread: Metastasis first involves pelvic lymph nodes (e.g., external iliac, obturator, internal iliac), then ascends to common iliac and para-aortic lymph nodes, and may eventually reach supraclavicular lymph nodes. In rare cases, metastasis to inguinal lymph nodes occurs when the tumor involves the lower vagina.  </w:t>
            </w:r>
            <w:r w:rsidRPr="00CB2EC4">
              <w:rPr>
                <w:rFonts w:ascii="Times New Roman" w:hAnsi="Times New Roman" w:cs="Times New Roman"/>
              </w:rPr>
              <w:br/>
            </w:r>
            <w:r w:rsidRPr="00CB2EC4">
              <w:rPr>
                <w:rFonts w:ascii="Times New Roman" w:hAnsi="Times New Roman" w:cs="Times New Roman"/>
              </w:rPr>
              <w:br/>
              <w:t xml:space="preserve">Based on provided context:  </w:t>
            </w:r>
            <w:r w:rsidRPr="00CB2EC4">
              <w:rPr>
                <w:rFonts w:ascii="Times New Roman" w:hAnsi="Times New Roman" w:cs="Times New Roman"/>
              </w:rPr>
              <w:br/>
              <w:t xml:space="preserve">- Fragment 9 (from original block 486-488): "Lymphatic metastasis has three main routes: (1) Along the uterine artery, anterior to the ureter, into external iliac and obturator lymph nodes (2) Along the uterine artery, posterior to the ureter, into internal iliac lymph nodes (3) Along the uterosacral ligament, to sacral lymph nodes." and "Cervical cancer lymphatic metastasis generally first involves pelvic lymph nodes, then common iliac and para-aortic lymph nodes."  </w:t>
            </w:r>
            <w:r w:rsidRPr="00CB2EC4">
              <w:rPr>
                <w:rFonts w:ascii="Times New Roman" w:hAnsi="Times New Roman" w:cs="Times New Roman"/>
              </w:rPr>
              <w:br/>
              <w:t>All information is derived strictly from the provided context.</w:t>
            </w:r>
          </w:p>
        </w:tc>
        <w:tc>
          <w:tcPr>
            <w:tcW w:w="1152" w:type="dxa"/>
            <w:vAlign w:val="center"/>
          </w:tcPr>
          <w:p w14:paraId="6F2C81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96C96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5E3BB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B806115" w14:textId="77777777">
        <w:tc>
          <w:tcPr>
            <w:tcW w:w="2160" w:type="dxa"/>
            <w:vAlign w:val="center"/>
          </w:tcPr>
          <w:p w14:paraId="014F50B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AD73086" w14:textId="77777777" w:rsidR="00922249" w:rsidRPr="00CB2EC4" w:rsidRDefault="003011D5">
            <w:pPr>
              <w:rPr>
                <w:rFonts w:ascii="Times New Roman" w:hAnsi="Times New Roman" w:cs="Times New Roman"/>
              </w:rPr>
            </w:pPr>
            <w:r w:rsidRPr="00CB2EC4">
              <w:rPr>
                <w:rFonts w:ascii="Times New Roman" w:hAnsi="Times New Roman" w:cs="Times New Roman"/>
              </w:rPr>
              <w:t>the main routes of lymphatic metastasis for cervical cancer are as follows:</w:t>
            </w:r>
            <w:r w:rsidRPr="00CB2EC4">
              <w:rPr>
                <w:rFonts w:ascii="Times New Roman" w:hAnsi="Times New Roman" w:cs="Times New Roman"/>
              </w:rPr>
              <w:br/>
            </w:r>
            <w:r w:rsidRPr="00CB2EC4">
              <w:rPr>
                <w:rFonts w:ascii="Times New Roman" w:hAnsi="Times New Roman" w:cs="Times New Roman"/>
              </w:rPr>
              <w:br/>
              <w:t>1. Primary route: from the cervical primary lesion → parametrial lymph nodes → obturator lymph nodes → internal iliac lymph nodes → external iliac lymph nodes → common iliac lymph nodes → para-aortic lymph nodes (this is the most common pathway).</w:t>
            </w:r>
            <w:r w:rsidRPr="00CB2EC4">
              <w:rPr>
                <w:rFonts w:ascii="Times New Roman" w:hAnsi="Times New Roman" w:cs="Times New Roman"/>
              </w:rPr>
              <w:br/>
              <w:t>2. Secondary route: from the cervix → sacral lymph nodes (along the uterosacral ligament) → directly to para-aortic lymph nodes.</w:t>
            </w:r>
            <w:r w:rsidRPr="00CB2EC4">
              <w:rPr>
                <w:rFonts w:ascii="Times New Roman" w:hAnsi="Times New Roman" w:cs="Times New Roman"/>
              </w:rPr>
              <w:br/>
              <w:t xml:space="preserve">3. Rare routes: may involve inguinal lymph nodes (only when the tumor invades the lower one-third of </w:t>
            </w:r>
            <w:r w:rsidRPr="00CB2EC4">
              <w:rPr>
                <w:rFonts w:ascii="Times New Roman" w:hAnsi="Times New Roman" w:cs="Times New Roman"/>
              </w:rPr>
              <w:lastRenderedPageBreak/>
              <w:t>the vagina).</w:t>
            </w:r>
            <w:r w:rsidRPr="00CB2EC4">
              <w:rPr>
                <w:rFonts w:ascii="Times New Roman" w:hAnsi="Times New Roman" w:cs="Times New Roman"/>
              </w:rPr>
              <w:br/>
              <w:t>- Metastasis usually occurs in sequence, but skip metastasis may occur, especially in advanced cancer.</w:t>
            </w:r>
          </w:p>
        </w:tc>
        <w:tc>
          <w:tcPr>
            <w:tcW w:w="1152" w:type="dxa"/>
            <w:vAlign w:val="center"/>
          </w:tcPr>
          <w:p w14:paraId="0C6D74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E1D0B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B4C5C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EFDB015" w14:textId="77777777">
        <w:tc>
          <w:tcPr>
            <w:tcW w:w="10656" w:type="dxa"/>
            <w:gridSpan w:val="5"/>
            <w:tcBorders>
              <w:bottom w:val="single" w:sz="6" w:space="0" w:color="auto"/>
            </w:tcBorders>
            <w:vAlign w:val="center"/>
          </w:tcPr>
          <w:p w14:paraId="671941C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166: For a Stage IB patient with a cervical lesion diameter of 1 cm, pathological grade 1 squamous cell carcinoma, and no lymphovascular space invasion, which type/class of surgery is more likely to be recommended in the text? Please explain why this surgical approach is reasonable and what advantages it has over more extensive surgeries.</w:t>
            </w:r>
          </w:p>
        </w:tc>
      </w:tr>
      <w:tr w:rsidR="00922249" w:rsidRPr="00CB2EC4" w14:paraId="4F96DB08" w14:textId="77777777">
        <w:tc>
          <w:tcPr>
            <w:tcW w:w="2160" w:type="dxa"/>
            <w:vAlign w:val="center"/>
          </w:tcPr>
          <w:p w14:paraId="7558FD5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1FB6856" w14:textId="77777777" w:rsidR="00922249" w:rsidRPr="00CB2EC4" w:rsidRDefault="003011D5">
            <w:pPr>
              <w:rPr>
                <w:rFonts w:ascii="Times New Roman" w:hAnsi="Times New Roman" w:cs="Times New Roman"/>
              </w:rPr>
            </w:pPr>
            <w:r w:rsidRPr="00CB2EC4">
              <w:rPr>
                <w:rFonts w:ascii="Times New Roman" w:hAnsi="Times New Roman" w:cs="Times New Roman"/>
              </w:rPr>
              <w:t>recommended surgical type: the text favors Type II (Class II) radical hysterectomy, specifically subradical hysterectomy, combined with pelvic lymphadenectomy.</w:t>
            </w:r>
            <w:r w:rsidRPr="00CB2EC4">
              <w:rPr>
                <w:rFonts w:ascii="Times New Roman" w:hAnsi="Times New Roman" w:cs="Times New Roman"/>
              </w:rPr>
              <w:br/>
            </w:r>
            <w:r w:rsidRPr="00CB2EC4">
              <w:rPr>
                <w:rFonts w:ascii="Times New Roman" w:hAnsi="Times New Roman" w:cs="Times New Roman"/>
              </w:rPr>
              <w:br/>
              <w:t>- rationale for recommendation:</w:t>
            </w:r>
            <w:r w:rsidRPr="00CB2EC4">
              <w:rPr>
                <w:rFonts w:ascii="Times New Roman" w:hAnsi="Times New Roman" w:cs="Times New Roman"/>
              </w:rPr>
              <w:br/>
              <w:t xml:space="preserve">  according to the text (with similarity scores 0.646, 0.586, 0.528, etc.), for patients with stage IB cervical squamous cell carcinoma, tumor grade I or II, tumor diameter ≤2 cm, and no lymphovascular space invasion, Type II surgery is considered a reasonable choice. the reasons include:</w:t>
            </w:r>
            <w:r w:rsidRPr="00CB2EC4">
              <w:rPr>
                <w:rFonts w:ascii="Times New Roman" w:hAnsi="Times New Roman" w:cs="Times New Roman"/>
              </w:rPr>
              <w:br/>
              <w:t xml:space="preserve">    - individualized approach: the text emphasizes that cervical cancer surgery should be tailored based on tumor size, grade, and lymphovascular status. a 1-cm lesion with no lymphovascular invasion represents "low-risk" stage IB disease (as described in studies like Kinney et al.), associated with low pelvic lymph node metastasis rates (0–14%) and minimal risk of parametrial involvement; thus, more extensive Type III surgery is unnecessary.</w:t>
            </w:r>
            <w:r w:rsidRPr="00CB2EC4">
              <w:rPr>
                <w:rFonts w:ascii="Times New Roman" w:hAnsi="Times New Roman" w:cs="Times New Roman"/>
              </w:rPr>
              <w:br/>
              <w:t xml:space="preserve">    - comparable survival outcomes: multiple studies (e.g., Qi Lin-tao et al. reporting 75 cases, and the author’s series of 480 cases from 1995–2003) show that 5-year survival rates (100%) and disease-free survival rates (98.33%) for Type II surgery are not statistically inferior to those of Type III surgery </w:t>
            </w:r>
            <w:r w:rsidRPr="00CB2EC4">
              <w:rPr>
                <w:rFonts w:ascii="Times New Roman" w:hAnsi="Times New Roman" w:cs="Times New Roman"/>
              </w:rPr>
              <w:lastRenderedPageBreak/>
              <w:t>(100% and 97.2%, respectively; P=0.779), confirming equivalent oncologic efficacy.</w:t>
            </w:r>
            <w:r w:rsidRPr="00CB2EC4">
              <w:rPr>
                <w:rFonts w:ascii="Times New Roman" w:hAnsi="Times New Roman" w:cs="Times New Roman"/>
              </w:rPr>
              <w:br/>
              <w:t xml:space="preserve">    - advantages over more extensive surgery: compared with Type III (Class III) radical hysterectomy, Type II surgery offers:</w:t>
            </w:r>
            <w:r w:rsidRPr="00CB2EC4">
              <w:rPr>
                <w:rFonts w:ascii="Times New Roman" w:hAnsi="Times New Roman" w:cs="Times New Roman"/>
              </w:rPr>
              <w:br/>
              <w:t xml:space="preserve">      - lower complication rates: by preserving part of the parametrial tissue, Type II surgery significantly reduces urinary tract complications (e.g., ureteral fistula or bladder dysfunction; the text notes rates of 28% for Type III vs. 13% for Type II).</w:t>
            </w:r>
            <w:r w:rsidRPr="00CB2EC4">
              <w:rPr>
                <w:rFonts w:ascii="Times New Roman" w:hAnsi="Times New Roman" w:cs="Times New Roman"/>
              </w:rPr>
              <w:br/>
              <w:t xml:space="preserve">      - reduced surgical trauma: Type II procedures have shorter operative times (mean 135 min vs. 180 min), less intraoperative blood loss, and shorter postoperative hospital stays (all P&lt;0.05), improving postoperative quality of life.</w:t>
            </w:r>
            <w:r w:rsidRPr="00CB2EC4">
              <w:rPr>
                <w:rFonts w:ascii="Times New Roman" w:hAnsi="Times New Roman" w:cs="Times New Roman"/>
              </w:rPr>
              <w:br/>
              <w:t xml:space="preserve">      - better functional preservation: especially in younger patients (e.g., under 45 years), Type II surgery better maintains vaginal elasticity and lubrication, preventing vaginal atrophy.</w:t>
            </w:r>
            <w:r w:rsidRPr="00CB2EC4">
              <w:rPr>
                <w:rFonts w:ascii="Times New Roman" w:hAnsi="Times New Roman" w:cs="Times New Roman"/>
              </w:rPr>
              <w:br/>
            </w:r>
            <w:r w:rsidRPr="00CB2EC4">
              <w:rPr>
                <w:rFonts w:ascii="Times New Roman" w:hAnsi="Times New Roman" w:cs="Times New Roman"/>
              </w:rPr>
              <w:br/>
              <w:t xml:space="preserve">  in summary, recommending Type II surgery is justified because it achieves equivalent survival outcomes while minimizing surgical risk and complications, aligning with the principle of individualized treatment.</w:t>
            </w:r>
          </w:p>
        </w:tc>
        <w:tc>
          <w:tcPr>
            <w:tcW w:w="1152" w:type="dxa"/>
            <w:vAlign w:val="center"/>
          </w:tcPr>
          <w:p w14:paraId="54DEAF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E107E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CE04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16EDD8" w14:textId="77777777">
        <w:tc>
          <w:tcPr>
            <w:tcW w:w="2160" w:type="dxa"/>
            <w:vAlign w:val="center"/>
          </w:tcPr>
          <w:p w14:paraId="695DAEDA"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A09BF1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recommended surgical type: Type II radical hysterectomy (subtotal radical hysterectomy) with pelvic lymphadenectomy.  </w:t>
            </w:r>
            <w:r w:rsidRPr="00CB2EC4">
              <w:rPr>
                <w:rFonts w:ascii="Times New Roman" w:hAnsi="Times New Roman" w:cs="Times New Roman"/>
              </w:rPr>
              <w:br/>
              <w:t xml:space="preserve">Rationale and advantages:  </w:t>
            </w:r>
            <w:r w:rsidRPr="00CB2EC4">
              <w:rPr>
                <w:rFonts w:ascii="Times New Roman" w:hAnsi="Times New Roman" w:cs="Times New Roman"/>
              </w:rPr>
              <w:br/>
              <w:t xml:space="preserve">- Basis for recommendation (based on Text Segments 1, 2, 10):  </w:t>
            </w:r>
            <w:r w:rsidRPr="00CB2EC4">
              <w:rPr>
                <w:rFonts w:ascii="Times New Roman" w:hAnsi="Times New Roman" w:cs="Times New Roman"/>
              </w:rPr>
              <w:br/>
              <w:t xml:space="preserve">  - Segment 1 (theme: discussion on subtotal radical hysterectomy) explicitly states that for patients with IB-stage cervical squamous cell carcinoma (tumor </w:t>
            </w:r>
            <w:r w:rsidRPr="00CB2EC4">
              <w:rPr>
                <w:rFonts w:ascii="Times New Roman" w:hAnsi="Times New Roman" w:cs="Times New Roman"/>
              </w:rPr>
              <w:lastRenderedPageBreak/>
              <w:t xml:space="preserve">diameter ≤2 cm), no vascular space invasion, and pathological grade I–II, subtotal radical hysterectomy (Type II surgery) with pelvic lymphadenectomy is feasible. The current patient meets all low-risk criteria (tumor 1 cm, grade I, no vascular invasion).  </w:t>
            </w:r>
            <w:r w:rsidRPr="00CB2EC4">
              <w:rPr>
                <w:rFonts w:ascii="Times New Roman" w:hAnsi="Times New Roman" w:cs="Times New Roman"/>
              </w:rPr>
              <w:br/>
              <w:t xml:space="preserve">  - Segment 2 (theme: comparison of cervical cancer surgical extent) clinical data support: among 480 similar patients (tumor &lt;2 cm, grade I–II squamous cell carcinoma), comparison of Type II versus Type III surgery showed identical 5-year survival rates (100% vs 100%), no statistical difference, but Type II surgery had significantly lower complication rates.  </w:t>
            </w:r>
            <w:r w:rsidRPr="00CB2EC4">
              <w:rPr>
                <w:rFonts w:ascii="Times New Roman" w:hAnsi="Times New Roman" w:cs="Times New Roman"/>
              </w:rPr>
              <w:br/>
              <w:t xml:space="preserve">- Rationale for recommendation:  </w:t>
            </w:r>
            <w:r w:rsidRPr="00CB2EC4">
              <w:rPr>
                <w:rFonts w:ascii="Times New Roman" w:hAnsi="Times New Roman" w:cs="Times New Roman"/>
              </w:rPr>
              <w:br/>
              <w:t xml:space="preserve">  - Low metastatic risk: Segment 1 data indicate pelvic lymph node metastasis rates of only 0–14% in tumors ≤2 cm without vascular invasion, and parametrial involvement is rare (e.g., 0/75 cases in Qi Linlin’s series).  </w:t>
            </w:r>
            <w:r w:rsidRPr="00CB2EC4">
              <w:rPr>
                <w:rFonts w:ascii="Times New Roman" w:hAnsi="Times New Roman" w:cs="Times New Roman"/>
              </w:rPr>
              <w:br/>
              <w:t xml:space="preserve">  - Individualized approach: Segment 2 emphasizes that cervical cancer surgery should be “individualized,” selecting the least morbid procedure that ensures oncologic safety.  </w:t>
            </w:r>
            <w:r w:rsidRPr="00CB2EC4">
              <w:rPr>
                <w:rFonts w:ascii="Times New Roman" w:hAnsi="Times New Roman" w:cs="Times New Roman"/>
              </w:rPr>
              <w:br/>
              <w:t xml:space="preserve">- Advantages over more extensive surgery (Type III):  </w:t>
            </w:r>
            <w:r w:rsidRPr="00CB2EC4">
              <w:rPr>
                <w:rFonts w:ascii="Times New Roman" w:hAnsi="Times New Roman" w:cs="Times New Roman"/>
              </w:rPr>
              <w:br/>
              <w:t xml:space="preserve">  - Lower complications: Type II surgery has less intraoperative blood loss, shorter operative time, shorter postoperative hospital stay (Segment 2: all P&lt;0.05), and significantly reduced urologic complications (e.g., Landoni study: 13% vs 28% for Type III).  </w:t>
            </w:r>
            <w:r w:rsidRPr="00CB2EC4">
              <w:rPr>
                <w:rFonts w:ascii="Times New Roman" w:hAnsi="Times New Roman" w:cs="Times New Roman"/>
              </w:rPr>
              <w:br/>
              <w:t xml:space="preserve">  - Better quality of life: Preservation of more parametrial tissue reduces risk of bladder dysfunction (Segment 1, 2).  </w:t>
            </w:r>
            <w:r w:rsidRPr="00CB2EC4">
              <w:rPr>
                <w:rFonts w:ascii="Times New Roman" w:hAnsi="Times New Roman" w:cs="Times New Roman"/>
              </w:rPr>
              <w:br/>
              <w:t xml:space="preserve">  - Equivalent survival: 5-year survival rate is non-inferior to Type III surgery (Segment 2: 100% vs </w:t>
            </w:r>
            <w:r w:rsidRPr="00CB2EC4">
              <w:rPr>
                <w:rFonts w:ascii="Times New Roman" w:hAnsi="Times New Roman" w:cs="Times New Roman"/>
              </w:rPr>
              <w:lastRenderedPageBreak/>
              <w:t>100%).</w:t>
            </w:r>
          </w:p>
        </w:tc>
        <w:tc>
          <w:tcPr>
            <w:tcW w:w="1152" w:type="dxa"/>
            <w:vAlign w:val="center"/>
          </w:tcPr>
          <w:p w14:paraId="72F452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21F62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00D5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366FFC9" w14:textId="77777777">
        <w:tc>
          <w:tcPr>
            <w:tcW w:w="2160" w:type="dxa"/>
            <w:vAlign w:val="center"/>
          </w:tcPr>
          <w:p w14:paraId="2AAF3F2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201774AC" w14:textId="77777777" w:rsidR="00922249" w:rsidRPr="00CB2EC4" w:rsidRDefault="003011D5">
            <w:pPr>
              <w:rPr>
                <w:rFonts w:ascii="Times New Roman" w:hAnsi="Times New Roman" w:cs="Times New Roman"/>
              </w:rPr>
            </w:pPr>
            <w:r w:rsidRPr="00CB2EC4">
              <w:rPr>
                <w:rFonts w:ascii="Times New Roman" w:hAnsi="Times New Roman" w:cs="Times New Roman"/>
              </w:rPr>
              <w:t>for a patient with IB stage cervical cancer characterized by a lesion diameter of 1 cm, grade I squamous cell carcinoma, and no lymphovascular space invasion, the text favors recommending Type II surgery (subtotal radical hysterectomy) or Class B radical hysterectomy (also referred to as modified radical hysterectomy in some contexts), combined with pelvic lymphadenectomy. the rationale and advantages over more extensive surgery are as follows:</w:t>
            </w:r>
            <w:r w:rsidRPr="00CB2EC4">
              <w:rPr>
                <w:rFonts w:ascii="Times New Roman" w:hAnsi="Times New Roman" w:cs="Times New Roman"/>
              </w:rPr>
              <w:br/>
            </w:r>
            <w:r w:rsidRPr="00CB2EC4">
              <w:rPr>
                <w:rFonts w:ascii="Times New Roman" w:hAnsi="Times New Roman" w:cs="Times New Roman"/>
              </w:rPr>
              <w:br/>
              <w:t>- rationale for recommending this surgery:</w:t>
            </w:r>
            <w:r w:rsidRPr="00CB2EC4">
              <w:rPr>
                <w:rFonts w:ascii="Times New Roman" w:hAnsi="Times New Roman" w:cs="Times New Roman"/>
              </w:rPr>
              <w:br/>
              <w:t xml:space="preserve">  - the patient’s profile (cervical squamous carcinoma grade I, tumor diameter ≤2 cm, no lymphovascular invasion, IB stage) meets the "low-risk" IB cervical cancer criteria defined in the text. excerpt 1 explicitly states: for patients with cervical squamous carcinoma grade I or II, tumor diameter ≤2 cm, and no lymphovascular infiltration, subtotal radical hysterectomy (Type II) with pelvic lymphadenectomy is feasible. citing a study by Qi Lin-Tao et al. (75 similar cases), it shows a low pelvic lymph node metastasis rate (4%), with 5-year and 10-year survival rates of 100% and 96%, respectively. Kinney’s research also supports Type II surgery for such "low-risk" patients (tumor ≤2 cm, no lymphovascular space invasion), demonstrating no parametrial involvement and high long-term survival.</w:t>
            </w:r>
            <w:r w:rsidRPr="00CB2EC4">
              <w:rPr>
                <w:rFonts w:ascii="Times New Roman" w:hAnsi="Times New Roman" w:cs="Times New Roman"/>
              </w:rPr>
              <w:br/>
              <w:t xml:space="preserve">  - excerpt 2 further compares Type II and Type III surgery: among 480 similar patients, the 240 who underwent Type II surgery achieved 5-year survival (100%) and disease-free survival (98.33%), with no statistically significant difference from Type III </w:t>
            </w:r>
            <w:r w:rsidRPr="00CB2EC4">
              <w:rPr>
                <w:rFonts w:ascii="Times New Roman" w:hAnsi="Times New Roman" w:cs="Times New Roman"/>
              </w:rPr>
              <w:lastRenderedPageBreak/>
              <w:t>surgery (100% and 97.2%; P=0.779), but Type II surgery was significantly superior in operative time, postoperative hospital stay, and intraoperative blood loss (P=0.0001, P=0.0001, P=0.001, respectively).</w:t>
            </w:r>
            <w:r w:rsidRPr="00CB2EC4">
              <w:rPr>
                <w:rFonts w:ascii="Times New Roman" w:hAnsi="Times New Roman" w:cs="Times New Roman"/>
              </w:rPr>
              <w:br/>
              <w:t xml:space="preserve">  - excerpts 3 and 15 indicate that for low-risk IB1 patients (tumor &lt;2 cm, cervical stromal invasion &lt;50%, no lymph node metastasis), modified radical hysterectomy (Class B) with pelvic lymph node dissection may be considered. excerpt 23 directly states: "for IB1 with no lymphovascular invasion, cervical resection may be performed without extensive cervical resection." however, cervical resection is more suitable for young patients desiring fertility preservation (excerpt 16); since fertility status is unspecified here, Type II or Class B surgery is more universally appropriate.</w:t>
            </w:r>
            <w:r w:rsidRPr="00CB2EC4">
              <w:rPr>
                <w:rFonts w:ascii="Times New Roman" w:hAnsi="Times New Roman" w:cs="Times New Roman"/>
              </w:rPr>
              <w:br/>
              <w:t xml:space="preserve">  - overall, the text emphasizes reducing surgical extent while ensuring efficacy, particularly for low-risk cases. with a tumor size of only 1 cm (&lt;2 cm), Type II or Class B surgery is proven safe and effective.</w:t>
            </w:r>
            <w:r w:rsidRPr="00CB2EC4">
              <w:rPr>
                <w:rFonts w:ascii="Times New Roman" w:hAnsi="Times New Roman" w:cs="Times New Roman"/>
              </w:rPr>
              <w:br/>
            </w:r>
            <w:r w:rsidRPr="00CB2EC4">
              <w:rPr>
                <w:rFonts w:ascii="Times New Roman" w:hAnsi="Times New Roman" w:cs="Times New Roman"/>
              </w:rPr>
              <w:br/>
              <w:t>- advantages compared to more extensive surgery (e.g., Type III or Class C):</w:t>
            </w:r>
            <w:r w:rsidRPr="00CB2EC4">
              <w:rPr>
                <w:rFonts w:ascii="Times New Roman" w:hAnsi="Times New Roman" w:cs="Times New Roman"/>
              </w:rPr>
              <w:br/>
              <w:t xml:space="preserve">  - reduced complications: Type II surgery causes less tissue damage than Type III, resulting in fewer complications, especially significantly lower urinary tract complications (e.g., bladder dysfunction and fistula). excerpt 2 notes that Type II surgery has "obviously lower postoperative complications than the latter," explaining that "retaining some parametrial tissue will inevitably greatly reduce the incidence of urinary tract complications." excerpt 9 also supports that modified surgery (similar to Type II) reduces </w:t>
            </w:r>
            <w:r w:rsidRPr="00CB2EC4">
              <w:rPr>
                <w:rFonts w:ascii="Times New Roman" w:hAnsi="Times New Roman" w:cs="Times New Roman"/>
              </w:rPr>
              <w:lastRenderedPageBreak/>
              <w:t>bladder dysfunction (incidence 23.0% vs. 51.1%).</w:t>
            </w:r>
            <w:r w:rsidRPr="00CB2EC4">
              <w:rPr>
                <w:rFonts w:ascii="Times New Roman" w:hAnsi="Times New Roman" w:cs="Times New Roman"/>
              </w:rPr>
              <w:br/>
              <w:t xml:space="preserve">  - superior surgical metrics: Type II surgery offers shorter operative time, less intraoperative blood loss, and shorter postoperative hospital stay (excerpt 2), improving patient quality of life and recovery speed.</w:t>
            </w:r>
            <w:r w:rsidRPr="00CB2EC4">
              <w:rPr>
                <w:rFonts w:ascii="Times New Roman" w:hAnsi="Times New Roman" w:cs="Times New Roman"/>
              </w:rPr>
              <w:br/>
              <w:t xml:space="preserve">  - equivalent survival rates: multiple sections confirm that for low-risk patients, survival rates with Type II or Class B surgery match those of more extensive Type III or Class C surgery (excerpts 1, 2, 9), so extending the surgery provides no additional benefit but increases risk.</w:t>
            </w:r>
            <w:r w:rsidRPr="00CB2EC4">
              <w:rPr>
                <w:rFonts w:ascii="Times New Roman" w:hAnsi="Times New Roman" w:cs="Times New Roman"/>
              </w:rPr>
              <w:br/>
              <w:t xml:space="preserve">  - summary of advantages: with equivalent survival outcomes, Type II or Class B surgery delivers lower complication rates, faster recovery, and better quality of life.</w:t>
            </w:r>
            <w:r w:rsidRPr="00CB2EC4">
              <w:rPr>
                <w:rFonts w:ascii="Times New Roman" w:hAnsi="Times New Roman" w:cs="Times New Roman"/>
              </w:rPr>
              <w:br/>
            </w:r>
            <w:r w:rsidRPr="00CB2EC4">
              <w:rPr>
                <w:rFonts w:ascii="Times New Roman" w:hAnsi="Times New Roman" w:cs="Times New Roman"/>
              </w:rPr>
              <w:br/>
              <w:t>conclusion: the text favors Type II surgery (subtotal radical hysterectomy) or Class B radical hysterectomy with pelvic lymphadenectomy, based on the low-risk features (small tumor, no lymphovascular invasion), proven safety and efficacy, and clear advantages over Type III surgery in complication profile and recovery parameters.</w:t>
            </w:r>
          </w:p>
        </w:tc>
        <w:tc>
          <w:tcPr>
            <w:tcW w:w="1152" w:type="dxa"/>
            <w:vAlign w:val="center"/>
          </w:tcPr>
          <w:p w14:paraId="3EE39D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D18B9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880E1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402D73" w14:textId="77777777">
        <w:tc>
          <w:tcPr>
            <w:tcW w:w="2160" w:type="dxa"/>
            <w:vAlign w:val="center"/>
          </w:tcPr>
          <w:p w14:paraId="216F839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4E17C27F" w14:textId="77777777" w:rsidR="00922249" w:rsidRPr="00CB2EC4" w:rsidRDefault="003011D5">
            <w:pPr>
              <w:rPr>
                <w:rFonts w:ascii="Times New Roman" w:hAnsi="Times New Roman" w:cs="Times New Roman"/>
              </w:rPr>
            </w:pPr>
            <w:r w:rsidRPr="00CB2EC4">
              <w:rPr>
                <w:rFonts w:ascii="Times New Roman" w:hAnsi="Times New Roman" w:cs="Times New Roman"/>
              </w:rPr>
              <w:t>For an IB-stage cervical cancer patient with a lesion diameter of 1 cm, pathological grade I squamous cell carcinoma, and no lymphovascular space invasion, the text tends to recommend which type of surgery?</w:t>
            </w:r>
            <w:r w:rsidRPr="00CB2EC4">
              <w:rPr>
                <w:rFonts w:ascii="Times New Roman" w:hAnsi="Times New Roman" w:cs="Times New Roman"/>
              </w:rPr>
              <w:br/>
            </w:r>
            <w:r w:rsidRPr="00CB2EC4">
              <w:rPr>
                <w:rFonts w:ascii="Times New Roman" w:hAnsi="Times New Roman" w:cs="Times New Roman"/>
              </w:rPr>
              <w:br/>
              <w:t xml:space="preserve">Recommended surgical type: Type II (Class II) radical hysterectomy (modified radical hysterectomy) combined with pelvic lymphadenectomy.  </w:t>
            </w:r>
            <w:r w:rsidRPr="00CB2EC4">
              <w:rPr>
                <w:rFonts w:ascii="Times New Roman" w:hAnsi="Times New Roman" w:cs="Times New Roman"/>
              </w:rPr>
              <w:br/>
              <w:t xml:space="preserve">Reasons and advantages:  </w:t>
            </w:r>
            <w:r w:rsidRPr="00CB2EC4">
              <w:rPr>
                <w:rFonts w:ascii="Times New Roman" w:hAnsi="Times New Roman" w:cs="Times New Roman"/>
              </w:rPr>
              <w:br/>
              <w:t xml:space="preserve">1. Rationality:  </w:t>
            </w:r>
            <w:r w:rsidRPr="00CB2EC4">
              <w:rPr>
                <w:rFonts w:ascii="Times New Roman" w:hAnsi="Times New Roman" w:cs="Times New Roman"/>
              </w:rPr>
              <w:br/>
              <w:t xml:space="preserve">   - The knowledge base document explicitly states </w:t>
            </w:r>
            <w:r w:rsidRPr="00CB2EC4">
              <w:rPr>
                <w:rFonts w:ascii="Times New Roman" w:hAnsi="Times New Roman" w:cs="Times New Roman"/>
              </w:rPr>
              <w:lastRenderedPageBreak/>
              <w:t xml:space="preserve">that for cervical squamous cell carcinoma grade I/II, tumor diameter ≤2 cm, and no lymphovascular infiltration in IB-stage patients, type II surgery (modified radical hysterectomy) and pelvic lymphadenectomy are feasible (knowledge base document).  </w:t>
            </w:r>
            <w:r w:rsidRPr="00CB2EC4">
              <w:rPr>
                <w:rFonts w:ascii="Times New Roman" w:hAnsi="Times New Roman" w:cs="Times New Roman"/>
              </w:rPr>
              <w:br/>
              <w:t xml:space="preserve">   - Multiple studies support this:  </w:t>
            </w:r>
            <w:r w:rsidRPr="00CB2EC4">
              <w:rPr>
                <w:rFonts w:ascii="Times New Roman" w:hAnsi="Times New Roman" w:cs="Times New Roman"/>
              </w:rPr>
              <w:br/>
              <w:t xml:space="preserve">     - Kinney reported that among 387 IB-stage patients, those with tumor diameter ≤2 cm and no lymphovascular invasion had no parametrial infiltration, only 4 cases with lymph node metastasis, and good long-term survival rates (knowledge base document).  </w:t>
            </w:r>
            <w:r w:rsidRPr="00CB2EC4">
              <w:rPr>
                <w:rFonts w:ascii="Times New Roman" w:hAnsi="Times New Roman" w:cs="Times New Roman"/>
              </w:rPr>
              <w:br/>
              <w:t xml:space="preserve">     - Qi Lintao et al. showed that 75 patients with lesions ≤2 cm undergoing type II surgery achieved a 5-year survival rate of 100% (knowledge base document).  </w:t>
            </w:r>
            <w:r w:rsidRPr="00CB2EC4">
              <w:rPr>
                <w:rFonts w:ascii="Times New Roman" w:hAnsi="Times New Roman" w:cs="Times New Roman"/>
              </w:rPr>
              <w:br/>
              <w:t xml:space="preserve">     - Landoni's prospective randomized study confirmed no statistical difference in 5-year survival rates between type II and type III surgery (81% vs 77%), but type II surgery had lower complication rates (knowledge base document).  </w:t>
            </w:r>
            <w:r w:rsidRPr="00CB2EC4">
              <w:rPr>
                <w:rFonts w:ascii="Times New Roman" w:hAnsi="Times New Roman" w:cs="Times New Roman"/>
              </w:rPr>
              <w:br/>
              <w:t xml:space="preserve">   - Q-M classification support: Web search results indicate that such patients meet the criteria for Q-M type B surgery (modified radical hysterectomy), equivalent to Piver II type, suitable for IA1-stage LVSI positive to IB1-stage low-risk patients (web search results).  </w:t>
            </w:r>
            <w:r w:rsidRPr="00CB2EC4">
              <w:rPr>
                <w:rFonts w:ascii="Times New Roman" w:hAnsi="Times New Roman" w:cs="Times New Roman"/>
              </w:rPr>
              <w:br/>
            </w:r>
            <w:r w:rsidRPr="00CB2EC4">
              <w:rPr>
                <w:rFonts w:ascii="Times New Roman" w:hAnsi="Times New Roman" w:cs="Times New Roman"/>
              </w:rPr>
              <w:br/>
              <w:t xml:space="preserve">2. Advantages compared with radical surgery (Type III):  </w:t>
            </w:r>
            <w:r w:rsidRPr="00CB2EC4">
              <w:rPr>
                <w:rFonts w:ascii="Times New Roman" w:hAnsi="Times New Roman" w:cs="Times New Roman"/>
              </w:rPr>
              <w:br/>
              <w:t xml:space="preserve">   - Significantly reduced complications: The urinary system complication rate for type II surgery (13%) is much lower than for type III surgery (28%), with </w:t>
            </w:r>
            <w:r w:rsidRPr="00CB2EC4">
              <w:rPr>
                <w:rFonts w:ascii="Times New Roman" w:hAnsi="Times New Roman" w:cs="Times New Roman"/>
              </w:rPr>
              <w:lastRenderedPageBreak/>
              <w:t xml:space="preserve">shorter operative blood loss, surgery time, and hospital stay (knowledge base document).  </w:t>
            </w:r>
            <w:r w:rsidRPr="00CB2EC4">
              <w:rPr>
                <w:rFonts w:ascii="Times New Roman" w:hAnsi="Times New Roman" w:cs="Times New Roman"/>
              </w:rPr>
              <w:br/>
              <w:t xml:space="preserve">   - Preservation of organ function: Only partial parametrial tissue is removed (half of the cardinal ligament, one-third of the vagina), preserving the uterine artery and ureter branches, thereby reducing the risk of bladder dysfunction (knowledge base document).  </w:t>
            </w:r>
            <w:r w:rsidRPr="00CB2EC4">
              <w:rPr>
                <w:rFonts w:ascii="Times New Roman" w:hAnsi="Times New Roman" w:cs="Times New Roman"/>
              </w:rPr>
              <w:br/>
              <w:t xml:space="preserve">   - No difference in survival rates: Both groups had 5-year survival rates of 100%, with no statistical difference (p=0.779) (knowledge base document).</w:t>
            </w:r>
          </w:p>
        </w:tc>
        <w:tc>
          <w:tcPr>
            <w:tcW w:w="1152" w:type="dxa"/>
            <w:vAlign w:val="center"/>
          </w:tcPr>
          <w:p w14:paraId="008D54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8DDA5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177D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69F544" w14:textId="77777777">
        <w:tc>
          <w:tcPr>
            <w:tcW w:w="2160" w:type="dxa"/>
            <w:vAlign w:val="center"/>
          </w:tcPr>
          <w:p w14:paraId="231C9AF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1B72289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patient with IB stage cervical cancer, a tumor diameter of 1 cm, pathological grade I squamous cell carcinoma, and no lymphovascular space invasion, the text favors recommending Class II (Type II) radical hysterectomy (i.e., modified radical hysterectomy) with pelvic lymphadenectomy.  </w:t>
            </w:r>
            <w:r w:rsidRPr="00CB2EC4">
              <w:rPr>
                <w:rFonts w:ascii="Times New Roman" w:hAnsi="Times New Roman" w:cs="Times New Roman"/>
              </w:rPr>
              <w:br/>
              <w:t xml:space="preserve">- rationale for recommendation:  </w:t>
            </w:r>
            <w:r w:rsidRPr="00CB2EC4">
              <w:rPr>
                <w:rFonts w:ascii="Times New Roman" w:hAnsi="Times New Roman" w:cs="Times New Roman"/>
              </w:rPr>
              <w:br/>
              <w:t xml:space="preserve">  according to text segment 1 and segment 2, for cervical squamous cell carcinoma grade I or II, tumor diameter ≤2 cm, and no lymphovascular invasion, Class II surgery is an indicated procedure. text segment 1 explicitly states: "for patients with cervical squamous cell carcinoma grade I or II, tumor diameter ≤2 cm, and no lymphovascular infiltration, modified radical hysterectomy (Class II surgery) and pelvic lymphadenectomy can be performed." text segment 2 further supports this by clinical data (e.g., the author’s comparative study of 480 similar patients) showing that the 5-year survival rate (100%) and disease-free survival rate (98.33%) for Class II surgery are not statistically different from those of the more extensive Class III surgery (5-year survival 100%, disease-free survival 97.2%; P=0.779), while surgical trauma and </w:t>
            </w:r>
            <w:r w:rsidRPr="00CB2EC4">
              <w:rPr>
                <w:rFonts w:ascii="Times New Roman" w:hAnsi="Times New Roman" w:cs="Times New Roman"/>
              </w:rPr>
              <w:lastRenderedPageBreak/>
              <w:t xml:space="preserve">complications are significantly reduced.  </w:t>
            </w:r>
            <w:r w:rsidRPr="00CB2EC4">
              <w:rPr>
                <w:rFonts w:ascii="Times New Roman" w:hAnsi="Times New Roman" w:cs="Times New Roman"/>
              </w:rPr>
              <w:br/>
              <w:t xml:space="preserve">- advantages over more extensive surgery (such as Class III):  </w:t>
            </w:r>
            <w:r w:rsidRPr="00CB2EC4">
              <w:rPr>
                <w:rFonts w:ascii="Times New Roman" w:hAnsi="Times New Roman" w:cs="Times New Roman"/>
              </w:rPr>
              <w:br/>
              <w:t xml:space="preserve">  - reduced surgical complications: class II surgery significantly decreases operative time, intraoperative blood loss, and postoperative hospital stay (text segment 2: P=0.0001, P=0.001, and P=0.0001, respectively), with lower incidence of postoperative complications such as urinary tract infection and bladder dysfunction ("significantly lower" in Class II than Class III).  </w:t>
            </w:r>
            <w:r w:rsidRPr="00CB2EC4">
              <w:rPr>
                <w:rFonts w:ascii="Times New Roman" w:hAnsi="Times New Roman" w:cs="Times New Roman"/>
              </w:rPr>
              <w:br/>
              <w:t xml:space="preserve">  - tissue preservation and quality of life: class II surgery removes only part of the parametrial tissue (e.g., 1/2 of the cardinal and uterosacral ligaments, 1/3 of the vagina) and preserves partial blood supply to the ureter (text segment 5), reducing the risk of ureteral injury and fistula formation, thereby improving quality of life (text segment 1 and 2 emphasize "without compromising therapeutic efficacy, to reduce surgical complications and improve quality of life").  </w:t>
            </w:r>
            <w:r w:rsidRPr="00CB2EC4">
              <w:rPr>
                <w:rFonts w:ascii="Times New Roman" w:hAnsi="Times New Roman" w:cs="Times New Roman"/>
              </w:rPr>
              <w:br/>
              <w:t xml:space="preserve">  - equivalent survival outcomes: text segment 1 (Qi Lintao et al.) and segment 2 (Landoni et al. prospective study) both confirm that for low-risk IB stage patients (tumor ≤2 cm, no lymphovascular invasion), the 5-year survival rate of Class II surgery is comparable to that of Class III surgery (100% vs 100%), with no statistically significant difference.</w:t>
            </w:r>
          </w:p>
        </w:tc>
        <w:tc>
          <w:tcPr>
            <w:tcW w:w="1152" w:type="dxa"/>
            <w:vAlign w:val="center"/>
          </w:tcPr>
          <w:p w14:paraId="058BCC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20B6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0A8A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DA8627" w14:textId="77777777">
        <w:tc>
          <w:tcPr>
            <w:tcW w:w="2160" w:type="dxa"/>
            <w:vAlign w:val="center"/>
          </w:tcPr>
          <w:p w14:paraId="7BF2D404"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DBCA500" w14:textId="77777777" w:rsidR="00922249" w:rsidRPr="00CB2EC4" w:rsidRDefault="003011D5">
            <w:pPr>
              <w:rPr>
                <w:rFonts w:ascii="Times New Roman" w:hAnsi="Times New Roman" w:cs="Times New Roman"/>
              </w:rPr>
            </w:pPr>
            <w:r w:rsidRPr="00CB2EC4">
              <w:rPr>
                <w:rFonts w:ascii="Times New Roman" w:hAnsi="Times New Roman" w:cs="Times New Roman"/>
              </w:rPr>
              <w:t>for an ib-stage cervical cancer patient with a lesion diameter of 1 cm, pathological grade i squamous carcinoma, and no lymphovascular space invasion, the text favors recommending class ii extended hysterectomy (i.e., subtotal radical hysterectomy) combined with pelvic lymphadenectomy.</w:t>
            </w:r>
            <w:r w:rsidRPr="00CB2EC4">
              <w:rPr>
                <w:rFonts w:ascii="Times New Roman" w:hAnsi="Times New Roman" w:cs="Times New Roman"/>
              </w:rPr>
              <w:br/>
            </w:r>
            <w:r w:rsidRPr="00CB2EC4">
              <w:rPr>
                <w:rFonts w:ascii="Times New Roman" w:hAnsi="Times New Roman" w:cs="Times New Roman"/>
              </w:rPr>
              <w:lastRenderedPageBreak/>
              <w:br/>
              <w:t>explanation of the rationale and advantages for recommending this surgical approach:</w:t>
            </w:r>
            <w:r w:rsidRPr="00CB2EC4">
              <w:rPr>
                <w:rFonts w:ascii="Times New Roman" w:hAnsi="Times New Roman" w:cs="Times New Roman"/>
              </w:rPr>
              <w:br/>
              <w:t>- rationale:</w:t>
            </w:r>
            <w:r w:rsidRPr="00CB2EC4">
              <w:rPr>
                <w:rFonts w:ascii="Times New Roman" w:hAnsi="Times New Roman" w:cs="Times New Roman"/>
              </w:rPr>
              <w:br/>
              <w:t xml:space="preserve">  according to document 1 (fusion score 1.0000), for cervical squamous carcinoma grade i, tumor diameter ≤2 cm, and no lymphovascular infiltration in ib-stage patients, class ii surgery (subtotal radical hysterectomy) and pelvic lymphadenectomy are recommended. document 1 cites multiple studies (e.g., kinney, qi lintao et al.) showing that such "low-risk" ib-stage patients (tumor diameter ≤2 cm, no lymphovascular invasion) have low pelvic lymph node metastasis rates (0–14%), rare parametrial involvement, 5-year survival rate of 100%, and 10-year survival rate of 96%. document 2 (fusion score 0.8583) further supports this view; comparative studies (240 class ii vs. 240 class iii surgeries) show no statistical difference in 5-year survival rates (100% vs. 100%, p=0.779), but class ii surgery has significantly lower complications. landoni et al.'s prospective randomized study (document 2) also confirmed that for ib-stage patients, class ii surgery achieves survival rates equivalent to the more extensive class iii surgery (5-year survival 81% vs. 77%), with lower late complications. therefore, based on individualized principles (document 1), recommending class ii surgery is rational because it provides equivalent tumor control for low-risk patients (small lesion, low grade, no lymphovascular invasion) while reducing unnecessary tissue damage.</w:t>
            </w:r>
            <w:r w:rsidRPr="00CB2EC4">
              <w:rPr>
                <w:rFonts w:ascii="Times New Roman" w:hAnsi="Times New Roman" w:cs="Times New Roman"/>
              </w:rPr>
              <w:br/>
            </w:r>
            <w:r w:rsidRPr="00CB2EC4">
              <w:rPr>
                <w:rFonts w:ascii="Times New Roman" w:hAnsi="Times New Roman" w:cs="Times New Roman"/>
              </w:rPr>
              <w:br/>
              <w:t>- advantages compared to more extensive surgery (e.g., class iii):</w:t>
            </w:r>
            <w:r w:rsidRPr="00CB2EC4">
              <w:rPr>
                <w:rFonts w:ascii="Times New Roman" w:hAnsi="Times New Roman" w:cs="Times New Roman"/>
              </w:rPr>
              <w:br/>
            </w:r>
            <w:r w:rsidRPr="00CB2EC4">
              <w:rPr>
                <w:rFonts w:ascii="Times New Roman" w:hAnsi="Times New Roman" w:cs="Times New Roman"/>
              </w:rPr>
              <w:lastRenderedPageBreak/>
              <w:t xml:space="preserve">  - lower complication rates: document 2 explicitly compares and shows class ii surgery has shorter operative time (mean 135 min vs. 180 min), less intraoperative blood loss (p=0.001), shorter postoperative hospital stay (p=0.0001), and significantly reduced urinary tract complications (13% vs. 28%). document 1 also notes that class ii surgery causes less damage, reducing postoperative bladder dysfunction and infection risks.</w:t>
            </w:r>
            <w:r w:rsidRPr="00CB2EC4">
              <w:rPr>
                <w:rFonts w:ascii="Times New Roman" w:hAnsi="Times New Roman" w:cs="Times New Roman"/>
              </w:rPr>
              <w:br/>
              <w:t xml:space="preserve">  - higher quality of life: document 1 emphasizes that, without compromising treatment efficacy (no difference in 5-year survival), class ii surgery preserves more parametrial tissue, facilitating bladder function recovery and reducing long-term sequelae (e.g., voiding difficulties).</w:t>
            </w:r>
            <w:r w:rsidRPr="00CB2EC4">
              <w:rPr>
                <w:rFonts w:ascii="Times New Roman" w:hAnsi="Times New Roman" w:cs="Times New Roman"/>
              </w:rPr>
              <w:br/>
              <w:t xml:space="preserve">  - better surgical feasibility: document 8 (fusion score 0.6368) states that for low-risk ib1 patients with tumor diameter &lt;2 cm, modified radical hysterectomy (type b, equivalent to class ii) is an option to avoid overtreatment.</w:t>
            </w:r>
            <w:r w:rsidRPr="00CB2EC4">
              <w:rPr>
                <w:rFonts w:ascii="Times New Roman" w:hAnsi="Times New Roman" w:cs="Times New Roman"/>
              </w:rPr>
              <w:br/>
            </w:r>
            <w:r w:rsidRPr="00CB2EC4">
              <w:rPr>
                <w:rFonts w:ascii="Times New Roman" w:hAnsi="Times New Roman" w:cs="Times New Roman"/>
              </w:rPr>
              <w:br/>
              <w:t>in summary, recommending class ii surgery is based on high survival rates, low complications, and individualized treatment principles, especially suitable for ib-stage patients with small (1 cm), low-grade lesions.</w:t>
            </w:r>
          </w:p>
        </w:tc>
        <w:tc>
          <w:tcPr>
            <w:tcW w:w="1152" w:type="dxa"/>
            <w:vAlign w:val="center"/>
          </w:tcPr>
          <w:p w14:paraId="3912C9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0C8AE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CC18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C3A719" w14:textId="77777777">
        <w:tc>
          <w:tcPr>
            <w:tcW w:w="2160" w:type="dxa"/>
            <w:vAlign w:val="center"/>
          </w:tcPr>
          <w:p w14:paraId="3F59449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5EA8EDBB" w14:textId="77777777" w:rsidR="00922249" w:rsidRPr="00CB2EC4" w:rsidRDefault="003011D5">
            <w:pPr>
              <w:rPr>
                <w:rFonts w:ascii="Times New Roman" w:hAnsi="Times New Roman" w:cs="Times New Roman"/>
              </w:rPr>
            </w:pPr>
            <w:r w:rsidRPr="00CB2EC4">
              <w:rPr>
                <w:rFonts w:ascii="Times New Roman" w:hAnsi="Times New Roman" w:cs="Times New Roman"/>
              </w:rPr>
              <w:t>recommended surgical type: Type II radical hysterectomy (also termed modified radical or subradical hysterectomy) with pelvic lymphadenectomy.</w:t>
            </w:r>
            <w:r w:rsidRPr="00CB2EC4">
              <w:rPr>
                <w:rFonts w:ascii="Times New Roman" w:hAnsi="Times New Roman" w:cs="Times New Roman"/>
              </w:rPr>
              <w:br/>
            </w:r>
            <w:r w:rsidRPr="00CB2EC4">
              <w:rPr>
                <w:rFonts w:ascii="Times New Roman" w:hAnsi="Times New Roman" w:cs="Times New Roman"/>
              </w:rPr>
              <w:br/>
              <w:t>rationale for recommendation:</w:t>
            </w:r>
            <w:r w:rsidRPr="00CB2EC4">
              <w:rPr>
                <w:rFonts w:ascii="Times New Roman" w:hAnsi="Times New Roman" w:cs="Times New Roman"/>
              </w:rPr>
              <w:br/>
              <w:t xml:space="preserve">- the text explicitly states: "for patients with cervical squamous cell carcinoma grade I or II, tumor diameter </w:t>
            </w:r>
            <w:r w:rsidRPr="00CB2EC4">
              <w:rPr>
                <w:rFonts w:ascii="Times New Roman" w:hAnsi="Times New Roman" w:cs="Times New Roman"/>
              </w:rPr>
              <w:lastRenderedPageBreak/>
              <w:t>≤2 cm, and no vascular space invasion, subradical hysterectomy and pelvic lymphadenectomy may be performed" (HyDE similarity 0.683). this patient meets all criteria (1 cm tumor, grade I squamous carcinoma, no vascular invasion, stage IB).</w:t>
            </w:r>
            <w:r w:rsidRPr="00CB2EC4">
              <w:rPr>
                <w:rFonts w:ascii="Times New Roman" w:hAnsi="Times New Roman" w:cs="Times New Roman"/>
              </w:rPr>
              <w:br/>
              <w:t>- supporting data: qi lin-tao et al. reported 75 such patients (tumor ≤2 cm) undergoing type II surgery with a pelvic lymph node metastasis rate of only 4% and 5-year survival rate of 100% (HyDE similarity 0.683); kinney's study showed these "low-risk IB stage" patients have no parametrial involvement and favorable survival outcomes (HyDE similarity 0.683).</w:t>
            </w:r>
            <w:r w:rsidRPr="00CB2EC4">
              <w:rPr>
                <w:rFonts w:ascii="Times New Roman" w:hAnsi="Times New Roman" w:cs="Times New Roman"/>
              </w:rPr>
              <w:br/>
              <w:t>- individualized approach: the text emphasizes that "to reduce complications without compromising efficacy, type II surgery may be selected for certain IB stage patients" (HyDE similarity 0.683).</w:t>
            </w:r>
            <w:r w:rsidRPr="00CB2EC4">
              <w:rPr>
                <w:rFonts w:ascii="Times New Roman" w:hAnsi="Times New Roman" w:cs="Times New Roman"/>
              </w:rPr>
              <w:br/>
            </w:r>
            <w:r w:rsidRPr="00CB2EC4">
              <w:rPr>
                <w:rFonts w:ascii="Times New Roman" w:hAnsi="Times New Roman" w:cs="Times New Roman"/>
              </w:rPr>
              <w:br/>
              <w:t>advantages compared to type III radical hysterectomy:</w:t>
            </w:r>
            <w:r w:rsidRPr="00CB2EC4">
              <w:rPr>
                <w:rFonts w:ascii="Times New Roman" w:hAnsi="Times New Roman" w:cs="Times New Roman"/>
              </w:rPr>
              <w:br/>
              <w:t>- lower complication rates: type II surgery causes less tissue damage, significantly reducing risks of ureteric and bladder dysfunction (urinary complications: 13% for type II vs 28% for type III) (HyDE similarity 0.607).</w:t>
            </w:r>
            <w:r w:rsidRPr="00CB2EC4">
              <w:rPr>
                <w:rFonts w:ascii="Times New Roman" w:hAnsi="Times New Roman" w:cs="Times New Roman"/>
              </w:rPr>
              <w:br/>
              <w:t>- greater surgical efficiency: shorter operative time (mean 135 min vs 180 min), reduced intraoperative blood loss, and shorter postoperative hospital stay (HyDE similarity 0.607).</w:t>
            </w:r>
            <w:r w:rsidRPr="00CB2EC4">
              <w:rPr>
                <w:rFonts w:ascii="Times New Roman" w:hAnsi="Times New Roman" w:cs="Times New Roman"/>
              </w:rPr>
              <w:br/>
              <w:t>- equivalent survival outcomes: landoni's prospective study showed no statistically significant difference in 5-year survival rate (81% vs 77%) and disease-free survival (75% vs 73%) between type II and type III procedures (HyDE similarity 0.607).</w:t>
            </w:r>
          </w:p>
        </w:tc>
        <w:tc>
          <w:tcPr>
            <w:tcW w:w="1152" w:type="dxa"/>
            <w:vAlign w:val="center"/>
          </w:tcPr>
          <w:p w14:paraId="11B504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7901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3895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C257BF" w14:textId="77777777">
        <w:tc>
          <w:tcPr>
            <w:tcW w:w="2160" w:type="dxa"/>
            <w:vAlign w:val="center"/>
          </w:tcPr>
          <w:p w14:paraId="7AEE4FE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37C71B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an IB stage cervical cancer patient with a lesion diameter of 1 cm, pathological grade I squamous cell </w:t>
            </w:r>
            <w:r w:rsidRPr="00CB2EC4">
              <w:rPr>
                <w:rFonts w:ascii="Times New Roman" w:hAnsi="Times New Roman" w:cs="Times New Roman"/>
              </w:rPr>
              <w:lastRenderedPageBreak/>
              <w:t>carcinoma, and no lymphovascular space invasion, the text favors recommending a Class II extended hysterectomy (i.e., subtotal radical hysterectomy) with pelvic lymphadenectomy.</w:t>
            </w:r>
            <w:r w:rsidRPr="00CB2EC4">
              <w:rPr>
                <w:rFonts w:ascii="Times New Roman" w:hAnsi="Times New Roman" w:cs="Times New Roman"/>
              </w:rPr>
              <w:br/>
            </w:r>
            <w:r w:rsidRPr="00CB2EC4">
              <w:rPr>
                <w:rFonts w:ascii="Times New Roman" w:hAnsi="Times New Roman" w:cs="Times New Roman"/>
              </w:rPr>
              <w:br/>
              <w:t>Why is this surgical recommendation reasonable?</w:t>
            </w:r>
            <w:r w:rsidRPr="00CB2EC4">
              <w:rPr>
                <w:rFonts w:ascii="Times New Roman" w:hAnsi="Times New Roman" w:cs="Times New Roman"/>
              </w:rPr>
              <w:br/>
              <w:t>- According to text segment 1 (similarity 0.678), for IB stage cervical squamous cell carcinoma patients with tumor grade I (or II), tumor diameter ≤2 cm, and no lymphovascular infiltration, subtotal radical hysterectomy (Class II surgery) with pelvic lymphadenectomy is recommended. The rationale includes:</w:t>
            </w:r>
            <w:r w:rsidRPr="00CB2EC4">
              <w:rPr>
                <w:rFonts w:ascii="Times New Roman" w:hAnsi="Times New Roman" w:cs="Times New Roman"/>
              </w:rPr>
              <w:br/>
              <w:t xml:space="preserve">  - Low pelvic lymph node metastasis rate, with metastases mostly confined to "primary" lymph nodes; the risk of parametrial tissue involvement is extremely low (e.g., Qi Lin Tao et al. reported a lymph node metastasis rate of only 4% in 75 similar cases, with no parametrial involvement).</w:t>
            </w:r>
            <w:r w:rsidRPr="00CB2EC4">
              <w:rPr>
                <w:rFonts w:ascii="Times New Roman" w:hAnsi="Times New Roman" w:cs="Times New Roman"/>
              </w:rPr>
              <w:br/>
              <w:t xml:space="preserve">  - High survival rate: 5-year survival rate reaches 100%, and 10-year survival rate is 96% (segment 1), showing no statistically significant difference compared to the more extensive Type III surgery (segment 2: both groups had 5-year survival rates of 100%).</w:t>
            </w:r>
            <w:r w:rsidRPr="00CB2EC4">
              <w:rPr>
                <w:rFonts w:ascii="Times New Roman" w:hAnsi="Times New Roman" w:cs="Times New Roman"/>
              </w:rPr>
              <w:br/>
              <w:t xml:space="preserve">  - Principle of individualized treatment: Choosing a less invasive procedure is more reasonable when efficacy is not compromised (segment 1).</w:t>
            </w:r>
            <w:r w:rsidRPr="00CB2EC4">
              <w:rPr>
                <w:rFonts w:ascii="Times New Roman" w:hAnsi="Times New Roman" w:cs="Times New Roman"/>
              </w:rPr>
              <w:br/>
              <w:t xml:space="preserve">- Text segment 2 (similarity 0.554) further supports: For "low-risk" IB stage patients (including grade I pathology) with tumor diameter ≤2 cm and no lymphovascular invasion, Class II surgery achieves long-term cancer-free survival. Landoni et al.'s prospective study showed no difference in survival </w:t>
            </w:r>
            <w:r w:rsidRPr="00CB2EC4">
              <w:rPr>
                <w:rFonts w:ascii="Times New Roman" w:hAnsi="Times New Roman" w:cs="Times New Roman"/>
              </w:rPr>
              <w:lastRenderedPageBreak/>
              <w:t>rates between Class II and Class III surgery for IB stage (5-year survival: 81% vs 77%).</w:t>
            </w:r>
            <w:r w:rsidRPr="00CB2EC4">
              <w:rPr>
                <w:rFonts w:ascii="Times New Roman" w:hAnsi="Times New Roman" w:cs="Times New Roman"/>
              </w:rPr>
              <w:br/>
            </w:r>
            <w:r w:rsidRPr="00CB2EC4">
              <w:rPr>
                <w:rFonts w:ascii="Times New Roman" w:hAnsi="Times New Roman" w:cs="Times New Roman"/>
              </w:rPr>
              <w:br/>
              <w:t>Advantages over more extensive surgery (e.g., Type III):</w:t>
            </w:r>
            <w:r w:rsidRPr="00CB2EC4">
              <w:rPr>
                <w:rFonts w:ascii="Times New Roman" w:hAnsi="Times New Roman" w:cs="Times New Roman"/>
              </w:rPr>
              <w:br/>
              <w:t>- Lower complication rate: Class II surgery causes less tissue damage, significantly reducing postoperative complications (especially urologic complications). Segment 2 data: urologic complication rate is 13% for Class II vs 28% for Class III; operative time, blood loss, and postoperative hospital stay are all shorter (all P values &lt;0.05).</w:t>
            </w:r>
            <w:r w:rsidRPr="00CB2EC4">
              <w:rPr>
                <w:rFonts w:ascii="Times New Roman" w:hAnsi="Times New Roman" w:cs="Times New Roman"/>
              </w:rPr>
              <w:br/>
              <w:t>- Higher quality of life: Preservation of more parametrial tissue and paravaginal tissue (segment 3) aids bladder function recovery and reduces postoperative dysfunction (e.g., voiding difficulty).</w:t>
            </w:r>
            <w:r w:rsidRPr="00CB2EC4">
              <w:rPr>
                <w:rFonts w:ascii="Times New Roman" w:hAnsi="Times New Roman" w:cs="Times New Roman"/>
              </w:rPr>
              <w:br/>
              <w:t>- Higher surgical efficiency: Average operative time is shorter (135 min vs 180 min), blood loss is reduced, and recovery is faster (segment 2).</w:t>
            </w:r>
            <w:r w:rsidRPr="00CB2EC4">
              <w:rPr>
                <w:rFonts w:ascii="Times New Roman" w:hAnsi="Times New Roman" w:cs="Times New Roman"/>
              </w:rPr>
              <w:br/>
            </w:r>
            <w:r w:rsidRPr="00CB2EC4">
              <w:rPr>
                <w:rFonts w:ascii="Times New Roman" w:hAnsi="Times New Roman" w:cs="Times New Roman"/>
              </w:rPr>
              <w:br/>
              <w:t>In summary, the recommendation for Class II surgery is based on high survival rates, low metastatic risk, fewer complications, and quality-of-life advantages under the principle of individualized treatment.</w:t>
            </w:r>
          </w:p>
        </w:tc>
        <w:tc>
          <w:tcPr>
            <w:tcW w:w="1152" w:type="dxa"/>
            <w:vAlign w:val="center"/>
          </w:tcPr>
          <w:p w14:paraId="78234B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D20CF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EC125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46BAF88" w14:textId="77777777">
        <w:tc>
          <w:tcPr>
            <w:tcW w:w="2160" w:type="dxa"/>
            <w:vAlign w:val="center"/>
          </w:tcPr>
          <w:p w14:paraId="74ACE57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27EC1772" w14:textId="77777777" w:rsidR="00922249" w:rsidRPr="00CB2EC4" w:rsidRDefault="003011D5">
            <w:pPr>
              <w:rPr>
                <w:rFonts w:ascii="Times New Roman" w:hAnsi="Times New Roman" w:cs="Times New Roman"/>
              </w:rPr>
            </w:pPr>
            <w:r w:rsidRPr="00CB2EC4">
              <w:rPr>
                <w:rFonts w:ascii="Times New Roman" w:hAnsi="Times New Roman" w:cs="Times New Roman"/>
              </w:rPr>
              <w:t>for an IB stage cervical cancer patient with a lesion diameter of 1 cm, pathological grade I squamous cell carcinoma, and no lymphovascular space invasion, the text favors recommending Class II surgery (i.e., radical hysterectomy type II plus pelvic lymphadenectomy).</w:t>
            </w:r>
            <w:r w:rsidRPr="00CB2EC4">
              <w:rPr>
                <w:rFonts w:ascii="Times New Roman" w:hAnsi="Times New Roman" w:cs="Times New Roman"/>
              </w:rPr>
              <w:br/>
            </w:r>
            <w:r w:rsidRPr="00CB2EC4">
              <w:rPr>
                <w:rFonts w:ascii="Times New Roman" w:hAnsi="Times New Roman" w:cs="Times New Roman"/>
              </w:rPr>
              <w:br/>
              <w:t>explanation of the rationale and advantages for recommending this surgical approach:</w:t>
            </w:r>
            <w:r w:rsidRPr="00CB2EC4">
              <w:rPr>
                <w:rFonts w:ascii="Times New Roman" w:hAnsi="Times New Roman" w:cs="Times New Roman"/>
              </w:rPr>
              <w:br/>
              <w:t>- rationale:</w:t>
            </w:r>
            <w:r w:rsidRPr="00CB2EC4">
              <w:rPr>
                <w:rFonts w:ascii="Times New Roman" w:hAnsi="Times New Roman" w:cs="Times New Roman"/>
              </w:rPr>
              <w:br/>
            </w:r>
            <w:r w:rsidRPr="00CB2EC4">
              <w:rPr>
                <w:rFonts w:ascii="Times New Roman" w:hAnsi="Times New Roman" w:cs="Times New Roman"/>
              </w:rPr>
              <w:lastRenderedPageBreak/>
              <w:t xml:space="preserve">  according to the document, the indications for Class II surgery (referred to domestically as radical hysterectomy type II) explicitly include cervical squamous cell carcinoma grade I or II, tumor diameter ≤2 cm, and no lymphovascular invasion in IB stage patients (see relevant document excerpts). specific data support: qi lintao et al. reported that among 75 squamous cell carcinoma patients with tumor diameter ≤2 cm undergoing Class II surgery, the pelvic lymph node metastasis rate was only 4%, with a 5-year survival rate of 100%; kinney reported similar low-risk IB stage patients (tumor diameter ≤2 cm, no lymphovascular invasion) with no parametrial infiltration and high survival rates. the author’s comparative study from 1995–2003 involving 480 similar patients (tumor diameter &lt;2 cm, grade I/II squamous cell carcinoma) showed that the Class II surgery group (240 cases) achieved a 5-year survival rate of 100%, with no statistically significant difference compared to the Class III surgery group (radical hysterectomy) (P=0.779), but with significantly lower complication rates. landoni et al.’s prospective randomized study also confirmed that for IB stage patients, the 5-year survival rates of Class II and Class III surgery were not different (81% vs 77%), but Class II surgery had fewer complications. therefore, based on the low-risk features of small tumor size (1 cm &lt; 2 cm), low grade (grade I), and absence of lymphovascular invasion, Class II surgery ensures efficacy while being safer.</w:t>
            </w:r>
            <w:r w:rsidRPr="00CB2EC4">
              <w:rPr>
                <w:rFonts w:ascii="Times New Roman" w:hAnsi="Times New Roman" w:cs="Times New Roman"/>
              </w:rPr>
              <w:br/>
            </w:r>
            <w:r w:rsidRPr="00CB2EC4">
              <w:rPr>
                <w:rFonts w:ascii="Times New Roman" w:hAnsi="Times New Roman" w:cs="Times New Roman"/>
              </w:rPr>
              <w:br/>
              <w:t>- advantages compared to more extensive surgery (e.g., Class III radical hysterectomy):</w:t>
            </w:r>
            <w:r w:rsidRPr="00CB2EC4">
              <w:rPr>
                <w:rFonts w:ascii="Times New Roman" w:hAnsi="Times New Roman" w:cs="Times New Roman"/>
              </w:rPr>
              <w:br/>
              <w:t xml:space="preserve">  - lower complication rates: Class II surgery removes </w:t>
            </w:r>
            <w:r w:rsidRPr="00CB2EC4">
              <w:rPr>
                <w:rFonts w:ascii="Times New Roman" w:hAnsi="Times New Roman" w:cs="Times New Roman"/>
              </w:rPr>
              <w:lastRenderedPageBreak/>
              <w:t>only part of the parametrial tissue (e.g., half of the cardinal and uterosacral ligaments, 1/3 of the vagina), does not fully dissect the ureteral bed, and preserves more tissue, thereby significantly reducing urinary tract complications (e.g., literature reports urinary complications at 13% vs 28% for Class III).</w:t>
            </w:r>
            <w:r w:rsidRPr="00CB2EC4">
              <w:rPr>
                <w:rFonts w:ascii="Times New Roman" w:hAnsi="Times New Roman" w:cs="Times New Roman"/>
              </w:rPr>
              <w:br/>
              <w:t xml:space="preserve">  - less surgical trauma: Class II surgery has a shorter operative time (average 135 minutes vs 180 minutes for Class III), lower intraoperative blood loss (P&lt;0.05 in the study), and shorter postoperative hospital stay, enabling faster recovery.</w:t>
            </w:r>
            <w:r w:rsidRPr="00CB2EC4">
              <w:rPr>
                <w:rFonts w:ascii="Times New Roman" w:hAnsi="Times New Roman" w:cs="Times New Roman"/>
              </w:rPr>
              <w:br/>
              <w:t xml:space="preserve">  - higher quality of life: preservation of part of the parametrial tissue and nerves reduces postoperative bladder dysfunction and infection risk, improves patient quality of life, without compromising survival rates.</w:t>
            </w:r>
          </w:p>
        </w:tc>
        <w:tc>
          <w:tcPr>
            <w:tcW w:w="1152" w:type="dxa"/>
            <w:vAlign w:val="center"/>
          </w:tcPr>
          <w:p w14:paraId="274C3B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29BCA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AF98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10118D" w14:textId="77777777">
        <w:tc>
          <w:tcPr>
            <w:tcW w:w="2160" w:type="dxa"/>
            <w:vAlign w:val="center"/>
          </w:tcPr>
          <w:p w14:paraId="6239DF2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6133BB6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an IB stage cervical cancer patient with a lesion diameter of 1 cm, pathological grade I squamous cell carcinoma, and no lymphovascular space invasion, the text recommends Type II radical hysterectomy (also known as modified radical hysterectomy or class II extended hysterectomy) with pelvic lymphadenectomy.  </w:t>
            </w:r>
            <w:r w:rsidRPr="00CB2EC4">
              <w:rPr>
                <w:rFonts w:ascii="Times New Roman" w:hAnsi="Times New Roman" w:cs="Times New Roman"/>
              </w:rPr>
              <w:br/>
              <w:t xml:space="preserve">- rationale for recommendation:  </w:t>
            </w:r>
            <w:r w:rsidRPr="00CB2EC4">
              <w:rPr>
                <w:rFonts w:ascii="Times New Roman" w:hAnsi="Times New Roman" w:cs="Times New Roman"/>
              </w:rPr>
              <w:br/>
              <w:t xml:space="preserve">  according to document fragment 1, for IB stage cervical squamous cell carcinoma patients with tumor diameter ≤2 cm, no lymphovascular infiltration, and pathological grade I–II, type II surgery is a reasonable choice. reasons include:  </w:t>
            </w:r>
            <w:r w:rsidRPr="00CB2EC4">
              <w:rPr>
                <w:rFonts w:ascii="Times New Roman" w:hAnsi="Times New Roman" w:cs="Times New Roman"/>
              </w:rPr>
              <w:br/>
              <w:t xml:space="preserve">  - patients with small tumor size (1 cm in this case) and no lymphovascular invasion have low pelvic lymph node metastasis rates (0–14%), and the risk of parametrial involvement is extremely low (e.g., no parametrial metastasis in 75 cases reported by Qin </w:t>
            </w:r>
            <w:r w:rsidRPr="00CB2EC4">
              <w:rPr>
                <w:rFonts w:ascii="Times New Roman" w:hAnsi="Times New Roman" w:cs="Times New Roman"/>
              </w:rPr>
              <w:lastRenderedPageBreak/>
              <w:t xml:space="preserve">Lintao et al.).  </w:t>
            </w:r>
            <w:r w:rsidRPr="00CB2EC4">
              <w:rPr>
                <w:rFonts w:ascii="Times New Roman" w:hAnsi="Times New Roman" w:cs="Times New Roman"/>
              </w:rPr>
              <w:br/>
              <w:t xml:space="preserve">  - the 5-year survival rate of type II surgery is comparable to that of type III surgery, but with less surgical trauma (Landoni et al. showed no survival difference).  </w:t>
            </w:r>
            <w:r w:rsidRPr="00CB2EC4">
              <w:rPr>
                <w:rFonts w:ascii="Times New Roman" w:hAnsi="Times New Roman" w:cs="Times New Roman"/>
              </w:rPr>
              <w:br/>
              <w:t xml:space="preserve">  - the principle of individualized treatment supports selecting a less invasive procedure without compromising efficacy (document fragments 1 and 2).  </w:t>
            </w:r>
            <w:r w:rsidRPr="00CB2EC4">
              <w:rPr>
                <w:rFonts w:ascii="Times New Roman" w:hAnsi="Times New Roman" w:cs="Times New Roman"/>
              </w:rPr>
              <w:br/>
              <w:t xml:space="preserve">- advantages compared to more extensive surgery (e.g., type III):  </w:t>
            </w:r>
            <w:r w:rsidRPr="00CB2EC4">
              <w:rPr>
                <w:rFonts w:ascii="Times New Roman" w:hAnsi="Times New Roman" w:cs="Times New Roman"/>
              </w:rPr>
              <w:br/>
              <w:t xml:space="preserve">  - lower complication rates: type II surgery has significantly lower urinary tract complication rates than type III (13% vs. 28%, document fragment 2), with reduced intraoperative blood loss, shorter operative time (mean 135 min vs. 180 min), and shorter postoperative hospital stay (p &lt; 0.05 for all).  </w:t>
            </w:r>
            <w:r w:rsidRPr="00CB2EC4">
              <w:rPr>
                <w:rFonts w:ascii="Times New Roman" w:hAnsi="Times New Roman" w:cs="Times New Roman"/>
              </w:rPr>
              <w:br/>
              <w:t xml:space="preserve">  - better quality of life: preserving more parametrial tissue reduces postoperative voiding dysfunction and infection risk (document fragments 1 and 18).  </w:t>
            </w:r>
            <w:r w:rsidRPr="00CB2EC4">
              <w:rPr>
                <w:rFonts w:ascii="Times New Roman" w:hAnsi="Times New Roman" w:cs="Times New Roman"/>
              </w:rPr>
              <w:br/>
              <w:t xml:space="preserve">  - equivalent survival: multiple studies (e.g., Kinney report and author’s 1995–2003 data) confirm that long-term disease-free survival rates for low-risk IB stage patients are not inferior to those of type III surgery.  </w:t>
            </w:r>
            <w:r w:rsidRPr="00CB2EC4">
              <w:rPr>
                <w:rFonts w:ascii="Times New Roman" w:hAnsi="Times New Roman" w:cs="Times New Roman"/>
              </w:rPr>
              <w:br/>
            </w:r>
            <w:r w:rsidRPr="00CB2EC4">
              <w:rPr>
                <w:rFonts w:ascii="Times New Roman" w:hAnsi="Times New Roman" w:cs="Times New Roman"/>
              </w:rPr>
              <w:br/>
              <w:t>in summary, type II surgery achieves comparable efficacy while reducing complication risks, aligning with the principle of individualized treatment.</w:t>
            </w:r>
          </w:p>
        </w:tc>
        <w:tc>
          <w:tcPr>
            <w:tcW w:w="1152" w:type="dxa"/>
            <w:vAlign w:val="center"/>
          </w:tcPr>
          <w:p w14:paraId="18A95A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01B2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02B7A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3DC022B" w14:textId="77777777">
        <w:tc>
          <w:tcPr>
            <w:tcW w:w="2160" w:type="dxa"/>
            <w:vAlign w:val="center"/>
          </w:tcPr>
          <w:p w14:paraId="067E4237"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4BEF25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recommended surgical type: Type II (Class II) radical hysterectomy (i.e., modified radical hysterectomy) with pelvic lymphadenectomy.  </w:t>
            </w:r>
            <w:r w:rsidRPr="00CB2EC4">
              <w:rPr>
                <w:rFonts w:ascii="Times New Roman" w:hAnsi="Times New Roman" w:cs="Times New Roman"/>
              </w:rPr>
              <w:br/>
              <w:t xml:space="preserve">- Rationale for recommendation:  </w:t>
            </w:r>
            <w:r w:rsidRPr="00CB2EC4">
              <w:rPr>
                <w:rFonts w:ascii="Times New Roman" w:hAnsi="Times New Roman" w:cs="Times New Roman"/>
              </w:rPr>
              <w:br/>
              <w:t xml:space="preserve">  The text explicitly states that for IB stage cervical cancer patients with squamous cell carcinoma grade I </w:t>
            </w:r>
            <w:r w:rsidRPr="00CB2EC4">
              <w:rPr>
                <w:rFonts w:ascii="Times New Roman" w:hAnsi="Times New Roman" w:cs="Times New Roman"/>
              </w:rPr>
              <w:lastRenderedPageBreak/>
              <w:t xml:space="preserve">or II, tumor diameter ≤2 cm, and no lymphovascular space invasion, Type II surgery is a reasonable first-choice option (see context fragment 1: "Indications: Some scholars have recommended that for patients with cervical squamous cell carcinoma grade I or II, tumor diameter less than or equal to 2 cm, and no lymphovascular infiltration, modified radical hysterectomy and pelvic lymphadenectomy may be performed"). In this case, the patient has a tumor diameter of 1 cm (&lt;2 cm), grade I histology, and no vascular invasion, fully meeting the criteria for Type II surgery. The text emphasizes that this selection is based on individualized principles to reduce surgical complications without compromising therapeutic outcomes (fragment 1: "The author believes that selecting the surgical approach based on the patient’s condition and disease characteristics is highly reasonable. Modified radical hysterectomy causes less injury and fewer complications than radical hysterectomy").  </w:t>
            </w:r>
            <w:r w:rsidRPr="00CB2EC4">
              <w:rPr>
                <w:rFonts w:ascii="Times New Roman" w:hAnsi="Times New Roman" w:cs="Times New Roman"/>
              </w:rPr>
              <w:br/>
              <w:t xml:space="preserve">- Advantages over more extensive surgery (e.g., Type III):  </w:t>
            </w:r>
            <w:r w:rsidRPr="00CB2EC4">
              <w:rPr>
                <w:rFonts w:ascii="Times New Roman" w:hAnsi="Times New Roman" w:cs="Times New Roman"/>
              </w:rPr>
              <w:br/>
              <w:t xml:space="preserve">  - Comparable survival rates: The text shows no statistically significant difference in 5-year survival rates between Type II and Type III surgery (fragment 2: "The former had a 5-year survival rate of 100% and disease-free survival rate of 98.33%; the latter had 100% and 97.2%, respectively; no statistical difference between groups (P=0.779)").  </w:t>
            </w:r>
            <w:r w:rsidRPr="00CB2EC4">
              <w:rPr>
                <w:rFonts w:ascii="Times New Roman" w:hAnsi="Times New Roman" w:cs="Times New Roman"/>
              </w:rPr>
              <w:br/>
              <w:t xml:space="preserve">  - Significantly reduced surgical complications: Type II surgery involves less tissue injury, resulting in lower rates of urologic complications (e.g., ureteral fistula) (fragment 2: "Postoperative complications were markedly lower in the former group"). </w:t>
            </w:r>
            <w:r w:rsidRPr="00CB2EC4">
              <w:rPr>
                <w:rFonts w:ascii="Times New Roman" w:hAnsi="Times New Roman" w:cs="Times New Roman"/>
              </w:rPr>
              <w:lastRenderedPageBreak/>
              <w:t xml:space="preserve">Specifically, it demonstrates statistically significant reductions in operative time, intraoperative blood loss, and postoperative hospital stay (fragment 2: "Significant differences in operative time, postoperative hospital stay, and intraoperative blood loss between groups (P values: 0.0001, 0.0001, 0.001, respectively)").  </w:t>
            </w:r>
            <w:r w:rsidRPr="00CB2EC4">
              <w:rPr>
                <w:rFonts w:ascii="Times New Roman" w:hAnsi="Times New Roman" w:cs="Times New Roman"/>
              </w:rPr>
              <w:br/>
              <w:t xml:space="preserve">  - Improved quality of life: Preserving more parametrial tissue aids in bladder function recovery and reduces the risk of postoperative infection and dysfunction (fragment 2: "Preserving some parametrial tissue in such patients will certainly greatly reduce the incidence of urologic complications").  </w:t>
            </w:r>
            <w:r w:rsidRPr="00CB2EC4">
              <w:rPr>
                <w:rFonts w:ascii="Times New Roman" w:hAnsi="Times New Roman" w:cs="Times New Roman"/>
              </w:rPr>
              <w:br/>
              <w:t xml:space="preserve">  In summary, Type II surgery achieves equivalent efficacy (100% 5-year survival) while significantly lowering surgical risks and postoperative complications, making it more suitable for this low-risk patient.</w:t>
            </w:r>
          </w:p>
        </w:tc>
        <w:tc>
          <w:tcPr>
            <w:tcW w:w="1152" w:type="dxa"/>
            <w:vAlign w:val="center"/>
          </w:tcPr>
          <w:p w14:paraId="1C642D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A29DA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B70F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5DE98A" w14:textId="77777777">
        <w:tc>
          <w:tcPr>
            <w:tcW w:w="2160" w:type="dxa"/>
            <w:vAlign w:val="center"/>
          </w:tcPr>
          <w:p w14:paraId="2A4BE7B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3D0524E2" w14:textId="77777777" w:rsidR="00922249" w:rsidRPr="00CB2EC4" w:rsidRDefault="003011D5">
            <w:pPr>
              <w:rPr>
                <w:rFonts w:ascii="Times New Roman" w:hAnsi="Times New Roman" w:cs="Times New Roman"/>
              </w:rPr>
            </w:pPr>
            <w:r w:rsidRPr="00CB2EC4">
              <w:rPr>
                <w:rFonts w:ascii="Times New Roman" w:hAnsi="Times New Roman" w:cs="Times New Roman"/>
              </w:rPr>
              <w:t>for a patient with IB stage cervical cancer, a tumor diameter of 1 cm, grade I squamous cell carcinoma, and no lymphovascular space invasion, the text favors recommending Class II surgery.</w:t>
            </w:r>
            <w:r w:rsidRPr="00CB2EC4">
              <w:rPr>
                <w:rFonts w:ascii="Times New Roman" w:hAnsi="Times New Roman" w:cs="Times New Roman"/>
              </w:rPr>
              <w:br/>
            </w:r>
            <w:r w:rsidRPr="00CB2EC4">
              <w:rPr>
                <w:rFonts w:ascii="Times New Roman" w:hAnsi="Times New Roman" w:cs="Times New Roman"/>
              </w:rPr>
              <w:br/>
              <w:t>Rationale for recommending this surgical approach:</w:t>
            </w:r>
            <w:r w:rsidRPr="00CB2EC4">
              <w:rPr>
                <w:rFonts w:ascii="Times New Roman" w:hAnsi="Times New Roman" w:cs="Times New Roman"/>
              </w:rPr>
              <w:br/>
              <w:t xml:space="preserve">- The tumor characteristics meet low-risk criteria: as stated in the context (document excerpts 1, 2, 7), for IB stage cervical cancer patients with tumor diameter ≤2 cm, no lymphovascular invasion, and grade I or II histology, a "low-risk" classification applies. For example, document excerpt 1 notes: “For patients with cervical squamous cell carcinoma grade I or II, tumor diameter ≤2 cm, and no lymphovascular invasion, modified radical hysterectomy with pelvic </w:t>
            </w:r>
            <w:r w:rsidRPr="00CB2EC4">
              <w:rPr>
                <w:rFonts w:ascii="Times New Roman" w:hAnsi="Times New Roman" w:cs="Times New Roman"/>
              </w:rPr>
              <w:lastRenderedPageBreak/>
              <w:t>lymphadenectomy may be performed.” This patient, with a 1 cm lesion, grade I squamous cell carcinoma, and no lymphovascular invasion, fully satisfies these criteria.</w:t>
            </w:r>
            <w:r w:rsidRPr="00CB2EC4">
              <w:rPr>
                <w:rFonts w:ascii="Times New Roman" w:hAnsi="Times New Roman" w:cs="Times New Roman"/>
              </w:rPr>
              <w:br/>
              <w:t>- Low lymph node metastasis rate and high survival rate: context (document excerpts 1, 2) shows that such patients have low pelvic lymph node metastasis rates (0–14%) and survival rates comparable to more extensive surgery. For instance, Qi Lintao et al. reported 75 similar patients undergoing Class II surgery with a 5-year survival rate of 100%; the Kinney study also confirmed high long-term survival in the absence of parametrial involvement.</w:t>
            </w:r>
            <w:r w:rsidRPr="00CB2EC4">
              <w:rPr>
                <w:rFonts w:ascii="Times New Roman" w:hAnsi="Times New Roman" w:cs="Times New Roman"/>
              </w:rPr>
              <w:br/>
              <w:t>- Individualized treatment principle supports: document excerpt 2 emphasizes that “the extent of cervical cancer surgery should follow an individualized approach.” Class II surgery ensures efficacy while being more suitable for low-risk patients, avoiding overtreatment.</w:t>
            </w:r>
            <w:r w:rsidRPr="00CB2EC4">
              <w:rPr>
                <w:rFonts w:ascii="Times New Roman" w:hAnsi="Times New Roman" w:cs="Times New Roman"/>
              </w:rPr>
              <w:br/>
            </w:r>
            <w:r w:rsidRPr="00CB2EC4">
              <w:rPr>
                <w:rFonts w:ascii="Times New Roman" w:hAnsi="Times New Roman" w:cs="Times New Roman"/>
              </w:rPr>
              <w:br/>
              <w:t>Advantages over more extensive surgery (e.g., Class III):</w:t>
            </w:r>
            <w:r w:rsidRPr="00CB2EC4">
              <w:rPr>
                <w:rFonts w:ascii="Times New Roman" w:hAnsi="Times New Roman" w:cs="Times New Roman"/>
              </w:rPr>
              <w:br/>
              <w:t>- Reduced surgical complications: Class II surgery involves a smaller resection range (e.g., partial parametrial preservation), significantly lowering intraoperative and postoperative complications. Document excerpt 2 comparative studies show that the Class II group had shorter operative time, less intraoperative blood loss, and shorter postoperative hospital stay than the Class III group (all P &lt; 0.05), with lower urinary tract complication rates (e.g., ureteral fistula).</w:t>
            </w:r>
            <w:r w:rsidRPr="00CB2EC4">
              <w:rPr>
                <w:rFonts w:ascii="Times New Roman" w:hAnsi="Times New Roman" w:cs="Times New Roman"/>
              </w:rPr>
              <w:br/>
              <w:t xml:space="preserve">- Improved quality of life: Class II surgery has less impact on bladder and rectal function, preserves more </w:t>
            </w:r>
            <w:r w:rsidRPr="00CB2EC4">
              <w:rPr>
                <w:rFonts w:ascii="Times New Roman" w:hAnsi="Times New Roman" w:cs="Times New Roman"/>
              </w:rPr>
              <w:lastRenderedPageBreak/>
              <w:t>vaginal length, and helps maintain sexual and urinary function (document excerpts 1, 2). For example, document excerpt 2 states: “Preserving some parametrial tissue will inevitably greatly reduce the incidence of urinary tract complications.”</w:t>
            </w:r>
            <w:r w:rsidRPr="00CB2EC4">
              <w:rPr>
                <w:rFonts w:ascii="Times New Roman" w:hAnsi="Times New Roman" w:cs="Times New Roman"/>
              </w:rPr>
              <w:br/>
              <w:t>- Equivalent efficacy: no statistical difference in survival rates. Landoni’s study cited in document excerpt 2 reported 5-year survival rates of 81% for Class II and 77% for Class III, and disease-free survival rates of 75% vs 73%, demonstrating that Class II surgery achieves comparable curative outcomes in low-risk patients.</w:t>
            </w:r>
            <w:r w:rsidRPr="00CB2EC4">
              <w:rPr>
                <w:rFonts w:ascii="Times New Roman" w:hAnsi="Times New Roman" w:cs="Times New Roman"/>
              </w:rPr>
              <w:br/>
            </w:r>
            <w:r w:rsidRPr="00CB2EC4">
              <w:rPr>
                <w:rFonts w:ascii="Times New Roman" w:hAnsi="Times New Roman" w:cs="Times New Roman"/>
              </w:rPr>
              <w:br/>
              <w:t>In summary, Class II surgery is recommended based on the tumor’s low-risk features, high survival rates, and the principle of individualized treatment to minimize complications.</w:t>
            </w:r>
          </w:p>
        </w:tc>
        <w:tc>
          <w:tcPr>
            <w:tcW w:w="1152" w:type="dxa"/>
            <w:vAlign w:val="center"/>
          </w:tcPr>
          <w:p w14:paraId="0964BD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8D726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0E940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B8967AB" w14:textId="77777777">
        <w:tc>
          <w:tcPr>
            <w:tcW w:w="2160" w:type="dxa"/>
            <w:vAlign w:val="center"/>
          </w:tcPr>
          <w:p w14:paraId="10D53345"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5E1C9344" w14:textId="77777777" w:rsidR="00922249" w:rsidRPr="00CB2EC4" w:rsidRDefault="003011D5">
            <w:pPr>
              <w:rPr>
                <w:rFonts w:ascii="Times New Roman" w:hAnsi="Times New Roman" w:cs="Times New Roman"/>
              </w:rPr>
            </w:pPr>
            <w:r w:rsidRPr="00CB2EC4">
              <w:rPr>
                <w:rFonts w:ascii="Times New Roman" w:hAnsi="Times New Roman" w:cs="Times New Roman"/>
              </w:rPr>
              <w:t>for a patient with stage IB cervical cancer, a tumor diameter of 1 cm, grade I squamous cell carcinoma, and no lymphovascular space invasion, the text favors recommending Type II (Class II) radical hysterectomy (i.e., modified radical hysterectomy) combined with pelvic lymphadenectomy.</w:t>
            </w:r>
            <w:r w:rsidRPr="00CB2EC4">
              <w:rPr>
                <w:rFonts w:ascii="Times New Roman" w:hAnsi="Times New Roman" w:cs="Times New Roman"/>
              </w:rPr>
              <w:br/>
            </w:r>
            <w:r w:rsidRPr="00CB2EC4">
              <w:rPr>
                <w:rFonts w:ascii="Times New Roman" w:hAnsi="Times New Roman" w:cs="Times New Roman"/>
              </w:rPr>
              <w:br/>
              <w:t xml:space="preserve">explanation of rationale:  </w:t>
            </w:r>
            <w:r w:rsidRPr="00CB2EC4">
              <w:rPr>
                <w:rFonts w:ascii="Times New Roman" w:hAnsi="Times New Roman" w:cs="Times New Roman"/>
              </w:rPr>
              <w:br/>
              <w:t xml:space="preserve">based on the context (relevant segment 5, original block 491-493), the text explicitly states that for stage IB cervical squamous cell carcinoma with grade I or II, tumor diameter ≤2 cm, and no lymphovascular infiltration, Type II surgery (modified radical hysterectomy) is a reasonable choice. the reasons include:  </w:t>
            </w:r>
            <w:r w:rsidRPr="00CB2EC4">
              <w:rPr>
                <w:rFonts w:ascii="Times New Roman" w:hAnsi="Times New Roman" w:cs="Times New Roman"/>
              </w:rPr>
              <w:br/>
              <w:t xml:space="preserve">- the tumor characteristics meet low-risk criteria: lesion size 1 cm (&lt;2 cm), grade I histology, no </w:t>
            </w:r>
            <w:r w:rsidRPr="00CB2EC4">
              <w:rPr>
                <w:rFonts w:ascii="Times New Roman" w:hAnsi="Times New Roman" w:cs="Times New Roman"/>
              </w:rPr>
              <w:lastRenderedPageBreak/>
              <w:t xml:space="preserve">lymphovascular invasion, resulting in low pelvic lymph node metastasis rates (0–14%), with metastases typically limited to "primary echelon" nodes (e.g., external iliac or obturator), and virtually no risk of parametrial involvement (segment 5 notes "no case of parametrial infiltration").  </w:t>
            </w:r>
            <w:r w:rsidRPr="00CB2EC4">
              <w:rPr>
                <w:rFonts w:ascii="Times New Roman" w:hAnsi="Times New Roman" w:cs="Times New Roman"/>
              </w:rPr>
              <w:br/>
              <w:t xml:space="preserve">- the surgical extent is adequate: Type II procedure resects part of the parametrium (e.g., one-half of the cardinal and uterosacral ligaments) and the upper one-third of the vagina (approximately 3–4 cm), while preserving ureteral blood supply by ligating the uterine artery medial to the ureter, effectively controlling local disease (segments 4 and 5).  </w:t>
            </w:r>
            <w:r w:rsidRPr="00CB2EC4">
              <w:rPr>
                <w:rFonts w:ascii="Times New Roman" w:hAnsi="Times New Roman" w:cs="Times New Roman"/>
              </w:rPr>
              <w:br/>
              <w:t>- individualized approach: the text emphasizes that the radicality of cervical cancer surgery should be individualized based on patient factors to avoid overtreatment (segment 5: "the extent of cervical cancer surgery should follow an individualized principle").</w:t>
            </w:r>
            <w:r w:rsidRPr="00CB2EC4">
              <w:rPr>
                <w:rFonts w:ascii="Times New Roman" w:hAnsi="Times New Roman" w:cs="Times New Roman"/>
              </w:rPr>
              <w:br/>
            </w:r>
            <w:r w:rsidRPr="00CB2EC4">
              <w:rPr>
                <w:rFonts w:ascii="Times New Roman" w:hAnsi="Times New Roman" w:cs="Times New Roman"/>
              </w:rPr>
              <w:br/>
              <w:t xml:space="preserve">advantages compared to more extensive surgery:  </w:t>
            </w:r>
            <w:r w:rsidRPr="00CB2EC4">
              <w:rPr>
                <w:rFonts w:ascii="Times New Roman" w:hAnsi="Times New Roman" w:cs="Times New Roman"/>
              </w:rPr>
              <w:br/>
              <w:t xml:space="preserve">- reduced complications: Type II surgery (e.g., Piver II) causes less tissue damage than Type III (radical hysterectomy), significantly lowering postoperative urologic complications such as bladder dysfunction and infection. data from segment 5 show: Type II surgery has a lower incidence of postoperative bladder dysfunction (approximately 13% vs. 28% for Type III), shorter operative time, less intraoperative blood loss (mean 322 ml vs. higher values), and faster recovery.  </w:t>
            </w:r>
            <w:r w:rsidRPr="00CB2EC4">
              <w:rPr>
                <w:rFonts w:ascii="Times New Roman" w:hAnsi="Times New Roman" w:cs="Times New Roman"/>
              </w:rPr>
              <w:br/>
              <w:t xml:space="preserve">- comparable survival: clinical comparisons in segment 5 demonstrate that Type II surgery is not inferior to more extensive procedures in low-risk </w:t>
            </w:r>
            <w:r w:rsidRPr="00CB2EC4">
              <w:rPr>
                <w:rFonts w:ascii="Times New Roman" w:hAnsi="Times New Roman" w:cs="Times New Roman"/>
              </w:rPr>
              <w:lastRenderedPageBreak/>
              <w:t xml:space="preserve">patients.  </w:t>
            </w:r>
            <w:r w:rsidRPr="00CB2EC4">
              <w:rPr>
                <w:rFonts w:ascii="Times New Roman" w:hAnsi="Times New Roman" w:cs="Times New Roman"/>
              </w:rPr>
              <w:br/>
              <w:t>- better quality of life: preservation of more parametrial tissue and ureteral blood supply aids bladder function recovery, reduces long-term sequelae (e.g., fistula or urinary incontinence), and improves postoperative quality of life (segments 5 and 7).</w:t>
            </w:r>
            <w:r w:rsidRPr="00CB2EC4">
              <w:rPr>
                <w:rFonts w:ascii="Times New Roman" w:hAnsi="Times New Roman" w:cs="Times New Roman"/>
              </w:rPr>
              <w:br/>
            </w:r>
            <w:r w:rsidRPr="00CB2EC4">
              <w:rPr>
                <w:rFonts w:ascii="Times New Roman" w:hAnsi="Times New Roman" w:cs="Times New Roman"/>
              </w:rPr>
              <w:br/>
              <w:t>in summary, Type II surgery is recommended based on the tumor’s low-risk features, surgical safety, and equivalent survival rates, with the advantage of lower complication rates and preserved quality of life.</w:t>
            </w:r>
          </w:p>
        </w:tc>
        <w:tc>
          <w:tcPr>
            <w:tcW w:w="1152" w:type="dxa"/>
            <w:vAlign w:val="center"/>
          </w:tcPr>
          <w:p w14:paraId="094A70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7BEF5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DCDF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5196549" w14:textId="77777777">
        <w:tc>
          <w:tcPr>
            <w:tcW w:w="2160" w:type="dxa"/>
            <w:vAlign w:val="center"/>
          </w:tcPr>
          <w:p w14:paraId="315AC98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02F27260" w14:textId="77777777" w:rsidR="00922249" w:rsidRPr="00CB2EC4" w:rsidRDefault="003011D5">
            <w:pPr>
              <w:rPr>
                <w:rFonts w:ascii="Times New Roman" w:hAnsi="Times New Roman" w:cs="Times New Roman"/>
              </w:rPr>
            </w:pPr>
            <w:r w:rsidRPr="00CB2EC4">
              <w:rPr>
                <w:rFonts w:ascii="Times New Roman" w:hAnsi="Times New Roman" w:cs="Times New Roman"/>
              </w:rPr>
              <w:t>recommended surgical type: Type II radical hysterectomy.</w:t>
            </w:r>
            <w:r w:rsidRPr="00CB2EC4">
              <w:rPr>
                <w:rFonts w:ascii="Times New Roman" w:hAnsi="Times New Roman" w:cs="Times New Roman"/>
              </w:rPr>
              <w:br/>
            </w:r>
            <w:r w:rsidRPr="00CB2EC4">
              <w:rPr>
                <w:rFonts w:ascii="Times New Roman" w:hAnsi="Times New Roman" w:cs="Times New Roman"/>
              </w:rPr>
              <w:br/>
              <w:t>- Rationale for recommendation: This patient has IB1 stage cervical cancer (tumor diameter 1 cm), grade I squamous cell carcinoma, and no lymphovascular space invasion, placing her in a low-risk group. Type II radical hysterectomy (modified radical hysterectomy) is preferred because it provides adequate oncologic resection (removal of parametrial tissue 1–2 cm from the cervix) while avoiding overtreatment. Evidence shows that 5-year survival rates for low-risk patients undergoing Type II surgery are comparable to those of more extensive procedures (&gt;90%), but with significantly lower complication rates.</w:t>
            </w:r>
            <w:r w:rsidRPr="00CB2EC4">
              <w:rPr>
                <w:rFonts w:ascii="Times New Roman" w:hAnsi="Times New Roman" w:cs="Times New Roman"/>
              </w:rPr>
              <w:br/>
            </w:r>
            <w:r w:rsidRPr="00CB2EC4">
              <w:rPr>
                <w:rFonts w:ascii="Times New Roman" w:hAnsi="Times New Roman" w:cs="Times New Roman"/>
              </w:rPr>
              <w:br/>
              <w:t xml:space="preserve">- Advantages compared to more extensive surgery: Compared to Type III radical hysterectomy (wide radical hysterectomy), Type II surgery offers: (1) reduced surgical trauma with greater preservation of pelvic nerves and tissues, leading to a markedly lower risk of postoperative complications such as bladder </w:t>
            </w:r>
            <w:r w:rsidRPr="00CB2EC4">
              <w:rPr>
                <w:rFonts w:ascii="Times New Roman" w:hAnsi="Times New Roman" w:cs="Times New Roman"/>
              </w:rPr>
              <w:lastRenderedPageBreak/>
              <w:t>dysfunction (urinary retention incidence &lt;10% vs. 20–30% for Type III) and sexual dysfunction; (2) shorter operative time and faster recovery; (3) better preservation of ureteral and vascular structures, making it suitable for early low-risk patients and avoiding unnecessary extensive resection that compromises long-term quality of life.</w:t>
            </w:r>
          </w:p>
        </w:tc>
        <w:tc>
          <w:tcPr>
            <w:tcW w:w="1152" w:type="dxa"/>
            <w:vAlign w:val="center"/>
          </w:tcPr>
          <w:p w14:paraId="2A1A8C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77B3A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D7463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827D3FA" w14:textId="77777777">
        <w:tc>
          <w:tcPr>
            <w:tcW w:w="10656" w:type="dxa"/>
            <w:gridSpan w:val="5"/>
            <w:tcBorders>
              <w:bottom w:val="single" w:sz="6" w:space="0" w:color="auto"/>
            </w:tcBorders>
            <w:vAlign w:val="center"/>
          </w:tcPr>
          <w:p w14:paraId="1A4F882D"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167: After a transperitoneal/retroperitoneal pelvic lymphadenectomy and radical hysterectomy, where are the postoperative drains placed?</w:t>
            </w:r>
          </w:p>
        </w:tc>
      </w:tr>
      <w:tr w:rsidR="00922249" w:rsidRPr="00CB2EC4" w14:paraId="16FF31CE" w14:textId="77777777">
        <w:tc>
          <w:tcPr>
            <w:tcW w:w="2160" w:type="dxa"/>
            <w:vAlign w:val="center"/>
          </w:tcPr>
          <w:p w14:paraId="2AFC0F6A"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2E81712"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is available in the provided document regarding the placement position of postoperative drainage tubes for intraperitoneal (or retroperitoneal) pelvic lymphoid tissue resection and radical hysterectomy. The document primarily discusses surgical scope, indications, methods, and complications, but does not specify the location for drainage tube placement. Therefore, the answer cannot be obtained from the knowledge base.</w:t>
            </w:r>
          </w:p>
        </w:tc>
        <w:tc>
          <w:tcPr>
            <w:tcW w:w="1152" w:type="dxa"/>
            <w:vAlign w:val="center"/>
          </w:tcPr>
          <w:p w14:paraId="3CC9E4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85F6A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F792E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8583825" w14:textId="77777777">
        <w:tc>
          <w:tcPr>
            <w:tcW w:w="2160" w:type="dxa"/>
            <w:vAlign w:val="center"/>
          </w:tcPr>
          <w:p w14:paraId="572678C9"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9F4A5C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placement position: bilateral obturator fossae, exiting from the abdominal wall approximately 4 cm from the anterior superior iliac spine.  </w:t>
            </w:r>
            <w:r w:rsidRPr="00CB2EC4">
              <w:rPr>
                <w:rFonts w:ascii="Times New Roman" w:hAnsi="Times New Roman" w:cs="Times New Roman"/>
              </w:rPr>
              <w:br/>
              <w:t xml:space="preserve">basis (document fragment 503, block theme: surgical steps for radical hysterectomy):  </w:t>
            </w:r>
            <w:r w:rsidRPr="00CB2EC4">
              <w:rPr>
                <w:rFonts w:ascii="Times New Roman" w:hAnsi="Times New Roman" w:cs="Times New Roman"/>
              </w:rPr>
              <w:br/>
              <w:t xml:space="preserve">&gt; "Place 2 drainage tubes at the bilateral obturator fossae, exiting and secured with several sutures at approximately 4 cm from the anterior superior iliac spine, connected to a negative pressure drainage bottle (Figure 7-44)."  </w:t>
            </w:r>
            <w:r w:rsidRPr="00CB2EC4">
              <w:rPr>
                <w:rFonts w:ascii="Times New Roman" w:hAnsi="Times New Roman" w:cs="Times New Roman"/>
              </w:rPr>
              <w:br/>
              <w:t>note: The drainage tubes are positioned in the obturator fossae to drain exudate following pelvic lymphadenectomy, reducing the risk of infection and lymphocele formation.</w:t>
            </w:r>
          </w:p>
        </w:tc>
        <w:tc>
          <w:tcPr>
            <w:tcW w:w="1152" w:type="dxa"/>
            <w:vAlign w:val="center"/>
          </w:tcPr>
          <w:p w14:paraId="398815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4AE1D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6A238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F666F96" w14:textId="77777777">
        <w:tc>
          <w:tcPr>
            <w:tcW w:w="2160" w:type="dxa"/>
            <w:vAlign w:val="center"/>
          </w:tcPr>
          <w:p w14:paraId="1B6EDBC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6F2303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placement positions of the drainage tubes after </w:t>
            </w:r>
            <w:r w:rsidRPr="00CB2EC4">
              <w:rPr>
                <w:rFonts w:ascii="Times New Roman" w:hAnsi="Times New Roman" w:cs="Times New Roman"/>
              </w:rPr>
              <w:lastRenderedPageBreak/>
              <w:t>intra(extra)peritoneal pelvic lymphadenectomy and radical hysterectomy are as follows:</w:t>
            </w:r>
            <w:r w:rsidRPr="00CB2EC4">
              <w:rPr>
                <w:rFonts w:ascii="Times New Roman" w:hAnsi="Times New Roman" w:cs="Times New Roman"/>
              </w:rPr>
              <w:br/>
              <w:t>- Document excerpt 10 explicitly states: "Place 2 drainage tubes in the bilateral obturator fossae, brought out and fixed through the skin approximately 4 cm from the anterior superior iliac spine, and connected to a negative pressure drainage bottle."</w:t>
            </w:r>
            <w:r w:rsidRPr="00CB2EC4">
              <w:rPr>
                <w:rFonts w:ascii="Times New Roman" w:hAnsi="Times New Roman" w:cs="Times New Roman"/>
              </w:rPr>
              <w:br/>
              <w:t>- Therefore, the drainage tubes are positioned in the bilateral obturator fossae and exited at approximately 4 cm from the anterior superior iliac spine.</w:t>
            </w:r>
          </w:p>
        </w:tc>
        <w:tc>
          <w:tcPr>
            <w:tcW w:w="1152" w:type="dxa"/>
            <w:vAlign w:val="center"/>
          </w:tcPr>
          <w:p w14:paraId="142FAB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3E2B0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A9B35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3060EE3" w14:textId="77777777">
        <w:tc>
          <w:tcPr>
            <w:tcW w:w="2160" w:type="dxa"/>
            <w:vAlign w:val="center"/>
          </w:tcPr>
          <w:p w14:paraId="37D3832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85AD80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drain placement positions:  </w:t>
            </w:r>
            <w:r w:rsidRPr="00CB2EC4">
              <w:rPr>
                <w:rFonts w:ascii="Times New Roman" w:hAnsi="Times New Roman" w:cs="Times New Roman"/>
              </w:rPr>
              <w:br/>
              <w:t xml:space="preserve">1.  Retroperitoneal space: After pelvic lymph node dissection, the drain is commonly placed in the obturator fossa and iliac vessel region to drain lymphatic fluid and serosanguineous effusion (not directly described in the knowledge base document, but network search results mention "postoperative placement of a retropubic drain").  </w:t>
            </w:r>
            <w:r w:rsidRPr="00CB2EC4">
              <w:rPr>
                <w:rFonts w:ascii="Times New Roman" w:hAnsi="Times New Roman" w:cs="Times New Roman"/>
              </w:rPr>
              <w:br/>
              <w:t xml:space="preserve">2.  Retzius space (retropubic space): Following bladder dissection in radical hysterectomy, the drain is placed in the retropubic space to prevent urinary retention and lymphocele formation (the knowledge base document references "postoperative suprapubic cystostomy drainage" when describing Type III surgery).  </w:t>
            </w:r>
            <w:r w:rsidRPr="00CB2EC4">
              <w:rPr>
                <w:rFonts w:ascii="Times New Roman" w:hAnsi="Times New Roman" w:cs="Times New Roman"/>
              </w:rPr>
              <w:br/>
              <w:t xml:space="preserve">Evidence:  </w:t>
            </w:r>
            <w:r w:rsidRPr="00CB2EC4">
              <w:rPr>
                <w:rFonts w:ascii="Times New Roman" w:hAnsi="Times New Roman" w:cs="Times New Roman"/>
              </w:rPr>
              <w:br/>
              <w:t>- The knowledge base document specifies "routine suprapubic cystostomy" in the steps of Type III surgery. Network search results supplement that "open surgery requires placement of a retropubic drain."</w:t>
            </w:r>
          </w:p>
        </w:tc>
        <w:tc>
          <w:tcPr>
            <w:tcW w:w="1152" w:type="dxa"/>
            <w:vAlign w:val="center"/>
          </w:tcPr>
          <w:p w14:paraId="601DE6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61D96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81CC6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D18D566" w14:textId="77777777">
        <w:tc>
          <w:tcPr>
            <w:tcW w:w="2160" w:type="dxa"/>
            <w:vAlign w:val="center"/>
          </w:tcPr>
          <w:p w14:paraId="0A75E4F2"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7DCE08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placement position of the drainage tube after intra(endo)peritoneal pelvic lymphadenectomy and radical hysterectomy is not specified in the provided </w:t>
            </w:r>
            <w:r w:rsidRPr="00CB2EC4">
              <w:rPr>
                <w:rFonts w:ascii="Times New Roman" w:hAnsi="Times New Roman" w:cs="Times New Roman"/>
              </w:rPr>
              <w:lastRenderedPageBreak/>
              <w:t>document fragments.</w:t>
            </w:r>
          </w:p>
        </w:tc>
        <w:tc>
          <w:tcPr>
            <w:tcW w:w="1152" w:type="dxa"/>
            <w:vAlign w:val="center"/>
          </w:tcPr>
          <w:p w14:paraId="1F9E28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185B7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1DFAD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932AE95" w14:textId="77777777">
        <w:tc>
          <w:tcPr>
            <w:tcW w:w="2160" w:type="dxa"/>
            <w:vAlign w:val="center"/>
          </w:tcPr>
          <w:p w14:paraId="0CBF6434"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573D09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found in the knowledge base.  </w:t>
            </w:r>
            <w:r w:rsidRPr="00CB2EC4">
              <w:rPr>
                <w:rFonts w:ascii="Times New Roman" w:hAnsi="Times New Roman" w:cs="Times New Roman"/>
              </w:rPr>
              <w:br/>
              <w:t>- reason: the provided document excerpts detail the scope of surgery, indications, and techniques (e.g., documents 3, 7, 10, 17), but do not mention the placement of postoperative drainage tubes following intraperitoneal (posterior) pelvic lymphadenectomy and radical hysterectomy. document 17 (fusion score 0.5607) discusses preoperative preparation and instrument usage, and document 10 (fusion score 0.6061) covers suturing steps, but neither specifies the location of the drainage tube (e.g., pelvic cavity or vagina). therefore, based on the context, the placement of the drainage tube cannot be determined.</w:t>
            </w:r>
          </w:p>
        </w:tc>
        <w:tc>
          <w:tcPr>
            <w:tcW w:w="1152" w:type="dxa"/>
            <w:vAlign w:val="center"/>
          </w:tcPr>
          <w:p w14:paraId="671534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39C31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A1C42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41523FC" w14:textId="77777777">
        <w:tc>
          <w:tcPr>
            <w:tcW w:w="2160" w:type="dxa"/>
            <w:vAlign w:val="center"/>
          </w:tcPr>
          <w:p w14:paraId="2860784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7F2EFD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drain placement position: led out through the vagina and placed in the obturator region.  </w:t>
            </w:r>
            <w:r w:rsidRPr="00CB2EC4">
              <w:rPr>
                <w:rFonts w:ascii="Times New Roman" w:hAnsi="Times New Roman" w:cs="Times New Roman"/>
              </w:rPr>
              <w:br/>
              <w:t xml:space="preserve">basis:  </w:t>
            </w:r>
            <w:r w:rsidRPr="00CB2EC4">
              <w:rPr>
                <w:rFonts w:ascii="Times New Roman" w:hAnsi="Times New Roman" w:cs="Times New Roman"/>
              </w:rPr>
              <w:br/>
              <w:t xml:space="preserve">- the document explicitly states in the description of type II surgery: "place a rubber drain in the obturator region and lead it out through the vagina" (HyDE similarity 0.600).  </w:t>
            </w:r>
            <w:r w:rsidRPr="00CB2EC4">
              <w:rPr>
                <w:rFonts w:ascii="Times New Roman" w:hAnsi="Times New Roman" w:cs="Times New Roman"/>
              </w:rPr>
              <w:br/>
              <w:t>- although the type III surgery does not directly describe the drain position, the document notes that "other management is the same as type III" (HyDE similarity 0.600), and pelvic lymph node dissection uniformly requires drainage to reduce the risk of fluid accumulation.</w:t>
            </w:r>
          </w:p>
        </w:tc>
        <w:tc>
          <w:tcPr>
            <w:tcW w:w="1152" w:type="dxa"/>
            <w:vAlign w:val="center"/>
          </w:tcPr>
          <w:p w14:paraId="5DE8FA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DE6AA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51B51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5F8B52F" w14:textId="77777777">
        <w:tc>
          <w:tcPr>
            <w:tcW w:w="2160" w:type="dxa"/>
            <w:vAlign w:val="center"/>
          </w:tcPr>
          <w:p w14:paraId="5A123B22"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873773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found in the knowledge base.  </w:t>
            </w:r>
            <w:r w:rsidRPr="00CB2EC4">
              <w:rPr>
                <w:rFonts w:ascii="Times New Roman" w:hAnsi="Times New Roman" w:cs="Times New Roman"/>
              </w:rPr>
              <w:br/>
              <w:t xml:space="preserve">- the document excerpt discusses preoperative preparations (e.g., excerpt 12 mentions enema and indwelling urinary catheter placement), but does not specifically state the placement position of the drainage tube after intraperitoneal (posterior) pelvic </w:t>
            </w:r>
            <w:r w:rsidRPr="00CB2EC4">
              <w:rPr>
                <w:rFonts w:ascii="Times New Roman" w:hAnsi="Times New Roman" w:cs="Times New Roman"/>
              </w:rPr>
              <w:lastRenderedPageBreak/>
              <w:t>lymphoid tissue resection and radical hysterectomy. other excerpts (e.g., excerpts 5, 6, 12) describe the scope and methods of surgery, but do not involve details of the drainage tube.</w:t>
            </w:r>
          </w:p>
        </w:tc>
        <w:tc>
          <w:tcPr>
            <w:tcW w:w="1152" w:type="dxa"/>
            <w:vAlign w:val="center"/>
          </w:tcPr>
          <w:p w14:paraId="50B180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499A5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56385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A47E2BE" w14:textId="77777777">
        <w:tc>
          <w:tcPr>
            <w:tcW w:w="2160" w:type="dxa"/>
            <w:vAlign w:val="center"/>
          </w:tcPr>
          <w:p w14:paraId="114BC1DD"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2590371" w14:textId="77777777" w:rsidR="00922249" w:rsidRPr="00CB2EC4" w:rsidRDefault="003011D5">
            <w:pPr>
              <w:rPr>
                <w:rFonts w:ascii="Times New Roman" w:hAnsi="Times New Roman" w:cs="Times New Roman"/>
              </w:rPr>
            </w:pPr>
            <w:r w:rsidRPr="00CB2EC4">
              <w:rPr>
                <w:rFonts w:ascii="Times New Roman" w:hAnsi="Times New Roman" w:cs="Times New Roman"/>
              </w:rPr>
              <w:t>after intraperitoneal pelvic lymph node dissection and radical hysterectomy, a rubber drain is placed in the obturator region and brought out through the vagina.</w:t>
            </w:r>
            <w:r w:rsidRPr="00CB2EC4">
              <w:rPr>
                <w:rFonts w:ascii="Times New Roman" w:hAnsi="Times New Roman" w:cs="Times New Roman"/>
              </w:rPr>
              <w:br/>
              <w:t>- Basis: The document explicitly states the procedure at the end of surgery: "a rubber drain is placed in the obturator region and brought out through the vagina" (see description of drainage method after Type II or Type III surgery in the relevant document fragment). This applies to pelvic lymphadenectomy and radical hysterectomy to drain pelvic fluid and reduce infection risk.</w:t>
            </w:r>
          </w:p>
        </w:tc>
        <w:tc>
          <w:tcPr>
            <w:tcW w:w="1152" w:type="dxa"/>
            <w:vAlign w:val="center"/>
          </w:tcPr>
          <w:p w14:paraId="4BE5DC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C5524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971B5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24A8A7F" w14:textId="77777777">
        <w:tc>
          <w:tcPr>
            <w:tcW w:w="2160" w:type="dxa"/>
            <w:vAlign w:val="center"/>
          </w:tcPr>
          <w:p w14:paraId="52D255C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A31D3CA" w14:textId="77777777" w:rsidR="00922249" w:rsidRPr="00CB2EC4" w:rsidRDefault="003011D5">
            <w:pPr>
              <w:rPr>
                <w:rFonts w:ascii="Times New Roman" w:hAnsi="Times New Roman" w:cs="Times New Roman"/>
              </w:rPr>
            </w:pPr>
            <w:r w:rsidRPr="00CB2EC4">
              <w:rPr>
                <w:rFonts w:ascii="Times New Roman" w:hAnsi="Times New Roman" w:cs="Times New Roman"/>
              </w:rPr>
              <w:t>after intraperitoneal (posterior) pelvic lymph node dissection and radical hysterectomy, the postoperative drainage tube is placed in the obturator region or pelvic floor space and is led out through the vagina.</w:t>
            </w:r>
            <w:r w:rsidRPr="00CB2EC4">
              <w:rPr>
                <w:rFonts w:ascii="Times New Roman" w:hAnsi="Times New Roman" w:cs="Times New Roman"/>
              </w:rPr>
              <w:br/>
            </w:r>
            <w:r w:rsidRPr="00CB2EC4">
              <w:rPr>
                <w:rFonts w:ascii="Times New Roman" w:hAnsi="Times New Roman" w:cs="Times New Roman"/>
              </w:rPr>
              <w:br/>
              <w:t>- Specific description:</w:t>
            </w:r>
            <w:r w:rsidRPr="00CB2EC4">
              <w:rPr>
                <w:rFonts w:ascii="Times New Roman" w:hAnsi="Times New Roman" w:cs="Times New Roman"/>
              </w:rPr>
              <w:br/>
              <w:t xml:space="preserve">  - Following pelvic lymph node dissection and radical hysterectomy, the drainage tube is typically positioned in the obturator region (the area of lymph node removal) or the pelvic floor space to drain fluid and blood (Document Fragment 9: "A T-shaped drainage tube is placed in the pelvic floor space"; Document Fragment 24: "A rubber drainage tube is inserted into the obturator region").</w:t>
            </w:r>
            <w:r w:rsidRPr="00CB2EC4">
              <w:rPr>
                <w:rFonts w:ascii="Times New Roman" w:hAnsi="Times New Roman" w:cs="Times New Roman"/>
              </w:rPr>
              <w:br/>
              <w:t xml:space="preserve">  - The drainage tube is led out through the vaginal stump or lateral wall (Document Fragment 13: "A T-tube is placed through the central opening for drainage"; Document Fragment 9: "Led out through </w:t>
            </w:r>
            <w:r w:rsidRPr="00CB2EC4">
              <w:rPr>
                <w:rFonts w:ascii="Times New Roman" w:hAnsi="Times New Roman" w:cs="Times New Roman"/>
              </w:rPr>
              <w:lastRenderedPageBreak/>
              <w:t>the vagina"), which facilitates postoperative monitoring and reduces infection risk.</w:t>
            </w:r>
            <w:r w:rsidRPr="00CB2EC4">
              <w:rPr>
                <w:rFonts w:ascii="Times New Roman" w:hAnsi="Times New Roman" w:cs="Times New Roman"/>
              </w:rPr>
              <w:br/>
              <w:t>This placement is designed to manage postoperative exudate and promote healing.</w:t>
            </w:r>
          </w:p>
        </w:tc>
        <w:tc>
          <w:tcPr>
            <w:tcW w:w="1152" w:type="dxa"/>
            <w:vAlign w:val="center"/>
          </w:tcPr>
          <w:p w14:paraId="1496C9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7AC85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088FC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F5710E0" w14:textId="77777777">
        <w:tc>
          <w:tcPr>
            <w:tcW w:w="2160" w:type="dxa"/>
            <w:vAlign w:val="center"/>
          </w:tcPr>
          <w:p w14:paraId="50AFEA2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7B5AC1D" w14:textId="77777777" w:rsidR="00922249" w:rsidRPr="00CB2EC4" w:rsidRDefault="003011D5">
            <w:pPr>
              <w:rPr>
                <w:rFonts w:ascii="Times New Roman" w:hAnsi="Times New Roman" w:cs="Times New Roman"/>
              </w:rPr>
            </w:pPr>
            <w:r w:rsidRPr="00CB2EC4">
              <w:rPr>
                <w:rFonts w:ascii="Times New Roman" w:hAnsi="Times New Roman" w:cs="Times New Roman"/>
              </w:rPr>
              <w:t>the placement position of the postoperative drainage tube for intraperitoneal (posterior) pelvic lymph node dissection and radical hysterectomy is:</w:t>
            </w:r>
            <w:r w:rsidRPr="00CB2EC4">
              <w:rPr>
                <w:rFonts w:ascii="Times New Roman" w:hAnsi="Times New Roman" w:cs="Times New Roman"/>
              </w:rPr>
              <w:br/>
            </w:r>
            <w:r w:rsidRPr="00CB2EC4">
              <w:rPr>
                <w:rFonts w:ascii="Times New Roman" w:hAnsi="Times New Roman" w:cs="Times New Roman"/>
              </w:rPr>
              <w:br/>
              <w:t>Placement position: obturator region, brought out through the vagina.</w:t>
            </w:r>
            <w:r w:rsidRPr="00CB2EC4">
              <w:rPr>
                <w:rFonts w:ascii="Times New Roman" w:hAnsi="Times New Roman" w:cs="Times New Roman"/>
              </w:rPr>
              <w:br/>
            </w:r>
            <w:r w:rsidRPr="00CB2EC4">
              <w:rPr>
                <w:rFonts w:ascii="Times New Roman" w:hAnsi="Times New Roman" w:cs="Times New Roman"/>
              </w:rPr>
              <w:br/>
              <w:t>The documentation explicitly states that the drainage tube is placed in the obturator region and brought out through the vagina (see contextual excerpts: "a rubber drainage tube is placed in the obturator region and brought out through the vagina" and "after postoperative disinfection, remove the vaginal gauze and straighten the drainage tube"). This applies to intraperitoneal pelvic lymph node dissection and radical hysterectomy (e.g., Type II or III procedures), with the aim of draining postoperative fluid accumulation and reducing infection risk. No other placement positions (such as abdominal) are mentioned; therefore, based on the context, this is the standard approach.</w:t>
            </w:r>
          </w:p>
        </w:tc>
        <w:tc>
          <w:tcPr>
            <w:tcW w:w="1152" w:type="dxa"/>
            <w:vAlign w:val="center"/>
          </w:tcPr>
          <w:p w14:paraId="5F9889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9EE89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F1EE5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8E9FD59" w14:textId="77777777">
        <w:tc>
          <w:tcPr>
            <w:tcW w:w="2160" w:type="dxa"/>
            <w:vAlign w:val="center"/>
          </w:tcPr>
          <w:p w14:paraId="7A2F561C"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507706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placement position of the postoperative drainage tube after intra(extra)peritoneal pelvic lymphadenectomy and radical hysterectomy is not specified in the provided knowledge base. The available context focuses on surgical indications, extent, steps, and outcomes, but does not detail whether the drain is placed intraperitoneally or retroperitoneally. It is recommended to consult </w:t>
            </w:r>
            <w:r w:rsidRPr="00CB2EC4">
              <w:rPr>
                <w:rFonts w:ascii="Times New Roman" w:hAnsi="Times New Roman" w:cs="Times New Roman"/>
              </w:rPr>
              <w:lastRenderedPageBreak/>
              <w:t>standard gynecological surgical literature or clinical guidelines for this specific information.</w:t>
            </w:r>
          </w:p>
        </w:tc>
        <w:tc>
          <w:tcPr>
            <w:tcW w:w="1152" w:type="dxa"/>
            <w:vAlign w:val="center"/>
          </w:tcPr>
          <w:p w14:paraId="096EE4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E4588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C83D7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44C0ED7" w14:textId="77777777">
        <w:tc>
          <w:tcPr>
            <w:tcW w:w="2160" w:type="dxa"/>
            <w:vAlign w:val="center"/>
          </w:tcPr>
          <w:p w14:paraId="43A9351F"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D67AE6B" w14:textId="77777777" w:rsidR="00922249" w:rsidRPr="00CB2EC4" w:rsidRDefault="003011D5">
            <w:pPr>
              <w:rPr>
                <w:rFonts w:ascii="Times New Roman" w:hAnsi="Times New Roman" w:cs="Times New Roman"/>
              </w:rPr>
            </w:pPr>
            <w:r w:rsidRPr="00CB2EC4">
              <w:rPr>
                <w:rFonts w:ascii="Times New Roman" w:hAnsi="Times New Roman" w:cs="Times New Roman"/>
              </w:rPr>
              <w:t>drain placement position: starting from the obturator fossa, passing under the posterior peritoneum, and then exiting through the abdominal wall.</w:t>
            </w:r>
            <w:r w:rsidRPr="00CB2EC4">
              <w:rPr>
                <w:rFonts w:ascii="Times New Roman" w:hAnsi="Times New Roman" w:cs="Times New Roman"/>
              </w:rPr>
              <w:br/>
            </w:r>
            <w:r w:rsidRPr="00CB2EC4">
              <w:rPr>
                <w:rFonts w:ascii="Times New Roman" w:hAnsi="Times New Roman" w:cs="Times New Roman"/>
              </w:rPr>
              <w:br/>
              <w:t>Explanation:</w:t>
            </w:r>
            <w:r w:rsidRPr="00CB2EC4">
              <w:rPr>
                <w:rFonts w:ascii="Times New Roman" w:hAnsi="Times New Roman" w:cs="Times New Roman"/>
              </w:rPr>
              <w:br/>
              <w:t>Based on the context (related segment 2, original block 153-155), when describing postoperative management after radical total hysterectomy, the text explicitly states:</w:t>
            </w:r>
            <w:r w:rsidRPr="00CB2EC4">
              <w:rPr>
                <w:rFonts w:ascii="Times New Roman" w:hAnsi="Times New Roman" w:cs="Times New Roman"/>
              </w:rPr>
              <w:br/>
              <w:t>- "After thorough lavage of the pelvis with normal saline, the drain is placed starting from the obturator fossa, passing under the posterior peritoneum, and then exiting through the abdominal wall to connect to a drainage bag. The closure of the iliac fossa peritoneum is not performed."</w:t>
            </w:r>
            <w:r w:rsidRPr="00CB2EC4">
              <w:rPr>
                <w:rFonts w:ascii="Times New Roman" w:hAnsi="Times New Roman" w:cs="Times New Roman"/>
              </w:rPr>
              <w:br/>
              <w:t>This applies to postoperative drain placement following intraperitoneal (posterior) pelvic lymphadenectomy and radical hysterectomy, aimed at draining fluid collections and reducing infection risk. The obturator fossa is a key area for pelvic lymph node dissection, and the sub-peritoneal route helps cover the surgical field.</w:t>
            </w:r>
            <w:r w:rsidRPr="00CB2EC4">
              <w:rPr>
                <w:rFonts w:ascii="Times New Roman" w:hAnsi="Times New Roman" w:cs="Times New Roman"/>
              </w:rPr>
              <w:br/>
              <w:t>Therefore, the placement position is: originating at the obturator fossa, extending beneath the posterior peritoneum, and finally exiting through the abdominal wall skin to attach to a drainage bag.</w:t>
            </w:r>
          </w:p>
        </w:tc>
        <w:tc>
          <w:tcPr>
            <w:tcW w:w="1152" w:type="dxa"/>
            <w:vAlign w:val="center"/>
          </w:tcPr>
          <w:p w14:paraId="1D9B15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199F5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A5C5C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6E564CA" w14:textId="77777777">
        <w:tc>
          <w:tcPr>
            <w:tcW w:w="2160" w:type="dxa"/>
            <w:vAlign w:val="center"/>
          </w:tcPr>
          <w:p w14:paraId="24E23728"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56AC67C" w14:textId="77777777" w:rsidR="00922249" w:rsidRPr="00CB2EC4" w:rsidRDefault="003011D5">
            <w:pPr>
              <w:rPr>
                <w:rFonts w:ascii="Times New Roman" w:hAnsi="Times New Roman" w:cs="Times New Roman"/>
              </w:rPr>
            </w:pPr>
            <w:r w:rsidRPr="00CB2EC4">
              <w:rPr>
                <w:rFonts w:ascii="Times New Roman" w:hAnsi="Times New Roman" w:cs="Times New Roman"/>
              </w:rPr>
              <w:t>drain placement position: Postoperative drains are typically placed in the retroperitoneal pelvic space or near the vaginal cuff.</w:t>
            </w:r>
            <w:r w:rsidRPr="00CB2EC4">
              <w:rPr>
                <w:rFonts w:ascii="Times New Roman" w:hAnsi="Times New Roman" w:cs="Times New Roman"/>
              </w:rPr>
              <w:br/>
              <w:t xml:space="preserve">- Explanation: Following intraperitoneal pelvic lymph node dissection and radical hysterectomy, drains must </w:t>
            </w:r>
            <w:r w:rsidRPr="00CB2EC4">
              <w:rPr>
                <w:rFonts w:ascii="Times New Roman" w:hAnsi="Times New Roman" w:cs="Times New Roman"/>
              </w:rPr>
              <w:lastRenderedPageBreak/>
              <w:t>be positioned at the lowest point of the pelvis (e.g., Douglas pouch or lateral pelvic wall) to evacuate lymphatic fluid, blood, and exudate, thereby preventing fluid accumulation or infection. Specifically, one drain is placed in the retroperitoneal pelvis (adjacent to the presacral area), and another may be placed at the vaginal cuff or anterior bladder space to ensure adequate drainage. This approach helps reduce postoperative complications such as lymphoceles (incidence can be lowered to &lt;5%).</w:t>
            </w:r>
          </w:p>
        </w:tc>
        <w:tc>
          <w:tcPr>
            <w:tcW w:w="1152" w:type="dxa"/>
            <w:vAlign w:val="center"/>
          </w:tcPr>
          <w:p w14:paraId="3C4D4B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C5380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A6CB1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168C1F4" w14:textId="77777777">
        <w:tc>
          <w:tcPr>
            <w:tcW w:w="10656" w:type="dxa"/>
            <w:gridSpan w:val="5"/>
            <w:tcBorders>
              <w:bottom w:val="single" w:sz="6" w:space="0" w:color="auto"/>
            </w:tcBorders>
            <w:vAlign w:val="center"/>
          </w:tcPr>
          <w:p w14:paraId="4958740C"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168: In a Type III radical hysterectomy, what is the standard location for the ligation and division of the uterine artery?</w:t>
            </w:r>
          </w:p>
        </w:tc>
      </w:tr>
      <w:tr w:rsidR="00922249" w:rsidRPr="00CB2EC4" w14:paraId="20ECA63D" w14:textId="77777777">
        <w:tc>
          <w:tcPr>
            <w:tcW w:w="2160" w:type="dxa"/>
            <w:vAlign w:val="center"/>
          </w:tcPr>
          <w:p w14:paraId="0AE5A66E"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72E75F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radical hysterectomy type III, the standard location for ligating and transecting the uterine artery is at the origin of the internal iliac artery.  </w:t>
            </w:r>
            <w:r w:rsidRPr="00CB2EC4">
              <w:rPr>
                <w:rFonts w:ascii="Times New Roman" w:hAnsi="Times New Roman" w:cs="Times New Roman"/>
              </w:rPr>
              <w:br/>
              <w:t>According to the document content (similarity 0.528 fragment): "The uterine artery is ligated and transected at the origin of the internal iliac artery (Figure 7-12)." This step is a critical component of the Meigs procedure, aiming to extensively remove parametrial tissues while reducing the risk of ureteral injury. The selection of the transection site ensures the radical nature of the surgery and helps preserve blood supply to the distal ureter.</w:t>
            </w:r>
          </w:p>
        </w:tc>
        <w:tc>
          <w:tcPr>
            <w:tcW w:w="1152" w:type="dxa"/>
            <w:vAlign w:val="center"/>
          </w:tcPr>
          <w:p w14:paraId="3C6F90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FF5C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95DA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37494F" w14:textId="77777777">
        <w:tc>
          <w:tcPr>
            <w:tcW w:w="2160" w:type="dxa"/>
            <w:vAlign w:val="center"/>
          </w:tcPr>
          <w:p w14:paraId="31B2330D"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C5D38BD"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ligation site for the uterine artery during a Type III extended hysterectomy is at the origin of the internal iliac artery.</w:t>
            </w:r>
            <w:r w:rsidRPr="00CB2EC4">
              <w:rPr>
                <w:rFonts w:ascii="Times New Roman" w:hAnsi="Times New Roman" w:cs="Times New Roman"/>
              </w:rPr>
              <w:br/>
            </w:r>
            <w:r w:rsidRPr="00CB2EC4">
              <w:rPr>
                <w:rFonts w:ascii="Times New Roman" w:hAnsi="Times New Roman" w:cs="Times New Roman"/>
              </w:rPr>
              <w:br/>
              <w:t xml:space="preserve">Ligation site: At the origin of the internal iliac artery.  </w:t>
            </w:r>
            <w:r w:rsidRPr="00CB2EC4">
              <w:rPr>
                <w:rFonts w:ascii="Times New Roman" w:hAnsi="Times New Roman" w:cs="Times New Roman"/>
              </w:rPr>
              <w:br/>
              <w:t xml:space="preserve">Reference (Document Fragment 494, Block Theme: Analysis of Radical Hysterectomy):  </w:t>
            </w:r>
            <w:r w:rsidRPr="00CB2EC4">
              <w:rPr>
                <w:rFonts w:ascii="Times New Roman" w:hAnsi="Times New Roman" w:cs="Times New Roman"/>
              </w:rPr>
              <w:br/>
              <w:t xml:space="preserve">&gt; "The main difference from the Wertheim operation is that the uterine artery is ligated at the origin of the internal iliac artery (Figure 7-12)."  </w:t>
            </w:r>
            <w:r w:rsidRPr="00CB2EC4">
              <w:rPr>
                <w:rFonts w:ascii="Times New Roman" w:hAnsi="Times New Roman" w:cs="Times New Roman"/>
              </w:rPr>
              <w:br/>
            </w:r>
            <w:r w:rsidRPr="00CB2EC4">
              <w:rPr>
                <w:rFonts w:ascii="Times New Roman" w:hAnsi="Times New Roman" w:cs="Times New Roman"/>
              </w:rPr>
              <w:lastRenderedPageBreak/>
              <w:t>Note: Type III surgery requires extensive resection of the parametrial tissue; therefore, the uterine artery must be ligated proximally (at the origin of the internal iliac artery) to ensure adequate resection margins.</w:t>
            </w:r>
          </w:p>
        </w:tc>
        <w:tc>
          <w:tcPr>
            <w:tcW w:w="1152" w:type="dxa"/>
            <w:vAlign w:val="center"/>
          </w:tcPr>
          <w:p w14:paraId="3F567B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C464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4034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174929" w14:textId="77777777">
        <w:tc>
          <w:tcPr>
            <w:tcW w:w="2160" w:type="dxa"/>
            <w:vAlign w:val="center"/>
          </w:tcPr>
          <w:p w14:paraId="4604408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C2D4DCC" w14:textId="77777777" w:rsidR="00922249" w:rsidRPr="00CB2EC4" w:rsidRDefault="003011D5">
            <w:pPr>
              <w:rPr>
                <w:rFonts w:ascii="Times New Roman" w:hAnsi="Times New Roman" w:cs="Times New Roman"/>
              </w:rPr>
            </w:pPr>
            <w:r w:rsidRPr="00CB2EC4">
              <w:rPr>
                <w:rFonts w:ascii="Times New Roman" w:hAnsi="Times New Roman" w:cs="Times New Roman"/>
              </w:rPr>
              <w:t>in type III radical hysterectomy, the standard site for ligating and dividing the uterine artery is at the origin of the internal iliac artery.</w:t>
            </w:r>
            <w:r w:rsidRPr="00CB2EC4">
              <w:rPr>
                <w:rFonts w:ascii="Times New Roman" w:hAnsi="Times New Roman" w:cs="Times New Roman"/>
              </w:rPr>
              <w:br/>
            </w:r>
            <w:r w:rsidRPr="00CB2EC4">
              <w:rPr>
                <w:rFonts w:ascii="Times New Roman" w:hAnsi="Times New Roman" w:cs="Times New Roman"/>
              </w:rPr>
              <w:br/>
              <w:t>supporting evidence:</w:t>
            </w:r>
            <w:r w:rsidRPr="00CB2EC4">
              <w:rPr>
                <w:rFonts w:ascii="Times New Roman" w:hAnsi="Times New Roman" w:cs="Times New Roman"/>
              </w:rPr>
              <w:br/>
              <w:t>- document excerpt 17 describes the Meigs operation (similar to type III): "the uterine artery is ligated at the origin of the internal iliac artery."</w:t>
            </w:r>
            <w:r w:rsidRPr="00CB2EC4">
              <w:rPr>
                <w:rFonts w:ascii="Times New Roman" w:hAnsi="Times New Roman" w:cs="Times New Roman"/>
              </w:rPr>
              <w:br/>
              <w:t>- excerpt 19 for type C2 surgery (corresponding to classic type III radical hysterectomy) states: "uterine artery management: internal iliac artery."</w:t>
            </w:r>
            <w:r w:rsidRPr="00CB2EC4">
              <w:rPr>
                <w:rFonts w:ascii="Times New Roman" w:hAnsi="Times New Roman" w:cs="Times New Roman"/>
              </w:rPr>
              <w:br/>
              <w:t>- excerpt 25 mentions "dissection and division of the uterine artery" without specifying the location; excerpt 27 discusses cervical excision and is not applicable. therefore, excerpts 17 and 19 provide direct evidence.</w:t>
            </w:r>
            <w:r w:rsidRPr="00CB2EC4">
              <w:rPr>
                <w:rFonts w:ascii="Times New Roman" w:hAnsi="Times New Roman" w:cs="Times New Roman"/>
              </w:rPr>
              <w:br/>
            </w:r>
            <w:r w:rsidRPr="00CB2EC4">
              <w:rPr>
                <w:rFonts w:ascii="Times New Roman" w:hAnsi="Times New Roman" w:cs="Times New Roman"/>
              </w:rPr>
              <w:br/>
              <w:t>this location is chosen to ensure wide resection of the parametrial tissue while reducing the risk of ureteral injury (excerpt 17).</w:t>
            </w:r>
          </w:p>
        </w:tc>
        <w:tc>
          <w:tcPr>
            <w:tcW w:w="1152" w:type="dxa"/>
            <w:vAlign w:val="center"/>
          </w:tcPr>
          <w:p w14:paraId="610E46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A625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EA35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0F203F" w14:textId="77777777">
        <w:tc>
          <w:tcPr>
            <w:tcW w:w="2160" w:type="dxa"/>
            <w:vAlign w:val="center"/>
          </w:tcPr>
          <w:p w14:paraId="635E792B"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A5B473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Ligation site: The uterine artery is ligated at its origin from the internal iliac artery.  </w:t>
            </w:r>
            <w:r w:rsidRPr="00CB2EC4">
              <w:rPr>
                <w:rFonts w:ascii="Times New Roman" w:hAnsi="Times New Roman" w:cs="Times New Roman"/>
              </w:rPr>
              <w:br/>
              <w:t xml:space="preserve">Basis:  </w:t>
            </w:r>
            <w:r w:rsidRPr="00CB2EC4">
              <w:rPr>
                <w:rFonts w:ascii="Times New Roman" w:hAnsi="Times New Roman" w:cs="Times New Roman"/>
              </w:rPr>
              <w:br/>
              <w:t xml:space="preserve">- The knowledge base document clearly illustrates (Figures 7-12) and describes in text: "The uterine artery is ligated at its origin from the internal iliac artery" (knowledge base document).  </w:t>
            </w:r>
            <w:r w:rsidRPr="00CB2EC4">
              <w:rPr>
                <w:rFonts w:ascii="Times New Roman" w:hAnsi="Times New Roman" w:cs="Times New Roman"/>
              </w:rPr>
              <w:br/>
              <w:t xml:space="preserve">- Online search further confirms that Q-M type C surgery requires "the uterine artery to be severed from </w:t>
            </w:r>
            <w:r w:rsidRPr="00CB2EC4">
              <w:rPr>
                <w:rFonts w:ascii="Times New Roman" w:hAnsi="Times New Roman" w:cs="Times New Roman"/>
              </w:rPr>
              <w:lastRenderedPageBreak/>
              <w:t>its origin at the internal iliac artery" (online search results).</w:t>
            </w:r>
          </w:p>
        </w:tc>
        <w:tc>
          <w:tcPr>
            <w:tcW w:w="1152" w:type="dxa"/>
            <w:vAlign w:val="center"/>
          </w:tcPr>
          <w:p w14:paraId="5AC774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0DC81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67E0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5E07C9" w14:textId="77777777">
        <w:tc>
          <w:tcPr>
            <w:tcW w:w="2160" w:type="dxa"/>
            <w:vAlign w:val="center"/>
          </w:tcPr>
          <w:p w14:paraId="2154CFD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DB5C1A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Type III radical hysterectomy, the standard site for interrupting and ligating the uterine artery is at the origin of the internal iliac artery.  </w:t>
            </w:r>
            <w:r w:rsidRPr="00CB2EC4">
              <w:rPr>
                <w:rFonts w:ascii="Times New Roman" w:hAnsi="Times New Roman" w:cs="Times New Roman"/>
              </w:rPr>
              <w:br/>
              <w:t>- According to Document Fragment 4: "The Meigs operation includes resection of the lateral parametrial tissue and lymph nodes... The main difference from the Wertheim operation is that the uterine artery is ligated at the origin of the internal iliac artery (Figure 7-12)." Document Fragment 9, with the title of Figure 7-12, also explicitly states "Ligation of uterine artery at the origin of internal iliac artery." This ensures the radicality of the surgery while minimizing the risk of compromising blood supply to the distal ureter.</w:t>
            </w:r>
          </w:p>
        </w:tc>
        <w:tc>
          <w:tcPr>
            <w:tcW w:w="1152" w:type="dxa"/>
            <w:vAlign w:val="center"/>
          </w:tcPr>
          <w:p w14:paraId="50D3AC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380A8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CAC1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6A8109" w14:textId="77777777">
        <w:tc>
          <w:tcPr>
            <w:tcW w:w="2160" w:type="dxa"/>
            <w:vAlign w:val="center"/>
          </w:tcPr>
          <w:p w14:paraId="7C5D9CF5"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E5B554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type III radical hysterectomy, the standard location for ligating and dividing the uterine artery is at the origin of the internal iliac artery.  </w:t>
            </w:r>
            <w:r w:rsidRPr="00CB2EC4">
              <w:rPr>
                <w:rFonts w:ascii="Times New Roman" w:hAnsi="Times New Roman" w:cs="Times New Roman"/>
              </w:rPr>
              <w:br/>
              <w:t>- Evidence: Document 3 (fusion score 0.7142) explicitly states: “The uterine artery is divided at the origin of the internal iliac artery (Figure 7-12)”, emphasizing that this position allows for wide resection of the parametrial tissue while reducing the risk of fistula formation. Document 7 (fusion score 0.6446) also supports this, indicating during the description of type III surgery that “the uterine artery is divided at the origin of the internal iliac artery”. Document 15 (fusion score 0.5661), Table 7-1, likewise confirms that in type III surgery, the handling position of the uterine artery is “origin of the internal iliac artery”.</w:t>
            </w:r>
          </w:p>
        </w:tc>
        <w:tc>
          <w:tcPr>
            <w:tcW w:w="1152" w:type="dxa"/>
            <w:vAlign w:val="center"/>
          </w:tcPr>
          <w:p w14:paraId="00E312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3882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FAB7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373C526" w14:textId="77777777">
        <w:tc>
          <w:tcPr>
            <w:tcW w:w="2160" w:type="dxa"/>
            <w:vAlign w:val="center"/>
          </w:tcPr>
          <w:p w14:paraId="35E53007"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4705CC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Ligation and transection site: At the origin of the internal iliac artery.  </w:t>
            </w:r>
            <w:r w:rsidRPr="00CB2EC4">
              <w:rPr>
                <w:rFonts w:ascii="Times New Roman" w:hAnsi="Times New Roman" w:cs="Times New Roman"/>
              </w:rPr>
              <w:br/>
            </w:r>
            <w:r w:rsidRPr="00CB2EC4">
              <w:rPr>
                <w:rFonts w:ascii="Times New Roman" w:hAnsi="Times New Roman" w:cs="Times New Roman"/>
              </w:rPr>
              <w:lastRenderedPageBreak/>
              <w:t xml:space="preserve">Basis:  </w:t>
            </w:r>
            <w:r w:rsidRPr="00CB2EC4">
              <w:rPr>
                <w:rFonts w:ascii="Times New Roman" w:hAnsi="Times New Roman" w:cs="Times New Roman"/>
              </w:rPr>
              <w:br/>
              <w:t xml:space="preserve">- The document describes the scope of Type III surgery as follows: "The uterine artery is ligated and transected at the origin of the internal iliac artery" (HyDE similarity 0.592), accompanied by a schematic diagram (Figure 7-12).  </w:t>
            </w:r>
            <w:r w:rsidRPr="00CB2EC4">
              <w:rPr>
                <w:rFonts w:ascii="Times New Roman" w:hAnsi="Times New Roman" w:cs="Times New Roman"/>
              </w:rPr>
              <w:br/>
              <w:t>- This approach aims to completely remove the parametrial tissue, distinguishing it from Type II surgery (where ligation and transection are performed medial to the ureter).</w:t>
            </w:r>
          </w:p>
        </w:tc>
        <w:tc>
          <w:tcPr>
            <w:tcW w:w="1152" w:type="dxa"/>
            <w:vAlign w:val="center"/>
          </w:tcPr>
          <w:p w14:paraId="55A314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4DE2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F81C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DE054D" w14:textId="77777777">
        <w:tc>
          <w:tcPr>
            <w:tcW w:w="2160" w:type="dxa"/>
            <w:vAlign w:val="center"/>
          </w:tcPr>
          <w:p w14:paraId="0B5EFCA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60F65D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Class III radical hysterectomy, the standard site for ligating and dividing the uterine artery is at the origin of the internal iliac artery.  </w:t>
            </w:r>
            <w:r w:rsidRPr="00CB2EC4">
              <w:rPr>
                <w:rFonts w:ascii="Times New Roman" w:hAnsi="Times New Roman" w:cs="Times New Roman"/>
              </w:rPr>
              <w:br/>
              <w:t xml:space="preserve">- According to Document Fragment 5 (similarity 0.513): "The Meigs procedure includes resection of the lateral parametrial tissue and lymph nodes... The main difference from the Wertheim operation is that the uterine artery is ligated at the origin of the internal iliac artery (Figure 7-12)." Figure 7-12 is explicitly titled "Ligation of the uterine artery at the origin of the internal iliac artery."  </w:t>
            </w:r>
            <w:r w:rsidRPr="00CB2EC4">
              <w:rPr>
                <w:rFonts w:ascii="Times New Roman" w:hAnsi="Times New Roman" w:cs="Times New Roman"/>
              </w:rPr>
              <w:br/>
              <w:t>- This site selection aims to achieve wider resection of the parametrial tissue while reducing the risk of compromising blood supply to the distal ureter.</w:t>
            </w:r>
          </w:p>
        </w:tc>
        <w:tc>
          <w:tcPr>
            <w:tcW w:w="1152" w:type="dxa"/>
            <w:vAlign w:val="center"/>
          </w:tcPr>
          <w:p w14:paraId="27C258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C71B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74DA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5717237" w14:textId="77777777">
        <w:tc>
          <w:tcPr>
            <w:tcW w:w="2160" w:type="dxa"/>
            <w:vAlign w:val="center"/>
          </w:tcPr>
          <w:p w14:paraId="1B7E6059"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A42F61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Type III radical hysterectomy, the standard site for ligating and dividing the uterine artery is at the origin of the internal iliac artery.  </w:t>
            </w:r>
            <w:r w:rsidRPr="00CB2EC4">
              <w:rPr>
                <w:rFonts w:ascii="Times New Roman" w:hAnsi="Times New Roman" w:cs="Times New Roman"/>
              </w:rPr>
              <w:br/>
              <w:t xml:space="preserve">- Basis: The document describes the Type III procedure (Meigs radical hysterectomy) as differing from the Wertheim hysterectomy primarily in that "the uterine artery is ligated and divided at the origin of the internal iliac artery (Figure 7-12)". This ensures extensive resection of the parametrial tissue while </w:t>
            </w:r>
            <w:r w:rsidRPr="00CB2EC4">
              <w:rPr>
                <w:rFonts w:ascii="Times New Roman" w:hAnsi="Times New Roman" w:cs="Times New Roman"/>
              </w:rPr>
              <w:lastRenderedPageBreak/>
              <w:t>achieving high ligation of the uterine artery, reducing the risk of bleeding.</w:t>
            </w:r>
          </w:p>
        </w:tc>
        <w:tc>
          <w:tcPr>
            <w:tcW w:w="1152" w:type="dxa"/>
            <w:vAlign w:val="center"/>
          </w:tcPr>
          <w:p w14:paraId="55E7E6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C88C9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A5E5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1E02F3" w14:textId="77777777">
        <w:tc>
          <w:tcPr>
            <w:tcW w:w="2160" w:type="dxa"/>
            <w:vAlign w:val="center"/>
          </w:tcPr>
          <w:p w14:paraId="6C374A4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02A26C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type III radical hysterectomy, the standard location for transection and ligation of the uterine artery is at the origin of the internal iliac artery.  </w:t>
            </w:r>
            <w:r w:rsidRPr="00CB2EC4">
              <w:rPr>
                <w:rFonts w:ascii="Times New Roman" w:hAnsi="Times New Roman" w:cs="Times New Roman"/>
              </w:rPr>
              <w:br/>
              <w:t xml:space="preserve">- Specific description:  </w:t>
            </w:r>
            <w:r w:rsidRPr="00CB2EC4">
              <w:rPr>
                <w:rFonts w:ascii="Times New Roman" w:hAnsi="Times New Roman" w:cs="Times New Roman"/>
              </w:rPr>
              <w:br/>
              <w:t xml:space="preserve">  - During surgery, the internal iliac artery region must be exposed, and the uterine artery identified and dissected at its origin from the internal iliac artery (Document Fragment 8: "The uterine artery is transected and ligated at the origin of the internal iliac artery"; Figure 7-12).  </w:t>
            </w:r>
            <w:r w:rsidRPr="00CB2EC4">
              <w:rPr>
                <w:rFonts w:ascii="Times New Roman" w:hAnsi="Times New Roman" w:cs="Times New Roman"/>
              </w:rPr>
              <w:br/>
              <w:t xml:space="preserve">  - It is then clamped with a vascular clamp, cut, and ligated (typically with 4-0 silk suture) to ensure complete hemostasis and avoid injury to the adjacent ureter (Document Fragment 27: "The origin of the uterine artery is located at the mid-portion of the internal iliac artery... then transected and ligated").  </w:t>
            </w:r>
            <w:r w:rsidRPr="00CB2EC4">
              <w:rPr>
                <w:rFonts w:ascii="Times New Roman" w:hAnsi="Times New Roman" w:cs="Times New Roman"/>
              </w:rPr>
              <w:br/>
              <w:t>This location is chosen to safely control the vessel and minimize intraoperative bleeding.</w:t>
            </w:r>
          </w:p>
        </w:tc>
        <w:tc>
          <w:tcPr>
            <w:tcW w:w="1152" w:type="dxa"/>
            <w:vAlign w:val="center"/>
          </w:tcPr>
          <w:p w14:paraId="0C1F03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E38E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D7CE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903916" w14:textId="77777777">
        <w:tc>
          <w:tcPr>
            <w:tcW w:w="2160" w:type="dxa"/>
            <w:vAlign w:val="center"/>
          </w:tcPr>
          <w:p w14:paraId="6463FAAB"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A945C84" w14:textId="77777777" w:rsidR="00922249" w:rsidRPr="00CB2EC4" w:rsidRDefault="003011D5">
            <w:pPr>
              <w:rPr>
                <w:rFonts w:ascii="Times New Roman" w:hAnsi="Times New Roman" w:cs="Times New Roman"/>
              </w:rPr>
            </w:pPr>
            <w:r w:rsidRPr="00CB2EC4">
              <w:rPr>
                <w:rFonts w:ascii="Times New Roman" w:hAnsi="Times New Roman" w:cs="Times New Roman"/>
              </w:rPr>
              <w:t>Ligation site: At the origin of the internal iliac artery.</w:t>
            </w:r>
          </w:p>
        </w:tc>
        <w:tc>
          <w:tcPr>
            <w:tcW w:w="1152" w:type="dxa"/>
            <w:vAlign w:val="center"/>
          </w:tcPr>
          <w:p w14:paraId="58AE31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AC38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0E24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F4CB18" w14:textId="77777777">
        <w:tc>
          <w:tcPr>
            <w:tcW w:w="2160" w:type="dxa"/>
            <w:vAlign w:val="center"/>
          </w:tcPr>
          <w:p w14:paraId="07EAB213"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1BE3567" w14:textId="77777777" w:rsidR="00922249" w:rsidRPr="00CB2EC4" w:rsidRDefault="003011D5">
            <w:pPr>
              <w:rPr>
                <w:rFonts w:ascii="Times New Roman" w:hAnsi="Times New Roman" w:cs="Times New Roman"/>
              </w:rPr>
            </w:pPr>
            <w:r w:rsidRPr="00CB2EC4">
              <w:rPr>
                <w:rFonts w:ascii="Times New Roman" w:hAnsi="Times New Roman" w:cs="Times New Roman"/>
              </w:rPr>
              <w:t>in type III radical hysterectomy (corresponding to Piver-Rutledge class III or Q-M class C), the standard site for ligating and dividing the uterine artery is at the level of the internal iliac artery.</w:t>
            </w:r>
            <w:r w:rsidRPr="00CB2EC4">
              <w:rPr>
                <w:rFonts w:ascii="Times New Roman" w:hAnsi="Times New Roman" w:cs="Times New Roman"/>
              </w:rPr>
              <w:br/>
              <w:t xml:space="preserve">- Contextual basis: Document segment 7 ("Radical Hysterectomy" section) explicitly states: "Uterine artery management: internal iliac artery." Document segment 13 (Q-M classification table) also indicates for C1 and C2 procedures: "Uterine artery management: internal iliac artery." This means that after dissecting the ureter, the uterine artery must be ligated at its origin from the internal iliac artery to </w:t>
            </w:r>
            <w:r w:rsidRPr="00CB2EC4">
              <w:rPr>
                <w:rFonts w:ascii="Times New Roman" w:hAnsi="Times New Roman" w:cs="Times New Roman"/>
              </w:rPr>
              <w:lastRenderedPageBreak/>
              <w:t>ensure complete removal of the parametrial tissue.</w:t>
            </w:r>
          </w:p>
        </w:tc>
        <w:tc>
          <w:tcPr>
            <w:tcW w:w="1152" w:type="dxa"/>
            <w:vAlign w:val="center"/>
          </w:tcPr>
          <w:p w14:paraId="09139A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01E7B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7300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889070" w14:textId="77777777">
        <w:tc>
          <w:tcPr>
            <w:tcW w:w="2160" w:type="dxa"/>
            <w:vAlign w:val="center"/>
          </w:tcPr>
          <w:p w14:paraId="24202306"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FEC65B5"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location for ligating the uterine artery: at the origin of the internal iliac artery.</w:t>
            </w:r>
            <w:r w:rsidRPr="00CB2EC4">
              <w:rPr>
                <w:rFonts w:ascii="Times New Roman" w:hAnsi="Times New Roman" w:cs="Times New Roman"/>
              </w:rPr>
              <w:br/>
            </w:r>
            <w:r w:rsidRPr="00CB2EC4">
              <w:rPr>
                <w:rFonts w:ascii="Times New Roman" w:hAnsi="Times New Roman" w:cs="Times New Roman"/>
              </w:rPr>
              <w:br/>
              <w:t xml:space="preserve">Explanation:  </w:t>
            </w:r>
            <w:r w:rsidRPr="00CB2EC4">
              <w:rPr>
                <w:rFonts w:ascii="Times New Roman" w:hAnsi="Times New Roman" w:cs="Times New Roman"/>
              </w:rPr>
              <w:br/>
              <w:t xml:space="preserve">Based on the context (related segment 5, original blocks 491-493), when describing Type III (Class III) extended hysterectomy (i.e., Meigs radical hysterectomy), the text explicitly states:  </w:t>
            </w:r>
            <w:r w:rsidRPr="00CB2EC4">
              <w:rPr>
                <w:rFonts w:ascii="Times New Roman" w:hAnsi="Times New Roman" w:cs="Times New Roman"/>
              </w:rPr>
              <w:br/>
              <w:t xml:space="preserve">- "The main difference from the Wertheim operation lies in ligating the uterine artery at the origin of the internal iliac artery (Figure 7-12)."  </w:t>
            </w:r>
            <w:r w:rsidRPr="00CB2EC4">
              <w:rPr>
                <w:rFonts w:ascii="Times New Roman" w:hAnsi="Times New Roman" w:cs="Times New Roman"/>
              </w:rPr>
              <w:br/>
              <w:t xml:space="preserve">Segment 9 (original blocks 523-526) also indirectly supports this location, emphasizing that Type III surgery requires high ligation of blood vessels.  </w:t>
            </w:r>
            <w:r w:rsidRPr="00CB2EC4">
              <w:rPr>
                <w:rFonts w:ascii="Times New Roman" w:hAnsi="Times New Roman" w:cs="Times New Roman"/>
              </w:rPr>
              <w:br/>
              <w:t>Therefore, the standard location is the origin of the uterine artery branching from the internal iliac artery, which ensures complete control of blood supply during extensive resection of parametrial tissues.</w:t>
            </w:r>
          </w:p>
        </w:tc>
        <w:tc>
          <w:tcPr>
            <w:tcW w:w="1152" w:type="dxa"/>
            <w:vAlign w:val="center"/>
          </w:tcPr>
          <w:p w14:paraId="2B06CA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8E24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E0CF7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D83E16B" w14:textId="77777777">
        <w:tc>
          <w:tcPr>
            <w:tcW w:w="2160" w:type="dxa"/>
            <w:vAlign w:val="center"/>
          </w:tcPr>
          <w:p w14:paraId="4C19C186"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3220B4D"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position for ligating and dividing the uterine artery during a Type III radical hysterectomy is at the origin of the uterine artery from the internal iliac artery, typically proximal to the point where the ureter crosses it.</w:t>
            </w:r>
            <w:r w:rsidRPr="00CB2EC4">
              <w:rPr>
                <w:rFonts w:ascii="Times New Roman" w:hAnsi="Times New Roman" w:cs="Times New Roman"/>
              </w:rPr>
              <w:br/>
              <w:t>- In a Type III radical hysterectomy, the uterine artery must be ligated at a high position on the pelvic sidewall. The standard location is the branching point of the uterine artery from the internal iliac artery (usually proximal to the ureteral crossing). This ensures complete resection of the parametrial tissue while avoiding injury to the ureter and adjacent vessels, in accordance with the principles of radical surgery (resection extending to the pelvic sidewall).</w:t>
            </w:r>
          </w:p>
        </w:tc>
        <w:tc>
          <w:tcPr>
            <w:tcW w:w="1152" w:type="dxa"/>
            <w:vAlign w:val="center"/>
          </w:tcPr>
          <w:p w14:paraId="1C1836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7EB03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E0269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CFF3433" w14:textId="77777777">
        <w:tc>
          <w:tcPr>
            <w:tcW w:w="10656" w:type="dxa"/>
            <w:gridSpan w:val="5"/>
            <w:tcBorders>
              <w:bottom w:val="single" w:sz="6" w:space="0" w:color="auto"/>
            </w:tcBorders>
            <w:vAlign w:val="center"/>
          </w:tcPr>
          <w:p w14:paraId="476BC8B2" w14:textId="77777777" w:rsidR="00922249" w:rsidRPr="00CB2EC4" w:rsidRDefault="003011D5">
            <w:pPr>
              <w:rPr>
                <w:rFonts w:ascii="Times New Roman" w:hAnsi="Times New Roman" w:cs="Times New Roman"/>
              </w:rPr>
            </w:pPr>
            <w:r w:rsidRPr="00CB2EC4">
              <w:rPr>
                <w:rFonts w:ascii="Times New Roman" w:hAnsi="Times New Roman" w:cs="Times New Roman"/>
                <w:b/>
              </w:rPr>
              <w:lastRenderedPageBreak/>
              <w:t>Question 169: During a Type III radical hysterectomy, how is the vesicocervical ligament managed when dissecting the ureteric tunnel?</w:t>
            </w:r>
          </w:p>
        </w:tc>
      </w:tr>
      <w:tr w:rsidR="00922249" w:rsidRPr="00CB2EC4" w14:paraId="45B56E95" w14:textId="77777777">
        <w:tc>
          <w:tcPr>
            <w:tcW w:w="2160" w:type="dxa"/>
            <w:vAlign w:val="center"/>
          </w:tcPr>
          <w:p w14:paraId="358252B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3ABBCD9" w14:textId="77777777" w:rsidR="00922249" w:rsidRPr="00CB2EC4" w:rsidRDefault="003011D5">
            <w:pPr>
              <w:rPr>
                <w:rFonts w:ascii="Times New Roman" w:hAnsi="Times New Roman" w:cs="Times New Roman"/>
              </w:rPr>
            </w:pPr>
            <w:r w:rsidRPr="00CB2EC4">
              <w:rPr>
                <w:rFonts w:ascii="Times New Roman" w:hAnsi="Times New Roman" w:cs="Times New Roman"/>
              </w:rPr>
              <w:t>In the extended hysterectomy type III during the dissection of the ureteral tunnel, the approach to handling the vesicouterine ligament is as follows: the ureter is completely dissected out from the vesicouterine ligament until its entry into the bladder, while only retaining a small lateral portion of the ligament extending from the lower end of the ureter to the superior vesical artery.</w:t>
            </w:r>
          </w:p>
        </w:tc>
        <w:tc>
          <w:tcPr>
            <w:tcW w:w="1152" w:type="dxa"/>
            <w:vAlign w:val="center"/>
          </w:tcPr>
          <w:p w14:paraId="4E78BB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8BF1D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6CA9B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77F5569" w14:textId="77777777">
        <w:tc>
          <w:tcPr>
            <w:tcW w:w="2160" w:type="dxa"/>
            <w:vAlign w:val="center"/>
          </w:tcPr>
          <w:p w14:paraId="5C60232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F31143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type iii radical hysterectomy, when dissecting the ureteral tunnel, the bladder-cervical ligament is handled as follows:  </w:t>
            </w:r>
            <w:r w:rsidRPr="00CB2EC4">
              <w:rPr>
                <w:rFonts w:ascii="Times New Roman" w:hAnsi="Times New Roman" w:cs="Times New Roman"/>
              </w:rPr>
              <w:br/>
              <w:t xml:space="preserve">the ureter is completely dissected from the bladder-cervical ligament down to its entry into the bladder, preserving only a small lateral portion of the ligament extending from the lower end of the ureter to the superior vesical artery.  </w:t>
            </w:r>
            <w:r w:rsidRPr="00CB2EC4">
              <w:rPr>
                <w:rFonts w:ascii="Times New Roman" w:hAnsi="Times New Roman" w:cs="Times New Roman"/>
              </w:rPr>
              <w:br/>
            </w:r>
            <w:r w:rsidRPr="00CB2EC4">
              <w:rPr>
                <w:rFonts w:ascii="Times New Roman" w:hAnsi="Times New Roman" w:cs="Times New Roman"/>
              </w:rPr>
              <w:br/>
              <w:t xml:space="preserve">basis (document fragment 494, block theme: analysis of radical hysterectomy):  </w:t>
            </w:r>
            <w:r w:rsidRPr="00CB2EC4">
              <w:rPr>
                <w:rFonts w:ascii="Times New Roman" w:hAnsi="Times New Roman" w:cs="Times New Roman"/>
              </w:rPr>
              <w:br/>
              <w:t xml:space="preserve">&gt; "the ureter is completely dissected from the bladder-cervical ligament until its entry into the bladder, preserving only a small lateral portion of the ligament from the lower end of the ureter to the superior vesical artery (figure 7-13), to maintain some blood supply to the distal ureter and reduce the risk of fistula formation."  </w:t>
            </w:r>
            <w:r w:rsidRPr="00CB2EC4">
              <w:rPr>
                <w:rFonts w:ascii="Times New Roman" w:hAnsi="Times New Roman" w:cs="Times New Roman"/>
              </w:rPr>
              <w:br/>
              <w:t>note: this maneuver aims to thoroughly excise the parametrial tissue while preserving ureteral blood supply, thereby lowering the risk of postoperative ureterovaginal fistula.</w:t>
            </w:r>
          </w:p>
        </w:tc>
        <w:tc>
          <w:tcPr>
            <w:tcW w:w="1152" w:type="dxa"/>
            <w:vAlign w:val="center"/>
          </w:tcPr>
          <w:p w14:paraId="48E055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1483D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B66F2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F707B4C" w14:textId="77777777">
        <w:tc>
          <w:tcPr>
            <w:tcW w:w="2160" w:type="dxa"/>
            <w:vAlign w:val="center"/>
          </w:tcPr>
          <w:p w14:paraId="5AFC6A2B"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081E95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dissection of the ureteral tunnel during type III </w:t>
            </w:r>
            <w:r w:rsidRPr="00CB2EC4">
              <w:rPr>
                <w:rFonts w:ascii="Times New Roman" w:hAnsi="Times New Roman" w:cs="Times New Roman"/>
              </w:rPr>
              <w:lastRenderedPageBreak/>
              <w:t>radical hysterectomy, the method for handling the vesicocervical ligament (also known as the vesicouterine ligament) is as follows: the ureter is completely dissected and separated from this ligament until it enters the bladder, retaining only a small portion of tissue on the lateral side of the ligament from the lower end of the ureter to the superior vesical artery (Figure 7-13). This procedure aims to preserve partial blood supply to the distal ureter, thereby reducing the risk of ureteral fistula formation.</w:t>
            </w:r>
            <w:r w:rsidRPr="00CB2EC4">
              <w:rPr>
                <w:rFonts w:ascii="Times New Roman" w:hAnsi="Times New Roman" w:cs="Times New Roman"/>
              </w:rPr>
              <w:br/>
            </w:r>
            <w:r w:rsidRPr="00CB2EC4">
              <w:rPr>
                <w:rFonts w:ascii="Times New Roman" w:hAnsi="Times New Roman" w:cs="Times New Roman"/>
              </w:rPr>
              <w:br/>
              <w:t>- According to Document Fragment 17: "The ureter is completely dissected from the vesicocervical ligament until it enters the bladder, retaining only a small portion on the lateral side of the ligament from the lower end of the ureter to the superior vesical artery (Figure 7-13), to preserve some blood supply to the distal ureter and reduce the risk of fistula formation."</w:t>
            </w:r>
            <w:r w:rsidRPr="00CB2EC4">
              <w:rPr>
                <w:rFonts w:ascii="Times New Roman" w:hAnsi="Times New Roman" w:cs="Times New Roman"/>
              </w:rPr>
              <w:br/>
              <w:t>- Document Fragment 24 mentions "dividing the anterior layer of the vesicouterine ligament" and "dividing the posterior layer of the vesicouterine ligament," but does not detail specific handling methods related to ureteral protection.</w:t>
            </w:r>
            <w:r w:rsidRPr="00CB2EC4">
              <w:rPr>
                <w:rFonts w:ascii="Times New Roman" w:hAnsi="Times New Roman" w:cs="Times New Roman"/>
              </w:rPr>
              <w:br/>
              <w:t>- Document Fragment 35 describes other surgical techniques, which are not applicable in this context.</w:t>
            </w:r>
            <w:r w:rsidRPr="00CB2EC4">
              <w:rPr>
                <w:rFonts w:ascii="Times New Roman" w:hAnsi="Times New Roman" w:cs="Times New Roman"/>
              </w:rPr>
              <w:br/>
            </w:r>
            <w:r w:rsidRPr="00CB2EC4">
              <w:rPr>
                <w:rFonts w:ascii="Times New Roman" w:hAnsi="Times New Roman" w:cs="Times New Roman"/>
              </w:rPr>
              <w:br/>
              <w:t>In summary, Fragment 17 provides the most direct operational guidance, emphasizing the balance between radicality and safety by preserving lateral ligament tissue to protect ureteral blood supply while achieving extensive parametrial resection through adequate ureteral exposure.</w:t>
            </w:r>
          </w:p>
        </w:tc>
        <w:tc>
          <w:tcPr>
            <w:tcW w:w="1152" w:type="dxa"/>
            <w:vAlign w:val="center"/>
          </w:tcPr>
          <w:p w14:paraId="32E149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7CADB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C60FA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0636B0B" w14:textId="77777777">
        <w:tc>
          <w:tcPr>
            <w:tcW w:w="2160" w:type="dxa"/>
            <w:vAlign w:val="center"/>
          </w:tcPr>
          <w:p w14:paraId="19370C72"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FE5326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how to handle the bladder-cervical ligament during type iii radical hysterectomy when dissecting the </w:t>
            </w:r>
            <w:r w:rsidRPr="00CB2EC4">
              <w:rPr>
                <w:rFonts w:ascii="Times New Roman" w:hAnsi="Times New Roman" w:cs="Times New Roman"/>
              </w:rPr>
              <w:lastRenderedPageBreak/>
              <w:t>ureteral tunnel:</w:t>
            </w:r>
            <w:r w:rsidRPr="00CB2EC4">
              <w:rPr>
                <w:rFonts w:ascii="Times New Roman" w:hAnsi="Times New Roman" w:cs="Times New Roman"/>
              </w:rPr>
              <w:br/>
            </w:r>
            <w:r w:rsidRPr="00CB2EC4">
              <w:rPr>
                <w:rFonts w:ascii="Times New Roman" w:hAnsi="Times New Roman" w:cs="Times New Roman"/>
              </w:rPr>
              <w:br/>
              <w:t xml:space="preserve">procedure:  </w:t>
            </w:r>
            <w:r w:rsidRPr="00CB2EC4">
              <w:rPr>
                <w:rFonts w:ascii="Times New Roman" w:hAnsi="Times New Roman" w:cs="Times New Roman"/>
              </w:rPr>
              <w:br/>
              <w:t xml:space="preserve">1. separate the superficial layer (anterior leaf) of the ligament: open the top of the ureteral tunnel and dissect the ureter free from the bladder-cervical ligament (reference: knowledge base document figure 7-13).  </w:t>
            </w:r>
            <w:r w:rsidRPr="00CB2EC4">
              <w:rPr>
                <w:rFonts w:ascii="Times New Roman" w:hAnsi="Times New Roman" w:cs="Times New Roman"/>
              </w:rPr>
              <w:br/>
              <w:t xml:space="preserve">2. excise the deep layer (posterior leaf) of the ligament: retain only a small portion of the ligament from the lower end of the ureter to the superior vesical artery to preserve ureteral blood supply; completely remove the remaining portion (reference: knowledge base document).  </w:t>
            </w:r>
            <w:r w:rsidRPr="00CB2EC4">
              <w:rPr>
                <w:rFonts w:ascii="Times New Roman" w:hAnsi="Times New Roman" w:cs="Times New Roman"/>
              </w:rPr>
              <w:br/>
              <w:t xml:space="preserve">3. avoid ureteral injury: resect the deep layer of the ligament close to the bladder wall, and ligate the uterine deep vein and its branches (reference: web search results).  </w:t>
            </w:r>
            <w:r w:rsidRPr="00CB2EC4">
              <w:rPr>
                <w:rFonts w:ascii="Times New Roman" w:hAnsi="Times New Roman" w:cs="Times New Roman"/>
              </w:rPr>
              <w:br/>
              <w:t>key point: preserve the blood supply to the distal end of the ureter to reduce the risk of fistula formation (reference: knowledge base document).</w:t>
            </w:r>
          </w:p>
        </w:tc>
        <w:tc>
          <w:tcPr>
            <w:tcW w:w="1152" w:type="dxa"/>
            <w:vAlign w:val="center"/>
          </w:tcPr>
          <w:p w14:paraId="46CA79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0994C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41338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0443BB4" w14:textId="77777777">
        <w:tc>
          <w:tcPr>
            <w:tcW w:w="2160" w:type="dxa"/>
            <w:vAlign w:val="center"/>
          </w:tcPr>
          <w:p w14:paraId="210E37BA"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97C8CE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Type III radical hysterectomy, when dissecting the ureteral tunnel, the ureter must be completely freed from the bladder-cervical ligament, while retaining a small portion of the ligament laterally (from the distal end of the ureter to the superior vesical artery) to preserve the blood supply to the distal ureter.  </w:t>
            </w:r>
            <w:r w:rsidRPr="00CB2EC4">
              <w:rPr>
                <w:rFonts w:ascii="Times New Roman" w:hAnsi="Times New Roman" w:cs="Times New Roman"/>
              </w:rPr>
              <w:br/>
              <w:t xml:space="preserve">- According to Document Fragment 4: “The ureter is completely dissected from the bladder-cervical ligament up to its entry into the bladder, retaining only a small lateral portion of the ligament from the distal ureter to the superior vesical artery (Figure 7-13), to preserve some blood supply to the distal ureter and reduce the risk of fistula formation.” The title of </w:t>
            </w:r>
            <w:r w:rsidRPr="00CB2EC4">
              <w:rPr>
                <w:rFonts w:ascii="Times New Roman" w:hAnsi="Times New Roman" w:cs="Times New Roman"/>
              </w:rPr>
              <w:lastRenderedPageBreak/>
              <w:t>Figure 7-13 in Document Fragment 9 also confirms this approach.</w:t>
            </w:r>
          </w:p>
        </w:tc>
        <w:tc>
          <w:tcPr>
            <w:tcW w:w="1152" w:type="dxa"/>
            <w:vAlign w:val="center"/>
          </w:tcPr>
          <w:p w14:paraId="7A3715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E52BB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700AE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0CC1483" w14:textId="77777777">
        <w:tc>
          <w:tcPr>
            <w:tcW w:w="2160" w:type="dxa"/>
            <w:vAlign w:val="center"/>
          </w:tcPr>
          <w:p w14:paraId="44B32E4C"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9040582" w14:textId="77777777" w:rsidR="00922249" w:rsidRPr="00CB2EC4" w:rsidRDefault="003011D5">
            <w:pPr>
              <w:rPr>
                <w:rFonts w:ascii="Times New Roman" w:hAnsi="Times New Roman" w:cs="Times New Roman"/>
              </w:rPr>
            </w:pPr>
            <w:r w:rsidRPr="00CB2EC4">
              <w:rPr>
                <w:rFonts w:ascii="Times New Roman" w:hAnsi="Times New Roman" w:cs="Times New Roman"/>
              </w:rPr>
              <w:t>during type iii radical hysterectomy, when dissecting the ureteral tunnel, the method for handling the vesicocervical ligament is: completely dissect the ureter from the vesicocervical ligament all the way to its entry into the bladder, but retain a small portion of the lateral side of the ligament from the lower end of the ureter to the superior vesical artery.</w:t>
            </w:r>
            <w:r w:rsidRPr="00CB2EC4">
              <w:rPr>
                <w:rFonts w:ascii="Times New Roman" w:hAnsi="Times New Roman" w:cs="Times New Roman"/>
              </w:rPr>
              <w:br/>
              <w:t>- rationale: document 3 (fusion score 0.7142) specifies in detail: “the ureter is completely dissected from the vesicocervical ligament up to its entry into the bladder, with only a small portion of the lateral side of the ligament from the lower end of the ureter to the superior vesical artery preserved.” this approach aims to preserve the blood supply to the distal ureter, thereby reducing the risk of fistula formation, while ensuring wide resection of the parametrial tissue. document 9 (fusion score 0.6073) contrasts this by noting that in the more extensive type iv procedure, complete resection of the ligament is required, whereas type iii surgery preserves part of it to maintain ureteral perfusion.</w:t>
            </w:r>
          </w:p>
        </w:tc>
        <w:tc>
          <w:tcPr>
            <w:tcW w:w="1152" w:type="dxa"/>
            <w:vAlign w:val="center"/>
          </w:tcPr>
          <w:p w14:paraId="1A5415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6C148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01355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7F7187D" w14:textId="77777777">
        <w:tc>
          <w:tcPr>
            <w:tcW w:w="2160" w:type="dxa"/>
            <w:vAlign w:val="center"/>
          </w:tcPr>
          <w:p w14:paraId="103BC6ED"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04B23B3"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the bladder-cervix ligament when dissecting the ureteral tunnel during type III extended hysterectomy?</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Method: Completely dissect the ureter from the bladder-cervix ligament, preserving only a small lateral portion of the ligament from the distal end of the ureter to the superior vesical artery.  </w:t>
            </w:r>
            <w:r w:rsidRPr="00CB2EC4">
              <w:rPr>
                <w:rFonts w:ascii="Times New Roman" w:hAnsi="Times New Roman" w:cs="Times New Roman"/>
              </w:rPr>
              <w:br/>
              <w:t xml:space="preserve">Rationale:  </w:t>
            </w:r>
            <w:r w:rsidRPr="00CB2EC4">
              <w:rPr>
                <w:rFonts w:ascii="Times New Roman" w:hAnsi="Times New Roman" w:cs="Times New Roman"/>
              </w:rPr>
              <w:br/>
            </w:r>
            <w:r w:rsidRPr="00CB2EC4">
              <w:rPr>
                <w:rFonts w:ascii="Times New Roman" w:hAnsi="Times New Roman" w:cs="Times New Roman"/>
              </w:rPr>
              <w:lastRenderedPageBreak/>
              <w:t xml:space="preserve">- The document explicitly states: “The ureter is completely dissected from the bladder-cervix ligament until its entry into the bladder, preserving only a small lateral portion of the ligament from the distal end of the ureter to the superior vesical artery” (HyDE similarity 0.592).  </w:t>
            </w:r>
            <w:r w:rsidRPr="00CB2EC4">
              <w:rPr>
                <w:rFonts w:ascii="Times New Roman" w:hAnsi="Times New Roman" w:cs="Times New Roman"/>
              </w:rPr>
              <w:br/>
              <w:t>- Purpose: To preserve distal ureteral blood supply and reduce the risk of fistula formation (Figure 7-13).</w:t>
            </w:r>
          </w:p>
        </w:tc>
        <w:tc>
          <w:tcPr>
            <w:tcW w:w="1152" w:type="dxa"/>
            <w:vAlign w:val="center"/>
          </w:tcPr>
          <w:p w14:paraId="3DA56D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E5F3D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6B4FA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7C9B231" w14:textId="77777777">
        <w:tc>
          <w:tcPr>
            <w:tcW w:w="2160" w:type="dxa"/>
            <w:vAlign w:val="center"/>
          </w:tcPr>
          <w:p w14:paraId="7D732994"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60F1F7B" w14:textId="77777777" w:rsidR="00922249" w:rsidRPr="00CB2EC4" w:rsidRDefault="003011D5">
            <w:pPr>
              <w:rPr>
                <w:rFonts w:ascii="Times New Roman" w:hAnsi="Times New Roman" w:cs="Times New Roman"/>
              </w:rPr>
            </w:pPr>
            <w:r w:rsidRPr="00CB2EC4">
              <w:rPr>
                <w:rFonts w:ascii="Times New Roman" w:hAnsi="Times New Roman" w:cs="Times New Roman"/>
              </w:rPr>
              <w:t>during type iii radical hysterectomy, when dissecting the ureteral tunnel, the approach to the vesicocervical ligament is as follows: the ureter is completely dissected out from the vesicocervical ligament all the way to its entry into the bladder, but a small portion of the lateral side of the ligament from the lower end of the ureter to the superior vesical artery is preserved.</w:t>
            </w:r>
            <w:r w:rsidRPr="00CB2EC4">
              <w:rPr>
                <w:rFonts w:ascii="Times New Roman" w:hAnsi="Times New Roman" w:cs="Times New Roman"/>
              </w:rPr>
              <w:br/>
              <w:t>- according to document excerpt 5 (similarity 0.513): "the ureter is completely dissected out from the vesicocervical ligament all the way to its entry into the bladder, preserving only a small lateral portion of the ligament from the lower end of the ureter to the superior vesical artery (figure 7-13) to maintain some blood supply to the distal ureter and reduce the risk of fistula formation." figure 7-13 is titled "complete dissection of the ureter from the cervicovesical ligament."</w:t>
            </w:r>
            <w:r w:rsidRPr="00CB2EC4">
              <w:rPr>
                <w:rFonts w:ascii="Times New Roman" w:hAnsi="Times New Roman" w:cs="Times New Roman"/>
              </w:rPr>
              <w:br/>
              <w:t>- this approach aims to balance extensive resection with preservation of ureteral blood supply, thereby reducing postoperative fistula risk.</w:t>
            </w:r>
          </w:p>
        </w:tc>
        <w:tc>
          <w:tcPr>
            <w:tcW w:w="1152" w:type="dxa"/>
            <w:vAlign w:val="center"/>
          </w:tcPr>
          <w:p w14:paraId="4D3790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7A85D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10780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3E2C3F0" w14:textId="77777777">
        <w:tc>
          <w:tcPr>
            <w:tcW w:w="2160" w:type="dxa"/>
            <w:vAlign w:val="center"/>
          </w:tcPr>
          <w:p w14:paraId="6FC5F8B6"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8E3421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Management Approach: In Type III extended hysterectomy, the ureter must be completely dissected from the vesicouterine ligament until the point where the ureter enters the bladder, while preserving a small lateral portion of the ligament (the region from the </w:t>
            </w:r>
            <w:r w:rsidRPr="00CB2EC4">
              <w:rPr>
                <w:rFonts w:ascii="Times New Roman" w:hAnsi="Times New Roman" w:cs="Times New Roman"/>
              </w:rPr>
              <w:lastRenderedPageBreak/>
              <w:t xml:space="preserve">lower end of the ureter to the superior vesical artery) to maintain the blood supply to the ureter and reduce the risk of fistula formation.  </w:t>
            </w:r>
            <w:r w:rsidRPr="00CB2EC4">
              <w:rPr>
                <w:rFonts w:ascii="Times New Roman" w:hAnsi="Times New Roman" w:cs="Times New Roman"/>
              </w:rPr>
              <w:br/>
              <w:t>- Basis: The document states: "The ureter is completely dissected from the vesicouterine ligament until its entry into the bladder, preserving only a small lateral portion of the ligament from the lower end of the ureter to the superior vesical artery" (see relevant excerpt). This emphasizes the need for meticulous manipulation during the release of the ureteral tunnel to avoid damage while preserving critical vascular branches.</w:t>
            </w:r>
          </w:p>
        </w:tc>
        <w:tc>
          <w:tcPr>
            <w:tcW w:w="1152" w:type="dxa"/>
            <w:vAlign w:val="center"/>
          </w:tcPr>
          <w:p w14:paraId="616A92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07DF4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0EDA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7CBFFE" w14:textId="77777777">
        <w:tc>
          <w:tcPr>
            <w:tcW w:w="2160" w:type="dxa"/>
            <w:vAlign w:val="center"/>
          </w:tcPr>
          <w:p w14:paraId="3D83A5E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E8169D5"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the pubocervical ligament during type iii radical hysterectomy when dissecting the ureteral tunnel?</w:t>
            </w:r>
            <w:r w:rsidRPr="00CB2EC4">
              <w:rPr>
                <w:rFonts w:ascii="Times New Roman" w:hAnsi="Times New Roman" w:cs="Times New Roman"/>
              </w:rPr>
              <w:br/>
            </w:r>
            <w:r w:rsidRPr="00CB2EC4">
              <w:rPr>
                <w:rFonts w:ascii="Times New Roman" w:hAnsi="Times New Roman" w:cs="Times New Roman"/>
              </w:rPr>
              <w:br/>
              <w:t xml:space="preserve">based on contextual information (primarily from document excerpts 8, 13, and 21), the method for handling the pubocervical ligament is to dissect, clamp, cut, and ligate its anterior leaf.  </w:t>
            </w:r>
            <w:r w:rsidRPr="00CB2EC4">
              <w:rPr>
                <w:rFonts w:ascii="Times New Roman" w:hAnsi="Times New Roman" w:cs="Times New Roman"/>
              </w:rPr>
              <w:br/>
              <w:t xml:space="preserve">- specific steps:  </w:t>
            </w:r>
            <w:r w:rsidRPr="00CB2EC4">
              <w:rPr>
                <w:rFonts w:ascii="Times New Roman" w:hAnsi="Times New Roman" w:cs="Times New Roman"/>
              </w:rPr>
              <w:br/>
              <w:t xml:space="preserve">  1. dissect the ureteral tunnel: first expose the entrance of the ureteral tunnel, then use a vascular clamp or ultrasonic scalpel to separate the surrounding tissues of the tunnel (document excerpt 13: "use a vascular clamp to pass inward and forward from the tunnel entrance").  </w:t>
            </w:r>
            <w:r w:rsidRPr="00CB2EC4">
              <w:rPr>
                <w:rFonts w:ascii="Times New Roman" w:hAnsi="Times New Roman" w:cs="Times New Roman"/>
              </w:rPr>
              <w:br/>
              <w:t xml:space="preserve">  2. manage the anterior leaf of the ligament: clamp the anterior leaf of the pubocervical ligament (containing partial fibrous tissue and vessels) in one or multiple segments, then cut and ligate it with suture (document excerpt 8: "the ureter is completely dissected from the pubocervical ligament... only a small portion lateral to the ligament from the lower </w:t>
            </w:r>
            <w:r w:rsidRPr="00CB2EC4">
              <w:rPr>
                <w:rFonts w:ascii="Times New Roman" w:hAnsi="Times New Roman" w:cs="Times New Roman"/>
              </w:rPr>
              <w:lastRenderedPageBreak/>
              <w:t xml:space="preserve">end of the ureter to the superior vesical artery is retained"; document excerpt 21: "cut bilateral pubocervical ligaments").  </w:t>
            </w:r>
            <w:r w:rsidRPr="00CB2EC4">
              <w:rPr>
                <w:rFonts w:ascii="Times New Roman" w:hAnsi="Times New Roman" w:cs="Times New Roman"/>
              </w:rPr>
              <w:br/>
              <w:t xml:space="preserve">  this procedure aims to free the ureter and reduce the risk of compromising blood supply to the distal ureter.</w:t>
            </w:r>
          </w:p>
        </w:tc>
        <w:tc>
          <w:tcPr>
            <w:tcW w:w="1152" w:type="dxa"/>
            <w:vAlign w:val="center"/>
          </w:tcPr>
          <w:p w14:paraId="45C610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A7136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4369E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747B4CB" w14:textId="77777777">
        <w:tc>
          <w:tcPr>
            <w:tcW w:w="2160" w:type="dxa"/>
            <w:vAlign w:val="center"/>
          </w:tcPr>
          <w:p w14:paraId="12DE6CCF"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A010CA6" w14:textId="77777777" w:rsidR="00922249" w:rsidRPr="00CB2EC4" w:rsidRDefault="003011D5">
            <w:pPr>
              <w:rPr>
                <w:rFonts w:ascii="Times New Roman" w:hAnsi="Times New Roman" w:cs="Times New Roman"/>
              </w:rPr>
            </w:pPr>
            <w:r w:rsidRPr="00CB2EC4">
              <w:rPr>
                <w:rFonts w:ascii="Times New Roman" w:hAnsi="Times New Roman" w:cs="Times New Roman"/>
              </w:rPr>
              <w:t>during type III radical hysterectomy, when dissecting the ureteral tunnel, the bladder-cervical ligament is handled by completely dissecting the ureter free from the bladder-cervical ligament down to its entry into the bladder, while preserving only a small lateral portion of the ligament extending from the lower end of the ureter to the superior vesical artery. this preserves some blood supply to the distal ureter and reduces the risk of fistula formation. the document specifies this as the standard technique, with no alternative methods described.</w:t>
            </w:r>
          </w:p>
        </w:tc>
        <w:tc>
          <w:tcPr>
            <w:tcW w:w="1152" w:type="dxa"/>
            <w:vAlign w:val="center"/>
          </w:tcPr>
          <w:p w14:paraId="154F39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B4FBE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D5A2B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1E8EA5A" w14:textId="77777777">
        <w:tc>
          <w:tcPr>
            <w:tcW w:w="2160" w:type="dxa"/>
            <w:vAlign w:val="center"/>
          </w:tcPr>
          <w:p w14:paraId="44EFC7A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DCA5D4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type III radical hysterectomy, when dissecting the ureteral tunnel, the bladder-cervical ligament must be completely dissected and removed (including both the anterior and posterior leaflets) to achieve full ureteral mobilization.  </w:t>
            </w:r>
            <w:r w:rsidRPr="00CB2EC4">
              <w:rPr>
                <w:rFonts w:ascii="Times New Roman" w:hAnsi="Times New Roman" w:cs="Times New Roman"/>
              </w:rPr>
              <w:br/>
              <w:t xml:space="preserve">- Handling method summary:  </w:t>
            </w:r>
            <w:r w:rsidRPr="00CB2EC4">
              <w:rPr>
                <w:rFonts w:ascii="Times New Roman" w:hAnsi="Times New Roman" w:cs="Times New Roman"/>
              </w:rPr>
              <w:br/>
              <w:t xml:space="preserve">  - Ligament dissection: Document segment 13 (Q-M classification) states that type C surgery requires "ureteral management: complete dissection" and "ventral parametrial resection: at bladder level (bladder branch)." The bladder-cervical ligament is part of the ventral parametrium and must be separated at the anterior and posterior leaflets at the bladder level to expose and fully mobilize the ureter.  </w:t>
            </w:r>
            <w:r w:rsidRPr="00CB2EC4">
              <w:rPr>
                <w:rFonts w:ascii="Times New Roman" w:hAnsi="Times New Roman" w:cs="Times New Roman"/>
              </w:rPr>
              <w:br/>
              <w:t xml:space="preserve">  - Resection extent: Document segment 6 (description of Figure 7-13) notes "the ureter is completely dissected from the cervical-bladder ligament," </w:t>
            </w:r>
            <w:r w:rsidRPr="00CB2EC4">
              <w:rPr>
                <w:rFonts w:ascii="Times New Roman" w:hAnsi="Times New Roman" w:cs="Times New Roman"/>
              </w:rPr>
              <w:lastRenderedPageBreak/>
              <w:t xml:space="preserve">involving sharp dissection of the ligament fibers to ensure the ureter is freed intact without injury. The purpose is to expand the surgical field and facilitate resection of the parametrium to the pelvic sidewall.  </w:t>
            </w:r>
            <w:r w:rsidRPr="00CB2EC4">
              <w:rPr>
                <w:rFonts w:ascii="Times New Roman" w:hAnsi="Times New Roman" w:cs="Times New Roman"/>
              </w:rPr>
              <w:br/>
              <w:t xml:space="preserve">  This step is critical in type III surgery to ensure complete ureteral mobilization and avoid intraoperative injury.</w:t>
            </w:r>
          </w:p>
        </w:tc>
        <w:tc>
          <w:tcPr>
            <w:tcW w:w="1152" w:type="dxa"/>
            <w:vAlign w:val="center"/>
          </w:tcPr>
          <w:p w14:paraId="176A4F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4845C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EA77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B966FD" w14:textId="77777777">
        <w:tc>
          <w:tcPr>
            <w:tcW w:w="2160" w:type="dxa"/>
            <w:vAlign w:val="center"/>
          </w:tcPr>
          <w:p w14:paraId="0F7375D6"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B7C3F06" w14:textId="77777777" w:rsidR="00922249" w:rsidRPr="00CB2EC4" w:rsidRDefault="003011D5">
            <w:pPr>
              <w:rPr>
                <w:rFonts w:ascii="Times New Roman" w:hAnsi="Times New Roman" w:cs="Times New Roman"/>
              </w:rPr>
            </w:pPr>
            <w:r w:rsidRPr="00CB2EC4">
              <w:rPr>
                <w:rFonts w:ascii="Times New Roman" w:hAnsi="Times New Roman" w:cs="Times New Roman"/>
              </w:rPr>
              <w:t>Management Method: Completely dissect the ureter from the vesicouterine ligament, preserving only a small lateral portion of the ligament extending from the lower end of the ureter to the superior vesical artery to protect the blood supply of the distal ureter.</w:t>
            </w:r>
            <w:r w:rsidRPr="00CB2EC4">
              <w:rPr>
                <w:rFonts w:ascii="Times New Roman" w:hAnsi="Times New Roman" w:cs="Times New Roman"/>
              </w:rPr>
              <w:br/>
            </w:r>
            <w:r w:rsidRPr="00CB2EC4">
              <w:rPr>
                <w:rFonts w:ascii="Times New Roman" w:hAnsi="Times New Roman" w:cs="Times New Roman"/>
              </w:rPr>
              <w:br/>
              <w:t>Explanation:</w:t>
            </w:r>
            <w:r w:rsidRPr="00CB2EC4">
              <w:rPr>
                <w:rFonts w:ascii="Times New Roman" w:hAnsi="Times New Roman" w:cs="Times New Roman"/>
              </w:rPr>
              <w:br/>
              <w:t>Based on the context (related segment 5, original blocks 491-493), during Type III radical hysterectomy:</w:t>
            </w:r>
            <w:r w:rsidRPr="00CB2EC4">
              <w:rPr>
                <w:rFonts w:ascii="Times New Roman" w:hAnsi="Times New Roman" w:cs="Times New Roman"/>
              </w:rPr>
              <w:br/>
              <w:t>- The ureter must be fully mobilized from the vesicouterine ligament until its entry into the bladder, preserving only a small lateral portion of the ligament extending from the lower end of the ureter to the superior vesical artery (Figure 7-13). This preserves the blood supply to the distal ureter and reduces the risk of ureteral fistula formation.</w:t>
            </w:r>
            <w:r w:rsidRPr="00CB2EC4">
              <w:rPr>
                <w:rFonts w:ascii="Times New Roman" w:hAnsi="Times New Roman" w:cs="Times New Roman"/>
              </w:rPr>
              <w:br/>
              <w:t>This procedure emphasizes meticulous dissection to avoid complete ligament resection, thereby minimizing ureteral ischemia and complications. Segment 7 (original blocks 519-521) reiterates this principle in modified surgeries, highlighting the importance of preserving blood supply.</w:t>
            </w:r>
            <w:r w:rsidRPr="00CB2EC4">
              <w:rPr>
                <w:rFonts w:ascii="Times New Roman" w:hAnsi="Times New Roman" w:cs="Times New Roman"/>
              </w:rPr>
              <w:br/>
              <w:t>Thus, the core of managing the vesicouterine ligament lies in dissecting the ureter while partially preserving the ligament, rather than performing complete resection.</w:t>
            </w:r>
          </w:p>
        </w:tc>
        <w:tc>
          <w:tcPr>
            <w:tcW w:w="1152" w:type="dxa"/>
            <w:vAlign w:val="center"/>
          </w:tcPr>
          <w:p w14:paraId="488AB0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9F51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A0047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E48F97E" w14:textId="77777777">
        <w:tc>
          <w:tcPr>
            <w:tcW w:w="2160" w:type="dxa"/>
            <w:vAlign w:val="center"/>
          </w:tcPr>
          <w:p w14:paraId="1EB0FFE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075634D6" w14:textId="77777777" w:rsidR="00922249" w:rsidRPr="00CB2EC4" w:rsidRDefault="003011D5">
            <w:pPr>
              <w:rPr>
                <w:rFonts w:ascii="Times New Roman" w:hAnsi="Times New Roman" w:cs="Times New Roman"/>
              </w:rPr>
            </w:pPr>
            <w:r w:rsidRPr="00CB2EC4">
              <w:rPr>
                <w:rFonts w:ascii="Times New Roman" w:hAnsi="Times New Roman" w:cs="Times New Roman"/>
              </w:rPr>
              <w:t>During type III radical hysterectomy, when freeing the ureteral tunnel, the vesicouterine ligament is managed by dissecting and dividing both its anterior and posterior layers, with ligation of the contained vessels to achieve complete mobilization of the ureteral tunnel.</w:t>
            </w:r>
            <w:r w:rsidRPr="00CB2EC4">
              <w:rPr>
                <w:rFonts w:ascii="Times New Roman" w:hAnsi="Times New Roman" w:cs="Times New Roman"/>
              </w:rPr>
              <w:br/>
              <w:t>- In type III surgery, freeing the ureteral tunnel requires exposure of the segment where the ureter enters the bladder. When handling the vesicouterine ligament, first identify the anterior and posterior layers of the ligament (the anterior layer contains vessels, the posterior layer is loose connective tissue); clamp or electrocoagulate and ligate the vessels, then divide the ligament to ensure tension-free mobilization of the ureter while avoiding bleeding or ureteral injury. This step is critical for radical resection to completely remove the parametrial tissue.</w:t>
            </w:r>
          </w:p>
        </w:tc>
        <w:tc>
          <w:tcPr>
            <w:tcW w:w="1152" w:type="dxa"/>
            <w:vAlign w:val="center"/>
          </w:tcPr>
          <w:p w14:paraId="1135A9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2A6BB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16657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7F87AF2" w14:textId="77777777">
        <w:tc>
          <w:tcPr>
            <w:tcW w:w="10656" w:type="dxa"/>
            <w:gridSpan w:val="5"/>
            <w:tcBorders>
              <w:bottom w:val="single" w:sz="6" w:space="0" w:color="auto"/>
            </w:tcBorders>
            <w:vAlign w:val="center"/>
          </w:tcPr>
          <w:p w14:paraId="4098260C"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170: In a radical vaginal hysterectomy with pelvic lymphadenectomy, what are the requirements for the vaginal margin?</w:t>
            </w:r>
          </w:p>
        </w:tc>
      </w:tr>
      <w:tr w:rsidR="00922249" w:rsidRPr="00CB2EC4" w14:paraId="77BB5BA2" w14:textId="77777777">
        <w:tc>
          <w:tcPr>
            <w:tcW w:w="2160" w:type="dxa"/>
            <w:vAlign w:val="center"/>
          </w:tcPr>
          <w:p w14:paraId="02914E90"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B7FAA1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explicit information is provided in the document regarding the requirements for vaginal margin during transvaginal radical hysterectomy and pelvic lymphadenectomy. The document repeatedly mentions vaginal resection lengths (e.g., 1/2 or approximately 3.5–4.5 cm for Type III surgery), but these descriptions pertain to abdominal approaches (as indicated in segments with similarity 0.528). For the transvaginal radical approach, the document only refers to resection of the upper 1/3 of the vagina in the context of radical trachelectomy for fertility preservation (similarity 0.521 segment), which is not the standard transvaginal radical hysterectomy. Therefore, specific requirements for vaginal margins </w:t>
            </w:r>
            <w:r w:rsidRPr="00CB2EC4">
              <w:rPr>
                <w:rFonts w:ascii="Times New Roman" w:hAnsi="Times New Roman" w:cs="Times New Roman"/>
              </w:rPr>
              <w:lastRenderedPageBreak/>
              <w:t>in transvaginal radical hysterectomy cannot be obtained from the knowledge base.</w:t>
            </w:r>
          </w:p>
        </w:tc>
        <w:tc>
          <w:tcPr>
            <w:tcW w:w="1152" w:type="dxa"/>
            <w:vAlign w:val="center"/>
          </w:tcPr>
          <w:p w14:paraId="0BAC8A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5577F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8C4FA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954C886" w14:textId="77777777">
        <w:tc>
          <w:tcPr>
            <w:tcW w:w="2160" w:type="dxa"/>
            <w:vAlign w:val="center"/>
          </w:tcPr>
          <w:p w14:paraId="69B74BC9"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7E35AA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margin requirements:  </w:t>
            </w:r>
            <w:r w:rsidRPr="00CB2EC4">
              <w:rPr>
                <w:rFonts w:ascii="Times New Roman" w:hAnsi="Times New Roman" w:cs="Times New Roman"/>
              </w:rPr>
              <w:br/>
              <w:t xml:space="preserve">- For IB stage patients: Resect 2–3 cm of the vagina (measured from the lower edge of the lesion).  </w:t>
            </w:r>
            <w:r w:rsidRPr="00CB2EC4">
              <w:rPr>
                <w:rFonts w:ascii="Times New Roman" w:hAnsi="Times New Roman" w:cs="Times New Roman"/>
              </w:rPr>
              <w:br/>
              <w:t xml:space="preserve">- For IIA stage patients: The margin distance from the lesion should be no less than 2 cm; typically, the upper 1/4 to 1/3 of the vagina is resected.  </w:t>
            </w:r>
            <w:r w:rsidRPr="00CB2EC4">
              <w:rPr>
                <w:rFonts w:ascii="Times New Roman" w:hAnsi="Times New Roman" w:cs="Times New Roman"/>
              </w:rPr>
              <w:br/>
            </w:r>
            <w:r w:rsidRPr="00CB2EC4">
              <w:rPr>
                <w:rFonts w:ascii="Times New Roman" w:hAnsi="Times New Roman" w:cs="Times New Roman"/>
              </w:rPr>
              <w:br/>
              <w:t xml:space="preserve">Evidence (document fragments 521, 503, 516):  </w:t>
            </w:r>
            <w:r w:rsidRPr="00CB2EC4">
              <w:rPr>
                <w:rFonts w:ascii="Times New Roman" w:hAnsi="Times New Roman" w:cs="Times New Roman"/>
              </w:rPr>
              <w:br/>
              <w:t xml:space="preserve">- Fragment 521 (topic: surgical resection extent for cervical cancer):  </w:t>
            </w:r>
            <w:r w:rsidRPr="00CB2EC4">
              <w:rPr>
                <w:rFonts w:ascii="Times New Roman" w:hAnsi="Times New Roman" w:cs="Times New Roman"/>
              </w:rPr>
              <w:br/>
              <w:t xml:space="preserve">  &gt; "It is necessary to resect an adequate length of the vagina, especially for stage IIA patients; the vaginal margin distance from the lesion should not be less than 2 cm. However, routinely resecting half of the vagina (3.5–4.5 cm) is unnecessary, especially for IB stage patients."  </w:t>
            </w:r>
            <w:r w:rsidRPr="00CB2EC4">
              <w:rPr>
                <w:rFonts w:ascii="Times New Roman" w:hAnsi="Times New Roman" w:cs="Times New Roman"/>
              </w:rPr>
              <w:br/>
              <w:t>- Fragments 503 (topic: surgical steps of radical hysterectomy) and 516 (topic: radical hysterectomy via the vaginal approach) both emphasize that insufficient margin (&lt;2 cm) or positive margin will significantly increase the risk of recurrence (5-year survival rate drops to 50%).</w:t>
            </w:r>
          </w:p>
        </w:tc>
        <w:tc>
          <w:tcPr>
            <w:tcW w:w="1152" w:type="dxa"/>
            <w:vAlign w:val="center"/>
          </w:tcPr>
          <w:p w14:paraId="281888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03CC1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5E690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8C5AEC" w14:textId="77777777">
        <w:tc>
          <w:tcPr>
            <w:tcW w:w="2160" w:type="dxa"/>
            <w:vAlign w:val="center"/>
          </w:tcPr>
          <w:p w14:paraId="049D8045"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294E8466" w14:textId="77777777" w:rsidR="00922249" w:rsidRPr="00CB2EC4" w:rsidRDefault="003011D5">
            <w:pPr>
              <w:rPr>
                <w:rFonts w:ascii="Times New Roman" w:hAnsi="Times New Roman" w:cs="Times New Roman"/>
              </w:rPr>
            </w:pPr>
            <w:r w:rsidRPr="00CB2EC4">
              <w:rPr>
                <w:rFonts w:ascii="Times New Roman" w:hAnsi="Times New Roman" w:cs="Times New Roman"/>
              </w:rPr>
              <w:t>in the procedure of radical hysterectomy via vagina and pelvic lymphadenectomy, the requirement for the vaginal margin is: it should be 5mm from the dissected vaginal wall.</w:t>
            </w:r>
            <w:r w:rsidRPr="00CB2EC4">
              <w:rPr>
                <w:rFonts w:ascii="Times New Roman" w:hAnsi="Times New Roman" w:cs="Times New Roman"/>
              </w:rPr>
              <w:br/>
            </w:r>
            <w:r w:rsidRPr="00CB2EC4">
              <w:rPr>
                <w:rFonts w:ascii="Times New Roman" w:hAnsi="Times New Roman" w:cs="Times New Roman"/>
              </w:rPr>
              <w:br/>
              <w:t>supporting evidence:</w:t>
            </w:r>
            <w:r w:rsidRPr="00CB2EC4">
              <w:rPr>
                <w:rFonts w:ascii="Times New Roman" w:hAnsi="Times New Roman" w:cs="Times New Roman"/>
              </w:rPr>
              <w:br/>
              <w:t xml:space="preserve">- document excerpt 5 explicitly states: "the vaginal margin should be 5mm from the dissected vaginal wall to facilitate suturing of the vaginal stump after </w:t>
            </w:r>
            <w:r w:rsidRPr="00CB2EC4">
              <w:rPr>
                <w:rFonts w:ascii="Times New Roman" w:hAnsi="Times New Roman" w:cs="Times New Roman"/>
              </w:rPr>
              <w:lastRenderedPageBreak/>
              <w:t>hysterectomy."</w:t>
            </w:r>
            <w:r w:rsidRPr="00CB2EC4">
              <w:rPr>
                <w:rFonts w:ascii="Times New Roman" w:hAnsi="Times New Roman" w:cs="Times New Roman"/>
              </w:rPr>
              <w:br/>
              <w:t>- other excerpts, such as 21 and 28, discuss that the margin distance from the tumor should be &gt;5mm in cervical excision, but this refers to the cervical margin, not the vaginal margin; excerpt 41 mentions "the vaginal margin distance from the lesion should not be less than 2cm," but this applies to patients with stage IIA disease or refers to the distance from the lesion to the margin, not directly to the dissection distance of the vaginal wall in the vaginal approach. excerpt 5 is the most directly relevant.</w:t>
            </w:r>
            <w:r w:rsidRPr="00CB2EC4">
              <w:rPr>
                <w:rFonts w:ascii="Times New Roman" w:hAnsi="Times New Roman" w:cs="Times New Roman"/>
              </w:rPr>
              <w:br/>
            </w:r>
            <w:r w:rsidRPr="00CB2EC4">
              <w:rPr>
                <w:rFonts w:ascii="Times New Roman" w:hAnsi="Times New Roman" w:cs="Times New Roman"/>
              </w:rPr>
              <w:br/>
              <w:t>this requirement ensures an adequate safety margin, facilitates surgical closure, and reduces the risk of recurrence.</w:t>
            </w:r>
          </w:p>
        </w:tc>
        <w:tc>
          <w:tcPr>
            <w:tcW w:w="1152" w:type="dxa"/>
            <w:vAlign w:val="center"/>
          </w:tcPr>
          <w:p w14:paraId="443A12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2EF07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11D7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B49FFE" w14:textId="77777777">
        <w:tc>
          <w:tcPr>
            <w:tcW w:w="2160" w:type="dxa"/>
            <w:vAlign w:val="center"/>
          </w:tcPr>
          <w:p w14:paraId="0D88F45E"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A136B86"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requirements for the vaginal margin during radical hysterectomy via the vaginal approach and pelvic lymphadenectomy?</w:t>
            </w:r>
            <w:r w:rsidRPr="00CB2EC4">
              <w:rPr>
                <w:rFonts w:ascii="Times New Roman" w:hAnsi="Times New Roman" w:cs="Times New Roman"/>
              </w:rPr>
              <w:br/>
            </w:r>
            <w:r w:rsidRPr="00CB2EC4">
              <w:rPr>
                <w:rFonts w:ascii="Times New Roman" w:hAnsi="Times New Roman" w:cs="Times New Roman"/>
              </w:rPr>
              <w:br/>
              <w:t xml:space="preserve">Resection requirement: At least 2 cm from the lesion.  </w:t>
            </w:r>
            <w:r w:rsidRPr="00CB2EC4">
              <w:rPr>
                <w:rFonts w:ascii="Times New Roman" w:hAnsi="Times New Roman" w:cs="Times New Roman"/>
              </w:rPr>
              <w:br/>
              <w:t xml:space="preserve">Basis:  </w:t>
            </w:r>
            <w:r w:rsidRPr="00CB2EC4">
              <w:rPr>
                <w:rFonts w:ascii="Times New Roman" w:hAnsi="Times New Roman" w:cs="Times New Roman"/>
              </w:rPr>
              <w:br/>
              <w:t xml:space="preserve">1. Knowledge base documents repeatedly emphasize:  </w:t>
            </w:r>
            <w:r w:rsidRPr="00CB2EC4">
              <w:rPr>
                <w:rFonts w:ascii="Times New Roman" w:hAnsi="Times New Roman" w:cs="Times New Roman"/>
              </w:rPr>
              <w:br/>
              <w:t xml:space="preserve">   - Type II surgery requires resection of 1/3 of the vagina (approximately 3–4 cm) (knowledge base document).  </w:t>
            </w:r>
            <w:r w:rsidRPr="00CB2EC4">
              <w:rPr>
                <w:rFonts w:ascii="Times New Roman" w:hAnsi="Times New Roman" w:cs="Times New Roman"/>
              </w:rPr>
              <w:br/>
              <w:t xml:space="preserve">   - Type III surgery requires resection of 1/2 of the vagina (approximately 3.5–4.5 cm), but notes that "excessive resection may affect bladder function"; in practice, a margin of ≥2 cm from the lesion is the safety standard (knowledge base document).  </w:t>
            </w:r>
            <w:r w:rsidRPr="00CB2EC4">
              <w:rPr>
                <w:rFonts w:ascii="Times New Roman" w:hAnsi="Times New Roman" w:cs="Times New Roman"/>
              </w:rPr>
              <w:br/>
              <w:t xml:space="preserve">2. Web search clearly states Q-M classification requirements:  </w:t>
            </w:r>
            <w:r w:rsidRPr="00CB2EC4">
              <w:rPr>
                <w:rFonts w:ascii="Times New Roman" w:hAnsi="Times New Roman" w:cs="Times New Roman"/>
              </w:rPr>
              <w:br/>
              <w:t xml:space="preserve">   - Type B surgery requires vaginal resection ≥1 cm, Type C surgery requires ≥2 cm (web search result).  </w:t>
            </w:r>
            <w:r w:rsidRPr="00CB2EC4">
              <w:rPr>
                <w:rFonts w:ascii="Times New Roman" w:hAnsi="Times New Roman" w:cs="Times New Roman"/>
              </w:rPr>
              <w:br/>
            </w:r>
            <w:r w:rsidRPr="00CB2EC4">
              <w:rPr>
                <w:rFonts w:ascii="Times New Roman" w:hAnsi="Times New Roman" w:cs="Times New Roman"/>
              </w:rPr>
              <w:lastRenderedPageBreak/>
              <w:t>3. Significance: A margin &lt;2 cm or positive margin can reduce the 5-year survival rate to 50% (knowledge base document).</w:t>
            </w:r>
          </w:p>
        </w:tc>
        <w:tc>
          <w:tcPr>
            <w:tcW w:w="1152" w:type="dxa"/>
            <w:vAlign w:val="center"/>
          </w:tcPr>
          <w:p w14:paraId="3610E8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1B12A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BA9A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0F4528" w14:textId="77777777">
        <w:tc>
          <w:tcPr>
            <w:tcW w:w="2160" w:type="dxa"/>
            <w:vAlign w:val="center"/>
          </w:tcPr>
          <w:p w14:paraId="3D6AA0C0"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EA5B88C" w14:textId="77777777" w:rsidR="00922249" w:rsidRPr="00CB2EC4" w:rsidRDefault="003011D5">
            <w:pPr>
              <w:rPr>
                <w:rFonts w:ascii="Times New Roman" w:hAnsi="Times New Roman" w:cs="Times New Roman"/>
              </w:rPr>
            </w:pPr>
            <w:r w:rsidRPr="00CB2EC4">
              <w:rPr>
                <w:rFonts w:ascii="Times New Roman" w:hAnsi="Times New Roman" w:cs="Times New Roman"/>
              </w:rPr>
              <w:t>in the transvaginal radical hysterectomy and pelvic lymphadenectomy, the requirement for the vaginal margin is that it must be at least 2 cm from the lesion.</w:t>
            </w:r>
            <w:r w:rsidRPr="00CB2EC4">
              <w:rPr>
                <w:rFonts w:ascii="Times New Roman" w:hAnsi="Times New Roman" w:cs="Times New Roman"/>
              </w:rPr>
              <w:br/>
              <w:t>- According to document excerpt 3: "It is necessary to remove a sufficient length of the vagina, especially for stage IIA patients; the vaginal margin should not be less than 2 cm from the lesion." Document excerpt 17, when describing the transvaginal radical hysterectomy, mentions "removal of 1/2 of the vagina" (approximately 3.5–4.5 cm), but emphasizes this is not uniform and requires individualized management; the core principle remains that the margin must be at least 2 cm from the lesion to ensure reduced recurrence risk (document excerpt 3 states "patients with surgical margins close to the lesion or positive margins have a high postoperative recurrence rate"). For stage IB patients, the resection length may be appropriately reduced, but the margin distance must still meet the requirement of no less than 2 cm.</w:t>
            </w:r>
          </w:p>
        </w:tc>
        <w:tc>
          <w:tcPr>
            <w:tcW w:w="1152" w:type="dxa"/>
            <w:vAlign w:val="center"/>
          </w:tcPr>
          <w:p w14:paraId="76A5A1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B3893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877E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455AB1" w14:textId="77777777">
        <w:tc>
          <w:tcPr>
            <w:tcW w:w="2160" w:type="dxa"/>
            <w:vAlign w:val="center"/>
          </w:tcPr>
          <w:p w14:paraId="7DDD107B"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24CE2FC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radical hysterectomy and pelvic lymphadenectomy via the vaginal approach, the vaginal margin must be no less than 2 cm from the lesion.  </w:t>
            </w:r>
            <w:r w:rsidRPr="00CB2EC4">
              <w:rPr>
                <w:rFonts w:ascii="Times New Roman" w:hAnsi="Times New Roman" w:cs="Times New Roman"/>
              </w:rPr>
              <w:br/>
              <w:t xml:space="preserve">- Basis: Document 4 (fusion score 0.7066) explicitly states: “It is necessary to remove sufficient vaginal length, especially for stage IIA patients; the vaginal margin should be no less than 2 cm from the lesion.” Document 10 (fusion score 0.6061), when describing radical hysterectomy via the vaginal approach, mentions “transecting the vagina horizontally at the planned resection site (2 cm from the tumor)” and </w:t>
            </w:r>
            <w:r w:rsidRPr="00CB2EC4">
              <w:rPr>
                <w:rFonts w:ascii="Times New Roman" w:hAnsi="Times New Roman" w:cs="Times New Roman"/>
              </w:rPr>
              <w:lastRenderedPageBreak/>
              <w:t>points out that close or positive margins increase recurrence risk (5-year survival rate drops to 50%). Document 28 (fusion score 0.4700) also supports this standard, requiring 1–2 cm of vaginal resection in extrafascial hysterectomy but emphasizing that margin distance must be based on lesion location. Therefore, regardless of surgical approach (vaginal or abdominal), a vaginal margin of at least 2 cm is a core requirement to ensure complete tumor removal.</w:t>
            </w:r>
          </w:p>
        </w:tc>
        <w:tc>
          <w:tcPr>
            <w:tcW w:w="1152" w:type="dxa"/>
            <w:vAlign w:val="center"/>
          </w:tcPr>
          <w:p w14:paraId="150AB6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01D6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7DEE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D8A5FE" w14:textId="77777777">
        <w:tc>
          <w:tcPr>
            <w:tcW w:w="2160" w:type="dxa"/>
            <w:vAlign w:val="center"/>
          </w:tcPr>
          <w:p w14:paraId="2DB4ED9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10AFFD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vaginal margin requirements:  </w:t>
            </w:r>
            <w:r w:rsidRPr="00CB2EC4">
              <w:rPr>
                <w:rFonts w:ascii="Times New Roman" w:hAnsi="Times New Roman" w:cs="Times New Roman"/>
              </w:rPr>
              <w:br/>
              <w:t xml:space="preserve">Resection of the upper 1/3 of the vagina (approximately 3–4 cm), with the margin at least 2 cm from the lesion.  </w:t>
            </w:r>
            <w:r w:rsidRPr="00CB2EC4">
              <w:rPr>
                <w:rFonts w:ascii="Times New Roman" w:hAnsi="Times New Roman" w:cs="Times New Roman"/>
              </w:rPr>
              <w:br/>
            </w:r>
            <w:r w:rsidRPr="00CB2EC4">
              <w:rPr>
                <w:rFonts w:ascii="Times New Roman" w:hAnsi="Times New Roman" w:cs="Times New Roman"/>
              </w:rPr>
              <w:br/>
              <w:t xml:space="preserve">Evidence:  </w:t>
            </w:r>
            <w:r w:rsidRPr="00CB2EC4">
              <w:rPr>
                <w:rFonts w:ascii="Times New Roman" w:hAnsi="Times New Roman" w:cs="Times New Roman"/>
              </w:rPr>
              <w:br/>
              <w:t xml:space="preserve">1. Radical surgery standards:  </w:t>
            </w:r>
            <w:r w:rsidRPr="00CB2EC4">
              <w:rPr>
                <w:rFonts w:ascii="Times New Roman" w:hAnsi="Times New Roman" w:cs="Times New Roman"/>
              </w:rPr>
              <w:br/>
              <w:t xml:space="preserve">   - Type III procedure requires "resection of 1/2 of the vagina" (HyDE similarity 0.592; Figure 7-16).  </w:t>
            </w:r>
            <w:r w:rsidRPr="00CB2EC4">
              <w:rPr>
                <w:rFonts w:ascii="Times New Roman" w:hAnsi="Times New Roman" w:cs="Times New Roman"/>
              </w:rPr>
              <w:br/>
              <w:t xml:space="preserve">   - Radical trachelectomy requires "resection of the upper 1/3 of the vagina" (HyDE similarity 0.600).  </w:t>
            </w:r>
            <w:r w:rsidRPr="00CB2EC4">
              <w:rPr>
                <w:rFonts w:ascii="Times New Roman" w:hAnsi="Times New Roman" w:cs="Times New Roman"/>
              </w:rPr>
              <w:br/>
              <w:t xml:space="preserve">2. Safety margin:  </w:t>
            </w:r>
            <w:r w:rsidRPr="00CB2EC4">
              <w:rPr>
                <w:rFonts w:ascii="Times New Roman" w:hAnsi="Times New Roman" w:cs="Times New Roman"/>
              </w:rPr>
              <w:br/>
              <w:t xml:space="preserve">   - Documents repeatedly emphasize: "The vaginal margin should be no less than 2 cm from the lesion," especially for stage IIA patients (HyDE similarity 0.634).  </w:t>
            </w:r>
            <w:r w:rsidRPr="00CB2EC4">
              <w:rPr>
                <w:rFonts w:ascii="Times New Roman" w:hAnsi="Times New Roman" w:cs="Times New Roman"/>
              </w:rPr>
              <w:br/>
              <w:t xml:space="preserve">   - If the margin is insufficient (e.g., &lt;2 cm), recurrence risk increases significantly (5-year survival rate drops to 50%) (HyDE similarity 0.634).</w:t>
            </w:r>
          </w:p>
        </w:tc>
        <w:tc>
          <w:tcPr>
            <w:tcW w:w="1152" w:type="dxa"/>
            <w:vAlign w:val="center"/>
          </w:tcPr>
          <w:p w14:paraId="6E0684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B15D3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F5A0E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887DBBB" w14:textId="77777777">
        <w:tc>
          <w:tcPr>
            <w:tcW w:w="2160" w:type="dxa"/>
            <w:vAlign w:val="center"/>
          </w:tcPr>
          <w:p w14:paraId="3E64C263"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A8223E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radical vaginal hysterectomy and pelvic lymphadenectomy, the requirement for the vaginal margin is that it must be at least 2 cm from the lesion.  </w:t>
            </w:r>
            <w:r w:rsidRPr="00CB2EC4">
              <w:rPr>
                <w:rFonts w:ascii="Times New Roman" w:hAnsi="Times New Roman" w:cs="Times New Roman"/>
              </w:rPr>
              <w:br/>
              <w:t xml:space="preserve">- According to document fragment 3 (similarity 0.525): "Transversely section the vagina at the </w:t>
            </w:r>
            <w:r w:rsidRPr="00CB2EC4">
              <w:rPr>
                <w:rFonts w:ascii="Times New Roman" w:hAnsi="Times New Roman" w:cs="Times New Roman"/>
              </w:rPr>
              <w:lastRenderedPageBreak/>
              <w:t xml:space="preserve">planned resection site (2 cm from the cancerous lesion). It is noteworthy...removing sufficient vaginal length is necessary, especially for stage IIA patients; the vaginal resection margin should not be less than 2 cm from the lesion."  </w:t>
            </w:r>
            <w:r w:rsidRPr="00CB2EC4">
              <w:rPr>
                <w:rFonts w:ascii="Times New Roman" w:hAnsi="Times New Roman" w:cs="Times New Roman"/>
              </w:rPr>
              <w:br/>
              <w:t>- This requirement is based on recurrence risk: a close or positive margin significantly increases the recurrence rate (5-year survival rate drops to 50%), so a safe distance of at least 2 cm must be ensured to guarantee complete tumor removal. Document fragment 6 (similarity 0.513) mentions resection of one-third of the vagina (approximately 3–4 cm) when describing type II surgery, but the 2 cm requirement from fragment 3 is more directly applicable as the margin standard for radical procedures.</w:t>
            </w:r>
          </w:p>
        </w:tc>
        <w:tc>
          <w:tcPr>
            <w:tcW w:w="1152" w:type="dxa"/>
            <w:vAlign w:val="center"/>
          </w:tcPr>
          <w:p w14:paraId="2DA77F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DDBC8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9E3C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C52340" w14:textId="77777777">
        <w:tc>
          <w:tcPr>
            <w:tcW w:w="2160" w:type="dxa"/>
            <w:vAlign w:val="center"/>
          </w:tcPr>
          <w:p w14:paraId="7F054B1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91F312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radical hysterectomy via the vaginal approach and pelvic lymphadenectomy, the vaginal margin must be at least 2 cm from the lesion.  </w:t>
            </w:r>
            <w:r w:rsidRPr="00CB2EC4">
              <w:rPr>
                <w:rFonts w:ascii="Times New Roman" w:hAnsi="Times New Roman" w:cs="Times New Roman"/>
              </w:rPr>
              <w:br/>
              <w:t>- Basis: The document repeatedly emphasizes the vaginal resection standard, such as "transecting the vagina horizontally at the planned resection site (2 cm from the cancerous lesion)", and states that "patients with surgical margins close to the lesion or positive margins have a high postoperative recurrence rate... the vaginal margin should not be less than 2 cm from the lesion". Specifically for stage IB patients, the document suggests that excessive resection (e.g., half of the vagina) is unnecessary, but a safe margin of at least 2 cm must be ensured to reduce recurrence risk.</w:t>
            </w:r>
          </w:p>
        </w:tc>
        <w:tc>
          <w:tcPr>
            <w:tcW w:w="1152" w:type="dxa"/>
            <w:vAlign w:val="center"/>
          </w:tcPr>
          <w:p w14:paraId="0CADD0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25B4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891C8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0DD78EA" w14:textId="77777777">
        <w:tc>
          <w:tcPr>
            <w:tcW w:w="2160" w:type="dxa"/>
            <w:vAlign w:val="center"/>
          </w:tcPr>
          <w:p w14:paraId="04E635C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EAAD484" w14:textId="77777777" w:rsidR="00922249" w:rsidRPr="00CB2EC4" w:rsidRDefault="003011D5">
            <w:pPr>
              <w:rPr>
                <w:rFonts w:ascii="Times New Roman" w:hAnsi="Times New Roman" w:cs="Times New Roman"/>
              </w:rPr>
            </w:pPr>
            <w:r w:rsidRPr="00CB2EC4">
              <w:rPr>
                <w:rFonts w:ascii="Times New Roman" w:hAnsi="Times New Roman" w:cs="Times New Roman"/>
              </w:rPr>
              <w:t>the requirements for the vaginal margin are:</w:t>
            </w:r>
            <w:r w:rsidRPr="00CB2EC4">
              <w:rPr>
                <w:rFonts w:ascii="Times New Roman" w:hAnsi="Times New Roman" w:cs="Times New Roman"/>
              </w:rPr>
              <w:br/>
              <w:t>- Removal of the upper 1/3 to 1/2 length of the vagina, or</w:t>
            </w:r>
            <w:r w:rsidRPr="00CB2EC4">
              <w:rPr>
                <w:rFonts w:ascii="Times New Roman" w:hAnsi="Times New Roman" w:cs="Times New Roman"/>
              </w:rPr>
              <w:br/>
              <w:t xml:space="preserve">- A distance of at least 2 cm from the lesion to ensure </w:t>
            </w:r>
            <w:r w:rsidRPr="00CB2EC4">
              <w:rPr>
                <w:rFonts w:ascii="Times New Roman" w:hAnsi="Times New Roman" w:cs="Times New Roman"/>
              </w:rPr>
              <w:lastRenderedPageBreak/>
              <w:t>negative margins.</w:t>
            </w:r>
            <w:r w:rsidRPr="00CB2EC4">
              <w:rPr>
                <w:rFonts w:ascii="Times New Roman" w:hAnsi="Times New Roman" w:cs="Times New Roman"/>
              </w:rPr>
              <w:br/>
            </w:r>
            <w:r w:rsidRPr="00CB2EC4">
              <w:rPr>
                <w:rFonts w:ascii="Times New Roman" w:hAnsi="Times New Roman" w:cs="Times New Roman"/>
              </w:rPr>
              <w:br/>
              <w:t>Specific description:</w:t>
            </w:r>
            <w:r w:rsidRPr="00CB2EC4">
              <w:rPr>
                <w:rFonts w:ascii="Times New Roman" w:hAnsi="Times New Roman" w:cs="Times New Roman"/>
              </w:rPr>
              <w:br/>
              <w:t>- In a radical vaginal hysterectomy, the vagina is transected and a segment is removed to clear potential lesions (Document fragment 9: "transect the vagina 1/3"; however, the distance is not explicitly stated).</w:t>
            </w:r>
            <w:r w:rsidRPr="00CB2EC4">
              <w:rPr>
                <w:rFonts w:ascii="Times New Roman" w:hAnsi="Times New Roman" w:cs="Times New Roman"/>
              </w:rPr>
              <w:br/>
              <w:t>- According to standards for related procedures (e.g., Type III surgery), it is generally required to remove the upper 1/3 to 1/2 of the vagina (approximately 2–3 cm in length), or when the lesion is located in the vagina, maintain a margin of at least 2 cm from the edge of the lesion (Document fragment 4: "vaginal resection must reach 1/2 (2 cm from the lesion)"; Document fragment 8: "resect 1/2 of the vagina").</w:t>
            </w:r>
            <w:r w:rsidRPr="00CB2EC4">
              <w:rPr>
                <w:rFonts w:ascii="Times New Roman" w:hAnsi="Times New Roman" w:cs="Times New Roman"/>
              </w:rPr>
              <w:br/>
              <w:t>This requirement aims to reduce the risk of local recurrence and ensure surgical completeness.</w:t>
            </w:r>
          </w:p>
        </w:tc>
        <w:tc>
          <w:tcPr>
            <w:tcW w:w="1152" w:type="dxa"/>
            <w:vAlign w:val="center"/>
          </w:tcPr>
          <w:p w14:paraId="4AA773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0D24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4EDF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0156B2" w14:textId="77777777">
        <w:tc>
          <w:tcPr>
            <w:tcW w:w="2160" w:type="dxa"/>
            <w:vAlign w:val="center"/>
          </w:tcPr>
          <w:p w14:paraId="5B748492"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00EAD88" w14:textId="77777777" w:rsidR="00922249" w:rsidRPr="00CB2EC4" w:rsidRDefault="003011D5">
            <w:pPr>
              <w:rPr>
                <w:rFonts w:ascii="Times New Roman" w:hAnsi="Times New Roman" w:cs="Times New Roman"/>
              </w:rPr>
            </w:pPr>
            <w:r w:rsidRPr="00CB2EC4">
              <w:rPr>
                <w:rFonts w:ascii="Times New Roman" w:hAnsi="Times New Roman" w:cs="Times New Roman"/>
              </w:rPr>
              <w:t>the requirements for the vaginal margin are: resection of 1/2 of the vagina (approximately 3.5–4.5 cm), with the margin at least 2 cm from the lesion.</w:t>
            </w:r>
            <w:r w:rsidRPr="00CB2EC4">
              <w:rPr>
                <w:rFonts w:ascii="Times New Roman" w:hAnsi="Times New Roman" w:cs="Times New Roman"/>
              </w:rPr>
              <w:br/>
            </w:r>
            <w:r w:rsidRPr="00CB2EC4">
              <w:rPr>
                <w:rFonts w:ascii="Times New Roman" w:hAnsi="Times New Roman" w:cs="Times New Roman"/>
              </w:rPr>
              <w:br/>
              <w:t>Vaginal margin requirements: Resect 1/2 of the vagina (about 3.5–4.5 cm), and ensure the margin is no less than 2 cm from the lesion.</w:t>
            </w:r>
            <w:r w:rsidRPr="00CB2EC4">
              <w:rPr>
                <w:rFonts w:ascii="Times New Roman" w:hAnsi="Times New Roman" w:cs="Times New Roman"/>
              </w:rPr>
              <w:br/>
            </w:r>
            <w:r w:rsidRPr="00CB2EC4">
              <w:rPr>
                <w:rFonts w:ascii="Times New Roman" w:hAnsi="Times New Roman" w:cs="Times New Roman"/>
              </w:rPr>
              <w:br/>
              <w:t xml:space="preserve">The document repeatedly emphasizes the extent of vaginal resection during vaginal radical hysterectomy (e.g., Type III surgery), as seen in the following excerpts: "Resect 1/2 of the vagina (Figure 7-16)" and "Resect 1/2 of the vagina." Additionally, the document states that the vaginal surgical margin must be at least 2 cm from the lesion to ensure a negative margin and reduce recurrence risk (excerpt: "Patients with surgical margins close to the lesion or positive </w:t>
            </w:r>
            <w:r w:rsidRPr="00CB2EC4">
              <w:rPr>
                <w:rFonts w:ascii="Times New Roman" w:hAnsi="Times New Roman" w:cs="Times New Roman"/>
              </w:rPr>
              <w:lastRenderedPageBreak/>
              <w:t>margins have a high postoperative recurrence rate, especially the latter, where the 5-year survival rate drops to 50%. Therefore, resecting sufficient vaginal length is necessary, particularly for stage IIA patients; the vaginal margin should be no less than 2 cm from the lesion"). For stage IB patients, the document suggests that routinely resecting excessive length (e.g., &gt;2 cm) is unnecessary, though the minimum requirement remains no less than 2 cm (excerpt: "But routinely resecting 1/2 of the vagina (3.5~4.5 cm) is indeed unnecessary, especially for stage IB patients"). In the vaginal approach section, no different values are specified; therefore, based on the overall context, resecting 1/2 of the vagina (corresponding to approximately 3.5–4.5 cm) with a margin ≥2 cm from the lesion is the standard requirement.</w:t>
            </w:r>
          </w:p>
        </w:tc>
        <w:tc>
          <w:tcPr>
            <w:tcW w:w="1152" w:type="dxa"/>
            <w:vAlign w:val="center"/>
          </w:tcPr>
          <w:p w14:paraId="6E2401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66386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2BCA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3C8C317" w14:textId="77777777">
        <w:tc>
          <w:tcPr>
            <w:tcW w:w="2160" w:type="dxa"/>
            <w:vAlign w:val="center"/>
          </w:tcPr>
          <w:p w14:paraId="2867ACC1"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C5B238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vaginal radical hysterectomy and pelvic lymphadenectomy, the requirement for the vaginal margin is to resect sufficient vaginal length to ensure that the margin is at least 2 cm from the lesion.  </w:t>
            </w:r>
            <w:r w:rsidRPr="00CB2EC4">
              <w:rPr>
                <w:rFonts w:ascii="Times New Roman" w:hAnsi="Times New Roman" w:cs="Times New Roman"/>
              </w:rPr>
              <w:br/>
              <w:t xml:space="preserve">- Based on the context:  </w:t>
            </w:r>
            <w:r w:rsidRPr="00CB2EC4">
              <w:rPr>
                <w:rFonts w:ascii="Times New Roman" w:hAnsi="Times New Roman" w:cs="Times New Roman"/>
              </w:rPr>
              <w:br/>
              <w:t xml:space="preserve">  - Document segment 16 explicitly states: “It is necessary to resect sufficient vaginal length... the vaginal margin should be no less than 2 cm from the lesion.” Document segment 22 (radical local excision section) also emphasizes: “Vaginal resection must reach 1/2 (2 cm from the lesion),” applicable to early-stage patients.  </w:t>
            </w:r>
            <w:r w:rsidRPr="00CB2EC4">
              <w:rPr>
                <w:rFonts w:ascii="Times New Roman" w:hAnsi="Times New Roman" w:cs="Times New Roman"/>
              </w:rPr>
              <w:br/>
              <w:t xml:space="preserve">  - Document segment 8 (radical trachelectomy) adds: For IB stage patients with a lesion diameter &lt; 2 cm, approximately 1/2 of the vagina (equivalent to 3–4 cm) is resected, but the core principle remains maintaining a 2 cm safety margin to reduce recurrence risk.  </w:t>
            </w:r>
            <w:r w:rsidRPr="00CB2EC4">
              <w:rPr>
                <w:rFonts w:ascii="Times New Roman" w:hAnsi="Times New Roman" w:cs="Times New Roman"/>
              </w:rPr>
              <w:br/>
            </w:r>
            <w:r w:rsidRPr="00CB2EC4">
              <w:rPr>
                <w:rFonts w:ascii="Times New Roman" w:hAnsi="Times New Roman" w:cs="Times New Roman"/>
              </w:rPr>
              <w:lastRenderedPageBreak/>
              <w:t xml:space="preserve">  This requirement is based on lowering the positive margin rate and recurrence rate (document segment 16 notes that patients with positive margins have a 5-year survival rate reduced to 50%), while also preserving vaginal function.</w:t>
            </w:r>
          </w:p>
        </w:tc>
        <w:tc>
          <w:tcPr>
            <w:tcW w:w="1152" w:type="dxa"/>
            <w:vAlign w:val="center"/>
          </w:tcPr>
          <w:p w14:paraId="3F6EF3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8C89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90F3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71CCB6D" w14:textId="77777777">
        <w:tc>
          <w:tcPr>
            <w:tcW w:w="2160" w:type="dxa"/>
            <w:vAlign w:val="center"/>
          </w:tcPr>
          <w:p w14:paraId="67F117E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72DFA5E" w14:textId="77777777" w:rsidR="00922249" w:rsidRPr="00CB2EC4" w:rsidRDefault="003011D5">
            <w:pPr>
              <w:rPr>
                <w:rFonts w:ascii="Times New Roman" w:hAnsi="Times New Roman" w:cs="Times New Roman"/>
              </w:rPr>
            </w:pPr>
            <w:r w:rsidRPr="00CB2EC4">
              <w:rPr>
                <w:rFonts w:ascii="Times New Roman" w:hAnsi="Times New Roman" w:cs="Times New Roman"/>
              </w:rPr>
              <w:t>vaginal margin requirement: At least 2 cm from the lesion.</w:t>
            </w:r>
            <w:r w:rsidRPr="00CB2EC4">
              <w:rPr>
                <w:rFonts w:ascii="Times New Roman" w:hAnsi="Times New Roman" w:cs="Times New Roman"/>
              </w:rPr>
              <w:br/>
            </w:r>
            <w:r w:rsidRPr="00CB2EC4">
              <w:rPr>
                <w:rFonts w:ascii="Times New Roman" w:hAnsi="Times New Roman" w:cs="Times New Roman"/>
              </w:rPr>
              <w:br/>
              <w:t>Explanation:</w:t>
            </w:r>
            <w:r w:rsidRPr="00CB2EC4">
              <w:rPr>
                <w:rFonts w:ascii="Times New Roman" w:hAnsi="Times New Roman" w:cs="Times New Roman"/>
              </w:rPr>
              <w:br/>
              <w:t>Based on the context (related segment 7, original block 519-521), the text explicitly states during the description of radical vaginal hysterectomy:</w:t>
            </w:r>
            <w:r w:rsidRPr="00CB2EC4">
              <w:rPr>
                <w:rFonts w:ascii="Times New Roman" w:hAnsi="Times New Roman" w:cs="Times New Roman"/>
              </w:rPr>
              <w:br/>
              <w:t>- "Transversely divide the vagina at the planned resection site (2 cm from the tumor)."</w:t>
            </w:r>
            <w:r w:rsidRPr="00CB2EC4">
              <w:rPr>
                <w:rFonts w:ascii="Times New Roman" w:hAnsi="Times New Roman" w:cs="Times New Roman"/>
              </w:rPr>
              <w:br/>
              <w:t>- "It is noteworthy that patients with close or positive surgical margins have a high postoperative recurrence rate, especially the latter, where the 5-year survival rate drops to 50%. Therefore, removing sufficient vaginal length is necessary, particularly for stage IIA patients; the vaginal margin should be no less than 2 cm from the lesion."</w:t>
            </w:r>
            <w:r w:rsidRPr="00CB2EC4">
              <w:rPr>
                <w:rFonts w:ascii="Times New Roman" w:hAnsi="Times New Roman" w:cs="Times New Roman"/>
              </w:rPr>
              <w:br/>
              <w:t>Although this emphasis is for stage IIA, the context (segment 7) also indicates that for stage IB patients, the length of vaginal resection must ensure negative margins, generally requiring ≥2 cm to avoid recurrence. Segment 4 (original block 474-476) supports this standard when discussing total hysterectomy (resecting 1–2 cm of vagina).</w:t>
            </w:r>
            <w:r w:rsidRPr="00CB2EC4">
              <w:rPr>
                <w:rFonts w:ascii="Times New Roman" w:hAnsi="Times New Roman" w:cs="Times New Roman"/>
              </w:rPr>
              <w:br/>
              <w:t>Therefore, regardless of whether combined with pelvic lymphadenectomy, the vaginal margin must be at least 2 cm from the lesion to ensure negative margins.</w:t>
            </w:r>
          </w:p>
        </w:tc>
        <w:tc>
          <w:tcPr>
            <w:tcW w:w="1152" w:type="dxa"/>
            <w:vAlign w:val="center"/>
          </w:tcPr>
          <w:p w14:paraId="29EAA3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994AC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BC1F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D1C8D1" w14:textId="77777777">
        <w:tc>
          <w:tcPr>
            <w:tcW w:w="2160" w:type="dxa"/>
            <w:vAlign w:val="center"/>
          </w:tcPr>
          <w:p w14:paraId="46B4C0CE"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F557F1F" w14:textId="77777777" w:rsidR="00922249" w:rsidRPr="00CB2EC4" w:rsidRDefault="003011D5">
            <w:pPr>
              <w:rPr>
                <w:rFonts w:ascii="Times New Roman" w:hAnsi="Times New Roman" w:cs="Times New Roman"/>
              </w:rPr>
            </w:pPr>
            <w:r w:rsidRPr="00CB2EC4">
              <w:rPr>
                <w:rFonts w:ascii="Times New Roman" w:hAnsi="Times New Roman" w:cs="Times New Roman"/>
              </w:rPr>
              <w:t>vaginal margin requirements:</w:t>
            </w:r>
            <w:r w:rsidRPr="00CB2EC4">
              <w:rPr>
                <w:rFonts w:ascii="Times New Roman" w:hAnsi="Times New Roman" w:cs="Times New Roman"/>
              </w:rPr>
              <w:br/>
            </w:r>
            <w:r w:rsidRPr="00CB2EC4">
              <w:rPr>
                <w:rFonts w:ascii="Times New Roman" w:hAnsi="Times New Roman" w:cs="Times New Roman"/>
              </w:rPr>
              <w:lastRenderedPageBreak/>
              <w:br/>
              <w:t>- The upper vaginal segment must be resected by at least 1–2 cm (or wider, to ensure negative surgical margins), with the exact extent determined by tumor location.</w:t>
            </w:r>
            <w:r w:rsidRPr="00CB2EC4">
              <w:rPr>
                <w:rFonts w:ascii="Times New Roman" w:hAnsi="Times New Roman" w:cs="Times New Roman"/>
              </w:rPr>
              <w:br/>
              <w:t>- Explanation: In radical vaginal hysterectomy, vaginal margins must be sufficiently wide (typically ≥1 cm) to achieve negative surgical margins (no residual tumor). If the tumor is located at the external cervical os, the margin should extend to the middle or upper third of the vagina; this is based on the principle of tumor safety boundaries to reduce the risk of local recurrence (negative margin rate should exceed 95%). Compared to abdominal radical hysterectomy, the vaginal approach emphasizes precise resection, but the margin standards remain consistent to ensure radical oncologic outcomes.</w:t>
            </w:r>
          </w:p>
        </w:tc>
        <w:tc>
          <w:tcPr>
            <w:tcW w:w="1152" w:type="dxa"/>
            <w:vAlign w:val="center"/>
          </w:tcPr>
          <w:p w14:paraId="2DFA8B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FC298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59B0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9EC25A" w14:textId="77777777">
        <w:tc>
          <w:tcPr>
            <w:tcW w:w="10656" w:type="dxa"/>
            <w:gridSpan w:val="5"/>
            <w:tcBorders>
              <w:bottom w:val="single" w:sz="6" w:space="0" w:color="auto"/>
            </w:tcBorders>
            <w:vAlign w:val="center"/>
          </w:tcPr>
          <w:p w14:paraId="6911F2DC"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171: What is the purpose of preserving the ascending branch of the uterine artery during a radical trachelectomy?</w:t>
            </w:r>
          </w:p>
        </w:tc>
      </w:tr>
      <w:tr w:rsidR="00922249" w:rsidRPr="00CB2EC4" w14:paraId="70948A9E" w14:textId="77777777">
        <w:tc>
          <w:tcPr>
            <w:tcW w:w="2160" w:type="dxa"/>
            <w:vAlign w:val="center"/>
          </w:tcPr>
          <w:p w14:paraId="1592EE22"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0C65682" w14:textId="77777777" w:rsidR="00922249" w:rsidRPr="00CB2EC4" w:rsidRDefault="003011D5">
            <w:pPr>
              <w:rPr>
                <w:rFonts w:ascii="Times New Roman" w:hAnsi="Times New Roman" w:cs="Times New Roman"/>
              </w:rPr>
            </w:pPr>
            <w:r w:rsidRPr="00CB2EC4">
              <w:rPr>
                <w:rFonts w:ascii="Times New Roman" w:hAnsi="Times New Roman" w:cs="Times New Roman"/>
              </w:rPr>
              <w:t>to ensure adequate blood supply to the uterine corpus, maintaining endometrial health and preserving fertility potential.</w:t>
            </w:r>
            <w:r w:rsidRPr="00CB2EC4">
              <w:rPr>
                <w:rFonts w:ascii="Times New Roman" w:hAnsi="Times New Roman" w:cs="Times New Roman"/>
              </w:rPr>
              <w:br/>
            </w:r>
            <w:r w:rsidRPr="00CB2EC4">
              <w:rPr>
                <w:rFonts w:ascii="Times New Roman" w:hAnsi="Times New Roman" w:cs="Times New Roman"/>
              </w:rPr>
              <w:br/>
              <w:t xml:space="preserve">In radical trachelectomy, preserving the ascending branch of the uterine artery is primarily aimed at maintaining sufficient blood flow to the uterine body. The document explicitly states that cutting the main trunk of the uterine artery during cervical removal reduces blood supply to the uterus, affecting both the myometrium and endometrium, and may adversely impact future pregnancy (e.g., impaired embryo implantation). Retaining the ascending branch preserves vascular communication between the uterus and ovaries, supporting reproductive function. </w:t>
            </w:r>
            <w:r w:rsidRPr="00CB2EC4">
              <w:rPr>
                <w:rFonts w:ascii="Times New Roman" w:hAnsi="Times New Roman" w:cs="Times New Roman"/>
              </w:rPr>
              <w:lastRenderedPageBreak/>
              <w:t>Specific evidence from the document fragment (similarity: 0.543): “Reduced blood supply not only affects the uterine myometrium but also the endometrium, and impacts pregnancy; therefore, surgery should consider preserving the ascending branch of the uterine artery to maintain blood supply to the uterine corpus. Preserving the ascending branch of the uterine artery not only retains the uterine vasculature but also ensures that communication with ovarian vessels remains unaffected.”</w:t>
            </w:r>
          </w:p>
        </w:tc>
        <w:tc>
          <w:tcPr>
            <w:tcW w:w="1152" w:type="dxa"/>
            <w:vAlign w:val="center"/>
          </w:tcPr>
          <w:p w14:paraId="13F18F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52DEA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D7C9CB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EE2B3A" w14:textId="77777777">
        <w:tc>
          <w:tcPr>
            <w:tcW w:w="2160" w:type="dxa"/>
            <w:vAlign w:val="center"/>
          </w:tcPr>
          <w:p w14:paraId="0D96B87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A2EE0B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primary purpose of preserving the ascending branch of the uterine artery is to ensure blood supply to the uterine body, maintaining normal endometrial function and pregnancy capability. Specific reasons include:  </w:t>
            </w:r>
            <w:r w:rsidRPr="00CB2EC4">
              <w:rPr>
                <w:rFonts w:ascii="Times New Roman" w:hAnsi="Times New Roman" w:cs="Times New Roman"/>
              </w:rPr>
              <w:br/>
              <w:t xml:space="preserve">- Reduced blood supply may affect the myometrium and endometrium, potentially leading to difficulties in embryo implantation.  </w:t>
            </w:r>
            <w:r w:rsidRPr="00CB2EC4">
              <w:rPr>
                <w:rFonts w:ascii="Times New Roman" w:hAnsi="Times New Roman" w:cs="Times New Roman"/>
              </w:rPr>
              <w:br/>
              <w:t xml:space="preserve">- Preserving the ascending branch maintains vascular communication between the uterus and ovaries, reducing the risk of postoperative infertility.  </w:t>
            </w:r>
            <w:r w:rsidRPr="00CB2EC4">
              <w:rPr>
                <w:rFonts w:ascii="Times New Roman" w:hAnsi="Times New Roman" w:cs="Times New Roman"/>
              </w:rPr>
              <w:br/>
              <w:t>- If the main trunk of the uterine artery is severed during surgery, re-anastomosis is required, complicating the procedure and increasing the risk of complications; preserving the ascending branch simplifies the surgery.</w:t>
            </w:r>
          </w:p>
        </w:tc>
        <w:tc>
          <w:tcPr>
            <w:tcW w:w="1152" w:type="dxa"/>
            <w:vAlign w:val="center"/>
          </w:tcPr>
          <w:p w14:paraId="23702E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AD9E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AF6C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BFED96" w14:textId="77777777">
        <w:tc>
          <w:tcPr>
            <w:tcW w:w="2160" w:type="dxa"/>
            <w:vAlign w:val="center"/>
          </w:tcPr>
          <w:p w14:paraId="1BFD045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49D821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purpose of preserving the ascending branch of the uterine artery during radical trachelectomy is to ensure blood supply to the uterine corpus. Specifically:  </w:t>
            </w:r>
            <w:r w:rsidRPr="00CB2EC4">
              <w:rPr>
                <w:rFonts w:ascii="Times New Roman" w:hAnsi="Times New Roman" w:cs="Times New Roman"/>
              </w:rPr>
              <w:br/>
              <w:t xml:space="preserve">- Preserving the ascending branch of the uterine artery maintains blood flow to the uterine corpus (Source 1 and 2).  </w:t>
            </w:r>
            <w:r w:rsidRPr="00CB2EC4">
              <w:rPr>
                <w:rFonts w:ascii="Times New Roman" w:hAnsi="Times New Roman" w:cs="Times New Roman"/>
              </w:rPr>
              <w:br/>
              <w:t xml:space="preserve">- Insufficient blood supply may lead to ischemic </w:t>
            </w:r>
            <w:r w:rsidRPr="00CB2EC4">
              <w:rPr>
                <w:rFonts w:ascii="Times New Roman" w:hAnsi="Times New Roman" w:cs="Times New Roman"/>
              </w:rPr>
              <w:lastRenderedPageBreak/>
              <w:t xml:space="preserve">necrosis of the endometrium, thereby impairing future embryo implantation and fertility (Source 2).  </w:t>
            </w:r>
            <w:r w:rsidRPr="00CB2EC4">
              <w:rPr>
                <w:rFonts w:ascii="Times New Roman" w:hAnsi="Times New Roman" w:cs="Times New Roman"/>
              </w:rPr>
              <w:br/>
              <w:t xml:space="preserve">- Additionally, preserving the ascending branch helps maintain vascular communication with the ovary, thus supporting ovarian function (Source 1).  </w:t>
            </w:r>
            <w:r w:rsidRPr="00CB2EC4">
              <w:rPr>
                <w:rFonts w:ascii="Times New Roman" w:hAnsi="Times New Roman" w:cs="Times New Roman"/>
              </w:rPr>
              <w:br/>
              <w:t xml:space="preserve">- The overall goal is to preserve a functional uterus and ovary to enable successful pregnancy after surgery (Source 15).  </w:t>
            </w:r>
            <w:r w:rsidRPr="00CB2EC4">
              <w:rPr>
                <w:rFonts w:ascii="Times New Roman" w:hAnsi="Times New Roman" w:cs="Times New Roman"/>
              </w:rPr>
              <w:br/>
              <w:t>Therefore, the core objective of this procedure is to protect fertility function and prevent tissue necrosis.</w:t>
            </w:r>
          </w:p>
        </w:tc>
        <w:tc>
          <w:tcPr>
            <w:tcW w:w="1152" w:type="dxa"/>
            <w:vAlign w:val="center"/>
          </w:tcPr>
          <w:p w14:paraId="39953E9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D8F1F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BAC9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F43913" w14:textId="77777777">
        <w:tc>
          <w:tcPr>
            <w:tcW w:w="2160" w:type="dxa"/>
            <w:vAlign w:val="center"/>
          </w:tcPr>
          <w:p w14:paraId="2C0A629E"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5761A0C"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preserving the ascending branch of the uterine artery during radical trachelectomy is to maintain blood supply to the uterine corpus, thereby preventing endometrial ischemia and necrosis, ensuring a suitable environment for embryo implantation, and preserving future fertility potential. Inadequate blood supply may lead to endometrial atrophy, implantation failure, or increased risk of miscarriage. During surgery, meticulous dissection is required to transect only the cervical and vaginal branches while preserving the ascending branch (Knowledge Base Document 1/3/5, Online Document 3).</w:t>
            </w:r>
          </w:p>
        </w:tc>
        <w:tc>
          <w:tcPr>
            <w:tcW w:w="1152" w:type="dxa"/>
            <w:vAlign w:val="center"/>
          </w:tcPr>
          <w:p w14:paraId="3ED1FF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39F9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1C76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9A736A" w14:textId="77777777">
        <w:tc>
          <w:tcPr>
            <w:tcW w:w="2160" w:type="dxa"/>
            <w:vAlign w:val="center"/>
          </w:tcPr>
          <w:p w14:paraId="3A3E6F76"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846C86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purpose of preserving the ascending branch of the uterine artery during radical trachelectomy is to ensure blood supply to the uterine corpus, thereby preventing ischemic necrosis of the endometrium and preserving fertility. Specifically:  </w:t>
            </w:r>
            <w:r w:rsidRPr="00CB2EC4">
              <w:rPr>
                <w:rFonts w:ascii="Times New Roman" w:hAnsi="Times New Roman" w:cs="Times New Roman"/>
              </w:rPr>
              <w:br/>
              <w:t xml:space="preserve">- the ascending branch of the uterine artery supplies blood to the uterine corpus, affecting endometrial health and embryo implantation (Fragment 5: "Preserving the ascending branch of the uterine artery not only retains the uterine vasculature but also </w:t>
            </w:r>
            <w:r w:rsidRPr="00CB2EC4">
              <w:rPr>
                <w:rFonts w:ascii="Times New Roman" w:hAnsi="Times New Roman" w:cs="Times New Roman"/>
              </w:rPr>
              <w:lastRenderedPageBreak/>
              <w:t xml:space="preserve">ensures that communication with ovarian vessels remains unaffected").  </w:t>
            </w:r>
            <w:r w:rsidRPr="00CB2EC4">
              <w:rPr>
                <w:rFonts w:ascii="Times New Roman" w:hAnsi="Times New Roman" w:cs="Times New Roman"/>
              </w:rPr>
              <w:br/>
              <w:t xml:space="preserve">- insufficient blood supply may lead to endometrial damage and reduce pregnancy success rates (Fragment 11: "Reduced blood supply affects not only the myometrium but also the endometrium, impacting pregnancy").  </w:t>
            </w:r>
            <w:r w:rsidRPr="00CB2EC4">
              <w:rPr>
                <w:rFonts w:ascii="Times New Roman" w:hAnsi="Times New Roman" w:cs="Times New Roman"/>
              </w:rPr>
              <w:br/>
              <w:t>- therefore, preserving this vessel during radical trachelectomy supports postoperative fertility function and reduces the risk of miscarriage or preterm birth (Fragment 12: "Preserving the ascending branch of the uterine artery to maintain blood supply to the uterine corpus").</w:t>
            </w:r>
          </w:p>
        </w:tc>
        <w:tc>
          <w:tcPr>
            <w:tcW w:w="1152" w:type="dxa"/>
            <w:vAlign w:val="center"/>
          </w:tcPr>
          <w:p w14:paraId="1E81E1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7BFF7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7B19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63B289" w14:textId="77777777">
        <w:tc>
          <w:tcPr>
            <w:tcW w:w="2160" w:type="dxa"/>
            <w:vAlign w:val="center"/>
          </w:tcPr>
          <w:p w14:paraId="634A9973"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FEDB90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purpose of preserving the ascending branch of the uterine artery during radical trachelectomy is to ensure adequate blood supply to the uterine corpus. specifically:  </w:t>
            </w:r>
            <w:r w:rsidRPr="00CB2EC4">
              <w:rPr>
                <w:rFonts w:ascii="Times New Roman" w:hAnsi="Times New Roman" w:cs="Times New Roman"/>
              </w:rPr>
              <w:br/>
              <w:t xml:space="preserve">- preserving the ascending branch maintains blood flow to the uterine myometrium and endometrium, which is crucial for postoperative fertility, as insufficient perfusion may lead to endometrial ischemia and necrosis, impairing embryo implantation.  </w:t>
            </w:r>
            <w:r w:rsidRPr="00CB2EC4">
              <w:rPr>
                <w:rFonts w:ascii="Times New Roman" w:hAnsi="Times New Roman" w:cs="Times New Roman"/>
              </w:rPr>
              <w:br/>
              <w:t>- it also preserves communication between uterine and ovarian vasculature, reducing the risk of postoperative complications such as miscarriage or preterm birth. the procedure involves transection of only the cervical and vaginal branches while sparing the ascending branch to avoid ischemia from main trunk disruption.</w:t>
            </w:r>
          </w:p>
        </w:tc>
        <w:tc>
          <w:tcPr>
            <w:tcW w:w="1152" w:type="dxa"/>
            <w:vAlign w:val="center"/>
          </w:tcPr>
          <w:p w14:paraId="1DDF28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1793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9327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B15106" w14:textId="77777777">
        <w:tc>
          <w:tcPr>
            <w:tcW w:w="2160" w:type="dxa"/>
            <w:vAlign w:val="center"/>
          </w:tcPr>
          <w:p w14:paraId="77C51F5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04F2F5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primary purpose of preserving the ascending branch of the uterine artery is to maintain the blood supply to the uterine body, ensuring normal nutrition and function of the endometrium, which is crucial for </w:t>
            </w:r>
            <w:r w:rsidRPr="00CB2EC4">
              <w:rPr>
                <w:rFonts w:ascii="Times New Roman" w:hAnsi="Times New Roman" w:cs="Times New Roman"/>
              </w:rPr>
              <w:lastRenderedPageBreak/>
              <w:t>postoperative patients to achieve successful pregnancy. The document explicitly states: "Preserving the ascending branch of the uterine artery not only retains the uterine vasculature but also ensures unimpaired vascular communication with the ovaries." Insufficient blood supply may lead to endometrial ischemia and necrosis, adversely affecting embryo implantation.</w:t>
            </w:r>
          </w:p>
        </w:tc>
        <w:tc>
          <w:tcPr>
            <w:tcW w:w="1152" w:type="dxa"/>
            <w:vAlign w:val="center"/>
          </w:tcPr>
          <w:p w14:paraId="58D79F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3159A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EE238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4122B8E" w14:textId="77777777">
        <w:tc>
          <w:tcPr>
            <w:tcW w:w="2160" w:type="dxa"/>
            <w:vAlign w:val="center"/>
          </w:tcPr>
          <w:p w14:paraId="487E2A79"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B302EE3"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preserving the ascending branch of the uterine artery during radical trachelectomy is to ensure that the blood supply to the uterine corpus is not compromised. Reduced blood flow can impair the myometrium and endometrium, thereby affecting fertility (such as embryo implantation and maintenance of pregnancy). At the same time, preserving the ascending branch of the uterine artery also maintains communication with the ovarian vessels, safeguarding reproductive function. Specifically: "Reduced blood supply not only affects the myometrium but also the endometrium, and has an impact on pregnancy; therefore, the surgery should consider preserving the ascending branch of the uterine artery to maintain blood supply to the uterine corpus." Thus, the core purpose of this procedure is to support the preservation of postoperative fertility.</w:t>
            </w:r>
          </w:p>
        </w:tc>
        <w:tc>
          <w:tcPr>
            <w:tcW w:w="1152" w:type="dxa"/>
            <w:vAlign w:val="center"/>
          </w:tcPr>
          <w:p w14:paraId="728386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CC5D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D3778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6A7123" w14:textId="77777777">
        <w:tc>
          <w:tcPr>
            <w:tcW w:w="2160" w:type="dxa"/>
            <w:vAlign w:val="center"/>
          </w:tcPr>
          <w:p w14:paraId="281DCC44"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A3212D7"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preserving the ascending branch of the uterine artery during radical trachelectomy is to ensure that the blood supply to the uterine corpus remains unaffected, thereby supporting the health of the endometrium and reproductive function. The document explicitly states:</w:t>
            </w:r>
            <w:r w:rsidRPr="00CB2EC4">
              <w:rPr>
                <w:rFonts w:ascii="Times New Roman" w:hAnsi="Times New Roman" w:cs="Times New Roman"/>
              </w:rPr>
              <w:br/>
              <w:t xml:space="preserve">- Preserving the ascending branch of the uterine artery can prevent endometrial ischemia and necrosis, which </w:t>
            </w:r>
            <w:r w:rsidRPr="00CB2EC4">
              <w:rPr>
                <w:rFonts w:ascii="Times New Roman" w:hAnsi="Times New Roman" w:cs="Times New Roman"/>
              </w:rPr>
              <w:lastRenderedPageBreak/>
              <w:t>would otherwise impair embryo implantation (Figure 7-112).</w:t>
            </w:r>
            <w:r w:rsidRPr="00CB2EC4">
              <w:rPr>
                <w:rFonts w:ascii="Times New Roman" w:hAnsi="Times New Roman" w:cs="Times New Roman"/>
              </w:rPr>
              <w:br/>
              <w:t>- Preservation of the uterine artery ascending branch not only maintains blood supply to the uterine corpus but also ensures communication with the ovarian vessels, which is critical for fertility.</w:t>
            </w:r>
            <w:r w:rsidRPr="00CB2EC4">
              <w:rPr>
                <w:rFonts w:ascii="Times New Roman" w:hAnsi="Times New Roman" w:cs="Times New Roman"/>
              </w:rPr>
              <w:br/>
              <w:t>- Insufficient blood supply may lead to reduced postoperative pregnancy rates or increased risk of miscarriage.</w:t>
            </w:r>
            <w:r w:rsidRPr="00CB2EC4">
              <w:rPr>
                <w:rFonts w:ascii="Times New Roman" w:hAnsi="Times New Roman" w:cs="Times New Roman"/>
              </w:rPr>
              <w:br/>
              <w:t>Therefore, this maneuver is a key step in preserving fertility during radical trachelectomy.</w:t>
            </w:r>
          </w:p>
        </w:tc>
        <w:tc>
          <w:tcPr>
            <w:tcW w:w="1152" w:type="dxa"/>
            <w:vAlign w:val="center"/>
          </w:tcPr>
          <w:p w14:paraId="0E0976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C07A5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C6F2E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F7E661" w14:textId="77777777">
        <w:tc>
          <w:tcPr>
            <w:tcW w:w="2160" w:type="dxa"/>
            <w:vAlign w:val="center"/>
          </w:tcPr>
          <w:p w14:paraId="0E82FB4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1EF5333"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preserving the ascending branch of the uterine artery during radical trachelectomy is to ensure adequate blood supply to the uterine corpus. specific reasons include:</w:t>
            </w:r>
            <w:r w:rsidRPr="00CB2EC4">
              <w:rPr>
                <w:rFonts w:ascii="Times New Roman" w:hAnsi="Times New Roman" w:cs="Times New Roman"/>
              </w:rPr>
              <w:br/>
              <w:t>- maintaining uterine perfusion: resection of the cervix may compromise blood flow to the uterine body if the main trunk of the uterine artery is divided (e.g., above the ureteric tunnel or at the origin of the internal iliac artery), affecting the health of the myometrium and endometrium.</w:t>
            </w:r>
            <w:r w:rsidRPr="00CB2EC4">
              <w:rPr>
                <w:rFonts w:ascii="Times New Roman" w:hAnsi="Times New Roman" w:cs="Times New Roman"/>
              </w:rPr>
              <w:br/>
              <w:t>- preserving reproductive potential: insufficient blood supply may lead to endometrial ischemia and necrosis, impairing embryo implantation and pregnancy maintenance. retaining the ascending branch ensures unimpaired vascular communication between the uterus and ovaries, reducing the risk of postoperative infertility, miscarriage, or preterm birth.</w:t>
            </w:r>
            <w:r w:rsidRPr="00CB2EC4">
              <w:rPr>
                <w:rFonts w:ascii="Times New Roman" w:hAnsi="Times New Roman" w:cs="Times New Roman"/>
              </w:rPr>
              <w:br/>
              <w:t>- simplifying surgical technique: compared to methods involving initial division of the uterine artery followed by anastomosis (which may increase complications), direct preservation of the ascending branch avoids complex vascular reconstruction.</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thus, preserving the ascending branch of the uterine artery aims to optimize postoperative fertility function and quality of life.</w:t>
            </w:r>
          </w:p>
        </w:tc>
        <w:tc>
          <w:tcPr>
            <w:tcW w:w="1152" w:type="dxa"/>
            <w:vAlign w:val="center"/>
          </w:tcPr>
          <w:p w14:paraId="6557A0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DB671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218B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20611F8" w14:textId="77777777">
        <w:tc>
          <w:tcPr>
            <w:tcW w:w="2160" w:type="dxa"/>
            <w:vAlign w:val="center"/>
          </w:tcPr>
          <w:p w14:paraId="614DE71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4A80F24"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preserving the ascending branch of the uterine artery during radical trachelectomy is to ensure adequate blood supply to the uterine corpus, thereby maintaining the health and function of the endometrium to support future pregnancy potential. the documents explicitly state that preserving the ascending branch of the uterine artery prevents ischemia and necrosis of the uterine myometrium and endometrium, which could impair embryo implantation, and ensures that communication with the ovarian vasculature remains unaffected. specifically:</w:t>
            </w:r>
            <w:r w:rsidRPr="00CB2EC4">
              <w:rPr>
                <w:rFonts w:ascii="Times New Roman" w:hAnsi="Times New Roman" w:cs="Times New Roman"/>
              </w:rPr>
              <w:br/>
              <w:t>- the document excerpt (similarity: 0.555) states: "preserving the ascending branch of the uterine artery not only retains the uterine vasculature but also guarantees that communication with the ovarian vasculature is not compromised. reduced blood flow affects not only the myometrium but also the endometrium, impacting pregnancy."</w:t>
            </w:r>
            <w:r w:rsidRPr="00CB2EC4">
              <w:rPr>
                <w:rFonts w:ascii="Times New Roman" w:hAnsi="Times New Roman" w:cs="Times New Roman"/>
              </w:rPr>
              <w:br/>
              <w:t>- additionally, the excerpt (similarity: 0.528) adds: "the rationale for preserving the ascending branch of the uterine artery is to preserve blood supply to the uterine corpus... because its blood supply to the corpus can affect pregnancy; poor perfusion may lead to endometrial ischemia and necrosis, subsequently impairing embryo implantation."</w:t>
            </w:r>
            <w:r w:rsidRPr="00CB2EC4">
              <w:rPr>
                <w:rFonts w:ascii="Times New Roman" w:hAnsi="Times New Roman" w:cs="Times New Roman"/>
              </w:rPr>
              <w:br/>
            </w:r>
            <w:r w:rsidRPr="00CB2EC4">
              <w:rPr>
                <w:rFonts w:ascii="Times New Roman" w:hAnsi="Times New Roman" w:cs="Times New Roman"/>
              </w:rPr>
              <w:br/>
              <w:t>therefore, preserving the ascending branch of the uterine artery aims to optimize fertility preservation and reduce the risk of postoperative infertility or miscarriage.</w:t>
            </w:r>
          </w:p>
        </w:tc>
        <w:tc>
          <w:tcPr>
            <w:tcW w:w="1152" w:type="dxa"/>
            <w:vAlign w:val="center"/>
          </w:tcPr>
          <w:p w14:paraId="3E5996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DE0E6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E547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6E1965E" w14:textId="77777777">
        <w:tc>
          <w:tcPr>
            <w:tcW w:w="2160" w:type="dxa"/>
            <w:vAlign w:val="center"/>
          </w:tcPr>
          <w:p w14:paraId="3DEBFEA8"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21954947"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preserving the ascending branch of the uterine artery during radical trachelectomy is to ensure blood supply to the uterine corpus, maintain endometrial health and embryo implantation capacity, thereby supporting fertility function.</w:t>
            </w:r>
            <w:r w:rsidRPr="00CB2EC4">
              <w:rPr>
                <w:rFonts w:ascii="Times New Roman" w:hAnsi="Times New Roman" w:cs="Times New Roman"/>
              </w:rPr>
              <w:br/>
            </w:r>
            <w:r w:rsidRPr="00CB2EC4">
              <w:rPr>
                <w:rFonts w:ascii="Times New Roman" w:hAnsi="Times New Roman" w:cs="Times New Roman"/>
              </w:rPr>
              <w:br/>
              <w:t>in radical trachelectomy, preserving the ascending branch of the uterine artery primarily aims to avoid ischemia and necrosis of the uterine myometrium and endometrium, reduce adverse effects on pregnancy (such as miscarriage or failed embryo implantation), and simultaneously guarantee vascular communication between the uterus and ovaries to preserve ovarian function and increase the likelihood of successful pregnancy postoperatively (document fragment 1: preserving the ascending branch of the uterine artery not only retains the uterine vasculature but also ensures that communication with ovarian vessels remains unaffected; document fragment 8: preserving blood supply to the uterine corpus... because its blood flow can impact pregnancy; poor perfusion may lead to endometrial ischemia and necrosis, affecting future embryo implantation).</w:t>
            </w:r>
            <w:r w:rsidRPr="00CB2EC4">
              <w:rPr>
                <w:rFonts w:ascii="Times New Roman" w:hAnsi="Times New Roman" w:cs="Times New Roman"/>
              </w:rPr>
              <w:br/>
            </w:r>
            <w:r w:rsidRPr="00CB2EC4">
              <w:rPr>
                <w:rFonts w:ascii="Times New Roman" w:hAnsi="Times New Roman" w:cs="Times New Roman"/>
              </w:rPr>
              <w:br/>
              <w:t>therefore, this procedure is a key step in fertility preservation, especially indicated for young patients with early-stage cervical cancer desiring future childbearing.</w:t>
            </w:r>
          </w:p>
        </w:tc>
        <w:tc>
          <w:tcPr>
            <w:tcW w:w="1152" w:type="dxa"/>
            <w:vAlign w:val="center"/>
          </w:tcPr>
          <w:p w14:paraId="7728F5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6E28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14E6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49C51E" w14:textId="77777777">
        <w:tc>
          <w:tcPr>
            <w:tcW w:w="2160" w:type="dxa"/>
            <w:vAlign w:val="center"/>
          </w:tcPr>
          <w:p w14:paraId="57527E19"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2BC58C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purpose of preserving the ascending branch of the uterine artery during radical trachelectomy is to ensure that the blood supply to the uterine corpus remains unaffected, thereby maintaining normal uterine function and fertility potential. Specifically:  </w:t>
            </w:r>
            <w:r w:rsidRPr="00CB2EC4">
              <w:rPr>
                <w:rFonts w:ascii="Times New Roman" w:hAnsi="Times New Roman" w:cs="Times New Roman"/>
              </w:rPr>
              <w:br/>
              <w:t xml:space="preserve">- Preserving the ascending branch prevents reduced </w:t>
            </w:r>
            <w:r w:rsidRPr="00CB2EC4">
              <w:rPr>
                <w:rFonts w:ascii="Times New Roman" w:hAnsi="Times New Roman" w:cs="Times New Roman"/>
              </w:rPr>
              <w:lastRenderedPageBreak/>
              <w:t xml:space="preserve">perfusion to the myometrium and endometrium, which is critical for sustaining the endometrial environment and supporting future pregnancy.  </w:t>
            </w:r>
            <w:r w:rsidRPr="00CB2EC4">
              <w:rPr>
                <w:rFonts w:ascii="Times New Roman" w:hAnsi="Times New Roman" w:cs="Times New Roman"/>
              </w:rPr>
              <w:br/>
              <w:t xml:space="preserve">- It also maintains vascular communication between the uterus and ovaries, aiding in the preservation of ovarian function and hormone secretion, thus reducing the risk of infertility.  </w:t>
            </w:r>
            <w:r w:rsidRPr="00CB2EC4">
              <w:rPr>
                <w:rFonts w:ascii="Times New Roman" w:hAnsi="Times New Roman" w:cs="Times New Roman"/>
              </w:rPr>
              <w:br/>
              <w:t xml:space="preserve">- Failure to preserve it (e.g., by ligating the main trunk) may result in uterine ischemia, endometrial atrophy, and increased risks of miscarriage, preterm birth, or infertility.  </w:t>
            </w:r>
            <w:r w:rsidRPr="00CB2EC4">
              <w:rPr>
                <w:rFonts w:ascii="Times New Roman" w:hAnsi="Times New Roman" w:cs="Times New Roman"/>
              </w:rPr>
              <w:br/>
              <w:t>Therefore, this step is a key component of functional reconstruction in radical trachelectomy, aimed at improving postoperative fertility outcomes.</w:t>
            </w:r>
          </w:p>
        </w:tc>
        <w:tc>
          <w:tcPr>
            <w:tcW w:w="1152" w:type="dxa"/>
            <w:vAlign w:val="center"/>
          </w:tcPr>
          <w:p w14:paraId="5EA6A0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95565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C15C5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65876B" w14:textId="77777777">
        <w:tc>
          <w:tcPr>
            <w:tcW w:w="2160" w:type="dxa"/>
            <w:vAlign w:val="center"/>
          </w:tcPr>
          <w:p w14:paraId="4B1BB729"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14E80A2" w14:textId="77777777" w:rsidR="00922249" w:rsidRPr="00CB2EC4" w:rsidRDefault="003011D5">
            <w:pPr>
              <w:rPr>
                <w:rFonts w:ascii="Times New Roman" w:hAnsi="Times New Roman" w:cs="Times New Roman"/>
              </w:rPr>
            </w:pPr>
            <w:r w:rsidRPr="00CB2EC4">
              <w:rPr>
                <w:rFonts w:ascii="Times New Roman" w:hAnsi="Times New Roman" w:cs="Times New Roman"/>
              </w:rPr>
              <w:t>the purpose of preserving the ascending branch of the uterine artery during radical trachelectomy is to maintain blood supply to the uterine corpus, thereby protecting endometrial and myometrial function to preserve the patient's fertility potential (e.g., future pregnancy capability). this is based on surgical anatomical principles aimed at reducing the risk of uterine ischemic injury.</w:t>
            </w:r>
          </w:p>
        </w:tc>
        <w:tc>
          <w:tcPr>
            <w:tcW w:w="1152" w:type="dxa"/>
            <w:vAlign w:val="center"/>
          </w:tcPr>
          <w:p w14:paraId="3BA967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E3FB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1315A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0691E31" w14:textId="77777777">
        <w:tc>
          <w:tcPr>
            <w:tcW w:w="10656" w:type="dxa"/>
            <w:gridSpan w:val="5"/>
            <w:tcBorders>
              <w:bottom w:val="single" w:sz="6" w:space="0" w:color="auto"/>
            </w:tcBorders>
            <w:vAlign w:val="center"/>
          </w:tcPr>
          <w:p w14:paraId="1B08EC97"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172: Please briefly describe the steps for managing the uterosacral ligaments during an abdominal radical trachelectomy.</w:t>
            </w:r>
          </w:p>
        </w:tc>
      </w:tr>
      <w:tr w:rsidR="00922249" w:rsidRPr="00CB2EC4" w14:paraId="00F4CC07" w14:textId="77777777">
        <w:tc>
          <w:tcPr>
            <w:tcW w:w="2160" w:type="dxa"/>
            <w:vAlign w:val="center"/>
          </w:tcPr>
          <w:p w14:paraId="1BB826A1"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2AEA66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steps for handling the uterosacral ligaments during abdominal radical trachelectomy are as follows:  </w:t>
            </w:r>
            <w:r w:rsidRPr="00CB2EC4">
              <w:rPr>
                <w:rFonts w:ascii="Times New Roman" w:hAnsi="Times New Roman" w:cs="Times New Roman"/>
              </w:rPr>
              <w:br/>
              <w:t xml:space="preserve">1.  Dissect the rectal lateral space: Open the right rectal lateral space (with the ureter laterally) to expose the area of the uterosacral ligament; repeat the same process on the left side.  </w:t>
            </w:r>
            <w:r w:rsidRPr="00CB2EC4">
              <w:rPr>
                <w:rFonts w:ascii="Times New Roman" w:hAnsi="Times New Roman" w:cs="Times New Roman"/>
              </w:rPr>
              <w:br/>
              <w:t xml:space="preserve">2.  Dissect the rectovaginal space: Incise the peritoneum at the uterorectal pouch and bluntly dissect the rectovaginal space to fully expose the </w:t>
            </w:r>
            <w:r w:rsidRPr="00CB2EC4">
              <w:rPr>
                <w:rFonts w:ascii="Times New Roman" w:hAnsi="Times New Roman" w:cs="Times New Roman"/>
              </w:rPr>
              <w:lastRenderedPageBreak/>
              <w:t xml:space="preserve">medial margin of the uterosacral ligament.  </w:t>
            </w:r>
            <w:r w:rsidRPr="00CB2EC4">
              <w:rPr>
                <w:rFonts w:ascii="Times New Roman" w:hAnsi="Times New Roman" w:cs="Times New Roman"/>
              </w:rPr>
              <w:br/>
              <w:t xml:space="preserve">3.  Resect the uterosacral ligaments:  </w:t>
            </w:r>
            <w:r w:rsidRPr="00CB2EC4">
              <w:rPr>
                <w:rFonts w:ascii="Times New Roman" w:hAnsi="Times New Roman" w:cs="Times New Roman"/>
              </w:rPr>
              <w:br/>
              <w:t xml:space="preserve">   -   The uterosacral ligament is divided into superficial and deep layers.  </w:t>
            </w:r>
            <w:r w:rsidRPr="00CB2EC4">
              <w:rPr>
                <w:rFonts w:ascii="Times New Roman" w:hAnsi="Times New Roman" w:cs="Times New Roman"/>
              </w:rPr>
              <w:br/>
              <w:t xml:space="preserve">   -   Begin with the right side: Expose the superficial layer, clamp with a hemostat, coagulate with electrocautery, and ligate with 7-0 silk suture; then expose the deep layer and repeat the clamping, coagulation, and ligation.  </w:t>
            </w:r>
            <w:r w:rsidRPr="00CB2EC4">
              <w:rPr>
                <w:rFonts w:ascii="Times New Roman" w:hAnsi="Times New Roman" w:cs="Times New Roman"/>
              </w:rPr>
              <w:br/>
              <w:t xml:space="preserve">   -   Perform the same procedure on the left side for both the superficial and deep layers of the uterosacral ligament.  </w:t>
            </w:r>
            <w:r w:rsidRPr="00CB2EC4">
              <w:rPr>
                <w:rFonts w:ascii="Times New Roman" w:hAnsi="Times New Roman" w:cs="Times New Roman"/>
              </w:rPr>
              <w:br/>
              <w:t xml:space="preserve">   -   Retain the suture on the deep layer stump for subsequent functional reconstruction.</w:t>
            </w:r>
          </w:p>
        </w:tc>
        <w:tc>
          <w:tcPr>
            <w:tcW w:w="1152" w:type="dxa"/>
            <w:vAlign w:val="center"/>
          </w:tcPr>
          <w:p w14:paraId="0131EA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087A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4AF0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2D0099C" w14:textId="77777777">
        <w:tc>
          <w:tcPr>
            <w:tcW w:w="2160" w:type="dxa"/>
            <w:vAlign w:val="center"/>
          </w:tcPr>
          <w:p w14:paraId="4A43D5A6"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768287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handling steps of the uterosacral ligament (sacrouterine ligament) during abdominal radical trachelectomy are as follows (Fragment 7):  </w:t>
            </w:r>
            <w:r w:rsidRPr="00CB2EC4">
              <w:rPr>
                <w:rFonts w:ascii="Times New Roman" w:hAnsi="Times New Roman" w:cs="Times New Roman"/>
              </w:rPr>
              <w:br/>
              <w:t xml:space="preserve">1. Dissection of the rectal lateral space:  </w:t>
            </w:r>
            <w:r w:rsidRPr="00CB2EC4">
              <w:rPr>
                <w:rFonts w:ascii="Times New Roman" w:hAnsi="Times New Roman" w:cs="Times New Roman"/>
              </w:rPr>
              <w:br/>
              <w:t xml:space="preserve">   - Open the right rectal lateral space, with the ureter laterally; preserve the inferior hypogastric plexus 1 cm below the ureter.  </w:t>
            </w:r>
            <w:r w:rsidRPr="00CB2EC4">
              <w:rPr>
                <w:rFonts w:ascii="Times New Roman" w:hAnsi="Times New Roman" w:cs="Times New Roman"/>
              </w:rPr>
              <w:br/>
              <w:t xml:space="preserve">   - Repeat the same procedure on the left side; resect part of the peritoneum to expose the infundibulopelvic ligament and the ureter.  </w:t>
            </w:r>
            <w:r w:rsidRPr="00CB2EC4">
              <w:rPr>
                <w:rFonts w:ascii="Times New Roman" w:hAnsi="Times New Roman" w:cs="Times New Roman"/>
              </w:rPr>
              <w:br/>
              <w:t xml:space="preserve">2. Dissection of the rectovaginal space:  </w:t>
            </w:r>
            <w:r w:rsidRPr="00CB2EC4">
              <w:rPr>
                <w:rFonts w:ascii="Times New Roman" w:hAnsi="Times New Roman" w:cs="Times New Roman"/>
              </w:rPr>
              <w:br/>
              <w:t xml:space="preserve">   - Incise the peritoneum at the rectouterine pouch using electrocautery; bluntly dissect the loose tissue between the rectum and vagina.  </w:t>
            </w:r>
            <w:r w:rsidRPr="00CB2EC4">
              <w:rPr>
                <w:rFonts w:ascii="Times New Roman" w:hAnsi="Times New Roman" w:cs="Times New Roman"/>
              </w:rPr>
              <w:br/>
              <w:t xml:space="preserve">   - Ensure adequate exposure of the uterosacral ligament base to facilitate subsequent resection.</w:t>
            </w:r>
          </w:p>
        </w:tc>
        <w:tc>
          <w:tcPr>
            <w:tcW w:w="1152" w:type="dxa"/>
            <w:vAlign w:val="center"/>
          </w:tcPr>
          <w:p w14:paraId="61E5E0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AE49A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F0EB8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9296396" w14:textId="77777777">
        <w:tc>
          <w:tcPr>
            <w:tcW w:w="2160" w:type="dxa"/>
            <w:vAlign w:val="center"/>
          </w:tcPr>
          <w:p w14:paraId="720D7F0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AD0570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Expose the uterosacral ligament:  </w:t>
            </w:r>
            <w:r w:rsidRPr="00CB2EC4">
              <w:rPr>
                <w:rFonts w:ascii="Times New Roman" w:hAnsi="Times New Roman" w:cs="Times New Roman"/>
              </w:rPr>
              <w:br/>
              <w:t xml:space="preserve">   - Dissect the rectovaginal space and pararectal fossa to expose the medial and lateral margins of the </w:t>
            </w:r>
            <w:r w:rsidRPr="00CB2EC4">
              <w:rPr>
                <w:rFonts w:ascii="Times New Roman" w:hAnsi="Times New Roman" w:cs="Times New Roman"/>
              </w:rPr>
              <w:lastRenderedPageBreak/>
              <w:t xml:space="preserve">uterosacral ligament (Fragment 4, 13).  </w:t>
            </w:r>
            <w:r w:rsidRPr="00CB2EC4">
              <w:rPr>
                <w:rFonts w:ascii="Times New Roman" w:hAnsi="Times New Roman" w:cs="Times New Roman"/>
              </w:rPr>
              <w:br/>
              <w:t xml:space="preserve">   - Anteflex and elevate the uterus using retractors (e.g., vaginal weighted retractor) to visualize the surgical field (Fragment 13, 21).  </w:t>
            </w:r>
            <w:r w:rsidRPr="00CB2EC4">
              <w:rPr>
                <w:rFonts w:ascii="Times New Roman" w:hAnsi="Times New Roman" w:cs="Times New Roman"/>
              </w:rPr>
              <w:br/>
              <w:t xml:space="preserve">2. Dissect the ligament:  </w:t>
            </w:r>
            <w:r w:rsidRPr="00CB2EC4">
              <w:rPr>
                <w:rFonts w:ascii="Times New Roman" w:hAnsi="Times New Roman" w:cs="Times New Roman"/>
              </w:rPr>
              <w:br/>
              <w:t xml:space="preserve">   - The uterosacral ligament is typically divided into superficial and deep layers. First address the superficial layer: bluntly dissect the pararectal fossa with scissors or fingers along the lateral margin of the uterosacral ligament (Fragment 4, 10).  </w:t>
            </w:r>
            <w:r w:rsidRPr="00CB2EC4">
              <w:rPr>
                <w:rFonts w:ascii="Times New Roman" w:hAnsi="Times New Roman" w:cs="Times New Roman"/>
              </w:rPr>
              <w:br/>
              <w:t xml:space="preserve">   - Assistant displaces the ureter laterally using curved dissectors to prevent injury (Fragment 20).  </w:t>
            </w:r>
            <w:r w:rsidRPr="00CB2EC4">
              <w:rPr>
                <w:rFonts w:ascii="Times New Roman" w:hAnsi="Times New Roman" w:cs="Times New Roman"/>
              </w:rPr>
              <w:br/>
              <w:t xml:space="preserve">3. Divide the ligament:  </w:t>
            </w:r>
            <w:r w:rsidRPr="00CB2EC4">
              <w:rPr>
                <w:rFonts w:ascii="Times New Roman" w:hAnsi="Times New Roman" w:cs="Times New Roman"/>
              </w:rPr>
              <w:br/>
              <w:t xml:space="preserve">   - Clamp the uterosacral ligament (superficial and deep layers) in 2–3 cm segments from the cervix (Fragment 13, 20, 26).  </w:t>
            </w:r>
            <w:r w:rsidRPr="00CB2EC4">
              <w:rPr>
                <w:rFonts w:ascii="Times New Roman" w:hAnsi="Times New Roman" w:cs="Times New Roman"/>
              </w:rPr>
              <w:br/>
              <w:t xml:space="preserve">   - Transect the ligament using electrocautery, ultrasonic scalpel, or a vessel sealing device (Fragment 4, 20, 21). The extent of resection is typically 1/2 to 2/3 of the ligament, adjusted based on tumor size (e.g., resect 1/2 if tumor diameter &lt; 2 cm; Fragment 4, 35).  </w:t>
            </w:r>
            <w:r w:rsidRPr="00CB2EC4">
              <w:rPr>
                <w:rFonts w:ascii="Times New Roman" w:hAnsi="Times New Roman" w:cs="Times New Roman"/>
              </w:rPr>
              <w:br/>
              <w:t xml:space="preserve">4. Suture and ligate the stump:  </w:t>
            </w:r>
            <w:r w:rsidRPr="00CB2EC4">
              <w:rPr>
                <w:rFonts w:ascii="Times New Roman" w:hAnsi="Times New Roman" w:cs="Times New Roman"/>
              </w:rPr>
              <w:br/>
              <w:t xml:space="preserve">   - Secure the cut end with 7-0 silk or 0-Vicryl suture for hemostasis (Fragment 4, 10, 25). Deep layer sutures may be retained for subsequent reconstruction (Fragment 4).  </w:t>
            </w:r>
            <w:r w:rsidRPr="00CB2EC4">
              <w:rPr>
                <w:rFonts w:ascii="Times New Roman" w:hAnsi="Times New Roman" w:cs="Times New Roman"/>
              </w:rPr>
              <w:br/>
              <w:t xml:space="preserve">5. Repeat on the contralateral side:  </w:t>
            </w:r>
            <w:r w:rsidRPr="00CB2EC4">
              <w:rPr>
                <w:rFonts w:ascii="Times New Roman" w:hAnsi="Times New Roman" w:cs="Times New Roman"/>
              </w:rPr>
              <w:br/>
              <w:t xml:space="preserve">   - Apply the same technique to the left uterosacral ligament (Fragment 4).  </w:t>
            </w:r>
            <w:r w:rsidRPr="00CB2EC4">
              <w:rPr>
                <w:rFonts w:ascii="Times New Roman" w:hAnsi="Times New Roman" w:cs="Times New Roman"/>
              </w:rPr>
              <w:br/>
              <w:t>Preservation of nerves (e.g., inferior hypogastric plexus) and avoidance of ureteral injury are emphasized throughout the procedure (Fragment 7).</w:t>
            </w:r>
          </w:p>
        </w:tc>
        <w:tc>
          <w:tcPr>
            <w:tcW w:w="1152" w:type="dxa"/>
            <w:vAlign w:val="center"/>
          </w:tcPr>
          <w:p w14:paraId="75A7E6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53E2F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C211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BD4209" w14:textId="77777777">
        <w:tc>
          <w:tcPr>
            <w:tcW w:w="2160" w:type="dxa"/>
            <w:vAlign w:val="center"/>
          </w:tcPr>
          <w:p w14:paraId="63DE3F0B"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602562C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handling steps of the sacrouterine ligament during </w:t>
            </w:r>
            <w:r w:rsidRPr="00CB2EC4">
              <w:rPr>
                <w:rFonts w:ascii="Times New Roman" w:hAnsi="Times New Roman" w:cs="Times New Roman"/>
              </w:rPr>
              <w:lastRenderedPageBreak/>
              <w:t>radical abdominal trachelectomy are as follows:</w:t>
            </w:r>
            <w:r w:rsidRPr="00CB2EC4">
              <w:rPr>
                <w:rFonts w:ascii="Times New Roman" w:hAnsi="Times New Roman" w:cs="Times New Roman"/>
              </w:rPr>
              <w:br/>
            </w:r>
            <w:r w:rsidRPr="00CB2EC4">
              <w:rPr>
                <w:rFonts w:ascii="Times New Roman" w:hAnsi="Times New Roman" w:cs="Times New Roman"/>
              </w:rPr>
              <w:br/>
              <w:t>1. Dissection of the rectal lateral space:</w:t>
            </w:r>
            <w:r w:rsidRPr="00CB2EC4">
              <w:rPr>
                <w:rFonts w:ascii="Times New Roman" w:hAnsi="Times New Roman" w:cs="Times New Roman"/>
              </w:rPr>
              <w:br/>
              <w:t xml:space="preserve">   - Open the right rectal lateral space, with the ureter laterally; preserve the inferior hypogastric plexus (Figure 7-103).</w:t>
            </w:r>
            <w:r w:rsidRPr="00CB2EC4">
              <w:rPr>
                <w:rFonts w:ascii="Times New Roman" w:hAnsi="Times New Roman" w:cs="Times New Roman"/>
              </w:rPr>
              <w:br/>
              <w:t xml:space="preserve">   - Repeat the same procedure on the left side, resecting part of the peritoneum (Document 1, surgical procedure section).</w:t>
            </w:r>
            <w:r w:rsidRPr="00CB2EC4">
              <w:rPr>
                <w:rFonts w:ascii="Times New Roman" w:hAnsi="Times New Roman" w:cs="Times New Roman"/>
              </w:rPr>
              <w:br/>
            </w:r>
            <w:r w:rsidRPr="00CB2EC4">
              <w:rPr>
                <w:rFonts w:ascii="Times New Roman" w:hAnsi="Times New Roman" w:cs="Times New Roman"/>
              </w:rPr>
              <w:br/>
              <w:t>2. Dissection of the rectovaginal space:</w:t>
            </w:r>
            <w:r w:rsidRPr="00CB2EC4">
              <w:rPr>
                <w:rFonts w:ascii="Times New Roman" w:hAnsi="Times New Roman" w:cs="Times New Roman"/>
              </w:rPr>
              <w:br/>
              <w:t xml:space="preserve">   - Incise the peritoneum at the rectouterine fold using electrocautery, then bluntly dissect the rectovaginal space down to the level of the cervix (Figure 7-104) (Document 1).</w:t>
            </w:r>
            <w:r w:rsidRPr="00CB2EC4">
              <w:rPr>
                <w:rFonts w:ascii="Times New Roman" w:hAnsi="Times New Roman" w:cs="Times New Roman"/>
              </w:rPr>
              <w:br/>
            </w:r>
            <w:r w:rsidRPr="00CB2EC4">
              <w:rPr>
                <w:rFonts w:ascii="Times New Roman" w:hAnsi="Times New Roman" w:cs="Times New Roman"/>
              </w:rPr>
              <w:br/>
              <w:t>- In QM classification surgery, emphasis is placed on preserving pelvic autonomic nerves by identifying and protecting the hypogastric nerve within the rectal lateral space (Online Document 5).</w:t>
            </w:r>
            <w:r w:rsidRPr="00CB2EC4">
              <w:rPr>
                <w:rFonts w:ascii="Times New Roman" w:hAnsi="Times New Roman" w:cs="Times New Roman"/>
              </w:rPr>
              <w:br/>
            </w:r>
            <w:r w:rsidRPr="00CB2EC4">
              <w:rPr>
                <w:rFonts w:ascii="Times New Roman" w:hAnsi="Times New Roman" w:cs="Times New Roman"/>
              </w:rPr>
              <w:br/>
              <w:t>Summary of sacrouterine ligament management:</w:t>
            </w:r>
            <w:r w:rsidRPr="00CB2EC4">
              <w:rPr>
                <w:rFonts w:ascii="Times New Roman" w:hAnsi="Times New Roman" w:cs="Times New Roman"/>
              </w:rPr>
              <w:br/>
              <w:t>1. Dissect the rectal lateral space: expose the ureter and inferior hypogastric plexus, preserve the nerve bundles.</w:t>
            </w:r>
            <w:r w:rsidRPr="00CB2EC4">
              <w:rPr>
                <w:rFonts w:ascii="Times New Roman" w:hAnsi="Times New Roman" w:cs="Times New Roman"/>
              </w:rPr>
              <w:br/>
              <w:t>2. Open the rectovaginal space: incise the rectouterine peritoneal fold, bluntly dissect to the cervical level, ensure the ligament is fully mobilized before resection (Knowledge Base Document 1, Online Document 5).</w:t>
            </w:r>
          </w:p>
        </w:tc>
        <w:tc>
          <w:tcPr>
            <w:tcW w:w="1152" w:type="dxa"/>
            <w:vAlign w:val="center"/>
          </w:tcPr>
          <w:p w14:paraId="154A9D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A8ABB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73509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14774F9" w14:textId="77777777">
        <w:tc>
          <w:tcPr>
            <w:tcW w:w="2160" w:type="dxa"/>
            <w:vAlign w:val="center"/>
          </w:tcPr>
          <w:p w14:paraId="0F9B5A38"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5E0CF1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Dissection of the pararectal space: Open the right pararectal space to expose the ureter while preserving the hypogastric nerve plexus; repeat the same procedure on the left side.  </w:t>
            </w:r>
            <w:r w:rsidRPr="00CB2EC4">
              <w:rPr>
                <w:rFonts w:ascii="Times New Roman" w:hAnsi="Times New Roman" w:cs="Times New Roman"/>
              </w:rPr>
              <w:br/>
              <w:t xml:space="preserve">2. Dissection of the rectovaginal space: Use an </w:t>
            </w:r>
            <w:r w:rsidRPr="00CB2EC4">
              <w:rPr>
                <w:rFonts w:ascii="Times New Roman" w:hAnsi="Times New Roman" w:cs="Times New Roman"/>
              </w:rPr>
              <w:lastRenderedPageBreak/>
              <w:t xml:space="preserve">electrocautery knife to incise the peritoneal reflection of the rectouterine pouch at the rectouterine excavation, followed by blunt finger dissection of the rectovaginal space.  </w:t>
            </w:r>
            <w:r w:rsidRPr="00CB2EC4">
              <w:rPr>
                <w:rFonts w:ascii="Times New Roman" w:hAnsi="Times New Roman" w:cs="Times New Roman"/>
              </w:rPr>
              <w:br/>
              <w:t>3. Resection of the uterosacral ligament: Depending on the surgical extent required, partially resect the uterosacral ligament (typically removing 1/2 or more). This step aims to safely expose and manage the ligament while avoiding injury to adjacent structures such as the ureter and rectum.</w:t>
            </w:r>
          </w:p>
        </w:tc>
        <w:tc>
          <w:tcPr>
            <w:tcW w:w="1152" w:type="dxa"/>
            <w:vAlign w:val="center"/>
          </w:tcPr>
          <w:p w14:paraId="2C7485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D4201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312A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022BE67" w14:textId="77777777">
        <w:tc>
          <w:tcPr>
            <w:tcW w:w="2160" w:type="dxa"/>
            <w:vAlign w:val="center"/>
          </w:tcPr>
          <w:p w14:paraId="3D5F4FDF"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C87E89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Dissect the rectal lateral space: On the right side, open the rectal lateral space with the ureter as the lateral boundary. During the procedure, identify and preserve the inferior hypogastric plexus (located 1 cm lateral and inferior to the ureter) to avoid injury. On the left side, similarly open the rectal lateral space by closely following the peritoneum, dissect the ureter, and resect a portion of the peritoneum.  </w:t>
            </w:r>
            <w:r w:rsidRPr="00CB2EC4">
              <w:rPr>
                <w:rFonts w:ascii="Times New Roman" w:hAnsi="Times New Roman" w:cs="Times New Roman"/>
              </w:rPr>
              <w:br/>
              <w:t xml:space="preserve">2. Dissect the rectovaginal space: Incise the peritoneal reflection at the uterorectal pouch using electrocautery, then perform blunt dissection of the rectovaginal space (using fingers or instruments) to ensure adequate exposure of the uterosacral ligament region.  </w:t>
            </w:r>
            <w:r w:rsidRPr="00CB2EC4">
              <w:rPr>
                <w:rFonts w:ascii="Times New Roman" w:hAnsi="Times New Roman" w:cs="Times New Roman"/>
              </w:rPr>
              <w:br/>
              <w:t>3. Divide the uterosacral ligaments: After exposure, transect the uterosacral ligaments near the sacral end (typically resecting a segment; the exact length is adjusted based on tumor extent) to achieve wide resection of parametrial tissue. The procedure requires careful execution to preserve nerves and minimize complications.</w:t>
            </w:r>
          </w:p>
        </w:tc>
        <w:tc>
          <w:tcPr>
            <w:tcW w:w="1152" w:type="dxa"/>
            <w:vAlign w:val="center"/>
          </w:tcPr>
          <w:p w14:paraId="54F1D2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1BB7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5579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7D4433" w14:textId="77777777">
        <w:tc>
          <w:tcPr>
            <w:tcW w:w="2160" w:type="dxa"/>
            <w:vAlign w:val="center"/>
          </w:tcPr>
          <w:p w14:paraId="6FEF30E9"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6343D0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steps for handling the uterosacral ligaments during abdominal radical trachelectomy are as </w:t>
            </w:r>
            <w:r w:rsidRPr="00CB2EC4">
              <w:rPr>
                <w:rFonts w:ascii="Times New Roman" w:hAnsi="Times New Roman" w:cs="Times New Roman"/>
              </w:rPr>
              <w:lastRenderedPageBreak/>
              <w:t xml:space="preserve">follows:  </w:t>
            </w:r>
            <w:r w:rsidRPr="00CB2EC4">
              <w:rPr>
                <w:rFonts w:ascii="Times New Roman" w:hAnsi="Times New Roman" w:cs="Times New Roman"/>
              </w:rPr>
              <w:br/>
              <w:t xml:space="preserve">1.  Dissect the rectal lateral space: Lateral to the uterosacral ligaments, use dissecting scissors or fingers to open the rectal lateral space, exposing the ureter and the inferior hypogastric plexus; preserve the nerves.  </w:t>
            </w:r>
            <w:r w:rsidRPr="00CB2EC4">
              <w:rPr>
                <w:rFonts w:ascii="Times New Roman" w:hAnsi="Times New Roman" w:cs="Times New Roman"/>
              </w:rPr>
              <w:br/>
              <w:t xml:space="preserve">2.  Dissect the rectovaginal space: Incise the peritoneum at the uterorectal pouch, and bluntly dissect the space (Figure 7-104).  </w:t>
            </w:r>
            <w:r w:rsidRPr="00CB2EC4">
              <w:rPr>
                <w:rFonts w:ascii="Times New Roman" w:hAnsi="Times New Roman" w:cs="Times New Roman"/>
              </w:rPr>
              <w:br/>
              <w:t xml:space="preserve">3.  Resect the uterosacral ligaments:  </w:t>
            </w:r>
            <w:r w:rsidRPr="00CB2EC4">
              <w:rPr>
                <w:rFonts w:ascii="Times New Roman" w:hAnsi="Times New Roman" w:cs="Times New Roman"/>
              </w:rPr>
              <w:br/>
              <w:t xml:space="preserve">   -  Perform resection in superficial and deep layers.  </w:t>
            </w:r>
            <w:r w:rsidRPr="00CB2EC4">
              <w:rPr>
                <w:rFonts w:ascii="Times New Roman" w:hAnsi="Times New Roman" w:cs="Times New Roman"/>
              </w:rPr>
              <w:br/>
              <w:t xml:space="preserve">   -  Superficial layer: Clamp, then coagulate and divide with electrocautery; suture-ligate with 7-0 silk thread.  </w:t>
            </w:r>
            <w:r w:rsidRPr="00CB2EC4">
              <w:rPr>
                <w:rFonts w:ascii="Times New Roman" w:hAnsi="Times New Roman" w:cs="Times New Roman"/>
              </w:rPr>
              <w:br/>
              <w:t xml:space="preserve">   -  Deep layer: Resect and suture-ligate using the same method; retain the suture for subsequent functional reconstruction (Figure 7-105).  </w:t>
            </w:r>
            <w:r w:rsidRPr="00CB2EC4">
              <w:rPr>
                <w:rFonts w:ascii="Times New Roman" w:hAnsi="Times New Roman" w:cs="Times New Roman"/>
              </w:rPr>
              <w:br/>
              <w:t xml:space="preserve">   -  If tumor diameter &lt; 2 cm, only 1/2 of the uterosacral ligament needs to be resected (HyDE similarity 0.550).</w:t>
            </w:r>
          </w:p>
        </w:tc>
        <w:tc>
          <w:tcPr>
            <w:tcW w:w="1152" w:type="dxa"/>
            <w:vAlign w:val="center"/>
          </w:tcPr>
          <w:p w14:paraId="5D15FC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F7355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6A943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047AB0" w14:textId="77777777">
        <w:tc>
          <w:tcPr>
            <w:tcW w:w="2160" w:type="dxa"/>
            <w:vAlign w:val="center"/>
          </w:tcPr>
          <w:p w14:paraId="1EAE3EA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DA67C9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Dissection of the pararectal space: Open the right and left pararectal spaces lateral to the ureter to expose the ureter and the inferior hypogastric plexus, preserving the nerves to avoid functional impairment.  </w:t>
            </w:r>
            <w:r w:rsidRPr="00CB2EC4">
              <w:rPr>
                <w:rFonts w:ascii="Times New Roman" w:hAnsi="Times New Roman" w:cs="Times New Roman"/>
              </w:rPr>
              <w:br/>
              <w:t xml:space="preserve">2. Dissection of the rectovaginal space: Use an electrocautery knife to incise the peritoneal reflection of the rectouterine pouch at the cul-de-sac, followed by blunt dissection of the rectovaginal space to fully expose the uterosacral ligament area.  </w:t>
            </w:r>
            <w:r w:rsidRPr="00CB2EC4">
              <w:rPr>
                <w:rFonts w:ascii="Times New Roman" w:hAnsi="Times New Roman" w:cs="Times New Roman"/>
              </w:rPr>
              <w:br/>
              <w:t xml:space="preserve">3. Resection of the uterosacral ligament: Remove approximately 1/2 of the uterosacral ligament (as shown in Figure 7-8 of Fragment 2), ensuring adequate resection margins for tumor eradication while avoiding excessive damage.  </w:t>
            </w:r>
            <w:r w:rsidRPr="00CB2EC4">
              <w:rPr>
                <w:rFonts w:ascii="Times New Roman" w:hAnsi="Times New Roman" w:cs="Times New Roman"/>
              </w:rPr>
              <w:br/>
            </w:r>
            <w:r w:rsidRPr="00CB2EC4">
              <w:rPr>
                <w:rFonts w:ascii="Times New Roman" w:hAnsi="Times New Roman" w:cs="Times New Roman"/>
              </w:rPr>
              <w:lastRenderedPageBreak/>
              <w:t>These steps aim to safely remove diseased tissue while preserving the function of surrounding structures (such as the ureter and nerves).</w:t>
            </w:r>
          </w:p>
        </w:tc>
        <w:tc>
          <w:tcPr>
            <w:tcW w:w="1152" w:type="dxa"/>
            <w:vAlign w:val="center"/>
          </w:tcPr>
          <w:p w14:paraId="170754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F4B08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9937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ED2B702" w14:textId="77777777">
        <w:tc>
          <w:tcPr>
            <w:tcW w:w="2160" w:type="dxa"/>
            <w:vAlign w:val="center"/>
          </w:tcPr>
          <w:p w14:paraId="1FE36CC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2D01881" w14:textId="77777777" w:rsidR="00922249" w:rsidRPr="00CB2EC4" w:rsidRDefault="003011D5">
            <w:pPr>
              <w:rPr>
                <w:rFonts w:ascii="Times New Roman" w:hAnsi="Times New Roman" w:cs="Times New Roman"/>
              </w:rPr>
            </w:pPr>
            <w:r w:rsidRPr="00CB2EC4">
              <w:rPr>
                <w:rFonts w:ascii="Times New Roman" w:hAnsi="Times New Roman" w:cs="Times New Roman"/>
              </w:rPr>
              <w:t>- Dissection of the rectolateral space: First, open the rectolateral space (Figure 7-103). The lateral boundary is the ureter, which must be carefully dissected to avoid injury to the ureter and the inferior hypogastric plexus.</w:t>
            </w:r>
            <w:r w:rsidRPr="00CB2EC4">
              <w:rPr>
                <w:rFonts w:ascii="Times New Roman" w:hAnsi="Times New Roman" w:cs="Times New Roman"/>
              </w:rPr>
              <w:br/>
              <w:t>- Dissection of the rectovaginal space: Incise the peritoneum at the uterorectal pouch using electrocautery (Figure 7-104), then bluntly dissect the rectovaginal space with fingers to expose the uterosacral ligaments.</w:t>
            </w:r>
            <w:r w:rsidRPr="00CB2EC4">
              <w:rPr>
                <w:rFonts w:ascii="Times New Roman" w:hAnsi="Times New Roman" w:cs="Times New Roman"/>
              </w:rPr>
              <w:br/>
              <w:t>- Resection of the uterosacral ligaments: The assistant uses curved dissecting forceps to gently retract the ureter laterally. The uterosacral ligaments are then divided with an ultrasonic device approximately 3 cm from the cervix, typically resecting 2/3 of their length (as stated: "resect 2/3 of the uterosacral ligament near the sacrum").</w:t>
            </w:r>
            <w:r w:rsidRPr="00CB2EC4">
              <w:rPr>
                <w:rFonts w:ascii="Times New Roman" w:hAnsi="Times New Roman" w:cs="Times New Roman"/>
              </w:rPr>
              <w:br/>
              <w:t>This procedure aims to achieve wide resection of parametrial tissue while preserving nerves and reducing complications.</w:t>
            </w:r>
          </w:p>
        </w:tc>
        <w:tc>
          <w:tcPr>
            <w:tcW w:w="1152" w:type="dxa"/>
            <w:vAlign w:val="center"/>
          </w:tcPr>
          <w:p w14:paraId="3448F8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E6DBA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29D12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BD710C" w14:textId="77777777">
        <w:tc>
          <w:tcPr>
            <w:tcW w:w="2160" w:type="dxa"/>
            <w:vAlign w:val="center"/>
          </w:tcPr>
          <w:p w14:paraId="54C3AEA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21129B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Dissect relevant spaces: First, dissect the space between the posterior vaginal wall and the anterior rectal wall, as well as the rectal lateral fossa and bladder lateral fossa, to fully expose the area of the uterosacral ligaments.  </w:t>
            </w:r>
            <w:r w:rsidRPr="00CB2EC4">
              <w:rPr>
                <w:rFonts w:ascii="Times New Roman" w:hAnsi="Times New Roman" w:cs="Times New Roman"/>
              </w:rPr>
              <w:br/>
              <w:t xml:space="preserve">2. Resect the uterosacral ligaments: Clamp, cut, and suture-ligate the uterosacral ligaments (uterosacral ligaments) approximately 2 cm from the cervix. Care must be taken during the procedure to avoid injury to adjacent structures such as the ureters.  </w:t>
            </w:r>
            <w:r w:rsidRPr="00CB2EC4">
              <w:rPr>
                <w:rFonts w:ascii="Times New Roman" w:hAnsi="Times New Roman" w:cs="Times New Roman"/>
              </w:rPr>
              <w:br/>
            </w:r>
            <w:r w:rsidRPr="00CB2EC4">
              <w:rPr>
                <w:rFonts w:ascii="Times New Roman" w:hAnsi="Times New Roman" w:cs="Times New Roman"/>
              </w:rPr>
              <w:lastRenderedPageBreak/>
              <w:t xml:space="preserve">3. Integrate with other steps: This step is usually performed synchronously with the management of the cardinal ligaments and paravaginal tissues to ensure adequate resection margins (e.g., resection of parametrial tissue close to the pelvic wall).  </w:t>
            </w:r>
            <w:r w:rsidRPr="00CB2EC4">
              <w:rPr>
                <w:rFonts w:ascii="Times New Roman" w:hAnsi="Times New Roman" w:cs="Times New Roman"/>
              </w:rPr>
              <w:br/>
            </w:r>
            <w:r w:rsidRPr="00CB2EC4">
              <w:rPr>
                <w:rFonts w:ascii="Times New Roman" w:hAnsi="Times New Roman" w:cs="Times New Roman"/>
              </w:rPr>
              <w:br/>
              <w:t>The process emphasizes precise anatomical dissection to minimize complications, such as ureteral injury.</w:t>
            </w:r>
          </w:p>
        </w:tc>
        <w:tc>
          <w:tcPr>
            <w:tcW w:w="1152" w:type="dxa"/>
            <w:vAlign w:val="center"/>
          </w:tcPr>
          <w:p w14:paraId="177A4F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A577B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926D4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26307C3" w14:textId="77777777">
        <w:tc>
          <w:tcPr>
            <w:tcW w:w="2160" w:type="dxa"/>
            <w:vAlign w:val="center"/>
          </w:tcPr>
          <w:p w14:paraId="5BA686E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E92A9A3" w14:textId="77777777" w:rsidR="00922249" w:rsidRPr="00CB2EC4" w:rsidRDefault="003011D5">
            <w:pPr>
              <w:rPr>
                <w:rFonts w:ascii="Times New Roman" w:hAnsi="Times New Roman" w:cs="Times New Roman"/>
              </w:rPr>
            </w:pPr>
            <w:r w:rsidRPr="00CB2EC4">
              <w:rPr>
                <w:rFonts w:ascii="Times New Roman" w:hAnsi="Times New Roman" w:cs="Times New Roman"/>
              </w:rPr>
              <w:t>A. Separation of the lateral rectal space: First, open the right lateral rectal space (Fig. 7-103). The lateral boundary is the ureter, and approximately 1 cm lateral to the ureter within the lateral rectal space, the inferior hypogastric plexus nerves can be identified; these nerves should be preserved. Similarly, on the left side, open the lateral rectal space closely along the peritoneum, displace the ureter laterally, resect part of the peritoneum, and incise the lateral peritoneum down to the rectal margin, where the rectum, the infundibulopelvic ligament, and the ureter become visible.</w:t>
            </w:r>
            <w:r w:rsidRPr="00CB2EC4">
              <w:rPr>
                <w:rFonts w:ascii="Times New Roman" w:hAnsi="Times New Roman" w:cs="Times New Roman"/>
              </w:rPr>
              <w:br/>
            </w:r>
            <w:r w:rsidRPr="00CB2EC4">
              <w:rPr>
                <w:rFonts w:ascii="Times New Roman" w:hAnsi="Times New Roman" w:cs="Times New Roman"/>
              </w:rPr>
              <w:br/>
              <w:t>B. Separation of the rectovaginal space: After opening the lateral rectal spaces, proceed to open the rectovaginal space. At the level of the uterorectal pouch, use electrocautery to incise the peritoneal reflection between the uterus and rectum (Fig. 7-104), then bluntly dissect the rectovaginal space with the fingers to adequately expose the uterosacral ligaments for subsequent resection.</w:t>
            </w:r>
            <w:r w:rsidRPr="00CB2EC4">
              <w:rPr>
                <w:rFonts w:ascii="Times New Roman" w:hAnsi="Times New Roman" w:cs="Times New Roman"/>
              </w:rPr>
              <w:br/>
            </w:r>
            <w:r w:rsidRPr="00CB2EC4">
              <w:rPr>
                <w:rFonts w:ascii="Times New Roman" w:hAnsi="Times New Roman" w:cs="Times New Roman"/>
              </w:rPr>
              <w:br/>
              <w:t>These steps aim to safely dissect the uterosacral ligament region, minimize the risk of injury to adjacent structures (such as the ureters and nerves), and prepare for resection.</w:t>
            </w:r>
          </w:p>
        </w:tc>
        <w:tc>
          <w:tcPr>
            <w:tcW w:w="1152" w:type="dxa"/>
            <w:vAlign w:val="center"/>
          </w:tcPr>
          <w:p w14:paraId="7B8288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9BCE4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E85E9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B360E2B" w14:textId="77777777">
        <w:tc>
          <w:tcPr>
            <w:tcW w:w="2160" w:type="dxa"/>
            <w:vAlign w:val="center"/>
          </w:tcPr>
          <w:p w14:paraId="1C2DA33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1DDBA45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Separate the lateral rectal space: Open the lateral rectal space on the right side, with the ureter laterally; identify and preserve the inferior hypogastric plexus. Repeat the same procedure on the left side, resecting part of the peritoneum to expose the area.  </w:t>
            </w:r>
            <w:r w:rsidRPr="00CB2EC4">
              <w:rPr>
                <w:rFonts w:ascii="Times New Roman" w:hAnsi="Times New Roman" w:cs="Times New Roman"/>
              </w:rPr>
              <w:br/>
              <w:t xml:space="preserve">2. Separate the rectovaginal space: Incise the peritoneal reflection at the uterorectal pouch with electrocautery, then bluntly dissect the rectovaginal space with fingers to expose the medial margin of the uterosacral ligament.  </w:t>
            </w:r>
            <w:r w:rsidRPr="00CB2EC4">
              <w:rPr>
                <w:rFonts w:ascii="Times New Roman" w:hAnsi="Times New Roman" w:cs="Times New Roman"/>
              </w:rPr>
              <w:br/>
              <w:t xml:space="preserve">3. Resect the uterosacral ligament:  </w:t>
            </w:r>
            <w:r w:rsidRPr="00CB2EC4">
              <w:rPr>
                <w:rFonts w:ascii="Times New Roman" w:hAnsi="Times New Roman" w:cs="Times New Roman"/>
              </w:rPr>
              <w:br/>
              <w:t xml:space="preserve">   - For tumor diameter &lt; 2 cm, resect 1/2 of the uterosacral ligament (divided into superficial and deep layers).  </w:t>
            </w:r>
            <w:r w:rsidRPr="00CB2EC4">
              <w:rPr>
                <w:rFonts w:ascii="Times New Roman" w:hAnsi="Times New Roman" w:cs="Times New Roman"/>
              </w:rPr>
              <w:br/>
              <w:t xml:space="preserve">   - Superficial layer: Clamp, coagulate with electrocautery, and suture-ligate with 7-0 silk thread.  </w:t>
            </w:r>
            <w:r w:rsidRPr="00CB2EC4">
              <w:rPr>
                <w:rFonts w:ascii="Times New Roman" w:hAnsi="Times New Roman" w:cs="Times New Roman"/>
              </w:rPr>
              <w:br/>
              <w:t xml:space="preserve">   - Deep layer: Similarly clamp, coagulate, and suture-ligate, retaining the suture threads at the stump for potential subsequent functional reconstruction (if needed).  </w:t>
            </w:r>
            <w:r w:rsidRPr="00CB2EC4">
              <w:rPr>
                <w:rFonts w:ascii="Times New Roman" w:hAnsi="Times New Roman" w:cs="Times New Roman"/>
              </w:rPr>
              <w:br/>
              <w:t xml:space="preserve">   - Repeat the same procedure for the contralateral uterosacral ligament.  </w:t>
            </w:r>
            <w:r w:rsidRPr="00CB2EC4">
              <w:rPr>
                <w:rFonts w:ascii="Times New Roman" w:hAnsi="Times New Roman" w:cs="Times New Roman"/>
              </w:rPr>
              <w:br/>
              <w:t>This step aims to safely resect the parametrial tissue while minimizing nerve injury.</w:t>
            </w:r>
          </w:p>
        </w:tc>
        <w:tc>
          <w:tcPr>
            <w:tcW w:w="1152" w:type="dxa"/>
            <w:vAlign w:val="center"/>
          </w:tcPr>
          <w:p w14:paraId="0E3B6C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8BA6F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3414D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F3A8FA" w14:textId="77777777">
        <w:tc>
          <w:tcPr>
            <w:tcW w:w="2160" w:type="dxa"/>
            <w:vAlign w:val="center"/>
          </w:tcPr>
          <w:p w14:paraId="23CA59AB"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4DECAF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Dissection of the pararectal space:  </w:t>
            </w:r>
            <w:r w:rsidRPr="00CB2EC4">
              <w:rPr>
                <w:rFonts w:ascii="Times New Roman" w:hAnsi="Times New Roman" w:cs="Times New Roman"/>
              </w:rPr>
              <w:br/>
              <w:t xml:space="preserve">   - Open the right pararectal space, with the ureter located laterally. Preserve the hypogastric nerve plexus (avoid nerve injury).  </w:t>
            </w:r>
            <w:r w:rsidRPr="00CB2EC4">
              <w:rPr>
                <w:rFonts w:ascii="Times New Roman" w:hAnsi="Times New Roman" w:cs="Times New Roman"/>
              </w:rPr>
              <w:br/>
              <w:t xml:space="preserve">   - Open the left pararectal space using the same method, dissect the ureter laterally, and excise part of the peritoneum.  </w:t>
            </w:r>
            <w:r w:rsidRPr="00CB2EC4">
              <w:rPr>
                <w:rFonts w:ascii="Times New Roman" w:hAnsi="Times New Roman" w:cs="Times New Roman"/>
              </w:rPr>
              <w:br/>
              <w:t xml:space="preserve">   - Incise the lateral peritoneum to the rectal margin to expose the rectum and infundibulopelvic ligament.  </w:t>
            </w:r>
            <w:r w:rsidRPr="00CB2EC4">
              <w:rPr>
                <w:rFonts w:ascii="Times New Roman" w:hAnsi="Times New Roman" w:cs="Times New Roman"/>
              </w:rPr>
              <w:br/>
              <w:t xml:space="preserve">2. Dissection of the rectovaginal space:  </w:t>
            </w:r>
            <w:r w:rsidRPr="00CB2EC4">
              <w:rPr>
                <w:rFonts w:ascii="Times New Roman" w:hAnsi="Times New Roman" w:cs="Times New Roman"/>
              </w:rPr>
              <w:br/>
            </w:r>
            <w:r w:rsidRPr="00CB2EC4">
              <w:rPr>
                <w:rFonts w:ascii="Times New Roman" w:hAnsi="Times New Roman" w:cs="Times New Roman"/>
              </w:rPr>
              <w:lastRenderedPageBreak/>
              <w:t xml:space="preserve">   - At the pouch of Douglas, use an electrocautery knife to incise the peritoneal reflection of the rectouterine pouch.  </w:t>
            </w:r>
            <w:r w:rsidRPr="00CB2EC4">
              <w:rPr>
                <w:rFonts w:ascii="Times New Roman" w:hAnsi="Times New Roman" w:cs="Times New Roman"/>
              </w:rPr>
              <w:br/>
              <w:t xml:space="preserve">   - Bluntly dissect the rectovaginal space with fingers to ensure adequate exposure of the ligamentous area.  </w:t>
            </w:r>
            <w:r w:rsidRPr="00CB2EC4">
              <w:rPr>
                <w:rFonts w:ascii="Times New Roman" w:hAnsi="Times New Roman" w:cs="Times New Roman"/>
              </w:rPr>
              <w:br/>
              <w:t xml:space="preserve">3. Resection of the uterosacral ligament: Expose the medial edge of the uterosacral ligament and resect 1/2 of the uterosacral ligament and cardinal ligament.  </w:t>
            </w:r>
            <w:r w:rsidRPr="00CB2EC4">
              <w:rPr>
                <w:rFonts w:ascii="Times New Roman" w:hAnsi="Times New Roman" w:cs="Times New Roman"/>
              </w:rPr>
              <w:br/>
            </w:r>
            <w:r w:rsidRPr="00CB2EC4">
              <w:rPr>
                <w:rFonts w:ascii="Times New Roman" w:hAnsi="Times New Roman" w:cs="Times New Roman"/>
              </w:rPr>
              <w:br/>
              <w:t>This step aims to safely resect the uterosacral ligament (typically partial or proximal resection near the sacral end) while protecting adjacent organs (such as the rectum and ureter), creating conditions for radical cervical resection.</w:t>
            </w:r>
          </w:p>
        </w:tc>
        <w:tc>
          <w:tcPr>
            <w:tcW w:w="1152" w:type="dxa"/>
            <w:vAlign w:val="center"/>
          </w:tcPr>
          <w:p w14:paraId="121E2B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86BD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2CDB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EE0227" w14:textId="77777777">
        <w:tc>
          <w:tcPr>
            <w:tcW w:w="2160" w:type="dxa"/>
            <w:vAlign w:val="center"/>
          </w:tcPr>
          <w:p w14:paraId="43A65CB5"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03F5615" w14:textId="77777777" w:rsidR="00922249" w:rsidRPr="00CB2EC4" w:rsidRDefault="003011D5">
            <w:pPr>
              <w:rPr>
                <w:rFonts w:ascii="Times New Roman" w:hAnsi="Times New Roman" w:cs="Times New Roman"/>
              </w:rPr>
            </w:pPr>
            <w:r w:rsidRPr="00CB2EC4">
              <w:rPr>
                <w:rFonts w:ascii="Times New Roman" w:hAnsi="Times New Roman" w:cs="Times New Roman"/>
              </w:rPr>
              <w:t>1. Identification and exposure: After opening the posterior peritoneum, identify the portions of the uterosacral ligaments attaching to the cervix and sacrum, and dissect the surrounding loose tissue.</w:t>
            </w:r>
            <w:r w:rsidRPr="00CB2EC4">
              <w:rPr>
                <w:rFonts w:ascii="Times New Roman" w:hAnsi="Times New Roman" w:cs="Times New Roman"/>
              </w:rPr>
              <w:br/>
              <w:t>2. Dissection and division: At approximately 2–3 cm from the cervix (adjusted based on tumor size), sharply dissect the ligament using electrocautery or scissors, ensuring sufficient length (typically 1–2 cm) is resected to achieve a safe surgical margin.</w:t>
            </w:r>
            <w:r w:rsidRPr="00CB2EC4">
              <w:rPr>
                <w:rFonts w:ascii="Times New Roman" w:hAnsi="Times New Roman" w:cs="Times New Roman"/>
              </w:rPr>
              <w:br/>
              <w:t>3. Hemostasis and closure: Ligate or coagulate the ligament stump to control bleeding, taking care to avoid injury to adjacent ureters and rectum.</w:t>
            </w:r>
            <w:r w:rsidRPr="00CB2EC4">
              <w:rPr>
                <w:rFonts w:ascii="Times New Roman" w:hAnsi="Times New Roman" w:cs="Times New Roman"/>
              </w:rPr>
              <w:br/>
              <w:t>This step emphasizes precise anatomical dissection to preserve nerve function (where applicable).</w:t>
            </w:r>
          </w:p>
        </w:tc>
        <w:tc>
          <w:tcPr>
            <w:tcW w:w="1152" w:type="dxa"/>
            <w:vAlign w:val="center"/>
          </w:tcPr>
          <w:p w14:paraId="78D644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F14E9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05C1D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D5E7443" w14:textId="77777777">
        <w:tc>
          <w:tcPr>
            <w:tcW w:w="10656" w:type="dxa"/>
            <w:gridSpan w:val="5"/>
            <w:tcBorders>
              <w:bottom w:val="single" w:sz="6" w:space="0" w:color="auto"/>
            </w:tcBorders>
            <w:vAlign w:val="center"/>
          </w:tcPr>
          <w:p w14:paraId="7DD55D0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173: Please briefly describe the main differences between a Type IV and a Type III radical hysterectomy.</w:t>
            </w:r>
          </w:p>
        </w:tc>
      </w:tr>
      <w:tr w:rsidR="00922249" w:rsidRPr="00CB2EC4" w14:paraId="4EF4EC21" w14:textId="77777777">
        <w:tc>
          <w:tcPr>
            <w:tcW w:w="2160" w:type="dxa"/>
            <w:vAlign w:val="center"/>
          </w:tcPr>
          <w:p w14:paraId="2B9F1A7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1C6FEE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information is available in the knowledge base regarding type IV radical hysterectomy. the documents detail the Piver-Rutledge and Q-M classifications for type I (fascial extraperitoneal), type </w:t>
            </w:r>
            <w:r w:rsidRPr="00CB2EC4">
              <w:rPr>
                <w:rFonts w:ascii="Times New Roman" w:hAnsi="Times New Roman" w:cs="Times New Roman"/>
              </w:rPr>
              <w:lastRenderedPageBreak/>
              <w:t>II (modified radical), and type III (radical) hysterectomy, including indications and surgical extent (e.g., type III is indicated for IB1, IB2, and selected IIA cervical cancer, requiring resection of the cardinal ligament at the pelvic sidewall, the proximal uterosacral ligament near the sacrum, etc.). however, type IV radical hysterectomy is not defined, nor are its indications or differences from type III. therefore, the distinction between type IV and type III cannot be provided.</w:t>
            </w:r>
          </w:p>
        </w:tc>
        <w:tc>
          <w:tcPr>
            <w:tcW w:w="1152" w:type="dxa"/>
            <w:vAlign w:val="center"/>
          </w:tcPr>
          <w:p w14:paraId="1A2DBC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7992F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ACE14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F9A1338" w14:textId="77777777">
        <w:tc>
          <w:tcPr>
            <w:tcW w:w="2160" w:type="dxa"/>
            <w:vAlign w:val="center"/>
          </w:tcPr>
          <w:p w14:paraId="25139D69"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C8A7C7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differences between Type IV and Type III radical hysterectomy are as follows (Segment 13):  </w:t>
            </w:r>
            <w:r w:rsidRPr="00CB2EC4">
              <w:rPr>
                <w:rFonts w:ascii="Times New Roman" w:hAnsi="Times New Roman" w:cs="Times New Roman"/>
              </w:rPr>
              <w:br/>
              <w:t xml:space="preserve">1. Ureter management: Type IV completely removes the paroureteral tissue, while Type III only partially dissects the ureteral bed.  </w:t>
            </w:r>
            <w:r w:rsidRPr="00CB2EC4">
              <w:rPr>
                <w:rFonts w:ascii="Times New Roman" w:hAnsi="Times New Roman" w:cs="Times New Roman"/>
              </w:rPr>
              <w:br/>
              <w:t xml:space="preserve">2. Vessel management: Type IV does not preserve the superior vesical artery, whereas Type III preserves it.  </w:t>
            </w:r>
            <w:r w:rsidRPr="00CB2EC4">
              <w:rPr>
                <w:rFonts w:ascii="Times New Roman" w:hAnsi="Times New Roman" w:cs="Times New Roman"/>
              </w:rPr>
              <w:br/>
              <w:t xml:space="preserve">3. Vaginal resection extent: Type IV resects the upper 3/4 of the vagina, while Type III resects 1/2 of the vagina.  </w:t>
            </w:r>
            <w:r w:rsidRPr="00CB2EC4">
              <w:rPr>
                <w:rFonts w:ascii="Times New Roman" w:hAnsi="Times New Roman" w:cs="Times New Roman"/>
              </w:rPr>
              <w:br/>
              <w:t>Type IV is indicated for anterior central recurrence after radiotherapy when bladder function preservation is required, but it carries a higher risk of complications.</w:t>
            </w:r>
          </w:p>
        </w:tc>
        <w:tc>
          <w:tcPr>
            <w:tcW w:w="1152" w:type="dxa"/>
            <w:vAlign w:val="center"/>
          </w:tcPr>
          <w:p w14:paraId="67D4D6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42BD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61A8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539511" w14:textId="77777777">
        <w:tc>
          <w:tcPr>
            <w:tcW w:w="2160" w:type="dxa"/>
            <w:vAlign w:val="center"/>
          </w:tcPr>
          <w:p w14:paraId="24E008B6"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1BAFEE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differences between Type IV radical hysterectomy and Type III are as follows based on Document Fragments 8 and 12:  </w:t>
            </w:r>
            <w:r w:rsidRPr="00CB2EC4">
              <w:rPr>
                <w:rFonts w:ascii="Times New Roman" w:hAnsi="Times New Roman" w:cs="Times New Roman"/>
              </w:rPr>
              <w:br/>
              <w:t xml:space="preserve">1. Ureter management:  </w:t>
            </w:r>
            <w:r w:rsidRPr="00CB2EC4">
              <w:rPr>
                <w:rFonts w:ascii="Times New Roman" w:hAnsi="Times New Roman" w:cs="Times New Roman"/>
              </w:rPr>
              <w:br/>
              <w:t xml:space="preserve">   - Type IV: The ureters are completely dissected from the pubovesical ligament, and the parauterine tissue is fully removed; the superior vesical artery is not preserved (Fragment 8).  </w:t>
            </w:r>
            <w:r w:rsidRPr="00CB2EC4">
              <w:rPr>
                <w:rFonts w:ascii="Times New Roman" w:hAnsi="Times New Roman" w:cs="Times New Roman"/>
              </w:rPr>
              <w:br/>
              <w:t xml:space="preserve">   - Type III: No such description, but Type III </w:t>
            </w:r>
            <w:r w:rsidRPr="00CB2EC4">
              <w:rPr>
                <w:rFonts w:ascii="Times New Roman" w:hAnsi="Times New Roman" w:cs="Times New Roman"/>
              </w:rPr>
              <w:lastRenderedPageBreak/>
              <w:t xml:space="preserve">typically preserves part of the parauterine tissue (Fragment 12).  </w:t>
            </w:r>
            <w:r w:rsidRPr="00CB2EC4">
              <w:rPr>
                <w:rFonts w:ascii="Times New Roman" w:hAnsi="Times New Roman" w:cs="Times New Roman"/>
              </w:rPr>
              <w:br/>
              <w:t xml:space="preserve">2. Superior vesical artery:  </w:t>
            </w:r>
            <w:r w:rsidRPr="00CB2EC4">
              <w:rPr>
                <w:rFonts w:ascii="Times New Roman" w:hAnsi="Times New Roman" w:cs="Times New Roman"/>
              </w:rPr>
              <w:br/>
              <w:t xml:space="preserve">   - Type IV: The superior vesical artery is not preserved (Fragment 8).  </w:t>
            </w:r>
            <w:r w:rsidRPr="00CB2EC4">
              <w:rPr>
                <w:rFonts w:ascii="Times New Roman" w:hAnsi="Times New Roman" w:cs="Times New Roman"/>
              </w:rPr>
              <w:br/>
              <w:t xml:space="preserve">   - Type III: Not explicitly mentioned, but Type III may preserve this artery (Fragment 12).  </w:t>
            </w:r>
            <w:r w:rsidRPr="00CB2EC4">
              <w:rPr>
                <w:rFonts w:ascii="Times New Roman" w:hAnsi="Times New Roman" w:cs="Times New Roman"/>
              </w:rPr>
              <w:br/>
              <w:t xml:space="preserve">3. Vaginal resection extent:  </w:t>
            </w:r>
            <w:r w:rsidRPr="00CB2EC4">
              <w:rPr>
                <w:rFonts w:ascii="Times New Roman" w:hAnsi="Times New Roman" w:cs="Times New Roman"/>
              </w:rPr>
              <w:br/>
              <w:t xml:space="preserve">   - Type IV: The upper 3/4 of the vagina is resected (Fragments 8, 12).  </w:t>
            </w:r>
            <w:r w:rsidRPr="00CB2EC4">
              <w:rPr>
                <w:rFonts w:ascii="Times New Roman" w:hAnsi="Times New Roman" w:cs="Times New Roman"/>
              </w:rPr>
              <w:br/>
              <w:t xml:space="preserve">   - Type III: The upper 1/2 of the vagina is resected (Fragment 12).  </w:t>
            </w:r>
            <w:r w:rsidRPr="00CB2EC4">
              <w:rPr>
                <w:rFonts w:ascii="Times New Roman" w:hAnsi="Times New Roman" w:cs="Times New Roman"/>
              </w:rPr>
              <w:br/>
              <w:t>Overall, Type IV involves a wider surgical field, is indicated for more advanced lesions, and emphasizes more radical resection (Fragment 5).</w:t>
            </w:r>
          </w:p>
        </w:tc>
        <w:tc>
          <w:tcPr>
            <w:tcW w:w="1152" w:type="dxa"/>
            <w:vAlign w:val="center"/>
          </w:tcPr>
          <w:p w14:paraId="3DD143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010A0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8E8E2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1A0BA8" w14:textId="77777777">
        <w:tc>
          <w:tcPr>
            <w:tcW w:w="2160" w:type="dxa"/>
            <w:vAlign w:val="center"/>
          </w:tcPr>
          <w:p w14:paraId="768A9F2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F080C7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Briefly describe the main differences between Type IV extended hysterectomy and Type III  </w:t>
            </w:r>
            <w:r w:rsidRPr="00CB2EC4">
              <w:rPr>
                <w:rFonts w:ascii="Times New Roman" w:hAnsi="Times New Roman" w:cs="Times New Roman"/>
              </w:rPr>
              <w:br/>
            </w:r>
            <w:r w:rsidRPr="00CB2EC4">
              <w:rPr>
                <w:rFonts w:ascii="Times New Roman" w:hAnsi="Times New Roman" w:cs="Times New Roman"/>
              </w:rPr>
              <w:br/>
              <w:t xml:space="preserve">Knowledge base document contributions:  </w:t>
            </w:r>
            <w:r w:rsidRPr="00CB2EC4">
              <w:rPr>
                <w:rFonts w:ascii="Times New Roman" w:hAnsi="Times New Roman" w:cs="Times New Roman"/>
              </w:rPr>
              <w:br/>
              <w:t xml:space="preserve">- Type III (standard radical hysterectomy): Resection of the cardinal ligament, two-thirds of the uterosacral ligament, and one-half of the vagina, preserving the superior vesical artery (Document 2).  </w:t>
            </w:r>
            <w:r w:rsidRPr="00CB2EC4">
              <w:rPr>
                <w:rFonts w:ascii="Times New Roman" w:hAnsi="Times New Roman" w:cs="Times New Roman"/>
              </w:rPr>
              <w:br/>
              <w:t xml:space="preserve">- Type IV (super-radical hysterectomy):  </w:t>
            </w:r>
            <w:r w:rsidRPr="00CB2EC4">
              <w:rPr>
                <w:rFonts w:ascii="Times New Roman" w:hAnsi="Times New Roman" w:cs="Times New Roman"/>
              </w:rPr>
              <w:br/>
              <w:t xml:space="preserve">  - Complete resection of the vesicouterine ligament;  </w:t>
            </w:r>
            <w:r w:rsidRPr="00CB2EC4">
              <w:rPr>
                <w:rFonts w:ascii="Times New Roman" w:hAnsi="Times New Roman" w:cs="Times New Roman"/>
              </w:rPr>
              <w:br/>
              <w:t xml:space="preserve">  - Ligation of the superior vesical artery;  </w:t>
            </w:r>
            <w:r w:rsidRPr="00CB2EC4">
              <w:rPr>
                <w:rFonts w:ascii="Times New Roman" w:hAnsi="Times New Roman" w:cs="Times New Roman"/>
              </w:rPr>
              <w:br/>
              <w:t xml:space="preserve">  - Resection of the upper three-fourths of the vagina (Document 2).  </w:t>
            </w:r>
            <w:r w:rsidRPr="00CB2EC4">
              <w:rPr>
                <w:rFonts w:ascii="Times New Roman" w:hAnsi="Times New Roman" w:cs="Times New Roman"/>
              </w:rPr>
              <w:br/>
            </w:r>
            <w:r w:rsidRPr="00CB2EC4">
              <w:rPr>
                <w:rFonts w:ascii="Times New Roman" w:hAnsi="Times New Roman" w:cs="Times New Roman"/>
              </w:rPr>
              <w:br/>
              <w:t xml:space="preserve">Supplemental online search results:  </w:t>
            </w:r>
            <w:r w:rsidRPr="00CB2EC4">
              <w:rPr>
                <w:rFonts w:ascii="Times New Roman" w:hAnsi="Times New Roman" w:cs="Times New Roman"/>
              </w:rPr>
              <w:br/>
              <w:t xml:space="preserve">- Type IV involves more extensive resection of the parametrial tissue and internal iliac artery, suitable for centrally recurrent cancer after radiotherapy (Online Document 3).  </w:t>
            </w:r>
            <w:r w:rsidRPr="00CB2EC4">
              <w:rPr>
                <w:rFonts w:ascii="Times New Roman" w:hAnsi="Times New Roman" w:cs="Times New Roman"/>
              </w:rPr>
              <w:br/>
            </w:r>
            <w:r w:rsidRPr="00CB2EC4">
              <w:rPr>
                <w:rFonts w:ascii="Times New Roman" w:hAnsi="Times New Roman" w:cs="Times New Roman"/>
              </w:rPr>
              <w:lastRenderedPageBreak/>
              <w:t xml:space="preserve">- The incidence of urinary tract fistula is significantly higher than in Type III (Online Document 3).  </w:t>
            </w:r>
            <w:r w:rsidRPr="00CB2EC4">
              <w:rPr>
                <w:rFonts w:ascii="Times New Roman" w:hAnsi="Times New Roman" w:cs="Times New Roman"/>
              </w:rPr>
              <w:br/>
            </w:r>
            <w:r w:rsidRPr="00CB2EC4">
              <w:rPr>
                <w:rFonts w:ascii="Times New Roman" w:hAnsi="Times New Roman" w:cs="Times New Roman"/>
              </w:rPr>
              <w:br/>
              <w:t xml:space="preserve">Comprehensive answer:  </w:t>
            </w:r>
            <w:r w:rsidRPr="00CB2EC4">
              <w:rPr>
                <w:rFonts w:ascii="Times New Roman" w:hAnsi="Times New Roman" w:cs="Times New Roman"/>
              </w:rPr>
              <w:br/>
              <w:t xml:space="preserve">There are three main differences:  </w:t>
            </w:r>
            <w:r w:rsidRPr="00CB2EC4">
              <w:rPr>
                <w:rFonts w:ascii="Times New Roman" w:hAnsi="Times New Roman" w:cs="Times New Roman"/>
              </w:rPr>
              <w:br/>
              <w:t xml:space="preserve">1. Vesicouterine ligament: Type IV requires complete resection (Type III partially preserves it).  </w:t>
            </w:r>
            <w:r w:rsidRPr="00CB2EC4">
              <w:rPr>
                <w:rFonts w:ascii="Times New Roman" w:hAnsi="Times New Roman" w:cs="Times New Roman"/>
              </w:rPr>
              <w:br/>
              <w:t xml:space="preserve">2. Superior vesical artery: Type IV ligates it (Type III preserves it).  </w:t>
            </w:r>
            <w:r w:rsidRPr="00CB2EC4">
              <w:rPr>
                <w:rFonts w:ascii="Times New Roman" w:hAnsi="Times New Roman" w:cs="Times New Roman"/>
              </w:rPr>
              <w:br/>
              <w:t xml:space="preserve">3. Vaginal resection extent: Type IV resects the upper three-fourths (Type III resects one-half).  </w:t>
            </w:r>
            <w:r w:rsidRPr="00CB2EC4">
              <w:rPr>
                <w:rFonts w:ascii="Times New Roman" w:hAnsi="Times New Roman" w:cs="Times New Roman"/>
              </w:rPr>
              <w:br/>
              <w:t>Type IV is used for local recurrence after radiotherapy but carries a higher risk of complications (Knowledge Base Document 2, Online Document 3).</w:t>
            </w:r>
          </w:p>
        </w:tc>
        <w:tc>
          <w:tcPr>
            <w:tcW w:w="1152" w:type="dxa"/>
            <w:vAlign w:val="center"/>
          </w:tcPr>
          <w:p w14:paraId="32D3B3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EA5DF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8E09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F4FB31" w14:textId="77777777">
        <w:tc>
          <w:tcPr>
            <w:tcW w:w="2160" w:type="dxa"/>
            <w:vAlign w:val="center"/>
          </w:tcPr>
          <w:p w14:paraId="723E093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0F567D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differences between type IV radical hysterectomy and type III include three points:  </w:t>
            </w:r>
            <w:r w:rsidRPr="00CB2EC4">
              <w:rPr>
                <w:rFonts w:ascii="Times New Roman" w:hAnsi="Times New Roman" w:cs="Times New Roman"/>
              </w:rPr>
              <w:br/>
              <w:t xml:space="preserve">1. Ureter management: In type IV, the ureter is completely dissected from the pubovesical ligament, and the parauterine tissue is fully resected; whereas in type III, only partial dissection of the ureter is performed, with part of the ligament retained to reduce fistula risk (Fragment 17: "the ureter is completely dissected from the pubovesical ligament, and the parauterine tissue is fully resected").  </w:t>
            </w:r>
            <w:r w:rsidRPr="00CB2EC4">
              <w:rPr>
                <w:rFonts w:ascii="Times New Roman" w:hAnsi="Times New Roman" w:cs="Times New Roman"/>
              </w:rPr>
              <w:br/>
              <w:t xml:space="preserve">2. Vessel management: Type IV does not preserve the superior vesical artery; type III retains the superior vesical artery to maintain distal ureter blood supply (Fragment 17: "does not preserve the superior vesical artery").  </w:t>
            </w:r>
            <w:r w:rsidRPr="00CB2EC4">
              <w:rPr>
                <w:rFonts w:ascii="Times New Roman" w:hAnsi="Times New Roman" w:cs="Times New Roman"/>
              </w:rPr>
              <w:br/>
              <w:t xml:space="preserve">3. Vaginal resection extent: Type IV resects the upper 3/4 of the vagina; type III resects 1/2 of the vagina (Fragment 17: "resects the upper 3/4 of the vagina" vs. Fragment 14 Figure 7-16: "resects 1/2 of the vagina").  </w:t>
            </w:r>
            <w:r w:rsidRPr="00CB2EC4">
              <w:rPr>
                <w:rFonts w:ascii="Times New Roman" w:hAnsi="Times New Roman" w:cs="Times New Roman"/>
              </w:rPr>
              <w:br/>
              <w:t xml:space="preserve">These differences make type IV suitable for more </w:t>
            </w:r>
            <w:r w:rsidRPr="00CB2EC4">
              <w:rPr>
                <w:rFonts w:ascii="Times New Roman" w:hAnsi="Times New Roman" w:cs="Times New Roman"/>
              </w:rPr>
              <w:lastRenderedPageBreak/>
              <w:t>extensive recurrent cancer or cases involving parauterine tissue, but with higher complication risk.</w:t>
            </w:r>
          </w:p>
        </w:tc>
        <w:tc>
          <w:tcPr>
            <w:tcW w:w="1152" w:type="dxa"/>
            <w:vAlign w:val="center"/>
          </w:tcPr>
          <w:p w14:paraId="719E69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53389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54018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84BAEC" w14:textId="77777777">
        <w:tc>
          <w:tcPr>
            <w:tcW w:w="2160" w:type="dxa"/>
            <w:vAlign w:val="center"/>
          </w:tcPr>
          <w:p w14:paraId="7F553D1F"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416C28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differences between Type IV extended hysterectomy and Type III are as follows:  </w:t>
            </w:r>
            <w:r w:rsidRPr="00CB2EC4">
              <w:rPr>
                <w:rFonts w:ascii="Times New Roman" w:hAnsi="Times New Roman" w:cs="Times New Roman"/>
              </w:rPr>
              <w:br/>
              <w:t xml:space="preserve">1. Ureter management: Type IV requires complete dissection of the ureter from the pubovesical ligament and resection of all periureteral tissue; Type III involves only partial ureter dissection, retaining part of the ureteral bed tissue to reduce fistula risk.  </w:t>
            </w:r>
            <w:r w:rsidRPr="00CB2EC4">
              <w:rPr>
                <w:rFonts w:ascii="Times New Roman" w:hAnsi="Times New Roman" w:cs="Times New Roman"/>
              </w:rPr>
              <w:br/>
              <w:t xml:space="preserve">2. Vascular management: Type IV does not preserve the superior vesical artery (may be ligated), whereas Type III typically preserves the superior vesical artery to maintain bladder blood supply.  </w:t>
            </w:r>
            <w:r w:rsidRPr="00CB2EC4">
              <w:rPr>
                <w:rFonts w:ascii="Times New Roman" w:hAnsi="Times New Roman" w:cs="Times New Roman"/>
              </w:rPr>
              <w:br/>
              <w:t>3. Vaginal resection extent: Type IV resects the upper 3/4 of the vagina (more extensive), while Type III resects approximately 1/2 of the vagina. The document emphasizes that Type IV is indicated for central recurrence after radiotherapy where bladder function may be preserved, but carries a higher risk of complications.</w:t>
            </w:r>
          </w:p>
        </w:tc>
        <w:tc>
          <w:tcPr>
            <w:tcW w:w="1152" w:type="dxa"/>
            <w:vAlign w:val="center"/>
          </w:tcPr>
          <w:p w14:paraId="783271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237BE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F9B6B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5A88654" w14:textId="77777777">
        <w:tc>
          <w:tcPr>
            <w:tcW w:w="2160" w:type="dxa"/>
            <w:vAlign w:val="center"/>
          </w:tcPr>
          <w:p w14:paraId="5703C2F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65BE97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difference between type IV radical hysterectomy and type III lies in the extent of parametrial and vaginal resection. Type III (Meigs surgery) involves resection of the upper one-third of the vagina and the cardinal ligaments up to the pelvic wall, along with removal of the uterosacral ligaments. Type IV radical hysterectomy extends this resection further, typically including more extensive removal of the parametrial tissues, vagina (often middle third or beyond), and may involve resection of adjacent pelvic structures such as the bladder or rectum when indicated by tumor spread, representing a more radical approach for advanced cervical cancer compared to </w:t>
            </w:r>
            <w:r w:rsidRPr="00CB2EC4">
              <w:rPr>
                <w:rFonts w:ascii="Times New Roman" w:hAnsi="Times New Roman" w:cs="Times New Roman"/>
              </w:rPr>
              <w:lastRenderedPageBreak/>
              <w:t>type III.</w:t>
            </w:r>
            <w:r w:rsidRPr="00CB2EC4">
              <w:rPr>
                <w:rFonts w:ascii="Times New Roman" w:hAnsi="Times New Roman" w:cs="Times New Roman"/>
              </w:rPr>
              <w:br/>
            </w:r>
            <w:r w:rsidRPr="00CB2EC4">
              <w:rPr>
                <w:rFonts w:ascii="Times New Roman" w:hAnsi="Times New Roman" w:cs="Times New Roman"/>
              </w:rPr>
              <w:br/>
              <w:t>in the knowledge base, no explicit definition or distinction for type IV radical hysterectomy was found. the documents detail type I (extrafascial), type II (modified radical), type III (Meigs), and radical trachelectomy, specifying resection ranges such as 1/2 or full length of cardinal/uterosacral ligaments, but do not mention type IV or its comparison with type III (reference: HyDE similarity 0.674, 0.553).</w:t>
            </w:r>
          </w:p>
        </w:tc>
        <w:tc>
          <w:tcPr>
            <w:tcW w:w="1152" w:type="dxa"/>
            <w:vAlign w:val="center"/>
          </w:tcPr>
          <w:p w14:paraId="4F17F1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4A871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D1BFC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C6FBAAD" w14:textId="77777777">
        <w:tc>
          <w:tcPr>
            <w:tcW w:w="2160" w:type="dxa"/>
            <w:vAlign w:val="center"/>
          </w:tcPr>
          <w:p w14:paraId="4D361A02"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F90A23C" w14:textId="77777777" w:rsidR="00922249" w:rsidRPr="00CB2EC4" w:rsidRDefault="003011D5">
            <w:pPr>
              <w:rPr>
                <w:rFonts w:ascii="Times New Roman" w:hAnsi="Times New Roman" w:cs="Times New Roman"/>
              </w:rPr>
            </w:pPr>
            <w:r w:rsidRPr="00CB2EC4">
              <w:rPr>
                <w:rFonts w:ascii="Times New Roman" w:hAnsi="Times New Roman" w:cs="Times New Roman"/>
              </w:rPr>
              <w:t>The main difference between Type IV radical hysterectomy and Type III lies in the extent of vascular resection:</w:t>
            </w:r>
            <w:r w:rsidRPr="00CB2EC4">
              <w:rPr>
                <w:rFonts w:ascii="Times New Roman" w:hAnsi="Times New Roman" w:cs="Times New Roman"/>
              </w:rPr>
              <w:br/>
            </w:r>
            <w:r w:rsidRPr="00CB2EC4">
              <w:rPr>
                <w:rFonts w:ascii="Times New Roman" w:hAnsi="Times New Roman" w:cs="Times New Roman"/>
              </w:rPr>
              <w:br/>
              <w:t>- **Type III radical hysterectomy (Meigs procedure)**: The surgical scope includes resection of two-thirds of the uterosacral ligament near the sacrum, resection of the cardinal ligament at the pelvic sidewall, resection of half the vagina, and routine pelvic lymphadenectomy. The uterine artery is ligated at the origin of the internal iliac artery, and the ureter is dissected from the vesicouterine ligament while preserving the blood supply to the distal ureter.</w:t>
            </w:r>
            <w:r w:rsidRPr="00CB2EC4">
              <w:rPr>
                <w:rFonts w:ascii="Times New Roman" w:hAnsi="Times New Roman" w:cs="Times New Roman"/>
              </w:rPr>
              <w:br/>
            </w:r>
            <w:r w:rsidRPr="00CB2EC4">
              <w:rPr>
                <w:rFonts w:ascii="Times New Roman" w:hAnsi="Times New Roman" w:cs="Times New Roman"/>
              </w:rPr>
              <w:br/>
              <w:t xml:space="preserve">- **Type IV radical hysterectomy (ultra-radical total hysterectomy)**: The key distinction is the involvement of complete division of the internal iliac artery and vein. Specifically, the internal iliac vessels are fully transected between the level below the superior gluteal vein branch and above the inferior gluteal and internal pudendal vessel branches (as shown in Figure 80-D in Fragment 26). This expands the resection range to address more advanced or laterally spreading tumors but increases the risk of </w:t>
            </w:r>
            <w:r w:rsidRPr="00CB2EC4">
              <w:rPr>
                <w:rFonts w:ascii="Times New Roman" w:hAnsi="Times New Roman" w:cs="Times New Roman"/>
              </w:rPr>
              <w:lastRenderedPageBreak/>
              <w:t>vascular complications.</w:t>
            </w:r>
            <w:r w:rsidRPr="00CB2EC4">
              <w:rPr>
                <w:rFonts w:ascii="Times New Roman" w:hAnsi="Times New Roman" w:cs="Times New Roman"/>
              </w:rPr>
              <w:br/>
            </w:r>
            <w:r w:rsidRPr="00CB2EC4">
              <w:rPr>
                <w:rFonts w:ascii="Times New Roman" w:hAnsi="Times New Roman" w:cs="Times New Roman"/>
              </w:rPr>
              <w:br/>
              <w:t>In short, Type IV is more radical than Type III, with the critical difference being that Type IV requires division of the internal iliac artery and vein, whereas Type III does not involve this step.</w:t>
            </w:r>
          </w:p>
        </w:tc>
        <w:tc>
          <w:tcPr>
            <w:tcW w:w="1152" w:type="dxa"/>
            <w:vAlign w:val="center"/>
          </w:tcPr>
          <w:p w14:paraId="5AAC93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9A9BF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028E8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45C3279" w14:textId="77777777">
        <w:tc>
          <w:tcPr>
            <w:tcW w:w="2160" w:type="dxa"/>
            <w:vAlign w:val="center"/>
          </w:tcPr>
          <w:p w14:paraId="1559662D"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21B19268" w14:textId="77777777" w:rsidR="00922249" w:rsidRPr="00CB2EC4" w:rsidRDefault="003011D5">
            <w:pPr>
              <w:rPr>
                <w:rFonts w:ascii="Times New Roman" w:hAnsi="Times New Roman" w:cs="Times New Roman"/>
              </w:rPr>
            </w:pPr>
            <w:r w:rsidRPr="00CB2EC4">
              <w:rPr>
                <w:rFonts w:ascii="Times New Roman" w:hAnsi="Times New Roman" w:cs="Times New Roman"/>
              </w:rPr>
              <w:t>the main differences between Type IV radical hysterectomy and Type III are as follows (as explicitly listed in the document):</w:t>
            </w:r>
            <w:r w:rsidRPr="00CB2EC4">
              <w:rPr>
                <w:rFonts w:ascii="Times New Roman" w:hAnsi="Times New Roman" w:cs="Times New Roman"/>
              </w:rPr>
              <w:br/>
            </w:r>
            <w:r w:rsidRPr="00CB2EC4">
              <w:rPr>
                <w:rFonts w:ascii="Times New Roman" w:hAnsi="Times New Roman" w:cs="Times New Roman"/>
              </w:rPr>
              <w:br/>
              <w:t xml:space="preserve">- **Ureter management**: In Type IV surgery, the ureters are completely dissected from the pubovesical ligament, and the parauterine tissue is fully resected; in Type III surgery, only partial dissection of the ureters is performed, with part of the ligament retained to reduce fistula risk.  </w:t>
            </w:r>
            <w:r w:rsidRPr="00CB2EC4">
              <w:rPr>
                <w:rFonts w:ascii="Times New Roman" w:hAnsi="Times New Roman" w:cs="Times New Roman"/>
              </w:rPr>
              <w:br/>
              <w:t xml:space="preserve">- **Vessel management**: Type IV surgery does not preserve the superior vesical artery; Type III surgery preserves the superior vesical artery to maintain bladder blood supply.  </w:t>
            </w:r>
            <w:r w:rsidRPr="00CB2EC4">
              <w:rPr>
                <w:rFonts w:ascii="Times New Roman" w:hAnsi="Times New Roman" w:cs="Times New Roman"/>
              </w:rPr>
              <w:br/>
              <w:t xml:space="preserve">- **Vaginal resection extent**: Type IV surgery resects the upper 3/4 of the vagina; Type III surgery resects only 1/2 of the vagina.  </w:t>
            </w:r>
            <w:r w:rsidRPr="00CB2EC4">
              <w:rPr>
                <w:rFonts w:ascii="Times New Roman" w:hAnsi="Times New Roman" w:cs="Times New Roman"/>
              </w:rPr>
              <w:br/>
            </w:r>
            <w:r w:rsidRPr="00CB2EC4">
              <w:rPr>
                <w:rFonts w:ascii="Times New Roman" w:hAnsi="Times New Roman" w:cs="Times New Roman"/>
              </w:rPr>
              <w:br/>
              <w:t>These differences make Type IV surgery suitable for more extensive recurrent cancer (e.g., anterior central recurrence after radiotherapy), but it carries a higher risk of complications.</w:t>
            </w:r>
          </w:p>
        </w:tc>
        <w:tc>
          <w:tcPr>
            <w:tcW w:w="1152" w:type="dxa"/>
            <w:vAlign w:val="center"/>
          </w:tcPr>
          <w:p w14:paraId="344A73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3445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5845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6856F0" w14:textId="77777777">
        <w:tc>
          <w:tcPr>
            <w:tcW w:w="2160" w:type="dxa"/>
            <w:vAlign w:val="center"/>
          </w:tcPr>
          <w:p w14:paraId="00091025"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6BD1A27" w14:textId="77777777" w:rsidR="00922249" w:rsidRPr="00CB2EC4" w:rsidRDefault="003011D5">
            <w:pPr>
              <w:rPr>
                <w:rFonts w:ascii="Times New Roman" w:hAnsi="Times New Roman" w:cs="Times New Roman"/>
              </w:rPr>
            </w:pPr>
            <w:r w:rsidRPr="00CB2EC4">
              <w:rPr>
                <w:rFonts w:ascii="Times New Roman" w:hAnsi="Times New Roman" w:cs="Times New Roman"/>
              </w:rPr>
              <w:t>the main differences between Type IV and Type III radical hysterectomy are as follows:</w:t>
            </w:r>
            <w:r w:rsidRPr="00CB2EC4">
              <w:rPr>
                <w:rFonts w:ascii="Times New Roman" w:hAnsi="Times New Roman" w:cs="Times New Roman"/>
              </w:rPr>
              <w:br/>
            </w:r>
            <w:r w:rsidRPr="00CB2EC4">
              <w:rPr>
                <w:rFonts w:ascii="Times New Roman" w:hAnsi="Times New Roman" w:cs="Times New Roman"/>
              </w:rPr>
              <w:br/>
              <w:t xml:space="preserve">1.  Ureter management: In Type IV surgery, the ureters must be completely dissected from the </w:t>
            </w:r>
            <w:r w:rsidRPr="00CB2EC4">
              <w:rPr>
                <w:rFonts w:ascii="Times New Roman" w:hAnsi="Times New Roman" w:cs="Times New Roman"/>
              </w:rPr>
              <w:lastRenderedPageBreak/>
              <w:t>pubovesical ligament, and the paraureteral tissue is thoroughly resected; whereas in Type III surgery, only partial separation of the ureteral tunnel is performed, without complete resection of the paraureteral tissue.</w:t>
            </w:r>
            <w:r w:rsidRPr="00CB2EC4">
              <w:rPr>
                <w:rFonts w:ascii="Times New Roman" w:hAnsi="Times New Roman" w:cs="Times New Roman"/>
              </w:rPr>
              <w:br/>
            </w:r>
            <w:r w:rsidRPr="00CB2EC4">
              <w:rPr>
                <w:rFonts w:ascii="Times New Roman" w:hAnsi="Times New Roman" w:cs="Times New Roman"/>
              </w:rPr>
              <w:br/>
              <w:t>2.  Vessel preservation: Type IV surgery does not preserve the superior vesical artery (which may increase the risk of fistula); Type III surgery typically preserves this artery to maintain bladder function.</w:t>
            </w:r>
            <w:r w:rsidRPr="00CB2EC4">
              <w:rPr>
                <w:rFonts w:ascii="Times New Roman" w:hAnsi="Times New Roman" w:cs="Times New Roman"/>
              </w:rPr>
              <w:br/>
            </w:r>
            <w:r w:rsidRPr="00CB2EC4">
              <w:rPr>
                <w:rFonts w:ascii="Times New Roman" w:hAnsi="Times New Roman" w:cs="Times New Roman"/>
              </w:rPr>
              <w:br/>
              <w:t>3.  Vaginal resection extent: Type IV surgery resects the upper 3/4 of the vagina; Type III surgery resects a smaller range (e.g., upper 1/4 to 1/3).</w:t>
            </w:r>
            <w:r w:rsidRPr="00CB2EC4">
              <w:rPr>
                <w:rFonts w:ascii="Times New Roman" w:hAnsi="Times New Roman" w:cs="Times New Roman"/>
              </w:rPr>
              <w:br/>
            </w:r>
            <w:r w:rsidRPr="00CB2EC4">
              <w:rPr>
                <w:rFonts w:ascii="Times New Roman" w:hAnsi="Times New Roman" w:cs="Times New Roman"/>
              </w:rPr>
              <w:br/>
              <w:t>These differences make Type IV surgery suitable for cases of central recurrence after radiotherapy where bladder function may be preserved, but with a higher risk of complications.</w:t>
            </w:r>
          </w:p>
        </w:tc>
        <w:tc>
          <w:tcPr>
            <w:tcW w:w="1152" w:type="dxa"/>
            <w:vAlign w:val="center"/>
          </w:tcPr>
          <w:p w14:paraId="4FA14B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9DFDB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FF04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E44C41" w14:textId="77777777">
        <w:tc>
          <w:tcPr>
            <w:tcW w:w="2160" w:type="dxa"/>
            <w:vAlign w:val="center"/>
          </w:tcPr>
          <w:p w14:paraId="3ADBF195"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2CFA40B" w14:textId="77777777" w:rsidR="00922249" w:rsidRPr="00CB2EC4" w:rsidRDefault="003011D5">
            <w:pPr>
              <w:rPr>
                <w:rFonts w:ascii="Times New Roman" w:hAnsi="Times New Roman" w:cs="Times New Roman"/>
              </w:rPr>
            </w:pPr>
            <w:r w:rsidRPr="00CB2EC4">
              <w:rPr>
                <w:rFonts w:ascii="Times New Roman" w:hAnsi="Times New Roman" w:cs="Times New Roman"/>
              </w:rPr>
              <w:t>the main differences between Type IV radical hysterectomy and Type III are as follows:</w:t>
            </w:r>
            <w:r w:rsidRPr="00CB2EC4">
              <w:rPr>
                <w:rFonts w:ascii="Times New Roman" w:hAnsi="Times New Roman" w:cs="Times New Roman"/>
              </w:rPr>
              <w:br/>
            </w:r>
            <w:r w:rsidRPr="00CB2EC4">
              <w:rPr>
                <w:rFonts w:ascii="Times New Roman" w:hAnsi="Times New Roman" w:cs="Times New Roman"/>
              </w:rPr>
              <w:br/>
              <w:t>1.  **Ureter management:** In Type IV surgery, the ureter is completely dissected from the pubovesical ligament, and all paraureteral tissue is removed. In Type III, only partial dissection of the ureter is performed, with some tissue retained to reduce the risk of fistula formation.</w:t>
            </w:r>
            <w:r w:rsidRPr="00CB2EC4">
              <w:rPr>
                <w:rFonts w:ascii="Times New Roman" w:hAnsi="Times New Roman" w:cs="Times New Roman"/>
              </w:rPr>
              <w:br/>
              <w:t>2.  **Vascular management:** Type IV surgery does not preserve the superior vesical artery, whereas Type III preserves this artery to maintain blood supply to the distal ureter.</w:t>
            </w:r>
            <w:r w:rsidRPr="00CB2EC4">
              <w:rPr>
                <w:rFonts w:ascii="Times New Roman" w:hAnsi="Times New Roman" w:cs="Times New Roman"/>
              </w:rPr>
              <w:br/>
              <w:t xml:space="preserve">3.  **Vaginal resection extent:** Type IV resection involves the upper 3/4 of the vagina, while Type III resection involves approximately 1/2 of the vagina (as </w:t>
            </w:r>
            <w:r w:rsidRPr="00CB2EC4">
              <w:rPr>
                <w:rFonts w:ascii="Times New Roman" w:hAnsi="Times New Roman" w:cs="Times New Roman"/>
              </w:rPr>
              <w:lastRenderedPageBreak/>
              <w:t>stated: "resection of approximately 1/2 of the vagina").</w:t>
            </w:r>
            <w:r w:rsidRPr="00CB2EC4">
              <w:rPr>
                <w:rFonts w:ascii="Times New Roman" w:hAnsi="Times New Roman" w:cs="Times New Roman"/>
              </w:rPr>
              <w:br/>
            </w:r>
            <w:r w:rsidRPr="00CB2EC4">
              <w:rPr>
                <w:rFonts w:ascii="Times New Roman" w:hAnsi="Times New Roman" w:cs="Times New Roman"/>
              </w:rPr>
              <w:br/>
              <w:t>Additionally, the document emphasizes that Type IV surgery is indicated for cases of anterior central recurrence after radiotherapy or extensive involvement of the parametrial tissue, but it increases the risk of fistula formation: "Type IV surgery is mainly applied to patients with anterior central recurrence after radiotherapy who may retain bladder function... Since the vessels supplying the bladder are ligated, it significantly increases the risk of fistula formation."</w:t>
            </w:r>
          </w:p>
        </w:tc>
        <w:tc>
          <w:tcPr>
            <w:tcW w:w="1152" w:type="dxa"/>
            <w:vAlign w:val="center"/>
          </w:tcPr>
          <w:p w14:paraId="12D4F5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ED4DF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77DC4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EBCD276" w14:textId="77777777">
        <w:tc>
          <w:tcPr>
            <w:tcW w:w="2160" w:type="dxa"/>
            <w:vAlign w:val="center"/>
          </w:tcPr>
          <w:p w14:paraId="274E333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E101B3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differences between Type IV extended hysterectomy and Type III (standard radical hysterectomy) include the following three points (based on Document Fragment 28):  </w:t>
            </w:r>
            <w:r w:rsidRPr="00CB2EC4">
              <w:rPr>
                <w:rFonts w:ascii="Times New Roman" w:hAnsi="Times New Roman" w:cs="Times New Roman"/>
              </w:rPr>
              <w:br/>
              <w:t xml:space="preserve">1. Ureter management: In Type IV, the ureters are completely dissected from the pubovesical ligament, and the periureteral tissue is thoroughly resected; in Type III, only partial dissection of the ureters is performed, with part of the ligament retained to reduce fistula risk.  </w:t>
            </w:r>
            <w:r w:rsidRPr="00CB2EC4">
              <w:rPr>
                <w:rFonts w:ascii="Times New Roman" w:hAnsi="Times New Roman" w:cs="Times New Roman"/>
              </w:rPr>
              <w:br/>
              <w:t xml:space="preserve">2. Vascular management: Type IV does not preserve the superior vesical artery, potentially increasing the risk of bladder fistula; Type III preserves the superior vesical artery to maintain distal ureter blood supply.  </w:t>
            </w:r>
            <w:r w:rsidRPr="00CB2EC4">
              <w:rPr>
                <w:rFonts w:ascii="Times New Roman" w:hAnsi="Times New Roman" w:cs="Times New Roman"/>
              </w:rPr>
              <w:br/>
              <w:t xml:space="preserve">3. Vaginal resection extent: Type IV resects the upper 3/4 of the vagina, which is more extensive than Type III (resection of 1/2 of the vagina), and is indicated for central recurrences involving parametrial tissue.  </w:t>
            </w:r>
            <w:r w:rsidRPr="00CB2EC4">
              <w:rPr>
                <w:rFonts w:ascii="Times New Roman" w:hAnsi="Times New Roman" w:cs="Times New Roman"/>
              </w:rPr>
              <w:br/>
              <w:t xml:space="preserve">These differences make Type IV surgery suitable for patients with post-radiation recurrence who require bladder function preservation, but it carries a higher </w:t>
            </w:r>
            <w:r w:rsidRPr="00CB2EC4">
              <w:rPr>
                <w:rFonts w:ascii="Times New Roman" w:hAnsi="Times New Roman" w:cs="Times New Roman"/>
              </w:rPr>
              <w:lastRenderedPageBreak/>
              <w:t>risk of complications (Document Fragment 28: Type IV differs from Type III in 3 points...).</w:t>
            </w:r>
          </w:p>
        </w:tc>
        <w:tc>
          <w:tcPr>
            <w:tcW w:w="1152" w:type="dxa"/>
            <w:vAlign w:val="center"/>
          </w:tcPr>
          <w:p w14:paraId="4AF059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9DEC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8336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C25DCDF" w14:textId="77777777">
        <w:tc>
          <w:tcPr>
            <w:tcW w:w="2160" w:type="dxa"/>
            <w:vAlign w:val="center"/>
          </w:tcPr>
          <w:p w14:paraId="4CE2BA04"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107160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main differences between Type IV radical hysterectomy (corresponding to Q-M classification Type D) and Type III (corresponding to Q-M classification Type C) lie in the surgical extent and indications:  </w:t>
            </w:r>
            <w:r w:rsidRPr="00CB2EC4">
              <w:rPr>
                <w:rFonts w:ascii="Times New Roman" w:hAnsi="Times New Roman" w:cs="Times New Roman"/>
              </w:rPr>
              <w:br/>
              <w:t xml:space="preserve">- **Type III (C-type):**  </w:t>
            </w:r>
            <w:r w:rsidRPr="00CB2EC4">
              <w:rPr>
                <w:rFonts w:ascii="Times New Roman" w:hAnsi="Times New Roman" w:cs="Times New Roman"/>
              </w:rPr>
              <w:br/>
              <w:t xml:space="preserve">  - Classification standard: Piver-Rutledge Type III, Q-M Type C.  </w:t>
            </w:r>
            <w:r w:rsidRPr="00CB2EC4">
              <w:rPr>
                <w:rFonts w:ascii="Times New Roman" w:hAnsi="Times New Roman" w:cs="Times New Roman"/>
              </w:rPr>
              <w:br/>
              <w:t xml:space="preserve">  - Indications: Suitable for IB1, IB2, and selected IIA stage cervical cancer.  </w:t>
            </w:r>
            <w:r w:rsidRPr="00CB2EC4">
              <w:rPr>
                <w:rFonts w:ascii="Times New Roman" w:hAnsi="Times New Roman" w:cs="Times New Roman"/>
              </w:rPr>
              <w:br/>
              <w:t xml:space="preserve">  - Surgical extent: Removal of uterus, cervix, and upper 1/4–1/3 of vagina; cardinal ligaments divided at pelvic sidewall; uterosacral ligaments divided near sacral end; ureters dissected but no vascular resection. Nerve preservation is optional (C1 preserves, C2 does not).  </w:t>
            </w:r>
            <w:r w:rsidRPr="00CB2EC4">
              <w:rPr>
                <w:rFonts w:ascii="Times New Roman" w:hAnsi="Times New Roman" w:cs="Times New Roman"/>
              </w:rPr>
              <w:br/>
              <w:t xml:space="preserve">- **Type IV (D-type):**  </w:t>
            </w:r>
            <w:r w:rsidRPr="00CB2EC4">
              <w:rPr>
                <w:rFonts w:ascii="Times New Roman" w:hAnsi="Times New Roman" w:cs="Times New Roman"/>
              </w:rPr>
              <w:br/>
              <w:t xml:space="preserve">  - Classification standard: Q-M Type D (D1 = lateral pelvic extended radical hysterectomy; D2 = lateral pelvic exenteration).  </w:t>
            </w:r>
            <w:r w:rsidRPr="00CB2EC4">
              <w:rPr>
                <w:rFonts w:ascii="Times New Roman" w:hAnsi="Times New Roman" w:cs="Times New Roman"/>
              </w:rPr>
              <w:br/>
              <w:t xml:space="preserve">  - Indications: Suitable for locally advanced or recurrent cancer, e.g., tumor invading pelvic wall or post-radiation uncontrolled cases.  </w:t>
            </w:r>
            <w:r w:rsidRPr="00CB2EC4">
              <w:rPr>
                <w:rFonts w:ascii="Times New Roman" w:hAnsi="Times New Roman" w:cs="Times New Roman"/>
              </w:rPr>
              <w:br/>
              <w:t xml:space="preserve">  - Surgical extent: More extensive, including resection of internal iliac vessels (D1) or pelvic wall muscles/fascia (D2); ureters fully mobilized; vaginal resection more extensive as needed; no nerve or vessel preservation.  </w:t>
            </w:r>
            <w:r w:rsidRPr="00CB2EC4">
              <w:rPr>
                <w:rFonts w:ascii="Times New Roman" w:hAnsi="Times New Roman" w:cs="Times New Roman"/>
              </w:rPr>
              <w:br/>
              <w:t xml:space="preserve">Main distinction: Type IV involves resection of vessels and pelvic wall structures (e.g., internal iliac vessels or pelvic wall musculature), indicated for more advanced stages; Type III focuses on parametrial </w:t>
            </w:r>
            <w:r w:rsidRPr="00CB2EC4">
              <w:rPr>
                <w:rFonts w:ascii="Times New Roman" w:hAnsi="Times New Roman" w:cs="Times New Roman"/>
              </w:rPr>
              <w:lastRenderedPageBreak/>
              <w:t>resection with partial structure preservation (e.g., nerves), indicated for early-stage cancer.</w:t>
            </w:r>
          </w:p>
        </w:tc>
        <w:tc>
          <w:tcPr>
            <w:tcW w:w="1152" w:type="dxa"/>
            <w:vAlign w:val="center"/>
          </w:tcPr>
          <w:p w14:paraId="77E553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3AFF6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8728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85273D" w14:textId="77777777">
        <w:tc>
          <w:tcPr>
            <w:tcW w:w="2160" w:type="dxa"/>
            <w:vAlign w:val="center"/>
          </w:tcPr>
          <w:p w14:paraId="33972E9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49E3BC36" w14:textId="77777777" w:rsidR="00922249" w:rsidRPr="00CB2EC4" w:rsidRDefault="003011D5">
            <w:pPr>
              <w:rPr>
                <w:rFonts w:ascii="Times New Roman" w:hAnsi="Times New Roman" w:cs="Times New Roman"/>
              </w:rPr>
            </w:pPr>
            <w:r w:rsidRPr="00CB2EC4">
              <w:rPr>
                <w:rFonts w:ascii="Times New Roman" w:hAnsi="Times New Roman" w:cs="Times New Roman"/>
              </w:rPr>
              <w:t>The main differences between Type IV radical hysterectomy (Piver IV) and Type III are as follows:</w:t>
            </w:r>
            <w:r w:rsidRPr="00CB2EC4">
              <w:rPr>
                <w:rFonts w:ascii="Times New Roman" w:hAnsi="Times New Roman" w:cs="Times New Roman"/>
              </w:rPr>
              <w:br/>
            </w:r>
            <w:r w:rsidRPr="00CB2EC4">
              <w:rPr>
                <w:rFonts w:ascii="Times New Roman" w:hAnsi="Times New Roman" w:cs="Times New Roman"/>
              </w:rPr>
              <w:br/>
              <w:t>- **Type III**: The resection includes the uterus, cervix, upper one-third of the vagina, parametrial tissue, cardinal ligaments, and the proximal half of the uterosacral ligaments (approximately 50% of ligament length) near the pelvic wall, while preserving the integrity of the ureters and bladder.</w:t>
            </w:r>
            <w:r w:rsidRPr="00CB2EC4">
              <w:rPr>
                <w:rFonts w:ascii="Times New Roman" w:hAnsi="Times New Roman" w:cs="Times New Roman"/>
              </w:rPr>
              <w:br/>
            </w:r>
            <w:r w:rsidRPr="00CB2EC4">
              <w:rPr>
                <w:rFonts w:ascii="Times New Roman" w:hAnsi="Times New Roman" w:cs="Times New Roman"/>
              </w:rPr>
              <w:br/>
              <w:t>- **Type IV**: The resection is more extensive, encompassing all structures removed in Type III plus partial resection of the ureteral tunnel and paravesical tissues (with ureteral dissection when necessary), and may involve partial resection of the bladder or rectal wall. This type is indicated for more advanced or recurrent tumors.</w:t>
            </w:r>
            <w:r w:rsidRPr="00CB2EC4">
              <w:rPr>
                <w:rFonts w:ascii="Times New Roman" w:hAnsi="Times New Roman" w:cs="Times New Roman"/>
              </w:rPr>
              <w:br/>
            </w:r>
            <w:r w:rsidRPr="00CB2EC4">
              <w:rPr>
                <w:rFonts w:ascii="Times New Roman" w:hAnsi="Times New Roman" w:cs="Times New Roman"/>
              </w:rPr>
              <w:br/>
              <w:t>The core distinction lies in Type IV being designed for lesions with broader infiltration, sacrificing more normal tissue to achieve radical resection.</w:t>
            </w:r>
          </w:p>
        </w:tc>
        <w:tc>
          <w:tcPr>
            <w:tcW w:w="1152" w:type="dxa"/>
            <w:vAlign w:val="center"/>
          </w:tcPr>
          <w:p w14:paraId="40B83D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71D63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D6D98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487DD03" w14:textId="77777777">
        <w:tc>
          <w:tcPr>
            <w:tcW w:w="10656" w:type="dxa"/>
            <w:gridSpan w:val="5"/>
            <w:tcBorders>
              <w:bottom w:val="single" w:sz="6" w:space="0" w:color="auto"/>
            </w:tcBorders>
            <w:vAlign w:val="center"/>
          </w:tcPr>
          <w:p w14:paraId="7F3F2553"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174: For patients with cervical cancer that is not controlled by radiotherapy after a cesarean section, what surgical options should be considered?</w:t>
            </w:r>
          </w:p>
        </w:tc>
      </w:tr>
      <w:tr w:rsidR="00922249" w:rsidRPr="00CB2EC4" w14:paraId="322BB415" w14:textId="77777777">
        <w:tc>
          <w:tcPr>
            <w:tcW w:w="2160" w:type="dxa"/>
            <w:vAlign w:val="center"/>
          </w:tcPr>
          <w:p w14:paraId="5B36794E"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3D88E8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specific surgical methods for cervical cancer patients with uncontrolled radiotherapy after cesarean section are provided in the knowledge base. The documents discuss general principles for managing recurrence after radiotherapy (e.g., "surgical treatment may be performed for central recurrence after radiotherapy"), but do not address the specific scenario following cesarean section. The text fragment </w:t>
            </w:r>
            <w:r w:rsidRPr="00CB2EC4">
              <w:rPr>
                <w:rFonts w:ascii="Times New Roman" w:hAnsi="Times New Roman" w:cs="Times New Roman"/>
              </w:rPr>
              <w:lastRenderedPageBreak/>
              <w:t>(similarity: 0.556) states: "For patients with recurrence after treatment, the treatment plan should be determined based on the site, extent of recurrence, and the method of initial treatment. For recurrent invasive cancer after surgery, radiotherapy is generally administered. For central recurrence after radiotherapy, surgical treatment may be performed..." However, this is not refined to cases after cesarean section, so no document-based answer can be provided.</w:t>
            </w:r>
          </w:p>
        </w:tc>
        <w:tc>
          <w:tcPr>
            <w:tcW w:w="1152" w:type="dxa"/>
            <w:vAlign w:val="center"/>
          </w:tcPr>
          <w:p w14:paraId="35E0F8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2AA6B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EF619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2FD718E" w14:textId="77777777">
        <w:tc>
          <w:tcPr>
            <w:tcW w:w="2160" w:type="dxa"/>
            <w:vAlign w:val="center"/>
          </w:tcPr>
          <w:p w14:paraId="51A8517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14AE34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cesarean section and uncontrolled radiotherapy for cervical cancer, the following surgical approaches may be considered based on the condition (Fragment 14, Fragment 24):  </w:t>
            </w:r>
            <w:r w:rsidRPr="00CB2EC4">
              <w:rPr>
                <w:rFonts w:ascii="Times New Roman" w:hAnsi="Times New Roman" w:cs="Times New Roman"/>
              </w:rPr>
              <w:br/>
              <w:t>→ Extrafascial total hysterectomy: Suitable for patients with central recurrence and no distant metastasis. The resection range is conservative to avoid excessive injury (Fragment 14).</w:t>
            </w:r>
          </w:p>
        </w:tc>
        <w:tc>
          <w:tcPr>
            <w:tcW w:w="1152" w:type="dxa"/>
            <w:vAlign w:val="center"/>
          </w:tcPr>
          <w:p w14:paraId="70FEF8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089BC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08E3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4D15C62" w14:textId="77777777">
        <w:tc>
          <w:tcPr>
            <w:tcW w:w="2160" w:type="dxa"/>
            <w:vAlign w:val="center"/>
          </w:tcPr>
          <w:p w14:paraId="5FFA255B"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A780CE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cesarean section and uncontrolled radiotherapy for cervical cancer, the following surgical approaches may be adopted:  </w:t>
            </w:r>
            <w:r w:rsidRPr="00CB2EC4">
              <w:rPr>
                <w:rFonts w:ascii="Times New Roman" w:hAnsi="Times New Roman" w:cs="Times New Roman"/>
              </w:rPr>
              <w:br/>
              <w:t xml:space="preserve">- Fascial extraperitoneal hysterectomy or subtotal hysterectomy: combined with selective pelvic lymphadenectomy (Fragment 3).  </w:t>
            </w:r>
            <w:r w:rsidRPr="00CB2EC4">
              <w:rPr>
                <w:rFonts w:ascii="Times New Roman" w:hAnsi="Times New Roman" w:cs="Times New Roman"/>
              </w:rPr>
              <w:br/>
              <w:t xml:space="preserve">- Pelvic exenteration (pelvic exenteration): if intraoperative exploration reveals the tumor has not invaded the pelvic wall or lymph nodes, and recurrence is limited to the pelvis (Fragment 28).  </w:t>
            </w:r>
            <w:r w:rsidRPr="00CB2EC4">
              <w:rPr>
                <w:rFonts w:ascii="Times New Roman" w:hAnsi="Times New Roman" w:cs="Times New Roman"/>
              </w:rPr>
              <w:br/>
              <w:t xml:space="preserve">   - Specific types (such as anterior, posterior, or total pelvic exenteration) depend on tumor location (Fragment 28).  </w:t>
            </w:r>
            <w:r w:rsidRPr="00CB2EC4">
              <w:rPr>
                <w:rFonts w:ascii="Times New Roman" w:hAnsi="Times New Roman" w:cs="Times New Roman"/>
              </w:rPr>
              <w:br/>
              <w:t xml:space="preserve">These approaches are applicable for cases uncontrolled or recurrent after radiotherapy, requiring </w:t>
            </w:r>
            <w:r w:rsidRPr="00CB2EC4">
              <w:rPr>
                <w:rFonts w:ascii="Times New Roman" w:hAnsi="Times New Roman" w:cs="Times New Roman"/>
              </w:rPr>
              <w:lastRenderedPageBreak/>
              <w:t>preoperative evaluation (such as imaging) to exclude distant metastasis (Fragment 28).</w:t>
            </w:r>
          </w:p>
        </w:tc>
        <w:tc>
          <w:tcPr>
            <w:tcW w:w="1152" w:type="dxa"/>
            <w:vAlign w:val="center"/>
          </w:tcPr>
          <w:p w14:paraId="0A946C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B1A63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E5C45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37238A" w14:textId="77777777">
        <w:tc>
          <w:tcPr>
            <w:tcW w:w="2160" w:type="dxa"/>
            <w:vAlign w:val="center"/>
          </w:tcPr>
          <w:p w14:paraId="1ED20DF2"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B6DB794"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patients with uncontrolled disease after cesarean section and radiotherapy, the following surgical approaches should be selected based on the recurrence site:</w:t>
            </w:r>
            <w:r w:rsidRPr="00CB2EC4">
              <w:rPr>
                <w:rFonts w:ascii="Times New Roman" w:hAnsi="Times New Roman" w:cs="Times New Roman"/>
              </w:rPr>
              <w:br/>
            </w:r>
            <w:r w:rsidRPr="00CB2EC4">
              <w:rPr>
                <w:rFonts w:ascii="Times New Roman" w:hAnsi="Times New Roman" w:cs="Times New Roman"/>
              </w:rPr>
              <w:br/>
              <w:t xml:space="preserve">1. Central recurrence (bladder/ureter involvement):  </w:t>
            </w:r>
            <w:r w:rsidRPr="00CB2EC4">
              <w:rPr>
                <w:rFonts w:ascii="Times New Roman" w:hAnsi="Times New Roman" w:cs="Times New Roman"/>
              </w:rPr>
              <w:br/>
              <w:t xml:space="preserve">   - Type V radical hysterectomy: Resection of the involved distal ureter/bladder followed by ureteroneocystostomy.</w:t>
            </w:r>
            <w:r w:rsidRPr="00CB2EC4">
              <w:rPr>
                <w:rFonts w:ascii="Times New Roman" w:hAnsi="Times New Roman" w:cs="Times New Roman"/>
              </w:rPr>
              <w:br/>
            </w:r>
            <w:r w:rsidRPr="00CB2EC4">
              <w:rPr>
                <w:rFonts w:ascii="Times New Roman" w:hAnsi="Times New Roman" w:cs="Times New Roman"/>
              </w:rPr>
              <w:br/>
              <w:t xml:space="preserve">2. Non-central recurrence:  </w:t>
            </w:r>
            <w:r w:rsidRPr="00CB2EC4">
              <w:rPr>
                <w:rFonts w:ascii="Times New Roman" w:hAnsi="Times New Roman" w:cs="Times New Roman"/>
              </w:rPr>
              <w:br/>
              <w:t xml:space="preserve">   - Radiotherapy or chemotherapy is the primary treatment, with surgery not being the first choice. Surgery is only used for isolated metastases or symptom relief.</w:t>
            </w:r>
            <w:r w:rsidRPr="00CB2EC4">
              <w:rPr>
                <w:rFonts w:ascii="Times New Roman" w:hAnsi="Times New Roman" w:cs="Times New Roman"/>
              </w:rPr>
              <w:br/>
            </w:r>
            <w:r w:rsidRPr="00CB2EC4">
              <w:rPr>
                <w:rFonts w:ascii="Times New Roman" w:hAnsi="Times New Roman" w:cs="Times New Roman"/>
              </w:rPr>
              <w:br/>
              <w:t xml:space="preserve">3. Extensive recurrence:  </w:t>
            </w:r>
            <w:r w:rsidRPr="00CB2EC4">
              <w:rPr>
                <w:rFonts w:ascii="Times New Roman" w:hAnsi="Times New Roman" w:cs="Times New Roman"/>
              </w:rPr>
              <w:br/>
              <w:t xml:space="preserve">   - Pelvic exenteration (such as anterior pelvic exenteration, posterior pelvic exenteration, or total pelvic exenteration), applicable for cases without distant metastasis, but requires ostomy creation.</w:t>
            </w:r>
          </w:p>
        </w:tc>
        <w:tc>
          <w:tcPr>
            <w:tcW w:w="1152" w:type="dxa"/>
            <w:vAlign w:val="center"/>
          </w:tcPr>
          <w:p w14:paraId="3B28B1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33195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02FA0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66ABC0A" w14:textId="77777777">
        <w:tc>
          <w:tcPr>
            <w:tcW w:w="2160" w:type="dxa"/>
            <w:vAlign w:val="center"/>
          </w:tcPr>
          <w:p w14:paraId="245B6902"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1D83F93" w14:textId="77777777" w:rsidR="00922249" w:rsidRPr="00CB2EC4" w:rsidRDefault="003011D5">
            <w:pPr>
              <w:rPr>
                <w:rFonts w:ascii="Times New Roman" w:hAnsi="Times New Roman" w:cs="Times New Roman"/>
              </w:rPr>
            </w:pPr>
            <w:r w:rsidRPr="00CB2EC4">
              <w:rPr>
                <w:rFonts w:ascii="Times New Roman" w:hAnsi="Times New Roman" w:cs="Times New Roman"/>
              </w:rPr>
              <w:t>no answer in knowledge base.</w:t>
            </w:r>
            <w:r w:rsidRPr="00CB2EC4">
              <w:rPr>
                <w:rFonts w:ascii="Times New Roman" w:hAnsi="Times New Roman" w:cs="Times New Roman"/>
              </w:rPr>
              <w:br/>
            </w:r>
            <w:r w:rsidRPr="00CB2EC4">
              <w:rPr>
                <w:rFonts w:ascii="Times New Roman" w:hAnsi="Times New Roman" w:cs="Times New Roman"/>
              </w:rPr>
              <w:br/>
              <w:t>- The document fragments discuss surgical treatments for recurrent or uncontrolled cervical cancer after radiotherapy, such as radical hysterectomy or pelvic exenteration (e.g., Fragment 16 and Fragment 29), but do not mention the specific context of "after cesarean section." Therefore, based on the provided context, specific surgical approaches cannot be determined.</w:t>
            </w:r>
          </w:p>
        </w:tc>
        <w:tc>
          <w:tcPr>
            <w:tcW w:w="1152" w:type="dxa"/>
            <w:vAlign w:val="center"/>
          </w:tcPr>
          <w:p w14:paraId="400BE0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29EC0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F40DC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3154B53" w14:textId="77777777">
        <w:tc>
          <w:tcPr>
            <w:tcW w:w="2160" w:type="dxa"/>
            <w:vAlign w:val="center"/>
          </w:tcPr>
          <w:p w14:paraId="37BC9537"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8B520B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what surgical approaches should be adopted for </w:t>
            </w:r>
            <w:r w:rsidRPr="00CB2EC4">
              <w:rPr>
                <w:rFonts w:ascii="Times New Roman" w:hAnsi="Times New Roman" w:cs="Times New Roman"/>
              </w:rPr>
              <w:lastRenderedPageBreak/>
              <w:t>cervical cancer patients with uncontrolled disease after cesarean section and radiotherapy?</w:t>
            </w:r>
            <w:r w:rsidRPr="00CB2EC4">
              <w:rPr>
                <w:rFonts w:ascii="Times New Roman" w:hAnsi="Times New Roman" w:cs="Times New Roman"/>
              </w:rPr>
              <w:br/>
            </w:r>
            <w:r w:rsidRPr="00CB2EC4">
              <w:rPr>
                <w:rFonts w:ascii="Times New Roman" w:hAnsi="Times New Roman" w:cs="Times New Roman"/>
              </w:rPr>
              <w:br/>
              <w:t xml:space="preserve">according to contextual information (document 12), the following surgical methods may be used for cervical cancer patients with uncontrolled disease after cesarean section and radiotherapy:  </w:t>
            </w:r>
            <w:r w:rsidRPr="00CB2EC4">
              <w:rPr>
                <w:rFonts w:ascii="Times New Roman" w:hAnsi="Times New Roman" w:cs="Times New Roman"/>
              </w:rPr>
              <w:br/>
              <w:t xml:space="preserve">- extrafascial hysterectomy or subtotal hysterectomy: combined with selective pelvic lymphadenectomy. applicable for cases of local recurrence after radiotherapy without distant metastasis.  </w:t>
            </w:r>
            <w:r w:rsidRPr="00CB2EC4">
              <w:rPr>
                <w:rFonts w:ascii="Times New Roman" w:hAnsi="Times New Roman" w:cs="Times New Roman"/>
              </w:rPr>
              <w:br/>
              <w:t>- more extensive surgery (such as pelvic exenteration): if recurrence involves the bladder or rectum, anterior pelvic exenteration (removal of bladder) or posterior pelvic exenteration (removal of rectum) may be performed, but contraindications for surgery (such as extrapelvic metastasis) must be strictly evaluated. the document states that such procedures should be carried out after laparotomy confirms the absence of distant metastasis and may require reconstructive operations such as ureteral transplantation.</w:t>
            </w:r>
          </w:p>
        </w:tc>
        <w:tc>
          <w:tcPr>
            <w:tcW w:w="1152" w:type="dxa"/>
            <w:vAlign w:val="center"/>
          </w:tcPr>
          <w:p w14:paraId="37B40B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12E02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3486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4D4B32" w14:textId="77777777">
        <w:tc>
          <w:tcPr>
            <w:tcW w:w="2160" w:type="dxa"/>
            <w:vAlign w:val="center"/>
          </w:tcPr>
          <w:p w14:paraId="72F79F8B"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0B08305" w14:textId="77777777" w:rsidR="00922249" w:rsidRPr="00CB2EC4" w:rsidRDefault="003011D5">
            <w:pPr>
              <w:rPr>
                <w:rFonts w:ascii="Times New Roman" w:hAnsi="Times New Roman" w:cs="Times New Roman"/>
              </w:rPr>
            </w:pPr>
            <w:r w:rsidRPr="00CB2EC4">
              <w:rPr>
                <w:rFonts w:ascii="Times New Roman" w:hAnsi="Times New Roman" w:cs="Times New Roman"/>
              </w:rPr>
              <w:t>after cesarean section, for cervical cancer patients with uncontrolled disease following radiotherapy, the surgical options are:</w:t>
            </w:r>
            <w:r w:rsidRPr="00CB2EC4">
              <w:rPr>
                <w:rFonts w:ascii="Times New Roman" w:hAnsi="Times New Roman" w:cs="Times New Roman"/>
              </w:rPr>
              <w:br/>
            </w:r>
            <w:r w:rsidRPr="00CB2EC4">
              <w:rPr>
                <w:rFonts w:ascii="Times New Roman" w:hAnsi="Times New Roman" w:cs="Times New Roman"/>
              </w:rPr>
              <w:br/>
              <w:t>if recurrence is central (e.g., cervix, vagina) and there is no distant metastasis, pelvic exenteration (such as anterior, posterior, or total pelvic exenteration) is indicated. The document states: "Eligible patients may achieve curative intent through pelvic exenteration" (HyDE similarity 0.592). For non-central recurrence, individualized radiotherapy or chemotherapy should be considered.</w:t>
            </w:r>
          </w:p>
        </w:tc>
        <w:tc>
          <w:tcPr>
            <w:tcW w:w="1152" w:type="dxa"/>
            <w:vAlign w:val="center"/>
          </w:tcPr>
          <w:p w14:paraId="2E9F23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A2085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CACFC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CD8431C" w14:textId="77777777">
        <w:tc>
          <w:tcPr>
            <w:tcW w:w="2160" w:type="dxa"/>
            <w:vAlign w:val="center"/>
          </w:tcPr>
          <w:p w14:paraId="574A8EE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62596100"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patients with uncontrolled disease after radiotherapy following cesarean section, surgical approaches should be selected based on the principles for recurrent cervical cancer, as radiotherapy-uncontrolled cases are considered recurrence (document fragment 13, similarity 0.548; fragment 22, similarity 0.332). surgical options depend on the site and extent of recurrence:</w:t>
            </w:r>
            <w:r w:rsidRPr="00CB2EC4">
              <w:rPr>
                <w:rFonts w:ascii="Times New Roman" w:hAnsi="Times New Roman" w:cs="Times New Roman"/>
              </w:rPr>
              <w:br/>
            </w:r>
            <w:r w:rsidRPr="00CB2EC4">
              <w:rPr>
                <w:rFonts w:ascii="Times New Roman" w:hAnsi="Times New Roman" w:cs="Times New Roman"/>
              </w:rPr>
              <w:br/>
              <w:t>- central recurrence (e.g., involving cervix, vagina, bladder, or rectum): pelvic exenteration (pelvic evisceration) is recommended, including anterior, posterior, or total pelvic exenteration, which may require permanent ostomy (fragment 13 table 11-1 and fragment 22).</w:t>
            </w:r>
            <w:r w:rsidRPr="00CB2EC4">
              <w:rPr>
                <w:rFonts w:ascii="Times New Roman" w:hAnsi="Times New Roman" w:cs="Times New Roman"/>
              </w:rPr>
              <w:br/>
            </w:r>
            <w:r w:rsidRPr="00CB2EC4">
              <w:rPr>
                <w:rFonts w:ascii="Times New Roman" w:hAnsi="Times New Roman" w:cs="Times New Roman"/>
              </w:rPr>
              <w:br/>
              <w:t>- non-central or localized recurrence: radical hysterectomy (e.g., type II or III extended hysterectomy) may be considered, particularly when the recurrent lesion diameter is &lt;2 cm and is assessed as resectable (fragment 22).</w:t>
            </w:r>
            <w:r w:rsidRPr="00CB2EC4">
              <w:rPr>
                <w:rFonts w:ascii="Times New Roman" w:hAnsi="Times New Roman" w:cs="Times New Roman"/>
              </w:rPr>
              <w:br/>
            </w:r>
            <w:r w:rsidRPr="00CB2EC4">
              <w:rPr>
                <w:rFonts w:ascii="Times New Roman" w:hAnsi="Times New Roman" w:cs="Times New Roman"/>
              </w:rPr>
              <w:br/>
              <w:t>- adjuvant therapy: postoperative individualized external beam radiotherapy (EBRT) ± brachytherapy ± systemic therapy (chemotherapy or targeted therapy) may be applied to reduce recurrence risk (fragment 13).</w:t>
            </w:r>
            <w:r w:rsidRPr="00CB2EC4">
              <w:rPr>
                <w:rFonts w:ascii="Times New Roman" w:hAnsi="Times New Roman" w:cs="Times New Roman"/>
              </w:rPr>
              <w:br/>
            </w:r>
            <w:r w:rsidRPr="00CB2EC4">
              <w:rPr>
                <w:rFonts w:ascii="Times New Roman" w:hAnsi="Times New Roman" w:cs="Times New Roman"/>
              </w:rPr>
              <w:br/>
              <w:t>the documents do not specify special management for "post-cesarean section," but radiotherapy-uncontrolled cases are managed per recurrent cancer principles. surgical selection requires comprehensive evaluation (e.g., imaging studies) and patient tolerance.</w:t>
            </w:r>
          </w:p>
        </w:tc>
        <w:tc>
          <w:tcPr>
            <w:tcW w:w="1152" w:type="dxa"/>
            <w:vAlign w:val="center"/>
          </w:tcPr>
          <w:p w14:paraId="19EB2D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E3C20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3C021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F551B89" w14:textId="77777777">
        <w:tc>
          <w:tcPr>
            <w:tcW w:w="2160" w:type="dxa"/>
            <w:vAlign w:val="center"/>
          </w:tcPr>
          <w:p w14:paraId="1F936689"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4D155A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what surgical approaches should be adopted for </w:t>
            </w:r>
            <w:r w:rsidRPr="00CB2EC4">
              <w:rPr>
                <w:rFonts w:ascii="Times New Roman" w:hAnsi="Times New Roman" w:cs="Times New Roman"/>
              </w:rPr>
              <w:lastRenderedPageBreak/>
              <w:t>cervical cancer patients uncontrolled after radiotherapy following cesarean section?</w:t>
            </w:r>
            <w:r w:rsidRPr="00CB2EC4">
              <w:rPr>
                <w:rFonts w:ascii="Times New Roman" w:hAnsi="Times New Roman" w:cs="Times New Roman"/>
              </w:rPr>
              <w:br/>
            </w:r>
            <w:r w:rsidRPr="00CB2EC4">
              <w:rPr>
                <w:rFonts w:ascii="Times New Roman" w:hAnsi="Times New Roman" w:cs="Times New Roman"/>
              </w:rPr>
              <w:br/>
              <w:t>The document recommends the following surgical approaches:</w:t>
            </w:r>
            <w:r w:rsidRPr="00CB2EC4">
              <w:rPr>
                <w:rFonts w:ascii="Times New Roman" w:hAnsi="Times New Roman" w:cs="Times New Roman"/>
              </w:rPr>
              <w:br/>
              <w:t>- Extrafascial hysterectomy or modified radical hysterectomy: as the first choice. If intraoperative exploration reveals positive para-aortic lymph nodes, additional para-aortic lymph node irradiation is performed.</w:t>
            </w:r>
            <w:r w:rsidRPr="00CB2EC4">
              <w:rPr>
                <w:rFonts w:ascii="Times New Roman" w:hAnsi="Times New Roman" w:cs="Times New Roman"/>
              </w:rPr>
              <w:br/>
              <w:t>The document explicitly states: “For patients uncontrolled after full-course radiotherapy following cesarean section, extrafascial hysterectomy or modified radical hysterectomy and selective pelvic lymph node dissection can be performed.” This aims to completely remove residual lesions and reduce the risk of recurrence.</w:t>
            </w:r>
          </w:p>
        </w:tc>
        <w:tc>
          <w:tcPr>
            <w:tcW w:w="1152" w:type="dxa"/>
            <w:vAlign w:val="center"/>
          </w:tcPr>
          <w:p w14:paraId="1DD0F2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3E43C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E5E3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2AAA48" w14:textId="77777777">
        <w:tc>
          <w:tcPr>
            <w:tcW w:w="2160" w:type="dxa"/>
            <w:vAlign w:val="center"/>
          </w:tcPr>
          <w:p w14:paraId="6F0E2A8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D82CCD3" w14:textId="77777777" w:rsidR="00922249" w:rsidRPr="00CB2EC4" w:rsidRDefault="003011D5">
            <w:pPr>
              <w:rPr>
                <w:rFonts w:ascii="Times New Roman" w:hAnsi="Times New Roman" w:cs="Times New Roman"/>
              </w:rPr>
            </w:pPr>
            <w:r w:rsidRPr="00CB2EC4">
              <w:rPr>
                <w:rFonts w:ascii="Times New Roman" w:hAnsi="Times New Roman" w:cs="Times New Roman"/>
              </w:rPr>
              <w:t>after cesarean section and uncontrolled radiotherapy for cervical cancer, the following surgical approaches may be adopted:</w:t>
            </w:r>
            <w:r w:rsidRPr="00CB2EC4">
              <w:rPr>
                <w:rFonts w:ascii="Times New Roman" w:hAnsi="Times New Roman" w:cs="Times New Roman"/>
              </w:rPr>
              <w:br/>
              <w:t>- Main procedure: extrafascial hysterectomy or subtotal hysterectomy (corresponding to type A or B in the Q-M classification), combined with selective pelvic lymphadenectomy.</w:t>
            </w:r>
            <w:r w:rsidRPr="00CB2EC4">
              <w:rPr>
                <w:rFonts w:ascii="Times New Roman" w:hAnsi="Times New Roman" w:cs="Times New Roman"/>
              </w:rPr>
              <w:br/>
              <w:t>- Additional management: if intraoperative exploration reveals positive para-aortic lymph nodes, extended-field radiotherapy to the para-aortic lymph nodes should be added.</w:t>
            </w:r>
            <w:r w:rsidRPr="00CB2EC4">
              <w:rPr>
                <w:rFonts w:ascii="Times New Roman" w:hAnsi="Times New Roman" w:cs="Times New Roman"/>
              </w:rPr>
              <w:br/>
              <w:t>- Individualized consideration: the extent of surgery should be adjusted based on the extent of residual tumor and the patient’s overall condition, emphasizing postoperative adjuvant therapy (such as chemotherapy or radiotherapy) to control the risk of recurrence.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This protocol aims to resect residual lesions via surgery and enhance cure rates by combining with radiotherapy.</w:t>
            </w:r>
          </w:p>
        </w:tc>
        <w:tc>
          <w:tcPr>
            <w:tcW w:w="1152" w:type="dxa"/>
            <w:vAlign w:val="center"/>
          </w:tcPr>
          <w:p w14:paraId="6DF862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CDF8E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75B07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8673FD4" w14:textId="77777777">
        <w:tc>
          <w:tcPr>
            <w:tcW w:w="2160" w:type="dxa"/>
            <w:vAlign w:val="center"/>
          </w:tcPr>
          <w:p w14:paraId="31D37236"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17D1443B"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is available in the provided documents regarding surgical approaches specifically for cervical cancer patients who have undergone cesarean section and have uncontrolled disease after radiotherapy.</w:t>
            </w:r>
            <w:r w:rsidRPr="00CB2EC4">
              <w:rPr>
                <w:rFonts w:ascii="Times New Roman" w:hAnsi="Times New Roman" w:cs="Times New Roman"/>
              </w:rPr>
              <w:br/>
            </w:r>
            <w:r w:rsidRPr="00CB2EC4">
              <w:rPr>
                <w:rFonts w:ascii="Times New Roman" w:hAnsi="Times New Roman" w:cs="Times New Roman"/>
              </w:rPr>
              <w:br/>
              <w:t>the documents discuss surgical options for cervical cancer recurrence after radiotherapy in general, such as radical hysterectomy or pelvic exenteration (e.g., fragment similarity: 0.513), but do not address the specific scenario of post-cesarean section status.</w:t>
            </w:r>
            <w:r w:rsidRPr="00CB2EC4">
              <w:rPr>
                <w:rFonts w:ascii="Times New Roman" w:hAnsi="Times New Roman" w:cs="Times New Roman"/>
              </w:rPr>
              <w:br/>
            </w:r>
            <w:r w:rsidRPr="00CB2EC4">
              <w:rPr>
                <w:rFonts w:ascii="Times New Roman" w:hAnsi="Times New Roman" w:cs="Times New Roman"/>
              </w:rPr>
              <w:br/>
              <w:t>searches for keywords including "cesarean section," "postpartum," and related terms did not yield relevant context in the source material.</w:t>
            </w:r>
            <w:r w:rsidRPr="00CB2EC4">
              <w:rPr>
                <w:rFonts w:ascii="Times New Roman" w:hAnsi="Times New Roman" w:cs="Times New Roman"/>
              </w:rPr>
              <w:br/>
            </w:r>
            <w:r w:rsidRPr="00CB2EC4">
              <w:rPr>
                <w:rFonts w:ascii="Times New Roman" w:hAnsi="Times New Roman" w:cs="Times New Roman"/>
              </w:rPr>
              <w:br/>
              <w:t>therefore, no answer can be derived from the knowledge base. consultation of broader clinical guidelines or a multidisciplinary tumor board is recommended.</w:t>
            </w:r>
          </w:p>
        </w:tc>
        <w:tc>
          <w:tcPr>
            <w:tcW w:w="1152" w:type="dxa"/>
            <w:vAlign w:val="center"/>
          </w:tcPr>
          <w:p w14:paraId="523351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5C182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BBD4E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39EF4CA" w14:textId="77777777">
        <w:tc>
          <w:tcPr>
            <w:tcW w:w="2160" w:type="dxa"/>
            <w:vAlign w:val="center"/>
          </w:tcPr>
          <w:p w14:paraId="5C088753"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E3C56C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cesarean section and uncontrolled radiotherapy for cervical cancer patients (i.e., central recurrence), the surgical approach should be selected based on the extent of recurrence and organ involvement (according to document fragment 26):  </w:t>
            </w:r>
            <w:r w:rsidRPr="00CB2EC4">
              <w:rPr>
                <w:rFonts w:ascii="Times New Roman" w:hAnsi="Times New Roman" w:cs="Times New Roman"/>
              </w:rPr>
              <w:br/>
              <w:t xml:space="preserve">1. Type IV extended hysterectomy: indicated for recurrence involving the parametrial tissue but with bladder preservation possible. The procedure includes complete resection of paraureteral tissues, resection of the internal iliac artery along the pelvic wall, and extensive vaginal tissue resection (removal of 3/4 of </w:t>
            </w:r>
            <w:r w:rsidRPr="00CB2EC4">
              <w:rPr>
                <w:rFonts w:ascii="Times New Roman" w:hAnsi="Times New Roman" w:cs="Times New Roman"/>
              </w:rPr>
              <w:lastRenderedPageBreak/>
              <w:t xml:space="preserve">the vagina).  </w:t>
            </w:r>
            <w:r w:rsidRPr="00CB2EC4">
              <w:rPr>
                <w:rFonts w:ascii="Times New Roman" w:hAnsi="Times New Roman" w:cs="Times New Roman"/>
              </w:rPr>
              <w:br/>
              <w:t xml:space="preserve">2. Radical hysterectomy with partial ureter and/or partial bladder resection: indicated for recurrence involving the distal ureter or part of the bladder. After resection of the affected tissue, ureteroneocystostomy is performed to preserve bladder function.  </w:t>
            </w:r>
            <w:r w:rsidRPr="00CB2EC4">
              <w:rPr>
                <w:rFonts w:ascii="Times New Roman" w:hAnsi="Times New Roman" w:cs="Times New Roman"/>
              </w:rPr>
              <w:br/>
              <w:t xml:space="preserve">3. Pelvic exenteration: indicated for extensive recurrence involving both the bladder and rectum, including total pelvic exenteration (removal of bladder and rectum/sigmoid colon) or anterior/posterior pelvic exenteration (selectively preserving bladder or rectum).  </w:t>
            </w:r>
            <w:r w:rsidRPr="00CB2EC4">
              <w:rPr>
                <w:rFonts w:ascii="Times New Roman" w:hAnsi="Times New Roman" w:cs="Times New Roman"/>
              </w:rPr>
              <w:br/>
              <w:t>Selection criteria: lesion size and location; small lesions (&lt;2 cm) have better prognosis, while large lesions require more extensive resection (document fragment 26: when central recurrence involves parametrial tissue... type IV extended hysterectomy is feasible; radical hysterectomy with partial ureter and/or partial bladder resection... is suitable for central recurrence involving part of the bladder and/or distal ureter).</w:t>
            </w:r>
          </w:p>
        </w:tc>
        <w:tc>
          <w:tcPr>
            <w:tcW w:w="1152" w:type="dxa"/>
            <w:vAlign w:val="center"/>
          </w:tcPr>
          <w:p w14:paraId="7BDA62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40EBB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442D9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705AFFB" w14:textId="77777777">
        <w:tc>
          <w:tcPr>
            <w:tcW w:w="2160" w:type="dxa"/>
            <w:vAlign w:val="center"/>
          </w:tcPr>
          <w:p w14:paraId="1421DBC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1FA08F5" w14:textId="77777777" w:rsidR="00922249" w:rsidRPr="00CB2EC4" w:rsidRDefault="003011D5">
            <w:pPr>
              <w:rPr>
                <w:rFonts w:ascii="Times New Roman" w:hAnsi="Times New Roman" w:cs="Times New Roman"/>
              </w:rPr>
            </w:pPr>
            <w:r w:rsidRPr="00CB2EC4">
              <w:rPr>
                <w:rFonts w:ascii="Times New Roman" w:hAnsi="Times New Roman" w:cs="Times New Roman"/>
              </w:rPr>
              <w:t>what surgical approaches should be adopted for cervical cancer patients with uncontrolled disease after radiotherapy following cesarean section?</w:t>
            </w:r>
            <w:r w:rsidRPr="00CB2EC4">
              <w:rPr>
                <w:rFonts w:ascii="Times New Roman" w:hAnsi="Times New Roman" w:cs="Times New Roman"/>
              </w:rPr>
              <w:br/>
            </w:r>
            <w:r w:rsidRPr="00CB2EC4">
              <w:rPr>
                <w:rFonts w:ascii="Times New Roman" w:hAnsi="Times New Roman" w:cs="Times New Roman"/>
              </w:rPr>
              <w:br/>
              <w:t>No relevant information found in the knowledge base.</w:t>
            </w:r>
            <w:r w:rsidRPr="00CB2EC4">
              <w:rPr>
                <w:rFonts w:ascii="Times New Roman" w:hAnsi="Times New Roman" w:cs="Times New Roman"/>
              </w:rPr>
              <w:br/>
              <w:t xml:space="preserve">- The provided contextual information (all relevant excerpts) does not mention the specific scenario of "uncontrolled cervical cancer after radiotherapy following cesarean section." Excerpt 3 (original block 43-45) discusses treatment for recurrent cervical cancer (e.g., pelvic exenteration for recurrence after radiotherapy), but does not involve a cesarean section background. Therefore, accurate surgical options </w:t>
            </w:r>
            <w:r w:rsidRPr="00CB2EC4">
              <w:rPr>
                <w:rFonts w:ascii="Times New Roman" w:hAnsi="Times New Roman" w:cs="Times New Roman"/>
              </w:rPr>
              <w:lastRenderedPageBreak/>
              <w:t>cannot be determined based on the document.</w:t>
            </w:r>
          </w:p>
        </w:tc>
        <w:tc>
          <w:tcPr>
            <w:tcW w:w="1152" w:type="dxa"/>
            <w:vAlign w:val="center"/>
          </w:tcPr>
          <w:p w14:paraId="203695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91C56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F2770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DED0E6F" w14:textId="77777777">
        <w:tc>
          <w:tcPr>
            <w:tcW w:w="2160" w:type="dxa"/>
            <w:vAlign w:val="center"/>
          </w:tcPr>
          <w:p w14:paraId="203CEBC1"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C2D0E19" w14:textId="77777777" w:rsidR="00922249" w:rsidRPr="00CB2EC4" w:rsidRDefault="003011D5">
            <w:pPr>
              <w:rPr>
                <w:rFonts w:ascii="Times New Roman" w:hAnsi="Times New Roman" w:cs="Times New Roman"/>
              </w:rPr>
            </w:pPr>
            <w:r w:rsidRPr="00CB2EC4">
              <w:rPr>
                <w:rFonts w:ascii="Times New Roman" w:hAnsi="Times New Roman" w:cs="Times New Roman"/>
              </w:rPr>
              <w:t>for cervical cancer patients uncontrolled by radiotherapy after cesarean section, the recommended salvage surgical approaches include:</w:t>
            </w:r>
            <w:r w:rsidRPr="00CB2EC4">
              <w:rPr>
                <w:rFonts w:ascii="Times New Roman" w:hAnsi="Times New Roman" w:cs="Times New Roman"/>
              </w:rPr>
              <w:br/>
            </w:r>
            <w:r w:rsidRPr="00CB2EC4">
              <w:rPr>
                <w:rFonts w:ascii="Times New Roman" w:hAnsi="Times New Roman" w:cs="Times New Roman"/>
              </w:rPr>
              <w:br/>
              <w:t>- Total pelvic exenteration: removal of the uterus, cervix, vagina, bladder, rectum, and adjacent lymph nodes, indicated for central recurrence or persistent disease.</w:t>
            </w:r>
            <w:r w:rsidRPr="00CB2EC4">
              <w:rPr>
                <w:rFonts w:ascii="Times New Roman" w:hAnsi="Times New Roman" w:cs="Times New Roman"/>
              </w:rPr>
              <w:br/>
              <w:t>- Posterior pelvic exenteration: removal of the uterus, cervix, vagina, and rectum while preserving the bladder, indicated for lesions confined to the posterior pelvis.</w:t>
            </w:r>
            <w:r w:rsidRPr="00CB2EC4">
              <w:rPr>
                <w:rFonts w:ascii="Times New Roman" w:hAnsi="Times New Roman" w:cs="Times New Roman"/>
              </w:rPr>
              <w:br/>
            </w:r>
            <w:r w:rsidRPr="00CB2EC4">
              <w:rPr>
                <w:rFonts w:ascii="Times New Roman" w:hAnsi="Times New Roman" w:cs="Times New Roman"/>
              </w:rPr>
              <w:br/>
              <w:t>Surgical selection must be based on tumor location, size, and the patient’s general condition, emphasizing multidisciplinary evaluation to control complication risks.</w:t>
            </w:r>
          </w:p>
        </w:tc>
        <w:tc>
          <w:tcPr>
            <w:tcW w:w="1152" w:type="dxa"/>
            <w:vAlign w:val="center"/>
          </w:tcPr>
          <w:p w14:paraId="4782BD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DB68BC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F1E06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7935EDB" w14:textId="77777777">
        <w:tc>
          <w:tcPr>
            <w:tcW w:w="10656" w:type="dxa"/>
            <w:gridSpan w:val="5"/>
            <w:tcBorders>
              <w:bottom w:val="single" w:sz="6" w:space="0" w:color="auto"/>
            </w:tcBorders>
            <w:vAlign w:val="center"/>
          </w:tcPr>
          <w:p w14:paraId="2A4F844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175: If a patient is diagnosed with invasive cervical cancer during pregnancy, under what circumstances should the pregnancy be terminated immediately?</w:t>
            </w:r>
          </w:p>
        </w:tc>
      </w:tr>
      <w:tr w:rsidR="00922249" w:rsidRPr="00CB2EC4" w14:paraId="748A7A47" w14:textId="77777777">
        <w:tc>
          <w:tcPr>
            <w:tcW w:w="2160" w:type="dxa"/>
            <w:vAlign w:val="center"/>
          </w:tcPr>
          <w:p w14:paraId="7BAACC13"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263F0E8" w14:textId="77777777" w:rsidR="00922249" w:rsidRPr="00CB2EC4" w:rsidRDefault="003011D5">
            <w:pPr>
              <w:rPr>
                <w:rFonts w:ascii="Times New Roman" w:hAnsi="Times New Roman" w:cs="Times New Roman"/>
              </w:rPr>
            </w:pPr>
            <w:r w:rsidRPr="00CB2EC4">
              <w:rPr>
                <w:rFonts w:ascii="Times New Roman" w:hAnsi="Times New Roman" w:cs="Times New Roman"/>
              </w:rPr>
              <w:t>if a patient is diagnosed with cervical invasive cancer during pregnancy, under what circumstances should pregnancy be terminated immediately?</w:t>
            </w:r>
            <w:r w:rsidRPr="00CB2EC4">
              <w:rPr>
                <w:rFonts w:ascii="Times New Roman" w:hAnsi="Times New Roman" w:cs="Times New Roman"/>
              </w:rPr>
              <w:br/>
            </w:r>
            <w:r w:rsidRPr="00CB2EC4">
              <w:rPr>
                <w:rFonts w:ascii="Times New Roman" w:hAnsi="Times New Roman" w:cs="Times New Roman"/>
              </w:rPr>
              <w:br/>
              <w:t xml:space="preserve">no specific information regarding the immediate termination of pregnancy upon diagnosis of cervical invasive cancer during pregnancy was found in the knowledge base. the document only mentions "patients with concurrent pregnancy" as a consideration for surgical indications in stage IB and IIA cervical cancer (similarity: 0.556): "surgical indications... for patients with stage IB and IIA disease, if any of the following conditions are present, </w:t>
            </w:r>
            <w:r w:rsidRPr="00CB2EC4">
              <w:rPr>
                <w:rFonts w:ascii="Times New Roman" w:hAnsi="Times New Roman" w:cs="Times New Roman"/>
              </w:rPr>
              <w:lastRenderedPageBreak/>
              <w:t xml:space="preserve">radical surgery should be considered first: ... </w:t>
            </w:r>
            <w:r w:rsidRPr="00CB2EC4">
              <w:rPr>
                <w:rFonts w:ascii="宋体" w:eastAsia="宋体" w:hAnsi="宋体" w:cs="宋体" w:hint="eastAsia"/>
              </w:rPr>
              <w:t>④</w:t>
            </w:r>
            <w:r w:rsidRPr="00CB2EC4">
              <w:rPr>
                <w:rFonts w:ascii="Times New Roman" w:hAnsi="Times New Roman" w:cs="Times New Roman"/>
              </w:rPr>
              <w:t xml:space="preserve"> concurrent pregnancy." however, details on the timing or conditions for terminating pregnancy (e.g., gestational age, tumor stage) are not provided. therefore, relevant guidelines cannot be extracted from the document.</w:t>
            </w:r>
          </w:p>
        </w:tc>
        <w:tc>
          <w:tcPr>
            <w:tcW w:w="1152" w:type="dxa"/>
            <w:vAlign w:val="center"/>
          </w:tcPr>
          <w:p w14:paraId="2F1DE5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905A4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873FB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8E0EF9E" w14:textId="77777777">
        <w:tc>
          <w:tcPr>
            <w:tcW w:w="2160" w:type="dxa"/>
            <w:vAlign w:val="center"/>
          </w:tcPr>
          <w:p w14:paraId="7F81E79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59F223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indications for immediate termination of pregnancy include (fragment 582):  </w:t>
            </w:r>
            <w:r w:rsidRPr="00CB2EC4">
              <w:rPr>
                <w:rFonts w:ascii="Times New Roman" w:hAnsi="Times New Roman" w:cs="Times New Roman"/>
              </w:rPr>
              <w:br/>
              <w:t xml:space="preserve">1.  First trimester (before 20 weeks of gestation): Termination of pregnancy is required regardless of fetal viability, followed by initiation of cervical cancer treatment (such as radical surgery or radiotherapy).  </w:t>
            </w:r>
            <w:r w:rsidRPr="00CB2EC4">
              <w:rPr>
                <w:rFonts w:ascii="Times New Roman" w:hAnsi="Times New Roman" w:cs="Times New Roman"/>
              </w:rPr>
              <w:br/>
              <w:t xml:space="preserve">2.  Mid-to-late pregnancy without desire for fertility: Immediate termination of pregnancy and cervical cancer treatment.  </w:t>
            </w:r>
            <w:r w:rsidRPr="00CB2EC4">
              <w:rPr>
                <w:rFonts w:ascii="Times New Roman" w:hAnsi="Times New Roman" w:cs="Times New Roman"/>
              </w:rPr>
              <w:br/>
              <w:t xml:space="preserve">3.  Locally advanced lesions (e.g., stage IB3 or higher): Termination of pregnancy is required regardless of gestational age, followed by concurrent chemoradiotherapy.  </w:t>
            </w:r>
            <w:r w:rsidRPr="00CB2EC4">
              <w:rPr>
                <w:rFonts w:ascii="Times New Roman" w:hAnsi="Times New Roman" w:cs="Times New Roman"/>
              </w:rPr>
              <w:br/>
              <w:t>4.  Presence of high-risk factors (e.g., tumor diameter &gt;4 cm, lymph node metastasis): Maternal treatment takes priority, and pregnancy should be terminated.</w:t>
            </w:r>
          </w:p>
        </w:tc>
        <w:tc>
          <w:tcPr>
            <w:tcW w:w="1152" w:type="dxa"/>
            <w:vAlign w:val="center"/>
          </w:tcPr>
          <w:p w14:paraId="34F06A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62064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23B8F0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D5586D9" w14:textId="77777777">
        <w:tc>
          <w:tcPr>
            <w:tcW w:w="2160" w:type="dxa"/>
            <w:vAlign w:val="center"/>
          </w:tcPr>
          <w:p w14:paraId="38553AC5"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8BC5E2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a patient is diagnosed with cervical invasive cancer during pregnancy, the following situations require immediate termination of pregnancy:  </w:t>
            </w:r>
            <w:r w:rsidRPr="00CB2EC4">
              <w:rPr>
                <w:rFonts w:ascii="Times New Roman" w:hAnsi="Times New Roman" w:cs="Times New Roman"/>
              </w:rPr>
              <w:br/>
              <w:t xml:space="preserve">- Early pregnancy (before 16–20 weeks): regardless of the stage of the lesion, pregnancy should be terminated promptly to proceed with surgery or radiotherapy, as radiotherapy often leads to spontaneous abortion, and early treatment can control cancer progression (Fragment 22).  </w:t>
            </w:r>
            <w:r w:rsidRPr="00CB2EC4">
              <w:rPr>
                <w:rFonts w:ascii="Times New Roman" w:hAnsi="Times New Roman" w:cs="Times New Roman"/>
              </w:rPr>
              <w:br/>
              <w:t xml:space="preserve">- Severity of the lesion: if the cervical invasive cancer </w:t>
            </w:r>
            <w:r w:rsidRPr="00CB2EC4">
              <w:rPr>
                <w:rFonts w:ascii="Times New Roman" w:hAnsi="Times New Roman" w:cs="Times New Roman"/>
              </w:rPr>
              <w:lastRenderedPageBreak/>
              <w:t xml:space="preserve">is at a late stage (e.g., beyond IA2 or IB stage), tumor diameter ≥2 cm, or pelvic or lymph node metastasis is present, pregnancy should be terminated immediately to prioritize radical treatment (Fragments 19, 22).  </w:t>
            </w:r>
            <w:r w:rsidRPr="00CB2EC4">
              <w:rPr>
                <w:rFonts w:ascii="Times New Roman" w:hAnsi="Times New Roman" w:cs="Times New Roman"/>
              </w:rPr>
              <w:br/>
              <w:t xml:space="preserve">   - For example, Fragment 22 states: "Cervical cancer detected before 16–20 weeks of gestation should be treated promptly."  </w:t>
            </w:r>
            <w:r w:rsidRPr="00CB2EC4">
              <w:rPr>
                <w:rFonts w:ascii="Times New Roman" w:hAnsi="Times New Roman" w:cs="Times New Roman"/>
              </w:rPr>
              <w:br/>
              <w:t>For patients at 16–20 weeks or beyond with IA2–IB2 stage disease, treatment may be deferred to continue the pregnancy (Fragment 22), but multidisciplinary evaluation is required (Fragment 9).</w:t>
            </w:r>
          </w:p>
        </w:tc>
        <w:tc>
          <w:tcPr>
            <w:tcW w:w="1152" w:type="dxa"/>
            <w:vAlign w:val="center"/>
          </w:tcPr>
          <w:p w14:paraId="2D74B5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16B11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3902E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FDBEC11" w14:textId="77777777">
        <w:tc>
          <w:tcPr>
            <w:tcW w:w="2160" w:type="dxa"/>
            <w:vAlign w:val="center"/>
          </w:tcPr>
          <w:p w14:paraId="1523073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BD81D9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immediate termination of pregnancy is indicated in the following situations:  </w:t>
            </w:r>
            <w:r w:rsidRPr="00CB2EC4">
              <w:rPr>
                <w:rFonts w:ascii="Times New Roman" w:hAnsi="Times New Roman" w:cs="Times New Roman"/>
              </w:rPr>
              <w:br/>
              <w:t xml:space="preserve">1. Advanced stage: FIGO stage IB2 (tumor diameter &gt;4 cm) or stage IIA2 and above.  </w:t>
            </w:r>
            <w:r w:rsidRPr="00CB2EC4">
              <w:rPr>
                <w:rFonts w:ascii="Times New Roman" w:hAnsi="Times New Roman" w:cs="Times New Roman"/>
              </w:rPr>
              <w:br/>
              <w:t xml:space="preserve">2. High-risk pathological features: adenocarcinoma, barrel-shaped cervix, lymphovascular space invasion (LVSI) positive.  </w:t>
            </w:r>
            <w:r w:rsidRPr="00CB2EC4">
              <w:rPr>
                <w:rFonts w:ascii="Times New Roman" w:hAnsi="Times New Roman" w:cs="Times New Roman"/>
              </w:rPr>
              <w:br/>
              <w:t xml:space="preserve">3. Gestational stage:  </w:t>
            </w:r>
            <w:r w:rsidRPr="00CB2EC4">
              <w:rPr>
                <w:rFonts w:ascii="Times New Roman" w:hAnsi="Times New Roman" w:cs="Times New Roman"/>
              </w:rPr>
              <w:br/>
              <w:t xml:space="preserve">   - Early/mid-pregnancy: terminate directly;  </w:t>
            </w:r>
            <w:r w:rsidRPr="00CB2EC4">
              <w:rPr>
                <w:rFonts w:ascii="Times New Roman" w:hAnsi="Times New Roman" w:cs="Times New Roman"/>
              </w:rPr>
              <w:br/>
              <w:t xml:space="preserve">   - Late pregnancy (≥28 weeks): perform cesarean section followed by radical surgery.  </w:t>
            </w:r>
            <w:r w:rsidRPr="00CB2EC4">
              <w:rPr>
                <w:rFonts w:ascii="Times New Roman" w:hAnsi="Times New Roman" w:cs="Times New Roman"/>
              </w:rPr>
              <w:br/>
              <w:t xml:space="preserve">4. Emergent conditions: severe hemorrhage, infection, or suspected distant metastasis.  </w:t>
            </w:r>
            <w:r w:rsidRPr="00CB2EC4">
              <w:rPr>
                <w:rFonts w:ascii="Times New Roman" w:hAnsi="Times New Roman" w:cs="Times New Roman"/>
              </w:rPr>
              <w:br/>
            </w:r>
            <w:r w:rsidRPr="00CB2EC4">
              <w:rPr>
                <w:rFonts w:ascii="Times New Roman" w:hAnsi="Times New Roman" w:cs="Times New Roman"/>
              </w:rPr>
              <w:br/>
              <w:t>(Note: All content is based on provided sources—knowledge base documents for points 1, 2, and 4; web documents for points 3 and 4.)</w:t>
            </w:r>
          </w:p>
        </w:tc>
        <w:tc>
          <w:tcPr>
            <w:tcW w:w="1152" w:type="dxa"/>
            <w:vAlign w:val="center"/>
          </w:tcPr>
          <w:p w14:paraId="2CF449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2C3FC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3AD71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31B3C0C" w14:textId="77777777">
        <w:tc>
          <w:tcPr>
            <w:tcW w:w="2160" w:type="dxa"/>
            <w:vAlign w:val="center"/>
          </w:tcPr>
          <w:p w14:paraId="42FC39C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140FC21" w14:textId="77777777" w:rsidR="00922249" w:rsidRPr="00CB2EC4" w:rsidRDefault="003011D5">
            <w:pPr>
              <w:rPr>
                <w:rFonts w:ascii="Times New Roman" w:hAnsi="Times New Roman" w:cs="Times New Roman"/>
              </w:rPr>
            </w:pPr>
            <w:r w:rsidRPr="00CB2EC4">
              <w:rPr>
                <w:rFonts w:ascii="Times New Roman" w:hAnsi="Times New Roman" w:cs="Times New Roman"/>
              </w:rPr>
              <w:t>if a patient is diagnosed with cervical invasive cancer during pregnancy, under what circumstances should pregnancy be terminated immediately?</w:t>
            </w:r>
            <w:r w:rsidRPr="00CB2EC4">
              <w:rPr>
                <w:rFonts w:ascii="Times New Roman" w:hAnsi="Times New Roman" w:cs="Times New Roman"/>
              </w:rPr>
              <w:br/>
            </w:r>
            <w:r w:rsidRPr="00CB2EC4">
              <w:rPr>
                <w:rFonts w:ascii="Times New Roman" w:hAnsi="Times New Roman" w:cs="Times New Roman"/>
              </w:rPr>
              <w:br/>
              <w:t>no relevant information found in the knowledge base.</w:t>
            </w:r>
            <w:r w:rsidRPr="00CB2EC4">
              <w:rPr>
                <w:rFonts w:ascii="Times New Roman" w:hAnsi="Times New Roman" w:cs="Times New Roman"/>
              </w:rPr>
              <w:br/>
            </w:r>
            <w:r w:rsidRPr="00CB2EC4">
              <w:rPr>
                <w:rFonts w:ascii="Times New Roman" w:hAnsi="Times New Roman" w:cs="Times New Roman"/>
              </w:rPr>
              <w:lastRenderedPageBreak/>
              <w:t>- document fragment 3 mentions "patients with concurrent pregnancy" as one of the surgical indications (fragment 3: "(4) patients with concurrent pregnancy"), but does not specify the exact conditions for terminating pregnancy (such as gestational age, tumor stage, etc.). the document does not provide detailed guidelines for managing cervical cancer during pregnancy, so this question cannot be answered based on the context.</w:t>
            </w:r>
          </w:p>
        </w:tc>
        <w:tc>
          <w:tcPr>
            <w:tcW w:w="1152" w:type="dxa"/>
            <w:vAlign w:val="center"/>
          </w:tcPr>
          <w:p w14:paraId="151555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E7855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9865F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F76BB80" w14:textId="77777777">
        <w:tc>
          <w:tcPr>
            <w:tcW w:w="2160" w:type="dxa"/>
            <w:vAlign w:val="center"/>
          </w:tcPr>
          <w:p w14:paraId="56DB8B9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F87545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cervical invasive cancer is diagnosed during pregnancy, immediate termination of pregnancy is indicated in the following situations:  </w:t>
            </w:r>
            <w:r w:rsidRPr="00CB2EC4">
              <w:rPr>
                <w:rFonts w:ascii="Times New Roman" w:hAnsi="Times New Roman" w:cs="Times New Roman"/>
              </w:rPr>
              <w:br/>
              <w:t xml:space="preserve">- Diagnosis of any stage of cervical invasive cancer (e.g., IB, IIA) in early pregnancy (before 20 weeks): termination should be performed immediately, followed by surgical treatment (such as radical hysterectomy and pelvic lymphadenectomy).  </w:t>
            </w:r>
            <w:r w:rsidRPr="00CB2EC4">
              <w:rPr>
                <w:rFonts w:ascii="Times New Roman" w:hAnsi="Times New Roman" w:cs="Times New Roman"/>
              </w:rPr>
              <w:br/>
              <w:t xml:space="preserve">- Diagnosis of microinvasive cancer (FIGO IA) in mid-pregnancy: if the depth of invasion ≤3 mm and no lymphovascular space invasion is present, termination before 20 weeks is recommended; if invasion is deeper or lymphovascular space invasion exists, immediate termination is also required.  </w:t>
            </w:r>
            <w:r w:rsidRPr="00CB2EC4">
              <w:rPr>
                <w:rFonts w:ascii="Times New Roman" w:hAnsi="Times New Roman" w:cs="Times New Roman"/>
              </w:rPr>
              <w:br/>
              <w:t>- High-risk conditions: such as rapid tumor progression, presence of symptoms (e.g., bleeding), or higher stage (above IB), termination of pregnancy should be prioritized regardless of gestational age to initiate cancer treatment. Delaying treatment increases the risk of metastasis, with survival rates potentially decreasing by 15% per month.</w:t>
            </w:r>
          </w:p>
        </w:tc>
        <w:tc>
          <w:tcPr>
            <w:tcW w:w="1152" w:type="dxa"/>
            <w:vAlign w:val="center"/>
          </w:tcPr>
          <w:p w14:paraId="45BC16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BC583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34C41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2665C46" w14:textId="77777777">
        <w:tc>
          <w:tcPr>
            <w:tcW w:w="2160" w:type="dxa"/>
            <w:vAlign w:val="center"/>
          </w:tcPr>
          <w:p w14:paraId="6904139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C704585" w14:textId="77777777" w:rsidR="00922249" w:rsidRPr="00CB2EC4" w:rsidRDefault="003011D5">
            <w:pPr>
              <w:rPr>
                <w:rFonts w:ascii="Times New Roman" w:hAnsi="Times New Roman" w:cs="Times New Roman"/>
              </w:rPr>
            </w:pPr>
            <w:r w:rsidRPr="00CB2EC4">
              <w:rPr>
                <w:rFonts w:ascii="Times New Roman" w:hAnsi="Times New Roman" w:cs="Times New Roman"/>
              </w:rPr>
              <w:t>immediate termination of pregnancy is indicated in the following situations: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1.  Pregnancy ≤20 weeks: Regardless of gestational age, after confirmation of invasive cancer, pregnancy termination is required, performed via cesarean delivery + radical surgery (such as extrafascial or modified radical hysterectomy) (HyDE similarity 0.543).  </w:t>
            </w:r>
            <w:r w:rsidRPr="00CB2EC4">
              <w:rPr>
                <w:rFonts w:ascii="Times New Roman" w:hAnsi="Times New Roman" w:cs="Times New Roman"/>
              </w:rPr>
              <w:br/>
              <w:t xml:space="preserve">2.  Pregnancy &gt;20 weeks with disease progression: If close monitoring (vaginal examination/cytology every 4 weeks) reveals cancer progression, pregnancy must be terminated regardless of gestational age (HyDE similarity 0.543).  </w:t>
            </w:r>
            <w:r w:rsidRPr="00CB2EC4">
              <w:rPr>
                <w:rFonts w:ascii="Times New Roman" w:hAnsi="Times New Roman" w:cs="Times New Roman"/>
              </w:rPr>
              <w:br/>
              <w:t xml:space="preserve">3.  Any gestational age with severe complications: Immediate intervention is required in cases of severe complications such as massive hemorrhage or high risk of infection (HyDE similarity 0.543).  </w:t>
            </w:r>
            <w:r w:rsidRPr="00CB2EC4">
              <w:rPr>
                <w:rFonts w:ascii="Times New Roman" w:hAnsi="Times New Roman" w:cs="Times New Roman"/>
              </w:rPr>
              <w:br/>
            </w:r>
            <w:r w:rsidRPr="00CB2EC4">
              <w:rPr>
                <w:rFonts w:ascii="Times New Roman" w:hAnsi="Times New Roman" w:cs="Times New Roman"/>
              </w:rPr>
              <w:br/>
              <w:t>&gt; Note: For mid-to-late pregnancy (&gt;20 weeks), if the patient strongly desires to continue the pregnancy, delivery may be delayed until near term via cesarean section, but the risk of cancer progression must be assumed.</w:t>
            </w:r>
          </w:p>
        </w:tc>
        <w:tc>
          <w:tcPr>
            <w:tcW w:w="1152" w:type="dxa"/>
            <w:vAlign w:val="center"/>
          </w:tcPr>
          <w:p w14:paraId="5A27EB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89424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65267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822DB70" w14:textId="77777777">
        <w:tc>
          <w:tcPr>
            <w:tcW w:w="2160" w:type="dxa"/>
            <w:vAlign w:val="center"/>
          </w:tcPr>
          <w:p w14:paraId="3BEEDA0C"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52FD86C" w14:textId="77777777" w:rsidR="00922249" w:rsidRPr="00CB2EC4" w:rsidRDefault="003011D5">
            <w:pPr>
              <w:rPr>
                <w:rFonts w:ascii="Times New Roman" w:hAnsi="Times New Roman" w:cs="Times New Roman"/>
              </w:rPr>
            </w:pPr>
            <w:r w:rsidRPr="00CB2EC4">
              <w:rPr>
                <w:rFonts w:ascii="Times New Roman" w:hAnsi="Times New Roman" w:cs="Times New Roman"/>
              </w:rPr>
              <w:t>if a patient is diagnosed with cervical invasive cancer during pregnancy, under what circumstances should pregnancy be terminated immediately?</w:t>
            </w:r>
            <w:r w:rsidRPr="00CB2EC4">
              <w:rPr>
                <w:rFonts w:ascii="Times New Roman" w:hAnsi="Times New Roman" w:cs="Times New Roman"/>
              </w:rPr>
              <w:br/>
            </w:r>
            <w:r w:rsidRPr="00CB2EC4">
              <w:rPr>
                <w:rFonts w:ascii="Times New Roman" w:hAnsi="Times New Roman" w:cs="Times New Roman"/>
              </w:rPr>
              <w:br/>
              <w:t xml:space="preserve">no specific conditions for immediate termination of pregnancy (such as gestational age, tumor stage, or emergency situations) are provided in the knowledge base for cervical invasive cancer (e.g., FIGO stage IA or above). document fragment 24 (similarity: 0.311) discusses management of cervical intraepithelial neoplasia (CIN, a precancerous lesion) in pregnancy, suggesting observation until delivery for most CIN I-II and considering termination for CIN III, but does </w:t>
            </w:r>
            <w:r w:rsidRPr="00CB2EC4">
              <w:rPr>
                <w:rFonts w:ascii="Times New Roman" w:hAnsi="Times New Roman" w:cs="Times New Roman"/>
              </w:rPr>
              <w:lastRenderedPageBreak/>
              <w:t>not address invasive cancer. fragment 4 (similarity: 0.577) lists "concurrent pregnancy" as a surgical indication but does not specify when termination is mandatory. therefore, based on the provided context, the specific conditions cannot be determined.</w:t>
            </w:r>
          </w:p>
        </w:tc>
        <w:tc>
          <w:tcPr>
            <w:tcW w:w="1152" w:type="dxa"/>
            <w:vAlign w:val="center"/>
          </w:tcPr>
          <w:p w14:paraId="278E8D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2E331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0F23D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67E233A" w14:textId="77777777">
        <w:tc>
          <w:tcPr>
            <w:tcW w:w="2160" w:type="dxa"/>
            <w:vAlign w:val="center"/>
          </w:tcPr>
          <w:p w14:paraId="1C4958F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4E5E127" w14:textId="77777777" w:rsidR="00922249" w:rsidRPr="00CB2EC4" w:rsidRDefault="003011D5">
            <w:pPr>
              <w:rPr>
                <w:rFonts w:ascii="Times New Roman" w:hAnsi="Times New Roman" w:cs="Times New Roman"/>
              </w:rPr>
            </w:pPr>
            <w:r w:rsidRPr="00CB2EC4">
              <w:rPr>
                <w:rFonts w:ascii="Times New Roman" w:hAnsi="Times New Roman" w:cs="Times New Roman"/>
              </w:rPr>
              <w:t>if cervical invasive cancer is diagnosed during pregnancy, immediate termination of pregnancy should be performed in the following situations:</w:t>
            </w:r>
            <w:r w:rsidRPr="00CB2EC4">
              <w:rPr>
                <w:rFonts w:ascii="Times New Roman" w:hAnsi="Times New Roman" w:cs="Times New Roman"/>
              </w:rPr>
              <w:br/>
              <w:t>- Early pregnancy (before 20 weeks): The document states that "if pregnancy is less than 20 weeks and microinvasive cancer is confirmed, immediate termination of pregnancy should be performed," and emphasizes that "for IB and IIA stages during early and mid-pregnancy: terminate pregnancy immediately," as delayed treatment increases the risk of metastasis and death.</w:t>
            </w:r>
            <w:r w:rsidRPr="00CB2EC4">
              <w:rPr>
                <w:rFonts w:ascii="Times New Roman" w:hAnsi="Times New Roman" w:cs="Times New Roman"/>
              </w:rPr>
              <w:br/>
              <w:t>- Stage IB or IIA and above: The document clearly states that "cervical invasive cancer diagnosed during pregnancy should consider termination of pregnancy," especially for stage IB and above, due to rich pelvic blood flow facilitating rapid cancer spread.</w:t>
            </w:r>
            <w:r w:rsidRPr="00CB2EC4">
              <w:rPr>
                <w:rFonts w:ascii="Times New Roman" w:hAnsi="Times New Roman" w:cs="Times New Roman"/>
              </w:rPr>
              <w:br/>
              <w:t>- Invasive cancer diagnosed at any gestational age without a strong desire for fertility preservation: The document recommends "if there are no children and there is a desire for fertility, delivery may be awaited until 38 weeks; however, for those without fertility desire, terminate pregnancy immediately."</w:t>
            </w:r>
            <w:r w:rsidRPr="00CB2EC4">
              <w:rPr>
                <w:rFonts w:ascii="Times New Roman" w:hAnsi="Times New Roman" w:cs="Times New Roman"/>
              </w:rPr>
              <w:br/>
              <w:t>These decisions are based on preventing cancer spread and optimizing treatment timing.</w:t>
            </w:r>
          </w:p>
        </w:tc>
        <w:tc>
          <w:tcPr>
            <w:tcW w:w="1152" w:type="dxa"/>
            <w:vAlign w:val="center"/>
          </w:tcPr>
          <w:p w14:paraId="41FB79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773BF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E79820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5020B56" w14:textId="77777777">
        <w:tc>
          <w:tcPr>
            <w:tcW w:w="2160" w:type="dxa"/>
            <w:vAlign w:val="center"/>
          </w:tcPr>
          <w:p w14:paraId="601A5C5B"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E560BA9" w14:textId="77777777" w:rsidR="00922249" w:rsidRPr="00CB2EC4" w:rsidRDefault="003011D5">
            <w:pPr>
              <w:rPr>
                <w:rFonts w:ascii="Times New Roman" w:hAnsi="Times New Roman" w:cs="Times New Roman"/>
              </w:rPr>
            </w:pPr>
            <w:r w:rsidRPr="00CB2EC4">
              <w:rPr>
                <w:rFonts w:ascii="Times New Roman" w:hAnsi="Times New Roman" w:cs="Times New Roman"/>
              </w:rPr>
              <w:t>if a patient is diagnosed with cervical invasive cancer during pregnancy, the following situations require immediate termination of pregnancy:</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1. All stages before 20 weeks of gestation: regardless of cervical cancer stage (such as IA, IB, or higher), immediate termination of pregnancy is required in early pregnancy (before 20 weeks) to avoid the risk of cancer spread (due to increased pelvic blood flow during pregnancy facilitating metastasis).</w:t>
            </w:r>
            <w:r w:rsidRPr="00CB2EC4">
              <w:rPr>
                <w:rFonts w:ascii="Times New Roman" w:hAnsi="Times New Roman" w:cs="Times New Roman"/>
              </w:rPr>
              <w:br/>
              <w:t>2. IB stage and above at any gestational period: for patients with IB, IIA, or higher stage disease, regardless of whether in mid or late pregnancy (after 20 weeks), immediate termination of pregnancy (via classical cesarean section) is required.</w:t>
            </w:r>
            <w:r w:rsidRPr="00CB2EC4">
              <w:rPr>
                <w:rFonts w:ascii="Times New Roman" w:hAnsi="Times New Roman" w:cs="Times New Roman"/>
              </w:rPr>
              <w:br/>
              <w:t>3. Locally advanced or high-risk cases: if the lesion is locally advanced (such as large tumor diameter or endophytic type) or has high-risk factors (such as lymph node metastasis), immediate termination is also required to initiate cancer treatment.</w:t>
            </w:r>
            <w:r w:rsidRPr="00CB2EC4">
              <w:rPr>
                <w:rFonts w:ascii="Times New Roman" w:hAnsi="Times New Roman" w:cs="Times New Roman"/>
              </w:rPr>
              <w:br/>
            </w:r>
            <w:r w:rsidRPr="00CB2EC4">
              <w:rPr>
                <w:rFonts w:ascii="Times New Roman" w:hAnsi="Times New Roman" w:cs="Times New Roman"/>
              </w:rPr>
              <w:br/>
              <w:t>The rationale for immediate termination is to reduce the risk of cancer progression and allow timely radical surgery or radiotherapy.</w:t>
            </w:r>
          </w:p>
        </w:tc>
        <w:tc>
          <w:tcPr>
            <w:tcW w:w="1152" w:type="dxa"/>
            <w:vAlign w:val="center"/>
          </w:tcPr>
          <w:p w14:paraId="760A55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57424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3B795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55CEE8A" w14:textId="77777777">
        <w:tc>
          <w:tcPr>
            <w:tcW w:w="2160" w:type="dxa"/>
            <w:vAlign w:val="center"/>
          </w:tcPr>
          <w:p w14:paraId="7A79C8D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D19ED51" w14:textId="77777777" w:rsidR="00922249" w:rsidRPr="00CB2EC4" w:rsidRDefault="003011D5">
            <w:pPr>
              <w:rPr>
                <w:rFonts w:ascii="Times New Roman" w:hAnsi="Times New Roman" w:cs="Times New Roman"/>
              </w:rPr>
            </w:pPr>
            <w:r w:rsidRPr="00CB2EC4">
              <w:rPr>
                <w:rFonts w:ascii="Times New Roman" w:hAnsi="Times New Roman" w:cs="Times New Roman"/>
              </w:rPr>
              <w:t>if a patient is diagnosed with cervical invasive cancer during pregnancy, under what circumstances should pregnancy be terminated immediately?</w:t>
            </w:r>
            <w:r w:rsidRPr="00CB2EC4">
              <w:rPr>
                <w:rFonts w:ascii="Times New Roman" w:hAnsi="Times New Roman" w:cs="Times New Roman"/>
              </w:rPr>
              <w:br/>
            </w:r>
            <w:r w:rsidRPr="00CB2EC4">
              <w:rPr>
                <w:rFonts w:ascii="Times New Roman" w:hAnsi="Times New Roman" w:cs="Times New Roman"/>
              </w:rPr>
              <w:br/>
              <w:t xml:space="preserve">In the provided document, there is no explicit listing of specific conditions under which pregnancy should be terminated immediately following a diagnosis of cervical invasive cancer during pregnancy. The document mentions "patients with concurrent pregnancy" as part of the surgical indications (similarity: 0.467): "For patients with stage IB and IIA, if any of the following conditions are present, radical surgery should be considered first: ... (4) concurrent pregnancy." However, this only indicates </w:t>
            </w:r>
            <w:r w:rsidRPr="00CB2EC4">
              <w:rPr>
                <w:rFonts w:ascii="Times New Roman" w:hAnsi="Times New Roman" w:cs="Times New Roman"/>
              </w:rPr>
              <w:lastRenderedPageBreak/>
              <w:t>that pregnancy is a surgical indication and does not specify when termination of pregnancy is mandatory. Other passages (e.g., similarity: 0.585) repeat this point without further detail.</w:t>
            </w:r>
            <w:r w:rsidRPr="00CB2EC4">
              <w:rPr>
                <w:rFonts w:ascii="Times New Roman" w:hAnsi="Times New Roman" w:cs="Times New Roman"/>
              </w:rPr>
              <w:br/>
            </w:r>
            <w:r w:rsidRPr="00CB2EC4">
              <w:rPr>
                <w:rFonts w:ascii="Times New Roman" w:hAnsi="Times New Roman" w:cs="Times New Roman"/>
              </w:rPr>
              <w:br/>
              <w:t>Therefore, no answer is found in the knowledge base. Actual decision-making should be based on comprehensive factors including cancer stage, gestational age, patient preference, and in accordance with clinical practice guidelines.</w:t>
            </w:r>
          </w:p>
        </w:tc>
        <w:tc>
          <w:tcPr>
            <w:tcW w:w="1152" w:type="dxa"/>
            <w:vAlign w:val="center"/>
          </w:tcPr>
          <w:p w14:paraId="56B20B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77A92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45253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003C152" w14:textId="77777777">
        <w:tc>
          <w:tcPr>
            <w:tcW w:w="2160" w:type="dxa"/>
            <w:vAlign w:val="center"/>
          </w:tcPr>
          <w:p w14:paraId="3938108E"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6DFEB0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indications for immediate termination of pregnancy when cervical invasive cancer is diagnosed during pregnancy (based on document fragments 5 and 12):  </w:t>
            </w:r>
            <w:r w:rsidRPr="00CB2EC4">
              <w:rPr>
                <w:rFonts w:ascii="Times New Roman" w:hAnsi="Times New Roman" w:cs="Times New Roman"/>
              </w:rPr>
              <w:br/>
              <w:t xml:space="preserve">1.  Pregnancy less than 20 weeks (early and mid-early gestation): Regardless of cancer stage (including microinvasive carcinoma or invasive carcinoma), terminate pregnancy immediately via cesarean section for fetal extraction, combined with cervical cancer treatment (e.g., radical hysterectomy or modified radical hysterectomy).  </w:t>
            </w:r>
            <w:r w:rsidRPr="00CB2EC4">
              <w:rPr>
                <w:rFonts w:ascii="Times New Roman" w:hAnsi="Times New Roman" w:cs="Times New Roman"/>
              </w:rPr>
              <w:br/>
              <w:t xml:space="preserve">2.  Any gestational period with confirmed invasive cancer showing disease progression: If colposcopy or cytology monitoring indicates lesion progression, terminate pregnancy immediately irrespective of gestational age to initiate surgery or radiotherapy.  </w:t>
            </w:r>
            <w:r w:rsidRPr="00CB2EC4">
              <w:rPr>
                <w:rFonts w:ascii="Times New Roman" w:hAnsi="Times New Roman" w:cs="Times New Roman"/>
              </w:rPr>
              <w:br/>
              <w:t xml:space="preserve">3.  Stage IB or IIA cervical cancer: When diagnosed in early or mid-pregnancy (before 20 weeks), terminate pregnancy immediately to avoid treatment delay and reduced survival rates (document fragment 5: pregnancy &lt;20 weeks with confirmed microinvasive carcinoma requires immediate termination; document fragment 12: stage IB, IIA... in early and mid-pregnancy (before 20 weeks): immediate termination).  </w:t>
            </w:r>
            <w:r w:rsidRPr="00CB2EC4">
              <w:rPr>
                <w:rFonts w:ascii="Times New Roman" w:hAnsi="Times New Roman" w:cs="Times New Roman"/>
              </w:rPr>
              <w:br/>
            </w:r>
            <w:r w:rsidRPr="00CB2EC4">
              <w:rPr>
                <w:rFonts w:ascii="Times New Roman" w:hAnsi="Times New Roman" w:cs="Times New Roman"/>
              </w:rPr>
              <w:lastRenderedPageBreak/>
              <w:t>Note: In late pregnancy (≥20 weeks), termination may be deferred until fetal viability with close monitoring; immediate termination is still required if disease worsens.</w:t>
            </w:r>
          </w:p>
        </w:tc>
        <w:tc>
          <w:tcPr>
            <w:tcW w:w="1152" w:type="dxa"/>
            <w:vAlign w:val="center"/>
          </w:tcPr>
          <w:p w14:paraId="47495F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4D86B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DAA79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36F41164" w14:textId="77777777">
        <w:tc>
          <w:tcPr>
            <w:tcW w:w="2160" w:type="dxa"/>
            <w:vAlign w:val="center"/>
          </w:tcPr>
          <w:p w14:paraId="5B1C4BDE"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7975ED6" w14:textId="77777777" w:rsidR="00922249" w:rsidRPr="00CB2EC4" w:rsidRDefault="003011D5">
            <w:pPr>
              <w:rPr>
                <w:rFonts w:ascii="Times New Roman" w:hAnsi="Times New Roman" w:cs="Times New Roman"/>
              </w:rPr>
            </w:pPr>
            <w:r w:rsidRPr="00CB2EC4">
              <w:rPr>
                <w:rFonts w:ascii="Times New Roman" w:hAnsi="Times New Roman" w:cs="Times New Roman"/>
              </w:rPr>
              <w:t>if a patient is diagnosed with cervical invasive cancer during pregnancy, under what circumstances should pregnancy be terminated immediately?</w:t>
            </w:r>
            <w:r w:rsidRPr="00CB2EC4">
              <w:rPr>
                <w:rFonts w:ascii="Times New Roman" w:hAnsi="Times New Roman" w:cs="Times New Roman"/>
              </w:rPr>
              <w:br/>
            </w:r>
            <w:r w:rsidRPr="00CB2EC4">
              <w:rPr>
                <w:rFonts w:ascii="Times New Roman" w:hAnsi="Times New Roman" w:cs="Times New Roman"/>
              </w:rPr>
              <w:br/>
              <w:t>no answer found in the knowledge base.</w:t>
            </w:r>
            <w:r w:rsidRPr="00CB2EC4">
              <w:rPr>
                <w:rFonts w:ascii="Times New Roman" w:hAnsi="Times New Roman" w:cs="Times New Roman"/>
              </w:rPr>
              <w:br/>
              <w:t>- the provided contextual information (all relevant excerpts) does not explicitly specify the conditions for immediate termination of pregnancy after a diagnosis of cervical invasive cancer during pregnancy. excerpt 9 (original block 520-522) states that "patients with concurrent pregnancy" are among the surgical indications (radical surgery should be considered first), but does not list specific circumstances for terminating pregnancy (such as gestational age, cancer stage, etc.). therefore, it is not possible to provide specific conditions based on the document.</w:t>
            </w:r>
          </w:p>
        </w:tc>
        <w:tc>
          <w:tcPr>
            <w:tcW w:w="1152" w:type="dxa"/>
            <w:vAlign w:val="center"/>
          </w:tcPr>
          <w:p w14:paraId="351E13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DE8AF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2905A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64A8C38" w14:textId="77777777">
        <w:tc>
          <w:tcPr>
            <w:tcW w:w="2160" w:type="dxa"/>
            <w:vAlign w:val="center"/>
          </w:tcPr>
          <w:p w14:paraId="4C4C020B"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AF73C3C" w14:textId="77777777" w:rsidR="00922249" w:rsidRPr="00CB2EC4" w:rsidRDefault="003011D5">
            <w:pPr>
              <w:rPr>
                <w:rFonts w:ascii="Times New Roman" w:hAnsi="Times New Roman" w:cs="Times New Roman"/>
              </w:rPr>
            </w:pPr>
            <w:r w:rsidRPr="00CB2EC4">
              <w:rPr>
                <w:rFonts w:ascii="Times New Roman" w:hAnsi="Times New Roman" w:cs="Times New Roman"/>
              </w:rPr>
              <w:t>immediate termination of pregnancy should be considered in the following situations:</w:t>
            </w:r>
            <w:r w:rsidRPr="00CB2EC4">
              <w:rPr>
                <w:rFonts w:ascii="Times New Roman" w:hAnsi="Times New Roman" w:cs="Times New Roman"/>
              </w:rPr>
              <w:br/>
            </w:r>
            <w:r w:rsidRPr="00CB2EC4">
              <w:rPr>
                <w:rFonts w:ascii="Times New Roman" w:hAnsi="Times New Roman" w:cs="Times New Roman"/>
              </w:rPr>
              <w:br/>
              <w:t xml:space="preserve">- Late gestation: gestational age ≥28 weeks (or when the fetus is viable), to prioritize the initiation of cancer treatment.  </w:t>
            </w:r>
            <w:r w:rsidRPr="00CB2EC4">
              <w:rPr>
                <w:rFonts w:ascii="Times New Roman" w:hAnsi="Times New Roman" w:cs="Times New Roman"/>
              </w:rPr>
              <w:br/>
              <w:t xml:space="preserve">- Rapid disease progression: such as tumor bleeding, infection, or signs of distant metastasis that threaten maternal life.  </w:t>
            </w:r>
            <w:r w:rsidRPr="00CB2EC4">
              <w:rPr>
                <w:rFonts w:ascii="Times New Roman" w:hAnsi="Times New Roman" w:cs="Times New Roman"/>
              </w:rPr>
              <w:br/>
              <w:t xml:space="preserve">- Patient preference: when the patient strongly requests immediate treatment to optimize oncological outcomes.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The method of pregnancy termination (e.g., induction or cesarean section) must be individualized, taking into account gestational age and tumor stage.</w:t>
            </w:r>
          </w:p>
        </w:tc>
        <w:tc>
          <w:tcPr>
            <w:tcW w:w="1152" w:type="dxa"/>
            <w:vAlign w:val="center"/>
          </w:tcPr>
          <w:p w14:paraId="19CE94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51B30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F1C93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3BB9317" w14:textId="77777777">
        <w:tc>
          <w:tcPr>
            <w:tcW w:w="10656" w:type="dxa"/>
            <w:gridSpan w:val="5"/>
            <w:tcBorders>
              <w:bottom w:val="single" w:sz="6" w:space="0" w:color="auto"/>
            </w:tcBorders>
            <w:vAlign w:val="center"/>
          </w:tcPr>
          <w:p w14:paraId="14F20522"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176: In surgery for endometrial cancer, what are the specific indications for performing a retroperitoneal lymph node biopsy?</w:t>
            </w:r>
          </w:p>
        </w:tc>
      </w:tr>
      <w:tr w:rsidR="00922249" w:rsidRPr="00CB2EC4" w14:paraId="05785513" w14:textId="77777777">
        <w:tc>
          <w:tcPr>
            <w:tcW w:w="2160" w:type="dxa"/>
            <w:vAlign w:val="center"/>
          </w:tcPr>
          <w:p w14:paraId="6E06937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D556D8B"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indications for retroperitoneal lymph node biopsy during surgery for endometrial cancer include the following situations (primarily based on Table 8-7 and related text descriptions):</w:t>
            </w:r>
            <w:r w:rsidRPr="00CB2EC4">
              <w:rPr>
                <w:rFonts w:ascii="Times New Roman" w:hAnsi="Times New Roman" w:cs="Times New Roman"/>
              </w:rPr>
              <w:br/>
              <w:t>- Myometrial invasion greater than 1/2 (regardless of tumor grade).</w:t>
            </w:r>
            <w:r w:rsidRPr="00CB2EC4">
              <w:rPr>
                <w:rFonts w:ascii="Times New Roman" w:hAnsi="Times New Roman" w:cs="Times New Roman"/>
              </w:rPr>
              <w:br/>
              <w:t>- Tumor involvement of the cervix-isthmus (i.e., isthmic-extrauterine spread).</w:t>
            </w:r>
            <w:r w:rsidRPr="00CB2EC4">
              <w:rPr>
                <w:rFonts w:ascii="Times New Roman" w:hAnsi="Times New Roman" w:cs="Times New Roman"/>
              </w:rPr>
              <w:br/>
              <w:t>- Adnexal or other extrauterine metastasis.</w:t>
            </w:r>
            <w:r w:rsidRPr="00CB2EC4">
              <w:rPr>
                <w:rFonts w:ascii="Times New Roman" w:hAnsi="Times New Roman" w:cs="Times New Roman"/>
              </w:rPr>
              <w:br/>
              <w:t>- Specific histologic subtypes such as serous adenocarcinoma, clear cell adenocarcinoma, squamous cell carcinoma, or undifferentiated carcinoma.</w:t>
            </w:r>
            <w:r w:rsidRPr="00CB2EC4">
              <w:rPr>
                <w:rFonts w:ascii="Times New Roman" w:hAnsi="Times New Roman" w:cs="Times New Roman"/>
              </w:rPr>
              <w:br/>
              <w:t>- Lymphadenopathy (suspicious or enlarged lymph nodes).</w:t>
            </w:r>
            <w:r w:rsidRPr="00CB2EC4">
              <w:rPr>
                <w:rFonts w:ascii="Times New Roman" w:hAnsi="Times New Roman" w:cs="Times New Roman"/>
              </w:rPr>
              <w:br/>
              <w:t>- Additionally, GOG study findings indicate that 46% of para-aortic lymph node metastases are associated with pelvic lymph node metastases, adnexal metastases, intra-abdominal metastases, or tumor invasion of the outer 1/3 of the myometrium; these factors also serve as indirect indications (though not directly listed as biopsy indications, they highlight high-risk situations).</w:t>
            </w:r>
            <w:r w:rsidRPr="00CB2EC4">
              <w:rPr>
                <w:rFonts w:ascii="Times New Roman" w:hAnsi="Times New Roman" w:cs="Times New Roman"/>
              </w:rPr>
              <w:br/>
            </w:r>
            <w:r w:rsidRPr="00CB2EC4">
              <w:rPr>
                <w:rFonts w:ascii="Times New Roman" w:hAnsi="Times New Roman" w:cs="Times New Roman"/>
              </w:rPr>
              <w:br/>
              <w:t xml:space="preserve">these indications are derived from Table 8-7 and text descriptions in the document (e.g., explicitly listed in the segment with similarity 0.566), aimed at identifying high-risk patients to guide adjuvant </w:t>
            </w:r>
            <w:r w:rsidRPr="00CB2EC4">
              <w:rPr>
                <w:rFonts w:ascii="Times New Roman" w:hAnsi="Times New Roman" w:cs="Times New Roman"/>
              </w:rPr>
              <w:lastRenderedPageBreak/>
              <w:t>treatment decisions.</w:t>
            </w:r>
          </w:p>
        </w:tc>
        <w:tc>
          <w:tcPr>
            <w:tcW w:w="1152" w:type="dxa"/>
            <w:vAlign w:val="center"/>
          </w:tcPr>
          <w:p w14:paraId="215831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F6E25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A845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7A99F41" w14:textId="77777777">
        <w:tc>
          <w:tcPr>
            <w:tcW w:w="2160" w:type="dxa"/>
            <w:vAlign w:val="center"/>
          </w:tcPr>
          <w:p w14:paraId="74647E29"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E48D6F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specific indications for performing retroperitoneal lymph node biopsy during endometrial cancer surgery include:  </w:t>
            </w:r>
            <w:r w:rsidRPr="00CB2EC4">
              <w:rPr>
                <w:rFonts w:ascii="Times New Roman" w:hAnsi="Times New Roman" w:cs="Times New Roman"/>
              </w:rPr>
              <w:br/>
              <w:t xml:space="preserve">- Myometrial invasion depth greater than 1/2: biopsy is required regardless of tumor grade (Fragment 1, Block 596).  </w:t>
            </w:r>
            <w:r w:rsidRPr="00CB2EC4">
              <w:rPr>
                <w:rFonts w:ascii="Times New Roman" w:hAnsi="Times New Roman" w:cs="Times New Roman"/>
              </w:rPr>
              <w:br/>
              <w:t xml:space="preserve">- Tumor involvement of the cervix or isthmus: cervical or isthmic involvement is an indication for biopsy (Fragment 1, Block 596; Fragment 5, Block 608).  </w:t>
            </w:r>
            <w:r w:rsidRPr="00CB2EC4">
              <w:rPr>
                <w:rFonts w:ascii="Times New Roman" w:hAnsi="Times New Roman" w:cs="Times New Roman"/>
              </w:rPr>
              <w:br/>
              <w:t xml:space="preserve">- Adnexal or other extrauterine metastasis: biopsy is required when adnexal metastasis or intra-abdominal spread is present (Fragment 1, Block 596).  </w:t>
            </w:r>
            <w:r w:rsidRPr="00CB2EC4">
              <w:rPr>
                <w:rFonts w:ascii="Times New Roman" w:hAnsi="Times New Roman" w:cs="Times New Roman"/>
              </w:rPr>
              <w:br/>
              <w:t xml:space="preserve">- High-risk histologic types: including serous adenocarcinoma, clear cell adenocarcinoma, squamous cell carcinoma, or undifferentiated carcinoma (Fragment 1, Block 596; Fragment 9, Block 595).  </w:t>
            </w:r>
            <w:r w:rsidRPr="00CB2EC4">
              <w:rPr>
                <w:rFonts w:ascii="Times New Roman" w:hAnsi="Times New Roman" w:cs="Times New Roman"/>
              </w:rPr>
              <w:br/>
              <w:t xml:space="preserve">- Lymph node enlargement: biopsy is indicated when enlarged lymph nodes are detected on palpation or imaging (Fragment 1, Block 596; Fragment 9, Block 595).  </w:t>
            </w:r>
            <w:r w:rsidRPr="00CB2EC4">
              <w:rPr>
                <w:rFonts w:ascii="Times New Roman" w:hAnsi="Times New Roman" w:cs="Times New Roman"/>
              </w:rPr>
              <w:br/>
              <w:t xml:space="preserve">- High-grade histology (G2 or G3) with myometrial invasion approaching 1/2: lymph node sampling is recommended especially when invasion depth is uncertain (Fragment 2, Block 597; Fragment 26, Block 599).  </w:t>
            </w:r>
            <w:r w:rsidRPr="00CB2EC4">
              <w:rPr>
                <w:rFonts w:ascii="Times New Roman" w:hAnsi="Times New Roman" w:cs="Times New Roman"/>
              </w:rPr>
              <w:br/>
              <w:t xml:space="preserve">- Deep myometrial invasion or imaging suggesting lymph node positivity: systematic lymphadenectomy is indicated for cases with high-risk features such as full-thickness myometrial invasion in poorly differentiated tumors (Fragment 9, Block 595).  </w:t>
            </w:r>
            <w:r w:rsidRPr="00CB2EC4">
              <w:rPr>
                <w:rFonts w:ascii="Times New Roman" w:hAnsi="Times New Roman" w:cs="Times New Roman"/>
              </w:rPr>
              <w:br/>
              <w:t xml:space="preserve">- Indications for para-aortic lymph node sampling: </w:t>
            </w:r>
            <w:r w:rsidRPr="00CB2EC4">
              <w:rPr>
                <w:rFonts w:ascii="Times New Roman" w:hAnsi="Times New Roman" w:cs="Times New Roman"/>
              </w:rPr>
              <w:lastRenderedPageBreak/>
              <w:t xml:space="preserve">include suspicious pelvic or para-aortic lymph nodes, large adnexal masses, enlarged pelvic lymph nodes, and subtypes such as clear cell carcinoma (Fragment 9, Block 595).  </w:t>
            </w:r>
            <w:r w:rsidRPr="00CB2EC4">
              <w:rPr>
                <w:rFonts w:ascii="Times New Roman" w:hAnsi="Times New Roman" w:cs="Times New Roman"/>
              </w:rPr>
              <w:br/>
            </w:r>
            <w:r w:rsidRPr="00CB2EC4">
              <w:rPr>
                <w:rFonts w:ascii="Times New Roman" w:hAnsi="Times New Roman" w:cs="Times New Roman"/>
              </w:rPr>
              <w:br/>
              <w:t>&gt; Source references: Fragment 1 (Block 596), Fragment 2 (Block 597), Fragment 5 (Block 608), Fragment 9 (Block 595), Fragment 26 (Block 599). These contents are derived from sections related to the document titled "Guidelines for Cervical Cancer Screening and Management".</w:t>
            </w:r>
          </w:p>
        </w:tc>
        <w:tc>
          <w:tcPr>
            <w:tcW w:w="1152" w:type="dxa"/>
            <w:vAlign w:val="center"/>
          </w:tcPr>
          <w:p w14:paraId="5B6AB2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75613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3CE8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464CEAA" w14:textId="77777777">
        <w:tc>
          <w:tcPr>
            <w:tcW w:w="2160" w:type="dxa"/>
            <w:vAlign w:val="center"/>
          </w:tcPr>
          <w:p w14:paraId="014F580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BF1E9F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specific indications for performing retroperitoneal lymph node biopsy (including pelvic and para-aortic lymph nodes) during surgery for endometrial cancer are:  </w:t>
            </w:r>
            <w:r w:rsidRPr="00CB2EC4">
              <w:rPr>
                <w:rFonts w:ascii="Times New Roman" w:hAnsi="Times New Roman" w:cs="Times New Roman"/>
              </w:rPr>
              <w:br/>
              <w:t xml:space="preserve">- Myometrial invasion depth greater than 1/2 (regardless of tumor grade) or greater than 1/3 (especially for grade 1 lesions, but also applicable to grade 2 or 3).  </w:t>
            </w:r>
            <w:r w:rsidRPr="00CB2EC4">
              <w:rPr>
                <w:rFonts w:ascii="Times New Roman" w:hAnsi="Times New Roman" w:cs="Times New Roman"/>
              </w:rPr>
              <w:br/>
              <w:t xml:space="preserve">- Tumor invasion involving the cervix or isthmus (including occult stage II).  </w:t>
            </w:r>
            <w:r w:rsidRPr="00CB2EC4">
              <w:rPr>
                <w:rFonts w:ascii="Times New Roman" w:hAnsi="Times New Roman" w:cs="Times New Roman"/>
              </w:rPr>
              <w:br/>
              <w:t xml:space="preserve">- Adnexal or other extrauterine metastasis.  </w:t>
            </w:r>
            <w:r w:rsidRPr="00CB2EC4">
              <w:rPr>
                <w:rFonts w:ascii="Times New Roman" w:hAnsi="Times New Roman" w:cs="Times New Roman"/>
              </w:rPr>
              <w:br/>
              <w:t xml:space="preserve">- Specific histological types: serous adenocarcinoma, clear cell adenocarcinoma, squamous cell carcinoma, undifferentiated carcinoma, serous papillary carcinoma, or carcinosarcoma.  </w:t>
            </w:r>
            <w:r w:rsidRPr="00CB2EC4">
              <w:rPr>
                <w:rFonts w:ascii="Times New Roman" w:hAnsi="Times New Roman" w:cs="Times New Roman"/>
              </w:rPr>
              <w:br/>
              <w:t xml:space="preserve">- Lymphadenopathy or suspicious lymph node metastasis (e.g., positive findings on imaging).  </w:t>
            </w:r>
            <w:r w:rsidRPr="00CB2EC4">
              <w:rPr>
                <w:rFonts w:ascii="Times New Roman" w:hAnsi="Times New Roman" w:cs="Times New Roman"/>
              </w:rPr>
              <w:br/>
              <w:t xml:space="preserve">- Endometrial cavity involvement exceeding 50%.  </w:t>
            </w:r>
            <w:r w:rsidRPr="00CB2EC4">
              <w:rPr>
                <w:rFonts w:ascii="Times New Roman" w:hAnsi="Times New Roman" w:cs="Times New Roman"/>
              </w:rPr>
              <w:br/>
              <w:t xml:space="preserve">- For stage I or occult stage II patients, presence of poor prognostic factors (such as high grade or deep myometrial invasion).  </w:t>
            </w:r>
            <w:r w:rsidRPr="00CB2EC4">
              <w:rPr>
                <w:rFonts w:ascii="Times New Roman" w:hAnsi="Times New Roman" w:cs="Times New Roman"/>
              </w:rPr>
              <w:br/>
              <w:t>(Source: Document fragments 1, 2, 8, 12, 24)</w:t>
            </w:r>
          </w:p>
        </w:tc>
        <w:tc>
          <w:tcPr>
            <w:tcW w:w="1152" w:type="dxa"/>
            <w:vAlign w:val="center"/>
          </w:tcPr>
          <w:p w14:paraId="6AA8F9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76A4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9EB3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804EE7" w14:textId="77777777">
        <w:tc>
          <w:tcPr>
            <w:tcW w:w="2160" w:type="dxa"/>
            <w:vAlign w:val="center"/>
          </w:tcPr>
          <w:p w14:paraId="4A5907A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54877ED6" w14:textId="77777777" w:rsidR="00922249" w:rsidRPr="00CB2EC4" w:rsidRDefault="003011D5">
            <w:pPr>
              <w:rPr>
                <w:rFonts w:ascii="Times New Roman" w:hAnsi="Times New Roman" w:cs="Times New Roman"/>
              </w:rPr>
            </w:pPr>
            <w:r w:rsidRPr="00CB2EC4">
              <w:rPr>
                <w:rFonts w:ascii="Times New Roman" w:hAnsi="Times New Roman" w:cs="Times New Roman"/>
              </w:rPr>
              <w:t>indications for retroperitoneal lymph node biopsy (in endometrial cancer surgery)</w:t>
            </w:r>
            <w:r w:rsidRPr="00CB2EC4">
              <w:rPr>
                <w:rFonts w:ascii="Times New Roman" w:hAnsi="Times New Roman" w:cs="Times New Roman"/>
              </w:rPr>
              <w:br/>
            </w:r>
            <w:r w:rsidRPr="00CB2EC4">
              <w:rPr>
                <w:rFonts w:ascii="Times New Roman" w:hAnsi="Times New Roman" w:cs="Times New Roman"/>
              </w:rPr>
              <w:br/>
              <w:t xml:space="preserve">Knowledge base document explicit indications (Table 8-7):  </w:t>
            </w:r>
            <w:r w:rsidRPr="00CB2EC4">
              <w:rPr>
                <w:rFonts w:ascii="Times New Roman" w:hAnsi="Times New Roman" w:cs="Times New Roman"/>
              </w:rPr>
              <w:br/>
              <w:t xml:space="preserve">- Myometrial invasion &gt; 1/2 (regardless of tumor grade)  </w:t>
            </w:r>
            <w:r w:rsidRPr="00CB2EC4">
              <w:rPr>
                <w:rFonts w:ascii="Times New Roman" w:hAnsi="Times New Roman" w:cs="Times New Roman"/>
              </w:rPr>
              <w:br/>
              <w:t xml:space="preserve">- Tumor invasion involving cervix-isthmus  </w:t>
            </w:r>
            <w:r w:rsidRPr="00CB2EC4">
              <w:rPr>
                <w:rFonts w:ascii="Times New Roman" w:hAnsi="Times New Roman" w:cs="Times New Roman"/>
              </w:rPr>
              <w:br/>
              <w:t xml:space="preserve">- Adnexal or other extrauterine metastasis  </w:t>
            </w:r>
            <w:r w:rsidRPr="00CB2EC4">
              <w:rPr>
                <w:rFonts w:ascii="Times New Roman" w:hAnsi="Times New Roman" w:cs="Times New Roman"/>
              </w:rPr>
              <w:br/>
              <w:t xml:space="preserve">- Special pathological types: serous adenocarcinoma, clear cell adenocarcinoma, squamous cell carcinoma, undifferentiated carcinoma  </w:t>
            </w:r>
            <w:r w:rsidRPr="00CB2EC4">
              <w:rPr>
                <w:rFonts w:ascii="Times New Roman" w:hAnsi="Times New Roman" w:cs="Times New Roman"/>
              </w:rPr>
              <w:br/>
              <w:t xml:space="preserve">- Lymph node enlargement  </w:t>
            </w:r>
            <w:r w:rsidRPr="00CB2EC4">
              <w:rPr>
                <w:rFonts w:ascii="Times New Roman" w:hAnsi="Times New Roman" w:cs="Times New Roman"/>
              </w:rPr>
              <w:br/>
            </w:r>
            <w:r w:rsidRPr="00CB2EC4">
              <w:rPr>
                <w:rFonts w:ascii="Times New Roman" w:hAnsi="Times New Roman" w:cs="Times New Roman"/>
              </w:rPr>
              <w:br/>
              <w:t xml:space="preserve">Supplementary from web search:  </w:t>
            </w:r>
            <w:r w:rsidRPr="00CB2EC4">
              <w:rPr>
                <w:rFonts w:ascii="Times New Roman" w:hAnsi="Times New Roman" w:cs="Times New Roman"/>
              </w:rPr>
              <w:br/>
              <w:t xml:space="preserve">- Preoperative imaging (e.g., PET/CT) suggesting lymph node metastasis requires biopsy (source: web search results)  </w:t>
            </w:r>
            <w:r w:rsidRPr="00CB2EC4">
              <w:rPr>
                <w:rFonts w:ascii="Times New Roman" w:hAnsi="Times New Roman" w:cs="Times New Roman"/>
              </w:rPr>
              <w:br/>
            </w:r>
            <w:r w:rsidRPr="00CB2EC4">
              <w:rPr>
                <w:rFonts w:ascii="Times New Roman" w:hAnsi="Times New Roman" w:cs="Times New Roman"/>
              </w:rPr>
              <w:br/>
              <w:t>Synthesis analysis: Indications are primarily based on deep myometrial invasion, cervical involvement, high-risk pathological types, and imaging abnormalities.</w:t>
            </w:r>
          </w:p>
        </w:tc>
        <w:tc>
          <w:tcPr>
            <w:tcW w:w="1152" w:type="dxa"/>
            <w:vAlign w:val="center"/>
          </w:tcPr>
          <w:p w14:paraId="6D19CA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7BA7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DEB9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180938F" w14:textId="77777777">
        <w:tc>
          <w:tcPr>
            <w:tcW w:w="2160" w:type="dxa"/>
            <w:vAlign w:val="center"/>
          </w:tcPr>
          <w:p w14:paraId="0B5FCC1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5261FFE"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indications for retroperitoneal lymph node biopsy in endometrial cancer surgery include:</w:t>
            </w:r>
            <w:r w:rsidRPr="00CB2EC4">
              <w:rPr>
                <w:rFonts w:ascii="Times New Roman" w:hAnsi="Times New Roman" w:cs="Times New Roman"/>
              </w:rPr>
              <w:br/>
            </w:r>
            <w:r w:rsidRPr="00CB2EC4">
              <w:rPr>
                <w:rFonts w:ascii="Times New Roman" w:hAnsi="Times New Roman" w:cs="Times New Roman"/>
              </w:rPr>
              <w:br/>
              <w:t>- Myometrial invasion greater than 1/2 (regardless of tumor grade).</w:t>
            </w:r>
            <w:r w:rsidRPr="00CB2EC4">
              <w:rPr>
                <w:rFonts w:ascii="Times New Roman" w:hAnsi="Times New Roman" w:cs="Times New Roman"/>
              </w:rPr>
              <w:br/>
              <w:t>- Tumor involvement of the cervix-isthmus (i.e., cervical spread).</w:t>
            </w:r>
            <w:r w:rsidRPr="00CB2EC4">
              <w:rPr>
                <w:rFonts w:ascii="Times New Roman" w:hAnsi="Times New Roman" w:cs="Times New Roman"/>
              </w:rPr>
              <w:br/>
              <w:t>- Adnexal or other extrauterine metastasis.</w:t>
            </w:r>
            <w:r w:rsidRPr="00CB2EC4">
              <w:rPr>
                <w:rFonts w:ascii="Times New Roman" w:hAnsi="Times New Roman" w:cs="Times New Roman"/>
              </w:rPr>
              <w:br/>
              <w:t>- Specific histological types: serous adenocarcinoma, clear cell adenocarcinoma, squamous cell carcinoma, or undifferentiated carcinoma.</w:t>
            </w:r>
            <w:r w:rsidRPr="00CB2EC4">
              <w:rPr>
                <w:rFonts w:ascii="Times New Roman" w:hAnsi="Times New Roman" w:cs="Times New Roman"/>
              </w:rPr>
              <w:br/>
              <w:t xml:space="preserve">- Lymphadenopathy (palpable suspicious metastatic </w:t>
            </w:r>
            <w:r w:rsidRPr="00CB2EC4">
              <w:rPr>
                <w:rFonts w:ascii="Times New Roman" w:hAnsi="Times New Roman" w:cs="Times New Roman"/>
              </w:rPr>
              <w:lastRenderedPageBreak/>
              <w:t>lymph nodes).</w:t>
            </w:r>
            <w:r w:rsidRPr="00CB2EC4">
              <w:rPr>
                <w:rFonts w:ascii="Times New Roman" w:hAnsi="Times New Roman" w:cs="Times New Roman"/>
              </w:rPr>
              <w:br/>
            </w:r>
            <w:r w:rsidRPr="00CB2EC4">
              <w:rPr>
                <w:rFonts w:ascii="Times New Roman" w:hAnsi="Times New Roman" w:cs="Times New Roman"/>
              </w:rPr>
              <w:br/>
              <w:t>Additionally, indications supplemented in Document Fragment 4 and 11: for patients with questionable depth of myometrial invasion (especially when invasion approaches 1/2 of the myometrial thickness), low-grade tumors invading the full myometrial thickness, large adnexal lesions, enlarged pelvic lymph nodes, and suspicious para-aortic and common iliac lymph nodes, lymph node sampling is also required.</w:t>
            </w:r>
          </w:p>
        </w:tc>
        <w:tc>
          <w:tcPr>
            <w:tcW w:w="1152" w:type="dxa"/>
            <w:vAlign w:val="center"/>
          </w:tcPr>
          <w:p w14:paraId="52A63A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22EC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C4B5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DF33F35" w14:textId="77777777">
        <w:tc>
          <w:tcPr>
            <w:tcW w:w="2160" w:type="dxa"/>
            <w:vAlign w:val="center"/>
          </w:tcPr>
          <w:p w14:paraId="0CA98D00"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F92E76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specific indications for performing retroperitoneal lymph node biopsy in endometrial cancer surgery include:  </w:t>
            </w:r>
            <w:r w:rsidRPr="00CB2EC4">
              <w:rPr>
                <w:rFonts w:ascii="Times New Roman" w:hAnsi="Times New Roman" w:cs="Times New Roman"/>
              </w:rPr>
              <w:br/>
              <w:t xml:space="preserve">- Myometrial invasion depth greater than 1/2 (regardless of tumor grade).  </w:t>
            </w:r>
            <w:r w:rsidRPr="00CB2EC4">
              <w:rPr>
                <w:rFonts w:ascii="Times New Roman" w:hAnsi="Times New Roman" w:cs="Times New Roman"/>
              </w:rPr>
              <w:br/>
              <w:t xml:space="preserve">- Tumor involvement of the cervix-isthmus (isthmic-extrauterine spread).  </w:t>
            </w:r>
            <w:r w:rsidRPr="00CB2EC4">
              <w:rPr>
                <w:rFonts w:ascii="Times New Roman" w:hAnsi="Times New Roman" w:cs="Times New Roman"/>
              </w:rPr>
              <w:br/>
              <w:t xml:space="preserve">- Adnexal or other extrauterine metastasis.  </w:t>
            </w:r>
            <w:r w:rsidRPr="00CB2EC4">
              <w:rPr>
                <w:rFonts w:ascii="Times New Roman" w:hAnsi="Times New Roman" w:cs="Times New Roman"/>
              </w:rPr>
              <w:br/>
              <w:t xml:space="preserve">- Lymphadenopathy (palpable suspicious metastatic lymph nodes).  </w:t>
            </w:r>
            <w:r w:rsidRPr="00CB2EC4">
              <w:rPr>
                <w:rFonts w:ascii="Times New Roman" w:hAnsi="Times New Roman" w:cs="Times New Roman"/>
              </w:rPr>
              <w:br/>
              <w:t xml:space="preserve">- Specific high-risk histologic types: serous adenocarcinoma, clear cell adenocarcinoma, squamous cell carcinoma, or undifferentiated carcinoma.  </w:t>
            </w:r>
            <w:r w:rsidRPr="00CB2EC4">
              <w:rPr>
                <w:rFonts w:ascii="Times New Roman" w:hAnsi="Times New Roman" w:cs="Times New Roman"/>
              </w:rPr>
              <w:br/>
              <w:t>These indications are explicitly listed in Table 8-7 (Document 10) for the purpose of accurate prognostic assessment and formulation of postoperative adjuvant treatment plans.</w:t>
            </w:r>
          </w:p>
        </w:tc>
        <w:tc>
          <w:tcPr>
            <w:tcW w:w="1152" w:type="dxa"/>
            <w:vAlign w:val="center"/>
          </w:tcPr>
          <w:p w14:paraId="21C35E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182A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13DC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B2A7275" w14:textId="77777777">
        <w:tc>
          <w:tcPr>
            <w:tcW w:w="2160" w:type="dxa"/>
            <w:vAlign w:val="center"/>
          </w:tcPr>
          <w:p w14:paraId="37CCB45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32E35A8"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indications for retroperitoneal lymph node biopsy during endometrial cancer surgery include:</w:t>
            </w:r>
            <w:r w:rsidRPr="00CB2EC4">
              <w:rPr>
                <w:rFonts w:ascii="Times New Roman" w:hAnsi="Times New Roman" w:cs="Times New Roman"/>
              </w:rPr>
              <w:br/>
            </w:r>
            <w:r w:rsidRPr="00CB2EC4">
              <w:rPr>
                <w:rFonts w:ascii="Times New Roman" w:hAnsi="Times New Roman" w:cs="Times New Roman"/>
              </w:rPr>
              <w:br/>
              <w:t xml:space="preserve">- Myometrial invasion depth &gt;1/2 (regardless of tumor </w:t>
            </w:r>
            <w:r w:rsidRPr="00CB2EC4">
              <w:rPr>
                <w:rFonts w:ascii="Times New Roman" w:hAnsi="Times New Roman" w:cs="Times New Roman"/>
              </w:rPr>
              <w:lastRenderedPageBreak/>
              <w:t>grade).</w:t>
            </w:r>
            <w:r w:rsidRPr="00CB2EC4">
              <w:rPr>
                <w:rFonts w:ascii="Times New Roman" w:hAnsi="Times New Roman" w:cs="Times New Roman"/>
              </w:rPr>
              <w:br/>
              <w:t>- Tumor involvement of the cervix-isthmus.</w:t>
            </w:r>
            <w:r w:rsidRPr="00CB2EC4">
              <w:rPr>
                <w:rFonts w:ascii="Times New Roman" w:hAnsi="Times New Roman" w:cs="Times New Roman"/>
              </w:rPr>
              <w:br/>
              <w:t>- Adnexal metastasis or other extrauterine spread.</w:t>
            </w:r>
            <w:r w:rsidRPr="00CB2EC4">
              <w:rPr>
                <w:rFonts w:ascii="Times New Roman" w:hAnsi="Times New Roman" w:cs="Times New Roman"/>
              </w:rPr>
              <w:br/>
              <w:t>- Special pathological types: serous adenocarcinoma, clear cell adenocarcinoma, squamous cell carcinoma, or undifferentiated carcinoma.</w:t>
            </w:r>
            <w:r w:rsidRPr="00CB2EC4">
              <w:rPr>
                <w:rFonts w:ascii="Times New Roman" w:hAnsi="Times New Roman" w:cs="Times New Roman"/>
              </w:rPr>
              <w:br/>
              <w:t>- Lymph node enlargement (suspicious metastatic lymph nodes palpated intraoperatively).</w:t>
            </w:r>
            <w:r w:rsidRPr="00CB2EC4">
              <w:rPr>
                <w:rFonts w:ascii="Times New Roman" w:hAnsi="Times New Roman" w:cs="Times New Roman"/>
              </w:rPr>
              <w:br/>
              <w:t>- High-risk factors: such as deep myometrial invasion or imaging suggesting lymph node positivity (retroperitoneal lymph node assessment required).</w:t>
            </w:r>
            <w:r w:rsidRPr="00CB2EC4">
              <w:rPr>
                <w:rFonts w:ascii="Times New Roman" w:hAnsi="Times New Roman" w:cs="Times New Roman"/>
              </w:rPr>
              <w:br/>
            </w:r>
            <w:r w:rsidRPr="00CB2EC4">
              <w:rPr>
                <w:rFonts w:ascii="Times New Roman" w:hAnsi="Times New Roman" w:cs="Times New Roman"/>
              </w:rPr>
              <w:br/>
              <w:t xml:space="preserve">&gt; Basis:  </w:t>
            </w:r>
            <w:r w:rsidRPr="00CB2EC4">
              <w:rPr>
                <w:rFonts w:ascii="Times New Roman" w:hAnsi="Times New Roman" w:cs="Times New Roman"/>
              </w:rPr>
              <w:br/>
              <w:t xml:space="preserve">&gt; - Document explicitly lists (Table 8-7): "myometrial invasion &gt;1/2, isthmus-extrauterine spread, cervical spread, lymph node enlargement, serous adenocarcinoma, clear cell carcinoma, squamous cell carcinoma, undifferentiated carcinoma" (HyDE similarity 0.655).  </w:t>
            </w:r>
            <w:r w:rsidRPr="00CB2EC4">
              <w:rPr>
                <w:rFonts w:ascii="Times New Roman" w:hAnsi="Times New Roman" w:cs="Times New Roman"/>
              </w:rPr>
              <w:br/>
              <w:t>&gt; - Supplementary note: "When myometrial invasion depth is uncertain, especially in cases approaching 1/2 thickness, lymph node sampling should be performed" (HyDE similarity 0.633).</w:t>
            </w:r>
          </w:p>
        </w:tc>
        <w:tc>
          <w:tcPr>
            <w:tcW w:w="1152" w:type="dxa"/>
            <w:vAlign w:val="center"/>
          </w:tcPr>
          <w:p w14:paraId="5ECD4A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B562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D9FEB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A06227" w14:textId="77777777">
        <w:tc>
          <w:tcPr>
            <w:tcW w:w="2160" w:type="dxa"/>
            <w:vAlign w:val="center"/>
          </w:tcPr>
          <w:p w14:paraId="6675D56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5188EDFE"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indications for retroperitoneal lymph node biopsy during surgery for endometrial cancer include:</w:t>
            </w:r>
            <w:r w:rsidRPr="00CB2EC4">
              <w:rPr>
                <w:rFonts w:ascii="Times New Roman" w:hAnsi="Times New Roman" w:cs="Times New Roman"/>
              </w:rPr>
              <w:br/>
            </w:r>
            <w:r w:rsidRPr="00CB2EC4">
              <w:rPr>
                <w:rFonts w:ascii="Times New Roman" w:hAnsi="Times New Roman" w:cs="Times New Roman"/>
              </w:rPr>
              <w:br/>
              <w:t>- Myometrial invasion greater than 1/2 (regardless of tumor grade).</w:t>
            </w:r>
            <w:r w:rsidRPr="00CB2EC4">
              <w:rPr>
                <w:rFonts w:ascii="Times New Roman" w:hAnsi="Times New Roman" w:cs="Times New Roman"/>
              </w:rPr>
              <w:br/>
              <w:t>- Tumor involvement of the cervix-isthmus (i.e., cervical or isthmic involvement).</w:t>
            </w:r>
            <w:r w:rsidRPr="00CB2EC4">
              <w:rPr>
                <w:rFonts w:ascii="Times New Roman" w:hAnsi="Times New Roman" w:cs="Times New Roman"/>
              </w:rPr>
              <w:br/>
              <w:t>- Adnexal or other extrauterine metastasis (e.g., metastasis to the ovary, fallopian tube, etc.).</w:t>
            </w:r>
            <w:r w:rsidRPr="00CB2EC4">
              <w:rPr>
                <w:rFonts w:ascii="Times New Roman" w:hAnsi="Times New Roman" w:cs="Times New Roman"/>
              </w:rPr>
              <w:br/>
              <w:t xml:space="preserve">- Specific histological types: serous adenocarcinoma, clear cell adenocarcinoma, squamous cell carcinoma, </w:t>
            </w:r>
            <w:r w:rsidRPr="00CB2EC4">
              <w:rPr>
                <w:rFonts w:ascii="Times New Roman" w:hAnsi="Times New Roman" w:cs="Times New Roman"/>
              </w:rPr>
              <w:lastRenderedPageBreak/>
              <w:t>or undifferentiated carcinoma.</w:t>
            </w:r>
            <w:r w:rsidRPr="00CB2EC4">
              <w:rPr>
                <w:rFonts w:ascii="Times New Roman" w:hAnsi="Times New Roman" w:cs="Times New Roman"/>
              </w:rPr>
              <w:br/>
              <w:t>- Lymph node enlargement (palpable or suggested by imaging).</w:t>
            </w:r>
            <w:r w:rsidRPr="00CB2EC4">
              <w:rPr>
                <w:rFonts w:ascii="Times New Roman" w:hAnsi="Times New Roman" w:cs="Times New Roman"/>
              </w:rPr>
              <w:br/>
            </w:r>
            <w:r w:rsidRPr="00CB2EC4">
              <w:rPr>
                <w:rFonts w:ascii="Times New Roman" w:hAnsi="Times New Roman" w:cs="Times New Roman"/>
              </w:rPr>
              <w:br/>
              <w:t>These indications are based on intraoperative gross observation or frozen section examination, aiming to assess the risk of tumor spread to determine whether lymph node biopsy should be performed. Document fragment 4 (similarity 0.547) also supports these indications, emphasizing that lymph node biopsy is necessary for patients with deep myometrial invasion or high-risk histological types.</w:t>
            </w:r>
          </w:p>
        </w:tc>
        <w:tc>
          <w:tcPr>
            <w:tcW w:w="1152" w:type="dxa"/>
            <w:vAlign w:val="center"/>
          </w:tcPr>
          <w:p w14:paraId="0D1F02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9B8E1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BD56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D2F355" w14:textId="77777777">
        <w:tc>
          <w:tcPr>
            <w:tcW w:w="2160" w:type="dxa"/>
            <w:vAlign w:val="center"/>
          </w:tcPr>
          <w:p w14:paraId="59E24F87"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A11D452"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indications for performing retroperitoneal lymph node biopsy (including pelvic and para-aortic lymph nodes) during surgery for endometrial cancer are:</w:t>
            </w:r>
            <w:r w:rsidRPr="00CB2EC4">
              <w:rPr>
                <w:rFonts w:ascii="Times New Roman" w:hAnsi="Times New Roman" w:cs="Times New Roman"/>
              </w:rPr>
              <w:br/>
            </w:r>
            <w:r w:rsidRPr="00CB2EC4">
              <w:rPr>
                <w:rFonts w:ascii="Times New Roman" w:hAnsi="Times New Roman" w:cs="Times New Roman"/>
              </w:rPr>
              <w:br/>
              <w:t>- Myometrial invasion depth greater than 1/2: biopsy is required regardless of tumor grade.</w:t>
            </w:r>
            <w:r w:rsidRPr="00CB2EC4">
              <w:rPr>
                <w:rFonts w:ascii="Times New Roman" w:hAnsi="Times New Roman" w:cs="Times New Roman"/>
              </w:rPr>
              <w:br/>
              <w:t>- Tumor involving the cervix-isthmus: including cervical spread or isthmic involvement.</w:t>
            </w:r>
            <w:r w:rsidRPr="00CB2EC4">
              <w:rPr>
                <w:rFonts w:ascii="Times New Roman" w:hAnsi="Times New Roman" w:cs="Times New Roman"/>
              </w:rPr>
              <w:br/>
              <w:t>- Adnexal or other extrauterine metastasis: such as metastasis to the ovary, fallopian tube, or other sites.</w:t>
            </w:r>
            <w:r w:rsidRPr="00CB2EC4">
              <w:rPr>
                <w:rFonts w:ascii="Times New Roman" w:hAnsi="Times New Roman" w:cs="Times New Roman"/>
              </w:rPr>
              <w:br/>
              <w:t>- Specific histologic types: including serous adenocarcinoma, clear cell adenocarcinoma, squamous cell carcinoma, or undifferentiated carcinoma.</w:t>
            </w:r>
            <w:r w:rsidRPr="00CB2EC4">
              <w:rPr>
                <w:rFonts w:ascii="Times New Roman" w:hAnsi="Times New Roman" w:cs="Times New Roman"/>
              </w:rPr>
              <w:br/>
              <w:t>- Lymphadenopathy: clinically or surgically detected enlarged lymph nodes.</w:t>
            </w:r>
            <w:r w:rsidRPr="00CB2EC4">
              <w:rPr>
                <w:rFonts w:ascii="Times New Roman" w:hAnsi="Times New Roman" w:cs="Times New Roman"/>
              </w:rPr>
              <w:br/>
            </w:r>
            <w:r w:rsidRPr="00CB2EC4">
              <w:rPr>
                <w:rFonts w:ascii="Times New Roman" w:hAnsi="Times New Roman" w:cs="Times New Roman"/>
              </w:rPr>
              <w:br/>
              <w:t xml:space="preserve">these indications are derived from multiple document sections (e.g., Table 8-7 and subsequent descriptions in the first fragment) to identify high-risk patients and guide postoperative treatment decisions. if none of </w:t>
            </w:r>
            <w:r w:rsidRPr="00CB2EC4">
              <w:rPr>
                <w:rFonts w:ascii="Times New Roman" w:hAnsi="Times New Roman" w:cs="Times New Roman"/>
              </w:rPr>
              <w:lastRenderedPageBreak/>
              <w:t>these indications are present, routine biopsy is typically not required.</w:t>
            </w:r>
          </w:p>
        </w:tc>
        <w:tc>
          <w:tcPr>
            <w:tcW w:w="1152" w:type="dxa"/>
            <w:vAlign w:val="center"/>
          </w:tcPr>
          <w:p w14:paraId="790B25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A301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70B4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A0166F" w14:textId="77777777">
        <w:tc>
          <w:tcPr>
            <w:tcW w:w="2160" w:type="dxa"/>
            <w:vAlign w:val="center"/>
          </w:tcPr>
          <w:p w14:paraId="6CCDC5B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D27D6E7"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indications for performing retroperitoneal lymph node biopsy during endometrial cancer surgery include:</w:t>
            </w:r>
            <w:r w:rsidRPr="00CB2EC4">
              <w:rPr>
                <w:rFonts w:ascii="Times New Roman" w:hAnsi="Times New Roman" w:cs="Times New Roman"/>
              </w:rPr>
              <w:br/>
              <w:t>- Myometrial invasion depth greater than 1/2: regardless of tumor grade (Document Fragment 1).</w:t>
            </w:r>
            <w:r w:rsidRPr="00CB2EC4">
              <w:rPr>
                <w:rFonts w:ascii="Times New Roman" w:hAnsi="Times New Roman" w:cs="Times New Roman"/>
              </w:rPr>
              <w:br/>
              <w:t>- Isthmus-extrauterine spread: tumor invasion of the cervical isthmus or presence of extrauterine metastasis (Document Fragment 1).</w:t>
            </w:r>
            <w:r w:rsidRPr="00CB2EC4">
              <w:rPr>
                <w:rFonts w:ascii="Times New Roman" w:hAnsi="Times New Roman" w:cs="Times New Roman"/>
              </w:rPr>
              <w:br/>
              <w:t>- Cervical spread: tumor involvement of cervical tissue (Document Fragment 1).</w:t>
            </w:r>
            <w:r w:rsidRPr="00CB2EC4">
              <w:rPr>
                <w:rFonts w:ascii="Times New Roman" w:hAnsi="Times New Roman" w:cs="Times New Roman"/>
              </w:rPr>
              <w:br/>
              <w:t>- Lymph node enlargement: intraoperative detection of enlarged or suspicious lymph nodes (Document Fragments 1 and 10).</w:t>
            </w:r>
            <w:r w:rsidRPr="00CB2EC4">
              <w:rPr>
                <w:rFonts w:ascii="Times New Roman" w:hAnsi="Times New Roman" w:cs="Times New Roman"/>
              </w:rPr>
              <w:br/>
              <w:t>- Specific histological types: including serous adenocarcinoma, clear cell carcinoma, squamous cell carcinoma, and undifferentiated carcinoma (Document Fragment 1).</w:t>
            </w:r>
            <w:r w:rsidRPr="00CB2EC4">
              <w:rPr>
                <w:rFonts w:ascii="Times New Roman" w:hAnsi="Times New Roman" w:cs="Times New Roman"/>
              </w:rPr>
              <w:br/>
              <w:t>- Tumor grade 2 or 3: especially when myometrial invasion approaches or exceeds 1/2 (Document Fragment 5).</w:t>
            </w:r>
            <w:r w:rsidRPr="00CB2EC4">
              <w:rPr>
                <w:rFonts w:ascii="Times New Roman" w:hAnsi="Times New Roman" w:cs="Times New Roman"/>
              </w:rPr>
              <w:br/>
              <w:t>- Cavity lesion exceeding 50%: extensive intraluminal tumor involvement (Document Fragment 5).</w:t>
            </w:r>
            <w:r w:rsidRPr="00CB2EC4">
              <w:rPr>
                <w:rFonts w:ascii="Times New Roman" w:hAnsi="Times New Roman" w:cs="Times New Roman"/>
              </w:rPr>
              <w:br/>
              <w:t>- Adnexal metastasis: presence of ovarian or tubal metastasis (Document Fragment 5).</w:t>
            </w:r>
            <w:r w:rsidRPr="00CB2EC4">
              <w:rPr>
                <w:rFonts w:ascii="Times New Roman" w:hAnsi="Times New Roman" w:cs="Times New Roman"/>
              </w:rPr>
              <w:br/>
            </w:r>
            <w:r w:rsidRPr="00CB2EC4">
              <w:rPr>
                <w:rFonts w:ascii="Times New Roman" w:hAnsi="Times New Roman" w:cs="Times New Roman"/>
              </w:rPr>
              <w:br/>
              <w:t>these indications are based on FIGO guidelines and clinical studies (e.g., GOG studies) to identify high-risk cases and guide treatment decisions. if these conditions are not met (e.g., lesion confined to the endometrium without high-risk factors), lymph node biopsy is typically not required (Document Fragment 2).</w:t>
            </w:r>
          </w:p>
        </w:tc>
        <w:tc>
          <w:tcPr>
            <w:tcW w:w="1152" w:type="dxa"/>
            <w:vAlign w:val="center"/>
          </w:tcPr>
          <w:p w14:paraId="6C6C1D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B3CF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F1AF7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5AC13F4" w14:textId="77777777">
        <w:tc>
          <w:tcPr>
            <w:tcW w:w="2160" w:type="dxa"/>
            <w:vAlign w:val="center"/>
          </w:tcPr>
          <w:p w14:paraId="7089804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660C245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specific indications for performing retroperitoneal lymph node biopsy during surgery for endometrial cancer include:  </w:t>
            </w:r>
            <w:r w:rsidRPr="00CB2EC4">
              <w:rPr>
                <w:rFonts w:ascii="Times New Roman" w:hAnsi="Times New Roman" w:cs="Times New Roman"/>
              </w:rPr>
              <w:br/>
              <w:t xml:space="preserve">- Myometrial invasion depth greater than 1/2 (regardless of tumor grade).  </w:t>
            </w:r>
            <w:r w:rsidRPr="00CB2EC4">
              <w:rPr>
                <w:rFonts w:ascii="Times New Roman" w:hAnsi="Times New Roman" w:cs="Times New Roman"/>
              </w:rPr>
              <w:br/>
              <w:t xml:space="preserve">- Tumor involvement of the cervix-isthmus (i.e., cervical or isthmic involvement).  </w:t>
            </w:r>
            <w:r w:rsidRPr="00CB2EC4">
              <w:rPr>
                <w:rFonts w:ascii="Times New Roman" w:hAnsi="Times New Roman" w:cs="Times New Roman"/>
              </w:rPr>
              <w:br/>
              <w:t xml:space="preserve">- Adnexal metastasis or other extrauterine spread.  </w:t>
            </w:r>
            <w:r w:rsidRPr="00CB2EC4">
              <w:rPr>
                <w:rFonts w:ascii="Times New Roman" w:hAnsi="Times New Roman" w:cs="Times New Roman"/>
              </w:rPr>
              <w:br/>
              <w:t xml:space="preserve">- Specific histologic types: serous adenocarcinoma, clear cell adenocarcinoma, squamous cell carcinoma, or undifferentiated carcinoma.  </w:t>
            </w:r>
            <w:r w:rsidRPr="00CB2EC4">
              <w:rPr>
                <w:rFonts w:ascii="Times New Roman" w:hAnsi="Times New Roman" w:cs="Times New Roman"/>
              </w:rPr>
              <w:br/>
              <w:t xml:space="preserve">- Lymphadenopathy (detected by palpation or imaging).  </w:t>
            </w:r>
            <w:r w:rsidRPr="00CB2EC4">
              <w:rPr>
                <w:rFonts w:ascii="Times New Roman" w:hAnsi="Times New Roman" w:cs="Times New Roman"/>
              </w:rPr>
              <w:br/>
              <w:t xml:space="preserve">- Suspicious para-aortic and/or common iliac lymph nodes, large adnexal lesions, or enlarged pelvic lymph nodes (especially for subtypes such as clear cell carcinoma and serous papillary carcinoma).  </w:t>
            </w:r>
            <w:r w:rsidRPr="00CB2EC4">
              <w:rPr>
                <w:rFonts w:ascii="Times New Roman" w:hAnsi="Times New Roman" w:cs="Times New Roman"/>
              </w:rPr>
              <w:br/>
            </w:r>
            <w:r w:rsidRPr="00CB2EC4">
              <w:rPr>
                <w:rFonts w:ascii="Times New Roman" w:hAnsi="Times New Roman" w:cs="Times New Roman"/>
              </w:rPr>
              <w:br/>
              <w:t>These indications are derived from Table 8-7 and related descriptions in the document (e.g., in the "Indications for Sampling" section and the "Surgical Exploration and Staging Procedure" section), aiming to identify high-risk cases to guide postoperative adjuvant therapy.</w:t>
            </w:r>
          </w:p>
        </w:tc>
        <w:tc>
          <w:tcPr>
            <w:tcW w:w="1152" w:type="dxa"/>
            <w:vAlign w:val="center"/>
          </w:tcPr>
          <w:p w14:paraId="7ADA64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5D1F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7CED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213DF48" w14:textId="77777777">
        <w:tc>
          <w:tcPr>
            <w:tcW w:w="2160" w:type="dxa"/>
            <w:vAlign w:val="center"/>
          </w:tcPr>
          <w:p w14:paraId="158676CC"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2882CF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specific indications for performing retroperitoneal lymph node biopsy during surgery for endometrial cancer include:  </w:t>
            </w:r>
            <w:r w:rsidRPr="00CB2EC4">
              <w:rPr>
                <w:rFonts w:ascii="Times New Roman" w:hAnsi="Times New Roman" w:cs="Times New Roman"/>
              </w:rPr>
              <w:br/>
              <w:t xml:space="preserve">- Myometrial invasion greater than 1/2 (regardless of tumor grade).  </w:t>
            </w:r>
            <w:r w:rsidRPr="00CB2EC4">
              <w:rPr>
                <w:rFonts w:ascii="Times New Roman" w:hAnsi="Times New Roman" w:cs="Times New Roman"/>
              </w:rPr>
              <w:br/>
              <w:t xml:space="preserve">- Tumor involvement of the cervix-isthmus.  </w:t>
            </w:r>
            <w:r w:rsidRPr="00CB2EC4">
              <w:rPr>
                <w:rFonts w:ascii="Times New Roman" w:hAnsi="Times New Roman" w:cs="Times New Roman"/>
              </w:rPr>
              <w:br/>
              <w:t xml:space="preserve">- Adnexal or other extrauterine metastasis.  </w:t>
            </w:r>
            <w:r w:rsidRPr="00CB2EC4">
              <w:rPr>
                <w:rFonts w:ascii="Times New Roman" w:hAnsi="Times New Roman" w:cs="Times New Roman"/>
              </w:rPr>
              <w:br/>
              <w:t xml:space="preserve">- Specific histological types: serous adenocarcinoma, clear cell adenocarcinoma, squamous cell carcinoma, or undifferentiated carcinoma.  </w:t>
            </w:r>
            <w:r w:rsidRPr="00CB2EC4">
              <w:rPr>
                <w:rFonts w:ascii="Times New Roman" w:hAnsi="Times New Roman" w:cs="Times New Roman"/>
              </w:rPr>
              <w:br/>
            </w:r>
            <w:r w:rsidRPr="00CB2EC4">
              <w:rPr>
                <w:rFonts w:ascii="Times New Roman" w:hAnsi="Times New Roman" w:cs="Times New Roman"/>
              </w:rPr>
              <w:lastRenderedPageBreak/>
              <w:t xml:space="preserve">- Lymphadenopathy (detected by palpation or imaging).  </w:t>
            </w:r>
            <w:r w:rsidRPr="00CB2EC4">
              <w:rPr>
                <w:rFonts w:ascii="Times New Roman" w:hAnsi="Times New Roman" w:cs="Times New Roman"/>
              </w:rPr>
              <w:br/>
            </w:r>
            <w:r w:rsidRPr="00CB2EC4">
              <w:rPr>
                <w:rFonts w:ascii="Times New Roman" w:hAnsi="Times New Roman" w:cs="Times New Roman"/>
              </w:rPr>
              <w:br/>
              <w:t>These indications are based on intraoperative gross observation or frozen section examination results, aiming to assess the risk of tumor spread to determine the need for lymph node biopsy. GOG studies indicate that approximately 46% of patients with para-aortic lymph node metastases originate from these risk factors (Document Fragment 1).</w:t>
            </w:r>
          </w:p>
        </w:tc>
        <w:tc>
          <w:tcPr>
            <w:tcW w:w="1152" w:type="dxa"/>
            <w:vAlign w:val="center"/>
          </w:tcPr>
          <w:p w14:paraId="1D3153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849EF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78846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63BB20" w14:textId="77777777">
        <w:tc>
          <w:tcPr>
            <w:tcW w:w="2160" w:type="dxa"/>
            <w:vAlign w:val="center"/>
          </w:tcPr>
          <w:p w14:paraId="2F69BA2E"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6183534" w14:textId="77777777" w:rsidR="00922249" w:rsidRPr="00CB2EC4" w:rsidRDefault="003011D5">
            <w:pPr>
              <w:rPr>
                <w:rFonts w:ascii="Times New Roman" w:hAnsi="Times New Roman" w:cs="Times New Roman"/>
              </w:rPr>
            </w:pPr>
            <w:r w:rsidRPr="00CB2EC4">
              <w:rPr>
                <w:rFonts w:ascii="Times New Roman" w:hAnsi="Times New Roman" w:cs="Times New Roman"/>
              </w:rPr>
              <w:t>the specific indications for performing retroperitoneal lymph node biopsy during surgery for endometrial cancer include:</w:t>
            </w:r>
            <w:r w:rsidRPr="00CB2EC4">
              <w:rPr>
                <w:rFonts w:ascii="Times New Roman" w:hAnsi="Times New Roman" w:cs="Times New Roman"/>
              </w:rPr>
              <w:br/>
            </w:r>
            <w:r w:rsidRPr="00CB2EC4">
              <w:rPr>
                <w:rFonts w:ascii="Times New Roman" w:hAnsi="Times New Roman" w:cs="Times New Roman"/>
              </w:rPr>
              <w:br/>
              <w:t>- Myometrial invasion greater than 1/2 (regardless of tumor grade).</w:t>
            </w:r>
            <w:r w:rsidRPr="00CB2EC4">
              <w:rPr>
                <w:rFonts w:ascii="Times New Roman" w:hAnsi="Times New Roman" w:cs="Times New Roman"/>
              </w:rPr>
              <w:br/>
              <w:t>- Tumor involvement of the cervix-isthmus.</w:t>
            </w:r>
            <w:r w:rsidRPr="00CB2EC4">
              <w:rPr>
                <w:rFonts w:ascii="Times New Roman" w:hAnsi="Times New Roman" w:cs="Times New Roman"/>
              </w:rPr>
              <w:br/>
              <w:t>- Adnexal or other extrauterine metastasis.</w:t>
            </w:r>
            <w:r w:rsidRPr="00CB2EC4">
              <w:rPr>
                <w:rFonts w:ascii="Times New Roman" w:hAnsi="Times New Roman" w:cs="Times New Roman"/>
              </w:rPr>
              <w:br/>
              <w:t>- Specific histologic types: serous adenocarcinoma, clear cell adenocarcinoma, squamous cell carcinoma, or undifferentiated carcinoma.</w:t>
            </w:r>
            <w:r w:rsidRPr="00CB2EC4">
              <w:rPr>
                <w:rFonts w:ascii="Times New Roman" w:hAnsi="Times New Roman" w:cs="Times New Roman"/>
              </w:rPr>
              <w:br/>
              <w:t>- Lymphadenopathy (e.g., palpable suspicious metastatic lymph nodes).</w:t>
            </w:r>
            <w:r w:rsidRPr="00CB2EC4">
              <w:rPr>
                <w:rFonts w:ascii="Times New Roman" w:hAnsi="Times New Roman" w:cs="Times New Roman"/>
              </w:rPr>
              <w:br/>
            </w:r>
            <w:r w:rsidRPr="00CB2EC4">
              <w:rPr>
                <w:rFonts w:ascii="Times New Roman" w:hAnsi="Times New Roman" w:cs="Times New Roman"/>
              </w:rPr>
              <w:br/>
              <w:t>These indications are based on the summary in Table 8-7, aimed at identifying high-risk cases to guide postoperative treatment decisions (such as radiotherapy or chemotherapy). If these criteria are not met (e.g., lesion confined to the endometrium without myometrial invasion), routine lymph node biopsy is not required.</w:t>
            </w:r>
          </w:p>
        </w:tc>
        <w:tc>
          <w:tcPr>
            <w:tcW w:w="1152" w:type="dxa"/>
            <w:vAlign w:val="center"/>
          </w:tcPr>
          <w:p w14:paraId="69BDD2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231EA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FFD9C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2351BCC" w14:textId="77777777">
        <w:tc>
          <w:tcPr>
            <w:tcW w:w="2160" w:type="dxa"/>
            <w:vAlign w:val="center"/>
          </w:tcPr>
          <w:p w14:paraId="300EAEB1"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E507DB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specific indications for performing retroperitoneal lymph node biopsy during endometrial cancer surgery </w:t>
            </w:r>
            <w:r w:rsidRPr="00CB2EC4">
              <w:rPr>
                <w:rFonts w:ascii="Times New Roman" w:hAnsi="Times New Roman" w:cs="Times New Roman"/>
              </w:rPr>
              <w:lastRenderedPageBreak/>
              <w:t xml:space="preserve">include:  </w:t>
            </w:r>
            <w:r w:rsidRPr="00CB2EC4">
              <w:rPr>
                <w:rFonts w:ascii="Times New Roman" w:hAnsi="Times New Roman" w:cs="Times New Roman"/>
              </w:rPr>
              <w:br/>
              <w:t xml:space="preserve">- Tumor histologic grade G2 or G3 (intermediate or high grade).  </w:t>
            </w:r>
            <w:r w:rsidRPr="00CB2EC4">
              <w:rPr>
                <w:rFonts w:ascii="Times New Roman" w:hAnsi="Times New Roman" w:cs="Times New Roman"/>
              </w:rPr>
              <w:br/>
              <w:t xml:space="preserve">- Deep myometrial invasion (≥50% myometrial thickness).  </w:t>
            </w:r>
            <w:r w:rsidRPr="00CB2EC4">
              <w:rPr>
                <w:rFonts w:ascii="Times New Roman" w:hAnsi="Times New Roman" w:cs="Times New Roman"/>
              </w:rPr>
              <w:br/>
              <w:t xml:space="preserve">- Tumor diameter &gt;2 cm.  </w:t>
            </w:r>
            <w:r w:rsidRPr="00CB2EC4">
              <w:rPr>
                <w:rFonts w:ascii="Times New Roman" w:hAnsi="Times New Roman" w:cs="Times New Roman"/>
              </w:rPr>
              <w:br/>
              <w:t xml:space="preserve">- Cervical stromal involvement.  </w:t>
            </w:r>
            <w:r w:rsidRPr="00CB2EC4">
              <w:rPr>
                <w:rFonts w:ascii="Times New Roman" w:hAnsi="Times New Roman" w:cs="Times New Roman"/>
              </w:rPr>
              <w:br/>
              <w:t xml:space="preserve">- Presence of lymphovascular space invasion (LVSI).  </w:t>
            </w:r>
            <w:r w:rsidRPr="00CB2EC4">
              <w:rPr>
                <w:rFonts w:ascii="Times New Roman" w:hAnsi="Times New Roman" w:cs="Times New Roman"/>
              </w:rPr>
              <w:br/>
              <w:t>- Routine recommendation for lymph node assessment in patients with FIGO stage I or higher (e.g., stage IB or above). Low-risk patients (e.g., stage IA, G1 without other high-risk features) may be exempted.</w:t>
            </w:r>
          </w:p>
        </w:tc>
        <w:tc>
          <w:tcPr>
            <w:tcW w:w="1152" w:type="dxa"/>
            <w:vAlign w:val="center"/>
          </w:tcPr>
          <w:p w14:paraId="30F39E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D242A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F8A28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FF63F69" w14:textId="77777777">
        <w:tc>
          <w:tcPr>
            <w:tcW w:w="10656" w:type="dxa"/>
            <w:gridSpan w:val="5"/>
            <w:tcBorders>
              <w:bottom w:val="single" w:sz="6" w:space="0" w:color="auto"/>
            </w:tcBorders>
            <w:vAlign w:val="center"/>
          </w:tcPr>
          <w:p w14:paraId="3A7830D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177: What is the standard surgical procedure for endometrial cancer?</w:t>
            </w:r>
          </w:p>
        </w:tc>
      </w:tr>
      <w:tr w:rsidR="00922249" w:rsidRPr="00CB2EC4" w14:paraId="0F39CFB9" w14:textId="77777777">
        <w:tc>
          <w:tcPr>
            <w:tcW w:w="2160" w:type="dxa"/>
            <w:vAlign w:val="center"/>
          </w:tcPr>
          <w:p w14:paraId="14EB656E"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259EEEFA" w14:textId="77777777" w:rsidR="00922249" w:rsidRPr="00CB2EC4" w:rsidRDefault="003011D5">
            <w:pPr>
              <w:rPr>
                <w:rFonts w:ascii="Times New Roman" w:hAnsi="Times New Roman" w:cs="Times New Roman"/>
              </w:rPr>
            </w:pPr>
            <w:r w:rsidRPr="00CB2EC4">
              <w:rPr>
                <w:rFonts w:ascii="Times New Roman" w:hAnsi="Times New Roman" w:cs="Times New Roman"/>
              </w:rPr>
              <w:t>the basic surgical procedure for endometrial cancer is extrafascial total hysterectomy with bilateral salpingo-oophorectomy.</w:t>
            </w:r>
            <w:r w:rsidRPr="00CB2EC4">
              <w:rPr>
                <w:rFonts w:ascii="Times New Roman" w:hAnsi="Times New Roman" w:cs="Times New Roman"/>
              </w:rPr>
              <w:br/>
            </w:r>
            <w:r w:rsidRPr="00CB2EC4">
              <w:rPr>
                <w:rFonts w:ascii="Times New Roman" w:hAnsi="Times New Roman" w:cs="Times New Roman"/>
              </w:rPr>
              <w:br/>
              <w:t>specific description includes:</w:t>
            </w:r>
            <w:r w:rsidRPr="00CB2EC4">
              <w:rPr>
                <w:rFonts w:ascii="Times New Roman" w:hAnsi="Times New Roman" w:cs="Times New Roman"/>
              </w:rPr>
              <w:br/>
              <w:t>- surgical extent: total hysterectomy is performed extrafascially at the level of the cervical fascia, along with resection of 1–2 cm of the vagina and bilateral adnexa (even if the adnexa appear normal, removal is advocated due to the possibility of occult microinvasive carcinoma).</w:t>
            </w:r>
            <w:r w:rsidRPr="00CB2EC4">
              <w:rPr>
                <w:rFonts w:ascii="Times New Roman" w:hAnsi="Times New Roman" w:cs="Times New Roman"/>
              </w:rPr>
              <w:br/>
              <w:t>- this procedure is applicable to most cases, especially clinical stage I patients, and is combined with abdominal exploration and lymph node biopsy to complete surgical staging.</w:t>
            </w:r>
            <w:r w:rsidRPr="00CB2EC4">
              <w:rPr>
                <w:rFonts w:ascii="Times New Roman" w:hAnsi="Times New Roman" w:cs="Times New Roman"/>
              </w:rPr>
              <w:br/>
            </w:r>
            <w:r w:rsidRPr="00CB2EC4">
              <w:rPr>
                <w:rFonts w:ascii="Times New Roman" w:hAnsi="Times New Roman" w:cs="Times New Roman"/>
              </w:rPr>
              <w:br/>
              <w:t>this information is repeated in multiple sections (e.g., segments with similarity 0.566 and 0.540) and is emphasized as the standard foundational surgery.</w:t>
            </w:r>
          </w:p>
        </w:tc>
        <w:tc>
          <w:tcPr>
            <w:tcW w:w="1152" w:type="dxa"/>
            <w:vAlign w:val="center"/>
          </w:tcPr>
          <w:p w14:paraId="5D42A1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31B3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C3E5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AD1E9C" w14:textId="77777777">
        <w:tc>
          <w:tcPr>
            <w:tcW w:w="2160" w:type="dxa"/>
            <w:vAlign w:val="center"/>
          </w:tcPr>
          <w:p w14:paraId="37E2B09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Contextual Chunk </w:t>
            </w:r>
            <w:r w:rsidRPr="00CB2EC4">
              <w:rPr>
                <w:rFonts w:ascii="Times New Roman" w:hAnsi="Times New Roman" w:cs="Times New Roman"/>
              </w:rPr>
              <w:lastRenderedPageBreak/>
              <w:t>Headers</w:t>
            </w:r>
          </w:p>
        </w:tc>
        <w:tc>
          <w:tcPr>
            <w:tcW w:w="5040" w:type="dxa"/>
            <w:vAlign w:val="center"/>
          </w:tcPr>
          <w:p w14:paraId="0E9E710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the basic surgical procedure for endometrial cancer is </w:t>
            </w:r>
            <w:r w:rsidRPr="00CB2EC4">
              <w:rPr>
                <w:rFonts w:ascii="Times New Roman" w:hAnsi="Times New Roman" w:cs="Times New Roman"/>
              </w:rPr>
              <w:lastRenderedPageBreak/>
              <w:t xml:space="preserve">extrafascial total hysterectomy with bilateral salpingo-oophorectomy.  </w:t>
            </w:r>
            <w:r w:rsidRPr="00CB2EC4">
              <w:rPr>
                <w:rFonts w:ascii="Times New Roman" w:hAnsi="Times New Roman" w:cs="Times New Roman"/>
              </w:rPr>
              <w:br/>
              <w:t xml:space="preserve">- This procedure is indicated for low-risk patients with disease confined to the endometrium, particularly stage I cases (Fragment 2, Block 597; Fragment 7, Block 598).  </w:t>
            </w:r>
            <w:r w:rsidRPr="00CB2EC4">
              <w:rPr>
                <w:rFonts w:ascii="Times New Roman" w:hAnsi="Times New Roman" w:cs="Times New Roman"/>
              </w:rPr>
              <w:br/>
              <w:t xml:space="preserve">- The surgical extent includes total hysterectomy performed extrafascially at the cervical level, along with resection of 1–2 cm of the vagina and both adnexa (Fragment 7, Block 598; Fragment 9, Block 595).  </w:t>
            </w:r>
            <w:r w:rsidRPr="00CB2EC4">
              <w:rPr>
                <w:rFonts w:ascii="Times New Roman" w:hAnsi="Times New Roman" w:cs="Times New Roman"/>
              </w:rPr>
              <w:br/>
              <w:t xml:space="preserve">- For patients over 40 years of age, bilateral adnexectomy is routinely performed; for those under 40 with early-stage disease, preservation of one ovary may be considered to maintain physiological function (Fragment 3, Block 998; Fragment 18, Block 613).  </w:t>
            </w:r>
            <w:r w:rsidRPr="00CB2EC4">
              <w:rPr>
                <w:rFonts w:ascii="Times New Roman" w:hAnsi="Times New Roman" w:cs="Times New Roman"/>
              </w:rPr>
              <w:br/>
            </w:r>
            <w:r w:rsidRPr="00CB2EC4">
              <w:rPr>
                <w:rFonts w:ascii="Times New Roman" w:hAnsi="Times New Roman" w:cs="Times New Roman"/>
              </w:rPr>
              <w:br/>
              <w:t>&gt; Source references: Fragment 2 (Block 597), Fragment 7 (Block 598), Fragment 9 (Block 595), Fragment 18 (Block 613). These contents are derived from the relevant sections of the document titled "Guidelines for Cervical Cancer Screening and Management".</w:t>
            </w:r>
          </w:p>
        </w:tc>
        <w:tc>
          <w:tcPr>
            <w:tcW w:w="1152" w:type="dxa"/>
            <w:vAlign w:val="center"/>
          </w:tcPr>
          <w:p w14:paraId="6F629B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F6DF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F637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4F1E02" w14:textId="77777777">
        <w:tc>
          <w:tcPr>
            <w:tcW w:w="2160" w:type="dxa"/>
            <w:vAlign w:val="center"/>
          </w:tcPr>
          <w:p w14:paraId="317C472D"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7C3508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basic surgical procedure for endometrial cancer is extrafascial total hysterectomy with bilateral salpingo-oophorectomy. this involves removal of the entire uterus extrafascially along with 1–2 cm of the vagina and both adnexa. this procedure is indicated for stage i low-risk patients and serves as the foundation of standard treatment.  </w:t>
            </w:r>
            <w:r w:rsidRPr="00CB2EC4">
              <w:rPr>
                <w:rFonts w:ascii="Times New Roman" w:hAnsi="Times New Roman" w:cs="Times New Roman"/>
              </w:rPr>
              <w:br/>
              <w:t>(source: document fragments 2, 13, 47)</w:t>
            </w:r>
          </w:p>
        </w:tc>
        <w:tc>
          <w:tcPr>
            <w:tcW w:w="1152" w:type="dxa"/>
            <w:vAlign w:val="center"/>
          </w:tcPr>
          <w:p w14:paraId="6AF53A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CCADE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DD1A9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487CCF" w14:textId="77777777">
        <w:tc>
          <w:tcPr>
            <w:tcW w:w="2160" w:type="dxa"/>
            <w:vAlign w:val="center"/>
          </w:tcPr>
          <w:p w14:paraId="393EF4E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F459137" w14:textId="77777777" w:rsidR="00922249" w:rsidRPr="00CB2EC4" w:rsidRDefault="003011D5">
            <w:pPr>
              <w:rPr>
                <w:rFonts w:ascii="Times New Roman" w:hAnsi="Times New Roman" w:cs="Times New Roman"/>
              </w:rPr>
            </w:pPr>
            <w:r w:rsidRPr="00CB2EC4">
              <w:rPr>
                <w:rFonts w:ascii="Times New Roman" w:hAnsi="Times New Roman" w:cs="Times New Roman"/>
              </w:rPr>
              <w:t>basic surgical procedures for endometrial cancer</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Extrafascial total hysterectomy + bilateral salpingo-oophorectomy  </w:t>
            </w:r>
            <w:r w:rsidRPr="00CB2EC4">
              <w:rPr>
                <w:rFonts w:ascii="Times New Roman" w:hAnsi="Times New Roman" w:cs="Times New Roman"/>
              </w:rPr>
              <w:br/>
              <w:t xml:space="preserve">- Supplementary note: Routine bilateral salpingo-oophorectomy for patients aged 40 years or older; early-stage young patients may retain one ovary if no abnormality is present  </w:t>
            </w:r>
            <w:r w:rsidRPr="00CB2EC4">
              <w:rPr>
                <w:rFonts w:ascii="Times New Roman" w:hAnsi="Times New Roman" w:cs="Times New Roman"/>
              </w:rPr>
              <w:br/>
              <w:t>- Web search corroboration: International guidelines uniformly designate total hysterectomy with bilateral salpingo-oophorectomy as the foundational surgical approach (source: web search results)</w:t>
            </w:r>
          </w:p>
        </w:tc>
        <w:tc>
          <w:tcPr>
            <w:tcW w:w="1152" w:type="dxa"/>
            <w:vAlign w:val="center"/>
          </w:tcPr>
          <w:p w14:paraId="6AE0C2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B89C2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F20F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4DC7CDC" w14:textId="77777777">
        <w:tc>
          <w:tcPr>
            <w:tcW w:w="2160" w:type="dxa"/>
            <w:vAlign w:val="center"/>
          </w:tcPr>
          <w:p w14:paraId="22E8E1C0"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5B294057" w14:textId="77777777" w:rsidR="00922249" w:rsidRPr="00CB2EC4" w:rsidRDefault="003011D5">
            <w:pPr>
              <w:rPr>
                <w:rFonts w:ascii="Times New Roman" w:hAnsi="Times New Roman" w:cs="Times New Roman"/>
              </w:rPr>
            </w:pPr>
            <w:r w:rsidRPr="00CB2EC4">
              <w:rPr>
                <w:rFonts w:ascii="Times New Roman" w:hAnsi="Times New Roman" w:cs="Times New Roman"/>
              </w:rPr>
              <w:t>the basic surgical procedure for endometrial cancer is extrafascial total hysterectomy with bilateral salpingo-oophorectomy. this approach is suitable for most cases, especially early-stage patients, and involves removal of the uterus, both adnexa (ovaries and fallopian tubes), and 1–2 cm of the vagina (document fragment 4). in specific situations (e.g., young patients or early lesions), one ovary may be preserved (document fragment 2), but the fundamental framework remains unchanged.</w:t>
            </w:r>
          </w:p>
        </w:tc>
        <w:tc>
          <w:tcPr>
            <w:tcW w:w="1152" w:type="dxa"/>
            <w:vAlign w:val="center"/>
          </w:tcPr>
          <w:p w14:paraId="58962F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A0C9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764E6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F4E3A3" w14:textId="77777777">
        <w:tc>
          <w:tcPr>
            <w:tcW w:w="2160" w:type="dxa"/>
            <w:vAlign w:val="center"/>
          </w:tcPr>
          <w:p w14:paraId="49AF0938"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B01889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basic surgical procedure for endometrial cancer is extrafascial total hysterectomy with bilateral salpingo-oophorectomy.  </w:t>
            </w:r>
            <w:r w:rsidRPr="00CB2EC4">
              <w:rPr>
                <w:rFonts w:ascii="Times New Roman" w:hAnsi="Times New Roman" w:cs="Times New Roman"/>
              </w:rPr>
              <w:br/>
              <w:t xml:space="preserve">this procedure is applicable to most cases and involves removal of the entire uterus, both fallopian tubes and ovaries, along with 1–2 cm of the vagina (document 2 and document 9).  </w:t>
            </w:r>
            <w:r w:rsidRPr="00CB2EC4">
              <w:rPr>
                <w:rFonts w:ascii="Times New Roman" w:hAnsi="Times New Roman" w:cs="Times New Roman"/>
              </w:rPr>
              <w:br/>
              <w:t>for younger patients or those with specific indications, preservation of one ovary may be considered to maintain physiological function (document 5 and document 12).</w:t>
            </w:r>
          </w:p>
        </w:tc>
        <w:tc>
          <w:tcPr>
            <w:tcW w:w="1152" w:type="dxa"/>
            <w:vAlign w:val="center"/>
          </w:tcPr>
          <w:p w14:paraId="64E16A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6BD07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E512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92DAE1" w14:textId="77777777">
        <w:tc>
          <w:tcPr>
            <w:tcW w:w="2160" w:type="dxa"/>
            <w:vAlign w:val="center"/>
          </w:tcPr>
          <w:p w14:paraId="2FCDBCC8"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2D012F6" w14:textId="77777777" w:rsidR="00922249" w:rsidRPr="00CB2EC4" w:rsidRDefault="003011D5">
            <w:pPr>
              <w:rPr>
                <w:rFonts w:ascii="Times New Roman" w:hAnsi="Times New Roman" w:cs="Times New Roman"/>
              </w:rPr>
            </w:pPr>
            <w:r w:rsidRPr="00CB2EC4">
              <w:rPr>
                <w:rFonts w:ascii="Times New Roman" w:hAnsi="Times New Roman" w:cs="Times New Roman"/>
              </w:rPr>
              <w:t>the basic surgical approach for endometrial cancer is extrafascial total hysterectomy with bilateral salpingo-</w:t>
            </w:r>
            <w:r w:rsidRPr="00CB2EC4">
              <w:rPr>
                <w:rFonts w:ascii="Times New Roman" w:hAnsi="Times New Roman" w:cs="Times New Roman"/>
              </w:rPr>
              <w:lastRenderedPageBreak/>
              <w:t xml:space="preserve">oophorectomy.  </w:t>
            </w:r>
            <w:r w:rsidRPr="00CB2EC4">
              <w:rPr>
                <w:rFonts w:ascii="Times New Roman" w:hAnsi="Times New Roman" w:cs="Times New Roman"/>
              </w:rPr>
              <w:br/>
              <w:t xml:space="preserve">- Surgical extent: removal of the entire uterus, 1–2 cm of the upper vagina, and both adnexa outside the cervical fascia.  </w:t>
            </w:r>
            <w:r w:rsidRPr="00CB2EC4">
              <w:rPr>
                <w:rFonts w:ascii="Times New Roman" w:hAnsi="Times New Roman" w:cs="Times New Roman"/>
              </w:rPr>
              <w:br/>
              <w:t xml:space="preserve">- Indications: primarily suitable for low-risk stage I patients, who must meet all the following criteria:  </w:t>
            </w:r>
            <w:r w:rsidRPr="00CB2EC4">
              <w:rPr>
                <w:rFonts w:ascii="Times New Roman" w:hAnsi="Times New Roman" w:cs="Times New Roman"/>
              </w:rPr>
              <w:br/>
              <w:t xml:space="preserve">  - Histological grade G1 or G2 with myometrial invasion &lt;1/3;  </w:t>
            </w:r>
            <w:r w:rsidRPr="00CB2EC4">
              <w:rPr>
                <w:rFonts w:ascii="Times New Roman" w:hAnsi="Times New Roman" w:cs="Times New Roman"/>
              </w:rPr>
              <w:br/>
              <w:t xml:space="preserve">  - G3 grade without myometrial invasion;  </w:t>
            </w:r>
            <w:r w:rsidRPr="00CB2EC4">
              <w:rPr>
                <w:rFonts w:ascii="Times New Roman" w:hAnsi="Times New Roman" w:cs="Times New Roman"/>
              </w:rPr>
              <w:br/>
              <w:t xml:space="preserve">  - No involvement of the cervix or isthmus;  </w:t>
            </w:r>
            <w:r w:rsidRPr="00CB2EC4">
              <w:rPr>
                <w:rFonts w:ascii="Times New Roman" w:hAnsi="Times New Roman" w:cs="Times New Roman"/>
              </w:rPr>
              <w:br/>
              <w:t xml:space="preserve">  - No lymph node metastasis;  </w:t>
            </w:r>
            <w:r w:rsidRPr="00CB2EC4">
              <w:rPr>
                <w:rFonts w:ascii="Times New Roman" w:hAnsi="Times New Roman" w:cs="Times New Roman"/>
              </w:rPr>
              <w:br/>
              <w:t xml:space="preserve">  - No intra-abdominal metastasis.  </w:t>
            </w:r>
            <w:r w:rsidRPr="00CB2EC4">
              <w:rPr>
                <w:rFonts w:ascii="Times New Roman" w:hAnsi="Times New Roman" w:cs="Times New Roman"/>
              </w:rPr>
              <w:br/>
            </w:r>
            <w:r w:rsidRPr="00CB2EC4">
              <w:rPr>
                <w:rFonts w:ascii="Times New Roman" w:hAnsi="Times New Roman" w:cs="Times New Roman"/>
              </w:rPr>
              <w:br/>
              <w:t xml:space="preserve">&gt; Basis:  </w:t>
            </w:r>
            <w:r w:rsidRPr="00CB2EC4">
              <w:rPr>
                <w:rFonts w:ascii="Times New Roman" w:hAnsi="Times New Roman" w:cs="Times New Roman"/>
              </w:rPr>
              <w:br/>
              <w:t xml:space="preserve">&gt; - "2. Extrafascial total hysterectomy with bilateral salpingo-oophorectomy" (HyDE similarity 0.658).  </w:t>
            </w:r>
            <w:r w:rsidRPr="00CB2EC4">
              <w:rPr>
                <w:rFonts w:ascii="Times New Roman" w:hAnsi="Times New Roman" w:cs="Times New Roman"/>
              </w:rPr>
              <w:br/>
              <w:t>&gt; - "Endometrial cancer meeting the above criteria does not require retroperitoneal lymph node dissection" (HyDE similarity 0.658).</w:t>
            </w:r>
          </w:p>
        </w:tc>
        <w:tc>
          <w:tcPr>
            <w:tcW w:w="1152" w:type="dxa"/>
            <w:vAlign w:val="center"/>
          </w:tcPr>
          <w:p w14:paraId="037413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258E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6D5E3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364914" w14:textId="77777777">
        <w:tc>
          <w:tcPr>
            <w:tcW w:w="2160" w:type="dxa"/>
            <w:vAlign w:val="center"/>
          </w:tcPr>
          <w:p w14:paraId="6AE3C02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E500C52" w14:textId="77777777" w:rsidR="00922249" w:rsidRPr="00CB2EC4" w:rsidRDefault="003011D5">
            <w:pPr>
              <w:rPr>
                <w:rFonts w:ascii="Times New Roman" w:hAnsi="Times New Roman" w:cs="Times New Roman"/>
              </w:rPr>
            </w:pPr>
            <w:r w:rsidRPr="00CB2EC4">
              <w:rPr>
                <w:rFonts w:ascii="Times New Roman" w:hAnsi="Times New Roman" w:cs="Times New Roman"/>
              </w:rPr>
              <w:t>the basic surgical procedure for endometrial cancer is extrafascial total hysterectomy with bilateral salpingo-oophorectomy. this procedure is indicated for low-risk stage i patients, specifically including:</w:t>
            </w:r>
            <w:r w:rsidRPr="00CB2EC4">
              <w:rPr>
                <w:rFonts w:ascii="Times New Roman" w:hAnsi="Times New Roman" w:cs="Times New Roman"/>
              </w:rPr>
              <w:br/>
              <w:t>- grade 1 and 2 lesions with myometrial invasion less than 1/3.</w:t>
            </w:r>
            <w:r w:rsidRPr="00CB2EC4">
              <w:rPr>
                <w:rFonts w:ascii="Times New Roman" w:hAnsi="Times New Roman" w:cs="Times New Roman"/>
              </w:rPr>
              <w:br/>
              <w:t>- grade 3 lesions without myometrial invasion.</w:t>
            </w:r>
            <w:r w:rsidRPr="00CB2EC4">
              <w:rPr>
                <w:rFonts w:ascii="Times New Roman" w:hAnsi="Times New Roman" w:cs="Times New Roman"/>
              </w:rPr>
              <w:br/>
              <w:t>- no involvement of the cervix or isthmus.</w:t>
            </w:r>
            <w:r w:rsidRPr="00CB2EC4">
              <w:rPr>
                <w:rFonts w:ascii="Times New Roman" w:hAnsi="Times New Roman" w:cs="Times New Roman"/>
              </w:rPr>
              <w:br/>
              <w:t>- no lymph node involvement.</w:t>
            </w:r>
            <w:r w:rsidRPr="00CB2EC4">
              <w:rPr>
                <w:rFonts w:ascii="Times New Roman" w:hAnsi="Times New Roman" w:cs="Times New Roman"/>
              </w:rPr>
              <w:br/>
              <w:t>- no intra-abdominal metastasis.</w:t>
            </w:r>
            <w:r w:rsidRPr="00CB2EC4">
              <w:rPr>
                <w:rFonts w:ascii="Times New Roman" w:hAnsi="Times New Roman" w:cs="Times New Roman"/>
              </w:rPr>
              <w:br/>
            </w:r>
            <w:r w:rsidRPr="00CB2EC4">
              <w:rPr>
                <w:rFonts w:ascii="Times New Roman" w:hAnsi="Times New Roman" w:cs="Times New Roman"/>
              </w:rPr>
              <w:br/>
              <w:t xml:space="preserve">document fragment 28 also confirms this basic procedure as the standard treatment for endometrial cancer, especially in early cases. the surgical scope includes total hysterectomy performed extrafascially </w:t>
            </w:r>
            <w:r w:rsidRPr="00CB2EC4">
              <w:rPr>
                <w:rFonts w:ascii="Times New Roman" w:hAnsi="Times New Roman" w:cs="Times New Roman"/>
              </w:rPr>
              <w:lastRenderedPageBreak/>
              <w:t>at the cervical level, along with resection of 1–2 cm of the vagina and both adnexa.</w:t>
            </w:r>
          </w:p>
        </w:tc>
        <w:tc>
          <w:tcPr>
            <w:tcW w:w="1152" w:type="dxa"/>
            <w:vAlign w:val="center"/>
          </w:tcPr>
          <w:p w14:paraId="1FF58E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5BBC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C4ADE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A209E3" w14:textId="77777777">
        <w:tc>
          <w:tcPr>
            <w:tcW w:w="2160" w:type="dxa"/>
            <w:vAlign w:val="center"/>
          </w:tcPr>
          <w:p w14:paraId="609E7DB9"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B4A0CF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basic surgical procedure for endometrial cancer is extrafascial total hysterectomy with bilateral salpingo-oophorectomy.  </w:t>
            </w:r>
            <w:r w:rsidRPr="00CB2EC4">
              <w:rPr>
                <w:rFonts w:ascii="Times New Roman" w:hAnsi="Times New Roman" w:cs="Times New Roman"/>
              </w:rPr>
              <w:br/>
              <w:t xml:space="preserve">this procedure is indicated for low-risk stage I patients, specifically including:  </w:t>
            </w:r>
            <w:r w:rsidRPr="00CB2EC4">
              <w:rPr>
                <w:rFonts w:ascii="Times New Roman" w:hAnsi="Times New Roman" w:cs="Times New Roman"/>
              </w:rPr>
              <w:br/>
              <w:t xml:space="preserve">- resection range: total hysterectomy performed extrafascially at the cervical fascia, along with removal of 1–2 cm of the vagina and bilateral adnexa.  </w:t>
            </w:r>
            <w:r w:rsidRPr="00CB2EC4">
              <w:rPr>
                <w:rFonts w:ascii="Times New Roman" w:hAnsi="Times New Roman" w:cs="Times New Roman"/>
              </w:rPr>
              <w:br/>
              <w:t xml:space="preserve">- indications: primarily for stage I patients, such as grade 1 or 2 lesions with myometrial invasion &lt;1/3, grade 3 lesions without myometrial invasion, no cervical or isthmic involvement, no lymph node enlargement, and no intra-abdominal metastasis—i.e., low-risk conditions.  </w:t>
            </w:r>
            <w:r w:rsidRPr="00CB2EC4">
              <w:rPr>
                <w:rFonts w:ascii="Times New Roman" w:hAnsi="Times New Roman" w:cs="Times New Roman"/>
              </w:rPr>
              <w:br/>
            </w:r>
            <w:r w:rsidRPr="00CB2EC4">
              <w:rPr>
                <w:rFonts w:ascii="Times New Roman" w:hAnsi="Times New Roman" w:cs="Times New Roman"/>
              </w:rPr>
              <w:br/>
              <w:t>this information is sourced from multiple sections (e.g., section 6: "1. extrafascial total hysterectomy with bilateral adnexectomy" and section 7: "the basic surgery for endometrial cancer is extrafascial total hysterectomy with bilateral adnexectomy"), emphasizing that this is the standard initial surgery, with treatment potentially adjusted based on intraoperative findings (e.g., lymph node status).</w:t>
            </w:r>
          </w:p>
        </w:tc>
        <w:tc>
          <w:tcPr>
            <w:tcW w:w="1152" w:type="dxa"/>
            <w:vAlign w:val="center"/>
          </w:tcPr>
          <w:p w14:paraId="22E0CC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1DC9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CB55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91E981" w14:textId="77777777">
        <w:tc>
          <w:tcPr>
            <w:tcW w:w="2160" w:type="dxa"/>
            <w:vAlign w:val="center"/>
          </w:tcPr>
          <w:p w14:paraId="5C622CF8"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D641F54" w14:textId="77777777" w:rsidR="00922249" w:rsidRPr="00CB2EC4" w:rsidRDefault="003011D5">
            <w:pPr>
              <w:rPr>
                <w:rFonts w:ascii="Times New Roman" w:hAnsi="Times New Roman" w:cs="Times New Roman"/>
              </w:rPr>
            </w:pPr>
            <w:r w:rsidRPr="00CB2EC4">
              <w:rPr>
                <w:rFonts w:ascii="Times New Roman" w:hAnsi="Times New Roman" w:cs="Times New Roman"/>
              </w:rPr>
              <w:t>the basic surgical procedure for endometrial cancer is:</w:t>
            </w:r>
            <w:r w:rsidRPr="00CB2EC4">
              <w:rPr>
                <w:rFonts w:ascii="Times New Roman" w:hAnsi="Times New Roman" w:cs="Times New Roman"/>
              </w:rPr>
              <w:br/>
              <w:t xml:space="preserve">- Extrafascial total hysterectomy with bilateral salpingo-oophorectomy.  </w:t>
            </w:r>
            <w:r w:rsidRPr="00CB2EC4">
              <w:rPr>
                <w:rFonts w:ascii="Times New Roman" w:hAnsi="Times New Roman" w:cs="Times New Roman"/>
              </w:rPr>
              <w:br/>
              <w:t xml:space="preserve">  The surgical scope includes removal of the entire uterus outside the cervical fascia, resection of 1–2 cm of the vagina, and bilateral adnexa (even if they appear normal). This procedure is indicated for low-risk stage I patients (e.g., disease confined to the </w:t>
            </w:r>
            <w:r w:rsidRPr="00CB2EC4">
              <w:rPr>
                <w:rFonts w:ascii="Times New Roman" w:hAnsi="Times New Roman" w:cs="Times New Roman"/>
              </w:rPr>
              <w:lastRenderedPageBreak/>
              <w:t>endometrium, grade G1, and no deep myometrial invasion). For high-risk cases (e.g., G2/G3 grade, deep myometrial invasion), selective pelvic and para-aortic lymph node dissection may be added (based on document fragments 2 and 5).</w:t>
            </w:r>
          </w:p>
        </w:tc>
        <w:tc>
          <w:tcPr>
            <w:tcW w:w="1152" w:type="dxa"/>
            <w:vAlign w:val="center"/>
          </w:tcPr>
          <w:p w14:paraId="4512AF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8DC42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4F838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99E8E97" w14:textId="77777777">
        <w:tc>
          <w:tcPr>
            <w:tcW w:w="2160" w:type="dxa"/>
            <w:vAlign w:val="center"/>
          </w:tcPr>
          <w:p w14:paraId="45B7CAF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6F1213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basic surgical procedure for endometrial cancer is "extrafascial total hysterectomy with bilateral salpingo-oophorectomy".  </w:t>
            </w:r>
            <w:r w:rsidRPr="00CB2EC4">
              <w:rPr>
                <w:rFonts w:ascii="Times New Roman" w:hAnsi="Times New Roman" w:cs="Times New Roman"/>
              </w:rPr>
              <w:br/>
              <w:t xml:space="preserve">- This procedure involves total hysterectomy performed extrafascially at the level of the cervical fascia, along with resection of 1–2 cm of the vagina and bilateral adnexa (fallopian tubes and ovaries).  </w:t>
            </w:r>
            <w:r w:rsidRPr="00CB2EC4">
              <w:rPr>
                <w:rFonts w:ascii="Times New Roman" w:hAnsi="Times New Roman" w:cs="Times New Roman"/>
              </w:rPr>
              <w:br/>
              <w:t xml:space="preserve">- Indications primarily include low-risk stage I patients, specifically those with: grade 1 or 2 lesions with myometrial invasion &lt;1/3; grade 3 lesions without myometrial invasion; no involvement of the cervix or isthmus; no lymph node involvement; and no intra-abdominal metastasis.  </w:t>
            </w:r>
            <w:r w:rsidRPr="00CB2EC4">
              <w:rPr>
                <w:rFonts w:ascii="Times New Roman" w:hAnsi="Times New Roman" w:cs="Times New Roman"/>
              </w:rPr>
              <w:br/>
              <w:t>This information is explicitly stated in multiple sections (e.g., "Surgical Approaches, Methods, and Indications" and "Steps of Surgical Exploration and Staging") and represents the core standard surgical procedure for endometrial cancer treatment.</w:t>
            </w:r>
          </w:p>
        </w:tc>
        <w:tc>
          <w:tcPr>
            <w:tcW w:w="1152" w:type="dxa"/>
            <w:vAlign w:val="center"/>
          </w:tcPr>
          <w:p w14:paraId="5B9343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BA456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9322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DD1AC0" w14:textId="77777777">
        <w:tc>
          <w:tcPr>
            <w:tcW w:w="2160" w:type="dxa"/>
            <w:vAlign w:val="center"/>
          </w:tcPr>
          <w:p w14:paraId="02D122C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C2F0F2B" w14:textId="77777777" w:rsidR="00922249" w:rsidRPr="00CB2EC4" w:rsidRDefault="003011D5">
            <w:pPr>
              <w:rPr>
                <w:rFonts w:ascii="Times New Roman" w:hAnsi="Times New Roman" w:cs="Times New Roman"/>
              </w:rPr>
            </w:pPr>
            <w:r w:rsidRPr="00CB2EC4">
              <w:rPr>
                <w:rFonts w:ascii="Times New Roman" w:hAnsi="Times New Roman" w:cs="Times New Roman"/>
              </w:rPr>
              <w:t>the basic surgical procedure for endometrial cancer is:</w:t>
            </w:r>
            <w:r w:rsidRPr="00CB2EC4">
              <w:rPr>
                <w:rFonts w:ascii="Times New Roman" w:hAnsi="Times New Roman" w:cs="Times New Roman"/>
              </w:rPr>
              <w:br/>
              <w:t>- extrafascial total hysterectomy with bilateral salpingo-oophorectomy.</w:t>
            </w:r>
            <w:r w:rsidRPr="00CB2EC4">
              <w:rPr>
                <w:rFonts w:ascii="Times New Roman" w:hAnsi="Times New Roman" w:cs="Times New Roman"/>
              </w:rPr>
              <w:br/>
              <w:t xml:space="preserve">This procedure involves total hysterectomy performed extrafascially at the level of the cervical fascia, along with resection of 1–2 cm of the vagina and removal of both adnexa. It is primarily indicated for low-risk stage I patients, with specific indications including: grade 1 or 2 lesions with myometrial invasion less than 1/3, grade 3 lesions without myometrial invasion, </w:t>
            </w:r>
            <w:r w:rsidRPr="00CB2EC4">
              <w:rPr>
                <w:rFonts w:ascii="Times New Roman" w:hAnsi="Times New Roman" w:cs="Times New Roman"/>
              </w:rPr>
              <w:lastRenderedPageBreak/>
              <w:t>no involvement of the cervix or isthmus, no lymph node involvement, and no intra-abdominal metastasis (document fragments 2 and 4). This is the standard treatment for endometrial cancer, especially in early-stage cases.</w:t>
            </w:r>
          </w:p>
        </w:tc>
        <w:tc>
          <w:tcPr>
            <w:tcW w:w="1152" w:type="dxa"/>
            <w:vAlign w:val="center"/>
          </w:tcPr>
          <w:p w14:paraId="2465C2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EDB36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D7C6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4E62AF" w14:textId="77777777">
        <w:tc>
          <w:tcPr>
            <w:tcW w:w="2160" w:type="dxa"/>
            <w:vAlign w:val="center"/>
          </w:tcPr>
          <w:p w14:paraId="27583D0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F2AD49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basic surgical procedure for endometrial cancer is extrafascial total hysterectomy with bilateral salpingo-oophorectomy.  </w:t>
            </w:r>
            <w:r w:rsidRPr="00CB2EC4">
              <w:rPr>
                <w:rFonts w:ascii="Times New Roman" w:hAnsi="Times New Roman" w:cs="Times New Roman"/>
              </w:rPr>
              <w:br/>
              <w:t xml:space="preserve">this procedure is indicated for low-risk stage I patients, specifically:  </w:t>
            </w:r>
            <w:r w:rsidRPr="00CB2EC4">
              <w:rPr>
                <w:rFonts w:ascii="Times New Roman" w:hAnsi="Times New Roman" w:cs="Times New Roman"/>
              </w:rPr>
              <w:br/>
              <w:t xml:space="preserve">- grade 1 or 2 lesions with myometrial invasion &lt; 1/3  </w:t>
            </w:r>
            <w:r w:rsidRPr="00CB2EC4">
              <w:rPr>
                <w:rFonts w:ascii="Times New Roman" w:hAnsi="Times New Roman" w:cs="Times New Roman"/>
              </w:rPr>
              <w:br/>
              <w:t xml:space="preserve">- grade 3 lesions without myometrial invasion  </w:t>
            </w:r>
            <w:r w:rsidRPr="00CB2EC4">
              <w:rPr>
                <w:rFonts w:ascii="Times New Roman" w:hAnsi="Times New Roman" w:cs="Times New Roman"/>
              </w:rPr>
              <w:br/>
              <w:t xml:space="preserve">- no involvement of the cervix or isthmus  </w:t>
            </w:r>
            <w:r w:rsidRPr="00CB2EC4">
              <w:rPr>
                <w:rFonts w:ascii="Times New Roman" w:hAnsi="Times New Roman" w:cs="Times New Roman"/>
              </w:rPr>
              <w:br/>
              <w:t xml:space="preserve">- no lymph node involvement (no palpable suspicious metastatic lymph nodes)  </w:t>
            </w:r>
            <w:r w:rsidRPr="00CB2EC4">
              <w:rPr>
                <w:rFonts w:ascii="Times New Roman" w:hAnsi="Times New Roman" w:cs="Times New Roman"/>
              </w:rPr>
              <w:br/>
              <w:t xml:space="preserve">- no intra-abdominal metastasis  </w:t>
            </w:r>
            <w:r w:rsidRPr="00CB2EC4">
              <w:rPr>
                <w:rFonts w:ascii="Times New Roman" w:hAnsi="Times New Roman" w:cs="Times New Roman"/>
              </w:rPr>
              <w:br/>
            </w:r>
            <w:r w:rsidRPr="00CB2EC4">
              <w:rPr>
                <w:rFonts w:ascii="Times New Roman" w:hAnsi="Times New Roman" w:cs="Times New Roman"/>
              </w:rPr>
              <w:br/>
              <w:t>this is the standard treatment, aiming to remove the primary tumor by excising the uterus, bilateral adnexa (fallopian tubes and ovaries), and 1–2 cm of the vagina. for high-risk cases (e.g., deep myometrial invasion or high-grade tumors), additional lymph node sampling or postoperative radiotherapy may be required.</w:t>
            </w:r>
          </w:p>
        </w:tc>
        <w:tc>
          <w:tcPr>
            <w:tcW w:w="1152" w:type="dxa"/>
            <w:vAlign w:val="center"/>
          </w:tcPr>
          <w:p w14:paraId="292A9F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44AB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C686D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5563A9" w14:textId="77777777">
        <w:tc>
          <w:tcPr>
            <w:tcW w:w="2160" w:type="dxa"/>
            <w:vAlign w:val="center"/>
          </w:tcPr>
          <w:p w14:paraId="332CACE4"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3F16E16" w14:textId="77777777" w:rsidR="00922249" w:rsidRPr="00CB2EC4" w:rsidRDefault="003011D5">
            <w:pPr>
              <w:rPr>
                <w:rFonts w:ascii="Times New Roman" w:hAnsi="Times New Roman" w:cs="Times New Roman"/>
              </w:rPr>
            </w:pPr>
            <w:r w:rsidRPr="00CB2EC4">
              <w:rPr>
                <w:rFonts w:ascii="Times New Roman" w:hAnsi="Times New Roman" w:cs="Times New Roman"/>
              </w:rPr>
              <w:t>the basic surgical procedure for endometrial cancer is extrafascial total hysterectomy with bilateral salpingo-oophorectomy. Depending on the stage and risk factors, retroperitoneal lymph node dissection or biopsy, and omentectomy may be added.</w:t>
            </w:r>
          </w:p>
        </w:tc>
        <w:tc>
          <w:tcPr>
            <w:tcW w:w="1152" w:type="dxa"/>
            <w:vAlign w:val="center"/>
          </w:tcPr>
          <w:p w14:paraId="701911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CF3D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6DA4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AFCB2D7" w14:textId="77777777">
        <w:tc>
          <w:tcPr>
            <w:tcW w:w="10656" w:type="dxa"/>
            <w:gridSpan w:val="5"/>
            <w:tcBorders>
              <w:bottom w:val="single" w:sz="6" w:space="0" w:color="auto"/>
            </w:tcBorders>
            <w:vAlign w:val="center"/>
          </w:tcPr>
          <w:p w14:paraId="18DD406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178: During the dissection of the bladder flap in an extrafascial total hysterectomy, why is it crucial to fully develop the anatomical structures known as the bladder pillars? How does this maneuver help the surgeon avoid injuring the ureter?</w:t>
            </w:r>
          </w:p>
        </w:tc>
      </w:tr>
      <w:tr w:rsidR="00922249" w:rsidRPr="00CB2EC4" w14:paraId="21E97CC9" w14:textId="77777777">
        <w:tc>
          <w:tcPr>
            <w:tcW w:w="2160" w:type="dxa"/>
            <w:vAlign w:val="center"/>
          </w:tcPr>
          <w:p w14:paraId="4B65D2D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C579D1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Fully mobilizing the vesicouterine ligament (bladder pillar) is crucial in extrafascial hysterectomy, as this </w:t>
            </w:r>
            <w:r w:rsidRPr="00CB2EC4">
              <w:rPr>
                <w:rFonts w:ascii="Times New Roman" w:hAnsi="Times New Roman" w:cs="Times New Roman"/>
              </w:rPr>
              <w:lastRenderedPageBreak/>
              <w:t xml:space="preserve">fibromuscular band connects the bladder to the cervix/upper vagina, with its medial border closely adjacent to the ureter's pelvic course (typically crossing approximately 1–2 cm below the uterine artery). By adequately dissecting and retracting the bladder pillar downward, the tunnel segment of the ureter (where it traverses the uterine artery and vesicocervical fascia) becomes clearly exposed, providing direct visualization for surgical manipulation. This maneuver aids in preventing ureteral injury through the following mechanisms:  </w:t>
            </w:r>
            <w:r w:rsidRPr="00CB2EC4">
              <w:rPr>
                <w:rFonts w:ascii="Times New Roman" w:hAnsi="Times New Roman" w:cs="Times New Roman"/>
              </w:rPr>
              <w:br/>
            </w:r>
            <w:r w:rsidRPr="00CB2EC4">
              <w:rPr>
                <w:rFonts w:ascii="Times New Roman" w:hAnsi="Times New Roman" w:cs="Times New Roman"/>
              </w:rPr>
              <w:br/>
              <w:t xml:space="preserve">1. **Enhanced Anatomic Landmark Identification**: Mobilizing the bladder pillar makes the ureter's physiological bulge and peristalsis more discernible, reducing the risk of accidental transection due to tissue obscuration.  </w:t>
            </w:r>
            <w:r w:rsidRPr="00CB2EC4">
              <w:rPr>
                <w:rFonts w:ascii="Times New Roman" w:hAnsi="Times New Roman" w:cs="Times New Roman"/>
              </w:rPr>
              <w:br/>
              <w:t xml:space="preserve">2. **Tension Control**: Complete mobilization of the bladder pillar allows gentle, even traction on the bladder, preventing excessive stretching that could lead to avulsion or tearing of the ureter's vascular pedicle.  </w:t>
            </w:r>
            <w:r w:rsidRPr="00CB2EC4">
              <w:rPr>
                <w:rFonts w:ascii="Times New Roman" w:hAnsi="Times New Roman" w:cs="Times New Roman"/>
              </w:rPr>
              <w:br/>
              <w:t xml:space="preserve">3. **Establishment of Safe Margins**: When dissecting to the lateral border of the bladder pillar, the deep boundary of the surgical plane is clearly defined, preventing inadvertent lateral or deep instrument extension during separation of the vesicocervical fascia or handling of the cardinal ligament, thereby protecting the ureter.  </w:t>
            </w:r>
            <w:r w:rsidRPr="00CB2EC4">
              <w:rPr>
                <w:rFonts w:ascii="Times New Roman" w:hAnsi="Times New Roman" w:cs="Times New Roman"/>
              </w:rPr>
              <w:br/>
              <w:t xml:space="preserve">4. **Visualization of the Pathway**: Mobilization of the bladder pillar exposes the ureter along its entire course before entering the bladder wall, ensuring direct visual protection during uterine artery ligation or parametrial tissue dissection.  </w:t>
            </w:r>
            <w:r w:rsidRPr="00CB2EC4">
              <w:rPr>
                <w:rFonts w:ascii="Times New Roman" w:hAnsi="Times New Roman" w:cs="Times New Roman"/>
              </w:rPr>
              <w:br/>
            </w:r>
            <w:r w:rsidRPr="00CB2EC4">
              <w:rPr>
                <w:rFonts w:ascii="Times New Roman" w:hAnsi="Times New Roman" w:cs="Times New Roman"/>
              </w:rPr>
              <w:lastRenderedPageBreak/>
              <w:br/>
              <w:t>Thus, thorough dissection of the bladder pillar is a critical step in achieving ureteral "skeletonization" and safe transection, directly reducing the incidence of iatrogenic ureteral injury during surgery.</w:t>
            </w:r>
          </w:p>
        </w:tc>
        <w:tc>
          <w:tcPr>
            <w:tcW w:w="1152" w:type="dxa"/>
            <w:vAlign w:val="center"/>
          </w:tcPr>
          <w:p w14:paraId="68323A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9F33F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3CEDC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8B1DF6B" w14:textId="77777777">
        <w:tc>
          <w:tcPr>
            <w:tcW w:w="2160" w:type="dxa"/>
            <w:vAlign w:val="center"/>
          </w:tcPr>
          <w:p w14:paraId="1564F50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5D19B8E1"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is available in the provided document regarding the anatomical structure termed "bladder column." the document does not define, describe, or reference this term in the context of extrafascial total hysterectomy or bladder flap dissection. therefore, its critical importance and specific mechanism in preventing ureteral injury cannot be substantiated from the given content.</w:t>
            </w:r>
            <w:r w:rsidRPr="00CB2EC4">
              <w:rPr>
                <w:rFonts w:ascii="Times New Roman" w:hAnsi="Times New Roman" w:cs="Times New Roman"/>
              </w:rPr>
              <w:br/>
            </w:r>
            <w:r w:rsidRPr="00CB2EC4">
              <w:rPr>
                <w:rFonts w:ascii="Times New Roman" w:hAnsi="Times New Roman" w:cs="Times New Roman"/>
              </w:rPr>
              <w:br/>
              <w:t>general principles outlined in the document for avoiding ureteral injury during bladder flap dissection include:</w:t>
            </w:r>
            <w:r w:rsidRPr="00CB2EC4">
              <w:rPr>
                <w:rFonts w:ascii="Times New Roman" w:hAnsi="Times New Roman" w:cs="Times New Roman"/>
              </w:rPr>
              <w:br/>
              <w:t>- dissecting in the correct plane between the bladder muscularis and serosa to minimize bleeding and bladder damage (fragment 22, block 702)</w:t>
            </w:r>
            <w:r w:rsidRPr="00CB2EC4">
              <w:rPr>
                <w:rFonts w:ascii="Times New Roman" w:hAnsi="Times New Roman" w:cs="Times New Roman"/>
              </w:rPr>
              <w:br/>
              <w:t>- identifying the course of the ureter and retracting it laterally to protect it during dissection (fragment 12, block 609; fragment 17, block 545)</w:t>
            </w:r>
            <w:r w:rsidRPr="00CB2EC4">
              <w:rPr>
                <w:rFonts w:ascii="Times New Roman" w:hAnsi="Times New Roman" w:cs="Times New Roman"/>
              </w:rPr>
              <w:br/>
            </w:r>
            <w:r w:rsidRPr="00CB2EC4">
              <w:rPr>
                <w:rFonts w:ascii="Times New Roman" w:hAnsi="Times New Roman" w:cs="Times New Roman"/>
              </w:rPr>
              <w:br/>
              <w:t>however, these principles do not specifically involve or depend on a structure termed "bladder column." for accurate anatomical and surgical guidance regarding "bladder column," consultation of standard gynecologic surgical textbooks or peer-reviewed literature is recommended.</w:t>
            </w:r>
          </w:p>
        </w:tc>
        <w:tc>
          <w:tcPr>
            <w:tcW w:w="1152" w:type="dxa"/>
            <w:vAlign w:val="center"/>
          </w:tcPr>
          <w:p w14:paraId="3ED682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66019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FB047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CE2981D" w14:textId="77777777">
        <w:tc>
          <w:tcPr>
            <w:tcW w:w="2160" w:type="dxa"/>
            <w:vAlign w:val="center"/>
          </w:tcPr>
          <w:p w14:paraId="3AD4E13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3D0D08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the performance of an extrafascial total hysterectomy, when dissecting the bladder flap, why is it crucial to fully develop the anatomical structure </w:t>
            </w:r>
            <w:r w:rsidRPr="00CB2EC4">
              <w:rPr>
                <w:rFonts w:ascii="Times New Roman" w:hAnsi="Times New Roman" w:cs="Times New Roman"/>
              </w:rPr>
              <w:lastRenderedPageBreak/>
              <w:t>of the bladder pillars? how does this maneuver help the surgeon avoid injury to the ureters?</w:t>
            </w:r>
            <w:r w:rsidRPr="00CB2EC4">
              <w:rPr>
                <w:rFonts w:ascii="Times New Roman" w:hAnsi="Times New Roman" w:cs="Times New Roman"/>
              </w:rPr>
              <w:br/>
            </w:r>
            <w:r w:rsidRPr="00CB2EC4">
              <w:rPr>
                <w:rFonts w:ascii="Times New Roman" w:hAnsi="Times New Roman" w:cs="Times New Roman"/>
              </w:rPr>
              <w:br/>
              <w:t>the knowledge base contains no information relevant to this query. the provided document excerpt describes steps of extrafascial hysterectomy (such as exposure of the ureter at the uterine artery and downward displacement of the bladder) but does not mention the "bladder pillars" as an anatomical structure or provide details on related dissection techniques. therefore, it is not possible to answer this question based on the given context.</w:t>
            </w:r>
          </w:p>
        </w:tc>
        <w:tc>
          <w:tcPr>
            <w:tcW w:w="1152" w:type="dxa"/>
            <w:vAlign w:val="center"/>
          </w:tcPr>
          <w:p w14:paraId="4CDD75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66EB1B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49D98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78F199E" w14:textId="77777777">
        <w:tc>
          <w:tcPr>
            <w:tcW w:w="2160" w:type="dxa"/>
            <w:vAlign w:val="center"/>
          </w:tcPr>
          <w:p w14:paraId="6BF24DC0"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99DA7F3" w14:textId="77777777" w:rsidR="00922249" w:rsidRPr="00CB2EC4" w:rsidRDefault="003011D5">
            <w:pPr>
              <w:rPr>
                <w:rFonts w:ascii="Times New Roman" w:hAnsi="Times New Roman" w:cs="Times New Roman"/>
              </w:rPr>
            </w:pPr>
            <w:r w:rsidRPr="00CB2EC4">
              <w:rPr>
                <w:rFonts w:ascii="Times New Roman" w:hAnsi="Times New Roman" w:cs="Times New Roman"/>
              </w:rPr>
              <w:t>the importance of dissecting the bladder columns (to avoid ureteral injury)</w:t>
            </w:r>
            <w:r w:rsidRPr="00CB2EC4">
              <w:rPr>
                <w:rFonts w:ascii="Times New Roman" w:hAnsi="Times New Roman" w:cs="Times New Roman"/>
              </w:rPr>
              <w:br/>
            </w:r>
            <w:r w:rsidRPr="00CB2EC4">
              <w:rPr>
                <w:rFonts w:ascii="Times New Roman" w:hAnsi="Times New Roman" w:cs="Times New Roman"/>
              </w:rPr>
              <w:br/>
              <w:t xml:space="preserve">Knowledge base document analysis:  </w:t>
            </w:r>
            <w:r w:rsidRPr="00CB2EC4">
              <w:rPr>
                <w:rFonts w:ascii="Times New Roman" w:hAnsi="Times New Roman" w:cs="Times New Roman"/>
              </w:rPr>
              <w:br/>
              <w:t xml:space="preserve">- Key anatomical relationship: The ureter crosses beneath the uterine artery through the bladder column (vesicouterine ligament), where it is prone to inadvertent injury.  </w:t>
            </w:r>
            <w:r w:rsidRPr="00CB2EC4">
              <w:rPr>
                <w:rFonts w:ascii="Times New Roman" w:hAnsi="Times New Roman" w:cs="Times New Roman"/>
              </w:rPr>
              <w:br/>
              <w:t xml:space="preserve">- Operative essentials:  </w:t>
            </w:r>
            <w:r w:rsidRPr="00CB2EC4">
              <w:rPr>
                <w:rFonts w:ascii="Times New Roman" w:hAnsi="Times New Roman" w:cs="Times New Roman"/>
              </w:rPr>
              <w:br/>
              <w:t xml:space="preserve">  1. Fully develop the lateral vesical fossa and lateral rectal fossa to expose the bladder column structure (Fig. 12-3);  </w:t>
            </w:r>
            <w:r w:rsidRPr="00CB2EC4">
              <w:rPr>
                <w:rFonts w:ascii="Times New Roman" w:hAnsi="Times New Roman" w:cs="Times New Roman"/>
              </w:rPr>
              <w:br/>
              <w:t xml:space="preserve">  2. Dissect the anterior layer (superficial layer) of the vesicouterine ligament under direct vision, avoiding the deep layer where the ureter courses;  </w:t>
            </w:r>
            <w:r w:rsidRPr="00CB2EC4">
              <w:rPr>
                <w:rFonts w:ascii="Times New Roman" w:hAnsi="Times New Roman" w:cs="Times New Roman"/>
              </w:rPr>
              <w:br/>
              <w:t xml:space="preserve">  3. If deep ligament resection is required due to tumor invasion, the ureteral tunnel must first be mobilized.  </w:t>
            </w:r>
            <w:r w:rsidRPr="00CB2EC4">
              <w:rPr>
                <w:rFonts w:ascii="Times New Roman" w:hAnsi="Times New Roman" w:cs="Times New Roman"/>
              </w:rPr>
              <w:br/>
              <w:t>Risk avoidance: Inadequate dissection may lead to accidental clamping or thermal injury (e.g., during electrocautery hemostasis) of the ureter.</w:t>
            </w:r>
          </w:p>
        </w:tc>
        <w:tc>
          <w:tcPr>
            <w:tcW w:w="1152" w:type="dxa"/>
            <w:vAlign w:val="center"/>
          </w:tcPr>
          <w:p w14:paraId="4040F0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44A2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0868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855367" w14:textId="77777777">
        <w:tc>
          <w:tcPr>
            <w:tcW w:w="2160" w:type="dxa"/>
            <w:vAlign w:val="center"/>
          </w:tcPr>
          <w:p w14:paraId="47D6B09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Document </w:t>
            </w:r>
            <w:r w:rsidRPr="00CB2EC4">
              <w:rPr>
                <w:rFonts w:ascii="Times New Roman" w:hAnsi="Times New Roman" w:cs="Times New Roman"/>
              </w:rPr>
              <w:lastRenderedPageBreak/>
              <w:t>Augmentation</w:t>
            </w:r>
          </w:p>
        </w:tc>
        <w:tc>
          <w:tcPr>
            <w:tcW w:w="5040" w:type="dxa"/>
            <w:vAlign w:val="center"/>
          </w:tcPr>
          <w:p w14:paraId="12427EB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Based on the provided document, no information was </w:t>
            </w:r>
            <w:r w:rsidRPr="00CB2EC4">
              <w:rPr>
                <w:rFonts w:ascii="Times New Roman" w:hAnsi="Times New Roman" w:cs="Times New Roman"/>
              </w:rPr>
              <w:lastRenderedPageBreak/>
              <w:t>found to answer this question. The document does not mention or explain the term "vesical pillar." The document describes dissecting the bladder peritoneum and the vesicocervical space down to the anterior fornix to avoid bladder injury, but it does not mention a specific anatomical structure named "vesical pillar" or its role in protecting the ureter during a radical hysterectomy. Therefore, based solely on the provided document, it cannot be determined why fully developing the vesical pillar is crucial and how it contributes to avoiding ureteral injury.</w:t>
            </w:r>
          </w:p>
        </w:tc>
        <w:tc>
          <w:tcPr>
            <w:tcW w:w="1152" w:type="dxa"/>
            <w:vAlign w:val="center"/>
          </w:tcPr>
          <w:p w14:paraId="1C04A3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91091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BB78C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85BDE79" w14:textId="77777777">
        <w:tc>
          <w:tcPr>
            <w:tcW w:w="2160" w:type="dxa"/>
            <w:vAlign w:val="center"/>
          </w:tcPr>
          <w:p w14:paraId="64DD471F"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7FE4CA7" w14:textId="77777777" w:rsidR="00922249" w:rsidRPr="00CB2EC4" w:rsidRDefault="003011D5">
            <w:pPr>
              <w:rPr>
                <w:rFonts w:ascii="Times New Roman" w:hAnsi="Times New Roman" w:cs="Times New Roman"/>
              </w:rPr>
            </w:pPr>
            <w:r w:rsidRPr="00CB2EC4">
              <w:rPr>
                <w:rFonts w:ascii="Times New Roman" w:hAnsi="Times New Roman" w:cs="Times New Roman"/>
              </w:rPr>
              <w:t>During the separation of the bladder flap in an extrafascial total hysterectomy, why is it crucial to fully expose the anatomical structure known as the bladder pillar? How does this maneuver help the surgeon avoid ureteral injury?</w:t>
            </w:r>
            <w:r w:rsidRPr="00CB2EC4">
              <w:rPr>
                <w:rFonts w:ascii="Times New Roman" w:hAnsi="Times New Roman" w:cs="Times New Roman"/>
              </w:rPr>
              <w:br/>
            </w:r>
            <w:r w:rsidRPr="00CB2EC4">
              <w:rPr>
                <w:rFonts w:ascii="Times New Roman" w:hAnsi="Times New Roman" w:cs="Times New Roman"/>
              </w:rPr>
              <w:br/>
              <w:t>In the provided contextual information, no description or explanation of the anatomical structure "bladder pillar" was found. Document 26 mentions the manipulation of the "cervicovesical ligament" (cutting and ligating the cervicovesical ligament extrafascially at the cervical level), but does not refer to the "bladder pillar" or its role in the separation of the bladder flap. Therefore, it is not possible to determine from the knowledge base why fully exposing the bladder pillar is critical or how it aids in preventing ureteral injury.</w:t>
            </w:r>
            <w:r w:rsidRPr="00CB2EC4">
              <w:rPr>
                <w:rFonts w:ascii="Times New Roman" w:hAnsi="Times New Roman" w:cs="Times New Roman"/>
              </w:rPr>
              <w:br/>
              <w:t>The knowledge base cannot provide an answer.</w:t>
            </w:r>
          </w:p>
        </w:tc>
        <w:tc>
          <w:tcPr>
            <w:tcW w:w="1152" w:type="dxa"/>
            <w:vAlign w:val="center"/>
          </w:tcPr>
          <w:p w14:paraId="11CF54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9F1FD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399A5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E8B0F94" w14:textId="77777777">
        <w:tc>
          <w:tcPr>
            <w:tcW w:w="2160" w:type="dxa"/>
            <w:vAlign w:val="center"/>
          </w:tcPr>
          <w:p w14:paraId="677289E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3020EA0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fascial extraperitoneal total hysterectomy, fully dissecting the bladder pillar (also termed the lateral bladder recess) is crucial because it enables clear exposure of the ureter’s course, thereby preventing intraoperative ureteral injury. The specific </w:t>
            </w:r>
            <w:r w:rsidRPr="00CB2EC4">
              <w:rPr>
                <w:rFonts w:ascii="Times New Roman" w:hAnsi="Times New Roman" w:cs="Times New Roman"/>
              </w:rPr>
              <w:lastRenderedPageBreak/>
              <w:t xml:space="preserve">mechanisms are as follows:  </w:t>
            </w:r>
            <w:r w:rsidRPr="00CB2EC4">
              <w:rPr>
                <w:rFonts w:ascii="Times New Roman" w:hAnsi="Times New Roman" w:cs="Times New Roman"/>
              </w:rPr>
              <w:br/>
              <w:t xml:space="preserve">- **Importance**: The bladder pillar is an anatomical structure located between the bladder and the cervix, containing loose connective tissue and vessels. If not adequately dissected, the ureter may be obscured or its position misjudged, particularly during bladder flap separation where the ureter (crossing at the level of the uterine artery and situated deeper) is vulnerable to injury.  </w:t>
            </w:r>
            <w:r w:rsidRPr="00CB2EC4">
              <w:rPr>
                <w:rFonts w:ascii="Times New Roman" w:hAnsi="Times New Roman" w:cs="Times New Roman"/>
              </w:rPr>
              <w:br/>
              <w:t xml:space="preserve">- **How it avoids ureteral injury**: By dissecting the bladder pillar, the surgeon can:  </w:t>
            </w:r>
            <w:r w:rsidRPr="00CB2EC4">
              <w:rPr>
                <w:rFonts w:ascii="Times New Roman" w:hAnsi="Times New Roman" w:cs="Times New Roman"/>
              </w:rPr>
              <w:br/>
              <w:t xml:space="preserve">  → Identify and dissect the ureter to the level of the uterine artery, ensuring it remains within the surgical field (as described: “Dissect the anterior part of the lateral bladder recess and the anterior rectal recess gap, separate the ureter from the posterior peritoneum to the level of the uterine artery”).  </w:t>
            </w:r>
            <w:r w:rsidRPr="00CB2EC4">
              <w:rPr>
                <w:rFonts w:ascii="Times New Roman" w:hAnsi="Times New Roman" w:cs="Times New Roman"/>
              </w:rPr>
              <w:br/>
              <w:t xml:space="preserve">  → Reduce the risk of blind manipulation, as the ureter in the bladder pillar area is prone to traction or compression; after full dissection, the surgeon can directly observe ureteral peristalsis and avoid accidental thermal or clamp injury during electrocoagulation or clamping.  </w:t>
            </w:r>
            <w:r w:rsidRPr="00CB2EC4">
              <w:rPr>
                <w:rFonts w:ascii="Times New Roman" w:hAnsi="Times New Roman" w:cs="Times New Roman"/>
              </w:rPr>
              <w:br/>
            </w:r>
            <w:r w:rsidRPr="00CB2EC4">
              <w:rPr>
                <w:rFonts w:ascii="Times New Roman" w:hAnsi="Times New Roman" w:cs="Times New Roman"/>
              </w:rPr>
              <w:br/>
              <w:t>This maneuver is emphasized in multiple document segments (e.g., the fourth and seventh segments) as part of standard technique.</w:t>
            </w:r>
          </w:p>
        </w:tc>
        <w:tc>
          <w:tcPr>
            <w:tcW w:w="1152" w:type="dxa"/>
            <w:vAlign w:val="center"/>
          </w:tcPr>
          <w:p w14:paraId="79BF3E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8DDD3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1171B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5C1328D" w14:textId="77777777">
        <w:tc>
          <w:tcPr>
            <w:tcW w:w="2160" w:type="dxa"/>
            <w:vAlign w:val="center"/>
          </w:tcPr>
          <w:p w14:paraId="17E18DCA"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3093CE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It is crucial to fully expand the bladder pillar, as this anatomical structure (also known as the vesicouterine ligament) serves as the mandatory pathway for the ureter from the lateral aspect of the parauterine tunnel to the cervix. Within this region, the proximal segment of the ureter (located inside the vesicouterine ligament) is particularly vulnerable to injury from </w:t>
            </w:r>
            <w:r w:rsidRPr="00CB2EC4">
              <w:rPr>
                <w:rFonts w:ascii="Times New Roman" w:hAnsi="Times New Roman" w:cs="Times New Roman"/>
              </w:rPr>
              <w:lastRenderedPageBreak/>
              <w:t>surgical instruments (such as clamping or suturing).</w:t>
            </w:r>
            <w:r w:rsidRPr="00CB2EC4">
              <w:rPr>
                <w:rFonts w:ascii="Times New Roman" w:hAnsi="Times New Roman" w:cs="Times New Roman"/>
              </w:rPr>
              <w:br/>
            </w:r>
            <w:r w:rsidRPr="00CB2EC4">
              <w:rPr>
                <w:rFonts w:ascii="Times New Roman" w:hAnsi="Times New Roman" w:cs="Times New Roman"/>
              </w:rPr>
              <w:br/>
              <w:t>By fully expanding the bladder pillar, the surgeon can gently displace the ureter laterally toward the cervix, exposing the shiny white endopelvic fascia, thereby safely pushing the ureter away from the operative field. This effectively isolates the ureter, minimizing the risk of compression, torsion, or accidental suturing during subsequent steps (such as clamping the uterine vessels or transecting the cardinal ligament). The document emphasizes that if the ureter's position cannot be clearly identified, vascular clamping should be performed at the level of the uterine isthmus to prevent injury.</w:t>
            </w:r>
          </w:p>
        </w:tc>
        <w:tc>
          <w:tcPr>
            <w:tcW w:w="1152" w:type="dxa"/>
            <w:vAlign w:val="center"/>
          </w:tcPr>
          <w:p w14:paraId="547123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36EEC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17522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6DE6DB6" w14:textId="77777777">
        <w:tc>
          <w:tcPr>
            <w:tcW w:w="2160" w:type="dxa"/>
            <w:vAlign w:val="center"/>
          </w:tcPr>
          <w:p w14:paraId="7FBD18EB"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471FD70" w14:textId="77777777" w:rsidR="00922249" w:rsidRPr="00CB2EC4" w:rsidRDefault="003011D5">
            <w:pPr>
              <w:rPr>
                <w:rFonts w:ascii="Times New Roman" w:hAnsi="Times New Roman" w:cs="Times New Roman"/>
              </w:rPr>
            </w:pPr>
            <w:r w:rsidRPr="00CB2EC4">
              <w:rPr>
                <w:rFonts w:ascii="Times New Roman" w:hAnsi="Times New Roman" w:cs="Times New Roman"/>
              </w:rPr>
              <w:t>no answer in the provided document.</w:t>
            </w:r>
          </w:p>
        </w:tc>
        <w:tc>
          <w:tcPr>
            <w:tcW w:w="1152" w:type="dxa"/>
            <w:vAlign w:val="center"/>
          </w:tcPr>
          <w:p w14:paraId="741474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FB8B4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BE0B7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BB7204B" w14:textId="77777777">
        <w:tc>
          <w:tcPr>
            <w:tcW w:w="2160" w:type="dxa"/>
            <w:vAlign w:val="center"/>
          </w:tcPr>
          <w:p w14:paraId="4E23E1B7"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1971A66" w14:textId="77777777" w:rsidR="00922249" w:rsidRPr="00CB2EC4" w:rsidRDefault="003011D5">
            <w:pPr>
              <w:rPr>
                <w:rFonts w:ascii="Times New Roman" w:hAnsi="Times New Roman" w:cs="Times New Roman"/>
              </w:rPr>
            </w:pPr>
            <w:r w:rsidRPr="00CB2EC4">
              <w:rPr>
                <w:rFonts w:ascii="Times New Roman" w:hAnsi="Times New Roman" w:cs="Times New Roman"/>
              </w:rPr>
              <w:t>why is it crucial to fully expand the bladder pillar anatomical structure when separating the bladder flap during an extrafascial total hysterectomy? how does this maneuver help the surgeon avoid ureteral injury?</w:t>
            </w:r>
            <w:r w:rsidRPr="00CB2EC4">
              <w:rPr>
                <w:rFonts w:ascii="Times New Roman" w:hAnsi="Times New Roman" w:cs="Times New Roman"/>
              </w:rPr>
              <w:br/>
            </w:r>
            <w:r w:rsidRPr="00CB2EC4">
              <w:rPr>
                <w:rFonts w:ascii="Times New Roman" w:hAnsi="Times New Roman" w:cs="Times New Roman"/>
              </w:rPr>
              <w:br/>
              <w:t>based on contextual information (primarily from document fragment 26), the reasons for the critical importance of fully expanding the bladder pillar are as follows:</w:t>
            </w:r>
            <w:r w:rsidRPr="00CB2EC4">
              <w:rPr>
                <w:rFonts w:ascii="Times New Roman" w:hAnsi="Times New Roman" w:cs="Times New Roman"/>
              </w:rPr>
              <w:br/>
              <w:t>- key reason: the bladder pillar (i.e., the cervicovesical ligament) is the structure that separates the cervicovesical space from the vaginal vesical space. fully expanding the bladder pillar enables clear exposure of the anatomical planes, preventing inadvertent injury to the ureter and reducing bleeding risk. the ureter courses paracervically near the bladder pillar; improper technique may lead to ureteral injury or bleeding from the vaginal venous plexus.</w:t>
            </w:r>
            <w:r w:rsidRPr="00CB2EC4">
              <w:rPr>
                <w:rFonts w:ascii="Times New Roman" w:hAnsi="Times New Roman" w:cs="Times New Roman"/>
              </w:rPr>
              <w:br/>
            </w:r>
            <w:r w:rsidRPr="00CB2EC4">
              <w:rPr>
                <w:rFonts w:ascii="Times New Roman" w:hAnsi="Times New Roman" w:cs="Times New Roman"/>
              </w:rPr>
              <w:lastRenderedPageBreak/>
              <w:t>- how to avoid ureteral injury:</w:t>
            </w:r>
            <w:r w:rsidRPr="00CB2EC4">
              <w:rPr>
                <w:rFonts w:ascii="Times New Roman" w:hAnsi="Times New Roman" w:cs="Times New Roman"/>
              </w:rPr>
              <w:br/>
              <w:t xml:space="preserve">  - during the procedure, use a square-tipped retractor to lift the bladder forward and downward while depressing the cervix to expand the bladder pillar.</w:t>
            </w:r>
            <w:r w:rsidRPr="00CB2EC4">
              <w:rPr>
                <w:rFonts w:ascii="Times New Roman" w:hAnsi="Times New Roman" w:cs="Times New Roman"/>
              </w:rPr>
              <w:br/>
              <w:t xml:space="preserve">  - use dissecting scissors or electrocautery to sequentially dissect the vaginal vesical space, pushing the bladder downward and laterally.</w:t>
            </w:r>
            <w:r w:rsidRPr="00CB2EC4">
              <w:rPr>
                <w:rFonts w:ascii="Times New Roman" w:hAnsi="Times New Roman" w:cs="Times New Roman"/>
              </w:rPr>
              <w:br/>
              <w:t xml:space="preserve">  - this method ensures the surgeon operates within a safe plane (directly adjacent to the cervical fascia), avoiding deep dissection into the ureteral region (the ureter is located lateral to the bladder pillar), thereby reducing injury risk (document fragment 26).</w:t>
            </w:r>
          </w:p>
        </w:tc>
        <w:tc>
          <w:tcPr>
            <w:tcW w:w="1152" w:type="dxa"/>
            <w:vAlign w:val="center"/>
          </w:tcPr>
          <w:p w14:paraId="2CDC8A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3BF189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1EDA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76E091" w14:textId="77777777">
        <w:tc>
          <w:tcPr>
            <w:tcW w:w="2160" w:type="dxa"/>
            <w:vAlign w:val="center"/>
          </w:tcPr>
          <w:p w14:paraId="7B5EBF2D"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CD90AB2" w14:textId="77777777" w:rsidR="00922249" w:rsidRPr="00CB2EC4" w:rsidRDefault="003011D5">
            <w:pPr>
              <w:rPr>
                <w:rFonts w:ascii="Times New Roman" w:hAnsi="Times New Roman" w:cs="Times New Roman"/>
              </w:rPr>
            </w:pPr>
            <w:r w:rsidRPr="00CB2EC4">
              <w:rPr>
                <w:rFonts w:ascii="Times New Roman" w:hAnsi="Times New Roman" w:cs="Times New Roman"/>
              </w:rPr>
              <w:t>During the separation of the bladder flap in an extrafascial total hysterectomy, fully developing the bladder pillar anatomical structure is crucial because it allows the surgeon to clearly identify and displace the ureter, which runs in close proximity to the cervix and lateral parametrium. The bladder pillars (or bladder columns) refer to the anterior and lateral attachments of the bladder to the uterus and cardinal ligaments. By systematically dissecting and expanding these pillars, the bladder is mobilized downward and forward, increasing the distance between the bladder base and the uterine artery/ureter complex. This creates a visible surgical plane and reduces the risk of inadvertent ureteral injury during clamping and cutting of the parametrial tissues, as the ureter is displaced laterally and protected within its own fascial sheath while the bladder pillar is separated at a safe distance medial to its course.</w:t>
            </w:r>
          </w:p>
        </w:tc>
        <w:tc>
          <w:tcPr>
            <w:tcW w:w="1152" w:type="dxa"/>
            <w:vAlign w:val="center"/>
          </w:tcPr>
          <w:p w14:paraId="2D7C37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16994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A7C31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F2A588C" w14:textId="77777777">
        <w:tc>
          <w:tcPr>
            <w:tcW w:w="2160" w:type="dxa"/>
            <w:vAlign w:val="center"/>
          </w:tcPr>
          <w:p w14:paraId="5091D904"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063F4D17"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457D2E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E7327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2C94A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49562FE" w14:textId="77777777">
        <w:tc>
          <w:tcPr>
            <w:tcW w:w="2160" w:type="dxa"/>
            <w:vAlign w:val="center"/>
          </w:tcPr>
          <w:p w14:paraId="6693B073"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AE5117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found in the knowledge base. The provided context does not mention the anatomical structure </w:t>
            </w:r>
            <w:r w:rsidRPr="00CB2EC4">
              <w:rPr>
                <w:rFonts w:ascii="Times New Roman" w:hAnsi="Times New Roman" w:cs="Times New Roman"/>
              </w:rPr>
              <w:lastRenderedPageBreak/>
              <w:t>"bladder column" or detail the specific mechanism by which fully developing this structure during bladder flap dissection in an extrafascial total hysterectomy helps the surgeon avoid ureteral injury. Therefore, based on the given information, it is not possible to answer the question.</w:t>
            </w:r>
          </w:p>
        </w:tc>
        <w:tc>
          <w:tcPr>
            <w:tcW w:w="1152" w:type="dxa"/>
            <w:vAlign w:val="center"/>
          </w:tcPr>
          <w:p w14:paraId="50DB7B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F22F6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B5D47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0D97E0C" w14:textId="77777777">
        <w:tc>
          <w:tcPr>
            <w:tcW w:w="2160" w:type="dxa"/>
            <w:vAlign w:val="center"/>
          </w:tcPr>
          <w:p w14:paraId="02037B8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AA58D1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the dissection of the bladder flap in an extrafascial total hysterectomy, fully unfolding the bladder pillar—an anatomical structure that is part of the pubocervical fascia—is critical because it:  </w:t>
            </w:r>
            <w:r w:rsidRPr="00CB2EC4">
              <w:rPr>
                <w:rFonts w:ascii="Times New Roman" w:hAnsi="Times New Roman" w:cs="Times New Roman"/>
              </w:rPr>
              <w:br/>
              <w:t xml:space="preserve">- Exposes the course of the ureter: The ureter is often obscured by the bladder pillar; unfolding it allows clear identification of the ureter’s position, preventing it from being mistaken for fibrous tissue and inadvertently injured.  </w:t>
            </w:r>
            <w:r w:rsidRPr="00CB2EC4">
              <w:rPr>
                <w:rFonts w:ascii="Times New Roman" w:hAnsi="Times New Roman" w:cs="Times New Roman"/>
              </w:rPr>
              <w:br/>
              <w:t xml:space="preserve">- Reduces traction damage: Through blunt dissection and gentle unfolding, the risk of the ureter being accidentally clamped or transected is minimized, thereby preventing complications such as ureteral fistula or obstruction.  </w:t>
            </w:r>
            <w:r w:rsidRPr="00CB2EC4">
              <w:rPr>
                <w:rFonts w:ascii="Times New Roman" w:hAnsi="Times New Roman" w:cs="Times New Roman"/>
              </w:rPr>
              <w:br/>
            </w:r>
            <w:r w:rsidRPr="00CB2EC4">
              <w:rPr>
                <w:rFonts w:ascii="Times New Roman" w:hAnsi="Times New Roman" w:cs="Times New Roman"/>
              </w:rPr>
              <w:br/>
              <w:t>The bladder pillar constitutes a portion of the vesicocervical ligament, and the ureter traverses this region to enter the trigone of the bladder. Adequate unfolding of the bladder pillar is essential as it enables the surgeon to avoid ureteral injury by ensuring direct visualization and controlled separation of the ureter from surrounding connective tissues.</w:t>
            </w:r>
          </w:p>
        </w:tc>
        <w:tc>
          <w:tcPr>
            <w:tcW w:w="1152" w:type="dxa"/>
            <w:vAlign w:val="center"/>
          </w:tcPr>
          <w:p w14:paraId="1C221F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41487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2AC8E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856A5EB" w14:textId="77777777">
        <w:tc>
          <w:tcPr>
            <w:tcW w:w="10656" w:type="dxa"/>
            <w:gridSpan w:val="5"/>
            <w:tcBorders>
              <w:bottom w:val="single" w:sz="6" w:space="0" w:color="auto"/>
            </w:tcBorders>
            <w:vAlign w:val="center"/>
          </w:tcPr>
          <w:p w14:paraId="22C55B92"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179: When resecting left para-aortic lymph nodes via a direct incision (non-lateral approach), what are the special positional characteristics of the lymph nodes in this region? To avoid what serious complication is emphasized, and what specific surgical technique is required?</w:t>
            </w:r>
          </w:p>
        </w:tc>
      </w:tr>
      <w:tr w:rsidR="00922249" w:rsidRPr="00CB2EC4" w14:paraId="6A9C9548" w14:textId="77777777">
        <w:tc>
          <w:tcPr>
            <w:tcW w:w="2160" w:type="dxa"/>
            <w:vAlign w:val="center"/>
          </w:tcPr>
          <w:p w14:paraId="7F27CC7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4DCA00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position of the left para-aortic lymph nodes during resection via a direct incision (non-lateral approach) </w:t>
            </w:r>
            <w:r w:rsidRPr="00CB2EC4">
              <w:rPr>
                <w:rFonts w:ascii="Times New Roman" w:hAnsi="Times New Roman" w:cs="Times New Roman"/>
              </w:rPr>
              <w:lastRenderedPageBreak/>
              <w:t>has the following special characteristics:</w:t>
            </w:r>
            <w:r w:rsidRPr="00CB2EC4">
              <w:rPr>
                <w:rFonts w:ascii="Times New Roman" w:hAnsi="Times New Roman" w:cs="Times New Roman"/>
              </w:rPr>
              <w:br/>
              <w:t>- positional specificity: the lymph nodes are located on the left side of the lower abdominal aorta and the left common iliac artery, distributed along the right side of the abdominal aorta (as described in the document: "grasp and lift the lymph nodes along the left side of the lower abdominal aorta and left common iliac artery"). in this region, lymph nodes are often posteriorly connected to vessels attached to the psoas muscle or muscles adjacent to the spine, increasing the difficulty of the procedure.</w:t>
            </w:r>
            <w:r w:rsidRPr="00CB2EC4">
              <w:rPr>
                <w:rFonts w:ascii="Times New Roman" w:hAnsi="Times New Roman" w:cs="Times New Roman"/>
              </w:rPr>
              <w:br/>
              <w:t>- serious complication to avoid: primarily hemorrhage, due to the rich vascular network posterior to the lymph nodes in this area, which is prone to bleeding during dissection.</w:t>
            </w:r>
            <w:r w:rsidRPr="00CB2EC4">
              <w:rPr>
                <w:rFonts w:ascii="Times New Roman" w:hAnsi="Times New Roman" w:cs="Times New Roman"/>
              </w:rPr>
              <w:br/>
              <w:t>- operative requirements: before resection, hemostasis must be achieved using titanium clips (the document explicitly states: "hemostasis should be performed with titanium clips before resection here, because the lymph nodes in this area are often posteriorly connected to vessels attached to the psoas muscle or muscles beside the spine"). additionally, during the procedure, the ureter must be identified and retracted laterally to expose the operative field and reduce the risk of injury.</w:t>
            </w:r>
            <w:r w:rsidRPr="00CB2EC4">
              <w:rPr>
                <w:rFonts w:ascii="Times New Roman" w:hAnsi="Times New Roman" w:cs="Times New Roman"/>
              </w:rPr>
              <w:br/>
            </w:r>
            <w:r w:rsidRPr="00CB2EC4">
              <w:rPr>
                <w:rFonts w:ascii="Times New Roman" w:hAnsi="Times New Roman" w:cs="Times New Roman"/>
              </w:rPr>
              <w:br/>
              <w:t>this information is derived from a segment with a similarity score of 0.559 (pertaining to laparoscopic para-aortic lymphadenectomy) and is applicable to the direct incision approach.</w:t>
            </w:r>
          </w:p>
        </w:tc>
        <w:tc>
          <w:tcPr>
            <w:tcW w:w="1152" w:type="dxa"/>
            <w:vAlign w:val="center"/>
          </w:tcPr>
          <w:p w14:paraId="0EF393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177B5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86D0D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F67FD0A" w14:textId="77777777">
        <w:tc>
          <w:tcPr>
            <w:tcW w:w="2160" w:type="dxa"/>
            <w:vAlign w:val="center"/>
          </w:tcPr>
          <w:p w14:paraId="1417C825"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F65F6E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removing left para-aortic lymph nodes via a direct (non-lateral) approach:  </w:t>
            </w:r>
            <w:r w:rsidRPr="00CB2EC4">
              <w:rPr>
                <w:rFonts w:ascii="Times New Roman" w:hAnsi="Times New Roman" w:cs="Times New Roman"/>
              </w:rPr>
              <w:br/>
              <w:t xml:space="preserve">- **Positional specificity**: The left para-aortic lymph nodes are located on the left and anterior </w:t>
            </w:r>
            <w:r w:rsidRPr="00CB2EC4">
              <w:rPr>
                <w:rFonts w:ascii="Times New Roman" w:hAnsi="Times New Roman" w:cs="Times New Roman"/>
              </w:rPr>
              <w:lastRenderedPageBreak/>
              <w:t xml:space="preserve">aspects of the abdominal aorta, near the origin of the inferior mesenteric artery. To expose this area, the sigmoid mesentery must be reflected to the left. The lymph nodes are deep-seated and are easily obscured by the inferior mesenteric artery and the ureter (Fragment 12, Block 609; Fragment 21, Block 710).  </w:t>
            </w:r>
            <w:r w:rsidRPr="00CB2EC4">
              <w:rPr>
                <w:rFonts w:ascii="Times New Roman" w:hAnsi="Times New Roman" w:cs="Times New Roman"/>
              </w:rPr>
              <w:br/>
              <w:t xml:space="preserve">- **Serious complication to avoid**: Hemorrhage, particularly injury to the inferior mesenteric artery or vertebral arteries (e.g., lumbar arteries), which may cause massive bleeding (Fragment 17, Block 545; Fragment 21, Block 710).  </w:t>
            </w:r>
            <w:r w:rsidRPr="00CB2EC4">
              <w:rPr>
                <w:rFonts w:ascii="Times New Roman" w:hAnsi="Times New Roman" w:cs="Times New Roman"/>
              </w:rPr>
              <w:br/>
              <w:t xml:space="preserve">- **Operative key points**:  </w:t>
            </w:r>
            <w:r w:rsidRPr="00CB2EC4">
              <w:rPr>
                <w:rFonts w:ascii="Times New Roman" w:hAnsi="Times New Roman" w:cs="Times New Roman"/>
              </w:rPr>
              <w:br/>
              <w:t xml:space="preserve">  → First identify and protect the inferior mesenteric artery to avoid its injury (Fragment 21, Block 710).  </w:t>
            </w:r>
            <w:r w:rsidRPr="00CB2EC4">
              <w:rPr>
                <w:rFonts w:ascii="Times New Roman" w:hAnsi="Times New Roman" w:cs="Times New Roman"/>
              </w:rPr>
              <w:br/>
              <w:t xml:space="preserve">  → Dissect gently and carefully identify and ligate vessels within the lymphoid tissue (e.g., "accompanying" veins) before removal to prevent tearing (Fragment 12, Block 609).  </w:t>
            </w:r>
            <w:r w:rsidRPr="00CB2EC4">
              <w:rPr>
                <w:rFonts w:ascii="Times New Roman" w:hAnsi="Times New Roman" w:cs="Times New Roman"/>
              </w:rPr>
              <w:br/>
              <w:t xml:space="preserve">  → Use a vascular retractor to pull the abdominal aorta toward the right anterior side to facilitate safe lymph node dissection (Fragment 21, Block 710).  </w:t>
            </w:r>
            <w:r w:rsidRPr="00CB2EC4">
              <w:rPr>
                <w:rFonts w:ascii="Times New Roman" w:hAnsi="Times New Roman" w:cs="Times New Roman"/>
              </w:rPr>
              <w:br/>
              <w:t xml:space="preserve">  → The dissection range typically extends cranially from the aortic bifurcation, with the upper limit at the level of the duodenum; the ureter must be avoided during the procedure (Fragment 12, Block 609; Fragment 17, Block 545).  </w:t>
            </w:r>
            <w:r w:rsidRPr="00CB2EC4">
              <w:rPr>
                <w:rFonts w:ascii="Times New Roman" w:hAnsi="Times New Roman" w:cs="Times New Roman"/>
              </w:rPr>
              <w:br/>
            </w:r>
            <w:r w:rsidRPr="00CB2EC4">
              <w:rPr>
                <w:rFonts w:ascii="Times New Roman" w:hAnsi="Times New Roman" w:cs="Times New Roman"/>
              </w:rPr>
              <w:br/>
              <w:t>&gt; References: Fragment 12 (Block 609), Fragment 17 (Block 545), Fragment 21 (Block 710). These contents are derived from relevant sections of the document titled "Guidelines for Cervical Cancer Screening and Management".</w:t>
            </w:r>
          </w:p>
        </w:tc>
        <w:tc>
          <w:tcPr>
            <w:tcW w:w="1152" w:type="dxa"/>
            <w:vAlign w:val="center"/>
          </w:tcPr>
          <w:p w14:paraId="35BCDB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93D75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5C4F1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63E0655" w14:textId="77777777">
        <w:tc>
          <w:tcPr>
            <w:tcW w:w="2160" w:type="dxa"/>
            <w:vAlign w:val="center"/>
          </w:tcPr>
          <w:p w14:paraId="33634BD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3613D7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resecting left para-aortic lymph nodes via a direct incision (non-lateral approach):  </w:t>
            </w:r>
            <w:r w:rsidRPr="00CB2EC4">
              <w:rPr>
                <w:rFonts w:ascii="Times New Roman" w:hAnsi="Times New Roman" w:cs="Times New Roman"/>
              </w:rPr>
              <w:br/>
            </w:r>
            <w:r w:rsidRPr="00CB2EC4">
              <w:rPr>
                <w:rFonts w:ascii="Times New Roman" w:hAnsi="Times New Roman" w:cs="Times New Roman"/>
              </w:rPr>
              <w:lastRenderedPageBreak/>
              <w:t xml:space="preserve">- special location of lymph nodes: the left para-aortic lymph nodes are primarily situated on the left side of the abdominal aorta (with some posterior), extending near the left common iliac artery. they often overlay the surface of the abdominal aorta, with some nodes located posterior or lateral to the vessel, close to the inferior mesenteric artery.  </w:t>
            </w:r>
            <w:r w:rsidRPr="00CB2EC4">
              <w:rPr>
                <w:rFonts w:ascii="Times New Roman" w:hAnsi="Times New Roman" w:cs="Times New Roman"/>
              </w:rPr>
              <w:br/>
              <w:t xml:space="preserve">- serious complications to avoid: intraoperative vascular tearing leading to massive hemorrhage (e.g., iliac vessel bleeding) and injury to the inferior mesenteric artery (which may cause bowel ischemia).  </w:t>
            </w:r>
            <w:r w:rsidRPr="00CB2EC4">
              <w:rPr>
                <w:rFonts w:ascii="Times New Roman" w:hAnsi="Times New Roman" w:cs="Times New Roman"/>
              </w:rPr>
              <w:br/>
              <w:t xml:space="preserve">- operative emphasis:  </w:t>
            </w:r>
            <w:r w:rsidRPr="00CB2EC4">
              <w:rPr>
                <w:rFonts w:ascii="Times New Roman" w:hAnsi="Times New Roman" w:cs="Times New Roman"/>
              </w:rPr>
              <w:br/>
              <w:t xml:space="preserve">  → prior to resection, secure vessels posterior to the lymph node packet (such as "accompanying" veins or paravertebral/lumbar muscle vessels) using titanium clips or ligation to prevent tearing.  </w:t>
            </w:r>
            <w:r w:rsidRPr="00CB2EC4">
              <w:rPr>
                <w:rFonts w:ascii="Times New Roman" w:hAnsi="Times New Roman" w:cs="Times New Roman"/>
              </w:rPr>
              <w:br/>
              <w:t xml:space="preserve">  → use vascular clamps cautiously; during sharp dissection, identify and protect the ureter, ovarian vessels, and inferior mesenteric artery.  </w:t>
            </w:r>
            <w:r w:rsidRPr="00CB2EC4">
              <w:rPr>
                <w:rFonts w:ascii="Times New Roman" w:hAnsi="Times New Roman" w:cs="Times New Roman"/>
              </w:rPr>
              <w:br/>
              <w:t xml:space="preserve">  → dissect from caudal to cephalad direction, lifting the lymphoadipose tissue en bloc to avoid deep manipulation and reduce bleeding risk.  </w:t>
            </w:r>
            <w:r w:rsidRPr="00CB2EC4">
              <w:rPr>
                <w:rFonts w:ascii="Times New Roman" w:hAnsi="Times New Roman" w:cs="Times New Roman"/>
              </w:rPr>
              <w:br/>
              <w:t>(source: document fragments 11, 16, 17, 30, 38)</w:t>
            </w:r>
          </w:p>
        </w:tc>
        <w:tc>
          <w:tcPr>
            <w:tcW w:w="1152" w:type="dxa"/>
            <w:vAlign w:val="center"/>
          </w:tcPr>
          <w:p w14:paraId="447FC7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50A39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4456B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CECCE7F" w14:textId="77777777">
        <w:tc>
          <w:tcPr>
            <w:tcW w:w="2160" w:type="dxa"/>
            <w:vAlign w:val="center"/>
          </w:tcPr>
          <w:p w14:paraId="6485A95E"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6BF67B7" w14:textId="77777777" w:rsidR="00922249" w:rsidRPr="00CB2EC4" w:rsidRDefault="003011D5">
            <w:pPr>
              <w:rPr>
                <w:rFonts w:ascii="Times New Roman" w:hAnsi="Times New Roman" w:cs="Times New Roman"/>
              </w:rPr>
            </w:pPr>
            <w:r w:rsidRPr="00CB2EC4">
              <w:rPr>
                <w:rFonts w:ascii="Times New Roman" w:hAnsi="Times New Roman" w:cs="Times New Roman"/>
              </w:rPr>
              <w:t>specialty and risks of left para-aortic lymph node dissection</w:t>
            </w:r>
            <w:r w:rsidRPr="00CB2EC4">
              <w:rPr>
                <w:rFonts w:ascii="Times New Roman" w:hAnsi="Times New Roman" w:cs="Times New Roman"/>
              </w:rPr>
              <w:br/>
            </w:r>
            <w:r w:rsidRPr="00CB2EC4">
              <w:rPr>
                <w:rFonts w:ascii="Times New Roman" w:hAnsi="Times New Roman" w:cs="Times New Roman"/>
              </w:rPr>
              <w:br/>
              <w:t>Knowledge base document (as described in Figure 8-15):</w:t>
            </w:r>
            <w:r w:rsidRPr="00CB2EC4">
              <w:rPr>
                <w:rFonts w:ascii="Times New Roman" w:hAnsi="Times New Roman" w:cs="Times New Roman"/>
              </w:rPr>
              <w:br/>
              <w:t>- Positional specialty: The left lymph nodes are closely adjacent to the left margin of the abdominal aorta and the origin of the inferior mesenteric artery.</w:t>
            </w:r>
            <w:r w:rsidRPr="00CB2EC4">
              <w:rPr>
                <w:rFonts w:ascii="Times New Roman" w:hAnsi="Times New Roman" w:cs="Times New Roman"/>
              </w:rPr>
              <w:br/>
              <w:t>- Severe complications: Injury to the inferior mesenteric artery (which may lead to ischemic necrosis of the descending colon).</w:t>
            </w:r>
            <w:r w:rsidRPr="00CB2EC4">
              <w:rPr>
                <w:rFonts w:ascii="Times New Roman" w:hAnsi="Times New Roman" w:cs="Times New Roman"/>
              </w:rPr>
              <w:br/>
            </w:r>
            <w:r w:rsidRPr="00CB2EC4">
              <w:rPr>
                <w:rFonts w:ascii="Times New Roman" w:hAnsi="Times New Roman" w:cs="Times New Roman"/>
              </w:rPr>
              <w:lastRenderedPageBreak/>
              <w:t>- Key operative points:</w:t>
            </w:r>
            <w:r w:rsidRPr="00CB2EC4">
              <w:rPr>
                <w:rFonts w:ascii="Times New Roman" w:hAnsi="Times New Roman" w:cs="Times New Roman"/>
              </w:rPr>
              <w:br/>
              <w:t xml:space="preserve">  1. Dissect from the common iliac artery cephalad to 3–4 cm above the aortic bifurcation;</w:t>
            </w:r>
            <w:r w:rsidRPr="00CB2EC4">
              <w:rPr>
                <w:rFonts w:ascii="Times New Roman" w:hAnsi="Times New Roman" w:cs="Times New Roman"/>
              </w:rPr>
              <w:br/>
              <w:t xml:space="preserve">  2. Cease upward dissection at the level of the inferior mesenteric artery (approximately L3 vertebral body);</w:t>
            </w:r>
            <w:r w:rsidRPr="00CB2EC4">
              <w:rPr>
                <w:rFonts w:ascii="Times New Roman" w:hAnsi="Times New Roman" w:cs="Times New Roman"/>
              </w:rPr>
              <w:br/>
              <w:t xml:space="preserve">  3. Avoid excessive traction or blind clamping of tissues on the left side of the aorta.</w:t>
            </w:r>
          </w:p>
        </w:tc>
        <w:tc>
          <w:tcPr>
            <w:tcW w:w="1152" w:type="dxa"/>
            <w:vAlign w:val="center"/>
          </w:tcPr>
          <w:p w14:paraId="27FADF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E5379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35CDF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8291903" w14:textId="77777777">
        <w:tc>
          <w:tcPr>
            <w:tcW w:w="2160" w:type="dxa"/>
            <w:vAlign w:val="center"/>
          </w:tcPr>
          <w:p w14:paraId="03BAC5D7"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F448B91" w14:textId="77777777" w:rsidR="00922249" w:rsidRPr="00CB2EC4" w:rsidRDefault="003011D5">
            <w:pPr>
              <w:rPr>
                <w:rFonts w:ascii="Times New Roman" w:hAnsi="Times New Roman" w:cs="Times New Roman"/>
              </w:rPr>
            </w:pPr>
            <w:r w:rsidRPr="00CB2EC4">
              <w:rPr>
                <w:rFonts w:ascii="Times New Roman" w:hAnsi="Times New Roman" w:cs="Times New Roman"/>
              </w:rPr>
              <w:t>the special positional characteristics of the left para-aortic lymph nodes during resection via a direct midline incision (non-lateral approach) are:</w:t>
            </w:r>
            <w:r w:rsidRPr="00CB2EC4">
              <w:rPr>
                <w:rFonts w:ascii="Times New Roman" w:hAnsi="Times New Roman" w:cs="Times New Roman"/>
              </w:rPr>
              <w:br/>
              <w:t>- the lymph nodes are located on the left side of the abdominal aorta, near the inferior vena cava, and close to the origin of the inferior mesenteric artery (document fragment 9 states: "dissection extended to 5 cm above the aortic bifurcation, corresponding to the origin of the inferior mesenteric artery");</w:t>
            </w:r>
            <w:r w:rsidRPr="00CB2EC4">
              <w:rPr>
                <w:rFonts w:ascii="Times New Roman" w:hAnsi="Times New Roman" w:cs="Times New Roman"/>
              </w:rPr>
              <w:br/>
              <w:t>- this area is in close proximity to the left ureter (document fragment 1 notes: "exposure of major vessels reveals peristalsis of bilateral ureters"), with the ureter coursing retroperitoneally and thus susceptible to inadvertent injury.</w:t>
            </w:r>
            <w:r w:rsidRPr="00CB2EC4">
              <w:rPr>
                <w:rFonts w:ascii="Times New Roman" w:hAnsi="Times New Roman" w:cs="Times New Roman"/>
              </w:rPr>
              <w:br/>
            </w:r>
            <w:r w:rsidRPr="00CB2EC4">
              <w:rPr>
                <w:rFonts w:ascii="Times New Roman" w:hAnsi="Times New Roman" w:cs="Times New Roman"/>
              </w:rPr>
              <w:br/>
              <w:t>to avoid serious complications (such as injury to the ureter or inferior mesenteric artery), the following operative precautions are emphasized:</w:t>
            </w:r>
            <w:r w:rsidRPr="00CB2EC4">
              <w:rPr>
                <w:rFonts w:ascii="Times New Roman" w:hAnsi="Times New Roman" w:cs="Times New Roman"/>
              </w:rPr>
              <w:br/>
              <w:t>- retract the small intestine superiorly to fully expose the surgical field (document fragments 1 and 9);</w:t>
            </w:r>
            <w:r w:rsidRPr="00CB2EC4">
              <w:rPr>
                <w:rFonts w:ascii="Times New Roman" w:hAnsi="Times New Roman" w:cs="Times New Roman"/>
              </w:rPr>
              <w:br/>
              <w:t>- extend the dissection cranially from the aortic bifurcation, with the upper limit typically at the level of the second or third part of the duodenum (document fragment 9);</w:t>
            </w:r>
            <w:r w:rsidRPr="00CB2EC4">
              <w:rPr>
                <w:rFonts w:ascii="Times New Roman" w:hAnsi="Times New Roman" w:cs="Times New Roman"/>
              </w:rPr>
              <w:br/>
              <w:t xml:space="preserve">- carefully dissect lympho-fatty tissue, using a sharp-tipped dissector for clamping or electrocoagulation for hemostasis, and avoid blind dissection posterior to </w:t>
            </w:r>
            <w:r w:rsidRPr="00CB2EC4">
              <w:rPr>
                <w:rFonts w:ascii="Times New Roman" w:hAnsi="Times New Roman" w:cs="Times New Roman"/>
              </w:rPr>
              <w:lastRenderedPageBreak/>
              <w:t>vessels or between major vessels (document fragment 1);</w:t>
            </w:r>
            <w:r w:rsidRPr="00CB2EC4">
              <w:rPr>
                <w:rFonts w:ascii="Times New Roman" w:hAnsi="Times New Roman" w:cs="Times New Roman"/>
              </w:rPr>
              <w:br/>
              <w:t>- particular attention must be paid to identifying and protecting the ureter and inferior mesenteric artery, with document fragment 9 explicitly stating: "avoid injury to the inferior mesenteric artery".</w:t>
            </w:r>
          </w:p>
        </w:tc>
        <w:tc>
          <w:tcPr>
            <w:tcW w:w="1152" w:type="dxa"/>
            <w:vAlign w:val="center"/>
          </w:tcPr>
          <w:p w14:paraId="73AB17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5C219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245BB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ECF9F97" w14:textId="77777777">
        <w:tc>
          <w:tcPr>
            <w:tcW w:w="2160" w:type="dxa"/>
            <w:vAlign w:val="center"/>
          </w:tcPr>
          <w:p w14:paraId="6BB16620"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FA7C8E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position of the left para-aortic lymph nodes is special in that they are located on the left side of the abdominal aorta, and exposure via a direct incision (non-lateral approach) is relatively difficult due to the deep location of the aorta and frequent obstruction by intestinal loops; therefore, many surgeons recommend a lateral approach (via incision of the left paracolic gutter through the peritoneum) rather than a direct incision.  </w:t>
            </w:r>
            <w:r w:rsidRPr="00CB2EC4">
              <w:rPr>
                <w:rFonts w:ascii="Times New Roman" w:hAnsi="Times New Roman" w:cs="Times New Roman"/>
              </w:rPr>
              <w:br/>
            </w:r>
            <w:r w:rsidRPr="00CB2EC4">
              <w:rPr>
                <w:rFonts w:ascii="Times New Roman" w:hAnsi="Times New Roman" w:cs="Times New Roman"/>
              </w:rPr>
              <w:br/>
              <w:t>regarding the avoidance of severe complications during the procedure: the provided context does not specify particular complications or detailed operative precautions for direct left para-aortic lymph node dissection. document 28 emphasizes that during right para-aortic lymph node resection, injury to the "accompanying vein" of the inferior vena cava (e.g., failure to identify and ligate this vein preoperatively may lead to severe hemorrhage) must be avoided, but no analogous venous structure or complication is described for the left side. insufficient information is available in the knowledge base concerning the specifics of direct left-sided approach complications or corresponding operative techniques.</w:t>
            </w:r>
          </w:p>
        </w:tc>
        <w:tc>
          <w:tcPr>
            <w:tcW w:w="1152" w:type="dxa"/>
            <w:vAlign w:val="center"/>
          </w:tcPr>
          <w:p w14:paraId="32D2C8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B757C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545B8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6A717E2" w14:textId="77777777">
        <w:tc>
          <w:tcPr>
            <w:tcW w:w="2160" w:type="dxa"/>
            <w:vAlign w:val="center"/>
          </w:tcPr>
          <w:p w14:paraId="1E2A14C9"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F6C2DF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special positional characteristics of the left para-aortic lymph nodes during resection via a direct (non-lateral) approach are: located to the left and posterior </w:t>
            </w:r>
            <w:r w:rsidRPr="00CB2EC4">
              <w:rPr>
                <w:rFonts w:ascii="Times New Roman" w:hAnsi="Times New Roman" w:cs="Times New Roman"/>
              </w:rPr>
              <w:lastRenderedPageBreak/>
              <w:t xml:space="preserve">of the abdominal aorta (with some nodes concealed behind the vessel), making exposure more difficult compared to the right side (where nodes primarily lie on the surface of the inferior vena cava).  </w:t>
            </w:r>
            <w:r w:rsidRPr="00CB2EC4">
              <w:rPr>
                <w:rFonts w:ascii="Times New Roman" w:hAnsi="Times New Roman" w:cs="Times New Roman"/>
              </w:rPr>
              <w:br/>
              <w:t xml:space="preserve">- Risk of severe complications: Improper technique may cause laceration or hemorrhage of the iliac vessels or abdominal aorta, particularly endangering the inferior mesenteric artery.  </w:t>
            </w:r>
            <w:r w:rsidRPr="00CB2EC4">
              <w:rPr>
                <w:rFonts w:ascii="Times New Roman" w:hAnsi="Times New Roman" w:cs="Times New Roman"/>
              </w:rPr>
              <w:br/>
              <w:t xml:space="preserve">- Critical operative requirements:  </w:t>
            </w:r>
            <w:r w:rsidRPr="00CB2EC4">
              <w:rPr>
                <w:rFonts w:ascii="Times New Roman" w:hAnsi="Times New Roman" w:cs="Times New Roman"/>
              </w:rPr>
              <w:br/>
              <w:t xml:space="preserve">  1. Dissect from caudal to cephalad direction; use vascular clamps with "cautious gentleness";  </w:t>
            </w:r>
            <w:r w:rsidRPr="00CB2EC4">
              <w:rPr>
                <w:rFonts w:ascii="Times New Roman" w:hAnsi="Times New Roman" w:cs="Times New Roman"/>
              </w:rPr>
              <w:br/>
              <w:t xml:space="preserve">  2. Avoid blind dissection posterior to the vessels; prioritize identification and protection of the inferior mesenteric artery (located 3–4 cm above the aortic bifurcation);  </w:t>
            </w:r>
            <w:r w:rsidRPr="00CB2EC4">
              <w:rPr>
                <w:rFonts w:ascii="Times New Roman" w:hAnsi="Times New Roman" w:cs="Times New Roman"/>
              </w:rPr>
              <w:br/>
              <w:t xml:space="preserve">  3. Ligate the left ovarian vessel if necessary to improve exposure.  </w:t>
            </w:r>
            <w:r w:rsidRPr="00CB2EC4">
              <w:rPr>
                <w:rFonts w:ascii="Times New Roman" w:hAnsi="Times New Roman" w:cs="Times New Roman"/>
              </w:rPr>
              <w:br/>
            </w:r>
            <w:r w:rsidRPr="00CB2EC4">
              <w:rPr>
                <w:rFonts w:ascii="Times New Roman" w:hAnsi="Times New Roman" w:cs="Times New Roman"/>
              </w:rPr>
              <w:br/>
              <w:t xml:space="preserve">&gt; Basis:  </w:t>
            </w:r>
            <w:r w:rsidRPr="00CB2EC4">
              <w:rPr>
                <w:rFonts w:ascii="Times New Roman" w:hAnsi="Times New Roman" w:cs="Times New Roman"/>
              </w:rPr>
              <w:br/>
              <w:t xml:space="preserve">&gt; - "Left para-aortic lymph nodes are situated laterally, with some posteriorly located... vascular clamps must be used cautiously to prevent iliac vessel bleeding" (HyDE similarity 0.532).  </w:t>
            </w:r>
            <w:r w:rsidRPr="00CB2EC4">
              <w:rPr>
                <w:rFonts w:ascii="Times New Roman" w:hAnsi="Times New Roman" w:cs="Times New Roman"/>
              </w:rPr>
              <w:br/>
              <w:t>&gt; - "Safe lymph node dissection on the inferior mesenteric artery requires identification and separation of the left ovarian vessels" (HyDE similarity 0.532).</w:t>
            </w:r>
          </w:p>
        </w:tc>
        <w:tc>
          <w:tcPr>
            <w:tcW w:w="1152" w:type="dxa"/>
            <w:vAlign w:val="center"/>
          </w:tcPr>
          <w:p w14:paraId="042B8F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62671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D7F3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82E4DA" w14:textId="77777777">
        <w:tc>
          <w:tcPr>
            <w:tcW w:w="2160" w:type="dxa"/>
            <w:vAlign w:val="center"/>
          </w:tcPr>
          <w:p w14:paraId="534BDA4B"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20025AF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position of the left para-aortic lymph nodes is special in that they are located to the left and posterior of the abdominal aorta, near the origin of the inferior mesenteric artery. during dissection via a direct incision (non-lateral approach), the area extends cranially from the aortic bifurcation, with the upper boundary typically at the second and third parts of the </w:t>
            </w:r>
            <w:r w:rsidRPr="00CB2EC4">
              <w:rPr>
                <w:rFonts w:ascii="Times New Roman" w:hAnsi="Times New Roman" w:cs="Times New Roman"/>
              </w:rPr>
              <w:lastRenderedPageBreak/>
              <w:t>duodenum (crossing major retroperitoneal vessels). particular attention must be paid to the course of the inferior mesenteric artery on the left side, as it arises from the abdominal aorta in a superficial position and is prone to injury.</w:t>
            </w:r>
            <w:r w:rsidRPr="00CB2EC4">
              <w:rPr>
                <w:rFonts w:ascii="Times New Roman" w:hAnsi="Times New Roman" w:cs="Times New Roman"/>
              </w:rPr>
              <w:br/>
            </w:r>
            <w:r w:rsidRPr="00CB2EC4">
              <w:rPr>
                <w:rFonts w:ascii="Times New Roman" w:hAnsi="Times New Roman" w:cs="Times New Roman"/>
              </w:rPr>
              <w:br/>
              <w:t>the serious complication to be avoided during the operation is injury to the inferior mesenteric artery, which supplies the descending colon and sigmoid colon; damage may result in intestinal ischemia or necrosis.</w:t>
            </w:r>
            <w:r w:rsidRPr="00CB2EC4">
              <w:rPr>
                <w:rFonts w:ascii="Times New Roman" w:hAnsi="Times New Roman" w:cs="Times New Roman"/>
              </w:rPr>
              <w:br/>
            </w:r>
            <w:r w:rsidRPr="00CB2EC4">
              <w:rPr>
                <w:rFonts w:ascii="Times New Roman" w:hAnsi="Times New Roman" w:cs="Times New Roman"/>
              </w:rPr>
              <w:br/>
              <w:t>operative requirements:</w:t>
            </w:r>
            <w:r w:rsidRPr="00CB2EC4">
              <w:rPr>
                <w:rFonts w:ascii="Times New Roman" w:hAnsi="Times New Roman" w:cs="Times New Roman"/>
              </w:rPr>
              <w:br/>
              <w:t>- the surgeon should use a direct incision (e.g., by pushing the small intestine superiorly and approaching the retroperitoneum from above the common iliac arteries and slightly below the abdominal aorta) to expose the major vessels.</w:t>
            </w:r>
            <w:r w:rsidRPr="00CB2EC4">
              <w:rPr>
                <w:rFonts w:ascii="Times New Roman" w:hAnsi="Times New Roman" w:cs="Times New Roman"/>
              </w:rPr>
              <w:br/>
              <w:t>- specific steps include:</w:t>
            </w:r>
            <w:r w:rsidRPr="00CB2EC4">
              <w:rPr>
                <w:rFonts w:ascii="Times New Roman" w:hAnsi="Times New Roman" w:cs="Times New Roman"/>
              </w:rPr>
              <w:br/>
              <w:t xml:space="preserve">  → begin dissection at the aortic bifurcation and extend cranially.</w:t>
            </w:r>
            <w:r w:rsidRPr="00CB2EC4">
              <w:rPr>
                <w:rFonts w:ascii="Times New Roman" w:hAnsi="Times New Roman" w:cs="Times New Roman"/>
              </w:rPr>
              <w:br/>
              <w:t xml:space="preserve">  → gently separate the lympho-fatty tissue covering the abdominal aorta, carefully identifying and protecting the inferior mesenteric artery.</w:t>
            </w:r>
            <w:r w:rsidRPr="00CB2EC4">
              <w:rPr>
                <w:rFonts w:ascii="Times New Roman" w:hAnsi="Times New Roman" w:cs="Times New Roman"/>
              </w:rPr>
              <w:br/>
              <w:t xml:space="preserve">  → achieve hemostasis using vessel ligation and avoid blunt dissection to reduce the risk of vascular tearing.</w:t>
            </w:r>
            <w:r w:rsidRPr="00CB2EC4">
              <w:rPr>
                <w:rFonts w:ascii="Times New Roman" w:hAnsi="Times New Roman" w:cs="Times New Roman"/>
              </w:rPr>
              <w:br/>
              <w:t xml:space="preserve">  → the dissection range generally does not exceed the origin of the inferior mesenteric artery (approximately 5 cm above the aortic bifurcation), unless suspicious lymph nodes are detected at a higher level.</w:t>
            </w:r>
          </w:p>
        </w:tc>
        <w:tc>
          <w:tcPr>
            <w:tcW w:w="1152" w:type="dxa"/>
            <w:vAlign w:val="center"/>
          </w:tcPr>
          <w:p w14:paraId="1569A3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0BC09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8B2B97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0F33F53" w14:textId="77777777">
        <w:tc>
          <w:tcPr>
            <w:tcW w:w="2160" w:type="dxa"/>
            <w:vAlign w:val="center"/>
          </w:tcPr>
          <w:p w14:paraId="07923D04"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03B705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resecting left para-aortic lymph nodes via a direct incision (non-lateral approach), the special characteristics of the lymph node location in this area </w:t>
            </w:r>
            <w:r w:rsidRPr="00CB2EC4">
              <w:rPr>
                <w:rFonts w:ascii="Times New Roman" w:hAnsi="Times New Roman" w:cs="Times New Roman"/>
              </w:rPr>
              <w:lastRenderedPageBreak/>
              <w:t xml:space="preserve">are as follows:  </w:t>
            </w:r>
            <w:r w:rsidRPr="00CB2EC4">
              <w:rPr>
                <w:rFonts w:ascii="Times New Roman" w:hAnsi="Times New Roman" w:cs="Times New Roman"/>
              </w:rPr>
              <w:br/>
              <w:t xml:space="preserve">- The left para-aortic lymph nodes are situated lateral and posterior to the abdominal aorta, with some lymph nodes hidden behind the vessels. This region is close to the origin of the inferior mesenteric artery (IMA), and the lymph nodes are often adjacent to the left ovarian vessels (artery and vein), located deep and easily obscured by vascular structures.  </w:t>
            </w:r>
            <w:r w:rsidRPr="00CB2EC4">
              <w:rPr>
                <w:rFonts w:ascii="Times New Roman" w:hAnsi="Times New Roman" w:cs="Times New Roman"/>
              </w:rPr>
              <w:br/>
            </w:r>
            <w:r w:rsidRPr="00CB2EC4">
              <w:rPr>
                <w:rFonts w:ascii="Times New Roman" w:hAnsi="Times New Roman" w:cs="Times New Roman"/>
              </w:rPr>
              <w:br/>
              <w:t xml:space="preserve">The serious complication that must be avoided during the procedure is vascular injury, particularly to the iliac vessels, abdominal aorta, or inferior mesenteric artery, which could result in severe hemorrhage.  </w:t>
            </w:r>
            <w:r w:rsidRPr="00CB2EC4">
              <w:rPr>
                <w:rFonts w:ascii="Times New Roman" w:hAnsi="Times New Roman" w:cs="Times New Roman"/>
              </w:rPr>
              <w:br/>
            </w:r>
            <w:r w:rsidRPr="00CB2EC4">
              <w:rPr>
                <w:rFonts w:ascii="Times New Roman" w:hAnsi="Times New Roman" w:cs="Times New Roman"/>
              </w:rPr>
              <w:br/>
              <w:t xml:space="preserve">Operational recommendations:  </w:t>
            </w:r>
            <w:r w:rsidRPr="00CB2EC4">
              <w:rPr>
                <w:rFonts w:ascii="Times New Roman" w:hAnsi="Times New Roman" w:cs="Times New Roman"/>
              </w:rPr>
              <w:br/>
              <w:t xml:space="preserve">- The surgeon should cautiously use vascular clamps, first identifying and dissecting the left ovarian vessels;  </w:t>
            </w:r>
            <w:r w:rsidRPr="00CB2EC4">
              <w:rPr>
                <w:rFonts w:ascii="Times New Roman" w:hAnsi="Times New Roman" w:cs="Times New Roman"/>
              </w:rPr>
              <w:br/>
              <w:t xml:space="preserve">- If necessary, the inferior mesenteric artery and vein may be ligated, but care must be taken to avoid inadvertent injury;  </w:t>
            </w:r>
            <w:r w:rsidRPr="00CB2EC4">
              <w:rPr>
                <w:rFonts w:ascii="Times New Roman" w:hAnsi="Times New Roman" w:cs="Times New Roman"/>
              </w:rPr>
              <w:br/>
              <w:t xml:space="preserve">- Dissection should proceed from caudal to cephalad direction, gently separating lymphoid tissue, and avoiding blind manipulation posterior to major vessels (e.g., as noted: “when sampling these lymph nodes, use vascular clamps with caution to prevent iliac vessel bleeding” and “during resection of left para-aortic lymph nodes, care must be taken not to injure the inferior mesenteric artery”).  </w:t>
            </w:r>
            <w:r w:rsidRPr="00CB2EC4">
              <w:rPr>
                <w:rFonts w:ascii="Times New Roman" w:hAnsi="Times New Roman" w:cs="Times New Roman"/>
              </w:rPr>
              <w:br/>
            </w:r>
            <w:r w:rsidRPr="00CB2EC4">
              <w:rPr>
                <w:rFonts w:ascii="Times New Roman" w:hAnsi="Times New Roman" w:cs="Times New Roman"/>
              </w:rPr>
              <w:br/>
              <w:t>This information is derived from descriptions of para-aortic lymph node dissection (e.g., the fourth-to-last segment), emphasizing anatomical risks associated with the direct approach on the left side.</w:t>
            </w:r>
          </w:p>
        </w:tc>
        <w:tc>
          <w:tcPr>
            <w:tcW w:w="1152" w:type="dxa"/>
            <w:vAlign w:val="center"/>
          </w:tcPr>
          <w:p w14:paraId="535066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85D4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F46FA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61B8A71" w14:textId="77777777">
        <w:tc>
          <w:tcPr>
            <w:tcW w:w="2160" w:type="dxa"/>
            <w:vAlign w:val="center"/>
          </w:tcPr>
          <w:p w14:paraId="6ED1505B"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F04A0E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resecting left para-aortic lymph nodes via a </w:t>
            </w:r>
            <w:r w:rsidRPr="00CB2EC4">
              <w:rPr>
                <w:rFonts w:ascii="Times New Roman" w:hAnsi="Times New Roman" w:cs="Times New Roman"/>
              </w:rPr>
              <w:lastRenderedPageBreak/>
              <w:t>direct incision (non-lateral approach), the positional characteristics of the lymph nodes in this area are as follows:</w:t>
            </w:r>
            <w:r w:rsidRPr="00CB2EC4">
              <w:rPr>
                <w:rFonts w:ascii="Times New Roman" w:hAnsi="Times New Roman" w:cs="Times New Roman"/>
              </w:rPr>
              <w:br/>
              <w:t>- positional specificity: the left para-aortic lymph nodes are primarily located lateral and posterior to the abdominal aorta (with some hidden behind the vessel), and compared to the right side, they are closer to the anterior aspect of the vertebral body. during the procedure, exposure of the left common iliac artery, abdominal aorta, and inferior vena cava is required (document fragment 9).</w:t>
            </w:r>
            <w:r w:rsidRPr="00CB2EC4">
              <w:rPr>
                <w:rFonts w:ascii="Times New Roman" w:hAnsi="Times New Roman" w:cs="Times New Roman"/>
              </w:rPr>
              <w:br/>
              <w:t>- serious complications to avoid: iliac vessel hemorrhage or injury to the inferior mesenteric artery. these complications may lead to massive bleeding or organ ischemia.</w:t>
            </w:r>
            <w:r w:rsidRPr="00CB2EC4">
              <w:rPr>
                <w:rFonts w:ascii="Times New Roman" w:hAnsi="Times New Roman" w:cs="Times New Roman"/>
              </w:rPr>
              <w:br/>
              <w:t>- operative recommendations:</w:t>
            </w:r>
            <w:r w:rsidRPr="00CB2EC4">
              <w:rPr>
                <w:rFonts w:ascii="Times New Roman" w:hAnsi="Times New Roman" w:cs="Times New Roman"/>
              </w:rPr>
              <w:br/>
              <w:t xml:space="preserve">  → gently identify vessels: first locate the left ovarian artery and vein and the inferior mesenteric artery; avoid blind clamping; ligate vascular branches when necessary to prevent tearing.</w:t>
            </w:r>
            <w:r w:rsidRPr="00CB2EC4">
              <w:rPr>
                <w:rFonts w:ascii="Times New Roman" w:hAnsi="Times New Roman" w:cs="Times New Roman"/>
              </w:rPr>
              <w:br/>
              <w:t xml:space="preserve">  → use atraumatic instruments: avoid monopolar electrocautery (to prevent nerve injury causing lower limb motor dysfunction or sensory dullness); blunt dissection or ligation for hemostasis is recommended.</w:t>
            </w:r>
            <w:r w:rsidRPr="00CB2EC4">
              <w:rPr>
                <w:rFonts w:ascii="Times New Roman" w:hAnsi="Times New Roman" w:cs="Times New Roman"/>
              </w:rPr>
              <w:br/>
              <w:t xml:space="preserve">  → limit the dissection range: resect only lymph nodes anterior and lateral to the vessels; do not forcibly dissect behind the vessels to reduce risk (document fragments 3 and 27).</w:t>
            </w:r>
          </w:p>
        </w:tc>
        <w:tc>
          <w:tcPr>
            <w:tcW w:w="1152" w:type="dxa"/>
            <w:vAlign w:val="center"/>
          </w:tcPr>
          <w:p w14:paraId="1F9DA2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D7D2C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61105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29B3B06" w14:textId="77777777">
        <w:tc>
          <w:tcPr>
            <w:tcW w:w="2160" w:type="dxa"/>
            <w:vAlign w:val="center"/>
          </w:tcPr>
          <w:p w14:paraId="399AD4A3"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3DC44E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position of the left para-aortic lymph nodes is special in that they are located on the left side of the abdominal aorta, deep in position with limited operative space (unlike the right side, where lymph nodes often overlie the inferior vena cava). The document states that when resecting left para-aortic </w:t>
            </w:r>
            <w:r w:rsidRPr="00CB2EC4">
              <w:rPr>
                <w:rFonts w:ascii="Times New Roman" w:hAnsi="Times New Roman" w:cs="Times New Roman"/>
              </w:rPr>
              <w:lastRenderedPageBreak/>
              <w:t>lymph nodes via a direct incision approach (non-lateral route), exposure is difficult because these lymph nodes adhere closely to the left side of the abdominal aorta, and the complex retroperitoneal anatomy must be navigated, including the course of the ureter and ovarian vessels.</w:t>
            </w:r>
            <w:r w:rsidRPr="00CB2EC4">
              <w:rPr>
                <w:rFonts w:ascii="Times New Roman" w:hAnsi="Times New Roman" w:cs="Times New Roman"/>
              </w:rPr>
              <w:br/>
            </w:r>
            <w:r w:rsidRPr="00CB2EC4">
              <w:rPr>
                <w:rFonts w:ascii="Times New Roman" w:hAnsi="Times New Roman" w:cs="Times New Roman"/>
              </w:rPr>
              <w:br/>
              <w:t>The serious complication to be avoided during the procedure is vascular tear leading to severe hemorrhage, particularly from accidental tearing of the "accompanying vein" (a constant small vein anteriorly entering the inferior vena cava or abdominal aorta).</w:t>
            </w:r>
            <w:r w:rsidRPr="00CB2EC4">
              <w:rPr>
                <w:rFonts w:ascii="Times New Roman" w:hAnsi="Times New Roman" w:cs="Times New Roman"/>
              </w:rPr>
              <w:br/>
            </w:r>
            <w:r w:rsidRPr="00CB2EC4">
              <w:rPr>
                <w:rFonts w:ascii="Times New Roman" w:hAnsi="Times New Roman" w:cs="Times New Roman"/>
              </w:rPr>
              <w:br/>
              <w:t>To prevent this bleeding complication, the surgeon must carefully identify the ureter and vascular pathways, pre-ligate the "accompanying vein"; simultaneously, mobilize the duodenum by incising the peritoneum on both sides to improve exposure, and during cephalad node resection, operate gently using hemostatic forceps to separate tissue pedicles. The document emphasizes that left lymph node resection via direct incision is typically more complex than the right side, and although lateral approach assistance is recommended, extra caution is required when using the direct (non-lateral) approach as specified.</w:t>
            </w:r>
            <w:r w:rsidRPr="00CB2EC4">
              <w:rPr>
                <w:rFonts w:ascii="Times New Roman" w:hAnsi="Times New Roman" w:cs="Times New Roman"/>
              </w:rPr>
              <w:br/>
            </w:r>
            <w:r w:rsidRPr="00CB2EC4">
              <w:rPr>
                <w:rFonts w:ascii="Times New Roman" w:hAnsi="Times New Roman" w:cs="Times New Roman"/>
              </w:rPr>
              <w:br/>
              <w:t>This information is derived from the description of "para-aortic lymph node dissection" (e.g., in the "Surgical Techniques and Tips" section), which details the technical steps and associated risks.</w:t>
            </w:r>
          </w:p>
        </w:tc>
        <w:tc>
          <w:tcPr>
            <w:tcW w:w="1152" w:type="dxa"/>
            <w:vAlign w:val="center"/>
          </w:tcPr>
          <w:p w14:paraId="344C74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418E5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A35F2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42DCC8A" w14:textId="77777777">
        <w:tc>
          <w:tcPr>
            <w:tcW w:w="2160" w:type="dxa"/>
            <w:vAlign w:val="center"/>
          </w:tcPr>
          <w:p w14:paraId="18340A75"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F81E39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removing left para-aortic lymph nodes via a direct incision (non-lateral approach), the special </w:t>
            </w:r>
            <w:r w:rsidRPr="00CB2EC4">
              <w:rPr>
                <w:rFonts w:ascii="Times New Roman" w:hAnsi="Times New Roman" w:cs="Times New Roman"/>
              </w:rPr>
              <w:lastRenderedPageBreak/>
              <w:t xml:space="preserve">location of the lymph nodes in this area is as follows:  </w:t>
            </w:r>
            <w:r w:rsidRPr="00CB2EC4">
              <w:rPr>
                <w:rFonts w:ascii="Times New Roman" w:hAnsi="Times New Roman" w:cs="Times New Roman"/>
              </w:rPr>
              <w:br/>
              <w:t xml:space="preserve">- The left para-aortic lymph nodes are primarily situated lateral and posterior to the abdominal aorta (with some located posteriorly), are more concealed compared to the right side, and are in close proximity to the inferior mesenteric artery and the left ovarian vessels. During the procedure, the ureter must be identified and retracted laterally, and dissection is performed along the left side of the common iliac artery and the lower end of the abdominal aorta.  </w:t>
            </w:r>
            <w:r w:rsidRPr="00CB2EC4">
              <w:rPr>
                <w:rFonts w:ascii="Times New Roman" w:hAnsi="Times New Roman" w:cs="Times New Roman"/>
              </w:rPr>
              <w:br/>
              <w:t xml:space="preserve">- To avoid severe complications such as iliac vessel hemorrhage (particularly injury to the common iliac vein or its branches), the following operative measures are emphasized:  </w:t>
            </w:r>
            <w:r w:rsidRPr="00CB2EC4">
              <w:rPr>
                <w:rFonts w:ascii="Times New Roman" w:hAnsi="Times New Roman" w:cs="Times New Roman"/>
              </w:rPr>
              <w:br/>
              <w:t xml:space="preserve">  → Use vascular clamps cautiously and pre-identify and ligate vessels within the lymphoid-fatty tissue (e.g., "accompanying veins") before lymph node removal.  </w:t>
            </w:r>
            <w:r w:rsidRPr="00CB2EC4">
              <w:rPr>
                <w:rFonts w:ascii="Times New Roman" w:hAnsi="Times New Roman" w:cs="Times New Roman"/>
              </w:rPr>
              <w:br/>
              <w:t xml:space="preserve">  → Gently lift the lympho-fatty tissue and dissect from caudal to cephalad direction.  </w:t>
            </w:r>
            <w:r w:rsidRPr="00CB2EC4">
              <w:rPr>
                <w:rFonts w:ascii="Times New Roman" w:hAnsi="Times New Roman" w:cs="Times New Roman"/>
              </w:rPr>
              <w:br/>
              <w:t xml:space="preserve">  → When dissecting above the level of the inferior mesenteric artery, mobilize the duodenum and identify the left ovarian artery and vein; ligate these vessels if necessary.  </w:t>
            </w:r>
            <w:r w:rsidRPr="00CB2EC4">
              <w:rPr>
                <w:rFonts w:ascii="Times New Roman" w:hAnsi="Times New Roman" w:cs="Times New Roman"/>
              </w:rPr>
              <w:br/>
              <w:t xml:space="preserve">  → Emphasize sharp dissection and meticulous hemostasis to prevent vascular tearing due to excessive traction.  </w:t>
            </w:r>
            <w:r w:rsidRPr="00CB2EC4">
              <w:rPr>
                <w:rFonts w:ascii="Times New Roman" w:hAnsi="Times New Roman" w:cs="Times New Roman"/>
              </w:rPr>
              <w:br/>
              <w:t>This approach reduces bleeding risk but requires attention to the complexity of left-sided anatomy.</w:t>
            </w:r>
          </w:p>
        </w:tc>
        <w:tc>
          <w:tcPr>
            <w:tcW w:w="1152" w:type="dxa"/>
            <w:vAlign w:val="center"/>
          </w:tcPr>
          <w:p w14:paraId="550565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B06A4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8D025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1D2B4FB" w14:textId="77777777">
        <w:tc>
          <w:tcPr>
            <w:tcW w:w="2160" w:type="dxa"/>
            <w:vAlign w:val="center"/>
          </w:tcPr>
          <w:p w14:paraId="2C0CAAA4"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CFB2D9E" w14:textId="77777777" w:rsidR="00922249" w:rsidRPr="00CB2EC4" w:rsidRDefault="003011D5">
            <w:pPr>
              <w:rPr>
                <w:rFonts w:ascii="Times New Roman" w:hAnsi="Times New Roman" w:cs="Times New Roman"/>
              </w:rPr>
            </w:pPr>
            <w:r w:rsidRPr="00CB2EC4">
              <w:rPr>
                <w:rFonts w:ascii="Times New Roman" w:hAnsi="Times New Roman" w:cs="Times New Roman"/>
              </w:rPr>
              <w:t>when removing left para-aortic lymph nodes via a direct incision (non-lateral approach), the special positional characteristics of the lymph nodes in this area are:</w:t>
            </w:r>
            <w:r w:rsidRPr="00CB2EC4">
              <w:rPr>
                <w:rFonts w:ascii="Times New Roman" w:hAnsi="Times New Roman" w:cs="Times New Roman"/>
              </w:rPr>
              <w:br/>
              <w:t xml:space="preserve">- the left para-aortic lymph nodes are located lateral to </w:t>
            </w:r>
            <w:r w:rsidRPr="00CB2EC4">
              <w:rPr>
                <w:rFonts w:ascii="Times New Roman" w:hAnsi="Times New Roman" w:cs="Times New Roman"/>
              </w:rPr>
              <w:lastRenderedPageBreak/>
              <w:t>the abdominal aorta, with some situated posteriorly (i.e., partially hidden behind the abdominal aorta); compared to the right side, they are closer to the origin of the inferior mesenteric artery (IMA), typically 3–4 cm above the aortic bifurcation.</w:t>
            </w:r>
            <w:r w:rsidRPr="00CB2EC4">
              <w:rPr>
                <w:rFonts w:ascii="Times New Roman" w:hAnsi="Times New Roman" w:cs="Times New Roman"/>
              </w:rPr>
              <w:br/>
            </w:r>
            <w:r w:rsidRPr="00CB2EC4">
              <w:rPr>
                <w:rFonts w:ascii="Times New Roman" w:hAnsi="Times New Roman" w:cs="Times New Roman"/>
              </w:rPr>
              <w:br/>
              <w:t>the serious complications that must be avoided during the procedure include:</w:t>
            </w:r>
            <w:r w:rsidRPr="00CB2EC4">
              <w:rPr>
                <w:rFonts w:ascii="Times New Roman" w:hAnsi="Times New Roman" w:cs="Times New Roman"/>
              </w:rPr>
              <w:br/>
              <w:t>- injury to the iliac vessels (especially the common iliac artery or vein), which may cause massive hemorrhage;</w:t>
            </w:r>
            <w:r w:rsidRPr="00CB2EC4">
              <w:rPr>
                <w:rFonts w:ascii="Times New Roman" w:hAnsi="Times New Roman" w:cs="Times New Roman"/>
              </w:rPr>
              <w:br/>
              <w:t>- injury to the inferior mesenteric artery, which may lead to intestinal ischemia.</w:t>
            </w:r>
            <w:r w:rsidRPr="00CB2EC4">
              <w:rPr>
                <w:rFonts w:ascii="Times New Roman" w:hAnsi="Times New Roman" w:cs="Times New Roman"/>
              </w:rPr>
              <w:br/>
            </w:r>
            <w:r w:rsidRPr="00CB2EC4">
              <w:rPr>
                <w:rFonts w:ascii="Times New Roman" w:hAnsi="Times New Roman" w:cs="Times New Roman"/>
              </w:rPr>
              <w:br/>
              <w:t>to prevent these complications, the following operative techniques are emphasized:</w:t>
            </w:r>
            <w:r w:rsidRPr="00CB2EC4">
              <w:rPr>
                <w:rFonts w:ascii="Times New Roman" w:hAnsi="Times New Roman" w:cs="Times New Roman"/>
              </w:rPr>
              <w:br/>
              <w:t>- use of vascular clamps should be cautious; avoid rough dissection.</w:t>
            </w:r>
            <w:r w:rsidRPr="00CB2EC4">
              <w:rPr>
                <w:rFonts w:ascii="Times New Roman" w:hAnsi="Times New Roman" w:cs="Times New Roman"/>
              </w:rPr>
              <w:br/>
              <w:t>- the left ovarian vessels must be identified and dissected; ligation of these vessels may be necessary to expose the operative field.</w:t>
            </w:r>
            <w:r w:rsidRPr="00CB2EC4">
              <w:rPr>
                <w:rFonts w:ascii="Times New Roman" w:hAnsi="Times New Roman" w:cs="Times New Roman"/>
              </w:rPr>
              <w:br/>
              <w:t>- when operating at the level of the inferior mesenteric artery, careful identification of the artery is required to avoid accidental ligation or injury (ligation of the inferior mesenteric artery and vein may occasionally be performed, but only when absolutely necessary).</w:t>
            </w:r>
            <w:r w:rsidRPr="00CB2EC4">
              <w:rPr>
                <w:rFonts w:ascii="Times New Roman" w:hAnsi="Times New Roman" w:cs="Times New Roman"/>
              </w:rPr>
              <w:br/>
              <w:t>- dissection should proceed from caudal to cephalad to maintain a clear field of view and reduce the risk of vascular tearing.</w:t>
            </w:r>
            <w:r w:rsidRPr="00CB2EC4">
              <w:rPr>
                <w:rFonts w:ascii="Times New Roman" w:hAnsi="Times New Roman" w:cs="Times New Roman"/>
              </w:rPr>
              <w:br/>
            </w:r>
            <w:r w:rsidRPr="00CB2EC4">
              <w:rPr>
                <w:rFonts w:ascii="Times New Roman" w:hAnsi="Times New Roman" w:cs="Times New Roman"/>
              </w:rPr>
              <w:br/>
              <w:t>this procedure emphasizes meticulous dissection to minimize hemorrhagic complications and ensure safe lymph node removal.</w:t>
            </w:r>
          </w:p>
        </w:tc>
        <w:tc>
          <w:tcPr>
            <w:tcW w:w="1152" w:type="dxa"/>
            <w:vAlign w:val="center"/>
          </w:tcPr>
          <w:p w14:paraId="4B11F0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A49D9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E2FFB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620A20B" w14:textId="77777777">
        <w:tc>
          <w:tcPr>
            <w:tcW w:w="2160" w:type="dxa"/>
            <w:vAlign w:val="center"/>
          </w:tcPr>
          <w:p w14:paraId="2B75C9B7"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60C844B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removing left para-aortic lymph nodes via a </w:t>
            </w:r>
            <w:r w:rsidRPr="00CB2EC4">
              <w:rPr>
                <w:rFonts w:ascii="Times New Roman" w:hAnsi="Times New Roman" w:cs="Times New Roman"/>
              </w:rPr>
              <w:lastRenderedPageBreak/>
              <w:t xml:space="preserve">direct incision (non-lateral approach), the special positional characteristics of lymph nodes in this area include:  </w:t>
            </w:r>
            <w:r w:rsidRPr="00CB2EC4">
              <w:rPr>
                <w:rFonts w:ascii="Times New Roman" w:hAnsi="Times New Roman" w:cs="Times New Roman"/>
              </w:rPr>
              <w:br/>
              <w:t xml:space="preserve">- They are located on the left side of the abdominal aorta, near the origin of the inferior mesenteric artery, and extend to the level of the left renal vein.  </w:t>
            </w:r>
            <w:r w:rsidRPr="00CB2EC4">
              <w:rPr>
                <w:rFonts w:ascii="Times New Roman" w:hAnsi="Times New Roman" w:cs="Times New Roman"/>
              </w:rPr>
              <w:br/>
              <w:t xml:space="preserve">- They are closely adjacent to the left renal vein, abdominal aorta, and inferior mesenteric artery, making these vessels prone to injury.  </w:t>
            </w:r>
            <w:r w:rsidRPr="00CB2EC4">
              <w:rPr>
                <w:rFonts w:ascii="Times New Roman" w:hAnsi="Times New Roman" w:cs="Times New Roman"/>
              </w:rPr>
              <w:br/>
            </w:r>
            <w:r w:rsidRPr="00CB2EC4">
              <w:rPr>
                <w:rFonts w:ascii="Times New Roman" w:hAnsi="Times New Roman" w:cs="Times New Roman"/>
              </w:rPr>
              <w:br/>
              <w:t xml:space="preserve">To avoid serious complications (such as massive hemorrhage or left renal vein injury), the following operative measures must be taken:  </w:t>
            </w:r>
            <w:r w:rsidRPr="00CB2EC4">
              <w:rPr>
                <w:rFonts w:ascii="Times New Roman" w:hAnsi="Times New Roman" w:cs="Times New Roman"/>
              </w:rPr>
              <w:br/>
              <w:t xml:space="preserve">- Carefully identify anatomical landmarks: first expose the abdominal aorta and left renal vein, and use blunt dissection (e.g., finger or suction tip) to gently separate lymphoid tissue.  </w:t>
            </w:r>
            <w:r w:rsidRPr="00CB2EC4">
              <w:rPr>
                <w:rFonts w:ascii="Times New Roman" w:hAnsi="Times New Roman" w:cs="Times New Roman"/>
              </w:rPr>
              <w:br/>
              <w:t xml:space="preserve">- Ligate lymphatic vessels: tie off the proximal end of lymphatic vessels before removal to prevent lymph fistula.  </w:t>
            </w:r>
            <w:r w:rsidRPr="00CB2EC4">
              <w:rPr>
                <w:rFonts w:ascii="Times New Roman" w:hAnsi="Times New Roman" w:cs="Times New Roman"/>
              </w:rPr>
              <w:br/>
              <w:t>- Avoid excessive traction: to prevent tearing of vessels, especially in the area of the inferior mesenteric artery.</w:t>
            </w:r>
          </w:p>
        </w:tc>
        <w:tc>
          <w:tcPr>
            <w:tcW w:w="1152" w:type="dxa"/>
            <w:vAlign w:val="center"/>
          </w:tcPr>
          <w:p w14:paraId="7E0165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6ACD3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F4932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A5945DE" w14:textId="77777777">
        <w:tc>
          <w:tcPr>
            <w:tcW w:w="10656" w:type="dxa"/>
            <w:gridSpan w:val="5"/>
            <w:tcBorders>
              <w:bottom w:val="single" w:sz="6" w:space="0" w:color="auto"/>
            </w:tcBorders>
            <w:vAlign w:val="center"/>
          </w:tcPr>
          <w:p w14:paraId="1CF5520C"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180: In surgery for Stage IV ovarian cancer, a residual tumor diameter of less than how many centimeters is considered the standard for optimal cytoreduction?</w:t>
            </w:r>
          </w:p>
        </w:tc>
      </w:tr>
      <w:tr w:rsidR="00922249" w:rsidRPr="00CB2EC4" w14:paraId="236B6459" w14:textId="77777777">
        <w:tc>
          <w:tcPr>
            <w:tcW w:w="2160" w:type="dxa"/>
            <w:vAlign w:val="center"/>
          </w:tcPr>
          <w:p w14:paraId="1DDA0F4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18897B1" w14:textId="77777777" w:rsidR="00922249" w:rsidRPr="00CB2EC4" w:rsidRDefault="003011D5">
            <w:pPr>
              <w:rPr>
                <w:rFonts w:ascii="Times New Roman" w:hAnsi="Times New Roman" w:cs="Times New Roman"/>
              </w:rPr>
            </w:pPr>
            <w:r w:rsidRPr="00CB2EC4">
              <w:rPr>
                <w:rFonts w:ascii="Times New Roman" w:hAnsi="Times New Roman" w:cs="Times New Roman"/>
              </w:rPr>
              <w:t>in the surgery for stage IV ovarian cancer, a residual tumor diameter of less than or equal to 2 cm is considered the standard for optimal cytoreduction.</w:t>
            </w:r>
            <w:r w:rsidRPr="00CB2EC4">
              <w:rPr>
                <w:rFonts w:ascii="Times New Roman" w:hAnsi="Times New Roman" w:cs="Times New Roman"/>
              </w:rPr>
              <w:br/>
            </w:r>
            <w:r w:rsidRPr="00CB2EC4">
              <w:rPr>
                <w:rFonts w:ascii="Times New Roman" w:hAnsi="Times New Roman" w:cs="Times New Roman"/>
              </w:rPr>
              <w:br/>
              <w:t>Specifically:</w:t>
            </w:r>
            <w:r w:rsidRPr="00CB2EC4">
              <w:rPr>
                <w:rFonts w:ascii="Times New Roman" w:hAnsi="Times New Roman" w:cs="Times New Roman"/>
              </w:rPr>
              <w:br/>
              <w:t xml:space="preserve">- Patients with a residual tumor diameter ≤ 2 cm after surgery are defined as having undergone optimal cytoreduction, which is associated with improved </w:t>
            </w:r>
            <w:r w:rsidRPr="00CB2EC4">
              <w:rPr>
                <w:rFonts w:ascii="Times New Roman" w:hAnsi="Times New Roman" w:cs="Times New Roman"/>
              </w:rPr>
              <w:lastRenderedPageBreak/>
              <w:t>survival (as reported by Hoskins et al., this standard correlates with increased survival).</w:t>
            </w:r>
            <w:r w:rsidRPr="00CB2EC4">
              <w:rPr>
                <w:rFonts w:ascii="Times New Roman" w:hAnsi="Times New Roman" w:cs="Times New Roman"/>
              </w:rPr>
              <w:br/>
              <w:t>- This standard applies to tumor cytoreduction in advanced ovarian cancer (stages III–IV), aiming to reduce tumor burden through surgery to facilitate subsequent radiotherapy and chemotherapy.</w:t>
            </w:r>
            <w:r w:rsidRPr="00CB2EC4">
              <w:rPr>
                <w:rFonts w:ascii="Times New Roman" w:hAnsi="Times New Roman" w:cs="Times New Roman"/>
              </w:rPr>
              <w:br/>
            </w:r>
            <w:r w:rsidRPr="00CB2EC4">
              <w:rPr>
                <w:rFonts w:ascii="Times New Roman" w:hAnsi="Times New Roman" w:cs="Times New Roman"/>
              </w:rPr>
              <w:br/>
              <w:t>This information is explicitly stated in the source material with a similarity score of 0.697: "Postoperative residual tumor diameter less than or equal to 2 cm is referred to as optimal tumor cytoreduction."</w:t>
            </w:r>
          </w:p>
        </w:tc>
        <w:tc>
          <w:tcPr>
            <w:tcW w:w="1152" w:type="dxa"/>
            <w:vAlign w:val="center"/>
          </w:tcPr>
          <w:p w14:paraId="003042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66219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869E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E22EA7" w14:textId="77777777">
        <w:tc>
          <w:tcPr>
            <w:tcW w:w="2160" w:type="dxa"/>
            <w:vAlign w:val="center"/>
          </w:tcPr>
          <w:p w14:paraId="69F5603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5789BB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surgery for stage IV ovarian cancer, a residual tumor diameter of less than or equal to 2 cm is considered the standard for optimal cytoreduction (ideal tumor cytoreduction).  </w:t>
            </w:r>
            <w:r w:rsidRPr="00CB2EC4">
              <w:rPr>
                <w:rFonts w:ascii="Times New Roman" w:hAnsi="Times New Roman" w:cs="Times New Roman"/>
              </w:rPr>
              <w:br/>
              <w:t xml:space="preserve">- This standard is defined based on the size of residual tumor post-surgery: a residual tumor diameter ≤ 2 cm significantly improves survival rates (segment 24, block 685; segment 27, block 698).  </w:t>
            </w:r>
            <w:r w:rsidRPr="00CB2EC4">
              <w:rPr>
                <w:rFonts w:ascii="Times New Roman" w:hAnsi="Times New Roman" w:cs="Times New Roman"/>
              </w:rPr>
              <w:br/>
              <w:t xml:space="preserve">- The surgical goal is to reduce the tumor to this level to facilitate subsequent chemotherapy or radiotherapy (segment 18, block 613; segment 24, block 685).  </w:t>
            </w:r>
            <w:r w:rsidRPr="00CB2EC4">
              <w:rPr>
                <w:rFonts w:ascii="Times New Roman" w:hAnsi="Times New Roman" w:cs="Times New Roman"/>
              </w:rPr>
              <w:br/>
            </w:r>
            <w:r w:rsidRPr="00CB2EC4">
              <w:rPr>
                <w:rFonts w:ascii="Times New Roman" w:hAnsi="Times New Roman" w:cs="Times New Roman"/>
              </w:rPr>
              <w:br/>
              <w:t>&gt; Reference documents: segment 24 (block 685), segment 27 (block 698), segment 18 (block 613). These contents are from relevant sections of the document titled "Guidelines for Cervical Cancer Screening and Management".</w:t>
            </w:r>
          </w:p>
        </w:tc>
        <w:tc>
          <w:tcPr>
            <w:tcW w:w="1152" w:type="dxa"/>
            <w:vAlign w:val="center"/>
          </w:tcPr>
          <w:p w14:paraId="7EFB43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868CF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DF19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AAF96B" w14:textId="77777777">
        <w:tc>
          <w:tcPr>
            <w:tcW w:w="2160" w:type="dxa"/>
            <w:vAlign w:val="center"/>
          </w:tcPr>
          <w:p w14:paraId="74246666"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3795DE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surgery of stage IV ovarian cancer, a residual tumor diameter of less than or equal to 2 centimeters is considered the standard for optimal cytoreduction (ideal tumor cytoreduction). this significantly </w:t>
            </w:r>
            <w:r w:rsidRPr="00CB2EC4">
              <w:rPr>
                <w:rFonts w:ascii="Times New Roman" w:hAnsi="Times New Roman" w:cs="Times New Roman"/>
              </w:rPr>
              <w:lastRenderedPageBreak/>
              <w:t xml:space="preserve">improves survival and therapeutic outcomes.  </w:t>
            </w:r>
            <w:r w:rsidRPr="00CB2EC4">
              <w:rPr>
                <w:rFonts w:ascii="Times New Roman" w:hAnsi="Times New Roman" w:cs="Times New Roman"/>
              </w:rPr>
              <w:br/>
              <w:t>(source: document fragments 3, 10, 14, 15, 22)</w:t>
            </w:r>
          </w:p>
        </w:tc>
        <w:tc>
          <w:tcPr>
            <w:tcW w:w="1152" w:type="dxa"/>
            <w:vAlign w:val="center"/>
          </w:tcPr>
          <w:p w14:paraId="521525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03E99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CA561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D9E5009" w14:textId="77777777">
        <w:tc>
          <w:tcPr>
            <w:tcW w:w="2160" w:type="dxa"/>
            <w:vAlign w:val="center"/>
          </w:tcPr>
          <w:p w14:paraId="5D2F77C7"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0112FB84" w14:textId="77777777" w:rsidR="00922249" w:rsidRPr="00CB2EC4" w:rsidRDefault="003011D5">
            <w:pPr>
              <w:rPr>
                <w:rFonts w:ascii="Times New Roman" w:hAnsi="Times New Roman" w:cs="Times New Roman"/>
              </w:rPr>
            </w:pPr>
            <w:r w:rsidRPr="00CB2EC4">
              <w:rPr>
                <w:rFonts w:ascii="Times New Roman" w:hAnsi="Times New Roman" w:cs="Times New Roman"/>
              </w:rPr>
              <w:t>optimal cytoreductive surgery standards for stage IV ovarian cancer</w:t>
            </w:r>
            <w:r w:rsidRPr="00CB2EC4">
              <w:rPr>
                <w:rFonts w:ascii="Times New Roman" w:hAnsi="Times New Roman" w:cs="Times New Roman"/>
              </w:rPr>
              <w:br/>
            </w:r>
            <w:r w:rsidRPr="00CB2EC4">
              <w:rPr>
                <w:rFonts w:ascii="Times New Roman" w:hAnsi="Times New Roman" w:cs="Times New Roman"/>
              </w:rPr>
              <w:br/>
              <w:t xml:space="preserve">Knowledge base documentation (definitive criteria):  </w:t>
            </w:r>
            <w:r w:rsidRPr="00CB2EC4">
              <w:rPr>
                <w:rFonts w:ascii="Times New Roman" w:hAnsi="Times New Roman" w:cs="Times New Roman"/>
              </w:rPr>
              <w:br/>
              <w:t xml:space="preserve">- Residual tumor diameter ≤ 2 cm is defined as "optimal cytoreduction."  </w:t>
            </w:r>
            <w:r w:rsidRPr="00CB2EC4">
              <w:rPr>
                <w:rFonts w:ascii="Times New Roman" w:hAnsi="Times New Roman" w:cs="Times New Roman"/>
              </w:rPr>
              <w:br/>
              <w:t xml:space="preserve">- Evidence: Hoskins et al. confirmed this standard significantly improves survival (source: knowledge base cytoreductive surgery section).  </w:t>
            </w:r>
            <w:r w:rsidRPr="00CB2EC4">
              <w:rPr>
                <w:rFonts w:ascii="Times New Roman" w:hAnsi="Times New Roman" w:cs="Times New Roman"/>
              </w:rPr>
              <w:br/>
              <w:t xml:space="preserve">Web search verification:  </w:t>
            </w:r>
            <w:r w:rsidRPr="00CB2EC4">
              <w:rPr>
                <w:rFonts w:ascii="Times New Roman" w:hAnsi="Times New Roman" w:cs="Times New Roman"/>
              </w:rPr>
              <w:br/>
              <w:t xml:space="preserve">- NCCN guidelines similarly designate "maximum residual disease ≤ 2 cm" as the surgical goal (source: web search results).  </w:t>
            </w:r>
            <w:r w:rsidRPr="00CB2EC4">
              <w:rPr>
                <w:rFonts w:ascii="Times New Roman" w:hAnsi="Times New Roman" w:cs="Times New Roman"/>
              </w:rPr>
              <w:br/>
            </w:r>
            <w:r w:rsidRPr="00CB2EC4">
              <w:rPr>
                <w:rFonts w:ascii="Times New Roman" w:hAnsi="Times New Roman" w:cs="Times New Roman"/>
              </w:rPr>
              <w:br/>
              <w:t xml:space="preserve">Information synthesis summary  </w:t>
            </w:r>
            <w:r w:rsidRPr="00CB2EC4">
              <w:rPr>
                <w:rFonts w:ascii="Times New Roman" w:hAnsi="Times New Roman" w:cs="Times New Roman"/>
              </w:rPr>
              <w:br/>
              <w:t xml:space="preserve">- Primary source: Knowledge base documentation (17 citations) provides core surgical indications, procedures, and anatomical details.  </w:t>
            </w:r>
            <w:r w:rsidRPr="00CB2EC4">
              <w:rPr>
                <w:rFonts w:ascii="Times New Roman" w:hAnsi="Times New Roman" w:cs="Times New Roman"/>
              </w:rPr>
              <w:br/>
              <w:t xml:space="preserve">- Secondary supplementation: Web search (4 citations) validates international guideline consensus and imaging applications.  </w:t>
            </w:r>
            <w:r w:rsidRPr="00CB2EC4">
              <w:rPr>
                <w:rFonts w:ascii="Times New Roman" w:hAnsi="Times New Roman" w:cs="Times New Roman"/>
              </w:rPr>
              <w:br/>
              <w:t xml:space="preserve">- No contradictory information: All sources consistently state key criteria (e.g., lymph node indications, cytoreduction thresholds).  </w:t>
            </w:r>
            <w:r w:rsidRPr="00CB2EC4">
              <w:rPr>
                <w:rFonts w:ascii="Times New Roman" w:hAnsi="Times New Roman" w:cs="Times New Roman"/>
              </w:rPr>
              <w:br/>
            </w:r>
            <w:r w:rsidRPr="00CB2EC4">
              <w:rPr>
                <w:rFonts w:ascii="Times New Roman" w:hAnsi="Times New Roman" w:cs="Times New Roman"/>
              </w:rPr>
              <w:br/>
              <w:t>The above responses are strictly based on the provided contextual information. For uncovered clinical details, individualized decisions combining the latest guidelines are recommended.</w:t>
            </w:r>
          </w:p>
        </w:tc>
        <w:tc>
          <w:tcPr>
            <w:tcW w:w="1152" w:type="dxa"/>
            <w:vAlign w:val="center"/>
          </w:tcPr>
          <w:p w14:paraId="5047B1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7EA2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A3991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E648B0" w14:textId="77777777">
        <w:tc>
          <w:tcPr>
            <w:tcW w:w="2160" w:type="dxa"/>
            <w:vAlign w:val="center"/>
          </w:tcPr>
          <w:p w14:paraId="4D71474E"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DC9539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surgery for stage IV ovarian cancer, a residual tumor diameter less than or equal to 2 cm is </w:t>
            </w:r>
            <w:r w:rsidRPr="00CB2EC4">
              <w:rPr>
                <w:rFonts w:ascii="Times New Roman" w:hAnsi="Times New Roman" w:cs="Times New Roman"/>
              </w:rPr>
              <w:lastRenderedPageBreak/>
              <w:t>considered the standard for optimal cytoreduction.</w:t>
            </w:r>
            <w:r w:rsidRPr="00CB2EC4">
              <w:rPr>
                <w:rFonts w:ascii="Times New Roman" w:hAnsi="Times New Roman" w:cs="Times New Roman"/>
              </w:rPr>
              <w:br/>
            </w:r>
            <w:r w:rsidRPr="00CB2EC4">
              <w:rPr>
                <w:rFonts w:ascii="Times New Roman" w:hAnsi="Times New Roman" w:cs="Times New Roman"/>
              </w:rPr>
              <w:br/>
              <w:t xml:space="preserve">Based on document excerpts 17 and 20:  </w:t>
            </w:r>
            <w:r w:rsidRPr="00CB2EC4">
              <w:rPr>
                <w:rFonts w:ascii="Times New Roman" w:hAnsi="Times New Roman" w:cs="Times New Roman"/>
              </w:rPr>
              <w:br/>
              <w:t xml:space="preserve">- Document excerpt 17 explicitly states: “Cases with a postoperative residual tumor diameter less than or equal to 2 cm are termed optimal tumor cytoreduction.”  </w:t>
            </w:r>
            <w:r w:rsidRPr="00CB2EC4">
              <w:rPr>
                <w:rFonts w:ascii="Times New Roman" w:hAnsi="Times New Roman" w:cs="Times New Roman"/>
              </w:rPr>
              <w:br/>
              <w:t>- Document excerpt 20 further supports this standard, indicating that cytoreduction with residual tumor diameter less than 2 cm improves survival.</w:t>
            </w:r>
          </w:p>
        </w:tc>
        <w:tc>
          <w:tcPr>
            <w:tcW w:w="1152" w:type="dxa"/>
            <w:vAlign w:val="center"/>
          </w:tcPr>
          <w:p w14:paraId="7F9913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E96F6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07B79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75F29FA" w14:textId="77777777">
        <w:tc>
          <w:tcPr>
            <w:tcW w:w="2160" w:type="dxa"/>
            <w:vAlign w:val="center"/>
          </w:tcPr>
          <w:p w14:paraId="5C7F5EC7"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D63E624" w14:textId="77777777" w:rsidR="00922249" w:rsidRPr="00CB2EC4" w:rsidRDefault="003011D5">
            <w:pPr>
              <w:rPr>
                <w:rFonts w:ascii="Times New Roman" w:hAnsi="Times New Roman" w:cs="Times New Roman"/>
              </w:rPr>
            </w:pPr>
            <w:r w:rsidRPr="00CB2EC4">
              <w:rPr>
                <w:rFonts w:ascii="Times New Roman" w:hAnsi="Times New Roman" w:cs="Times New Roman"/>
              </w:rPr>
              <w:t>in IV stage ovarian cancer surgery, a residual tumor diameter less than or equal to 2 centimeters is considered the standard for optimal cytoreduction.</w:t>
            </w:r>
            <w:r w:rsidRPr="00CB2EC4">
              <w:rPr>
                <w:rFonts w:ascii="Times New Roman" w:hAnsi="Times New Roman" w:cs="Times New Roman"/>
              </w:rPr>
              <w:br/>
            </w:r>
            <w:r w:rsidRPr="00CB2EC4">
              <w:rPr>
                <w:rFonts w:ascii="Times New Roman" w:hAnsi="Times New Roman" w:cs="Times New Roman"/>
              </w:rPr>
              <w:br/>
              <w:t>according to contextual information (primarily from document 1, document 6, and document 14), in IV stage ovarian cancer surgery, a residual tumor diameter ≤ 2 cm is defined as optimal cytoreduction (ideal tumor cytoreduction). for example:</w:t>
            </w:r>
            <w:r w:rsidRPr="00CB2EC4">
              <w:rPr>
                <w:rFonts w:ascii="Times New Roman" w:hAnsi="Times New Roman" w:cs="Times New Roman"/>
              </w:rPr>
              <w:br/>
              <w:t>- document 1 explicitly states: "A postoperative residual tumor diameter less than or equal to 2 cm is referred to as ideal tumor cytoreduction."</w:t>
            </w:r>
            <w:r w:rsidRPr="00CB2EC4">
              <w:rPr>
                <w:rFonts w:ascii="Times New Roman" w:hAnsi="Times New Roman" w:cs="Times New Roman"/>
              </w:rPr>
              <w:br/>
              <w:t>- document 6 and document 14 also reaffirm this standard, noting that achieving it improves survival rates.</w:t>
            </w:r>
            <w:r w:rsidRPr="00CB2EC4">
              <w:rPr>
                <w:rFonts w:ascii="Times New Roman" w:hAnsi="Times New Roman" w:cs="Times New Roman"/>
              </w:rPr>
              <w:br/>
              <w:t>this standard applies to all advanced-stage ovarian cancer (including stage IV) and aims to maximally resect the tumor via surgery to create conditions for subsequent chemotherapy or radiotherapy.</w:t>
            </w:r>
          </w:p>
        </w:tc>
        <w:tc>
          <w:tcPr>
            <w:tcW w:w="1152" w:type="dxa"/>
            <w:vAlign w:val="center"/>
          </w:tcPr>
          <w:p w14:paraId="1C80B1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26146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E88C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C8956D" w14:textId="77777777">
        <w:tc>
          <w:tcPr>
            <w:tcW w:w="2160" w:type="dxa"/>
            <w:vAlign w:val="center"/>
          </w:tcPr>
          <w:p w14:paraId="58DA3E8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79C96CE" w14:textId="77777777" w:rsidR="00922249" w:rsidRPr="00CB2EC4" w:rsidRDefault="003011D5">
            <w:pPr>
              <w:rPr>
                <w:rFonts w:ascii="Times New Roman" w:hAnsi="Times New Roman" w:cs="Times New Roman"/>
              </w:rPr>
            </w:pPr>
            <w:r w:rsidRPr="00CB2EC4">
              <w:rPr>
                <w:rFonts w:ascii="Times New Roman" w:hAnsi="Times New Roman" w:cs="Times New Roman"/>
              </w:rPr>
              <w:t>residual tumor diameter ≤ 2 cm is considered the standard for optimal cytoreduction.</w:t>
            </w:r>
            <w:r w:rsidRPr="00CB2EC4">
              <w:rPr>
                <w:rFonts w:ascii="Times New Roman" w:hAnsi="Times New Roman" w:cs="Times New Roman"/>
              </w:rPr>
              <w:br/>
            </w:r>
            <w:r w:rsidRPr="00CB2EC4">
              <w:rPr>
                <w:rFonts w:ascii="Times New Roman" w:hAnsi="Times New Roman" w:cs="Times New Roman"/>
              </w:rPr>
              <w:br/>
              <w:t>&gt; Basis:</w:t>
            </w:r>
            <w:r w:rsidRPr="00CB2EC4">
              <w:rPr>
                <w:rFonts w:ascii="Times New Roman" w:hAnsi="Times New Roman" w:cs="Times New Roman"/>
              </w:rPr>
              <w:br/>
            </w:r>
            <w:r w:rsidRPr="00CB2EC4">
              <w:rPr>
                <w:rFonts w:ascii="Times New Roman" w:hAnsi="Times New Roman" w:cs="Times New Roman"/>
              </w:rPr>
              <w:lastRenderedPageBreak/>
              <w:t>&gt; - "A procedure where the postoperative residual tumor diameter is less than or equal to 2 cm is termed an optimal tumor cytoreductive surgery" (HyDE similarity 0.530).</w:t>
            </w:r>
          </w:p>
        </w:tc>
        <w:tc>
          <w:tcPr>
            <w:tcW w:w="1152" w:type="dxa"/>
            <w:vAlign w:val="center"/>
          </w:tcPr>
          <w:p w14:paraId="5D5242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D447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5D462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279583" w14:textId="77777777">
        <w:tc>
          <w:tcPr>
            <w:tcW w:w="2160" w:type="dxa"/>
            <w:vAlign w:val="center"/>
          </w:tcPr>
          <w:p w14:paraId="6D1927F9"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91F7031" w14:textId="77777777" w:rsidR="00922249" w:rsidRPr="00CB2EC4" w:rsidRDefault="003011D5">
            <w:pPr>
              <w:rPr>
                <w:rFonts w:ascii="Times New Roman" w:hAnsi="Times New Roman" w:cs="Times New Roman"/>
              </w:rPr>
            </w:pPr>
            <w:r w:rsidRPr="00CB2EC4">
              <w:rPr>
                <w:rFonts w:ascii="Times New Roman" w:hAnsi="Times New Roman" w:cs="Times New Roman"/>
              </w:rPr>
              <w:t>in IV stage ovarian cancer surgery, a residual tumor diameter less than or equal to 2 cm is considered the standard for optimal cytoreduction (ideal tumor cytoreduction). This standard applies to tumor cytoreductive surgery in advanced ovarian cancer (including stages III–IV). Postoperative residual tumor within this range can improve survival rates. The document emphasizes that the surgical goal is to resect all grossly visible lesions to achieve residual tumor ≤ 2 cm, combined with postoperative radiotherapy and chemotherapy.</w:t>
            </w:r>
          </w:p>
        </w:tc>
        <w:tc>
          <w:tcPr>
            <w:tcW w:w="1152" w:type="dxa"/>
            <w:vAlign w:val="center"/>
          </w:tcPr>
          <w:p w14:paraId="462008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5DFE0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A572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AABAF7" w14:textId="77777777">
        <w:tc>
          <w:tcPr>
            <w:tcW w:w="2160" w:type="dxa"/>
            <w:vAlign w:val="center"/>
          </w:tcPr>
          <w:p w14:paraId="5F9F8EB7"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732F14E" w14:textId="77777777" w:rsidR="00922249" w:rsidRPr="00CB2EC4" w:rsidRDefault="003011D5">
            <w:pPr>
              <w:rPr>
                <w:rFonts w:ascii="Times New Roman" w:hAnsi="Times New Roman" w:cs="Times New Roman"/>
              </w:rPr>
            </w:pPr>
            <w:r w:rsidRPr="00CB2EC4">
              <w:rPr>
                <w:rFonts w:ascii="Times New Roman" w:hAnsi="Times New Roman" w:cs="Times New Roman"/>
              </w:rPr>
              <w:t>in IV stage ovarian cancer surgery, a residual tumor diameter less than or equal to 2 cm is considered the standard for optimal cytoreductive surgery (ideal cytoreduction).</w:t>
            </w:r>
            <w:r w:rsidRPr="00CB2EC4">
              <w:rPr>
                <w:rFonts w:ascii="Times New Roman" w:hAnsi="Times New Roman" w:cs="Times New Roman"/>
              </w:rPr>
              <w:br/>
            </w:r>
            <w:r w:rsidRPr="00CB2EC4">
              <w:rPr>
                <w:rFonts w:ascii="Times New Roman" w:hAnsi="Times New Roman" w:cs="Times New Roman"/>
              </w:rPr>
              <w:br/>
              <w:t>This standard is based on the impact of postoperative residual tumor size on survival rates:</w:t>
            </w:r>
            <w:r w:rsidRPr="00CB2EC4">
              <w:rPr>
                <w:rFonts w:ascii="Times New Roman" w:hAnsi="Times New Roman" w:cs="Times New Roman"/>
              </w:rPr>
              <w:br/>
              <w:t>- Definition: When the maximum diameter of residual tumor ≤ 2 cm, it is termed "ideal cytoreductive surgery," which facilitates more effective disease control with adjuvant therapy (e.g., chemotherapy).</w:t>
            </w:r>
            <w:r w:rsidRPr="00CB2EC4">
              <w:rPr>
                <w:rFonts w:ascii="Times New Roman" w:hAnsi="Times New Roman" w:cs="Times New Roman"/>
              </w:rPr>
              <w:br/>
              <w:t>- Basis: The document explicitly states that "patients with postoperative residual tumor diameter ≤ 2 cm are defined as having ideal cytoreductive surgery" (e.g., tenth segment), and emphasizes that this standard applies to advanced ovarian cancer (including stage IV) to improve prognosis.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If the residual tumor &gt; 2 cm, survival rates decrease significantly; therefore, the surgical goal is to achieve residual disease within this range.</w:t>
            </w:r>
          </w:p>
        </w:tc>
        <w:tc>
          <w:tcPr>
            <w:tcW w:w="1152" w:type="dxa"/>
            <w:vAlign w:val="center"/>
          </w:tcPr>
          <w:p w14:paraId="485FE3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19DE4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5951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67AD830" w14:textId="77777777">
        <w:tc>
          <w:tcPr>
            <w:tcW w:w="2160" w:type="dxa"/>
            <w:vAlign w:val="center"/>
          </w:tcPr>
          <w:p w14:paraId="22D352B9"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019578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surgery for stage IV ovarian cancer, the standard for optimal cytoreduction is a residual tumor diameter of less than or equal to 2 cm.  </w:t>
            </w:r>
            <w:r w:rsidRPr="00CB2EC4">
              <w:rPr>
                <w:rFonts w:ascii="Times New Roman" w:hAnsi="Times New Roman" w:cs="Times New Roman"/>
              </w:rPr>
              <w:br/>
              <w:t>this is referred to as "ideal tumor cytoreduction," which is significantly associated with survival rates (average survival time of 31 months for ideal cytoreduction vs. 12 months for those not meeting the standard). the surgical scope includes removal of the uterus, bilateral adnexa, omentum, all visible lesions, and potentially involved bowel segments, bladder, or lymph nodes. extra-abdominal metastatic lesions (except inguinal) are not suitable for this type of surgery (document fragment 23).</w:t>
            </w:r>
          </w:p>
        </w:tc>
        <w:tc>
          <w:tcPr>
            <w:tcW w:w="1152" w:type="dxa"/>
            <w:vAlign w:val="center"/>
          </w:tcPr>
          <w:p w14:paraId="073EB0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09DB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323D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A51E4F" w14:textId="77777777">
        <w:tc>
          <w:tcPr>
            <w:tcW w:w="2160" w:type="dxa"/>
            <w:vAlign w:val="center"/>
          </w:tcPr>
          <w:p w14:paraId="11C4920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D2352FD" w14:textId="77777777" w:rsidR="00922249" w:rsidRPr="00CB2EC4" w:rsidRDefault="003011D5">
            <w:pPr>
              <w:rPr>
                <w:rFonts w:ascii="Times New Roman" w:hAnsi="Times New Roman" w:cs="Times New Roman"/>
              </w:rPr>
            </w:pPr>
            <w:r w:rsidRPr="00CB2EC4">
              <w:rPr>
                <w:rFonts w:ascii="Times New Roman" w:hAnsi="Times New Roman" w:cs="Times New Roman"/>
              </w:rPr>
              <w:t>in IV stage ovarian cancer surgery, a residual tumor diameter less than or equal to 2 cm is considered the standard for optimal cytoreduction.</w:t>
            </w:r>
            <w:r w:rsidRPr="00CB2EC4">
              <w:rPr>
                <w:rFonts w:ascii="Times New Roman" w:hAnsi="Times New Roman" w:cs="Times New Roman"/>
              </w:rPr>
              <w:br/>
            </w:r>
            <w:r w:rsidRPr="00CB2EC4">
              <w:rPr>
                <w:rFonts w:ascii="Times New Roman" w:hAnsi="Times New Roman" w:cs="Times New Roman"/>
              </w:rPr>
              <w:br/>
              <w:t>- The document explicitly states: "Postoperative residual tumor diameter less than or equal to 2 cm is termed optimal cytoreductive surgery", and indicates this standard significantly improves survival rates (e.g., in the section "Initial cytoreductive surgery for advanced (stage III, IV) cancer").</w:t>
            </w:r>
            <w:r w:rsidRPr="00CB2EC4">
              <w:rPr>
                <w:rFonts w:ascii="Times New Roman" w:hAnsi="Times New Roman" w:cs="Times New Roman"/>
              </w:rPr>
              <w:br/>
              <w:t>- A residual tumor diameter greater than 2 cm is classified as suboptimal cytoreduction and is associated with poorer prognosis. This standard is based on clinical research data and is used to evaluate surgical outcomes and guide postoperative treatment.</w:t>
            </w:r>
          </w:p>
        </w:tc>
        <w:tc>
          <w:tcPr>
            <w:tcW w:w="1152" w:type="dxa"/>
            <w:vAlign w:val="center"/>
          </w:tcPr>
          <w:p w14:paraId="0F3387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D1FB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0BAC8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8986350" w14:textId="77777777">
        <w:tc>
          <w:tcPr>
            <w:tcW w:w="2160" w:type="dxa"/>
            <w:vAlign w:val="center"/>
          </w:tcPr>
          <w:p w14:paraId="1188689D"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921F89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IV-stage ovarian cancer surgery, a residual tumor diameter of less than 2 cm is considered the standard </w:t>
            </w:r>
            <w:r w:rsidRPr="00CB2EC4">
              <w:rPr>
                <w:rFonts w:ascii="Times New Roman" w:hAnsi="Times New Roman" w:cs="Times New Roman"/>
              </w:rPr>
              <w:lastRenderedPageBreak/>
              <w:t>for optimal cytoreduction.</w:t>
            </w:r>
            <w:r w:rsidRPr="00CB2EC4">
              <w:rPr>
                <w:rFonts w:ascii="Times New Roman" w:hAnsi="Times New Roman" w:cs="Times New Roman"/>
              </w:rPr>
              <w:br/>
            </w:r>
            <w:r w:rsidRPr="00CB2EC4">
              <w:rPr>
                <w:rFonts w:ascii="Times New Roman" w:hAnsi="Times New Roman" w:cs="Times New Roman"/>
              </w:rPr>
              <w:br/>
              <w:t>According to the context (Document Fragment 5 and Document Fragment 10):</w:t>
            </w:r>
            <w:r w:rsidRPr="00CB2EC4">
              <w:rPr>
                <w:rFonts w:ascii="Times New Roman" w:hAnsi="Times New Roman" w:cs="Times New Roman"/>
              </w:rPr>
              <w:br/>
              <w:t>- Residual tumor diameter &lt; 2 cm is defined as optimal cytoreduction (ideal tumor cytoreduction).</w:t>
            </w:r>
            <w:r w:rsidRPr="00CB2EC4">
              <w:rPr>
                <w:rFonts w:ascii="Times New Roman" w:hAnsi="Times New Roman" w:cs="Times New Roman"/>
              </w:rPr>
              <w:br/>
              <w:t>- Hoskins et al. demonstrated that cytoreduction with residual tumor diameter &lt; 2 cm improves survival; however, suboptimal cytoreduction (residual tumor diameter &gt; 2 cm) offers limited benefit to survival time.</w:t>
            </w:r>
            <w:r w:rsidRPr="00CB2EC4">
              <w:rPr>
                <w:rFonts w:ascii="Times New Roman" w:hAnsi="Times New Roman" w:cs="Times New Roman"/>
              </w:rPr>
              <w:br/>
              <w:t>- The surgical goal is to minimize residual disease by resecting metastatic lesions (e.g., omentum, retroperitoneal lymph nodes), followed by adjuvant chemotherapy (Document Fragment 5 and Document Fragment 10).</w:t>
            </w:r>
          </w:p>
        </w:tc>
        <w:tc>
          <w:tcPr>
            <w:tcW w:w="1152" w:type="dxa"/>
            <w:vAlign w:val="center"/>
          </w:tcPr>
          <w:p w14:paraId="674A4E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AE6E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C5AD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7EA76D" w14:textId="77777777">
        <w:tc>
          <w:tcPr>
            <w:tcW w:w="2160" w:type="dxa"/>
            <w:vAlign w:val="center"/>
          </w:tcPr>
          <w:p w14:paraId="7926B313"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CB0D6E3" w14:textId="77777777" w:rsidR="00922249" w:rsidRPr="00CB2EC4" w:rsidRDefault="003011D5">
            <w:pPr>
              <w:rPr>
                <w:rFonts w:ascii="Times New Roman" w:hAnsi="Times New Roman" w:cs="Times New Roman"/>
              </w:rPr>
            </w:pPr>
            <w:r w:rsidRPr="00CB2EC4">
              <w:rPr>
                <w:rFonts w:ascii="Times New Roman" w:hAnsi="Times New Roman" w:cs="Times New Roman"/>
              </w:rPr>
              <w:t>In stage IV ovarian cancer surgery, a residual tumor diameter of ≤2 cm is considered the standard for optimal cytoreduction.</w:t>
            </w:r>
          </w:p>
        </w:tc>
        <w:tc>
          <w:tcPr>
            <w:tcW w:w="1152" w:type="dxa"/>
            <w:vAlign w:val="center"/>
          </w:tcPr>
          <w:p w14:paraId="0730AD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17890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94D2B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A62396" w14:textId="77777777">
        <w:tc>
          <w:tcPr>
            <w:tcW w:w="2160" w:type="dxa"/>
            <w:vAlign w:val="center"/>
          </w:tcPr>
          <w:p w14:paraId="75E9FC60"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C83F1C7" w14:textId="77777777" w:rsidR="00922249" w:rsidRPr="00CB2EC4" w:rsidRDefault="003011D5">
            <w:pPr>
              <w:rPr>
                <w:rFonts w:ascii="Times New Roman" w:hAnsi="Times New Roman" w:cs="Times New Roman"/>
              </w:rPr>
            </w:pPr>
            <w:r w:rsidRPr="00CB2EC4">
              <w:rPr>
                <w:rFonts w:ascii="Times New Roman" w:hAnsi="Times New Roman" w:cs="Times New Roman"/>
              </w:rPr>
              <w:t>in the surgery for stage IV ovarian cancer, the standard for optimal cytoreduction is a residual tumor diameter of less than 1 centimeter (i.e., no gross residual disease or residual lesions &lt;1 cm). This is defined as "optimal cytoreduction" and is associated with improved survival rates.</w:t>
            </w:r>
          </w:p>
        </w:tc>
        <w:tc>
          <w:tcPr>
            <w:tcW w:w="1152" w:type="dxa"/>
            <w:vAlign w:val="center"/>
          </w:tcPr>
          <w:p w14:paraId="5CDF1F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6C2CB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A0638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F1538E" w14:textId="77777777">
        <w:tc>
          <w:tcPr>
            <w:tcW w:w="10656" w:type="dxa"/>
            <w:gridSpan w:val="5"/>
            <w:tcBorders>
              <w:bottom w:val="single" w:sz="6" w:space="0" w:color="auto"/>
            </w:tcBorders>
            <w:vAlign w:val="center"/>
          </w:tcPr>
          <w:p w14:paraId="3FB01A64"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181: According to the report by Heintz et al., approximately 50% of cytoreductive surgeries are suboptimal. What are the main reasons for these surgical failures? Please list the specific anatomical sites in the upper abdomen that lead to the inability to achieve optimal cytoreduction.</w:t>
            </w:r>
          </w:p>
        </w:tc>
      </w:tr>
      <w:tr w:rsidR="00922249" w:rsidRPr="00CB2EC4" w14:paraId="4E57A711" w14:textId="77777777">
        <w:tc>
          <w:tcPr>
            <w:tcW w:w="2160" w:type="dxa"/>
            <w:vAlign w:val="center"/>
          </w:tcPr>
          <w:p w14:paraId="021F57A4"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771D50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Heintz et al., approximately 50% of tumor cytoreductive surgeries are suboptimally cytoreduced. The main reasons for surgical failure are as follows: Please list the specific anatomical sites in the upper abdomen that lead to the inability to achieve </w:t>
            </w:r>
            <w:r w:rsidRPr="00CB2EC4">
              <w:rPr>
                <w:rFonts w:ascii="Times New Roman" w:hAnsi="Times New Roman" w:cs="Times New Roman"/>
              </w:rPr>
              <w:lastRenderedPageBreak/>
              <w:t>optimal cytoreduction.</w:t>
            </w:r>
            <w:r w:rsidRPr="00CB2EC4">
              <w:rPr>
                <w:rFonts w:ascii="Times New Roman" w:hAnsi="Times New Roman" w:cs="Times New Roman"/>
              </w:rPr>
              <w:br/>
            </w:r>
            <w:r w:rsidRPr="00CB2EC4">
              <w:rPr>
                <w:rFonts w:ascii="Times New Roman" w:hAnsi="Times New Roman" w:cs="Times New Roman"/>
              </w:rPr>
              <w:br/>
              <w:t>Main reasons for surgical failure: According to the document, the primary cause of suboptimal cytoreduction (residual tumor diameter &gt; 2 cm) is tumors located in anatomically challenging sites in the upper abdomen. These sites are difficult to resect due to their deep location, involvement of critical vessels or organs, high risk of complications during surgery, and frequent inability to achieve complete resection. The document notes that tumor biological characteristics (such as low chemosensitivity) and surgical technique limitations jointly influence outcomes, but the specific cause of failure is attributed to the unresectability of upper abdominal lesions.</w:t>
            </w:r>
            <w:r w:rsidRPr="00CB2EC4">
              <w:rPr>
                <w:rFonts w:ascii="Times New Roman" w:hAnsi="Times New Roman" w:cs="Times New Roman"/>
              </w:rPr>
              <w:br/>
            </w:r>
            <w:r w:rsidRPr="00CB2EC4">
              <w:rPr>
                <w:rFonts w:ascii="Times New Roman" w:hAnsi="Times New Roman" w:cs="Times New Roman"/>
              </w:rPr>
              <w:br/>
              <w:t>- Specific anatomical sites in the upper abdomen: The document explicitly lists the following sites as key areas preventing optimal cytoreduction:</w:t>
            </w:r>
            <w:r w:rsidRPr="00CB2EC4">
              <w:rPr>
                <w:rFonts w:ascii="Times New Roman" w:hAnsi="Times New Roman" w:cs="Times New Roman"/>
              </w:rPr>
              <w:br/>
              <w:t xml:space="preserve">  - Splenic pedicle</w:t>
            </w:r>
            <w:r w:rsidRPr="00CB2EC4">
              <w:rPr>
                <w:rFonts w:ascii="Times New Roman" w:hAnsi="Times New Roman" w:cs="Times New Roman"/>
              </w:rPr>
              <w:br/>
              <w:t xml:space="preserve">  - Stomach</w:t>
            </w:r>
            <w:r w:rsidRPr="00CB2EC4">
              <w:rPr>
                <w:rFonts w:ascii="Times New Roman" w:hAnsi="Times New Roman" w:cs="Times New Roman"/>
              </w:rPr>
              <w:br/>
              <w:t xml:space="preserve">  - Transverse colon</w:t>
            </w:r>
            <w:r w:rsidRPr="00CB2EC4">
              <w:rPr>
                <w:rFonts w:ascii="Times New Roman" w:hAnsi="Times New Roman" w:cs="Times New Roman"/>
              </w:rPr>
              <w:br/>
              <w:t xml:space="preserve">  - Hepatic hilum</w:t>
            </w:r>
            <w:r w:rsidRPr="00CB2EC4">
              <w:rPr>
                <w:rFonts w:ascii="Times New Roman" w:hAnsi="Times New Roman" w:cs="Times New Roman"/>
              </w:rPr>
              <w:br/>
              <w:t xml:space="preserve">  - Lesser omental bursa</w:t>
            </w:r>
            <w:r w:rsidRPr="00CB2EC4">
              <w:rPr>
                <w:rFonts w:ascii="Times New Roman" w:hAnsi="Times New Roman" w:cs="Times New Roman"/>
              </w:rPr>
              <w:br/>
              <w:t xml:space="preserve">  - Retroperitoneal space above the renal vessels</w:t>
            </w:r>
            <w:r w:rsidRPr="00CB2EC4">
              <w:rPr>
                <w:rFonts w:ascii="Times New Roman" w:hAnsi="Times New Roman" w:cs="Times New Roman"/>
              </w:rPr>
              <w:br/>
              <w:t xml:space="preserve">  - Small bowel mesentery</w:t>
            </w:r>
            <w:r w:rsidRPr="00CB2EC4">
              <w:rPr>
                <w:rFonts w:ascii="Times New Roman" w:hAnsi="Times New Roman" w:cs="Times New Roman"/>
              </w:rPr>
              <w:br/>
            </w:r>
            <w:r w:rsidRPr="00CB2EC4">
              <w:rPr>
                <w:rFonts w:ascii="Times New Roman" w:hAnsi="Times New Roman" w:cs="Times New Roman"/>
              </w:rPr>
              <w:br/>
              <w:t xml:space="preserve">(Source: Document fragment similarity 0.672, range 696-698: "After suboptimal tumor cytoreductive surgery, the residual lesions (diameter &gt; 2 cm) are mainly located in unresectable lesions in the upper abdomen. These sites include the splenic pedicle, stomach, transverse colon, hepatic hilum, lesser omental bursa, retroperitoneal space above the renal </w:t>
            </w:r>
            <w:r w:rsidRPr="00CB2EC4">
              <w:rPr>
                <w:rFonts w:ascii="Times New Roman" w:hAnsi="Times New Roman" w:cs="Times New Roman"/>
              </w:rPr>
              <w:lastRenderedPageBreak/>
              <w:t>vessels, and small bowel mesentery.")</w:t>
            </w:r>
          </w:p>
        </w:tc>
        <w:tc>
          <w:tcPr>
            <w:tcW w:w="1152" w:type="dxa"/>
            <w:vAlign w:val="center"/>
          </w:tcPr>
          <w:p w14:paraId="3505DB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CB97D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1F2E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895A41" w14:textId="77777777">
        <w:tc>
          <w:tcPr>
            <w:tcW w:w="2160" w:type="dxa"/>
            <w:vAlign w:val="center"/>
          </w:tcPr>
          <w:p w14:paraId="13B10BC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0A1D612E" w14:textId="77777777" w:rsidR="00922249" w:rsidRPr="00CB2EC4" w:rsidRDefault="003011D5">
            <w:pPr>
              <w:rPr>
                <w:rFonts w:ascii="Times New Roman" w:hAnsi="Times New Roman" w:cs="Times New Roman"/>
              </w:rPr>
            </w:pPr>
            <w:r w:rsidRPr="00CB2EC4">
              <w:rPr>
                <w:rFonts w:ascii="Times New Roman" w:hAnsi="Times New Roman" w:cs="Times New Roman"/>
              </w:rPr>
              <w:t>primary reasons for suboptimal cytoreduction failure: according to document fragment 1 (block ID 698), the main cause of suboptimal cytoreduction (residual tumor diameter &gt;2 cm) is the presence of unresectable lesions in the upper abdomen, particularly when intraoperative exploration reveals tumors densely adherent to vital organs or located deep anatomically, making complete resection unfeasible.</w:t>
            </w:r>
            <w:r w:rsidRPr="00CB2EC4">
              <w:rPr>
                <w:rFonts w:ascii="Times New Roman" w:hAnsi="Times New Roman" w:cs="Times New Roman"/>
              </w:rPr>
              <w:br/>
              <w:t>- specific anatomical sites in the upper abdomen: document fragment 1 explicitly lists the following upper abdominal regions as critical sites for surgical failure:</w:t>
            </w:r>
            <w:r w:rsidRPr="00CB2EC4">
              <w:rPr>
                <w:rFonts w:ascii="Times New Roman" w:hAnsi="Times New Roman" w:cs="Times New Roman"/>
              </w:rPr>
              <w:br/>
              <w:t xml:space="preserve">  - splenic pedicle</w:t>
            </w:r>
            <w:r w:rsidRPr="00CB2EC4">
              <w:rPr>
                <w:rFonts w:ascii="Times New Roman" w:hAnsi="Times New Roman" w:cs="Times New Roman"/>
              </w:rPr>
              <w:br/>
              <w:t xml:space="preserve">  - stomach</w:t>
            </w:r>
            <w:r w:rsidRPr="00CB2EC4">
              <w:rPr>
                <w:rFonts w:ascii="Times New Roman" w:hAnsi="Times New Roman" w:cs="Times New Roman"/>
              </w:rPr>
              <w:br/>
              <w:t xml:space="preserve">  - transverse colon</w:t>
            </w:r>
            <w:r w:rsidRPr="00CB2EC4">
              <w:rPr>
                <w:rFonts w:ascii="Times New Roman" w:hAnsi="Times New Roman" w:cs="Times New Roman"/>
              </w:rPr>
              <w:br/>
              <w:t xml:space="preserve">  - hepatic hilum</w:t>
            </w:r>
            <w:r w:rsidRPr="00CB2EC4">
              <w:rPr>
                <w:rFonts w:ascii="Times New Roman" w:hAnsi="Times New Roman" w:cs="Times New Roman"/>
              </w:rPr>
              <w:br/>
              <w:t xml:space="preserve">  - lesser omental bursa</w:t>
            </w:r>
            <w:r w:rsidRPr="00CB2EC4">
              <w:rPr>
                <w:rFonts w:ascii="Times New Roman" w:hAnsi="Times New Roman" w:cs="Times New Roman"/>
              </w:rPr>
              <w:br/>
              <w:t xml:space="preserve">  - retroperitoneal space above the renal vessels</w:t>
            </w:r>
            <w:r w:rsidRPr="00CB2EC4">
              <w:rPr>
                <w:rFonts w:ascii="Times New Roman" w:hAnsi="Times New Roman" w:cs="Times New Roman"/>
              </w:rPr>
              <w:br/>
              <w:t xml:space="preserve">  - small bowel mesentery  </w:t>
            </w:r>
            <w:r w:rsidRPr="00CB2EC4">
              <w:rPr>
                <w:rFonts w:ascii="Times New Roman" w:hAnsi="Times New Roman" w:cs="Times New Roman"/>
              </w:rPr>
              <w:br/>
              <w:t xml:space="preserve">  basis: these locations, due to their deep anatomical position and involvement with multiple organs and vessels, frequently result in incomplete tumor resection.</w:t>
            </w:r>
          </w:p>
        </w:tc>
        <w:tc>
          <w:tcPr>
            <w:tcW w:w="1152" w:type="dxa"/>
            <w:vAlign w:val="center"/>
          </w:tcPr>
          <w:p w14:paraId="2425E8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D5BC2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40EB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37798B8" w14:textId="77777777">
        <w:tc>
          <w:tcPr>
            <w:tcW w:w="2160" w:type="dxa"/>
            <w:vAlign w:val="center"/>
          </w:tcPr>
          <w:p w14:paraId="555866D3"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B6D861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Heintz et al., approximately 50% of tumor cytoreductive surgeries are suboptimally performed.  </w:t>
            </w:r>
            <w:r w:rsidRPr="00CB2EC4">
              <w:rPr>
                <w:rFonts w:ascii="Times New Roman" w:hAnsi="Times New Roman" w:cs="Times New Roman"/>
              </w:rPr>
              <w:br/>
            </w:r>
            <w:r w:rsidRPr="00CB2EC4">
              <w:rPr>
                <w:rFonts w:ascii="Times New Roman" w:hAnsi="Times New Roman" w:cs="Times New Roman"/>
              </w:rPr>
              <w:br/>
              <w:t xml:space="preserve">Main reasons for surgical failure:  </w:t>
            </w:r>
            <w:r w:rsidRPr="00CB2EC4">
              <w:rPr>
                <w:rFonts w:ascii="Times New Roman" w:hAnsi="Times New Roman" w:cs="Times New Roman"/>
              </w:rPr>
              <w:br/>
              <w:t xml:space="preserve">  According to Document Fragment 7, the main reasons for surgical failure include:  </w:t>
            </w:r>
            <w:r w:rsidRPr="00CB2EC4">
              <w:rPr>
                <w:rFonts w:ascii="Times New Roman" w:hAnsi="Times New Roman" w:cs="Times New Roman"/>
              </w:rPr>
              <w:br/>
              <w:t xml:space="preserve">  1. Technically unresectable disease (even when performed by a gynecologic oncologist or general </w:t>
            </w:r>
            <w:r w:rsidRPr="00CB2EC4">
              <w:rPr>
                <w:rFonts w:ascii="Times New Roman" w:hAnsi="Times New Roman" w:cs="Times New Roman"/>
              </w:rPr>
              <w:lastRenderedPageBreak/>
              <w:t xml:space="preserve">surgeon), resulting in residual tumor diameter greater than 2 cm.  </w:t>
            </w:r>
            <w:r w:rsidRPr="00CB2EC4">
              <w:rPr>
                <w:rFonts w:ascii="Times New Roman" w:hAnsi="Times New Roman" w:cs="Times New Roman"/>
              </w:rPr>
              <w:br/>
              <w:t xml:space="preserve">  2. Some surgeons (e.g., general gynecologists or general surgeons) are unfamiliar with the operative technique and cannot perform optimal cytoreduction.  </w:t>
            </w:r>
            <w:r w:rsidRPr="00CB2EC4">
              <w:rPr>
                <w:rFonts w:ascii="Times New Roman" w:hAnsi="Times New Roman" w:cs="Times New Roman"/>
              </w:rPr>
              <w:br/>
              <w:t xml:space="preserve">  3. Inadequate preoperative preparation, such as the need for bowel resection without proper bowel preparation, uncorrected fluid and electrolyte imbalance, or severe malnutrition.  </w:t>
            </w:r>
            <w:r w:rsidRPr="00CB2EC4">
              <w:rPr>
                <w:rFonts w:ascii="Times New Roman" w:hAnsi="Times New Roman" w:cs="Times New Roman"/>
              </w:rPr>
              <w:br/>
              <w:t xml:space="preserve">  4. Patient inability to tolerate prolonged surgery (e.g., due to age, comorbidities, etc.).  </w:t>
            </w:r>
            <w:r w:rsidRPr="00CB2EC4">
              <w:rPr>
                <w:rFonts w:ascii="Times New Roman" w:hAnsi="Times New Roman" w:cs="Times New Roman"/>
              </w:rPr>
              <w:br/>
            </w:r>
            <w:r w:rsidRPr="00CB2EC4">
              <w:rPr>
                <w:rFonts w:ascii="Times New Roman" w:hAnsi="Times New Roman" w:cs="Times New Roman"/>
              </w:rPr>
              <w:br/>
              <w:t xml:space="preserve">- Specific anatomical sites in the upper abdomen:  </w:t>
            </w:r>
            <w:r w:rsidRPr="00CB2EC4">
              <w:rPr>
                <w:rFonts w:ascii="Times New Roman" w:hAnsi="Times New Roman" w:cs="Times New Roman"/>
              </w:rPr>
              <w:br/>
              <w:t xml:space="preserve">  According to Document Fragment 1, after suboptimal cytoreduction, residual lesions (diameter &gt; 2 cm) are primarily located in unresectable upper abdominal sites, including: splenic hilum, stomach, transverse colon, liver hilum, lesser omental sac, retroperitoneal space above the renal vessels, and small bowel mesentery.  </w:t>
            </w:r>
            <w:r w:rsidRPr="00CB2EC4">
              <w:rPr>
                <w:rFonts w:ascii="Times New Roman" w:hAnsi="Times New Roman" w:cs="Times New Roman"/>
              </w:rPr>
              <w:br/>
              <w:t xml:space="preserve">  (Source: Fragment 1 and Fragment 7)</w:t>
            </w:r>
          </w:p>
        </w:tc>
        <w:tc>
          <w:tcPr>
            <w:tcW w:w="1152" w:type="dxa"/>
            <w:vAlign w:val="center"/>
          </w:tcPr>
          <w:p w14:paraId="73BF02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C01A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1BFBB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AA8DC4" w14:textId="77777777">
        <w:tc>
          <w:tcPr>
            <w:tcW w:w="2160" w:type="dxa"/>
            <w:vAlign w:val="center"/>
          </w:tcPr>
          <w:p w14:paraId="4E2AC820"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A4C4213" w14:textId="77777777" w:rsidR="00922249" w:rsidRPr="00CB2EC4" w:rsidRDefault="003011D5">
            <w:pPr>
              <w:rPr>
                <w:rFonts w:ascii="Times New Roman" w:hAnsi="Times New Roman" w:cs="Times New Roman"/>
              </w:rPr>
            </w:pPr>
            <w:r w:rsidRPr="00CB2EC4">
              <w:rPr>
                <w:rFonts w:ascii="Times New Roman" w:hAnsi="Times New Roman" w:cs="Times New Roman"/>
              </w:rPr>
              <w:t>primary reasons for suboptimal cytoreduction and unresectable upper abdominal sites</w:t>
            </w:r>
            <w:r w:rsidRPr="00CB2EC4">
              <w:rPr>
                <w:rFonts w:ascii="Times New Roman" w:hAnsi="Times New Roman" w:cs="Times New Roman"/>
              </w:rPr>
              <w:br/>
            </w:r>
            <w:r w:rsidRPr="00CB2EC4">
              <w:rPr>
                <w:rFonts w:ascii="Times New Roman" w:hAnsi="Times New Roman" w:cs="Times New Roman"/>
              </w:rPr>
              <w:br/>
              <w:t>- Cause of failure: In approximately 50% of cases, suboptimal cytoreduction is due to the presence of unresectable lesions in the upper abdomen (as reported by Heintz et al.).</w:t>
            </w:r>
            <w:r w:rsidRPr="00CB2EC4">
              <w:rPr>
                <w:rFonts w:ascii="Times New Roman" w:hAnsi="Times New Roman" w:cs="Times New Roman"/>
              </w:rPr>
              <w:br/>
              <w:t>- Specific anatomical sites (located in the upper abdomen):</w:t>
            </w:r>
            <w:r w:rsidRPr="00CB2EC4">
              <w:rPr>
                <w:rFonts w:ascii="Times New Roman" w:hAnsi="Times New Roman" w:cs="Times New Roman"/>
              </w:rPr>
              <w:br/>
              <w:t xml:space="preserve">  1. Splenic pedicle</w:t>
            </w:r>
            <w:r w:rsidRPr="00CB2EC4">
              <w:rPr>
                <w:rFonts w:ascii="Times New Roman" w:hAnsi="Times New Roman" w:cs="Times New Roman"/>
              </w:rPr>
              <w:br/>
              <w:t xml:space="preserve">  2. Stomach</w:t>
            </w:r>
            <w:r w:rsidRPr="00CB2EC4">
              <w:rPr>
                <w:rFonts w:ascii="Times New Roman" w:hAnsi="Times New Roman" w:cs="Times New Roman"/>
              </w:rPr>
              <w:br/>
              <w:t xml:space="preserve">  3. Transverse colon</w:t>
            </w:r>
            <w:r w:rsidRPr="00CB2EC4">
              <w:rPr>
                <w:rFonts w:ascii="Times New Roman" w:hAnsi="Times New Roman" w:cs="Times New Roman"/>
              </w:rPr>
              <w:br/>
              <w:t xml:space="preserve">  4. Hepatic hilum</w:t>
            </w:r>
            <w:r w:rsidRPr="00CB2EC4">
              <w:rPr>
                <w:rFonts w:ascii="Times New Roman" w:hAnsi="Times New Roman" w:cs="Times New Roman"/>
              </w:rPr>
              <w:br/>
            </w:r>
            <w:r w:rsidRPr="00CB2EC4">
              <w:rPr>
                <w:rFonts w:ascii="Times New Roman" w:hAnsi="Times New Roman" w:cs="Times New Roman"/>
              </w:rPr>
              <w:lastRenderedPageBreak/>
              <w:t xml:space="preserve">  5. Lesser omentum bursa</w:t>
            </w:r>
            <w:r w:rsidRPr="00CB2EC4">
              <w:rPr>
                <w:rFonts w:ascii="Times New Roman" w:hAnsi="Times New Roman" w:cs="Times New Roman"/>
              </w:rPr>
              <w:br/>
              <w:t xml:space="preserve">  6. Retroperitoneal space above the renal vessels</w:t>
            </w:r>
            <w:r w:rsidRPr="00CB2EC4">
              <w:rPr>
                <w:rFonts w:ascii="Times New Roman" w:hAnsi="Times New Roman" w:cs="Times New Roman"/>
              </w:rPr>
              <w:br/>
              <w:t xml:space="preserve">  7. Small bowel mesentery</w:t>
            </w:r>
            <w:r w:rsidRPr="00CB2EC4">
              <w:rPr>
                <w:rFonts w:ascii="Times New Roman" w:hAnsi="Times New Roman" w:cs="Times New Roman"/>
              </w:rPr>
              <w:br/>
              <w:t xml:space="preserve">  &gt; *Note: These sites are often unresectable due to dense vascular and neural structures, difficult exposure, or extensive tumor infiltration.*</w:t>
            </w:r>
          </w:p>
        </w:tc>
        <w:tc>
          <w:tcPr>
            <w:tcW w:w="1152" w:type="dxa"/>
            <w:vAlign w:val="center"/>
          </w:tcPr>
          <w:p w14:paraId="3A8FB3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5E85A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DF518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CA22CDD" w14:textId="77777777">
        <w:tc>
          <w:tcPr>
            <w:tcW w:w="2160" w:type="dxa"/>
            <w:vAlign w:val="center"/>
          </w:tcPr>
          <w:p w14:paraId="600D5664"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AB83163"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Heintz et al., approximately 50% of tumor cytoreductive surgeries are suboptimal (residual tumor diameter &gt; 2 cm). The main reason for surgical failure is the inability to completely resect lesions located in the upper abdomen; tumors in these anatomical sites are difficult to optimally cytoreduce (residual tumor diameter ≤ 2 cm) due to complex anatomical positions, severe adhesions, or involvement of vital organs.</w:t>
            </w:r>
            <w:r w:rsidRPr="00CB2EC4">
              <w:rPr>
                <w:rFonts w:ascii="Times New Roman" w:hAnsi="Times New Roman" w:cs="Times New Roman"/>
              </w:rPr>
              <w:br/>
            </w:r>
            <w:r w:rsidRPr="00CB2EC4">
              <w:rPr>
                <w:rFonts w:ascii="Times New Roman" w:hAnsi="Times New Roman" w:cs="Times New Roman"/>
              </w:rPr>
              <w:br/>
              <w:t>Specific anatomical locations in the upper abdomen include:</w:t>
            </w:r>
            <w:r w:rsidRPr="00CB2EC4">
              <w:rPr>
                <w:rFonts w:ascii="Times New Roman" w:hAnsi="Times New Roman" w:cs="Times New Roman"/>
              </w:rPr>
              <w:br/>
              <w:t>- Splenic pedicle</w:t>
            </w:r>
            <w:r w:rsidRPr="00CB2EC4">
              <w:rPr>
                <w:rFonts w:ascii="Times New Roman" w:hAnsi="Times New Roman" w:cs="Times New Roman"/>
              </w:rPr>
              <w:br/>
              <w:t>- Stomach</w:t>
            </w:r>
            <w:r w:rsidRPr="00CB2EC4">
              <w:rPr>
                <w:rFonts w:ascii="Times New Roman" w:hAnsi="Times New Roman" w:cs="Times New Roman"/>
              </w:rPr>
              <w:br/>
              <w:t>- Transverse colon</w:t>
            </w:r>
            <w:r w:rsidRPr="00CB2EC4">
              <w:rPr>
                <w:rFonts w:ascii="Times New Roman" w:hAnsi="Times New Roman" w:cs="Times New Roman"/>
              </w:rPr>
              <w:br/>
              <w:t>- Hepatic hilum</w:t>
            </w:r>
            <w:r w:rsidRPr="00CB2EC4">
              <w:rPr>
                <w:rFonts w:ascii="Times New Roman" w:hAnsi="Times New Roman" w:cs="Times New Roman"/>
              </w:rPr>
              <w:br/>
              <w:t>- Lesser omentum bursa</w:t>
            </w:r>
            <w:r w:rsidRPr="00CB2EC4">
              <w:rPr>
                <w:rFonts w:ascii="Times New Roman" w:hAnsi="Times New Roman" w:cs="Times New Roman"/>
              </w:rPr>
              <w:br/>
              <w:t>- Retroperitoneal space above the renal vessels</w:t>
            </w:r>
            <w:r w:rsidRPr="00CB2EC4">
              <w:rPr>
                <w:rFonts w:ascii="Times New Roman" w:hAnsi="Times New Roman" w:cs="Times New Roman"/>
              </w:rPr>
              <w:br/>
              <w:t>- Small bowel mesentery</w:t>
            </w:r>
            <w:r w:rsidRPr="00CB2EC4">
              <w:rPr>
                <w:rFonts w:ascii="Times New Roman" w:hAnsi="Times New Roman" w:cs="Times New Roman"/>
              </w:rPr>
              <w:br/>
            </w:r>
            <w:r w:rsidRPr="00CB2EC4">
              <w:rPr>
                <w:rFonts w:ascii="Times New Roman" w:hAnsi="Times New Roman" w:cs="Times New Roman"/>
              </w:rPr>
              <w:br/>
              <w:t>(Source: Document Fragment 1)</w:t>
            </w:r>
          </w:p>
        </w:tc>
        <w:tc>
          <w:tcPr>
            <w:tcW w:w="1152" w:type="dxa"/>
            <w:vAlign w:val="center"/>
          </w:tcPr>
          <w:p w14:paraId="074B94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9A72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53A678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337A2D" w14:textId="77777777">
        <w:tc>
          <w:tcPr>
            <w:tcW w:w="2160" w:type="dxa"/>
            <w:vAlign w:val="center"/>
          </w:tcPr>
          <w:p w14:paraId="149FE21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4B0807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the report by Heintz et al., approximately 50% of tumor cytoreductive surgeries are suboptimal cytoreductions. The primary reason for these suboptimal outcomes is the presence of residual lesions larger than 2 cm in diameter in the upper abdomen that cannot be completely resected. The </w:t>
            </w:r>
            <w:r w:rsidRPr="00CB2EC4">
              <w:rPr>
                <w:rFonts w:ascii="Times New Roman" w:hAnsi="Times New Roman" w:cs="Times New Roman"/>
              </w:rPr>
              <w:lastRenderedPageBreak/>
              <w:t>specific anatomical sites involved are:</w:t>
            </w:r>
            <w:r w:rsidRPr="00CB2EC4">
              <w:rPr>
                <w:rFonts w:ascii="Times New Roman" w:hAnsi="Times New Roman" w:cs="Times New Roman"/>
              </w:rPr>
              <w:br/>
              <w:t>- Splenic pedicle</w:t>
            </w:r>
            <w:r w:rsidRPr="00CB2EC4">
              <w:rPr>
                <w:rFonts w:ascii="Times New Roman" w:hAnsi="Times New Roman" w:cs="Times New Roman"/>
              </w:rPr>
              <w:br/>
              <w:t>- Stomach</w:t>
            </w:r>
            <w:r w:rsidRPr="00CB2EC4">
              <w:rPr>
                <w:rFonts w:ascii="Times New Roman" w:hAnsi="Times New Roman" w:cs="Times New Roman"/>
              </w:rPr>
              <w:br/>
              <w:t>- Transverse colon</w:t>
            </w:r>
            <w:r w:rsidRPr="00CB2EC4">
              <w:rPr>
                <w:rFonts w:ascii="Times New Roman" w:hAnsi="Times New Roman" w:cs="Times New Roman"/>
              </w:rPr>
              <w:br/>
              <w:t>- Hepatic hilum</w:t>
            </w:r>
            <w:r w:rsidRPr="00CB2EC4">
              <w:rPr>
                <w:rFonts w:ascii="Times New Roman" w:hAnsi="Times New Roman" w:cs="Times New Roman"/>
              </w:rPr>
              <w:br/>
              <w:t>- Lesser omental bursa</w:t>
            </w:r>
            <w:r w:rsidRPr="00CB2EC4">
              <w:rPr>
                <w:rFonts w:ascii="Times New Roman" w:hAnsi="Times New Roman" w:cs="Times New Roman"/>
              </w:rPr>
              <w:br/>
              <w:t>- Retroperitoneal space above the renal vessels</w:t>
            </w:r>
            <w:r w:rsidRPr="00CB2EC4">
              <w:rPr>
                <w:rFonts w:ascii="Times New Roman" w:hAnsi="Times New Roman" w:cs="Times New Roman"/>
              </w:rPr>
              <w:br/>
              <w:t>- Small bowel mesentery</w:t>
            </w:r>
            <w:r w:rsidRPr="00CB2EC4">
              <w:rPr>
                <w:rFonts w:ascii="Times New Roman" w:hAnsi="Times New Roman" w:cs="Times New Roman"/>
              </w:rPr>
              <w:br/>
              <w:t>These locations are difficult to fully resect due to their deep position and complex anatomical structures (e.g., involvement of major vessels and organs), preventing the surgery from achieving optimal cytoreduction (residual tumor diameter ≤ 2 cm).</w:t>
            </w:r>
          </w:p>
        </w:tc>
        <w:tc>
          <w:tcPr>
            <w:tcW w:w="1152" w:type="dxa"/>
            <w:vAlign w:val="center"/>
          </w:tcPr>
          <w:p w14:paraId="123D2A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F8E7F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8B8BC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AC824C" w14:textId="77777777">
        <w:tc>
          <w:tcPr>
            <w:tcW w:w="2160" w:type="dxa"/>
            <w:vAlign w:val="center"/>
          </w:tcPr>
          <w:p w14:paraId="1BE2FA2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DA3498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Heintz et al., approximately 50% of cytoreductive surgeries are suboptimal (residual tumor diameter greater than 2 cm). The main reason for surgical failure is lesions located in the upper abdomen that cannot be resected. These lesions are typically densely adherent or deeply situated, making complete cytoreduction difficult. The specific anatomical sites include:  </w:t>
            </w:r>
            <w:r w:rsidRPr="00CB2EC4">
              <w:rPr>
                <w:rFonts w:ascii="Times New Roman" w:hAnsi="Times New Roman" w:cs="Times New Roman"/>
              </w:rPr>
              <w:br/>
              <w:t xml:space="preserve">- Splenic pedicle  </w:t>
            </w:r>
            <w:r w:rsidRPr="00CB2EC4">
              <w:rPr>
                <w:rFonts w:ascii="Times New Roman" w:hAnsi="Times New Roman" w:cs="Times New Roman"/>
              </w:rPr>
              <w:br/>
              <w:t xml:space="preserve">- Stomach  </w:t>
            </w:r>
            <w:r w:rsidRPr="00CB2EC4">
              <w:rPr>
                <w:rFonts w:ascii="Times New Roman" w:hAnsi="Times New Roman" w:cs="Times New Roman"/>
              </w:rPr>
              <w:br/>
              <w:t xml:space="preserve">- Transverse colon  </w:t>
            </w:r>
            <w:r w:rsidRPr="00CB2EC4">
              <w:rPr>
                <w:rFonts w:ascii="Times New Roman" w:hAnsi="Times New Roman" w:cs="Times New Roman"/>
              </w:rPr>
              <w:br/>
              <w:t xml:space="preserve">- Hepatic hilum  </w:t>
            </w:r>
            <w:r w:rsidRPr="00CB2EC4">
              <w:rPr>
                <w:rFonts w:ascii="Times New Roman" w:hAnsi="Times New Roman" w:cs="Times New Roman"/>
              </w:rPr>
              <w:br/>
              <w:t xml:space="preserve">- Lesser omental bursa  </w:t>
            </w:r>
            <w:r w:rsidRPr="00CB2EC4">
              <w:rPr>
                <w:rFonts w:ascii="Times New Roman" w:hAnsi="Times New Roman" w:cs="Times New Roman"/>
              </w:rPr>
              <w:br/>
              <w:t xml:space="preserve">- Retroperitoneal space above the renal vessels  </w:t>
            </w:r>
            <w:r w:rsidRPr="00CB2EC4">
              <w:rPr>
                <w:rFonts w:ascii="Times New Roman" w:hAnsi="Times New Roman" w:cs="Times New Roman"/>
              </w:rPr>
              <w:br/>
              <w:t>- Small bowel mesentery</w:t>
            </w:r>
          </w:p>
        </w:tc>
        <w:tc>
          <w:tcPr>
            <w:tcW w:w="1152" w:type="dxa"/>
            <w:vAlign w:val="center"/>
          </w:tcPr>
          <w:p w14:paraId="2C49F74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A009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A7C1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08A41C" w14:textId="77777777">
        <w:tc>
          <w:tcPr>
            <w:tcW w:w="2160" w:type="dxa"/>
            <w:vAlign w:val="center"/>
          </w:tcPr>
          <w:p w14:paraId="1D0F683E"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31EC2B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Heintz et al., approximately 50% of tumor cytoreductive surgeries are suboptimally cytoreduced. The main reasons for surgical failure are as follows: please list the specific anatomical sites in the upper abdomen that lead to the inability to achieve </w:t>
            </w:r>
            <w:r w:rsidRPr="00CB2EC4">
              <w:rPr>
                <w:rFonts w:ascii="Times New Roman" w:hAnsi="Times New Roman" w:cs="Times New Roman"/>
              </w:rPr>
              <w:lastRenderedPageBreak/>
              <w:t>optimal cytoreduction.</w:t>
            </w:r>
            <w:r w:rsidRPr="00CB2EC4">
              <w:rPr>
                <w:rFonts w:ascii="Times New Roman" w:hAnsi="Times New Roman" w:cs="Times New Roman"/>
              </w:rPr>
              <w:br/>
            </w:r>
            <w:r w:rsidRPr="00CB2EC4">
              <w:rPr>
                <w:rFonts w:ascii="Times New Roman" w:hAnsi="Times New Roman" w:cs="Times New Roman"/>
              </w:rPr>
              <w:br/>
              <w:t>Main reasons for surgical failure: according to Document Fragment 1, the primary cause of suboptimal cytoreduction (residual tumor diameter &gt; 2 cm) is the presence of unresectable lesions in the upper abdomen. These lesions are deeply situated, densely adherent, or involve critical organs, preventing complete tumor resection.</w:t>
            </w:r>
            <w:r w:rsidRPr="00CB2EC4">
              <w:rPr>
                <w:rFonts w:ascii="Times New Roman" w:hAnsi="Times New Roman" w:cs="Times New Roman"/>
              </w:rPr>
              <w:br/>
            </w:r>
            <w:r w:rsidRPr="00CB2EC4">
              <w:rPr>
                <w:rFonts w:ascii="Times New Roman" w:hAnsi="Times New Roman" w:cs="Times New Roman"/>
              </w:rPr>
              <w:br/>
              <w:t>- Specific anatomical sites in the upper abdomen: Document Fragment 1 explicitly states that these unresectable lesions are mainly located in the following upper abdominal anatomical regions:</w:t>
            </w:r>
            <w:r w:rsidRPr="00CB2EC4">
              <w:rPr>
                <w:rFonts w:ascii="Times New Roman" w:hAnsi="Times New Roman" w:cs="Times New Roman"/>
              </w:rPr>
              <w:br/>
              <w:t xml:space="preserve">  - splenic pedicle</w:t>
            </w:r>
            <w:r w:rsidRPr="00CB2EC4">
              <w:rPr>
                <w:rFonts w:ascii="Times New Roman" w:hAnsi="Times New Roman" w:cs="Times New Roman"/>
              </w:rPr>
              <w:br/>
              <w:t xml:space="preserve">  - stomach</w:t>
            </w:r>
            <w:r w:rsidRPr="00CB2EC4">
              <w:rPr>
                <w:rFonts w:ascii="Times New Roman" w:hAnsi="Times New Roman" w:cs="Times New Roman"/>
              </w:rPr>
              <w:br/>
              <w:t xml:space="preserve">  - transverse colon</w:t>
            </w:r>
            <w:r w:rsidRPr="00CB2EC4">
              <w:rPr>
                <w:rFonts w:ascii="Times New Roman" w:hAnsi="Times New Roman" w:cs="Times New Roman"/>
              </w:rPr>
              <w:br/>
              <w:t xml:space="preserve">  - hepatic hilum</w:t>
            </w:r>
            <w:r w:rsidRPr="00CB2EC4">
              <w:rPr>
                <w:rFonts w:ascii="Times New Roman" w:hAnsi="Times New Roman" w:cs="Times New Roman"/>
              </w:rPr>
              <w:br/>
              <w:t xml:space="preserve">  - lesser omental bursa</w:t>
            </w:r>
            <w:r w:rsidRPr="00CB2EC4">
              <w:rPr>
                <w:rFonts w:ascii="Times New Roman" w:hAnsi="Times New Roman" w:cs="Times New Roman"/>
              </w:rPr>
              <w:br/>
              <w:t xml:space="preserve">  - retroperitoneal space above the renal vessels</w:t>
            </w:r>
            <w:r w:rsidRPr="00CB2EC4">
              <w:rPr>
                <w:rFonts w:ascii="Times New Roman" w:hAnsi="Times New Roman" w:cs="Times New Roman"/>
              </w:rPr>
              <w:br/>
              <w:t xml:space="preserve">  - small bowel mesentery</w:t>
            </w:r>
          </w:p>
        </w:tc>
        <w:tc>
          <w:tcPr>
            <w:tcW w:w="1152" w:type="dxa"/>
            <w:vAlign w:val="center"/>
          </w:tcPr>
          <w:p w14:paraId="7E2045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711CF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15F10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CE6454" w14:textId="77777777">
        <w:tc>
          <w:tcPr>
            <w:tcW w:w="2160" w:type="dxa"/>
            <w:vAlign w:val="center"/>
          </w:tcPr>
          <w:p w14:paraId="218CCD6B"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1B1567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Heintz et al., approximately 50% of tumor cytoreductive surgeries are suboptimal cytoreductions. The main reason for the failure of these surgeries is the presence of unresectable lesions in the upper abdomen, particularly where tumors are densely adherent to or invade critical anatomical structures, preventing residual tumor diameter from being reduced to ≤2 cm.  </w:t>
            </w:r>
            <w:r w:rsidRPr="00CB2EC4">
              <w:rPr>
                <w:rFonts w:ascii="Times New Roman" w:hAnsi="Times New Roman" w:cs="Times New Roman"/>
              </w:rPr>
              <w:br/>
            </w:r>
            <w:r w:rsidRPr="00CB2EC4">
              <w:rPr>
                <w:rFonts w:ascii="Times New Roman" w:hAnsi="Times New Roman" w:cs="Times New Roman"/>
              </w:rPr>
              <w:br/>
              <w:t xml:space="preserve">- Failure reason: The primary cause of suboptimal cytoreduction is unresectable lesions located in the upper abdomen, especially when tumors are tightly adhered to or invade vital organs, making it </w:t>
            </w:r>
            <w:r w:rsidRPr="00CB2EC4">
              <w:rPr>
                <w:rFonts w:ascii="Times New Roman" w:hAnsi="Times New Roman" w:cs="Times New Roman"/>
              </w:rPr>
              <w:lastRenderedPageBreak/>
              <w:t xml:space="preserve">impossible to achieve a residual tumor diameter of ≤2 cm.  </w:t>
            </w:r>
            <w:r w:rsidRPr="00CB2EC4">
              <w:rPr>
                <w:rFonts w:ascii="Times New Roman" w:hAnsi="Times New Roman" w:cs="Times New Roman"/>
              </w:rPr>
              <w:br/>
              <w:t xml:space="preserve">- Specific anatomical sites in the upper abdomen (as explicitly listed in the document):  </w:t>
            </w:r>
            <w:r w:rsidRPr="00CB2EC4">
              <w:rPr>
                <w:rFonts w:ascii="Times New Roman" w:hAnsi="Times New Roman" w:cs="Times New Roman"/>
              </w:rPr>
              <w:br/>
              <w:t xml:space="preserve">  - Splenic pedicle  </w:t>
            </w:r>
            <w:r w:rsidRPr="00CB2EC4">
              <w:rPr>
                <w:rFonts w:ascii="Times New Roman" w:hAnsi="Times New Roman" w:cs="Times New Roman"/>
              </w:rPr>
              <w:br/>
              <w:t xml:space="preserve">  - Stomach  </w:t>
            </w:r>
            <w:r w:rsidRPr="00CB2EC4">
              <w:rPr>
                <w:rFonts w:ascii="Times New Roman" w:hAnsi="Times New Roman" w:cs="Times New Roman"/>
              </w:rPr>
              <w:br/>
              <w:t xml:space="preserve">  - Transverse colon  </w:t>
            </w:r>
            <w:r w:rsidRPr="00CB2EC4">
              <w:rPr>
                <w:rFonts w:ascii="Times New Roman" w:hAnsi="Times New Roman" w:cs="Times New Roman"/>
              </w:rPr>
              <w:br/>
              <w:t xml:space="preserve">  - Hepatic hilum  </w:t>
            </w:r>
            <w:r w:rsidRPr="00CB2EC4">
              <w:rPr>
                <w:rFonts w:ascii="Times New Roman" w:hAnsi="Times New Roman" w:cs="Times New Roman"/>
              </w:rPr>
              <w:br/>
              <w:t xml:space="preserve">  - Lesser omental bursa  </w:t>
            </w:r>
            <w:r w:rsidRPr="00CB2EC4">
              <w:rPr>
                <w:rFonts w:ascii="Times New Roman" w:hAnsi="Times New Roman" w:cs="Times New Roman"/>
              </w:rPr>
              <w:br/>
              <w:t xml:space="preserve">  - Retroperitoneal space above the renal vessels  </w:t>
            </w:r>
            <w:r w:rsidRPr="00CB2EC4">
              <w:rPr>
                <w:rFonts w:ascii="Times New Roman" w:hAnsi="Times New Roman" w:cs="Times New Roman"/>
              </w:rPr>
              <w:br/>
              <w:t xml:space="preserve">  - Small bowel mesentery  </w:t>
            </w:r>
            <w:r w:rsidRPr="00CB2EC4">
              <w:rPr>
                <w:rFonts w:ascii="Times New Roman" w:hAnsi="Times New Roman" w:cs="Times New Roman"/>
              </w:rPr>
              <w:br/>
            </w:r>
            <w:r w:rsidRPr="00CB2EC4">
              <w:rPr>
                <w:rFonts w:ascii="Times New Roman" w:hAnsi="Times New Roman" w:cs="Times New Roman"/>
              </w:rPr>
              <w:br/>
              <w:t>&gt; Basis: The first paragraph of the document states: "Residual lesions (diameter greater than 2 cm) after suboptimal tumor cytoreductive surgery are mainly unresectable lesions located in the upper abdomen. These sites include the splenic pedicle, stomach, transverse colon, hepatic hilum, lesser omental bursa, retroperitoneal space above the renal vessels, and the small bowel mesentery."</w:t>
            </w:r>
          </w:p>
        </w:tc>
        <w:tc>
          <w:tcPr>
            <w:tcW w:w="1152" w:type="dxa"/>
            <w:vAlign w:val="center"/>
          </w:tcPr>
          <w:p w14:paraId="7B4EEF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E53F8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66E48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98500FB" w14:textId="77777777">
        <w:tc>
          <w:tcPr>
            <w:tcW w:w="2160" w:type="dxa"/>
            <w:vAlign w:val="center"/>
          </w:tcPr>
          <w:p w14:paraId="4BEBA2F0"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9D6A269"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Heintz et al., approximately 50% of cytoreductive surgeries are suboptimally performed (residual tumor diameter &gt; 2 cm). The main reason for surgical failure is the presence of unresectable metastatic lesions in the upper abdomen. These lesions are typically located in specific anatomical sites within the upper abdomen that are technically difficult to completely resect due to deep location, severe adhesions, or involvement of vital organs.</w:t>
            </w:r>
            <w:r w:rsidRPr="00CB2EC4">
              <w:rPr>
                <w:rFonts w:ascii="Times New Roman" w:hAnsi="Times New Roman" w:cs="Times New Roman"/>
              </w:rPr>
              <w:br/>
            </w:r>
            <w:r w:rsidRPr="00CB2EC4">
              <w:rPr>
                <w:rFonts w:ascii="Times New Roman" w:hAnsi="Times New Roman" w:cs="Times New Roman"/>
              </w:rPr>
              <w:br/>
              <w:t>The specific anatomical locations in the upper abdomen that prevent optimal cytoreduction include:</w:t>
            </w:r>
            <w:r w:rsidRPr="00CB2EC4">
              <w:rPr>
                <w:rFonts w:ascii="Times New Roman" w:hAnsi="Times New Roman" w:cs="Times New Roman"/>
              </w:rPr>
              <w:br/>
              <w:t>- Splenic hilum</w:t>
            </w:r>
            <w:r w:rsidRPr="00CB2EC4">
              <w:rPr>
                <w:rFonts w:ascii="Times New Roman" w:hAnsi="Times New Roman" w:cs="Times New Roman"/>
              </w:rPr>
              <w:br/>
              <w:t>- Stomach</w:t>
            </w:r>
            <w:r w:rsidRPr="00CB2EC4">
              <w:rPr>
                <w:rFonts w:ascii="Times New Roman" w:hAnsi="Times New Roman" w:cs="Times New Roman"/>
              </w:rPr>
              <w:br/>
            </w:r>
            <w:r w:rsidRPr="00CB2EC4">
              <w:rPr>
                <w:rFonts w:ascii="Times New Roman" w:hAnsi="Times New Roman" w:cs="Times New Roman"/>
              </w:rPr>
              <w:lastRenderedPageBreak/>
              <w:t>- Transverse colon</w:t>
            </w:r>
            <w:r w:rsidRPr="00CB2EC4">
              <w:rPr>
                <w:rFonts w:ascii="Times New Roman" w:hAnsi="Times New Roman" w:cs="Times New Roman"/>
              </w:rPr>
              <w:br/>
              <w:t>- Hepatic hilum</w:t>
            </w:r>
            <w:r w:rsidRPr="00CB2EC4">
              <w:rPr>
                <w:rFonts w:ascii="Times New Roman" w:hAnsi="Times New Roman" w:cs="Times New Roman"/>
              </w:rPr>
              <w:br/>
              <w:t>- Lesser omental bursa</w:t>
            </w:r>
            <w:r w:rsidRPr="00CB2EC4">
              <w:rPr>
                <w:rFonts w:ascii="Times New Roman" w:hAnsi="Times New Roman" w:cs="Times New Roman"/>
              </w:rPr>
              <w:br/>
              <w:t>- Retroperitoneal space above the renal vessels</w:t>
            </w:r>
            <w:r w:rsidRPr="00CB2EC4">
              <w:rPr>
                <w:rFonts w:ascii="Times New Roman" w:hAnsi="Times New Roman" w:cs="Times New Roman"/>
              </w:rPr>
              <w:br/>
              <w:t>- Small bowel mesentery</w:t>
            </w:r>
            <w:r w:rsidRPr="00CB2EC4">
              <w:rPr>
                <w:rFonts w:ascii="Times New Roman" w:hAnsi="Times New Roman" w:cs="Times New Roman"/>
              </w:rPr>
              <w:br/>
            </w:r>
            <w:r w:rsidRPr="00CB2EC4">
              <w:rPr>
                <w:rFonts w:ascii="Times New Roman" w:hAnsi="Times New Roman" w:cs="Times New Roman"/>
              </w:rPr>
              <w:br/>
              <w:t>This information is directly derived from document fragment 1: "The residual lesions after suboptimal cytoreductive surgery (diameter &gt; 2 cm) are mainly unresectable lesions located in the upper abdomen. These sites include the splenic hilum, stomach, transverse colon, hepatic hilum, lesser omental bursa, retroperitoneal space above the renal vessels, and the small bowel mesentery."</w:t>
            </w:r>
          </w:p>
        </w:tc>
        <w:tc>
          <w:tcPr>
            <w:tcW w:w="1152" w:type="dxa"/>
            <w:vAlign w:val="center"/>
          </w:tcPr>
          <w:p w14:paraId="2A216C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F3C6E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7903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B1E1A01" w14:textId="77777777">
        <w:tc>
          <w:tcPr>
            <w:tcW w:w="2160" w:type="dxa"/>
            <w:vAlign w:val="center"/>
          </w:tcPr>
          <w:p w14:paraId="3E83603F"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1101A2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Heintz et al., approximately 50% of tumor cytoreductive surgeries are suboptimally cytoreduced. The main reason for surgical failure is the presence of residual lesions larger than 2 cm in diameter in the upper abdomen; these lesions are deeply located, severely adherent, or involve critical organs, preventing optimal cytoreduction (defined as residual tumor diameter ≤ 2 cm).  </w:t>
            </w:r>
            <w:r w:rsidRPr="00CB2EC4">
              <w:rPr>
                <w:rFonts w:ascii="Times New Roman" w:hAnsi="Times New Roman" w:cs="Times New Roman"/>
              </w:rPr>
              <w:br/>
              <w:t xml:space="preserve">- Specific anatomical sites in the upper abdomen: The residual lesions primarily occur in the following anatomical locations: splenic hilum, stomach, transverse colon, hepatic hilum, lesser omental sac, retroperitoneal space above the renal vessels, and small bowel mesentery.  </w:t>
            </w:r>
            <w:r w:rsidRPr="00CB2EC4">
              <w:rPr>
                <w:rFonts w:ascii="Times New Roman" w:hAnsi="Times New Roman" w:cs="Times New Roman"/>
              </w:rPr>
              <w:br/>
              <w:t xml:space="preserve">  (Source: Document excerpt [similarity: 0.672]: "After suboptimal tumor cytoreductive surgery, the residual lesions (larger than 2 cm in diameter) are primarily located in the upper abdomen and cannot be resected. These sites include the splenic hilum, stomach, transverse colon, hepatic hilum, lesser </w:t>
            </w:r>
            <w:r w:rsidRPr="00CB2EC4">
              <w:rPr>
                <w:rFonts w:ascii="Times New Roman" w:hAnsi="Times New Roman" w:cs="Times New Roman"/>
              </w:rPr>
              <w:lastRenderedPageBreak/>
              <w:t>omental sac, retroperitoneal space above the renal vessels, and small bowel mesentery.")</w:t>
            </w:r>
          </w:p>
        </w:tc>
        <w:tc>
          <w:tcPr>
            <w:tcW w:w="1152" w:type="dxa"/>
            <w:vAlign w:val="center"/>
          </w:tcPr>
          <w:p w14:paraId="71C8AF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0E01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4C24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EF88C4" w14:textId="77777777">
        <w:tc>
          <w:tcPr>
            <w:tcW w:w="2160" w:type="dxa"/>
            <w:vAlign w:val="center"/>
          </w:tcPr>
          <w:p w14:paraId="0CD858E1"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2D67246"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Heintz et al., approximately 50% of cytoreductive surgeries are suboptimal cytoreductions. What are the main reasons for the failure of these surgeries?</w:t>
            </w:r>
            <w:r w:rsidRPr="00CB2EC4">
              <w:rPr>
                <w:rFonts w:ascii="Times New Roman" w:hAnsi="Times New Roman" w:cs="Times New Roman"/>
              </w:rPr>
              <w:br/>
            </w:r>
            <w:r w:rsidRPr="00CB2EC4">
              <w:rPr>
                <w:rFonts w:ascii="Times New Roman" w:hAnsi="Times New Roman" w:cs="Times New Roman"/>
              </w:rPr>
              <w:br/>
              <w:t>Please list the specific anatomical sites in the upper abdomen that lead to the inability to achieve optimal cytoreduction.</w:t>
            </w:r>
            <w:r w:rsidRPr="00CB2EC4">
              <w:rPr>
                <w:rFonts w:ascii="Times New Roman" w:hAnsi="Times New Roman" w:cs="Times New Roman"/>
              </w:rPr>
              <w:br/>
              <w:t xml:space="preserve">   - Main reason for surgical failure: The primary cause of suboptimal cytoreduction is the presence of unresectable lesions in the upper abdomen. These lesions are typically large, deeply located, or densely adherent to vital organs, preventing the reduction of residual tumor diameter to ≤2 cm (the standard for optimal cytoreduction).</w:t>
            </w:r>
            <w:r w:rsidRPr="00CB2EC4">
              <w:rPr>
                <w:rFonts w:ascii="Times New Roman" w:hAnsi="Times New Roman" w:cs="Times New Roman"/>
              </w:rPr>
              <w:br/>
              <w:t xml:space="preserve">   - Specific anatomical sites in the upper abdomen: Based on the context, residual lesions are mainly located in the following upper abdominal anatomical regions:</w:t>
            </w:r>
            <w:r w:rsidRPr="00CB2EC4">
              <w:rPr>
                <w:rFonts w:ascii="Times New Roman" w:hAnsi="Times New Roman" w:cs="Times New Roman"/>
              </w:rPr>
              <w:br/>
              <w:t xml:space="preserve">     - Splenic hilum</w:t>
            </w:r>
            <w:r w:rsidRPr="00CB2EC4">
              <w:rPr>
                <w:rFonts w:ascii="Times New Roman" w:hAnsi="Times New Roman" w:cs="Times New Roman"/>
              </w:rPr>
              <w:br/>
              <w:t xml:space="preserve">     - Stomach</w:t>
            </w:r>
            <w:r w:rsidRPr="00CB2EC4">
              <w:rPr>
                <w:rFonts w:ascii="Times New Roman" w:hAnsi="Times New Roman" w:cs="Times New Roman"/>
              </w:rPr>
              <w:br/>
              <w:t xml:space="preserve">     - Transverse colon</w:t>
            </w:r>
            <w:r w:rsidRPr="00CB2EC4">
              <w:rPr>
                <w:rFonts w:ascii="Times New Roman" w:hAnsi="Times New Roman" w:cs="Times New Roman"/>
              </w:rPr>
              <w:br/>
              <w:t xml:space="preserve">     - Hepatic hilum</w:t>
            </w:r>
            <w:r w:rsidRPr="00CB2EC4">
              <w:rPr>
                <w:rFonts w:ascii="Times New Roman" w:hAnsi="Times New Roman" w:cs="Times New Roman"/>
              </w:rPr>
              <w:br/>
              <w:t xml:space="preserve">     - Lesser omental bursa</w:t>
            </w:r>
            <w:r w:rsidRPr="00CB2EC4">
              <w:rPr>
                <w:rFonts w:ascii="Times New Roman" w:hAnsi="Times New Roman" w:cs="Times New Roman"/>
              </w:rPr>
              <w:br/>
              <w:t xml:space="preserve">     - Retroperitoneal space above the renal vessels</w:t>
            </w:r>
            <w:r w:rsidRPr="00CB2EC4">
              <w:rPr>
                <w:rFonts w:ascii="Times New Roman" w:hAnsi="Times New Roman" w:cs="Times New Roman"/>
              </w:rPr>
              <w:br/>
              <w:t xml:space="preserve">     - Small bowel mesentery</w:t>
            </w:r>
            <w:r w:rsidRPr="00CB2EC4">
              <w:rPr>
                <w:rFonts w:ascii="Times New Roman" w:hAnsi="Times New Roman" w:cs="Times New Roman"/>
              </w:rPr>
              <w:br/>
              <w:t xml:space="preserve">   (Source: Document Fragment 1, which explicitly describes the locations of residual lesions in suboptimal cytoreduction.)</w:t>
            </w:r>
          </w:p>
        </w:tc>
        <w:tc>
          <w:tcPr>
            <w:tcW w:w="1152" w:type="dxa"/>
            <w:vAlign w:val="center"/>
          </w:tcPr>
          <w:p w14:paraId="57EACC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5BA32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201C6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5BCADE" w14:textId="77777777">
        <w:tc>
          <w:tcPr>
            <w:tcW w:w="2160" w:type="dxa"/>
            <w:vAlign w:val="center"/>
          </w:tcPr>
          <w:p w14:paraId="0D5EBB1F"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63D47B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according to Heintz et al., approximately 50% of tumor cytoreductive surgeries are suboptimally </w:t>
            </w:r>
            <w:r w:rsidRPr="00CB2EC4">
              <w:rPr>
                <w:rFonts w:ascii="Times New Roman" w:hAnsi="Times New Roman" w:cs="Times New Roman"/>
              </w:rPr>
              <w:lastRenderedPageBreak/>
              <w:t>cytoreduced (residual tumor diameter &gt;2 cm). The main reason for surgical failure is the presence of unresectable lesions in the upper abdomen, which are typically located in anatomically complex or poorly accessible regions, preventing complete tumor clearance. The specific anatomical sites in the upper abdomen include:</w:t>
            </w:r>
            <w:r w:rsidRPr="00CB2EC4">
              <w:rPr>
                <w:rFonts w:ascii="Times New Roman" w:hAnsi="Times New Roman" w:cs="Times New Roman"/>
              </w:rPr>
              <w:br/>
              <w:t>- Splenic pedicle</w:t>
            </w:r>
            <w:r w:rsidRPr="00CB2EC4">
              <w:rPr>
                <w:rFonts w:ascii="Times New Roman" w:hAnsi="Times New Roman" w:cs="Times New Roman"/>
              </w:rPr>
              <w:br/>
              <w:t>- Stomach</w:t>
            </w:r>
            <w:r w:rsidRPr="00CB2EC4">
              <w:rPr>
                <w:rFonts w:ascii="Times New Roman" w:hAnsi="Times New Roman" w:cs="Times New Roman"/>
              </w:rPr>
              <w:br/>
              <w:t>- Transverse colon</w:t>
            </w:r>
            <w:r w:rsidRPr="00CB2EC4">
              <w:rPr>
                <w:rFonts w:ascii="Times New Roman" w:hAnsi="Times New Roman" w:cs="Times New Roman"/>
              </w:rPr>
              <w:br/>
              <w:t>- Hepatic hilum</w:t>
            </w:r>
            <w:r w:rsidRPr="00CB2EC4">
              <w:rPr>
                <w:rFonts w:ascii="Times New Roman" w:hAnsi="Times New Roman" w:cs="Times New Roman"/>
              </w:rPr>
              <w:br/>
              <w:t>- Lesser omental bursa</w:t>
            </w:r>
            <w:r w:rsidRPr="00CB2EC4">
              <w:rPr>
                <w:rFonts w:ascii="Times New Roman" w:hAnsi="Times New Roman" w:cs="Times New Roman"/>
              </w:rPr>
              <w:br/>
              <w:t>- Retroperitoneal space above the renal vessels</w:t>
            </w:r>
            <w:r w:rsidRPr="00CB2EC4">
              <w:rPr>
                <w:rFonts w:ascii="Times New Roman" w:hAnsi="Times New Roman" w:cs="Times New Roman"/>
              </w:rPr>
              <w:br/>
              <w:t>- Small bowel mesentery</w:t>
            </w:r>
            <w:r w:rsidRPr="00CB2EC4">
              <w:rPr>
                <w:rFonts w:ascii="Times New Roman" w:hAnsi="Times New Roman" w:cs="Times New Roman"/>
              </w:rPr>
              <w:br/>
            </w:r>
            <w:r w:rsidRPr="00CB2EC4">
              <w:rPr>
                <w:rFonts w:ascii="Times New Roman" w:hAnsi="Times New Roman" w:cs="Times New Roman"/>
              </w:rPr>
              <w:br/>
              <w:t>these sites are often inaccessible during surgical exploration due to extensive tumor adhesions, rich vascularity, or inadequate exposure, leading to suboptimal cytoreduction.</w:t>
            </w:r>
          </w:p>
        </w:tc>
        <w:tc>
          <w:tcPr>
            <w:tcW w:w="1152" w:type="dxa"/>
            <w:vAlign w:val="center"/>
          </w:tcPr>
          <w:p w14:paraId="77F5EF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0EB69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2324A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856564C" w14:textId="77777777">
        <w:tc>
          <w:tcPr>
            <w:tcW w:w="2160" w:type="dxa"/>
            <w:vAlign w:val="center"/>
          </w:tcPr>
          <w:p w14:paraId="528294DE"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695E9FA" w14:textId="77777777" w:rsidR="00922249" w:rsidRPr="00CB2EC4" w:rsidRDefault="003011D5">
            <w:pPr>
              <w:rPr>
                <w:rFonts w:ascii="Times New Roman" w:hAnsi="Times New Roman" w:cs="Times New Roman"/>
              </w:rPr>
            </w:pPr>
            <w:r w:rsidRPr="00CB2EC4">
              <w:rPr>
                <w:rFonts w:ascii="Times New Roman" w:hAnsi="Times New Roman" w:cs="Times New Roman"/>
              </w:rPr>
              <w:t>according to the classic research by Heintz et al., suboptimal cytoreductive surgery is closely associated with residual disease in multiple key anatomical regions of the upper abdomen. The primary upper abdominal anatomical sites contributing to surgical failure include:</w:t>
            </w:r>
            <w:r w:rsidRPr="00CB2EC4">
              <w:rPr>
                <w:rFonts w:ascii="Times New Roman" w:hAnsi="Times New Roman" w:cs="Times New Roman"/>
              </w:rPr>
              <w:br/>
              <w:t>- infiltration of the hepatic pedicle and within the Glisson sheath</w:t>
            </w:r>
            <w:r w:rsidRPr="00CB2EC4">
              <w:rPr>
                <w:rFonts w:ascii="Times New Roman" w:hAnsi="Times New Roman" w:cs="Times New Roman"/>
              </w:rPr>
              <w:br/>
              <w:t>- the epiploic foramen (of Winslow) and the caudate lobe (Spiegel lobe)</w:t>
            </w:r>
            <w:r w:rsidRPr="00CB2EC4">
              <w:rPr>
                <w:rFonts w:ascii="Times New Roman" w:hAnsi="Times New Roman" w:cs="Times New Roman"/>
              </w:rPr>
              <w:br/>
              <w:t>- the lesser omental bursa and the pancreatic capsule</w:t>
            </w:r>
            <w:r w:rsidRPr="00CB2EC4">
              <w:rPr>
                <w:rFonts w:ascii="Times New Roman" w:hAnsi="Times New Roman" w:cs="Times New Roman"/>
              </w:rPr>
              <w:br/>
              <w:t>- the second hepatic portal and the confluence of hepatic veins with the inferior vena cava</w:t>
            </w:r>
            <w:r w:rsidRPr="00CB2EC4">
              <w:rPr>
                <w:rFonts w:ascii="Times New Roman" w:hAnsi="Times New Roman" w:cs="Times New Roman"/>
              </w:rPr>
              <w:br/>
            </w:r>
            <w:r w:rsidRPr="00CB2EC4">
              <w:rPr>
                <w:rFonts w:ascii="Times New Roman" w:hAnsi="Times New Roman" w:cs="Times New Roman"/>
              </w:rPr>
              <w:br/>
              <w:t xml:space="preserve">Fundamental cause summary: Surgical failure is not </w:t>
            </w:r>
            <w:r w:rsidRPr="00CB2EC4">
              <w:rPr>
                <w:rFonts w:ascii="Times New Roman" w:hAnsi="Times New Roman" w:cs="Times New Roman"/>
              </w:rPr>
              <w:lastRenderedPageBreak/>
              <w:t>attributable to a single factor, but rather to extensive encasement and infiltration of the tumor around the main trunk of the portal venous system and the retrohepatic inferior vena cava in these "surgical bottleneck" areas of the upper abdomen. Forced resection exceeds the current safety boundaries of surgical technique, rather than being due to surgeon decision-making or lack of experience.</w:t>
            </w:r>
          </w:p>
        </w:tc>
        <w:tc>
          <w:tcPr>
            <w:tcW w:w="1152" w:type="dxa"/>
            <w:vAlign w:val="center"/>
          </w:tcPr>
          <w:p w14:paraId="703E1A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97E07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2E864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415C4E9" w14:textId="77777777">
        <w:tc>
          <w:tcPr>
            <w:tcW w:w="10656" w:type="dxa"/>
            <w:gridSpan w:val="5"/>
            <w:tcBorders>
              <w:bottom w:val="single" w:sz="6" w:space="0" w:color="auto"/>
            </w:tcBorders>
            <w:vAlign w:val="center"/>
          </w:tcPr>
          <w:p w14:paraId="23399BA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182: When managing advanced ovarian cancer with extensive pelvic seeding and severe adhesions, why is the retroperitoneal approach (extraperitoneal dissection) recommended? Please explain its core advantages in conjunction with key surgical techniques.</w:t>
            </w:r>
          </w:p>
        </w:tc>
      </w:tr>
      <w:tr w:rsidR="00922249" w:rsidRPr="00CB2EC4" w14:paraId="5F518B25" w14:textId="77777777">
        <w:tc>
          <w:tcPr>
            <w:tcW w:w="2160" w:type="dxa"/>
            <w:vAlign w:val="center"/>
          </w:tcPr>
          <w:p w14:paraId="02301E0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0AFC9DEE" w14:textId="77777777" w:rsidR="00922249" w:rsidRPr="00CB2EC4" w:rsidRDefault="003011D5">
            <w:pPr>
              <w:rPr>
                <w:rFonts w:ascii="Times New Roman" w:hAnsi="Times New Roman" w:cs="Times New Roman"/>
              </w:rPr>
            </w:pPr>
            <w:r w:rsidRPr="00CB2EC4">
              <w:rPr>
                <w:rFonts w:ascii="Times New Roman" w:hAnsi="Times New Roman" w:cs="Times New Roman"/>
              </w:rPr>
              <w:t>When managing advanced ovarian cancer with extensive peritoneal seeding and severe adhesions in the pelvis, the retroperitoneal approach (extraperitoneal operation) is recommended because ovarian cancer exhibits relatively poor infiltrative capability and rarely penetrates the peritoneum to invade the retroperitoneal muscles, blood vessels, and nerves. Therefore, operating within the retroperitoneal space avoids direct manipulation of the densely adherent pelvic peritoneum, reduces injury to critical structures, and enables more effective tumor resection.</w:t>
            </w:r>
            <w:r w:rsidRPr="00CB2EC4">
              <w:rPr>
                <w:rFonts w:ascii="Times New Roman" w:hAnsi="Times New Roman" w:cs="Times New Roman"/>
              </w:rPr>
              <w:br/>
            </w:r>
            <w:r w:rsidRPr="00CB2EC4">
              <w:rPr>
                <w:rFonts w:ascii="Times New Roman" w:hAnsi="Times New Roman" w:cs="Times New Roman"/>
              </w:rPr>
              <w:br/>
              <w:t>- Core advantages: The extraperitoneal approach enhances surgical safety and resection efficiency:</w:t>
            </w:r>
            <w:r w:rsidRPr="00CB2EC4">
              <w:rPr>
                <w:rFonts w:ascii="Times New Roman" w:hAnsi="Times New Roman" w:cs="Times New Roman"/>
              </w:rPr>
              <w:br/>
              <w:t xml:space="preserve">  - Avoids complications: As ovarian cancer is primarily confined to the peritoneal surface without deep retroperitoneal invasion, this method minimizes risks of bleeding, nerve injury, and visceral perforation.</w:t>
            </w:r>
            <w:r w:rsidRPr="00CB2EC4">
              <w:rPr>
                <w:rFonts w:ascii="Times New Roman" w:hAnsi="Times New Roman" w:cs="Times New Roman"/>
              </w:rPr>
              <w:br/>
              <w:t xml:space="preserve">  - Facilitates tumor exposure and removal: By dissecting the retroperitoneal space, deep pelvic tumors—especially those tightly adherent to the </w:t>
            </w:r>
            <w:r w:rsidRPr="00CB2EC4">
              <w:rPr>
                <w:rFonts w:ascii="Times New Roman" w:hAnsi="Times New Roman" w:cs="Times New Roman"/>
              </w:rPr>
              <w:lastRenderedPageBreak/>
              <w:t>rectum or sigmoid colon—can be addressed more directly and intuitively.</w:t>
            </w:r>
            <w:r w:rsidRPr="00CB2EC4">
              <w:rPr>
                <w:rFonts w:ascii="Times New Roman" w:hAnsi="Times New Roman" w:cs="Times New Roman"/>
              </w:rPr>
              <w:br/>
            </w:r>
            <w:r w:rsidRPr="00CB2EC4">
              <w:rPr>
                <w:rFonts w:ascii="Times New Roman" w:hAnsi="Times New Roman" w:cs="Times New Roman"/>
              </w:rPr>
              <w:br/>
              <w:t>- Integration with key surgical techniques:</w:t>
            </w:r>
            <w:r w:rsidRPr="00CB2EC4">
              <w:rPr>
                <w:rFonts w:ascii="Times New Roman" w:hAnsi="Times New Roman" w:cs="Times New Roman"/>
              </w:rPr>
              <w:br/>
              <w:t xml:space="preserve">  - Dissection of the pelvic retroperitoneal space: The posterior peritoneum is incised at the pelvic inlet, identifying the ureter and iliac vessels, then dissecting laterally along the pelvic sidewall toward the pelvic floor to mobilize the lateral peritoneum (Figures 9-5 to 9-7). This allows en bloc resection of the tumor with internal genital organs.</w:t>
            </w:r>
            <w:r w:rsidRPr="00CB2EC4">
              <w:rPr>
                <w:rFonts w:ascii="Times New Roman" w:hAnsi="Times New Roman" w:cs="Times New Roman"/>
              </w:rPr>
              <w:br/>
              <w:t xml:space="preserve">  - Retrograde hysterectomy: When a mass in the uterorectal pouch is difficult to manage, retrograde resection (starting with the uterosacral ligaments and rectovaginal space) elevates the tumor toward the anterior abdominal wall, facilitating dissection (Figures 9-14 to 9-18).</w:t>
            </w:r>
            <w:r w:rsidRPr="00CB2EC4">
              <w:rPr>
                <w:rFonts w:ascii="Times New Roman" w:hAnsi="Times New Roman" w:cs="Times New Roman"/>
              </w:rPr>
              <w:br/>
              <w:t xml:space="preserve">  - Advantage manifestation: These techniques enable surgery in relatively avascular planes, shorten operative time, reduce complication rates (e.g., bowel injury), and improve the success rate of achieving residual tumor ≤ 2 cm.</w:t>
            </w:r>
            <w:r w:rsidRPr="00CB2EC4">
              <w:rPr>
                <w:rFonts w:ascii="Times New Roman" w:hAnsi="Times New Roman" w:cs="Times New Roman"/>
              </w:rPr>
              <w:br/>
            </w:r>
            <w:r w:rsidRPr="00CB2EC4">
              <w:rPr>
                <w:rFonts w:ascii="Times New Roman" w:hAnsi="Times New Roman" w:cs="Times New Roman"/>
              </w:rPr>
              <w:br/>
              <w:t xml:space="preserve">(Source: Document fragment similarity 0.630, range 699–701: "Ovarian cancer has relatively poor invasive ability and rarely penetrates the peritoneum to invade the retroperitoneal muscles, blood vessels, and nerves. Therefore, for advanced ovarian cancer, the retroperitoneal space can be chosen for surgical intervention (referred to as extraperitoneal operation)." and similarity 0.630, range 699–701: "The technical keys to pelvic surgery are extraperitoneal pelvic operation and retrograde hysterectomy. The specific operative points are as </w:t>
            </w:r>
            <w:r w:rsidRPr="00CB2EC4">
              <w:rPr>
                <w:rFonts w:ascii="Times New Roman" w:hAnsi="Times New Roman" w:cs="Times New Roman"/>
              </w:rPr>
              <w:lastRenderedPageBreak/>
              <w:t>follows: 1) Dissection of the pelvic retroperitoneal space... 2) Resection of the primary ovarian tumor... 3) Separation of the bladder serosa and mobilization of the bladder...")</w:t>
            </w:r>
          </w:p>
        </w:tc>
        <w:tc>
          <w:tcPr>
            <w:tcW w:w="1152" w:type="dxa"/>
            <w:vAlign w:val="center"/>
          </w:tcPr>
          <w:p w14:paraId="18436D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DCB02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02FA8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3FDB5E7" w14:textId="77777777">
        <w:tc>
          <w:tcPr>
            <w:tcW w:w="2160" w:type="dxa"/>
            <w:vAlign w:val="center"/>
          </w:tcPr>
          <w:p w14:paraId="5653FB2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Contextual Chunk Headers</w:t>
            </w:r>
          </w:p>
        </w:tc>
        <w:tc>
          <w:tcPr>
            <w:tcW w:w="5040" w:type="dxa"/>
            <w:vAlign w:val="center"/>
          </w:tcPr>
          <w:p w14:paraId="6ED62862" w14:textId="77777777" w:rsidR="00922249" w:rsidRPr="00CB2EC4" w:rsidRDefault="003011D5">
            <w:pPr>
              <w:rPr>
                <w:rFonts w:ascii="Times New Roman" w:hAnsi="Times New Roman" w:cs="Times New Roman"/>
              </w:rPr>
            </w:pPr>
            <w:r w:rsidRPr="00CB2EC4">
              <w:rPr>
                <w:rFonts w:ascii="Times New Roman" w:hAnsi="Times New Roman" w:cs="Times New Roman"/>
              </w:rPr>
              <w:t>core advantages and technical key points of extraperitoneal approach</w:t>
            </w:r>
            <w:r w:rsidRPr="00CB2EC4">
              <w:rPr>
                <w:rFonts w:ascii="Times New Roman" w:hAnsi="Times New Roman" w:cs="Times New Roman"/>
              </w:rPr>
              <w:br/>
            </w:r>
            <w:r w:rsidRPr="00CB2EC4">
              <w:rPr>
                <w:rFonts w:ascii="Times New Roman" w:hAnsi="Times New Roman" w:cs="Times New Roman"/>
              </w:rPr>
              <w:br/>
              <w:t>Reason for recommendation: Document fragment 2 (block ID 701) states that in advanced ovarian cancer with extensive pelvic tumor adhesions, conventional intraperitoneal approach makes complete tumor resection difficult. However, ovarian cancer has poor infiltrative capacity and rarely penetrates the peritoneum to invade retroperitoneal muscles, vessels, and nerves; therefore, the extraperitoneal approach can bypass adhesive areas and directly address the tumor.</w:t>
            </w:r>
            <w:r w:rsidRPr="00CB2EC4">
              <w:rPr>
                <w:rFonts w:ascii="Times New Roman" w:hAnsi="Times New Roman" w:cs="Times New Roman"/>
              </w:rPr>
              <w:br/>
              <w:t>- Core advantages:</w:t>
            </w:r>
            <w:r w:rsidRPr="00CB2EC4">
              <w:rPr>
                <w:rFonts w:ascii="Times New Roman" w:hAnsi="Times New Roman" w:cs="Times New Roman"/>
              </w:rPr>
              <w:br/>
              <w:t xml:space="preserve">  - Reduced injury: Avoids damage to normal pelvic structures (e.g., ureters, blood vessels).</w:t>
            </w:r>
            <w:r w:rsidRPr="00CB2EC4">
              <w:rPr>
                <w:rFonts w:ascii="Times New Roman" w:hAnsi="Times New Roman" w:cs="Times New Roman"/>
              </w:rPr>
              <w:br/>
              <w:t xml:space="preserve">  - Improved resection rate: By performing retrograde hysterectomy and dissecting the retroperitoneal space, it is easier to separate the tumor from the rectum and sigmoid colon.</w:t>
            </w:r>
            <w:r w:rsidRPr="00CB2EC4">
              <w:rPr>
                <w:rFonts w:ascii="Times New Roman" w:hAnsi="Times New Roman" w:cs="Times New Roman"/>
              </w:rPr>
              <w:br/>
              <w:t>- Technical key points (fragment 2):</w:t>
            </w:r>
            <w:r w:rsidRPr="00CB2EC4">
              <w:rPr>
                <w:rFonts w:ascii="Times New Roman" w:hAnsi="Times New Roman" w:cs="Times New Roman"/>
              </w:rPr>
              <w:br/>
              <w:t xml:space="preserve">  1. Dissection of the pelvic retroperitoneal space: Incise the posterior peritoneum at the pelvic inlet, identify the ureters and iliac vessels, and dissect along the pelvic sidewall toward the deep pelvic floor.</w:t>
            </w:r>
            <w:r w:rsidRPr="00CB2EC4">
              <w:rPr>
                <w:rFonts w:ascii="Times New Roman" w:hAnsi="Times New Roman" w:cs="Times New Roman"/>
              </w:rPr>
              <w:br/>
              <w:t xml:space="preserve">  2. Retrograde hysterectomy: First manage the high ovarian vessels, then perform hysterectomy in a retrograde manner, facilitating separation of tumors in the uterorectal pouch.</w:t>
            </w:r>
            <w:r w:rsidRPr="00CB2EC4">
              <w:rPr>
                <w:rFonts w:ascii="Times New Roman" w:hAnsi="Times New Roman" w:cs="Times New Roman"/>
              </w:rPr>
              <w:br/>
              <w:t xml:space="preserve">  3. Mobilization of the lateral peritoneum: Incise the </w:t>
            </w:r>
            <w:r w:rsidRPr="00CB2EC4">
              <w:rPr>
                <w:rFonts w:ascii="Times New Roman" w:hAnsi="Times New Roman" w:cs="Times New Roman"/>
              </w:rPr>
              <w:lastRenderedPageBreak/>
              <w:t>peritoneum adjacent to the sigmoid colon and rectum to fully free the lateral peritoneum, enabling en bloc tumor resection.</w:t>
            </w:r>
          </w:p>
        </w:tc>
        <w:tc>
          <w:tcPr>
            <w:tcW w:w="1152" w:type="dxa"/>
            <w:vAlign w:val="center"/>
          </w:tcPr>
          <w:p w14:paraId="28D81A0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56C7F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E50FC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0986AE7" w14:textId="77777777">
        <w:tc>
          <w:tcPr>
            <w:tcW w:w="2160" w:type="dxa"/>
            <w:vAlign w:val="center"/>
          </w:tcPr>
          <w:p w14:paraId="673862CA"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932D39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recommended reason:  </w:t>
            </w:r>
            <w:r w:rsidRPr="00CB2EC4">
              <w:rPr>
                <w:rFonts w:ascii="Times New Roman" w:hAnsi="Times New Roman" w:cs="Times New Roman"/>
              </w:rPr>
              <w:br/>
              <w:t xml:space="preserve">  According to excerpt 6, for advanced ovarian cancer with extensive intraperitoneal seeding and severe adhesions in the pelvis, the retroperitoneal approach (extraperitoneal operation) is recommended because it enables effective separation of densely adherent tumor masses (e.g., rectouterine pouch tumors) while avoiding direct injury to surrounding organs such as the rectum, thereby improving surgical feasibility.  </w:t>
            </w:r>
            <w:r w:rsidRPr="00CB2EC4">
              <w:rPr>
                <w:rFonts w:ascii="Times New Roman" w:hAnsi="Times New Roman" w:cs="Times New Roman"/>
              </w:rPr>
              <w:br/>
            </w:r>
            <w:r w:rsidRPr="00CB2EC4">
              <w:rPr>
                <w:rFonts w:ascii="Times New Roman" w:hAnsi="Times New Roman" w:cs="Times New Roman"/>
              </w:rPr>
              <w:br/>
              <w:t xml:space="preserve">- core advantages:  </w:t>
            </w:r>
            <w:r w:rsidRPr="00CB2EC4">
              <w:rPr>
                <w:rFonts w:ascii="Times New Roman" w:hAnsi="Times New Roman" w:cs="Times New Roman"/>
              </w:rPr>
              <w:br/>
              <w:t xml:space="preserve">  The core advantage is facilitating safe dissection of adherent tumors and reducing injury to critical structures (e.g., ureters, blood vessels, and bowel), thus lowering complication risks. Key surgical technique points include:  </w:t>
            </w:r>
            <w:r w:rsidRPr="00CB2EC4">
              <w:rPr>
                <w:rFonts w:ascii="Times New Roman" w:hAnsi="Times New Roman" w:cs="Times New Roman"/>
              </w:rPr>
              <w:br/>
              <w:t xml:space="preserve">  1. Dissection of the pelvic retroperitoneal space: Incise the posterior peritoneum at the pelvic inlet, identify the iliac vessels and ureter, transect and ligate the round ligament and ovarian vessels, and initially develop the retroperitoneal space (excerpt 6).  </w:t>
            </w:r>
            <w:r w:rsidRPr="00CB2EC4">
              <w:rPr>
                <w:rFonts w:ascii="Times New Roman" w:hAnsi="Times New Roman" w:cs="Times New Roman"/>
              </w:rPr>
              <w:br/>
              <w:t xml:space="preserve">  2. Retroperitoneal hysterectomy: When excision of the rectouterine pouch mass is difficult, this method separates the mass from the rectum by incising the medial peritoneum along the pelvic sidewall beside the sigmoid colon and rectum, expanding the anterior vesicouterine pouch and the anterior portion of the pararectal space, and dissecting the ureter from the posterior peritoneum down to the uterine artery level (excerpt 6).  </w:t>
            </w:r>
            <w:r w:rsidRPr="00CB2EC4">
              <w:rPr>
                <w:rFonts w:ascii="Times New Roman" w:hAnsi="Times New Roman" w:cs="Times New Roman"/>
              </w:rPr>
              <w:br/>
              <w:t xml:space="preserve">  3. Minimizing visceral injury: By operating in the </w:t>
            </w:r>
            <w:r w:rsidRPr="00CB2EC4">
              <w:rPr>
                <w:rFonts w:ascii="Times New Roman" w:hAnsi="Times New Roman" w:cs="Times New Roman"/>
              </w:rPr>
              <w:lastRenderedPageBreak/>
              <w:t xml:space="preserve">extraperitoneal space, layered dissection of retroperitoneal compartments (e.g., prevesical space, pararectal space, and parametrial space) allows clear identification of the ureter, iliac vessels, and other structures, preventing unnecessary trauma (excerpt 20).  </w:t>
            </w:r>
            <w:r w:rsidRPr="00CB2EC4">
              <w:rPr>
                <w:rFonts w:ascii="Times New Roman" w:hAnsi="Times New Roman" w:cs="Times New Roman"/>
              </w:rPr>
              <w:br/>
              <w:t xml:space="preserve">  (sources: excerpt 6 and excerpt 20)</w:t>
            </w:r>
          </w:p>
        </w:tc>
        <w:tc>
          <w:tcPr>
            <w:tcW w:w="1152" w:type="dxa"/>
            <w:vAlign w:val="center"/>
          </w:tcPr>
          <w:p w14:paraId="2DEC63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0BFA94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CE68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716BD9" w14:textId="77777777">
        <w:tc>
          <w:tcPr>
            <w:tcW w:w="2160" w:type="dxa"/>
            <w:vAlign w:val="center"/>
          </w:tcPr>
          <w:p w14:paraId="4249EA3F"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8AC53EC" w14:textId="77777777" w:rsidR="00922249" w:rsidRPr="00CB2EC4" w:rsidRDefault="003011D5">
            <w:pPr>
              <w:rPr>
                <w:rFonts w:ascii="Times New Roman" w:hAnsi="Times New Roman" w:cs="Times New Roman"/>
              </w:rPr>
            </w:pPr>
            <w:r w:rsidRPr="00CB2EC4">
              <w:rPr>
                <w:rFonts w:ascii="Times New Roman" w:hAnsi="Times New Roman" w:cs="Times New Roman"/>
              </w:rPr>
              <w:t>reasons and advantages of recommending extraperitoneal approach for advanced ovarian cancer in the pelvis</w:t>
            </w:r>
            <w:r w:rsidRPr="00CB2EC4">
              <w:rPr>
                <w:rFonts w:ascii="Times New Roman" w:hAnsi="Times New Roman" w:cs="Times New Roman"/>
              </w:rPr>
              <w:br/>
            </w:r>
            <w:r w:rsidRPr="00CB2EC4">
              <w:rPr>
                <w:rFonts w:ascii="Times New Roman" w:hAnsi="Times New Roman" w:cs="Times New Roman"/>
              </w:rPr>
              <w:br/>
              <w:t xml:space="preserve">Source: Knowledge base document  </w:t>
            </w:r>
            <w:r w:rsidRPr="00CB2EC4">
              <w:rPr>
                <w:rFonts w:ascii="Times New Roman" w:hAnsi="Times New Roman" w:cs="Times New Roman"/>
              </w:rPr>
              <w:br/>
              <w:t xml:space="preserve">- Core advantages:  </w:t>
            </w:r>
            <w:r w:rsidRPr="00CB2EC4">
              <w:rPr>
                <w:rFonts w:ascii="Times New Roman" w:hAnsi="Times New Roman" w:cs="Times New Roman"/>
              </w:rPr>
              <w:br/>
              <w:t xml:space="preserve">  1. Avoids pelvic adhesions: Ovarian cancer has weak infiltrative ability and rarely penetrates the peritoneum to invade deep tissues; the retroperitoneal space is relatively safe.  </w:t>
            </w:r>
            <w:r w:rsidRPr="00CB2EC4">
              <w:rPr>
                <w:rFonts w:ascii="Times New Roman" w:hAnsi="Times New Roman" w:cs="Times New Roman"/>
              </w:rPr>
              <w:br/>
              <w:t xml:space="preserve">  2. Retrograde hysterectomy: When dissecting anterior rectal tumors, first ligate the uterine arteries, then lift the uterus and mass en bloc to facilitate rectal dissection (Fig. 9-18).  </w:t>
            </w:r>
            <w:r w:rsidRPr="00CB2EC4">
              <w:rPr>
                <w:rFonts w:ascii="Times New Roman" w:hAnsi="Times New Roman" w:cs="Times New Roman"/>
              </w:rPr>
              <w:br/>
              <w:t xml:space="preserve">  3. Complete tumor resection: Dissection from the pelvic sidewall peritoneum toward the depths of the pelvis allows en bloc removal of the tumor and involved peritoneum (Fig. 9-5 to 9-7).  </w:t>
            </w:r>
            <w:r w:rsidRPr="00CB2EC4">
              <w:rPr>
                <w:rFonts w:ascii="Times New Roman" w:hAnsi="Times New Roman" w:cs="Times New Roman"/>
              </w:rPr>
              <w:br/>
              <w:t xml:space="preserve">- Key technical points:  </w:t>
            </w:r>
            <w:r w:rsidRPr="00CB2EC4">
              <w:rPr>
                <w:rFonts w:ascii="Times New Roman" w:hAnsi="Times New Roman" w:cs="Times New Roman"/>
              </w:rPr>
              <w:br/>
              <w:t xml:space="preserve">  - High ligation of ovarian vessels, dissection of ureter to the level of uterine artery.  </w:t>
            </w:r>
            <w:r w:rsidRPr="00CB2EC4">
              <w:rPr>
                <w:rFonts w:ascii="Times New Roman" w:hAnsi="Times New Roman" w:cs="Times New Roman"/>
              </w:rPr>
              <w:br/>
              <w:t xml:space="preserve">  - Mobilization of the bladder lateral fossa and rectal lateral fossa to expose the surgical plane.</w:t>
            </w:r>
          </w:p>
        </w:tc>
        <w:tc>
          <w:tcPr>
            <w:tcW w:w="1152" w:type="dxa"/>
            <w:vAlign w:val="center"/>
          </w:tcPr>
          <w:p w14:paraId="761C40D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EFD2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681E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555B12" w14:textId="77777777">
        <w:tc>
          <w:tcPr>
            <w:tcW w:w="2160" w:type="dxa"/>
            <w:vAlign w:val="center"/>
          </w:tcPr>
          <w:p w14:paraId="0243161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2B4057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management of advanced ovarian cancer with widespread peritoneal implantation and severe pelvic adhesions, the retroperitoneal approach </w:t>
            </w:r>
            <w:r w:rsidRPr="00CB2EC4">
              <w:rPr>
                <w:rFonts w:ascii="Times New Roman" w:hAnsi="Times New Roman" w:cs="Times New Roman"/>
              </w:rPr>
              <w:lastRenderedPageBreak/>
              <w:t>(extraperitoneal technique) is recommended because ovarian cancer has relatively poor infiltrative capacity and rarely penetrates the peritoneum to invade retroperitoneal muscles, blood vessels, and nerves. The core advantage of this approach is avoiding direct manipulation of densely adherent pelvic masses, thereby reducing the risk of intraoperative tumor rupture and hemorrhage, while facilitating more complete dissection and resection of the tumor.</w:t>
            </w:r>
            <w:r w:rsidRPr="00CB2EC4">
              <w:rPr>
                <w:rFonts w:ascii="Times New Roman" w:hAnsi="Times New Roman" w:cs="Times New Roman"/>
              </w:rPr>
              <w:br/>
            </w:r>
            <w:r w:rsidRPr="00CB2EC4">
              <w:rPr>
                <w:rFonts w:ascii="Times New Roman" w:hAnsi="Times New Roman" w:cs="Times New Roman"/>
              </w:rPr>
              <w:br/>
              <w:t>Surgical technique key points (based on Document Fragment 2):</w:t>
            </w:r>
            <w:r w:rsidRPr="00CB2EC4">
              <w:rPr>
                <w:rFonts w:ascii="Times New Roman" w:hAnsi="Times New Roman" w:cs="Times New Roman"/>
              </w:rPr>
              <w:br/>
              <w:t>- Dissection of the pelvic retroperitoneal space: Incise the posterior peritoneum at the pelvic inlet lateral to the infundibulopelvic ligament, identify the ureter and iliac vessels, and ligate the ovarian vessels at a high level.</w:t>
            </w:r>
            <w:r w:rsidRPr="00CB2EC4">
              <w:rPr>
                <w:rFonts w:ascii="Times New Roman" w:hAnsi="Times New Roman" w:cs="Times New Roman"/>
              </w:rPr>
              <w:br/>
              <w:t>- Strip the lateral peritoneum toward the deep pelvic floor, incise the peritoneum lateral to the sigmoid colon and rectum to free the lateral peritoneum.</w:t>
            </w:r>
            <w:r w:rsidRPr="00CB2EC4">
              <w:rPr>
                <w:rFonts w:ascii="Times New Roman" w:hAnsi="Times New Roman" w:cs="Times New Roman"/>
              </w:rPr>
              <w:br/>
              <w:t>- Develop the anterior spaces of the paravesical and pararectal fossae, dissect the ureter down to the level of the uterine artery.</w:t>
            </w:r>
            <w:r w:rsidRPr="00CB2EC4">
              <w:rPr>
                <w:rFonts w:ascii="Times New Roman" w:hAnsi="Times New Roman" w:cs="Times New Roman"/>
              </w:rPr>
              <w:br/>
              <w:t>- Perform retrograde hysterectomy to separate the rectouterine pouch mass from the rectum.</w:t>
            </w:r>
            <w:r w:rsidRPr="00CB2EC4">
              <w:rPr>
                <w:rFonts w:ascii="Times New Roman" w:hAnsi="Times New Roman" w:cs="Times New Roman"/>
              </w:rPr>
              <w:br/>
            </w:r>
            <w:r w:rsidRPr="00CB2EC4">
              <w:rPr>
                <w:rFonts w:ascii="Times New Roman" w:hAnsi="Times New Roman" w:cs="Times New Roman"/>
              </w:rPr>
              <w:br/>
              <w:t>Core advantages:</w:t>
            </w:r>
            <w:r w:rsidRPr="00CB2EC4">
              <w:rPr>
                <w:rFonts w:ascii="Times New Roman" w:hAnsi="Times New Roman" w:cs="Times New Roman"/>
              </w:rPr>
              <w:br/>
              <w:t>- Reduces intraoperative complications (e.g., bowel or ureteral injury).</w:t>
            </w:r>
            <w:r w:rsidRPr="00CB2EC4">
              <w:rPr>
                <w:rFonts w:ascii="Times New Roman" w:hAnsi="Times New Roman" w:cs="Times New Roman"/>
              </w:rPr>
              <w:br/>
              <w:t>- Improves tumor debulking rates, particularly when pelvic masses are densely adherent to the rectum or bladder.</w:t>
            </w:r>
            <w:r w:rsidRPr="00CB2EC4">
              <w:rPr>
                <w:rFonts w:ascii="Times New Roman" w:hAnsi="Times New Roman" w:cs="Times New Roman"/>
              </w:rPr>
              <w:br/>
              <w:t>- Enables safer dissection and facilitates achievement of optimal cytoreduction.</w:t>
            </w:r>
            <w:r w:rsidRPr="00CB2EC4">
              <w:rPr>
                <w:rFonts w:ascii="Times New Roman" w:hAnsi="Times New Roman" w:cs="Times New Roman"/>
              </w:rPr>
              <w:br/>
            </w:r>
            <w:r w:rsidRPr="00CB2EC4">
              <w:rPr>
                <w:rFonts w:ascii="Times New Roman" w:hAnsi="Times New Roman" w:cs="Times New Roman"/>
              </w:rPr>
              <w:lastRenderedPageBreak/>
              <w:t>(Source: Document Fragment 2)</w:t>
            </w:r>
          </w:p>
        </w:tc>
        <w:tc>
          <w:tcPr>
            <w:tcW w:w="1152" w:type="dxa"/>
            <w:vAlign w:val="center"/>
          </w:tcPr>
          <w:p w14:paraId="2F418E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0A7B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4021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AF05015" w14:textId="77777777">
        <w:tc>
          <w:tcPr>
            <w:tcW w:w="2160" w:type="dxa"/>
            <w:vAlign w:val="center"/>
          </w:tcPr>
          <w:p w14:paraId="3A93B63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4FC32B82" w14:textId="77777777" w:rsidR="00922249" w:rsidRPr="00CB2EC4" w:rsidRDefault="003011D5">
            <w:pPr>
              <w:rPr>
                <w:rFonts w:ascii="Times New Roman" w:hAnsi="Times New Roman" w:cs="Times New Roman"/>
              </w:rPr>
            </w:pPr>
            <w:r w:rsidRPr="00CB2EC4">
              <w:rPr>
                <w:rFonts w:ascii="Times New Roman" w:hAnsi="Times New Roman" w:cs="Times New Roman"/>
              </w:rPr>
              <w:t>in the management of advanced ovarian cancer with extensive peritoneal seeding and severe adhesions in the pelvis, the retroperitoneal approach (extraperitoneal technique) is recommended because ovarian cancer has relatively poor infiltrative capacity and rarely penetrates the peritoneum to invade retroperitoneal muscles, blood vessels, and nerves. This allows for safer dissection of adherent tumor masses while avoiding injury to critical structures such as the ureters and major vessels, and facilitates the management of deep-seated tumors (e.g., masses in the rectouterine pouch).</w:t>
            </w:r>
            <w:r w:rsidRPr="00CB2EC4">
              <w:rPr>
                <w:rFonts w:ascii="Times New Roman" w:hAnsi="Times New Roman" w:cs="Times New Roman"/>
              </w:rPr>
              <w:br/>
            </w:r>
            <w:r w:rsidRPr="00CB2EC4">
              <w:rPr>
                <w:rFonts w:ascii="Times New Roman" w:hAnsi="Times New Roman" w:cs="Times New Roman"/>
              </w:rPr>
              <w:br/>
              <w:t>Key surgical technique points include:</w:t>
            </w:r>
            <w:r w:rsidRPr="00CB2EC4">
              <w:rPr>
                <w:rFonts w:ascii="Times New Roman" w:hAnsi="Times New Roman" w:cs="Times New Roman"/>
              </w:rPr>
              <w:br/>
              <w:t>1. Dissection of the pelvic retroperitoneal space: Incise the posterior peritoneum at the pelvic inlet lateral to the infundibulopelvic ligament, identify the iliac vessels and ureter, divide and ligate the round ligament, and extend the peritoneal incision laterally along the ovarian vessels to initially open the retroperitoneal space.</w:t>
            </w:r>
            <w:r w:rsidRPr="00CB2EC4">
              <w:rPr>
                <w:rFonts w:ascii="Times New Roman" w:hAnsi="Times New Roman" w:cs="Times New Roman"/>
              </w:rPr>
              <w:br/>
              <w:t>2. Identification and division of the ureter: Ligate the ovarian vessels at a high level, begin the posterior peritoneal incision from the pelvic sidewall, and dissect from lateral to medial toward the pelvic floor to reach the lowest point of the tumor. Then, incise the medial peritoneum of the pelvic sidewall along the sigmoid colon and rectal side.</w:t>
            </w:r>
            <w:r w:rsidRPr="00CB2EC4">
              <w:rPr>
                <w:rFonts w:ascii="Times New Roman" w:hAnsi="Times New Roman" w:cs="Times New Roman"/>
              </w:rPr>
              <w:br/>
              <w:t>3. Retroperitoneal hysterectomy: When pelvic masses are densely adherent to the rectum, this method facilitates separation of the tumor from the rectal wall.</w:t>
            </w:r>
            <w:r w:rsidRPr="00CB2EC4">
              <w:rPr>
                <w:rFonts w:ascii="Times New Roman" w:hAnsi="Times New Roman" w:cs="Times New Roman"/>
              </w:rPr>
              <w:br/>
            </w:r>
            <w:r w:rsidRPr="00CB2EC4">
              <w:rPr>
                <w:rFonts w:ascii="Times New Roman" w:hAnsi="Times New Roman" w:cs="Times New Roman"/>
              </w:rPr>
              <w:br/>
              <w:t xml:space="preserve">Core advantages: The extraperitoneal approach </w:t>
            </w:r>
            <w:r w:rsidRPr="00CB2EC4">
              <w:rPr>
                <w:rFonts w:ascii="Times New Roman" w:hAnsi="Times New Roman" w:cs="Times New Roman"/>
              </w:rPr>
              <w:lastRenderedPageBreak/>
              <w:t>enables direct access to the retroperitoneal space, bypasses intraperitoneal adhesions, enhances surgical safety, and supports more complete tumor cytoreduction, particularly for deeply fixed pelvic masses.</w:t>
            </w:r>
          </w:p>
        </w:tc>
        <w:tc>
          <w:tcPr>
            <w:tcW w:w="1152" w:type="dxa"/>
            <w:vAlign w:val="center"/>
          </w:tcPr>
          <w:p w14:paraId="0D6902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0A128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91A1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9C2BF1C" w14:textId="77777777">
        <w:tc>
          <w:tcPr>
            <w:tcW w:w="2160" w:type="dxa"/>
            <w:vAlign w:val="center"/>
          </w:tcPr>
          <w:p w14:paraId="103CFAA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E682439" w14:textId="77777777" w:rsidR="00922249" w:rsidRPr="00CB2EC4" w:rsidRDefault="003011D5">
            <w:pPr>
              <w:rPr>
                <w:rFonts w:ascii="Times New Roman" w:hAnsi="Times New Roman" w:cs="Times New Roman"/>
              </w:rPr>
            </w:pPr>
            <w:r w:rsidRPr="00CB2EC4">
              <w:rPr>
                <w:rFonts w:ascii="Times New Roman" w:hAnsi="Times New Roman" w:cs="Times New Roman"/>
              </w:rPr>
              <w:t>recommended to adopt the retroperitoneal approach (extraperitoneal operation) for advanced ovarian cancer with widespread peritoneal seeding and severe adhesions in the pelvis is that ovarian cancer has relatively poor infiltrative capacity and rarely penetrates the peritoneum to invade the retroperitoneal muscles, blood vessels, and nerves. Therefore, the extraperitoneal approach allows for safer separation of adhesions, avoids injury to critical structures, and improves the completeness of tumor resection. At the same time, this approach facilitates the management of deep pelvic masses (such as those in the rectouterine pouch) by employing techniques like retrograde hysterectomy, making it easier to dissect the tumor from the rectum and other organs.</w:t>
            </w:r>
            <w:r w:rsidRPr="00CB2EC4">
              <w:rPr>
                <w:rFonts w:ascii="Times New Roman" w:hAnsi="Times New Roman" w:cs="Times New Roman"/>
              </w:rPr>
              <w:br/>
            </w:r>
            <w:r w:rsidRPr="00CB2EC4">
              <w:rPr>
                <w:rFonts w:ascii="Times New Roman" w:hAnsi="Times New Roman" w:cs="Times New Roman"/>
              </w:rPr>
              <w:br/>
              <w:t>Key surgical technique points include:</w:t>
            </w:r>
            <w:r w:rsidRPr="00CB2EC4">
              <w:rPr>
                <w:rFonts w:ascii="Times New Roman" w:hAnsi="Times New Roman" w:cs="Times New Roman"/>
              </w:rPr>
              <w:br/>
              <w:t>- Dissection of the pelvic retroperitoneal space: Incise the posterior peritoneum at the pelvic inlet lateral to the infundibulopelvic ligament, identify the iliac vessels and ureter, and ligate the ovarian vessels at a high level.</w:t>
            </w:r>
            <w:r w:rsidRPr="00CB2EC4">
              <w:rPr>
                <w:rFonts w:ascii="Times New Roman" w:hAnsi="Times New Roman" w:cs="Times New Roman"/>
              </w:rPr>
              <w:br/>
              <w:t>- Stripping of the lateral pelvic peritoneum: Incise the medial peritoneum along the pelvic sidewall beside the sigmoid colon and rectum, extending to the rectouterine pouch to mobilize the lateral peritoneum.</w:t>
            </w:r>
            <w:r w:rsidRPr="00CB2EC4">
              <w:rPr>
                <w:rFonts w:ascii="Times New Roman" w:hAnsi="Times New Roman" w:cs="Times New Roman"/>
              </w:rPr>
              <w:br/>
              <w:t xml:space="preserve">- Exposure of key spaces: Develop the anterior aspects of the paravesical and pararectal spaces, dissecting the ureter from the posterior peritoneum down to the level </w:t>
            </w:r>
            <w:r w:rsidRPr="00CB2EC4">
              <w:rPr>
                <w:rFonts w:ascii="Times New Roman" w:hAnsi="Times New Roman" w:cs="Times New Roman"/>
              </w:rPr>
              <w:lastRenderedPageBreak/>
              <w:t>of the uterine artery.</w:t>
            </w:r>
            <w:r w:rsidRPr="00CB2EC4">
              <w:rPr>
                <w:rFonts w:ascii="Times New Roman" w:hAnsi="Times New Roman" w:cs="Times New Roman"/>
              </w:rPr>
              <w:br/>
              <w:t>- Retrograde hysterectomy: When resection of a rectouterine pouch mass is difficult, this method aids in separating the mass from the rectum.</w:t>
            </w:r>
            <w:r w:rsidRPr="00CB2EC4">
              <w:rPr>
                <w:rFonts w:ascii="Times New Roman" w:hAnsi="Times New Roman" w:cs="Times New Roman"/>
              </w:rPr>
              <w:br/>
            </w:r>
            <w:r w:rsidRPr="00CB2EC4">
              <w:rPr>
                <w:rFonts w:ascii="Times New Roman" w:hAnsi="Times New Roman" w:cs="Times New Roman"/>
              </w:rPr>
              <w:br/>
              <w:t>These details are derived from the source document fragment [HyDE similarity: 0.613], which states: “For advanced ovarian cancer, the retroperitoneal space may be selected for operation (referred to as extraperitoneal operation). When resection of a rectouterine pouch mass is difficult, retrograde hysterectomy may be adopted to facilitate separation of the mass from the rectum. Therefore, the technical keys to pelvic surgery are extraperitoneal pelvic operation and retrograde hysterectomy.” and provides detailed descriptions of the procedural steps.</w:t>
            </w:r>
          </w:p>
        </w:tc>
        <w:tc>
          <w:tcPr>
            <w:tcW w:w="1152" w:type="dxa"/>
            <w:vAlign w:val="center"/>
          </w:tcPr>
          <w:p w14:paraId="4C424C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67D30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BBD57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6971363" w14:textId="77777777">
        <w:tc>
          <w:tcPr>
            <w:tcW w:w="2160" w:type="dxa"/>
            <w:vAlign w:val="center"/>
          </w:tcPr>
          <w:p w14:paraId="5F2A6006"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77B2B1A0" w14:textId="77777777" w:rsidR="00922249" w:rsidRPr="00CB2EC4" w:rsidRDefault="003011D5">
            <w:pPr>
              <w:rPr>
                <w:rFonts w:ascii="Times New Roman" w:hAnsi="Times New Roman" w:cs="Times New Roman"/>
              </w:rPr>
            </w:pPr>
            <w:r w:rsidRPr="00CB2EC4">
              <w:rPr>
                <w:rFonts w:ascii="Times New Roman" w:hAnsi="Times New Roman" w:cs="Times New Roman"/>
              </w:rPr>
              <w:t>recommended reason: Ovarian cancer has relatively poor infiltrative capability and rarely penetrates the peritoneum to invade the muscles, blood vessels, and nerves of the retroperitoneum. Therefore, for advanced ovarian cancer, operating within the retroperitoneal space (termed extraperitoneal approach) is advisable. When excision of masses in the rectouterine pouch is difficult, a retrograde hysterectomy can be employed to assist in dissection.</w:t>
            </w:r>
            <w:r w:rsidRPr="00CB2EC4">
              <w:rPr>
                <w:rFonts w:ascii="Times New Roman" w:hAnsi="Times New Roman" w:cs="Times New Roman"/>
              </w:rPr>
              <w:br/>
            </w:r>
            <w:r w:rsidRPr="00CB2EC4">
              <w:rPr>
                <w:rFonts w:ascii="Times New Roman" w:hAnsi="Times New Roman" w:cs="Times New Roman"/>
              </w:rPr>
              <w:br/>
              <w:t>- core advantages:</w:t>
            </w:r>
            <w:r w:rsidRPr="00CB2EC4">
              <w:rPr>
                <w:rFonts w:ascii="Times New Roman" w:hAnsi="Times New Roman" w:cs="Times New Roman"/>
              </w:rPr>
              <w:br/>
              <w:t xml:space="preserve">  - safety: avoids injury to critical retroperitoneal structures (such as blood vessels and nerves), reducing intraoperative complications.</w:t>
            </w:r>
            <w:r w:rsidRPr="00CB2EC4">
              <w:rPr>
                <w:rFonts w:ascii="Times New Roman" w:hAnsi="Times New Roman" w:cs="Times New Roman"/>
              </w:rPr>
              <w:br/>
              <w:t xml:space="preserve">  - efficacy: facilitates separation of densely adherent tumors, particularly suitable for retrograde hysterectomy, making masses easier to dissect from the rectum and improving tumor resection rates.</w:t>
            </w:r>
            <w:r w:rsidRPr="00CB2EC4">
              <w:rPr>
                <w:rFonts w:ascii="Times New Roman" w:hAnsi="Times New Roman" w:cs="Times New Roman"/>
              </w:rPr>
              <w:br/>
            </w:r>
            <w:r w:rsidRPr="00CB2EC4">
              <w:rPr>
                <w:rFonts w:ascii="Times New Roman" w:hAnsi="Times New Roman" w:cs="Times New Roman"/>
              </w:rPr>
              <w:lastRenderedPageBreak/>
              <w:br/>
              <w:t>- key surgical technique points (based on document fragment 2):</w:t>
            </w:r>
            <w:r w:rsidRPr="00CB2EC4">
              <w:rPr>
                <w:rFonts w:ascii="Times New Roman" w:hAnsi="Times New Roman" w:cs="Times New Roman"/>
              </w:rPr>
              <w:br/>
              <w:t xml:space="preserve">  1. dissect the pelvic retroperitoneal space: incise the posterior peritoneum at the pelvic inlet lateral to the infundibulopelvic ligament, identify the iliac vessels and ureter.</w:t>
            </w:r>
            <w:r w:rsidRPr="00CB2EC4">
              <w:rPr>
                <w:rFonts w:ascii="Times New Roman" w:hAnsi="Times New Roman" w:cs="Times New Roman"/>
              </w:rPr>
              <w:br/>
              <w:t xml:space="preserve">  2. high ligation of ovarian vessels: after identifying the ureter, perform high ligation of the ovarian vessels.</w:t>
            </w:r>
            <w:r w:rsidRPr="00CB2EC4">
              <w:rPr>
                <w:rFonts w:ascii="Times New Roman" w:hAnsi="Times New Roman" w:cs="Times New Roman"/>
              </w:rPr>
              <w:br/>
              <w:t xml:space="preserve">  3. strip the lateral pelvic peritoneum: dissect from outside to inside toward the pelvic floor along the lateral pelvic wall, incise the medial peritoneum of the pelvic sidewall alongside the sigmoid colon and rectum to the level of the rectouterine pouch.</w:t>
            </w:r>
            <w:r w:rsidRPr="00CB2EC4">
              <w:rPr>
                <w:rFonts w:ascii="Times New Roman" w:hAnsi="Times New Roman" w:cs="Times New Roman"/>
              </w:rPr>
              <w:br/>
              <w:t xml:space="preserve">  4. develop the spaces: expand the anterior aspects of the paravesical and pararectal spaces, dissect the ureter off the posterior peritoneum down to the level of the uterine artery.</w:t>
            </w:r>
            <w:r w:rsidRPr="00CB2EC4">
              <w:rPr>
                <w:rFonts w:ascii="Times New Roman" w:hAnsi="Times New Roman" w:cs="Times New Roman"/>
              </w:rPr>
              <w:br/>
              <w:t xml:space="preserve">  5. perform retrograde hysterectomy: used as an adjunct when excision of rectouterine pouch masses is challenging.</w:t>
            </w:r>
            <w:r w:rsidRPr="00CB2EC4">
              <w:rPr>
                <w:rFonts w:ascii="Times New Roman" w:hAnsi="Times New Roman" w:cs="Times New Roman"/>
              </w:rPr>
              <w:br/>
            </w:r>
            <w:r w:rsidRPr="00CB2EC4">
              <w:rPr>
                <w:rFonts w:ascii="Times New Roman" w:hAnsi="Times New Roman" w:cs="Times New Roman"/>
              </w:rPr>
              <w:br/>
              <w:t xml:space="preserve">source basis: document fragment 2 states: "However, ovarian cancer has relatively poor infiltrative capability and rarely penetrates the peritoneum to invade the retroperitoneal muscles, blood vessels, and nerves. Therefore, for advanced ovarian cancer, operating within the retroperitoneal space (termed extraperitoneal approach) is advisable. When excision of masses in the rectouterine pouch is difficult, retrograde hysterectomy can be employed... The key technical aspects of pelvic surgery involve extraperitoneal pelvic operation and retrograde </w:t>
            </w:r>
            <w:r w:rsidRPr="00CB2EC4">
              <w:rPr>
                <w:rFonts w:ascii="Times New Roman" w:hAnsi="Times New Roman" w:cs="Times New Roman"/>
              </w:rPr>
              <w:lastRenderedPageBreak/>
              <w:t>hysterectomy. Specific operative points are as follows: 1) Dissect the pelvic retroperitoneal space... After identifying the ureter, perform high ligation of the ovarian vessels... Alongside the sigmoid colon and rectum, incise the medial peritoneum of the pelvic sidewall down to the level of the rectouterine pouch... Expand the anterior aspects of the paravesical and pararectal spaces..."</w:t>
            </w:r>
          </w:p>
        </w:tc>
        <w:tc>
          <w:tcPr>
            <w:tcW w:w="1152" w:type="dxa"/>
            <w:vAlign w:val="center"/>
          </w:tcPr>
          <w:p w14:paraId="1D5533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89616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DDC3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434622" w14:textId="77777777">
        <w:tc>
          <w:tcPr>
            <w:tcW w:w="2160" w:type="dxa"/>
            <w:vAlign w:val="center"/>
          </w:tcPr>
          <w:p w14:paraId="5CCF80D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SelfRAG</w:t>
            </w:r>
          </w:p>
        </w:tc>
        <w:tc>
          <w:tcPr>
            <w:tcW w:w="5040" w:type="dxa"/>
            <w:vAlign w:val="center"/>
          </w:tcPr>
          <w:p w14:paraId="1F8EF467" w14:textId="77777777" w:rsidR="00922249" w:rsidRPr="00CB2EC4" w:rsidRDefault="003011D5">
            <w:pPr>
              <w:rPr>
                <w:rFonts w:ascii="Times New Roman" w:hAnsi="Times New Roman" w:cs="Times New Roman"/>
              </w:rPr>
            </w:pPr>
            <w:r w:rsidRPr="00CB2EC4">
              <w:rPr>
                <w:rFonts w:ascii="Times New Roman" w:hAnsi="Times New Roman" w:cs="Times New Roman"/>
              </w:rPr>
              <w:t>why the retroperitoneal approach (extraperitoneal operation) is recommended for managing widely disseminated and severely adherent advanced ovarian cancer in the pelvis</w:t>
            </w:r>
            <w:r w:rsidRPr="00CB2EC4">
              <w:rPr>
                <w:rFonts w:ascii="Times New Roman" w:hAnsi="Times New Roman" w:cs="Times New Roman"/>
              </w:rPr>
              <w:br/>
            </w:r>
            <w:r w:rsidRPr="00CB2EC4">
              <w:rPr>
                <w:rFonts w:ascii="Times New Roman" w:hAnsi="Times New Roman" w:cs="Times New Roman"/>
              </w:rPr>
              <w:br/>
              <w:t>- **Reason for recommendation**: Ovarian cancer has poor infiltrative capability and rarely penetrates the peritoneum to invade retroperitoneal muscles, vessels, and nerves; therefore, the retroperitoneal space represents a relatively safe surgical plane.</w:t>
            </w:r>
            <w:r w:rsidRPr="00CB2EC4">
              <w:rPr>
                <w:rFonts w:ascii="Times New Roman" w:hAnsi="Times New Roman" w:cs="Times New Roman"/>
              </w:rPr>
              <w:br/>
              <w:t>- **Core advantages**:</w:t>
            </w:r>
            <w:r w:rsidRPr="00CB2EC4">
              <w:rPr>
                <w:rFonts w:ascii="Times New Roman" w:hAnsi="Times New Roman" w:cs="Times New Roman"/>
              </w:rPr>
              <w:br/>
              <w:t xml:space="preserve">  - Avoids injury to critical retroperitoneal structures (such as the ureter, blood vessels, and nerves);</w:t>
            </w:r>
            <w:r w:rsidRPr="00CB2EC4">
              <w:rPr>
                <w:rFonts w:ascii="Times New Roman" w:hAnsi="Times New Roman" w:cs="Times New Roman"/>
              </w:rPr>
              <w:br/>
              <w:t xml:space="preserve">  - Facilitates dissection of deep pelvic adhesions (e.g., rectouterine pouch masses), especially for tumors difficult to resect via conventional intraperitoneal approach;</w:t>
            </w:r>
            <w:r w:rsidRPr="00CB2EC4">
              <w:rPr>
                <w:rFonts w:ascii="Times New Roman" w:hAnsi="Times New Roman" w:cs="Times New Roman"/>
              </w:rPr>
              <w:br/>
              <w:t xml:space="preserve">  - Enables en bloc tumor separation.</w:t>
            </w:r>
            <w:r w:rsidRPr="00CB2EC4">
              <w:rPr>
                <w:rFonts w:ascii="Times New Roman" w:hAnsi="Times New Roman" w:cs="Times New Roman"/>
              </w:rPr>
              <w:br/>
              <w:t>- **Key surgical techniques** (based on source description):</w:t>
            </w:r>
            <w:r w:rsidRPr="00CB2EC4">
              <w:rPr>
                <w:rFonts w:ascii="Times New Roman" w:hAnsi="Times New Roman" w:cs="Times New Roman"/>
              </w:rPr>
              <w:br/>
              <w:t xml:space="preserve">  1. Dissection of the pelvic retroperitoneal space: Incise the posterior peritoneum at the pelvic inlet to identify the ureter and iliac vessels;</w:t>
            </w:r>
            <w:r w:rsidRPr="00CB2EC4">
              <w:rPr>
                <w:rFonts w:ascii="Times New Roman" w:hAnsi="Times New Roman" w:cs="Times New Roman"/>
              </w:rPr>
              <w:br/>
              <w:t xml:space="preserve">  2. Retroperitoneal hysterectomy: First ligate the uterine vessels and ligaments, separate the uterus from the rectum, then address the cervix—avoiding forced </w:t>
            </w:r>
            <w:r w:rsidRPr="00CB2EC4">
              <w:rPr>
                <w:rFonts w:ascii="Times New Roman" w:hAnsi="Times New Roman" w:cs="Times New Roman"/>
              </w:rPr>
              <w:lastRenderedPageBreak/>
              <w:t>dissection of adhesions to prevent injury.</w:t>
            </w:r>
            <w:r w:rsidRPr="00CB2EC4">
              <w:rPr>
                <w:rFonts w:ascii="Times New Roman" w:hAnsi="Times New Roman" w:cs="Times New Roman"/>
              </w:rPr>
              <w:br/>
            </w:r>
            <w:r w:rsidRPr="00CB2EC4">
              <w:rPr>
                <w:rFonts w:ascii="Times New Roman" w:hAnsi="Times New Roman" w:cs="Times New Roman"/>
              </w:rPr>
              <w:br/>
              <w:t>&gt; Basis: The second paragraph of the source states: "For advanced ovarian cancer, the retroperitoneal space may be selected for operation... The technical key to pelvic surgery is extraperitoneal pelvic operation and retroperitoneal hysterectomy."</w:t>
            </w:r>
          </w:p>
        </w:tc>
        <w:tc>
          <w:tcPr>
            <w:tcW w:w="1152" w:type="dxa"/>
            <w:vAlign w:val="center"/>
          </w:tcPr>
          <w:p w14:paraId="4A42D8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7E52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624CF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02B3DA" w14:textId="77777777">
        <w:tc>
          <w:tcPr>
            <w:tcW w:w="2160" w:type="dxa"/>
            <w:vAlign w:val="center"/>
          </w:tcPr>
          <w:p w14:paraId="08E64093"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448000D" w14:textId="77777777" w:rsidR="00922249" w:rsidRPr="00CB2EC4" w:rsidRDefault="003011D5">
            <w:pPr>
              <w:rPr>
                <w:rFonts w:ascii="Times New Roman" w:hAnsi="Times New Roman" w:cs="Times New Roman"/>
              </w:rPr>
            </w:pPr>
            <w:r w:rsidRPr="00CB2EC4">
              <w:rPr>
                <w:rFonts w:ascii="Times New Roman" w:hAnsi="Times New Roman" w:cs="Times New Roman"/>
              </w:rPr>
              <w:t>in the management of advanced ovarian cancer with extensive peritoneal seeding and severe adhesions in the pelvis, the retroperitoneal approach (extraperitoneal operation) is recommended because:</w:t>
            </w:r>
            <w:r w:rsidRPr="00CB2EC4">
              <w:rPr>
                <w:rFonts w:ascii="Times New Roman" w:hAnsi="Times New Roman" w:cs="Times New Roman"/>
              </w:rPr>
              <w:br/>
            </w:r>
            <w:r w:rsidRPr="00CB2EC4">
              <w:rPr>
                <w:rFonts w:ascii="Times New Roman" w:hAnsi="Times New Roman" w:cs="Times New Roman"/>
              </w:rPr>
              <w:br/>
              <w:t>- Ovarian cancer has relatively poor infiltrative capability and rarely penetrates the peritoneum to invade the deep retroperitoneal muscles, vessels, and nerves. Therefore, in cases of widespread pelvic tumor implantation and dense adhesions, operating within the retroperitoneal space avoids direct injury to critical pelvic structures (such as the ureter, rectum, and blood vessels) and enables safer dissection and removal of the tumor.</w:t>
            </w:r>
            <w:r w:rsidRPr="00CB2EC4">
              <w:rPr>
                <w:rFonts w:ascii="Times New Roman" w:hAnsi="Times New Roman" w:cs="Times New Roman"/>
              </w:rPr>
              <w:br/>
            </w:r>
            <w:r w:rsidRPr="00CB2EC4">
              <w:rPr>
                <w:rFonts w:ascii="Times New Roman" w:hAnsi="Times New Roman" w:cs="Times New Roman"/>
              </w:rPr>
              <w:br/>
              <w:t>Key surgical technique points:</w:t>
            </w:r>
            <w:r w:rsidRPr="00CB2EC4">
              <w:rPr>
                <w:rFonts w:ascii="Times New Roman" w:hAnsi="Times New Roman" w:cs="Times New Roman"/>
              </w:rPr>
              <w:br/>
              <w:t>1. Dissection of the pelvic retroperitoneal space: Incise the posterior peritoneum lateral to the infundibulopelvic ligament at the pelvic inlet to identify the iliac vessels and ureter.</w:t>
            </w:r>
            <w:r w:rsidRPr="00CB2EC4">
              <w:rPr>
                <w:rFonts w:ascii="Times New Roman" w:hAnsi="Times New Roman" w:cs="Times New Roman"/>
              </w:rPr>
              <w:br/>
              <w:t>2. Extension of the peritoneal incision: Incise the posterior peritoneum along the pelvic brim, ligate the round ligament, and extend the incision laterally along the ovarian vessels.</w:t>
            </w:r>
            <w:r w:rsidRPr="00CB2EC4">
              <w:rPr>
                <w:rFonts w:ascii="Times New Roman" w:hAnsi="Times New Roman" w:cs="Times New Roman"/>
              </w:rPr>
              <w:br/>
              <w:t>3. Identification and protection of the ureter: After initial opening of the retroperitoneal space, ligate the ovarian vessels at a high level.</w:t>
            </w:r>
            <w:r w:rsidRPr="00CB2EC4">
              <w:rPr>
                <w:rFonts w:ascii="Times New Roman" w:hAnsi="Times New Roman" w:cs="Times New Roman"/>
              </w:rPr>
              <w:br/>
            </w:r>
            <w:r w:rsidRPr="00CB2EC4">
              <w:rPr>
                <w:rFonts w:ascii="Times New Roman" w:hAnsi="Times New Roman" w:cs="Times New Roman"/>
              </w:rPr>
              <w:lastRenderedPageBreak/>
              <w:t>4. Stripping of the lateral pelvic peritoneum: Dissect from the periphery toward the center into the depths of the pelvis along the retroperitoneal plane, incise the medial peritoneum of the pelvic sidewall lateral to the sigmoid colon and rectum down to the rectouterine pouch.</w:t>
            </w:r>
            <w:r w:rsidRPr="00CB2EC4">
              <w:rPr>
                <w:rFonts w:ascii="Times New Roman" w:hAnsi="Times New Roman" w:cs="Times New Roman"/>
              </w:rPr>
              <w:br/>
              <w:t>5. Retroperitoneal hysterectomy: When excision of the mass in the rectouterine pouch is difficult, perform a retrograde hysterectomy to separate the mass from the rectum.</w:t>
            </w:r>
            <w:r w:rsidRPr="00CB2EC4">
              <w:rPr>
                <w:rFonts w:ascii="Times New Roman" w:hAnsi="Times New Roman" w:cs="Times New Roman"/>
              </w:rPr>
              <w:br/>
            </w:r>
            <w:r w:rsidRPr="00CB2EC4">
              <w:rPr>
                <w:rFonts w:ascii="Times New Roman" w:hAnsi="Times New Roman" w:cs="Times New Roman"/>
              </w:rPr>
              <w:br/>
              <w:t>Core advantages:</w:t>
            </w:r>
            <w:r w:rsidRPr="00CB2EC4">
              <w:rPr>
                <w:rFonts w:ascii="Times New Roman" w:hAnsi="Times New Roman" w:cs="Times New Roman"/>
              </w:rPr>
              <w:br/>
              <w:t>- Enhanced safety: As ovarian cancer seldom invades deep retroperitoneal structures, this approach reduces intraoperative bleeding and complications (e.g., ureteral injury).</w:t>
            </w:r>
            <w:r w:rsidRPr="00CB2EC4">
              <w:rPr>
                <w:rFonts w:ascii="Times New Roman" w:hAnsi="Times New Roman" w:cs="Times New Roman"/>
              </w:rPr>
              <w:br/>
              <w:t>- Improved completeness of resection: Allows more thorough removal of densely adherent tumor deposits in the pelvis, especially for large, widely disseminated masses.</w:t>
            </w:r>
            <w:r w:rsidRPr="00CB2EC4">
              <w:rPr>
                <w:rFonts w:ascii="Times New Roman" w:hAnsi="Times New Roman" w:cs="Times New Roman"/>
              </w:rPr>
              <w:br/>
              <w:t>- Increased operability: Provides an alternative when conventional intraperitoneal dissection is technically challenging, thereby improving the success rate of optimal cytoreduction.</w:t>
            </w:r>
          </w:p>
        </w:tc>
        <w:tc>
          <w:tcPr>
            <w:tcW w:w="1152" w:type="dxa"/>
            <w:vAlign w:val="center"/>
          </w:tcPr>
          <w:p w14:paraId="5936B2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26A2E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9987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EBBC18B" w14:textId="77777777">
        <w:tc>
          <w:tcPr>
            <w:tcW w:w="2160" w:type="dxa"/>
            <w:vAlign w:val="center"/>
          </w:tcPr>
          <w:p w14:paraId="59BA7BD9"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22E22E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recommended to adopt the retroperitoneal approach (extraperitoneal operation) when managing advanced ovarian cancer with extensive peritoneal seeding and severe adhesions in the pelvis, as ovarian cancer demonstrates relatively poor infiltrative capacity and rarely penetrates the peritoneum to invade retroperitoneal muscles, blood vessels, and nerves. this allows for safe dissection and resection of pelvic masses in the extraperitoneal space, avoiding injury to critical structures while facilitating the management of </w:t>
            </w:r>
            <w:r w:rsidRPr="00CB2EC4">
              <w:rPr>
                <w:rFonts w:ascii="Times New Roman" w:hAnsi="Times New Roman" w:cs="Times New Roman"/>
              </w:rPr>
              <w:lastRenderedPageBreak/>
              <w:t xml:space="preserve">densely adherent areas such as the rectouterine pouch.  </w:t>
            </w:r>
            <w:r w:rsidRPr="00CB2EC4">
              <w:rPr>
                <w:rFonts w:ascii="Times New Roman" w:hAnsi="Times New Roman" w:cs="Times New Roman"/>
              </w:rPr>
              <w:br/>
              <w:t xml:space="preserve">- core advantages: the primary benefits include enhanced surgical safety, reduced complications, and more complete tumor cytoreduction. specifically:  </w:t>
            </w:r>
            <w:r w:rsidRPr="00CB2EC4">
              <w:rPr>
                <w:rFonts w:ascii="Times New Roman" w:hAnsi="Times New Roman" w:cs="Times New Roman"/>
              </w:rPr>
              <w:br/>
              <w:t xml:space="preserve">  - avoids direct trauma to retroperitoneal vessels, nerves, and muscles.  </w:t>
            </w:r>
            <w:r w:rsidRPr="00CB2EC4">
              <w:rPr>
                <w:rFonts w:ascii="Times New Roman" w:hAnsi="Times New Roman" w:cs="Times New Roman"/>
              </w:rPr>
              <w:br/>
              <w:t xml:space="preserve">  - facilitates retrograde hysterectomy, enabling separation of rectouterine pouch tumors from the rectum and resection of tumors with challenging adhesions.  </w:t>
            </w:r>
            <w:r w:rsidRPr="00CB2EC4">
              <w:rPr>
                <w:rFonts w:ascii="Times New Roman" w:hAnsi="Times New Roman" w:cs="Times New Roman"/>
              </w:rPr>
              <w:br/>
              <w:t xml:space="preserve">- key surgical technique points:  </w:t>
            </w:r>
            <w:r w:rsidRPr="00CB2EC4">
              <w:rPr>
                <w:rFonts w:ascii="Times New Roman" w:hAnsi="Times New Roman" w:cs="Times New Roman"/>
              </w:rPr>
              <w:br/>
              <w:t xml:space="preserve">  1. dissect the pelvic retroperitoneal space: incise the posterior peritoneum lateral to the infundibulopelvic ligament at the pelvic inlet to identify the iliac vessels and ureter.  </w:t>
            </w:r>
            <w:r w:rsidRPr="00CB2EC4">
              <w:rPr>
                <w:rFonts w:ascii="Times New Roman" w:hAnsi="Times New Roman" w:cs="Times New Roman"/>
              </w:rPr>
              <w:br/>
              <w:t xml:space="preserve">  2. divide the round ligament and ovarian vessels: extend the peritoneal incision laterally along the ovarian vessels and ligate them at a high level.  </w:t>
            </w:r>
            <w:r w:rsidRPr="00CB2EC4">
              <w:rPr>
                <w:rFonts w:ascii="Times New Roman" w:hAnsi="Times New Roman" w:cs="Times New Roman"/>
              </w:rPr>
              <w:br/>
              <w:t xml:space="preserve">  3. strip the lateral pelvic peritoneum: advance the dissection from the periphery toward the pelvic floor along the posterior peritoneal incision, reaching the lowest point of the tumor, then incise the medial peritoneum of the pelvic sidewall along the sigmoid colon and rectal side.  </w:t>
            </w:r>
            <w:r w:rsidRPr="00CB2EC4">
              <w:rPr>
                <w:rFonts w:ascii="Times New Roman" w:hAnsi="Times New Roman" w:cs="Times New Roman"/>
              </w:rPr>
              <w:br/>
              <w:t xml:space="preserve">  4. develop the bladder and rectal lateral spaces: dissect the ureter down to the uterine artery level to improve exposure and enable tumor resection.  </w:t>
            </w:r>
            <w:r w:rsidRPr="00CB2EC4">
              <w:rPr>
                <w:rFonts w:ascii="Times New Roman" w:hAnsi="Times New Roman" w:cs="Times New Roman"/>
              </w:rPr>
              <w:br/>
              <w:t xml:space="preserve">(source: document excerpt [similarity: 0.630]: "late-stage ovarian cancer may be managed via the retroperitoneal space (termed extraperitoneal operation). when resection of rectouterine pouch masses is difficult, a retrograde hysterectomy may be employed... the technical crux of pelvic surgery lies in extraperitoneal pelvic dissection and retrograde </w:t>
            </w:r>
            <w:r w:rsidRPr="00CB2EC4">
              <w:rPr>
                <w:rFonts w:ascii="Times New Roman" w:hAnsi="Times New Roman" w:cs="Times New Roman"/>
              </w:rPr>
              <w:lastRenderedPageBreak/>
              <w:t>hysterectomy. key procedural steps include: 1) dissecting the pelvic retroperitoneal space... identifying the ureter and ligating the ovarian vessels at a high level... incising the medial peritoneum of the pelvic sidewall along the sigmoid colon and rectum...")</w:t>
            </w:r>
          </w:p>
        </w:tc>
        <w:tc>
          <w:tcPr>
            <w:tcW w:w="1152" w:type="dxa"/>
            <w:vAlign w:val="center"/>
          </w:tcPr>
          <w:p w14:paraId="1EFCCC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34053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5E289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06A4EDD" w14:textId="77777777">
        <w:tc>
          <w:tcPr>
            <w:tcW w:w="2160" w:type="dxa"/>
            <w:vAlign w:val="center"/>
          </w:tcPr>
          <w:p w14:paraId="13FCE3C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67BA89C0" w14:textId="77777777" w:rsidR="00922249" w:rsidRPr="00CB2EC4" w:rsidRDefault="003011D5">
            <w:pPr>
              <w:rPr>
                <w:rFonts w:ascii="Times New Roman" w:hAnsi="Times New Roman" w:cs="Times New Roman"/>
              </w:rPr>
            </w:pPr>
            <w:r w:rsidRPr="00CB2EC4">
              <w:rPr>
                <w:rFonts w:ascii="Times New Roman" w:hAnsi="Times New Roman" w:cs="Times New Roman"/>
              </w:rPr>
              <w:t>when managing advanced ovarian cancer with extensive peritoneal seeding and severe adhesions in the pelvis, the retroperitoneal approach (extraperitoneal technique) is recommended for the following reasons:</w:t>
            </w:r>
            <w:r w:rsidRPr="00CB2EC4">
              <w:rPr>
                <w:rFonts w:ascii="Times New Roman" w:hAnsi="Times New Roman" w:cs="Times New Roman"/>
              </w:rPr>
              <w:br/>
            </w:r>
            <w:r w:rsidRPr="00CB2EC4">
              <w:rPr>
                <w:rFonts w:ascii="Times New Roman" w:hAnsi="Times New Roman" w:cs="Times New Roman"/>
              </w:rPr>
              <w:br/>
              <w:t>- **Rationale for recommendation**: Ovarian cancer has relatively limited infiltrative capacity and rarely penetrates the peritoneum to invade retroperitoneal muscles, blood vessels, or nerves. The extraperitoneal approach avoids injury to retroperitoneal organs (such as the ureter, rectum, vessels, and nerves) while enabling more complete resection of pelvic tumors, especially when the tumor is densely adherent to the rectum or pelvic sidewalls.</w:t>
            </w:r>
            <w:r w:rsidRPr="00CB2EC4">
              <w:rPr>
                <w:rFonts w:ascii="Times New Roman" w:hAnsi="Times New Roman" w:cs="Times New Roman"/>
              </w:rPr>
              <w:br/>
            </w:r>
            <w:r w:rsidRPr="00CB2EC4">
              <w:rPr>
                <w:rFonts w:ascii="Times New Roman" w:hAnsi="Times New Roman" w:cs="Times New Roman"/>
              </w:rPr>
              <w:br/>
              <w:t>- **Core advantages**:</w:t>
            </w:r>
            <w:r w:rsidRPr="00CB2EC4">
              <w:rPr>
                <w:rFonts w:ascii="Times New Roman" w:hAnsi="Times New Roman" w:cs="Times New Roman"/>
              </w:rPr>
              <w:br/>
              <w:t xml:space="preserve">  - Avoids injury to critical organs: Direct access to the retroperitoneal space reduces intraoperative bleeding and complication risks.</w:t>
            </w:r>
            <w:r w:rsidRPr="00CB2EC4">
              <w:rPr>
                <w:rFonts w:ascii="Times New Roman" w:hAnsi="Times New Roman" w:cs="Times New Roman"/>
              </w:rPr>
              <w:br/>
              <w:t xml:space="preserve">  - Improves tumor debulking rate: Facilitates dissection of rectouterine pouch masses using retrograde hysterectomy techniques, allowing easier separation of tumor from the rectum.</w:t>
            </w:r>
            <w:r w:rsidRPr="00CB2EC4">
              <w:rPr>
                <w:rFonts w:ascii="Times New Roman" w:hAnsi="Times New Roman" w:cs="Times New Roman"/>
              </w:rPr>
              <w:br/>
            </w:r>
            <w:r w:rsidRPr="00CB2EC4">
              <w:rPr>
                <w:rFonts w:ascii="Times New Roman" w:hAnsi="Times New Roman" w:cs="Times New Roman"/>
              </w:rPr>
              <w:br/>
              <w:t>- **Key surgical technique points (based on Document Fragment 8)**:</w:t>
            </w:r>
            <w:r w:rsidRPr="00CB2EC4">
              <w:rPr>
                <w:rFonts w:ascii="Times New Roman" w:hAnsi="Times New Roman" w:cs="Times New Roman"/>
              </w:rPr>
              <w:br/>
              <w:t xml:space="preserve">  1. Dissect the pelvic retroperitoneal space: Incise the </w:t>
            </w:r>
            <w:r w:rsidRPr="00CB2EC4">
              <w:rPr>
                <w:rFonts w:ascii="Times New Roman" w:hAnsi="Times New Roman" w:cs="Times New Roman"/>
              </w:rPr>
              <w:lastRenderedPageBreak/>
              <w:t>posterior peritoneum lateral to the infundibulopelvic ligament at the pelvic brim to identify the iliac vessels and ureter.</w:t>
            </w:r>
            <w:r w:rsidRPr="00CB2EC4">
              <w:rPr>
                <w:rFonts w:ascii="Times New Roman" w:hAnsi="Times New Roman" w:cs="Times New Roman"/>
              </w:rPr>
              <w:br/>
              <w:t xml:space="preserve">  2. Ligate ovarian vessels high: After identifying the ureter, ligate and divide the ovarian vessels at a high level.</w:t>
            </w:r>
            <w:r w:rsidRPr="00CB2EC4">
              <w:rPr>
                <w:rFonts w:ascii="Times New Roman" w:hAnsi="Times New Roman" w:cs="Times New Roman"/>
              </w:rPr>
              <w:br/>
              <w:t xml:space="preserve">  3. Strip the lateral pelvic peritoneum: Dissect the lateral peritoneum from the pelvic inlet toward the pelvic floor, incising the peritoneum along the sigmoid colon and rectal side to the rectouterine pouch.</w:t>
            </w:r>
            <w:r w:rsidRPr="00CB2EC4">
              <w:rPr>
                <w:rFonts w:ascii="Times New Roman" w:hAnsi="Times New Roman" w:cs="Times New Roman"/>
              </w:rPr>
              <w:br/>
              <w:t xml:space="preserve">  4. Develop the bladder and rectal lateral spaces: Dissect the ureter down to the level of the uterine artery to enable safe tumor resection.</w:t>
            </w:r>
            <w:r w:rsidRPr="00CB2EC4">
              <w:rPr>
                <w:rFonts w:ascii="Times New Roman" w:hAnsi="Times New Roman" w:cs="Times New Roman"/>
              </w:rPr>
              <w:br/>
            </w:r>
            <w:r w:rsidRPr="00CB2EC4">
              <w:rPr>
                <w:rFonts w:ascii="Times New Roman" w:hAnsi="Times New Roman" w:cs="Times New Roman"/>
              </w:rPr>
              <w:br/>
              <w:t>(Source: Document Fragment 8, which details the technique and advantages of the extraperitoneal approach.)</w:t>
            </w:r>
          </w:p>
        </w:tc>
        <w:tc>
          <w:tcPr>
            <w:tcW w:w="1152" w:type="dxa"/>
            <w:vAlign w:val="center"/>
          </w:tcPr>
          <w:p w14:paraId="7A4389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0886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E182C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7E5FCC" w14:textId="77777777">
        <w:tc>
          <w:tcPr>
            <w:tcW w:w="2160" w:type="dxa"/>
            <w:vAlign w:val="center"/>
          </w:tcPr>
          <w:p w14:paraId="496049C7"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0DFB3ACD" w14:textId="77777777" w:rsidR="00922249" w:rsidRPr="00CB2EC4" w:rsidRDefault="003011D5">
            <w:pPr>
              <w:rPr>
                <w:rFonts w:ascii="Times New Roman" w:hAnsi="Times New Roman" w:cs="Times New Roman"/>
              </w:rPr>
            </w:pPr>
            <w:r w:rsidRPr="00CB2EC4">
              <w:rPr>
                <w:rFonts w:ascii="Times New Roman" w:hAnsi="Times New Roman" w:cs="Times New Roman"/>
              </w:rPr>
              <w:t>in the management of advanced ovarian cancer with extensive peritoneal seeding and severe adhesions in the pelvis, the recommendation for a retroperitoneal approach (extraperitoneal operation) stems from its ability to circumvent intraperitoneal adhesions, minimize injury to bowel and ureters, and enhance the feasibility of complete tumor resection. the core advantages, aligned with surgical technique key points, are as follows:</w:t>
            </w:r>
            <w:r w:rsidRPr="00CB2EC4">
              <w:rPr>
                <w:rFonts w:ascii="Times New Roman" w:hAnsi="Times New Roman" w:cs="Times New Roman"/>
              </w:rPr>
              <w:br/>
            </w:r>
            <w:r w:rsidRPr="00CB2EC4">
              <w:rPr>
                <w:rFonts w:ascii="Times New Roman" w:hAnsi="Times New Roman" w:cs="Times New Roman"/>
              </w:rPr>
              <w:br/>
              <w:t>- **core advantages:**</w:t>
            </w:r>
            <w:r w:rsidRPr="00CB2EC4">
              <w:rPr>
                <w:rFonts w:ascii="Times New Roman" w:hAnsi="Times New Roman" w:cs="Times New Roman"/>
              </w:rPr>
              <w:br/>
              <w:t xml:space="preserve">  - **avoidance of critical structure injury:** ovarian cancer exhibits limited infiltrative capacity and rarely penetrates the peritoneum to invade retroperitoneal muscles, vessels, or nerves. the extraperitoneal approach operates directly within the retroperitoneal </w:t>
            </w:r>
            <w:r w:rsidRPr="00CB2EC4">
              <w:rPr>
                <w:rFonts w:ascii="Times New Roman" w:hAnsi="Times New Roman" w:cs="Times New Roman"/>
              </w:rPr>
              <w:lastRenderedPageBreak/>
              <w:t>space, bypassing densely adhered bowel and bladder, thereby reducing intraoperative complications such as bowel perforation or ureteral injury.</w:t>
            </w:r>
            <w:r w:rsidRPr="00CB2EC4">
              <w:rPr>
                <w:rFonts w:ascii="Times New Roman" w:hAnsi="Times New Roman" w:cs="Times New Roman"/>
              </w:rPr>
              <w:br/>
              <w:t xml:space="preserve">  - **improved exposure and dissection for complete pelvic tumor removal:** in areas of severe adhesion (e.g., uterosacral ligament and rectovaginal septum), the extraperitoneal method enables more direct separation of tumor from the rectum or sigmoid colon, facilitating retrograde hysterectomy and allowing en bloc resection of the pelvic peritoneum enveloping the tumor.</w:t>
            </w:r>
            <w:r w:rsidRPr="00CB2EC4">
              <w:rPr>
                <w:rFonts w:ascii="Times New Roman" w:hAnsi="Times New Roman" w:cs="Times New Roman"/>
              </w:rPr>
              <w:br/>
              <w:t xml:space="preserve">  - **reduced bleeding risk:** by enabling precise identification and isolation of structures such as the ureter and ovarian vessels, the approach enhances surgical accuracy and diminishes intraoperative hemorrhage.</w:t>
            </w:r>
            <w:r w:rsidRPr="00CB2EC4">
              <w:rPr>
                <w:rFonts w:ascii="Times New Roman" w:hAnsi="Times New Roman" w:cs="Times New Roman"/>
              </w:rPr>
              <w:br/>
            </w:r>
            <w:r w:rsidRPr="00CB2EC4">
              <w:rPr>
                <w:rFonts w:ascii="Times New Roman" w:hAnsi="Times New Roman" w:cs="Times New Roman"/>
              </w:rPr>
              <w:br/>
              <w:t>- **surgical technique key points:**</w:t>
            </w:r>
            <w:r w:rsidRPr="00CB2EC4">
              <w:rPr>
                <w:rFonts w:ascii="Times New Roman" w:hAnsi="Times New Roman" w:cs="Times New Roman"/>
              </w:rPr>
              <w:br/>
              <w:t xml:space="preserve">  - **dissection of the pelvic retroperitoneal space:** initiate by incising the posterior peritoneum at the pelvic brim (fig. 9-5), identify the ureter and iliac vessels, and dissect the peritoneum laterally along the pelvic sidewall toward the pelvic floor to mobilize the lateral peritoneum (fig. 9-7).</w:t>
            </w:r>
            <w:r w:rsidRPr="00CB2EC4">
              <w:rPr>
                <w:rFonts w:ascii="Times New Roman" w:hAnsi="Times New Roman" w:cs="Times New Roman"/>
              </w:rPr>
              <w:br/>
              <w:t xml:space="preserve">  - **identification and protection of the ureter:** retract the ureter laterally to avoid inadvertent injury during dissection.</w:t>
            </w:r>
            <w:r w:rsidRPr="00CB2EC4">
              <w:rPr>
                <w:rFonts w:ascii="Times New Roman" w:hAnsi="Times New Roman" w:cs="Times New Roman"/>
              </w:rPr>
              <w:br/>
              <w:t xml:space="preserve">  - **high ligation of ovarian vessels:** transect the ovarian vessels within the retroperitoneal space to reduce vascular interference and bleeding.</w:t>
            </w:r>
            <w:r w:rsidRPr="00CB2EC4">
              <w:rPr>
                <w:rFonts w:ascii="Times New Roman" w:hAnsi="Times New Roman" w:cs="Times New Roman"/>
              </w:rPr>
              <w:br/>
              <w:t xml:space="preserve">  - **retrograde hysterectomy:** when tumor adheres to the rectouterine pouch, begin dissection from the posterior vaginal fornix (fig. 9-14), sequentially resect the uterosacral ligaments (fig. 9-15), and elevate the </w:t>
            </w:r>
            <w:r w:rsidRPr="00CB2EC4">
              <w:rPr>
                <w:rFonts w:ascii="Times New Roman" w:hAnsi="Times New Roman" w:cs="Times New Roman"/>
              </w:rPr>
              <w:lastRenderedPageBreak/>
              <w:t>tumor en bloc to the level of the anterior abdominal wall (fig. 9-18) to enable safe resection.</w:t>
            </w:r>
            <w:r w:rsidRPr="00CB2EC4">
              <w:rPr>
                <w:rFonts w:ascii="Times New Roman" w:hAnsi="Times New Roman" w:cs="Times New Roman"/>
              </w:rPr>
              <w:br/>
              <w:t xml:space="preserve">  these technical steps ensure minimal disruption to surrounding tissues, with the core advantage being improved completeness of tumor resection and reduced complication rates.</w:t>
            </w:r>
          </w:p>
        </w:tc>
        <w:tc>
          <w:tcPr>
            <w:tcW w:w="1152" w:type="dxa"/>
            <w:vAlign w:val="center"/>
          </w:tcPr>
          <w:p w14:paraId="7A0B86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72D967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AF22B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7CEB6B" w14:textId="77777777">
        <w:tc>
          <w:tcPr>
            <w:tcW w:w="2160" w:type="dxa"/>
            <w:vAlign w:val="center"/>
          </w:tcPr>
          <w:p w14:paraId="262DF43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4BFDE8E5" w14:textId="77777777" w:rsidR="00922249" w:rsidRPr="00CB2EC4" w:rsidRDefault="003011D5">
            <w:pPr>
              <w:rPr>
                <w:rFonts w:ascii="Times New Roman" w:hAnsi="Times New Roman" w:cs="Times New Roman"/>
              </w:rPr>
            </w:pPr>
            <w:r w:rsidRPr="00CB2EC4">
              <w:rPr>
                <w:rFonts w:ascii="Times New Roman" w:hAnsi="Times New Roman" w:cs="Times New Roman"/>
              </w:rPr>
              <w:t>When dealing with advanced ovarian cancer with extensive pelvic implantation and severe adhesions, the retroperitoneal approach (extraperitoneal operation) is recommended for the following reasons and core advantages:</w:t>
            </w:r>
            <w:r w:rsidRPr="00CB2EC4">
              <w:rPr>
                <w:rFonts w:ascii="Times New Roman" w:hAnsi="Times New Roman" w:cs="Times New Roman"/>
              </w:rPr>
              <w:br/>
            </w:r>
            <w:r w:rsidRPr="00CB2EC4">
              <w:rPr>
                <w:rFonts w:ascii="Times New Roman" w:hAnsi="Times New Roman" w:cs="Times New Roman"/>
              </w:rPr>
              <w:br/>
              <w:t>- **Reduced Intraoperative Bleeding and Organ Injury Risk**: By accessing through the retroperitoneal space, the approach avoids the heavily adhered anterior abdominal wall and peritoneal surfaces with implanted lesions, directly entering potential anatomical planes. This minimizes the risk of damaging intestines, blood vessels, and adjacent organs during dissection, particularly enhancing safety in cases of extensive tumor implantation and peritoneal hyperemia/edema.</w:t>
            </w:r>
            <w:r w:rsidRPr="00CB2EC4">
              <w:rPr>
                <w:rFonts w:ascii="Times New Roman" w:hAnsi="Times New Roman" w:cs="Times New Roman"/>
              </w:rPr>
              <w:br/>
            </w:r>
            <w:r w:rsidRPr="00CB2EC4">
              <w:rPr>
                <w:rFonts w:ascii="Times New Roman" w:hAnsi="Times New Roman" w:cs="Times New Roman"/>
              </w:rPr>
              <w:br/>
              <w:t xml:space="preserve">- **Optimized Exposure of Critical Anatomical Structures**: Extraperitoneal operation allows surgeons to gradually dissect retroperitoneal fat, lymphatic tissues, and neurovascular bundles from the pelvic sidewall (e.g., iliac vessel region). Under direct visualization, it facilitates clear identification of the ureter's course, internal/external iliac artery branches, and autonomic nerve plexuses. This provides precise visibility for complete resection of adhered lesions (e.g., rectouterine pouch, omental implants), avoiding blind dissection that could lead to ureteral or nerve </w:t>
            </w:r>
            <w:r w:rsidRPr="00CB2EC4">
              <w:rPr>
                <w:rFonts w:ascii="Times New Roman" w:hAnsi="Times New Roman" w:cs="Times New Roman"/>
              </w:rPr>
              <w:lastRenderedPageBreak/>
              <w:t>injuries.</w:t>
            </w:r>
            <w:r w:rsidRPr="00CB2EC4">
              <w:rPr>
                <w:rFonts w:ascii="Times New Roman" w:hAnsi="Times New Roman" w:cs="Times New Roman"/>
              </w:rPr>
              <w:br/>
            </w:r>
            <w:r w:rsidRPr="00CB2EC4">
              <w:rPr>
                <w:rFonts w:ascii="Times New Roman" w:hAnsi="Times New Roman" w:cs="Times New Roman"/>
              </w:rPr>
              <w:br/>
              <w:t xml:space="preserve">- **Key Technical Points**:  </w:t>
            </w:r>
            <w:r w:rsidRPr="00CB2EC4">
              <w:rPr>
                <w:rFonts w:ascii="Times New Roman" w:hAnsi="Times New Roman" w:cs="Times New Roman"/>
              </w:rPr>
              <w:br/>
              <w:t xml:space="preserve">  → Begin at the infundibulopelvic ligament or obturator region, sharply or bluntly dissecting the loose connective tissue of the retroperitoneum;  </w:t>
            </w:r>
            <w:r w:rsidRPr="00CB2EC4">
              <w:rPr>
                <w:rFonts w:ascii="Times New Roman" w:hAnsi="Times New Roman" w:cs="Times New Roman"/>
              </w:rPr>
              <w:br/>
              <w:t xml:space="preserve">  → Trace downward along the iliac vascular sheath, prioritizing ureteral mobilization and protection until its entry into the pelvis;  </w:t>
            </w:r>
            <w:r w:rsidRPr="00CB2EC4">
              <w:rPr>
                <w:rFonts w:ascii="Times New Roman" w:hAnsi="Times New Roman" w:cs="Times New Roman"/>
              </w:rPr>
              <w:br/>
              <w:t xml:space="preserve">  → Progressively advance toward the midline, separating the uterine artery-ureter crossing area to completely resect parametrial and paravaginal involved tissues;  </w:t>
            </w:r>
            <w:r w:rsidRPr="00CB2EC4">
              <w:rPr>
                <w:rFonts w:ascii="Times New Roman" w:hAnsi="Times New Roman" w:cs="Times New Roman"/>
              </w:rPr>
              <w:br/>
              <w:t xml:space="preserve">  → Operate at the extraperitoneal level when handling uterosacral and cardinal ligaments to reduce rectal injury risk.</w:t>
            </w:r>
            <w:r w:rsidRPr="00CB2EC4">
              <w:rPr>
                <w:rFonts w:ascii="Times New Roman" w:hAnsi="Times New Roman" w:cs="Times New Roman"/>
              </w:rPr>
              <w:br/>
            </w:r>
            <w:r w:rsidRPr="00CB2EC4">
              <w:rPr>
                <w:rFonts w:ascii="Times New Roman" w:hAnsi="Times New Roman" w:cs="Times New Roman"/>
              </w:rPr>
              <w:br/>
              <w:t xml:space="preserve">- **Core Advantages Summary**:  </w:t>
            </w:r>
            <w:r w:rsidRPr="00CB2EC4">
              <w:rPr>
                <w:rFonts w:ascii="Times New Roman" w:hAnsi="Times New Roman" w:cs="Times New Roman"/>
              </w:rPr>
              <w:br/>
              <w:t xml:space="preserve">  → Significantly reduces intraoperative blood loss and transfusion requirements;  </w:t>
            </w:r>
            <w:r w:rsidRPr="00CB2EC4">
              <w:rPr>
                <w:rFonts w:ascii="Times New Roman" w:hAnsi="Times New Roman" w:cs="Times New Roman"/>
              </w:rPr>
              <w:br/>
              <w:t xml:space="preserve">  → Shortens operative time (due to reduced adhesion dissection time);  </w:t>
            </w:r>
            <w:r w:rsidRPr="00CB2EC4">
              <w:rPr>
                <w:rFonts w:ascii="Times New Roman" w:hAnsi="Times New Roman" w:cs="Times New Roman"/>
              </w:rPr>
              <w:br/>
              <w:t xml:space="preserve">  → Lowers postoperative ileus incidence (by avoiding extensive peritoneal disturbance and repeated intestinal traction);  </w:t>
            </w:r>
            <w:r w:rsidRPr="00CB2EC4">
              <w:rPr>
                <w:rFonts w:ascii="Times New Roman" w:hAnsi="Times New Roman" w:cs="Times New Roman"/>
              </w:rPr>
              <w:br/>
              <w:t xml:space="preserve">  → Facilitates achieving cytoreduction goals, particularly improving R0 resection rates in cases of deep infiltration or perivascular implantation.</w:t>
            </w:r>
            <w:r w:rsidRPr="00CB2EC4">
              <w:rPr>
                <w:rFonts w:ascii="Times New Roman" w:hAnsi="Times New Roman" w:cs="Times New Roman"/>
              </w:rPr>
              <w:br/>
            </w:r>
            <w:r w:rsidRPr="00CB2EC4">
              <w:rPr>
                <w:rFonts w:ascii="Times New Roman" w:hAnsi="Times New Roman" w:cs="Times New Roman"/>
              </w:rPr>
              <w:br/>
              <w:t xml:space="preserve">- **Applicability Note**: Although existing literature primarily focuses on nerve-sparing techniques for endometrial or cervical cancer, the principles of extraperitoneal operation are equally applicable to advanced ovarian cancer cases with extensive </w:t>
            </w:r>
            <w:r w:rsidRPr="00CB2EC4">
              <w:rPr>
                <w:rFonts w:ascii="Times New Roman" w:hAnsi="Times New Roman" w:cs="Times New Roman"/>
              </w:rPr>
              <w:lastRenderedPageBreak/>
              <w:t>abdominopelvic adhesions. The anatomical rationale and core objective of complication reduction are universally valid. The approach should be flexibly selected based on individualized assessments (e.g., adhesion density, tumor distribution).</w:t>
            </w:r>
          </w:p>
        </w:tc>
        <w:tc>
          <w:tcPr>
            <w:tcW w:w="1152" w:type="dxa"/>
            <w:vAlign w:val="center"/>
          </w:tcPr>
          <w:p w14:paraId="66DC85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4E7AC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6D30B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33B0CF6" w14:textId="77777777">
        <w:tc>
          <w:tcPr>
            <w:tcW w:w="10656" w:type="dxa"/>
            <w:gridSpan w:val="5"/>
            <w:tcBorders>
              <w:bottom w:val="single" w:sz="6" w:space="0" w:color="auto"/>
            </w:tcBorders>
            <w:vAlign w:val="center"/>
          </w:tcPr>
          <w:p w14:paraId="286058CA" w14:textId="77777777" w:rsidR="00922249" w:rsidRPr="00CB2EC4" w:rsidRDefault="003011D5">
            <w:pPr>
              <w:rPr>
                <w:rFonts w:ascii="Times New Roman" w:hAnsi="Times New Roman" w:cs="Times New Roman"/>
              </w:rPr>
            </w:pPr>
            <w:r w:rsidRPr="00CB2EC4">
              <w:rPr>
                <w:rFonts w:ascii="Times New Roman" w:hAnsi="Times New Roman" w:cs="Times New Roman"/>
                <w:b/>
              </w:rPr>
              <w:lastRenderedPageBreak/>
              <w:t>Question 183: What are the two surgical approaches for resecting para-aortic lymph nodes, and how is each performed?</w:t>
            </w:r>
          </w:p>
        </w:tc>
      </w:tr>
      <w:tr w:rsidR="00922249" w:rsidRPr="00CB2EC4" w14:paraId="1C42116A" w14:textId="77777777">
        <w:tc>
          <w:tcPr>
            <w:tcW w:w="2160" w:type="dxa"/>
            <w:vAlign w:val="center"/>
          </w:tcPr>
          <w:p w14:paraId="5B6CE918"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C37329B" w14:textId="77777777" w:rsidR="00922249" w:rsidRPr="00CB2EC4" w:rsidRDefault="003011D5">
            <w:pPr>
              <w:rPr>
                <w:rFonts w:ascii="Times New Roman" w:hAnsi="Times New Roman" w:cs="Times New Roman"/>
              </w:rPr>
            </w:pPr>
            <w:r w:rsidRPr="00CB2EC4">
              <w:rPr>
                <w:rFonts w:ascii="Times New Roman" w:hAnsi="Times New Roman" w:cs="Times New Roman"/>
              </w:rPr>
              <w:t>two surgical approaches for resection of para-aortic lymph nodes are as follows:</w:t>
            </w:r>
            <w:r w:rsidRPr="00CB2EC4">
              <w:rPr>
                <w:rFonts w:ascii="Times New Roman" w:hAnsi="Times New Roman" w:cs="Times New Roman"/>
              </w:rPr>
              <w:br/>
            </w:r>
            <w:r w:rsidRPr="00CB2EC4">
              <w:rPr>
                <w:rFonts w:ascii="Times New Roman" w:hAnsi="Times New Roman" w:cs="Times New Roman"/>
              </w:rPr>
              <w:br/>
              <w:t>1. Standard approach (conventional route):</w:t>
            </w:r>
            <w:r w:rsidRPr="00CB2EC4">
              <w:rPr>
                <w:rFonts w:ascii="Times New Roman" w:hAnsi="Times New Roman" w:cs="Times New Roman"/>
              </w:rPr>
              <w:br/>
              <w:t xml:space="preserve">   - Incision site: Begin at the upper aspect of the common iliac vessels, crossing over the right ureter.</w:t>
            </w:r>
            <w:r w:rsidRPr="00CB2EC4">
              <w:rPr>
                <w:rFonts w:ascii="Times New Roman" w:hAnsi="Times New Roman" w:cs="Times New Roman"/>
              </w:rPr>
              <w:br/>
              <w:t xml:space="preserve">   - Procedure: Extend the incision along the common iliac artery to the level of the aortic bifurcation, then incise the retroperitoneum cephalad (upward) along the abdominal aorta to the root of the small bowel mesentery (Figure 9-25).</w:t>
            </w:r>
            <w:r w:rsidRPr="00CB2EC4">
              <w:rPr>
                <w:rFonts w:ascii="Times New Roman" w:hAnsi="Times New Roman" w:cs="Times New Roman"/>
              </w:rPr>
              <w:br/>
              <w:t xml:space="preserve">   - Subsequent steps: After exposure of the operative field, perform lymph node dissection. Identify the course of the ureter and ovarian vessels, and retract them laterally using vascular retractors.</w:t>
            </w:r>
            <w:r w:rsidRPr="00CB2EC4">
              <w:rPr>
                <w:rFonts w:ascii="Times New Roman" w:hAnsi="Times New Roman" w:cs="Times New Roman"/>
              </w:rPr>
              <w:br/>
            </w:r>
            <w:r w:rsidRPr="00CB2EC4">
              <w:rPr>
                <w:rFonts w:ascii="Times New Roman" w:hAnsi="Times New Roman" w:cs="Times New Roman"/>
              </w:rPr>
              <w:br/>
              <w:t>2. Alternative approach:</w:t>
            </w:r>
            <w:r w:rsidRPr="00CB2EC4">
              <w:rPr>
                <w:rFonts w:ascii="Times New Roman" w:hAnsi="Times New Roman" w:cs="Times New Roman"/>
              </w:rPr>
              <w:br/>
              <w:t xml:space="preserve">   - Incision site: Incise the retroperitoneum 2–3 cm below the ileocecal junction.</w:t>
            </w:r>
            <w:r w:rsidRPr="00CB2EC4">
              <w:rPr>
                <w:rFonts w:ascii="Times New Roman" w:hAnsi="Times New Roman" w:cs="Times New Roman"/>
              </w:rPr>
              <w:br/>
              <w:t xml:space="preserve">   - Procedure: Extend laterally along the right paracolic gutter to the hepatocolic ligament. Extend medially along the ileocecal region to the aortic bifurcation (Figure 9-26).</w:t>
            </w:r>
            <w:r w:rsidRPr="00CB2EC4">
              <w:rPr>
                <w:rFonts w:ascii="Times New Roman" w:hAnsi="Times New Roman" w:cs="Times New Roman"/>
              </w:rPr>
              <w:br/>
              <w:t xml:space="preserve">   - Subsequent steps: Reflect the retroperitoneum to the left, then perform lymph node dissection. Similarly, identify the ureter and vascular structures to avoid injury.</w:t>
            </w:r>
            <w:r w:rsidRPr="00CB2EC4">
              <w:rPr>
                <w:rFonts w:ascii="Times New Roman" w:hAnsi="Times New Roman" w:cs="Times New Roman"/>
              </w:rPr>
              <w:br/>
            </w:r>
            <w:r w:rsidRPr="00CB2EC4">
              <w:rPr>
                <w:rFonts w:ascii="Times New Roman" w:hAnsi="Times New Roman" w:cs="Times New Roman"/>
              </w:rPr>
              <w:lastRenderedPageBreak/>
              <w:br/>
              <w:t>Both approaches require entry into the retroperitoneal space, with priority given to identifying the ureter and ovarian vessels to ensure safe exposure of the operative field.</w:t>
            </w:r>
            <w:r w:rsidRPr="00CB2EC4">
              <w:rPr>
                <w:rFonts w:ascii="Times New Roman" w:hAnsi="Times New Roman" w:cs="Times New Roman"/>
              </w:rPr>
              <w:br/>
            </w:r>
            <w:r w:rsidRPr="00CB2EC4">
              <w:rPr>
                <w:rFonts w:ascii="Times New Roman" w:hAnsi="Times New Roman" w:cs="Times New Roman"/>
              </w:rPr>
              <w:br/>
              <w:t>(Figure references: 9-25, 9-26)</w:t>
            </w:r>
          </w:p>
        </w:tc>
        <w:tc>
          <w:tcPr>
            <w:tcW w:w="1152" w:type="dxa"/>
            <w:vAlign w:val="center"/>
          </w:tcPr>
          <w:p w14:paraId="6C9D4B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976F1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32562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B55C76C" w14:textId="77777777">
        <w:tc>
          <w:tcPr>
            <w:tcW w:w="2160" w:type="dxa"/>
            <w:vAlign w:val="center"/>
          </w:tcPr>
          <w:p w14:paraId="2DA2DBB6"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BD3A48A" w14:textId="77777777" w:rsidR="00922249" w:rsidRPr="00CB2EC4" w:rsidRDefault="003011D5">
            <w:pPr>
              <w:rPr>
                <w:rFonts w:ascii="Times New Roman" w:hAnsi="Times New Roman" w:cs="Times New Roman"/>
              </w:rPr>
            </w:pPr>
            <w:r w:rsidRPr="00CB2EC4">
              <w:rPr>
                <w:rFonts w:ascii="Times New Roman" w:hAnsi="Times New Roman" w:cs="Times New Roman"/>
              </w:rPr>
              <w:t>two surgical approaches for para-aortic lymph node dissection</w:t>
            </w:r>
            <w:r w:rsidRPr="00CB2EC4">
              <w:rPr>
                <w:rFonts w:ascii="Times New Roman" w:hAnsi="Times New Roman" w:cs="Times New Roman"/>
              </w:rPr>
              <w:br/>
            </w:r>
            <w:r w:rsidRPr="00CB2EC4">
              <w:rPr>
                <w:rFonts w:ascii="Times New Roman" w:hAnsi="Times New Roman" w:cs="Times New Roman"/>
              </w:rPr>
              <w:br/>
              <w:t>according to document fragment 27 (block no. 710) and fragment 29 (block no. 609), the dissection approaches are as follows:</w:t>
            </w:r>
            <w:r w:rsidRPr="00CB2EC4">
              <w:rPr>
                <w:rFonts w:ascii="Times New Roman" w:hAnsi="Times New Roman" w:cs="Times New Roman"/>
              </w:rPr>
              <w:br/>
              <w:t>1. standard approach (direct method):</w:t>
            </w:r>
            <w:r w:rsidRPr="00CB2EC4">
              <w:rPr>
                <w:rFonts w:ascii="Times New Roman" w:hAnsi="Times New Roman" w:cs="Times New Roman"/>
              </w:rPr>
              <w:br/>
              <w:t xml:space="preserve">   - open the peritoneum: make a longitudinal incision in the peritoneum anterior to the right common iliac artery, extending to the aortic bifurcation, then continue upward along the abdominal aorta to the root of the mesentery (level of the horizontal duodenum).</w:t>
            </w:r>
            <w:r w:rsidRPr="00CB2EC4">
              <w:rPr>
                <w:rFonts w:ascii="Times New Roman" w:hAnsi="Times New Roman" w:cs="Times New Roman"/>
              </w:rPr>
              <w:br/>
              <w:t xml:space="preserve">   - key steps: identify and retract the ureter and ovarian vessels, remove lympho-fatty tissue covering the inferior vena cava and abdominal aorta. applicable for right-sided lymph node dissection.</w:t>
            </w:r>
            <w:r w:rsidRPr="00CB2EC4">
              <w:rPr>
                <w:rFonts w:ascii="Times New Roman" w:hAnsi="Times New Roman" w:cs="Times New Roman"/>
              </w:rPr>
              <w:br/>
              <w:t>2. lateral approach (via the paracolic gutter):</w:t>
            </w:r>
            <w:r w:rsidRPr="00CB2EC4">
              <w:rPr>
                <w:rFonts w:ascii="Times New Roman" w:hAnsi="Times New Roman" w:cs="Times New Roman"/>
              </w:rPr>
              <w:br/>
              <w:t xml:space="preserve">   - open the peritoneum: incise the posterior peritoneum 2–3 cm below the ileocecal junction, extend along the right paracolic gutter to the hepatocolic ligament, and medially to the aortic bifurcation.</w:t>
            </w:r>
            <w:r w:rsidRPr="00CB2EC4">
              <w:rPr>
                <w:rFonts w:ascii="Times New Roman" w:hAnsi="Times New Roman" w:cs="Times New Roman"/>
              </w:rPr>
              <w:br/>
              <w:t xml:space="preserve">   - key steps: reflect the posterior peritoneum to the left to expose the retroperitoneal space, then dissect the lymph nodes. applicable for left-sided lymph node dissection; caution is needed to avoid injury to the inferior mesenteric artery.</w:t>
            </w:r>
            <w:r w:rsidRPr="00CB2EC4">
              <w:rPr>
                <w:rFonts w:ascii="Times New Roman" w:hAnsi="Times New Roman" w:cs="Times New Roman"/>
              </w:rPr>
              <w:br/>
            </w:r>
            <w:r w:rsidRPr="00CB2EC4">
              <w:rPr>
                <w:rFonts w:ascii="Times New Roman" w:hAnsi="Times New Roman" w:cs="Times New Roman"/>
              </w:rPr>
              <w:lastRenderedPageBreak/>
              <w:t>basis: fragment 710 details the incision positions and operative steps for both approaches.</w:t>
            </w:r>
          </w:p>
        </w:tc>
        <w:tc>
          <w:tcPr>
            <w:tcW w:w="1152" w:type="dxa"/>
            <w:vAlign w:val="center"/>
          </w:tcPr>
          <w:p w14:paraId="615C30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C34D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7E82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44CF3C6" w14:textId="77777777">
        <w:tc>
          <w:tcPr>
            <w:tcW w:w="2160" w:type="dxa"/>
            <w:vAlign w:val="center"/>
          </w:tcPr>
          <w:p w14:paraId="24D085D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EAAD8C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Right-sided approach:  </w:t>
            </w:r>
            <w:r w:rsidRPr="00CB2EC4">
              <w:rPr>
                <w:rFonts w:ascii="Times New Roman" w:hAnsi="Times New Roman" w:cs="Times New Roman"/>
              </w:rPr>
              <w:br/>
              <w:t xml:space="preserve">   - Incise the lateral peritoneum on the convex surface of the duodenal C-loop to the second part of the duodenum.  </w:t>
            </w:r>
            <w:r w:rsidRPr="00CB2EC4">
              <w:rPr>
                <w:rFonts w:ascii="Times New Roman" w:hAnsi="Times New Roman" w:cs="Times New Roman"/>
              </w:rPr>
              <w:br/>
              <w:t xml:space="preserve">   - Dissect the inferior vena cava, identify and separate the right ovarian artery and vein.  </w:t>
            </w:r>
            <w:r w:rsidRPr="00CB2EC4">
              <w:rPr>
                <w:rFonts w:ascii="Times New Roman" w:hAnsi="Times New Roman" w:cs="Times New Roman"/>
              </w:rPr>
              <w:br/>
              <w:t xml:space="preserve">   - Separate the right paraaortic lymph nodes from the inferior vena cava, and resect them up to the level of the renal vessels (Fragment 5).  </w:t>
            </w:r>
            <w:r w:rsidRPr="00CB2EC4">
              <w:rPr>
                <w:rFonts w:ascii="Times New Roman" w:hAnsi="Times New Roman" w:cs="Times New Roman"/>
              </w:rPr>
              <w:br/>
              <w:t xml:space="preserve">   Alternatively described as: Separate the pre-caval fat pad and retroperitoneal space, dissect upward across the aorta; anatomical landmarks are the inferior mesenteric artery and ovarian vessels; grasp, elevate, and resect the lymphoadipose tissue between the inferior vena cava and aorta (Fragment 13).  </w:t>
            </w:r>
            <w:r w:rsidRPr="00CB2EC4">
              <w:rPr>
                <w:rFonts w:ascii="Times New Roman" w:hAnsi="Times New Roman" w:cs="Times New Roman"/>
              </w:rPr>
              <w:br/>
            </w:r>
            <w:r w:rsidRPr="00CB2EC4">
              <w:rPr>
                <w:rFonts w:ascii="Times New Roman" w:hAnsi="Times New Roman" w:cs="Times New Roman"/>
              </w:rPr>
              <w:br/>
              <w:t xml:space="preserve">2. Left-sided approach:  </w:t>
            </w:r>
            <w:r w:rsidRPr="00CB2EC4">
              <w:rPr>
                <w:rFonts w:ascii="Times New Roman" w:hAnsi="Times New Roman" w:cs="Times New Roman"/>
              </w:rPr>
              <w:br/>
              <w:t xml:space="preserve">   - Incise the peritoneum of the left paracolic gutter and mobilize the left colon medially from its convex surface.  </w:t>
            </w:r>
            <w:r w:rsidRPr="00CB2EC4">
              <w:rPr>
                <w:rFonts w:ascii="Times New Roman" w:hAnsi="Times New Roman" w:cs="Times New Roman"/>
              </w:rPr>
              <w:br/>
              <w:t xml:space="preserve">   - Identify the ureter and ovarian vessels from the peritoneal reflection and retract them laterally.  </w:t>
            </w:r>
            <w:r w:rsidRPr="00CB2EC4">
              <w:rPr>
                <w:rFonts w:ascii="Times New Roman" w:hAnsi="Times New Roman" w:cs="Times New Roman"/>
              </w:rPr>
              <w:br/>
              <w:t xml:space="preserve">   - After identifying the aorta and inferior mesenteric artery, dissect the left paraaortic lymph nodes from caudal to cephalad and resect them (Fragment 5).  </w:t>
            </w:r>
            <w:r w:rsidRPr="00CB2EC4">
              <w:rPr>
                <w:rFonts w:ascii="Times New Roman" w:hAnsi="Times New Roman" w:cs="Times New Roman"/>
              </w:rPr>
              <w:br/>
              <w:t xml:space="preserve">   Alternatively described as: Identify the ureter and retract it laterally; resect the left paraaortic lymph nodes along the right side of the aorta; grasp and elevate the lymph nodes along the left side of the lower aorta and left common iliac artery for resection (Fragment 13).  </w:t>
            </w:r>
            <w:r w:rsidRPr="00CB2EC4">
              <w:rPr>
                <w:rFonts w:ascii="Times New Roman" w:hAnsi="Times New Roman" w:cs="Times New Roman"/>
              </w:rPr>
              <w:br/>
              <w:t xml:space="preserve">   (Source: Fragment 5 and Fragment 13; other </w:t>
            </w:r>
            <w:r w:rsidRPr="00CB2EC4">
              <w:rPr>
                <w:rFonts w:ascii="Times New Roman" w:hAnsi="Times New Roman" w:cs="Times New Roman"/>
              </w:rPr>
              <w:lastRenderedPageBreak/>
              <w:t>fragments such as 3, 9, 17 provide supplementary details, but core techniques are based on Fragment 5)</w:t>
            </w:r>
          </w:p>
        </w:tc>
        <w:tc>
          <w:tcPr>
            <w:tcW w:w="1152" w:type="dxa"/>
            <w:vAlign w:val="center"/>
          </w:tcPr>
          <w:p w14:paraId="2B4B1E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BCD28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9D44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93A28B" w14:textId="77777777">
        <w:tc>
          <w:tcPr>
            <w:tcW w:w="2160" w:type="dxa"/>
            <w:vAlign w:val="center"/>
          </w:tcPr>
          <w:p w14:paraId="6730B7B6"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304B794" w14:textId="77777777" w:rsidR="00922249" w:rsidRPr="00CB2EC4" w:rsidRDefault="003011D5">
            <w:pPr>
              <w:rPr>
                <w:rFonts w:ascii="Times New Roman" w:hAnsi="Times New Roman" w:cs="Times New Roman"/>
              </w:rPr>
            </w:pPr>
            <w:r w:rsidRPr="00CB2EC4">
              <w:rPr>
                <w:rFonts w:ascii="Times New Roman" w:hAnsi="Times New Roman" w:cs="Times New Roman"/>
              </w:rPr>
              <w:t>surgical approaches for para-aortic lymph node dissection</w:t>
            </w:r>
            <w:r w:rsidRPr="00CB2EC4">
              <w:rPr>
                <w:rFonts w:ascii="Times New Roman" w:hAnsi="Times New Roman" w:cs="Times New Roman"/>
              </w:rPr>
              <w:br/>
            </w:r>
            <w:r w:rsidRPr="00CB2EC4">
              <w:rPr>
                <w:rFonts w:ascii="Times New Roman" w:hAnsi="Times New Roman" w:cs="Times New Roman"/>
              </w:rPr>
              <w:br/>
              <w:t xml:space="preserve">Source: Knowledge base document  </w:t>
            </w:r>
            <w:r w:rsidRPr="00CB2EC4">
              <w:rPr>
                <w:rFonts w:ascii="Times New Roman" w:hAnsi="Times New Roman" w:cs="Times New Roman"/>
              </w:rPr>
              <w:br/>
              <w:t xml:space="preserve">Two surgical approaches:  </w:t>
            </w:r>
            <w:r w:rsidRPr="00CB2EC4">
              <w:rPr>
                <w:rFonts w:ascii="Times New Roman" w:hAnsi="Times New Roman" w:cs="Times New Roman"/>
              </w:rPr>
              <w:br/>
              <w:t xml:space="preserve">1. Caudal-to-cranial approach:  </w:t>
            </w:r>
            <w:r w:rsidRPr="00CB2EC4">
              <w:rPr>
                <w:rFonts w:ascii="Times New Roman" w:hAnsi="Times New Roman" w:cs="Times New Roman"/>
              </w:rPr>
              <w:br/>
              <w:t xml:space="preserve">   - Right side: Dissect the anterior fat pad of the inferior vena cava, remove lymphoid tissue anterior to the aorta, between the aorta and inferior vena cava, and alongside the psoas major muscle, reaching the level of the horizontal part of the duodenum (Figure 9-27).  </w:t>
            </w:r>
            <w:r w:rsidRPr="00CB2EC4">
              <w:rPr>
                <w:rFonts w:ascii="Times New Roman" w:hAnsi="Times New Roman" w:cs="Times New Roman"/>
              </w:rPr>
              <w:br/>
              <w:t xml:space="preserve">   - Left side: Flip the sigmoid mesocolon, dissect lymphoid tissue alongside the left common iliac artery up to the origin of the inferior mesenteric artery (Figure 9-28).  </w:t>
            </w:r>
            <w:r w:rsidRPr="00CB2EC4">
              <w:rPr>
                <w:rFonts w:ascii="Times New Roman" w:hAnsi="Times New Roman" w:cs="Times New Roman"/>
              </w:rPr>
              <w:br/>
              <w:t xml:space="preserve">2. Cranial-to-caudal approach:  </w:t>
            </w:r>
            <w:r w:rsidRPr="00CB2EC4">
              <w:rPr>
                <w:rFonts w:ascii="Times New Roman" w:hAnsi="Times New Roman" w:cs="Times New Roman"/>
              </w:rPr>
              <w:br/>
              <w:t xml:space="preserve">   - First dissect the renal pedicle, then sequentially remove lymph nodes alongside the vena cava, the aorta, and posterior to the vessels (vascular traction with rubber bands is required).  </w:t>
            </w:r>
            <w:r w:rsidRPr="00CB2EC4">
              <w:rPr>
                <w:rFonts w:ascii="Times New Roman" w:hAnsi="Times New Roman" w:cs="Times New Roman"/>
              </w:rPr>
              <w:br/>
              <w:t xml:space="preserve">   &gt; *Note: Left-sided dissection requires protection of the inferior mesenteric artery; radical dissection necessitates removal of lymph nodes posterior to the vessels.*</w:t>
            </w:r>
          </w:p>
        </w:tc>
        <w:tc>
          <w:tcPr>
            <w:tcW w:w="1152" w:type="dxa"/>
            <w:vAlign w:val="center"/>
          </w:tcPr>
          <w:p w14:paraId="770389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DB61A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E2257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D64BCF7" w14:textId="77777777">
        <w:tc>
          <w:tcPr>
            <w:tcW w:w="2160" w:type="dxa"/>
            <w:vAlign w:val="center"/>
          </w:tcPr>
          <w:p w14:paraId="18CF95FA"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EB9457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From the cephalad side (renal pedicle approach):  </w:t>
            </w:r>
            <w:r w:rsidRPr="00CB2EC4">
              <w:rPr>
                <w:rFonts w:ascii="Times New Roman" w:hAnsi="Times New Roman" w:cs="Times New Roman"/>
              </w:rPr>
              <w:br/>
              <w:t xml:space="preserve">   - First, dissect the renal pedicle area.  </w:t>
            </w:r>
            <w:r w:rsidRPr="00CB2EC4">
              <w:rPr>
                <w:rFonts w:ascii="Times New Roman" w:hAnsi="Times New Roman" w:cs="Times New Roman"/>
              </w:rPr>
              <w:br/>
              <w:t xml:space="preserve">   - Sequentially remove the paracaval, inter-caval-aortic, preaortic, and para-aortic lymph nodes.  </w:t>
            </w:r>
            <w:r w:rsidRPr="00CB2EC4">
              <w:rPr>
                <w:rFonts w:ascii="Times New Roman" w:hAnsi="Times New Roman" w:cs="Times New Roman"/>
              </w:rPr>
              <w:br/>
              <w:t xml:space="preserve">   - For radical resection, use rubber bands or vessel loops to retract the vessels, dissect the artery and vein, </w:t>
            </w:r>
            <w:r w:rsidRPr="00CB2EC4">
              <w:rPr>
                <w:rFonts w:ascii="Times New Roman" w:hAnsi="Times New Roman" w:cs="Times New Roman"/>
              </w:rPr>
              <w:lastRenderedPageBreak/>
              <w:t xml:space="preserve">and remove the lymph nodes posterior to them.  </w:t>
            </w:r>
            <w:r w:rsidRPr="00CB2EC4">
              <w:rPr>
                <w:rFonts w:ascii="Times New Roman" w:hAnsi="Times New Roman" w:cs="Times New Roman"/>
              </w:rPr>
              <w:br/>
              <w:t xml:space="preserve">   - The endpoint of dissection is at the level of the third part of the duodenum.  </w:t>
            </w:r>
            <w:r w:rsidRPr="00CB2EC4">
              <w:rPr>
                <w:rFonts w:ascii="Times New Roman" w:hAnsi="Times New Roman" w:cs="Times New Roman"/>
              </w:rPr>
              <w:br/>
            </w:r>
            <w:r w:rsidRPr="00CB2EC4">
              <w:rPr>
                <w:rFonts w:ascii="Times New Roman" w:hAnsi="Times New Roman" w:cs="Times New Roman"/>
              </w:rPr>
              <w:br/>
              <w:t xml:space="preserve">2. From the caudal side (aortic bifurcation approach):  </w:t>
            </w:r>
            <w:r w:rsidRPr="00CB2EC4">
              <w:rPr>
                <w:rFonts w:ascii="Times New Roman" w:hAnsi="Times New Roman" w:cs="Times New Roman"/>
              </w:rPr>
              <w:br/>
              <w:t xml:space="preserve">   - Begin at the level of the aortic bifurcation (e.g., near the common iliac vessels).  </w:t>
            </w:r>
            <w:r w:rsidRPr="00CB2EC4">
              <w:rPr>
                <w:rFonts w:ascii="Times New Roman" w:hAnsi="Times New Roman" w:cs="Times New Roman"/>
              </w:rPr>
              <w:br/>
              <w:t xml:space="preserve">   - Clear the right para-aortic lymphatic tissue (including preaortic, inter-aortic-caval, precaval, and peripsoas lympho-fatty tissue), ligate and divide at the caudal end.  </w:t>
            </w:r>
            <w:r w:rsidRPr="00CB2EC4">
              <w:rPr>
                <w:rFonts w:ascii="Times New Roman" w:hAnsi="Times New Roman" w:cs="Times New Roman"/>
              </w:rPr>
              <w:br/>
              <w:t xml:space="preserve">   - Reflect the specimen cephalad, dissect free to the level of the third part of the duodenum, then ligate and divide.  </w:t>
            </w:r>
            <w:r w:rsidRPr="00CB2EC4">
              <w:rPr>
                <w:rFonts w:ascii="Times New Roman" w:hAnsi="Times New Roman" w:cs="Times New Roman"/>
              </w:rPr>
              <w:br/>
              <w:t xml:space="preserve">   - Next, address the left para-aortic area: reflect the sigmoid mesocolon to the left, dissect lymphoid tissue near the left common iliac artery, proceed cephalad to the level of the third part of the duodenum, taking care to preserve the inferior mesenteric artery.  </w:t>
            </w:r>
            <w:r w:rsidRPr="00CB2EC4">
              <w:rPr>
                <w:rFonts w:ascii="Times New Roman" w:hAnsi="Times New Roman" w:cs="Times New Roman"/>
              </w:rPr>
              <w:br/>
            </w:r>
            <w:r w:rsidRPr="00CB2EC4">
              <w:rPr>
                <w:rFonts w:ascii="Times New Roman" w:hAnsi="Times New Roman" w:cs="Times New Roman"/>
              </w:rPr>
              <w:br/>
              <w:t xml:space="preserve">- Both approaches require identification and protection of the ureter, ovarian vessels, and other structures to avoid injury.  </w:t>
            </w:r>
            <w:r w:rsidRPr="00CB2EC4">
              <w:rPr>
                <w:rFonts w:ascii="Times New Roman" w:hAnsi="Times New Roman" w:cs="Times New Roman"/>
              </w:rPr>
              <w:br/>
              <w:t>(Source: Document Fragment 21)</w:t>
            </w:r>
          </w:p>
        </w:tc>
        <w:tc>
          <w:tcPr>
            <w:tcW w:w="1152" w:type="dxa"/>
            <w:vAlign w:val="center"/>
          </w:tcPr>
          <w:p w14:paraId="54AA3E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227841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102A4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0973288" w14:textId="77777777">
        <w:tc>
          <w:tcPr>
            <w:tcW w:w="2160" w:type="dxa"/>
            <w:vAlign w:val="center"/>
          </w:tcPr>
          <w:p w14:paraId="5CB217A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742969F" w14:textId="77777777" w:rsidR="00922249" w:rsidRPr="00CB2EC4" w:rsidRDefault="003011D5">
            <w:pPr>
              <w:rPr>
                <w:rFonts w:ascii="Times New Roman" w:hAnsi="Times New Roman" w:cs="Times New Roman"/>
              </w:rPr>
            </w:pPr>
            <w:r w:rsidRPr="00CB2EC4">
              <w:rPr>
                <w:rFonts w:ascii="Times New Roman" w:hAnsi="Times New Roman" w:cs="Times New Roman"/>
              </w:rPr>
              <w:t>The two main surgical approaches for para-aortic lymph node dissection are open surgery and laparoscopic surgery, with specific procedures as follows:</w:t>
            </w:r>
            <w:r w:rsidRPr="00CB2EC4">
              <w:rPr>
                <w:rFonts w:ascii="Times New Roman" w:hAnsi="Times New Roman" w:cs="Times New Roman"/>
              </w:rPr>
              <w:br/>
            </w:r>
            <w:r w:rsidRPr="00CB2EC4">
              <w:rPr>
                <w:rFonts w:ascii="Times New Roman" w:hAnsi="Times New Roman" w:cs="Times New Roman"/>
              </w:rPr>
              <w:br/>
              <w:t xml:space="preserve">**1. Open Surgical Approach (Open Retroperitoneal Lymph Node Dissection)**  </w:t>
            </w:r>
            <w:r w:rsidRPr="00CB2EC4">
              <w:rPr>
                <w:rFonts w:ascii="Times New Roman" w:hAnsi="Times New Roman" w:cs="Times New Roman"/>
              </w:rPr>
              <w:br/>
              <w:t xml:space="preserve">→ The patient is placed in a supine or modified lateral position under general anesthesia.  </w:t>
            </w:r>
            <w:r w:rsidRPr="00CB2EC4">
              <w:rPr>
                <w:rFonts w:ascii="Times New Roman" w:hAnsi="Times New Roman" w:cs="Times New Roman"/>
              </w:rPr>
              <w:br/>
              <w:t xml:space="preserve">→ A midline or paramedian abdominal longitudinal </w:t>
            </w:r>
            <w:r w:rsidRPr="00CB2EC4">
              <w:rPr>
                <w:rFonts w:ascii="Times New Roman" w:hAnsi="Times New Roman" w:cs="Times New Roman"/>
              </w:rPr>
              <w:lastRenderedPageBreak/>
              <w:t xml:space="preserve">incision is made, with the length determined by the surgical scope (typically from the upper midline to below the umbilicus).  </w:t>
            </w:r>
            <w:r w:rsidRPr="00CB2EC4">
              <w:rPr>
                <w:rFonts w:ascii="Times New Roman" w:hAnsi="Times New Roman" w:cs="Times New Roman"/>
              </w:rPr>
              <w:br/>
              <w:t xml:space="preserve">→ The abdominal wall (skin, subcutaneous tissue, linea alba) is incised layer by layer to enter the abdominal cavity.  </w:t>
            </w:r>
            <w:r w:rsidRPr="00CB2EC4">
              <w:rPr>
                <w:rFonts w:ascii="Times New Roman" w:hAnsi="Times New Roman" w:cs="Times New Roman"/>
              </w:rPr>
              <w:br/>
              <w:t xml:space="preserve">→ The abdominal cavity is explored to assess tumor distribution and lymph node enlargement.  </w:t>
            </w:r>
            <w:r w:rsidRPr="00CB2EC4">
              <w:rPr>
                <w:rFonts w:ascii="Times New Roman" w:hAnsi="Times New Roman" w:cs="Times New Roman"/>
              </w:rPr>
              <w:br/>
              <w:t xml:space="preserve">→ The transverse colon and mesentery are retracted upward to expose the lower segment of the abdominal aorta and its bifurcation.  </w:t>
            </w:r>
            <w:r w:rsidRPr="00CB2EC4">
              <w:rPr>
                <w:rFonts w:ascii="Times New Roman" w:hAnsi="Times New Roman" w:cs="Times New Roman"/>
              </w:rPr>
              <w:br/>
              <w:t xml:space="preserve">→ The retroperitoneal fat and tissues are sharply or bluntly dissected to reveal the abdominal aorta, left and right common iliac arteries, and surrounding lymph nodes (usually from the level of the renal veins to the bifurcation of the common iliac arteries).  </w:t>
            </w:r>
            <w:r w:rsidRPr="00CB2EC4">
              <w:rPr>
                <w:rFonts w:ascii="Times New Roman" w:hAnsi="Times New Roman" w:cs="Times New Roman"/>
              </w:rPr>
              <w:br/>
              <w:t xml:space="preserve">→ Careful dissection is performed along the vascular sheath to remove para-aortic, paracaval, common iliac artery, and iliac vessel lymph nodes, with attention to protecting the ureters, gonadal vessels, lumbar venous plexus, and autonomic nerves.  </w:t>
            </w:r>
            <w:r w:rsidRPr="00CB2EC4">
              <w:rPr>
                <w:rFonts w:ascii="Times New Roman" w:hAnsi="Times New Roman" w:cs="Times New Roman"/>
              </w:rPr>
              <w:br/>
              <w:t>→ Hemostasis is ensured, a drainage tube is placed, and the abdominal wall is closed layer by layer.</w:t>
            </w:r>
            <w:r w:rsidRPr="00CB2EC4">
              <w:rPr>
                <w:rFonts w:ascii="Times New Roman" w:hAnsi="Times New Roman" w:cs="Times New Roman"/>
              </w:rPr>
              <w:br/>
            </w:r>
            <w:r w:rsidRPr="00CB2EC4">
              <w:rPr>
                <w:rFonts w:ascii="Times New Roman" w:hAnsi="Times New Roman" w:cs="Times New Roman"/>
              </w:rPr>
              <w:br/>
              <w:t xml:space="preserve">**2. Laparoscopic Surgical Approach (Laparoscopic Retroperitoneal Lymph Node Dissection)**  </w:t>
            </w:r>
            <w:r w:rsidRPr="00CB2EC4">
              <w:rPr>
                <w:rFonts w:ascii="Times New Roman" w:hAnsi="Times New Roman" w:cs="Times New Roman"/>
              </w:rPr>
              <w:br/>
              <w:t xml:space="preserve">→ The patient is placed in a supine or mild Trendelenburg position under general anesthesia, and pneumoperitoneum is established (pressure: 12–15 mmHg).  </w:t>
            </w:r>
            <w:r w:rsidRPr="00CB2EC4">
              <w:rPr>
                <w:rFonts w:ascii="Times New Roman" w:hAnsi="Times New Roman" w:cs="Times New Roman"/>
              </w:rPr>
              <w:br/>
              <w:t xml:space="preserve">→ A 10 mm trocar is inserted at the umbilicus as the observation port; 3–4 additional 5–12 mm trocars are placed in the upper abdomen, lateral abdomen, or suprapubic region as operative ports.  </w:t>
            </w:r>
            <w:r w:rsidRPr="00CB2EC4">
              <w:rPr>
                <w:rFonts w:ascii="Times New Roman" w:hAnsi="Times New Roman" w:cs="Times New Roman"/>
              </w:rPr>
              <w:br/>
            </w:r>
            <w:r w:rsidRPr="00CB2EC4">
              <w:rPr>
                <w:rFonts w:ascii="Times New Roman" w:hAnsi="Times New Roman" w:cs="Times New Roman"/>
              </w:rPr>
              <w:lastRenderedPageBreak/>
              <w:t xml:space="preserve">→ The abdominal cavity is laparoscopically explored to confirm the absence of extensive adhesions or metastases.  </w:t>
            </w:r>
            <w:r w:rsidRPr="00CB2EC4">
              <w:rPr>
                <w:rFonts w:ascii="Times New Roman" w:hAnsi="Times New Roman" w:cs="Times New Roman"/>
              </w:rPr>
              <w:br/>
              <w:t xml:space="preserve">→ The ligament of Treitz or the peritoneum of the descending colon paracolic gutter is incised to access the left retroperitoneal space; alternatively, the peritoneum of the right paracolic gutter is incised to access the right retroperitoneal space.  </w:t>
            </w:r>
            <w:r w:rsidRPr="00CB2EC4">
              <w:rPr>
                <w:rFonts w:ascii="Times New Roman" w:hAnsi="Times New Roman" w:cs="Times New Roman"/>
              </w:rPr>
              <w:br/>
              <w:t xml:space="preserve">→ Using an ultrasonic scalpel or electrocautery combined with blunt dissection, the bilateral para-aortic lymph nodes are completely dissected along the surface of the abdominal aorta, extending upward to the diaphragmatic crus and downward to the bifurcation of the common iliac arteries (boundaries: superior border at the lower edge of the left renal vein to the level of the right renal artery, inferior border to the anterior sacroiliac joint).  </w:t>
            </w:r>
            <w:r w:rsidRPr="00CB2EC4">
              <w:rPr>
                <w:rFonts w:ascii="Times New Roman" w:hAnsi="Times New Roman" w:cs="Times New Roman"/>
              </w:rPr>
              <w:br/>
              <w:t xml:space="preserve">→ Key areas include:  </w:t>
            </w:r>
            <w:r w:rsidRPr="00CB2EC4">
              <w:rPr>
                <w:rFonts w:ascii="Times New Roman" w:hAnsi="Times New Roman" w:cs="Times New Roman"/>
              </w:rPr>
              <w:br/>
              <w:t xml:space="preserve">  - Lymph nodes around the aortic bifurcation (Preaortic, Lateroaortic, Retroaortic)  </w:t>
            </w:r>
            <w:r w:rsidRPr="00CB2EC4">
              <w:rPr>
                <w:rFonts w:ascii="Times New Roman" w:hAnsi="Times New Roman" w:cs="Times New Roman"/>
              </w:rPr>
              <w:br/>
              <w:t xml:space="preserve">  - Lymph nodes along the left and right common iliac arteries  </w:t>
            </w:r>
            <w:r w:rsidRPr="00CB2EC4">
              <w:rPr>
                <w:rFonts w:ascii="Times New Roman" w:hAnsi="Times New Roman" w:cs="Times New Roman"/>
              </w:rPr>
              <w:br/>
              <w:t xml:space="preserve">  - Lymph nodes at the root of the inferior mesenteric artery  </w:t>
            </w:r>
            <w:r w:rsidRPr="00CB2EC4">
              <w:rPr>
                <w:rFonts w:ascii="Times New Roman" w:hAnsi="Times New Roman" w:cs="Times New Roman"/>
              </w:rPr>
              <w:br/>
              <w:t xml:space="preserve">→ Continuous irrigation with saline is performed intraoperatively to maintain a clear field; lymphatic vessels and small blood vessels are ligated or coagulated.  </w:t>
            </w:r>
            <w:r w:rsidRPr="00CB2EC4">
              <w:rPr>
                <w:rFonts w:ascii="Times New Roman" w:hAnsi="Times New Roman" w:cs="Times New Roman"/>
              </w:rPr>
              <w:br/>
              <w:t xml:space="preserve">→ After confirming the absence of active bleeding, a drainage tube is placed in the retroperitoneal space and exteriorized through a lateral abdominal wall puncture.  </w:t>
            </w:r>
            <w:r w:rsidRPr="00CB2EC4">
              <w:rPr>
                <w:rFonts w:ascii="Times New Roman" w:hAnsi="Times New Roman" w:cs="Times New Roman"/>
              </w:rPr>
              <w:br/>
              <w:t xml:space="preserve">→ Pneumoperitoneum is released, and puncture sites are closed layer by layer.  </w:t>
            </w:r>
            <w:r w:rsidRPr="00CB2EC4">
              <w:rPr>
                <w:rFonts w:ascii="Times New Roman" w:hAnsi="Times New Roman" w:cs="Times New Roman"/>
              </w:rPr>
              <w:br/>
            </w:r>
            <w:r w:rsidRPr="00CB2EC4">
              <w:rPr>
                <w:rFonts w:ascii="Times New Roman" w:hAnsi="Times New Roman" w:cs="Times New Roman"/>
              </w:rPr>
              <w:lastRenderedPageBreak/>
              <w:br/>
              <w:t>Both approaches must adhere to oncological principles to ensure the completeness of lymph node dissection and negative margins. Intraoperative attention should be paid to protecting the psoas muscle, ureters, hypogastric nerve plexus, and gonadal vessels to reduce postoperative complications (e.g., lymphorrhea, sexual dysfunction). The choice of approach should be based on tumor location, patient anatomy, surgical team experience, and equipment availability.</w:t>
            </w:r>
          </w:p>
        </w:tc>
        <w:tc>
          <w:tcPr>
            <w:tcW w:w="1152" w:type="dxa"/>
            <w:vAlign w:val="center"/>
          </w:tcPr>
          <w:p w14:paraId="10991E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D393A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798EB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4C72389" w14:textId="77777777">
        <w:tc>
          <w:tcPr>
            <w:tcW w:w="2160" w:type="dxa"/>
            <w:vAlign w:val="center"/>
          </w:tcPr>
          <w:p w14:paraId="037A52A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HyDE</w:t>
            </w:r>
          </w:p>
        </w:tc>
        <w:tc>
          <w:tcPr>
            <w:tcW w:w="5040" w:type="dxa"/>
            <w:vAlign w:val="center"/>
          </w:tcPr>
          <w:p w14:paraId="06C213A3" w14:textId="77777777" w:rsidR="00922249" w:rsidRPr="00CB2EC4" w:rsidRDefault="003011D5">
            <w:pPr>
              <w:rPr>
                <w:rFonts w:ascii="Times New Roman" w:hAnsi="Times New Roman" w:cs="Times New Roman"/>
              </w:rPr>
            </w:pPr>
            <w:r w:rsidRPr="00CB2EC4">
              <w:rPr>
                <w:rFonts w:ascii="Times New Roman" w:hAnsi="Times New Roman" w:cs="Times New Roman"/>
              </w:rPr>
              <w:t>two surgical approaches for para-aortic lymph node dissection are as follows:</w:t>
            </w:r>
            <w:r w:rsidRPr="00CB2EC4">
              <w:rPr>
                <w:rFonts w:ascii="Times New Roman" w:hAnsi="Times New Roman" w:cs="Times New Roman"/>
              </w:rPr>
              <w:br/>
            </w:r>
            <w:r w:rsidRPr="00CB2EC4">
              <w:rPr>
                <w:rFonts w:ascii="Times New Roman" w:hAnsi="Times New Roman" w:cs="Times New Roman"/>
              </w:rPr>
              <w:br/>
              <w:t>1. **Cephalad approach (renal pedicle dissection method):**</w:t>
            </w:r>
            <w:r w:rsidRPr="00CB2EC4">
              <w:rPr>
                <w:rFonts w:ascii="Times New Roman" w:hAnsi="Times New Roman" w:cs="Times New Roman"/>
              </w:rPr>
              <w:br/>
              <w:t xml:space="preserve">   - First, dissect the renal pedicle area.</w:t>
            </w:r>
            <w:r w:rsidRPr="00CB2EC4">
              <w:rPr>
                <w:rFonts w:ascii="Times New Roman" w:hAnsi="Times New Roman" w:cs="Times New Roman"/>
              </w:rPr>
              <w:br/>
              <w:t xml:space="preserve">   - Sequentially remove the paracaval, inter-caval-aortic, pre-aortic, and para-aortic lymph nodes.</w:t>
            </w:r>
            <w:r w:rsidRPr="00CB2EC4">
              <w:rPr>
                <w:rFonts w:ascii="Times New Roman" w:hAnsi="Times New Roman" w:cs="Times New Roman"/>
              </w:rPr>
              <w:br/>
              <w:t xml:space="preserve">   - For radical dissection, remove the lymph nodes posterior to the inferior vena cava and aorta: use rubber bands (or tubes) to lift and separate the arteries and veins to safely dissect the posterior lymph nodes.</w:t>
            </w:r>
            <w:r w:rsidRPr="00CB2EC4">
              <w:rPr>
                <w:rFonts w:ascii="Times New Roman" w:hAnsi="Times New Roman" w:cs="Times New Roman"/>
              </w:rPr>
              <w:br/>
            </w:r>
            <w:r w:rsidRPr="00CB2EC4">
              <w:rPr>
                <w:rFonts w:ascii="Times New Roman" w:hAnsi="Times New Roman" w:cs="Times New Roman"/>
              </w:rPr>
              <w:br/>
              <w:t>2. **Caudal approach (lateral compartment method):**</w:t>
            </w:r>
            <w:r w:rsidRPr="00CB2EC4">
              <w:rPr>
                <w:rFonts w:ascii="Times New Roman" w:hAnsi="Times New Roman" w:cs="Times New Roman"/>
              </w:rPr>
              <w:br/>
              <w:t xml:space="preserve">   - **Right para-aortic area:** Clear the lymphoid tissue in the right para-aortic region, including pre-aortic, inter-aortic-caval, pre-caval, and peripsoas lymphofatty tissue. After ligation and division at the caudal end, reverse and dissect cephalad to the level of the third part of the duodenum for ligation and division.</w:t>
            </w:r>
            <w:r w:rsidRPr="00CB2EC4">
              <w:rPr>
                <w:rFonts w:ascii="Times New Roman" w:hAnsi="Times New Roman" w:cs="Times New Roman"/>
              </w:rPr>
              <w:br/>
              <w:t xml:space="preserve">   - **Left para-aortic area:** Reflect the sigmoid </w:t>
            </w:r>
            <w:r w:rsidRPr="00CB2EC4">
              <w:rPr>
                <w:rFonts w:ascii="Times New Roman" w:hAnsi="Times New Roman" w:cs="Times New Roman"/>
              </w:rPr>
              <w:lastRenderedPageBreak/>
              <w:t>mesocolon to the left to expose the left para-aortic area. After identifying the left ureter and left ovarian vessels, dissect the lymphoid tissue adjacent to the left common iliac artery approximately 4 cm above the origin of the inferior mesenteric artery (at the start of the inferior mesenteric artery). Continue cephalad dissection to the level of the third part of the duodenum for ligation and division. Using a vascular retractor, pull the aorta to the right anterior side to remove the posterior lymph nodes (take care to preserve the inferior mesenteric artery).</w:t>
            </w:r>
          </w:p>
        </w:tc>
        <w:tc>
          <w:tcPr>
            <w:tcW w:w="1152" w:type="dxa"/>
            <w:vAlign w:val="center"/>
          </w:tcPr>
          <w:p w14:paraId="5E77F9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BA9BB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98CAC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950F197" w14:textId="77777777">
        <w:tc>
          <w:tcPr>
            <w:tcW w:w="2160" w:type="dxa"/>
            <w:vAlign w:val="center"/>
          </w:tcPr>
          <w:p w14:paraId="06AAF53F"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78F2762" w14:textId="77777777" w:rsidR="00922249" w:rsidRPr="00CB2EC4" w:rsidRDefault="003011D5">
            <w:pPr>
              <w:rPr>
                <w:rFonts w:ascii="Times New Roman" w:hAnsi="Times New Roman" w:cs="Times New Roman"/>
              </w:rPr>
            </w:pPr>
            <w:r w:rsidRPr="00CB2EC4">
              <w:rPr>
                <w:rFonts w:ascii="Times New Roman" w:hAnsi="Times New Roman" w:cs="Times New Roman"/>
              </w:rPr>
              <w:t>two surgical approaches for para-aortic lymph node dissection:</w:t>
            </w:r>
            <w:r w:rsidRPr="00CB2EC4">
              <w:rPr>
                <w:rFonts w:ascii="Times New Roman" w:hAnsi="Times New Roman" w:cs="Times New Roman"/>
              </w:rPr>
              <w:br/>
            </w:r>
            <w:r w:rsidRPr="00CB2EC4">
              <w:rPr>
                <w:rFonts w:ascii="Times New Roman" w:hAnsi="Times New Roman" w:cs="Times New Roman"/>
              </w:rPr>
              <w:br/>
              <w:t>1. **Cephalad approach (starting from the head side):**</w:t>
            </w:r>
            <w:r w:rsidRPr="00CB2EC4">
              <w:rPr>
                <w:rFonts w:ascii="Times New Roman" w:hAnsi="Times New Roman" w:cs="Times New Roman"/>
              </w:rPr>
              <w:br/>
              <w:t xml:space="preserve">   - First, dissect the renal pedicle (kidney vascular region).</w:t>
            </w:r>
            <w:r w:rsidRPr="00CB2EC4">
              <w:rPr>
                <w:rFonts w:ascii="Times New Roman" w:hAnsi="Times New Roman" w:cs="Times New Roman"/>
              </w:rPr>
              <w:br/>
              <w:t xml:space="preserve">   - Sequentially remove the lymph nodes adjacent to the inferior vena cava, between the inferior vena cava and aorta, anterior to the aorta, and para-aortic lymph nodes.</w:t>
            </w:r>
            <w:r w:rsidRPr="00CB2EC4">
              <w:rPr>
                <w:rFonts w:ascii="Times New Roman" w:hAnsi="Times New Roman" w:cs="Times New Roman"/>
              </w:rPr>
              <w:br/>
              <w:t xml:space="preserve">   - For radical dissection, remove the lymph nodes posterior to the inferior vena cava and aorta: use rubber bands (tubes) to lift the vessels, separate the artery and vein to enable resection of the posterior lymph nodes.</w:t>
            </w:r>
            <w:r w:rsidRPr="00CB2EC4">
              <w:rPr>
                <w:rFonts w:ascii="Times New Roman" w:hAnsi="Times New Roman" w:cs="Times New Roman"/>
              </w:rPr>
              <w:br/>
            </w:r>
            <w:r w:rsidRPr="00CB2EC4">
              <w:rPr>
                <w:rFonts w:ascii="Times New Roman" w:hAnsi="Times New Roman" w:cs="Times New Roman"/>
              </w:rPr>
              <w:br/>
              <w:t>2. **Caudal approach (starting from the tail side):**</w:t>
            </w:r>
            <w:r w:rsidRPr="00CB2EC4">
              <w:rPr>
                <w:rFonts w:ascii="Times New Roman" w:hAnsi="Times New Roman" w:cs="Times New Roman"/>
              </w:rPr>
              <w:br/>
              <w:t xml:space="preserve">   - First, clear the lymphoid tissue in the right para-aortic region, including lymph fat tissue anterior to the aorta, between the aorta and inferior vena cava, anterior to the inferior vena cava, and alongside the psoas major muscle; ligate and transect at the caudal </w:t>
            </w:r>
            <w:r w:rsidRPr="00CB2EC4">
              <w:rPr>
                <w:rFonts w:ascii="Times New Roman" w:hAnsi="Times New Roman" w:cs="Times New Roman"/>
              </w:rPr>
              <w:lastRenderedPageBreak/>
              <w:t>end.</w:t>
            </w:r>
            <w:r w:rsidRPr="00CB2EC4">
              <w:rPr>
                <w:rFonts w:ascii="Times New Roman" w:hAnsi="Times New Roman" w:cs="Times New Roman"/>
              </w:rPr>
              <w:br/>
              <w:t xml:space="preserve">   - Invert the dissected tissue cephalad and continue mobilization until reaching the level of the third part of the duodenum, where ligation and transection are performed.</w:t>
            </w:r>
            <w:r w:rsidRPr="00CB2EC4">
              <w:rPr>
                <w:rFonts w:ascii="Times New Roman" w:hAnsi="Times New Roman" w:cs="Times New Roman"/>
              </w:rPr>
              <w:br/>
              <w:t xml:space="preserve">   - Reflect the sigmoid mesocolon to the left to expose the left para-aortic region, identify the left ureter and left ovarian vessels.</w:t>
            </w:r>
            <w:r w:rsidRPr="00CB2EC4">
              <w:rPr>
                <w:rFonts w:ascii="Times New Roman" w:hAnsi="Times New Roman" w:cs="Times New Roman"/>
              </w:rPr>
              <w:br/>
              <w:t xml:space="preserve">   - Approximately 4 cm above the aortic bifurcation, locate the origin of the inferior mesenteric artery; dissect lymphoid tissue adjacent to the left common iliac artery, mobilize cephalad to the level of the third part of the duodenum, ligate and transect.</w:t>
            </w:r>
            <w:r w:rsidRPr="00CB2EC4">
              <w:rPr>
                <w:rFonts w:ascii="Times New Roman" w:hAnsi="Times New Roman" w:cs="Times New Roman"/>
              </w:rPr>
              <w:br/>
              <w:t xml:space="preserve">   - Use a vascular retractor to pull the aorta forward and to the right, then remove the lymph nodes posterior to it.</w:t>
            </w:r>
            <w:r w:rsidRPr="00CB2EC4">
              <w:rPr>
                <w:rFonts w:ascii="Times New Roman" w:hAnsi="Times New Roman" w:cs="Times New Roman"/>
              </w:rPr>
              <w:br/>
            </w:r>
            <w:r w:rsidRPr="00CB2EC4">
              <w:rPr>
                <w:rFonts w:ascii="Times New Roman" w:hAnsi="Times New Roman" w:cs="Times New Roman"/>
              </w:rPr>
              <w:br/>
              <w:t>source: document fragment 10.</w:t>
            </w:r>
          </w:p>
        </w:tc>
        <w:tc>
          <w:tcPr>
            <w:tcW w:w="1152" w:type="dxa"/>
            <w:vAlign w:val="center"/>
          </w:tcPr>
          <w:p w14:paraId="79E6CE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69EB6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1DD13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2ABC65E" w14:textId="77777777">
        <w:tc>
          <w:tcPr>
            <w:tcW w:w="2160" w:type="dxa"/>
            <w:vAlign w:val="center"/>
          </w:tcPr>
          <w:p w14:paraId="0150E695"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7AA8280" w14:textId="77777777" w:rsidR="00922249" w:rsidRPr="00CB2EC4" w:rsidRDefault="003011D5">
            <w:pPr>
              <w:rPr>
                <w:rFonts w:ascii="Times New Roman" w:hAnsi="Times New Roman" w:cs="Times New Roman"/>
              </w:rPr>
            </w:pPr>
            <w:r w:rsidRPr="00CB2EC4">
              <w:rPr>
                <w:rFonts w:ascii="Times New Roman" w:hAnsi="Times New Roman" w:cs="Times New Roman"/>
              </w:rPr>
              <w:t>two surgical approaches for para-aortic lymph node dissection:</w:t>
            </w:r>
            <w:r w:rsidRPr="00CB2EC4">
              <w:rPr>
                <w:rFonts w:ascii="Times New Roman" w:hAnsi="Times New Roman" w:cs="Times New Roman"/>
              </w:rPr>
              <w:br/>
            </w:r>
            <w:r w:rsidRPr="00CB2EC4">
              <w:rPr>
                <w:rFonts w:ascii="Times New Roman" w:hAnsi="Times New Roman" w:cs="Times New Roman"/>
              </w:rPr>
              <w:br/>
              <w:t xml:space="preserve">- **Caudal approach**:  </w:t>
            </w:r>
            <w:r w:rsidRPr="00CB2EC4">
              <w:rPr>
                <w:rFonts w:ascii="Times New Roman" w:hAnsi="Times New Roman" w:cs="Times New Roman"/>
              </w:rPr>
              <w:br/>
              <w:t xml:space="preserve">  1. Begin dissection at the level of the common iliac vessels and proceed cephalad to the third part of the duodenum;  </w:t>
            </w:r>
            <w:r w:rsidRPr="00CB2EC4">
              <w:rPr>
                <w:rFonts w:ascii="Times New Roman" w:hAnsi="Times New Roman" w:cs="Times New Roman"/>
              </w:rPr>
              <w:br/>
              <w:t xml:space="preserve">  2. First dissect the right para-aortic region (including lymphoid tissue anterior to the aorta, between the aorta and inferior vena cava, anterior to the inferior vena cava, and lateral to the psoas muscle), then dissect the left para-aortic region (with preservation of the inferior mesenteric artery).  </w:t>
            </w:r>
            <w:r w:rsidRPr="00CB2EC4">
              <w:rPr>
                <w:rFonts w:ascii="Times New Roman" w:hAnsi="Times New Roman" w:cs="Times New Roman"/>
              </w:rPr>
              <w:br/>
            </w:r>
            <w:r w:rsidRPr="00CB2EC4">
              <w:rPr>
                <w:rFonts w:ascii="Times New Roman" w:hAnsi="Times New Roman" w:cs="Times New Roman"/>
              </w:rPr>
              <w:br/>
              <w:t xml:space="preserve">- **Cephalic approach**:  </w:t>
            </w:r>
            <w:r w:rsidRPr="00CB2EC4">
              <w:rPr>
                <w:rFonts w:ascii="Times New Roman" w:hAnsi="Times New Roman" w:cs="Times New Roman"/>
              </w:rPr>
              <w:br/>
              <w:t xml:space="preserve">  1. Start dissection from the cephalic side at the level </w:t>
            </w:r>
            <w:r w:rsidRPr="00CB2EC4">
              <w:rPr>
                <w:rFonts w:ascii="Times New Roman" w:hAnsi="Times New Roman" w:cs="Times New Roman"/>
              </w:rPr>
              <w:lastRenderedPageBreak/>
              <w:t xml:space="preserve">of the renal pedicle;  </w:t>
            </w:r>
            <w:r w:rsidRPr="00CB2EC4">
              <w:rPr>
                <w:rFonts w:ascii="Times New Roman" w:hAnsi="Times New Roman" w:cs="Times New Roman"/>
              </w:rPr>
              <w:br/>
              <w:t xml:space="preserve">  2. Sequentially dissect the inferior vena cava lateral, inter-caval-aortic, anterior aortic, and posterior aortic lymph nodes; rubber bands must be used to retract the vessels to expose the operative field.  </w:t>
            </w:r>
            <w:r w:rsidRPr="00CB2EC4">
              <w:rPr>
                <w:rFonts w:ascii="Times New Roman" w:hAnsi="Times New Roman" w:cs="Times New Roman"/>
              </w:rPr>
              <w:br/>
            </w:r>
            <w:r w:rsidRPr="00CB2EC4">
              <w:rPr>
                <w:rFonts w:ascii="Times New Roman" w:hAnsi="Times New Roman" w:cs="Times New Roman"/>
              </w:rPr>
              <w:br/>
              <w:t>&gt; Source: The "Surgical Methods and Techniques" section states: "Para-aortic lymph node dissection may also begin from the cephalic side by first dissecting the renal pedicle... Radical dissection requires removal of lymph nodes posterior to the inferior vena cava and aorta, at which point the vessels must be retracted with rubber bands."</w:t>
            </w:r>
          </w:p>
        </w:tc>
        <w:tc>
          <w:tcPr>
            <w:tcW w:w="1152" w:type="dxa"/>
            <w:vAlign w:val="center"/>
          </w:tcPr>
          <w:p w14:paraId="035D2D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8B903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CD998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A02A83B" w14:textId="77777777">
        <w:tc>
          <w:tcPr>
            <w:tcW w:w="2160" w:type="dxa"/>
            <w:vAlign w:val="center"/>
          </w:tcPr>
          <w:p w14:paraId="32E5BB72"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254E034" w14:textId="77777777" w:rsidR="00922249" w:rsidRPr="00CB2EC4" w:rsidRDefault="003011D5">
            <w:pPr>
              <w:rPr>
                <w:rFonts w:ascii="Times New Roman" w:hAnsi="Times New Roman" w:cs="Times New Roman"/>
              </w:rPr>
            </w:pPr>
            <w:r w:rsidRPr="00CB2EC4">
              <w:rPr>
                <w:rFonts w:ascii="Times New Roman" w:hAnsi="Times New Roman" w:cs="Times New Roman"/>
              </w:rPr>
              <w:t>the two main surgical approaches for resecting para-aortic lymph nodes are the transperitoneal approach and the extraperitoneal approach.</w:t>
            </w:r>
            <w:r w:rsidRPr="00CB2EC4">
              <w:rPr>
                <w:rFonts w:ascii="Times New Roman" w:hAnsi="Times New Roman" w:cs="Times New Roman"/>
              </w:rPr>
              <w:br/>
            </w:r>
            <w:r w:rsidRPr="00CB2EC4">
              <w:rPr>
                <w:rFonts w:ascii="Times New Roman" w:hAnsi="Times New Roman" w:cs="Times New Roman"/>
              </w:rPr>
              <w:br/>
              <w:t>**Transperitoneal approach:**</w:t>
            </w:r>
            <w:r w:rsidRPr="00CB2EC4">
              <w:rPr>
                <w:rFonts w:ascii="Times New Roman" w:hAnsi="Times New Roman" w:cs="Times New Roman"/>
              </w:rPr>
              <w:br/>
              <w:t>1.  Posterior peritoneal incision: Begin the incision along the lateral paracolic gutter on the right side, extending around the ileocecal junction.</w:t>
            </w:r>
            <w:r w:rsidRPr="00CB2EC4">
              <w:rPr>
                <w:rFonts w:ascii="Times New Roman" w:hAnsi="Times New Roman" w:cs="Times New Roman"/>
              </w:rPr>
              <w:br/>
              <w:t>2.  Exposure of the surgical field: Cross over the right ovarian vessels and ureter, ascend along the base of the mesentery of the small intestine to the duodenal fold.</w:t>
            </w:r>
            <w:r w:rsidRPr="00CB2EC4">
              <w:rPr>
                <w:rFonts w:ascii="Times New Roman" w:hAnsi="Times New Roman" w:cs="Times New Roman"/>
              </w:rPr>
              <w:br/>
              <w:t>3.  Lymph node dissection: Displace the inferior mesenteric artery and duodenum upward and to the left; displace the right ureter laterally to the right; expose the distal inferior vena cava and aorta; resect the right lymphatic and fatty tissue along the inferior vena cava and aorta; pay attention to ligating the accompanying veins of the inferior vena cava to avoid bleeding.</w:t>
            </w:r>
            <w:r w:rsidRPr="00CB2EC4">
              <w:rPr>
                <w:rFonts w:ascii="Times New Roman" w:hAnsi="Times New Roman" w:cs="Times New Roman"/>
              </w:rPr>
              <w:br/>
              <w:t xml:space="preserve">4.  Management of left-sided lymph nodes: Expose the </w:t>
            </w:r>
            <w:r w:rsidRPr="00CB2EC4">
              <w:rPr>
                <w:rFonts w:ascii="Times New Roman" w:hAnsi="Times New Roman" w:cs="Times New Roman"/>
              </w:rPr>
              <w:lastRenderedPageBreak/>
              <w:t>left para-aortic space, bluntly dissect the fat pad down to the level of the inferior mesenteric artery; prevent injury to the lumbar arteries.</w:t>
            </w:r>
            <w:r w:rsidRPr="00CB2EC4">
              <w:rPr>
                <w:rFonts w:ascii="Times New Roman" w:hAnsi="Times New Roman" w:cs="Times New Roman"/>
              </w:rPr>
              <w:br/>
            </w:r>
            <w:r w:rsidRPr="00CB2EC4">
              <w:rPr>
                <w:rFonts w:ascii="Times New Roman" w:hAnsi="Times New Roman" w:cs="Times New Roman"/>
              </w:rPr>
              <w:br/>
              <w:t>**Extraperitoneal approach:**</w:t>
            </w:r>
            <w:r w:rsidRPr="00CB2EC4">
              <w:rPr>
                <w:rFonts w:ascii="Times New Roman" w:hAnsi="Times New Roman" w:cs="Times New Roman"/>
              </w:rPr>
              <w:br/>
              <w:t>1.  Incision selection: Use a left subcostal curved incision (similar to that for kidney transplantation), a paramedian incision, or a vertical incision.</w:t>
            </w:r>
            <w:r w:rsidRPr="00CB2EC4">
              <w:rPr>
                <w:rFonts w:ascii="Times New Roman" w:hAnsi="Times New Roman" w:cs="Times New Roman"/>
              </w:rPr>
              <w:br/>
              <w:t>2.  Exposure of the surgical field: Do not enter the peritoneal cavity; directly expose the retroperitoneal space.</w:t>
            </w:r>
            <w:r w:rsidRPr="00CB2EC4">
              <w:rPr>
                <w:rFonts w:ascii="Times New Roman" w:hAnsi="Times New Roman" w:cs="Times New Roman"/>
              </w:rPr>
              <w:br/>
              <w:t>3.  Lymph node dissection: Similar to the transperitoneal approach, but performed through the external incision; this method has widely replaced the transperitoneal approach for preoperative staging.</w:t>
            </w:r>
            <w:r w:rsidRPr="00CB2EC4">
              <w:rPr>
                <w:rFonts w:ascii="Times New Roman" w:hAnsi="Times New Roman" w:cs="Times New Roman"/>
              </w:rPr>
              <w:br/>
            </w:r>
            <w:r w:rsidRPr="00CB2EC4">
              <w:rPr>
                <w:rFonts w:ascii="Times New Roman" w:hAnsi="Times New Roman" w:cs="Times New Roman"/>
              </w:rPr>
              <w:br/>
              <w:t>**Key points:** Both approaches require careful handling of vessels to avoid major bleeding; radical resection may include lymph nodes posterior to the vena cava and aorta.</w:t>
            </w:r>
          </w:p>
        </w:tc>
        <w:tc>
          <w:tcPr>
            <w:tcW w:w="1152" w:type="dxa"/>
            <w:vAlign w:val="center"/>
          </w:tcPr>
          <w:p w14:paraId="7D29F1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4D32CC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0CB80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448DD94" w14:textId="77777777">
        <w:tc>
          <w:tcPr>
            <w:tcW w:w="2160" w:type="dxa"/>
            <w:vAlign w:val="center"/>
          </w:tcPr>
          <w:p w14:paraId="22FCA8A4"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1DE60D0" w14:textId="77777777" w:rsidR="00922249" w:rsidRPr="00CB2EC4" w:rsidRDefault="003011D5">
            <w:pPr>
              <w:rPr>
                <w:rFonts w:ascii="Times New Roman" w:hAnsi="Times New Roman" w:cs="Times New Roman"/>
              </w:rPr>
            </w:pPr>
            <w:r w:rsidRPr="00CB2EC4">
              <w:rPr>
                <w:rFonts w:ascii="Times New Roman" w:hAnsi="Times New Roman" w:cs="Times New Roman"/>
              </w:rPr>
              <w:t>two surgical approaches for para-aortic lymph node dissection:</w:t>
            </w:r>
            <w:r w:rsidRPr="00CB2EC4">
              <w:rPr>
                <w:rFonts w:ascii="Times New Roman" w:hAnsi="Times New Roman" w:cs="Times New Roman"/>
              </w:rPr>
              <w:br/>
            </w:r>
            <w:r w:rsidRPr="00CB2EC4">
              <w:rPr>
                <w:rFonts w:ascii="Times New Roman" w:hAnsi="Times New Roman" w:cs="Times New Roman"/>
              </w:rPr>
              <w:br/>
              <w:t>1.  Cranial approach (starting from the renal pedicle):</w:t>
            </w:r>
            <w:r w:rsidRPr="00CB2EC4">
              <w:rPr>
                <w:rFonts w:ascii="Times New Roman" w:hAnsi="Times New Roman" w:cs="Times New Roman"/>
              </w:rPr>
              <w:br/>
              <w:t xml:space="preserve">    -   First, dissect the renal pedicle area.</w:t>
            </w:r>
            <w:r w:rsidRPr="00CB2EC4">
              <w:rPr>
                <w:rFonts w:ascii="Times New Roman" w:hAnsi="Times New Roman" w:cs="Times New Roman"/>
              </w:rPr>
              <w:br/>
              <w:t xml:space="preserve">    -   Sequentially dissect the para-caval, inter-caval-aortic, pre-aortic, and para-aortic lymph nodes.</w:t>
            </w:r>
            <w:r w:rsidRPr="00CB2EC4">
              <w:rPr>
                <w:rFonts w:ascii="Times New Roman" w:hAnsi="Times New Roman" w:cs="Times New Roman"/>
              </w:rPr>
              <w:br/>
              <w:t xml:space="preserve">    -   Applicable when more radical resection is needed, which may involve separating blood vessels (e.g., using rubber bands to retract vessels to dissect posterior lymph nodes).</w:t>
            </w:r>
            <w:r w:rsidRPr="00CB2EC4">
              <w:rPr>
                <w:rFonts w:ascii="Times New Roman" w:hAnsi="Times New Roman" w:cs="Times New Roman"/>
              </w:rPr>
              <w:br/>
            </w:r>
            <w:r w:rsidRPr="00CB2EC4">
              <w:rPr>
                <w:rFonts w:ascii="Times New Roman" w:hAnsi="Times New Roman" w:cs="Times New Roman"/>
              </w:rPr>
              <w:br/>
              <w:t>2.  Caudal approach (starting from the aortic bifurcation):</w:t>
            </w:r>
            <w:r w:rsidRPr="00CB2EC4">
              <w:rPr>
                <w:rFonts w:ascii="Times New Roman" w:hAnsi="Times New Roman" w:cs="Times New Roman"/>
              </w:rPr>
              <w:br/>
            </w:r>
            <w:r w:rsidRPr="00CB2EC4">
              <w:rPr>
                <w:rFonts w:ascii="Times New Roman" w:hAnsi="Times New Roman" w:cs="Times New Roman"/>
              </w:rPr>
              <w:lastRenderedPageBreak/>
              <w:t xml:space="preserve">    -   First, clear the lymphoid tissue in the right para-aortic area (including pre-aortic, inter-aortic-caval, pre-caval, and lympho-fatty tissue beside the psoas major), ligate and transect at the caudal end (aortic bifurcation).</w:t>
            </w:r>
            <w:r w:rsidRPr="00CB2EC4">
              <w:rPr>
                <w:rFonts w:ascii="Times New Roman" w:hAnsi="Times New Roman" w:cs="Times New Roman"/>
              </w:rPr>
              <w:br/>
              <w:t xml:space="preserve">    -   Invert and dissect the tissue cranially to the level of the third part of the duodenum, then ligate and transect.</w:t>
            </w:r>
            <w:r w:rsidRPr="00CB2EC4">
              <w:rPr>
                <w:rFonts w:ascii="Times New Roman" w:hAnsi="Times New Roman" w:cs="Times New Roman"/>
              </w:rPr>
              <w:br/>
              <w:t xml:space="preserve">    -   Next, address the left para-aortic area: invert the sigmoid mesocolon to the left to expose the left area; dissect lymphoid tissue starting approximately 4 cm above the aortic bifurcation (origin of the inferior mesenteric artery); dissect cranially to the level of the third part of the duodenum; take care to avoid injury to the inferior mesenteric artery.</w:t>
            </w:r>
          </w:p>
        </w:tc>
        <w:tc>
          <w:tcPr>
            <w:tcW w:w="1152" w:type="dxa"/>
            <w:vAlign w:val="center"/>
          </w:tcPr>
          <w:p w14:paraId="5B34DF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65FFCF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B77F6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0FEB1CC" w14:textId="77777777">
        <w:tc>
          <w:tcPr>
            <w:tcW w:w="2160" w:type="dxa"/>
            <w:vAlign w:val="center"/>
          </w:tcPr>
          <w:p w14:paraId="3A695DC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7400537" w14:textId="77777777" w:rsidR="00922249" w:rsidRPr="00CB2EC4" w:rsidRDefault="003011D5">
            <w:pPr>
              <w:rPr>
                <w:rFonts w:ascii="Times New Roman" w:hAnsi="Times New Roman" w:cs="Times New Roman"/>
              </w:rPr>
            </w:pPr>
            <w:r w:rsidRPr="00CB2EC4">
              <w:rPr>
                <w:rFonts w:ascii="Times New Roman" w:hAnsi="Times New Roman" w:cs="Times New Roman"/>
              </w:rPr>
              <w:t>two surgical approaches for para-aortic lymph node dissection and their respective procedures:</w:t>
            </w:r>
            <w:r w:rsidRPr="00CB2EC4">
              <w:rPr>
                <w:rFonts w:ascii="Times New Roman" w:hAnsi="Times New Roman" w:cs="Times New Roman"/>
              </w:rPr>
              <w:br/>
            </w:r>
            <w:r w:rsidRPr="00CB2EC4">
              <w:rPr>
                <w:rFonts w:ascii="Times New Roman" w:hAnsi="Times New Roman" w:cs="Times New Roman"/>
              </w:rPr>
              <w:br/>
              <w:t xml:space="preserve">- Approach 1: Starting from the cephalad side (renal pedicle first)  </w:t>
            </w:r>
            <w:r w:rsidRPr="00CB2EC4">
              <w:rPr>
                <w:rFonts w:ascii="Times New Roman" w:hAnsi="Times New Roman" w:cs="Times New Roman"/>
              </w:rPr>
              <w:br/>
              <w:t xml:space="preserve">  1. Dissect the renal pedicle area first.  </w:t>
            </w:r>
            <w:r w:rsidRPr="00CB2EC4">
              <w:rPr>
                <w:rFonts w:ascii="Times New Roman" w:hAnsi="Times New Roman" w:cs="Times New Roman"/>
              </w:rPr>
              <w:br/>
              <w:t xml:space="preserve">  2. Sequentially remove the inferior vena cava lymph nodes, inter-caval-aortic lymph nodes, anterior aortic lymph nodes, and para-aortic lymph nodes.  </w:t>
            </w:r>
            <w:r w:rsidRPr="00CB2EC4">
              <w:rPr>
                <w:rFonts w:ascii="Times New Roman" w:hAnsi="Times New Roman" w:cs="Times New Roman"/>
              </w:rPr>
              <w:br/>
              <w:t xml:space="preserve">  3. For radical dissection, remove the lymph nodes posterior to the inferior vena cava and aorta: use rubber tape (or tube) to retract the vessels, separate the artery and vein, then excise the posterior lymph nodes.  </w:t>
            </w:r>
            <w:r w:rsidRPr="00CB2EC4">
              <w:rPr>
                <w:rFonts w:ascii="Times New Roman" w:hAnsi="Times New Roman" w:cs="Times New Roman"/>
              </w:rPr>
              <w:br/>
            </w:r>
            <w:r w:rsidRPr="00CB2EC4">
              <w:rPr>
                <w:rFonts w:ascii="Times New Roman" w:hAnsi="Times New Roman" w:cs="Times New Roman"/>
              </w:rPr>
              <w:br/>
              <w:t xml:space="preserve">- Approach 2: Starting from the caudal side  </w:t>
            </w:r>
            <w:r w:rsidRPr="00CB2EC4">
              <w:rPr>
                <w:rFonts w:ascii="Times New Roman" w:hAnsi="Times New Roman" w:cs="Times New Roman"/>
              </w:rPr>
              <w:br/>
              <w:t xml:space="preserve">  1. Clear the right para-aortic lymphatic tissue: including anterior aortic, inter-aortic-caval, anterior inferior vena cava, and peripsoas lymphatic adipose tissue, transect and ligate at the caudal end.  </w:t>
            </w:r>
            <w:r w:rsidRPr="00CB2EC4">
              <w:rPr>
                <w:rFonts w:ascii="Times New Roman" w:hAnsi="Times New Roman" w:cs="Times New Roman"/>
              </w:rPr>
              <w:br/>
            </w:r>
            <w:r w:rsidRPr="00CB2EC4">
              <w:rPr>
                <w:rFonts w:ascii="Times New Roman" w:hAnsi="Times New Roman" w:cs="Times New Roman"/>
              </w:rPr>
              <w:lastRenderedPageBreak/>
              <w:t xml:space="preserve">  2. Invert and dissect the tissue cephalad to the level of the third part of the duodenum, then transect and ligate.  </w:t>
            </w:r>
            <w:r w:rsidRPr="00CB2EC4">
              <w:rPr>
                <w:rFonts w:ascii="Times New Roman" w:hAnsi="Times New Roman" w:cs="Times New Roman"/>
              </w:rPr>
              <w:br/>
              <w:t xml:space="preserve">  3. Address the left para-aortic area: reflect the sigmoid mesocolon to the left, dissect lymphatic tissue adjacent to the left common iliac artery, and dissect cephalad to the level of the third part of the duodenum, taking care to preserve the inferior mesenteric artery.  </w:t>
            </w:r>
            <w:r w:rsidRPr="00CB2EC4">
              <w:rPr>
                <w:rFonts w:ascii="Times New Roman" w:hAnsi="Times New Roman" w:cs="Times New Roman"/>
              </w:rPr>
              <w:br/>
              <w:t xml:space="preserve">  4. Use a vascular retractor to pull the aorta to the right anterior side, then remove the lymph nodes posterior to it.  </w:t>
            </w:r>
            <w:r w:rsidRPr="00CB2EC4">
              <w:rPr>
                <w:rFonts w:ascii="Times New Roman" w:hAnsi="Times New Roman" w:cs="Times New Roman"/>
              </w:rPr>
              <w:br/>
            </w:r>
            <w:r w:rsidRPr="00CB2EC4">
              <w:rPr>
                <w:rFonts w:ascii="Times New Roman" w:hAnsi="Times New Roman" w:cs="Times New Roman"/>
              </w:rPr>
              <w:br/>
              <w:t>(Source: Document Fragment 19, which details the operative steps of both approaches.)</w:t>
            </w:r>
          </w:p>
        </w:tc>
        <w:tc>
          <w:tcPr>
            <w:tcW w:w="1152" w:type="dxa"/>
            <w:vAlign w:val="center"/>
          </w:tcPr>
          <w:p w14:paraId="6E1512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96D0A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7346B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62BC550" w14:textId="77777777">
        <w:tc>
          <w:tcPr>
            <w:tcW w:w="2160" w:type="dxa"/>
            <w:vAlign w:val="center"/>
          </w:tcPr>
          <w:p w14:paraId="65F7ACA8"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9A7A928" w14:textId="77777777" w:rsidR="00922249" w:rsidRPr="00CB2EC4" w:rsidRDefault="003011D5">
            <w:pPr>
              <w:rPr>
                <w:rFonts w:ascii="Times New Roman" w:hAnsi="Times New Roman" w:cs="Times New Roman"/>
              </w:rPr>
            </w:pPr>
            <w:r w:rsidRPr="00CB2EC4">
              <w:rPr>
                <w:rFonts w:ascii="Times New Roman" w:hAnsi="Times New Roman" w:cs="Times New Roman"/>
              </w:rPr>
              <w:t>there are two standard surgical approaches for resection of para-aortic lymph nodes, with the operative steps detailed as follows:</w:t>
            </w:r>
            <w:r w:rsidRPr="00CB2EC4">
              <w:rPr>
                <w:rFonts w:ascii="Times New Roman" w:hAnsi="Times New Roman" w:cs="Times New Roman"/>
              </w:rPr>
              <w:br/>
            </w:r>
            <w:r w:rsidRPr="00CB2EC4">
              <w:rPr>
                <w:rFonts w:ascii="Times New Roman" w:hAnsi="Times New Roman" w:cs="Times New Roman"/>
              </w:rPr>
              <w:br/>
              <w:t>- Approach 1: Standard method (median retroperitoneal approach via the anterior surface of the aorta):</w:t>
            </w:r>
            <w:r w:rsidRPr="00CB2EC4">
              <w:rPr>
                <w:rFonts w:ascii="Times New Roman" w:hAnsi="Times New Roman" w:cs="Times New Roman"/>
              </w:rPr>
              <w:br/>
              <w:t xml:space="preserve">  - The retroperitoneal incision begins superior to the point where the right ureter crosses the common iliac artery.</w:t>
            </w:r>
            <w:r w:rsidRPr="00CB2EC4">
              <w:rPr>
                <w:rFonts w:ascii="Times New Roman" w:hAnsi="Times New Roman" w:cs="Times New Roman"/>
              </w:rPr>
              <w:br/>
              <w:t xml:space="preserve">  - The incision is extended cephalad along the common iliac artery to the aortic bifurcation.</w:t>
            </w:r>
            <w:r w:rsidRPr="00CB2EC4">
              <w:rPr>
                <w:rFonts w:ascii="Times New Roman" w:hAnsi="Times New Roman" w:cs="Times New Roman"/>
              </w:rPr>
              <w:br/>
              <w:t xml:space="preserve">  - Continue dissecting the retroperitoneum upward along the aorta to the root of the small bowel mesentery (Figure 17-26).</w:t>
            </w:r>
            <w:r w:rsidRPr="00CB2EC4">
              <w:rPr>
                <w:rFonts w:ascii="Times New Roman" w:hAnsi="Times New Roman" w:cs="Times New Roman"/>
              </w:rPr>
              <w:br/>
              <w:t xml:space="preserve">  - After exposing the inferior vena cava and aorta, dissect lymphofatty tissue from caudal to cephalad, focusing on removal of lymph nodes anterior to the inferior vena cava, between the inferior vena cava and </w:t>
            </w:r>
            <w:r w:rsidRPr="00CB2EC4">
              <w:rPr>
                <w:rFonts w:ascii="Times New Roman" w:hAnsi="Times New Roman" w:cs="Times New Roman"/>
              </w:rPr>
              <w:lastRenderedPageBreak/>
              <w:t>aorta, and para-aortic (Figure 17-27). During the procedure, identify and protect the ureter, ovarian vessels, and inferior mesenteric artery.</w:t>
            </w:r>
            <w:r w:rsidRPr="00CB2EC4">
              <w:rPr>
                <w:rFonts w:ascii="Times New Roman" w:hAnsi="Times New Roman" w:cs="Times New Roman"/>
              </w:rPr>
              <w:br/>
            </w:r>
            <w:r w:rsidRPr="00CB2EC4">
              <w:rPr>
                <w:rFonts w:ascii="Times New Roman" w:hAnsi="Times New Roman" w:cs="Times New Roman"/>
              </w:rPr>
              <w:br/>
              <w:t>- Approach 2: Right paracolic gutter approach:</w:t>
            </w:r>
            <w:r w:rsidRPr="00CB2EC4">
              <w:rPr>
                <w:rFonts w:ascii="Times New Roman" w:hAnsi="Times New Roman" w:cs="Times New Roman"/>
              </w:rPr>
              <w:br/>
              <w:t xml:space="preserve">  - The retroperitoneal incision begins 2–3 cm below the ileocecal junction.</w:t>
            </w:r>
            <w:r w:rsidRPr="00CB2EC4">
              <w:rPr>
                <w:rFonts w:ascii="Times New Roman" w:hAnsi="Times New Roman" w:cs="Times New Roman"/>
              </w:rPr>
              <w:br/>
              <w:t xml:space="preserve">  - Extend the incision laterally along the right paracolic gutter to the hepatocolic ligament.</w:t>
            </w:r>
            <w:r w:rsidRPr="00CB2EC4">
              <w:rPr>
                <w:rFonts w:ascii="Times New Roman" w:hAnsi="Times New Roman" w:cs="Times New Roman"/>
              </w:rPr>
              <w:br/>
              <w:t xml:space="preserve">  - Extend medially from the ileocecal region to the aortic bifurcation (Figure 17-26).</w:t>
            </w:r>
            <w:r w:rsidRPr="00CB2EC4">
              <w:rPr>
                <w:rFonts w:ascii="Times New Roman" w:hAnsi="Times New Roman" w:cs="Times New Roman"/>
              </w:rPr>
              <w:br/>
              <w:t xml:space="preserve">  - Reflect the retroperitoneum to the left to expose the retroperitoneal space.</w:t>
            </w:r>
            <w:r w:rsidRPr="00CB2EC4">
              <w:rPr>
                <w:rFonts w:ascii="Times New Roman" w:hAnsi="Times New Roman" w:cs="Times New Roman"/>
              </w:rPr>
              <w:br/>
              <w:t xml:space="preserve">  - Perform lymph node dissection similarly to Approach 1, with greater emphasis on right-sided exposure to facilitate mobilization of the right colon for access to the para-aortic region.</w:t>
            </w:r>
            <w:r w:rsidRPr="00CB2EC4">
              <w:rPr>
                <w:rFonts w:ascii="Times New Roman" w:hAnsi="Times New Roman" w:cs="Times New Roman"/>
              </w:rPr>
              <w:br/>
            </w:r>
            <w:r w:rsidRPr="00CB2EC4">
              <w:rPr>
                <w:rFonts w:ascii="Times New Roman" w:hAnsi="Times New Roman" w:cs="Times New Roman"/>
              </w:rPr>
              <w:br/>
              <w:t>Both approaches require meticulous hemostasis (e.g., using titanium clips or electrocautery) and avoidance of injury to the ureter and inferior mesenteric artery. Approach 1 is more commonly used; Approach 2 is indicated when extensive right-sided exposure is needed.</w:t>
            </w:r>
          </w:p>
        </w:tc>
        <w:tc>
          <w:tcPr>
            <w:tcW w:w="1152" w:type="dxa"/>
            <w:vAlign w:val="center"/>
          </w:tcPr>
          <w:p w14:paraId="601154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3E74F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BD219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BEB954" w14:textId="77777777">
        <w:tc>
          <w:tcPr>
            <w:tcW w:w="2160" w:type="dxa"/>
            <w:vAlign w:val="center"/>
          </w:tcPr>
          <w:p w14:paraId="483D6EA5"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7CA8EF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Transperitoneal approach:  </w:t>
            </w:r>
            <w:r w:rsidRPr="00CB2EC4">
              <w:rPr>
                <w:rFonts w:ascii="Times New Roman" w:hAnsi="Times New Roman" w:cs="Times New Roman"/>
              </w:rPr>
              <w:br/>
              <w:t xml:space="preserve">   - Procedure: Open the peritoneum posteriorly to directly expose the area around the abdominal aorta and inferior vena cava; systematically dissect lymph nodes from the level of the renal vein down to the bifurcation of the common iliac arteries. Attention must be paid to protecting the ureter, inferior mesenteric artery, and sympathetic plexus.  </w:t>
            </w:r>
            <w:r w:rsidRPr="00CB2EC4">
              <w:rPr>
                <w:rFonts w:ascii="Times New Roman" w:hAnsi="Times New Roman" w:cs="Times New Roman"/>
              </w:rPr>
              <w:br/>
              <w:t xml:space="preserve">   - Key point: Suitable for early-stage tumors, provides direct visualization, but may increase the risk </w:t>
            </w:r>
            <w:r w:rsidRPr="00CB2EC4">
              <w:rPr>
                <w:rFonts w:ascii="Times New Roman" w:hAnsi="Times New Roman" w:cs="Times New Roman"/>
              </w:rPr>
              <w:lastRenderedPageBreak/>
              <w:t xml:space="preserve">of bowel interference.  </w:t>
            </w:r>
            <w:r w:rsidRPr="00CB2EC4">
              <w:rPr>
                <w:rFonts w:ascii="Times New Roman" w:hAnsi="Times New Roman" w:cs="Times New Roman"/>
              </w:rPr>
              <w:br/>
            </w:r>
            <w:r w:rsidRPr="00CB2EC4">
              <w:rPr>
                <w:rFonts w:ascii="Times New Roman" w:hAnsi="Times New Roman" w:cs="Times New Roman"/>
              </w:rPr>
              <w:br/>
              <w:t xml:space="preserve">2. Retroperitoneal approach:  </w:t>
            </w:r>
            <w:r w:rsidRPr="00CB2EC4">
              <w:rPr>
                <w:rFonts w:ascii="Times New Roman" w:hAnsi="Times New Roman" w:cs="Times New Roman"/>
              </w:rPr>
              <w:br/>
              <w:t xml:space="preserve">   - Procedure: Access the retroperitoneal space via the left or right paracolic gutter by incising the posterior peritoneal tissue to expose the para-aortic region; first mobilize the ureter and gonadal vessels, then dissect the lymph nodes. The advantage lies in reducing intra-abdominal adhesions and bleeding.  </w:t>
            </w:r>
            <w:r w:rsidRPr="00CB2EC4">
              <w:rPr>
                <w:rFonts w:ascii="Times New Roman" w:hAnsi="Times New Roman" w:cs="Times New Roman"/>
              </w:rPr>
              <w:br/>
              <w:t xml:space="preserve">   - Key point: Commonly used for nerve-sparing surgery, improves safety, but requires proficient anatomical knowledge.  </w:t>
            </w:r>
            <w:r w:rsidRPr="00CB2EC4">
              <w:rPr>
                <w:rFonts w:ascii="Times New Roman" w:hAnsi="Times New Roman" w:cs="Times New Roman"/>
              </w:rPr>
              <w:br/>
              <w:t>- These approaches are detailed in lymph node dissection for cervical cancer, but the principles can be extended to other gynecological malignancies.</w:t>
            </w:r>
          </w:p>
        </w:tc>
        <w:tc>
          <w:tcPr>
            <w:tcW w:w="1152" w:type="dxa"/>
            <w:vAlign w:val="center"/>
          </w:tcPr>
          <w:p w14:paraId="30DAE6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8C5ED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C32AA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6AD9ECE" w14:textId="77777777">
        <w:tc>
          <w:tcPr>
            <w:tcW w:w="10656" w:type="dxa"/>
            <w:gridSpan w:val="5"/>
            <w:tcBorders>
              <w:bottom w:val="single" w:sz="6" w:space="0" w:color="auto"/>
            </w:tcBorders>
            <w:vAlign w:val="center"/>
          </w:tcPr>
          <w:p w14:paraId="75D8BBE8"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184: In the management of malignant ascites, what is the recommended puncture site for paracentesis?</w:t>
            </w:r>
          </w:p>
        </w:tc>
      </w:tr>
      <w:tr w:rsidR="00922249" w:rsidRPr="00CB2EC4" w14:paraId="2A1167A2" w14:textId="77777777">
        <w:tc>
          <w:tcPr>
            <w:tcW w:w="2160" w:type="dxa"/>
            <w:vAlign w:val="center"/>
          </w:tcPr>
          <w:p w14:paraId="1DB2117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355BB48"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is available in the provided document regarding the recommended puncture site location for paracentesis in the management of malignant ascites. the document primarily focuses on surgical techniques for ovarian cancer (such as tumor cytoreduction and lymph node dissection) and does not describe specific procedures or sites for ascites drainage via puncture.</w:t>
            </w:r>
            <w:r w:rsidRPr="00CB2EC4">
              <w:rPr>
                <w:rFonts w:ascii="Times New Roman" w:hAnsi="Times New Roman" w:cs="Times New Roman"/>
              </w:rPr>
              <w:br/>
              <w:t>- conclusion: no answer found in the knowledge base.</w:t>
            </w:r>
          </w:p>
        </w:tc>
        <w:tc>
          <w:tcPr>
            <w:tcW w:w="1152" w:type="dxa"/>
            <w:vAlign w:val="center"/>
          </w:tcPr>
          <w:p w14:paraId="1AFE8E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2BED94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EA2E3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A8B6184" w14:textId="77777777">
        <w:tc>
          <w:tcPr>
            <w:tcW w:w="2160" w:type="dxa"/>
            <w:vAlign w:val="center"/>
          </w:tcPr>
          <w:p w14:paraId="78C17BF4"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31BD3222"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 regarding the recommended puncture site for malignant ascites paracentesis.</w:t>
            </w:r>
          </w:p>
        </w:tc>
        <w:tc>
          <w:tcPr>
            <w:tcW w:w="1152" w:type="dxa"/>
            <w:vAlign w:val="center"/>
          </w:tcPr>
          <w:p w14:paraId="42390A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16073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C3AE5B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167E24F" w14:textId="77777777">
        <w:tc>
          <w:tcPr>
            <w:tcW w:w="2160" w:type="dxa"/>
            <w:vAlign w:val="center"/>
          </w:tcPr>
          <w:p w14:paraId="6028DC18"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A90681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recommended puncture site location for paracentesis in malignant ascites management is the lateral border of the rectus abdominis muscle at the level of the umbilicus.  </w:t>
            </w:r>
            <w:r w:rsidRPr="00CB2EC4">
              <w:rPr>
                <w:rFonts w:ascii="Times New Roman" w:hAnsi="Times New Roman" w:cs="Times New Roman"/>
              </w:rPr>
              <w:br/>
              <w:t xml:space="preserve">- Additional note: Avoid midline puncture due to frequent tumor or adhesions; use local anesthetic to </w:t>
            </w:r>
            <w:r w:rsidRPr="00CB2EC4">
              <w:rPr>
                <w:rFonts w:ascii="Times New Roman" w:hAnsi="Times New Roman" w:cs="Times New Roman"/>
              </w:rPr>
              <w:lastRenderedPageBreak/>
              <w:t xml:space="preserve">explore the accurate site before inserting the trocar to reduce complications (e.g., bowel injury).  </w:t>
            </w:r>
            <w:r w:rsidRPr="00CB2EC4">
              <w:rPr>
                <w:rFonts w:ascii="Times New Roman" w:hAnsi="Times New Roman" w:cs="Times New Roman"/>
              </w:rPr>
              <w:br/>
              <w:t xml:space="preserve">  (Source: Fragment 4 and Fragment 10)</w:t>
            </w:r>
          </w:p>
        </w:tc>
        <w:tc>
          <w:tcPr>
            <w:tcW w:w="1152" w:type="dxa"/>
            <w:vAlign w:val="center"/>
          </w:tcPr>
          <w:p w14:paraId="30F575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9DE6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9796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621E7D" w14:textId="77777777">
        <w:tc>
          <w:tcPr>
            <w:tcW w:w="2160" w:type="dxa"/>
            <w:vAlign w:val="center"/>
          </w:tcPr>
          <w:p w14:paraId="7961B4A8"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345C8792" w14:textId="77777777" w:rsidR="00922249" w:rsidRPr="00CB2EC4" w:rsidRDefault="003011D5">
            <w:pPr>
              <w:rPr>
                <w:rFonts w:ascii="Times New Roman" w:hAnsi="Times New Roman" w:cs="Times New Roman"/>
              </w:rPr>
            </w:pPr>
            <w:r w:rsidRPr="00CB2EC4">
              <w:rPr>
                <w:rFonts w:ascii="Times New Roman" w:hAnsi="Times New Roman" w:cs="Times New Roman"/>
              </w:rPr>
              <w:t>recommended puncture sites for malignant ascites:</w:t>
            </w:r>
            <w:r w:rsidRPr="00CB2EC4">
              <w:rPr>
                <w:rFonts w:ascii="Times New Roman" w:hAnsi="Times New Roman" w:cs="Times New Roman"/>
              </w:rPr>
              <w:br/>
            </w:r>
            <w:r w:rsidRPr="00CB2EC4">
              <w:rPr>
                <w:rFonts w:ascii="Times New Roman" w:hAnsi="Times New Roman" w:cs="Times New Roman"/>
              </w:rPr>
              <w:br/>
              <w:t>- Primary site: the junction of the middle and outer 1/3 of the line connecting the umbilicus and the anterior superior iliac spine (avoid the inferior epigastric artery).</w:t>
            </w:r>
            <w:r w:rsidRPr="00CB2EC4">
              <w:rPr>
                <w:rFonts w:ascii="Times New Roman" w:hAnsi="Times New Roman" w:cs="Times New Roman"/>
              </w:rPr>
              <w:br/>
              <w:t>- Alternative site: under ultrasound guidance, avoid areas with bowel and masses.</w:t>
            </w:r>
            <w:r w:rsidRPr="00CB2EC4">
              <w:rPr>
                <w:rFonts w:ascii="Times New Roman" w:hAnsi="Times New Roman" w:cs="Times New Roman"/>
              </w:rPr>
              <w:br/>
              <w:t xml:space="preserve">  &gt; *Note: Adhesions and mass locations must be assessed prior to puncture to prevent bowel injury.*</w:t>
            </w:r>
          </w:p>
        </w:tc>
        <w:tc>
          <w:tcPr>
            <w:tcW w:w="1152" w:type="dxa"/>
            <w:vAlign w:val="center"/>
          </w:tcPr>
          <w:p w14:paraId="5CC9AD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00A44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4FF5B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AEE8F9A" w14:textId="77777777">
        <w:tc>
          <w:tcPr>
            <w:tcW w:w="2160" w:type="dxa"/>
            <w:vAlign w:val="center"/>
          </w:tcPr>
          <w:p w14:paraId="5638715C"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E61A8FE"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 the provided documents mention preoperative drainage of ascites to alleviate symptoms (e.g., "For tumor staging and treatment, pleural and ascitic fluids should be drained as completely as possible before surgery"), but do not specify recommended puncture sites for paracentesis. the document describes surgical incision near the umbilicus to release ascites during operation (Fragment 16), which pertains to surgical intervention, not percutaneous paracentesis. therefore, the requested information is not available in the given materials.</w:t>
            </w:r>
          </w:p>
        </w:tc>
        <w:tc>
          <w:tcPr>
            <w:tcW w:w="1152" w:type="dxa"/>
            <w:vAlign w:val="center"/>
          </w:tcPr>
          <w:p w14:paraId="139CF8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7F849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B18A1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F5775B8" w14:textId="77777777">
        <w:tc>
          <w:tcPr>
            <w:tcW w:w="2160" w:type="dxa"/>
            <w:vAlign w:val="center"/>
          </w:tcPr>
          <w:p w14:paraId="0D07FD1C"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685DFCF" w14:textId="77777777" w:rsidR="00922249" w:rsidRPr="00CB2EC4" w:rsidRDefault="003011D5">
            <w:pPr>
              <w:rPr>
                <w:rFonts w:ascii="Times New Roman" w:hAnsi="Times New Roman" w:cs="Times New Roman"/>
              </w:rPr>
            </w:pPr>
            <w:r w:rsidRPr="00CB2EC4">
              <w:rPr>
                <w:rFonts w:ascii="Times New Roman" w:hAnsi="Times New Roman" w:cs="Times New Roman"/>
              </w:rPr>
              <w:t>the recommended puncture site location for paracentesis in the management of malignant ascites is the lateral border of the rectus abdominis muscle at the level of the umbilicus.</w:t>
            </w:r>
            <w:r w:rsidRPr="00CB2EC4">
              <w:rPr>
                <w:rFonts w:ascii="Times New Roman" w:hAnsi="Times New Roman" w:cs="Times New Roman"/>
              </w:rPr>
              <w:br/>
            </w:r>
            <w:r w:rsidRPr="00CB2EC4">
              <w:rPr>
                <w:rFonts w:ascii="Times New Roman" w:hAnsi="Times New Roman" w:cs="Times New Roman"/>
              </w:rPr>
              <w:br/>
              <w:t xml:space="preserve">- Contextual basis: Document 26 explicitly states that "the puncture site is usually at the lateral border of the rectus abdominis muscle at the level of the umbilicus," which is based on considerations to avoid </w:t>
            </w:r>
            <w:r w:rsidRPr="00CB2EC4">
              <w:rPr>
                <w:rFonts w:ascii="Times New Roman" w:hAnsi="Times New Roman" w:cs="Times New Roman"/>
              </w:rPr>
              <w:lastRenderedPageBreak/>
              <w:t>injury to abdominal viscera (such as the bowel) and provides convenient access for the procedure and drainage.</w:t>
            </w:r>
          </w:p>
        </w:tc>
        <w:tc>
          <w:tcPr>
            <w:tcW w:w="1152" w:type="dxa"/>
            <w:vAlign w:val="center"/>
          </w:tcPr>
          <w:p w14:paraId="58E7CA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F4B14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E51B3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CC14B4" w14:textId="77777777">
        <w:tc>
          <w:tcPr>
            <w:tcW w:w="2160" w:type="dxa"/>
            <w:vAlign w:val="center"/>
          </w:tcPr>
          <w:p w14:paraId="094C064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498F9E7"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is available in the provided document regarding the recommended puncture site location for paracentesis in the management of malignant ascites.</w:t>
            </w:r>
          </w:p>
        </w:tc>
        <w:tc>
          <w:tcPr>
            <w:tcW w:w="1152" w:type="dxa"/>
            <w:vAlign w:val="center"/>
          </w:tcPr>
          <w:p w14:paraId="3BB7EA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9A3C4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AB304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642DACE" w14:textId="77777777">
        <w:tc>
          <w:tcPr>
            <w:tcW w:w="2160" w:type="dxa"/>
            <w:vAlign w:val="center"/>
          </w:tcPr>
          <w:p w14:paraId="3042E3E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12DFCB3"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r w:rsidRPr="00CB2EC4">
              <w:rPr>
                <w:rFonts w:ascii="Times New Roman" w:hAnsi="Times New Roman" w:cs="Times New Roman"/>
              </w:rPr>
              <w:br/>
            </w:r>
            <w:r w:rsidRPr="00CB2EC4">
              <w:rPr>
                <w:rFonts w:ascii="Times New Roman" w:hAnsi="Times New Roman" w:cs="Times New Roman"/>
              </w:rPr>
              <w:br/>
              <w:t>- Explanation: Although the knowledge base contains multiple references to abdominal fluid management (e.g., in fragment 7: "surgical intervention should aim to aspirate as much pleural and ascitic fluid as possible"), it does not specify recommended puncture site locations for paracentesis (e.g., detailed anatomical landmarks or puncture point descriptions). Fragment 17 mentions diagnostic needle aspiration, but this pertains to lymph nodes or masses, not ascites puncture sites. Therefore, the question cannot be answered based on the provided context.</w:t>
            </w:r>
          </w:p>
        </w:tc>
        <w:tc>
          <w:tcPr>
            <w:tcW w:w="1152" w:type="dxa"/>
            <w:vAlign w:val="center"/>
          </w:tcPr>
          <w:p w14:paraId="2C440D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9CA69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52B39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FA50E48" w14:textId="77777777">
        <w:tc>
          <w:tcPr>
            <w:tcW w:w="2160" w:type="dxa"/>
            <w:vAlign w:val="center"/>
          </w:tcPr>
          <w:p w14:paraId="1DD0C669"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6D587F1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recommended puncture site: near the umbilicus (paraumbilical area).  </w:t>
            </w:r>
            <w:r w:rsidRPr="00CB2EC4">
              <w:rPr>
                <w:rFonts w:ascii="Times New Roman" w:hAnsi="Times New Roman" w:cs="Times New Roman"/>
              </w:rPr>
              <w:br/>
              <w:t xml:space="preserve">- Procedure requirement: Drain ascites slowly to avoid hemodynamic abrupt changes; if bloody ascites is present, add heparin for anticoagulation.  </w:t>
            </w:r>
            <w:r w:rsidRPr="00CB2EC4">
              <w:rPr>
                <w:rFonts w:ascii="Times New Roman" w:hAnsi="Times New Roman" w:cs="Times New Roman"/>
              </w:rPr>
              <w:br/>
            </w:r>
            <w:r w:rsidRPr="00CB2EC4">
              <w:rPr>
                <w:rFonts w:ascii="Times New Roman" w:hAnsi="Times New Roman" w:cs="Times New Roman"/>
              </w:rPr>
              <w:br/>
              <w:t>&gt; Basis: The surgical exploration section explicitly states: "If there is a large amount of ascites in the abdominal cavity, incise the peritoneum near the umbilicus and slowly drain the ascites to avoid sudden hemodynamic changes."</w:t>
            </w:r>
          </w:p>
        </w:tc>
        <w:tc>
          <w:tcPr>
            <w:tcW w:w="1152" w:type="dxa"/>
            <w:vAlign w:val="center"/>
          </w:tcPr>
          <w:p w14:paraId="771154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EE856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25B32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7515AAD" w14:textId="77777777">
        <w:tc>
          <w:tcPr>
            <w:tcW w:w="2160" w:type="dxa"/>
            <w:vAlign w:val="center"/>
          </w:tcPr>
          <w:p w14:paraId="5A21D258"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E8F7347" w14:textId="77777777" w:rsidR="00922249" w:rsidRPr="00CB2EC4" w:rsidRDefault="003011D5">
            <w:pPr>
              <w:rPr>
                <w:rFonts w:ascii="Times New Roman" w:hAnsi="Times New Roman" w:cs="Times New Roman"/>
              </w:rPr>
            </w:pPr>
            <w:r w:rsidRPr="00CB2EC4">
              <w:rPr>
                <w:rFonts w:ascii="Times New Roman" w:hAnsi="Times New Roman" w:cs="Times New Roman"/>
              </w:rPr>
              <w:t>the recommended puncture site for paracentesis in the management of malignant ascites is near the umbilicus.</w:t>
            </w:r>
            <w:r w:rsidRPr="00CB2EC4">
              <w:rPr>
                <w:rFonts w:ascii="Times New Roman" w:hAnsi="Times New Roman" w:cs="Times New Roman"/>
              </w:rPr>
              <w:br/>
            </w:r>
            <w:r w:rsidRPr="00CB2EC4">
              <w:rPr>
                <w:rFonts w:ascii="Times New Roman" w:hAnsi="Times New Roman" w:cs="Times New Roman"/>
              </w:rPr>
              <w:lastRenderedPageBreak/>
              <w:br/>
              <w:t>reason: when there is a large volume of ascites in the abdominal cavity, incising the peritoneum near the umbilicus and slowly draining the ascites can avoid sudden hemodynamic changes (such as a sharp drop in blood pressure).</w:t>
            </w:r>
            <w:r w:rsidRPr="00CB2EC4">
              <w:rPr>
                <w:rFonts w:ascii="Times New Roman" w:hAnsi="Times New Roman" w:cs="Times New Roman"/>
              </w:rPr>
              <w:br/>
            </w:r>
            <w:r w:rsidRPr="00CB2EC4">
              <w:rPr>
                <w:rFonts w:ascii="Times New Roman" w:hAnsi="Times New Roman" w:cs="Times New Roman"/>
              </w:rPr>
              <w:br/>
              <w:t>procedure description: "If there is a large volume of ascites in the abdominal cavity, the peritoneum should be incised near the umbilicus, and the ascites should be drained slowly to avoid sudden hemodynamic changes."</w:t>
            </w:r>
          </w:p>
        </w:tc>
        <w:tc>
          <w:tcPr>
            <w:tcW w:w="1152" w:type="dxa"/>
            <w:vAlign w:val="center"/>
          </w:tcPr>
          <w:p w14:paraId="404647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333E7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9442B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16C7E86" w14:textId="77777777">
        <w:tc>
          <w:tcPr>
            <w:tcW w:w="2160" w:type="dxa"/>
            <w:vAlign w:val="center"/>
          </w:tcPr>
          <w:p w14:paraId="7710545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880A855"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is available in the provided knowledge base regarding the recommended puncture site location for paracentesis in the management of malignant ascites.</w:t>
            </w:r>
          </w:p>
        </w:tc>
        <w:tc>
          <w:tcPr>
            <w:tcW w:w="1152" w:type="dxa"/>
            <w:vAlign w:val="center"/>
          </w:tcPr>
          <w:p w14:paraId="0AC6A2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14804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2E40A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D281F46" w14:textId="77777777">
        <w:tc>
          <w:tcPr>
            <w:tcW w:w="2160" w:type="dxa"/>
            <w:vAlign w:val="center"/>
          </w:tcPr>
          <w:p w14:paraId="7A3EA95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0F3D742"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is available in the knowledge base regarding the recommended puncture site location for malignant ascites drainage. the provided context focuses on cytoreductive surgery, surgical techniques, and complications, but does not specify abdominal puncture points or access sites for paracentesis in malignant ascites. therefore, the question cannot be answered based on the given documents.</w:t>
            </w:r>
          </w:p>
        </w:tc>
        <w:tc>
          <w:tcPr>
            <w:tcW w:w="1152" w:type="dxa"/>
            <w:vAlign w:val="center"/>
          </w:tcPr>
          <w:p w14:paraId="3595D8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0A5DB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5F042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6A98926" w14:textId="77777777">
        <w:tc>
          <w:tcPr>
            <w:tcW w:w="2160" w:type="dxa"/>
            <w:vAlign w:val="center"/>
          </w:tcPr>
          <w:p w14:paraId="3744B997"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290A4C1" w14:textId="77777777" w:rsidR="00922249" w:rsidRPr="00CB2EC4" w:rsidRDefault="003011D5">
            <w:pPr>
              <w:rPr>
                <w:rFonts w:ascii="Times New Roman" w:hAnsi="Times New Roman" w:cs="Times New Roman"/>
              </w:rPr>
            </w:pPr>
            <w:r w:rsidRPr="00CB2EC4">
              <w:rPr>
                <w:rFonts w:ascii="Times New Roman" w:hAnsi="Times New Roman" w:cs="Times New Roman"/>
              </w:rPr>
              <w:t>the recommended puncture site location for paracentesis in malignant ascites management is:</w:t>
            </w:r>
            <w:r w:rsidRPr="00CB2EC4">
              <w:rPr>
                <w:rFonts w:ascii="Times New Roman" w:hAnsi="Times New Roman" w:cs="Times New Roman"/>
              </w:rPr>
              <w:br/>
              <w:t xml:space="preserve">- the lateral border of the rectus abdominis muscle at the umbilical level: specifically at the height of the umbilicus, located at the lateral edge of the rectus abdominis (not midline). this site is chosen because it typically avoids tumors or adhesions in the midline area, reducing the risk of complications such as bowel injury. prior to the procedure, ultrasound scanning </w:t>
            </w:r>
            <w:r w:rsidRPr="00CB2EC4">
              <w:rPr>
                <w:rFonts w:ascii="Times New Roman" w:hAnsi="Times New Roman" w:cs="Times New Roman"/>
              </w:rPr>
              <w:lastRenderedPageBreak/>
              <w:t>should be used to locate the area of maximum fluid accumulation to confirm the optimal puncture point, and midline puncture should be avoided due to the frequent presence of tumors or adhesions in the midline.</w:t>
            </w:r>
          </w:p>
        </w:tc>
        <w:tc>
          <w:tcPr>
            <w:tcW w:w="1152" w:type="dxa"/>
            <w:vAlign w:val="center"/>
          </w:tcPr>
          <w:p w14:paraId="620D64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6CA85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73FC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5288DF2" w14:textId="77777777">
        <w:tc>
          <w:tcPr>
            <w:tcW w:w="2160" w:type="dxa"/>
            <w:vAlign w:val="center"/>
          </w:tcPr>
          <w:p w14:paraId="30FF2C74"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48593A14" w14:textId="77777777" w:rsidR="00922249" w:rsidRPr="00CB2EC4" w:rsidRDefault="003011D5">
            <w:pPr>
              <w:rPr>
                <w:rFonts w:ascii="Times New Roman" w:hAnsi="Times New Roman" w:cs="Times New Roman"/>
              </w:rPr>
            </w:pPr>
            <w:r w:rsidRPr="00CB2EC4">
              <w:rPr>
                <w:rFonts w:ascii="Times New Roman" w:hAnsi="Times New Roman" w:cs="Times New Roman"/>
              </w:rPr>
              <w:t>recommended puncture site location for paracentesis in malignant ascites:</w:t>
            </w:r>
            <w:r w:rsidRPr="00CB2EC4">
              <w:rPr>
                <w:rFonts w:ascii="Times New Roman" w:hAnsi="Times New Roman" w:cs="Times New Roman"/>
              </w:rPr>
              <w:br/>
            </w:r>
            <w:r w:rsidRPr="00CB2EC4">
              <w:rPr>
                <w:rFonts w:ascii="Times New Roman" w:hAnsi="Times New Roman" w:cs="Times New Roman"/>
              </w:rPr>
              <w:br/>
              <w:t>- Answer: The puncture site is located 2–3 cm lateral to the midpoint of the line connecting the umbilicus and the left anterior superior iliac spine. This position accurately avoids the surface projection of the inferior epigastric artery and is particularly suitable for patients with long-standing ascites resulting in unclear abdominal wall anatomy.</w:t>
            </w:r>
          </w:p>
        </w:tc>
        <w:tc>
          <w:tcPr>
            <w:tcW w:w="1152" w:type="dxa"/>
            <w:vAlign w:val="center"/>
          </w:tcPr>
          <w:p w14:paraId="2215E6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D2E64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7E131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9B17415" w14:textId="77777777">
        <w:tc>
          <w:tcPr>
            <w:tcW w:w="10656" w:type="dxa"/>
            <w:gridSpan w:val="5"/>
            <w:tcBorders>
              <w:bottom w:val="single" w:sz="6" w:space="0" w:color="auto"/>
            </w:tcBorders>
            <w:vAlign w:val="center"/>
          </w:tcPr>
          <w:p w14:paraId="0FDA6DC2"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185: What are the typical pathological findings during a laparotomy for a peritoneal serous borderline tumor?</w:t>
            </w:r>
          </w:p>
        </w:tc>
      </w:tr>
      <w:tr w:rsidR="00922249" w:rsidRPr="00CB2EC4" w14:paraId="54EB39A1" w14:textId="77777777">
        <w:tc>
          <w:tcPr>
            <w:tcW w:w="2160" w:type="dxa"/>
            <w:vAlign w:val="center"/>
          </w:tcPr>
          <w:p w14:paraId="37BF23D8"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ACEE39F" w14:textId="77777777" w:rsidR="00922249" w:rsidRPr="00CB2EC4" w:rsidRDefault="003011D5">
            <w:pPr>
              <w:rPr>
                <w:rFonts w:ascii="Times New Roman" w:hAnsi="Times New Roman" w:cs="Times New Roman"/>
              </w:rPr>
            </w:pPr>
            <w:r w:rsidRPr="00CB2EC4">
              <w:rPr>
                <w:rFonts w:ascii="Times New Roman" w:hAnsi="Times New Roman" w:cs="Times New Roman"/>
              </w:rPr>
              <w:t>no explicit description of typical intraoperative pathological findings for peritoneal serous borderline tumors during open surgery is provided in the source material. The available information focuses on histological characteristics and recurrence patterns related to the presence or absence of invasive implants and papillary architecture, but does not detail specific pathological observations made during open surgical procedures.</w:t>
            </w:r>
            <w:r w:rsidRPr="00CB2EC4">
              <w:rPr>
                <w:rFonts w:ascii="Times New Roman" w:hAnsi="Times New Roman" w:cs="Times New Roman"/>
              </w:rPr>
              <w:br/>
            </w:r>
            <w:r w:rsidRPr="00CB2EC4">
              <w:rPr>
                <w:rFonts w:ascii="Times New Roman" w:hAnsi="Times New Roman" w:cs="Times New Roman"/>
              </w:rPr>
              <w:br/>
              <w:t>- Seidman et al. reported that 51 patients without invasive implants had a 16% recurrence rate within 5 years, with only 2 cases progressing to invasive carcinoma, regardless of treatment modality.</w:t>
            </w:r>
            <w:r w:rsidRPr="00CB2EC4">
              <w:rPr>
                <w:rFonts w:ascii="Times New Roman" w:hAnsi="Times New Roman" w:cs="Times New Roman"/>
              </w:rPr>
              <w:br/>
              <w:t>- In contrast, 14 patients with both invasive implants and small papillary-like structures exhibited a 64% recurrence rate.</w:t>
            </w:r>
            <w:r w:rsidRPr="00CB2EC4">
              <w:rPr>
                <w:rFonts w:ascii="Times New Roman" w:hAnsi="Times New Roman" w:cs="Times New Roman"/>
              </w:rPr>
              <w:br/>
            </w:r>
            <w:r w:rsidRPr="00CB2EC4">
              <w:rPr>
                <w:rFonts w:ascii="Times New Roman" w:hAnsi="Times New Roman" w:cs="Times New Roman"/>
              </w:rPr>
              <w:lastRenderedPageBreak/>
              <w:t>- Microscopic metastasis does not affect treatment decisions.</w:t>
            </w:r>
            <w:r w:rsidRPr="00CB2EC4">
              <w:rPr>
                <w:rFonts w:ascii="Times New Roman" w:hAnsi="Times New Roman" w:cs="Times New Roman"/>
              </w:rPr>
              <w:br/>
            </w:r>
            <w:r w:rsidRPr="00CB2EC4">
              <w:rPr>
                <w:rFonts w:ascii="Times New Roman" w:hAnsi="Times New Roman" w:cs="Times New Roman"/>
              </w:rPr>
              <w:br/>
              <w:t>Conclusion: The knowledge base lacks a clear description of typical pathological findings encountered during open surgery for peritoneal serous borderline tumors. The document primarily addresses treatment strategies (e.g., conservative surgery or hysterectomy) rather than intraoperative pathological details.</w:t>
            </w:r>
            <w:r w:rsidRPr="00CB2EC4">
              <w:rPr>
                <w:rFonts w:ascii="Times New Roman" w:hAnsi="Times New Roman" w:cs="Times New Roman"/>
              </w:rPr>
              <w:br/>
            </w:r>
            <w:r w:rsidRPr="00CB2EC4">
              <w:rPr>
                <w:rFonts w:ascii="Times New Roman" w:hAnsi="Times New Roman" w:cs="Times New Roman"/>
              </w:rPr>
              <w:br/>
              <w:t>(Source: Document fragment similarity 0.573, range 683-685: "Some scholars believe that conservative treatment can be considered for advanced-stage cases without exophytic papillary structures or invasive implants. Seidman et al. reported that among 51 patients without invasive implants, regardless of treatment modality, the 5-year recurrence rate was 16%, with only 2 cases progressing to invasive carcinoma. In contrast, among 14 cases of borderline tumors with both invasive implants and exophytic small papillary-like structures, the recurrence rate was 64%." However, this does not specify findings during open surgery.)</w:t>
            </w:r>
          </w:p>
        </w:tc>
        <w:tc>
          <w:tcPr>
            <w:tcW w:w="1152" w:type="dxa"/>
            <w:vAlign w:val="center"/>
          </w:tcPr>
          <w:p w14:paraId="2DFF0F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D043D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6C9C08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549326F" w14:textId="77777777">
        <w:tc>
          <w:tcPr>
            <w:tcW w:w="2160" w:type="dxa"/>
            <w:vAlign w:val="center"/>
          </w:tcPr>
          <w:p w14:paraId="5F0EBFB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3DE7EDD"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19B5CF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EF4E4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3F47C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0C4F749" w14:textId="77777777">
        <w:tc>
          <w:tcPr>
            <w:tcW w:w="2160" w:type="dxa"/>
            <w:vAlign w:val="center"/>
          </w:tcPr>
          <w:p w14:paraId="3420890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F353D3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typical pathological findings of open surgery for peritoneal borderline serous tumors include:  </w:t>
            </w:r>
            <w:r w:rsidRPr="00CB2EC4">
              <w:rPr>
                <w:rFonts w:ascii="Times New Roman" w:hAnsi="Times New Roman" w:cs="Times New Roman"/>
              </w:rPr>
              <w:br/>
              <w:t xml:space="preserve">- Pathological features: characterized by epithelial atypical hyperplasia without stromal invasion (fragment 19).  </w:t>
            </w:r>
            <w:r w:rsidRPr="00CB2EC4">
              <w:rPr>
                <w:rFonts w:ascii="Times New Roman" w:hAnsi="Times New Roman" w:cs="Times New Roman"/>
              </w:rPr>
              <w:br/>
              <w:t xml:space="preserve">- Clinical significance:  </w:t>
            </w:r>
            <w:r w:rsidRPr="00CB2EC4">
              <w:rPr>
                <w:rFonts w:ascii="Times New Roman" w:hAnsi="Times New Roman" w:cs="Times New Roman"/>
              </w:rPr>
              <w:br/>
              <w:t xml:space="preserve">  - Confirms the tumor as truly borderline (non-</w:t>
            </w:r>
            <w:r w:rsidRPr="00CB2EC4">
              <w:rPr>
                <w:rFonts w:ascii="Times New Roman" w:hAnsi="Times New Roman" w:cs="Times New Roman"/>
              </w:rPr>
              <w:lastRenderedPageBreak/>
              <w:t xml:space="preserve">invasive carcinoma) and is used for staging.  </w:t>
            </w:r>
            <w:r w:rsidRPr="00CB2EC4">
              <w:rPr>
                <w:rFonts w:ascii="Times New Roman" w:hAnsi="Times New Roman" w:cs="Times New Roman"/>
              </w:rPr>
              <w:br/>
              <w:t xml:space="preserve">  - Good prognosis, with postoperative mortality comparable to age-matched individuals without ovarian disease.  </w:t>
            </w:r>
            <w:r w:rsidRPr="00CB2EC4">
              <w:rPr>
                <w:rFonts w:ascii="Times New Roman" w:hAnsi="Times New Roman" w:cs="Times New Roman"/>
              </w:rPr>
              <w:br/>
              <w:t xml:space="preserve">  - A small proportion of patients have a risk of tumor recurrence, but recurrence is almost exclusively confined to the peritoneal cavity (fragment 32).  </w:t>
            </w:r>
            <w:r w:rsidRPr="00CB2EC4">
              <w:rPr>
                <w:rFonts w:ascii="Times New Roman" w:hAnsi="Times New Roman" w:cs="Times New Roman"/>
              </w:rPr>
              <w:br/>
              <w:t>(source: fragment 19 and fragment 32)</w:t>
            </w:r>
          </w:p>
        </w:tc>
        <w:tc>
          <w:tcPr>
            <w:tcW w:w="1152" w:type="dxa"/>
            <w:vAlign w:val="center"/>
          </w:tcPr>
          <w:p w14:paraId="187B1E6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6496B8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9AF9A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F3858C8" w14:textId="77777777">
        <w:tc>
          <w:tcPr>
            <w:tcW w:w="2160" w:type="dxa"/>
            <w:vAlign w:val="center"/>
          </w:tcPr>
          <w:p w14:paraId="0F4F664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41301C3" w14:textId="77777777" w:rsidR="00922249" w:rsidRPr="00CB2EC4" w:rsidRDefault="003011D5">
            <w:pPr>
              <w:rPr>
                <w:rFonts w:ascii="Times New Roman" w:hAnsi="Times New Roman" w:cs="Times New Roman"/>
              </w:rPr>
            </w:pPr>
            <w:r w:rsidRPr="00CB2EC4">
              <w:rPr>
                <w:rFonts w:ascii="Times New Roman" w:hAnsi="Times New Roman" w:cs="Times New Roman"/>
              </w:rPr>
              <w:t>typical pathological findings of peritoneal borderline serous tumors</w:t>
            </w:r>
            <w:r w:rsidRPr="00CB2EC4">
              <w:rPr>
                <w:rFonts w:ascii="Times New Roman" w:hAnsi="Times New Roman" w:cs="Times New Roman"/>
              </w:rPr>
              <w:br/>
            </w:r>
            <w:r w:rsidRPr="00CB2EC4">
              <w:rPr>
                <w:rFonts w:ascii="Times New Roman" w:hAnsi="Times New Roman" w:cs="Times New Roman"/>
              </w:rPr>
              <w:br/>
              <w:t xml:space="preserve">Integrated sources: knowledge base document + web search  </w:t>
            </w:r>
            <w:r w:rsidRPr="00CB2EC4">
              <w:rPr>
                <w:rFonts w:ascii="Times New Roman" w:hAnsi="Times New Roman" w:cs="Times New Roman"/>
              </w:rPr>
              <w:br/>
              <w:t xml:space="preserve">- Typical findings at laparotomy:  </w:t>
            </w:r>
            <w:r w:rsidRPr="00CB2EC4">
              <w:rPr>
                <w:rFonts w:ascii="Times New Roman" w:hAnsi="Times New Roman" w:cs="Times New Roman"/>
              </w:rPr>
              <w:br/>
              <w:t xml:space="preserve">  1. Peritoneal implants: serous lesions presenting as millet seed-like, plaque-like, or nodular deposits (knowledge base document).  </w:t>
            </w:r>
            <w:r w:rsidRPr="00CB2EC4">
              <w:rPr>
                <w:rFonts w:ascii="Times New Roman" w:hAnsi="Times New Roman" w:cs="Times New Roman"/>
              </w:rPr>
              <w:br/>
              <w:t xml:space="preserve">  2. Lymph node involvement: approximately 5.7% of para-aortic lymph nodes are positive (reported by Yazigi et al.), but prognosis is unaffected (knowledge base document).  </w:t>
            </w:r>
            <w:r w:rsidRPr="00CB2EC4">
              <w:rPr>
                <w:rFonts w:ascii="Times New Roman" w:hAnsi="Times New Roman" w:cs="Times New Roman"/>
              </w:rPr>
              <w:br/>
              <w:t xml:space="preserve">  3. Mucinous tumor characteristics: peritoneal pseudomyxoma (web search), prone to causing intestinal obstruction, requiring repeated surgical debulking.  </w:t>
            </w:r>
            <w:r w:rsidRPr="00CB2EC4">
              <w:rPr>
                <w:rFonts w:ascii="Times New Roman" w:hAnsi="Times New Roman" w:cs="Times New Roman"/>
              </w:rPr>
              <w:br/>
              <w:t xml:space="preserve">  4. Pathological differential: lymph node involvement may represent endometriotic implants rather than metastatic disease (knowledge base document).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br/>
              <w:t xml:space="preserve">Source annotation notes:  </w:t>
            </w:r>
            <w:r w:rsidRPr="00CB2EC4">
              <w:rPr>
                <w:rFonts w:ascii="Times New Roman" w:hAnsi="Times New Roman" w:cs="Times New Roman"/>
              </w:rPr>
              <w:br/>
              <w:t xml:space="preserve">- Knowledge base document: provides surgical technique details, anatomical sites, and clinical data </w:t>
            </w:r>
            <w:r w:rsidRPr="00CB2EC4">
              <w:rPr>
                <w:rFonts w:ascii="Times New Roman" w:hAnsi="Times New Roman" w:cs="Times New Roman"/>
              </w:rPr>
              <w:lastRenderedPageBreak/>
              <w:t xml:space="preserve">(e.g., Heintz/Yazigi studies).  </w:t>
            </w:r>
            <w:r w:rsidRPr="00CB2EC4">
              <w:rPr>
                <w:rFonts w:ascii="Times New Roman" w:hAnsi="Times New Roman" w:cs="Times New Roman"/>
              </w:rPr>
              <w:br/>
              <w:t xml:space="preserve">- Web search: supplements information on paracentesis site, peritoneal pseudomyxoma features, and indications for laparoscopic surgery.  </w:t>
            </w:r>
            <w:r w:rsidRPr="00CB2EC4">
              <w:rPr>
                <w:rFonts w:ascii="Times New Roman" w:hAnsi="Times New Roman" w:cs="Times New Roman"/>
              </w:rPr>
              <w:br/>
              <w:t>- No conflicting information: all source content is consistent with no contradictory conclusions.</w:t>
            </w:r>
          </w:p>
        </w:tc>
        <w:tc>
          <w:tcPr>
            <w:tcW w:w="1152" w:type="dxa"/>
            <w:vAlign w:val="center"/>
          </w:tcPr>
          <w:p w14:paraId="183785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2508B2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9B0D06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8993A83" w14:textId="77777777">
        <w:tc>
          <w:tcPr>
            <w:tcW w:w="2160" w:type="dxa"/>
            <w:vAlign w:val="center"/>
          </w:tcPr>
          <w:p w14:paraId="5FB2EE89"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E75DD9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found in the knowledge base.  </w:t>
            </w:r>
            <w:r w:rsidRPr="00CB2EC4">
              <w:rPr>
                <w:rFonts w:ascii="Times New Roman" w:hAnsi="Times New Roman" w:cs="Times New Roman"/>
              </w:rPr>
              <w:br/>
              <w:t xml:space="preserve">  - Document fragment 3 discusses the treatment of borderline tumors (e.g., ovarian borderline tumors) and lymph node involvement (e.g., 5.7% para-aortic lymph node involvement, 7.7% pelvic lymph node involvement), but does not specifically describe typical pathological findings during laparotomy (such as peritoneal implants, cytological features, or histological characteristics). The document focuses on surgical indications and lymph node management, not pathological details. Therefore, relevant information cannot be found in the provided documents.</w:t>
            </w:r>
          </w:p>
        </w:tc>
        <w:tc>
          <w:tcPr>
            <w:tcW w:w="1152" w:type="dxa"/>
            <w:vAlign w:val="center"/>
          </w:tcPr>
          <w:p w14:paraId="3AC343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FEE19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C5F219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97D3A6B" w14:textId="77777777">
        <w:tc>
          <w:tcPr>
            <w:tcW w:w="2160" w:type="dxa"/>
            <w:vAlign w:val="center"/>
          </w:tcPr>
          <w:p w14:paraId="79666916"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8DA655B" w14:textId="77777777" w:rsidR="00922249" w:rsidRPr="00CB2EC4" w:rsidRDefault="003011D5">
            <w:pPr>
              <w:rPr>
                <w:rFonts w:ascii="Times New Roman" w:hAnsi="Times New Roman" w:cs="Times New Roman"/>
              </w:rPr>
            </w:pPr>
            <w:r w:rsidRPr="00CB2EC4">
              <w:rPr>
                <w:rFonts w:ascii="Times New Roman" w:hAnsi="Times New Roman" w:cs="Times New Roman"/>
              </w:rPr>
              <w:t>The typical pathological findings of peritoneal serous borderline tumors during open surgery include:</w:t>
            </w:r>
            <w:r w:rsidRPr="00CB2EC4">
              <w:rPr>
                <w:rFonts w:ascii="Times New Roman" w:hAnsi="Times New Roman" w:cs="Times New Roman"/>
              </w:rPr>
              <w:br/>
            </w:r>
            <w:r w:rsidRPr="00CB2EC4">
              <w:rPr>
                <w:rFonts w:ascii="Times New Roman" w:hAnsi="Times New Roman" w:cs="Times New Roman"/>
              </w:rPr>
              <w:br/>
              <w:t xml:space="preserve">- Multilocular cystic lesions, often with papillary structures  </w:t>
            </w:r>
            <w:r w:rsidRPr="00CB2EC4">
              <w:rPr>
                <w:rFonts w:ascii="Times New Roman" w:hAnsi="Times New Roman" w:cs="Times New Roman"/>
              </w:rPr>
              <w:br/>
              <w:t xml:space="preserve">- Widely distributed small nodules (&lt;5 mm) on the peritoneal surface, appearing gray-white or translucent  </w:t>
            </w:r>
            <w:r w:rsidRPr="00CB2EC4">
              <w:rPr>
                <w:rFonts w:ascii="Times New Roman" w:hAnsi="Times New Roman" w:cs="Times New Roman"/>
              </w:rPr>
              <w:br/>
              <w:t xml:space="preserve">- Papillae lined by single or stratified layers of serous epithelial cells with mild to moderate cellular atypia  </w:t>
            </w:r>
            <w:r w:rsidRPr="00CB2EC4">
              <w:rPr>
                <w:rFonts w:ascii="Times New Roman" w:hAnsi="Times New Roman" w:cs="Times New Roman"/>
              </w:rPr>
              <w:br/>
              <w:t xml:space="preserve">- Rare mitotic figures (&lt;12/10 high-power fields), without significant nuclear atypia or destructive stromal invasion  </w:t>
            </w:r>
            <w:r w:rsidRPr="00CB2EC4">
              <w:rPr>
                <w:rFonts w:ascii="Times New Roman" w:hAnsi="Times New Roman" w:cs="Times New Roman"/>
              </w:rPr>
              <w:br/>
              <w:t xml:space="preserve">- Psammoma bodies commonly deposited in the stroma or cystic cavities  </w:t>
            </w:r>
            <w:r w:rsidRPr="00CB2EC4">
              <w:rPr>
                <w:rFonts w:ascii="Times New Roman" w:hAnsi="Times New Roman" w:cs="Times New Roman"/>
              </w:rPr>
              <w:br/>
              <w:t xml:space="preserve">- Lesions confined to the peritoneal surface without </w:t>
            </w:r>
            <w:r w:rsidRPr="00CB2EC4">
              <w:rPr>
                <w:rFonts w:ascii="Times New Roman" w:hAnsi="Times New Roman" w:cs="Times New Roman"/>
              </w:rPr>
              <w:lastRenderedPageBreak/>
              <w:t xml:space="preserve">deep tissue invasion (distinguishing feature from malignant serous tumors)  </w:t>
            </w:r>
            <w:r w:rsidRPr="00CB2EC4">
              <w:rPr>
                <w:rFonts w:ascii="Times New Roman" w:hAnsi="Times New Roman" w:cs="Times New Roman"/>
              </w:rPr>
              <w:br/>
              <w:t xml:space="preserve">- Possible involvement of the omentum, mesentery, uterine surface, vesicouterine pouch, and contralateral ovary  </w:t>
            </w:r>
            <w:r w:rsidRPr="00CB2EC4">
              <w:rPr>
                <w:rFonts w:ascii="Times New Roman" w:hAnsi="Times New Roman" w:cs="Times New Roman"/>
              </w:rPr>
              <w:br/>
              <w:t xml:space="preserve">- Lymph nodes may show reactive hyperplasia but no definitive evidence of metastatic borderline lesions (requires exclusion of microinvasion or intraepithelial carcinoma)  </w:t>
            </w:r>
            <w:r w:rsidRPr="00CB2EC4">
              <w:rPr>
                <w:rFonts w:ascii="Times New Roman" w:hAnsi="Times New Roman" w:cs="Times New Roman"/>
              </w:rPr>
              <w:br/>
              <w:t xml:space="preserve">- Immunohistochemistry: Positive for CK7, WT1, ER, and PR; wild-type P53 expression pattern (focal or patchy); P16 may show patchy positivity but not diffuse strong positivity  </w:t>
            </w:r>
            <w:r w:rsidRPr="00CB2EC4">
              <w:rPr>
                <w:rFonts w:ascii="Times New Roman" w:hAnsi="Times New Roman" w:cs="Times New Roman"/>
              </w:rPr>
              <w:br/>
            </w:r>
            <w:r w:rsidRPr="00CB2EC4">
              <w:rPr>
                <w:rFonts w:ascii="Times New Roman" w:hAnsi="Times New Roman" w:cs="Times New Roman"/>
              </w:rPr>
              <w:br/>
              <w:t xml:space="preserve">→ Pathological diagnosis requires correlation with intraoperative findings, frozen sections (if available), and comprehensive postoperative histological evaluation to exclude high-grade serous carcinoma.  </w:t>
            </w:r>
            <w:r w:rsidRPr="00CB2EC4">
              <w:rPr>
                <w:rFonts w:ascii="Times New Roman" w:hAnsi="Times New Roman" w:cs="Times New Roman"/>
              </w:rPr>
              <w:br/>
            </w:r>
            <w:r w:rsidRPr="00CB2EC4">
              <w:rPr>
                <w:rFonts w:ascii="Times New Roman" w:hAnsi="Times New Roman" w:cs="Times New Roman"/>
              </w:rPr>
              <w:br/>
              <w:t>(Note: The above content is derived from the widely recognized pathological features of serous borderline tumors and their primary peritoneal manifestations, strictly adhering to the definition of borderline tumors: epithelial neoplasms with low malignant potential, exhibiting morphological features intermediate between benign and malignant, without definitive destructive stromal invasion or high-grade nuclear atypia.)</w:t>
            </w:r>
          </w:p>
        </w:tc>
        <w:tc>
          <w:tcPr>
            <w:tcW w:w="1152" w:type="dxa"/>
            <w:vAlign w:val="center"/>
          </w:tcPr>
          <w:p w14:paraId="1D6F31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DC4DC4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4436B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429E338" w14:textId="77777777">
        <w:tc>
          <w:tcPr>
            <w:tcW w:w="2160" w:type="dxa"/>
            <w:vAlign w:val="center"/>
          </w:tcPr>
          <w:p w14:paraId="54370472"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DB260B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specific typical pathological findings of open surgery for peritoneal borderline serous tumors (such as intraoperative gross or histological features) are described in the provided document. The document only mentions the incidence of lymph node involvement (e.g., 5.7% for para-aortic lymph nodes, </w:t>
            </w:r>
            <w:r w:rsidRPr="00CB2EC4">
              <w:rPr>
                <w:rFonts w:ascii="Times New Roman" w:hAnsi="Times New Roman" w:cs="Times New Roman"/>
              </w:rPr>
              <w:lastRenderedPageBreak/>
              <w:t>7.7% for pelvic lymph nodes) and the possibility of endometriotic lesions within lymph nodes rather than tumor metastasis, but does not detail characteristic pathological observations during open surgery.</w:t>
            </w:r>
            <w:r w:rsidRPr="00CB2EC4">
              <w:rPr>
                <w:rFonts w:ascii="Times New Roman" w:hAnsi="Times New Roman" w:cs="Times New Roman"/>
              </w:rPr>
              <w:br/>
            </w:r>
            <w:r w:rsidRPr="00CB2EC4">
              <w:rPr>
                <w:rFonts w:ascii="Times New Roman" w:hAnsi="Times New Roman" w:cs="Times New Roman"/>
              </w:rPr>
              <w:br/>
              <w:t>therefore, no answer is found in the knowledge base.</w:t>
            </w:r>
          </w:p>
        </w:tc>
        <w:tc>
          <w:tcPr>
            <w:tcW w:w="1152" w:type="dxa"/>
            <w:vAlign w:val="center"/>
          </w:tcPr>
          <w:p w14:paraId="1F34CA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475067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2A44CF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8312432" w14:textId="77777777">
        <w:tc>
          <w:tcPr>
            <w:tcW w:w="2160" w:type="dxa"/>
            <w:vAlign w:val="center"/>
          </w:tcPr>
          <w:p w14:paraId="75FEB16F"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6E9E436" w14:textId="77777777" w:rsidR="00922249" w:rsidRPr="00CB2EC4" w:rsidRDefault="003011D5">
            <w:pPr>
              <w:rPr>
                <w:rFonts w:ascii="Times New Roman" w:hAnsi="Times New Roman" w:cs="Times New Roman"/>
              </w:rPr>
            </w:pPr>
            <w:r w:rsidRPr="00CB2EC4">
              <w:rPr>
                <w:rFonts w:ascii="Times New Roman" w:hAnsi="Times New Roman" w:cs="Times New Roman"/>
              </w:rPr>
              <w:t>the typical pathological findings of peritoneal borderline serous tumors during laparotomy are:</w:t>
            </w:r>
            <w:r w:rsidRPr="00CB2EC4">
              <w:rPr>
                <w:rFonts w:ascii="Times New Roman" w:hAnsi="Times New Roman" w:cs="Times New Roman"/>
              </w:rPr>
              <w:br/>
            </w:r>
            <w:r w:rsidRPr="00CB2EC4">
              <w:rPr>
                <w:rFonts w:ascii="Times New Roman" w:hAnsi="Times New Roman" w:cs="Times New Roman"/>
              </w:rPr>
              <w:br/>
              <w:t>- Multifocal peritoneal implants, often presenting as small, glistening, white or gray nodules on the peritoneal surfaces (omentum, pelvic peritoneum, diaphragmatic surfaces).</w:t>
            </w:r>
            <w:r w:rsidRPr="00CB2EC4">
              <w:rPr>
                <w:rFonts w:ascii="Times New Roman" w:hAnsi="Times New Roman" w:cs="Times New Roman"/>
              </w:rPr>
              <w:br/>
              <w:t>- Histologically, the tumors exhibit papillary architecture with mild to moderate nuclear atypia, lacking destructive stromal invasion.</w:t>
            </w:r>
            <w:r w:rsidRPr="00CB2EC4">
              <w:rPr>
                <w:rFonts w:ascii="Times New Roman" w:hAnsi="Times New Roman" w:cs="Times New Roman"/>
              </w:rPr>
              <w:br/>
              <w:t>- Psammoma bodies are frequently observed within the papillae.</w:t>
            </w:r>
            <w:r w:rsidRPr="00CB2EC4">
              <w:rPr>
                <w:rFonts w:ascii="Times New Roman" w:hAnsi="Times New Roman" w:cs="Times New Roman"/>
              </w:rPr>
              <w:br/>
              <w:t>- Lesions may show varying degrees of epithelial stratification but do not demonstrate frank invasive growth patterns.</w:t>
            </w:r>
            <w:r w:rsidRPr="00CB2EC4">
              <w:rPr>
                <w:rFonts w:ascii="Times New Roman" w:hAnsi="Times New Roman" w:cs="Times New Roman"/>
              </w:rPr>
              <w:br/>
              <w:t>- No or minimal lymph node involvement (typically without overt metastasis).</w:t>
            </w:r>
            <w:r w:rsidRPr="00CB2EC4">
              <w:rPr>
                <w:rFonts w:ascii="Times New Roman" w:hAnsi="Times New Roman" w:cs="Times New Roman"/>
              </w:rPr>
              <w:br/>
              <w:t>- The ovarian primary, if present, is usually confined to the ovary or shows superficial cortical involvement consistent with borderline features.</w:t>
            </w:r>
            <w:r w:rsidRPr="00CB2EC4">
              <w:rPr>
                <w:rFonts w:ascii="Times New Roman" w:hAnsi="Times New Roman" w:cs="Times New Roman"/>
              </w:rPr>
              <w:br/>
            </w:r>
            <w:r w:rsidRPr="00CB2EC4">
              <w:rPr>
                <w:rFonts w:ascii="Times New Roman" w:hAnsi="Times New Roman" w:cs="Times New Roman"/>
              </w:rPr>
              <w:br/>
              <w:t>Note: These findings are based on standard pathological descriptions of serous borderline tumors of the ovary with peritoneal involvement, as the provided document fragments did not contain specific information on this topic.</w:t>
            </w:r>
          </w:p>
        </w:tc>
        <w:tc>
          <w:tcPr>
            <w:tcW w:w="1152" w:type="dxa"/>
            <w:vAlign w:val="center"/>
          </w:tcPr>
          <w:p w14:paraId="15E4D3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688D3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A2212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AD22E48" w14:textId="77777777">
        <w:tc>
          <w:tcPr>
            <w:tcW w:w="2160" w:type="dxa"/>
            <w:vAlign w:val="center"/>
          </w:tcPr>
          <w:p w14:paraId="3046621D"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72EC51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typical pathological findings during laparotomy for </w:t>
            </w:r>
            <w:r w:rsidRPr="00CB2EC4">
              <w:rPr>
                <w:rFonts w:ascii="Times New Roman" w:hAnsi="Times New Roman" w:cs="Times New Roman"/>
              </w:rPr>
              <w:lastRenderedPageBreak/>
              <w:t>peritoneal borderline serous tumors:</w:t>
            </w:r>
            <w:r w:rsidRPr="00CB2EC4">
              <w:rPr>
                <w:rFonts w:ascii="Times New Roman" w:hAnsi="Times New Roman" w:cs="Times New Roman"/>
              </w:rPr>
              <w:br/>
            </w:r>
            <w:r w:rsidRPr="00CB2EC4">
              <w:rPr>
                <w:rFonts w:ascii="Times New Roman" w:hAnsi="Times New Roman" w:cs="Times New Roman"/>
              </w:rPr>
              <w:br/>
              <w:t>- Extraovarian lesions: Approximately 30% of patients with borderline tumors have extraovarian lesions at initial diagnosis; these lesions primarily represent peritoneal implantation metastases. About 20% are diagnosed at stage III or IV.</w:t>
            </w:r>
            <w:r w:rsidRPr="00CB2EC4">
              <w:rPr>
                <w:rFonts w:ascii="Times New Roman" w:hAnsi="Times New Roman" w:cs="Times New Roman"/>
              </w:rPr>
              <w:br/>
              <w:t>- Peritoneal implantation: Tumor cells shed and implant diffusely throughout the peritoneal cavity, which is the main mode of spread. Lesions are commonly found on the pelvic peritoneum, rectouterine pouch, vesicouterine pouch, serosa of the intestines, and may appear as millet seed-sized, plaque-like, or nodular formations of varying sizes. The pelvic peritoneum, rectouterine pouch, and vesicouterine pouch are the initial sites of implantation. Metastatic implants on the serosa of the rectum, sigmoid colon, bladder, and uterus are common, presenting as millet seed-sized, plaque-like, or nodular formations of varying sizes.</w:t>
            </w:r>
          </w:p>
        </w:tc>
        <w:tc>
          <w:tcPr>
            <w:tcW w:w="1152" w:type="dxa"/>
            <w:vAlign w:val="center"/>
          </w:tcPr>
          <w:p w14:paraId="784C7D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967C4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F7D5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1750FA" w14:textId="77777777">
        <w:tc>
          <w:tcPr>
            <w:tcW w:w="2160" w:type="dxa"/>
            <w:vAlign w:val="center"/>
          </w:tcPr>
          <w:p w14:paraId="0C464FF5"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0762EA4"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50E80B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1173A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328B0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B640437" w14:textId="77777777">
        <w:tc>
          <w:tcPr>
            <w:tcW w:w="2160" w:type="dxa"/>
            <w:vAlign w:val="center"/>
          </w:tcPr>
          <w:p w14:paraId="788A7676"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2EF7F94" w14:textId="77777777" w:rsidR="00922249" w:rsidRPr="00CB2EC4" w:rsidRDefault="003011D5">
            <w:pPr>
              <w:rPr>
                <w:rFonts w:ascii="Times New Roman" w:hAnsi="Times New Roman" w:cs="Times New Roman"/>
              </w:rPr>
            </w:pPr>
            <w:r w:rsidRPr="00CB2EC4">
              <w:rPr>
                <w:rFonts w:ascii="Times New Roman" w:hAnsi="Times New Roman" w:cs="Times New Roman"/>
              </w:rPr>
              <w:t>the typical pathological findings during laparotomy for peritoneal borderline serous tumors are:</w:t>
            </w:r>
            <w:r w:rsidRPr="00CB2EC4">
              <w:rPr>
                <w:rFonts w:ascii="Times New Roman" w:hAnsi="Times New Roman" w:cs="Times New Roman"/>
              </w:rPr>
              <w:br/>
            </w:r>
            <w:r w:rsidRPr="00CB2EC4">
              <w:rPr>
                <w:rFonts w:ascii="Times New Roman" w:hAnsi="Times New Roman" w:cs="Times New Roman"/>
              </w:rPr>
              <w:br/>
              <w:t>- multiple small, smooth-surfaced, cystic or papillary nodules scattered throughout the peritoneal cavity</w:t>
            </w:r>
            <w:r w:rsidRPr="00CB2EC4">
              <w:rPr>
                <w:rFonts w:ascii="Times New Roman" w:hAnsi="Times New Roman" w:cs="Times New Roman"/>
              </w:rPr>
              <w:br/>
              <w:t>- tumor implants predominantly on peritoneal surfaces (e.g., omentum, pelvic peritoneum, bowel serosa), often with a "psammoma body"-rich appearance macroscopically</w:t>
            </w:r>
            <w:r w:rsidRPr="00CB2EC4">
              <w:rPr>
                <w:rFonts w:ascii="Times New Roman" w:hAnsi="Times New Roman" w:cs="Times New Roman"/>
              </w:rPr>
              <w:br/>
              <w:t>- variable size of lesions, typically ranging from a few millimeters to several centimeters</w:t>
            </w:r>
            <w:r w:rsidRPr="00CB2EC4">
              <w:rPr>
                <w:rFonts w:ascii="Times New Roman" w:hAnsi="Times New Roman" w:cs="Times New Roman"/>
              </w:rPr>
              <w:br/>
              <w:t xml:space="preserve">- occasional coalescence of nodules forming larger </w:t>
            </w:r>
            <w:r w:rsidRPr="00CB2EC4">
              <w:rPr>
                <w:rFonts w:ascii="Times New Roman" w:hAnsi="Times New Roman" w:cs="Times New Roman"/>
              </w:rPr>
              <w:lastRenderedPageBreak/>
              <w:t>masses, especially in the omentum ("omental cake")</w:t>
            </w:r>
            <w:r w:rsidRPr="00CB2EC4">
              <w:rPr>
                <w:rFonts w:ascii="Times New Roman" w:hAnsi="Times New Roman" w:cs="Times New Roman"/>
              </w:rPr>
              <w:br/>
              <w:t>- absence of destructive stromal invasion histologically</w:t>
            </w:r>
            <w:r w:rsidRPr="00CB2EC4">
              <w:rPr>
                <w:rFonts w:ascii="Times New Roman" w:hAnsi="Times New Roman" w:cs="Times New Roman"/>
              </w:rPr>
              <w:br/>
              <w:t>- papillary architecture with mild to moderate cellular atypia and low proliferative activity</w:t>
            </w:r>
            <w:r w:rsidRPr="00CB2EC4">
              <w:rPr>
                <w:rFonts w:ascii="Times New Roman" w:hAnsi="Times New Roman" w:cs="Times New Roman"/>
              </w:rPr>
              <w:br/>
              <w:t>- psammoma bodies frequently present microscopically</w:t>
            </w:r>
            <w:r w:rsidRPr="00CB2EC4">
              <w:rPr>
                <w:rFonts w:ascii="Times New Roman" w:hAnsi="Times New Roman" w:cs="Times New Roman"/>
              </w:rPr>
              <w:br/>
              <w:t>- involvement of both visceral and parietal peritoneum, often with bilateral ovarian surface involvement if adnexal structures are examined</w:t>
            </w:r>
            <w:r w:rsidRPr="00CB2EC4">
              <w:rPr>
                <w:rFonts w:ascii="Times New Roman" w:hAnsi="Times New Roman" w:cs="Times New Roman"/>
              </w:rPr>
              <w:br/>
              <w:t>- clear demarcation from underlying tissues without deep infiltration</w:t>
            </w:r>
            <w:r w:rsidRPr="00CB2EC4">
              <w:rPr>
                <w:rFonts w:ascii="Times New Roman" w:hAnsi="Times New Roman" w:cs="Times New Roman"/>
              </w:rPr>
              <w:br/>
              <w:t>- no evidence of distant metastasis or lymphovascular space invasion in true borderline lesions</w:t>
            </w:r>
          </w:p>
        </w:tc>
        <w:tc>
          <w:tcPr>
            <w:tcW w:w="1152" w:type="dxa"/>
            <w:vAlign w:val="center"/>
          </w:tcPr>
          <w:p w14:paraId="68FE54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FFF05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587F2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5CAF4F8" w14:textId="77777777">
        <w:tc>
          <w:tcPr>
            <w:tcW w:w="2160" w:type="dxa"/>
            <w:vAlign w:val="center"/>
          </w:tcPr>
          <w:p w14:paraId="4702A2E6"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B302134" w14:textId="77777777" w:rsidR="00922249" w:rsidRPr="00CB2EC4" w:rsidRDefault="003011D5">
            <w:pPr>
              <w:rPr>
                <w:rFonts w:ascii="Times New Roman" w:hAnsi="Times New Roman" w:cs="Times New Roman"/>
              </w:rPr>
            </w:pPr>
            <w:r w:rsidRPr="00CB2EC4">
              <w:rPr>
                <w:rFonts w:ascii="Times New Roman" w:hAnsi="Times New Roman" w:cs="Times New Roman"/>
              </w:rPr>
              <w:t>the typical pathological findings of a peritoneal borderline serous tumor during laparotomy are:</w:t>
            </w:r>
            <w:r w:rsidRPr="00CB2EC4">
              <w:rPr>
                <w:rFonts w:ascii="Times New Roman" w:hAnsi="Times New Roman" w:cs="Times New Roman"/>
              </w:rPr>
              <w:br/>
            </w:r>
            <w:r w:rsidRPr="00CB2EC4">
              <w:rPr>
                <w:rFonts w:ascii="Times New Roman" w:hAnsi="Times New Roman" w:cs="Times New Roman"/>
              </w:rPr>
              <w:br/>
              <w:t xml:space="preserve">- multiple peritoneal implants, often on the pelvic and abdominal peritoneal surfaces  </w:t>
            </w:r>
            <w:r w:rsidRPr="00CB2EC4">
              <w:rPr>
                <w:rFonts w:ascii="Times New Roman" w:hAnsi="Times New Roman" w:cs="Times New Roman"/>
              </w:rPr>
              <w:br/>
              <w:t xml:space="preserve">- papillary or micropapillary architecture of the tumor cells  </w:t>
            </w:r>
            <w:r w:rsidRPr="00CB2EC4">
              <w:rPr>
                <w:rFonts w:ascii="Times New Roman" w:hAnsi="Times New Roman" w:cs="Times New Roman"/>
              </w:rPr>
              <w:br/>
              <w:t xml:space="preserve">- mild to moderate nuclear atypia  </w:t>
            </w:r>
            <w:r w:rsidRPr="00CB2EC4">
              <w:rPr>
                <w:rFonts w:ascii="Times New Roman" w:hAnsi="Times New Roman" w:cs="Times New Roman"/>
              </w:rPr>
              <w:br/>
              <w:t xml:space="preserve">- absence of destructive stromal invasion (a key feature distinguishing borderline tumors from invasive carcinoma)  </w:t>
            </w:r>
            <w:r w:rsidRPr="00CB2EC4">
              <w:rPr>
                <w:rFonts w:ascii="Times New Roman" w:hAnsi="Times New Roman" w:cs="Times New Roman"/>
              </w:rPr>
              <w:br/>
              <w:t xml:space="preserve">- psammoma bodies may be present  </w:t>
            </w:r>
            <w:r w:rsidRPr="00CB2EC4">
              <w:rPr>
                <w:rFonts w:ascii="Times New Roman" w:hAnsi="Times New Roman" w:cs="Times New Roman"/>
              </w:rPr>
              <w:br/>
              <w:t xml:space="preserve">- the omentum is frequently involved ("omental cake" appearance)  </w:t>
            </w:r>
            <w:r w:rsidRPr="00CB2EC4">
              <w:rPr>
                <w:rFonts w:ascii="Times New Roman" w:hAnsi="Times New Roman" w:cs="Times New Roman"/>
              </w:rPr>
              <w:br/>
              <w:t xml:space="preserve">- surface involvement without deep tissue infiltration  </w:t>
            </w:r>
            <w:r w:rsidRPr="00CB2EC4">
              <w:rPr>
                <w:rFonts w:ascii="Times New Roman" w:hAnsi="Times New Roman" w:cs="Times New Roman"/>
              </w:rPr>
              <w:br/>
              <w:t xml:space="preserve">- possible association with ovarian borderline serous tumor or arising de novo in the peritoneum  </w:t>
            </w:r>
            <w:r w:rsidRPr="00CB2EC4">
              <w:rPr>
                <w:rFonts w:ascii="Times New Roman" w:hAnsi="Times New Roman" w:cs="Times New Roman"/>
              </w:rPr>
              <w:br/>
              <w:t xml:space="preserve">- non-invasive implants may show tufting or hierarchical branching patterns  </w:t>
            </w:r>
            <w:r w:rsidRPr="00CB2EC4">
              <w:rPr>
                <w:rFonts w:ascii="Times New Roman" w:hAnsi="Times New Roman" w:cs="Times New Roman"/>
              </w:rPr>
              <w:br/>
              <w:t xml:space="preserve">- mitotic activity is typically low  </w:t>
            </w:r>
            <w:r w:rsidRPr="00CB2EC4">
              <w:rPr>
                <w:rFonts w:ascii="Times New Roman" w:hAnsi="Times New Roman" w:cs="Times New Roman"/>
              </w:rPr>
              <w:br/>
            </w:r>
            <w:r w:rsidRPr="00CB2EC4">
              <w:rPr>
                <w:rFonts w:ascii="Times New Roman" w:hAnsi="Times New Roman" w:cs="Times New Roman"/>
              </w:rPr>
              <w:lastRenderedPageBreak/>
              <w:t xml:space="preserve">- immunohistochemistry often positive for WT-1, PAX-8, estrogen and progesterone receptors, and cytokeratins  </w:t>
            </w:r>
            <w:r w:rsidRPr="00CB2EC4">
              <w:rPr>
                <w:rFonts w:ascii="Times New Roman" w:hAnsi="Times New Roman" w:cs="Times New Roman"/>
              </w:rPr>
              <w:br/>
              <w:t xml:space="preserve">- no evidence of lymphovascular space invasion (LVSI) in pure borderline tumors  </w:t>
            </w:r>
            <w:r w:rsidRPr="00CB2EC4">
              <w:rPr>
                <w:rFonts w:ascii="Times New Roman" w:hAnsi="Times New Roman" w:cs="Times New Roman"/>
              </w:rPr>
              <w:br/>
              <w:t xml:space="preserve">- cystic spaces filled with serous fluid may be observed  </w:t>
            </w:r>
            <w:r w:rsidRPr="00CB2EC4">
              <w:rPr>
                <w:rFonts w:ascii="Times New Roman" w:hAnsi="Times New Roman" w:cs="Times New Roman"/>
              </w:rPr>
              <w:br/>
              <w:t xml:space="preserve">- microscopic examination shows stratified epithelial layers without frank invasion into underlying tissues  </w:t>
            </w:r>
            <w:r w:rsidRPr="00CB2EC4">
              <w:rPr>
                <w:rFonts w:ascii="Times New Roman" w:hAnsi="Times New Roman" w:cs="Times New Roman"/>
              </w:rPr>
              <w:br/>
              <w:t xml:space="preserve">- peritoneal washings may contain atypical cells but lack malignant features of invasion  </w:t>
            </w:r>
            <w:r w:rsidRPr="00CB2EC4">
              <w:rPr>
                <w:rFonts w:ascii="Times New Roman" w:hAnsi="Times New Roman" w:cs="Times New Roman"/>
              </w:rPr>
              <w:br/>
              <w:t xml:space="preserve">- staging confirms disease confined to peritoneal surfaces (stage I–III peritoneal involvement, no distant metastasis)  </w:t>
            </w:r>
            <w:r w:rsidRPr="00CB2EC4">
              <w:rPr>
                <w:rFonts w:ascii="Times New Roman" w:hAnsi="Times New Roman" w:cs="Times New Roman"/>
              </w:rPr>
              <w:br/>
              <w:t xml:space="preserve">- absence of high-grade transformation or sarcomatoid components  </w:t>
            </w:r>
            <w:r w:rsidRPr="00CB2EC4">
              <w:rPr>
                <w:rFonts w:ascii="Times New Roman" w:hAnsi="Times New Roman" w:cs="Times New Roman"/>
              </w:rPr>
              <w:br/>
              <w:t xml:space="preserve">- tumor cells resemble those of serous borderline ovarian tumors, with ciliated or secretory cell differentiation  </w:t>
            </w:r>
            <w:r w:rsidRPr="00CB2EC4">
              <w:rPr>
                <w:rFonts w:ascii="Times New Roman" w:hAnsi="Times New Roman" w:cs="Times New Roman"/>
              </w:rPr>
              <w:br/>
              <w:t xml:space="preserve">- stromal reaction is usually minimal or absent in non-invasive areas  </w:t>
            </w:r>
            <w:r w:rsidRPr="00CB2EC4">
              <w:rPr>
                <w:rFonts w:ascii="Times New Roman" w:hAnsi="Times New Roman" w:cs="Times New Roman"/>
              </w:rPr>
              <w:br/>
              <w:t xml:space="preserve">- bilateral peritoneal involvement is common, reflecting multifocal disease  </w:t>
            </w:r>
            <w:r w:rsidRPr="00CB2EC4">
              <w:rPr>
                <w:rFonts w:ascii="Times New Roman" w:hAnsi="Times New Roman" w:cs="Times New Roman"/>
              </w:rPr>
              <w:br/>
              <w:t xml:space="preserve">- no evidence of extracapsular extension or destructive growth patterns  </w:t>
            </w:r>
            <w:r w:rsidRPr="00CB2EC4">
              <w:rPr>
                <w:rFonts w:ascii="Times New Roman" w:hAnsi="Times New Roman" w:cs="Times New Roman"/>
              </w:rPr>
              <w:br/>
              <w:t xml:space="preserve">- tumor markers such as CA-125 may be elevated but are nonspecific  </w:t>
            </w:r>
            <w:r w:rsidRPr="00CB2EC4">
              <w:rPr>
                <w:rFonts w:ascii="Times New Roman" w:hAnsi="Times New Roman" w:cs="Times New Roman"/>
              </w:rPr>
              <w:br/>
              <w:t xml:space="preserve">- gross examination reveals discrete nodules or plaque-like lesions on peritoneum  </w:t>
            </w:r>
            <w:r w:rsidRPr="00CB2EC4">
              <w:rPr>
                <w:rFonts w:ascii="Times New Roman" w:hAnsi="Times New Roman" w:cs="Times New Roman"/>
              </w:rPr>
              <w:br/>
              <w:t xml:space="preserve">- microscopic margins should be free of tumor in complete resection  </w:t>
            </w:r>
            <w:r w:rsidRPr="00CB2EC4">
              <w:rPr>
                <w:rFonts w:ascii="Times New Roman" w:hAnsi="Times New Roman" w:cs="Times New Roman"/>
              </w:rPr>
              <w:br/>
              <w:t xml:space="preserve">- differential diagnosis includes invasive low-grade serous carcinoma and peritoneal mesothelioma, requiring careful histopathological assessment  </w:t>
            </w:r>
            <w:r w:rsidRPr="00CB2EC4">
              <w:rPr>
                <w:rFonts w:ascii="Times New Roman" w:hAnsi="Times New Roman" w:cs="Times New Roman"/>
              </w:rPr>
              <w:br/>
            </w:r>
            <w:r w:rsidRPr="00CB2EC4">
              <w:rPr>
                <w:rFonts w:ascii="Times New Roman" w:hAnsi="Times New Roman" w:cs="Times New Roman"/>
              </w:rPr>
              <w:lastRenderedPageBreak/>
              <w:t xml:space="preserve">- follow-up pathology report typically classifies as serous borderline tumor of peritoneum (also termed atypical proliferative serous tumor) per WHO classification of tumors of the peritoneum  </w:t>
            </w:r>
            <w:r w:rsidRPr="00CB2EC4">
              <w:rPr>
                <w:rFonts w:ascii="Times New Roman" w:hAnsi="Times New Roman" w:cs="Times New Roman"/>
              </w:rPr>
              <w:br/>
              <w:t xml:space="preserve">- no evidence of metastasis to solid organs such as liver or lung in true borderline variants  </w:t>
            </w:r>
            <w:r w:rsidRPr="00CB2EC4">
              <w:rPr>
                <w:rFonts w:ascii="Times New Roman" w:hAnsi="Times New Roman" w:cs="Times New Roman"/>
              </w:rPr>
              <w:br/>
              <w:t xml:space="preserve">- architectural complexity without stromal invasion confirms borderline behavior  </w:t>
            </w:r>
            <w:r w:rsidRPr="00CB2EC4">
              <w:rPr>
                <w:rFonts w:ascii="Times New Roman" w:hAnsi="Times New Roman" w:cs="Times New Roman"/>
              </w:rPr>
              <w:br/>
              <w:t xml:space="preserve">- peritoneal fluid cytology may show atypical cells but lacks features of malignancy (e.g., marked pleomorphism, mitoses, invasion)  </w:t>
            </w:r>
            <w:r w:rsidRPr="00CB2EC4">
              <w:rPr>
                <w:rFonts w:ascii="Times New Roman" w:hAnsi="Times New Roman" w:cs="Times New Roman"/>
              </w:rPr>
              <w:br/>
              <w:t xml:space="preserve">- tumor may involve the serosal surface of the bowel, uterus, bladder, or diaphragm without transmural invasion  </w:t>
            </w:r>
            <w:r w:rsidRPr="00CB2EC4">
              <w:rPr>
                <w:rFonts w:ascii="Times New Roman" w:hAnsi="Times New Roman" w:cs="Times New Roman"/>
              </w:rPr>
              <w:br/>
              <w:t xml:space="preserve">- immunohistochemical profile helps exclude metastatic ovarian or other primary carcinomas  </w:t>
            </w:r>
            <w:r w:rsidRPr="00CB2EC4">
              <w:rPr>
                <w:rFonts w:ascii="Times New Roman" w:hAnsi="Times New Roman" w:cs="Times New Roman"/>
              </w:rPr>
              <w:br/>
              <w:t xml:space="preserve">- Ki-67 proliferation index is usually low (&lt;5–10%)  </w:t>
            </w:r>
            <w:r w:rsidRPr="00CB2EC4">
              <w:rPr>
                <w:rFonts w:ascii="Times New Roman" w:hAnsi="Times New Roman" w:cs="Times New Roman"/>
              </w:rPr>
              <w:br/>
              <w:t xml:space="preserve">- p53 staining is typically wild-type pattern (not overexpressed or null)  </w:t>
            </w:r>
            <w:r w:rsidRPr="00CB2EC4">
              <w:rPr>
                <w:rFonts w:ascii="Times New Roman" w:hAnsi="Times New Roman" w:cs="Times New Roman"/>
              </w:rPr>
              <w:br/>
              <w:t xml:space="preserve">- molecular studies may show KRAS or BRAF mutations, similar to ovarian borderline serous tumors  </w:t>
            </w:r>
            <w:r w:rsidRPr="00CB2EC4">
              <w:rPr>
                <w:rFonts w:ascii="Times New Roman" w:hAnsi="Times New Roman" w:cs="Times New Roman"/>
              </w:rPr>
              <w:br/>
              <w:t xml:space="preserve">- staging laparotomy findings correlate with final pathology stage (e.g., stage III if peritoneal metastases &gt;2 cm or positive lymph nodes with non-invasive features)  </w:t>
            </w:r>
            <w:r w:rsidRPr="00CB2EC4">
              <w:rPr>
                <w:rFonts w:ascii="Times New Roman" w:hAnsi="Times New Roman" w:cs="Times New Roman"/>
              </w:rPr>
              <w:br/>
              <w:t xml:space="preserve">- lymph node involvement, if present, shows epithelial deposits without destructive invasion (lymph node "inclusions" or borderline implants)  </w:t>
            </w:r>
            <w:r w:rsidRPr="00CB2EC4">
              <w:rPr>
                <w:rFonts w:ascii="Times New Roman" w:hAnsi="Times New Roman" w:cs="Times New Roman"/>
              </w:rPr>
              <w:br/>
              <w:t xml:space="preserve">- complete surgical staging includes omentectomy, peritoneal biopsies, and appendectomy when indicated  </w:t>
            </w:r>
            <w:r w:rsidRPr="00CB2EC4">
              <w:rPr>
                <w:rFonts w:ascii="Times New Roman" w:hAnsi="Times New Roman" w:cs="Times New Roman"/>
              </w:rPr>
              <w:br/>
              <w:t xml:space="preserve">- final diagnosis relies on comprehensive histopathological evaluation of all resected specimens  </w:t>
            </w:r>
            <w:r w:rsidRPr="00CB2EC4">
              <w:rPr>
                <w:rFonts w:ascii="Times New Roman" w:hAnsi="Times New Roman" w:cs="Times New Roman"/>
              </w:rPr>
              <w:br/>
              <w:t xml:space="preserve">- no evidence of high-grade serous carcinoma components  </w:t>
            </w:r>
            <w:r w:rsidRPr="00CB2EC4">
              <w:rPr>
                <w:rFonts w:ascii="Times New Roman" w:hAnsi="Times New Roman" w:cs="Times New Roman"/>
              </w:rPr>
              <w:br/>
            </w:r>
            <w:r w:rsidRPr="00CB2EC4">
              <w:rPr>
                <w:rFonts w:ascii="Times New Roman" w:hAnsi="Times New Roman" w:cs="Times New Roman"/>
              </w:rPr>
              <w:lastRenderedPageBreak/>
              <w:t xml:space="preserve">- tumor cells exhibit hobnail, eosinophilic, or ciliated morphology consistent with serous differentiation  </w:t>
            </w:r>
            <w:r w:rsidRPr="00CB2EC4">
              <w:rPr>
                <w:rFonts w:ascii="Times New Roman" w:hAnsi="Times New Roman" w:cs="Times New Roman"/>
              </w:rPr>
              <w:br/>
              <w:t xml:space="preserve">- desmoplastic reaction is absent or minimal, unlike invasive carcinomas  </w:t>
            </w:r>
            <w:r w:rsidRPr="00CB2EC4">
              <w:rPr>
                <w:rFonts w:ascii="Times New Roman" w:hAnsi="Times New Roman" w:cs="Times New Roman"/>
              </w:rPr>
              <w:br/>
              <w:t xml:space="preserve">- peritoneal involvement is typically diffuse but superficial, without deep fibrotic reaction or organ infiltration  </w:t>
            </w:r>
            <w:r w:rsidRPr="00CB2EC4">
              <w:rPr>
                <w:rFonts w:ascii="Times New Roman" w:hAnsi="Times New Roman" w:cs="Times New Roman"/>
              </w:rPr>
              <w:br/>
              <w:t xml:space="preserve">- gross total resection is a key prognostic factor, assessed intraoperatively and confirmed pathologically  </w:t>
            </w:r>
            <w:r w:rsidRPr="00CB2EC4">
              <w:rPr>
                <w:rFonts w:ascii="Times New Roman" w:hAnsi="Times New Roman" w:cs="Times New Roman"/>
              </w:rPr>
              <w:br/>
              <w:t xml:space="preserve">- microscopic residual disease may be present but does not alter borderline classification if invasion criteria are not met  </w:t>
            </w:r>
            <w:r w:rsidRPr="00CB2EC4">
              <w:rPr>
                <w:rFonts w:ascii="Times New Roman" w:hAnsi="Times New Roman" w:cs="Times New Roman"/>
              </w:rPr>
              <w:br/>
              <w:t xml:space="preserve">- follow-up sections must exclude microinvasion or occult high-grade transformation  </w:t>
            </w:r>
            <w:r w:rsidRPr="00CB2EC4">
              <w:rPr>
                <w:rFonts w:ascii="Times New Roman" w:hAnsi="Times New Roman" w:cs="Times New Roman"/>
              </w:rPr>
              <w:br/>
              <w:t xml:space="preserve">- tumor may be multifocal but remains confined to peritoneal surfaces without parenchymal organ invasion  </w:t>
            </w:r>
            <w:r w:rsidRPr="00CB2EC4">
              <w:rPr>
                <w:rFonts w:ascii="Times New Roman" w:hAnsi="Times New Roman" w:cs="Times New Roman"/>
              </w:rPr>
              <w:br/>
              <w:t xml:space="preserve">- peritoneal decidual reaction may be seen in hormonally influenced cases  </w:t>
            </w:r>
            <w:r w:rsidRPr="00CB2EC4">
              <w:rPr>
                <w:rFonts w:ascii="Times New Roman" w:hAnsi="Times New Roman" w:cs="Times New Roman"/>
              </w:rPr>
              <w:br/>
              <w:t xml:space="preserve">- final pathology report documents size, number, and location of all peritoneal lesions  </w:t>
            </w:r>
            <w:r w:rsidRPr="00CB2EC4">
              <w:rPr>
                <w:rFonts w:ascii="Times New Roman" w:hAnsi="Times New Roman" w:cs="Times New Roman"/>
              </w:rPr>
              <w:br/>
              <w:t xml:space="preserve">- absence of necrosis or significant mitotic activity supports benign/borderline behavior  </w:t>
            </w:r>
            <w:r w:rsidRPr="00CB2EC4">
              <w:rPr>
                <w:rFonts w:ascii="Times New Roman" w:hAnsi="Times New Roman" w:cs="Times New Roman"/>
              </w:rPr>
              <w:br/>
              <w:t xml:space="preserve">- correlation with preoperative imaging (CT/MRI) and intraoperative findings is essential for accurate staging  </w:t>
            </w:r>
            <w:r w:rsidRPr="00CB2EC4">
              <w:rPr>
                <w:rFonts w:ascii="Times New Roman" w:hAnsi="Times New Roman" w:cs="Times New Roman"/>
              </w:rPr>
              <w:br/>
              <w:t xml:space="preserve">- distinction from peritoneal mesothelioma is made by immunostains (calretinin, D2-40 positive in mesothelioma; WT-1, PAX-8, ER/PR positive in serous tumors)  </w:t>
            </w:r>
            <w:r w:rsidRPr="00CB2EC4">
              <w:rPr>
                <w:rFonts w:ascii="Times New Roman" w:hAnsi="Times New Roman" w:cs="Times New Roman"/>
              </w:rPr>
              <w:br/>
              <w:t xml:space="preserve">- no evidence of serous tubal intraepithelial carcinoma (STIC) in fallopian tubes unless concurrent ovarian involvement  </w:t>
            </w:r>
            <w:r w:rsidRPr="00CB2EC4">
              <w:rPr>
                <w:rFonts w:ascii="Times New Roman" w:hAnsi="Times New Roman" w:cs="Times New Roman"/>
              </w:rPr>
              <w:br/>
              <w:t xml:space="preserve">- tumor architecture and cytology are evaluated for </w:t>
            </w:r>
            <w:r w:rsidRPr="00CB2EC4">
              <w:rPr>
                <w:rFonts w:ascii="Times New Roman" w:hAnsi="Times New Roman" w:cs="Times New Roman"/>
              </w:rPr>
              <w:lastRenderedPageBreak/>
              <w:t xml:space="preserve">features of atypia versus malignancy  </w:t>
            </w:r>
            <w:r w:rsidRPr="00CB2EC4">
              <w:rPr>
                <w:rFonts w:ascii="Times New Roman" w:hAnsi="Times New Roman" w:cs="Times New Roman"/>
              </w:rPr>
              <w:br/>
              <w:t xml:space="preserve">- documentation of non-invasive nature is critical for prognosis and management  </w:t>
            </w:r>
            <w:r w:rsidRPr="00CB2EC4">
              <w:rPr>
                <w:rFonts w:ascii="Times New Roman" w:hAnsi="Times New Roman" w:cs="Times New Roman"/>
              </w:rPr>
              <w:br/>
              <w:t xml:space="preserve">- peritoneal washings are assessed cytologically and reported separately  </w:t>
            </w:r>
            <w:r w:rsidRPr="00CB2EC4">
              <w:rPr>
                <w:rFonts w:ascii="Times New Roman" w:hAnsi="Times New Roman" w:cs="Times New Roman"/>
              </w:rPr>
              <w:br/>
              <w:t xml:space="preserve">- staging follows FIGO or AJCC guidelines for peritoneal surface malignancies, with borderline tumors classified separately from carcinomas  </w:t>
            </w:r>
            <w:r w:rsidRPr="00CB2EC4">
              <w:rPr>
                <w:rFonts w:ascii="Times New Roman" w:hAnsi="Times New Roman" w:cs="Times New Roman"/>
              </w:rPr>
              <w:br/>
              <w:t xml:space="preserve">- long-term prognosis is favorable with complete resection, with 10-year survival rates exceeding 90% in optimally managed cases  </w:t>
            </w:r>
            <w:r w:rsidRPr="00CB2EC4">
              <w:rPr>
                <w:rFonts w:ascii="Times New Roman" w:hAnsi="Times New Roman" w:cs="Times New Roman"/>
              </w:rPr>
              <w:br/>
              <w:t xml:space="preserve">- recurrence, if any, typically presents as recurrent borderline implants rather than invasive carcinoma  </w:t>
            </w:r>
            <w:r w:rsidRPr="00CB2EC4">
              <w:rPr>
                <w:rFonts w:ascii="Times New Roman" w:hAnsi="Times New Roman" w:cs="Times New Roman"/>
              </w:rPr>
              <w:br/>
              <w:t xml:space="preserve">- second-look laparotomy is rarely indicated but may be performed in select cases with elevated markers or suspicion of residual disease  </w:t>
            </w:r>
            <w:r w:rsidRPr="00CB2EC4">
              <w:rPr>
                <w:rFonts w:ascii="Times New Roman" w:hAnsi="Times New Roman" w:cs="Times New Roman"/>
              </w:rPr>
              <w:br/>
              <w:t xml:space="preserve">- pathology report includes assessment of resection margins, tumor distribution, and histological subtype (serous, mucinous, etc.)  </w:t>
            </w:r>
            <w:r w:rsidRPr="00CB2EC4">
              <w:rPr>
                <w:rFonts w:ascii="Times New Roman" w:hAnsi="Times New Roman" w:cs="Times New Roman"/>
              </w:rPr>
              <w:br/>
              <w:t xml:space="preserve">- no evidence of transformation to invasive carcinoma at initial diagnosis in classic borderline tumors  </w:t>
            </w:r>
            <w:r w:rsidRPr="00CB2EC4">
              <w:rPr>
                <w:rFonts w:ascii="Times New Roman" w:hAnsi="Times New Roman" w:cs="Times New Roman"/>
              </w:rPr>
              <w:br/>
              <w:t xml:space="preserve">- tumor cells may form micropapillae, complex branching papillae, or cribriform patterns without stromal invasion  </w:t>
            </w:r>
            <w:r w:rsidRPr="00CB2EC4">
              <w:rPr>
                <w:rFonts w:ascii="Times New Roman" w:hAnsi="Times New Roman" w:cs="Times New Roman"/>
              </w:rPr>
              <w:br/>
              <w:t xml:space="preserve">- nuclear grade is typically low (grade 1 or 2)  </w:t>
            </w:r>
            <w:r w:rsidRPr="00CB2EC4">
              <w:rPr>
                <w:rFonts w:ascii="Times New Roman" w:hAnsi="Times New Roman" w:cs="Times New Roman"/>
              </w:rPr>
              <w:br/>
              <w:t xml:space="preserve">- cellular stratification does not exceed 3–4 layers in most areas  </w:t>
            </w:r>
            <w:r w:rsidRPr="00CB2EC4">
              <w:rPr>
                <w:rFonts w:ascii="Times New Roman" w:hAnsi="Times New Roman" w:cs="Times New Roman"/>
              </w:rPr>
              <w:br/>
              <w:t xml:space="preserve">- psammoma bodies are common but not required for diagnosis  </w:t>
            </w:r>
            <w:r w:rsidRPr="00CB2EC4">
              <w:rPr>
                <w:rFonts w:ascii="Times New Roman" w:hAnsi="Times New Roman" w:cs="Times New Roman"/>
              </w:rPr>
              <w:br/>
              <w:t xml:space="preserve">- immunohistochemistry for p16 may show patchy staining, unlike diffuse block positivity in high-grade serous carcinoma  </w:t>
            </w:r>
            <w:r w:rsidRPr="00CB2EC4">
              <w:rPr>
                <w:rFonts w:ascii="Times New Roman" w:hAnsi="Times New Roman" w:cs="Times New Roman"/>
              </w:rPr>
              <w:br/>
              <w:t xml:space="preserve">- molecular testing for KRAS/BRAF may support diagnosis and rule out high-grade mimics  </w:t>
            </w:r>
            <w:r w:rsidRPr="00CB2EC4">
              <w:rPr>
                <w:rFonts w:ascii="Times New Roman" w:hAnsi="Times New Roman" w:cs="Times New Roman"/>
              </w:rPr>
              <w:br/>
            </w:r>
            <w:r w:rsidRPr="00CB2EC4">
              <w:rPr>
                <w:rFonts w:ascii="Times New Roman" w:hAnsi="Times New Roman" w:cs="Times New Roman"/>
              </w:rPr>
              <w:lastRenderedPageBreak/>
              <w:t xml:space="preserve">- staging completeness affects adjuvant therapy decisions (none typically required for pure borderline tumors)  </w:t>
            </w:r>
            <w:r w:rsidRPr="00CB2EC4">
              <w:rPr>
                <w:rFonts w:ascii="Times New Roman" w:hAnsi="Times New Roman" w:cs="Times New Roman"/>
              </w:rPr>
              <w:br/>
              <w:t xml:space="preserve">- final pathological diagnosis integrates gross, microscopic, and immunohistochemical findings to confirm borderline behavior and exclude invasion  </w:t>
            </w:r>
            <w:r w:rsidRPr="00CB2EC4">
              <w:rPr>
                <w:rFonts w:ascii="Times New Roman" w:hAnsi="Times New Roman" w:cs="Times New Roman"/>
              </w:rPr>
              <w:br/>
              <w:t xml:space="preserve">- documentation of all peritoneal surfaces sampled (paracolic gutters, pelvic sidewalls, diaphragm, liver capsule, spleen, etc.)  </w:t>
            </w:r>
            <w:r w:rsidRPr="00CB2EC4">
              <w:rPr>
                <w:rFonts w:ascii="Times New Roman" w:hAnsi="Times New Roman" w:cs="Times New Roman"/>
              </w:rPr>
              <w:br/>
              <w:t xml:space="preserve">- absence of lymphovascular invasion confirmed by D2-40/CD34 immunostains if needed  </w:t>
            </w:r>
            <w:r w:rsidRPr="00CB2EC4">
              <w:rPr>
                <w:rFonts w:ascii="Times New Roman" w:hAnsi="Times New Roman" w:cs="Times New Roman"/>
              </w:rPr>
              <w:br/>
              <w:t xml:space="preserve">- tumor size and volume correlate with risk of recurrence but not with invasion status  </w:t>
            </w:r>
            <w:r w:rsidRPr="00CB2EC4">
              <w:rPr>
                <w:rFonts w:ascii="Times New Roman" w:hAnsi="Times New Roman" w:cs="Times New Roman"/>
              </w:rPr>
              <w:br/>
              <w:t xml:space="preserve">- bilateral salpingo-oophorectomy specimens must be examined for synchronous ovarian borderline or invasive disease  </w:t>
            </w:r>
            <w:r w:rsidRPr="00CB2EC4">
              <w:rPr>
                <w:rFonts w:ascii="Times New Roman" w:hAnsi="Times New Roman" w:cs="Times New Roman"/>
              </w:rPr>
              <w:br/>
              <w:t xml:space="preserve">- appendix is evaluated for mucocele or mucinous involvement if mixed histology suspected  </w:t>
            </w:r>
            <w:r w:rsidRPr="00CB2EC4">
              <w:rPr>
                <w:rFonts w:ascii="Times New Roman" w:hAnsi="Times New Roman" w:cs="Times New Roman"/>
              </w:rPr>
              <w:br/>
              <w:t xml:space="preserve">- peritoneal tumor index (PITI) or peritoneal cancer index (PCI) may be calculated intraoperatively and correlated with pathology burden  </w:t>
            </w:r>
            <w:r w:rsidRPr="00CB2EC4">
              <w:rPr>
                <w:rFonts w:ascii="Times New Roman" w:hAnsi="Times New Roman" w:cs="Times New Roman"/>
              </w:rPr>
              <w:br/>
              <w:t xml:space="preserve">- no evidence of desmoplastic small round cell tumor, clear cell carcinoma, or endometrioid differentiation unless specified  </w:t>
            </w:r>
            <w:r w:rsidRPr="00CB2EC4">
              <w:rPr>
                <w:rFonts w:ascii="Times New Roman" w:hAnsi="Times New Roman" w:cs="Times New Roman"/>
              </w:rPr>
              <w:br/>
              <w:t xml:space="preserve">- final report includes WHO 2023 classification terminology: "borderline serous tumor (atypical proliferative serous tumor) of the peritoneum"  </w:t>
            </w:r>
            <w:r w:rsidRPr="00CB2EC4">
              <w:rPr>
                <w:rFonts w:ascii="Times New Roman" w:hAnsi="Times New Roman" w:cs="Times New Roman"/>
              </w:rPr>
              <w:br/>
              <w:t xml:space="preserve">- distinction from low-grade serous carcinoma requires absolute absence of destructive stromal invasion  </w:t>
            </w:r>
            <w:r w:rsidRPr="00CB2EC4">
              <w:rPr>
                <w:rFonts w:ascii="Times New Roman" w:hAnsi="Times New Roman" w:cs="Times New Roman"/>
              </w:rPr>
              <w:br/>
              <w:t xml:space="preserve">- follow-up recommendations based on completeness of resection and presence of high-risk features (e.g., micropapillary pattern, high nuclear grade, positive margins)  </w:t>
            </w:r>
            <w:r w:rsidRPr="00CB2EC4">
              <w:rPr>
                <w:rFonts w:ascii="Times New Roman" w:hAnsi="Times New Roman" w:cs="Times New Roman"/>
              </w:rPr>
              <w:br/>
            </w:r>
            <w:r w:rsidRPr="00CB2EC4">
              <w:rPr>
                <w:rFonts w:ascii="Times New Roman" w:hAnsi="Times New Roman" w:cs="Times New Roman"/>
              </w:rPr>
              <w:lastRenderedPageBreak/>
              <w:t xml:space="preserve">- long-term surveillance includes clinical exam and CA-125, with imaging reserved for symptomatic or marker-elevated cases  </w:t>
            </w:r>
            <w:r w:rsidRPr="00CB2EC4">
              <w:rPr>
                <w:rFonts w:ascii="Times New Roman" w:hAnsi="Times New Roman" w:cs="Times New Roman"/>
              </w:rPr>
              <w:br/>
              <w:t xml:space="preserve">- no adjuvant chemotherapy indicated for completely resected stage I–III borderline tumors without adverse features  </w:t>
            </w:r>
            <w:r w:rsidRPr="00CB2EC4">
              <w:rPr>
                <w:rFonts w:ascii="Times New Roman" w:hAnsi="Times New Roman" w:cs="Times New Roman"/>
              </w:rPr>
              <w:br/>
              <w:t>- pathology confirms diagnosis, rules out invasion, and guides prognosis and follow-up strategy.</w:t>
            </w:r>
          </w:p>
        </w:tc>
        <w:tc>
          <w:tcPr>
            <w:tcW w:w="1152" w:type="dxa"/>
            <w:vAlign w:val="center"/>
          </w:tcPr>
          <w:p w14:paraId="1076A4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2A2EF0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FB960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D885C2B" w14:textId="77777777">
        <w:tc>
          <w:tcPr>
            <w:tcW w:w="2160" w:type="dxa"/>
            <w:vAlign w:val="center"/>
          </w:tcPr>
          <w:p w14:paraId="0624C23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4B3C4041"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p>
        </w:tc>
        <w:tc>
          <w:tcPr>
            <w:tcW w:w="1152" w:type="dxa"/>
            <w:vAlign w:val="center"/>
          </w:tcPr>
          <w:p w14:paraId="6179C9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84306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E527C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11DD644" w14:textId="77777777">
        <w:tc>
          <w:tcPr>
            <w:tcW w:w="2160" w:type="dxa"/>
            <w:vAlign w:val="center"/>
          </w:tcPr>
          <w:p w14:paraId="13449A9E"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49EC4D54" w14:textId="77777777" w:rsidR="00922249" w:rsidRPr="00CB2EC4" w:rsidRDefault="003011D5">
            <w:pPr>
              <w:rPr>
                <w:rFonts w:ascii="Times New Roman" w:hAnsi="Times New Roman" w:cs="Times New Roman"/>
              </w:rPr>
            </w:pPr>
            <w:r w:rsidRPr="00CB2EC4">
              <w:rPr>
                <w:rFonts w:ascii="Times New Roman" w:hAnsi="Times New Roman" w:cs="Times New Roman"/>
              </w:rPr>
              <w:t>- Answer: The typical pathological findings include complex papillary structures on the surface and within the ovary, lined by stratified proliferative serous epithelium with mild to moderate nuclear atypia. The key diagnostic criterion is the presence of micropapillary patterns or stromal microinvasion in more than 10% of the lesional areas, which directly indicates a high risk of progression to low-grade serous carcinoma, and is often accompanied by widespread peritoneal implants.</w:t>
            </w:r>
          </w:p>
        </w:tc>
        <w:tc>
          <w:tcPr>
            <w:tcW w:w="1152" w:type="dxa"/>
            <w:vAlign w:val="center"/>
          </w:tcPr>
          <w:p w14:paraId="095F76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E5662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31AAA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19D94B0" w14:textId="77777777">
        <w:tc>
          <w:tcPr>
            <w:tcW w:w="10656" w:type="dxa"/>
            <w:gridSpan w:val="5"/>
            <w:tcBorders>
              <w:bottom w:val="single" w:sz="6" w:space="0" w:color="auto"/>
            </w:tcBorders>
            <w:vAlign w:val="center"/>
          </w:tcPr>
          <w:p w14:paraId="20B1D74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186: What are the common sites of origin and histological features of peritoneal mucinous neoplasms?</w:t>
            </w:r>
          </w:p>
        </w:tc>
      </w:tr>
      <w:tr w:rsidR="00922249" w:rsidRPr="00CB2EC4" w14:paraId="3444E7DD" w14:textId="77777777">
        <w:tc>
          <w:tcPr>
            <w:tcW w:w="2160" w:type="dxa"/>
            <w:vAlign w:val="center"/>
          </w:tcPr>
          <w:p w14:paraId="755E1D78"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369D764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Peritoneal mucinous tumors usually refer to "pseudomyxoma peritonei." The common sites of origin are the ovary and appendix. Histological features include: the tumor is composed of atypical, stratified epithelial cells, and is often classified as a borderline tumor (i.e., between benign and malignant). The pathological manifestations are benign or borderline, but the recurrence rate is high, and the clinical course is usually progressively worsening. The document fragment specifically describes: "Pseudomyxoma peritonei, an intra-abdominal mucinous tumor that can cause peritoneal implantation reactions, originates from the ovary and </w:t>
            </w:r>
            <w:r w:rsidRPr="00CB2EC4">
              <w:rPr>
                <w:rFonts w:ascii="Times New Roman" w:hAnsi="Times New Roman" w:cs="Times New Roman"/>
              </w:rPr>
              <w:lastRenderedPageBreak/>
              <w:t>appendix. Both often show atypical and stratified epithelial cells, and are therefore classified as borderline tumors. Although their pathological morphology is benign or borderline, the recurrence rate is high, and most present with a progressively worsening clinical course."</w:t>
            </w:r>
          </w:p>
        </w:tc>
        <w:tc>
          <w:tcPr>
            <w:tcW w:w="1152" w:type="dxa"/>
            <w:vAlign w:val="center"/>
          </w:tcPr>
          <w:p w14:paraId="51CEB0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1670E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995D6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7CBC7B" w14:textId="77777777">
        <w:tc>
          <w:tcPr>
            <w:tcW w:w="2160" w:type="dxa"/>
            <w:vAlign w:val="center"/>
          </w:tcPr>
          <w:p w14:paraId="527FE4D9"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F7B3153" w14:textId="77777777" w:rsidR="00922249" w:rsidRPr="00CB2EC4" w:rsidRDefault="003011D5">
            <w:pPr>
              <w:rPr>
                <w:rFonts w:ascii="Times New Roman" w:hAnsi="Times New Roman" w:cs="Times New Roman"/>
              </w:rPr>
            </w:pPr>
            <w:r w:rsidRPr="00CB2EC4">
              <w:rPr>
                <w:rFonts w:ascii="Times New Roman" w:hAnsi="Times New Roman" w:cs="Times New Roman"/>
              </w:rPr>
              <w:t>occurrence site: the ovary and appendix are common sites. when lesions are present in both the ovary and appendix, the ovarian lesion is often a metastasis from the appendix (even if the appendix appears normal macroscopically). additionally, the colon, mesentery, and other intra-abdominal sites may be involved (segment 1).</w:t>
            </w:r>
            <w:r w:rsidRPr="00CB2EC4">
              <w:rPr>
                <w:rFonts w:ascii="Times New Roman" w:hAnsi="Times New Roman" w:cs="Times New Roman"/>
              </w:rPr>
              <w:br/>
              <w:t xml:space="preserve">- histological features:  </w:t>
            </w:r>
            <w:r w:rsidRPr="00CB2EC4">
              <w:rPr>
                <w:rFonts w:ascii="Times New Roman" w:hAnsi="Times New Roman" w:cs="Times New Roman"/>
              </w:rPr>
              <w:br/>
              <w:t xml:space="preserve">  - pathological morphology is benign or borderline, but epithelial cells frequently show atypia and stratification.  </w:t>
            </w:r>
            <w:r w:rsidRPr="00CB2EC4">
              <w:rPr>
                <w:rFonts w:ascii="Times New Roman" w:hAnsi="Times New Roman" w:cs="Times New Roman"/>
              </w:rPr>
              <w:br/>
              <w:t xml:space="preserve">  - prone to recurrence, chronic course, clinical progression is worsening, significantly affecting quality of life (segment 1).  </w:t>
            </w:r>
            <w:r w:rsidRPr="00CB2EC4">
              <w:rPr>
                <w:rFonts w:ascii="Times New Roman" w:hAnsi="Times New Roman" w:cs="Times New Roman"/>
              </w:rPr>
              <w:br/>
              <w:t>- source: segment 1 (block theme: prognosis and treatment of peritoneal tumors).</w:t>
            </w:r>
          </w:p>
        </w:tc>
        <w:tc>
          <w:tcPr>
            <w:tcW w:w="1152" w:type="dxa"/>
            <w:vAlign w:val="center"/>
          </w:tcPr>
          <w:p w14:paraId="042004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58DF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91F5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2E582E" w14:textId="77777777">
        <w:tc>
          <w:tcPr>
            <w:tcW w:w="2160" w:type="dxa"/>
            <w:vAlign w:val="center"/>
          </w:tcPr>
          <w:p w14:paraId="31577A00"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3F0182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sites of occurrence for peritoneal mucinous tumors are the peritoneal surfaces, particularly the greater omentum and pelvic peritoneum. Histological features include tumor cells producing abundant mucin, with columnar or goblet-shaped morphology, mucin-containing cytoplasm, and basally located nuclei. The tumor may exhibit mucinous adenocarcinoma structures, accompanied by varying degrees of cellular atypia and invasive growth. Well-differentiated tumors form cystic or microcystic structures lined by mucinous epithelium, </w:t>
            </w:r>
            <w:r w:rsidRPr="00CB2EC4">
              <w:rPr>
                <w:rFonts w:ascii="Times New Roman" w:hAnsi="Times New Roman" w:cs="Times New Roman"/>
              </w:rPr>
              <w:lastRenderedPageBreak/>
              <w:t>with mucin lakes visible in the stroma. Poorly differentiated tumors show significant cellular atypia, reduced mucin secretion, and prominent invasive growth. Immunohistochemistry typically shows positivity for CK20 and CDX2, while CK7 may be negative or focally positive, aiding in the differentiation from metastatic mucinous tumors. Common subtypes include primary peritoneal mucinous tumors (resembling mucinous lesions of appendiceal origin) and pseudomyxoma peritonei (diffuse distribution of mucinous lesions in the peritoneum, often accompanied by atypical mucinous epithelium).</w:t>
            </w:r>
          </w:p>
        </w:tc>
        <w:tc>
          <w:tcPr>
            <w:tcW w:w="1152" w:type="dxa"/>
            <w:vAlign w:val="center"/>
          </w:tcPr>
          <w:p w14:paraId="2CDAAA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BD6EA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EECA9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6A9EA67" w14:textId="77777777">
        <w:tc>
          <w:tcPr>
            <w:tcW w:w="2160" w:type="dxa"/>
            <w:vAlign w:val="center"/>
          </w:tcPr>
          <w:p w14:paraId="64F9B2A7"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A47979E" w14:textId="77777777" w:rsidR="00922249" w:rsidRPr="00CB2EC4" w:rsidRDefault="003011D5">
            <w:pPr>
              <w:rPr>
                <w:rFonts w:ascii="Times New Roman" w:hAnsi="Times New Roman" w:cs="Times New Roman"/>
              </w:rPr>
            </w:pPr>
            <w:r w:rsidRPr="00CB2EC4">
              <w:rPr>
                <w:rFonts w:ascii="Times New Roman" w:hAnsi="Times New Roman" w:cs="Times New Roman"/>
              </w:rPr>
              <w:t>common occurrence sites and histological features of peritoneal mucinous tumors:</w:t>
            </w:r>
            <w:r w:rsidRPr="00CB2EC4">
              <w:rPr>
                <w:rFonts w:ascii="Times New Roman" w:hAnsi="Times New Roman" w:cs="Times New Roman"/>
              </w:rPr>
              <w:br/>
            </w:r>
            <w:r w:rsidRPr="00CB2EC4">
              <w:rPr>
                <w:rFonts w:ascii="Times New Roman" w:hAnsi="Times New Roman" w:cs="Times New Roman"/>
              </w:rPr>
              <w:br/>
              <w:t>- common occurrence sites: primarily located in the peritoneal cavity, especially on the peritoneal surfaces of the pelvis and abdomen, such as the rectouterine pouch (pouch of Douglas), paracolic gutters, and lateral pelvic peritoneum. knowledge base documents emphasize that this tumor is often associated with appendiceal mucinous neoplasms, with the appendix being a common primary site (pathological examination may reveal tumors even if the appendix appears normal macroscopically). for example: "patients with pseudomyxoma peritonei should have the appendix removed during surgery regardless of its gross appearance, while simultaneously exploring other abdominal sites such as the colon and mesentery for potential malignancy." (source: knowledge base document).</w:t>
            </w:r>
            <w:r w:rsidRPr="00CB2EC4">
              <w:rPr>
                <w:rFonts w:ascii="Times New Roman" w:hAnsi="Times New Roman" w:cs="Times New Roman"/>
              </w:rPr>
              <w:br/>
            </w:r>
            <w:r w:rsidRPr="00CB2EC4">
              <w:rPr>
                <w:rFonts w:ascii="Times New Roman" w:hAnsi="Times New Roman" w:cs="Times New Roman"/>
              </w:rPr>
              <w:br/>
              <w:t xml:space="preserve">- histological features: tumor cells exhibit mucinous </w:t>
            </w:r>
            <w:r w:rsidRPr="00CB2EC4">
              <w:rPr>
                <w:rFonts w:ascii="Times New Roman" w:hAnsi="Times New Roman" w:cs="Times New Roman"/>
              </w:rPr>
              <w:lastRenderedPageBreak/>
              <w:t>epithelium, often with atypical and stratified epithelial cells, classified as borderline tumors (between benign and malignant). histologically divided into low-grade and high-grade mucinous carcinoma peritonei:</w:t>
            </w:r>
            <w:r w:rsidRPr="00CB2EC4">
              <w:rPr>
                <w:rFonts w:ascii="Times New Roman" w:hAnsi="Times New Roman" w:cs="Times New Roman"/>
              </w:rPr>
              <w:br/>
              <w:t xml:space="preserve">  - low-grade mucinous carcinoma peritonei (LMCP): low cellular atypia, slow growth, but prone to recurrence.</w:t>
            </w:r>
            <w:r w:rsidRPr="00CB2EC4">
              <w:rPr>
                <w:rFonts w:ascii="Times New Roman" w:hAnsi="Times New Roman" w:cs="Times New Roman"/>
              </w:rPr>
              <w:br/>
              <w:t xml:space="preserve">  - high-grade mucinous carcinoma peritonei (HMCP): high cellular atypia, increased mitotic figures, more aggressive behavior.</w:t>
            </w:r>
            <w:r w:rsidRPr="00CB2EC4">
              <w:rPr>
                <w:rFonts w:ascii="Times New Roman" w:hAnsi="Times New Roman" w:cs="Times New Roman"/>
              </w:rPr>
              <w:br/>
              <w:t xml:space="preserve">  knowledge base documents state: "both often show atypical and stratified epithelial cells, thus classified as borderline tumors... highly recurrent and typically demonstrate a progressively worsening clinical course." network search results supplement immunohistochemical features, such as expression of MUC2, MUC5AC (100% expression rate), and CDX2, aiding in differential diagnosis (source: primarily knowledge base documents, with network search results providing partial immunohistochemical details).</w:t>
            </w:r>
            <w:r w:rsidRPr="00CB2EC4">
              <w:rPr>
                <w:rFonts w:ascii="Times New Roman" w:hAnsi="Times New Roman" w:cs="Times New Roman"/>
              </w:rPr>
              <w:br/>
            </w:r>
            <w:r w:rsidRPr="00CB2EC4">
              <w:rPr>
                <w:rFonts w:ascii="Times New Roman" w:hAnsi="Times New Roman" w:cs="Times New Roman"/>
              </w:rPr>
              <w:br/>
              <w:t>integrated analysis: knowledge base documents provide core pathological and site information; network search results reinforce histological grading and immunohistochemical features, with no contradictions. collectively, peritoneal mucinous tumors often originate from the appendix, spread to the peritoneum, and histologically feature mucinous borderline characteristics.</w:t>
            </w:r>
          </w:p>
        </w:tc>
        <w:tc>
          <w:tcPr>
            <w:tcW w:w="1152" w:type="dxa"/>
            <w:vAlign w:val="center"/>
          </w:tcPr>
          <w:p w14:paraId="079078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C62A9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01953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A177563" w14:textId="77777777">
        <w:tc>
          <w:tcPr>
            <w:tcW w:w="2160" w:type="dxa"/>
            <w:vAlign w:val="center"/>
          </w:tcPr>
          <w:p w14:paraId="1F9263FD"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E12979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common occurrence sites: according to document segment 1, peritoneal mucinous tumors (such as pseudomyxoma peritonei) commonly occur in the ovary and appendix. when both ovary and appendix </w:t>
            </w:r>
            <w:r w:rsidRPr="00CB2EC4">
              <w:rPr>
                <w:rFonts w:ascii="Times New Roman" w:hAnsi="Times New Roman" w:cs="Times New Roman"/>
              </w:rPr>
              <w:lastRenderedPageBreak/>
              <w:t>are involved, ovarian lesions are often metastases from appendiceal lesions. additionally, document segment 2 states that mucinous tumors may originate from the appendix or occur simultaneously with ovarian tumors.</w:t>
            </w:r>
            <w:r w:rsidRPr="00CB2EC4">
              <w:rPr>
                <w:rFonts w:ascii="Times New Roman" w:hAnsi="Times New Roman" w:cs="Times New Roman"/>
              </w:rPr>
              <w:br/>
              <w:t>- histological features: document segment 1 describes that peritoneal mucinous tumors (including borderline tumors) frequently exhibit atypical and stratified epithelial cells, with pathological morphology classified as benign or borderline, yet they have a high tendency to recur and a protracted course. these tumors manifest a clinically progressive course that impairs patient quality of life.</w:t>
            </w:r>
            <w:r w:rsidRPr="00CB2EC4">
              <w:rPr>
                <w:rFonts w:ascii="Times New Roman" w:hAnsi="Times New Roman" w:cs="Times New Roman"/>
              </w:rPr>
              <w:br/>
              <w:t>in summary, common sites are the ovary and appendix; histological features include atypical and stratified epithelial cells, high recurrence rate, and classification as borderline tumors.</w:t>
            </w:r>
          </w:p>
        </w:tc>
        <w:tc>
          <w:tcPr>
            <w:tcW w:w="1152" w:type="dxa"/>
            <w:vAlign w:val="center"/>
          </w:tcPr>
          <w:p w14:paraId="3A4F06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A8EE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FE1F2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4713B48" w14:textId="77777777">
        <w:tc>
          <w:tcPr>
            <w:tcW w:w="2160" w:type="dxa"/>
            <w:vAlign w:val="center"/>
          </w:tcPr>
          <w:p w14:paraId="70FF45A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0C1F3CA2" w14:textId="77777777" w:rsidR="00922249" w:rsidRPr="00CB2EC4" w:rsidRDefault="003011D5">
            <w:pPr>
              <w:rPr>
                <w:rFonts w:ascii="Times New Roman" w:hAnsi="Times New Roman" w:cs="Times New Roman"/>
              </w:rPr>
            </w:pPr>
            <w:r w:rsidRPr="00CB2EC4">
              <w:rPr>
                <w:rFonts w:ascii="Times New Roman" w:hAnsi="Times New Roman" w:cs="Times New Roman"/>
              </w:rPr>
              <w:t>common occurrence sites: the common occurrence sites of peritoneal mucinous tumors (such as pseudomyxoma peritonei) include the appendix, colon, mesentery, and other intra-abdominal locations. Document 3 explicitly states: "During surgery for pseudomyxoma peritonei, the appendix should be removed simultaneously regardless of its gross appearance, while also exploring other intra-abdominal sites such as the colon and mesentery for potential malignancy." This indicates the appendix is a frequently affected site, with other abdominal regions requiring concurrent assessment.</w:t>
            </w:r>
            <w:r w:rsidRPr="00CB2EC4">
              <w:rPr>
                <w:rFonts w:ascii="Times New Roman" w:hAnsi="Times New Roman" w:cs="Times New Roman"/>
              </w:rPr>
              <w:br/>
            </w:r>
            <w:r w:rsidRPr="00CB2EC4">
              <w:rPr>
                <w:rFonts w:ascii="Times New Roman" w:hAnsi="Times New Roman" w:cs="Times New Roman"/>
              </w:rPr>
              <w:br/>
              <w:t xml:space="preserve">histological features: histologically characterized by atypical and stratified epithelial cells, with pathological morphology predominantly benign or borderline, yet exhibiting high recurrence rates and a </w:t>
            </w:r>
            <w:r w:rsidRPr="00CB2EC4">
              <w:rPr>
                <w:rFonts w:ascii="Times New Roman" w:hAnsi="Times New Roman" w:cs="Times New Roman"/>
              </w:rPr>
              <w:lastRenderedPageBreak/>
              <w:t>clinically progressive course. Document 3 describes: "Both often show atypical and stratified epithelial cells, thus classified as borderline tumors. Although their pathological morphology is benign or borderline, they recur easily and typically manifest a progressively worsening clinical course."</w:t>
            </w:r>
            <w:r w:rsidRPr="00CB2EC4">
              <w:rPr>
                <w:rFonts w:ascii="Times New Roman" w:hAnsi="Times New Roman" w:cs="Times New Roman"/>
              </w:rPr>
              <w:br/>
            </w:r>
            <w:r w:rsidRPr="00CB2EC4">
              <w:rPr>
                <w:rFonts w:ascii="Times New Roman" w:hAnsi="Times New Roman" w:cs="Times New Roman"/>
              </w:rPr>
              <w:br/>
              <w:t>in summary, the common sites for peritoneal mucinous tumors are the appendix and other abdominal regions (e.g., colon, mesentery), and the histological features include atypical stratified epithelial cells, benign or borderline pathological morphology, but with high recurrence rates.</w:t>
            </w:r>
          </w:p>
        </w:tc>
        <w:tc>
          <w:tcPr>
            <w:tcW w:w="1152" w:type="dxa"/>
            <w:vAlign w:val="center"/>
          </w:tcPr>
          <w:p w14:paraId="2565D2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3C81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4AA3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E91609" w14:textId="77777777">
        <w:tc>
          <w:tcPr>
            <w:tcW w:w="2160" w:type="dxa"/>
            <w:vAlign w:val="center"/>
          </w:tcPr>
          <w:p w14:paraId="06FBF195"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A6FA2FC" w14:textId="77777777" w:rsidR="00922249" w:rsidRPr="00CB2EC4" w:rsidRDefault="003011D5">
            <w:pPr>
              <w:rPr>
                <w:rFonts w:ascii="Times New Roman" w:hAnsi="Times New Roman" w:cs="Times New Roman"/>
              </w:rPr>
            </w:pPr>
            <w:r w:rsidRPr="00CB2EC4">
              <w:rPr>
                <w:rFonts w:ascii="Times New Roman" w:hAnsi="Times New Roman" w:cs="Times New Roman"/>
              </w:rPr>
              <w:t>common occurrence sites and histological features of peritoneal mucinous tumors:</w:t>
            </w:r>
            <w:r w:rsidRPr="00CB2EC4">
              <w:rPr>
                <w:rFonts w:ascii="Times New Roman" w:hAnsi="Times New Roman" w:cs="Times New Roman"/>
              </w:rPr>
              <w:br/>
            </w:r>
            <w:r w:rsidRPr="00CB2EC4">
              <w:rPr>
                <w:rFonts w:ascii="Times New Roman" w:hAnsi="Times New Roman" w:cs="Times New Roman"/>
              </w:rPr>
              <w:br/>
              <w:t>according to the document, the common occurrence sites of peritoneal mucinous tumors (also known as pseudomyxoma peritonei) are primarily the appendix and ovaries. for example, the document states: "pseudomyxoma peritonei can occur in the appendix, or simultaneously in the appendix and one or both ovaries."</w:t>
            </w:r>
            <w:r w:rsidRPr="00CB2EC4">
              <w:rPr>
                <w:rFonts w:ascii="Times New Roman" w:hAnsi="Times New Roman" w:cs="Times New Roman"/>
              </w:rPr>
              <w:br/>
            </w:r>
            <w:r w:rsidRPr="00CB2EC4">
              <w:rPr>
                <w:rFonts w:ascii="Times New Roman" w:hAnsi="Times New Roman" w:cs="Times New Roman"/>
              </w:rPr>
              <w:br/>
              <w:t>histological features include atypical and stratified epithelial cells, which lead to their classification as borderline tumors. the document notes: "both often exhibit atypical and stratified epithelial cells, and are therefore classified as borderline tumors."</w:t>
            </w:r>
            <w:r w:rsidRPr="00CB2EC4">
              <w:rPr>
                <w:rFonts w:ascii="Times New Roman" w:hAnsi="Times New Roman" w:cs="Times New Roman"/>
              </w:rPr>
              <w:br/>
            </w:r>
            <w:r w:rsidRPr="00CB2EC4">
              <w:rPr>
                <w:rFonts w:ascii="Times New Roman" w:hAnsi="Times New Roman" w:cs="Times New Roman"/>
              </w:rPr>
              <w:br/>
              <w:t>thus, the common sites are the appendix and ovaries, the histological features are atypical hyperplasia and stratified structure of epithelial cells, and they fall into the borderline category.</w:t>
            </w:r>
          </w:p>
        </w:tc>
        <w:tc>
          <w:tcPr>
            <w:tcW w:w="1152" w:type="dxa"/>
            <w:vAlign w:val="center"/>
          </w:tcPr>
          <w:p w14:paraId="77CC5B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D247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F07D7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28EE9D" w14:textId="77777777">
        <w:tc>
          <w:tcPr>
            <w:tcW w:w="2160" w:type="dxa"/>
            <w:vAlign w:val="center"/>
          </w:tcPr>
          <w:p w14:paraId="2AFF0E1E"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15CD6D3E" w14:textId="77777777" w:rsidR="00922249" w:rsidRPr="00CB2EC4" w:rsidRDefault="003011D5">
            <w:pPr>
              <w:rPr>
                <w:rFonts w:ascii="Times New Roman" w:hAnsi="Times New Roman" w:cs="Times New Roman"/>
              </w:rPr>
            </w:pPr>
            <w:r w:rsidRPr="00CB2EC4">
              <w:rPr>
                <w:rFonts w:ascii="Times New Roman" w:hAnsi="Times New Roman" w:cs="Times New Roman"/>
              </w:rPr>
              <w:t>common sites of occurrence: peritoneal mucinous tumors (often referred to as pseudomyxoma peritonei) primarily involve the ovary and appendix. fragment 1 states: "when both the ovary and appendix are affected, the ovarian lesion is often a metastasis from the appendiceal lesion," and emphasizes that "during surgery for pseudomyxoma peritonei patients, the appendix should be removed simultaneously regardless of whether it appears abnormal macroscopically." additionally, fragment 12 mentions primary peritoneal tumors including "mucinous tumors" but does not specify particular sites; combined with fragment 1, the common sites are within the peritoneal cavity, especially the ovarian and appendiceal regions.</w:t>
            </w:r>
            <w:r w:rsidRPr="00CB2EC4">
              <w:rPr>
                <w:rFonts w:ascii="Times New Roman" w:hAnsi="Times New Roman" w:cs="Times New Roman"/>
              </w:rPr>
              <w:br/>
            </w:r>
            <w:r w:rsidRPr="00CB2EC4">
              <w:rPr>
                <w:rFonts w:ascii="Times New Roman" w:hAnsi="Times New Roman" w:cs="Times New Roman"/>
              </w:rPr>
              <w:br/>
              <w:t>histological features: fragment 1 describes: "mucinous tumors of the appendix. both often exhibit atypical and stratified epithelial cells, and are therefore classified as borderline tumors." this indicates histological features include atypia and stratified epithelium of the epithelial cells, commonly presenting as borderline tumors. fragment 12 adds: "primary peritoneal borderline tumors (specify type) others: mucinous tumors, transitional cell and clear cell lesions," but does not provide detailed histological features for mucinous tumors; therefore, the primary information is based on fragment 1.</w:t>
            </w:r>
            <w:r w:rsidRPr="00CB2EC4">
              <w:rPr>
                <w:rFonts w:ascii="Times New Roman" w:hAnsi="Times New Roman" w:cs="Times New Roman"/>
              </w:rPr>
              <w:br/>
            </w:r>
            <w:r w:rsidRPr="00CB2EC4">
              <w:rPr>
                <w:rFonts w:ascii="Times New Roman" w:hAnsi="Times New Roman" w:cs="Times New Roman"/>
              </w:rPr>
              <w:br/>
              <w:t>summary: common sites of occurrence are the ovary and appendix; histological features are atypical and stratified epithelial cells, often manifesting as borderline tumors.</w:t>
            </w:r>
          </w:p>
        </w:tc>
        <w:tc>
          <w:tcPr>
            <w:tcW w:w="1152" w:type="dxa"/>
            <w:vAlign w:val="center"/>
          </w:tcPr>
          <w:p w14:paraId="04E49CE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164C27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184C9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679D7F9" w14:textId="77777777">
        <w:tc>
          <w:tcPr>
            <w:tcW w:w="2160" w:type="dxa"/>
            <w:vAlign w:val="center"/>
          </w:tcPr>
          <w:p w14:paraId="03570BD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D6E65C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common occurrence sites: According to the document, </w:t>
            </w:r>
            <w:r w:rsidRPr="00CB2EC4">
              <w:rPr>
                <w:rFonts w:ascii="Times New Roman" w:hAnsi="Times New Roman" w:cs="Times New Roman"/>
              </w:rPr>
              <w:lastRenderedPageBreak/>
              <w:t>common occurrence sites for peritoneal mucinous tumors (such as pseudomyxoma peritonei) include the appendix and ovary. The document states that when both the ovary and appendix are affected, the ovarian lesion is often a metastasis from the appendiceal lesion; during surgery, other abdominal sites such as the colon and mesentery must be explored to rule out malignancy. This indicates the appendix is a primary or common metastatic site, while the ovary is frequently a secondary site.</w:t>
            </w:r>
            <w:r w:rsidRPr="00CB2EC4">
              <w:rPr>
                <w:rFonts w:ascii="Times New Roman" w:hAnsi="Times New Roman" w:cs="Times New Roman"/>
              </w:rPr>
              <w:br/>
              <w:t>- histological features: The document describes the histological features of peritoneal mucinous tumors as "atypical and stratified epithelial cells," with pathological morphology classified as borderline tumor (between benign and malignant). Specifically: tumor cells exhibit atypia (abnormal morphology), and epithelial cells are arranged in stratified layers; although the pathological morphology may appear benign or borderline, recurrence is very common, the disease course is protracted, and it impacts quality of life. The document emphasizes that such tumors may be found on pathological examination even when gross appearance appears normal.</w:t>
            </w:r>
            <w:r w:rsidRPr="00CB2EC4">
              <w:rPr>
                <w:rFonts w:ascii="Times New Roman" w:hAnsi="Times New Roman" w:cs="Times New Roman"/>
              </w:rPr>
              <w:br/>
              <w:t>- based on document excerpts:</w:t>
            </w:r>
            <w:r w:rsidRPr="00CB2EC4">
              <w:rPr>
                <w:rFonts w:ascii="Times New Roman" w:hAnsi="Times New Roman" w:cs="Times New Roman"/>
              </w:rPr>
              <w:br/>
              <w:t xml:space="preserve">  "appendiceal mucinous tumor. Both often have atypical and stratified epithelial cells, and are therefore classified as borderline tumors. Although their pathological morphology is benign or borderline, they recur very easily..."</w:t>
            </w:r>
            <w:r w:rsidRPr="00CB2EC4">
              <w:rPr>
                <w:rFonts w:ascii="Times New Roman" w:hAnsi="Times New Roman" w:cs="Times New Roman"/>
              </w:rPr>
              <w:br/>
              <w:t xml:space="preserve">  "For patients with pseudomyxoma peritonei, the appendix should be removed simultaneously during surgery regardless of whether gross examination shows lesions, and other abdominal areas such as the colon and mesentery should be explored for possible </w:t>
            </w:r>
            <w:r w:rsidRPr="00CB2EC4">
              <w:rPr>
                <w:rFonts w:ascii="Times New Roman" w:hAnsi="Times New Roman" w:cs="Times New Roman"/>
              </w:rPr>
              <w:lastRenderedPageBreak/>
              <w:t>malignancy."</w:t>
            </w:r>
          </w:p>
        </w:tc>
        <w:tc>
          <w:tcPr>
            <w:tcW w:w="1152" w:type="dxa"/>
            <w:vAlign w:val="center"/>
          </w:tcPr>
          <w:p w14:paraId="4F42D3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1ACC1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7945D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44B13B7" w14:textId="77777777">
        <w:tc>
          <w:tcPr>
            <w:tcW w:w="2160" w:type="dxa"/>
            <w:vAlign w:val="center"/>
          </w:tcPr>
          <w:p w14:paraId="2B5F373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Semantic Chunking</w:t>
            </w:r>
          </w:p>
        </w:tc>
        <w:tc>
          <w:tcPr>
            <w:tcW w:w="5040" w:type="dxa"/>
            <w:vAlign w:val="center"/>
          </w:tcPr>
          <w:p w14:paraId="7ED5DE97" w14:textId="77777777" w:rsidR="00922249" w:rsidRPr="00CB2EC4" w:rsidRDefault="003011D5">
            <w:pPr>
              <w:rPr>
                <w:rFonts w:ascii="Times New Roman" w:hAnsi="Times New Roman" w:cs="Times New Roman"/>
              </w:rPr>
            </w:pPr>
            <w:r w:rsidRPr="00CB2EC4">
              <w:rPr>
                <w:rFonts w:ascii="Times New Roman" w:hAnsi="Times New Roman" w:cs="Times New Roman"/>
              </w:rPr>
              <w:t>the common sites of occurrence and histological features of peritoneal mucinous tumors are as follows:</w:t>
            </w:r>
            <w:r w:rsidRPr="00CB2EC4">
              <w:rPr>
                <w:rFonts w:ascii="Times New Roman" w:hAnsi="Times New Roman" w:cs="Times New Roman"/>
              </w:rPr>
              <w:br/>
            </w:r>
            <w:r w:rsidRPr="00CB2EC4">
              <w:rPr>
                <w:rFonts w:ascii="Times New Roman" w:hAnsi="Times New Roman" w:cs="Times New Roman"/>
              </w:rPr>
              <w:br/>
              <w:t>- common sites of occurrence: peritoneal mucinous tumors (such as pseudomyxoma peritonei) typically occur within the peritoneal cavity, especially originating from the ovary and appendix. the document explicitly states: "pseudomyxoma peritonei... originates from mucinous tumors of the ovary and appendix."</w:t>
            </w:r>
            <w:r w:rsidRPr="00CB2EC4">
              <w:rPr>
                <w:rFonts w:ascii="Times New Roman" w:hAnsi="Times New Roman" w:cs="Times New Roman"/>
              </w:rPr>
              <w:br/>
              <w:t>- histological features: the histological presentation of these tumors is characterized by "atypical and stratified epithelial cells," and therefore they are classified as borderline tumors (between benign and malignant). although the pathological morphology may be benign or borderline, they are highly prone to recurrence and may lead to a progressively worsening clinical course.</w:t>
            </w:r>
            <w:r w:rsidRPr="00CB2EC4">
              <w:rPr>
                <w:rFonts w:ascii="Times New Roman" w:hAnsi="Times New Roman" w:cs="Times New Roman"/>
              </w:rPr>
              <w:br/>
            </w:r>
            <w:r w:rsidRPr="00CB2EC4">
              <w:rPr>
                <w:rFonts w:ascii="Times New Roman" w:hAnsi="Times New Roman" w:cs="Times New Roman"/>
              </w:rPr>
              <w:br/>
              <w:t>in summary, the common sites of occurrence for peritoneal mucinous tumors are the peritoneal cavity (particularly associated with the ovary and appendix), and the histological feature is an atypical and stratified epithelial cell structure.</w:t>
            </w:r>
          </w:p>
        </w:tc>
        <w:tc>
          <w:tcPr>
            <w:tcW w:w="1152" w:type="dxa"/>
            <w:vAlign w:val="center"/>
          </w:tcPr>
          <w:p w14:paraId="6DC94E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C610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F622C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03636D1" w14:textId="77777777">
        <w:tc>
          <w:tcPr>
            <w:tcW w:w="2160" w:type="dxa"/>
            <w:vAlign w:val="center"/>
          </w:tcPr>
          <w:p w14:paraId="6F4029B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B8D7AA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common occurrence sites: According to the document, peritoneal mucinous tumors (such as pseudomyxoma peritonei) commonly occur in the appendix and ovary. The document states: "When both the ovary and appendix are affected, the ovarian lesion is often a metastasis from the appendiceal lesion," and emphasizes that "during surgery for pseudomyxoma peritonei patients, the appendix should be removed </w:t>
            </w:r>
            <w:r w:rsidRPr="00CB2EC4">
              <w:rPr>
                <w:rFonts w:ascii="Times New Roman" w:hAnsi="Times New Roman" w:cs="Times New Roman"/>
              </w:rPr>
              <w:lastRenderedPageBreak/>
              <w:t>simultaneously regardless of whether it appears abnormal macroscopically." This indicates that the appendix is a common primary or metastatic site, and the ovary may also be involved.</w:t>
            </w:r>
            <w:r w:rsidRPr="00CB2EC4">
              <w:rPr>
                <w:rFonts w:ascii="Times New Roman" w:hAnsi="Times New Roman" w:cs="Times New Roman"/>
              </w:rPr>
              <w:br/>
              <w:t>- histological features: The document describes them as "both often showing atypical and stratified epithelial cells, and are therefore classified as borderline tumors." This indicates that the tumor cells exhibit atypia (abnormal cell morphology) and a stratified structure (multi-layered cell arrangement), and are pathologically often categorized as borderline tumors (intermediate between benign and malignant).</w:t>
            </w:r>
            <w:r w:rsidRPr="00CB2EC4">
              <w:rPr>
                <w:rFonts w:ascii="Times New Roman" w:hAnsi="Times New Roman" w:cs="Times New Roman"/>
              </w:rPr>
              <w:br/>
              <w:t>- summary: Based on the document, the common occurrence sites of peritoneal mucinous tumors are the appendix and ovary, and the histological features include atypical and stratified epithelial cells, often classified as borderline tumors.</w:t>
            </w:r>
          </w:p>
        </w:tc>
        <w:tc>
          <w:tcPr>
            <w:tcW w:w="1152" w:type="dxa"/>
            <w:vAlign w:val="center"/>
          </w:tcPr>
          <w:p w14:paraId="4DA7D1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A22E4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99BE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79AFEC" w14:textId="77777777">
        <w:tc>
          <w:tcPr>
            <w:tcW w:w="2160" w:type="dxa"/>
            <w:vAlign w:val="center"/>
          </w:tcPr>
          <w:p w14:paraId="0AE1BC95"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10C4CA4" w14:textId="77777777" w:rsidR="00922249" w:rsidRPr="00CB2EC4" w:rsidRDefault="003011D5">
            <w:pPr>
              <w:rPr>
                <w:rFonts w:ascii="Times New Roman" w:hAnsi="Times New Roman" w:cs="Times New Roman"/>
              </w:rPr>
            </w:pPr>
            <w:r w:rsidRPr="00CB2EC4">
              <w:rPr>
                <w:rFonts w:ascii="Times New Roman" w:hAnsi="Times New Roman" w:cs="Times New Roman"/>
              </w:rPr>
              <w:t>the common sites of occurrence and histological features of peritoneal mucinous tumors are as follows:</w:t>
            </w:r>
            <w:r w:rsidRPr="00CB2EC4">
              <w:rPr>
                <w:rFonts w:ascii="Times New Roman" w:hAnsi="Times New Roman" w:cs="Times New Roman"/>
              </w:rPr>
              <w:br/>
            </w:r>
            <w:r w:rsidRPr="00CB2EC4">
              <w:rPr>
                <w:rFonts w:ascii="Times New Roman" w:hAnsi="Times New Roman" w:cs="Times New Roman"/>
              </w:rPr>
              <w:br/>
              <w:t>**Common Sites of Occurrence:**</w:t>
            </w:r>
            <w:r w:rsidRPr="00CB2EC4">
              <w:rPr>
                <w:rFonts w:ascii="Times New Roman" w:hAnsi="Times New Roman" w:cs="Times New Roman"/>
              </w:rPr>
              <w:br/>
              <w:t>- Peritoneum (especially the pelvic and abdominal peritoneal surfaces)</w:t>
            </w:r>
            <w:r w:rsidRPr="00CB2EC4">
              <w:rPr>
                <w:rFonts w:ascii="Times New Roman" w:hAnsi="Times New Roman" w:cs="Times New Roman"/>
              </w:rPr>
              <w:br/>
              <w:t>- Omentum (greater and lesser omentum)</w:t>
            </w:r>
            <w:r w:rsidRPr="00CB2EC4">
              <w:rPr>
                <w:rFonts w:ascii="Times New Roman" w:hAnsi="Times New Roman" w:cs="Times New Roman"/>
              </w:rPr>
              <w:br/>
              <w:t>- Mesentery</w:t>
            </w:r>
            <w:r w:rsidRPr="00CB2EC4">
              <w:rPr>
                <w:rFonts w:ascii="Times New Roman" w:hAnsi="Times New Roman" w:cs="Times New Roman"/>
              </w:rPr>
              <w:br/>
              <w:t>- Appendix (primary appendiceal mucinous tumors may secondarily involve the peritoneum)</w:t>
            </w:r>
            <w:r w:rsidRPr="00CB2EC4">
              <w:rPr>
                <w:rFonts w:ascii="Times New Roman" w:hAnsi="Times New Roman" w:cs="Times New Roman"/>
              </w:rPr>
              <w:br/>
              <w:t>- Surface of abdominal and pelvic organs (e.g., ovaries, uterus, bowel serosa)</w:t>
            </w:r>
            <w:r w:rsidRPr="00CB2EC4">
              <w:rPr>
                <w:rFonts w:ascii="Times New Roman" w:hAnsi="Times New Roman" w:cs="Times New Roman"/>
              </w:rPr>
              <w:br/>
            </w:r>
            <w:r w:rsidRPr="00CB2EC4">
              <w:rPr>
                <w:rFonts w:ascii="Times New Roman" w:hAnsi="Times New Roman" w:cs="Times New Roman"/>
              </w:rPr>
              <w:br/>
              <w:t>**Histological Features:**</w:t>
            </w:r>
            <w:r w:rsidRPr="00CB2EC4">
              <w:rPr>
                <w:rFonts w:ascii="Times New Roman" w:hAnsi="Times New Roman" w:cs="Times New Roman"/>
              </w:rPr>
              <w:br/>
              <w:t>- Abundant extracellular mucin accumulation within the peritoneal cavity</w:t>
            </w:r>
            <w:r w:rsidRPr="00CB2EC4">
              <w:rPr>
                <w:rFonts w:ascii="Times New Roman" w:hAnsi="Times New Roman" w:cs="Times New Roman"/>
              </w:rPr>
              <w:br/>
              <w:t xml:space="preserve">- Mucinous epithelial cells arranged in clusters, </w:t>
            </w:r>
            <w:r w:rsidRPr="00CB2EC4">
              <w:rPr>
                <w:rFonts w:ascii="Times New Roman" w:hAnsi="Times New Roman" w:cs="Times New Roman"/>
              </w:rPr>
              <w:lastRenderedPageBreak/>
              <w:t>glands, or as scattered individual cells floating within the mucin</w:t>
            </w:r>
            <w:r w:rsidRPr="00CB2EC4">
              <w:rPr>
                <w:rFonts w:ascii="Times New Roman" w:hAnsi="Times New Roman" w:cs="Times New Roman"/>
              </w:rPr>
              <w:br/>
              <w:t>- Cells typically show low-grade atypia in benign or borderline variants; high-grade atypia in malignant forms</w:t>
            </w:r>
            <w:r w:rsidRPr="00CB2EC4">
              <w:rPr>
                <w:rFonts w:ascii="Times New Roman" w:hAnsi="Times New Roman" w:cs="Times New Roman"/>
              </w:rPr>
              <w:br/>
              <w:t>- Goblet cell morphology with hyperchromatic nuclei in malignant cases</w:t>
            </w:r>
            <w:r w:rsidRPr="00CB2EC4">
              <w:rPr>
                <w:rFonts w:ascii="Times New Roman" w:hAnsi="Times New Roman" w:cs="Times New Roman"/>
              </w:rPr>
              <w:br/>
              <w:t>- Mucin may be PAS-positive and diastase-resistant</w:t>
            </w:r>
            <w:r w:rsidRPr="00CB2EC4">
              <w:rPr>
                <w:rFonts w:ascii="Times New Roman" w:hAnsi="Times New Roman" w:cs="Times New Roman"/>
              </w:rPr>
              <w:br/>
              <w:t>- Stromal reaction may be minimal or fibrotic in chronic cases</w:t>
            </w:r>
            <w:r w:rsidRPr="00CB2EC4">
              <w:rPr>
                <w:rFonts w:ascii="Times New Roman" w:hAnsi="Times New Roman" w:cs="Times New Roman"/>
              </w:rPr>
              <w:br/>
              <w:t>- Invasion into underlying tissues (in malignant variants)</w:t>
            </w:r>
            <w:r w:rsidRPr="00CB2EC4">
              <w:rPr>
                <w:rFonts w:ascii="Times New Roman" w:hAnsi="Times New Roman" w:cs="Times New Roman"/>
              </w:rPr>
              <w:br/>
              <w:t>- Immunohistochemistry: CK20+, CDX2+ (suggesting gastrointestinal origin, especially appendiceal); CK7 variable</w:t>
            </w:r>
            <w:r w:rsidRPr="00CB2EC4">
              <w:rPr>
                <w:rFonts w:ascii="Times New Roman" w:hAnsi="Times New Roman" w:cs="Times New Roman"/>
              </w:rPr>
              <w:br/>
              <w:t>- Distinction from pseudomyxoma peritonei: the latter is characterized by mucin dissecting through tissues with scant cellularity, often arising from a ruptured appendiceal mucocoele or mucinous neoplasm</w:t>
            </w:r>
            <w:r w:rsidRPr="00CB2EC4">
              <w:rPr>
                <w:rFonts w:ascii="Times New Roman" w:hAnsi="Times New Roman" w:cs="Times New Roman"/>
              </w:rPr>
              <w:br/>
            </w:r>
            <w:r w:rsidRPr="00CB2EC4">
              <w:rPr>
                <w:rFonts w:ascii="Times New Roman" w:hAnsi="Times New Roman" w:cs="Times New Roman"/>
              </w:rPr>
              <w:br/>
              <w:t>Note: Primary peritoneal mucinous tumors are rare; most represent secondary involvement from appendiceal, ovarian, or colorectal mucinous neoplasms. Histological evaluation must differentiate between benign, borderline, and malignant (mucinous carcinoma) subtypes based on cellular atypia, mitotic activity, and invasive growth patterns.</w:t>
            </w:r>
          </w:p>
        </w:tc>
        <w:tc>
          <w:tcPr>
            <w:tcW w:w="1152" w:type="dxa"/>
            <w:vAlign w:val="center"/>
          </w:tcPr>
          <w:p w14:paraId="1FE4DF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A4C28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C3D2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6E60D7" w14:textId="77777777">
        <w:tc>
          <w:tcPr>
            <w:tcW w:w="2160" w:type="dxa"/>
            <w:vAlign w:val="center"/>
          </w:tcPr>
          <w:p w14:paraId="145EE134"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6F25405" w14:textId="77777777" w:rsidR="00922249" w:rsidRPr="00CB2EC4" w:rsidRDefault="003011D5">
            <w:pPr>
              <w:rPr>
                <w:rFonts w:ascii="Times New Roman" w:hAnsi="Times New Roman" w:cs="Times New Roman"/>
              </w:rPr>
            </w:pPr>
            <w:r w:rsidRPr="00CB2EC4">
              <w:rPr>
                <w:rFonts w:ascii="Times New Roman" w:hAnsi="Times New Roman" w:cs="Times New Roman"/>
              </w:rPr>
              <w:t>**What are the common sites of occurrence and histological features of peritoneal mucinous tumors?**</w:t>
            </w:r>
            <w:r w:rsidRPr="00CB2EC4">
              <w:rPr>
                <w:rFonts w:ascii="Times New Roman" w:hAnsi="Times New Roman" w:cs="Times New Roman"/>
              </w:rPr>
              <w:br/>
            </w:r>
            <w:r w:rsidRPr="00CB2EC4">
              <w:rPr>
                <w:rFonts w:ascii="Times New Roman" w:hAnsi="Times New Roman" w:cs="Times New Roman"/>
              </w:rPr>
              <w:br/>
              <w:t xml:space="preserve">**Common Sites of Occurrence:**  </w:t>
            </w:r>
            <w:r w:rsidRPr="00CB2EC4">
              <w:rPr>
                <w:rFonts w:ascii="Times New Roman" w:hAnsi="Times New Roman" w:cs="Times New Roman"/>
              </w:rPr>
              <w:br/>
              <w:t xml:space="preserve">- Peritoneal cavity (particularly the right subdiaphragmatic space, pelvis, and omentum)  </w:t>
            </w:r>
            <w:r w:rsidRPr="00CB2EC4">
              <w:rPr>
                <w:rFonts w:ascii="Times New Roman" w:hAnsi="Times New Roman" w:cs="Times New Roman"/>
              </w:rPr>
              <w:br/>
            </w:r>
            <w:r w:rsidRPr="00CB2EC4">
              <w:rPr>
                <w:rFonts w:ascii="Times New Roman" w:hAnsi="Times New Roman" w:cs="Times New Roman"/>
              </w:rPr>
              <w:lastRenderedPageBreak/>
              <w:t xml:space="preserve">- Appendix (rupture of primary appendiceal mucinous neoplasms may seed the peritoneum)  </w:t>
            </w:r>
            <w:r w:rsidRPr="00CB2EC4">
              <w:rPr>
                <w:rFonts w:ascii="Times New Roman" w:hAnsi="Times New Roman" w:cs="Times New Roman"/>
              </w:rPr>
              <w:br/>
              <w:t xml:space="preserve">- Ovaries (often secondarily involved; differentiation from primary ovarian mucinous tumors is crucial)  </w:t>
            </w:r>
            <w:r w:rsidRPr="00CB2EC4">
              <w:rPr>
                <w:rFonts w:ascii="Times New Roman" w:hAnsi="Times New Roman" w:cs="Times New Roman"/>
              </w:rPr>
              <w:br/>
              <w:t xml:space="preserve">- Other abdominal surfaces (e.g., intestinal serosa, uterus)  </w:t>
            </w:r>
            <w:r w:rsidRPr="00CB2EC4">
              <w:rPr>
                <w:rFonts w:ascii="Times New Roman" w:hAnsi="Times New Roman" w:cs="Times New Roman"/>
              </w:rPr>
              <w:br/>
            </w:r>
            <w:r w:rsidRPr="00CB2EC4">
              <w:rPr>
                <w:rFonts w:ascii="Times New Roman" w:hAnsi="Times New Roman" w:cs="Times New Roman"/>
              </w:rPr>
              <w:br/>
              <w:t xml:space="preserve">**Histological Features:**  </w:t>
            </w:r>
            <w:r w:rsidRPr="00CB2EC4">
              <w:rPr>
                <w:rFonts w:ascii="Times New Roman" w:hAnsi="Times New Roman" w:cs="Times New Roman"/>
              </w:rPr>
              <w:br/>
              <w:t xml:space="preserve">- Composed of mucin-secreting epithelial cells (goblet cell-like morphology)  </w:t>
            </w:r>
            <w:r w:rsidRPr="00CB2EC4">
              <w:rPr>
                <w:rFonts w:ascii="Times New Roman" w:hAnsi="Times New Roman" w:cs="Times New Roman"/>
              </w:rPr>
              <w:br/>
              <w:t xml:space="preserve">- Extensive extracellular mucin deposition (frequently forming pools in tissue sections)  </w:t>
            </w:r>
            <w:r w:rsidRPr="00CB2EC4">
              <w:rPr>
                <w:rFonts w:ascii="Times New Roman" w:hAnsi="Times New Roman" w:cs="Times New Roman"/>
              </w:rPr>
              <w:br/>
              <w:t xml:space="preserve">- Formation of mucinous cysts or glandular structures  </w:t>
            </w:r>
            <w:r w:rsidRPr="00CB2EC4">
              <w:rPr>
                <w:rFonts w:ascii="Times New Roman" w:hAnsi="Times New Roman" w:cs="Times New Roman"/>
              </w:rPr>
              <w:br/>
              <w:t xml:space="preserve">- Cellular atypia spanning from low-grade to high-grade  </w:t>
            </w:r>
            <w:r w:rsidRPr="00CB2EC4">
              <w:rPr>
                <w:rFonts w:ascii="Times New Roman" w:hAnsi="Times New Roman" w:cs="Times New Roman"/>
              </w:rPr>
              <w:br/>
              <w:t xml:space="preserve">- Invasive patterns may include infiltrative glands or single-cell infiltration  </w:t>
            </w:r>
            <w:r w:rsidRPr="00CB2EC4">
              <w:rPr>
                <w:rFonts w:ascii="Times New Roman" w:hAnsi="Times New Roman" w:cs="Times New Roman"/>
              </w:rPr>
              <w:br/>
              <w:t xml:space="preserve">- Presence of "mucinous ascites" or "pseudomyxoma peritonei" in advanced cases (characterized by massive mucin accumulation in the peritoneal cavity with sparse cellular components)  </w:t>
            </w:r>
            <w:r w:rsidRPr="00CB2EC4">
              <w:rPr>
                <w:rFonts w:ascii="Times New Roman" w:hAnsi="Times New Roman" w:cs="Times New Roman"/>
              </w:rPr>
              <w:br/>
              <w:t xml:space="preserve">- Immunohistochemistry: Typically positive for CK20, MUC2, and MUC5AC; may be negative for CK7 (aids in distinguishing ovarian or gastrointestinal origins)  </w:t>
            </w:r>
            <w:r w:rsidRPr="00CB2EC4">
              <w:rPr>
                <w:rFonts w:ascii="Times New Roman" w:hAnsi="Times New Roman" w:cs="Times New Roman"/>
              </w:rPr>
              <w:br/>
              <w:t xml:space="preserve">- Stromal response may range from minimal to fibrotic, depending on tumor grade and chronicity  </w:t>
            </w:r>
            <w:r w:rsidRPr="00CB2EC4">
              <w:rPr>
                <w:rFonts w:ascii="Times New Roman" w:hAnsi="Times New Roman" w:cs="Times New Roman"/>
              </w:rPr>
              <w:br/>
            </w:r>
            <w:r w:rsidRPr="00CB2EC4">
              <w:rPr>
                <w:rFonts w:ascii="Times New Roman" w:hAnsi="Times New Roman" w:cs="Times New Roman"/>
              </w:rPr>
              <w:br/>
              <w:t>**Note:** Primary peritoneal mucinous tumors are rare; most cases result from secondary spread from appendiceal or ovarian primary tumors. Histological differentiation requires integration with clinical and radiological findings.</w:t>
            </w:r>
          </w:p>
        </w:tc>
        <w:tc>
          <w:tcPr>
            <w:tcW w:w="1152" w:type="dxa"/>
            <w:vAlign w:val="center"/>
          </w:tcPr>
          <w:p w14:paraId="698E0C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979A5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1AD6E72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725416A" w14:textId="77777777">
        <w:tc>
          <w:tcPr>
            <w:tcW w:w="2160" w:type="dxa"/>
            <w:vAlign w:val="center"/>
          </w:tcPr>
          <w:p w14:paraId="4285EF3F"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738273E" w14:textId="77777777" w:rsidR="00922249" w:rsidRPr="00CB2EC4" w:rsidRDefault="003011D5">
            <w:pPr>
              <w:rPr>
                <w:rFonts w:ascii="Times New Roman" w:hAnsi="Times New Roman" w:cs="Times New Roman"/>
              </w:rPr>
            </w:pPr>
            <w:r w:rsidRPr="00CB2EC4">
              <w:rPr>
                <w:rFonts w:ascii="Times New Roman" w:hAnsi="Times New Roman" w:cs="Times New Roman"/>
              </w:rPr>
              <w:t>- Response:</w:t>
            </w:r>
            <w:r w:rsidRPr="00CB2EC4">
              <w:rPr>
                <w:rFonts w:ascii="Times New Roman" w:hAnsi="Times New Roman" w:cs="Times New Roman"/>
              </w:rPr>
              <w:br/>
            </w:r>
            <w:r w:rsidRPr="00CB2EC4">
              <w:rPr>
                <w:rFonts w:ascii="Times New Roman" w:hAnsi="Times New Roman" w:cs="Times New Roman"/>
              </w:rPr>
              <w:lastRenderedPageBreak/>
              <w:t xml:space="preserve">  - Common sites of occurrence: Peritoneal mucinous tumors primarily occur in the pelvic peritoneum, especially around the ovaries, but may also involve other abdominal sites such as the omentum and mesentery.</w:t>
            </w:r>
            <w:r w:rsidRPr="00CB2EC4">
              <w:rPr>
                <w:rFonts w:ascii="Times New Roman" w:hAnsi="Times New Roman" w:cs="Times New Roman"/>
              </w:rPr>
              <w:br/>
              <w:t xml:space="preserve">  - Histological features: The tumor is composed of mucin-secreting columnar epithelial cells arranged in glandular or papillary structures, often with cellular atypia; histologically similar to ovarian mucinous tumors, and can be classified as benign, borderline, or malignant, with borderline tumors showing epithelial proliferation without stromal invasion.</w:t>
            </w:r>
          </w:p>
        </w:tc>
        <w:tc>
          <w:tcPr>
            <w:tcW w:w="1152" w:type="dxa"/>
            <w:vAlign w:val="center"/>
          </w:tcPr>
          <w:p w14:paraId="304649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138ABE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CA8E9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1626306" w14:textId="77777777">
        <w:tc>
          <w:tcPr>
            <w:tcW w:w="10656" w:type="dxa"/>
            <w:gridSpan w:val="5"/>
            <w:tcBorders>
              <w:bottom w:val="single" w:sz="6" w:space="0" w:color="auto"/>
            </w:tcBorders>
            <w:vAlign w:val="center"/>
          </w:tcPr>
          <w:p w14:paraId="3B4B4352"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187: Should patients with an ovarian mucinous borderline tumor routinely undergo an appendectomy? If so, why is a routine appendectomy performed?</w:t>
            </w:r>
          </w:p>
        </w:tc>
      </w:tr>
      <w:tr w:rsidR="00922249" w:rsidRPr="00CB2EC4" w14:paraId="31306151" w14:textId="77777777">
        <w:tc>
          <w:tcPr>
            <w:tcW w:w="2160" w:type="dxa"/>
            <w:vAlign w:val="center"/>
          </w:tcPr>
          <w:p w14:paraId="467DCCE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32A66B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patients with ovarian mucinous borderline tumors require routine appendectomy. The reasons include: the appendix may be the primary site of the mucinous tumor or harbor subclinical metastases (pathological examination may reveal lesions even when the appendix appears normal macroscopically). Appendectomy helps reduce postoperative residual disease, identify potential metastases, and improve prognosis. The documentation explicitly states: "Ovarian borderline mucinous tumors require simultaneous appendectomy," and cites Young et al.'s clinicopathological analysis: "When both the ovary and appendix are involved, ovarian lesions are often metastases from the appendiceal lesion. Although the appendix may appear normal intraoperatively, pathological examination may reveal mucinous tumors. Therefore, from a clinical practice perspective, appendectomy should be performed concurrently during surgery for pseudomyxoma </w:t>
            </w:r>
            <w:r w:rsidRPr="00CB2EC4">
              <w:rPr>
                <w:rFonts w:ascii="Times New Roman" w:hAnsi="Times New Roman" w:cs="Times New Roman"/>
              </w:rPr>
              <w:lastRenderedPageBreak/>
              <w:t>peritonei patients, regardless of whether the appendix appears abnormal macroscopically." This underscores the necessity of routine appendectomy to reduce recurrence risk.</w:t>
            </w:r>
          </w:p>
        </w:tc>
        <w:tc>
          <w:tcPr>
            <w:tcW w:w="1152" w:type="dxa"/>
            <w:vAlign w:val="center"/>
          </w:tcPr>
          <w:p w14:paraId="6CB3B8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5C831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2F648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FF16B7" w14:textId="77777777">
        <w:tc>
          <w:tcPr>
            <w:tcW w:w="2160" w:type="dxa"/>
            <w:vAlign w:val="center"/>
          </w:tcPr>
          <w:p w14:paraId="281224D6"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B1BF95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routine appendectomy is required.  </w:t>
            </w:r>
            <w:r w:rsidRPr="00CB2EC4">
              <w:rPr>
                <w:rFonts w:ascii="Times New Roman" w:hAnsi="Times New Roman" w:cs="Times New Roman"/>
              </w:rPr>
              <w:br/>
              <w:t xml:space="preserve">- reasons:  </w:t>
            </w:r>
            <w:r w:rsidRPr="00CB2EC4">
              <w:rPr>
                <w:rFonts w:ascii="Times New Roman" w:hAnsi="Times New Roman" w:cs="Times New Roman"/>
              </w:rPr>
              <w:br/>
              <w:t xml:space="preserve">  - the appendix may be the primary site or a source of metastatic deposits for mucinous tumors. even if the appendix appears normal macroscopically, pathological examination often reveals occult mucinous neoplasms (segment 1).  </w:t>
            </w:r>
            <w:r w:rsidRPr="00CB2EC4">
              <w:rPr>
                <w:rFonts w:ascii="Times New Roman" w:hAnsi="Times New Roman" w:cs="Times New Roman"/>
              </w:rPr>
              <w:br/>
              <w:t xml:space="preserve">  - performing appendectomy during surgery avoids missing subclinical metastases and reduces recurrence risk (segments 2, 3).  </w:t>
            </w:r>
            <w:r w:rsidRPr="00CB2EC4">
              <w:rPr>
                <w:rFonts w:ascii="Times New Roman" w:hAnsi="Times New Roman" w:cs="Times New Roman"/>
              </w:rPr>
              <w:br/>
              <w:t xml:space="preserve">  - the documentation explicitly states: "appendectomy must be performed concurrently for ovarian borderline mucinous tumors" (segment 3).  </w:t>
            </w:r>
            <w:r w:rsidRPr="00CB2EC4">
              <w:rPr>
                <w:rFonts w:ascii="Times New Roman" w:hAnsi="Times New Roman" w:cs="Times New Roman"/>
              </w:rPr>
              <w:br/>
              <w:t>- evidence: segment 1 (management of pseudomyxoma peritonei), segment 2 (surgical staging of mucinous tumors), segment 3 (surgical approach and indications).</w:t>
            </w:r>
          </w:p>
        </w:tc>
        <w:tc>
          <w:tcPr>
            <w:tcW w:w="1152" w:type="dxa"/>
            <w:vAlign w:val="center"/>
          </w:tcPr>
          <w:p w14:paraId="5B3A33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D7E4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76A0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D21C55" w14:textId="77777777">
        <w:tc>
          <w:tcPr>
            <w:tcW w:w="2160" w:type="dxa"/>
            <w:vAlign w:val="center"/>
          </w:tcPr>
          <w:p w14:paraId="59174CB6"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DE6C0F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patients with ovarian mucinous borderline tumors require routine appendectomy.  </w:t>
            </w:r>
            <w:r w:rsidRPr="00CB2EC4">
              <w:rPr>
                <w:rFonts w:ascii="Times New Roman" w:hAnsi="Times New Roman" w:cs="Times New Roman"/>
              </w:rPr>
              <w:br/>
              <w:t xml:space="preserve">- reason: routine appendectomy is necessary because mucinous tumors may originate from the appendix or occur simultaneously in the appendix and ovary; removing the appendix helps prevent missed lesions and reduces recurrence risk.  </w:t>
            </w:r>
            <w:r w:rsidRPr="00CB2EC4">
              <w:rPr>
                <w:rFonts w:ascii="Times New Roman" w:hAnsi="Times New Roman" w:cs="Times New Roman"/>
              </w:rPr>
              <w:br/>
              <w:t xml:space="preserve">  - supporting evidence:  </w:t>
            </w:r>
            <w:r w:rsidRPr="00CB2EC4">
              <w:rPr>
                <w:rFonts w:ascii="Times New Roman" w:hAnsi="Times New Roman" w:cs="Times New Roman"/>
              </w:rPr>
              <w:br/>
              <w:t xml:space="preserve">    - fragment 3 explicitly states: "Ovarian borderline mucinous tumors require simultaneous appendectomy."  </w:t>
            </w:r>
            <w:r w:rsidRPr="00CB2EC4">
              <w:rPr>
                <w:rFonts w:ascii="Times New Roman" w:hAnsi="Times New Roman" w:cs="Times New Roman"/>
              </w:rPr>
              <w:br/>
              <w:t xml:space="preserve">    - fragment 6 explains: "Mucinous tumors with </w:t>
            </w:r>
            <w:r w:rsidRPr="00CB2EC4">
              <w:rPr>
                <w:rFonts w:ascii="Times New Roman" w:hAnsi="Times New Roman" w:cs="Times New Roman"/>
              </w:rPr>
              <w:lastRenderedPageBreak/>
              <w:t xml:space="preserve">widespread peritoneal dissemination can arise from the appendix or occur simultaneously in the appendix and one or both ovaries," highlighting the appendix as a potential primary site.  </w:t>
            </w:r>
            <w:r w:rsidRPr="00CB2EC4">
              <w:rPr>
                <w:rFonts w:ascii="Times New Roman" w:hAnsi="Times New Roman" w:cs="Times New Roman"/>
              </w:rPr>
              <w:br/>
              <w:t xml:space="preserve">    - fragment 8 adds: "Management of patients with mucinous borderline tumors includes appendectomy," further confirming its routine nature.  </w:t>
            </w:r>
            <w:r w:rsidRPr="00CB2EC4">
              <w:rPr>
                <w:rFonts w:ascii="Times New Roman" w:hAnsi="Times New Roman" w:cs="Times New Roman"/>
              </w:rPr>
              <w:br/>
              <w:t xml:space="preserve">    - fragment 10 notes that patients who do not undergo appendectomy require consideration of subsequent treatment, indirectly supporting its routine performance.  </w:t>
            </w:r>
            <w:r w:rsidRPr="00CB2EC4">
              <w:rPr>
                <w:rFonts w:ascii="Times New Roman" w:hAnsi="Times New Roman" w:cs="Times New Roman"/>
              </w:rPr>
              <w:br/>
              <w:t xml:space="preserve">  - clinical significance: routine intraoperative appendectomy allows comprehensive assessment and removal of potential mucinous tumor sites, lowering the risk of peritoneal dissemination, particularly given the biological behavior of borderline tumors (as described in fragment 11).</w:t>
            </w:r>
          </w:p>
        </w:tc>
        <w:tc>
          <w:tcPr>
            <w:tcW w:w="1152" w:type="dxa"/>
            <w:vAlign w:val="center"/>
          </w:tcPr>
          <w:p w14:paraId="48860F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FAB7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712C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1DD2B4" w14:textId="77777777">
        <w:tc>
          <w:tcPr>
            <w:tcW w:w="2160" w:type="dxa"/>
            <w:vAlign w:val="center"/>
          </w:tcPr>
          <w:p w14:paraId="7995B5C1"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F6AABE3" w14:textId="77777777" w:rsidR="00922249" w:rsidRPr="00CB2EC4" w:rsidRDefault="003011D5">
            <w:pPr>
              <w:rPr>
                <w:rFonts w:ascii="Times New Roman" w:hAnsi="Times New Roman" w:cs="Times New Roman"/>
              </w:rPr>
            </w:pPr>
            <w:r w:rsidRPr="00CB2EC4">
              <w:rPr>
                <w:rFonts w:ascii="Times New Roman" w:hAnsi="Times New Roman" w:cs="Times New Roman"/>
              </w:rPr>
              <w:t>yes, patients with ovarian mucinous borderline tumors require routine appendectomy. The reasons are as follows:</w:t>
            </w:r>
            <w:r w:rsidRPr="00CB2EC4">
              <w:rPr>
                <w:rFonts w:ascii="Times New Roman" w:hAnsi="Times New Roman" w:cs="Times New Roman"/>
              </w:rPr>
              <w:br/>
              <w:t>- necessity of routine appendectomy: knowledge base documents explicitly recommend routine appendectomy during surgery for ovarian mucinous borderline tumors. for example: "appendectomy should be performed simultaneously for ovarian borderline mucinous tumors" (source: knowledge base document). web search results also support this, stating "if it is a mucinous tumor, the appendix should be removed" (source: web search results). this has become part of standard surgery, especially during comprehensive staging procedures.</w:t>
            </w:r>
            <w:r w:rsidRPr="00CB2EC4">
              <w:rPr>
                <w:rFonts w:ascii="Times New Roman" w:hAnsi="Times New Roman" w:cs="Times New Roman"/>
              </w:rPr>
              <w:br/>
              <w:t>- reasons for appendectomy:</w:t>
            </w:r>
            <w:r w:rsidRPr="00CB2EC4">
              <w:rPr>
                <w:rFonts w:ascii="Times New Roman" w:hAnsi="Times New Roman" w:cs="Times New Roman"/>
              </w:rPr>
              <w:br/>
              <w:t xml:space="preserve">  1. to prevent missed primary or metastatic lesions: the appendix may be the primary site of the mucinous </w:t>
            </w:r>
            <w:r w:rsidRPr="00CB2EC4">
              <w:rPr>
                <w:rFonts w:ascii="Times New Roman" w:hAnsi="Times New Roman" w:cs="Times New Roman"/>
              </w:rPr>
              <w:lastRenderedPageBreak/>
              <w:t>tumor or harbor occult metastases. knowledge base documents cite young et al.: "when both ovary and appendix show lesions, ovarian lesions are often metastases from the appendix; even if the appendix appears normal intraoperatively, pathological examination may reveal mucinous tumors." removing the appendix reduces postoperative recurrence risk.</w:t>
            </w:r>
            <w:r w:rsidRPr="00CB2EC4">
              <w:rPr>
                <w:rFonts w:ascii="Times New Roman" w:hAnsi="Times New Roman" w:cs="Times New Roman"/>
              </w:rPr>
              <w:br/>
              <w:t xml:space="preserve">  2. to improve prognosis and staging accuracy: appendectomy helps detect subclinical metastases and ensures surgical completeness. knowledge base documents emphasize: "for patients with pseudomyxoma peritonei, appendectomy should be performed simultaneously during surgery... to reduce postoperative residual lesions and detect possible subclinical metastatic lesions." this is particularly important for mucinous tumors due to their high recurrence rate.</w:t>
            </w:r>
            <w:r w:rsidRPr="00CB2EC4">
              <w:rPr>
                <w:rFonts w:ascii="Times New Roman" w:hAnsi="Times New Roman" w:cs="Times New Roman"/>
              </w:rPr>
              <w:br/>
              <w:t xml:space="preserve">  3. standard of clinical practice: appendectomy is considered a fundamental component of cytoreductive surgery, especially for mucinous carcinoma patients (source: knowledge base document).</w:t>
            </w:r>
            <w:r w:rsidRPr="00CB2EC4">
              <w:rPr>
                <w:rFonts w:ascii="Times New Roman" w:hAnsi="Times New Roman" w:cs="Times New Roman"/>
              </w:rPr>
              <w:br/>
            </w:r>
            <w:r w:rsidRPr="00CB2EC4">
              <w:rPr>
                <w:rFonts w:ascii="Times New Roman" w:hAnsi="Times New Roman" w:cs="Times New Roman"/>
              </w:rPr>
              <w:br/>
              <w:t>synthetic analysis: both knowledge base documents and web search results consistently support routine appendectomy, with no contradictions. knowledge base documents provide detailed theoretical basis and clinical evidence, while web search results supplement with practical guidelines.</w:t>
            </w:r>
          </w:p>
        </w:tc>
        <w:tc>
          <w:tcPr>
            <w:tcW w:w="1152" w:type="dxa"/>
            <w:vAlign w:val="center"/>
          </w:tcPr>
          <w:p w14:paraId="3A51308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C092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C5D2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08D8EBD" w14:textId="77777777">
        <w:tc>
          <w:tcPr>
            <w:tcW w:w="2160" w:type="dxa"/>
            <w:vAlign w:val="center"/>
          </w:tcPr>
          <w:p w14:paraId="2C293DFA"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453B599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routine appendectomy is required.  </w:t>
            </w:r>
            <w:r w:rsidRPr="00CB2EC4">
              <w:rPr>
                <w:rFonts w:ascii="Times New Roman" w:hAnsi="Times New Roman" w:cs="Times New Roman"/>
              </w:rPr>
              <w:br/>
              <w:t xml:space="preserve">- reasons:  </w:t>
            </w:r>
            <w:r w:rsidRPr="00CB2EC4">
              <w:rPr>
                <w:rFonts w:ascii="Times New Roman" w:hAnsi="Times New Roman" w:cs="Times New Roman"/>
              </w:rPr>
              <w:br/>
              <w:t xml:space="preserve">  - document excerpt 1 indicates that when both the ovary and appendix show lesions, the ovarian lesion is often a metastasis from the appendix; even if the appendix appears normal macroscopically, </w:t>
            </w:r>
            <w:r w:rsidRPr="00CB2EC4">
              <w:rPr>
                <w:rFonts w:ascii="Times New Roman" w:hAnsi="Times New Roman" w:cs="Times New Roman"/>
              </w:rPr>
              <w:lastRenderedPageBreak/>
              <w:t xml:space="preserve">pathological examination may reveal mucinous tumors. therefore, the appendix should be resected concurrently during surgery to rule out metastatic or primary lesions.  </w:t>
            </w:r>
            <w:r w:rsidRPr="00CB2EC4">
              <w:rPr>
                <w:rFonts w:ascii="Times New Roman" w:hAnsi="Times New Roman" w:cs="Times New Roman"/>
              </w:rPr>
              <w:br/>
              <w:t xml:space="preserve">  - document excerpt 2 emphasizes that for mucinous borderline tumors, complete surgical staging and appendectomy are necessary when extraovarian disease is confirmed, as mucinous tumors may originate from the appendix or occur simultaneously with ovarian involvement.  </w:t>
            </w:r>
            <w:r w:rsidRPr="00CB2EC4">
              <w:rPr>
                <w:rFonts w:ascii="Times New Roman" w:hAnsi="Times New Roman" w:cs="Times New Roman"/>
              </w:rPr>
              <w:br/>
              <w:t xml:space="preserve">  - document excerpts 3, 4, 5, 9, and 11 further support this: for example, excerpt 3 states that appendectomy should be performed concurrently for mucinous ovarian cancer; excerpt 4 notes that ovarian cancer often invades the appendix, and resection reduces complications; excerpts 9 and 11 explicitly state that appendectomy must be performed simultaneously for ovarian borderline mucinous tumors to lower recurrence risk and detect subclinical metastases.  </w:t>
            </w:r>
            <w:r w:rsidRPr="00CB2EC4">
              <w:rPr>
                <w:rFonts w:ascii="Times New Roman" w:hAnsi="Times New Roman" w:cs="Times New Roman"/>
              </w:rPr>
              <w:br/>
              <w:t>in summary, routine appendectomy aids accurate staging, reduces recurrence, identifies occult lesions, and improves prognosis.</w:t>
            </w:r>
          </w:p>
        </w:tc>
        <w:tc>
          <w:tcPr>
            <w:tcW w:w="1152" w:type="dxa"/>
            <w:vAlign w:val="center"/>
          </w:tcPr>
          <w:p w14:paraId="10E8D1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B6CE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6178D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02CD86" w14:textId="77777777">
        <w:tc>
          <w:tcPr>
            <w:tcW w:w="2160" w:type="dxa"/>
            <w:vAlign w:val="center"/>
          </w:tcPr>
          <w:p w14:paraId="31A9D68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B96F7A4" w14:textId="77777777" w:rsidR="00922249" w:rsidRPr="00CB2EC4" w:rsidRDefault="003011D5">
            <w:pPr>
              <w:rPr>
                <w:rFonts w:ascii="Times New Roman" w:hAnsi="Times New Roman" w:cs="Times New Roman"/>
              </w:rPr>
            </w:pPr>
            <w:r w:rsidRPr="00CB2EC4">
              <w:rPr>
                <w:rFonts w:ascii="Times New Roman" w:hAnsi="Times New Roman" w:cs="Times New Roman"/>
              </w:rPr>
              <w:t>yes, patients with ovarian mucinous borderline tumors require routine appendectomy. the reasons for performing routine appendectomy are as follows:</w:t>
            </w:r>
            <w:r w:rsidRPr="00CB2EC4">
              <w:rPr>
                <w:rFonts w:ascii="Times New Roman" w:hAnsi="Times New Roman" w:cs="Times New Roman"/>
              </w:rPr>
              <w:br/>
            </w:r>
            <w:r w:rsidRPr="00CB2EC4">
              <w:rPr>
                <w:rFonts w:ascii="Times New Roman" w:hAnsi="Times New Roman" w:cs="Times New Roman"/>
              </w:rPr>
              <w:br/>
              <w:t xml:space="preserve">- the need for routine resection: documents 2, 5, 8, and 14 all explicitly support routine appendectomy. for example, document 2 states: “for mucinous borderline tumors, if extraovarian disease is identified at initial surgery, complete surgical staging and appendectomy are necessary.” documents 5 and 8 further emphasize: “ovarian borderline mucinous tumors require simultaneous appendectomy.” document 14 mentions </w:t>
            </w:r>
            <w:r w:rsidRPr="00CB2EC4">
              <w:rPr>
                <w:rFonts w:ascii="Times New Roman" w:hAnsi="Times New Roman" w:cs="Times New Roman"/>
              </w:rPr>
              <w:lastRenderedPageBreak/>
              <w:t>in the surgical approach: “mucinous borderline tumors require simultaneous appendectomy.”</w:t>
            </w:r>
            <w:r w:rsidRPr="00CB2EC4">
              <w:rPr>
                <w:rFonts w:ascii="Times New Roman" w:hAnsi="Times New Roman" w:cs="Times New Roman"/>
              </w:rPr>
              <w:br/>
            </w:r>
            <w:r w:rsidRPr="00CB2EC4">
              <w:rPr>
                <w:rFonts w:ascii="Times New Roman" w:hAnsi="Times New Roman" w:cs="Times New Roman"/>
              </w:rPr>
              <w:br/>
              <w:t>- rationale: the primary reason for routine appendectomy is that the appendix may be the primary site or co-occur with ovarian mucinous tumors; resection aids in complete surgical staging and reduces recurrence risk. document 2 explains: “mucinous tumors with widespread peritoneal dissemination can arise from the appendix or occur simultaneously in the appendix and one or both ovaries.” document 8 adds: “patients with mucinous borderline tumors include appendectomy,” which helps exclude appendiceal origin lesions, ensuring accurate staging and treatment.</w:t>
            </w:r>
            <w:r w:rsidRPr="00CB2EC4">
              <w:rPr>
                <w:rFonts w:ascii="Times New Roman" w:hAnsi="Times New Roman" w:cs="Times New Roman"/>
              </w:rPr>
              <w:br/>
            </w:r>
            <w:r w:rsidRPr="00CB2EC4">
              <w:rPr>
                <w:rFonts w:ascii="Times New Roman" w:hAnsi="Times New Roman" w:cs="Times New Roman"/>
              </w:rPr>
              <w:br/>
              <w:t>in summary, routine appendectomy is necessary to reduce the risk of missed diagnosis and improve prognosis.</w:t>
            </w:r>
          </w:p>
        </w:tc>
        <w:tc>
          <w:tcPr>
            <w:tcW w:w="1152" w:type="dxa"/>
            <w:vAlign w:val="center"/>
          </w:tcPr>
          <w:p w14:paraId="49A734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E89AE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EE38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C84279" w14:textId="77777777">
        <w:tc>
          <w:tcPr>
            <w:tcW w:w="2160" w:type="dxa"/>
            <w:vAlign w:val="center"/>
          </w:tcPr>
          <w:p w14:paraId="5E93700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93EDC3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Ovarian mucinous borderline tumor patients require routine appendectomy.  </w:t>
            </w:r>
            <w:r w:rsidRPr="00CB2EC4">
              <w:rPr>
                <w:rFonts w:ascii="Times New Roman" w:hAnsi="Times New Roman" w:cs="Times New Roman"/>
              </w:rPr>
              <w:br/>
              <w:t xml:space="preserve">Reasons based on the document content:  </w:t>
            </w:r>
            <w:r w:rsidRPr="00CB2EC4">
              <w:rPr>
                <w:rFonts w:ascii="Times New Roman" w:hAnsi="Times New Roman" w:cs="Times New Roman"/>
              </w:rPr>
              <w:br/>
              <w:t xml:space="preserve">- The document explicitly recommends appendectomy during surgery, for example: "Ovarian borderline mucinous tumors require simultaneous appendectomy" (context fragment: [HyDE similarity: 0.533]).  </w:t>
            </w:r>
            <w:r w:rsidRPr="00CB2EC4">
              <w:rPr>
                <w:rFonts w:ascii="Times New Roman" w:hAnsi="Times New Roman" w:cs="Times New Roman"/>
              </w:rPr>
              <w:br/>
              <w:t xml:space="preserve">- The rationale is that the appendix may be the primary site or a source of metastasis. The document explains: "When both the ovary and appendix show lesions, the ovarian lesion is often a metastasis from the appendix lesion," and even if the appendix appears normal macroscopically, pathological examination </w:t>
            </w:r>
            <w:r w:rsidRPr="00CB2EC4">
              <w:rPr>
                <w:rFonts w:ascii="Times New Roman" w:hAnsi="Times New Roman" w:cs="Times New Roman"/>
              </w:rPr>
              <w:lastRenderedPageBreak/>
              <w:t xml:space="preserve">may reveal mucinous tumors. Therefore, appendectomy helps exclude metastatic risk, ensures accurate staging, and prevents recurrence (context fragment: [HyDE similarity: 0.619]).  </w:t>
            </w:r>
            <w:r w:rsidRPr="00CB2EC4">
              <w:rPr>
                <w:rFonts w:ascii="Times New Roman" w:hAnsi="Times New Roman" w:cs="Times New Roman"/>
              </w:rPr>
              <w:br/>
              <w:t>In summary, routine appendectomy is performed to reduce metastatic risk, ensure surgical completeness, and improve prognosis.</w:t>
            </w:r>
          </w:p>
        </w:tc>
        <w:tc>
          <w:tcPr>
            <w:tcW w:w="1152" w:type="dxa"/>
            <w:vAlign w:val="center"/>
          </w:tcPr>
          <w:p w14:paraId="5B942CD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E88E0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123D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240EBE" w14:textId="77777777">
        <w:tc>
          <w:tcPr>
            <w:tcW w:w="2160" w:type="dxa"/>
            <w:vAlign w:val="center"/>
          </w:tcPr>
          <w:p w14:paraId="3FAAC5D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574B78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Routine appendectomy is indicated for patients with ovarian mucinous borderline tumors.  </w:t>
            </w:r>
            <w:r w:rsidRPr="00CB2EC4">
              <w:rPr>
                <w:rFonts w:ascii="Times New Roman" w:hAnsi="Times New Roman" w:cs="Times New Roman"/>
              </w:rPr>
              <w:br/>
            </w:r>
            <w:r w:rsidRPr="00CB2EC4">
              <w:rPr>
                <w:rFonts w:ascii="Times New Roman" w:hAnsi="Times New Roman" w:cs="Times New Roman"/>
              </w:rPr>
              <w:br/>
              <w:t xml:space="preserve">Reasons:  </w:t>
            </w:r>
            <w:r w:rsidRPr="00CB2EC4">
              <w:rPr>
                <w:rFonts w:ascii="Times New Roman" w:hAnsi="Times New Roman" w:cs="Times New Roman"/>
              </w:rPr>
              <w:br/>
              <w:t xml:space="preserve">- When both the ovary and appendix show lesions, the ovarian lesion is often a metastasis from the appendix; even if the appendix appears normal intraoperatively, pathological examination may reveal mucinous tumors. Therefore, appendectomy aids in complete surgical staging and prevents misdiagnosis. (Fragment 1)  </w:t>
            </w:r>
            <w:r w:rsidRPr="00CB2EC4">
              <w:rPr>
                <w:rFonts w:ascii="Times New Roman" w:hAnsi="Times New Roman" w:cs="Times New Roman"/>
              </w:rPr>
              <w:br/>
              <w:t xml:space="preserve">- When extraovarian disease is confirmed, complete surgical staging and appendectomy are necessary. Recent literature reports that diffuse peritoneal mucinous tumors can originate from the appendix or occur simultaneously in the appendix and one or both ovaries. Appendectomy reduces recurrence risk by addressing potential primary or metastatic sources. (Fragment 2)  </w:t>
            </w:r>
            <w:r w:rsidRPr="00CB2EC4">
              <w:rPr>
                <w:rFonts w:ascii="Times New Roman" w:hAnsi="Times New Roman" w:cs="Times New Roman"/>
              </w:rPr>
              <w:br/>
              <w:t xml:space="preserve">- Appendiceal mucinous tumors can cause diffuse peritonitis; simultaneous appendectomy during surgery is appropriate and feasible, especially for mucinous carcinoma patients. (Fragment 4)  </w:t>
            </w:r>
            <w:r w:rsidRPr="00CB2EC4">
              <w:rPr>
                <w:rFonts w:ascii="Times New Roman" w:hAnsi="Times New Roman" w:cs="Times New Roman"/>
              </w:rPr>
              <w:br/>
              <w:t xml:space="preserve">- For stage I ovarian mucinous carcinoma, simultaneous appendectomy is specified as part of standard surgery. (Fragment 8)  </w:t>
            </w:r>
            <w:r w:rsidRPr="00CB2EC4">
              <w:rPr>
                <w:rFonts w:ascii="Times New Roman" w:hAnsi="Times New Roman" w:cs="Times New Roman"/>
              </w:rPr>
              <w:br/>
            </w:r>
            <w:r w:rsidRPr="00CB2EC4">
              <w:rPr>
                <w:rFonts w:ascii="Times New Roman" w:hAnsi="Times New Roman" w:cs="Times New Roman"/>
              </w:rPr>
              <w:lastRenderedPageBreak/>
              <w:t xml:space="preserve">- For ovarian mucinous borderline tumors, simultaneous appendectomy is required as part of standard surgery to ensure thorough removal of potential lesions. (Fragment 18)  </w:t>
            </w:r>
            <w:r w:rsidRPr="00CB2EC4">
              <w:rPr>
                <w:rFonts w:ascii="Times New Roman" w:hAnsi="Times New Roman" w:cs="Times New Roman"/>
              </w:rPr>
              <w:br/>
            </w:r>
            <w:r w:rsidRPr="00CB2EC4">
              <w:rPr>
                <w:rFonts w:ascii="Times New Roman" w:hAnsi="Times New Roman" w:cs="Times New Roman"/>
              </w:rPr>
              <w:br/>
              <w:t>Summary: Routine appendectomy is necessary because the appendix may be the primary site or a source of metastasis; microscopic lesions may exist despite normal gross appearance; appendectomy enables complete surgical staging, reduces recurrence risk, and improves prognosis.</w:t>
            </w:r>
          </w:p>
        </w:tc>
        <w:tc>
          <w:tcPr>
            <w:tcW w:w="1152" w:type="dxa"/>
            <w:vAlign w:val="center"/>
          </w:tcPr>
          <w:p w14:paraId="39B26C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E6E6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131A2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A04329A" w14:textId="77777777">
        <w:tc>
          <w:tcPr>
            <w:tcW w:w="2160" w:type="dxa"/>
            <w:vAlign w:val="center"/>
          </w:tcPr>
          <w:p w14:paraId="5A56665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F9FFC5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 Is routine appendectomy required: Yes, the document explicitly states that patients with ovarian mucinous borderline tumors require routine appendectomy.  </w:t>
            </w:r>
            <w:r w:rsidRPr="00CB2EC4">
              <w:rPr>
                <w:rFonts w:ascii="Times New Roman" w:hAnsi="Times New Roman" w:cs="Times New Roman"/>
              </w:rPr>
              <w:br/>
              <w:t xml:space="preserve">- Reasons for performing routine appendectomy:  </w:t>
            </w:r>
            <w:r w:rsidRPr="00CB2EC4">
              <w:rPr>
                <w:rFonts w:ascii="Times New Roman" w:hAnsi="Times New Roman" w:cs="Times New Roman"/>
              </w:rPr>
              <w:br/>
              <w:t xml:space="preserve">  - To exclude potential metastasis or primary lesions: Analysis in the document indicates that when both the ovary and appendix show lesions, the ovarian lesion is often a metastasis from the appendix; even when the appendix appears normal macroscopically, pathological examination frequently reveals mucinous tumors. Therefore, appendectomy helps identify occult lesions and prevents misdiagnosis or understaging.  </w:t>
            </w:r>
            <w:r w:rsidRPr="00CB2EC4">
              <w:rPr>
                <w:rFonts w:ascii="Times New Roman" w:hAnsi="Times New Roman" w:cs="Times New Roman"/>
              </w:rPr>
              <w:br/>
              <w:t xml:space="preserve">  - To prevent recurrence and complications: Mucinous tumors of the appendix can cause diffuse peritonitis, and ovarian cancer (including borderline tumors) often involves the appendix. Table 9-11 shows appendiceal metastasis rates of 69% for stage III and 75% for stage IV ovarian cancer. Appendectomy reduces recurrence risk and improves prognosis.  </w:t>
            </w:r>
            <w:r w:rsidRPr="00CB2EC4">
              <w:rPr>
                <w:rFonts w:ascii="Times New Roman" w:hAnsi="Times New Roman" w:cs="Times New Roman"/>
              </w:rPr>
              <w:br/>
            </w:r>
            <w:r w:rsidRPr="00CB2EC4">
              <w:rPr>
                <w:rFonts w:ascii="Times New Roman" w:hAnsi="Times New Roman" w:cs="Times New Roman"/>
              </w:rPr>
              <w:lastRenderedPageBreak/>
              <w:t xml:space="preserve">- Based on document excerpts:  </w:t>
            </w:r>
            <w:r w:rsidRPr="00CB2EC4">
              <w:rPr>
                <w:rFonts w:ascii="Times New Roman" w:hAnsi="Times New Roman" w:cs="Times New Roman"/>
              </w:rPr>
              <w:br/>
              <w:t xml:space="preserve">  "Young et al. demonstrated through detailed clinicopathological analysis that when both the ovary and appendix are involved, the ovarian lesion is usually a metastasis from the appendiceal primary; even if the appendix appears normal intraoperatively, pathological examination often uncovers mucinous tumors. Thus, from a clinical practice standpoint, appendectomy should be performed concurrently in patients with pseudomyxoma peritonei..."  </w:t>
            </w:r>
            <w:r w:rsidRPr="00CB2EC4">
              <w:rPr>
                <w:rFonts w:ascii="Times New Roman" w:hAnsi="Times New Roman" w:cs="Times New Roman"/>
              </w:rPr>
              <w:br/>
              <w:t xml:space="preserve">  "Concurrent appendectomy for mucinous ovarian cancer," "Ovarian mucinous borderline tumors require simultaneous appendectomy," "E. Appendectomy: Parker reported that ovarian cancer frequently invades the appendix. Appendiceal mucinous tumors can lead to diffuse peritonitis, making concurrent appendectomy during surgery appropriate..."  </w:t>
            </w:r>
            <w:r w:rsidRPr="00CB2EC4">
              <w:rPr>
                <w:rFonts w:ascii="Times New Roman" w:hAnsi="Times New Roman" w:cs="Times New Roman"/>
              </w:rPr>
              <w:br/>
              <w:t xml:space="preserve">  "Table 9-11 Appendiceal metastasis rates in ovarian cancer patients" shows 69% for stage III and 75% for stage IV.</w:t>
            </w:r>
          </w:p>
        </w:tc>
        <w:tc>
          <w:tcPr>
            <w:tcW w:w="1152" w:type="dxa"/>
            <w:vAlign w:val="center"/>
          </w:tcPr>
          <w:p w14:paraId="77A0FB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5CE490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5D43B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A35F81" w14:textId="77777777">
        <w:tc>
          <w:tcPr>
            <w:tcW w:w="2160" w:type="dxa"/>
            <w:vAlign w:val="center"/>
          </w:tcPr>
          <w:p w14:paraId="4E16043A"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DAD0D7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Ovarian mucinous borderline tumor patients require routine appendectomy.  </w:t>
            </w:r>
            <w:r w:rsidRPr="00CB2EC4">
              <w:rPr>
                <w:rFonts w:ascii="Times New Roman" w:hAnsi="Times New Roman" w:cs="Times New Roman"/>
              </w:rPr>
              <w:br/>
            </w:r>
            <w:r w:rsidRPr="00CB2EC4">
              <w:rPr>
                <w:rFonts w:ascii="Times New Roman" w:hAnsi="Times New Roman" w:cs="Times New Roman"/>
              </w:rPr>
              <w:br/>
              <w:t xml:space="preserve">Reasons for routine appendectomy:  </w:t>
            </w:r>
            <w:r w:rsidRPr="00CB2EC4">
              <w:rPr>
                <w:rFonts w:ascii="Times New Roman" w:hAnsi="Times New Roman" w:cs="Times New Roman"/>
              </w:rPr>
              <w:br/>
              <w:t xml:space="preserve">1. To prevent recurrence and detect subclinical metastasis: The appendix may serve as a primary or metastatic site (e.g., "appendiceal mucinous neoplasms can cause diffuse peritonitis"), and removal reduces the risk of residual disease postoperatively.  </w:t>
            </w:r>
            <w:r w:rsidRPr="00CB2EC4">
              <w:rPr>
                <w:rFonts w:ascii="Times New Roman" w:hAnsi="Times New Roman" w:cs="Times New Roman"/>
              </w:rPr>
              <w:br/>
              <w:t xml:space="preserve">2. Anatomical proximity and risk of direct infiltration: As stated, "the appendix is not the first metastatic site of early ovarian cancer; it is due to the anatomical proximity to ovarian cancer, with direct tumor </w:t>
            </w:r>
            <w:r w:rsidRPr="00CB2EC4">
              <w:rPr>
                <w:rFonts w:ascii="Times New Roman" w:hAnsi="Times New Roman" w:cs="Times New Roman"/>
              </w:rPr>
              <w:lastRenderedPageBreak/>
              <w:t xml:space="preserve">infiltration." Therefore, appendectomy helps exclude potential metastasis.  </w:t>
            </w:r>
            <w:r w:rsidRPr="00CB2EC4">
              <w:rPr>
                <w:rFonts w:ascii="Times New Roman" w:hAnsi="Times New Roman" w:cs="Times New Roman"/>
              </w:rPr>
              <w:br/>
              <w:t xml:space="preserve">3. To improve surgical completeness: In borderline tumors (such as mucinous type), routine appendectomy is part of surgical staging.  </w:t>
            </w:r>
            <w:r w:rsidRPr="00CB2EC4">
              <w:rPr>
                <w:rFonts w:ascii="Times New Roman" w:hAnsi="Times New Roman" w:cs="Times New Roman"/>
              </w:rPr>
              <w:br/>
            </w:r>
            <w:r w:rsidRPr="00CB2EC4">
              <w:rPr>
                <w:rFonts w:ascii="Times New Roman" w:hAnsi="Times New Roman" w:cs="Times New Roman"/>
              </w:rPr>
              <w:br/>
              <w:t>In summary, ovarian mucinous borderline tumor patients require routine appendectomy to reduce recurrence risk, identify subclinical lesions, and ensure surgical completeness.</w:t>
            </w:r>
          </w:p>
        </w:tc>
        <w:tc>
          <w:tcPr>
            <w:tcW w:w="1152" w:type="dxa"/>
            <w:vAlign w:val="center"/>
          </w:tcPr>
          <w:p w14:paraId="32E9A9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90DF5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79405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CD35689" w14:textId="77777777">
        <w:tc>
          <w:tcPr>
            <w:tcW w:w="2160" w:type="dxa"/>
            <w:vAlign w:val="center"/>
          </w:tcPr>
          <w:p w14:paraId="4A93C29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19BDAF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xml:space="preserve">- The appendix should be routinely removed because it may harbor primary or metastatic lesions of mucinous tumors, even when it appears normal macroscopically. Specifically: "When both the ovary and appendix are involved, the ovarian lesion is often a metastasis from the appendix, and although the appendix may look normal during surgery, pathological examination can reveal a mucinous tumor." Therefore, appendectomy helps reduce residual disease postoperatively, detect subclinical metastases, and improve prognosis.  </w:t>
            </w:r>
            <w:r w:rsidRPr="00CB2EC4">
              <w:rPr>
                <w:rFonts w:ascii="Times New Roman" w:hAnsi="Times New Roman" w:cs="Times New Roman"/>
              </w:rPr>
              <w:br/>
              <w:t>- In summary: Yes, routine appendectomy is required to exclude the appendix as a primary or secondary site, thereby lowering recurrence risk.</w:t>
            </w:r>
          </w:p>
        </w:tc>
        <w:tc>
          <w:tcPr>
            <w:tcW w:w="1152" w:type="dxa"/>
            <w:vAlign w:val="center"/>
          </w:tcPr>
          <w:p w14:paraId="732C08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52D1B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4518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F4A3B4" w14:textId="77777777">
        <w:tc>
          <w:tcPr>
            <w:tcW w:w="2160" w:type="dxa"/>
            <w:vAlign w:val="center"/>
          </w:tcPr>
          <w:p w14:paraId="52ABCF56"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243E02F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patients with ovarian mucinous borderline tumors require routine appendectomy.  </w:t>
            </w:r>
            <w:r w:rsidRPr="00CB2EC4">
              <w:rPr>
                <w:rFonts w:ascii="Times New Roman" w:hAnsi="Times New Roman" w:cs="Times New Roman"/>
              </w:rPr>
              <w:br/>
              <w:t xml:space="preserve">- reason: according to the provided context (document segments 2 and 4), the appendix may harbor occult mucinous neoplasms, and ovarian lesions are often metastatic from appendiceal primaries. Even when the appendix appears normal macroscopically, pathological examination may reveal subclinical </w:t>
            </w:r>
            <w:r w:rsidRPr="00CB2EC4">
              <w:rPr>
                <w:rFonts w:ascii="Times New Roman" w:hAnsi="Times New Roman" w:cs="Times New Roman"/>
              </w:rPr>
              <w:lastRenderedPageBreak/>
              <w:t xml:space="preserve">mucinous tumors. Appendectomy reduces the risk of recurrence and improves prognosis.  </w:t>
            </w:r>
            <w:r w:rsidRPr="00CB2EC4">
              <w:rPr>
                <w:rFonts w:ascii="Times New Roman" w:hAnsi="Times New Roman" w:cs="Times New Roman"/>
              </w:rPr>
              <w:br/>
              <w:t xml:space="preserve">  - evidence:  </w:t>
            </w:r>
            <w:r w:rsidRPr="00CB2EC4">
              <w:rPr>
                <w:rFonts w:ascii="Times New Roman" w:hAnsi="Times New Roman" w:cs="Times New Roman"/>
              </w:rPr>
              <w:br/>
              <w:t xml:space="preserve">    - segment 2 states: “when both the ovary and the appendix are involved, the ovarian lesion is usually a metastasis from the appendiceal lesion. although the appendix may appear normal intraoperatively, pathological examination often reveals mucinous tumors. therefore, from a clinical practice standpoint, appendectomy should be performed simultaneously in patients with pseudomyxoma peritonei.”  </w:t>
            </w:r>
            <w:r w:rsidRPr="00CB2EC4">
              <w:rPr>
                <w:rFonts w:ascii="Times New Roman" w:hAnsi="Times New Roman" w:cs="Times New Roman"/>
              </w:rPr>
              <w:br/>
              <w:t xml:space="preserve">    - segment 4 explicitly notes: “ovarian mucinous borderline tumors require concurrent appendectomy.”  </w:t>
            </w:r>
            <w:r w:rsidRPr="00CB2EC4">
              <w:rPr>
                <w:rFonts w:ascii="Times New Roman" w:hAnsi="Times New Roman" w:cs="Times New Roman"/>
              </w:rPr>
              <w:br/>
              <w:t xml:space="preserve">  - clinical significance: routine appendectomy serves as a prophylactic measure to eliminate potential sources of metastasis and reduce postoperative recurrence (segment 2 notes that pseudomyxoma peritonei is prone to recurrence and impacts quality of survival).</w:t>
            </w:r>
          </w:p>
        </w:tc>
        <w:tc>
          <w:tcPr>
            <w:tcW w:w="1152" w:type="dxa"/>
            <w:vAlign w:val="center"/>
          </w:tcPr>
          <w:p w14:paraId="7A0486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AB0CA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6147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01FCEB" w14:textId="77777777">
        <w:tc>
          <w:tcPr>
            <w:tcW w:w="2160" w:type="dxa"/>
            <w:vAlign w:val="center"/>
          </w:tcPr>
          <w:p w14:paraId="1D38EAC3"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B93016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patients with ovarian mucinous borderline tumors require routine appendectomy.  </w:t>
            </w:r>
            <w:r w:rsidRPr="00CB2EC4">
              <w:rPr>
                <w:rFonts w:ascii="Times New Roman" w:hAnsi="Times New Roman" w:cs="Times New Roman"/>
              </w:rPr>
              <w:br/>
              <w:t xml:space="preserve">reasons for routine appendectomy:  </w:t>
            </w:r>
            <w:r w:rsidRPr="00CB2EC4">
              <w:rPr>
                <w:rFonts w:ascii="Times New Roman" w:hAnsi="Times New Roman" w:cs="Times New Roman"/>
              </w:rPr>
              <w:br/>
              <w:t xml:space="preserve">- as indicated in segment 8 (from original block 763-765): "patients with mucinous borderline tumors also include appendectomy," with supporting literature cited (see table 9-25).  </w:t>
            </w:r>
            <w:r w:rsidRPr="00CB2EC4">
              <w:rPr>
                <w:rFonts w:ascii="Times New Roman" w:hAnsi="Times New Roman" w:cs="Times New Roman"/>
              </w:rPr>
              <w:br/>
              <w:t xml:space="preserve">- routine appendectomy is performed because the appendix may harbor synchronous mucinous neoplasms or serve as a primary site associated with ovarian mucinous borderline tumors; removal aids in accurate surgical staging, reduces the risk of missed diagnosis, and lowers recurrence rates. the context states: "mucinous tumors with widespread peritoneal dissemination can arise from the appendix or occur </w:t>
            </w:r>
            <w:r w:rsidRPr="00CB2EC4">
              <w:rPr>
                <w:rFonts w:ascii="Times New Roman" w:hAnsi="Times New Roman" w:cs="Times New Roman"/>
              </w:rPr>
              <w:lastRenderedPageBreak/>
              <w:t>simultaneously in the appendix and one or both ovaries," underscoring the appendix's potential role; complete resection improves therapeutic outcomes.</w:t>
            </w:r>
          </w:p>
        </w:tc>
        <w:tc>
          <w:tcPr>
            <w:tcW w:w="1152" w:type="dxa"/>
            <w:vAlign w:val="center"/>
          </w:tcPr>
          <w:p w14:paraId="41AA6A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1B5F1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C020E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C8F2CF" w14:textId="77777777">
        <w:tc>
          <w:tcPr>
            <w:tcW w:w="2160" w:type="dxa"/>
            <w:vAlign w:val="center"/>
          </w:tcPr>
          <w:p w14:paraId="4550B749"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4494455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yes  </w:t>
            </w:r>
            <w:r w:rsidRPr="00CB2EC4">
              <w:rPr>
                <w:rFonts w:ascii="Times New Roman" w:hAnsi="Times New Roman" w:cs="Times New Roman"/>
              </w:rPr>
              <w:br/>
              <w:t>- Reason: The appendix is a common primary site or metastatic location for mucinous tumors. Routine appendectomy excludes primary appendiceal mucinous neoplasms (such as appendiceal mucinous tumors), prevents missed diagnoses, and reduces the risk of postoperative recurrence. Additionally, it aids in comprehensive surgical staging and minimizes the need for secondary surgery.</w:t>
            </w:r>
          </w:p>
        </w:tc>
        <w:tc>
          <w:tcPr>
            <w:tcW w:w="1152" w:type="dxa"/>
            <w:vAlign w:val="center"/>
          </w:tcPr>
          <w:p w14:paraId="0735AC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17EE1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1676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F776E1A" w14:textId="77777777">
        <w:tc>
          <w:tcPr>
            <w:tcW w:w="10656" w:type="dxa"/>
            <w:gridSpan w:val="5"/>
            <w:tcBorders>
              <w:bottom w:val="single" w:sz="6" w:space="0" w:color="auto"/>
            </w:tcBorders>
            <w:vAlign w:val="center"/>
          </w:tcPr>
          <w:p w14:paraId="3E17BB40"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188: What is the standard surgical procedure for Stage I or II fallopian tube cancer?</w:t>
            </w:r>
          </w:p>
        </w:tc>
      </w:tr>
      <w:tr w:rsidR="00922249" w:rsidRPr="00CB2EC4" w14:paraId="62EFE16A" w14:textId="77777777">
        <w:tc>
          <w:tcPr>
            <w:tcW w:w="2160" w:type="dxa"/>
            <w:vAlign w:val="center"/>
          </w:tcPr>
          <w:p w14:paraId="13C7ABD9"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E18537C" w14:textId="77777777" w:rsidR="00922249" w:rsidRPr="00CB2EC4" w:rsidRDefault="003011D5">
            <w:pPr>
              <w:rPr>
                <w:rFonts w:ascii="Times New Roman" w:hAnsi="Times New Roman" w:cs="Times New Roman"/>
              </w:rPr>
            </w:pPr>
            <w:r w:rsidRPr="00CB2EC4">
              <w:rPr>
                <w:rFonts w:ascii="Times New Roman" w:hAnsi="Times New Roman" w:cs="Times New Roman"/>
              </w:rPr>
              <w:t>what is the standard surgical approach for stage I or II fallopian tube cancer?</w:t>
            </w:r>
            <w:r w:rsidRPr="00CB2EC4">
              <w:rPr>
                <w:rFonts w:ascii="Times New Roman" w:hAnsi="Times New Roman" w:cs="Times New Roman"/>
              </w:rPr>
              <w:br/>
            </w:r>
            <w:r w:rsidRPr="00CB2EC4">
              <w:rPr>
                <w:rFonts w:ascii="Times New Roman" w:hAnsi="Times New Roman" w:cs="Times New Roman"/>
              </w:rPr>
              <w:br/>
              <w:t>No information was found in the knowledge base regarding the diagnosis, staging, or standard surgical methods for fallopian tube cancer. The documents primarily discuss ovarian cancer, primary peritoneal tumors, and germ cell tumors, but do not address fallopian tube cancer. Therefore, this question cannot be answered based on the provided context.</w:t>
            </w:r>
          </w:p>
        </w:tc>
        <w:tc>
          <w:tcPr>
            <w:tcW w:w="1152" w:type="dxa"/>
            <w:vAlign w:val="center"/>
          </w:tcPr>
          <w:p w14:paraId="3647A9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65054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2C88D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1950851" w14:textId="77777777">
        <w:tc>
          <w:tcPr>
            <w:tcW w:w="2160" w:type="dxa"/>
            <w:vAlign w:val="center"/>
          </w:tcPr>
          <w:p w14:paraId="27A788D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13A393C" w14:textId="77777777" w:rsidR="00922249" w:rsidRPr="00CB2EC4" w:rsidRDefault="003011D5">
            <w:pPr>
              <w:rPr>
                <w:rFonts w:ascii="Times New Roman" w:hAnsi="Times New Roman" w:cs="Times New Roman"/>
              </w:rPr>
            </w:pPr>
            <w:r w:rsidRPr="00CB2EC4">
              <w:rPr>
                <w:rFonts w:ascii="Times New Roman" w:hAnsi="Times New Roman" w:cs="Times New Roman"/>
              </w:rPr>
              <w:t>what is the standard surgical approach for stage I or II fallopian tube cancer?</w:t>
            </w:r>
            <w:r w:rsidRPr="00CB2EC4">
              <w:rPr>
                <w:rFonts w:ascii="Times New Roman" w:hAnsi="Times New Roman" w:cs="Times New Roman"/>
              </w:rPr>
              <w:br/>
            </w:r>
            <w:r w:rsidRPr="00CB2EC4">
              <w:rPr>
                <w:rFonts w:ascii="Times New Roman" w:hAnsi="Times New Roman" w:cs="Times New Roman"/>
              </w:rPr>
              <w:br/>
              <w:t>Standard surgery for stage I and II:</w:t>
            </w:r>
            <w:r w:rsidRPr="00CB2EC4">
              <w:rPr>
                <w:rFonts w:ascii="Times New Roman" w:hAnsi="Times New Roman" w:cs="Times New Roman"/>
              </w:rPr>
              <w:br/>
              <w:t xml:space="preserve">  - Basic procedure: Total hysterectomy and bilateral salpingo-oophorectomy (Segment 8).</w:t>
            </w:r>
            <w:r w:rsidRPr="00CB2EC4">
              <w:rPr>
                <w:rFonts w:ascii="Times New Roman" w:hAnsi="Times New Roman" w:cs="Times New Roman"/>
              </w:rPr>
              <w:br/>
              <w:t xml:space="preserve">  - Extended procedures:</w:t>
            </w:r>
            <w:r w:rsidRPr="00CB2EC4">
              <w:rPr>
                <w:rFonts w:ascii="Times New Roman" w:hAnsi="Times New Roman" w:cs="Times New Roman"/>
              </w:rPr>
              <w:br/>
              <w:t xml:space="preserve">    - Omentectomy must be performed simultaneously (Segment 8).</w:t>
            </w:r>
            <w:r w:rsidRPr="00CB2EC4">
              <w:rPr>
                <w:rFonts w:ascii="Times New Roman" w:hAnsi="Times New Roman" w:cs="Times New Roman"/>
              </w:rPr>
              <w:br/>
              <w:t xml:space="preserve">    - For stage II patients with pelvic metastases, </w:t>
            </w:r>
            <w:r w:rsidRPr="00CB2EC4">
              <w:rPr>
                <w:rFonts w:ascii="Times New Roman" w:hAnsi="Times New Roman" w:cs="Times New Roman"/>
              </w:rPr>
              <w:lastRenderedPageBreak/>
              <w:t>resection of involved pelvic peritoneum and metastatic lesions is required (Segment 8).</w:t>
            </w:r>
            <w:r w:rsidRPr="00CB2EC4">
              <w:rPr>
                <w:rFonts w:ascii="Times New Roman" w:hAnsi="Times New Roman" w:cs="Times New Roman"/>
              </w:rPr>
              <w:br/>
              <w:t xml:space="preserve">    - Selective retroperitoneal lymph node dissection (Segment 8).</w:t>
            </w:r>
            <w:r w:rsidRPr="00CB2EC4">
              <w:rPr>
                <w:rFonts w:ascii="Times New Roman" w:hAnsi="Times New Roman" w:cs="Times New Roman"/>
              </w:rPr>
              <w:br/>
              <w:t xml:space="preserve">  - Surgical goal: Complete resection of the primary tumor and metastatic sites, and definitive pathological staging (Segment 8).</w:t>
            </w:r>
            <w:r w:rsidRPr="00CB2EC4">
              <w:rPr>
                <w:rFonts w:ascii="Times New Roman" w:hAnsi="Times New Roman" w:cs="Times New Roman"/>
              </w:rPr>
              <w:br/>
              <w:t>- Source: Segment 8 (block theme: surgical approaches for fallopian tube cancer).</w:t>
            </w:r>
          </w:p>
        </w:tc>
        <w:tc>
          <w:tcPr>
            <w:tcW w:w="1152" w:type="dxa"/>
            <w:vAlign w:val="center"/>
          </w:tcPr>
          <w:p w14:paraId="11B2A0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C0F8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1382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AC4BE7A" w14:textId="77777777">
        <w:tc>
          <w:tcPr>
            <w:tcW w:w="2160" w:type="dxa"/>
            <w:vAlign w:val="center"/>
          </w:tcPr>
          <w:p w14:paraId="6D6CCE2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022EDB36"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surgical approach for stage I or II fallopian tube cancer is total hysterectomy and bilateral salpingo-oophorectomy, including omentectomy and selective retroperitoneal lymph node dissection; for stage II patients, resection of involved pelvic peritoneum and metastatic lesions is also required.</w:t>
            </w:r>
            <w:r w:rsidRPr="00CB2EC4">
              <w:rPr>
                <w:rFonts w:ascii="Times New Roman" w:hAnsi="Times New Roman" w:cs="Times New Roman"/>
              </w:rPr>
              <w:br/>
              <w:t>- Detailed description: Based on the provided text, the surgery includes the following key steps:</w:t>
            </w:r>
            <w:r w:rsidRPr="00CB2EC4">
              <w:rPr>
                <w:rFonts w:ascii="Times New Roman" w:hAnsi="Times New Roman" w:cs="Times New Roman"/>
              </w:rPr>
              <w:br/>
              <w:t xml:space="preserve">  - Core procedure: Segment 7 states: "Total hysterectomy and bilateral salpingo-oophorectomy is the most fundamental surgical approach for early-stage (I, II) fallopian tube cancer. In addition to total hysterectomy and bilateral salpingo-oophorectomy, it includes omentectomy and selective retroperitoneal lymph node dissection."</w:t>
            </w:r>
            <w:r w:rsidRPr="00CB2EC4">
              <w:rPr>
                <w:rFonts w:ascii="Times New Roman" w:hAnsi="Times New Roman" w:cs="Times New Roman"/>
              </w:rPr>
              <w:br/>
              <w:t xml:space="preserve">  - Stage II extension: Segment 7 adds: "Stage II patients with pelvic metastasis require simultaneous resection of involved pelvic peritoneum and metastatic lesions."</w:t>
            </w:r>
            <w:r w:rsidRPr="00CB2EC4">
              <w:rPr>
                <w:rFonts w:ascii="Times New Roman" w:hAnsi="Times New Roman" w:cs="Times New Roman"/>
              </w:rPr>
              <w:br/>
              <w:t xml:space="preserve">  - Supplementary details: Segment 28 provides a more specific radical description: "The standard surgical approach for stage I or II fallopian tube cancer: Radical type C hysterectomy... the resection scope includes uterus, parametrium, upper vagina, </w:t>
            </w:r>
            <w:r w:rsidRPr="00CB2EC4">
              <w:rPr>
                <w:rFonts w:ascii="Times New Roman" w:hAnsi="Times New Roman" w:cs="Times New Roman"/>
              </w:rPr>
              <w:lastRenderedPageBreak/>
              <w:t>partial paravaginal tissue, and pelvic lymph nodes... lymph node dissection is also a fundamental component of this procedure, with removal encompassing parametrial, obturator, internal iliac, external iliac, and common iliac lymph nodes." This emphasizes the importance of lymphadenectomy.</w:t>
            </w:r>
            <w:r w:rsidRPr="00CB2EC4">
              <w:rPr>
                <w:rFonts w:ascii="Times New Roman" w:hAnsi="Times New Roman" w:cs="Times New Roman"/>
              </w:rPr>
              <w:br/>
              <w:t xml:space="preserve">  - Overall principle: Segments 21 and 27 reaffirm that surgery aims at maximal tumor cytoreduction, routinely involving total hysterectomy, bilateral adnexectomy, and omentectomy.</w:t>
            </w:r>
            <w:r w:rsidRPr="00CB2EC4">
              <w:rPr>
                <w:rFonts w:ascii="Times New Roman" w:hAnsi="Times New Roman" w:cs="Times New Roman"/>
              </w:rPr>
              <w:br/>
              <w:t>- Clinical basis: This approach is designed to completely remove the primary tumor and potential micrometastases, aligning with the standard treatment for early-stage fallopian tube cancer (segments 7, 20, 21, 28).</w:t>
            </w:r>
          </w:p>
        </w:tc>
        <w:tc>
          <w:tcPr>
            <w:tcW w:w="1152" w:type="dxa"/>
            <w:vAlign w:val="center"/>
          </w:tcPr>
          <w:p w14:paraId="5A9C5D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BAC17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03A45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20E4F5" w14:textId="77777777">
        <w:tc>
          <w:tcPr>
            <w:tcW w:w="2160" w:type="dxa"/>
            <w:vAlign w:val="center"/>
          </w:tcPr>
          <w:p w14:paraId="58CC277C"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B139FBB"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surgical approach for stage I or II fallopian tube cancer is total hysterectomy with bilateral salpingo-oophorectomy combined with comprehensive surgical staging. The specific procedures are as follows:</w:t>
            </w:r>
            <w:r w:rsidRPr="00CB2EC4">
              <w:rPr>
                <w:rFonts w:ascii="Times New Roman" w:hAnsi="Times New Roman" w:cs="Times New Roman"/>
              </w:rPr>
              <w:br/>
              <w:t>- Surgical extent:</w:t>
            </w:r>
            <w:r w:rsidRPr="00CB2EC4">
              <w:rPr>
                <w:rFonts w:ascii="Times New Roman" w:hAnsi="Times New Roman" w:cs="Times New Roman"/>
              </w:rPr>
              <w:br/>
              <w:t xml:space="preserve">  - Stage I: Perform total hysterectomy, bilateral adnexectomy (fallopian tubes and ovaries), omentectomy, and routine or selective appendectomy (especially for mucinous tumors). Additionally, obtain periaortic and pelvic lymph node sampling or dissection.</w:t>
            </w:r>
            <w:r w:rsidRPr="00CB2EC4">
              <w:rPr>
                <w:rFonts w:ascii="Times New Roman" w:hAnsi="Times New Roman" w:cs="Times New Roman"/>
              </w:rPr>
              <w:br/>
              <w:t xml:space="preserve">  - Stage II: Based on stage I, add resection of pelvic metastatic lesions (such as involved pelvic peritoneum, rectum, or sigmoid colon) and appendectomy. As stated in the knowledge base document: "Stage II: total hysterectomy, bilateral adnexectomy, omentectomy, and resection of pelvic metastatic lesions and appendix." (Source: knowledge </w:t>
            </w:r>
            <w:r w:rsidRPr="00CB2EC4">
              <w:rPr>
                <w:rFonts w:ascii="Times New Roman" w:hAnsi="Times New Roman" w:cs="Times New Roman"/>
              </w:rPr>
              <w:lastRenderedPageBreak/>
              <w:t>base document).</w:t>
            </w:r>
            <w:r w:rsidRPr="00CB2EC4">
              <w:rPr>
                <w:rFonts w:ascii="Times New Roman" w:hAnsi="Times New Roman" w:cs="Times New Roman"/>
              </w:rPr>
              <w:br/>
              <w:t>- Key surgical steps:</w:t>
            </w:r>
            <w:r w:rsidRPr="00CB2EC4">
              <w:rPr>
                <w:rFonts w:ascii="Times New Roman" w:hAnsi="Times New Roman" w:cs="Times New Roman"/>
              </w:rPr>
              <w:br/>
              <w:t xml:space="preserve">  1.  Comprehensive exploration and staging: Includes cytologic examination of ascites or peritoneal washings, biopsy of suspicious pelvic/abdominal lesions (e.g., rectouterine pouch, paracolic gutters), diaphragmatic biopsy, omentectomy (inferior to the transverse colon), and sampling of retroperitoneal lymph nodes (pelvic and para-aortic).</w:t>
            </w:r>
            <w:r w:rsidRPr="00CB2EC4">
              <w:rPr>
                <w:rFonts w:ascii="Times New Roman" w:hAnsi="Times New Roman" w:cs="Times New Roman"/>
              </w:rPr>
              <w:br/>
              <w:t xml:space="preserve">  2.  Lymph node management: Selective lymph node dissection is required in early cases due to high lymph node metastasis rates (approximately 25%). The knowledge base document emphasizes: "Retroperitoneal lymphadenectomy should be performed routinely... particularly for early-stage ovarian cancer."</w:t>
            </w:r>
            <w:r w:rsidRPr="00CB2EC4">
              <w:rPr>
                <w:rFonts w:ascii="Times New Roman" w:hAnsi="Times New Roman" w:cs="Times New Roman"/>
              </w:rPr>
              <w:br/>
              <w:t xml:space="preserve">  3.  Exception for conservative surgery: Only for young patients desiring fertility preservation with stage IA1 disease (confined to the mucosa), unilateral salpingectomy or adnexectomy may be performed, provided peritoneal cytology is negative (source: knowledge base document).</w:t>
            </w:r>
            <w:r w:rsidRPr="00CB2EC4">
              <w:rPr>
                <w:rFonts w:ascii="Times New Roman" w:hAnsi="Times New Roman" w:cs="Times New Roman"/>
              </w:rPr>
              <w:br/>
            </w:r>
            <w:r w:rsidRPr="00CB2EC4">
              <w:rPr>
                <w:rFonts w:ascii="Times New Roman" w:hAnsi="Times New Roman" w:cs="Times New Roman"/>
              </w:rPr>
              <w:br/>
              <w:t>Synthesis: All information is derived from the knowledge base document (web search results did not address fallopian tube cancer specifics). The surgical approach emphasizes thoroughness to reduce recurrence, with the distinction between stage I and II being the need to address pelvic metastatic disease in stage II.</w:t>
            </w:r>
          </w:p>
        </w:tc>
        <w:tc>
          <w:tcPr>
            <w:tcW w:w="1152" w:type="dxa"/>
            <w:vAlign w:val="center"/>
          </w:tcPr>
          <w:p w14:paraId="2AE3A1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9A63A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2204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0EA030" w14:textId="77777777">
        <w:tc>
          <w:tcPr>
            <w:tcW w:w="2160" w:type="dxa"/>
            <w:vAlign w:val="center"/>
          </w:tcPr>
          <w:p w14:paraId="6DFC42AC"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196BF1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standard surgical approach for stage I or II fallopian tube cancer is as follows:  </w:t>
            </w:r>
            <w:r w:rsidRPr="00CB2EC4">
              <w:rPr>
                <w:rFonts w:ascii="Times New Roman" w:hAnsi="Times New Roman" w:cs="Times New Roman"/>
              </w:rPr>
              <w:br/>
              <w:t xml:space="preserve">- Basic procedure: total hysterectomy and bilateral salpingo-oophorectomy (removal of the entire uterus, </w:t>
            </w:r>
            <w:r w:rsidRPr="00CB2EC4">
              <w:rPr>
                <w:rFonts w:ascii="Times New Roman" w:hAnsi="Times New Roman" w:cs="Times New Roman"/>
              </w:rPr>
              <w:lastRenderedPageBreak/>
              <w:t xml:space="preserve">both fallopian tubes, and both ovaries).  </w:t>
            </w:r>
            <w:r w:rsidRPr="00CB2EC4">
              <w:rPr>
                <w:rFonts w:ascii="Times New Roman" w:hAnsi="Times New Roman" w:cs="Times New Roman"/>
              </w:rPr>
              <w:br/>
              <w:t xml:space="preserve">- Additional steps:  </w:t>
            </w:r>
            <w:r w:rsidRPr="00CB2EC4">
              <w:rPr>
                <w:rFonts w:ascii="Times New Roman" w:hAnsi="Times New Roman" w:cs="Times New Roman"/>
              </w:rPr>
              <w:br/>
              <w:t xml:space="preserve">  → Omentectomy (removal of the omentum below the transverse colon).  </w:t>
            </w:r>
            <w:r w:rsidRPr="00CB2EC4">
              <w:rPr>
                <w:rFonts w:ascii="Times New Roman" w:hAnsi="Times New Roman" w:cs="Times New Roman"/>
              </w:rPr>
              <w:br/>
              <w:t xml:space="preserve">  → Selective retroperitoneal lymph node dissection (performed as routine examination).  </w:t>
            </w:r>
            <w:r w:rsidRPr="00CB2EC4">
              <w:rPr>
                <w:rFonts w:ascii="Times New Roman" w:hAnsi="Times New Roman" w:cs="Times New Roman"/>
              </w:rPr>
              <w:br/>
              <w:t xml:space="preserve">  → For stage II patients (with pelvic metastases), resection of involved pelvic peritoneum and metastatic lesions is required simultaneously.  </w:t>
            </w:r>
            <w:r w:rsidRPr="00CB2EC4">
              <w:rPr>
                <w:rFonts w:ascii="Times New Roman" w:hAnsi="Times New Roman" w:cs="Times New Roman"/>
              </w:rPr>
              <w:br/>
              <w:t xml:space="preserve">- Surgical objective: to ensure complete removal of the primary tumor and metastatic foci to improve efficacy. The document emphasizes that this is the most fundamental and effective treatment, especially for early-stage patients.  </w:t>
            </w:r>
            <w:r w:rsidRPr="00CB2EC4">
              <w:rPr>
                <w:rFonts w:ascii="Times New Roman" w:hAnsi="Times New Roman" w:cs="Times New Roman"/>
              </w:rPr>
              <w:br/>
              <w:t>In summary, the standard surgery includes total hysterectomy, bilateral salpingo-oophorectomy, omentectomy, and selective retroperitoneal lymph node dissection; stage II cases require additional resection of involved pelvic tissues.</w:t>
            </w:r>
          </w:p>
        </w:tc>
        <w:tc>
          <w:tcPr>
            <w:tcW w:w="1152" w:type="dxa"/>
            <w:vAlign w:val="center"/>
          </w:tcPr>
          <w:p w14:paraId="0F2E94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902D71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D02CA1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6600D4C" w14:textId="77777777">
        <w:tc>
          <w:tcPr>
            <w:tcW w:w="2160" w:type="dxa"/>
            <w:vAlign w:val="center"/>
          </w:tcPr>
          <w:p w14:paraId="6F2447D2"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5DE44331"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surgical approach for stage I or II fallopian tube cancer is:</w:t>
            </w:r>
            <w:r w:rsidRPr="00CB2EC4">
              <w:rPr>
                <w:rFonts w:ascii="Times New Roman" w:hAnsi="Times New Roman" w:cs="Times New Roman"/>
              </w:rPr>
              <w:br/>
            </w:r>
            <w:r w:rsidRPr="00CB2EC4">
              <w:rPr>
                <w:rFonts w:ascii="Times New Roman" w:hAnsi="Times New Roman" w:cs="Times New Roman"/>
              </w:rPr>
              <w:br/>
              <w:t>- Basic procedure: Total hysterectomy with bilateral salpingo-oophorectomy. As stated: "Total hysterectomy and bilateral adnexectomy (fallopian tubes and ovaries) is the most fundamental surgical procedure for early-stage (I, II) fallopian tube cancer."</w:t>
            </w:r>
            <w:r w:rsidRPr="00CB2EC4">
              <w:rPr>
                <w:rFonts w:ascii="Times New Roman" w:hAnsi="Times New Roman" w:cs="Times New Roman"/>
              </w:rPr>
              <w:br/>
              <w:t>- Additional steps:</w:t>
            </w:r>
            <w:r w:rsidRPr="00CB2EC4">
              <w:rPr>
                <w:rFonts w:ascii="Times New Roman" w:hAnsi="Times New Roman" w:cs="Times New Roman"/>
              </w:rPr>
              <w:br/>
              <w:t xml:space="preserve">  → Omentectomy: Performed routinely.</w:t>
            </w:r>
            <w:r w:rsidRPr="00CB2EC4">
              <w:rPr>
                <w:rFonts w:ascii="Times New Roman" w:hAnsi="Times New Roman" w:cs="Times New Roman"/>
              </w:rPr>
              <w:br/>
              <w:t xml:space="preserve">  → Selective retroperitoneal lymph node dissection: For staging assessment.</w:t>
            </w:r>
            <w:r w:rsidRPr="00CB2EC4">
              <w:rPr>
                <w:rFonts w:ascii="Times New Roman" w:hAnsi="Times New Roman" w:cs="Times New Roman"/>
              </w:rPr>
              <w:br/>
              <w:t xml:space="preserve">  → For stage II patients: Resection of involved pelvic peritoneum and metastatic lesions is required concurrently. As noted: "Stage II patients with pelvic </w:t>
            </w:r>
            <w:r w:rsidRPr="00CB2EC4">
              <w:rPr>
                <w:rFonts w:ascii="Times New Roman" w:hAnsi="Times New Roman" w:cs="Times New Roman"/>
              </w:rPr>
              <w:lastRenderedPageBreak/>
              <w:t>metastases require simultaneous resection of involved pelvic peritoneum and metastatic lesions."</w:t>
            </w:r>
            <w:r w:rsidRPr="00CB2EC4">
              <w:rPr>
                <w:rFonts w:ascii="Times New Roman" w:hAnsi="Times New Roman" w:cs="Times New Roman"/>
              </w:rPr>
              <w:br/>
              <w:t>Furthermore, thorough exploration and staging are emphasized: "In addition to total hysterectomy and bilateral adnexectomy, this includes omentectomy and selective retroperitoneal lymph node dissection."</w:t>
            </w:r>
            <w:r w:rsidRPr="00CB2EC4">
              <w:rPr>
                <w:rFonts w:ascii="Times New Roman" w:hAnsi="Times New Roman" w:cs="Times New Roman"/>
              </w:rPr>
              <w:br/>
              <w:t>In summary, the standard surgery consists of total hysterectomy + bilateral salpingo-oophorectomy + omentectomy + selective retroperitoneal lymph node dissection; for stage II, resection of involved pelvic peritoneum and metastatic foci is added.</w:t>
            </w:r>
          </w:p>
        </w:tc>
        <w:tc>
          <w:tcPr>
            <w:tcW w:w="1152" w:type="dxa"/>
            <w:vAlign w:val="center"/>
          </w:tcPr>
          <w:p w14:paraId="18F28B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BCCC9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4C26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731FBF8" w14:textId="77777777">
        <w:tc>
          <w:tcPr>
            <w:tcW w:w="2160" w:type="dxa"/>
            <w:vAlign w:val="center"/>
          </w:tcPr>
          <w:p w14:paraId="2DEAC46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27D41D7"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surgical approach for stage I or II fallopian tube cancer is total hysterectomy with bilateral salpingo-oophorectomy (including fallopian tubes and ovaries), supplemented by omentectomy and lymph node sampling. Specific details include:</w:t>
            </w:r>
            <w:r w:rsidRPr="00CB2EC4">
              <w:rPr>
                <w:rFonts w:ascii="Times New Roman" w:hAnsi="Times New Roman" w:cs="Times New Roman"/>
              </w:rPr>
              <w:br/>
              <w:t>- For stage I: "Total hysterectomy with bilateral salpingo-oophorectomy, along with omentectomy" (source context: [HyDE similarity: 0.621]).</w:t>
            </w:r>
            <w:r w:rsidRPr="00CB2EC4">
              <w:rPr>
                <w:rFonts w:ascii="Times New Roman" w:hAnsi="Times New Roman" w:cs="Times New Roman"/>
              </w:rPr>
              <w:br/>
              <w:t>- For stage II: "Total hysterectomy, bilateral adnexa, omentum, and resection of pelvic spread lesions and appendix" as well as "selective para-aortic lymph node dissection and routine pelvic lymph node dissection" (source context: [HyDE similarity: 0.621]).</w:t>
            </w:r>
            <w:r w:rsidRPr="00CB2EC4">
              <w:rPr>
                <w:rFonts w:ascii="Times New Roman" w:hAnsi="Times New Roman" w:cs="Times New Roman"/>
              </w:rPr>
              <w:br/>
              <w:t>- The document also emphasizes: "The most basic surgical procedure for early-stage (I, II) fallopian tube cancer is total hysterectomy and bilateral salpingo-oophorectomy" (source context: [HyDE similarity: 0.513]).</w:t>
            </w:r>
            <w:r w:rsidRPr="00CB2EC4">
              <w:rPr>
                <w:rFonts w:ascii="Times New Roman" w:hAnsi="Times New Roman" w:cs="Times New Roman"/>
              </w:rPr>
              <w:br/>
              <w:t>Therefore, the standard surgery includes removal of the total uterus, bilateral adnexa (fallopian tubes and ovaries), omentum, and lymph node sampling for accurate staging.</w:t>
            </w:r>
          </w:p>
        </w:tc>
        <w:tc>
          <w:tcPr>
            <w:tcW w:w="1152" w:type="dxa"/>
            <w:vAlign w:val="center"/>
          </w:tcPr>
          <w:p w14:paraId="3A53A5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5F59C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A7DCD1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F229B09" w14:textId="77777777">
        <w:tc>
          <w:tcPr>
            <w:tcW w:w="2160" w:type="dxa"/>
            <w:vAlign w:val="center"/>
          </w:tcPr>
          <w:p w14:paraId="139C224D"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Query Transformation</w:t>
            </w:r>
          </w:p>
        </w:tc>
        <w:tc>
          <w:tcPr>
            <w:tcW w:w="5040" w:type="dxa"/>
            <w:vAlign w:val="center"/>
          </w:tcPr>
          <w:p w14:paraId="67DCA934"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surgical approach for stage I or II fallopian tube cancer is:</w:t>
            </w:r>
            <w:r w:rsidRPr="00CB2EC4">
              <w:rPr>
                <w:rFonts w:ascii="Times New Roman" w:hAnsi="Times New Roman" w:cs="Times New Roman"/>
              </w:rPr>
              <w:br/>
            </w:r>
            <w:r w:rsidRPr="00CB2EC4">
              <w:rPr>
                <w:rFonts w:ascii="Times New Roman" w:hAnsi="Times New Roman" w:cs="Times New Roman"/>
              </w:rPr>
              <w:br/>
              <w:t>- Total hysterectomy and bilateral salpingo-oophorectomy is the fundamental procedure for early-stage (I, II) fallopian tube cancer.</w:t>
            </w:r>
            <w:r w:rsidRPr="00CB2EC4">
              <w:rPr>
                <w:rFonts w:ascii="Times New Roman" w:hAnsi="Times New Roman" w:cs="Times New Roman"/>
              </w:rPr>
              <w:br/>
              <w:t>- In addition to total hysterectomy and bilateral salpingo-oophorectomy, the surgery includes omentectomy and selective retroperitoneal lymph node dissection.</w:t>
            </w:r>
            <w:r w:rsidRPr="00CB2EC4">
              <w:rPr>
                <w:rFonts w:ascii="Times New Roman" w:hAnsi="Times New Roman" w:cs="Times New Roman"/>
              </w:rPr>
              <w:br/>
              <w:t>- For stage II patients with pelvic metastasis, resection of involved pelvic peritoneum and metastatic lesions is also required.</w:t>
            </w:r>
            <w:r w:rsidRPr="00CB2EC4">
              <w:rPr>
                <w:rFonts w:ascii="Times New Roman" w:hAnsi="Times New Roman" w:cs="Times New Roman"/>
              </w:rPr>
              <w:br/>
            </w:r>
            <w:r w:rsidRPr="00CB2EC4">
              <w:rPr>
                <w:rFonts w:ascii="Times New Roman" w:hAnsi="Times New Roman" w:cs="Times New Roman"/>
              </w:rPr>
              <w:br/>
              <w:t>Summary: The standard surgical method is total hysterectomy with bilateral salpingo-oophorectomy, supplemented by omentectomy and selective retroperitoneal lymph node dissection; stage II patients require additional resection of involved pelvic peritoneum and metastatic foci.</w:t>
            </w:r>
          </w:p>
        </w:tc>
        <w:tc>
          <w:tcPr>
            <w:tcW w:w="1152" w:type="dxa"/>
            <w:vAlign w:val="center"/>
          </w:tcPr>
          <w:p w14:paraId="175429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D465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3D48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B0F876" w14:textId="77777777">
        <w:tc>
          <w:tcPr>
            <w:tcW w:w="2160" w:type="dxa"/>
            <w:vAlign w:val="center"/>
          </w:tcPr>
          <w:p w14:paraId="2DA28F4C"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060271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standard surgical approach for stage I or II fallopian tube cancer is total hysterectomy with bilateral salpingo-oophorectomy (removal of the uterus, both ovaries, and both fallopian tubes), supplemented by the following procedures:  </w:t>
            </w:r>
            <w:r w:rsidRPr="00CB2EC4">
              <w:rPr>
                <w:rFonts w:ascii="Times New Roman" w:hAnsi="Times New Roman" w:cs="Times New Roman"/>
              </w:rPr>
              <w:br/>
              <w:t xml:space="preserve">  - Omentectomy: resection of the omentum below the transverse colon to exclude metastasis.  </w:t>
            </w:r>
            <w:r w:rsidRPr="00CB2EC4">
              <w:rPr>
                <w:rFonts w:ascii="Times New Roman" w:hAnsi="Times New Roman" w:cs="Times New Roman"/>
              </w:rPr>
              <w:br/>
              <w:t xml:space="preserve">  - Selective retroperitoneal lymph node dissection: sampling or removal of pelvic and para-aortic lymph nodes for accurate staging.  </w:t>
            </w:r>
            <w:r w:rsidRPr="00CB2EC4">
              <w:rPr>
                <w:rFonts w:ascii="Times New Roman" w:hAnsi="Times New Roman" w:cs="Times New Roman"/>
              </w:rPr>
              <w:br/>
              <w:t xml:space="preserve">  - Additional management for stage II: if stage II patients have pelvic metastases (e.g., involvement of the pelvic peritoneum), resection of the affected pelvic peritoneum and metastatic lesions is required </w:t>
            </w:r>
            <w:r w:rsidRPr="00CB2EC4">
              <w:rPr>
                <w:rFonts w:ascii="Times New Roman" w:hAnsi="Times New Roman" w:cs="Times New Roman"/>
              </w:rPr>
              <w:lastRenderedPageBreak/>
              <w:t xml:space="preserve">concurrently.  </w:t>
            </w:r>
            <w:r w:rsidRPr="00CB2EC4">
              <w:rPr>
                <w:rFonts w:ascii="Times New Roman" w:hAnsi="Times New Roman" w:cs="Times New Roman"/>
              </w:rPr>
              <w:br/>
              <w:t xml:space="preserve">  - Exception for conservative surgery: only applicable to young patients desiring fertility preservation with IA1 stage disease (confined to the mucosal layer), where unilateral salpingectomy or unilateral adnexectomy may be performed; however, this is not the standard approach, which remains total hysterectomy with bilateral salpingo-oophorectomy.  </w:t>
            </w:r>
            <w:r w:rsidRPr="00CB2EC4">
              <w:rPr>
                <w:rFonts w:ascii="Times New Roman" w:hAnsi="Times New Roman" w:cs="Times New Roman"/>
              </w:rPr>
              <w:br/>
              <w:t xml:space="preserve">- Based on the provided text:  </w:t>
            </w:r>
            <w:r w:rsidRPr="00CB2EC4">
              <w:rPr>
                <w:rFonts w:ascii="Times New Roman" w:hAnsi="Times New Roman" w:cs="Times New Roman"/>
              </w:rPr>
              <w:br/>
              <w:t xml:space="preserve">  "Total hysterectomy with bilateral salpingo-oophorectomy is the fundamental surgical procedure for early-stage (I, II) fallopian tube cancer. In addition to total hysterectomy and bilateral salpingo-oophorectomy, it includes omentectomy, selective retroperitoneal lymph node dissection, and for stage II patients with pelvic metastases, simultaneous resection of involved pelvic peritoneum and metastatic lesions."  </w:t>
            </w:r>
            <w:r w:rsidRPr="00CB2EC4">
              <w:rPr>
                <w:rFonts w:ascii="Times New Roman" w:hAnsi="Times New Roman" w:cs="Times New Roman"/>
              </w:rPr>
              <w:br/>
              <w:t xml:space="preserve">  "Conservative surgery is only suitable for young patients requesting fertility preservation with IA1 stage disease (limited to the mucosal layer), negative peritoneal cytology or negative peritoneal washing fluid, undergoing conservative treatment (unilateral salpingectomy or unilateral adnexectomy only)..."</w:t>
            </w:r>
          </w:p>
        </w:tc>
        <w:tc>
          <w:tcPr>
            <w:tcW w:w="1152" w:type="dxa"/>
            <w:vAlign w:val="center"/>
          </w:tcPr>
          <w:p w14:paraId="13C82D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18AC9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6DDC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67DA13" w14:textId="77777777">
        <w:tc>
          <w:tcPr>
            <w:tcW w:w="2160" w:type="dxa"/>
            <w:vAlign w:val="center"/>
          </w:tcPr>
          <w:p w14:paraId="3138A3A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4EA2C61"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surgical method for stage I or II fallopian tube cancer is total hysterectomy with bilateral salpingo-oophorectomy, omentectomy, and selective retroperitoneal lymph node dissection; for stage II patients with pelvic metastasis, resection of the involved pelvic peritoneum and metastatic lesions is also required.</w:t>
            </w:r>
          </w:p>
        </w:tc>
        <w:tc>
          <w:tcPr>
            <w:tcW w:w="1152" w:type="dxa"/>
            <w:vAlign w:val="center"/>
          </w:tcPr>
          <w:p w14:paraId="06B57D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BA4FF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3D924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3565C8B" w14:textId="77777777">
        <w:tc>
          <w:tcPr>
            <w:tcW w:w="2160" w:type="dxa"/>
            <w:vAlign w:val="center"/>
          </w:tcPr>
          <w:p w14:paraId="7725CFAF"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09D630A"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surgical approach for stage I or II fallopian tube cancer is:</w:t>
            </w:r>
            <w:r w:rsidRPr="00CB2EC4">
              <w:rPr>
                <w:rFonts w:ascii="Times New Roman" w:hAnsi="Times New Roman" w:cs="Times New Roman"/>
              </w:rPr>
              <w:br/>
            </w:r>
            <w:r w:rsidRPr="00CB2EC4">
              <w:rPr>
                <w:rFonts w:ascii="Times New Roman" w:hAnsi="Times New Roman" w:cs="Times New Roman"/>
              </w:rPr>
              <w:lastRenderedPageBreak/>
              <w:br/>
              <w:t>- Total hysterectomy and bilateral salpingo-oophorectomy: removal of the entire uterus and both adnexa (fallopian tubes and ovaries).</w:t>
            </w:r>
            <w:r w:rsidRPr="00CB2EC4">
              <w:rPr>
                <w:rFonts w:ascii="Times New Roman" w:hAnsi="Times New Roman" w:cs="Times New Roman"/>
              </w:rPr>
              <w:br/>
              <w:t>- Omentectomy (infra-colic portion).</w:t>
            </w:r>
            <w:r w:rsidRPr="00CB2EC4">
              <w:rPr>
                <w:rFonts w:ascii="Times New Roman" w:hAnsi="Times New Roman" w:cs="Times New Roman"/>
              </w:rPr>
              <w:br/>
              <w:t>- Selective retroperitoneal lymph node dissection.</w:t>
            </w:r>
            <w:r w:rsidRPr="00CB2EC4">
              <w:rPr>
                <w:rFonts w:ascii="Times New Roman" w:hAnsi="Times New Roman" w:cs="Times New Roman"/>
              </w:rPr>
              <w:br/>
              <w:t>- For patients with stage II disease and pelvic metastases, concurrent resection of involved pelvic peritoneum and metastatic lesions is required.</w:t>
            </w:r>
            <w:r w:rsidRPr="00CB2EC4">
              <w:rPr>
                <w:rFonts w:ascii="Times New Roman" w:hAnsi="Times New Roman" w:cs="Times New Roman"/>
              </w:rPr>
              <w:br/>
            </w:r>
            <w:r w:rsidRPr="00CB2EC4">
              <w:rPr>
                <w:rFonts w:ascii="Times New Roman" w:hAnsi="Times New Roman" w:cs="Times New Roman"/>
              </w:rPr>
              <w:br/>
              <w:t>Source: The document states under "Primary Fallopian Tube Cancer": "Total hysterectomy and bilateral salpingo-oophorectomy is the most basic surgical procedure for early-stage (I, II) fallopian tube cancer. In addition to total hysterectomy and bilateral salpingo-oophorectomy, it includes omentectomy (infra-colic portion), selective retroperitoneal lymph node dissection, and for stage II patients with pelvic metastases, simultaneous resection of the involved pelvic peritoneum and metastatic lesions."</w:t>
            </w:r>
            <w:r w:rsidRPr="00CB2EC4">
              <w:rPr>
                <w:rFonts w:ascii="Times New Roman" w:hAnsi="Times New Roman" w:cs="Times New Roman"/>
              </w:rPr>
              <w:br/>
            </w:r>
            <w:r w:rsidRPr="00CB2EC4">
              <w:rPr>
                <w:rFonts w:ascii="Times New Roman" w:hAnsi="Times New Roman" w:cs="Times New Roman"/>
              </w:rPr>
              <w:br/>
              <w:t>Summary: The standard surgical method is total hysterectomy and bilateral salpingo-oophorectomy, supplemented by omentectomy and selective retroperitoneal lymph node dissection; stage II patients additionally require resection of involved pelvic peritoneum and metastatic lesions.</w:t>
            </w:r>
          </w:p>
        </w:tc>
        <w:tc>
          <w:tcPr>
            <w:tcW w:w="1152" w:type="dxa"/>
            <w:vAlign w:val="center"/>
          </w:tcPr>
          <w:p w14:paraId="30ED30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677FA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C68E8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9D0283" w14:textId="77777777">
        <w:tc>
          <w:tcPr>
            <w:tcW w:w="2160" w:type="dxa"/>
            <w:vAlign w:val="center"/>
          </w:tcPr>
          <w:p w14:paraId="632928F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D161DAB" w14:textId="77777777" w:rsidR="00922249" w:rsidRPr="00CB2EC4" w:rsidRDefault="003011D5">
            <w:pPr>
              <w:rPr>
                <w:rFonts w:ascii="Times New Roman" w:hAnsi="Times New Roman" w:cs="Times New Roman"/>
              </w:rPr>
            </w:pPr>
            <w:r w:rsidRPr="00CB2EC4">
              <w:rPr>
                <w:rFonts w:ascii="Times New Roman" w:hAnsi="Times New Roman" w:cs="Times New Roman"/>
              </w:rPr>
              <w:t>the standard surgical approach for stage I or II fallopian tube cancer is total hysterectomy with bilateral salpingo-oophorectomy, omentectomy, and selective retroperitoneal lymph node dissection; for stage II patients, resection of involved pelvic peritoneum and metastatic lesions is also required.</w:t>
            </w:r>
            <w:r w:rsidRPr="00CB2EC4">
              <w:rPr>
                <w:rFonts w:ascii="Times New Roman" w:hAnsi="Times New Roman" w:cs="Times New Roman"/>
              </w:rPr>
              <w:br/>
              <w:t xml:space="preserve">- Basis: Contextual information (document fragments </w:t>
            </w:r>
            <w:r w:rsidRPr="00CB2EC4">
              <w:rPr>
                <w:rFonts w:ascii="Times New Roman" w:hAnsi="Times New Roman" w:cs="Times New Roman"/>
              </w:rPr>
              <w:lastRenderedPageBreak/>
              <w:t>9 and 10) details the surgical principles for early-stage fallopian tube cancer.</w:t>
            </w:r>
            <w:r w:rsidRPr="00CB2EC4">
              <w:rPr>
                <w:rFonts w:ascii="Times New Roman" w:hAnsi="Times New Roman" w:cs="Times New Roman"/>
              </w:rPr>
              <w:br/>
              <w:t xml:space="preserve">  - Surgical steps:</w:t>
            </w:r>
            <w:r w:rsidRPr="00CB2EC4">
              <w:rPr>
                <w:rFonts w:ascii="Times New Roman" w:hAnsi="Times New Roman" w:cs="Times New Roman"/>
              </w:rPr>
              <w:br/>
              <w:t xml:space="preserve">    1. Staging exploration and surgical staging: After laparotomy, perform comprehensive exploration including peritoneal washings cytology, omentectomy, biopsy of suspicious sites, and lymph node sampling (fragment 9).</w:t>
            </w:r>
            <w:r w:rsidRPr="00CB2EC4">
              <w:rPr>
                <w:rFonts w:ascii="Times New Roman" w:hAnsi="Times New Roman" w:cs="Times New Roman"/>
              </w:rPr>
              <w:br/>
              <w:t xml:space="preserve">    2. Basic procedure: Remove total uterus, bilateral adnexa (fallopian tubes and ovaries), and omentum (below the transverse colon) (fragments 9 and 10).</w:t>
            </w:r>
            <w:r w:rsidRPr="00CB2EC4">
              <w:rPr>
                <w:rFonts w:ascii="Times New Roman" w:hAnsi="Times New Roman" w:cs="Times New Roman"/>
              </w:rPr>
              <w:br/>
              <w:t xml:space="preserve">    3. Additional procedure for stage II: If pelvic metastases are present, simultaneously resect involved pelvic peritoneum and metastatic lesions (fragment 9: "Stage II patients with pelvic metastases require concurrent resection of involved pelvic peritoneum and metastatic lesions").</w:t>
            </w:r>
            <w:r w:rsidRPr="00CB2EC4">
              <w:rPr>
                <w:rFonts w:ascii="Times New Roman" w:hAnsi="Times New Roman" w:cs="Times New Roman"/>
              </w:rPr>
              <w:br/>
              <w:t xml:space="preserve">    4. Lymph node management: Selective resection of retroperitoneal lymph nodes (fragment 9).</w:t>
            </w:r>
            <w:r w:rsidRPr="00CB2EC4">
              <w:rPr>
                <w:rFonts w:ascii="Times New Roman" w:hAnsi="Times New Roman" w:cs="Times New Roman"/>
              </w:rPr>
              <w:br/>
              <w:t xml:space="preserve">  - Purpose: Achieve complete tumor resection, ensure accurate staging, and reduce recurrence risk (fragment 10 emphasizes that "thorough surgical resection is the most fundamental treatment for fallopian tube cancer").</w:t>
            </w:r>
          </w:p>
        </w:tc>
        <w:tc>
          <w:tcPr>
            <w:tcW w:w="1152" w:type="dxa"/>
            <w:vAlign w:val="center"/>
          </w:tcPr>
          <w:p w14:paraId="147D05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B5A63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5B609A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09B33B4" w14:textId="77777777">
        <w:tc>
          <w:tcPr>
            <w:tcW w:w="2160" w:type="dxa"/>
            <w:vAlign w:val="center"/>
          </w:tcPr>
          <w:p w14:paraId="19765A4C"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6C72CF01" w14:textId="77777777" w:rsidR="00922249" w:rsidRPr="00CB2EC4" w:rsidRDefault="003011D5">
            <w:pPr>
              <w:rPr>
                <w:rFonts w:ascii="Times New Roman" w:hAnsi="Times New Roman" w:cs="Times New Roman"/>
              </w:rPr>
            </w:pPr>
            <w:r w:rsidRPr="00CB2EC4">
              <w:rPr>
                <w:rFonts w:ascii="Times New Roman" w:hAnsi="Times New Roman" w:cs="Times New Roman"/>
              </w:rPr>
              <w:t>what is the standard surgical method for stage I or II fallopian tube cancer</w:t>
            </w:r>
            <w:r w:rsidRPr="00CB2EC4">
              <w:rPr>
                <w:rFonts w:ascii="Times New Roman" w:hAnsi="Times New Roman" w:cs="Times New Roman"/>
              </w:rPr>
              <w:br/>
            </w:r>
            <w:r w:rsidRPr="00CB2EC4">
              <w:rPr>
                <w:rFonts w:ascii="Times New Roman" w:hAnsi="Times New Roman" w:cs="Times New Roman"/>
              </w:rPr>
              <w:br/>
              <w:t xml:space="preserve">no answer found in the knowledge base.  </w:t>
            </w:r>
            <w:r w:rsidRPr="00CB2EC4">
              <w:rPr>
                <w:rFonts w:ascii="Times New Roman" w:hAnsi="Times New Roman" w:cs="Times New Roman"/>
              </w:rPr>
              <w:br/>
              <w:t xml:space="preserve">explanation: the context from section 2 (original block 228-282) mentions "chapter ten surgical treatment of malignant tumors of the fallopian tube and broad ligament," including a section title for "primary fallopian tube cancer," but the actual text content does not detail the specific surgical methods (such as </w:t>
            </w:r>
            <w:r w:rsidRPr="00CB2EC4">
              <w:rPr>
                <w:rFonts w:ascii="Times New Roman" w:hAnsi="Times New Roman" w:cs="Times New Roman"/>
              </w:rPr>
              <w:lastRenderedPageBreak/>
              <w:t>surgical extent, steps, or standard procedures) for stage I or II fallopian tube cancer. the context mainly focuses on surgical treatments for other tumors such as ovarian cancer and cervical cancer, therefore it cannot provide the relevant information.</w:t>
            </w:r>
          </w:p>
        </w:tc>
        <w:tc>
          <w:tcPr>
            <w:tcW w:w="1152" w:type="dxa"/>
            <w:vAlign w:val="center"/>
          </w:tcPr>
          <w:p w14:paraId="0B7C38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78E5A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B35F8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543470C" w14:textId="77777777">
        <w:tc>
          <w:tcPr>
            <w:tcW w:w="2160" w:type="dxa"/>
            <w:vAlign w:val="center"/>
          </w:tcPr>
          <w:p w14:paraId="2D1B3C43"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08E38ED7" w14:textId="77777777" w:rsidR="00922249" w:rsidRPr="00CB2EC4" w:rsidRDefault="003011D5">
            <w:pPr>
              <w:rPr>
                <w:rFonts w:ascii="Times New Roman" w:hAnsi="Times New Roman" w:cs="Times New Roman"/>
              </w:rPr>
            </w:pPr>
            <w:r w:rsidRPr="00CB2EC4">
              <w:rPr>
                <w:rFonts w:ascii="Times New Roman" w:hAnsi="Times New Roman" w:cs="Times New Roman"/>
              </w:rPr>
              <w:t>standard surgical approach:</w:t>
            </w:r>
            <w:r w:rsidRPr="00CB2EC4">
              <w:rPr>
                <w:rFonts w:ascii="Times New Roman" w:hAnsi="Times New Roman" w:cs="Times New Roman"/>
              </w:rPr>
              <w:br/>
              <w:t>- Includes total hysterectomy, bilateral salpingo-oophorectomy, omentectomy, and pelvic lymph node dissection;</w:t>
            </w:r>
            <w:r w:rsidRPr="00CB2EC4">
              <w:rPr>
                <w:rFonts w:ascii="Times New Roman" w:hAnsi="Times New Roman" w:cs="Times New Roman"/>
              </w:rPr>
              <w:br/>
              <w:t>- For early-stage (Stage I or II) patients, peritoneal washings cytology is also performed to achieve complete staging and assess disease extent.</w:t>
            </w:r>
          </w:p>
        </w:tc>
        <w:tc>
          <w:tcPr>
            <w:tcW w:w="1152" w:type="dxa"/>
            <w:vAlign w:val="center"/>
          </w:tcPr>
          <w:p w14:paraId="1CEB7F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197C5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8632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6089801" w14:textId="77777777">
        <w:tc>
          <w:tcPr>
            <w:tcW w:w="10656" w:type="dxa"/>
            <w:gridSpan w:val="5"/>
            <w:tcBorders>
              <w:bottom w:val="single" w:sz="6" w:space="0" w:color="auto"/>
            </w:tcBorders>
            <w:vAlign w:val="center"/>
          </w:tcPr>
          <w:p w14:paraId="61098A3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189: What are the surgical steps for performing a hysterotomy with excision of a uterine lesion?</w:t>
            </w:r>
          </w:p>
        </w:tc>
      </w:tr>
      <w:tr w:rsidR="00922249" w:rsidRPr="00CB2EC4" w14:paraId="6C98CFFA" w14:textId="77777777">
        <w:tc>
          <w:tcPr>
            <w:tcW w:w="2160" w:type="dxa"/>
            <w:vAlign w:val="center"/>
          </w:tcPr>
          <w:p w14:paraId="52BC3C6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A65ED53"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available in the knowledge base regarding the surgical steps for "uterine lesion excision".</w:t>
            </w:r>
          </w:p>
        </w:tc>
        <w:tc>
          <w:tcPr>
            <w:tcW w:w="1152" w:type="dxa"/>
            <w:vAlign w:val="center"/>
          </w:tcPr>
          <w:p w14:paraId="534E3B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B507F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A4A39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00B537B" w14:textId="77777777">
        <w:tc>
          <w:tcPr>
            <w:tcW w:w="2160" w:type="dxa"/>
            <w:vAlign w:val="center"/>
          </w:tcPr>
          <w:p w14:paraId="3D6FADD8"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06D136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surgical steps for uterine lesion enucleation are not described in the knowledge base.  </w:t>
            </w:r>
            <w:r w:rsidRPr="00CB2EC4">
              <w:rPr>
                <w:rFonts w:ascii="Times New Roman" w:hAnsi="Times New Roman" w:cs="Times New Roman"/>
              </w:rPr>
              <w:br/>
              <w:t>- Note: The documents focus on hysterectomy procedures (e.g., segments 8, 11, 12) or excision of metastatic lesions (e.g., segment 25 mentions vaginal metastatic lesion enucleation), but do not cover the enucleation of localized uterine lesions.</w:t>
            </w:r>
          </w:p>
        </w:tc>
        <w:tc>
          <w:tcPr>
            <w:tcW w:w="1152" w:type="dxa"/>
            <w:vAlign w:val="center"/>
          </w:tcPr>
          <w:p w14:paraId="738E51B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5E30B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24A1B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CD0D07F" w14:textId="77777777">
        <w:tc>
          <w:tcPr>
            <w:tcW w:w="2160" w:type="dxa"/>
            <w:vAlign w:val="center"/>
          </w:tcPr>
          <w:p w14:paraId="5D8E6D93"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C0E7CB7" w14:textId="77777777" w:rsidR="00922249" w:rsidRPr="00CB2EC4" w:rsidRDefault="003011D5">
            <w:pPr>
              <w:rPr>
                <w:rFonts w:ascii="Times New Roman" w:hAnsi="Times New Roman" w:cs="Times New Roman"/>
              </w:rPr>
            </w:pPr>
            <w:r w:rsidRPr="00CB2EC4">
              <w:rPr>
                <w:rFonts w:ascii="Times New Roman" w:hAnsi="Times New Roman" w:cs="Times New Roman"/>
              </w:rPr>
              <w:t>the surgical steps for uterine lesion enucleation are as follows, based on detailed descriptions from the source documents:</w:t>
            </w:r>
            <w:r w:rsidRPr="00CB2EC4">
              <w:rPr>
                <w:rFonts w:ascii="Times New Roman" w:hAnsi="Times New Roman" w:cs="Times New Roman"/>
              </w:rPr>
              <w:br/>
            </w:r>
            <w:r w:rsidRPr="00CB2EC4">
              <w:rPr>
                <w:rFonts w:ascii="Times New Roman" w:hAnsi="Times New Roman" w:cs="Times New Roman"/>
              </w:rPr>
              <w:br/>
              <w:t xml:space="preserve">1.  incision and exploration:  </w:t>
            </w:r>
            <w:r w:rsidRPr="00CB2EC4">
              <w:rPr>
                <w:rFonts w:ascii="Times New Roman" w:hAnsi="Times New Roman" w:cs="Times New Roman"/>
              </w:rPr>
              <w:br/>
              <w:t xml:space="preserve">    → enter the abdominal cavity via a midline lower abdominal incision.  </w:t>
            </w:r>
            <w:r w:rsidRPr="00CB2EC4">
              <w:rPr>
                <w:rFonts w:ascii="Times New Roman" w:hAnsi="Times New Roman" w:cs="Times New Roman"/>
              </w:rPr>
              <w:br/>
              <w:t xml:space="preserve">    → carefully examine the abdominal and pelvic organs, with particular focus on the internal reproductive organs and adjacent tissues (document </w:t>
            </w:r>
            <w:r w:rsidRPr="00CB2EC4">
              <w:rPr>
                <w:rFonts w:ascii="Times New Roman" w:hAnsi="Times New Roman" w:cs="Times New Roman"/>
              </w:rPr>
              <w:lastRenderedPageBreak/>
              <w:t>1).</w:t>
            </w:r>
            <w:r w:rsidRPr="00CB2EC4">
              <w:rPr>
                <w:rFonts w:ascii="Times New Roman" w:hAnsi="Times New Roman" w:cs="Times New Roman"/>
              </w:rPr>
              <w:br/>
            </w:r>
            <w:r w:rsidRPr="00CB2EC4">
              <w:rPr>
                <w:rFonts w:ascii="Times New Roman" w:hAnsi="Times New Roman" w:cs="Times New Roman"/>
              </w:rPr>
              <w:br/>
              <w:t xml:space="preserve">2.  lesion resection:  </w:t>
            </w:r>
            <w:r w:rsidRPr="00CB2EC4">
              <w:rPr>
                <w:rFonts w:ascii="Times New Roman" w:hAnsi="Times New Roman" w:cs="Times New Roman"/>
              </w:rPr>
              <w:br/>
              <w:t xml:space="preserve">    - make an incision through the seromuscular layer along the margin of the intrauterine tumor, including 0.5 to 1 cm of normal tissue.  </w:t>
            </w:r>
            <w:r w:rsidRPr="00CB2EC4">
              <w:rPr>
                <w:rFonts w:ascii="Times New Roman" w:hAnsi="Times New Roman" w:cs="Times New Roman"/>
              </w:rPr>
              <w:br/>
              <w:t xml:space="preserve">    - grasp the cut edge with tissue forceps, deepen the incision, and enucleate the lesion.  </w:t>
            </w:r>
            <w:r w:rsidRPr="00CB2EC4">
              <w:rPr>
                <w:rFonts w:ascii="Times New Roman" w:hAnsi="Times New Roman" w:cs="Times New Roman"/>
              </w:rPr>
              <w:br/>
              <w:t xml:space="preserve">    - perform the procedure gently to avoid squeezing the uterus (document 13).</w:t>
            </w:r>
            <w:r w:rsidRPr="00CB2EC4">
              <w:rPr>
                <w:rFonts w:ascii="Times New Roman" w:hAnsi="Times New Roman" w:cs="Times New Roman"/>
              </w:rPr>
              <w:br/>
            </w:r>
            <w:r w:rsidRPr="00CB2EC4">
              <w:rPr>
                <w:rFonts w:ascii="Times New Roman" w:hAnsi="Times New Roman" w:cs="Times New Roman"/>
              </w:rPr>
              <w:br/>
              <w:t xml:space="preserve">3.  adjuvant therapy:  </w:t>
            </w:r>
            <w:r w:rsidRPr="00CB2EC4">
              <w:rPr>
                <w:rFonts w:ascii="Times New Roman" w:hAnsi="Times New Roman" w:cs="Times New Roman"/>
              </w:rPr>
              <w:br/>
              <w:t xml:space="preserve">    - inject methotrexate 10 to 15 mg at multiple points around the muscular layer of the surgical bed (document 13).</w:t>
            </w:r>
            <w:r w:rsidRPr="00CB2EC4">
              <w:rPr>
                <w:rFonts w:ascii="Times New Roman" w:hAnsi="Times New Roman" w:cs="Times New Roman"/>
              </w:rPr>
              <w:br/>
            </w:r>
            <w:r w:rsidRPr="00CB2EC4">
              <w:rPr>
                <w:rFonts w:ascii="Times New Roman" w:hAnsi="Times New Roman" w:cs="Times New Roman"/>
              </w:rPr>
              <w:br/>
              <w:t xml:space="preserve">4.  suturing:  </w:t>
            </w:r>
            <w:r w:rsidRPr="00CB2EC4">
              <w:rPr>
                <w:rFonts w:ascii="Times New Roman" w:hAnsi="Times New Roman" w:cs="Times New Roman"/>
              </w:rPr>
              <w:br/>
              <w:t xml:space="preserve">    - use absorbable sutures to close the muscular layer and seromuscular layer separately with interrupted stitches.  </w:t>
            </w:r>
            <w:r w:rsidRPr="00CB2EC4">
              <w:rPr>
                <w:rFonts w:ascii="Times New Roman" w:hAnsi="Times New Roman" w:cs="Times New Roman"/>
              </w:rPr>
              <w:br/>
              <w:t xml:space="preserve">    - during suturing, ensure endometrium is not buried within the muscle layer to prevent future endometriosis (document 13).</w:t>
            </w:r>
            <w:r w:rsidRPr="00CB2EC4">
              <w:rPr>
                <w:rFonts w:ascii="Times New Roman" w:hAnsi="Times New Roman" w:cs="Times New Roman"/>
              </w:rPr>
              <w:br/>
            </w:r>
            <w:r w:rsidRPr="00CB2EC4">
              <w:rPr>
                <w:rFonts w:ascii="Times New Roman" w:hAnsi="Times New Roman" w:cs="Times New Roman"/>
              </w:rPr>
              <w:br/>
              <w:t xml:space="preserve">- overall objective:  </w:t>
            </w:r>
            <w:r w:rsidRPr="00CB2EC4">
              <w:rPr>
                <w:rFonts w:ascii="Times New Roman" w:hAnsi="Times New Roman" w:cs="Times New Roman"/>
              </w:rPr>
              <w:br/>
              <w:t xml:space="preserve">    this procedure aims to preserve the uterus (e.g., in young, nulliparous patients) by locally resecting chemoresistant lesions, thereby reducing chemotherapy duration (document 1).</w:t>
            </w:r>
          </w:p>
        </w:tc>
        <w:tc>
          <w:tcPr>
            <w:tcW w:w="1152" w:type="dxa"/>
            <w:vAlign w:val="center"/>
          </w:tcPr>
          <w:p w14:paraId="12D349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C7F3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7E665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10AC178" w14:textId="77777777">
        <w:tc>
          <w:tcPr>
            <w:tcW w:w="2160" w:type="dxa"/>
            <w:vAlign w:val="center"/>
          </w:tcPr>
          <w:p w14:paraId="41DB4851"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4721D6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answer was found in the knowledge base.  </w:t>
            </w:r>
            <w:r w:rsidRPr="00CB2EC4">
              <w:rPr>
                <w:rFonts w:ascii="Times New Roman" w:hAnsi="Times New Roman" w:cs="Times New Roman"/>
              </w:rPr>
              <w:br/>
              <w:t xml:space="preserve">Explanation:  </w:t>
            </w:r>
            <w:r w:rsidRPr="00CB2EC4">
              <w:rPr>
                <w:rFonts w:ascii="Times New Roman" w:hAnsi="Times New Roman" w:cs="Times New Roman"/>
              </w:rPr>
              <w:br/>
              <w:t xml:space="preserve">- The context (knowledge base documents and web search results) does not mention the specific content of "uterine lesion excision surgery." The knowledge </w:t>
            </w:r>
            <w:r w:rsidRPr="00CB2EC4">
              <w:rPr>
                <w:rFonts w:ascii="Times New Roman" w:hAnsi="Times New Roman" w:cs="Times New Roman"/>
              </w:rPr>
              <w:lastRenderedPageBreak/>
              <w:t xml:space="preserve">base documents discuss procedures such as hysterectomy and tumor debulking but do not describe "excision surgery" (which may be a typo or should be "resection" or "enucleation"). For example, the knowledge base contains general descriptions of "hysterectomy" or "lesion resection" but does not include specific steps for this particular procedure.  </w:t>
            </w:r>
            <w:r w:rsidRPr="00CB2EC4">
              <w:rPr>
                <w:rFonts w:ascii="Times New Roman" w:hAnsi="Times New Roman" w:cs="Times New Roman"/>
              </w:rPr>
              <w:br/>
              <w:t xml:space="preserve">- The web search results also contain no relevant information, with content mainly focusing on breast cancer and ovarian tumors.  </w:t>
            </w:r>
            <w:r w:rsidRPr="00CB2EC4">
              <w:rPr>
                <w:rFonts w:ascii="Times New Roman" w:hAnsi="Times New Roman" w:cs="Times New Roman"/>
              </w:rPr>
              <w:br/>
              <w:t>- Therefore, according to Rule 5, I cannot derive an answer from the context. It is recommended to provide more details or correct the terminology (e.g., whether it refers to uterine myomectomy).</w:t>
            </w:r>
          </w:p>
        </w:tc>
        <w:tc>
          <w:tcPr>
            <w:tcW w:w="1152" w:type="dxa"/>
            <w:vAlign w:val="center"/>
          </w:tcPr>
          <w:p w14:paraId="78DEA0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0FD194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64430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0378DC9" w14:textId="77777777">
        <w:tc>
          <w:tcPr>
            <w:tcW w:w="2160" w:type="dxa"/>
            <w:vAlign w:val="center"/>
          </w:tcPr>
          <w:p w14:paraId="04ACF3EF"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A16DB68" w14:textId="77777777" w:rsidR="00922249" w:rsidRPr="00CB2EC4" w:rsidRDefault="003011D5">
            <w:pPr>
              <w:rPr>
                <w:rFonts w:ascii="Times New Roman" w:hAnsi="Times New Roman" w:cs="Times New Roman"/>
              </w:rPr>
            </w:pPr>
            <w:r w:rsidRPr="00CB2EC4">
              <w:rPr>
                <w:rFonts w:ascii="Times New Roman" w:hAnsi="Times New Roman" w:cs="Times New Roman"/>
              </w:rPr>
              <w:t>the surgical steps for uterine lesion enucleation are as follows (for malignant trophoblastic tumors in young patients wishing to preserve the uterus):</w:t>
            </w:r>
            <w:r w:rsidRPr="00CB2EC4">
              <w:rPr>
                <w:rFonts w:ascii="Times New Roman" w:hAnsi="Times New Roman" w:cs="Times New Roman"/>
              </w:rPr>
              <w:br/>
            </w:r>
            <w:r w:rsidRPr="00CB2EC4">
              <w:rPr>
                <w:rFonts w:ascii="Times New Roman" w:hAnsi="Times New Roman" w:cs="Times New Roman"/>
              </w:rPr>
              <w:br/>
              <w:t xml:space="preserve">1. Incision and exploration:  </w:t>
            </w:r>
            <w:r w:rsidRPr="00CB2EC4">
              <w:rPr>
                <w:rFonts w:ascii="Times New Roman" w:hAnsi="Times New Roman" w:cs="Times New Roman"/>
              </w:rPr>
              <w:br/>
              <w:t xml:space="preserve">   → Enter the abdominal cavity via a lower midline abdominal incision.  </w:t>
            </w:r>
            <w:r w:rsidRPr="00CB2EC4">
              <w:rPr>
                <w:rFonts w:ascii="Times New Roman" w:hAnsi="Times New Roman" w:cs="Times New Roman"/>
              </w:rPr>
              <w:br/>
              <w:t xml:space="preserve">   → Carefully explore the abdominal and pelvic organs, with particular attention to the internal genital organs and adjacent tissues to determine the location of the lesion.</w:t>
            </w:r>
            <w:r w:rsidRPr="00CB2EC4">
              <w:rPr>
                <w:rFonts w:ascii="Times New Roman" w:hAnsi="Times New Roman" w:cs="Times New Roman"/>
              </w:rPr>
              <w:br/>
            </w:r>
            <w:r w:rsidRPr="00CB2EC4">
              <w:rPr>
                <w:rFonts w:ascii="Times New Roman" w:hAnsi="Times New Roman" w:cs="Times New Roman"/>
              </w:rPr>
              <w:br/>
              <w:t xml:space="preserve">2. Lesion localization:  </w:t>
            </w:r>
            <w:r w:rsidRPr="00CB2EC4">
              <w:rPr>
                <w:rFonts w:ascii="Times New Roman" w:hAnsi="Times New Roman" w:cs="Times New Roman"/>
              </w:rPr>
              <w:br/>
              <w:t xml:space="preserve">   → Preoperative imaging (such as ultrasound or pelvic arteriography) is used to determine the size, number, and location of the lesion.  </w:t>
            </w:r>
            <w:r w:rsidRPr="00CB2EC4">
              <w:rPr>
                <w:rFonts w:ascii="Times New Roman" w:hAnsi="Times New Roman" w:cs="Times New Roman"/>
              </w:rPr>
              <w:br/>
              <w:t xml:space="preserve">   → Intraoperative direct visualization confirms the lesion site.</w:t>
            </w:r>
            <w:r w:rsidRPr="00CB2EC4">
              <w:rPr>
                <w:rFonts w:ascii="Times New Roman" w:hAnsi="Times New Roman" w:cs="Times New Roman"/>
              </w:rPr>
              <w:br/>
            </w:r>
            <w:r w:rsidRPr="00CB2EC4">
              <w:rPr>
                <w:rFonts w:ascii="Times New Roman" w:hAnsi="Times New Roman" w:cs="Times New Roman"/>
              </w:rPr>
              <w:br/>
              <w:t xml:space="preserve">3. Lesion excision:  </w:t>
            </w:r>
            <w:r w:rsidRPr="00CB2EC4">
              <w:rPr>
                <w:rFonts w:ascii="Times New Roman" w:hAnsi="Times New Roman" w:cs="Times New Roman"/>
              </w:rPr>
              <w:br/>
            </w:r>
            <w:r w:rsidRPr="00CB2EC4">
              <w:rPr>
                <w:rFonts w:ascii="Times New Roman" w:hAnsi="Times New Roman" w:cs="Times New Roman"/>
              </w:rPr>
              <w:lastRenderedPageBreak/>
              <w:t xml:space="preserve">   → Make an incision in the normal myometrium surrounding the lesion.  </w:t>
            </w:r>
            <w:r w:rsidRPr="00CB2EC4">
              <w:rPr>
                <w:rFonts w:ascii="Times New Roman" w:hAnsi="Times New Roman" w:cs="Times New Roman"/>
              </w:rPr>
              <w:br/>
              <w:t xml:space="preserve">   → Use a scalpel or scissors to sharply dissect the lesion, ensuring complete removal (avoiding rupture).  </w:t>
            </w:r>
            <w:r w:rsidRPr="00CB2EC4">
              <w:rPr>
                <w:rFonts w:ascii="Times New Roman" w:hAnsi="Times New Roman" w:cs="Times New Roman"/>
              </w:rPr>
              <w:br/>
              <w:t xml:space="preserve">   → If the lesion is located on the serosal surface, dissect carefully to avoid injury to surrounding organs.</w:t>
            </w:r>
            <w:r w:rsidRPr="00CB2EC4">
              <w:rPr>
                <w:rFonts w:ascii="Times New Roman" w:hAnsi="Times New Roman" w:cs="Times New Roman"/>
              </w:rPr>
              <w:br/>
            </w:r>
            <w:r w:rsidRPr="00CB2EC4">
              <w:rPr>
                <w:rFonts w:ascii="Times New Roman" w:hAnsi="Times New Roman" w:cs="Times New Roman"/>
              </w:rPr>
              <w:br/>
              <w:t xml:space="preserve">4. Hemostasis and suturing:  </w:t>
            </w:r>
            <w:r w:rsidRPr="00CB2EC4">
              <w:rPr>
                <w:rFonts w:ascii="Times New Roman" w:hAnsi="Times New Roman" w:cs="Times New Roman"/>
              </w:rPr>
              <w:br/>
              <w:t xml:space="preserve">   → Achieve thorough hemostasis (using electrocoagulation or sutures).  </w:t>
            </w:r>
            <w:r w:rsidRPr="00CB2EC4">
              <w:rPr>
                <w:rFonts w:ascii="Times New Roman" w:hAnsi="Times New Roman" w:cs="Times New Roman"/>
              </w:rPr>
              <w:br/>
              <w:t xml:space="preserve">   → Close the uterine incision in layers with absorbable sutures, ensuring no active bleeding.</w:t>
            </w:r>
            <w:r w:rsidRPr="00CB2EC4">
              <w:rPr>
                <w:rFonts w:ascii="Times New Roman" w:hAnsi="Times New Roman" w:cs="Times New Roman"/>
              </w:rPr>
              <w:br/>
            </w:r>
            <w:r w:rsidRPr="00CB2EC4">
              <w:rPr>
                <w:rFonts w:ascii="Times New Roman" w:hAnsi="Times New Roman" w:cs="Times New Roman"/>
              </w:rPr>
              <w:br/>
              <w:t xml:space="preserve">5. Postoperative management:  </w:t>
            </w:r>
            <w:r w:rsidRPr="00CB2EC4">
              <w:rPr>
                <w:rFonts w:ascii="Times New Roman" w:hAnsi="Times New Roman" w:cs="Times New Roman"/>
              </w:rPr>
              <w:br/>
              <w:t xml:space="preserve">   → Irrigate the abdominal cavity, confirm hemostasis, then close the abdomen.</w:t>
            </w:r>
            <w:r w:rsidRPr="00CB2EC4">
              <w:rPr>
                <w:rFonts w:ascii="Times New Roman" w:hAnsi="Times New Roman" w:cs="Times New Roman"/>
              </w:rPr>
              <w:br/>
            </w:r>
            <w:r w:rsidRPr="00CB2EC4">
              <w:rPr>
                <w:rFonts w:ascii="Times New Roman" w:hAnsi="Times New Roman" w:cs="Times New Roman"/>
              </w:rPr>
              <w:br/>
              <w:t>- Note: This procedure is indicated for young, nulliparous patients with a single chemoresistant uterine lesion, low hCG levels, and minimal extrauterine metastatic disease. The document emphasizes that surgery should be performed after stabilization with chemotherapy (typically after 1–2 courses of chemotherapy).</w:t>
            </w:r>
            <w:r w:rsidRPr="00CB2EC4">
              <w:rPr>
                <w:rFonts w:ascii="Times New Roman" w:hAnsi="Times New Roman" w:cs="Times New Roman"/>
              </w:rPr>
              <w:br/>
            </w:r>
            <w:r w:rsidRPr="00CB2EC4">
              <w:rPr>
                <w:rFonts w:ascii="Times New Roman" w:hAnsi="Times New Roman" w:cs="Times New Roman"/>
              </w:rPr>
              <w:br/>
              <w:t>In summary, the steps include incision and exploration, lesion localization, sharp excision, hemostasis, and suturing.</w:t>
            </w:r>
          </w:p>
        </w:tc>
        <w:tc>
          <w:tcPr>
            <w:tcW w:w="1152" w:type="dxa"/>
            <w:vAlign w:val="center"/>
          </w:tcPr>
          <w:p w14:paraId="59EC1E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267F3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90497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ED81756" w14:textId="77777777">
        <w:tc>
          <w:tcPr>
            <w:tcW w:w="2160" w:type="dxa"/>
            <w:vAlign w:val="center"/>
          </w:tcPr>
          <w:p w14:paraId="2E473874"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D4D8B36"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Incision and exploration: Enter the abdominal cavity via a midline lower abdominal incision according to the method for hysterectomy, carefully examine the abdominal and pelvic organs, paying special attention to any metastatic lesions in the </w:t>
            </w:r>
            <w:r w:rsidRPr="00CB2EC4">
              <w:rPr>
                <w:rFonts w:ascii="Times New Roman" w:hAnsi="Times New Roman" w:cs="Times New Roman"/>
              </w:rPr>
              <w:lastRenderedPageBreak/>
              <w:t xml:space="preserve">internal reproductive organs and adjacent tissues.  </w:t>
            </w:r>
            <w:r w:rsidRPr="00CB2EC4">
              <w:rPr>
                <w:rFonts w:ascii="Times New Roman" w:hAnsi="Times New Roman" w:cs="Times New Roman"/>
              </w:rPr>
              <w:br/>
              <w:t xml:space="preserve">2. Exposure of the lesion: Expose the uterus and locate the position of the lesion.  </w:t>
            </w:r>
            <w:r w:rsidRPr="00CB2EC4">
              <w:rPr>
                <w:rFonts w:ascii="Times New Roman" w:hAnsi="Times New Roman" w:cs="Times New Roman"/>
              </w:rPr>
              <w:br/>
              <w:t xml:space="preserve">3. Incision and excision of the lesion:  </w:t>
            </w:r>
            <w:r w:rsidRPr="00CB2EC4">
              <w:rPr>
                <w:rFonts w:ascii="Times New Roman" w:hAnsi="Times New Roman" w:cs="Times New Roman"/>
              </w:rPr>
              <w:br/>
              <w:t xml:space="preserve">   - Incise the seromuscular layer of the uterus at the site of the lesion.  </w:t>
            </w:r>
            <w:r w:rsidRPr="00CB2EC4">
              <w:rPr>
                <w:rFonts w:ascii="Times New Roman" w:hAnsi="Times New Roman" w:cs="Times New Roman"/>
              </w:rPr>
              <w:br/>
              <w:t xml:space="preserve">   - Excise the lesion and immediately send it for frozen section examination.  </w:t>
            </w:r>
            <w:r w:rsidRPr="00CB2EC4">
              <w:rPr>
                <w:rFonts w:ascii="Times New Roman" w:hAnsi="Times New Roman" w:cs="Times New Roman"/>
              </w:rPr>
              <w:br/>
              <w:t xml:space="preserve">   - If the lesion is well-demarcated, incise along its margin and completely excise it.  </w:t>
            </w:r>
            <w:r w:rsidRPr="00CB2EC4">
              <w:rPr>
                <w:rFonts w:ascii="Times New Roman" w:hAnsi="Times New Roman" w:cs="Times New Roman"/>
              </w:rPr>
              <w:br/>
              <w:t xml:space="preserve">   - If the lesion is poorly demarcated, incise at the surrounding normal tissue to ensure complete resection.  </w:t>
            </w:r>
            <w:r w:rsidRPr="00CB2EC4">
              <w:rPr>
                <w:rFonts w:ascii="Times New Roman" w:hAnsi="Times New Roman" w:cs="Times New Roman"/>
              </w:rPr>
              <w:br/>
              <w:t xml:space="preserve">4. Closure: Suture the uterine incision after excision.  </w:t>
            </w:r>
            <w:r w:rsidRPr="00CB2EC4">
              <w:rPr>
                <w:rFonts w:ascii="Times New Roman" w:hAnsi="Times New Roman" w:cs="Times New Roman"/>
              </w:rPr>
              <w:br/>
            </w:r>
            <w:r w:rsidRPr="00CB2EC4">
              <w:rPr>
                <w:rFonts w:ascii="Times New Roman" w:hAnsi="Times New Roman" w:cs="Times New Roman"/>
              </w:rPr>
              <w:br/>
              <w:t>In summary, the steps include incision and exploration, uterine exposure, incision and excision of the lesion (with frozen section), management based on lesion demarcation, and closure of the incision.</w:t>
            </w:r>
          </w:p>
        </w:tc>
        <w:tc>
          <w:tcPr>
            <w:tcW w:w="1152" w:type="dxa"/>
            <w:vAlign w:val="center"/>
          </w:tcPr>
          <w:p w14:paraId="22E284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714A6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E506FA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CD975DD" w14:textId="77777777">
        <w:tc>
          <w:tcPr>
            <w:tcW w:w="2160" w:type="dxa"/>
            <w:vAlign w:val="center"/>
          </w:tcPr>
          <w:p w14:paraId="13040487"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C2E710F" w14:textId="77777777" w:rsidR="00922249" w:rsidRPr="00CB2EC4" w:rsidRDefault="003011D5">
            <w:pPr>
              <w:rPr>
                <w:rFonts w:ascii="Times New Roman" w:hAnsi="Times New Roman" w:cs="Times New Roman"/>
              </w:rPr>
            </w:pPr>
            <w:r w:rsidRPr="00CB2EC4">
              <w:rPr>
                <w:rFonts w:ascii="Times New Roman" w:hAnsi="Times New Roman" w:cs="Times New Roman"/>
              </w:rPr>
              <w:t>no information is available in the knowledge base regarding the surgical steps for "excision of uterine lesions". The provided documents focus on surgical procedures for ovarian cancer, fallopian tube cancer, and borderline tumors (such as tumor cytoreduction, adnexectomy), but do not mention or describe "uterine lesion excision" or similar techniques. Operations involving the uterus in the documents are limited to total hysterectomy or conservative hysterectomy (e.g., in ovarian cancer surgery), with no detailed steps for targeted excision of uterine lesions. Therefore, based on the given context, relevant information cannot be provided.</w:t>
            </w:r>
          </w:p>
        </w:tc>
        <w:tc>
          <w:tcPr>
            <w:tcW w:w="1152" w:type="dxa"/>
            <w:vAlign w:val="center"/>
          </w:tcPr>
          <w:p w14:paraId="3CB400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09357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F80D7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A124573" w14:textId="77777777">
        <w:tc>
          <w:tcPr>
            <w:tcW w:w="2160" w:type="dxa"/>
            <w:vAlign w:val="center"/>
          </w:tcPr>
          <w:p w14:paraId="1D8B89F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Query </w:t>
            </w:r>
            <w:r w:rsidRPr="00CB2EC4">
              <w:rPr>
                <w:rFonts w:ascii="Times New Roman" w:hAnsi="Times New Roman" w:cs="Times New Roman"/>
              </w:rPr>
              <w:lastRenderedPageBreak/>
              <w:t>Transformation</w:t>
            </w:r>
          </w:p>
        </w:tc>
        <w:tc>
          <w:tcPr>
            <w:tcW w:w="5040" w:type="dxa"/>
            <w:vAlign w:val="center"/>
          </w:tcPr>
          <w:p w14:paraId="0D39553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 xml:space="preserve">no information found in the provided documents </w:t>
            </w:r>
            <w:r w:rsidRPr="00CB2EC4">
              <w:rPr>
                <w:rFonts w:ascii="Times New Roman" w:hAnsi="Times New Roman" w:cs="Times New Roman"/>
              </w:rPr>
              <w:lastRenderedPageBreak/>
              <w:t xml:space="preserve">regarding the surgical steps for "uterine lesion excision". The available documents discuss procedures for ovarian cancer, peritoneal tumors, and salpingectomy, but do not contain details on uterine lesion excision or curettage techniques. A full hysterectomy is mentioned in document 8, but without step-by-step operative details.  </w:t>
            </w:r>
            <w:r w:rsidRPr="00CB2EC4">
              <w:rPr>
                <w:rFonts w:ascii="Times New Roman" w:hAnsi="Times New Roman" w:cs="Times New Roman"/>
              </w:rPr>
              <w:br/>
            </w:r>
            <w:r w:rsidRPr="00CB2EC4">
              <w:rPr>
                <w:rFonts w:ascii="Times New Roman" w:hAnsi="Times New Roman" w:cs="Times New Roman"/>
              </w:rPr>
              <w:br/>
              <w:t>knowledge base search: no matching content.</w:t>
            </w:r>
          </w:p>
        </w:tc>
        <w:tc>
          <w:tcPr>
            <w:tcW w:w="1152" w:type="dxa"/>
            <w:vAlign w:val="center"/>
          </w:tcPr>
          <w:p w14:paraId="6B8658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BFA16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44B5B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761842D" w14:textId="77777777">
        <w:tc>
          <w:tcPr>
            <w:tcW w:w="2160" w:type="dxa"/>
            <w:vAlign w:val="center"/>
          </w:tcPr>
          <w:p w14:paraId="69FF2903"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CD548E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Make an incision: Create a spindle-shaped incision on the mucosa parallel to the vaginal axis (if the lesion is ulcerated, make incisions on both sides of the ulcerated area).  </w:t>
            </w:r>
            <w:r w:rsidRPr="00CB2EC4">
              <w:rPr>
                <w:rFonts w:ascii="Times New Roman" w:hAnsi="Times New Roman" w:cs="Times New Roman"/>
              </w:rPr>
              <w:br/>
              <w:t xml:space="preserve">2. Dissection: Use vascular forceps to perform blunt dissection along both sides of the tumor mass. Note that there is a capsule (i.e., the venous wall) at the tumor site; avoid rupturing it to minimize bleeding.  </w:t>
            </w:r>
            <w:r w:rsidRPr="00CB2EC4">
              <w:rPr>
                <w:rFonts w:ascii="Times New Roman" w:hAnsi="Times New Roman" w:cs="Times New Roman"/>
              </w:rPr>
              <w:br/>
              <w:t xml:space="preserve">3. Clamp and resect: After dissecting to the upper and lower ends of the tumor where it connects to the veins, clamp these connection points first, then resect the tumor mass; otherwise, significant bleeding may occur.  </w:t>
            </w:r>
            <w:r w:rsidRPr="00CB2EC4">
              <w:rPr>
                <w:rFonts w:ascii="Times New Roman" w:hAnsi="Times New Roman" w:cs="Times New Roman"/>
              </w:rPr>
              <w:br/>
              <w:t xml:space="preserve">4. Manage special cases: For nodules that have ulcerated and bled without a distinct capsule, remove as much blood clot and tissue as possible, suture with catgut, apply compression, and supplement with chemotherapy (e.g., 5-FU) postoperatively.  </w:t>
            </w:r>
            <w:r w:rsidRPr="00CB2EC4">
              <w:rPr>
                <w:rFonts w:ascii="Times New Roman" w:hAnsi="Times New Roman" w:cs="Times New Roman"/>
              </w:rPr>
              <w:br/>
              <w:t xml:space="preserve">- Note: The document does not explicitly mention "uterine lesion excision," but the above steps describe the excision procedure for vaginal metastatic tumors; the principles may be analogous for similar uterine lesions. No additional details are provided for intrauterine lesions.  </w:t>
            </w:r>
            <w:r w:rsidRPr="00CB2EC4">
              <w:rPr>
                <w:rFonts w:ascii="Times New Roman" w:hAnsi="Times New Roman" w:cs="Times New Roman"/>
              </w:rPr>
              <w:br/>
              <w:t xml:space="preserve">- Based on the document excerpt:  </w:t>
            </w:r>
            <w:r w:rsidRPr="00CB2EC4">
              <w:rPr>
                <w:rFonts w:ascii="Times New Roman" w:hAnsi="Times New Roman" w:cs="Times New Roman"/>
              </w:rPr>
              <w:br/>
            </w:r>
            <w:r w:rsidRPr="00CB2EC4">
              <w:rPr>
                <w:rFonts w:ascii="Times New Roman" w:hAnsi="Times New Roman" w:cs="Times New Roman"/>
              </w:rPr>
              <w:lastRenderedPageBreak/>
              <w:t xml:space="preserve">  "During surgical resection, first make a spindle-shaped incision on the mucosa parallel to the vaginal axis (if ulceration has occurred, make incisions on both sides of the ulcerated area). Then use vascular forceps to perform blunt dissection along both sides of the tumor mass. At this point, a capsule can be observed at the tumor site—this is the venous wall. If this capsule remains intact, bleeding will be minimal. When dissecting reaches the upper and lower ends of the tumor where it connects to the veins, these connection points must be clamped first before resecting the tumor mass; otherwise, significant bleeding may occur. For individual nodules that have ulcerated and bled without a distinct capsule, making it difficult to enucleate the lesion, remove as much blood clot and tissue as possible from the ulcerated nodule, suture with catgut, apply compression, and supplement with systemic chemotherapy or local 5-FU injection postoperatively."</w:t>
            </w:r>
          </w:p>
        </w:tc>
        <w:tc>
          <w:tcPr>
            <w:tcW w:w="1152" w:type="dxa"/>
            <w:vAlign w:val="center"/>
          </w:tcPr>
          <w:p w14:paraId="1D5BC1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41873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90A33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50BA5223" w14:textId="77777777">
        <w:tc>
          <w:tcPr>
            <w:tcW w:w="2160" w:type="dxa"/>
            <w:vAlign w:val="center"/>
          </w:tcPr>
          <w:p w14:paraId="331882D2"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4E5F8F46" w14:textId="77777777" w:rsidR="00922249" w:rsidRPr="00CB2EC4" w:rsidRDefault="003011D5">
            <w:pPr>
              <w:rPr>
                <w:rFonts w:ascii="Times New Roman" w:hAnsi="Times New Roman" w:cs="Times New Roman"/>
              </w:rPr>
            </w:pPr>
            <w:r w:rsidRPr="00CB2EC4">
              <w:rPr>
                <w:rFonts w:ascii="Times New Roman" w:hAnsi="Times New Roman" w:cs="Times New Roman"/>
              </w:rPr>
              <w:t>surgical procedure steps for uterine lesion excision:</w:t>
            </w:r>
            <w:r w:rsidRPr="00CB2EC4">
              <w:rPr>
                <w:rFonts w:ascii="Times New Roman" w:hAnsi="Times New Roman" w:cs="Times New Roman"/>
              </w:rPr>
              <w:br/>
            </w:r>
            <w:r w:rsidRPr="00CB2EC4">
              <w:rPr>
                <w:rFonts w:ascii="Times New Roman" w:hAnsi="Times New Roman" w:cs="Times New Roman"/>
              </w:rPr>
              <w:br/>
              <w:t>1.  Incision and exploration: Enter the abdominal cavity via a lower midline abdominal incision. Carefully examine the abdominal and pelvic organs (paying particular attention to the internal genital organs and adjacent tissues) to confirm the location and extent of the lesion.</w:t>
            </w:r>
            <w:r w:rsidRPr="00CB2EC4">
              <w:rPr>
                <w:rFonts w:ascii="Times New Roman" w:hAnsi="Times New Roman" w:cs="Times New Roman"/>
              </w:rPr>
              <w:br/>
              <w:t>2.  Vascular occlusion: Use a toothed oval forceps to clamp both sides of the parametrial tissue and lift the uterus to temporarily block the uterine blood vessels (to prevent extravasation of tumor cells and reduce intraoperative bleeding).</w:t>
            </w:r>
            <w:r w:rsidRPr="00CB2EC4">
              <w:rPr>
                <w:rFonts w:ascii="Times New Roman" w:hAnsi="Times New Roman" w:cs="Times New Roman"/>
              </w:rPr>
              <w:br/>
              <w:t xml:space="preserve">3.  Lesion excision: Completely excise the tumor along the margin of the intrauterine tumor (including </w:t>
            </w:r>
            <w:r w:rsidRPr="00CB2EC4">
              <w:rPr>
                <w:rFonts w:ascii="Times New Roman" w:hAnsi="Times New Roman" w:cs="Times New Roman"/>
              </w:rPr>
              <w:lastRenderedPageBreak/>
              <w:t>0.5~1 cm of normal tissue). Ensure the excision margin adequately covers the lesion.</w:t>
            </w:r>
            <w:r w:rsidRPr="00CB2EC4">
              <w:rPr>
                <w:rFonts w:ascii="Times New Roman" w:hAnsi="Times New Roman" w:cs="Times New Roman"/>
              </w:rPr>
              <w:br/>
              <w:t>4.  Suturing and management: Suture the uterine incision to repair the wound surface.</w:t>
            </w:r>
            <w:r w:rsidRPr="00CB2EC4">
              <w:rPr>
                <w:rFonts w:ascii="Times New Roman" w:hAnsi="Times New Roman" w:cs="Times New Roman"/>
              </w:rPr>
              <w:br/>
              <w:t>5.  Lavage and closure: Irrigate the abdominal cavity to clear residual cells or fragments. Finally, close the abdomen to complete the surgery.</w:t>
            </w:r>
            <w:r w:rsidRPr="00CB2EC4">
              <w:rPr>
                <w:rFonts w:ascii="Times New Roman" w:hAnsi="Times New Roman" w:cs="Times New Roman"/>
              </w:rPr>
              <w:br/>
            </w:r>
            <w:r w:rsidRPr="00CB2EC4">
              <w:rPr>
                <w:rFonts w:ascii="Times New Roman" w:hAnsi="Times New Roman" w:cs="Times New Roman"/>
              </w:rPr>
              <w:br/>
              <w:t>This procedure is indicated for young, nulliparous patients with a single intrauterine drug-resistant lesion, low hCG levels, and mild extrauterine metastasis (as described in the document). Preoperative localization of the lesion must be performed using imaging (e.g., ultrasound or arteriography).</w:t>
            </w:r>
          </w:p>
        </w:tc>
        <w:tc>
          <w:tcPr>
            <w:tcW w:w="1152" w:type="dxa"/>
            <w:vAlign w:val="center"/>
          </w:tcPr>
          <w:p w14:paraId="43085A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27A4F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93CE8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CDE917F" w14:textId="77777777">
        <w:tc>
          <w:tcPr>
            <w:tcW w:w="2160" w:type="dxa"/>
            <w:vAlign w:val="center"/>
          </w:tcPr>
          <w:p w14:paraId="16EDE5A1"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F8F0DF5" w14:textId="77777777" w:rsidR="00922249" w:rsidRPr="00CB2EC4" w:rsidRDefault="003011D5">
            <w:pPr>
              <w:rPr>
                <w:rFonts w:ascii="Times New Roman" w:hAnsi="Times New Roman" w:cs="Times New Roman"/>
              </w:rPr>
            </w:pPr>
            <w:r w:rsidRPr="00CB2EC4">
              <w:rPr>
                <w:rFonts w:ascii="Times New Roman" w:hAnsi="Times New Roman" w:cs="Times New Roman"/>
              </w:rPr>
              <w:t>surgical procedure steps for uterine lesion enucleation:</w:t>
            </w:r>
            <w:r w:rsidRPr="00CB2EC4">
              <w:rPr>
                <w:rFonts w:ascii="Times New Roman" w:hAnsi="Times New Roman" w:cs="Times New Roman"/>
              </w:rPr>
              <w:br/>
            </w:r>
            <w:r w:rsidRPr="00CB2EC4">
              <w:rPr>
                <w:rFonts w:ascii="Times New Roman" w:hAnsi="Times New Roman" w:cs="Times New Roman"/>
              </w:rPr>
              <w:br/>
              <w:t>1.  Incision and exploration: Enter the abdominal cavity via a midline lower abdominal incision. Carefully explore the abdominal and pelvic organs, especially the internal genital organs and adjacent tissues.</w:t>
            </w:r>
            <w:r w:rsidRPr="00CB2EC4">
              <w:rPr>
                <w:rFonts w:ascii="Times New Roman" w:hAnsi="Times New Roman" w:cs="Times New Roman"/>
              </w:rPr>
              <w:br/>
              <w:t>2.  Lesion localization and incision: Make a spindle-shaped incision at the lesion site (if ulcerated, make incisions on both sides of the ulcerated area).</w:t>
            </w:r>
            <w:r w:rsidRPr="00CB2EC4">
              <w:rPr>
                <w:rFonts w:ascii="Times New Roman" w:hAnsi="Times New Roman" w:cs="Times New Roman"/>
              </w:rPr>
              <w:br/>
              <w:t>3.  Blunt dissection: Perform blunt dissection along both sides of the tumor mass using vascular forceps. Note that there is a capsule (venous wall) at the tumor site; avoid rupturing it to minimize bleeding.</w:t>
            </w:r>
            <w:r w:rsidRPr="00CB2EC4">
              <w:rPr>
                <w:rFonts w:ascii="Times New Roman" w:hAnsi="Times New Roman" w:cs="Times New Roman"/>
              </w:rPr>
              <w:br/>
              <w:t>4.  Clamping and resection: When dissecting to the upper and lower ends of the tumor where it connects to the veins, clamp first, then resect the tumor mass to prevent massive hemorrhage.</w:t>
            </w:r>
            <w:r w:rsidRPr="00CB2EC4">
              <w:rPr>
                <w:rFonts w:ascii="Times New Roman" w:hAnsi="Times New Roman" w:cs="Times New Roman"/>
              </w:rPr>
              <w:br/>
              <w:t xml:space="preserve">5.  Suturing and management: After complete </w:t>
            </w:r>
            <w:r w:rsidRPr="00CB2EC4">
              <w:rPr>
                <w:rFonts w:ascii="Times New Roman" w:hAnsi="Times New Roman" w:cs="Times New Roman"/>
              </w:rPr>
              <w:lastRenderedPageBreak/>
              <w:t>enucleation of the lesion, suture the wound surface; if bleeding occurs, combine with local injection of 5-FU or compression hemostasis.</w:t>
            </w:r>
            <w:r w:rsidRPr="00CB2EC4">
              <w:rPr>
                <w:rFonts w:ascii="Times New Roman" w:hAnsi="Times New Roman" w:cs="Times New Roman"/>
              </w:rPr>
              <w:br/>
              <w:t>-  Basis: The document states in the "Uterine Lesion Enucleation" section: "Make a spindle-shaped incision on the mucosa parallel to the vaginal axis... then use vascular forceps to perform blunt dissection along both sides of the tumor mass... When dissecting to the upper and lower ends of the tumor connected to the veins, clamping must be done first, followed by tumor resection... For individual nodules that have ulcerated and bled... the blood clot and tissue of the ulcerated nodule should be removed as much as possible, and sutured with catgut."</w:t>
            </w:r>
            <w:r w:rsidRPr="00CB2EC4">
              <w:rPr>
                <w:rFonts w:ascii="Times New Roman" w:hAnsi="Times New Roman" w:cs="Times New Roman"/>
              </w:rPr>
              <w:br/>
              <w:t>-  Summary: The steps include abdominal exploration, lesion localization, spindle-shaped incision, blunt dissection, clamped tumor resection, and final wound suturing.</w:t>
            </w:r>
          </w:p>
        </w:tc>
        <w:tc>
          <w:tcPr>
            <w:tcW w:w="1152" w:type="dxa"/>
            <w:vAlign w:val="center"/>
          </w:tcPr>
          <w:p w14:paraId="6E1739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0C1470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733E4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56FE60B" w14:textId="77777777">
        <w:tc>
          <w:tcPr>
            <w:tcW w:w="2160" w:type="dxa"/>
            <w:vAlign w:val="center"/>
          </w:tcPr>
          <w:p w14:paraId="3180B856"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22C972E" w14:textId="77777777" w:rsidR="00922249" w:rsidRPr="00CB2EC4" w:rsidRDefault="003011D5">
            <w:pPr>
              <w:rPr>
                <w:rFonts w:ascii="Times New Roman" w:hAnsi="Times New Roman" w:cs="Times New Roman"/>
              </w:rPr>
            </w:pPr>
            <w:r w:rsidRPr="00CB2EC4">
              <w:rPr>
                <w:rFonts w:ascii="Times New Roman" w:hAnsi="Times New Roman" w:cs="Times New Roman"/>
              </w:rPr>
              <w:t>the surgical steps for uterine lesion enucleation are as follows:</w:t>
            </w:r>
            <w:r w:rsidRPr="00CB2EC4">
              <w:rPr>
                <w:rFonts w:ascii="Times New Roman" w:hAnsi="Times New Roman" w:cs="Times New Roman"/>
              </w:rPr>
              <w:br/>
            </w:r>
            <w:r w:rsidRPr="00CB2EC4">
              <w:rPr>
                <w:rFonts w:ascii="Times New Roman" w:hAnsi="Times New Roman" w:cs="Times New Roman"/>
              </w:rPr>
              <w:br/>
              <w:t>- Enter the abdominal cavity via a midline lower abdominal incision, explore the abdominal and pelvic organs, clamp the parametrial tissues to block blood vessels, incise the seromuscular layer along the tumor margin, enucleate the lesion, inject methotrexate, and suture the muscular layer.</w:t>
            </w:r>
            <w:r w:rsidRPr="00CB2EC4">
              <w:rPr>
                <w:rFonts w:ascii="Times New Roman" w:hAnsi="Times New Roman" w:cs="Times New Roman"/>
              </w:rPr>
              <w:br/>
              <w:t xml:space="preserve">  - Detailed steps:</w:t>
            </w:r>
            <w:r w:rsidRPr="00CB2EC4">
              <w:rPr>
                <w:rFonts w:ascii="Times New Roman" w:hAnsi="Times New Roman" w:cs="Times New Roman"/>
              </w:rPr>
              <w:br/>
              <w:t xml:space="preserve">    1. Incision and exploration: Enter the abdominal cavity through a midline lower abdominal incision; carefully examine the abdominal and pelvic organs, with particular attention to the internal genital organs and adjacent tissues (Document Fragment 12).</w:t>
            </w:r>
            <w:r w:rsidRPr="00CB2EC4">
              <w:rPr>
                <w:rFonts w:ascii="Times New Roman" w:hAnsi="Times New Roman" w:cs="Times New Roman"/>
              </w:rPr>
              <w:br/>
              <w:t xml:space="preserve">    2. Vascular occlusion: Use toothed forceps to clamp </w:t>
            </w:r>
            <w:r w:rsidRPr="00CB2EC4">
              <w:rPr>
                <w:rFonts w:ascii="Times New Roman" w:hAnsi="Times New Roman" w:cs="Times New Roman"/>
              </w:rPr>
              <w:lastRenderedPageBreak/>
              <w:t>both sides of the parametrial tissues and lift the uterus to temporarily block the uterine vessels, preventing tumor cell dissemination and reducing bleeding (Document Fragment 12).</w:t>
            </w:r>
            <w:r w:rsidRPr="00CB2EC4">
              <w:rPr>
                <w:rFonts w:ascii="Times New Roman" w:hAnsi="Times New Roman" w:cs="Times New Roman"/>
              </w:rPr>
              <w:br/>
              <w:t xml:space="preserve">    3. Lesion resection: Incise the seromuscular layer along the margin of the intrauterine tumor (including 0.5–1 cm of normal tissue), grasp the cut edge with tissue forceps, deepen the incision, and enucleate the lesion; handle gently to avoid uterine compression (Document Fragment 12).</w:t>
            </w:r>
            <w:r w:rsidRPr="00CB2EC4">
              <w:rPr>
                <w:rFonts w:ascii="Times New Roman" w:hAnsi="Times New Roman" w:cs="Times New Roman"/>
              </w:rPr>
              <w:br/>
              <w:t xml:space="preserve">    4. Local therapy: Inject methotrexate 10–15 mg at multiple points around the muscular layer of the surgical bed (Document Fragment 12).</w:t>
            </w:r>
            <w:r w:rsidRPr="00CB2EC4">
              <w:rPr>
                <w:rFonts w:ascii="Times New Roman" w:hAnsi="Times New Roman" w:cs="Times New Roman"/>
              </w:rPr>
              <w:br/>
              <w:t xml:space="preserve">    5. Closure: Suture the muscular layer and seromuscular layer separately with interrupted absorbable sutures, taking care not to bury the endometrium within the muscular layer (Document Fragment 12).</w:t>
            </w:r>
            <w:r w:rsidRPr="00CB2EC4">
              <w:rPr>
                <w:rFonts w:ascii="Times New Roman" w:hAnsi="Times New Roman" w:cs="Times New Roman"/>
              </w:rPr>
              <w:br/>
              <w:t xml:space="preserve">    6. Postoperative management: Irrigate the pelvic and abdominal cavities, suture the abdominal wall; continue systemic chemotherapy postoperatively and strictly avoid pregnancy for 2 years (Document Fragment 12).</w:t>
            </w:r>
            <w:r w:rsidRPr="00CB2EC4">
              <w:rPr>
                <w:rFonts w:ascii="Times New Roman" w:hAnsi="Times New Roman" w:cs="Times New Roman"/>
              </w:rPr>
              <w:br/>
              <w:t xml:space="preserve">  - Precautions: This procedure is indicated for young, nulliparous patients with a single intrauterine chemoresistant lesion; multiple or large lesions are contraindicated due to increased risk of uterine rupture (Document Fragment 12).</w:t>
            </w:r>
          </w:p>
        </w:tc>
        <w:tc>
          <w:tcPr>
            <w:tcW w:w="1152" w:type="dxa"/>
            <w:vAlign w:val="center"/>
          </w:tcPr>
          <w:p w14:paraId="73B094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844B0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2C52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DB326F" w14:textId="77777777">
        <w:tc>
          <w:tcPr>
            <w:tcW w:w="2160" w:type="dxa"/>
            <w:vAlign w:val="center"/>
          </w:tcPr>
          <w:p w14:paraId="10D920B8"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4C8FBD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Incision and exploration: Enter the abdominal cavity via a midline lower abdominal incision; carefully examine the abdominal and pelvic organs to determine the location and extent of the lesion.  </w:t>
            </w:r>
            <w:r w:rsidRPr="00CB2EC4">
              <w:rPr>
                <w:rFonts w:ascii="Times New Roman" w:hAnsi="Times New Roman" w:cs="Times New Roman"/>
              </w:rPr>
              <w:br/>
              <w:t xml:space="preserve">2. Vascular occlusion: Grasp both sides of the parametrial tissue with a toothed clamp and lift the </w:t>
            </w:r>
            <w:r w:rsidRPr="00CB2EC4">
              <w:rPr>
                <w:rFonts w:ascii="Times New Roman" w:hAnsi="Times New Roman" w:cs="Times New Roman"/>
              </w:rPr>
              <w:lastRenderedPageBreak/>
              <w:t xml:space="preserve">uterus to temporarily block the uterine vessels, preventing tumor cell dissemination and reducing intraoperative bleeding.  </w:t>
            </w:r>
            <w:r w:rsidRPr="00CB2EC4">
              <w:rPr>
                <w:rFonts w:ascii="Times New Roman" w:hAnsi="Times New Roman" w:cs="Times New Roman"/>
              </w:rPr>
              <w:br/>
              <w:t xml:space="preserve">3. Incision and enucleation of the lesion: Make an incision through the seromuscular layer along the margin of the intrauterine tumor (including 0.5–1 cm of normal tissue); use tissue forceps to grasp the cut edge, deepen the incision, and gently enucleate the lesion (avoid squeezing the uterus).  </w:t>
            </w:r>
            <w:r w:rsidRPr="00CB2EC4">
              <w:rPr>
                <w:rFonts w:ascii="Times New Roman" w:hAnsi="Times New Roman" w:cs="Times New Roman"/>
              </w:rPr>
              <w:br/>
              <w:t xml:space="preserve">4. Local drug injection: Inject methotrexate (MTX) 10–15 mg at multiple points around the muscular layer of the wound bed to control residual tumor cells.  </w:t>
            </w:r>
            <w:r w:rsidRPr="00CB2EC4">
              <w:rPr>
                <w:rFonts w:ascii="Times New Roman" w:hAnsi="Times New Roman" w:cs="Times New Roman"/>
              </w:rPr>
              <w:br/>
              <w:t xml:space="preserve">5. Suturing: Use absorbable suture to separately perform interrupted suturing of the muscular layer and the seromuscular layer, taking care to avoid burying endometrium within the muscle layer (to prevent future endometriosis).  </w:t>
            </w:r>
            <w:r w:rsidRPr="00CB2EC4">
              <w:rPr>
                <w:rFonts w:ascii="Times New Roman" w:hAnsi="Times New Roman" w:cs="Times New Roman"/>
              </w:rPr>
              <w:br/>
              <w:t xml:space="preserve">6. Irrigation and abdominal closure: Irrigate the pelvic and abdominal cavities, then suture each layer of the abdominal wall.  </w:t>
            </w:r>
            <w:r w:rsidRPr="00CB2EC4">
              <w:rPr>
                <w:rFonts w:ascii="Times New Roman" w:hAnsi="Times New Roman" w:cs="Times New Roman"/>
              </w:rPr>
              <w:br/>
            </w:r>
            <w:r w:rsidRPr="00CB2EC4">
              <w:rPr>
                <w:rFonts w:ascii="Times New Roman" w:hAnsi="Times New Roman" w:cs="Times New Roman"/>
              </w:rPr>
              <w:br/>
              <w:t>Notes (based on context): Postoperative systemic chemotherapy is required; the number of chemotherapy cycles depends on the condition; strictly adhere to surgical indications (lesions should not be too numerous or large); use contraception for 2 years postoperatively, and manage any subsequent pregnancy as high-risk.</w:t>
            </w:r>
          </w:p>
        </w:tc>
        <w:tc>
          <w:tcPr>
            <w:tcW w:w="1152" w:type="dxa"/>
            <w:vAlign w:val="center"/>
          </w:tcPr>
          <w:p w14:paraId="5D71A4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BBAA3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23095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7AD89F0" w14:textId="77777777">
        <w:tc>
          <w:tcPr>
            <w:tcW w:w="2160" w:type="dxa"/>
            <w:vAlign w:val="center"/>
          </w:tcPr>
          <w:p w14:paraId="102AB959"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21549D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Incision  </w:t>
            </w:r>
            <w:r w:rsidRPr="00CB2EC4">
              <w:rPr>
                <w:rFonts w:ascii="Times New Roman" w:hAnsi="Times New Roman" w:cs="Times New Roman"/>
              </w:rPr>
              <w:br/>
              <w:t xml:space="preserve">Make an incision at the most superficial layer of the uterine wall, directly reaching the "pseudocapsule" layer of the lesion (e.g., myoma).  </w:t>
            </w:r>
            <w:r w:rsidRPr="00CB2EC4">
              <w:rPr>
                <w:rFonts w:ascii="Times New Roman" w:hAnsi="Times New Roman" w:cs="Times New Roman"/>
              </w:rPr>
              <w:br/>
              <w:t xml:space="preserve">- Enucleation  </w:t>
            </w:r>
            <w:r w:rsidRPr="00CB2EC4">
              <w:rPr>
                <w:rFonts w:ascii="Times New Roman" w:hAnsi="Times New Roman" w:cs="Times New Roman"/>
              </w:rPr>
              <w:br/>
              <w:t xml:space="preserve">Dissect along the natural plane of the pseudocapsule, </w:t>
            </w:r>
            <w:r w:rsidRPr="00CB2EC4">
              <w:rPr>
                <w:rFonts w:ascii="Times New Roman" w:hAnsi="Times New Roman" w:cs="Times New Roman"/>
              </w:rPr>
              <w:lastRenderedPageBreak/>
              <w:t xml:space="preserve">using traction and separation to completely remove the lesion.  </w:t>
            </w:r>
            <w:r w:rsidRPr="00CB2EC4">
              <w:rPr>
                <w:rFonts w:ascii="Times New Roman" w:hAnsi="Times New Roman" w:cs="Times New Roman"/>
              </w:rPr>
              <w:br/>
              <w:t xml:space="preserve">- Suturing  </w:t>
            </w:r>
            <w:r w:rsidRPr="00CB2EC4">
              <w:rPr>
                <w:rFonts w:ascii="Times New Roman" w:hAnsi="Times New Roman" w:cs="Times New Roman"/>
              </w:rPr>
              <w:br/>
              <w:t xml:space="preserve">This is the critical step. Suture the uterine defect in layers:  </w:t>
            </w:r>
            <w:r w:rsidRPr="00CB2EC4">
              <w:rPr>
                <w:rFonts w:ascii="Times New Roman" w:hAnsi="Times New Roman" w:cs="Times New Roman"/>
              </w:rPr>
              <w:br/>
              <w:t xml:space="preserve">  - Deep suturing: Close the dead space and achieve complete hemostasis.  </w:t>
            </w:r>
            <w:r w:rsidRPr="00CB2EC4">
              <w:rPr>
                <w:rFonts w:ascii="Times New Roman" w:hAnsi="Times New Roman" w:cs="Times New Roman"/>
              </w:rPr>
              <w:br/>
              <w:t xml:space="preserve">  - Superficial suturing: Restore a smooth serosal surface of the uterus, with the aim of minimizing postoperative adhesions.  </w:t>
            </w:r>
            <w:r w:rsidRPr="00CB2EC4">
              <w:rPr>
                <w:rFonts w:ascii="Times New Roman" w:hAnsi="Times New Roman" w:cs="Times New Roman"/>
              </w:rPr>
              <w:br/>
              <w:t xml:space="preserve">- Irrigation  </w:t>
            </w:r>
            <w:r w:rsidRPr="00CB2EC4">
              <w:rPr>
                <w:rFonts w:ascii="Times New Roman" w:hAnsi="Times New Roman" w:cs="Times New Roman"/>
              </w:rPr>
              <w:br/>
              <w:t xml:space="preserve">Flush the pelvic cavity, confirm no active bleeding, then close the abdomen.  </w:t>
            </w:r>
            <w:r w:rsidRPr="00CB2EC4">
              <w:rPr>
                <w:rFonts w:ascii="Times New Roman" w:hAnsi="Times New Roman" w:cs="Times New Roman"/>
              </w:rPr>
              <w:br/>
              <w:t xml:space="preserve">- Core Principle  </w:t>
            </w:r>
            <w:r w:rsidRPr="00CB2EC4">
              <w:rPr>
                <w:rFonts w:ascii="Times New Roman" w:hAnsi="Times New Roman" w:cs="Times New Roman"/>
              </w:rPr>
              <w:br/>
              <w:t>Achieve complete resection of the lesion while meticulously reconstructing uterine anatomy to preserve fertility function.</w:t>
            </w:r>
          </w:p>
        </w:tc>
        <w:tc>
          <w:tcPr>
            <w:tcW w:w="1152" w:type="dxa"/>
            <w:vAlign w:val="center"/>
          </w:tcPr>
          <w:p w14:paraId="15BDE9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1C17E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7183B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563B12B" w14:textId="77777777">
        <w:tc>
          <w:tcPr>
            <w:tcW w:w="10656" w:type="dxa"/>
            <w:gridSpan w:val="5"/>
            <w:tcBorders>
              <w:bottom w:val="single" w:sz="6" w:space="0" w:color="auto"/>
            </w:tcBorders>
            <w:vAlign w:val="center"/>
          </w:tcPr>
          <w:p w14:paraId="479189E3"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190: What is the first-line chemotherapy regimen for patients with low-risk malignant gestational trophoblastic neoplasia?</w:t>
            </w:r>
          </w:p>
        </w:tc>
      </w:tr>
      <w:tr w:rsidR="00922249" w:rsidRPr="00CB2EC4" w14:paraId="48C23783" w14:textId="77777777">
        <w:tc>
          <w:tcPr>
            <w:tcW w:w="2160" w:type="dxa"/>
            <w:vAlign w:val="center"/>
          </w:tcPr>
          <w:p w14:paraId="4C908115"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EB4E0E3" w14:textId="77777777" w:rsidR="00922249" w:rsidRPr="00CB2EC4" w:rsidRDefault="003011D5">
            <w:pPr>
              <w:rPr>
                <w:rFonts w:ascii="Times New Roman" w:hAnsi="Times New Roman" w:cs="Times New Roman"/>
              </w:rPr>
            </w:pPr>
            <w:r w:rsidRPr="00CB2EC4">
              <w:rPr>
                <w:rFonts w:ascii="Times New Roman" w:hAnsi="Times New Roman" w:cs="Times New Roman"/>
              </w:rPr>
              <w:t>- Chemotherapy Regimen</w:t>
            </w:r>
            <w:r w:rsidRPr="00CB2EC4">
              <w:rPr>
                <w:rFonts w:ascii="Times New Roman" w:hAnsi="Times New Roman" w:cs="Times New Roman"/>
              </w:rPr>
              <w:br/>
              <w:t>The preferred chemotherapy regimen for patients with low-risk malignant trophoblastic tumors is:</w:t>
            </w:r>
            <w:r w:rsidRPr="00CB2EC4">
              <w:rPr>
                <w:rFonts w:ascii="Times New Roman" w:hAnsi="Times New Roman" w:cs="Times New Roman"/>
              </w:rPr>
              <w:br/>
              <w:t>- Single-agent methotrexate or actinomycin D.</w:t>
            </w:r>
            <w:r w:rsidRPr="00CB2EC4">
              <w:rPr>
                <w:rFonts w:ascii="Times New Roman" w:hAnsi="Times New Roman" w:cs="Times New Roman"/>
              </w:rPr>
              <w:br/>
            </w:r>
            <w:r w:rsidRPr="00CB2EC4">
              <w:rPr>
                <w:rFonts w:ascii="Times New Roman" w:hAnsi="Times New Roman" w:cs="Times New Roman"/>
              </w:rPr>
              <w:br/>
              <w:t>- Incision</w:t>
            </w:r>
            <w:r w:rsidRPr="00CB2EC4">
              <w:rPr>
                <w:rFonts w:ascii="Times New Roman" w:hAnsi="Times New Roman" w:cs="Times New Roman"/>
              </w:rPr>
              <w:br/>
              <w:t>Make an incision in the most superficial layer of the uterine wall to reach the "pseudocapsule" layer of the lesion (e.g., myoma).</w:t>
            </w:r>
            <w:r w:rsidRPr="00CB2EC4">
              <w:rPr>
                <w:rFonts w:ascii="Times New Roman" w:hAnsi="Times New Roman" w:cs="Times New Roman"/>
              </w:rPr>
              <w:br/>
            </w:r>
            <w:r w:rsidRPr="00CB2EC4">
              <w:rPr>
                <w:rFonts w:ascii="Times New Roman" w:hAnsi="Times New Roman" w:cs="Times New Roman"/>
              </w:rPr>
              <w:br/>
              <w:t>- Enucleation</w:t>
            </w:r>
            <w:r w:rsidRPr="00CB2EC4">
              <w:rPr>
                <w:rFonts w:ascii="Times New Roman" w:hAnsi="Times New Roman" w:cs="Times New Roman"/>
              </w:rPr>
              <w:br/>
              <w:t>Dissect along the natural cleavage plane of the "pseudocapsule," using traction and separation to completely remove the lesion intact.</w:t>
            </w:r>
            <w:r w:rsidRPr="00CB2EC4">
              <w:rPr>
                <w:rFonts w:ascii="Times New Roman" w:hAnsi="Times New Roman" w:cs="Times New Roman"/>
              </w:rPr>
              <w:br/>
            </w:r>
            <w:r w:rsidRPr="00CB2EC4">
              <w:rPr>
                <w:rFonts w:ascii="Times New Roman" w:hAnsi="Times New Roman" w:cs="Times New Roman"/>
              </w:rPr>
              <w:lastRenderedPageBreak/>
              <w:br/>
              <w:t>- Suturing</w:t>
            </w:r>
            <w:r w:rsidRPr="00CB2EC4">
              <w:rPr>
                <w:rFonts w:ascii="Times New Roman" w:hAnsi="Times New Roman" w:cs="Times New Roman"/>
              </w:rPr>
              <w:br/>
              <w:t>This is the critical step. Suture the uterine wound in layers:</w:t>
            </w:r>
            <w:r w:rsidRPr="00CB2EC4">
              <w:rPr>
                <w:rFonts w:ascii="Times New Roman" w:hAnsi="Times New Roman" w:cs="Times New Roman"/>
              </w:rPr>
              <w:br/>
              <w:t xml:space="preserve">  → Deep suturing: Close dead space and achieve complete hemostasis.</w:t>
            </w:r>
            <w:r w:rsidRPr="00CB2EC4">
              <w:rPr>
                <w:rFonts w:ascii="Times New Roman" w:hAnsi="Times New Roman" w:cs="Times New Roman"/>
              </w:rPr>
              <w:br/>
              <w:t xml:space="preserve">  → Superficial suturing: Restore a smooth serosal surface of the uterus to maximize prevention of postoperative adhesions.</w:t>
            </w:r>
            <w:r w:rsidRPr="00CB2EC4">
              <w:rPr>
                <w:rFonts w:ascii="Times New Roman" w:hAnsi="Times New Roman" w:cs="Times New Roman"/>
              </w:rPr>
              <w:br/>
            </w:r>
            <w:r w:rsidRPr="00CB2EC4">
              <w:rPr>
                <w:rFonts w:ascii="Times New Roman" w:hAnsi="Times New Roman" w:cs="Times New Roman"/>
              </w:rPr>
              <w:br/>
              <w:t>- Cleansing</w:t>
            </w:r>
            <w:r w:rsidRPr="00CB2EC4">
              <w:rPr>
                <w:rFonts w:ascii="Times New Roman" w:hAnsi="Times New Roman" w:cs="Times New Roman"/>
              </w:rPr>
              <w:br/>
              <w:t>Irrigate the pelvic cavity, confirm no bleeding, then close the abdomen.</w:t>
            </w:r>
          </w:p>
        </w:tc>
        <w:tc>
          <w:tcPr>
            <w:tcW w:w="1152" w:type="dxa"/>
            <w:vAlign w:val="center"/>
          </w:tcPr>
          <w:p w14:paraId="5C2451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85CA6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571C5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541E393" w14:textId="77777777">
        <w:tc>
          <w:tcPr>
            <w:tcW w:w="2160" w:type="dxa"/>
            <w:vAlign w:val="center"/>
          </w:tcPr>
          <w:p w14:paraId="5DD87B73"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504C2F8"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chemotherapy regimen for patients with low-risk malignant trophoblastic tumors is not specified in the knowledge base.</w:t>
            </w:r>
            <w:r w:rsidRPr="00CB2EC4">
              <w:rPr>
                <w:rFonts w:ascii="Times New Roman" w:hAnsi="Times New Roman" w:cs="Times New Roman"/>
              </w:rPr>
              <w:br/>
              <w:t>- Explanation: The documents mention chemotherapy for trophoblastic tumors (e.g., fragment 25 references "melphalan" and "cisplatin"), but do not clearly state the first-line regimen for low-risk patients. Fragments 24-25 only discuss the timing of surgery in coordination with chemotherapy (such as 1-2 cycles preoperatively) and do not specify concrete drug regimens.</w:t>
            </w:r>
          </w:p>
        </w:tc>
        <w:tc>
          <w:tcPr>
            <w:tcW w:w="1152" w:type="dxa"/>
            <w:vAlign w:val="center"/>
          </w:tcPr>
          <w:p w14:paraId="32B875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99079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68B9E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13A32361" w14:textId="77777777">
        <w:tc>
          <w:tcPr>
            <w:tcW w:w="2160" w:type="dxa"/>
            <w:vAlign w:val="center"/>
          </w:tcPr>
          <w:p w14:paraId="1BC44357"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358184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information found in the knowledge base to answer the question.  </w:t>
            </w:r>
            <w:r w:rsidRPr="00CB2EC4">
              <w:rPr>
                <w:rFonts w:ascii="Times New Roman" w:hAnsi="Times New Roman" w:cs="Times New Roman"/>
              </w:rPr>
              <w:br/>
              <w:t xml:space="preserve">- explanation: the document fragment 30 states that malignant trophoblastic tumors are primarily treated with high-dose chemotherapy, supplemented by surgery or radiotherapy. however, it does not specify the preferred chemotherapy regimen (e.g., drug names, dosages, or protocol types) for low-risk patients. fragments 1 and 30 only outline general </w:t>
            </w:r>
            <w:r w:rsidRPr="00CB2EC4">
              <w:rPr>
                <w:rFonts w:ascii="Times New Roman" w:hAnsi="Times New Roman" w:cs="Times New Roman"/>
              </w:rPr>
              <w:lastRenderedPageBreak/>
              <w:t>treatment principles and lack detailed chemotherapy information. therefore, no relevant data can be extracted from the provided documents.</w:t>
            </w:r>
          </w:p>
        </w:tc>
        <w:tc>
          <w:tcPr>
            <w:tcW w:w="1152" w:type="dxa"/>
            <w:vAlign w:val="center"/>
          </w:tcPr>
          <w:p w14:paraId="75A834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50E1FC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89693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6975A603" w14:textId="77777777">
        <w:tc>
          <w:tcPr>
            <w:tcW w:w="2160" w:type="dxa"/>
            <w:vAlign w:val="center"/>
          </w:tcPr>
          <w:p w14:paraId="74910518"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A7D6725"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knowledge base.</w:t>
            </w:r>
            <w:r w:rsidRPr="00CB2EC4">
              <w:rPr>
                <w:rFonts w:ascii="Times New Roman" w:hAnsi="Times New Roman" w:cs="Times New Roman"/>
              </w:rPr>
              <w:br/>
            </w:r>
            <w:r w:rsidRPr="00CB2EC4">
              <w:rPr>
                <w:rFonts w:ascii="Times New Roman" w:hAnsi="Times New Roman" w:cs="Times New Roman"/>
              </w:rPr>
              <w:br/>
              <w:t>explanation:</w:t>
            </w:r>
            <w:r w:rsidRPr="00CB2EC4">
              <w:rPr>
                <w:rFonts w:ascii="Times New Roman" w:hAnsi="Times New Roman" w:cs="Times New Roman"/>
              </w:rPr>
              <w:br/>
              <w:t>- the knowledge base document chapter 11 is titled "surgical and other treatments for malignant trophoblastic tumors", and section v is titled "chemotherapy", but the provided excerpt contains only headings and lacks specific details (e.g., drug names or regimens) for chemotherapy protocols.</w:t>
            </w:r>
            <w:r w:rsidRPr="00CB2EC4">
              <w:rPr>
                <w:rFonts w:ascii="Times New Roman" w:hAnsi="Times New Roman" w:cs="Times New Roman"/>
              </w:rPr>
              <w:br/>
              <w:t>- internet search results pertain to breast cancer and peritoneal tumors, with no relevant information on chemotherapy for malignant trophoblastic tumors.</w:t>
            </w:r>
            <w:r w:rsidRPr="00CB2EC4">
              <w:rPr>
                <w:rFonts w:ascii="Times New Roman" w:hAnsi="Times New Roman" w:cs="Times New Roman"/>
              </w:rPr>
              <w:br/>
              <w:t>- therefore, the context is insufficient to determine the preferred chemotherapy regimen for low-risk malignant trophoblastic tumor patients. refer to FIGO or NCCN guidelines for external information.</w:t>
            </w:r>
          </w:p>
        </w:tc>
        <w:tc>
          <w:tcPr>
            <w:tcW w:w="1152" w:type="dxa"/>
            <w:vAlign w:val="center"/>
          </w:tcPr>
          <w:p w14:paraId="37EAF9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C6C65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56CC9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A140EF4" w14:textId="77777777">
        <w:tc>
          <w:tcPr>
            <w:tcW w:w="2160" w:type="dxa"/>
            <w:vAlign w:val="center"/>
          </w:tcPr>
          <w:p w14:paraId="616EA7F7"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6D2E97A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no translation provided in the knowledge base.  </w:t>
            </w:r>
            <w:r w:rsidRPr="00CB2EC4">
              <w:rPr>
                <w:rFonts w:ascii="Times New Roman" w:hAnsi="Times New Roman" w:cs="Times New Roman"/>
              </w:rPr>
              <w:br/>
              <w:t xml:space="preserve">- the available document fragments (e.g., fragment 21 discussing chemotherapy for malignant trophoblastic tumors) primarily address high-risk patients or general chemotherapy regimens (such as those using DDP, VCR, BLM), but do not explicitly specify the preferred chemotherapy regimen for low-risk patients. fragment 21 mentions "low-risk patients are treated with single-agent chemotherapy as first-line," but does not detail the drug names or specific regimens. other fragments (e.g., fragment 25) discuss ovarian cancer chemotherapy and do not directly pertain to low-risk regimens for trophoblastic tumors. therefore, based on the available context, the preferred regimen cannot be </w:t>
            </w:r>
            <w:r w:rsidRPr="00CB2EC4">
              <w:rPr>
                <w:rFonts w:ascii="Times New Roman" w:hAnsi="Times New Roman" w:cs="Times New Roman"/>
              </w:rPr>
              <w:lastRenderedPageBreak/>
              <w:t xml:space="preserve">determined.  </w:t>
            </w:r>
            <w:r w:rsidRPr="00CB2EC4">
              <w:rPr>
                <w:rFonts w:ascii="Times New Roman" w:hAnsi="Times New Roman" w:cs="Times New Roman"/>
              </w:rPr>
              <w:br/>
              <w:t>recommendation: for specific regimens, refer to more comprehensive clinical guidelines or additional sources.</w:t>
            </w:r>
          </w:p>
        </w:tc>
        <w:tc>
          <w:tcPr>
            <w:tcW w:w="1152" w:type="dxa"/>
            <w:vAlign w:val="center"/>
          </w:tcPr>
          <w:p w14:paraId="2F7BE0B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3E68B5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20BCF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4B9ACC1" w14:textId="77777777">
        <w:tc>
          <w:tcPr>
            <w:tcW w:w="2160" w:type="dxa"/>
            <w:vAlign w:val="center"/>
          </w:tcPr>
          <w:p w14:paraId="5E8E749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A1AB4EC" w14:textId="77777777" w:rsidR="00922249" w:rsidRPr="00CB2EC4" w:rsidRDefault="003011D5">
            <w:pPr>
              <w:rPr>
                <w:rFonts w:ascii="Times New Roman" w:hAnsi="Times New Roman" w:cs="Times New Roman"/>
              </w:rPr>
            </w:pPr>
            <w:r w:rsidRPr="00CB2EC4">
              <w:rPr>
                <w:rFonts w:ascii="Times New Roman" w:hAnsi="Times New Roman" w:cs="Times New Roman"/>
              </w:rPr>
              <w:t>What is the preferred chemotherapy regimen for patients with low-risk malignant gestational trophoblastic neoplasia?</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The answer could not be found in the knowledge base.  </w:t>
            </w:r>
            <w:r w:rsidRPr="00CB2EC4">
              <w:rPr>
                <w:rFonts w:ascii="Times New Roman" w:hAnsi="Times New Roman" w:cs="Times New Roman"/>
              </w:rPr>
              <w:br/>
              <w:t>- Explanation: The contextual information pertains to the treatment of gestational trophoblastic neoplasia (e.g., Documents 19 and 21), but it does not explicitly specify the preferred chemotherapy regimen for low-risk malignant gestational trophoblastic neoplasia. Document 19 mentions that "for low-risk or non-metastatic patients who do not require fertility preservation, selective hysterectomy may be performed to shorten total hospitalization time and chemotherapy cycles, as well as reduce the total chemotherapy drug dosage," but it does not describe specific chemotherapy regimens. Document 21 discusses the application of chemotherapy but does not differentiate between specific regimens for low-risk or high-risk cases. Other documents do not provide relevant details. Therefore, based on the provided context, the preferred chemotherapy regimen cannot be determined.</w:t>
            </w:r>
          </w:p>
        </w:tc>
        <w:tc>
          <w:tcPr>
            <w:tcW w:w="1152" w:type="dxa"/>
            <w:vAlign w:val="center"/>
          </w:tcPr>
          <w:p w14:paraId="0D9B77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05105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F56EC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3DEE9131" w14:textId="77777777">
        <w:tc>
          <w:tcPr>
            <w:tcW w:w="2160" w:type="dxa"/>
            <w:vAlign w:val="center"/>
          </w:tcPr>
          <w:p w14:paraId="02252BB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670A45B8"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chemotherapy regimen for patients with low-risk malignant trophoblastic tumors is the EMA-CO protocol, which consists of etoposide, methotrexate, actinomycin D, cyclophosphamide, and vincristine (Oncovin).</w:t>
            </w:r>
            <w:r w:rsidRPr="00CB2EC4">
              <w:rPr>
                <w:rFonts w:ascii="Times New Roman" w:hAnsi="Times New Roman" w:cs="Times New Roman"/>
              </w:rPr>
              <w:br/>
            </w:r>
            <w:r w:rsidRPr="00CB2EC4">
              <w:rPr>
                <w:rFonts w:ascii="Times New Roman" w:hAnsi="Times New Roman" w:cs="Times New Roman"/>
              </w:rPr>
              <w:lastRenderedPageBreak/>
              <w:br/>
              <w:t xml:space="preserve">response:  </w:t>
            </w:r>
            <w:r w:rsidRPr="00CB2EC4">
              <w:rPr>
                <w:rFonts w:ascii="Times New Roman" w:hAnsi="Times New Roman" w:cs="Times New Roman"/>
              </w:rPr>
              <w:br/>
              <w:t xml:space="preserve">  the preferred chemotherapy regimen for low-risk malignant trophoblastic tumors is EMA-CO.  </w:t>
            </w:r>
            <w:r w:rsidRPr="00CB2EC4">
              <w:rPr>
                <w:rFonts w:ascii="Times New Roman" w:hAnsi="Times New Roman" w:cs="Times New Roman"/>
              </w:rPr>
              <w:br/>
              <w:t xml:space="preserve">  → etoposide, methotrexate, actinomycin D, cyclophosphamide, vincristine (Oncovin)</w:t>
            </w:r>
          </w:p>
        </w:tc>
        <w:tc>
          <w:tcPr>
            <w:tcW w:w="1152" w:type="dxa"/>
            <w:vAlign w:val="center"/>
          </w:tcPr>
          <w:p w14:paraId="10219F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50130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9A0EE9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7B9F47A" w14:textId="77777777">
        <w:tc>
          <w:tcPr>
            <w:tcW w:w="2160" w:type="dxa"/>
            <w:vAlign w:val="center"/>
          </w:tcPr>
          <w:p w14:paraId="0444D953"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051F46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the provided document fragments, no information related to the preferred chemotherapy regimen for low-risk malignant trophoblastic tumors was found. Fragment 11 is titled "Chapter Eleven: Surgical and Other Treatments for Malignant Trophoblastic Tumors," but the specific content does not cover chemotherapy regimens; other fragments primarily focus on surgery rather than chemotherapy. Fragment 27's table of contents mentions "Chapter Eleven," but no details are provided.  </w:t>
            </w:r>
            <w:r w:rsidRPr="00CB2EC4">
              <w:rPr>
                <w:rFonts w:ascii="Times New Roman" w:hAnsi="Times New Roman" w:cs="Times New Roman"/>
              </w:rPr>
              <w:br/>
              <w:t>response: no answer found in the knowledge base.</w:t>
            </w:r>
          </w:p>
        </w:tc>
        <w:tc>
          <w:tcPr>
            <w:tcW w:w="1152" w:type="dxa"/>
            <w:vAlign w:val="center"/>
          </w:tcPr>
          <w:p w14:paraId="431B11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07776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20653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4A5EE325" w14:textId="77777777">
        <w:tc>
          <w:tcPr>
            <w:tcW w:w="2160" w:type="dxa"/>
            <w:vAlign w:val="center"/>
          </w:tcPr>
          <w:p w14:paraId="43E4C6CB"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AAB3C81" w14:textId="77777777" w:rsidR="00922249" w:rsidRPr="00CB2EC4" w:rsidRDefault="003011D5">
            <w:pPr>
              <w:rPr>
                <w:rFonts w:ascii="Times New Roman" w:hAnsi="Times New Roman" w:cs="Times New Roman"/>
              </w:rPr>
            </w:pPr>
            <w:r w:rsidRPr="00CB2EC4">
              <w:rPr>
                <w:rFonts w:ascii="Times New Roman" w:hAnsi="Times New Roman" w:cs="Times New Roman"/>
              </w:rPr>
              <w:t>no preferred chemotherapy regimen is explicitly specified for low-risk malignant trophoblastic tumor patients in the provided document. Therefore, the answer cannot be determined from the given context.</w:t>
            </w:r>
          </w:p>
        </w:tc>
        <w:tc>
          <w:tcPr>
            <w:tcW w:w="1152" w:type="dxa"/>
            <w:vAlign w:val="center"/>
          </w:tcPr>
          <w:p w14:paraId="563CE3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78FB04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0EDB5A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DD5F53E" w14:textId="77777777">
        <w:tc>
          <w:tcPr>
            <w:tcW w:w="2160" w:type="dxa"/>
            <w:vAlign w:val="center"/>
          </w:tcPr>
          <w:p w14:paraId="353CD89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A4EAE29" w14:textId="77777777" w:rsidR="00922249" w:rsidRPr="00CB2EC4" w:rsidRDefault="003011D5">
            <w:pPr>
              <w:rPr>
                <w:rFonts w:ascii="Times New Roman" w:hAnsi="Times New Roman" w:cs="Times New Roman"/>
              </w:rPr>
            </w:pPr>
            <w:r w:rsidRPr="00CB2EC4">
              <w:rPr>
                <w:rFonts w:ascii="Times New Roman" w:hAnsi="Times New Roman" w:cs="Times New Roman"/>
              </w:rPr>
              <w:t>no answer found in the provided documents.</w:t>
            </w:r>
          </w:p>
        </w:tc>
        <w:tc>
          <w:tcPr>
            <w:tcW w:w="1152" w:type="dxa"/>
            <w:vAlign w:val="center"/>
          </w:tcPr>
          <w:p w14:paraId="377C64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A326F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BDBE4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B82B135" w14:textId="77777777">
        <w:tc>
          <w:tcPr>
            <w:tcW w:w="2160" w:type="dxa"/>
            <w:vAlign w:val="center"/>
          </w:tcPr>
          <w:p w14:paraId="142E43B6"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DE85E14"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chemotherapy regimen for patients with low-risk malignant trophoblastic tumors is not specified in the knowledge base.</w:t>
            </w:r>
            <w:r w:rsidRPr="00CB2EC4">
              <w:rPr>
                <w:rFonts w:ascii="Times New Roman" w:hAnsi="Times New Roman" w:cs="Times New Roman"/>
              </w:rPr>
              <w:br/>
              <w:t xml:space="preserve">- reason: the document discusses chemotherapy for malignant trophoblastic tumors but does not explicitly designate the preferred regimen for low-risk patients. it mentions chemotherapy drugs such as 5-FU, actinomycin D, and methotrexate (e.g., "the drugs used include 5-FU, actinomycin D, methotrexate, etc."), and states that high-risk patients require comprehensive treatment (chemotherapy plus </w:t>
            </w:r>
            <w:r w:rsidRPr="00CB2EC4">
              <w:rPr>
                <w:rFonts w:ascii="Times New Roman" w:hAnsi="Times New Roman" w:cs="Times New Roman"/>
              </w:rPr>
              <w:lastRenderedPageBreak/>
              <w:t>surgery). however, the document does not differentiate between specific chemotherapy regimens for low-risk versus high-risk patients, nor does it provide a preferred regimen for low-risk patients (such as single-agent or combination therapy). therefore, based on the provided context, relevant information cannot be extracted.</w:t>
            </w:r>
          </w:p>
        </w:tc>
        <w:tc>
          <w:tcPr>
            <w:tcW w:w="1152" w:type="dxa"/>
            <w:vAlign w:val="center"/>
          </w:tcPr>
          <w:p w14:paraId="666E119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27A6808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99DF3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508E505" w14:textId="77777777">
        <w:tc>
          <w:tcPr>
            <w:tcW w:w="2160" w:type="dxa"/>
            <w:vAlign w:val="center"/>
          </w:tcPr>
          <w:p w14:paraId="5FD53CE2"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28D830B"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chemotherapy regimen for patients with low-risk malignant trophoblastic tumors is single-agent methotrexate.</w:t>
            </w:r>
            <w:r w:rsidRPr="00CB2EC4">
              <w:rPr>
                <w:rFonts w:ascii="Times New Roman" w:hAnsi="Times New Roman" w:cs="Times New Roman"/>
              </w:rPr>
              <w:br/>
            </w:r>
            <w:r w:rsidRPr="00CB2EC4">
              <w:rPr>
                <w:rFonts w:ascii="Times New Roman" w:hAnsi="Times New Roman" w:cs="Times New Roman"/>
              </w:rPr>
              <w:br/>
              <w:t>knowledge base cannot find the answer.</w:t>
            </w:r>
            <w:r w:rsidRPr="00CB2EC4">
              <w:rPr>
                <w:rFonts w:ascii="Times New Roman" w:hAnsi="Times New Roman" w:cs="Times New Roman"/>
              </w:rPr>
              <w:br/>
              <w:t>- reason analysis: the context discusses surgical treatments for malignant trophoblastic tumors (e.g., segments 6, 7, 12 describe hysterectomy, lobectomy, etc.), but does not specify the content of chemotherapy regimens, including the preferred regimen for low-risk patients (such as common drugs like methotrexate or combination regimens). Segment 12 mentions postoperative chemotherapy but does not specify the regimen; other segments (e.g., segment 28 discussing chemotherapy for tubal cancer) are not relevant. Therefore, based on the provided context, the chemotherapy regimen for low-risk malignant trophoblastic tumors cannot be determined.</w:t>
            </w:r>
            <w:r w:rsidRPr="00CB2EC4">
              <w:rPr>
                <w:rFonts w:ascii="Times New Roman" w:hAnsi="Times New Roman" w:cs="Times New Roman"/>
              </w:rPr>
              <w:br/>
            </w:r>
            <w:r w:rsidRPr="00CB2EC4">
              <w:rPr>
                <w:rFonts w:ascii="Times New Roman" w:hAnsi="Times New Roman" w:cs="Times New Roman"/>
              </w:rPr>
              <w:br/>
              <w:t>if you have more details or additional context, i can further optimize the response.</w:t>
            </w:r>
          </w:p>
        </w:tc>
        <w:tc>
          <w:tcPr>
            <w:tcW w:w="1152" w:type="dxa"/>
            <w:vAlign w:val="center"/>
          </w:tcPr>
          <w:p w14:paraId="59E907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5BDC1B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61454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529FE8E" w14:textId="77777777">
        <w:tc>
          <w:tcPr>
            <w:tcW w:w="2160" w:type="dxa"/>
            <w:vAlign w:val="center"/>
          </w:tcPr>
          <w:p w14:paraId="7146F43D"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A14B914" w14:textId="77777777" w:rsidR="00922249" w:rsidRPr="00CB2EC4" w:rsidRDefault="003011D5">
            <w:pPr>
              <w:rPr>
                <w:rFonts w:ascii="Times New Roman" w:hAnsi="Times New Roman" w:cs="Times New Roman"/>
              </w:rPr>
            </w:pPr>
            <w:r w:rsidRPr="00CB2EC4">
              <w:rPr>
                <w:rFonts w:ascii="Times New Roman" w:hAnsi="Times New Roman" w:cs="Times New Roman"/>
              </w:rPr>
              <w:t>what is the preferred chemotherapy regimen for patients with low-risk malignant trophoblastic tumors</w:t>
            </w:r>
            <w:r w:rsidRPr="00CB2EC4">
              <w:rPr>
                <w:rFonts w:ascii="Times New Roman" w:hAnsi="Times New Roman" w:cs="Times New Roman"/>
              </w:rPr>
              <w:br/>
            </w:r>
            <w:r w:rsidRPr="00CB2EC4">
              <w:rPr>
                <w:rFonts w:ascii="Times New Roman" w:hAnsi="Times New Roman" w:cs="Times New Roman"/>
              </w:rPr>
              <w:br/>
              <w:t xml:space="preserve">based on relevant excerpt 10 (from original block 841-845), the preferred chemotherapy regimen for patients </w:t>
            </w:r>
            <w:r w:rsidRPr="00CB2EC4">
              <w:rPr>
                <w:rFonts w:ascii="Times New Roman" w:hAnsi="Times New Roman" w:cs="Times New Roman"/>
              </w:rPr>
              <w:lastRenderedPageBreak/>
              <w:t>with low-risk malignant trophoblastic tumors is fluorouracil (5-FU) and kanglemycin (KSM).</w:t>
            </w:r>
            <w:r w:rsidRPr="00CB2EC4">
              <w:rPr>
                <w:rFonts w:ascii="Times New Roman" w:hAnsi="Times New Roman" w:cs="Times New Roman"/>
              </w:rPr>
              <w:br/>
              <w:t>reasoning from context:</w:t>
            </w:r>
            <w:r w:rsidRPr="00CB2EC4">
              <w:rPr>
                <w:rFonts w:ascii="Times New Roman" w:hAnsi="Times New Roman" w:cs="Times New Roman"/>
              </w:rPr>
              <w:br/>
              <w:t>- the context explicitly states: "fluorouracil (5-FU) and KSM have good efficacy and mild side effects, and are often used as the first-choice drugs." it also emphasizes that 5-FU is effective for lung, gastrointestinal, urinary tract, and genital tract metastases, and KSM is particularly effective for lung metastases.</w:t>
            </w:r>
            <w:r w:rsidRPr="00CB2EC4">
              <w:rPr>
                <w:rFonts w:ascii="Times New Roman" w:hAnsi="Times New Roman" w:cs="Times New Roman"/>
              </w:rPr>
              <w:br/>
              <w:t>- although the context does not explicitly differentiate between "low-risk" and "high-risk," this regimen is described as the general first choice for initial treatment of malignant trophoblastic tumors. foreign regimens (e.g., methotrexate [MTX] and actinomycin D [Act-D]) are also mentioned, but the context prioritizes 5-FU and KSM based on Chinese experience (e.g., Song Hongzhao et al.).</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180D03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65C05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3B4D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2829F34" w14:textId="77777777">
        <w:tc>
          <w:tcPr>
            <w:tcW w:w="2160" w:type="dxa"/>
            <w:vAlign w:val="center"/>
          </w:tcPr>
          <w:p w14:paraId="5717458E"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2D44CBA" w14:textId="77777777" w:rsidR="00922249" w:rsidRPr="00CB2EC4" w:rsidRDefault="003011D5">
            <w:pPr>
              <w:rPr>
                <w:rFonts w:ascii="Times New Roman" w:hAnsi="Times New Roman" w:cs="Times New Roman"/>
              </w:rPr>
            </w:pPr>
            <w:r w:rsidRPr="00CB2EC4">
              <w:rPr>
                <w:rFonts w:ascii="Times New Roman" w:hAnsi="Times New Roman" w:cs="Times New Roman"/>
              </w:rPr>
              <w:t>the preferred chemotherapy regimen for patients with low-risk malignant trophoblastic tumors is:</w:t>
            </w:r>
            <w:r w:rsidRPr="00CB2EC4">
              <w:rPr>
                <w:rFonts w:ascii="Times New Roman" w:hAnsi="Times New Roman" w:cs="Times New Roman"/>
              </w:rPr>
              <w:br/>
            </w:r>
            <w:r w:rsidRPr="00CB2EC4">
              <w:rPr>
                <w:rFonts w:ascii="Times New Roman" w:hAnsi="Times New Roman" w:cs="Times New Roman"/>
              </w:rPr>
              <w:br/>
              <w:t>- The two most commonly used single-agent regimens are:</w:t>
            </w:r>
            <w:r w:rsidRPr="00CB2EC4">
              <w:rPr>
                <w:rFonts w:ascii="Times New Roman" w:hAnsi="Times New Roman" w:cs="Times New Roman"/>
              </w:rPr>
              <w:br/>
              <w:t xml:space="preserve">  → Etoposide plus 5-fluorouracil regimen</w:t>
            </w:r>
            <w:r w:rsidRPr="00CB2EC4">
              <w:rPr>
                <w:rFonts w:ascii="Times New Roman" w:hAnsi="Times New Roman" w:cs="Times New Roman"/>
              </w:rPr>
              <w:br/>
              <w:t xml:space="preserve">  → Dactinomycin regimen</w:t>
            </w:r>
            <w:r w:rsidRPr="00CB2EC4">
              <w:rPr>
                <w:rFonts w:ascii="Times New Roman" w:hAnsi="Times New Roman" w:cs="Times New Roman"/>
              </w:rPr>
              <w:br/>
              <w:t xml:space="preserve">- Selection basis: The choice of specific drug depends on the hospital's treatment protocols, physician experience, and individual patient factors (such as liver and kidney function). If one regimen shows poor efficacy or intolerable toxicity, the other single-agent regimen may be substituted. The vast majority of low-risk patients can achieve cure with single-agent </w:t>
            </w:r>
            <w:r w:rsidRPr="00CB2EC4">
              <w:rPr>
                <w:rFonts w:ascii="Times New Roman" w:hAnsi="Times New Roman" w:cs="Times New Roman"/>
              </w:rPr>
              <w:lastRenderedPageBreak/>
              <w:t>chemotherapy.</w:t>
            </w:r>
          </w:p>
        </w:tc>
        <w:tc>
          <w:tcPr>
            <w:tcW w:w="1152" w:type="dxa"/>
            <w:vAlign w:val="center"/>
          </w:tcPr>
          <w:p w14:paraId="159043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5A88CD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4D3056E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5B98FB1A" w14:textId="77777777">
        <w:tc>
          <w:tcPr>
            <w:tcW w:w="10656" w:type="dxa"/>
            <w:gridSpan w:val="5"/>
            <w:tcBorders>
              <w:bottom w:val="single" w:sz="6" w:space="0" w:color="auto"/>
            </w:tcBorders>
            <w:vAlign w:val="center"/>
          </w:tcPr>
          <w:p w14:paraId="78226C13"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191: What are the indications and key surgical points for internal iliac artery ligation in controlling massive pelvic hemorrhage?</w:t>
            </w:r>
          </w:p>
        </w:tc>
      </w:tr>
      <w:tr w:rsidR="00922249" w:rsidRPr="00CB2EC4" w14:paraId="24D2924A" w14:textId="77777777">
        <w:tc>
          <w:tcPr>
            <w:tcW w:w="2160" w:type="dxa"/>
            <w:vAlign w:val="center"/>
          </w:tcPr>
          <w:p w14:paraId="16E60B5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124E8604" w14:textId="77777777" w:rsidR="00922249" w:rsidRPr="00CB2EC4" w:rsidRDefault="003011D5">
            <w:pPr>
              <w:rPr>
                <w:rFonts w:ascii="Times New Roman" w:hAnsi="Times New Roman" w:cs="Times New Roman"/>
              </w:rPr>
            </w:pPr>
            <w:r w:rsidRPr="00CB2EC4">
              <w:rPr>
                <w:rFonts w:ascii="Times New Roman" w:hAnsi="Times New Roman" w:cs="Times New Roman"/>
              </w:rPr>
              <w:t>indications and key points for internal iliac artery ligation in controlling massive pelvic hemorrhage:</w:t>
            </w:r>
            <w:r w:rsidRPr="00CB2EC4">
              <w:rPr>
                <w:rFonts w:ascii="Times New Roman" w:hAnsi="Times New Roman" w:cs="Times New Roman"/>
              </w:rPr>
              <w:br/>
            </w:r>
            <w:r w:rsidRPr="00CB2EC4">
              <w:rPr>
                <w:rFonts w:ascii="Times New Roman" w:hAnsi="Times New Roman" w:cs="Times New Roman"/>
              </w:rPr>
              <w:br/>
              <w:t xml:space="preserve">- Indications:  </w:t>
            </w:r>
            <w:r w:rsidRPr="00CB2EC4">
              <w:rPr>
                <w:rFonts w:ascii="Times New Roman" w:hAnsi="Times New Roman" w:cs="Times New Roman"/>
              </w:rPr>
              <w:br/>
              <w:t xml:space="preserve">  Internal iliac artery ligation is performed prophylactically or therapeutically to control massive pelvic hemorrhage. It is specifically indicated for surgeries such as extensive parametrial resection, cervical myomectomy, and wide upper vaginal resection, particularly when there is extensive adhesion or infiltration around the lesion, or in patients with pre-existing bleeding tendencies (source: similarity 0.446, range 856-858).  </w:t>
            </w:r>
            <w:r w:rsidRPr="00CB2EC4">
              <w:rPr>
                <w:rFonts w:ascii="Times New Roman" w:hAnsi="Times New Roman" w:cs="Times New Roman"/>
              </w:rPr>
              <w:br/>
              <w:t xml:space="preserve">- Key operative points:  </w:t>
            </w:r>
            <w:r w:rsidRPr="00CB2EC4">
              <w:rPr>
                <w:rFonts w:ascii="Times New Roman" w:hAnsi="Times New Roman" w:cs="Times New Roman"/>
              </w:rPr>
              <w:br/>
              <w:t xml:space="preserve">  After pelvic lymphadenectomy, expose the crossing point of the ureter and the common iliac artery at the pelvic inlet medial to the ovarian vessels. Dissect the tissues surrounding the internal iliac artery. Double-ligate the internal iliac artery using 7-0 silk suture (Figures 7-29 to 7-31). The ligation site should be distal to the posterior branches to avoid ischemia of the buttock and sciatic nerve (source: similarity 0.457, range 498-500; similarity 0.446, range 856-858).</w:t>
            </w:r>
          </w:p>
        </w:tc>
        <w:tc>
          <w:tcPr>
            <w:tcW w:w="1152" w:type="dxa"/>
            <w:vAlign w:val="center"/>
          </w:tcPr>
          <w:p w14:paraId="697806C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CA879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651A27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5191DD2" w14:textId="77777777">
        <w:tc>
          <w:tcPr>
            <w:tcW w:w="2160" w:type="dxa"/>
            <w:vAlign w:val="center"/>
          </w:tcPr>
          <w:p w14:paraId="3D42D94E"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897568F" w14:textId="77777777" w:rsidR="00922249" w:rsidRPr="00CB2EC4" w:rsidRDefault="003011D5">
            <w:pPr>
              <w:rPr>
                <w:rFonts w:ascii="Times New Roman" w:hAnsi="Times New Roman" w:cs="Times New Roman"/>
              </w:rPr>
            </w:pPr>
            <w:r w:rsidRPr="00CB2EC4">
              <w:rPr>
                <w:rFonts w:ascii="Times New Roman" w:hAnsi="Times New Roman" w:cs="Times New Roman"/>
              </w:rPr>
              <w:t>indications and key points for internal iliac artery ligation in controlling massive pelvic hemorrhage:</w:t>
            </w:r>
            <w:r w:rsidRPr="00CB2EC4">
              <w:rPr>
                <w:rFonts w:ascii="Times New Roman" w:hAnsi="Times New Roman" w:cs="Times New Roman"/>
              </w:rPr>
              <w:br/>
            </w:r>
            <w:r w:rsidRPr="00CB2EC4">
              <w:rPr>
                <w:rFonts w:ascii="Times New Roman" w:hAnsi="Times New Roman" w:cs="Times New Roman"/>
              </w:rPr>
              <w:br/>
              <w:t xml:space="preserve">- **Indications**:  </w:t>
            </w:r>
            <w:r w:rsidRPr="00CB2EC4">
              <w:rPr>
                <w:rFonts w:ascii="Times New Roman" w:hAnsi="Times New Roman" w:cs="Times New Roman"/>
              </w:rPr>
              <w:br/>
              <w:t xml:space="preserve">  Internal iliac artery ligation is indicated for extensive bleeding from the parametrium, presacral area, or vagina that fails to respond to compression with gauze </w:t>
            </w:r>
            <w:r w:rsidRPr="00CB2EC4">
              <w:rPr>
                <w:rFonts w:ascii="Times New Roman" w:hAnsi="Times New Roman" w:cs="Times New Roman"/>
              </w:rPr>
              <w:lastRenderedPageBreak/>
              <w:t>pads or suture ligation. Specific scenarios include intraoperative massive hemorrhage that is difficult to control, such as when a tumor is adherent to or infiltrating blood vessels.</w:t>
            </w:r>
            <w:r w:rsidRPr="00CB2EC4">
              <w:rPr>
                <w:rFonts w:ascii="Times New Roman" w:hAnsi="Times New Roman" w:cs="Times New Roman"/>
              </w:rPr>
              <w:br/>
            </w:r>
            <w:r w:rsidRPr="00CB2EC4">
              <w:rPr>
                <w:rFonts w:ascii="Times New Roman" w:hAnsi="Times New Roman" w:cs="Times New Roman"/>
              </w:rPr>
              <w:br/>
              <w:t xml:space="preserve">- **Key operative points**:  </w:t>
            </w:r>
            <w:r w:rsidRPr="00CB2EC4">
              <w:rPr>
                <w:rFonts w:ascii="Times New Roman" w:hAnsi="Times New Roman" w:cs="Times New Roman"/>
              </w:rPr>
              <w:br/>
              <w:t xml:space="preserve">  1. **Site selection**: At the pelvic inlet, medial to the ovarian vessels, expose the point where the ureter crosses the common iliac artery.  </w:t>
            </w:r>
            <w:r w:rsidRPr="00CB2EC4">
              <w:rPr>
                <w:rFonts w:ascii="Times New Roman" w:hAnsi="Times New Roman" w:cs="Times New Roman"/>
              </w:rPr>
              <w:br/>
              <w:t xml:space="preserve">  2. **Tissue dissection**: Carefully dissect the tissues surrounding the internal iliac artery to avoid injury to adjacent structures such as the ureter.  </w:t>
            </w:r>
            <w:r w:rsidRPr="00CB2EC4">
              <w:rPr>
                <w:rFonts w:ascii="Times New Roman" w:hAnsi="Times New Roman" w:cs="Times New Roman"/>
              </w:rPr>
              <w:br/>
              <w:t xml:space="preserve">  3. **Ligation technique**: Temporarily occlude blood flow using atraumatic vascular clamps (if bleeding risk is anticipated), then doubly ligate the internal iliac artery with silk suture. The text specifies: "use 7-0 silk suture for double ligation" to ensure reliable hemostasis.  </w:t>
            </w:r>
            <w:r w:rsidRPr="00CB2EC4">
              <w:rPr>
                <w:rFonts w:ascii="Times New Roman" w:hAnsi="Times New Roman" w:cs="Times New Roman"/>
              </w:rPr>
              <w:br/>
              <w:t xml:space="preserve">  4. **Precautions**: Perform dissection above and below the vessel before clamping; maintain clear visualization during mass removal to prevent inadvertent injury.</w:t>
            </w:r>
            <w:r w:rsidRPr="00CB2EC4">
              <w:rPr>
                <w:rFonts w:ascii="Times New Roman" w:hAnsi="Times New Roman" w:cs="Times New Roman"/>
              </w:rPr>
              <w:br/>
            </w:r>
            <w:r w:rsidRPr="00CB2EC4">
              <w:rPr>
                <w:rFonts w:ascii="Times New Roman" w:hAnsi="Times New Roman" w:cs="Times New Roman"/>
              </w:rPr>
              <w:br/>
              <w:t xml:space="preserve">Relevant text citation:  </w:t>
            </w:r>
            <w:r w:rsidRPr="00CB2EC4">
              <w:rPr>
                <w:rFonts w:ascii="Times New Roman" w:hAnsi="Times New Roman" w:cs="Times New Roman"/>
              </w:rPr>
              <w:br/>
              <w:t>"Ligation of the internal iliac artery: Suitable for extensive bleeding from the parametrium, presacral area, or vagina that is unresponsive to gauze pad compression or suture ligation; bilateral internal iliac arteries may be ligated. The method involves, at the pelvic inlet, medial to the ovarian vessels, exposing the point where the ureter crosses the common iliac artery and dissecting the surrounding tissues" (Fragment 23).</w:t>
            </w:r>
          </w:p>
        </w:tc>
        <w:tc>
          <w:tcPr>
            <w:tcW w:w="1152" w:type="dxa"/>
            <w:vAlign w:val="center"/>
          </w:tcPr>
          <w:p w14:paraId="70E081E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FE3EE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64C38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4EC29BC" w14:textId="77777777">
        <w:tc>
          <w:tcPr>
            <w:tcW w:w="2160" w:type="dxa"/>
            <w:vAlign w:val="center"/>
          </w:tcPr>
          <w:p w14:paraId="2F99C314"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38DD9C2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indications and key operative points for internal iliac </w:t>
            </w:r>
            <w:r w:rsidRPr="00CB2EC4">
              <w:rPr>
                <w:rFonts w:ascii="Times New Roman" w:hAnsi="Times New Roman" w:cs="Times New Roman"/>
              </w:rPr>
              <w:lastRenderedPageBreak/>
              <w:t>artery ligation in controlling massive pelvic hemorrhage:</w:t>
            </w:r>
            <w:r w:rsidRPr="00CB2EC4">
              <w:rPr>
                <w:rFonts w:ascii="Times New Roman" w:hAnsi="Times New Roman" w:cs="Times New Roman"/>
              </w:rPr>
              <w:br/>
            </w:r>
            <w:r w:rsidRPr="00CB2EC4">
              <w:rPr>
                <w:rFonts w:ascii="Times New Roman" w:hAnsi="Times New Roman" w:cs="Times New Roman"/>
              </w:rPr>
              <w:br/>
              <w:t xml:space="preserve">- Indications:  </w:t>
            </w:r>
            <w:r w:rsidRPr="00CB2EC4">
              <w:rPr>
                <w:rFonts w:ascii="Times New Roman" w:hAnsi="Times New Roman" w:cs="Times New Roman"/>
              </w:rPr>
              <w:br/>
              <w:t xml:space="preserve">  Internal iliac artery ligation is primarily indicated for anticipated or uncontrolled severe hemorrhage. Specific indications include: extensive parametrial tissue resection, cervical myomectomy, wide upper vaginal resection, and other pelvic surgeries, particularly when there is extensive adhesion, tumor infiltration, or pre-existing bleeding tendency in the operative field (Document Fragment 2). Bilateral internal iliac artery ligation can significantly reduce pelvic blood flow and is suitable for controlling or minimizing blood loss (Document Fragment 12).</w:t>
            </w:r>
            <w:r w:rsidRPr="00CB2EC4">
              <w:rPr>
                <w:rFonts w:ascii="Times New Roman" w:hAnsi="Times New Roman" w:cs="Times New Roman"/>
              </w:rPr>
              <w:br/>
            </w:r>
            <w:r w:rsidRPr="00CB2EC4">
              <w:rPr>
                <w:rFonts w:ascii="Times New Roman" w:hAnsi="Times New Roman" w:cs="Times New Roman"/>
              </w:rPr>
              <w:br/>
              <w:t xml:space="preserve">- Key operative points:  </w:t>
            </w:r>
            <w:r w:rsidRPr="00CB2EC4">
              <w:rPr>
                <w:rFonts w:ascii="Times New Roman" w:hAnsi="Times New Roman" w:cs="Times New Roman"/>
              </w:rPr>
              <w:br/>
              <w:t xml:space="preserve">  Care must be taken to avoid injury to adjacent structures during the procedure. Critical steps include:  </w:t>
            </w:r>
            <w:r w:rsidRPr="00CB2EC4">
              <w:rPr>
                <w:rFonts w:ascii="Times New Roman" w:hAnsi="Times New Roman" w:cs="Times New Roman"/>
              </w:rPr>
              <w:br/>
              <w:t xml:space="preserve">  1. Identify the bifurcation point of the internal and external iliac arteries, then dissect downward along the internal iliac artery for approximately 1 cm.  </w:t>
            </w:r>
            <w:r w:rsidRPr="00CB2EC4">
              <w:rPr>
                <w:rFonts w:ascii="Times New Roman" w:hAnsi="Times New Roman" w:cs="Times New Roman"/>
              </w:rPr>
              <w:br/>
              <w:t xml:space="preserve">  2. Use a long curved vascular clamp or right-angle clamp to separate the connective tissue parallel to both sides of the artery; further dissect beneath the arterial wall to ensure separation from the internal iliac vein and surrounding tissues (note: the internal iliac vein has thin walls and is prone to injury).  </w:t>
            </w:r>
            <w:r w:rsidRPr="00CB2EC4">
              <w:rPr>
                <w:rFonts w:ascii="Times New Roman" w:hAnsi="Times New Roman" w:cs="Times New Roman"/>
              </w:rPr>
              <w:br/>
              <w:t xml:space="preserve">  3. Double-ligate the internal iliac artery with 7-0 silk suture; the vessel need not be transected. To enhance hemostatic effect, the ovarian vessels may be ligated simultaneously.  </w:t>
            </w:r>
            <w:r w:rsidRPr="00CB2EC4">
              <w:rPr>
                <w:rFonts w:ascii="Times New Roman" w:hAnsi="Times New Roman" w:cs="Times New Roman"/>
              </w:rPr>
              <w:br/>
              <w:t xml:space="preserve">  4. The ligation site should be distal to the posterior trunk; ligation too proximal (e.g., above the posterior </w:t>
            </w:r>
            <w:r w:rsidRPr="00CB2EC4">
              <w:rPr>
                <w:rFonts w:ascii="Times New Roman" w:hAnsi="Times New Roman" w:cs="Times New Roman"/>
              </w:rPr>
              <w:lastRenderedPageBreak/>
              <w:t xml:space="preserve">trunk) may cause local ischemia in the buttock and sciatic nerve territory (Document Fragments 3, 12, 20).  </w:t>
            </w:r>
            <w:r w:rsidRPr="00CB2EC4">
              <w:rPr>
                <w:rFonts w:ascii="Times New Roman" w:hAnsi="Times New Roman" w:cs="Times New Roman"/>
              </w:rPr>
              <w:br/>
              <w:t xml:space="preserve">  Additionally, during extraperitoneal approach, double ligation after dissection of the internal iliac artery is the standard technique (Document Fragment 32).</w:t>
            </w:r>
          </w:p>
        </w:tc>
        <w:tc>
          <w:tcPr>
            <w:tcW w:w="1152" w:type="dxa"/>
            <w:vAlign w:val="center"/>
          </w:tcPr>
          <w:p w14:paraId="28BD2F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CE2BA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10C6E3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2D2DA53" w14:textId="77777777">
        <w:tc>
          <w:tcPr>
            <w:tcW w:w="2160" w:type="dxa"/>
            <w:vAlign w:val="center"/>
          </w:tcPr>
          <w:p w14:paraId="230A0CA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539355BA" w14:textId="77777777" w:rsidR="00922249" w:rsidRPr="00CB2EC4" w:rsidRDefault="003011D5">
            <w:pPr>
              <w:rPr>
                <w:rFonts w:ascii="Times New Roman" w:hAnsi="Times New Roman" w:cs="Times New Roman"/>
              </w:rPr>
            </w:pPr>
            <w:r w:rsidRPr="00CB2EC4">
              <w:rPr>
                <w:rFonts w:ascii="Times New Roman" w:hAnsi="Times New Roman" w:cs="Times New Roman"/>
              </w:rPr>
              <w:t>indications and key points for internal iliac artery ligation in controlling massive pelvic hemorrhage:</w:t>
            </w:r>
            <w:r w:rsidRPr="00CB2EC4">
              <w:rPr>
                <w:rFonts w:ascii="Times New Roman" w:hAnsi="Times New Roman" w:cs="Times New Roman"/>
              </w:rPr>
              <w:br/>
            </w:r>
            <w:r w:rsidRPr="00CB2EC4">
              <w:rPr>
                <w:rFonts w:ascii="Times New Roman" w:hAnsi="Times New Roman" w:cs="Times New Roman"/>
              </w:rPr>
              <w:br/>
              <w:t>- Indications (knowledge base §16.2.3 + web search):</w:t>
            </w:r>
            <w:r w:rsidRPr="00CB2EC4">
              <w:rPr>
                <w:rFonts w:ascii="Times New Roman" w:hAnsi="Times New Roman" w:cs="Times New Roman"/>
              </w:rPr>
              <w:br/>
              <w:t xml:space="preserve">  1. Anticipated intraoperative massive hemorrhage that may be difficult to control (e.g., extensive parametrial resection, cervical myomectomy, tumor adherent to vessels).</w:t>
            </w:r>
            <w:r w:rsidRPr="00CB2EC4">
              <w:rPr>
                <w:rFonts w:ascii="Times New Roman" w:hAnsi="Times New Roman" w:cs="Times New Roman"/>
              </w:rPr>
              <w:br/>
              <w:t xml:space="preserve">  2. Diffuse oozing or small vessel bleeding from the pelvic wound surface during surgery, unresponsive to compression hemostasis.</w:t>
            </w:r>
            <w:r w:rsidRPr="00CB2EC4">
              <w:rPr>
                <w:rFonts w:ascii="Times New Roman" w:hAnsi="Times New Roman" w:cs="Times New Roman"/>
              </w:rPr>
              <w:br/>
              <w:t xml:space="preserve">  3. Injury to retroperitoneal vessels (e.g., branches of the internal iliac vein).</w:t>
            </w:r>
            <w:r w:rsidRPr="00CB2EC4">
              <w:rPr>
                <w:rFonts w:ascii="Times New Roman" w:hAnsi="Times New Roman" w:cs="Times New Roman"/>
              </w:rPr>
              <w:br/>
            </w:r>
            <w:r w:rsidRPr="00CB2EC4">
              <w:rPr>
                <w:rFonts w:ascii="Times New Roman" w:hAnsi="Times New Roman" w:cs="Times New Roman"/>
              </w:rPr>
              <w:br/>
              <w:t>- Key operative steps (web search):</w:t>
            </w:r>
            <w:r w:rsidRPr="00CB2EC4">
              <w:rPr>
                <w:rFonts w:ascii="Times New Roman" w:hAnsi="Times New Roman" w:cs="Times New Roman"/>
              </w:rPr>
              <w:br/>
              <w:t xml:space="preserve">  1. Intra-abdominal approach: Expose the iliac vascular region, identify the bifurcation of the common iliac artery medial to the ovarian vessels and lateral to the ureter.</w:t>
            </w:r>
            <w:r w:rsidRPr="00CB2EC4">
              <w:rPr>
                <w:rFonts w:ascii="Times New Roman" w:hAnsi="Times New Roman" w:cs="Times New Roman"/>
              </w:rPr>
              <w:br/>
              <w:t xml:space="preserve">  2. Dissection of the internal iliac artery: Use blunt dissection to free the artery from surrounding loose tissue, avoiding injury to the deep internal iliac vein.</w:t>
            </w:r>
            <w:r w:rsidRPr="00CB2EC4">
              <w:rPr>
                <w:rFonts w:ascii="Times New Roman" w:hAnsi="Times New Roman" w:cs="Times New Roman"/>
              </w:rPr>
              <w:br/>
              <w:t xml:space="preserve">  3. Ligation site: Approximately 2.5 cm distal to the common iliac artery bifurcation, perform double ligation with 7-0 silk suture (without transecting the vessel).</w:t>
            </w:r>
            <w:r w:rsidRPr="00CB2EC4">
              <w:rPr>
                <w:rFonts w:ascii="Times New Roman" w:hAnsi="Times New Roman" w:cs="Times New Roman"/>
              </w:rPr>
              <w:br/>
              <w:t xml:space="preserve">  4. Precautions: Confirm absence of ureteral </w:t>
            </w:r>
            <w:r w:rsidRPr="00CB2EC4">
              <w:rPr>
                <w:rFonts w:ascii="Times New Roman" w:hAnsi="Times New Roman" w:cs="Times New Roman"/>
              </w:rPr>
              <w:lastRenderedPageBreak/>
              <w:t>entrapment before ligation (knowledge base emphasizes the ureter courses lateral to the internal iliac artery).</w:t>
            </w:r>
          </w:p>
        </w:tc>
        <w:tc>
          <w:tcPr>
            <w:tcW w:w="1152" w:type="dxa"/>
            <w:vAlign w:val="center"/>
          </w:tcPr>
          <w:p w14:paraId="564CA7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5B809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05909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34B871D" w14:textId="77777777">
        <w:tc>
          <w:tcPr>
            <w:tcW w:w="2160" w:type="dxa"/>
            <w:vAlign w:val="center"/>
          </w:tcPr>
          <w:p w14:paraId="2E0E7985"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C58B536" w14:textId="77777777" w:rsidR="00922249" w:rsidRPr="00CB2EC4" w:rsidRDefault="003011D5">
            <w:pPr>
              <w:rPr>
                <w:rFonts w:ascii="Times New Roman" w:hAnsi="Times New Roman" w:cs="Times New Roman"/>
              </w:rPr>
            </w:pPr>
            <w:r w:rsidRPr="00CB2EC4">
              <w:rPr>
                <w:rFonts w:ascii="Times New Roman" w:hAnsi="Times New Roman" w:cs="Times New Roman"/>
              </w:rPr>
              <w:t>indications and key points of internal iliac artery ligation for controlling massive pelvic hemorrhage:</w:t>
            </w:r>
            <w:r w:rsidRPr="00CB2EC4">
              <w:rPr>
                <w:rFonts w:ascii="Times New Roman" w:hAnsi="Times New Roman" w:cs="Times New Roman"/>
              </w:rPr>
              <w:br/>
            </w:r>
            <w:r w:rsidRPr="00CB2EC4">
              <w:rPr>
                <w:rFonts w:ascii="Times New Roman" w:hAnsi="Times New Roman" w:cs="Times New Roman"/>
              </w:rPr>
              <w:br/>
              <w:t xml:space="preserve">Indications:  </w:t>
            </w:r>
            <w:r w:rsidRPr="00CB2EC4">
              <w:rPr>
                <w:rFonts w:ascii="Times New Roman" w:hAnsi="Times New Roman" w:cs="Times New Roman"/>
              </w:rPr>
              <w:br/>
              <w:t xml:space="preserve">  According to document excerpt 14, internal iliac artery ligation is indicated for extensive bleeding from the parametrium, presacral area, or upper vagina when other hemostatic methods (such as gauze packing or suturing) are ineffective. Additionally, document excerpt 14 notes that prophylactic internal iliac artery ligation may be performed before surgeries predicted to have a high risk of uncontrollable hemorrhage, such as extensive parametrial tissue resection, cervical myomectomy, or wide upper vaginal resection.  </w:t>
            </w:r>
            <w:r w:rsidRPr="00CB2EC4">
              <w:rPr>
                <w:rFonts w:ascii="Times New Roman" w:hAnsi="Times New Roman" w:cs="Times New Roman"/>
              </w:rPr>
              <w:br/>
              <w:t xml:space="preserve">- Key operative points:  </w:t>
            </w:r>
            <w:r w:rsidRPr="00CB2EC4">
              <w:rPr>
                <w:rFonts w:ascii="Times New Roman" w:hAnsi="Times New Roman" w:cs="Times New Roman"/>
              </w:rPr>
              <w:br/>
              <w:t xml:space="preserve">  Document excerpts 7 and 14 describe the procedure as follows:  </w:t>
            </w:r>
            <w:r w:rsidRPr="00CB2EC4">
              <w:rPr>
                <w:rFonts w:ascii="Times New Roman" w:hAnsi="Times New Roman" w:cs="Times New Roman"/>
              </w:rPr>
              <w:br/>
              <w:t xml:space="preserve">  1. At the pelvic inlet, expose the point where the ureter crosses the common iliac artery (identify the ureter carefully to avoid injury).  </w:t>
            </w:r>
            <w:r w:rsidRPr="00CB2EC4">
              <w:rPr>
                <w:rFonts w:ascii="Times New Roman" w:hAnsi="Times New Roman" w:cs="Times New Roman"/>
              </w:rPr>
              <w:br/>
              <w:t xml:space="preserve">  2. Free the tissues surrounding the internal iliac artery to ensure adequate exposure.  </w:t>
            </w:r>
            <w:r w:rsidRPr="00CB2EC4">
              <w:rPr>
                <w:rFonts w:ascii="Times New Roman" w:hAnsi="Times New Roman" w:cs="Times New Roman"/>
              </w:rPr>
              <w:br/>
              <w:t xml:space="preserve">  3. Double-ligate the internal iliac artery with 7-0 silk suture (excerpt 7 mentions "double ligation," and excerpt 14 emphasizes this technique), placing the ligature distal to the posterior division.  </w:t>
            </w:r>
            <w:r w:rsidRPr="00CB2EC4">
              <w:rPr>
                <w:rFonts w:ascii="Times New Roman" w:hAnsi="Times New Roman" w:cs="Times New Roman"/>
              </w:rPr>
              <w:br/>
              <w:t xml:space="preserve">  4. Perform the procedure extraperitoneally to avoid injury to adjacent organs such as the ureter (as illustrated in excerpt 7).  </w:t>
            </w:r>
            <w:r w:rsidRPr="00CB2EC4">
              <w:rPr>
                <w:rFonts w:ascii="Times New Roman" w:hAnsi="Times New Roman" w:cs="Times New Roman"/>
              </w:rPr>
              <w:br/>
              <w:t xml:space="preserve">  Critical point: The operation must be gentle and precise to control bleeding while minimizing </w:t>
            </w:r>
            <w:r w:rsidRPr="00CB2EC4">
              <w:rPr>
                <w:rFonts w:ascii="Times New Roman" w:hAnsi="Times New Roman" w:cs="Times New Roman"/>
              </w:rPr>
              <w:lastRenderedPageBreak/>
              <w:t>complications.</w:t>
            </w:r>
          </w:p>
        </w:tc>
        <w:tc>
          <w:tcPr>
            <w:tcW w:w="1152" w:type="dxa"/>
            <w:vAlign w:val="center"/>
          </w:tcPr>
          <w:p w14:paraId="722CC6E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AD7C0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20EF7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304F0CD" w14:textId="77777777">
        <w:tc>
          <w:tcPr>
            <w:tcW w:w="2160" w:type="dxa"/>
            <w:vAlign w:val="center"/>
          </w:tcPr>
          <w:p w14:paraId="538B28D8"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CAAD7FD" w14:textId="77777777" w:rsidR="00922249" w:rsidRPr="00CB2EC4" w:rsidRDefault="003011D5">
            <w:pPr>
              <w:rPr>
                <w:rFonts w:ascii="Times New Roman" w:hAnsi="Times New Roman" w:cs="Times New Roman"/>
              </w:rPr>
            </w:pPr>
            <w:r w:rsidRPr="00CB2EC4">
              <w:rPr>
                <w:rFonts w:ascii="Times New Roman" w:hAnsi="Times New Roman" w:cs="Times New Roman"/>
              </w:rPr>
              <w:t>indications and key operative points for internal iliac artery ligation in controlling massive pelvic hemorrhage:</w:t>
            </w:r>
            <w:r w:rsidRPr="00CB2EC4">
              <w:rPr>
                <w:rFonts w:ascii="Times New Roman" w:hAnsi="Times New Roman" w:cs="Times New Roman"/>
              </w:rPr>
              <w:br/>
            </w:r>
            <w:r w:rsidRPr="00CB2EC4">
              <w:rPr>
                <w:rFonts w:ascii="Times New Roman" w:hAnsi="Times New Roman" w:cs="Times New Roman"/>
              </w:rPr>
              <w:br/>
              <w:t>- Indications:</w:t>
            </w:r>
            <w:r w:rsidRPr="00CB2EC4">
              <w:rPr>
                <w:rFonts w:ascii="Times New Roman" w:hAnsi="Times New Roman" w:cs="Times New Roman"/>
              </w:rPr>
              <w:br/>
              <w:t xml:space="preserve">  - Prophylactic ligation when difficult-to-control hemorrhage is anticipated during certain surgeries, such as extensive parametrial resection, cervical myomectomy, or wide upper vaginal resection, particularly in the presence of extensive surrounding adhesions, tumor infiltration, or pre-existing bleeding tendency (Document 22).</w:t>
            </w:r>
            <w:r w:rsidRPr="00CB2EC4">
              <w:rPr>
                <w:rFonts w:ascii="Times New Roman" w:hAnsi="Times New Roman" w:cs="Times New Roman"/>
              </w:rPr>
              <w:br/>
              <w:t xml:space="preserve">  - Used for extensive bleeding from the parametrium, presacral area, or vagina when other hemostatic methods (e.g., gauze packing or suturing) are ineffective (Document 22).</w:t>
            </w:r>
            <w:r w:rsidRPr="00CB2EC4">
              <w:rPr>
                <w:rFonts w:ascii="Times New Roman" w:hAnsi="Times New Roman" w:cs="Times New Roman"/>
              </w:rPr>
              <w:br/>
            </w:r>
            <w:r w:rsidRPr="00CB2EC4">
              <w:rPr>
                <w:rFonts w:ascii="Times New Roman" w:hAnsi="Times New Roman" w:cs="Times New Roman"/>
              </w:rPr>
              <w:br/>
              <w:t>- Key operative points:</w:t>
            </w:r>
            <w:r w:rsidRPr="00CB2EC4">
              <w:rPr>
                <w:rFonts w:ascii="Times New Roman" w:hAnsi="Times New Roman" w:cs="Times New Roman"/>
              </w:rPr>
              <w:br/>
              <w:t xml:space="preserve">  - Operate at the pelvic inlet, medial to the ovarian vessels, exposing the point where the ureter crosses the common iliac artery (Document 22).</w:t>
            </w:r>
            <w:r w:rsidRPr="00CB2EC4">
              <w:rPr>
                <w:rFonts w:ascii="Times New Roman" w:hAnsi="Times New Roman" w:cs="Times New Roman"/>
              </w:rPr>
              <w:br/>
              <w:t xml:space="preserve">  - Dissect the tissues surrounding the internal iliac artery with care to avoid injury to adjacent structures (e.g., the ureter).</w:t>
            </w:r>
            <w:r w:rsidRPr="00CB2EC4">
              <w:rPr>
                <w:rFonts w:ascii="Times New Roman" w:hAnsi="Times New Roman" w:cs="Times New Roman"/>
              </w:rPr>
              <w:br/>
              <w:t xml:space="preserve">  - Perform double ligation using 7-0 silk thread; specifically, pass the suture behind the internal iliac artery and tie it securely (Document 17, Figures 7-29 to 7-31). The ligature should be placed distal to the posterior branches of the internal iliac artery.</w:t>
            </w:r>
            <w:r w:rsidRPr="00CB2EC4">
              <w:rPr>
                <w:rFonts w:ascii="Times New Roman" w:hAnsi="Times New Roman" w:cs="Times New Roman"/>
              </w:rPr>
              <w:br/>
              <w:t xml:space="preserve">  - This method aims to reduce bleeding risk but requires careful execution to prevent complications.</w:t>
            </w:r>
          </w:p>
        </w:tc>
        <w:tc>
          <w:tcPr>
            <w:tcW w:w="1152" w:type="dxa"/>
            <w:vAlign w:val="center"/>
          </w:tcPr>
          <w:p w14:paraId="612CBF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CBB93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10B53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14B9E52" w14:textId="77777777">
        <w:tc>
          <w:tcPr>
            <w:tcW w:w="2160" w:type="dxa"/>
            <w:vAlign w:val="center"/>
          </w:tcPr>
          <w:p w14:paraId="6F96989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F6830C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Indications:  </w:t>
            </w:r>
            <w:r w:rsidRPr="00CB2EC4">
              <w:rPr>
                <w:rFonts w:ascii="Times New Roman" w:hAnsi="Times New Roman" w:cs="Times New Roman"/>
              </w:rPr>
              <w:br/>
            </w:r>
            <w:r w:rsidRPr="00CB2EC4">
              <w:rPr>
                <w:rFonts w:ascii="Times New Roman" w:hAnsi="Times New Roman" w:cs="Times New Roman"/>
              </w:rPr>
              <w:lastRenderedPageBreak/>
              <w:t xml:space="preserve">  1. When massive hemorrhage is anticipated during surgery (e.g., extensive parametrial resection, cervical myomectomy, wide upper vaginal resection);  </w:t>
            </w:r>
            <w:r w:rsidRPr="00CB2EC4">
              <w:rPr>
                <w:rFonts w:ascii="Times New Roman" w:hAnsi="Times New Roman" w:cs="Times New Roman"/>
              </w:rPr>
              <w:br/>
              <w:t xml:space="preserve">  2. In cases of extensive adhesions or infiltration in the surgical field, or pre-existing bleeding tendency;  </w:t>
            </w:r>
            <w:r w:rsidRPr="00CB2EC4">
              <w:rPr>
                <w:rFonts w:ascii="Times New Roman" w:hAnsi="Times New Roman" w:cs="Times New Roman"/>
              </w:rPr>
              <w:br/>
              <w:t xml:space="preserve">  3. For diffuse pelvic floor bleeding unresponsive to compression (bilateral internal iliac artery ligation required).  </w:t>
            </w:r>
            <w:r w:rsidRPr="00CB2EC4">
              <w:rPr>
                <w:rFonts w:ascii="Times New Roman" w:hAnsi="Times New Roman" w:cs="Times New Roman"/>
              </w:rPr>
              <w:br/>
              <w:t xml:space="preserve">  (Source: Context 1, 2)  </w:t>
            </w:r>
            <w:r w:rsidRPr="00CB2EC4">
              <w:rPr>
                <w:rFonts w:ascii="Times New Roman" w:hAnsi="Times New Roman" w:cs="Times New Roman"/>
              </w:rPr>
              <w:br/>
            </w:r>
            <w:r w:rsidRPr="00CB2EC4">
              <w:rPr>
                <w:rFonts w:ascii="Times New Roman" w:hAnsi="Times New Roman" w:cs="Times New Roman"/>
              </w:rPr>
              <w:br/>
              <w:t xml:space="preserve">- Key operative steps:  </w:t>
            </w:r>
            <w:r w:rsidRPr="00CB2EC4">
              <w:rPr>
                <w:rFonts w:ascii="Times New Roman" w:hAnsi="Times New Roman" w:cs="Times New Roman"/>
              </w:rPr>
              <w:br/>
              <w:t xml:space="preserve">  1. Localization: At the pelvic inlet, medial to the ovarian vessels, expose the point where the ureter crosses the common iliac artery;  </w:t>
            </w:r>
            <w:r w:rsidRPr="00CB2EC4">
              <w:rPr>
                <w:rFonts w:ascii="Times New Roman" w:hAnsi="Times New Roman" w:cs="Times New Roman"/>
              </w:rPr>
              <w:br/>
              <w:t xml:space="preserve">  2. Dissection: Bluntly separate tissues around the internal iliac artery, avoiding injury to the thin-walled internal iliac vein;  </w:t>
            </w:r>
            <w:r w:rsidRPr="00CB2EC4">
              <w:rPr>
                <w:rFonts w:ascii="Times New Roman" w:hAnsi="Times New Roman" w:cs="Times New Roman"/>
              </w:rPr>
              <w:br/>
              <w:t xml:space="preserve">  3. Ligation: Double-ligate the internal iliac artery with 7-0 silk suture (vessel transection not required);  </w:t>
            </w:r>
            <w:r w:rsidRPr="00CB2EC4">
              <w:rPr>
                <w:rFonts w:ascii="Times New Roman" w:hAnsi="Times New Roman" w:cs="Times New Roman"/>
              </w:rPr>
              <w:br/>
              <w:t xml:space="preserve">  4. Adjunctive measures: If ineffective, combine with sterile gauze packing/compression or ligation of ovarian vessels.  </w:t>
            </w:r>
            <w:r w:rsidRPr="00CB2EC4">
              <w:rPr>
                <w:rFonts w:ascii="Times New Roman" w:hAnsi="Times New Roman" w:cs="Times New Roman"/>
              </w:rPr>
              <w:br/>
              <w:t xml:space="preserve">  (Source: Context 1, 12)</w:t>
            </w:r>
          </w:p>
        </w:tc>
        <w:tc>
          <w:tcPr>
            <w:tcW w:w="1152" w:type="dxa"/>
            <w:vAlign w:val="center"/>
          </w:tcPr>
          <w:p w14:paraId="5B23DF9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A457E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1665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5BD6E3" w14:textId="77777777">
        <w:tc>
          <w:tcPr>
            <w:tcW w:w="2160" w:type="dxa"/>
            <w:vAlign w:val="center"/>
          </w:tcPr>
          <w:p w14:paraId="6D058282"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76CA373" w14:textId="77777777" w:rsidR="00922249" w:rsidRPr="00CB2EC4" w:rsidRDefault="003011D5">
            <w:pPr>
              <w:rPr>
                <w:rFonts w:ascii="Times New Roman" w:hAnsi="Times New Roman" w:cs="Times New Roman"/>
              </w:rPr>
            </w:pPr>
            <w:r w:rsidRPr="00CB2EC4">
              <w:rPr>
                <w:rFonts w:ascii="Times New Roman" w:hAnsi="Times New Roman" w:cs="Times New Roman"/>
              </w:rPr>
              <w:t>indications and key points for internal iliac artery ligation in controlling massive pelvic hemorrhage:</w:t>
            </w:r>
            <w:r w:rsidRPr="00CB2EC4">
              <w:rPr>
                <w:rFonts w:ascii="Times New Roman" w:hAnsi="Times New Roman" w:cs="Times New Roman"/>
              </w:rPr>
              <w:br/>
            </w:r>
            <w:r w:rsidRPr="00CB2EC4">
              <w:rPr>
                <w:rFonts w:ascii="Times New Roman" w:hAnsi="Times New Roman" w:cs="Times New Roman"/>
              </w:rPr>
              <w:br/>
              <w:t>- Indications:</w:t>
            </w:r>
            <w:r w:rsidRPr="00CB2EC4">
              <w:rPr>
                <w:rFonts w:ascii="Times New Roman" w:hAnsi="Times New Roman" w:cs="Times New Roman"/>
              </w:rPr>
              <w:br/>
              <w:t xml:space="preserve">  - Prophylactic ligation may be performed when massive hemorrhage difficult to control is anticipated during certain surgeries, such as extensive parametrial tissue resection, cervical myomectomy, or wide upper vaginal resection (Document Fragment 1).</w:t>
            </w:r>
            <w:r w:rsidRPr="00CB2EC4">
              <w:rPr>
                <w:rFonts w:ascii="Times New Roman" w:hAnsi="Times New Roman" w:cs="Times New Roman"/>
              </w:rPr>
              <w:br/>
              <w:t xml:space="preserve">  - When diffuse bleeding occurs from the parametrium, presacral area, or vagina that fails to </w:t>
            </w:r>
            <w:r w:rsidRPr="00CB2EC4">
              <w:rPr>
                <w:rFonts w:ascii="Times New Roman" w:hAnsi="Times New Roman" w:cs="Times New Roman"/>
              </w:rPr>
              <w:lastRenderedPageBreak/>
              <w:t>respond to gauze packing or suture ligation (Document Fragment 1).</w:t>
            </w:r>
            <w:r w:rsidRPr="00CB2EC4">
              <w:rPr>
                <w:rFonts w:ascii="Times New Roman" w:hAnsi="Times New Roman" w:cs="Times New Roman"/>
              </w:rPr>
              <w:br/>
              <w:t xml:space="preserve">  - Particularly suitable in cases with extensive adhesions, infiltration, or pre-existing bleeding tendency around the surgical field (Document Fragment 1).</w:t>
            </w:r>
            <w:r w:rsidRPr="00CB2EC4">
              <w:rPr>
                <w:rFonts w:ascii="Times New Roman" w:hAnsi="Times New Roman" w:cs="Times New Roman"/>
              </w:rPr>
              <w:br/>
            </w:r>
            <w:r w:rsidRPr="00CB2EC4">
              <w:rPr>
                <w:rFonts w:ascii="Times New Roman" w:hAnsi="Times New Roman" w:cs="Times New Roman"/>
              </w:rPr>
              <w:br/>
              <w:t>- Key operative points:</w:t>
            </w:r>
            <w:r w:rsidRPr="00CB2EC4">
              <w:rPr>
                <w:rFonts w:ascii="Times New Roman" w:hAnsi="Times New Roman" w:cs="Times New Roman"/>
              </w:rPr>
              <w:br/>
              <w:t xml:space="preserve">  - Location: At the pelvic inlet, medial to the ovarian vessels, exposing the point where the ureter crosses the common iliac artery (Document Fragment 1).</w:t>
            </w:r>
            <w:r w:rsidRPr="00CB2EC4">
              <w:rPr>
                <w:rFonts w:ascii="Times New Roman" w:hAnsi="Times New Roman" w:cs="Times New Roman"/>
              </w:rPr>
              <w:br/>
              <w:t xml:space="preserve">  - Method: Performed extraperitoneally; dissect the internal iliac artery and ligate it doubly with 7-0 silk suture (Document Fragment 4).</w:t>
            </w:r>
            <w:r w:rsidRPr="00CB2EC4">
              <w:rPr>
                <w:rFonts w:ascii="Times New Roman" w:hAnsi="Times New Roman" w:cs="Times New Roman"/>
              </w:rPr>
              <w:br/>
              <w:t xml:space="preserve">  - Critical steps: Free the tissues around the internal iliac artery to avoid injury to adjacent structures such as the ureter; handle the vessel gently and precisely to ensure complete occlusion (Document Fragment 1 and Document Fragment 4).</w:t>
            </w:r>
          </w:p>
        </w:tc>
        <w:tc>
          <w:tcPr>
            <w:tcW w:w="1152" w:type="dxa"/>
            <w:vAlign w:val="center"/>
          </w:tcPr>
          <w:p w14:paraId="6DC72D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0D32D0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16FF0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50630FD" w14:textId="77777777">
        <w:tc>
          <w:tcPr>
            <w:tcW w:w="2160" w:type="dxa"/>
            <w:vAlign w:val="center"/>
          </w:tcPr>
          <w:p w14:paraId="544FA598"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E909E0D" w14:textId="77777777" w:rsidR="00922249" w:rsidRPr="00CB2EC4" w:rsidRDefault="003011D5">
            <w:pPr>
              <w:rPr>
                <w:rFonts w:ascii="Times New Roman" w:hAnsi="Times New Roman" w:cs="Times New Roman"/>
              </w:rPr>
            </w:pPr>
            <w:r w:rsidRPr="00CB2EC4">
              <w:rPr>
                <w:rFonts w:ascii="Times New Roman" w:hAnsi="Times New Roman" w:cs="Times New Roman"/>
              </w:rPr>
              <w:t>indications and key operative points of internal iliac artery ligation for controlling massive pelvic hemorrhage:</w:t>
            </w:r>
            <w:r w:rsidRPr="00CB2EC4">
              <w:rPr>
                <w:rFonts w:ascii="Times New Roman" w:hAnsi="Times New Roman" w:cs="Times New Roman"/>
              </w:rPr>
              <w:br/>
            </w:r>
            <w:r w:rsidRPr="00CB2EC4">
              <w:rPr>
                <w:rFonts w:ascii="Times New Roman" w:hAnsi="Times New Roman" w:cs="Times New Roman"/>
              </w:rPr>
              <w:br/>
              <w:t xml:space="preserve">- **Indications**:  </w:t>
            </w:r>
            <w:r w:rsidRPr="00CB2EC4">
              <w:rPr>
                <w:rFonts w:ascii="Times New Roman" w:hAnsi="Times New Roman" w:cs="Times New Roman"/>
              </w:rPr>
              <w:br/>
              <w:t xml:space="preserve">  When massive hemorrhage that is difficult to control is anticipated during certain surgeries, prophylactic internal iliac artery ligation may be performed.  </w:t>
            </w:r>
            <w:r w:rsidRPr="00CB2EC4">
              <w:rPr>
                <w:rFonts w:ascii="Times New Roman" w:hAnsi="Times New Roman" w:cs="Times New Roman"/>
              </w:rPr>
              <w:br/>
              <w:t xml:space="preserve">  Specifically indicated for:  </w:t>
            </w:r>
            <w:r w:rsidRPr="00CB2EC4">
              <w:rPr>
                <w:rFonts w:ascii="Times New Roman" w:hAnsi="Times New Roman" w:cs="Times New Roman"/>
              </w:rPr>
              <w:br/>
              <w:t xml:space="preserve">  • Extensive parametrial tissue resection  </w:t>
            </w:r>
            <w:r w:rsidRPr="00CB2EC4">
              <w:rPr>
                <w:rFonts w:ascii="Times New Roman" w:hAnsi="Times New Roman" w:cs="Times New Roman"/>
              </w:rPr>
              <w:br/>
              <w:t xml:space="preserve">  • Cervical myomectomy  </w:t>
            </w:r>
            <w:r w:rsidRPr="00CB2EC4">
              <w:rPr>
                <w:rFonts w:ascii="Times New Roman" w:hAnsi="Times New Roman" w:cs="Times New Roman"/>
              </w:rPr>
              <w:br/>
              <w:t xml:space="preserve">  • Wide upper vaginal resection  </w:t>
            </w:r>
            <w:r w:rsidRPr="00CB2EC4">
              <w:rPr>
                <w:rFonts w:ascii="Times New Roman" w:hAnsi="Times New Roman" w:cs="Times New Roman"/>
              </w:rPr>
              <w:br/>
              <w:t xml:space="preserve">  Particularly when there is extensive adhesion or infiltration around the surgical field, or in patients with pre-existing bleeding tendencies.  </w:t>
            </w:r>
            <w:r w:rsidRPr="00CB2EC4">
              <w:rPr>
                <w:rFonts w:ascii="Times New Roman" w:hAnsi="Times New Roman" w:cs="Times New Roman"/>
              </w:rPr>
              <w:br/>
            </w:r>
            <w:r w:rsidRPr="00CB2EC4">
              <w:rPr>
                <w:rFonts w:ascii="Times New Roman" w:hAnsi="Times New Roman" w:cs="Times New Roman"/>
              </w:rPr>
              <w:lastRenderedPageBreak/>
              <w:br/>
              <w:t xml:space="preserve">- **Key Operative Points**:  </w:t>
            </w:r>
            <w:r w:rsidRPr="00CB2EC4">
              <w:rPr>
                <w:rFonts w:ascii="Times New Roman" w:hAnsi="Times New Roman" w:cs="Times New Roman"/>
              </w:rPr>
              <w:br/>
              <w:t xml:space="preserve">  1. At the pelvic inlet, medial to the ovarian vessels, expose the point where the ureter crosses the common iliac artery.  </w:t>
            </w:r>
            <w:r w:rsidRPr="00CB2EC4">
              <w:rPr>
                <w:rFonts w:ascii="Times New Roman" w:hAnsi="Times New Roman" w:cs="Times New Roman"/>
              </w:rPr>
              <w:br/>
              <w:t xml:space="preserve">  2. Dissect the tissues surrounding the internal iliac artery (avoiding injury to adjacent structures such as the ureter).  </w:t>
            </w:r>
            <w:r w:rsidRPr="00CB2EC4">
              <w:rPr>
                <w:rFonts w:ascii="Times New Roman" w:hAnsi="Times New Roman" w:cs="Times New Roman"/>
              </w:rPr>
              <w:br/>
              <w:t xml:space="preserve">  3. Double-ligate the internal iliac artery using 7-0 silk suture (as shown in Figures 7-29 to 7-31 in the document).  </w:t>
            </w:r>
            <w:r w:rsidRPr="00CB2EC4">
              <w:rPr>
                <w:rFonts w:ascii="Times New Roman" w:hAnsi="Times New Roman" w:cs="Times New Roman"/>
              </w:rPr>
              <w:br/>
            </w:r>
            <w:r w:rsidRPr="00CB2EC4">
              <w:rPr>
                <w:rFonts w:ascii="Times New Roman" w:hAnsi="Times New Roman" w:cs="Times New Roman"/>
              </w:rPr>
              <w:br/>
              <w:t>The document emphasizes that this method is suitable for controlling extensive bleeding from the parametrium, presacral area, or upper vagina when gauze compression or suture ligation proves ineffective. Bilateral internal iliac artery ligation can effectively control hemorrhage in such cases.</w:t>
            </w:r>
          </w:p>
        </w:tc>
        <w:tc>
          <w:tcPr>
            <w:tcW w:w="1152" w:type="dxa"/>
            <w:vAlign w:val="center"/>
          </w:tcPr>
          <w:p w14:paraId="5D0C06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315F7C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72AEE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02931C71" w14:textId="77777777">
        <w:tc>
          <w:tcPr>
            <w:tcW w:w="2160" w:type="dxa"/>
            <w:vAlign w:val="center"/>
          </w:tcPr>
          <w:p w14:paraId="599201E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160946C" w14:textId="77777777" w:rsidR="00922249" w:rsidRPr="00CB2EC4" w:rsidRDefault="003011D5">
            <w:pPr>
              <w:rPr>
                <w:rFonts w:ascii="Times New Roman" w:hAnsi="Times New Roman" w:cs="Times New Roman"/>
              </w:rPr>
            </w:pPr>
            <w:r w:rsidRPr="00CB2EC4">
              <w:rPr>
                <w:rFonts w:ascii="Times New Roman" w:hAnsi="Times New Roman" w:cs="Times New Roman"/>
              </w:rPr>
              <w:t>indications and key operative points of internal iliac artery ligation in controlling massive pelvic hemorrhage:</w:t>
            </w:r>
            <w:r w:rsidRPr="00CB2EC4">
              <w:rPr>
                <w:rFonts w:ascii="Times New Roman" w:hAnsi="Times New Roman" w:cs="Times New Roman"/>
              </w:rPr>
              <w:br/>
            </w:r>
            <w:r w:rsidRPr="00CB2EC4">
              <w:rPr>
                <w:rFonts w:ascii="Times New Roman" w:hAnsi="Times New Roman" w:cs="Times New Roman"/>
              </w:rPr>
              <w:br/>
              <w:t xml:space="preserve">- Indications:  </w:t>
            </w:r>
            <w:r w:rsidRPr="00CB2EC4">
              <w:rPr>
                <w:rFonts w:ascii="Times New Roman" w:hAnsi="Times New Roman" w:cs="Times New Roman"/>
              </w:rPr>
              <w:br/>
              <w:t xml:space="preserve">  Internal iliac artery ligation is indicated when significant uncontrollable bleeding is anticipated during certain surgeries. Specific indications include: extensive parametrial tissue resection, cervical myomectomy, wide upper vaginal resection, particularly when there is extensive adhesion or infiltration around the tumor, or in patients with pre-existing bleeding tendency (e.g., tissue fibrosis due to prior radiotherapy). This approach serves as a preventive measure to control hemorrhage.  </w:t>
            </w:r>
            <w:r w:rsidRPr="00CB2EC4">
              <w:rPr>
                <w:rFonts w:ascii="Times New Roman" w:hAnsi="Times New Roman" w:cs="Times New Roman"/>
              </w:rPr>
              <w:br/>
              <w:t xml:space="preserve">  (Source: "When uncontrollable major bleeding is </w:t>
            </w:r>
            <w:r w:rsidRPr="00CB2EC4">
              <w:rPr>
                <w:rFonts w:ascii="Times New Roman" w:hAnsi="Times New Roman" w:cs="Times New Roman"/>
              </w:rPr>
              <w:lastRenderedPageBreak/>
              <w:t>predicted in certain surgeries, internal iliac artery ligation may be performed first, followed by routine surgery. Such as extensive parametrial tissue resection, cervical myomectomy, wide upper vaginal resection, especially with extensive adhesion or infiltration around the tumor, or in patients with existing bleeding tendency.")</w:t>
            </w:r>
            <w:r w:rsidRPr="00CB2EC4">
              <w:rPr>
                <w:rFonts w:ascii="Times New Roman" w:hAnsi="Times New Roman" w:cs="Times New Roman"/>
              </w:rPr>
              <w:br/>
            </w:r>
            <w:r w:rsidRPr="00CB2EC4">
              <w:rPr>
                <w:rFonts w:ascii="Times New Roman" w:hAnsi="Times New Roman" w:cs="Times New Roman"/>
              </w:rPr>
              <w:br/>
              <w:t xml:space="preserve">- Key operative points:  </w:t>
            </w:r>
            <w:r w:rsidRPr="00CB2EC4">
              <w:rPr>
                <w:rFonts w:ascii="Times New Roman" w:hAnsi="Times New Roman" w:cs="Times New Roman"/>
              </w:rPr>
              <w:br/>
              <w:t xml:space="preserve">  The procedure requires isolation of the internal iliac artery and double ligation. Specific steps include:  </w:t>
            </w:r>
            <w:r w:rsidRPr="00CB2EC4">
              <w:rPr>
                <w:rFonts w:ascii="Times New Roman" w:hAnsi="Times New Roman" w:cs="Times New Roman"/>
              </w:rPr>
              <w:br/>
              <w:t xml:space="preserve">  1. Expose the internal iliac artery region during surgery (typically after pelvic lymph node dissection).  </w:t>
            </w:r>
            <w:r w:rsidRPr="00CB2EC4">
              <w:rPr>
                <w:rFonts w:ascii="Times New Roman" w:hAnsi="Times New Roman" w:cs="Times New Roman"/>
              </w:rPr>
              <w:br/>
              <w:t xml:space="preserve">  2. Carefully dissect the internal iliac artery to avoid injury to surrounding structures (such as the ureter or veins).  </w:t>
            </w:r>
            <w:r w:rsidRPr="00CB2EC4">
              <w:rPr>
                <w:rFonts w:ascii="Times New Roman" w:hAnsi="Times New Roman" w:cs="Times New Roman"/>
              </w:rPr>
              <w:br/>
              <w:t xml:space="preserve">  3. Perform double ligation using 7-0 silk suture to occlude blood flow.  </w:t>
            </w:r>
            <w:r w:rsidRPr="00CB2EC4">
              <w:rPr>
                <w:rFonts w:ascii="Times New Roman" w:hAnsi="Times New Roman" w:cs="Times New Roman"/>
              </w:rPr>
              <w:br/>
              <w:t xml:space="preserve">  (Source: "Dissect the internal iliac artery and ligate doubly with 7-0 silk"; Figures 7-29 to 7-31.)  </w:t>
            </w:r>
            <w:r w:rsidRPr="00CB2EC4">
              <w:rPr>
                <w:rFonts w:ascii="Times New Roman" w:hAnsi="Times New Roman" w:cs="Times New Roman"/>
              </w:rPr>
              <w:br/>
              <w:t xml:space="preserve">  Preoperative assessment of bleeding risk and gentle dissection during the operation are critical to minimize complications.</w:t>
            </w:r>
          </w:p>
        </w:tc>
        <w:tc>
          <w:tcPr>
            <w:tcW w:w="1152" w:type="dxa"/>
            <w:vAlign w:val="center"/>
          </w:tcPr>
          <w:p w14:paraId="012ADD5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479E7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3B35A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C1417FF" w14:textId="77777777">
        <w:tc>
          <w:tcPr>
            <w:tcW w:w="2160" w:type="dxa"/>
            <w:vAlign w:val="center"/>
          </w:tcPr>
          <w:p w14:paraId="60B6BB7E"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5D43C391" w14:textId="77777777" w:rsidR="00922249" w:rsidRPr="00CB2EC4" w:rsidRDefault="003011D5">
            <w:pPr>
              <w:rPr>
                <w:rFonts w:ascii="Times New Roman" w:hAnsi="Times New Roman" w:cs="Times New Roman"/>
              </w:rPr>
            </w:pPr>
            <w:r w:rsidRPr="00CB2EC4">
              <w:rPr>
                <w:rFonts w:ascii="Times New Roman" w:hAnsi="Times New Roman" w:cs="Times New Roman"/>
              </w:rPr>
              <w:t>indications and key points of internal iliac artery ligation for controlling massive pelvic hemorrhage</w:t>
            </w:r>
            <w:r w:rsidRPr="00CB2EC4">
              <w:rPr>
                <w:rFonts w:ascii="Times New Roman" w:hAnsi="Times New Roman" w:cs="Times New Roman"/>
              </w:rPr>
              <w:br/>
            </w:r>
            <w:r w:rsidRPr="00CB2EC4">
              <w:rPr>
                <w:rFonts w:ascii="Times New Roman" w:hAnsi="Times New Roman" w:cs="Times New Roman"/>
              </w:rPr>
              <w:br/>
              <w:t>In the document, internal iliac artery ligation is described as an important method for controlling massive pelvic hemorrhage. The relevant information is summarized as follows:</w:t>
            </w:r>
            <w:r w:rsidRPr="00CB2EC4">
              <w:rPr>
                <w:rFonts w:ascii="Times New Roman" w:hAnsi="Times New Roman" w:cs="Times New Roman"/>
              </w:rPr>
              <w:br/>
              <w:t>- Indications:</w:t>
            </w:r>
            <w:r w:rsidRPr="00CB2EC4">
              <w:rPr>
                <w:rFonts w:ascii="Times New Roman" w:hAnsi="Times New Roman" w:cs="Times New Roman"/>
              </w:rPr>
              <w:br/>
              <w:t xml:space="preserve">  - Prophylactic ligation of the internal iliac artery is indicated when massive hemorrhage that is difficult to control is anticipated during certain surgeries. </w:t>
            </w:r>
            <w:r w:rsidRPr="00CB2EC4">
              <w:rPr>
                <w:rFonts w:ascii="Times New Roman" w:hAnsi="Times New Roman" w:cs="Times New Roman"/>
              </w:rPr>
              <w:lastRenderedPageBreak/>
              <w:t>Specifically applicable to:</w:t>
            </w:r>
            <w:r w:rsidRPr="00CB2EC4">
              <w:rPr>
                <w:rFonts w:ascii="Times New Roman" w:hAnsi="Times New Roman" w:cs="Times New Roman"/>
              </w:rPr>
              <w:br/>
              <w:t xml:space="preserve">    - Surgeries such as extensive parametrial resection, cervical myomectomy, and wide upper vaginal resection.</w:t>
            </w:r>
            <w:r w:rsidRPr="00CB2EC4">
              <w:rPr>
                <w:rFonts w:ascii="Times New Roman" w:hAnsi="Times New Roman" w:cs="Times New Roman"/>
              </w:rPr>
              <w:br/>
              <w:t xml:space="preserve">    - Extensive adhesions or infiltration around the surgical field (e.g., due to endometriosis, inflammation, or myoma).</w:t>
            </w:r>
            <w:r w:rsidRPr="00CB2EC4">
              <w:rPr>
                <w:rFonts w:ascii="Times New Roman" w:hAnsi="Times New Roman" w:cs="Times New Roman"/>
              </w:rPr>
              <w:br/>
              <w:t xml:space="preserve">    - Patients with existing bleeding tendencies.</w:t>
            </w:r>
            <w:r w:rsidRPr="00CB2EC4">
              <w:rPr>
                <w:rFonts w:ascii="Times New Roman" w:hAnsi="Times New Roman" w:cs="Times New Roman"/>
              </w:rPr>
              <w:br/>
              <w:t xml:space="preserve">  - In cases of extensive bleeding from the parametrium, presacral area, or vagina, if hemostasis is ineffective after gauze pad compression or suture ligation, bilateral internal iliac artery ligation may be performed as a therapeutic measure.</w:t>
            </w:r>
            <w:r w:rsidRPr="00CB2EC4">
              <w:rPr>
                <w:rFonts w:ascii="Times New Roman" w:hAnsi="Times New Roman" w:cs="Times New Roman"/>
              </w:rPr>
              <w:br/>
              <w:t xml:space="preserve">  - Document source: [similarity: 0.535] and [similarity: 0.422] passages.</w:t>
            </w:r>
            <w:r w:rsidRPr="00CB2EC4">
              <w:rPr>
                <w:rFonts w:ascii="Times New Roman" w:hAnsi="Times New Roman" w:cs="Times New Roman"/>
              </w:rPr>
              <w:br/>
            </w:r>
            <w:r w:rsidRPr="00CB2EC4">
              <w:rPr>
                <w:rFonts w:ascii="Times New Roman" w:hAnsi="Times New Roman" w:cs="Times New Roman"/>
              </w:rPr>
              <w:br/>
              <w:t>- Key points of procedure:</w:t>
            </w:r>
            <w:r w:rsidRPr="00CB2EC4">
              <w:rPr>
                <w:rFonts w:ascii="Times New Roman" w:hAnsi="Times New Roman" w:cs="Times New Roman"/>
              </w:rPr>
              <w:br/>
              <w:t xml:space="preserve">  - Exposure site: At the pelvic inlet, medial to the ovarian vessels, expose the point where the ureter crosses the common iliac artery. Carefully dissect the surrounding tissues to avoid ureteral injury.</w:t>
            </w:r>
            <w:r w:rsidRPr="00CB2EC4">
              <w:rPr>
                <w:rFonts w:ascii="Times New Roman" w:hAnsi="Times New Roman" w:cs="Times New Roman"/>
              </w:rPr>
              <w:br/>
              <w:t xml:space="preserve">  - Ligation method: Double-ligate the internal iliac artery with 7-0 silk suture (as shown in Figures 7-29 to 7-31 in the document for separation and ligation). Ensure the vessel is completely freed and the ligation is secure during the procedure.</w:t>
            </w:r>
            <w:r w:rsidRPr="00CB2EC4">
              <w:rPr>
                <w:rFonts w:ascii="Times New Roman" w:hAnsi="Times New Roman" w:cs="Times New Roman"/>
              </w:rPr>
              <w:br/>
              <w:t xml:space="preserve">  - Precautions: Assess bleeding risk before ligation; after ligation, monitor hemostatic effect and combine with other hemostatic measures (such as gauze compression or packing) if necessary.</w:t>
            </w:r>
            <w:r w:rsidRPr="00CB2EC4">
              <w:rPr>
                <w:rFonts w:ascii="Times New Roman" w:hAnsi="Times New Roman" w:cs="Times New Roman"/>
              </w:rPr>
              <w:br/>
              <w:t xml:space="preserve">  - Document source: [similarity: 0.535] and [similarity: 0.422] passages.</w:t>
            </w:r>
          </w:p>
        </w:tc>
        <w:tc>
          <w:tcPr>
            <w:tcW w:w="1152" w:type="dxa"/>
            <w:vAlign w:val="center"/>
          </w:tcPr>
          <w:p w14:paraId="0BB266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618A1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9E688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8BECBBF" w14:textId="77777777">
        <w:tc>
          <w:tcPr>
            <w:tcW w:w="2160" w:type="dxa"/>
            <w:vAlign w:val="center"/>
          </w:tcPr>
          <w:p w14:paraId="59E9827A"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E3F7170" w14:textId="77777777" w:rsidR="00922249" w:rsidRPr="00CB2EC4" w:rsidRDefault="003011D5">
            <w:pPr>
              <w:rPr>
                <w:rFonts w:ascii="Times New Roman" w:hAnsi="Times New Roman" w:cs="Times New Roman"/>
              </w:rPr>
            </w:pPr>
            <w:r w:rsidRPr="00CB2EC4">
              <w:rPr>
                <w:rFonts w:ascii="Times New Roman" w:hAnsi="Times New Roman" w:cs="Times New Roman"/>
              </w:rPr>
              <w:t>indications and key points for internal iliac artery ligation in controlling massive pelvic hemorrhage:</w:t>
            </w:r>
            <w:r w:rsidRPr="00CB2EC4">
              <w:rPr>
                <w:rFonts w:ascii="Times New Roman" w:hAnsi="Times New Roman" w:cs="Times New Roman"/>
              </w:rPr>
              <w:br/>
            </w:r>
            <w:r w:rsidRPr="00CB2EC4">
              <w:rPr>
                <w:rFonts w:ascii="Times New Roman" w:hAnsi="Times New Roman" w:cs="Times New Roman"/>
              </w:rPr>
              <w:lastRenderedPageBreak/>
              <w:br/>
              <w:t>- Indications:</w:t>
            </w:r>
            <w:r w:rsidRPr="00CB2EC4">
              <w:rPr>
                <w:rFonts w:ascii="Times New Roman" w:hAnsi="Times New Roman" w:cs="Times New Roman"/>
              </w:rPr>
              <w:br/>
              <w:t xml:space="preserve">  - As a prophylactic measure when difficult-to-control hemorrhage is anticipated during certain surgeries, such as extensive parametrial tissue resection, cervical myomectomy, or wide upper vaginal resection, particularly in cases with extensive adhesions, infiltration, or pre-existing bleeding tendency in surrounding tissues (Document Fragment 1).</w:t>
            </w:r>
            <w:r w:rsidRPr="00CB2EC4">
              <w:rPr>
                <w:rFonts w:ascii="Times New Roman" w:hAnsi="Times New Roman" w:cs="Times New Roman"/>
              </w:rPr>
              <w:br/>
              <w:t xml:space="preserve">  - For therapeutic hemostasis: when extensive bleeding occurs in the parametrial, presacral, or vaginal regions and other methods (e.g., gauze packing or suturing) fail, bilateral internal iliac artery ligation may be performed (Document Fragment 1).</w:t>
            </w:r>
            <w:r w:rsidRPr="00CB2EC4">
              <w:rPr>
                <w:rFonts w:ascii="Times New Roman" w:hAnsi="Times New Roman" w:cs="Times New Roman"/>
              </w:rPr>
              <w:br/>
            </w:r>
            <w:r w:rsidRPr="00CB2EC4">
              <w:rPr>
                <w:rFonts w:ascii="Times New Roman" w:hAnsi="Times New Roman" w:cs="Times New Roman"/>
              </w:rPr>
              <w:br/>
              <w:t>- Key operative points:</w:t>
            </w:r>
            <w:r w:rsidRPr="00CB2EC4">
              <w:rPr>
                <w:rFonts w:ascii="Times New Roman" w:hAnsi="Times New Roman" w:cs="Times New Roman"/>
              </w:rPr>
              <w:br/>
              <w:t xml:space="preserve">  - Exposure site: At the pelvic inlet, medial to the ovarian vessels, expose the area where the ureter crosses the common iliac artery (Document Fragment 1).</w:t>
            </w:r>
            <w:r w:rsidRPr="00CB2EC4">
              <w:rPr>
                <w:rFonts w:ascii="Times New Roman" w:hAnsi="Times New Roman" w:cs="Times New Roman"/>
              </w:rPr>
              <w:br/>
              <w:t xml:space="preserve">  - Tissue dissection: Carefully dissect the tissues around the internal iliac artery to ensure accurate identification of the vessel (Document Fragment 1).</w:t>
            </w:r>
            <w:r w:rsidRPr="00CB2EC4">
              <w:rPr>
                <w:rFonts w:ascii="Times New Roman" w:hAnsi="Times New Roman" w:cs="Times New Roman"/>
              </w:rPr>
              <w:br/>
              <w:t xml:space="preserve">  - Ligation technique: Perform double ligation (i.e., two ligatures for enhanced reliability) using 7-0 silk suture, typically via an extraperitoneal approach (Document Fragment 7). The ligature should be placed distal to the posterior branches of the internal iliac artery.</w:t>
            </w:r>
            <w:r w:rsidRPr="00CB2EC4">
              <w:rPr>
                <w:rFonts w:ascii="Times New Roman" w:hAnsi="Times New Roman" w:cs="Times New Roman"/>
              </w:rPr>
              <w:br/>
              <w:t xml:space="preserve">  - Precautions: Avoid injury to adjacent structures such as the ureter and ensure complete hemostasis during the procedure.</w:t>
            </w:r>
            <w:r w:rsidRPr="00CB2EC4">
              <w:rPr>
                <w:rFonts w:ascii="Times New Roman" w:hAnsi="Times New Roman" w:cs="Times New Roman"/>
              </w:rPr>
              <w:br/>
            </w:r>
            <w:r w:rsidRPr="00CB2EC4">
              <w:rPr>
                <w:rFonts w:ascii="Times New Roman" w:hAnsi="Times New Roman" w:cs="Times New Roman"/>
              </w:rPr>
              <w:br/>
              <w:t xml:space="preserve">This response is based on specific descriptions from </w:t>
            </w:r>
            <w:r w:rsidRPr="00CB2EC4">
              <w:rPr>
                <w:rFonts w:ascii="Times New Roman" w:hAnsi="Times New Roman" w:cs="Times New Roman"/>
              </w:rPr>
              <w:lastRenderedPageBreak/>
              <w:t>Document Fragment 1 (relevance: 0.9172) and Document Fragment 7 (relevance: 0.3295).</w:t>
            </w:r>
          </w:p>
        </w:tc>
        <w:tc>
          <w:tcPr>
            <w:tcW w:w="1152" w:type="dxa"/>
            <w:vAlign w:val="center"/>
          </w:tcPr>
          <w:p w14:paraId="12EFBD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252A7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7E3C9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E266BDC" w14:textId="77777777">
        <w:tc>
          <w:tcPr>
            <w:tcW w:w="2160" w:type="dxa"/>
            <w:vAlign w:val="center"/>
          </w:tcPr>
          <w:p w14:paraId="5A9B3CCC"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RSE</w:t>
            </w:r>
          </w:p>
        </w:tc>
        <w:tc>
          <w:tcPr>
            <w:tcW w:w="5040" w:type="dxa"/>
            <w:vAlign w:val="center"/>
          </w:tcPr>
          <w:p w14:paraId="107832D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Indications and key operative points of internal iliac artery ligation in controlling massive pelvic hemorrhage  </w:t>
            </w:r>
            <w:r w:rsidRPr="00CB2EC4">
              <w:rPr>
                <w:rFonts w:ascii="Times New Roman" w:hAnsi="Times New Roman" w:cs="Times New Roman"/>
              </w:rPr>
              <w:br/>
            </w:r>
            <w:r w:rsidRPr="00CB2EC4">
              <w:rPr>
                <w:rFonts w:ascii="Times New Roman" w:hAnsi="Times New Roman" w:cs="Times New Roman"/>
              </w:rPr>
              <w:br/>
              <w:t xml:space="preserve">- Indications:  </w:t>
            </w:r>
            <w:r w:rsidRPr="00CB2EC4">
              <w:rPr>
                <w:rFonts w:ascii="Times New Roman" w:hAnsi="Times New Roman" w:cs="Times New Roman"/>
              </w:rPr>
              <w:br/>
              <w:t xml:space="preserve">  - Prophylactic ligation is indicated when significant uncontrollable bleeding is anticipated during certain surgeries, such as extensive parametrial resection, cervical myomectomy, or wide upper vaginal resection, particularly in cases with extensive adhesions, infiltration, or pre-existing bleeding tendency (source: "Prophylactic ligation may be performed when significant uncontrollable bleeding is anticipated during certain surgeries, such as extensive parametrial resection, cervical myomectomy, or wide upper vaginal resection, especially in cases with extensive adhesions, infiltration, or pre-existing bleeding tendency.").  </w:t>
            </w:r>
            <w:r w:rsidRPr="00CB2EC4">
              <w:rPr>
                <w:rFonts w:ascii="Times New Roman" w:hAnsi="Times New Roman" w:cs="Times New Roman"/>
              </w:rPr>
              <w:br/>
              <w:t xml:space="preserve">  - Therapeutic ligation is indicated for extensive bleeding in the parametrial, presacral, or vaginal regions that fails to respond to compression with gauze pads or suture ligation (source: "Ligation of the internal iliac artery is suitable for extensive bleeding in the parametrial, presacral, or vaginal regions that does not respond to compression with gauze pads or suture ligation; bilateral internal iliac artery ligation may be performed.").  </w:t>
            </w:r>
            <w:r w:rsidRPr="00CB2EC4">
              <w:rPr>
                <w:rFonts w:ascii="Times New Roman" w:hAnsi="Times New Roman" w:cs="Times New Roman"/>
              </w:rPr>
              <w:br/>
              <w:t xml:space="preserve">- Key operative points:  </w:t>
            </w:r>
            <w:r w:rsidRPr="00CB2EC4">
              <w:rPr>
                <w:rFonts w:ascii="Times New Roman" w:hAnsi="Times New Roman" w:cs="Times New Roman"/>
              </w:rPr>
              <w:br/>
              <w:t xml:space="preserve">  - Localization: At the pelvic inlet, medial to the ovarian vessels, expose the crossing point of the ureter and the common iliac artery, free the surrounding tissues to clearly identify the bifurcation of the </w:t>
            </w:r>
            <w:r w:rsidRPr="00CB2EC4">
              <w:rPr>
                <w:rFonts w:ascii="Times New Roman" w:hAnsi="Times New Roman" w:cs="Times New Roman"/>
              </w:rPr>
              <w:lastRenderedPageBreak/>
              <w:t xml:space="preserve">internal and external iliac arteries (source: "At the pelvic inlet, medial to the ovarian vessels, expose the crossing point of the ureter and the common iliac artery, and free the surrounding tissues to clearly visualize the bifurcation of the internal and external iliac arteries.").  </w:t>
            </w:r>
            <w:r w:rsidRPr="00CB2EC4">
              <w:rPr>
                <w:rFonts w:ascii="Times New Roman" w:hAnsi="Times New Roman" w:cs="Times New Roman"/>
              </w:rPr>
              <w:br/>
              <w:t xml:space="preserve">  - Vessel dissection: Follow the internal iliac artery distally for approximately 1 cm, use long curved or right-angle vascular clamps to separate the connective tissue parallel to the vessel, further dissect closely beneath the arterial wall to separate it from adjacent veins and tissues, taking care to avoid injury to the thin-walled internal iliac vein (source: "Dissect along the internal iliac artery distally for approximately 1 cm, then use long curved or right-angle vascular clamps to separate the connective tissue parallel to the vessel. Further dissect closely beneath the arterial wall to separate it from adjacent veins and tissues, taking care to avoid injuring the thin-walled internal iliac vein.").  </w:t>
            </w:r>
            <w:r w:rsidRPr="00CB2EC4">
              <w:rPr>
                <w:rFonts w:ascii="Times New Roman" w:hAnsi="Times New Roman" w:cs="Times New Roman"/>
              </w:rPr>
              <w:br/>
              <w:t xml:space="preserve">  - Ligation technique: Perform double ligation using 7-0 silk suture; the vessel need not be transected (source: "Perform double ligation using 7-0 silk suture; the vessel does not need to be transected.").</w:t>
            </w:r>
          </w:p>
        </w:tc>
        <w:tc>
          <w:tcPr>
            <w:tcW w:w="1152" w:type="dxa"/>
            <w:vAlign w:val="center"/>
          </w:tcPr>
          <w:p w14:paraId="6E43BF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81FC1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53FDD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EF9A28" w14:textId="77777777">
        <w:tc>
          <w:tcPr>
            <w:tcW w:w="2160" w:type="dxa"/>
            <w:vAlign w:val="center"/>
          </w:tcPr>
          <w:p w14:paraId="5304D939"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C0E34B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**Indications**: Internal iliac artery ligation is indicated for uncontrolled pelvic hemorrhage during or after surgery, commonly encountered in gynecologic oncology procedures (e.g., radical hysterectomy for cervical cancer) due to accidental vascular injury, postpartum hemorrhage, or traumatic bleeding. Specific indications include:  </w:t>
            </w:r>
            <w:r w:rsidRPr="00CB2EC4">
              <w:rPr>
                <w:rFonts w:ascii="Times New Roman" w:hAnsi="Times New Roman" w:cs="Times New Roman"/>
              </w:rPr>
              <w:br/>
              <w:t xml:space="preserve">  </w:t>
            </w:r>
            <w:r w:rsidRPr="00CB2EC4">
              <w:rPr>
                <w:rFonts w:ascii="宋体" w:eastAsia="宋体" w:hAnsi="宋体" w:cs="宋体" w:hint="eastAsia"/>
              </w:rPr>
              <w:t>①</w:t>
            </w:r>
            <w:r w:rsidRPr="00CB2EC4">
              <w:rPr>
                <w:rFonts w:ascii="Times New Roman" w:hAnsi="Times New Roman" w:cs="Times New Roman"/>
              </w:rPr>
              <w:t xml:space="preserve"> Failure of conservative hemostatic methods (e.g., compression or electrocoagulation);  </w:t>
            </w:r>
            <w:r w:rsidRPr="00CB2EC4">
              <w:rPr>
                <w:rFonts w:ascii="Times New Roman" w:hAnsi="Times New Roman" w:cs="Times New Roman"/>
              </w:rPr>
              <w:br/>
            </w:r>
            <w:r w:rsidRPr="00CB2EC4">
              <w:rPr>
                <w:rFonts w:ascii="Times New Roman" w:hAnsi="Times New Roman" w:cs="Times New Roman"/>
              </w:rPr>
              <w:lastRenderedPageBreak/>
              <w:t xml:space="preserve">  </w:t>
            </w:r>
            <w:r w:rsidRPr="00CB2EC4">
              <w:rPr>
                <w:rFonts w:ascii="宋体" w:eastAsia="宋体" w:hAnsi="宋体" w:cs="宋体" w:hint="eastAsia"/>
              </w:rPr>
              <w:t>②</w:t>
            </w:r>
            <w:r w:rsidRPr="00CB2EC4">
              <w:rPr>
                <w:rFonts w:ascii="Times New Roman" w:hAnsi="Times New Roman" w:cs="Times New Roman"/>
              </w:rPr>
              <w:t xml:space="preserve"> Bleeding originating from branches of the internal iliac artery (e.g., uterine or vaginal arteries);  </w:t>
            </w:r>
            <w:r w:rsidRPr="00CB2EC4">
              <w:rPr>
                <w:rFonts w:ascii="Times New Roman" w:hAnsi="Times New Roman" w:cs="Times New Roman"/>
              </w:rPr>
              <w:br/>
              <w:t xml:space="preserve">  </w:t>
            </w:r>
            <w:r w:rsidRPr="00CB2EC4">
              <w:rPr>
                <w:rFonts w:ascii="宋体" w:eastAsia="宋体" w:hAnsi="宋体" w:cs="宋体" w:hint="eastAsia"/>
              </w:rPr>
              <w:t>③</w:t>
            </w:r>
            <w:r w:rsidRPr="00CB2EC4">
              <w:rPr>
                <w:rFonts w:ascii="Times New Roman" w:hAnsi="Times New Roman" w:cs="Times New Roman"/>
              </w:rPr>
              <w:t xml:space="preserve"> Hemodynamic instability in the patient requiring rapid hemorrhage control to save life.  </w:t>
            </w:r>
            <w:r w:rsidRPr="00CB2EC4">
              <w:rPr>
                <w:rFonts w:ascii="Times New Roman" w:hAnsi="Times New Roman" w:cs="Times New Roman"/>
              </w:rPr>
              <w:br/>
              <w:t xml:space="preserve">- **Key operative steps**:  </w:t>
            </w:r>
            <w:r w:rsidRPr="00CB2EC4">
              <w:rPr>
                <w:rFonts w:ascii="Times New Roman" w:hAnsi="Times New Roman" w:cs="Times New Roman"/>
              </w:rPr>
              <w:br/>
              <w:t xml:space="preserve">  </w:t>
            </w:r>
            <w:r w:rsidRPr="00CB2EC4">
              <w:rPr>
                <w:rFonts w:ascii="宋体" w:eastAsia="宋体" w:hAnsi="宋体" w:cs="宋体" w:hint="eastAsia"/>
              </w:rPr>
              <w:t>①</w:t>
            </w:r>
            <w:r w:rsidRPr="00CB2EC4">
              <w:rPr>
                <w:rFonts w:ascii="Times New Roman" w:hAnsi="Times New Roman" w:cs="Times New Roman"/>
              </w:rPr>
              <w:t xml:space="preserve"> Expose the bifurcation of the common iliac artery and identify the internal iliac artery (located medial to the external iliac artery);  </w:t>
            </w:r>
            <w:r w:rsidRPr="00CB2EC4">
              <w:rPr>
                <w:rFonts w:ascii="Times New Roman" w:hAnsi="Times New Roman" w:cs="Times New Roman"/>
              </w:rPr>
              <w:br/>
              <w:t xml:space="preserve">  </w:t>
            </w:r>
            <w:r w:rsidRPr="00CB2EC4">
              <w:rPr>
                <w:rFonts w:ascii="宋体" w:eastAsia="宋体" w:hAnsi="宋体" w:cs="宋体" w:hint="eastAsia"/>
              </w:rPr>
              <w:t>②</w:t>
            </w:r>
            <w:r w:rsidRPr="00CB2EC4">
              <w:rPr>
                <w:rFonts w:ascii="Times New Roman" w:hAnsi="Times New Roman" w:cs="Times New Roman"/>
              </w:rPr>
              <w:t xml:space="preserve"> Dissect the internal iliac artery approximately 2–3 cm distal to its origin, avoiding injury to the adjacent ureter and iliac vein;  </w:t>
            </w:r>
            <w:r w:rsidRPr="00CB2EC4">
              <w:rPr>
                <w:rFonts w:ascii="Times New Roman" w:hAnsi="Times New Roman" w:cs="Times New Roman"/>
              </w:rPr>
              <w:br/>
              <w:t xml:space="preserve">  </w:t>
            </w:r>
            <w:r w:rsidRPr="00CB2EC4">
              <w:rPr>
                <w:rFonts w:ascii="宋体" w:eastAsia="宋体" w:hAnsi="宋体" w:cs="宋体" w:hint="eastAsia"/>
              </w:rPr>
              <w:t>③</w:t>
            </w:r>
            <w:r w:rsidRPr="00CB2EC4">
              <w:rPr>
                <w:rFonts w:ascii="Times New Roman" w:hAnsi="Times New Roman" w:cs="Times New Roman"/>
              </w:rPr>
              <w:t xml:space="preserve"> Double-ligate the artery using non-absorbable suture (e.g., silk) at a site distal to the branching point to prevent disruption of collateral circulation;  </w:t>
            </w:r>
            <w:r w:rsidRPr="00CB2EC4">
              <w:rPr>
                <w:rFonts w:ascii="Times New Roman" w:hAnsi="Times New Roman" w:cs="Times New Roman"/>
              </w:rPr>
              <w:br/>
              <w:t xml:space="preserve">  </w:t>
            </w:r>
            <w:r w:rsidRPr="00CB2EC4">
              <w:rPr>
                <w:rFonts w:ascii="宋体" w:eastAsia="宋体" w:hAnsi="宋体" w:cs="宋体" w:hint="eastAsia"/>
              </w:rPr>
              <w:t>④</w:t>
            </w:r>
            <w:r w:rsidRPr="00CB2EC4">
              <w:rPr>
                <w:rFonts w:ascii="Times New Roman" w:hAnsi="Times New Roman" w:cs="Times New Roman"/>
              </w:rPr>
              <w:t xml:space="preserve"> Maintain gentle traction throughout the procedure to avoid vascular tearing from excessive manipulation;  </w:t>
            </w:r>
            <w:r w:rsidRPr="00CB2EC4">
              <w:rPr>
                <w:rFonts w:ascii="Times New Roman" w:hAnsi="Times New Roman" w:cs="Times New Roman"/>
              </w:rPr>
              <w:br/>
              <w:t xml:space="preserve">  </w:t>
            </w:r>
            <w:r w:rsidRPr="00CB2EC4">
              <w:rPr>
                <w:rFonts w:ascii="宋体" w:eastAsia="宋体" w:hAnsi="宋体" w:cs="宋体" w:hint="eastAsia"/>
              </w:rPr>
              <w:t>⑤</w:t>
            </w:r>
            <w:r w:rsidRPr="00CB2EC4">
              <w:rPr>
                <w:rFonts w:ascii="Times New Roman" w:hAnsi="Times New Roman" w:cs="Times New Roman"/>
              </w:rPr>
              <w:t xml:space="preserve"> Postoperatively monitor lower limb perfusion to prevent ischemic complications.</w:t>
            </w:r>
          </w:p>
        </w:tc>
        <w:tc>
          <w:tcPr>
            <w:tcW w:w="1152" w:type="dxa"/>
            <w:vAlign w:val="center"/>
          </w:tcPr>
          <w:p w14:paraId="480A89C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7559E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ABF6E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5C60BC6" w14:textId="77777777">
        <w:tc>
          <w:tcPr>
            <w:tcW w:w="10656" w:type="dxa"/>
            <w:gridSpan w:val="5"/>
            <w:tcBorders>
              <w:bottom w:val="single" w:sz="6" w:space="0" w:color="auto"/>
            </w:tcBorders>
            <w:vAlign w:val="center"/>
          </w:tcPr>
          <w:p w14:paraId="3EF9F202"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192: During a pelvic exenteration, how should the iliac vessels that are adherent to the tumor be managed to avoid injury?</w:t>
            </w:r>
          </w:p>
        </w:tc>
      </w:tr>
      <w:tr w:rsidR="00922249" w:rsidRPr="00CB2EC4" w14:paraId="1BC56C86" w14:textId="77777777">
        <w:tc>
          <w:tcPr>
            <w:tcW w:w="2160" w:type="dxa"/>
            <w:vAlign w:val="center"/>
          </w:tcPr>
          <w:p w14:paraId="69BE649F"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82722B8"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the iliac vessels adherent to the tumor during radical pelvic surgery to avoid injury:</w:t>
            </w:r>
            <w:r w:rsidRPr="00CB2EC4">
              <w:rPr>
                <w:rFonts w:ascii="Times New Roman" w:hAnsi="Times New Roman" w:cs="Times New Roman"/>
              </w:rPr>
              <w:br/>
            </w:r>
            <w:r w:rsidRPr="00CB2EC4">
              <w:rPr>
                <w:rFonts w:ascii="Times New Roman" w:hAnsi="Times New Roman" w:cs="Times New Roman"/>
              </w:rPr>
              <w:br/>
              <w:t>- If the obturator lymph nodes are adherent to the external iliac vein, avoid forceful dissection from the medial side. First dissect the psoas major muscle and the common (external) iliac artery and vein, then perform dissection from the lateral side to free the external iliac artery and vein, exposing the positions of the pelvic sidewall vessels and nerves (source: similarity 0.446, range 856-858).</w:t>
            </w:r>
            <w:r w:rsidRPr="00CB2EC4">
              <w:rPr>
                <w:rFonts w:ascii="Times New Roman" w:hAnsi="Times New Roman" w:cs="Times New Roman"/>
              </w:rPr>
              <w:br/>
              <w:t xml:space="preserve">- If the involved lymph nodes are tightly adherent to </w:t>
            </w:r>
            <w:r w:rsidRPr="00CB2EC4">
              <w:rPr>
                <w:rFonts w:ascii="Times New Roman" w:hAnsi="Times New Roman" w:cs="Times New Roman"/>
              </w:rPr>
              <w:lastRenderedPageBreak/>
              <w:t>the internal iliac artery, separate the connected vascular segments above and below the mass, ligate and cut them, and resect a segment of the vessel along with the mass (source: similarity 0.446, range 856-858).</w:t>
            </w:r>
            <w:r w:rsidRPr="00CB2EC4">
              <w:rPr>
                <w:rFonts w:ascii="Times New Roman" w:hAnsi="Times New Roman" w:cs="Times New Roman"/>
              </w:rPr>
              <w:br/>
              <w:t>- For cases where the tumor is tightly adherent to or locally infiltrates the iliac vessel wall, free the vessel above and below the involved segment, clamp temporarily with atraumatic vascular clamps to interrupt blood flow, and then dissect the mass away (source: similarity 0.446, range 856-858).</w:t>
            </w:r>
          </w:p>
        </w:tc>
        <w:tc>
          <w:tcPr>
            <w:tcW w:w="1152" w:type="dxa"/>
            <w:vAlign w:val="center"/>
          </w:tcPr>
          <w:p w14:paraId="206BC9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21C547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3E10D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9EC7A83" w14:textId="77777777">
        <w:tc>
          <w:tcPr>
            <w:tcW w:w="2160" w:type="dxa"/>
            <w:vAlign w:val="center"/>
          </w:tcPr>
          <w:p w14:paraId="7FE10D4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7C7F46C"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the iliac vessels adherent to the tumor during radical pelvic surgery to avoid injury</w:t>
            </w:r>
            <w:r w:rsidRPr="00CB2EC4">
              <w:rPr>
                <w:rFonts w:ascii="Times New Roman" w:hAnsi="Times New Roman" w:cs="Times New Roman"/>
              </w:rPr>
              <w:br/>
            </w:r>
            <w:r w:rsidRPr="00CB2EC4">
              <w:rPr>
                <w:rFonts w:ascii="Times New Roman" w:hAnsi="Times New Roman" w:cs="Times New Roman"/>
              </w:rPr>
              <w:br/>
              <w:t>based on document segment 7 (block 955) and segment 23 (block 956):</w:t>
            </w:r>
            <w:r w:rsidRPr="00CB2EC4">
              <w:rPr>
                <w:rFonts w:ascii="Times New Roman" w:hAnsi="Times New Roman" w:cs="Times New Roman"/>
              </w:rPr>
              <w:br/>
              <w:t>- principle: avoid forceful dissection; prioritize lateral approach or vascular occlusion techniques to reduce injury risk.</w:t>
            </w:r>
            <w:r w:rsidRPr="00CB2EC4">
              <w:rPr>
                <w:rFonts w:ascii="Times New Roman" w:hAnsi="Times New Roman" w:cs="Times New Roman"/>
              </w:rPr>
              <w:br/>
              <w:t>- specific methods:</w:t>
            </w:r>
            <w:r w:rsidRPr="00CB2EC4">
              <w:rPr>
                <w:rFonts w:ascii="Times New Roman" w:hAnsi="Times New Roman" w:cs="Times New Roman"/>
              </w:rPr>
              <w:br/>
              <w:t xml:space="preserve">  1. lateral dissection technique: when lymph nodes adhere to the external iliac vein, first dissect the psoas major muscle and the common iliac (external iliac) artery and vein to expose the vessels laterally. this clearly displays the positions of pelvic sidewall vessels and nerves, enabling safe lymph node resection. the text emphasizes: "first dissect the psoas major muscle and the common (external) iliac artery and vein; it is advisable to dissect from the lateral side... safe resection of lymph nodes in this area can be achieved."</w:t>
            </w:r>
            <w:r w:rsidRPr="00CB2EC4">
              <w:rPr>
                <w:rFonts w:ascii="Times New Roman" w:hAnsi="Times New Roman" w:cs="Times New Roman"/>
              </w:rPr>
              <w:br/>
              <w:t xml:space="preserve">  2. partial vessel resection: if lymph nodes are tightly adherent to the internal iliac artery, separate the vessel above and below the mass, divide and ligate the </w:t>
            </w:r>
            <w:r w:rsidRPr="00CB2EC4">
              <w:rPr>
                <w:rFonts w:ascii="Times New Roman" w:hAnsi="Times New Roman" w:cs="Times New Roman"/>
              </w:rPr>
              <w:lastRenderedPageBreak/>
              <w:t>involved segment, and resect the vessel along with the mass.</w:t>
            </w:r>
            <w:r w:rsidRPr="00CB2EC4">
              <w:rPr>
                <w:rFonts w:ascii="Times New Roman" w:hAnsi="Times New Roman" w:cs="Times New Roman"/>
              </w:rPr>
              <w:br/>
              <w:t xml:space="preserve">  3. temporary vascular occlusion: for tumors tightly adherent to the venous wall, after freeing the involved vessel above and below, use atraumatic vascular clamps to temporarily occlude blood flow, then dissect the mass. the text states: "temporary occlusion of major vessels... after freeing above and below the involved vessel, clamp temporarily with atraumatic vascular clamps, then dissect the mass; this increases safety."</w:t>
            </w:r>
            <w:r w:rsidRPr="00CB2EC4">
              <w:rPr>
                <w:rFonts w:ascii="Times New Roman" w:hAnsi="Times New Roman" w:cs="Times New Roman"/>
              </w:rPr>
              <w:br/>
              <w:t xml:space="preserve">  4. careful dissection: when resecting lymph nodes in the common iliac artery area, meticulously dissect the surface adipose tissue to avoid accidental injury to the common iliac vein or vena cava; ligate accompanying veins if necessary.</w:t>
            </w:r>
            <w:r w:rsidRPr="00CB2EC4">
              <w:rPr>
                <w:rFonts w:ascii="Times New Roman" w:hAnsi="Times New Roman" w:cs="Times New Roman"/>
              </w:rPr>
              <w:br/>
            </w:r>
            <w:r w:rsidRPr="00CB2EC4">
              <w:rPr>
                <w:rFonts w:ascii="Times New Roman" w:hAnsi="Times New Roman" w:cs="Times New Roman"/>
              </w:rPr>
              <w:br/>
              <w:t>relevant text citations: "the lateral side of obturator lymph nodes sometimes adheres to the external iliac vein... forceful medial removal may injure the vessel and cause massive bleeding... the connected vessel segment above and below the mass can be separated, divided, and ligated" (segment 7); "temporary occlusion of major vessels... clamp with atraumatic vascular clamps" (segment 23).</w:t>
            </w:r>
          </w:p>
        </w:tc>
        <w:tc>
          <w:tcPr>
            <w:tcW w:w="1152" w:type="dxa"/>
            <w:vAlign w:val="center"/>
          </w:tcPr>
          <w:p w14:paraId="4CF8CE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027C9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15E4E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8179E9C" w14:textId="77777777">
        <w:tc>
          <w:tcPr>
            <w:tcW w:w="2160" w:type="dxa"/>
            <w:vAlign w:val="center"/>
          </w:tcPr>
          <w:p w14:paraId="3024E191"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1EE4BE6"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iliac vessels adherent to tumor during radical pelvic surgery to avoid injury:</w:t>
            </w:r>
            <w:r w:rsidRPr="00CB2EC4">
              <w:rPr>
                <w:rFonts w:ascii="Times New Roman" w:hAnsi="Times New Roman" w:cs="Times New Roman"/>
              </w:rPr>
              <w:br/>
            </w:r>
            <w:r w:rsidRPr="00CB2EC4">
              <w:rPr>
                <w:rFonts w:ascii="Times New Roman" w:hAnsi="Times New Roman" w:cs="Times New Roman"/>
              </w:rPr>
              <w:br/>
              <w:t xml:space="preserve">- dissect and free the vessels from the lateral side: if lymph nodes or tumor adhere to the external iliac vein, first dissect the psoas major muscle and the common/external iliac artery and vein, separating from the lateral aspect. this allows full mobilization of the external iliac artery and vein, exposing the </w:t>
            </w:r>
            <w:r w:rsidRPr="00CB2EC4">
              <w:rPr>
                <w:rFonts w:ascii="Times New Roman" w:hAnsi="Times New Roman" w:cs="Times New Roman"/>
              </w:rPr>
              <w:lastRenderedPageBreak/>
              <w:t>position of neurovascular structures on the pelvic sidewall, enabling safe resection of adherent tissue (document fragment 1).</w:t>
            </w:r>
            <w:r w:rsidRPr="00CB2EC4">
              <w:rPr>
                <w:rFonts w:ascii="Times New Roman" w:hAnsi="Times New Roman" w:cs="Times New Roman"/>
              </w:rPr>
              <w:br/>
              <w:t>- temporary major vessel occlusion: when the tumor is densely adherent to or suspected of infiltrating the iliac vessel wall (especially the vein wall), dissect above and below the involved vessel segment, temporarily clamp the blood flow with atraumatic vascular clamps, then dissect the mass. this enhances safety (document fragment 2).</w:t>
            </w:r>
            <w:r w:rsidRPr="00CB2EC4">
              <w:rPr>
                <w:rFonts w:ascii="Times New Roman" w:hAnsi="Times New Roman" w:cs="Times New Roman"/>
              </w:rPr>
              <w:br/>
              <w:t>- partial vessel resection: if involved lymph nodes adhere tightly to the internal iliac artery, separate the connected vascular segments above and below the mass, divide and ligate the artery, and resect a segment of the vessel along with the mass (document fragment 1). emphasize meticulous dissection, avoid forceful traction, and use instruments such as an ultrasonic scalpel for separation (document fragment 7).</w:t>
            </w:r>
            <w:r w:rsidRPr="00CB2EC4">
              <w:rPr>
                <w:rFonts w:ascii="Times New Roman" w:hAnsi="Times New Roman" w:cs="Times New Roman"/>
              </w:rPr>
              <w:br/>
              <w:t>- general principles: when dissecting lymph nodes, operate with caution, especially in the area between the internal and external iliac vessels where bleeding is common; ligate fatty lymphatic tissue individually (document fragment 28). for deep infiltration, resect only the visceral branches of the internal iliac artery rather than the entire main trunk (document fragment 11).</w:t>
            </w:r>
          </w:p>
        </w:tc>
        <w:tc>
          <w:tcPr>
            <w:tcW w:w="1152" w:type="dxa"/>
            <w:vAlign w:val="center"/>
          </w:tcPr>
          <w:p w14:paraId="7DE270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2FBFB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7F474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64C0C84" w14:textId="77777777">
        <w:tc>
          <w:tcPr>
            <w:tcW w:w="2160" w:type="dxa"/>
            <w:vAlign w:val="center"/>
          </w:tcPr>
          <w:p w14:paraId="0D2C75E1"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DB2FCD8"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iliac vessels adherent to the tumor during radical pelvic surgery to avoid injury</w:t>
            </w:r>
            <w:r w:rsidRPr="00CB2EC4">
              <w:rPr>
                <w:rFonts w:ascii="Times New Roman" w:hAnsi="Times New Roman" w:cs="Times New Roman"/>
              </w:rPr>
              <w:br/>
            </w:r>
            <w:r w:rsidRPr="00CB2EC4">
              <w:rPr>
                <w:rFonts w:ascii="Times New Roman" w:hAnsi="Times New Roman" w:cs="Times New Roman"/>
              </w:rPr>
              <w:br/>
              <w:t>source synthesis (knowledge base §1.6 + §16.2.3):</w:t>
            </w:r>
            <w:r w:rsidRPr="00CB2EC4">
              <w:rPr>
                <w:rFonts w:ascii="Times New Roman" w:hAnsi="Times New Roman" w:cs="Times New Roman"/>
              </w:rPr>
              <w:br/>
              <w:t xml:space="preserve">1. Preoperative assessment: use imaging to clarify the relationship between the tumor and vessels; prepare vascular anastomosis instruments for cases with </w:t>
            </w:r>
            <w:r w:rsidRPr="00CB2EC4">
              <w:rPr>
                <w:rFonts w:ascii="Times New Roman" w:hAnsi="Times New Roman" w:cs="Times New Roman"/>
              </w:rPr>
              <w:lastRenderedPageBreak/>
              <w:t>severe adhesion.</w:t>
            </w:r>
            <w:r w:rsidRPr="00CB2EC4">
              <w:rPr>
                <w:rFonts w:ascii="Times New Roman" w:hAnsi="Times New Roman" w:cs="Times New Roman"/>
              </w:rPr>
              <w:br/>
              <w:t>2. Intraoperative strategies:</w:t>
            </w:r>
            <w:r w:rsidRPr="00CB2EC4">
              <w:rPr>
                <w:rFonts w:ascii="Times New Roman" w:hAnsi="Times New Roman" w:cs="Times New Roman"/>
              </w:rPr>
              <w:br/>
              <w:t xml:space="preserve">   - Temporary vascular occlusion: after dissecting the proximal and distal segments of the iliac vessels involved by the tumor, use atraumatic vascular clamps to temporarily block blood flow, then dissect the tumor (knowledge base §16.2.3).</w:t>
            </w:r>
            <w:r w:rsidRPr="00CB2EC4">
              <w:rPr>
                <w:rFonts w:ascii="Times New Roman" w:hAnsi="Times New Roman" w:cs="Times New Roman"/>
              </w:rPr>
              <w:br/>
              <w:t xml:space="preserve">   - Operation in the obturator area: when metastatic lymph nodes adhere to the external iliac vein, avoid forceful medial traction. Adopt the "lateral dissection technique" proposed by Yang Xuezhi: first dissect the psoas major and common iliac vessels, expose the lateral wall vessels and nerves, then resect the lymph nodes (knowledge base §1.6).</w:t>
            </w:r>
            <w:r w:rsidRPr="00CB2EC4">
              <w:rPr>
                <w:rFonts w:ascii="Times New Roman" w:hAnsi="Times New Roman" w:cs="Times New Roman"/>
              </w:rPr>
              <w:br/>
              <w:t xml:space="preserve">   - Vascular resection and reconstruction: if lymph nodes are tightly adhered to the internal iliac artery, resect the involved vascular segment and perform end-to-end anastomosis (knowledge base §16.2.3).</w:t>
            </w:r>
            <w:r w:rsidRPr="00CB2EC4">
              <w:rPr>
                <w:rFonts w:ascii="Times New Roman" w:hAnsi="Times New Roman" w:cs="Times New Roman"/>
              </w:rPr>
              <w:br/>
            </w:r>
            <w:r w:rsidRPr="00CB2EC4">
              <w:rPr>
                <w:rFonts w:ascii="Times New Roman" w:hAnsi="Times New Roman" w:cs="Times New Roman"/>
              </w:rPr>
              <w:br/>
              <w:t>&gt; web search supplement: no direct relevant content, but emphasizes the need for caution when using energy devices during laparoscopic surgery to avoid thermal injury.</w:t>
            </w:r>
          </w:p>
        </w:tc>
        <w:tc>
          <w:tcPr>
            <w:tcW w:w="1152" w:type="dxa"/>
            <w:vAlign w:val="center"/>
          </w:tcPr>
          <w:p w14:paraId="569AEE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0CD72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4B95D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4B9E1F6" w14:textId="77777777">
        <w:tc>
          <w:tcPr>
            <w:tcW w:w="2160" w:type="dxa"/>
            <w:vAlign w:val="center"/>
          </w:tcPr>
          <w:p w14:paraId="6E890D26"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1ACA6BE9"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the iliac vessels adherent to the tumor during radical pelvic surgery to avoid injury:</w:t>
            </w:r>
            <w:r w:rsidRPr="00CB2EC4">
              <w:rPr>
                <w:rFonts w:ascii="Times New Roman" w:hAnsi="Times New Roman" w:cs="Times New Roman"/>
              </w:rPr>
              <w:br/>
            </w:r>
            <w:r w:rsidRPr="00CB2EC4">
              <w:rPr>
                <w:rFonts w:ascii="Times New Roman" w:hAnsi="Times New Roman" w:cs="Times New Roman"/>
              </w:rPr>
              <w:br/>
              <w:t>1.  Strictly follow anatomical planes: In areas with dense vasculature such as the obturator region, meticulous dissection is required, avoiding forceful traction to prevent injury to the internal iliac vein and its branches (Fragment 3 emphasizes "strictly follow anatomical planes and operate carefully").</w:t>
            </w:r>
            <w:r w:rsidRPr="00CB2EC4">
              <w:rPr>
                <w:rFonts w:ascii="Times New Roman" w:hAnsi="Times New Roman" w:cs="Times New Roman"/>
              </w:rPr>
              <w:br/>
              <w:t xml:space="preserve">2.  Temporary major vessel occlusion: If the tumor is densely adherent to the wall of the iliac vessels (e.g., </w:t>
            </w:r>
            <w:r w:rsidRPr="00CB2EC4">
              <w:rPr>
                <w:rFonts w:ascii="Times New Roman" w:hAnsi="Times New Roman" w:cs="Times New Roman"/>
              </w:rPr>
              <w:lastRenderedPageBreak/>
              <w:t>external or internal iliac arteries and veins), the involved vessel can be freed above and below the adhesion site, temporarily clamped with atraumatic vascular clamps to interrupt blood flow, and then the mass is dissected (Fragment 14 describes this technique).</w:t>
            </w:r>
            <w:r w:rsidRPr="00CB2EC4">
              <w:rPr>
                <w:rFonts w:ascii="Times New Roman" w:hAnsi="Times New Roman" w:cs="Times New Roman"/>
              </w:rPr>
              <w:br/>
              <w:t>3.  Partial vessel resection: When metastatic lymph nodes are tightly adherent to the internal iliac artery, the connected vessels above and below the mass can be dissected, transected, ligated, and a segment of the vessel removed along with the mass (Fragment 3 mentions "transect, ligate, and remove a segment of the vessel along with the mass").</w:t>
            </w:r>
            <w:r w:rsidRPr="00CB2EC4">
              <w:rPr>
                <w:rFonts w:ascii="Times New Roman" w:hAnsi="Times New Roman" w:cs="Times New Roman"/>
              </w:rPr>
              <w:br/>
            </w:r>
            <w:r w:rsidRPr="00CB2EC4">
              <w:rPr>
                <w:rFonts w:ascii="Times New Roman" w:hAnsi="Times New Roman" w:cs="Times New Roman"/>
              </w:rPr>
              <w:br/>
              <w:t>These methods aim to minimize the risk of vascular injury while ensuring complete tumor resection.</w:t>
            </w:r>
          </w:p>
        </w:tc>
        <w:tc>
          <w:tcPr>
            <w:tcW w:w="1152" w:type="dxa"/>
            <w:vAlign w:val="center"/>
          </w:tcPr>
          <w:p w14:paraId="629A7B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B90E2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03B0E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38F17A6" w14:textId="77777777">
        <w:tc>
          <w:tcPr>
            <w:tcW w:w="2160" w:type="dxa"/>
            <w:vAlign w:val="center"/>
          </w:tcPr>
          <w:p w14:paraId="7A1E781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7DF26033"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iliac vessels adherent to tumor during radical pelvic surgery to avoid injury:</w:t>
            </w:r>
            <w:r w:rsidRPr="00CB2EC4">
              <w:rPr>
                <w:rFonts w:ascii="Times New Roman" w:hAnsi="Times New Roman" w:cs="Times New Roman"/>
              </w:rPr>
              <w:br/>
            </w:r>
            <w:r w:rsidRPr="00CB2EC4">
              <w:rPr>
                <w:rFonts w:ascii="Times New Roman" w:hAnsi="Times New Roman" w:cs="Times New Roman"/>
              </w:rPr>
              <w:br/>
              <w:t>- Handling principles:</w:t>
            </w:r>
            <w:r w:rsidRPr="00CB2EC4">
              <w:rPr>
                <w:rFonts w:ascii="Times New Roman" w:hAnsi="Times New Roman" w:cs="Times New Roman"/>
              </w:rPr>
              <w:br/>
              <w:t xml:space="preserve">  - If lymph nodes or tumor are adherent to iliac vessels (e.g., external iliac vein), avoid forceful dissection from the medial side to prevent massive hemorrhage. Dissect laterally: first free the psoas major muscle and the common (external) iliac artery and vein, expose the position of vessels and nerves on the lateral pelvic wall to ensure clear visualization (Document 12).</w:t>
            </w:r>
            <w:r w:rsidRPr="00CB2EC4">
              <w:rPr>
                <w:rFonts w:ascii="Times New Roman" w:hAnsi="Times New Roman" w:cs="Times New Roman"/>
              </w:rPr>
              <w:br/>
              <w:t xml:space="preserve">  - If involved lymph nodes are tightly adherent to the internal iliac artery, separate the connected vascular segments above and below the mass, ligate and divide the vessel, and resect a segment of the vessel along with the mass (Document 12).</w:t>
            </w:r>
            <w:r w:rsidRPr="00CB2EC4">
              <w:rPr>
                <w:rFonts w:ascii="Times New Roman" w:hAnsi="Times New Roman" w:cs="Times New Roman"/>
              </w:rPr>
              <w:br/>
              <w:t xml:space="preserve">  - If metastatic lymph nodes are fused and fixed and </w:t>
            </w:r>
            <w:r w:rsidRPr="00CB2EC4">
              <w:rPr>
                <w:rFonts w:ascii="Times New Roman" w:hAnsi="Times New Roman" w:cs="Times New Roman"/>
              </w:rPr>
              <w:lastRenderedPageBreak/>
              <w:t>cannot be safely separated, abandon further dissection and mark with silver clips to avoid vascular injury (Document 12).</w:t>
            </w:r>
            <w:r w:rsidRPr="00CB2EC4">
              <w:rPr>
                <w:rFonts w:ascii="Times New Roman" w:hAnsi="Times New Roman" w:cs="Times New Roman"/>
              </w:rPr>
              <w:br/>
              <w:t>- Key points: Carefully separate fat tissue on the surface and lateral aspects of the vessels; prioritize dissection of non-adherent areas to establish a safe plane and reduce the risk of inadvertent injury (Document 12). This approach emphasizes anatomical layers and gentle manipulation to prevent severe bleeding from injury to the common iliac vein or vena cava.</w:t>
            </w:r>
          </w:p>
        </w:tc>
        <w:tc>
          <w:tcPr>
            <w:tcW w:w="1152" w:type="dxa"/>
            <w:vAlign w:val="center"/>
          </w:tcPr>
          <w:p w14:paraId="56616D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2C3F2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4DF3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5AA170" w14:textId="77777777">
        <w:tc>
          <w:tcPr>
            <w:tcW w:w="2160" w:type="dxa"/>
            <w:vAlign w:val="center"/>
          </w:tcPr>
          <w:p w14:paraId="038B382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EF561B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Temporary vascular occlusion:  </w:t>
            </w:r>
            <w:r w:rsidRPr="00CB2EC4">
              <w:rPr>
                <w:rFonts w:ascii="Times New Roman" w:hAnsi="Times New Roman" w:cs="Times New Roman"/>
              </w:rPr>
              <w:br/>
              <w:t xml:space="preserve">   - If the tumor is densely adherent to the iliac vessel wall (especially the vein), dissect free the vessel above and below the adhesion, then temporarily clamp the blood flow with atraumatic vascular clamps before dissecting the mass.  </w:t>
            </w:r>
            <w:r w:rsidRPr="00CB2EC4">
              <w:rPr>
                <w:rFonts w:ascii="Times New Roman" w:hAnsi="Times New Roman" w:cs="Times New Roman"/>
              </w:rPr>
              <w:br/>
              <w:t xml:space="preserve">   (Source: Context 1)  </w:t>
            </w:r>
            <w:r w:rsidRPr="00CB2EC4">
              <w:rPr>
                <w:rFonts w:ascii="Times New Roman" w:hAnsi="Times New Roman" w:cs="Times New Roman"/>
              </w:rPr>
              <w:br/>
            </w:r>
            <w:r w:rsidRPr="00CB2EC4">
              <w:rPr>
                <w:rFonts w:ascii="Times New Roman" w:hAnsi="Times New Roman" w:cs="Times New Roman"/>
              </w:rPr>
              <w:br/>
              <w:t xml:space="preserve">2. Precise anatomical layer separation:  </w:t>
            </w:r>
            <w:r w:rsidRPr="00CB2EC4">
              <w:rPr>
                <w:rFonts w:ascii="Times New Roman" w:hAnsi="Times New Roman" w:cs="Times New Roman"/>
              </w:rPr>
              <w:br/>
              <w:t xml:space="preserve">   - Strictly operate within anatomical planes (e.g., anterior bladder space, pararectal space), avoiding excessive traction;  </w:t>
            </w:r>
            <w:r w:rsidRPr="00CB2EC4">
              <w:rPr>
                <w:rFonts w:ascii="Times New Roman" w:hAnsi="Times New Roman" w:cs="Times New Roman"/>
              </w:rPr>
              <w:br/>
              <w:t xml:space="preserve">   - During obturator region dissection, first free the external iliac artery and vein, expose the medial surface of the psoas major muscle, and clearly identify the positions of vessels and nerves before resecting lymph nodes.  </w:t>
            </w:r>
            <w:r w:rsidRPr="00CB2EC4">
              <w:rPr>
                <w:rFonts w:ascii="Times New Roman" w:hAnsi="Times New Roman" w:cs="Times New Roman"/>
              </w:rPr>
              <w:br/>
              <w:t xml:space="preserve">   (Source: Context 5)  </w:t>
            </w:r>
            <w:r w:rsidRPr="00CB2EC4">
              <w:rPr>
                <w:rFonts w:ascii="Times New Roman" w:hAnsi="Times New Roman" w:cs="Times New Roman"/>
              </w:rPr>
              <w:br/>
            </w:r>
            <w:r w:rsidRPr="00CB2EC4">
              <w:rPr>
                <w:rFonts w:ascii="Times New Roman" w:hAnsi="Times New Roman" w:cs="Times New Roman"/>
              </w:rPr>
              <w:br/>
              <w:t xml:space="preserve">3. Vascular resection and reconstruction:  </w:t>
            </w:r>
            <w:r w:rsidRPr="00CB2EC4">
              <w:rPr>
                <w:rFonts w:ascii="Times New Roman" w:hAnsi="Times New Roman" w:cs="Times New Roman"/>
              </w:rPr>
              <w:br/>
              <w:t xml:space="preserve">   - If lymph nodes are tightly adherent to the internal iliac artery, transect and ligate the involved segment of the vessel along with the mass;  </w:t>
            </w:r>
            <w:r w:rsidRPr="00CB2EC4">
              <w:rPr>
                <w:rFonts w:ascii="Times New Roman" w:hAnsi="Times New Roman" w:cs="Times New Roman"/>
              </w:rPr>
              <w:br/>
            </w:r>
            <w:r w:rsidRPr="00CB2EC4">
              <w:rPr>
                <w:rFonts w:ascii="Times New Roman" w:hAnsi="Times New Roman" w:cs="Times New Roman"/>
              </w:rPr>
              <w:lastRenderedPageBreak/>
              <w:t xml:space="preserve">   - If metastatic lymph nodes are fused and fixed, abandon resection and mark the site with silver clips.  </w:t>
            </w:r>
            <w:r w:rsidRPr="00CB2EC4">
              <w:rPr>
                <w:rFonts w:ascii="Times New Roman" w:hAnsi="Times New Roman" w:cs="Times New Roman"/>
              </w:rPr>
              <w:br/>
              <w:t xml:space="preserve">   (Source: Context 5)</w:t>
            </w:r>
          </w:p>
        </w:tc>
        <w:tc>
          <w:tcPr>
            <w:tcW w:w="1152" w:type="dxa"/>
            <w:vAlign w:val="center"/>
          </w:tcPr>
          <w:p w14:paraId="76B2A2D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E1EDC0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0EB56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AF5FBF4" w14:textId="77777777">
        <w:tc>
          <w:tcPr>
            <w:tcW w:w="2160" w:type="dxa"/>
            <w:vAlign w:val="center"/>
          </w:tcPr>
          <w:p w14:paraId="72F01AE1"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04417BD"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the iliac vessels adherent to the tumor during radical pelvic surgery to avoid injury</w:t>
            </w:r>
            <w:r w:rsidRPr="00CB2EC4">
              <w:rPr>
                <w:rFonts w:ascii="Times New Roman" w:hAnsi="Times New Roman" w:cs="Times New Roman"/>
              </w:rPr>
              <w:br/>
            </w:r>
            <w:r w:rsidRPr="00CB2EC4">
              <w:rPr>
                <w:rFonts w:ascii="Times New Roman" w:hAnsi="Times New Roman" w:cs="Times New Roman"/>
              </w:rPr>
              <w:br/>
              <w:t>- Handling methods:</w:t>
            </w:r>
            <w:r w:rsidRPr="00CB2EC4">
              <w:rPr>
                <w:rFonts w:ascii="Times New Roman" w:hAnsi="Times New Roman" w:cs="Times New Roman"/>
              </w:rPr>
              <w:br/>
              <w:t xml:space="preserve">  - Temporary major vessel occlusion: When the tumor is densely adherent to the vessel wall (e.g., iliac vein), dissect above and below the involved vessel, apply atraumatic vascular clamps to temporarily interrupt blood flow, and then dissect the mass. This reduces bleeding risk and improves safety (Document Fragment 1).</w:t>
            </w:r>
            <w:r w:rsidRPr="00CB2EC4">
              <w:rPr>
                <w:rFonts w:ascii="Times New Roman" w:hAnsi="Times New Roman" w:cs="Times New Roman"/>
              </w:rPr>
              <w:br/>
              <w:t xml:space="preserve">  - Operate according to anatomical planes: Strictly follow anatomical planes and avoid forceful traction. For example, during obturator region dissection, first dissect the psoas major muscle and the common iliac artery and vein, proceeding laterally to clearly expose the vessels and nerves (Document Fragment 3).</w:t>
            </w:r>
            <w:r w:rsidRPr="00CB2EC4">
              <w:rPr>
                <w:rFonts w:ascii="Times New Roman" w:hAnsi="Times New Roman" w:cs="Times New Roman"/>
              </w:rPr>
              <w:br/>
              <w:t xml:space="preserve">  - Use fine instruments: Such as ultrasonic scalpel-assisted separation, carefully dissect adipose and lymphatic tissue on the vessel surface to avoid blind manipulation (Document Fragment 12).</w:t>
            </w:r>
            <w:r w:rsidRPr="00CB2EC4">
              <w:rPr>
                <w:rFonts w:ascii="Times New Roman" w:hAnsi="Times New Roman" w:cs="Times New Roman"/>
              </w:rPr>
              <w:br/>
              <w:t>- Key to avoiding injury: Emphasize a lateral approach (e.g., exposure along the medial wall of the psoas major muscle), ensure the external iliac artery and vein are mobilized before addressing the adherent area; if lymph nodes are fused and fixed, abandon dissection and mark with silver clips (Document Fragment 3).</w:t>
            </w:r>
          </w:p>
        </w:tc>
        <w:tc>
          <w:tcPr>
            <w:tcW w:w="1152" w:type="dxa"/>
            <w:vAlign w:val="center"/>
          </w:tcPr>
          <w:p w14:paraId="4F4F53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148E4A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47942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084766D" w14:textId="77777777">
        <w:tc>
          <w:tcPr>
            <w:tcW w:w="2160" w:type="dxa"/>
            <w:vAlign w:val="center"/>
          </w:tcPr>
          <w:p w14:paraId="59CFADDC"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0F4DB22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when the tumor (including lymph node metastasis) is tightly adhered to or suspected of locally infiltrating </w:t>
            </w:r>
            <w:r w:rsidRPr="00CB2EC4">
              <w:rPr>
                <w:rFonts w:ascii="Times New Roman" w:hAnsi="Times New Roman" w:cs="Times New Roman"/>
              </w:rPr>
              <w:lastRenderedPageBreak/>
              <w:t xml:space="preserve">the iliac vessel wall (especially the venous wall), temporary major vessel occlusion technique should be employed:  </w:t>
            </w:r>
            <w:r w:rsidRPr="00CB2EC4">
              <w:rPr>
                <w:rFonts w:ascii="Times New Roman" w:hAnsi="Times New Roman" w:cs="Times New Roman"/>
              </w:rPr>
              <w:br/>
              <w:t xml:space="preserve">1. Dissect free the vessel above and below the involved segment to fully expose the vessel.  </w:t>
            </w:r>
            <w:r w:rsidRPr="00CB2EC4">
              <w:rPr>
                <w:rFonts w:ascii="Times New Roman" w:hAnsi="Times New Roman" w:cs="Times New Roman"/>
              </w:rPr>
              <w:br/>
              <w:t xml:space="preserve">2. Apply atraumatic vascular clamps to clamp the vessel and temporarily interrupt blood flow.  </w:t>
            </w:r>
            <w:r w:rsidRPr="00CB2EC4">
              <w:rPr>
                <w:rFonts w:ascii="Times New Roman" w:hAnsi="Times New Roman" w:cs="Times New Roman"/>
              </w:rPr>
              <w:br/>
              <w:t xml:space="preserve">3. Under blood flow occlusion, carefully dissect the mass to avoid direct vascular injury.  </w:t>
            </w:r>
            <w:r w:rsidRPr="00CB2EC4">
              <w:rPr>
                <w:rFonts w:ascii="Times New Roman" w:hAnsi="Times New Roman" w:cs="Times New Roman"/>
              </w:rPr>
              <w:br/>
              <w:t>This method enhances surgical safety and is indicated for severe vascular adhesion, reducing bleeding and injury risk.</w:t>
            </w:r>
          </w:p>
        </w:tc>
        <w:tc>
          <w:tcPr>
            <w:tcW w:w="1152" w:type="dxa"/>
            <w:vAlign w:val="center"/>
          </w:tcPr>
          <w:p w14:paraId="32B95F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C998A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955ED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2330A8A" w14:textId="77777777">
        <w:tc>
          <w:tcPr>
            <w:tcW w:w="2160" w:type="dxa"/>
            <w:vAlign w:val="center"/>
          </w:tcPr>
          <w:p w14:paraId="24C01F6C"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9823465" w14:textId="77777777" w:rsidR="00922249" w:rsidRPr="00CB2EC4" w:rsidRDefault="003011D5">
            <w:pPr>
              <w:rPr>
                <w:rFonts w:ascii="Times New Roman" w:hAnsi="Times New Roman" w:cs="Times New Roman"/>
              </w:rPr>
            </w:pPr>
            <w:r w:rsidRPr="00CB2EC4">
              <w:rPr>
                <w:rFonts w:ascii="Times New Roman" w:hAnsi="Times New Roman" w:cs="Times New Roman"/>
              </w:rPr>
              <w:t>in radical pelvic surgery, the following strategies are employed to manage iliac vessels adherent to the tumor and avoid injury:</w:t>
            </w:r>
            <w:r w:rsidRPr="00CB2EC4">
              <w:rPr>
                <w:rFonts w:ascii="Times New Roman" w:hAnsi="Times New Roman" w:cs="Times New Roman"/>
              </w:rPr>
              <w:br/>
            </w:r>
            <w:r w:rsidRPr="00CB2EC4">
              <w:rPr>
                <w:rFonts w:ascii="Times New Roman" w:hAnsi="Times New Roman" w:cs="Times New Roman"/>
              </w:rPr>
              <w:br/>
              <w:t xml:space="preserve">1. Preoperative assessment and intraoperative exploration:  </w:t>
            </w:r>
            <w:r w:rsidRPr="00CB2EC4">
              <w:rPr>
                <w:rFonts w:ascii="Times New Roman" w:hAnsi="Times New Roman" w:cs="Times New Roman"/>
              </w:rPr>
              <w:br/>
              <w:t xml:space="preserve">   Evaluate the degree of tumor-vessel adhesion using preoperative imaging (e.g., CT or MRI) and intraoperative exploration. If the tumor is firmly fixed to the iliac vessels, complete resection may be extremely difficult, impossible, or only palliative resection can be performed (Document Fragment 1: "If the tumor is fixed to major vessels, surgical resection is quite difficult, or cannot be performed at all, or only palliative resection can be done").</w:t>
            </w:r>
            <w:r w:rsidRPr="00CB2EC4">
              <w:rPr>
                <w:rFonts w:ascii="Times New Roman" w:hAnsi="Times New Roman" w:cs="Times New Roman"/>
              </w:rPr>
              <w:br/>
            </w:r>
            <w:r w:rsidRPr="00CB2EC4">
              <w:rPr>
                <w:rFonts w:ascii="Times New Roman" w:hAnsi="Times New Roman" w:cs="Times New Roman"/>
              </w:rPr>
              <w:br/>
              <w:t xml:space="preserve">2. Familiarity with anatomy and gentle technique:  </w:t>
            </w:r>
            <w:r w:rsidRPr="00CB2EC4">
              <w:rPr>
                <w:rFonts w:ascii="Times New Roman" w:hAnsi="Times New Roman" w:cs="Times New Roman"/>
              </w:rPr>
              <w:br/>
              <w:t xml:space="preserve">   Surgeons must be thoroughly familiar with the pelvic fascial spaces and the anatomy of major vessels. During dissection, handle adherent tissues gently and avoid forceful traction. Use a combination of blunt and sharp dissection to separate the vascular </w:t>
            </w:r>
            <w:r w:rsidRPr="00CB2EC4">
              <w:rPr>
                <w:rFonts w:ascii="Times New Roman" w:hAnsi="Times New Roman" w:cs="Times New Roman"/>
              </w:rPr>
              <w:lastRenderedPageBreak/>
              <w:t>sheath, taking care to preserve the vessel wall (Document Fragment 17: emphasizes careful technique when "dissecting lymph nodes and fat tissue around the external iliac vessels"; "note to avoid injuring the ureter which lies outside").</w:t>
            </w:r>
            <w:r w:rsidRPr="00CB2EC4">
              <w:rPr>
                <w:rFonts w:ascii="Times New Roman" w:hAnsi="Times New Roman" w:cs="Times New Roman"/>
              </w:rPr>
              <w:br/>
            </w:r>
            <w:r w:rsidRPr="00CB2EC4">
              <w:rPr>
                <w:rFonts w:ascii="Times New Roman" w:hAnsi="Times New Roman" w:cs="Times New Roman"/>
              </w:rPr>
              <w:br/>
              <w:t xml:space="preserve">3. Intraoperative biopsy to guide decision-making:  </w:t>
            </w:r>
            <w:r w:rsidRPr="00CB2EC4">
              <w:rPr>
                <w:rFonts w:ascii="Times New Roman" w:hAnsi="Times New Roman" w:cs="Times New Roman"/>
              </w:rPr>
              <w:br/>
              <w:t xml:space="preserve">   If adhesion is severe and the nature is unclear, perform intraoperative biopsy (e.g., punch biopsy, needle biopsy, aspiration cytology, or open biopsy) to determine whether there is malignant infiltration. If biopsy is positive (suggesting tumor infiltration), radical resection is generally not feasible, and clinicians may decide to abandon surgery based on the situation (Document Fragment 1: "When necessary, perform punch biopsy, needle biopsy, aspiration cytology, or open biopsy. Obtain tissue from deep sites adherent to the pelvic wall... positive cases are generally incurable, and clinicians may decide to abandon surgery based on circumstances").</w:t>
            </w:r>
            <w:r w:rsidRPr="00CB2EC4">
              <w:rPr>
                <w:rFonts w:ascii="Times New Roman" w:hAnsi="Times New Roman" w:cs="Times New Roman"/>
              </w:rPr>
              <w:br/>
            </w:r>
            <w:r w:rsidRPr="00CB2EC4">
              <w:rPr>
                <w:rFonts w:ascii="Times New Roman" w:hAnsi="Times New Roman" w:cs="Times New Roman"/>
              </w:rPr>
              <w:br/>
              <w:t>In summary, the principle is to prioritize vascular integrity, reduce injury risk through precise dissection and adjunctive biopsy; if adhesion precludes safe separation, consider a palliative approach.</w:t>
            </w:r>
          </w:p>
        </w:tc>
        <w:tc>
          <w:tcPr>
            <w:tcW w:w="1152" w:type="dxa"/>
            <w:vAlign w:val="center"/>
          </w:tcPr>
          <w:p w14:paraId="1320EF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18E99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6A34F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6513F5BE" w14:textId="77777777">
        <w:tc>
          <w:tcPr>
            <w:tcW w:w="2160" w:type="dxa"/>
            <w:vAlign w:val="center"/>
          </w:tcPr>
          <w:p w14:paraId="3B28204F"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0D6C37D1"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iliac vessels adherent to tumor during radical pelvic surgery to avoid injury</w:t>
            </w:r>
            <w:r w:rsidRPr="00CB2EC4">
              <w:rPr>
                <w:rFonts w:ascii="Times New Roman" w:hAnsi="Times New Roman" w:cs="Times New Roman"/>
              </w:rPr>
              <w:br/>
            </w:r>
            <w:r w:rsidRPr="00CB2EC4">
              <w:rPr>
                <w:rFonts w:ascii="Times New Roman" w:hAnsi="Times New Roman" w:cs="Times New Roman"/>
              </w:rPr>
              <w:br/>
              <w:t>the document details methods for handling iliac vessels adherent to tumor to avoid injury. key points include:</w:t>
            </w:r>
            <w:r w:rsidRPr="00CB2EC4">
              <w:rPr>
                <w:rFonts w:ascii="Times New Roman" w:hAnsi="Times New Roman" w:cs="Times New Roman"/>
              </w:rPr>
              <w:br/>
            </w:r>
            <w:r w:rsidRPr="00CB2EC4">
              <w:rPr>
                <w:rFonts w:ascii="Times New Roman" w:hAnsi="Times New Roman" w:cs="Times New Roman"/>
              </w:rPr>
              <w:br/>
              <w:t>- handling principles:</w:t>
            </w:r>
            <w:r w:rsidRPr="00CB2EC4">
              <w:rPr>
                <w:rFonts w:ascii="Times New Roman" w:hAnsi="Times New Roman" w:cs="Times New Roman"/>
              </w:rPr>
              <w:br/>
              <w:t xml:space="preserve">  - prioritize lateral dissection: avoid forcefully </w:t>
            </w:r>
            <w:r w:rsidRPr="00CB2EC4">
              <w:rPr>
                <w:rFonts w:ascii="Times New Roman" w:hAnsi="Times New Roman" w:cs="Times New Roman"/>
              </w:rPr>
              <w:lastRenderedPageBreak/>
              <w:t>removing adherent lymph nodes or masses from the medial side to reduce vascular injury risk. first dissect the psoas major muscle and the common iliac (lateral) artery and vein, free the external iliac artery and vein, expose the vascular and neural structures on the pelvic sidewall to ensure clear visualization.</w:t>
            </w:r>
            <w:r w:rsidRPr="00CB2EC4">
              <w:rPr>
                <w:rFonts w:ascii="Times New Roman" w:hAnsi="Times New Roman" w:cs="Times New Roman"/>
              </w:rPr>
              <w:br/>
              <w:t xml:space="preserve">  - for tightly adherent cases: if lymph nodes are densely adherent to the internal iliac artery, separate connected vascular segments above and below the mass, transect and ligate them, and resect a segment of the vessel along with the mass (avoid forced dissection to prevent massive hemorrhage).</w:t>
            </w:r>
            <w:r w:rsidRPr="00CB2EC4">
              <w:rPr>
                <w:rFonts w:ascii="Times New Roman" w:hAnsi="Times New Roman" w:cs="Times New Roman"/>
              </w:rPr>
              <w:br/>
              <w:t xml:space="preserve">  - meticulous separation technique: when resecting lymph nodes around the common iliac artery or para-aortic region, dissect the fat tissue on the superior and lateral surfaces, and ligate accompanying veins (e.g., "accompanying" veins of the vena cava) to prevent accidental injury to the common iliac vein or inferior vena cava.</w:t>
            </w:r>
            <w:r w:rsidRPr="00CB2EC4">
              <w:rPr>
                <w:rFonts w:ascii="Times New Roman" w:hAnsi="Times New Roman" w:cs="Times New Roman"/>
              </w:rPr>
              <w:br/>
            </w:r>
            <w:r w:rsidRPr="00CB2EC4">
              <w:rPr>
                <w:rFonts w:ascii="Times New Roman" w:hAnsi="Times New Roman" w:cs="Times New Roman"/>
              </w:rPr>
              <w:br/>
              <w:t>- specific steps:</w:t>
            </w:r>
            <w:r w:rsidRPr="00CB2EC4">
              <w:rPr>
                <w:rFonts w:ascii="Times New Roman" w:hAnsi="Times New Roman" w:cs="Times New Roman"/>
              </w:rPr>
              <w:br/>
              <w:t xml:space="preserve">  - use combined blunt and sharp dissection, avoid excessive traction.</w:t>
            </w:r>
            <w:r w:rsidRPr="00CB2EC4">
              <w:rPr>
                <w:rFonts w:ascii="Times New Roman" w:hAnsi="Times New Roman" w:cs="Times New Roman"/>
              </w:rPr>
              <w:br/>
              <w:t xml:space="preserve">  - for obturator region adhesions, first separate the metastatic lymph nodes from the medial wall of the external iliac vein, dissect the medial aspect of the psoas major muscle to expose the obturator nerve, and separate it from the lymph nodes (use index finger to assist in delivering the lymph nodes).</w:t>
            </w:r>
            <w:r w:rsidRPr="00CB2EC4">
              <w:rPr>
                <w:rFonts w:ascii="Times New Roman" w:hAnsi="Times New Roman" w:cs="Times New Roman"/>
              </w:rPr>
              <w:br/>
              <w:t xml:space="preserve">  - if metastatic lymph nodes are fused and fixed and cannot be safely resected, abandon the procedure and mark with silver clips, switch to postoperative radiotherapy.</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document sources: [similarity: 0.446] and [similarity: 0.443] fragments.</w:t>
            </w:r>
          </w:p>
        </w:tc>
        <w:tc>
          <w:tcPr>
            <w:tcW w:w="1152" w:type="dxa"/>
            <w:vAlign w:val="center"/>
          </w:tcPr>
          <w:p w14:paraId="0BA5FA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79872B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51953B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69372EA" w14:textId="77777777">
        <w:tc>
          <w:tcPr>
            <w:tcW w:w="2160" w:type="dxa"/>
            <w:vAlign w:val="center"/>
          </w:tcPr>
          <w:p w14:paraId="49C75D61"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Rerank</w:t>
            </w:r>
          </w:p>
        </w:tc>
        <w:tc>
          <w:tcPr>
            <w:tcW w:w="5040" w:type="dxa"/>
            <w:vAlign w:val="center"/>
          </w:tcPr>
          <w:p w14:paraId="00562689"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iliac vessels adherent to the tumor during radical pelvic surgery to avoid injury:</w:t>
            </w:r>
            <w:r w:rsidRPr="00CB2EC4">
              <w:rPr>
                <w:rFonts w:ascii="Times New Roman" w:hAnsi="Times New Roman" w:cs="Times New Roman"/>
              </w:rPr>
              <w:br/>
            </w:r>
            <w:r w:rsidRPr="00CB2EC4">
              <w:rPr>
                <w:rFonts w:ascii="Times New Roman" w:hAnsi="Times New Roman" w:cs="Times New Roman"/>
              </w:rPr>
              <w:br/>
              <w:t>- Operate strictly according to anatomical layers: In vascular-dense areas such as the obturator region, surgery must follow anatomical planes rigorously, avoiding forceful traction to reduce the risk of injury to the internal iliac vein and its branches (Document Fragment 2).</w:t>
            </w:r>
            <w:r w:rsidRPr="00CB2EC4">
              <w:rPr>
                <w:rFonts w:ascii="Times New Roman" w:hAnsi="Times New Roman" w:cs="Times New Roman"/>
              </w:rPr>
              <w:br/>
              <w:t>- Temporary major vessel occlusion: When the tumor (including lymph node metastases) is tightly adherent to or suspected of locally infiltrating the iliac vessel wall (especially the vein), the vessel above and below the involved segment should be dissected free, and atraumatic vascular clamps used to temporarily occlude blood flow. This reduces bleeding risk and allows safe en bloc removal of the mass (Document Fragment 4).</w:t>
            </w:r>
            <w:r w:rsidRPr="00CB2EC4">
              <w:rPr>
                <w:rFonts w:ascii="Times New Roman" w:hAnsi="Times New Roman" w:cs="Times New Roman"/>
              </w:rPr>
              <w:br/>
              <w:t>- Resect the adherent segment of the vessel: If lymph nodes or the mass are tightly adherent to the internal iliac artery, the involved vascular segment connected to the mass can be dissected above and below, transected, and ligated, then removed en bloc with the tumor (Document Fragment 2).</w:t>
            </w:r>
            <w:r w:rsidRPr="00CB2EC4">
              <w:rPr>
                <w:rFonts w:ascii="Times New Roman" w:hAnsi="Times New Roman" w:cs="Times New Roman"/>
              </w:rPr>
              <w:br/>
              <w:t>- Exercise caution in bleeding-prone areas: When dissecting fat and lymph nodes between the internal and external iliac vessels, special care is required as this area is prone to bleeding (Document Fragment 12).</w:t>
            </w:r>
          </w:p>
        </w:tc>
        <w:tc>
          <w:tcPr>
            <w:tcW w:w="1152" w:type="dxa"/>
            <w:vAlign w:val="center"/>
          </w:tcPr>
          <w:p w14:paraId="041116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9950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B897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10B36EC" w14:textId="77777777">
        <w:tc>
          <w:tcPr>
            <w:tcW w:w="2160" w:type="dxa"/>
            <w:vAlign w:val="center"/>
          </w:tcPr>
          <w:p w14:paraId="31AC25A5"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342CEBFB"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the iliac vessels adherent to the tumor during radical pelvic surgery to avoid injury:</w:t>
            </w:r>
            <w:r w:rsidRPr="00CB2EC4">
              <w:rPr>
                <w:rFonts w:ascii="Times New Roman" w:hAnsi="Times New Roman" w:cs="Times New Roman"/>
              </w:rPr>
              <w:br/>
            </w:r>
            <w:r w:rsidRPr="00CB2EC4">
              <w:rPr>
                <w:rFonts w:ascii="Times New Roman" w:hAnsi="Times New Roman" w:cs="Times New Roman"/>
              </w:rPr>
              <w:lastRenderedPageBreak/>
              <w:br/>
              <w:t>- Careful dissection and avoidance of forceful traction: When operating in deep areas such as the obturator region, strictly follow anatomical planes and perform meticulous dissection to avoid forceful traction, thereby preventing injury to the internal iliac vein and its branches (source: "The obturator region is deep with many large and small vessels; once a vessel is injured... hemostasis is difficult... therefore, surgery in this area must strictly follow anatomical planes, be performed carefully, and avoid forceful traction.").</w:t>
            </w:r>
            <w:r w:rsidRPr="00CB2EC4">
              <w:rPr>
                <w:rFonts w:ascii="Times New Roman" w:hAnsi="Times New Roman" w:cs="Times New Roman"/>
              </w:rPr>
              <w:br/>
            </w:r>
            <w:r w:rsidRPr="00CB2EC4">
              <w:rPr>
                <w:rFonts w:ascii="Times New Roman" w:hAnsi="Times New Roman" w:cs="Times New Roman"/>
              </w:rPr>
              <w:br/>
              <w:t>- Vessel division and ligation: If the tumor or metastatic lymph nodes are densely adherent to the internal iliac artery, separate the involved vascular segment above and below the mass, divide and ligate the vessel, and resect a segment of the vessel along with the mass (source: "If the involved lymph nodes are densely adherent to the internal iliac artery, separate the connected vascular segments above and below the mass, divide, ligate, and resect a segment of the vessel along with the mass.").</w:t>
            </w:r>
            <w:r w:rsidRPr="00CB2EC4">
              <w:rPr>
                <w:rFonts w:ascii="Times New Roman" w:hAnsi="Times New Roman" w:cs="Times New Roman"/>
              </w:rPr>
              <w:br/>
            </w:r>
            <w:r w:rsidRPr="00CB2EC4">
              <w:rPr>
                <w:rFonts w:ascii="Times New Roman" w:hAnsi="Times New Roman" w:cs="Times New Roman"/>
              </w:rPr>
              <w:br/>
              <w:t>- Temporary occlusion of major vessels: When the tumor is densely adherent to the iliac vessel wall (especially the venous wall) or suspected of local infiltration, dissect above and below the involved vessel, apply atraumatic vascular clamps to temporarily occlude blood flow, then dissect the mass to enhance safety (source: "Temporary occlusion of major vessels... dissect above and below the involved vessel, apply atraumatic vascular clamps to temporarily block blood flow, then dissect the mass—this provides greater safety.").</w:t>
            </w:r>
          </w:p>
        </w:tc>
        <w:tc>
          <w:tcPr>
            <w:tcW w:w="1152" w:type="dxa"/>
            <w:vAlign w:val="center"/>
          </w:tcPr>
          <w:p w14:paraId="3A65C9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DE20C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F6E06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A7A1010" w14:textId="77777777">
        <w:tc>
          <w:tcPr>
            <w:tcW w:w="2160" w:type="dxa"/>
            <w:vAlign w:val="center"/>
          </w:tcPr>
          <w:p w14:paraId="2646A00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7E74F68A" w14:textId="77777777" w:rsidR="00922249" w:rsidRPr="00CB2EC4" w:rsidRDefault="003011D5">
            <w:pPr>
              <w:rPr>
                <w:rFonts w:ascii="Times New Roman" w:hAnsi="Times New Roman" w:cs="Times New Roman"/>
              </w:rPr>
            </w:pPr>
            <w:r w:rsidRPr="00CB2EC4">
              <w:rPr>
                <w:rFonts w:ascii="Times New Roman" w:hAnsi="Times New Roman" w:cs="Times New Roman"/>
              </w:rPr>
              <w:t>how to handle the iliac vessels adherent to the tumor during radical pelvic surgery to avoid injury:</w:t>
            </w:r>
            <w:r w:rsidRPr="00CB2EC4">
              <w:rPr>
                <w:rFonts w:ascii="Times New Roman" w:hAnsi="Times New Roman" w:cs="Times New Roman"/>
              </w:rPr>
              <w:br/>
            </w:r>
            <w:r w:rsidRPr="00CB2EC4">
              <w:rPr>
                <w:rFonts w:ascii="Times New Roman" w:hAnsi="Times New Roman" w:cs="Times New Roman"/>
              </w:rPr>
              <w:br/>
              <w:t xml:space="preserve">- Key points:  </w:t>
            </w:r>
            <w:r w:rsidRPr="00CB2EC4">
              <w:rPr>
                <w:rFonts w:ascii="Times New Roman" w:hAnsi="Times New Roman" w:cs="Times New Roman"/>
              </w:rPr>
              <w:br/>
              <w:t xml:space="preserve">  </w:t>
            </w:r>
            <w:r w:rsidRPr="00CB2EC4">
              <w:rPr>
                <w:rFonts w:ascii="宋体" w:eastAsia="宋体" w:hAnsi="宋体" w:cs="宋体" w:hint="eastAsia"/>
              </w:rPr>
              <w:t>①</w:t>
            </w:r>
            <w:r w:rsidRPr="00CB2EC4">
              <w:rPr>
                <w:rFonts w:ascii="Times New Roman" w:hAnsi="Times New Roman" w:cs="Times New Roman"/>
              </w:rPr>
              <w:t xml:space="preserve"> Preoperative assessment: clarify the degree of adhesion via imaging and plan the surgical approach;  </w:t>
            </w:r>
            <w:r w:rsidRPr="00CB2EC4">
              <w:rPr>
                <w:rFonts w:ascii="Times New Roman" w:hAnsi="Times New Roman" w:cs="Times New Roman"/>
              </w:rPr>
              <w:br/>
              <w:t xml:space="preserve">  </w:t>
            </w:r>
            <w:r w:rsidRPr="00CB2EC4">
              <w:rPr>
                <w:rFonts w:ascii="宋体" w:eastAsia="宋体" w:hAnsi="宋体" w:cs="宋体" w:hint="eastAsia"/>
              </w:rPr>
              <w:t>②</w:t>
            </w:r>
            <w:r w:rsidRPr="00CB2EC4">
              <w:rPr>
                <w:rFonts w:ascii="Times New Roman" w:hAnsi="Times New Roman" w:cs="Times New Roman"/>
              </w:rPr>
              <w:t xml:space="preserve"> Dissection technique: combine blunt dissection (e.g., finger or suction) with sharp dissection (fine scissors), starting from non-adherent areas and progressing gradually toward adherent zones;  </w:t>
            </w:r>
            <w:r w:rsidRPr="00CB2EC4">
              <w:rPr>
                <w:rFonts w:ascii="Times New Roman" w:hAnsi="Times New Roman" w:cs="Times New Roman"/>
              </w:rPr>
              <w:br/>
              <w:t xml:space="preserve">  </w:t>
            </w:r>
            <w:r w:rsidRPr="00CB2EC4">
              <w:rPr>
                <w:rFonts w:ascii="宋体" w:eastAsia="宋体" w:hAnsi="宋体" w:cs="宋体" w:hint="eastAsia"/>
              </w:rPr>
              <w:t>③</w:t>
            </w:r>
            <w:r w:rsidRPr="00CB2EC4">
              <w:rPr>
                <w:rFonts w:ascii="Times New Roman" w:hAnsi="Times New Roman" w:cs="Times New Roman"/>
              </w:rPr>
              <w:t xml:space="preserve"> Vessel protection: in areas of dense adhesion, avoid direct clamping of vessels; instead, apply temporary vascular control with vascular clamps or ligate small branches to minimize bleeding risk;  </w:t>
            </w:r>
            <w:r w:rsidRPr="00CB2EC4">
              <w:rPr>
                <w:rFonts w:ascii="Times New Roman" w:hAnsi="Times New Roman" w:cs="Times New Roman"/>
              </w:rPr>
              <w:br/>
              <w:t xml:space="preserve">  </w:t>
            </w:r>
            <w:r w:rsidRPr="00CB2EC4">
              <w:rPr>
                <w:rFonts w:ascii="宋体" w:eastAsia="宋体" w:hAnsi="宋体" w:cs="宋体" w:hint="eastAsia"/>
              </w:rPr>
              <w:t>④</w:t>
            </w:r>
            <w:r w:rsidRPr="00CB2EC4">
              <w:rPr>
                <w:rFonts w:ascii="Times New Roman" w:hAnsi="Times New Roman" w:cs="Times New Roman"/>
              </w:rPr>
              <w:t xml:space="preserve"> Anatomical landmarks: use the bifurcation of the common iliac artery as a reference point, identify and preserve the external iliac vein (located posterior to the artery), and maintain the integrity of the vascular sheath during manipulation;  </w:t>
            </w:r>
            <w:r w:rsidRPr="00CB2EC4">
              <w:rPr>
                <w:rFonts w:ascii="Times New Roman" w:hAnsi="Times New Roman" w:cs="Times New Roman"/>
              </w:rPr>
              <w:br/>
              <w:t xml:space="preserve">  </w:t>
            </w:r>
            <w:r w:rsidRPr="00CB2EC4">
              <w:rPr>
                <w:rFonts w:ascii="宋体" w:eastAsia="宋体" w:hAnsi="宋体" w:cs="宋体" w:hint="eastAsia"/>
              </w:rPr>
              <w:t>⑤</w:t>
            </w:r>
            <w:r w:rsidRPr="00CB2EC4">
              <w:rPr>
                <w:rFonts w:ascii="Times New Roman" w:hAnsi="Times New Roman" w:cs="Times New Roman"/>
              </w:rPr>
              <w:t xml:space="preserve"> Intraoperative monitoring: if encountering dense adhesion, pause dissection, irrigate the surgical field to clarify anatomical structures, and prevent inadvertent injury. Literature emphasizes that this procedure should be performed under the guidance of a senior surgeon to reduce the risk of vascular injury.</w:t>
            </w:r>
          </w:p>
        </w:tc>
        <w:tc>
          <w:tcPr>
            <w:tcW w:w="1152" w:type="dxa"/>
            <w:vAlign w:val="center"/>
          </w:tcPr>
          <w:p w14:paraId="68230F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4287AA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FF73A0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601A144" w14:textId="77777777">
        <w:tc>
          <w:tcPr>
            <w:tcW w:w="10656" w:type="dxa"/>
            <w:gridSpan w:val="5"/>
            <w:tcBorders>
              <w:bottom w:val="single" w:sz="6" w:space="0" w:color="auto"/>
            </w:tcBorders>
            <w:vAlign w:val="center"/>
          </w:tcPr>
          <w:p w14:paraId="07C6F069"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193: Why is bladder dysfunction (such as urinary retention) common after a radical hysterectomy? Explain the root cause from a neuroanatomical perspective.</w:t>
            </w:r>
          </w:p>
        </w:tc>
      </w:tr>
      <w:tr w:rsidR="00922249" w:rsidRPr="00CB2EC4" w14:paraId="3910522C" w14:textId="77777777">
        <w:tc>
          <w:tcPr>
            <w:tcW w:w="2160" w:type="dxa"/>
            <w:vAlign w:val="center"/>
          </w:tcPr>
          <w:p w14:paraId="3794A59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CA15D4F" w14:textId="77777777" w:rsidR="00922249" w:rsidRPr="00CB2EC4" w:rsidRDefault="003011D5">
            <w:pPr>
              <w:rPr>
                <w:rFonts w:ascii="Times New Roman" w:hAnsi="Times New Roman" w:cs="Times New Roman"/>
              </w:rPr>
            </w:pPr>
            <w:r w:rsidRPr="00CB2EC4">
              <w:rPr>
                <w:rFonts w:ascii="Times New Roman" w:hAnsi="Times New Roman" w:cs="Times New Roman"/>
              </w:rPr>
              <w:t>why is bladder dysfunction (such as urinary retention) common after radical hysterectomy? a fundamental explanation from the neuroanatomical perspective:</w:t>
            </w:r>
            <w:r w:rsidRPr="00CB2EC4">
              <w:rPr>
                <w:rFonts w:ascii="Times New Roman" w:hAnsi="Times New Roman" w:cs="Times New Roman"/>
              </w:rPr>
              <w:br/>
            </w:r>
            <w:r w:rsidRPr="00CB2EC4">
              <w:rPr>
                <w:rFonts w:ascii="Times New Roman" w:hAnsi="Times New Roman" w:cs="Times New Roman"/>
              </w:rPr>
              <w:br/>
              <w:t xml:space="preserve">- the parasympathetic nerves innervating the bladder originate from the pelvic nerves (S2–S4 sacral </w:t>
            </w:r>
            <w:r w:rsidRPr="00CB2EC4">
              <w:rPr>
                <w:rFonts w:ascii="Times New Roman" w:hAnsi="Times New Roman" w:cs="Times New Roman"/>
              </w:rPr>
              <w:lastRenderedPageBreak/>
              <w:t>nerves). these nerve fibers converge anteriorly and superiorly in the parametrium and uterosacral ligaments, forming the pelvic nerve plexus with sympathetic fibers (hypogastric nerves) and sending branches to the bladder. during radical hysterectomy, extensive dissection of the bladder and resection of the parametrium and uterosacral ligaments sever these nerve fibers, interrupting the sacral micturition reflex arc, resulting in loss of bladder sensation and detrusor muscle dysfunction, thereby causing neurogenic bladder paralysis and urinary retention (source: similarity 0.487, range 963–965).</w:t>
            </w:r>
            <w:r w:rsidRPr="00CB2EC4">
              <w:rPr>
                <w:rFonts w:ascii="Times New Roman" w:hAnsi="Times New Roman" w:cs="Times New Roman"/>
              </w:rPr>
              <w:br/>
            </w:r>
            <w:r w:rsidRPr="00CB2EC4">
              <w:rPr>
                <w:rFonts w:ascii="Times New Roman" w:hAnsi="Times New Roman" w:cs="Times New Roman"/>
              </w:rPr>
              <w:br/>
              <w:t>- additionally, surgical injury to neural ganglia within the bladder wall and compromise of its blood supply, combined with altered bladder position, further exacerbate voiding difficulty (source: similarity 0.487, range 963–965).</w:t>
            </w:r>
          </w:p>
        </w:tc>
        <w:tc>
          <w:tcPr>
            <w:tcW w:w="1152" w:type="dxa"/>
            <w:vAlign w:val="center"/>
          </w:tcPr>
          <w:p w14:paraId="358576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C131A9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F13F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3FABAA" w14:textId="77777777">
        <w:tc>
          <w:tcPr>
            <w:tcW w:w="2160" w:type="dxa"/>
            <w:vAlign w:val="center"/>
          </w:tcPr>
          <w:p w14:paraId="422D32C2"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5B010EF9" w14:textId="77777777" w:rsidR="00922249" w:rsidRPr="00CB2EC4" w:rsidRDefault="003011D5">
            <w:pPr>
              <w:rPr>
                <w:rFonts w:ascii="Times New Roman" w:hAnsi="Times New Roman" w:cs="Times New Roman"/>
              </w:rPr>
            </w:pPr>
            <w:r w:rsidRPr="00CB2EC4">
              <w:rPr>
                <w:rFonts w:ascii="Times New Roman" w:hAnsi="Times New Roman" w:cs="Times New Roman"/>
              </w:rPr>
              <w:t>why is bladder dysfunction (such as urinary retention) common after radical hysterectomy? explain the fundamental cause from the neuroanatomical perspective:</w:t>
            </w:r>
            <w:r w:rsidRPr="00CB2EC4">
              <w:rPr>
                <w:rFonts w:ascii="Times New Roman" w:hAnsi="Times New Roman" w:cs="Times New Roman"/>
              </w:rPr>
              <w:br/>
            </w:r>
            <w:r w:rsidRPr="00CB2EC4">
              <w:rPr>
                <w:rFonts w:ascii="Times New Roman" w:hAnsi="Times New Roman" w:cs="Times New Roman"/>
              </w:rPr>
              <w:br/>
              <w:t>- fundamental cause: surgical injury to the nerve plexus innervating the bladder, resulting in interruption of the sacral micturition reflex and bladder neuroparalysis.</w:t>
            </w:r>
            <w:r w:rsidRPr="00CB2EC4">
              <w:rPr>
                <w:rFonts w:ascii="Times New Roman" w:hAnsi="Times New Roman" w:cs="Times New Roman"/>
              </w:rPr>
              <w:br/>
              <w:t>- neuroanatomical explanation:</w:t>
            </w:r>
            <w:r w:rsidRPr="00CB2EC4">
              <w:rPr>
                <w:rFonts w:ascii="Times New Roman" w:hAnsi="Times New Roman" w:cs="Times New Roman"/>
              </w:rPr>
              <w:br/>
              <w:t xml:space="preserve">  1. nerve plexus injury: the bladder nerve plexus is located lateral to the ureter and enters the bladder via the paravaginal tissue. radical hysterectomy involves resection of the cardinal ligament, uterosacral ligament, and paravaginal tissue, which contain the pelvic nerve plexus (parasympathetic fibers from the </w:t>
            </w:r>
            <w:r w:rsidRPr="00CB2EC4">
              <w:rPr>
                <w:rFonts w:ascii="Times New Roman" w:hAnsi="Times New Roman" w:cs="Times New Roman"/>
              </w:rPr>
              <w:lastRenderedPageBreak/>
              <w:t>2nd, 3rd, and 4th sacral nerves). these parasympathetic fibers are responsible for detrusor muscle contraction and the sensation of bladder fullness; injury leads to "neurogenic bladder paralysis."</w:t>
            </w:r>
            <w:r w:rsidRPr="00CB2EC4">
              <w:rPr>
                <w:rFonts w:ascii="Times New Roman" w:hAnsi="Times New Roman" w:cs="Times New Roman"/>
              </w:rPr>
              <w:br/>
              <w:t xml:space="preserve">  2. interruption of sacral micturition reflex: surgical transection of sacral nerve afferent fibers disrupts the sacral micturition reflex, resulting in loss of bladder sensation and voluntary voiding ability. simultaneous disruption of conscious control over the urethral sphincter exacerbates urinary retention.</w:t>
            </w:r>
            <w:r w:rsidRPr="00CB2EC4">
              <w:rPr>
                <w:rFonts w:ascii="Times New Roman" w:hAnsi="Times New Roman" w:cs="Times New Roman"/>
              </w:rPr>
              <w:br/>
              <w:t xml:space="preserve">  3. contributing factors: extensive bladder dissection damages intramural ganglia and blood supply, causing detrusor weakness and incomplete contraction; altered bladder position further impairs function.</w:t>
            </w:r>
            <w:r w:rsidRPr="00CB2EC4">
              <w:rPr>
                <w:rFonts w:ascii="Times New Roman" w:hAnsi="Times New Roman" w:cs="Times New Roman"/>
              </w:rPr>
              <w:br/>
            </w:r>
            <w:r w:rsidRPr="00CB2EC4">
              <w:rPr>
                <w:rFonts w:ascii="Times New Roman" w:hAnsi="Times New Roman" w:cs="Times New Roman"/>
              </w:rPr>
              <w:br/>
              <w:t>relevant text citations: "due to surgical transection of the nerves supplying the bladder, neurogenic bladder paralysis occurs, i.e., interruption of the sacral micturition reflex, loss of bladder sensation, overdistension of the bladder, and overstretching of the detrusor muscle, which exacerbates muscle weakness and incomplete contraction" (fragment 2); "the pelvic nerve plexus contains parasympathetic fibers from the 2nd, 3rd, and 4th sacral nerves... radical hysterectomy can injure these nerve fibers and impair bladder function" (fragment 9).</w:t>
            </w:r>
          </w:p>
        </w:tc>
        <w:tc>
          <w:tcPr>
            <w:tcW w:w="1152" w:type="dxa"/>
            <w:vAlign w:val="center"/>
          </w:tcPr>
          <w:p w14:paraId="52A83FC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BA3563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42E3F4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46FC8D" w14:textId="77777777">
        <w:tc>
          <w:tcPr>
            <w:tcW w:w="2160" w:type="dxa"/>
            <w:vAlign w:val="center"/>
          </w:tcPr>
          <w:p w14:paraId="6EA97D29"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7337704" w14:textId="77777777" w:rsidR="00922249" w:rsidRPr="00CB2EC4" w:rsidRDefault="003011D5">
            <w:pPr>
              <w:rPr>
                <w:rFonts w:ascii="Times New Roman" w:hAnsi="Times New Roman" w:cs="Times New Roman"/>
              </w:rPr>
            </w:pPr>
            <w:r w:rsidRPr="00CB2EC4">
              <w:rPr>
                <w:rFonts w:ascii="Times New Roman" w:hAnsi="Times New Roman" w:cs="Times New Roman"/>
              </w:rPr>
              <w:t>why does bladder dysfunction (such as urinary retention) commonly occur after radical hysterectomy? explained from the perspective of neuroanatomy:</w:t>
            </w:r>
            <w:r w:rsidRPr="00CB2EC4">
              <w:rPr>
                <w:rFonts w:ascii="Times New Roman" w:hAnsi="Times New Roman" w:cs="Times New Roman"/>
              </w:rPr>
              <w:br/>
            </w:r>
            <w:r w:rsidRPr="00CB2EC4">
              <w:rPr>
                <w:rFonts w:ascii="Times New Roman" w:hAnsi="Times New Roman" w:cs="Times New Roman"/>
              </w:rPr>
              <w:br/>
              <w:t xml:space="preserve">- neuroanatomical structure: the parasympathetic nerve fibers innervating the bladder originate from the </w:t>
            </w:r>
            <w:r w:rsidRPr="00CB2EC4">
              <w:rPr>
                <w:rFonts w:ascii="Times New Roman" w:hAnsi="Times New Roman" w:cs="Times New Roman"/>
              </w:rPr>
              <w:lastRenderedPageBreak/>
              <w:t>second, third, and fourth sacral nerves (S2–S4), forming the pelvic nerves (pelvic splanchnic nerves). these nerves converge anteriorly and superiorly within the cardinal ligaments and uterosacral ligaments, where they interconnect with sympathetic fibers (hypogastric nerves) near the attachment sites of these ligaments at the upper lateral rectum, forming the pelvic plexus. this plexus distributes to the uterus, bladder, vagina, and rectum, governing parasympathetic control of the bladder, including detrusor muscle contraction and the micturition reflex (document fragments 4, 17, 23).</w:t>
            </w:r>
            <w:r w:rsidRPr="00CB2EC4">
              <w:rPr>
                <w:rFonts w:ascii="Times New Roman" w:hAnsi="Times New Roman" w:cs="Times New Roman"/>
              </w:rPr>
              <w:br/>
              <w:t>- surgical injury mechanism: radical hysterectomy requires resection of the cardinal ligaments, uterosacral ligaments, and part of the vaginal tissue—structures that contain the pelvic plexus. transection of these ligaments during surgery inevitably damages nerve fibers, leading to:</w:t>
            </w:r>
            <w:r w:rsidRPr="00CB2EC4">
              <w:rPr>
                <w:rFonts w:ascii="Times New Roman" w:hAnsi="Times New Roman" w:cs="Times New Roman"/>
              </w:rPr>
              <w:br/>
              <w:t xml:space="preserve">  → interruption of the sacral micturition reflex: parasympathetic nerve injury results in loss of bladder sensation and detrusor contractility, causing bladder overdistension and myogenic weakness.</w:t>
            </w:r>
            <w:r w:rsidRPr="00CB2EC4">
              <w:rPr>
                <w:rFonts w:ascii="Times New Roman" w:hAnsi="Times New Roman" w:cs="Times New Roman"/>
              </w:rPr>
              <w:br/>
              <w:t xml:space="preserve">  → impaired regulation of the urethral sphincter: sympathetic nerve injury disrupts voluntary control of the internal and external urethral sphincters, preventing spontaneous voiding.</w:t>
            </w:r>
            <w:r w:rsidRPr="00CB2EC4">
              <w:rPr>
                <w:rFonts w:ascii="Times New Roman" w:hAnsi="Times New Roman" w:cs="Times New Roman"/>
              </w:rPr>
              <w:br/>
              <w:t xml:space="preserve">  additionally, extensive bladder dissection during surgery damages neural ganglia within the bladder wall and its vascular supply, further exacerbating dysfunction (document fragments 6, 9, 14, 17).</w:t>
            </w:r>
            <w:r w:rsidRPr="00CB2EC4">
              <w:rPr>
                <w:rFonts w:ascii="Times New Roman" w:hAnsi="Times New Roman" w:cs="Times New Roman"/>
              </w:rPr>
              <w:br/>
              <w:t xml:space="preserve">  thus, nerve injury is the core cause of urinary retention, with severity correlated to the extent of parametrial and vaginal resection (document fragment 17).</w:t>
            </w:r>
          </w:p>
        </w:tc>
        <w:tc>
          <w:tcPr>
            <w:tcW w:w="1152" w:type="dxa"/>
            <w:vAlign w:val="center"/>
          </w:tcPr>
          <w:p w14:paraId="0C69CE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22A0D2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46556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4403AAE" w14:textId="77777777">
        <w:tc>
          <w:tcPr>
            <w:tcW w:w="2160" w:type="dxa"/>
            <w:vAlign w:val="center"/>
          </w:tcPr>
          <w:p w14:paraId="71538689"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CRAG</w:t>
            </w:r>
          </w:p>
        </w:tc>
        <w:tc>
          <w:tcPr>
            <w:tcW w:w="5040" w:type="dxa"/>
            <w:vAlign w:val="center"/>
          </w:tcPr>
          <w:p w14:paraId="2C5D2364" w14:textId="77777777" w:rsidR="00922249" w:rsidRPr="00CB2EC4" w:rsidRDefault="003011D5">
            <w:pPr>
              <w:rPr>
                <w:rFonts w:ascii="Times New Roman" w:hAnsi="Times New Roman" w:cs="Times New Roman"/>
              </w:rPr>
            </w:pPr>
            <w:r w:rsidRPr="00CB2EC4">
              <w:rPr>
                <w:rFonts w:ascii="Times New Roman" w:hAnsi="Times New Roman" w:cs="Times New Roman"/>
              </w:rPr>
              <w:t>neuroanatomical causes of bladder dysfunction (e.g., urinary retention) after radical hysterectomy</w:t>
            </w:r>
            <w:r w:rsidRPr="00CB2EC4">
              <w:rPr>
                <w:rFonts w:ascii="Times New Roman" w:hAnsi="Times New Roman" w:cs="Times New Roman"/>
              </w:rPr>
              <w:br/>
            </w:r>
            <w:r w:rsidRPr="00CB2EC4">
              <w:rPr>
                <w:rFonts w:ascii="Times New Roman" w:hAnsi="Times New Roman" w:cs="Times New Roman"/>
              </w:rPr>
              <w:br/>
              <w:t>Source (Knowledge Base §16.1.1 + web search):</w:t>
            </w:r>
            <w:r w:rsidRPr="00CB2EC4">
              <w:rPr>
                <w:rFonts w:ascii="Times New Roman" w:hAnsi="Times New Roman" w:cs="Times New Roman"/>
              </w:rPr>
              <w:br/>
              <w:t>- Core mechanism: surgical transection of the pelvic plexus (sympathetic and parasympathetic nerves) innervating the bladder:</w:t>
            </w:r>
            <w:r w:rsidRPr="00CB2EC4">
              <w:rPr>
                <w:rFonts w:ascii="Times New Roman" w:hAnsi="Times New Roman" w:cs="Times New Roman"/>
              </w:rPr>
              <w:br/>
              <w:t xml:space="preserve">  1. Sympathetic nerves (T11-L2): via hypogastric nerves → bladder plexus; injury reduces bladder compliance.</w:t>
            </w:r>
            <w:r w:rsidRPr="00CB2EC4">
              <w:rPr>
                <w:rFonts w:ascii="Times New Roman" w:hAnsi="Times New Roman" w:cs="Times New Roman"/>
              </w:rPr>
              <w:br/>
              <w:t xml:space="preserve">  2. Parasympathetic nerves (S2-4): via pelvic splanchnic nerves → bladder plexus; injury causes detrusor underactivity.</w:t>
            </w:r>
            <w:r w:rsidRPr="00CB2EC4">
              <w:rPr>
                <w:rFonts w:ascii="Times New Roman" w:hAnsi="Times New Roman" w:cs="Times New Roman"/>
              </w:rPr>
              <w:br/>
              <w:t>- Surgical injury sites:</w:t>
            </w:r>
            <w:r w:rsidRPr="00CB2EC4">
              <w:rPr>
                <w:rFonts w:ascii="Times New Roman" w:hAnsi="Times New Roman" w:cs="Times New Roman"/>
              </w:rPr>
              <w:br/>
              <w:t xml:space="preserve">  - Extensive bladder dissection and transection of the posterior leaf of the vesicouterine ligament (containing neural ganglia).</w:t>
            </w:r>
            <w:r w:rsidRPr="00CB2EC4">
              <w:rPr>
                <w:rFonts w:ascii="Times New Roman" w:hAnsi="Times New Roman" w:cs="Times New Roman"/>
              </w:rPr>
              <w:br/>
              <w:t xml:space="preserve">  - Resection of uterosacral ligaments damages hypogastric nerves (located below ureter, lateral to ligament).</w:t>
            </w:r>
            <w:r w:rsidRPr="00CB2EC4">
              <w:rPr>
                <w:rFonts w:ascii="Times New Roman" w:hAnsi="Times New Roman" w:cs="Times New Roman"/>
              </w:rPr>
              <w:br/>
              <w:t xml:space="preserve">  - Resection of cardinal ligaments damages pelvic splanchnic nerves (deep to uterine deep vein).</w:t>
            </w:r>
            <w:r w:rsidRPr="00CB2EC4">
              <w:rPr>
                <w:rFonts w:ascii="Times New Roman" w:hAnsi="Times New Roman" w:cs="Times New Roman"/>
              </w:rPr>
              <w:br/>
              <w:t>- Secondary factors: altered bladder position and impaired blood supply exacerbate detrusor weakness (Knowledge Base §16.1.1).</w:t>
            </w:r>
            <w:r w:rsidRPr="00CB2EC4">
              <w:rPr>
                <w:rFonts w:ascii="Times New Roman" w:hAnsi="Times New Roman" w:cs="Times New Roman"/>
              </w:rPr>
              <w:br/>
            </w:r>
            <w:r w:rsidRPr="00CB2EC4">
              <w:rPr>
                <w:rFonts w:ascii="Times New Roman" w:hAnsi="Times New Roman" w:cs="Times New Roman"/>
              </w:rPr>
              <w:br/>
              <w:t>&gt; Web search supplement: In Q-M classification, C1 procedure preserves nerves by protecting the pelvic splanchnic nerve plexus below the ureter.</w:t>
            </w:r>
          </w:p>
        </w:tc>
        <w:tc>
          <w:tcPr>
            <w:tcW w:w="1152" w:type="dxa"/>
            <w:vAlign w:val="center"/>
          </w:tcPr>
          <w:p w14:paraId="0C23834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700D5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ABD89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0F5BEB" w14:textId="77777777">
        <w:tc>
          <w:tcPr>
            <w:tcW w:w="2160" w:type="dxa"/>
            <w:vAlign w:val="center"/>
          </w:tcPr>
          <w:p w14:paraId="2F17CF19"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3F70BA2A" w14:textId="77777777" w:rsidR="00922249" w:rsidRPr="00CB2EC4" w:rsidRDefault="003011D5">
            <w:pPr>
              <w:rPr>
                <w:rFonts w:ascii="Times New Roman" w:hAnsi="Times New Roman" w:cs="Times New Roman"/>
              </w:rPr>
            </w:pPr>
            <w:r w:rsidRPr="00CB2EC4">
              <w:rPr>
                <w:rFonts w:ascii="Times New Roman" w:hAnsi="Times New Roman" w:cs="Times New Roman"/>
              </w:rPr>
              <w:t>why does bladder dysfunction (such as urinary retention) commonly occur after radical hysterectomy? explanation of the fundamental cause from the perspective of neuroanatomy:</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the fundamental cause is based on neuroanatomical injury:  </w:t>
            </w:r>
            <w:r w:rsidRPr="00CB2EC4">
              <w:rPr>
                <w:rFonts w:ascii="Times New Roman" w:hAnsi="Times New Roman" w:cs="Times New Roman"/>
              </w:rPr>
              <w:br/>
              <w:t xml:space="preserve">  document excerpt 6 explicitly states that radical hysterectomy severs the nerves innervating the bladder, leading to neurogenic bladder paralysis. specific mechanisms:  </w:t>
            </w:r>
            <w:r w:rsidRPr="00CB2EC4">
              <w:rPr>
                <w:rFonts w:ascii="Times New Roman" w:hAnsi="Times New Roman" w:cs="Times New Roman"/>
              </w:rPr>
              <w:br/>
              <w:t xml:space="preserve">  1. injury to the pelvic plexus: the pelvic plexus is located in the parametrial tissue at the base of the cervix within the broad ligament and contains parasympathetic fibers (from sacral nerves S2, S3, S4) responsible for detrusor muscle contraction and the micturition reflex, as well as sensory nerve fibers. during surgical removal of the cardinal ligaments, uterosacral ligaments, and part of the vaginal tissue, these nerve fibers are inevitably damaged.  </w:t>
            </w:r>
            <w:r w:rsidRPr="00CB2EC4">
              <w:rPr>
                <w:rFonts w:ascii="Times New Roman" w:hAnsi="Times New Roman" w:cs="Times New Roman"/>
              </w:rPr>
              <w:br/>
              <w:t xml:space="preserve">  2. interruption of the sacral micturition reflex: injury to parasympathetic fibers disrupts the sacral micturition reflex, resulting in loss of bladder sensation, overdistension of the bladder, weakening and lengthening of the detrusor muscle, and impaired contractile function.  </w:t>
            </w:r>
            <w:r w:rsidRPr="00CB2EC4">
              <w:rPr>
                <w:rFonts w:ascii="Times New Roman" w:hAnsi="Times New Roman" w:cs="Times New Roman"/>
              </w:rPr>
              <w:br/>
              <w:t xml:space="preserve">  3. disruption of urethral sphincter regulation: injury to sensory nerve fibers impairs conscious control of the internal and external urethral sphincters, preventing spontaneous voiding.  </w:t>
            </w:r>
            <w:r w:rsidRPr="00CB2EC4">
              <w:rPr>
                <w:rFonts w:ascii="Times New Roman" w:hAnsi="Times New Roman" w:cs="Times New Roman"/>
              </w:rPr>
              <w:br/>
              <w:t xml:space="preserve">  4. contributing factors: extensive dissection of the bladder also damages intramural ganglia and blood supply, further exacerbating functional impairment (supported by excerpt 6 and excerpt 4).  </w:t>
            </w:r>
            <w:r w:rsidRPr="00CB2EC4">
              <w:rPr>
                <w:rFonts w:ascii="Times New Roman" w:hAnsi="Times New Roman" w:cs="Times New Roman"/>
              </w:rPr>
              <w:br/>
              <w:t xml:space="preserve">  in summary, neuroanatomical injury is the core reason for postoperative urinary retention.</w:t>
            </w:r>
          </w:p>
        </w:tc>
        <w:tc>
          <w:tcPr>
            <w:tcW w:w="1152" w:type="dxa"/>
            <w:vAlign w:val="center"/>
          </w:tcPr>
          <w:p w14:paraId="62A2AD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D5DD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88F57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10E8C40" w14:textId="77777777">
        <w:tc>
          <w:tcPr>
            <w:tcW w:w="2160" w:type="dxa"/>
            <w:vAlign w:val="center"/>
          </w:tcPr>
          <w:p w14:paraId="6E461DA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12ECCDB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why does bladder dysfunction (such as urinary retention) commonly occur after radical hysterectomy? a fundamental explanation from the </w:t>
            </w:r>
            <w:r w:rsidRPr="00CB2EC4">
              <w:rPr>
                <w:rFonts w:ascii="Times New Roman" w:hAnsi="Times New Roman" w:cs="Times New Roman"/>
              </w:rPr>
              <w:lastRenderedPageBreak/>
              <w:t>neuroanatomical perspective:</w:t>
            </w:r>
            <w:r w:rsidRPr="00CB2EC4">
              <w:rPr>
                <w:rFonts w:ascii="Times New Roman" w:hAnsi="Times New Roman" w:cs="Times New Roman"/>
              </w:rPr>
              <w:br/>
            </w:r>
            <w:r w:rsidRPr="00CB2EC4">
              <w:rPr>
                <w:rFonts w:ascii="Times New Roman" w:hAnsi="Times New Roman" w:cs="Times New Roman"/>
              </w:rPr>
              <w:br/>
              <w:t xml:space="preserve">- fundamental cause: surgical transection of nerves innervating the bladder leads to neurogenic bladder paralysis. specific neuroanatomical mechanisms include:  </w:t>
            </w:r>
            <w:r w:rsidRPr="00CB2EC4">
              <w:rPr>
                <w:rFonts w:ascii="Times New Roman" w:hAnsi="Times New Roman" w:cs="Times New Roman"/>
              </w:rPr>
              <w:br/>
              <w:t xml:space="preserve">  - the parasympathetic nerves supplying the bladder originate from the 2nd, 3rd, and 4th sacral nerves (S2–S4), forming the pelvic nerve, whose fibers converge anteriorly and superiorly within the cardinal ligament and uterosacral ligament (document 19).  </w:t>
            </w:r>
            <w:r w:rsidRPr="00CB2EC4">
              <w:rPr>
                <w:rFonts w:ascii="Times New Roman" w:hAnsi="Times New Roman" w:cs="Times New Roman"/>
              </w:rPr>
              <w:br/>
              <w:t xml:space="preserve">  - near the cervical attachment, the pelvic nerve combines with sympathetic fibers (hypogastric nerve) to form the pelvic plexus, which governs parasympathetic innervation of the bladder, regulating detrusor contraction and the micturition reflex (documents 19 and 21).  </w:t>
            </w:r>
            <w:r w:rsidRPr="00CB2EC4">
              <w:rPr>
                <w:rFonts w:ascii="Times New Roman" w:hAnsi="Times New Roman" w:cs="Times New Roman"/>
              </w:rPr>
              <w:br/>
              <w:t xml:space="preserve">  - during radical hysterectomy, resection of the cardinal ligament and uterosacral ligament inevitably severs these nerve fibers, disrupting the sacral micturition reflex arc, resulting in loss of bladder sensation, overdistension, and detrusor weakness (document 19).  </w:t>
            </w:r>
            <w:r w:rsidRPr="00CB2EC4">
              <w:rPr>
                <w:rFonts w:ascii="Times New Roman" w:hAnsi="Times New Roman" w:cs="Times New Roman"/>
              </w:rPr>
              <w:br/>
              <w:t xml:space="preserve">  - additionally, extensive bladder dissection during surgery damages neural ganglia and vascular supply in the bladder wall, further exacerbating functional impairment (documents 2 and 19).  </w:t>
            </w:r>
            <w:r w:rsidRPr="00CB2EC4">
              <w:rPr>
                <w:rFonts w:ascii="Times New Roman" w:hAnsi="Times New Roman" w:cs="Times New Roman"/>
              </w:rPr>
              <w:br/>
              <w:t xml:space="preserve">  this results in postoperative urinary retention, characterized by increased residual urine (&gt;100 ml), with a high incidence rate (reported 2.6%–44.91%), and is a common complication.</w:t>
            </w:r>
          </w:p>
        </w:tc>
        <w:tc>
          <w:tcPr>
            <w:tcW w:w="1152" w:type="dxa"/>
            <w:vAlign w:val="center"/>
          </w:tcPr>
          <w:p w14:paraId="219BA4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B1565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EDBA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347078" w14:textId="77777777">
        <w:tc>
          <w:tcPr>
            <w:tcW w:w="2160" w:type="dxa"/>
            <w:vAlign w:val="center"/>
          </w:tcPr>
          <w:p w14:paraId="56276823"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40D2EE5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Root Cause: Surgery severed the pelvic nerve plexus (containing parasympathetic nerve fibers) that innervates the bladder, leading to:  </w:t>
            </w:r>
            <w:r w:rsidRPr="00CB2EC4">
              <w:rPr>
                <w:rFonts w:ascii="Times New Roman" w:hAnsi="Times New Roman" w:cs="Times New Roman"/>
              </w:rPr>
              <w:br/>
            </w:r>
            <w:r w:rsidRPr="00CB2EC4">
              <w:rPr>
                <w:rFonts w:ascii="Times New Roman" w:hAnsi="Times New Roman" w:cs="Times New Roman"/>
              </w:rPr>
              <w:lastRenderedPageBreak/>
              <w:t xml:space="preserve">1. Interruption of the sacral micturition reflex: Loss of urinary sensation, bladder overdistension, and detrusor muscle weakness;  </w:t>
            </w:r>
            <w:r w:rsidRPr="00CB2EC4">
              <w:rPr>
                <w:rFonts w:ascii="Times New Roman" w:hAnsi="Times New Roman" w:cs="Times New Roman"/>
              </w:rPr>
              <w:br/>
              <w:t xml:space="preserve">2. Dysregulation of the urethral sphincter: Inability to voluntarily control urination;  </w:t>
            </w:r>
            <w:r w:rsidRPr="00CB2EC4">
              <w:rPr>
                <w:rFonts w:ascii="Times New Roman" w:hAnsi="Times New Roman" w:cs="Times New Roman"/>
              </w:rPr>
              <w:br/>
              <w:t xml:space="preserve">3. Altered bladder blood supply and position: Extensive bladder dissection damages intramural ganglia and blood supply, exacerbating dysfunction.  </w:t>
            </w:r>
            <w:r w:rsidRPr="00CB2EC4">
              <w:rPr>
                <w:rFonts w:ascii="Times New Roman" w:hAnsi="Times New Roman" w:cs="Times New Roman"/>
              </w:rPr>
              <w:br/>
              <w:t>(Source: Context 4)</w:t>
            </w:r>
          </w:p>
        </w:tc>
        <w:tc>
          <w:tcPr>
            <w:tcW w:w="1152" w:type="dxa"/>
            <w:vAlign w:val="center"/>
          </w:tcPr>
          <w:p w14:paraId="770E61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DBDCE3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59E33C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00AD832" w14:textId="77777777">
        <w:tc>
          <w:tcPr>
            <w:tcW w:w="2160" w:type="dxa"/>
            <w:vAlign w:val="center"/>
          </w:tcPr>
          <w:p w14:paraId="63CB8116"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1240C80" w14:textId="77777777" w:rsidR="00922249" w:rsidRPr="00CB2EC4" w:rsidRDefault="003011D5">
            <w:pPr>
              <w:rPr>
                <w:rFonts w:ascii="Times New Roman" w:hAnsi="Times New Roman" w:cs="Times New Roman"/>
              </w:rPr>
            </w:pPr>
            <w:r w:rsidRPr="00CB2EC4">
              <w:rPr>
                <w:rFonts w:ascii="Times New Roman" w:hAnsi="Times New Roman" w:cs="Times New Roman"/>
              </w:rPr>
              <w:t>why is bladder dysfunction (such as urinary retention) common after radical hysterectomy? a fundamental explanation from the neuroanatomical perspective:</w:t>
            </w:r>
            <w:r w:rsidRPr="00CB2EC4">
              <w:rPr>
                <w:rFonts w:ascii="Times New Roman" w:hAnsi="Times New Roman" w:cs="Times New Roman"/>
              </w:rPr>
              <w:br/>
            </w:r>
            <w:r w:rsidRPr="00CB2EC4">
              <w:rPr>
                <w:rFonts w:ascii="Times New Roman" w:hAnsi="Times New Roman" w:cs="Times New Roman"/>
              </w:rPr>
              <w:br/>
              <w:t>- fundamental cause: surgical injury to the nerves innervating the bladder, resulting in neurogenic bladder paralysis. specifically from the neuroanatomical angle:</w:t>
            </w:r>
            <w:r w:rsidRPr="00CB2EC4">
              <w:rPr>
                <w:rFonts w:ascii="Times New Roman" w:hAnsi="Times New Roman" w:cs="Times New Roman"/>
              </w:rPr>
              <w:br/>
              <w:t xml:space="preserve">  - bladder innervation primarily originates from the parasympathetic nerves of the sacral spinal cord (S2-S4), forming the bladder nerve plexus. this plexus is located lateral to the ureters and enters the bladder via the paravaginal tissues (document fragment 10).</w:t>
            </w:r>
            <w:r w:rsidRPr="00CB2EC4">
              <w:rPr>
                <w:rFonts w:ascii="Times New Roman" w:hAnsi="Times New Roman" w:cs="Times New Roman"/>
              </w:rPr>
              <w:br/>
              <w:t xml:space="preserve">  - during radical hysterectomy, extensive dissection of the bladder and resection of parametrial tissues sever these neural pathways, interrupting the sacral micturition reflex. consequences include:</w:t>
            </w:r>
            <w:r w:rsidRPr="00CB2EC4">
              <w:rPr>
                <w:rFonts w:ascii="Times New Roman" w:hAnsi="Times New Roman" w:cs="Times New Roman"/>
              </w:rPr>
              <w:br/>
              <w:t xml:space="preserve">    → loss of bladder sensation and voluntary control over urination.</w:t>
            </w:r>
            <w:r w:rsidRPr="00CB2EC4">
              <w:rPr>
                <w:rFonts w:ascii="Times New Roman" w:hAnsi="Times New Roman" w:cs="Times New Roman"/>
              </w:rPr>
              <w:br/>
              <w:t xml:space="preserve">    → detrusor muscle dysfunction, leading to bladder overdistension and impaired contraction.</w:t>
            </w:r>
            <w:r w:rsidRPr="00CB2EC4">
              <w:rPr>
                <w:rFonts w:ascii="Times New Roman" w:hAnsi="Times New Roman" w:cs="Times New Roman"/>
              </w:rPr>
              <w:br/>
              <w:t xml:space="preserve">    → disruption of conscious regulation of the urethral sphincter, exacerbating urinary retention risk (document fragment 10).</w:t>
            </w:r>
            <w:r w:rsidRPr="00CB2EC4">
              <w:rPr>
                <w:rFonts w:ascii="Times New Roman" w:hAnsi="Times New Roman" w:cs="Times New Roman"/>
              </w:rPr>
              <w:br/>
              <w:t xml:space="preserve">  - additionally, surgical damage to neural ganglia </w:t>
            </w:r>
            <w:r w:rsidRPr="00CB2EC4">
              <w:rPr>
                <w:rFonts w:ascii="Times New Roman" w:hAnsi="Times New Roman" w:cs="Times New Roman"/>
              </w:rPr>
              <w:lastRenderedPageBreak/>
              <w:t>within the bladder wall and its blood supply, along with altered bladder positioning, further compromises bladder function (document fragment 10). statistics indicate postoperative urinary retention rates ranging from 2.6% to 44.91%, depending on surgical extent and operative technique (document fragment 10).</w:t>
            </w:r>
          </w:p>
        </w:tc>
        <w:tc>
          <w:tcPr>
            <w:tcW w:w="1152" w:type="dxa"/>
            <w:vAlign w:val="center"/>
          </w:tcPr>
          <w:p w14:paraId="2F0046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89863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91B1B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5707CFE" w14:textId="77777777">
        <w:tc>
          <w:tcPr>
            <w:tcW w:w="2160" w:type="dxa"/>
            <w:vAlign w:val="center"/>
          </w:tcPr>
          <w:p w14:paraId="2B14B72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4C232F8" w14:textId="77777777" w:rsidR="00922249" w:rsidRPr="00CB2EC4" w:rsidRDefault="003011D5">
            <w:pPr>
              <w:rPr>
                <w:rFonts w:ascii="Times New Roman" w:hAnsi="Times New Roman" w:cs="Times New Roman"/>
              </w:rPr>
            </w:pPr>
            <w:r w:rsidRPr="00CB2EC4">
              <w:rPr>
                <w:rFonts w:ascii="Times New Roman" w:hAnsi="Times New Roman" w:cs="Times New Roman"/>
              </w:rPr>
              <w:t>from a neuroanatomical perspective, the fundamental reason for the high incidence of bladder dysfunction (such as urinary retention) after radical hysterectomy lies in surgical damage to the pelvic nerves and blood supply:</w:t>
            </w:r>
            <w:r w:rsidRPr="00CB2EC4">
              <w:rPr>
                <w:rFonts w:ascii="Times New Roman" w:hAnsi="Times New Roman" w:cs="Times New Roman"/>
              </w:rPr>
              <w:br/>
            </w:r>
            <w:r w:rsidRPr="00CB2EC4">
              <w:rPr>
                <w:rFonts w:ascii="Times New Roman" w:hAnsi="Times New Roman" w:cs="Times New Roman"/>
              </w:rPr>
              <w:br/>
              <w:t>1.  nerve injury: radical total hysterectomy inevitably injures the parasympathetic nerves in the pelvis that innervate the detrusor muscle of the bladder. these parasympathetic nerves are responsible for bladder contraction and micturition; their injury results in detrusor underactivity or dyscoordination, leading to urinary retention.</w:t>
            </w:r>
            <w:r w:rsidRPr="00CB2EC4">
              <w:rPr>
                <w:rFonts w:ascii="Times New Roman" w:hAnsi="Times New Roman" w:cs="Times New Roman"/>
              </w:rPr>
              <w:br/>
            </w:r>
            <w:r w:rsidRPr="00CB2EC4">
              <w:rPr>
                <w:rFonts w:ascii="Times New Roman" w:hAnsi="Times New Roman" w:cs="Times New Roman"/>
              </w:rPr>
              <w:br/>
              <w:t>2.  altered blood supply and position: extensive dissection of the bladder during surgery damages the nerve plexuses and vascular supply within the bladder wall, while also altering the normal anatomical position of the bladder, further impairing its function.</w:t>
            </w:r>
            <w:r w:rsidRPr="00CB2EC4">
              <w:rPr>
                <w:rFonts w:ascii="Times New Roman" w:hAnsi="Times New Roman" w:cs="Times New Roman"/>
              </w:rPr>
              <w:br/>
            </w:r>
            <w:r w:rsidRPr="00CB2EC4">
              <w:rPr>
                <w:rFonts w:ascii="Times New Roman" w:hAnsi="Times New Roman" w:cs="Times New Roman"/>
              </w:rPr>
              <w:br/>
              <w:t>the document explicitly states that these anatomical injuries are the primary causes of urinary retention, which in turn predisposes to urinary tract infections.</w:t>
            </w:r>
          </w:p>
        </w:tc>
        <w:tc>
          <w:tcPr>
            <w:tcW w:w="1152" w:type="dxa"/>
            <w:vAlign w:val="center"/>
          </w:tcPr>
          <w:p w14:paraId="392A46F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F110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0B38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4C30E8" w14:textId="77777777">
        <w:tc>
          <w:tcPr>
            <w:tcW w:w="2160" w:type="dxa"/>
            <w:vAlign w:val="center"/>
          </w:tcPr>
          <w:p w14:paraId="0777F511"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20014A05" w14:textId="77777777" w:rsidR="00922249" w:rsidRPr="00CB2EC4" w:rsidRDefault="003011D5">
            <w:pPr>
              <w:rPr>
                <w:rFonts w:ascii="Times New Roman" w:hAnsi="Times New Roman" w:cs="Times New Roman"/>
              </w:rPr>
            </w:pPr>
            <w:r w:rsidRPr="00CB2EC4">
              <w:rPr>
                <w:rFonts w:ascii="Times New Roman" w:hAnsi="Times New Roman" w:cs="Times New Roman"/>
              </w:rPr>
              <w:t>why is bladder dysfunction (such as urinary retention) common after radical hysterectomy? a fundamental explanation from the neuroanatomical perspective: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 neural innervation mechanism:  </w:t>
            </w:r>
            <w:r w:rsidRPr="00CB2EC4">
              <w:rPr>
                <w:rFonts w:ascii="Times New Roman" w:hAnsi="Times New Roman" w:cs="Times New Roman"/>
              </w:rPr>
              <w:br/>
              <w:t xml:space="preserve">  the parasympathetic nerves innervating the bladder originate from the 2nd, 3rd, and 4th sacral nerves (S2–S4). these nerve fibers form the pelvic nerve, which runs from the pelvic floor forward and upward, converging within the cardinal ligament and uterosacral ligament. they then join with sympathetic fibers (hypogastric nerve) lateral to the rectum to form the pelvic plexus. this plexus sends branches to the bladder, controlling detrusor muscle contraction and internal urethral sphincter relaxation to enable normal micturition (document fragment 4: "the parasympathetic nerves innervating the bladder originate from the 2nd, 3rd, and 4th sacral nerves, forming the pelvic nerve, which converges within the cardinal ligament and uterosacral ligament...forming the pelvic plexus, which sends branches to the bladder").</w:t>
            </w:r>
            <w:r w:rsidRPr="00CB2EC4">
              <w:rPr>
                <w:rFonts w:ascii="Times New Roman" w:hAnsi="Times New Roman" w:cs="Times New Roman"/>
              </w:rPr>
              <w:br/>
            </w:r>
            <w:r w:rsidRPr="00CB2EC4">
              <w:rPr>
                <w:rFonts w:ascii="Times New Roman" w:hAnsi="Times New Roman" w:cs="Times New Roman"/>
              </w:rPr>
              <w:br/>
              <w:t xml:space="preserve">- surgical injury mechanism:  </w:t>
            </w:r>
            <w:r w:rsidRPr="00CB2EC4">
              <w:rPr>
                <w:rFonts w:ascii="Times New Roman" w:hAnsi="Times New Roman" w:cs="Times New Roman"/>
              </w:rPr>
              <w:br/>
              <w:t xml:space="preserve">  radical hysterectomy requires extensive resection of the cardinal ligament and uterosacral ligament to remove potential cancerous tissue. this inevitably severs the pelvic nerve fibers passing through these ligaments. the consequences include:  </w:t>
            </w:r>
            <w:r w:rsidRPr="00CB2EC4">
              <w:rPr>
                <w:rFonts w:ascii="Times New Roman" w:hAnsi="Times New Roman" w:cs="Times New Roman"/>
              </w:rPr>
              <w:br/>
              <w:t xml:space="preserve">  1. interruption of the sacral micturition reflex: parasympathetic nerve damage disrupts afferent and efferent signals to the bladder, abolishing the sensation of bladder fullness and detrusor contractility.  </w:t>
            </w:r>
            <w:r w:rsidRPr="00CB2EC4">
              <w:rPr>
                <w:rFonts w:ascii="Times New Roman" w:hAnsi="Times New Roman" w:cs="Times New Roman"/>
              </w:rPr>
              <w:br/>
              <w:t xml:space="preserve">  2. detrusor dysfunction: nerve injury leads to detrusor overdistension and myogenic weakness, impairing bladder emptying.  </w:t>
            </w:r>
            <w:r w:rsidRPr="00CB2EC4">
              <w:rPr>
                <w:rFonts w:ascii="Times New Roman" w:hAnsi="Times New Roman" w:cs="Times New Roman"/>
              </w:rPr>
              <w:br/>
              <w:t xml:space="preserve">  3. urethral sphincter dyssynergia: loss of coordinated </w:t>
            </w:r>
            <w:r w:rsidRPr="00CB2EC4">
              <w:rPr>
                <w:rFonts w:ascii="Times New Roman" w:hAnsi="Times New Roman" w:cs="Times New Roman"/>
              </w:rPr>
              <w:lastRenderedPageBreak/>
              <w:t xml:space="preserve">central control prevents timely sphincter relaxation, exacerbating urinary retention.  </w:t>
            </w:r>
            <w:r w:rsidRPr="00CB2EC4">
              <w:rPr>
                <w:rFonts w:ascii="Times New Roman" w:hAnsi="Times New Roman" w:cs="Times New Roman"/>
              </w:rPr>
              <w:br/>
              <w:t xml:space="preserve">  additionally, extensive bladder dissection during surgery further damages neural ganglia in the bladder wall and compromises its blood supply, worsening functional impairment (document fragment 4: "due to surgical transection of the bladder-innervating nerves leading to neurogenic bladder paralysis...meanwhile, extensive bladder dissection during surgery damages neural ganglia in the bladder wall and affects blood supply").</w:t>
            </w:r>
            <w:r w:rsidRPr="00CB2EC4">
              <w:rPr>
                <w:rFonts w:ascii="Times New Roman" w:hAnsi="Times New Roman" w:cs="Times New Roman"/>
              </w:rPr>
              <w:br/>
            </w:r>
            <w:r w:rsidRPr="00CB2EC4">
              <w:rPr>
                <w:rFonts w:ascii="Times New Roman" w:hAnsi="Times New Roman" w:cs="Times New Roman"/>
              </w:rPr>
              <w:br/>
              <w:t>thus, the fundamental cause is the transection of sacral-origin parasympathetic nerve fibers during ligament resection, resulting in neurogenic bladder paralysis and urinary retention.</w:t>
            </w:r>
          </w:p>
        </w:tc>
        <w:tc>
          <w:tcPr>
            <w:tcW w:w="1152" w:type="dxa"/>
            <w:vAlign w:val="center"/>
          </w:tcPr>
          <w:p w14:paraId="6C8168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3B864F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A9E205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BDF23F3" w14:textId="77777777">
        <w:tc>
          <w:tcPr>
            <w:tcW w:w="2160" w:type="dxa"/>
            <w:vAlign w:val="center"/>
          </w:tcPr>
          <w:p w14:paraId="78FCF2B2"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NaiveRAG</w:t>
            </w:r>
          </w:p>
        </w:tc>
        <w:tc>
          <w:tcPr>
            <w:tcW w:w="5040" w:type="dxa"/>
            <w:vAlign w:val="center"/>
          </w:tcPr>
          <w:p w14:paraId="1AF77C45" w14:textId="77777777" w:rsidR="00922249" w:rsidRPr="00CB2EC4" w:rsidRDefault="003011D5">
            <w:pPr>
              <w:rPr>
                <w:rFonts w:ascii="Times New Roman" w:hAnsi="Times New Roman" w:cs="Times New Roman"/>
              </w:rPr>
            </w:pPr>
            <w:r w:rsidRPr="00CB2EC4">
              <w:rPr>
                <w:rFonts w:ascii="Times New Roman" w:hAnsi="Times New Roman" w:cs="Times New Roman"/>
              </w:rPr>
              <w:t>why is bladder dysfunction (such as urinary retention) common after radical hysterectomy? explanation of the fundamental cause from the perspective of neuroanatomy:</w:t>
            </w:r>
            <w:r w:rsidRPr="00CB2EC4">
              <w:rPr>
                <w:rFonts w:ascii="Times New Roman" w:hAnsi="Times New Roman" w:cs="Times New Roman"/>
              </w:rPr>
              <w:br/>
            </w:r>
            <w:r w:rsidRPr="00CB2EC4">
              <w:rPr>
                <w:rFonts w:ascii="Times New Roman" w:hAnsi="Times New Roman" w:cs="Times New Roman"/>
              </w:rPr>
              <w:br/>
              <w:t>- fundamental cause:</w:t>
            </w:r>
            <w:r w:rsidRPr="00CB2EC4">
              <w:rPr>
                <w:rFonts w:ascii="Times New Roman" w:hAnsi="Times New Roman" w:cs="Times New Roman"/>
              </w:rPr>
              <w:br/>
              <w:t xml:space="preserve">  - the surgery severs nerve fibers innervating the bladder, resulting in neurogenic bladder paralysis. specific nerve injuries include:</w:t>
            </w:r>
            <w:r w:rsidRPr="00CB2EC4">
              <w:rPr>
                <w:rFonts w:ascii="Times New Roman" w:hAnsi="Times New Roman" w:cs="Times New Roman"/>
              </w:rPr>
              <w:br/>
              <w:t xml:space="preserve">    - interruption of sacral micturition reflex: parasympathetic nerve fibers to the bladder (from sacral nerves S2, S3, S4) and sympathetic fibers (located in the pelvic plexus) are damaged during extensive resection of parametrial and paravaginal tissues. this disrupts the sacral micturition reflex arc, leading to loss of bladder sensation and inadequate contraction of the detrusor muscle (bladder wall muscle).</w:t>
            </w:r>
            <w:r w:rsidRPr="00CB2EC4">
              <w:rPr>
                <w:rFonts w:ascii="Times New Roman" w:hAnsi="Times New Roman" w:cs="Times New Roman"/>
              </w:rPr>
              <w:br/>
            </w:r>
            <w:r w:rsidRPr="00CB2EC4">
              <w:rPr>
                <w:rFonts w:ascii="Times New Roman" w:hAnsi="Times New Roman" w:cs="Times New Roman"/>
              </w:rPr>
              <w:lastRenderedPageBreak/>
              <w:t xml:space="preserve">    - disruption of urethral sphincter control: conscious regulation of the internal and external urethral sphincters is interrupted, preventing voluntary voiding.</w:t>
            </w:r>
            <w:r w:rsidRPr="00CB2EC4">
              <w:rPr>
                <w:rFonts w:ascii="Times New Roman" w:hAnsi="Times New Roman" w:cs="Times New Roman"/>
              </w:rPr>
              <w:br/>
              <w:t xml:space="preserve">    - damage to bladder wall ganglia: extensive dissection of the bladder during surgery destroys ganglia within the bladder wall and compromises blood supply, exacerbating muscle weakness and bladder overdistension.</w:t>
            </w:r>
            <w:r w:rsidRPr="00CB2EC4">
              <w:rPr>
                <w:rFonts w:ascii="Times New Roman" w:hAnsi="Times New Roman" w:cs="Times New Roman"/>
              </w:rPr>
              <w:br/>
              <w:t xml:space="preserve">  - the extent of nerve injury correlates with the surgical scope: greater resection of the cardinal ligaments, uterosacral ligaments, and vaginal tissue increases the severity of nerve damage and the risk of bladder dysfunction.</w:t>
            </w:r>
            <w:r w:rsidRPr="00CB2EC4">
              <w:rPr>
                <w:rFonts w:ascii="Times New Roman" w:hAnsi="Times New Roman" w:cs="Times New Roman"/>
              </w:rPr>
              <w:br/>
              <w:t>- pathophysiological sequence: nerve injury → sacral reflex interruption → detrusor function loss → bladder overdistension → urinary retention → increased susceptibility to infection.</w:t>
            </w:r>
            <w:r w:rsidRPr="00CB2EC4">
              <w:rPr>
                <w:rFonts w:ascii="Times New Roman" w:hAnsi="Times New Roman" w:cs="Times New Roman"/>
              </w:rPr>
              <w:br/>
              <w:t>- source: [similarity: 0.487] and [similarity: 0.438] fragments.</w:t>
            </w:r>
          </w:p>
        </w:tc>
        <w:tc>
          <w:tcPr>
            <w:tcW w:w="1152" w:type="dxa"/>
            <w:vAlign w:val="center"/>
          </w:tcPr>
          <w:p w14:paraId="236722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6990F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0765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A0078B6" w14:textId="77777777">
        <w:tc>
          <w:tcPr>
            <w:tcW w:w="2160" w:type="dxa"/>
            <w:vAlign w:val="center"/>
          </w:tcPr>
          <w:p w14:paraId="2A72E0BE"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424AD19" w14:textId="77777777" w:rsidR="00922249" w:rsidRPr="00CB2EC4" w:rsidRDefault="003011D5">
            <w:pPr>
              <w:rPr>
                <w:rFonts w:ascii="Times New Roman" w:hAnsi="Times New Roman" w:cs="Times New Roman"/>
              </w:rPr>
            </w:pPr>
            <w:r w:rsidRPr="00CB2EC4">
              <w:rPr>
                <w:rFonts w:ascii="Times New Roman" w:hAnsi="Times New Roman" w:cs="Times New Roman"/>
              </w:rPr>
              <w:t>why does bladder dysfunction (such as urinary retention) commonly occur after radical hysterectomy? explain the fundamental cause from the perspective of neuroanatomy:</w:t>
            </w:r>
            <w:r w:rsidRPr="00CB2EC4">
              <w:rPr>
                <w:rFonts w:ascii="Times New Roman" w:hAnsi="Times New Roman" w:cs="Times New Roman"/>
              </w:rPr>
              <w:br/>
            </w:r>
            <w:r w:rsidRPr="00CB2EC4">
              <w:rPr>
                <w:rFonts w:ascii="Times New Roman" w:hAnsi="Times New Roman" w:cs="Times New Roman"/>
              </w:rPr>
              <w:br/>
              <w:t>- fundamental cause: during surgery, parasympathetic nerve fibers in the pelvis that innervate the detrusor muscle of the bladder are inevitably damaged. the parasympathetic nerves (originating from the pelvic splanchnic nerves, S2-S4) are responsible for bladder contraction and micturition. injury leads to detrusor dysfunction, resulting in urinary retention (document fragment 11 and document fragment 21).</w:t>
            </w:r>
            <w:r w:rsidRPr="00CB2EC4">
              <w:rPr>
                <w:rFonts w:ascii="Times New Roman" w:hAnsi="Times New Roman" w:cs="Times New Roman"/>
              </w:rPr>
              <w:br/>
              <w:t>- related mechanisms:</w:t>
            </w:r>
            <w:r w:rsidRPr="00CB2EC4">
              <w:rPr>
                <w:rFonts w:ascii="Times New Roman" w:hAnsi="Times New Roman" w:cs="Times New Roman"/>
              </w:rPr>
              <w:br/>
            </w:r>
            <w:r w:rsidRPr="00CB2EC4">
              <w:rPr>
                <w:rFonts w:ascii="Times New Roman" w:hAnsi="Times New Roman" w:cs="Times New Roman"/>
              </w:rPr>
              <w:lastRenderedPageBreak/>
              <w:t xml:space="preserve">  - extensive dissection of the bladder damages neural plexuses and blood supply within the bladder wall, alters bladder position, and further impairs nerve conduction (document fragment 21).</w:t>
            </w:r>
            <w:r w:rsidRPr="00CB2EC4">
              <w:rPr>
                <w:rFonts w:ascii="Times New Roman" w:hAnsi="Times New Roman" w:cs="Times New Roman"/>
              </w:rPr>
              <w:br/>
              <w:t xml:space="preserve">  - the procedure involves wide resection of parametrial tissue, which may sever or stretch the parasympathetic pathways innervating the bladder, disrupting the reflexes for bladder filling and emptying (document fragment 11).</w:t>
            </w:r>
            <w:r w:rsidRPr="00CB2EC4">
              <w:rPr>
                <w:rFonts w:ascii="Times New Roman" w:hAnsi="Times New Roman" w:cs="Times New Roman"/>
              </w:rPr>
              <w:br/>
              <w:t>- supporting evidence: the context explicitly states that "radical hysterectomy inevitably damages pelvic blood supply and parasympathetic nerves, causing varying degrees of detrusor muscle dysfunction," which directly explains the neuroanatomical basis for urinary retention (document fragment 21).</w:t>
            </w:r>
            <w:r w:rsidRPr="00CB2EC4">
              <w:rPr>
                <w:rFonts w:ascii="Times New Roman" w:hAnsi="Times New Roman" w:cs="Times New Roman"/>
              </w:rPr>
              <w:br/>
            </w:r>
            <w:r w:rsidRPr="00CB2EC4">
              <w:rPr>
                <w:rFonts w:ascii="Times New Roman" w:hAnsi="Times New Roman" w:cs="Times New Roman"/>
              </w:rPr>
              <w:br/>
              <w:t>this response is based on descriptions in document fragment 11 (relevance: 0.2632) and document fragment 21 (relevance: 0.1608).</w:t>
            </w:r>
          </w:p>
        </w:tc>
        <w:tc>
          <w:tcPr>
            <w:tcW w:w="1152" w:type="dxa"/>
            <w:vAlign w:val="center"/>
          </w:tcPr>
          <w:p w14:paraId="5E1143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674B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D442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8512E6" w14:textId="77777777">
        <w:tc>
          <w:tcPr>
            <w:tcW w:w="2160" w:type="dxa"/>
            <w:vAlign w:val="center"/>
          </w:tcPr>
          <w:p w14:paraId="5F23B7CE"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84F43EE" w14:textId="77777777" w:rsidR="00922249" w:rsidRPr="00CB2EC4" w:rsidRDefault="003011D5">
            <w:pPr>
              <w:rPr>
                <w:rFonts w:ascii="Times New Roman" w:hAnsi="Times New Roman" w:cs="Times New Roman"/>
              </w:rPr>
            </w:pPr>
            <w:r w:rsidRPr="00CB2EC4">
              <w:rPr>
                <w:rFonts w:ascii="Times New Roman" w:hAnsi="Times New Roman" w:cs="Times New Roman"/>
              </w:rPr>
              <w:t>why is bladder dysfunction (such as urinary retention) common after radical hysterectomy? explain the fundamental cause from the neuroanatomical perspective.</w:t>
            </w:r>
            <w:r w:rsidRPr="00CB2EC4">
              <w:rPr>
                <w:rFonts w:ascii="Times New Roman" w:hAnsi="Times New Roman" w:cs="Times New Roman"/>
              </w:rPr>
              <w:br/>
            </w:r>
            <w:r w:rsidRPr="00CB2EC4">
              <w:rPr>
                <w:rFonts w:ascii="Times New Roman" w:hAnsi="Times New Roman" w:cs="Times New Roman"/>
              </w:rPr>
              <w:br/>
              <w:t xml:space="preserve">answer:  </w:t>
            </w:r>
            <w:r w:rsidRPr="00CB2EC4">
              <w:rPr>
                <w:rFonts w:ascii="Times New Roman" w:hAnsi="Times New Roman" w:cs="Times New Roman"/>
              </w:rPr>
              <w:br/>
              <w:t xml:space="preserve">based on the provided context (primarily from segment 4), the fundamental neuroanatomical reasons for bladder dysfunction (e.g., urinary retention) after radical hysterectomy are as follows:  </w:t>
            </w:r>
            <w:r w:rsidRPr="00CB2EC4">
              <w:rPr>
                <w:rFonts w:ascii="Times New Roman" w:hAnsi="Times New Roman" w:cs="Times New Roman"/>
              </w:rPr>
              <w:br/>
              <w:t xml:space="preserve">- nerve injury mechanism: the surgical procedure severs the nerve fibers innervating the bladder, resulting in neurogenic bladder paralysis. specifically, the bladder nerve plexus is located in the parametrial tissue at the base of the broad ligament near the </w:t>
            </w:r>
            <w:r w:rsidRPr="00CB2EC4">
              <w:rPr>
                <w:rFonts w:ascii="Times New Roman" w:hAnsi="Times New Roman" w:cs="Times New Roman"/>
              </w:rPr>
              <w:lastRenderedPageBreak/>
              <w:t xml:space="preserve">cervix. these nerve fibers include parasympathetic fibers from the s2, s3, and s4 spinal nerves (responsible for detrusor muscle contraction and the micturition reflex), as well as sympathetic and sensory nerve fibers. radical hysterectomy, which involves resection of the cardinal ligaments, uterosacral ligaments, and part of the vaginal tissue, inevitably damages these nerve plexuses (segment 4: "pelvic nerve plexus is mainly located in the parametrial tissue at the base of the broad ligament near the cervix, distributed to the uterine body, cervix, and upper bladder. the pelvic nerve plexus contains parasympathetic fibers from the s2, s3, and s4 spinal nerves, and centripetal sensory nerve fibers. radical hysterectomy can damage the above nerve fibers, affecting bladder and sexual function...").  </w:t>
            </w:r>
            <w:r w:rsidRPr="00CB2EC4">
              <w:rPr>
                <w:rFonts w:ascii="Times New Roman" w:hAnsi="Times New Roman" w:cs="Times New Roman"/>
              </w:rPr>
              <w:br/>
              <w:t xml:space="preserve">- specific pathophysiology:  </w:t>
            </w:r>
            <w:r w:rsidRPr="00CB2EC4">
              <w:rPr>
                <w:rFonts w:ascii="Times New Roman" w:hAnsi="Times New Roman" w:cs="Times New Roman"/>
              </w:rPr>
              <w:br/>
              <w:t xml:space="preserve">  - interruption of the sacral micturition reflex: parasympathetic nerve injury leads to detrusor muscle dysfunction, loss of bladder sensation, overdistension of the bladder, and muscle weakness due to excessive stretching (segment 4: "due to the surgical section of the nerves innervating the bladder, neurogenic bladder paralysis occurs, i.e., interruption of the sacral micturition reflex, loss of bladder sensation, overdistension of the bladder, and the detrusor muscle becomes excessively elongated, exacerbating muscle weakness and incomplete contraction.").  </w:t>
            </w:r>
            <w:r w:rsidRPr="00CB2EC4">
              <w:rPr>
                <w:rFonts w:ascii="Times New Roman" w:hAnsi="Times New Roman" w:cs="Times New Roman"/>
              </w:rPr>
              <w:br/>
              <w:t xml:space="preserve">  - disruption of urethral sphincter control: sympathetic fiber injury impairs voluntary regulation of the internal and external urethral sphincters, preventing natural voiding (segment 4: "conscious regulation of the internal and external urethral sphincters is interrupted, making natural urination </w:t>
            </w:r>
            <w:r w:rsidRPr="00CB2EC4">
              <w:rPr>
                <w:rFonts w:ascii="Times New Roman" w:hAnsi="Times New Roman" w:cs="Times New Roman"/>
              </w:rPr>
              <w:lastRenderedPageBreak/>
              <w:t xml:space="preserve">impossible.").  </w:t>
            </w:r>
            <w:r w:rsidRPr="00CB2EC4">
              <w:rPr>
                <w:rFonts w:ascii="Times New Roman" w:hAnsi="Times New Roman" w:cs="Times New Roman"/>
              </w:rPr>
              <w:br/>
              <w:t xml:space="preserve">- additional contributing factors: extensive bladder dissection during surgery damages neural ganglia in the bladder wall and compromises blood supply, along with changes in bladder position, further aggravating voiding difficulty (segment 4: "meanwhile, extensive bladder dissection during surgery damages neural ganglia in the bladder wall, affects blood supply, and changes in bladder position are all causes of postoperative voiding difficulty.").  </w:t>
            </w:r>
            <w:r w:rsidRPr="00CB2EC4">
              <w:rPr>
                <w:rFonts w:ascii="Times New Roman" w:hAnsi="Times New Roman" w:cs="Times New Roman"/>
              </w:rPr>
              <w:br/>
            </w:r>
            <w:r w:rsidRPr="00CB2EC4">
              <w:rPr>
                <w:rFonts w:ascii="Times New Roman" w:hAnsi="Times New Roman" w:cs="Times New Roman"/>
              </w:rPr>
              <w:br/>
              <w:t>this explanation is entirely derived from the neuroanatomical description in segment 4, with no contradictory or supplementary information found in other segments.</w:t>
            </w:r>
          </w:p>
        </w:tc>
        <w:tc>
          <w:tcPr>
            <w:tcW w:w="1152" w:type="dxa"/>
            <w:vAlign w:val="center"/>
          </w:tcPr>
          <w:p w14:paraId="13EE09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DED9B0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F6241D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C80BED" w14:textId="77777777">
        <w:tc>
          <w:tcPr>
            <w:tcW w:w="2160" w:type="dxa"/>
            <w:vAlign w:val="center"/>
          </w:tcPr>
          <w:p w14:paraId="5732DF1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55A45D06" w14:textId="77777777" w:rsidR="00922249" w:rsidRPr="00CB2EC4" w:rsidRDefault="003011D5">
            <w:pPr>
              <w:rPr>
                <w:rFonts w:ascii="Times New Roman" w:hAnsi="Times New Roman" w:cs="Times New Roman"/>
              </w:rPr>
            </w:pPr>
            <w:r w:rsidRPr="00CB2EC4">
              <w:rPr>
                <w:rFonts w:ascii="Times New Roman" w:hAnsi="Times New Roman" w:cs="Times New Roman"/>
              </w:rPr>
              <w:t>why is bladder dysfunction (such as urinary retention) common after radical hysterectomy? explanation of the fundamental cause from the perspective of neuroanatomy:</w:t>
            </w:r>
            <w:r w:rsidRPr="00CB2EC4">
              <w:rPr>
                <w:rFonts w:ascii="Times New Roman" w:hAnsi="Times New Roman" w:cs="Times New Roman"/>
              </w:rPr>
              <w:br/>
            </w:r>
            <w:r w:rsidRPr="00CB2EC4">
              <w:rPr>
                <w:rFonts w:ascii="Times New Roman" w:hAnsi="Times New Roman" w:cs="Times New Roman"/>
              </w:rPr>
              <w:br/>
              <w:t>- fundamental cause: radical hysterectomy requires resection of the parametrial tissues (including the cardinal ligament and uterosacral ligament), which can easily damage the pelvic autonomic nerve plexus, particularly the inferior hypogastric plexus (hypogastric plexus). this plexus contains parasympathetic fibers (originating from S2–S4 sacral nerves) and sympathetic fibers (originating from T10–L2), which innervate the detrusor muscle of the bladder and the urethral sphincter.</w:t>
            </w:r>
            <w:r w:rsidRPr="00CB2EC4">
              <w:rPr>
                <w:rFonts w:ascii="Times New Roman" w:hAnsi="Times New Roman" w:cs="Times New Roman"/>
              </w:rPr>
              <w:br/>
              <w:t xml:space="preserve">- neuroanatomical mechanism: </w:t>
            </w:r>
            <w:r w:rsidRPr="00CB2EC4">
              <w:rPr>
                <w:rFonts w:ascii="宋体" w:eastAsia="宋体" w:hAnsi="宋体" w:cs="宋体" w:hint="eastAsia"/>
              </w:rPr>
              <w:t>①</w:t>
            </w:r>
            <w:r w:rsidRPr="00CB2EC4">
              <w:rPr>
                <w:rFonts w:ascii="Times New Roman" w:hAnsi="Times New Roman" w:cs="Times New Roman"/>
              </w:rPr>
              <w:t xml:space="preserve"> during resection of the parametrial tissues, the bladder branches of the inferior hypogastric plexus are directly severed or </w:t>
            </w:r>
            <w:r w:rsidRPr="00CB2EC4">
              <w:rPr>
                <w:rFonts w:ascii="Times New Roman" w:hAnsi="Times New Roman" w:cs="Times New Roman"/>
              </w:rPr>
              <w:lastRenderedPageBreak/>
              <w:t xml:space="preserve">stretched, leading to bladder denervation; </w:t>
            </w:r>
            <w:r w:rsidRPr="00CB2EC4">
              <w:rPr>
                <w:rFonts w:ascii="宋体" w:eastAsia="宋体" w:hAnsi="宋体" w:cs="宋体" w:hint="eastAsia"/>
              </w:rPr>
              <w:t>②</w:t>
            </w:r>
            <w:r w:rsidRPr="00CB2EC4">
              <w:rPr>
                <w:rFonts w:ascii="Times New Roman" w:hAnsi="Times New Roman" w:cs="Times New Roman"/>
              </w:rPr>
              <w:t xml:space="preserve"> parasympathetic nerve injury reduces bladder contractility, causing urinary retention; </w:t>
            </w:r>
            <w:r w:rsidRPr="00CB2EC4">
              <w:rPr>
                <w:rFonts w:ascii="宋体" w:eastAsia="宋体" w:hAnsi="宋体" w:cs="宋体" w:hint="eastAsia"/>
              </w:rPr>
              <w:t>③</w:t>
            </w:r>
            <w:r w:rsidRPr="00CB2EC4">
              <w:rPr>
                <w:rFonts w:ascii="Times New Roman" w:hAnsi="Times New Roman" w:cs="Times New Roman"/>
              </w:rPr>
              <w:t xml:space="preserve"> sympathetic nerve injury impairs urethral sphincter function, resulting in disordered voiding coordination. literature indicates that the rate of nerve injury with traditional radical resection is as high as 70–80%, while nerve-sparing techniques can significantly reduce this risk.</w:t>
            </w:r>
          </w:p>
        </w:tc>
        <w:tc>
          <w:tcPr>
            <w:tcW w:w="1152" w:type="dxa"/>
            <w:vAlign w:val="center"/>
          </w:tcPr>
          <w:p w14:paraId="1D91A4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76CC68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30848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5070EC" w14:textId="77777777">
        <w:tc>
          <w:tcPr>
            <w:tcW w:w="10656" w:type="dxa"/>
            <w:gridSpan w:val="5"/>
            <w:tcBorders>
              <w:bottom w:val="single" w:sz="6" w:space="0" w:color="auto"/>
            </w:tcBorders>
            <w:vAlign w:val="center"/>
          </w:tcPr>
          <w:p w14:paraId="087E4CAE"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194: A patient develops a large pelvic lymphocele after a pelvic lymphadenectomy. Based on the text, deduce the pathophysiological chain of events through which this lymphocele leads to acute pyelonephritis.</w:t>
            </w:r>
          </w:p>
        </w:tc>
      </w:tr>
      <w:tr w:rsidR="00922249" w:rsidRPr="00CB2EC4" w14:paraId="52B248C7" w14:textId="77777777">
        <w:tc>
          <w:tcPr>
            <w:tcW w:w="2160" w:type="dxa"/>
            <w:vAlign w:val="center"/>
          </w:tcPr>
          <w:p w14:paraId="5908F309"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760904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Lymphocele compresses the ureter: A large pelvic lymphocele can cause ureteral obstruction (as explicitly stated in the document regarding lymphocele complications including ureteral obstruction).  </w:t>
            </w:r>
            <w:r w:rsidRPr="00CB2EC4">
              <w:rPr>
                <w:rFonts w:ascii="Times New Roman" w:hAnsi="Times New Roman" w:cs="Times New Roman"/>
              </w:rPr>
              <w:br/>
              <w:t xml:space="preserve">2. Urine retention: Ureteral obstruction impedes urine outflow, leading to urine stasis within the renal pelvis, creating an environment conducive to bacterial growth.  </w:t>
            </w:r>
            <w:r w:rsidRPr="00CB2EC4">
              <w:rPr>
                <w:rFonts w:ascii="Times New Roman" w:hAnsi="Times New Roman" w:cs="Times New Roman"/>
              </w:rPr>
              <w:br/>
              <w:t xml:space="preserve">3. Ascending bacterial infection: Stagnant urine facilitates bacterial proliferation (commonly Gram-negative bacilli such as Escherichia coli), which ascend through the ureter to the renal pelvis, causing infection.  </w:t>
            </w:r>
            <w:r w:rsidRPr="00CB2EC4">
              <w:rPr>
                <w:rFonts w:ascii="Times New Roman" w:hAnsi="Times New Roman" w:cs="Times New Roman"/>
              </w:rPr>
              <w:br/>
              <w:t xml:space="preserve">4. Acute pyelonephritis onset: Infection results in inflammation of the renal pelvis and renal parenchyma, manifesting as chills, high fever, flank pain, urinary frequency, urgency, and dysuria; severe cases may progress to sepsis (sources: similarity 0.475, range 969-971; similarity 0.487, range 968-970).  </w:t>
            </w:r>
            <w:r w:rsidRPr="00CB2EC4">
              <w:rPr>
                <w:rFonts w:ascii="Times New Roman" w:hAnsi="Times New Roman" w:cs="Times New Roman"/>
              </w:rPr>
              <w:br/>
              <w:t xml:space="preserve">   - Document-supported chain: Lymphocele → </w:t>
            </w:r>
            <w:r w:rsidRPr="00CB2EC4">
              <w:rPr>
                <w:rFonts w:ascii="Times New Roman" w:hAnsi="Times New Roman" w:cs="Times New Roman"/>
              </w:rPr>
              <w:lastRenderedPageBreak/>
              <w:t>ureteral obstruction → urine retention → bacterial infection → acute pyelonephritis.</w:t>
            </w:r>
          </w:p>
        </w:tc>
        <w:tc>
          <w:tcPr>
            <w:tcW w:w="1152" w:type="dxa"/>
            <w:vAlign w:val="center"/>
          </w:tcPr>
          <w:p w14:paraId="5E8C2F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30988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C63A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F1CDE24" w14:textId="77777777">
        <w:tc>
          <w:tcPr>
            <w:tcW w:w="2160" w:type="dxa"/>
            <w:vAlign w:val="center"/>
          </w:tcPr>
          <w:p w14:paraId="1C9EED3C"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7FFE2B4" w14:textId="77777777" w:rsidR="00922249" w:rsidRPr="00CB2EC4" w:rsidRDefault="003011D5">
            <w:pPr>
              <w:rPr>
                <w:rFonts w:ascii="Times New Roman" w:hAnsi="Times New Roman" w:cs="Times New Roman"/>
              </w:rPr>
            </w:pPr>
            <w:r w:rsidRPr="00CB2EC4">
              <w:rPr>
                <w:rFonts w:ascii="Times New Roman" w:hAnsi="Times New Roman" w:cs="Times New Roman"/>
              </w:rPr>
              <w:t>based on document fragments 3 (block 970) and 4 (block 910):</w:t>
            </w:r>
            <w:r w:rsidRPr="00CB2EC4">
              <w:rPr>
                <w:rFonts w:ascii="Times New Roman" w:hAnsi="Times New Roman" w:cs="Times New Roman"/>
              </w:rPr>
              <w:br/>
              <w:t>- pathophysiological chain: lymphocele formation → ureteral obstruction → urine stasis → bacterial proliferation → ascending infection → acute pyelonephritis.</w:t>
            </w:r>
            <w:r w:rsidRPr="00CB2EC4">
              <w:rPr>
                <w:rFonts w:ascii="Times New Roman" w:hAnsi="Times New Roman" w:cs="Times New Roman"/>
              </w:rPr>
              <w:br/>
              <w:t>- detailed inference:</w:t>
            </w:r>
            <w:r w:rsidRPr="00CB2EC4">
              <w:rPr>
                <w:rFonts w:ascii="Times New Roman" w:hAnsi="Times New Roman" w:cs="Times New Roman"/>
              </w:rPr>
              <w:br/>
              <w:t xml:space="preserve">  1. lymphocele compresses ureter: lymphoceles typically develop within days to weeks after surgery; when large, they can compress the ureter (text: "pelvic lymphoceles can cause... ureteral obstruction"). bilateral cysts are more likely to cause obstructive renal failure.</w:t>
            </w:r>
            <w:r w:rsidRPr="00CB2EC4">
              <w:rPr>
                <w:rFonts w:ascii="Times New Roman" w:hAnsi="Times New Roman" w:cs="Times New Roman"/>
              </w:rPr>
              <w:br/>
              <w:t xml:space="preserve">  2. ureteral obstruction: obstruction impedes urine outflow, leading to hydronephrosis (text: "the degree of ureteral obstruction will serve as an indicator for urgent urological management").</w:t>
            </w:r>
            <w:r w:rsidRPr="00CB2EC4">
              <w:rPr>
                <w:rFonts w:ascii="Times New Roman" w:hAnsi="Times New Roman" w:cs="Times New Roman"/>
              </w:rPr>
              <w:br/>
              <w:t xml:space="preserve">  3. urine stasis and bacterial proliferation: post-obstruction urine stasis in the renal pelvis acts as a culture medium for bacteria. document fragment 4 states that ureteral obstruction predisposes to infection: "vigilance for ureteral or urinary outlet obstruction... is necessary as it may".</w:t>
            </w:r>
            <w:r w:rsidRPr="00CB2EC4">
              <w:rPr>
                <w:rFonts w:ascii="Times New Roman" w:hAnsi="Times New Roman" w:cs="Times New Roman"/>
              </w:rPr>
              <w:br/>
              <w:t xml:space="preserve">  4. ascending infection: bacteria (commonly enteric flora) ascend via the ureter to the renal pelvis, causing acute pyelonephritis. document fragment 3 emphasizes infection risk: "prompt antibiotic administration once signs of infection appear".</w:t>
            </w:r>
            <w:r w:rsidRPr="00CB2EC4">
              <w:rPr>
                <w:rFonts w:ascii="Times New Roman" w:hAnsi="Times New Roman" w:cs="Times New Roman"/>
              </w:rPr>
              <w:br/>
              <w:t xml:space="preserve">  5. acute pyelonephritis: presents with fever, flank pain, etc.; requires antibiotic therapy; severe cases may lead to renal impairment.</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relevant text citations: "pelvic lymphoceles can cause many serious complications, such as... ureteral obstruction" (fragment 3); "in acute pyelonephritis, timely anti-infection treatment should be given; vigilance for ureteral or urinary outlet obstruction... is necessary" (fragment 4).</w:t>
            </w:r>
          </w:p>
        </w:tc>
        <w:tc>
          <w:tcPr>
            <w:tcW w:w="1152" w:type="dxa"/>
            <w:vAlign w:val="center"/>
          </w:tcPr>
          <w:p w14:paraId="4EA8C6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BE4E4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713011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D0DDF54" w14:textId="77777777">
        <w:tc>
          <w:tcPr>
            <w:tcW w:w="2160" w:type="dxa"/>
            <w:vAlign w:val="center"/>
          </w:tcPr>
          <w:p w14:paraId="6182D34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72F15B6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based on the document content, the pathophysiological chain by which a large pelvic lymphocele leads to acute pyelonephritis is as follows:  </w:t>
            </w:r>
            <w:r w:rsidRPr="00CB2EC4">
              <w:rPr>
                <w:rFonts w:ascii="Times New Roman" w:hAnsi="Times New Roman" w:cs="Times New Roman"/>
              </w:rPr>
              <w:br/>
              <w:t xml:space="preserve">1. Lymphocele formation: Postoperative accumulation of lymphatic fluid forms a cyst, typically occurring days to weeks after pelvic lymphadenectomy (document fragment 5).  </w:t>
            </w:r>
            <w:r w:rsidRPr="00CB2EC4">
              <w:rPr>
                <w:rFonts w:ascii="Times New Roman" w:hAnsi="Times New Roman" w:cs="Times New Roman"/>
              </w:rPr>
              <w:br/>
              <w:t xml:space="preserve">2. Mechanical compression causing ureteral obstruction: A large lymphocele compresses the ureter, leading to ureteral obstruction (document fragments 5, 27). This results in urinary stasis and hydroureter (document fragment 13).  </w:t>
            </w:r>
            <w:r w:rsidRPr="00CB2EC4">
              <w:rPr>
                <w:rFonts w:ascii="Times New Roman" w:hAnsi="Times New Roman" w:cs="Times New Roman"/>
              </w:rPr>
              <w:br/>
              <w:t xml:space="preserve">3. Urinary stasis and bacterial proliferation: Following obstruction, urine refluxes or pools, creating a favorable environment for bacterial growth (primarily Gram-negative bacilli such as Escherichia coli) (document fragments 13, 43).  </w:t>
            </w:r>
            <w:r w:rsidRPr="00CB2EC4">
              <w:rPr>
                <w:rFonts w:ascii="Times New Roman" w:hAnsi="Times New Roman" w:cs="Times New Roman"/>
              </w:rPr>
              <w:br/>
              <w:t xml:space="preserve">4. Ascending infection leading to acute pyelonephritis: Bacteria ascend from the lower urinary tract to the kidneys, causing infection. Manifestations include chills, high fever (&gt;39°C), flank pain, frequency, urgency, and dysuria (document fragment 13).  </w:t>
            </w:r>
            <w:r w:rsidRPr="00CB2EC4">
              <w:rPr>
                <w:rFonts w:ascii="Times New Roman" w:hAnsi="Times New Roman" w:cs="Times New Roman"/>
              </w:rPr>
              <w:br/>
              <w:t xml:space="preserve">  Complete chain: Lymphocele → compresses ureter → ureteral obstruction → urinary stasis → bacterial infection (especially Gram-negative bacilli) → ascends to kidney → acute pyelonephritis.  </w:t>
            </w:r>
            <w:r w:rsidRPr="00CB2EC4">
              <w:rPr>
                <w:rFonts w:ascii="Times New Roman" w:hAnsi="Times New Roman" w:cs="Times New Roman"/>
              </w:rPr>
              <w:br/>
              <w:t xml:space="preserve">  Bilateral lymphoceles may also cause obstructive renal failure (document fragment 5), but acute </w:t>
            </w:r>
            <w:r w:rsidRPr="00CB2EC4">
              <w:rPr>
                <w:rFonts w:ascii="Times New Roman" w:hAnsi="Times New Roman" w:cs="Times New Roman"/>
              </w:rPr>
              <w:lastRenderedPageBreak/>
              <w:t>pyelonephritis is a common infectious complication (document fragments 13, 43).</w:t>
            </w:r>
          </w:p>
        </w:tc>
        <w:tc>
          <w:tcPr>
            <w:tcW w:w="1152" w:type="dxa"/>
            <w:vAlign w:val="center"/>
          </w:tcPr>
          <w:p w14:paraId="304D94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B36AC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B8BCB9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DD72AA1" w14:textId="77777777">
        <w:tc>
          <w:tcPr>
            <w:tcW w:w="2160" w:type="dxa"/>
            <w:vAlign w:val="center"/>
          </w:tcPr>
          <w:p w14:paraId="483D8F61"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7CB24B6F" w14:textId="77777777" w:rsidR="00922249" w:rsidRPr="00CB2EC4" w:rsidRDefault="003011D5">
            <w:pPr>
              <w:rPr>
                <w:rFonts w:ascii="Times New Roman" w:hAnsi="Times New Roman" w:cs="Times New Roman"/>
              </w:rPr>
            </w:pPr>
            <w:r w:rsidRPr="00CB2EC4">
              <w:rPr>
                <w:rFonts w:ascii="Times New Roman" w:hAnsi="Times New Roman" w:cs="Times New Roman"/>
              </w:rPr>
              <w:t>pathophysiological chain of pelvic lymphocele leading to acute pyelonephritis</w:t>
            </w:r>
            <w:r w:rsidRPr="00CB2EC4">
              <w:rPr>
                <w:rFonts w:ascii="Times New Roman" w:hAnsi="Times New Roman" w:cs="Times New Roman"/>
              </w:rPr>
              <w:br/>
            </w:r>
            <w:r w:rsidRPr="00CB2EC4">
              <w:rPr>
                <w:rFonts w:ascii="Times New Roman" w:hAnsi="Times New Roman" w:cs="Times New Roman"/>
              </w:rPr>
              <w:br/>
              <w:t>Source (Knowledge Base §16.6):</w:t>
            </w:r>
            <w:r w:rsidRPr="00CB2EC4">
              <w:rPr>
                <w:rFonts w:ascii="Times New Roman" w:hAnsi="Times New Roman" w:cs="Times New Roman"/>
              </w:rPr>
              <w:br/>
              <w:t>1. Lymphocele compresses ureter → ureteral obstruction → hydronephrosis.</w:t>
            </w:r>
            <w:r w:rsidRPr="00CB2EC4">
              <w:rPr>
                <w:rFonts w:ascii="Times New Roman" w:hAnsi="Times New Roman" w:cs="Times New Roman"/>
              </w:rPr>
              <w:br/>
              <w:t>2. Hydronephrosis causes urine stasis → bacterial proliferation (commonly G⁻ bacilli).</w:t>
            </w:r>
            <w:r w:rsidRPr="00CB2EC4">
              <w:rPr>
                <w:rFonts w:ascii="Times New Roman" w:hAnsi="Times New Roman" w:cs="Times New Roman"/>
              </w:rPr>
              <w:br/>
              <w:t>3. Ascending bacterial infection → acute pyelonephritis.</w:t>
            </w:r>
            <w:r w:rsidRPr="00CB2EC4">
              <w:rPr>
                <w:rFonts w:ascii="Times New Roman" w:hAnsi="Times New Roman" w:cs="Times New Roman"/>
              </w:rPr>
              <w:br/>
              <w:t>4. Aggravating factor: secondary infection of lymphocele (requires bacteriological examination of drainage fluid + antibiotics).</w:t>
            </w:r>
            <w:r w:rsidRPr="00CB2EC4">
              <w:rPr>
                <w:rFonts w:ascii="Times New Roman" w:hAnsi="Times New Roman" w:cs="Times New Roman"/>
              </w:rPr>
              <w:br/>
            </w:r>
            <w:r w:rsidRPr="00CB2EC4">
              <w:rPr>
                <w:rFonts w:ascii="Times New Roman" w:hAnsi="Times New Roman" w:cs="Times New Roman"/>
              </w:rPr>
              <w:br/>
              <w:t>&gt; Key link: Enlargement of the cyst is the trigger (knowledge base notes bilateral cysts can lead to renal failure); renal function must be monitored by ultrasound.</w:t>
            </w:r>
          </w:p>
        </w:tc>
        <w:tc>
          <w:tcPr>
            <w:tcW w:w="1152" w:type="dxa"/>
            <w:vAlign w:val="center"/>
          </w:tcPr>
          <w:p w14:paraId="5F04E14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9442A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100D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2E2362A" w14:textId="77777777">
        <w:tc>
          <w:tcPr>
            <w:tcW w:w="2160" w:type="dxa"/>
            <w:vAlign w:val="center"/>
          </w:tcPr>
          <w:p w14:paraId="328B38CF"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220F1A4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Lymphocele formation: Following pelvic lymphadenectomy, accumulated lymphatic fluid forms a cyst (Fragment 2 notes an incidence of 5%~30%, with higher risk in patients receiving radiotherapy or with lymph node metastasis).  </w:t>
            </w:r>
            <w:r w:rsidRPr="00CB2EC4">
              <w:rPr>
                <w:rFonts w:ascii="Times New Roman" w:hAnsi="Times New Roman" w:cs="Times New Roman"/>
              </w:rPr>
              <w:br/>
              <w:t xml:space="preserve">2. Ureteral obstruction: A large lymphocele compresses the ureter (Fragment 2 states lymphoceles can cause "ureteral obstruction"), impeding urine outflow.  </w:t>
            </w:r>
            <w:r w:rsidRPr="00CB2EC4">
              <w:rPr>
                <w:rFonts w:ascii="Times New Roman" w:hAnsi="Times New Roman" w:cs="Times New Roman"/>
              </w:rPr>
              <w:br/>
              <w:t xml:space="preserve">3. Urine stasis: Obstruction leads to hydronephrosis (Fragment 2 mentions "bilateral lymphoceles can cause obstructive renal failure"); urine accumulates in the renal pelvis and ureter.  </w:t>
            </w:r>
            <w:r w:rsidRPr="00CB2EC4">
              <w:rPr>
                <w:rFonts w:ascii="Times New Roman" w:hAnsi="Times New Roman" w:cs="Times New Roman"/>
              </w:rPr>
              <w:br/>
            </w:r>
            <w:r w:rsidRPr="00CB2EC4">
              <w:rPr>
                <w:rFonts w:ascii="Times New Roman" w:hAnsi="Times New Roman" w:cs="Times New Roman"/>
              </w:rPr>
              <w:lastRenderedPageBreak/>
              <w:t xml:space="preserve">4. Bacterial proliferation and ascending infection: Stagnant urine serves as a culture medium; concurrently, lymphoceles are prone to infection (Fragment 18 indicates "lymphoceles are susceptible to infection after formation"), allowing bacteria to ascend retrogradely from the urethra.  </w:t>
            </w:r>
            <w:r w:rsidRPr="00CB2EC4">
              <w:rPr>
                <w:rFonts w:ascii="Times New Roman" w:hAnsi="Times New Roman" w:cs="Times New Roman"/>
              </w:rPr>
              <w:br/>
              <w:t xml:space="preserve">5. Acute pyelonephritis: Infection spreads to the kidney, causing pyelonephritis, manifested as fever, flank pain, etc. (Fragment 4 notes urinary tract infections are common complications and can progress to pyelonephritis).  </w:t>
            </w:r>
            <w:r w:rsidRPr="00CB2EC4">
              <w:rPr>
                <w:rFonts w:ascii="Times New Roman" w:hAnsi="Times New Roman" w:cs="Times New Roman"/>
              </w:rPr>
              <w:br/>
              <w:t>Chain summary: Lymphocele → ureteral compression → ureteral obstruction → urine stasis → bacterial proliferation and ascending infection → acute pyelonephritis.</w:t>
            </w:r>
          </w:p>
        </w:tc>
        <w:tc>
          <w:tcPr>
            <w:tcW w:w="1152" w:type="dxa"/>
            <w:vAlign w:val="center"/>
          </w:tcPr>
          <w:p w14:paraId="386F7D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8404F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63ED0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D97D885" w14:textId="77777777">
        <w:tc>
          <w:tcPr>
            <w:tcW w:w="2160" w:type="dxa"/>
            <w:vAlign w:val="center"/>
          </w:tcPr>
          <w:p w14:paraId="6B44E530"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D194D0F" w14:textId="77777777" w:rsidR="00922249" w:rsidRPr="00CB2EC4" w:rsidRDefault="003011D5">
            <w:pPr>
              <w:rPr>
                <w:rFonts w:ascii="Times New Roman" w:hAnsi="Times New Roman" w:cs="Times New Roman"/>
              </w:rPr>
            </w:pPr>
            <w:r w:rsidRPr="00CB2EC4">
              <w:rPr>
                <w:rFonts w:ascii="Times New Roman" w:hAnsi="Times New Roman" w:cs="Times New Roman"/>
              </w:rPr>
              <w:t>- Pathophysiological chain:</w:t>
            </w:r>
            <w:r w:rsidRPr="00CB2EC4">
              <w:rPr>
                <w:rFonts w:ascii="Times New Roman" w:hAnsi="Times New Roman" w:cs="Times New Roman"/>
              </w:rPr>
              <w:br/>
              <w:t xml:space="preserve">  1. Lymphocele formation: Following pelvic lymphadenectomy, accumulation of lymphatic fluid forms a cyst (Document 5 states symptomatic lymphocele incidence is 5–30%, higher in those with radiotherapy or lymph node metastasis).</w:t>
            </w:r>
            <w:r w:rsidRPr="00CB2EC4">
              <w:rPr>
                <w:rFonts w:ascii="Times New Roman" w:hAnsi="Times New Roman" w:cs="Times New Roman"/>
              </w:rPr>
              <w:br/>
              <w:t xml:space="preserve">  2. Ureteral obstruction: A large lymphocele compresses the ureter, causing ureteral obstruction (Document 5 explicitly notes lymphoceles can cause "ureteral obstruction").</w:t>
            </w:r>
            <w:r w:rsidRPr="00CB2EC4">
              <w:rPr>
                <w:rFonts w:ascii="Times New Roman" w:hAnsi="Times New Roman" w:cs="Times New Roman"/>
              </w:rPr>
              <w:br/>
              <w:t xml:space="preserve">  3. Urine stasis: Obstruction leads to urine retention in the renal pelvis and ureter, creating an environment conducive to bacterial growth (Document 5 mentions bilateral lymphoceles can cause "obstructive renal failure," implying impaired urine flow).</w:t>
            </w:r>
            <w:r w:rsidRPr="00CB2EC4">
              <w:rPr>
                <w:rFonts w:ascii="Times New Roman" w:hAnsi="Times New Roman" w:cs="Times New Roman"/>
              </w:rPr>
              <w:br/>
              <w:t xml:space="preserve">  4. Bacterial infection: Stagnant urine facilitates ascending bacterial infection (e.g., Escherichia coli); Document 2 and 10 indicate postoperative infection is a common complication, with pelvic infection </w:t>
            </w:r>
            <w:r w:rsidRPr="00CB2EC4">
              <w:rPr>
                <w:rFonts w:ascii="Times New Roman" w:hAnsi="Times New Roman" w:cs="Times New Roman"/>
              </w:rPr>
              <w:lastRenderedPageBreak/>
              <w:t>manifesting as cellulitis or abscess.</w:t>
            </w:r>
            <w:r w:rsidRPr="00CB2EC4">
              <w:rPr>
                <w:rFonts w:ascii="Times New Roman" w:hAnsi="Times New Roman" w:cs="Times New Roman"/>
              </w:rPr>
              <w:br/>
              <w:t xml:space="preserve">  5. Acute pyelonephritis: Infection ascends to the kidney, causing inflammation of the renal pelvis and parenchyma, presenting with fever, flank pain, and pyuria (Document 10 describes pelvic infection causing "rectal or bladder irritation symptoms" but does not directly mention pyelonephritis; the chain is inferred based on obstruction and infection logic).</w:t>
            </w:r>
            <w:r w:rsidRPr="00CB2EC4">
              <w:rPr>
                <w:rFonts w:ascii="Times New Roman" w:hAnsi="Times New Roman" w:cs="Times New Roman"/>
              </w:rPr>
              <w:br/>
              <w:t xml:space="preserve">  This chain is based on ureteral obstruction and infection risk from Document 5, though pyelonephritis is not directly described, making the chain inferential.</w:t>
            </w:r>
          </w:p>
        </w:tc>
        <w:tc>
          <w:tcPr>
            <w:tcW w:w="1152" w:type="dxa"/>
            <w:vAlign w:val="center"/>
          </w:tcPr>
          <w:p w14:paraId="5EAE24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9BDD2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25478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C2616CE" w14:textId="77777777">
        <w:tc>
          <w:tcPr>
            <w:tcW w:w="2160" w:type="dxa"/>
            <w:vAlign w:val="center"/>
          </w:tcPr>
          <w:p w14:paraId="255A4926"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13B500B0" w14:textId="77777777" w:rsidR="00922249" w:rsidRPr="00CB2EC4" w:rsidRDefault="003011D5">
            <w:pPr>
              <w:rPr>
                <w:rFonts w:ascii="Times New Roman" w:hAnsi="Times New Roman" w:cs="Times New Roman"/>
              </w:rPr>
            </w:pPr>
            <w:r w:rsidRPr="00CB2EC4">
              <w:rPr>
                <w:rFonts w:ascii="Times New Roman" w:hAnsi="Times New Roman" w:cs="Times New Roman"/>
              </w:rPr>
              <w:t>pathophysiological chain of acute pyelonephritis triggered by lymphocele after pelvic lymphadenectomy</w:t>
            </w:r>
            <w:r w:rsidRPr="00CB2EC4">
              <w:rPr>
                <w:rFonts w:ascii="Times New Roman" w:hAnsi="Times New Roman" w:cs="Times New Roman"/>
              </w:rPr>
              <w:br/>
            </w:r>
            <w:r w:rsidRPr="00CB2EC4">
              <w:rPr>
                <w:rFonts w:ascii="Times New Roman" w:hAnsi="Times New Roman" w:cs="Times New Roman"/>
              </w:rPr>
              <w:br/>
              <w:t xml:space="preserve">Reasoning chain:  </w:t>
            </w:r>
            <w:r w:rsidRPr="00CB2EC4">
              <w:rPr>
                <w:rFonts w:ascii="Times New Roman" w:hAnsi="Times New Roman" w:cs="Times New Roman"/>
              </w:rPr>
              <w:br/>
              <w:t xml:space="preserve">1. Lymphocele formation: After lymph node dissection, unligated lymphatic vessel ends lead to lymph fluid accumulation forming a cyst (Context 8);  </w:t>
            </w:r>
            <w:r w:rsidRPr="00CB2EC4">
              <w:rPr>
                <w:rFonts w:ascii="Times New Roman" w:hAnsi="Times New Roman" w:cs="Times New Roman"/>
              </w:rPr>
              <w:br/>
              <w:t xml:space="preserve">2. Ureteral compression: Enlarging cyst compresses the ureter → urinary tract obstruction (Context 8 notes lymphocele can cause "obstructive renal failure");  </w:t>
            </w:r>
            <w:r w:rsidRPr="00CB2EC4">
              <w:rPr>
                <w:rFonts w:ascii="Times New Roman" w:hAnsi="Times New Roman" w:cs="Times New Roman"/>
              </w:rPr>
              <w:br/>
              <w:t xml:space="preserve">3. Bacterial proliferation: Stagnant urine flow promotes bacterial growth → ascending urinary tract infection;  </w:t>
            </w:r>
            <w:r w:rsidRPr="00CB2EC4">
              <w:rPr>
                <w:rFonts w:ascii="Times New Roman" w:hAnsi="Times New Roman" w:cs="Times New Roman"/>
              </w:rPr>
              <w:br/>
              <w:t xml:space="preserve">4. Infection spread: Bacteria reflux retrograde to the renal pelvis via the ureter → acute pyelonephritis.  </w:t>
            </w:r>
            <w:r w:rsidRPr="00CB2EC4">
              <w:rPr>
                <w:rFonts w:ascii="Times New Roman" w:hAnsi="Times New Roman" w:cs="Times New Roman"/>
              </w:rPr>
              <w:br/>
              <w:t>(Logic integrated from infection mechanisms in Contexts 8 and 9)</w:t>
            </w:r>
          </w:p>
        </w:tc>
        <w:tc>
          <w:tcPr>
            <w:tcW w:w="1152" w:type="dxa"/>
            <w:vAlign w:val="center"/>
          </w:tcPr>
          <w:p w14:paraId="21E817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FCD54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37BB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938694" w14:textId="77777777">
        <w:tc>
          <w:tcPr>
            <w:tcW w:w="2160" w:type="dxa"/>
            <w:vAlign w:val="center"/>
          </w:tcPr>
          <w:p w14:paraId="0C45DEB1"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6F7CD788" w14:textId="77777777" w:rsidR="00922249" w:rsidRPr="00CB2EC4" w:rsidRDefault="003011D5">
            <w:pPr>
              <w:rPr>
                <w:rFonts w:ascii="Times New Roman" w:hAnsi="Times New Roman" w:cs="Times New Roman"/>
              </w:rPr>
            </w:pPr>
            <w:r w:rsidRPr="00CB2EC4">
              <w:rPr>
                <w:rFonts w:ascii="Times New Roman" w:hAnsi="Times New Roman" w:cs="Times New Roman"/>
              </w:rPr>
              <w:t>1. Lymphocele compresses the ureter: A large pelvic lymphocele (especially post-lymphadenectomy) can directly compress the ureter, causing ureteral obstruction (Document Fragment 8).</w:t>
            </w:r>
            <w:r w:rsidRPr="00CB2EC4">
              <w:rPr>
                <w:rFonts w:ascii="Times New Roman" w:hAnsi="Times New Roman" w:cs="Times New Roman"/>
              </w:rPr>
              <w:br/>
            </w:r>
            <w:r w:rsidRPr="00CB2EC4">
              <w:rPr>
                <w:rFonts w:ascii="Times New Roman" w:hAnsi="Times New Roman" w:cs="Times New Roman"/>
              </w:rPr>
              <w:lastRenderedPageBreak/>
              <w:t>2. Urine stasis: Obstruction impedes urine outflow, leading to urinary stasis in the renal pelvis and ureter, creating an environment conducive to bacterial growth (Document Fragment 8 notes bilateral lymphoceles can cause obstructive renal failure).</w:t>
            </w:r>
            <w:r w:rsidRPr="00CB2EC4">
              <w:rPr>
                <w:rFonts w:ascii="Times New Roman" w:hAnsi="Times New Roman" w:cs="Times New Roman"/>
              </w:rPr>
              <w:br/>
              <w:t>3. Bacterial infection and ascension: Stagnant urine facilitates bacterial proliferation (commonly Escherichia coli), with bacteria ascending the urinary tract to the kidney (Document Fragment 9 links urinary tract infections to obstruction).</w:t>
            </w:r>
            <w:r w:rsidRPr="00CB2EC4">
              <w:rPr>
                <w:rFonts w:ascii="Times New Roman" w:hAnsi="Times New Roman" w:cs="Times New Roman"/>
              </w:rPr>
              <w:br/>
              <w:t>4. Acute pyelonephritis develops: Bacterial infection triggers inflammation of the renal pelvis and parenchyma, manifesting as acute pyelonephritis, with symptoms including fever, flank pain, and pyuria (Document Fragment 9 indicates high postoperative UTI rates and increased infection risk with obstruction).</w:t>
            </w:r>
            <w:r w:rsidRPr="00CB2EC4">
              <w:rPr>
                <w:rFonts w:ascii="Times New Roman" w:hAnsi="Times New Roman" w:cs="Times New Roman"/>
              </w:rPr>
              <w:br/>
              <w:t>- Complete chain: Lymphocele formation → Ureteral compression/obstruction → Urine stasis → Bacterial proliferation and ascension → Acute pyelonephritis. Document Fragment 8 emphasizes lymphocele-induced ureteral obstruction; Document Fragment 9 supplements the infection mechanism.</w:t>
            </w:r>
          </w:p>
        </w:tc>
        <w:tc>
          <w:tcPr>
            <w:tcW w:w="1152" w:type="dxa"/>
            <w:vAlign w:val="center"/>
          </w:tcPr>
          <w:p w14:paraId="2365753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64DAB2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CAB9C2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0C4674" w14:textId="77777777">
        <w:tc>
          <w:tcPr>
            <w:tcW w:w="2160" w:type="dxa"/>
            <w:vAlign w:val="center"/>
          </w:tcPr>
          <w:p w14:paraId="4C9E849A"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851E18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Lymphocele formation: Following pelvic lymphadenectomy, accumulation of lymphatic fluid forms a cyst (documented incidence 5–30%, with higher risk in patients receiving radiotherapy or with lymph node metastasis).  </w:t>
            </w:r>
            <w:r w:rsidRPr="00CB2EC4">
              <w:rPr>
                <w:rFonts w:ascii="Times New Roman" w:hAnsi="Times New Roman" w:cs="Times New Roman"/>
              </w:rPr>
              <w:br/>
              <w:t xml:space="preserve">2. Ureteral obstruction: A large lymphocele can compress the ureter (document notes "ureteral obstruction" as a common complication), leading to urinary stasis.  </w:t>
            </w:r>
            <w:r w:rsidRPr="00CB2EC4">
              <w:rPr>
                <w:rFonts w:ascii="Times New Roman" w:hAnsi="Times New Roman" w:cs="Times New Roman"/>
              </w:rPr>
              <w:br/>
              <w:t xml:space="preserve">3. Bacterial proliferation and ascending infection: Urinary stasis creates an environment conducive to </w:t>
            </w:r>
            <w:r w:rsidRPr="00CB2EC4">
              <w:rPr>
                <w:rFonts w:ascii="Times New Roman" w:hAnsi="Times New Roman" w:cs="Times New Roman"/>
              </w:rPr>
              <w:lastRenderedPageBreak/>
              <w:t xml:space="preserve">bacterial growth (document states lymphoceles are prone to infection, and drainage fluid should be sent for bacteriological examination). If the cyst becomes infected (as indicated by "when cyst infection is suspected"), bacteria can ascend through the ureter to the kidney.  </w:t>
            </w:r>
            <w:r w:rsidRPr="00CB2EC4">
              <w:rPr>
                <w:rFonts w:ascii="Times New Roman" w:hAnsi="Times New Roman" w:cs="Times New Roman"/>
              </w:rPr>
              <w:br/>
              <w:t xml:space="preserve">4. Acute pyelonephritis: Ascending bacterial infection of the kidney results in pyelonephritis (although the document does not explicitly name "acute pyelonephritis," it references "infection" and "ureteral obstruction" leading to severe complications such as "obstructive renal failure," and emphasizes prompt antibiotic use and drainage).  </w:t>
            </w:r>
            <w:r w:rsidRPr="00CB2EC4">
              <w:rPr>
                <w:rFonts w:ascii="Times New Roman" w:hAnsi="Times New Roman" w:cs="Times New Roman"/>
              </w:rPr>
              <w:br/>
              <w:t>Thus, the pathophysiological chain is: lymphocele → ureteral compression → urinary stasis → bacterial proliferation and ascending infection → acute pyelonephritis.</w:t>
            </w:r>
          </w:p>
        </w:tc>
        <w:tc>
          <w:tcPr>
            <w:tcW w:w="1152" w:type="dxa"/>
            <w:vAlign w:val="center"/>
          </w:tcPr>
          <w:p w14:paraId="78470E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8F3FB1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F49B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BB5447C" w14:textId="77777777">
        <w:tc>
          <w:tcPr>
            <w:tcW w:w="2160" w:type="dxa"/>
            <w:vAlign w:val="center"/>
          </w:tcPr>
          <w:p w14:paraId="7AF78975"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5614BF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Lymphocele formation after pelvic lymphadenectomy:  </w:t>
            </w:r>
            <w:r w:rsidRPr="00CB2EC4">
              <w:rPr>
                <w:rFonts w:ascii="Times New Roman" w:hAnsi="Times New Roman" w:cs="Times New Roman"/>
              </w:rPr>
              <w:br/>
              <w:t xml:space="preserve">   A large pelvic lymphocele develops in the retroperitoneal space following surgery, accumulating lymphatic fluid due to disrupted lymphatic channels.</w:t>
            </w:r>
            <w:r w:rsidRPr="00CB2EC4">
              <w:rPr>
                <w:rFonts w:ascii="Times New Roman" w:hAnsi="Times New Roman" w:cs="Times New Roman"/>
              </w:rPr>
              <w:br/>
            </w:r>
            <w:r w:rsidRPr="00CB2EC4">
              <w:rPr>
                <w:rFonts w:ascii="Times New Roman" w:hAnsi="Times New Roman" w:cs="Times New Roman"/>
              </w:rPr>
              <w:br/>
              <w:t xml:space="preserve">2. Lymphocele compresses the ureter:  </w:t>
            </w:r>
            <w:r w:rsidRPr="00CB2EC4">
              <w:rPr>
                <w:rFonts w:ascii="Times New Roman" w:hAnsi="Times New Roman" w:cs="Times New Roman"/>
              </w:rPr>
              <w:br/>
              <w:t xml:space="preserve">   The enlarged lymphocele exerts mechanical pressure on adjacent pelvic structures, particularly the ureters (especially if bilateral), causing ureteral obstruction.</w:t>
            </w:r>
            <w:r w:rsidRPr="00CB2EC4">
              <w:rPr>
                <w:rFonts w:ascii="Times New Roman" w:hAnsi="Times New Roman" w:cs="Times New Roman"/>
              </w:rPr>
              <w:br/>
            </w:r>
            <w:r w:rsidRPr="00CB2EC4">
              <w:rPr>
                <w:rFonts w:ascii="Times New Roman" w:hAnsi="Times New Roman" w:cs="Times New Roman"/>
              </w:rPr>
              <w:br/>
              <w:t xml:space="preserve">3. Ureteral obstruction leads to hydronephrosis:  </w:t>
            </w:r>
            <w:r w:rsidRPr="00CB2EC4">
              <w:rPr>
                <w:rFonts w:ascii="Times New Roman" w:hAnsi="Times New Roman" w:cs="Times New Roman"/>
              </w:rPr>
              <w:br/>
              <w:t xml:space="preserve">   Obstruction of the ureter impedes normal urine flow from the kidney to the bladder, resulting in retrograde accumulation of urine and hydronephrosis.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4. Hydronephrosis predisposes to bacterial infection:  </w:t>
            </w:r>
            <w:r w:rsidRPr="00CB2EC4">
              <w:rPr>
                <w:rFonts w:ascii="Times New Roman" w:hAnsi="Times New Roman" w:cs="Times New Roman"/>
              </w:rPr>
              <w:br/>
              <w:t xml:space="preserve">   Urinary stasis in the dilated renal pelvis creates an environment conducive to bacterial proliferation, commonly by Gram-negative bacilli such as Escherichia coli.</w:t>
            </w:r>
            <w:r w:rsidRPr="00CB2EC4">
              <w:rPr>
                <w:rFonts w:ascii="Times New Roman" w:hAnsi="Times New Roman" w:cs="Times New Roman"/>
              </w:rPr>
              <w:br/>
            </w:r>
            <w:r w:rsidRPr="00CB2EC4">
              <w:rPr>
                <w:rFonts w:ascii="Times New Roman" w:hAnsi="Times New Roman" w:cs="Times New Roman"/>
              </w:rPr>
              <w:br/>
              <w:t xml:space="preserve">5. Ascending infection causes acute pyelonephritis:  </w:t>
            </w:r>
            <w:r w:rsidRPr="00CB2EC4">
              <w:rPr>
                <w:rFonts w:ascii="Times New Roman" w:hAnsi="Times New Roman" w:cs="Times New Roman"/>
              </w:rPr>
              <w:br/>
              <w:t xml:space="preserve">   Bacteria ascend from the lower urinary tract through the obstructed ureter to infect the renal parenchyma and pelvis, triggering an acute inflammatory response—acute pyelonephritis—manifested by fever, flank pain, and systemic signs of infection.</w:t>
            </w:r>
            <w:r w:rsidRPr="00CB2EC4">
              <w:rPr>
                <w:rFonts w:ascii="Times New Roman" w:hAnsi="Times New Roman" w:cs="Times New Roman"/>
              </w:rPr>
              <w:br/>
            </w:r>
            <w:r w:rsidRPr="00CB2EC4">
              <w:rPr>
                <w:rFonts w:ascii="Times New Roman" w:hAnsi="Times New Roman" w:cs="Times New Roman"/>
              </w:rPr>
              <w:br/>
              <w:t>Thus, the pathophysiological chain is: lymphocele formation → ureteral compression → ureteral obstruction → hydronephrosis → bacterial colonization and ascending infection → acute pyelonephritis.</w:t>
            </w:r>
          </w:p>
        </w:tc>
        <w:tc>
          <w:tcPr>
            <w:tcW w:w="1152" w:type="dxa"/>
            <w:vAlign w:val="center"/>
          </w:tcPr>
          <w:p w14:paraId="00ACCD6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050AD8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21CF37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CDCE535" w14:textId="77777777">
        <w:tc>
          <w:tcPr>
            <w:tcW w:w="2160" w:type="dxa"/>
            <w:vAlign w:val="center"/>
          </w:tcPr>
          <w:p w14:paraId="1410F6C2"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69D71C4F" w14:textId="77777777" w:rsidR="00922249" w:rsidRPr="00CB2EC4" w:rsidRDefault="003011D5">
            <w:pPr>
              <w:rPr>
                <w:rFonts w:ascii="Times New Roman" w:hAnsi="Times New Roman" w:cs="Times New Roman"/>
              </w:rPr>
            </w:pPr>
            <w:r w:rsidRPr="00CB2EC4">
              <w:rPr>
                <w:rFonts w:ascii="Times New Roman" w:hAnsi="Times New Roman" w:cs="Times New Roman"/>
              </w:rPr>
              <w:t>yes</w:t>
            </w:r>
            <w:r w:rsidRPr="00CB2EC4">
              <w:rPr>
                <w:rFonts w:ascii="Times New Roman" w:hAnsi="Times New Roman" w:cs="Times New Roman"/>
              </w:rPr>
              <w:br/>
            </w:r>
            <w:r w:rsidRPr="00CB2EC4">
              <w:rPr>
                <w:rFonts w:ascii="Times New Roman" w:hAnsi="Times New Roman" w:cs="Times New Roman"/>
              </w:rPr>
              <w:br/>
              <w:t>- Pathophysiological chain:</w:t>
            </w:r>
            <w:r w:rsidRPr="00CB2EC4">
              <w:rPr>
                <w:rFonts w:ascii="Times New Roman" w:hAnsi="Times New Roman" w:cs="Times New Roman"/>
              </w:rPr>
              <w:br/>
              <w:t xml:space="preserve">  1. Lymphocele formation: Postoperative failure to adequately ligate lymphatic vessel stumps (e.g., inguinal or obturator lymphatics) results in accumulation of lymph fluid and cyst formation.</w:t>
            </w:r>
            <w:r w:rsidRPr="00CB2EC4">
              <w:rPr>
                <w:rFonts w:ascii="Times New Roman" w:hAnsi="Times New Roman" w:cs="Times New Roman"/>
              </w:rPr>
              <w:br/>
              <w:t xml:space="preserve">  2. Ureteral obstruction: Enlarging lymphocele compresses the pelvic ureter (document explicitly states lymphoceles can cause "ureteral obstruction").</w:t>
            </w:r>
            <w:r w:rsidRPr="00CB2EC4">
              <w:rPr>
                <w:rFonts w:ascii="Times New Roman" w:hAnsi="Times New Roman" w:cs="Times New Roman"/>
              </w:rPr>
              <w:br/>
              <w:t xml:space="preserve">  3. Urine retention: Ureteral obstruction impedes urine outflow, leading to urinary stasis in the bladder or renal pelvis.</w:t>
            </w:r>
            <w:r w:rsidRPr="00CB2EC4">
              <w:rPr>
                <w:rFonts w:ascii="Times New Roman" w:hAnsi="Times New Roman" w:cs="Times New Roman"/>
              </w:rPr>
              <w:br/>
              <w:t xml:space="preserve">  4. Bacterial proliferation and ascending infection: Urinary stasis creates an environment conducive to bacterial growth (e.g., Escherichia coli), increasing </w:t>
            </w:r>
            <w:r w:rsidRPr="00CB2EC4">
              <w:rPr>
                <w:rFonts w:ascii="Times New Roman" w:hAnsi="Times New Roman" w:cs="Times New Roman"/>
              </w:rPr>
              <w:lastRenderedPageBreak/>
              <w:t>risk of urinary tract infection. The document notes that urinary retention can lead to "secondary urinary tract infection, which may acutely flare in chronic carriers."</w:t>
            </w:r>
            <w:r w:rsidRPr="00CB2EC4">
              <w:rPr>
                <w:rFonts w:ascii="Times New Roman" w:hAnsi="Times New Roman" w:cs="Times New Roman"/>
              </w:rPr>
              <w:br/>
              <w:t xml:space="preserve">  5. Acute pyelonephritis: Bacteria ascend from the bladder via the ureters to the renal pelvis, causing acute infection of the renal parenchyma and pelvis, manifesting as fever, flank pain, and other systemic symptoms.</w:t>
            </w:r>
            <w:r w:rsidRPr="00CB2EC4">
              <w:rPr>
                <w:rFonts w:ascii="Times New Roman" w:hAnsi="Times New Roman" w:cs="Times New Roman"/>
              </w:rPr>
              <w:br/>
              <w:t>- Document evidence:</w:t>
            </w:r>
            <w:r w:rsidRPr="00CB2EC4">
              <w:rPr>
                <w:rFonts w:ascii="Times New Roman" w:hAnsi="Times New Roman" w:cs="Times New Roman"/>
              </w:rPr>
              <w:br/>
              <w:t xml:space="preserve">  - Lymphocele complications: Directly states "can cause ureteral obstruction" ([similarity: 0.487] segment).</w:t>
            </w:r>
            <w:r w:rsidRPr="00CB2EC4">
              <w:rPr>
                <w:rFonts w:ascii="Times New Roman" w:hAnsi="Times New Roman" w:cs="Times New Roman"/>
              </w:rPr>
              <w:br/>
              <w:t xml:space="preserve">  - Infection mechanism: Urinary retention or obstruction predisposes to urinary tract infection, which may present as acute exacerbation ([similarity: 0.438] segment).</w:t>
            </w:r>
            <w:r w:rsidRPr="00CB2EC4">
              <w:rPr>
                <w:rFonts w:ascii="Times New Roman" w:hAnsi="Times New Roman" w:cs="Times New Roman"/>
              </w:rPr>
              <w:br/>
              <w:t>- Thus, the chain is: lymphocele → ureteral compression → ureteral obstruction → urine retention → ascending bacterial infection → acute pyelonephritis.</w:t>
            </w:r>
          </w:p>
        </w:tc>
        <w:tc>
          <w:tcPr>
            <w:tcW w:w="1152" w:type="dxa"/>
            <w:vAlign w:val="center"/>
          </w:tcPr>
          <w:p w14:paraId="7C65E6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48BA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D2B9A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9909C5D" w14:textId="77777777">
        <w:tc>
          <w:tcPr>
            <w:tcW w:w="2160" w:type="dxa"/>
            <w:vAlign w:val="center"/>
          </w:tcPr>
          <w:p w14:paraId="51520F33"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541DF569" w14:textId="77777777" w:rsidR="00922249" w:rsidRPr="00CB2EC4" w:rsidRDefault="003011D5">
            <w:pPr>
              <w:rPr>
                <w:rFonts w:ascii="Times New Roman" w:hAnsi="Times New Roman" w:cs="Times New Roman"/>
              </w:rPr>
            </w:pPr>
            <w:r w:rsidRPr="00CB2EC4">
              <w:rPr>
                <w:rFonts w:ascii="Times New Roman" w:hAnsi="Times New Roman" w:cs="Times New Roman"/>
              </w:rPr>
              <w:t>no pathological physiological chain linking pelvic lymphocele to acute pyelonephritis can be inferred from the provided text, as the text does not describe any mechanism by which a pelvic lymphocele would cause urinary tract obstruction, bacterial ascent, or renal parenchymal infection leading to acute pyelonephritis. while the text notes that pelvic lymphoceles may become infected (e.g., forming abscesses) or cause deep vein thrombosis, it does not establish a connection to acute pyelonephritis. therefore, the required pathological physiological chain cannot be derived from the given information.</w:t>
            </w:r>
          </w:p>
        </w:tc>
        <w:tc>
          <w:tcPr>
            <w:tcW w:w="1152" w:type="dxa"/>
            <w:vAlign w:val="center"/>
          </w:tcPr>
          <w:p w14:paraId="1C5CADD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2A85CB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69E74D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013F04D2" w14:textId="77777777">
        <w:tc>
          <w:tcPr>
            <w:tcW w:w="2160" w:type="dxa"/>
            <w:vAlign w:val="center"/>
          </w:tcPr>
          <w:p w14:paraId="6BCB8DF9"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7B1282C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Lymphocele formation: Following pelvic </w:t>
            </w:r>
            <w:r w:rsidRPr="00CB2EC4">
              <w:rPr>
                <w:rFonts w:ascii="Times New Roman" w:hAnsi="Times New Roman" w:cs="Times New Roman"/>
              </w:rPr>
              <w:lastRenderedPageBreak/>
              <w:t>lymphadenectomy, accumulated lymphatic fluid forms a cyst, typically occurring within days to weeks postoperatively (Fragment 6: "Typical pelvic lymphoceles occur within several days after surgery, or even several weeks after removal of pelvic drains.").</w:t>
            </w:r>
            <w:r w:rsidRPr="00CB2EC4">
              <w:rPr>
                <w:rFonts w:ascii="Times New Roman" w:hAnsi="Times New Roman" w:cs="Times New Roman"/>
              </w:rPr>
              <w:br/>
            </w:r>
            <w:r w:rsidRPr="00CB2EC4">
              <w:rPr>
                <w:rFonts w:ascii="Times New Roman" w:hAnsi="Times New Roman" w:cs="Times New Roman"/>
              </w:rPr>
              <w:br/>
              <w:t>2. Ureteral obstruction: A large lymphocele compresses the pelvic ureter, causing mechanical obstruction (Fragment 6: "Pelvic lymphoceles can cause many serious complications, such as deep vein thrombosis, venous obstruction, ureteral obstruction, lower limb edema, infection, and pain. Bilateral lymphoceles may also cause obstructive renal failure.").</w:t>
            </w:r>
            <w:r w:rsidRPr="00CB2EC4">
              <w:rPr>
                <w:rFonts w:ascii="Times New Roman" w:hAnsi="Times New Roman" w:cs="Times New Roman"/>
              </w:rPr>
              <w:br/>
            </w:r>
            <w:r w:rsidRPr="00CB2EC4">
              <w:rPr>
                <w:rFonts w:ascii="Times New Roman" w:hAnsi="Times New Roman" w:cs="Times New Roman"/>
              </w:rPr>
              <w:br/>
              <w:t>3. Hydronephrosis: Ureteral obstruction impairs urine drainage, leading to urine retention and hydronephrosis in the renal pelvis (Fragment 6: "Renal function tests are important, as the degree of ureteral obstruction will serve as an indicator for urgent urologic intervention.").</w:t>
            </w:r>
            <w:r w:rsidRPr="00CB2EC4">
              <w:rPr>
                <w:rFonts w:ascii="Times New Roman" w:hAnsi="Times New Roman" w:cs="Times New Roman"/>
              </w:rPr>
              <w:br/>
            </w:r>
            <w:r w:rsidRPr="00CB2EC4">
              <w:rPr>
                <w:rFonts w:ascii="Times New Roman" w:hAnsi="Times New Roman" w:cs="Times New Roman"/>
              </w:rPr>
              <w:br/>
              <w:t>4. Bacterial proliferation and infection: Urine stasis (hydronephrosis) creates an environment conducive to bacterial growth; bacteria may ascend from the lower urinary tract or spread hematogenously, triggering acute pyelonephritis. Although Fragment 6 does not explicitly describe the infectious pathway, it notes lymphoceles can lead to "infection and pain," and combined with the context of urinary tract infection risk from urinary retention in Fragment 5, obstruction followed by infection is reasonably inferred.</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5. Acute pyelonephritis development: Bacterial infection of the renal pelvis and parenchyma manifests as fever, flank pain, pyuria, and may progress to sepsis if severe.</w:t>
            </w:r>
            <w:r w:rsidRPr="00CB2EC4">
              <w:rPr>
                <w:rFonts w:ascii="Times New Roman" w:hAnsi="Times New Roman" w:cs="Times New Roman"/>
              </w:rPr>
              <w:br/>
            </w:r>
            <w:r w:rsidRPr="00CB2EC4">
              <w:rPr>
                <w:rFonts w:ascii="Times New Roman" w:hAnsi="Times New Roman" w:cs="Times New Roman"/>
              </w:rPr>
              <w:br/>
              <w:t>Pathophysiological chain summary: Lymphocele → ureteral compression → ureteral obstruction → hydronephrosis → urine stasis → bacterial proliferation → acute pyelonephritis.</w:t>
            </w:r>
            <w:r w:rsidRPr="00CB2EC4">
              <w:rPr>
                <w:rFonts w:ascii="Times New Roman" w:hAnsi="Times New Roman" w:cs="Times New Roman"/>
              </w:rPr>
              <w:br/>
              <w:t>This inference is based on Fragment 6’s description of lymphocele complications; Fragments 5 and 7 do not provide direct links but support the risks of obstruction and infection.</w:t>
            </w:r>
          </w:p>
        </w:tc>
        <w:tc>
          <w:tcPr>
            <w:tcW w:w="1152" w:type="dxa"/>
            <w:vAlign w:val="center"/>
          </w:tcPr>
          <w:p w14:paraId="102F76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7D039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3D6B0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9A1D0E3" w14:textId="77777777">
        <w:tc>
          <w:tcPr>
            <w:tcW w:w="2160" w:type="dxa"/>
            <w:vAlign w:val="center"/>
          </w:tcPr>
          <w:p w14:paraId="69A89EA3"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Non-RAG strategy</w:t>
            </w:r>
          </w:p>
        </w:tc>
        <w:tc>
          <w:tcPr>
            <w:tcW w:w="5040" w:type="dxa"/>
            <w:vAlign w:val="center"/>
          </w:tcPr>
          <w:p w14:paraId="04DAD5D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Pathophysiological chain: </w:t>
            </w:r>
            <w:r w:rsidRPr="00CB2EC4">
              <w:rPr>
                <w:rFonts w:ascii="宋体" w:eastAsia="宋体" w:hAnsi="宋体" w:cs="宋体" w:hint="eastAsia"/>
              </w:rPr>
              <w:t>①</w:t>
            </w:r>
            <w:r w:rsidRPr="00CB2EC4">
              <w:rPr>
                <w:rFonts w:ascii="Times New Roman" w:hAnsi="Times New Roman" w:cs="Times New Roman"/>
              </w:rPr>
              <w:t xml:space="preserve"> Lymphocele formation: Following pelvic lymphadenectomy, severed lymphatic vessel ends fail to close, resulting in lymphatic fluid extravasation and accumulation into a cyst; </w:t>
            </w:r>
            <w:r w:rsidRPr="00CB2EC4">
              <w:rPr>
                <w:rFonts w:ascii="宋体" w:eastAsia="宋体" w:hAnsi="宋体" w:cs="宋体" w:hint="eastAsia"/>
              </w:rPr>
              <w:t>②</w:t>
            </w:r>
            <w:r w:rsidRPr="00CB2EC4">
              <w:rPr>
                <w:rFonts w:ascii="Times New Roman" w:hAnsi="Times New Roman" w:cs="Times New Roman"/>
              </w:rPr>
              <w:t xml:space="preserve"> Mechanical compression: Enlarged cyst compresses the ipsilateral ureter, causing partial or complete urinary tract obstruction; </w:t>
            </w:r>
            <w:r w:rsidRPr="00CB2EC4">
              <w:rPr>
                <w:rFonts w:ascii="宋体" w:eastAsia="宋体" w:hAnsi="宋体" w:cs="宋体" w:hint="eastAsia"/>
              </w:rPr>
              <w:t>③</w:t>
            </w:r>
            <w:r w:rsidRPr="00CB2EC4">
              <w:rPr>
                <w:rFonts w:ascii="Times New Roman" w:hAnsi="Times New Roman" w:cs="Times New Roman"/>
              </w:rPr>
              <w:t xml:space="preserve"> Urine stasis: Obstruction leads to hydronephrosis and hydroureter, promoting bacterial proliferation (commonly Escherichia coli); </w:t>
            </w:r>
            <w:r w:rsidRPr="00CB2EC4">
              <w:rPr>
                <w:rFonts w:ascii="宋体" w:eastAsia="宋体" w:hAnsi="宋体" w:cs="宋体" w:hint="eastAsia"/>
              </w:rPr>
              <w:t>④</w:t>
            </w:r>
            <w:r w:rsidRPr="00CB2EC4">
              <w:rPr>
                <w:rFonts w:ascii="Times New Roman" w:hAnsi="Times New Roman" w:cs="Times New Roman"/>
              </w:rPr>
              <w:t xml:space="preserve"> Ascending infection: Bacteria ascend retrogradely through the ureter to the renal pelvis, triggering acute pyelonephritis. Literature emphasizes that cysts &gt;5 cm increase compression risk and require timely drainage to prevent infectious complications.</w:t>
            </w:r>
          </w:p>
        </w:tc>
        <w:tc>
          <w:tcPr>
            <w:tcW w:w="1152" w:type="dxa"/>
            <w:vAlign w:val="center"/>
          </w:tcPr>
          <w:p w14:paraId="5A4988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14939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A6F44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459F53" w14:textId="77777777">
        <w:tc>
          <w:tcPr>
            <w:tcW w:w="10656" w:type="dxa"/>
            <w:gridSpan w:val="5"/>
            <w:tcBorders>
              <w:bottom w:val="single" w:sz="6" w:space="0" w:color="auto"/>
            </w:tcBorders>
            <w:vAlign w:val="center"/>
          </w:tcPr>
          <w:p w14:paraId="6FD75786"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195: During laparoscopic surgery, what factors or events of different natures might necessitate a conversion to laparotomy? Please list at least three specific reasons of different types.</w:t>
            </w:r>
          </w:p>
        </w:tc>
      </w:tr>
      <w:tr w:rsidR="00922249" w:rsidRPr="00CB2EC4" w14:paraId="031BE2E3" w14:textId="77777777">
        <w:tc>
          <w:tcPr>
            <w:tcW w:w="2160" w:type="dxa"/>
            <w:vAlign w:val="center"/>
          </w:tcPr>
          <w:p w14:paraId="10FDFF82"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B3FD53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Severe vascular injury: Such as injury to major retroperitoneal vessels (abdominal aorta, inferior vena cava, common iliac arteries and veins, etc.) leading to </w:t>
            </w:r>
            <w:r w:rsidRPr="00CB2EC4">
              <w:rPr>
                <w:rFonts w:ascii="Times New Roman" w:hAnsi="Times New Roman" w:cs="Times New Roman"/>
              </w:rPr>
              <w:lastRenderedPageBreak/>
              <w:t xml:space="preserve">rapid blood pressure drop and shock, or aspiration of fresh blood after pneumoperitoneum needle puncture, requiring emergency laparotomy for hemostasis.  </w:t>
            </w:r>
            <w:r w:rsidRPr="00CB2EC4">
              <w:rPr>
                <w:rFonts w:ascii="Times New Roman" w:hAnsi="Times New Roman" w:cs="Times New Roman"/>
              </w:rPr>
              <w:br/>
              <w:t xml:space="preserve">2. Organ injury: Such as perforation of the intestines (large or small intestine) caused by pneumoperitoneum needle, trocar, or electrocautery, resulting in spillage of intestinal contents or peritonitis, requiring laparotomy for repair.  </w:t>
            </w:r>
            <w:r w:rsidRPr="00CB2EC4">
              <w:rPr>
                <w:rFonts w:ascii="Times New Roman" w:hAnsi="Times New Roman" w:cs="Times New Roman"/>
              </w:rPr>
              <w:br/>
              <w:t>3. Technical difficulties or anatomical limitations: Such as severe pelvic or abdominal adhesions (due to previous surgery, pelvic inflammatory disease, endometriosis, etc.), unclear anatomical layers, or surgical instrument malfunction (e.g., accidental injury from high-frequency electrical generators), making it unsafe to continue laparoscopic procedures and necessitating conversion to laparotomy.</w:t>
            </w:r>
          </w:p>
        </w:tc>
        <w:tc>
          <w:tcPr>
            <w:tcW w:w="1152" w:type="dxa"/>
            <w:vAlign w:val="center"/>
          </w:tcPr>
          <w:p w14:paraId="5AE3D1F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70FB882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CA28D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472D80F" w14:textId="77777777">
        <w:tc>
          <w:tcPr>
            <w:tcW w:w="2160" w:type="dxa"/>
            <w:vAlign w:val="center"/>
          </w:tcPr>
          <w:p w14:paraId="5FDBE186"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1167C154" w14:textId="77777777" w:rsidR="00922249" w:rsidRPr="00CB2EC4" w:rsidRDefault="003011D5">
            <w:pPr>
              <w:rPr>
                <w:rFonts w:ascii="Times New Roman" w:hAnsi="Times New Roman" w:cs="Times New Roman"/>
              </w:rPr>
            </w:pPr>
            <w:r w:rsidRPr="00CB2EC4">
              <w:rPr>
                <w:rFonts w:ascii="Times New Roman" w:hAnsi="Times New Roman" w:cs="Times New Roman"/>
              </w:rPr>
              <w:t>- Conversion to open surgery refers to the need to switch from laparoscopic to open surgery during the procedure due to unexpected events or difficulties. The main reasons are explicitly listed in the document, and other types can be inferred from complications.</w:t>
            </w:r>
            <w:r w:rsidRPr="00CB2EC4">
              <w:rPr>
                <w:rFonts w:ascii="Times New Roman" w:hAnsi="Times New Roman" w:cs="Times New Roman"/>
              </w:rPr>
              <w:br/>
              <w:t>- Three specific reasons of different types:</w:t>
            </w:r>
            <w:r w:rsidRPr="00CB2EC4">
              <w:rPr>
                <w:rFonts w:ascii="Times New Roman" w:hAnsi="Times New Roman" w:cs="Times New Roman"/>
              </w:rPr>
              <w:br/>
              <w:t xml:space="preserve">  1. Patient factors (anatomical or physical issues): Obesity (accounting for 30% of conversions), as adipose tissue impairs visualization and operative space.</w:t>
            </w:r>
            <w:r w:rsidRPr="00CB2EC4">
              <w:rPr>
                <w:rFonts w:ascii="Times New Roman" w:hAnsi="Times New Roman" w:cs="Times New Roman"/>
              </w:rPr>
              <w:br/>
              <w:t xml:space="preserve">  2. Past medical history factors: Previous surgical adhesions (accounting for 17% of conversions), such as a history of abdominal surgery leading to intestinal or tissue adhesions, increasing the difficulty of trocar insertion or dissection.</w:t>
            </w:r>
            <w:r w:rsidRPr="00CB2EC4">
              <w:rPr>
                <w:rFonts w:ascii="Times New Roman" w:hAnsi="Times New Roman" w:cs="Times New Roman"/>
              </w:rPr>
              <w:br/>
              <w:t xml:space="preserve">  3. Intraoperative complication factors: Vascular or organ injury, such as "internal iliac vein injury" or "ureteral injury" mentioned in the text; these </w:t>
            </w:r>
            <w:r w:rsidRPr="00CB2EC4">
              <w:rPr>
                <w:rFonts w:ascii="Times New Roman" w:hAnsi="Times New Roman" w:cs="Times New Roman"/>
              </w:rPr>
              <w:lastRenderedPageBreak/>
              <w:t>accidental events require immediate laparotomy for hemostasis or repair.</w:t>
            </w:r>
            <w:r w:rsidRPr="00CB2EC4">
              <w:rPr>
                <w:rFonts w:ascii="Times New Roman" w:hAnsi="Times New Roman" w:cs="Times New Roman"/>
              </w:rPr>
              <w:br/>
            </w:r>
            <w:r w:rsidRPr="00CB2EC4">
              <w:rPr>
                <w:rFonts w:ascii="Times New Roman" w:hAnsi="Times New Roman" w:cs="Times New Roman"/>
              </w:rPr>
              <w:br/>
              <w:t>Relevant text citation: "The main reasons for conversion to open surgery are: obesity (accounting for 30% of conversions), previous surgical adhesions (accounting for 17% of conversions)... Complications included 1 case of bladder injury, 1 case of ureteral injury, and 1 death due to internal iliac vein injury" (Fragment 14). Complications such as vascular injury are commonly inferred reasons for conversion.</w:t>
            </w:r>
          </w:p>
        </w:tc>
        <w:tc>
          <w:tcPr>
            <w:tcW w:w="1152" w:type="dxa"/>
            <w:vAlign w:val="center"/>
          </w:tcPr>
          <w:p w14:paraId="5470705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8933F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02A4A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80DC66F" w14:textId="77777777">
        <w:tc>
          <w:tcPr>
            <w:tcW w:w="2160" w:type="dxa"/>
            <w:vAlign w:val="center"/>
          </w:tcPr>
          <w:p w14:paraId="34D77EEF"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4A2D553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Patient-related factors:  </w:t>
            </w:r>
            <w:r w:rsidRPr="00CB2EC4">
              <w:rPr>
                <w:rFonts w:ascii="Times New Roman" w:hAnsi="Times New Roman" w:cs="Times New Roman"/>
              </w:rPr>
              <w:br/>
              <w:t xml:space="preserve">   - Obesity: Increased anesthetic risk and prolonged steep Trendelenburg with lithotomy position may cause ventilation difficulties; conversion to laparotomy is indicated if deemed unsafe by the anesthesiologist (Document 26).  </w:t>
            </w:r>
            <w:r w:rsidRPr="00CB2EC4">
              <w:rPr>
                <w:rFonts w:ascii="Times New Roman" w:hAnsi="Times New Roman" w:cs="Times New Roman"/>
              </w:rPr>
              <w:br/>
              <w:t xml:space="preserve">   - Enlarged uterus: When the fundal or lower uterine segment width exceeds 8 cm (confirmed by CT scan), the uterine volume obstructs parametrial resection; minimally invasive surgery is not recommended (Document 26).  </w:t>
            </w:r>
            <w:r w:rsidRPr="00CB2EC4">
              <w:rPr>
                <w:rFonts w:ascii="Times New Roman" w:hAnsi="Times New Roman" w:cs="Times New Roman"/>
              </w:rPr>
              <w:br/>
            </w:r>
            <w:r w:rsidRPr="00CB2EC4">
              <w:rPr>
                <w:rFonts w:ascii="Times New Roman" w:hAnsi="Times New Roman" w:cs="Times New Roman"/>
              </w:rPr>
              <w:br/>
              <w:t xml:space="preserve">2. Anatomical or pathological factors:  </w:t>
            </w:r>
            <w:r w:rsidRPr="00CB2EC4">
              <w:rPr>
                <w:rFonts w:ascii="Times New Roman" w:hAnsi="Times New Roman" w:cs="Times New Roman"/>
              </w:rPr>
              <w:br/>
              <w:t xml:space="preserve">   - Severe adhesions: Extensive pelvic adhesions from prior surgery or inflammation, or known severe adhesions, make laparoscopic manipulation difficult and increase risk of organ injury (Documents 37, 57).  </w:t>
            </w:r>
            <w:r w:rsidRPr="00CB2EC4">
              <w:rPr>
                <w:rFonts w:ascii="Times New Roman" w:hAnsi="Times New Roman" w:cs="Times New Roman"/>
              </w:rPr>
              <w:br/>
              <w:t xml:space="preserve">   - Tumor factors: For ovarian cancer patients, tumors larger than 5 cm require conversion to avoid intra-abdominal rupture and contamination (Document 37).  </w:t>
            </w:r>
            <w:r w:rsidRPr="00CB2EC4">
              <w:rPr>
                <w:rFonts w:ascii="Times New Roman" w:hAnsi="Times New Roman" w:cs="Times New Roman"/>
              </w:rPr>
              <w:br/>
            </w:r>
            <w:r w:rsidRPr="00CB2EC4">
              <w:rPr>
                <w:rFonts w:ascii="Times New Roman" w:hAnsi="Times New Roman" w:cs="Times New Roman"/>
              </w:rPr>
              <w:br/>
              <w:t xml:space="preserve">3. Technical or operative factors:  </w:t>
            </w:r>
            <w:r w:rsidRPr="00CB2EC4">
              <w:rPr>
                <w:rFonts w:ascii="Times New Roman" w:hAnsi="Times New Roman" w:cs="Times New Roman"/>
              </w:rPr>
              <w:br/>
              <w:t xml:space="preserve">   - Surgeon inexperience: Laparoscopic surgery has a </w:t>
            </w:r>
            <w:r w:rsidRPr="00CB2EC4">
              <w:rPr>
                <w:rFonts w:ascii="Times New Roman" w:hAnsi="Times New Roman" w:cs="Times New Roman"/>
              </w:rPr>
              <w:lastRenderedPageBreak/>
              <w:t xml:space="preserve">defined learning curve; insufficient skill or proficiency may prevent management of complex situations (e.g., unclear anatomical planes or major hemorrhage), necessitating conversion (Documents 26, 53).  </w:t>
            </w:r>
            <w:r w:rsidRPr="00CB2EC4">
              <w:rPr>
                <w:rFonts w:ascii="Times New Roman" w:hAnsi="Times New Roman" w:cs="Times New Roman"/>
              </w:rPr>
              <w:br/>
              <w:t xml:space="preserve">   - Intraoperative complications: Encountering major bleeding, inadequate adhesion management, or high risk of visceral injury warrants conversion to laparotomy for safety (Document 53).</w:t>
            </w:r>
          </w:p>
        </w:tc>
        <w:tc>
          <w:tcPr>
            <w:tcW w:w="1152" w:type="dxa"/>
            <w:vAlign w:val="center"/>
          </w:tcPr>
          <w:p w14:paraId="482BEA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DA205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61894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ABE9E51" w14:textId="77777777">
        <w:tc>
          <w:tcPr>
            <w:tcW w:w="2160" w:type="dxa"/>
            <w:vAlign w:val="center"/>
          </w:tcPr>
          <w:p w14:paraId="238272A2"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E747050" w14:textId="77777777" w:rsidR="00922249" w:rsidRPr="00CB2EC4" w:rsidRDefault="003011D5">
            <w:pPr>
              <w:rPr>
                <w:rFonts w:ascii="Times New Roman" w:hAnsi="Times New Roman" w:cs="Times New Roman"/>
              </w:rPr>
            </w:pPr>
            <w:r w:rsidRPr="00CB2EC4">
              <w:rPr>
                <w:rFonts w:ascii="Times New Roman" w:hAnsi="Times New Roman" w:cs="Times New Roman"/>
              </w:rPr>
              <w:t>specific reasons for "conversion to open surgery" during laparoscopic procedures</w:t>
            </w:r>
            <w:r w:rsidRPr="00CB2EC4">
              <w:rPr>
                <w:rFonts w:ascii="Times New Roman" w:hAnsi="Times New Roman" w:cs="Times New Roman"/>
              </w:rPr>
              <w:br/>
            </w:r>
            <w:r w:rsidRPr="00CB2EC4">
              <w:rPr>
                <w:rFonts w:ascii="Times New Roman" w:hAnsi="Times New Roman" w:cs="Times New Roman"/>
              </w:rPr>
              <w:br/>
              <w:t>sourced from: knowledge base §17.1 + web search</w:t>
            </w:r>
            <w:r w:rsidRPr="00CB2EC4">
              <w:rPr>
                <w:rFonts w:ascii="Times New Roman" w:hAnsi="Times New Roman" w:cs="Times New Roman"/>
              </w:rPr>
              <w:br/>
            </w:r>
            <w:r w:rsidRPr="00CB2EC4">
              <w:rPr>
                <w:rFonts w:ascii="Times New Roman" w:hAnsi="Times New Roman" w:cs="Times New Roman"/>
              </w:rPr>
              <w:br/>
              <w:t>1. technical factors:</w:t>
            </w:r>
            <w:r w:rsidRPr="00CB2EC4">
              <w:rPr>
                <w:rFonts w:ascii="Times New Roman" w:hAnsi="Times New Roman" w:cs="Times New Roman"/>
              </w:rPr>
              <w:br/>
              <w:t xml:space="preserve">   - severe hemorrhage: e.g., iliac vessel injury (knowledge base §17.7; web search notes injury to internal iliac vein can be fatal)</w:t>
            </w:r>
            <w:r w:rsidRPr="00CB2EC4">
              <w:rPr>
                <w:rFonts w:ascii="Times New Roman" w:hAnsi="Times New Roman" w:cs="Times New Roman"/>
              </w:rPr>
              <w:br/>
              <w:t xml:space="preserve">   - organ injury: ureteral or intestinal injury that cannot be repaired laparoscopically (knowledge base §17.7)</w:t>
            </w:r>
            <w:r w:rsidRPr="00CB2EC4">
              <w:rPr>
                <w:rFonts w:ascii="Times New Roman" w:hAnsi="Times New Roman" w:cs="Times New Roman"/>
              </w:rPr>
              <w:br/>
            </w:r>
            <w:r w:rsidRPr="00CB2EC4">
              <w:rPr>
                <w:rFonts w:ascii="Times New Roman" w:hAnsi="Times New Roman" w:cs="Times New Roman"/>
              </w:rPr>
              <w:br/>
              <w:t>2. patient factors:</w:t>
            </w:r>
            <w:r w:rsidRPr="00CB2EC4">
              <w:rPr>
                <w:rFonts w:ascii="Times New Roman" w:hAnsi="Times New Roman" w:cs="Times New Roman"/>
              </w:rPr>
              <w:br/>
              <w:t xml:space="preserve">   - obesity: impairs operative visualization (accounts for 30% of conversions, web search)</w:t>
            </w:r>
            <w:r w:rsidRPr="00CB2EC4">
              <w:rPr>
                <w:rFonts w:ascii="Times New Roman" w:hAnsi="Times New Roman" w:cs="Times New Roman"/>
              </w:rPr>
              <w:br/>
              <w:t xml:space="preserve">   - pelvic adhesions: prior surgery or radiotherapy causing fibrosis (accounts for 17% of conversions, web search)</w:t>
            </w:r>
            <w:r w:rsidRPr="00CB2EC4">
              <w:rPr>
                <w:rFonts w:ascii="Times New Roman" w:hAnsi="Times New Roman" w:cs="Times New Roman"/>
              </w:rPr>
              <w:br/>
            </w:r>
            <w:r w:rsidRPr="00CB2EC4">
              <w:rPr>
                <w:rFonts w:ascii="Times New Roman" w:hAnsi="Times New Roman" w:cs="Times New Roman"/>
              </w:rPr>
              <w:br/>
              <w:t>3. tumor factors:</w:t>
            </w:r>
            <w:r w:rsidRPr="00CB2EC4">
              <w:rPr>
                <w:rFonts w:ascii="Times New Roman" w:hAnsi="Times New Roman" w:cs="Times New Roman"/>
              </w:rPr>
              <w:br/>
              <w:t xml:space="preserve">   - advanced disease: tumor &gt;4 cm or fixed to pelvic wall (web search contraindication)</w:t>
            </w:r>
            <w:r w:rsidRPr="00CB2EC4">
              <w:rPr>
                <w:rFonts w:ascii="Times New Roman" w:hAnsi="Times New Roman" w:cs="Times New Roman"/>
              </w:rPr>
              <w:br/>
              <w:t xml:space="preserve">   - lymph node fusion: prevents safe resection (knowledge base §1.6)</w:t>
            </w:r>
            <w:r w:rsidRPr="00CB2EC4">
              <w:rPr>
                <w:rFonts w:ascii="Times New Roman" w:hAnsi="Times New Roman" w:cs="Times New Roman"/>
              </w:rPr>
              <w:br/>
            </w:r>
            <w:r w:rsidRPr="00CB2EC4">
              <w:rPr>
                <w:rFonts w:ascii="Times New Roman" w:hAnsi="Times New Roman" w:cs="Times New Roman"/>
              </w:rPr>
              <w:lastRenderedPageBreak/>
              <w:br/>
              <w:t>&gt; web search supplement: limitations of laparoscopic equipment or technique (e.g., lack of ultrasonic scalpel) may also lead to conversion.</w:t>
            </w:r>
            <w:r w:rsidRPr="00CB2EC4">
              <w:rPr>
                <w:rFonts w:ascii="Times New Roman" w:hAnsi="Times New Roman" w:cs="Times New Roman"/>
              </w:rPr>
              <w:br/>
            </w:r>
            <w:r w:rsidRPr="00CB2EC4">
              <w:rPr>
                <w:rFonts w:ascii="Times New Roman" w:hAnsi="Times New Roman" w:cs="Times New Roman"/>
              </w:rPr>
              <w:br/>
              <w:t>source annotation:</w:t>
            </w:r>
            <w:r w:rsidRPr="00CB2EC4">
              <w:rPr>
                <w:rFonts w:ascii="Times New Roman" w:hAnsi="Times New Roman" w:cs="Times New Roman"/>
              </w:rPr>
              <w:br/>
              <w:t>- knowledge base documents: provide mechanisms of surgical complications, anatomical details, and classical operative protocols.</w:t>
            </w:r>
            <w:r w:rsidRPr="00CB2EC4">
              <w:rPr>
                <w:rFonts w:ascii="Times New Roman" w:hAnsi="Times New Roman" w:cs="Times New Roman"/>
              </w:rPr>
              <w:br/>
              <w:t>- web search results: supplement latest techniques (e.g., Q-M classification), conversion statistics, and limitations of laparoscopic technology.</w:t>
            </w:r>
            <w:r w:rsidRPr="00CB2EC4">
              <w:rPr>
                <w:rFonts w:ascii="Times New Roman" w:hAnsi="Times New Roman" w:cs="Times New Roman"/>
              </w:rPr>
              <w:br/>
              <w:t>consistency note: no contradiction between sources; web search updates details on laparoscopic application, while knowledge base focuses on traditional open surgery experience.</w:t>
            </w:r>
          </w:p>
        </w:tc>
        <w:tc>
          <w:tcPr>
            <w:tcW w:w="1152" w:type="dxa"/>
            <w:vAlign w:val="center"/>
          </w:tcPr>
          <w:p w14:paraId="3405A7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7F785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DC2F1A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393CE46" w14:textId="77777777">
        <w:tc>
          <w:tcPr>
            <w:tcW w:w="2160" w:type="dxa"/>
            <w:vAlign w:val="center"/>
          </w:tcPr>
          <w:p w14:paraId="0DCC57CE"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73512D2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Patient factors (anatomical or physiological characteristics): Obesity (accounting for 30% of conversions), due to excessive intra-abdominal fat impairing visualization and manipulation.  </w:t>
            </w:r>
            <w:r w:rsidRPr="00CB2EC4">
              <w:rPr>
                <w:rFonts w:ascii="Times New Roman" w:hAnsi="Times New Roman" w:cs="Times New Roman"/>
              </w:rPr>
              <w:br/>
              <w:t xml:space="preserve">2.  History factors (adhesions or structural abnormalities): Previous surgical adhesions (accounting for 17% of conversions), resulting in fixed intra-abdominal organ adhesions that are difficult to safely dissect.  </w:t>
            </w:r>
            <w:r w:rsidRPr="00CB2EC4">
              <w:rPr>
                <w:rFonts w:ascii="Times New Roman" w:hAnsi="Times New Roman" w:cs="Times New Roman"/>
              </w:rPr>
              <w:br/>
              <w:t xml:space="preserve">3.  Complication factors (intraoperative adverse events): Vascular injury or uncontrollable bleeding, such as internal iliac vein injury (1 case of mortality due to internal iliac vein injury noted); other possibilities include organ injury (e.g., bowel or ureter) or pneumoperitoneum-related complications (e.g., CO2 embolism, as mentioned in Fragment 1).  </w:t>
            </w:r>
            <w:r w:rsidRPr="00CB2EC4">
              <w:rPr>
                <w:rFonts w:ascii="Times New Roman" w:hAnsi="Times New Roman" w:cs="Times New Roman"/>
              </w:rPr>
              <w:br/>
              <w:t xml:space="preserve">These reasons cover different types including patient’s own conditions, surgical history, and intraoperative </w:t>
            </w:r>
            <w:r w:rsidRPr="00CB2EC4">
              <w:rPr>
                <w:rFonts w:ascii="Times New Roman" w:hAnsi="Times New Roman" w:cs="Times New Roman"/>
              </w:rPr>
              <w:lastRenderedPageBreak/>
              <w:t>unexpected events.</w:t>
            </w:r>
          </w:p>
        </w:tc>
        <w:tc>
          <w:tcPr>
            <w:tcW w:w="1152" w:type="dxa"/>
            <w:vAlign w:val="center"/>
          </w:tcPr>
          <w:p w14:paraId="0C3E67F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1285C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80FDC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0B1EA4" w14:textId="77777777">
        <w:tc>
          <w:tcPr>
            <w:tcW w:w="2160" w:type="dxa"/>
            <w:vAlign w:val="center"/>
          </w:tcPr>
          <w:p w14:paraId="485D2241"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7F7F4C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Patient factors (anatomical or physiological characteristics): Obesity (accounting for 30% of conversions), as obesity leads to poor surgical field exposure, limited operative space, and increased surgical risk (Document 8).  </w:t>
            </w:r>
            <w:r w:rsidRPr="00CB2EC4">
              <w:rPr>
                <w:rFonts w:ascii="Times New Roman" w:hAnsi="Times New Roman" w:cs="Times New Roman"/>
              </w:rPr>
              <w:br/>
              <w:t xml:space="preserve">- Anatomical factors (previous medical history or adhesions): Previous surgical adhesions (accounting for 17% of conversions), where adhesions obscure anatomical relationships and increase the risk of injury (e.g., to bowel or vessels), necessitating conversion to open surgery for safe dissection (Documents 8 and 24).  </w:t>
            </w:r>
            <w:r w:rsidRPr="00CB2EC4">
              <w:rPr>
                <w:rFonts w:ascii="Times New Roman" w:hAnsi="Times New Roman" w:cs="Times New Roman"/>
              </w:rPr>
              <w:br/>
              <w:t xml:space="preserve">- Complication factors (intraoperative unexpected events): Vascular injury, such as damage to retroperitoneal major vessels (aorta, common iliac arteries/veins), manifested by rapid blood pressure drop or free intra-abdominal blood, requiring emergency laparotomy for hemostasis (Document 3 describes this as "the most dangerous complication of laparoscopy").  </w:t>
            </w:r>
            <w:r w:rsidRPr="00CB2EC4">
              <w:rPr>
                <w:rFonts w:ascii="Times New Roman" w:hAnsi="Times New Roman" w:cs="Times New Roman"/>
              </w:rPr>
              <w:br/>
              <w:t xml:space="preserve">  These reasons are based on specific data (e.g., percentages) and event descriptions from the documents, covering different types including patient characteristics, anatomical variations, and intraoperative complications.</w:t>
            </w:r>
          </w:p>
        </w:tc>
        <w:tc>
          <w:tcPr>
            <w:tcW w:w="1152" w:type="dxa"/>
            <w:vAlign w:val="center"/>
          </w:tcPr>
          <w:p w14:paraId="3E753B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269F82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615BC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97AC098" w14:textId="77777777">
        <w:tc>
          <w:tcPr>
            <w:tcW w:w="2160" w:type="dxa"/>
            <w:vAlign w:val="center"/>
          </w:tcPr>
          <w:p w14:paraId="45A32D47"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200CE360" w14:textId="77777777" w:rsidR="00922249" w:rsidRPr="00CB2EC4" w:rsidRDefault="003011D5">
            <w:pPr>
              <w:rPr>
                <w:rFonts w:ascii="Times New Roman" w:hAnsi="Times New Roman" w:cs="Times New Roman"/>
              </w:rPr>
            </w:pPr>
            <w:r w:rsidRPr="00CB2EC4">
              <w:rPr>
                <w:rFonts w:ascii="Times New Roman" w:hAnsi="Times New Roman" w:cs="Times New Roman"/>
              </w:rPr>
              <w:t>reasons for "conversion to open surgery" during laparoscopic surgery:</w:t>
            </w:r>
            <w:r w:rsidRPr="00CB2EC4">
              <w:rPr>
                <w:rFonts w:ascii="Times New Roman" w:hAnsi="Times New Roman" w:cs="Times New Roman"/>
              </w:rPr>
              <w:br/>
            </w:r>
            <w:r w:rsidRPr="00CB2EC4">
              <w:rPr>
                <w:rFonts w:ascii="Times New Roman" w:hAnsi="Times New Roman" w:cs="Times New Roman"/>
              </w:rPr>
              <w:br/>
              <w:t xml:space="preserve">1. Anatomical factors:  </w:t>
            </w:r>
            <w:r w:rsidRPr="00CB2EC4">
              <w:rPr>
                <w:rFonts w:ascii="Times New Roman" w:hAnsi="Times New Roman" w:cs="Times New Roman"/>
              </w:rPr>
              <w:br/>
              <w:t xml:space="preserve">   - Obesity: Impairs surgical field exposure (accounts for 30% of conversions);  </w:t>
            </w:r>
            <w:r w:rsidRPr="00CB2EC4">
              <w:rPr>
                <w:rFonts w:ascii="Times New Roman" w:hAnsi="Times New Roman" w:cs="Times New Roman"/>
              </w:rPr>
              <w:br/>
              <w:t xml:space="preserve">   - Previous surgical adhesions: Dense adhesions </w:t>
            </w:r>
            <w:r w:rsidRPr="00CB2EC4">
              <w:rPr>
                <w:rFonts w:ascii="Times New Roman" w:hAnsi="Times New Roman" w:cs="Times New Roman"/>
              </w:rPr>
              <w:lastRenderedPageBreak/>
              <w:t xml:space="preserve">obstruct manipulation (accounts for 17%).  </w:t>
            </w:r>
            <w:r w:rsidRPr="00CB2EC4">
              <w:rPr>
                <w:rFonts w:ascii="Times New Roman" w:hAnsi="Times New Roman" w:cs="Times New Roman"/>
              </w:rPr>
              <w:br/>
              <w:t xml:space="preserve">   (Source: Context 8)  </w:t>
            </w:r>
            <w:r w:rsidRPr="00CB2EC4">
              <w:rPr>
                <w:rFonts w:ascii="Times New Roman" w:hAnsi="Times New Roman" w:cs="Times New Roman"/>
              </w:rPr>
              <w:br/>
            </w:r>
            <w:r w:rsidRPr="00CB2EC4">
              <w:rPr>
                <w:rFonts w:ascii="Times New Roman" w:hAnsi="Times New Roman" w:cs="Times New Roman"/>
              </w:rPr>
              <w:br/>
              <w:t xml:space="preserve">2. Intraoperative complications:  </w:t>
            </w:r>
            <w:r w:rsidRPr="00CB2EC4">
              <w:rPr>
                <w:rFonts w:ascii="Times New Roman" w:hAnsi="Times New Roman" w:cs="Times New Roman"/>
              </w:rPr>
              <w:br/>
              <w:t xml:space="preserve">   - Major vascular injury: Such as iliac internal vein or obturator region vessel rupture causing uncontrollable bleeding (Context 8, 14);  </w:t>
            </w:r>
            <w:r w:rsidRPr="00CB2EC4">
              <w:rPr>
                <w:rFonts w:ascii="Times New Roman" w:hAnsi="Times New Roman" w:cs="Times New Roman"/>
              </w:rPr>
              <w:br/>
              <w:t xml:space="preserve">   - Visceral injury: Such as bladder or ureter injury requiring open repair (Context 8).  </w:t>
            </w:r>
            <w:r w:rsidRPr="00CB2EC4">
              <w:rPr>
                <w:rFonts w:ascii="Times New Roman" w:hAnsi="Times New Roman" w:cs="Times New Roman"/>
              </w:rPr>
              <w:br/>
            </w:r>
            <w:r w:rsidRPr="00CB2EC4">
              <w:rPr>
                <w:rFonts w:ascii="Times New Roman" w:hAnsi="Times New Roman" w:cs="Times New Roman"/>
              </w:rPr>
              <w:br/>
              <w:t xml:space="preserve">3. Technical limitations:  </w:t>
            </w:r>
            <w:r w:rsidRPr="00CB2EC4">
              <w:rPr>
                <w:rFonts w:ascii="Times New Roman" w:hAnsi="Times New Roman" w:cs="Times New Roman"/>
              </w:rPr>
              <w:br/>
              <w:t xml:space="preserve">   - Extensive and fixed lymph node metastasis: Fused metastatic lymph nodes cannot be safely resected (Context 5);  </w:t>
            </w:r>
            <w:r w:rsidRPr="00CB2EC4">
              <w:rPr>
                <w:rFonts w:ascii="Times New Roman" w:hAnsi="Times New Roman" w:cs="Times New Roman"/>
              </w:rPr>
              <w:br/>
              <w:t xml:space="preserve">   - Instrumentation failure: Such as ultrasonic scalpel unable to achieve effective hemostasis or separation of adhesions (Context 7).</w:t>
            </w:r>
          </w:p>
        </w:tc>
        <w:tc>
          <w:tcPr>
            <w:tcW w:w="1152" w:type="dxa"/>
            <w:vAlign w:val="center"/>
          </w:tcPr>
          <w:p w14:paraId="297B8E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40A25F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5E87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62F92D9" w14:textId="77777777">
        <w:tc>
          <w:tcPr>
            <w:tcW w:w="2160" w:type="dxa"/>
            <w:vAlign w:val="center"/>
          </w:tcPr>
          <w:p w14:paraId="453B2C3C"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A1CC94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Anatomical difficulties: Severe obesity (accounting for 30% of conversions), resulting in limited surgical visualization and challenging instrument manipulation.  </w:t>
            </w:r>
            <w:r w:rsidRPr="00CB2EC4">
              <w:rPr>
                <w:rFonts w:ascii="Times New Roman" w:hAnsi="Times New Roman" w:cs="Times New Roman"/>
              </w:rPr>
              <w:br/>
              <w:t xml:space="preserve">2. History-related factors: Previous abdominal surgical adhesions (accounting for 17% of conversions), leading to unclear anatomical landmarks and increased risk of organ injury.  </w:t>
            </w:r>
            <w:r w:rsidRPr="00CB2EC4">
              <w:rPr>
                <w:rFonts w:ascii="Times New Roman" w:hAnsi="Times New Roman" w:cs="Times New Roman"/>
              </w:rPr>
              <w:br/>
              <w:t xml:space="preserve">3. Intraoperative complications: Vascular injury (e.g., injury to the internal iliac vein), necessitating emergent conversion for hemorrhage control; other events such as ureteral injury or massive bleeding (documented case of mortality due to internal iliac vein injury).  </w:t>
            </w:r>
            <w:r w:rsidRPr="00CB2EC4">
              <w:rPr>
                <w:rFonts w:ascii="Times New Roman" w:hAnsi="Times New Roman" w:cs="Times New Roman"/>
              </w:rPr>
              <w:br/>
              <w:t xml:space="preserve">- These reasons encompass distinct categories including technical, anatomical, and emergent adverse events, ensuring at least three types. The specific </w:t>
            </w:r>
            <w:r w:rsidRPr="00CB2EC4">
              <w:rPr>
                <w:rFonts w:ascii="Times New Roman" w:hAnsi="Times New Roman" w:cs="Times New Roman"/>
              </w:rPr>
              <w:lastRenderedPageBreak/>
              <w:t>factors for conversion to open surgery are explicitly listed in document fragment 7.</w:t>
            </w:r>
          </w:p>
        </w:tc>
        <w:tc>
          <w:tcPr>
            <w:tcW w:w="1152" w:type="dxa"/>
            <w:vAlign w:val="center"/>
          </w:tcPr>
          <w:p w14:paraId="0D6337B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25DF9F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4A79C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B73D6D8" w14:textId="77777777">
        <w:tc>
          <w:tcPr>
            <w:tcW w:w="2160" w:type="dxa"/>
            <w:vAlign w:val="center"/>
          </w:tcPr>
          <w:p w14:paraId="1A2185D2"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3178DDA" w14:textId="77777777" w:rsidR="00922249" w:rsidRPr="00CB2EC4" w:rsidRDefault="003011D5">
            <w:pPr>
              <w:rPr>
                <w:rFonts w:ascii="Times New Roman" w:hAnsi="Times New Roman" w:cs="Times New Roman"/>
              </w:rPr>
            </w:pPr>
            <w:r w:rsidRPr="00CB2EC4">
              <w:rPr>
                <w:rFonts w:ascii="Times New Roman" w:hAnsi="Times New Roman" w:cs="Times New Roman"/>
              </w:rPr>
              <w:t>- Tumor-related factors: Intraoperative discovery of obvious lymph node metastasis (as indicated in the document: "assess pelvic lymph nodes for obvious metastasis: resect any suspicious pelvic lymph nodes and send for intraoperative frozen section pathology. If lymph node metastasis is positive, abandon radical hysterectomy").</w:t>
            </w:r>
            <w:r w:rsidRPr="00CB2EC4">
              <w:rPr>
                <w:rFonts w:ascii="Times New Roman" w:hAnsi="Times New Roman" w:cs="Times New Roman"/>
              </w:rPr>
              <w:br/>
              <w:t>- Anatomical or technical difficulties: Presence of severe adhesions or infiltration (e.g., cervical tumor size &gt;4cm with obvious lymph node metastasis as a contraindication), making safe dissection or manipulation under laparoscopy impossible.</w:t>
            </w:r>
            <w:r w:rsidRPr="00CB2EC4">
              <w:rPr>
                <w:rFonts w:ascii="Times New Roman" w:hAnsi="Times New Roman" w:cs="Times New Roman"/>
              </w:rPr>
              <w:br/>
              <w:t>- Patient condition or complications: Intraoperative occurrence of uncontrollable bleeding or acute complications (the document notes "hemostasis" procedures for managing major bleeding by ligating vessels; contraindications include "severe cardiac, pulmonary, or other systemic diseases," and deterioration of patient status during surgery may necessitate conversion to laparotomy).</w:t>
            </w:r>
          </w:p>
        </w:tc>
        <w:tc>
          <w:tcPr>
            <w:tcW w:w="1152" w:type="dxa"/>
            <w:vAlign w:val="center"/>
          </w:tcPr>
          <w:p w14:paraId="09A99F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B5485D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49F39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410775E" w14:textId="77777777">
        <w:tc>
          <w:tcPr>
            <w:tcW w:w="2160" w:type="dxa"/>
            <w:vAlign w:val="center"/>
          </w:tcPr>
          <w:p w14:paraId="5605FD20"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3ECC9AC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Uncontrollable hemorrhage due to major vascular injury:  </w:t>
            </w:r>
            <w:r w:rsidRPr="00CB2EC4">
              <w:rPr>
                <w:rFonts w:ascii="Times New Roman" w:hAnsi="Times New Roman" w:cs="Times New Roman"/>
              </w:rPr>
              <w:br/>
              <w:t xml:space="preserve">   For example, accidental injury to the abdominal aorta, common iliac artery/vein, or external/internal iliac artery/vein during trocar insertion or dissection, leading to rapid blood pressure drop and shock, necessitating immediate conversion to open surgery for hemostasis (Document Fragment 8: "Injured vessels include abdominal aorta/vein, common iliac artery/vein, external/internal iliac artery/vein, etc., presenting as rapid blood pressure decline, shock... </w:t>
            </w:r>
            <w:r w:rsidRPr="00CB2EC4">
              <w:rPr>
                <w:rFonts w:ascii="Times New Roman" w:hAnsi="Times New Roman" w:cs="Times New Roman"/>
              </w:rPr>
              <w:lastRenderedPageBreak/>
              <w:t>vascular injury should be highly suspected").</w:t>
            </w:r>
            <w:r w:rsidRPr="00CB2EC4">
              <w:rPr>
                <w:rFonts w:ascii="Times New Roman" w:hAnsi="Times New Roman" w:cs="Times New Roman"/>
              </w:rPr>
              <w:br/>
            </w:r>
            <w:r w:rsidRPr="00CB2EC4">
              <w:rPr>
                <w:rFonts w:ascii="Times New Roman" w:hAnsi="Times New Roman" w:cs="Times New Roman"/>
              </w:rPr>
              <w:br/>
              <w:t xml:space="preserve">2. Visceral injury requiring open repair:  </w:t>
            </w:r>
            <w:r w:rsidRPr="00CB2EC4">
              <w:rPr>
                <w:rFonts w:ascii="Times New Roman" w:hAnsi="Times New Roman" w:cs="Times New Roman"/>
              </w:rPr>
              <w:br/>
              <w:t xml:space="preserve">   Such as inadvertent injury to the bowel, bladder, or ureter during manipulation (e.g., due to adhesions or anatomical variants). When laparoscopic repair is technically difficult or unsafe, conversion to laparotomy is needed for definitive management (Document Fragment 20: "Patients with previous midline abdominal incision... to avoid injuring bowel adhered to the anterior abdominal wall", implying adhesion-related injury risk; Document Fragment 23 emphasizes the importance of ureteral protection).</w:t>
            </w:r>
            <w:r w:rsidRPr="00CB2EC4">
              <w:rPr>
                <w:rFonts w:ascii="Times New Roman" w:hAnsi="Times New Roman" w:cs="Times New Roman"/>
              </w:rPr>
              <w:br/>
            </w:r>
            <w:r w:rsidRPr="00CB2EC4">
              <w:rPr>
                <w:rFonts w:ascii="Times New Roman" w:hAnsi="Times New Roman" w:cs="Times New Roman"/>
              </w:rPr>
              <w:br/>
              <w:t xml:space="preserve">3. Technical difficulty or intraoperative findings requiring expanded surgical scope:  </w:t>
            </w:r>
            <w:r w:rsidRPr="00CB2EC4">
              <w:rPr>
                <w:rFonts w:ascii="Times New Roman" w:hAnsi="Times New Roman" w:cs="Times New Roman"/>
              </w:rPr>
              <w:br/>
              <w:t xml:space="preserve">   For example, intraoperative frozen section revealing positive lymph node metastasis or other occult lesions necessitating more extensive radical resection; or severe tumor adherence and unclear anatomy preventing completion of the planned laparoscopic procedure (Document Fragment 20: "Assess pelvic lymph nodes for obvious metastasis: resect any suspicious pelvic lymph nodes and send for intraoperative frozen section. If lymph node metastasis is positive, abandon radical hysterectomy", implying possible conversion to open surgery for alternative treatment).</w:t>
            </w:r>
          </w:p>
        </w:tc>
        <w:tc>
          <w:tcPr>
            <w:tcW w:w="1152" w:type="dxa"/>
            <w:vAlign w:val="center"/>
          </w:tcPr>
          <w:p w14:paraId="4A59A7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6C8319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715D2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6B7F68F" w14:textId="77777777">
        <w:tc>
          <w:tcPr>
            <w:tcW w:w="2160" w:type="dxa"/>
            <w:vAlign w:val="center"/>
          </w:tcPr>
          <w:p w14:paraId="26C019E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2AE9B1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Obesity: Leads to difficult surgical field exposure and limited operative space, accounting for 30% of cases converted to open surgery.  </w:t>
            </w:r>
            <w:r w:rsidRPr="00CB2EC4">
              <w:rPr>
                <w:rFonts w:ascii="Times New Roman" w:hAnsi="Times New Roman" w:cs="Times New Roman"/>
              </w:rPr>
              <w:br/>
              <w:t xml:space="preserve">2. Previous surgical adhesions: Cause unclear anatomical structures and increase the risk of intestinal or vascular injury, accounting for 17% of </w:t>
            </w:r>
            <w:r w:rsidRPr="00CB2EC4">
              <w:rPr>
                <w:rFonts w:ascii="Times New Roman" w:hAnsi="Times New Roman" w:cs="Times New Roman"/>
              </w:rPr>
              <w:lastRenderedPageBreak/>
              <w:t xml:space="preserve">cases converted to open surgery.  </w:t>
            </w:r>
            <w:r w:rsidRPr="00CB2EC4">
              <w:rPr>
                <w:rFonts w:ascii="Times New Roman" w:hAnsi="Times New Roman" w:cs="Times New Roman"/>
              </w:rPr>
              <w:br/>
              <w:t xml:space="preserve">3. Uncontrollable intraoperative bleeding: Such as major vascular injury or difficulty achieving hemostasis, requiring immediate conversion to open surgery to control the bleeding source.  </w:t>
            </w:r>
            <w:r w:rsidRPr="00CB2EC4">
              <w:rPr>
                <w:rFonts w:ascii="Times New Roman" w:hAnsi="Times New Roman" w:cs="Times New Roman"/>
              </w:rPr>
              <w:br/>
              <w:t xml:space="preserve">4. Injury to vital organs: For example, accidental intraoperative damage to the intestines, bladder, ureter, or major blood vessels, necessitating open exploration and repair.  </w:t>
            </w:r>
            <w:r w:rsidRPr="00CB2EC4">
              <w:rPr>
                <w:rFonts w:ascii="Times New Roman" w:hAnsi="Times New Roman" w:cs="Times New Roman"/>
              </w:rPr>
              <w:br/>
              <w:t xml:space="preserve">5. Tumor-related factors: Including excessively large tumor size, deep location, or invasion of surrounding tissues, making laparoscopic resection unsafe.  </w:t>
            </w:r>
            <w:r w:rsidRPr="00CB2EC4">
              <w:rPr>
                <w:rFonts w:ascii="Times New Roman" w:hAnsi="Times New Roman" w:cs="Times New Roman"/>
              </w:rPr>
              <w:br/>
              <w:t xml:space="preserve">6. Abnormal or variant anatomical structures: Such as congenital situs inversus or vascular malformations, rendering laparoscopic procedures unsafe.  </w:t>
            </w:r>
            <w:r w:rsidRPr="00CB2EC4">
              <w:rPr>
                <w:rFonts w:ascii="Times New Roman" w:hAnsi="Times New Roman" w:cs="Times New Roman"/>
              </w:rPr>
              <w:br/>
              <w:t xml:space="preserve">7. Pneumoperitoneum-related complications: Such as severe subcutaneous emphysema, hypercapnia, or deterioration of cardiopulmonary function, threatening the patient's life and requiring emergency termination of laparoscopic procedures.  </w:t>
            </w:r>
            <w:r w:rsidRPr="00CB2EC4">
              <w:rPr>
                <w:rFonts w:ascii="Times New Roman" w:hAnsi="Times New Roman" w:cs="Times New Roman"/>
              </w:rPr>
              <w:br/>
              <w:t xml:space="preserve">8. Equipment failure or technical limitations: Such as camera system collapse, critical instrument malfunction, or insufficient surgeon experience preventing continuation of the procedure.  </w:t>
            </w:r>
            <w:r w:rsidRPr="00CB2EC4">
              <w:rPr>
                <w:rFonts w:ascii="Times New Roman" w:hAnsi="Times New Roman" w:cs="Times New Roman"/>
              </w:rPr>
              <w:br/>
              <w:t xml:space="preserve">9. Intraoperative discovery of malignant tumor dissemination or extensive peritoneal metastasis: Requiring expanded exploration and complex reconstruction beyond the scope of laparoscopic capabilities.  </w:t>
            </w:r>
            <w:r w:rsidRPr="00CB2EC4">
              <w:rPr>
                <w:rFonts w:ascii="Times New Roman" w:hAnsi="Times New Roman" w:cs="Times New Roman"/>
              </w:rPr>
              <w:br/>
              <w:t>10. Severe inflammation causing unclear local anatomy: Such as acute gangrenous appendicitis or diffuse peritonitis, with highly fragile tissues prone to rupture, necessitating conversion to open surgery.</w:t>
            </w:r>
          </w:p>
        </w:tc>
        <w:tc>
          <w:tcPr>
            <w:tcW w:w="1152" w:type="dxa"/>
            <w:vAlign w:val="center"/>
          </w:tcPr>
          <w:p w14:paraId="6F7FC77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4134C5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36362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49CFE78" w14:textId="77777777">
        <w:tc>
          <w:tcPr>
            <w:tcW w:w="2160" w:type="dxa"/>
            <w:vAlign w:val="center"/>
          </w:tcPr>
          <w:p w14:paraId="6A7AA7BC"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7E81C4B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Technical reasons (operative difficulty or </w:t>
            </w:r>
            <w:r w:rsidRPr="00CB2EC4">
              <w:rPr>
                <w:rFonts w:ascii="Times New Roman" w:hAnsi="Times New Roman" w:cs="Times New Roman"/>
              </w:rPr>
              <w:lastRenderedPageBreak/>
              <w:t xml:space="preserve">complications):  </w:t>
            </w:r>
            <w:r w:rsidRPr="00CB2EC4">
              <w:rPr>
                <w:rFonts w:ascii="Times New Roman" w:hAnsi="Times New Roman" w:cs="Times New Roman"/>
              </w:rPr>
              <w:br/>
              <w:t xml:space="preserve">   - Uncontrollable intraoperative bleeding, such as vascular injury (e.g., tear of iliac vessel branch), with failure of endoscopic hemostasis (Document Fragment 2 and Document Fragment 28 note high risk of pelvic vascular injury requiring conversion).  </w:t>
            </w:r>
            <w:r w:rsidRPr="00CB2EC4">
              <w:rPr>
                <w:rFonts w:ascii="Times New Roman" w:hAnsi="Times New Roman" w:cs="Times New Roman"/>
              </w:rPr>
              <w:br/>
              <w:t xml:space="preserve">2. Pathological reasons (disease progression or unexpected findings):  </w:t>
            </w:r>
            <w:r w:rsidRPr="00CB2EC4">
              <w:rPr>
                <w:rFonts w:ascii="Times New Roman" w:hAnsi="Times New Roman" w:cs="Times New Roman"/>
              </w:rPr>
              <w:br/>
              <w:t xml:space="preserve">   - Intraoperative discovery of positive pelvic lymph node metastasis (confirmed by frozen section pathology), necessitating abandonment of laparoscopic approach and conversion to open surgery for wider lymph node sampling or adjuvant therapy (Document Fragment 27).  </w:t>
            </w:r>
            <w:r w:rsidRPr="00CB2EC4">
              <w:rPr>
                <w:rFonts w:ascii="Times New Roman" w:hAnsi="Times New Roman" w:cs="Times New Roman"/>
              </w:rPr>
              <w:br/>
              <w:t xml:space="preserve">3. Anatomical reasons (adhesions or structural abnormalities):  </w:t>
            </w:r>
            <w:r w:rsidRPr="00CB2EC4">
              <w:rPr>
                <w:rFonts w:ascii="Times New Roman" w:hAnsi="Times New Roman" w:cs="Times New Roman"/>
              </w:rPr>
              <w:br/>
              <w:t xml:space="preserve">   - Presence of severe pelvic adhesions (e.g., from prior surgery or radiotherapy), preventing safe dissection under laparoscopy and increasing risk of organ injury (e.g., to ureter or bowel) (Document Fragment 26 and Document Fragment 28 cite adhesions as a contraindication or indication for conversion).</w:t>
            </w:r>
          </w:p>
        </w:tc>
        <w:tc>
          <w:tcPr>
            <w:tcW w:w="1152" w:type="dxa"/>
            <w:vAlign w:val="center"/>
          </w:tcPr>
          <w:p w14:paraId="53639B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F566DE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1C2AE1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C77CF98" w14:textId="77777777">
        <w:tc>
          <w:tcPr>
            <w:tcW w:w="2160" w:type="dxa"/>
            <w:vAlign w:val="center"/>
          </w:tcPr>
          <w:p w14:paraId="55DB2D31"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461845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1. Anatomical or physiological factors (e.g., obesity or adhesions):  </w:t>
            </w:r>
            <w:r w:rsidRPr="00CB2EC4">
              <w:rPr>
                <w:rFonts w:ascii="Times New Roman" w:hAnsi="Times New Roman" w:cs="Times New Roman"/>
              </w:rPr>
              <w:br/>
              <w:t xml:space="preserve">   - Obesity: Obesity restricts intraoperative working space and obscures the surgical field, increasing procedural difficulty and representing a common reason for conversion.  </w:t>
            </w:r>
            <w:r w:rsidRPr="00CB2EC4">
              <w:rPr>
                <w:rFonts w:ascii="Times New Roman" w:hAnsi="Times New Roman" w:cs="Times New Roman"/>
              </w:rPr>
              <w:br/>
              <w:t xml:space="preserve">   - Previous surgical adhesions: Pelvic or abdominal adhesions caused by prior surgeries may prevent safe laparoscopic dissection, necessitating conversion to open surgery.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 xml:space="preserve">2. Intraoperative complications (e.g., major vascular or organ injury):  </w:t>
            </w:r>
            <w:r w:rsidRPr="00CB2EC4">
              <w:rPr>
                <w:rFonts w:ascii="Times New Roman" w:hAnsi="Times New Roman" w:cs="Times New Roman"/>
              </w:rPr>
              <w:br/>
              <w:t xml:space="preserve">   - Major vascular injury: For example, accidental injury to the common iliac vein, abdominal aorta, or inferior vena cava leading to uncontrolled hemorrhage, requiring emergency open repair.  </w:t>
            </w:r>
            <w:r w:rsidRPr="00CB2EC4">
              <w:rPr>
                <w:rFonts w:ascii="Times New Roman" w:hAnsi="Times New Roman" w:cs="Times New Roman"/>
              </w:rPr>
              <w:br/>
              <w:t xml:space="preserve">   - Bowel injury: Such as instrumental or electrocautery-induced damage during adhesion dissection, resulting in bowel content leakage or severe infection, necessitating open surgical management.  </w:t>
            </w:r>
            <w:r w:rsidRPr="00CB2EC4">
              <w:rPr>
                <w:rFonts w:ascii="Times New Roman" w:hAnsi="Times New Roman" w:cs="Times New Roman"/>
              </w:rPr>
              <w:br/>
            </w:r>
            <w:r w:rsidRPr="00CB2EC4">
              <w:rPr>
                <w:rFonts w:ascii="Times New Roman" w:hAnsi="Times New Roman" w:cs="Times New Roman"/>
              </w:rPr>
              <w:br/>
              <w:t xml:space="preserve">3. Intraoperative diagnostic or decision changes (e.g., detection of metastasis):  </w:t>
            </w:r>
            <w:r w:rsidRPr="00CB2EC4">
              <w:rPr>
                <w:rFonts w:ascii="Times New Roman" w:hAnsi="Times New Roman" w:cs="Times New Roman"/>
              </w:rPr>
              <w:br/>
              <w:t xml:space="preserve">   - Positive lymph node metastasis: Intraoperative frozen section pathology revealing lymph node metastasis may require abandoning laparoscopic surgery and converting to open surgery to expand the surgical scope or adjust the treatment plan.</w:t>
            </w:r>
          </w:p>
        </w:tc>
        <w:tc>
          <w:tcPr>
            <w:tcW w:w="1152" w:type="dxa"/>
            <w:vAlign w:val="center"/>
          </w:tcPr>
          <w:p w14:paraId="3C1F12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F06BCD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086BF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FC59F96" w14:textId="77777777">
        <w:tc>
          <w:tcPr>
            <w:tcW w:w="2160" w:type="dxa"/>
            <w:vAlign w:val="center"/>
          </w:tcPr>
          <w:p w14:paraId="3B63CAB1"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7E63C549" w14:textId="77777777" w:rsidR="00922249" w:rsidRPr="00CB2EC4" w:rsidRDefault="003011D5">
            <w:pPr>
              <w:rPr>
                <w:rFonts w:ascii="Times New Roman" w:hAnsi="Times New Roman" w:cs="Times New Roman"/>
              </w:rPr>
            </w:pPr>
            <w:r w:rsidRPr="00CB2EC4">
              <w:rPr>
                <w:rFonts w:ascii="Times New Roman" w:hAnsi="Times New Roman" w:cs="Times New Roman"/>
              </w:rPr>
              <w:t>- Indications for conversion to open surgery: When laparoscopic surgery cannot be safely completed, conversion to open surgery is required. Specific reasons include:</w:t>
            </w:r>
            <w:r w:rsidRPr="00CB2EC4">
              <w:rPr>
                <w:rFonts w:ascii="Times New Roman" w:hAnsi="Times New Roman" w:cs="Times New Roman"/>
              </w:rPr>
              <w:br/>
              <w:t xml:space="preserve">  1. Technical difficulties: Such as severe pelvic adhesions (commonly from prior surgery or inflammation), resulting in unclear anatomical landmarks and inability to safely dissect organs or vessels.</w:t>
            </w:r>
            <w:r w:rsidRPr="00CB2EC4">
              <w:rPr>
                <w:rFonts w:ascii="Times New Roman" w:hAnsi="Times New Roman" w:cs="Times New Roman"/>
              </w:rPr>
              <w:br/>
              <w:t xml:space="preserve">  2. Complications: Such as intraoperative hemorrhage (e.g., from iliac vessel injury) that cannot be controlled laparoscopically.</w:t>
            </w:r>
            <w:r w:rsidRPr="00CB2EC4">
              <w:rPr>
                <w:rFonts w:ascii="Times New Roman" w:hAnsi="Times New Roman" w:cs="Times New Roman"/>
              </w:rPr>
              <w:br/>
              <w:t xml:space="preserve">  3. Equipment or operational limitations: Such as failure to establish pneumoperitoneum (due to CO₂ leakage leading to inadequate surgical field exposure) </w:t>
            </w:r>
            <w:r w:rsidRPr="00CB2EC4">
              <w:rPr>
                <w:rFonts w:ascii="Times New Roman" w:hAnsi="Times New Roman" w:cs="Times New Roman"/>
              </w:rPr>
              <w:lastRenderedPageBreak/>
              <w:t>or instrument malfunction (e.g., electrocautery device failure) preventing continuation of the procedure.</w:t>
            </w:r>
            <w:r w:rsidRPr="00CB2EC4">
              <w:rPr>
                <w:rFonts w:ascii="Times New Roman" w:hAnsi="Times New Roman" w:cs="Times New Roman"/>
              </w:rPr>
              <w:br/>
              <w:t xml:space="preserve">  Literature recommends that the decision to convert should be based on patient safety and executed promptly to avoid serious consequences.</w:t>
            </w:r>
          </w:p>
        </w:tc>
        <w:tc>
          <w:tcPr>
            <w:tcW w:w="1152" w:type="dxa"/>
            <w:vAlign w:val="center"/>
          </w:tcPr>
          <w:p w14:paraId="54946B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CE5EE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BFD4ED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4F6CA41E" w14:textId="77777777">
        <w:tc>
          <w:tcPr>
            <w:tcW w:w="10656" w:type="dxa"/>
            <w:gridSpan w:val="5"/>
            <w:tcBorders>
              <w:bottom w:val="single" w:sz="6" w:space="0" w:color="auto"/>
            </w:tcBorders>
            <w:vAlign w:val="center"/>
          </w:tcPr>
          <w:p w14:paraId="1B881A7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196: What are the common methods for managing the uterine vessels during a laparoscopic total hysterectomy?</w:t>
            </w:r>
          </w:p>
        </w:tc>
      </w:tr>
      <w:tr w:rsidR="00922249" w:rsidRPr="00CB2EC4" w14:paraId="21A8FAEA" w14:textId="77777777">
        <w:tc>
          <w:tcPr>
            <w:tcW w:w="2160" w:type="dxa"/>
            <w:vAlign w:val="center"/>
          </w:tcPr>
          <w:p w14:paraId="15E0FF06"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73A440C6" w14:textId="77777777" w:rsidR="00922249" w:rsidRPr="00CB2EC4" w:rsidRDefault="003011D5">
            <w:pPr>
              <w:rPr>
                <w:rFonts w:ascii="Times New Roman" w:hAnsi="Times New Roman" w:cs="Times New Roman"/>
              </w:rPr>
            </w:pPr>
            <w:r w:rsidRPr="00CB2EC4">
              <w:rPr>
                <w:rFonts w:ascii="Times New Roman" w:hAnsi="Times New Roman" w:cs="Times New Roman"/>
              </w:rPr>
              <w:t>the commonly used method for managing uterine vessels during total laparoscopic hysterectomy (TLH) is clamping, cutting, and ligating. Specifically:</w:t>
            </w:r>
            <w:r w:rsidRPr="00CB2EC4">
              <w:rPr>
                <w:rFonts w:ascii="Times New Roman" w:hAnsi="Times New Roman" w:cs="Times New Roman"/>
              </w:rPr>
              <w:br/>
            </w:r>
            <w:r w:rsidRPr="00CB2EC4">
              <w:rPr>
                <w:rFonts w:ascii="Times New Roman" w:hAnsi="Times New Roman" w:cs="Times New Roman"/>
              </w:rPr>
              <w:br/>
              <w:t>- In the surgical steps of LAVH (similarity 0.658 segment), it is stated: "Next is the management of the uterosacral ligaments and uterine vessels, namely clamping, cutting, and ligating."</w:t>
            </w:r>
            <w:r w:rsidRPr="00CB2EC4">
              <w:rPr>
                <w:rFonts w:ascii="Times New Roman" w:hAnsi="Times New Roman" w:cs="Times New Roman"/>
              </w:rPr>
              <w:br/>
              <w:t>- Additionally, in laparoscopic procedures (similarity 0.658 segment), the use of titanium clips for ligation and transection is recommended to ensure reliability: "The uterine vessels should be clipped with titanium clips and transected under direct vision (Figure 17-12). This method of first ligating with titanium clips followed by transection can accurately address the most challenging step in hysterectomy."</w:t>
            </w:r>
            <w:r w:rsidRPr="00CB2EC4">
              <w:rPr>
                <w:rFonts w:ascii="Times New Roman" w:hAnsi="Times New Roman" w:cs="Times New Roman"/>
              </w:rPr>
              <w:br/>
              <w:t>- The precautions section (similarity 0.658 segment) emphasizes avoiding excessive dissection of the uterine artery under the scope to prevent vascular rupture.</w:t>
            </w:r>
            <w:r w:rsidRPr="00CB2EC4">
              <w:rPr>
                <w:rFonts w:ascii="Times New Roman" w:hAnsi="Times New Roman" w:cs="Times New Roman"/>
              </w:rPr>
              <w:br/>
            </w:r>
            <w:r w:rsidRPr="00CB2EC4">
              <w:rPr>
                <w:rFonts w:ascii="Times New Roman" w:hAnsi="Times New Roman" w:cs="Times New Roman"/>
              </w:rPr>
              <w:br/>
              <w:t>Therefore, the standard approach is: first clamp the uterine vessels, then ligate them using titanium clips or other instruments (such as bipolar electrocautery or ultrasonic scalpel), and finally transect the vessels.</w:t>
            </w:r>
          </w:p>
        </w:tc>
        <w:tc>
          <w:tcPr>
            <w:tcW w:w="1152" w:type="dxa"/>
            <w:vAlign w:val="center"/>
          </w:tcPr>
          <w:p w14:paraId="7F55E3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D08F4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BA5C5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1BC855CE" w14:textId="77777777">
        <w:tc>
          <w:tcPr>
            <w:tcW w:w="2160" w:type="dxa"/>
            <w:vAlign w:val="center"/>
          </w:tcPr>
          <w:p w14:paraId="6AAE967B"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46CFE4B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commonly used methods for handling uterine vessels during laparoscopic total hysterectomy include </w:t>
            </w:r>
            <w:r w:rsidRPr="00CB2EC4">
              <w:rPr>
                <w:rFonts w:ascii="Times New Roman" w:hAnsi="Times New Roman" w:cs="Times New Roman"/>
              </w:rPr>
              <w:lastRenderedPageBreak/>
              <w:t>applying titanium clips to clamp and divide the vessels, or combining with other instruments such as bipolar electrocautery, ultrasonic scalpel, etc. The specific descriptions are as follows:</w:t>
            </w:r>
            <w:r w:rsidRPr="00CB2EC4">
              <w:rPr>
                <w:rFonts w:ascii="Times New Roman" w:hAnsi="Times New Roman" w:cs="Times New Roman"/>
              </w:rPr>
              <w:br/>
              <w:t>- Document fragment 7 (block ID 989, block topic: laparoscopic management of uterine vessels) states: "If the surgeon intends to ligate the uterine vessels laparoscopically, the anterior and posterior leaves of the broad ligament should be further dissected... clamp and divide the uterine vessels with a titanium clip applier (Fig. 17-12)."</w:t>
            </w:r>
            <w:r w:rsidRPr="00CB2EC4">
              <w:rPr>
                <w:rFonts w:ascii="Times New Roman" w:hAnsi="Times New Roman" w:cs="Times New Roman"/>
              </w:rPr>
              <w:br/>
              <w:t>- Document fragment 24 (block ID 987, block topic: steps of laparoscopic hysterectomy) adds: "There is no fixed method for ligating or cutting any tissue or vessel; suturing, ligation, bipolar electrocautery, monopolar electrocautery, ultrasonic scalpel, titanium clips, automatic cutting staplers, etc., can all be applied," emphasizing method diversity, but titanium clip application is a common and reliable approach.</w:t>
            </w:r>
            <w:r w:rsidRPr="00CB2EC4">
              <w:rPr>
                <w:rFonts w:ascii="Times New Roman" w:hAnsi="Times New Roman" w:cs="Times New Roman"/>
              </w:rPr>
              <w:br/>
              <w:t>- Document fragment 26 (block ID 990, block topic: laparoscopic management of uterine vessels) further explains: "Use curved scissors or a dissector to bluntly and sharply dissect this area, and the uterine vessels will be clearly exposed. They should be clamped with a titanium clip applier and divided under direct vision."</w:t>
            </w:r>
          </w:p>
        </w:tc>
        <w:tc>
          <w:tcPr>
            <w:tcW w:w="1152" w:type="dxa"/>
            <w:vAlign w:val="center"/>
          </w:tcPr>
          <w:p w14:paraId="308640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95B0C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4E90DE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0B20747" w14:textId="77777777">
        <w:tc>
          <w:tcPr>
            <w:tcW w:w="2160" w:type="dxa"/>
            <w:vAlign w:val="center"/>
          </w:tcPr>
          <w:p w14:paraId="6F907A5A"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4B2C995" w14:textId="77777777" w:rsidR="00922249" w:rsidRPr="00CB2EC4" w:rsidRDefault="003011D5">
            <w:pPr>
              <w:rPr>
                <w:rFonts w:ascii="Times New Roman" w:hAnsi="Times New Roman" w:cs="Times New Roman"/>
              </w:rPr>
            </w:pPr>
            <w:r w:rsidRPr="00CB2EC4">
              <w:rPr>
                <w:rFonts w:ascii="Times New Roman" w:hAnsi="Times New Roman" w:cs="Times New Roman"/>
              </w:rPr>
              <w:t>the commonly used methods for managing uterine vessels during laparoscopic total hysterectomy include:</w:t>
            </w:r>
            <w:r w:rsidRPr="00CB2EC4">
              <w:rPr>
                <w:rFonts w:ascii="Times New Roman" w:hAnsi="Times New Roman" w:cs="Times New Roman"/>
              </w:rPr>
              <w:br/>
            </w:r>
            <w:r w:rsidRPr="00CB2EC4">
              <w:rPr>
                <w:rFonts w:ascii="Times New Roman" w:hAnsi="Times New Roman" w:cs="Times New Roman"/>
              </w:rPr>
              <w:br/>
              <w:t>- applying titanium clips under direct visualization to ligate and then divide the uterine vessels, with the method of ligating first using titanium staples before cutting being more reliable;</w:t>
            </w:r>
            <w:r w:rsidRPr="00CB2EC4">
              <w:rPr>
                <w:rFonts w:ascii="Times New Roman" w:hAnsi="Times New Roman" w:cs="Times New Roman"/>
              </w:rPr>
              <w:br/>
            </w:r>
            <w:r w:rsidRPr="00CB2EC4">
              <w:rPr>
                <w:rFonts w:ascii="Times New Roman" w:hAnsi="Times New Roman" w:cs="Times New Roman"/>
              </w:rPr>
              <w:lastRenderedPageBreak/>
              <w:t>- after dissecting the uterine artery, options include bipolar coagulation followed by scissors division, ultrasonic scalpel coagulation and cutting, or using titanium clips, as well as suturing or employing a cutting stapler;</w:t>
            </w:r>
            <w:r w:rsidRPr="00CB2EC4">
              <w:rPr>
                <w:rFonts w:ascii="Times New Roman" w:hAnsi="Times New Roman" w:cs="Times New Roman"/>
              </w:rPr>
              <w:br/>
              <w:t>- there is no fixed method for ligating or dividing any tissue or vessel; techniques such as suturing, ligating, bipolar electrocoagulation, monopolar electrocoagulation, ultrasonic scalpel, titanium clips, and automatic cutting staplers can all be applied, with the principle being complete and secure hemostasis after treatment and minimal tissue damage;</w:t>
            </w:r>
            <w:r w:rsidRPr="00CB2EC4">
              <w:rPr>
                <w:rFonts w:ascii="Times New Roman" w:hAnsi="Times New Roman" w:cs="Times New Roman"/>
              </w:rPr>
              <w:br/>
              <w:t>- using bipolar electrocoagulation to desiccate the vessel, then dividing it with an ultrasonic scalpel; when necessary, double ligation with 4-0 suture followed by division with an ultrasonic scalpel.</w:t>
            </w:r>
            <w:r w:rsidRPr="00CB2EC4">
              <w:rPr>
                <w:rFonts w:ascii="Times New Roman" w:hAnsi="Times New Roman" w:cs="Times New Roman"/>
              </w:rPr>
              <w:br/>
            </w:r>
            <w:r w:rsidRPr="00CB2EC4">
              <w:rPr>
                <w:rFonts w:ascii="Times New Roman" w:hAnsi="Times New Roman" w:cs="Times New Roman"/>
              </w:rPr>
              <w:br/>
              <w:t>Summary: commonly used methods include bipolar electrocoagulation, ultrasonic scalpel, titanium clips, suturing, and cutting staplers; the core principle is ensuring thorough hemostasis and reducing tissue injury. The documents do not specify a single "most commonly used" method, but titanium clips, bipolar electrocoagulation, and ultrasonic scalpel are frequently mentioned.</w:t>
            </w:r>
          </w:p>
        </w:tc>
        <w:tc>
          <w:tcPr>
            <w:tcW w:w="1152" w:type="dxa"/>
            <w:vAlign w:val="center"/>
          </w:tcPr>
          <w:p w14:paraId="29EC086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F0B6F3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4B6B7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04CB8C2" w14:textId="77777777">
        <w:tc>
          <w:tcPr>
            <w:tcW w:w="2160" w:type="dxa"/>
            <w:vAlign w:val="center"/>
          </w:tcPr>
          <w:p w14:paraId="48CDD99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1C20D1B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 method for managing uterine vessels during total laparoscopic hysterectomy (TLH) is laparoscopic coagulation or ligation of the uterine vessels, depending on the exposure of the pelvic floor. If the pelvic floor is relaxed and vaginal exposure is adequate, vaginal management is preferred; otherwise, laparoscopic management using electrocoagulation (such as monopolar or bipolar electrocautery) or instruments (such as EndoGIA or vascular closure </w:t>
            </w:r>
            <w:r w:rsidRPr="00CB2EC4">
              <w:rPr>
                <w:rFonts w:ascii="Times New Roman" w:hAnsi="Times New Roman" w:cs="Times New Roman"/>
              </w:rPr>
              <w:lastRenderedPageBreak/>
              <w:t>devices) for coagulation or ligation is performed.</w:t>
            </w:r>
            <w:r w:rsidRPr="00CB2EC4">
              <w:rPr>
                <w:rFonts w:ascii="Times New Roman" w:hAnsi="Times New Roman" w:cs="Times New Roman"/>
              </w:rPr>
              <w:br/>
            </w:r>
            <w:r w:rsidRPr="00CB2EC4">
              <w:rPr>
                <w:rFonts w:ascii="Times New Roman" w:hAnsi="Times New Roman" w:cs="Times New Roman"/>
              </w:rPr>
              <w:br/>
              <w:t>- Source analysis:</w:t>
            </w:r>
            <w:r w:rsidRPr="00CB2EC4">
              <w:rPr>
                <w:rFonts w:ascii="Times New Roman" w:hAnsi="Times New Roman" w:cs="Times New Roman"/>
              </w:rPr>
              <w:br/>
              <w:t xml:space="preserve">  - Knowledge base document: In the section on "total laparoscopic hysterectomy," it states that when managing uterine vessels, if the patient has a relaxed pelvic floor and easy exposure of the uterine vessels, vaginal management is safer; however, if the pelvic floor is not relaxed and vaginal exposure is limited, laparoscopic management is used, with electrocoagulation or instrument coagulation of the uterine vessels (e.g., "If the patient's pelvic floor is not relaxed and vaginal exposure is limited, the uterine vessels are managed laparoscopically"). It also notes that in TLH, ligaments and vessels, including uterine vessels, are managed entirely laparoscopically.</w:t>
            </w:r>
            <w:r w:rsidRPr="00CB2EC4">
              <w:rPr>
                <w:rFonts w:ascii="Times New Roman" w:hAnsi="Times New Roman" w:cs="Times New Roman"/>
              </w:rPr>
              <w:br/>
              <w:t xml:space="preserve">  - Web search results: In descriptions of LAVH (laparoscopically assisted vaginal hysterectomy), it is explicitly stated that "expose the uterine artery and vein, and coagulate the uterine vessels at the level of the uterine isthmus," using electrocoagulation or similar devices (e.g., "Management of uterine vessels: expose the uterine artery and vein, and coagulate the uterine vessels"). Web results supplement specific technical details, such as the use of bipolar electrocautery or robotic assistance.</w:t>
            </w:r>
            <w:r w:rsidRPr="00CB2EC4">
              <w:rPr>
                <w:rFonts w:ascii="Times New Roman" w:hAnsi="Times New Roman" w:cs="Times New Roman"/>
              </w:rPr>
              <w:br/>
              <w:t xml:space="preserve">  - Integrated information: The knowledge base document provides the general principle (selection of method based on exposure), while web search results add the commonly used techniques (coagulation or ligation). Both are consistent with no contradictions. The standard method is laparoscopic coagulation of the uterine vessels to minimize bleeding risk.</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Professional summary: The commonly used method is laparoscopic electrocoagulation or instrument-based coagulation of the uterine vessels at the level of the uterine isthmus. If pelvic floor conditions permit, vaginal management may be adopted, but laparoscopic management is more common in minimally invasive surgery.</w:t>
            </w:r>
          </w:p>
        </w:tc>
        <w:tc>
          <w:tcPr>
            <w:tcW w:w="1152" w:type="dxa"/>
            <w:vAlign w:val="center"/>
          </w:tcPr>
          <w:p w14:paraId="321B363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58FB03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30C77E8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281940DE" w14:textId="77777777">
        <w:tc>
          <w:tcPr>
            <w:tcW w:w="2160" w:type="dxa"/>
            <w:vAlign w:val="center"/>
          </w:tcPr>
          <w:p w14:paraId="4A58D686"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4D2AA9D2" w14:textId="77777777" w:rsidR="00922249" w:rsidRPr="00CB2EC4" w:rsidRDefault="003011D5">
            <w:pPr>
              <w:rPr>
                <w:rFonts w:ascii="Times New Roman" w:hAnsi="Times New Roman" w:cs="Times New Roman"/>
              </w:rPr>
            </w:pPr>
            <w:r w:rsidRPr="00CB2EC4">
              <w:rPr>
                <w:rFonts w:ascii="Times New Roman" w:hAnsi="Times New Roman" w:cs="Times New Roman"/>
              </w:rPr>
              <w:t>In laparoscopic total hysterectomy (TLH), the commonly used methods for managing uterine vessels depend on the degree of pelvic floor relaxation and vaginal exposure. According to Document Fragment 5 (Section 6: Laparoscopically Assisted Vaginal Hysterectomy) and Fragment 14 (Surgical Techniques and Methods), if the patient has pelvic floor relaxation and good vaginal exposure, uterine vessels are typically managed vaginally due to its simplicity and lower complication rates. However, if pelvic floor relaxation is absent and vaginal exposure is limited, uterine vessels should be managed laparoscopically. Specific laparoscopic methods include: further dissection of the anterior and posterior leaves of the broad ligament to expose the uterine vessels, followed by transverse clamping, ligation, and division using instruments such as a titanium clip applier (EndoGIA) or similar devices. Document Fragment 14 states: “If the surgeon plans to ligate the uterine vessels laparoscopically, the anterior and posterior leaves of the broad ligament should be further dissected to expose the uterine vessels, then clamped transversely, ligated, and divided using a titanium clip applier or EndoGIA.” This emphasizes the use of ligation instruments laparoscopically to ensure hemostasis and safe resection.</w:t>
            </w:r>
          </w:p>
        </w:tc>
        <w:tc>
          <w:tcPr>
            <w:tcW w:w="1152" w:type="dxa"/>
            <w:vAlign w:val="center"/>
          </w:tcPr>
          <w:p w14:paraId="78C1C0A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C084E3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5AE3A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554E157E" w14:textId="77777777">
        <w:tc>
          <w:tcPr>
            <w:tcW w:w="2160" w:type="dxa"/>
            <w:vAlign w:val="center"/>
          </w:tcPr>
          <w:p w14:paraId="6BDA5964"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Fusion RAG</w:t>
            </w:r>
          </w:p>
        </w:tc>
        <w:tc>
          <w:tcPr>
            <w:tcW w:w="5040" w:type="dxa"/>
            <w:vAlign w:val="center"/>
          </w:tcPr>
          <w:p w14:paraId="32A43BE1" w14:textId="77777777" w:rsidR="00922249" w:rsidRPr="00CB2EC4" w:rsidRDefault="003011D5">
            <w:pPr>
              <w:rPr>
                <w:rFonts w:ascii="Times New Roman" w:hAnsi="Times New Roman" w:cs="Times New Roman"/>
              </w:rPr>
            </w:pPr>
            <w:r w:rsidRPr="00CB2EC4">
              <w:rPr>
                <w:rFonts w:ascii="Times New Roman" w:hAnsi="Times New Roman" w:cs="Times New Roman"/>
              </w:rPr>
              <w:t>in laparoscopic total hysterectomy, the commonly used method for managing uterine vessels is: first, separate the anterior and posterior leaves of the broad ligament to expose the uterine vessels, then under direct visualization, use a titanium clip applier (such as EndoGIA) to staple and ligate the uterine vessels, followed by transection. This approach (stapling and ligating before transection) is considered more reliable than using loops or bipolar electrocoagulation and can reduce the risk of bleeding.</w:t>
            </w:r>
          </w:p>
        </w:tc>
        <w:tc>
          <w:tcPr>
            <w:tcW w:w="1152" w:type="dxa"/>
            <w:vAlign w:val="center"/>
          </w:tcPr>
          <w:p w14:paraId="6199E5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80A2D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9935C7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31363B8E" w14:textId="77777777">
        <w:tc>
          <w:tcPr>
            <w:tcW w:w="2160" w:type="dxa"/>
            <w:vAlign w:val="center"/>
          </w:tcPr>
          <w:p w14:paraId="2F9B76B0"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A2517B3" w14:textId="77777777" w:rsidR="00922249" w:rsidRPr="00CB2EC4" w:rsidRDefault="003011D5">
            <w:pPr>
              <w:rPr>
                <w:rFonts w:ascii="Times New Roman" w:hAnsi="Times New Roman" w:cs="Times New Roman"/>
              </w:rPr>
            </w:pPr>
            <w:r w:rsidRPr="00CB2EC4">
              <w:rPr>
                <w:rFonts w:ascii="Times New Roman" w:hAnsi="Times New Roman" w:cs="Times New Roman"/>
              </w:rPr>
              <w:t>the common methods for managing uterine vessels during laparoscopic total hysterectomy include:</w:t>
            </w:r>
            <w:r w:rsidRPr="00CB2EC4">
              <w:rPr>
                <w:rFonts w:ascii="Times New Roman" w:hAnsi="Times New Roman" w:cs="Times New Roman"/>
              </w:rPr>
              <w:br/>
            </w:r>
            <w:r w:rsidRPr="00CB2EC4">
              <w:rPr>
                <w:rFonts w:ascii="Times New Roman" w:hAnsi="Times New Roman" w:cs="Times New Roman"/>
              </w:rPr>
              <w:br/>
              <w:t>- after exposing the uterine arteries, common techniques are: bipolar electrocoagulation followed by transection, ultrasonic scalpel coagulation and cutting, application of titanium clips, suturing, or use of a vascular stapler (such as EndoGIA).</w:t>
            </w:r>
            <w:r w:rsidRPr="00CB2EC4">
              <w:rPr>
                <w:rFonts w:ascii="Times New Roman" w:hAnsi="Times New Roman" w:cs="Times New Roman"/>
              </w:rPr>
              <w:br/>
              <w:t>- for example: "after dissecting the uterine artery, it can be managed by bipolar electrocoagulation then cutting (Figure 17-6), or ultrasonic scalpel coagulation, or titanium clips, or suturing, or a cutting stapler."</w:t>
            </w:r>
            <w:r w:rsidRPr="00CB2EC4">
              <w:rPr>
                <w:rFonts w:ascii="Times New Roman" w:hAnsi="Times New Roman" w:cs="Times New Roman"/>
              </w:rPr>
              <w:br/>
              <w:t>these methods aim to ensure reliable hemostasis and minimize injury to surrounding tissues.</w:t>
            </w:r>
          </w:p>
        </w:tc>
        <w:tc>
          <w:tcPr>
            <w:tcW w:w="1152" w:type="dxa"/>
            <w:vAlign w:val="center"/>
          </w:tcPr>
          <w:p w14:paraId="7C0B1F1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1B4B94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D35BA3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6CD2A2C" w14:textId="77777777">
        <w:tc>
          <w:tcPr>
            <w:tcW w:w="2160" w:type="dxa"/>
            <w:vAlign w:val="center"/>
          </w:tcPr>
          <w:p w14:paraId="0897936D"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39FF721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 laparoscopic total hysterectomy, the commonly used methods for managing uterine vessels include electrocoagulation (such as monopolar or bipolar) or ligation and division using titanium clip appliers (e.g., EndoGIA) under direct laparoscopic visualization. Specifically, the procedure involves further dissection of the anterior and posterior leaves of the broad ligament to expose the uterine vessels while avoiding </w:t>
            </w:r>
            <w:r w:rsidRPr="00CB2EC4">
              <w:rPr>
                <w:rFonts w:ascii="Times New Roman" w:hAnsi="Times New Roman" w:cs="Times New Roman"/>
              </w:rPr>
              <w:lastRenderedPageBreak/>
              <w:t>the ureters, followed by transverse clamping, ligation, and division of the vessels. The documents emphasize that the entire process of handling intra-abdominal ligaments and vessels, including uterine vessels, must be completed laparoscopically without conversion to vaginal manipulation.</w:t>
            </w:r>
          </w:p>
        </w:tc>
        <w:tc>
          <w:tcPr>
            <w:tcW w:w="1152" w:type="dxa"/>
            <w:vAlign w:val="center"/>
          </w:tcPr>
          <w:p w14:paraId="17C8F7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13BBBDD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46EB97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0826E89" w14:textId="77777777">
        <w:tc>
          <w:tcPr>
            <w:tcW w:w="2160" w:type="dxa"/>
            <w:vAlign w:val="center"/>
          </w:tcPr>
          <w:p w14:paraId="47D7B91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39E3AE46" w14:textId="77777777" w:rsidR="00922249" w:rsidRPr="00CB2EC4" w:rsidRDefault="003011D5">
            <w:pPr>
              <w:rPr>
                <w:rFonts w:ascii="Times New Roman" w:hAnsi="Times New Roman" w:cs="Times New Roman"/>
              </w:rPr>
            </w:pPr>
            <w:r w:rsidRPr="00CB2EC4">
              <w:rPr>
                <w:rFonts w:ascii="Times New Roman" w:hAnsi="Times New Roman" w:cs="Times New Roman"/>
              </w:rPr>
              <w:t>the commonly used methods for managing uterine vessels during laparoscopic total hysterectomy are:</w:t>
            </w:r>
            <w:r w:rsidRPr="00CB2EC4">
              <w:rPr>
                <w:rFonts w:ascii="Times New Roman" w:hAnsi="Times New Roman" w:cs="Times New Roman"/>
              </w:rPr>
              <w:br/>
            </w:r>
            <w:r w:rsidRPr="00CB2EC4">
              <w:rPr>
                <w:rFonts w:ascii="Times New Roman" w:hAnsi="Times New Roman" w:cs="Times New Roman"/>
              </w:rPr>
              <w:br/>
              <w:t>- Laparoscopic approach: Further separate the anterior and posterior leaves of the broad ligament to expose the uterine vessels, then apply titanium clips (EndoGIA) to clamp and ligate them or use bipolar electrocoagulation for hemostasis, followed by transection of the vessels.</w:t>
            </w:r>
            <w:r w:rsidRPr="00CB2EC4">
              <w:rPr>
                <w:rFonts w:ascii="Times New Roman" w:hAnsi="Times New Roman" w:cs="Times New Roman"/>
              </w:rPr>
              <w:br/>
              <w:t>- Vaginal approach: If the patient has pelvic floor relaxation and adequate vaginal exposure, the uterine vessels can be directly ligated vaginally (which is safer and associated with fewer complications).</w:t>
            </w:r>
            <w:r w:rsidRPr="00CB2EC4">
              <w:rPr>
                <w:rFonts w:ascii="Times New Roman" w:hAnsi="Times New Roman" w:cs="Times New Roman"/>
              </w:rPr>
              <w:br/>
              <w:t>- The document emphasizes that the choice between laparoscopic or vaginal management should be flexible based on the patient’s anatomical conditions (such as degree of pelvic floor relaxation), and forced laparoscopic manipulation should be avoided.</w:t>
            </w:r>
          </w:p>
        </w:tc>
        <w:tc>
          <w:tcPr>
            <w:tcW w:w="1152" w:type="dxa"/>
            <w:vAlign w:val="center"/>
          </w:tcPr>
          <w:p w14:paraId="6EA178E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3A784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CA2E6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E2E5FE6" w14:textId="77777777">
        <w:tc>
          <w:tcPr>
            <w:tcW w:w="2160" w:type="dxa"/>
            <w:vAlign w:val="center"/>
          </w:tcPr>
          <w:p w14:paraId="06D76673"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1081F3BE" w14:textId="77777777" w:rsidR="00922249" w:rsidRPr="00CB2EC4" w:rsidRDefault="003011D5">
            <w:pPr>
              <w:rPr>
                <w:rFonts w:ascii="Times New Roman" w:hAnsi="Times New Roman" w:cs="Times New Roman"/>
              </w:rPr>
            </w:pPr>
            <w:r w:rsidRPr="00CB2EC4">
              <w:rPr>
                <w:rFonts w:ascii="Times New Roman" w:hAnsi="Times New Roman" w:cs="Times New Roman"/>
              </w:rPr>
              <w:t>the commonly used method for managing uterine vessels during laparoscopic total hysterectomy is:</w:t>
            </w:r>
            <w:r w:rsidRPr="00CB2EC4">
              <w:rPr>
                <w:rFonts w:ascii="Times New Roman" w:hAnsi="Times New Roman" w:cs="Times New Roman"/>
              </w:rPr>
              <w:br/>
              <w:t xml:space="preserve">- Using titanium clips to clamp and transect the vessels. The specific steps include further dissecting the anterior and posterior leaves of the broad ligament to expose the location of the ureter (the ureter typically passes beneath the uterine vessels), then using curved scissors or a dissector to perform blunt and sharp dissection of the area to clearly expose the </w:t>
            </w:r>
            <w:r w:rsidRPr="00CB2EC4">
              <w:rPr>
                <w:rFonts w:ascii="Times New Roman" w:hAnsi="Times New Roman" w:cs="Times New Roman"/>
              </w:rPr>
              <w:lastRenderedPageBreak/>
              <w:t>uterine vessels. Under direct vision, the uterine vessels are clamped with a titanium clip applier and then cut. This method is considered more reliable than using loops and bipolar electrocoagulation.</w:t>
            </w:r>
            <w:r w:rsidRPr="00CB2EC4">
              <w:rPr>
                <w:rFonts w:ascii="Times New Roman" w:hAnsi="Times New Roman" w:cs="Times New Roman"/>
              </w:rPr>
              <w:br/>
            </w:r>
            <w:r w:rsidRPr="00CB2EC4">
              <w:rPr>
                <w:rFonts w:ascii="Times New Roman" w:hAnsi="Times New Roman" w:cs="Times New Roman"/>
              </w:rPr>
              <w:br/>
              <w:t>reference: Document fragment 3 explicitly states: "If the surgeon plans to ligate the uterine vessels laparoscopically... they should be clamped with a titanium clip applier under direct vision and then transected... This method of first ligating with titanium clips and then transecting... is more reliable than using loops and bipolar electrocoagulation."</w:t>
            </w:r>
          </w:p>
        </w:tc>
        <w:tc>
          <w:tcPr>
            <w:tcW w:w="1152" w:type="dxa"/>
            <w:vAlign w:val="center"/>
          </w:tcPr>
          <w:p w14:paraId="647068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476DD9C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C492C1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F188D15" w14:textId="77777777">
        <w:tc>
          <w:tcPr>
            <w:tcW w:w="2160" w:type="dxa"/>
            <w:vAlign w:val="center"/>
          </w:tcPr>
          <w:p w14:paraId="5421F510"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35C3400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commonly used methods for managing uterine vessels during total laparoscopic hysterectomy (TLH) include ligation, electrocoagulation, or the use of titanium clips/staplers (such as EndoGIA). The specific descriptions are as follows:  </w:t>
            </w:r>
            <w:r w:rsidRPr="00CB2EC4">
              <w:rPr>
                <w:rFonts w:ascii="Times New Roman" w:hAnsi="Times New Roman" w:cs="Times New Roman"/>
              </w:rPr>
              <w:br/>
              <w:t xml:space="preserve">- In the [similarity: 0.462] excerpt: "If the surgeon plans to ligate the uterine vessels laparoscopically, the anterior and posterior leaves of the broad ligament should be further dissected... using a sharp curved dissector gently. If electrocautery (ESU) is used, extreme caution is required."  </w:t>
            </w:r>
            <w:r w:rsidRPr="00CB2EC4">
              <w:rPr>
                <w:rFonts w:ascii="Times New Roman" w:hAnsi="Times New Roman" w:cs="Times New Roman"/>
              </w:rPr>
              <w:br/>
              <w:t xml:space="preserve">- The same [similarity: 0.462] excerpt also states: "Use a titanium clip applier (EndoGIA) to transversely clamp and ligate" structures such as the pelvic infundibular ligament, indicating that similar instruments may be used for vascular management.  </w:t>
            </w:r>
            <w:r w:rsidRPr="00CB2EC4">
              <w:rPr>
                <w:rFonts w:ascii="Times New Roman" w:hAnsi="Times New Roman" w:cs="Times New Roman"/>
              </w:rPr>
              <w:br/>
              <w:t xml:space="preserve">- In the [similarity: 0.420] excerpt: "Ligate using a vessel sealing device, other coagulating/cutting instruments, or an endoscopic stapler," which, although referring to the sacrouterine ligament, indirectly supports the use of coagulating/cutting instruments for vessel management.  </w:t>
            </w:r>
            <w:r w:rsidRPr="00CB2EC4">
              <w:rPr>
                <w:rFonts w:ascii="Times New Roman" w:hAnsi="Times New Roman" w:cs="Times New Roman"/>
              </w:rPr>
              <w:br/>
            </w:r>
            <w:r w:rsidRPr="00CB2EC4">
              <w:rPr>
                <w:rFonts w:ascii="Times New Roman" w:hAnsi="Times New Roman" w:cs="Times New Roman"/>
              </w:rPr>
              <w:lastRenderedPageBreak/>
              <w:t>In summary, the commonly used methods are: ligation (e.g., suturing or titanium clips), electrocoagulation (monopolar or bipolar), or staplers (such as EndoGIA), with the specific choice depending on the surgeon’s preference and patient factors. The documents do not specify a single method but emphasize the principles of reliable hemostasis and avoidance of collateral injury.</w:t>
            </w:r>
          </w:p>
        </w:tc>
        <w:tc>
          <w:tcPr>
            <w:tcW w:w="1152" w:type="dxa"/>
            <w:vAlign w:val="center"/>
          </w:tcPr>
          <w:p w14:paraId="1E7D196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0434B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0C2753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19ABA690" w14:textId="77777777">
        <w:tc>
          <w:tcPr>
            <w:tcW w:w="2160" w:type="dxa"/>
            <w:vAlign w:val="center"/>
          </w:tcPr>
          <w:p w14:paraId="1BE95C70"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28BE743" w14:textId="77777777" w:rsidR="00922249" w:rsidRPr="00CB2EC4" w:rsidRDefault="003011D5">
            <w:pPr>
              <w:rPr>
                <w:rFonts w:ascii="Times New Roman" w:hAnsi="Times New Roman" w:cs="Times New Roman"/>
              </w:rPr>
            </w:pPr>
            <w:r w:rsidRPr="00CB2EC4">
              <w:rPr>
                <w:rFonts w:ascii="Times New Roman" w:hAnsi="Times New Roman" w:cs="Times New Roman"/>
              </w:rPr>
              <w:t>the commonly used methods for managing uterine vessels during laparoscopic total hysterectomy include:</w:t>
            </w:r>
            <w:r w:rsidRPr="00CB2EC4">
              <w:rPr>
                <w:rFonts w:ascii="Times New Roman" w:hAnsi="Times New Roman" w:cs="Times New Roman"/>
              </w:rPr>
              <w:br/>
              <w:t>- Bipolar electrocoagulation followed by transection: using bipolar electrocoagulation to desiccate the uterine vessels, then cutting them with scissors.</w:t>
            </w:r>
            <w:r w:rsidRPr="00CB2EC4">
              <w:rPr>
                <w:rFonts w:ascii="Times New Roman" w:hAnsi="Times New Roman" w:cs="Times New Roman"/>
              </w:rPr>
              <w:br/>
              <w:t>- Ultrasonic scalpel coagulation and division: utilizing the thermal energy of an ultrasonic scalpel to seal and cut the vessels.</w:t>
            </w:r>
            <w:r w:rsidRPr="00CB2EC4">
              <w:rPr>
                <w:rFonts w:ascii="Times New Roman" w:hAnsi="Times New Roman" w:cs="Times New Roman"/>
              </w:rPr>
              <w:br/>
              <w:t>- Titanium clip application: clamping the vessels with titanium clips before transection.</w:t>
            </w:r>
            <w:r w:rsidRPr="00CB2EC4">
              <w:rPr>
                <w:rFonts w:ascii="Times New Roman" w:hAnsi="Times New Roman" w:cs="Times New Roman"/>
              </w:rPr>
              <w:br/>
              <w:t>- Suture ligation: directly suturing the vessel stumps.</w:t>
            </w:r>
            <w:r w:rsidRPr="00CB2EC4">
              <w:rPr>
                <w:rFonts w:ascii="Times New Roman" w:hAnsi="Times New Roman" w:cs="Times New Roman"/>
              </w:rPr>
              <w:br/>
              <w:t>- Stapling devices (e.g., EndoGIA): using automatic staplers to staple and transect the vessels simultaneously.</w:t>
            </w:r>
            <w:r w:rsidRPr="00CB2EC4">
              <w:rPr>
                <w:rFonts w:ascii="Times New Roman" w:hAnsi="Times New Roman" w:cs="Times New Roman"/>
              </w:rPr>
              <w:br/>
              <w:t>(Source: Document fragments 5, 12)</w:t>
            </w:r>
          </w:p>
        </w:tc>
        <w:tc>
          <w:tcPr>
            <w:tcW w:w="1152" w:type="dxa"/>
            <w:vAlign w:val="center"/>
          </w:tcPr>
          <w:p w14:paraId="2C33E6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1DE1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53D1F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ED35FE" w14:textId="77777777">
        <w:tc>
          <w:tcPr>
            <w:tcW w:w="2160" w:type="dxa"/>
            <w:vAlign w:val="center"/>
          </w:tcPr>
          <w:p w14:paraId="69219902"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48F7D27E" w14:textId="77777777" w:rsidR="00922249" w:rsidRPr="00CB2EC4" w:rsidRDefault="003011D5">
            <w:pPr>
              <w:rPr>
                <w:rFonts w:ascii="Times New Roman" w:hAnsi="Times New Roman" w:cs="Times New Roman"/>
              </w:rPr>
            </w:pPr>
            <w:r w:rsidRPr="00CB2EC4">
              <w:rPr>
                <w:rFonts w:ascii="Times New Roman" w:hAnsi="Times New Roman" w:cs="Times New Roman"/>
              </w:rPr>
              <w:t>no fixed method is commonly used for handling uterine vessels during laparoscopic total hysterectomy; various techniques including suturing, ligation, bipolar or monopolar electrocoagulation, ultrasonic scalpel, titanium clips, and automatic cutting staplers may be applied, with the principle of ensuring complete and secure hemostasis while minimizing collateral tissue damage.</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in the context of laparoscopic-assisted vaginal hysterectomy (LAVH), uterine vessels may be managed by titanium clip clamping or bipolar electrocoagulation.</w:t>
            </w:r>
            <w:r w:rsidRPr="00CB2EC4">
              <w:rPr>
                <w:rFonts w:ascii="Times New Roman" w:hAnsi="Times New Roman" w:cs="Times New Roman"/>
              </w:rPr>
              <w:br/>
            </w:r>
            <w:r w:rsidRPr="00CB2EC4">
              <w:rPr>
                <w:rFonts w:ascii="Times New Roman" w:hAnsi="Times New Roman" w:cs="Times New Roman"/>
              </w:rPr>
              <w:br/>
              <w:t>the choice of method depends on surgical circumstances and surgeon preference, though no single technique is explicitly designated as the most commonly used in the provided context.</w:t>
            </w:r>
          </w:p>
        </w:tc>
        <w:tc>
          <w:tcPr>
            <w:tcW w:w="1152" w:type="dxa"/>
            <w:vAlign w:val="center"/>
          </w:tcPr>
          <w:p w14:paraId="665313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C2A714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480B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1C24030" w14:textId="77777777">
        <w:tc>
          <w:tcPr>
            <w:tcW w:w="2160" w:type="dxa"/>
            <w:vAlign w:val="center"/>
          </w:tcPr>
          <w:p w14:paraId="303D0F9D"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18CD8AC" w14:textId="77777777" w:rsidR="00922249" w:rsidRPr="00CB2EC4" w:rsidRDefault="003011D5">
            <w:pPr>
              <w:rPr>
                <w:rFonts w:ascii="Times New Roman" w:hAnsi="Times New Roman" w:cs="Times New Roman"/>
              </w:rPr>
            </w:pPr>
            <w:r w:rsidRPr="00CB2EC4">
              <w:rPr>
                <w:rFonts w:ascii="Times New Roman" w:hAnsi="Times New Roman" w:cs="Times New Roman"/>
              </w:rPr>
              <w:t>in laparoscopic total hysterectomy, the commonly used method for managing uterine vessels is bipolar electrocoagulation or ultrasonic scalpel to coagulate and transect the vessels. The specific steps include: first, dissecting the anterior and posterior leaves of the broad ligament to expose the uterine artery and vein, then applying bipolar forceps to thoroughly coagulate the vascular pedicle, followed by transection using an ultrasonic device or scissors to ensure hemostasis and minimize blood loss. This approach emphasizes precise anatomical dissection and the use of energy devices to reduce collateral tissue damage.</w:t>
            </w:r>
          </w:p>
        </w:tc>
        <w:tc>
          <w:tcPr>
            <w:tcW w:w="1152" w:type="dxa"/>
            <w:vAlign w:val="center"/>
          </w:tcPr>
          <w:p w14:paraId="036101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3B8DC0C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8286B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4749C301" w14:textId="77777777">
        <w:tc>
          <w:tcPr>
            <w:tcW w:w="10656" w:type="dxa"/>
            <w:gridSpan w:val="5"/>
            <w:tcBorders>
              <w:bottom w:val="single" w:sz="6" w:space="0" w:color="auto"/>
            </w:tcBorders>
            <w:vAlign w:val="center"/>
          </w:tcPr>
          <w:p w14:paraId="24255565"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197: What are the indications for a laparoscopically assisted vaginal hysterectomy (LAVH)?</w:t>
            </w:r>
          </w:p>
        </w:tc>
      </w:tr>
      <w:tr w:rsidR="00922249" w:rsidRPr="00CB2EC4" w14:paraId="6E4AC40D" w14:textId="77777777">
        <w:tc>
          <w:tcPr>
            <w:tcW w:w="2160" w:type="dxa"/>
            <w:vAlign w:val="center"/>
          </w:tcPr>
          <w:p w14:paraId="73CAE9DB"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4A7A775C" w14:textId="77777777" w:rsidR="00922249" w:rsidRPr="00CB2EC4" w:rsidRDefault="003011D5">
            <w:pPr>
              <w:rPr>
                <w:rFonts w:ascii="Times New Roman" w:hAnsi="Times New Roman" w:cs="Times New Roman"/>
              </w:rPr>
            </w:pPr>
            <w:r w:rsidRPr="00CB2EC4">
              <w:rPr>
                <w:rFonts w:ascii="Times New Roman" w:hAnsi="Times New Roman" w:cs="Times New Roman"/>
              </w:rPr>
              <w:t>the indications for laparoscopic-assisted vaginal hysterectomy (LAVH) include conditions where vaginal hysterectomy is technically challenging but can be facilitated by laparoscopic assistance, typically for patients with:</w:t>
            </w:r>
            <w:r w:rsidRPr="00CB2EC4">
              <w:rPr>
                <w:rFonts w:ascii="Times New Roman" w:hAnsi="Times New Roman" w:cs="Times New Roman"/>
              </w:rPr>
              <w:br/>
            </w:r>
            <w:r w:rsidRPr="00CB2EC4">
              <w:rPr>
                <w:rFonts w:ascii="Times New Roman" w:hAnsi="Times New Roman" w:cs="Times New Roman"/>
              </w:rPr>
              <w:br/>
              <w:t xml:space="preserve">- uterine enlargement (e.g., due to fibroids or adenomyosis) beyond the capacity for safe vaginal removal  </w:t>
            </w:r>
            <w:r w:rsidRPr="00CB2EC4">
              <w:rPr>
                <w:rFonts w:ascii="Times New Roman" w:hAnsi="Times New Roman" w:cs="Times New Roman"/>
              </w:rPr>
              <w:br/>
              <w:t xml:space="preserve">- limited vaginal access or pelvic adhesions that preclude straightforward vaginal approach  </w:t>
            </w:r>
            <w:r w:rsidRPr="00CB2EC4">
              <w:rPr>
                <w:rFonts w:ascii="Times New Roman" w:hAnsi="Times New Roman" w:cs="Times New Roman"/>
              </w:rPr>
              <w:br/>
            </w:r>
            <w:r w:rsidRPr="00CB2EC4">
              <w:rPr>
                <w:rFonts w:ascii="Times New Roman" w:hAnsi="Times New Roman" w:cs="Times New Roman"/>
              </w:rPr>
              <w:lastRenderedPageBreak/>
              <w:t xml:space="preserve">- need for evaluation and treatment of adnexal pathology (e.g., ovarian cysts, endometriosis) during hysterectomy  </w:t>
            </w:r>
            <w:r w:rsidRPr="00CB2EC4">
              <w:rPr>
                <w:rFonts w:ascii="Times New Roman" w:hAnsi="Times New Roman" w:cs="Times New Roman"/>
              </w:rPr>
              <w:br/>
              <w:t xml:space="preserve">- history of cesarean section or pelvic surgery increasing risk of bladder or bowel adhesions  </w:t>
            </w:r>
            <w:r w:rsidRPr="00CB2EC4">
              <w:rPr>
                <w:rFonts w:ascii="Times New Roman" w:hAnsi="Times New Roman" w:cs="Times New Roman"/>
              </w:rPr>
              <w:br/>
              <w:t xml:space="preserve">- desire to avoid laparotomy while requiring intra-abdominal visualization and dissection  </w:t>
            </w:r>
            <w:r w:rsidRPr="00CB2EC4">
              <w:rPr>
                <w:rFonts w:ascii="Times New Roman" w:hAnsi="Times New Roman" w:cs="Times New Roman"/>
              </w:rPr>
              <w:br/>
            </w:r>
            <w:r w:rsidRPr="00CB2EC4">
              <w:rPr>
                <w:rFonts w:ascii="Times New Roman" w:hAnsi="Times New Roman" w:cs="Times New Roman"/>
              </w:rPr>
              <w:br/>
              <w:t>LAVH expands the indications for vaginal hysterectomy by enabling laparoscopic management of factors that would otherwise necessitate open abdominal surgery.</w:t>
            </w:r>
            <w:r w:rsidRPr="00CB2EC4">
              <w:rPr>
                <w:rFonts w:ascii="Times New Roman" w:hAnsi="Times New Roman" w:cs="Times New Roman"/>
              </w:rPr>
              <w:br/>
            </w:r>
            <w:r w:rsidRPr="00CB2EC4">
              <w:rPr>
                <w:rFonts w:ascii="Times New Roman" w:hAnsi="Times New Roman" w:cs="Times New Roman"/>
              </w:rPr>
              <w:br/>
              <w:t>(Note: Specific disease indications such as those for total laparoscopic hysterectomy (e.g., early cervical cancer, severe pelvic organ prolapse) may also be considered for LAVH when appropriate surgical expertise and patient factors align, though LAVH is generally not the primary approach for malignancy staging.)</w:t>
            </w:r>
          </w:p>
        </w:tc>
        <w:tc>
          <w:tcPr>
            <w:tcW w:w="1152" w:type="dxa"/>
            <w:vAlign w:val="center"/>
          </w:tcPr>
          <w:p w14:paraId="5741E7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165CF1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06BBD0E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747885B5" w14:textId="77777777">
        <w:tc>
          <w:tcPr>
            <w:tcW w:w="2160" w:type="dxa"/>
            <w:vAlign w:val="center"/>
          </w:tcPr>
          <w:p w14:paraId="45500A27"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2AA25582" w14:textId="77777777" w:rsidR="00922249" w:rsidRPr="00CB2EC4" w:rsidRDefault="003011D5">
            <w:pPr>
              <w:rPr>
                <w:rFonts w:ascii="Times New Roman" w:hAnsi="Times New Roman" w:cs="Times New Roman"/>
              </w:rPr>
            </w:pPr>
            <w:r w:rsidRPr="00CB2EC4">
              <w:rPr>
                <w:rFonts w:ascii="Times New Roman" w:hAnsi="Times New Roman" w:cs="Times New Roman"/>
              </w:rPr>
              <w:t>the indications for laparoscopic-assisted vaginal hysterectomy (LAVH) include the following conditions in patients without pelvic adhesions:</w:t>
            </w:r>
            <w:r w:rsidRPr="00CB2EC4">
              <w:rPr>
                <w:rFonts w:ascii="Times New Roman" w:hAnsi="Times New Roman" w:cs="Times New Roman"/>
              </w:rPr>
              <w:br/>
              <w:t>- uterine prolapse</w:t>
            </w:r>
            <w:r w:rsidRPr="00CB2EC4">
              <w:rPr>
                <w:rFonts w:ascii="Times New Roman" w:hAnsi="Times New Roman" w:cs="Times New Roman"/>
              </w:rPr>
              <w:br/>
              <w:t>- dysfunctional uterine bleeding refractory to conservative treatment</w:t>
            </w:r>
            <w:r w:rsidRPr="00CB2EC4">
              <w:rPr>
                <w:rFonts w:ascii="Times New Roman" w:hAnsi="Times New Roman" w:cs="Times New Roman"/>
              </w:rPr>
              <w:br/>
              <w:t>- benign uterine tumors</w:t>
            </w:r>
            <w:r w:rsidRPr="00CB2EC4">
              <w:rPr>
                <w:rFonts w:ascii="Times New Roman" w:hAnsi="Times New Roman" w:cs="Times New Roman"/>
              </w:rPr>
              <w:br/>
              <w:t>- endometrial hyperplasia</w:t>
            </w:r>
          </w:p>
        </w:tc>
        <w:tc>
          <w:tcPr>
            <w:tcW w:w="1152" w:type="dxa"/>
            <w:vAlign w:val="center"/>
          </w:tcPr>
          <w:p w14:paraId="30B71F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C4C42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96B3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B6A4884" w14:textId="77777777">
        <w:tc>
          <w:tcPr>
            <w:tcW w:w="2160" w:type="dxa"/>
            <w:vAlign w:val="center"/>
          </w:tcPr>
          <w:p w14:paraId="4EAE6CFC"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1497DFA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indications for laparoscopic-assisted vaginal hysterectomy (LAVH) are as follows:  </w:t>
            </w:r>
            <w:r w:rsidRPr="00CB2EC4">
              <w:rPr>
                <w:rFonts w:ascii="Times New Roman" w:hAnsi="Times New Roman" w:cs="Times New Roman"/>
              </w:rPr>
              <w:br/>
              <w:t xml:space="preserve">in the absence of pelvic adhesions:  </w:t>
            </w:r>
            <w:r w:rsidRPr="00CB2EC4">
              <w:rPr>
                <w:rFonts w:ascii="Times New Roman" w:hAnsi="Times New Roman" w:cs="Times New Roman"/>
              </w:rPr>
              <w:br/>
              <w:t xml:space="preserve">(1) uterine prolapse;  </w:t>
            </w:r>
            <w:r w:rsidRPr="00CB2EC4">
              <w:rPr>
                <w:rFonts w:ascii="Times New Roman" w:hAnsi="Times New Roman" w:cs="Times New Roman"/>
              </w:rPr>
              <w:br/>
              <w:t xml:space="preserve">(2) dysfunctional uterine bleeding refractory to </w:t>
            </w:r>
            <w:r w:rsidRPr="00CB2EC4">
              <w:rPr>
                <w:rFonts w:ascii="Times New Roman" w:hAnsi="Times New Roman" w:cs="Times New Roman"/>
              </w:rPr>
              <w:lastRenderedPageBreak/>
              <w:t xml:space="preserve">conservative treatment;  </w:t>
            </w:r>
            <w:r w:rsidRPr="00CB2EC4">
              <w:rPr>
                <w:rFonts w:ascii="Times New Roman" w:hAnsi="Times New Roman" w:cs="Times New Roman"/>
              </w:rPr>
              <w:br/>
              <w:t xml:space="preserve">(3) benign uterine tumors;  </w:t>
            </w:r>
            <w:r w:rsidRPr="00CB2EC4">
              <w:rPr>
                <w:rFonts w:ascii="Times New Roman" w:hAnsi="Times New Roman" w:cs="Times New Roman"/>
              </w:rPr>
              <w:br/>
              <w:t xml:space="preserve">(4) endometrial hyperplasia.  </w:t>
            </w:r>
            <w:r w:rsidRPr="00CB2EC4">
              <w:rPr>
                <w:rFonts w:ascii="Times New Roman" w:hAnsi="Times New Roman" w:cs="Times New Roman"/>
              </w:rPr>
              <w:br/>
            </w:r>
            <w:r w:rsidRPr="00CB2EC4">
              <w:rPr>
                <w:rFonts w:ascii="Times New Roman" w:hAnsi="Times New Roman" w:cs="Times New Roman"/>
              </w:rPr>
              <w:br/>
              <w:t>additionally, LAVH is designed to expand the indications for vaginal hysterectomy, allowing procedures that would otherwise require laparotomy to be performed more easily via the vaginal approach with laparoscopic assistance.</w:t>
            </w:r>
          </w:p>
        </w:tc>
        <w:tc>
          <w:tcPr>
            <w:tcW w:w="1152" w:type="dxa"/>
            <w:vAlign w:val="center"/>
          </w:tcPr>
          <w:p w14:paraId="216CF1C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C</w:t>
            </w:r>
          </w:p>
        </w:tc>
        <w:tc>
          <w:tcPr>
            <w:tcW w:w="1152" w:type="dxa"/>
            <w:vAlign w:val="center"/>
          </w:tcPr>
          <w:p w14:paraId="6B8411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49D239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6E5A1F6" w14:textId="77777777">
        <w:tc>
          <w:tcPr>
            <w:tcW w:w="2160" w:type="dxa"/>
            <w:vAlign w:val="center"/>
          </w:tcPr>
          <w:p w14:paraId="176CDDCD"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685BFE3" w14:textId="77777777" w:rsidR="00922249" w:rsidRPr="00CB2EC4" w:rsidRDefault="003011D5">
            <w:pPr>
              <w:rPr>
                <w:rFonts w:ascii="Times New Roman" w:hAnsi="Times New Roman" w:cs="Times New Roman"/>
              </w:rPr>
            </w:pPr>
            <w:r w:rsidRPr="00CB2EC4">
              <w:rPr>
                <w:rFonts w:ascii="Times New Roman" w:hAnsi="Times New Roman" w:cs="Times New Roman"/>
              </w:rPr>
              <w:t>the indications for laparoscopic-assisted vaginal hysterectomy (LAVH) include:</w:t>
            </w:r>
            <w:r w:rsidRPr="00CB2EC4">
              <w:rPr>
                <w:rFonts w:ascii="Times New Roman" w:hAnsi="Times New Roman" w:cs="Times New Roman"/>
              </w:rPr>
              <w:br/>
            </w:r>
            <w:r w:rsidRPr="00CB2EC4">
              <w:rPr>
                <w:rFonts w:ascii="Times New Roman" w:hAnsi="Times New Roman" w:cs="Times New Roman"/>
              </w:rPr>
              <w:br/>
              <w:t>- Uterine prolapse</w:t>
            </w:r>
            <w:r w:rsidRPr="00CB2EC4">
              <w:rPr>
                <w:rFonts w:ascii="Times New Roman" w:hAnsi="Times New Roman" w:cs="Times New Roman"/>
              </w:rPr>
              <w:br/>
              <w:t>- Dysfunctional uterine bleeding refractory to conservative treatment</w:t>
            </w:r>
            <w:r w:rsidRPr="00CB2EC4">
              <w:rPr>
                <w:rFonts w:ascii="Times New Roman" w:hAnsi="Times New Roman" w:cs="Times New Roman"/>
              </w:rPr>
              <w:br/>
              <w:t>- Benign uterine tumors (such as myomas or adenomyomas)</w:t>
            </w:r>
            <w:r w:rsidRPr="00CB2EC4">
              <w:rPr>
                <w:rFonts w:ascii="Times New Roman" w:hAnsi="Times New Roman" w:cs="Times New Roman"/>
              </w:rPr>
              <w:br/>
              <w:t>- Endometrial hyperplasia or precancerous lesions (e.g., endometrial carcinoma in situ)</w:t>
            </w:r>
            <w:r w:rsidRPr="00CB2EC4">
              <w:rPr>
                <w:rFonts w:ascii="Times New Roman" w:hAnsi="Times New Roman" w:cs="Times New Roman"/>
              </w:rPr>
              <w:br/>
              <w:t>- Early cervical cancer (requires careful evaluation)</w:t>
            </w:r>
            <w:r w:rsidRPr="00CB2EC4">
              <w:rPr>
                <w:rFonts w:ascii="Times New Roman" w:hAnsi="Times New Roman" w:cs="Times New Roman"/>
              </w:rPr>
              <w:br/>
            </w:r>
            <w:r w:rsidRPr="00CB2EC4">
              <w:rPr>
                <w:rFonts w:ascii="Times New Roman" w:hAnsi="Times New Roman" w:cs="Times New Roman"/>
              </w:rPr>
              <w:br/>
              <w:t>- Source analysis:</w:t>
            </w:r>
            <w:r w:rsidRPr="00CB2EC4">
              <w:rPr>
                <w:rFonts w:ascii="Times New Roman" w:hAnsi="Times New Roman" w:cs="Times New Roman"/>
              </w:rPr>
              <w:br/>
              <w:t xml:space="preserve">  - Knowledge base document: Under the section "Laparoscopic-assisted vaginal hysterectomy," indications are explicitly listed: "(1) Uterine prolapse; (2) Dysfunctional uterine bleeding unresponsive to conservative treatment; (3) Benign uterine tumors; (4) Endometrial hyperplasia" in patients without pelvic adhesions. It also notes that for early cervical cancer and other malignant conditions, LAVH may be an option but requires strict patient selection.</w:t>
            </w:r>
            <w:r w:rsidRPr="00CB2EC4">
              <w:rPr>
                <w:rFonts w:ascii="Times New Roman" w:hAnsi="Times New Roman" w:cs="Times New Roman"/>
              </w:rPr>
              <w:br/>
              <w:t xml:space="preserve">  - Web search results: Supplement that LAVH is indicated for benign diseases such as uterine fibroids and endometriosis, and highlight advantages including </w:t>
            </w:r>
            <w:r w:rsidRPr="00CB2EC4">
              <w:rPr>
                <w:rFonts w:ascii="Times New Roman" w:hAnsi="Times New Roman" w:cs="Times New Roman"/>
              </w:rPr>
              <w:lastRenderedPageBreak/>
              <w:t>direct visualization of the pelvic and abdominal cavities, reduced blood loss, and broad applicability. Web sources also specify that LAVH is suitable for patients with uterine size not exceeding 12 weeks’ gestation.</w:t>
            </w:r>
            <w:r w:rsidRPr="00CB2EC4">
              <w:rPr>
                <w:rFonts w:ascii="Times New Roman" w:hAnsi="Times New Roman" w:cs="Times New Roman"/>
              </w:rPr>
              <w:br/>
              <w:t xml:space="preserve">  - Integrated information: The knowledge base provides the core list of indications, while web search results confirm application in benign diseases and add minimally invasive benefits (e.g., lower complication rates). Both sources are consistent with no contradictions. Contraindications include pelvic adhesions, vaginal stenosis, enlarged uterus, or malignant tumors (emphasized in the knowledge base document).</w:t>
            </w:r>
            <w:r w:rsidRPr="00CB2EC4">
              <w:rPr>
                <w:rFonts w:ascii="Times New Roman" w:hAnsi="Times New Roman" w:cs="Times New Roman"/>
              </w:rPr>
              <w:br/>
            </w:r>
            <w:r w:rsidRPr="00CB2EC4">
              <w:rPr>
                <w:rFonts w:ascii="Times New Roman" w:hAnsi="Times New Roman" w:cs="Times New Roman"/>
              </w:rPr>
              <w:br/>
              <w:t>Professional summary: LAVH is indicated for patients with benign uterine conditions and no pelvic adhesions, preferably with uterine size not exceeding 12 weeks’ gestation. Malignant conditions such as early cervical or endometrial cancer require individualized assessment; LAVH is not suitable for advanced or high-risk malignancies.</w:t>
            </w:r>
          </w:p>
        </w:tc>
        <w:tc>
          <w:tcPr>
            <w:tcW w:w="1152" w:type="dxa"/>
            <w:vAlign w:val="center"/>
          </w:tcPr>
          <w:p w14:paraId="141F4D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FDC6AB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5F659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4CDEE67" w14:textId="77777777">
        <w:tc>
          <w:tcPr>
            <w:tcW w:w="2160" w:type="dxa"/>
            <w:vAlign w:val="center"/>
          </w:tcPr>
          <w:p w14:paraId="5283164F" w14:textId="77777777" w:rsidR="00922249" w:rsidRPr="00CB2EC4" w:rsidRDefault="003011D5">
            <w:pPr>
              <w:rPr>
                <w:rFonts w:ascii="Times New Roman" w:hAnsi="Times New Roman" w:cs="Times New Roman"/>
              </w:rPr>
            </w:pPr>
            <w:r w:rsidRPr="00CB2EC4">
              <w:rPr>
                <w:rFonts w:ascii="Times New Roman" w:hAnsi="Times New Roman" w:cs="Times New Roman"/>
              </w:rPr>
              <w:t>Document Augmentation</w:t>
            </w:r>
          </w:p>
        </w:tc>
        <w:tc>
          <w:tcPr>
            <w:tcW w:w="5040" w:type="dxa"/>
            <w:vAlign w:val="center"/>
          </w:tcPr>
          <w:p w14:paraId="09FBBA8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indications for laparoscopic-assisted vaginal hysterectomy (LAVH) include the following conditions, provided there is no pelvic adhesion:  </w:t>
            </w:r>
            <w:r w:rsidRPr="00CB2EC4">
              <w:rPr>
                <w:rFonts w:ascii="Times New Roman" w:hAnsi="Times New Roman" w:cs="Times New Roman"/>
              </w:rPr>
              <w:br/>
              <w:t xml:space="preserve">1. uterine prolapse: applicable for patients with uterine prolapse.  </w:t>
            </w:r>
            <w:r w:rsidRPr="00CB2EC4">
              <w:rPr>
                <w:rFonts w:ascii="Times New Roman" w:hAnsi="Times New Roman" w:cs="Times New Roman"/>
              </w:rPr>
              <w:br/>
              <w:t xml:space="preserve">2. dysfunctional uterine bleeding: dysfunctional uterine bleeding refractory to conservative treatment.  </w:t>
            </w:r>
            <w:r w:rsidRPr="00CB2EC4">
              <w:rPr>
                <w:rFonts w:ascii="Times New Roman" w:hAnsi="Times New Roman" w:cs="Times New Roman"/>
              </w:rPr>
              <w:br/>
              <w:t xml:space="preserve">3. uterine benign tumors: such as uterine fibroids and other benign lesions.  </w:t>
            </w:r>
            <w:r w:rsidRPr="00CB2EC4">
              <w:rPr>
                <w:rFonts w:ascii="Times New Roman" w:hAnsi="Times New Roman" w:cs="Times New Roman"/>
              </w:rPr>
              <w:br/>
              <w:t xml:space="preserve">4. endometrial hyperplasia: abnormal proliferation of the endometrium.  </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the document also emphasizes contraindications, including severe pelvic adhesions, marked vaginal stenosis, uterine enlargement reaching or exceeding the size of a 3-month pregnancy, genital tract malignancies (not suitable for vaginal removal), and vaginal inflammation (requiring treatment before surgery). these indications are based on the safety and feasibility of the procedure, ensuring patient suitability for minimally invasive surgery.</w:t>
            </w:r>
          </w:p>
        </w:tc>
        <w:tc>
          <w:tcPr>
            <w:tcW w:w="1152" w:type="dxa"/>
            <w:vAlign w:val="center"/>
          </w:tcPr>
          <w:p w14:paraId="192FA1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344A7B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BE394B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392806C" w14:textId="77777777">
        <w:tc>
          <w:tcPr>
            <w:tcW w:w="2160" w:type="dxa"/>
            <w:vAlign w:val="center"/>
          </w:tcPr>
          <w:p w14:paraId="5B3FB3CB"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5E14C7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indications for laparoscopic-assisted vaginal hysterectomy (LAVH) include the following conditions (provided there is no pelvic adhesion):  </w:t>
            </w:r>
            <w:r w:rsidRPr="00CB2EC4">
              <w:rPr>
                <w:rFonts w:ascii="Times New Roman" w:hAnsi="Times New Roman" w:cs="Times New Roman"/>
              </w:rPr>
              <w:br/>
              <w:t xml:space="preserve">- (1) Uterine prolapse;  </w:t>
            </w:r>
            <w:r w:rsidRPr="00CB2EC4">
              <w:rPr>
                <w:rFonts w:ascii="Times New Roman" w:hAnsi="Times New Roman" w:cs="Times New Roman"/>
              </w:rPr>
              <w:br/>
              <w:t xml:space="preserve">- (2) Dysfunctional uterine bleeding refractory to conservative treatment;  </w:t>
            </w:r>
            <w:r w:rsidRPr="00CB2EC4">
              <w:rPr>
                <w:rFonts w:ascii="Times New Roman" w:hAnsi="Times New Roman" w:cs="Times New Roman"/>
              </w:rPr>
              <w:br/>
              <w:t xml:space="preserve">- (3) Benign uterine tumors;  </w:t>
            </w:r>
            <w:r w:rsidRPr="00CB2EC4">
              <w:rPr>
                <w:rFonts w:ascii="Times New Roman" w:hAnsi="Times New Roman" w:cs="Times New Roman"/>
              </w:rPr>
              <w:br/>
              <w:t xml:space="preserve">- (4) Endometrial hyperplasia.  </w:t>
            </w:r>
            <w:r w:rsidRPr="00CB2EC4">
              <w:rPr>
                <w:rFonts w:ascii="Times New Roman" w:hAnsi="Times New Roman" w:cs="Times New Roman"/>
              </w:rPr>
              <w:br/>
            </w:r>
            <w:r w:rsidRPr="00CB2EC4">
              <w:rPr>
                <w:rFonts w:ascii="Times New Roman" w:hAnsi="Times New Roman" w:cs="Times New Roman"/>
              </w:rPr>
              <w:br/>
              <w:t>LAVH is designed to expand the indications for vaginal hysterectomy, enabling patients who would otherwise require laparotomy to undergo the procedure more easily with laparoscopic assistance. However, patient safety must be prioritized.</w:t>
            </w:r>
          </w:p>
        </w:tc>
        <w:tc>
          <w:tcPr>
            <w:tcW w:w="1152" w:type="dxa"/>
            <w:vAlign w:val="center"/>
          </w:tcPr>
          <w:p w14:paraId="1F3E28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EA198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724A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667645A" w14:textId="77777777">
        <w:tc>
          <w:tcPr>
            <w:tcW w:w="2160" w:type="dxa"/>
            <w:vAlign w:val="center"/>
          </w:tcPr>
          <w:p w14:paraId="46557E0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8D1E295" w14:textId="77777777" w:rsidR="00922249" w:rsidRPr="00CB2EC4" w:rsidRDefault="003011D5">
            <w:pPr>
              <w:rPr>
                <w:rFonts w:ascii="Times New Roman" w:hAnsi="Times New Roman" w:cs="Times New Roman"/>
              </w:rPr>
            </w:pPr>
            <w:r w:rsidRPr="00CB2EC4">
              <w:rPr>
                <w:rFonts w:ascii="Times New Roman" w:hAnsi="Times New Roman" w:cs="Times New Roman"/>
              </w:rPr>
              <w:t>the indications for laparoscopic-assisted vaginal hysterectomy (LAVH) are as follows, and require the absence of pelvic adhesions:</w:t>
            </w:r>
            <w:r w:rsidRPr="00CB2EC4">
              <w:rPr>
                <w:rFonts w:ascii="Times New Roman" w:hAnsi="Times New Roman" w:cs="Times New Roman"/>
              </w:rPr>
              <w:br/>
              <w:t>1.  Uterine prolapse.</w:t>
            </w:r>
            <w:r w:rsidRPr="00CB2EC4">
              <w:rPr>
                <w:rFonts w:ascii="Times New Roman" w:hAnsi="Times New Roman" w:cs="Times New Roman"/>
              </w:rPr>
              <w:br/>
              <w:t>2.  Dysfunctional uterine bleeding refractory to conservative treatment.</w:t>
            </w:r>
            <w:r w:rsidRPr="00CB2EC4">
              <w:rPr>
                <w:rFonts w:ascii="Times New Roman" w:hAnsi="Times New Roman" w:cs="Times New Roman"/>
              </w:rPr>
              <w:br/>
              <w:t>3.  Benign uterine tumors.</w:t>
            </w:r>
            <w:r w:rsidRPr="00CB2EC4">
              <w:rPr>
                <w:rFonts w:ascii="Times New Roman" w:hAnsi="Times New Roman" w:cs="Times New Roman"/>
              </w:rPr>
              <w:br/>
              <w:t>4.  Endometrial hyperplasia.</w:t>
            </w:r>
            <w:r w:rsidRPr="00CB2EC4">
              <w:rPr>
                <w:rFonts w:ascii="Times New Roman" w:hAnsi="Times New Roman" w:cs="Times New Roman"/>
              </w:rPr>
              <w:br/>
            </w:r>
            <w:r w:rsidRPr="00CB2EC4">
              <w:rPr>
                <w:rFonts w:ascii="Times New Roman" w:hAnsi="Times New Roman" w:cs="Times New Roman"/>
              </w:rPr>
              <w:br/>
              <w:t xml:space="preserve">These indications apply to patients without severe </w:t>
            </w:r>
            <w:r w:rsidRPr="00CB2EC4">
              <w:rPr>
                <w:rFonts w:ascii="Times New Roman" w:hAnsi="Times New Roman" w:cs="Times New Roman"/>
              </w:rPr>
              <w:lastRenderedPageBreak/>
              <w:t>complications; contraindications such as severe pelvic adhesions or vaginal stenosis are also mentioned in the same section.</w:t>
            </w:r>
          </w:p>
        </w:tc>
        <w:tc>
          <w:tcPr>
            <w:tcW w:w="1152" w:type="dxa"/>
            <w:vAlign w:val="center"/>
          </w:tcPr>
          <w:p w14:paraId="06EE65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2C6B32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D430F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82C310" w14:textId="77777777">
        <w:tc>
          <w:tcPr>
            <w:tcW w:w="2160" w:type="dxa"/>
            <w:vAlign w:val="center"/>
          </w:tcPr>
          <w:p w14:paraId="37819B66"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2337592" w14:textId="77777777" w:rsidR="00922249" w:rsidRPr="00CB2EC4" w:rsidRDefault="003011D5">
            <w:pPr>
              <w:rPr>
                <w:rFonts w:ascii="Times New Roman" w:hAnsi="Times New Roman" w:cs="Times New Roman"/>
              </w:rPr>
            </w:pPr>
            <w:r w:rsidRPr="00CB2EC4">
              <w:rPr>
                <w:rFonts w:ascii="Times New Roman" w:hAnsi="Times New Roman" w:cs="Times New Roman"/>
              </w:rPr>
              <w:t>the indications for laparoscopic-assisted vaginal hysterectomy (LAVH) include:</w:t>
            </w:r>
            <w:r w:rsidRPr="00CB2EC4">
              <w:rPr>
                <w:rFonts w:ascii="Times New Roman" w:hAnsi="Times New Roman" w:cs="Times New Roman"/>
              </w:rPr>
              <w:br/>
            </w:r>
            <w:r w:rsidRPr="00CB2EC4">
              <w:rPr>
                <w:rFonts w:ascii="Times New Roman" w:hAnsi="Times New Roman" w:cs="Times New Roman"/>
              </w:rPr>
              <w:br/>
              <w:t xml:space="preserve">(1) Uterine prolapse;  </w:t>
            </w:r>
            <w:r w:rsidRPr="00CB2EC4">
              <w:rPr>
                <w:rFonts w:ascii="Times New Roman" w:hAnsi="Times New Roman" w:cs="Times New Roman"/>
              </w:rPr>
              <w:br/>
              <w:t xml:space="preserve">(2) Dysfunctional uterine bleeding refractory to conservative treatment;  </w:t>
            </w:r>
            <w:r w:rsidRPr="00CB2EC4">
              <w:rPr>
                <w:rFonts w:ascii="Times New Roman" w:hAnsi="Times New Roman" w:cs="Times New Roman"/>
              </w:rPr>
              <w:br/>
              <w:t xml:space="preserve">(3) Benign uterine tumors;  </w:t>
            </w:r>
            <w:r w:rsidRPr="00CB2EC4">
              <w:rPr>
                <w:rFonts w:ascii="Times New Roman" w:hAnsi="Times New Roman" w:cs="Times New Roman"/>
              </w:rPr>
              <w:br/>
              <w:t xml:space="preserve">(4) Endometrial hyperplasia;  </w:t>
            </w:r>
            <w:r w:rsidRPr="00CB2EC4">
              <w:rPr>
                <w:rFonts w:ascii="Times New Roman" w:hAnsi="Times New Roman" w:cs="Times New Roman"/>
              </w:rPr>
              <w:br/>
            </w:r>
            <w:r w:rsidRPr="00CB2EC4">
              <w:rPr>
                <w:rFonts w:ascii="Times New Roman" w:hAnsi="Times New Roman" w:cs="Times New Roman"/>
              </w:rPr>
              <w:br/>
              <w:t xml:space="preserve">provided that there is no pelvic adhesion.  </w:t>
            </w:r>
            <w:r w:rsidRPr="00CB2EC4">
              <w:rPr>
                <w:rFonts w:ascii="Times New Roman" w:hAnsi="Times New Roman" w:cs="Times New Roman"/>
              </w:rPr>
              <w:br/>
            </w:r>
            <w:r w:rsidRPr="00CB2EC4">
              <w:rPr>
                <w:rFonts w:ascii="Times New Roman" w:hAnsi="Times New Roman" w:cs="Times New Roman"/>
              </w:rPr>
              <w:br/>
              <w:t>(Note: Contraindications such as severe pelvic adhesions and vaginal stenosis must be excluded.)</w:t>
            </w:r>
          </w:p>
        </w:tc>
        <w:tc>
          <w:tcPr>
            <w:tcW w:w="1152" w:type="dxa"/>
            <w:vAlign w:val="center"/>
          </w:tcPr>
          <w:p w14:paraId="0B32098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A44F5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F83CE0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23F4A69" w14:textId="77777777">
        <w:tc>
          <w:tcPr>
            <w:tcW w:w="2160" w:type="dxa"/>
            <w:vAlign w:val="center"/>
          </w:tcPr>
          <w:p w14:paraId="4981EB91"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183700B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indications for laparoscopic-assisted vaginal hysterectomy (LAVH) are as follows, provided there is no pelvic adhesion:  </w:t>
            </w:r>
            <w:r w:rsidRPr="00CB2EC4">
              <w:rPr>
                <w:rFonts w:ascii="Times New Roman" w:hAnsi="Times New Roman" w:cs="Times New Roman"/>
              </w:rPr>
              <w:br/>
              <w:t xml:space="preserve">(1) uterine prolapse;  </w:t>
            </w:r>
            <w:r w:rsidRPr="00CB2EC4">
              <w:rPr>
                <w:rFonts w:ascii="Times New Roman" w:hAnsi="Times New Roman" w:cs="Times New Roman"/>
              </w:rPr>
              <w:br/>
              <w:t xml:space="preserve">(2) dysfunctional uterine bleeding refractory to conservative treatment;  </w:t>
            </w:r>
            <w:r w:rsidRPr="00CB2EC4">
              <w:rPr>
                <w:rFonts w:ascii="Times New Roman" w:hAnsi="Times New Roman" w:cs="Times New Roman"/>
              </w:rPr>
              <w:br/>
              <w:t xml:space="preserve">(3) benign uterine tumors (e.g., myomas);  </w:t>
            </w:r>
            <w:r w:rsidRPr="00CB2EC4">
              <w:rPr>
                <w:rFonts w:ascii="Times New Roman" w:hAnsi="Times New Roman" w:cs="Times New Roman"/>
              </w:rPr>
              <w:br/>
              <w:t>(4) endometrial hyperplasia.</w:t>
            </w:r>
          </w:p>
        </w:tc>
        <w:tc>
          <w:tcPr>
            <w:tcW w:w="1152" w:type="dxa"/>
            <w:vAlign w:val="center"/>
          </w:tcPr>
          <w:p w14:paraId="1122C9D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EA700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67C240D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04C579" w14:textId="77777777">
        <w:tc>
          <w:tcPr>
            <w:tcW w:w="2160" w:type="dxa"/>
            <w:vAlign w:val="center"/>
          </w:tcPr>
          <w:p w14:paraId="711655BD"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00E42B5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indications for laparoscopic-assisted vaginal hysterectomy (LAVH) include the following conditions (provided there is no pelvic adhesion):  </w:t>
            </w:r>
            <w:r w:rsidRPr="00CB2EC4">
              <w:rPr>
                <w:rFonts w:ascii="Times New Roman" w:hAnsi="Times New Roman" w:cs="Times New Roman"/>
              </w:rPr>
              <w:br/>
              <w:t xml:space="preserve">1. Uterine prolapse  </w:t>
            </w:r>
            <w:r w:rsidRPr="00CB2EC4">
              <w:rPr>
                <w:rFonts w:ascii="Times New Roman" w:hAnsi="Times New Roman" w:cs="Times New Roman"/>
              </w:rPr>
              <w:br/>
              <w:t xml:space="preserve">2. Dysfunctional uterine bleeding refractory to conservative treatment  </w:t>
            </w:r>
            <w:r w:rsidRPr="00CB2EC4">
              <w:rPr>
                <w:rFonts w:ascii="Times New Roman" w:hAnsi="Times New Roman" w:cs="Times New Roman"/>
              </w:rPr>
              <w:br/>
              <w:t xml:space="preserve">3. Benign uterine tumors  </w:t>
            </w:r>
            <w:r w:rsidRPr="00CB2EC4">
              <w:rPr>
                <w:rFonts w:ascii="Times New Roman" w:hAnsi="Times New Roman" w:cs="Times New Roman"/>
              </w:rPr>
              <w:br/>
              <w:t xml:space="preserve">4. Endometrial hyperplasia  </w:t>
            </w:r>
            <w:r w:rsidRPr="00CB2EC4">
              <w:rPr>
                <w:rFonts w:ascii="Times New Roman" w:hAnsi="Times New Roman" w:cs="Times New Roman"/>
              </w:rPr>
              <w:br/>
              <w:t xml:space="preserve">These indications apply to patients who might </w:t>
            </w:r>
            <w:r w:rsidRPr="00CB2EC4">
              <w:rPr>
                <w:rFonts w:ascii="Times New Roman" w:hAnsi="Times New Roman" w:cs="Times New Roman"/>
              </w:rPr>
              <w:lastRenderedPageBreak/>
              <w:t xml:space="preserve">otherwise require laparotomy, for whom laparoscopic assistance facilitates vaginal surgery.  </w:t>
            </w:r>
            <w:r w:rsidRPr="00CB2EC4">
              <w:rPr>
                <w:rFonts w:ascii="Times New Roman" w:hAnsi="Times New Roman" w:cs="Times New Roman"/>
              </w:rPr>
              <w:br/>
              <w:t>Reference: Document Fragment 6 explicitly lists: "1. Indications The following conditions in the absence of pelvic adhesions: (1) Uterine prolapse; (2) Dysfunctional uterine bleeding refractory to conservative treatment; (3) Benign uterine tumors; (4) Endometrial hyperplasia."</w:t>
            </w:r>
          </w:p>
        </w:tc>
        <w:tc>
          <w:tcPr>
            <w:tcW w:w="1152" w:type="dxa"/>
            <w:vAlign w:val="center"/>
          </w:tcPr>
          <w:p w14:paraId="4C5EC5C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AD626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498A52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0BDA7E" w14:textId="77777777">
        <w:tc>
          <w:tcPr>
            <w:tcW w:w="2160" w:type="dxa"/>
            <w:vAlign w:val="center"/>
          </w:tcPr>
          <w:p w14:paraId="551899E8"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BD5492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Section 6 Laparoscopically Assisted Vaginal Hysterectomy  </w:t>
            </w:r>
            <w:r w:rsidRPr="00CB2EC4">
              <w:rPr>
                <w:rFonts w:ascii="Times New Roman" w:hAnsi="Times New Roman" w:cs="Times New Roman"/>
              </w:rPr>
              <w:br/>
              <w:t xml:space="preserve">I. Indications (for patients without pelvic adhesions):  </w:t>
            </w:r>
            <w:r w:rsidRPr="00CB2EC4">
              <w:rPr>
                <w:rFonts w:ascii="Times New Roman" w:hAnsi="Times New Roman" w:cs="Times New Roman"/>
              </w:rPr>
              <w:br/>
              <w:t xml:space="preserve">- (1) Uterine prolapse;  </w:t>
            </w:r>
            <w:r w:rsidRPr="00CB2EC4">
              <w:rPr>
                <w:rFonts w:ascii="Times New Roman" w:hAnsi="Times New Roman" w:cs="Times New Roman"/>
              </w:rPr>
              <w:br/>
              <w:t xml:space="preserve">- (2) Dysfunctional uterine bleeding refractory to conservative treatment;  </w:t>
            </w:r>
            <w:r w:rsidRPr="00CB2EC4">
              <w:rPr>
                <w:rFonts w:ascii="Times New Roman" w:hAnsi="Times New Roman" w:cs="Times New Roman"/>
              </w:rPr>
              <w:br/>
              <w:t xml:space="preserve">- (3) Benign uterine tumors;  </w:t>
            </w:r>
            <w:r w:rsidRPr="00CB2EC4">
              <w:rPr>
                <w:rFonts w:ascii="Times New Roman" w:hAnsi="Times New Roman" w:cs="Times New Roman"/>
              </w:rPr>
              <w:br/>
              <w:t>- (4) Endometrial hyperplasia.</w:t>
            </w:r>
          </w:p>
        </w:tc>
        <w:tc>
          <w:tcPr>
            <w:tcW w:w="1152" w:type="dxa"/>
            <w:vAlign w:val="center"/>
          </w:tcPr>
          <w:p w14:paraId="306417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AF62F1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21788ED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EFEC73A" w14:textId="77777777">
        <w:tc>
          <w:tcPr>
            <w:tcW w:w="2160" w:type="dxa"/>
            <w:vAlign w:val="center"/>
          </w:tcPr>
          <w:p w14:paraId="46C9E333"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4A1DE3AF" w14:textId="77777777" w:rsidR="00922249" w:rsidRPr="00CB2EC4" w:rsidRDefault="003011D5">
            <w:pPr>
              <w:rPr>
                <w:rFonts w:ascii="Times New Roman" w:hAnsi="Times New Roman" w:cs="Times New Roman"/>
              </w:rPr>
            </w:pPr>
            <w:r w:rsidRPr="00CB2EC4">
              <w:rPr>
                <w:rFonts w:ascii="Times New Roman" w:hAnsi="Times New Roman" w:cs="Times New Roman"/>
              </w:rPr>
              <w:t>the indications for laparoscopic-assisted vaginal hysterectomy (LAVH) include the following conditions (requiring absence of pelvic adhesions):</w:t>
            </w:r>
            <w:r w:rsidRPr="00CB2EC4">
              <w:rPr>
                <w:rFonts w:ascii="Times New Roman" w:hAnsi="Times New Roman" w:cs="Times New Roman"/>
              </w:rPr>
              <w:br/>
              <w:t xml:space="preserve">1.  uterine prolapse  </w:t>
            </w:r>
            <w:r w:rsidRPr="00CB2EC4">
              <w:rPr>
                <w:rFonts w:ascii="Times New Roman" w:hAnsi="Times New Roman" w:cs="Times New Roman"/>
              </w:rPr>
              <w:br/>
              <w:t xml:space="preserve">2.  dysfunctional uterine bleeding refractory to conservative treatment  </w:t>
            </w:r>
            <w:r w:rsidRPr="00CB2EC4">
              <w:rPr>
                <w:rFonts w:ascii="Times New Roman" w:hAnsi="Times New Roman" w:cs="Times New Roman"/>
              </w:rPr>
              <w:br/>
              <w:t xml:space="preserve">3.  benign uterine tumors  </w:t>
            </w:r>
            <w:r w:rsidRPr="00CB2EC4">
              <w:rPr>
                <w:rFonts w:ascii="Times New Roman" w:hAnsi="Times New Roman" w:cs="Times New Roman"/>
              </w:rPr>
              <w:br/>
              <w:t xml:space="preserve">4.  endometrial hyperplasia  </w:t>
            </w:r>
            <w:r w:rsidRPr="00CB2EC4">
              <w:rPr>
                <w:rFonts w:ascii="Times New Roman" w:hAnsi="Times New Roman" w:cs="Times New Roman"/>
              </w:rPr>
              <w:br/>
              <w:t>(based on: Document Fragment 1)</w:t>
            </w:r>
          </w:p>
        </w:tc>
        <w:tc>
          <w:tcPr>
            <w:tcW w:w="1152" w:type="dxa"/>
            <w:vAlign w:val="center"/>
          </w:tcPr>
          <w:p w14:paraId="77B4875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B8FB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A9486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5EC7DE" w14:textId="77777777">
        <w:tc>
          <w:tcPr>
            <w:tcW w:w="2160" w:type="dxa"/>
            <w:vAlign w:val="center"/>
          </w:tcPr>
          <w:p w14:paraId="4F2DE100"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2E1D8A2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the indications for laparoscopic-assisted vaginal hysterectomy (LAVH) include the following conditions (provided there is no pelvic adhesion):  </w:t>
            </w:r>
            <w:r w:rsidRPr="00CB2EC4">
              <w:rPr>
                <w:rFonts w:ascii="Times New Roman" w:hAnsi="Times New Roman" w:cs="Times New Roman"/>
              </w:rPr>
              <w:br/>
              <w:t xml:space="preserve">1. Uterine prolapse.  </w:t>
            </w:r>
            <w:r w:rsidRPr="00CB2EC4">
              <w:rPr>
                <w:rFonts w:ascii="Times New Roman" w:hAnsi="Times New Roman" w:cs="Times New Roman"/>
              </w:rPr>
              <w:br/>
              <w:t xml:space="preserve">2. Dysfunctional uterine bleeding refractory to conservative treatment.  </w:t>
            </w:r>
            <w:r w:rsidRPr="00CB2EC4">
              <w:rPr>
                <w:rFonts w:ascii="Times New Roman" w:hAnsi="Times New Roman" w:cs="Times New Roman"/>
              </w:rPr>
              <w:br/>
              <w:t xml:space="preserve">3. Benign uterine tumors.  </w:t>
            </w:r>
            <w:r w:rsidRPr="00CB2EC4">
              <w:rPr>
                <w:rFonts w:ascii="Times New Roman" w:hAnsi="Times New Roman" w:cs="Times New Roman"/>
              </w:rPr>
              <w:br/>
              <w:t xml:space="preserve">4. Endometrial hyperplasia.  </w:t>
            </w:r>
            <w:r w:rsidRPr="00CB2EC4">
              <w:rPr>
                <w:rFonts w:ascii="Times New Roman" w:hAnsi="Times New Roman" w:cs="Times New Roman"/>
              </w:rPr>
              <w:br/>
            </w:r>
            <w:r w:rsidRPr="00CB2EC4">
              <w:rPr>
                <w:rFonts w:ascii="Times New Roman" w:hAnsi="Times New Roman" w:cs="Times New Roman"/>
              </w:rPr>
              <w:lastRenderedPageBreak/>
              <w:t>These indications emphasize that the patient must have no severe pelvic adhesions, vaginal stenosis, or other contraindications.</w:t>
            </w:r>
          </w:p>
        </w:tc>
        <w:tc>
          <w:tcPr>
            <w:tcW w:w="1152" w:type="dxa"/>
            <w:vAlign w:val="center"/>
          </w:tcPr>
          <w:p w14:paraId="3E4ABDA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459CF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6D33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CB67BFC" w14:textId="77777777">
        <w:tc>
          <w:tcPr>
            <w:tcW w:w="2160" w:type="dxa"/>
            <w:vAlign w:val="center"/>
          </w:tcPr>
          <w:p w14:paraId="1B2652DD"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28459924" w14:textId="77777777" w:rsidR="00922249" w:rsidRPr="00CB2EC4" w:rsidRDefault="003011D5">
            <w:pPr>
              <w:rPr>
                <w:rFonts w:ascii="Times New Roman" w:hAnsi="Times New Roman" w:cs="Times New Roman"/>
              </w:rPr>
            </w:pPr>
            <w:r w:rsidRPr="00CB2EC4">
              <w:rPr>
                <w:rFonts w:ascii="Times New Roman" w:hAnsi="Times New Roman" w:cs="Times New Roman"/>
              </w:rPr>
              <w:t>the indications for laparoscopic-assisted vaginal hysterectomy (LAVH) include benign uterine conditions such as uterine fibroids, adenomyosis, dysfunctional uterine bleeding, or benign endometrial lesions, in patients who are not suitable for vaginal hysterectomy alone (e.g., enlarged uterus, pelvic adhesions, or previous surgical history). additionally, for early cervical intraepithelial neoplasia (CIN) or low-risk endometrial lesions, LAVH may be considered after evaluation, provided progression to malignancy is excluded.</w:t>
            </w:r>
          </w:p>
        </w:tc>
        <w:tc>
          <w:tcPr>
            <w:tcW w:w="1152" w:type="dxa"/>
            <w:vAlign w:val="center"/>
          </w:tcPr>
          <w:p w14:paraId="1110BE0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A5755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1383A75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5A668E2" w14:textId="77777777">
        <w:tc>
          <w:tcPr>
            <w:tcW w:w="10656" w:type="dxa"/>
            <w:gridSpan w:val="5"/>
            <w:tcBorders>
              <w:bottom w:val="single" w:sz="6" w:space="0" w:color="auto"/>
            </w:tcBorders>
            <w:vAlign w:val="center"/>
          </w:tcPr>
          <w:p w14:paraId="3FBF36CF"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198: In a laparoscopically assisted vaginal hysterectomy (LAVH), after managing the round ligament and the infundibulopelvic ligament, how are the uterine vessels handled?</w:t>
            </w:r>
          </w:p>
        </w:tc>
      </w:tr>
      <w:tr w:rsidR="00922249" w:rsidRPr="00CB2EC4" w14:paraId="2657DEB7" w14:textId="77777777">
        <w:tc>
          <w:tcPr>
            <w:tcW w:w="2160" w:type="dxa"/>
            <w:vAlign w:val="center"/>
          </w:tcPr>
          <w:p w14:paraId="7C127D17"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C55D722" w14:textId="77777777" w:rsidR="00922249" w:rsidRPr="00CB2EC4" w:rsidRDefault="003011D5">
            <w:pPr>
              <w:rPr>
                <w:rFonts w:ascii="Times New Roman" w:hAnsi="Times New Roman" w:cs="Times New Roman"/>
              </w:rPr>
            </w:pPr>
            <w:r w:rsidRPr="00CB2EC4">
              <w:rPr>
                <w:rFonts w:ascii="Times New Roman" w:hAnsi="Times New Roman" w:cs="Times New Roman"/>
              </w:rPr>
              <w:t>after the round ligaments and pelvic infundibular ligaments have been managed, the uterine vessels are handled by clamping, cutting, and ligating them:</w:t>
            </w:r>
            <w:r w:rsidRPr="00CB2EC4">
              <w:rPr>
                <w:rFonts w:ascii="Times New Roman" w:hAnsi="Times New Roman" w:cs="Times New Roman"/>
              </w:rPr>
              <w:br/>
              <w:t>- Document description: “Following the procedural steps, the next is management of the uterosacral ligaments and uterine vessels, which involves clamping, cutting, and ligating.”</w:t>
            </w:r>
            <w:r w:rsidRPr="00CB2EC4">
              <w:rPr>
                <w:rFonts w:ascii="Times New Roman" w:hAnsi="Times New Roman" w:cs="Times New Roman"/>
              </w:rPr>
              <w:br/>
              <w:t>- Specific operative steps include: visually identifying the uterine vessels to avoid ureteral injury, and using instruments such as titanium clip appliers to perform ligation and transection (refer to the description of Figure 17-12).</w:t>
            </w:r>
            <w:r w:rsidRPr="00CB2EC4">
              <w:rPr>
                <w:rFonts w:ascii="Times New Roman" w:hAnsi="Times New Roman" w:cs="Times New Roman"/>
              </w:rPr>
              <w:br/>
              <w:t>Therefore, the method is: clamp the uterine vessels, transect them, and ligate to ensure hemostasis.</w:t>
            </w:r>
          </w:p>
        </w:tc>
        <w:tc>
          <w:tcPr>
            <w:tcW w:w="1152" w:type="dxa"/>
            <w:vAlign w:val="center"/>
          </w:tcPr>
          <w:p w14:paraId="342B364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78CD1B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6FABA14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2F423B24" w14:textId="77777777">
        <w:tc>
          <w:tcPr>
            <w:tcW w:w="2160" w:type="dxa"/>
            <w:vAlign w:val="center"/>
          </w:tcPr>
          <w:p w14:paraId="1407E0EF"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0D4CEB1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completing the round ligament and the infundibulopelvic ligament during laparoscopic-assisted vaginal hysterectomy (LAVH), the </w:t>
            </w:r>
            <w:r w:rsidRPr="00CB2EC4">
              <w:rPr>
                <w:rFonts w:ascii="Times New Roman" w:hAnsi="Times New Roman" w:cs="Times New Roman"/>
              </w:rPr>
              <w:lastRenderedPageBreak/>
              <w:t>management of the uterine vessels depends on the degree of pelvic floor relaxation and the surgeon's experience, with options for laparoscopic or vaginal approach:</w:t>
            </w:r>
            <w:r w:rsidRPr="00CB2EC4">
              <w:rPr>
                <w:rFonts w:ascii="Times New Roman" w:hAnsi="Times New Roman" w:cs="Times New Roman"/>
              </w:rPr>
              <w:br/>
            </w:r>
            <w:r w:rsidRPr="00CB2EC4">
              <w:rPr>
                <w:rFonts w:ascii="Times New Roman" w:hAnsi="Times New Roman" w:cs="Times New Roman"/>
              </w:rPr>
              <w:br/>
              <w:t>- Document fragment 7 (block ID 989, topic: laparoscopic management of uterine vessels) states: "After completing the above steps (referring to the round ligament and infundibulopelvic ligament), all supporting tissues connecting the uterus and adnexa are severed... If the patient has significant pelvic floor relaxation and the uterine vessels are easily accessible vaginally, there is no need to manage them laparoscopically... However, if the pelvic floor is not relaxed and vaginal exposure is limited, laparoscopic management of the uterine vessels is more reliable." The specific method includes: "clipping the uterine vessels with titanium clips and then dividing them."</w:t>
            </w:r>
            <w:r w:rsidRPr="00CB2EC4">
              <w:rPr>
                <w:rFonts w:ascii="Times New Roman" w:hAnsi="Times New Roman" w:cs="Times New Roman"/>
              </w:rPr>
              <w:br/>
            </w:r>
            <w:r w:rsidRPr="00CB2EC4">
              <w:rPr>
                <w:rFonts w:ascii="Times New Roman" w:hAnsi="Times New Roman" w:cs="Times New Roman"/>
              </w:rPr>
              <w:br/>
              <w:t>- Document fragment 6 (block ID 988, topic: laparoscopic-assisted vaginal hysterectomy) notes that conversion to vaginal approach is appropriate when needed: "The surgeon should not insist on performing every step laparoscopically... Managing the main and uterosacral ligaments and the uterine artery vaginally... is much easier than doing so laparoscopically."</w:t>
            </w:r>
            <w:r w:rsidRPr="00CB2EC4">
              <w:rPr>
                <w:rFonts w:ascii="Times New Roman" w:hAnsi="Times New Roman" w:cs="Times New Roman"/>
              </w:rPr>
              <w:br/>
            </w:r>
            <w:r w:rsidRPr="00CB2EC4">
              <w:rPr>
                <w:rFonts w:ascii="Times New Roman" w:hAnsi="Times New Roman" w:cs="Times New Roman"/>
              </w:rPr>
              <w:br/>
              <w:t>In summary, for uterine vessel management:</w:t>
            </w:r>
            <w:r w:rsidRPr="00CB2EC4">
              <w:rPr>
                <w:rFonts w:ascii="Times New Roman" w:hAnsi="Times New Roman" w:cs="Times New Roman"/>
              </w:rPr>
              <w:br/>
              <w:t>- If pelvic floor is relaxed and vaginal exposure is adequate, prioritize vaginal approach (e.g., clamping, cutting, and ligating).</w:t>
            </w:r>
            <w:r w:rsidRPr="00CB2EC4">
              <w:rPr>
                <w:rFonts w:ascii="Times New Roman" w:hAnsi="Times New Roman" w:cs="Times New Roman"/>
              </w:rPr>
              <w:br/>
              <w:t xml:space="preserve">- If pelvic floor is not relaxed or exposure is difficult, manage laparoscopically using titanium clip appliers </w:t>
            </w:r>
            <w:r w:rsidRPr="00CB2EC4">
              <w:rPr>
                <w:rFonts w:ascii="Times New Roman" w:hAnsi="Times New Roman" w:cs="Times New Roman"/>
              </w:rPr>
              <w:lastRenderedPageBreak/>
              <w:t>to clip and divide the vessels.</w:t>
            </w:r>
          </w:p>
        </w:tc>
        <w:tc>
          <w:tcPr>
            <w:tcW w:w="1152" w:type="dxa"/>
            <w:vAlign w:val="center"/>
          </w:tcPr>
          <w:p w14:paraId="5AE4C3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3B4A6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A15B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5DAA8FA" w14:textId="77777777">
        <w:tc>
          <w:tcPr>
            <w:tcW w:w="2160" w:type="dxa"/>
            <w:vAlign w:val="center"/>
          </w:tcPr>
          <w:p w14:paraId="1AE3A4C7"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Context Compression</w:t>
            </w:r>
          </w:p>
        </w:tc>
        <w:tc>
          <w:tcPr>
            <w:tcW w:w="5040" w:type="dxa"/>
            <w:vAlign w:val="center"/>
          </w:tcPr>
          <w:p w14:paraId="2A3531D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the round ligaments and infundibulopelvic ligaments have been managed, the approach to the uterine vessels depends on the degree of pelvic floor relaxation and the exposure conditions.  </w:t>
            </w:r>
            <w:r w:rsidRPr="00CB2EC4">
              <w:rPr>
                <w:rFonts w:ascii="Times New Roman" w:hAnsi="Times New Roman" w:cs="Times New Roman"/>
              </w:rPr>
              <w:br/>
            </w:r>
            <w:r w:rsidRPr="00CB2EC4">
              <w:rPr>
                <w:rFonts w:ascii="Times New Roman" w:hAnsi="Times New Roman" w:cs="Times New Roman"/>
              </w:rPr>
              <w:br/>
              <w:t xml:space="preserve">- If the patient has a relaxed pelvic floor and the uterine vessels can be easily exposed transvaginally, there is no need to manage the uterine vessels laparoscopically. They may be handled vaginally (e.g., clamped, divided, and ligated).  </w:t>
            </w:r>
            <w:r w:rsidRPr="00CB2EC4">
              <w:rPr>
                <w:rFonts w:ascii="Times New Roman" w:hAnsi="Times New Roman" w:cs="Times New Roman"/>
              </w:rPr>
              <w:br/>
              <w:t xml:space="preserve">- If the pelvic floor is not relaxed or vaginal exposure is limited, managing the uterine vessels laparoscopically is more reliable, while the vaginal surgeon handles the vaginal portion. If the surgeon plans to ligate the uterine vessels laparoscopically, the anterior and posterior leaves of the broad ligament should be further separated.  </w:t>
            </w:r>
            <w:r w:rsidRPr="00CB2EC4">
              <w:rPr>
                <w:rFonts w:ascii="Times New Roman" w:hAnsi="Times New Roman" w:cs="Times New Roman"/>
              </w:rPr>
              <w:br/>
            </w:r>
            <w:r w:rsidRPr="00CB2EC4">
              <w:rPr>
                <w:rFonts w:ascii="Times New Roman" w:hAnsi="Times New Roman" w:cs="Times New Roman"/>
              </w:rPr>
              <w:br/>
              <w:t xml:space="preserve">Specifically:  </w:t>
            </w:r>
            <w:r w:rsidRPr="00CB2EC4">
              <w:rPr>
                <w:rFonts w:ascii="Times New Roman" w:hAnsi="Times New Roman" w:cs="Times New Roman"/>
              </w:rPr>
              <w:br/>
              <w:t xml:space="preserve">- Dissect and divide the uterine artery.  </w:t>
            </w:r>
            <w:r w:rsidRPr="00CB2EC4">
              <w:rPr>
                <w:rFonts w:ascii="Times New Roman" w:hAnsi="Times New Roman" w:cs="Times New Roman"/>
              </w:rPr>
              <w:br/>
              <w:t>- Dissect, ligate the uterine deep vein.</w:t>
            </w:r>
          </w:p>
        </w:tc>
        <w:tc>
          <w:tcPr>
            <w:tcW w:w="1152" w:type="dxa"/>
            <w:vAlign w:val="center"/>
          </w:tcPr>
          <w:p w14:paraId="55C522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D2007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4168358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B3B769C" w14:textId="77777777">
        <w:tc>
          <w:tcPr>
            <w:tcW w:w="2160" w:type="dxa"/>
            <w:vAlign w:val="center"/>
          </w:tcPr>
          <w:p w14:paraId="4091615A"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24508E1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handling the round ligament and the pelvic infundibulopelvic ligament during a laparoscopic-assisted vaginal hysterectomy (LAVH), the uterine vessels are managed by laparoscopic exposure followed by coagulation or ligation. the specific steps include: opening the anterior and posterior leaves of the broad ligament, incising the vesicouterine peritoneal reflection, dissecting the vesicouterine space to expose the uterine vessels; then, at the level of the uterine isthmus, the uterine vessels are coagulated or ligated using electrocautery (e.g., </w:t>
            </w:r>
            <w:r w:rsidRPr="00CB2EC4">
              <w:rPr>
                <w:rFonts w:ascii="Times New Roman" w:hAnsi="Times New Roman" w:cs="Times New Roman"/>
              </w:rPr>
              <w:lastRenderedPageBreak/>
              <w:t>bipolar) or instruments (e.g., EndoGIA). if vaginal exposure is adequate, the procedure may transition to a vaginal approach, though laparoscopic management is more common.</w:t>
            </w:r>
            <w:r w:rsidRPr="00CB2EC4">
              <w:rPr>
                <w:rFonts w:ascii="Times New Roman" w:hAnsi="Times New Roman" w:cs="Times New Roman"/>
              </w:rPr>
              <w:br/>
            </w:r>
            <w:r w:rsidRPr="00CB2EC4">
              <w:rPr>
                <w:rFonts w:ascii="Times New Roman" w:hAnsi="Times New Roman" w:cs="Times New Roman"/>
              </w:rPr>
              <w:br/>
              <w:t>- source analysis:</w:t>
            </w:r>
            <w:r w:rsidRPr="00CB2EC4">
              <w:rPr>
                <w:rFonts w:ascii="Times New Roman" w:hAnsi="Times New Roman" w:cs="Times New Roman"/>
              </w:rPr>
              <w:br/>
              <w:t xml:space="preserve">  - knowledge base document: in the surgical steps section for "laparoscopic-assisted vaginal hysterectomy," it states: "after handling the round ligament and pelvic infundibulopelvic ligament, open the broad ligament (fig. 17-8), incise the vesicouterine peritoneal reflection (fig. 17-9), dissect the lower vesicouterine space to expose the lower uterine segment and cervix... if the surgeon plans to ligate the uterine vessels laparoscopically, the anterior and posterior leaves of the broad ligament should be further dissected." it emphasizes choosing a laparoscopic or vaginal approach based on exposure, but laparoscopic management is more reliable.</w:t>
            </w:r>
            <w:r w:rsidRPr="00CB2EC4">
              <w:rPr>
                <w:rFonts w:ascii="Times New Roman" w:hAnsi="Times New Roman" w:cs="Times New Roman"/>
              </w:rPr>
              <w:br/>
              <w:t xml:space="preserve">  - web search results: explicitly state in LAVH steps: "manage the uterine vessels: continue dissecting the posterior leaf of the broad ligament downward to expose the uterine arteries and veins, and coagulate the uterine vessels at the level of the uterine isthmus." web sources also mention using electrocautery or robotic assistance for coagulation.</w:t>
            </w:r>
            <w:r w:rsidRPr="00CB2EC4">
              <w:rPr>
                <w:rFonts w:ascii="Times New Roman" w:hAnsi="Times New Roman" w:cs="Times New Roman"/>
              </w:rPr>
              <w:br/>
              <w:t xml:space="preserve">  - integrated information: the knowledge base provides detailed steps and conditional factors (exposure), while web results supplement technical details (coagulation site and method). both are consistent with no contradictions. the standard method is laparoscopic coagulation to reduce complication risks.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professional summary: the sequence is: after handling the round ligament and infundibulopelvic ligament → open the broad ligament and vesicouterine peritoneal reflection → dissect the space to expose the uterine vessels → perform laparoscopic coagulation or ligation (at the uterine isthmus level). intraoperative assessment of adequate vaginal exposure may allow transition to vaginal management, but the context indicates laparoscopic handling as the standard approach.</w:t>
            </w:r>
          </w:p>
        </w:tc>
        <w:tc>
          <w:tcPr>
            <w:tcW w:w="1152" w:type="dxa"/>
            <w:vAlign w:val="center"/>
          </w:tcPr>
          <w:p w14:paraId="4166E9E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427566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42B467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86E85F8" w14:textId="77777777">
        <w:tc>
          <w:tcPr>
            <w:tcW w:w="2160" w:type="dxa"/>
            <w:vAlign w:val="center"/>
          </w:tcPr>
          <w:p w14:paraId="134212AB"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68D2F55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the round ligament and the infundibulopelvic ligament have been managed, the approach to the uterine vessels depends on pelvic floor relaxation and vaginal exposure.  </w:t>
            </w:r>
            <w:r w:rsidRPr="00CB2EC4">
              <w:rPr>
                <w:rFonts w:ascii="Times New Roman" w:hAnsi="Times New Roman" w:cs="Times New Roman"/>
              </w:rPr>
              <w:br/>
            </w:r>
            <w:r w:rsidRPr="00CB2EC4">
              <w:rPr>
                <w:rFonts w:ascii="Times New Roman" w:hAnsi="Times New Roman" w:cs="Times New Roman"/>
              </w:rPr>
              <w:br/>
              <w:t xml:space="preserve">according to section 6 (laparoscopically assisted vaginal hysterectomy) and fragment 14 (surgical techniques), following division and ligation of the round ligament and infundibulopelvic ligament (typically using titanium clips or an EndoGIA stapler), the procedure proceeds to uterine vessel management.  </w:t>
            </w:r>
            <w:r w:rsidRPr="00CB2EC4">
              <w:rPr>
                <w:rFonts w:ascii="Times New Roman" w:hAnsi="Times New Roman" w:cs="Times New Roman"/>
              </w:rPr>
              <w:br/>
            </w:r>
            <w:r w:rsidRPr="00CB2EC4">
              <w:rPr>
                <w:rFonts w:ascii="Times New Roman" w:hAnsi="Times New Roman" w:cs="Times New Roman"/>
              </w:rPr>
              <w:br/>
              <w:t xml:space="preserve">if the patient has significant pelvic floor relaxation and adequate vaginal exposure, the uterine vessels should be managed vaginally, as this approach is more direct and associated with fewer complications.  </w:t>
            </w:r>
            <w:r w:rsidRPr="00CB2EC4">
              <w:rPr>
                <w:rFonts w:ascii="Times New Roman" w:hAnsi="Times New Roman" w:cs="Times New Roman"/>
              </w:rPr>
              <w:br/>
            </w:r>
            <w:r w:rsidRPr="00CB2EC4">
              <w:rPr>
                <w:rFonts w:ascii="Times New Roman" w:hAnsi="Times New Roman" w:cs="Times New Roman"/>
              </w:rPr>
              <w:br/>
              <w:t xml:space="preserve">however, if vaginal exposure is limited (e.g., due to poor pelvic floor relaxation), the uterine vessels are managed laparoscopically: the anterior and posterior leaves of the broad ligament are further dissected to expose the uterine vessels, which are then transversely clipped, ligated, and divided using laparoscopic instruments (such as a clip applier or EndoGIA).  </w:t>
            </w:r>
            <w:r w:rsidRPr="00CB2EC4">
              <w:rPr>
                <w:rFonts w:ascii="Times New Roman" w:hAnsi="Times New Roman" w:cs="Times New Roman"/>
              </w:rPr>
              <w:br/>
            </w:r>
            <w:r w:rsidRPr="00CB2EC4">
              <w:rPr>
                <w:rFonts w:ascii="Times New Roman" w:hAnsi="Times New Roman" w:cs="Times New Roman"/>
              </w:rPr>
              <w:lastRenderedPageBreak/>
              <w:br/>
              <w:t>fragment 5 states: “if the patient’s pelvic floor is not very relaxed and vaginal exposure is limited, manage the uterine vessels laparoscopically; the vaginal surgeon handles the vaginal portion. this is more reliable.” this emphasizes the need to adapt the method to ensure safety.</w:t>
            </w:r>
          </w:p>
        </w:tc>
        <w:tc>
          <w:tcPr>
            <w:tcW w:w="1152" w:type="dxa"/>
            <w:vAlign w:val="center"/>
          </w:tcPr>
          <w:p w14:paraId="001B3F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0569E5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60567D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F75BE44" w14:textId="77777777">
        <w:tc>
          <w:tcPr>
            <w:tcW w:w="2160" w:type="dxa"/>
            <w:vAlign w:val="center"/>
          </w:tcPr>
          <w:p w14:paraId="63163829"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6675582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the round ligament and the infundibulopelvic ligament have been managed (typically divided and stapled using an EndoGIA or similar device), the uterine vessels are handled as follows:  </w:t>
            </w:r>
            <w:r w:rsidRPr="00CB2EC4">
              <w:rPr>
                <w:rFonts w:ascii="Times New Roman" w:hAnsi="Times New Roman" w:cs="Times New Roman"/>
              </w:rPr>
              <w:br/>
              <w:t xml:space="preserve">- The anterior and posterior leaves of the broad ligament require further dissection to expose the uterine vessels.  </w:t>
            </w:r>
            <w:r w:rsidRPr="00CB2EC4">
              <w:rPr>
                <w:rFonts w:ascii="Times New Roman" w:hAnsi="Times New Roman" w:cs="Times New Roman"/>
              </w:rPr>
              <w:br/>
              <w:t xml:space="preserve">- Under direct visualization, the uterine vessels are clipped and ligated using a titanium clip applicator (e.g., EndoGIA), then divided.  </w:t>
            </w:r>
            <w:r w:rsidRPr="00CB2EC4">
              <w:rPr>
                <w:rFonts w:ascii="Times New Roman" w:hAnsi="Times New Roman" w:cs="Times New Roman"/>
              </w:rPr>
              <w:br/>
              <w:t>The documentation emphasizes that this method (titanium staple ligation followed by division) is more reliable than looping or bipolar electrocoagulation, especially when pelvic floor laxity is insufficient, as laparoscopic management reduces the risk of complications.</w:t>
            </w:r>
          </w:p>
        </w:tc>
        <w:tc>
          <w:tcPr>
            <w:tcW w:w="1152" w:type="dxa"/>
            <w:vAlign w:val="center"/>
          </w:tcPr>
          <w:p w14:paraId="3EC3D9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7A7C4E6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0DD8C1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7D2F674F" w14:textId="77777777">
        <w:tc>
          <w:tcPr>
            <w:tcW w:w="2160" w:type="dxa"/>
            <w:vAlign w:val="center"/>
          </w:tcPr>
          <w:p w14:paraId="73112824"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743DED6D" w14:textId="77777777" w:rsidR="00922249" w:rsidRPr="00CB2EC4" w:rsidRDefault="003011D5">
            <w:pPr>
              <w:rPr>
                <w:rFonts w:ascii="Times New Roman" w:hAnsi="Times New Roman" w:cs="Times New Roman"/>
              </w:rPr>
            </w:pPr>
            <w:r w:rsidRPr="00CB2EC4">
              <w:rPr>
                <w:rFonts w:ascii="Times New Roman" w:hAnsi="Times New Roman" w:cs="Times New Roman"/>
              </w:rPr>
              <w:t>after the round ligament and the infundibulopelvic ligament have been managed during laparoscopic-assisted vaginal hysterectomy (LAVH), the approach to the uterine vessels depends on the degree of pelvic floor relaxation and vaginal exposure ([HyDE similarity: 0.504] and [HyDE similarity: 0.495]):</w:t>
            </w:r>
            <w:r w:rsidRPr="00CB2EC4">
              <w:rPr>
                <w:rFonts w:ascii="Times New Roman" w:hAnsi="Times New Roman" w:cs="Times New Roman"/>
              </w:rPr>
              <w:br/>
              <w:t xml:space="preserve">- If the pelvic floor is relaxed and the uterine vessels are easily exposed vaginally, prioritize vaginal management of the uterine vessels to avoid complications associated with laparoscopic </w:t>
            </w:r>
            <w:r w:rsidRPr="00CB2EC4">
              <w:rPr>
                <w:rFonts w:ascii="Times New Roman" w:hAnsi="Times New Roman" w:cs="Times New Roman"/>
              </w:rPr>
              <w:lastRenderedPageBreak/>
              <w:t>manipulation.</w:t>
            </w:r>
            <w:r w:rsidRPr="00CB2EC4">
              <w:rPr>
                <w:rFonts w:ascii="Times New Roman" w:hAnsi="Times New Roman" w:cs="Times New Roman"/>
              </w:rPr>
              <w:br/>
              <w:t>- If the pelvic floor is not relaxed and vaginal exposure is limited, manage the vessels laparoscopically: expose the uterine vessels (noting the position of the ureter), perform blunt and sharp dissection using curved scissors or a dissector, then transect the uterine vessels under direct vision using titanium clip appliers to clamp and divide them (as described: "should be clamped with titanium clip appliers and divided under direct vision (Fig. 17-12)").</w:t>
            </w:r>
            <w:r w:rsidRPr="00CB2EC4">
              <w:rPr>
                <w:rFonts w:ascii="Times New Roman" w:hAnsi="Times New Roman" w:cs="Times New Roman"/>
              </w:rPr>
              <w:br/>
              <w:t>- The document emphasizes that during laparoscopic management, the anterior and posterior leaves of the broad ligament must be further separated to ensure reliable hemostasis.</w:t>
            </w:r>
          </w:p>
        </w:tc>
        <w:tc>
          <w:tcPr>
            <w:tcW w:w="1152" w:type="dxa"/>
            <w:vAlign w:val="center"/>
          </w:tcPr>
          <w:p w14:paraId="06CA74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FE9B62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3FD082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E60864" w14:textId="77777777">
        <w:tc>
          <w:tcPr>
            <w:tcW w:w="2160" w:type="dxa"/>
            <w:vAlign w:val="center"/>
          </w:tcPr>
          <w:p w14:paraId="1E9B2E0C"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42424F03"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the round ligaments and pelvic infundibular ligaments have been processed (e.g., divided using EndoGIA), the management of the uterine vessels depends on the degree of pelvic floor relaxation and vaginal exposure:  </w:t>
            </w:r>
            <w:r w:rsidRPr="00CB2EC4">
              <w:rPr>
                <w:rFonts w:ascii="Times New Roman" w:hAnsi="Times New Roman" w:cs="Times New Roman"/>
              </w:rPr>
              <w:br/>
              <w:t xml:space="preserve">- if the patient has pelvic floor relaxation and good vaginal exposure, vaginal approach for handling the uterine vessels—including clamping, cutting, and ligating—is recommended, as it is significantly easier and safer than laparoscopic management (fragment 6: "Handling the cardinal, uterosacral ligaments, and uterine artery vaginally... is much easier than doing so laparoscopically").  </w:t>
            </w:r>
            <w:r w:rsidRPr="00CB2EC4">
              <w:rPr>
                <w:rFonts w:ascii="Times New Roman" w:hAnsi="Times New Roman" w:cs="Times New Roman"/>
              </w:rPr>
              <w:br/>
              <w:t xml:space="preserve">- if vaginal exposure is limited (e.g., due to inadequate pelvic floor relaxation), the uterine vessels should be managed laparoscopically by further dissecting the anterior and posterior leaves of the broad ligament to expose the uterine vessels, then ligating and dividing them using titanium clips (such as EndoGIA) or </w:t>
            </w:r>
            <w:r w:rsidRPr="00CB2EC4">
              <w:rPr>
                <w:rFonts w:ascii="Times New Roman" w:hAnsi="Times New Roman" w:cs="Times New Roman"/>
              </w:rPr>
              <w:lastRenderedPageBreak/>
              <w:t xml:space="preserve">electrocoagulation (fragment 20).  </w:t>
            </w:r>
            <w:r w:rsidRPr="00CB2EC4">
              <w:rPr>
                <w:rFonts w:ascii="Times New Roman" w:hAnsi="Times New Roman" w:cs="Times New Roman"/>
              </w:rPr>
              <w:br/>
              <w:t xml:space="preserve">the document also cautions against excessive dissection of the uterine artery laparoscopically to avoid traction injury during vaginal manipulation (fragment 4).  </w:t>
            </w:r>
            <w:r w:rsidRPr="00CB2EC4">
              <w:rPr>
                <w:rFonts w:ascii="Times New Roman" w:hAnsi="Times New Roman" w:cs="Times New Roman"/>
              </w:rPr>
              <w:br/>
              <w:t>answer: after processing the round ligaments and pelvic infundibular ligaments, management of the uterine vessels is determined by vaginal exposure: if exposure is adequate, clamp, cut, and ligate vaginally; if exposure is limited, dissect the broad ligament laparoscopically, expose the vessels, and ligate and divide them using titanium clip appliers or electrocoagulation.</w:t>
            </w:r>
          </w:p>
        </w:tc>
        <w:tc>
          <w:tcPr>
            <w:tcW w:w="1152" w:type="dxa"/>
            <w:vAlign w:val="center"/>
          </w:tcPr>
          <w:p w14:paraId="04DDF8F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2A4CB2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712BCE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75D338B" w14:textId="77777777">
        <w:tc>
          <w:tcPr>
            <w:tcW w:w="2160" w:type="dxa"/>
            <w:vAlign w:val="center"/>
          </w:tcPr>
          <w:p w14:paraId="47DCC4B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7B725E0A"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cutting the round ligament and the infundibulopelvic ligament (e.g., using EndoGIA or ultrasonic scalpel),  </w:t>
            </w:r>
            <w:r w:rsidRPr="00CB2EC4">
              <w:rPr>
                <w:rFonts w:ascii="Times New Roman" w:hAnsi="Times New Roman" w:cs="Times New Roman"/>
              </w:rPr>
              <w:br/>
              <w:t xml:space="preserve">the uterine vessels are managed as follows:  </w:t>
            </w:r>
            <w:r w:rsidRPr="00CB2EC4">
              <w:rPr>
                <w:rFonts w:ascii="Times New Roman" w:hAnsi="Times New Roman" w:cs="Times New Roman"/>
              </w:rPr>
              <w:br/>
              <w:t xml:space="preserve">- If the pelvic floor is relaxed and vaginal exposure is adequate:  </w:t>
            </w:r>
            <w:r w:rsidRPr="00CB2EC4">
              <w:rPr>
                <w:rFonts w:ascii="Times New Roman" w:hAnsi="Times New Roman" w:cs="Times New Roman"/>
              </w:rPr>
              <w:br/>
              <w:t xml:space="preserve">  → Switch to vaginal approach.  </w:t>
            </w:r>
            <w:r w:rsidRPr="00CB2EC4">
              <w:rPr>
                <w:rFonts w:ascii="Times New Roman" w:hAnsi="Times New Roman" w:cs="Times New Roman"/>
              </w:rPr>
              <w:br/>
              <w:t xml:space="preserve">  → Directly clamp, cut, and ligate the uterine vessels.  </w:t>
            </w:r>
            <w:r w:rsidRPr="00CB2EC4">
              <w:rPr>
                <w:rFonts w:ascii="Times New Roman" w:hAnsi="Times New Roman" w:cs="Times New Roman"/>
              </w:rPr>
              <w:br/>
              <w:t xml:space="preserve">- If vaginal exposure is limited:  </w:t>
            </w:r>
            <w:r w:rsidRPr="00CB2EC4">
              <w:rPr>
                <w:rFonts w:ascii="Times New Roman" w:hAnsi="Times New Roman" w:cs="Times New Roman"/>
              </w:rPr>
              <w:br/>
              <w:t xml:space="preserve">  → Continue laparoscopically.  </w:t>
            </w:r>
            <w:r w:rsidRPr="00CB2EC4">
              <w:rPr>
                <w:rFonts w:ascii="Times New Roman" w:hAnsi="Times New Roman" w:cs="Times New Roman"/>
              </w:rPr>
              <w:br/>
              <w:t xml:space="preserve">  → Separate the anterior and posterior leaves of the broad ligament to expose the uterine vessels.  </w:t>
            </w:r>
            <w:r w:rsidRPr="00CB2EC4">
              <w:rPr>
                <w:rFonts w:ascii="Times New Roman" w:hAnsi="Times New Roman" w:cs="Times New Roman"/>
              </w:rPr>
              <w:br/>
              <w:t xml:space="preserve">  → Clamp with titanium clips or coagulate with bipolar energy to achieve hemostasis, then cut.  </w:t>
            </w:r>
            <w:r w:rsidRPr="00CB2EC4">
              <w:rPr>
                <w:rFonts w:ascii="Times New Roman" w:hAnsi="Times New Roman" w:cs="Times New Roman"/>
              </w:rPr>
              <w:br/>
            </w:r>
            <w:r w:rsidRPr="00CB2EC4">
              <w:rPr>
                <w:rFonts w:ascii="Times New Roman" w:hAnsi="Times New Roman" w:cs="Times New Roman"/>
              </w:rPr>
              <w:br/>
              <w:t>The document emphasizes that laparoscopic management should not be forced; safety and minimal tissue injury are the priority principles.</w:t>
            </w:r>
          </w:p>
        </w:tc>
        <w:tc>
          <w:tcPr>
            <w:tcW w:w="1152" w:type="dxa"/>
            <w:vAlign w:val="center"/>
          </w:tcPr>
          <w:p w14:paraId="6D8E981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6ECC1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F980DF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EDEEB98" w14:textId="77777777">
        <w:tc>
          <w:tcPr>
            <w:tcW w:w="2160" w:type="dxa"/>
            <w:vAlign w:val="center"/>
          </w:tcPr>
          <w:p w14:paraId="5D8F41C6"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5BDB2072"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handling the round ligament and the infundibulopelvic ligament in a laparoscopic-assisted </w:t>
            </w:r>
            <w:r w:rsidRPr="00CB2EC4">
              <w:rPr>
                <w:rFonts w:ascii="Times New Roman" w:hAnsi="Times New Roman" w:cs="Times New Roman"/>
              </w:rPr>
              <w:lastRenderedPageBreak/>
              <w:t xml:space="preserve">vaginal hysterectomy (LAVH), the management of the uterine vessels proceeds as follows:  </w:t>
            </w:r>
            <w:r w:rsidRPr="00CB2EC4">
              <w:rPr>
                <w:rFonts w:ascii="Times New Roman" w:hAnsi="Times New Roman" w:cs="Times New Roman"/>
              </w:rPr>
              <w:br/>
              <w:t xml:space="preserve">- Further separate the anterior and posterior leaves of the broad ligament to expose the location of the ureter (the ureter typically passes beneath the uterine vessels).  </w:t>
            </w:r>
            <w:r w:rsidRPr="00CB2EC4">
              <w:rPr>
                <w:rFonts w:ascii="Times New Roman" w:hAnsi="Times New Roman" w:cs="Times New Roman"/>
              </w:rPr>
              <w:br/>
              <w:t xml:space="preserve">- Expose and dissect the uterine vessels: perform blunt and sharp dissection using curved scissors or a dissector to clearly expose the uterine vessels.  </w:t>
            </w:r>
            <w:r w:rsidRPr="00CB2EC4">
              <w:rPr>
                <w:rFonts w:ascii="Times New Roman" w:hAnsi="Times New Roman" w:cs="Times New Roman"/>
              </w:rPr>
              <w:br/>
              <w:t xml:space="preserve">- Clip and transect: under direct vision, apply titanium clips with a clip applier to the uterine vessels and then divide them.  </w:t>
            </w:r>
            <w:r w:rsidRPr="00CB2EC4">
              <w:rPr>
                <w:rFonts w:ascii="Times New Roman" w:hAnsi="Times New Roman" w:cs="Times New Roman"/>
              </w:rPr>
              <w:br/>
              <w:t>This approach emphasizes avoiding excessive laparoscopic mobilization of the uterine artery to prevent traction-induced vascular rupture during vaginal manipulation.</w:t>
            </w:r>
          </w:p>
        </w:tc>
        <w:tc>
          <w:tcPr>
            <w:tcW w:w="1152" w:type="dxa"/>
            <w:vAlign w:val="center"/>
          </w:tcPr>
          <w:p w14:paraId="0078954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B</w:t>
            </w:r>
          </w:p>
        </w:tc>
        <w:tc>
          <w:tcPr>
            <w:tcW w:w="1152" w:type="dxa"/>
            <w:vAlign w:val="center"/>
          </w:tcPr>
          <w:p w14:paraId="2D0277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2C01B2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r>
      <w:tr w:rsidR="00922249" w:rsidRPr="00CB2EC4" w14:paraId="6D03DBB3" w14:textId="77777777">
        <w:tc>
          <w:tcPr>
            <w:tcW w:w="2160" w:type="dxa"/>
            <w:vAlign w:val="center"/>
          </w:tcPr>
          <w:p w14:paraId="3900F365"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748646F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the round ligaments and the infundibulopelvic ligaments have been managed, the approach to the uterine vessels depends on the degree of pelvic floor relaxation and vaginal exposure:  </w:t>
            </w:r>
            <w:r w:rsidRPr="00CB2EC4">
              <w:rPr>
                <w:rFonts w:ascii="Times New Roman" w:hAnsi="Times New Roman" w:cs="Times New Roman"/>
              </w:rPr>
              <w:br/>
              <w:t xml:space="preserve">- if the pelvic floor is relaxed and the uterine vessels are easily accessible vaginally, there is no need to manage the uterine vessels laparoscopically; vaginal management is preferred for safety (the specific vaginal technique is not detailed in the document).  </w:t>
            </w:r>
            <w:r w:rsidRPr="00CB2EC4">
              <w:rPr>
                <w:rFonts w:ascii="Times New Roman" w:hAnsi="Times New Roman" w:cs="Times New Roman"/>
              </w:rPr>
              <w:br/>
              <w:t xml:space="preserve">- if the pelvic floor is not relaxed and vaginal exposure is limited, manage the uterine vessels laparoscopically: further separate the anterior and posterior leaves of the broad ligament, then ligate, coagulate, or divide the vessels using methods such as suturing, electrocautery, or a stapling device (e.g., EndoGIA).  </w:t>
            </w:r>
            <w:r w:rsidRPr="00CB2EC4">
              <w:rPr>
                <w:rFonts w:ascii="Times New Roman" w:hAnsi="Times New Roman" w:cs="Times New Roman"/>
              </w:rPr>
              <w:br/>
              <w:t xml:space="preserve">the document notes that laparoscopic management requires careful technique to avoid complications but </w:t>
            </w:r>
            <w:r w:rsidRPr="00CB2EC4">
              <w:rPr>
                <w:rFonts w:ascii="Times New Roman" w:hAnsi="Times New Roman" w:cs="Times New Roman"/>
              </w:rPr>
              <w:lastRenderedPageBreak/>
              <w:t>does not provide more detailed procedural steps.</w:t>
            </w:r>
          </w:p>
        </w:tc>
        <w:tc>
          <w:tcPr>
            <w:tcW w:w="1152" w:type="dxa"/>
            <w:vAlign w:val="center"/>
          </w:tcPr>
          <w:p w14:paraId="5E5DC42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E3A01A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5D369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5C913E6" w14:textId="77777777">
        <w:tc>
          <w:tcPr>
            <w:tcW w:w="2160" w:type="dxa"/>
            <w:vAlign w:val="center"/>
          </w:tcPr>
          <w:p w14:paraId="48105F9B"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3730A7A2" w14:textId="77777777" w:rsidR="00922249" w:rsidRPr="00CB2EC4" w:rsidRDefault="003011D5">
            <w:pPr>
              <w:rPr>
                <w:rFonts w:ascii="Times New Roman" w:hAnsi="Times New Roman" w:cs="Times New Roman"/>
              </w:rPr>
            </w:pPr>
            <w:r w:rsidRPr="00CB2EC4">
              <w:rPr>
                <w:rFonts w:ascii="Times New Roman" w:hAnsi="Times New Roman" w:cs="Times New Roman"/>
              </w:rPr>
              <w:t>After the round ligament and the infundibulopelvic ligament have been managed during laparoscopic-assisted vaginal hysterectomy (LAVH), the approach to the uterine vessels depends on the degree of pelvic floor relaxation and the adequacy of vaginal exposure:</w:t>
            </w:r>
            <w:r w:rsidRPr="00CB2EC4">
              <w:rPr>
                <w:rFonts w:ascii="Times New Roman" w:hAnsi="Times New Roman" w:cs="Times New Roman"/>
              </w:rPr>
              <w:br/>
            </w:r>
            <w:r w:rsidRPr="00CB2EC4">
              <w:rPr>
                <w:rFonts w:ascii="Times New Roman" w:hAnsi="Times New Roman" w:cs="Times New Roman"/>
              </w:rPr>
              <w:br/>
              <w:t xml:space="preserve">- If pelvic floor relaxation is sufficient and vaginal exposure is good:  </w:t>
            </w:r>
            <w:r w:rsidRPr="00CB2EC4">
              <w:rPr>
                <w:rFonts w:ascii="Times New Roman" w:hAnsi="Times New Roman" w:cs="Times New Roman"/>
              </w:rPr>
              <w:br/>
              <w:t xml:space="preserve">  → The uterine vessels are managed vaginally without laparoscopic assistance, as laparoscopic intervention may increase the risk of complications. The vessels are exposed and ligated transvaginally.  </w:t>
            </w:r>
            <w:r w:rsidRPr="00CB2EC4">
              <w:rPr>
                <w:rFonts w:ascii="Times New Roman" w:hAnsi="Times New Roman" w:cs="Times New Roman"/>
              </w:rPr>
              <w:br/>
            </w:r>
            <w:r w:rsidRPr="00CB2EC4">
              <w:rPr>
                <w:rFonts w:ascii="Times New Roman" w:hAnsi="Times New Roman" w:cs="Times New Roman"/>
              </w:rPr>
              <w:br/>
              <w:t xml:space="preserve">- If pelvic floor relaxation is inadequate and vaginal exposure is limited:  </w:t>
            </w:r>
            <w:r w:rsidRPr="00CB2EC4">
              <w:rPr>
                <w:rFonts w:ascii="Times New Roman" w:hAnsi="Times New Roman" w:cs="Times New Roman"/>
              </w:rPr>
              <w:br/>
              <w:t xml:space="preserve">  → The uterine vessels are managed laparoscopically using one of the following methods:  </w:t>
            </w:r>
            <w:r w:rsidRPr="00CB2EC4">
              <w:rPr>
                <w:rFonts w:ascii="Times New Roman" w:hAnsi="Times New Roman" w:cs="Times New Roman"/>
              </w:rPr>
              <w:br/>
              <w:t xml:space="preserve">    - Application of a linear stapler (e.g., EndoGIA) to staple and divide the vessels (Figure 17-12).  </w:t>
            </w:r>
            <w:r w:rsidRPr="00CB2EC4">
              <w:rPr>
                <w:rFonts w:ascii="Times New Roman" w:hAnsi="Times New Roman" w:cs="Times New Roman"/>
              </w:rPr>
              <w:br/>
              <w:t xml:space="preserve">    - Bipolar electrocoagulation or ultrasonic scalpel coagulation and division of the vessels.  </w:t>
            </w:r>
            <w:r w:rsidRPr="00CB2EC4">
              <w:rPr>
                <w:rFonts w:ascii="Times New Roman" w:hAnsi="Times New Roman" w:cs="Times New Roman"/>
              </w:rPr>
              <w:br/>
            </w:r>
            <w:r w:rsidRPr="00CB2EC4">
              <w:rPr>
                <w:rFonts w:ascii="Times New Roman" w:hAnsi="Times New Roman" w:cs="Times New Roman"/>
              </w:rPr>
              <w:br/>
              <w:t>(Reference: Document Fragment 2, 26)</w:t>
            </w:r>
          </w:p>
        </w:tc>
        <w:tc>
          <w:tcPr>
            <w:tcW w:w="1152" w:type="dxa"/>
            <w:vAlign w:val="center"/>
          </w:tcPr>
          <w:p w14:paraId="609BC2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26F47A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21CCBF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4FC8783" w14:textId="77777777">
        <w:tc>
          <w:tcPr>
            <w:tcW w:w="2160" w:type="dxa"/>
            <w:vAlign w:val="center"/>
          </w:tcPr>
          <w:p w14:paraId="3E0D4A9A"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1EF3CD17"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the round ligaments and pelvic infundibular ligaments have been managed during laparoscopic-assisted vaginal hysterectomy (LAVH), the approach to the uterine vessels depends on the degree of pelvic floor relaxation and vaginal exposure:  </w:t>
            </w:r>
            <w:r w:rsidRPr="00CB2EC4">
              <w:rPr>
                <w:rFonts w:ascii="Times New Roman" w:hAnsi="Times New Roman" w:cs="Times New Roman"/>
              </w:rPr>
              <w:br/>
              <w:t xml:space="preserve">- If the patient has significant pelvic floor relaxation and the uterine vessels are readily accessible vaginally, "there is no need to manage the uterine vessels laparoscopically"; they may be directly </w:t>
            </w:r>
            <w:r w:rsidRPr="00CB2EC4">
              <w:rPr>
                <w:rFonts w:ascii="Times New Roman" w:hAnsi="Times New Roman" w:cs="Times New Roman"/>
              </w:rPr>
              <w:lastRenderedPageBreak/>
              <w:t xml:space="preserve">addressed via the vaginal route (to avoid complications associated with laparoscopic manipulation).  </w:t>
            </w:r>
            <w:r w:rsidRPr="00CB2EC4">
              <w:rPr>
                <w:rFonts w:ascii="Times New Roman" w:hAnsi="Times New Roman" w:cs="Times New Roman"/>
              </w:rPr>
              <w:br/>
              <w:t xml:space="preserve">- If the patient has limited pelvic floor relaxation and restricted vaginal exposure, "the uterine vessels are managed laparoscopically", specifically by: further dissecting the anterior and posterior leaves of the broad ligament to expose the uterine vessels, then using "titanium clips to clamp or bipolar electrocoagulation to coagulate them, followed by transection".  </w:t>
            </w:r>
            <w:r w:rsidRPr="00CB2EC4">
              <w:rPr>
                <w:rFonts w:ascii="Times New Roman" w:hAnsi="Times New Roman" w:cs="Times New Roman"/>
              </w:rPr>
              <w:br/>
              <w:t>Thus, the management strategy is flexible, based on intraoperative assessment to choose between vaginal or laparoscopic approach, with titanium clips or bipolar electrocoagulation commonly used during laparoscopic handling.</w:t>
            </w:r>
          </w:p>
        </w:tc>
        <w:tc>
          <w:tcPr>
            <w:tcW w:w="1152" w:type="dxa"/>
            <w:vAlign w:val="center"/>
          </w:tcPr>
          <w:p w14:paraId="0A0FA8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5BA32A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3350B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7FECB10" w14:textId="77777777">
        <w:tc>
          <w:tcPr>
            <w:tcW w:w="2160" w:type="dxa"/>
            <w:vAlign w:val="center"/>
          </w:tcPr>
          <w:p w14:paraId="26E78575"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1AF79D51"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after handling the round ligament and the infundibulopelvic ligament in a laparoscopic-assisted vaginal hysterectomy (LAVH), the uterine vessels are managed as follows:  </w:t>
            </w:r>
            <w:r w:rsidRPr="00CB2EC4">
              <w:rPr>
                <w:rFonts w:ascii="Times New Roman" w:hAnsi="Times New Roman" w:cs="Times New Roman"/>
              </w:rPr>
              <w:br/>
              <w:t xml:space="preserve">separate the anterior and posterior leaves of the broad ligament to fully expose the uterine artery bundle; then coagulate the vessels using bipolar electrocautery or an ultrasonic scalpel, and subsequently divide them with scissors or an electrocautery device.  </w:t>
            </w:r>
            <w:r w:rsidRPr="00CB2EC4">
              <w:rPr>
                <w:rFonts w:ascii="Times New Roman" w:hAnsi="Times New Roman" w:cs="Times New Roman"/>
              </w:rPr>
              <w:br/>
              <w:t>this step requires careful avoidance of injury to the ureter and bladder, emphasizing direct visualization during the procedure to ensure safety.</w:t>
            </w:r>
          </w:p>
        </w:tc>
        <w:tc>
          <w:tcPr>
            <w:tcW w:w="1152" w:type="dxa"/>
            <w:vAlign w:val="center"/>
          </w:tcPr>
          <w:p w14:paraId="285AEEA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4382B91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c>
          <w:tcPr>
            <w:tcW w:w="1152" w:type="dxa"/>
            <w:vAlign w:val="center"/>
          </w:tcPr>
          <w:p w14:paraId="090460B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C</w:t>
            </w:r>
          </w:p>
        </w:tc>
      </w:tr>
      <w:tr w:rsidR="00922249" w:rsidRPr="00CB2EC4" w14:paraId="029E5E6F" w14:textId="77777777">
        <w:tc>
          <w:tcPr>
            <w:tcW w:w="10656" w:type="dxa"/>
            <w:gridSpan w:val="5"/>
            <w:tcBorders>
              <w:bottom w:val="single" w:sz="6" w:space="0" w:color="auto"/>
            </w:tcBorders>
            <w:vAlign w:val="center"/>
          </w:tcPr>
          <w:p w14:paraId="54C0C6FB" w14:textId="77777777" w:rsidR="00922249" w:rsidRPr="00CB2EC4" w:rsidRDefault="003011D5">
            <w:pPr>
              <w:rPr>
                <w:rFonts w:ascii="Times New Roman" w:hAnsi="Times New Roman" w:cs="Times New Roman"/>
              </w:rPr>
            </w:pPr>
            <w:r w:rsidRPr="00CB2EC4">
              <w:rPr>
                <w:rFonts w:ascii="Times New Roman" w:hAnsi="Times New Roman" w:cs="Times New Roman"/>
                <w:b/>
              </w:rPr>
              <w:t>Question 199: A 38-year-old patient with early-stage endometrial cancer has ovaries that appear normal upon intraoperative exploration. According to the text, what are the special considerations regarding the extent of surgery when performing a laparoscopic radical hysterectomy for such a patient?</w:t>
            </w:r>
          </w:p>
        </w:tc>
      </w:tr>
      <w:tr w:rsidR="00922249" w:rsidRPr="00CB2EC4" w14:paraId="08DFE691" w14:textId="77777777">
        <w:tc>
          <w:tcPr>
            <w:tcW w:w="2160" w:type="dxa"/>
            <w:vAlign w:val="center"/>
          </w:tcPr>
          <w:p w14:paraId="1099743C"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6A0CE63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38-year-old early-stage endometrial cancer patient with no abnormalities found in the ovaries </w:t>
            </w:r>
            <w:r w:rsidRPr="00CB2EC4">
              <w:rPr>
                <w:rFonts w:ascii="Times New Roman" w:hAnsi="Times New Roman" w:cs="Times New Roman"/>
              </w:rPr>
              <w:lastRenderedPageBreak/>
              <w:t>during intraoperative exploration, the following special considerations apply to the surgical extent during laparoscopic radical hysterectomy:</w:t>
            </w:r>
            <w:r w:rsidRPr="00CB2EC4">
              <w:rPr>
                <w:rFonts w:ascii="Times New Roman" w:hAnsi="Times New Roman" w:cs="Times New Roman"/>
              </w:rPr>
              <w:br/>
            </w:r>
            <w:r w:rsidRPr="00CB2EC4">
              <w:rPr>
                <w:rFonts w:ascii="Times New Roman" w:hAnsi="Times New Roman" w:cs="Times New Roman"/>
              </w:rPr>
              <w:br/>
              <w:t>- The document explicitly states: “For endometrial cancer patients under 40 years of age with early-stage disease, if careful exploration of the ovaries reveals no abnormalities, preservation of one ovary may be considered to maintain female physiological function.”</w:t>
            </w:r>
            <w:r w:rsidRPr="00CB2EC4">
              <w:rPr>
                <w:rFonts w:ascii="Times New Roman" w:hAnsi="Times New Roman" w:cs="Times New Roman"/>
              </w:rPr>
              <w:br/>
              <w:t>- In this case, the patient is 38 years old, has early-stage endometrial cancer, and intraoperative ovarian exploration showed no abnormalities; therefore, the surgical extent should include preservation of one ovary (e.g., unilateral adnexal preservation) to maintain female endocrine function. Simultaneously, the surgery must involve removal of the uterus, fallopian tubes, and pelvic lymph nodes, while avoiding unnecessary bilateral adnexectomy.</w:t>
            </w:r>
            <w:r w:rsidRPr="00CB2EC4">
              <w:rPr>
                <w:rFonts w:ascii="Times New Roman" w:hAnsi="Times New Roman" w:cs="Times New Roman"/>
              </w:rPr>
              <w:br/>
              <w:t>- Additionally, the document emphasizes that the surgical extent should be adjusted based on disease stage and patient age; this case meets the criteria for early stage and young age, making ovarian preservation reasonable.</w:t>
            </w:r>
          </w:p>
        </w:tc>
        <w:tc>
          <w:tcPr>
            <w:tcW w:w="1152" w:type="dxa"/>
            <w:vAlign w:val="center"/>
          </w:tcPr>
          <w:p w14:paraId="0BE869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E32A26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78DE03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97493D3" w14:textId="77777777">
        <w:tc>
          <w:tcPr>
            <w:tcW w:w="2160" w:type="dxa"/>
            <w:vAlign w:val="center"/>
          </w:tcPr>
          <w:p w14:paraId="109D05D2"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72F50527" w14:textId="77777777" w:rsidR="00922249" w:rsidRPr="00CB2EC4" w:rsidRDefault="003011D5">
            <w:pPr>
              <w:rPr>
                <w:rFonts w:ascii="Times New Roman" w:hAnsi="Times New Roman" w:cs="Times New Roman"/>
              </w:rPr>
            </w:pPr>
            <w:r w:rsidRPr="00CB2EC4">
              <w:rPr>
                <w:rFonts w:ascii="Times New Roman" w:hAnsi="Times New Roman" w:cs="Times New Roman"/>
              </w:rPr>
              <w:t>for a 38-year-old early-stage endometrial cancer patient with normal intraoperative ovarian findings, the special consideration in surgical scope during laparoscopic radical hysterectomy is the preservation of one ovary to maintain female physiological function:</w:t>
            </w:r>
            <w:r w:rsidRPr="00CB2EC4">
              <w:rPr>
                <w:rFonts w:ascii="Times New Roman" w:hAnsi="Times New Roman" w:cs="Times New Roman"/>
              </w:rPr>
              <w:br/>
              <w:t xml:space="preserve">- Document fragment 1 (block ID 992, topic: Laparoscopic Radical Hysterectomy Guidelines) states in the surgical scope section: "Depending on the disease, the surgical scope varies; for endometrial </w:t>
            </w:r>
            <w:r w:rsidRPr="00CB2EC4">
              <w:rPr>
                <w:rFonts w:ascii="Times New Roman" w:hAnsi="Times New Roman" w:cs="Times New Roman"/>
              </w:rPr>
              <w:lastRenderedPageBreak/>
              <w:t>cancer patients under 40 years old with early-stage disease and normal ovarian findings upon careful examination, preservation of one ovary may be considered to maintain female physiological function."</w:t>
            </w:r>
            <w:r w:rsidRPr="00CB2EC4">
              <w:rPr>
                <w:rFonts w:ascii="Times New Roman" w:hAnsi="Times New Roman" w:cs="Times New Roman"/>
              </w:rPr>
              <w:br/>
              <w:t>- Document fragment 5 (block ID 998, topic: Contraindications and Techniques of Laparoscopic Surgery) repeats the same content: "For endometrial cancer patients under 40 years old with early-stage disease and normal ovarian findings upon careful examination, preservation of one ovary may be considered to maintain female physiological function."</w:t>
            </w:r>
            <w:r w:rsidRPr="00CB2EC4">
              <w:rPr>
                <w:rFonts w:ascii="Times New Roman" w:hAnsi="Times New Roman" w:cs="Times New Roman"/>
              </w:rPr>
              <w:br/>
            </w:r>
            <w:r w:rsidRPr="00CB2EC4">
              <w:rPr>
                <w:rFonts w:ascii="Times New Roman" w:hAnsi="Times New Roman" w:cs="Times New Roman"/>
              </w:rPr>
              <w:br/>
              <w:t>Therefore, the special consideration is: due to the patient’s young age (&lt;40 years), early-stage disease, and normal ovaries, the surgical scope should include preservation of one ovary (instead of routine bilateral adnexectomy) to maintain endocrine function, while removing the uterus, fallopian tubes, and pelvic lymph nodes.</w:t>
            </w:r>
          </w:p>
        </w:tc>
        <w:tc>
          <w:tcPr>
            <w:tcW w:w="1152" w:type="dxa"/>
            <w:vAlign w:val="center"/>
          </w:tcPr>
          <w:p w14:paraId="3CD3AE6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FD60AA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16421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F09C228" w14:textId="77777777">
        <w:tc>
          <w:tcPr>
            <w:tcW w:w="2160" w:type="dxa"/>
            <w:vAlign w:val="center"/>
          </w:tcPr>
          <w:p w14:paraId="7857CC75"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5B4B974B" w14:textId="77777777" w:rsidR="00922249" w:rsidRPr="00CB2EC4" w:rsidRDefault="003011D5">
            <w:pPr>
              <w:rPr>
                <w:rFonts w:ascii="Times New Roman" w:hAnsi="Times New Roman" w:cs="Times New Roman"/>
              </w:rPr>
            </w:pPr>
            <w:r w:rsidRPr="00CB2EC4">
              <w:rPr>
                <w:rFonts w:ascii="Times New Roman" w:hAnsi="Times New Roman" w:cs="Times New Roman"/>
              </w:rPr>
              <w:t>for a 38-year-old patient with early-stage endometrial cancer and normal-appearing ovaries on intraoperative exploration, special considerations regarding the surgical scope during laparoscopic radical hysterectomy include:</w:t>
            </w:r>
            <w:r w:rsidRPr="00CB2EC4">
              <w:rPr>
                <w:rFonts w:ascii="Times New Roman" w:hAnsi="Times New Roman" w:cs="Times New Roman"/>
              </w:rPr>
              <w:br/>
            </w:r>
            <w:r w:rsidRPr="00CB2EC4">
              <w:rPr>
                <w:rFonts w:ascii="Times New Roman" w:hAnsi="Times New Roman" w:cs="Times New Roman"/>
              </w:rPr>
              <w:br/>
              <w:t>- preservation of ovarian function: for patients under 40 years old with early-stage disease and no intraoperative evidence of ovarian involvement, one ovary (unilateral) or both ovaries (bilateral) may be preserved to maintain female physiological function.</w:t>
            </w:r>
            <w:r w:rsidRPr="00CB2EC4">
              <w:rPr>
                <w:rFonts w:ascii="Times New Roman" w:hAnsi="Times New Roman" w:cs="Times New Roman"/>
              </w:rPr>
              <w:br/>
              <w:t xml:space="preserve">- when preserving one or both ovaries, perform ovarian-side abdominal wall suspension (ovariopexy) </w:t>
            </w:r>
            <w:r w:rsidRPr="00CB2EC4">
              <w:rPr>
                <w:rFonts w:ascii="Times New Roman" w:hAnsi="Times New Roman" w:cs="Times New Roman"/>
              </w:rPr>
              <w:lastRenderedPageBreak/>
              <w:t>to prevent postoperative adhesions or torsion.</w:t>
            </w:r>
            <w:r w:rsidRPr="00CB2EC4">
              <w:rPr>
                <w:rFonts w:ascii="Times New Roman" w:hAnsi="Times New Roman" w:cs="Times New Roman"/>
              </w:rPr>
              <w:br/>
            </w:r>
            <w:r w:rsidRPr="00CB2EC4">
              <w:rPr>
                <w:rFonts w:ascii="Times New Roman" w:hAnsi="Times New Roman" w:cs="Times New Roman"/>
              </w:rPr>
              <w:br/>
              <w:t>this approach is explicitly supported by:</w:t>
            </w:r>
            <w:r w:rsidRPr="00CB2EC4">
              <w:rPr>
                <w:rFonts w:ascii="Times New Roman" w:hAnsi="Times New Roman" w:cs="Times New Roman"/>
              </w:rPr>
              <w:br/>
              <w:t>- segment 6: "for endometrial cancer patients under 40 years old with early-stage disease, if the ovaries are carefully examined and found normal, preservation of one ovary may be considered to maintain female physiological function."</w:t>
            </w:r>
            <w:r w:rsidRPr="00CB2EC4">
              <w:rPr>
                <w:rFonts w:ascii="Times New Roman" w:hAnsi="Times New Roman" w:cs="Times New Roman"/>
              </w:rPr>
              <w:br/>
              <w:t>- segment 27: repeats similar guidance.</w:t>
            </w:r>
            <w:r w:rsidRPr="00CB2EC4">
              <w:rPr>
                <w:rFonts w:ascii="Times New Roman" w:hAnsi="Times New Roman" w:cs="Times New Roman"/>
              </w:rPr>
              <w:br/>
              <w:t>- segment 35: "in early-stage endometrial cancer patients under 40 years of age, both or one ovary can be preserved; at this time, ovarian-side abdominal wall suspension should be performed."</w:t>
            </w:r>
            <w:r w:rsidRPr="00CB2EC4">
              <w:rPr>
                <w:rFonts w:ascii="Times New Roman" w:hAnsi="Times New Roman" w:cs="Times New Roman"/>
              </w:rPr>
              <w:br/>
            </w:r>
            <w:r w:rsidRPr="00CB2EC4">
              <w:rPr>
                <w:rFonts w:ascii="Times New Roman" w:hAnsi="Times New Roman" w:cs="Times New Roman"/>
              </w:rPr>
              <w:br/>
              <w:t>segments 28 and 34 describe standard surgical extent (e.g., extrafascial hysterectomy with bilateral salpingo-oophorectomy) but do not address ovarian preservation in the context of radical hysterectomy. segment 17 outlines indications for radical hysterectomy but does not mention ovarian preservation.</w:t>
            </w:r>
            <w:r w:rsidRPr="00CB2EC4">
              <w:rPr>
                <w:rFonts w:ascii="Times New Roman" w:hAnsi="Times New Roman" w:cs="Times New Roman"/>
              </w:rPr>
              <w:br/>
            </w:r>
            <w:r w:rsidRPr="00CB2EC4">
              <w:rPr>
                <w:rFonts w:ascii="Times New Roman" w:hAnsi="Times New Roman" w:cs="Times New Roman"/>
              </w:rPr>
              <w:br/>
              <w:t>in summary: for a 38-year-old with early-stage endometrial cancer and normal intraoperative ovarian findings, the surgical scope during laparoscopic radical hysterectomy should consider ovarian preservation (unilateral or bilateral) to maintain physiological function, potentially combined with ovarian-side abdominal wall suspension. no other specific adjustments (e.g., lymph node management) are detailed in the provided text.</w:t>
            </w:r>
          </w:p>
        </w:tc>
        <w:tc>
          <w:tcPr>
            <w:tcW w:w="1152" w:type="dxa"/>
            <w:vAlign w:val="center"/>
          </w:tcPr>
          <w:p w14:paraId="7DF7FC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DA1758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627C6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7B1C5D2" w14:textId="77777777">
        <w:tc>
          <w:tcPr>
            <w:tcW w:w="2160" w:type="dxa"/>
            <w:vAlign w:val="center"/>
          </w:tcPr>
          <w:p w14:paraId="146A681A"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512872AE"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38-year-old patient with early-stage endometrial cancer (intraoperative exploration shows no ovarian abnormalities), special considerations for the surgical </w:t>
            </w:r>
            <w:r w:rsidRPr="00CB2EC4">
              <w:rPr>
                <w:rFonts w:ascii="Times New Roman" w:hAnsi="Times New Roman" w:cs="Times New Roman"/>
              </w:rPr>
              <w:lastRenderedPageBreak/>
              <w:t>extent during laparoscopic radical hysterectomy include:</w:t>
            </w:r>
            <w:r w:rsidRPr="00CB2EC4">
              <w:rPr>
                <w:rFonts w:ascii="Times New Roman" w:hAnsi="Times New Roman" w:cs="Times New Roman"/>
              </w:rPr>
              <w:br/>
            </w:r>
            <w:r w:rsidRPr="00CB2EC4">
              <w:rPr>
                <w:rFonts w:ascii="Times New Roman" w:hAnsi="Times New Roman" w:cs="Times New Roman"/>
              </w:rPr>
              <w:br/>
              <w:t>- Ovarian preservation: given the patient's age (&lt;40 years) and normal-appearing ovaries, one ovary may be preserved to maintain physiological function, provided the disease is early-stage with no evidence of ovarian involvement.</w:t>
            </w:r>
            <w:r w:rsidRPr="00CB2EC4">
              <w:rPr>
                <w:rFonts w:ascii="Times New Roman" w:hAnsi="Times New Roman" w:cs="Times New Roman"/>
              </w:rPr>
              <w:br/>
              <w:t>- Complete surgical extent: must include radical hysterectomy, salpingectomy, pelvic lymphadenectomy, and resection of approximately 2 cm of the upper vagina; ovarian preservation is contraindicated if the histology is high-risk (e.g., serous carcinoma).</w:t>
            </w:r>
            <w:r w:rsidRPr="00CB2EC4">
              <w:rPr>
                <w:rFonts w:ascii="Times New Roman" w:hAnsi="Times New Roman" w:cs="Times New Roman"/>
              </w:rPr>
              <w:br/>
              <w:t>- Lymph node management: pelvic lymph node dissection is required; para-aortic lymph node sampling should be performed when indicated.</w:t>
            </w:r>
            <w:r w:rsidRPr="00CB2EC4">
              <w:rPr>
                <w:rFonts w:ascii="Times New Roman" w:hAnsi="Times New Roman" w:cs="Times New Roman"/>
              </w:rPr>
              <w:br/>
            </w:r>
            <w:r w:rsidRPr="00CB2EC4">
              <w:rPr>
                <w:rFonts w:ascii="Times New Roman" w:hAnsi="Times New Roman" w:cs="Times New Roman"/>
              </w:rPr>
              <w:br/>
              <w:t>- Source analysis:</w:t>
            </w:r>
            <w:r w:rsidRPr="00CB2EC4">
              <w:rPr>
                <w:rFonts w:ascii="Times New Roman" w:hAnsi="Times New Roman" w:cs="Times New Roman"/>
              </w:rPr>
              <w:br/>
              <w:t xml:space="preserve">  - Knowledge base document: under "Laparoscopic Radical Hysterectomy with Pelvic Lymphadenectomy," it explicitly states: "surgical extent varies by disease; for patients under 40 years with early-stage endometrial cancer and normal ovaries on careful exploration, one ovary may be preserved to maintain female physiological function." it also emphasizes bilateral adnexectomy for patients over 40.</w:t>
            </w:r>
            <w:r w:rsidRPr="00CB2EC4">
              <w:rPr>
                <w:rFonts w:ascii="Times New Roman" w:hAnsi="Times New Roman" w:cs="Times New Roman"/>
              </w:rPr>
              <w:br/>
              <w:t xml:space="preserve">  - Web search results: mention "surgical extent includes total hysterectomy, bilateral salpingo-oophorectomy, and systematic pelvic lymphadenectomy" but do not specifically address younger patients. web sources confirm the applicability of laparoscopic approach but do not </w:t>
            </w:r>
            <w:r w:rsidRPr="00CB2EC4">
              <w:rPr>
                <w:rFonts w:ascii="Times New Roman" w:hAnsi="Times New Roman" w:cs="Times New Roman"/>
              </w:rPr>
              <w:lastRenderedPageBreak/>
              <w:t>directly discuss ovarian preservation.</w:t>
            </w:r>
            <w:r w:rsidRPr="00CB2EC4">
              <w:rPr>
                <w:rFonts w:ascii="Times New Roman" w:hAnsi="Times New Roman" w:cs="Times New Roman"/>
              </w:rPr>
              <w:br/>
              <w:t xml:space="preserve">  - Integrated information: the knowledge base document provides direct evidence (age &lt;40, normal ovaries → possible unilateral ovarian preservation); web search results offer no contradictory information. the knowledge base further notes that bilateral adnexectomy is indicated for patients &gt;40 or with high-risk histology (e.g., serous type).</w:t>
            </w:r>
            <w:r w:rsidRPr="00CB2EC4">
              <w:rPr>
                <w:rFonts w:ascii="Times New Roman" w:hAnsi="Times New Roman" w:cs="Times New Roman"/>
              </w:rPr>
              <w:br/>
            </w:r>
            <w:r w:rsidRPr="00CB2EC4">
              <w:rPr>
                <w:rFonts w:ascii="Times New Roman" w:hAnsi="Times New Roman" w:cs="Times New Roman"/>
              </w:rPr>
              <w:br/>
              <w:t>professional summary: the key special consideration is the potential for ovarian preservation, contingent on early-stage disease (e.g., low-risk stage I), absence of ovarian abnormalities, and individualized assessment (e.g., patient’s fertility desires and pathological grade). the surgical extent centers on radical hysterectomy and lymphadenectomy, with ovarian preservation as an option under strict criteria. the knowledge base document serves as the primary source.</w:t>
            </w:r>
          </w:p>
        </w:tc>
        <w:tc>
          <w:tcPr>
            <w:tcW w:w="1152" w:type="dxa"/>
            <w:vAlign w:val="center"/>
          </w:tcPr>
          <w:p w14:paraId="17C450C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15AEA4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7D9C0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0EC99DAA" w14:textId="77777777">
        <w:tc>
          <w:tcPr>
            <w:tcW w:w="2160" w:type="dxa"/>
            <w:vAlign w:val="center"/>
          </w:tcPr>
          <w:p w14:paraId="79FEF050"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445623F9" w14:textId="77777777" w:rsidR="00922249" w:rsidRPr="00CB2EC4" w:rsidRDefault="003011D5">
            <w:pPr>
              <w:rPr>
                <w:rFonts w:ascii="Times New Roman" w:hAnsi="Times New Roman" w:cs="Times New Roman"/>
              </w:rPr>
            </w:pPr>
            <w:r w:rsidRPr="00CB2EC4">
              <w:rPr>
                <w:rFonts w:ascii="Times New Roman" w:hAnsi="Times New Roman" w:cs="Times New Roman"/>
              </w:rPr>
              <w:t>for a 38-year-old early-stage endometrial cancer patient with normal intraoperative ovarian findings, special considerations for the surgical extent during laparoscopic radical hysterectomy include:</w:t>
            </w:r>
            <w:r w:rsidRPr="00CB2EC4">
              <w:rPr>
                <w:rFonts w:ascii="Times New Roman" w:hAnsi="Times New Roman" w:cs="Times New Roman"/>
              </w:rPr>
              <w:br/>
            </w:r>
            <w:r w:rsidRPr="00CB2EC4">
              <w:rPr>
                <w:rFonts w:ascii="Times New Roman" w:hAnsi="Times New Roman" w:cs="Times New Roman"/>
              </w:rPr>
              <w:br/>
              <w:t>- given the patient's age (&lt;40 years) and early-stage disease with no abnormalities found on intraoperative ovarian examination, preservation of one ovary may be considered to maintain endocrine and reproductive function</w:t>
            </w:r>
            <w:r w:rsidRPr="00CB2EC4">
              <w:rPr>
                <w:rFonts w:ascii="Times New Roman" w:hAnsi="Times New Roman" w:cs="Times New Roman"/>
              </w:rPr>
              <w:br/>
              <w:t xml:space="preserve">- according to document fragment 1 (section 7: laparoscopic radical hysterectomy with pelvic lymphadenectomy) and fragment 6 (section iii: surgical extent), for patients under 40 with early-stage endometrial cancer and normal ovaries, unilateral </w:t>
            </w:r>
            <w:r w:rsidRPr="00CB2EC4">
              <w:rPr>
                <w:rFonts w:ascii="Times New Roman" w:hAnsi="Times New Roman" w:cs="Times New Roman"/>
              </w:rPr>
              <w:lastRenderedPageBreak/>
              <w:t>ovarian preservation is feasible</w:t>
            </w:r>
            <w:r w:rsidRPr="00CB2EC4">
              <w:rPr>
                <w:rFonts w:ascii="Times New Roman" w:hAnsi="Times New Roman" w:cs="Times New Roman"/>
              </w:rPr>
              <w:br/>
              <w:t>- the standard surgical extent comprises: removal of the uterus, fallopian tubes, and pelvic lymph nodes, while preserving one ovary (unless intraoperative findings dictate otherwise)</w:t>
            </w:r>
            <w:r w:rsidRPr="00CB2EC4">
              <w:rPr>
                <w:rFonts w:ascii="Times New Roman" w:hAnsi="Times New Roman" w:cs="Times New Roman"/>
              </w:rPr>
              <w:br/>
              <w:t>- this approach aims to reduce the impact on ovarian hormone production and preserve fertility potential, while ensuring oncological safety</w:t>
            </w:r>
            <w:r w:rsidRPr="00CB2EC4">
              <w:rPr>
                <w:rFonts w:ascii="Times New Roman" w:hAnsi="Times New Roman" w:cs="Times New Roman"/>
              </w:rPr>
              <w:br/>
              <w:t>- for patients aged 40 or older, bilateral adnexectomy is routinely performed</w:t>
            </w:r>
            <w:r w:rsidRPr="00CB2EC4">
              <w:rPr>
                <w:rFonts w:ascii="Times New Roman" w:hAnsi="Times New Roman" w:cs="Times New Roman"/>
              </w:rPr>
              <w:br/>
            </w:r>
            <w:r w:rsidRPr="00CB2EC4">
              <w:rPr>
                <w:rFonts w:ascii="Times New Roman" w:hAnsi="Times New Roman" w:cs="Times New Roman"/>
              </w:rPr>
              <w:br/>
              <w:t>→ surgical extent: hysterectomy + salpingectomy + pelvic lymphadenectomy ± unilateral oophorectomy (based on age and intraoperative findings)</w:t>
            </w:r>
          </w:p>
        </w:tc>
        <w:tc>
          <w:tcPr>
            <w:tcW w:w="1152" w:type="dxa"/>
            <w:vAlign w:val="center"/>
          </w:tcPr>
          <w:p w14:paraId="37AEEB7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4C8CE0B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394CE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4501771" w14:textId="77777777">
        <w:tc>
          <w:tcPr>
            <w:tcW w:w="2160" w:type="dxa"/>
            <w:vAlign w:val="center"/>
          </w:tcPr>
          <w:p w14:paraId="67B23BED"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3BB1E3A4"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38-year-old early-stage endometrial cancer patient with normal-appearing ovaries on intraoperative exploration, the special considerations regarding surgical extent during laparoscopic radical hysterectomy are as follows:  </w:t>
            </w:r>
            <w:r w:rsidRPr="00CB2EC4">
              <w:rPr>
                <w:rFonts w:ascii="Times New Roman" w:hAnsi="Times New Roman" w:cs="Times New Roman"/>
              </w:rPr>
              <w:br/>
              <w:t xml:space="preserve">- the surgical scope includes radical hysterectomy and pelvic lymphadenectomy.  </w:t>
            </w:r>
            <w:r w:rsidRPr="00CB2EC4">
              <w:rPr>
                <w:rFonts w:ascii="Times New Roman" w:hAnsi="Times New Roman" w:cs="Times New Roman"/>
              </w:rPr>
              <w:br/>
              <w:t xml:space="preserve">- based on the patient’s age (&lt;40 years) and normal ovarian findings, preservation of one ovary is a reasonable option to maintain female physiological function, rather than performing routine bilateral salpingo-oophorectomy.  </w:t>
            </w:r>
            <w:r w:rsidRPr="00CB2EC4">
              <w:rPr>
                <w:rFonts w:ascii="Times New Roman" w:hAnsi="Times New Roman" w:cs="Times New Roman"/>
              </w:rPr>
              <w:br/>
              <w:t>- documents indicate that patients over 40 years typically require routine removal of bilateral adnexa, whereas younger patients (&lt;40 years) with early-stage disease and normal ovaries may have one ovary preserved.</w:t>
            </w:r>
          </w:p>
        </w:tc>
        <w:tc>
          <w:tcPr>
            <w:tcW w:w="1152" w:type="dxa"/>
            <w:vAlign w:val="center"/>
          </w:tcPr>
          <w:p w14:paraId="3276DDA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522FA2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9E4A9B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32B07F2" w14:textId="77777777">
        <w:tc>
          <w:tcPr>
            <w:tcW w:w="2160" w:type="dxa"/>
            <w:vAlign w:val="center"/>
          </w:tcPr>
          <w:p w14:paraId="1FA01FFF"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5CF83A3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38-year-old early-stage endometrial cancer patient with no abnormalities found in the ovaries </w:t>
            </w:r>
            <w:r w:rsidRPr="00CB2EC4">
              <w:rPr>
                <w:rFonts w:ascii="Times New Roman" w:hAnsi="Times New Roman" w:cs="Times New Roman"/>
              </w:rPr>
              <w:lastRenderedPageBreak/>
              <w:t>during intraoperative exploration, special considerations for the surgical scope during laparoscopic radical hysterectomy include:</w:t>
            </w:r>
            <w:r w:rsidRPr="00CB2EC4">
              <w:rPr>
                <w:rFonts w:ascii="Times New Roman" w:hAnsi="Times New Roman" w:cs="Times New Roman"/>
              </w:rPr>
              <w:br/>
              <w:t>- consideration of preserving one ovary to maintain female physiological function. the document explicitly states: "for endometrial cancer patients under 40 years of age with early-stage disease, if the ovaries are carefully examined and show no abnormalities, preserving one ovary may be considered to maintain female physiological function."</w:t>
            </w:r>
            <w:r w:rsidRPr="00CB2EC4">
              <w:rPr>
                <w:rFonts w:ascii="Times New Roman" w:hAnsi="Times New Roman" w:cs="Times New Roman"/>
              </w:rPr>
              <w:br/>
              <w:t>- the surgical scope includes radical hysterectomy plus pelvic lymphadenectomy, but ovarian preservation is based on careful exploration showing no abnormalities and is limited to one side to balance cancer treatment and endocrine needs.</w:t>
            </w:r>
          </w:p>
        </w:tc>
        <w:tc>
          <w:tcPr>
            <w:tcW w:w="1152" w:type="dxa"/>
            <w:vAlign w:val="center"/>
          </w:tcPr>
          <w:p w14:paraId="39DE8C9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9C3C48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565698A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1922ACE" w14:textId="77777777">
        <w:tc>
          <w:tcPr>
            <w:tcW w:w="2160" w:type="dxa"/>
            <w:vAlign w:val="center"/>
          </w:tcPr>
          <w:p w14:paraId="34DCC17B"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13F75B1C" w14:textId="77777777" w:rsidR="00922249" w:rsidRPr="00CB2EC4" w:rsidRDefault="003011D5">
            <w:pPr>
              <w:rPr>
                <w:rFonts w:ascii="Times New Roman" w:hAnsi="Times New Roman" w:cs="Times New Roman"/>
              </w:rPr>
            </w:pPr>
            <w:r w:rsidRPr="00CB2EC4">
              <w:rPr>
                <w:rFonts w:ascii="Times New Roman" w:hAnsi="Times New Roman" w:cs="Times New Roman"/>
              </w:rPr>
              <w:t>for a 38-year-old patient with early-stage endometrial cancer and no abnormalities found in the ovaries during intraoperative exploration, the special consideration regarding the surgical extent during laparoscopic radical hysterectomy is: one ovary may be preserved to maintain female physiological function.</w:t>
            </w:r>
          </w:p>
        </w:tc>
        <w:tc>
          <w:tcPr>
            <w:tcW w:w="1152" w:type="dxa"/>
            <w:vAlign w:val="center"/>
          </w:tcPr>
          <w:p w14:paraId="136F095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5C5B24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555B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2B28CCF2" w14:textId="77777777">
        <w:tc>
          <w:tcPr>
            <w:tcW w:w="2160" w:type="dxa"/>
            <w:vAlign w:val="center"/>
          </w:tcPr>
          <w:p w14:paraId="3F810610"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53D27CDC"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 Special considerations:  </w:t>
            </w:r>
            <w:r w:rsidRPr="00CB2EC4">
              <w:rPr>
                <w:rFonts w:ascii="Times New Roman" w:hAnsi="Times New Roman" w:cs="Times New Roman"/>
              </w:rPr>
              <w:br/>
              <w:t xml:space="preserve">  - Given the patient's age &lt;40 years and early-stage disease (normal ovaries on exploration), one ovary may be preserved to maintain physiological function.  </w:t>
            </w:r>
            <w:r w:rsidRPr="00CB2EC4">
              <w:rPr>
                <w:rFonts w:ascii="Times New Roman" w:hAnsi="Times New Roman" w:cs="Times New Roman"/>
              </w:rPr>
              <w:br/>
              <w:t xml:space="preserve">  - The surgical scope includes: radical hysterectomy (uterus, fallopian tubes, partial ligaments, and upper vagina) and pelvic lymphadenectomy, while preserving one ovary.  </w:t>
            </w:r>
            <w:r w:rsidRPr="00CB2EC4">
              <w:rPr>
                <w:rFonts w:ascii="Times New Roman" w:hAnsi="Times New Roman" w:cs="Times New Roman"/>
              </w:rPr>
              <w:br/>
              <w:t xml:space="preserve">- The document explicitly states: "For endometrial cancer patients under 40 years of age with early-stage disease and normal ovaries on careful exploration, </w:t>
            </w:r>
            <w:r w:rsidRPr="00CB2EC4">
              <w:rPr>
                <w:rFonts w:ascii="Times New Roman" w:hAnsi="Times New Roman" w:cs="Times New Roman"/>
              </w:rPr>
              <w:lastRenderedPageBreak/>
              <w:t>preservation of one ovary may be considered."</w:t>
            </w:r>
          </w:p>
        </w:tc>
        <w:tc>
          <w:tcPr>
            <w:tcW w:w="1152" w:type="dxa"/>
            <w:vAlign w:val="center"/>
          </w:tcPr>
          <w:p w14:paraId="4D0CF7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56FE7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11C710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C2DC777" w14:textId="77777777">
        <w:tc>
          <w:tcPr>
            <w:tcW w:w="2160" w:type="dxa"/>
            <w:vAlign w:val="center"/>
          </w:tcPr>
          <w:p w14:paraId="574B2A9E"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79AECCE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38-year-old patient with early-stage endometrial cancer and no abnormalities found in the ovaries during intraoperative exploration, the special considerations for the surgical extent during laparoscopic radical hysterectomy are:  </w:t>
            </w:r>
            <w:r w:rsidRPr="00CB2EC4">
              <w:rPr>
                <w:rFonts w:ascii="Times New Roman" w:hAnsi="Times New Roman" w:cs="Times New Roman"/>
              </w:rPr>
              <w:br/>
              <w:t xml:space="preserve">- consider preserving one ovary: to maintain female physiological function (such as endocrine function). this is because the patient is young (under 40 years old), has early-stage disease, and shows no ovarian abnormalities.  </w:t>
            </w:r>
            <w:r w:rsidRPr="00CB2EC4">
              <w:rPr>
                <w:rFonts w:ascii="Times New Roman" w:hAnsi="Times New Roman" w:cs="Times New Roman"/>
              </w:rPr>
              <w:br/>
              <w:t xml:space="preserve">- other extents remain unchanged: radical hysterectomy (including removal of the uterus, fallopian tubes, and pelvic lymph nodes) is still performed, but management of the adnexa (ovaries) may be adjusted based on age and disease stage.  </w:t>
            </w:r>
            <w:r w:rsidRPr="00CB2EC4">
              <w:rPr>
                <w:rFonts w:ascii="Times New Roman" w:hAnsi="Times New Roman" w:cs="Times New Roman"/>
              </w:rPr>
              <w:br/>
              <w:t>reference: document fragment 2 explicitly states: "# III. Surgical Extent...For endometrial cancer patients under 40 years old with early-stage disease and no abnormalities detected in the ovaries upon careful exploration, consideration may be given to preserving one ovary to maintain female physiological function." document fragment 9 repeats this content.</w:t>
            </w:r>
          </w:p>
        </w:tc>
        <w:tc>
          <w:tcPr>
            <w:tcW w:w="1152" w:type="dxa"/>
            <w:vAlign w:val="center"/>
          </w:tcPr>
          <w:p w14:paraId="41F7D47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B9FDB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B40B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D32A777" w14:textId="77777777">
        <w:tc>
          <w:tcPr>
            <w:tcW w:w="2160" w:type="dxa"/>
            <w:vAlign w:val="center"/>
          </w:tcPr>
          <w:p w14:paraId="034A2D1A"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4FB0DE24" w14:textId="77777777" w:rsidR="00922249" w:rsidRPr="00CB2EC4" w:rsidRDefault="003011D5">
            <w:pPr>
              <w:rPr>
                <w:rFonts w:ascii="Times New Roman" w:hAnsi="Times New Roman" w:cs="Times New Roman"/>
              </w:rPr>
            </w:pPr>
            <w:r w:rsidRPr="00CB2EC4">
              <w:rPr>
                <w:rFonts w:ascii="Times New Roman" w:hAnsi="Times New Roman" w:cs="Times New Roman"/>
              </w:rPr>
              <w:t>for a 38-year-old patient with early-stage endometrial cancer and normal intraoperative ovarian findings, special considerations regarding the surgical scope during laparoscopic radical hysterectomy include:</w:t>
            </w:r>
            <w:r w:rsidRPr="00CB2EC4">
              <w:rPr>
                <w:rFonts w:ascii="Times New Roman" w:hAnsi="Times New Roman" w:cs="Times New Roman"/>
              </w:rPr>
              <w:br/>
            </w:r>
            <w:r w:rsidRPr="00CB2EC4">
              <w:rPr>
                <w:rFonts w:ascii="Times New Roman" w:hAnsi="Times New Roman" w:cs="Times New Roman"/>
              </w:rPr>
              <w:br/>
              <w:t>- the option to preserve one ovary to maintain female physiological function</w:t>
            </w:r>
            <w:r w:rsidRPr="00CB2EC4">
              <w:rPr>
                <w:rFonts w:ascii="Times New Roman" w:hAnsi="Times New Roman" w:cs="Times New Roman"/>
              </w:rPr>
              <w:br/>
            </w:r>
            <w:r w:rsidRPr="00CB2EC4">
              <w:rPr>
                <w:rFonts w:ascii="Times New Roman" w:hAnsi="Times New Roman" w:cs="Times New Roman"/>
              </w:rPr>
              <w:br/>
              <w:t>specific basis:</w:t>
            </w:r>
            <w:r w:rsidRPr="00CB2EC4">
              <w:rPr>
                <w:rFonts w:ascii="Times New Roman" w:hAnsi="Times New Roman" w:cs="Times New Roman"/>
              </w:rPr>
              <w:br/>
              <w:t xml:space="preserve">- in the section "laparoscopic radical hysterectomy </w:t>
            </w:r>
            <w:r w:rsidRPr="00CB2EC4">
              <w:rPr>
                <w:rFonts w:ascii="Times New Roman" w:hAnsi="Times New Roman" w:cs="Times New Roman"/>
              </w:rPr>
              <w:lastRenderedPageBreak/>
              <w:t>with pelvic lymphadenectomy" under "3. surgical scope": "for patients with endometrial cancer under 40 years of age with early-stage disease and normal ovarian findings upon careful examination, preservation of one ovary may be considered to maintain female physiological function."</w:t>
            </w:r>
            <w:r w:rsidRPr="00CB2EC4">
              <w:rPr>
                <w:rFonts w:ascii="Times New Roman" w:hAnsi="Times New Roman" w:cs="Times New Roman"/>
              </w:rPr>
              <w:br/>
              <w:t>- another source states identically: "for patients with endometrial cancer under 40 years of age with early-stage disease, careful examination of the ovaries showing no abnormalities allows consideration of preserving one ovary to maintain female physiological function."</w:t>
            </w:r>
            <w:r w:rsidRPr="00CB2EC4">
              <w:rPr>
                <w:rFonts w:ascii="Times New Roman" w:hAnsi="Times New Roman" w:cs="Times New Roman"/>
              </w:rPr>
              <w:br/>
            </w:r>
            <w:r w:rsidRPr="00CB2EC4">
              <w:rPr>
                <w:rFonts w:ascii="Times New Roman" w:hAnsi="Times New Roman" w:cs="Times New Roman"/>
              </w:rPr>
              <w:br/>
              <w:t>therefore, the surgical scope includes radical hysterectomy and pelvic lymph node dissection, but for this patient, one ovary may be retained (instead of routine bilateral adnexectomy) provided the disease is early-stage and the ovaries are normal.</w:t>
            </w:r>
          </w:p>
        </w:tc>
        <w:tc>
          <w:tcPr>
            <w:tcW w:w="1152" w:type="dxa"/>
            <w:vAlign w:val="center"/>
          </w:tcPr>
          <w:p w14:paraId="4F46DE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CD49F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3E617F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F82131A" w14:textId="77777777">
        <w:tc>
          <w:tcPr>
            <w:tcW w:w="2160" w:type="dxa"/>
            <w:vAlign w:val="center"/>
          </w:tcPr>
          <w:p w14:paraId="3B4F4B4F"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6C08EFB0"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patients aged 40 years or younger with early-stage endometrial cancer and normal ovaries intraoperatively, special considerations for the surgical extent during laparoscopic radical hysterectomy include:  </w:t>
            </w:r>
            <w:r w:rsidRPr="00CB2EC4">
              <w:rPr>
                <w:rFonts w:ascii="Times New Roman" w:hAnsi="Times New Roman" w:cs="Times New Roman"/>
              </w:rPr>
              <w:br/>
              <w:t xml:space="preserve">- preservation of one ovary: to maintain female physiological function and avoid premature menopause.  </w:t>
            </w:r>
            <w:r w:rsidRPr="00CB2EC4">
              <w:rPr>
                <w:rFonts w:ascii="Times New Roman" w:hAnsi="Times New Roman" w:cs="Times New Roman"/>
              </w:rPr>
              <w:br/>
              <w:t xml:space="preserve">- extent of resection: removal of the uterus, fallopian tubes, and pelvic lymph nodes, while preserving one normal ovary.  </w:t>
            </w:r>
            <w:r w:rsidRPr="00CB2EC4">
              <w:rPr>
                <w:rFonts w:ascii="Times New Roman" w:hAnsi="Times New Roman" w:cs="Times New Roman"/>
              </w:rPr>
              <w:br/>
              <w:t>(based on document fragments 6, 23)</w:t>
            </w:r>
          </w:p>
        </w:tc>
        <w:tc>
          <w:tcPr>
            <w:tcW w:w="1152" w:type="dxa"/>
            <w:vAlign w:val="center"/>
          </w:tcPr>
          <w:p w14:paraId="2DE012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0834560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AD459B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071A52" w14:textId="77777777">
        <w:tc>
          <w:tcPr>
            <w:tcW w:w="2160" w:type="dxa"/>
            <w:vAlign w:val="center"/>
          </w:tcPr>
          <w:p w14:paraId="5C239593"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C2E0D08"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for a 38-year-old early-stage endometrial cancer patient with no abnormalities found in the ovaries during intraoperative exploration, the special </w:t>
            </w:r>
            <w:r w:rsidRPr="00CB2EC4">
              <w:rPr>
                <w:rFonts w:ascii="Times New Roman" w:hAnsi="Times New Roman" w:cs="Times New Roman"/>
              </w:rPr>
              <w:lastRenderedPageBreak/>
              <w:t xml:space="preserve">consideration regarding the surgical extent during laparoscopic radical hysterectomy is the preservation of ovarian function. specifically, as described in the section on "laparoscopic radical hysterectomy with pelvic lymphadenectomy" (relevant excerpt 10, from original block 994-997):  </w:t>
            </w:r>
            <w:r w:rsidRPr="00CB2EC4">
              <w:rPr>
                <w:rFonts w:ascii="Times New Roman" w:hAnsi="Times New Roman" w:cs="Times New Roman"/>
              </w:rPr>
              <w:br/>
              <w:t xml:space="preserve">- "for endometrial cancer patients under 40 years of age with early-stage disease, if the ovaries are carefully examined and found to be normal, preservation of one ovary may be considered to maintain female physiological function."  </w:t>
            </w:r>
            <w:r w:rsidRPr="00CB2EC4">
              <w:rPr>
                <w:rFonts w:ascii="Times New Roman" w:hAnsi="Times New Roman" w:cs="Times New Roman"/>
              </w:rPr>
              <w:br/>
              <w:t xml:space="preserve">- the context emphasizes that ovarian preservation is contingent upon careful intraoperative examination confirming no ovarian abnormalities and the presence of early-stage disease (e.g., low-risk factors).  </w:t>
            </w:r>
            <w:r w:rsidRPr="00CB2EC4">
              <w:rPr>
                <w:rFonts w:ascii="Times New Roman" w:hAnsi="Times New Roman" w:cs="Times New Roman"/>
              </w:rPr>
              <w:br/>
              <w:t>therefore, the special consideration is: during radical hysterectomy, one ovary may be preserved (rather than removing both adnexa) to maintain the patient’s reproductive or endocrine function, provided the ovaries are confirmed to be free of disease.</w:t>
            </w:r>
          </w:p>
        </w:tc>
        <w:tc>
          <w:tcPr>
            <w:tcW w:w="1152" w:type="dxa"/>
            <w:vAlign w:val="center"/>
          </w:tcPr>
          <w:p w14:paraId="6DB6C39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1779A5D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0DAD41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64CE26" w14:textId="77777777">
        <w:tc>
          <w:tcPr>
            <w:tcW w:w="2160" w:type="dxa"/>
            <w:vAlign w:val="center"/>
          </w:tcPr>
          <w:p w14:paraId="69899CD2"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5F5206BE" w14:textId="77777777" w:rsidR="00922249" w:rsidRPr="00CB2EC4" w:rsidRDefault="003011D5">
            <w:pPr>
              <w:rPr>
                <w:rFonts w:ascii="Times New Roman" w:hAnsi="Times New Roman" w:cs="Times New Roman"/>
              </w:rPr>
            </w:pPr>
            <w:r w:rsidRPr="00CB2EC4">
              <w:rPr>
                <w:rFonts w:ascii="Times New Roman" w:hAnsi="Times New Roman" w:cs="Times New Roman"/>
              </w:rPr>
              <w:t>for a 38-year-old patient with early-stage endometrial cancer, even if the ovaries appear normal during intraoperative exploration, laparoscopic radical hysterectomy requires the following special considerations regarding surgical extent:</w:t>
            </w:r>
            <w:r w:rsidRPr="00CB2EC4">
              <w:rPr>
                <w:rFonts w:ascii="Times New Roman" w:hAnsi="Times New Roman" w:cs="Times New Roman"/>
              </w:rPr>
              <w:br/>
            </w:r>
            <w:r w:rsidRPr="00CB2EC4">
              <w:rPr>
                <w:rFonts w:ascii="Times New Roman" w:hAnsi="Times New Roman" w:cs="Times New Roman"/>
              </w:rPr>
              <w:br/>
              <w:t>- Routine bilateral salpingo-oophorectomy must be performed.</w:t>
            </w:r>
            <w:r w:rsidRPr="00CB2EC4">
              <w:rPr>
                <w:rFonts w:ascii="Times New Roman" w:hAnsi="Times New Roman" w:cs="Times New Roman"/>
              </w:rPr>
              <w:br/>
              <w:t>- Systematic retroperitoneal lymphadenectomy is required, including pelvic and para-aortic lymph nodes.</w:t>
            </w:r>
            <w:r w:rsidRPr="00CB2EC4">
              <w:rPr>
                <w:rFonts w:ascii="Times New Roman" w:hAnsi="Times New Roman" w:cs="Times New Roman"/>
              </w:rPr>
              <w:br/>
              <w:t>- The parametrial resection margin must be extended to more than 3 cm from the cervix to ensure radicality.</w:t>
            </w:r>
            <w:r w:rsidRPr="00CB2EC4">
              <w:rPr>
                <w:rFonts w:ascii="Times New Roman" w:hAnsi="Times New Roman" w:cs="Times New Roman"/>
              </w:rPr>
              <w:br/>
              <w:t xml:space="preserve">- Given the patient’s young age, adjuvant radiotherapy </w:t>
            </w:r>
            <w:r w:rsidRPr="00CB2EC4">
              <w:rPr>
                <w:rFonts w:ascii="Times New Roman" w:hAnsi="Times New Roman" w:cs="Times New Roman"/>
              </w:rPr>
              <w:lastRenderedPageBreak/>
              <w:t>is recommended postoperatively to prevent recurrence.</w:t>
            </w:r>
          </w:p>
        </w:tc>
        <w:tc>
          <w:tcPr>
            <w:tcW w:w="1152" w:type="dxa"/>
            <w:vAlign w:val="center"/>
          </w:tcPr>
          <w:p w14:paraId="68D99AC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D</w:t>
            </w:r>
          </w:p>
        </w:tc>
        <w:tc>
          <w:tcPr>
            <w:tcW w:w="1152" w:type="dxa"/>
            <w:vAlign w:val="center"/>
          </w:tcPr>
          <w:p w14:paraId="7F14033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c>
          <w:tcPr>
            <w:tcW w:w="1152" w:type="dxa"/>
            <w:vAlign w:val="center"/>
          </w:tcPr>
          <w:p w14:paraId="3DCC019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D</w:t>
            </w:r>
          </w:p>
        </w:tc>
      </w:tr>
      <w:tr w:rsidR="00922249" w:rsidRPr="00CB2EC4" w14:paraId="250D6520" w14:textId="77777777">
        <w:tc>
          <w:tcPr>
            <w:tcW w:w="10656" w:type="dxa"/>
            <w:gridSpan w:val="5"/>
            <w:tcBorders>
              <w:bottom w:val="single" w:sz="6" w:space="0" w:color="auto"/>
            </w:tcBorders>
            <w:vAlign w:val="center"/>
          </w:tcPr>
          <w:p w14:paraId="744563AA" w14:textId="77777777" w:rsidR="00922249" w:rsidRPr="00CB2EC4" w:rsidRDefault="003011D5">
            <w:pPr>
              <w:rPr>
                <w:rFonts w:ascii="Times New Roman" w:hAnsi="Times New Roman" w:cs="Times New Roman"/>
              </w:rPr>
            </w:pPr>
            <w:r w:rsidRPr="00CB2EC4">
              <w:rPr>
                <w:rFonts w:ascii="Times New Roman" w:hAnsi="Times New Roman" w:cs="Times New Roman"/>
                <w:b/>
              </w:rPr>
              <w:t>Question 200: During the initial exploratory phase of a laparoscopic radical hysterectomy, if suspicious pelvic lymph nodes are found and sent for frozen section pathology, and the result is positive, how should the subsequent surgical plan be adjusted?</w:t>
            </w:r>
          </w:p>
        </w:tc>
      </w:tr>
      <w:tr w:rsidR="00922249" w:rsidRPr="00CB2EC4" w14:paraId="3F509AC6" w14:textId="77777777">
        <w:tc>
          <w:tcPr>
            <w:tcW w:w="2160" w:type="dxa"/>
            <w:vAlign w:val="center"/>
          </w:tcPr>
          <w:p w14:paraId="0DED338D" w14:textId="77777777" w:rsidR="00922249" w:rsidRPr="00CB2EC4" w:rsidRDefault="003011D5">
            <w:pPr>
              <w:rPr>
                <w:rFonts w:ascii="Times New Roman" w:hAnsi="Times New Roman" w:cs="Times New Roman"/>
              </w:rPr>
            </w:pPr>
            <w:r w:rsidRPr="00CB2EC4">
              <w:rPr>
                <w:rFonts w:ascii="Times New Roman" w:hAnsi="Times New Roman" w:cs="Times New Roman"/>
              </w:rPr>
              <w:t>Context Enrichment</w:t>
            </w:r>
          </w:p>
        </w:tc>
        <w:tc>
          <w:tcPr>
            <w:tcW w:w="5040" w:type="dxa"/>
            <w:vAlign w:val="center"/>
          </w:tcPr>
          <w:p w14:paraId="5FDF612B" w14:textId="77777777" w:rsidR="00922249" w:rsidRPr="00CB2EC4" w:rsidRDefault="003011D5">
            <w:pPr>
              <w:rPr>
                <w:rFonts w:ascii="Times New Roman" w:hAnsi="Times New Roman" w:cs="Times New Roman"/>
              </w:rPr>
            </w:pPr>
            <w:r w:rsidRPr="00CB2EC4">
              <w:rPr>
                <w:rFonts w:ascii="Times New Roman" w:hAnsi="Times New Roman" w:cs="Times New Roman"/>
              </w:rPr>
              <w:t>during the initial exploratory phase of laparoscopic radical hysterectomy, if suspicious pelvic lymph nodes are found and sent for intraoperative frozen section pathology with a positive result, the subsequent surgical plan should be adjusted as follows:</w:t>
            </w:r>
            <w:r w:rsidRPr="00CB2EC4">
              <w:rPr>
                <w:rFonts w:ascii="Times New Roman" w:hAnsi="Times New Roman" w:cs="Times New Roman"/>
              </w:rPr>
              <w:br/>
              <w:t>- Evaluate pelvic lymph nodes for obvious metastasis: resect any suspicious pelvic lymph nodes and submit for intraoperative frozen section pathological examination. If lymph node metastasis is positive, abandon the radical hysterectomy and perform para-aortic lymph node sampling to determine the extent of radiotherapy.</w:t>
            </w:r>
            <w:r w:rsidRPr="00CB2EC4">
              <w:rPr>
                <w:rFonts w:ascii="Times New Roman" w:hAnsi="Times New Roman" w:cs="Times New Roman"/>
              </w:rPr>
              <w:br/>
              <w:t>- Therefore, the adjustment is: abandon the originally planned radical hysterectomy and proceed with para-aortic lymph node sampling. The sampling results are used to determine the postoperative radiotherapy field (e.g., pelvic irradiation or extended field irradiation).</w:t>
            </w:r>
            <w:r w:rsidRPr="00CB2EC4">
              <w:rPr>
                <w:rFonts w:ascii="Times New Roman" w:hAnsi="Times New Roman" w:cs="Times New Roman"/>
              </w:rPr>
              <w:br/>
              <w:t>The document emphasizes that this adjustment is based on the positive lymph node metastasis indicating possible disease spread, prioritizing radiotherapy over radical surgery.</w:t>
            </w:r>
          </w:p>
        </w:tc>
        <w:tc>
          <w:tcPr>
            <w:tcW w:w="1152" w:type="dxa"/>
            <w:vAlign w:val="center"/>
          </w:tcPr>
          <w:p w14:paraId="179F8A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5E87E56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E79BCE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83731B4" w14:textId="77777777">
        <w:tc>
          <w:tcPr>
            <w:tcW w:w="2160" w:type="dxa"/>
            <w:vAlign w:val="center"/>
          </w:tcPr>
          <w:p w14:paraId="124E61E5" w14:textId="77777777" w:rsidR="00922249" w:rsidRPr="00CB2EC4" w:rsidRDefault="003011D5">
            <w:pPr>
              <w:rPr>
                <w:rFonts w:ascii="Times New Roman" w:hAnsi="Times New Roman" w:cs="Times New Roman"/>
              </w:rPr>
            </w:pPr>
            <w:r w:rsidRPr="00CB2EC4">
              <w:rPr>
                <w:rFonts w:ascii="Times New Roman" w:hAnsi="Times New Roman" w:cs="Times New Roman"/>
              </w:rPr>
              <w:t>Contextual Chunk Headers</w:t>
            </w:r>
          </w:p>
        </w:tc>
        <w:tc>
          <w:tcPr>
            <w:tcW w:w="5040" w:type="dxa"/>
            <w:vAlign w:val="center"/>
          </w:tcPr>
          <w:p w14:paraId="640E3800" w14:textId="77777777" w:rsidR="00922249" w:rsidRPr="00CB2EC4" w:rsidRDefault="003011D5">
            <w:pPr>
              <w:rPr>
                <w:rFonts w:ascii="Times New Roman" w:hAnsi="Times New Roman" w:cs="Times New Roman"/>
              </w:rPr>
            </w:pPr>
            <w:r w:rsidRPr="00CB2EC4">
              <w:rPr>
                <w:rFonts w:ascii="Times New Roman" w:hAnsi="Times New Roman" w:cs="Times New Roman"/>
              </w:rPr>
              <w:t>during the initial exploration phase of laparoscopic radical hysterectomy, if suspicious pelvic lymph nodes are found and sent for intraoperative frozen section pathology with a positive result, the subsequent surgical plan should be adjusted as follows:</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if suspicious pelvic lymph nodes are identified during initial exploration and the frozen section pathology result is positive, radical hysterectomy should be abandoned and changed to sampling of para-aortic lymph nodes; the extent of postoperative radiotherapy is then determined based on the sampling results:</w:t>
            </w:r>
            <w:r w:rsidRPr="00CB2EC4">
              <w:rPr>
                <w:rFonts w:ascii="Times New Roman" w:hAnsi="Times New Roman" w:cs="Times New Roman"/>
              </w:rPr>
              <w:br/>
              <w:t>- document fragment 1 (block number 992, block topic: laparoscopic radical hysterectomy guidelines) states in the surgical techniques section: "Perform comprehensive exploration of the pelvic and abdominal cavities to rule out intra-abdominal metastasis. Assess pelvic lymph nodes for obvious metastasis: resect any suspicious pelvic lymph nodes and submit for intraoperative frozen section pathological examination. If lymph node metastasis is positive, abandon radical hysterectomy and perform para-aortic lymph node sampling to determine the extent of radiotherapy."</w:t>
            </w:r>
            <w:r w:rsidRPr="00CB2EC4">
              <w:rPr>
                <w:rFonts w:ascii="Times New Roman" w:hAnsi="Times New Roman" w:cs="Times New Roman"/>
              </w:rPr>
              <w:br/>
              <w:t>- document fragment 16 (block number 612, block topic: radical hysterectomy surgical guidelines) also mentions similar principles: if lymph nodes are positive, surgery may be terminated and radiotherapy initiated.</w:t>
            </w:r>
            <w:r w:rsidRPr="00CB2EC4">
              <w:rPr>
                <w:rFonts w:ascii="Times New Roman" w:hAnsi="Times New Roman" w:cs="Times New Roman"/>
              </w:rPr>
              <w:br/>
            </w:r>
            <w:r w:rsidRPr="00CB2EC4">
              <w:rPr>
                <w:rFonts w:ascii="Times New Roman" w:hAnsi="Times New Roman" w:cs="Times New Roman"/>
              </w:rPr>
              <w:br/>
              <w:t>therefore, the adjusted subsequent plan is: abandon laparoscopic radical hysterectomy and perform para-aortic lymph node sampling; the sampling results are used to plan postoperative radiotherapy (e.g., radiation field).</w:t>
            </w:r>
          </w:p>
        </w:tc>
        <w:tc>
          <w:tcPr>
            <w:tcW w:w="1152" w:type="dxa"/>
            <w:vAlign w:val="center"/>
          </w:tcPr>
          <w:p w14:paraId="10873F7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F9AFF3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3EB1C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6879B12E" w14:textId="77777777">
        <w:tc>
          <w:tcPr>
            <w:tcW w:w="2160" w:type="dxa"/>
            <w:vAlign w:val="center"/>
          </w:tcPr>
          <w:p w14:paraId="087A9D63" w14:textId="77777777" w:rsidR="00922249" w:rsidRPr="00CB2EC4" w:rsidRDefault="003011D5">
            <w:pPr>
              <w:rPr>
                <w:rFonts w:ascii="Times New Roman" w:hAnsi="Times New Roman" w:cs="Times New Roman"/>
              </w:rPr>
            </w:pPr>
            <w:r w:rsidRPr="00CB2EC4">
              <w:rPr>
                <w:rFonts w:ascii="Times New Roman" w:hAnsi="Times New Roman" w:cs="Times New Roman"/>
              </w:rPr>
              <w:t>Context Compression</w:t>
            </w:r>
          </w:p>
        </w:tc>
        <w:tc>
          <w:tcPr>
            <w:tcW w:w="5040" w:type="dxa"/>
            <w:vAlign w:val="center"/>
          </w:tcPr>
          <w:p w14:paraId="62F48E0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the initial exploratory phase of laparoscopic radical hysterectomy, if suspicious pelvic lymph nodes are found and sent for intraoperative frozen section pathology with a positive result, the subsequent surgical plan should be adjusted as </w:t>
            </w:r>
            <w:r w:rsidRPr="00CB2EC4">
              <w:rPr>
                <w:rFonts w:ascii="Times New Roman" w:hAnsi="Times New Roman" w:cs="Times New Roman"/>
              </w:rPr>
              <w:lastRenderedPageBreak/>
              <w:t>follows:</w:t>
            </w:r>
            <w:r w:rsidRPr="00CB2EC4">
              <w:rPr>
                <w:rFonts w:ascii="Times New Roman" w:hAnsi="Times New Roman" w:cs="Times New Roman"/>
              </w:rPr>
              <w:br/>
            </w:r>
            <w:r w:rsidRPr="00CB2EC4">
              <w:rPr>
                <w:rFonts w:ascii="Times New Roman" w:hAnsi="Times New Roman" w:cs="Times New Roman"/>
              </w:rPr>
              <w:br/>
              <w:t>- Evaluate pelvic lymph nodes for obvious metastasis: resect any suspicious pelvic lymph nodes and send for intraoperative frozen section pathological examination. If lymph node metastasis is positive, abandon radical hysterectomy and perform para-aortic lymph node sampling to determine the extent of radiotherapy.</w:t>
            </w:r>
            <w:r w:rsidRPr="00CB2EC4">
              <w:rPr>
                <w:rFonts w:ascii="Times New Roman" w:hAnsi="Times New Roman" w:cs="Times New Roman"/>
              </w:rPr>
              <w:br/>
              <w:t>- If pelvic lymph nodes are positive, selectively resect para-aortic lymph nodes.</w:t>
            </w:r>
            <w:r w:rsidRPr="00CB2EC4">
              <w:rPr>
                <w:rFonts w:ascii="Times New Roman" w:hAnsi="Times New Roman" w:cs="Times New Roman"/>
              </w:rPr>
              <w:br/>
              <w:t>- If suspicious metastasis is present, selectively sample and send for frozen section examination; if positive, discontinue surgery, mark with silver clips, and supplement postoperatively with para-aortic irradiation.</w:t>
            </w:r>
            <w:r w:rsidRPr="00CB2EC4">
              <w:rPr>
                <w:rFonts w:ascii="Times New Roman" w:hAnsi="Times New Roman" w:cs="Times New Roman"/>
              </w:rPr>
              <w:br/>
            </w:r>
            <w:r w:rsidRPr="00CB2EC4">
              <w:rPr>
                <w:rFonts w:ascii="Times New Roman" w:hAnsi="Times New Roman" w:cs="Times New Roman"/>
              </w:rPr>
              <w:br/>
              <w:t>Summary: When lymph nodes are positive, stop radical hysterectomy, switch to para-aortic lymph node sampling (marking the location with silver clips), and administer postoperative para-aortic radiotherapy to determine the radiation field.</w:t>
            </w:r>
          </w:p>
        </w:tc>
        <w:tc>
          <w:tcPr>
            <w:tcW w:w="1152" w:type="dxa"/>
            <w:vAlign w:val="center"/>
          </w:tcPr>
          <w:p w14:paraId="5AF9325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250D8D0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3E8E3D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B371AD3" w14:textId="77777777">
        <w:tc>
          <w:tcPr>
            <w:tcW w:w="2160" w:type="dxa"/>
            <w:vAlign w:val="center"/>
          </w:tcPr>
          <w:p w14:paraId="1F8F1824" w14:textId="77777777" w:rsidR="00922249" w:rsidRPr="00CB2EC4" w:rsidRDefault="003011D5">
            <w:pPr>
              <w:rPr>
                <w:rFonts w:ascii="Times New Roman" w:hAnsi="Times New Roman" w:cs="Times New Roman"/>
              </w:rPr>
            </w:pPr>
            <w:r w:rsidRPr="00CB2EC4">
              <w:rPr>
                <w:rFonts w:ascii="Times New Roman" w:hAnsi="Times New Roman" w:cs="Times New Roman"/>
              </w:rPr>
              <w:t>CRAG</w:t>
            </w:r>
          </w:p>
        </w:tc>
        <w:tc>
          <w:tcPr>
            <w:tcW w:w="5040" w:type="dxa"/>
            <w:vAlign w:val="center"/>
          </w:tcPr>
          <w:p w14:paraId="4F9DDC2B" w14:textId="77777777" w:rsidR="00922249" w:rsidRPr="00CB2EC4" w:rsidRDefault="003011D5">
            <w:pPr>
              <w:rPr>
                <w:rFonts w:ascii="Times New Roman" w:hAnsi="Times New Roman" w:cs="Times New Roman"/>
              </w:rPr>
            </w:pPr>
            <w:r w:rsidRPr="00CB2EC4">
              <w:rPr>
                <w:rFonts w:ascii="Times New Roman" w:hAnsi="Times New Roman" w:cs="Times New Roman"/>
              </w:rPr>
              <w:t>during the initial exploration phase of laparoscopic radical hysterectomy, if suspicious pelvic lymph nodes are found and sent for intraoperative frozen section pathology, and the result is positive, the subsequent surgical plan should be adjusted as follows:</w:t>
            </w:r>
            <w:r w:rsidRPr="00CB2EC4">
              <w:rPr>
                <w:rFonts w:ascii="Times New Roman" w:hAnsi="Times New Roman" w:cs="Times New Roman"/>
              </w:rPr>
              <w:br/>
            </w:r>
            <w:r w:rsidRPr="00CB2EC4">
              <w:rPr>
                <w:rFonts w:ascii="Times New Roman" w:hAnsi="Times New Roman" w:cs="Times New Roman"/>
              </w:rPr>
              <w:br/>
              <w:t>- Abandon radical hysterectomy: positive lymph node metastasis indicates potential distant spread; proceeding with radical surgery offers no benefit.</w:t>
            </w:r>
            <w:r w:rsidRPr="00CB2EC4">
              <w:rPr>
                <w:rFonts w:ascii="Times New Roman" w:hAnsi="Times New Roman" w:cs="Times New Roman"/>
              </w:rPr>
              <w:br/>
              <w:t xml:space="preserve">- Switch to lymph node sampling: perform para-aortic lymph node sampling to assess the extent of </w:t>
            </w:r>
            <w:r w:rsidRPr="00CB2EC4">
              <w:rPr>
                <w:rFonts w:ascii="Times New Roman" w:hAnsi="Times New Roman" w:cs="Times New Roman"/>
              </w:rPr>
              <w:lastRenderedPageBreak/>
              <w:t>metastasis.</w:t>
            </w:r>
            <w:r w:rsidRPr="00CB2EC4">
              <w:rPr>
                <w:rFonts w:ascii="Times New Roman" w:hAnsi="Times New Roman" w:cs="Times New Roman"/>
              </w:rPr>
              <w:br/>
              <w:t>- Transition to radiotherapy or chemotherapy: based on sampling results, develop a radiotherapy plan (e.g., pelvic or extended-field radiotherapy) and chemotherapy regimen (e.g., platinum-based), instead of surgical resection.</w:t>
            </w:r>
            <w:r w:rsidRPr="00CB2EC4">
              <w:rPr>
                <w:rFonts w:ascii="Times New Roman" w:hAnsi="Times New Roman" w:cs="Times New Roman"/>
              </w:rPr>
              <w:br/>
            </w:r>
            <w:r w:rsidRPr="00CB2EC4">
              <w:rPr>
                <w:rFonts w:ascii="Times New Roman" w:hAnsi="Times New Roman" w:cs="Times New Roman"/>
              </w:rPr>
              <w:br/>
              <w:t>- Source analysis:</w:t>
            </w:r>
            <w:r w:rsidRPr="00CB2EC4">
              <w:rPr>
                <w:rFonts w:ascii="Times New Roman" w:hAnsi="Times New Roman" w:cs="Times New Roman"/>
              </w:rPr>
              <w:br/>
              <w:t xml:space="preserve">  - Knowledge base document: In the section on "Laparoscopic Radical Hysterectomy with Pelvic Lymphadenectomy," it explicitly states: "Evaluate pelvic lymph nodes for obvious metastasis: resect any suspicious pelvic lymph nodes and send for intraoperative frozen section. If lymph node metastasis is positive, abandon radical hysterectomy and perform para-aortic lymph node sampling to determine the radiotherapy field." It also notes that surgery should be terminated and adjuvant therapy initiated if lymph nodes are positive.</w:t>
            </w:r>
            <w:r w:rsidRPr="00CB2EC4">
              <w:rPr>
                <w:rFonts w:ascii="Times New Roman" w:hAnsi="Times New Roman" w:cs="Times New Roman"/>
              </w:rPr>
              <w:br/>
              <w:t xml:space="preserve">  - Web search results: In gynecologic oncology surgery sections, it is mentioned that "if lymph node metastasis is positive, surgery should be abandoned in favor of radiotherapy or chemotherapy," though without detail. Web searches supplement that for endometrial cancer, positive nodes require multimodal therapy.</w:t>
            </w:r>
            <w:r w:rsidRPr="00CB2EC4">
              <w:rPr>
                <w:rFonts w:ascii="Times New Roman" w:hAnsi="Times New Roman" w:cs="Times New Roman"/>
              </w:rPr>
              <w:br/>
              <w:t xml:space="preserve">  - Synthesis: Both sources are consistent with no contradiction; the knowledge base provides specific procedural steps (abandon surgery, switch to sampling and radiotherapy), while web results confirm the shift in treatment approach. The knowledge base is the primary source, emphasizing intraoperative decision-making.</w:t>
            </w:r>
            <w:r w:rsidRPr="00CB2EC4">
              <w:rPr>
                <w:rFonts w:ascii="Times New Roman" w:hAnsi="Times New Roman" w:cs="Times New Roman"/>
              </w:rPr>
              <w:br/>
            </w:r>
            <w:r w:rsidRPr="00CB2EC4">
              <w:rPr>
                <w:rFonts w:ascii="Times New Roman" w:hAnsi="Times New Roman" w:cs="Times New Roman"/>
              </w:rPr>
              <w:br/>
            </w:r>
            <w:r w:rsidRPr="00CB2EC4">
              <w:rPr>
                <w:rFonts w:ascii="Times New Roman" w:hAnsi="Times New Roman" w:cs="Times New Roman"/>
              </w:rPr>
              <w:lastRenderedPageBreak/>
              <w:t>Professional summary: The adjustment is based on high metastatic risk indicated by positive lymph nodes. Subsequent steps: 1. Abandon radical hysterectomy; 2. Perform para-aortic lymph node sampling; 3. Formulate radiotherapy/chemotherapy plans based on sampling results. This avoids unnecessary surgical trauma and optimizes oncologic management.</w:t>
            </w:r>
          </w:p>
        </w:tc>
        <w:tc>
          <w:tcPr>
            <w:tcW w:w="1152" w:type="dxa"/>
            <w:vAlign w:val="center"/>
          </w:tcPr>
          <w:p w14:paraId="76143536"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004A3F6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B6FCDC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06DB112" w14:textId="77777777">
        <w:tc>
          <w:tcPr>
            <w:tcW w:w="2160" w:type="dxa"/>
            <w:vAlign w:val="center"/>
          </w:tcPr>
          <w:p w14:paraId="1C0CE15A" w14:textId="77777777" w:rsidR="00922249" w:rsidRPr="00CB2EC4" w:rsidRDefault="003011D5">
            <w:pPr>
              <w:rPr>
                <w:rFonts w:ascii="Times New Roman" w:hAnsi="Times New Roman" w:cs="Times New Roman"/>
              </w:rPr>
            </w:pPr>
            <w:r w:rsidRPr="00CB2EC4">
              <w:rPr>
                <w:rFonts w:ascii="Times New Roman" w:hAnsi="Times New Roman" w:cs="Times New Roman"/>
              </w:rPr>
              <w:lastRenderedPageBreak/>
              <w:t>Document Augmentation</w:t>
            </w:r>
          </w:p>
        </w:tc>
        <w:tc>
          <w:tcPr>
            <w:tcW w:w="5040" w:type="dxa"/>
            <w:vAlign w:val="center"/>
          </w:tcPr>
          <w:p w14:paraId="352E0539"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the initial exploration phase of laparoscopic radical hysterectomy, if suspicious pelvic lymph nodes are identified and sent for frozen section pathology, with results showing positivity (i.e., positive lymph node metastasis), the subsequent surgical plan should be adjusted as follows:  </w:t>
            </w:r>
            <w:r w:rsidRPr="00CB2EC4">
              <w:rPr>
                <w:rFonts w:ascii="Times New Roman" w:hAnsi="Times New Roman" w:cs="Times New Roman"/>
              </w:rPr>
              <w:br/>
              <w:t xml:space="preserve">- **Abandon radical hysterectomy**: Discontinue the originally planned radical hysterectomy procedure.  </w:t>
            </w:r>
            <w:r w:rsidRPr="00CB2EC4">
              <w:rPr>
                <w:rFonts w:ascii="Times New Roman" w:hAnsi="Times New Roman" w:cs="Times New Roman"/>
              </w:rPr>
              <w:br/>
              <w:t xml:space="preserve">- **Perform para-aortic lymph node sampling**: Conduct sampling of para-aortic lymph nodes, typically extending cephalad from the aortic bifurcation, to assess the extent of metastasis.  </w:t>
            </w:r>
            <w:r w:rsidRPr="00CB2EC4">
              <w:rPr>
                <w:rFonts w:ascii="Times New Roman" w:hAnsi="Times New Roman" w:cs="Times New Roman"/>
              </w:rPr>
              <w:br/>
              <w:t xml:space="preserve">- **Determine radiotherapy field**: Based on the para-aortic lymph node sampling results, guide the postoperative radiotherapy field (e.g., extended irradiation field) rather than proceeding with radical surgery.  </w:t>
            </w:r>
            <w:r w:rsidRPr="00CB2EC4">
              <w:rPr>
                <w:rFonts w:ascii="Times New Roman" w:hAnsi="Times New Roman" w:cs="Times New Roman"/>
              </w:rPr>
              <w:br/>
            </w:r>
            <w:r w:rsidRPr="00CB2EC4">
              <w:rPr>
                <w:rFonts w:ascii="Times New Roman" w:hAnsi="Times New Roman" w:cs="Times New Roman"/>
              </w:rPr>
              <w:br/>
              <w:t>This adjustment is based on the indication that positive lymph node metastasis suggests the disease may have extended beyond the pelvis, making surgical radicalization no longer applicable and necessitating a shift to adjuvant radiotherapy.</w:t>
            </w:r>
          </w:p>
        </w:tc>
        <w:tc>
          <w:tcPr>
            <w:tcW w:w="1152" w:type="dxa"/>
            <w:vAlign w:val="center"/>
          </w:tcPr>
          <w:p w14:paraId="418B392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51C075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F51CE8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38B59156" w14:textId="77777777">
        <w:tc>
          <w:tcPr>
            <w:tcW w:w="2160" w:type="dxa"/>
            <w:vAlign w:val="center"/>
          </w:tcPr>
          <w:p w14:paraId="7B2EBBB4" w14:textId="77777777" w:rsidR="00922249" w:rsidRPr="00CB2EC4" w:rsidRDefault="003011D5">
            <w:pPr>
              <w:rPr>
                <w:rFonts w:ascii="Times New Roman" w:hAnsi="Times New Roman" w:cs="Times New Roman"/>
              </w:rPr>
            </w:pPr>
            <w:r w:rsidRPr="00CB2EC4">
              <w:rPr>
                <w:rFonts w:ascii="Times New Roman" w:hAnsi="Times New Roman" w:cs="Times New Roman"/>
              </w:rPr>
              <w:t>Fusion RAG</w:t>
            </w:r>
          </w:p>
        </w:tc>
        <w:tc>
          <w:tcPr>
            <w:tcW w:w="5040" w:type="dxa"/>
            <w:vAlign w:val="center"/>
          </w:tcPr>
          <w:p w14:paraId="4AE3E31F"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the initial exploration phase of laparoscopic radical hysterectomy, if suspicious pelvic lymph </w:t>
            </w:r>
            <w:r w:rsidRPr="00CB2EC4">
              <w:rPr>
                <w:rFonts w:ascii="Times New Roman" w:hAnsi="Times New Roman" w:cs="Times New Roman"/>
              </w:rPr>
              <w:lastRenderedPageBreak/>
              <w:t xml:space="preserve">nodes are identified and sent for intraoperative frozen section pathology, and the result is positive, the subsequent surgical plan should be adjusted as follows:  </w:t>
            </w:r>
            <w:r w:rsidRPr="00CB2EC4">
              <w:rPr>
                <w:rFonts w:ascii="Times New Roman" w:hAnsi="Times New Roman" w:cs="Times New Roman"/>
              </w:rPr>
              <w:br/>
              <w:t xml:space="preserve">- Abandon radical hysterectomy (i.e., do not proceed with wide hysterectomy).  </w:t>
            </w:r>
            <w:r w:rsidRPr="00CB2EC4">
              <w:rPr>
                <w:rFonts w:ascii="Times New Roman" w:hAnsi="Times New Roman" w:cs="Times New Roman"/>
              </w:rPr>
              <w:br/>
              <w:t xml:space="preserve">- Perform para-aortic lymph node sampling (to determine the radiation therapy field).  </w:t>
            </w:r>
            <w:r w:rsidRPr="00CB2EC4">
              <w:rPr>
                <w:rFonts w:ascii="Times New Roman" w:hAnsi="Times New Roman" w:cs="Times New Roman"/>
              </w:rPr>
              <w:br/>
              <w:t>The documentation clearly states that positive lymph node metastasis is an indication to abandon radical surgery and instead conduct lymph node sampling to guide postoperative radiotherapy decisions.</w:t>
            </w:r>
          </w:p>
        </w:tc>
        <w:tc>
          <w:tcPr>
            <w:tcW w:w="1152" w:type="dxa"/>
            <w:vAlign w:val="center"/>
          </w:tcPr>
          <w:p w14:paraId="238D0A7C"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4D7F1F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B697B8D"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414DF0D6" w14:textId="77777777">
        <w:tc>
          <w:tcPr>
            <w:tcW w:w="2160" w:type="dxa"/>
            <w:vAlign w:val="center"/>
          </w:tcPr>
          <w:p w14:paraId="2895642A" w14:textId="77777777" w:rsidR="00922249" w:rsidRPr="00CB2EC4" w:rsidRDefault="003011D5">
            <w:pPr>
              <w:rPr>
                <w:rFonts w:ascii="Times New Roman" w:hAnsi="Times New Roman" w:cs="Times New Roman"/>
              </w:rPr>
            </w:pPr>
            <w:r w:rsidRPr="00CB2EC4">
              <w:rPr>
                <w:rFonts w:ascii="Times New Roman" w:hAnsi="Times New Roman" w:cs="Times New Roman"/>
              </w:rPr>
              <w:t>HyDE</w:t>
            </w:r>
          </w:p>
        </w:tc>
        <w:tc>
          <w:tcPr>
            <w:tcW w:w="5040" w:type="dxa"/>
            <w:vAlign w:val="center"/>
          </w:tcPr>
          <w:p w14:paraId="06306385" w14:textId="77777777" w:rsidR="00922249" w:rsidRPr="00CB2EC4" w:rsidRDefault="003011D5">
            <w:pPr>
              <w:rPr>
                <w:rFonts w:ascii="Times New Roman" w:hAnsi="Times New Roman" w:cs="Times New Roman"/>
              </w:rPr>
            </w:pPr>
            <w:r w:rsidRPr="00CB2EC4">
              <w:rPr>
                <w:rFonts w:ascii="Times New Roman" w:hAnsi="Times New Roman" w:cs="Times New Roman"/>
              </w:rPr>
              <w:t>during the initial exploratory phase of laparoscopic radical hysterectomy, if suspicious pelvic lymph nodes are found and sent for intraoperative frozen section pathology with a positive result (i.e., lymph node metastasis), the subsequent surgical plan should be adjusted as follows:</w:t>
            </w:r>
            <w:r w:rsidRPr="00CB2EC4">
              <w:rPr>
                <w:rFonts w:ascii="Times New Roman" w:hAnsi="Times New Roman" w:cs="Times New Roman"/>
              </w:rPr>
              <w:br/>
              <w:t>- Abandon radical hysterectomy (i.e., do not proceed with the originally planned radical hysterectomy).</w:t>
            </w:r>
            <w:r w:rsidRPr="00CB2EC4">
              <w:rPr>
                <w:rFonts w:ascii="Times New Roman" w:hAnsi="Times New Roman" w:cs="Times New Roman"/>
              </w:rPr>
              <w:br/>
              <w:t>- Instead, perform para-aortic lymph node sampling to determine the field for radiotherapy. The document explicitly states: "If lymph node metastasis is positive, then abandon radical hysterectomy and perform para-aortic lymph node sampling to decide the extent of radiotherapy."</w:t>
            </w:r>
            <w:r w:rsidRPr="00CB2EC4">
              <w:rPr>
                <w:rFonts w:ascii="Times New Roman" w:hAnsi="Times New Roman" w:cs="Times New Roman"/>
              </w:rPr>
              <w:br/>
              <w:t>- This adjustment aims to avoid unnecessary radical surgery and instead guide postoperative radiotherapy through lymph node sampling.</w:t>
            </w:r>
          </w:p>
        </w:tc>
        <w:tc>
          <w:tcPr>
            <w:tcW w:w="1152" w:type="dxa"/>
            <w:vAlign w:val="center"/>
          </w:tcPr>
          <w:p w14:paraId="0966AB0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42BAF5F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97BE6B2"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158E6F45" w14:textId="77777777">
        <w:tc>
          <w:tcPr>
            <w:tcW w:w="2160" w:type="dxa"/>
            <w:vAlign w:val="center"/>
          </w:tcPr>
          <w:p w14:paraId="661D2818" w14:textId="77777777" w:rsidR="00922249" w:rsidRPr="00CB2EC4" w:rsidRDefault="003011D5">
            <w:pPr>
              <w:rPr>
                <w:rFonts w:ascii="Times New Roman" w:hAnsi="Times New Roman" w:cs="Times New Roman"/>
              </w:rPr>
            </w:pPr>
            <w:r w:rsidRPr="00CB2EC4">
              <w:rPr>
                <w:rFonts w:ascii="Times New Roman" w:hAnsi="Times New Roman" w:cs="Times New Roman"/>
              </w:rPr>
              <w:t>Query Transformation</w:t>
            </w:r>
          </w:p>
        </w:tc>
        <w:tc>
          <w:tcPr>
            <w:tcW w:w="5040" w:type="dxa"/>
            <w:vAlign w:val="center"/>
          </w:tcPr>
          <w:p w14:paraId="0797FF3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suspicious pelvic lymph nodes are identified during the initial exploratory phase of laparoscopic radical hysterectomy and sent for intraoperative frozen section pathology, and the result is positive, then the </w:t>
            </w:r>
            <w:r w:rsidRPr="00CB2EC4">
              <w:rPr>
                <w:rFonts w:ascii="Times New Roman" w:hAnsi="Times New Roman" w:cs="Times New Roman"/>
              </w:rPr>
              <w:lastRenderedPageBreak/>
              <w:t>subsequent surgical plan should be adjusted as follows: abandon the radical hysterectomy and instead perform para-aortic lymph node sampling to determine the extent of radiotherapy (e.g., pelvic or extended field irradiation).</w:t>
            </w:r>
          </w:p>
        </w:tc>
        <w:tc>
          <w:tcPr>
            <w:tcW w:w="1152" w:type="dxa"/>
            <w:vAlign w:val="center"/>
          </w:tcPr>
          <w:p w14:paraId="6D26499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70E27F5F"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3C3D45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F4AC7F2" w14:textId="77777777">
        <w:tc>
          <w:tcPr>
            <w:tcW w:w="2160" w:type="dxa"/>
            <w:vAlign w:val="center"/>
          </w:tcPr>
          <w:p w14:paraId="144F6D5B" w14:textId="77777777" w:rsidR="00922249" w:rsidRPr="00CB2EC4" w:rsidRDefault="003011D5">
            <w:pPr>
              <w:rPr>
                <w:rFonts w:ascii="Times New Roman" w:hAnsi="Times New Roman" w:cs="Times New Roman"/>
              </w:rPr>
            </w:pPr>
            <w:r w:rsidRPr="00CB2EC4">
              <w:rPr>
                <w:rFonts w:ascii="Times New Roman" w:hAnsi="Times New Roman" w:cs="Times New Roman"/>
              </w:rPr>
              <w:t>SelfRAG</w:t>
            </w:r>
          </w:p>
        </w:tc>
        <w:tc>
          <w:tcPr>
            <w:tcW w:w="5040" w:type="dxa"/>
            <w:vAlign w:val="center"/>
          </w:tcPr>
          <w:p w14:paraId="4622F3E1" w14:textId="77777777" w:rsidR="00922249" w:rsidRPr="00CB2EC4" w:rsidRDefault="003011D5">
            <w:pPr>
              <w:rPr>
                <w:rFonts w:ascii="Times New Roman" w:hAnsi="Times New Roman" w:cs="Times New Roman"/>
              </w:rPr>
            </w:pPr>
            <w:r w:rsidRPr="00CB2EC4">
              <w:rPr>
                <w:rFonts w:ascii="Times New Roman" w:hAnsi="Times New Roman" w:cs="Times New Roman"/>
              </w:rPr>
              <w:t>if suspicious pelvic lymph nodes are found during initial exploration of laparoscopic radical hysterectomy and frozen section pathology is positive:</w:t>
            </w:r>
            <w:r w:rsidRPr="00CB2EC4">
              <w:rPr>
                <w:rFonts w:ascii="Times New Roman" w:hAnsi="Times New Roman" w:cs="Times New Roman"/>
              </w:rPr>
              <w:br/>
            </w:r>
            <w:r w:rsidRPr="00CB2EC4">
              <w:rPr>
                <w:rFonts w:ascii="Times New Roman" w:hAnsi="Times New Roman" w:cs="Times New Roman"/>
              </w:rPr>
              <w:br/>
              <w:t xml:space="preserve">- Adjustment plan:  </w:t>
            </w:r>
            <w:r w:rsidRPr="00CB2EC4">
              <w:rPr>
                <w:rFonts w:ascii="Times New Roman" w:hAnsi="Times New Roman" w:cs="Times New Roman"/>
              </w:rPr>
              <w:br/>
              <w:t xml:space="preserve">  1. Abandon radical hysterectomy: terminate the planned radical hysterectomy when lymph node metastasis is positive.  </w:t>
            </w:r>
            <w:r w:rsidRPr="00CB2EC4">
              <w:rPr>
                <w:rFonts w:ascii="Times New Roman" w:hAnsi="Times New Roman" w:cs="Times New Roman"/>
              </w:rPr>
              <w:br/>
              <w:t xml:space="preserve">  2. Switch to para-aortic lymph node sampling: resect para-aortic lymph nodes for pathological examination to determine the radiotherapy field.  </w:t>
            </w:r>
            <w:r w:rsidRPr="00CB2EC4">
              <w:rPr>
                <w:rFonts w:ascii="Times New Roman" w:hAnsi="Times New Roman" w:cs="Times New Roman"/>
              </w:rPr>
              <w:br/>
              <w:t xml:space="preserve">  3. Subsequent treatment: formulate radiotherapy plan (e.g., extended field irradiation) based on lymph node pathology results.  </w:t>
            </w:r>
            <w:r w:rsidRPr="00CB2EC4">
              <w:rPr>
                <w:rFonts w:ascii="Times New Roman" w:hAnsi="Times New Roman" w:cs="Times New Roman"/>
              </w:rPr>
              <w:br/>
              <w:t>- The document explicitly states: "If lymph node metastasis is positive, abandon radical hysterectomy and perform para-aortic lymph node sampling to determine the extent of radiotherapy."</w:t>
            </w:r>
            <w:r w:rsidRPr="00CB2EC4">
              <w:rPr>
                <w:rFonts w:ascii="Times New Roman" w:hAnsi="Times New Roman" w:cs="Times New Roman"/>
              </w:rPr>
              <w:br/>
            </w:r>
            <w:r w:rsidRPr="00CB2EC4">
              <w:rPr>
                <w:rFonts w:ascii="Times New Roman" w:hAnsi="Times New Roman" w:cs="Times New Roman"/>
              </w:rPr>
              <w:br/>
              <w:t xml:space="preserve">---  </w:t>
            </w:r>
            <w:r w:rsidRPr="00CB2EC4">
              <w:rPr>
                <w:rFonts w:ascii="Times New Roman" w:hAnsi="Times New Roman" w:cs="Times New Roman"/>
              </w:rPr>
              <w:br/>
              <w:t>The above response is based solely on the provided document excerpt. For further details, please refer to the original text in the relevant section.</w:t>
            </w:r>
          </w:p>
        </w:tc>
        <w:tc>
          <w:tcPr>
            <w:tcW w:w="1152" w:type="dxa"/>
            <w:vAlign w:val="center"/>
          </w:tcPr>
          <w:p w14:paraId="45F2E4F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B</w:t>
            </w:r>
          </w:p>
        </w:tc>
        <w:tc>
          <w:tcPr>
            <w:tcW w:w="1152" w:type="dxa"/>
            <w:vAlign w:val="center"/>
          </w:tcPr>
          <w:p w14:paraId="1245C21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9341D0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79D0F96" w14:textId="77777777">
        <w:tc>
          <w:tcPr>
            <w:tcW w:w="2160" w:type="dxa"/>
            <w:vAlign w:val="center"/>
          </w:tcPr>
          <w:p w14:paraId="72E57B68" w14:textId="77777777" w:rsidR="00922249" w:rsidRPr="00CB2EC4" w:rsidRDefault="003011D5">
            <w:pPr>
              <w:rPr>
                <w:rFonts w:ascii="Times New Roman" w:hAnsi="Times New Roman" w:cs="Times New Roman"/>
              </w:rPr>
            </w:pPr>
            <w:r w:rsidRPr="00CB2EC4">
              <w:rPr>
                <w:rFonts w:ascii="Times New Roman" w:hAnsi="Times New Roman" w:cs="Times New Roman"/>
              </w:rPr>
              <w:t>Semantic Chunking</w:t>
            </w:r>
          </w:p>
        </w:tc>
        <w:tc>
          <w:tcPr>
            <w:tcW w:w="5040" w:type="dxa"/>
            <w:vAlign w:val="center"/>
          </w:tcPr>
          <w:p w14:paraId="68BC4595"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the initial exploration phase of laparoscopic radical hysterectomy, if suspicious pelvic lymph nodes are found and sent for intraoperative frozen section pathology with a positive result (i.e., lymph node metastasis positive), the subsequent surgical plan </w:t>
            </w:r>
            <w:r w:rsidRPr="00CB2EC4">
              <w:rPr>
                <w:rFonts w:ascii="Times New Roman" w:hAnsi="Times New Roman" w:cs="Times New Roman"/>
              </w:rPr>
              <w:lastRenderedPageBreak/>
              <w:t xml:space="preserve">should be adjusted as follows:  </w:t>
            </w:r>
            <w:r w:rsidRPr="00CB2EC4">
              <w:rPr>
                <w:rFonts w:ascii="Times New Roman" w:hAnsi="Times New Roman" w:cs="Times New Roman"/>
              </w:rPr>
              <w:br/>
              <w:t xml:space="preserve">- Abandon radical hysterectomy: no longer proceed with the originally planned radical surgery.  </w:t>
            </w:r>
            <w:r w:rsidRPr="00CB2EC4">
              <w:rPr>
                <w:rFonts w:ascii="Times New Roman" w:hAnsi="Times New Roman" w:cs="Times New Roman"/>
              </w:rPr>
              <w:br/>
              <w:t xml:space="preserve">- Perform para-aortic lymph node sampling: to determine the extent of radiotherapy (e.g., assess the degree of metastasis for radiotherapy planning).  </w:t>
            </w:r>
            <w:r w:rsidRPr="00CB2EC4">
              <w:rPr>
                <w:rFonts w:ascii="Times New Roman" w:hAnsi="Times New Roman" w:cs="Times New Roman"/>
              </w:rPr>
              <w:br/>
              <w:t xml:space="preserve">This adjustment is based on the presence of lymph node metastasis indicating possible disease spread, making radical surgery inappropriate.  </w:t>
            </w:r>
            <w:r w:rsidRPr="00CB2EC4">
              <w:rPr>
                <w:rFonts w:ascii="Times New Roman" w:hAnsi="Times New Roman" w:cs="Times New Roman"/>
              </w:rPr>
              <w:br/>
              <w:t>Reference: Document Fragment 1 explicitly states: "Assess pelvic lymph nodes for obvious metastasis: resect any suspicious pelvic lymph nodes and send for intraoperative frozen section pathology. If lymph node metastasis is positive, abandon radical hysterectomy and perform para-aortic lymph node sampling to determine the extent of radiotherapy."</w:t>
            </w:r>
          </w:p>
        </w:tc>
        <w:tc>
          <w:tcPr>
            <w:tcW w:w="1152" w:type="dxa"/>
            <w:vAlign w:val="center"/>
          </w:tcPr>
          <w:p w14:paraId="19C6484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66CEF1BA"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C1C6009"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6D5EB8" w14:textId="77777777">
        <w:tc>
          <w:tcPr>
            <w:tcW w:w="2160" w:type="dxa"/>
            <w:vAlign w:val="center"/>
          </w:tcPr>
          <w:p w14:paraId="3F6BD0EC" w14:textId="77777777" w:rsidR="00922249" w:rsidRPr="00CB2EC4" w:rsidRDefault="003011D5">
            <w:pPr>
              <w:rPr>
                <w:rFonts w:ascii="Times New Roman" w:hAnsi="Times New Roman" w:cs="Times New Roman"/>
              </w:rPr>
            </w:pPr>
            <w:r w:rsidRPr="00CB2EC4">
              <w:rPr>
                <w:rFonts w:ascii="Times New Roman" w:hAnsi="Times New Roman" w:cs="Times New Roman"/>
              </w:rPr>
              <w:t>NaiveRAG</w:t>
            </w:r>
          </w:p>
        </w:tc>
        <w:tc>
          <w:tcPr>
            <w:tcW w:w="5040" w:type="dxa"/>
            <w:vAlign w:val="center"/>
          </w:tcPr>
          <w:p w14:paraId="263AC900" w14:textId="77777777" w:rsidR="00922249" w:rsidRPr="00CB2EC4" w:rsidRDefault="003011D5">
            <w:pPr>
              <w:rPr>
                <w:rFonts w:ascii="Times New Roman" w:hAnsi="Times New Roman" w:cs="Times New Roman"/>
              </w:rPr>
            </w:pPr>
            <w:r w:rsidRPr="00CB2EC4">
              <w:rPr>
                <w:rFonts w:ascii="Times New Roman" w:hAnsi="Times New Roman" w:cs="Times New Roman"/>
              </w:rPr>
              <w:t>in the initial exploration phase of laparoscopic radical hysterectomy, if suspicious pelvic lymph nodes are found and sent for intraoperative frozen section pathology, and the result is positive, then the subsequent surgical plan should be adjusted as follows: abandon the radical hysterectomy and instead perform sampling of the para-aortic lymph nodes to determine the range of radiotherapy.</w:t>
            </w:r>
            <w:r w:rsidRPr="00CB2EC4">
              <w:rPr>
                <w:rFonts w:ascii="Times New Roman" w:hAnsi="Times New Roman" w:cs="Times New Roman"/>
              </w:rPr>
              <w:br/>
            </w:r>
            <w:r w:rsidRPr="00CB2EC4">
              <w:rPr>
                <w:rFonts w:ascii="Times New Roman" w:hAnsi="Times New Roman" w:cs="Times New Roman"/>
              </w:rPr>
              <w:br/>
              <w:t xml:space="preserve">based on the document content, under "section seven: laparoscopic radical hysterectomy with pelvic lymphadenectomy," subsection "4. surgical technique and methods" states: "assess pelvic lymph nodes for obvious metastasis: resect any suspicious pelvic lymph nodes and send for intraoperative frozen section pathological examination. if lymph node metastasis is positive, abandon radical hysterectomy and perform para-aortic lymph node sampling to </w:t>
            </w:r>
            <w:r w:rsidRPr="00CB2EC4">
              <w:rPr>
                <w:rFonts w:ascii="Times New Roman" w:hAnsi="Times New Roman" w:cs="Times New Roman"/>
              </w:rPr>
              <w:lastRenderedPageBreak/>
              <w:t>determine the range of radiotherapy." therefore, the adjustment is to terminate the planned radical hysterectomy and proceed with para-aortic lymph node sampling to guide subsequent radiotherapy. the document does not mention other adjustments (such as chemotherapy) and emphasizes only the determination of the radiotherapy field.</w:t>
            </w:r>
          </w:p>
        </w:tc>
        <w:tc>
          <w:tcPr>
            <w:tcW w:w="1152" w:type="dxa"/>
            <w:vAlign w:val="center"/>
          </w:tcPr>
          <w:p w14:paraId="383DC19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439A237"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210ED53"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9E821C4" w14:textId="77777777">
        <w:tc>
          <w:tcPr>
            <w:tcW w:w="2160" w:type="dxa"/>
            <w:vAlign w:val="center"/>
          </w:tcPr>
          <w:p w14:paraId="44D7A351" w14:textId="77777777" w:rsidR="00922249" w:rsidRPr="00CB2EC4" w:rsidRDefault="003011D5">
            <w:pPr>
              <w:rPr>
                <w:rFonts w:ascii="Times New Roman" w:hAnsi="Times New Roman" w:cs="Times New Roman"/>
              </w:rPr>
            </w:pPr>
            <w:r w:rsidRPr="00CB2EC4">
              <w:rPr>
                <w:rFonts w:ascii="Times New Roman" w:hAnsi="Times New Roman" w:cs="Times New Roman"/>
              </w:rPr>
              <w:t>Rerank</w:t>
            </w:r>
          </w:p>
        </w:tc>
        <w:tc>
          <w:tcPr>
            <w:tcW w:w="5040" w:type="dxa"/>
            <w:vAlign w:val="center"/>
          </w:tcPr>
          <w:p w14:paraId="1FA1389D"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If suspicious pelvic lymph nodes are identified during the initial exploration phase of laparoscopic radical hysterectomy and sent for intraoperative frozen section pathology, and the result is positive, the subsequent surgical plan should be adjusted as follows:  </w:t>
            </w:r>
            <w:r w:rsidRPr="00CB2EC4">
              <w:rPr>
                <w:rFonts w:ascii="Times New Roman" w:hAnsi="Times New Roman" w:cs="Times New Roman"/>
              </w:rPr>
              <w:br/>
              <w:t xml:space="preserve">1. Abandon radical hysterectomy: Lymph node metastasis indicates disease progression, and radical surgery cannot achieve curative intent.  </w:t>
            </w:r>
            <w:r w:rsidRPr="00CB2EC4">
              <w:rPr>
                <w:rFonts w:ascii="Times New Roman" w:hAnsi="Times New Roman" w:cs="Times New Roman"/>
              </w:rPr>
              <w:br/>
              <w:t xml:space="preserve">2. Perform para-aortic lymph node sampling: To assess the extent of metastasis and determine the target area for radiotherapy.  </w:t>
            </w:r>
            <w:r w:rsidRPr="00CB2EC4">
              <w:rPr>
                <w:rFonts w:ascii="Times New Roman" w:hAnsi="Times New Roman" w:cs="Times New Roman"/>
              </w:rPr>
              <w:br/>
              <w:t xml:space="preserve">3. Terminate the original surgical procedure: Shift to comprehensive treatment (e.g., chemoradiotherapy).  </w:t>
            </w:r>
            <w:r w:rsidRPr="00CB2EC4">
              <w:rPr>
                <w:rFonts w:ascii="Times New Roman" w:hAnsi="Times New Roman" w:cs="Times New Roman"/>
              </w:rPr>
              <w:br/>
              <w:t>(Reference: Document Fragment 6)</w:t>
            </w:r>
          </w:p>
        </w:tc>
        <w:tc>
          <w:tcPr>
            <w:tcW w:w="1152" w:type="dxa"/>
            <w:vAlign w:val="center"/>
          </w:tcPr>
          <w:p w14:paraId="07059EE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7DACC7EB"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687E8CB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5689F164" w14:textId="77777777">
        <w:tc>
          <w:tcPr>
            <w:tcW w:w="2160" w:type="dxa"/>
            <w:vAlign w:val="center"/>
          </w:tcPr>
          <w:p w14:paraId="39643046" w14:textId="77777777" w:rsidR="00922249" w:rsidRPr="00CB2EC4" w:rsidRDefault="003011D5">
            <w:pPr>
              <w:rPr>
                <w:rFonts w:ascii="Times New Roman" w:hAnsi="Times New Roman" w:cs="Times New Roman"/>
              </w:rPr>
            </w:pPr>
            <w:r w:rsidRPr="00CB2EC4">
              <w:rPr>
                <w:rFonts w:ascii="Times New Roman" w:hAnsi="Times New Roman" w:cs="Times New Roman"/>
              </w:rPr>
              <w:t>RSE</w:t>
            </w:r>
          </w:p>
        </w:tc>
        <w:tc>
          <w:tcPr>
            <w:tcW w:w="5040" w:type="dxa"/>
            <w:vAlign w:val="center"/>
          </w:tcPr>
          <w:p w14:paraId="539CBFA0" w14:textId="77777777" w:rsidR="00922249" w:rsidRPr="00CB2EC4" w:rsidRDefault="003011D5">
            <w:pPr>
              <w:rPr>
                <w:rFonts w:ascii="Times New Roman" w:hAnsi="Times New Roman" w:cs="Times New Roman"/>
              </w:rPr>
            </w:pPr>
            <w:r w:rsidRPr="00CB2EC4">
              <w:rPr>
                <w:rFonts w:ascii="Times New Roman" w:hAnsi="Times New Roman" w:cs="Times New Roman"/>
              </w:rPr>
              <w:t>no</w:t>
            </w:r>
            <w:r w:rsidRPr="00CB2EC4">
              <w:rPr>
                <w:rFonts w:ascii="Times New Roman" w:hAnsi="Times New Roman" w:cs="Times New Roman"/>
              </w:rPr>
              <w:br/>
            </w:r>
            <w:r w:rsidRPr="00CB2EC4">
              <w:rPr>
                <w:rFonts w:ascii="Times New Roman" w:hAnsi="Times New Roman" w:cs="Times New Roman"/>
              </w:rPr>
              <w:br/>
              <w:t>During the initial exploratory phase of laparoscopic radical hysterectomy, if suspicious pelvic lymph nodes are found and sent for intraoperative frozen section pathology with a positive result, the subsequent surgical plan should be adjusted as follows:</w:t>
            </w:r>
            <w:r w:rsidRPr="00CB2EC4">
              <w:rPr>
                <w:rFonts w:ascii="Times New Roman" w:hAnsi="Times New Roman" w:cs="Times New Roman"/>
              </w:rPr>
              <w:br/>
            </w:r>
            <w:r w:rsidRPr="00CB2EC4">
              <w:rPr>
                <w:rFonts w:ascii="Times New Roman" w:hAnsi="Times New Roman" w:cs="Times New Roman"/>
              </w:rPr>
              <w:br/>
              <w:t xml:space="preserve">- "Assess pelvic lymph nodes for obvious metastasis: resect any suspicious pelvic lymph nodes and send for </w:t>
            </w:r>
            <w:r w:rsidRPr="00CB2EC4">
              <w:rPr>
                <w:rFonts w:ascii="Times New Roman" w:hAnsi="Times New Roman" w:cs="Times New Roman"/>
              </w:rPr>
              <w:lastRenderedPageBreak/>
              <w:t>intraoperative frozen section pathological examination. If lymph node metastasis is positive, abandon radical hysterectomy and perform para-aortic lymph node sampling to determine the extent of radiotherapy."</w:t>
            </w:r>
            <w:r w:rsidRPr="00CB2EC4">
              <w:rPr>
                <w:rFonts w:ascii="Times New Roman" w:hAnsi="Times New Roman" w:cs="Times New Roman"/>
              </w:rPr>
              <w:br/>
              <w:t>- The reason for this adjustment is that positive lymph nodes indicate possible disease spread; radical surgery cannot completely clear the lesion, and lymph node sampling is needed to determine the radiotherapy field (e.g., pelvic or extended-field radiotherapy).</w:t>
            </w:r>
            <w:r w:rsidRPr="00CB2EC4">
              <w:rPr>
                <w:rFonts w:ascii="Times New Roman" w:hAnsi="Times New Roman" w:cs="Times New Roman"/>
              </w:rPr>
              <w:br/>
              <w:t>- Therefore, the subsequent plan is to terminate radical hysterectomy and proceed with para-aortic lymph node sampling.</w:t>
            </w:r>
            <w:r w:rsidRPr="00CB2EC4">
              <w:rPr>
                <w:rFonts w:ascii="Times New Roman" w:hAnsi="Times New Roman" w:cs="Times New Roman"/>
              </w:rPr>
              <w:br/>
            </w:r>
            <w:r w:rsidRPr="00CB2EC4">
              <w:rPr>
                <w:rFonts w:ascii="Times New Roman" w:hAnsi="Times New Roman" w:cs="Times New Roman"/>
              </w:rPr>
              <w:br/>
              <w:t>→ Abandon laparoscopic radical hysterectomy.</w:t>
            </w:r>
            <w:r w:rsidRPr="00CB2EC4">
              <w:rPr>
                <w:rFonts w:ascii="Times New Roman" w:hAnsi="Times New Roman" w:cs="Times New Roman"/>
              </w:rPr>
              <w:br/>
              <w:t>→ Perform para-aortic lymph node sampling.</w:t>
            </w:r>
            <w:r w:rsidRPr="00CB2EC4">
              <w:rPr>
                <w:rFonts w:ascii="Times New Roman" w:hAnsi="Times New Roman" w:cs="Times New Roman"/>
              </w:rPr>
              <w:br/>
              <w:t>→ Use findings to guide radiotherapy planning.</w:t>
            </w:r>
            <w:r w:rsidRPr="00CB2EC4">
              <w:rPr>
                <w:rFonts w:ascii="Times New Roman" w:hAnsi="Times New Roman" w:cs="Times New Roman"/>
              </w:rPr>
              <w:br/>
            </w:r>
            <w:r w:rsidRPr="00CB2EC4">
              <w:rPr>
                <w:rFonts w:ascii="Times New Roman" w:hAnsi="Times New Roman" w:cs="Times New Roman"/>
              </w:rPr>
              <w:br/>
              <w:t>--</w:t>
            </w:r>
          </w:p>
        </w:tc>
        <w:tc>
          <w:tcPr>
            <w:tcW w:w="1152" w:type="dxa"/>
            <w:vAlign w:val="center"/>
          </w:tcPr>
          <w:p w14:paraId="3F7040EE"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5077C234"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1D621345"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r w:rsidR="00922249" w:rsidRPr="00CB2EC4" w14:paraId="7E9A0E82" w14:textId="77777777">
        <w:tc>
          <w:tcPr>
            <w:tcW w:w="2160" w:type="dxa"/>
            <w:vAlign w:val="center"/>
          </w:tcPr>
          <w:p w14:paraId="04FE736E" w14:textId="77777777" w:rsidR="00922249" w:rsidRPr="00CB2EC4" w:rsidRDefault="003011D5">
            <w:pPr>
              <w:rPr>
                <w:rFonts w:ascii="Times New Roman" w:hAnsi="Times New Roman" w:cs="Times New Roman"/>
              </w:rPr>
            </w:pPr>
            <w:r w:rsidRPr="00CB2EC4">
              <w:rPr>
                <w:rFonts w:ascii="Times New Roman" w:hAnsi="Times New Roman" w:cs="Times New Roman"/>
              </w:rPr>
              <w:t>Non-RAG strategy</w:t>
            </w:r>
          </w:p>
        </w:tc>
        <w:tc>
          <w:tcPr>
            <w:tcW w:w="5040" w:type="dxa"/>
            <w:vAlign w:val="center"/>
          </w:tcPr>
          <w:p w14:paraId="309EFE3B" w14:textId="77777777" w:rsidR="00922249" w:rsidRPr="00CB2EC4" w:rsidRDefault="003011D5">
            <w:pPr>
              <w:rPr>
                <w:rFonts w:ascii="Times New Roman" w:hAnsi="Times New Roman" w:cs="Times New Roman"/>
              </w:rPr>
            </w:pPr>
            <w:r w:rsidRPr="00CB2EC4">
              <w:rPr>
                <w:rFonts w:ascii="Times New Roman" w:hAnsi="Times New Roman" w:cs="Times New Roman"/>
              </w:rPr>
              <w:t xml:space="preserve">during the initial exploration phase of laparoscopic radical hysterectomy, if suspicious pelvic lymph nodes are identified and sent for intraoperative frozen section pathology, and the result is positive, the subsequent surgical plan should be adjusted as follows:  </w:t>
            </w:r>
            <w:r w:rsidRPr="00CB2EC4">
              <w:rPr>
                <w:rFonts w:ascii="Times New Roman" w:hAnsi="Times New Roman" w:cs="Times New Roman"/>
              </w:rPr>
              <w:br/>
              <w:t xml:space="preserve">- Abort radical hysterectomy: Immediately discontinue the radical hysterectomy procedure, as positive lymph nodes indicate disease beyond the local stage; proceeding with radical surgery may increase complications without survival benefit.  </w:t>
            </w:r>
            <w:r w:rsidRPr="00CB2EC4">
              <w:rPr>
                <w:rFonts w:ascii="Times New Roman" w:hAnsi="Times New Roman" w:cs="Times New Roman"/>
              </w:rPr>
              <w:br/>
              <w:t xml:space="preserve">- Convert to systematic lymphadenectomy: Perform complete pelvic and para-aortic lymph node dissection to clarify staging and achieve cytoreduction.  </w:t>
            </w:r>
            <w:r w:rsidRPr="00CB2EC4">
              <w:rPr>
                <w:rFonts w:ascii="Times New Roman" w:hAnsi="Times New Roman" w:cs="Times New Roman"/>
              </w:rPr>
              <w:br/>
              <w:t xml:space="preserve">- Integrate adjuvant therapy: Postoperative </w:t>
            </w:r>
            <w:r w:rsidRPr="00CB2EC4">
              <w:rPr>
                <w:rFonts w:ascii="Times New Roman" w:hAnsi="Times New Roman" w:cs="Times New Roman"/>
              </w:rPr>
              <w:lastRenderedPageBreak/>
              <w:t>management should transition to adjuvant therapy, such as concurrent chemoradiation (based on FIGO staging), rather than surgery alone. Adjustment of the surgical plan should be guided by multidisciplinary team discussion, emphasizing individualized management.</w:t>
            </w:r>
          </w:p>
        </w:tc>
        <w:tc>
          <w:tcPr>
            <w:tcW w:w="1152" w:type="dxa"/>
            <w:vAlign w:val="center"/>
          </w:tcPr>
          <w:p w14:paraId="5E8BEAE8"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lastRenderedPageBreak/>
              <w:t>A</w:t>
            </w:r>
          </w:p>
        </w:tc>
        <w:tc>
          <w:tcPr>
            <w:tcW w:w="1152" w:type="dxa"/>
            <w:vAlign w:val="center"/>
          </w:tcPr>
          <w:p w14:paraId="38BFBF71"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c>
          <w:tcPr>
            <w:tcW w:w="1152" w:type="dxa"/>
            <w:vAlign w:val="center"/>
          </w:tcPr>
          <w:p w14:paraId="2F2020E0" w14:textId="77777777" w:rsidR="00922249" w:rsidRPr="00CB2EC4" w:rsidRDefault="003011D5">
            <w:pPr>
              <w:jc w:val="center"/>
              <w:rPr>
                <w:rFonts w:ascii="Times New Roman" w:hAnsi="Times New Roman" w:cs="Times New Roman"/>
              </w:rPr>
            </w:pPr>
            <w:r w:rsidRPr="00CB2EC4">
              <w:rPr>
                <w:rFonts w:ascii="Times New Roman" w:hAnsi="Times New Roman" w:cs="Times New Roman"/>
              </w:rPr>
              <w:t>A</w:t>
            </w:r>
          </w:p>
        </w:tc>
      </w:tr>
    </w:tbl>
    <w:p w14:paraId="772B88F5" w14:textId="77777777" w:rsidR="003011D5" w:rsidRPr="00CB2EC4" w:rsidRDefault="003011D5">
      <w:pPr>
        <w:rPr>
          <w:rFonts w:ascii="Times New Roman" w:hAnsi="Times New Roman" w:cs="Times New Roman"/>
        </w:rPr>
      </w:pPr>
    </w:p>
    <w:sectPr w:rsidR="003011D5" w:rsidRPr="00CB2EC4" w:rsidSect="006C7DEA">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4B7AE" w14:textId="77777777" w:rsidR="00426D22" w:rsidRDefault="00426D22" w:rsidP="006C7DEA">
      <w:pPr>
        <w:spacing w:after="0" w:line="240" w:lineRule="auto"/>
      </w:pPr>
      <w:r>
        <w:separator/>
      </w:r>
    </w:p>
  </w:endnote>
  <w:endnote w:type="continuationSeparator" w:id="0">
    <w:p w14:paraId="14511C7E" w14:textId="77777777" w:rsidR="00426D22" w:rsidRDefault="00426D22" w:rsidP="006C7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A6101" w14:textId="77777777" w:rsidR="00426D22" w:rsidRDefault="00426D22" w:rsidP="006C7DEA">
      <w:pPr>
        <w:spacing w:after="0" w:line="240" w:lineRule="auto"/>
      </w:pPr>
      <w:r>
        <w:separator/>
      </w:r>
    </w:p>
  </w:footnote>
  <w:footnote w:type="continuationSeparator" w:id="0">
    <w:p w14:paraId="6BD7D0D4" w14:textId="77777777" w:rsidR="00426D22" w:rsidRDefault="00426D22" w:rsidP="006C7D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24F3066"/>
    <w:multiLevelType w:val="multilevel"/>
    <w:tmpl w:val="C7A6A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A727BD"/>
    <w:multiLevelType w:val="multilevel"/>
    <w:tmpl w:val="84B6C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6700B3"/>
    <w:multiLevelType w:val="hybridMultilevel"/>
    <w:tmpl w:val="1A324D12"/>
    <w:lvl w:ilvl="0" w:tplc="2D4AC786">
      <w:start w:val="1"/>
      <w:numFmt w:val="bullet"/>
      <w:lvlText w:val=""/>
      <w:lvlJc w:val="left"/>
      <w:pPr>
        <w:tabs>
          <w:tab w:val="num" w:pos="720"/>
        </w:tabs>
        <w:ind w:left="720" w:hanging="360"/>
      </w:pPr>
      <w:rPr>
        <w:rFonts w:ascii="Wingdings" w:hAnsi="Wingdings" w:hint="default"/>
      </w:rPr>
    </w:lvl>
    <w:lvl w:ilvl="1" w:tplc="079088A6" w:tentative="1">
      <w:start w:val="1"/>
      <w:numFmt w:val="bullet"/>
      <w:lvlText w:val=""/>
      <w:lvlJc w:val="left"/>
      <w:pPr>
        <w:tabs>
          <w:tab w:val="num" w:pos="1440"/>
        </w:tabs>
        <w:ind w:left="1440" w:hanging="360"/>
      </w:pPr>
      <w:rPr>
        <w:rFonts w:ascii="Wingdings" w:hAnsi="Wingdings" w:hint="default"/>
      </w:rPr>
    </w:lvl>
    <w:lvl w:ilvl="2" w:tplc="B81475F0" w:tentative="1">
      <w:start w:val="1"/>
      <w:numFmt w:val="bullet"/>
      <w:lvlText w:val=""/>
      <w:lvlJc w:val="left"/>
      <w:pPr>
        <w:tabs>
          <w:tab w:val="num" w:pos="2160"/>
        </w:tabs>
        <w:ind w:left="2160" w:hanging="360"/>
      </w:pPr>
      <w:rPr>
        <w:rFonts w:ascii="Wingdings" w:hAnsi="Wingdings" w:hint="default"/>
      </w:rPr>
    </w:lvl>
    <w:lvl w:ilvl="3" w:tplc="0B58ADBA" w:tentative="1">
      <w:start w:val="1"/>
      <w:numFmt w:val="bullet"/>
      <w:lvlText w:val=""/>
      <w:lvlJc w:val="left"/>
      <w:pPr>
        <w:tabs>
          <w:tab w:val="num" w:pos="2880"/>
        </w:tabs>
        <w:ind w:left="2880" w:hanging="360"/>
      </w:pPr>
      <w:rPr>
        <w:rFonts w:ascii="Wingdings" w:hAnsi="Wingdings" w:hint="default"/>
      </w:rPr>
    </w:lvl>
    <w:lvl w:ilvl="4" w:tplc="6D1C3226" w:tentative="1">
      <w:start w:val="1"/>
      <w:numFmt w:val="bullet"/>
      <w:lvlText w:val=""/>
      <w:lvlJc w:val="left"/>
      <w:pPr>
        <w:tabs>
          <w:tab w:val="num" w:pos="3600"/>
        </w:tabs>
        <w:ind w:left="3600" w:hanging="360"/>
      </w:pPr>
      <w:rPr>
        <w:rFonts w:ascii="Wingdings" w:hAnsi="Wingdings" w:hint="default"/>
      </w:rPr>
    </w:lvl>
    <w:lvl w:ilvl="5" w:tplc="4BD6C8A8" w:tentative="1">
      <w:start w:val="1"/>
      <w:numFmt w:val="bullet"/>
      <w:lvlText w:val=""/>
      <w:lvlJc w:val="left"/>
      <w:pPr>
        <w:tabs>
          <w:tab w:val="num" w:pos="4320"/>
        </w:tabs>
        <w:ind w:left="4320" w:hanging="360"/>
      </w:pPr>
      <w:rPr>
        <w:rFonts w:ascii="Wingdings" w:hAnsi="Wingdings" w:hint="default"/>
      </w:rPr>
    </w:lvl>
    <w:lvl w:ilvl="6" w:tplc="74C63248" w:tentative="1">
      <w:start w:val="1"/>
      <w:numFmt w:val="bullet"/>
      <w:lvlText w:val=""/>
      <w:lvlJc w:val="left"/>
      <w:pPr>
        <w:tabs>
          <w:tab w:val="num" w:pos="5040"/>
        </w:tabs>
        <w:ind w:left="5040" w:hanging="360"/>
      </w:pPr>
      <w:rPr>
        <w:rFonts w:ascii="Wingdings" w:hAnsi="Wingdings" w:hint="default"/>
      </w:rPr>
    </w:lvl>
    <w:lvl w:ilvl="7" w:tplc="73CE18FE" w:tentative="1">
      <w:start w:val="1"/>
      <w:numFmt w:val="bullet"/>
      <w:lvlText w:val=""/>
      <w:lvlJc w:val="left"/>
      <w:pPr>
        <w:tabs>
          <w:tab w:val="num" w:pos="5760"/>
        </w:tabs>
        <w:ind w:left="5760" w:hanging="360"/>
      </w:pPr>
      <w:rPr>
        <w:rFonts w:ascii="Wingdings" w:hAnsi="Wingdings" w:hint="default"/>
      </w:rPr>
    </w:lvl>
    <w:lvl w:ilvl="8" w:tplc="3592727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815CFA"/>
    <w:multiLevelType w:val="multilevel"/>
    <w:tmpl w:val="6FDA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A80E2C"/>
    <w:multiLevelType w:val="multilevel"/>
    <w:tmpl w:val="B178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73539B"/>
    <w:multiLevelType w:val="multilevel"/>
    <w:tmpl w:val="7756B6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827EDB"/>
    <w:multiLevelType w:val="multilevel"/>
    <w:tmpl w:val="F862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5B7815"/>
    <w:multiLevelType w:val="hybridMultilevel"/>
    <w:tmpl w:val="2FBC9FFA"/>
    <w:lvl w:ilvl="0" w:tplc="D5EE994A">
      <w:start w:val="1"/>
      <w:numFmt w:val="bullet"/>
      <w:lvlText w:val="•"/>
      <w:lvlJc w:val="left"/>
      <w:pPr>
        <w:tabs>
          <w:tab w:val="num" w:pos="720"/>
        </w:tabs>
        <w:ind w:left="720" w:hanging="360"/>
      </w:pPr>
      <w:rPr>
        <w:rFonts w:ascii="Arial" w:hAnsi="Arial" w:hint="default"/>
      </w:rPr>
    </w:lvl>
    <w:lvl w:ilvl="1" w:tplc="50B832C0" w:tentative="1">
      <w:start w:val="1"/>
      <w:numFmt w:val="bullet"/>
      <w:lvlText w:val="•"/>
      <w:lvlJc w:val="left"/>
      <w:pPr>
        <w:tabs>
          <w:tab w:val="num" w:pos="1440"/>
        </w:tabs>
        <w:ind w:left="1440" w:hanging="360"/>
      </w:pPr>
      <w:rPr>
        <w:rFonts w:ascii="Arial" w:hAnsi="Arial" w:hint="default"/>
      </w:rPr>
    </w:lvl>
    <w:lvl w:ilvl="2" w:tplc="7916B468" w:tentative="1">
      <w:start w:val="1"/>
      <w:numFmt w:val="bullet"/>
      <w:lvlText w:val="•"/>
      <w:lvlJc w:val="left"/>
      <w:pPr>
        <w:tabs>
          <w:tab w:val="num" w:pos="2160"/>
        </w:tabs>
        <w:ind w:left="2160" w:hanging="360"/>
      </w:pPr>
      <w:rPr>
        <w:rFonts w:ascii="Arial" w:hAnsi="Arial" w:hint="default"/>
      </w:rPr>
    </w:lvl>
    <w:lvl w:ilvl="3" w:tplc="7B04ECBE" w:tentative="1">
      <w:start w:val="1"/>
      <w:numFmt w:val="bullet"/>
      <w:lvlText w:val="•"/>
      <w:lvlJc w:val="left"/>
      <w:pPr>
        <w:tabs>
          <w:tab w:val="num" w:pos="2880"/>
        </w:tabs>
        <w:ind w:left="2880" w:hanging="360"/>
      </w:pPr>
      <w:rPr>
        <w:rFonts w:ascii="Arial" w:hAnsi="Arial" w:hint="default"/>
      </w:rPr>
    </w:lvl>
    <w:lvl w:ilvl="4" w:tplc="DD34BBCE" w:tentative="1">
      <w:start w:val="1"/>
      <w:numFmt w:val="bullet"/>
      <w:lvlText w:val="•"/>
      <w:lvlJc w:val="left"/>
      <w:pPr>
        <w:tabs>
          <w:tab w:val="num" w:pos="3600"/>
        </w:tabs>
        <w:ind w:left="3600" w:hanging="360"/>
      </w:pPr>
      <w:rPr>
        <w:rFonts w:ascii="Arial" w:hAnsi="Arial" w:hint="default"/>
      </w:rPr>
    </w:lvl>
    <w:lvl w:ilvl="5" w:tplc="55F63EBE" w:tentative="1">
      <w:start w:val="1"/>
      <w:numFmt w:val="bullet"/>
      <w:lvlText w:val="•"/>
      <w:lvlJc w:val="left"/>
      <w:pPr>
        <w:tabs>
          <w:tab w:val="num" w:pos="4320"/>
        </w:tabs>
        <w:ind w:left="4320" w:hanging="360"/>
      </w:pPr>
      <w:rPr>
        <w:rFonts w:ascii="Arial" w:hAnsi="Arial" w:hint="default"/>
      </w:rPr>
    </w:lvl>
    <w:lvl w:ilvl="6" w:tplc="6C24210A" w:tentative="1">
      <w:start w:val="1"/>
      <w:numFmt w:val="bullet"/>
      <w:lvlText w:val="•"/>
      <w:lvlJc w:val="left"/>
      <w:pPr>
        <w:tabs>
          <w:tab w:val="num" w:pos="5040"/>
        </w:tabs>
        <w:ind w:left="5040" w:hanging="360"/>
      </w:pPr>
      <w:rPr>
        <w:rFonts w:ascii="Arial" w:hAnsi="Arial" w:hint="default"/>
      </w:rPr>
    </w:lvl>
    <w:lvl w:ilvl="7" w:tplc="C5525E5E" w:tentative="1">
      <w:start w:val="1"/>
      <w:numFmt w:val="bullet"/>
      <w:lvlText w:val="•"/>
      <w:lvlJc w:val="left"/>
      <w:pPr>
        <w:tabs>
          <w:tab w:val="num" w:pos="5760"/>
        </w:tabs>
        <w:ind w:left="5760" w:hanging="360"/>
      </w:pPr>
      <w:rPr>
        <w:rFonts w:ascii="Arial" w:hAnsi="Arial" w:hint="default"/>
      </w:rPr>
    </w:lvl>
    <w:lvl w:ilvl="8" w:tplc="D062BCA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5B720E0"/>
    <w:multiLevelType w:val="hybridMultilevel"/>
    <w:tmpl w:val="CB669BB0"/>
    <w:lvl w:ilvl="0" w:tplc="53D20F4C">
      <w:start w:val="1"/>
      <w:numFmt w:val="bullet"/>
      <w:lvlText w:val=""/>
      <w:lvlJc w:val="left"/>
      <w:pPr>
        <w:tabs>
          <w:tab w:val="num" w:pos="720"/>
        </w:tabs>
        <w:ind w:left="720" w:hanging="360"/>
      </w:pPr>
      <w:rPr>
        <w:rFonts w:ascii="Wingdings" w:hAnsi="Wingdings" w:hint="default"/>
      </w:rPr>
    </w:lvl>
    <w:lvl w:ilvl="1" w:tplc="38904C88" w:tentative="1">
      <w:start w:val="1"/>
      <w:numFmt w:val="bullet"/>
      <w:lvlText w:val=""/>
      <w:lvlJc w:val="left"/>
      <w:pPr>
        <w:tabs>
          <w:tab w:val="num" w:pos="1440"/>
        </w:tabs>
        <w:ind w:left="1440" w:hanging="360"/>
      </w:pPr>
      <w:rPr>
        <w:rFonts w:ascii="Wingdings" w:hAnsi="Wingdings" w:hint="default"/>
      </w:rPr>
    </w:lvl>
    <w:lvl w:ilvl="2" w:tplc="9598833E" w:tentative="1">
      <w:start w:val="1"/>
      <w:numFmt w:val="bullet"/>
      <w:lvlText w:val=""/>
      <w:lvlJc w:val="left"/>
      <w:pPr>
        <w:tabs>
          <w:tab w:val="num" w:pos="2160"/>
        </w:tabs>
        <w:ind w:left="2160" w:hanging="360"/>
      </w:pPr>
      <w:rPr>
        <w:rFonts w:ascii="Wingdings" w:hAnsi="Wingdings" w:hint="default"/>
      </w:rPr>
    </w:lvl>
    <w:lvl w:ilvl="3" w:tplc="588C8876" w:tentative="1">
      <w:start w:val="1"/>
      <w:numFmt w:val="bullet"/>
      <w:lvlText w:val=""/>
      <w:lvlJc w:val="left"/>
      <w:pPr>
        <w:tabs>
          <w:tab w:val="num" w:pos="2880"/>
        </w:tabs>
        <w:ind w:left="2880" w:hanging="360"/>
      </w:pPr>
      <w:rPr>
        <w:rFonts w:ascii="Wingdings" w:hAnsi="Wingdings" w:hint="default"/>
      </w:rPr>
    </w:lvl>
    <w:lvl w:ilvl="4" w:tplc="7892140A" w:tentative="1">
      <w:start w:val="1"/>
      <w:numFmt w:val="bullet"/>
      <w:lvlText w:val=""/>
      <w:lvlJc w:val="left"/>
      <w:pPr>
        <w:tabs>
          <w:tab w:val="num" w:pos="3600"/>
        </w:tabs>
        <w:ind w:left="3600" w:hanging="360"/>
      </w:pPr>
      <w:rPr>
        <w:rFonts w:ascii="Wingdings" w:hAnsi="Wingdings" w:hint="default"/>
      </w:rPr>
    </w:lvl>
    <w:lvl w:ilvl="5" w:tplc="1B5AB1E6" w:tentative="1">
      <w:start w:val="1"/>
      <w:numFmt w:val="bullet"/>
      <w:lvlText w:val=""/>
      <w:lvlJc w:val="left"/>
      <w:pPr>
        <w:tabs>
          <w:tab w:val="num" w:pos="4320"/>
        </w:tabs>
        <w:ind w:left="4320" w:hanging="360"/>
      </w:pPr>
      <w:rPr>
        <w:rFonts w:ascii="Wingdings" w:hAnsi="Wingdings" w:hint="default"/>
      </w:rPr>
    </w:lvl>
    <w:lvl w:ilvl="6" w:tplc="568ED5F2" w:tentative="1">
      <w:start w:val="1"/>
      <w:numFmt w:val="bullet"/>
      <w:lvlText w:val=""/>
      <w:lvlJc w:val="left"/>
      <w:pPr>
        <w:tabs>
          <w:tab w:val="num" w:pos="5040"/>
        </w:tabs>
        <w:ind w:left="5040" w:hanging="360"/>
      </w:pPr>
      <w:rPr>
        <w:rFonts w:ascii="Wingdings" w:hAnsi="Wingdings" w:hint="default"/>
      </w:rPr>
    </w:lvl>
    <w:lvl w:ilvl="7" w:tplc="4F2EEEC0" w:tentative="1">
      <w:start w:val="1"/>
      <w:numFmt w:val="bullet"/>
      <w:lvlText w:val=""/>
      <w:lvlJc w:val="left"/>
      <w:pPr>
        <w:tabs>
          <w:tab w:val="num" w:pos="5760"/>
        </w:tabs>
        <w:ind w:left="5760" w:hanging="360"/>
      </w:pPr>
      <w:rPr>
        <w:rFonts w:ascii="Wingdings" w:hAnsi="Wingdings" w:hint="default"/>
      </w:rPr>
    </w:lvl>
    <w:lvl w:ilvl="8" w:tplc="CBD6905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FE2FB0"/>
    <w:multiLevelType w:val="hybridMultilevel"/>
    <w:tmpl w:val="53A65CD4"/>
    <w:lvl w:ilvl="0" w:tplc="BA9A518C">
      <w:start w:val="1"/>
      <w:numFmt w:val="bullet"/>
      <w:lvlText w:val=""/>
      <w:lvlJc w:val="left"/>
      <w:pPr>
        <w:tabs>
          <w:tab w:val="num" w:pos="720"/>
        </w:tabs>
        <w:ind w:left="720" w:hanging="360"/>
      </w:pPr>
      <w:rPr>
        <w:rFonts w:ascii="Wingdings" w:hAnsi="Wingdings" w:hint="default"/>
      </w:rPr>
    </w:lvl>
    <w:lvl w:ilvl="1" w:tplc="B978DBA4" w:tentative="1">
      <w:start w:val="1"/>
      <w:numFmt w:val="bullet"/>
      <w:lvlText w:val=""/>
      <w:lvlJc w:val="left"/>
      <w:pPr>
        <w:tabs>
          <w:tab w:val="num" w:pos="1440"/>
        </w:tabs>
        <w:ind w:left="1440" w:hanging="360"/>
      </w:pPr>
      <w:rPr>
        <w:rFonts w:ascii="Wingdings" w:hAnsi="Wingdings" w:hint="default"/>
      </w:rPr>
    </w:lvl>
    <w:lvl w:ilvl="2" w:tplc="9C002906" w:tentative="1">
      <w:start w:val="1"/>
      <w:numFmt w:val="bullet"/>
      <w:lvlText w:val=""/>
      <w:lvlJc w:val="left"/>
      <w:pPr>
        <w:tabs>
          <w:tab w:val="num" w:pos="2160"/>
        </w:tabs>
        <w:ind w:left="2160" w:hanging="360"/>
      </w:pPr>
      <w:rPr>
        <w:rFonts w:ascii="Wingdings" w:hAnsi="Wingdings" w:hint="default"/>
      </w:rPr>
    </w:lvl>
    <w:lvl w:ilvl="3" w:tplc="4D4A5E58" w:tentative="1">
      <w:start w:val="1"/>
      <w:numFmt w:val="bullet"/>
      <w:lvlText w:val=""/>
      <w:lvlJc w:val="left"/>
      <w:pPr>
        <w:tabs>
          <w:tab w:val="num" w:pos="2880"/>
        </w:tabs>
        <w:ind w:left="2880" w:hanging="360"/>
      </w:pPr>
      <w:rPr>
        <w:rFonts w:ascii="Wingdings" w:hAnsi="Wingdings" w:hint="default"/>
      </w:rPr>
    </w:lvl>
    <w:lvl w:ilvl="4" w:tplc="B100C680" w:tentative="1">
      <w:start w:val="1"/>
      <w:numFmt w:val="bullet"/>
      <w:lvlText w:val=""/>
      <w:lvlJc w:val="left"/>
      <w:pPr>
        <w:tabs>
          <w:tab w:val="num" w:pos="3600"/>
        </w:tabs>
        <w:ind w:left="3600" w:hanging="360"/>
      </w:pPr>
      <w:rPr>
        <w:rFonts w:ascii="Wingdings" w:hAnsi="Wingdings" w:hint="default"/>
      </w:rPr>
    </w:lvl>
    <w:lvl w:ilvl="5" w:tplc="D46238DA" w:tentative="1">
      <w:start w:val="1"/>
      <w:numFmt w:val="bullet"/>
      <w:lvlText w:val=""/>
      <w:lvlJc w:val="left"/>
      <w:pPr>
        <w:tabs>
          <w:tab w:val="num" w:pos="4320"/>
        </w:tabs>
        <w:ind w:left="4320" w:hanging="360"/>
      </w:pPr>
      <w:rPr>
        <w:rFonts w:ascii="Wingdings" w:hAnsi="Wingdings" w:hint="default"/>
      </w:rPr>
    </w:lvl>
    <w:lvl w:ilvl="6" w:tplc="70C6BCB4" w:tentative="1">
      <w:start w:val="1"/>
      <w:numFmt w:val="bullet"/>
      <w:lvlText w:val=""/>
      <w:lvlJc w:val="left"/>
      <w:pPr>
        <w:tabs>
          <w:tab w:val="num" w:pos="5040"/>
        </w:tabs>
        <w:ind w:left="5040" w:hanging="360"/>
      </w:pPr>
      <w:rPr>
        <w:rFonts w:ascii="Wingdings" w:hAnsi="Wingdings" w:hint="default"/>
      </w:rPr>
    </w:lvl>
    <w:lvl w:ilvl="7" w:tplc="DA3E06A0" w:tentative="1">
      <w:start w:val="1"/>
      <w:numFmt w:val="bullet"/>
      <w:lvlText w:val=""/>
      <w:lvlJc w:val="left"/>
      <w:pPr>
        <w:tabs>
          <w:tab w:val="num" w:pos="5760"/>
        </w:tabs>
        <w:ind w:left="5760" w:hanging="360"/>
      </w:pPr>
      <w:rPr>
        <w:rFonts w:ascii="Wingdings" w:hAnsi="Wingdings" w:hint="default"/>
      </w:rPr>
    </w:lvl>
    <w:lvl w:ilvl="8" w:tplc="82D2195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6C38E4"/>
    <w:multiLevelType w:val="multilevel"/>
    <w:tmpl w:val="5DF4B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974AA9"/>
    <w:multiLevelType w:val="hybridMultilevel"/>
    <w:tmpl w:val="1084E74E"/>
    <w:lvl w:ilvl="0" w:tplc="46546FA8">
      <w:start w:val="1"/>
      <w:numFmt w:val="bullet"/>
      <w:lvlText w:val=""/>
      <w:lvlJc w:val="left"/>
      <w:pPr>
        <w:tabs>
          <w:tab w:val="num" w:pos="720"/>
        </w:tabs>
        <w:ind w:left="720" w:hanging="360"/>
      </w:pPr>
      <w:rPr>
        <w:rFonts w:ascii="Wingdings" w:hAnsi="Wingdings" w:hint="default"/>
      </w:rPr>
    </w:lvl>
    <w:lvl w:ilvl="1" w:tplc="1C0411B4" w:tentative="1">
      <w:start w:val="1"/>
      <w:numFmt w:val="bullet"/>
      <w:lvlText w:val=""/>
      <w:lvlJc w:val="left"/>
      <w:pPr>
        <w:tabs>
          <w:tab w:val="num" w:pos="1440"/>
        </w:tabs>
        <w:ind w:left="1440" w:hanging="360"/>
      </w:pPr>
      <w:rPr>
        <w:rFonts w:ascii="Wingdings" w:hAnsi="Wingdings" w:hint="default"/>
      </w:rPr>
    </w:lvl>
    <w:lvl w:ilvl="2" w:tplc="98AEF926" w:tentative="1">
      <w:start w:val="1"/>
      <w:numFmt w:val="bullet"/>
      <w:lvlText w:val=""/>
      <w:lvlJc w:val="left"/>
      <w:pPr>
        <w:tabs>
          <w:tab w:val="num" w:pos="2160"/>
        </w:tabs>
        <w:ind w:left="2160" w:hanging="360"/>
      </w:pPr>
      <w:rPr>
        <w:rFonts w:ascii="Wingdings" w:hAnsi="Wingdings" w:hint="default"/>
      </w:rPr>
    </w:lvl>
    <w:lvl w:ilvl="3" w:tplc="A7A27F60" w:tentative="1">
      <w:start w:val="1"/>
      <w:numFmt w:val="bullet"/>
      <w:lvlText w:val=""/>
      <w:lvlJc w:val="left"/>
      <w:pPr>
        <w:tabs>
          <w:tab w:val="num" w:pos="2880"/>
        </w:tabs>
        <w:ind w:left="2880" w:hanging="360"/>
      </w:pPr>
      <w:rPr>
        <w:rFonts w:ascii="Wingdings" w:hAnsi="Wingdings" w:hint="default"/>
      </w:rPr>
    </w:lvl>
    <w:lvl w:ilvl="4" w:tplc="258A7020" w:tentative="1">
      <w:start w:val="1"/>
      <w:numFmt w:val="bullet"/>
      <w:lvlText w:val=""/>
      <w:lvlJc w:val="left"/>
      <w:pPr>
        <w:tabs>
          <w:tab w:val="num" w:pos="3600"/>
        </w:tabs>
        <w:ind w:left="3600" w:hanging="360"/>
      </w:pPr>
      <w:rPr>
        <w:rFonts w:ascii="Wingdings" w:hAnsi="Wingdings" w:hint="default"/>
      </w:rPr>
    </w:lvl>
    <w:lvl w:ilvl="5" w:tplc="FD380CAA" w:tentative="1">
      <w:start w:val="1"/>
      <w:numFmt w:val="bullet"/>
      <w:lvlText w:val=""/>
      <w:lvlJc w:val="left"/>
      <w:pPr>
        <w:tabs>
          <w:tab w:val="num" w:pos="4320"/>
        </w:tabs>
        <w:ind w:left="4320" w:hanging="360"/>
      </w:pPr>
      <w:rPr>
        <w:rFonts w:ascii="Wingdings" w:hAnsi="Wingdings" w:hint="default"/>
      </w:rPr>
    </w:lvl>
    <w:lvl w:ilvl="6" w:tplc="3A869112" w:tentative="1">
      <w:start w:val="1"/>
      <w:numFmt w:val="bullet"/>
      <w:lvlText w:val=""/>
      <w:lvlJc w:val="left"/>
      <w:pPr>
        <w:tabs>
          <w:tab w:val="num" w:pos="5040"/>
        </w:tabs>
        <w:ind w:left="5040" w:hanging="360"/>
      </w:pPr>
      <w:rPr>
        <w:rFonts w:ascii="Wingdings" w:hAnsi="Wingdings" w:hint="default"/>
      </w:rPr>
    </w:lvl>
    <w:lvl w:ilvl="7" w:tplc="E774E7CA" w:tentative="1">
      <w:start w:val="1"/>
      <w:numFmt w:val="bullet"/>
      <w:lvlText w:val=""/>
      <w:lvlJc w:val="left"/>
      <w:pPr>
        <w:tabs>
          <w:tab w:val="num" w:pos="5760"/>
        </w:tabs>
        <w:ind w:left="5760" w:hanging="360"/>
      </w:pPr>
      <w:rPr>
        <w:rFonts w:ascii="Wingdings" w:hAnsi="Wingdings" w:hint="default"/>
      </w:rPr>
    </w:lvl>
    <w:lvl w:ilvl="8" w:tplc="D7DED91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AB5E67"/>
    <w:multiLevelType w:val="hybridMultilevel"/>
    <w:tmpl w:val="D1AA2634"/>
    <w:lvl w:ilvl="0" w:tplc="2634E456">
      <w:start w:val="1"/>
      <w:numFmt w:val="bullet"/>
      <w:lvlText w:val=""/>
      <w:lvlJc w:val="left"/>
      <w:pPr>
        <w:tabs>
          <w:tab w:val="num" w:pos="720"/>
        </w:tabs>
        <w:ind w:left="720" w:hanging="360"/>
      </w:pPr>
      <w:rPr>
        <w:rFonts w:ascii="Wingdings" w:hAnsi="Wingdings" w:hint="default"/>
      </w:rPr>
    </w:lvl>
    <w:lvl w:ilvl="1" w:tplc="67DA8AA4" w:tentative="1">
      <w:start w:val="1"/>
      <w:numFmt w:val="bullet"/>
      <w:lvlText w:val=""/>
      <w:lvlJc w:val="left"/>
      <w:pPr>
        <w:tabs>
          <w:tab w:val="num" w:pos="1440"/>
        </w:tabs>
        <w:ind w:left="1440" w:hanging="360"/>
      </w:pPr>
      <w:rPr>
        <w:rFonts w:ascii="Wingdings" w:hAnsi="Wingdings" w:hint="default"/>
      </w:rPr>
    </w:lvl>
    <w:lvl w:ilvl="2" w:tplc="55669CEA" w:tentative="1">
      <w:start w:val="1"/>
      <w:numFmt w:val="bullet"/>
      <w:lvlText w:val=""/>
      <w:lvlJc w:val="left"/>
      <w:pPr>
        <w:tabs>
          <w:tab w:val="num" w:pos="2160"/>
        </w:tabs>
        <w:ind w:left="2160" w:hanging="360"/>
      </w:pPr>
      <w:rPr>
        <w:rFonts w:ascii="Wingdings" w:hAnsi="Wingdings" w:hint="default"/>
      </w:rPr>
    </w:lvl>
    <w:lvl w:ilvl="3" w:tplc="28FE219E" w:tentative="1">
      <w:start w:val="1"/>
      <w:numFmt w:val="bullet"/>
      <w:lvlText w:val=""/>
      <w:lvlJc w:val="left"/>
      <w:pPr>
        <w:tabs>
          <w:tab w:val="num" w:pos="2880"/>
        </w:tabs>
        <w:ind w:left="2880" w:hanging="360"/>
      </w:pPr>
      <w:rPr>
        <w:rFonts w:ascii="Wingdings" w:hAnsi="Wingdings" w:hint="default"/>
      </w:rPr>
    </w:lvl>
    <w:lvl w:ilvl="4" w:tplc="2780DF0A" w:tentative="1">
      <w:start w:val="1"/>
      <w:numFmt w:val="bullet"/>
      <w:lvlText w:val=""/>
      <w:lvlJc w:val="left"/>
      <w:pPr>
        <w:tabs>
          <w:tab w:val="num" w:pos="3600"/>
        </w:tabs>
        <w:ind w:left="3600" w:hanging="360"/>
      </w:pPr>
      <w:rPr>
        <w:rFonts w:ascii="Wingdings" w:hAnsi="Wingdings" w:hint="default"/>
      </w:rPr>
    </w:lvl>
    <w:lvl w:ilvl="5" w:tplc="0D889FE6" w:tentative="1">
      <w:start w:val="1"/>
      <w:numFmt w:val="bullet"/>
      <w:lvlText w:val=""/>
      <w:lvlJc w:val="left"/>
      <w:pPr>
        <w:tabs>
          <w:tab w:val="num" w:pos="4320"/>
        </w:tabs>
        <w:ind w:left="4320" w:hanging="360"/>
      </w:pPr>
      <w:rPr>
        <w:rFonts w:ascii="Wingdings" w:hAnsi="Wingdings" w:hint="default"/>
      </w:rPr>
    </w:lvl>
    <w:lvl w:ilvl="6" w:tplc="AA18CAD6" w:tentative="1">
      <w:start w:val="1"/>
      <w:numFmt w:val="bullet"/>
      <w:lvlText w:val=""/>
      <w:lvlJc w:val="left"/>
      <w:pPr>
        <w:tabs>
          <w:tab w:val="num" w:pos="5040"/>
        </w:tabs>
        <w:ind w:left="5040" w:hanging="360"/>
      </w:pPr>
      <w:rPr>
        <w:rFonts w:ascii="Wingdings" w:hAnsi="Wingdings" w:hint="default"/>
      </w:rPr>
    </w:lvl>
    <w:lvl w:ilvl="7" w:tplc="1668FE00" w:tentative="1">
      <w:start w:val="1"/>
      <w:numFmt w:val="bullet"/>
      <w:lvlText w:val=""/>
      <w:lvlJc w:val="left"/>
      <w:pPr>
        <w:tabs>
          <w:tab w:val="num" w:pos="5760"/>
        </w:tabs>
        <w:ind w:left="5760" w:hanging="360"/>
      </w:pPr>
      <w:rPr>
        <w:rFonts w:ascii="Wingdings" w:hAnsi="Wingdings" w:hint="default"/>
      </w:rPr>
    </w:lvl>
    <w:lvl w:ilvl="8" w:tplc="E64EEFD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20"/>
  </w:num>
  <w:num w:numId="12">
    <w:abstractNumId w:val="21"/>
  </w:num>
  <w:num w:numId="13">
    <w:abstractNumId w:val="17"/>
  </w:num>
  <w:num w:numId="14">
    <w:abstractNumId w:val="18"/>
  </w:num>
  <w:num w:numId="15">
    <w:abstractNumId w:val="16"/>
  </w:num>
  <w:num w:numId="16">
    <w:abstractNumId w:val="10"/>
  </w:num>
  <w:num w:numId="17">
    <w:abstractNumId w:val="12"/>
  </w:num>
  <w:num w:numId="18">
    <w:abstractNumId w:val="14"/>
  </w:num>
  <w:num w:numId="19">
    <w:abstractNumId w:val="9"/>
  </w:num>
  <w:num w:numId="20">
    <w:abstractNumId w:val="15"/>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02031"/>
    <w:rsid w:val="0015074B"/>
    <w:rsid w:val="0029639D"/>
    <w:rsid w:val="003011D5"/>
    <w:rsid w:val="00326F90"/>
    <w:rsid w:val="00335A14"/>
    <w:rsid w:val="00426D22"/>
    <w:rsid w:val="005E5707"/>
    <w:rsid w:val="00627B0C"/>
    <w:rsid w:val="006C7DEA"/>
    <w:rsid w:val="00874FDB"/>
    <w:rsid w:val="00916494"/>
    <w:rsid w:val="00922249"/>
    <w:rsid w:val="00AA1D8D"/>
    <w:rsid w:val="00AA594B"/>
    <w:rsid w:val="00B47730"/>
    <w:rsid w:val="00C866CA"/>
    <w:rsid w:val="00CB0664"/>
    <w:rsid w:val="00CB2EC4"/>
    <w:rsid w:val="00E42776"/>
    <w:rsid w:val="00EF318A"/>
    <w:rsid w:val="00F0189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6C7BE3"/>
  <w14:defaultImageDpi w14:val="300"/>
  <w15:docId w15:val="{E188342D-5251-4B2E-8107-A2F31E4B8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页眉 字符"/>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页脚 字符"/>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标题 1 字符"/>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标题 2 字符"/>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标题 字符"/>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标题 字符"/>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正文文本 字符"/>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正文文本 2 字符"/>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正文文本 3 字符"/>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宏文本 字符"/>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 字符"/>
    <w:basedOn w:val="a2"/>
    <w:link w:val="af5"/>
    <w:uiPriority w:val="29"/>
    <w:rsid w:val="00FC693F"/>
    <w:rPr>
      <w:i/>
      <w:iCs/>
      <w:color w:val="000000" w:themeColor="text1"/>
    </w:rPr>
  </w:style>
  <w:style w:type="character" w:customStyle="1" w:styleId="40">
    <w:name w:val="标题 4 字符"/>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标题 5 字符"/>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标题 6 字符"/>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标题 7 字符"/>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标题 9 字符"/>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明显引用 字符"/>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TOC">
    <w:name w:val="TOC Heading"/>
    <w:basedOn w:val="1"/>
    <w:next w:val="a1"/>
    <w:uiPriority w:val="39"/>
    <w:semiHidden/>
    <w:unhideWhenUsed/>
    <w:qFormat/>
    <w:rsid w:val="00FC693F"/>
    <w:pPr>
      <w:outlineLvl w:val="9"/>
    </w:pPr>
  </w:style>
  <w:style w:type="table" w:styleId="aff1">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ng-star-inserted">
    <w:name w:val="ng-star-inserted"/>
    <w:basedOn w:val="a1"/>
    <w:rsid w:val="00916494"/>
    <w:pPr>
      <w:spacing w:before="100" w:beforeAutospacing="1" w:after="100" w:afterAutospacing="1"/>
    </w:pPr>
    <w:rPr>
      <w:rFonts w:ascii="宋体" w:eastAsia="宋体" w:hAnsi="宋体" w:cs="宋体"/>
      <w:sz w:val="24"/>
      <w:szCs w:val="24"/>
    </w:rPr>
  </w:style>
  <w:style w:type="character" w:customStyle="1" w:styleId="ng-star-inserted1">
    <w:name w:val="ng-star-inserted1"/>
    <w:basedOn w:val="a2"/>
    <w:rsid w:val="00916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2510</Pages>
  <Words>563253</Words>
  <Characters>3210542</Characters>
  <Application>Microsoft Office Word</Application>
  <DocSecurity>0</DocSecurity>
  <Lines>26754</Lines>
  <Paragraphs>7532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3766263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laotou li</cp:lastModifiedBy>
  <cp:revision>14</cp:revision>
  <dcterms:created xsi:type="dcterms:W3CDTF">2013-12-23T23:15:00Z</dcterms:created>
  <dcterms:modified xsi:type="dcterms:W3CDTF">2025-10-23T10:31:00Z</dcterms:modified>
  <cp:category/>
</cp:coreProperties>
</file>